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33CFE" w14:textId="3D6E6423" w:rsidR="00210DB3" w:rsidRPr="00D920C9" w:rsidRDefault="00E14895" w:rsidP="001E4747">
      <w:pPr>
        <w:jc w:val="both"/>
        <w:rPr>
          <w:rFonts w:asciiTheme="minorHAnsi" w:hAnsiTheme="minorHAnsi"/>
          <w:b/>
          <w:spacing w:val="-3"/>
          <w:sz w:val="20"/>
          <w:szCs w:val="20"/>
          <w:lang w:val="pt-BR"/>
        </w:rPr>
      </w:pPr>
      <w:r w:rsidRPr="00D920C9">
        <w:rPr>
          <w:rFonts w:asciiTheme="minorHAnsi" w:hAnsiTheme="minorHAnsi"/>
          <w:noProof/>
        </w:rPr>
        <w:drawing>
          <wp:anchor distT="0" distB="0" distL="114300" distR="114300" simplePos="0" relativeHeight="251657216" behindDoc="0" locked="0" layoutInCell="1" allowOverlap="1" wp14:anchorId="36FE19B7" wp14:editId="0394E247">
            <wp:simplePos x="0" y="0"/>
            <wp:positionH relativeFrom="margin">
              <wp:align>right</wp:align>
            </wp:positionH>
            <wp:positionV relativeFrom="margin">
              <wp:align>top</wp:align>
            </wp:positionV>
            <wp:extent cx="2138045" cy="545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ENG-Main-01.png"/>
                    <pic:cNvPicPr/>
                  </pic:nvPicPr>
                  <pic:blipFill>
                    <a:blip r:embed="rId8">
                      <a:extLst>
                        <a:ext uri="{28A0092B-C50C-407E-A947-70E740481C1C}">
                          <a14:useLocalDpi xmlns:a14="http://schemas.microsoft.com/office/drawing/2010/main" val="0"/>
                        </a:ext>
                      </a:extLst>
                    </a:blip>
                    <a:stretch>
                      <a:fillRect/>
                    </a:stretch>
                  </pic:blipFill>
                  <pic:spPr>
                    <a:xfrm>
                      <a:off x="0" y="0"/>
                      <a:ext cx="2138045" cy="545465"/>
                    </a:xfrm>
                    <a:prstGeom prst="rect">
                      <a:avLst/>
                    </a:prstGeom>
                  </pic:spPr>
                </pic:pic>
              </a:graphicData>
            </a:graphic>
          </wp:anchor>
        </w:drawing>
      </w:r>
      <w:r w:rsidR="00ED6831" w:rsidRPr="00D920C9">
        <w:rPr>
          <w:rFonts w:asciiTheme="minorHAnsi" w:hAnsiTheme="minorHAnsi"/>
          <w:noProof/>
        </w:rPr>
        <w:drawing>
          <wp:anchor distT="0" distB="0" distL="114300" distR="114300" simplePos="0" relativeHeight="251664384" behindDoc="0" locked="0" layoutInCell="1" allowOverlap="1" wp14:anchorId="36EBAF4B" wp14:editId="1E63D69D">
            <wp:simplePos x="0" y="0"/>
            <wp:positionH relativeFrom="margin">
              <wp:align>left</wp:align>
            </wp:positionH>
            <wp:positionV relativeFrom="margin">
              <wp:align>top</wp:align>
            </wp:positionV>
            <wp:extent cx="2419985" cy="5708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hr-en.jpg"/>
                    <pic:cNvPicPr/>
                  </pic:nvPicPr>
                  <pic:blipFill>
                    <a:blip r:embed="rId9">
                      <a:extLst>
                        <a:ext uri="{28A0092B-C50C-407E-A947-70E740481C1C}">
                          <a14:useLocalDpi xmlns:a14="http://schemas.microsoft.com/office/drawing/2010/main" val="0"/>
                        </a:ext>
                      </a:extLst>
                    </a:blip>
                    <a:stretch>
                      <a:fillRect/>
                    </a:stretch>
                  </pic:blipFill>
                  <pic:spPr>
                    <a:xfrm>
                      <a:off x="0" y="0"/>
                      <a:ext cx="2419985" cy="570865"/>
                    </a:xfrm>
                    <a:prstGeom prst="rect">
                      <a:avLst/>
                    </a:prstGeom>
                  </pic:spPr>
                </pic:pic>
              </a:graphicData>
            </a:graphic>
          </wp:anchor>
        </w:drawing>
      </w:r>
    </w:p>
    <w:p w14:paraId="3027A631" w14:textId="77777777" w:rsidR="00210DB3" w:rsidRPr="00D920C9" w:rsidRDefault="00210DB3" w:rsidP="0040052F">
      <w:pPr>
        <w:suppressAutoHyphens/>
        <w:spacing w:after="0" w:line="240" w:lineRule="auto"/>
        <w:rPr>
          <w:rFonts w:asciiTheme="minorHAnsi" w:hAnsiTheme="minorHAnsi"/>
          <w:b/>
          <w:spacing w:val="-3"/>
          <w:sz w:val="20"/>
          <w:szCs w:val="20"/>
          <w:lang w:val="pt-BR"/>
        </w:rPr>
      </w:pPr>
    </w:p>
    <w:p w14:paraId="5DA60CE0" w14:textId="77777777" w:rsidR="00167623" w:rsidRPr="00D920C9" w:rsidRDefault="00167623" w:rsidP="0040052F">
      <w:pPr>
        <w:suppressAutoHyphens/>
        <w:spacing w:after="0" w:line="240" w:lineRule="auto"/>
        <w:rPr>
          <w:rFonts w:asciiTheme="minorHAnsi" w:hAnsiTheme="minorHAnsi"/>
          <w:b/>
          <w:spacing w:val="-3"/>
          <w:lang w:val="pt-BR"/>
        </w:rPr>
      </w:pPr>
    </w:p>
    <w:p w14:paraId="4648DF31" w14:textId="6E9F19F0" w:rsidR="00167623" w:rsidRPr="00D920C9" w:rsidRDefault="00167623" w:rsidP="009639C5">
      <w:pPr>
        <w:spacing w:after="0" w:line="360" w:lineRule="auto"/>
        <w:ind w:left="7200" w:right="65" w:hanging="1440"/>
        <w:rPr>
          <w:rFonts w:asciiTheme="minorHAnsi" w:hAnsiTheme="minorHAnsi"/>
          <w:szCs w:val="20"/>
          <w:lang w:val="pt-BR"/>
        </w:rPr>
      </w:pPr>
      <w:r w:rsidRPr="00D920C9">
        <w:rPr>
          <w:rFonts w:asciiTheme="minorHAnsi" w:hAnsiTheme="minorHAnsi"/>
          <w:szCs w:val="20"/>
          <w:lang w:val="pt-BR"/>
        </w:rPr>
        <w:t>OEA/Ser.L/V/II.</w:t>
      </w:r>
    </w:p>
    <w:p w14:paraId="74A73144" w14:textId="545127F8" w:rsidR="00167623" w:rsidRPr="00D920C9" w:rsidRDefault="00167623" w:rsidP="009639C5">
      <w:pPr>
        <w:spacing w:after="0" w:line="360" w:lineRule="auto"/>
        <w:ind w:left="7200" w:right="65" w:hanging="1440"/>
        <w:rPr>
          <w:rFonts w:asciiTheme="minorHAnsi" w:hAnsiTheme="minorHAnsi" w:cs="Arial"/>
          <w:szCs w:val="20"/>
          <w:lang w:val="pt-BR"/>
        </w:rPr>
      </w:pPr>
      <w:r w:rsidRPr="00D920C9">
        <w:rPr>
          <w:rFonts w:asciiTheme="minorHAnsi" w:hAnsiTheme="minorHAnsi" w:cs="Arial"/>
          <w:szCs w:val="20"/>
          <w:lang w:val="pt-BR"/>
        </w:rPr>
        <w:t xml:space="preserve">Doc. </w:t>
      </w:r>
      <w:r w:rsidR="009639C5">
        <w:rPr>
          <w:rFonts w:asciiTheme="minorHAnsi" w:hAnsiTheme="minorHAnsi" w:cs="Arial"/>
          <w:szCs w:val="20"/>
          <w:lang w:val="pt-BR"/>
        </w:rPr>
        <w:t>156</w:t>
      </w:r>
    </w:p>
    <w:p w14:paraId="4D19EF12" w14:textId="7183C5F8" w:rsidR="00167623" w:rsidRPr="00D920C9" w:rsidRDefault="003D7958" w:rsidP="009639C5">
      <w:pPr>
        <w:spacing w:after="0" w:line="360" w:lineRule="auto"/>
        <w:ind w:left="7200" w:hanging="1440"/>
        <w:rPr>
          <w:rFonts w:asciiTheme="minorHAnsi" w:hAnsiTheme="minorHAnsi" w:cs="Arial"/>
          <w:szCs w:val="20"/>
        </w:rPr>
      </w:pPr>
      <w:r>
        <w:rPr>
          <w:rFonts w:asciiTheme="minorHAnsi" w:hAnsiTheme="minorHAnsi" w:cs="Arial"/>
          <w:szCs w:val="20"/>
        </w:rPr>
        <w:t>26</w:t>
      </w:r>
      <w:r w:rsidR="00167623" w:rsidRPr="00D920C9">
        <w:rPr>
          <w:rFonts w:asciiTheme="minorHAnsi" w:hAnsiTheme="minorHAnsi" w:cs="Arial"/>
          <w:szCs w:val="20"/>
        </w:rPr>
        <w:t xml:space="preserve"> </w:t>
      </w:r>
      <w:r w:rsidR="009639C5">
        <w:rPr>
          <w:rFonts w:asciiTheme="minorHAnsi" w:hAnsiTheme="minorHAnsi" w:cs="Arial"/>
          <w:szCs w:val="20"/>
        </w:rPr>
        <w:t>November</w:t>
      </w:r>
      <w:r w:rsidR="00167623" w:rsidRPr="00D920C9">
        <w:rPr>
          <w:rFonts w:asciiTheme="minorHAnsi" w:hAnsiTheme="minorHAnsi" w:cs="Arial"/>
          <w:szCs w:val="20"/>
        </w:rPr>
        <w:t xml:space="preserve"> 2018</w:t>
      </w:r>
    </w:p>
    <w:p w14:paraId="76F558A2" w14:textId="77777777" w:rsidR="00167623" w:rsidRPr="00D920C9" w:rsidRDefault="00167623" w:rsidP="009639C5">
      <w:pPr>
        <w:spacing w:after="0" w:line="360" w:lineRule="auto"/>
        <w:ind w:left="7200" w:hanging="1440"/>
        <w:rPr>
          <w:rFonts w:asciiTheme="minorHAnsi" w:hAnsiTheme="minorHAnsi" w:cs="Arial"/>
          <w:szCs w:val="20"/>
        </w:rPr>
      </w:pPr>
      <w:r w:rsidRPr="00D920C9">
        <w:rPr>
          <w:rFonts w:asciiTheme="minorHAnsi" w:hAnsiTheme="minorHAnsi" w:cs="Arial"/>
          <w:szCs w:val="20"/>
        </w:rPr>
        <w:t>Original: English</w:t>
      </w:r>
    </w:p>
    <w:p w14:paraId="3D56298D" w14:textId="77777777" w:rsidR="003357D2" w:rsidRPr="00D920C9" w:rsidRDefault="003357D2" w:rsidP="0040052F">
      <w:pPr>
        <w:suppressAutoHyphens/>
        <w:spacing w:after="0" w:line="240" w:lineRule="auto"/>
        <w:jc w:val="center"/>
        <w:rPr>
          <w:rFonts w:asciiTheme="minorHAnsi" w:hAnsiTheme="minorHAnsi"/>
          <w:b/>
          <w:spacing w:val="-3"/>
        </w:rPr>
      </w:pPr>
    </w:p>
    <w:p w14:paraId="2D84D2E0" w14:textId="77777777" w:rsidR="003357D2" w:rsidRPr="00D920C9" w:rsidRDefault="003357D2" w:rsidP="0040052F">
      <w:pPr>
        <w:suppressAutoHyphens/>
        <w:spacing w:after="0" w:line="240" w:lineRule="auto"/>
        <w:jc w:val="center"/>
        <w:rPr>
          <w:rFonts w:asciiTheme="minorHAnsi" w:hAnsiTheme="minorHAnsi"/>
          <w:b/>
          <w:spacing w:val="-3"/>
        </w:rPr>
      </w:pPr>
    </w:p>
    <w:p w14:paraId="5B9AAE3F" w14:textId="77777777" w:rsidR="003357D2" w:rsidRPr="00D920C9" w:rsidRDefault="003357D2" w:rsidP="0040052F">
      <w:pPr>
        <w:suppressAutoHyphens/>
        <w:spacing w:after="0" w:line="240" w:lineRule="auto"/>
        <w:jc w:val="center"/>
        <w:rPr>
          <w:rFonts w:asciiTheme="minorHAnsi" w:hAnsiTheme="minorHAnsi"/>
          <w:b/>
          <w:spacing w:val="-3"/>
        </w:rPr>
      </w:pPr>
    </w:p>
    <w:p w14:paraId="581B7CAE" w14:textId="77777777" w:rsidR="00210DB3" w:rsidRPr="00D920C9" w:rsidRDefault="00210DB3" w:rsidP="0040052F">
      <w:pPr>
        <w:suppressAutoHyphens/>
        <w:spacing w:after="0" w:line="240" w:lineRule="auto"/>
        <w:jc w:val="center"/>
        <w:rPr>
          <w:rFonts w:asciiTheme="minorHAnsi" w:hAnsiTheme="minorHAnsi"/>
          <w:b/>
          <w:spacing w:val="-3"/>
        </w:rPr>
      </w:pPr>
    </w:p>
    <w:p w14:paraId="318AF83A" w14:textId="77777777" w:rsidR="00ED6831" w:rsidRPr="00D920C9" w:rsidRDefault="00ED6831" w:rsidP="0040052F">
      <w:pPr>
        <w:suppressAutoHyphens/>
        <w:spacing w:after="0" w:line="240" w:lineRule="auto"/>
        <w:jc w:val="center"/>
        <w:rPr>
          <w:rFonts w:asciiTheme="minorHAnsi" w:hAnsiTheme="minorHAnsi"/>
          <w:b/>
          <w:spacing w:val="-3"/>
        </w:rPr>
      </w:pPr>
    </w:p>
    <w:p w14:paraId="14349C41" w14:textId="77777777" w:rsidR="00ED6831" w:rsidRPr="00D920C9" w:rsidRDefault="00ED6831" w:rsidP="0040052F">
      <w:pPr>
        <w:suppressAutoHyphens/>
        <w:spacing w:after="0" w:line="240" w:lineRule="auto"/>
        <w:jc w:val="center"/>
        <w:rPr>
          <w:rFonts w:asciiTheme="minorHAnsi" w:hAnsiTheme="minorHAnsi"/>
          <w:b/>
          <w:spacing w:val="-3"/>
        </w:rPr>
      </w:pPr>
    </w:p>
    <w:p w14:paraId="2F053052" w14:textId="77777777" w:rsidR="007B4695" w:rsidRPr="00D920C9" w:rsidRDefault="007B4695" w:rsidP="0040052F">
      <w:pPr>
        <w:suppressAutoHyphens/>
        <w:spacing w:after="0" w:line="240" w:lineRule="auto"/>
        <w:jc w:val="center"/>
        <w:rPr>
          <w:rFonts w:asciiTheme="minorHAnsi" w:hAnsiTheme="minorHAnsi"/>
          <w:color w:val="808080" w:themeColor="background1" w:themeShade="80"/>
          <w:spacing w:val="-3"/>
          <w:sz w:val="24"/>
          <w:szCs w:val="24"/>
        </w:rPr>
      </w:pPr>
      <w:r w:rsidRPr="00D920C9">
        <w:rPr>
          <w:rFonts w:asciiTheme="minorHAnsi" w:hAnsiTheme="minorHAnsi"/>
          <w:color w:val="808080" w:themeColor="background1" w:themeShade="80"/>
          <w:spacing w:val="-3"/>
          <w:sz w:val="24"/>
          <w:szCs w:val="24"/>
        </w:rPr>
        <w:t>INTER-AMERICAN COMMISSION ON HUMAN RIGHTS</w:t>
      </w:r>
    </w:p>
    <w:p w14:paraId="3AB6DECB" w14:textId="77777777" w:rsidR="007B4695" w:rsidRPr="00D920C9" w:rsidRDefault="0030356C" w:rsidP="0040052F">
      <w:pPr>
        <w:suppressAutoHyphens/>
        <w:spacing w:after="0" w:line="240" w:lineRule="auto"/>
        <w:jc w:val="center"/>
        <w:rPr>
          <w:rFonts w:asciiTheme="minorHAnsi" w:hAnsiTheme="minorHAnsi"/>
          <w:spacing w:val="-3"/>
          <w:sz w:val="52"/>
          <w:szCs w:val="52"/>
        </w:rPr>
      </w:pPr>
      <w:r w:rsidRPr="00D920C9">
        <w:rPr>
          <w:rFonts w:asciiTheme="minorHAnsi" w:hAnsiTheme="minorHAnsi"/>
          <w:spacing w:val="-3"/>
          <w:sz w:val="52"/>
          <w:szCs w:val="52"/>
        </w:rPr>
        <w:t xml:space="preserve">African </w:t>
      </w:r>
      <w:r w:rsidR="00591E77" w:rsidRPr="00D920C9">
        <w:rPr>
          <w:rFonts w:asciiTheme="minorHAnsi" w:hAnsiTheme="minorHAnsi"/>
          <w:spacing w:val="-3"/>
          <w:sz w:val="52"/>
          <w:szCs w:val="52"/>
        </w:rPr>
        <w:t xml:space="preserve">Americans, </w:t>
      </w:r>
      <w:r w:rsidR="00ED6831" w:rsidRPr="00D920C9">
        <w:rPr>
          <w:rFonts w:asciiTheme="minorHAnsi" w:hAnsiTheme="minorHAnsi"/>
          <w:spacing w:val="-3"/>
          <w:sz w:val="52"/>
          <w:szCs w:val="52"/>
        </w:rPr>
        <w:t xml:space="preserve">Police Use </w:t>
      </w:r>
      <w:r w:rsidR="0057544E" w:rsidRPr="00D920C9">
        <w:rPr>
          <w:rFonts w:asciiTheme="minorHAnsi" w:hAnsiTheme="minorHAnsi"/>
          <w:spacing w:val="-3"/>
          <w:sz w:val="52"/>
          <w:szCs w:val="52"/>
        </w:rPr>
        <w:t xml:space="preserve">of </w:t>
      </w:r>
      <w:r w:rsidR="00ED6831" w:rsidRPr="00D920C9">
        <w:rPr>
          <w:rFonts w:asciiTheme="minorHAnsi" w:hAnsiTheme="minorHAnsi"/>
          <w:spacing w:val="-3"/>
          <w:sz w:val="52"/>
          <w:szCs w:val="52"/>
        </w:rPr>
        <w:t>Force</w:t>
      </w:r>
      <w:r w:rsidR="00591E77" w:rsidRPr="00D920C9">
        <w:rPr>
          <w:rFonts w:asciiTheme="minorHAnsi" w:hAnsiTheme="minorHAnsi"/>
          <w:spacing w:val="-3"/>
          <w:sz w:val="52"/>
          <w:szCs w:val="52"/>
        </w:rPr>
        <w:t xml:space="preserve">, and </w:t>
      </w:r>
      <w:r w:rsidR="00ED6831" w:rsidRPr="00D920C9">
        <w:rPr>
          <w:rFonts w:asciiTheme="minorHAnsi" w:hAnsiTheme="minorHAnsi"/>
          <w:spacing w:val="-3"/>
          <w:sz w:val="52"/>
          <w:szCs w:val="52"/>
        </w:rPr>
        <w:t xml:space="preserve">Human Rights </w:t>
      </w:r>
      <w:r w:rsidR="00591E77" w:rsidRPr="00D920C9">
        <w:rPr>
          <w:rFonts w:asciiTheme="minorHAnsi" w:hAnsiTheme="minorHAnsi"/>
          <w:spacing w:val="-3"/>
          <w:sz w:val="52"/>
          <w:szCs w:val="52"/>
        </w:rPr>
        <w:t xml:space="preserve">in the United States </w:t>
      </w:r>
    </w:p>
    <w:p w14:paraId="148DF52E" w14:textId="77777777" w:rsidR="007B4695" w:rsidRPr="00D920C9" w:rsidRDefault="007B4695" w:rsidP="0040052F">
      <w:pPr>
        <w:suppressAutoHyphens/>
        <w:spacing w:after="0" w:line="240" w:lineRule="auto"/>
        <w:jc w:val="center"/>
        <w:rPr>
          <w:rFonts w:asciiTheme="minorHAnsi" w:hAnsiTheme="minorHAnsi"/>
          <w:spacing w:val="-3"/>
        </w:rPr>
      </w:pPr>
    </w:p>
    <w:p w14:paraId="25039A9D" w14:textId="77777777" w:rsidR="003713DF" w:rsidRPr="00D920C9" w:rsidRDefault="003713DF" w:rsidP="0040052F">
      <w:pPr>
        <w:suppressAutoHyphens/>
        <w:spacing w:after="0" w:line="240" w:lineRule="auto"/>
        <w:jc w:val="center"/>
        <w:rPr>
          <w:rFonts w:asciiTheme="minorHAnsi" w:hAnsiTheme="minorHAnsi"/>
          <w:spacing w:val="-3"/>
        </w:rPr>
      </w:pPr>
    </w:p>
    <w:p w14:paraId="164F35A8" w14:textId="77777777" w:rsidR="003357D2" w:rsidRPr="00D920C9" w:rsidRDefault="003357D2" w:rsidP="0040052F">
      <w:pPr>
        <w:suppressAutoHyphens/>
        <w:spacing w:after="0" w:line="240" w:lineRule="auto"/>
        <w:jc w:val="center"/>
        <w:rPr>
          <w:rFonts w:asciiTheme="minorHAnsi" w:hAnsiTheme="minorHAnsi"/>
          <w:spacing w:val="-3"/>
        </w:rPr>
      </w:pPr>
    </w:p>
    <w:p w14:paraId="77CA1F7B" w14:textId="77777777" w:rsidR="003357D2" w:rsidRPr="00D920C9" w:rsidRDefault="003357D2" w:rsidP="0040052F">
      <w:pPr>
        <w:suppressAutoHyphens/>
        <w:spacing w:after="0" w:line="240" w:lineRule="auto"/>
        <w:jc w:val="center"/>
        <w:rPr>
          <w:rFonts w:asciiTheme="minorHAnsi" w:hAnsiTheme="minorHAnsi"/>
          <w:spacing w:val="-3"/>
        </w:rPr>
      </w:pPr>
    </w:p>
    <w:p w14:paraId="2026AD64" w14:textId="77777777" w:rsidR="003357D2" w:rsidRPr="00D920C9" w:rsidRDefault="003357D2" w:rsidP="0040052F">
      <w:pPr>
        <w:suppressAutoHyphens/>
        <w:spacing w:after="0" w:line="240" w:lineRule="auto"/>
        <w:jc w:val="center"/>
        <w:rPr>
          <w:rFonts w:asciiTheme="minorHAnsi" w:hAnsiTheme="minorHAnsi"/>
          <w:spacing w:val="-3"/>
        </w:rPr>
      </w:pPr>
    </w:p>
    <w:p w14:paraId="06D6AAFA" w14:textId="77777777" w:rsidR="003357D2" w:rsidRPr="00D920C9" w:rsidRDefault="003357D2" w:rsidP="0040052F">
      <w:pPr>
        <w:suppressAutoHyphens/>
        <w:spacing w:after="0" w:line="240" w:lineRule="auto"/>
        <w:jc w:val="center"/>
        <w:rPr>
          <w:rFonts w:asciiTheme="minorHAnsi" w:hAnsiTheme="minorHAnsi"/>
          <w:spacing w:val="-3"/>
        </w:rPr>
      </w:pPr>
    </w:p>
    <w:p w14:paraId="7469DD88" w14:textId="77777777" w:rsidR="003357D2" w:rsidRPr="00D920C9" w:rsidRDefault="003357D2" w:rsidP="0040052F">
      <w:pPr>
        <w:suppressAutoHyphens/>
        <w:spacing w:after="0" w:line="240" w:lineRule="auto"/>
        <w:jc w:val="center"/>
        <w:rPr>
          <w:rFonts w:asciiTheme="minorHAnsi" w:hAnsiTheme="minorHAnsi"/>
          <w:spacing w:val="-3"/>
        </w:rPr>
      </w:pPr>
    </w:p>
    <w:p w14:paraId="1C64AAC3" w14:textId="77777777" w:rsidR="003357D2" w:rsidRPr="00D920C9" w:rsidRDefault="003357D2" w:rsidP="0040052F">
      <w:pPr>
        <w:suppressAutoHyphens/>
        <w:spacing w:after="0" w:line="240" w:lineRule="auto"/>
        <w:jc w:val="center"/>
        <w:rPr>
          <w:rFonts w:asciiTheme="minorHAnsi" w:hAnsiTheme="minorHAnsi"/>
          <w:spacing w:val="-3"/>
        </w:rPr>
      </w:pPr>
    </w:p>
    <w:p w14:paraId="5CF7B429" w14:textId="77777777" w:rsidR="003357D2" w:rsidRPr="00D920C9" w:rsidRDefault="003357D2" w:rsidP="0040052F">
      <w:pPr>
        <w:suppressAutoHyphens/>
        <w:spacing w:after="0" w:line="240" w:lineRule="auto"/>
        <w:jc w:val="center"/>
        <w:rPr>
          <w:rFonts w:asciiTheme="minorHAnsi" w:hAnsiTheme="minorHAnsi"/>
          <w:spacing w:val="-3"/>
        </w:rPr>
      </w:pPr>
    </w:p>
    <w:p w14:paraId="25C76103" w14:textId="77777777" w:rsidR="003713DF" w:rsidRPr="00D920C9" w:rsidRDefault="003713DF" w:rsidP="0040052F">
      <w:pPr>
        <w:suppressAutoHyphens/>
        <w:spacing w:after="0" w:line="240" w:lineRule="auto"/>
        <w:jc w:val="center"/>
        <w:rPr>
          <w:rFonts w:asciiTheme="minorHAnsi" w:hAnsiTheme="minorHAnsi"/>
          <w:spacing w:val="-3"/>
        </w:rPr>
      </w:pPr>
    </w:p>
    <w:p w14:paraId="6CE17AF1" w14:textId="77777777" w:rsidR="00D838E3" w:rsidRPr="00D920C9" w:rsidRDefault="00D838E3" w:rsidP="0040052F">
      <w:pPr>
        <w:suppressAutoHyphens/>
        <w:spacing w:after="0" w:line="240" w:lineRule="auto"/>
        <w:jc w:val="center"/>
        <w:rPr>
          <w:rFonts w:asciiTheme="minorHAnsi" w:hAnsiTheme="minorHAnsi"/>
          <w:spacing w:val="-3"/>
        </w:rPr>
      </w:pPr>
    </w:p>
    <w:p w14:paraId="21365B00" w14:textId="77777777" w:rsidR="00D838E3" w:rsidRPr="00D920C9" w:rsidRDefault="00D838E3" w:rsidP="0040052F">
      <w:pPr>
        <w:suppressAutoHyphens/>
        <w:spacing w:after="0" w:line="240" w:lineRule="auto"/>
        <w:jc w:val="center"/>
        <w:rPr>
          <w:rFonts w:asciiTheme="minorHAnsi" w:hAnsiTheme="minorHAnsi"/>
          <w:spacing w:val="-3"/>
        </w:rPr>
      </w:pPr>
    </w:p>
    <w:p w14:paraId="6F6F3E73" w14:textId="77777777" w:rsidR="00E14895" w:rsidRPr="00D920C9" w:rsidRDefault="00E14895" w:rsidP="0040052F">
      <w:pPr>
        <w:suppressAutoHyphens/>
        <w:spacing w:after="0" w:line="240" w:lineRule="auto"/>
        <w:jc w:val="center"/>
        <w:rPr>
          <w:rFonts w:asciiTheme="minorHAnsi" w:hAnsiTheme="minorHAnsi"/>
          <w:spacing w:val="-3"/>
        </w:rPr>
      </w:pPr>
    </w:p>
    <w:p w14:paraId="19BBAF8D" w14:textId="77777777" w:rsidR="00E14895" w:rsidRPr="00D920C9" w:rsidRDefault="00E14895" w:rsidP="0040052F">
      <w:pPr>
        <w:suppressAutoHyphens/>
        <w:spacing w:after="0" w:line="240" w:lineRule="auto"/>
        <w:jc w:val="center"/>
        <w:rPr>
          <w:rFonts w:asciiTheme="minorHAnsi" w:hAnsiTheme="minorHAnsi"/>
          <w:spacing w:val="-3"/>
        </w:rPr>
      </w:pPr>
    </w:p>
    <w:p w14:paraId="504A6BBE" w14:textId="77777777" w:rsidR="00E14895" w:rsidRPr="00D920C9" w:rsidRDefault="00E14895" w:rsidP="0040052F">
      <w:pPr>
        <w:suppressAutoHyphens/>
        <w:spacing w:after="0" w:line="240" w:lineRule="auto"/>
        <w:jc w:val="center"/>
        <w:rPr>
          <w:rFonts w:asciiTheme="minorHAnsi" w:hAnsiTheme="minorHAnsi"/>
          <w:spacing w:val="-3"/>
        </w:rPr>
      </w:pPr>
    </w:p>
    <w:p w14:paraId="521448B7" w14:textId="77777777" w:rsidR="00E14895" w:rsidRPr="00D920C9" w:rsidRDefault="00E14895" w:rsidP="0040052F">
      <w:pPr>
        <w:suppressAutoHyphens/>
        <w:spacing w:after="0" w:line="240" w:lineRule="auto"/>
        <w:jc w:val="center"/>
        <w:rPr>
          <w:rFonts w:asciiTheme="minorHAnsi" w:hAnsiTheme="minorHAnsi"/>
          <w:spacing w:val="-3"/>
        </w:rPr>
      </w:pPr>
    </w:p>
    <w:p w14:paraId="6F367583" w14:textId="77777777" w:rsidR="00E14895" w:rsidRPr="00D920C9" w:rsidRDefault="00E14895" w:rsidP="0040052F">
      <w:pPr>
        <w:suppressAutoHyphens/>
        <w:spacing w:after="0" w:line="240" w:lineRule="auto"/>
        <w:jc w:val="center"/>
        <w:rPr>
          <w:rFonts w:asciiTheme="minorHAnsi" w:hAnsiTheme="minorHAnsi"/>
          <w:spacing w:val="-3"/>
        </w:rPr>
      </w:pPr>
    </w:p>
    <w:p w14:paraId="0AA186AC" w14:textId="77777777" w:rsidR="00E14895" w:rsidRPr="00D920C9" w:rsidRDefault="00E14895" w:rsidP="0040052F">
      <w:pPr>
        <w:suppressAutoHyphens/>
        <w:spacing w:after="0" w:line="240" w:lineRule="auto"/>
        <w:jc w:val="center"/>
        <w:rPr>
          <w:rFonts w:asciiTheme="minorHAnsi" w:hAnsiTheme="minorHAnsi"/>
          <w:spacing w:val="-3"/>
        </w:rPr>
      </w:pPr>
    </w:p>
    <w:p w14:paraId="6FEBC988" w14:textId="380BB5EC" w:rsidR="00ED6831" w:rsidRPr="00D920C9" w:rsidRDefault="00A40692" w:rsidP="0040052F">
      <w:pPr>
        <w:suppressAutoHyphens/>
        <w:spacing w:after="0" w:line="240" w:lineRule="auto"/>
        <w:jc w:val="center"/>
        <w:rPr>
          <w:rFonts w:asciiTheme="minorHAnsi" w:hAnsiTheme="minorHAnsi"/>
          <w:spacing w:val="-3"/>
          <w:szCs w:val="20"/>
        </w:rPr>
      </w:pPr>
      <w:r w:rsidRPr="00D920C9">
        <w:rPr>
          <w:rFonts w:asciiTheme="minorHAnsi" w:hAnsiTheme="minorHAnsi"/>
          <w:spacing w:val="-3"/>
          <w:szCs w:val="20"/>
        </w:rPr>
        <w:t>201</w:t>
      </w:r>
      <w:r w:rsidR="00F51BB6" w:rsidRPr="00D920C9">
        <w:rPr>
          <w:rFonts w:asciiTheme="minorHAnsi" w:hAnsiTheme="minorHAnsi"/>
          <w:spacing w:val="-3"/>
          <w:szCs w:val="20"/>
        </w:rPr>
        <w:t>8</w:t>
      </w:r>
    </w:p>
    <w:p w14:paraId="79B0DF24" w14:textId="77777777" w:rsidR="001E4747" w:rsidRPr="00D920C9" w:rsidRDefault="00E14895" w:rsidP="00E14895">
      <w:pPr>
        <w:suppressAutoHyphens/>
        <w:spacing w:after="0" w:line="240" w:lineRule="auto"/>
        <w:jc w:val="center"/>
        <w:rPr>
          <w:rFonts w:asciiTheme="minorHAnsi" w:hAnsiTheme="minorHAnsi"/>
          <w:spacing w:val="-3"/>
          <w:szCs w:val="20"/>
        </w:rPr>
        <w:sectPr w:rsidR="001E4747" w:rsidRPr="00D920C9" w:rsidSect="001E4747">
          <w:type w:val="continuous"/>
          <w:pgSz w:w="10325" w:h="14573" w:code="13"/>
          <w:pgMar w:top="1152" w:right="1152" w:bottom="1152" w:left="1296" w:header="720" w:footer="720" w:gutter="0"/>
          <w:cols w:space="708"/>
          <w:docGrid w:linePitch="360"/>
        </w:sectPr>
      </w:pPr>
      <w:r w:rsidRPr="00D920C9">
        <w:rPr>
          <w:rFonts w:asciiTheme="minorHAnsi" w:hAnsiTheme="minorHAnsi"/>
          <w:spacing w:val="-3"/>
          <w:szCs w:val="20"/>
        </w:rPr>
        <w:t>iachr.org</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D920C9" w:rsidRPr="00D920C9" w14:paraId="1555E094" w14:textId="77777777" w:rsidTr="00A0401B">
        <w:tc>
          <w:tcPr>
            <w:tcW w:w="6966" w:type="dxa"/>
            <w:shd w:val="clear" w:color="auto" w:fill="F2F2F2"/>
          </w:tcPr>
          <w:p w14:paraId="52B2A7CA" w14:textId="77777777" w:rsidR="00D920C9" w:rsidRPr="00D920C9" w:rsidRDefault="00D920C9" w:rsidP="00A0401B">
            <w:pPr>
              <w:tabs>
                <w:tab w:val="left" w:pos="360"/>
              </w:tabs>
              <w:rPr>
                <w:rFonts w:asciiTheme="minorHAnsi" w:hAnsiTheme="minorHAnsi"/>
                <w:sz w:val="18"/>
                <w:szCs w:val="18"/>
              </w:rPr>
            </w:pPr>
          </w:p>
          <w:p w14:paraId="2ADBC4D4" w14:textId="77777777" w:rsidR="00D920C9" w:rsidRPr="00D920C9" w:rsidRDefault="00D920C9" w:rsidP="00A0401B">
            <w:pPr>
              <w:tabs>
                <w:tab w:val="left" w:pos="360"/>
              </w:tabs>
              <w:jc w:val="center"/>
              <w:rPr>
                <w:rFonts w:asciiTheme="minorHAnsi" w:hAnsiTheme="minorHAnsi"/>
                <w:b/>
                <w:sz w:val="18"/>
                <w:szCs w:val="18"/>
              </w:rPr>
            </w:pPr>
            <w:r w:rsidRPr="00D920C9">
              <w:rPr>
                <w:rFonts w:asciiTheme="minorHAnsi" w:hAnsiTheme="minorHAnsi"/>
                <w:b/>
                <w:sz w:val="18"/>
                <w:szCs w:val="18"/>
              </w:rPr>
              <w:t>OAS Cataloging-in-Publication Data</w:t>
            </w:r>
          </w:p>
          <w:p w14:paraId="60AC12AC" w14:textId="77777777" w:rsidR="005C2394" w:rsidRPr="005C2394" w:rsidRDefault="005C2394" w:rsidP="005C2394">
            <w:pPr>
              <w:tabs>
                <w:tab w:val="left" w:pos="360"/>
              </w:tabs>
              <w:spacing w:line="360" w:lineRule="auto"/>
              <w:ind w:left="288" w:right="288"/>
              <w:jc w:val="both"/>
              <w:rPr>
                <w:rFonts w:asciiTheme="minorHAnsi" w:hAnsiTheme="minorHAnsi"/>
                <w:sz w:val="18"/>
                <w:szCs w:val="18"/>
              </w:rPr>
            </w:pPr>
            <w:r w:rsidRPr="005C2394">
              <w:rPr>
                <w:rFonts w:asciiTheme="minorHAnsi" w:hAnsiTheme="minorHAnsi"/>
                <w:sz w:val="18"/>
                <w:szCs w:val="18"/>
              </w:rPr>
              <w:t>Inter-American Commission on Human Rights.</w:t>
            </w:r>
          </w:p>
          <w:p w14:paraId="44553A6F" w14:textId="53C0B454" w:rsidR="005C2394" w:rsidRPr="005C2394" w:rsidRDefault="0004388D" w:rsidP="005C2394">
            <w:pPr>
              <w:tabs>
                <w:tab w:val="left" w:pos="360"/>
              </w:tabs>
              <w:spacing w:line="360" w:lineRule="auto"/>
              <w:ind w:left="288" w:right="288"/>
              <w:jc w:val="both"/>
              <w:rPr>
                <w:rFonts w:asciiTheme="minorHAnsi" w:hAnsiTheme="minorHAnsi"/>
                <w:sz w:val="18"/>
                <w:szCs w:val="18"/>
              </w:rPr>
            </w:pPr>
            <w:r>
              <w:rPr>
                <w:rFonts w:asciiTheme="minorHAnsi" w:hAnsiTheme="minorHAnsi"/>
                <w:sz w:val="18"/>
                <w:szCs w:val="18"/>
              </w:rPr>
              <w:t xml:space="preserve">         </w:t>
            </w:r>
            <w:r w:rsidR="005C2394" w:rsidRPr="005C2394">
              <w:rPr>
                <w:rFonts w:asciiTheme="minorHAnsi" w:hAnsiTheme="minorHAnsi"/>
                <w:sz w:val="18"/>
                <w:szCs w:val="18"/>
              </w:rPr>
              <w:t xml:space="preserve">African Americans, police use of force, and human rights in the United </w:t>
            </w:r>
            <w:proofErr w:type="gramStart"/>
            <w:r w:rsidR="005C2394" w:rsidRPr="005C2394">
              <w:rPr>
                <w:rFonts w:asciiTheme="minorHAnsi" w:hAnsiTheme="minorHAnsi"/>
                <w:sz w:val="18"/>
                <w:szCs w:val="18"/>
              </w:rPr>
              <w:t>States :</w:t>
            </w:r>
            <w:proofErr w:type="gramEnd"/>
            <w:r w:rsidR="005C2394" w:rsidRPr="005C2394">
              <w:rPr>
                <w:rFonts w:asciiTheme="minorHAnsi" w:hAnsiTheme="minorHAnsi"/>
                <w:sz w:val="18"/>
                <w:szCs w:val="18"/>
              </w:rPr>
              <w:t xml:space="preserve"> Approved by the Inter-American Commissio</w:t>
            </w:r>
            <w:r w:rsidR="005C2394">
              <w:rPr>
                <w:rFonts w:asciiTheme="minorHAnsi" w:hAnsiTheme="minorHAnsi"/>
                <w:sz w:val="18"/>
                <w:szCs w:val="18"/>
              </w:rPr>
              <w:t xml:space="preserve">n on Human Rights on November </w:t>
            </w:r>
            <w:r w:rsidR="003D7958">
              <w:rPr>
                <w:rFonts w:asciiTheme="minorHAnsi" w:hAnsiTheme="minorHAnsi"/>
                <w:sz w:val="18"/>
                <w:szCs w:val="18"/>
              </w:rPr>
              <w:t>26</w:t>
            </w:r>
            <w:r w:rsidR="005C2394" w:rsidRPr="005C2394">
              <w:rPr>
                <w:rFonts w:asciiTheme="minorHAnsi" w:hAnsiTheme="minorHAnsi"/>
                <w:sz w:val="18"/>
                <w:szCs w:val="18"/>
              </w:rPr>
              <w:t>, 2018.</w:t>
            </w:r>
          </w:p>
          <w:p w14:paraId="2D01FD89" w14:textId="796EFE51" w:rsidR="005C2394" w:rsidRPr="005C2394" w:rsidRDefault="005C2394" w:rsidP="005C2394">
            <w:pPr>
              <w:tabs>
                <w:tab w:val="left" w:pos="360"/>
              </w:tabs>
              <w:spacing w:line="360" w:lineRule="auto"/>
              <w:ind w:left="288" w:right="288"/>
              <w:jc w:val="both"/>
              <w:rPr>
                <w:rFonts w:asciiTheme="minorHAnsi" w:hAnsiTheme="minorHAnsi"/>
                <w:sz w:val="18"/>
                <w:szCs w:val="18"/>
              </w:rPr>
            </w:pPr>
            <w:proofErr w:type="gramStart"/>
            <w:r w:rsidRPr="005C2394">
              <w:rPr>
                <w:rFonts w:asciiTheme="minorHAnsi" w:hAnsiTheme="minorHAnsi"/>
                <w:sz w:val="18"/>
                <w:szCs w:val="18"/>
              </w:rPr>
              <w:t>p. ;</w:t>
            </w:r>
            <w:proofErr w:type="gramEnd"/>
            <w:r w:rsidRPr="005C2394">
              <w:rPr>
                <w:rFonts w:asciiTheme="minorHAnsi" w:hAnsiTheme="minorHAnsi"/>
                <w:sz w:val="18"/>
                <w:szCs w:val="18"/>
              </w:rPr>
              <w:t xml:space="preserve">  cm.  (OAS. Official records ; OEA/</w:t>
            </w:r>
            <w:proofErr w:type="spellStart"/>
            <w:r w:rsidRPr="005C2394">
              <w:rPr>
                <w:rFonts w:asciiTheme="minorHAnsi" w:hAnsiTheme="minorHAnsi"/>
                <w:sz w:val="18"/>
                <w:szCs w:val="18"/>
              </w:rPr>
              <w:t>Ser.L</w:t>
            </w:r>
            <w:proofErr w:type="spellEnd"/>
            <w:r w:rsidRPr="005C2394">
              <w:rPr>
                <w:rFonts w:asciiTheme="minorHAnsi" w:hAnsiTheme="minorHAnsi"/>
                <w:sz w:val="18"/>
                <w:szCs w:val="18"/>
              </w:rPr>
              <w:t>)</w:t>
            </w:r>
          </w:p>
          <w:p w14:paraId="406842D1" w14:textId="77777777" w:rsidR="005C2394" w:rsidRPr="005C2394" w:rsidRDefault="005C2394" w:rsidP="005C2394">
            <w:pPr>
              <w:tabs>
                <w:tab w:val="left" w:pos="360"/>
              </w:tabs>
              <w:spacing w:line="360" w:lineRule="auto"/>
              <w:ind w:left="288" w:right="288"/>
              <w:jc w:val="both"/>
              <w:rPr>
                <w:rFonts w:asciiTheme="minorHAnsi" w:hAnsiTheme="minorHAnsi"/>
                <w:sz w:val="18"/>
                <w:szCs w:val="18"/>
              </w:rPr>
            </w:pPr>
            <w:r w:rsidRPr="005C2394">
              <w:rPr>
                <w:rFonts w:asciiTheme="minorHAnsi" w:hAnsiTheme="minorHAnsi"/>
                <w:sz w:val="18"/>
                <w:szCs w:val="18"/>
              </w:rPr>
              <w:t>ISBN 978-0-8270-6823-0</w:t>
            </w:r>
          </w:p>
          <w:p w14:paraId="7AD821CA" w14:textId="77777777" w:rsidR="005C2394" w:rsidRPr="005C2394" w:rsidRDefault="005C2394" w:rsidP="005C2394">
            <w:pPr>
              <w:tabs>
                <w:tab w:val="left" w:pos="360"/>
              </w:tabs>
              <w:spacing w:line="360" w:lineRule="auto"/>
              <w:ind w:left="288" w:right="288"/>
              <w:jc w:val="both"/>
              <w:rPr>
                <w:rFonts w:asciiTheme="minorHAnsi" w:hAnsiTheme="minorHAnsi"/>
                <w:sz w:val="18"/>
                <w:szCs w:val="18"/>
              </w:rPr>
            </w:pPr>
            <w:r w:rsidRPr="005C2394">
              <w:rPr>
                <w:rFonts w:asciiTheme="minorHAnsi" w:hAnsiTheme="minorHAnsi"/>
                <w:sz w:val="18"/>
                <w:szCs w:val="18"/>
              </w:rPr>
              <w:t>1. Human rights.  2. Police misconduct--United States.  3. Race discrimination--United States.  4. African Americans--Civil rights.  5. Racism--United States.</w:t>
            </w:r>
          </w:p>
          <w:p w14:paraId="509548BB" w14:textId="77777777" w:rsidR="005C2394" w:rsidRPr="005C2394" w:rsidRDefault="005C2394" w:rsidP="005C2394">
            <w:pPr>
              <w:tabs>
                <w:tab w:val="left" w:pos="360"/>
              </w:tabs>
              <w:spacing w:line="360" w:lineRule="auto"/>
              <w:ind w:left="288" w:right="288"/>
              <w:jc w:val="both"/>
              <w:rPr>
                <w:rFonts w:asciiTheme="minorHAnsi" w:hAnsiTheme="minorHAnsi"/>
                <w:sz w:val="18"/>
                <w:szCs w:val="18"/>
              </w:rPr>
            </w:pPr>
            <w:r w:rsidRPr="005C2394">
              <w:rPr>
                <w:rFonts w:asciiTheme="minorHAnsi" w:hAnsiTheme="minorHAnsi"/>
                <w:sz w:val="18"/>
                <w:szCs w:val="18"/>
              </w:rPr>
              <w:t>I. Title.  II. Series.</w:t>
            </w:r>
          </w:p>
          <w:p w14:paraId="2F957FD5" w14:textId="6B76D30C" w:rsidR="00D920C9" w:rsidRPr="00D920C9" w:rsidRDefault="00D920C9" w:rsidP="005C2394">
            <w:pPr>
              <w:tabs>
                <w:tab w:val="left" w:pos="360"/>
              </w:tabs>
              <w:spacing w:line="360" w:lineRule="auto"/>
              <w:ind w:left="288" w:right="288"/>
              <w:jc w:val="right"/>
              <w:rPr>
                <w:rFonts w:asciiTheme="minorHAnsi" w:hAnsiTheme="minorHAnsi"/>
                <w:b/>
                <w:sz w:val="20"/>
              </w:rPr>
            </w:pPr>
            <w:r w:rsidRPr="00D920C9">
              <w:rPr>
                <w:rFonts w:asciiTheme="minorHAnsi" w:hAnsiTheme="minorHAnsi"/>
                <w:sz w:val="18"/>
                <w:szCs w:val="18"/>
              </w:rPr>
              <w:t>OEA/</w:t>
            </w:r>
            <w:proofErr w:type="spellStart"/>
            <w:r w:rsidRPr="00D920C9">
              <w:rPr>
                <w:rFonts w:asciiTheme="minorHAnsi" w:hAnsiTheme="minorHAnsi"/>
                <w:sz w:val="18"/>
                <w:szCs w:val="18"/>
              </w:rPr>
              <w:t>Ser.L</w:t>
            </w:r>
            <w:proofErr w:type="spellEnd"/>
            <w:r w:rsidRPr="00D920C9">
              <w:rPr>
                <w:rFonts w:asciiTheme="minorHAnsi" w:hAnsiTheme="minorHAnsi"/>
                <w:sz w:val="18"/>
                <w:szCs w:val="18"/>
              </w:rPr>
              <w:t>/V/II. Doc.</w:t>
            </w:r>
            <w:r w:rsidR="00BC143C">
              <w:rPr>
                <w:rFonts w:asciiTheme="minorHAnsi" w:hAnsiTheme="minorHAnsi"/>
                <w:sz w:val="18"/>
                <w:szCs w:val="18"/>
              </w:rPr>
              <w:t>156</w:t>
            </w:r>
            <w:r w:rsidRPr="00D920C9">
              <w:rPr>
                <w:rFonts w:asciiTheme="minorHAnsi" w:hAnsiTheme="minorHAnsi"/>
                <w:sz w:val="18"/>
                <w:szCs w:val="18"/>
              </w:rPr>
              <w:t xml:space="preserve">/18                                                   </w:t>
            </w:r>
          </w:p>
        </w:tc>
      </w:tr>
    </w:tbl>
    <w:p w14:paraId="6C7307FE" w14:textId="77777777" w:rsidR="00D920C9" w:rsidRPr="00D920C9" w:rsidRDefault="00D920C9" w:rsidP="00E14895">
      <w:pPr>
        <w:suppressAutoHyphens/>
        <w:spacing w:after="0" w:line="240" w:lineRule="auto"/>
        <w:jc w:val="center"/>
        <w:rPr>
          <w:rFonts w:asciiTheme="minorHAnsi" w:hAnsiTheme="minorHAnsi"/>
          <w:spacing w:val="-3"/>
          <w:sz w:val="20"/>
          <w:szCs w:val="20"/>
        </w:rPr>
        <w:sectPr w:rsidR="00D920C9" w:rsidRPr="00D920C9" w:rsidSect="001E4747">
          <w:pgSz w:w="10080" w:h="14400" w:code="13"/>
          <w:pgMar w:top="1152" w:right="1152" w:bottom="1152" w:left="1296" w:header="720" w:footer="720" w:gutter="0"/>
          <w:cols w:space="708"/>
          <w:vAlign w:val="center"/>
          <w:docGrid w:linePitch="360"/>
        </w:sectPr>
      </w:pPr>
    </w:p>
    <w:p w14:paraId="0BCB20C3" w14:textId="77777777" w:rsidR="00D920C9" w:rsidRPr="00D920C9" w:rsidRDefault="00D920C9" w:rsidP="00D920C9">
      <w:pPr>
        <w:spacing w:before="960" w:after="640"/>
        <w:jc w:val="center"/>
        <w:rPr>
          <w:rFonts w:asciiTheme="minorHAnsi" w:hAnsiTheme="minorHAnsi"/>
          <w:b/>
          <w:sz w:val="28"/>
          <w:szCs w:val="28"/>
        </w:rPr>
      </w:pPr>
      <w:r w:rsidRPr="00D920C9">
        <w:rPr>
          <w:rFonts w:asciiTheme="minorHAnsi" w:hAnsiTheme="minorHAnsi"/>
          <w:b/>
          <w:sz w:val="28"/>
          <w:szCs w:val="28"/>
        </w:rPr>
        <w:lastRenderedPageBreak/>
        <w:t>INTER-AMERICAN COMMISSION ON HUMAN RIGHTS</w:t>
      </w:r>
    </w:p>
    <w:p w14:paraId="0AB49EE7" w14:textId="77777777" w:rsidR="00D920C9" w:rsidRPr="00D920C9" w:rsidRDefault="00D920C9" w:rsidP="00D920C9">
      <w:pPr>
        <w:pBdr>
          <w:bottom w:val="single" w:sz="4" w:space="1" w:color="auto"/>
        </w:pBdr>
        <w:spacing w:after="240"/>
        <w:rPr>
          <w:rFonts w:asciiTheme="minorHAnsi" w:hAnsiTheme="minorHAnsi"/>
          <w:color w:val="4A442A" w:themeColor="background2" w:themeShade="40"/>
          <w:sz w:val="28"/>
          <w:szCs w:val="28"/>
          <w:lang w:val="es-US"/>
        </w:rPr>
      </w:pPr>
      <w:proofErr w:type="spellStart"/>
      <w:r w:rsidRPr="00D920C9">
        <w:rPr>
          <w:rFonts w:asciiTheme="minorHAnsi" w:hAnsiTheme="minorHAnsi"/>
          <w:color w:val="4A442A" w:themeColor="background2" w:themeShade="40"/>
          <w:sz w:val="28"/>
          <w:szCs w:val="28"/>
          <w:lang w:val="es-US"/>
        </w:rPr>
        <w:t>Members</w:t>
      </w:r>
      <w:proofErr w:type="spellEnd"/>
    </w:p>
    <w:p w14:paraId="4E40B106" w14:textId="77777777" w:rsidR="00D920C9" w:rsidRPr="009639C5" w:rsidRDefault="00D920C9" w:rsidP="00D920C9">
      <w:pPr>
        <w:spacing w:after="0" w:line="240" w:lineRule="auto"/>
        <w:rPr>
          <w:rFonts w:asciiTheme="minorHAnsi" w:hAnsiTheme="minorHAnsi"/>
          <w:sz w:val="24"/>
          <w:lang w:val="es-US"/>
        </w:rPr>
      </w:pPr>
      <w:r w:rsidRPr="009639C5">
        <w:rPr>
          <w:rFonts w:asciiTheme="minorHAnsi" w:hAnsiTheme="minorHAnsi"/>
          <w:sz w:val="24"/>
          <w:lang w:val="es-US"/>
        </w:rPr>
        <w:t xml:space="preserve">Margarette </w:t>
      </w:r>
      <w:proofErr w:type="spellStart"/>
      <w:r w:rsidRPr="009639C5">
        <w:rPr>
          <w:rFonts w:asciiTheme="minorHAnsi" w:hAnsiTheme="minorHAnsi"/>
          <w:sz w:val="24"/>
          <w:lang w:val="es-US"/>
        </w:rPr>
        <w:t>May</w:t>
      </w:r>
      <w:proofErr w:type="spellEnd"/>
      <w:r w:rsidRPr="009639C5">
        <w:rPr>
          <w:rFonts w:asciiTheme="minorHAnsi" w:hAnsiTheme="minorHAnsi"/>
          <w:sz w:val="24"/>
          <w:lang w:val="es-US"/>
        </w:rPr>
        <w:t xml:space="preserve"> Macaulay </w:t>
      </w:r>
    </w:p>
    <w:p w14:paraId="22D41A5C" w14:textId="77777777" w:rsidR="00D920C9" w:rsidRPr="009639C5" w:rsidRDefault="00D920C9" w:rsidP="00D920C9">
      <w:pPr>
        <w:spacing w:after="0" w:line="240" w:lineRule="auto"/>
        <w:rPr>
          <w:rFonts w:asciiTheme="minorHAnsi" w:hAnsiTheme="minorHAnsi"/>
          <w:sz w:val="24"/>
          <w:lang w:val="es-US"/>
        </w:rPr>
      </w:pPr>
    </w:p>
    <w:p w14:paraId="3E03F378" w14:textId="77777777" w:rsidR="00D920C9" w:rsidRPr="009639C5" w:rsidRDefault="00D920C9" w:rsidP="00D920C9">
      <w:pPr>
        <w:spacing w:after="0" w:line="240" w:lineRule="auto"/>
        <w:rPr>
          <w:rFonts w:asciiTheme="minorHAnsi" w:hAnsiTheme="minorHAnsi"/>
          <w:sz w:val="24"/>
          <w:lang w:val="es-US"/>
        </w:rPr>
      </w:pPr>
      <w:r w:rsidRPr="009639C5">
        <w:rPr>
          <w:rFonts w:asciiTheme="minorHAnsi" w:hAnsiTheme="minorHAnsi"/>
          <w:sz w:val="24"/>
          <w:lang w:val="es-US"/>
        </w:rPr>
        <w:t xml:space="preserve">Esmeralda Arosemena de </w:t>
      </w:r>
      <w:proofErr w:type="spellStart"/>
      <w:r w:rsidRPr="009639C5">
        <w:rPr>
          <w:rFonts w:asciiTheme="minorHAnsi" w:hAnsiTheme="minorHAnsi"/>
          <w:sz w:val="24"/>
          <w:lang w:val="es-US"/>
        </w:rPr>
        <w:t>Troitiño</w:t>
      </w:r>
      <w:proofErr w:type="spellEnd"/>
    </w:p>
    <w:p w14:paraId="38A01757" w14:textId="77777777" w:rsidR="00D920C9" w:rsidRPr="009639C5" w:rsidRDefault="00D920C9" w:rsidP="00D920C9">
      <w:pPr>
        <w:spacing w:after="0" w:line="240" w:lineRule="auto"/>
        <w:rPr>
          <w:rFonts w:asciiTheme="minorHAnsi" w:hAnsiTheme="minorHAnsi"/>
          <w:sz w:val="24"/>
          <w:lang w:val="es-US"/>
        </w:rPr>
      </w:pPr>
    </w:p>
    <w:p w14:paraId="70AC28CA" w14:textId="77777777" w:rsidR="00D920C9" w:rsidRPr="009639C5" w:rsidRDefault="00D920C9" w:rsidP="00D920C9">
      <w:pPr>
        <w:spacing w:after="0" w:line="240" w:lineRule="auto"/>
        <w:rPr>
          <w:rFonts w:asciiTheme="minorHAnsi" w:hAnsiTheme="minorHAnsi"/>
          <w:sz w:val="24"/>
          <w:lang w:val="es-US"/>
        </w:rPr>
      </w:pPr>
      <w:r w:rsidRPr="009639C5">
        <w:rPr>
          <w:rFonts w:asciiTheme="minorHAnsi" w:hAnsiTheme="minorHAnsi"/>
          <w:sz w:val="24"/>
          <w:lang w:val="es-US"/>
        </w:rPr>
        <w:t>Francisco José Eguiguren Praeli</w:t>
      </w:r>
    </w:p>
    <w:p w14:paraId="17A5B277" w14:textId="77777777" w:rsidR="00D920C9" w:rsidRPr="009639C5" w:rsidRDefault="00D920C9" w:rsidP="00D920C9">
      <w:pPr>
        <w:spacing w:after="0" w:line="240" w:lineRule="auto"/>
        <w:rPr>
          <w:rFonts w:asciiTheme="minorHAnsi" w:hAnsiTheme="minorHAnsi"/>
          <w:sz w:val="24"/>
          <w:lang w:val="es-US"/>
        </w:rPr>
      </w:pPr>
    </w:p>
    <w:p w14:paraId="4ABC340E" w14:textId="77777777" w:rsidR="00D920C9" w:rsidRPr="009639C5" w:rsidRDefault="00D920C9" w:rsidP="00D920C9">
      <w:pPr>
        <w:spacing w:after="0" w:line="240" w:lineRule="auto"/>
        <w:rPr>
          <w:rFonts w:asciiTheme="minorHAnsi" w:hAnsiTheme="minorHAnsi"/>
          <w:sz w:val="24"/>
          <w:lang w:val="es-US"/>
        </w:rPr>
      </w:pPr>
      <w:r w:rsidRPr="009639C5">
        <w:rPr>
          <w:rFonts w:asciiTheme="minorHAnsi" w:hAnsiTheme="minorHAnsi"/>
          <w:sz w:val="24"/>
          <w:lang w:val="es-US"/>
        </w:rPr>
        <w:t>Luis Ernesto Vargas Silva</w:t>
      </w:r>
    </w:p>
    <w:p w14:paraId="3125D919" w14:textId="77777777" w:rsidR="00D920C9" w:rsidRPr="009639C5" w:rsidRDefault="00D920C9" w:rsidP="00D920C9">
      <w:pPr>
        <w:spacing w:after="0" w:line="240" w:lineRule="auto"/>
        <w:rPr>
          <w:rFonts w:asciiTheme="minorHAnsi" w:hAnsiTheme="minorHAnsi"/>
          <w:sz w:val="24"/>
          <w:lang w:val="es-US"/>
        </w:rPr>
      </w:pPr>
    </w:p>
    <w:p w14:paraId="14067006" w14:textId="77777777" w:rsidR="00D920C9" w:rsidRPr="009639C5" w:rsidRDefault="00D920C9" w:rsidP="00D920C9">
      <w:pPr>
        <w:spacing w:after="0" w:line="240" w:lineRule="auto"/>
        <w:rPr>
          <w:rFonts w:asciiTheme="minorHAnsi" w:hAnsiTheme="minorHAnsi"/>
          <w:sz w:val="24"/>
          <w:lang w:val="es-US"/>
        </w:rPr>
      </w:pPr>
      <w:r w:rsidRPr="009639C5">
        <w:rPr>
          <w:rFonts w:asciiTheme="minorHAnsi" w:hAnsiTheme="minorHAnsi"/>
          <w:sz w:val="24"/>
          <w:lang w:val="es-US"/>
        </w:rPr>
        <w:t>Joel Hernández García</w:t>
      </w:r>
    </w:p>
    <w:p w14:paraId="560444C9" w14:textId="77777777" w:rsidR="00D920C9" w:rsidRPr="009639C5" w:rsidRDefault="00D920C9" w:rsidP="00D920C9">
      <w:pPr>
        <w:spacing w:after="0" w:line="240" w:lineRule="auto"/>
        <w:rPr>
          <w:rFonts w:asciiTheme="minorHAnsi" w:hAnsiTheme="minorHAnsi"/>
          <w:sz w:val="24"/>
          <w:lang w:val="es-US"/>
        </w:rPr>
      </w:pPr>
    </w:p>
    <w:p w14:paraId="7CCFAC1B" w14:textId="77777777" w:rsidR="00D920C9" w:rsidRPr="009639C5" w:rsidRDefault="00D920C9" w:rsidP="00D920C9">
      <w:pPr>
        <w:spacing w:after="0" w:line="240" w:lineRule="auto"/>
        <w:rPr>
          <w:rFonts w:asciiTheme="minorHAnsi" w:hAnsiTheme="minorHAnsi"/>
          <w:sz w:val="24"/>
          <w:lang w:val="es-US"/>
        </w:rPr>
      </w:pPr>
      <w:r w:rsidRPr="009639C5">
        <w:rPr>
          <w:rFonts w:asciiTheme="minorHAnsi" w:hAnsiTheme="minorHAnsi"/>
          <w:sz w:val="24"/>
          <w:lang w:val="es-US"/>
        </w:rPr>
        <w:t>Antonia Urrejola</w:t>
      </w:r>
    </w:p>
    <w:p w14:paraId="460A86E3" w14:textId="77777777" w:rsidR="00D920C9" w:rsidRPr="009639C5" w:rsidRDefault="00D920C9" w:rsidP="00D920C9">
      <w:pPr>
        <w:spacing w:after="0" w:line="240" w:lineRule="auto"/>
        <w:rPr>
          <w:rFonts w:asciiTheme="minorHAnsi" w:hAnsiTheme="minorHAnsi"/>
          <w:sz w:val="24"/>
          <w:lang w:val="es-US"/>
        </w:rPr>
      </w:pPr>
    </w:p>
    <w:p w14:paraId="1CE58EB4" w14:textId="77777777" w:rsidR="00D920C9" w:rsidRPr="009639C5" w:rsidRDefault="00D920C9" w:rsidP="00D920C9">
      <w:pPr>
        <w:spacing w:after="0" w:line="240" w:lineRule="auto"/>
        <w:rPr>
          <w:rFonts w:asciiTheme="minorHAnsi" w:hAnsiTheme="minorHAnsi"/>
          <w:sz w:val="24"/>
          <w:lang w:val="es-US"/>
        </w:rPr>
      </w:pPr>
      <w:proofErr w:type="spellStart"/>
      <w:r w:rsidRPr="009639C5">
        <w:rPr>
          <w:rFonts w:asciiTheme="minorHAnsi" w:hAnsiTheme="minorHAnsi"/>
          <w:sz w:val="24"/>
          <w:lang w:val="es-US"/>
        </w:rPr>
        <w:t>Flávia</w:t>
      </w:r>
      <w:proofErr w:type="spellEnd"/>
      <w:r w:rsidRPr="009639C5">
        <w:rPr>
          <w:rFonts w:asciiTheme="minorHAnsi" w:hAnsiTheme="minorHAnsi"/>
          <w:sz w:val="24"/>
          <w:lang w:val="es-US"/>
        </w:rPr>
        <w:t xml:space="preserve"> </w:t>
      </w:r>
      <w:proofErr w:type="spellStart"/>
      <w:r w:rsidRPr="009639C5">
        <w:rPr>
          <w:rFonts w:asciiTheme="minorHAnsi" w:hAnsiTheme="minorHAnsi"/>
          <w:sz w:val="24"/>
          <w:lang w:val="es-US"/>
        </w:rPr>
        <w:t>Piovesan</w:t>
      </w:r>
      <w:proofErr w:type="spellEnd"/>
    </w:p>
    <w:p w14:paraId="2DA059DF" w14:textId="77777777" w:rsidR="00D920C9" w:rsidRPr="00D920C9" w:rsidRDefault="00D920C9" w:rsidP="00D920C9">
      <w:pPr>
        <w:spacing w:after="0" w:line="240" w:lineRule="auto"/>
        <w:rPr>
          <w:rFonts w:asciiTheme="minorHAnsi" w:hAnsiTheme="minorHAnsi"/>
          <w:lang w:val="es-US"/>
        </w:rPr>
      </w:pPr>
    </w:p>
    <w:p w14:paraId="7BA4889D" w14:textId="77777777" w:rsidR="00D920C9" w:rsidRPr="00D920C9" w:rsidRDefault="00D920C9" w:rsidP="00D920C9">
      <w:pPr>
        <w:spacing w:after="0" w:line="240" w:lineRule="auto"/>
        <w:rPr>
          <w:rFonts w:asciiTheme="minorHAnsi" w:hAnsiTheme="minorHAnsi"/>
          <w:lang w:val="es-US"/>
        </w:rPr>
      </w:pPr>
    </w:p>
    <w:p w14:paraId="7219EF9C" w14:textId="77777777" w:rsidR="00D920C9" w:rsidRPr="00D920C9" w:rsidRDefault="00D920C9" w:rsidP="00D920C9">
      <w:pPr>
        <w:pBdr>
          <w:bottom w:val="single" w:sz="4" w:space="1" w:color="auto"/>
        </w:pBdr>
        <w:spacing w:after="0" w:line="240" w:lineRule="auto"/>
        <w:rPr>
          <w:rFonts w:asciiTheme="minorHAnsi" w:hAnsiTheme="minorHAnsi"/>
          <w:color w:val="4A442A" w:themeColor="background2" w:themeShade="40"/>
          <w:sz w:val="28"/>
        </w:rPr>
      </w:pPr>
      <w:r w:rsidRPr="00D920C9">
        <w:rPr>
          <w:rFonts w:asciiTheme="minorHAnsi" w:hAnsiTheme="minorHAnsi"/>
          <w:color w:val="4A442A" w:themeColor="background2" w:themeShade="40"/>
          <w:sz w:val="28"/>
        </w:rPr>
        <w:t>Executive Secretary</w:t>
      </w:r>
    </w:p>
    <w:p w14:paraId="680A282F" w14:textId="77777777" w:rsidR="00D920C9" w:rsidRPr="00D920C9" w:rsidRDefault="00D920C9" w:rsidP="00D920C9">
      <w:pPr>
        <w:spacing w:after="0" w:line="240" w:lineRule="auto"/>
        <w:rPr>
          <w:rFonts w:asciiTheme="minorHAnsi" w:hAnsiTheme="minorHAnsi"/>
          <w:b/>
        </w:rPr>
      </w:pPr>
    </w:p>
    <w:p w14:paraId="68B47E4B" w14:textId="77777777" w:rsidR="00D920C9" w:rsidRPr="00D920C9" w:rsidRDefault="00D920C9" w:rsidP="00D920C9">
      <w:pPr>
        <w:spacing w:after="0" w:line="240" w:lineRule="auto"/>
        <w:rPr>
          <w:rFonts w:asciiTheme="minorHAnsi" w:hAnsiTheme="minorHAnsi"/>
          <w:b/>
        </w:rPr>
      </w:pPr>
      <w:r w:rsidRPr="009639C5">
        <w:rPr>
          <w:rFonts w:asciiTheme="minorHAnsi" w:hAnsiTheme="minorHAnsi"/>
          <w:sz w:val="24"/>
        </w:rPr>
        <w:t xml:space="preserve">Paulo </w:t>
      </w:r>
      <w:proofErr w:type="spellStart"/>
      <w:r w:rsidRPr="009639C5">
        <w:rPr>
          <w:rFonts w:asciiTheme="minorHAnsi" w:hAnsiTheme="minorHAnsi"/>
          <w:sz w:val="24"/>
        </w:rPr>
        <w:t>Abrão</w:t>
      </w:r>
      <w:proofErr w:type="spellEnd"/>
      <w:r w:rsidRPr="009639C5">
        <w:rPr>
          <w:rFonts w:asciiTheme="minorHAnsi" w:hAnsiTheme="minorHAnsi"/>
          <w:sz w:val="24"/>
        </w:rPr>
        <w:br/>
      </w:r>
    </w:p>
    <w:p w14:paraId="485FADD2" w14:textId="77777777" w:rsidR="00D920C9" w:rsidRPr="00D920C9" w:rsidRDefault="00D920C9" w:rsidP="00D920C9">
      <w:pPr>
        <w:pBdr>
          <w:bottom w:val="single" w:sz="4" w:space="1" w:color="auto"/>
        </w:pBdr>
        <w:spacing w:after="0" w:line="240" w:lineRule="auto"/>
        <w:rPr>
          <w:rFonts w:asciiTheme="minorHAnsi" w:hAnsiTheme="minorHAnsi"/>
          <w:color w:val="4A442A" w:themeColor="background2" w:themeShade="40"/>
          <w:sz w:val="26"/>
          <w:szCs w:val="26"/>
        </w:rPr>
      </w:pPr>
      <w:r w:rsidRPr="00D920C9">
        <w:rPr>
          <w:rFonts w:asciiTheme="minorHAnsi" w:hAnsiTheme="minorHAnsi"/>
          <w:color w:val="4A442A" w:themeColor="background2" w:themeShade="40"/>
          <w:sz w:val="26"/>
          <w:szCs w:val="26"/>
        </w:rPr>
        <w:t>Assistant Executive Secretary for Monitoring, Promotion and Technical Cooperation</w:t>
      </w:r>
    </w:p>
    <w:p w14:paraId="199C3F23" w14:textId="77777777" w:rsidR="00D920C9" w:rsidRPr="00D920C9" w:rsidRDefault="00D920C9" w:rsidP="00D920C9">
      <w:pPr>
        <w:spacing w:after="0" w:line="240" w:lineRule="auto"/>
        <w:rPr>
          <w:rFonts w:asciiTheme="minorHAnsi" w:hAnsiTheme="minorHAnsi"/>
          <w:b/>
        </w:rPr>
      </w:pPr>
    </w:p>
    <w:p w14:paraId="1A2EE022" w14:textId="77777777" w:rsidR="00D920C9" w:rsidRPr="009639C5" w:rsidRDefault="00D920C9" w:rsidP="00D920C9">
      <w:pPr>
        <w:spacing w:after="0" w:line="240" w:lineRule="auto"/>
        <w:rPr>
          <w:rFonts w:asciiTheme="minorHAnsi" w:hAnsiTheme="minorHAnsi"/>
          <w:sz w:val="32"/>
          <w:szCs w:val="28"/>
        </w:rPr>
      </w:pPr>
      <w:r w:rsidRPr="009639C5">
        <w:rPr>
          <w:rFonts w:asciiTheme="minorHAnsi" w:hAnsiTheme="minorHAnsi"/>
          <w:sz w:val="24"/>
        </w:rPr>
        <w:t>María Claudia Pulido</w:t>
      </w:r>
    </w:p>
    <w:p w14:paraId="13593798" w14:textId="77777777" w:rsidR="00D920C9" w:rsidRPr="00D920C9" w:rsidRDefault="00D920C9" w:rsidP="00D920C9">
      <w:pPr>
        <w:spacing w:after="0" w:line="240" w:lineRule="auto"/>
        <w:rPr>
          <w:rFonts w:asciiTheme="minorHAnsi" w:hAnsiTheme="minorHAnsi"/>
          <w:sz w:val="20"/>
          <w:szCs w:val="20"/>
        </w:rPr>
      </w:pPr>
    </w:p>
    <w:p w14:paraId="60B68162" w14:textId="77777777" w:rsidR="00D920C9" w:rsidRPr="00D920C9" w:rsidRDefault="00D920C9" w:rsidP="00D920C9">
      <w:pPr>
        <w:pBdr>
          <w:bottom w:val="single" w:sz="4" w:space="1" w:color="auto"/>
        </w:pBdr>
        <w:spacing w:after="0" w:line="240" w:lineRule="auto"/>
        <w:rPr>
          <w:rFonts w:asciiTheme="minorHAnsi" w:hAnsiTheme="minorHAnsi"/>
          <w:color w:val="4A442A" w:themeColor="background2" w:themeShade="40"/>
          <w:sz w:val="26"/>
          <w:szCs w:val="26"/>
        </w:rPr>
      </w:pPr>
      <w:r w:rsidRPr="00D920C9">
        <w:rPr>
          <w:rFonts w:asciiTheme="minorHAnsi" w:hAnsiTheme="minorHAnsi"/>
          <w:color w:val="4A442A" w:themeColor="background2" w:themeShade="40"/>
          <w:sz w:val="26"/>
          <w:szCs w:val="26"/>
        </w:rPr>
        <w:t>Chief of Staff of the Executive Secretariat of the IACHR</w:t>
      </w:r>
    </w:p>
    <w:p w14:paraId="0788B982" w14:textId="77777777" w:rsidR="00D920C9" w:rsidRDefault="00D920C9" w:rsidP="00D920C9">
      <w:pPr>
        <w:spacing w:after="0" w:line="240" w:lineRule="auto"/>
        <w:rPr>
          <w:rFonts w:asciiTheme="minorHAnsi" w:hAnsiTheme="minorHAnsi"/>
        </w:rPr>
      </w:pPr>
    </w:p>
    <w:p w14:paraId="385ABB2B" w14:textId="548E6B29" w:rsidR="00D920C9" w:rsidRPr="00D920C9" w:rsidRDefault="00D920C9" w:rsidP="00D920C9">
      <w:pPr>
        <w:spacing w:after="0" w:line="240" w:lineRule="auto"/>
        <w:rPr>
          <w:rFonts w:asciiTheme="minorHAnsi" w:hAnsiTheme="minorHAnsi"/>
          <w:spacing w:val="-3"/>
          <w:sz w:val="20"/>
          <w:szCs w:val="20"/>
        </w:rPr>
        <w:sectPr w:rsidR="00D920C9" w:rsidRPr="00D920C9" w:rsidSect="001E4747">
          <w:pgSz w:w="10080" w:h="14400" w:code="13"/>
          <w:pgMar w:top="1152" w:right="1152" w:bottom="1152" w:left="1296" w:header="720" w:footer="720" w:gutter="0"/>
          <w:cols w:space="708"/>
          <w:vAlign w:val="center"/>
          <w:docGrid w:linePitch="360"/>
        </w:sectPr>
      </w:pPr>
      <w:r w:rsidRPr="009639C5">
        <w:rPr>
          <w:rFonts w:asciiTheme="minorHAnsi" w:hAnsiTheme="minorHAnsi"/>
          <w:sz w:val="24"/>
        </w:rPr>
        <w:t>Marisol Blanchard Vera</w:t>
      </w:r>
      <w:r w:rsidRPr="009639C5">
        <w:rPr>
          <w:rFonts w:asciiTheme="minorHAnsi" w:hAnsiTheme="minorHAnsi"/>
          <w:sz w:val="24"/>
        </w:rPr>
        <w:br/>
      </w:r>
    </w:p>
    <w:p w14:paraId="0E21B5D2" w14:textId="52E7A1D2" w:rsidR="00E14895" w:rsidRPr="00D920C9" w:rsidRDefault="001E4747" w:rsidP="00E14895">
      <w:pPr>
        <w:suppressAutoHyphens/>
        <w:spacing w:after="0" w:line="240" w:lineRule="auto"/>
        <w:jc w:val="center"/>
        <w:rPr>
          <w:rFonts w:asciiTheme="minorHAnsi" w:hAnsiTheme="minorHAnsi"/>
          <w:spacing w:val="-3"/>
          <w:sz w:val="20"/>
          <w:szCs w:val="20"/>
        </w:rPr>
        <w:sectPr w:rsidR="00E14895" w:rsidRPr="00D920C9" w:rsidSect="001E4747">
          <w:pgSz w:w="10080" w:h="14400" w:code="13"/>
          <w:pgMar w:top="1152" w:right="1152" w:bottom="1152" w:left="1296" w:header="720" w:footer="720" w:gutter="0"/>
          <w:cols w:space="708"/>
          <w:vAlign w:val="center"/>
          <w:docGrid w:linePitch="360"/>
        </w:sectPr>
      </w:pPr>
      <w:r w:rsidRPr="00D920C9">
        <w:rPr>
          <w:rFonts w:asciiTheme="minorHAnsi" w:hAnsiTheme="minorHAnsi"/>
          <w:spacing w:val="-3"/>
          <w:sz w:val="20"/>
          <w:szCs w:val="20"/>
        </w:rPr>
        <w:lastRenderedPageBreak/>
        <w:t xml:space="preserve">Approved by the Inter-American Commission on Human Rights on </w:t>
      </w:r>
      <w:r w:rsidR="009639C5">
        <w:rPr>
          <w:rFonts w:asciiTheme="minorHAnsi" w:hAnsiTheme="minorHAnsi"/>
          <w:spacing w:val="-3"/>
          <w:sz w:val="20"/>
          <w:szCs w:val="20"/>
        </w:rPr>
        <w:t>November</w:t>
      </w:r>
      <w:r w:rsidRPr="00D920C9">
        <w:rPr>
          <w:rFonts w:asciiTheme="minorHAnsi" w:hAnsiTheme="minorHAnsi"/>
          <w:spacing w:val="-3"/>
          <w:sz w:val="20"/>
          <w:szCs w:val="20"/>
        </w:rPr>
        <w:t xml:space="preserve"> </w:t>
      </w:r>
      <w:r w:rsidR="003D7958">
        <w:rPr>
          <w:rFonts w:asciiTheme="minorHAnsi" w:hAnsiTheme="minorHAnsi"/>
          <w:spacing w:val="-3"/>
          <w:sz w:val="20"/>
          <w:szCs w:val="20"/>
        </w:rPr>
        <w:t>26</w:t>
      </w:r>
      <w:r w:rsidRPr="00D920C9">
        <w:rPr>
          <w:rFonts w:asciiTheme="minorHAnsi" w:hAnsiTheme="minorHAnsi"/>
          <w:spacing w:val="-3"/>
          <w:sz w:val="20"/>
          <w:szCs w:val="20"/>
        </w:rPr>
        <w:t>, 2018</w:t>
      </w:r>
    </w:p>
    <w:p w14:paraId="0302DDE4" w14:textId="41B9C0AE" w:rsidR="004D6DE1" w:rsidRPr="00D920C9" w:rsidRDefault="00ED6831" w:rsidP="00C544C3">
      <w:pPr>
        <w:suppressAutoHyphens/>
        <w:spacing w:before="960" w:after="640" w:line="240" w:lineRule="auto"/>
        <w:rPr>
          <w:rFonts w:asciiTheme="minorHAnsi" w:hAnsiTheme="minorHAnsi"/>
          <w:b/>
          <w:color w:val="4A442A" w:themeColor="background2" w:themeShade="40"/>
          <w:spacing w:val="-3"/>
          <w:sz w:val="32"/>
          <w:szCs w:val="20"/>
        </w:rPr>
      </w:pPr>
      <w:r w:rsidRPr="00D920C9">
        <w:rPr>
          <w:rFonts w:asciiTheme="minorHAnsi" w:hAnsiTheme="minorHAnsi"/>
          <w:b/>
          <w:color w:val="4A442A" w:themeColor="background2" w:themeShade="40"/>
          <w:spacing w:val="-3"/>
          <w:sz w:val="32"/>
          <w:szCs w:val="20"/>
        </w:rPr>
        <w:lastRenderedPageBreak/>
        <w:t>TABLE OF CONTENTS</w:t>
      </w:r>
    </w:p>
    <w:p w14:paraId="6233AB9B" w14:textId="77777777" w:rsidR="00C544C3" w:rsidRPr="0061711E" w:rsidRDefault="00C544C3" w:rsidP="00141874">
      <w:pPr>
        <w:pStyle w:val="TOC1"/>
        <w:rPr>
          <w:rFonts w:cstheme="minorBidi"/>
          <w:noProof/>
          <w:lang w:val="en-US"/>
        </w:rPr>
      </w:pPr>
      <w:r w:rsidRPr="0061711E">
        <w:rPr>
          <w:spacing w:val="-3"/>
        </w:rPr>
        <w:fldChar w:fldCharType="begin"/>
      </w:r>
      <w:r w:rsidRPr="0061711E">
        <w:rPr>
          <w:spacing w:val="-3"/>
        </w:rPr>
        <w:instrText xml:space="preserve"> TOC \o "1-4" \h \z \u </w:instrText>
      </w:r>
      <w:r w:rsidRPr="0061711E">
        <w:rPr>
          <w:spacing w:val="-3"/>
        </w:rPr>
        <w:fldChar w:fldCharType="separate"/>
      </w:r>
      <w:hyperlink w:anchor="_Toc517687900" w:history="1">
        <w:r w:rsidRPr="0061711E">
          <w:rPr>
            <w:rStyle w:val="Hyperlink"/>
            <w:noProof/>
            <w:sz w:val="22"/>
            <w:szCs w:val="22"/>
          </w:rPr>
          <w:t>EXECUTIVE SUMMARY</w:t>
        </w:r>
        <w:r w:rsidRPr="0061711E">
          <w:rPr>
            <w:noProof/>
            <w:webHidden/>
          </w:rPr>
          <w:tab/>
        </w:r>
        <w:r w:rsidRPr="0061711E">
          <w:rPr>
            <w:noProof/>
            <w:webHidden/>
          </w:rPr>
          <w:fldChar w:fldCharType="begin"/>
        </w:r>
        <w:r w:rsidRPr="0061711E">
          <w:rPr>
            <w:noProof/>
            <w:webHidden/>
          </w:rPr>
          <w:instrText xml:space="preserve"> PAGEREF _Toc517687900 \h </w:instrText>
        </w:r>
        <w:r w:rsidRPr="0061711E">
          <w:rPr>
            <w:noProof/>
            <w:webHidden/>
          </w:rPr>
        </w:r>
        <w:r w:rsidRPr="0061711E">
          <w:rPr>
            <w:noProof/>
            <w:webHidden/>
          </w:rPr>
          <w:fldChar w:fldCharType="separate"/>
        </w:r>
        <w:r w:rsidR="002D27D9">
          <w:rPr>
            <w:noProof/>
            <w:webHidden/>
          </w:rPr>
          <w:t>9</w:t>
        </w:r>
        <w:r w:rsidRPr="0061711E">
          <w:rPr>
            <w:noProof/>
            <w:webHidden/>
          </w:rPr>
          <w:fldChar w:fldCharType="end"/>
        </w:r>
      </w:hyperlink>
    </w:p>
    <w:p w14:paraId="734B3A7D" w14:textId="1E85CFB2" w:rsidR="00C544C3" w:rsidRPr="0061711E" w:rsidRDefault="00BA1293" w:rsidP="005C2394">
      <w:pPr>
        <w:pStyle w:val="TOC1"/>
        <w:spacing w:after="360"/>
        <w:rPr>
          <w:rFonts w:cstheme="minorBidi"/>
          <w:noProof/>
          <w:lang w:val="en-US"/>
        </w:rPr>
      </w:pPr>
      <w:hyperlink w:anchor="_Toc517687901" w:history="1">
        <w:r w:rsidR="00C544C3" w:rsidRPr="004F79A3">
          <w:rPr>
            <w:rStyle w:val="Hyperlink"/>
            <w:b/>
            <w:noProof/>
            <w:color w:val="808080" w:themeColor="background1" w:themeShade="80"/>
            <w:sz w:val="22"/>
            <w:szCs w:val="22"/>
          </w:rPr>
          <w:t xml:space="preserve">CHAPTER 1 </w:t>
        </w:r>
        <w:r w:rsidR="00704559" w:rsidRPr="004F79A3">
          <w:rPr>
            <w:rStyle w:val="Hyperlink"/>
            <w:b/>
            <w:noProof/>
            <w:color w:val="808080" w:themeColor="background1" w:themeShade="80"/>
            <w:sz w:val="22"/>
            <w:szCs w:val="22"/>
          </w:rPr>
          <w:t xml:space="preserve">| </w:t>
        </w:r>
        <w:r w:rsidR="004F79A3">
          <w:rPr>
            <w:rStyle w:val="Hyperlink"/>
            <w:b/>
            <w:noProof/>
            <w:sz w:val="22"/>
            <w:szCs w:val="22"/>
          </w:rPr>
          <w:tab/>
        </w:r>
        <w:r w:rsidR="00C544C3" w:rsidRPr="0061711E">
          <w:rPr>
            <w:rStyle w:val="Hyperlink"/>
            <w:b/>
            <w:noProof/>
            <w:sz w:val="22"/>
            <w:szCs w:val="22"/>
          </w:rPr>
          <w:t>INTRODUCTION</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_Toc517687901 \h </w:instrText>
        </w:r>
        <w:r w:rsidR="00C544C3" w:rsidRPr="0061711E">
          <w:rPr>
            <w:noProof/>
            <w:webHidden/>
          </w:rPr>
        </w:r>
        <w:r w:rsidR="00C544C3" w:rsidRPr="0061711E">
          <w:rPr>
            <w:noProof/>
            <w:webHidden/>
          </w:rPr>
          <w:fldChar w:fldCharType="separate"/>
        </w:r>
        <w:r w:rsidR="002D27D9">
          <w:rPr>
            <w:noProof/>
            <w:webHidden/>
          </w:rPr>
          <w:t>17</w:t>
        </w:r>
        <w:r w:rsidR="00C544C3" w:rsidRPr="0061711E">
          <w:rPr>
            <w:noProof/>
            <w:webHidden/>
          </w:rPr>
          <w:fldChar w:fldCharType="end"/>
        </w:r>
      </w:hyperlink>
    </w:p>
    <w:p w14:paraId="280FBDCE" w14:textId="77777777" w:rsidR="00C544C3" w:rsidRPr="0061711E" w:rsidRDefault="00BA1293" w:rsidP="004F79A3">
      <w:pPr>
        <w:pStyle w:val="TOC2"/>
        <w:rPr>
          <w:rFonts w:cstheme="minorBidi"/>
        </w:rPr>
      </w:pPr>
      <w:hyperlink w:anchor="_Toc517687902" w:history="1">
        <w:r w:rsidR="00C544C3" w:rsidRPr="0061711E">
          <w:rPr>
            <w:rStyle w:val="Hyperlink"/>
          </w:rPr>
          <w:t>A.</w:t>
        </w:r>
        <w:r w:rsidR="00C544C3" w:rsidRPr="0061711E">
          <w:rPr>
            <w:rFonts w:cstheme="minorBidi"/>
          </w:rPr>
          <w:tab/>
        </w:r>
        <w:r w:rsidR="00C544C3" w:rsidRPr="0061711E">
          <w:rPr>
            <w:rStyle w:val="Hyperlink"/>
          </w:rPr>
          <w:t>Sources of Information</w:t>
        </w:r>
        <w:r w:rsidR="00C544C3" w:rsidRPr="0061711E">
          <w:rPr>
            <w:webHidden/>
          </w:rPr>
          <w:tab/>
        </w:r>
        <w:r w:rsidR="00C544C3" w:rsidRPr="0061711E">
          <w:rPr>
            <w:webHidden/>
          </w:rPr>
          <w:fldChar w:fldCharType="begin"/>
        </w:r>
        <w:r w:rsidR="00C544C3" w:rsidRPr="0061711E">
          <w:rPr>
            <w:webHidden/>
          </w:rPr>
          <w:instrText xml:space="preserve"> PAGEREF _Toc517687902 \h </w:instrText>
        </w:r>
        <w:r w:rsidR="00C544C3" w:rsidRPr="0061711E">
          <w:rPr>
            <w:webHidden/>
          </w:rPr>
        </w:r>
        <w:r w:rsidR="00C544C3" w:rsidRPr="0061711E">
          <w:rPr>
            <w:webHidden/>
          </w:rPr>
          <w:fldChar w:fldCharType="separate"/>
        </w:r>
        <w:r w:rsidR="002D27D9">
          <w:rPr>
            <w:webHidden/>
          </w:rPr>
          <w:t>20</w:t>
        </w:r>
        <w:r w:rsidR="00C544C3" w:rsidRPr="0061711E">
          <w:rPr>
            <w:webHidden/>
          </w:rPr>
          <w:fldChar w:fldCharType="end"/>
        </w:r>
      </w:hyperlink>
    </w:p>
    <w:p w14:paraId="7EF14CFE" w14:textId="77777777" w:rsidR="00C544C3" w:rsidRPr="0061711E" w:rsidRDefault="00BA1293" w:rsidP="004F79A3">
      <w:pPr>
        <w:pStyle w:val="TOC3"/>
        <w:tabs>
          <w:tab w:val="right" w:pos="7560"/>
        </w:tabs>
        <w:ind w:firstLine="360"/>
        <w:rPr>
          <w:rFonts w:cstheme="minorBidi"/>
          <w:noProof/>
        </w:rPr>
      </w:pPr>
      <w:hyperlink w:anchor="_Toc517687903" w:history="1">
        <w:r w:rsidR="00C544C3" w:rsidRPr="0061711E">
          <w:rPr>
            <w:rStyle w:val="Hyperlink"/>
            <w:noProof/>
          </w:rPr>
          <w:t>1.</w:t>
        </w:r>
        <w:r w:rsidR="00C544C3" w:rsidRPr="0061711E">
          <w:rPr>
            <w:rFonts w:cstheme="minorBidi"/>
            <w:noProof/>
          </w:rPr>
          <w:tab/>
        </w:r>
        <w:r w:rsidR="00C544C3" w:rsidRPr="0061711E">
          <w:rPr>
            <w:rStyle w:val="Hyperlink"/>
            <w:noProof/>
          </w:rPr>
          <w:t>Hearings during Periods of Sessions</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_Toc517687903 \h </w:instrText>
        </w:r>
        <w:r w:rsidR="00C544C3" w:rsidRPr="0061711E">
          <w:rPr>
            <w:noProof/>
            <w:webHidden/>
          </w:rPr>
        </w:r>
        <w:r w:rsidR="00C544C3" w:rsidRPr="0061711E">
          <w:rPr>
            <w:noProof/>
            <w:webHidden/>
          </w:rPr>
          <w:fldChar w:fldCharType="separate"/>
        </w:r>
        <w:r w:rsidR="002D27D9">
          <w:rPr>
            <w:noProof/>
            <w:webHidden/>
          </w:rPr>
          <w:t>21</w:t>
        </w:r>
        <w:r w:rsidR="00C544C3" w:rsidRPr="0061711E">
          <w:rPr>
            <w:noProof/>
            <w:webHidden/>
          </w:rPr>
          <w:fldChar w:fldCharType="end"/>
        </w:r>
      </w:hyperlink>
    </w:p>
    <w:p w14:paraId="0A239F38" w14:textId="77777777" w:rsidR="00C544C3" w:rsidRPr="0061711E" w:rsidRDefault="00BA1293" w:rsidP="004F79A3">
      <w:pPr>
        <w:pStyle w:val="TOC3"/>
        <w:tabs>
          <w:tab w:val="right" w:pos="7560"/>
        </w:tabs>
        <w:ind w:firstLine="360"/>
        <w:rPr>
          <w:rFonts w:cstheme="minorBidi"/>
          <w:noProof/>
        </w:rPr>
      </w:pPr>
      <w:hyperlink w:anchor="_Toc517687904" w:history="1">
        <w:r w:rsidR="00C544C3" w:rsidRPr="0061711E">
          <w:rPr>
            <w:rStyle w:val="Hyperlink"/>
            <w:noProof/>
          </w:rPr>
          <w:t>2.</w:t>
        </w:r>
        <w:r w:rsidR="00C544C3" w:rsidRPr="0061711E">
          <w:rPr>
            <w:rFonts w:cstheme="minorBidi"/>
            <w:noProof/>
          </w:rPr>
          <w:tab/>
        </w:r>
        <w:r w:rsidR="00C544C3" w:rsidRPr="0061711E">
          <w:rPr>
            <w:rStyle w:val="Hyperlink"/>
            <w:noProof/>
          </w:rPr>
          <w:t>On-Site Visit</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_Toc517687904 \h </w:instrText>
        </w:r>
        <w:r w:rsidR="00C544C3" w:rsidRPr="0061711E">
          <w:rPr>
            <w:noProof/>
            <w:webHidden/>
          </w:rPr>
        </w:r>
        <w:r w:rsidR="00C544C3" w:rsidRPr="0061711E">
          <w:rPr>
            <w:noProof/>
            <w:webHidden/>
          </w:rPr>
          <w:fldChar w:fldCharType="separate"/>
        </w:r>
        <w:r w:rsidR="002D27D9">
          <w:rPr>
            <w:noProof/>
            <w:webHidden/>
          </w:rPr>
          <w:t>23</w:t>
        </w:r>
        <w:r w:rsidR="00C544C3" w:rsidRPr="0061711E">
          <w:rPr>
            <w:noProof/>
            <w:webHidden/>
          </w:rPr>
          <w:fldChar w:fldCharType="end"/>
        </w:r>
      </w:hyperlink>
    </w:p>
    <w:p w14:paraId="139FCCE3" w14:textId="77777777" w:rsidR="00C544C3" w:rsidRPr="0061711E" w:rsidRDefault="00BA1293" w:rsidP="004F79A3">
      <w:pPr>
        <w:pStyle w:val="TOC3"/>
        <w:tabs>
          <w:tab w:val="right" w:pos="7560"/>
        </w:tabs>
        <w:ind w:firstLine="360"/>
        <w:rPr>
          <w:rFonts w:cstheme="minorBidi"/>
          <w:noProof/>
        </w:rPr>
      </w:pPr>
      <w:hyperlink w:anchor="_Toc517687905" w:history="1">
        <w:r w:rsidR="00C544C3" w:rsidRPr="0061711E">
          <w:rPr>
            <w:rStyle w:val="Hyperlink"/>
            <w:noProof/>
          </w:rPr>
          <w:t>3.</w:t>
        </w:r>
        <w:r w:rsidR="00C544C3" w:rsidRPr="0061711E">
          <w:rPr>
            <w:rFonts w:cstheme="minorBidi"/>
            <w:noProof/>
          </w:rPr>
          <w:tab/>
        </w:r>
        <w:r w:rsidR="00C544C3" w:rsidRPr="0061711E">
          <w:rPr>
            <w:rStyle w:val="Hyperlink"/>
            <w:noProof/>
          </w:rPr>
          <w:t>Press Releases</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_Toc517687905 \h </w:instrText>
        </w:r>
        <w:r w:rsidR="00C544C3" w:rsidRPr="0061711E">
          <w:rPr>
            <w:noProof/>
            <w:webHidden/>
          </w:rPr>
        </w:r>
        <w:r w:rsidR="00C544C3" w:rsidRPr="0061711E">
          <w:rPr>
            <w:noProof/>
            <w:webHidden/>
          </w:rPr>
          <w:fldChar w:fldCharType="separate"/>
        </w:r>
        <w:r w:rsidR="002D27D9">
          <w:rPr>
            <w:noProof/>
            <w:webHidden/>
          </w:rPr>
          <w:t>24</w:t>
        </w:r>
        <w:r w:rsidR="00C544C3" w:rsidRPr="0061711E">
          <w:rPr>
            <w:noProof/>
            <w:webHidden/>
          </w:rPr>
          <w:fldChar w:fldCharType="end"/>
        </w:r>
      </w:hyperlink>
    </w:p>
    <w:p w14:paraId="7483D403" w14:textId="77777777" w:rsidR="00C544C3" w:rsidRPr="0061711E" w:rsidRDefault="00BA1293" w:rsidP="004F79A3">
      <w:pPr>
        <w:pStyle w:val="TOC3"/>
        <w:tabs>
          <w:tab w:val="right" w:pos="7560"/>
        </w:tabs>
        <w:ind w:firstLine="360"/>
        <w:rPr>
          <w:rFonts w:cstheme="minorBidi"/>
          <w:noProof/>
        </w:rPr>
      </w:pPr>
      <w:hyperlink w:anchor="_Toc517687906" w:history="1">
        <w:r w:rsidR="00C544C3" w:rsidRPr="0061711E">
          <w:rPr>
            <w:rStyle w:val="Hyperlink"/>
            <w:noProof/>
          </w:rPr>
          <w:t>4.</w:t>
        </w:r>
        <w:r w:rsidR="00C544C3" w:rsidRPr="0061711E">
          <w:rPr>
            <w:rFonts w:cstheme="minorBidi"/>
            <w:noProof/>
          </w:rPr>
          <w:tab/>
        </w:r>
        <w:r w:rsidR="00C544C3" w:rsidRPr="0061711E">
          <w:rPr>
            <w:rStyle w:val="Hyperlink"/>
            <w:noProof/>
          </w:rPr>
          <w:t>Additional Sources</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_Toc517687906 \h </w:instrText>
        </w:r>
        <w:r w:rsidR="00C544C3" w:rsidRPr="0061711E">
          <w:rPr>
            <w:noProof/>
            <w:webHidden/>
          </w:rPr>
        </w:r>
        <w:r w:rsidR="00C544C3" w:rsidRPr="0061711E">
          <w:rPr>
            <w:noProof/>
            <w:webHidden/>
          </w:rPr>
          <w:fldChar w:fldCharType="separate"/>
        </w:r>
        <w:r w:rsidR="002D27D9">
          <w:rPr>
            <w:noProof/>
            <w:webHidden/>
          </w:rPr>
          <w:t>25</w:t>
        </w:r>
        <w:r w:rsidR="00C544C3" w:rsidRPr="0061711E">
          <w:rPr>
            <w:noProof/>
            <w:webHidden/>
          </w:rPr>
          <w:fldChar w:fldCharType="end"/>
        </w:r>
      </w:hyperlink>
    </w:p>
    <w:p w14:paraId="00697619" w14:textId="270DA12F" w:rsidR="00C544C3" w:rsidRPr="0061711E" w:rsidRDefault="00BA1293" w:rsidP="004F79A3">
      <w:pPr>
        <w:pStyle w:val="TOC2"/>
        <w:rPr>
          <w:rFonts w:cstheme="minorBidi"/>
        </w:rPr>
      </w:pPr>
      <w:hyperlink w:anchor="_Toc517687907" w:history="1">
        <w:r w:rsidR="00C544C3" w:rsidRPr="0061711E">
          <w:rPr>
            <w:rStyle w:val="Hyperlink"/>
          </w:rPr>
          <w:t>B.</w:t>
        </w:r>
        <w:r w:rsidR="00C544C3" w:rsidRPr="0061711E">
          <w:rPr>
            <w:rFonts w:cstheme="minorBidi"/>
          </w:rPr>
          <w:tab/>
        </w:r>
        <w:r w:rsidR="00C544C3" w:rsidRPr="0061711E">
          <w:rPr>
            <w:rStyle w:val="Hyperlink"/>
          </w:rPr>
          <w:t xml:space="preserve">The Inter-American Commission’s Jurisdiction with regard </w:t>
        </w:r>
        <w:r w:rsidR="004F79A3">
          <w:rPr>
            <w:rStyle w:val="Hyperlink"/>
          </w:rPr>
          <w:br/>
        </w:r>
        <w:r w:rsidR="00C544C3" w:rsidRPr="0061711E">
          <w:rPr>
            <w:rStyle w:val="Hyperlink"/>
          </w:rPr>
          <w:t>to the United States</w:t>
        </w:r>
        <w:r w:rsidR="00C544C3" w:rsidRPr="0061711E">
          <w:rPr>
            <w:webHidden/>
          </w:rPr>
          <w:tab/>
        </w:r>
        <w:r w:rsidR="00C544C3" w:rsidRPr="0061711E">
          <w:rPr>
            <w:webHidden/>
          </w:rPr>
          <w:fldChar w:fldCharType="begin"/>
        </w:r>
        <w:r w:rsidR="00C544C3" w:rsidRPr="0061711E">
          <w:rPr>
            <w:webHidden/>
          </w:rPr>
          <w:instrText xml:space="preserve"> PAGEREF _Toc517687907 \h </w:instrText>
        </w:r>
        <w:r w:rsidR="00C544C3" w:rsidRPr="0061711E">
          <w:rPr>
            <w:webHidden/>
          </w:rPr>
        </w:r>
        <w:r w:rsidR="00C544C3" w:rsidRPr="0061711E">
          <w:rPr>
            <w:webHidden/>
          </w:rPr>
          <w:fldChar w:fldCharType="separate"/>
        </w:r>
        <w:r w:rsidR="002D27D9">
          <w:rPr>
            <w:webHidden/>
          </w:rPr>
          <w:t>26</w:t>
        </w:r>
        <w:r w:rsidR="00C544C3" w:rsidRPr="0061711E">
          <w:rPr>
            <w:webHidden/>
          </w:rPr>
          <w:fldChar w:fldCharType="end"/>
        </w:r>
      </w:hyperlink>
    </w:p>
    <w:p w14:paraId="68E44C0F" w14:textId="6D6AD109" w:rsidR="00C544C3" w:rsidRPr="0061711E" w:rsidRDefault="00BA1293" w:rsidP="00141874">
      <w:pPr>
        <w:pStyle w:val="TOC1"/>
        <w:rPr>
          <w:rFonts w:cstheme="minorBidi"/>
          <w:noProof/>
          <w:lang w:val="en-US"/>
        </w:rPr>
      </w:pPr>
      <w:hyperlink w:anchor="_Toc517687908" w:history="1">
        <w:r w:rsidR="00C544C3" w:rsidRPr="004F79A3">
          <w:rPr>
            <w:rStyle w:val="Hyperlink"/>
            <w:b/>
            <w:noProof/>
            <w:color w:val="808080" w:themeColor="background1" w:themeShade="80"/>
            <w:sz w:val="22"/>
            <w:szCs w:val="22"/>
          </w:rPr>
          <w:t xml:space="preserve">CHAPTER 2 </w:t>
        </w:r>
        <w:r w:rsidR="00704559" w:rsidRPr="004F79A3">
          <w:rPr>
            <w:rStyle w:val="Hyperlink"/>
            <w:b/>
            <w:noProof/>
            <w:color w:val="808080" w:themeColor="background1" w:themeShade="80"/>
            <w:sz w:val="22"/>
            <w:szCs w:val="22"/>
          </w:rPr>
          <w:t>|</w:t>
        </w:r>
        <w:r w:rsidR="00704559" w:rsidRPr="0061711E">
          <w:rPr>
            <w:rStyle w:val="Hyperlink"/>
            <w:b/>
            <w:noProof/>
            <w:sz w:val="22"/>
            <w:szCs w:val="22"/>
          </w:rPr>
          <w:t xml:space="preserve"> </w:t>
        </w:r>
        <w:r w:rsidR="004F79A3">
          <w:rPr>
            <w:rStyle w:val="Hyperlink"/>
            <w:b/>
            <w:noProof/>
            <w:sz w:val="22"/>
            <w:szCs w:val="22"/>
          </w:rPr>
          <w:tab/>
        </w:r>
        <w:r w:rsidR="00C544C3" w:rsidRPr="0061711E">
          <w:rPr>
            <w:rStyle w:val="Hyperlink"/>
            <w:b/>
            <w:noProof/>
            <w:sz w:val="22"/>
            <w:szCs w:val="22"/>
          </w:rPr>
          <w:t xml:space="preserve">STRUCTURAL DISCRIMINATION AND EXCESSIVE </w:t>
        </w:r>
        <w:r w:rsidR="004F79A3">
          <w:rPr>
            <w:rStyle w:val="Hyperlink"/>
            <w:b/>
            <w:noProof/>
            <w:sz w:val="22"/>
            <w:szCs w:val="22"/>
          </w:rPr>
          <w:br/>
        </w:r>
        <w:r w:rsidR="00C544C3" w:rsidRPr="0061711E">
          <w:rPr>
            <w:rStyle w:val="Hyperlink"/>
            <w:b/>
            <w:noProof/>
            <w:sz w:val="22"/>
            <w:szCs w:val="22"/>
          </w:rPr>
          <w:t xml:space="preserve">USE </w:t>
        </w:r>
        <w:r w:rsidR="004F79A3">
          <w:rPr>
            <w:rStyle w:val="Hyperlink"/>
            <w:b/>
            <w:noProof/>
            <w:sz w:val="22"/>
            <w:szCs w:val="22"/>
          </w:rPr>
          <w:t xml:space="preserve">OF FORCE </w:t>
        </w:r>
        <w:r w:rsidR="00C544C3" w:rsidRPr="0061711E">
          <w:rPr>
            <w:rStyle w:val="Hyperlink"/>
            <w:b/>
            <w:noProof/>
            <w:sz w:val="22"/>
            <w:szCs w:val="22"/>
          </w:rPr>
          <w:t>IN THE U.S.</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_Toc517687908 \h </w:instrText>
        </w:r>
        <w:r w:rsidR="00C544C3" w:rsidRPr="0061711E">
          <w:rPr>
            <w:noProof/>
            <w:webHidden/>
          </w:rPr>
        </w:r>
        <w:r w:rsidR="00C544C3" w:rsidRPr="0061711E">
          <w:rPr>
            <w:noProof/>
            <w:webHidden/>
          </w:rPr>
          <w:fldChar w:fldCharType="separate"/>
        </w:r>
        <w:r w:rsidR="002D27D9">
          <w:rPr>
            <w:noProof/>
            <w:webHidden/>
          </w:rPr>
          <w:t>31</w:t>
        </w:r>
        <w:r w:rsidR="00C544C3" w:rsidRPr="0061711E">
          <w:rPr>
            <w:noProof/>
            <w:webHidden/>
          </w:rPr>
          <w:fldChar w:fldCharType="end"/>
        </w:r>
      </w:hyperlink>
    </w:p>
    <w:p w14:paraId="1946D762" w14:textId="77777777" w:rsidR="00C544C3" w:rsidRPr="0061711E" w:rsidRDefault="00BA1293" w:rsidP="004F79A3">
      <w:pPr>
        <w:pStyle w:val="TOC2"/>
        <w:rPr>
          <w:rFonts w:cstheme="minorBidi"/>
        </w:rPr>
      </w:pPr>
      <w:hyperlink w:anchor="_Toc517687909" w:history="1">
        <w:r w:rsidR="00C544C3" w:rsidRPr="0061711E">
          <w:rPr>
            <w:rStyle w:val="Hyperlink"/>
          </w:rPr>
          <w:t>A.</w:t>
        </w:r>
        <w:r w:rsidR="00C544C3" w:rsidRPr="0061711E">
          <w:rPr>
            <w:rFonts w:cstheme="minorBidi"/>
          </w:rPr>
          <w:tab/>
        </w:r>
        <w:r w:rsidR="00C544C3" w:rsidRPr="0061711E">
          <w:rPr>
            <w:rStyle w:val="Hyperlink"/>
          </w:rPr>
          <w:t>Initial Considerations on Structural Discrimination</w:t>
        </w:r>
        <w:r w:rsidR="00C544C3" w:rsidRPr="0061711E">
          <w:rPr>
            <w:webHidden/>
          </w:rPr>
          <w:tab/>
        </w:r>
        <w:r w:rsidR="00C544C3" w:rsidRPr="0061711E">
          <w:rPr>
            <w:webHidden/>
          </w:rPr>
          <w:fldChar w:fldCharType="begin"/>
        </w:r>
        <w:r w:rsidR="00C544C3" w:rsidRPr="0061711E">
          <w:rPr>
            <w:webHidden/>
          </w:rPr>
          <w:instrText xml:space="preserve"> PAGEREF _Toc517687909 \h </w:instrText>
        </w:r>
        <w:r w:rsidR="00C544C3" w:rsidRPr="0061711E">
          <w:rPr>
            <w:webHidden/>
          </w:rPr>
        </w:r>
        <w:r w:rsidR="00C544C3" w:rsidRPr="0061711E">
          <w:rPr>
            <w:webHidden/>
          </w:rPr>
          <w:fldChar w:fldCharType="separate"/>
        </w:r>
        <w:r w:rsidR="002D27D9">
          <w:rPr>
            <w:webHidden/>
          </w:rPr>
          <w:t>34</w:t>
        </w:r>
        <w:r w:rsidR="00C544C3" w:rsidRPr="0061711E">
          <w:rPr>
            <w:webHidden/>
          </w:rPr>
          <w:fldChar w:fldCharType="end"/>
        </w:r>
      </w:hyperlink>
    </w:p>
    <w:p w14:paraId="4DC19D19" w14:textId="77777777" w:rsidR="00C544C3" w:rsidRPr="0061711E" w:rsidRDefault="00BA1293" w:rsidP="004F79A3">
      <w:pPr>
        <w:pStyle w:val="TOC2"/>
        <w:rPr>
          <w:rFonts w:cstheme="minorBidi"/>
        </w:rPr>
      </w:pPr>
      <w:hyperlink w:anchor="_Toc517687910" w:history="1">
        <w:r w:rsidR="00C544C3" w:rsidRPr="0061711E">
          <w:rPr>
            <w:rStyle w:val="Hyperlink"/>
          </w:rPr>
          <w:t>B.</w:t>
        </w:r>
        <w:r w:rsidR="00C544C3" w:rsidRPr="0061711E">
          <w:rPr>
            <w:rFonts w:cstheme="minorBidi"/>
          </w:rPr>
          <w:tab/>
        </w:r>
        <w:r w:rsidR="00C544C3" w:rsidRPr="0061711E">
          <w:rPr>
            <w:rStyle w:val="Hyperlink"/>
          </w:rPr>
          <w:t>Historical Overview of Discrimination and Racism in the United States</w:t>
        </w:r>
        <w:r w:rsidR="00C544C3" w:rsidRPr="0061711E">
          <w:rPr>
            <w:webHidden/>
          </w:rPr>
          <w:tab/>
        </w:r>
        <w:r w:rsidR="00C544C3" w:rsidRPr="0061711E">
          <w:rPr>
            <w:webHidden/>
          </w:rPr>
          <w:fldChar w:fldCharType="begin"/>
        </w:r>
        <w:r w:rsidR="00C544C3" w:rsidRPr="0061711E">
          <w:rPr>
            <w:webHidden/>
          </w:rPr>
          <w:instrText xml:space="preserve"> PAGEREF _Toc517687910 \h </w:instrText>
        </w:r>
        <w:r w:rsidR="00C544C3" w:rsidRPr="0061711E">
          <w:rPr>
            <w:webHidden/>
          </w:rPr>
        </w:r>
        <w:r w:rsidR="00C544C3" w:rsidRPr="0061711E">
          <w:rPr>
            <w:webHidden/>
          </w:rPr>
          <w:fldChar w:fldCharType="separate"/>
        </w:r>
        <w:r w:rsidR="002D27D9">
          <w:rPr>
            <w:webHidden/>
          </w:rPr>
          <w:t>37</w:t>
        </w:r>
        <w:r w:rsidR="00C544C3" w:rsidRPr="0061711E">
          <w:rPr>
            <w:webHidden/>
          </w:rPr>
          <w:fldChar w:fldCharType="end"/>
        </w:r>
      </w:hyperlink>
    </w:p>
    <w:p w14:paraId="17B4A166" w14:textId="77777777" w:rsidR="00C544C3" w:rsidRPr="0061711E" w:rsidRDefault="00BA1293" w:rsidP="004F79A3">
      <w:pPr>
        <w:pStyle w:val="TOC2"/>
        <w:rPr>
          <w:rFonts w:cstheme="minorBidi"/>
        </w:rPr>
      </w:pPr>
      <w:hyperlink w:anchor="_Toc517687911" w:history="1">
        <w:r w:rsidR="00C544C3" w:rsidRPr="0061711E">
          <w:rPr>
            <w:rStyle w:val="Hyperlink"/>
          </w:rPr>
          <w:t>C.</w:t>
        </w:r>
        <w:r w:rsidR="00C544C3" w:rsidRPr="0061711E">
          <w:rPr>
            <w:rFonts w:cstheme="minorBidi"/>
          </w:rPr>
          <w:tab/>
        </w:r>
        <w:r w:rsidR="00C544C3" w:rsidRPr="0061711E">
          <w:rPr>
            <w:rStyle w:val="Hyperlink"/>
          </w:rPr>
          <w:t>Key issues Identified through IACHR Monitoring Mechanisms</w:t>
        </w:r>
        <w:r w:rsidR="00C544C3" w:rsidRPr="0061711E">
          <w:rPr>
            <w:webHidden/>
          </w:rPr>
          <w:tab/>
        </w:r>
        <w:r w:rsidR="00C544C3" w:rsidRPr="0061711E">
          <w:rPr>
            <w:webHidden/>
          </w:rPr>
          <w:fldChar w:fldCharType="begin"/>
        </w:r>
        <w:r w:rsidR="00C544C3" w:rsidRPr="0061711E">
          <w:rPr>
            <w:webHidden/>
          </w:rPr>
          <w:instrText xml:space="preserve"> PAGEREF _Toc517687911 \h </w:instrText>
        </w:r>
        <w:r w:rsidR="00C544C3" w:rsidRPr="0061711E">
          <w:rPr>
            <w:webHidden/>
          </w:rPr>
        </w:r>
        <w:r w:rsidR="00C544C3" w:rsidRPr="0061711E">
          <w:rPr>
            <w:webHidden/>
          </w:rPr>
          <w:fldChar w:fldCharType="separate"/>
        </w:r>
        <w:r w:rsidR="002D27D9">
          <w:rPr>
            <w:webHidden/>
          </w:rPr>
          <w:t>46</w:t>
        </w:r>
        <w:r w:rsidR="00C544C3" w:rsidRPr="0061711E">
          <w:rPr>
            <w:webHidden/>
          </w:rPr>
          <w:fldChar w:fldCharType="end"/>
        </w:r>
      </w:hyperlink>
    </w:p>
    <w:p w14:paraId="07A08D51" w14:textId="77777777" w:rsidR="00C544C3" w:rsidRPr="0061711E" w:rsidRDefault="00BA1293" w:rsidP="0061711E">
      <w:pPr>
        <w:pStyle w:val="TOC3"/>
        <w:tabs>
          <w:tab w:val="right" w:pos="7560"/>
        </w:tabs>
        <w:rPr>
          <w:rFonts w:cstheme="minorBidi"/>
          <w:noProof/>
        </w:rPr>
      </w:pPr>
      <w:hyperlink w:anchor="_Toc517687912" w:history="1">
        <w:r w:rsidR="00C544C3" w:rsidRPr="0061711E">
          <w:rPr>
            <w:rStyle w:val="Hyperlink"/>
            <w:noProof/>
          </w:rPr>
          <w:t>1.</w:t>
        </w:r>
        <w:r w:rsidR="00C544C3" w:rsidRPr="0061711E">
          <w:rPr>
            <w:rFonts w:cstheme="minorBidi"/>
            <w:noProof/>
          </w:rPr>
          <w:tab/>
        </w:r>
        <w:r w:rsidR="00C544C3" w:rsidRPr="0061711E">
          <w:rPr>
            <w:rStyle w:val="Hyperlink"/>
            <w:noProof/>
          </w:rPr>
          <w:t>Aspects of Racial Discrimination in Policing Practices and Outcomes</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_Toc517687912 \h </w:instrText>
        </w:r>
        <w:r w:rsidR="00C544C3" w:rsidRPr="0061711E">
          <w:rPr>
            <w:noProof/>
            <w:webHidden/>
          </w:rPr>
        </w:r>
        <w:r w:rsidR="00C544C3" w:rsidRPr="0061711E">
          <w:rPr>
            <w:noProof/>
            <w:webHidden/>
          </w:rPr>
          <w:fldChar w:fldCharType="separate"/>
        </w:r>
        <w:r w:rsidR="002D27D9">
          <w:rPr>
            <w:noProof/>
            <w:webHidden/>
          </w:rPr>
          <w:t>47</w:t>
        </w:r>
        <w:r w:rsidR="00C544C3" w:rsidRPr="0061711E">
          <w:rPr>
            <w:noProof/>
            <w:webHidden/>
          </w:rPr>
          <w:fldChar w:fldCharType="end"/>
        </w:r>
      </w:hyperlink>
    </w:p>
    <w:p w14:paraId="355A05F0" w14:textId="77777777" w:rsidR="00C544C3" w:rsidRPr="0061711E" w:rsidRDefault="00BA1293" w:rsidP="004F79A3">
      <w:pPr>
        <w:pStyle w:val="TOC4"/>
        <w:tabs>
          <w:tab w:val="left" w:pos="1100"/>
          <w:tab w:val="right" w:pos="7560"/>
          <w:tab w:val="right" w:pos="9350"/>
        </w:tabs>
        <w:ind w:firstLine="60"/>
        <w:rPr>
          <w:rFonts w:asciiTheme="minorHAnsi" w:eastAsiaTheme="minorEastAsia" w:hAnsiTheme="minorHAnsi" w:cstheme="minorBidi"/>
          <w:noProof/>
        </w:rPr>
      </w:pPr>
      <w:hyperlink w:anchor="_Toc517687913" w:history="1">
        <w:r w:rsidR="00C544C3" w:rsidRPr="0061711E">
          <w:rPr>
            <w:rStyle w:val="Hyperlink"/>
            <w:rFonts w:asciiTheme="minorHAnsi" w:hAnsiTheme="minorHAnsi"/>
            <w:noProof/>
          </w:rPr>
          <w:t>a.</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Over-Policing and Racial Profiling of African Americans</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_Toc517687913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48</w:t>
        </w:r>
        <w:r w:rsidR="00C544C3" w:rsidRPr="0061711E">
          <w:rPr>
            <w:rFonts w:asciiTheme="minorHAnsi" w:hAnsiTheme="minorHAnsi"/>
            <w:noProof/>
            <w:webHidden/>
          </w:rPr>
          <w:fldChar w:fldCharType="end"/>
        </w:r>
      </w:hyperlink>
    </w:p>
    <w:p w14:paraId="59A293CA" w14:textId="77777777" w:rsidR="00C544C3" w:rsidRPr="0061711E" w:rsidRDefault="00BA1293" w:rsidP="004F79A3">
      <w:pPr>
        <w:pStyle w:val="TOC4"/>
        <w:tabs>
          <w:tab w:val="left" w:pos="1100"/>
          <w:tab w:val="right" w:pos="7560"/>
          <w:tab w:val="right" w:pos="9350"/>
        </w:tabs>
        <w:ind w:firstLine="60"/>
        <w:rPr>
          <w:rFonts w:asciiTheme="minorHAnsi" w:eastAsiaTheme="minorEastAsia" w:hAnsiTheme="minorHAnsi" w:cstheme="minorBidi"/>
          <w:noProof/>
        </w:rPr>
      </w:pPr>
      <w:hyperlink w:anchor="_Toc517687914" w:history="1">
        <w:r w:rsidR="00C544C3" w:rsidRPr="0061711E">
          <w:rPr>
            <w:rStyle w:val="Hyperlink"/>
            <w:rFonts w:asciiTheme="minorHAnsi" w:hAnsiTheme="minorHAnsi"/>
            <w:noProof/>
          </w:rPr>
          <w:t>b.</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Militarization of Police Forces</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_Toc517687914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56</w:t>
        </w:r>
        <w:r w:rsidR="00C544C3" w:rsidRPr="0061711E">
          <w:rPr>
            <w:rFonts w:asciiTheme="minorHAnsi" w:hAnsiTheme="minorHAnsi"/>
            <w:noProof/>
            <w:webHidden/>
          </w:rPr>
          <w:fldChar w:fldCharType="end"/>
        </w:r>
      </w:hyperlink>
    </w:p>
    <w:p w14:paraId="4D0C90C9" w14:textId="77777777" w:rsidR="00C544C3" w:rsidRPr="0061711E" w:rsidRDefault="00BA1293" w:rsidP="004F79A3">
      <w:pPr>
        <w:pStyle w:val="TOC4"/>
        <w:tabs>
          <w:tab w:val="left" w:pos="1100"/>
          <w:tab w:val="right" w:pos="7560"/>
          <w:tab w:val="right" w:pos="9350"/>
        </w:tabs>
        <w:ind w:firstLine="60"/>
        <w:rPr>
          <w:rFonts w:asciiTheme="minorHAnsi" w:eastAsiaTheme="minorEastAsia" w:hAnsiTheme="minorHAnsi" w:cstheme="minorBidi"/>
          <w:noProof/>
        </w:rPr>
      </w:pPr>
      <w:hyperlink w:anchor="_Toc517687915" w:history="1">
        <w:r w:rsidR="00C544C3" w:rsidRPr="0061711E">
          <w:rPr>
            <w:rStyle w:val="Hyperlink"/>
            <w:rFonts w:asciiTheme="minorHAnsi" w:hAnsiTheme="minorHAnsi"/>
            <w:noProof/>
          </w:rPr>
          <w:t>c.</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Police Use of Excessive Force</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_Toc517687915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58</w:t>
        </w:r>
        <w:r w:rsidR="00C544C3" w:rsidRPr="0061711E">
          <w:rPr>
            <w:rFonts w:asciiTheme="minorHAnsi" w:hAnsiTheme="minorHAnsi"/>
            <w:noProof/>
            <w:webHidden/>
          </w:rPr>
          <w:fldChar w:fldCharType="end"/>
        </w:r>
      </w:hyperlink>
    </w:p>
    <w:p w14:paraId="761B5824" w14:textId="77777777" w:rsidR="00C544C3" w:rsidRPr="0061711E" w:rsidRDefault="00BA1293" w:rsidP="004F79A3">
      <w:pPr>
        <w:pStyle w:val="TOC4"/>
        <w:tabs>
          <w:tab w:val="left" w:pos="1100"/>
          <w:tab w:val="right" w:pos="7560"/>
          <w:tab w:val="right" w:pos="9350"/>
        </w:tabs>
        <w:ind w:firstLine="60"/>
        <w:rPr>
          <w:rFonts w:asciiTheme="minorHAnsi" w:eastAsiaTheme="minorEastAsia" w:hAnsiTheme="minorHAnsi" w:cstheme="minorBidi"/>
          <w:noProof/>
        </w:rPr>
      </w:pPr>
      <w:hyperlink w:anchor="_Toc517687916" w:history="1">
        <w:r w:rsidR="00C544C3" w:rsidRPr="0061711E">
          <w:rPr>
            <w:rStyle w:val="Hyperlink"/>
            <w:rFonts w:asciiTheme="minorHAnsi" w:hAnsiTheme="minorHAnsi"/>
            <w:noProof/>
          </w:rPr>
          <w:t>d.</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Impunity in Cases of Police Killings</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_Toc517687916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65</w:t>
        </w:r>
        <w:r w:rsidR="00C544C3" w:rsidRPr="0061711E">
          <w:rPr>
            <w:rFonts w:asciiTheme="minorHAnsi" w:hAnsiTheme="minorHAnsi"/>
            <w:noProof/>
            <w:webHidden/>
          </w:rPr>
          <w:fldChar w:fldCharType="end"/>
        </w:r>
      </w:hyperlink>
    </w:p>
    <w:p w14:paraId="12115737" w14:textId="77777777" w:rsidR="00C544C3" w:rsidRPr="0061711E" w:rsidRDefault="00BA1293" w:rsidP="004F79A3">
      <w:pPr>
        <w:pStyle w:val="TOC4"/>
        <w:tabs>
          <w:tab w:val="left" w:pos="1100"/>
          <w:tab w:val="right" w:pos="7560"/>
          <w:tab w:val="right" w:pos="9350"/>
        </w:tabs>
        <w:ind w:firstLine="60"/>
        <w:rPr>
          <w:rFonts w:asciiTheme="minorHAnsi" w:eastAsiaTheme="minorEastAsia" w:hAnsiTheme="minorHAnsi" w:cstheme="minorBidi"/>
          <w:noProof/>
        </w:rPr>
      </w:pPr>
      <w:hyperlink w:anchor="_Toc517687917" w:history="1">
        <w:r w:rsidR="00C544C3" w:rsidRPr="0061711E">
          <w:rPr>
            <w:rStyle w:val="Hyperlink"/>
            <w:rFonts w:asciiTheme="minorHAnsi" w:hAnsiTheme="minorHAnsi"/>
            <w:noProof/>
          </w:rPr>
          <w:t>e.</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Police Responses to Protests</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_Toc517687917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72</w:t>
        </w:r>
        <w:r w:rsidR="00C544C3" w:rsidRPr="0061711E">
          <w:rPr>
            <w:rFonts w:asciiTheme="minorHAnsi" w:hAnsiTheme="minorHAnsi"/>
            <w:noProof/>
            <w:webHidden/>
          </w:rPr>
          <w:fldChar w:fldCharType="end"/>
        </w:r>
      </w:hyperlink>
    </w:p>
    <w:p w14:paraId="3E4B8F4E" w14:textId="77777777" w:rsidR="00C544C3" w:rsidRPr="0061711E" w:rsidRDefault="00BA1293" w:rsidP="0061711E">
      <w:pPr>
        <w:pStyle w:val="TOC3"/>
        <w:tabs>
          <w:tab w:val="right" w:pos="7560"/>
        </w:tabs>
        <w:rPr>
          <w:rFonts w:cstheme="minorBidi"/>
          <w:noProof/>
        </w:rPr>
      </w:pPr>
      <w:hyperlink w:anchor="_Toc517687918" w:history="1">
        <w:r w:rsidR="00C544C3" w:rsidRPr="0061711E">
          <w:rPr>
            <w:rStyle w:val="Hyperlink"/>
            <w:noProof/>
          </w:rPr>
          <w:t>2.</w:t>
        </w:r>
        <w:r w:rsidR="00C544C3" w:rsidRPr="0061711E">
          <w:rPr>
            <w:rFonts w:cstheme="minorBidi"/>
            <w:noProof/>
          </w:rPr>
          <w:tab/>
        </w:r>
        <w:r w:rsidR="00C544C3" w:rsidRPr="0061711E">
          <w:rPr>
            <w:rStyle w:val="Hyperlink"/>
            <w:noProof/>
          </w:rPr>
          <w:t>Aspects of Racial Discrimination in the Criminal Justice System</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_Toc517687918 \h </w:instrText>
        </w:r>
        <w:r w:rsidR="00C544C3" w:rsidRPr="0061711E">
          <w:rPr>
            <w:noProof/>
            <w:webHidden/>
          </w:rPr>
        </w:r>
        <w:r w:rsidR="00C544C3" w:rsidRPr="0061711E">
          <w:rPr>
            <w:noProof/>
            <w:webHidden/>
          </w:rPr>
          <w:fldChar w:fldCharType="separate"/>
        </w:r>
        <w:r w:rsidR="002D27D9">
          <w:rPr>
            <w:noProof/>
            <w:webHidden/>
          </w:rPr>
          <w:t>76</w:t>
        </w:r>
        <w:r w:rsidR="00C544C3" w:rsidRPr="0061711E">
          <w:rPr>
            <w:noProof/>
            <w:webHidden/>
          </w:rPr>
          <w:fldChar w:fldCharType="end"/>
        </w:r>
      </w:hyperlink>
    </w:p>
    <w:p w14:paraId="73C57142" w14:textId="77777777" w:rsidR="00C544C3" w:rsidRPr="0061711E" w:rsidRDefault="00BA1293" w:rsidP="004F79A3">
      <w:pPr>
        <w:pStyle w:val="TOC4"/>
        <w:tabs>
          <w:tab w:val="left" w:pos="1100"/>
          <w:tab w:val="right" w:pos="7560"/>
          <w:tab w:val="right" w:pos="9350"/>
        </w:tabs>
        <w:ind w:firstLine="60"/>
        <w:rPr>
          <w:rFonts w:asciiTheme="minorHAnsi" w:eastAsiaTheme="minorEastAsia" w:hAnsiTheme="minorHAnsi" w:cstheme="minorBidi"/>
          <w:noProof/>
        </w:rPr>
      </w:pPr>
      <w:hyperlink w:anchor="_Toc517687919" w:history="1">
        <w:r w:rsidR="00C544C3" w:rsidRPr="0061711E">
          <w:rPr>
            <w:rStyle w:val="Hyperlink"/>
            <w:rFonts w:asciiTheme="minorHAnsi" w:hAnsiTheme="minorHAnsi"/>
            <w:noProof/>
          </w:rPr>
          <w:t>a.</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Racial Disparities in Arrests</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_Toc517687919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76</w:t>
        </w:r>
        <w:r w:rsidR="00C544C3" w:rsidRPr="0061711E">
          <w:rPr>
            <w:rFonts w:asciiTheme="minorHAnsi" w:hAnsiTheme="minorHAnsi"/>
            <w:noProof/>
            <w:webHidden/>
          </w:rPr>
          <w:fldChar w:fldCharType="end"/>
        </w:r>
      </w:hyperlink>
    </w:p>
    <w:p w14:paraId="7896ED94" w14:textId="48999327" w:rsidR="00C544C3" w:rsidRPr="0061711E" w:rsidRDefault="00BA1293" w:rsidP="004F79A3">
      <w:pPr>
        <w:pStyle w:val="TOC4"/>
        <w:tabs>
          <w:tab w:val="left" w:pos="1100"/>
          <w:tab w:val="right" w:pos="7560"/>
          <w:tab w:val="right" w:pos="9350"/>
        </w:tabs>
        <w:ind w:left="1095" w:hanging="375"/>
        <w:rPr>
          <w:rFonts w:asciiTheme="minorHAnsi" w:eastAsiaTheme="minorEastAsia" w:hAnsiTheme="minorHAnsi" w:cstheme="minorBidi"/>
          <w:noProof/>
        </w:rPr>
      </w:pPr>
      <w:hyperlink w:anchor="_Toc517687920" w:history="1">
        <w:r w:rsidR="00C544C3" w:rsidRPr="0061711E">
          <w:rPr>
            <w:rStyle w:val="Hyperlink"/>
            <w:rFonts w:asciiTheme="minorHAnsi" w:hAnsiTheme="minorHAnsi"/>
            <w:noProof/>
          </w:rPr>
          <w:t>b.</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Racial Disparities in Access to Counsel, Pleas, Sentencing, Incarceration, and Re-Incarceration</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_Toc517687920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79</w:t>
        </w:r>
        <w:r w:rsidR="00C544C3" w:rsidRPr="0061711E">
          <w:rPr>
            <w:rFonts w:asciiTheme="minorHAnsi" w:hAnsiTheme="minorHAnsi"/>
            <w:noProof/>
            <w:webHidden/>
          </w:rPr>
          <w:fldChar w:fldCharType="end"/>
        </w:r>
      </w:hyperlink>
    </w:p>
    <w:p w14:paraId="512549AA" w14:textId="77777777" w:rsidR="00C544C3" w:rsidRPr="0061711E" w:rsidRDefault="00BA1293" w:rsidP="004F79A3">
      <w:pPr>
        <w:pStyle w:val="TOC4"/>
        <w:tabs>
          <w:tab w:val="left" w:pos="1100"/>
          <w:tab w:val="right" w:pos="7560"/>
          <w:tab w:val="right" w:pos="9350"/>
        </w:tabs>
        <w:ind w:firstLine="60"/>
        <w:rPr>
          <w:rFonts w:asciiTheme="minorHAnsi" w:eastAsiaTheme="minorEastAsia" w:hAnsiTheme="minorHAnsi" w:cstheme="minorBidi"/>
          <w:noProof/>
        </w:rPr>
      </w:pPr>
      <w:hyperlink w:anchor="_Toc517687921" w:history="1">
        <w:r w:rsidR="00C544C3" w:rsidRPr="0061711E">
          <w:rPr>
            <w:rStyle w:val="Hyperlink"/>
            <w:rFonts w:asciiTheme="minorHAnsi" w:hAnsiTheme="minorHAnsi"/>
            <w:noProof/>
          </w:rPr>
          <w:t>c.</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Consequences of Contact with the Criminal Justice System</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_Toc517687921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83</w:t>
        </w:r>
        <w:r w:rsidR="00C544C3" w:rsidRPr="0061711E">
          <w:rPr>
            <w:rFonts w:asciiTheme="minorHAnsi" w:hAnsiTheme="minorHAnsi"/>
            <w:noProof/>
            <w:webHidden/>
          </w:rPr>
          <w:fldChar w:fldCharType="end"/>
        </w:r>
      </w:hyperlink>
    </w:p>
    <w:p w14:paraId="1E87E530" w14:textId="77777777" w:rsidR="00C544C3" w:rsidRPr="0061711E" w:rsidRDefault="00BA1293" w:rsidP="0061711E">
      <w:pPr>
        <w:pStyle w:val="TOC3"/>
        <w:tabs>
          <w:tab w:val="right" w:pos="7560"/>
        </w:tabs>
        <w:rPr>
          <w:rFonts w:cstheme="minorBidi"/>
          <w:noProof/>
        </w:rPr>
      </w:pPr>
      <w:hyperlink w:anchor="_Toc517687922" w:history="1">
        <w:r w:rsidR="00C544C3" w:rsidRPr="0061711E">
          <w:rPr>
            <w:rStyle w:val="Hyperlink"/>
            <w:noProof/>
          </w:rPr>
          <w:t>3.</w:t>
        </w:r>
        <w:r w:rsidR="00C544C3" w:rsidRPr="0061711E">
          <w:rPr>
            <w:rFonts w:cstheme="minorBidi"/>
            <w:noProof/>
          </w:rPr>
          <w:tab/>
        </w:r>
        <w:r w:rsidR="00C544C3" w:rsidRPr="0061711E">
          <w:rPr>
            <w:rStyle w:val="Hyperlink"/>
            <w:noProof/>
          </w:rPr>
          <w:t>Related Structural Issues of Racial Discrimination</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_Toc517687922 \h </w:instrText>
        </w:r>
        <w:r w:rsidR="00C544C3" w:rsidRPr="0061711E">
          <w:rPr>
            <w:noProof/>
            <w:webHidden/>
          </w:rPr>
        </w:r>
        <w:r w:rsidR="00C544C3" w:rsidRPr="0061711E">
          <w:rPr>
            <w:noProof/>
            <w:webHidden/>
          </w:rPr>
          <w:fldChar w:fldCharType="separate"/>
        </w:r>
        <w:r w:rsidR="002D27D9">
          <w:rPr>
            <w:noProof/>
            <w:webHidden/>
          </w:rPr>
          <w:t>85</w:t>
        </w:r>
        <w:r w:rsidR="00C544C3" w:rsidRPr="0061711E">
          <w:rPr>
            <w:noProof/>
            <w:webHidden/>
          </w:rPr>
          <w:fldChar w:fldCharType="end"/>
        </w:r>
      </w:hyperlink>
    </w:p>
    <w:p w14:paraId="5E702187" w14:textId="77777777" w:rsidR="00C544C3" w:rsidRPr="0061711E" w:rsidRDefault="00BA1293" w:rsidP="004F79A3">
      <w:pPr>
        <w:pStyle w:val="TOC4"/>
        <w:tabs>
          <w:tab w:val="left" w:pos="1100"/>
          <w:tab w:val="right" w:pos="7560"/>
          <w:tab w:val="right" w:pos="9350"/>
        </w:tabs>
        <w:ind w:left="1170" w:hanging="450"/>
        <w:rPr>
          <w:rFonts w:asciiTheme="minorHAnsi" w:eastAsiaTheme="minorEastAsia" w:hAnsiTheme="minorHAnsi" w:cstheme="minorBidi"/>
          <w:noProof/>
        </w:rPr>
      </w:pPr>
      <w:hyperlink w:anchor="_Toc517687923" w:history="1">
        <w:r w:rsidR="00C544C3" w:rsidRPr="0061711E">
          <w:rPr>
            <w:rStyle w:val="Hyperlink"/>
            <w:rFonts w:asciiTheme="minorHAnsi" w:hAnsiTheme="minorHAnsi"/>
            <w:noProof/>
          </w:rPr>
          <w:t>a.</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Social Context: Stigma, Hate Speech, and Hate Crimes</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_Toc517687923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85</w:t>
        </w:r>
        <w:r w:rsidR="00C544C3" w:rsidRPr="0061711E">
          <w:rPr>
            <w:rFonts w:asciiTheme="minorHAnsi" w:hAnsiTheme="minorHAnsi"/>
            <w:noProof/>
            <w:webHidden/>
          </w:rPr>
          <w:fldChar w:fldCharType="end"/>
        </w:r>
      </w:hyperlink>
    </w:p>
    <w:p w14:paraId="0EC30FA3" w14:textId="77777777" w:rsidR="00C544C3" w:rsidRPr="0061711E" w:rsidRDefault="00BA1293" w:rsidP="004F79A3">
      <w:pPr>
        <w:pStyle w:val="TOC4"/>
        <w:tabs>
          <w:tab w:val="left" w:pos="1100"/>
          <w:tab w:val="right" w:pos="7560"/>
          <w:tab w:val="right" w:pos="9350"/>
        </w:tabs>
        <w:ind w:left="1170" w:hanging="450"/>
        <w:rPr>
          <w:rFonts w:asciiTheme="minorHAnsi" w:eastAsiaTheme="minorEastAsia" w:hAnsiTheme="minorHAnsi" w:cstheme="minorBidi"/>
          <w:noProof/>
        </w:rPr>
      </w:pPr>
      <w:hyperlink w:anchor="_Toc517687924" w:history="1">
        <w:r w:rsidR="00C544C3" w:rsidRPr="0061711E">
          <w:rPr>
            <w:rStyle w:val="Hyperlink"/>
            <w:rFonts w:asciiTheme="minorHAnsi" w:hAnsiTheme="minorHAnsi"/>
            <w:noProof/>
          </w:rPr>
          <w:t>b.</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“Stand Your Ground” Laws and Violence by Private Citizens</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_Toc517687924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88</w:t>
        </w:r>
        <w:r w:rsidR="00C544C3" w:rsidRPr="0061711E">
          <w:rPr>
            <w:rFonts w:asciiTheme="minorHAnsi" w:hAnsiTheme="minorHAnsi"/>
            <w:noProof/>
            <w:webHidden/>
          </w:rPr>
          <w:fldChar w:fldCharType="end"/>
        </w:r>
      </w:hyperlink>
    </w:p>
    <w:p w14:paraId="6C3BA0A7" w14:textId="46AF0873" w:rsidR="00C544C3" w:rsidRPr="0061711E" w:rsidRDefault="00BA1293" w:rsidP="004F79A3">
      <w:pPr>
        <w:pStyle w:val="TOC4"/>
        <w:tabs>
          <w:tab w:val="left" w:pos="1100"/>
          <w:tab w:val="right" w:pos="7560"/>
          <w:tab w:val="right" w:pos="9350"/>
        </w:tabs>
        <w:ind w:left="1170" w:hanging="450"/>
        <w:rPr>
          <w:rFonts w:asciiTheme="minorHAnsi" w:eastAsiaTheme="minorEastAsia" w:hAnsiTheme="minorHAnsi" w:cstheme="minorBidi"/>
          <w:noProof/>
        </w:rPr>
      </w:pPr>
      <w:hyperlink w:anchor="_Toc517687925" w:history="1">
        <w:r w:rsidR="00C544C3" w:rsidRPr="0061711E">
          <w:rPr>
            <w:rStyle w:val="Hyperlink"/>
            <w:rFonts w:asciiTheme="minorHAnsi" w:hAnsiTheme="minorHAnsi"/>
            <w:noProof/>
          </w:rPr>
          <w:t>c.</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Inter</w:t>
        </w:r>
        <w:bookmarkStart w:id="0" w:name="_GoBack"/>
        <w:bookmarkEnd w:id="0"/>
        <w:r w:rsidR="00C544C3" w:rsidRPr="0061711E">
          <w:rPr>
            <w:rStyle w:val="Hyperlink"/>
            <w:rFonts w:asciiTheme="minorHAnsi" w:hAnsiTheme="minorHAnsi"/>
            <w:noProof/>
          </w:rPr>
          <w:t xml:space="preserve">sectional Discrimination: Women, Persons with </w:t>
        </w:r>
        <w:r w:rsidR="004F79A3">
          <w:rPr>
            <w:rStyle w:val="Hyperlink"/>
            <w:rFonts w:asciiTheme="minorHAnsi" w:hAnsiTheme="minorHAnsi"/>
            <w:noProof/>
          </w:rPr>
          <w:br/>
        </w:r>
        <w:r w:rsidR="00C544C3" w:rsidRPr="0061711E">
          <w:rPr>
            <w:rStyle w:val="Hyperlink"/>
            <w:rFonts w:asciiTheme="minorHAnsi" w:hAnsiTheme="minorHAnsi"/>
            <w:noProof/>
          </w:rPr>
          <w:t>Disabilities, and LGBTI Persons</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_Toc517687925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90</w:t>
        </w:r>
        <w:r w:rsidR="00C544C3" w:rsidRPr="0061711E">
          <w:rPr>
            <w:rFonts w:asciiTheme="minorHAnsi" w:hAnsiTheme="minorHAnsi"/>
            <w:noProof/>
            <w:webHidden/>
          </w:rPr>
          <w:fldChar w:fldCharType="end"/>
        </w:r>
      </w:hyperlink>
    </w:p>
    <w:p w14:paraId="468F0899" w14:textId="43E3FB72" w:rsidR="00C544C3" w:rsidRPr="0061711E" w:rsidRDefault="00BA1293" w:rsidP="004F79A3">
      <w:pPr>
        <w:pStyle w:val="TOC4"/>
        <w:tabs>
          <w:tab w:val="left" w:pos="1100"/>
          <w:tab w:val="right" w:pos="7560"/>
          <w:tab w:val="right" w:pos="9350"/>
        </w:tabs>
        <w:ind w:left="1170" w:hanging="450"/>
        <w:rPr>
          <w:rFonts w:asciiTheme="minorHAnsi" w:eastAsiaTheme="minorEastAsia" w:hAnsiTheme="minorHAnsi" w:cstheme="minorBidi"/>
          <w:noProof/>
        </w:rPr>
      </w:pPr>
      <w:hyperlink w:anchor="_Toc517687926" w:history="1">
        <w:r w:rsidR="00C544C3" w:rsidRPr="0061711E">
          <w:rPr>
            <w:rStyle w:val="Hyperlink"/>
            <w:rFonts w:asciiTheme="minorHAnsi" w:hAnsiTheme="minorHAnsi"/>
            <w:noProof/>
          </w:rPr>
          <w:t>d.</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 xml:space="preserve">Poverty and Access to Health, Education, Housing, Work, </w:t>
        </w:r>
        <w:r w:rsidR="004F79A3">
          <w:rPr>
            <w:rStyle w:val="Hyperlink"/>
            <w:rFonts w:asciiTheme="minorHAnsi" w:hAnsiTheme="minorHAnsi"/>
            <w:noProof/>
          </w:rPr>
          <w:br/>
        </w:r>
        <w:r w:rsidR="00C544C3" w:rsidRPr="0061711E">
          <w:rPr>
            <w:rStyle w:val="Hyperlink"/>
            <w:rFonts w:asciiTheme="minorHAnsi" w:hAnsiTheme="minorHAnsi"/>
            <w:noProof/>
          </w:rPr>
          <w:t>and other Rights</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_Toc517687926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93</w:t>
        </w:r>
        <w:r w:rsidR="00C544C3" w:rsidRPr="0061711E">
          <w:rPr>
            <w:rFonts w:asciiTheme="minorHAnsi" w:hAnsiTheme="minorHAnsi"/>
            <w:noProof/>
            <w:webHidden/>
          </w:rPr>
          <w:fldChar w:fldCharType="end"/>
        </w:r>
      </w:hyperlink>
    </w:p>
    <w:p w14:paraId="7849BF01" w14:textId="77777777" w:rsidR="00C544C3" w:rsidRPr="0061711E" w:rsidRDefault="00BA1293" w:rsidP="004F79A3">
      <w:pPr>
        <w:pStyle w:val="TOC2"/>
        <w:rPr>
          <w:rFonts w:cstheme="minorBidi"/>
        </w:rPr>
      </w:pPr>
      <w:hyperlink w:anchor="_Toc517687927" w:history="1">
        <w:r w:rsidR="00C544C3" w:rsidRPr="0061711E">
          <w:rPr>
            <w:rStyle w:val="Hyperlink"/>
          </w:rPr>
          <w:t>D.</w:t>
        </w:r>
        <w:r w:rsidR="00C544C3" w:rsidRPr="0061711E">
          <w:rPr>
            <w:rFonts w:cstheme="minorBidi"/>
          </w:rPr>
          <w:tab/>
        </w:r>
        <w:r w:rsidR="00C544C3" w:rsidRPr="0061711E">
          <w:rPr>
            <w:rStyle w:val="Hyperlink"/>
          </w:rPr>
          <w:t>Information about Federal Initiatives</w:t>
        </w:r>
        <w:r w:rsidR="00C544C3" w:rsidRPr="0061711E">
          <w:rPr>
            <w:webHidden/>
          </w:rPr>
          <w:tab/>
        </w:r>
        <w:r w:rsidR="00C544C3" w:rsidRPr="0061711E">
          <w:rPr>
            <w:webHidden/>
          </w:rPr>
          <w:fldChar w:fldCharType="begin"/>
        </w:r>
        <w:r w:rsidR="00C544C3" w:rsidRPr="0061711E">
          <w:rPr>
            <w:webHidden/>
          </w:rPr>
          <w:instrText xml:space="preserve"> PAGEREF _Toc517687927 \h </w:instrText>
        </w:r>
        <w:r w:rsidR="00C544C3" w:rsidRPr="0061711E">
          <w:rPr>
            <w:webHidden/>
          </w:rPr>
        </w:r>
        <w:r w:rsidR="00C544C3" w:rsidRPr="0061711E">
          <w:rPr>
            <w:webHidden/>
          </w:rPr>
          <w:fldChar w:fldCharType="separate"/>
        </w:r>
        <w:r w:rsidR="002D27D9">
          <w:rPr>
            <w:webHidden/>
          </w:rPr>
          <w:t>95</w:t>
        </w:r>
        <w:r w:rsidR="00C544C3" w:rsidRPr="0061711E">
          <w:rPr>
            <w:webHidden/>
          </w:rPr>
          <w:fldChar w:fldCharType="end"/>
        </w:r>
      </w:hyperlink>
    </w:p>
    <w:p w14:paraId="40317902" w14:textId="77777777" w:rsidR="00C544C3" w:rsidRPr="0061711E" w:rsidRDefault="00BA1293" w:rsidP="004F79A3">
      <w:pPr>
        <w:pStyle w:val="TOC3"/>
        <w:tabs>
          <w:tab w:val="right" w:pos="7560"/>
        </w:tabs>
        <w:ind w:firstLine="360"/>
        <w:rPr>
          <w:rFonts w:cstheme="minorBidi"/>
          <w:noProof/>
        </w:rPr>
      </w:pPr>
      <w:hyperlink w:anchor="_Toc517687928" w:history="1">
        <w:r w:rsidR="00C544C3" w:rsidRPr="0061711E">
          <w:rPr>
            <w:rStyle w:val="Hyperlink"/>
            <w:noProof/>
          </w:rPr>
          <w:t>1.</w:t>
        </w:r>
        <w:r w:rsidR="00C544C3" w:rsidRPr="0061711E">
          <w:rPr>
            <w:rFonts w:cstheme="minorBidi"/>
            <w:noProof/>
          </w:rPr>
          <w:tab/>
        </w:r>
        <w:r w:rsidR="00C544C3" w:rsidRPr="0061711E">
          <w:rPr>
            <w:rStyle w:val="Hyperlink"/>
            <w:noProof/>
          </w:rPr>
          <w:t>Actions and Initiatives by the Department of Justice</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_Toc517687928 \h </w:instrText>
        </w:r>
        <w:r w:rsidR="00C544C3" w:rsidRPr="0061711E">
          <w:rPr>
            <w:noProof/>
            <w:webHidden/>
          </w:rPr>
        </w:r>
        <w:r w:rsidR="00C544C3" w:rsidRPr="0061711E">
          <w:rPr>
            <w:noProof/>
            <w:webHidden/>
          </w:rPr>
          <w:fldChar w:fldCharType="separate"/>
        </w:r>
        <w:r w:rsidR="002D27D9">
          <w:rPr>
            <w:noProof/>
            <w:webHidden/>
          </w:rPr>
          <w:t>95</w:t>
        </w:r>
        <w:r w:rsidR="00C544C3" w:rsidRPr="0061711E">
          <w:rPr>
            <w:noProof/>
            <w:webHidden/>
          </w:rPr>
          <w:fldChar w:fldCharType="end"/>
        </w:r>
      </w:hyperlink>
    </w:p>
    <w:p w14:paraId="44FC0DEE" w14:textId="77777777" w:rsidR="00C544C3" w:rsidRPr="0061711E" w:rsidRDefault="00BA1293" w:rsidP="004F79A3">
      <w:pPr>
        <w:pStyle w:val="TOC3"/>
        <w:tabs>
          <w:tab w:val="right" w:pos="7560"/>
        </w:tabs>
        <w:ind w:firstLine="360"/>
        <w:rPr>
          <w:rFonts w:cstheme="minorBidi"/>
          <w:noProof/>
        </w:rPr>
      </w:pPr>
      <w:hyperlink w:anchor="_Toc517687929" w:history="1">
        <w:r w:rsidR="00C544C3" w:rsidRPr="0061711E">
          <w:rPr>
            <w:rStyle w:val="Hyperlink"/>
            <w:noProof/>
          </w:rPr>
          <w:t>2.</w:t>
        </w:r>
        <w:r w:rsidR="00C544C3" w:rsidRPr="0061711E">
          <w:rPr>
            <w:rFonts w:cstheme="minorBidi"/>
            <w:noProof/>
          </w:rPr>
          <w:tab/>
        </w:r>
        <w:r w:rsidR="00C544C3" w:rsidRPr="0061711E">
          <w:rPr>
            <w:rStyle w:val="Hyperlink"/>
            <w:noProof/>
          </w:rPr>
          <w:t>President Obama’s Task Force on 21st Century Policing</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_Toc517687929 \h </w:instrText>
        </w:r>
        <w:r w:rsidR="00C544C3" w:rsidRPr="0061711E">
          <w:rPr>
            <w:noProof/>
            <w:webHidden/>
          </w:rPr>
        </w:r>
        <w:r w:rsidR="00C544C3" w:rsidRPr="0061711E">
          <w:rPr>
            <w:noProof/>
            <w:webHidden/>
          </w:rPr>
          <w:fldChar w:fldCharType="separate"/>
        </w:r>
        <w:r w:rsidR="002D27D9">
          <w:rPr>
            <w:noProof/>
            <w:webHidden/>
          </w:rPr>
          <w:t>96</w:t>
        </w:r>
        <w:r w:rsidR="00C544C3" w:rsidRPr="0061711E">
          <w:rPr>
            <w:noProof/>
            <w:webHidden/>
          </w:rPr>
          <w:fldChar w:fldCharType="end"/>
        </w:r>
      </w:hyperlink>
    </w:p>
    <w:p w14:paraId="14AF32E3" w14:textId="77777777" w:rsidR="00C544C3" w:rsidRPr="0061711E" w:rsidRDefault="00BA1293" w:rsidP="004F79A3">
      <w:pPr>
        <w:pStyle w:val="TOC3"/>
        <w:tabs>
          <w:tab w:val="right" w:pos="7560"/>
        </w:tabs>
        <w:ind w:firstLine="360"/>
        <w:rPr>
          <w:rFonts w:cstheme="minorBidi"/>
          <w:noProof/>
        </w:rPr>
      </w:pPr>
      <w:hyperlink w:anchor="_Toc517687930" w:history="1">
        <w:r w:rsidR="00C544C3" w:rsidRPr="0061711E">
          <w:rPr>
            <w:rStyle w:val="Hyperlink"/>
            <w:noProof/>
          </w:rPr>
          <w:t>3.</w:t>
        </w:r>
        <w:r w:rsidR="00C544C3" w:rsidRPr="0061711E">
          <w:rPr>
            <w:rFonts w:cstheme="minorBidi"/>
            <w:noProof/>
          </w:rPr>
          <w:tab/>
        </w:r>
        <w:r w:rsidR="00C544C3" w:rsidRPr="0061711E">
          <w:rPr>
            <w:rStyle w:val="Hyperlink"/>
            <w:noProof/>
          </w:rPr>
          <w:t>Community Policing and other Initiatives</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_Toc517687930 \h </w:instrText>
        </w:r>
        <w:r w:rsidR="00C544C3" w:rsidRPr="0061711E">
          <w:rPr>
            <w:noProof/>
            <w:webHidden/>
          </w:rPr>
        </w:r>
        <w:r w:rsidR="00C544C3" w:rsidRPr="0061711E">
          <w:rPr>
            <w:noProof/>
            <w:webHidden/>
          </w:rPr>
          <w:fldChar w:fldCharType="separate"/>
        </w:r>
        <w:r w:rsidR="002D27D9">
          <w:rPr>
            <w:noProof/>
            <w:webHidden/>
          </w:rPr>
          <w:t>97</w:t>
        </w:r>
        <w:r w:rsidR="00C544C3" w:rsidRPr="0061711E">
          <w:rPr>
            <w:noProof/>
            <w:webHidden/>
          </w:rPr>
          <w:fldChar w:fldCharType="end"/>
        </w:r>
      </w:hyperlink>
    </w:p>
    <w:p w14:paraId="203FF6A0" w14:textId="77777777" w:rsidR="00C544C3" w:rsidRPr="0061711E" w:rsidRDefault="00BA1293" w:rsidP="004F79A3">
      <w:pPr>
        <w:pStyle w:val="TOC2"/>
        <w:rPr>
          <w:rFonts w:cstheme="minorBidi"/>
        </w:rPr>
      </w:pPr>
      <w:hyperlink w:anchor="_Toc517687931" w:history="1">
        <w:r w:rsidR="00C544C3" w:rsidRPr="0061711E">
          <w:rPr>
            <w:rStyle w:val="Hyperlink"/>
          </w:rPr>
          <w:t>E.</w:t>
        </w:r>
        <w:r w:rsidR="00C544C3" w:rsidRPr="0061711E">
          <w:rPr>
            <w:rFonts w:cstheme="minorBidi"/>
          </w:rPr>
          <w:tab/>
        </w:r>
        <w:r w:rsidR="00C544C3" w:rsidRPr="0061711E">
          <w:rPr>
            <w:rStyle w:val="Hyperlink"/>
          </w:rPr>
          <w:t>Considerations of the Commission</w:t>
        </w:r>
        <w:r w:rsidR="00C544C3" w:rsidRPr="0061711E">
          <w:rPr>
            <w:webHidden/>
          </w:rPr>
          <w:tab/>
        </w:r>
        <w:r w:rsidR="00C544C3" w:rsidRPr="0061711E">
          <w:rPr>
            <w:webHidden/>
          </w:rPr>
          <w:fldChar w:fldCharType="begin"/>
        </w:r>
        <w:r w:rsidR="00C544C3" w:rsidRPr="0061711E">
          <w:rPr>
            <w:webHidden/>
          </w:rPr>
          <w:instrText xml:space="preserve"> PAGEREF _Toc517687931 \h </w:instrText>
        </w:r>
        <w:r w:rsidR="00C544C3" w:rsidRPr="0061711E">
          <w:rPr>
            <w:webHidden/>
          </w:rPr>
        </w:r>
        <w:r w:rsidR="00C544C3" w:rsidRPr="0061711E">
          <w:rPr>
            <w:webHidden/>
          </w:rPr>
          <w:fldChar w:fldCharType="separate"/>
        </w:r>
        <w:r w:rsidR="002D27D9">
          <w:rPr>
            <w:webHidden/>
          </w:rPr>
          <w:t>97</w:t>
        </w:r>
        <w:r w:rsidR="00C544C3" w:rsidRPr="0061711E">
          <w:rPr>
            <w:webHidden/>
          </w:rPr>
          <w:fldChar w:fldCharType="end"/>
        </w:r>
      </w:hyperlink>
    </w:p>
    <w:p w14:paraId="50E50887" w14:textId="245FA8F6" w:rsidR="00C544C3" w:rsidRPr="004F79A3" w:rsidRDefault="00BA1293" w:rsidP="00141874">
      <w:pPr>
        <w:pStyle w:val="TOC1"/>
        <w:rPr>
          <w:rStyle w:val="Hyperlink"/>
          <w:b/>
          <w:noProof/>
          <w:sz w:val="22"/>
          <w:szCs w:val="22"/>
        </w:rPr>
      </w:pPr>
      <w:hyperlink w:anchor="_Toc517687932" w:history="1">
        <w:r w:rsidR="00C544C3" w:rsidRPr="004F79A3">
          <w:rPr>
            <w:rStyle w:val="Hyperlink"/>
            <w:b/>
            <w:noProof/>
            <w:color w:val="808080" w:themeColor="background1" w:themeShade="80"/>
            <w:sz w:val="22"/>
            <w:szCs w:val="22"/>
          </w:rPr>
          <w:t xml:space="preserve">CHAPTER 3 </w:t>
        </w:r>
        <w:r w:rsidR="00704559" w:rsidRPr="004F79A3">
          <w:rPr>
            <w:rStyle w:val="Hyperlink"/>
            <w:b/>
            <w:noProof/>
            <w:color w:val="808080" w:themeColor="background1" w:themeShade="80"/>
            <w:sz w:val="22"/>
            <w:szCs w:val="22"/>
          </w:rPr>
          <w:t xml:space="preserve">| </w:t>
        </w:r>
        <w:r w:rsidR="004F79A3">
          <w:rPr>
            <w:rStyle w:val="Hyperlink"/>
            <w:b/>
            <w:noProof/>
            <w:sz w:val="22"/>
            <w:szCs w:val="22"/>
          </w:rPr>
          <w:tab/>
        </w:r>
        <w:r w:rsidR="00C544C3" w:rsidRPr="0061711E">
          <w:rPr>
            <w:rStyle w:val="Hyperlink"/>
            <w:b/>
            <w:noProof/>
            <w:sz w:val="22"/>
            <w:szCs w:val="22"/>
          </w:rPr>
          <w:t xml:space="preserve">INTER-AMERICAN AND INTERNATIONAL OBLIGATIONS </w:t>
        </w:r>
        <w:r w:rsidR="001C39DE" w:rsidRPr="0061711E">
          <w:rPr>
            <w:rStyle w:val="Hyperlink"/>
            <w:b/>
            <w:noProof/>
            <w:sz w:val="22"/>
            <w:szCs w:val="22"/>
          </w:rPr>
          <w:br/>
        </w:r>
        <w:r w:rsidR="00C544C3" w:rsidRPr="0061711E">
          <w:rPr>
            <w:rStyle w:val="Hyperlink"/>
            <w:b/>
            <w:noProof/>
            <w:sz w:val="22"/>
            <w:szCs w:val="22"/>
          </w:rPr>
          <w:t>OF THE UNITED STATES REGARDING NON-DISCRIMINATION, USE OF FORCE, AND ACCESS TO JUSTICE</w:t>
        </w:r>
        <w:r w:rsidR="00C544C3" w:rsidRPr="004F79A3">
          <w:rPr>
            <w:rStyle w:val="Hyperlink"/>
            <w:b/>
            <w:noProof/>
            <w:webHidden/>
            <w:sz w:val="22"/>
            <w:szCs w:val="22"/>
          </w:rPr>
          <w:tab/>
        </w:r>
        <w:r w:rsidR="00C544C3" w:rsidRPr="004F79A3">
          <w:rPr>
            <w:rStyle w:val="Hyperlink"/>
            <w:b/>
            <w:noProof/>
            <w:webHidden/>
            <w:sz w:val="22"/>
            <w:szCs w:val="22"/>
          </w:rPr>
          <w:fldChar w:fldCharType="begin"/>
        </w:r>
        <w:r w:rsidR="00C544C3" w:rsidRPr="004F79A3">
          <w:rPr>
            <w:rStyle w:val="Hyperlink"/>
            <w:b/>
            <w:noProof/>
            <w:webHidden/>
            <w:sz w:val="22"/>
            <w:szCs w:val="22"/>
          </w:rPr>
          <w:instrText xml:space="preserve"> PAGEREF _Toc517687932 \h </w:instrText>
        </w:r>
        <w:r w:rsidR="00C544C3" w:rsidRPr="004F79A3">
          <w:rPr>
            <w:rStyle w:val="Hyperlink"/>
            <w:b/>
            <w:noProof/>
            <w:webHidden/>
            <w:sz w:val="22"/>
            <w:szCs w:val="22"/>
          </w:rPr>
        </w:r>
        <w:r w:rsidR="00C544C3" w:rsidRPr="004F79A3">
          <w:rPr>
            <w:rStyle w:val="Hyperlink"/>
            <w:b/>
            <w:noProof/>
            <w:webHidden/>
            <w:sz w:val="22"/>
            <w:szCs w:val="22"/>
          </w:rPr>
          <w:fldChar w:fldCharType="separate"/>
        </w:r>
        <w:r w:rsidR="002D27D9">
          <w:rPr>
            <w:rStyle w:val="Hyperlink"/>
            <w:b/>
            <w:noProof/>
            <w:webHidden/>
            <w:sz w:val="22"/>
            <w:szCs w:val="22"/>
          </w:rPr>
          <w:t>101</w:t>
        </w:r>
        <w:r w:rsidR="00C544C3" w:rsidRPr="004F79A3">
          <w:rPr>
            <w:rStyle w:val="Hyperlink"/>
            <w:b/>
            <w:noProof/>
            <w:webHidden/>
            <w:sz w:val="22"/>
            <w:szCs w:val="22"/>
          </w:rPr>
          <w:fldChar w:fldCharType="end"/>
        </w:r>
      </w:hyperlink>
    </w:p>
    <w:p w14:paraId="7D8509EB" w14:textId="77777777" w:rsidR="00C544C3" w:rsidRPr="0061711E" w:rsidRDefault="00BA1293" w:rsidP="004F79A3">
      <w:pPr>
        <w:pStyle w:val="TOC2"/>
        <w:rPr>
          <w:rFonts w:cstheme="minorBidi"/>
        </w:rPr>
      </w:pPr>
      <w:hyperlink w:anchor="_Toc517687933" w:history="1">
        <w:r w:rsidR="00C544C3" w:rsidRPr="0061711E">
          <w:rPr>
            <w:rStyle w:val="Hyperlink"/>
          </w:rPr>
          <w:t>A.</w:t>
        </w:r>
        <w:r w:rsidR="00C544C3" w:rsidRPr="0061711E">
          <w:rPr>
            <w:rFonts w:cstheme="minorBidi"/>
          </w:rPr>
          <w:tab/>
        </w:r>
        <w:r w:rsidR="00C544C3" w:rsidRPr="0061711E">
          <w:rPr>
            <w:rStyle w:val="Hyperlink"/>
          </w:rPr>
          <w:t>International Framework regarding Equality and Non-Discrimination</w:t>
        </w:r>
        <w:r w:rsidR="00C544C3" w:rsidRPr="0061711E">
          <w:rPr>
            <w:webHidden/>
          </w:rPr>
          <w:tab/>
        </w:r>
        <w:r w:rsidR="00C544C3" w:rsidRPr="0061711E">
          <w:rPr>
            <w:webHidden/>
          </w:rPr>
          <w:fldChar w:fldCharType="begin"/>
        </w:r>
        <w:r w:rsidR="00C544C3" w:rsidRPr="0061711E">
          <w:rPr>
            <w:webHidden/>
          </w:rPr>
          <w:instrText xml:space="preserve"> PAGEREF _Toc517687933 \h </w:instrText>
        </w:r>
        <w:r w:rsidR="00C544C3" w:rsidRPr="0061711E">
          <w:rPr>
            <w:webHidden/>
          </w:rPr>
        </w:r>
        <w:r w:rsidR="00C544C3" w:rsidRPr="0061711E">
          <w:rPr>
            <w:webHidden/>
          </w:rPr>
          <w:fldChar w:fldCharType="separate"/>
        </w:r>
        <w:r w:rsidR="002D27D9">
          <w:rPr>
            <w:webHidden/>
          </w:rPr>
          <w:t>104</w:t>
        </w:r>
        <w:r w:rsidR="00C544C3" w:rsidRPr="0061711E">
          <w:rPr>
            <w:webHidden/>
          </w:rPr>
          <w:fldChar w:fldCharType="end"/>
        </w:r>
      </w:hyperlink>
    </w:p>
    <w:p w14:paraId="73DA6545" w14:textId="3C55F32E" w:rsidR="00C544C3" w:rsidRPr="0061711E" w:rsidRDefault="00BA1293" w:rsidP="004F79A3">
      <w:pPr>
        <w:pStyle w:val="TOC2"/>
        <w:rPr>
          <w:rFonts w:cstheme="minorBidi"/>
        </w:rPr>
      </w:pPr>
      <w:hyperlink w:anchor="_Toc517687934" w:history="1">
        <w:r w:rsidR="00C544C3" w:rsidRPr="0061711E">
          <w:rPr>
            <w:rStyle w:val="Hyperlink"/>
          </w:rPr>
          <w:t>B.</w:t>
        </w:r>
        <w:r w:rsidR="00C544C3" w:rsidRPr="0061711E">
          <w:rPr>
            <w:rFonts w:cstheme="minorBidi"/>
          </w:rPr>
          <w:tab/>
        </w:r>
        <w:r w:rsidR="00C544C3" w:rsidRPr="0061711E">
          <w:rPr>
            <w:rStyle w:val="Hyperlink"/>
          </w:rPr>
          <w:t xml:space="preserve">International Framework regarding the Use of Force: Legality, </w:t>
        </w:r>
        <w:r w:rsidR="005C2394">
          <w:rPr>
            <w:rStyle w:val="Hyperlink"/>
          </w:rPr>
          <w:br/>
        </w:r>
        <w:r w:rsidR="00C544C3" w:rsidRPr="0061711E">
          <w:rPr>
            <w:rStyle w:val="Hyperlink"/>
          </w:rPr>
          <w:t xml:space="preserve">Absolute </w:t>
        </w:r>
        <w:r w:rsidR="00C544C3" w:rsidRPr="0061711E">
          <w:rPr>
            <w:rStyle w:val="Hyperlink"/>
            <w:bCs/>
            <w:iCs/>
          </w:rPr>
          <w:t>Necessity, and Proportionality</w:t>
        </w:r>
        <w:r w:rsidR="00C544C3" w:rsidRPr="0061711E">
          <w:rPr>
            <w:webHidden/>
          </w:rPr>
          <w:tab/>
        </w:r>
        <w:r w:rsidR="00C544C3" w:rsidRPr="0061711E">
          <w:rPr>
            <w:webHidden/>
          </w:rPr>
          <w:fldChar w:fldCharType="begin"/>
        </w:r>
        <w:r w:rsidR="00C544C3" w:rsidRPr="0061711E">
          <w:rPr>
            <w:webHidden/>
          </w:rPr>
          <w:instrText xml:space="preserve"> PAGEREF _Toc517687934 \h </w:instrText>
        </w:r>
        <w:r w:rsidR="00C544C3" w:rsidRPr="0061711E">
          <w:rPr>
            <w:webHidden/>
          </w:rPr>
        </w:r>
        <w:r w:rsidR="00C544C3" w:rsidRPr="0061711E">
          <w:rPr>
            <w:webHidden/>
          </w:rPr>
          <w:fldChar w:fldCharType="separate"/>
        </w:r>
        <w:r w:rsidR="002D27D9">
          <w:rPr>
            <w:webHidden/>
          </w:rPr>
          <w:t>110</w:t>
        </w:r>
        <w:r w:rsidR="00C544C3" w:rsidRPr="0061711E">
          <w:rPr>
            <w:webHidden/>
          </w:rPr>
          <w:fldChar w:fldCharType="end"/>
        </w:r>
      </w:hyperlink>
    </w:p>
    <w:p w14:paraId="1C6BED4C" w14:textId="77777777" w:rsidR="00C544C3" w:rsidRPr="0061711E" w:rsidRDefault="00BA1293" w:rsidP="004F79A3">
      <w:pPr>
        <w:pStyle w:val="TOC3"/>
        <w:tabs>
          <w:tab w:val="right" w:pos="7560"/>
        </w:tabs>
        <w:ind w:firstLine="360"/>
        <w:rPr>
          <w:rFonts w:cstheme="minorBidi"/>
          <w:noProof/>
        </w:rPr>
      </w:pPr>
      <w:hyperlink w:anchor="_Toc517687935" w:history="1">
        <w:r w:rsidR="00C544C3" w:rsidRPr="0061711E">
          <w:rPr>
            <w:rStyle w:val="Hyperlink"/>
            <w:noProof/>
          </w:rPr>
          <w:t>1.</w:t>
        </w:r>
        <w:r w:rsidR="00C544C3" w:rsidRPr="0061711E">
          <w:rPr>
            <w:rFonts w:cstheme="minorBidi"/>
            <w:noProof/>
          </w:rPr>
          <w:tab/>
        </w:r>
        <w:r w:rsidR="00C544C3" w:rsidRPr="0061711E">
          <w:rPr>
            <w:rStyle w:val="Hyperlink"/>
            <w:noProof/>
          </w:rPr>
          <w:t>Domestic Legal Framework Governing Use of Force</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_Toc517687935 \h </w:instrText>
        </w:r>
        <w:r w:rsidR="00C544C3" w:rsidRPr="0061711E">
          <w:rPr>
            <w:noProof/>
            <w:webHidden/>
          </w:rPr>
        </w:r>
        <w:r w:rsidR="00C544C3" w:rsidRPr="0061711E">
          <w:rPr>
            <w:noProof/>
            <w:webHidden/>
          </w:rPr>
          <w:fldChar w:fldCharType="separate"/>
        </w:r>
        <w:r w:rsidR="002D27D9">
          <w:rPr>
            <w:noProof/>
            <w:webHidden/>
          </w:rPr>
          <w:t>114</w:t>
        </w:r>
        <w:r w:rsidR="00C544C3" w:rsidRPr="0061711E">
          <w:rPr>
            <w:noProof/>
            <w:webHidden/>
          </w:rPr>
          <w:fldChar w:fldCharType="end"/>
        </w:r>
      </w:hyperlink>
    </w:p>
    <w:p w14:paraId="737B3F5E" w14:textId="77777777" w:rsidR="00C544C3" w:rsidRPr="0061711E" w:rsidRDefault="00BA1293" w:rsidP="004F79A3">
      <w:pPr>
        <w:pStyle w:val="TOC3"/>
        <w:tabs>
          <w:tab w:val="right" w:pos="7560"/>
        </w:tabs>
        <w:ind w:firstLine="360"/>
        <w:rPr>
          <w:rFonts w:cstheme="minorBidi"/>
          <w:noProof/>
        </w:rPr>
      </w:pPr>
      <w:hyperlink w:anchor="_Toc517687936" w:history="1">
        <w:r w:rsidR="00C544C3" w:rsidRPr="0061711E">
          <w:rPr>
            <w:rStyle w:val="Hyperlink"/>
            <w:noProof/>
          </w:rPr>
          <w:t>2.</w:t>
        </w:r>
        <w:r w:rsidR="00C544C3" w:rsidRPr="0061711E">
          <w:rPr>
            <w:rFonts w:cstheme="minorBidi"/>
            <w:noProof/>
          </w:rPr>
          <w:tab/>
        </w:r>
        <w:r w:rsidR="00C544C3" w:rsidRPr="0061711E">
          <w:rPr>
            <w:rStyle w:val="Hyperlink"/>
            <w:noProof/>
          </w:rPr>
          <w:t>Institutional Reform and Guidelines for Policing</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_Toc517687936 \h </w:instrText>
        </w:r>
        <w:r w:rsidR="00C544C3" w:rsidRPr="0061711E">
          <w:rPr>
            <w:noProof/>
            <w:webHidden/>
          </w:rPr>
        </w:r>
        <w:r w:rsidR="00C544C3" w:rsidRPr="0061711E">
          <w:rPr>
            <w:noProof/>
            <w:webHidden/>
          </w:rPr>
          <w:fldChar w:fldCharType="separate"/>
        </w:r>
        <w:r w:rsidR="002D27D9">
          <w:rPr>
            <w:noProof/>
            <w:webHidden/>
          </w:rPr>
          <w:t>116</w:t>
        </w:r>
        <w:r w:rsidR="00C544C3" w:rsidRPr="0061711E">
          <w:rPr>
            <w:noProof/>
            <w:webHidden/>
          </w:rPr>
          <w:fldChar w:fldCharType="end"/>
        </w:r>
      </w:hyperlink>
    </w:p>
    <w:p w14:paraId="5A3AF348" w14:textId="77777777" w:rsidR="00C544C3" w:rsidRPr="0061711E" w:rsidRDefault="00BA1293" w:rsidP="004F79A3">
      <w:pPr>
        <w:pStyle w:val="TOC4"/>
        <w:tabs>
          <w:tab w:val="left" w:pos="1100"/>
          <w:tab w:val="right" w:pos="7560"/>
          <w:tab w:val="right" w:pos="9350"/>
        </w:tabs>
        <w:ind w:left="1170" w:hanging="450"/>
        <w:rPr>
          <w:rFonts w:asciiTheme="minorHAnsi" w:eastAsiaTheme="minorEastAsia" w:hAnsiTheme="minorHAnsi" w:cstheme="minorBidi"/>
          <w:noProof/>
        </w:rPr>
      </w:pPr>
      <w:hyperlink w:anchor="_Toc517687937" w:history="1">
        <w:r w:rsidR="00C544C3" w:rsidRPr="0061711E">
          <w:rPr>
            <w:rStyle w:val="Hyperlink"/>
            <w:rFonts w:asciiTheme="minorHAnsi" w:hAnsiTheme="minorHAnsi"/>
            <w:noProof/>
          </w:rPr>
          <w:t>a.</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Hiring and Training of Police</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_Toc517687937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116</w:t>
        </w:r>
        <w:r w:rsidR="00C544C3" w:rsidRPr="0061711E">
          <w:rPr>
            <w:rFonts w:asciiTheme="minorHAnsi" w:hAnsiTheme="minorHAnsi"/>
            <w:noProof/>
            <w:webHidden/>
          </w:rPr>
          <w:fldChar w:fldCharType="end"/>
        </w:r>
      </w:hyperlink>
    </w:p>
    <w:p w14:paraId="2293EDD8" w14:textId="77777777" w:rsidR="00C544C3" w:rsidRPr="0061711E" w:rsidRDefault="00BA1293" w:rsidP="004F79A3">
      <w:pPr>
        <w:pStyle w:val="TOC4"/>
        <w:tabs>
          <w:tab w:val="left" w:pos="1100"/>
          <w:tab w:val="right" w:pos="7560"/>
          <w:tab w:val="right" w:pos="9350"/>
        </w:tabs>
        <w:ind w:left="1170" w:hanging="450"/>
        <w:rPr>
          <w:rFonts w:asciiTheme="minorHAnsi" w:eastAsiaTheme="minorEastAsia" w:hAnsiTheme="minorHAnsi" w:cstheme="minorBidi"/>
          <w:noProof/>
        </w:rPr>
      </w:pPr>
      <w:hyperlink w:anchor="_Toc517687938" w:history="1">
        <w:r w:rsidR="00C544C3" w:rsidRPr="0061711E">
          <w:rPr>
            <w:rStyle w:val="Hyperlink"/>
            <w:rFonts w:asciiTheme="minorHAnsi" w:hAnsiTheme="minorHAnsi"/>
            <w:noProof/>
          </w:rPr>
          <w:t>b.</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Adoption of Protocols regarding the Use of Force</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_Toc517687938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118</w:t>
        </w:r>
        <w:r w:rsidR="00C544C3" w:rsidRPr="0061711E">
          <w:rPr>
            <w:rFonts w:asciiTheme="minorHAnsi" w:hAnsiTheme="minorHAnsi"/>
            <w:noProof/>
            <w:webHidden/>
          </w:rPr>
          <w:fldChar w:fldCharType="end"/>
        </w:r>
      </w:hyperlink>
    </w:p>
    <w:p w14:paraId="20184565" w14:textId="63212698" w:rsidR="00C544C3" w:rsidRPr="0061711E" w:rsidRDefault="00BA1293" w:rsidP="004F79A3">
      <w:pPr>
        <w:pStyle w:val="TOC4"/>
        <w:tabs>
          <w:tab w:val="left" w:pos="1100"/>
          <w:tab w:val="right" w:pos="7560"/>
          <w:tab w:val="right" w:pos="9350"/>
        </w:tabs>
        <w:ind w:left="1170" w:hanging="450"/>
        <w:rPr>
          <w:rFonts w:asciiTheme="minorHAnsi" w:eastAsiaTheme="minorEastAsia" w:hAnsiTheme="minorHAnsi" w:cstheme="minorBidi"/>
          <w:noProof/>
        </w:rPr>
      </w:pPr>
      <w:hyperlink w:anchor="_Toc517687939" w:history="1">
        <w:r w:rsidR="00C544C3" w:rsidRPr="0061711E">
          <w:rPr>
            <w:rStyle w:val="Hyperlink"/>
            <w:rFonts w:asciiTheme="minorHAnsi" w:hAnsiTheme="minorHAnsi"/>
            <w:noProof/>
          </w:rPr>
          <w:t>c.</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 xml:space="preserve">Preventing Violations of the Prohibition against Torture </w:t>
        </w:r>
        <w:r w:rsidR="004F79A3">
          <w:rPr>
            <w:rStyle w:val="Hyperlink"/>
            <w:rFonts w:asciiTheme="minorHAnsi" w:hAnsiTheme="minorHAnsi"/>
            <w:noProof/>
          </w:rPr>
          <w:br/>
        </w:r>
        <w:r w:rsidR="00C544C3" w:rsidRPr="0061711E">
          <w:rPr>
            <w:rStyle w:val="Hyperlink"/>
            <w:rFonts w:asciiTheme="minorHAnsi" w:hAnsiTheme="minorHAnsi"/>
            <w:noProof/>
          </w:rPr>
          <w:t>and Cruel, Inhuman, and Degrading Treatment</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_Toc517687939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120</w:t>
        </w:r>
        <w:r w:rsidR="00C544C3" w:rsidRPr="0061711E">
          <w:rPr>
            <w:rFonts w:asciiTheme="minorHAnsi" w:hAnsiTheme="minorHAnsi"/>
            <w:noProof/>
            <w:webHidden/>
          </w:rPr>
          <w:fldChar w:fldCharType="end"/>
        </w:r>
      </w:hyperlink>
    </w:p>
    <w:p w14:paraId="5E2B09EF" w14:textId="77777777" w:rsidR="00C544C3" w:rsidRPr="0061711E" w:rsidRDefault="00BA1293" w:rsidP="004F79A3">
      <w:pPr>
        <w:pStyle w:val="TOC3"/>
        <w:tabs>
          <w:tab w:val="right" w:pos="7560"/>
        </w:tabs>
        <w:ind w:firstLine="360"/>
        <w:rPr>
          <w:rFonts w:cstheme="minorBidi"/>
          <w:noProof/>
        </w:rPr>
      </w:pPr>
      <w:hyperlink w:anchor="_Toc517687940" w:history="1">
        <w:r w:rsidR="00C544C3" w:rsidRPr="0061711E">
          <w:rPr>
            <w:rStyle w:val="Hyperlink"/>
            <w:noProof/>
          </w:rPr>
          <w:t>3.</w:t>
        </w:r>
        <w:r w:rsidR="00C544C3" w:rsidRPr="0061711E">
          <w:rPr>
            <w:rFonts w:cstheme="minorBidi"/>
            <w:noProof/>
          </w:rPr>
          <w:tab/>
        </w:r>
        <w:r w:rsidR="00C544C3" w:rsidRPr="0061711E">
          <w:rPr>
            <w:rStyle w:val="Hyperlink"/>
            <w:noProof/>
          </w:rPr>
          <w:t>Militarization of Police</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_Toc517687940 \h </w:instrText>
        </w:r>
        <w:r w:rsidR="00C544C3" w:rsidRPr="0061711E">
          <w:rPr>
            <w:noProof/>
            <w:webHidden/>
          </w:rPr>
        </w:r>
        <w:r w:rsidR="00C544C3" w:rsidRPr="0061711E">
          <w:rPr>
            <w:noProof/>
            <w:webHidden/>
          </w:rPr>
          <w:fldChar w:fldCharType="separate"/>
        </w:r>
        <w:r w:rsidR="002D27D9">
          <w:rPr>
            <w:noProof/>
            <w:webHidden/>
          </w:rPr>
          <w:t>123</w:t>
        </w:r>
        <w:r w:rsidR="00C544C3" w:rsidRPr="0061711E">
          <w:rPr>
            <w:noProof/>
            <w:webHidden/>
          </w:rPr>
          <w:fldChar w:fldCharType="end"/>
        </w:r>
      </w:hyperlink>
    </w:p>
    <w:p w14:paraId="3428F249" w14:textId="7F90BF26" w:rsidR="00C544C3" w:rsidRPr="0061711E" w:rsidRDefault="00BA1293" w:rsidP="004F79A3">
      <w:pPr>
        <w:pStyle w:val="TOC3"/>
        <w:tabs>
          <w:tab w:val="right" w:pos="7560"/>
        </w:tabs>
        <w:ind w:firstLine="360"/>
        <w:rPr>
          <w:rFonts w:cstheme="minorBidi"/>
          <w:noProof/>
        </w:rPr>
      </w:pPr>
      <w:hyperlink w:anchor="_Toc517687941" w:history="1">
        <w:r w:rsidR="00C544C3" w:rsidRPr="0061711E">
          <w:rPr>
            <w:rStyle w:val="Hyperlink"/>
            <w:noProof/>
          </w:rPr>
          <w:t xml:space="preserve">4. </w:t>
        </w:r>
        <w:r w:rsidR="00C544C3" w:rsidRPr="0061711E">
          <w:rPr>
            <w:rStyle w:val="Hyperlink"/>
            <w:noProof/>
          </w:rPr>
          <w:tab/>
          <w:t>Use of Force and Social Protest</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_Toc517687941 \h </w:instrText>
        </w:r>
        <w:r w:rsidR="00C544C3" w:rsidRPr="0061711E">
          <w:rPr>
            <w:noProof/>
            <w:webHidden/>
          </w:rPr>
        </w:r>
        <w:r w:rsidR="00C544C3" w:rsidRPr="0061711E">
          <w:rPr>
            <w:noProof/>
            <w:webHidden/>
          </w:rPr>
          <w:fldChar w:fldCharType="separate"/>
        </w:r>
        <w:r w:rsidR="002D27D9">
          <w:rPr>
            <w:noProof/>
            <w:webHidden/>
          </w:rPr>
          <w:t>124</w:t>
        </w:r>
        <w:r w:rsidR="00C544C3" w:rsidRPr="0061711E">
          <w:rPr>
            <w:noProof/>
            <w:webHidden/>
          </w:rPr>
          <w:fldChar w:fldCharType="end"/>
        </w:r>
      </w:hyperlink>
    </w:p>
    <w:p w14:paraId="21E3B9E8" w14:textId="0E2036BA" w:rsidR="00C544C3" w:rsidRPr="0061711E" w:rsidRDefault="00BA1293" w:rsidP="004F79A3">
      <w:pPr>
        <w:pStyle w:val="TOC2"/>
        <w:rPr>
          <w:rFonts w:cstheme="minorBidi"/>
        </w:rPr>
      </w:pPr>
      <w:hyperlink w:anchor="_Toc517687942" w:history="1">
        <w:r w:rsidR="00610EA8" w:rsidRPr="0061711E">
          <w:rPr>
            <w:rStyle w:val="Hyperlink"/>
          </w:rPr>
          <w:t>C</w:t>
        </w:r>
        <w:r w:rsidR="00C544C3" w:rsidRPr="0061711E">
          <w:rPr>
            <w:rStyle w:val="Hyperlink"/>
          </w:rPr>
          <w:t>.</w:t>
        </w:r>
        <w:r w:rsidR="00C544C3" w:rsidRPr="0061711E">
          <w:rPr>
            <w:rFonts w:cstheme="minorBidi"/>
          </w:rPr>
          <w:tab/>
        </w:r>
        <w:r w:rsidR="00C544C3" w:rsidRPr="0061711E">
          <w:rPr>
            <w:rStyle w:val="Hyperlink"/>
          </w:rPr>
          <w:t>International Framework regarding Access to Justice: Due Diligence, Accountability, Institutional Independence, Remedies, and Reparations</w:t>
        </w:r>
        <w:r w:rsidR="00C544C3" w:rsidRPr="0061711E">
          <w:rPr>
            <w:webHidden/>
          </w:rPr>
          <w:tab/>
        </w:r>
        <w:r w:rsidR="00C544C3" w:rsidRPr="0061711E">
          <w:rPr>
            <w:webHidden/>
          </w:rPr>
          <w:fldChar w:fldCharType="begin"/>
        </w:r>
        <w:r w:rsidR="00C544C3" w:rsidRPr="0061711E">
          <w:rPr>
            <w:webHidden/>
          </w:rPr>
          <w:instrText xml:space="preserve"> PAGEREF _Toc517687942 \h </w:instrText>
        </w:r>
        <w:r w:rsidR="00C544C3" w:rsidRPr="0061711E">
          <w:rPr>
            <w:webHidden/>
          </w:rPr>
        </w:r>
        <w:r w:rsidR="00C544C3" w:rsidRPr="0061711E">
          <w:rPr>
            <w:webHidden/>
          </w:rPr>
          <w:fldChar w:fldCharType="separate"/>
        </w:r>
        <w:r w:rsidR="002D27D9">
          <w:rPr>
            <w:webHidden/>
          </w:rPr>
          <w:t>127</w:t>
        </w:r>
        <w:r w:rsidR="00C544C3" w:rsidRPr="0061711E">
          <w:rPr>
            <w:webHidden/>
          </w:rPr>
          <w:fldChar w:fldCharType="end"/>
        </w:r>
      </w:hyperlink>
    </w:p>
    <w:p w14:paraId="385FB586" w14:textId="77777777" w:rsidR="00C544C3" w:rsidRPr="0061711E" w:rsidRDefault="00BA1293" w:rsidP="004F79A3">
      <w:pPr>
        <w:pStyle w:val="TOC3"/>
        <w:tabs>
          <w:tab w:val="right" w:pos="7560"/>
        </w:tabs>
        <w:ind w:firstLine="360"/>
        <w:rPr>
          <w:rFonts w:cstheme="minorBidi"/>
          <w:noProof/>
        </w:rPr>
      </w:pPr>
      <w:hyperlink w:anchor="_Toc517687943" w:history="1">
        <w:r w:rsidR="00C544C3" w:rsidRPr="0061711E">
          <w:rPr>
            <w:rStyle w:val="Hyperlink"/>
            <w:noProof/>
          </w:rPr>
          <w:t>1.</w:t>
        </w:r>
        <w:r w:rsidR="00C544C3" w:rsidRPr="0061711E">
          <w:rPr>
            <w:rFonts w:cstheme="minorBidi"/>
            <w:noProof/>
          </w:rPr>
          <w:tab/>
        </w:r>
        <w:r w:rsidR="00C544C3" w:rsidRPr="0061711E">
          <w:rPr>
            <w:rStyle w:val="Hyperlink"/>
            <w:noProof/>
          </w:rPr>
          <w:t>Due Diligence</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_Toc517687943 \h </w:instrText>
        </w:r>
        <w:r w:rsidR="00C544C3" w:rsidRPr="0061711E">
          <w:rPr>
            <w:noProof/>
            <w:webHidden/>
          </w:rPr>
        </w:r>
        <w:r w:rsidR="00C544C3" w:rsidRPr="0061711E">
          <w:rPr>
            <w:noProof/>
            <w:webHidden/>
          </w:rPr>
          <w:fldChar w:fldCharType="separate"/>
        </w:r>
        <w:r w:rsidR="002D27D9">
          <w:rPr>
            <w:noProof/>
            <w:webHidden/>
          </w:rPr>
          <w:t>128</w:t>
        </w:r>
        <w:r w:rsidR="00C544C3" w:rsidRPr="0061711E">
          <w:rPr>
            <w:noProof/>
            <w:webHidden/>
          </w:rPr>
          <w:fldChar w:fldCharType="end"/>
        </w:r>
      </w:hyperlink>
    </w:p>
    <w:p w14:paraId="4AC3B104" w14:textId="77777777" w:rsidR="00C544C3" w:rsidRPr="0061711E" w:rsidRDefault="00BA1293" w:rsidP="004F79A3">
      <w:pPr>
        <w:pStyle w:val="TOC4"/>
        <w:tabs>
          <w:tab w:val="left" w:pos="1100"/>
          <w:tab w:val="right" w:pos="7560"/>
          <w:tab w:val="right" w:pos="9350"/>
        </w:tabs>
        <w:ind w:left="1170" w:hanging="450"/>
        <w:rPr>
          <w:rFonts w:asciiTheme="minorHAnsi" w:eastAsiaTheme="minorEastAsia" w:hAnsiTheme="minorHAnsi" w:cstheme="minorBidi"/>
          <w:noProof/>
        </w:rPr>
      </w:pPr>
      <w:hyperlink w:anchor="_Toc517687944" w:history="1">
        <w:r w:rsidR="00C544C3" w:rsidRPr="0061711E">
          <w:rPr>
            <w:rStyle w:val="Hyperlink"/>
            <w:rFonts w:asciiTheme="minorHAnsi" w:hAnsiTheme="minorHAnsi"/>
            <w:noProof/>
          </w:rPr>
          <w:t>a.</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Collection of Statistics and Active Transparency</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_Toc517687944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131</w:t>
        </w:r>
        <w:r w:rsidR="00C544C3" w:rsidRPr="0061711E">
          <w:rPr>
            <w:rFonts w:asciiTheme="minorHAnsi" w:hAnsiTheme="minorHAnsi"/>
            <w:noProof/>
            <w:webHidden/>
          </w:rPr>
          <w:fldChar w:fldCharType="end"/>
        </w:r>
      </w:hyperlink>
    </w:p>
    <w:p w14:paraId="506AD067" w14:textId="77777777" w:rsidR="00C544C3" w:rsidRPr="0061711E" w:rsidRDefault="00BA1293" w:rsidP="004F79A3">
      <w:pPr>
        <w:pStyle w:val="TOC4"/>
        <w:tabs>
          <w:tab w:val="left" w:pos="1100"/>
          <w:tab w:val="right" w:pos="7560"/>
          <w:tab w:val="right" w:pos="9350"/>
        </w:tabs>
        <w:ind w:left="1170" w:hanging="450"/>
        <w:rPr>
          <w:rFonts w:asciiTheme="minorHAnsi" w:eastAsiaTheme="minorEastAsia" w:hAnsiTheme="minorHAnsi" w:cstheme="minorBidi"/>
          <w:noProof/>
        </w:rPr>
      </w:pPr>
      <w:hyperlink w:anchor="_Toc517687945" w:history="1">
        <w:r w:rsidR="00C544C3" w:rsidRPr="0061711E">
          <w:rPr>
            <w:rStyle w:val="Hyperlink"/>
            <w:rFonts w:asciiTheme="minorHAnsi" w:hAnsiTheme="minorHAnsi"/>
            <w:noProof/>
          </w:rPr>
          <w:t>b.</w:t>
        </w:r>
        <w:r w:rsidR="00C544C3" w:rsidRPr="0061711E">
          <w:rPr>
            <w:rFonts w:asciiTheme="minorHAnsi" w:eastAsiaTheme="minorEastAsia" w:hAnsiTheme="minorHAnsi" w:cstheme="minorBidi"/>
            <w:noProof/>
          </w:rPr>
          <w:tab/>
        </w:r>
        <w:r w:rsidR="00C544C3" w:rsidRPr="0061711E">
          <w:rPr>
            <w:rStyle w:val="Hyperlink"/>
            <w:rFonts w:asciiTheme="minorHAnsi" w:hAnsiTheme="minorHAnsi"/>
            <w:noProof/>
          </w:rPr>
          <w:t>The Duty to Investigate and Principles for Investigation</w:t>
        </w:r>
        <w:r w:rsidR="00C544C3" w:rsidRPr="0061711E">
          <w:rPr>
            <w:rFonts w:asciiTheme="minorHAnsi" w:hAnsiTheme="minorHAnsi"/>
            <w:noProof/>
            <w:webHidden/>
          </w:rPr>
          <w:tab/>
        </w:r>
        <w:r w:rsidR="00C544C3" w:rsidRPr="0061711E">
          <w:rPr>
            <w:rFonts w:asciiTheme="minorHAnsi" w:hAnsiTheme="minorHAnsi"/>
            <w:noProof/>
            <w:webHidden/>
          </w:rPr>
          <w:fldChar w:fldCharType="begin"/>
        </w:r>
        <w:r w:rsidR="00C544C3" w:rsidRPr="0061711E">
          <w:rPr>
            <w:rFonts w:asciiTheme="minorHAnsi" w:hAnsiTheme="minorHAnsi"/>
            <w:noProof/>
            <w:webHidden/>
          </w:rPr>
          <w:instrText xml:space="preserve"> PAGEREF _Toc517687945 \h </w:instrText>
        </w:r>
        <w:r w:rsidR="00C544C3" w:rsidRPr="0061711E">
          <w:rPr>
            <w:rFonts w:asciiTheme="minorHAnsi" w:hAnsiTheme="minorHAnsi"/>
            <w:noProof/>
            <w:webHidden/>
          </w:rPr>
        </w:r>
        <w:r w:rsidR="00C544C3" w:rsidRPr="0061711E">
          <w:rPr>
            <w:rFonts w:asciiTheme="minorHAnsi" w:hAnsiTheme="minorHAnsi"/>
            <w:noProof/>
            <w:webHidden/>
          </w:rPr>
          <w:fldChar w:fldCharType="separate"/>
        </w:r>
        <w:r w:rsidR="002D27D9">
          <w:rPr>
            <w:rFonts w:asciiTheme="minorHAnsi" w:hAnsiTheme="minorHAnsi"/>
            <w:noProof/>
            <w:webHidden/>
          </w:rPr>
          <w:t>133</w:t>
        </w:r>
        <w:r w:rsidR="00C544C3" w:rsidRPr="0061711E">
          <w:rPr>
            <w:rFonts w:asciiTheme="minorHAnsi" w:hAnsiTheme="minorHAnsi"/>
            <w:noProof/>
            <w:webHidden/>
          </w:rPr>
          <w:fldChar w:fldCharType="end"/>
        </w:r>
      </w:hyperlink>
    </w:p>
    <w:p w14:paraId="2CC9D31D" w14:textId="77777777" w:rsidR="00C544C3" w:rsidRPr="0061711E" w:rsidRDefault="00BA1293" w:rsidP="004F79A3">
      <w:pPr>
        <w:pStyle w:val="TOC3"/>
        <w:tabs>
          <w:tab w:val="right" w:pos="7560"/>
        </w:tabs>
        <w:ind w:firstLine="360"/>
        <w:rPr>
          <w:rFonts w:cstheme="minorBidi"/>
          <w:noProof/>
        </w:rPr>
      </w:pPr>
      <w:hyperlink w:anchor="_Toc517687946" w:history="1">
        <w:r w:rsidR="00C544C3" w:rsidRPr="0061711E">
          <w:rPr>
            <w:rStyle w:val="Hyperlink"/>
            <w:noProof/>
          </w:rPr>
          <w:t>2.</w:t>
        </w:r>
        <w:r w:rsidR="00C544C3" w:rsidRPr="0061711E">
          <w:rPr>
            <w:rFonts w:cstheme="minorBidi"/>
            <w:noProof/>
          </w:rPr>
          <w:tab/>
        </w:r>
        <w:r w:rsidR="00C544C3" w:rsidRPr="0061711E">
          <w:rPr>
            <w:rStyle w:val="Hyperlink"/>
            <w:noProof/>
          </w:rPr>
          <w:t>Institutional Design</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_Toc517687946 \h </w:instrText>
        </w:r>
        <w:r w:rsidR="00C544C3" w:rsidRPr="0061711E">
          <w:rPr>
            <w:noProof/>
            <w:webHidden/>
          </w:rPr>
        </w:r>
        <w:r w:rsidR="00C544C3" w:rsidRPr="0061711E">
          <w:rPr>
            <w:noProof/>
            <w:webHidden/>
          </w:rPr>
          <w:fldChar w:fldCharType="separate"/>
        </w:r>
        <w:r w:rsidR="002D27D9">
          <w:rPr>
            <w:noProof/>
            <w:webHidden/>
          </w:rPr>
          <w:t>135</w:t>
        </w:r>
        <w:r w:rsidR="00C544C3" w:rsidRPr="0061711E">
          <w:rPr>
            <w:noProof/>
            <w:webHidden/>
          </w:rPr>
          <w:fldChar w:fldCharType="end"/>
        </w:r>
      </w:hyperlink>
    </w:p>
    <w:p w14:paraId="55B4D541" w14:textId="77777777" w:rsidR="00C544C3" w:rsidRPr="0061711E" w:rsidRDefault="00BA1293" w:rsidP="004F79A3">
      <w:pPr>
        <w:pStyle w:val="TOC3"/>
        <w:tabs>
          <w:tab w:val="right" w:pos="7560"/>
        </w:tabs>
        <w:ind w:firstLine="360"/>
        <w:rPr>
          <w:rFonts w:cstheme="minorBidi"/>
          <w:noProof/>
        </w:rPr>
      </w:pPr>
      <w:hyperlink w:anchor="_Toc517687947" w:history="1">
        <w:r w:rsidR="00C544C3" w:rsidRPr="0061711E">
          <w:rPr>
            <w:rStyle w:val="Hyperlink"/>
            <w:noProof/>
          </w:rPr>
          <w:t>3.</w:t>
        </w:r>
        <w:r w:rsidR="00C544C3" w:rsidRPr="0061711E">
          <w:rPr>
            <w:rFonts w:cstheme="minorBidi"/>
            <w:noProof/>
          </w:rPr>
          <w:tab/>
        </w:r>
        <w:r w:rsidR="00C544C3" w:rsidRPr="0061711E">
          <w:rPr>
            <w:rStyle w:val="Hyperlink"/>
            <w:noProof/>
          </w:rPr>
          <w:t>The Duty to Prosecute and Punish all Responsible Parties</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_Toc517687947 \h </w:instrText>
        </w:r>
        <w:r w:rsidR="00C544C3" w:rsidRPr="0061711E">
          <w:rPr>
            <w:noProof/>
            <w:webHidden/>
          </w:rPr>
        </w:r>
        <w:r w:rsidR="00C544C3" w:rsidRPr="0061711E">
          <w:rPr>
            <w:noProof/>
            <w:webHidden/>
          </w:rPr>
          <w:fldChar w:fldCharType="separate"/>
        </w:r>
        <w:r w:rsidR="002D27D9">
          <w:rPr>
            <w:noProof/>
            <w:webHidden/>
          </w:rPr>
          <w:t>137</w:t>
        </w:r>
        <w:r w:rsidR="00C544C3" w:rsidRPr="0061711E">
          <w:rPr>
            <w:noProof/>
            <w:webHidden/>
          </w:rPr>
          <w:fldChar w:fldCharType="end"/>
        </w:r>
      </w:hyperlink>
    </w:p>
    <w:p w14:paraId="1565F0AA" w14:textId="77777777" w:rsidR="00C544C3" w:rsidRPr="0061711E" w:rsidRDefault="00BA1293" w:rsidP="004F79A3">
      <w:pPr>
        <w:pStyle w:val="TOC3"/>
        <w:tabs>
          <w:tab w:val="right" w:pos="7560"/>
        </w:tabs>
        <w:ind w:firstLine="360"/>
        <w:rPr>
          <w:rFonts w:cstheme="minorBidi"/>
          <w:noProof/>
        </w:rPr>
      </w:pPr>
      <w:hyperlink w:anchor="_Toc517687948" w:history="1">
        <w:r w:rsidR="00C544C3" w:rsidRPr="0061711E">
          <w:rPr>
            <w:rStyle w:val="Hyperlink"/>
            <w:noProof/>
          </w:rPr>
          <w:t>4.</w:t>
        </w:r>
        <w:r w:rsidR="00C544C3" w:rsidRPr="0061711E">
          <w:rPr>
            <w:rFonts w:cstheme="minorBidi"/>
            <w:noProof/>
          </w:rPr>
          <w:tab/>
        </w:r>
        <w:r w:rsidR="00C544C3" w:rsidRPr="0061711E">
          <w:rPr>
            <w:rStyle w:val="Hyperlink"/>
            <w:noProof/>
          </w:rPr>
          <w:t>The Right to an Effective Remedy</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_Toc517687948 \h </w:instrText>
        </w:r>
        <w:r w:rsidR="00C544C3" w:rsidRPr="0061711E">
          <w:rPr>
            <w:noProof/>
            <w:webHidden/>
          </w:rPr>
        </w:r>
        <w:r w:rsidR="00C544C3" w:rsidRPr="0061711E">
          <w:rPr>
            <w:noProof/>
            <w:webHidden/>
          </w:rPr>
          <w:fldChar w:fldCharType="separate"/>
        </w:r>
        <w:r w:rsidR="002D27D9">
          <w:rPr>
            <w:noProof/>
            <w:webHidden/>
          </w:rPr>
          <w:t>139</w:t>
        </w:r>
        <w:r w:rsidR="00C544C3" w:rsidRPr="0061711E">
          <w:rPr>
            <w:noProof/>
            <w:webHidden/>
          </w:rPr>
          <w:fldChar w:fldCharType="end"/>
        </w:r>
      </w:hyperlink>
    </w:p>
    <w:p w14:paraId="02CE5944" w14:textId="77777777" w:rsidR="00C544C3" w:rsidRPr="0061711E" w:rsidRDefault="00BA1293" w:rsidP="004F79A3">
      <w:pPr>
        <w:pStyle w:val="TOC3"/>
        <w:tabs>
          <w:tab w:val="right" w:pos="7560"/>
        </w:tabs>
        <w:ind w:firstLine="360"/>
        <w:rPr>
          <w:rFonts w:cstheme="minorBidi"/>
          <w:noProof/>
        </w:rPr>
      </w:pPr>
      <w:hyperlink w:anchor="_Toc517687949" w:history="1">
        <w:r w:rsidR="00C544C3" w:rsidRPr="0061711E">
          <w:rPr>
            <w:rStyle w:val="Hyperlink"/>
            <w:noProof/>
          </w:rPr>
          <w:t>5.</w:t>
        </w:r>
        <w:r w:rsidR="00C544C3" w:rsidRPr="0061711E">
          <w:rPr>
            <w:rFonts w:cstheme="minorBidi"/>
            <w:noProof/>
          </w:rPr>
          <w:tab/>
        </w:r>
        <w:r w:rsidR="00C544C3" w:rsidRPr="0061711E">
          <w:rPr>
            <w:rStyle w:val="Hyperlink"/>
            <w:noProof/>
          </w:rPr>
          <w:t>Reparations</w:t>
        </w:r>
        <w:r w:rsidR="00C544C3" w:rsidRPr="0061711E">
          <w:rPr>
            <w:noProof/>
            <w:webHidden/>
          </w:rPr>
          <w:tab/>
        </w:r>
        <w:r w:rsidR="00C544C3" w:rsidRPr="0061711E">
          <w:rPr>
            <w:noProof/>
            <w:webHidden/>
          </w:rPr>
          <w:fldChar w:fldCharType="begin"/>
        </w:r>
        <w:r w:rsidR="00C544C3" w:rsidRPr="0061711E">
          <w:rPr>
            <w:noProof/>
            <w:webHidden/>
          </w:rPr>
          <w:instrText xml:space="preserve"> PAGEREF _Toc517687949 \h </w:instrText>
        </w:r>
        <w:r w:rsidR="00C544C3" w:rsidRPr="0061711E">
          <w:rPr>
            <w:noProof/>
            <w:webHidden/>
          </w:rPr>
        </w:r>
        <w:r w:rsidR="00C544C3" w:rsidRPr="0061711E">
          <w:rPr>
            <w:noProof/>
            <w:webHidden/>
          </w:rPr>
          <w:fldChar w:fldCharType="separate"/>
        </w:r>
        <w:r w:rsidR="002D27D9">
          <w:rPr>
            <w:noProof/>
            <w:webHidden/>
          </w:rPr>
          <w:t>143</w:t>
        </w:r>
        <w:r w:rsidR="00C544C3" w:rsidRPr="0061711E">
          <w:rPr>
            <w:noProof/>
            <w:webHidden/>
          </w:rPr>
          <w:fldChar w:fldCharType="end"/>
        </w:r>
      </w:hyperlink>
    </w:p>
    <w:p w14:paraId="41433F53" w14:textId="13A82481" w:rsidR="00C544C3" w:rsidRPr="004F79A3" w:rsidRDefault="00BA1293" w:rsidP="00141874">
      <w:pPr>
        <w:pStyle w:val="TOC1"/>
        <w:rPr>
          <w:rStyle w:val="Hyperlink"/>
          <w:b/>
          <w:noProof/>
          <w:sz w:val="22"/>
          <w:szCs w:val="22"/>
        </w:rPr>
      </w:pPr>
      <w:hyperlink w:anchor="_Toc517687950" w:history="1">
        <w:r w:rsidR="00C544C3" w:rsidRPr="004F79A3">
          <w:rPr>
            <w:rStyle w:val="Hyperlink"/>
            <w:b/>
            <w:noProof/>
            <w:color w:val="808080" w:themeColor="background1" w:themeShade="80"/>
            <w:sz w:val="22"/>
            <w:szCs w:val="22"/>
          </w:rPr>
          <w:t xml:space="preserve">CHAPTER 4 </w:t>
        </w:r>
        <w:r w:rsidR="00704559" w:rsidRPr="004F79A3">
          <w:rPr>
            <w:rStyle w:val="Hyperlink"/>
            <w:b/>
            <w:noProof/>
            <w:color w:val="808080" w:themeColor="background1" w:themeShade="80"/>
            <w:sz w:val="22"/>
            <w:szCs w:val="22"/>
          </w:rPr>
          <w:t xml:space="preserve">| </w:t>
        </w:r>
        <w:r w:rsidR="004F79A3" w:rsidRPr="004F79A3">
          <w:rPr>
            <w:rStyle w:val="Hyperlink"/>
            <w:b/>
            <w:noProof/>
            <w:color w:val="808080" w:themeColor="background1" w:themeShade="80"/>
            <w:sz w:val="22"/>
            <w:szCs w:val="22"/>
          </w:rPr>
          <w:tab/>
        </w:r>
        <w:r w:rsidR="00C544C3" w:rsidRPr="004F79A3">
          <w:rPr>
            <w:rStyle w:val="Hyperlink"/>
            <w:b/>
            <w:noProof/>
            <w:sz w:val="22"/>
            <w:szCs w:val="22"/>
          </w:rPr>
          <w:t>CONCLUSION AND RECOMMENDATIONS</w:t>
        </w:r>
        <w:r w:rsidR="00C544C3" w:rsidRPr="004F79A3">
          <w:rPr>
            <w:rStyle w:val="Hyperlink"/>
            <w:b/>
            <w:noProof/>
            <w:webHidden/>
            <w:sz w:val="22"/>
            <w:szCs w:val="22"/>
          </w:rPr>
          <w:tab/>
        </w:r>
        <w:r w:rsidR="00C544C3" w:rsidRPr="004F79A3">
          <w:rPr>
            <w:rStyle w:val="Hyperlink"/>
            <w:b/>
            <w:noProof/>
            <w:webHidden/>
            <w:sz w:val="22"/>
            <w:szCs w:val="22"/>
          </w:rPr>
          <w:fldChar w:fldCharType="begin"/>
        </w:r>
        <w:r w:rsidR="00C544C3" w:rsidRPr="004F79A3">
          <w:rPr>
            <w:rStyle w:val="Hyperlink"/>
            <w:b/>
            <w:noProof/>
            <w:webHidden/>
            <w:sz w:val="22"/>
            <w:szCs w:val="22"/>
          </w:rPr>
          <w:instrText xml:space="preserve"> PAGEREF _Toc517687950 \h </w:instrText>
        </w:r>
        <w:r w:rsidR="00C544C3" w:rsidRPr="004F79A3">
          <w:rPr>
            <w:rStyle w:val="Hyperlink"/>
            <w:b/>
            <w:noProof/>
            <w:webHidden/>
            <w:sz w:val="22"/>
            <w:szCs w:val="22"/>
          </w:rPr>
        </w:r>
        <w:r w:rsidR="00C544C3" w:rsidRPr="004F79A3">
          <w:rPr>
            <w:rStyle w:val="Hyperlink"/>
            <w:b/>
            <w:noProof/>
            <w:webHidden/>
            <w:sz w:val="22"/>
            <w:szCs w:val="22"/>
          </w:rPr>
          <w:fldChar w:fldCharType="separate"/>
        </w:r>
        <w:r w:rsidR="002D27D9">
          <w:rPr>
            <w:rStyle w:val="Hyperlink"/>
            <w:b/>
            <w:noProof/>
            <w:webHidden/>
            <w:sz w:val="22"/>
            <w:szCs w:val="22"/>
          </w:rPr>
          <w:t>153</w:t>
        </w:r>
        <w:r w:rsidR="00C544C3" w:rsidRPr="004F79A3">
          <w:rPr>
            <w:rStyle w:val="Hyperlink"/>
            <w:b/>
            <w:noProof/>
            <w:webHidden/>
            <w:sz w:val="22"/>
            <w:szCs w:val="22"/>
          </w:rPr>
          <w:fldChar w:fldCharType="end"/>
        </w:r>
      </w:hyperlink>
    </w:p>
    <w:p w14:paraId="4BE120C8" w14:textId="77777777" w:rsidR="00C544C3" w:rsidRPr="0061711E" w:rsidRDefault="00BA1293" w:rsidP="004F79A3">
      <w:pPr>
        <w:pStyle w:val="TOC2"/>
        <w:rPr>
          <w:rFonts w:cstheme="minorBidi"/>
        </w:rPr>
      </w:pPr>
      <w:hyperlink w:anchor="_Toc517687951" w:history="1">
        <w:r w:rsidR="00C544C3" w:rsidRPr="0061711E">
          <w:rPr>
            <w:rStyle w:val="Hyperlink"/>
          </w:rPr>
          <w:t>A.</w:t>
        </w:r>
        <w:r w:rsidR="00C544C3" w:rsidRPr="0061711E">
          <w:rPr>
            <w:rFonts w:cstheme="minorBidi"/>
          </w:rPr>
          <w:tab/>
        </w:r>
        <w:r w:rsidR="00C544C3" w:rsidRPr="0061711E">
          <w:rPr>
            <w:rStyle w:val="Hyperlink"/>
          </w:rPr>
          <w:t>General Recommendations</w:t>
        </w:r>
        <w:r w:rsidR="00C544C3" w:rsidRPr="0061711E">
          <w:rPr>
            <w:webHidden/>
          </w:rPr>
          <w:tab/>
        </w:r>
        <w:r w:rsidR="00C544C3" w:rsidRPr="0061711E">
          <w:rPr>
            <w:webHidden/>
          </w:rPr>
          <w:fldChar w:fldCharType="begin"/>
        </w:r>
        <w:r w:rsidR="00C544C3" w:rsidRPr="0061711E">
          <w:rPr>
            <w:webHidden/>
          </w:rPr>
          <w:instrText xml:space="preserve"> PAGEREF _Toc517687951 \h </w:instrText>
        </w:r>
        <w:r w:rsidR="00C544C3" w:rsidRPr="0061711E">
          <w:rPr>
            <w:webHidden/>
          </w:rPr>
        </w:r>
        <w:r w:rsidR="00C544C3" w:rsidRPr="0061711E">
          <w:rPr>
            <w:webHidden/>
          </w:rPr>
          <w:fldChar w:fldCharType="separate"/>
        </w:r>
        <w:r w:rsidR="002D27D9">
          <w:rPr>
            <w:webHidden/>
          </w:rPr>
          <w:t>157</w:t>
        </w:r>
        <w:r w:rsidR="00C544C3" w:rsidRPr="0061711E">
          <w:rPr>
            <w:webHidden/>
          </w:rPr>
          <w:fldChar w:fldCharType="end"/>
        </w:r>
      </w:hyperlink>
    </w:p>
    <w:p w14:paraId="16B36A08" w14:textId="77777777" w:rsidR="00C544C3" w:rsidRPr="0061711E" w:rsidRDefault="00BA1293" w:rsidP="004F79A3">
      <w:pPr>
        <w:pStyle w:val="TOC2"/>
        <w:rPr>
          <w:rFonts w:cstheme="minorBidi"/>
        </w:rPr>
      </w:pPr>
      <w:hyperlink w:anchor="_Toc517687952" w:history="1">
        <w:r w:rsidR="00C544C3" w:rsidRPr="0061711E">
          <w:rPr>
            <w:rStyle w:val="Hyperlink"/>
          </w:rPr>
          <w:t>B.</w:t>
        </w:r>
        <w:r w:rsidR="00C544C3" w:rsidRPr="0061711E">
          <w:rPr>
            <w:rFonts w:cstheme="minorBidi"/>
          </w:rPr>
          <w:tab/>
        </w:r>
        <w:r w:rsidR="00C544C3" w:rsidRPr="0061711E">
          <w:rPr>
            <w:rStyle w:val="Hyperlink"/>
          </w:rPr>
          <w:t>Recommendations regarding Non-Discrimination</w:t>
        </w:r>
        <w:r w:rsidR="00C544C3" w:rsidRPr="0061711E">
          <w:rPr>
            <w:webHidden/>
          </w:rPr>
          <w:tab/>
        </w:r>
        <w:r w:rsidR="00C544C3" w:rsidRPr="0061711E">
          <w:rPr>
            <w:webHidden/>
          </w:rPr>
          <w:fldChar w:fldCharType="begin"/>
        </w:r>
        <w:r w:rsidR="00C544C3" w:rsidRPr="0061711E">
          <w:rPr>
            <w:webHidden/>
          </w:rPr>
          <w:instrText xml:space="preserve"> PAGEREF _Toc517687952 \h </w:instrText>
        </w:r>
        <w:r w:rsidR="00C544C3" w:rsidRPr="0061711E">
          <w:rPr>
            <w:webHidden/>
          </w:rPr>
        </w:r>
        <w:r w:rsidR="00C544C3" w:rsidRPr="0061711E">
          <w:rPr>
            <w:webHidden/>
          </w:rPr>
          <w:fldChar w:fldCharType="separate"/>
        </w:r>
        <w:r w:rsidR="002D27D9">
          <w:rPr>
            <w:webHidden/>
          </w:rPr>
          <w:t>159</w:t>
        </w:r>
        <w:r w:rsidR="00C544C3" w:rsidRPr="0061711E">
          <w:rPr>
            <w:webHidden/>
          </w:rPr>
          <w:fldChar w:fldCharType="end"/>
        </w:r>
      </w:hyperlink>
    </w:p>
    <w:p w14:paraId="7BF7726B" w14:textId="77777777" w:rsidR="00C544C3" w:rsidRPr="0061711E" w:rsidRDefault="00BA1293" w:rsidP="004F79A3">
      <w:pPr>
        <w:pStyle w:val="TOC2"/>
        <w:rPr>
          <w:rFonts w:cstheme="minorBidi"/>
        </w:rPr>
      </w:pPr>
      <w:hyperlink w:anchor="_Toc517687953" w:history="1">
        <w:r w:rsidR="00C544C3" w:rsidRPr="0061711E">
          <w:rPr>
            <w:rStyle w:val="Hyperlink"/>
          </w:rPr>
          <w:t>C.</w:t>
        </w:r>
        <w:r w:rsidR="00C544C3" w:rsidRPr="0061711E">
          <w:rPr>
            <w:rFonts w:cstheme="minorBidi"/>
          </w:rPr>
          <w:tab/>
        </w:r>
        <w:r w:rsidR="00C544C3" w:rsidRPr="0061711E">
          <w:rPr>
            <w:rStyle w:val="Hyperlink"/>
          </w:rPr>
          <w:t>Recommendations regarding the Use of Force</w:t>
        </w:r>
        <w:r w:rsidR="00C544C3" w:rsidRPr="0061711E">
          <w:rPr>
            <w:webHidden/>
          </w:rPr>
          <w:tab/>
        </w:r>
        <w:r w:rsidR="00C544C3" w:rsidRPr="0061711E">
          <w:rPr>
            <w:webHidden/>
          </w:rPr>
          <w:fldChar w:fldCharType="begin"/>
        </w:r>
        <w:r w:rsidR="00C544C3" w:rsidRPr="0061711E">
          <w:rPr>
            <w:webHidden/>
          </w:rPr>
          <w:instrText xml:space="preserve"> PAGEREF _Toc517687953 \h </w:instrText>
        </w:r>
        <w:r w:rsidR="00C544C3" w:rsidRPr="0061711E">
          <w:rPr>
            <w:webHidden/>
          </w:rPr>
        </w:r>
        <w:r w:rsidR="00C544C3" w:rsidRPr="0061711E">
          <w:rPr>
            <w:webHidden/>
          </w:rPr>
          <w:fldChar w:fldCharType="separate"/>
        </w:r>
        <w:r w:rsidR="002D27D9">
          <w:rPr>
            <w:webHidden/>
          </w:rPr>
          <w:t>160</w:t>
        </w:r>
        <w:r w:rsidR="00C544C3" w:rsidRPr="0061711E">
          <w:rPr>
            <w:webHidden/>
          </w:rPr>
          <w:fldChar w:fldCharType="end"/>
        </w:r>
      </w:hyperlink>
    </w:p>
    <w:p w14:paraId="5EED77F1" w14:textId="77777777" w:rsidR="00C544C3" w:rsidRPr="0061711E" w:rsidRDefault="00BA1293" w:rsidP="004F79A3">
      <w:pPr>
        <w:pStyle w:val="TOC2"/>
        <w:rPr>
          <w:rFonts w:cstheme="minorBidi"/>
        </w:rPr>
      </w:pPr>
      <w:hyperlink w:anchor="_Toc517687954" w:history="1">
        <w:r w:rsidR="00C544C3" w:rsidRPr="0061711E">
          <w:rPr>
            <w:rStyle w:val="Hyperlink"/>
          </w:rPr>
          <w:t>D.</w:t>
        </w:r>
        <w:r w:rsidR="00C544C3" w:rsidRPr="0061711E">
          <w:rPr>
            <w:rFonts w:cstheme="minorBidi"/>
          </w:rPr>
          <w:tab/>
        </w:r>
        <w:r w:rsidR="00C544C3" w:rsidRPr="0061711E">
          <w:rPr>
            <w:rStyle w:val="Hyperlink"/>
          </w:rPr>
          <w:t>Recommendations regarding Due Diligence and Accountability</w:t>
        </w:r>
        <w:r w:rsidR="00C544C3" w:rsidRPr="0061711E">
          <w:rPr>
            <w:webHidden/>
          </w:rPr>
          <w:tab/>
        </w:r>
        <w:r w:rsidR="00C544C3" w:rsidRPr="0061711E">
          <w:rPr>
            <w:webHidden/>
          </w:rPr>
          <w:fldChar w:fldCharType="begin"/>
        </w:r>
        <w:r w:rsidR="00C544C3" w:rsidRPr="0061711E">
          <w:rPr>
            <w:webHidden/>
          </w:rPr>
          <w:instrText xml:space="preserve"> PAGEREF _Toc517687954 \h </w:instrText>
        </w:r>
        <w:r w:rsidR="00C544C3" w:rsidRPr="0061711E">
          <w:rPr>
            <w:webHidden/>
          </w:rPr>
        </w:r>
        <w:r w:rsidR="00C544C3" w:rsidRPr="0061711E">
          <w:rPr>
            <w:webHidden/>
          </w:rPr>
          <w:fldChar w:fldCharType="separate"/>
        </w:r>
        <w:r w:rsidR="002D27D9">
          <w:rPr>
            <w:webHidden/>
          </w:rPr>
          <w:t>162</w:t>
        </w:r>
        <w:r w:rsidR="00C544C3" w:rsidRPr="0061711E">
          <w:rPr>
            <w:webHidden/>
          </w:rPr>
          <w:fldChar w:fldCharType="end"/>
        </w:r>
      </w:hyperlink>
    </w:p>
    <w:p w14:paraId="571F492B" w14:textId="77777777" w:rsidR="00C544C3" w:rsidRPr="0061711E" w:rsidRDefault="00BA1293" w:rsidP="004F79A3">
      <w:pPr>
        <w:pStyle w:val="TOC2"/>
        <w:rPr>
          <w:rFonts w:cstheme="minorBidi"/>
        </w:rPr>
      </w:pPr>
      <w:hyperlink w:anchor="_Toc517687955" w:history="1">
        <w:r w:rsidR="00C544C3" w:rsidRPr="0061711E">
          <w:rPr>
            <w:rStyle w:val="Hyperlink"/>
          </w:rPr>
          <w:t>E.</w:t>
        </w:r>
        <w:r w:rsidR="00C544C3" w:rsidRPr="0061711E">
          <w:rPr>
            <w:rFonts w:cstheme="minorBidi"/>
          </w:rPr>
          <w:tab/>
        </w:r>
        <w:r w:rsidR="00C544C3" w:rsidRPr="0061711E">
          <w:rPr>
            <w:rStyle w:val="Hyperlink"/>
          </w:rPr>
          <w:t>Recommendations regarding Access to Justice and Reparations</w:t>
        </w:r>
        <w:r w:rsidR="00C544C3" w:rsidRPr="0061711E">
          <w:rPr>
            <w:webHidden/>
          </w:rPr>
          <w:tab/>
        </w:r>
        <w:r w:rsidR="00C544C3" w:rsidRPr="0061711E">
          <w:rPr>
            <w:webHidden/>
          </w:rPr>
          <w:fldChar w:fldCharType="begin"/>
        </w:r>
        <w:r w:rsidR="00C544C3" w:rsidRPr="0061711E">
          <w:rPr>
            <w:webHidden/>
          </w:rPr>
          <w:instrText xml:space="preserve"> PAGEREF _Toc517687955 \h </w:instrText>
        </w:r>
        <w:r w:rsidR="00C544C3" w:rsidRPr="0061711E">
          <w:rPr>
            <w:webHidden/>
          </w:rPr>
        </w:r>
        <w:r w:rsidR="00C544C3" w:rsidRPr="0061711E">
          <w:rPr>
            <w:webHidden/>
          </w:rPr>
          <w:fldChar w:fldCharType="separate"/>
        </w:r>
        <w:r w:rsidR="002D27D9">
          <w:rPr>
            <w:webHidden/>
          </w:rPr>
          <w:t>163</w:t>
        </w:r>
        <w:r w:rsidR="00C544C3" w:rsidRPr="0061711E">
          <w:rPr>
            <w:webHidden/>
          </w:rPr>
          <w:fldChar w:fldCharType="end"/>
        </w:r>
      </w:hyperlink>
    </w:p>
    <w:p w14:paraId="554A8DA0" w14:textId="3E48EE44" w:rsidR="00ED6831" w:rsidRPr="00D920C9" w:rsidRDefault="00C544C3" w:rsidP="0061711E">
      <w:pPr>
        <w:tabs>
          <w:tab w:val="right" w:pos="7560"/>
        </w:tabs>
        <w:suppressAutoHyphens/>
        <w:spacing w:after="0" w:line="240" w:lineRule="auto"/>
        <w:jc w:val="both"/>
        <w:rPr>
          <w:rFonts w:asciiTheme="minorHAnsi" w:hAnsiTheme="minorHAnsi"/>
          <w:spacing w:val="-3"/>
          <w:sz w:val="20"/>
          <w:szCs w:val="20"/>
        </w:rPr>
      </w:pPr>
      <w:r w:rsidRPr="0061711E">
        <w:rPr>
          <w:rFonts w:asciiTheme="minorHAnsi" w:hAnsiTheme="minorHAnsi"/>
          <w:spacing w:val="-3"/>
        </w:rPr>
        <w:fldChar w:fldCharType="end"/>
      </w:r>
    </w:p>
    <w:p w14:paraId="2BCCBFC4" w14:textId="77777777" w:rsidR="00C544C3" w:rsidRPr="00D920C9" w:rsidRDefault="00C544C3" w:rsidP="004E3F29">
      <w:pPr>
        <w:suppressAutoHyphens/>
        <w:spacing w:after="0" w:line="240" w:lineRule="auto"/>
        <w:jc w:val="both"/>
        <w:rPr>
          <w:rFonts w:asciiTheme="minorHAnsi" w:hAnsiTheme="minorHAnsi"/>
          <w:spacing w:val="-3"/>
          <w:sz w:val="20"/>
          <w:szCs w:val="20"/>
        </w:rPr>
      </w:pPr>
    </w:p>
    <w:p w14:paraId="28281CC7" w14:textId="77777777" w:rsidR="00D838E3" w:rsidRPr="00D920C9" w:rsidRDefault="00D838E3" w:rsidP="0040052F">
      <w:pPr>
        <w:suppressAutoHyphens/>
        <w:spacing w:after="0" w:line="240" w:lineRule="auto"/>
        <w:jc w:val="center"/>
        <w:rPr>
          <w:rFonts w:asciiTheme="minorHAnsi" w:hAnsiTheme="minorHAnsi"/>
          <w:spacing w:val="-3"/>
          <w:sz w:val="20"/>
          <w:szCs w:val="20"/>
        </w:rPr>
      </w:pPr>
    </w:p>
    <w:p w14:paraId="25E4B61E" w14:textId="77777777" w:rsidR="00ED6831" w:rsidRPr="00D920C9" w:rsidRDefault="00ED6831" w:rsidP="00007A36">
      <w:pPr>
        <w:pStyle w:val="Heading1"/>
        <w:sectPr w:rsidR="00ED6831" w:rsidRPr="00D920C9" w:rsidSect="001E4747">
          <w:type w:val="oddPage"/>
          <w:pgSz w:w="10080" w:h="14400" w:code="1"/>
          <w:pgMar w:top="1152" w:right="1152" w:bottom="1152" w:left="1296" w:header="720" w:footer="720" w:gutter="0"/>
          <w:cols w:space="708"/>
          <w:docGrid w:linePitch="360"/>
        </w:sectPr>
      </w:pPr>
      <w:bookmarkStart w:id="1" w:name="_Toc511837797"/>
    </w:p>
    <w:p w14:paraId="6E042847" w14:textId="5CBBA829" w:rsidR="00A0401B" w:rsidRPr="00A0401B" w:rsidRDefault="00A0401B" w:rsidP="00007A36">
      <w:pPr>
        <w:pStyle w:val="CAP1"/>
        <w:sectPr w:rsidR="00A0401B" w:rsidRPr="00A0401B" w:rsidSect="00A0401B">
          <w:headerReference w:type="even" r:id="rId10"/>
          <w:headerReference w:type="default" r:id="rId11"/>
          <w:footerReference w:type="even" r:id="rId12"/>
          <w:footerReference w:type="default" r:id="rId13"/>
          <w:headerReference w:type="first" r:id="rId14"/>
          <w:footerReference w:type="first" r:id="rId15"/>
          <w:type w:val="oddPage"/>
          <w:pgSz w:w="10080" w:h="14400" w:code="13"/>
          <w:pgMar w:top="1152" w:right="1152" w:bottom="1152" w:left="1296" w:header="720" w:footer="720" w:gutter="0"/>
          <w:cols w:space="708"/>
          <w:vAlign w:val="center"/>
          <w:docGrid w:linePitch="360"/>
        </w:sectPr>
      </w:pPr>
      <w:bookmarkStart w:id="2" w:name="_Toc511902970"/>
      <w:bookmarkStart w:id="3" w:name="_Toc517687900"/>
      <w:r w:rsidRPr="00A0401B">
        <w:lastRenderedPageBreak/>
        <w:t>EXECUTIVE SUMMARY</w:t>
      </w:r>
    </w:p>
    <w:p w14:paraId="522B5CBD" w14:textId="178EE253" w:rsidR="00AA4E32" w:rsidRPr="003D7958" w:rsidRDefault="00167623" w:rsidP="00007A36">
      <w:pPr>
        <w:pStyle w:val="Heading1"/>
      </w:pPr>
      <w:r w:rsidRPr="003D7958">
        <w:lastRenderedPageBreak/>
        <w:t>EXECUTIVE SUMMARY</w:t>
      </w:r>
      <w:bookmarkEnd w:id="1"/>
      <w:bookmarkEnd w:id="2"/>
      <w:bookmarkEnd w:id="3"/>
    </w:p>
    <w:p w14:paraId="64918F35" w14:textId="2ADA6D30" w:rsidR="00EF6ABA" w:rsidRPr="00D920C9" w:rsidRDefault="00DA6127" w:rsidP="00E14895">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This report examines the persistent situation of structural discrimination against African Americans in the United States</w:t>
      </w:r>
      <w:r w:rsidR="00904A46" w:rsidRPr="00D920C9">
        <w:rPr>
          <w:rFonts w:asciiTheme="minorHAnsi" w:hAnsiTheme="minorHAnsi"/>
          <w:szCs w:val="20"/>
        </w:rPr>
        <w:t xml:space="preserve"> </w:t>
      </w:r>
      <w:r w:rsidRPr="00D920C9">
        <w:rPr>
          <w:rFonts w:asciiTheme="minorHAnsi" w:hAnsiTheme="minorHAnsi"/>
          <w:szCs w:val="20"/>
        </w:rPr>
        <w:t xml:space="preserve">and, in particular, </w:t>
      </w:r>
      <w:r w:rsidR="000E74CA" w:rsidRPr="00D920C9">
        <w:rPr>
          <w:rFonts w:asciiTheme="minorHAnsi" w:hAnsiTheme="minorHAnsi"/>
          <w:szCs w:val="20"/>
        </w:rPr>
        <w:t>deep-seated</w:t>
      </w:r>
      <w:r w:rsidR="00EF240A" w:rsidRPr="00D920C9">
        <w:rPr>
          <w:rFonts w:asciiTheme="minorHAnsi" w:hAnsiTheme="minorHAnsi"/>
          <w:szCs w:val="20"/>
        </w:rPr>
        <w:t xml:space="preserve"> </w:t>
      </w:r>
      <w:r w:rsidRPr="00D920C9">
        <w:rPr>
          <w:rFonts w:asciiTheme="minorHAnsi" w:hAnsiTheme="minorHAnsi"/>
          <w:szCs w:val="20"/>
        </w:rPr>
        <w:t xml:space="preserve">racial disparities in policing and the criminal justice system. The Inter-American Commission on Human Rights (the “Commission,” “Inter-American Commission,” or “IACHR”) has previously considered that racial bias forms the backbone of many problems of police abuse, overrepresentation of African Americans in arrests and in the prison system, and unequal access to justice, as well as wider issues of racialized poverty and unequal access </w:t>
      </w:r>
      <w:r w:rsidRPr="00D920C9">
        <w:rPr>
          <w:rFonts w:asciiTheme="minorHAnsi" w:hAnsiTheme="minorHAnsi"/>
        </w:rPr>
        <w:t>to</w:t>
      </w:r>
      <w:r w:rsidRPr="00D920C9">
        <w:rPr>
          <w:rFonts w:asciiTheme="minorHAnsi" w:hAnsiTheme="minorHAnsi"/>
          <w:szCs w:val="20"/>
        </w:rPr>
        <w:t xml:space="preserve"> economic, social, cultural, and environmental rights in the U</w:t>
      </w:r>
      <w:r w:rsidR="000556A7" w:rsidRPr="00D920C9">
        <w:rPr>
          <w:rFonts w:asciiTheme="minorHAnsi" w:hAnsiTheme="minorHAnsi"/>
          <w:szCs w:val="20"/>
        </w:rPr>
        <w:t>.</w:t>
      </w:r>
      <w:r w:rsidRPr="00D920C9">
        <w:rPr>
          <w:rFonts w:asciiTheme="minorHAnsi" w:hAnsiTheme="minorHAnsi"/>
          <w:szCs w:val="20"/>
        </w:rPr>
        <w:t>S.</w:t>
      </w:r>
      <w:r w:rsidR="00EF6ABA" w:rsidRPr="00D920C9">
        <w:rPr>
          <w:rFonts w:asciiTheme="minorHAnsi" w:hAnsiTheme="minorHAnsi"/>
          <w:szCs w:val="20"/>
        </w:rPr>
        <w:t xml:space="preserve"> Since the 2012 shooting death of Trayvon Martin, a series of high-profile deaths of African</w:t>
      </w:r>
      <w:r w:rsidR="0030356C" w:rsidRPr="00D920C9">
        <w:rPr>
          <w:rFonts w:asciiTheme="minorHAnsi" w:hAnsiTheme="minorHAnsi"/>
          <w:szCs w:val="20"/>
        </w:rPr>
        <w:t xml:space="preserve"> </w:t>
      </w:r>
      <w:r w:rsidR="00EF6ABA" w:rsidRPr="00D920C9">
        <w:rPr>
          <w:rFonts w:asciiTheme="minorHAnsi" w:hAnsiTheme="minorHAnsi"/>
          <w:szCs w:val="20"/>
        </w:rPr>
        <w:t xml:space="preserve">Americans at the hands of police or in police custody—including Michael Brown, Eric Garner, </w:t>
      </w:r>
      <w:proofErr w:type="spellStart"/>
      <w:r w:rsidR="00EF6ABA" w:rsidRPr="00D920C9">
        <w:rPr>
          <w:rFonts w:asciiTheme="minorHAnsi" w:hAnsiTheme="minorHAnsi"/>
          <w:szCs w:val="20"/>
        </w:rPr>
        <w:t>Tamir</w:t>
      </w:r>
      <w:proofErr w:type="spellEnd"/>
      <w:r w:rsidR="00EF6ABA" w:rsidRPr="00D920C9">
        <w:rPr>
          <w:rFonts w:asciiTheme="minorHAnsi" w:hAnsiTheme="minorHAnsi"/>
          <w:szCs w:val="20"/>
        </w:rPr>
        <w:t xml:space="preserve"> Rice, Alton Sterling, </w:t>
      </w:r>
      <w:proofErr w:type="spellStart"/>
      <w:r w:rsidR="00EF6ABA" w:rsidRPr="00D920C9">
        <w:rPr>
          <w:rFonts w:asciiTheme="minorHAnsi" w:hAnsiTheme="minorHAnsi"/>
          <w:szCs w:val="20"/>
        </w:rPr>
        <w:t>Philando</w:t>
      </w:r>
      <w:proofErr w:type="spellEnd"/>
      <w:r w:rsidR="00EF6ABA" w:rsidRPr="00D920C9">
        <w:rPr>
          <w:rFonts w:asciiTheme="minorHAnsi" w:hAnsiTheme="minorHAnsi"/>
          <w:szCs w:val="20"/>
        </w:rPr>
        <w:t xml:space="preserve"> Castile, and Terence Crutcher, among many others—as well as public pressure from civil society groups </w:t>
      </w:r>
      <w:r w:rsidR="00406A83" w:rsidRPr="00D920C9">
        <w:rPr>
          <w:rFonts w:asciiTheme="minorHAnsi" w:hAnsiTheme="minorHAnsi"/>
          <w:szCs w:val="20"/>
        </w:rPr>
        <w:t xml:space="preserve">and movements </w:t>
      </w:r>
      <w:r w:rsidR="00EF6ABA" w:rsidRPr="00D920C9">
        <w:rPr>
          <w:rFonts w:asciiTheme="minorHAnsi" w:hAnsiTheme="minorHAnsi"/>
          <w:szCs w:val="20"/>
        </w:rPr>
        <w:t>like Black Lives Matter, have made issues of racial bias in policing and the criminal justice system topics o</w:t>
      </w:r>
      <w:r w:rsidRPr="00D920C9">
        <w:rPr>
          <w:rFonts w:asciiTheme="minorHAnsi" w:hAnsiTheme="minorHAnsi"/>
          <w:szCs w:val="20"/>
        </w:rPr>
        <w:t xml:space="preserve">f increasing public discussion. In light of extensive information of concern received in recent years regarding this issue, the Commission undertook to write this report examining the situation. </w:t>
      </w:r>
    </w:p>
    <w:p w14:paraId="3F2FC835" w14:textId="285D2E46" w:rsidR="00EF6ABA" w:rsidRPr="00D920C9" w:rsidRDefault="00EF6ABA"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While problems of racism in policing and criminal justice are addressed as pressing civil rights issues </w:t>
      </w:r>
      <w:r w:rsidR="000E74CA" w:rsidRPr="00D920C9">
        <w:rPr>
          <w:rFonts w:asciiTheme="minorHAnsi" w:hAnsiTheme="minorHAnsi"/>
          <w:szCs w:val="20"/>
        </w:rPr>
        <w:t>nationally</w:t>
      </w:r>
      <w:r w:rsidRPr="00D920C9">
        <w:rPr>
          <w:rFonts w:asciiTheme="minorHAnsi" w:hAnsiTheme="minorHAnsi"/>
          <w:szCs w:val="20"/>
        </w:rPr>
        <w:t xml:space="preserve">, the Commission highlights that they also raise concerns regarding the </w:t>
      </w:r>
      <w:r w:rsidR="000E74CA" w:rsidRPr="00D920C9">
        <w:rPr>
          <w:rFonts w:asciiTheme="minorHAnsi" w:hAnsiTheme="minorHAnsi"/>
          <w:szCs w:val="20"/>
        </w:rPr>
        <w:t>United States’</w:t>
      </w:r>
      <w:r w:rsidRPr="00D920C9">
        <w:rPr>
          <w:rFonts w:asciiTheme="minorHAnsi" w:hAnsiTheme="minorHAnsi"/>
          <w:szCs w:val="20"/>
        </w:rPr>
        <w:t xml:space="preserve"> international human rights obligations. Under its mandate to monitor and promote human rights in the Member States of the Organization of American States (OAS), the Commission </w:t>
      </w:r>
      <w:r w:rsidR="005651D2" w:rsidRPr="00D920C9">
        <w:rPr>
          <w:rFonts w:asciiTheme="minorHAnsi" w:hAnsiTheme="minorHAnsi"/>
          <w:szCs w:val="20"/>
        </w:rPr>
        <w:t>has</w:t>
      </w:r>
      <w:r w:rsidRPr="00D920C9">
        <w:rPr>
          <w:rFonts w:asciiTheme="minorHAnsi" w:hAnsiTheme="minorHAnsi"/>
          <w:szCs w:val="20"/>
        </w:rPr>
        <w:t xml:space="preserve"> draft</w:t>
      </w:r>
      <w:r w:rsidR="005651D2" w:rsidRPr="00D920C9">
        <w:rPr>
          <w:rFonts w:asciiTheme="minorHAnsi" w:hAnsiTheme="minorHAnsi"/>
          <w:szCs w:val="20"/>
        </w:rPr>
        <w:t>ed</w:t>
      </w:r>
      <w:r w:rsidRPr="00D920C9">
        <w:rPr>
          <w:rFonts w:asciiTheme="minorHAnsi" w:hAnsiTheme="minorHAnsi"/>
          <w:szCs w:val="20"/>
        </w:rPr>
        <w:t xml:space="preserve"> this report on the basis of information gathered </w:t>
      </w:r>
      <w:r w:rsidR="005651D2" w:rsidRPr="00D920C9">
        <w:rPr>
          <w:rFonts w:asciiTheme="minorHAnsi" w:hAnsiTheme="minorHAnsi"/>
          <w:szCs w:val="20"/>
        </w:rPr>
        <w:t xml:space="preserve">from the State, civil society organizations, and victims of police violence </w:t>
      </w:r>
      <w:r w:rsidRPr="00D920C9">
        <w:rPr>
          <w:rFonts w:asciiTheme="minorHAnsi" w:hAnsiTheme="minorHAnsi"/>
          <w:szCs w:val="20"/>
        </w:rPr>
        <w:t xml:space="preserve">in several public hearings held since 2014 on issues related to racism in policing and criminal justice in the </w:t>
      </w:r>
      <w:r w:rsidR="00904A46" w:rsidRPr="00D920C9">
        <w:rPr>
          <w:rFonts w:asciiTheme="minorHAnsi" w:hAnsiTheme="minorHAnsi"/>
          <w:szCs w:val="20"/>
        </w:rPr>
        <w:t>U.S.</w:t>
      </w:r>
      <w:r w:rsidR="005651D2" w:rsidRPr="00D920C9">
        <w:rPr>
          <w:rFonts w:asciiTheme="minorHAnsi" w:hAnsiTheme="minorHAnsi"/>
          <w:szCs w:val="20"/>
        </w:rPr>
        <w:t>;</w:t>
      </w:r>
      <w:r w:rsidRPr="00D920C9">
        <w:rPr>
          <w:rFonts w:asciiTheme="minorHAnsi" w:hAnsiTheme="minorHAnsi"/>
          <w:szCs w:val="20"/>
        </w:rPr>
        <w:t xml:space="preserve"> during a 2015 visit to the states of Florida, Louisiana, and Missouri</w:t>
      </w:r>
      <w:r w:rsidR="005651D2" w:rsidRPr="00D920C9">
        <w:rPr>
          <w:rFonts w:asciiTheme="minorHAnsi" w:hAnsiTheme="minorHAnsi"/>
          <w:szCs w:val="20"/>
        </w:rPr>
        <w:t>;</w:t>
      </w:r>
      <w:r w:rsidRPr="00D920C9">
        <w:rPr>
          <w:rFonts w:asciiTheme="minorHAnsi" w:hAnsiTheme="minorHAnsi"/>
          <w:szCs w:val="20"/>
        </w:rPr>
        <w:t xml:space="preserve"> through th</w:t>
      </w:r>
      <w:r w:rsidR="005651D2" w:rsidRPr="00D920C9">
        <w:rPr>
          <w:rFonts w:asciiTheme="minorHAnsi" w:hAnsiTheme="minorHAnsi"/>
          <w:szCs w:val="20"/>
        </w:rPr>
        <w:t>e publication of press releases;</w:t>
      </w:r>
      <w:r w:rsidRPr="00D920C9">
        <w:rPr>
          <w:rFonts w:asciiTheme="minorHAnsi" w:hAnsiTheme="minorHAnsi"/>
          <w:szCs w:val="20"/>
        </w:rPr>
        <w:t xml:space="preserve"> as well as information gathered via its petitions and cases mechanism</w:t>
      </w:r>
      <w:r w:rsidR="00406A83" w:rsidRPr="00D920C9">
        <w:rPr>
          <w:rFonts w:asciiTheme="minorHAnsi" w:hAnsiTheme="minorHAnsi"/>
          <w:szCs w:val="20"/>
        </w:rPr>
        <w:t xml:space="preserve">, </w:t>
      </w:r>
      <w:r w:rsidRPr="00D920C9">
        <w:rPr>
          <w:rFonts w:asciiTheme="minorHAnsi" w:hAnsiTheme="minorHAnsi"/>
          <w:szCs w:val="20"/>
        </w:rPr>
        <w:t xml:space="preserve"> </w:t>
      </w:r>
      <w:r w:rsidR="002B574C" w:rsidRPr="00D920C9">
        <w:rPr>
          <w:rFonts w:asciiTheme="minorHAnsi" w:hAnsiTheme="minorHAnsi"/>
          <w:szCs w:val="20"/>
        </w:rPr>
        <w:t>and</w:t>
      </w:r>
      <w:r w:rsidRPr="00D920C9">
        <w:rPr>
          <w:rFonts w:asciiTheme="minorHAnsi" w:hAnsiTheme="minorHAnsi"/>
          <w:szCs w:val="20"/>
        </w:rPr>
        <w:t xml:space="preserve"> other public sources of information, including</w:t>
      </w:r>
      <w:r w:rsidR="00755AB8" w:rsidRPr="00D920C9">
        <w:rPr>
          <w:rFonts w:asciiTheme="minorHAnsi" w:hAnsiTheme="minorHAnsi"/>
          <w:szCs w:val="20"/>
        </w:rPr>
        <w:t xml:space="preserve"> from</w:t>
      </w:r>
      <w:r w:rsidRPr="00D920C9">
        <w:rPr>
          <w:rFonts w:asciiTheme="minorHAnsi" w:hAnsiTheme="minorHAnsi"/>
          <w:szCs w:val="20"/>
        </w:rPr>
        <w:t xml:space="preserve"> government </w:t>
      </w:r>
      <w:r w:rsidR="00755AB8" w:rsidRPr="00D920C9">
        <w:rPr>
          <w:rFonts w:asciiTheme="minorHAnsi" w:hAnsiTheme="minorHAnsi"/>
          <w:szCs w:val="20"/>
        </w:rPr>
        <w:t>agencies</w:t>
      </w:r>
      <w:r w:rsidRPr="00D920C9">
        <w:rPr>
          <w:rFonts w:asciiTheme="minorHAnsi" w:hAnsiTheme="minorHAnsi"/>
          <w:szCs w:val="20"/>
        </w:rPr>
        <w:t xml:space="preserve">, reports produced by United Nations mechanisms, and </w:t>
      </w:r>
      <w:r w:rsidR="00755AB8" w:rsidRPr="00D920C9">
        <w:rPr>
          <w:rFonts w:asciiTheme="minorHAnsi" w:hAnsiTheme="minorHAnsi"/>
          <w:szCs w:val="20"/>
        </w:rPr>
        <w:t>by</w:t>
      </w:r>
      <w:r w:rsidRPr="00D920C9">
        <w:rPr>
          <w:rFonts w:asciiTheme="minorHAnsi" w:hAnsiTheme="minorHAnsi"/>
          <w:szCs w:val="20"/>
        </w:rPr>
        <w:t xml:space="preserve"> civil society and the media.</w:t>
      </w:r>
    </w:p>
    <w:p w14:paraId="27207EEF" w14:textId="518C2BF2" w:rsidR="00406A83" w:rsidRPr="00D920C9" w:rsidRDefault="00D06953"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This</w:t>
      </w:r>
      <w:r w:rsidR="00EF6ABA" w:rsidRPr="00D920C9">
        <w:rPr>
          <w:rFonts w:asciiTheme="minorHAnsi" w:hAnsiTheme="minorHAnsi"/>
          <w:szCs w:val="20"/>
        </w:rPr>
        <w:t xml:space="preserve"> report evaluates the current panorama of policing and criminal justice issues in light of the historic situation of racism and discrimination in the </w:t>
      </w:r>
      <w:r w:rsidR="00EF6ABA" w:rsidRPr="00D920C9">
        <w:rPr>
          <w:rFonts w:asciiTheme="minorHAnsi" w:hAnsiTheme="minorHAnsi"/>
          <w:szCs w:val="20"/>
        </w:rPr>
        <w:lastRenderedPageBreak/>
        <w:t>United States</w:t>
      </w:r>
      <w:r w:rsidR="00755AB8" w:rsidRPr="00D920C9">
        <w:rPr>
          <w:rFonts w:asciiTheme="minorHAnsi" w:hAnsiTheme="minorHAnsi"/>
          <w:szCs w:val="20"/>
        </w:rPr>
        <w:t xml:space="preserve"> (“U.S.” or “State”)</w:t>
      </w:r>
      <w:r w:rsidR="00EF6ABA" w:rsidRPr="00D920C9">
        <w:rPr>
          <w:rFonts w:asciiTheme="minorHAnsi" w:hAnsiTheme="minorHAnsi"/>
          <w:szCs w:val="20"/>
        </w:rPr>
        <w:t>, highlighting the structural nature of discrimination and the corresponding need for s</w:t>
      </w:r>
      <w:r w:rsidR="00DB0288" w:rsidRPr="00D920C9">
        <w:rPr>
          <w:rFonts w:asciiTheme="minorHAnsi" w:hAnsiTheme="minorHAnsi"/>
          <w:szCs w:val="20"/>
        </w:rPr>
        <w:t>ystemic</w:t>
      </w:r>
      <w:r w:rsidR="00EF6ABA" w:rsidRPr="00D920C9">
        <w:rPr>
          <w:rFonts w:asciiTheme="minorHAnsi" w:hAnsiTheme="minorHAnsi"/>
          <w:szCs w:val="20"/>
        </w:rPr>
        <w:t xml:space="preserve"> reforms to fully address past abuses and ensure non-repetition. </w:t>
      </w:r>
      <w:r w:rsidR="009D305C" w:rsidRPr="00D920C9">
        <w:rPr>
          <w:rFonts w:asciiTheme="minorHAnsi" w:eastAsia="Times New Roman" w:hAnsiTheme="minorHAnsi"/>
          <w:szCs w:val="20"/>
          <w:lang w:eastAsia="es-ES"/>
        </w:rPr>
        <w:t xml:space="preserve">The Commission considers that the historical legacy of subjugation, enslavement, terror, marginalization, segregation, and exclusion from enjoying the rights of citizens in the U.S., both </w:t>
      </w:r>
      <w:r w:rsidR="009D305C" w:rsidRPr="00D920C9">
        <w:rPr>
          <w:rFonts w:asciiTheme="minorHAnsi" w:eastAsia="Times New Roman" w:hAnsiTheme="minorHAnsi"/>
          <w:i/>
          <w:szCs w:val="20"/>
          <w:lang w:eastAsia="es-ES"/>
        </w:rPr>
        <w:t>de jure</w:t>
      </w:r>
      <w:r w:rsidR="009D305C" w:rsidRPr="00D920C9">
        <w:rPr>
          <w:rFonts w:asciiTheme="minorHAnsi" w:eastAsia="Times New Roman" w:hAnsiTheme="minorHAnsi"/>
          <w:szCs w:val="20"/>
          <w:lang w:eastAsia="es-ES"/>
        </w:rPr>
        <w:t xml:space="preserve"> and </w:t>
      </w:r>
      <w:r w:rsidR="009D305C" w:rsidRPr="00D920C9">
        <w:rPr>
          <w:rFonts w:asciiTheme="minorHAnsi" w:eastAsia="Times New Roman" w:hAnsiTheme="minorHAnsi"/>
          <w:i/>
          <w:szCs w:val="20"/>
          <w:lang w:eastAsia="es-ES"/>
        </w:rPr>
        <w:t>de facto</w:t>
      </w:r>
      <w:r w:rsidR="009D305C" w:rsidRPr="00D920C9">
        <w:rPr>
          <w:rFonts w:asciiTheme="minorHAnsi" w:eastAsia="Times New Roman" w:hAnsiTheme="minorHAnsi"/>
          <w:szCs w:val="20"/>
          <w:lang w:eastAsia="es-ES"/>
        </w:rPr>
        <w:t xml:space="preserve">, has continuing repercussions for African Americans’ full enjoyment of human rights today in virtually every sphere. </w:t>
      </w:r>
      <w:r w:rsidR="009D305C" w:rsidRPr="00D920C9">
        <w:rPr>
          <w:rFonts w:asciiTheme="minorHAnsi" w:hAnsiTheme="minorHAnsi"/>
          <w:szCs w:val="20"/>
        </w:rPr>
        <w:t>In this regard,</w:t>
      </w:r>
      <w:r w:rsidR="000556A7" w:rsidRPr="00D920C9">
        <w:rPr>
          <w:rFonts w:asciiTheme="minorHAnsi" w:hAnsiTheme="minorHAnsi"/>
          <w:szCs w:val="20"/>
        </w:rPr>
        <w:t xml:space="preserve"> a reckoning with the legacy of racism and discrimination in the U.S. is necessary to effectively transform the situation in the future. </w:t>
      </w:r>
      <w:r w:rsidR="0072065E" w:rsidRPr="00D920C9">
        <w:rPr>
          <w:rFonts w:asciiTheme="minorHAnsi" w:hAnsiTheme="minorHAnsi"/>
          <w:szCs w:val="20"/>
        </w:rPr>
        <w:t xml:space="preserve"> </w:t>
      </w:r>
    </w:p>
    <w:p w14:paraId="24B25CF6" w14:textId="4F4A0984" w:rsidR="00EF6ABA" w:rsidRPr="00D920C9" w:rsidRDefault="0072065E"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In this light, t</w:t>
      </w:r>
      <w:r w:rsidR="00D06953" w:rsidRPr="00D920C9">
        <w:rPr>
          <w:rFonts w:asciiTheme="minorHAnsi" w:hAnsiTheme="minorHAnsi"/>
          <w:szCs w:val="20"/>
        </w:rPr>
        <w:t>he Commission analyzes</w:t>
      </w:r>
      <w:r w:rsidR="00EF6ABA" w:rsidRPr="00D920C9">
        <w:rPr>
          <w:rFonts w:asciiTheme="minorHAnsi" w:hAnsiTheme="minorHAnsi"/>
          <w:szCs w:val="20"/>
        </w:rPr>
        <w:t xml:space="preserve"> information received regarding issues of over-</w:t>
      </w:r>
      <w:r w:rsidR="00EF6ABA" w:rsidRPr="00D920C9">
        <w:rPr>
          <w:rFonts w:asciiTheme="minorHAnsi" w:hAnsiTheme="minorHAnsi"/>
        </w:rPr>
        <w:t>policing</w:t>
      </w:r>
      <w:r w:rsidR="00EF6ABA" w:rsidRPr="00D920C9">
        <w:rPr>
          <w:rFonts w:asciiTheme="minorHAnsi" w:hAnsiTheme="minorHAnsi"/>
          <w:szCs w:val="20"/>
        </w:rPr>
        <w:t xml:space="preserve"> and racial profiling; the militarization of police forces; police use of excessive force; impunity in cases of police killings; police responses to protests; racial disparities in criminal arrests, convictions, and sentencing; and the lifelong consequences of prior incarceration and felony convictions. </w:t>
      </w:r>
      <w:r w:rsidR="00755AB8" w:rsidRPr="00D920C9">
        <w:rPr>
          <w:rFonts w:asciiTheme="minorHAnsi" w:hAnsiTheme="minorHAnsi"/>
          <w:szCs w:val="20"/>
        </w:rPr>
        <w:t xml:space="preserve">The </w:t>
      </w:r>
      <w:r w:rsidR="00EF6ABA" w:rsidRPr="00D920C9">
        <w:rPr>
          <w:rFonts w:asciiTheme="minorHAnsi" w:hAnsiTheme="minorHAnsi"/>
          <w:szCs w:val="20"/>
        </w:rPr>
        <w:t xml:space="preserve">Commission further considers that issues of discrimination in policing and criminal justice in the </w:t>
      </w:r>
      <w:r w:rsidR="00904A46" w:rsidRPr="00D920C9">
        <w:rPr>
          <w:rFonts w:asciiTheme="minorHAnsi" w:hAnsiTheme="minorHAnsi"/>
          <w:szCs w:val="20"/>
        </w:rPr>
        <w:t>U.S.</w:t>
      </w:r>
      <w:r w:rsidR="00EF6ABA" w:rsidRPr="00D920C9">
        <w:rPr>
          <w:rFonts w:asciiTheme="minorHAnsi" w:hAnsiTheme="minorHAnsi"/>
          <w:szCs w:val="20"/>
        </w:rPr>
        <w:t xml:space="preserve"> are inseparable from social stigma and hate speech;</w:t>
      </w:r>
      <w:r w:rsidR="005651D2" w:rsidRPr="00D920C9">
        <w:rPr>
          <w:rFonts w:asciiTheme="minorHAnsi" w:hAnsiTheme="minorHAnsi"/>
          <w:szCs w:val="20"/>
        </w:rPr>
        <w:t xml:space="preserve"> violence by private citizens;</w:t>
      </w:r>
      <w:r w:rsidR="00EF6ABA" w:rsidRPr="00D920C9">
        <w:rPr>
          <w:rFonts w:asciiTheme="minorHAnsi" w:hAnsiTheme="minorHAnsi"/>
          <w:szCs w:val="20"/>
        </w:rPr>
        <w:t xml:space="preserve"> an enduring situation of racialized poverty; and intersectional discrimination</w:t>
      </w:r>
      <w:r w:rsidR="005651D2" w:rsidRPr="00D920C9">
        <w:rPr>
          <w:rFonts w:asciiTheme="minorHAnsi" w:hAnsiTheme="minorHAnsi"/>
          <w:szCs w:val="20"/>
        </w:rPr>
        <w:t>; as all of these are also governed by a structural situation of discrimination and racism</w:t>
      </w:r>
      <w:r w:rsidR="00755AB8" w:rsidRPr="00D920C9">
        <w:rPr>
          <w:rFonts w:asciiTheme="minorHAnsi" w:hAnsiTheme="minorHAnsi"/>
          <w:szCs w:val="20"/>
        </w:rPr>
        <w:t xml:space="preserve">. </w:t>
      </w:r>
      <w:r w:rsidR="00406A83" w:rsidRPr="00D920C9">
        <w:rPr>
          <w:rFonts w:asciiTheme="minorHAnsi" w:hAnsiTheme="minorHAnsi"/>
          <w:szCs w:val="20"/>
        </w:rPr>
        <w:t>T</w:t>
      </w:r>
      <w:r w:rsidR="00755AB8" w:rsidRPr="00D920C9">
        <w:rPr>
          <w:rFonts w:asciiTheme="minorHAnsi" w:hAnsiTheme="minorHAnsi"/>
          <w:szCs w:val="20"/>
        </w:rPr>
        <w:t xml:space="preserve">hese issues are reviewed in the report </w:t>
      </w:r>
      <w:r w:rsidR="00406A83" w:rsidRPr="00D920C9">
        <w:rPr>
          <w:rFonts w:asciiTheme="minorHAnsi" w:hAnsiTheme="minorHAnsi"/>
          <w:szCs w:val="20"/>
        </w:rPr>
        <w:t>from</w:t>
      </w:r>
      <w:r w:rsidR="00755AB8" w:rsidRPr="00D920C9">
        <w:rPr>
          <w:rFonts w:asciiTheme="minorHAnsi" w:hAnsiTheme="minorHAnsi"/>
          <w:szCs w:val="20"/>
        </w:rPr>
        <w:t xml:space="preserve"> a human rights perspective </w:t>
      </w:r>
      <w:r w:rsidR="00406A83" w:rsidRPr="00D920C9">
        <w:rPr>
          <w:rFonts w:asciiTheme="minorHAnsi" w:hAnsiTheme="minorHAnsi"/>
          <w:szCs w:val="20"/>
        </w:rPr>
        <w:t>considering</w:t>
      </w:r>
      <w:r w:rsidR="00755AB8" w:rsidRPr="00D920C9">
        <w:rPr>
          <w:rFonts w:asciiTheme="minorHAnsi" w:hAnsiTheme="minorHAnsi"/>
          <w:szCs w:val="20"/>
        </w:rPr>
        <w:t xml:space="preserve"> the obligations of the United States </w:t>
      </w:r>
      <w:r w:rsidR="00406A83" w:rsidRPr="00D920C9">
        <w:rPr>
          <w:rFonts w:asciiTheme="minorHAnsi" w:hAnsiTheme="minorHAnsi"/>
          <w:szCs w:val="20"/>
        </w:rPr>
        <w:t>under</w:t>
      </w:r>
      <w:r w:rsidR="00755AB8" w:rsidRPr="00D920C9">
        <w:rPr>
          <w:rFonts w:asciiTheme="minorHAnsi" w:hAnsiTheme="minorHAnsi"/>
          <w:szCs w:val="20"/>
        </w:rPr>
        <w:t xml:space="preserve"> international law.   </w:t>
      </w:r>
    </w:p>
    <w:p w14:paraId="69A4FD71" w14:textId="3E83433D" w:rsidR="00EF6ABA" w:rsidRPr="00D920C9" w:rsidRDefault="00EF6ABA"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The Commission </w:t>
      </w:r>
      <w:r w:rsidR="00755AB8" w:rsidRPr="00D920C9">
        <w:rPr>
          <w:rFonts w:asciiTheme="minorHAnsi" w:hAnsiTheme="minorHAnsi"/>
          <w:szCs w:val="20"/>
        </w:rPr>
        <w:t>highlights</w:t>
      </w:r>
      <w:r w:rsidRPr="00D920C9">
        <w:rPr>
          <w:rFonts w:asciiTheme="minorHAnsi" w:hAnsiTheme="minorHAnsi"/>
          <w:szCs w:val="20"/>
        </w:rPr>
        <w:t xml:space="preserve"> that the issues of police brutality and excessive use of force, racially biased policing practices, and racial disparities that permeate virtually every part of the criminal justice system, are widespread and represent a clear threat to the human rights of African</w:t>
      </w:r>
      <w:r w:rsidR="0030356C" w:rsidRPr="00D920C9">
        <w:rPr>
          <w:rFonts w:asciiTheme="minorHAnsi" w:hAnsiTheme="minorHAnsi"/>
          <w:szCs w:val="20"/>
        </w:rPr>
        <w:t xml:space="preserve"> </w:t>
      </w:r>
      <w:r w:rsidRPr="00D920C9">
        <w:rPr>
          <w:rFonts w:asciiTheme="minorHAnsi" w:hAnsiTheme="minorHAnsi"/>
          <w:szCs w:val="20"/>
        </w:rPr>
        <w:t xml:space="preserve">Americans, including the rights to life, personal integrity, non-discrimination, and due process, among others. In this report, the Commission considers these issues in </w:t>
      </w:r>
      <w:r w:rsidRPr="00D920C9">
        <w:rPr>
          <w:rFonts w:asciiTheme="minorHAnsi" w:hAnsiTheme="minorHAnsi"/>
        </w:rPr>
        <w:t>light</w:t>
      </w:r>
      <w:r w:rsidRPr="00D920C9">
        <w:rPr>
          <w:rFonts w:asciiTheme="minorHAnsi" w:hAnsiTheme="minorHAnsi"/>
          <w:szCs w:val="20"/>
        </w:rPr>
        <w:t xml:space="preserve"> of the United States’ international obligations regarding non-discrimination, use of force, and access to justice.</w:t>
      </w:r>
    </w:p>
    <w:p w14:paraId="799BBB1A" w14:textId="68D6E0E1" w:rsidR="002F3E61" w:rsidRPr="00D920C9" w:rsidRDefault="002F3E61"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Throughout</w:t>
      </w:r>
      <w:r w:rsidR="00D04B26" w:rsidRPr="00D920C9">
        <w:rPr>
          <w:rFonts w:asciiTheme="minorHAnsi" w:hAnsiTheme="minorHAnsi"/>
          <w:szCs w:val="20"/>
        </w:rPr>
        <w:t xml:space="preserve"> this report</w:t>
      </w:r>
      <w:r w:rsidRPr="00D920C9">
        <w:rPr>
          <w:rFonts w:asciiTheme="minorHAnsi" w:hAnsiTheme="minorHAnsi"/>
          <w:szCs w:val="20"/>
        </w:rPr>
        <w:t xml:space="preserve">, the Commission underscores a series of key international human rights principles </w:t>
      </w:r>
      <w:r w:rsidR="0046735C" w:rsidRPr="00D920C9">
        <w:rPr>
          <w:rFonts w:asciiTheme="minorHAnsi" w:hAnsiTheme="minorHAnsi"/>
          <w:szCs w:val="20"/>
        </w:rPr>
        <w:t>that apply</w:t>
      </w:r>
      <w:r w:rsidRPr="00D920C9">
        <w:rPr>
          <w:rFonts w:asciiTheme="minorHAnsi" w:hAnsiTheme="minorHAnsi"/>
          <w:szCs w:val="20"/>
        </w:rPr>
        <w:t xml:space="preserve"> to the situation: First, all government and police actions should be executed in accordance with the obligations of non-discrimination and the p</w:t>
      </w:r>
      <w:r w:rsidR="0046735C" w:rsidRPr="00D920C9">
        <w:rPr>
          <w:rFonts w:asciiTheme="minorHAnsi" w:hAnsiTheme="minorHAnsi"/>
          <w:szCs w:val="20"/>
        </w:rPr>
        <w:t>rinciple</w:t>
      </w:r>
      <w:r w:rsidRPr="00D920C9">
        <w:rPr>
          <w:rFonts w:asciiTheme="minorHAnsi" w:hAnsiTheme="minorHAnsi"/>
          <w:szCs w:val="20"/>
        </w:rPr>
        <w:t xml:space="preserve"> of equality. Second, police use of force</w:t>
      </w:r>
      <w:r w:rsidR="00073AE6" w:rsidRPr="00D920C9">
        <w:rPr>
          <w:rFonts w:asciiTheme="minorHAnsi" w:hAnsiTheme="minorHAnsi"/>
          <w:szCs w:val="20"/>
        </w:rPr>
        <w:t xml:space="preserve"> </w:t>
      </w:r>
      <w:r w:rsidRPr="00D920C9">
        <w:rPr>
          <w:rFonts w:asciiTheme="minorHAnsi" w:hAnsiTheme="minorHAnsi"/>
          <w:szCs w:val="20"/>
        </w:rPr>
        <w:t>in the United States, as in all other States of the Americas, should be guided by the principle</w:t>
      </w:r>
      <w:r w:rsidR="00073AE6" w:rsidRPr="00D920C9">
        <w:rPr>
          <w:rFonts w:asciiTheme="minorHAnsi" w:hAnsiTheme="minorHAnsi"/>
          <w:szCs w:val="20"/>
        </w:rPr>
        <w:t>s</w:t>
      </w:r>
      <w:r w:rsidRPr="00D920C9">
        <w:rPr>
          <w:rFonts w:asciiTheme="minorHAnsi" w:hAnsiTheme="minorHAnsi"/>
          <w:szCs w:val="20"/>
        </w:rPr>
        <w:t xml:space="preserve"> of </w:t>
      </w:r>
      <w:r w:rsidR="00777FAE" w:rsidRPr="00D920C9">
        <w:rPr>
          <w:rFonts w:asciiTheme="minorHAnsi" w:hAnsiTheme="minorHAnsi"/>
          <w:szCs w:val="20"/>
        </w:rPr>
        <w:t xml:space="preserve">legality, absolute </w:t>
      </w:r>
      <w:r w:rsidR="00073AE6" w:rsidRPr="00D920C9">
        <w:rPr>
          <w:rFonts w:asciiTheme="minorHAnsi" w:hAnsiTheme="minorHAnsi"/>
          <w:szCs w:val="20"/>
        </w:rPr>
        <w:t>necessity</w:t>
      </w:r>
      <w:r w:rsidR="00777FAE" w:rsidRPr="00D920C9">
        <w:rPr>
          <w:rFonts w:asciiTheme="minorHAnsi" w:hAnsiTheme="minorHAnsi"/>
          <w:szCs w:val="20"/>
        </w:rPr>
        <w:t xml:space="preserve">, and proportionality, </w:t>
      </w:r>
      <w:r w:rsidR="002B574C" w:rsidRPr="00D920C9">
        <w:rPr>
          <w:rFonts w:asciiTheme="minorHAnsi" w:hAnsiTheme="minorHAnsi"/>
          <w:szCs w:val="20"/>
        </w:rPr>
        <w:t xml:space="preserve">and </w:t>
      </w:r>
      <w:r w:rsidRPr="00D920C9">
        <w:rPr>
          <w:rFonts w:asciiTheme="minorHAnsi" w:hAnsiTheme="minorHAnsi"/>
          <w:szCs w:val="20"/>
        </w:rPr>
        <w:t xml:space="preserve">used only when other methods have been exhausted and failed. Third, the protection against arbitrary deprivations of life applies to the entire State structure—including federal, state, </w:t>
      </w:r>
      <w:r w:rsidRPr="00D920C9">
        <w:rPr>
          <w:rFonts w:asciiTheme="minorHAnsi" w:hAnsiTheme="minorHAnsi"/>
        </w:rPr>
        <w:t>and</w:t>
      </w:r>
      <w:r w:rsidRPr="00D920C9">
        <w:rPr>
          <w:rFonts w:asciiTheme="minorHAnsi" w:hAnsiTheme="minorHAnsi"/>
          <w:szCs w:val="20"/>
        </w:rPr>
        <w:t xml:space="preserve"> local government entities—and to all actions of police officers, both in situations </w:t>
      </w:r>
      <w:r w:rsidRPr="00D920C9">
        <w:rPr>
          <w:rFonts w:asciiTheme="minorHAnsi" w:hAnsiTheme="minorHAnsi"/>
          <w:szCs w:val="20"/>
        </w:rPr>
        <w:lastRenderedPageBreak/>
        <w:t>of normality and unrest. Fourth, the government—federal, state, and local—is responsible for establishing adequate and effective legal remedies, and a justice system that is independent and impartial in its investigations of police abuses, and that achieves convictions when appropriate. The Commission recalls that impunity fosters an environment in which police violence and abuses are tolerated, and serves to sustain disparate treatment towards groups subject to historic discrimination. Fifth, the Commission underscores the need to safeguard the basic human rights of protesters, including their rights to life and physical and psychological integrity.</w:t>
      </w:r>
    </w:p>
    <w:p w14:paraId="6665D997" w14:textId="1896D9C4" w:rsidR="005651D2" w:rsidRPr="00D920C9" w:rsidRDefault="005651D2"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Regarding non-discrimination</w:t>
      </w:r>
      <w:r w:rsidR="0014598D" w:rsidRPr="00D920C9">
        <w:rPr>
          <w:rFonts w:asciiTheme="minorHAnsi" w:hAnsiTheme="minorHAnsi"/>
          <w:szCs w:val="20"/>
        </w:rPr>
        <w:t xml:space="preserve"> and equality</w:t>
      </w:r>
      <w:r w:rsidRPr="00D920C9">
        <w:rPr>
          <w:rFonts w:asciiTheme="minorHAnsi" w:hAnsiTheme="minorHAnsi"/>
          <w:szCs w:val="20"/>
        </w:rPr>
        <w:t xml:space="preserve">, the Commission </w:t>
      </w:r>
      <w:r w:rsidR="009B2D97" w:rsidRPr="00D920C9">
        <w:rPr>
          <w:rFonts w:asciiTheme="minorHAnsi" w:hAnsiTheme="minorHAnsi"/>
          <w:szCs w:val="20"/>
        </w:rPr>
        <w:t xml:space="preserve">recalls that both direct and indirect racial discrimination are prohibited under international and inter-American law. In this report, it </w:t>
      </w:r>
      <w:r w:rsidRPr="00D920C9">
        <w:rPr>
          <w:rFonts w:asciiTheme="minorHAnsi" w:hAnsiTheme="minorHAnsi"/>
          <w:szCs w:val="20"/>
        </w:rPr>
        <w:t xml:space="preserve">underscores </w:t>
      </w:r>
      <w:r w:rsidR="00720B2F" w:rsidRPr="00D920C9">
        <w:rPr>
          <w:rFonts w:asciiTheme="minorHAnsi" w:hAnsiTheme="minorHAnsi"/>
          <w:szCs w:val="20"/>
        </w:rPr>
        <w:t>as an issue of particular concern</w:t>
      </w:r>
      <w:r w:rsidRPr="00D920C9">
        <w:rPr>
          <w:rFonts w:asciiTheme="minorHAnsi" w:hAnsiTheme="minorHAnsi"/>
          <w:szCs w:val="20"/>
        </w:rPr>
        <w:t xml:space="preserve"> that laws and practices that have a discriminatory effect</w:t>
      </w:r>
      <w:r w:rsidR="009B2D97" w:rsidRPr="00D920C9">
        <w:rPr>
          <w:rFonts w:asciiTheme="minorHAnsi" w:hAnsiTheme="minorHAnsi"/>
          <w:szCs w:val="20"/>
        </w:rPr>
        <w:t>—</w:t>
      </w:r>
      <w:r w:rsidR="00806E5C" w:rsidRPr="00D920C9">
        <w:rPr>
          <w:rFonts w:asciiTheme="minorHAnsi" w:hAnsiTheme="minorHAnsi"/>
          <w:szCs w:val="20"/>
        </w:rPr>
        <w:t>often described as “disparate impact” in domestic law</w:t>
      </w:r>
      <w:r w:rsidR="009B2D97" w:rsidRPr="00D920C9">
        <w:rPr>
          <w:rFonts w:asciiTheme="minorHAnsi" w:hAnsiTheme="minorHAnsi"/>
          <w:szCs w:val="20"/>
        </w:rPr>
        <w:t>—</w:t>
      </w:r>
      <w:r w:rsidRPr="00D920C9">
        <w:rPr>
          <w:rFonts w:asciiTheme="minorHAnsi" w:hAnsiTheme="minorHAnsi"/>
          <w:szCs w:val="20"/>
        </w:rPr>
        <w:t xml:space="preserve">are prohibited under </w:t>
      </w:r>
      <w:r w:rsidR="0011360B" w:rsidRPr="00D920C9">
        <w:rPr>
          <w:rFonts w:asciiTheme="minorHAnsi" w:hAnsiTheme="minorHAnsi"/>
          <w:szCs w:val="20"/>
        </w:rPr>
        <w:t>international</w:t>
      </w:r>
      <w:r w:rsidRPr="00D920C9">
        <w:rPr>
          <w:rFonts w:asciiTheme="minorHAnsi" w:hAnsiTheme="minorHAnsi"/>
          <w:szCs w:val="20"/>
        </w:rPr>
        <w:t xml:space="preserve"> law, even if they are not facially discriminatory. </w:t>
      </w:r>
      <w:r w:rsidR="009B2D97" w:rsidRPr="00D920C9">
        <w:rPr>
          <w:rFonts w:asciiTheme="minorHAnsi" w:hAnsiTheme="minorHAnsi"/>
          <w:szCs w:val="20"/>
        </w:rPr>
        <w:t>I</w:t>
      </w:r>
      <w:r w:rsidRPr="00D920C9">
        <w:rPr>
          <w:rFonts w:asciiTheme="minorHAnsi" w:hAnsiTheme="minorHAnsi"/>
          <w:szCs w:val="20"/>
        </w:rPr>
        <w:t>t is urgent that the U</w:t>
      </w:r>
      <w:r w:rsidR="00C45A79" w:rsidRPr="00D920C9">
        <w:rPr>
          <w:rFonts w:asciiTheme="minorHAnsi" w:hAnsiTheme="minorHAnsi"/>
          <w:szCs w:val="20"/>
        </w:rPr>
        <w:t>.</w:t>
      </w:r>
      <w:r w:rsidRPr="00D920C9">
        <w:rPr>
          <w:rFonts w:asciiTheme="minorHAnsi" w:hAnsiTheme="minorHAnsi"/>
          <w:szCs w:val="20"/>
        </w:rPr>
        <w:t>S</w:t>
      </w:r>
      <w:r w:rsidR="00C45A79" w:rsidRPr="00D920C9">
        <w:rPr>
          <w:rFonts w:asciiTheme="minorHAnsi" w:hAnsiTheme="minorHAnsi"/>
          <w:szCs w:val="20"/>
        </w:rPr>
        <w:t>.</w:t>
      </w:r>
      <w:r w:rsidRPr="00D920C9">
        <w:rPr>
          <w:rFonts w:asciiTheme="minorHAnsi" w:hAnsiTheme="minorHAnsi"/>
          <w:szCs w:val="20"/>
        </w:rPr>
        <w:t xml:space="preserve"> bring</w:t>
      </w:r>
      <w:r w:rsidR="00777FAE" w:rsidRPr="00D920C9">
        <w:rPr>
          <w:rFonts w:asciiTheme="minorHAnsi" w:hAnsiTheme="minorHAnsi"/>
          <w:szCs w:val="20"/>
        </w:rPr>
        <w:t>s</w:t>
      </w:r>
      <w:r w:rsidRPr="00D920C9">
        <w:rPr>
          <w:rFonts w:asciiTheme="minorHAnsi" w:hAnsiTheme="minorHAnsi"/>
          <w:szCs w:val="20"/>
        </w:rPr>
        <w:t xml:space="preserve"> its domestic law in line with international standards in order to effectively prevent and sanction cases of disparate impact. The Commission further highlights that racial profiling practices may amount to inhuman or degrading treatment under international law. </w:t>
      </w:r>
      <w:r w:rsidR="00720B2F" w:rsidRPr="00D920C9">
        <w:rPr>
          <w:rFonts w:asciiTheme="minorHAnsi" w:hAnsiTheme="minorHAnsi"/>
          <w:szCs w:val="20"/>
        </w:rPr>
        <w:t xml:space="preserve">In addition to the obligation to refrain from violating rights, the Commission </w:t>
      </w:r>
      <w:r w:rsidR="004704C3" w:rsidRPr="00D920C9">
        <w:rPr>
          <w:rFonts w:asciiTheme="minorHAnsi" w:hAnsiTheme="minorHAnsi"/>
          <w:szCs w:val="20"/>
        </w:rPr>
        <w:t>emphasizes</w:t>
      </w:r>
      <w:r w:rsidR="00720B2F" w:rsidRPr="00D920C9">
        <w:rPr>
          <w:rFonts w:asciiTheme="minorHAnsi" w:hAnsiTheme="minorHAnsi"/>
          <w:szCs w:val="20"/>
        </w:rPr>
        <w:t xml:space="preserve"> the State’s positive obligation to </w:t>
      </w:r>
      <w:r w:rsidR="00DB0288" w:rsidRPr="00D920C9">
        <w:rPr>
          <w:rFonts w:asciiTheme="minorHAnsi" w:hAnsiTheme="minorHAnsi"/>
          <w:szCs w:val="20"/>
        </w:rPr>
        <w:t>adopt measures to build</w:t>
      </w:r>
      <w:r w:rsidR="00720B2F" w:rsidRPr="00D920C9">
        <w:rPr>
          <w:rFonts w:asciiTheme="minorHAnsi" w:hAnsiTheme="minorHAnsi"/>
          <w:szCs w:val="20"/>
        </w:rPr>
        <w:t xml:space="preserve"> an inclusive society free from all forms of racial discrimination, and calls for</w:t>
      </w:r>
      <w:r w:rsidR="00DB0288" w:rsidRPr="00D920C9">
        <w:rPr>
          <w:rFonts w:asciiTheme="minorHAnsi" w:hAnsiTheme="minorHAnsi"/>
          <w:szCs w:val="20"/>
        </w:rPr>
        <w:t xml:space="preserve"> steps</w:t>
      </w:r>
      <w:r w:rsidR="00720B2F" w:rsidRPr="00D920C9">
        <w:rPr>
          <w:rFonts w:asciiTheme="minorHAnsi" w:hAnsiTheme="minorHAnsi"/>
          <w:szCs w:val="20"/>
        </w:rPr>
        <w:t xml:space="preserve"> to modify the culture of policing and dynamics between the police and African</w:t>
      </w:r>
      <w:r w:rsidR="004704C3" w:rsidRPr="00D920C9">
        <w:rPr>
          <w:rFonts w:asciiTheme="minorHAnsi" w:hAnsiTheme="minorHAnsi"/>
          <w:szCs w:val="20"/>
        </w:rPr>
        <w:t xml:space="preserve"> </w:t>
      </w:r>
      <w:r w:rsidR="00720B2F" w:rsidRPr="00D920C9">
        <w:rPr>
          <w:rFonts w:asciiTheme="minorHAnsi" w:hAnsiTheme="minorHAnsi"/>
          <w:szCs w:val="20"/>
        </w:rPr>
        <w:t>Americans in order to build trust and confidence.</w:t>
      </w:r>
    </w:p>
    <w:p w14:paraId="6C596D83" w14:textId="2EEDC0FB" w:rsidR="0011360B" w:rsidRPr="00D920C9" w:rsidRDefault="0011360B"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Regarding the use of force, the Commission reiterates in this report that the protection against arbitrary deprivations of life applies to the entire State structure—including federal, state, and local government entities—and to all actions of police officers. T</w:t>
      </w:r>
      <w:r w:rsidR="002F3E61" w:rsidRPr="00D920C9">
        <w:rPr>
          <w:rFonts w:asciiTheme="minorHAnsi" w:hAnsiTheme="minorHAnsi"/>
          <w:szCs w:val="20"/>
        </w:rPr>
        <w:t>herefore</w:t>
      </w:r>
      <w:r w:rsidRPr="00D920C9">
        <w:rPr>
          <w:rFonts w:asciiTheme="minorHAnsi" w:hAnsiTheme="minorHAnsi"/>
          <w:szCs w:val="20"/>
        </w:rPr>
        <w:t>, police use of force must be gui</w:t>
      </w:r>
      <w:r w:rsidR="001951ED" w:rsidRPr="00D920C9">
        <w:rPr>
          <w:rFonts w:asciiTheme="minorHAnsi" w:hAnsiTheme="minorHAnsi"/>
          <w:szCs w:val="20"/>
        </w:rPr>
        <w:t xml:space="preserve">ded by the principles of absolute </w:t>
      </w:r>
      <w:r w:rsidRPr="00D920C9">
        <w:rPr>
          <w:rFonts w:asciiTheme="minorHAnsi" w:hAnsiTheme="minorHAnsi"/>
          <w:szCs w:val="20"/>
        </w:rPr>
        <w:t>necessity, proportionality, and legality</w:t>
      </w:r>
      <w:r w:rsidR="00073AE6" w:rsidRPr="00D920C9">
        <w:rPr>
          <w:rFonts w:asciiTheme="minorHAnsi" w:hAnsiTheme="minorHAnsi"/>
          <w:szCs w:val="20"/>
        </w:rPr>
        <w:t>;</w:t>
      </w:r>
      <w:r w:rsidRPr="00D920C9">
        <w:rPr>
          <w:rFonts w:asciiTheme="minorHAnsi" w:hAnsiTheme="minorHAnsi"/>
          <w:szCs w:val="20"/>
        </w:rPr>
        <w:t xml:space="preserve"> lethal force m</w:t>
      </w:r>
      <w:r w:rsidR="00073AE6" w:rsidRPr="00D920C9">
        <w:rPr>
          <w:rFonts w:asciiTheme="minorHAnsi" w:hAnsiTheme="minorHAnsi"/>
          <w:szCs w:val="20"/>
        </w:rPr>
        <w:t>ay be permissible</w:t>
      </w:r>
      <w:r w:rsidRPr="00D920C9">
        <w:rPr>
          <w:rFonts w:asciiTheme="minorHAnsi" w:hAnsiTheme="minorHAnsi"/>
          <w:szCs w:val="20"/>
        </w:rPr>
        <w:t xml:space="preserve"> only when strictly necessary to protect life</w:t>
      </w:r>
      <w:r w:rsidR="001951ED" w:rsidRPr="00D920C9">
        <w:rPr>
          <w:rFonts w:asciiTheme="minorHAnsi" w:hAnsiTheme="minorHAnsi"/>
          <w:szCs w:val="20"/>
        </w:rPr>
        <w:t>.</w:t>
      </w:r>
      <w:r w:rsidR="004E5A9B" w:rsidRPr="00D920C9">
        <w:rPr>
          <w:rFonts w:asciiTheme="minorHAnsi" w:hAnsiTheme="minorHAnsi"/>
          <w:szCs w:val="20"/>
        </w:rPr>
        <w:t xml:space="preserve"> </w:t>
      </w:r>
      <w:r w:rsidRPr="00D920C9">
        <w:rPr>
          <w:rFonts w:asciiTheme="minorHAnsi" w:hAnsiTheme="minorHAnsi"/>
          <w:szCs w:val="20"/>
        </w:rPr>
        <w:t xml:space="preserve">The Commission calls on the United </w:t>
      </w:r>
      <w:r w:rsidRPr="00D920C9">
        <w:rPr>
          <w:rFonts w:asciiTheme="minorHAnsi" w:hAnsiTheme="minorHAnsi"/>
        </w:rPr>
        <w:t>States</w:t>
      </w:r>
      <w:r w:rsidRPr="00D920C9">
        <w:rPr>
          <w:rFonts w:asciiTheme="minorHAnsi" w:hAnsiTheme="minorHAnsi"/>
          <w:szCs w:val="20"/>
        </w:rPr>
        <w:t xml:space="preserve"> to bring its domestic law in line with international standards in this area. The Commission further highlights that excessive use of force by police may amount to cruel, inhuman, or degrading treatment (CIDT) or torture under certain circumstances, particularly where it is committed for any reason based on </w:t>
      </w:r>
      <w:r w:rsidR="0014598D" w:rsidRPr="00D920C9">
        <w:rPr>
          <w:rFonts w:asciiTheme="minorHAnsi" w:hAnsiTheme="minorHAnsi"/>
          <w:szCs w:val="20"/>
        </w:rPr>
        <w:t xml:space="preserve">arbitrary </w:t>
      </w:r>
      <w:r w:rsidRPr="00D920C9">
        <w:rPr>
          <w:rFonts w:asciiTheme="minorHAnsi" w:hAnsiTheme="minorHAnsi"/>
          <w:szCs w:val="20"/>
        </w:rPr>
        <w:t>discrimination of any kind</w:t>
      </w:r>
      <w:r w:rsidR="001951ED" w:rsidRPr="00D920C9">
        <w:rPr>
          <w:rFonts w:asciiTheme="minorHAnsi" w:hAnsiTheme="minorHAnsi"/>
          <w:szCs w:val="20"/>
        </w:rPr>
        <w:t xml:space="preserve">. </w:t>
      </w:r>
      <w:r w:rsidR="004E5A9B" w:rsidRPr="00D920C9">
        <w:rPr>
          <w:rFonts w:asciiTheme="minorHAnsi" w:hAnsiTheme="minorHAnsi"/>
          <w:szCs w:val="20"/>
        </w:rPr>
        <w:t xml:space="preserve"> </w:t>
      </w:r>
      <w:r w:rsidR="0014598D" w:rsidRPr="00D920C9">
        <w:rPr>
          <w:rFonts w:asciiTheme="minorHAnsi" w:hAnsiTheme="minorHAnsi"/>
          <w:szCs w:val="20"/>
        </w:rPr>
        <w:t xml:space="preserve">The Commission also underscores the </w:t>
      </w:r>
      <w:r w:rsidRPr="00D920C9">
        <w:rPr>
          <w:rFonts w:asciiTheme="minorHAnsi" w:hAnsiTheme="minorHAnsi"/>
          <w:szCs w:val="20"/>
        </w:rPr>
        <w:t>need to safeguard the basic human rights of protesters, as well as considerations related to the regulation of the use of lethal force and less lethal weapons in</w:t>
      </w:r>
      <w:r w:rsidR="004E5A9B" w:rsidRPr="00D920C9">
        <w:rPr>
          <w:rFonts w:asciiTheme="minorHAnsi" w:hAnsiTheme="minorHAnsi"/>
          <w:szCs w:val="20"/>
        </w:rPr>
        <w:t xml:space="preserve"> general and in</w:t>
      </w:r>
      <w:r w:rsidRPr="00D920C9">
        <w:rPr>
          <w:rFonts w:asciiTheme="minorHAnsi" w:hAnsiTheme="minorHAnsi"/>
          <w:szCs w:val="20"/>
        </w:rPr>
        <w:t xml:space="preserve"> protest situations</w:t>
      </w:r>
      <w:r w:rsidR="001951ED" w:rsidRPr="00D920C9">
        <w:rPr>
          <w:rFonts w:asciiTheme="minorHAnsi" w:hAnsiTheme="minorHAnsi"/>
          <w:szCs w:val="20"/>
        </w:rPr>
        <w:t>.</w:t>
      </w:r>
      <w:r w:rsidR="004E5A9B" w:rsidRPr="00D920C9">
        <w:rPr>
          <w:rFonts w:asciiTheme="minorHAnsi" w:hAnsiTheme="minorHAnsi"/>
          <w:szCs w:val="20"/>
        </w:rPr>
        <w:t xml:space="preserve"> </w:t>
      </w:r>
    </w:p>
    <w:p w14:paraId="3DCB3DDD" w14:textId="41AA4897" w:rsidR="0011360B" w:rsidRPr="00D920C9" w:rsidRDefault="0011360B"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lastRenderedPageBreak/>
        <w:t xml:space="preserve">Regarding access to justice, the Commission emphasizes in this report that the government—federal, state, and local—is responsible for </w:t>
      </w:r>
      <w:r w:rsidR="00806E5C" w:rsidRPr="00D920C9">
        <w:rPr>
          <w:rFonts w:asciiTheme="minorHAnsi" w:hAnsiTheme="minorHAnsi"/>
          <w:szCs w:val="20"/>
        </w:rPr>
        <w:t xml:space="preserve">ensuring </w:t>
      </w:r>
      <w:r w:rsidRPr="00D920C9">
        <w:rPr>
          <w:rFonts w:asciiTheme="minorHAnsi" w:hAnsiTheme="minorHAnsi"/>
          <w:szCs w:val="20"/>
        </w:rPr>
        <w:t xml:space="preserve">access to justice, including exercising due diligence </w:t>
      </w:r>
      <w:r w:rsidR="00073AE6" w:rsidRPr="00D920C9">
        <w:rPr>
          <w:rFonts w:asciiTheme="minorHAnsi" w:hAnsiTheme="minorHAnsi"/>
          <w:szCs w:val="20"/>
        </w:rPr>
        <w:t>to ensure</w:t>
      </w:r>
      <w:r w:rsidR="004A50B5" w:rsidRPr="00D920C9">
        <w:rPr>
          <w:rFonts w:asciiTheme="minorHAnsi" w:hAnsiTheme="minorHAnsi"/>
          <w:szCs w:val="20"/>
        </w:rPr>
        <w:t xml:space="preserve"> independent and impartial investigation and prosecution of police abuses</w:t>
      </w:r>
      <w:r w:rsidR="0020600C" w:rsidRPr="00D920C9">
        <w:rPr>
          <w:rFonts w:asciiTheme="minorHAnsi" w:hAnsiTheme="minorHAnsi"/>
          <w:szCs w:val="20"/>
        </w:rPr>
        <w:t xml:space="preserve">, </w:t>
      </w:r>
      <w:r w:rsidR="004A50B5" w:rsidRPr="00D920C9">
        <w:rPr>
          <w:rFonts w:asciiTheme="minorHAnsi" w:hAnsiTheme="minorHAnsi"/>
          <w:szCs w:val="20"/>
        </w:rPr>
        <w:t>and accountability and punishment for all those responsible for a violation; establishing</w:t>
      </w:r>
      <w:r w:rsidRPr="00D920C9">
        <w:rPr>
          <w:rFonts w:asciiTheme="minorHAnsi" w:hAnsiTheme="minorHAnsi"/>
          <w:szCs w:val="20"/>
        </w:rPr>
        <w:t xml:space="preserve"> </w:t>
      </w:r>
      <w:r w:rsidR="004A50B5" w:rsidRPr="00D920C9">
        <w:rPr>
          <w:rFonts w:asciiTheme="minorHAnsi" w:hAnsiTheme="minorHAnsi"/>
          <w:szCs w:val="20"/>
        </w:rPr>
        <w:t xml:space="preserve">adequate, </w:t>
      </w:r>
      <w:r w:rsidRPr="00D920C9">
        <w:rPr>
          <w:rFonts w:asciiTheme="minorHAnsi" w:hAnsiTheme="minorHAnsi"/>
          <w:szCs w:val="20"/>
        </w:rPr>
        <w:t>effective</w:t>
      </w:r>
      <w:r w:rsidR="004A50B5" w:rsidRPr="00D920C9">
        <w:rPr>
          <w:rFonts w:asciiTheme="minorHAnsi" w:hAnsiTheme="minorHAnsi"/>
          <w:szCs w:val="20"/>
        </w:rPr>
        <w:t>, and accessible</w:t>
      </w:r>
      <w:r w:rsidRPr="00D920C9">
        <w:rPr>
          <w:rFonts w:asciiTheme="minorHAnsi" w:hAnsiTheme="minorHAnsi"/>
          <w:szCs w:val="20"/>
        </w:rPr>
        <w:t xml:space="preserve"> legal remedies</w:t>
      </w:r>
      <w:r w:rsidR="004A50B5" w:rsidRPr="00D920C9">
        <w:rPr>
          <w:rFonts w:asciiTheme="minorHAnsi" w:hAnsiTheme="minorHAnsi"/>
          <w:szCs w:val="20"/>
        </w:rPr>
        <w:t xml:space="preserve"> for police violence</w:t>
      </w:r>
      <w:r w:rsidR="0020600C" w:rsidRPr="00D920C9">
        <w:rPr>
          <w:rFonts w:asciiTheme="minorHAnsi" w:hAnsiTheme="minorHAnsi"/>
          <w:szCs w:val="20"/>
        </w:rPr>
        <w:t xml:space="preserve"> against African Americans</w:t>
      </w:r>
      <w:r w:rsidR="004A50B5" w:rsidRPr="00D920C9">
        <w:rPr>
          <w:rFonts w:asciiTheme="minorHAnsi" w:hAnsiTheme="minorHAnsi"/>
          <w:szCs w:val="20"/>
        </w:rPr>
        <w:t>; and ensuring reparations for victims</w:t>
      </w:r>
      <w:r w:rsidR="001951ED" w:rsidRPr="00D920C9">
        <w:rPr>
          <w:rFonts w:asciiTheme="minorHAnsi" w:hAnsiTheme="minorHAnsi"/>
          <w:szCs w:val="20"/>
        </w:rPr>
        <w:t>.</w:t>
      </w:r>
      <w:r w:rsidR="004E5A9B" w:rsidRPr="00D920C9">
        <w:rPr>
          <w:rFonts w:asciiTheme="minorHAnsi" w:hAnsiTheme="minorHAnsi"/>
          <w:szCs w:val="20"/>
        </w:rPr>
        <w:t xml:space="preserve"> </w:t>
      </w:r>
      <w:r w:rsidR="001951ED" w:rsidRPr="00D920C9">
        <w:rPr>
          <w:rFonts w:asciiTheme="minorHAnsi" w:hAnsiTheme="minorHAnsi"/>
          <w:szCs w:val="20"/>
        </w:rPr>
        <w:t xml:space="preserve"> </w:t>
      </w:r>
      <w:r w:rsidR="004A50B5" w:rsidRPr="00D920C9">
        <w:rPr>
          <w:rFonts w:asciiTheme="minorHAnsi" w:hAnsiTheme="minorHAnsi"/>
          <w:szCs w:val="20"/>
        </w:rPr>
        <w:t>I</w:t>
      </w:r>
      <w:r w:rsidRPr="00D920C9">
        <w:rPr>
          <w:rFonts w:asciiTheme="minorHAnsi" w:hAnsiTheme="minorHAnsi"/>
          <w:szCs w:val="20"/>
        </w:rPr>
        <w:t>mpunity fosters an environme</w:t>
      </w:r>
      <w:r w:rsidR="00F97B50" w:rsidRPr="00D920C9">
        <w:rPr>
          <w:rFonts w:asciiTheme="minorHAnsi" w:hAnsiTheme="minorHAnsi"/>
          <w:szCs w:val="20"/>
        </w:rPr>
        <w:t xml:space="preserve">nt in which police violence, </w:t>
      </w:r>
      <w:r w:rsidRPr="00D920C9">
        <w:rPr>
          <w:rFonts w:asciiTheme="minorHAnsi" w:hAnsiTheme="minorHAnsi"/>
          <w:szCs w:val="20"/>
        </w:rPr>
        <w:t>abuses</w:t>
      </w:r>
      <w:r w:rsidR="00F97B50" w:rsidRPr="00D920C9">
        <w:rPr>
          <w:rFonts w:asciiTheme="minorHAnsi" w:hAnsiTheme="minorHAnsi"/>
          <w:szCs w:val="20"/>
        </w:rPr>
        <w:t xml:space="preserve">, and disparate treatment towards historically marginalized groups are tolerated. </w:t>
      </w:r>
      <w:r w:rsidR="0014598D" w:rsidRPr="00D920C9">
        <w:rPr>
          <w:rFonts w:asciiTheme="minorHAnsi" w:hAnsiTheme="minorHAnsi"/>
          <w:szCs w:val="20"/>
        </w:rPr>
        <w:t xml:space="preserve">The Commission is particularly concerned </w:t>
      </w:r>
      <w:r w:rsidR="00FB0D6D" w:rsidRPr="00D920C9">
        <w:rPr>
          <w:rFonts w:asciiTheme="minorHAnsi" w:hAnsiTheme="minorHAnsi"/>
          <w:szCs w:val="20"/>
        </w:rPr>
        <w:t>by</w:t>
      </w:r>
      <w:r w:rsidR="0014598D" w:rsidRPr="00D920C9">
        <w:rPr>
          <w:rFonts w:asciiTheme="minorHAnsi" w:hAnsiTheme="minorHAnsi"/>
          <w:szCs w:val="20"/>
        </w:rPr>
        <w:t xml:space="preserve"> the significant </w:t>
      </w:r>
      <w:r w:rsidR="0014598D" w:rsidRPr="00D920C9">
        <w:rPr>
          <w:rFonts w:asciiTheme="minorHAnsi" w:hAnsiTheme="minorHAnsi"/>
        </w:rPr>
        <w:t>number</w:t>
      </w:r>
      <w:r w:rsidR="0014598D" w:rsidRPr="00D920C9">
        <w:rPr>
          <w:rFonts w:asciiTheme="minorHAnsi" w:hAnsiTheme="minorHAnsi"/>
          <w:szCs w:val="20"/>
        </w:rPr>
        <w:t xml:space="preserve"> of incidents of police violence against African-Americans that end without convictions; </w:t>
      </w:r>
      <w:r w:rsidR="00073AE6" w:rsidRPr="00D920C9">
        <w:rPr>
          <w:rFonts w:asciiTheme="minorHAnsi" w:hAnsiTheme="minorHAnsi"/>
          <w:szCs w:val="20"/>
        </w:rPr>
        <w:t>including</w:t>
      </w:r>
      <w:r w:rsidR="0014598D" w:rsidRPr="00D920C9">
        <w:rPr>
          <w:rFonts w:asciiTheme="minorHAnsi" w:hAnsiTheme="minorHAnsi"/>
          <w:szCs w:val="20"/>
        </w:rPr>
        <w:t xml:space="preserve"> cases in which the person affected was unarmed. </w:t>
      </w:r>
      <w:r w:rsidR="004A50B5" w:rsidRPr="00D920C9">
        <w:rPr>
          <w:rFonts w:asciiTheme="minorHAnsi" w:hAnsiTheme="minorHAnsi"/>
          <w:szCs w:val="20"/>
        </w:rPr>
        <w:t xml:space="preserve">The Commission additionally notes the State’s duty to take measures to prevent and respond to violence on the part of State and non-State actors explicitly or implicitly motivated by racial bias. </w:t>
      </w:r>
    </w:p>
    <w:p w14:paraId="39112A1E" w14:textId="3CAF96A2" w:rsidR="004A50B5" w:rsidRPr="00D920C9" w:rsidRDefault="004A50B5"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Finally, the Commission emphasizes that </w:t>
      </w:r>
      <w:r w:rsidR="00165625" w:rsidRPr="00D920C9">
        <w:rPr>
          <w:rFonts w:asciiTheme="minorHAnsi" w:hAnsiTheme="minorHAnsi"/>
          <w:szCs w:val="20"/>
        </w:rPr>
        <w:t xml:space="preserve">due diligence in preventing </w:t>
      </w:r>
      <w:r w:rsidRPr="00D920C9">
        <w:rPr>
          <w:rFonts w:asciiTheme="minorHAnsi" w:hAnsiTheme="minorHAnsi"/>
          <w:szCs w:val="20"/>
        </w:rPr>
        <w:t xml:space="preserve">police violence </w:t>
      </w:r>
      <w:r w:rsidR="00165625" w:rsidRPr="00D920C9">
        <w:rPr>
          <w:rFonts w:asciiTheme="minorHAnsi" w:hAnsiTheme="minorHAnsi"/>
          <w:szCs w:val="20"/>
        </w:rPr>
        <w:t xml:space="preserve">against African Americans </w:t>
      </w:r>
      <w:r w:rsidRPr="00D920C9">
        <w:rPr>
          <w:rFonts w:asciiTheme="minorHAnsi" w:hAnsiTheme="minorHAnsi"/>
          <w:szCs w:val="20"/>
        </w:rPr>
        <w:t xml:space="preserve">must take a transformative approach. That is, </w:t>
      </w:r>
      <w:r w:rsidR="00165625" w:rsidRPr="00D920C9">
        <w:rPr>
          <w:rFonts w:asciiTheme="minorHAnsi" w:hAnsiTheme="minorHAnsi"/>
          <w:szCs w:val="20"/>
        </w:rPr>
        <w:t xml:space="preserve">actions to prevent police violence or </w:t>
      </w:r>
      <w:r w:rsidRPr="00D920C9">
        <w:rPr>
          <w:rFonts w:asciiTheme="minorHAnsi" w:hAnsiTheme="minorHAnsi"/>
          <w:szCs w:val="20"/>
        </w:rPr>
        <w:t>remedies or reparations</w:t>
      </w:r>
      <w:r w:rsidR="00165625" w:rsidRPr="00D920C9">
        <w:rPr>
          <w:rFonts w:asciiTheme="minorHAnsi" w:hAnsiTheme="minorHAnsi"/>
          <w:szCs w:val="20"/>
        </w:rPr>
        <w:t xml:space="preserve"> for police violence</w:t>
      </w:r>
      <w:r w:rsidRPr="00D920C9">
        <w:rPr>
          <w:rFonts w:asciiTheme="minorHAnsi" w:hAnsiTheme="minorHAnsi"/>
          <w:szCs w:val="20"/>
        </w:rPr>
        <w:t xml:space="preserve"> that have the effect</w:t>
      </w:r>
      <w:r w:rsidR="00165625" w:rsidRPr="00D920C9">
        <w:rPr>
          <w:rFonts w:asciiTheme="minorHAnsi" w:hAnsiTheme="minorHAnsi"/>
          <w:szCs w:val="20"/>
        </w:rPr>
        <w:t xml:space="preserve"> </w:t>
      </w:r>
      <w:r w:rsidRPr="00D920C9">
        <w:rPr>
          <w:rFonts w:asciiTheme="minorHAnsi" w:hAnsiTheme="minorHAnsi"/>
          <w:szCs w:val="20"/>
        </w:rPr>
        <w:t xml:space="preserve">of </w:t>
      </w:r>
      <w:r w:rsidR="00073AE6" w:rsidRPr="00D920C9">
        <w:rPr>
          <w:rFonts w:asciiTheme="minorHAnsi" w:hAnsiTheme="minorHAnsi"/>
          <w:szCs w:val="20"/>
        </w:rPr>
        <w:t>maintaining</w:t>
      </w:r>
      <w:r w:rsidR="00165625" w:rsidRPr="00D920C9">
        <w:rPr>
          <w:rFonts w:asciiTheme="minorHAnsi" w:hAnsiTheme="minorHAnsi"/>
          <w:szCs w:val="20"/>
        </w:rPr>
        <w:t xml:space="preserve"> or </w:t>
      </w:r>
      <w:r w:rsidRPr="00D920C9">
        <w:rPr>
          <w:rFonts w:asciiTheme="minorHAnsi" w:hAnsiTheme="minorHAnsi"/>
          <w:szCs w:val="20"/>
        </w:rPr>
        <w:t>reestablishing</w:t>
      </w:r>
      <w:r w:rsidR="00165625" w:rsidRPr="00D920C9">
        <w:rPr>
          <w:rFonts w:asciiTheme="minorHAnsi" w:hAnsiTheme="minorHAnsi"/>
          <w:szCs w:val="20"/>
        </w:rPr>
        <w:t xml:space="preserve"> </w:t>
      </w:r>
      <w:r w:rsidRPr="00D920C9">
        <w:rPr>
          <w:rFonts w:asciiTheme="minorHAnsi" w:hAnsiTheme="minorHAnsi"/>
          <w:szCs w:val="20"/>
        </w:rPr>
        <w:t xml:space="preserve">the </w:t>
      </w:r>
      <w:r w:rsidRPr="00D920C9">
        <w:rPr>
          <w:rFonts w:asciiTheme="minorHAnsi" w:hAnsiTheme="minorHAnsi"/>
        </w:rPr>
        <w:t>same</w:t>
      </w:r>
      <w:r w:rsidRPr="00D920C9">
        <w:rPr>
          <w:rFonts w:asciiTheme="minorHAnsi" w:hAnsiTheme="minorHAnsi"/>
          <w:szCs w:val="20"/>
        </w:rPr>
        <w:t xml:space="preserve"> structural context of violence and discrimination are not acceptable. Rather, reparations must </w:t>
      </w:r>
      <w:r w:rsidR="00073AE6" w:rsidRPr="00D920C9">
        <w:rPr>
          <w:rFonts w:asciiTheme="minorHAnsi" w:hAnsiTheme="minorHAnsi"/>
          <w:szCs w:val="20"/>
        </w:rPr>
        <w:t xml:space="preserve">aim to address and redress the </w:t>
      </w:r>
      <w:r w:rsidRPr="00D920C9">
        <w:rPr>
          <w:rFonts w:asciiTheme="minorHAnsi" w:hAnsiTheme="minorHAnsi"/>
          <w:szCs w:val="20"/>
        </w:rPr>
        <w:t>underlying situation of inequality</w:t>
      </w:r>
      <w:r w:rsidR="00AD1FC5" w:rsidRPr="00D920C9">
        <w:rPr>
          <w:rFonts w:asciiTheme="minorHAnsi" w:hAnsiTheme="minorHAnsi"/>
          <w:szCs w:val="20"/>
        </w:rPr>
        <w:t xml:space="preserve"> and the ongoing context of racial discrimination</w:t>
      </w:r>
      <w:r w:rsidRPr="00D920C9">
        <w:rPr>
          <w:rFonts w:asciiTheme="minorHAnsi" w:hAnsiTheme="minorHAnsi"/>
          <w:szCs w:val="20"/>
        </w:rPr>
        <w:t xml:space="preserve">. With </w:t>
      </w:r>
      <w:r w:rsidR="00AD1FC5" w:rsidRPr="00D920C9">
        <w:rPr>
          <w:rFonts w:asciiTheme="minorHAnsi" w:hAnsiTheme="minorHAnsi"/>
          <w:szCs w:val="20"/>
        </w:rPr>
        <w:t>these principles in mind</w:t>
      </w:r>
      <w:r w:rsidRPr="00D920C9">
        <w:rPr>
          <w:rFonts w:asciiTheme="minorHAnsi" w:hAnsiTheme="minorHAnsi"/>
          <w:szCs w:val="20"/>
        </w:rPr>
        <w:t xml:space="preserve">, key recommendations </w:t>
      </w:r>
      <w:r w:rsidR="00073AE6" w:rsidRPr="00D920C9">
        <w:rPr>
          <w:rFonts w:asciiTheme="minorHAnsi" w:hAnsiTheme="minorHAnsi"/>
          <w:szCs w:val="20"/>
        </w:rPr>
        <w:t xml:space="preserve">to the United States </w:t>
      </w:r>
      <w:r w:rsidRPr="00D920C9">
        <w:rPr>
          <w:rFonts w:asciiTheme="minorHAnsi" w:hAnsiTheme="minorHAnsi"/>
          <w:szCs w:val="20"/>
        </w:rPr>
        <w:t xml:space="preserve">include: </w:t>
      </w:r>
    </w:p>
    <w:p w14:paraId="62898AC7" w14:textId="2508B493" w:rsidR="004B2CE1" w:rsidRPr="00D920C9" w:rsidRDefault="004B2CE1" w:rsidP="002C64F8">
      <w:pPr>
        <w:pStyle w:val="ListParagraph"/>
        <w:numPr>
          <w:ilvl w:val="0"/>
          <w:numId w:val="29"/>
        </w:numPr>
        <w:spacing w:after="240" w:line="240" w:lineRule="auto"/>
        <w:ind w:left="1094" w:hanging="547"/>
        <w:contextualSpacing w:val="0"/>
        <w:jc w:val="both"/>
        <w:rPr>
          <w:rFonts w:asciiTheme="minorHAnsi" w:hAnsiTheme="minorHAnsi"/>
          <w:szCs w:val="20"/>
        </w:rPr>
      </w:pPr>
      <w:r w:rsidRPr="00D920C9">
        <w:rPr>
          <w:rFonts w:asciiTheme="minorHAnsi" w:hAnsiTheme="minorHAnsi"/>
          <w:szCs w:val="20"/>
        </w:rPr>
        <w:t>Undertake and ensure proper funding for official studies</w:t>
      </w:r>
      <w:r w:rsidR="006F5B02" w:rsidRPr="00D920C9">
        <w:rPr>
          <w:rFonts w:asciiTheme="minorHAnsi" w:hAnsiTheme="minorHAnsi"/>
          <w:szCs w:val="20"/>
        </w:rPr>
        <w:t xml:space="preserve"> on racial discrimination in the U.S.</w:t>
      </w:r>
      <w:r w:rsidRPr="00D920C9">
        <w:rPr>
          <w:rFonts w:asciiTheme="minorHAnsi" w:hAnsiTheme="minorHAnsi"/>
          <w:szCs w:val="20"/>
        </w:rPr>
        <w:t xml:space="preserve">—at the federal, state, </w:t>
      </w:r>
      <w:r w:rsidR="00B42D61" w:rsidRPr="00D920C9">
        <w:rPr>
          <w:rFonts w:asciiTheme="minorHAnsi" w:hAnsiTheme="minorHAnsi"/>
          <w:szCs w:val="20"/>
        </w:rPr>
        <w:t>and</w:t>
      </w:r>
      <w:r w:rsidRPr="00D920C9">
        <w:rPr>
          <w:rFonts w:asciiTheme="minorHAnsi" w:hAnsiTheme="minorHAnsi"/>
          <w:szCs w:val="20"/>
        </w:rPr>
        <w:t xml:space="preserve"> local level—with the goal of contributing to the establishment of the full and public trut</w:t>
      </w:r>
      <w:r w:rsidR="00073AE6" w:rsidRPr="00D920C9">
        <w:rPr>
          <w:rFonts w:asciiTheme="minorHAnsi" w:hAnsiTheme="minorHAnsi"/>
          <w:szCs w:val="20"/>
        </w:rPr>
        <w:t>h about violations, as well as</w:t>
      </w:r>
      <w:r w:rsidR="002B574C" w:rsidRPr="00D920C9">
        <w:rPr>
          <w:rFonts w:asciiTheme="minorHAnsi" w:hAnsiTheme="minorHAnsi"/>
          <w:szCs w:val="20"/>
        </w:rPr>
        <w:t xml:space="preserve"> </w:t>
      </w:r>
      <w:r w:rsidRPr="00D920C9">
        <w:rPr>
          <w:rFonts w:asciiTheme="minorHAnsi" w:hAnsiTheme="minorHAnsi"/>
          <w:szCs w:val="20"/>
        </w:rPr>
        <w:t>forward-looking public polic</w:t>
      </w:r>
      <w:r w:rsidR="00073AE6" w:rsidRPr="00D920C9">
        <w:rPr>
          <w:rFonts w:asciiTheme="minorHAnsi" w:hAnsiTheme="minorHAnsi"/>
          <w:szCs w:val="20"/>
        </w:rPr>
        <w:t>ies</w:t>
      </w:r>
      <w:r w:rsidRPr="00D920C9">
        <w:rPr>
          <w:rFonts w:asciiTheme="minorHAnsi" w:hAnsiTheme="minorHAnsi"/>
          <w:szCs w:val="20"/>
        </w:rPr>
        <w:t xml:space="preserve"> to contribute to</w:t>
      </w:r>
      <w:r w:rsidR="00073AE6" w:rsidRPr="00D920C9">
        <w:rPr>
          <w:rFonts w:asciiTheme="minorHAnsi" w:hAnsiTheme="minorHAnsi"/>
          <w:szCs w:val="20"/>
        </w:rPr>
        <w:t xml:space="preserve"> effective reparations for</w:t>
      </w:r>
      <w:r w:rsidRPr="00D920C9">
        <w:rPr>
          <w:rFonts w:asciiTheme="minorHAnsi" w:hAnsiTheme="minorHAnsi"/>
          <w:szCs w:val="20"/>
        </w:rPr>
        <w:t xml:space="preserve"> </w:t>
      </w:r>
      <w:r w:rsidR="00712727" w:rsidRPr="00D920C9">
        <w:rPr>
          <w:rFonts w:asciiTheme="minorHAnsi" w:hAnsiTheme="minorHAnsi"/>
          <w:szCs w:val="20"/>
        </w:rPr>
        <w:t>the victims, including</w:t>
      </w:r>
      <w:r w:rsidRPr="00D920C9">
        <w:rPr>
          <w:rFonts w:asciiTheme="minorHAnsi" w:hAnsiTheme="minorHAnsi"/>
          <w:szCs w:val="20"/>
        </w:rPr>
        <w:t xml:space="preserve"> satisfaction and guarantees of non-repetition</w:t>
      </w:r>
      <w:r w:rsidR="006F5B02" w:rsidRPr="00D920C9">
        <w:rPr>
          <w:rFonts w:asciiTheme="minorHAnsi" w:hAnsiTheme="minorHAnsi"/>
          <w:szCs w:val="20"/>
        </w:rPr>
        <w:t xml:space="preserve"> (Recommendation</w:t>
      </w:r>
      <w:r w:rsidR="001951ED" w:rsidRPr="00D920C9">
        <w:rPr>
          <w:rFonts w:asciiTheme="minorHAnsi" w:hAnsiTheme="minorHAnsi"/>
          <w:szCs w:val="20"/>
        </w:rPr>
        <w:t xml:space="preserve"> 1</w:t>
      </w:r>
      <w:r w:rsidR="006F5B02" w:rsidRPr="00D920C9">
        <w:rPr>
          <w:rFonts w:asciiTheme="minorHAnsi" w:hAnsiTheme="minorHAnsi"/>
          <w:szCs w:val="20"/>
        </w:rPr>
        <w:t>).</w:t>
      </w:r>
    </w:p>
    <w:p w14:paraId="519DD1E1" w14:textId="0DBAD001" w:rsidR="004B2CE1" w:rsidRPr="00D920C9" w:rsidRDefault="004B2CE1" w:rsidP="002C64F8">
      <w:pPr>
        <w:pStyle w:val="ListParagraph"/>
        <w:numPr>
          <w:ilvl w:val="0"/>
          <w:numId w:val="29"/>
        </w:numPr>
        <w:spacing w:after="240" w:line="240" w:lineRule="auto"/>
        <w:ind w:left="1080" w:hanging="540"/>
        <w:contextualSpacing w:val="0"/>
        <w:jc w:val="both"/>
        <w:rPr>
          <w:rFonts w:asciiTheme="minorHAnsi" w:hAnsiTheme="minorHAnsi"/>
          <w:szCs w:val="20"/>
        </w:rPr>
      </w:pPr>
      <w:r w:rsidRPr="00D920C9">
        <w:rPr>
          <w:rFonts w:asciiTheme="minorHAnsi" w:hAnsiTheme="minorHAnsi"/>
          <w:szCs w:val="20"/>
        </w:rPr>
        <w:t xml:space="preserve">Ensure that all federal, state, and local government entities fully comply with relevant domestic laws mandating the monitoring, oversight, and investigation of possible human </w:t>
      </w:r>
      <w:r w:rsidR="002B574C" w:rsidRPr="00D920C9">
        <w:rPr>
          <w:rFonts w:asciiTheme="minorHAnsi" w:hAnsiTheme="minorHAnsi"/>
          <w:szCs w:val="20"/>
        </w:rPr>
        <w:t xml:space="preserve">and </w:t>
      </w:r>
      <w:r w:rsidRPr="00D920C9">
        <w:rPr>
          <w:rFonts w:asciiTheme="minorHAnsi" w:hAnsiTheme="minorHAnsi"/>
          <w:szCs w:val="20"/>
        </w:rPr>
        <w:t>civil rights violations by State actors, such as police departments, as well as private individuals</w:t>
      </w:r>
      <w:r w:rsidR="001951ED" w:rsidRPr="00D920C9">
        <w:rPr>
          <w:rFonts w:asciiTheme="minorHAnsi" w:hAnsiTheme="minorHAnsi"/>
          <w:szCs w:val="20"/>
        </w:rPr>
        <w:t xml:space="preserve"> (Rec. 5</w:t>
      </w:r>
      <w:r w:rsidR="006F5B02" w:rsidRPr="00D920C9">
        <w:rPr>
          <w:rFonts w:asciiTheme="minorHAnsi" w:hAnsiTheme="minorHAnsi"/>
          <w:szCs w:val="20"/>
        </w:rPr>
        <w:t>)</w:t>
      </w:r>
      <w:r w:rsidRPr="00D920C9">
        <w:rPr>
          <w:rFonts w:asciiTheme="minorHAnsi" w:hAnsiTheme="minorHAnsi"/>
          <w:szCs w:val="20"/>
        </w:rPr>
        <w:t>.</w:t>
      </w:r>
    </w:p>
    <w:p w14:paraId="2E89798F" w14:textId="6F41C782" w:rsidR="0072065E" w:rsidRPr="00D920C9" w:rsidRDefault="0072065E" w:rsidP="002C64F8">
      <w:pPr>
        <w:pStyle w:val="ListParagraph"/>
        <w:numPr>
          <w:ilvl w:val="0"/>
          <w:numId w:val="29"/>
        </w:numPr>
        <w:spacing w:after="240" w:line="240" w:lineRule="auto"/>
        <w:ind w:left="1080" w:hanging="540"/>
        <w:contextualSpacing w:val="0"/>
        <w:jc w:val="both"/>
        <w:rPr>
          <w:rFonts w:asciiTheme="minorHAnsi" w:hAnsiTheme="minorHAnsi"/>
          <w:szCs w:val="20"/>
        </w:rPr>
      </w:pPr>
      <w:r w:rsidRPr="00D920C9">
        <w:rPr>
          <w:rFonts w:asciiTheme="minorHAnsi" w:hAnsiTheme="minorHAnsi"/>
          <w:szCs w:val="20"/>
        </w:rPr>
        <w:t>Create independent ombudsperson offices at the state and local levels to receive and take action regarding complaints about di</w:t>
      </w:r>
      <w:r w:rsidR="001951ED" w:rsidRPr="00D920C9">
        <w:rPr>
          <w:rFonts w:asciiTheme="minorHAnsi" w:hAnsiTheme="minorHAnsi"/>
          <w:szCs w:val="20"/>
        </w:rPr>
        <w:t>scriminatory treatment (Rec.  12</w:t>
      </w:r>
      <w:r w:rsidRPr="00D920C9">
        <w:rPr>
          <w:rFonts w:asciiTheme="minorHAnsi" w:hAnsiTheme="minorHAnsi"/>
          <w:szCs w:val="20"/>
        </w:rPr>
        <w:t>).</w:t>
      </w:r>
    </w:p>
    <w:p w14:paraId="6B092E1A" w14:textId="4FFAFC2F" w:rsidR="004F3CBE" w:rsidRPr="00D920C9" w:rsidRDefault="004704C3" w:rsidP="002C64F8">
      <w:pPr>
        <w:pStyle w:val="ListParagraph"/>
        <w:numPr>
          <w:ilvl w:val="0"/>
          <w:numId w:val="29"/>
        </w:numPr>
        <w:spacing w:after="240" w:line="240" w:lineRule="auto"/>
        <w:ind w:left="1080" w:hanging="540"/>
        <w:contextualSpacing w:val="0"/>
        <w:jc w:val="both"/>
        <w:rPr>
          <w:rFonts w:asciiTheme="minorHAnsi" w:hAnsiTheme="minorHAnsi"/>
          <w:szCs w:val="20"/>
        </w:rPr>
      </w:pPr>
      <w:r w:rsidRPr="00D920C9">
        <w:rPr>
          <w:rFonts w:asciiTheme="minorHAnsi" w:hAnsiTheme="minorHAnsi"/>
          <w:szCs w:val="20"/>
        </w:rPr>
        <w:t xml:space="preserve">Take the necessary steps to reform domestic law—both federal and state—to bring it in line with international law </w:t>
      </w:r>
      <w:r w:rsidR="00071962" w:rsidRPr="00D920C9">
        <w:rPr>
          <w:rFonts w:asciiTheme="minorHAnsi" w:hAnsiTheme="minorHAnsi"/>
          <w:szCs w:val="20"/>
        </w:rPr>
        <w:t>as regards</w:t>
      </w:r>
      <w:r w:rsidR="004B2CE1" w:rsidRPr="00D920C9">
        <w:rPr>
          <w:rFonts w:asciiTheme="minorHAnsi" w:hAnsiTheme="minorHAnsi"/>
          <w:szCs w:val="20"/>
        </w:rPr>
        <w:t xml:space="preserve"> </w:t>
      </w:r>
      <w:r w:rsidR="00071962" w:rsidRPr="00D920C9">
        <w:rPr>
          <w:rFonts w:asciiTheme="minorHAnsi" w:hAnsiTheme="minorHAnsi"/>
          <w:szCs w:val="20"/>
        </w:rPr>
        <w:t xml:space="preserve">the </w:t>
      </w:r>
      <w:r w:rsidR="004F3CBE" w:rsidRPr="00D920C9">
        <w:rPr>
          <w:rFonts w:asciiTheme="minorHAnsi" w:hAnsiTheme="minorHAnsi"/>
          <w:szCs w:val="20"/>
        </w:rPr>
        <w:t>use o</w:t>
      </w:r>
      <w:r w:rsidR="00221C3C" w:rsidRPr="00D920C9">
        <w:rPr>
          <w:rFonts w:asciiTheme="minorHAnsi" w:hAnsiTheme="minorHAnsi"/>
          <w:szCs w:val="20"/>
        </w:rPr>
        <w:t xml:space="preserve">f </w:t>
      </w:r>
      <w:r w:rsidR="00221C3C" w:rsidRPr="00D920C9">
        <w:rPr>
          <w:rFonts w:asciiTheme="minorHAnsi" w:hAnsiTheme="minorHAnsi"/>
          <w:szCs w:val="20"/>
        </w:rPr>
        <w:lastRenderedPageBreak/>
        <w:t>force and use of deadly force</w:t>
      </w:r>
      <w:r w:rsidRPr="00D920C9">
        <w:rPr>
          <w:rFonts w:asciiTheme="minorHAnsi" w:hAnsiTheme="minorHAnsi"/>
          <w:szCs w:val="20"/>
        </w:rPr>
        <w:t xml:space="preserve">, respecting the principles of </w:t>
      </w:r>
      <w:r w:rsidR="00B42D61" w:rsidRPr="00D920C9">
        <w:rPr>
          <w:rFonts w:asciiTheme="minorHAnsi" w:hAnsiTheme="minorHAnsi"/>
          <w:szCs w:val="20"/>
        </w:rPr>
        <w:t xml:space="preserve">legality, absolute necessity, and proportionality </w:t>
      </w:r>
      <w:r w:rsidR="001951ED" w:rsidRPr="00D920C9">
        <w:rPr>
          <w:rFonts w:asciiTheme="minorHAnsi" w:hAnsiTheme="minorHAnsi"/>
          <w:szCs w:val="20"/>
        </w:rPr>
        <w:t>(Rec.  13</w:t>
      </w:r>
      <w:r w:rsidR="004F3CBE" w:rsidRPr="00D920C9">
        <w:rPr>
          <w:rFonts w:asciiTheme="minorHAnsi" w:hAnsiTheme="minorHAnsi"/>
          <w:szCs w:val="20"/>
        </w:rPr>
        <w:t>).</w:t>
      </w:r>
    </w:p>
    <w:p w14:paraId="5A3A7C67" w14:textId="16C6A4E6" w:rsidR="00712727" w:rsidRPr="00D920C9" w:rsidRDefault="00712727" w:rsidP="002C64F8">
      <w:pPr>
        <w:pStyle w:val="ListParagraph"/>
        <w:numPr>
          <w:ilvl w:val="0"/>
          <w:numId w:val="29"/>
        </w:numPr>
        <w:spacing w:after="240" w:line="240" w:lineRule="auto"/>
        <w:ind w:left="1080" w:hanging="540"/>
        <w:contextualSpacing w:val="0"/>
        <w:jc w:val="both"/>
        <w:rPr>
          <w:rFonts w:asciiTheme="minorHAnsi" w:hAnsiTheme="minorHAnsi"/>
          <w:szCs w:val="20"/>
        </w:rPr>
      </w:pPr>
      <w:r w:rsidRPr="00D920C9">
        <w:rPr>
          <w:rFonts w:asciiTheme="minorHAnsi" w:hAnsiTheme="minorHAnsi"/>
          <w:szCs w:val="20"/>
        </w:rPr>
        <w:t>Create a federal database to track incidents involving police use of force by all law enforcement agencies in a transparent, uniform, and public manner, including disaggregated data on demographics of all victim</w:t>
      </w:r>
      <w:r w:rsidR="001951ED" w:rsidRPr="00D920C9">
        <w:rPr>
          <w:rFonts w:asciiTheme="minorHAnsi" w:hAnsiTheme="minorHAnsi"/>
          <w:szCs w:val="20"/>
        </w:rPr>
        <w:t>s and officers involved (Rec.  20</w:t>
      </w:r>
      <w:r w:rsidRPr="00D920C9">
        <w:rPr>
          <w:rFonts w:asciiTheme="minorHAnsi" w:hAnsiTheme="minorHAnsi"/>
          <w:szCs w:val="20"/>
        </w:rPr>
        <w:t>).</w:t>
      </w:r>
    </w:p>
    <w:p w14:paraId="10C3570F" w14:textId="2F68824B" w:rsidR="00712727" w:rsidRPr="00D920C9" w:rsidRDefault="00712727" w:rsidP="002C64F8">
      <w:pPr>
        <w:pStyle w:val="ListParagraph"/>
        <w:numPr>
          <w:ilvl w:val="0"/>
          <w:numId w:val="29"/>
        </w:numPr>
        <w:spacing w:after="240" w:line="240" w:lineRule="auto"/>
        <w:ind w:left="1080" w:hanging="540"/>
        <w:contextualSpacing w:val="0"/>
        <w:jc w:val="both"/>
        <w:rPr>
          <w:rFonts w:asciiTheme="minorHAnsi" w:hAnsiTheme="minorHAnsi"/>
          <w:szCs w:val="20"/>
        </w:rPr>
      </w:pPr>
      <w:r w:rsidRPr="00D920C9">
        <w:rPr>
          <w:rFonts w:asciiTheme="minorHAnsi" w:hAnsiTheme="minorHAnsi"/>
          <w:szCs w:val="20"/>
        </w:rPr>
        <w:t>Ensure the prompt, thorough, independent, impartial, and effective investigation of incidents of excessive use of force and police killings, ensuring the investigation of all potentially responsible parties and, as relevant, their appropriate prosecution and puni</w:t>
      </w:r>
      <w:r w:rsidR="001951ED" w:rsidRPr="00D920C9">
        <w:rPr>
          <w:rFonts w:asciiTheme="minorHAnsi" w:hAnsiTheme="minorHAnsi"/>
          <w:szCs w:val="20"/>
        </w:rPr>
        <w:t>shment (Rec.  21</w:t>
      </w:r>
      <w:r w:rsidRPr="00D920C9">
        <w:rPr>
          <w:rFonts w:asciiTheme="minorHAnsi" w:hAnsiTheme="minorHAnsi"/>
          <w:szCs w:val="20"/>
        </w:rPr>
        <w:t>).</w:t>
      </w:r>
    </w:p>
    <w:p w14:paraId="30EF938C" w14:textId="3865E3FD" w:rsidR="00712727" w:rsidRPr="00D920C9" w:rsidRDefault="00712727" w:rsidP="002C64F8">
      <w:pPr>
        <w:pStyle w:val="ListParagraph"/>
        <w:numPr>
          <w:ilvl w:val="0"/>
          <w:numId w:val="29"/>
        </w:numPr>
        <w:spacing w:after="240" w:line="240" w:lineRule="auto"/>
        <w:ind w:left="1080" w:hanging="540"/>
        <w:contextualSpacing w:val="0"/>
        <w:jc w:val="both"/>
        <w:rPr>
          <w:rFonts w:asciiTheme="minorHAnsi" w:hAnsiTheme="minorHAnsi"/>
          <w:szCs w:val="20"/>
        </w:rPr>
      </w:pPr>
      <w:r w:rsidRPr="00D920C9">
        <w:rPr>
          <w:rFonts w:asciiTheme="minorHAnsi" w:hAnsiTheme="minorHAnsi"/>
          <w:szCs w:val="20"/>
        </w:rPr>
        <w:t>Remove all de facto and legal obstacles in internal investigations, criminal proceedings, civil proceedings, and federal investigations that maintain impunity for cas</w:t>
      </w:r>
      <w:r w:rsidR="004437A7" w:rsidRPr="00D920C9">
        <w:rPr>
          <w:rFonts w:asciiTheme="minorHAnsi" w:hAnsiTheme="minorHAnsi"/>
          <w:szCs w:val="20"/>
        </w:rPr>
        <w:t>es of police killings (Rec. 22</w:t>
      </w:r>
      <w:r w:rsidRPr="00D920C9">
        <w:rPr>
          <w:rFonts w:asciiTheme="minorHAnsi" w:hAnsiTheme="minorHAnsi"/>
          <w:szCs w:val="20"/>
        </w:rPr>
        <w:t xml:space="preserve">), and ensure the effective and proportional punishment of police officers who commit </w:t>
      </w:r>
      <w:r w:rsidR="008F6EBF" w:rsidRPr="00D920C9">
        <w:rPr>
          <w:rFonts w:asciiTheme="minorHAnsi" w:hAnsiTheme="minorHAnsi"/>
          <w:szCs w:val="20"/>
        </w:rPr>
        <w:t>crimes</w:t>
      </w:r>
      <w:r w:rsidR="002B574C" w:rsidRPr="00D920C9">
        <w:rPr>
          <w:rFonts w:asciiTheme="minorHAnsi" w:hAnsiTheme="minorHAnsi"/>
          <w:szCs w:val="20"/>
        </w:rPr>
        <w:t xml:space="preserve"> or </w:t>
      </w:r>
      <w:r w:rsidR="004437A7" w:rsidRPr="00D920C9">
        <w:rPr>
          <w:rFonts w:asciiTheme="minorHAnsi" w:hAnsiTheme="minorHAnsi"/>
          <w:szCs w:val="20"/>
        </w:rPr>
        <w:t>misconduct (Rec. 22</w:t>
      </w:r>
      <w:r w:rsidRPr="00D920C9">
        <w:rPr>
          <w:rFonts w:asciiTheme="minorHAnsi" w:hAnsiTheme="minorHAnsi"/>
          <w:szCs w:val="20"/>
        </w:rPr>
        <w:t>).</w:t>
      </w:r>
    </w:p>
    <w:p w14:paraId="71FC2511" w14:textId="1201148F" w:rsidR="00712727" w:rsidRPr="00D920C9" w:rsidRDefault="00712727" w:rsidP="002C64F8">
      <w:pPr>
        <w:pStyle w:val="ListParagraph"/>
        <w:numPr>
          <w:ilvl w:val="0"/>
          <w:numId w:val="29"/>
        </w:numPr>
        <w:spacing w:after="240" w:line="240" w:lineRule="auto"/>
        <w:ind w:left="1080" w:hanging="540"/>
        <w:contextualSpacing w:val="0"/>
        <w:jc w:val="both"/>
        <w:rPr>
          <w:rFonts w:asciiTheme="minorHAnsi" w:hAnsiTheme="minorHAnsi"/>
          <w:szCs w:val="20"/>
        </w:rPr>
      </w:pPr>
      <w:r w:rsidRPr="00D920C9">
        <w:rPr>
          <w:rFonts w:asciiTheme="minorHAnsi" w:hAnsiTheme="minorHAnsi"/>
          <w:szCs w:val="20"/>
        </w:rPr>
        <w:t>Take effective measures to prevent and combat the stigmatization and criminalization of protesters, in particular where such stigmatization or criminalization may be racially discriminatory in nature, and fully guarantee the right to</w:t>
      </w:r>
      <w:r w:rsidR="004437A7" w:rsidRPr="00D920C9">
        <w:rPr>
          <w:rFonts w:asciiTheme="minorHAnsi" w:hAnsiTheme="minorHAnsi"/>
          <w:szCs w:val="20"/>
        </w:rPr>
        <w:t xml:space="preserve"> freedom of expression (Rec.  19</w:t>
      </w:r>
      <w:r w:rsidRPr="00D920C9">
        <w:rPr>
          <w:rFonts w:asciiTheme="minorHAnsi" w:hAnsiTheme="minorHAnsi"/>
          <w:szCs w:val="20"/>
        </w:rPr>
        <w:t>).</w:t>
      </w:r>
    </w:p>
    <w:p w14:paraId="7126FAC1" w14:textId="0869CEBD" w:rsidR="0072065E" w:rsidRPr="00D920C9" w:rsidRDefault="00712727" w:rsidP="002C64F8">
      <w:pPr>
        <w:pStyle w:val="ListParagraph"/>
        <w:numPr>
          <w:ilvl w:val="0"/>
          <w:numId w:val="29"/>
        </w:numPr>
        <w:spacing w:after="240" w:line="240" w:lineRule="auto"/>
        <w:ind w:left="1080" w:hanging="540"/>
        <w:contextualSpacing w:val="0"/>
        <w:jc w:val="both"/>
        <w:rPr>
          <w:rFonts w:asciiTheme="minorHAnsi" w:hAnsiTheme="minorHAnsi"/>
          <w:szCs w:val="20"/>
        </w:rPr>
      </w:pPr>
      <w:r w:rsidRPr="00D920C9">
        <w:rPr>
          <w:rFonts w:asciiTheme="minorHAnsi" w:hAnsiTheme="minorHAnsi"/>
          <w:szCs w:val="20"/>
        </w:rPr>
        <w:t>Take the necessary steps to reform domestic law—both federal and state—to bring it in line with international law as regards the obligation to prohibit and sanction both facial discrimination and the disparate impact of facially neu</w:t>
      </w:r>
      <w:r w:rsidR="004437A7" w:rsidRPr="00D920C9">
        <w:rPr>
          <w:rFonts w:asciiTheme="minorHAnsi" w:hAnsiTheme="minorHAnsi"/>
          <w:szCs w:val="20"/>
        </w:rPr>
        <w:t>tral laws and policies (Rec.  7</w:t>
      </w:r>
      <w:r w:rsidRPr="00D920C9">
        <w:rPr>
          <w:rFonts w:asciiTheme="minorHAnsi" w:hAnsiTheme="minorHAnsi"/>
          <w:szCs w:val="20"/>
        </w:rPr>
        <w:t xml:space="preserve">). </w:t>
      </w:r>
    </w:p>
    <w:p w14:paraId="7F6EA86F" w14:textId="77BB7794" w:rsidR="004B2CE1" w:rsidRPr="00D920C9" w:rsidRDefault="004437A7" w:rsidP="002C64F8">
      <w:pPr>
        <w:pStyle w:val="ListParagraph"/>
        <w:numPr>
          <w:ilvl w:val="0"/>
          <w:numId w:val="29"/>
        </w:numPr>
        <w:spacing w:after="240" w:line="240" w:lineRule="auto"/>
        <w:ind w:left="1080" w:hanging="540"/>
        <w:contextualSpacing w:val="0"/>
        <w:jc w:val="both"/>
        <w:rPr>
          <w:rFonts w:asciiTheme="minorHAnsi" w:hAnsiTheme="minorHAnsi"/>
          <w:szCs w:val="20"/>
        </w:rPr>
      </w:pPr>
      <w:r w:rsidRPr="00D920C9">
        <w:rPr>
          <w:rFonts w:asciiTheme="minorHAnsi" w:hAnsiTheme="minorHAnsi"/>
          <w:szCs w:val="20"/>
        </w:rPr>
        <w:t>Take steps to reverse the effect</w:t>
      </w:r>
      <w:r w:rsidR="004B2CE1" w:rsidRPr="00D920C9">
        <w:rPr>
          <w:rFonts w:asciiTheme="minorHAnsi" w:hAnsiTheme="minorHAnsi"/>
          <w:szCs w:val="20"/>
        </w:rPr>
        <w:t xml:space="preserve"> of policies with racially disparate impacts</w:t>
      </w:r>
      <w:r w:rsidR="0072065E" w:rsidRPr="00D920C9">
        <w:rPr>
          <w:rFonts w:asciiTheme="minorHAnsi" w:hAnsiTheme="minorHAnsi"/>
          <w:szCs w:val="20"/>
        </w:rPr>
        <w:t xml:space="preserve"> </w:t>
      </w:r>
      <w:r w:rsidRPr="00D920C9">
        <w:rPr>
          <w:rFonts w:asciiTheme="minorHAnsi" w:hAnsiTheme="minorHAnsi"/>
          <w:szCs w:val="20"/>
        </w:rPr>
        <w:t>(Rec.  11</w:t>
      </w:r>
      <w:r w:rsidR="006F5B02" w:rsidRPr="00D920C9">
        <w:rPr>
          <w:rFonts w:asciiTheme="minorHAnsi" w:hAnsiTheme="minorHAnsi"/>
          <w:szCs w:val="20"/>
        </w:rPr>
        <w:t>)</w:t>
      </w:r>
      <w:r w:rsidR="004B2CE1" w:rsidRPr="00D920C9">
        <w:rPr>
          <w:rFonts w:asciiTheme="minorHAnsi" w:hAnsiTheme="minorHAnsi"/>
          <w:szCs w:val="20"/>
        </w:rPr>
        <w:t>.</w:t>
      </w:r>
    </w:p>
    <w:p w14:paraId="5340A0EF" w14:textId="15916085" w:rsidR="00EF6ABA" w:rsidRPr="00D920C9" w:rsidRDefault="004704C3"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The </w:t>
      </w:r>
      <w:r w:rsidR="004905CF" w:rsidRPr="00D920C9">
        <w:rPr>
          <w:rFonts w:asciiTheme="minorHAnsi" w:hAnsiTheme="minorHAnsi"/>
          <w:szCs w:val="20"/>
        </w:rPr>
        <w:t>IACHR</w:t>
      </w:r>
      <w:r w:rsidRPr="00D920C9">
        <w:rPr>
          <w:rFonts w:asciiTheme="minorHAnsi" w:hAnsiTheme="minorHAnsi"/>
          <w:szCs w:val="20"/>
        </w:rPr>
        <w:t xml:space="preserve"> expresses its thanks to the State </w:t>
      </w:r>
      <w:r w:rsidR="004437A7" w:rsidRPr="00D920C9">
        <w:rPr>
          <w:rFonts w:asciiTheme="minorHAnsi" w:hAnsiTheme="minorHAnsi"/>
          <w:szCs w:val="20"/>
        </w:rPr>
        <w:t xml:space="preserve">for its engagement with the Commission on this issue and </w:t>
      </w:r>
      <w:r w:rsidRPr="00D920C9">
        <w:rPr>
          <w:rFonts w:asciiTheme="minorHAnsi" w:hAnsiTheme="minorHAnsi"/>
          <w:szCs w:val="20"/>
        </w:rPr>
        <w:t>for facili</w:t>
      </w:r>
      <w:r w:rsidR="004437A7" w:rsidRPr="00D920C9">
        <w:rPr>
          <w:rFonts w:asciiTheme="minorHAnsi" w:hAnsiTheme="minorHAnsi"/>
          <w:szCs w:val="20"/>
        </w:rPr>
        <w:t>tating its visit to the U.S.</w:t>
      </w:r>
      <w:r w:rsidRPr="00D920C9">
        <w:rPr>
          <w:rFonts w:asciiTheme="minorHAnsi" w:hAnsiTheme="minorHAnsi"/>
          <w:szCs w:val="20"/>
        </w:rPr>
        <w:t xml:space="preserve">, as well as to members of civil society, </w:t>
      </w:r>
      <w:r w:rsidR="004905CF" w:rsidRPr="00D920C9">
        <w:rPr>
          <w:rFonts w:asciiTheme="minorHAnsi" w:hAnsiTheme="minorHAnsi"/>
          <w:szCs w:val="20"/>
        </w:rPr>
        <w:t xml:space="preserve">the academic sector, </w:t>
      </w:r>
      <w:r w:rsidRPr="00D920C9">
        <w:rPr>
          <w:rFonts w:asciiTheme="minorHAnsi" w:hAnsiTheme="minorHAnsi"/>
          <w:szCs w:val="20"/>
        </w:rPr>
        <w:t>victims of police violence and racial discrimination, and their family members for their willingness to share information and collaborate in the search for solutions to this entrenched human rights issue.</w:t>
      </w:r>
    </w:p>
    <w:p w14:paraId="716ADF57" w14:textId="77777777" w:rsidR="001D6578" w:rsidRPr="00D920C9" w:rsidRDefault="001D6578" w:rsidP="00007A36">
      <w:pPr>
        <w:pStyle w:val="Heading1"/>
        <w:sectPr w:rsidR="001D6578" w:rsidRPr="00D920C9" w:rsidSect="003D7958">
          <w:headerReference w:type="even" r:id="rId16"/>
          <w:headerReference w:type="default" r:id="rId17"/>
          <w:footerReference w:type="even" r:id="rId18"/>
          <w:footerReference w:type="default" r:id="rId19"/>
          <w:type w:val="oddPage"/>
          <w:pgSz w:w="10080" w:h="14400" w:code="13"/>
          <w:pgMar w:top="1152" w:right="1152" w:bottom="1152" w:left="1296" w:header="720" w:footer="720" w:gutter="0"/>
          <w:cols w:space="708"/>
          <w:docGrid w:linePitch="360"/>
        </w:sectPr>
      </w:pPr>
      <w:bookmarkStart w:id="4" w:name="_Toc511837798"/>
    </w:p>
    <w:p w14:paraId="7479F7AE" w14:textId="7B4407F7" w:rsidR="00A0401B" w:rsidRPr="00A0401B" w:rsidRDefault="00A0401B" w:rsidP="00007A36">
      <w:pPr>
        <w:pStyle w:val="CAP1"/>
      </w:pPr>
      <w:bookmarkStart w:id="5" w:name="_Toc511902971"/>
      <w:bookmarkStart w:id="6" w:name="_Toc517687901"/>
      <w:r w:rsidRPr="00A0401B">
        <w:lastRenderedPageBreak/>
        <w:t>CHAPTER 1</w:t>
      </w:r>
    </w:p>
    <w:p w14:paraId="64E9E005" w14:textId="4DED0167" w:rsidR="00A0401B" w:rsidRPr="00A0401B" w:rsidRDefault="00A0401B" w:rsidP="00A0401B">
      <w:pPr>
        <w:pStyle w:val="CAP2"/>
        <w:sectPr w:rsidR="00A0401B" w:rsidRPr="00A0401B" w:rsidSect="00A0401B">
          <w:headerReference w:type="default" r:id="rId20"/>
          <w:footerReference w:type="default" r:id="rId21"/>
          <w:headerReference w:type="first" r:id="rId22"/>
          <w:type w:val="oddPage"/>
          <w:pgSz w:w="10080" w:h="14400" w:code="13"/>
          <w:pgMar w:top="1152" w:right="1152" w:bottom="1152" w:left="1296" w:header="720" w:footer="720" w:gutter="0"/>
          <w:cols w:space="708"/>
          <w:vAlign w:val="center"/>
          <w:docGrid w:linePitch="360"/>
        </w:sectPr>
      </w:pPr>
      <w:r w:rsidRPr="00A0401B">
        <w:t>INTRODUCTION</w:t>
      </w:r>
    </w:p>
    <w:p w14:paraId="2C0709BD" w14:textId="7E44A25C" w:rsidR="004B083B" w:rsidRPr="00D920C9" w:rsidRDefault="00EE32CD" w:rsidP="00007A36">
      <w:pPr>
        <w:pStyle w:val="Heading1"/>
      </w:pPr>
      <w:r w:rsidRPr="00D920C9">
        <w:lastRenderedPageBreak/>
        <w:t>INTRODUCTION</w:t>
      </w:r>
      <w:bookmarkEnd w:id="4"/>
      <w:bookmarkEnd w:id="5"/>
      <w:bookmarkEnd w:id="6"/>
    </w:p>
    <w:p w14:paraId="250D5853" w14:textId="77777777" w:rsidR="002B4344" w:rsidRPr="00D920C9" w:rsidRDefault="00CF5ABF"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rPr>
        <w:t>Information received by the Inter-American Commission on Human Rights</w:t>
      </w:r>
      <w:r w:rsidR="005A142D" w:rsidRPr="00D920C9">
        <w:rPr>
          <w:rFonts w:asciiTheme="minorHAnsi" w:hAnsiTheme="minorHAnsi"/>
        </w:rPr>
        <w:t xml:space="preserve"> </w:t>
      </w:r>
      <w:r w:rsidRPr="00D920C9">
        <w:rPr>
          <w:rFonts w:asciiTheme="minorHAnsi" w:eastAsia="Calibri" w:hAnsiTheme="minorHAnsi"/>
        </w:rPr>
        <w:t xml:space="preserve">(hereinafter, the “Inter-American Commission,” or “IACHR”) </w:t>
      </w:r>
      <w:r w:rsidR="0077727D" w:rsidRPr="00D920C9">
        <w:rPr>
          <w:rFonts w:asciiTheme="minorHAnsi" w:hAnsiTheme="minorHAnsi"/>
        </w:rPr>
        <w:t>reveals an al</w:t>
      </w:r>
      <w:r w:rsidR="00EA5B81" w:rsidRPr="00D920C9">
        <w:rPr>
          <w:rFonts w:asciiTheme="minorHAnsi" w:hAnsiTheme="minorHAnsi"/>
        </w:rPr>
        <w:t xml:space="preserve">arming historical </w:t>
      </w:r>
      <w:r w:rsidR="005A142D" w:rsidRPr="00D920C9">
        <w:rPr>
          <w:rFonts w:asciiTheme="minorHAnsi" w:hAnsiTheme="minorHAnsi"/>
        </w:rPr>
        <w:t>s</w:t>
      </w:r>
      <w:r w:rsidRPr="00D920C9">
        <w:rPr>
          <w:rFonts w:asciiTheme="minorHAnsi" w:hAnsiTheme="minorHAnsi"/>
        </w:rPr>
        <w:t>cenario in the United States of discriminatory policing practices and racial disparit</w:t>
      </w:r>
      <w:r w:rsidR="00672C86" w:rsidRPr="00D920C9">
        <w:rPr>
          <w:rFonts w:asciiTheme="minorHAnsi" w:hAnsiTheme="minorHAnsi"/>
        </w:rPr>
        <w:t>ies</w:t>
      </w:r>
      <w:r w:rsidRPr="00D920C9">
        <w:rPr>
          <w:rFonts w:asciiTheme="minorHAnsi" w:hAnsiTheme="minorHAnsi"/>
        </w:rPr>
        <w:t xml:space="preserve"> in the criminal justice system</w:t>
      </w:r>
      <w:r w:rsidR="004D03E8" w:rsidRPr="00D920C9">
        <w:rPr>
          <w:rFonts w:asciiTheme="minorHAnsi" w:hAnsiTheme="minorHAnsi"/>
        </w:rPr>
        <w:t>. African</w:t>
      </w:r>
      <w:r w:rsidR="0030356C" w:rsidRPr="00D920C9">
        <w:rPr>
          <w:rFonts w:asciiTheme="minorHAnsi" w:hAnsiTheme="minorHAnsi"/>
        </w:rPr>
        <w:t xml:space="preserve"> </w:t>
      </w:r>
      <w:r w:rsidR="004D03E8" w:rsidRPr="00D920C9">
        <w:rPr>
          <w:rFonts w:asciiTheme="minorHAnsi" w:hAnsiTheme="minorHAnsi"/>
        </w:rPr>
        <w:t>Americans</w:t>
      </w:r>
      <w:r w:rsidR="008C7950" w:rsidRPr="00D920C9">
        <w:rPr>
          <w:rStyle w:val="FootnoteReference"/>
          <w:rFonts w:asciiTheme="minorHAnsi" w:hAnsiTheme="minorHAnsi"/>
        </w:rPr>
        <w:footnoteReference w:id="1"/>
      </w:r>
      <w:r w:rsidR="004D03E8" w:rsidRPr="00D920C9">
        <w:rPr>
          <w:rFonts w:asciiTheme="minorHAnsi" w:hAnsiTheme="minorHAnsi"/>
        </w:rPr>
        <w:t xml:space="preserve"> are </w:t>
      </w:r>
      <w:r w:rsidR="004D03E8" w:rsidRPr="00D920C9">
        <w:rPr>
          <w:rFonts w:asciiTheme="minorHAnsi" w:hAnsiTheme="minorHAnsi"/>
          <w:szCs w:val="20"/>
        </w:rPr>
        <w:t xml:space="preserve">consistently targeted </w:t>
      </w:r>
      <w:r w:rsidRPr="00D920C9">
        <w:rPr>
          <w:rFonts w:asciiTheme="minorHAnsi" w:hAnsiTheme="minorHAnsi"/>
          <w:szCs w:val="20"/>
        </w:rPr>
        <w:t>on the basis of race</w:t>
      </w:r>
      <w:r w:rsidR="004C3E1C" w:rsidRPr="00D920C9">
        <w:rPr>
          <w:rFonts w:asciiTheme="minorHAnsi" w:hAnsiTheme="minorHAnsi"/>
          <w:szCs w:val="20"/>
          <w:vertAlign w:val="superscript"/>
        </w:rPr>
        <w:footnoteReference w:id="2"/>
      </w:r>
      <w:r w:rsidR="006A4BA9" w:rsidRPr="00D920C9">
        <w:rPr>
          <w:rFonts w:asciiTheme="minorHAnsi" w:hAnsiTheme="minorHAnsi"/>
          <w:szCs w:val="20"/>
        </w:rPr>
        <w:t xml:space="preserve"> </w:t>
      </w:r>
      <w:r w:rsidR="003E5ACA" w:rsidRPr="00D920C9">
        <w:rPr>
          <w:rFonts w:asciiTheme="minorHAnsi" w:hAnsiTheme="minorHAnsi"/>
          <w:szCs w:val="20"/>
        </w:rPr>
        <w:t>for searches and arrests</w:t>
      </w:r>
      <w:r w:rsidR="008C7950" w:rsidRPr="00D920C9">
        <w:rPr>
          <w:rFonts w:asciiTheme="minorHAnsi" w:hAnsiTheme="minorHAnsi"/>
          <w:szCs w:val="20"/>
        </w:rPr>
        <w:t xml:space="preserve"> (racial profiling)</w:t>
      </w:r>
      <w:r w:rsidR="003E5ACA" w:rsidRPr="00D920C9">
        <w:rPr>
          <w:rFonts w:asciiTheme="minorHAnsi" w:hAnsiTheme="minorHAnsi"/>
          <w:szCs w:val="20"/>
        </w:rPr>
        <w:t>,</w:t>
      </w:r>
      <w:r w:rsidR="00FA721D" w:rsidRPr="00D920C9">
        <w:rPr>
          <w:rFonts w:asciiTheme="minorHAnsi" w:hAnsiTheme="minorHAnsi"/>
          <w:szCs w:val="20"/>
        </w:rPr>
        <w:t xml:space="preserve"> and are often</w:t>
      </w:r>
      <w:r w:rsidR="00730E6C" w:rsidRPr="00D920C9">
        <w:rPr>
          <w:rFonts w:asciiTheme="minorHAnsi" w:hAnsiTheme="minorHAnsi"/>
          <w:szCs w:val="20"/>
        </w:rPr>
        <w:t xml:space="preserve"> </w:t>
      </w:r>
      <w:r w:rsidR="00EA5B81" w:rsidRPr="00D920C9">
        <w:rPr>
          <w:rFonts w:asciiTheme="minorHAnsi" w:hAnsiTheme="minorHAnsi"/>
          <w:szCs w:val="20"/>
        </w:rPr>
        <w:t>the victims of excessive force</w:t>
      </w:r>
      <w:r w:rsidRPr="00D920C9">
        <w:rPr>
          <w:rFonts w:asciiTheme="minorHAnsi" w:hAnsiTheme="minorHAnsi"/>
          <w:szCs w:val="20"/>
        </w:rPr>
        <w:t xml:space="preserve"> by police</w:t>
      </w:r>
      <w:r w:rsidR="00027602" w:rsidRPr="00D920C9">
        <w:rPr>
          <w:rFonts w:asciiTheme="minorHAnsi" w:hAnsiTheme="minorHAnsi"/>
          <w:szCs w:val="20"/>
        </w:rPr>
        <w:t>, resulting in death in many cases</w:t>
      </w:r>
      <w:r w:rsidR="00C45637" w:rsidRPr="00D920C9">
        <w:rPr>
          <w:rFonts w:asciiTheme="minorHAnsi" w:hAnsiTheme="minorHAnsi"/>
          <w:szCs w:val="20"/>
        </w:rPr>
        <w:t xml:space="preserve">. </w:t>
      </w:r>
      <w:r w:rsidR="00672C86" w:rsidRPr="00D920C9">
        <w:rPr>
          <w:rFonts w:asciiTheme="minorHAnsi" w:hAnsiTheme="minorHAnsi"/>
          <w:szCs w:val="20"/>
        </w:rPr>
        <w:t>S</w:t>
      </w:r>
      <w:r w:rsidRPr="00D920C9">
        <w:rPr>
          <w:rFonts w:asciiTheme="minorHAnsi" w:hAnsiTheme="minorHAnsi"/>
          <w:szCs w:val="20"/>
        </w:rPr>
        <w:t>ignificant racial disparities in the criminal justice system</w:t>
      </w:r>
      <w:r w:rsidR="00672C86" w:rsidRPr="00D920C9">
        <w:rPr>
          <w:rFonts w:asciiTheme="minorHAnsi" w:hAnsiTheme="minorHAnsi"/>
          <w:szCs w:val="20"/>
        </w:rPr>
        <w:t>’s</w:t>
      </w:r>
      <w:r w:rsidRPr="00D920C9">
        <w:rPr>
          <w:rFonts w:asciiTheme="minorHAnsi" w:hAnsiTheme="minorHAnsi"/>
          <w:szCs w:val="20"/>
        </w:rPr>
        <w:t xml:space="preserve"> treatment of African</w:t>
      </w:r>
      <w:r w:rsidR="0030356C" w:rsidRPr="00D920C9">
        <w:rPr>
          <w:rFonts w:asciiTheme="minorHAnsi" w:hAnsiTheme="minorHAnsi"/>
          <w:szCs w:val="20"/>
        </w:rPr>
        <w:t xml:space="preserve"> </w:t>
      </w:r>
      <w:r w:rsidRPr="00D920C9">
        <w:rPr>
          <w:rFonts w:asciiTheme="minorHAnsi" w:hAnsiTheme="minorHAnsi"/>
          <w:szCs w:val="20"/>
        </w:rPr>
        <w:t xml:space="preserve">Americans result in unequal access to justice and their overrepresentation in the prison system. </w:t>
      </w:r>
      <w:r w:rsidR="008F5454" w:rsidRPr="00D920C9">
        <w:rPr>
          <w:rFonts w:asciiTheme="minorHAnsi" w:hAnsiTheme="minorHAnsi"/>
          <w:szCs w:val="20"/>
        </w:rPr>
        <w:t xml:space="preserve">These </w:t>
      </w:r>
      <w:r w:rsidRPr="00D920C9">
        <w:rPr>
          <w:rFonts w:asciiTheme="minorHAnsi" w:hAnsiTheme="minorHAnsi"/>
          <w:szCs w:val="20"/>
        </w:rPr>
        <w:t>amount to</w:t>
      </w:r>
      <w:r w:rsidR="00730E6C" w:rsidRPr="00D920C9">
        <w:rPr>
          <w:rFonts w:asciiTheme="minorHAnsi" w:hAnsiTheme="minorHAnsi"/>
          <w:szCs w:val="20"/>
        </w:rPr>
        <w:t xml:space="preserve"> a pattern of </w:t>
      </w:r>
      <w:r w:rsidR="008F5454" w:rsidRPr="00D920C9">
        <w:rPr>
          <w:rFonts w:asciiTheme="minorHAnsi" w:hAnsiTheme="minorHAnsi"/>
          <w:szCs w:val="20"/>
        </w:rPr>
        <w:t>s</w:t>
      </w:r>
      <w:r w:rsidR="004D03E8" w:rsidRPr="00D920C9">
        <w:rPr>
          <w:rFonts w:asciiTheme="minorHAnsi" w:hAnsiTheme="minorHAnsi"/>
          <w:szCs w:val="20"/>
        </w:rPr>
        <w:t xml:space="preserve">tructural discrimination </w:t>
      </w:r>
      <w:r w:rsidRPr="00D920C9">
        <w:rPr>
          <w:rFonts w:asciiTheme="minorHAnsi" w:hAnsiTheme="minorHAnsi"/>
          <w:szCs w:val="20"/>
        </w:rPr>
        <w:t>that</w:t>
      </w:r>
      <w:r w:rsidR="00730E6C" w:rsidRPr="00D920C9">
        <w:rPr>
          <w:rFonts w:asciiTheme="minorHAnsi" w:hAnsiTheme="minorHAnsi"/>
          <w:szCs w:val="20"/>
        </w:rPr>
        <w:t xml:space="preserve"> permeates</w:t>
      </w:r>
      <w:r w:rsidR="004D03E8" w:rsidRPr="00D920C9">
        <w:rPr>
          <w:rFonts w:asciiTheme="minorHAnsi" w:hAnsiTheme="minorHAnsi"/>
          <w:szCs w:val="20"/>
        </w:rPr>
        <w:t xml:space="preserve"> the actions of law enforcement</w:t>
      </w:r>
      <w:r w:rsidR="008C7950" w:rsidRPr="00D920C9">
        <w:rPr>
          <w:rFonts w:asciiTheme="minorHAnsi" w:hAnsiTheme="minorHAnsi"/>
          <w:szCs w:val="20"/>
        </w:rPr>
        <w:t xml:space="preserve"> and the criminal justice system, as well as many other aspects of political, social, and economic life in the U</w:t>
      </w:r>
      <w:r w:rsidR="00904A46" w:rsidRPr="00D920C9">
        <w:rPr>
          <w:rFonts w:asciiTheme="minorHAnsi" w:hAnsiTheme="minorHAnsi"/>
          <w:szCs w:val="20"/>
        </w:rPr>
        <w:t>.</w:t>
      </w:r>
      <w:r w:rsidR="008C7950" w:rsidRPr="00D920C9">
        <w:rPr>
          <w:rFonts w:asciiTheme="minorHAnsi" w:hAnsiTheme="minorHAnsi"/>
          <w:szCs w:val="20"/>
        </w:rPr>
        <w:t>S</w:t>
      </w:r>
      <w:r w:rsidR="00730E6C" w:rsidRPr="00D920C9">
        <w:rPr>
          <w:rFonts w:asciiTheme="minorHAnsi" w:hAnsiTheme="minorHAnsi"/>
          <w:szCs w:val="20"/>
        </w:rPr>
        <w:t>.</w:t>
      </w:r>
      <w:bookmarkStart w:id="7" w:name="_Ref507081627"/>
      <w:r w:rsidR="008C7950" w:rsidRPr="00D920C9">
        <w:rPr>
          <w:rFonts w:asciiTheme="minorHAnsi" w:hAnsiTheme="minorHAnsi"/>
          <w:szCs w:val="20"/>
          <w:vertAlign w:val="superscript"/>
        </w:rPr>
        <w:footnoteReference w:id="3"/>
      </w:r>
      <w:bookmarkEnd w:id="7"/>
      <w:r w:rsidR="00730E6C" w:rsidRPr="00D920C9">
        <w:rPr>
          <w:rFonts w:asciiTheme="minorHAnsi" w:hAnsiTheme="minorHAnsi"/>
          <w:szCs w:val="20"/>
        </w:rPr>
        <w:t xml:space="preserve"> </w:t>
      </w:r>
      <w:r w:rsidR="000D4082" w:rsidRPr="00D920C9">
        <w:rPr>
          <w:rFonts w:asciiTheme="minorHAnsi" w:hAnsiTheme="minorHAnsi"/>
          <w:szCs w:val="20"/>
        </w:rPr>
        <w:t>T</w:t>
      </w:r>
      <w:r w:rsidR="00B56CF5" w:rsidRPr="00D920C9">
        <w:rPr>
          <w:rFonts w:asciiTheme="minorHAnsi" w:hAnsiTheme="minorHAnsi"/>
          <w:szCs w:val="20"/>
        </w:rPr>
        <w:t>his</w:t>
      </w:r>
      <w:r w:rsidR="000D4082" w:rsidRPr="00D920C9">
        <w:rPr>
          <w:rFonts w:asciiTheme="minorHAnsi" w:hAnsiTheme="minorHAnsi"/>
          <w:szCs w:val="20"/>
        </w:rPr>
        <w:t xml:space="preserve"> report reviews social, political, and legal elements </w:t>
      </w:r>
      <w:r w:rsidR="00730E6C" w:rsidRPr="00D920C9">
        <w:rPr>
          <w:rFonts w:asciiTheme="minorHAnsi" w:hAnsiTheme="minorHAnsi"/>
          <w:szCs w:val="20"/>
        </w:rPr>
        <w:t>that</w:t>
      </w:r>
      <w:r w:rsidR="00A54B5C" w:rsidRPr="00D920C9">
        <w:rPr>
          <w:rFonts w:asciiTheme="minorHAnsi" w:hAnsiTheme="minorHAnsi"/>
          <w:szCs w:val="20"/>
        </w:rPr>
        <w:t xml:space="preserve"> have fueled this context</w:t>
      </w:r>
      <w:r w:rsidR="00B307B6" w:rsidRPr="00D920C9">
        <w:rPr>
          <w:rFonts w:asciiTheme="minorHAnsi" w:hAnsiTheme="minorHAnsi"/>
          <w:szCs w:val="20"/>
        </w:rPr>
        <w:t xml:space="preserve"> </w:t>
      </w:r>
      <w:r w:rsidRPr="00D920C9">
        <w:rPr>
          <w:rFonts w:asciiTheme="minorHAnsi" w:hAnsiTheme="minorHAnsi"/>
          <w:szCs w:val="20"/>
        </w:rPr>
        <w:t>historically and in recent years.</w:t>
      </w:r>
    </w:p>
    <w:p w14:paraId="0C0238A1" w14:textId="77777777" w:rsidR="002B4344" w:rsidRPr="00D920C9" w:rsidRDefault="00730E6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All </w:t>
      </w:r>
      <w:r w:rsidR="00CF5ABF" w:rsidRPr="00D920C9">
        <w:rPr>
          <w:rFonts w:asciiTheme="minorHAnsi" w:hAnsiTheme="minorHAnsi"/>
          <w:szCs w:val="20"/>
        </w:rPr>
        <w:t>of these</w:t>
      </w:r>
      <w:r w:rsidR="00C45637" w:rsidRPr="00D920C9">
        <w:rPr>
          <w:rFonts w:asciiTheme="minorHAnsi" w:hAnsiTheme="minorHAnsi"/>
          <w:szCs w:val="20"/>
        </w:rPr>
        <w:t xml:space="preserve"> </w:t>
      </w:r>
      <w:r w:rsidR="00CF5ABF" w:rsidRPr="00D920C9">
        <w:rPr>
          <w:rFonts w:asciiTheme="minorHAnsi" w:hAnsiTheme="minorHAnsi"/>
          <w:szCs w:val="20"/>
        </w:rPr>
        <w:t>issues</w:t>
      </w:r>
      <w:r w:rsidR="00B56CF5" w:rsidRPr="00D920C9">
        <w:rPr>
          <w:rFonts w:asciiTheme="minorHAnsi" w:hAnsiTheme="minorHAnsi"/>
          <w:szCs w:val="20"/>
        </w:rPr>
        <w:t xml:space="preserve"> are well-recognized </w:t>
      </w:r>
      <w:r w:rsidR="00CF5ABF" w:rsidRPr="00D920C9">
        <w:rPr>
          <w:rFonts w:asciiTheme="minorHAnsi" w:hAnsiTheme="minorHAnsi"/>
          <w:szCs w:val="20"/>
        </w:rPr>
        <w:t xml:space="preserve">as </w:t>
      </w:r>
      <w:r w:rsidR="00B56CF5" w:rsidRPr="00D920C9">
        <w:rPr>
          <w:rFonts w:asciiTheme="minorHAnsi" w:hAnsiTheme="minorHAnsi"/>
          <w:szCs w:val="20"/>
        </w:rPr>
        <w:t>civil rights</w:t>
      </w:r>
      <w:r w:rsidR="00CF5ABF" w:rsidRPr="00D920C9">
        <w:rPr>
          <w:rFonts w:asciiTheme="minorHAnsi" w:hAnsiTheme="minorHAnsi"/>
          <w:szCs w:val="20"/>
        </w:rPr>
        <w:t xml:space="preserve"> and social justice</w:t>
      </w:r>
      <w:r w:rsidR="00B56CF5" w:rsidRPr="00D920C9">
        <w:rPr>
          <w:rFonts w:asciiTheme="minorHAnsi" w:hAnsiTheme="minorHAnsi"/>
          <w:szCs w:val="20"/>
        </w:rPr>
        <w:t xml:space="preserve"> issues in the United States. They also, however,</w:t>
      </w:r>
      <w:r w:rsidR="00C45637" w:rsidRPr="00D920C9">
        <w:rPr>
          <w:rFonts w:asciiTheme="minorHAnsi" w:hAnsiTheme="minorHAnsi"/>
          <w:szCs w:val="20"/>
        </w:rPr>
        <w:t xml:space="preserve"> have international human rights implications for the </w:t>
      </w:r>
      <w:r w:rsidR="00904A46" w:rsidRPr="00D920C9">
        <w:rPr>
          <w:rFonts w:asciiTheme="minorHAnsi" w:hAnsiTheme="minorHAnsi"/>
          <w:szCs w:val="20"/>
        </w:rPr>
        <w:t>U.S.</w:t>
      </w:r>
      <w:r w:rsidR="00C45637" w:rsidRPr="00D920C9">
        <w:rPr>
          <w:rFonts w:asciiTheme="minorHAnsi" w:hAnsiTheme="minorHAnsi"/>
          <w:szCs w:val="20"/>
        </w:rPr>
        <w:t xml:space="preserve"> under the American Declaration </w:t>
      </w:r>
      <w:r w:rsidR="00CF5ABF" w:rsidRPr="00D920C9">
        <w:rPr>
          <w:rFonts w:asciiTheme="minorHAnsi" w:hAnsiTheme="minorHAnsi"/>
          <w:szCs w:val="20"/>
        </w:rPr>
        <w:t xml:space="preserve">on the Rights and Duties of Man (“American Declaration”) </w:t>
      </w:r>
      <w:r w:rsidR="00C45637" w:rsidRPr="00D920C9">
        <w:rPr>
          <w:rFonts w:asciiTheme="minorHAnsi" w:hAnsiTheme="minorHAnsi"/>
          <w:szCs w:val="20"/>
        </w:rPr>
        <w:t xml:space="preserve">and the </w:t>
      </w:r>
      <w:r w:rsidRPr="00D920C9">
        <w:rPr>
          <w:rFonts w:asciiTheme="minorHAnsi" w:hAnsiTheme="minorHAnsi"/>
          <w:szCs w:val="20"/>
        </w:rPr>
        <w:t xml:space="preserve">universal </w:t>
      </w:r>
      <w:r w:rsidR="00C45637" w:rsidRPr="00D920C9">
        <w:rPr>
          <w:rFonts w:asciiTheme="minorHAnsi" w:hAnsiTheme="minorHAnsi"/>
          <w:szCs w:val="20"/>
        </w:rPr>
        <w:t xml:space="preserve">human rights treaties ratified by the </w:t>
      </w:r>
      <w:r w:rsidR="00904A46" w:rsidRPr="00D920C9">
        <w:rPr>
          <w:rFonts w:asciiTheme="minorHAnsi" w:hAnsiTheme="minorHAnsi"/>
          <w:szCs w:val="20"/>
        </w:rPr>
        <w:t>U.S.</w:t>
      </w:r>
      <w:r w:rsidR="00C45637" w:rsidRPr="00D920C9">
        <w:rPr>
          <w:rFonts w:asciiTheme="minorHAnsi" w:hAnsiTheme="minorHAnsi"/>
          <w:szCs w:val="20"/>
        </w:rPr>
        <w:t>, including the</w:t>
      </w:r>
      <w:r w:rsidR="008F5454" w:rsidRPr="00D920C9">
        <w:rPr>
          <w:rFonts w:asciiTheme="minorHAnsi" w:hAnsiTheme="minorHAnsi"/>
          <w:szCs w:val="20"/>
        </w:rPr>
        <w:t xml:space="preserve"> International Covenant on Civil and Political Rights</w:t>
      </w:r>
      <w:r w:rsidR="00C45637" w:rsidRPr="00D920C9">
        <w:rPr>
          <w:rFonts w:asciiTheme="minorHAnsi" w:hAnsiTheme="minorHAnsi"/>
          <w:szCs w:val="20"/>
        </w:rPr>
        <w:t xml:space="preserve"> </w:t>
      </w:r>
      <w:r w:rsidR="008F5454" w:rsidRPr="00D920C9">
        <w:rPr>
          <w:rFonts w:asciiTheme="minorHAnsi" w:hAnsiTheme="minorHAnsi"/>
          <w:szCs w:val="20"/>
        </w:rPr>
        <w:t>(</w:t>
      </w:r>
      <w:r w:rsidR="00C45637" w:rsidRPr="00D920C9">
        <w:rPr>
          <w:rFonts w:asciiTheme="minorHAnsi" w:hAnsiTheme="minorHAnsi"/>
          <w:szCs w:val="20"/>
        </w:rPr>
        <w:t>ICCPR</w:t>
      </w:r>
      <w:r w:rsidR="008F5454" w:rsidRPr="00D920C9">
        <w:rPr>
          <w:rFonts w:asciiTheme="minorHAnsi" w:hAnsiTheme="minorHAnsi"/>
          <w:szCs w:val="20"/>
        </w:rPr>
        <w:t>)</w:t>
      </w:r>
      <w:r w:rsidR="00C45637" w:rsidRPr="00D920C9">
        <w:rPr>
          <w:rFonts w:asciiTheme="minorHAnsi" w:hAnsiTheme="minorHAnsi"/>
          <w:szCs w:val="20"/>
        </w:rPr>
        <w:t>,</w:t>
      </w:r>
      <w:r w:rsidR="001179EB" w:rsidRPr="00D920C9">
        <w:rPr>
          <w:rFonts w:asciiTheme="minorHAnsi" w:hAnsiTheme="minorHAnsi"/>
          <w:szCs w:val="20"/>
        </w:rPr>
        <w:t xml:space="preserve"> </w:t>
      </w:r>
      <w:r w:rsidRPr="00D920C9">
        <w:rPr>
          <w:rFonts w:asciiTheme="minorHAnsi" w:hAnsiTheme="minorHAnsi"/>
          <w:szCs w:val="20"/>
        </w:rPr>
        <w:t>the</w:t>
      </w:r>
      <w:r w:rsidR="00C45637" w:rsidRPr="00D920C9">
        <w:rPr>
          <w:rFonts w:asciiTheme="minorHAnsi" w:hAnsiTheme="minorHAnsi"/>
          <w:szCs w:val="20"/>
        </w:rPr>
        <w:t xml:space="preserve"> </w:t>
      </w:r>
      <w:r w:rsidR="008F5454" w:rsidRPr="00D920C9">
        <w:rPr>
          <w:rFonts w:asciiTheme="minorHAnsi" w:hAnsiTheme="minorHAnsi"/>
          <w:szCs w:val="20"/>
        </w:rPr>
        <w:t>Convention on the Elimination of All Forms of Racial Discrimination</w:t>
      </w:r>
      <w:r w:rsidRPr="00D920C9">
        <w:rPr>
          <w:rFonts w:asciiTheme="minorHAnsi" w:hAnsiTheme="minorHAnsi"/>
          <w:szCs w:val="20"/>
        </w:rPr>
        <w:t xml:space="preserve"> (CERD)</w:t>
      </w:r>
      <w:r w:rsidR="0077727D" w:rsidRPr="00D920C9">
        <w:rPr>
          <w:rFonts w:asciiTheme="minorHAnsi" w:hAnsiTheme="minorHAnsi"/>
          <w:szCs w:val="20"/>
        </w:rPr>
        <w:t>,</w:t>
      </w:r>
      <w:r w:rsidR="008F5454" w:rsidRPr="00D920C9">
        <w:rPr>
          <w:rFonts w:asciiTheme="minorHAnsi" w:hAnsiTheme="minorHAnsi"/>
          <w:szCs w:val="20"/>
        </w:rPr>
        <w:t xml:space="preserve"> </w:t>
      </w:r>
      <w:r w:rsidR="00C45637" w:rsidRPr="00D920C9">
        <w:rPr>
          <w:rFonts w:asciiTheme="minorHAnsi" w:hAnsiTheme="minorHAnsi"/>
          <w:szCs w:val="20"/>
        </w:rPr>
        <w:t xml:space="preserve">and </w:t>
      </w:r>
      <w:r w:rsidRPr="00D920C9">
        <w:rPr>
          <w:rFonts w:asciiTheme="minorHAnsi" w:hAnsiTheme="minorHAnsi"/>
          <w:szCs w:val="20"/>
        </w:rPr>
        <w:t xml:space="preserve">the </w:t>
      </w:r>
      <w:r w:rsidR="008F5454" w:rsidRPr="00D920C9">
        <w:rPr>
          <w:rFonts w:asciiTheme="minorHAnsi" w:hAnsiTheme="minorHAnsi"/>
          <w:szCs w:val="20"/>
        </w:rPr>
        <w:t xml:space="preserve">Convention against Torture and Other Cruel, Inhuman or Degrading </w:t>
      </w:r>
      <w:r w:rsidR="008F5454" w:rsidRPr="00D920C9">
        <w:rPr>
          <w:rFonts w:asciiTheme="minorHAnsi" w:hAnsiTheme="minorHAnsi"/>
          <w:szCs w:val="20"/>
        </w:rPr>
        <w:lastRenderedPageBreak/>
        <w:t>Treatment or Punishment</w:t>
      </w:r>
      <w:r w:rsidRPr="00D920C9">
        <w:rPr>
          <w:rFonts w:asciiTheme="minorHAnsi" w:hAnsiTheme="minorHAnsi"/>
          <w:szCs w:val="20"/>
        </w:rPr>
        <w:t xml:space="preserve"> (CAT)</w:t>
      </w:r>
      <w:r w:rsidR="008F5454" w:rsidRPr="00D920C9">
        <w:rPr>
          <w:rFonts w:asciiTheme="minorHAnsi" w:hAnsiTheme="minorHAnsi"/>
          <w:szCs w:val="20"/>
        </w:rPr>
        <w:t>.</w:t>
      </w:r>
      <w:r w:rsidR="00B56CF5" w:rsidRPr="00D920C9">
        <w:rPr>
          <w:rFonts w:asciiTheme="minorHAnsi" w:hAnsiTheme="minorHAnsi"/>
          <w:szCs w:val="20"/>
        </w:rPr>
        <w:t xml:space="preserve"> This report focuses on the international </w:t>
      </w:r>
      <w:r w:rsidR="00A54B5C" w:rsidRPr="00D920C9">
        <w:rPr>
          <w:rFonts w:asciiTheme="minorHAnsi" w:hAnsiTheme="minorHAnsi"/>
          <w:szCs w:val="20"/>
        </w:rPr>
        <w:t xml:space="preserve">human rights </w:t>
      </w:r>
      <w:r w:rsidR="00B56CF5" w:rsidRPr="00D920C9">
        <w:rPr>
          <w:rFonts w:asciiTheme="minorHAnsi" w:hAnsiTheme="minorHAnsi"/>
          <w:szCs w:val="20"/>
        </w:rPr>
        <w:t>law dimension of this</w:t>
      </w:r>
      <w:r w:rsidR="0077727D" w:rsidRPr="00D920C9">
        <w:rPr>
          <w:rFonts w:asciiTheme="minorHAnsi" w:hAnsiTheme="minorHAnsi"/>
          <w:szCs w:val="20"/>
        </w:rPr>
        <w:t xml:space="preserve"> civil rights</w:t>
      </w:r>
      <w:r w:rsidR="00B56CF5" w:rsidRPr="00D920C9">
        <w:rPr>
          <w:rFonts w:asciiTheme="minorHAnsi" w:hAnsiTheme="minorHAnsi"/>
          <w:szCs w:val="20"/>
        </w:rPr>
        <w:t xml:space="preserve"> history and </w:t>
      </w:r>
      <w:r w:rsidR="008E7922" w:rsidRPr="00D920C9">
        <w:rPr>
          <w:rFonts w:asciiTheme="minorHAnsi" w:hAnsiTheme="minorHAnsi"/>
          <w:szCs w:val="20"/>
        </w:rPr>
        <w:t>outlines</w:t>
      </w:r>
      <w:r w:rsidR="008F5454" w:rsidRPr="00D920C9">
        <w:rPr>
          <w:rFonts w:asciiTheme="minorHAnsi" w:hAnsiTheme="minorHAnsi"/>
          <w:szCs w:val="20"/>
        </w:rPr>
        <w:t xml:space="preserve"> </w:t>
      </w:r>
      <w:r w:rsidR="00B56CF5" w:rsidRPr="00D920C9">
        <w:rPr>
          <w:rFonts w:asciiTheme="minorHAnsi" w:hAnsiTheme="minorHAnsi"/>
          <w:szCs w:val="20"/>
        </w:rPr>
        <w:t xml:space="preserve">constructive steps that </w:t>
      </w:r>
      <w:r w:rsidR="00CF5ABF" w:rsidRPr="00D920C9">
        <w:rPr>
          <w:rFonts w:asciiTheme="minorHAnsi" w:hAnsiTheme="minorHAnsi"/>
          <w:szCs w:val="20"/>
        </w:rPr>
        <w:t xml:space="preserve">federal, </w:t>
      </w:r>
      <w:r w:rsidR="00B56CF5" w:rsidRPr="00D920C9">
        <w:rPr>
          <w:rFonts w:asciiTheme="minorHAnsi" w:hAnsiTheme="minorHAnsi"/>
          <w:szCs w:val="20"/>
        </w:rPr>
        <w:t>state</w:t>
      </w:r>
      <w:r w:rsidR="00CF5ABF" w:rsidRPr="00D920C9">
        <w:rPr>
          <w:rFonts w:asciiTheme="minorHAnsi" w:hAnsiTheme="minorHAnsi"/>
          <w:szCs w:val="20"/>
        </w:rPr>
        <w:t>, and local</w:t>
      </w:r>
      <w:r w:rsidR="00B56CF5" w:rsidRPr="00D920C9">
        <w:rPr>
          <w:rFonts w:asciiTheme="minorHAnsi" w:hAnsiTheme="minorHAnsi"/>
          <w:szCs w:val="20"/>
        </w:rPr>
        <w:t xml:space="preserve"> governments can adopt to respond to racial discrimination</w:t>
      </w:r>
      <w:r w:rsidR="00CC6F88" w:rsidRPr="00D920C9">
        <w:rPr>
          <w:rFonts w:asciiTheme="minorHAnsi" w:hAnsiTheme="minorHAnsi"/>
          <w:szCs w:val="20"/>
        </w:rPr>
        <w:t xml:space="preserve"> in policing and legal responses to police violence</w:t>
      </w:r>
      <w:r w:rsidR="00B56CF5" w:rsidRPr="00D920C9">
        <w:rPr>
          <w:rFonts w:asciiTheme="minorHAnsi" w:hAnsiTheme="minorHAnsi"/>
          <w:szCs w:val="20"/>
        </w:rPr>
        <w:t>.</w:t>
      </w:r>
      <w:r w:rsidR="00AD5FC0" w:rsidRPr="00D920C9">
        <w:rPr>
          <w:rFonts w:asciiTheme="minorHAnsi" w:hAnsiTheme="minorHAnsi"/>
          <w:szCs w:val="20"/>
        </w:rPr>
        <w:t xml:space="preserve"> The Commission notes that under</w:t>
      </w:r>
      <w:r w:rsidR="00CC6F88" w:rsidRPr="00D920C9">
        <w:rPr>
          <w:rFonts w:asciiTheme="minorHAnsi" w:hAnsiTheme="minorHAnsi"/>
          <w:szCs w:val="20"/>
        </w:rPr>
        <w:t xml:space="preserve"> international human rights law, all levels of government—federal, state, and local—are obligated </w:t>
      </w:r>
      <w:r w:rsidR="00AD5FC0" w:rsidRPr="00D920C9">
        <w:rPr>
          <w:rFonts w:asciiTheme="minorHAnsi" w:hAnsiTheme="minorHAnsi"/>
          <w:szCs w:val="20"/>
        </w:rPr>
        <w:t>to intervene to protect</w:t>
      </w:r>
      <w:r w:rsidR="00AD5FC0" w:rsidRPr="00D920C9">
        <w:rPr>
          <w:rFonts w:asciiTheme="minorHAnsi" w:eastAsia="Calibri" w:hAnsiTheme="minorHAnsi"/>
          <w:szCs w:val="20"/>
        </w:rPr>
        <w:t xml:space="preserve"> and guarantee human rights</w:t>
      </w:r>
      <w:r w:rsidR="00027602" w:rsidRPr="00D920C9">
        <w:rPr>
          <w:rFonts w:asciiTheme="minorHAnsi" w:eastAsia="Calibri" w:hAnsiTheme="minorHAnsi"/>
          <w:szCs w:val="20"/>
        </w:rPr>
        <w:t>, and this duty extends to policing.</w:t>
      </w:r>
    </w:p>
    <w:p w14:paraId="4C432F1C" w14:textId="77777777" w:rsidR="00AD5FC0" w:rsidRPr="00D920C9" w:rsidRDefault="00AD5FC0"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This report focuses on the international human rights law implications of </w:t>
      </w:r>
      <w:r w:rsidR="00CC6F88" w:rsidRPr="00D920C9">
        <w:rPr>
          <w:rFonts w:asciiTheme="minorHAnsi" w:hAnsiTheme="minorHAnsi"/>
          <w:szCs w:val="20"/>
        </w:rPr>
        <w:t>racial discrimination in the policing of</w:t>
      </w:r>
      <w:r w:rsidRPr="00D920C9">
        <w:rPr>
          <w:rFonts w:asciiTheme="minorHAnsi" w:hAnsiTheme="minorHAnsi"/>
          <w:szCs w:val="20"/>
        </w:rPr>
        <w:t xml:space="preserve"> African</w:t>
      </w:r>
      <w:r w:rsidR="0030356C" w:rsidRPr="00D920C9">
        <w:rPr>
          <w:rFonts w:asciiTheme="minorHAnsi" w:hAnsiTheme="minorHAnsi"/>
          <w:szCs w:val="20"/>
        </w:rPr>
        <w:t xml:space="preserve"> </w:t>
      </w:r>
      <w:r w:rsidRPr="00D920C9">
        <w:rPr>
          <w:rFonts w:asciiTheme="minorHAnsi" w:hAnsiTheme="minorHAnsi"/>
          <w:szCs w:val="20"/>
        </w:rPr>
        <w:t>Americans,</w:t>
      </w:r>
      <w:r w:rsidR="00CC6F88" w:rsidRPr="00D920C9">
        <w:rPr>
          <w:rFonts w:asciiTheme="minorHAnsi" w:hAnsiTheme="minorHAnsi"/>
          <w:szCs w:val="20"/>
        </w:rPr>
        <w:t xml:space="preserve"> in light of a </w:t>
      </w:r>
      <w:r w:rsidR="00037AC7" w:rsidRPr="00D920C9">
        <w:rPr>
          <w:rFonts w:asciiTheme="minorHAnsi" w:hAnsiTheme="minorHAnsi"/>
          <w:szCs w:val="20"/>
        </w:rPr>
        <w:t>concerning</w:t>
      </w:r>
      <w:r w:rsidR="00CC6F88" w:rsidRPr="00D920C9">
        <w:rPr>
          <w:rFonts w:asciiTheme="minorHAnsi" w:hAnsiTheme="minorHAnsi"/>
          <w:szCs w:val="20"/>
        </w:rPr>
        <w:t xml:space="preserve"> pattern of police </w:t>
      </w:r>
      <w:r w:rsidR="00530552" w:rsidRPr="00D920C9">
        <w:rPr>
          <w:rFonts w:asciiTheme="minorHAnsi" w:hAnsiTheme="minorHAnsi"/>
          <w:szCs w:val="20"/>
        </w:rPr>
        <w:t xml:space="preserve">excessive </w:t>
      </w:r>
      <w:r w:rsidR="00CC6F88" w:rsidRPr="00D920C9">
        <w:rPr>
          <w:rFonts w:asciiTheme="minorHAnsi" w:hAnsiTheme="minorHAnsi"/>
          <w:szCs w:val="20"/>
        </w:rPr>
        <w:t>use of force</w:t>
      </w:r>
      <w:r w:rsidR="00530552" w:rsidRPr="00D920C9">
        <w:rPr>
          <w:rFonts w:asciiTheme="minorHAnsi" w:hAnsiTheme="minorHAnsi"/>
          <w:szCs w:val="20"/>
        </w:rPr>
        <w:t>,</w:t>
      </w:r>
      <w:r w:rsidRPr="00D920C9">
        <w:rPr>
          <w:rFonts w:asciiTheme="minorHAnsi" w:hAnsiTheme="minorHAnsi"/>
          <w:szCs w:val="20"/>
        </w:rPr>
        <w:t xml:space="preserve"> as well as the State’s international obligations in the area of non-discrimination. </w:t>
      </w:r>
      <w:r w:rsidR="00A13770" w:rsidRPr="00D920C9">
        <w:rPr>
          <w:rFonts w:asciiTheme="minorHAnsi" w:hAnsiTheme="minorHAnsi"/>
          <w:szCs w:val="20"/>
        </w:rPr>
        <w:t>Furthermore, it explores the State’s obligations regarding access to justice and the fight against impunity in cases of police excessive use of force</w:t>
      </w:r>
      <w:r w:rsidRPr="00D920C9">
        <w:rPr>
          <w:rFonts w:asciiTheme="minorHAnsi" w:hAnsiTheme="minorHAnsi"/>
          <w:szCs w:val="20"/>
        </w:rPr>
        <w:t>.</w:t>
      </w:r>
    </w:p>
    <w:p w14:paraId="48732EF8" w14:textId="77777777" w:rsidR="002B4344" w:rsidRPr="00D920C9" w:rsidRDefault="0077727D"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This report is divided into four</w:t>
      </w:r>
      <w:r w:rsidR="00F96BB1" w:rsidRPr="00D920C9">
        <w:rPr>
          <w:rFonts w:asciiTheme="minorHAnsi" w:hAnsiTheme="minorHAnsi"/>
          <w:szCs w:val="20"/>
        </w:rPr>
        <w:t xml:space="preserve"> </w:t>
      </w:r>
      <w:r w:rsidR="000A2F64" w:rsidRPr="00D920C9">
        <w:rPr>
          <w:rFonts w:asciiTheme="minorHAnsi" w:hAnsiTheme="minorHAnsi"/>
          <w:szCs w:val="20"/>
        </w:rPr>
        <w:t xml:space="preserve">chapters. The first chapter </w:t>
      </w:r>
      <w:r w:rsidR="00BC4D94" w:rsidRPr="00D920C9">
        <w:rPr>
          <w:rFonts w:asciiTheme="minorHAnsi" w:hAnsiTheme="minorHAnsi"/>
          <w:szCs w:val="20"/>
        </w:rPr>
        <w:t>introduces the report’s</w:t>
      </w:r>
      <w:r w:rsidR="000A2F64" w:rsidRPr="00D920C9">
        <w:rPr>
          <w:rFonts w:asciiTheme="minorHAnsi" w:hAnsiTheme="minorHAnsi"/>
          <w:szCs w:val="20"/>
        </w:rPr>
        <w:t xml:space="preserve"> </w:t>
      </w:r>
      <w:r w:rsidRPr="00D920C9">
        <w:rPr>
          <w:rFonts w:asciiTheme="minorHAnsi" w:hAnsiTheme="minorHAnsi"/>
          <w:szCs w:val="20"/>
        </w:rPr>
        <w:t>context</w:t>
      </w:r>
      <w:r w:rsidR="00B56CF5" w:rsidRPr="00D920C9">
        <w:rPr>
          <w:rFonts w:asciiTheme="minorHAnsi" w:hAnsiTheme="minorHAnsi"/>
          <w:szCs w:val="20"/>
        </w:rPr>
        <w:t xml:space="preserve"> and</w:t>
      </w:r>
      <w:r w:rsidR="004B749F" w:rsidRPr="00D920C9">
        <w:rPr>
          <w:rFonts w:asciiTheme="minorHAnsi" w:hAnsiTheme="minorHAnsi"/>
          <w:szCs w:val="20"/>
        </w:rPr>
        <w:t xml:space="preserve"> </w:t>
      </w:r>
      <w:r w:rsidR="00530552" w:rsidRPr="00D920C9">
        <w:rPr>
          <w:rFonts w:asciiTheme="minorHAnsi" w:hAnsiTheme="minorHAnsi"/>
          <w:szCs w:val="20"/>
        </w:rPr>
        <w:t>sources</w:t>
      </w:r>
      <w:r w:rsidRPr="00D920C9">
        <w:rPr>
          <w:rFonts w:asciiTheme="minorHAnsi" w:hAnsiTheme="minorHAnsi"/>
          <w:szCs w:val="20"/>
        </w:rPr>
        <w:t>, as well as the Commission’s mandate to monitor human rights in the United States</w:t>
      </w:r>
      <w:r w:rsidR="00B56CF5" w:rsidRPr="00D920C9">
        <w:rPr>
          <w:rFonts w:asciiTheme="minorHAnsi" w:hAnsiTheme="minorHAnsi"/>
          <w:szCs w:val="20"/>
        </w:rPr>
        <w:t xml:space="preserve">. </w:t>
      </w:r>
      <w:r w:rsidRPr="00D920C9">
        <w:rPr>
          <w:rFonts w:asciiTheme="minorHAnsi" w:hAnsiTheme="minorHAnsi"/>
          <w:szCs w:val="20"/>
        </w:rPr>
        <w:t xml:space="preserve">The second chapter </w:t>
      </w:r>
      <w:r w:rsidR="00BC4D94" w:rsidRPr="00D920C9">
        <w:rPr>
          <w:rFonts w:asciiTheme="minorHAnsi" w:hAnsiTheme="minorHAnsi"/>
          <w:szCs w:val="20"/>
        </w:rPr>
        <w:t>uses the framework of structural discrimination to explore the history of discrimination and racism against African</w:t>
      </w:r>
      <w:r w:rsidR="0030356C" w:rsidRPr="00D920C9">
        <w:rPr>
          <w:rFonts w:asciiTheme="minorHAnsi" w:hAnsiTheme="minorHAnsi"/>
          <w:szCs w:val="20"/>
        </w:rPr>
        <w:t xml:space="preserve"> </w:t>
      </w:r>
      <w:r w:rsidR="00BC4D94" w:rsidRPr="00D920C9">
        <w:rPr>
          <w:rFonts w:asciiTheme="minorHAnsi" w:hAnsiTheme="minorHAnsi"/>
          <w:szCs w:val="20"/>
        </w:rPr>
        <w:t xml:space="preserve">Americans in the </w:t>
      </w:r>
      <w:r w:rsidR="00530552" w:rsidRPr="00D920C9">
        <w:rPr>
          <w:rFonts w:asciiTheme="minorHAnsi" w:hAnsiTheme="minorHAnsi"/>
          <w:szCs w:val="20"/>
        </w:rPr>
        <w:t>U</w:t>
      </w:r>
      <w:r w:rsidR="00904A46" w:rsidRPr="00D920C9">
        <w:rPr>
          <w:rFonts w:asciiTheme="minorHAnsi" w:hAnsiTheme="minorHAnsi"/>
          <w:szCs w:val="20"/>
        </w:rPr>
        <w:t>.</w:t>
      </w:r>
      <w:r w:rsidR="00530552" w:rsidRPr="00D920C9">
        <w:rPr>
          <w:rFonts w:asciiTheme="minorHAnsi" w:hAnsiTheme="minorHAnsi"/>
          <w:szCs w:val="20"/>
        </w:rPr>
        <w:t>S</w:t>
      </w:r>
      <w:r w:rsidR="00904A46" w:rsidRPr="00D920C9">
        <w:rPr>
          <w:rFonts w:asciiTheme="minorHAnsi" w:hAnsiTheme="minorHAnsi"/>
          <w:szCs w:val="20"/>
        </w:rPr>
        <w:t>.</w:t>
      </w:r>
      <w:r w:rsidR="00BC4D94" w:rsidRPr="00D920C9">
        <w:rPr>
          <w:rFonts w:asciiTheme="minorHAnsi" w:hAnsiTheme="minorHAnsi"/>
          <w:szCs w:val="20"/>
        </w:rPr>
        <w:t xml:space="preserve">, key contemporary issues identified via the Commission’s monitoring work, </w:t>
      </w:r>
      <w:r w:rsidR="003A6467" w:rsidRPr="00D920C9">
        <w:rPr>
          <w:rFonts w:asciiTheme="minorHAnsi" w:hAnsiTheme="minorHAnsi"/>
          <w:szCs w:val="20"/>
        </w:rPr>
        <w:t>and information on State measures to address these issues</w:t>
      </w:r>
      <w:r w:rsidR="00BC4D94" w:rsidRPr="00D920C9">
        <w:rPr>
          <w:rFonts w:asciiTheme="minorHAnsi" w:hAnsiTheme="minorHAnsi"/>
          <w:szCs w:val="20"/>
        </w:rPr>
        <w:t>.</w:t>
      </w:r>
      <w:r w:rsidRPr="00D920C9">
        <w:rPr>
          <w:rFonts w:asciiTheme="minorHAnsi" w:hAnsiTheme="minorHAnsi"/>
          <w:szCs w:val="20"/>
        </w:rPr>
        <w:t xml:space="preserve"> </w:t>
      </w:r>
      <w:r w:rsidR="00B56CF5" w:rsidRPr="00D920C9">
        <w:rPr>
          <w:rFonts w:asciiTheme="minorHAnsi" w:hAnsiTheme="minorHAnsi"/>
          <w:szCs w:val="20"/>
        </w:rPr>
        <w:t xml:space="preserve">The </w:t>
      </w:r>
      <w:r w:rsidR="00527890" w:rsidRPr="00D920C9">
        <w:rPr>
          <w:rFonts w:asciiTheme="minorHAnsi" w:hAnsiTheme="minorHAnsi"/>
          <w:szCs w:val="20"/>
        </w:rPr>
        <w:t>third</w:t>
      </w:r>
      <w:r w:rsidR="00F96BB1" w:rsidRPr="00D920C9">
        <w:rPr>
          <w:rFonts w:asciiTheme="minorHAnsi" w:hAnsiTheme="minorHAnsi"/>
          <w:szCs w:val="20"/>
        </w:rPr>
        <w:t xml:space="preserve"> </w:t>
      </w:r>
      <w:r w:rsidR="00B56CF5" w:rsidRPr="00D920C9">
        <w:rPr>
          <w:rFonts w:asciiTheme="minorHAnsi" w:hAnsiTheme="minorHAnsi"/>
          <w:szCs w:val="20"/>
        </w:rPr>
        <w:t xml:space="preserve">chapter reviews international legal standards applicable </w:t>
      </w:r>
      <w:r w:rsidR="00BC4D94" w:rsidRPr="00D920C9">
        <w:rPr>
          <w:rFonts w:asciiTheme="minorHAnsi" w:hAnsiTheme="minorHAnsi"/>
          <w:szCs w:val="20"/>
        </w:rPr>
        <w:t xml:space="preserve">in the areas of non-discrimination, </w:t>
      </w:r>
      <w:r w:rsidR="00B56CF5" w:rsidRPr="00D920C9">
        <w:rPr>
          <w:rFonts w:asciiTheme="minorHAnsi" w:hAnsiTheme="minorHAnsi"/>
          <w:szCs w:val="20"/>
        </w:rPr>
        <w:t>the use of force</w:t>
      </w:r>
      <w:r w:rsidR="00F96BB1" w:rsidRPr="00D920C9">
        <w:rPr>
          <w:rFonts w:asciiTheme="minorHAnsi" w:hAnsiTheme="minorHAnsi"/>
          <w:szCs w:val="20"/>
        </w:rPr>
        <w:t xml:space="preserve">, and access to justice. </w:t>
      </w:r>
      <w:r w:rsidR="00527890" w:rsidRPr="00D920C9">
        <w:rPr>
          <w:rFonts w:asciiTheme="minorHAnsi" w:hAnsiTheme="minorHAnsi"/>
          <w:szCs w:val="20"/>
        </w:rPr>
        <w:t xml:space="preserve">The Commission considers that </w:t>
      </w:r>
      <w:r w:rsidR="00F96BB1" w:rsidRPr="00D920C9">
        <w:rPr>
          <w:rFonts w:asciiTheme="minorHAnsi" w:hAnsiTheme="minorHAnsi"/>
          <w:szCs w:val="20"/>
        </w:rPr>
        <w:t xml:space="preserve">these standards </w:t>
      </w:r>
      <w:r w:rsidR="00B56CF5" w:rsidRPr="00D920C9">
        <w:rPr>
          <w:rFonts w:asciiTheme="minorHAnsi" w:hAnsiTheme="minorHAnsi"/>
          <w:szCs w:val="20"/>
        </w:rPr>
        <w:t>should guide the actions of the police</w:t>
      </w:r>
      <w:r w:rsidR="00F96BB1" w:rsidRPr="00D920C9">
        <w:rPr>
          <w:rFonts w:asciiTheme="minorHAnsi" w:hAnsiTheme="minorHAnsi"/>
          <w:szCs w:val="20"/>
        </w:rPr>
        <w:t xml:space="preserve"> </w:t>
      </w:r>
      <w:r w:rsidR="00B56CF5" w:rsidRPr="00D920C9">
        <w:rPr>
          <w:rFonts w:asciiTheme="minorHAnsi" w:hAnsiTheme="minorHAnsi"/>
          <w:szCs w:val="20"/>
        </w:rPr>
        <w:t xml:space="preserve">at </w:t>
      </w:r>
      <w:r w:rsidR="00527890" w:rsidRPr="00D920C9">
        <w:rPr>
          <w:rFonts w:asciiTheme="minorHAnsi" w:hAnsiTheme="minorHAnsi"/>
          <w:szCs w:val="20"/>
        </w:rPr>
        <w:t xml:space="preserve">the </w:t>
      </w:r>
      <w:r w:rsidR="00BC4D94" w:rsidRPr="00D920C9">
        <w:rPr>
          <w:rFonts w:asciiTheme="minorHAnsi" w:hAnsiTheme="minorHAnsi"/>
          <w:szCs w:val="20"/>
        </w:rPr>
        <w:t xml:space="preserve">federal, </w:t>
      </w:r>
      <w:r w:rsidR="00B56CF5" w:rsidRPr="00D920C9">
        <w:rPr>
          <w:rFonts w:asciiTheme="minorHAnsi" w:hAnsiTheme="minorHAnsi"/>
          <w:szCs w:val="20"/>
        </w:rPr>
        <w:t>state</w:t>
      </w:r>
      <w:r w:rsidR="00BC4D94" w:rsidRPr="00D920C9">
        <w:rPr>
          <w:rFonts w:asciiTheme="minorHAnsi" w:hAnsiTheme="minorHAnsi"/>
          <w:szCs w:val="20"/>
        </w:rPr>
        <w:t>, and local</w:t>
      </w:r>
      <w:r w:rsidR="00B56CF5" w:rsidRPr="00D920C9">
        <w:rPr>
          <w:rFonts w:asciiTheme="minorHAnsi" w:hAnsiTheme="minorHAnsi"/>
          <w:szCs w:val="20"/>
        </w:rPr>
        <w:t xml:space="preserve"> levels in the </w:t>
      </w:r>
      <w:r w:rsidR="00530552" w:rsidRPr="00D920C9">
        <w:rPr>
          <w:rFonts w:asciiTheme="minorHAnsi" w:hAnsiTheme="minorHAnsi"/>
          <w:szCs w:val="20"/>
        </w:rPr>
        <w:t>U</w:t>
      </w:r>
      <w:r w:rsidR="00904A46" w:rsidRPr="00D920C9">
        <w:rPr>
          <w:rFonts w:asciiTheme="minorHAnsi" w:hAnsiTheme="minorHAnsi"/>
          <w:szCs w:val="20"/>
        </w:rPr>
        <w:t>.</w:t>
      </w:r>
      <w:r w:rsidR="00530552" w:rsidRPr="00D920C9">
        <w:rPr>
          <w:rFonts w:asciiTheme="minorHAnsi" w:hAnsiTheme="minorHAnsi"/>
          <w:szCs w:val="20"/>
        </w:rPr>
        <w:t>S</w:t>
      </w:r>
      <w:r w:rsidR="00904A46" w:rsidRPr="00D920C9">
        <w:rPr>
          <w:rFonts w:asciiTheme="minorHAnsi" w:hAnsiTheme="minorHAnsi"/>
          <w:szCs w:val="20"/>
        </w:rPr>
        <w:t>.</w:t>
      </w:r>
      <w:r w:rsidR="00B56CF5" w:rsidRPr="00D920C9">
        <w:rPr>
          <w:rFonts w:asciiTheme="minorHAnsi" w:hAnsiTheme="minorHAnsi"/>
          <w:szCs w:val="20"/>
        </w:rPr>
        <w:t>, as well as the entire government structure.</w:t>
      </w:r>
      <w:r w:rsidR="002B4344" w:rsidRPr="00D920C9">
        <w:rPr>
          <w:rFonts w:asciiTheme="minorHAnsi" w:hAnsiTheme="minorHAnsi"/>
          <w:szCs w:val="20"/>
        </w:rPr>
        <w:t xml:space="preserve"> </w:t>
      </w:r>
      <w:r w:rsidR="00F96BB1" w:rsidRPr="00D920C9">
        <w:rPr>
          <w:rFonts w:asciiTheme="minorHAnsi" w:hAnsiTheme="minorHAnsi"/>
          <w:szCs w:val="20"/>
        </w:rPr>
        <w:t xml:space="preserve">The </w:t>
      </w:r>
      <w:r w:rsidR="00BC4D94" w:rsidRPr="00D920C9">
        <w:rPr>
          <w:rFonts w:asciiTheme="minorHAnsi" w:hAnsiTheme="minorHAnsi"/>
          <w:szCs w:val="20"/>
        </w:rPr>
        <w:t>final chapter</w:t>
      </w:r>
      <w:r w:rsidR="0037721D" w:rsidRPr="00D920C9">
        <w:rPr>
          <w:rFonts w:asciiTheme="minorHAnsi" w:hAnsiTheme="minorHAnsi"/>
          <w:szCs w:val="20"/>
        </w:rPr>
        <w:t xml:space="preserve"> advances a number of conclusions and recommendations designed to improve p</w:t>
      </w:r>
      <w:r w:rsidR="0030356C" w:rsidRPr="00D920C9">
        <w:rPr>
          <w:rFonts w:asciiTheme="minorHAnsi" w:hAnsiTheme="minorHAnsi"/>
          <w:szCs w:val="20"/>
        </w:rPr>
        <w:t xml:space="preserve">olice practices towards African </w:t>
      </w:r>
      <w:r w:rsidR="0037721D" w:rsidRPr="00D920C9">
        <w:rPr>
          <w:rFonts w:asciiTheme="minorHAnsi" w:hAnsiTheme="minorHAnsi"/>
          <w:szCs w:val="20"/>
        </w:rPr>
        <w:t>Americans in the United States.</w:t>
      </w:r>
    </w:p>
    <w:p w14:paraId="05DDCC38" w14:textId="77777777" w:rsidR="002B4344" w:rsidRPr="00D920C9" w:rsidRDefault="00684DFD"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The objectives of this</w:t>
      </w:r>
      <w:r w:rsidR="00A13770" w:rsidRPr="00D920C9">
        <w:rPr>
          <w:rFonts w:asciiTheme="minorHAnsi" w:hAnsiTheme="minorHAnsi"/>
          <w:szCs w:val="20"/>
        </w:rPr>
        <w:t xml:space="preserve"> report </w:t>
      </w:r>
      <w:r w:rsidRPr="00D920C9">
        <w:rPr>
          <w:rFonts w:asciiTheme="minorHAnsi" w:hAnsiTheme="minorHAnsi"/>
          <w:szCs w:val="20"/>
        </w:rPr>
        <w:t>are twofold: to</w:t>
      </w:r>
      <w:r w:rsidR="001229B1" w:rsidRPr="00D920C9">
        <w:rPr>
          <w:rFonts w:asciiTheme="minorHAnsi" w:hAnsiTheme="minorHAnsi"/>
          <w:szCs w:val="20"/>
        </w:rPr>
        <w:t xml:space="preserve"> serve as an important guideline </w:t>
      </w:r>
      <w:r w:rsidR="00A13770" w:rsidRPr="00D920C9">
        <w:rPr>
          <w:rFonts w:asciiTheme="minorHAnsi" w:hAnsiTheme="minorHAnsi"/>
          <w:szCs w:val="20"/>
        </w:rPr>
        <w:t>regarding</w:t>
      </w:r>
      <w:r w:rsidR="001229B1" w:rsidRPr="00D920C9">
        <w:rPr>
          <w:rFonts w:asciiTheme="minorHAnsi" w:hAnsiTheme="minorHAnsi"/>
          <w:szCs w:val="20"/>
        </w:rPr>
        <w:t xml:space="preserve"> key international human rights standards that the </w:t>
      </w:r>
      <w:r w:rsidR="00904A46" w:rsidRPr="00D920C9">
        <w:rPr>
          <w:rFonts w:asciiTheme="minorHAnsi" w:hAnsiTheme="minorHAnsi"/>
          <w:szCs w:val="20"/>
        </w:rPr>
        <w:t>U.S.</w:t>
      </w:r>
      <w:r w:rsidR="001229B1" w:rsidRPr="00D920C9">
        <w:rPr>
          <w:rFonts w:asciiTheme="minorHAnsi" w:hAnsiTheme="minorHAnsi"/>
          <w:szCs w:val="20"/>
        </w:rPr>
        <w:t xml:space="preserve"> </w:t>
      </w:r>
      <w:r w:rsidR="00A13770" w:rsidRPr="00D920C9">
        <w:rPr>
          <w:rFonts w:asciiTheme="minorHAnsi" w:hAnsiTheme="minorHAnsi"/>
          <w:szCs w:val="20"/>
        </w:rPr>
        <w:t>must</w:t>
      </w:r>
      <w:r w:rsidR="001229B1" w:rsidRPr="00D920C9">
        <w:rPr>
          <w:rFonts w:asciiTheme="minorHAnsi" w:hAnsiTheme="minorHAnsi"/>
          <w:szCs w:val="20"/>
        </w:rPr>
        <w:t xml:space="preserve"> consider</w:t>
      </w:r>
      <w:r w:rsidR="00A13770" w:rsidRPr="00D920C9">
        <w:rPr>
          <w:rFonts w:asciiTheme="minorHAnsi" w:hAnsiTheme="minorHAnsi"/>
          <w:szCs w:val="20"/>
        </w:rPr>
        <w:t xml:space="preserve"> at the federal, </w:t>
      </w:r>
      <w:r w:rsidR="001229B1" w:rsidRPr="00D920C9">
        <w:rPr>
          <w:rFonts w:asciiTheme="minorHAnsi" w:hAnsiTheme="minorHAnsi"/>
          <w:szCs w:val="20"/>
        </w:rPr>
        <w:t>state</w:t>
      </w:r>
      <w:r w:rsidR="00A13770" w:rsidRPr="00D920C9">
        <w:rPr>
          <w:rFonts w:asciiTheme="minorHAnsi" w:hAnsiTheme="minorHAnsi"/>
          <w:szCs w:val="20"/>
        </w:rPr>
        <w:t>, and local</w:t>
      </w:r>
      <w:r w:rsidR="001229B1" w:rsidRPr="00D920C9">
        <w:rPr>
          <w:rFonts w:asciiTheme="minorHAnsi" w:hAnsiTheme="minorHAnsi"/>
          <w:szCs w:val="20"/>
        </w:rPr>
        <w:t xml:space="preserve"> levels when address</w:t>
      </w:r>
      <w:r w:rsidRPr="00D920C9">
        <w:rPr>
          <w:rFonts w:asciiTheme="minorHAnsi" w:hAnsiTheme="minorHAnsi"/>
          <w:szCs w:val="20"/>
        </w:rPr>
        <w:t>ing</w:t>
      </w:r>
      <w:r w:rsidR="001229B1" w:rsidRPr="00D920C9">
        <w:rPr>
          <w:rFonts w:asciiTheme="minorHAnsi" w:hAnsiTheme="minorHAnsi"/>
          <w:szCs w:val="20"/>
        </w:rPr>
        <w:t xml:space="preserve"> </w:t>
      </w:r>
      <w:r w:rsidRPr="00D920C9">
        <w:rPr>
          <w:rFonts w:asciiTheme="minorHAnsi" w:hAnsiTheme="minorHAnsi"/>
          <w:szCs w:val="20"/>
        </w:rPr>
        <w:t>racial discrimination in policing of</w:t>
      </w:r>
      <w:r w:rsidR="001229B1" w:rsidRPr="00D920C9">
        <w:rPr>
          <w:rFonts w:asciiTheme="minorHAnsi" w:hAnsiTheme="minorHAnsi"/>
          <w:szCs w:val="20"/>
        </w:rPr>
        <w:t xml:space="preserve"> African</w:t>
      </w:r>
      <w:r w:rsidR="0030356C" w:rsidRPr="00D920C9">
        <w:rPr>
          <w:rFonts w:asciiTheme="minorHAnsi" w:hAnsiTheme="minorHAnsi"/>
          <w:szCs w:val="20"/>
        </w:rPr>
        <w:t xml:space="preserve"> </w:t>
      </w:r>
      <w:r w:rsidRPr="00D920C9">
        <w:rPr>
          <w:rFonts w:asciiTheme="minorHAnsi" w:hAnsiTheme="minorHAnsi"/>
          <w:szCs w:val="20"/>
        </w:rPr>
        <w:t xml:space="preserve">Americans, and to serve as </w:t>
      </w:r>
      <w:r w:rsidR="00A13770" w:rsidRPr="00D920C9">
        <w:rPr>
          <w:rFonts w:asciiTheme="minorHAnsi" w:hAnsiTheme="minorHAnsi"/>
          <w:szCs w:val="20"/>
        </w:rPr>
        <w:t>a key</w:t>
      </w:r>
      <w:r w:rsidRPr="00D920C9">
        <w:rPr>
          <w:rFonts w:asciiTheme="minorHAnsi" w:hAnsiTheme="minorHAnsi"/>
          <w:szCs w:val="20"/>
        </w:rPr>
        <w:t xml:space="preserve"> advocacy</w:t>
      </w:r>
      <w:r w:rsidR="001229B1" w:rsidRPr="00D920C9">
        <w:rPr>
          <w:rFonts w:asciiTheme="minorHAnsi" w:hAnsiTheme="minorHAnsi"/>
          <w:szCs w:val="20"/>
        </w:rPr>
        <w:t xml:space="preserve"> instrument for U</w:t>
      </w:r>
      <w:r w:rsidR="00C45A79" w:rsidRPr="00D920C9">
        <w:rPr>
          <w:rFonts w:asciiTheme="minorHAnsi" w:hAnsiTheme="minorHAnsi"/>
          <w:szCs w:val="20"/>
        </w:rPr>
        <w:t>.</w:t>
      </w:r>
      <w:r w:rsidR="001229B1" w:rsidRPr="00D920C9">
        <w:rPr>
          <w:rFonts w:asciiTheme="minorHAnsi" w:hAnsiTheme="minorHAnsi"/>
          <w:szCs w:val="20"/>
        </w:rPr>
        <w:t>S</w:t>
      </w:r>
      <w:r w:rsidR="00C45A79" w:rsidRPr="00D920C9">
        <w:rPr>
          <w:rFonts w:asciiTheme="minorHAnsi" w:hAnsiTheme="minorHAnsi"/>
          <w:szCs w:val="20"/>
        </w:rPr>
        <w:t>.</w:t>
      </w:r>
      <w:r w:rsidR="001229B1" w:rsidRPr="00D920C9">
        <w:rPr>
          <w:rFonts w:asciiTheme="minorHAnsi" w:hAnsiTheme="minorHAnsi"/>
          <w:szCs w:val="20"/>
        </w:rPr>
        <w:t xml:space="preserve"> civil society organizations</w:t>
      </w:r>
      <w:r w:rsidRPr="00D920C9">
        <w:rPr>
          <w:rFonts w:asciiTheme="minorHAnsi" w:hAnsiTheme="minorHAnsi"/>
          <w:szCs w:val="20"/>
        </w:rPr>
        <w:t xml:space="preserve"> to use</w:t>
      </w:r>
      <w:r w:rsidR="001229B1" w:rsidRPr="00D920C9">
        <w:rPr>
          <w:rFonts w:asciiTheme="minorHAnsi" w:hAnsiTheme="minorHAnsi"/>
          <w:szCs w:val="20"/>
        </w:rPr>
        <w:t xml:space="preserve"> with </w:t>
      </w:r>
      <w:r w:rsidR="00A13770" w:rsidRPr="00D920C9">
        <w:rPr>
          <w:rFonts w:asciiTheme="minorHAnsi" w:hAnsiTheme="minorHAnsi"/>
          <w:szCs w:val="20"/>
        </w:rPr>
        <w:t xml:space="preserve">federal, </w:t>
      </w:r>
      <w:r w:rsidR="001229B1" w:rsidRPr="00D920C9">
        <w:rPr>
          <w:rFonts w:asciiTheme="minorHAnsi" w:hAnsiTheme="minorHAnsi"/>
          <w:szCs w:val="20"/>
        </w:rPr>
        <w:t>state</w:t>
      </w:r>
      <w:r w:rsidR="00A13770" w:rsidRPr="00D920C9">
        <w:rPr>
          <w:rFonts w:asciiTheme="minorHAnsi" w:hAnsiTheme="minorHAnsi"/>
          <w:szCs w:val="20"/>
        </w:rPr>
        <w:t>, and local</w:t>
      </w:r>
      <w:r w:rsidR="001229B1" w:rsidRPr="00D920C9">
        <w:rPr>
          <w:rFonts w:asciiTheme="minorHAnsi" w:hAnsiTheme="minorHAnsi"/>
          <w:szCs w:val="20"/>
        </w:rPr>
        <w:t xml:space="preserve"> governments to better address racial discrimination in the actions of law enforcement authorities and throughout the criminal justice system.</w:t>
      </w:r>
    </w:p>
    <w:p w14:paraId="28F037F1" w14:textId="77777777" w:rsidR="001229B1" w:rsidRPr="00D920C9" w:rsidRDefault="00BF7CC5" w:rsidP="001167CB">
      <w:pPr>
        <w:pStyle w:val="Heading2"/>
        <w:ind w:left="540" w:hanging="540"/>
      </w:pPr>
      <w:bookmarkStart w:id="8" w:name="_Toc511837799"/>
      <w:bookmarkStart w:id="9" w:name="_Toc511902972"/>
      <w:bookmarkStart w:id="10" w:name="_Toc517687902"/>
      <w:r w:rsidRPr="00D920C9">
        <w:t xml:space="preserve">Sources of </w:t>
      </w:r>
      <w:r w:rsidR="00D86045" w:rsidRPr="00D920C9">
        <w:t>Information</w:t>
      </w:r>
      <w:bookmarkEnd w:id="8"/>
      <w:bookmarkEnd w:id="9"/>
      <w:bookmarkEnd w:id="10"/>
    </w:p>
    <w:p w14:paraId="229EE9DA" w14:textId="77777777" w:rsidR="00530552" w:rsidRPr="00D920C9" w:rsidRDefault="00530552"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The information analyzed in this report comes from a number of sources, including hearings held between 2014 and 2017</w:t>
      </w:r>
      <w:r w:rsidR="00AD2CAE" w:rsidRPr="00D920C9">
        <w:rPr>
          <w:rFonts w:asciiTheme="minorHAnsi" w:hAnsiTheme="minorHAnsi"/>
          <w:szCs w:val="20"/>
        </w:rPr>
        <w:t>;</w:t>
      </w:r>
      <w:r w:rsidRPr="00D920C9">
        <w:rPr>
          <w:rFonts w:asciiTheme="minorHAnsi" w:hAnsiTheme="minorHAnsi"/>
          <w:szCs w:val="20"/>
        </w:rPr>
        <w:t xml:space="preserve"> an on-site visit to Florida, </w:t>
      </w:r>
      <w:r w:rsidRPr="00D920C9">
        <w:rPr>
          <w:rFonts w:asciiTheme="minorHAnsi" w:hAnsiTheme="minorHAnsi"/>
          <w:szCs w:val="20"/>
        </w:rPr>
        <w:lastRenderedPageBreak/>
        <w:t>Louisiana, and Missouri</w:t>
      </w:r>
      <w:r w:rsidR="00AD2CAE" w:rsidRPr="00D920C9">
        <w:rPr>
          <w:rFonts w:asciiTheme="minorHAnsi" w:hAnsiTheme="minorHAnsi"/>
          <w:szCs w:val="20"/>
        </w:rPr>
        <w:t>;</w:t>
      </w:r>
      <w:r w:rsidRPr="00D920C9">
        <w:rPr>
          <w:rFonts w:asciiTheme="minorHAnsi" w:hAnsiTheme="minorHAnsi"/>
          <w:szCs w:val="20"/>
        </w:rPr>
        <w:t xml:space="preserve"> issues monitored via press releases</w:t>
      </w:r>
      <w:r w:rsidR="00AD2CAE" w:rsidRPr="00D920C9">
        <w:rPr>
          <w:rFonts w:asciiTheme="minorHAnsi" w:hAnsiTheme="minorHAnsi"/>
          <w:szCs w:val="20"/>
        </w:rPr>
        <w:t>;</w:t>
      </w:r>
      <w:r w:rsidRPr="00D920C9">
        <w:rPr>
          <w:rFonts w:asciiTheme="minorHAnsi" w:hAnsiTheme="minorHAnsi"/>
          <w:szCs w:val="20"/>
        </w:rPr>
        <w:t xml:space="preserve"> and additional</w:t>
      </w:r>
      <w:r w:rsidR="00AD2CAE" w:rsidRPr="00D920C9">
        <w:rPr>
          <w:rFonts w:asciiTheme="minorHAnsi" w:hAnsiTheme="minorHAnsi"/>
          <w:szCs w:val="20"/>
        </w:rPr>
        <w:t xml:space="preserve"> documents, reports, and statements issued by State and non-State actors</w:t>
      </w:r>
      <w:r w:rsidRPr="00D920C9">
        <w:rPr>
          <w:rFonts w:asciiTheme="minorHAnsi" w:hAnsiTheme="minorHAnsi"/>
          <w:szCs w:val="20"/>
        </w:rPr>
        <w:t>.</w:t>
      </w:r>
    </w:p>
    <w:p w14:paraId="457E06BE" w14:textId="77777777" w:rsidR="00B4412C" w:rsidRPr="00D920C9" w:rsidRDefault="00B4412C" w:rsidP="0004388D">
      <w:pPr>
        <w:pStyle w:val="Heading3"/>
        <w:ind w:left="547" w:hanging="547"/>
      </w:pPr>
      <w:bookmarkStart w:id="11" w:name="_Toc511837800"/>
      <w:bookmarkStart w:id="12" w:name="_Toc511902973"/>
      <w:bookmarkStart w:id="13" w:name="_Toc517687903"/>
      <w:r w:rsidRPr="00D920C9">
        <w:t>Hearings during Periods of Sessions</w:t>
      </w:r>
      <w:bookmarkEnd w:id="11"/>
      <w:bookmarkEnd w:id="12"/>
      <w:bookmarkEnd w:id="13"/>
    </w:p>
    <w:p w14:paraId="0ED589DB"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The Inter-American Commission has convened a number of thematic hearings on issues of systemic racism, policing and use of force, and racism in the criminal justice system in the </w:t>
      </w:r>
      <w:r w:rsidR="00904A46" w:rsidRPr="00D920C9">
        <w:rPr>
          <w:rFonts w:asciiTheme="minorHAnsi" w:hAnsiTheme="minorHAnsi"/>
          <w:szCs w:val="20"/>
        </w:rPr>
        <w:t>U.S.</w:t>
      </w:r>
      <w:r w:rsidRPr="00D920C9">
        <w:rPr>
          <w:rFonts w:asciiTheme="minorHAnsi" w:hAnsiTheme="minorHAnsi"/>
          <w:szCs w:val="20"/>
        </w:rPr>
        <w:t xml:space="preserve"> over the past five years, through which it has gathered substantial information about </w:t>
      </w:r>
      <w:r w:rsidR="00AD2CAE" w:rsidRPr="00D920C9">
        <w:rPr>
          <w:rFonts w:asciiTheme="minorHAnsi" w:hAnsiTheme="minorHAnsi"/>
          <w:szCs w:val="20"/>
        </w:rPr>
        <w:t>existing challenges</w:t>
      </w:r>
      <w:r w:rsidRPr="00D920C9">
        <w:rPr>
          <w:rFonts w:asciiTheme="minorHAnsi" w:hAnsiTheme="minorHAnsi"/>
          <w:szCs w:val="20"/>
        </w:rPr>
        <w:t>. These hearings have been convened on the Commission’s own motion (ex officio), at the request of the government of the United States, and at the request of civil society and academic organizations.</w:t>
      </w:r>
    </w:p>
    <w:p w14:paraId="31166070" w14:textId="57E40A23"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On March 25, 2014, the Commission held a</w:t>
      </w:r>
      <w:r w:rsidR="00653290" w:rsidRPr="00D920C9">
        <w:rPr>
          <w:rFonts w:asciiTheme="minorHAnsi" w:hAnsiTheme="minorHAnsi"/>
          <w:szCs w:val="20"/>
        </w:rPr>
        <w:t xml:space="preserve"> hearing on “Stand Your Ground</w:t>
      </w:r>
      <w:r w:rsidRPr="00D920C9">
        <w:rPr>
          <w:rFonts w:asciiTheme="minorHAnsi" w:hAnsiTheme="minorHAnsi"/>
          <w:szCs w:val="20"/>
        </w:rPr>
        <w:t xml:space="preserve"> Laws and their impact on</w:t>
      </w:r>
      <w:r w:rsidR="00516F61" w:rsidRPr="00D920C9">
        <w:rPr>
          <w:rFonts w:asciiTheme="minorHAnsi" w:hAnsiTheme="minorHAnsi"/>
          <w:szCs w:val="20"/>
        </w:rPr>
        <w:t xml:space="preserve"> groups historically subjected to discrimination and exclusion</w:t>
      </w:r>
      <w:r w:rsidRPr="00D920C9">
        <w:rPr>
          <w:rFonts w:asciiTheme="minorHAnsi" w:hAnsiTheme="minorHAnsi"/>
          <w:szCs w:val="20"/>
        </w:rPr>
        <w:t xml:space="preserve"> in the United States” at its headquarters in Washington, D.C.</w:t>
      </w:r>
      <w:r w:rsidR="00684DFD" w:rsidRPr="00D920C9">
        <w:rPr>
          <w:rFonts w:asciiTheme="minorHAnsi" w:hAnsiTheme="minorHAnsi"/>
          <w:szCs w:val="20"/>
        </w:rPr>
        <w:t>,</w:t>
      </w:r>
      <w:r w:rsidRPr="00D920C9">
        <w:rPr>
          <w:rFonts w:asciiTheme="minorHAnsi" w:hAnsiTheme="minorHAnsi"/>
          <w:vertAlign w:val="superscript"/>
        </w:rPr>
        <w:footnoteReference w:id="4"/>
      </w:r>
      <w:r w:rsidRPr="00D920C9">
        <w:rPr>
          <w:rFonts w:asciiTheme="minorHAnsi" w:hAnsiTheme="minorHAnsi"/>
          <w:szCs w:val="20"/>
        </w:rPr>
        <w:t xml:space="preserve"> </w:t>
      </w:r>
      <w:r w:rsidR="00684DFD" w:rsidRPr="00D920C9">
        <w:rPr>
          <w:rFonts w:asciiTheme="minorHAnsi" w:hAnsiTheme="minorHAnsi"/>
          <w:szCs w:val="20"/>
        </w:rPr>
        <w:t>where it received</w:t>
      </w:r>
      <w:r w:rsidRPr="00D920C9">
        <w:rPr>
          <w:rFonts w:asciiTheme="minorHAnsi" w:hAnsiTheme="minorHAnsi"/>
          <w:szCs w:val="20"/>
        </w:rPr>
        <w:t xml:space="preserve"> information on the human rights implications of “Stand Your Ground” laws currently in force in several states, and received testimony from the parents of </w:t>
      </w:r>
      <w:proofErr w:type="spellStart"/>
      <w:r w:rsidRPr="00D920C9">
        <w:rPr>
          <w:rFonts w:asciiTheme="minorHAnsi" w:hAnsiTheme="minorHAnsi"/>
          <w:szCs w:val="20"/>
        </w:rPr>
        <w:t>Travyon</w:t>
      </w:r>
      <w:proofErr w:type="spellEnd"/>
      <w:r w:rsidRPr="00D920C9">
        <w:rPr>
          <w:rFonts w:asciiTheme="minorHAnsi" w:hAnsiTheme="minorHAnsi"/>
          <w:szCs w:val="20"/>
        </w:rPr>
        <w:t xml:space="preserve"> Martin and Jordan Davis, two </w:t>
      </w:r>
      <w:r w:rsidR="00684DFD" w:rsidRPr="00D920C9">
        <w:rPr>
          <w:rFonts w:asciiTheme="minorHAnsi" w:hAnsiTheme="minorHAnsi"/>
          <w:szCs w:val="20"/>
        </w:rPr>
        <w:t>b</w:t>
      </w:r>
      <w:r w:rsidRPr="00D920C9">
        <w:rPr>
          <w:rFonts w:asciiTheme="minorHAnsi" w:hAnsiTheme="minorHAnsi"/>
          <w:szCs w:val="20"/>
        </w:rPr>
        <w:t xml:space="preserve">lack teenagers shot and killed by civilians who </w:t>
      </w:r>
      <w:r w:rsidR="00530552" w:rsidRPr="00D920C9">
        <w:rPr>
          <w:rFonts w:asciiTheme="minorHAnsi" w:hAnsiTheme="minorHAnsi"/>
          <w:szCs w:val="20"/>
        </w:rPr>
        <w:t>invoked</w:t>
      </w:r>
      <w:r w:rsidRPr="00D920C9">
        <w:rPr>
          <w:rFonts w:asciiTheme="minorHAnsi" w:hAnsiTheme="minorHAnsi"/>
          <w:szCs w:val="20"/>
        </w:rPr>
        <w:t xml:space="preserve"> Florida’s “Stand Your Ground” law</w:t>
      </w:r>
      <w:r w:rsidR="00530552" w:rsidRPr="00D920C9">
        <w:rPr>
          <w:rFonts w:asciiTheme="minorHAnsi" w:hAnsiTheme="minorHAnsi"/>
          <w:szCs w:val="20"/>
        </w:rPr>
        <w:t xml:space="preserve"> as a legal defense to the crime of homicide</w:t>
      </w:r>
      <w:r w:rsidRPr="00D920C9">
        <w:rPr>
          <w:rFonts w:asciiTheme="minorHAnsi" w:hAnsiTheme="minorHAnsi"/>
          <w:szCs w:val="20"/>
        </w:rPr>
        <w:t xml:space="preserve">. </w:t>
      </w:r>
    </w:p>
    <w:p w14:paraId="427E8646"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On October 27, 2014, the Commission held a hearing on “Reports of Racism in the Justice System of the United States.”</w:t>
      </w:r>
      <w:r w:rsidRPr="00D920C9">
        <w:rPr>
          <w:rStyle w:val="FootnoteReference"/>
          <w:rFonts w:asciiTheme="minorHAnsi" w:hAnsiTheme="minorHAnsi"/>
          <w:szCs w:val="20"/>
        </w:rPr>
        <w:footnoteReference w:id="5"/>
      </w:r>
      <w:r w:rsidRPr="00D920C9">
        <w:rPr>
          <w:rFonts w:asciiTheme="minorHAnsi" w:hAnsiTheme="minorHAnsi"/>
          <w:szCs w:val="20"/>
        </w:rPr>
        <w:t xml:space="preserve"> The hearing was convened </w:t>
      </w:r>
      <w:r w:rsidRPr="00D920C9">
        <w:rPr>
          <w:rFonts w:asciiTheme="minorHAnsi" w:hAnsiTheme="minorHAnsi"/>
          <w:i/>
          <w:szCs w:val="20"/>
        </w:rPr>
        <w:t>ex officio</w:t>
      </w:r>
      <w:r w:rsidRPr="00D920C9">
        <w:rPr>
          <w:rFonts w:asciiTheme="minorHAnsi" w:hAnsiTheme="minorHAnsi"/>
          <w:szCs w:val="20"/>
        </w:rPr>
        <w:t xml:space="preserve"> by the Commission. At the hearing, the Commission received information from attendees </w:t>
      </w:r>
      <w:r w:rsidR="00AD2CAE" w:rsidRPr="00D920C9">
        <w:rPr>
          <w:rFonts w:asciiTheme="minorHAnsi" w:hAnsiTheme="minorHAnsi"/>
          <w:szCs w:val="20"/>
        </w:rPr>
        <w:t>regarding</w:t>
      </w:r>
      <w:r w:rsidRPr="00D920C9">
        <w:rPr>
          <w:rFonts w:asciiTheme="minorHAnsi" w:hAnsiTheme="minorHAnsi"/>
          <w:szCs w:val="20"/>
        </w:rPr>
        <w:t xml:space="preserve"> issues of racial discrimination in the areas of: policing (racial profiling, over</w:t>
      </w:r>
      <w:r w:rsidR="00064585" w:rsidRPr="00D920C9">
        <w:rPr>
          <w:rFonts w:asciiTheme="minorHAnsi" w:hAnsiTheme="minorHAnsi"/>
          <w:szCs w:val="20"/>
        </w:rPr>
        <w:t>-</w:t>
      </w:r>
      <w:r w:rsidRPr="00D920C9">
        <w:rPr>
          <w:rFonts w:asciiTheme="minorHAnsi" w:hAnsiTheme="minorHAnsi"/>
          <w:szCs w:val="20"/>
        </w:rPr>
        <w:t xml:space="preserve">policing of </w:t>
      </w:r>
      <w:r w:rsidR="00B70D71" w:rsidRPr="00D920C9">
        <w:rPr>
          <w:rFonts w:asciiTheme="minorHAnsi" w:hAnsiTheme="minorHAnsi"/>
          <w:szCs w:val="20"/>
        </w:rPr>
        <w:t>historically marginalized groups</w:t>
      </w:r>
      <w:r w:rsidRPr="00D920C9">
        <w:rPr>
          <w:rFonts w:asciiTheme="minorHAnsi" w:hAnsiTheme="minorHAnsi"/>
          <w:szCs w:val="20"/>
        </w:rPr>
        <w:t xml:space="preserve">, </w:t>
      </w:r>
      <w:proofErr w:type="gramStart"/>
      <w:r w:rsidRPr="00D920C9">
        <w:rPr>
          <w:rFonts w:asciiTheme="minorHAnsi" w:hAnsiTheme="minorHAnsi"/>
          <w:szCs w:val="20"/>
        </w:rPr>
        <w:t>excessive</w:t>
      </w:r>
      <w:proofErr w:type="gramEnd"/>
      <w:r w:rsidRPr="00D920C9">
        <w:rPr>
          <w:rFonts w:asciiTheme="minorHAnsi" w:hAnsiTheme="minorHAnsi"/>
          <w:szCs w:val="20"/>
        </w:rPr>
        <w:t xml:space="preserve"> use of force), voting rights (felony disenfranchisement), mass incarceration, juvenile justice, and government initiatives to reduce the racially disparate impact of mass incarceration and racial profiling.</w:t>
      </w:r>
    </w:p>
    <w:p w14:paraId="0AF20041" w14:textId="64D25F00"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14" w:name="_Ref511834451"/>
      <w:r w:rsidRPr="00D920C9">
        <w:rPr>
          <w:rFonts w:asciiTheme="minorHAnsi" w:hAnsiTheme="minorHAnsi"/>
          <w:szCs w:val="20"/>
        </w:rPr>
        <w:lastRenderedPageBreak/>
        <w:t>On March 16, 2015, the Commission held a hearing on “Criminal Justice and Race in the United States.”</w:t>
      </w:r>
      <w:r w:rsidRPr="00D920C9">
        <w:rPr>
          <w:rFonts w:asciiTheme="minorHAnsi" w:hAnsiTheme="minorHAnsi"/>
          <w:vertAlign w:val="superscript"/>
        </w:rPr>
        <w:footnoteReference w:id="6"/>
      </w:r>
      <w:r w:rsidRPr="00D920C9">
        <w:rPr>
          <w:rFonts w:asciiTheme="minorHAnsi" w:hAnsiTheme="minorHAnsi"/>
          <w:szCs w:val="20"/>
        </w:rPr>
        <w:t xml:space="preserve"> The hearing was requested by the State. At the hearing, the Commission received extensive information from the State about diverse initiatives including compliance with recommendations from the President</w:t>
      </w:r>
      <w:r w:rsidR="00CE6332" w:rsidRPr="00D920C9">
        <w:rPr>
          <w:rFonts w:asciiTheme="minorHAnsi" w:hAnsiTheme="minorHAnsi"/>
          <w:szCs w:val="20"/>
        </w:rPr>
        <w:t xml:space="preserve"> Obama’s</w:t>
      </w:r>
      <w:r w:rsidRPr="00D920C9">
        <w:rPr>
          <w:rFonts w:asciiTheme="minorHAnsi" w:hAnsiTheme="minorHAnsi"/>
          <w:szCs w:val="20"/>
        </w:rPr>
        <w:t xml:space="preserve"> Task Force on 21st Century Policing</w:t>
      </w:r>
      <w:r w:rsidR="00530552" w:rsidRPr="00D920C9">
        <w:rPr>
          <w:rFonts w:asciiTheme="minorHAnsi" w:hAnsiTheme="minorHAnsi"/>
          <w:szCs w:val="20"/>
        </w:rPr>
        <w:t>;</w:t>
      </w:r>
      <w:r w:rsidRPr="00D920C9">
        <w:rPr>
          <w:rFonts w:asciiTheme="minorHAnsi" w:hAnsiTheme="minorHAnsi"/>
          <w:szCs w:val="20"/>
        </w:rPr>
        <w:t xml:space="preserve"> investigations of municipal police departments by the Department of Justice</w:t>
      </w:r>
      <w:r w:rsidR="00530552" w:rsidRPr="00D920C9">
        <w:rPr>
          <w:rFonts w:asciiTheme="minorHAnsi" w:hAnsiTheme="minorHAnsi"/>
          <w:szCs w:val="20"/>
        </w:rPr>
        <w:t>;</w:t>
      </w:r>
      <w:r w:rsidRPr="00D920C9">
        <w:rPr>
          <w:rFonts w:asciiTheme="minorHAnsi" w:hAnsiTheme="minorHAnsi"/>
          <w:szCs w:val="20"/>
        </w:rPr>
        <w:t xml:space="preserve"> Department of Labor and EEOC anti-discriminat</w:t>
      </w:r>
      <w:r w:rsidR="00530552" w:rsidRPr="00D920C9">
        <w:rPr>
          <w:rFonts w:asciiTheme="minorHAnsi" w:hAnsiTheme="minorHAnsi"/>
          <w:szCs w:val="20"/>
        </w:rPr>
        <w:t>ion programs and policy changes;</w:t>
      </w:r>
      <w:r w:rsidRPr="00D920C9">
        <w:rPr>
          <w:rFonts w:asciiTheme="minorHAnsi" w:hAnsiTheme="minorHAnsi"/>
          <w:szCs w:val="20"/>
        </w:rPr>
        <w:t xml:space="preserve"> and regional cooperation initiatives, among others. The Commission additionally received information on discriminatory policing practices (including New York City’s “Stop and Frisk” program, surveillance of Muslim communities, and police practices in Ferguson, Missouri), the lifelong impact of felony convictions on access to </w:t>
      </w:r>
      <w:r w:rsidR="00530552" w:rsidRPr="00D920C9">
        <w:rPr>
          <w:rFonts w:asciiTheme="minorHAnsi" w:hAnsiTheme="minorHAnsi"/>
          <w:szCs w:val="20"/>
        </w:rPr>
        <w:t>political,</w:t>
      </w:r>
      <w:r w:rsidRPr="00D920C9">
        <w:rPr>
          <w:rFonts w:asciiTheme="minorHAnsi" w:hAnsiTheme="minorHAnsi"/>
          <w:szCs w:val="20"/>
        </w:rPr>
        <w:t xml:space="preserve"> economic and social rights, and the militarization of police departments.</w:t>
      </w:r>
      <w:bookmarkEnd w:id="14"/>
    </w:p>
    <w:p w14:paraId="01006268"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On October 23, 2015, the Commission held a hearing on “Reports of Excessive Use of Force by the Police against People of African Descent in the United States.”</w:t>
      </w:r>
      <w:r w:rsidRPr="00D920C9">
        <w:rPr>
          <w:rFonts w:asciiTheme="minorHAnsi" w:hAnsiTheme="minorHAnsi"/>
          <w:vertAlign w:val="superscript"/>
        </w:rPr>
        <w:footnoteReference w:id="7"/>
      </w:r>
      <w:r w:rsidRPr="00D920C9">
        <w:rPr>
          <w:rFonts w:asciiTheme="minorHAnsi" w:hAnsiTheme="minorHAnsi"/>
          <w:szCs w:val="20"/>
        </w:rPr>
        <w:t xml:space="preserve"> At the hearing, the Commission received information about racial disparities in the criminal justice system and in police use of force, and received testimony from family members of </w:t>
      </w:r>
      <w:proofErr w:type="spellStart"/>
      <w:r w:rsidRPr="00D920C9">
        <w:rPr>
          <w:rFonts w:asciiTheme="minorHAnsi" w:hAnsiTheme="minorHAnsi"/>
          <w:szCs w:val="20"/>
        </w:rPr>
        <w:t>Rekia</w:t>
      </w:r>
      <w:proofErr w:type="spellEnd"/>
      <w:r w:rsidRPr="00D920C9">
        <w:rPr>
          <w:rFonts w:asciiTheme="minorHAnsi" w:hAnsiTheme="minorHAnsi"/>
          <w:szCs w:val="20"/>
        </w:rPr>
        <w:t xml:space="preserve"> Boyd, Clinton Allen, and </w:t>
      </w:r>
      <w:proofErr w:type="spellStart"/>
      <w:r w:rsidRPr="00D920C9">
        <w:rPr>
          <w:rFonts w:asciiTheme="minorHAnsi" w:hAnsiTheme="minorHAnsi"/>
          <w:szCs w:val="20"/>
        </w:rPr>
        <w:t>Tesfaie</w:t>
      </w:r>
      <w:proofErr w:type="spellEnd"/>
      <w:r w:rsidRPr="00D920C9">
        <w:rPr>
          <w:rFonts w:asciiTheme="minorHAnsi" w:hAnsiTheme="minorHAnsi"/>
          <w:szCs w:val="20"/>
        </w:rPr>
        <w:t xml:space="preserve"> </w:t>
      </w:r>
      <w:proofErr w:type="spellStart"/>
      <w:r w:rsidRPr="00D920C9">
        <w:rPr>
          <w:rFonts w:asciiTheme="minorHAnsi" w:hAnsiTheme="minorHAnsi"/>
          <w:szCs w:val="20"/>
        </w:rPr>
        <w:t>Mokuria</w:t>
      </w:r>
      <w:proofErr w:type="spellEnd"/>
      <w:r w:rsidRPr="00D920C9">
        <w:rPr>
          <w:rFonts w:asciiTheme="minorHAnsi" w:hAnsiTheme="minorHAnsi"/>
          <w:szCs w:val="20"/>
        </w:rPr>
        <w:t xml:space="preserve">, Afro-descendants killed by police, about the impact of those killings on their families. The Commission additionally received updates on the status of several State reform initiatives first addressed at the October 27, 2014 hearing. </w:t>
      </w:r>
    </w:p>
    <w:p w14:paraId="06CBEA61"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eastAsia="Times New Roman" w:hAnsiTheme="minorHAnsi"/>
          <w:b/>
          <w:szCs w:val="20"/>
          <w:lang w:eastAsia="es-ES"/>
        </w:rPr>
      </w:pPr>
      <w:r w:rsidRPr="00D920C9">
        <w:rPr>
          <w:rFonts w:asciiTheme="minorHAnsi" w:hAnsiTheme="minorHAnsi"/>
          <w:szCs w:val="20"/>
        </w:rPr>
        <w:t xml:space="preserve">On December 7, 2017, the Commission held a hearing on “Reports of impunity for extrajudicial </w:t>
      </w:r>
      <w:r w:rsidR="008F2BF7" w:rsidRPr="00D920C9">
        <w:rPr>
          <w:rFonts w:asciiTheme="minorHAnsi" w:hAnsiTheme="minorHAnsi"/>
          <w:szCs w:val="20"/>
        </w:rPr>
        <w:t>killings</w:t>
      </w:r>
      <w:r w:rsidRPr="00D920C9">
        <w:rPr>
          <w:rFonts w:asciiTheme="minorHAnsi" w:hAnsiTheme="minorHAnsi"/>
          <w:szCs w:val="20"/>
        </w:rPr>
        <w:t xml:space="preserve"> in the United States.”</w:t>
      </w:r>
      <w:r w:rsidR="00647162" w:rsidRPr="00D920C9">
        <w:rPr>
          <w:rStyle w:val="FootnoteReference"/>
          <w:rFonts w:asciiTheme="minorHAnsi" w:hAnsiTheme="minorHAnsi"/>
          <w:szCs w:val="20"/>
        </w:rPr>
        <w:footnoteReference w:id="8"/>
      </w:r>
      <w:r w:rsidRPr="00D920C9">
        <w:rPr>
          <w:rFonts w:asciiTheme="minorHAnsi" w:hAnsiTheme="minorHAnsi"/>
          <w:szCs w:val="20"/>
        </w:rPr>
        <w:t xml:space="preserve"> </w:t>
      </w:r>
      <w:r w:rsidR="00F305E0" w:rsidRPr="00D920C9">
        <w:rPr>
          <w:rFonts w:asciiTheme="minorHAnsi" w:hAnsiTheme="minorHAnsi"/>
          <w:szCs w:val="20"/>
        </w:rPr>
        <w:t xml:space="preserve">At the hearing, the Commission received testimony from the families of </w:t>
      </w:r>
      <w:proofErr w:type="spellStart"/>
      <w:r w:rsidR="00F305E0" w:rsidRPr="00D920C9">
        <w:rPr>
          <w:rFonts w:asciiTheme="minorHAnsi" w:hAnsiTheme="minorHAnsi"/>
          <w:szCs w:val="20"/>
        </w:rPr>
        <w:t>Dontré</w:t>
      </w:r>
      <w:proofErr w:type="spellEnd"/>
      <w:r w:rsidR="00F305E0" w:rsidRPr="00D920C9">
        <w:rPr>
          <w:rFonts w:asciiTheme="minorHAnsi" w:hAnsiTheme="minorHAnsi"/>
          <w:szCs w:val="20"/>
        </w:rPr>
        <w:t xml:space="preserve"> Hamilton, a mentally ill African</w:t>
      </w:r>
      <w:r w:rsidR="0030356C" w:rsidRPr="00D920C9">
        <w:rPr>
          <w:rFonts w:asciiTheme="minorHAnsi" w:hAnsiTheme="minorHAnsi"/>
          <w:szCs w:val="20"/>
        </w:rPr>
        <w:t xml:space="preserve"> </w:t>
      </w:r>
      <w:r w:rsidR="00F305E0" w:rsidRPr="00D920C9">
        <w:rPr>
          <w:rFonts w:asciiTheme="minorHAnsi" w:hAnsiTheme="minorHAnsi"/>
          <w:szCs w:val="20"/>
        </w:rPr>
        <w:t xml:space="preserve">American man killed by police in Milwaukee, </w:t>
      </w:r>
      <w:r w:rsidR="00F305E0" w:rsidRPr="00D920C9">
        <w:rPr>
          <w:rFonts w:asciiTheme="minorHAnsi" w:hAnsiTheme="minorHAnsi"/>
          <w:szCs w:val="20"/>
        </w:rPr>
        <w:lastRenderedPageBreak/>
        <w:t xml:space="preserve">Wisconsin, and Luis </w:t>
      </w:r>
      <w:proofErr w:type="spellStart"/>
      <w:r w:rsidR="00F305E0" w:rsidRPr="00D920C9">
        <w:rPr>
          <w:rFonts w:asciiTheme="minorHAnsi" w:hAnsiTheme="minorHAnsi"/>
          <w:szCs w:val="20"/>
        </w:rPr>
        <w:t>Góngora</w:t>
      </w:r>
      <w:proofErr w:type="spellEnd"/>
      <w:r w:rsidR="00F305E0" w:rsidRPr="00D920C9">
        <w:rPr>
          <w:rFonts w:asciiTheme="minorHAnsi" w:hAnsiTheme="minorHAnsi"/>
          <w:szCs w:val="20"/>
        </w:rPr>
        <w:t xml:space="preserve"> Pat, an indigenous (Maya) Mexican migrant worker experiencing homelessness killed by police in San Francisco, California, as well as from the journalist Shaun King</w:t>
      </w:r>
      <w:r w:rsidR="00B81523" w:rsidRPr="00D920C9">
        <w:rPr>
          <w:rFonts w:asciiTheme="minorHAnsi" w:hAnsiTheme="minorHAnsi"/>
          <w:szCs w:val="20"/>
        </w:rPr>
        <w:t>,</w:t>
      </w:r>
      <w:r w:rsidR="00F305E0" w:rsidRPr="00D920C9">
        <w:rPr>
          <w:rFonts w:asciiTheme="minorHAnsi" w:hAnsiTheme="minorHAnsi"/>
          <w:szCs w:val="20"/>
        </w:rPr>
        <w:t xml:space="preserve"> about the problem of police killings. </w:t>
      </w:r>
    </w:p>
    <w:p w14:paraId="77110CCE" w14:textId="75937D81" w:rsidR="003A6467" w:rsidRPr="00D920C9" w:rsidRDefault="003A6467" w:rsidP="0004388D">
      <w:pPr>
        <w:pStyle w:val="Heading3"/>
        <w:ind w:left="547" w:hanging="547"/>
      </w:pPr>
      <w:bookmarkStart w:id="15" w:name="_Toc511837801"/>
      <w:bookmarkStart w:id="16" w:name="_Toc511902974"/>
      <w:bookmarkStart w:id="17" w:name="_Toc517687904"/>
      <w:r w:rsidRPr="00D920C9">
        <w:t>On-</w:t>
      </w:r>
      <w:r w:rsidR="00B2330B" w:rsidRPr="00D920C9">
        <w:t>S</w:t>
      </w:r>
      <w:r w:rsidRPr="00D920C9">
        <w:t xml:space="preserve">ite </w:t>
      </w:r>
      <w:r w:rsidR="00D86045" w:rsidRPr="00D920C9">
        <w:t>Visit</w:t>
      </w:r>
      <w:bookmarkEnd w:id="15"/>
      <w:bookmarkEnd w:id="16"/>
      <w:bookmarkEnd w:id="17"/>
      <w:r w:rsidR="00D86045" w:rsidRPr="00D920C9">
        <w:t xml:space="preserve"> </w:t>
      </w:r>
    </w:p>
    <w:p w14:paraId="64253B43" w14:textId="2C17A15B" w:rsidR="003A6467" w:rsidRPr="00D920C9" w:rsidRDefault="003A6467"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The Inter-American Commission conducted a visit to the United States from September 21-25, 2015, to receive information on racial discrimination</w:t>
      </w:r>
      <w:r w:rsidR="00942B78" w:rsidRPr="00D920C9">
        <w:rPr>
          <w:rFonts w:asciiTheme="minorHAnsi" w:hAnsiTheme="minorHAnsi"/>
          <w:szCs w:val="20"/>
        </w:rPr>
        <w:t xml:space="preserve">, policing in the </w:t>
      </w:r>
      <w:r w:rsidR="00684DFD" w:rsidRPr="00D920C9">
        <w:rPr>
          <w:rFonts w:asciiTheme="minorHAnsi" w:hAnsiTheme="minorHAnsi"/>
          <w:szCs w:val="20"/>
        </w:rPr>
        <w:t>U.S.</w:t>
      </w:r>
      <w:r w:rsidR="00942B78" w:rsidRPr="00D920C9">
        <w:rPr>
          <w:rFonts w:asciiTheme="minorHAnsi" w:hAnsiTheme="minorHAnsi"/>
          <w:szCs w:val="20"/>
        </w:rPr>
        <w:t>,</w:t>
      </w:r>
      <w:r w:rsidRPr="00D920C9">
        <w:rPr>
          <w:rFonts w:asciiTheme="minorHAnsi" w:hAnsiTheme="minorHAnsi"/>
          <w:szCs w:val="20"/>
        </w:rPr>
        <w:t xml:space="preserve"> and</w:t>
      </w:r>
      <w:r w:rsidR="00942B78" w:rsidRPr="00D920C9">
        <w:rPr>
          <w:rFonts w:asciiTheme="minorHAnsi" w:hAnsiTheme="minorHAnsi"/>
          <w:szCs w:val="20"/>
        </w:rPr>
        <w:t xml:space="preserve"> human rights issues related to</w:t>
      </w:r>
      <w:r w:rsidRPr="00D920C9">
        <w:rPr>
          <w:rFonts w:asciiTheme="minorHAnsi" w:hAnsiTheme="minorHAnsi"/>
          <w:szCs w:val="20"/>
        </w:rPr>
        <w:t xml:space="preserve"> poverty.</w:t>
      </w:r>
      <w:r w:rsidRPr="00D920C9">
        <w:rPr>
          <w:rFonts w:asciiTheme="minorHAnsi" w:hAnsiTheme="minorHAnsi"/>
          <w:vertAlign w:val="superscript"/>
        </w:rPr>
        <w:footnoteReference w:id="9"/>
      </w:r>
      <w:r w:rsidRPr="00D920C9">
        <w:rPr>
          <w:rFonts w:asciiTheme="minorHAnsi" w:hAnsiTheme="minorHAnsi"/>
          <w:szCs w:val="20"/>
        </w:rPr>
        <w:t xml:space="preserve"> </w:t>
      </w:r>
      <w:r w:rsidR="00684DFD" w:rsidRPr="00D920C9">
        <w:rPr>
          <w:rFonts w:asciiTheme="minorHAnsi" w:hAnsiTheme="minorHAnsi"/>
          <w:szCs w:val="20"/>
        </w:rPr>
        <w:t>T</w:t>
      </w:r>
      <w:r w:rsidRPr="00D920C9">
        <w:rPr>
          <w:rFonts w:asciiTheme="minorHAnsi" w:hAnsiTheme="minorHAnsi"/>
          <w:szCs w:val="20"/>
        </w:rPr>
        <w:t xml:space="preserve">he Commission </w:t>
      </w:r>
      <w:r w:rsidR="000B66CF" w:rsidRPr="00D920C9">
        <w:rPr>
          <w:rFonts w:asciiTheme="minorHAnsi" w:hAnsiTheme="minorHAnsi"/>
          <w:szCs w:val="20"/>
        </w:rPr>
        <w:t>traveled to the</w:t>
      </w:r>
      <w:r w:rsidRPr="00D920C9">
        <w:rPr>
          <w:rFonts w:asciiTheme="minorHAnsi" w:hAnsiTheme="minorHAnsi"/>
          <w:szCs w:val="20"/>
        </w:rPr>
        <w:t xml:space="preserve"> cities of Ferguson and St. Louis, Missouri; New Orleans, Louisiana; and Sanford, Orlando, and Miami, Florida. </w:t>
      </w:r>
      <w:r w:rsidR="000B66CF" w:rsidRPr="00D920C9">
        <w:rPr>
          <w:rFonts w:asciiTheme="minorHAnsi" w:hAnsiTheme="minorHAnsi"/>
          <w:szCs w:val="20"/>
        </w:rPr>
        <w:t xml:space="preserve"> The visit was led by </w:t>
      </w:r>
      <w:r w:rsidR="00CF7CFF" w:rsidRPr="00D920C9">
        <w:rPr>
          <w:rFonts w:asciiTheme="minorHAnsi" w:hAnsiTheme="minorHAnsi"/>
          <w:szCs w:val="20"/>
        </w:rPr>
        <w:t xml:space="preserve">former Commissioner </w:t>
      </w:r>
      <w:r w:rsidR="00942B78" w:rsidRPr="00D920C9">
        <w:rPr>
          <w:rFonts w:asciiTheme="minorHAnsi" w:hAnsiTheme="minorHAnsi"/>
          <w:szCs w:val="20"/>
        </w:rPr>
        <w:t>Rose Marie Belle-Antoine</w:t>
      </w:r>
      <w:r w:rsidR="00653290" w:rsidRPr="00D920C9">
        <w:rPr>
          <w:rFonts w:asciiTheme="minorHAnsi" w:hAnsiTheme="minorHAnsi"/>
          <w:szCs w:val="20"/>
        </w:rPr>
        <w:t xml:space="preserve">, </w:t>
      </w:r>
      <w:r w:rsidR="001C39D2" w:rsidRPr="00D920C9">
        <w:rPr>
          <w:rFonts w:asciiTheme="minorHAnsi" w:hAnsiTheme="minorHAnsi"/>
          <w:szCs w:val="20"/>
        </w:rPr>
        <w:t xml:space="preserve">consultant Nicole Lee, </w:t>
      </w:r>
      <w:r w:rsidR="00653290" w:rsidRPr="00D920C9">
        <w:rPr>
          <w:rFonts w:asciiTheme="minorHAnsi" w:hAnsiTheme="minorHAnsi"/>
          <w:szCs w:val="20"/>
        </w:rPr>
        <w:t xml:space="preserve">and </w:t>
      </w:r>
      <w:r w:rsidR="00942B78" w:rsidRPr="00D920C9">
        <w:rPr>
          <w:rFonts w:asciiTheme="minorHAnsi" w:hAnsiTheme="minorHAnsi"/>
          <w:szCs w:val="20"/>
        </w:rPr>
        <w:t>staff</w:t>
      </w:r>
      <w:r w:rsidR="00653290" w:rsidRPr="00D920C9">
        <w:rPr>
          <w:rFonts w:asciiTheme="minorHAnsi" w:hAnsiTheme="minorHAnsi"/>
          <w:szCs w:val="20"/>
        </w:rPr>
        <w:t xml:space="preserve"> </w:t>
      </w:r>
      <w:r w:rsidR="00942B78" w:rsidRPr="00D920C9">
        <w:rPr>
          <w:rFonts w:asciiTheme="minorHAnsi" w:hAnsiTheme="minorHAnsi"/>
          <w:szCs w:val="20"/>
        </w:rPr>
        <w:t xml:space="preserve">from the Executive Secretariat. </w:t>
      </w:r>
    </w:p>
    <w:p w14:paraId="035F6012" w14:textId="77777777" w:rsidR="003A6467" w:rsidRPr="00D920C9" w:rsidRDefault="003A6467"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On September 21, 2015, the Commission held meetings in Miami, Florida with Mayor Tomas Regalado, Chief of Police Rodolfo </w:t>
      </w:r>
      <w:proofErr w:type="spellStart"/>
      <w:r w:rsidRPr="00D920C9">
        <w:rPr>
          <w:rFonts w:asciiTheme="minorHAnsi" w:hAnsiTheme="minorHAnsi"/>
          <w:szCs w:val="20"/>
        </w:rPr>
        <w:t>Llanes</w:t>
      </w:r>
      <w:proofErr w:type="spellEnd"/>
      <w:r w:rsidRPr="00D920C9">
        <w:rPr>
          <w:rFonts w:asciiTheme="minorHAnsi" w:hAnsiTheme="minorHAnsi"/>
          <w:szCs w:val="20"/>
        </w:rPr>
        <w:t xml:space="preserve"> and several high-level police</w:t>
      </w:r>
      <w:r w:rsidR="00CF7CFF" w:rsidRPr="00D920C9">
        <w:rPr>
          <w:rFonts w:asciiTheme="minorHAnsi" w:hAnsiTheme="minorHAnsi"/>
          <w:szCs w:val="20"/>
        </w:rPr>
        <w:t xml:space="preserve"> officers</w:t>
      </w:r>
      <w:r w:rsidRPr="00D920C9">
        <w:rPr>
          <w:rFonts w:asciiTheme="minorHAnsi" w:hAnsiTheme="minorHAnsi"/>
          <w:szCs w:val="20"/>
        </w:rPr>
        <w:t>, and Carlos Martinez, Public Defender for Miami-Dade County. The Commission also held a general forum with civil society organizations, activists, victims</w:t>
      </w:r>
      <w:r w:rsidR="00B81523" w:rsidRPr="00D920C9">
        <w:rPr>
          <w:rFonts w:asciiTheme="minorHAnsi" w:hAnsiTheme="minorHAnsi"/>
          <w:szCs w:val="20"/>
        </w:rPr>
        <w:t xml:space="preserve"> of police violence</w:t>
      </w:r>
      <w:r w:rsidRPr="00D920C9">
        <w:rPr>
          <w:rFonts w:asciiTheme="minorHAnsi" w:hAnsiTheme="minorHAnsi"/>
          <w:szCs w:val="20"/>
        </w:rPr>
        <w:t xml:space="preserve">, and their family members at the St. </w:t>
      </w:r>
      <w:r w:rsidR="00CF7CFF" w:rsidRPr="00D920C9">
        <w:rPr>
          <w:rFonts w:asciiTheme="minorHAnsi" w:hAnsiTheme="minorHAnsi"/>
          <w:szCs w:val="20"/>
        </w:rPr>
        <w:t>Thomas University School of Law</w:t>
      </w:r>
      <w:r w:rsidR="00A528DB" w:rsidRPr="00D920C9">
        <w:rPr>
          <w:rFonts w:asciiTheme="minorHAnsi" w:hAnsiTheme="minorHAnsi"/>
          <w:szCs w:val="20"/>
        </w:rPr>
        <w:t>.</w:t>
      </w:r>
      <w:r w:rsidRPr="00D920C9">
        <w:rPr>
          <w:rFonts w:asciiTheme="minorHAnsi" w:hAnsiTheme="minorHAnsi"/>
          <w:szCs w:val="20"/>
        </w:rPr>
        <w:t xml:space="preserve"> </w:t>
      </w:r>
    </w:p>
    <w:p w14:paraId="7CF54723" w14:textId="77777777" w:rsidR="003A6467" w:rsidRPr="00D920C9" w:rsidRDefault="003A6467"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On September 22, the Commission traveled to the City of Orlando where it held meetings with Chief of Police John Mina, Chief Administrative Officer Byron Brooks, and Lieutenant Vincent </w:t>
      </w:r>
      <w:proofErr w:type="spellStart"/>
      <w:r w:rsidRPr="00D920C9">
        <w:rPr>
          <w:rFonts w:asciiTheme="minorHAnsi" w:hAnsiTheme="minorHAnsi"/>
          <w:szCs w:val="20"/>
        </w:rPr>
        <w:t>Ogburn</w:t>
      </w:r>
      <w:proofErr w:type="spellEnd"/>
      <w:r w:rsidRPr="00D920C9">
        <w:rPr>
          <w:rFonts w:asciiTheme="minorHAnsi" w:hAnsiTheme="minorHAnsi"/>
          <w:szCs w:val="20"/>
        </w:rPr>
        <w:t xml:space="preserve">. The Commission also held a general forum with civil society organizations, activists, victims, and academics in Florida A&amp;M College of Law. The delegation also traveled that day to the City of Sanford and met with Mayor Jeff Triplett, Chief of Police Cecil Smith, Senior Project Manager Andrew Thomas, and Norton N. Bonaparte Jr., Sanford City Manager. </w:t>
      </w:r>
      <w:r w:rsidR="00CF7CFF" w:rsidRPr="00D920C9">
        <w:rPr>
          <w:rFonts w:asciiTheme="minorHAnsi" w:hAnsiTheme="minorHAnsi"/>
          <w:szCs w:val="20"/>
        </w:rPr>
        <w:t>T</w:t>
      </w:r>
      <w:r w:rsidRPr="00D920C9">
        <w:rPr>
          <w:rFonts w:asciiTheme="minorHAnsi" w:hAnsiTheme="minorHAnsi"/>
          <w:szCs w:val="20"/>
        </w:rPr>
        <w:t xml:space="preserve">he delegation was informed by </w:t>
      </w:r>
      <w:r w:rsidR="00CF7CFF" w:rsidRPr="00D920C9">
        <w:rPr>
          <w:rFonts w:asciiTheme="minorHAnsi" w:hAnsiTheme="minorHAnsi"/>
          <w:szCs w:val="20"/>
        </w:rPr>
        <w:t xml:space="preserve">Sanford </w:t>
      </w:r>
      <w:r w:rsidRPr="00D920C9">
        <w:rPr>
          <w:rFonts w:asciiTheme="minorHAnsi" w:hAnsiTheme="minorHAnsi"/>
          <w:szCs w:val="20"/>
        </w:rPr>
        <w:t xml:space="preserve">public officials about steps taken to respond to the aftermath of the death of Trayvon Martin on February 26, 2012, and the acquittal of George Zimmerman. </w:t>
      </w:r>
    </w:p>
    <w:p w14:paraId="68B6F72F" w14:textId="4BE1A815" w:rsidR="003A6467" w:rsidRPr="00D920C9" w:rsidRDefault="003A6467"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On September 23, the delegation met with several officials in the City of New Orleans, including Ursula Price </w:t>
      </w:r>
      <w:r w:rsidR="00CF7CFF" w:rsidRPr="00D920C9">
        <w:rPr>
          <w:rFonts w:asciiTheme="minorHAnsi" w:hAnsiTheme="minorHAnsi"/>
          <w:szCs w:val="20"/>
        </w:rPr>
        <w:t>of</w:t>
      </w:r>
      <w:r w:rsidRPr="00D920C9">
        <w:rPr>
          <w:rFonts w:asciiTheme="minorHAnsi" w:hAnsiTheme="minorHAnsi"/>
          <w:szCs w:val="20"/>
        </w:rPr>
        <w:t xml:space="preserve"> the Office of the Inspector General; Daniel </w:t>
      </w:r>
      <w:proofErr w:type="spellStart"/>
      <w:r w:rsidRPr="00D920C9">
        <w:rPr>
          <w:rFonts w:asciiTheme="minorHAnsi" w:hAnsiTheme="minorHAnsi"/>
          <w:szCs w:val="20"/>
        </w:rPr>
        <w:t>Cazevana</w:t>
      </w:r>
      <w:proofErr w:type="spellEnd"/>
      <w:r w:rsidRPr="00D920C9">
        <w:rPr>
          <w:rFonts w:asciiTheme="minorHAnsi" w:hAnsiTheme="minorHAnsi"/>
          <w:szCs w:val="20"/>
        </w:rPr>
        <w:t xml:space="preserve">, Chief of Staff of the New Orleans Police Department; </w:t>
      </w:r>
      <w:proofErr w:type="spellStart"/>
      <w:r w:rsidRPr="00D920C9">
        <w:rPr>
          <w:rFonts w:asciiTheme="minorHAnsi" w:hAnsiTheme="minorHAnsi"/>
          <w:szCs w:val="20"/>
        </w:rPr>
        <w:t>Arlinda</w:t>
      </w:r>
      <w:proofErr w:type="spellEnd"/>
      <w:r w:rsidRPr="00D920C9">
        <w:rPr>
          <w:rFonts w:asciiTheme="minorHAnsi" w:hAnsiTheme="minorHAnsi"/>
          <w:szCs w:val="20"/>
        </w:rPr>
        <w:t xml:space="preserve"> Westbrook, Deputy Chief of the Public Integrity Bureau; Zach Butterworth, Director of Federal Relations from the Office of Ma</w:t>
      </w:r>
      <w:r w:rsidR="00653290" w:rsidRPr="00D920C9">
        <w:rPr>
          <w:rFonts w:asciiTheme="minorHAnsi" w:hAnsiTheme="minorHAnsi"/>
          <w:szCs w:val="20"/>
        </w:rPr>
        <w:t>yor</w:t>
      </w:r>
      <w:r w:rsidRPr="00D920C9">
        <w:rPr>
          <w:rFonts w:asciiTheme="minorHAnsi" w:hAnsiTheme="minorHAnsi"/>
          <w:szCs w:val="20"/>
        </w:rPr>
        <w:t xml:space="preserve"> Mitchell J. Landrieu; </w:t>
      </w:r>
      <w:proofErr w:type="spellStart"/>
      <w:r w:rsidRPr="00D920C9">
        <w:rPr>
          <w:rFonts w:asciiTheme="minorHAnsi" w:hAnsiTheme="minorHAnsi"/>
          <w:szCs w:val="20"/>
        </w:rPr>
        <w:t>Sharonda</w:t>
      </w:r>
      <w:proofErr w:type="spellEnd"/>
      <w:r w:rsidRPr="00D920C9">
        <w:rPr>
          <w:rFonts w:asciiTheme="minorHAnsi" w:hAnsiTheme="minorHAnsi"/>
          <w:szCs w:val="20"/>
        </w:rPr>
        <w:t xml:space="preserve"> Williams, City Attorney; and </w:t>
      </w:r>
      <w:proofErr w:type="spellStart"/>
      <w:r w:rsidRPr="00D920C9">
        <w:rPr>
          <w:rFonts w:asciiTheme="minorHAnsi" w:hAnsiTheme="minorHAnsi"/>
          <w:szCs w:val="20"/>
        </w:rPr>
        <w:t>Suchitra</w:t>
      </w:r>
      <w:proofErr w:type="spellEnd"/>
      <w:r w:rsidRPr="00D920C9">
        <w:rPr>
          <w:rFonts w:asciiTheme="minorHAnsi" w:hAnsiTheme="minorHAnsi"/>
          <w:szCs w:val="20"/>
        </w:rPr>
        <w:t xml:space="preserve"> </w:t>
      </w:r>
      <w:proofErr w:type="spellStart"/>
      <w:r w:rsidRPr="00D920C9">
        <w:rPr>
          <w:rFonts w:asciiTheme="minorHAnsi" w:hAnsiTheme="minorHAnsi"/>
          <w:szCs w:val="20"/>
        </w:rPr>
        <w:lastRenderedPageBreak/>
        <w:t>Satpahi</w:t>
      </w:r>
      <w:proofErr w:type="spellEnd"/>
      <w:r w:rsidRPr="00D920C9">
        <w:rPr>
          <w:rFonts w:asciiTheme="minorHAnsi" w:hAnsiTheme="minorHAnsi"/>
          <w:szCs w:val="20"/>
        </w:rPr>
        <w:t xml:space="preserve">, Director of State and International Relations. The Commission also met with victims and civil society organizations at the Gillis Long Poverty Law Center at </w:t>
      </w:r>
      <w:r w:rsidR="00B81523" w:rsidRPr="00D920C9">
        <w:rPr>
          <w:rFonts w:asciiTheme="minorHAnsi" w:hAnsiTheme="minorHAnsi"/>
          <w:szCs w:val="20"/>
        </w:rPr>
        <w:t>Loyola</w:t>
      </w:r>
      <w:r w:rsidRPr="00D920C9">
        <w:rPr>
          <w:rFonts w:asciiTheme="minorHAnsi" w:hAnsiTheme="minorHAnsi"/>
          <w:szCs w:val="20"/>
        </w:rPr>
        <w:t xml:space="preserve"> University</w:t>
      </w:r>
      <w:r w:rsidR="00B81523" w:rsidRPr="00D920C9">
        <w:rPr>
          <w:rFonts w:asciiTheme="minorHAnsi" w:hAnsiTheme="minorHAnsi"/>
          <w:szCs w:val="20"/>
        </w:rPr>
        <w:t xml:space="preserve"> New Orleans College of Law</w:t>
      </w:r>
      <w:r w:rsidRPr="00D920C9">
        <w:rPr>
          <w:rFonts w:asciiTheme="minorHAnsi" w:hAnsiTheme="minorHAnsi"/>
          <w:szCs w:val="20"/>
        </w:rPr>
        <w:t xml:space="preserve">. </w:t>
      </w:r>
    </w:p>
    <w:p w14:paraId="4E35AE73" w14:textId="77777777" w:rsidR="003A6467" w:rsidRPr="00D920C9" w:rsidRDefault="003A6467"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On September 24-25, the delegation visited Ferguson and St. Louis, Missouri. Before its visit, as its consistent practice, the Commission requested meetings with several government authorities in Ferguson including Mayor James Knowles III; the Ferguson City Council; Chief of Police John Belmar; and Prosecutor Robert McCullough. Regrettably, these meetings were not granted. The delegation did meet with several of the members of the Ferguson Commission, an independent committee created by Executive Order to study underlying social and economic causes underscored by the unrest in the wake of the death of Michael Brown, including Reverend </w:t>
      </w:r>
      <w:proofErr w:type="spellStart"/>
      <w:r w:rsidRPr="00D920C9">
        <w:rPr>
          <w:rFonts w:asciiTheme="minorHAnsi" w:hAnsiTheme="minorHAnsi"/>
          <w:szCs w:val="20"/>
        </w:rPr>
        <w:t>Starky</w:t>
      </w:r>
      <w:proofErr w:type="spellEnd"/>
      <w:r w:rsidRPr="00D920C9">
        <w:rPr>
          <w:rFonts w:asciiTheme="minorHAnsi" w:hAnsiTheme="minorHAnsi"/>
          <w:szCs w:val="20"/>
        </w:rPr>
        <w:t xml:space="preserve"> Wilson, Co-Chair, Felicia </w:t>
      </w:r>
      <w:proofErr w:type="spellStart"/>
      <w:r w:rsidRPr="00D920C9">
        <w:rPr>
          <w:rFonts w:asciiTheme="minorHAnsi" w:hAnsiTheme="minorHAnsi"/>
          <w:szCs w:val="20"/>
        </w:rPr>
        <w:t>Puliam</w:t>
      </w:r>
      <w:proofErr w:type="spellEnd"/>
      <w:r w:rsidRPr="00D920C9">
        <w:rPr>
          <w:rFonts w:asciiTheme="minorHAnsi" w:hAnsiTheme="minorHAnsi"/>
          <w:szCs w:val="20"/>
        </w:rPr>
        <w:t xml:space="preserve"> and Brittany Packnett; Senator Maria Nicole Chappelle-Nadal; and Professors Brendan </w:t>
      </w:r>
      <w:proofErr w:type="spellStart"/>
      <w:r w:rsidRPr="00D920C9">
        <w:rPr>
          <w:rFonts w:asciiTheme="minorHAnsi" w:hAnsiTheme="minorHAnsi"/>
          <w:szCs w:val="20"/>
        </w:rPr>
        <w:t>Roediger</w:t>
      </w:r>
      <w:proofErr w:type="spellEnd"/>
      <w:r w:rsidRPr="00D920C9">
        <w:rPr>
          <w:rFonts w:asciiTheme="minorHAnsi" w:hAnsiTheme="minorHAnsi"/>
          <w:szCs w:val="20"/>
        </w:rPr>
        <w:t xml:space="preserve">, Roger Goldman, and Anders Walker. The Commission also held a general forum and individual meetings with civil society organizations, activists, students, and </w:t>
      </w:r>
      <w:r w:rsidR="00CF7CFF" w:rsidRPr="00D920C9">
        <w:rPr>
          <w:rFonts w:asciiTheme="minorHAnsi" w:hAnsiTheme="minorHAnsi"/>
          <w:szCs w:val="20"/>
        </w:rPr>
        <w:t>academics</w:t>
      </w:r>
      <w:r w:rsidRPr="00D920C9">
        <w:rPr>
          <w:rFonts w:asciiTheme="minorHAnsi" w:hAnsiTheme="minorHAnsi"/>
          <w:szCs w:val="20"/>
        </w:rPr>
        <w:t xml:space="preserve"> at St. Louis University School of Law. </w:t>
      </w:r>
      <w:r w:rsidR="00CF7CFF" w:rsidRPr="00D920C9">
        <w:rPr>
          <w:rFonts w:asciiTheme="minorHAnsi" w:hAnsiTheme="minorHAnsi"/>
          <w:szCs w:val="20"/>
        </w:rPr>
        <w:t>T</w:t>
      </w:r>
      <w:r w:rsidRPr="00D920C9">
        <w:rPr>
          <w:rFonts w:asciiTheme="minorHAnsi" w:hAnsiTheme="minorHAnsi"/>
          <w:szCs w:val="20"/>
        </w:rPr>
        <w:t>he delegation</w:t>
      </w:r>
      <w:r w:rsidR="00CF7CFF" w:rsidRPr="00D920C9">
        <w:rPr>
          <w:rFonts w:asciiTheme="minorHAnsi" w:hAnsiTheme="minorHAnsi"/>
          <w:szCs w:val="20"/>
        </w:rPr>
        <w:t xml:space="preserve"> also</w:t>
      </w:r>
      <w:r w:rsidRPr="00D920C9">
        <w:rPr>
          <w:rFonts w:asciiTheme="minorHAnsi" w:hAnsiTheme="minorHAnsi"/>
          <w:szCs w:val="20"/>
        </w:rPr>
        <w:t xml:space="preserve"> visited the memorial created </w:t>
      </w:r>
      <w:r w:rsidR="00BC2D83" w:rsidRPr="00D920C9">
        <w:rPr>
          <w:rFonts w:asciiTheme="minorHAnsi" w:hAnsiTheme="minorHAnsi"/>
          <w:szCs w:val="20"/>
        </w:rPr>
        <w:t>for</w:t>
      </w:r>
      <w:r w:rsidRPr="00D920C9">
        <w:rPr>
          <w:rFonts w:asciiTheme="minorHAnsi" w:hAnsiTheme="minorHAnsi"/>
          <w:szCs w:val="20"/>
        </w:rPr>
        <w:t xml:space="preserve"> Michael Brown in Canfield, Ferguson.</w:t>
      </w:r>
      <w:r w:rsidRPr="00D920C9">
        <w:rPr>
          <w:rFonts w:asciiTheme="minorHAnsi" w:hAnsiTheme="minorHAnsi"/>
          <w:sz w:val="28"/>
          <w:szCs w:val="24"/>
        </w:rPr>
        <w:t xml:space="preserve"> </w:t>
      </w:r>
    </w:p>
    <w:p w14:paraId="47F11C64" w14:textId="77777777" w:rsidR="008F2BF7" w:rsidRPr="00D920C9" w:rsidRDefault="008F2BF7" w:rsidP="0004388D">
      <w:pPr>
        <w:pStyle w:val="Heading3"/>
        <w:ind w:left="547" w:hanging="547"/>
      </w:pPr>
      <w:bookmarkStart w:id="18" w:name="_Toc511837802"/>
      <w:bookmarkStart w:id="19" w:name="_Toc511902975"/>
      <w:bookmarkStart w:id="20" w:name="_Toc517687905"/>
      <w:r w:rsidRPr="00D920C9">
        <w:t xml:space="preserve">Press </w:t>
      </w:r>
      <w:r w:rsidR="00D86045" w:rsidRPr="00D920C9">
        <w:t>Releases</w:t>
      </w:r>
      <w:bookmarkEnd w:id="18"/>
      <w:bookmarkEnd w:id="19"/>
      <w:bookmarkEnd w:id="20"/>
    </w:p>
    <w:p w14:paraId="07DAF296" w14:textId="77777777" w:rsidR="00EF6ABA" w:rsidRPr="00D920C9" w:rsidRDefault="00F579F7"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The Commission has </w:t>
      </w:r>
      <w:r w:rsidR="00EF6ABA" w:rsidRPr="00D920C9">
        <w:rPr>
          <w:rFonts w:asciiTheme="minorHAnsi" w:hAnsiTheme="minorHAnsi"/>
          <w:szCs w:val="20"/>
        </w:rPr>
        <w:t>consistently monitored and</w:t>
      </w:r>
      <w:r w:rsidRPr="00D920C9">
        <w:rPr>
          <w:rFonts w:asciiTheme="minorHAnsi" w:hAnsiTheme="minorHAnsi"/>
          <w:szCs w:val="20"/>
        </w:rPr>
        <w:t xml:space="preserve"> highlighted concerns related to </w:t>
      </w:r>
      <w:r w:rsidR="00EF6ABA" w:rsidRPr="00D920C9">
        <w:rPr>
          <w:rFonts w:asciiTheme="minorHAnsi" w:hAnsiTheme="minorHAnsi"/>
          <w:szCs w:val="20"/>
        </w:rPr>
        <w:t xml:space="preserve">the situation of </w:t>
      </w:r>
      <w:r w:rsidR="00B81523" w:rsidRPr="00D920C9">
        <w:rPr>
          <w:rFonts w:asciiTheme="minorHAnsi" w:hAnsiTheme="minorHAnsi"/>
          <w:szCs w:val="20"/>
        </w:rPr>
        <w:t xml:space="preserve">discrimination against </w:t>
      </w:r>
      <w:r w:rsidR="00EF6ABA" w:rsidRPr="00D920C9">
        <w:rPr>
          <w:rFonts w:asciiTheme="minorHAnsi" w:hAnsiTheme="minorHAnsi"/>
          <w:szCs w:val="20"/>
        </w:rPr>
        <w:t>African Americans in the</w:t>
      </w:r>
      <w:r w:rsidRPr="00D920C9">
        <w:rPr>
          <w:rFonts w:asciiTheme="minorHAnsi" w:hAnsiTheme="minorHAnsi"/>
          <w:szCs w:val="20"/>
        </w:rPr>
        <w:t xml:space="preserve"> United States in press releases </w:t>
      </w:r>
      <w:r w:rsidR="00684DFD" w:rsidRPr="00D920C9">
        <w:rPr>
          <w:rFonts w:asciiTheme="minorHAnsi" w:hAnsiTheme="minorHAnsi"/>
          <w:szCs w:val="20"/>
        </w:rPr>
        <w:t>from</w:t>
      </w:r>
      <w:r w:rsidRPr="00D920C9">
        <w:rPr>
          <w:rFonts w:asciiTheme="minorHAnsi" w:hAnsiTheme="minorHAnsi"/>
          <w:szCs w:val="20"/>
        </w:rPr>
        <w:t xml:space="preserve"> 2014 </w:t>
      </w:r>
      <w:r w:rsidR="00684DFD" w:rsidRPr="00D920C9">
        <w:rPr>
          <w:rFonts w:asciiTheme="minorHAnsi" w:hAnsiTheme="minorHAnsi"/>
          <w:szCs w:val="20"/>
        </w:rPr>
        <w:t>to</w:t>
      </w:r>
      <w:r w:rsidRPr="00D920C9">
        <w:rPr>
          <w:rFonts w:asciiTheme="minorHAnsi" w:hAnsiTheme="minorHAnsi"/>
          <w:szCs w:val="20"/>
        </w:rPr>
        <w:t xml:space="preserve"> the present. </w:t>
      </w:r>
    </w:p>
    <w:p w14:paraId="75991831" w14:textId="77777777" w:rsidR="00F579F7" w:rsidRPr="00D920C9" w:rsidRDefault="00F579F7"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On August 22, 2014, the Commission expressed its concern over separate incidents that led to the deaths of Eric Garner and Michael Brown at the hands of police in New York City and Ferguson, Missouri, respectively. </w:t>
      </w:r>
      <w:r w:rsidR="00EF6ABA" w:rsidRPr="00D920C9">
        <w:rPr>
          <w:rFonts w:asciiTheme="minorHAnsi" w:hAnsiTheme="minorHAnsi"/>
          <w:szCs w:val="20"/>
        </w:rPr>
        <w:t>At that time, the Commission “</w:t>
      </w:r>
      <w:r w:rsidRPr="00D920C9">
        <w:rPr>
          <w:rFonts w:asciiTheme="minorHAnsi" w:hAnsiTheme="minorHAnsi"/>
          <w:szCs w:val="20"/>
        </w:rPr>
        <w:t>consider</w:t>
      </w:r>
      <w:r w:rsidR="00EF6ABA" w:rsidRPr="00D920C9">
        <w:rPr>
          <w:rFonts w:asciiTheme="minorHAnsi" w:hAnsiTheme="minorHAnsi"/>
          <w:szCs w:val="20"/>
        </w:rPr>
        <w:t>[</w:t>
      </w:r>
      <w:proofErr w:type="spellStart"/>
      <w:r w:rsidR="00EF6ABA" w:rsidRPr="00D920C9">
        <w:rPr>
          <w:rFonts w:asciiTheme="minorHAnsi" w:hAnsiTheme="minorHAnsi"/>
          <w:szCs w:val="20"/>
        </w:rPr>
        <w:t>ed</w:t>
      </w:r>
      <w:proofErr w:type="spellEnd"/>
      <w:r w:rsidR="00EF6ABA" w:rsidRPr="00D920C9">
        <w:rPr>
          <w:rFonts w:asciiTheme="minorHAnsi" w:hAnsiTheme="minorHAnsi"/>
          <w:szCs w:val="20"/>
        </w:rPr>
        <w:t>]</w:t>
      </w:r>
      <w:r w:rsidRPr="00D920C9">
        <w:rPr>
          <w:rFonts w:asciiTheme="minorHAnsi" w:hAnsiTheme="minorHAnsi"/>
          <w:szCs w:val="20"/>
        </w:rPr>
        <w:t xml:space="preserve"> that the killings of Garner and Brown represent the continuation of a disturbing pattern of excessive force on the part of police officers towards African</w:t>
      </w:r>
      <w:r w:rsidR="0030356C" w:rsidRPr="00D920C9">
        <w:rPr>
          <w:rFonts w:asciiTheme="minorHAnsi" w:hAnsiTheme="minorHAnsi"/>
          <w:szCs w:val="20"/>
        </w:rPr>
        <w:t xml:space="preserve"> </w:t>
      </w:r>
      <w:r w:rsidRPr="00D920C9">
        <w:rPr>
          <w:rFonts w:asciiTheme="minorHAnsi" w:hAnsiTheme="minorHAnsi"/>
          <w:szCs w:val="20"/>
        </w:rPr>
        <w:t>Americans and other persons of color</w:t>
      </w:r>
      <w:r w:rsidR="00EF6ABA" w:rsidRPr="00D920C9">
        <w:rPr>
          <w:rFonts w:asciiTheme="minorHAnsi" w:hAnsiTheme="minorHAnsi"/>
          <w:szCs w:val="20"/>
        </w:rPr>
        <w:t>,”</w:t>
      </w:r>
      <w:r w:rsidRPr="00D920C9">
        <w:rPr>
          <w:rFonts w:asciiTheme="minorHAnsi" w:hAnsiTheme="minorHAnsi"/>
          <w:szCs w:val="20"/>
        </w:rPr>
        <w:t xml:space="preserve"> and </w:t>
      </w:r>
      <w:r w:rsidR="00EF6ABA" w:rsidRPr="00D920C9">
        <w:rPr>
          <w:rFonts w:asciiTheme="minorHAnsi" w:hAnsiTheme="minorHAnsi"/>
          <w:szCs w:val="20"/>
        </w:rPr>
        <w:t>“</w:t>
      </w:r>
      <w:r w:rsidRPr="00D920C9">
        <w:rPr>
          <w:rFonts w:asciiTheme="minorHAnsi" w:hAnsiTheme="minorHAnsi"/>
          <w:szCs w:val="20"/>
        </w:rPr>
        <w:t>urge</w:t>
      </w:r>
      <w:r w:rsidR="00EF6ABA" w:rsidRPr="00D920C9">
        <w:rPr>
          <w:rFonts w:asciiTheme="minorHAnsi" w:hAnsiTheme="minorHAnsi"/>
          <w:szCs w:val="20"/>
        </w:rPr>
        <w:t>[d]</w:t>
      </w:r>
      <w:r w:rsidRPr="00D920C9">
        <w:rPr>
          <w:rFonts w:asciiTheme="minorHAnsi" w:hAnsiTheme="minorHAnsi"/>
          <w:szCs w:val="20"/>
        </w:rPr>
        <w:t xml:space="preserve"> the State to give renewed attention to the possible links between these cases and past cases that demonstrated a pattern of use of excessive force against persons of color.”</w:t>
      </w:r>
      <w:r w:rsidRPr="00D920C9">
        <w:rPr>
          <w:rFonts w:asciiTheme="minorHAnsi" w:hAnsiTheme="minorHAnsi"/>
          <w:vertAlign w:val="superscript"/>
        </w:rPr>
        <w:footnoteReference w:id="10"/>
      </w:r>
    </w:p>
    <w:p w14:paraId="0D41F662" w14:textId="77777777" w:rsidR="00F579F7" w:rsidRPr="00D920C9" w:rsidRDefault="00F579F7"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On March 20, 2015, the Commission called on all OAS Member States to bring an end to racial discrimination in the Americas, highlighting</w:t>
      </w:r>
      <w:r w:rsidR="00B81523" w:rsidRPr="00D920C9">
        <w:rPr>
          <w:rFonts w:asciiTheme="minorHAnsi" w:hAnsiTheme="minorHAnsi"/>
          <w:szCs w:val="20"/>
        </w:rPr>
        <w:t xml:space="preserve"> that</w:t>
      </w:r>
      <w:r w:rsidRPr="00D920C9">
        <w:rPr>
          <w:rFonts w:asciiTheme="minorHAnsi" w:hAnsiTheme="minorHAnsi"/>
          <w:szCs w:val="20"/>
        </w:rPr>
        <w:t xml:space="preserve"> </w:t>
      </w:r>
      <w:r w:rsidRPr="00D920C9">
        <w:rPr>
          <w:rFonts w:asciiTheme="minorHAnsi" w:hAnsiTheme="minorHAnsi"/>
          <w:szCs w:val="20"/>
        </w:rPr>
        <w:lastRenderedPageBreak/>
        <w:t xml:space="preserve">structural discrimination </w:t>
      </w:r>
      <w:r w:rsidR="00600C43" w:rsidRPr="00D920C9">
        <w:rPr>
          <w:rFonts w:asciiTheme="minorHAnsi" w:hAnsiTheme="minorHAnsi"/>
          <w:szCs w:val="20"/>
        </w:rPr>
        <w:t>impacts</w:t>
      </w:r>
      <w:r w:rsidRPr="00D920C9">
        <w:rPr>
          <w:rFonts w:asciiTheme="minorHAnsi" w:hAnsiTheme="minorHAnsi"/>
          <w:szCs w:val="20"/>
        </w:rPr>
        <w:t xml:space="preserve"> the enjoyment of all human rights.</w:t>
      </w:r>
      <w:r w:rsidRPr="00D920C9">
        <w:rPr>
          <w:rFonts w:asciiTheme="minorHAnsi" w:hAnsiTheme="minorHAnsi"/>
          <w:vertAlign w:val="superscript"/>
        </w:rPr>
        <w:footnoteReference w:id="11"/>
      </w:r>
      <w:r w:rsidRPr="00D920C9">
        <w:rPr>
          <w:rFonts w:asciiTheme="minorHAnsi" w:hAnsiTheme="minorHAnsi"/>
          <w:szCs w:val="20"/>
        </w:rPr>
        <w:t xml:space="preserve"> </w:t>
      </w:r>
      <w:r w:rsidR="00600C43" w:rsidRPr="00D920C9">
        <w:rPr>
          <w:rFonts w:asciiTheme="minorHAnsi" w:hAnsiTheme="minorHAnsi"/>
          <w:szCs w:val="20"/>
        </w:rPr>
        <w:t>On March 27, 2015, following its 154th Period of Sessions, the Commission highlighted information from across the region on racism permeating the actions of judicial systems and the use of force by the police, disproportionately impacting young people of African descent.</w:t>
      </w:r>
      <w:r w:rsidR="00600C43" w:rsidRPr="00D920C9">
        <w:rPr>
          <w:rFonts w:asciiTheme="minorHAnsi" w:hAnsiTheme="minorHAnsi"/>
          <w:vertAlign w:val="superscript"/>
        </w:rPr>
        <w:footnoteReference w:id="12"/>
      </w:r>
    </w:p>
    <w:p w14:paraId="3695B457" w14:textId="77777777" w:rsidR="00600C43" w:rsidRPr="00D920C9" w:rsidRDefault="00F579F7"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On April 17, 2015, in </w:t>
      </w:r>
      <w:r w:rsidR="00600C43" w:rsidRPr="00D920C9">
        <w:rPr>
          <w:rFonts w:asciiTheme="minorHAnsi" w:hAnsiTheme="minorHAnsi"/>
          <w:szCs w:val="20"/>
        </w:rPr>
        <w:t>light</w:t>
      </w:r>
      <w:r w:rsidRPr="00D920C9">
        <w:rPr>
          <w:rFonts w:asciiTheme="minorHAnsi" w:hAnsiTheme="minorHAnsi"/>
          <w:szCs w:val="20"/>
        </w:rPr>
        <w:t xml:space="preserve"> of th</w:t>
      </w:r>
      <w:r w:rsidR="00600C43" w:rsidRPr="00D920C9">
        <w:rPr>
          <w:rFonts w:asciiTheme="minorHAnsi" w:hAnsiTheme="minorHAnsi"/>
          <w:szCs w:val="20"/>
        </w:rPr>
        <w:t>e killing of Walter Lamar Scott</w:t>
      </w:r>
      <w:r w:rsidRPr="00D920C9">
        <w:rPr>
          <w:rFonts w:asciiTheme="minorHAnsi" w:hAnsiTheme="minorHAnsi"/>
          <w:szCs w:val="20"/>
        </w:rPr>
        <w:t xml:space="preserve"> at the hands of a police officer in South Carolina, the C</w:t>
      </w:r>
      <w:r w:rsidR="00600C43" w:rsidRPr="00D920C9">
        <w:rPr>
          <w:rFonts w:asciiTheme="minorHAnsi" w:hAnsiTheme="minorHAnsi"/>
          <w:szCs w:val="20"/>
        </w:rPr>
        <w:t>ommission reaffirmed the</w:t>
      </w:r>
      <w:r w:rsidR="00402C78" w:rsidRPr="00D920C9">
        <w:rPr>
          <w:rFonts w:asciiTheme="minorHAnsi" w:hAnsiTheme="minorHAnsi"/>
          <w:szCs w:val="20"/>
        </w:rPr>
        <w:t xml:space="preserve"> </w:t>
      </w:r>
      <w:r w:rsidR="00600C43" w:rsidRPr="00D920C9">
        <w:rPr>
          <w:rFonts w:asciiTheme="minorHAnsi" w:hAnsiTheme="minorHAnsi"/>
          <w:szCs w:val="20"/>
        </w:rPr>
        <w:t>State’s</w:t>
      </w:r>
      <w:r w:rsidRPr="00D920C9">
        <w:rPr>
          <w:rFonts w:asciiTheme="minorHAnsi" w:hAnsiTheme="minorHAnsi"/>
          <w:szCs w:val="20"/>
        </w:rPr>
        <w:t xml:space="preserve"> duty to</w:t>
      </w:r>
      <w:r w:rsidR="00B81523" w:rsidRPr="00D920C9">
        <w:rPr>
          <w:rFonts w:asciiTheme="minorHAnsi" w:hAnsiTheme="minorHAnsi"/>
          <w:szCs w:val="20"/>
        </w:rPr>
        <w:t xml:space="preserve"> fully</w:t>
      </w:r>
      <w:r w:rsidRPr="00D920C9">
        <w:rPr>
          <w:rFonts w:asciiTheme="minorHAnsi" w:hAnsiTheme="minorHAnsi"/>
          <w:szCs w:val="20"/>
        </w:rPr>
        <w:t xml:space="preserve"> investigate </w:t>
      </w:r>
      <w:r w:rsidR="00B81523" w:rsidRPr="00D920C9">
        <w:rPr>
          <w:rFonts w:asciiTheme="minorHAnsi" w:hAnsiTheme="minorHAnsi"/>
          <w:szCs w:val="20"/>
        </w:rPr>
        <w:t xml:space="preserve">this killing </w:t>
      </w:r>
      <w:r w:rsidRPr="00D920C9">
        <w:rPr>
          <w:rFonts w:asciiTheme="minorHAnsi" w:hAnsiTheme="minorHAnsi"/>
          <w:szCs w:val="20"/>
        </w:rPr>
        <w:t>and to adopt coordinated legislative, policy, and institutional measures designed to eliminate racial discrimination, including measures to protect and guarantee the right to non-discrimination.</w:t>
      </w:r>
      <w:r w:rsidRPr="00D920C9">
        <w:rPr>
          <w:rFonts w:asciiTheme="minorHAnsi" w:hAnsiTheme="minorHAnsi"/>
          <w:vertAlign w:val="superscript"/>
        </w:rPr>
        <w:footnoteReference w:id="13"/>
      </w:r>
      <w:r w:rsidRPr="00D920C9">
        <w:rPr>
          <w:rFonts w:asciiTheme="minorHAnsi" w:hAnsiTheme="minorHAnsi"/>
          <w:szCs w:val="20"/>
        </w:rPr>
        <w:t xml:space="preserve"> </w:t>
      </w:r>
    </w:p>
    <w:p w14:paraId="283443ED" w14:textId="77777777" w:rsidR="00F579F7" w:rsidRPr="00D920C9" w:rsidRDefault="00F579F7"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On August 23, 2016, the Commission</w:t>
      </w:r>
      <w:r w:rsidR="00600C43" w:rsidRPr="00D920C9">
        <w:rPr>
          <w:rFonts w:asciiTheme="minorHAnsi" w:hAnsiTheme="minorHAnsi"/>
          <w:szCs w:val="20"/>
        </w:rPr>
        <w:t xml:space="preserve"> again</w:t>
      </w:r>
      <w:r w:rsidRPr="00D920C9">
        <w:rPr>
          <w:rFonts w:asciiTheme="minorHAnsi" w:hAnsiTheme="minorHAnsi"/>
          <w:szCs w:val="20"/>
        </w:rPr>
        <w:t xml:space="preserve"> manifested its concern over def</w:t>
      </w:r>
      <w:r w:rsidR="00600C43" w:rsidRPr="00D920C9">
        <w:rPr>
          <w:rFonts w:asciiTheme="minorHAnsi" w:hAnsiTheme="minorHAnsi"/>
          <w:szCs w:val="20"/>
        </w:rPr>
        <w:t xml:space="preserve">iciencies in the investigation </w:t>
      </w:r>
      <w:r w:rsidRPr="00D920C9">
        <w:rPr>
          <w:rFonts w:asciiTheme="minorHAnsi" w:hAnsiTheme="minorHAnsi"/>
          <w:szCs w:val="20"/>
        </w:rPr>
        <w:t xml:space="preserve">in the killings of Alton Sterling and </w:t>
      </w:r>
      <w:proofErr w:type="spellStart"/>
      <w:r w:rsidRPr="00D920C9">
        <w:rPr>
          <w:rFonts w:asciiTheme="minorHAnsi" w:hAnsiTheme="minorHAnsi"/>
          <w:szCs w:val="20"/>
        </w:rPr>
        <w:t>Philando</w:t>
      </w:r>
      <w:proofErr w:type="spellEnd"/>
      <w:r w:rsidRPr="00D920C9">
        <w:rPr>
          <w:rFonts w:asciiTheme="minorHAnsi" w:hAnsiTheme="minorHAnsi"/>
          <w:szCs w:val="20"/>
        </w:rPr>
        <w:t xml:space="preserve"> Castile</w:t>
      </w:r>
      <w:r w:rsidR="00600C43" w:rsidRPr="00D920C9">
        <w:rPr>
          <w:rFonts w:asciiTheme="minorHAnsi" w:hAnsiTheme="minorHAnsi"/>
          <w:szCs w:val="20"/>
        </w:rPr>
        <w:t xml:space="preserve"> by police officers</w:t>
      </w:r>
      <w:r w:rsidRPr="00D920C9">
        <w:rPr>
          <w:rFonts w:asciiTheme="minorHAnsi" w:hAnsiTheme="minorHAnsi"/>
          <w:szCs w:val="20"/>
        </w:rPr>
        <w:t xml:space="preserve"> in Louisiana and Minnesota</w:t>
      </w:r>
      <w:r w:rsidR="00600C43" w:rsidRPr="00D920C9">
        <w:rPr>
          <w:rFonts w:asciiTheme="minorHAnsi" w:hAnsiTheme="minorHAnsi"/>
          <w:szCs w:val="20"/>
        </w:rPr>
        <w:t>,</w:t>
      </w:r>
      <w:r w:rsidRPr="00D920C9">
        <w:rPr>
          <w:rFonts w:asciiTheme="minorHAnsi" w:hAnsiTheme="minorHAnsi"/>
          <w:szCs w:val="20"/>
        </w:rPr>
        <w:t xml:space="preserve"> respectively</w:t>
      </w:r>
      <w:r w:rsidR="00600C43" w:rsidRPr="00D920C9">
        <w:rPr>
          <w:rFonts w:asciiTheme="minorHAnsi" w:hAnsiTheme="minorHAnsi"/>
          <w:szCs w:val="20"/>
        </w:rPr>
        <w:t>, as well as the lack of institutional responsibility for these deaths</w:t>
      </w:r>
      <w:r w:rsidRPr="00D920C9">
        <w:rPr>
          <w:rFonts w:asciiTheme="minorHAnsi" w:hAnsiTheme="minorHAnsi"/>
          <w:szCs w:val="20"/>
        </w:rPr>
        <w:t>.</w:t>
      </w:r>
      <w:r w:rsidRPr="00D920C9">
        <w:rPr>
          <w:rFonts w:asciiTheme="minorHAnsi" w:hAnsiTheme="minorHAnsi"/>
          <w:vertAlign w:val="superscript"/>
        </w:rPr>
        <w:footnoteReference w:id="14"/>
      </w:r>
      <w:r w:rsidRPr="00D920C9">
        <w:rPr>
          <w:rFonts w:asciiTheme="minorHAnsi" w:hAnsiTheme="minorHAnsi"/>
          <w:szCs w:val="20"/>
        </w:rPr>
        <w:t xml:space="preserve"> </w:t>
      </w:r>
    </w:p>
    <w:p w14:paraId="781E9829" w14:textId="4490E370" w:rsidR="00F579F7" w:rsidRPr="00D920C9" w:rsidRDefault="00F579F7"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On August </w:t>
      </w:r>
      <w:r w:rsidR="00600C43" w:rsidRPr="00D920C9">
        <w:rPr>
          <w:rFonts w:asciiTheme="minorHAnsi" w:hAnsiTheme="minorHAnsi"/>
          <w:szCs w:val="20"/>
        </w:rPr>
        <w:t xml:space="preserve">18, </w:t>
      </w:r>
      <w:r w:rsidRPr="00D920C9">
        <w:rPr>
          <w:rFonts w:asciiTheme="minorHAnsi" w:hAnsiTheme="minorHAnsi"/>
          <w:szCs w:val="20"/>
        </w:rPr>
        <w:t xml:space="preserve">2017, </w:t>
      </w:r>
      <w:r w:rsidR="00600C43" w:rsidRPr="00D920C9">
        <w:rPr>
          <w:rFonts w:asciiTheme="minorHAnsi" w:hAnsiTheme="minorHAnsi"/>
          <w:szCs w:val="20"/>
        </w:rPr>
        <w:t>the Commission repudiated the expressions of hate and bigotry expressed by “Unite the Right” protesters gathered in</w:t>
      </w:r>
      <w:r w:rsidRPr="00D920C9">
        <w:rPr>
          <w:rFonts w:asciiTheme="minorHAnsi" w:hAnsiTheme="minorHAnsi"/>
          <w:szCs w:val="20"/>
        </w:rPr>
        <w:t xml:space="preserve"> Charlottesville, Virginia</w:t>
      </w:r>
      <w:r w:rsidR="00600C43" w:rsidRPr="00D920C9">
        <w:rPr>
          <w:rFonts w:asciiTheme="minorHAnsi" w:hAnsiTheme="minorHAnsi"/>
          <w:szCs w:val="20"/>
        </w:rPr>
        <w:t>. At that time, the Commission “urge[d] public officials [. . .] to unequivocally condemn bigotry and racial hatred and recognize the role such discrimination plays in contributing to violence against African Americans, immigrants,</w:t>
      </w:r>
      <w:r w:rsidR="00CF7CFF" w:rsidRPr="00D920C9">
        <w:rPr>
          <w:rFonts w:asciiTheme="minorHAnsi" w:hAnsiTheme="minorHAnsi"/>
          <w:szCs w:val="20"/>
        </w:rPr>
        <w:t xml:space="preserve"> </w:t>
      </w:r>
      <w:r w:rsidR="00600C43" w:rsidRPr="00D920C9">
        <w:rPr>
          <w:rFonts w:asciiTheme="minorHAnsi" w:hAnsiTheme="minorHAnsi"/>
          <w:szCs w:val="20"/>
        </w:rPr>
        <w:t>indigenous peoples</w:t>
      </w:r>
      <w:r w:rsidR="00653290" w:rsidRPr="00D920C9">
        <w:rPr>
          <w:rFonts w:asciiTheme="minorHAnsi" w:hAnsiTheme="minorHAnsi"/>
          <w:szCs w:val="20"/>
        </w:rPr>
        <w:t>,</w:t>
      </w:r>
      <w:r w:rsidR="00600C43" w:rsidRPr="00D920C9">
        <w:rPr>
          <w:rFonts w:asciiTheme="minorHAnsi" w:hAnsiTheme="minorHAnsi"/>
          <w:szCs w:val="20"/>
        </w:rPr>
        <w:t> </w:t>
      </w:r>
      <w:r w:rsidR="000310BD" w:rsidRPr="00D920C9">
        <w:rPr>
          <w:rFonts w:asciiTheme="minorHAnsi" w:hAnsiTheme="minorHAnsi"/>
          <w:szCs w:val="20"/>
        </w:rPr>
        <w:t xml:space="preserve"> </w:t>
      </w:r>
      <w:r w:rsidR="00600C43" w:rsidRPr="00D920C9">
        <w:rPr>
          <w:rFonts w:asciiTheme="minorHAnsi" w:hAnsiTheme="minorHAnsi"/>
          <w:szCs w:val="20"/>
        </w:rPr>
        <w:t>and</w:t>
      </w:r>
      <w:r w:rsidR="000310BD" w:rsidRPr="00D920C9">
        <w:rPr>
          <w:rFonts w:asciiTheme="minorHAnsi" w:hAnsiTheme="minorHAnsi"/>
          <w:szCs w:val="20"/>
        </w:rPr>
        <w:t xml:space="preserve"> </w:t>
      </w:r>
      <w:r w:rsidR="00600C43" w:rsidRPr="00D920C9">
        <w:rPr>
          <w:rFonts w:asciiTheme="minorHAnsi" w:hAnsiTheme="minorHAnsi"/>
          <w:szCs w:val="20"/>
        </w:rPr>
        <w:t>minority communities around the country.”</w:t>
      </w:r>
      <w:r w:rsidRPr="00D920C9">
        <w:rPr>
          <w:rFonts w:asciiTheme="minorHAnsi" w:hAnsiTheme="minorHAnsi"/>
          <w:vertAlign w:val="superscript"/>
        </w:rPr>
        <w:footnoteReference w:id="15"/>
      </w:r>
    </w:p>
    <w:p w14:paraId="16F6F773" w14:textId="77777777" w:rsidR="00B4412C" w:rsidRPr="00D920C9" w:rsidRDefault="00B4412C" w:rsidP="001167CB">
      <w:pPr>
        <w:pStyle w:val="Heading3"/>
        <w:ind w:left="540" w:hanging="540"/>
      </w:pPr>
      <w:bookmarkStart w:id="21" w:name="_Toc511837803"/>
      <w:bookmarkStart w:id="22" w:name="_Toc511902976"/>
      <w:bookmarkStart w:id="23" w:name="_Toc517687906"/>
      <w:r w:rsidRPr="00D920C9">
        <w:t xml:space="preserve">Additional </w:t>
      </w:r>
      <w:r w:rsidR="00D86045" w:rsidRPr="00D920C9">
        <w:t>Sources</w:t>
      </w:r>
      <w:bookmarkEnd w:id="21"/>
      <w:bookmarkEnd w:id="22"/>
      <w:bookmarkEnd w:id="23"/>
    </w:p>
    <w:p w14:paraId="1B7FB62B"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In addition to</w:t>
      </w:r>
      <w:r w:rsidR="00B81523" w:rsidRPr="00D920C9">
        <w:rPr>
          <w:rFonts w:asciiTheme="minorHAnsi" w:hAnsiTheme="minorHAnsi"/>
          <w:szCs w:val="20"/>
        </w:rPr>
        <w:t xml:space="preserve"> the</w:t>
      </w:r>
      <w:r w:rsidRPr="00D920C9">
        <w:rPr>
          <w:rFonts w:asciiTheme="minorHAnsi" w:hAnsiTheme="minorHAnsi"/>
          <w:szCs w:val="20"/>
        </w:rPr>
        <w:t xml:space="preserve"> information </w:t>
      </w:r>
      <w:r w:rsidR="00B81523" w:rsidRPr="00D920C9">
        <w:rPr>
          <w:rFonts w:asciiTheme="minorHAnsi" w:hAnsiTheme="minorHAnsi"/>
          <w:szCs w:val="20"/>
        </w:rPr>
        <w:t>described above</w:t>
      </w:r>
      <w:r w:rsidRPr="00D920C9">
        <w:rPr>
          <w:rFonts w:asciiTheme="minorHAnsi" w:hAnsiTheme="minorHAnsi"/>
          <w:szCs w:val="20"/>
        </w:rPr>
        <w:t>, this report relies on official public information obtained from government sources</w:t>
      </w:r>
      <w:r w:rsidR="00B81523" w:rsidRPr="00D920C9">
        <w:rPr>
          <w:rFonts w:asciiTheme="minorHAnsi" w:hAnsiTheme="minorHAnsi"/>
          <w:szCs w:val="20"/>
        </w:rPr>
        <w:t>;</w:t>
      </w:r>
      <w:r w:rsidRPr="00D920C9">
        <w:rPr>
          <w:rFonts w:asciiTheme="minorHAnsi" w:hAnsiTheme="minorHAnsi"/>
          <w:szCs w:val="20"/>
        </w:rPr>
        <w:t xml:space="preserve"> reports and studies by United Nations bodies and academic institutions</w:t>
      </w:r>
      <w:r w:rsidR="00B81523" w:rsidRPr="00D920C9">
        <w:rPr>
          <w:rFonts w:asciiTheme="minorHAnsi" w:hAnsiTheme="minorHAnsi"/>
          <w:szCs w:val="20"/>
        </w:rPr>
        <w:t>;</w:t>
      </w:r>
      <w:r w:rsidRPr="00D920C9">
        <w:rPr>
          <w:rFonts w:asciiTheme="minorHAnsi" w:hAnsiTheme="minorHAnsi"/>
          <w:szCs w:val="20"/>
        </w:rPr>
        <w:t xml:space="preserve"> a</w:t>
      </w:r>
      <w:r w:rsidR="00B81523" w:rsidRPr="00D920C9">
        <w:rPr>
          <w:rFonts w:asciiTheme="minorHAnsi" w:hAnsiTheme="minorHAnsi"/>
          <w:szCs w:val="20"/>
        </w:rPr>
        <w:t>n</w:t>
      </w:r>
      <w:r w:rsidRPr="00D920C9">
        <w:rPr>
          <w:rFonts w:asciiTheme="minorHAnsi" w:hAnsiTheme="minorHAnsi"/>
          <w:szCs w:val="20"/>
        </w:rPr>
        <w:t xml:space="preserve">d information published by non-governmental organizations and media outlets. The Commission notes the importance of considering the perspectives of multiple actors on the complex and multifaceted issue of racial </w:t>
      </w:r>
      <w:r w:rsidRPr="00D920C9">
        <w:rPr>
          <w:rFonts w:asciiTheme="minorHAnsi" w:hAnsiTheme="minorHAnsi"/>
          <w:szCs w:val="20"/>
        </w:rPr>
        <w:lastRenderedPageBreak/>
        <w:t xml:space="preserve">discrimination, and further notes the lack of complete, reliable, and up-to-date </w:t>
      </w:r>
      <w:r w:rsidR="00CF7CFF" w:rsidRPr="00D920C9">
        <w:rPr>
          <w:rFonts w:asciiTheme="minorHAnsi" w:hAnsiTheme="minorHAnsi"/>
          <w:szCs w:val="20"/>
        </w:rPr>
        <w:t>official</w:t>
      </w:r>
      <w:r w:rsidRPr="00D920C9">
        <w:rPr>
          <w:rFonts w:asciiTheme="minorHAnsi" w:hAnsiTheme="minorHAnsi"/>
          <w:szCs w:val="20"/>
        </w:rPr>
        <w:t xml:space="preserve"> statistical data on many of the issues discussed in this report, including incidents of police excessive use of force and police killings.</w:t>
      </w:r>
    </w:p>
    <w:p w14:paraId="0D7C5CBA" w14:textId="77777777" w:rsidR="00B4412C" w:rsidRPr="00D920C9" w:rsidRDefault="00B4412C" w:rsidP="000A1E39">
      <w:pPr>
        <w:pStyle w:val="Heading2"/>
        <w:ind w:left="547" w:hanging="547"/>
        <w:rPr>
          <w:sz w:val="20"/>
          <w:szCs w:val="20"/>
        </w:rPr>
      </w:pPr>
      <w:bookmarkStart w:id="24" w:name="_Toc511837804"/>
      <w:bookmarkStart w:id="25" w:name="_Toc511902977"/>
      <w:bookmarkStart w:id="26" w:name="_Toc517687907"/>
      <w:r w:rsidRPr="00D920C9">
        <w:t xml:space="preserve">The Inter-American Commission’s </w:t>
      </w:r>
      <w:r w:rsidR="00B23A0B" w:rsidRPr="00D920C9">
        <w:t xml:space="preserve">Jurisdiction </w:t>
      </w:r>
      <w:r w:rsidRPr="00D920C9">
        <w:t>with regard to the United States</w:t>
      </w:r>
      <w:bookmarkEnd w:id="24"/>
      <w:bookmarkEnd w:id="25"/>
      <w:bookmarkEnd w:id="26"/>
      <w:r w:rsidRPr="00D920C9">
        <w:t xml:space="preserve"> </w:t>
      </w:r>
    </w:p>
    <w:p w14:paraId="76FDFB85" w14:textId="720AD85E"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rPr>
        <w:t xml:space="preserve">The American Declaration on the Rights and Duties </w:t>
      </w:r>
      <w:r w:rsidR="00CF7CFF" w:rsidRPr="00D920C9">
        <w:rPr>
          <w:rFonts w:asciiTheme="minorHAnsi" w:hAnsiTheme="minorHAnsi"/>
        </w:rPr>
        <w:t xml:space="preserve">of Man (“American Declaration,” </w:t>
      </w:r>
      <w:r w:rsidRPr="00D920C9">
        <w:rPr>
          <w:rFonts w:asciiTheme="minorHAnsi" w:hAnsiTheme="minorHAnsi"/>
        </w:rPr>
        <w:t xml:space="preserve">1948), along with the Charter of the Organization of American States (“OAS Charter”); the Statute of the Inter-American </w:t>
      </w:r>
      <w:r w:rsidRPr="00D920C9">
        <w:rPr>
          <w:rFonts w:asciiTheme="minorHAnsi" w:hAnsiTheme="minorHAnsi"/>
          <w:szCs w:val="20"/>
        </w:rPr>
        <w:t>Commission on Human Rights; and the Rules of Procedure of the IACHR</w:t>
      </w:r>
      <w:r w:rsidR="00731FA0" w:rsidRPr="00D920C9">
        <w:rPr>
          <w:rFonts w:asciiTheme="minorHAnsi" w:hAnsiTheme="minorHAnsi"/>
          <w:szCs w:val="20"/>
        </w:rPr>
        <w:t xml:space="preserve"> </w:t>
      </w:r>
      <w:r w:rsidRPr="00D920C9">
        <w:rPr>
          <w:rFonts w:asciiTheme="minorHAnsi" w:hAnsiTheme="minorHAnsi"/>
          <w:szCs w:val="20"/>
        </w:rPr>
        <w:t>form the basis of the Inter-American Commission’s jurisdiction over States that have</w:t>
      </w:r>
      <w:r w:rsidR="00BC2D83" w:rsidRPr="00D920C9">
        <w:rPr>
          <w:rFonts w:asciiTheme="minorHAnsi" w:hAnsiTheme="minorHAnsi"/>
          <w:szCs w:val="20"/>
        </w:rPr>
        <w:t xml:space="preserve"> yet to</w:t>
      </w:r>
      <w:r w:rsidRPr="00D920C9">
        <w:rPr>
          <w:rFonts w:asciiTheme="minorHAnsi" w:hAnsiTheme="minorHAnsi"/>
          <w:szCs w:val="20"/>
        </w:rPr>
        <w:t xml:space="preserve"> ratif</w:t>
      </w:r>
      <w:r w:rsidR="00BC2D83" w:rsidRPr="00D920C9">
        <w:rPr>
          <w:rFonts w:asciiTheme="minorHAnsi" w:hAnsiTheme="minorHAnsi"/>
          <w:szCs w:val="20"/>
        </w:rPr>
        <w:t>y</w:t>
      </w:r>
      <w:r w:rsidRPr="00D920C9">
        <w:rPr>
          <w:rFonts w:asciiTheme="minorHAnsi" w:hAnsiTheme="minorHAnsi"/>
          <w:szCs w:val="20"/>
        </w:rPr>
        <w:t xml:space="preserve"> the American Convention on Human Rights (“American Convention” or ACHR).</w:t>
      </w:r>
      <w:r w:rsidRPr="00D920C9">
        <w:rPr>
          <w:rFonts w:asciiTheme="minorHAnsi" w:hAnsiTheme="minorHAnsi"/>
          <w:szCs w:val="20"/>
          <w:vertAlign w:val="superscript"/>
        </w:rPr>
        <w:footnoteReference w:id="16"/>
      </w:r>
      <w:r w:rsidRPr="00D920C9">
        <w:rPr>
          <w:rFonts w:asciiTheme="minorHAnsi" w:hAnsiTheme="minorHAnsi"/>
          <w:szCs w:val="20"/>
        </w:rPr>
        <w:t xml:space="preserve"> In particular, it is well-established that the content of the general principles of the</w:t>
      </w:r>
      <w:r w:rsidR="00590B58" w:rsidRPr="00D920C9">
        <w:rPr>
          <w:rFonts w:asciiTheme="minorHAnsi" w:hAnsiTheme="minorHAnsi"/>
          <w:szCs w:val="20"/>
        </w:rPr>
        <w:t xml:space="preserve"> OAS Charter—to which all State Parties</w:t>
      </w:r>
      <w:r w:rsidRPr="00D920C9">
        <w:rPr>
          <w:rFonts w:asciiTheme="minorHAnsi" w:hAnsiTheme="minorHAnsi"/>
          <w:szCs w:val="20"/>
        </w:rPr>
        <w:t xml:space="preserve"> to the Charter are bound—are contained in and defined by the American Declaration.</w:t>
      </w:r>
      <w:r w:rsidRPr="00D920C9">
        <w:rPr>
          <w:rFonts w:asciiTheme="minorHAnsi" w:hAnsiTheme="minorHAnsi"/>
          <w:szCs w:val="20"/>
          <w:vertAlign w:val="superscript"/>
        </w:rPr>
        <w:footnoteReference w:id="17"/>
      </w:r>
      <w:r w:rsidRPr="00D920C9">
        <w:rPr>
          <w:rFonts w:asciiTheme="minorHAnsi" w:hAnsiTheme="minorHAnsi"/>
          <w:szCs w:val="20"/>
        </w:rPr>
        <w:t xml:space="preserve"> The Declaration recognizes a range of fundamental human rights—</w:t>
      </w:r>
      <w:r w:rsidR="00280E83" w:rsidRPr="00D920C9">
        <w:rPr>
          <w:rFonts w:asciiTheme="minorHAnsi" w:hAnsiTheme="minorHAnsi"/>
          <w:szCs w:val="20"/>
        </w:rPr>
        <w:t>many</w:t>
      </w:r>
      <w:r w:rsidRPr="00D920C9">
        <w:rPr>
          <w:rFonts w:asciiTheme="minorHAnsi" w:hAnsiTheme="minorHAnsi"/>
          <w:szCs w:val="20"/>
        </w:rPr>
        <w:t xml:space="preserve"> of which, like the prohibition o</w:t>
      </w:r>
      <w:r w:rsidR="0004447D" w:rsidRPr="00D920C9">
        <w:rPr>
          <w:rFonts w:asciiTheme="minorHAnsi" w:hAnsiTheme="minorHAnsi"/>
          <w:szCs w:val="20"/>
        </w:rPr>
        <w:t>f</w:t>
      </w:r>
      <w:r w:rsidRPr="00D920C9">
        <w:rPr>
          <w:rFonts w:asciiTheme="minorHAnsi" w:hAnsiTheme="minorHAnsi"/>
          <w:szCs w:val="20"/>
        </w:rPr>
        <w:t xml:space="preserve"> torture, additionally enjoy customary legal status—including </w:t>
      </w:r>
      <w:r w:rsidR="00280E83" w:rsidRPr="00D920C9">
        <w:rPr>
          <w:rFonts w:asciiTheme="minorHAnsi" w:hAnsiTheme="minorHAnsi"/>
          <w:szCs w:val="20"/>
        </w:rPr>
        <w:t>a number</w:t>
      </w:r>
      <w:r w:rsidRPr="00D920C9">
        <w:rPr>
          <w:rFonts w:asciiTheme="minorHAnsi" w:hAnsiTheme="minorHAnsi"/>
          <w:szCs w:val="20"/>
        </w:rPr>
        <w:t xml:space="preserve"> that are</w:t>
      </w:r>
      <w:r w:rsidR="00DE49F4" w:rsidRPr="00D920C9">
        <w:rPr>
          <w:rFonts w:asciiTheme="minorHAnsi" w:hAnsiTheme="minorHAnsi"/>
          <w:szCs w:val="20"/>
        </w:rPr>
        <w:t xml:space="preserve"> highly</w:t>
      </w:r>
      <w:r w:rsidRPr="00D920C9">
        <w:rPr>
          <w:rFonts w:asciiTheme="minorHAnsi" w:hAnsiTheme="minorHAnsi"/>
          <w:szCs w:val="20"/>
        </w:rPr>
        <w:t xml:space="preserve"> relevant to the issues of use of force, discrimination, and access to justice addressed in this report. </w:t>
      </w:r>
    </w:p>
    <w:p w14:paraId="08A7271D" w14:textId="2CA8684E"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The United States has thus been subject to the jurisdiction of the Inter-American Commission since it deposited its instrument of ratification of the OAS Charter on June 19, 1951.</w:t>
      </w:r>
      <w:r w:rsidRPr="00D920C9">
        <w:rPr>
          <w:rFonts w:asciiTheme="minorHAnsi" w:hAnsiTheme="minorHAnsi"/>
          <w:szCs w:val="20"/>
          <w:vertAlign w:val="superscript"/>
        </w:rPr>
        <w:footnoteReference w:id="18"/>
      </w:r>
      <w:r w:rsidRPr="00D920C9">
        <w:rPr>
          <w:rFonts w:asciiTheme="minorHAnsi" w:hAnsiTheme="minorHAnsi"/>
          <w:szCs w:val="20"/>
        </w:rPr>
        <w:t xml:space="preserve"> </w:t>
      </w:r>
      <w:r w:rsidR="00280E83" w:rsidRPr="00D920C9">
        <w:rPr>
          <w:rFonts w:asciiTheme="minorHAnsi" w:hAnsiTheme="minorHAnsi"/>
          <w:szCs w:val="20"/>
        </w:rPr>
        <w:t xml:space="preserve">The </w:t>
      </w:r>
      <w:r w:rsidRPr="00D920C9">
        <w:rPr>
          <w:rFonts w:asciiTheme="minorHAnsi" w:hAnsiTheme="minorHAnsi"/>
          <w:szCs w:val="20"/>
        </w:rPr>
        <w:t xml:space="preserve">IACHR, pursuant to its mandate, </w:t>
      </w:r>
      <w:r w:rsidRPr="00D920C9">
        <w:rPr>
          <w:rFonts w:asciiTheme="minorHAnsi" w:hAnsiTheme="minorHAnsi"/>
          <w:szCs w:val="20"/>
        </w:rPr>
        <w:lastRenderedPageBreak/>
        <w:t xml:space="preserve">has monitored the human rights situation in the </w:t>
      </w:r>
      <w:r w:rsidR="00904A46" w:rsidRPr="00D920C9">
        <w:rPr>
          <w:rFonts w:asciiTheme="minorHAnsi" w:hAnsiTheme="minorHAnsi"/>
          <w:szCs w:val="20"/>
        </w:rPr>
        <w:t>U.S.</w:t>
      </w:r>
      <w:r w:rsidRPr="00D920C9">
        <w:rPr>
          <w:rFonts w:asciiTheme="minorHAnsi" w:hAnsiTheme="minorHAnsi"/>
          <w:szCs w:val="20"/>
        </w:rPr>
        <w:t xml:space="preserve"> via the adoption of case decisions, precautionary measures, and thematic and country-based reports.</w:t>
      </w:r>
      <w:r w:rsidRPr="00D920C9">
        <w:rPr>
          <w:rFonts w:asciiTheme="minorHAnsi" w:hAnsiTheme="minorHAnsi"/>
          <w:szCs w:val="20"/>
          <w:vertAlign w:val="superscript"/>
        </w:rPr>
        <w:footnoteReference w:id="19"/>
      </w:r>
      <w:r w:rsidRPr="00D920C9">
        <w:rPr>
          <w:rFonts w:asciiTheme="minorHAnsi" w:hAnsiTheme="minorHAnsi"/>
          <w:szCs w:val="20"/>
        </w:rPr>
        <w:t xml:space="preserve"> </w:t>
      </w:r>
    </w:p>
    <w:p w14:paraId="0F943883" w14:textId="105081DE"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As the Commission has repeatedly sta</w:t>
      </w:r>
      <w:r w:rsidR="000604D9" w:rsidRPr="00D920C9">
        <w:rPr>
          <w:rFonts w:asciiTheme="minorHAnsi" w:hAnsiTheme="minorHAnsi"/>
          <w:szCs w:val="20"/>
        </w:rPr>
        <w:t xml:space="preserve">ted, universal ratification of </w:t>
      </w:r>
      <w:r w:rsidR="004220B5" w:rsidRPr="00D920C9">
        <w:rPr>
          <w:rFonts w:asciiTheme="minorHAnsi" w:hAnsiTheme="minorHAnsi"/>
          <w:szCs w:val="20"/>
        </w:rPr>
        <w:t>i</w:t>
      </w:r>
      <w:r w:rsidRPr="00D920C9">
        <w:rPr>
          <w:rFonts w:asciiTheme="minorHAnsi" w:hAnsiTheme="minorHAnsi"/>
          <w:szCs w:val="20"/>
        </w:rPr>
        <w:t>nter-American human rights instruments is essential to achieving full protection of the human rights of all persons in the hemisphere.</w:t>
      </w:r>
      <w:r w:rsidRPr="00D920C9">
        <w:rPr>
          <w:rFonts w:asciiTheme="minorHAnsi" w:hAnsiTheme="minorHAnsi"/>
          <w:szCs w:val="20"/>
          <w:vertAlign w:val="superscript"/>
        </w:rPr>
        <w:footnoteReference w:id="20"/>
      </w:r>
      <w:r w:rsidRPr="00D920C9">
        <w:rPr>
          <w:rFonts w:asciiTheme="minorHAnsi" w:hAnsiTheme="minorHAnsi"/>
          <w:szCs w:val="20"/>
        </w:rPr>
        <w:t xml:space="preserve"> In particular, the Commission </w:t>
      </w:r>
      <w:r w:rsidR="00AC33D7" w:rsidRPr="00D920C9">
        <w:rPr>
          <w:rFonts w:asciiTheme="minorHAnsi" w:hAnsiTheme="minorHAnsi"/>
          <w:szCs w:val="20"/>
        </w:rPr>
        <w:t>considers</w:t>
      </w:r>
      <w:r w:rsidRPr="00D920C9">
        <w:rPr>
          <w:rFonts w:asciiTheme="minorHAnsi" w:hAnsiTheme="minorHAnsi"/>
          <w:szCs w:val="20"/>
        </w:rPr>
        <w:t xml:space="preserve"> that the ratification of these instruments is highly relevant to combat racial discrimination</w:t>
      </w:r>
      <w:r w:rsidR="0038546C" w:rsidRPr="00D920C9">
        <w:rPr>
          <w:rFonts w:asciiTheme="minorHAnsi" w:hAnsiTheme="minorHAnsi"/>
          <w:szCs w:val="20"/>
        </w:rPr>
        <w:t>,</w:t>
      </w:r>
      <w:r w:rsidRPr="00D920C9">
        <w:rPr>
          <w:rFonts w:asciiTheme="minorHAnsi" w:hAnsiTheme="minorHAnsi"/>
          <w:szCs w:val="20"/>
        </w:rPr>
        <w:t xml:space="preserve"> to promote the use of force by law enforcement authorities</w:t>
      </w:r>
      <w:r w:rsidR="00280E83" w:rsidRPr="00D920C9">
        <w:rPr>
          <w:rFonts w:asciiTheme="minorHAnsi" w:hAnsiTheme="minorHAnsi"/>
          <w:szCs w:val="20"/>
        </w:rPr>
        <w:t xml:space="preserve"> only when absolutely necessary</w:t>
      </w:r>
      <w:r w:rsidR="00590B58" w:rsidRPr="00D920C9">
        <w:rPr>
          <w:rFonts w:asciiTheme="minorHAnsi" w:hAnsiTheme="minorHAnsi"/>
          <w:szCs w:val="20"/>
        </w:rPr>
        <w:t>, and to facilitate</w:t>
      </w:r>
      <w:r w:rsidR="0038546C" w:rsidRPr="00D920C9">
        <w:rPr>
          <w:rFonts w:asciiTheme="minorHAnsi" w:hAnsiTheme="minorHAnsi"/>
          <w:szCs w:val="20"/>
        </w:rPr>
        <w:t xml:space="preserve"> access to justice and combat impunity</w:t>
      </w:r>
      <w:r w:rsidRPr="00D920C9">
        <w:rPr>
          <w:rFonts w:asciiTheme="minorHAnsi" w:hAnsiTheme="minorHAnsi"/>
          <w:szCs w:val="20"/>
        </w:rPr>
        <w:t xml:space="preserve"> in the countries of the region, including the </w:t>
      </w:r>
      <w:r w:rsidR="00904A46" w:rsidRPr="00D920C9">
        <w:rPr>
          <w:rFonts w:asciiTheme="minorHAnsi" w:hAnsiTheme="minorHAnsi"/>
          <w:szCs w:val="20"/>
        </w:rPr>
        <w:t>U.S</w:t>
      </w:r>
      <w:r w:rsidRPr="00D920C9">
        <w:rPr>
          <w:rFonts w:asciiTheme="minorHAnsi" w:hAnsiTheme="minorHAnsi"/>
          <w:szCs w:val="20"/>
        </w:rPr>
        <w:t>.</w:t>
      </w:r>
      <w:r w:rsidR="00AC33D7" w:rsidRPr="00D920C9">
        <w:rPr>
          <w:rFonts w:asciiTheme="minorHAnsi" w:hAnsiTheme="minorHAnsi"/>
          <w:vertAlign w:val="superscript"/>
        </w:rPr>
        <w:footnoteReference w:id="21"/>
      </w:r>
      <w:r w:rsidRPr="00D920C9">
        <w:rPr>
          <w:rFonts w:asciiTheme="minorHAnsi" w:hAnsiTheme="minorHAnsi"/>
          <w:szCs w:val="20"/>
        </w:rPr>
        <w:t xml:space="preserve"> Accordingly, the Commission encourages the United States to ratify all relevant regional treaties, including the American Convention on Human Rights; the Inter-American Convention against Racism, Racial Discrimination, and Related Forms of Intolerance; and the Inter-American Convention on the Prevention, Punishment and Eradication of Violence against Women (“Convention o</w:t>
      </w:r>
      <w:r w:rsidR="0038546C" w:rsidRPr="00D920C9">
        <w:rPr>
          <w:rFonts w:asciiTheme="minorHAnsi" w:hAnsiTheme="minorHAnsi"/>
          <w:szCs w:val="20"/>
        </w:rPr>
        <w:t xml:space="preserve">f </w:t>
      </w:r>
      <w:proofErr w:type="spellStart"/>
      <w:r w:rsidR="0038546C" w:rsidRPr="00D920C9">
        <w:rPr>
          <w:rFonts w:asciiTheme="minorHAnsi" w:hAnsiTheme="minorHAnsi"/>
          <w:szCs w:val="20"/>
        </w:rPr>
        <w:t>Belém</w:t>
      </w:r>
      <w:proofErr w:type="spellEnd"/>
      <w:r w:rsidR="0038546C" w:rsidRPr="00D920C9">
        <w:rPr>
          <w:rFonts w:asciiTheme="minorHAnsi" w:hAnsiTheme="minorHAnsi"/>
          <w:szCs w:val="20"/>
        </w:rPr>
        <w:t xml:space="preserve"> do </w:t>
      </w:r>
      <w:proofErr w:type="spellStart"/>
      <w:r w:rsidR="0038546C" w:rsidRPr="00D920C9">
        <w:rPr>
          <w:rFonts w:asciiTheme="minorHAnsi" w:hAnsiTheme="minorHAnsi"/>
          <w:szCs w:val="20"/>
        </w:rPr>
        <w:t>Pará</w:t>
      </w:r>
      <w:proofErr w:type="spellEnd"/>
      <w:r w:rsidR="0038546C" w:rsidRPr="00D920C9">
        <w:rPr>
          <w:rFonts w:asciiTheme="minorHAnsi" w:hAnsiTheme="minorHAnsi"/>
          <w:szCs w:val="20"/>
        </w:rPr>
        <w:t>”); among others.</w:t>
      </w:r>
    </w:p>
    <w:p w14:paraId="4448BD2D" w14:textId="14720FE1"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The Commission has consistently interpreted the American Declaration as requiring States to adopt measures to give legal effect to the rights contained in the American Declaration.</w:t>
      </w:r>
      <w:r w:rsidRPr="00D920C9">
        <w:rPr>
          <w:rFonts w:asciiTheme="minorHAnsi" w:hAnsiTheme="minorHAnsi"/>
          <w:szCs w:val="20"/>
          <w:vertAlign w:val="superscript"/>
        </w:rPr>
        <w:footnoteReference w:id="22"/>
      </w:r>
      <w:r w:rsidRPr="00D920C9">
        <w:rPr>
          <w:rFonts w:asciiTheme="minorHAnsi" w:hAnsiTheme="minorHAnsi"/>
          <w:szCs w:val="20"/>
        </w:rPr>
        <w:t xml:space="preserve"> The Commission has not only required States to refrain from committing human rights violations contrary to the provisions of the American Declaration,</w:t>
      </w:r>
      <w:r w:rsidRPr="00D920C9">
        <w:rPr>
          <w:rFonts w:asciiTheme="minorHAnsi" w:hAnsiTheme="minorHAnsi"/>
          <w:szCs w:val="20"/>
          <w:vertAlign w:val="superscript"/>
        </w:rPr>
        <w:footnoteReference w:id="23"/>
      </w:r>
      <w:r w:rsidRPr="00D920C9">
        <w:rPr>
          <w:rFonts w:asciiTheme="minorHAnsi" w:hAnsiTheme="minorHAnsi"/>
          <w:szCs w:val="20"/>
        </w:rPr>
        <w:t xml:space="preserve"> but also to adopt affirmative measures to guarantee that the individuals subject to their </w:t>
      </w:r>
      <w:r w:rsidRPr="00D920C9">
        <w:rPr>
          <w:rFonts w:asciiTheme="minorHAnsi" w:hAnsiTheme="minorHAnsi"/>
          <w:szCs w:val="20"/>
        </w:rPr>
        <w:lastRenderedPageBreak/>
        <w:t>jurisdiction can exercise and enjoy the rights contained in the American Declaration.</w:t>
      </w:r>
      <w:r w:rsidRPr="00D920C9">
        <w:rPr>
          <w:rFonts w:asciiTheme="minorHAnsi" w:hAnsiTheme="minorHAnsi"/>
          <w:szCs w:val="20"/>
          <w:vertAlign w:val="superscript"/>
        </w:rPr>
        <w:footnoteReference w:id="24"/>
      </w:r>
      <w:r w:rsidRPr="00D920C9">
        <w:rPr>
          <w:rFonts w:asciiTheme="minorHAnsi" w:hAnsiTheme="minorHAnsi"/>
          <w:szCs w:val="20"/>
        </w:rPr>
        <w:t xml:space="preserve"> </w:t>
      </w:r>
      <w:r w:rsidR="00280E83" w:rsidRPr="00D920C9">
        <w:rPr>
          <w:rFonts w:asciiTheme="minorHAnsi" w:hAnsiTheme="minorHAnsi"/>
          <w:szCs w:val="20"/>
        </w:rPr>
        <w:t>Under international law</w:t>
      </w:r>
      <w:r w:rsidRPr="00D920C9">
        <w:rPr>
          <w:rFonts w:asciiTheme="minorHAnsi" w:hAnsiTheme="minorHAnsi"/>
          <w:szCs w:val="20"/>
        </w:rPr>
        <w:t xml:space="preserve"> the United States is </w:t>
      </w:r>
      <w:r w:rsidR="00280E83" w:rsidRPr="00D920C9">
        <w:rPr>
          <w:rFonts w:asciiTheme="minorHAnsi" w:hAnsiTheme="minorHAnsi"/>
          <w:szCs w:val="20"/>
        </w:rPr>
        <w:t>required</w:t>
      </w:r>
      <w:r w:rsidRPr="00D920C9">
        <w:rPr>
          <w:rFonts w:asciiTheme="minorHAnsi" w:hAnsiTheme="minorHAnsi"/>
          <w:szCs w:val="20"/>
        </w:rPr>
        <w:t xml:space="preserve"> to harmonize, interpret, and apply its Constitution, domestic legislation, and policies in line with its international obligations at the federal, state, and local levels.</w:t>
      </w:r>
    </w:p>
    <w:p w14:paraId="358E3B0B" w14:textId="77777777" w:rsidR="005274F9" w:rsidRPr="00D920C9" w:rsidRDefault="005274F9"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The Commission recalls that under international law, the federal government, which commits to international obligations, has a duty to take measures in accordance with internal law to ensure that the entities within the federation are in compliance with the State’s overall duties. In this regard, the federal government </w:t>
      </w:r>
      <w:r w:rsidR="00B5334C" w:rsidRPr="00D920C9">
        <w:rPr>
          <w:rFonts w:asciiTheme="minorHAnsi" w:hAnsiTheme="minorHAnsi"/>
          <w:szCs w:val="20"/>
        </w:rPr>
        <w:t>is responsible</w:t>
      </w:r>
      <w:r w:rsidRPr="00D920C9">
        <w:rPr>
          <w:rFonts w:asciiTheme="minorHAnsi" w:hAnsiTheme="minorHAnsi"/>
          <w:szCs w:val="20"/>
        </w:rPr>
        <w:t xml:space="preserve"> to ensure that entities within it observe required standards. </w:t>
      </w:r>
    </w:p>
    <w:p w14:paraId="2C7BEAB7" w14:textId="76D7E21B"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The American Declaration recognizes a number of fundamental human rights relevant in the contexts of non-discrimination, the use of force, and access to justice guarantees. Provisions </w:t>
      </w:r>
      <w:r w:rsidR="000556A7" w:rsidRPr="00D920C9">
        <w:rPr>
          <w:rFonts w:asciiTheme="minorHAnsi" w:hAnsiTheme="minorHAnsi"/>
          <w:szCs w:val="20"/>
        </w:rPr>
        <w:t>that</w:t>
      </w:r>
      <w:r w:rsidR="00F64E0D" w:rsidRPr="00D920C9">
        <w:rPr>
          <w:rFonts w:asciiTheme="minorHAnsi" w:hAnsiTheme="minorHAnsi"/>
          <w:szCs w:val="20"/>
        </w:rPr>
        <w:t xml:space="preserve"> are pertinent</w:t>
      </w:r>
      <w:r w:rsidRPr="00D920C9">
        <w:rPr>
          <w:rFonts w:asciiTheme="minorHAnsi" w:hAnsiTheme="minorHAnsi"/>
          <w:szCs w:val="20"/>
        </w:rPr>
        <w:t xml:space="preserve"> to the right to non-discrimination include the right to equality before law (Article II) and the right to special protections for mothers and children (Article VII). Regarding the use of force, the American Declaration </w:t>
      </w:r>
      <w:r w:rsidR="00280E83" w:rsidRPr="00D920C9">
        <w:rPr>
          <w:rFonts w:asciiTheme="minorHAnsi" w:hAnsiTheme="minorHAnsi"/>
          <w:szCs w:val="20"/>
        </w:rPr>
        <w:t>recognizes</w:t>
      </w:r>
      <w:r w:rsidRPr="00D920C9">
        <w:rPr>
          <w:rFonts w:asciiTheme="minorHAnsi" w:hAnsiTheme="minorHAnsi"/>
          <w:szCs w:val="20"/>
        </w:rPr>
        <w:t xml:space="preserve"> the right to life, liberty and personal security (Article I) and the right of protection from arbitrary arrest (Article XXV). Regarding the right to access to justice, the Declaration includes the right to a fair trial (Article XXIII), the right of petition (Article XXIV)</w:t>
      </w:r>
      <w:r w:rsidR="00F64E0D" w:rsidRPr="00D920C9">
        <w:rPr>
          <w:rFonts w:asciiTheme="minorHAnsi" w:hAnsiTheme="minorHAnsi"/>
          <w:szCs w:val="20"/>
        </w:rPr>
        <w:t>,</w:t>
      </w:r>
      <w:r w:rsidRPr="00D920C9">
        <w:rPr>
          <w:rFonts w:asciiTheme="minorHAnsi" w:hAnsiTheme="minorHAnsi"/>
          <w:szCs w:val="20"/>
        </w:rPr>
        <w:t xml:space="preserve"> and the right to due process of law (Article XXVI). Other rights pertinent to issues of excessive use of force against African</w:t>
      </w:r>
      <w:r w:rsidR="0030356C" w:rsidRPr="00D920C9">
        <w:rPr>
          <w:rFonts w:asciiTheme="minorHAnsi" w:hAnsiTheme="minorHAnsi"/>
          <w:szCs w:val="20"/>
        </w:rPr>
        <w:t xml:space="preserve"> </w:t>
      </w:r>
      <w:r w:rsidRPr="00D920C9">
        <w:rPr>
          <w:rFonts w:asciiTheme="minorHAnsi" w:hAnsiTheme="minorHAnsi"/>
          <w:szCs w:val="20"/>
        </w:rPr>
        <w:t>Americans include the right to recognition of juridical personality and civil rights (Article XVII)</w:t>
      </w:r>
      <w:r w:rsidR="00F64E0D" w:rsidRPr="00D920C9">
        <w:rPr>
          <w:rFonts w:asciiTheme="minorHAnsi" w:hAnsiTheme="minorHAnsi"/>
          <w:szCs w:val="20"/>
        </w:rPr>
        <w:t>,</w:t>
      </w:r>
      <w:r w:rsidRPr="00D920C9">
        <w:rPr>
          <w:rFonts w:asciiTheme="minorHAnsi" w:hAnsiTheme="minorHAnsi"/>
          <w:szCs w:val="20"/>
        </w:rPr>
        <w:t xml:space="preserve"> and the right to freedom of assembly (Article XXI).</w:t>
      </w:r>
    </w:p>
    <w:p w14:paraId="28E84087" w14:textId="77777777" w:rsidR="005274F9"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The Commission has stated that implement</w:t>
      </w:r>
      <w:r w:rsidR="0070555B" w:rsidRPr="00D920C9">
        <w:rPr>
          <w:rFonts w:asciiTheme="minorHAnsi" w:hAnsiTheme="minorHAnsi"/>
          <w:szCs w:val="20"/>
        </w:rPr>
        <w:t>ing</w:t>
      </w:r>
      <w:r w:rsidRPr="00D920C9">
        <w:rPr>
          <w:rFonts w:asciiTheme="minorHAnsi" w:hAnsiTheme="minorHAnsi"/>
          <w:szCs w:val="20"/>
        </w:rPr>
        <w:t xml:space="preserve"> these provisions </w:t>
      </w:r>
      <w:r w:rsidR="0042488F" w:rsidRPr="00D920C9">
        <w:rPr>
          <w:rFonts w:asciiTheme="minorHAnsi" w:hAnsiTheme="minorHAnsi"/>
          <w:szCs w:val="20"/>
        </w:rPr>
        <w:t>of</w:t>
      </w:r>
      <w:r w:rsidRPr="00D920C9">
        <w:rPr>
          <w:rFonts w:asciiTheme="minorHAnsi" w:hAnsiTheme="minorHAnsi"/>
          <w:szCs w:val="20"/>
        </w:rPr>
        <w:t xml:space="preserve"> the American Declaration include</w:t>
      </w:r>
      <w:r w:rsidR="00F64E0D" w:rsidRPr="00D920C9">
        <w:rPr>
          <w:rFonts w:asciiTheme="minorHAnsi" w:hAnsiTheme="minorHAnsi"/>
          <w:szCs w:val="20"/>
        </w:rPr>
        <w:t>s</w:t>
      </w:r>
      <w:r w:rsidRPr="00D920C9">
        <w:rPr>
          <w:rFonts w:asciiTheme="minorHAnsi" w:hAnsiTheme="minorHAnsi"/>
          <w:szCs w:val="20"/>
        </w:rPr>
        <w:t xml:space="preserve"> the obligation to act with due diligence to prevent, investigate, and punish human rights violations, and the obligation to organize the entire State administrative and legal structure to enable the full exercise of human rights.</w:t>
      </w:r>
      <w:r w:rsidR="0038546C" w:rsidRPr="00D920C9">
        <w:rPr>
          <w:rFonts w:asciiTheme="minorHAnsi" w:hAnsiTheme="minorHAnsi"/>
          <w:szCs w:val="20"/>
        </w:rPr>
        <w:t xml:space="preserve"> Such a</w:t>
      </w:r>
      <w:r w:rsidRPr="00D920C9">
        <w:rPr>
          <w:rFonts w:asciiTheme="minorHAnsi" w:hAnsiTheme="minorHAnsi"/>
          <w:szCs w:val="20"/>
        </w:rPr>
        <w:t>ctions may include reforms and reparations intended to transform the existing situation, as well as the adoption of special measures and affirmative actions aimed at effectively promoting rights.</w:t>
      </w:r>
      <w:r w:rsidRPr="00D920C9">
        <w:rPr>
          <w:rFonts w:asciiTheme="minorHAnsi" w:hAnsiTheme="minorHAnsi"/>
          <w:szCs w:val="20"/>
          <w:vertAlign w:val="superscript"/>
        </w:rPr>
        <w:footnoteReference w:id="25"/>
      </w:r>
      <w:r w:rsidR="00750708" w:rsidRPr="00D920C9">
        <w:rPr>
          <w:rFonts w:asciiTheme="minorHAnsi" w:hAnsiTheme="minorHAnsi"/>
          <w:szCs w:val="20"/>
        </w:rPr>
        <w:t xml:space="preserve"> </w:t>
      </w:r>
    </w:p>
    <w:p w14:paraId="710050E8" w14:textId="51AEB4F1" w:rsidR="001E0695"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The Commission has traditionally interpreted the scope of the obligations established </w:t>
      </w:r>
      <w:r w:rsidR="0070555B" w:rsidRPr="00D920C9">
        <w:rPr>
          <w:rFonts w:asciiTheme="minorHAnsi" w:hAnsiTheme="minorHAnsi"/>
          <w:szCs w:val="20"/>
        </w:rPr>
        <w:t>by</w:t>
      </w:r>
      <w:r w:rsidRPr="00D920C9">
        <w:rPr>
          <w:rFonts w:asciiTheme="minorHAnsi" w:hAnsiTheme="minorHAnsi"/>
          <w:szCs w:val="20"/>
        </w:rPr>
        <w:t xml:space="preserve"> the American Declaration in the context of the broader jurisprudence of the universal and inter-American human rights systems, </w:t>
      </w:r>
      <w:r w:rsidRPr="00D920C9">
        <w:rPr>
          <w:rFonts w:asciiTheme="minorHAnsi" w:hAnsiTheme="minorHAnsi"/>
          <w:szCs w:val="20"/>
        </w:rPr>
        <w:lastRenderedPageBreak/>
        <w:t>in light of developments in the field of international human rights law since the Declaration was first adopted, and with due regard to other rules of international law applicable to Member States.</w:t>
      </w:r>
      <w:r w:rsidRPr="00D920C9">
        <w:rPr>
          <w:rFonts w:asciiTheme="minorHAnsi" w:hAnsiTheme="minorHAnsi"/>
          <w:szCs w:val="20"/>
          <w:vertAlign w:val="superscript"/>
        </w:rPr>
        <w:footnoteReference w:id="26"/>
      </w:r>
      <w:bookmarkStart w:id="27" w:name="_Toc511837805"/>
      <w:r w:rsidR="001E0695" w:rsidRPr="00D920C9">
        <w:rPr>
          <w:rFonts w:asciiTheme="minorHAnsi" w:hAnsiTheme="minorHAnsi"/>
          <w:szCs w:val="20"/>
        </w:rPr>
        <w:t xml:space="preserve">  In its legal analysis, the IACHR takes into consideration the United States’ obligations as a party to certain UN human rights treaties, including the </w:t>
      </w:r>
      <w:r w:rsidR="005274F9" w:rsidRPr="00D920C9">
        <w:rPr>
          <w:rFonts w:asciiTheme="minorHAnsi" w:hAnsiTheme="minorHAnsi"/>
          <w:szCs w:val="20"/>
        </w:rPr>
        <w:t>International Covenant on Civil and Political Rights (</w:t>
      </w:r>
      <w:r w:rsidR="001E0695" w:rsidRPr="00D920C9">
        <w:rPr>
          <w:rFonts w:asciiTheme="minorHAnsi" w:hAnsiTheme="minorHAnsi"/>
          <w:szCs w:val="20"/>
        </w:rPr>
        <w:t>ICCPR</w:t>
      </w:r>
      <w:r w:rsidR="005274F9" w:rsidRPr="00D920C9">
        <w:rPr>
          <w:rFonts w:asciiTheme="minorHAnsi" w:hAnsiTheme="minorHAnsi"/>
          <w:szCs w:val="20"/>
        </w:rPr>
        <w:t>)</w:t>
      </w:r>
      <w:r w:rsidR="001E0695" w:rsidRPr="00D920C9">
        <w:rPr>
          <w:rFonts w:asciiTheme="minorHAnsi" w:hAnsiTheme="minorHAnsi"/>
          <w:szCs w:val="20"/>
        </w:rPr>
        <w:t>, the</w:t>
      </w:r>
      <w:r w:rsidR="005274F9" w:rsidRPr="00D920C9">
        <w:rPr>
          <w:rFonts w:asciiTheme="minorHAnsi" w:hAnsiTheme="minorHAnsi"/>
          <w:szCs w:val="20"/>
        </w:rPr>
        <w:t xml:space="preserve"> International Convention on the Elimination of All Forms of Racial Discrimination</w:t>
      </w:r>
      <w:r w:rsidR="001E0695" w:rsidRPr="00D920C9">
        <w:rPr>
          <w:rFonts w:asciiTheme="minorHAnsi" w:hAnsiTheme="minorHAnsi"/>
          <w:szCs w:val="20"/>
        </w:rPr>
        <w:t xml:space="preserve"> </w:t>
      </w:r>
      <w:r w:rsidR="005274F9" w:rsidRPr="00D920C9">
        <w:rPr>
          <w:rFonts w:asciiTheme="minorHAnsi" w:hAnsiTheme="minorHAnsi"/>
          <w:szCs w:val="20"/>
        </w:rPr>
        <w:t>(I</w:t>
      </w:r>
      <w:r w:rsidR="001E0695" w:rsidRPr="00D920C9">
        <w:rPr>
          <w:rFonts w:asciiTheme="minorHAnsi" w:hAnsiTheme="minorHAnsi"/>
          <w:szCs w:val="20"/>
        </w:rPr>
        <w:t>CERD</w:t>
      </w:r>
      <w:r w:rsidR="005274F9" w:rsidRPr="00D920C9">
        <w:rPr>
          <w:rFonts w:asciiTheme="minorHAnsi" w:hAnsiTheme="minorHAnsi"/>
          <w:szCs w:val="20"/>
        </w:rPr>
        <w:t>)</w:t>
      </w:r>
      <w:r w:rsidR="001E0695" w:rsidRPr="00D920C9">
        <w:rPr>
          <w:rFonts w:asciiTheme="minorHAnsi" w:hAnsiTheme="minorHAnsi"/>
          <w:szCs w:val="20"/>
        </w:rPr>
        <w:t xml:space="preserve">, and the </w:t>
      </w:r>
      <w:r w:rsidR="00F97B50" w:rsidRPr="00D920C9">
        <w:rPr>
          <w:rFonts w:asciiTheme="minorHAnsi" w:hAnsiTheme="minorHAnsi"/>
          <w:szCs w:val="20"/>
        </w:rPr>
        <w:t>Convention a</w:t>
      </w:r>
      <w:r w:rsidR="005274F9" w:rsidRPr="00D920C9">
        <w:rPr>
          <w:rFonts w:asciiTheme="minorHAnsi" w:hAnsiTheme="minorHAnsi"/>
          <w:szCs w:val="20"/>
        </w:rPr>
        <w:t>gainst Torture and Other Cruel, Inhuman or Degrading Treatment or Punishment (</w:t>
      </w:r>
      <w:r w:rsidR="001E0695" w:rsidRPr="00D920C9">
        <w:rPr>
          <w:rFonts w:asciiTheme="minorHAnsi" w:hAnsiTheme="minorHAnsi"/>
          <w:szCs w:val="20"/>
        </w:rPr>
        <w:t>CAT</w:t>
      </w:r>
      <w:r w:rsidR="005274F9" w:rsidRPr="00D920C9">
        <w:rPr>
          <w:rFonts w:asciiTheme="minorHAnsi" w:hAnsiTheme="minorHAnsi"/>
          <w:szCs w:val="20"/>
        </w:rPr>
        <w:t>)</w:t>
      </w:r>
      <w:r w:rsidR="001E0695" w:rsidRPr="00D920C9">
        <w:rPr>
          <w:rFonts w:asciiTheme="minorHAnsi" w:hAnsiTheme="minorHAnsi"/>
          <w:szCs w:val="20"/>
        </w:rPr>
        <w:t>.</w:t>
      </w:r>
    </w:p>
    <w:p w14:paraId="5047E05C" w14:textId="55A670E2" w:rsidR="00B33A47" w:rsidRPr="003443D5" w:rsidRDefault="00B33A47" w:rsidP="003443D5">
      <w:pPr>
        <w:pStyle w:val="ListParagraph"/>
        <w:numPr>
          <w:ilvl w:val="0"/>
          <w:numId w:val="9"/>
        </w:numPr>
        <w:spacing w:after="240" w:line="240" w:lineRule="auto"/>
        <w:ind w:left="547" w:hanging="547"/>
        <w:contextualSpacing w:val="0"/>
        <w:jc w:val="both"/>
        <w:rPr>
          <w:rFonts w:asciiTheme="minorHAnsi" w:hAnsiTheme="minorHAnsi"/>
          <w:szCs w:val="20"/>
        </w:rPr>
      </w:pPr>
      <w:r w:rsidRPr="003443D5">
        <w:rPr>
          <w:rFonts w:asciiTheme="minorHAnsi" w:hAnsiTheme="minorHAnsi"/>
          <w:szCs w:val="20"/>
        </w:rPr>
        <w:t xml:space="preserve">The IACHR considered and approved the draft version of this report on July 24, 2018.  Pursuant to Article 60(a) of its Rules of Procedure, the Commission forwarded the draft report to the Government of the United States on July 30, 2018, and requested it to present its observations within 30 days. On August 30, 2018, the term granted to the State was exhausted without any manifestation on its part. The Commission approved the final version on </w:t>
      </w:r>
      <w:r w:rsidR="003443D5" w:rsidRPr="003443D5">
        <w:rPr>
          <w:rFonts w:asciiTheme="minorHAnsi" w:hAnsiTheme="minorHAnsi"/>
          <w:szCs w:val="20"/>
        </w:rPr>
        <w:t xml:space="preserve">November 26, </w:t>
      </w:r>
      <w:r w:rsidRPr="003443D5">
        <w:rPr>
          <w:rFonts w:asciiTheme="minorHAnsi" w:hAnsiTheme="minorHAnsi"/>
          <w:szCs w:val="20"/>
        </w:rPr>
        <w:t>2018</w:t>
      </w:r>
    </w:p>
    <w:p w14:paraId="37CC2031" w14:textId="77777777" w:rsidR="00827630" w:rsidRDefault="00827630" w:rsidP="002D7BB4">
      <w:pPr>
        <w:rPr>
          <w:rFonts w:asciiTheme="minorHAnsi" w:hAnsiTheme="minorHAnsi"/>
        </w:rPr>
      </w:pPr>
    </w:p>
    <w:p w14:paraId="307711B2" w14:textId="77777777" w:rsidR="00B33A47" w:rsidRPr="00D920C9" w:rsidRDefault="00B33A47" w:rsidP="002D7BB4">
      <w:pPr>
        <w:rPr>
          <w:rFonts w:asciiTheme="minorHAnsi" w:hAnsiTheme="minorHAnsi"/>
        </w:rPr>
        <w:sectPr w:rsidR="00B33A47" w:rsidRPr="00D920C9" w:rsidSect="001E4747">
          <w:headerReference w:type="default" r:id="rId23"/>
          <w:footerReference w:type="default" r:id="rId24"/>
          <w:type w:val="oddPage"/>
          <w:pgSz w:w="10080" w:h="14400" w:code="1"/>
          <w:pgMar w:top="1152" w:right="1152" w:bottom="1152" w:left="1296" w:header="720" w:footer="720" w:gutter="0"/>
          <w:cols w:space="708"/>
          <w:docGrid w:linePitch="360"/>
        </w:sectPr>
      </w:pPr>
    </w:p>
    <w:p w14:paraId="075A444B" w14:textId="1FDB3600" w:rsidR="00A0401B" w:rsidRPr="00A0401B" w:rsidRDefault="00A0401B" w:rsidP="00007A36">
      <w:pPr>
        <w:pStyle w:val="CAP1"/>
      </w:pPr>
      <w:bookmarkStart w:id="28" w:name="_Toc511902978"/>
      <w:bookmarkStart w:id="29" w:name="_Toc517687908"/>
      <w:r w:rsidRPr="00A0401B">
        <w:lastRenderedPageBreak/>
        <w:t xml:space="preserve">CHAPTER </w:t>
      </w:r>
      <w:r>
        <w:t>2</w:t>
      </w:r>
    </w:p>
    <w:p w14:paraId="6C872DA1" w14:textId="64824651" w:rsidR="00A0401B" w:rsidRDefault="005340FA" w:rsidP="003F5BAC">
      <w:pPr>
        <w:pStyle w:val="CAP2"/>
        <w:spacing w:after="0" w:line="240" w:lineRule="auto"/>
        <w:sectPr w:rsidR="00A0401B" w:rsidSect="005340FA">
          <w:headerReference w:type="default" r:id="rId25"/>
          <w:footerReference w:type="default" r:id="rId26"/>
          <w:headerReference w:type="first" r:id="rId27"/>
          <w:type w:val="oddPage"/>
          <w:pgSz w:w="10080" w:h="14400" w:code="13"/>
          <w:pgMar w:top="1152" w:right="1152" w:bottom="1152" w:left="1296" w:header="720" w:footer="720" w:gutter="0"/>
          <w:cols w:space="708"/>
          <w:vAlign w:val="center"/>
          <w:docGrid w:linePitch="360"/>
        </w:sectPr>
      </w:pPr>
      <w:r>
        <w:t>STRUCTURAL DISCRIMINATION</w:t>
      </w:r>
      <w:r w:rsidR="00A0401B">
        <w:t xml:space="preserve"> AND EXCESSIVE USE OF FORCE IN THE U.S.</w:t>
      </w:r>
    </w:p>
    <w:p w14:paraId="2CFBB924" w14:textId="7007F929" w:rsidR="00B4412C" w:rsidRPr="00D920C9" w:rsidRDefault="001D6578" w:rsidP="00007A36">
      <w:pPr>
        <w:pStyle w:val="Heading1"/>
      </w:pPr>
      <w:r w:rsidRPr="00D920C9">
        <w:lastRenderedPageBreak/>
        <w:t>STRUCTURAL DISCRIMINATION AND EXCESSIVE USE OF FORCE IN THE U.S.</w:t>
      </w:r>
      <w:bookmarkEnd w:id="27"/>
      <w:bookmarkEnd w:id="28"/>
      <w:bookmarkEnd w:id="29"/>
    </w:p>
    <w:p w14:paraId="4FFA5C8A" w14:textId="77777777" w:rsidR="001A4153"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In this section, the Commission </w:t>
      </w:r>
      <w:r w:rsidR="00BC2D83" w:rsidRPr="00D920C9">
        <w:rPr>
          <w:rFonts w:asciiTheme="minorHAnsi" w:hAnsiTheme="minorHAnsi"/>
          <w:szCs w:val="20"/>
        </w:rPr>
        <w:t xml:space="preserve">analyzes </w:t>
      </w:r>
      <w:r w:rsidRPr="00D920C9">
        <w:rPr>
          <w:rFonts w:asciiTheme="minorHAnsi" w:hAnsiTheme="minorHAnsi"/>
          <w:szCs w:val="20"/>
        </w:rPr>
        <w:t>the historical and contemporary situation of discrimination against Afro-descendants in the U</w:t>
      </w:r>
      <w:r w:rsidR="00904A46" w:rsidRPr="00D920C9">
        <w:rPr>
          <w:rFonts w:asciiTheme="minorHAnsi" w:hAnsiTheme="minorHAnsi"/>
          <w:szCs w:val="20"/>
        </w:rPr>
        <w:t>.</w:t>
      </w:r>
      <w:r w:rsidRPr="00D920C9">
        <w:rPr>
          <w:rFonts w:asciiTheme="minorHAnsi" w:hAnsiTheme="minorHAnsi"/>
          <w:szCs w:val="20"/>
        </w:rPr>
        <w:t>S</w:t>
      </w:r>
      <w:r w:rsidR="00904A46" w:rsidRPr="00D920C9">
        <w:rPr>
          <w:rFonts w:asciiTheme="minorHAnsi" w:hAnsiTheme="minorHAnsi"/>
          <w:szCs w:val="20"/>
        </w:rPr>
        <w:t>.</w:t>
      </w:r>
      <w:r w:rsidRPr="00D920C9">
        <w:rPr>
          <w:rFonts w:asciiTheme="minorHAnsi" w:hAnsiTheme="minorHAnsi"/>
          <w:szCs w:val="20"/>
        </w:rPr>
        <w:t xml:space="preserve">, highlighting the structural and pervasive nature of the discrimination </w:t>
      </w:r>
      <w:r w:rsidR="0063653F" w:rsidRPr="00D920C9">
        <w:rPr>
          <w:rFonts w:asciiTheme="minorHAnsi" w:hAnsiTheme="minorHAnsi"/>
          <w:szCs w:val="20"/>
        </w:rPr>
        <w:t>against</w:t>
      </w:r>
      <w:r w:rsidRPr="00D920C9">
        <w:rPr>
          <w:rFonts w:asciiTheme="minorHAnsi" w:hAnsiTheme="minorHAnsi"/>
          <w:szCs w:val="20"/>
        </w:rPr>
        <w:t xml:space="preserve"> this group, as well as links between historical forms of discrimination and current discriminatory situations and practices in the </w:t>
      </w:r>
      <w:r w:rsidR="0063653F" w:rsidRPr="00D920C9">
        <w:rPr>
          <w:rFonts w:asciiTheme="minorHAnsi" w:hAnsiTheme="minorHAnsi"/>
          <w:szCs w:val="20"/>
        </w:rPr>
        <w:t>areas of policing and criminal justice</w:t>
      </w:r>
      <w:r w:rsidRPr="00D920C9">
        <w:rPr>
          <w:rFonts w:asciiTheme="minorHAnsi" w:hAnsiTheme="minorHAnsi"/>
          <w:szCs w:val="20"/>
        </w:rPr>
        <w:t xml:space="preserve">. The Commission considers that a reckoning with the legacy of </w:t>
      </w:r>
      <w:r w:rsidR="00BC2D83" w:rsidRPr="00D920C9">
        <w:rPr>
          <w:rFonts w:asciiTheme="minorHAnsi" w:hAnsiTheme="minorHAnsi"/>
          <w:szCs w:val="20"/>
        </w:rPr>
        <w:t xml:space="preserve">enslavement, segregation, </w:t>
      </w:r>
      <w:r w:rsidRPr="00D920C9">
        <w:rPr>
          <w:rFonts w:asciiTheme="minorHAnsi" w:hAnsiTheme="minorHAnsi"/>
          <w:szCs w:val="20"/>
        </w:rPr>
        <w:t xml:space="preserve">and discrimination in the </w:t>
      </w:r>
      <w:r w:rsidR="00904A46" w:rsidRPr="00D920C9">
        <w:rPr>
          <w:rFonts w:asciiTheme="minorHAnsi" w:hAnsiTheme="minorHAnsi"/>
          <w:szCs w:val="20"/>
        </w:rPr>
        <w:t>U.S.</w:t>
      </w:r>
      <w:r w:rsidRPr="00D920C9">
        <w:rPr>
          <w:rFonts w:asciiTheme="minorHAnsi" w:hAnsiTheme="minorHAnsi"/>
          <w:szCs w:val="20"/>
        </w:rPr>
        <w:t xml:space="preserve"> is necessary to effectively transform the situation in the future.</w:t>
      </w:r>
      <w:r w:rsidRPr="00D920C9">
        <w:rPr>
          <w:rFonts w:asciiTheme="minorHAnsi" w:hAnsiTheme="minorHAnsi"/>
          <w:vertAlign w:val="superscript"/>
        </w:rPr>
        <w:footnoteReference w:id="27"/>
      </w:r>
      <w:r w:rsidRPr="00D920C9">
        <w:rPr>
          <w:rFonts w:asciiTheme="minorHAnsi" w:hAnsiTheme="minorHAnsi"/>
          <w:szCs w:val="20"/>
        </w:rPr>
        <w:t xml:space="preserve"> While </w:t>
      </w:r>
      <w:r w:rsidR="00AC33D7" w:rsidRPr="00D920C9">
        <w:rPr>
          <w:rFonts w:asciiTheme="minorHAnsi" w:hAnsiTheme="minorHAnsi"/>
          <w:szCs w:val="20"/>
        </w:rPr>
        <w:t>special emphasis is placed</w:t>
      </w:r>
      <w:r w:rsidRPr="00D920C9">
        <w:rPr>
          <w:rFonts w:asciiTheme="minorHAnsi" w:hAnsiTheme="minorHAnsi"/>
          <w:szCs w:val="20"/>
        </w:rPr>
        <w:t xml:space="preserve"> on discrimination in policing, </w:t>
      </w:r>
      <w:r w:rsidR="0089510B" w:rsidRPr="00D920C9">
        <w:rPr>
          <w:rFonts w:asciiTheme="minorHAnsi" w:hAnsiTheme="minorHAnsi"/>
          <w:szCs w:val="20"/>
        </w:rPr>
        <w:t xml:space="preserve">the Commission notes that </w:t>
      </w:r>
      <w:r w:rsidR="00AC33D7" w:rsidRPr="00D920C9">
        <w:rPr>
          <w:rFonts w:asciiTheme="minorHAnsi" w:hAnsiTheme="minorHAnsi"/>
          <w:szCs w:val="20"/>
        </w:rPr>
        <w:t xml:space="preserve">this issue is indivisible from the larger structural situation of </w:t>
      </w:r>
      <w:r w:rsidR="0089510B" w:rsidRPr="00D920C9">
        <w:rPr>
          <w:rFonts w:asciiTheme="minorHAnsi" w:hAnsiTheme="minorHAnsi"/>
          <w:szCs w:val="20"/>
        </w:rPr>
        <w:t>discrimination against</w:t>
      </w:r>
      <w:r w:rsidRPr="00D920C9">
        <w:rPr>
          <w:rFonts w:asciiTheme="minorHAnsi" w:hAnsiTheme="minorHAnsi"/>
          <w:szCs w:val="20"/>
        </w:rPr>
        <w:t xml:space="preserve"> </w:t>
      </w:r>
      <w:r w:rsidR="0089510B" w:rsidRPr="00D920C9">
        <w:rPr>
          <w:rFonts w:asciiTheme="minorHAnsi" w:hAnsiTheme="minorHAnsi"/>
          <w:szCs w:val="20"/>
        </w:rPr>
        <w:t>African Americans</w:t>
      </w:r>
      <w:r w:rsidRPr="00D920C9">
        <w:rPr>
          <w:rFonts w:asciiTheme="minorHAnsi" w:hAnsiTheme="minorHAnsi"/>
          <w:szCs w:val="20"/>
        </w:rPr>
        <w:t xml:space="preserve"> in the </w:t>
      </w:r>
      <w:r w:rsidR="00904A46" w:rsidRPr="00D920C9">
        <w:rPr>
          <w:rFonts w:asciiTheme="minorHAnsi" w:hAnsiTheme="minorHAnsi"/>
          <w:szCs w:val="20"/>
        </w:rPr>
        <w:t>U.S</w:t>
      </w:r>
      <w:r w:rsidRPr="00D920C9">
        <w:rPr>
          <w:rFonts w:asciiTheme="minorHAnsi" w:hAnsiTheme="minorHAnsi"/>
          <w:szCs w:val="20"/>
        </w:rPr>
        <w:t xml:space="preserve">. </w:t>
      </w:r>
    </w:p>
    <w:p w14:paraId="52BCF864" w14:textId="77777777" w:rsidR="001A4153"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Most obviously, discrimination in policing is closely linked to discrimination in the criminal justice system as a whole (including racial disparities in arrests and incarceration rates), as well as to other disparities in access to and the full enjoyment of other civil and political rights (including access to justice for victims of police violence and families, and lasting consequences of incarceration, including enjoyment of the right to vote). </w:t>
      </w:r>
      <w:r w:rsidR="0089510B" w:rsidRPr="00D920C9">
        <w:rPr>
          <w:rFonts w:asciiTheme="minorHAnsi" w:hAnsiTheme="minorHAnsi"/>
          <w:szCs w:val="20"/>
        </w:rPr>
        <w:t xml:space="preserve">Indeed, disparities in the nature and intensity of policing of </w:t>
      </w:r>
      <w:r w:rsidR="00F64E0D" w:rsidRPr="00D920C9">
        <w:rPr>
          <w:rFonts w:asciiTheme="minorHAnsi" w:hAnsiTheme="minorHAnsi"/>
          <w:szCs w:val="20"/>
        </w:rPr>
        <w:t xml:space="preserve">Afro-descendant communities and </w:t>
      </w:r>
      <w:r w:rsidR="001A4153" w:rsidRPr="00D920C9">
        <w:rPr>
          <w:rFonts w:asciiTheme="minorHAnsi" w:hAnsiTheme="minorHAnsi"/>
          <w:szCs w:val="20"/>
        </w:rPr>
        <w:t xml:space="preserve">other historically marginalized groups </w:t>
      </w:r>
      <w:r w:rsidR="006546CE" w:rsidRPr="00D920C9">
        <w:rPr>
          <w:rFonts w:asciiTheme="minorHAnsi" w:hAnsiTheme="minorHAnsi"/>
          <w:szCs w:val="20"/>
        </w:rPr>
        <w:t>(racial profiling)</w:t>
      </w:r>
      <w:r w:rsidR="007C446D" w:rsidRPr="00D920C9">
        <w:rPr>
          <w:rFonts w:asciiTheme="minorHAnsi" w:hAnsiTheme="minorHAnsi"/>
          <w:szCs w:val="20"/>
        </w:rPr>
        <w:t>, including Native Americans and Hispanics,</w:t>
      </w:r>
      <w:r w:rsidR="006546CE" w:rsidRPr="00D920C9">
        <w:rPr>
          <w:rFonts w:asciiTheme="minorHAnsi" w:hAnsiTheme="minorHAnsi"/>
          <w:szCs w:val="20"/>
        </w:rPr>
        <w:t xml:space="preserve"> </w:t>
      </w:r>
      <w:r w:rsidR="007C446D" w:rsidRPr="00D920C9">
        <w:rPr>
          <w:rFonts w:asciiTheme="minorHAnsi" w:hAnsiTheme="minorHAnsi"/>
          <w:szCs w:val="20"/>
        </w:rPr>
        <w:t xml:space="preserve">among others, </w:t>
      </w:r>
      <w:r w:rsidR="0089510B" w:rsidRPr="00D920C9">
        <w:rPr>
          <w:rFonts w:asciiTheme="minorHAnsi" w:hAnsiTheme="minorHAnsi"/>
          <w:szCs w:val="20"/>
        </w:rPr>
        <w:t>has profoundly influenced what kinds of behavior and which individuals are considered criminal, which necessarily influences rates of criminalization and treatment by the criminal justice system.</w:t>
      </w:r>
      <w:r w:rsidR="0089510B" w:rsidRPr="00D920C9">
        <w:rPr>
          <w:rFonts w:asciiTheme="minorHAnsi" w:hAnsiTheme="minorHAnsi"/>
          <w:vertAlign w:val="superscript"/>
        </w:rPr>
        <w:footnoteReference w:id="28"/>
      </w:r>
      <w:r w:rsidR="0089510B" w:rsidRPr="00D920C9">
        <w:rPr>
          <w:rFonts w:asciiTheme="minorHAnsi" w:hAnsiTheme="minorHAnsi"/>
          <w:szCs w:val="20"/>
        </w:rPr>
        <w:t xml:space="preserve"> </w:t>
      </w:r>
      <w:r w:rsidRPr="00D920C9">
        <w:rPr>
          <w:rFonts w:asciiTheme="minorHAnsi" w:hAnsiTheme="minorHAnsi"/>
          <w:szCs w:val="20"/>
        </w:rPr>
        <w:t xml:space="preserve">But discrimination in policing is also encouraged </w:t>
      </w:r>
      <w:r w:rsidR="00E4513C" w:rsidRPr="00D920C9">
        <w:rPr>
          <w:rFonts w:asciiTheme="minorHAnsi" w:hAnsiTheme="minorHAnsi"/>
          <w:szCs w:val="20"/>
        </w:rPr>
        <w:t>by</w:t>
      </w:r>
      <w:r w:rsidRPr="00D920C9">
        <w:rPr>
          <w:rFonts w:asciiTheme="minorHAnsi" w:hAnsiTheme="minorHAnsi"/>
          <w:szCs w:val="20"/>
        </w:rPr>
        <w:t xml:space="preserve"> structural discrimination in access to and the full enjoyment of social, economic, cultural, and environmental rights.</w:t>
      </w:r>
      <w:r w:rsidR="006546CE" w:rsidRPr="00D920C9">
        <w:rPr>
          <w:rFonts w:asciiTheme="minorHAnsi" w:hAnsiTheme="minorHAnsi"/>
          <w:vertAlign w:val="superscript"/>
        </w:rPr>
        <w:footnoteReference w:id="29"/>
      </w:r>
      <w:r w:rsidRPr="00D920C9">
        <w:rPr>
          <w:rFonts w:asciiTheme="minorHAnsi" w:hAnsiTheme="minorHAnsi"/>
          <w:szCs w:val="20"/>
        </w:rPr>
        <w:t xml:space="preserve"> In this sense, the Commission considers that </w:t>
      </w:r>
      <w:r w:rsidR="006546CE" w:rsidRPr="00D920C9">
        <w:rPr>
          <w:rFonts w:asciiTheme="minorHAnsi" w:hAnsiTheme="minorHAnsi"/>
          <w:szCs w:val="20"/>
        </w:rPr>
        <w:t>a fuller consideration of the history of racial discrimination</w:t>
      </w:r>
      <w:r w:rsidRPr="00D920C9">
        <w:rPr>
          <w:rFonts w:asciiTheme="minorHAnsi" w:hAnsiTheme="minorHAnsi"/>
          <w:szCs w:val="20"/>
        </w:rPr>
        <w:t xml:space="preserve"> against Afro-descendants in the United States</w:t>
      </w:r>
      <w:r w:rsidR="006546CE" w:rsidRPr="00D920C9">
        <w:rPr>
          <w:rFonts w:asciiTheme="minorHAnsi" w:hAnsiTheme="minorHAnsi"/>
          <w:szCs w:val="20"/>
        </w:rPr>
        <w:t xml:space="preserve"> is necessary</w:t>
      </w:r>
      <w:r w:rsidR="00F64E0D" w:rsidRPr="00D920C9">
        <w:rPr>
          <w:rFonts w:asciiTheme="minorHAnsi" w:hAnsiTheme="minorHAnsi"/>
          <w:szCs w:val="20"/>
        </w:rPr>
        <w:t xml:space="preserve"> to </w:t>
      </w:r>
      <w:r w:rsidR="001A4153" w:rsidRPr="00D920C9">
        <w:rPr>
          <w:rFonts w:asciiTheme="minorHAnsi" w:hAnsiTheme="minorHAnsi"/>
          <w:szCs w:val="20"/>
        </w:rPr>
        <w:t>fully address discrimination in the policing and criminal justice systems</w:t>
      </w:r>
      <w:r w:rsidR="008C2DB5" w:rsidRPr="00D920C9">
        <w:rPr>
          <w:rFonts w:asciiTheme="minorHAnsi" w:hAnsiTheme="minorHAnsi"/>
          <w:szCs w:val="20"/>
        </w:rPr>
        <w:t xml:space="preserve"> today</w:t>
      </w:r>
      <w:r w:rsidR="00F64E0D" w:rsidRPr="00D920C9">
        <w:rPr>
          <w:rFonts w:asciiTheme="minorHAnsi" w:hAnsiTheme="minorHAnsi"/>
          <w:szCs w:val="20"/>
        </w:rPr>
        <w:t>.</w:t>
      </w:r>
    </w:p>
    <w:p w14:paraId="36920180" w14:textId="77777777" w:rsidR="00B4412C" w:rsidRPr="00D920C9" w:rsidRDefault="00B4412C" w:rsidP="001167CB">
      <w:pPr>
        <w:pStyle w:val="Heading2"/>
        <w:numPr>
          <w:ilvl w:val="0"/>
          <w:numId w:val="31"/>
        </w:numPr>
        <w:ind w:left="540" w:hanging="540"/>
      </w:pPr>
      <w:bookmarkStart w:id="30" w:name="_Toc511837806"/>
      <w:bookmarkStart w:id="31" w:name="_Toc511902979"/>
      <w:bookmarkStart w:id="32" w:name="_Toc517687909"/>
      <w:r w:rsidRPr="00D920C9">
        <w:lastRenderedPageBreak/>
        <w:t xml:space="preserve">Initial </w:t>
      </w:r>
      <w:r w:rsidR="005E5723" w:rsidRPr="00D920C9">
        <w:t xml:space="preserve">Considerations </w:t>
      </w:r>
      <w:r w:rsidRPr="00D920C9">
        <w:t xml:space="preserve">on </w:t>
      </w:r>
      <w:r w:rsidR="005E5723" w:rsidRPr="00D920C9">
        <w:t>Structural Discrimination</w:t>
      </w:r>
      <w:bookmarkEnd w:id="30"/>
      <w:bookmarkEnd w:id="31"/>
      <w:bookmarkEnd w:id="32"/>
    </w:p>
    <w:p w14:paraId="1A5057EE" w14:textId="77777777" w:rsidR="002A5304" w:rsidRPr="00D920C9" w:rsidRDefault="002A5304"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eastAsia="Times New Roman" w:hAnsiTheme="minorHAnsi"/>
          <w:szCs w:val="20"/>
          <w:lang w:eastAsia="es-ES"/>
        </w:rPr>
        <w:t>The</w:t>
      </w:r>
      <w:r w:rsidR="00934E4D" w:rsidRPr="00D920C9">
        <w:rPr>
          <w:rFonts w:asciiTheme="minorHAnsi" w:eastAsia="Times New Roman" w:hAnsiTheme="minorHAnsi"/>
          <w:szCs w:val="20"/>
          <w:lang w:eastAsia="es-ES"/>
        </w:rPr>
        <w:t xml:space="preserve"> Inter-American</w:t>
      </w:r>
      <w:r w:rsidRPr="00D920C9">
        <w:rPr>
          <w:rFonts w:asciiTheme="minorHAnsi" w:eastAsia="Times New Roman" w:hAnsiTheme="minorHAnsi"/>
          <w:szCs w:val="20"/>
          <w:lang w:eastAsia="es-ES"/>
        </w:rPr>
        <w:t xml:space="preserve"> Commission has previously found that Afro-descendants in the Americas suffer from a situation of </w:t>
      </w:r>
      <w:r w:rsidRPr="00D920C9">
        <w:rPr>
          <w:rFonts w:asciiTheme="minorHAnsi" w:hAnsiTheme="minorHAnsi"/>
          <w:szCs w:val="20"/>
        </w:rPr>
        <w:t>structural discrimination, evidenced in indicators relating to poverty, political participation, contact with the criminal justice system, and access to quality housing, health care, and education, among others. Structural discrimination is also reflected in the cont</w:t>
      </w:r>
      <w:r w:rsidR="000723AE" w:rsidRPr="00D920C9">
        <w:rPr>
          <w:rFonts w:asciiTheme="minorHAnsi" w:hAnsiTheme="minorHAnsi"/>
          <w:szCs w:val="20"/>
        </w:rPr>
        <w:t>inued</w:t>
      </w:r>
      <w:r w:rsidRPr="00D920C9">
        <w:rPr>
          <w:rFonts w:asciiTheme="minorHAnsi" w:hAnsiTheme="minorHAnsi"/>
          <w:szCs w:val="20"/>
        </w:rPr>
        <w:t xml:space="preserve"> stereotyping of and prejudice against persons of African descent.</w:t>
      </w:r>
      <w:r w:rsidRPr="00D920C9">
        <w:rPr>
          <w:rFonts w:asciiTheme="minorHAnsi" w:hAnsiTheme="minorHAnsi"/>
          <w:vertAlign w:val="superscript"/>
        </w:rPr>
        <w:footnoteReference w:id="30"/>
      </w:r>
      <w:r w:rsidRPr="00D920C9">
        <w:rPr>
          <w:rFonts w:asciiTheme="minorHAnsi" w:hAnsiTheme="minorHAnsi"/>
          <w:szCs w:val="20"/>
        </w:rPr>
        <w:t xml:space="preserve"> </w:t>
      </w:r>
      <w:r w:rsidR="00934E4D" w:rsidRPr="00D920C9">
        <w:rPr>
          <w:rFonts w:asciiTheme="minorHAnsi" w:hAnsiTheme="minorHAnsi"/>
          <w:szCs w:val="20"/>
        </w:rPr>
        <w:t>Similarly, the Committee on the Elimination of Racial Discrimination (CERD) has recognized that “[r]</w:t>
      </w:r>
      <w:proofErr w:type="spellStart"/>
      <w:r w:rsidR="00934E4D" w:rsidRPr="00D920C9">
        <w:rPr>
          <w:rFonts w:asciiTheme="minorHAnsi" w:hAnsiTheme="minorHAnsi"/>
          <w:szCs w:val="20"/>
        </w:rPr>
        <w:t>acism</w:t>
      </w:r>
      <w:proofErr w:type="spellEnd"/>
      <w:r w:rsidR="00934E4D" w:rsidRPr="00D920C9">
        <w:rPr>
          <w:rFonts w:asciiTheme="minorHAnsi" w:hAnsiTheme="minorHAnsi"/>
          <w:szCs w:val="20"/>
        </w:rPr>
        <w:t xml:space="preserve"> and structural discrimination against people of African descent, rooted in the infamous regime of slavery, are evident in the situations of inequality affecting them.”</w:t>
      </w:r>
      <w:r w:rsidR="00934E4D" w:rsidRPr="00D920C9">
        <w:rPr>
          <w:rFonts w:asciiTheme="minorHAnsi" w:hAnsiTheme="minorHAnsi"/>
          <w:vertAlign w:val="superscript"/>
        </w:rPr>
        <w:footnoteReference w:id="31"/>
      </w:r>
    </w:p>
    <w:p w14:paraId="174A036E" w14:textId="77777777" w:rsidR="002A5304" w:rsidRPr="00D920C9" w:rsidRDefault="002A5304"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The Commission has previously stated that structural or systemic discrimination refers to the set of norms, rules, routines, patterns, attitudes, and standards of behavior, de jure and de facto, that give rise to a situation of inferiority and exclusion </w:t>
      </w:r>
      <w:r w:rsidR="00557A16" w:rsidRPr="00D920C9">
        <w:rPr>
          <w:rFonts w:asciiTheme="minorHAnsi" w:hAnsiTheme="minorHAnsi"/>
          <w:szCs w:val="20"/>
        </w:rPr>
        <w:t>of</w:t>
      </w:r>
      <w:r w:rsidRPr="00D920C9">
        <w:rPr>
          <w:rFonts w:asciiTheme="minorHAnsi" w:hAnsiTheme="minorHAnsi"/>
          <w:szCs w:val="20"/>
        </w:rPr>
        <w:t xml:space="preserve"> a group of persons in a generalized sense</w:t>
      </w:r>
      <w:r w:rsidR="00F76EA0" w:rsidRPr="00D920C9">
        <w:rPr>
          <w:rFonts w:asciiTheme="minorHAnsi" w:hAnsiTheme="minorHAnsi"/>
          <w:szCs w:val="20"/>
        </w:rPr>
        <w:t xml:space="preserve">; </w:t>
      </w:r>
      <w:r w:rsidRPr="00D920C9">
        <w:rPr>
          <w:rFonts w:asciiTheme="minorHAnsi" w:hAnsiTheme="minorHAnsi"/>
          <w:szCs w:val="20"/>
        </w:rPr>
        <w:t xml:space="preserve">these traits </w:t>
      </w:r>
      <w:r w:rsidR="00F76EA0" w:rsidRPr="00D920C9">
        <w:rPr>
          <w:rFonts w:asciiTheme="minorHAnsi" w:hAnsiTheme="minorHAnsi"/>
          <w:szCs w:val="20"/>
        </w:rPr>
        <w:t xml:space="preserve">are </w:t>
      </w:r>
      <w:r w:rsidRPr="00D920C9">
        <w:rPr>
          <w:rFonts w:asciiTheme="minorHAnsi" w:hAnsiTheme="minorHAnsi"/>
          <w:szCs w:val="20"/>
        </w:rPr>
        <w:t xml:space="preserve">perpetuated over time and even generations. </w:t>
      </w:r>
      <w:r w:rsidR="00557A16" w:rsidRPr="00D920C9">
        <w:rPr>
          <w:rFonts w:asciiTheme="minorHAnsi" w:hAnsiTheme="minorHAnsi"/>
          <w:szCs w:val="20"/>
        </w:rPr>
        <w:t>Thus</w:t>
      </w:r>
      <w:r w:rsidRPr="00D920C9">
        <w:rPr>
          <w:rFonts w:asciiTheme="minorHAnsi" w:hAnsiTheme="minorHAnsi"/>
          <w:szCs w:val="20"/>
        </w:rPr>
        <w:t xml:space="preserve">, </w:t>
      </w:r>
      <w:r w:rsidR="00F76EA0" w:rsidRPr="00D920C9">
        <w:rPr>
          <w:rFonts w:asciiTheme="minorHAnsi" w:hAnsiTheme="minorHAnsi"/>
          <w:szCs w:val="20"/>
        </w:rPr>
        <w:t xml:space="preserve">structural discrimination </w:t>
      </w:r>
      <w:r w:rsidR="00557A16" w:rsidRPr="00D920C9">
        <w:rPr>
          <w:rFonts w:asciiTheme="minorHAnsi" w:hAnsiTheme="minorHAnsi"/>
          <w:szCs w:val="20"/>
        </w:rPr>
        <w:t>is</w:t>
      </w:r>
      <w:r w:rsidRPr="00D920C9">
        <w:rPr>
          <w:rFonts w:asciiTheme="minorHAnsi" w:hAnsiTheme="minorHAnsi"/>
          <w:szCs w:val="20"/>
        </w:rPr>
        <w:t xml:space="preserve"> not isolated, sporadic, or episodic; rather</w:t>
      </w:r>
      <w:r w:rsidR="00557A16" w:rsidRPr="00D920C9">
        <w:rPr>
          <w:rFonts w:asciiTheme="minorHAnsi" w:hAnsiTheme="minorHAnsi"/>
          <w:szCs w:val="20"/>
        </w:rPr>
        <w:t>,</w:t>
      </w:r>
      <w:r w:rsidRPr="00D920C9">
        <w:rPr>
          <w:rFonts w:asciiTheme="minorHAnsi" w:hAnsiTheme="minorHAnsi"/>
          <w:szCs w:val="20"/>
        </w:rPr>
        <w:t xml:space="preserve"> it emerges from a historical, socioeconomic, and cultural context.</w:t>
      </w:r>
      <w:r w:rsidRPr="00D920C9">
        <w:rPr>
          <w:rFonts w:asciiTheme="minorHAnsi" w:hAnsiTheme="minorHAnsi"/>
          <w:vertAlign w:val="superscript"/>
        </w:rPr>
        <w:footnoteReference w:id="32"/>
      </w:r>
      <w:r w:rsidRPr="00D920C9">
        <w:rPr>
          <w:rFonts w:asciiTheme="minorHAnsi" w:hAnsiTheme="minorHAnsi"/>
          <w:szCs w:val="20"/>
        </w:rPr>
        <w:t xml:space="preserve"> It</w:t>
      </w:r>
      <w:r w:rsidR="00F76EA0" w:rsidRPr="00D920C9">
        <w:rPr>
          <w:rFonts w:asciiTheme="minorHAnsi" w:hAnsiTheme="minorHAnsi"/>
          <w:szCs w:val="20"/>
        </w:rPr>
        <w:t xml:space="preserve"> is</w:t>
      </w:r>
      <w:r w:rsidRPr="00D920C9">
        <w:rPr>
          <w:rFonts w:asciiTheme="minorHAnsi" w:hAnsiTheme="minorHAnsi"/>
          <w:szCs w:val="20"/>
        </w:rPr>
        <w:t xml:space="preserve"> generalized </w:t>
      </w:r>
      <w:r w:rsidR="00F76EA0" w:rsidRPr="00D920C9">
        <w:rPr>
          <w:rFonts w:asciiTheme="minorHAnsi" w:hAnsiTheme="minorHAnsi"/>
          <w:szCs w:val="20"/>
        </w:rPr>
        <w:t>in that it is a</w:t>
      </w:r>
      <w:r w:rsidRPr="00D920C9">
        <w:rPr>
          <w:rFonts w:asciiTheme="minorHAnsi" w:hAnsiTheme="minorHAnsi"/>
          <w:szCs w:val="20"/>
        </w:rPr>
        <w:t xml:space="preserve"> large-scale problem, </w:t>
      </w:r>
      <w:r w:rsidR="00F76EA0" w:rsidRPr="00D920C9">
        <w:rPr>
          <w:rFonts w:asciiTheme="minorHAnsi" w:hAnsiTheme="minorHAnsi"/>
          <w:szCs w:val="20"/>
        </w:rPr>
        <w:t>and</w:t>
      </w:r>
      <w:r w:rsidRPr="00D920C9">
        <w:rPr>
          <w:rFonts w:asciiTheme="minorHAnsi" w:hAnsiTheme="minorHAnsi"/>
          <w:szCs w:val="20"/>
        </w:rPr>
        <w:t xml:space="preserve"> systemic </w:t>
      </w:r>
      <w:r w:rsidR="00F76EA0" w:rsidRPr="00D920C9">
        <w:rPr>
          <w:rFonts w:asciiTheme="minorHAnsi" w:hAnsiTheme="minorHAnsi"/>
          <w:szCs w:val="20"/>
        </w:rPr>
        <w:t xml:space="preserve">in that it encompasses </w:t>
      </w:r>
      <w:r w:rsidRPr="00D920C9">
        <w:rPr>
          <w:rFonts w:asciiTheme="minorHAnsi" w:hAnsiTheme="minorHAnsi"/>
          <w:szCs w:val="20"/>
        </w:rPr>
        <w:t xml:space="preserve">the way decisions, practices, policies, and the culture of a society are adopted. From this viewpoint, structural discrimination </w:t>
      </w:r>
      <w:r w:rsidR="00F76EA0" w:rsidRPr="00D920C9">
        <w:rPr>
          <w:rFonts w:asciiTheme="minorHAnsi" w:hAnsiTheme="minorHAnsi"/>
          <w:szCs w:val="20"/>
        </w:rPr>
        <w:t xml:space="preserve">is not </w:t>
      </w:r>
      <w:r w:rsidRPr="00D920C9">
        <w:rPr>
          <w:rFonts w:asciiTheme="minorHAnsi" w:hAnsiTheme="minorHAnsi"/>
          <w:szCs w:val="20"/>
        </w:rPr>
        <w:t>strict</w:t>
      </w:r>
      <w:r w:rsidR="00F76EA0" w:rsidRPr="00D920C9">
        <w:rPr>
          <w:rFonts w:asciiTheme="minorHAnsi" w:hAnsiTheme="minorHAnsi"/>
          <w:szCs w:val="20"/>
        </w:rPr>
        <w:t>ly</w:t>
      </w:r>
      <w:r w:rsidRPr="00D920C9">
        <w:rPr>
          <w:rFonts w:asciiTheme="minorHAnsi" w:hAnsiTheme="minorHAnsi"/>
          <w:szCs w:val="20"/>
        </w:rPr>
        <w:t xml:space="preserve"> or narrow</w:t>
      </w:r>
      <w:r w:rsidR="00F76EA0" w:rsidRPr="00D920C9">
        <w:rPr>
          <w:rFonts w:asciiTheme="minorHAnsi" w:hAnsiTheme="minorHAnsi"/>
          <w:szCs w:val="20"/>
        </w:rPr>
        <w:t>ly</w:t>
      </w:r>
      <w:r w:rsidRPr="00D920C9">
        <w:rPr>
          <w:rFonts w:asciiTheme="minorHAnsi" w:hAnsiTheme="minorHAnsi"/>
          <w:szCs w:val="20"/>
        </w:rPr>
        <w:t xml:space="preserve"> defin</w:t>
      </w:r>
      <w:r w:rsidR="00F76EA0" w:rsidRPr="00D920C9">
        <w:rPr>
          <w:rFonts w:asciiTheme="minorHAnsi" w:hAnsiTheme="minorHAnsi"/>
          <w:szCs w:val="20"/>
        </w:rPr>
        <w:t>ed</w:t>
      </w:r>
      <w:r w:rsidRPr="00D920C9">
        <w:rPr>
          <w:rFonts w:asciiTheme="minorHAnsi" w:hAnsiTheme="minorHAnsi"/>
          <w:szCs w:val="20"/>
        </w:rPr>
        <w:t xml:space="preserve">. </w:t>
      </w:r>
      <w:r w:rsidR="007E67C4" w:rsidRPr="00D920C9">
        <w:rPr>
          <w:rFonts w:asciiTheme="minorHAnsi" w:hAnsiTheme="minorHAnsi"/>
          <w:szCs w:val="20"/>
        </w:rPr>
        <w:t>Thus</w:t>
      </w:r>
      <w:r w:rsidRPr="00D920C9">
        <w:rPr>
          <w:rFonts w:asciiTheme="minorHAnsi" w:hAnsiTheme="minorHAnsi"/>
          <w:szCs w:val="20"/>
        </w:rPr>
        <w:t xml:space="preserve">, the Commission considers that </w:t>
      </w:r>
      <w:r w:rsidR="00E4513C" w:rsidRPr="00D920C9">
        <w:rPr>
          <w:rFonts w:asciiTheme="minorHAnsi" w:hAnsiTheme="minorHAnsi"/>
          <w:szCs w:val="20"/>
        </w:rPr>
        <w:t>issues</w:t>
      </w:r>
      <w:r w:rsidRPr="00D920C9">
        <w:rPr>
          <w:rFonts w:asciiTheme="minorHAnsi" w:hAnsiTheme="minorHAnsi"/>
          <w:szCs w:val="20"/>
        </w:rPr>
        <w:t xml:space="preserve"> involving structural patterns or practices</w:t>
      </w:r>
      <w:r w:rsidR="00F76EA0" w:rsidRPr="00D920C9">
        <w:rPr>
          <w:rFonts w:asciiTheme="minorHAnsi" w:hAnsiTheme="minorHAnsi"/>
          <w:szCs w:val="20"/>
        </w:rPr>
        <w:t xml:space="preserve"> demand</w:t>
      </w:r>
      <w:r w:rsidRPr="00D920C9">
        <w:rPr>
          <w:rFonts w:asciiTheme="minorHAnsi" w:hAnsiTheme="minorHAnsi"/>
          <w:szCs w:val="20"/>
        </w:rPr>
        <w:t xml:space="preserve"> an overall assessment of the historical, material, temporal, and spatial circumstances surrounding </w:t>
      </w:r>
      <w:r w:rsidR="00F76EA0" w:rsidRPr="00D920C9">
        <w:rPr>
          <w:rFonts w:asciiTheme="minorHAnsi" w:hAnsiTheme="minorHAnsi"/>
          <w:szCs w:val="20"/>
        </w:rPr>
        <w:t>the situation</w:t>
      </w:r>
      <w:r w:rsidRPr="00D920C9">
        <w:rPr>
          <w:rFonts w:asciiTheme="minorHAnsi" w:hAnsiTheme="minorHAnsi"/>
          <w:szCs w:val="20"/>
        </w:rPr>
        <w:t>.</w:t>
      </w:r>
      <w:r w:rsidR="000723AE" w:rsidRPr="00D920C9">
        <w:rPr>
          <w:rFonts w:asciiTheme="minorHAnsi" w:hAnsiTheme="minorHAnsi"/>
          <w:vertAlign w:val="superscript"/>
        </w:rPr>
        <w:footnoteReference w:id="33"/>
      </w:r>
    </w:p>
    <w:p w14:paraId="0D724EC2"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33" w:name="_Ref507079616"/>
      <w:r w:rsidRPr="00D920C9">
        <w:rPr>
          <w:rFonts w:asciiTheme="minorHAnsi" w:hAnsiTheme="minorHAnsi"/>
          <w:szCs w:val="20"/>
        </w:rPr>
        <w:t xml:space="preserve">The Commission considers that the historical legacy of subjugation, enslavement, terror, marginalization, segregation, and exclusion from enjoying the rights of citizens in the </w:t>
      </w:r>
      <w:r w:rsidR="00904A46" w:rsidRPr="00D920C9">
        <w:rPr>
          <w:rFonts w:asciiTheme="minorHAnsi" w:hAnsiTheme="minorHAnsi"/>
          <w:szCs w:val="20"/>
        </w:rPr>
        <w:t>U.S.</w:t>
      </w:r>
      <w:r w:rsidRPr="00D920C9">
        <w:rPr>
          <w:rFonts w:asciiTheme="minorHAnsi" w:hAnsiTheme="minorHAnsi"/>
          <w:szCs w:val="20"/>
        </w:rPr>
        <w:t xml:space="preserve">, de jure and de facto, has continuing repercussions for </w:t>
      </w:r>
      <w:r w:rsidR="00934E4D" w:rsidRPr="00D920C9">
        <w:rPr>
          <w:rFonts w:asciiTheme="minorHAnsi" w:hAnsiTheme="minorHAnsi"/>
          <w:szCs w:val="20"/>
        </w:rPr>
        <w:t>African Americans’</w:t>
      </w:r>
      <w:r w:rsidRPr="00D920C9">
        <w:rPr>
          <w:rFonts w:asciiTheme="minorHAnsi" w:hAnsiTheme="minorHAnsi"/>
          <w:szCs w:val="20"/>
        </w:rPr>
        <w:t xml:space="preserve"> full enjoyment of human </w:t>
      </w:r>
      <w:r w:rsidRPr="00D920C9">
        <w:rPr>
          <w:rFonts w:asciiTheme="minorHAnsi" w:hAnsiTheme="minorHAnsi"/>
          <w:szCs w:val="20"/>
        </w:rPr>
        <w:lastRenderedPageBreak/>
        <w:t>rights today in virtually every sphere.</w:t>
      </w:r>
      <w:r w:rsidRPr="00D920C9">
        <w:rPr>
          <w:rFonts w:asciiTheme="minorHAnsi" w:hAnsiTheme="minorHAnsi"/>
          <w:szCs w:val="20"/>
          <w:vertAlign w:val="superscript"/>
        </w:rPr>
        <w:footnoteReference w:id="34"/>
      </w:r>
      <w:r w:rsidR="00934E4D" w:rsidRPr="00D920C9">
        <w:rPr>
          <w:rFonts w:asciiTheme="minorHAnsi" w:hAnsiTheme="minorHAnsi"/>
          <w:szCs w:val="20"/>
        </w:rPr>
        <w:t xml:space="preserve"> </w:t>
      </w:r>
      <w:r w:rsidR="0004447D" w:rsidRPr="00D920C9">
        <w:rPr>
          <w:rFonts w:asciiTheme="minorHAnsi" w:hAnsiTheme="minorHAnsi"/>
          <w:szCs w:val="20"/>
        </w:rPr>
        <w:t>T</w:t>
      </w:r>
      <w:r w:rsidRPr="00D920C9">
        <w:rPr>
          <w:rFonts w:asciiTheme="minorHAnsi" w:hAnsiTheme="minorHAnsi"/>
          <w:szCs w:val="20"/>
        </w:rPr>
        <w:t xml:space="preserve">he Commission </w:t>
      </w:r>
      <w:r w:rsidR="00934E4D" w:rsidRPr="00D920C9">
        <w:rPr>
          <w:rFonts w:asciiTheme="minorHAnsi" w:hAnsiTheme="minorHAnsi"/>
          <w:szCs w:val="20"/>
        </w:rPr>
        <w:t>points to</w:t>
      </w:r>
      <w:r w:rsidRPr="00D920C9">
        <w:rPr>
          <w:rFonts w:asciiTheme="minorHAnsi" w:hAnsiTheme="minorHAnsi"/>
          <w:szCs w:val="20"/>
        </w:rPr>
        <w:t xml:space="preserve"> continuing disparities in access to employment</w:t>
      </w:r>
      <w:r w:rsidRPr="00D920C9">
        <w:rPr>
          <w:rFonts w:asciiTheme="minorHAnsi" w:hAnsiTheme="minorHAnsi"/>
          <w:szCs w:val="20"/>
          <w:vertAlign w:val="superscript"/>
        </w:rPr>
        <w:footnoteReference w:id="35"/>
      </w:r>
      <w:r w:rsidRPr="00D920C9">
        <w:rPr>
          <w:rFonts w:asciiTheme="minorHAnsi" w:hAnsiTheme="minorHAnsi"/>
          <w:szCs w:val="20"/>
        </w:rPr>
        <w:t xml:space="preserve"> and equal pay,</w:t>
      </w:r>
      <w:r w:rsidRPr="00D920C9">
        <w:rPr>
          <w:rFonts w:asciiTheme="minorHAnsi" w:hAnsiTheme="minorHAnsi"/>
          <w:szCs w:val="20"/>
          <w:vertAlign w:val="superscript"/>
        </w:rPr>
        <w:footnoteReference w:id="36"/>
      </w:r>
      <w:r w:rsidRPr="00D920C9">
        <w:rPr>
          <w:rFonts w:asciiTheme="minorHAnsi" w:hAnsiTheme="minorHAnsi"/>
          <w:szCs w:val="20"/>
        </w:rPr>
        <w:t xml:space="preserve"> housing (both home ownership</w:t>
      </w:r>
      <w:r w:rsidRPr="00D920C9">
        <w:rPr>
          <w:rFonts w:asciiTheme="minorHAnsi" w:hAnsiTheme="minorHAnsi"/>
          <w:szCs w:val="20"/>
          <w:vertAlign w:val="superscript"/>
        </w:rPr>
        <w:footnoteReference w:id="37"/>
      </w:r>
      <w:r w:rsidRPr="00D920C9">
        <w:rPr>
          <w:rFonts w:asciiTheme="minorHAnsi" w:hAnsiTheme="minorHAnsi"/>
          <w:szCs w:val="20"/>
        </w:rPr>
        <w:t xml:space="preserve"> and access to affordable housing</w:t>
      </w:r>
      <w:r w:rsidRPr="00D920C9">
        <w:rPr>
          <w:rFonts w:asciiTheme="minorHAnsi" w:hAnsiTheme="minorHAnsi"/>
          <w:szCs w:val="20"/>
          <w:vertAlign w:val="superscript"/>
        </w:rPr>
        <w:footnoteReference w:id="38"/>
      </w:r>
      <w:r w:rsidRPr="00D920C9">
        <w:rPr>
          <w:rFonts w:asciiTheme="minorHAnsi" w:hAnsiTheme="minorHAnsi"/>
          <w:szCs w:val="20"/>
        </w:rPr>
        <w:t>), food,</w:t>
      </w:r>
      <w:r w:rsidRPr="00D920C9">
        <w:rPr>
          <w:rFonts w:asciiTheme="minorHAnsi" w:hAnsiTheme="minorHAnsi"/>
          <w:szCs w:val="20"/>
          <w:vertAlign w:val="superscript"/>
        </w:rPr>
        <w:footnoteReference w:id="39"/>
      </w:r>
      <w:r w:rsidRPr="00D920C9">
        <w:rPr>
          <w:rFonts w:asciiTheme="minorHAnsi" w:hAnsiTheme="minorHAnsi"/>
          <w:szCs w:val="20"/>
        </w:rPr>
        <w:t xml:space="preserve"> potable water,</w:t>
      </w:r>
      <w:r w:rsidRPr="00D920C9">
        <w:rPr>
          <w:rFonts w:asciiTheme="minorHAnsi" w:hAnsiTheme="minorHAnsi"/>
          <w:szCs w:val="20"/>
          <w:vertAlign w:val="superscript"/>
        </w:rPr>
        <w:footnoteReference w:id="40"/>
      </w:r>
      <w:r w:rsidRPr="00D920C9">
        <w:rPr>
          <w:rFonts w:asciiTheme="minorHAnsi" w:hAnsiTheme="minorHAnsi"/>
          <w:szCs w:val="20"/>
        </w:rPr>
        <w:t xml:space="preserve"> a clean and healthy environment,</w:t>
      </w:r>
      <w:r w:rsidRPr="00D920C9">
        <w:rPr>
          <w:rFonts w:asciiTheme="minorHAnsi" w:hAnsiTheme="minorHAnsi"/>
          <w:szCs w:val="20"/>
          <w:vertAlign w:val="superscript"/>
        </w:rPr>
        <w:footnoteReference w:id="41"/>
      </w:r>
      <w:r w:rsidRPr="00D920C9">
        <w:rPr>
          <w:rFonts w:asciiTheme="minorHAnsi" w:hAnsiTheme="minorHAnsi"/>
          <w:szCs w:val="20"/>
        </w:rPr>
        <w:t xml:space="preserve"> health care</w:t>
      </w:r>
      <w:r w:rsidRPr="00D920C9">
        <w:rPr>
          <w:rFonts w:asciiTheme="minorHAnsi" w:hAnsiTheme="minorHAnsi"/>
          <w:szCs w:val="20"/>
          <w:vertAlign w:val="superscript"/>
        </w:rPr>
        <w:footnoteReference w:id="42"/>
      </w:r>
      <w:r w:rsidRPr="00D920C9">
        <w:rPr>
          <w:rFonts w:asciiTheme="minorHAnsi" w:hAnsiTheme="minorHAnsi"/>
          <w:szCs w:val="20"/>
        </w:rPr>
        <w:t xml:space="preserve"> (including maternity and reproductive care,</w:t>
      </w:r>
      <w:r w:rsidRPr="00D920C9">
        <w:rPr>
          <w:rFonts w:asciiTheme="minorHAnsi" w:hAnsiTheme="minorHAnsi"/>
          <w:szCs w:val="20"/>
          <w:vertAlign w:val="superscript"/>
        </w:rPr>
        <w:footnoteReference w:id="43"/>
      </w:r>
      <w:r w:rsidRPr="00D920C9">
        <w:rPr>
          <w:rFonts w:asciiTheme="minorHAnsi" w:hAnsiTheme="minorHAnsi"/>
          <w:szCs w:val="20"/>
        </w:rPr>
        <w:t xml:space="preserve"> and racial discrimination in the provision of health care</w:t>
      </w:r>
      <w:r w:rsidRPr="00D920C9">
        <w:rPr>
          <w:rFonts w:asciiTheme="minorHAnsi" w:hAnsiTheme="minorHAnsi"/>
          <w:szCs w:val="20"/>
          <w:vertAlign w:val="superscript"/>
        </w:rPr>
        <w:footnoteReference w:id="44"/>
      </w:r>
      <w:r w:rsidRPr="00D920C9">
        <w:rPr>
          <w:rFonts w:asciiTheme="minorHAnsi" w:hAnsiTheme="minorHAnsi"/>
          <w:szCs w:val="20"/>
        </w:rPr>
        <w:t>), primary education</w:t>
      </w:r>
      <w:r w:rsidRPr="00D920C9">
        <w:rPr>
          <w:rFonts w:asciiTheme="minorHAnsi" w:hAnsiTheme="minorHAnsi"/>
          <w:szCs w:val="20"/>
          <w:vertAlign w:val="superscript"/>
        </w:rPr>
        <w:footnoteReference w:id="45"/>
      </w:r>
      <w:r w:rsidRPr="00D920C9">
        <w:rPr>
          <w:rFonts w:asciiTheme="minorHAnsi" w:hAnsiTheme="minorHAnsi"/>
          <w:szCs w:val="20"/>
        </w:rPr>
        <w:t xml:space="preserve"> and higher education,</w:t>
      </w:r>
      <w:r w:rsidRPr="00D920C9">
        <w:rPr>
          <w:rFonts w:asciiTheme="minorHAnsi" w:hAnsiTheme="minorHAnsi"/>
          <w:szCs w:val="20"/>
          <w:vertAlign w:val="superscript"/>
        </w:rPr>
        <w:footnoteReference w:id="46"/>
      </w:r>
      <w:r w:rsidRPr="00D920C9">
        <w:rPr>
          <w:rFonts w:asciiTheme="minorHAnsi" w:hAnsiTheme="minorHAnsi"/>
          <w:szCs w:val="20"/>
        </w:rPr>
        <w:t xml:space="preserve"> </w:t>
      </w:r>
      <w:r w:rsidRPr="00D920C9">
        <w:rPr>
          <w:rFonts w:asciiTheme="minorHAnsi" w:hAnsiTheme="minorHAnsi"/>
          <w:szCs w:val="20"/>
        </w:rPr>
        <w:lastRenderedPageBreak/>
        <w:t>access to voting rights</w:t>
      </w:r>
      <w:r w:rsidRPr="00D920C9">
        <w:rPr>
          <w:rFonts w:asciiTheme="minorHAnsi" w:hAnsiTheme="minorHAnsi"/>
          <w:szCs w:val="20"/>
          <w:vertAlign w:val="superscript"/>
        </w:rPr>
        <w:footnoteReference w:id="47"/>
      </w:r>
      <w:r w:rsidRPr="00D920C9">
        <w:rPr>
          <w:rFonts w:asciiTheme="minorHAnsi" w:hAnsiTheme="minorHAnsi"/>
          <w:szCs w:val="20"/>
        </w:rPr>
        <w:t xml:space="preserve"> and overall political participation,</w:t>
      </w:r>
      <w:r w:rsidRPr="00D920C9">
        <w:rPr>
          <w:rFonts w:asciiTheme="minorHAnsi" w:hAnsiTheme="minorHAnsi"/>
          <w:szCs w:val="20"/>
          <w:vertAlign w:val="superscript"/>
        </w:rPr>
        <w:footnoteReference w:id="48"/>
      </w:r>
      <w:r w:rsidRPr="00D920C9">
        <w:rPr>
          <w:rFonts w:asciiTheme="minorHAnsi" w:hAnsiTheme="minorHAnsi"/>
          <w:szCs w:val="20"/>
        </w:rPr>
        <w:t xml:space="preserve"> de facto (re)segregation of neighborhoods</w:t>
      </w:r>
      <w:r w:rsidRPr="00D920C9">
        <w:rPr>
          <w:rFonts w:asciiTheme="minorHAnsi" w:hAnsiTheme="minorHAnsi"/>
          <w:szCs w:val="20"/>
          <w:vertAlign w:val="superscript"/>
        </w:rPr>
        <w:footnoteReference w:id="49"/>
      </w:r>
      <w:r w:rsidRPr="00D920C9">
        <w:rPr>
          <w:rFonts w:asciiTheme="minorHAnsi" w:hAnsiTheme="minorHAnsi"/>
          <w:szCs w:val="20"/>
        </w:rPr>
        <w:t xml:space="preserve"> and schools,</w:t>
      </w:r>
      <w:r w:rsidRPr="00D920C9">
        <w:rPr>
          <w:rFonts w:asciiTheme="minorHAnsi" w:hAnsiTheme="minorHAnsi"/>
          <w:szCs w:val="20"/>
          <w:vertAlign w:val="superscript"/>
        </w:rPr>
        <w:footnoteReference w:id="50"/>
      </w:r>
      <w:r w:rsidRPr="00D920C9">
        <w:rPr>
          <w:rFonts w:asciiTheme="minorHAnsi" w:hAnsiTheme="minorHAnsi"/>
          <w:szCs w:val="20"/>
        </w:rPr>
        <w:t xml:space="preserve"> in addition to racial disparities in policing and criminal justice, addressed in the following sections.</w:t>
      </w:r>
      <w:bookmarkEnd w:id="33"/>
      <w:r w:rsidRPr="00D920C9">
        <w:rPr>
          <w:rFonts w:asciiTheme="minorHAnsi" w:hAnsiTheme="minorHAnsi"/>
          <w:szCs w:val="20"/>
        </w:rPr>
        <w:t xml:space="preserve"> </w:t>
      </w:r>
    </w:p>
    <w:p w14:paraId="75441A00" w14:textId="5C3122E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color w:val="FF0000"/>
          <w:szCs w:val="20"/>
        </w:rPr>
      </w:pPr>
      <w:bookmarkStart w:id="34" w:name="_Ref507409426"/>
      <w:r w:rsidRPr="00D920C9">
        <w:rPr>
          <w:rFonts w:asciiTheme="minorHAnsi" w:hAnsiTheme="minorHAnsi"/>
          <w:szCs w:val="20"/>
        </w:rPr>
        <w:t>The Commission recognizes that, in addition to discrimination on the basis of race, Afro-descendants may face multiple other kinds of discrimination on the basis of other aspects of their identity. This concept, known as “intersectionality,”</w:t>
      </w:r>
      <w:r w:rsidR="00F76EA0" w:rsidRPr="00D920C9">
        <w:rPr>
          <w:rFonts w:asciiTheme="minorHAnsi" w:hAnsiTheme="minorHAnsi"/>
          <w:vertAlign w:val="superscript"/>
        </w:rPr>
        <w:footnoteReference w:id="51"/>
      </w:r>
      <w:r w:rsidRPr="00D920C9">
        <w:rPr>
          <w:rFonts w:asciiTheme="minorHAnsi" w:hAnsiTheme="minorHAnsi"/>
          <w:szCs w:val="20"/>
        </w:rPr>
        <w:t xml:space="preserve"> highlights that discrimination on the basis of race </w:t>
      </w:r>
      <w:r w:rsidR="00D26E79" w:rsidRPr="00D920C9">
        <w:rPr>
          <w:rFonts w:asciiTheme="minorHAnsi" w:hAnsiTheme="minorHAnsi"/>
          <w:szCs w:val="20"/>
        </w:rPr>
        <w:t>is</w:t>
      </w:r>
      <w:r w:rsidRPr="00D920C9">
        <w:rPr>
          <w:rFonts w:asciiTheme="minorHAnsi" w:hAnsiTheme="minorHAnsi"/>
          <w:szCs w:val="20"/>
        </w:rPr>
        <w:t xml:space="preserve"> inextricably linked with other factors including </w:t>
      </w:r>
      <w:r w:rsidR="00690095" w:rsidRPr="00D920C9">
        <w:rPr>
          <w:rFonts w:asciiTheme="minorHAnsi" w:hAnsiTheme="minorHAnsi"/>
          <w:szCs w:val="20"/>
        </w:rPr>
        <w:t xml:space="preserve">sex, </w:t>
      </w:r>
      <w:r w:rsidRPr="00D920C9">
        <w:rPr>
          <w:rFonts w:asciiTheme="minorHAnsi" w:hAnsiTheme="minorHAnsi"/>
          <w:szCs w:val="20"/>
        </w:rPr>
        <w:t>ethnicity, national origin, religion or belief, gender identity</w:t>
      </w:r>
      <w:r w:rsidR="009D305C" w:rsidRPr="00D920C9">
        <w:rPr>
          <w:rFonts w:asciiTheme="minorHAnsi" w:hAnsiTheme="minorHAnsi"/>
          <w:szCs w:val="20"/>
        </w:rPr>
        <w:t xml:space="preserve"> and expression</w:t>
      </w:r>
      <w:r w:rsidRPr="00D920C9">
        <w:rPr>
          <w:rFonts w:asciiTheme="minorHAnsi" w:hAnsiTheme="minorHAnsi"/>
          <w:szCs w:val="20"/>
        </w:rPr>
        <w:t xml:space="preserve">, sexual orientation, health, age, </w:t>
      </w:r>
      <w:r w:rsidR="009D305C" w:rsidRPr="00D920C9">
        <w:rPr>
          <w:rFonts w:asciiTheme="minorHAnsi" w:hAnsiTheme="minorHAnsi"/>
          <w:szCs w:val="20"/>
        </w:rPr>
        <w:t xml:space="preserve">disability, </w:t>
      </w:r>
      <w:r w:rsidRPr="00D920C9">
        <w:rPr>
          <w:rFonts w:asciiTheme="minorHAnsi" w:hAnsiTheme="minorHAnsi"/>
          <w:szCs w:val="20"/>
        </w:rPr>
        <w:t>and class, among others.</w:t>
      </w:r>
      <w:r w:rsidRPr="00D920C9">
        <w:rPr>
          <w:rFonts w:asciiTheme="minorHAnsi" w:hAnsiTheme="minorHAnsi"/>
          <w:vertAlign w:val="superscript"/>
        </w:rPr>
        <w:footnoteReference w:id="52"/>
      </w:r>
      <w:r w:rsidRPr="00D920C9">
        <w:rPr>
          <w:rFonts w:asciiTheme="minorHAnsi" w:hAnsiTheme="minorHAnsi"/>
          <w:szCs w:val="20"/>
        </w:rPr>
        <w:t xml:space="preserve"> </w:t>
      </w:r>
      <w:r w:rsidR="004D0A7C" w:rsidRPr="00D920C9">
        <w:rPr>
          <w:rFonts w:asciiTheme="minorHAnsi" w:hAnsiTheme="minorHAnsi"/>
          <w:szCs w:val="20"/>
        </w:rPr>
        <w:t>In this sense, t</w:t>
      </w:r>
      <w:r w:rsidR="00455BB4" w:rsidRPr="00D920C9">
        <w:rPr>
          <w:rFonts w:asciiTheme="minorHAnsi" w:hAnsiTheme="minorHAnsi"/>
          <w:szCs w:val="20"/>
        </w:rPr>
        <w:t xml:space="preserve">he Commission has </w:t>
      </w:r>
      <w:r w:rsidR="004D0A7C" w:rsidRPr="00D920C9">
        <w:rPr>
          <w:rFonts w:asciiTheme="minorHAnsi" w:hAnsiTheme="minorHAnsi"/>
          <w:szCs w:val="20"/>
        </w:rPr>
        <w:t>re</w:t>
      </w:r>
      <w:r w:rsidR="00455BB4" w:rsidRPr="00D920C9">
        <w:rPr>
          <w:rFonts w:asciiTheme="minorHAnsi" w:hAnsiTheme="minorHAnsi"/>
          <w:szCs w:val="20"/>
        </w:rPr>
        <w:t>affirmed that “intersectionality is a basic concept for understanding the scope of the gener</w:t>
      </w:r>
      <w:r w:rsidR="004D0A7C" w:rsidRPr="00D920C9">
        <w:rPr>
          <w:rFonts w:asciiTheme="minorHAnsi" w:hAnsiTheme="minorHAnsi"/>
          <w:szCs w:val="20"/>
        </w:rPr>
        <w:t>al obligations of State parties</w:t>
      </w:r>
      <w:r w:rsidR="00455BB4" w:rsidRPr="00D920C9">
        <w:rPr>
          <w:rFonts w:asciiTheme="minorHAnsi" w:hAnsiTheme="minorHAnsi"/>
          <w:color w:val="FF0000"/>
          <w:szCs w:val="20"/>
        </w:rPr>
        <w:t>.”</w:t>
      </w:r>
      <w:r w:rsidR="004D0A7C" w:rsidRPr="00D920C9">
        <w:rPr>
          <w:rFonts w:asciiTheme="minorHAnsi" w:hAnsiTheme="minorHAnsi"/>
          <w:color w:val="FF0000"/>
          <w:vertAlign w:val="superscript"/>
        </w:rPr>
        <w:footnoteReference w:id="53"/>
      </w:r>
      <w:bookmarkEnd w:id="34"/>
    </w:p>
    <w:p w14:paraId="50A674AD"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Given this panorama, the Commission briefly review</w:t>
      </w:r>
      <w:r w:rsidR="00D3133D" w:rsidRPr="00D920C9">
        <w:rPr>
          <w:rFonts w:asciiTheme="minorHAnsi" w:hAnsiTheme="minorHAnsi"/>
          <w:szCs w:val="20"/>
        </w:rPr>
        <w:t>s here</w:t>
      </w:r>
      <w:r w:rsidRPr="00D920C9">
        <w:rPr>
          <w:rFonts w:asciiTheme="minorHAnsi" w:hAnsiTheme="minorHAnsi"/>
          <w:szCs w:val="20"/>
        </w:rPr>
        <w:t xml:space="preserve"> the history of racial discrimination in the U</w:t>
      </w:r>
      <w:r w:rsidR="00DE49F4" w:rsidRPr="00D920C9">
        <w:rPr>
          <w:rFonts w:asciiTheme="minorHAnsi" w:hAnsiTheme="minorHAnsi"/>
          <w:szCs w:val="20"/>
        </w:rPr>
        <w:t>.S.</w:t>
      </w:r>
      <w:r w:rsidR="00455BB4" w:rsidRPr="00D920C9">
        <w:rPr>
          <w:rFonts w:asciiTheme="minorHAnsi" w:hAnsiTheme="minorHAnsi"/>
          <w:szCs w:val="20"/>
        </w:rPr>
        <w:t>,</w:t>
      </w:r>
      <w:r w:rsidRPr="00D920C9">
        <w:rPr>
          <w:rFonts w:asciiTheme="minorHAnsi" w:hAnsiTheme="minorHAnsi"/>
          <w:szCs w:val="20"/>
        </w:rPr>
        <w:t xml:space="preserve"> with the goal of highlighting the dimensions of structural discrimination relevant to current </w:t>
      </w:r>
      <w:r w:rsidR="00455BB4" w:rsidRPr="00D920C9">
        <w:rPr>
          <w:rFonts w:asciiTheme="minorHAnsi" w:hAnsiTheme="minorHAnsi"/>
          <w:szCs w:val="20"/>
        </w:rPr>
        <w:t>issues</w:t>
      </w:r>
      <w:r w:rsidRPr="00D920C9">
        <w:rPr>
          <w:rFonts w:asciiTheme="minorHAnsi" w:hAnsiTheme="minorHAnsi"/>
          <w:szCs w:val="20"/>
        </w:rPr>
        <w:t xml:space="preserve"> of discrimination, particularly in the areas of policing and criminal justice.</w:t>
      </w:r>
    </w:p>
    <w:p w14:paraId="1CD6E24C" w14:textId="77777777" w:rsidR="00B4412C" w:rsidRPr="00D920C9" w:rsidRDefault="00B4412C" w:rsidP="000A1E39">
      <w:pPr>
        <w:pStyle w:val="Heading2"/>
        <w:ind w:left="540" w:hanging="540"/>
      </w:pPr>
      <w:bookmarkStart w:id="35" w:name="_Toc511837807"/>
      <w:bookmarkStart w:id="36" w:name="_Toc511902980"/>
      <w:bookmarkStart w:id="37" w:name="_Toc517687910"/>
      <w:r w:rsidRPr="00D920C9">
        <w:lastRenderedPageBreak/>
        <w:t xml:space="preserve">Historical </w:t>
      </w:r>
      <w:r w:rsidR="005E5723" w:rsidRPr="00D920C9">
        <w:t xml:space="preserve">Overview </w:t>
      </w:r>
      <w:r w:rsidRPr="00D920C9">
        <w:t xml:space="preserve">of </w:t>
      </w:r>
      <w:r w:rsidR="005E5723" w:rsidRPr="00D920C9">
        <w:t xml:space="preserve">Discrimination </w:t>
      </w:r>
      <w:r w:rsidRPr="00D920C9">
        <w:t xml:space="preserve">and </w:t>
      </w:r>
      <w:r w:rsidR="005E5723" w:rsidRPr="00D920C9">
        <w:t xml:space="preserve">Racism </w:t>
      </w:r>
      <w:r w:rsidRPr="00D920C9">
        <w:t>in the United States</w:t>
      </w:r>
      <w:bookmarkEnd w:id="35"/>
      <w:bookmarkEnd w:id="36"/>
      <w:bookmarkEnd w:id="37"/>
    </w:p>
    <w:p w14:paraId="7AB44217" w14:textId="41A13451" w:rsidR="00B03F5E"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cs="Cambria"/>
          <w:szCs w:val="20"/>
        </w:rPr>
      </w:pPr>
      <w:r w:rsidRPr="00D920C9">
        <w:rPr>
          <w:rFonts w:asciiTheme="minorHAnsi" w:hAnsiTheme="minorHAnsi" w:cs="Cambria"/>
          <w:szCs w:val="20"/>
        </w:rPr>
        <w:t xml:space="preserve">The Commission recalls that one of the </w:t>
      </w:r>
      <w:r w:rsidR="004D0A7C" w:rsidRPr="00D920C9">
        <w:rPr>
          <w:rFonts w:asciiTheme="minorHAnsi" w:hAnsiTheme="minorHAnsi" w:cs="Cambria"/>
          <w:szCs w:val="20"/>
        </w:rPr>
        <w:t>principal</w:t>
      </w:r>
      <w:r w:rsidRPr="00D920C9">
        <w:rPr>
          <w:rFonts w:asciiTheme="minorHAnsi" w:hAnsiTheme="minorHAnsi" w:cs="Cambria"/>
          <w:szCs w:val="20"/>
        </w:rPr>
        <w:t xml:space="preserve"> consequences of the history of colonialism and </w:t>
      </w:r>
      <w:r w:rsidR="00BC2D83" w:rsidRPr="00D920C9">
        <w:rPr>
          <w:rFonts w:asciiTheme="minorHAnsi" w:hAnsiTheme="minorHAnsi" w:cs="Cambria"/>
          <w:szCs w:val="20"/>
        </w:rPr>
        <w:t>enslavement</w:t>
      </w:r>
      <w:r w:rsidRPr="00D920C9">
        <w:rPr>
          <w:rFonts w:asciiTheme="minorHAnsi" w:hAnsiTheme="minorHAnsi" w:cs="Cambria"/>
          <w:szCs w:val="20"/>
        </w:rPr>
        <w:t xml:space="preserve"> is the multiple forms of discrimination and racism to which Afro-descendants</w:t>
      </w:r>
      <w:r w:rsidR="004D0A7C" w:rsidRPr="00D920C9">
        <w:rPr>
          <w:rFonts w:asciiTheme="minorHAnsi" w:hAnsiTheme="minorHAnsi" w:cs="Cambria"/>
          <w:szCs w:val="20"/>
        </w:rPr>
        <w:t xml:space="preserve"> </w:t>
      </w:r>
      <w:r w:rsidRPr="00D920C9">
        <w:rPr>
          <w:rFonts w:asciiTheme="minorHAnsi" w:hAnsiTheme="minorHAnsi" w:cs="Cambria"/>
          <w:szCs w:val="20"/>
        </w:rPr>
        <w:t>have been subjected across the length and breadth of the American hemisphere.</w:t>
      </w:r>
      <w:r w:rsidRPr="00D920C9">
        <w:rPr>
          <w:rStyle w:val="FootnoteReference"/>
          <w:rFonts w:asciiTheme="minorHAnsi" w:hAnsiTheme="minorHAnsi" w:cs="Cambria"/>
          <w:szCs w:val="20"/>
        </w:rPr>
        <w:footnoteReference w:id="54"/>
      </w:r>
      <w:r w:rsidRPr="00D920C9">
        <w:rPr>
          <w:rFonts w:asciiTheme="minorHAnsi" w:hAnsiTheme="minorHAnsi" w:cs="Cambria"/>
          <w:szCs w:val="20"/>
        </w:rPr>
        <w:t xml:space="preserve"> </w:t>
      </w:r>
      <w:r w:rsidR="007C0B00" w:rsidRPr="00D920C9">
        <w:rPr>
          <w:rFonts w:asciiTheme="minorHAnsi" w:hAnsiTheme="minorHAnsi" w:cs="Cambria"/>
          <w:szCs w:val="20"/>
        </w:rPr>
        <w:t>In this respect, the Commission has previously observed that</w:t>
      </w:r>
      <w:r w:rsidR="000A1E39" w:rsidRPr="00D920C9">
        <w:rPr>
          <w:rFonts w:asciiTheme="minorHAnsi" w:hAnsiTheme="minorHAnsi" w:cs="Cambria"/>
          <w:szCs w:val="20"/>
        </w:rPr>
        <w:t>:</w:t>
      </w:r>
    </w:p>
    <w:p w14:paraId="70586D4E" w14:textId="77777777" w:rsidR="00B4412C" w:rsidRPr="00D920C9" w:rsidRDefault="00B4412C" w:rsidP="000A1E39">
      <w:pPr>
        <w:pStyle w:val="ListParagraph"/>
        <w:spacing w:after="240" w:line="240" w:lineRule="auto"/>
        <w:ind w:left="1166" w:right="619"/>
        <w:contextualSpacing w:val="0"/>
        <w:jc w:val="both"/>
        <w:rPr>
          <w:rFonts w:asciiTheme="minorHAnsi" w:hAnsiTheme="minorHAnsi" w:cs="Cambria"/>
          <w:szCs w:val="18"/>
        </w:rPr>
      </w:pPr>
      <w:r w:rsidRPr="00D920C9">
        <w:rPr>
          <w:rFonts w:asciiTheme="minorHAnsi" w:hAnsiTheme="minorHAnsi" w:cs="Cambria"/>
          <w:szCs w:val="18"/>
        </w:rPr>
        <w:t xml:space="preserve">Despite the deep historical roots of discrimination and racism against Afro-descendants and indigenous people in the Americas, these problems and their consequences and causes have been largely ignored, buried, and even denied in the majority of the States of the Americas. </w:t>
      </w:r>
      <w:r w:rsidR="00B03F5E" w:rsidRPr="00D920C9">
        <w:rPr>
          <w:rFonts w:asciiTheme="minorHAnsi" w:hAnsiTheme="minorHAnsi" w:cs="Cambria"/>
          <w:szCs w:val="18"/>
        </w:rPr>
        <w:t xml:space="preserve">A number of factors have conspired to make discrimination and racism an invisible phenomenon in the Americas, one being the way in which racism became engrained, both historically and culturally, from the time of slavery and colonialism up to the present day. </w:t>
      </w:r>
      <w:r w:rsidRPr="00D920C9">
        <w:rPr>
          <w:rFonts w:asciiTheme="minorHAnsi" w:hAnsiTheme="minorHAnsi" w:cs="Cambria"/>
          <w:szCs w:val="18"/>
        </w:rPr>
        <w:t>In the Commission’s view, while many of the manifestations of discrimination and racism that Afro-descendants and indigenous peoples still encounter in the American hemisphere can be traced to</w:t>
      </w:r>
      <w:r w:rsidR="007C0B00" w:rsidRPr="00D920C9">
        <w:rPr>
          <w:rFonts w:asciiTheme="minorHAnsi" w:hAnsiTheme="minorHAnsi" w:cs="Cambria"/>
          <w:szCs w:val="18"/>
        </w:rPr>
        <w:t xml:space="preserve"> […]</w:t>
      </w:r>
      <w:r w:rsidRPr="00D920C9">
        <w:rPr>
          <w:rFonts w:asciiTheme="minorHAnsi" w:hAnsiTheme="minorHAnsi" w:cs="Cambria"/>
          <w:szCs w:val="18"/>
        </w:rPr>
        <w:t xml:space="preserve"> historical facts, they are also attributable to the fact that they have not been fully recognized or addressed by </w:t>
      </w:r>
      <w:r w:rsidR="007C0B00" w:rsidRPr="00D920C9">
        <w:rPr>
          <w:rFonts w:asciiTheme="minorHAnsi" w:hAnsiTheme="minorHAnsi" w:cs="Cambria"/>
          <w:szCs w:val="18"/>
        </w:rPr>
        <w:t>[…]</w:t>
      </w:r>
      <w:r w:rsidRPr="00D920C9">
        <w:rPr>
          <w:rFonts w:asciiTheme="minorHAnsi" w:hAnsiTheme="minorHAnsi" w:cs="Cambria"/>
          <w:szCs w:val="18"/>
        </w:rPr>
        <w:t xml:space="preserve"> States </w:t>
      </w:r>
      <w:r w:rsidR="007C0B00" w:rsidRPr="00D920C9">
        <w:rPr>
          <w:rFonts w:asciiTheme="minorHAnsi" w:hAnsiTheme="minorHAnsi" w:cs="Cambria"/>
          <w:szCs w:val="18"/>
        </w:rPr>
        <w:t>[…] and have to a large extent been rendered invisible until recent years</w:t>
      </w:r>
      <w:r w:rsidRPr="00D920C9">
        <w:rPr>
          <w:rFonts w:asciiTheme="minorHAnsi" w:hAnsiTheme="minorHAnsi" w:cs="Cambria"/>
          <w:szCs w:val="18"/>
        </w:rPr>
        <w:t>. As the Commission has observed, the Afro-descendant population in the Americas has endured a history of neglect, exclusion, and social and economic disadvantage that impairs the enjoyment of their fundamental rights.</w:t>
      </w:r>
      <w:r w:rsidRPr="00D920C9">
        <w:rPr>
          <w:rStyle w:val="FootnoteReference"/>
          <w:rFonts w:asciiTheme="minorHAnsi" w:hAnsiTheme="minorHAnsi" w:cs="Cambria"/>
          <w:szCs w:val="18"/>
        </w:rPr>
        <w:footnoteReference w:id="55"/>
      </w:r>
    </w:p>
    <w:p w14:paraId="0B663A68"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cs="Cambria"/>
          <w:szCs w:val="20"/>
        </w:rPr>
      </w:pPr>
      <w:r w:rsidRPr="00D920C9">
        <w:rPr>
          <w:rFonts w:asciiTheme="minorHAnsi" w:hAnsiTheme="minorHAnsi" w:cs="Cambria"/>
          <w:szCs w:val="20"/>
        </w:rPr>
        <w:t xml:space="preserve">The history of racism against Afro-descendants in the United States, as in the Americas generally, is deeply linked to the history of chattel slavery </w:t>
      </w:r>
      <w:r w:rsidR="00D3133D" w:rsidRPr="00D920C9">
        <w:rPr>
          <w:rFonts w:asciiTheme="minorHAnsi" w:hAnsiTheme="minorHAnsi" w:cs="Cambria"/>
          <w:szCs w:val="20"/>
        </w:rPr>
        <w:t>beginning in</w:t>
      </w:r>
      <w:r w:rsidRPr="00D920C9">
        <w:rPr>
          <w:rFonts w:asciiTheme="minorHAnsi" w:hAnsiTheme="minorHAnsi" w:cs="Cambria"/>
          <w:szCs w:val="20"/>
        </w:rPr>
        <w:t xml:space="preserve"> the colonial period. The origins of slavery in the United States date to the early 1600s, when Africans were first brought to the present-day </w:t>
      </w:r>
      <w:r w:rsidR="00904A46" w:rsidRPr="00D920C9">
        <w:rPr>
          <w:rFonts w:asciiTheme="minorHAnsi" w:hAnsiTheme="minorHAnsi" w:cs="Cambria"/>
          <w:szCs w:val="20"/>
        </w:rPr>
        <w:t xml:space="preserve">U.S. </w:t>
      </w:r>
      <w:r w:rsidRPr="00D920C9">
        <w:rPr>
          <w:rFonts w:asciiTheme="minorHAnsi" w:hAnsiTheme="minorHAnsi" w:cs="Cambria"/>
          <w:szCs w:val="20"/>
        </w:rPr>
        <w:t>both directly from Africa and from Caribbean islands like Barbados, to work on farms and plantations in the colonies.</w:t>
      </w:r>
      <w:r w:rsidRPr="00D920C9">
        <w:rPr>
          <w:rFonts w:asciiTheme="minorHAnsi" w:hAnsiTheme="minorHAnsi" w:cs="Cambria"/>
          <w:szCs w:val="20"/>
          <w:vertAlign w:val="superscript"/>
        </w:rPr>
        <w:footnoteReference w:id="56"/>
      </w:r>
      <w:r w:rsidRPr="00D920C9">
        <w:rPr>
          <w:rFonts w:asciiTheme="minorHAnsi" w:hAnsiTheme="minorHAnsi" w:cs="Cambria"/>
          <w:szCs w:val="20"/>
        </w:rPr>
        <w:t xml:space="preserve"> Over the course of that century, the incipient racial hierarchy transformed into a permanent, hereditary condition of slavery on the basis of skin color.</w:t>
      </w:r>
      <w:r w:rsidRPr="00D920C9">
        <w:rPr>
          <w:rFonts w:asciiTheme="minorHAnsi" w:hAnsiTheme="minorHAnsi" w:cs="Cambria"/>
          <w:szCs w:val="20"/>
          <w:vertAlign w:val="superscript"/>
        </w:rPr>
        <w:footnoteReference w:id="57"/>
      </w:r>
      <w:r w:rsidRPr="00D920C9">
        <w:rPr>
          <w:rFonts w:asciiTheme="minorHAnsi" w:hAnsiTheme="minorHAnsi" w:cs="Cambria"/>
          <w:szCs w:val="20"/>
        </w:rPr>
        <w:t xml:space="preserve"> As </w:t>
      </w:r>
      <w:r w:rsidRPr="00D920C9">
        <w:rPr>
          <w:rFonts w:asciiTheme="minorHAnsi" w:hAnsiTheme="minorHAnsi" w:cs="Cambria"/>
          <w:szCs w:val="20"/>
        </w:rPr>
        <w:lastRenderedPageBreak/>
        <w:t xml:space="preserve">the institution </w:t>
      </w:r>
      <w:r w:rsidRPr="00D920C9">
        <w:rPr>
          <w:rFonts w:asciiTheme="minorHAnsi" w:hAnsiTheme="minorHAnsi"/>
          <w:szCs w:val="20"/>
        </w:rPr>
        <w:t>of slavery became more entrenched, so did the need to maintain this economic order by assisting plantation owners in recovering and punishing slaves who attempted to escape; in 1704, the colony of South Carolina developed the nation's first slave patrol to catch and return escaped slaves,</w:t>
      </w:r>
      <w:r w:rsidRPr="00D920C9">
        <w:rPr>
          <w:rFonts w:asciiTheme="minorHAnsi" w:hAnsiTheme="minorHAnsi" w:cs="Cambria"/>
          <w:szCs w:val="20"/>
        </w:rPr>
        <w:t xml:space="preserve"> deter slave revolts, and carry out beatings and whippings, seeking to thwart any activity that might threaten the continued existence of the institution of slavery.</w:t>
      </w:r>
      <w:r w:rsidRPr="00D920C9">
        <w:rPr>
          <w:rFonts w:asciiTheme="minorHAnsi" w:hAnsiTheme="minorHAnsi" w:cs="Cambria"/>
          <w:szCs w:val="20"/>
          <w:vertAlign w:val="superscript"/>
        </w:rPr>
        <w:footnoteReference w:id="58"/>
      </w:r>
      <w:r w:rsidRPr="00D920C9">
        <w:rPr>
          <w:rFonts w:asciiTheme="minorHAnsi" w:hAnsiTheme="minorHAnsi" w:cs="Cambria"/>
          <w:szCs w:val="20"/>
        </w:rPr>
        <w:t xml:space="preserve"> </w:t>
      </w:r>
      <w:r w:rsidR="00D3133D" w:rsidRPr="00D920C9">
        <w:rPr>
          <w:rFonts w:asciiTheme="minorHAnsi" w:hAnsiTheme="minorHAnsi" w:cs="Cambria"/>
          <w:szCs w:val="20"/>
        </w:rPr>
        <w:t>S</w:t>
      </w:r>
      <w:r w:rsidRPr="00D920C9">
        <w:rPr>
          <w:rFonts w:asciiTheme="minorHAnsi" w:hAnsiTheme="minorHAnsi" w:cs="Cambria"/>
          <w:szCs w:val="20"/>
        </w:rPr>
        <w:t>lave patrols were thus “the first uniquely American form of policing.”</w:t>
      </w:r>
      <w:r w:rsidRPr="00D920C9">
        <w:rPr>
          <w:rStyle w:val="FootnoteReference"/>
          <w:rFonts w:asciiTheme="minorHAnsi" w:hAnsiTheme="minorHAnsi" w:cs="Cambria"/>
          <w:szCs w:val="20"/>
        </w:rPr>
        <w:footnoteReference w:id="59"/>
      </w:r>
    </w:p>
    <w:p w14:paraId="6BDB5F00"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cs="Cambria"/>
          <w:szCs w:val="20"/>
        </w:rPr>
        <w:t>The transatlantic slave trade continued to grow over the following centuries, and by the time of the Revolutionary War (1775-83) and subsequent drafting of the U</w:t>
      </w:r>
      <w:r w:rsidR="00C45A79" w:rsidRPr="00D920C9">
        <w:rPr>
          <w:rFonts w:asciiTheme="minorHAnsi" w:hAnsiTheme="minorHAnsi" w:cs="Cambria"/>
          <w:szCs w:val="20"/>
        </w:rPr>
        <w:t>.</w:t>
      </w:r>
      <w:r w:rsidRPr="00D920C9">
        <w:rPr>
          <w:rFonts w:asciiTheme="minorHAnsi" w:hAnsiTheme="minorHAnsi" w:cs="Cambria"/>
          <w:szCs w:val="20"/>
        </w:rPr>
        <w:t>S</w:t>
      </w:r>
      <w:r w:rsidR="00C45A79" w:rsidRPr="00D920C9">
        <w:rPr>
          <w:rFonts w:asciiTheme="minorHAnsi" w:hAnsiTheme="minorHAnsi" w:cs="Cambria"/>
          <w:szCs w:val="20"/>
        </w:rPr>
        <w:t>.</w:t>
      </w:r>
      <w:r w:rsidRPr="00D920C9">
        <w:rPr>
          <w:rFonts w:asciiTheme="minorHAnsi" w:hAnsiTheme="minorHAnsi" w:cs="Cambria"/>
          <w:szCs w:val="20"/>
        </w:rPr>
        <w:t xml:space="preserve"> Constitution (1787), the system of race-based slavery was well entrenched in many of the colonies. While the economies of southern colonies like Virginia, Maryland, and the Carolinas largely depended on the exploitation of slave labor on agricultural plantations, the industrialists, banks, and financiers of northern New England and Mid-</w:t>
      </w:r>
      <w:r w:rsidRPr="00D920C9">
        <w:rPr>
          <w:rFonts w:asciiTheme="minorHAnsi" w:hAnsiTheme="minorHAnsi"/>
          <w:szCs w:val="20"/>
        </w:rPr>
        <w:t>Atlantic colonies profited enormously from their investments in and trade relationships with slaveholding colonies, both in the south and in the Caribbean.</w:t>
      </w:r>
      <w:r w:rsidRPr="00D920C9">
        <w:rPr>
          <w:rFonts w:asciiTheme="minorHAnsi" w:hAnsiTheme="minorHAnsi"/>
          <w:szCs w:val="20"/>
          <w:vertAlign w:val="superscript"/>
        </w:rPr>
        <w:footnoteReference w:id="60"/>
      </w:r>
      <w:r w:rsidRPr="00D920C9">
        <w:rPr>
          <w:rFonts w:asciiTheme="minorHAnsi" w:hAnsiTheme="minorHAnsi"/>
          <w:szCs w:val="20"/>
        </w:rPr>
        <w:t xml:space="preserve"> While the word “slavery” was consciously excluded from the Constitution, it is widely seen as being tacitly recognized in the infamous “Three-Fifths Compromise.”</w:t>
      </w:r>
      <w:r w:rsidRPr="00D920C9">
        <w:rPr>
          <w:rFonts w:asciiTheme="minorHAnsi" w:hAnsiTheme="minorHAnsi"/>
          <w:szCs w:val="20"/>
          <w:vertAlign w:val="superscript"/>
        </w:rPr>
        <w:footnoteReference w:id="61"/>
      </w:r>
      <w:r w:rsidRPr="00D920C9">
        <w:rPr>
          <w:rFonts w:asciiTheme="minorHAnsi" w:hAnsiTheme="minorHAnsi"/>
          <w:szCs w:val="20"/>
        </w:rPr>
        <w:t xml:space="preserve"> In this way, racialized hierarchy was included as a part of the founding legal and economic order of the </w:t>
      </w:r>
      <w:r w:rsidR="00904A46" w:rsidRPr="00D920C9">
        <w:rPr>
          <w:rFonts w:asciiTheme="minorHAnsi" w:hAnsiTheme="minorHAnsi"/>
          <w:szCs w:val="20"/>
        </w:rPr>
        <w:t>U.S</w:t>
      </w:r>
      <w:r w:rsidRPr="00D920C9">
        <w:rPr>
          <w:rFonts w:asciiTheme="minorHAnsi" w:hAnsiTheme="minorHAnsi"/>
          <w:szCs w:val="20"/>
        </w:rPr>
        <w:t>.</w:t>
      </w:r>
    </w:p>
    <w:p w14:paraId="59D87E2E"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During the early 19th century, debate</w:t>
      </w:r>
      <w:r w:rsidR="00C950E0" w:rsidRPr="00D920C9">
        <w:rPr>
          <w:rFonts w:asciiTheme="minorHAnsi" w:hAnsiTheme="minorHAnsi"/>
          <w:szCs w:val="20"/>
        </w:rPr>
        <w:t>s</w:t>
      </w:r>
      <w:r w:rsidRPr="00D920C9">
        <w:rPr>
          <w:rFonts w:asciiTheme="minorHAnsi" w:hAnsiTheme="minorHAnsi"/>
          <w:szCs w:val="20"/>
        </w:rPr>
        <w:t xml:space="preserve"> over the continued existence of slavery between northern and southern states intensified as conflicts </w:t>
      </w:r>
      <w:r w:rsidRPr="00D920C9">
        <w:rPr>
          <w:rFonts w:asciiTheme="minorHAnsi" w:hAnsiTheme="minorHAnsi"/>
          <w:szCs w:val="20"/>
        </w:rPr>
        <w:lastRenderedPageBreak/>
        <w:t>developed on a number of fronts: key flash points included the continuing debate over the expansion of slavery westward into the territories,</w:t>
      </w:r>
      <w:r w:rsidRPr="00D920C9">
        <w:rPr>
          <w:rFonts w:asciiTheme="minorHAnsi" w:hAnsiTheme="minorHAnsi"/>
          <w:szCs w:val="20"/>
          <w:vertAlign w:val="superscript"/>
        </w:rPr>
        <w:footnoteReference w:id="62"/>
      </w:r>
      <w:r w:rsidRPr="00D920C9">
        <w:rPr>
          <w:rFonts w:asciiTheme="minorHAnsi" w:hAnsiTheme="minorHAnsi"/>
          <w:szCs w:val="20"/>
        </w:rPr>
        <w:t xml:space="preserve"> legal challenges to the enforcement of fugitive slave laws, including the Fugitive Slave Act of 1850,</w:t>
      </w:r>
      <w:r w:rsidRPr="00D920C9">
        <w:rPr>
          <w:rFonts w:asciiTheme="minorHAnsi" w:hAnsiTheme="minorHAnsi"/>
          <w:szCs w:val="20"/>
          <w:vertAlign w:val="superscript"/>
        </w:rPr>
        <w:footnoteReference w:id="63"/>
      </w:r>
      <w:r w:rsidRPr="00D920C9">
        <w:rPr>
          <w:rFonts w:asciiTheme="minorHAnsi" w:hAnsiTheme="minorHAnsi"/>
          <w:szCs w:val="20"/>
        </w:rPr>
        <w:t xml:space="preserve"> and the Supreme Court’s infamous Dred Scott decision of 1857—widely seen as a failed attempt to placate slave states to avoid civil war—which held that any descendant of slaves in the </w:t>
      </w:r>
      <w:r w:rsidR="00904A46" w:rsidRPr="00D920C9">
        <w:rPr>
          <w:rFonts w:asciiTheme="minorHAnsi" w:hAnsiTheme="minorHAnsi"/>
          <w:szCs w:val="20"/>
        </w:rPr>
        <w:t>U.S.</w:t>
      </w:r>
      <w:r w:rsidRPr="00D920C9">
        <w:rPr>
          <w:rFonts w:asciiTheme="minorHAnsi" w:hAnsiTheme="minorHAnsi"/>
          <w:szCs w:val="20"/>
        </w:rPr>
        <w:t xml:space="preserve"> </w:t>
      </w:r>
      <w:r w:rsidR="00445DD2" w:rsidRPr="00D920C9">
        <w:rPr>
          <w:rFonts w:asciiTheme="minorHAnsi" w:hAnsiTheme="minorHAnsi"/>
          <w:szCs w:val="20"/>
        </w:rPr>
        <w:t>“are not included, and were not intended to be included, under the word ‘citizens’ in the Constitution</w:t>
      </w:r>
      <w:r w:rsidRPr="00D920C9">
        <w:rPr>
          <w:rFonts w:asciiTheme="minorHAnsi" w:hAnsiTheme="minorHAnsi"/>
          <w:szCs w:val="20"/>
        </w:rPr>
        <w:t>,</w:t>
      </w:r>
      <w:r w:rsidR="00445DD2" w:rsidRPr="00D920C9">
        <w:rPr>
          <w:rFonts w:asciiTheme="minorHAnsi" w:hAnsiTheme="minorHAnsi"/>
          <w:szCs w:val="20"/>
        </w:rPr>
        <w:t>”</w:t>
      </w:r>
      <w:r w:rsidRPr="00D920C9">
        <w:rPr>
          <w:rFonts w:asciiTheme="minorHAnsi" w:hAnsiTheme="minorHAnsi"/>
          <w:szCs w:val="20"/>
        </w:rPr>
        <w:t xml:space="preserve"> and had “no rights which the white man was bound to respect.”</w:t>
      </w:r>
      <w:r w:rsidRPr="00D920C9">
        <w:rPr>
          <w:rFonts w:asciiTheme="minorHAnsi" w:hAnsiTheme="minorHAnsi"/>
          <w:szCs w:val="20"/>
          <w:vertAlign w:val="superscript"/>
        </w:rPr>
        <w:footnoteReference w:id="64"/>
      </w:r>
      <w:r w:rsidRPr="00D920C9">
        <w:rPr>
          <w:rFonts w:asciiTheme="minorHAnsi" w:hAnsiTheme="minorHAnsi"/>
          <w:szCs w:val="20"/>
        </w:rPr>
        <w:t xml:space="preserve"> </w:t>
      </w:r>
      <w:r w:rsidR="008250DC" w:rsidRPr="00D920C9">
        <w:rPr>
          <w:rFonts w:asciiTheme="minorHAnsi" w:hAnsiTheme="minorHAnsi"/>
          <w:szCs w:val="20"/>
        </w:rPr>
        <w:t>The failure of these compromises and other legal and political measures to resolve the continuing conflict between northern and southern states over slavery led the country closer and closer to Civil War.</w:t>
      </w:r>
    </w:p>
    <w:p w14:paraId="616D9C3A"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cs="Cambria"/>
          <w:szCs w:val="20"/>
        </w:rPr>
      </w:pPr>
      <w:r w:rsidRPr="00D920C9">
        <w:rPr>
          <w:rFonts w:asciiTheme="minorHAnsi" w:hAnsiTheme="minorHAnsi"/>
          <w:szCs w:val="20"/>
        </w:rPr>
        <w:t>By the eve of the Civil War, slavery was fully institutionalized in the U</w:t>
      </w:r>
      <w:r w:rsidR="00C45A79" w:rsidRPr="00D920C9">
        <w:rPr>
          <w:rFonts w:asciiTheme="minorHAnsi" w:hAnsiTheme="minorHAnsi"/>
          <w:szCs w:val="20"/>
        </w:rPr>
        <w:t>.</w:t>
      </w:r>
      <w:r w:rsidRPr="00D920C9">
        <w:rPr>
          <w:rFonts w:asciiTheme="minorHAnsi" w:hAnsiTheme="minorHAnsi"/>
          <w:szCs w:val="20"/>
        </w:rPr>
        <w:t>S</w:t>
      </w:r>
      <w:r w:rsidR="00C45A79" w:rsidRPr="00D920C9">
        <w:rPr>
          <w:rFonts w:asciiTheme="minorHAnsi" w:hAnsiTheme="minorHAnsi"/>
          <w:szCs w:val="20"/>
        </w:rPr>
        <w:t>.</w:t>
      </w:r>
      <w:r w:rsidRPr="00D920C9">
        <w:rPr>
          <w:rFonts w:asciiTheme="minorHAnsi" w:hAnsiTheme="minorHAnsi"/>
          <w:szCs w:val="20"/>
        </w:rPr>
        <w:t xml:space="preserve"> economic and legal order, wi</w:t>
      </w:r>
      <w:r w:rsidR="00542BB7" w:rsidRPr="00D920C9">
        <w:rPr>
          <w:rFonts w:asciiTheme="minorHAnsi" w:hAnsiTheme="minorHAnsi"/>
          <w:szCs w:val="20"/>
        </w:rPr>
        <w:t>th an extensive system of state</w:t>
      </w:r>
      <w:r w:rsidRPr="00D920C9">
        <w:rPr>
          <w:rFonts w:asciiTheme="minorHAnsi" w:hAnsiTheme="minorHAnsi"/>
          <w:szCs w:val="20"/>
        </w:rPr>
        <w:t xml:space="preserve"> Slave Codes that criminalized most aspects of Black existence, as well as federal</w:t>
      </w:r>
      <w:r w:rsidRPr="00D920C9">
        <w:rPr>
          <w:rFonts w:asciiTheme="minorHAnsi" w:hAnsiTheme="minorHAnsi" w:cs="Cambria"/>
          <w:szCs w:val="20"/>
        </w:rPr>
        <w:t xml:space="preserve"> enforcement mechanisms.</w:t>
      </w:r>
      <w:bookmarkStart w:id="38" w:name="_Ref507165488"/>
      <w:r w:rsidRPr="00D920C9">
        <w:rPr>
          <w:rFonts w:asciiTheme="minorHAnsi" w:hAnsiTheme="minorHAnsi" w:cs="Cambria"/>
          <w:szCs w:val="20"/>
          <w:vertAlign w:val="superscript"/>
        </w:rPr>
        <w:footnoteReference w:id="65"/>
      </w:r>
      <w:bookmarkEnd w:id="38"/>
      <w:r w:rsidRPr="00D920C9">
        <w:rPr>
          <w:rFonts w:asciiTheme="minorHAnsi" w:hAnsiTheme="minorHAnsi" w:cs="Cambria"/>
          <w:szCs w:val="20"/>
        </w:rPr>
        <w:t xml:space="preserve"> </w:t>
      </w:r>
      <w:r w:rsidR="008250DC" w:rsidRPr="00D920C9">
        <w:rPr>
          <w:rFonts w:asciiTheme="minorHAnsi" w:hAnsiTheme="minorHAnsi" w:cs="Cambria"/>
          <w:szCs w:val="20"/>
        </w:rPr>
        <w:t xml:space="preserve">Slavery as a social and economic system depended on the total and brutal control </w:t>
      </w:r>
      <w:r w:rsidR="0046403F" w:rsidRPr="00D920C9">
        <w:rPr>
          <w:rFonts w:asciiTheme="minorHAnsi" w:hAnsiTheme="minorHAnsi" w:cs="Cambria"/>
          <w:szCs w:val="20"/>
        </w:rPr>
        <w:t>of</w:t>
      </w:r>
      <w:r w:rsidR="008250DC" w:rsidRPr="00D920C9">
        <w:rPr>
          <w:rFonts w:asciiTheme="minorHAnsi" w:hAnsiTheme="minorHAnsi" w:cs="Cambria"/>
          <w:szCs w:val="20"/>
        </w:rPr>
        <w:t xml:space="preserve"> </w:t>
      </w:r>
      <w:r w:rsidR="00445DD2" w:rsidRPr="00D920C9">
        <w:rPr>
          <w:rFonts w:asciiTheme="minorHAnsi" w:hAnsiTheme="minorHAnsi" w:cs="Cambria"/>
          <w:szCs w:val="20"/>
        </w:rPr>
        <w:t>black bodies and b</w:t>
      </w:r>
      <w:r w:rsidR="008250DC" w:rsidRPr="00D920C9">
        <w:rPr>
          <w:rFonts w:asciiTheme="minorHAnsi" w:hAnsiTheme="minorHAnsi" w:cs="Cambria"/>
          <w:szCs w:val="20"/>
        </w:rPr>
        <w:t>lack lives.</w:t>
      </w:r>
      <w:r w:rsidR="008250DC" w:rsidRPr="00D920C9">
        <w:rPr>
          <w:rStyle w:val="FootnoteReference"/>
          <w:rFonts w:asciiTheme="minorHAnsi" w:hAnsiTheme="minorHAnsi" w:cs="Cambria"/>
          <w:szCs w:val="20"/>
        </w:rPr>
        <w:footnoteReference w:id="66"/>
      </w:r>
      <w:r w:rsidR="008250DC" w:rsidRPr="00D920C9">
        <w:rPr>
          <w:rFonts w:asciiTheme="minorHAnsi" w:hAnsiTheme="minorHAnsi" w:cs="Cambria"/>
          <w:szCs w:val="20"/>
        </w:rPr>
        <w:t xml:space="preserve"> </w:t>
      </w:r>
      <w:r w:rsidRPr="00D920C9">
        <w:rPr>
          <w:rFonts w:asciiTheme="minorHAnsi" w:hAnsiTheme="minorHAnsi" w:cs="Cambria"/>
          <w:szCs w:val="20"/>
        </w:rPr>
        <w:t xml:space="preserve">Virginia, for example, enacted more than 130 slave statutes between 1689 </w:t>
      </w:r>
      <w:r w:rsidRPr="00D920C9">
        <w:rPr>
          <w:rFonts w:asciiTheme="minorHAnsi" w:hAnsiTheme="minorHAnsi" w:cs="Cambria"/>
          <w:szCs w:val="20"/>
        </w:rPr>
        <w:lastRenderedPageBreak/>
        <w:t>and 1865.</w:t>
      </w:r>
      <w:r w:rsidRPr="00D920C9">
        <w:rPr>
          <w:rFonts w:asciiTheme="minorHAnsi" w:hAnsiTheme="minorHAnsi" w:cs="Cambria"/>
          <w:szCs w:val="20"/>
          <w:vertAlign w:val="superscript"/>
        </w:rPr>
        <w:footnoteReference w:id="67"/>
      </w:r>
      <w:r w:rsidRPr="00D920C9">
        <w:rPr>
          <w:rFonts w:asciiTheme="minorHAnsi" w:hAnsiTheme="minorHAnsi" w:cs="Cambria"/>
          <w:szCs w:val="20"/>
        </w:rPr>
        <w:t xml:space="preserve"> This architecture amounted to “a legally sanctioned law enforcement system [...] for the express purpose of controlling the slave population and protecting the interests of slave owners.”</w:t>
      </w:r>
      <w:r w:rsidRPr="00D920C9">
        <w:rPr>
          <w:rFonts w:asciiTheme="minorHAnsi" w:hAnsiTheme="minorHAnsi" w:cs="Cambria"/>
          <w:szCs w:val="20"/>
          <w:vertAlign w:val="superscript"/>
        </w:rPr>
        <w:footnoteReference w:id="68"/>
      </w:r>
      <w:r w:rsidRPr="00D920C9">
        <w:rPr>
          <w:rFonts w:asciiTheme="minorHAnsi" w:hAnsiTheme="minorHAnsi" w:cs="Cambria"/>
          <w:szCs w:val="20"/>
        </w:rPr>
        <w:t xml:space="preserve"> The </w:t>
      </w:r>
      <w:r w:rsidR="00542BB7" w:rsidRPr="00D920C9">
        <w:rPr>
          <w:rFonts w:asciiTheme="minorHAnsi" w:hAnsiTheme="minorHAnsi" w:cs="Cambria"/>
          <w:szCs w:val="20"/>
        </w:rPr>
        <w:t>existence of such an extensive</w:t>
      </w:r>
      <w:r w:rsidRPr="00D920C9">
        <w:rPr>
          <w:rFonts w:asciiTheme="minorHAnsi" w:hAnsiTheme="minorHAnsi" w:cs="Cambria"/>
          <w:szCs w:val="20"/>
        </w:rPr>
        <w:t xml:space="preserve"> </w:t>
      </w:r>
      <w:r w:rsidR="00542BB7" w:rsidRPr="00D920C9">
        <w:rPr>
          <w:rFonts w:asciiTheme="minorHAnsi" w:hAnsiTheme="minorHAnsi" w:cs="Cambria"/>
          <w:szCs w:val="20"/>
        </w:rPr>
        <w:t>system</w:t>
      </w:r>
      <w:r w:rsidRPr="00D920C9">
        <w:rPr>
          <w:rFonts w:asciiTheme="minorHAnsi" w:hAnsiTheme="minorHAnsi" w:cs="Cambria"/>
          <w:szCs w:val="20"/>
        </w:rPr>
        <w:t xml:space="preserve"> is </w:t>
      </w:r>
      <w:r w:rsidR="00542BB7" w:rsidRPr="00D920C9">
        <w:rPr>
          <w:rFonts w:asciiTheme="minorHAnsi" w:hAnsiTheme="minorHAnsi" w:cs="Cambria"/>
          <w:szCs w:val="20"/>
        </w:rPr>
        <w:t>explained by the fact that</w:t>
      </w:r>
      <w:r w:rsidRPr="00D920C9">
        <w:rPr>
          <w:rFonts w:asciiTheme="minorHAnsi" w:hAnsiTheme="minorHAnsi" w:cs="Cambria"/>
          <w:szCs w:val="20"/>
        </w:rPr>
        <w:t xml:space="preserve"> </w:t>
      </w:r>
      <w:r w:rsidR="0046403F" w:rsidRPr="00D920C9">
        <w:rPr>
          <w:rFonts w:asciiTheme="minorHAnsi" w:hAnsiTheme="minorHAnsi" w:cs="Cambria"/>
          <w:szCs w:val="20"/>
        </w:rPr>
        <w:t>that s</w:t>
      </w:r>
      <w:r w:rsidRPr="00D920C9">
        <w:rPr>
          <w:rFonts w:asciiTheme="minorHAnsi" w:hAnsiTheme="minorHAnsi" w:cs="Cambria"/>
          <w:szCs w:val="20"/>
        </w:rPr>
        <w:t xml:space="preserve">lavery was </w:t>
      </w:r>
      <w:r w:rsidR="0046403F" w:rsidRPr="00D920C9">
        <w:rPr>
          <w:rFonts w:asciiTheme="minorHAnsi" w:hAnsiTheme="minorHAnsi" w:cs="Cambria"/>
          <w:szCs w:val="20"/>
        </w:rPr>
        <w:t xml:space="preserve">central </w:t>
      </w:r>
      <w:r w:rsidRPr="00D920C9">
        <w:rPr>
          <w:rFonts w:asciiTheme="minorHAnsi" w:hAnsiTheme="minorHAnsi" w:cs="Cambria"/>
          <w:szCs w:val="20"/>
        </w:rPr>
        <w:t>to U</w:t>
      </w:r>
      <w:r w:rsidR="00C45A79" w:rsidRPr="00D920C9">
        <w:rPr>
          <w:rFonts w:asciiTheme="minorHAnsi" w:hAnsiTheme="minorHAnsi" w:cs="Cambria"/>
          <w:szCs w:val="20"/>
        </w:rPr>
        <w:t>.</w:t>
      </w:r>
      <w:r w:rsidRPr="00D920C9">
        <w:rPr>
          <w:rFonts w:asciiTheme="minorHAnsi" w:hAnsiTheme="minorHAnsi" w:cs="Cambria"/>
          <w:szCs w:val="20"/>
        </w:rPr>
        <w:t>S</w:t>
      </w:r>
      <w:r w:rsidR="00C45A79" w:rsidRPr="00D920C9">
        <w:rPr>
          <w:rFonts w:asciiTheme="minorHAnsi" w:hAnsiTheme="minorHAnsi" w:cs="Cambria"/>
          <w:szCs w:val="20"/>
        </w:rPr>
        <w:t>.</w:t>
      </w:r>
      <w:r w:rsidRPr="00D920C9">
        <w:rPr>
          <w:rFonts w:asciiTheme="minorHAnsi" w:hAnsiTheme="minorHAnsi" w:cs="Cambria"/>
          <w:szCs w:val="20"/>
        </w:rPr>
        <w:t xml:space="preserve"> prosperity; by 1860, the four million slaves in the </w:t>
      </w:r>
      <w:r w:rsidR="00904A46" w:rsidRPr="00D920C9">
        <w:rPr>
          <w:rFonts w:asciiTheme="minorHAnsi" w:hAnsiTheme="minorHAnsi" w:cs="Cambria"/>
          <w:szCs w:val="20"/>
        </w:rPr>
        <w:t>U.S.</w:t>
      </w:r>
      <w:r w:rsidRPr="00D920C9">
        <w:rPr>
          <w:rFonts w:asciiTheme="minorHAnsi" w:hAnsiTheme="minorHAnsi" w:cs="Cambria"/>
          <w:szCs w:val="20"/>
        </w:rPr>
        <w:t xml:space="preserve"> were worth some US $3.5 billion, “making them the largest single financial asset in the entire U</w:t>
      </w:r>
      <w:r w:rsidR="00C45A79" w:rsidRPr="00D920C9">
        <w:rPr>
          <w:rFonts w:asciiTheme="minorHAnsi" w:hAnsiTheme="minorHAnsi" w:cs="Cambria"/>
          <w:szCs w:val="20"/>
        </w:rPr>
        <w:t>.</w:t>
      </w:r>
      <w:r w:rsidRPr="00D920C9">
        <w:rPr>
          <w:rFonts w:asciiTheme="minorHAnsi" w:hAnsiTheme="minorHAnsi" w:cs="Cambria"/>
          <w:szCs w:val="20"/>
        </w:rPr>
        <w:t>S</w:t>
      </w:r>
      <w:r w:rsidR="00C45A79" w:rsidRPr="00D920C9">
        <w:rPr>
          <w:rFonts w:asciiTheme="minorHAnsi" w:hAnsiTheme="minorHAnsi" w:cs="Cambria"/>
          <w:szCs w:val="20"/>
        </w:rPr>
        <w:t>.</w:t>
      </w:r>
      <w:r w:rsidRPr="00D920C9">
        <w:rPr>
          <w:rFonts w:asciiTheme="minorHAnsi" w:hAnsiTheme="minorHAnsi" w:cs="Cambria"/>
          <w:szCs w:val="20"/>
        </w:rPr>
        <w:t xml:space="preserve"> economy, worth more than all manufacturing and railroads combined.”</w:t>
      </w:r>
      <w:r w:rsidRPr="00D920C9">
        <w:rPr>
          <w:rStyle w:val="FootnoteReference"/>
          <w:rFonts w:asciiTheme="minorHAnsi" w:hAnsiTheme="minorHAnsi" w:cs="Cambria"/>
          <w:szCs w:val="20"/>
        </w:rPr>
        <w:footnoteReference w:id="69"/>
      </w:r>
    </w:p>
    <w:p w14:paraId="450F3E07" w14:textId="77777777" w:rsidR="00B4412C" w:rsidRPr="00D920C9" w:rsidRDefault="00CA5892"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cs="Cambria"/>
          <w:szCs w:val="20"/>
        </w:rPr>
        <w:t xml:space="preserve">The Civil War (1861-1865) claimed at least 600,000 lives and resulted in the end of the legal institution of slavery in the </w:t>
      </w:r>
      <w:r w:rsidR="00542BB7" w:rsidRPr="00D920C9">
        <w:rPr>
          <w:rFonts w:asciiTheme="minorHAnsi" w:hAnsiTheme="minorHAnsi" w:cs="Cambria"/>
          <w:szCs w:val="20"/>
        </w:rPr>
        <w:t>U.S</w:t>
      </w:r>
      <w:r w:rsidRPr="00D920C9">
        <w:rPr>
          <w:rFonts w:asciiTheme="minorHAnsi" w:hAnsiTheme="minorHAnsi" w:cs="Cambria"/>
          <w:szCs w:val="20"/>
        </w:rPr>
        <w:t>.</w:t>
      </w:r>
      <w:r w:rsidRPr="00D920C9">
        <w:rPr>
          <w:rStyle w:val="FootnoteReference"/>
          <w:rFonts w:asciiTheme="minorHAnsi" w:hAnsiTheme="minorHAnsi" w:cs="Cambria"/>
          <w:szCs w:val="20"/>
        </w:rPr>
        <w:footnoteReference w:id="70"/>
      </w:r>
      <w:r w:rsidRPr="00D920C9">
        <w:rPr>
          <w:rFonts w:asciiTheme="minorHAnsi" w:hAnsiTheme="minorHAnsi" w:cs="Cambria"/>
          <w:szCs w:val="20"/>
        </w:rPr>
        <w:t xml:space="preserve"> </w:t>
      </w:r>
      <w:r w:rsidR="00B4412C" w:rsidRPr="00D920C9">
        <w:rPr>
          <w:rFonts w:asciiTheme="minorHAnsi" w:hAnsiTheme="minorHAnsi" w:cs="Cambria"/>
          <w:szCs w:val="20"/>
        </w:rPr>
        <w:t xml:space="preserve">At the conclusion of the Civil War, the </w:t>
      </w:r>
      <w:r w:rsidR="00904A46" w:rsidRPr="00D920C9">
        <w:rPr>
          <w:rFonts w:asciiTheme="minorHAnsi" w:hAnsiTheme="minorHAnsi" w:cs="Cambria"/>
          <w:szCs w:val="20"/>
        </w:rPr>
        <w:t>U.S.</w:t>
      </w:r>
      <w:r w:rsidR="00B4412C" w:rsidRPr="00D920C9">
        <w:rPr>
          <w:rFonts w:asciiTheme="minorHAnsi" w:hAnsiTheme="minorHAnsi" w:cs="Cambria"/>
          <w:szCs w:val="20"/>
        </w:rPr>
        <w:t xml:space="preserve"> took steps to affirm and expand the Emancipation Proclamation of 1863, which had declared the emancipation of slaves in the Confederate states, by </w:t>
      </w:r>
      <w:r w:rsidR="00B4412C" w:rsidRPr="00D920C9">
        <w:rPr>
          <w:rFonts w:asciiTheme="minorHAnsi" w:hAnsiTheme="minorHAnsi"/>
          <w:szCs w:val="20"/>
        </w:rPr>
        <w:t xml:space="preserve">ending slavery throughout the </w:t>
      </w:r>
      <w:r w:rsidR="00904A46" w:rsidRPr="00D920C9">
        <w:rPr>
          <w:rFonts w:asciiTheme="minorHAnsi" w:hAnsiTheme="minorHAnsi"/>
          <w:szCs w:val="20"/>
        </w:rPr>
        <w:t>U.S.</w:t>
      </w:r>
      <w:r w:rsidR="00B4412C" w:rsidRPr="00D920C9">
        <w:rPr>
          <w:rFonts w:asciiTheme="minorHAnsi" w:hAnsiTheme="minorHAnsi"/>
          <w:szCs w:val="20"/>
        </w:rPr>
        <w:t xml:space="preserve"> and extending formal legal equality to African</w:t>
      </w:r>
      <w:r w:rsidR="0030356C" w:rsidRPr="00D920C9">
        <w:rPr>
          <w:rFonts w:asciiTheme="minorHAnsi" w:hAnsiTheme="minorHAnsi"/>
          <w:szCs w:val="20"/>
        </w:rPr>
        <w:t xml:space="preserve"> </w:t>
      </w:r>
      <w:r w:rsidR="00B4412C" w:rsidRPr="00D920C9">
        <w:rPr>
          <w:rFonts w:asciiTheme="minorHAnsi" w:hAnsiTheme="minorHAnsi"/>
          <w:szCs w:val="20"/>
        </w:rPr>
        <w:t>Americans through the passage and ratification of the Thirteenth, Fourteenth, and Fifteenth Amendments to the Constitution (the “Reconstruction amendments”).</w:t>
      </w:r>
      <w:r w:rsidR="00B4412C" w:rsidRPr="00D920C9">
        <w:rPr>
          <w:rFonts w:asciiTheme="minorHAnsi" w:hAnsiTheme="minorHAnsi"/>
          <w:vertAlign w:val="superscript"/>
        </w:rPr>
        <w:footnoteReference w:id="71"/>
      </w:r>
      <w:r w:rsidR="00B4412C" w:rsidRPr="00D920C9">
        <w:rPr>
          <w:rFonts w:asciiTheme="minorHAnsi" w:hAnsiTheme="minorHAnsi"/>
          <w:szCs w:val="20"/>
        </w:rPr>
        <w:t xml:space="preserve"> The Thirteenth Amendment prohibits slavery and involuntary servitude, except for those duly convicted of a crime. The Fourteenth Amendment granted citizenship to all persons born or naturalized in th</w:t>
      </w:r>
      <w:r w:rsidR="0046403F" w:rsidRPr="00D920C9">
        <w:rPr>
          <w:rFonts w:asciiTheme="minorHAnsi" w:hAnsiTheme="minorHAnsi"/>
          <w:szCs w:val="20"/>
        </w:rPr>
        <w:t xml:space="preserve">e </w:t>
      </w:r>
      <w:r w:rsidR="00C950E0" w:rsidRPr="00D920C9">
        <w:rPr>
          <w:rFonts w:asciiTheme="minorHAnsi" w:hAnsiTheme="minorHAnsi"/>
          <w:szCs w:val="20"/>
        </w:rPr>
        <w:t>U.S.</w:t>
      </w:r>
      <w:r w:rsidR="0046403F" w:rsidRPr="00D920C9">
        <w:rPr>
          <w:rFonts w:asciiTheme="minorHAnsi" w:hAnsiTheme="minorHAnsi"/>
          <w:szCs w:val="20"/>
        </w:rPr>
        <w:t xml:space="preserve">, </w:t>
      </w:r>
      <w:r w:rsidR="00B4412C" w:rsidRPr="00D920C9">
        <w:rPr>
          <w:rFonts w:asciiTheme="minorHAnsi" w:hAnsiTheme="minorHAnsi"/>
          <w:szCs w:val="20"/>
        </w:rPr>
        <w:t>proclaim</w:t>
      </w:r>
      <w:r w:rsidR="0046403F" w:rsidRPr="00D920C9">
        <w:rPr>
          <w:rFonts w:asciiTheme="minorHAnsi" w:hAnsiTheme="minorHAnsi"/>
          <w:szCs w:val="20"/>
        </w:rPr>
        <w:t>s</w:t>
      </w:r>
      <w:r w:rsidR="00B4412C" w:rsidRPr="00D920C9">
        <w:rPr>
          <w:rFonts w:asciiTheme="minorHAnsi" w:hAnsiTheme="minorHAnsi"/>
          <w:szCs w:val="20"/>
        </w:rPr>
        <w:t xml:space="preserve"> the right of all citizens to equal protection and due process of law, and </w:t>
      </w:r>
      <w:r w:rsidR="0046403F" w:rsidRPr="00D920C9">
        <w:rPr>
          <w:rFonts w:asciiTheme="minorHAnsi" w:hAnsiTheme="minorHAnsi"/>
          <w:szCs w:val="20"/>
        </w:rPr>
        <w:t>gives</w:t>
      </w:r>
      <w:r w:rsidR="00B4412C" w:rsidRPr="00D920C9">
        <w:rPr>
          <w:rFonts w:asciiTheme="minorHAnsi" w:hAnsiTheme="minorHAnsi"/>
          <w:szCs w:val="20"/>
        </w:rPr>
        <w:t xml:space="preserve"> the federal government certain enforcement powers vis a vis the states in this area.</w:t>
      </w:r>
      <w:r w:rsidR="00B4412C" w:rsidRPr="00D920C9">
        <w:rPr>
          <w:rFonts w:asciiTheme="minorHAnsi" w:hAnsiTheme="minorHAnsi"/>
          <w:szCs w:val="20"/>
          <w:vertAlign w:val="superscript"/>
        </w:rPr>
        <w:footnoteReference w:id="72"/>
      </w:r>
      <w:r w:rsidR="00B4412C" w:rsidRPr="00D920C9">
        <w:rPr>
          <w:rFonts w:asciiTheme="minorHAnsi" w:hAnsiTheme="minorHAnsi"/>
          <w:szCs w:val="20"/>
        </w:rPr>
        <w:t xml:space="preserve"> The Fifteenth Amendment prohibits denial of the right to vote on the basis of race or former condition of servitude. </w:t>
      </w:r>
    </w:p>
    <w:p w14:paraId="74CB6E07"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cs="Cambria"/>
          <w:szCs w:val="20"/>
        </w:rPr>
      </w:pPr>
      <w:r w:rsidRPr="00D920C9">
        <w:rPr>
          <w:rFonts w:asciiTheme="minorHAnsi" w:hAnsiTheme="minorHAnsi"/>
          <w:szCs w:val="20"/>
        </w:rPr>
        <w:t>These amendments, along with early civil rights legislation during the Reconstruction period (1865-1877)</w:t>
      </w:r>
      <w:r w:rsidR="00416B45" w:rsidRPr="00D920C9">
        <w:rPr>
          <w:rFonts w:asciiTheme="minorHAnsi" w:hAnsiTheme="minorHAnsi"/>
          <w:szCs w:val="20"/>
        </w:rPr>
        <w:t>, including the Civil Rights Act of 1866 and the Freedmen’s Bureau Act,</w:t>
      </w:r>
      <w:r w:rsidRPr="00D920C9">
        <w:rPr>
          <w:rFonts w:asciiTheme="minorHAnsi" w:hAnsiTheme="minorHAnsi"/>
          <w:szCs w:val="20"/>
        </w:rPr>
        <w:t xml:space="preserve"> promised citizenship, liberty, and</w:t>
      </w:r>
      <w:r w:rsidRPr="00D920C9">
        <w:rPr>
          <w:rFonts w:asciiTheme="minorHAnsi" w:hAnsiTheme="minorHAnsi" w:cs="Cambria"/>
          <w:szCs w:val="20"/>
        </w:rPr>
        <w:t xml:space="preserve"> formal legal equality to African</w:t>
      </w:r>
      <w:r w:rsidR="0030356C" w:rsidRPr="00D920C9">
        <w:rPr>
          <w:rFonts w:asciiTheme="minorHAnsi" w:hAnsiTheme="minorHAnsi" w:cs="Cambria"/>
          <w:szCs w:val="20"/>
        </w:rPr>
        <w:t xml:space="preserve"> </w:t>
      </w:r>
      <w:r w:rsidRPr="00D920C9">
        <w:rPr>
          <w:rFonts w:asciiTheme="minorHAnsi" w:hAnsiTheme="minorHAnsi" w:cs="Cambria"/>
          <w:szCs w:val="20"/>
        </w:rPr>
        <w:t xml:space="preserve">Americans, and the early Reconstruction period in </w:t>
      </w:r>
      <w:r w:rsidRPr="00D920C9">
        <w:rPr>
          <w:rFonts w:asciiTheme="minorHAnsi" w:hAnsiTheme="minorHAnsi" w:cs="Cambria"/>
          <w:szCs w:val="20"/>
        </w:rPr>
        <w:lastRenderedPageBreak/>
        <w:t>fact saw significant advances in African</w:t>
      </w:r>
      <w:r w:rsidR="0030356C" w:rsidRPr="00D920C9">
        <w:rPr>
          <w:rFonts w:asciiTheme="minorHAnsi" w:hAnsiTheme="minorHAnsi" w:cs="Cambria"/>
          <w:szCs w:val="20"/>
        </w:rPr>
        <w:t xml:space="preserve"> </w:t>
      </w:r>
      <w:r w:rsidRPr="00D920C9">
        <w:rPr>
          <w:rFonts w:asciiTheme="minorHAnsi" w:hAnsiTheme="minorHAnsi" w:cs="Cambria"/>
          <w:szCs w:val="20"/>
        </w:rPr>
        <w:t>American political participation.</w:t>
      </w:r>
      <w:r w:rsidRPr="00D920C9">
        <w:rPr>
          <w:rFonts w:asciiTheme="minorHAnsi" w:hAnsiTheme="minorHAnsi" w:cs="Cambria"/>
          <w:szCs w:val="20"/>
          <w:vertAlign w:val="superscript"/>
        </w:rPr>
        <w:footnoteReference w:id="73"/>
      </w:r>
      <w:r w:rsidRPr="00D920C9">
        <w:rPr>
          <w:rFonts w:asciiTheme="minorHAnsi" w:hAnsiTheme="minorHAnsi" w:cs="Cambria"/>
          <w:szCs w:val="20"/>
        </w:rPr>
        <w:t xml:space="preserve"> </w:t>
      </w:r>
      <w:r w:rsidRPr="00D920C9">
        <w:rPr>
          <w:rFonts w:asciiTheme="minorHAnsi" w:hAnsiTheme="minorHAnsi"/>
          <w:szCs w:val="20"/>
        </w:rPr>
        <w:t xml:space="preserve">In the South, Black men for the first time </w:t>
      </w:r>
      <w:r w:rsidR="00B83842" w:rsidRPr="00D920C9">
        <w:rPr>
          <w:rFonts w:asciiTheme="minorHAnsi" w:hAnsiTheme="minorHAnsi"/>
          <w:szCs w:val="20"/>
        </w:rPr>
        <w:t>enjoyed</w:t>
      </w:r>
      <w:r w:rsidRPr="00D920C9">
        <w:rPr>
          <w:rFonts w:asciiTheme="minorHAnsi" w:hAnsiTheme="minorHAnsi"/>
          <w:szCs w:val="20"/>
        </w:rPr>
        <w:t xml:space="preserve"> the right to vote and hold office.</w:t>
      </w:r>
      <w:r w:rsidRPr="00D920C9">
        <w:rPr>
          <w:rFonts w:asciiTheme="minorHAnsi" w:hAnsiTheme="minorHAnsi"/>
          <w:szCs w:val="20"/>
          <w:vertAlign w:val="superscript"/>
        </w:rPr>
        <w:footnoteReference w:id="74"/>
      </w:r>
      <w:r w:rsidRPr="00D920C9">
        <w:rPr>
          <w:rFonts w:asciiTheme="minorHAnsi" w:hAnsiTheme="minorHAnsi"/>
          <w:szCs w:val="20"/>
        </w:rPr>
        <w:t xml:space="preserve"> The Reconstruction governments of the Sou</w:t>
      </w:r>
      <w:r w:rsidR="00B83842" w:rsidRPr="00D920C9">
        <w:rPr>
          <w:rFonts w:asciiTheme="minorHAnsi" w:hAnsiTheme="minorHAnsi"/>
          <w:szCs w:val="20"/>
        </w:rPr>
        <w:t>th made important state-level changes</w:t>
      </w:r>
      <w:r w:rsidRPr="00D920C9">
        <w:rPr>
          <w:rFonts w:asciiTheme="minorHAnsi" w:hAnsiTheme="minorHAnsi"/>
          <w:szCs w:val="20"/>
        </w:rPr>
        <w:t>, repealing discriminatory laws, rewriting vagrancy statutes, outlawing corporal punishment, and reducing the number of capital offenses.</w:t>
      </w:r>
      <w:r w:rsidRPr="00D920C9">
        <w:rPr>
          <w:rStyle w:val="FootnoteReference"/>
          <w:rFonts w:asciiTheme="minorHAnsi" w:hAnsiTheme="minorHAnsi"/>
          <w:szCs w:val="20"/>
        </w:rPr>
        <w:footnoteReference w:id="75"/>
      </w:r>
      <w:r w:rsidRPr="00D920C9">
        <w:rPr>
          <w:rFonts w:asciiTheme="minorHAnsi" w:hAnsiTheme="minorHAnsi"/>
          <w:szCs w:val="20"/>
        </w:rPr>
        <w:t xml:space="preserve"> However, these sea changes quickly provoked white supremacist backlash</w:t>
      </w:r>
      <w:r w:rsidR="00DE49F4" w:rsidRPr="00D920C9">
        <w:rPr>
          <w:rFonts w:asciiTheme="minorHAnsi" w:hAnsiTheme="minorHAnsi"/>
          <w:szCs w:val="20"/>
        </w:rPr>
        <w:t>, with a</w:t>
      </w:r>
      <w:r w:rsidRPr="00D920C9">
        <w:rPr>
          <w:rFonts w:asciiTheme="minorHAnsi" w:hAnsiTheme="minorHAnsi"/>
          <w:szCs w:val="20"/>
        </w:rPr>
        <w:t xml:space="preserve"> “wave of counter</w:t>
      </w:r>
      <w:r w:rsidR="00DE49F4" w:rsidRPr="00D920C9">
        <w:rPr>
          <w:rFonts w:asciiTheme="minorHAnsi" w:hAnsiTheme="minorHAnsi"/>
          <w:szCs w:val="20"/>
        </w:rPr>
        <w:t>-</w:t>
      </w:r>
      <w:r w:rsidRPr="00D920C9">
        <w:rPr>
          <w:rFonts w:asciiTheme="minorHAnsi" w:hAnsiTheme="minorHAnsi"/>
          <w:szCs w:val="20"/>
        </w:rPr>
        <w:t xml:space="preserve">revolutionary terror that swept over large parts of </w:t>
      </w:r>
      <w:r w:rsidR="00542BB7" w:rsidRPr="00D920C9">
        <w:rPr>
          <w:rFonts w:asciiTheme="minorHAnsi" w:hAnsiTheme="minorHAnsi"/>
          <w:szCs w:val="20"/>
        </w:rPr>
        <w:t>the South between 1868 and 1871</w:t>
      </w:r>
      <w:r w:rsidR="00DE49F4" w:rsidRPr="00D920C9">
        <w:rPr>
          <w:rFonts w:asciiTheme="minorHAnsi" w:hAnsiTheme="minorHAnsi"/>
          <w:szCs w:val="20"/>
        </w:rPr>
        <w:t xml:space="preserve"> </w:t>
      </w:r>
      <w:r w:rsidRPr="00D920C9">
        <w:rPr>
          <w:rFonts w:asciiTheme="minorHAnsi" w:hAnsiTheme="minorHAnsi"/>
          <w:szCs w:val="20"/>
        </w:rPr>
        <w:t>lack</w:t>
      </w:r>
      <w:r w:rsidR="00542BB7" w:rsidRPr="00D920C9">
        <w:rPr>
          <w:rFonts w:asciiTheme="minorHAnsi" w:hAnsiTheme="minorHAnsi"/>
          <w:szCs w:val="20"/>
        </w:rPr>
        <w:t>[</w:t>
      </w:r>
      <w:proofErr w:type="spellStart"/>
      <w:r w:rsidR="00542BB7" w:rsidRPr="00D920C9">
        <w:rPr>
          <w:rFonts w:asciiTheme="minorHAnsi" w:hAnsiTheme="minorHAnsi"/>
          <w:szCs w:val="20"/>
        </w:rPr>
        <w:t>ing</w:t>
      </w:r>
      <w:proofErr w:type="spellEnd"/>
      <w:r w:rsidR="00542BB7" w:rsidRPr="00D920C9">
        <w:rPr>
          <w:rFonts w:asciiTheme="minorHAnsi" w:hAnsiTheme="minorHAnsi"/>
          <w:szCs w:val="20"/>
        </w:rPr>
        <w:t>]</w:t>
      </w:r>
      <w:r w:rsidRPr="00D920C9">
        <w:rPr>
          <w:rFonts w:asciiTheme="minorHAnsi" w:hAnsiTheme="minorHAnsi"/>
          <w:szCs w:val="20"/>
        </w:rPr>
        <w:t xml:space="preserve"> a counterpart either in the American experience or in that of the other Western Hemisphere societies that abolished slavery in the nineteenth century.”</w:t>
      </w:r>
      <w:r w:rsidRPr="00D920C9">
        <w:rPr>
          <w:rStyle w:val="FootnoteReference"/>
          <w:rFonts w:asciiTheme="minorHAnsi" w:hAnsiTheme="minorHAnsi"/>
          <w:szCs w:val="20"/>
        </w:rPr>
        <w:footnoteReference w:id="76"/>
      </w:r>
      <w:r w:rsidR="00CA5892" w:rsidRPr="00D920C9">
        <w:rPr>
          <w:rFonts w:asciiTheme="minorHAnsi" w:hAnsiTheme="minorHAnsi"/>
          <w:szCs w:val="20"/>
        </w:rPr>
        <w:t xml:space="preserve"> </w:t>
      </w:r>
      <w:r w:rsidR="00AA7C27" w:rsidRPr="00D920C9">
        <w:rPr>
          <w:rFonts w:asciiTheme="minorHAnsi" w:hAnsiTheme="minorHAnsi" w:cs="Cambria"/>
          <w:szCs w:val="20"/>
        </w:rPr>
        <w:t xml:space="preserve">The political will to </w:t>
      </w:r>
      <w:r w:rsidR="00DE49F4" w:rsidRPr="00D920C9">
        <w:rPr>
          <w:rFonts w:asciiTheme="minorHAnsi" w:hAnsiTheme="minorHAnsi" w:cs="Cambria"/>
          <w:szCs w:val="20"/>
        </w:rPr>
        <w:t>continue</w:t>
      </w:r>
      <w:r w:rsidR="00AA7C27" w:rsidRPr="00D920C9">
        <w:rPr>
          <w:rFonts w:asciiTheme="minorHAnsi" w:hAnsiTheme="minorHAnsi" w:cs="Cambria"/>
          <w:szCs w:val="20"/>
        </w:rPr>
        <w:t xml:space="preserve"> Reconstruction </w:t>
      </w:r>
      <w:r w:rsidR="0046403F" w:rsidRPr="00D920C9">
        <w:rPr>
          <w:rFonts w:asciiTheme="minorHAnsi" w:hAnsiTheme="minorHAnsi" w:cs="Cambria"/>
          <w:szCs w:val="20"/>
        </w:rPr>
        <w:t xml:space="preserve">and defend the civil and political rights of African Americans </w:t>
      </w:r>
      <w:r w:rsidR="00AA7C27" w:rsidRPr="00D920C9">
        <w:rPr>
          <w:rFonts w:asciiTheme="minorHAnsi" w:hAnsiTheme="minorHAnsi" w:cs="Cambria"/>
          <w:szCs w:val="20"/>
        </w:rPr>
        <w:t>faltered in the face of continuing violence and resistance to Republican governments in the South</w:t>
      </w:r>
      <w:r w:rsidR="00CA5892" w:rsidRPr="00D920C9">
        <w:rPr>
          <w:rFonts w:asciiTheme="minorHAnsi" w:hAnsiTheme="minorHAnsi"/>
          <w:szCs w:val="20"/>
        </w:rPr>
        <w:t>, exemplified by the Colfax Massacre of 1873</w:t>
      </w:r>
      <w:r w:rsidR="00AA7C27" w:rsidRPr="00D920C9">
        <w:rPr>
          <w:rFonts w:asciiTheme="minorHAnsi" w:hAnsiTheme="minorHAnsi"/>
          <w:szCs w:val="20"/>
        </w:rPr>
        <w:t>.</w:t>
      </w:r>
      <w:r w:rsidR="00AA7C27" w:rsidRPr="00D920C9">
        <w:rPr>
          <w:rStyle w:val="FootnoteReference"/>
          <w:rFonts w:asciiTheme="minorHAnsi" w:hAnsiTheme="minorHAnsi"/>
          <w:szCs w:val="20"/>
        </w:rPr>
        <w:footnoteReference w:id="77"/>
      </w:r>
      <w:r w:rsidR="00CA5892" w:rsidRPr="00D920C9">
        <w:rPr>
          <w:rFonts w:asciiTheme="minorHAnsi" w:hAnsiTheme="minorHAnsi"/>
          <w:szCs w:val="20"/>
        </w:rPr>
        <w:t xml:space="preserve"> </w:t>
      </w:r>
    </w:p>
    <w:p w14:paraId="3B48FA6E"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39" w:name="_Ref507082453"/>
      <w:r w:rsidRPr="00D920C9">
        <w:rPr>
          <w:rFonts w:asciiTheme="minorHAnsi" w:hAnsiTheme="minorHAnsi" w:cs="Cambria"/>
          <w:szCs w:val="20"/>
        </w:rPr>
        <w:t xml:space="preserve">Reconstruction ended in 1877 with a political compromise to ensure a Republican presidency in exchange for the withdrawal of federal troops from the South. </w:t>
      </w:r>
      <w:r w:rsidR="00AA7C27" w:rsidRPr="00D920C9">
        <w:rPr>
          <w:rFonts w:asciiTheme="minorHAnsi" w:hAnsiTheme="minorHAnsi" w:cs="Cambria"/>
          <w:szCs w:val="20"/>
        </w:rPr>
        <w:t>During this period and s</w:t>
      </w:r>
      <w:r w:rsidRPr="00D920C9">
        <w:rPr>
          <w:rFonts w:asciiTheme="minorHAnsi" w:hAnsiTheme="minorHAnsi" w:cs="Cambria"/>
          <w:szCs w:val="20"/>
        </w:rPr>
        <w:t xml:space="preserve">oon thereafter, a series of Supreme </w:t>
      </w:r>
      <w:r w:rsidRPr="00D920C9">
        <w:rPr>
          <w:rFonts w:asciiTheme="minorHAnsi" w:hAnsiTheme="minorHAnsi"/>
          <w:szCs w:val="20"/>
        </w:rPr>
        <w:t>Court decisions effectively undid or left toothless key guarantees contained in the Reconstruction amendments. These included Plessy v. Ferguson</w:t>
      </w:r>
      <w:r w:rsidRPr="00D920C9">
        <w:rPr>
          <w:rFonts w:asciiTheme="minorHAnsi" w:hAnsiTheme="minorHAnsi"/>
          <w:szCs w:val="20"/>
          <w:vertAlign w:val="superscript"/>
        </w:rPr>
        <w:footnoteReference w:id="78"/>
      </w:r>
      <w:r w:rsidRPr="00D920C9">
        <w:rPr>
          <w:rFonts w:asciiTheme="minorHAnsi" w:hAnsiTheme="minorHAnsi"/>
          <w:szCs w:val="20"/>
        </w:rPr>
        <w:t xml:space="preserve"> (which blessed the “separate but equal” doctrine and permitted states to mandate the racial segregation of public spaces), Giles v. Harris</w:t>
      </w:r>
      <w:r w:rsidRPr="00D920C9">
        <w:rPr>
          <w:rFonts w:asciiTheme="minorHAnsi" w:hAnsiTheme="minorHAnsi"/>
          <w:vertAlign w:val="superscript"/>
        </w:rPr>
        <w:footnoteReference w:id="79"/>
      </w:r>
      <w:r w:rsidRPr="00D920C9">
        <w:rPr>
          <w:rFonts w:asciiTheme="minorHAnsi" w:hAnsiTheme="minorHAnsi"/>
          <w:szCs w:val="20"/>
        </w:rPr>
        <w:t xml:space="preserve"> (which led to the mass disenfranchisement of Black voters across the south), and </w:t>
      </w:r>
      <w:r w:rsidRPr="00D920C9">
        <w:rPr>
          <w:rFonts w:asciiTheme="minorHAnsi" w:hAnsiTheme="minorHAnsi"/>
          <w:szCs w:val="20"/>
        </w:rPr>
        <w:lastRenderedPageBreak/>
        <w:t>the Slaughter-house Cases, U</w:t>
      </w:r>
      <w:r w:rsidR="00C45A79" w:rsidRPr="00D920C9">
        <w:rPr>
          <w:rFonts w:asciiTheme="minorHAnsi" w:hAnsiTheme="minorHAnsi"/>
          <w:szCs w:val="20"/>
        </w:rPr>
        <w:t>.</w:t>
      </w:r>
      <w:r w:rsidRPr="00D920C9">
        <w:rPr>
          <w:rFonts w:asciiTheme="minorHAnsi" w:hAnsiTheme="minorHAnsi"/>
          <w:szCs w:val="20"/>
        </w:rPr>
        <w:t>S</w:t>
      </w:r>
      <w:r w:rsidR="00C45A79" w:rsidRPr="00D920C9">
        <w:rPr>
          <w:rFonts w:asciiTheme="minorHAnsi" w:hAnsiTheme="minorHAnsi"/>
          <w:szCs w:val="20"/>
        </w:rPr>
        <w:t>.</w:t>
      </w:r>
      <w:r w:rsidRPr="00D920C9">
        <w:rPr>
          <w:rFonts w:asciiTheme="minorHAnsi" w:hAnsiTheme="minorHAnsi"/>
          <w:szCs w:val="20"/>
        </w:rPr>
        <w:t xml:space="preserve"> v. Cruikshank, and the Civil Rights Cases</w:t>
      </w:r>
      <w:r w:rsidRPr="00D920C9">
        <w:rPr>
          <w:rFonts w:asciiTheme="minorHAnsi" w:hAnsiTheme="minorHAnsi"/>
          <w:vertAlign w:val="superscript"/>
        </w:rPr>
        <w:footnoteReference w:id="80"/>
      </w:r>
      <w:r w:rsidRPr="00D920C9">
        <w:rPr>
          <w:rFonts w:asciiTheme="minorHAnsi" w:hAnsiTheme="minorHAnsi"/>
          <w:szCs w:val="20"/>
        </w:rPr>
        <w:t xml:space="preserve"> (which </w:t>
      </w:r>
      <w:r w:rsidR="0046403F" w:rsidRPr="00D920C9">
        <w:rPr>
          <w:rFonts w:asciiTheme="minorHAnsi" w:hAnsiTheme="minorHAnsi"/>
          <w:szCs w:val="20"/>
        </w:rPr>
        <w:t xml:space="preserve">together </w:t>
      </w:r>
      <w:r w:rsidRPr="00D920C9">
        <w:rPr>
          <w:rFonts w:asciiTheme="minorHAnsi" w:hAnsiTheme="minorHAnsi"/>
          <w:szCs w:val="20"/>
        </w:rPr>
        <w:t>gave an extremely restrictive reading to the “Privileges and Immunities” clause of the Fourteenth Amendment and established the “state action” doctrine, which holds that the federal government cannot intervene to redress violations of rights by private actors).</w:t>
      </w:r>
      <w:r w:rsidRPr="00D920C9">
        <w:rPr>
          <w:rFonts w:asciiTheme="minorHAnsi" w:hAnsiTheme="minorHAnsi"/>
          <w:vertAlign w:val="superscript"/>
        </w:rPr>
        <w:footnoteReference w:id="81"/>
      </w:r>
      <w:r w:rsidRPr="00D920C9">
        <w:rPr>
          <w:rFonts w:asciiTheme="minorHAnsi" w:hAnsiTheme="minorHAnsi"/>
          <w:szCs w:val="20"/>
        </w:rPr>
        <w:t xml:space="preserve"> Thus stripped of federal protections of their civil rights, Mississippi Governor </w:t>
      </w:r>
      <w:proofErr w:type="spellStart"/>
      <w:r w:rsidRPr="00D920C9">
        <w:rPr>
          <w:rFonts w:asciiTheme="minorHAnsi" w:hAnsiTheme="minorHAnsi"/>
          <w:szCs w:val="20"/>
        </w:rPr>
        <w:t>Adelbert</w:t>
      </w:r>
      <w:proofErr w:type="spellEnd"/>
      <w:r w:rsidRPr="00D920C9">
        <w:rPr>
          <w:rFonts w:asciiTheme="minorHAnsi" w:hAnsiTheme="minorHAnsi"/>
          <w:szCs w:val="20"/>
        </w:rPr>
        <w:t xml:space="preserve"> Ames predicted, “[Blacks] are to be returned t</w:t>
      </w:r>
      <w:r w:rsidR="00416B45" w:rsidRPr="00D920C9">
        <w:rPr>
          <w:rFonts w:asciiTheme="minorHAnsi" w:hAnsiTheme="minorHAnsi"/>
          <w:szCs w:val="20"/>
        </w:rPr>
        <w:t>o a condition of serfdom [...</w:t>
      </w:r>
      <w:r w:rsidRPr="00D920C9">
        <w:rPr>
          <w:rFonts w:asciiTheme="minorHAnsi" w:hAnsiTheme="minorHAnsi"/>
          <w:szCs w:val="20"/>
        </w:rPr>
        <w:t xml:space="preserve">] </w:t>
      </w:r>
      <w:proofErr w:type="gramStart"/>
      <w:r w:rsidRPr="00D920C9">
        <w:rPr>
          <w:rFonts w:asciiTheme="minorHAnsi" w:hAnsiTheme="minorHAnsi"/>
          <w:szCs w:val="20"/>
        </w:rPr>
        <w:t>An</w:t>
      </w:r>
      <w:proofErr w:type="gramEnd"/>
      <w:r w:rsidRPr="00D920C9">
        <w:rPr>
          <w:rFonts w:asciiTheme="minorHAnsi" w:hAnsiTheme="minorHAnsi"/>
          <w:szCs w:val="20"/>
        </w:rPr>
        <w:t xml:space="preserve"> era of second slavery.”</w:t>
      </w:r>
      <w:r w:rsidRPr="00D920C9">
        <w:rPr>
          <w:rFonts w:asciiTheme="minorHAnsi" w:hAnsiTheme="minorHAnsi"/>
          <w:vertAlign w:val="superscript"/>
        </w:rPr>
        <w:footnoteReference w:id="82"/>
      </w:r>
      <w:bookmarkEnd w:id="39"/>
    </w:p>
    <w:p w14:paraId="79BC1969" w14:textId="77777777" w:rsidR="00AA7C27" w:rsidRPr="00D920C9" w:rsidRDefault="00040379"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A</w:t>
      </w:r>
      <w:r w:rsidR="00AA7C27" w:rsidRPr="00D920C9">
        <w:rPr>
          <w:rFonts w:asciiTheme="minorHAnsi" w:hAnsiTheme="minorHAnsi"/>
          <w:szCs w:val="20"/>
        </w:rPr>
        <w:t>s early as 1866, Southern states began passing discriminatory criminal laws or “black codes,” which created new</w:t>
      </w:r>
      <w:r w:rsidR="00416B45" w:rsidRPr="00D920C9">
        <w:rPr>
          <w:rFonts w:asciiTheme="minorHAnsi" w:hAnsiTheme="minorHAnsi"/>
          <w:szCs w:val="20"/>
        </w:rPr>
        <w:t>, vague, and unequally applied</w:t>
      </w:r>
      <w:r w:rsidR="00AA7C27" w:rsidRPr="00D920C9">
        <w:rPr>
          <w:rFonts w:asciiTheme="minorHAnsi" w:hAnsiTheme="minorHAnsi"/>
          <w:szCs w:val="20"/>
        </w:rPr>
        <w:t xml:space="preserve"> criminal offenses like “vagrancy” and “loitering.” These laws </w:t>
      </w:r>
      <w:r w:rsidR="001F753A" w:rsidRPr="00D920C9">
        <w:rPr>
          <w:rFonts w:asciiTheme="minorHAnsi" w:hAnsiTheme="minorHAnsi"/>
          <w:szCs w:val="20"/>
        </w:rPr>
        <w:t>enabled</w:t>
      </w:r>
      <w:r w:rsidR="00AA7C27" w:rsidRPr="00D920C9">
        <w:rPr>
          <w:rFonts w:asciiTheme="minorHAnsi" w:hAnsiTheme="minorHAnsi"/>
          <w:szCs w:val="20"/>
        </w:rPr>
        <w:t xml:space="preserve"> the mass arrest and incarceration of African</w:t>
      </w:r>
      <w:r w:rsidR="0030356C" w:rsidRPr="00D920C9">
        <w:rPr>
          <w:rFonts w:asciiTheme="minorHAnsi" w:hAnsiTheme="minorHAnsi"/>
          <w:szCs w:val="20"/>
        </w:rPr>
        <w:t xml:space="preserve"> </w:t>
      </w:r>
      <w:r w:rsidR="00AA7C27" w:rsidRPr="00D920C9">
        <w:rPr>
          <w:rFonts w:asciiTheme="minorHAnsi" w:hAnsiTheme="minorHAnsi"/>
          <w:szCs w:val="20"/>
        </w:rPr>
        <w:t xml:space="preserve">Americans; then, relying on the language of the Thirteenth Amendment that prohibits slavery and involuntary servitude “except for those duly convicted of a crime,” legislators </w:t>
      </w:r>
      <w:r w:rsidR="00916775" w:rsidRPr="00D920C9">
        <w:rPr>
          <w:rFonts w:asciiTheme="minorHAnsi" w:hAnsiTheme="minorHAnsi"/>
          <w:szCs w:val="20"/>
        </w:rPr>
        <w:t>created</w:t>
      </w:r>
      <w:r w:rsidR="00AA7C27" w:rsidRPr="00D920C9">
        <w:rPr>
          <w:rFonts w:asciiTheme="minorHAnsi" w:hAnsiTheme="minorHAnsi"/>
          <w:szCs w:val="20"/>
        </w:rPr>
        <w:t xml:space="preserve"> system</w:t>
      </w:r>
      <w:r w:rsidR="00916775" w:rsidRPr="00D920C9">
        <w:rPr>
          <w:rFonts w:asciiTheme="minorHAnsi" w:hAnsiTheme="minorHAnsi"/>
          <w:szCs w:val="20"/>
        </w:rPr>
        <w:t>s</w:t>
      </w:r>
      <w:r w:rsidR="00AA7C27" w:rsidRPr="00D920C9">
        <w:rPr>
          <w:rFonts w:asciiTheme="minorHAnsi" w:hAnsiTheme="minorHAnsi"/>
          <w:szCs w:val="20"/>
        </w:rPr>
        <w:t xml:space="preserve"> of “convict leasing”</w:t>
      </w:r>
      <w:r w:rsidR="0046403F" w:rsidRPr="00D920C9">
        <w:rPr>
          <w:rFonts w:asciiTheme="minorHAnsi" w:hAnsiTheme="minorHAnsi"/>
          <w:szCs w:val="20"/>
        </w:rPr>
        <w:t xml:space="preserve"> to “lease” prisoners to private companies to labor for them,</w:t>
      </w:r>
      <w:r w:rsidR="00AA7C27" w:rsidRPr="00D920C9">
        <w:rPr>
          <w:rFonts w:asciiTheme="minorHAnsi" w:hAnsiTheme="minorHAnsi"/>
          <w:szCs w:val="20"/>
        </w:rPr>
        <w:t xml:space="preserve"> or </w:t>
      </w:r>
      <w:r w:rsidR="00916775" w:rsidRPr="00D920C9">
        <w:rPr>
          <w:rFonts w:asciiTheme="minorHAnsi" w:hAnsiTheme="minorHAnsi"/>
          <w:szCs w:val="20"/>
        </w:rPr>
        <w:t>required prisoners to work on</w:t>
      </w:r>
      <w:r w:rsidR="00AA7C27" w:rsidRPr="00D920C9">
        <w:rPr>
          <w:rFonts w:asciiTheme="minorHAnsi" w:hAnsiTheme="minorHAnsi"/>
          <w:szCs w:val="20"/>
        </w:rPr>
        <w:t xml:space="preserve"> state-owned farms.</w:t>
      </w:r>
      <w:r w:rsidR="00AA7C27" w:rsidRPr="00D920C9">
        <w:rPr>
          <w:rFonts w:asciiTheme="minorHAnsi" w:hAnsiTheme="minorHAnsi"/>
          <w:vertAlign w:val="superscript"/>
        </w:rPr>
        <w:footnoteReference w:id="83"/>
      </w:r>
      <w:r w:rsidR="00AA7C27" w:rsidRPr="00D920C9">
        <w:rPr>
          <w:rFonts w:asciiTheme="minorHAnsi" w:hAnsiTheme="minorHAnsi"/>
          <w:szCs w:val="20"/>
        </w:rPr>
        <w:t xml:space="preserve"> Thus, “[w]</w:t>
      </w:r>
      <w:proofErr w:type="spellStart"/>
      <w:r w:rsidR="00AA7C27" w:rsidRPr="00D920C9">
        <w:rPr>
          <w:rFonts w:asciiTheme="minorHAnsi" w:hAnsiTheme="minorHAnsi"/>
          <w:szCs w:val="20"/>
        </w:rPr>
        <w:t>hile</w:t>
      </w:r>
      <w:proofErr w:type="spellEnd"/>
      <w:r w:rsidR="00AA7C27" w:rsidRPr="00D920C9">
        <w:rPr>
          <w:rFonts w:asciiTheme="minorHAnsi" w:hAnsiTheme="minorHAnsi"/>
          <w:szCs w:val="20"/>
        </w:rPr>
        <w:t xml:space="preserve"> a Black prisoner was a rarity during the slavery era </w:t>
      </w:r>
      <w:r w:rsidR="001F753A" w:rsidRPr="00D920C9">
        <w:rPr>
          <w:rFonts w:asciiTheme="minorHAnsi" w:hAnsiTheme="minorHAnsi"/>
          <w:szCs w:val="20"/>
        </w:rPr>
        <w:t>[…]</w:t>
      </w:r>
      <w:r w:rsidR="00AA7C27" w:rsidRPr="00D920C9">
        <w:rPr>
          <w:rFonts w:asciiTheme="minorHAnsi" w:hAnsiTheme="minorHAnsi"/>
          <w:szCs w:val="20"/>
        </w:rPr>
        <w:t xml:space="preserve"> the solution to the free black population had become criminalization. In turn, the most common fate facing black convicts was to be sold into forced labor for the profit of the state.”</w:t>
      </w:r>
      <w:r w:rsidR="00AA7C27" w:rsidRPr="00D920C9">
        <w:rPr>
          <w:rFonts w:asciiTheme="minorHAnsi" w:hAnsiTheme="minorHAnsi"/>
          <w:vertAlign w:val="superscript"/>
        </w:rPr>
        <w:footnoteReference w:id="84"/>
      </w:r>
      <w:r w:rsidR="00AA7C27" w:rsidRPr="00D920C9">
        <w:rPr>
          <w:rFonts w:asciiTheme="minorHAnsi" w:hAnsiTheme="minorHAnsi"/>
          <w:szCs w:val="20"/>
        </w:rPr>
        <w:t xml:space="preserve"> </w:t>
      </w:r>
    </w:p>
    <w:p w14:paraId="4027CDFA" w14:textId="1B7C2CFD" w:rsidR="00416B45"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Following the end of Reconstruction, states and municipalities acted to reinstate or reinforce legal racial hierarchy </w:t>
      </w:r>
      <w:r w:rsidR="001F753A" w:rsidRPr="00D920C9">
        <w:rPr>
          <w:rFonts w:asciiTheme="minorHAnsi" w:hAnsiTheme="minorHAnsi"/>
          <w:szCs w:val="20"/>
        </w:rPr>
        <w:t>by passing</w:t>
      </w:r>
      <w:r w:rsidRPr="00D920C9">
        <w:rPr>
          <w:rFonts w:asciiTheme="minorHAnsi" w:hAnsiTheme="minorHAnsi"/>
          <w:szCs w:val="20"/>
        </w:rPr>
        <w:t xml:space="preserve"> “Jim Crow” laws, </w:t>
      </w:r>
      <w:r w:rsidRPr="00D920C9">
        <w:rPr>
          <w:rFonts w:asciiTheme="minorHAnsi" w:hAnsiTheme="minorHAnsi"/>
          <w:szCs w:val="20"/>
        </w:rPr>
        <w:lastRenderedPageBreak/>
        <w:t>which enforced “racial segregation and persec</w:t>
      </w:r>
      <w:r w:rsidR="00416B45" w:rsidRPr="00D920C9">
        <w:rPr>
          <w:rFonts w:asciiTheme="minorHAnsi" w:hAnsiTheme="minorHAnsi"/>
          <w:szCs w:val="20"/>
        </w:rPr>
        <w:t>ution [...</w:t>
      </w:r>
      <w:r w:rsidRPr="00D920C9">
        <w:rPr>
          <w:rFonts w:asciiTheme="minorHAnsi" w:hAnsiTheme="minorHAnsi"/>
          <w:szCs w:val="20"/>
        </w:rPr>
        <w:t>] political disenfranchisement, social and economic exploitation, violence and the overall subjugation of people of African descent until the 1960s.”</w:t>
      </w:r>
      <w:r w:rsidRPr="00D920C9">
        <w:rPr>
          <w:rFonts w:asciiTheme="minorHAnsi" w:hAnsiTheme="minorHAnsi"/>
          <w:vertAlign w:val="superscript"/>
        </w:rPr>
        <w:footnoteReference w:id="85"/>
      </w:r>
      <w:r w:rsidRPr="00D920C9">
        <w:rPr>
          <w:rFonts w:asciiTheme="minorHAnsi" w:hAnsiTheme="minorHAnsi"/>
          <w:szCs w:val="20"/>
        </w:rPr>
        <w:t xml:space="preserve"> During this time, states introduced n</w:t>
      </w:r>
      <w:r w:rsidR="00EB52C8" w:rsidRPr="00D920C9">
        <w:rPr>
          <w:rFonts w:asciiTheme="minorHAnsi" w:hAnsiTheme="minorHAnsi"/>
          <w:szCs w:val="20"/>
        </w:rPr>
        <w:t xml:space="preserve">ew </w:t>
      </w:r>
      <w:r w:rsidR="00416B45" w:rsidRPr="00D920C9">
        <w:rPr>
          <w:rFonts w:asciiTheme="minorHAnsi" w:hAnsiTheme="minorHAnsi"/>
          <w:szCs w:val="20"/>
        </w:rPr>
        <w:t xml:space="preserve">voting restrictions, </w:t>
      </w:r>
      <w:r w:rsidRPr="00D920C9">
        <w:rPr>
          <w:rFonts w:asciiTheme="minorHAnsi" w:hAnsiTheme="minorHAnsi"/>
          <w:szCs w:val="20"/>
        </w:rPr>
        <w:t>including poll ta</w:t>
      </w:r>
      <w:r w:rsidR="00416B45" w:rsidRPr="00D920C9">
        <w:rPr>
          <w:rFonts w:asciiTheme="minorHAnsi" w:hAnsiTheme="minorHAnsi"/>
          <w:szCs w:val="20"/>
        </w:rPr>
        <w:t>xes and literacy tests,</w:t>
      </w:r>
      <w:r w:rsidRPr="00D920C9">
        <w:rPr>
          <w:rFonts w:asciiTheme="minorHAnsi" w:hAnsiTheme="minorHAnsi"/>
          <w:szCs w:val="20"/>
        </w:rPr>
        <w:t xml:space="preserve"> effectively undoing in practice the pro</w:t>
      </w:r>
      <w:r w:rsidR="00416B45" w:rsidRPr="00D920C9">
        <w:rPr>
          <w:rFonts w:asciiTheme="minorHAnsi" w:hAnsiTheme="minorHAnsi"/>
          <w:szCs w:val="20"/>
        </w:rPr>
        <w:t>mise of the Fifteenth Amendment;</w:t>
      </w:r>
      <w:r w:rsidRPr="00D920C9">
        <w:rPr>
          <w:rFonts w:asciiTheme="minorHAnsi" w:hAnsiTheme="minorHAnsi"/>
          <w:vertAlign w:val="superscript"/>
        </w:rPr>
        <w:footnoteReference w:id="86"/>
      </w:r>
      <w:r w:rsidRPr="00D920C9">
        <w:rPr>
          <w:rFonts w:asciiTheme="minorHAnsi" w:hAnsiTheme="minorHAnsi"/>
          <w:szCs w:val="20"/>
        </w:rPr>
        <w:t xml:space="preserve"> the modern Ku Klu</w:t>
      </w:r>
      <w:r w:rsidR="00416B45" w:rsidRPr="00D920C9">
        <w:rPr>
          <w:rFonts w:asciiTheme="minorHAnsi" w:hAnsiTheme="minorHAnsi"/>
          <w:szCs w:val="20"/>
        </w:rPr>
        <w:t>x Klan (KKK) came to prominence;</w:t>
      </w:r>
      <w:r w:rsidRPr="00D920C9">
        <w:rPr>
          <w:rFonts w:asciiTheme="minorHAnsi" w:hAnsiTheme="minorHAnsi"/>
          <w:vertAlign w:val="superscript"/>
        </w:rPr>
        <w:footnoteReference w:id="87"/>
      </w:r>
      <w:r w:rsidRPr="00D920C9">
        <w:rPr>
          <w:rFonts w:asciiTheme="minorHAnsi" w:hAnsiTheme="minorHAnsi"/>
          <w:szCs w:val="20"/>
        </w:rPr>
        <w:t xml:space="preserve"> and </w:t>
      </w:r>
      <w:proofErr w:type="spellStart"/>
      <w:r w:rsidRPr="00D920C9">
        <w:rPr>
          <w:rFonts w:asciiTheme="minorHAnsi" w:hAnsiTheme="minorHAnsi"/>
          <w:szCs w:val="20"/>
        </w:rPr>
        <w:t>lynchings</w:t>
      </w:r>
      <w:proofErr w:type="spellEnd"/>
      <w:r w:rsidRPr="00D920C9">
        <w:rPr>
          <w:rFonts w:asciiTheme="minorHAnsi" w:hAnsiTheme="minorHAnsi"/>
          <w:szCs w:val="20"/>
        </w:rPr>
        <w:t xml:space="preserve"> and other forms of violent racial terrorism,</w:t>
      </w:r>
      <w:bookmarkStart w:id="40" w:name="_Ref500752134"/>
      <w:r w:rsidRPr="00D920C9">
        <w:rPr>
          <w:rFonts w:asciiTheme="minorHAnsi" w:hAnsiTheme="minorHAnsi"/>
          <w:vertAlign w:val="superscript"/>
        </w:rPr>
        <w:footnoteReference w:id="88"/>
      </w:r>
      <w:bookmarkEnd w:id="40"/>
      <w:r w:rsidRPr="00D920C9">
        <w:rPr>
          <w:rFonts w:asciiTheme="minorHAnsi" w:hAnsiTheme="minorHAnsi"/>
          <w:szCs w:val="20"/>
        </w:rPr>
        <w:t xml:space="preserve"> as well as theft of land and other property from Black landowners</w:t>
      </w:r>
      <w:r w:rsidR="00916775" w:rsidRPr="00D920C9">
        <w:rPr>
          <w:rFonts w:asciiTheme="minorHAnsi" w:hAnsiTheme="minorHAnsi"/>
          <w:szCs w:val="20"/>
        </w:rPr>
        <w:t>,</w:t>
      </w:r>
      <w:r w:rsidRPr="00D920C9">
        <w:rPr>
          <w:rFonts w:asciiTheme="minorHAnsi" w:hAnsiTheme="minorHAnsi"/>
          <w:szCs w:val="20"/>
        </w:rPr>
        <w:t xml:space="preserve"> became increasingly common.</w:t>
      </w:r>
      <w:r w:rsidRPr="00D920C9">
        <w:rPr>
          <w:rFonts w:asciiTheme="minorHAnsi" w:hAnsiTheme="minorHAnsi"/>
          <w:vertAlign w:val="superscript"/>
        </w:rPr>
        <w:footnoteReference w:id="89"/>
      </w:r>
      <w:r w:rsidRPr="00D920C9">
        <w:rPr>
          <w:rFonts w:asciiTheme="minorHAnsi" w:hAnsiTheme="minorHAnsi"/>
          <w:szCs w:val="20"/>
        </w:rPr>
        <w:t xml:space="preserve"> This system reigned until the Civil Rights Movement of the 1950s and 1960s.</w:t>
      </w:r>
    </w:p>
    <w:p w14:paraId="5215BAF9" w14:textId="77777777" w:rsidR="0038546C" w:rsidRPr="00D920C9" w:rsidRDefault="007E2092" w:rsidP="002C64F8">
      <w:pPr>
        <w:pStyle w:val="ListParagraph"/>
        <w:numPr>
          <w:ilvl w:val="0"/>
          <w:numId w:val="9"/>
        </w:numPr>
        <w:spacing w:after="240" w:line="240" w:lineRule="auto"/>
        <w:ind w:left="547" w:hanging="547"/>
        <w:contextualSpacing w:val="0"/>
        <w:jc w:val="both"/>
        <w:rPr>
          <w:rFonts w:asciiTheme="minorHAnsi" w:hAnsiTheme="minorHAnsi" w:cs="Cambria"/>
          <w:szCs w:val="20"/>
        </w:rPr>
      </w:pPr>
      <w:bookmarkStart w:id="41" w:name="_Ref511745913"/>
      <w:r w:rsidRPr="00D920C9">
        <w:rPr>
          <w:rFonts w:asciiTheme="minorHAnsi" w:hAnsiTheme="minorHAnsi"/>
          <w:szCs w:val="20"/>
        </w:rPr>
        <w:t>In</w:t>
      </w:r>
      <w:r w:rsidR="0038546C" w:rsidRPr="00D920C9">
        <w:rPr>
          <w:rFonts w:asciiTheme="minorHAnsi" w:hAnsiTheme="minorHAnsi"/>
          <w:szCs w:val="20"/>
        </w:rPr>
        <w:t xml:space="preserve"> the early and mid-20th century, de facto and government-sponsored housing segregation also reigned throughout the country</w:t>
      </w:r>
      <w:r w:rsidR="0038546C" w:rsidRPr="00D920C9">
        <w:rPr>
          <w:rFonts w:asciiTheme="minorHAnsi" w:hAnsiTheme="minorHAnsi" w:cs="Cambria"/>
          <w:szCs w:val="20"/>
        </w:rPr>
        <w:t>, undergirded by a regime of government-backed low-interest</w:t>
      </w:r>
      <w:r w:rsidR="00904A46" w:rsidRPr="00D920C9">
        <w:rPr>
          <w:rFonts w:asciiTheme="minorHAnsi" w:hAnsiTheme="minorHAnsi" w:cs="Cambria"/>
          <w:szCs w:val="20"/>
        </w:rPr>
        <w:t xml:space="preserve"> home</w:t>
      </w:r>
      <w:r w:rsidRPr="00D920C9">
        <w:rPr>
          <w:rFonts w:asciiTheme="minorHAnsi" w:hAnsiTheme="minorHAnsi" w:cs="Cambria"/>
          <w:szCs w:val="20"/>
        </w:rPr>
        <w:t xml:space="preserve"> loans, </w:t>
      </w:r>
      <w:r w:rsidR="0038546C" w:rsidRPr="00D920C9">
        <w:rPr>
          <w:rFonts w:asciiTheme="minorHAnsi" w:hAnsiTheme="minorHAnsi" w:cs="Cambria"/>
          <w:szCs w:val="20"/>
        </w:rPr>
        <w:t xml:space="preserve">mortgages, </w:t>
      </w:r>
      <w:r w:rsidRPr="00D920C9">
        <w:rPr>
          <w:rFonts w:asciiTheme="minorHAnsi" w:hAnsiTheme="minorHAnsi" w:cs="Cambria"/>
          <w:szCs w:val="20"/>
        </w:rPr>
        <w:t>and</w:t>
      </w:r>
      <w:r w:rsidR="0038546C" w:rsidRPr="00D920C9">
        <w:rPr>
          <w:rFonts w:asciiTheme="minorHAnsi" w:hAnsiTheme="minorHAnsi" w:cs="Cambria"/>
          <w:szCs w:val="20"/>
        </w:rPr>
        <w:t xml:space="preserve"> housing insurance, and programs to construct segregated housing projects and neighborhoods. These government programs explicitly or de facto (through practices like “red-lining”) excluded black families from benefitting.</w:t>
      </w:r>
      <w:r w:rsidR="0038546C" w:rsidRPr="00D920C9">
        <w:rPr>
          <w:rStyle w:val="FootnoteReference"/>
          <w:rFonts w:asciiTheme="minorHAnsi" w:hAnsiTheme="minorHAnsi" w:cs="Cambria"/>
          <w:szCs w:val="20"/>
        </w:rPr>
        <w:footnoteReference w:id="90"/>
      </w:r>
      <w:r w:rsidR="0038546C" w:rsidRPr="00D920C9">
        <w:rPr>
          <w:rFonts w:asciiTheme="minorHAnsi" w:hAnsiTheme="minorHAnsi" w:cs="Cambria"/>
          <w:szCs w:val="20"/>
        </w:rPr>
        <w:t xml:space="preserve"> </w:t>
      </w:r>
      <w:r w:rsidR="008F5279" w:rsidRPr="00D920C9">
        <w:rPr>
          <w:rFonts w:asciiTheme="minorHAnsi" w:hAnsiTheme="minorHAnsi" w:cs="Cambria"/>
          <w:szCs w:val="20"/>
        </w:rPr>
        <w:t>As</w:t>
      </w:r>
      <w:r w:rsidR="0038546C" w:rsidRPr="00D920C9">
        <w:rPr>
          <w:rFonts w:asciiTheme="minorHAnsi" w:hAnsiTheme="minorHAnsi" w:cs="Cambria"/>
          <w:szCs w:val="20"/>
        </w:rPr>
        <w:t xml:space="preserve"> home equity makes up the majority of household wealth for the median family in the </w:t>
      </w:r>
      <w:r w:rsidR="00904A46" w:rsidRPr="00D920C9">
        <w:rPr>
          <w:rFonts w:asciiTheme="minorHAnsi" w:hAnsiTheme="minorHAnsi" w:cs="Cambria"/>
          <w:szCs w:val="20"/>
        </w:rPr>
        <w:t>U.S.</w:t>
      </w:r>
      <w:r w:rsidR="0038546C" w:rsidRPr="00D920C9">
        <w:rPr>
          <w:rFonts w:asciiTheme="minorHAnsi" w:hAnsiTheme="minorHAnsi" w:cs="Cambria"/>
          <w:szCs w:val="20"/>
        </w:rPr>
        <w:t xml:space="preserve">, these practices prevented </w:t>
      </w:r>
      <w:r w:rsidR="0030356C" w:rsidRPr="00D920C9">
        <w:rPr>
          <w:rFonts w:asciiTheme="minorHAnsi" w:hAnsiTheme="minorHAnsi" w:cs="Cambria"/>
          <w:szCs w:val="20"/>
        </w:rPr>
        <w:t xml:space="preserve">a generation or more of African </w:t>
      </w:r>
      <w:r w:rsidR="0038546C" w:rsidRPr="00D920C9">
        <w:rPr>
          <w:rFonts w:asciiTheme="minorHAnsi" w:hAnsiTheme="minorHAnsi" w:cs="Cambria"/>
          <w:szCs w:val="20"/>
        </w:rPr>
        <w:t xml:space="preserve">American families from building household wealth; this </w:t>
      </w:r>
      <w:r w:rsidR="0038546C" w:rsidRPr="00D920C9">
        <w:rPr>
          <w:rFonts w:asciiTheme="minorHAnsi" w:hAnsiTheme="minorHAnsi" w:cs="Cambria"/>
          <w:szCs w:val="20"/>
        </w:rPr>
        <w:lastRenderedPageBreak/>
        <w:t>wealth gap remains evident today and has not been remedied to date by the federal government.</w:t>
      </w:r>
      <w:r w:rsidR="0038546C" w:rsidRPr="00D920C9">
        <w:rPr>
          <w:rStyle w:val="FootnoteReference"/>
          <w:rFonts w:asciiTheme="minorHAnsi" w:hAnsiTheme="minorHAnsi" w:cs="Cambria"/>
          <w:szCs w:val="20"/>
        </w:rPr>
        <w:footnoteReference w:id="91"/>
      </w:r>
      <w:bookmarkEnd w:id="41"/>
    </w:p>
    <w:p w14:paraId="26B2C36B"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cs="Cambria"/>
          <w:szCs w:val="20"/>
        </w:rPr>
        <w:t xml:space="preserve">As organized resistance to </w:t>
      </w:r>
      <w:r w:rsidR="007E2092" w:rsidRPr="00D920C9">
        <w:rPr>
          <w:rFonts w:asciiTheme="minorHAnsi" w:hAnsiTheme="minorHAnsi" w:cs="Cambria"/>
          <w:szCs w:val="20"/>
        </w:rPr>
        <w:t>Jim Crow</w:t>
      </w:r>
      <w:r w:rsidRPr="00D920C9">
        <w:rPr>
          <w:rFonts w:asciiTheme="minorHAnsi" w:hAnsiTheme="minorHAnsi" w:cs="Cambria"/>
          <w:szCs w:val="20"/>
        </w:rPr>
        <w:t xml:space="preserve"> racial apartheid began to swell in the early 1950s, black demonstrators were met with violent opposition </w:t>
      </w:r>
      <w:r w:rsidR="007E2092" w:rsidRPr="00D920C9">
        <w:rPr>
          <w:rFonts w:asciiTheme="minorHAnsi" w:hAnsiTheme="minorHAnsi" w:cs="Cambria"/>
          <w:szCs w:val="20"/>
        </w:rPr>
        <w:t>by</w:t>
      </w:r>
      <w:r w:rsidRPr="00D920C9">
        <w:rPr>
          <w:rFonts w:asciiTheme="minorHAnsi" w:hAnsiTheme="minorHAnsi" w:cs="Cambria"/>
          <w:szCs w:val="20"/>
        </w:rPr>
        <w:t xml:space="preserve"> white police officers and co</w:t>
      </w:r>
      <w:r w:rsidR="00756574" w:rsidRPr="00D920C9">
        <w:rPr>
          <w:rFonts w:asciiTheme="minorHAnsi" w:hAnsiTheme="minorHAnsi" w:cs="Cambria"/>
          <w:szCs w:val="20"/>
        </w:rPr>
        <w:t>mmunity members. Black activist groups</w:t>
      </w:r>
      <w:r w:rsidRPr="00D920C9">
        <w:rPr>
          <w:rFonts w:asciiTheme="minorHAnsi" w:hAnsiTheme="minorHAnsi" w:cs="Cambria"/>
          <w:szCs w:val="20"/>
        </w:rPr>
        <w:t xml:space="preserve"> </w:t>
      </w:r>
      <w:r w:rsidR="007E2092" w:rsidRPr="00D920C9">
        <w:rPr>
          <w:rFonts w:asciiTheme="minorHAnsi" w:hAnsiTheme="minorHAnsi"/>
          <w:szCs w:val="20"/>
        </w:rPr>
        <w:t>like</w:t>
      </w:r>
      <w:r w:rsidRPr="00D920C9">
        <w:rPr>
          <w:rFonts w:asciiTheme="minorHAnsi" w:hAnsiTheme="minorHAnsi"/>
          <w:szCs w:val="20"/>
        </w:rPr>
        <w:t xml:space="preserve"> the Southern Christian Leadership Conference (SCLC), the Student Nonviolent Coordinating Committ</w:t>
      </w:r>
      <w:r w:rsidR="00756574" w:rsidRPr="00D920C9">
        <w:rPr>
          <w:rFonts w:asciiTheme="minorHAnsi" w:hAnsiTheme="minorHAnsi"/>
          <w:szCs w:val="20"/>
        </w:rPr>
        <w:t>ee (SNCC), and other coalitions</w:t>
      </w:r>
      <w:r w:rsidRPr="00D920C9">
        <w:rPr>
          <w:rFonts w:asciiTheme="minorHAnsi" w:hAnsiTheme="minorHAnsi"/>
          <w:szCs w:val="20"/>
        </w:rPr>
        <w:t xml:space="preserve"> protested racial segregation and disenfranchisement through boycotts, sit-ins, voter registration drives, and mass marches </w:t>
      </w:r>
      <w:r w:rsidR="008F5279" w:rsidRPr="00D920C9">
        <w:rPr>
          <w:rFonts w:asciiTheme="minorHAnsi" w:hAnsiTheme="minorHAnsi"/>
          <w:szCs w:val="20"/>
        </w:rPr>
        <w:t xml:space="preserve">like </w:t>
      </w:r>
      <w:r w:rsidRPr="00D920C9">
        <w:rPr>
          <w:rFonts w:asciiTheme="minorHAnsi" w:hAnsiTheme="minorHAnsi"/>
          <w:szCs w:val="20"/>
        </w:rPr>
        <w:t>the March on Washington and the Selma to Montgomery March</w:t>
      </w:r>
      <w:r w:rsidR="008F5279" w:rsidRPr="00D920C9">
        <w:rPr>
          <w:rFonts w:asciiTheme="minorHAnsi" w:hAnsiTheme="minorHAnsi"/>
          <w:szCs w:val="20"/>
        </w:rPr>
        <w:t xml:space="preserve"> (</w:t>
      </w:r>
      <w:r w:rsidR="00916775" w:rsidRPr="00D920C9">
        <w:rPr>
          <w:rFonts w:asciiTheme="minorHAnsi" w:hAnsiTheme="minorHAnsi"/>
          <w:szCs w:val="20"/>
        </w:rPr>
        <w:t>“Bloody Sunday”)</w:t>
      </w:r>
      <w:r w:rsidRPr="00D920C9">
        <w:rPr>
          <w:rFonts w:asciiTheme="minorHAnsi" w:hAnsiTheme="minorHAnsi"/>
          <w:szCs w:val="20"/>
        </w:rPr>
        <w:t>, consistently facing physical attacks, riots, and bombings from whites.</w:t>
      </w:r>
      <w:r w:rsidRPr="00D920C9">
        <w:rPr>
          <w:rFonts w:asciiTheme="minorHAnsi" w:hAnsiTheme="minorHAnsi"/>
          <w:vertAlign w:val="superscript"/>
        </w:rPr>
        <w:footnoteReference w:id="92"/>
      </w:r>
    </w:p>
    <w:p w14:paraId="32FF94FF"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42" w:name="_Ref507082559"/>
      <w:r w:rsidRPr="00D920C9">
        <w:rPr>
          <w:rFonts w:asciiTheme="minorHAnsi" w:hAnsiTheme="minorHAnsi"/>
          <w:szCs w:val="20"/>
        </w:rPr>
        <w:t>This activism led to a series of judicial and legislative victories in the 1950s and 1960s, including the passage of the Civil Rights Act of 1964, which ended legal segregation in public places and banned employment discrimination on the basis of race, color, religion, sex</w:t>
      </w:r>
      <w:r w:rsidR="008F5279" w:rsidRPr="00D920C9">
        <w:rPr>
          <w:rFonts w:asciiTheme="minorHAnsi" w:hAnsiTheme="minorHAnsi"/>
          <w:szCs w:val="20"/>
        </w:rPr>
        <w:t>,</w:t>
      </w:r>
      <w:r w:rsidRPr="00D920C9">
        <w:rPr>
          <w:rFonts w:asciiTheme="minorHAnsi" w:hAnsiTheme="minorHAnsi"/>
          <w:szCs w:val="20"/>
        </w:rPr>
        <w:t xml:space="preserve"> or national origin; the Voting Rights Act of 1965, which seeks to overcome barriers to African</w:t>
      </w:r>
      <w:r w:rsidR="0030356C" w:rsidRPr="00D920C9">
        <w:rPr>
          <w:rFonts w:asciiTheme="minorHAnsi" w:hAnsiTheme="minorHAnsi"/>
          <w:szCs w:val="20"/>
        </w:rPr>
        <w:t xml:space="preserve"> </w:t>
      </w:r>
      <w:r w:rsidRPr="00D920C9">
        <w:rPr>
          <w:rFonts w:asciiTheme="minorHAnsi" w:hAnsiTheme="minorHAnsi"/>
          <w:szCs w:val="20"/>
        </w:rPr>
        <w:t xml:space="preserve">Americans’ exercise of voting rights; and the Fair Housing Act of 1968, which prohibits discrimination in the purchase or rental of property. </w:t>
      </w:r>
      <w:r w:rsidR="007E2092" w:rsidRPr="00D920C9">
        <w:rPr>
          <w:rFonts w:asciiTheme="minorHAnsi" w:hAnsiTheme="minorHAnsi"/>
          <w:szCs w:val="20"/>
        </w:rPr>
        <w:t>Concurrently</w:t>
      </w:r>
      <w:r w:rsidRPr="00D920C9">
        <w:rPr>
          <w:rFonts w:asciiTheme="minorHAnsi" w:hAnsiTheme="minorHAnsi"/>
          <w:szCs w:val="20"/>
        </w:rPr>
        <w:t>, several key Supreme Court decisions reversed de jure systems of racial segregation and discrimination. In particular, Brown v. Board of Education and Brown II</w:t>
      </w:r>
      <w:r w:rsidRPr="00D920C9">
        <w:rPr>
          <w:rFonts w:asciiTheme="minorHAnsi" w:hAnsiTheme="minorHAnsi"/>
          <w:vertAlign w:val="superscript"/>
        </w:rPr>
        <w:footnoteReference w:id="93"/>
      </w:r>
      <w:r w:rsidRPr="00D920C9">
        <w:rPr>
          <w:rFonts w:asciiTheme="minorHAnsi" w:hAnsiTheme="minorHAnsi"/>
          <w:szCs w:val="20"/>
        </w:rPr>
        <w:t xml:space="preserve"> mandated and then enforced school desegregation;</w:t>
      </w:r>
      <w:r w:rsidR="00916775" w:rsidRPr="00D920C9">
        <w:rPr>
          <w:rFonts w:asciiTheme="minorHAnsi" w:hAnsiTheme="minorHAnsi"/>
          <w:szCs w:val="20"/>
        </w:rPr>
        <w:t xml:space="preserve"> and</w:t>
      </w:r>
      <w:r w:rsidRPr="00D920C9">
        <w:rPr>
          <w:rFonts w:asciiTheme="minorHAnsi" w:hAnsiTheme="minorHAnsi"/>
          <w:szCs w:val="20"/>
        </w:rPr>
        <w:t xml:space="preserve"> Heart of Atlanta Motel v. U</w:t>
      </w:r>
      <w:r w:rsidR="008F5279" w:rsidRPr="00D920C9">
        <w:rPr>
          <w:rFonts w:asciiTheme="minorHAnsi" w:hAnsiTheme="minorHAnsi"/>
          <w:szCs w:val="20"/>
        </w:rPr>
        <w:t>.</w:t>
      </w:r>
      <w:r w:rsidRPr="00D920C9">
        <w:rPr>
          <w:rFonts w:asciiTheme="minorHAnsi" w:hAnsiTheme="minorHAnsi"/>
          <w:szCs w:val="20"/>
        </w:rPr>
        <w:t>S</w:t>
      </w:r>
      <w:r w:rsidR="008F5279" w:rsidRPr="00D920C9">
        <w:rPr>
          <w:rFonts w:asciiTheme="minorHAnsi" w:hAnsiTheme="minorHAnsi"/>
          <w:szCs w:val="20"/>
        </w:rPr>
        <w:t>.</w:t>
      </w:r>
      <w:r w:rsidRPr="00D920C9">
        <w:rPr>
          <w:rFonts w:asciiTheme="minorHAnsi" w:hAnsiTheme="minorHAnsi"/>
          <w:szCs w:val="20"/>
        </w:rPr>
        <w:t xml:space="preserve"> and </w:t>
      </w:r>
      <w:proofErr w:type="spellStart"/>
      <w:r w:rsidRPr="00D920C9">
        <w:rPr>
          <w:rFonts w:asciiTheme="minorHAnsi" w:hAnsiTheme="minorHAnsi"/>
          <w:szCs w:val="20"/>
        </w:rPr>
        <w:t>Katzenbach</w:t>
      </w:r>
      <w:proofErr w:type="spellEnd"/>
      <w:r w:rsidRPr="00D920C9">
        <w:rPr>
          <w:rFonts w:asciiTheme="minorHAnsi" w:hAnsiTheme="minorHAnsi"/>
          <w:szCs w:val="20"/>
        </w:rPr>
        <w:t xml:space="preserve"> v. McClung</w:t>
      </w:r>
      <w:r w:rsidRPr="00D920C9">
        <w:rPr>
          <w:rFonts w:asciiTheme="minorHAnsi" w:hAnsiTheme="minorHAnsi"/>
          <w:vertAlign w:val="superscript"/>
        </w:rPr>
        <w:footnoteReference w:id="94"/>
      </w:r>
      <w:r w:rsidRPr="00D920C9">
        <w:rPr>
          <w:rFonts w:asciiTheme="minorHAnsi" w:hAnsiTheme="minorHAnsi"/>
          <w:szCs w:val="20"/>
        </w:rPr>
        <w:t xml:space="preserve"> prohibited racial discrimination by private businesses.</w:t>
      </w:r>
      <w:bookmarkEnd w:id="42"/>
    </w:p>
    <w:p w14:paraId="1203CC29" w14:textId="77777777" w:rsidR="00B4412C" w:rsidRPr="00D920C9" w:rsidRDefault="00696510"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In the context of fears of rising criminality and social disorder in the United States </w:t>
      </w:r>
      <w:r w:rsidR="00682D45" w:rsidRPr="00D920C9">
        <w:rPr>
          <w:rFonts w:asciiTheme="minorHAnsi" w:hAnsiTheme="minorHAnsi"/>
          <w:szCs w:val="20"/>
        </w:rPr>
        <w:t>that followed</w:t>
      </w:r>
      <w:r w:rsidRPr="00D920C9">
        <w:rPr>
          <w:rFonts w:asciiTheme="minorHAnsi" w:hAnsiTheme="minorHAnsi"/>
          <w:szCs w:val="20"/>
        </w:rPr>
        <w:t xml:space="preserve"> the massive protest movements of the 1960s,</w:t>
      </w:r>
      <w:r w:rsidRPr="00D920C9">
        <w:rPr>
          <w:rFonts w:asciiTheme="minorHAnsi" w:hAnsiTheme="minorHAnsi"/>
          <w:vertAlign w:val="superscript"/>
        </w:rPr>
        <w:footnoteReference w:id="95"/>
      </w:r>
      <w:r w:rsidRPr="00D920C9">
        <w:rPr>
          <w:rFonts w:asciiTheme="minorHAnsi" w:hAnsiTheme="minorHAnsi"/>
          <w:szCs w:val="20"/>
        </w:rPr>
        <w:t xml:space="preserve"> new policing theories and policies were developed that </w:t>
      </w:r>
      <w:r w:rsidR="008819BD" w:rsidRPr="00D920C9">
        <w:rPr>
          <w:rFonts w:asciiTheme="minorHAnsi" w:hAnsiTheme="minorHAnsi"/>
          <w:szCs w:val="20"/>
        </w:rPr>
        <w:t>frame</w:t>
      </w:r>
      <w:r w:rsidRPr="00D920C9">
        <w:rPr>
          <w:rFonts w:asciiTheme="minorHAnsi" w:hAnsiTheme="minorHAnsi"/>
          <w:szCs w:val="20"/>
        </w:rPr>
        <w:t xml:space="preserve"> important aspects of the problem of police violence today. First, increased policing</w:t>
      </w:r>
      <w:r w:rsidR="005B7043" w:rsidRPr="00D920C9">
        <w:rPr>
          <w:rFonts w:asciiTheme="minorHAnsi" w:hAnsiTheme="minorHAnsi"/>
          <w:szCs w:val="20"/>
        </w:rPr>
        <w:t xml:space="preserve"> within the framework of </w:t>
      </w:r>
      <w:r w:rsidR="00B4412C" w:rsidRPr="00D920C9">
        <w:rPr>
          <w:rFonts w:asciiTheme="minorHAnsi" w:hAnsiTheme="minorHAnsi"/>
          <w:szCs w:val="20"/>
        </w:rPr>
        <w:t>the “War on Drugs”</w:t>
      </w:r>
      <w:r w:rsidR="00916775" w:rsidRPr="00D920C9">
        <w:rPr>
          <w:rFonts w:asciiTheme="minorHAnsi" w:hAnsiTheme="minorHAnsi"/>
          <w:szCs w:val="20"/>
        </w:rPr>
        <w:t xml:space="preserve"> </w:t>
      </w:r>
      <w:r w:rsidR="005B7043" w:rsidRPr="00D920C9">
        <w:rPr>
          <w:rFonts w:asciiTheme="minorHAnsi" w:hAnsiTheme="minorHAnsi"/>
          <w:szCs w:val="20"/>
        </w:rPr>
        <w:t>worked</w:t>
      </w:r>
      <w:r w:rsidR="00916775" w:rsidRPr="00D920C9">
        <w:rPr>
          <w:rFonts w:asciiTheme="minorHAnsi" w:hAnsiTheme="minorHAnsi"/>
          <w:szCs w:val="20"/>
        </w:rPr>
        <w:t xml:space="preserve"> to </w:t>
      </w:r>
      <w:r w:rsidR="008F5279" w:rsidRPr="00D920C9">
        <w:rPr>
          <w:rFonts w:asciiTheme="minorHAnsi" w:hAnsiTheme="minorHAnsi"/>
          <w:szCs w:val="20"/>
        </w:rPr>
        <w:t>disrupt</w:t>
      </w:r>
      <w:r w:rsidR="00F2545F" w:rsidRPr="00D920C9">
        <w:rPr>
          <w:rFonts w:asciiTheme="minorHAnsi" w:hAnsiTheme="minorHAnsi"/>
          <w:szCs w:val="20"/>
        </w:rPr>
        <w:t xml:space="preserve"> black</w:t>
      </w:r>
      <w:r w:rsidR="008F5279" w:rsidRPr="00D920C9">
        <w:rPr>
          <w:rFonts w:asciiTheme="minorHAnsi" w:hAnsiTheme="minorHAnsi"/>
          <w:szCs w:val="20"/>
        </w:rPr>
        <w:t xml:space="preserve"> protesters and </w:t>
      </w:r>
      <w:r w:rsidR="008F5279" w:rsidRPr="00D920C9">
        <w:rPr>
          <w:rFonts w:asciiTheme="minorHAnsi" w:hAnsiTheme="minorHAnsi"/>
          <w:szCs w:val="20"/>
        </w:rPr>
        <w:lastRenderedPageBreak/>
        <w:t>communities</w:t>
      </w:r>
      <w:r w:rsidR="00F2545F" w:rsidRPr="00D920C9">
        <w:rPr>
          <w:rFonts w:asciiTheme="minorHAnsi" w:hAnsiTheme="minorHAnsi"/>
          <w:szCs w:val="20"/>
        </w:rPr>
        <w:t>,</w:t>
      </w:r>
      <w:bookmarkStart w:id="43" w:name="_Ref507153538"/>
      <w:r w:rsidR="00B4412C" w:rsidRPr="00D920C9">
        <w:rPr>
          <w:rFonts w:asciiTheme="minorHAnsi" w:hAnsiTheme="minorHAnsi"/>
          <w:vertAlign w:val="superscript"/>
        </w:rPr>
        <w:footnoteReference w:id="96"/>
      </w:r>
      <w:bookmarkEnd w:id="43"/>
      <w:r w:rsidR="00B4412C" w:rsidRPr="00D920C9">
        <w:rPr>
          <w:rFonts w:asciiTheme="minorHAnsi" w:hAnsiTheme="minorHAnsi"/>
          <w:szCs w:val="20"/>
        </w:rPr>
        <w:t xml:space="preserve"> </w:t>
      </w:r>
      <w:r w:rsidR="00682D45" w:rsidRPr="00D920C9">
        <w:rPr>
          <w:rFonts w:asciiTheme="minorHAnsi" w:hAnsiTheme="minorHAnsi"/>
          <w:szCs w:val="20"/>
        </w:rPr>
        <w:t xml:space="preserve">and has resulted in rising incarceration. </w:t>
      </w:r>
      <w:r w:rsidR="00B4412C" w:rsidRPr="00D920C9">
        <w:rPr>
          <w:rFonts w:asciiTheme="minorHAnsi" w:hAnsiTheme="minorHAnsi"/>
          <w:szCs w:val="20"/>
        </w:rPr>
        <w:t>The “War on Drugs” consists of laws, policies, and international cooperation initiatives intended to discourage the production, distribution, and use of drugs</w:t>
      </w:r>
      <w:r w:rsidR="000D175D" w:rsidRPr="00D920C9">
        <w:rPr>
          <w:rFonts w:asciiTheme="minorHAnsi" w:hAnsiTheme="minorHAnsi"/>
          <w:szCs w:val="20"/>
        </w:rPr>
        <w:t xml:space="preserve">, </w:t>
      </w:r>
      <w:r w:rsidR="00682D45" w:rsidRPr="00D920C9">
        <w:rPr>
          <w:rFonts w:asciiTheme="minorHAnsi" w:hAnsiTheme="minorHAnsi"/>
          <w:szCs w:val="20"/>
        </w:rPr>
        <w:t>and</w:t>
      </w:r>
      <w:r w:rsidR="000D175D" w:rsidRPr="00D920C9">
        <w:rPr>
          <w:rFonts w:asciiTheme="minorHAnsi" w:hAnsiTheme="minorHAnsi"/>
          <w:szCs w:val="20"/>
        </w:rPr>
        <w:t xml:space="preserve"> has resulted in a “notable increase in the number of persons deprived of liberty for drug-related criminal acts</w:t>
      </w:r>
      <w:r w:rsidR="00B4412C" w:rsidRPr="00D920C9">
        <w:rPr>
          <w:rFonts w:asciiTheme="minorHAnsi" w:hAnsiTheme="minorHAnsi"/>
          <w:szCs w:val="20"/>
        </w:rPr>
        <w:t>.</w:t>
      </w:r>
      <w:r w:rsidR="000D175D" w:rsidRPr="00D920C9">
        <w:rPr>
          <w:rFonts w:asciiTheme="minorHAnsi" w:hAnsiTheme="minorHAnsi"/>
          <w:szCs w:val="20"/>
        </w:rPr>
        <w:t>”</w:t>
      </w:r>
      <w:r w:rsidR="00B4412C" w:rsidRPr="00D920C9">
        <w:rPr>
          <w:rFonts w:asciiTheme="minorHAnsi" w:hAnsiTheme="minorHAnsi"/>
          <w:vertAlign w:val="superscript"/>
        </w:rPr>
        <w:footnoteReference w:id="97"/>
      </w:r>
      <w:r w:rsidR="00B4412C" w:rsidRPr="00D920C9">
        <w:rPr>
          <w:rFonts w:asciiTheme="minorHAnsi" w:hAnsiTheme="minorHAnsi"/>
          <w:szCs w:val="20"/>
        </w:rPr>
        <w:t xml:space="preserve"> </w:t>
      </w:r>
      <w:r w:rsidR="00682D45" w:rsidRPr="00D920C9">
        <w:rPr>
          <w:rFonts w:asciiTheme="minorHAnsi" w:hAnsiTheme="minorHAnsi"/>
          <w:szCs w:val="20"/>
        </w:rPr>
        <w:t>In</w:t>
      </w:r>
      <w:r w:rsidR="00B4412C" w:rsidRPr="00D920C9">
        <w:rPr>
          <w:rFonts w:asciiTheme="minorHAnsi" w:hAnsiTheme="minorHAnsi"/>
          <w:szCs w:val="20"/>
        </w:rPr>
        <w:t xml:space="preserve"> the U</w:t>
      </w:r>
      <w:r w:rsidR="009D305C" w:rsidRPr="00D920C9">
        <w:rPr>
          <w:rFonts w:asciiTheme="minorHAnsi" w:hAnsiTheme="minorHAnsi"/>
          <w:szCs w:val="20"/>
        </w:rPr>
        <w:t>.</w:t>
      </w:r>
      <w:r w:rsidR="00B4412C" w:rsidRPr="00D920C9">
        <w:rPr>
          <w:rFonts w:asciiTheme="minorHAnsi" w:hAnsiTheme="minorHAnsi"/>
          <w:szCs w:val="20"/>
        </w:rPr>
        <w:t>S</w:t>
      </w:r>
      <w:r w:rsidR="009D305C" w:rsidRPr="00D920C9">
        <w:rPr>
          <w:rFonts w:asciiTheme="minorHAnsi" w:hAnsiTheme="minorHAnsi"/>
          <w:szCs w:val="20"/>
        </w:rPr>
        <w:t>.</w:t>
      </w:r>
      <w:r w:rsidR="00B4412C" w:rsidRPr="00D920C9">
        <w:rPr>
          <w:rFonts w:asciiTheme="minorHAnsi" w:hAnsiTheme="minorHAnsi"/>
          <w:szCs w:val="20"/>
        </w:rPr>
        <w:t>, the “War on Drugs” has led to the heavy criminalization of drug possession and consumption, including the creation of “mandatory minimum” prison terms and increased policing efforts directed toward drug arrests. These policies have been applied in a racially discriminatory way, “result[</w:t>
      </w:r>
      <w:proofErr w:type="spellStart"/>
      <w:r w:rsidR="00B4412C" w:rsidRPr="00D920C9">
        <w:rPr>
          <w:rFonts w:asciiTheme="minorHAnsi" w:hAnsiTheme="minorHAnsi"/>
          <w:szCs w:val="20"/>
        </w:rPr>
        <w:t>ing</w:t>
      </w:r>
      <w:proofErr w:type="spellEnd"/>
      <w:r w:rsidR="00B4412C" w:rsidRPr="00D920C9">
        <w:rPr>
          <w:rFonts w:asciiTheme="minorHAnsi" w:hAnsiTheme="minorHAnsi"/>
          <w:szCs w:val="20"/>
        </w:rPr>
        <w:t>] in a situation where 1 in every 15 black men is currently in jail and 1 in every 13 African</w:t>
      </w:r>
      <w:r w:rsidR="0030356C" w:rsidRPr="00D920C9">
        <w:rPr>
          <w:rFonts w:asciiTheme="minorHAnsi" w:hAnsiTheme="minorHAnsi"/>
          <w:szCs w:val="20"/>
        </w:rPr>
        <w:t xml:space="preserve"> </w:t>
      </w:r>
      <w:r w:rsidR="00B4412C" w:rsidRPr="00D920C9">
        <w:rPr>
          <w:rFonts w:asciiTheme="minorHAnsi" w:hAnsiTheme="minorHAnsi"/>
          <w:szCs w:val="20"/>
        </w:rPr>
        <w:t>Americans has lost their right to vote owing to a felony conviction.”</w:t>
      </w:r>
      <w:r w:rsidR="00B4412C" w:rsidRPr="00D920C9">
        <w:rPr>
          <w:rFonts w:asciiTheme="minorHAnsi" w:hAnsiTheme="minorHAnsi"/>
          <w:szCs w:val="20"/>
          <w:vertAlign w:val="superscript"/>
        </w:rPr>
        <w:footnoteReference w:id="98"/>
      </w:r>
      <w:r w:rsidR="00B4412C" w:rsidRPr="00D920C9">
        <w:rPr>
          <w:rFonts w:asciiTheme="minorHAnsi" w:hAnsiTheme="minorHAnsi"/>
          <w:szCs w:val="20"/>
        </w:rPr>
        <w:t xml:space="preserve"> </w:t>
      </w:r>
      <w:r w:rsidR="00756574" w:rsidRPr="00D920C9">
        <w:rPr>
          <w:rFonts w:asciiTheme="minorHAnsi" w:hAnsiTheme="minorHAnsi"/>
          <w:szCs w:val="20"/>
        </w:rPr>
        <w:t xml:space="preserve">Between </w:t>
      </w:r>
      <w:r w:rsidR="00ED4B80" w:rsidRPr="00D920C9">
        <w:rPr>
          <w:rFonts w:asciiTheme="minorHAnsi" w:hAnsiTheme="minorHAnsi"/>
          <w:szCs w:val="20"/>
        </w:rPr>
        <w:t xml:space="preserve">1970 and 2016, the number of people incarcerated in state and federal prisons in the </w:t>
      </w:r>
      <w:r w:rsidR="00904A46" w:rsidRPr="00D920C9">
        <w:rPr>
          <w:rFonts w:asciiTheme="minorHAnsi" w:hAnsiTheme="minorHAnsi"/>
          <w:szCs w:val="20"/>
        </w:rPr>
        <w:t>U.S.</w:t>
      </w:r>
      <w:r w:rsidR="00ED4B80" w:rsidRPr="00D920C9">
        <w:rPr>
          <w:rFonts w:asciiTheme="minorHAnsi" w:hAnsiTheme="minorHAnsi"/>
          <w:szCs w:val="20"/>
        </w:rPr>
        <w:t xml:space="preserve"> grew from 196,429 to 1,505,400;</w:t>
      </w:r>
      <w:r w:rsidR="00ED4B80" w:rsidRPr="00D920C9">
        <w:rPr>
          <w:rFonts w:asciiTheme="minorHAnsi" w:hAnsiTheme="minorHAnsi"/>
          <w:vertAlign w:val="superscript"/>
        </w:rPr>
        <w:footnoteReference w:id="99"/>
      </w:r>
      <w:r w:rsidR="00ED4B80" w:rsidRPr="00D920C9">
        <w:rPr>
          <w:rFonts w:asciiTheme="minorHAnsi" w:hAnsiTheme="minorHAnsi"/>
          <w:szCs w:val="20"/>
        </w:rPr>
        <w:t xml:space="preserve"> within this number, black inmates are grossly overrepresented.</w:t>
      </w:r>
      <w:r w:rsidR="00ED4B80" w:rsidRPr="00D920C9">
        <w:rPr>
          <w:rFonts w:asciiTheme="minorHAnsi" w:hAnsiTheme="minorHAnsi"/>
          <w:vertAlign w:val="superscript"/>
        </w:rPr>
        <w:footnoteReference w:id="100"/>
      </w:r>
    </w:p>
    <w:p w14:paraId="36BC0C59" w14:textId="77777777" w:rsidR="00B4412C" w:rsidRPr="00D920C9" w:rsidRDefault="00682D45"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44" w:name="_Ref504647147"/>
      <w:r w:rsidRPr="00D920C9">
        <w:rPr>
          <w:rFonts w:asciiTheme="minorHAnsi" w:hAnsiTheme="minorHAnsi"/>
          <w:szCs w:val="20"/>
        </w:rPr>
        <w:t xml:space="preserve">Additionally, the </w:t>
      </w:r>
      <w:r w:rsidR="00B4412C" w:rsidRPr="00D920C9">
        <w:rPr>
          <w:rFonts w:asciiTheme="minorHAnsi" w:hAnsiTheme="minorHAnsi"/>
          <w:szCs w:val="20"/>
        </w:rPr>
        <w:t>“Broken Windows” theory of policing was in</w:t>
      </w:r>
      <w:r w:rsidR="008F5279" w:rsidRPr="00D920C9">
        <w:rPr>
          <w:rFonts w:asciiTheme="minorHAnsi" w:hAnsiTheme="minorHAnsi"/>
          <w:szCs w:val="20"/>
        </w:rPr>
        <w:t>troduced</w:t>
      </w:r>
      <w:r w:rsidRPr="00D920C9">
        <w:rPr>
          <w:rFonts w:asciiTheme="minorHAnsi" w:hAnsiTheme="minorHAnsi"/>
          <w:szCs w:val="20"/>
        </w:rPr>
        <w:t xml:space="preserve"> in the 1980s</w:t>
      </w:r>
      <w:r w:rsidR="008F5279" w:rsidRPr="00D920C9">
        <w:rPr>
          <w:rFonts w:asciiTheme="minorHAnsi" w:hAnsiTheme="minorHAnsi"/>
          <w:szCs w:val="20"/>
        </w:rPr>
        <w:t xml:space="preserve"> by two criminologists</w:t>
      </w:r>
      <w:r w:rsidR="00B4412C" w:rsidRPr="00D920C9">
        <w:rPr>
          <w:rFonts w:asciiTheme="minorHAnsi" w:hAnsiTheme="minorHAnsi"/>
          <w:szCs w:val="20"/>
        </w:rPr>
        <w:t xml:space="preserve"> who suggested that crime flourishes in environments of lax law enforcement.</w:t>
      </w:r>
      <w:r w:rsidR="00B4412C" w:rsidRPr="00D920C9">
        <w:rPr>
          <w:rFonts w:asciiTheme="minorHAnsi" w:hAnsiTheme="minorHAnsi"/>
          <w:vertAlign w:val="superscript"/>
        </w:rPr>
        <w:footnoteReference w:id="101"/>
      </w:r>
      <w:r w:rsidR="00B4412C" w:rsidRPr="00D920C9">
        <w:rPr>
          <w:rFonts w:asciiTheme="minorHAnsi" w:hAnsiTheme="minorHAnsi"/>
          <w:szCs w:val="20"/>
        </w:rPr>
        <w:t xml:space="preserve"> To remedy this, they proposed increasing policing of small “quality of life” offenses like loitering, vandalism, trespassing, and public consumption of alcohol, considering </w:t>
      </w:r>
      <w:r w:rsidRPr="00D920C9">
        <w:rPr>
          <w:rFonts w:asciiTheme="minorHAnsi" w:hAnsiTheme="minorHAnsi"/>
          <w:szCs w:val="20"/>
        </w:rPr>
        <w:t>them</w:t>
      </w:r>
      <w:r w:rsidR="00B4412C" w:rsidRPr="00D920C9">
        <w:rPr>
          <w:rFonts w:asciiTheme="minorHAnsi" w:hAnsiTheme="minorHAnsi"/>
          <w:szCs w:val="20"/>
        </w:rPr>
        <w:t xml:space="preserve"> “gateways” to the commission of more serious crimes.</w:t>
      </w:r>
      <w:r w:rsidR="00B4412C" w:rsidRPr="00D920C9">
        <w:rPr>
          <w:rFonts w:asciiTheme="minorHAnsi" w:hAnsiTheme="minorHAnsi"/>
          <w:vertAlign w:val="superscript"/>
        </w:rPr>
        <w:footnoteReference w:id="102"/>
      </w:r>
      <w:r w:rsidR="00B4412C" w:rsidRPr="00D920C9">
        <w:rPr>
          <w:rFonts w:asciiTheme="minorHAnsi" w:hAnsiTheme="minorHAnsi"/>
          <w:szCs w:val="20"/>
        </w:rPr>
        <w:t xml:space="preserve"> The theory calls for an aggressive, arrest-based approach to policing and the heavy criminalization of petty offenses.</w:t>
      </w:r>
      <w:bookmarkStart w:id="45" w:name="_Ref511832973"/>
      <w:r w:rsidR="00B4412C" w:rsidRPr="00D920C9">
        <w:rPr>
          <w:rFonts w:asciiTheme="minorHAnsi" w:hAnsiTheme="minorHAnsi"/>
          <w:vertAlign w:val="superscript"/>
        </w:rPr>
        <w:footnoteReference w:id="103"/>
      </w:r>
      <w:bookmarkStart w:id="46" w:name="_Ref507147678"/>
      <w:bookmarkEnd w:id="44"/>
      <w:bookmarkEnd w:id="45"/>
      <w:r w:rsidR="006F758A" w:rsidRPr="00D920C9">
        <w:rPr>
          <w:rFonts w:asciiTheme="minorHAnsi" w:hAnsiTheme="minorHAnsi"/>
          <w:szCs w:val="20"/>
        </w:rPr>
        <w:t xml:space="preserve"> </w:t>
      </w:r>
      <w:r w:rsidR="00B4412C" w:rsidRPr="00D920C9">
        <w:rPr>
          <w:rFonts w:asciiTheme="minorHAnsi" w:hAnsiTheme="minorHAnsi"/>
          <w:szCs w:val="20"/>
        </w:rPr>
        <w:t xml:space="preserve">This theory was piloted as policy in </w:t>
      </w:r>
      <w:r w:rsidR="00B4412C" w:rsidRPr="00D920C9">
        <w:rPr>
          <w:rFonts w:asciiTheme="minorHAnsi" w:hAnsiTheme="minorHAnsi"/>
          <w:szCs w:val="20"/>
        </w:rPr>
        <w:lastRenderedPageBreak/>
        <w:t xml:space="preserve">New York City in the 1990s, and later in other major urban areas </w:t>
      </w:r>
      <w:r w:rsidR="008819BD" w:rsidRPr="00D920C9">
        <w:rPr>
          <w:rFonts w:asciiTheme="minorHAnsi" w:hAnsiTheme="minorHAnsi"/>
          <w:szCs w:val="20"/>
        </w:rPr>
        <w:t>like</w:t>
      </w:r>
      <w:r w:rsidR="00B4412C" w:rsidRPr="00D920C9">
        <w:rPr>
          <w:rFonts w:asciiTheme="minorHAnsi" w:hAnsiTheme="minorHAnsi"/>
          <w:szCs w:val="20"/>
        </w:rPr>
        <w:t xml:space="preserve"> Los Angeles, Chicago, Boston, and Denver.</w:t>
      </w:r>
      <w:r w:rsidR="00B4412C" w:rsidRPr="00D920C9">
        <w:rPr>
          <w:rFonts w:asciiTheme="minorHAnsi" w:hAnsiTheme="minorHAnsi"/>
          <w:vertAlign w:val="superscript"/>
        </w:rPr>
        <w:footnoteReference w:id="104"/>
      </w:r>
      <w:r w:rsidR="00B4412C" w:rsidRPr="00D920C9">
        <w:rPr>
          <w:rFonts w:asciiTheme="minorHAnsi" w:hAnsiTheme="minorHAnsi"/>
          <w:szCs w:val="20"/>
        </w:rPr>
        <w:t xml:space="preserve"> </w:t>
      </w:r>
      <w:r w:rsidRPr="00D920C9">
        <w:rPr>
          <w:rFonts w:asciiTheme="minorHAnsi" w:hAnsiTheme="minorHAnsi"/>
          <w:szCs w:val="20"/>
        </w:rPr>
        <w:t>S</w:t>
      </w:r>
      <w:r w:rsidR="00B4412C" w:rsidRPr="00D920C9">
        <w:rPr>
          <w:rFonts w:asciiTheme="minorHAnsi" w:hAnsiTheme="minorHAnsi"/>
          <w:szCs w:val="20"/>
        </w:rPr>
        <w:t xml:space="preserve">tudies have found little impact of “Broken Windows”-type </w:t>
      </w:r>
      <w:r w:rsidR="006F758A" w:rsidRPr="00D920C9">
        <w:rPr>
          <w:rFonts w:asciiTheme="minorHAnsi" w:hAnsiTheme="minorHAnsi"/>
          <w:szCs w:val="20"/>
        </w:rPr>
        <w:t xml:space="preserve">programs on overall crime rates, but the policy has </w:t>
      </w:r>
      <w:r w:rsidR="00643D1F" w:rsidRPr="00D920C9">
        <w:rPr>
          <w:rFonts w:asciiTheme="minorHAnsi" w:hAnsiTheme="minorHAnsi"/>
          <w:szCs w:val="20"/>
        </w:rPr>
        <w:t xml:space="preserve">had a clear discriminatory impact on </w:t>
      </w:r>
      <w:r w:rsidR="008819BD" w:rsidRPr="00D920C9">
        <w:rPr>
          <w:rFonts w:asciiTheme="minorHAnsi" w:hAnsiTheme="minorHAnsi"/>
          <w:szCs w:val="20"/>
        </w:rPr>
        <w:t>Blacks</w:t>
      </w:r>
      <w:r w:rsidR="00643D1F" w:rsidRPr="00D920C9">
        <w:rPr>
          <w:rFonts w:asciiTheme="minorHAnsi" w:hAnsiTheme="minorHAnsi"/>
          <w:szCs w:val="20"/>
        </w:rPr>
        <w:t>.</w:t>
      </w:r>
      <w:r w:rsidR="00643D1F" w:rsidRPr="00D920C9">
        <w:rPr>
          <w:rFonts w:asciiTheme="minorHAnsi" w:hAnsiTheme="minorHAnsi"/>
          <w:vertAlign w:val="superscript"/>
        </w:rPr>
        <w:footnoteReference w:id="105"/>
      </w:r>
      <w:bookmarkEnd w:id="46"/>
    </w:p>
    <w:p w14:paraId="673288CC" w14:textId="77777777" w:rsidR="00B4412C" w:rsidRPr="00D920C9" w:rsidRDefault="001B2BE6"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47" w:name="_Ref507148704"/>
      <w:r w:rsidRPr="00D920C9">
        <w:rPr>
          <w:rFonts w:asciiTheme="minorHAnsi" w:hAnsiTheme="minorHAnsi"/>
          <w:szCs w:val="20"/>
        </w:rPr>
        <w:t>Finally, the Commission notes that a</w:t>
      </w:r>
      <w:r w:rsidR="00B4412C" w:rsidRPr="00D920C9">
        <w:rPr>
          <w:rFonts w:asciiTheme="minorHAnsi" w:hAnsiTheme="minorHAnsi"/>
          <w:szCs w:val="20"/>
        </w:rPr>
        <w:t xml:space="preserve">t least since the 1990s, local police departments have </w:t>
      </w:r>
      <w:r w:rsidR="008819BD" w:rsidRPr="00D920C9">
        <w:rPr>
          <w:rFonts w:asciiTheme="minorHAnsi" w:hAnsiTheme="minorHAnsi"/>
          <w:szCs w:val="20"/>
        </w:rPr>
        <w:t>been</w:t>
      </w:r>
      <w:r w:rsidR="00B4412C" w:rsidRPr="00D920C9">
        <w:rPr>
          <w:rFonts w:asciiTheme="minorHAnsi" w:hAnsiTheme="minorHAnsi"/>
          <w:szCs w:val="20"/>
        </w:rPr>
        <w:t xml:space="preserve"> increasingly militarized as a result of federal programs that use equipment transfers and funding to encourage state and local police agencies to fight the “War on Drugs</w:t>
      </w:r>
      <w:r w:rsidR="008819BD" w:rsidRPr="00D920C9">
        <w:rPr>
          <w:rFonts w:asciiTheme="minorHAnsi" w:hAnsiTheme="minorHAnsi"/>
          <w:szCs w:val="20"/>
        </w:rPr>
        <w:t>.</w:t>
      </w:r>
      <w:r w:rsidR="00B4412C" w:rsidRPr="00D920C9">
        <w:rPr>
          <w:rFonts w:asciiTheme="minorHAnsi" w:hAnsiTheme="minorHAnsi"/>
          <w:szCs w:val="20"/>
        </w:rPr>
        <w:t xml:space="preserve">” </w:t>
      </w:r>
      <w:r w:rsidR="00426016" w:rsidRPr="00D920C9">
        <w:rPr>
          <w:rFonts w:asciiTheme="minorHAnsi" w:hAnsiTheme="minorHAnsi"/>
          <w:szCs w:val="20"/>
        </w:rPr>
        <w:t>These programs include the Department of Defense (DOD) 1033 Program, enacted in 1989 and expanded in 1996, which transfers equipment for “counterdrug and counterterrorism activities.”</w:t>
      </w:r>
      <w:r w:rsidR="00B4412C" w:rsidRPr="00D920C9">
        <w:rPr>
          <w:rFonts w:asciiTheme="minorHAnsi" w:hAnsiTheme="minorHAnsi"/>
          <w:vertAlign w:val="superscript"/>
        </w:rPr>
        <w:footnoteReference w:id="106"/>
      </w:r>
      <w:r w:rsidR="00B4412C" w:rsidRPr="00D920C9">
        <w:rPr>
          <w:rFonts w:asciiTheme="minorHAnsi" w:hAnsiTheme="minorHAnsi"/>
          <w:szCs w:val="20"/>
        </w:rPr>
        <w:t xml:space="preserve"> The Department of Justice (DOJ) and Department of Homeland Security (DHS) </w:t>
      </w:r>
      <w:r w:rsidR="008819BD" w:rsidRPr="00D920C9">
        <w:rPr>
          <w:rFonts w:asciiTheme="minorHAnsi" w:hAnsiTheme="minorHAnsi"/>
          <w:szCs w:val="20"/>
        </w:rPr>
        <w:t>also</w:t>
      </w:r>
      <w:r w:rsidR="00B4412C" w:rsidRPr="00D920C9">
        <w:rPr>
          <w:rFonts w:asciiTheme="minorHAnsi" w:hAnsiTheme="minorHAnsi"/>
          <w:szCs w:val="20"/>
        </w:rPr>
        <w:t xml:space="preserve"> provide fund</w:t>
      </w:r>
      <w:r w:rsidR="008819BD" w:rsidRPr="00D920C9">
        <w:rPr>
          <w:rFonts w:asciiTheme="minorHAnsi" w:hAnsiTheme="minorHAnsi"/>
          <w:szCs w:val="20"/>
        </w:rPr>
        <w:t>s</w:t>
      </w:r>
      <w:r w:rsidR="00B4412C" w:rsidRPr="00D920C9">
        <w:rPr>
          <w:rFonts w:asciiTheme="minorHAnsi" w:hAnsiTheme="minorHAnsi"/>
          <w:szCs w:val="20"/>
        </w:rPr>
        <w:t xml:space="preserve"> for local police departments to acquire military-grade equipment. Since the declaration of the “War on Terror” in the early 2000s, DHS grants for anti-terrorism work have led to even greater stockpiling of specialized military equipment</w:t>
      </w:r>
      <w:r w:rsidR="0031560A" w:rsidRPr="00D920C9">
        <w:rPr>
          <w:rFonts w:asciiTheme="minorHAnsi" w:hAnsiTheme="minorHAnsi"/>
          <w:szCs w:val="20"/>
        </w:rPr>
        <w:t xml:space="preserve"> by local police departments</w:t>
      </w:r>
      <w:r w:rsidR="00B4412C" w:rsidRPr="00D920C9">
        <w:rPr>
          <w:rFonts w:asciiTheme="minorHAnsi" w:hAnsiTheme="minorHAnsi"/>
          <w:szCs w:val="20"/>
        </w:rPr>
        <w:t xml:space="preserve"> in the name of anti-terror readiness.</w:t>
      </w:r>
      <w:r w:rsidR="00B4412C" w:rsidRPr="00D920C9">
        <w:rPr>
          <w:rStyle w:val="FootnoteReference"/>
          <w:rFonts w:asciiTheme="minorHAnsi" w:hAnsiTheme="minorHAnsi"/>
          <w:szCs w:val="20"/>
        </w:rPr>
        <w:footnoteReference w:id="107"/>
      </w:r>
      <w:bookmarkEnd w:id="47"/>
    </w:p>
    <w:p w14:paraId="18B6EB7B" w14:textId="77777777" w:rsidR="00B4412C" w:rsidRPr="00D920C9" w:rsidRDefault="00B4412C" w:rsidP="002F0905">
      <w:pPr>
        <w:pStyle w:val="Heading2"/>
        <w:ind w:left="540" w:hanging="540"/>
      </w:pPr>
      <w:bookmarkStart w:id="48" w:name="_Toc511837808"/>
      <w:bookmarkStart w:id="49" w:name="_Toc511902981"/>
      <w:bookmarkStart w:id="50" w:name="_Toc517687911"/>
      <w:r w:rsidRPr="00D920C9">
        <w:t xml:space="preserve">Key issues </w:t>
      </w:r>
      <w:r w:rsidR="005E5723" w:rsidRPr="00D920C9">
        <w:t xml:space="preserve">Identified </w:t>
      </w:r>
      <w:r w:rsidR="003A6467" w:rsidRPr="00D920C9">
        <w:t xml:space="preserve">through IACHR </w:t>
      </w:r>
      <w:r w:rsidR="005E5723" w:rsidRPr="00D920C9">
        <w:t>Monitoring Mechanisms</w:t>
      </w:r>
      <w:bookmarkEnd w:id="48"/>
      <w:bookmarkEnd w:id="49"/>
      <w:bookmarkEnd w:id="50"/>
    </w:p>
    <w:p w14:paraId="3C747A57" w14:textId="77777777" w:rsidR="00B4412C" w:rsidRPr="00D920C9" w:rsidRDefault="00426016" w:rsidP="002C64F8">
      <w:pPr>
        <w:pStyle w:val="ListParagraph"/>
        <w:numPr>
          <w:ilvl w:val="0"/>
          <w:numId w:val="9"/>
        </w:numPr>
        <w:spacing w:after="240" w:line="240" w:lineRule="auto"/>
        <w:ind w:left="547" w:hanging="547"/>
        <w:contextualSpacing w:val="0"/>
        <w:jc w:val="both"/>
        <w:rPr>
          <w:rFonts w:asciiTheme="minorHAnsi" w:eastAsia="Times New Roman" w:hAnsiTheme="minorHAnsi" w:cs="Gotham-Book"/>
          <w:szCs w:val="20"/>
          <w:lang w:eastAsia="es-ES"/>
        </w:rPr>
      </w:pPr>
      <w:r w:rsidRPr="00D920C9">
        <w:rPr>
          <w:rFonts w:asciiTheme="minorHAnsi" w:hAnsiTheme="minorHAnsi"/>
          <w:szCs w:val="20"/>
        </w:rPr>
        <w:t>In recent</w:t>
      </w:r>
      <w:r w:rsidR="00B4412C" w:rsidRPr="00D920C9">
        <w:rPr>
          <w:rFonts w:asciiTheme="minorHAnsi" w:hAnsiTheme="minorHAnsi"/>
          <w:szCs w:val="20"/>
        </w:rPr>
        <w:t xml:space="preserve"> years, the Commission has monitored and receive</w:t>
      </w:r>
      <w:r w:rsidRPr="00D920C9">
        <w:rPr>
          <w:rFonts w:asciiTheme="minorHAnsi" w:hAnsiTheme="minorHAnsi"/>
          <w:szCs w:val="20"/>
        </w:rPr>
        <w:t>d</w:t>
      </w:r>
      <w:r w:rsidR="00B4412C" w:rsidRPr="00D920C9">
        <w:rPr>
          <w:rFonts w:asciiTheme="minorHAnsi" w:hAnsiTheme="minorHAnsi"/>
          <w:szCs w:val="20"/>
        </w:rPr>
        <w:t xml:space="preserve"> information </w:t>
      </w:r>
      <w:r w:rsidRPr="00D920C9">
        <w:rPr>
          <w:rFonts w:asciiTheme="minorHAnsi" w:eastAsia="Times New Roman" w:hAnsiTheme="minorHAnsi" w:cs="Gotham-Book"/>
          <w:szCs w:val="20"/>
          <w:lang w:eastAsia="es-ES"/>
        </w:rPr>
        <w:t>about</w:t>
      </w:r>
      <w:r w:rsidR="00B4412C" w:rsidRPr="00D920C9">
        <w:rPr>
          <w:rFonts w:asciiTheme="minorHAnsi" w:eastAsia="Times New Roman" w:hAnsiTheme="minorHAnsi" w:cs="Gotham-Book"/>
          <w:szCs w:val="20"/>
          <w:lang w:eastAsia="es-ES"/>
        </w:rPr>
        <w:t xml:space="preserve"> persistent problem</w:t>
      </w:r>
      <w:r w:rsidR="001B2BE6" w:rsidRPr="00D920C9">
        <w:rPr>
          <w:rFonts w:asciiTheme="minorHAnsi" w:eastAsia="Times New Roman" w:hAnsiTheme="minorHAnsi" w:cs="Gotham-Book"/>
          <w:szCs w:val="20"/>
          <w:lang w:eastAsia="es-ES"/>
        </w:rPr>
        <w:t>s</w:t>
      </w:r>
      <w:r w:rsidR="00B4412C" w:rsidRPr="00D920C9">
        <w:rPr>
          <w:rFonts w:asciiTheme="minorHAnsi" w:eastAsia="Times New Roman" w:hAnsiTheme="minorHAnsi" w:cs="Gotham-Book"/>
          <w:szCs w:val="20"/>
          <w:lang w:eastAsia="es-ES"/>
        </w:rPr>
        <w:t xml:space="preserve"> of structural discrimination and racial disparities that permeate law enforcement </w:t>
      </w:r>
      <w:r w:rsidRPr="00D920C9">
        <w:rPr>
          <w:rFonts w:asciiTheme="minorHAnsi" w:eastAsia="Times New Roman" w:hAnsiTheme="minorHAnsi" w:cs="Gotham-Book"/>
          <w:szCs w:val="20"/>
          <w:lang w:eastAsia="es-ES"/>
        </w:rPr>
        <w:t xml:space="preserve">practices </w:t>
      </w:r>
      <w:r w:rsidR="00B4412C" w:rsidRPr="00D920C9">
        <w:rPr>
          <w:rFonts w:asciiTheme="minorHAnsi" w:eastAsia="Times New Roman" w:hAnsiTheme="minorHAnsi" w:cs="Gotham-Book"/>
          <w:szCs w:val="20"/>
          <w:lang w:eastAsia="es-ES"/>
        </w:rPr>
        <w:t xml:space="preserve">and the criminal justice </w:t>
      </w:r>
      <w:r w:rsidR="00B4412C" w:rsidRPr="00D920C9">
        <w:rPr>
          <w:rFonts w:asciiTheme="minorHAnsi" w:hAnsiTheme="minorHAnsi"/>
          <w:szCs w:val="20"/>
        </w:rPr>
        <w:t>system</w:t>
      </w:r>
      <w:r w:rsidR="00B4412C" w:rsidRPr="00D920C9">
        <w:rPr>
          <w:rFonts w:asciiTheme="minorHAnsi" w:eastAsia="Times New Roman" w:hAnsiTheme="minorHAnsi" w:cs="Gotham-Book"/>
          <w:szCs w:val="20"/>
          <w:lang w:eastAsia="es-ES"/>
        </w:rPr>
        <w:t xml:space="preserve"> in the United States. This section details information about particularly concerning practices in these </w:t>
      </w:r>
      <w:r w:rsidR="0031560A" w:rsidRPr="00D920C9">
        <w:rPr>
          <w:rFonts w:asciiTheme="minorHAnsi" w:eastAsia="Times New Roman" w:hAnsiTheme="minorHAnsi" w:cs="Gotham-Book"/>
          <w:szCs w:val="20"/>
          <w:lang w:eastAsia="es-ES"/>
        </w:rPr>
        <w:t xml:space="preserve">and related </w:t>
      </w:r>
      <w:r w:rsidR="00B4412C" w:rsidRPr="00D920C9">
        <w:rPr>
          <w:rFonts w:asciiTheme="minorHAnsi" w:eastAsia="Times New Roman" w:hAnsiTheme="minorHAnsi" w:cs="Gotham-Book"/>
          <w:szCs w:val="20"/>
          <w:lang w:eastAsia="es-ES"/>
        </w:rPr>
        <w:t>areas, before turning to the</w:t>
      </w:r>
      <w:r w:rsidRPr="00D920C9">
        <w:rPr>
          <w:rFonts w:asciiTheme="minorHAnsi" w:eastAsia="Times New Roman" w:hAnsiTheme="minorHAnsi" w:cs="Gotham-Book"/>
          <w:szCs w:val="20"/>
          <w:lang w:eastAsia="es-ES"/>
        </w:rPr>
        <w:t xml:space="preserve"> applicable</w:t>
      </w:r>
      <w:r w:rsidR="00B4412C" w:rsidRPr="00D920C9">
        <w:rPr>
          <w:rFonts w:asciiTheme="minorHAnsi" w:eastAsia="Times New Roman" w:hAnsiTheme="minorHAnsi" w:cs="Gotham-Book"/>
          <w:szCs w:val="20"/>
          <w:lang w:eastAsia="es-ES"/>
        </w:rPr>
        <w:t xml:space="preserve"> international legal standards and the obligations of government—federal, state, and local—in this area.</w:t>
      </w:r>
    </w:p>
    <w:p w14:paraId="4248EA8A" w14:textId="77777777" w:rsidR="003D7958" w:rsidRDefault="003D7958">
      <w:pPr>
        <w:spacing w:after="0" w:line="240" w:lineRule="auto"/>
        <w:rPr>
          <w:rFonts w:asciiTheme="minorHAnsi" w:hAnsiTheme="minorHAnsi"/>
          <w:b/>
          <w:sz w:val="24"/>
          <w:szCs w:val="20"/>
        </w:rPr>
      </w:pPr>
      <w:bookmarkStart w:id="51" w:name="_Toc511837809"/>
      <w:bookmarkStart w:id="52" w:name="_Toc511902982"/>
      <w:bookmarkStart w:id="53" w:name="_Toc517687912"/>
      <w:r>
        <w:br w:type="page"/>
      </w:r>
    </w:p>
    <w:p w14:paraId="48389704" w14:textId="407ACE4B" w:rsidR="00B4412C" w:rsidRPr="00D920C9" w:rsidRDefault="003A6467" w:rsidP="003D7958">
      <w:pPr>
        <w:pStyle w:val="Heading3"/>
        <w:numPr>
          <w:ilvl w:val="0"/>
          <w:numId w:val="32"/>
        </w:numPr>
        <w:ind w:left="540" w:hanging="540"/>
      </w:pPr>
      <w:r w:rsidRPr="00D920C9">
        <w:lastRenderedPageBreak/>
        <w:t xml:space="preserve">Aspects of </w:t>
      </w:r>
      <w:r w:rsidR="005E5723" w:rsidRPr="00D920C9">
        <w:t xml:space="preserve">Racial Discrimination </w:t>
      </w:r>
      <w:r w:rsidR="00B4412C" w:rsidRPr="00D920C9">
        <w:t xml:space="preserve">in </w:t>
      </w:r>
      <w:r w:rsidR="005E5723" w:rsidRPr="00D920C9">
        <w:t xml:space="preserve">Policing Practices </w:t>
      </w:r>
      <w:r w:rsidR="00B4412C" w:rsidRPr="00D920C9">
        <w:t xml:space="preserve">and </w:t>
      </w:r>
      <w:r w:rsidR="005E5723" w:rsidRPr="00D920C9">
        <w:t>Outcomes</w:t>
      </w:r>
      <w:bookmarkEnd w:id="51"/>
      <w:bookmarkEnd w:id="52"/>
      <w:bookmarkEnd w:id="53"/>
    </w:p>
    <w:p w14:paraId="3E0646F3"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The Commission </w:t>
      </w:r>
      <w:r w:rsidR="00A4515B" w:rsidRPr="00D920C9">
        <w:rPr>
          <w:rFonts w:asciiTheme="minorHAnsi" w:hAnsiTheme="minorHAnsi"/>
          <w:szCs w:val="20"/>
        </w:rPr>
        <w:t>is</w:t>
      </w:r>
      <w:r w:rsidRPr="00D920C9">
        <w:rPr>
          <w:rFonts w:asciiTheme="minorHAnsi" w:hAnsiTheme="minorHAnsi"/>
          <w:szCs w:val="20"/>
        </w:rPr>
        <w:t xml:space="preserve"> particularly concerned by persistent problems </w:t>
      </w:r>
      <w:r w:rsidR="00A4515B" w:rsidRPr="00D920C9">
        <w:rPr>
          <w:rFonts w:asciiTheme="minorHAnsi" w:hAnsiTheme="minorHAnsi"/>
          <w:szCs w:val="20"/>
        </w:rPr>
        <w:t>of</w:t>
      </w:r>
      <w:r w:rsidRPr="00D920C9">
        <w:rPr>
          <w:rFonts w:asciiTheme="minorHAnsi" w:hAnsiTheme="minorHAnsi"/>
          <w:szCs w:val="20"/>
        </w:rPr>
        <w:t xml:space="preserve"> racial bias in policing, use of excessive force, and a pattern of impunity for the officers and law enforcement departments </w:t>
      </w:r>
      <w:r w:rsidR="00BC2D83" w:rsidRPr="00D920C9">
        <w:rPr>
          <w:rFonts w:asciiTheme="minorHAnsi" w:hAnsiTheme="minorHAnsi"/>
          <w:szCs w:val="20"/>
        </w:rPr>
        <w:t>involved</w:t>
      </w:r>
      <w:r w:rsidRPr="00D920C9">
        <w:rPr>
          <w:rFonts w:asciiTheme="minorHAnsi" w:hAnsiTheme="minorHAnsi"/>
          <w:szCs w:val="20"/>
        </w:rPr>
        <w:t>.</w:t>
      </w:r>
      <w:r w:rsidRPr="00D920C9">
        <w:rPr>
          <w:rStyle w:val="FootnoteReference"/>
          <w:rFonts w:asciiTheme="minorHAnsi" w:hAnsiTheme="minorHAnsi"/>
          <w:szCs w:val="20"/>
        </w:rPr>
        <w:footnoteReference w:id="108"/>
      </w:r>
      <w:r w:rsidRPr="00D920C9">
        <w:rPr>
          <w:rFonts w:asciiTheme="minorHAnsi" w:hAnsiTheme="minorHAnsi"/>
          <w:szCs w:val="20"/>
        </w:rPr>
        <w:t xml:space="preserve"> </w:t>
      </w:r>
      <w:r w:rsidR="008819BD" w:rsidRPr="00D920C9">
        <w:rPr>
          <w:rFonts w:asciiTheme="minorHAnsi" w:hAnsiTheme="minorHAnsi"/>
          <w:szCs w:val="20"/>
        </w:rPr>
        <w:t>While cases like those of Rodney King, beaten by Los Angeles police in 1992,</w:t>
      </w:r>
      <w:r w:rsidR="00234C1F" w:rsidRPr="00D920C9">
        <w:rPr>
          <w:rStyle w:val="FootnoteReference"/>
          <w:rFonts w:asciiTheme="minorHAnsi" w:hAnsiTheme="minorHAnsi"/>
          <w:szCs w:val="20"/>
        </w:rPr>
        <w:footnoteReference w:id="109"/>
      </w:r>
      <w:r w:rsidR="008819BD" w:rsidRPr="00D920C9">
        <w:rPr>
          <w:rFonts w:asciiTheme="minorHAnsi" w:hAnsiTheme="minorHAnsi"/>
          <w:szCs w:val="20"/>
        </w:rPr>
        <w:t xml:space="preserve"> or </w:t>
      </w:r>
      <w:proofErr w:type="spellStart"/>
      <w:r w:rsidR="008819BD" w:rsidRPr="00D920C9">
        <w:rPr>
          <w:rFonts w:asciiTheme="minorHAnsi" w:hAnsiTheme="minorHAnsi"/>
          <w:szCs w:val="20"/>
        </w:rPr>
        <w:t>Amadou</w:t>
      </w:r>
      <w:proofErr w:type="spellEnd"/>
      <w:r w:rsidR="008819BD" w:rsidRPr="00D920C9">
        <w:rPr>
          <w:rFonts w:asciiTheme="minorHAnsi" w:hAnsiTheme="minorHAnsi"/>
          <w:szCs w:val="20"/>
        </w:rPr>
        <w:t xml:space="preserve"> Diallo, killed by New York police in 2009,</w:t>
      </w:r>
      <w:r w:rsidR="00234C1F" w:rsidRPr="00D920C9">
        <w:rPr>
          <w:rFonts w:asciiTheme="minorHAnsi" w:hAnsiTheme="minorHAnsi"/>
          <w:vertAlign w:val="superscript"/>
        </w:rPr>
        <w:footnoteReference w:id="110"/>
      </w:r>
      <w:r w:rsidR="008819BD" w:rsidRPr="00D920C9">
        <w:rPr>
          <w:rFonts w:asciiTheme="minorHAnsi" w:hAnsiTheme="minorHAnsi"/>
          <w:szCs w:val="20"/>
        </w:rPr>
        <w:t xml:space="preserve"> </w:t>
      </w:r>
      <w:r w:rsidR="00234C1F" w:rsidRPr="00D920C9">
        <w:rPr>
          <w:rFonts w:asciiTheme="minorHAnsi" w:hAnsiTheme="minorHAnsi"/>
          <w:szCs w:val="20"/>
        </w:rPr>
        <w:t>sparked widespread public outrage, t</w:t>
      </w:r>
      <w:r w:rsidRPr="00D920C9">
        <w:rPr>
          <w:rFonts w:asciiTheme="minorHAnsi" w:hAnsiTheme="minorHAnsi"/>
          <w:szCs w:val="20"/>
        </w:rPr>
        <w:t xml:space="preserve">hese issues came to particular prominence </w:t>
      </w:r>
      <w:r w:rsidR="0031560A" w:rsidRPr="00D920C9">
        <w:rPr>
          <w:rFonts w:asciiTheme="minorHAnsi" w:hAnsiTheme="minorHAnsi"/>
          <w:szCs w:val="20"/>
        </w:rPr>
        <w:t xml:space="preserve">in the </w:t>
      </w:r>
      <w:r w:rsidR="00904A46" w:rsidRPr="00D920C9">
        <w:rPr>
          <w:rFonts w:asciiTheme="minorHAnsi" w:hAnsiTheme="minorHAnsi"/>
          <w:szCs w:val="20"/>
        </w:rPr>
        <w:t>U.S.</w:t>
      </w:r>
      <w:r w:rsidR="0031560A" w:rsidRPr="00D920C9">
        <w:rPr>
          <w:rFonts w:asciiTheme="minorHAnsi" w:hAnsiTheme="minorHAnsi"/>
          <w:szCs w:val="20"/>
        </w:rPr>
        <w:t xml:space="preserve"> </w:t>
      </w:r>
      <w:r w:rsidRPr="00D920C9">
        <w:rPr>
          <w:rFonts w:asciiTheme="minorHAnsi" w:hAnsiTheme="minorHAnsi"/>
          <w:szCs w:val="20"/>
        </w:rPr>
        <w:t>following the killing of Trayvon Martin, a Black teenager who was shot and killed by a private individual acting as part of a “neighborhood watch” in Sanford, Florida, on February 26, 2012.</w:t>
      </w:r>
      <w:r w:rsidRPr="00D920C9">
        <w:rPr>
          <w:rFonts w:asciiTheme="minorHAnsi" w:hAnsiTheme="minorHAnsi"/>
          <w:vertAlign w:val="superscript"/>
        </w:rPr>
        <w:footnoteReference w:id="111"/>
      </w:r>
      <w:r w:rsidRPr="00D920C9">
        <w:rPr>
          <w:rFonts w:asciiTheme="minorHAnsi" w:hAnsiTheme="minorHAnsi"/>
          <w:szCs w:val="20"/>
        </w:rPr>
        <w:t xml:space="preserve"> The subsequent high-profile shootings and deaths </w:t>
      </w:r>
      <w:r w:rsidR="00874C45" w:rsidRPr="00D920C9">
        <w:rPr>
          <w:rFonts w:asciiTheme="minorHAnsi" w:hAnsiTheme="minorHAnsi"/>
          <w:szCs w:val="20"/>
        </w:rPr>
        <w:t xml:space="preserve">at the hands of police </w:t>
      </w:r>
      <w:r w:rsidRPr="00D920C9">
        <w:rPr>
          <w:rFonts w:asciiTheme="minorHAnsi" w:hAnsiTheme="minorHAnsi"/>
          <w:szCs w:val="20"/>
        </w:rPr>
        <w:t xml:space="preserve">of </w:t>
      </w:r>
      <w:proofErr w:type="spellStart"/>
      <w:r w:rsidRPr="00D920C9">
        <w:rPr>
          <w:rFonts w:asciiTheme="minorHAnsi" w:hAnsiTheme="minorHAnsi"/>
          <w:szCs w:val="20"/>
        </w:rPr>
        <w:t>Rekia</w:t>
      </w:r>
      <w:proofErr w:type="spellEnd"/>
      <w:r w:rsidRPr="00D920C9">
        <w:rPr>
          <w:rFonts w:asciiTheme="minorHAnsi" w:hAnsiTheme="minorHAnsi"/>
          <w:szCs w:val="20"/>
        </w:rPr>
        <w:t xml:space="preserve"> Boyd in Chicago, Illinois; </w:t>
      </w:r>
      <w:r w:rsidR="0068010D" w:rsidRPr="00D920C9">
        <w:rPr>
          <w:rFonts w:asciiTheme="minorHAnsi" w:hAnsiTheme="minorHAnsi"/>
          <w:szCs w:val="20"/>
        </w:rPr>
        <w:t xml:space="preserve">Eric Garner in Long Island, New York; </w:t>
      </w:r>
      <w:r w:rsidRPr="00D920C9">
        <w:rPr>
          <w:rFonts w:asciiTheme="minorHAnsi" w:hAnsiTheme="minorHAnsi"/>
          <w:szCs w:val="20"/>
        </w:rPr>
        <w:t>Michael Brown in Ferguson, Misso</w:t>
      </w:r>
      <w:r w:rsidR="00234C1F" w:rsidRPr="00D920C9">
        <w:rPr>
          <w:rFonts w:asciiTheme="minorHAnsi" w:hAnsiTheme="minorHAnsi"/>
          <w:szCs w:val="20"/>
        </w:rPr>
        <w:t>uri; Laquan McDonald in Chicago, Illinois</w:t>
      </w:r>
      <w:r w:rsidRPr="00D920C9">
        <w:rPr>
          <w:rFonts w:asciiTheme="minorHAnsi" w:hAnsiTheme="minorHAnsi"/>
          <w:szCs w:val="20"/>
        </w:rPr>
        <w:t xml:space="preserve">; Akai Gurley in Brooklyn, New York; Walter Scott in North Charleston, South Carolina; </w:t>
      </w:r>
      <w:proofErr w:type="spellStart"/>
      <w:r w:rsidRPr="00D920C9">
        <w:rPr>
          <w:rFonts w:asciiTheme="minorHAnsi" w:hAnsiTheme="minorHAnsi"/>
          <w:szCs w:val="20"/>
        </w:rPr>
        <w:t>Tamir</w:t>
      </w:r>
      <w:proofErr w:type="spellEnd"/>
      <w:r w:rsidRPr="00D920C9">
        <w:rPr>
          <w:rFonts w:asciiTheme="minorHAnsi" w:hAnsiTheme="minorHAnsi"/>
          <w:szCs w:val="20"/>
        </w:rPr>
        <w:t xml:space="preserve"> Rice in Cleveland, Ohio; Freddie Gray in Baltimore, Maryland; Sandra Bland in Waller County, Texas; </w:t>
      </w:r>
      <w:proofErr w:type="spellStart"/>
      <w:r w:rsidRPr="00D920C9">
        <w:rPr>
          <w:rFonts w:asciiTheme="minorHAnsi" w:hAnsiTheme="minorHAnsi"/>
          <w:szCs w:val="20"/>
        </w:rPr>
        <w:t>Philando</w:t>
      </w:r>
      <w:proofErr w:type="spellEnd"/>
      <w:r w:rsidRPr="00D920C9">
        <w:rPr>
          <w:rFonts w:asciiTheme="minorHAnsi" w:hAnsiTheme="minorHAnsi"/>
          <w:szCs w:val="20"/>
        </w:rPr>
        <w:t xml:space="preserve"> Castile in Minneapolis, Minnesota; Alton Sterling in New Orleans, Louisiana; Terence Crutcher in Tulsa, Oklahoma</w:t>
      </w:r>
      <w:r w:rsidR="00A4515B" w:rsidRPr="00D920C9">
        <w:rPr>
          <w:rFonts w:asciiTheme="minorHAnsi" w:hAnsiTheme="minorHAnsi"/>
          <w:szCs w:val="20"/>
        </w:rPr>
        <w:t>; and Stephon Clark in Sacramento, California</w:t>
      </w:r>
      <w:r w:rsidRPr="00D920C9">
        <w:rPr>
          <w:rFonts w:asciiTheme="minorHAnsi" w:hAnsiTheme="minorHAnsi"/>
          <w:szCs w:val="20"/>
        </w:rPr>
        <w:t>—among hundreds of others who remain uncounted to date by the federal government—have fueled public discussion, activism by grassroots groups like Black Lives Matter,</w:t>
      </w:r>
      <w:r w:rsidR="00EA1368" w:rsidRPr="00D920C9">
        <w:rPr>
          <w:rFonts w:asciiTheme="minorHAnsi" w:hAnsiTheme="minorHAnsi"/>
          <w:vertAlign w:val="superscript"/>
        </w:rPr>
        <w:footnoteReference w:id="112"/>
      </w:r>
      <w:r w:rsidRPr="00D920C9">
        <w:rPr>
          <w:rFonts w:asciiTheme="minorHAnsi" w:hAnsiTheme="minorHAnsi"/>
          <w:szCs w:val="20"/>
        </w:rPr>
        <w:t xml:space="preserve"> federal investigations of police departments, repeated public protests across the country, and ongoing institutional reform</w:t>
      </w:r>
      <w:r w:rsidR="00A4515B" w:rsidRPr="00D920C9">
        <w:rPr>
          <w:rFonts w:asciiTheme="minorHAnsi" w:hAnsiTheme="minorHAnsi"/>
          <w:szCs w:val="20"/>
        </w:rPr>
        <w:t xml:space="preserve"> efforts</w:t>
      </w:r>
      <w:r w:rsidRPr="00D920C9">
        <w:rPr>
          <w:rFonts w:asciiTheme="minorHAnsi" w:hAnsiTheme="minorHAnsi"/>
          <w:szCs w:val="20"/>
        </w:rPr>
        <w:t xml:space="preserve">. The </w:t>
      </w:r>
      <w:r w:rsidR="00A4515B" w:rsidRPr="00D920C9">
        <w:rPr>
          <w:rFonts w:asciiTheme="minorHAnsi" w:hAnsiTheme="minorHAnsi"/>
          <w:szCs w:val="20"/>
        </w:rPr>
        <w:t>IACHR</w:t>
      </w:r>
      <w:r w:rsidRPr="00D920C9">
        <w:rPr>
          <w:rFonts w:asciiTheme="minorHAnsi" w:hAnsiTheme="minorHAnsi"/>
          <w:szCs w:val="20"/>
        </w:rPr>
        <w:t xml:space="preserve"> has reiterated since 2014 that these killings represent “a disturbing pattern of excessive force on the part of police officers towards African</w:t>
      </w:r>
      <w:r w:rsidR="0030356C" w:rsidRPr="00D920C9">
        <w:rPr>
          <w:rFonts w:asciiTheme="minorHAnsi" w:hAnsiTheme="minorHAnsi"/>
          <w:szCs w:val="20"/>
        </w:rPr>
        <w:t xml:space="preserve"> </w:t>
      </w:r>
      <w:r w:rsidRPr="00D920C9">
        <w:rPr>
          <w:rFonts w:asciiTheme="minorHAnsi" w:hAnsiTheme="minorHAnsi"/>
          <w:szCs w:val="20"/>
        </w:rPr>
        <w:t xml:space="preserve">Americans and other persons of color,” and has urged the State to evaluate </w:t>
      </w:r>
      <w:r w:rsidR="00A4515B" w:rsidRPr="00D920C9">
        <w:rPr>
          <w:rFonts w:asciiTheme="minorHAnsi" w:hAnsiTheme="minorHAnsi"/>
          <w:szCs w:val="20"/>
        </w:rPr>
        <w:t>an apparent</w:t>
      </w:r>
      <w:r w:rsidRPr="00D920C9">
        <w:rPr>
          <w:rFonts w:asciiTheme="minorHAnsi" w:hAnsiTheme="minorHAnsi"/>
          <w:szCs w:val="20"/>
        </w:rPr>
        <w:t xml:space="preserve"> pattern of use of excessive force against persons of color.</w:t>
      </w:r>
      <w:r w:rsidRPr="00D920C9">
        <w:rPr>
          <w:rFonts w:asciiTheme="minorHAnsi" w:hAnsiTheme="minorHAnsi"/>
          <w:vertAlign w:val="superscript"/>
        </w:rPr>
        <w:footnoteReference w:id="113"/>
      </w:r>
    </w:p>
    <w:p w14:paraId="11DCB198"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lastRenderedPageBreak/>
        <w:t>This section explores police excessive use of force against African</w:t>
      </w:r>
      <w:r w:rsidR="0030356C" w:rsidRPr="00D920C9">
        <w:rPr>
          <w:rFonts w:asciiTheme="minorHAnsi" w:hAnsiTheme="minorHAnsi"/>
          <w:szCs w:val="20"/>
        </w:rPr>
        <w:t xml:space="preserve"> </w:t>
      </w:r>
      <w:r w:rsidRPr="00D920C9">
        <w:rPr>
          <w:rFonts w:asciiTheme="minorHAnsi" w:hAnsiTheme="minorHAnsi"/>
          <w:szCs w:val="20"/>
        </w:rPr>
        <w:t xml:space="preserve">Americans and other </w:t>
      </w:r>
      <w:r w:rsidR="00404C93" w:rsidRPr="00D920C9">
        <w:rPr>
          <w:rFonts w:asciiTheme="minorHAnsi" w:hAnsiTheme="minorHAnsi"/>
          <w:szCs w:val="20"/>
        </w:rPr>
        <w:t>historically marginalized groups</w:t>
      </w:r>
      <w:r w:rsidRPr="00D920C9">
        <w:rPr>
          <w:rFonts w:asciiTheme="minorHAnsi" w:hAnsiTheme="minorHAnsi"/>
          <w:szCs w:val="20"/>
        </w:rPr>
        <w:t xml:space="preserve">, </w:t>
      </w:r>
      <w:r w:rsidR="001F60B3" w:rsidRPr="00D920C9">
        <w:rPr>
          <w:rFonts w:asciiTheme="minorHAnsi" w:hAnsiTheme="minorHAnsi"/>
          <w:szCs w:val="20"/>
        </w:rPr>
        <w:t>as well as</w:t>
      </w:r>
      <w:r w:rsidRPr="00D920C9">
        <w:rPr>
          <w:rFonts w:asciiTheme="minorHAnsi" w:hAnsiTheme="minorHAnsi"/>
          <w:szCs w:val="20"/>
        </w:rPr>
        <w:t xml:space="preserve"> related issues of police bias and discrimination in policing, suppression of protests, and a continuing pattern of impunity in cases of excessive use of force</w:t>
      </w:r>
      <w:r w:rsidR="001E466F" w:rsidRPr="00D920C9">
        <w:rPr>
          <w:rFonts w:asciiTheme="minorHAnsi" w:hAnsiTheme="minorHAnsi"/>
          <w:szCs w:val="20"/>
        </w:rPr>
        <w:t xml:space="preserve"> by police</w:t>
      </w:r>
      <w:r w:rsidRPr="00D920C9">
        <w:rPr>
          <w:rFonts w:asciiTheme="minorHAnsi" w:hAnsiTheme="minorHAnsi"/>
          <w:szCs w:val="20"/>
        </w:rPr>
        <w:t xml:space="preserve">. </w:t>
      </w:r>
      <w:r w:rsidR="00874C45" w:rsidRPr="00D920C9">
        <w:rPr>
          <w:rFonts w:asciiTheme="minorHAnsi" w:hAnsiTheme="minorHAnsi"/>
          <w:szCs w:val="20"/>
        </w:rPr>
        <w:t>T</w:t>
      </w:r>
      <w:r w:rsidRPr="00D920C9">
        <w:rPr>
          <w:rFonts w:asciiTheme="minorHAnsi" w:hAnsiTheme="minorHAnsi"/>
          <w:szCs w:val="20"/>
        </w:rPr>
        <w:t xml:space="preserve">he </w:t>
      </w:r>
      <w:proofErr w:type="spellStart"/>
      <w:r w:rsidRPr="00D920C9">
        <w:rPr>
          <w:rFonts w:asciiTheme="minorHAnsi" w:hAnsiTheme="minorHAnsi"/>
          <w:szCs w:val="20"/>
        </w:rPr>
        <w:t>Commissi</w:t>
      </w:r>
      <w:proofErr w:type="spellEnd"/>
      <w:r w:rsidRPr="00D920C9">
        <w:rPr>
          <w:rFonts w:asciiTheme="minorHAnsi" w:hAnsiTheme="minorHAnsi" w:cs="Arial"/>
          <w:szCs w:val="20"/>
          <w:lang w:val="en"/>
        </w:rPr>
        <w:t xml:space="preserve">on </w:t>
      </w:r>
      <w:r w:rsidR="00874C45" w:rsidRPr="00D920C9">
        <w:rPr>
          <w:rFonts w:asciiTheme="minorHAnsi" w:hAnsiTheme="minorHAnsi" w:cs="Arial"/>
          <w:szCs w:val="20"/>
          <w:lang w:val="en"/>
        </w:rPr>
        <w:t>has previously noted that</w:t>
      </w:r>
      <w:r w:rsidRPr="00D920C9">
        <w:rPr>
          <w:rFonts w:asciiTheme="minorHAnsi" w:hAnsiTheme="minorHAnsi" w:cs="Arial"/>
          <w:szCs w:val="20"/>
          <w:lang w:val="en"/>
        </w:rPr>
        <w:t xml:space="preserve"> "</w:t>
      </w:r>
      <w:r w:rsidR="00874C45" w:rsidRPr="00D920C9">
        <w:rPr>
          <w:rFonts w:asciiTheme="minorHAnsi" w:hAnsiTheme="minorHAnsi" w:cs="Arial"/>
          <w:szCs w:val="20"/>
          <w:lang w:val="en"/>
        </w:rPr>
        <w:t>[...]</w:t>
      </w:r>
      <w:r w:rsidRPr="00D920C9">
        <w:rPr>
          <w:rFonts w:asciiTheme="minorHAnsi" w:hAnsiTheme="minorHAnsi" w:cs="Arial"/>
          <w:szCs w:val="20"/>
          <w:lang w:val="en"/>
        </w:rPr>
        <w:t xml:space="preserve"> the main concerns related to excessive or arbitrary use of force </w:t>
      </w:r>
      <w:r w:rsidR="00874C45" w:rsidRPr="00D920C9">
        <w:rPr>
          <w:rFonts w:asciiTheme="minorHAnsi" w:hAnsiTheme="minorHAnsi" w:cs="Arial"/>
          <w:szCs w:val="20"/>
          <w:lang w:val="en"/>
        </w:rPr>
        <w:t>are</w:t>
      </w:r>
      <w:r w:rsidRPr="00D920C9">
        <w:rPr>
          <w:rFonts w:asciiTheme="minorHAnsi" w:hAnsiTheme="minorHAnsi" w:cs="Arial"/>
          <w:szCs w:val="20"/>
          <w:lang w:val="en"/>
        </w:rPr>
        <w:t xml:space="preserve"> focused on militarization of </w:t>
      </w:r>
      <w:r w:rsidR="00A4515B" w:rsidRPr="00D920C9">
        <w:rPr>
          <w:rFonts w:asciiTheme="minorHAnsi" w:hAnsiTheme="minorHAnsi" w:cs="Arial"/>
          <w:szCs w:val="20"/>
          <w:lang w:val="en"/>
        </w:rPr>
        <w:t>[]</w:t>
      </w:r>
      <w:r w:rsidRPr="00D920C9">
        <w:rPr>
          <w:rFonts w:asciiTheme="minorHAnsi" w:hAnsiTheme="minorHAnsi" w:cs="Arial"/>
          <w:szCs w:val="20"/>
          <w:lang w:val="en"/>
        </w:rPr>
        <w:t xml:space="preserve"> police </w:t>
      </w:r>
      <w:r w:rsidR="00A4515B" w:rsidRPr="00D920C9">
        <w:rPr>
          <w:rFonts w:asciiTheme="minorHAnsi" w:hAnsiTheme="minorHAnsi" w:cs="Arial"/>
          <w:szCs w:val="20"/>
          <w:lang w:val="en"/>
        </w:rPr>
        <w:t>[</w:t>
      </w:r>
      <w:r w:rsidRPr="00D920C9">
        <w:rPr>
          <w:rFonts w:asciiTheme="minorHAnsi" w:hAnsiTheme="minorHAnsi" w:cs="Arial"/>
          <w:szCs w:val="20"/>
          <w:lang w:val="en"/>
        </w:rPr>
        <w:t>equipment</w:t>
      </w:r>
      <w:r w:rsidR="00A4515B" w:rsidRPr="00D920C9">
        <w:rPr>
          <w:rFonts w:asciiTheme="minorHAnsi" w:hAnsiTheme="minorHAnsi" w:cs="Arial"/>
          <w:szCs w:val="20"/>
          <w:lang w:val="en"/>
        </w:rPr>
        <w:t>]</w:t>
      </w:r>
      <w:r w:rsidRPr="00D920C9">
        <w:rPr>
          <w:rFonts w:asciiTheme="minorHAnsi" w:hAnsiTheme="minorHAnsi" w:cs="Arial"/>
          <w:szCs w:val="20"/>
          <w:lang w:val="en"/>
        </w:rPr>
        <w:t>, the type of training they receive, the action protocols they use, and the difficulty with which police officers who are guilty of abuse or excessive use of force are held criminally liable and prosecuted."</w:t>
      </w:r>
      <w:r w:rsidRPr="00D920C9">
        <w:rPr>
          <w:rFonts w:asciiTheme="minorHAnsi" w:hAnsiTheme="minorHAnsi" w:cs="Arial"/>
          <w:szCs w:val="20"/>
          <w:vertAlign w:val="superscript"/>
          <w:lang w:val="en"/>
        </w:rPr>
        <w:footnoteReference w:id="114"/>
      </w:r>
    </w:p>
    <w:p w14:paraId="5A95DB79" w14:textId="77777777" w:rsidR="00B4412C" w:rsidRPr="00D920C9" w:rsidRDefault="00B4412C" w:rsidP="003D7958">
      <w:pPr>
        <w:pStyle w:val="Heading4"/>
        <w:ind w:left="540" w:hanging="540"/>
      </w:pPr>
      <w:bookmarkStart w:id="54" w:name="_Toc511837810"/>
      <w:bookmarkStart w:id="55" w:name="_Toc511902983"/>
      <w:bookmarkStart w:id="56" w:name="_Toc517687913"/>
      <w:r w:rsidRPr="00D920C9">
        <w:t>Over</w:t>
      </w:r>
      <w:r w:rsidR="003A6467" w:rsidRPr="00D920C9">
        <w:t>-</w:t>
      </w:r>
      <w:r w:rsidR="005E5723" w:rsidRPr="00D920C9">
        <w:t xml:space="preserve">Policing </w:t>
      </w:r>
      <w:r w:rsidR="003A6467" w:rsidRPr="00D920C9">
        <w:t xml:space="preserve">and </w:t>
      </w:r>
      <w:r w:rsidR="005E5723" w:rsidRPr="00D920C9">
        <w:t xml:space="preserve">Racial Profiling </w:t>
      </w:r>
      <w:r w:rsidR="003A6467" w:rsidRPr="00D920C9">
        <w:t>of African Americans</w:t>
      </w:r>
      <w:bookmarkEnd w:id="54"/>
      <w:bookmarkEnd w:id="55"/>
      <w:bookmarkEnd w:id="56"/>
    </w:p>
    <w:p w14:paraId="4211A732" w14:textId="77777777" w:rsidR="001767CD" w:rsidRPr="00D920C9" w:rsidRDefault="001767CD" w:rsidP="002C64F8">
      <w:pPr>
        <w:pStyle w:val="ListParagraph"/>
        <w:numPr>
          <w:ilvl w:val="0"/>
          <w:numId w:val="9"/>
        </w:numPr>
        <w:spacing w:after="240" w:line="240" w:lineRule="auto"/>
        <w:ind w:left="547" w:hanging="547"/>
        <w:contextualSpacing w:val="0"/>
        <w:jc w:val="both"/>
        <w:rPr>
          <w:rFonts w:asciiTheme="minorHAnsi" w:eastAsia="Times New Roman" w:hAnsiTheme="minorHAnsi"/>
          <w:szCs w:val="20"/>
          <w:lang w:eastAsia="es-ES"/>
        </w:rPr>
      </w:pPr>
      <w:bookmarkStart w:id="57" w:name="_Ref507597137"/>
      <w:r w:rsidRPr="00D920C9">
        <w:rPr>
          <w:rFonts w:asciiTheme="minorHAnsi" w:eastAsia="Times New Roman" w:hAnsiTheme="minorHAnsi"/>
          <w:szCs w:val="20"/>
          <w:lang w:eastAsia="es-ES"/>
        </w:rPr>
        <w:t xml:space="preserve">The Inter-American Commission has received substantial information on policies implemented by police departments in </w:t>
      </w:r>
      <w:r w:rsidR="00A4515B" w:rsidRPr="00D920C9">
        <w:rPr>
          <w:rFonts w:asciiTheme="minorHAnsi" w:hAnsiTheme="minorHAnsi"/>
          <w:szCs w:val="20"/>
        </w:rPr>
        <w:t>municipalities</w:t>
      </w:r>
      <w:r w:rsidRPr="00D920C9">
        <w:rPr>
          <w:rFonts w:asciiTheme="minorHAnsi" w:eastAsia="Times New Roman" w:hAnsiTheme="minorHAnsi"/>
          <w:szCs w:val="20"/>
          <w:lang w:eastAsia="es-ES"/>
        </w:rPr>
        <w:t xml:space="preserve"> across the </w:t>
      </w:r>
      <w:r w:rsidR="0068010D" w:rsidRPr="00D920C9">
        <w:rPr>
          <w:rFonts w:asciiTheme="minorHAnsi" w:eastAsia="Times New Roman" w:hAnsiTheme="minorHAnsi"/>
          <w:szCs w:val="20"/>
          <w:lang w:eastAsia="es-ES"/>
        </w:rPr>
        <w:t>U.S.</w:t>
      </w:r>
      <w:r w:rsidRPr="00D920C9">
        <w:rPr>
          <w:rFonts w:asciiTheme="minorHAnsi" w:eastAsia="Times New Roman" w:hAnsiTheme="minorHAnsi"/>
          <w:szCs w:val="20"/>
          <w:lang w:eastAsia="es-ES"/>
        </w:rPr>
        <w:t xml:space="preserve"> that encourage over-policing of African</w:t>
      </w:r>
      <w:r w:rsidR="0030356C" w:rsidRPr="00D920C9">
        <w:rPr>
          <w:rFonts w:asciiTheme="minorHAnsi" w:eastAsia="Times New Roman" w:hAnsiTheme="minorHAnsi"/>
          <w:szCs w:val="20"/>
          <w:lang w:eastAsia="es-ES"/>
        </w:rPr>
        <w:t xml:space="preserve"> </w:t>
      </w:r>
      <w:r w:rsidRPr="00D920C9">
        <w:rPr>
          <w:rFonts w:asciiTheme="minorHAnsi" w:eastAsia="Times New Roman" w:hAnsiTheme="minorHAnsi"/>
          <w:szCs w:val="20"/>
          <w:lang w:eastAsia="es-ES"/>
        </w:rPr>
        <w:t xml:space="preserve">Americans and other </w:t>
      </w:r>
      <w:r w:rsidR="00404C93" w:rsidRPr="00D920C9">
        <w:rPr>
          <w:rFonts w:asciiTheme="minorHAnsi" w:eastAsia="Times New Roman" w:hAnsiTheme="minorHAnsi"/>
          <w:szCs w:val="20"/>
          <w:lang w:eastAsia="es-ES"/>
        </w:rPr>
        <w:t>historically marginalized groups</w:t>
      </w:r>
      <w:r w:rsidRPr="00D920C9">
        <w:rPr>
          <w:rFonts w:asciiTheme="minorHAnsi" w:eastAsia="Times New Roman" w:hAnsiTheme="minorHAnsi"/>
          <w:szCs w:val="20"/>
          <w:lang w:eastAsia="es-ES"/>
        </w:rPr>
        <w:t>, and enable or encourage racial profiling against these communities. In this section, the Commission considers the impact of “Broken Windows”-type policies,</w:t>
      </w:r>
      <w:r w:rsidR="00553DB1" w:rsidRPr="00D920C9">
        <w:rPr>
          <w:rStyle w:val="FootnoteReference"/>
          <w:rFonts w:asciiTheme="minorHAnsi" w:eastAsia="Times New Roman" w:hAnsiTheme="minorHAnsi"/>
          <w:szCs w:val="20"/>
          <w:lang w:eastAsia="es-ES"/>
        </w:rPr>
        <w:footnoteReference w:id="115"/>
      </w:r>
      <w:r w:rsidRPr="00D920C9">
        <w:rPr>
          <w:rFonts w:asciiTheme="minorHAnsi" w:eastAsia="Times New Roman" w:hAnsiTheme="minorHAnsi"/>
          <w:szCs w:val="20"/>
          <w:lang w:eastAsia="es-ES"/>
        </w:rPr>
        <w:t xml:space="preserve"> including New York City’s</w:t>
      </w:r>
      <w:r w:rsidR="00A4515B" w:rsidRPr="00D920C9">
        <w:rPr>
          <w:rFonts w:asciiTheme="minorHAnsi" w:eastAsia="Times New Roman" w:hAnsiTheme="minorHAnsi"/>
          <w:szCs w:val="20"/>
          <w:lang w:eastAsia="es-ES"/>
        </w:rPr>
        <w:t xml:space="preserve"> notorious</w:t>
      </w:r>
      <w:r w:rsidRPr="00D920C9">
        <w:rPr>
          <w:rFonts w:asciiTheme="minorHAnsi" w:eastAsia="Times New Roman" w:hAnsiTheme="minorHAnsi"/>
          <w:szCs w:val="20"/>
          <w:lang w:eastAsia="es-ES"/>
        </w:rPr>
        <w:t xml:space="preserve"> “Stop and Frisk” program, as well as police practices that encourage the over-criminalization of poor African</w:t>
      </w:r>
      <w:r w:rsidR="0030356C" w:rsidRPr="00D920C9">
        <w:rPr>
          <w:rFonts w:asciiTheme="minorHAnsi" w:eastAsia="Times New Roman" w:hAnsiTheme="minorHAnsi"/>
          <w:szCs w:val="20"/>
          <w:lang w:eastAsia="es-ES"/>
        </w:rPr>
        <w:t xml:space="preserve"> </w:t>
      </w:r>
      <w:r w:rsidRPr="00D920C9">
        <w:rPr>
          <w:rFonts w:asciiTheme="minorHAnsi" w:eastAsia="Times New Roman" w:hAnsiTheme="minorHAnsi"/>
          <w:szCs w:val="20"/>
          <w:lang w:eastAsia="es-ES"/>
        </w:rPr>
        <w:t xml:space="preserve">American communities and other </w:t>
      </w:r>
      <w:r w:rsidR="00404C93" w:rsidRPr="00D920C9">
        <w:rPr>
          <w:rFonts w:asciiTheme="minorHAnsi" w:eastAsia="Times New Roman" w:hAnsiTheme="minorHAnsi"/>
          <w:szCs w:val="20"/>
          <w:lang w:eastAsia="es-ES"/>
        </w:rPr>
        <w:t>historically marginalized groups</w:t>
      </w:r>
      <w:r w:rsidRPr="00D920C9">
        <w:rPr>
          <w:rFonts w:asciiTheme="minorHAnsi" w:eastAsia="Times New Roman" w:hAnsiTheme="minorHAnsi"/>
          <w:szCs w:val="20"/>
          <w:lang w:eastAsia="es-ES"/>
        </w:rPr>
        <w:t xml:space="preserve">, like </w:t>
      </w:r>
      <w:r w:rsidR="002032D3" w:rsidRPr="00D920C9">
        <w:rPr>
          <w:rFonts w:asciiTheme="minorHAnsi" w:eastAsia="Times New Roman" w:hAnsiTheme="minorHAnsi"/>
          <w:szCs w:val="20"/>
          <w:lang w:eastAsia="es-ES"/>
        </w:rPr>
        <w:t>the pattern</w:t>
      </w:r>
      <w:r w:rsidRPr="00D920C9">
        <w:rPr>
          <w:rFonts w:asciiTheme="minorHAnsi" w:eastAsia="Times New Roman" w:hAnsiTheme="minorHAnsi"/>
          <w:szCs w:val="20"/>
          <w:lang w:eastAsia="es-ES"/>
        </w:rPr>
        <w:t xml:space="preserve"> </w:t>
      </w:r>
      <w:r w:rsidR="00B85243" w:rsidRPr="00D920C9">
        <w:rPr>
          <w:rFonts w:asciiTheme="minorHAnsi" w:eastAsia="Times New Roman" w:hAnsiTheme="minorHAnsi"/>
          <w:szCs w:val="20"/>
          <w:lang w:eastAsia="es-ES"/>
        </w:rPr>
        <w:t xml:space="preserve">of policing for profit </w:t>
      </w:r>
      <w:r w:rsidRPr="00D920C9">
        <w:rPr>
          <w:rFonts w:asciiTheme="minorHAnsi" w:eastAsia="Times New Roman" w:hAnsiTheme="minorHAnsi"/>
          <w:szCs w:val="20"/>
          <w:lang w:eastAsia="es-ES"/>
        </w:rPr>
        <w:t xml:space="preserve">established in the </w:t>
      </w:r>
      <w:r w:rsidR="0068010D" w:rsidRPr="00D920C9">
        <w:rPr>
          <w:rFonts w:asciiTheme="minorHAnsi" w:eastAsia="Times New Roman" w:hAnsiTheme="minorHAnsi"/>
          <w:szCs w:val="20"/>
          <w:lang w:eastAsia="es-ES"/>
        </w:rPr>
        <w:t>federal</w:t>
      </w:r>
      <w:r w:rsidR="00AE5038" w:rsidRPr="00D920C9">
        <w:rPr>
          <w:rFonts w:asciiTheme="minorHAnsi" w:eastAsia="Times New Roman" w:hAnsiTheme="minorHAnsi"/>
          <w:szCs w:val="20"/>
          <w:lang w:eastAsia="es-ES"/>
        </w:rPr>
        <w:t xml:space="preserve"> </w:t>
      </w:r>
      <w:r w:rsidRPr="00D920C9">
        <w:rPr>
          <w:rFonts w:asciiTheme="minorHAnsi" w:eastAsia="Times New Roman" w:hAnsiTheme="minorHAnsi"/>
          <w:szCs w:val="20"/>
          <w:lang w:eastAsia="es-ES"/>
        </w:rPr>
        <w:t>review of policing practices in Ferguson, Missouri.</w:t>
      </w:r>
      <w:bookmarkEnd w:id="57"/>
      <w:r w:rsidR="00B4412C" w:rsidRPr="00D920C9">
        <w:rPr>
          <w:rFonts w:asciiTheme="minorHAnsi" w:eastAsia="Times New Roman" w:hAnsiTheme="minorHAnsi"/>
          <w:szCs w:val="20"/>
          <w:lang w:eastAsia="es-ES"/>
        </w:rPr>
        <w:t xml:space="preserve"> </w:t>
      </w:r>
    </w:p>
    <w:p w14:paraId="3A47F4C4" w14:textId="77777777" w:rsidR="00691203" w:rsidRPr="00D920C9" w:rsidRDefault="001767CD" w:rsidP="002C64F8">
      <w:pPr>
        <w:pStyle w:val="ListParagraph"/>
        <w:numPr>
          <w:ilvl w:val="0"/>
          <w:numId w:val="9"/>
        </w:numPr>
        <w:spacing w:after="240" w:line="240" w:lineRule="auto"/>
        <w:ind w:left="547" w:hanging="547"/>
        <w:contextualSpacing w:val="0"/>
        <w:jc w:val="both"/>
        <w:rPr>
          <w:rFonts w:asciiTheme="minorHAnsi" w:eastAsia="Times New Roman" w:hAnsiTheme="minorHAnsi"/>
          <w:szCs w:val="20"/>
          <w:lang w:eastAsia="es-ES"/>
        </w:rPr>
      </w:pPr>
      <w:r w:rsidRPr="00D920C9">
        <w:rPr>
          <w:rFonts w:asciiTheme="minorHAnsi" w:eastAsia="Times New Roman" w:hAnsiTheme="minorHAnsi"/>
          <w:szCs w:val="20"/>
          <w:lang w:eastAsia="es-ES"/>
        </w:rPr>
        <w:t>T</w:t>
      </w:r>
      <w:r w:rsidR="003A6467" w:rsidRPr="00D920C9">
        <w:rPr>
          <w:rFonts w:asciiTheme="minorHAnsi" w:eastAsia="Times New Roman" w:hAnsiTheme="minorHAnsi"/>
          <w:szCs w:val="20"/>
          <w:lang w:eastAsia="es-ES"/>
        </w:rPr>
        <w:t xml:space="preserve">he Commission has </w:t>
      </w:r>
      <w:r w:rsidR="003A6467" w:rsidRPr="00D920C9">
        <w:rPr>
          <w:rFonts w:asciiTheme="minorHAnsi" w:hAnsiTheme="minorHAnsi"/>
          <w:szCs w:val="20"/>
        </w:rPr>
        <w:t>previously</w:t>
      </w:r>
      <w:r w:rsidR="003A6467" w:rsidRPr="00D920C9">
        <w:rPr>
          <w:rFonts w:asciiTheme="minorHAnsi" w:eastAsia="Times New Roman" w:hAnsiTheme="minorHAnsi"/>
          <w:szCs w:val="20"/>
          <w:lang w:eastAsia="es-ES"/>
        </w:rPr>
        <w:t xml:space="preserve"> defined racial profiling as</w:t>
      </w:r>
      <w:r w:rsidR="00D86045" w:rsidRPr="00D920C9">
        <w:rPr>
          <w:rFonts w:asciiTheme="minorHAnsi" w:eastAsia="Times New Roman" w:hAnsiTheme="minorHAnsi"/>
          <w:szCs w:val="20"/>
          <w:lang w:eastAsia="es-ES"/>
        </w:rPr>
        <w:t>:</w:t>
      </w:r>
      <w:r w:rsidR="003A6467" w:rsidRPr="00D920C9">
        <w:rPr>
          <w:rFonts w:asciiTheme="minorHAnsi" w:eastAsia="Times New Roman" w:hAnsiTheme="minorHAnsi"/>
          <w:szCs w:val="20"/>
          <w:lang w:eastAsia="es-ES"/>
        </w:rPr>
        <w:t xml:space="preserve"> </w:t>
      </w:r>
    </w:p>
    <w:p w14:paraId="7585E79B" w14:textId="77777777" w:rsidR="00691203" w:rsidRPr="00D920C9" w:rsidRDefault="003A6467" w:rsidP="001167CB">
      <w:pPr>
        <w:pStyle w:val="ListParagraph"/>
        <w:spacing w:after="240" w:line="240" w:lineRule="auto"/>
        <w:ind w:left="1166" w:right="619"/>
        <w:contextualSpacing w:val="0"/>
        <w:jc w:val="both"/>
        <w:rPr>
          <w:rFonts w:asciiTheme="minorHAnsi" w:eastAsia="Times New Roman" w:hAnsiTheme="minorHAnsi"/>
          <w:szCs w:val="18"/>
          <w:lang w:eastAsia="es-ES"/>
        </w:rPr>
      </w:pPr>
      <w:r w:rsidRPr="00D920C9">
        <w:rPr>
          <w:rFonts w:asciiTheme="minorHAnsi" w:eastAsia="Times New Roman" w:hAnsiTheme="minorHAnsi"/>
          <w:szCs w:val="18"/>
          <w:lang w:eastAsia="es-ES"/>
        </w:rPr>
        <w:t xml:space="preserve">a tactic adopted for supposed reasons of public safety and protection </w:t>
      </w:r>
      <w:r w:rsidR="00691203" w:rsidRPr="00D920C9">
        <w:rPr>
          <w:rFonts w:asciiTheme="minorHAnsi" w:eastAsia="Times New Roman" w:hAnsiTheme="minorHAnsi"/>
          <w:szCs w:val="18"/>
          <w:lang w:eastAsia="es-ES"/>
        </w:rPr>
        <w:t>[...]</w:t>
      </w:r>
      <w:r w:rsidRPr="00D920C9">
        <w:rPr>
          <w:rFonts w:asciiTheme="minorHAnsi" w:eastAsia="Times New Roman" w:hAnsiTheme="minorHAnsi"/>
          <w:szCs w:val="18"/>
          <w:lang w:eastAsia="es-ES"/>
        </w:rPr>
        <w:t xml:space="preserve"> motivated by stereotypes based on race, color, ethnicity, language, descent, religion, nationality, place of birth, or a combination of these factors, rather than on objective suspicions, </w:t>
      </w:r>
      <w:r w:rsidR="00691203" w:rsidRPr="00D920C9">
        <w:rPr>
          <w:rFonts w:asciiTheme="minorHAnsi" w:eastAsia="Times New Roman" w:hAnsiTheme="minorHAnsi"/>
          <w:szCs w:val="18"/>
          <w:lang w:eastAsia="es-ES"/>
        </w:rPr>
        <w:t>[which]</w:t>
      </w:r>
      <w:r w:rsidRPr="00D920C9">
        <w:rPr>
          <w:rFonts w:asciiTheme="minorHAnsi" w:eastAsia="Times New Roman" w:hAnsiTheme="minorHAnsi"/>
          <w:szCs w:val="18"/>
          <w:lang w:eastAsia="es-ES"/>
        </w:rPr>
        <w:t xml:space="preserve"> tends to single out individuals or groups in a discriminatory way based on the erroneous assumption that people with such characteristics are prone to engage in specific types of crimes.</w:t>
      </w:r>
      <w:r w:rsidRPr="00D920C9">
        <w:rPr>
          <w:rStyle w:val="FootnoteReference"/>
          <w:rFonts w:asciiTheme="minorHAnsi" w:eastAsia="Times New Roman" w:hAnsiTheme="minorHAnsi"/>
          <w:szCs w:val="18"/>
          <w:lang w:eastAsia="es-ES"/>
        </w:rPr>
        <w:footnoteReference w:id="116"/>
      </w:r>
      <w:r w:rsidRPr="00D920C9">
        <w:rPr>
          <w:rFonts w:asciiTheme="minorHAnsi" w:eastAsia="Times New Roman" w:hAnsiTheme="minorHAnsi"/>
          <w:szCs w:val="18"/>
          <w:lang w:eastAsia="es-ES"/>
        </w:rPr>
        <w:t xml:space="preserve"> </w:t>
      </w:r>
    </w:p>
    <w:p w14:paraId="2D130E6F" w14:textId="77777777" w:rsidR="00416B45" w:rsidRPr="00D920C9" w:rsidRDefault="003A6467"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eastAsia="Times New Roman" w:hAnsiTheme="minorHAnsi"/>
          <w:szCs w:val="20"/>
          <w:lang w:eastAsia="es-ES"/>
        </w:rPr>
        <w:t>This definition</w:t>
      </w:r>
      <w:r w:rsidR="00A4515B" w:rsidRPr="00D920C9">
        <w:rPr>
          <w:rFonts w:asciiTheme="minorHAnsi" w:eastAsia="Times New Roman" w:hAnsiTheme="minorHAnsi"/>
          <w:szCs w:val="20"/>
          <w:lang w:eastAsia="es-ES"/>
        </w:rPr>
        <w:t xml:space="preserve"> </w:t>
      </w:r>
      <w:r w:rsidRPr="00D920C9">
        <w:rPr>
          <w:rFonts w:asciiTheme="minorHAnsi" w:eastAsia="Times New Roman" w:hAnsiTheme="minorHAnsi"/>
          <w:szCs w:val="20"/>
          <w:lang w:eastAsia="es-ES"/>
        </w:rPr>
        <w:t xml:space="preserve">does not </w:t>
      </w:r>
      <w:r w:rsidR="00A4515B" w:rsidRPr="00D920C9">
        <w:rPr>
          <w:rFonts w:asciiTheme="minorHAnsi" w:eastAsia="Times New Roman" w:hAnsiTheme="minorHAnsi"/>
          <w:szCs w:val="20"/>
          <w:lang w:eastAsia="es-ES"/>
        </w:rPr>
        <w:t>require</w:t>
      </w:r>
      <w:r w:rsidRPr="00D920C9">
        <w:rPr>
          <w:rFonts w:asciiTheme="minorHAnsi" w:eastAsia="Times New Roman" w:hAnsiTheme="minorHAnsi"/>
          <w:szCs w:val="20"/>
          <w:lang w:eastAsia="es-ES"/>
        </w:rPr>
        <w:t xml:space="preserve"> </w:t>
      </w:r>
      <w:r w:rsidR="00A4515B" w:rsidRPr="00D920C9">
        <w:rPr>
          <w:rFonts w:asciiTheme="minorHAnsi" w:eastAsia="Times New Roman" w:hAnsiTheme="minorHAnsi"/>
          <w:szCs w:val="20"/>
          <w:lang w:eastAsia="es-ES"/>
        </w:rPr>
        <w:t>an</w:t>
      </w:r>
      <w:r w:rsidR="00691203" w:rsidRPr="00D920C9">
        <w:rPr>
          <w:rFonts w:asciiTheme="minorHAnsi" w:eastAsia="Times New Roman" w:hAnsiTheme="minorHAnsi"/>
          <w:szCs w:val="20"/>
          <w:lang w:eastAsia="es-ES"/>
        </w:rPr>
        <w:t xml:space="preserve"> explicit expression of</w:t>
      </w:r>
      <w:r w:rsidRPr="00D920C9">
        <w:rPr>
          <w:rFonts w:asciiTheme="minorHAnsi" w:eastAsia="Times New Roman" w:hAnsiTheme="minorHAnsi"/>
          <w:szCs w:val="20"/>
          <w:lang w:eastAsia="es-ES"/>
        </w:rPr>
        <w:t xml:space="preserve"> bias against a particular group, but may </w:t>
      </w:r>
      <w:r w:rsidR="00A4515B" w:rsidRPr="00D920C9">
        <w:rPr>
          <w:rFonts w:asciiTheme="minorHAnsi" w:eastAsia="Times New Roman" w:hAnsiTheme="minorHAnsi"/>
          <w:szCs w:val="20"/>
          <w:lang w:eastAsia="es-ES"/>
        </w:rPr>
        <w:t xml:space="preserve">be manifested </w:t>
      </w:r>
      <w:r w:rsidRPr="00D920C9">
        <w:rPr>
          <w:rFonts w:asciiTheme="minorHAnsi" w:eastAsia="Times New Roman" w:hAnsiTheme="minorHAnsi"/>
          <w:szCs w:val="20"/>
          <w:lang w:eastAsia="es-ES"/>
        </w:rPr>
        <w:t xml:space="preserve">in a </w:t>
      </w:r>
      <w:r w:rsidRPr="00D920C9">
        <w:rPr>
          <w:rFonts w:asciiTheme="minorHAnsi" w:hAnsiTheme="minorHAnsi"/>
          <w:szCs w:val="20"/>
        </w:rPr>
        <w:t>discriminatory pattern of enforcement.</w:t>
      </w:r>
      <w:r w:rsidR="00553DB1" w:rsidRPr="00D920C9">
        <w:rPr>
          <w:rFonts w:asciiTheme="minorHAnsi" w:hAnsiTheme="minorHAnsi"/>
          <w:vertAlign w:val="superscript"/>
        </w:rPr>
        <w:footnoteReference w:id="117"/>
      </w:r>
      <w:r w:rsidRPr="00D920C9">
        <w:rPr>
          <w:rFonts w:asciiTheme="minorHAnsi" w:hAnsiTheme="minorHAnsi"/>
          <w:szCs w:val="20"/>
        </w:rPr>
        <w:t xml:space="preserve"> The Commission has previously </w:t>
      </w:r>
      <w:r w:rsidR="002032D3" w:rsidRPr="00D920C9">
        <w:rPr>
          <w:rFonts w:asciiTheme="minorHAnsi" w:hAnsiTheme="minorHAnsi"/>
          <w:szCs w:val="20"/>
        </w:rPr>
        <w:t>affirmed</w:t>
      </w:r>
      <w:r w:rsidRPr="00D920C9">
        <w:rPr>
          <w:rFonts w:asciiTheme="minorHAnsi" w:hAnsiTheme="minorHAnsi"/>
          <w:szCs w:val="20"/>
        </w:rPr>
        <w:t xml:space="preserve"> that Afro-</w:t>
      </w:r>
      <w:r w:rsidRPr="00D920C9">
        <w:rPr>
          <w:rFonts w:asciiTheme="minorHAnsi" w:hAnsiTheme="minorHAnsi"/>
          <w:szCs w:val="20"/>
        </w:rPr>
        <w:lastRenderedPageBreak/>
        <w:t xml:space="preserve">descendants in the Americas are disproportionately likely to be suspected of committing crimes, pursued by </w:t>
      </w:r>
      <w:r w:rsidR="00A4515B" w:rsidRPr="00D920C9">
        <w:rPr>
          <w:rFonts w:asciiTheme="minorHAnsi" w:hAnsiTheme="minorHAnsi"/>
          <w:szCs w:val="20"/>
        </w:rPr>
        <w:t>police</w:t>
      </w:r>
      <w:r w:rsidRPr="00D920C9">
        <w:rPr>
          <w:rFonts w:asciiTheme="minorHAnsi" w:hAnsiTheme="minorHAnsi"/>
          <w:szCs w:val="20"/>
        </w:rPr>
        <w:t xml:space="preserve">, prosecuted, and convicted, </w:t>
      </w:r>
      <w:r w:rsidR="00A4515B" w:rsidRPr="00D920C9">
        <w:rPr>
          <w:rFonts w:asciiTheme="minorHAnsi" w:hAnsiTheme="minorHAnsi"/>
          <w:szCs w:val="20"/>
        </w:rPr>
        <w:t>as compared</w:t>
      </w:r>
      <w:r w:rsidRPr="00D920C9">
        <w:rPr>
          <w:rFonts w:asciiTheme="minorHAnsi" w:hAnsiTheme="minorHAnsi"/>
          <w:szCs w:val="20"/>
        </w:rPr>
        <w:t xml:space="preserve"> with the general population.</w:t>
      </w:r>
      <w:r w:rsidRPr="00D920C9">
        <w:rPr>
          <w:rFonts w:asciiTheme="minorHAnsi" w:hAnsiTheme="minorHAnsi"/>
          <w:szCs w:val="20"/>
          <w:vertAlign w:val="superscript"/>
        </w:rPr>
        <w:footnoteReference w:id="118"/>
      </w:r>
      <w:r w:rsidRPr="00D920C9">
        <w:rPr>
          <w:rFonts w:asciiTheme="minorHAnsi" w:hAnsiTheme="minorHAnsi"/>
          <w:szCs w:val="20"/>
        </w:rPr>
        <w:t xml:space="preserve"> </w:t>
      </w:r>
    </w:p>
    <w:p w14:paraId="4F1D8C2B" w14:textId="77777777" w:rsidR="003A6467" w:rsidRPr="00D920C9" w:rsidRDefault="003A6467"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This pattern holds true in the United States as a matter of explicit historical policy and current implicit and explicit practice. </w:t>
      </w:r>
      <w:r w:rsidR="00A4515B" w:rsidRPr="00D920C9">
        <w:rPr>
          <w:rFonts w:asciiTheme="minorHAnsi" w:hAnsiTheme="minorHAnsi"/>
          <w:szCs w:val="20"/>
        </w:rPr>
        <w:t>R</w:t>
      </w:r>
      <w:r w:rsidRPr="00D920C9">
        <w:rPr>
          <w:rFonts w:asciiTheme="minorHAnsi" w:hAnsiTheme="minorHAnsi"/>
          <w:szCs w:val="20"/>
        </w:rPr>
        <w:t>acial profiling has been a historic feature of policing in the U</w:t>
      </w:r>
      <w:r w:rsidR="00A4515B" w:rsidRPr="00D920C9">
        <w:rPr>
          <w:rFonts w:asciiTheme="minorHAnsi" w:hAnsiTheme="minorHAnsi"/>
          <w:szCs w:val="20"/>
        </w:rPr>
        <w:t>.</w:t>
      </w:r>
      <w:r w:rsidRPr="00D920C9">
        <w:rPr>
          <w:rFonts w:asciiTheme="minorHAnsi" w:hAnsiTheme="minorHAnsi"/>
          <w:szCs w:val="20"/>
        </w:rPr>
        <w:t>S</w:t>
      </w:r>
      <w:r w:rsidR="00A4515B" w:rsidRPr="00D920C9">
        <w:rPr>
          <w:rFonts w:asciiTheme="minorHAnsi" w:hAnsiTheme="minorHAnsi"/>
          <w:szCs w:val="20"/>
        </w:rPr>
        <w:t>.</w:t>
      </w:r>
      <w:r w:rsidRPr="00D920C9">
        <w:rPr>
          <w:rFonts w:asciiTheme="minorHAnsi" w:hAnsiTheme="minorHAnsi"/>
          <w:szCs w:val="20"/>
        </w:rPr>
        <w:t xml:space="preserve">, from the establishment of slave patrols to the selective criminalization and enforcement of “vagrancy” laws and similar crimes. </w:t>
      </w:r>
      <w:r w:rsidR="002032D3" w:rsidRPr="00D920C9">
        <w:rPr>
          <w:rFonts w:asciiTheme="minorHAnsi" w:hAnsiTheme="minorHAnsi"/>
          <w:szCs w:val="20"/>
        </w:rPr>
        <w:t>In 1968, t</w:t>
      </w:r>
      <w:r w:rsidR="000B416C" w:rsidRPr="00D920C9">
        <w:rPr>
          <w:rFonts w:asciiTheme="minorHAnsi" w:hAnsiTheme="minorHAnsi"/>
          <w:szCs w:val="20"/>
        </w:rPr>
        <w:t>he National Advisory Commission on Civil Disorder (“</w:t>
      </w:r>
      <w:proofErr w:type="spellStart"/>
      <w:r w:rsidR="000B416C" w:rsidRPr="00D920C9">
        <w:rPr>
          <w:rFonts w:asciiTheme="minorHAnsi" w:hAnsiTheme="minorHAnsi"/>
          <w:szCs w:val="20"/>
        </w:rPr>
        <w:t>Kerner</w:t>
      </w:r>
      <w:proofErr w:type="spellEnd"/>
      <w:r w:rsidR="000B416C" w:rsidRPr="00D920C9">
        <w:rPr>
          <w:rFonts w:asciiTheme="minorHAnsi" w:hAnsiTheme="minorHAnsi"/>
          <w:szCs w:val="20"/>
        </w:rPr>
        <w:t xml:space="preserve"> Commission”) established by President Johnson found that the national “atmosphere of hostility and cynicism is reinforced by a widespread belief among Negroes in the existence of police brutality and in a ‘double standard’ of justice and protection—one for Negroes and one for whites.”</w:t>
      </w:r>
      <w:r w:rsidR="000B416C" w:rsidRPr="00D920C9">
        <w:rPr>
          <w:rFonts w:asciiTheme="minorHAnsi" w:hAnsiTheme="minorHAnsi"/>
          <w:vertAlign w:val="superscript"/>
        </w:rPr>
        <w:footnoteReference w:id="119"/>
      </w:r>
      <w:r w:rsidR="000B416C" w:rsidRPr="00D920C9">
        <w:rPr>
          <w:rFonts w:asciiTheme="minorHAnsi" w:hAnsiTheme="minorHAnsi"/>
          <w:szCs w:val="20"/>
        </w:rPr>
        <w:t xml:space="preserve"> </w:t>
      </w:r>
      <w:r w:rsidRPr="00D920C9">
        <w:rPr>
          <w:rFonts w:asciiTheme="minorHAnsi" w:hAnsiTheme="minorHAnsi"/>
          <w:szCs w:val="20"/>
        </w:rPr>
        <w:t xml:space="preserve">In </w:t>
      </w:r>
      <w:r w:rsidR="002032D3" w:rsidRPr="00D920C9">
        <w:rPr>
          <w:rFonts w:asciiTheme="minorHAnsi" w:hAnsiTheme="minorHAnsi"/>
          <w:szCs w:val="20"/>
        </w:rPr>
        <w:t>recent decades</w:t>
      </w:r>
      <w:r w:rsidRPr="00D920C9">
        <w:rPr>
          <w:rFonts w:asciiTheme="minorHAnsi" w:hAnsiTheme="minorHAnsi"/>
          <w:szCs w:val="20"/>
        </w:rPr>
        <w:t>, racial profiling has been a feature of law enforcement policy within the framework of the “War on Drugs” and counter-terrorism/”homeland security” initiatives.</w:t>
      </w:r>
      <w:r w:rsidR="001B2BE6" w:rsidRPr="00D920C9">
        <w:rPr>
          <w:rFonts w:asciiTheme="minorHAnsi" w:hAnsiTheme="minorHAnsi"/>
          <w:vertAlign w:val="superscript"/>
        </w:rPr>
        <w:footnoteReference w:id="120"/>
      </w:r>
    </w:p>
    <w:p w14:paraId="3B973147" w14:textId="77777777" w:rsidR="001767CD" w:rsidRPr="00D920C9" w:rsidRDefault="00A87757"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Information received by the Commission indicates that African Americans and other </w:t>
      </w:r>
      <w:r w:rsidR="00404C93" w:rsidRPr="00D920C9">
        <w:rPr>
          <w:rFonts w:asciiTheme="minorHAnsi" w:hAnsiTheme="minorHAnsi"/>
          <w:szCs w:val="20"/>
        </w:rPr>
        <w:t>historically marginalized groups</w:t>
      </w:r>
      <w:r w:rsidRPr="00D920C9">
        <w:rPr>
          <w:rFonts w:asciiTheme="minorHAnsi" w:hAnsiTheme="minorHAnsi"/>
          <w:szCs w:val="20"/>
        </w:rPr>
        <w:t xml:space="preserve"> i</w:t>
      </w:r>
      <w:r w:rsidR="001767CD" w:rsidRPr="00D920C9">
        <w:rPr>
          <w:rFonts w:asciiTheme="minorHAnsi" w:hAnsiTheme="minorHAnsi"/>
          <w:szCs w:val="20"/>
        </w:rPr>
        <w:t xml:space="preserve">n the </w:t>
      </w:r>
      <w:r w:rsidR="001F60B3" w:rsidRPr="00D920C9">
        <w:rPr>
          <w:rFonts w:asciiTheme="minorHAnsi" w:hAnsiTheme="minorHAnsi"/>
          <w:szCs w:val="20"/>
        </w:rPr>
        <w:t>U.S.</w:t>
      </w:r>
      <w:r w:rsidR="001767CD" w:rsidRPr="00D920C9">
        <w:rPr>
          <w:rFonts w:asciiTheme="minorHAnsi" w:hAnsiTheme="minorHAnsi"/>
          <w:szCs w:val="20"/>
        </w:rPr>
        <w:t xml:space="preserve"> are </w:t>
      </w:r>
      <w:r w:rsidR="00404C93" w:rsidRPr="00D920C9">
        <w:rPr>
          <w:rFonts w:asciiTheme="minorHAnsi" w:hAnsiTheme="minorHAnsi"/>
          <w:szCs w:val="20"/>
        </w:rPr>
        <w:t xml:space="preserve">also </w:t>
      </w:r>
      <w:r w:rsidR="001767CD" w:rsidRPr="00D920C9">
        <w:rPr>
          <w:rFonts w:asciiTheme="minorHAnsi" w:hAnsiTheme="minorHAnsi"/>
          <w:szCs w:val="20"/>
        </w:rPr>
        <w:t>disproportionately subjected to policies of over-policing and law enforcement surveillance, including under “Broken Windows”-type policing, and under increased</w:t>
      </w:r>
      <w:r w:rsidR="00DE49F4" w:rsidRPr="00D920C9">
        <w:rPr>
          <w:rFonts w:asciiTheme="minorHAnsi" w:hAnsiTheme="minorHAnsi"/>
          <w:szCs w:val="20"/>
        </w:rPr>
        <w:t xml:space="preserve"> national security</w:t>
      </w:r>
      <w:r w:rsidR="001767CD" w:rsidRPr="00D920C9">
        <w:rPr>
          <w:rFonts w:asciiTheme="minorHAnsi" w:hAnsiTheme="minorHAnsi"/>
          <w:szCs w:val="20"/>
        </w:rPr>
        <w:t xml:space="preserve"> surveillance, particularly since 2001. “Broken Windows” </w:t>
      </w:r>
      <w:r w:rsidR="000B416C" w:rsidRPr="00D920C9">
        <w:rPr>
          <w:rFonts w:asciiTheme="minorHAnsi" w:hAnsiTheme="minorHAnsi"/>
          <w:szCs w:val="20"/>
        </w:rPr>
        <w:t xml:space="preserve">policies that prioritize the policing of low-level “quality of life” crimes </w:t>
      </w:r>
      <w:r w:rsidR="001767CD" w:rsidRPr="00D920C9">
        <w:rPr>
          <w:rFonts w:asciiTheme="minorHAnsi" w:hAnsiTheme="minorHAnsi"/>
          <w:szCs w:val="20"/>
        </w:rPr>
        <w:t>ha</w:t>
      </w:r>
      <w:r w:rsidR="000B416C" w:rsidRPr="00D920C9">
        <w:rPr>
          <w:rFonts w:asciiTheme="minorHAnsi" w:hAnsiTheme="minorHAnsi"/>
          <w:szCs w:val="20"/>
        </w:rPr>
        <w:t>ve</w:t>
      </w:r>
      <w:r w:rsidR="001767CD" w:rsidRPr="00D920C9">
        <w:rPr>
          <w:rFonts w:asciiTheme="minorHAnsi" w:hAnsiTheme="minorHAnsi"/>
          <w:szCs w:val="20"/>
        </w:rPr>
        <w:t xml:space="preserve"> been deployed predominantly against communities of color, resulting in the systematic criminalization of those communities.</w:t>
      </w:r>
      <w:r w:rsidR="001767CD" w:rsidRPr="00D920C9">
        <w:rPr>
          <w:rFonts w:asciiTheme="minorHAnsi" w:hAnsiTheme="minorHAnsi"/>
          <w:vertAlign w:val="superscript"/>
        </w:rPr>
        <w:footnoteReference w:id="121"/>
      </w:r>
    </w:p>
    <w:p w14:paraId="324A3A99" w14:textId="6A0FFD83" w:rsidR="008445C0" w:rsidRPr="00D920C9" w:rsidRDefault="008445C0" w:rsidP="002C64F8">
      <w:pPr>
        <w:pStyle w:val="ListParagraph"/>
        <w:numPr>
          <w:ilvl w:val="0"/>
          <w:numId w:val="9"/>
        </w:numPr>
        <w:spacing w:after="240" w:line="240" w:lineRule="auto"/>
        <w:ind w:left="547" w:hanging="547"/>
        <w:contextualSpacing w:val="0"/>
        <w:jc w:val="both"/>
        <w:rPr>
          <w:rFonts w:asciiTheme="minorHAnsi" w:eastAsia="Times New Roman" w:hAnsiTheme="minorHAnsi"/>
          <w:szCs w:val="20"/>
          <w:lang w:eastAsia="es-ES"/>
        </w:rPr>
      </w:pPr>
      <w:r w:rsidRPr="00D920C9">
        <w:rPr>
          <w:rFonts w:asciiTheme="minorHAnsi" w:hAnsiTheme="minorHAnsi"/>
          <w:szCs w:val="20"/>
        </w:rPr>
        <w:lastRenderedPageBreak/>
        <w:t>The Commission notes the apparent historical link between the heavy criminalization of smaller offenses and a focus on aggressive policing of certain neighborhoods in the present day, and historic practices of criminalizing “vagrancy” and similar petty crimes, which in practice lend themselves to inconsistent and raciall</w:t>
      </w:r>
      <w:r w:rsidRPr="00D920C9">
        <w:rPr>
          <w:rFonts w:asciiTheme="minorHAnsi" w:eastAsia="Times New Roman" w:hAnsiTheme="minorHAnsi"/>
          <w:szCs w:val="20"/>
        </w:rPr>
        <w:t>y biased enforcement.</w:t>
      </w:r>
      <w:r w:rsidRPr="00D920C9">
        <w:rPr>
          <w:rStyle w:val="FootnoteReference"/>
          <w:rFonts w:asciiTheme="minorHAnsi" w:eastAsia="Times New Roman" w:hAnsiTheme="minorHAnsi"/>
          <w:szCs w:val="20"/>
        </w:rPr>
        <w:footnoteReference w:id="122"/>
      </w:r>
      <w:r w:rsidRPr="00D920C9">
        <w:rPr>
          <w:rFonts w:asciiTheme="minorHAnsi" w:eastAsia="Times New Roman" w:hAnsiTheme="minorHAnsi"/>
          <w:szCs w:val="20"/>
        </w:rPr>
        <w:t xml:space="preserve"> Indeed, George </w:t>
      </w:r>
      <w:proofErr w:type="spellStart"/>
      <w:r w:rsidRPr="00D920C9">
        <w:rPr>
          <w:rFonts w:asciiTheme="minorHAnsi" w:eastAsia="Times New Roman" w:hAnsiTheme="minorHAnsi"/>
          <w:szCs w:val="20"/>
        </w:rPr>
        <w:t>Kelling</w:t>
      </w:r>
      <w:proofErr w:type="spellEnd"/>
      <w:r w:rsidRPr="00D920C9">
        <w:rPr>
          <w:rFonts w:asciiTheme="minorHAnsi" w:eastAsia="Times New Roman" w:hAnsiTheme="minorHAnsi"/>
          <w:szCs w:val="20"/>
        </w:rPr>
        <w:t xml:space="preserve">, one of the academics who originated the “Broken Windows” theory, has since commented on its troubling potential to encourage </w:t>
      </w:r>
      <w:r w:rsidR="000B416C" w:rsidRPr="00D920C9">
        <w:rPr>
          <w:rFonts w:asciiTheme="minorHAnsi" w:eastAsia="Times New Roman" w:hAnsiTheme="minorHAnsi"/>
          <w:szCs w:val="20"/>
        </w:rPr>
        <w:t>racial profiling and other expressions of bias in policing</w:t>
      </w:r>
      <w:r w:rsidRPr="00D920C9">
        <w:rPr>
          <w:rFonts w:asciiTheme="minorHAnsi" w:eastAsia="Times New Roman" w:hAnsiTheme="minorHAnsi"/>
          <w:szCs w:val="20"/>
        </w:rPr>
        <w:t>:</w:t>
      </w:r>
    </w:p>
    <w:p w14:paraId="64B6D632" w14:textId="77777777" w:rsidR="008445C0" w:rsidRPr="00D920C9" w:rsidRDefault="008445C0" w:rsidP="00E03D8F">
      <w:pPr>
        <w:pStyle w:val="ListParagraph"/>
        <w:spacing w:after="240" w:line="240" w:lineRule="auto"/>
        <w:ind w:left="1166" w:right="619"/>
        <w:contextualSpacing w:val="0"/>
        <w:jc w:val="both"/>
        <w:rPr>
          <w:rFonts w:asciiTheme="minorHAnsi" w:eastAsia="Times New Roman" w:hAnsiTheme="minorHAnsi"/>
          <w:szCs w:val="18"/>
          <w:lang w:eastAsia="es-ES"/>
        </w:rPr>
      </w:pPr>
      <w:r w:rsidRPr="00D920C9">
        <w:rPr>
          <w:rFonts w:asciiTheme="minorHAnsi" w:eastAsia="Times New Roman" w:hAnsiTheme="minorHAnsi"/>
          <w:szCs w:val="18"/>
        </w:rPr>
        <w:t xml:space="preserve">You’re just asking for a whole lot of trouble [...] Any officer who really wants to do order maintenance has to be able to answer satisfactorily </w:t>
      </w:r>
      <w:r w:rsidR="002F3199" w:rsidRPr="00D920C9">
        <w:rPr>
          <w:rFonts w:asciiTheme="minorHAnsi" w:eastAsia="Times New Roman" w:hAnsiTheme="minorHAnsi"/>
          <w:szCs w:val="18"/>
        </w:rPr>
        <w:t>[…]</w:t>
      </w:r>
      <w:r w:rsidRPr="00D920C9">
        <w:rPr>
          <w:rFonts w:asciiTheme="minorHAnsi" w:eastAsia="Times New Roman" w:hAnsiTheme="minorHAnsi"/>
          <w:szCs w:val="18"/>
        </w:rPr>
        <w:t xml:space="preserve">, ‘Why do you decide to arrest one person who’s urinating in public and not [another]?’ </w:t>
      </w:r>
      <w:r w:rsidR="000B416C" w:rsidRPr="00D920C9">
        <w:rPr>
          <w:rFonts w:asciiTheme="minorHAnsi" w:eastAsia="Times New Roman" w:hAnsiTheme="minorHAnsi"/>
          <w:szCs w:val="18"/>
        </w:rPr>
        <w:t>[...]</w:t>
      </w:r>
      <w:r w:rsidR="002F3199" w:rsidRPr="00D920C9">
        <w:rPr>
          <w:rFonts w:asciiTheme="minorHAnsi" w:eastAsia="Times New Roman" w:hAnsiTheme="minorHAnsi"/>
          <w:szCs w:val="18"/>
        </w:rPr>
        <w:t xml:space="preserve"> i</w:t>
      </w:r>
      <w:r w:rsidRPr="00D920C9">
        <w:rPr>
          <w:rFonts w:asciiTheme="minorHAnsi" w:eastAsia="Times New Roman" w:hAnsiTheme="minorHAnsi"/>
          <w:szCs w:val="18"/>
        </w:rPr>
        <w:t xml:space="preserve">f you can’t answer that question, if you just say ‘Well, it’s common sense,’ you get very, very worried. So yeah, [...] </w:t>
      </w:r>
      <w:proofErr w:type="gramStart"/>
      <w:r w:rsidRPr="00D920C9">
        <w:rPr>
          <w:rFonts w:asciiTheme="minorHAnsi" w:eastAsia="Times New Roman" w:hAnsiTheme="minorHAnsi"/>
          <w:szCs w:val="18"/>
        </w:rPr>
        <w:t>There’s</w:t>
      </w:r>
      <w:proofErr w:type="gramEnd"/>
      <w:r w:rsidRPr="00D920C9">
        <w:rPr>
          <w:rFonts w:asciiTheme="minorHAnsi" w:eastAsia="Times New Roman" w:hAnsiTheme="minorHAnsi"/>
          <w:szCs w:val="18"/>
        </w:rPr>
        <w:t xml:space="preserve"> been a lot of things done in the name of Broken Windows that I regret.</w:t>
      </w:r>
      <w:r w:rsidRPr="00D920C9">
        <w:rPr>
          <w:rStyle w:val="FootnoteReference"/>
          <w:rFonts w:asciiTheme="minorHAnsi" w:eastAsia="Times New Roman" w:hAnsiTheme="minorHAnsi"/>
          <w:szCs w:val="18"/>
        </w:rPr>
        <w:footnoteReference w:id="123"/>
      </w:r>
    </w:p>
    <w:p w14:paraId="55443B77" w14:textId="77777777" w:rsidR="000B416C" w:rsidRPr="00D920C9" w:rsidRDefault="000B416C"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58" w:name="_Ref507161400"/>
      <w:r w:rsidRPr="00D920C9">
        <w:rPr>
          <w:rFonts w:asciiTheme="minorHAnsi" w:eastAsia="Times New Roman" w:hAnsiTheme="minorHAnsi"/>
          <w:szCs w:val="20"/>
          <w:lang w:eastAsia="es-ES"/>
        </w:rPr>
        <w:t xml:space="preserve">The Commission notes that </w:t>
      </w:r>
      <w:r w:rsidR="00A81D63" w:rsidRPr="00D920C9">
        <w:rPr>
          <w:rFonts w:asciiTheme="minorHAnsi" w:eastAsia="Times New Roman" w:hAnsiTheme="minorHAnsi"/>
          <w:szCs w:val="20"/>
          <w:lang w:eastAsia="es-ES"/>
        </w:rPr>
        <w:t>the United States’ legal framework for conducting police stops</w:t>
      </w:r>
      <w:r w:rsidR="00691203" w:rsidRPr="00D920C9">
        <w:rPr>
          <w:rFonts w:asciiTheme="minorHAnsi" w:eastAsia="Times New Roman" w:hAnsiTheme="minorHAnsi"/>
          <w:szCs w:val="20"/>
          <w:lang w:eastAsia="es-ES"/>
        </w:rPr>
        <w:t xml:space="preserve"> may allow or encourage expressions of bias in policing</w:t>
      </w:r>
      <w:r w:rsidR="00A81D63" w:rsidRPr="00D920C9">
        <w:rPr>
          <w:rFonts w:asciiTheme="minorHAnsi" w:eastAsia="Times New Roman" w:hAnsiTheme="minorHAnsi"/>
          <w:szCs w:val="20"/>
          <w:lang w:eastAsia="es-ES"/>
        </w:rPr>
        <w:t xml:space="preserve">. </w:t>
      </w:r>
      <w:r w:rsidR="007853B2" w:rsidRPr="00D920C9">
        <w:rPr>
          <w:rFonts w:asciiTheme="minorHAnsi" w:eastAsia="Times New Roman" w:hAnsiTheme="minorHAnsi"/>
          <w:szCs w:val="20"/>
          <w:lang w:eastAsia="es-ES"/>
        </w:rPr>
        <w:t xml:space="preserve">In particular, </w:t>
      </w:r>
      <w:r w:rsidR="002032D3" w:rsidRPr="00D920C9">
        <w:rPr>
          <w:rFonts w:asciiTheme="minorHAnsi" w:eastAsia="Times New Roman" w:hAnsiTheme="minorHAnsi"/>
          <w:szCs w:val="20"/>
          <w:lang w:eastAsia="es-ES"/>
        </w:rPr>
        <w:t xml:space="preserve">police are empowered to briefly stop individuals if they have a “reasonable suspicion,” formed on an “objective basis,” that an individual is engaged in or about to be </w:t>
      </w:r>
      <w:r w:rsidR="002B78E2" w:rsidRPr="00D920C9">
        <w:rPr>
          <w:rFonts w:asciiTheme="minorHAnsi" w:eastAsia="Times New Roman" w:hAnsiTheme="minorHAnsi"/>
          <w:szCs w:val="20"/>
          <w:lang w:eastAsia="es-ES"/>
        </w:rPr>
        <w:t xml:space="preserve">engaged in criminal activity (known as a </w:t>
      </w:r>
      <w:r w:rsidR="002B78E2" w:rsidRPr="00D920C9">
        <w:rPr>
          <w:rFonts w:asciiTheme="minorHAnsi" w:eastAsia="Times New Roman" w:hAnsiTheme="minorHAnsi"/>
          <w:i/>
          <w:szCs w:val="20"/>
          <w:lang w:eastAsia="es-ES"/>
        </w:rPr>
        <w:t>Terry</w:t>
      </w:r>
      <w:r w:rsidR="002B78E2" w:rsidRPr="00D920C9">
        <w:rPr>
          <w:rFonts w:asciiTheme="minorHAnsi" w:eastAsia="Times New Roman" w:hAnsiTheme="minorHAnsi"/>
          <w:szCs w:val="20"/>
          <w:lang w:eastAsia="es-ES"/>
        </w:rPr>
        <w:t xml:space="preserve"> stop).</w:t>
      </w:r>
      <w:r w:rsidR="002B78E2" w:rsidRPr="00D920C9">
        <w:rPr>
          <w:rStyle w:val="FootnoteReference"/>
          <w:rFonts w:asciiTheme="minorHAnsi" w:eastAsia="Times New Roman" w:hAnsiTheme="minorHAnsi"/>
          <w:szCs w:val="20"/>
          <w:lang w:eastAsia="es-ES"/>
        </w:rPr>
        <w:footnoteReference w:id="124"/>
      </w:r>
      <w:r w:rsidR="002032D3" w:rsidRPr="00D920C9">
        <w:rPr>
          <w:rFonts w:asciiTheme="minorHAnsi" w:eastAsia="Times New Roman" w:hAnsiTheme="minorHAnsi"/>
          <w:szCs w:val="20"/>
          <w:lang w:eastAsia="es-ES"/>
        </w:rPr>
        <w:t xml:space="preserve"> </w:t>
      </w:r>
      <w:r w:rsidR="002B78E2" w:rsidRPr="00D920C9">
        <w:rPr>
          <w:rFonts w:asciiTheme="minorHAnsi" w:eastAsia="Times New Roman" w:hAnsiTheme="minorHAnsi"/>
          <w:szCs w:val="20"/>
          <w:lang w:eastAsia="es-ES"/>
        </w:rPr>
        <w:t>“</w:t>
      </w:r>
      <w:r w:rsidR="00B528AA" w:rsidRPr="00D920C9">
        <w:rPr>
          <w:rFonts w:asciiTheme="minorHAnsi" w:eastAsia="Times New Roman" w:hAnsiTheme="minorHAnsi"/>
          <w:szCs w:val="20"/>
          <w:lang w:eastAsia="es-ES"/>
        </w:rPr>
        <w:t>R</w:t>
      </w:r>
      <w:r w:rsidR="002B78E2" w:rsidRPr="00D920C9">
        <w:rPr>
          <w:rFonts w:asciiTheme="minorHAnsi" w:eastAsia="Times New Roman" w:hAnsiTheme="minorHAnsi"/>
          <w:szCs w:val="20"/>
          <w:lang w:eastAsia="es-ES"/>
        </w:rPr>
        <w:t xml:space="preserve">easonable </w:t>
      </w:r>
      <w:r w:rsidR="002B78E2" w:rsidRPr="00D920C9">
        <w:rPr>
          <w:rFonts w:asciiTheme="minorHAnsi" w:hAnsiTheme="minorHAnsi"/>
          <w:szCs w:val="20"/>
        </w:rPr>
        <w:t xml:space="preserve">suspicion” is a lower threshold than the “probable cause” required </w:t>
      </w:r>
      <w:r w:rsidR="00B528AA" w:rsidRPr="00D920C9">
        <w:rPr>
          <w:rFonts w:asciiTheme="minorHAnsi" w:hAnsiTheme="minorHAnsi"/>
          <w:szCs w:val="20"/>
        </w:rPr>
        <w:t>for</w:t>
      </w:r>
      <w:r w:rsidR="002B78E2" w:rsidRPr="00D920C9">
        <w:rPr>
          <w:rFonts w:asciiTheme="minorHAnsi" w:hAnsiTheme="minorHAnsi"/>
          <w:szCs w:val="20"/>
        </w:rPr>
        <w:t xml:space="preserve"> search</w:t>
      </w:r>
      <w:r w:rsidR="00B528AA" w:rsidRPr="00D920C9">
        <w:rPr>
          <w:rFonts w:asciiTheme="minorHAnsi" w:hAnsiTheme="minorHAnsi"/>
          <w:szCs w:val="20"/>
        </w:rPr>
        <w:t>es or seizures</w:t>
      </w:r>
      <w:r w:rsidR="002B78E2" w:rsidRPr="00D920C9">
        <w:rPr>
          <w:rFonts w:asciiTheme="minorHAnsi" w:hAnsiTheme="minorHAnsi"/>
          <w:szCs w:val="20"/>
        </w:rPr>
        <w:t xml:space="preserve"> required under the Fourth Amendment</w:t>
      </w:r>
      <w:r w:rsidR="00691203" w:rsidRPr="00D920C9">
        <w:rPr>
          <w:rFonts w:asciiTheme="minorHAnsi" w:hAnsiTheme="minorHAnsi"/>
          <w:szCs w:val="20"/>
        </w:rPr>
        <w:t>, and is shaped by social context</w:t>
      </w:r>
      <w:r w:rsidR="002B78E2" w:rsidRPr="00D920C9">
        <w:rPr>
          <w:rFonts w:asciiTheme="minorHAnsi" w:hAnsiTheme="minorHAnsi"/>
          <w:szCs w:val="20"/>
        </w:rPr>
        <w:t xml:space="preserve">. </w:t>
      </w:r>
      <w:r w:rsidR="005E7134" w:rsidRPr="00D920C9">
        <w:rPr>
          <w:rFonts w:asciiTheme="minorHAnsi" w:hAnsiTheme="minorHAnsi"/>
          <w:szCs w:val="20"/>
        </w:rPr>
        <w:t>For example,</w:t>
      </w:r>
      <w:r w:rsidR="00691203" w:rsidRPr="00D920C9">
        <w:rPr>
          <w:rFonts w:asciiTheme="minorHAnsi" w:hAnsiTheme="minorHAnsi"/>
          <w:szCs w:val="20"/>
        </w:rPr>
        <w:t xml:space="preserve"> the Supreme Court has found that</w:t>
      </w:r>
      <w:r w:rsidR="005E7134" w:rsidRPr="00D920C9">
        <w:rPr>
          <w:rFonts w:asciiTheme="minorHAnsi" w:hAnsiTheme="minorHAnsi"/>
          <w:szCs w:val="20"/>
        </w:rPr>
        <w:t xml:space="preserve"> </w:t>
      </w:r>
      <w:r w:rsidR="008B55FA" w:rsidRPr="00D920C9">
        <w:rPr>
          <w:rFonts w:asciiTheme="minorHAnsi" w:hAnsiTheme="minorHAnsi"/>
          <w:szCs w:val="20"/>
        </w:rPr>
        <w:t xml:space="preserve">the fact of </w:t>
      </w:r>
      <w:r w:rsidR="005E7134" w:rsidRPr="00D920C9">
        <w:rPr>
          <w:rFonts w:asciiTheme="minorHAnsi" w:hAnsiTheme="minorHAnsi"/>
          <w:szCs w:val="20"/>
        </w:rPr>
        <w:t xml:space="preserve">a black man running in a </w:t>
      </w:r>
      <w:r w:rsidR="00152998" w:rsidRPr="00D920C9">
        <w:rPr>
          <w:rFonts w:asciiTheme="minorHAnsi" w:hAnsiTheme="minorHAnsi"/>
          <w:szCs w:val="20"/>
        </w:rPr>
        <w:t>“</w:t>
      </w:r>
      <w:r w:rsidR="005E7134" w:rsidRPr="00D920C9">
        <w:rPr>
          <w:rFonts w:asciiTheme="minorHAnsi" w:hAnsiTheme="minorHAnsi"/>
          <w:szCs w:val="20"/>
        </w:rPr>
        <w:t>high-crime</w:t>
      </w:r>
      <w:r w:rsidR="00152998" w:rsidRPr="00D920C9">
        <w:rPr>
          <w:rFonts w:asciiTheme="minorHAnsi" w:hAnsiTheme="minorHAnsi"/>
          <w:szCs w:val="20"/>
        </w:rPr>
        <w:t>”</w:t>
      </w:r>
      <w:r w:rsidR="005E7134" w:rsidRPr="00D920C9">
        <w:rPr>
          <w:rFonts w:asciiTheme="minorHAnsi" w:hAnsiTheme="minorHAnsi"/>
          <w:szCs w:val="20"/>
        </w:rPr>
        <w:t xml:space="preserve"> area may </w:t>
      </w:r>
      <w:r w:rsidR="00152998" w:rsidRPr="00D920C9">
        <w:rPr>
          <w:rFonts w:asciiTheme="minorHAnsi" w:hAnsiTheme="minorHAnsi"/>
          <w:szCs w:val="20"/>
        </w:rPr>
        <w:t xml:space="preserve">be sufficient </w:t>
      </w:r>
      <w:r w:rsidR="008B55FA" w:rsidRPr="00D920C9">
        <w:rPr>
          <w:rFonts w:asciiTheme="minorHAnsi" w:hAnsiTheme="minorHAnsi"/>
          <w:szCs w:val="20"/>
        </w:rPr>
        <w:t xml:space="preserve">to give rise to a “reasonable suspicion” </w:t>
      </w:r>
      <w:r w:rsidR="00152998" w:rsidRPr="00D920C9">
        <w:rPr>
          <w:rFonts w:asciiTheme="minorHAnsi" w:hAnsiTheme="minorHAnsi"/>
          <w:szCs w:val="20"/>
        </w:rPr>
        <w:t>for a police officer to decide to stop him.</w:t>
      </w:r>
      <w:r w:rsidR="00152998" w:rsidRPr="00D920C9">
        <w:rPr>
          <w:rFonts w:asciiTheme="minorHAnsi" w:hAnsiTheme="minorHAnsi"/>
          <w:vertAlign w:val="superscript"/>
        </w:rPr>
        <w:footnoteReference w:id="125"/>
      </w:r>
      <w:r w:rsidR="00152998" w:rsidRPr="00D920C9">
        <w:rPr>
          <w:rFonts w:asciiTheme="minorHAnsi" w:hAnsiTheme="minorHAnsi"/>
          <w:szCs w:val="20"/>
        </w:rPr>
        <w:t xml:space="preserve"> </w:t>
      </w:r>
      <w:r w:rsidR="008B55FA" w:rsidRPr="00D920C9">
        <w:rPr>
          <w:rFonts w:asciiTheme="minorHAnsi" w:hAnsiTheme="minorHAnsi"/>
          <w:szCs w:val="20"/>
        </w:rPr>
        <w:t xml:space="preserve">In this regard, </w:t>
      </w:r>
      <w:r w:rsidR="00152998" w:rsidRPr="00D920C9">
        <w:rPr>
          <w:rFonts w:asciiTheme="minorHAnsi" w:hAnsiTheme="minorHAnsi"/>
          <w:szCs w:val="20"/>
        </w:rPr>
        <w:t>“</w:t>
      </w:r>
      <w:proofErr w:type="spellStart"/>
      <w:r w:rsidR="008B55FA" w:rsidRPr="00D920C9">
        <w:rPr>
          <w:rFonts w:asciiTheme="minorHAnsi" w:hAnsiTheme="minorHAnsi"/>
          <w:szCs w:val="20"/>
        </w:rPr>
        <w:t>p</w:t>
      </w:r>
      <w:r w:rsidR="00152998" w:rsidRPr="00D920C9">
        <w:rPr>
          <w:rFonts w:asciiTheme="minorHAnsi" w:hAnsiTheme="minorHAnsi"/>
          <w:szCs w:val="20"/>
        </w:rPr>
        <w:t>retextual</w:t>
      </w:r>
      <w:proofErr w:type="spellEnd"/>
      <w:r w:rsidR="00152998" w:rsidRPr="00D920C9">
        <w:rPr>
          <w:rFonts w:asciiTheme="minorHAnsi" w:hAnsiTheme="minorHAnsi"/>
          <w:szCs w:val="20"/>
        </w:rPr>
        <w:t xml:space="preserve">” traffic stops (i.e. stops for minor traffic violations that </w:t>
      </w:r>
      <w:r w:rsidR="00691203" w:rsidRPr="00D920C9">
        <w:rPr>
          <w:rFonts w:asciiTheme="minorHAnsi" w:hAnsiTheme="minorHAnsi"/>
          <w:szCs w:val="20"/>
        </w:rPr>
        <w:t>are</w:t>
      </w:r>
      <w:r w:rsidR="00152998" w:rsidRPr="00D920C9">
        <w:rPr>
          <w:rFonts w:asciiTheme="minorHAnsi" w:hAnsiTheme="minorHAnsi"/>
          <w:szCs w:val="20"/>
        </w:rPr>
        <w:t xml:space="preserve"> subjectively motivated by an officer’s interest in something other than enforcing traffic laws) are also permitted by law.</w:t>
      </w:r>
      <w:r w:rsidR="00152998" w:rsidRPr="00D920C9">
        <w:rPr>
          <w:rFonts w:asciiTheme="minorHAnsi" w:hAnsiTheme="minorHAnsi"/>
          <w:vertAlign w:val="superscript"/>
        </w:rPr>
        <w:footnoteReference w:id="126"/>
      </w:r>
      <w:bookmarkEnd w:id="58"/>
    </w:p>
    <w:p w14:paraId="35AA3560" w14:textId="77777777" w:rsidR="00E53CBE" w:rsidRPr="00D920C9" w:rsidRDefault="00B528AA" w:rsidP="002C64F8">
      <w:pPr>
        <w:pStyle w:val="ListParagraph"/>
        <w:numPr>
          <w:ilvl w:val="0"/>
          <w:numId w:val="9"/>
        </w:numPr>
        <w:spacing w:after="240" w:line="240" w:lineRule="auto"/>
        <w:ind w:left="547" w:hanging="547"/>
        <w:contextualSpacing w:val="0"/>
        <w:jc w:val="both"/>
        <w:rPr>
          <w:rFonts w:asciiTheme="minorHAnsi" w:eastAsia="Times New Roman" w:hAnsiTheme="minorHAnsi"/>
          <w:szCs w:val="20"/>
          <w:lang w:eastAsia="es-ES"/>
        </w:rPr>
      </w:pPr>
      <w:bookmarkStart w:id="59" w:name="_Ref507161402"/>
      <w:r w:rsidRPr="00D920C9">
        <w:rPr>
          <w:rFonts w:asciiTheme="minorHAnsi" w:hAnsiTheme="minorHAnsi"/>
          <w:szCs w:val="20"/>
        </w:rPr>
        <w:t>Through</w:t>
      </w:r>
      <w:r w:rsidR="00E53CBE" w:rsidRPr="00D920C9">
        <w:rPr>
          <w:rFonts w:asciiTheme="minorHAnsi" w:hAnsiTheme="minorHAnsi"/>
          <w:szCs w:val="20"/>
        </w:rPr>
        <w:t xml:space="preserve"> regular monitoring and public hearings, the </w:t>
      </w:r>
      <w:r w:rsidRPr="00D920C9">
        <w:rPr>
          <w:rFonts w:asciiTheme="minorHAnsi" w:hAnsiTheme="minorHAnsi"/>
          <w:szCs w:val="20"/>
        </w:rPr>
        <w:t>IACHR</w:t>
      </w:r>
      <w:r w:rsidR="00E53CBE" w:rsidRPr="00D920C9">
        <w:rPr>
          <w:rFonts w:asciiTheme="minorHAnsi" w:hAnsiTheme="minorHAnsi"/>
          <w:szCs w:val="20"/>
        </w:rPr>
        <w:t xml:space="preserve"> has received information </w:t>
      </w:r>
      <w:r w:rsidR="00402469" w:rsidRPr="00D920C9">
        <w:rPr>
          <w:rFonts w:asciiTheme="minorHAnsi" w:hAnsiTheme="minorHAnsi"/>
          <w:szCs w:val="20"/>
        </w:rPr>
        <w:t>on</w:t>
      </w:r>
      <w:r w:rsidR="00E53CBE" w:rsidRPr="00D920C9">
        <w:rPr>
          <w:rFonts w:asciiTheme="minorHAnsi" w:hAnsiTheme="minorHAnsi"/>
          <w:szCs w:val="20"/>
        </w:rPr>
        <w:t xml:space="preserve"> patterns of police stops and similar programs in cities across the </w:t>
      </w:r>
      <w:r w:rsidR="00904A46" w:rsidRPr="00D920C9">
        <w:rPr>
          <w:rFonts w:asciiTheme="minorHAnsi" w:hAnsiTheme="minorHAnsi"/>
          <w:szCs w:val="20"/>
        </w:rPr>
        <w:t>U.S.</w:t>
      </w:r>
      <w:r w:rsidR="00E53CBE" w:rsidRPr="00D920C9">
        <w:rPr>
          <w:rFonts w:asciiTheme="minorHAnsi" w:hAnsiTheme="minorHAnsi"/>
          <w:szCs w:val="20"/>
        </w:rPr>
        <w:t xml:space="preserve"> that, while facially race-neutral, are applied in a discriminatory way that disproportionately harms African</w:t>
      </w:r>
      <w:r w:rsidR="0030356C" w:rsidRPr="00D920C9">
        <w:rPr>
          <w:rFonts w:asciiTheme="minorHAnsi" w:hAnsiTheme="minorHAnsi"/>
          <w:szCs w:val="20"/>
        </w:rPr>
        <w:t xml:space="preserve"> </w:t>
      </w:r>
      <w:r w:rsidR="00E53CBE" w:rsidRPr="00D920C9">
        <w:rPr>
          <w:rFonts w:asciiTheme="minorHAnsi" w:hAnsiTheme="minorHAnsi"/>
          <w:szCs w:val="20"/>
        </w:rPr>
        <w:t xml:space="preserve">Americans, Hispanics, and other </w:t>
      </w:r>
      <w:r w:rsidR="00404C93" w:rsidRPr="00D920C9">
        <w:rPr>
          <w:rFonts w:asciiTheme="minorHAnsi" w:hAnsiTheme="minorHAnsi"/>
          <w:szCs w:val="20"/>
        </w:rPr>
        <w:t>historically marginalized groups</w:t>
      </w:r>
      <w:r w:rsidR="00E53CBE" w:rsidRPr="00D920C9">
        <w:rPr>
          <w:rFonts w:asciiTheme="minorHAnsi" w:hAnsiTheme="minorHAnsi"/>
          <w:szCs w:val="20"/>
          <w:lang w:eastAsia="es-ES"/>
        </w:rPr>
        <w:t xml:space="preserve">, and may even reward discriminatory behavior on the part of law enforcement officers. </w:t>
      </w:r>
      <w:r w:rsidR="00E53CBE" w:rsidRPr="00D920C9">
        <w:rPr>
          <w:rFonts w:asciiTheme="minorHAnsi" w:eastAsia="Times New Roman" w:hAnsiTheme="minorHAnsi"/>
          <w:szCs w:val="20"/>
          <w:lang w:eastAsia="es-ES"/>
        </w:rPr>
        <w:lastRenderedPageBreak/>
        <w:t>A</w:t>
      </w:r>
      <w:r w:rsidR="007853B2" w:rsidRPr="00D920C9">
        <w:rPr>
          <w:rFonts w:asciiTheme="minorHAnsi" w:eastAsia="Times New Roman" w:hAnsiTheme="minorHAnsi"/>
          <w:szCs w:val="20"/>
          <w:lang w:eastAsia="es-ES"/>
        </w:rPr>
        <w:t xml:space="preserve">vailable information from </w:t>
      </w:r>
      <w:r w:rsidR="00E53CBE" w:rsidRPr="00D920C9">
        <w:rPr>
          <w:rFonts w:asciiTheme="minorHAnsi" w:eastAsia="Times New Roman" w:hAnsiTheme="minorHAnsi"/>
          <w:szCs w:val="20"/>
          <w:lang w:eastAsia="es-ES"/>
        </w:rPr>
        <w:t>a number of states and</w:t>
      </w:r>
      <w:r w:rsidR="007853B2" w:rsidRPr="00D920C9">
        <w:rPr>
          <w:rFonts w:asciiTheme="minorHAnsi" w:eastAsia="Times New Roman" w:hAnsiTheme="minorHAnsi"/>
          <w:szCs w:val="20"/>
          <w:lang w:eastAsia="es-ES"/>
        </w:rPr>
        <w:t xml:space="preserve"> municipalities indicates that police stops are carried out in a racially discriminatory manner.</w:t>
      </w:r>
      <w:r w:rsidR="00E53CBE" w:rsidRPr="00D920C9">
        <w:rPr>
          <w:rStyle w:val="FootnoteReference"/>
          <w:rFonts w:asciiTheme="minorHAnsi" w:eastAsia="Times New Roman" w:hAnsiTheme="minorHAnsi"/>
          <w:szCs w:val="20"/>
          <w:lang w:eastAsia="es-ES"/>
        </w:rPr>
        <w:footnoteReference w:id="127"/>
      </w:r>
      <w:r w:rsidR="00152998" w:rsidRPr="00D920C9">
        <w:rPr>
          <w:rFonts w:asciiTheme="minorHAnsi" w:eastAsia="Times New Roman" w:hAnsiTheme="minorHAnsi"/>
          <w:szCs w:val="20"/>
          <w:lang w:eastAsia="es-ES"/>
        </w:rPr>
        <w:t xml:space="preserve"> For example, the authors of one study of stops by the Los Angeles Police Department </w:t>
      </w:r>
      <w:r w:rsidR="00402469" w:rsidRPr="00D920C9">
        <w:rPr>
          <w:rFonts w:asciiTheme="minorHAnsi" w:eastAsia="Times New Roman" w:hAnsiTheme="minorHAnsi"/>
          <w:szCs w:val="20"/>
          <w:lang w:eastAsia="es-ES"/>
        </w:rPr>
        <w:t xml:space="preserve">(LAPD) </w:t>
      </w:r>
      <w:r w:rsidR="00E53CBE" w:rsidRPr="00D920C9">
        <w:rPr>
          <w:rFonts w:asciiTheme="minorHAnsi" w:eastAsia="Times New Roman" w:hAnsiTheme="minorHAnsi"/>
          <w:szCs w:val="20"/>
          <w:lang w:eastAsia="es-ES"/>
        </w:rPr>
        <w:t xml:space="preserve">found that not only were black and Hispanic individuals more likely to be stopped, but that once stopped they were also substantially more likely to be frisked or searched. They </w:t>
      </w:r>
      <w:r w:rsidR="00152998" w:rsidRPr="00D920C9">
        <w:rPr>
          <w:rFonts w:asciiTheme="minorHAnsi" w:eastAsia="Times New Roman" w:hAnsiTheme="minorHAnsi"/>
          <w:szCs w:val="20"/>
          <w:lang w:eastAsia="es-ES"/>
        </w:rPr>
        <w:t>concluded</w:t>
      </w:r>
      <w:r w:rsidR="00E53CBE" w:rsidRPr="00D920C9">
        <w:rPr>
          <w:rFonts w:asciiTheme="minorHAnsi" w:eastAsia="Times New Roman" w:hAnsiTheme="minorHAnsi"/>
          <w:szCs w:val="20"/>
          <w:lang w:eastAsia="es-ES"/>
        </w:rPr>
        <w:t>:</w:t>
      </w:r>
      <w:bookmarkEnd w:id="59"/>
    </w:p>
    <w:p w14:paraId="5DCE61FD" w14:textId="77777777" w:rsidR="00A81D63" w:rsidRPr="00D920C9" w:rsidRDefault="00E53CBE" w:rsidP="0040052F">
      <w:pPr>
        <w:spacing w:after="240" w:line="240" w:lineRule="auto"/>
        <w:ind w:left="1166" w:right="619"/>
        <w:jc w:val="both"/>
        <w:rPr>
          <w:rFonts w:asciiTheme="minorHAnsi" w:eastAsia="Times New Roman" w:hAnsiTheme="minorHAnsi"/>
          <w:szCs w:val="18"/>
          <w:lang w:eastAsia="es-ES"/>
        </w:rPr>
      </w:pPr>
      <w:r w:rsidRPr="00D920C9">
        <w:rPr>
          <w:rFonts w:asciiTheme="minorHAnsi" w:eastAsia="Times New Roman" w:hAnsiTheme="minorHAnsi"/>
          <w:szCs w:val="18"/>
          <w:lang w:eastAsia="es-ES"/>
        </w:rPr>
        <w:t>It is implausible that higher frisk and search rates are justified by higher minority criminality, when these frisks and searches are substantially less likely to uncover weapons, drugs or other types of contraband. We also find that the black arrest disparity was 9 percentage points lower when the stopping officer was black than when the stopping officer was not black. Similarly, the Hispanic arrest disparity was 7 percentage points lower when the stopping officer was Hispanic than when the stopping officer was a non-Hispanic white. Taken as a whole, these results justify further investigation and corrective action.</w:t>
      </w:r>
      <w:r w:rsidRPr="00D920C9">
        <w:rPr>
          <w:rStyle w:val="FootnoteReference"/>
          <w:rFonts w:asciiTheme="minorHAnsi" w:eastAsia="Times New Roman" w:hAnsiTheme="minorHAnsi"/>
          <w:szCs w:val="18"/>
          <w:lang w:eastAsia="es-ES"/>
        </w:rPr>
        <w:footnoteReference w:id="128"/>
      </w:r>
    </w:p>
    <w:p w14:paraId="51921701" w14:textId="77777777" w:rsidR="00F15232" w:rsidRPr="00D920C9" w:rsidRDefault="00E53CBE"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eastAsia="Times New Roman" w:hAnsiTheme="minorHAnsi"/>
          <w:szCs w:val="20"/>
          <w:lang w:eastAsia="es-ES"/>
        </w:rPr>
        <w:t xml:space="preserve">This empirical evidence </w:t>
      </w:r>
      <w:r w:rsidR="00B528AA" w:rsidRPr="00D920C9">
        <w:rPr>
          <w:rFonts w:asciiTheme="minorHAnsi" w:eastAsia="Times New Roman" w:hAnsiTheme="minorHAnsi"/>
          <w:szCs w:val="20"/>
          <w:lang w:eastAsia="es-ES"/>
        </w:rPr>
        <w:t>accords</w:t>
      </w:r>
      <w:r w:rsidRPr="00D920C9">
        <w:rPr>
          <w:rFonts w:asciiTheme="minorHAnsi" w:eastAsia="Times New Roman" w:hAnsiTheme="minorHAnsi"/>
          <w:szCs w:val="20"/>
          <w:lang w:eastAsia="es-ES"/>
        </w:rPr>
        <w:t xml:space="preserve"> with evidence and testimony </w:t>
      </w:r>
      <w:r w:rsidR="004017B4" w:rsidRPr="00D920C9">
        <w:rPr>
          <w:rFonts w:asciiTheme="minorHAnsi" w:eastAsia="Times New Roman" w:hAnsiTheme="minorHAnsi"/>
          <w:szCs w:val="20"/>
          <w:lang w:eastAsia="es-ES"/>
        </w:rPr>
        <w:t xml:space="preserve">about racial profiling and over-policing, particularly of poor communities, </w:t>
      </w:r>
      <w:r w:rsidRPr="00D920C9">
        <w:rPr>
          <w:rFonts w:asciiTheme="minorHAnsi" w:eastAsia="Times New Roman" w:hAnsiTheme="minorHAnsi"/>
          <w:szCs w:val="20"/>
          <w:lang w:eastAsia="es-ES"/>
        </w:rPr>
        <w:t xml:space="preserve">received by the Commission </w:t>
      </w:r>
      <w:r w:rsidR="004017B4" w:rsidRPr="00D920C9">
        <w:rPr>
          <w:rFonts w:asciiTheme="minorHAnsi" w:eastAsia="Times New Roman" w:hAnsiTheme="minorHAnsi"/>
          <w:szCs w:val="20"/>
          <w:lang w:eastAsia="es-ES"/>
        </w:rPr>
        <w:t>during its 2015 on-site visit</w:t>
      </w:r>
      <w:r w:rsidR="00402469" w:rsidRPr="00D920C9">
        <w:rPr>
          <w:rFonts w:asciiTheme="minorHAnsi" w:eastAsia="Times New Roman" w:hAnsiTheme="minorHAnsi"/>
          <w:szCs w:val="20"/>
          <w:lang w:eastAsia="es-ES"/>
        </w:rPr>
        <w:t xml:space="preserve"> and</w:t>
      </w:r>
      <w:r w:rsidR="004017B4" w:rsidRPr="00D920C9">
        <w:rPr>
          <w:rFonts w:asciiTheme="minorHAnsi" w:eastAsia="Times New Roman" w:hAnsiTheme="minorHAnsi"/>
          <w:szCs w:val="20"/>
          <w:lang w:eastAsia="es-ES"/>
        </w:rPr>
        <w:t xml:space="preserve"> during public hearings. For example, in Miami, </w:t>
      </w:r>
      <w:r w:rsidR="00A87757" w:rsidRPr="00D920C9">
        <w:rPr>
          <w:rFonts w:asciiTheme="minorHAnsi" w:eastAsia="Times New Roman" w:hAnsiTheme="minorHAnsi"/>
          <w:szCs w:val="20"/>
          <w:lang w:eastAsia="es-ES"/>
        </w:rPr>
        <w:t>the delegation re</w:t>
      </w:r>
      <w:r w:rsidR="00B528AA" w:rsidRPr="00D920C9">
        <w:rPr>
          <w:rFonts w:asciiTheme="minorHAnsi" w:eastAsia="Times New Roman" w:hAnsiTheme="minorHAnsi"/>
          <w:szCs w:val="20"/>
          <w:lang w:eastAsia="es-ES"/>
        </w:rPr>
        <w:t xml:space="preserve">ceived the testimony of an </w:t>
      </w:r>
      <w:r w:rsidR="00A87757" w:rsidRPr="00D920C9">
        <w:rPr>
          <w:rFonts w:asciiTheme="minorHAnsi" w:eastAsia="Times New Roman" w:hAnsiTheme="minorHAnsi"/>
          <w:szCs w:val="20"/>
          <w:lang w:eastAsia="es-ES"/>
        </w:rPr>
        <w:t>African</w:t>
      </w:r>
      <w:r w:rsidR="0030356C" w:rsidRPr="00D920C9">
        <w:rPr>
          <w:rFonts w:asciiTheme="minorHAnsi" w:eastAsia="Times New Roman" w:hAnsiTheme="minorHAnsi"/>
          <w:szCs w:val="20"/>
          <w:lang w:eastAsia="es-ES"/>
        </w:rPr>
        <w:t xml:space="preserve"> </w:t>
      </w:r>
      <w:r w:rsidR="00A87757" w:rsidRPr="00D920C9">
        <w:rPr>
          <w:rFonts w:asciiTheme="minorHAnsi" w:eastAsia="Times New Roman" w:hAnsiTheme="minorHAnsi"/>
          <w:szCs w:val="20"/>
          <w:lang w:eastAsia="es-ES"/>
        </w:rPr>
        <w:t>American law student who stated that he had been stopped by the police about thirty times in his lifetime based on his race and his appearance. Other speakers affirmed that many of those subjected to arbitrary stops are afraid to report them to authorities, particularly if they have committed offenses in the past.</w:t>
      </w:r>
      <w:r w:rsidR="00A87757" w:rsidRPr="00D920C9">
        <w:rPr>
          <w:rStyle w:val="FootnoteReference"/>
          <w:rFonts w:asciiTheme="minorHAnsi" w:eastAsia="Times New Roman" w:hAnsiTheme="minorHAnsi"/>
          <w:szCs w:val="20"/>
          <w:lang w:eastAsia="es-ES"/>
        </w:rPr>
        <w:footnoteReference w:id="129"/>
      </w:r>
      <w:r w:rsidR="00A87757" w:rsidRPr="00D920C9">
        <w:rPr>
          <w:rFonts w:asciiTheme="minorHAnsi" w:eastAsia="Times New Roman" w:hAnsiTheme="minorHAnsi"/>
          <w:szCs w:val="20"/>
          <w:lang w:eastAsia="es-ES"/>
        </w:rPr>
        <w:t xml:space="preserve"> </w:t>
      </w:r>
      <w:r w:rsidR="00620290" w:rsidRPr="00D920C9">
        <w:rPr>
          <w:rFonts w:asciiTheme="minorHAnsi" w:eastAsia="Times New Roman" w:hAnsiTheme="minorHAnsi"/>
          <w:szCs w:val="20"/>
          <w:lang w:eastAsia="es-ES"/>
        </w:rPr>
        <w:t>It is important to note that r</w:t>
      </w:r>
      <w:r w:rsidR="00F15232" w:rsidRPr="00D920C9">
        <w:rPr>
          <w:rFonts w:asciiTheme="minorHAnsi" w:eastAsia="Times New Roman" w:hAnsiTheme="minorHAnsi"/>
          <w:szCs w:val="20"/>
          <w:lang w:eastAsia="es-ES"/>
        </w:rPr>
        <w:t xml:space="preserve">acial profiling can also be </w:t>
      </w:r>
      <w:r w:rsidR="00620290" w:rsidRPr="00D920C9">
        <w:rPr>
          <w:rFonts w:asciiTheme="minorHAnsi" w:eastAsia="Times New Roman" w:hAnsiTheme="minorHAnsi"/>
          <w:szCs w:val="20"/>
          <w:lang w:eastAsia="es-ES"/>
        </w:rPr>
        <w:t>aggravated by</w:t>
      </w:r>
      <w:r w:rsidR="00F15232" w:rsidRPr="00D920C9">
        <w:rPr>
          <w:rFonts w:asciiTheme="minorHAnsi" w:eastAsia="Times New Roman" w:hAnsiTheme="minorHAnsi"/>
          <w:szCs w:val="20"/>
          <w:lang w:eastAsia="es-ES"/>
        </w:rPr>
        <w:t xml:space="preserve"> profiling on the basis of other</w:t>
      </w:r>
      <w:r w:rsidR="00620290" w:rsidRPr="00D920C9">
        <w:rPr>
          <w:rFonts w:asciiTheme="minorHAnsi" w:eastAsia="Times New Roman" w:hAnsiTheme="minorHAnsi"/>
          <w:szCs w:val="20"/>
          <w:lang w:eastAsia="es-ES"/>
        </w:rPr>
        <w:t xml:space="preserve"> intersectional</w:t>
      </w:r>
      <w:r w:rsidR="00F15232" w:rsidRPr="00D920C9">
        <w:rPr>
          <w:rFonts w:asciiTheme="minorHAnsi" w:eastAsia="Times New Roman" w:hAnsiTheme="minorHAnsi"/>
          <w:szCs w:val="20"/>
          <w:lang w:eastAsia="es-ES"/>
        </w:rPr>
        <w:t xml:space="preserve"> factors, </w:t>
      </w:r>
      <w:r w:rsidR="00F15232" w:rsidRPr="00D920C9">
        <w:rPr>
          <w:rFonts w:asciiTheme="minorHAnsi" w:hAnsiTheme="minorHAnsi"/>
          <w:szCs w:val="20"/>
        </w:rPr>
        <w:t>such as age and situation of poverty. For example, t</w:t>
      </w:r>
      <w:r w:rsidR="003A6467" w:rsidRPr="00D920C9">
        <w:rPr>
          <w:rFonts w:asciiTheme="minorHAnsi" w:hAnsiTheme="minorHAnsi"/>
          <w:szCs w:val="20"/>
        </w:rPr>
        <w:t>he Commission</w:t>
      </w:r>
      <w:r w:rsidR="00A87757" w:rsidRPr="00D920C9">
        <w:rPr>
          <w:rFonts w:asciiTheme="minorHAnsi" w:hAnsiTheme="minorHAnsi"/>
          <w:szCs w:val="20"/>
        </w:rPr>
        <w:t xml:space="preserve"> also</w:t>
      </w:r>
      <w:r w:rsidR="003A6467" w:rsidRPr="00D920C9">
        <w:rPr>
          <w:rFonts w:asciiTheme="minorHAnsi" w:hAnsiTheme="minorHAnsi"/>
          <w:szCs w:val="20"/>
        </w:rPr>
        <w:t xml:space="preserve"> heard from civil society</w:t>
      </w:r>
      <w:r w:rsidR="00A87757" w:rsidRPr="00D920C9">
        <w:rPr>
          <w:rFonts w:asciiTheme="minorHAnsi" w:hAnsiTheme="minorHAnsi"/>
          <w:szCs w:val="20"/>
        </w:rPr>
        <w:t xml:space="preserve"> in Florida</w:t>
      </w:r>
      <w:r w:rsidR="003A6467" w:rsidRPr="00D920C9">
        <w:rPr>
          <w:rFonts w:asciiTheme="minorHAnsi" w:hAnsiTheme="minorHAnsi"/>
          <w:szCs w:val="20"/>
        </w:rPr>
        <w:t xml:space="preserve"> about </w:t>
      </w:r>
      <w:r w:rsidR="00F15232" w:rsidRPr="00D920C9">
        <w:rPr>
          <w:rFonts w:asciiTheme="minorHAnsi" w:hAnsiTheme="minorHAnsi"/>
          <w:szCs w:val="20"/>
        </w:rPr>
        <w:t xml:space="preserve">how children from low-income neighborhoods are particularly affected by </w:t>
      </w:r>
      <w:r w:rsidR="003A6467" w:rsidRPr="00D920C9">
        <w:rPr>
          <w:rFonts w:asciiTheme="minorHAnsi" w:hAnsiTheme="minorHAnsi"/>
          <w:szCs w:val="20"/>
        </w:rPr>
        <w:t xml:space="preserve">the </w:t>
      </w:r>
      <w:r w:rsidR="00F15232" w:rsidRPr="00D920C9">
        <w:rPr>
          <w:rFonts w:asciiTheme="minorHAnsi" w:hAnsiTheme="minorHAnsi"/>
          <w:szCs w:val="20"/>
        </w:rPr>
        <w:t>high number</w:t>
      </w:r>
      <w:r w:rsidR="003A6467" w:rsidRPr="00D920C9">
        <w:rPr>
          <w:rFonts w:asciiTheme="minorHAnsi" w:hAnsiTheme="minorHAnsi"/>
          <w:szCs w:val="20"/>
        </w:rPr>
        <w:t xml:space="preserve"> of bicycle stops </w:t>
      </w:r>
      <w:r w:rsidR="00F15232" w:rsidRPr="00D920C9">
        <w:rPr>
          <w:rFonts w:asciiTheme="minorHAnsi" w:hAnsiTheme="minorHAnsi"/>
          <w:szCs w:val="20"/>
        </w:rPr>
        <w:t>and</w:t>
      </w:r>
      <w:r w:rsidR="003A6467" w:rsidRPr="00D920C9">
        <w:rPr>
          <w:rFonts w:asciiTheme="minorHAnsi" w:hAnsiTheme="minorHAnsi"/>
          <w:szCs w:val="20"/>
        </w:rPr>
        <w:t xml:space="preserve"> the </w:t>
      </w:r>
      <w:r w:rsidR="00A66A40" w:rsidRPr="00D920C9">
        <w:rPr>
          <w:rFonts w:asciiTheme="minorHAnsi" w:hAnsiTheme="minorHAnsi"/>
          <w:szCs w:val="20"/>
        </w:rPr>
        <w:t>increased</w:t>
      </w:r>
      <w:r w:rsidR="003A6467" w:rsidRPr="00D920C9">
        <w:rPr>
          <w:rFonts w:asciiTheme="minorHAnsi" w:hAnsiTheme="minorHAnsi"/>
          <w:szCs w:val="20"/>
        </w:rPr>
        <w:t xml:space="preserve"> number of traffic tickets </w:t>
      </w:r>
      <w:r w:rsidR="00F15232" w:rsidRPr="00D920C9">
        <w:rPr>
          <w:rFonts w:asciiTheme="minorHAnsi" w:hAnsiTheme="minorHAnsi"/>
          <w:szCs w:val="20"/>
        </w:rPr>
        <w:t>issued to African</w:t>
      </w:r>
      <w:r w:rsidR="0030356C" w:rsidRPr="00D920C9">
        <w:rPr>
          <w:rFonts w:asciiTheme="minorHAnsi" w:hAnsiTheme="minorHAnsi"/>
          <w:szCs w:val="20"/>
        </w:rPr>
        <w:t xml:space="preserve"> </w:t>
      </w:r>
      <w:r w:rsidR="00F15232" w:rsidRPr="00D920C9">
        <w:rPr>
          <w:rFonts w:asciiTheme="minorHAnsi" w:hAnsiTheme="minorHAnsi"/>
          <w:szCs w:val="20"/>
        </w:rPr>
        <w:t>Americans by police.</w:t>
      </w:r>
      <w:r w:rsidR="003A6467" w:rsidRPr="00D920C9">
        <w:rPr>
          <w:rFonts w:asciiTheme="minorHAnsi" w:hAnsiTheme="minorHAnsi"/>
          <w:vertAlign w:val="superscript"/>
        </w:rPr>
        <w:footnoteReference w:id="130"/>
      </w:r>
      <w:r w:rsidR="00F15232" w:rsidRPr="00D920C9">
        <w:rPr>
          <w:rFonts w:asciiTheme="minorHAnsi" w:hAnsiTheme="minorHAnsi"/>
          <w:szCs w:val="20"/>
        </w:rPr>
        <w:t xml:space="preserve"> </w:t>
      </w:r>
      <w:r w:rsidR="00B528AA" w:rsidRPr="00D920C9">
        <w:rPr>
          <w:rFonts w:asciiTheme="minorHAnsi" w:hAnsiTheme="minorHAnsi"/>
          <w:szCs w:val="20"/>
        </w:rPr>
        <w:t>Individuals may also be p</w:t>
      </w:r>
      <w:r w:rsidR="00620290" w:rsidRPr="00D920C9">
        <w:rPr>
          <w:rFonts w:asciiTheme="minorHAnsi" w:hAnsiTheme="minorHAnsi"/>
          <w:szCs w:val="20"/>
        </w:rPr>
        <w:t>rofil</w:t>
      </w:r>
      <w:r w:rsidR="00B528AA" w:rsidRPr="00D920C9">
        <w:rPr>
          <w:rFonts w:asciiTheme="minorHAnsi" w:hAnsiTheme="minorHAnsi"/>
          <w:szCs w:val="20"/>
        </w:rPr>
        <w:t>ed</w:t>
      </w:r>
      <w:r w:rsidR="00620290" w:rsidRPr="00D920C9">
        <w:rPr>
          <w:rFonts w:asciiTheme="minorHAnsi" w:hAnsiTheme="minorHAnsi"/>
          <w:szCs w:val="20"/>
        </w:rPr>
        <w:t xml:space="preserve"> on the basis of national origin or perceived national origin and mother tongue. </w:t>
      </w:r>
      <w:r w:rsidR="00401DF8" w:rsidRPr="00D920C9">
        <w:rPr>
          <w:rFonts w:asciiTheme="minorHAnsi" w:hAnsiTheme="minorHAnsi"/>
          <w:szCs w:val="20"/>
        </w:rPr>
        <w:t>T</w:t>
      </w:r>
      <w:r w:rsidR="00F15232" w:rsidRPr="00D920C9">
        <w:rPr>
          <w:rFonts w:asciiTheme="minorHAnsi" w:hAnsiTheme="minorHAnsi"/>
          <w:szCs w:val="20"/>
        </w:rPr>
        <w:t xml:space="preserve">he Commission received information that Haitian and Hispanic immigrants may be profiled on the basis of their appearance, skin color, and/or </w:t>
      </w:r>
      <w:r w:rsidR="00F15232" w:rsidRPr="00D920C9">
        <w:rPr>
          <w:rFonts w:asciiTheme="minorHAnsi" w:hAnsiTheme="minorHAnsi"/>
          <w:szCs w:val="20"/>
        </w:rPr>
        <w:lastRenderedPageBreak/>
        <w:t>language spoken, and often lack identity documents, both of which make them more vulnerable to police abuses.</w:t>
      </w:r>
      <w:r w:rsidR="00F15232" w:rsidRPr="00D920C9">
        <w:rPr>
          <w:rFonts w:asciiTheme="minorHAnsi" w:hAnsiTheme="minorHAnsi"/>
          <w:vertAlign w:val="superscript"/>
        </w:rPr>
        <w:footnoteReference w:id="131"/>
      </w:r>
    </w:p>
    <w:p w14:paraId="6C895102" w14:textId="77777777" w:rsidR="003A6467" w:rsidRPr="00D920C9" w:rsidRDefault="00294A0A"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60" w:name="_Ref507411660"/>
      <w:r w:rsidRPr="00D920C9">
        <w:rPr>
          <w:rFonts w:asciiTheme="minorHAnsi" w:hAnsiTheme="minorHAnsi"/>
          <w:szCs w:val="20"/>
        </w:rPr>
        <w:t xml:space="preserve">The Commission </w:t>
      </w:r>
      <w:r w:rsidR="00096E79" w:rsidRPr="00D920C9">
        <w:rPr>
          <w:rFonts w:asciiTheme="minorHAnsi" w:hAnsiTheme="minorHAnsi"/>
          <w:szCs w:val="20"/>
        </w:rPr>
        <w:t>notes</w:t>
      </w:r>
      <w:r w:rsidRPr="00D920C9">
        <w:rPr>
          <w:rFonts w:asciiTheme="minorHAnsi" w:hAnsiTheme="minorHAnsi"/>
          <w:szCs w:val="20"/>
        </w:rPr>
        <w:t xml:space="preserve"> information indicating an urgent need for further studies of the impact of racial profiling on its victims. For example, some existing studies indicate that police stops induce individuals to subsequently avoid using public services for fear of additional police contact, and may even decrease voter turnout in entire neighborhoods.</w:t>
      </w:r>
      <w:r w:rsidRPr="00D920C9">
        <w:rPr>
          <w:rFonts w:asciiTheme="minorHAnsi" w:hAnsiTheme="minorHAnsi"/>
          <w:vertAlign w:val="superscript"/>
        </w:rPr>
        <w:footnoteReference w:id="132"/>
      </w:r>
      <w:r w:rsidR="002E5EBF" w:rsidRPr="00D920C9">
        <w:rPr>
          <w:rFonts w:asciiTheme="minorHAnsi" w:hAnsiTheme="minorHAnsi"/>
          <w:szCs w:val="20"/>
        </w:rPr>
        <w:t xml:space="preserve"> Another found </w:t>
      </w:r>
      <w:r w:rsidRPr="00D920C9">
        <w:rPr>
          <w:rFonts w:asciiTheme="minorHAnsi" w:hAnsiTheme="minorHAnsi"/>
          <w:szCs w:val="20"/>
        </w:rPr>
        <w:t>that adolescent boys who were stopped by police without having broken the law were more likely to engage in illegal behavior later in life.</w:t>
      </w:r>
      <w:r w:rsidRPr="00D920C9">
        <w:rPr>
          <w:rFonts w:asciiTheme="minorHAnsi" w:hAnsiTheme="minorHAnsi"/>
          <w:vertAlign w:val="superscript"/>
        </w:rPr>
        <w:footnoteReference w:id="133"/>
      </w:r>
      <w:r w:rsidRPr="00D920C9">
        <w:rPr>
          <w:rFonts w:asciiTheme="minorHAnsi" w:hAnsiTheme="minorHAnsi"/>
          <w:szCs w:val="20"/>
        </w:rPr>
        <w:t xml:space="preserve"> Given </w:t>
      </w:r>
      <w:r w:rsidR="002E5EBF" w:rsidRPr="00D920C9">
        <w:rPr>
          <w:rFonts w:asciiTheme="minorHAnsi" w:hAnsiTheme="minorHAnsi"/>
          <w:szCs w:val="20"/>
        </w:rPr>
        <w:t>these indicia</w:t>
      </w:r>
      <w:r w:rsidRPr="00D920C9">
        <w:rPr>
          <w:rFonts w:asciiTheme="minorHAnsi" w:hAnsiTheme="minorHAnsi"/>
          <w:szCs w:val="20"/>
        </w:rPr>
        <w:t xml:space="preserve"> that the impact of racial profiling on communities is extensive and profound, the Commission </w:t>
      </w:r>
      <w:r w:rsidR="0004541B" w:rsidRPr="00D920C9">
        <w:rPr>
          <w:rFonts w:asciiTheme="minorHAnsi" w:hAnsiTheme="minorHAnsi"/>
          <w:szCs w:val="20"/>
        </w:rPr>
        <w:t>considers that it is necessary for</w:t>
      </w:r>
      <w:r w:rsidRPr="00D920C9">
        <w:rPr>
          <w:rFonts w:asciiTheme="minorHAnsi" w:hAnsiTheme="minorHAnsi"/>
          <w:szCs w:val="20"/>
        </w:rPr>
        <w:t xml:space="preserve"> the State to further these studies in order to appropriately formulate policy that prevents racial discrimination and remedies its impacts.</w:t>
      </w:r>
      <w:bookmarkEnd w:id="60"/>
    </w:p>
    <w:p w14:paraId="6AF5BD26" w14:textId="77777777" w:rsidR="003A6467" w:rsidRPr="00D920C9" w:rsidRDefault="00E53CBE"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61" w:name="_Ref507084368"/>
      <w:r w:rsidRPr="00D920C9">
        <w:rPr>
          <w:rFonts w:asciiTheme="minorHAnsi" w:hAnsiTheme="minorHAnsi"/>
          <w:szCs w:val="20"/>
        </w:rPr>
        <w:t>The Commission has received information</w:t>
      </w:r>
      <w:r w:rsidR="00F72D62" w:rsidRPr="00D920C9">
        <w:rPr>
          <w:rFonts w:asciiTheme="minorHAnsi" w:hAnsiTheme="minorHAnsi"/>
          <w:szCs w:val="20"/>
        </w:rPr>
        <w:t xml:space="preserve"> via public hearings and monitoring mechanisms</w:t>
      </w:r>
      <w:r w:rsidR="00F72D62" w:rsidRPr="00D920C9">
        <w:rPr>
          <w:rFonts w:asciiTheme="minorHAnsi" w:hAnsiTheme="minorHAnsi"/>
          <w:vertAlign w:val="superscript"/>
        </w:rPr>
        <w:footnoteReference w:id="134"/>
      </w:r>
      <w:r w:rsidRPr="00D920C9">
        <w:rPr>
          <w:rFonts w:asciiTheme="minorHAnsi" w:hAnsiTheme="minorHAnsi"/>
          <w:szCs w:val="20"/>
        </w:rPr>
        <w:t xml:space="preserve"> about the </w:t>
      </w:r>
      <w:r w:rsidR="003A6467" w:rsidRPr="00D920C9">
        <w:rPr>
          <w:rFonts w:asciiTheme="minorHAnsi" w:hAnsiTheme="minorHAnsi"/>
          <w:szCs w:val="20"/>
        </w:rPr>
        <w:t>New York Police Department</w:t>
      </w:r>
      <w:r w:rsidRPr="00D920C9">
        <w:rPr>
          <w:rFonts w:asciiTheme="minorHAnsi" w:hAnsiTheme="minorHAnsi"/>
          <w:szCs w:val="20"/>
        </w:rPr>
        <w:t>’s</w:t>
      </w:r>
      <w:r w:rsidR="003A6467" w:rsidRPr="00D920C9">
        <w:rPr>
          <w:rFonts w:asciiTheme="minorHAnsi" w:hAnsiTheme="minorHAnsi"/>
          <w:szCs w:val="20"/>
        </w:rPr>
        <w:t xml:space="preserve"> (NYPD) “Stop, Question, and Frisk</w:t>
      </w:r>
      <w:r w:rsidRPr="00D920C9">
        <w:rPr>
          <w:rFonts w:asciiTheme="minorHAnsi" w:hAnsiTheme="minorHAnsi"/>
          <w:szCs w:val="20"/>
        </w:rPr>
        <w:t>” policy</w:t>
      </w:r>
      <w:r w:rsidR="00F72D62" w:rsidRPr="00D920C9">
        <w:rPr>
          <w:rFonts w:asciiTheme="minorHAnsi" w:hAnsiTheme="minorHAnsi"/>
          <w:szCs w:val="20"/>
        </w:rPr>
        <w:t>, first introduced in the 1990s,</w:t>
      </w:r>
      <w:r w:rsidR="003A6467" w:rsidRPr="00D920C9">
        <w:rPr>
          <w:rFonts w:asciiTheme="minorHAnsi" w:hAnsiTheme="minorHAnsi"/>
          <w:szCs w:val="20"/>
        </w:rPr>
        <w:t xml:space="preserve"> which involves temporarily detaining, questioning, and at times searching civilians on the street for weapons and other contraband.</w:t>
      </w:r>
      <w:r w:rsidR="003A6467" w:rsidRPr="00D920C9">
        <w:rPr>
          <w:rFonts w:asciiTheme="minorHAnsi" w:hAnsiTheme="minorHAnsi"/>
          <w:vertAlign w:val="superscript"/>
        </w:rPr>
        <w:footnoteReference w:id="135"/>
      </w:r>
      <w:r w:rsidR="003A6467" w:rsidRPr="00D920C9">
        <w:rPr>
          <w:rFonts w:asciiTheme="minorHAnsi" w:hAnsiTheme="minorHAnsi"/>
          <w:szCs w:val="20"/>
        </w:rPr>
        <w:t xml:space="preserve"> </w:t>
      </w:r>
      <w:r w:rsidR="008445C0" w:rsidRPr="00D920C9">
        <w:rPr>
          <w:rFonts w:asciiTheme="minorHAnsi" w:hAnsiTheme="minorHAnsi"/>
          <w:szCs w:val="20"/>
        </w:rPr>
        <w:t xml:space="preserve">Available information indicates that </w:t>
      </w:r>
      <w:r w:rsidR="00F15232" w:rsidRPr="00D920C9">
        <w:rPr>
          <w:rFonts w:asciiTheme="minorHAnsi" w:hAnsiTheme="minorHAnsi"/>
          <w:szCs w:val="20"/>
        </w:rPr>
        <w:t>this policy</w:t>
      </w:r>
      <w:r w:rsidR="008445C0" w:rsidRPr="00D920C9">
        <w:rPr>
          <w:rFonts w:asciiTheme="minorHAnsi" w:hAnsiTheme="minorHAnsi"/>
          <w:szCs w:val="20"/>
        </w:rPr>
        <w:t xml:space="preserve"> has been ineffective in reducing criminality,</w:t>
      </w:r>
      <w:r w:rsidR="008445C0" w:rsidRPr="00D920C9">
        <w:rPr>
          <w:rFonts w:asciiTheme="minorHAnsi" w:hAnsiTheme="minorHAnsi"/>
          <w:vertAlign w:val="superscript"/>
        </w:rPr>
        <w:footnoteReference w:id="136"/>
      </w:r>
      <w:r w:rsidR="008445C0" w:rsidRPr="00D920C9">
        <w:rPr>
          <w:rFonts w:asciiTheme="minorHAnsi" w:hAnsiTheme="minorHAnsi"/>
          <w:szCs w:val="20"/>
        </w:rPr>
        <w:t xml:space="preserve"> and has had a clear discriminatory impact on historically marginalized groups, including African</w:t>
      </w:r>
      <w:r w:rsidR="0030356C" w:rsidRPr="00D920C9">
        <w:rPr>
          <w:rFonts w:asciiTheme="minorHAnsi" w:hAnsiTheme="minorHAnsi"/>
          <w:szCs w:val="20"/>
        </w:rPr>
        <w:t xml:space="preserve"> </w:t>
      </w:r>
      <w:r w:rsidR="008445C0" w:rsidRPr="00D920C9">
        <w:rPr>
          <w:rFonts w:asciiTheme="minorHAnsi" w:hAnsiTheme="minorHAnsi"/>
          <w:szCs w:val="20"/>
        </w:rPr>
        <w:t xml:space="preserve">Americans. </w:t>
      </w:r>
      <w:r w:rsidR="00F72D62" w:rsidRPr="00D920C9">
        <w:rPr>
          <w:rFonts w:asciiTheme="minorHAnsi" w:hAnsiTheme="minorHAnsi"/>
          <w:szCs w:val="20"/>
        </w:rPr>
        <w:t xml:space="preserve">The program is </w:t>
      </w:r>
      <w:r w:rsidR="00F72D62" w:rsidRPr="00D920C9">
        <w:rPr>
          <w:rFonts w:asciiTheme="minorHAnsi" w:hAnsiTheme="minorHAnsi"/>
          <w:szCs w:val="20"/>
        </w:rPr>
        <w:lastRenderedPageBreak/>
        <w:t xml:space="preserve">furthermore characterized by heavy over-policing of certain neighborhoods and groups. </w:t>
      </w:r>
      <w:r w:rsidR="008445C0" w:rsidRPr="00D920C9">
        <w:rPr>
          <w:rFonts w:asciiTheme="minorHAnsi" w:hAnsiTheme="minorHAnsi"/>
          <w:szCs w:val="20"/>
        </w:rPr>
        <w:t>For example, one study found that nearly 85 percent of a sample of summonses issued in New York City between 2002 and 2012 were issued to African</w:t>
      </w:r>
      <w:r w:rsidR="0030356C" w:rsidRPr="00D920C9">
        <w:rPr>
          <w:rFonts w:asciiTheme="minorHAnsi" w:hAnsiTheme="minorHAnsi"/>
          <w:szCs w:val="20"/>
        </w:rPr>
        <w:t xml:space="preserve"> </w:t>
      </w:r>
      <w:r w:rsidR="008445C0" w:rsidRPr="00D920C9">
        <w:rPr>
          <w:rFonts w:asciiTheme="minorHAnsi" w:hAnsiTheme="minorHAnsi"/>
          <w:szCs w:val="20"/>
        </w:rPr>
        <w:t>Americans or Latinos.</w:t>
      </w:r>
      <w:r w:rsidR="008445C0" w:rsidRPr="00D920C9">
        <w:rPr>
          <w:rFonts w:asciiTheme="minorHAnsi" w:hAnsiTheme="minorHAnsi"/>
          <w:vertAlign w:val="superscript"/>
        </w:rPr>
        <w:footnoteReference w:id="137"/>
      </w:r>
      <w:r w:rsidR="00F72D62" w:rsidRPr="00D920C9">
        <w:rPr>
          <w:rFonts w:asciiTheme="minorHAnsi" w:hAnsiTheme="minorHAnsi"/>
          <w:szCs w:val="20"/>
        </w:rPr>
        <w:t xml:space="preserve"> </w:t>
      </w:r>
      <w:r w:rsidR="003A6467" w:rsidRPr="00D920C9">
        <w:rPr>
          <w:rFonts w:asciiTheme="minorHAnsi" w:hAnsiTheme="minorHAnsi"/>
          <w:szCs w:val="20"/>
        </w:rPr>
        <w:t>In 2013, a federal judge found the program unconstitutional and placed it under the supervision of an independent monitor to oversee a series of reforms.</w:t>
      </w:r>
      <w:r w:rsidR="003A6467" w:rsidRPr="00D920C9">
        <w:rPr>
          <w:rFonts w:asciiTheme="minorHAnsi" w:hAnsiTheme="minorHAnsi"/>
          <w:vertAlign w:val="superscript"/>
        </w:rPr>
        <w:footnoteReference w:id="138"/>
      </w:r>
      <w:r w:rsidR="003A6467" w:rsidRPr="00D920C9">
        <w:rPr>
          <w:rFonts w:asciiTheme="minorHAnsi" w:hAnsiTheme="minorHAnsi"/>
          <w:szCs w:val="20"/>
        </w:rPr>
        <w:t xml:space="preserve"> </w:t>
      </w:r>
      <w:r w:rsidR="00F72D62" w:rsidRPr="00D920C9">
        <w:rPr>
          <w:rFonts w:asciiTheme="minorHAnsi" w:hAnsiTheme="minorHAnsi"/>
          <w:szCs w:val="20"/>
        </w:rPr>
        <w:t>At its peak in 2011, the NYPD made 685,724 stops under the policy; this has since fallen to 12,404 stops under the policy in 2016, the most recent calendar year for which data are available.</w:t>
      </w:r>
      <w:r w:rsidR="00F72D62" w:rsidRPr="00D920C9">
        <w:rPr>
          <w:rFonts w:asciiTheme="minorHAnsi" w:hAnsiTheme="minorHAnsi"/>
          <w:vertAlign w:val="superscript"/>
        </w:rPr>
        <w:footnoteReference w:id="139"/>
      </w:r>
      <w:r w:rsidR="00F72D62" w:rsidRPr="00D920C9">
        <w:rPr>
          <w:rFonts w:asciiTheme="minorHAnsi" w:hAnsiTheme="minorHAnsi"/>
          <w:szCs w:val="20"/>
        </w:rPr>
        <w:t xml:space="preserve"> </w:t>
      </w:r>
      <w:r w:rsidR="003A6467" w:rsidRPr="00D920C9">
        <w:rPr>
          <w:rFonts w:asciiTheme="minorHAnsi" w:hAnsiTheme="minorHAnsi"/>
          <w:szCs w:val="20"/>
        </w:rPr>
        <w:t>It is notable that even as the total number of stops has fallen dramatically in the past six years, disproportionate stops of African</w:t>
      </w:r>
      <w:r w:rsidR="0030356C" w:rsidRPr="00D920C9">
        <w:rPr>
          <w:rFonts w:asciiTheme="minorHAnsi" w:hAnsiTheme="minorHAnsi"/>
          <w:szCs w:val="20"/>
        </w:rPr>
        <w:t xml:space="preserve"> </w:t>
      </w:r>
      <w:r w:rsidR="003A6467" w:rsidRPr="00D920C9">
        <w:rPr>
          <w:rFonts w:asciiTheme="minorHAnsi" w:hAnsiTheme="minorHAnsi"/>
          <w:szCs w:val="20"/>
        </w:rPr>
        <w:t>Americans and Latinos have not. In 2011, 53 percent of those stopped were African</w:t>
      </w:r>
      <w:r w:rsidR="0030356C" w:rsidRPr="00D920C9">
        <w:rPr>
          <w:rFonts w:asciiTheme="minorHAnsi" w:hAnsiTheme="minorHAnsi"/>
          <w:szCs w:val="20"/>
        </w:rPr>
        <w:t xml:space="preserve"> </w:t>
      </w:r>
      <w:r w:rsidR="003A6467" w:rsidRPr="00D920C9">
        <w:rPr>
          <w:rFonts w:asciiTheme="minorHAnsi" w:hAnsiTheme="minorHAnsi"/>
          <w:szCs w:val="20"/>
        </w:rPr>
        <w:t>American and 34 percent were Latino</w:t>
      </w:r>
      <w:r w:rsidR="00F72D62" w:rsidRPr="00D920C9">
        <w:rPr>
          <w:rFonts w:asciiTheme="minorHAnsi" w:hAnsiTheme="minorHAnsi"/>
          <w:szCs w:val="20"/>
        </w:rPr>
        <w:t>. T</w:t>
      </w:r>
      <w:r w:rsidR="003A6467" w:rsidRPr="00D920C9">
        <w:rPr>
          <w:rFonts w:asciiTheme="minorHAnsi" w:hAnsiTheme="minorHAnsi"/>
          <w:szCs w:val="20"/>
        </w:rPr>
        <w:t>hese numbers have remained virtually the same over the years</w:t>
      </w:r>
      <w:r w:rsidR="00F72D62" w:rsidRPr="00D920C9">
        <w:rPr>
          <w:rFonts w:asciiTheme="minorHAnsi" w:hAnsiTheme="minorHAnsi"/>
          <w:szCs w:val="20"/>
        </w:rPr>
        <w:t>;</w:t>
      </w:r>
      <w:r w:rsidR="003A6467" w:rsidRPr="00D920C9">
        <w:rPr>
          <w:rFonts w:asciiTheme="minorHAnsi" w:hAnsiTheme="minorHAnsi"/>
          <w:szCs w:val="20"/>
        </w:rPr>
        <w:t xml:space="preserve"> </w:t>
      </w:r>
      <w:r w:rsidR="00F72D62" w:rsidRPr="00D920C9">
        <w:rPr>
          <w:rFonts w:asciiTheme="minorHAnsi" w:hAnsiTheme="minorHAnsi"/>
          <w:szCs w:val="20"/>
        </w:rPr>
        <w:t>in 2016, 52 percent of New Yorkers stopped by police were African</w:t>
      </w:r>
      <w:r w:rsidR="0030356C" w:rsidRPr="00D920C9">
        <w:rPr>
          <w:rFonts w:asciiTheme="minorHAnsi" w:hAnsiTheme="minorHAnsi"/>
          <w:szCs w:val="20"/>
        </w:rPr>
        <w:t xml:space="preserve"> </w:t>
      </w:r>
      <w:r w:rsidR="00F72D62" w:rsidRPr="00D920C9">
        <w:rPr>
          <w:rFonts w:asciiTheme="minorHAnsi" w:hAnsiTheme="minorHAnsi"/>
          <w:szCs w:val="20"/>
        </w:rPr>
        <w:t>Americans,</w:t>
      </w:r>
      <w:r w:rsidR="00F72D62" w:rsidRPr="00D920C9">
        <w:rPr>
          <w:rFonts w:asciiTheme="minorHAnsi" w:hAnsiTheme="minorHAnsi"/>
          <w:szCs w:val="20"/>
          <w:vertAlign w:val="superscript"/>
        </w:rPr>
        <w:footnoteReference w:id="140"/>
      </w:r>
      <w:r w:rsidR="00F72D62" w:rsidRPr="00D920C9">
        <w:rPr>
          <w:rFonts w:asciiTheme="minorHAnsi" w:hAnsiTheme="minorHAnsi"/>
          <w:szCs w:val="20"/>
        </w:rPr>
        <w:t xml:space="preserve"> despite representing only 25 percent of the city’s population,</w:t>
      </w:r>
      <w:r w:rsidR="00F72D62" w:rsidRPr="00D920C9">
        <w:rPr>
          <w:rFonts w:asciiTheme="minorHAnsi" w:hAnsiTheme="minorHAnsi"/>
          <w:szCs w:val="20"/>
          <w:vertAlign w:val="superscript"/>
        </w:rPr>
        <w:footnoteReference w:id="141"/>
      </w:r>
      <w:r w:rsidR="00F72D62" w:rsidRPr="00D920C9">
        <w:rPr>
          <w:rFonts w:asciiTheme="minorHAnsi" w:hAnsiTheme="minorHAnsi"/>
          <w:szCs w:val="20"/>
        </w:rPr>
        <w:t xml:space="preserve"> </w:t>
      </w:r>
      <w:r w:rsidR="003A6467" w:rsidRPr="00D920C9">
        <w:rPr>
          <w:rFonts w:asciiTheme="minorHAnsi" w:hAnsiTheme="minorHAnsi"/>
          <w:szCs w:val="20"/>
        </w:rPr>
        <w:t>and during the first quarter of 2017, 57 percent of those stopped were African</w:t>
      </w:r>
      <w:r w:rsidR="0030356C" w:rsidRPr="00D920C9">
        <w:rPr>
          <w:rFonts w:asciiTheme="minorHAnsi" w:hAnsiTheme="minorHAnsi"/>
          <w:szCs w:val="20"/>
        </w:rPr>
        <w:t xml:space="preserve"> </w:t>
      </w:r>
      <w:r w:rsidR="003A6467" w:rsidRPr="00D920C9">
        <w:rPr>
          <w:rFonts w:asciiTheme="minorHAnsi" w:hAnsiTheme="minorHAnsi"/>
          <w:szCs w:val="20"/>
        </w:rPr>
        <w:t>American and 32 percent were Latino.</w:t>
      </w:r>
      <w:r w:rsidR="003A6467" w:rsidRPr="00D920C9">
        <w:rPr>
          <w:rFonts w:asciiTheme="minorHAnsi" w:hAnsiTheme="minorHAnsi"/>
          <w:vertAlign w:val="superscript"/>
        </w:rPr>
        <w:footnoteReference w:id="142"/>
      </w:r>
      <w:bookmarkEnd w:id="61"/>
    </w:p>
    <w:p w14:paraId="70664BB8" w14:textId="77777777" w:rsidR="003A6467" w:rsidRPr="00D920C9" w:rsidRDefault="005718C8" w:rsidP="002C64F8">
      <w:pPr>
        <w:pStyle w:val="ListParagraph"/>
        <w:numPr>
          <w:ilvl w:val="0"/>
          <w:numId w:val="9"/>
        </w:numPr>
        <w:spacing w:after="240" w:line="240" w:lineRule="auto"/>
        <w:ind w:left="547" w:hanging="547"/>
        <w:contextualSpacing w:val="0"/>
        <w:jc w:val="both"/>
        <w:rPr>
          <w:rFonts w:asciiTheme="minorHAnsi" w:eastAsia="Times New Roman" w:hAnsiTheme="minorHAnsi"/>
          <w:szCs w:val="20"/>
          <w:lang w:eastAsia="es-ES"/>
        </w:rPr>
      </w:pPr>
      <w:bookmarkStart w:id="62" w:name="_Ref507597159"/>
      <w:r w:rsidRPr="00D920C9">
        <w:rPr>
          <w:rFonts w:asciiTheme="minorHAnsi" w:hAnsiTheme="minorHAnsi"/>
          <w:szCs w:val="20"/>
        </w:rPr>
        <w:t xml:space="preserve">Information received by the Commission indicates that </w:t>
      </w:r>
      <w:r w:rsidR="00035A87" w:rsidRPr="00D920C9">
        <w:rPr>
          <w:rFonts w:asciiTheme="minorHAnsi" w:hAnsiTheme="minorHAnsi"/>
          <w:szCs w:val="20"/>
        </w:rPr>
        <w:t>the racial disparities in the NYPD’s practices are not unique</w:t>
      </w:r>
      <w:r w:rsidR="003A6467" w:rsidRPr="00D920C9">
        <w:rPr>
          <w:rFonts w:asciiTheme="minorHAnsi" w:hAnsiTheme="minorHAnsi"/>
          <w:szCs w:val="20"/>
        </w:rPr>
        <w:t>. For example, during its on-site visit to New Orleans, Louisiana, the Commission was informed</w:t>
      </w:r>
      <w:r w:rsidR="003A6467" w:rsidRPr="00D920C9">
        <w:rPr>
          <w:rFonts w:asciiTheme="minorHAnsi" w:eastAsia="MS Mincho" w:hAnsiTheme="minorHAnsi" w:cs="Calibri"/>
          <w:szCs w:val="20"/>
          <w:lang w:eastAsia="es-ES"/>
        </w:rPr>
        <w:t xml:space="preserve"> that 90 percent of those arrested by the police are African</w:t>
      </w:r>
      <w:r w:rsidR="0030356C" w:rsidRPr="00D920C9">
        <w:rPr>
          <w:rFonts w:asciiTheme="minorHAnsi" w:eastAsia="MS Mincho" w:hAnsiTheme="minorHAnsi" w:cs="Calibri"/>
          <w:szCs w:val="20"/>
          <w:lang w:eastAsia="es-ES"/>
        </w:rPr>
        <w:t xml:space="preserve"> </w:t>
      </w:r>
      <w:r w:rsidR="003A6467" w:rsidRPr="00D920C9">
        <w:rPr>
          <w:rFonts w:asciiTheme="minorHAnsi" w:eastAsia="MS Mincho" w:hAnsiTheme="minorHAnsi" w:cs="Calibri"/>
          <w:szCs w:val="20"/>
          <w:lang w:eastAsia="es-ES"/>
        </w:rPr>
        <w:t>American men under the age of 30,</w:t>
      </w:r>
      <w:r w:rsidR="003A6467" w:rsidRPr="00D920C9">
        <w:rPr>
          <w:rStyle w:val="FootnoteReference"/>
          <w:rFonts w:asciiTheme="minorHAnsi" w:eastAsia="MS Mincho" w:hAnsiTheme="minorHAnsi" w:cs="Calibri"/>
          <w:szCs w:val="20"/>
          <w:lang w:eastAsia="es-ES"/>
        </w:rPr>
        <w:footnoteReference w:id="143"/>
      </w:r>
      <w:r w:rsidR="003A6467" w:rsidRPr="00D920C9">
        <w:rPr>
          <w:rFonts w:asciiTheme="minorHAnsi" w:eastAsia="MS Mincho" w:hAnsiTheme="minorHAnsi" w:cs="Calibri"/>
          <w:szCs w:val="20"/>
          <w:lang w:eastAsia="es-ES"/>
        </w:rPr>
        <w:t xml:space="preserve"> though only about 60 percent of the population is African</w:t>
      </w:r>
      <w:r w:rsidR="0030356C" w:rsidRPr="00D920C9">
        <w:rPr>
          <w:rFonts w:asciiTheme="minorHAnsi" w:eastAsia="MS Mincho" w:hAnsiTheme="minorHAnsi" w:cs="Calibri"/>
          <w:szCs w:val="20"/>
          <w:lang w:eastAsia="es-ES"/>
        </w:rPr>
        <w:t xml:space="preserve"> </w:t>
      </w:r>
      <w:r w:rsidR="003A6467" w:rsidRPr="00D920C9">
        <w:rPr>
          <w:rFonts w:asciiTheme="minorHAnsi" w:eastAsia="MS Mincho" w:hAnsiTheme="minorHAnsi" w:cs="Calibri"/>
          <w:szCs w:val="20"/>
          <w:lang w:eastAsia="es-ES"/>
        </w:rPr>
        <w:t xml:space="preserve">American. </w:t>
      </w:r>
      <w:r w:rsidR="00691203" w:rsidRPr="00D920C9">
        <w:rPr>
          <w:rFonts w:asciiTheme="minorHAnsi" w:eastAsia="Times New Roman" w:hAnsiTheme="minorHAnsi"/>
          <w:szCs w:val="20"/>
        </w:rPr>
        <w:t>Another analysis showed that i</w:t>
      </w:r>
      <w:r w:rsidR="003A6467" w:rsidRPr="00D920C9">
        <w:rPr>
          <w:rFonts w:asciiTheme="minorHAnsi" w:eastAsia="Times New Roman" w:hAnsiTheme="minorHAnsi"/>
          <w:szCs w:val="20"/>
        </w:rPr>
        <w:t>n summer 2014, African</w:t>
      </w:r>
      <w:r w:rsidR="0030356C" w:rsidRPr="00D920C9">
        <w:rPr>
          <w:rFonts w:asciiTheme="minorHAnsi" w:eastAsia="Times New Roman" w:hAnsiTheme="minorHAnsi"/>
          <w:szCs w:val="20"/>
        </w:rPr>
        <w:t xml:space="preserve"> </w:t>
      </w:r>
      <w:r w:rsidR="003A6467" w:rsidRPr="00D920C9">
        <w:rPr>
          <w:rFonts w:asciiTheme="minorHAnsi" w:eastAsia="Times New Roman" w:hAnsiTheme="minorHAnsi"/>
          <w:szCs w:val="20"/>
        </w:rPr>
        <w:t>American residents were the subjects of approximately three-quarters of all “Stop and Frisk” approaches in Chicago, despite making up just 32 percent of the population.</w:t>
      </w:r>
      <w:r w:rsidR="003A6467" w:rsidRPr="00D920C9">
        <w:rPr>
          <w:rFonts w:asciiTheme="minorHAnsi" w:hAnsiTheme="minorHAnsi"/>
          <w:szCs w:val="20"/>
          <w:vertAlign w:val="superscript"/>
        </w:rPr>
        <w:footnoteReference w:id="144"/>
      </w:r>
      <w:r w:rsidR="003A6467" w:rsidRPr="00D920C9">
        <w:rPr>
          <w:rFonts w:asciiTheme="minorHAnsi" w:eastAsia="Times New Roman" w:hAnsiTheme="minorHAnsi"/>
          <w:szCs w:val="20"/>
        </w:rPr>
        <w:t xml:space="preserve"> In August 2015, the ACLU of Illinois reached an agreement with the Chicago Police Department to reform its “Stop and Frisk” policy; detailed information on the results of the program since that time is not available.</w:t>
      </w:r>
      <w:r w:rsidR="003A6467" w:rsidRPr="00D920C9">
        <w:rPr>
          <w:rStyle w:val="FootnoteReference"/>
          <w:rFonts w:asciiTheme="minorHAnsi" w:eastAsia="Times New Roman" w:hAnsiTheme="minorHAnsi"/>
          <w:szCs w:val="20"/>
        </w:rPr>
        <w:footnoteReference w:id="145"/>
      </w:r>
      <w:r w:rsidR="003A6467" w:rsidRPr="00D920C9">
        <w:rPr>
          <w:rFonts w:asciiTheme="minorHAnsi" w:eastAsia="Times New Roman" w:hAnsiTheme="minorHAnsi"/>
          <w:szCs w:val="20"/>
        </w:rPr>
        <w:t xml:space="preserve"> Studies have found similar patterns of racial bias in policing in Minneapolis, Minnesota;</w:t>
      </w:r>
      <w:r w:rsidR="003A6467" w:rsidRPr="00D920C9">
        <w:rPr>
          <w:rStyle w:val="FootnoteReference"/>
          <w:rFonts w:asciiTheme="minorHAnsi" w:eastAsia="Times New Roman" w:hAnsiTheme="minorHAnsi"/>
          <w:szCs w:val="20"/>
        </w:rPr>
        <w:footnoteReference w:id="146"/>
      </w:r>
      <w:r w:rsidR="003A6467" w:rsidRPr="00D920C9">
        <w:rPr>
          <w:rFonts w:asciiTheme="minorHAnsi" w:eastAsia="Times New Roman" w:hAnsiTheme="minorHAnsi"/>
          <w:szCs w:val="20"/>
        </w:rPr>
        <w:t xml:space="preserve"> Washington, DC;</w:t>
      </w:r>
      <w:r w:rsidR="003A6467" w:rsidRPr="00D920C9">
        <w:rPr>
          <w:rStyle w:val="FootnoteReference"/>
          <w:rFonts w:asciiTheme="minorHAnsi" w:eastAsia="Times New Roman" w:hAnsiTheme="minorHAnsi"/>
          <w:szCs w:val="20"/>
        </w:rPr>
        <w:footnoteReference w:id="147"/>
      </w:r>
      <w:r w:rsidR="003A6467" w:rsidRPr="00D920C9">
        <w:rPr>
          <w:rFonts w:asciiTheme="minorHAnsi" w:eastAsia="Times New Roman" w:hAnsiTheme="minorHAnsi"/>
          <w:szCs w:val="20"/>
        </w:rPr>
        <w:t xml:space="preserve"> Los Angeles, </w:t>
      </w:r>
      <w:r w:rsidR="003A6467" w:rsidRPr="00D920C9">
        <w:rPr>
          <w:rFonts w:asciiTheme="minorHAnsi" w:eastAsia="Times New Roman" w:hAnsiTheme="minorHAnsi"/>
          <w:szCs w:val="20"/>
        </w:rPr>
        <w:lastRenderedPageBreak/>
        <w:t>California;</w:t>
      </w:r>
      <w:r w:rsidR="003A6467" w:rsidRPr="00D920C9">
        <w:rPr>
          <w:rStyle w:val="FootnoteReference"/>
          <w:rFonts w:asciiTheme="minorHAnsi" w:eastAsia="Times New Roman" w:hAnsiTheme="minorHAnsi"/>
          <w:szCs w:val="20"/>
        </w:rPr>
        <w:footnoteReference w:id="148"/>
      </w:r>
      <w:r w:rsidR="003A6467" w:rsidRPr="00D920C9">
        <w:rPr>
          <w:rFonts w:asciiTheme="minorHAnsi" w:eastAsia="Times New Roman" w:hAnsiTheme="minorHAnsi"/>
          <w:szCs w:val="20"/>
        </w:rPr>
        <w:t xml:space="preserve"> </w:t>
      </w:r>
      <w:r w:rsidR="00782BD3" w:rsidRPr="00D920C9">
        <w:rPr>
          <w:rFonts w:asciiTheme="minorHAnsi" w:eastAsia="Times New Roman" w:hAnsiTheme="minorHAnsi"/>
          <w:szCs w:val="20"/>
        </w:rPr>
        <w:t>Jacksonville, Florida;</w:t>
      </w:r>
      <w:r w:rsidR="00782BD3" w:rsidRPr="00D920C9">
        <w:rPr>
          <w:rStyle w:val="FootnoteReference"/>
          <w:rFonts w:asciiTheme="minorHAnsi" w:eastAsia="Times New Roman" w:hAnsiTheme="minorHAnsi"/>
          <w:szCs w:val="20"/>
        </w:rPr>
        <w:footnoteReference w:id="149"/>
      </w:r>
      <w:r w:rsidR="00782BD3" w:rsidRPr="00D920C9">
        <w:rPr>
          <w:rFonts w:asciiTheme="minorHAnsi" w:eastAsia="Times New Roman" w:hAnsiTheme="minorHAnsi"/>
          <w:szCs w:val="20"/>
        </w:rPr>
        <w:t xml:space="preserve"> </w:t>
      </w:r>
      <w:r w:rsidR="003A6467" w:rsidRPr="00D920C9">
        <w:rPr>
          <w:rFonts w:asciiTheme="minorHAnsi" w:eastAsia="Times New Roman" w:hAnsiTheme="minorHAnsi"/>
          <w:szCs w:val="20"/>
        </w:rPr>
        <w:t>Baltimore, Maryland; Cleveland, Ohio; Albuquerque, New Mexico;</w:t>
      </w:r>
      <w:r w:rsidR="00F15232" w:rsidRPr="00D920C9">
        <w:rPr>
          <w:rFonts w:asciiTheme="minorHAnsi" w:eastAsia="Times New Roman" w:hAnsiTheme="minorHAnsi"/>
          <w:szCs w:val="20"/>
        </w:rPr>
        <w:t xml:space="preserve"> and</w:t>
      </w:r>
      <w:r w:rsidR="003A6467" w:rsidRPr="00D920C9">
        <w:rPr>
          <w:rFonts w:asciiTheme="minorHAnsi" w:eastAsia="Times New Roman" w:hAnsiTheme="minorHAnsi"/>
          <w:szCs w:val="20"/>
        </w:rPr>
        <w:t xml:space="preserve"> Portland, Oregon;</w:t>
      </w:r>
      <w:r w:rsidR="003A6467" w:rsidRPr="00D920C9">
        <w:rPr>
          <w:rStyle w:val="FootnoteReference"/>
          <w:rFonts w:asciiTheme="minorHAnsi" w:eastAsia="Times New Roman" w:hAnsiTheme="minorHAnsi"/>
          <w:szCs w:val="20"/>
        </w:rPr>
        <w:footnoteReference w:id="150"/>
      </w:r>
      <w:r w:rsidR="003A6467" w:rsidRPr="00D920C9">
        <w:rPr>
          <w:rFonts w:asciiTheme="minorHAnsi" w:eastAsia="Times New Roman" w:hAnsiTheme="minorHAnsi"/>
          <w:szCs w:val="20"/>
        </w:rPr>
        <w:t xml:space="preserve"> </w:t>
      </w:r>
      <w:r w:rsidR="00F15232" w:rsidRPr="00D920C9">
        <w:rPr>
          <w:rFonts w:asciiTheme="minorHAnsi" w:eastAsia="Times New Roman" w:hAnsiTheme="minorHAnsi"/>
          <w:szCs w:val="20"/>
        </w:rPr>
        <w:t>among</w:t>
      </w:r>
      <w:r w:rsidR="00402C78" w:rsidRPr="00D920C9">
        <w:rPr>
          <w:rFonts w:asciiTheme="minorHAnsi" w:eastAsia="Times New Roman" w:hAnsiTheme="minorHAnsi"/>
          <w:szCs w:val="20"/>
        </w:rPr>
        <w:t xml:space="preserve"> other cities.</w:t>
      </w:r>
      <w:bookmarkEnd w:id="62"/>
    </w:p>
    <w:p w14:paraId="1F73C7DC" w14:textId="4DDD7D75" w:rsidR="00FE4A90" w:rsidRPr="00D920C9" w:rsidRDefault="008445C0" w:rsidP="002C64F8">
      <w:pPr>
        <w:pStyle w:val="ListParagraph"/>
        <w:numPr>
          <w:ilvl w:val="0"/>
          <w:numId w:val="9"/>
        </w:numPr>
        <w:spacing w:after="240" w:line="240" w:lineRule="auto"/>
        <w:ind w:left="547" w:hanging="547"/>
        <w:contextualSpacing w:val="0"/>
        <w:jc w:val="both"/>
        <w:rPr>
          <w:rFonts w:asciiTheme="minorHAnsi" w:eastAsia="Times New Roman" w:hAnsiTheme="minorHAnsi"/>
          <w:szCs w:val="20"/>
          <w:lang w:eastAsia="es-ES"/>
        </w:rPr>
      </w:pPr>
      <w:bookmarkStart w:id="63" w:name="_Ref511834780"/>
      <w:r w:rsidRPr="00D920C9">
        <w:rPr>
          <w:rFonts w:asciiTheme="minorHAnsi" w:eastAsiaTheme="minorEastAsia" w:hAnsiTheme="minorHAnsi" w:cs="Calibri"/>
          <w:szCs w:val="20"/>
          <w:lang w:eastAsia="es-ES"/>
        </w:rPr>
        <w:t>The over-policing of historically marginalized communities</w:t>
      </w:r>
      <w:r w:rsidR="005718C8" w:rsidRPr="00D920C9">
        <w:rPr>
          <w:rFonts w:asciiTheme="minorHAnsi" w:eastAsiaTheme="minorEastAsia" w:hAnsiTheme="minorHAnsi" w:cs="Calibri"/>
          <w:szCs w:val="20"/>
          <w:lang w:eastAsia="es-ES"/>
        </w:rPr>
        <w:t xml:space="preserve"> </w:t>
      </w:r>
      <w:r w:rsidRPr="00D920C9">
        <w:rPr>
          <w:rFonts w:asciiTheme="minorHAnsi" w:eastAsiaTheme="minorEastAsia" w:hAnsiTheme="minorHAnsi" w:cs="Calibri"/>
          <w:szCs w:val="20"/>
          <w:lang w:eastAsia="es-ES"/>
        </w:rPr>
        <w:t>is not limited to major cities</w:t>
      </w:r>
      <w:r w:rsidR="00FE4A90" w:rsidRPr="00D920C9">
        <w:rPr>
          <w:rFonts w:asciiTheme="minorHAnsi" w:eastAsiaTheme="minorEastAsia" w:hAnsiTheme="minorHAnsi" w:cs="Calibri"/>
          <w:szCs w:val="20"/>
          <w:lang w:eastAsia="es-ES"/>
        </w:rPr>
        <w:t>,</w:t>
      </w:r>
      <w:r w:rsidRPr="00D920C9">
        <w:rPr>
          <w:rFonts w:asciiTheme="minorHAnsi" w:eastAsiaTheme="minorEastAsia" w:hAnsiTheme="minorHAnsi" w:cs="Calibri"/>
          <w:szCs w:val="20"/>
          <w:lang w:eastAsia="es-ES"/>
        </w:rPr>
        <w:t xml:space="preserve"> </w:t>
      </w:r>
      <w:r w:rsidR="00691203" w:rsidRPr="00D920C9">
        <w:rPr>
          <w:rFonts w:asciiTheme="minorHAnsi" w:eastAsiaTheme="minorEastAsia" w:hAnsiTheme="minorHAnsi" w:cs="Calibri"/>
          <w:szCs w:val="20"/>
          <w:lang w:eastAsia="es-ES"/>
        </w:rPr>
        <w:t>and sometimes appears to be driven by a logic of policing for profit</w:t>
      </w:r>
      <w:r w:rsidRPr="00D920C9">
        <w:rPr>
          <w:rFonts w:asciiTheme="minorHAnsi" w:eastAsiaTheme="minorEastAsia" w:hAnsiTheme="minorHAnsi" w:cs="Calibri"/>
          <w:szCs w:val="20"/>
          <w:lang w:eastAsia="es-ES"/>
        </w:rPr>
        <w:t xml:space="preserve">. </w:t>
      </w:r>
      <w:r w:rsidR="00FE4A90" w:rsidRPr="00D920C9">
        <w:rPr>
          <w:rFonts w:asciiTheme="minorHAnsi" w:eastAsiaTheme="minorEastAsia" w:hAnsiTheme="minorHAnsi" w:cs="Calibri"/>
          <w:szCs w:val="20"/>
          <w:lang w:eastAsia="es-ES"/>
        </w:rPr>
        <w:t>The Commission observes with concern that policies exist across the country that treat the policing of petty crime</w:t>
      </w:r>
      <w:r w:rsidR="002E5EBF" w:rsidRPr="00D920C9">
        <w:rPr>
          <w:rFonts w:asciiTheme="minorHAnsi" w:eastAsiaTheme="minorEastAsia" w:hAnsiTheme="minorHAnsi" w:cs="Calibri"/>
          <w:szCs w:val="20"/>
          <w:lang w:eastAsia="es-ES"/>
        </w:rPr>
        <w:t xml:space="preserve"> and</w:t>
      </w:r>
      <w:r w:rsidR="00FE4A90" w:rsidRPr="00D920C9">
        <w:rPr>
          <w:rFonts w:asciiTheme="minorHAnsi" w:eastAsiaTheme="minorEastAsia" w:hAnsiTheme="minorHAnsi" w:cs="Calibri"/>
          <w:szCs w:val="20"/>
          <w:lang w:eastAsia="es-ES"/>
        </w:rPr>
        <w:t xml:space="preserve"> associated court fees as a revenue stream for the municipality. This is both out of step with the State’s obligations </w:t>
      </w:r>
      <w:r w:rsidR="00521D15" w:rsidRPr="00D920C9">
        <w:rPr>
          <w:rFonts w:asciiTheme="minorHAnsi" w:eastAsiaTheme="minorEastAsia" w:hAnsiTheme="minorHAnsi" w:cs="Calibri"/>
          <w:szCs w:val="20"/>
          <w:lang w:eastAsia="es-ES"/>
        </w:rPr>
        <w:t>regarding</w:t>
      </w:r>
      <w:r w:rsidR="00FE4A90" w:rsidRPr="00D920C9">
        <w:rPr>
          <w:rFonts w:asciiTheme="minorHAnsi" w:eastAsiaTheme="minorEastAsia" w:hAnsiTheme="minorHAnsi" w:cs="Calibri"/>
          <w:szCs w:val="20"/>
          <w:lang w:eastAsia="es-ES"/>
        </w:rPr>
        <w:t xml:space="preserve"> citizen </w:t>
      </w:r>
      <w:r w:rsidR="00FE4A90" w:rsidRPr="00D920C9">
        <w:rPr>
          <w:rFonts w:asciiTheme="minorHAnsi" w:hAnsiTheme="minorHAnsi"/>
          <w:szCs w:val="20"/>
        </w:rPr>
        <w:t>security</w:t>
      </w:r>
      <w:r w:rsidR="00FE4A90" w:rsidRPr="00D920C9">
        <w:rPr>
          <w:rFonts w:asciiTheme="minorHAnsi" w:eastAsiaTheme="minorEastAsia" w:hAnsiTheme="minorHAnsi" w:cs="Calibri"/>
          <w:szCs w:val="20"/>
          <w:lang w:eastAsia="es-ES"/>
        </w:rPr>
        <w:t xml:space="preserve">, and tends to have a disproportionate effect on poor and historically marginalized communities. </w:t>
      </w:r>
      <w:r w:rsidRPr="00D920C9">
        <w:rPr>
          <w:rFonts w:asciiTheme="minorHAnsi" w:eastAsiaTheme="minorEastAsia" w:hAnsiTheme="minorHAnsi" w:cs="Calibri"/>
          <w:szCs w:val="20"/>
          <w:lang w:eastAsia="es-ES"/>
        </w:rPr>
        <w:t xml:space="preserve">For example, the Commission was informed during a public hearing and during its on-site visit about the results of the </w:t>
      </w:r>
      <w:r w:rsidR="00691203" w:rsidRPr="00D920C9">
        <w:rPr>
          <w:rFonts w:asciiTheme="minorHAnsi" w:eastAsiaTheme="minorEastAsia" w:hAnsiTheme="minorHAnsi" w:cs="Calibri"/>
          <w:szCs w:val="20"/>
          <w:lang w:eastAsia="es-ES"/>
        </w:rPr>
        <w:t>Department of Justice (</w:t>
      </w:r>
      <w:r w:rsidRPr="00D920C9">
        <w:rPr>
          <w:rFonts w:asciiTheme="minorHAnsi" w:eastAsiaTheme="minorEastAsia" w:hAnsiTheme="minorHAnsi" w:cs="Calibri"/>
          <w:szCs w:val="20"/>
          <w:lang w:eastAsia="es-ES"/>
        </w:rPr>
        <w:t>DOJ</w:t>
      </w:r>
      <w:r w:rsidR="00691203" w:rsidRPr="00D920C9">
        <w:rPr>
          <w:rFonts w:asciiTheme="minorHAnsi" w:eastAsiaTheme="minorEastAsia" w:hAnsiTheme="minorHAnsi" w:cs="Calibri"/>
          <w:szCs w:val="20"/>
          <w:lang w:eastAsia="es-ES"/>
        </w:rPr>
        <w:t>)</w:t>
      </w:r>
      <w:r w:rsidRPr="00D920C9">
        <w:rPr>
          <w:rFonts w:asciiTheme="minorHAnsi" w:eastAsiaTheme="minorEastAsia" w:hAnsiTheme="minorHAnsi" w:cs="Calibri"/>
          <w:szCs w:val="20"/>
          <w:lang w:eastAsia="es-ES"/>
        </w:rPr>
        <w:t xml:space="preserve"> Civil Rights Division review of the Ferguson, Missouri police department.</w:t>
      </w:r>
      <w:r w:rsidR="00782BD3" w:rsidRPr="00D920C9">
        <w:rPr>
          <w:rStyle w:val="FootnoteReference"/>
          <w:rFonts w:asciiTheme="minorHAnsi" w:eastAsiaTheme="minorEastAsia" w:hAnsiTheme="minorHAnsi" w:cs="Calibri"/>
          <w:szCs w:val="20"/>
          <w:lang w:eastAsia="es-ES"/>
        </w:rPr>
        <w:footnoteReference w:id="151"/>
      </w:r>
      <w:r w:rsidRPr="00D920C9">
        <w:rPr>
          <w:rFonts w:asciiTheme="minorHAnsi" w:eastAsiaTheme="minorEastAsia" w:hAnsiTheme="minorHAnsi" w:cs="Calibri"/>
          <w:szCs w:val="20"/>
          <w:lang w:eastAsia="es-ES"/>
        </w:rPr>
        <w:t xml:space="preserve"> This review found systematic unconstitutional departmental practices regarding stops, arrests, and use of force, which disproportionately impact African</w:t>
      </w:r>
      <w:r w:rsidR="0030356C" w:rsidRPr="00D920C9">
        <w:rPr>
          <w:rFonts w:asciiTheme="minorHAnsi" w:eastAsiaTheme="minorEastAsia" w:hAnsiTheme="minorHAnsi" w:cs="Calibri"/>
          <w:szCs w:val="20"/>
          <w:lang w:eastAsia="es-ES"/>
        </w:rPr>
        <w:t xml:space="preserve"> </w:t>
      </w:r>
      <w:r w:rsidRPr="00D920C9">
        <w:rPr>
          <w:rFonts w:asciiTheme="minorHAnsi" w:eastAsiaTheme="minorEastAsia" w:hAnsiTheme="minorHAnsi" w:cs="Calibri"/>
          <w:szCs w:val="20"/>
          <w:lang w:eastAsia="es-ES"/>
        </w:rPr>
        <w:t xml:space="preserve">Americans. </w:t>
      </w:r>
      <w:r w:rsidR="00691203" w:rsidRPr="00D920C9">
        <w:rPr>
          <w:rFonts w:asciiTheme="minorHAnsi" w:eastAsiaTheme="minorEastAsia" w:hAnsiTheme="minorHAnsi" w:cs="Calibri"/>
          <w:szCs w:val="20"/>
          <w:lang w:eastAsia="es-ES"/>
        </w:rPr>
        <w:t>The DOJ</w:t>
      </w:r>
      <w:r w:rsidRPr="00D920C9">
        <w:rPr>
          <w:rFonts w:asciiTheme="minorHAnsi" w:eastAsiaTheme="minorEastAsia" w:hAnsiTheme="minorHAnsi" w:cs="Calibri"/>
          <w:szCs w:val="20"/>
          <w:lang w:eastAsia="es-ES"/>
        </w:rPr>
        <w:t xml:space="preserve"> further found that the city’s municipal court system systematically prioritizes revenue over public safety, leading to court practices that violate the </w:t>
      </w:r>
      <w:r w:rsidR="00410714" w:rsidRPr="00D920C9">
        <w:rPr>
          <w:rFonts w:asciiTheme="minorHAnsi" w:eastAsiaTheme="minorEastAsia" w:hAnsiTheme="minorHAnsi" w:cs="Calibri"/>
          <w:szCs w:val="20"/>
          <w:lang w:eastAsia="es-ES"/>
        </w:rPr>
        <w:t>Fourteenth</w:t>
      </w:r>
      <w:r w:rsidRPr="00D920C9">
        <w:rPr>
          <w:rFonts w:asciiTheme="minorHAnsi" w:eastAsiaTheme="minorEastAsia" w:hAnsiTheme="minorHAnsi" w:cs="Calibri"/>
          <w:szCs w:val="20"/>
          <w:lang w:eastAsia="es-ES"/>
        </w:rPr>
        <w:t xml:space="preserve"> Amendment, and that these court practices particularly impact Ferguson’s most vulnerable residents, especially upon those living in or near poverty. </w:t>
      </w:r>
      <w:r w:rsidR="00294551" w:rsidRPr="00D920C9">
        <w:rPr>
          <w:rFonts w:asciiTheme="minorHAnsi" w:eastAsiaTheme="minorEastAsia" w:hAnsiTheme="minorHAnsi" w:cs="Calibri"/>
          <w:szCs w:val="20"/>
          <w:lang w:eastAsia="es-ES"/>
        </w:rPr>
        <w:t>In Ferguson, fines may be imposed</w:t>
      </w:r>
      <w:bookmarkEnd w:id="63"/>
      <w:r w:rsidR="00D86045" w:rsidRPr="00D920C9">
        <w:rPr>
          <w:rFonts w:asciiTheme="minorHAnsi" w:eastAsiaTheme="minorEastAsia" w:hAnsiTheme="minorHAnsi" w:cs="Calibri"/>
          <w:szCs w:val="20"/>
          <w:lang w:eastAsia="es-ES"/>
        </w:rPr>
        <w:t>:</w:t>
      </w:r>
      <w:r w:rsidR="00294551" w:rsidRPr="00D920C9">
        <w:rPr>
          <w:rFonts w:asciiTheme="minorHAnsi" w:eastAsiaTheme="minorEastAsia" w:hAnsiTheme="minorHAnsi" w:cs="Calibri"/>
          <w:szCs w:val="20"/>
          <w:lang w:eastAsia="es-ES"/>
        </w:rPr>
        <w:t xml:space="preserve"> </w:t>
      </w:r>
    </w:p>
    <w:p w14:paraId="37C6F9B2" w14:textId="77777777" w:rsidR="00294551" w:rsidRPr="00D920C9" w:rsidRDefault="00294551" w:rsidP="0040052F">
      <w:pPr>
        <w:spacing w:after="240" w:line="240" w:lineRule="auto"/>
        <w:ind w:left="1166" w:right="619"/>
        <w:jc w:val="both"/>
        <w:rPr>
          <w:rFonts w:asciiTheme="minorHAnsi" w:eastAsia="Times New Roman" w:hAnsiTheme="minorHAnsi"/>
          <w:szCs w:val="18"/>
          <w:lang w:eastAsia="es-ES"/>
        </w:rPr>
      </w:pPr>
      <w:proofErr w:type="gramStart"/>
      <w:r w:rsidRPr="00D920C9">
        <w:rPr>
          <w:rFonts w:asciiTheme="minorHAnsi" w:eastAsia="Times New Roman" w:hAnsiTheme="minorHAnsi"/>
          <w:szCs w:val="18"/>
          <w:lang w:eastAsia="es-ES"/>
        </w:rPr>
        <w:t>for</w:t>
      </w:r>
      <w:proofErr w:type="gramEnd"/>
      <w:r w:rsidRPr="00D920C9">
        <w:rPr>
          <w:rFonts w:asciiTheme="minorHAnsi" w:eastAsia="Times New Roman" w:hAnsiTheme="minorHAnsi"/>
          <w:szCs w:val="18"/>
          <w:lang w:eastAsia="es-ES"/>
        </w:rPr>
        <w:t xml:space="preserve"> offenses as minor as rolling through a stop sign or failing to enroll in the right trash collection service. In Ferguson, residents who fall behind on fines and don’t appear in court after a warrant is issued for their arrest (or arrive in court after the courtroom doors close, which often happens just five minutes after the session is set to start for the day) are charged an additional $120 to $130 fine, along with a $50 fee for a new arrest warrant and 56 cents for each mile that police drive to serve it. Once arrested, everyone who can’t pay their fines or post bail (which is usually set to equal the amount of their total debt) is imprisoned until the next court session (which happens three days a month). Anyone who is imprisoned is charged $30 to $60 a night by the jail. If an arrestee owes fines in more than one of St. Louis County’s </w:t>
      </w:r>
      <w:r w:rsidRPr="00D920C9">
        <w:rPr>
          <w:rFonts w:asciiTheme="minorHAnsi" w:eastAsia="Times New Roman" w:hAnsiTheme="minorHAnsi"/>
          <w:szCs w:val="18"/>
          <w:lang w:eastAsia="es-ES"/>
        </w:rPr>
        <w:lastRenderedPageBreak/>
        <w:t>eighty-one municipal courts, they are passed from one jail to another to await hearings in each town.</w:t>
      </w:r>
      <w:r w:rsidRPr="00D920C9">
        <w:rPr>
          <w:rStyle w:val="FootnoteReference"/>
          <w:rFonts w:asciiTheme="minorHAnsi" w:eastAsia="Times New Roman" w:hAnsiTheme="minorHAnsi"/>
          <w:szCs w:val="18"/>
          <w:lang w:eastAsia="es-ES"/>
        </w:rPr>
        <w:footnoteReference w:id="152"/>
      </w:r>
    </w:p>
    <w:p w14:paraId="6765F309" w14:textId="77777777" w:rsidR="00294551" w:rsidRPr="00D920C9" w:rsidRDefault="00404C93"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eastAsiaTheme="minorEastAsia" w:hAnsiTheme="minorHAnsi" w:cs="Calibri"/>
          <w:szCs w:val="20"/>
          <w:lang w:eastAsia="es-ES"/>
        </w:rPr>
        <w:t xml:space="preserve">In this way, </w:t>
      </w:r>
      <w:r w:rsidR="008445C0" w:rsidRPr="00D920C9">
        <w:rPr>
          <w:rFonts w:asciiTheme="minorHAnsi" w:eastAsiaTheme="minorEastAsia" w:hAnsiTheme="minorHAnsi" w:cs="Calibri"/>
          <w:szCs w:val="20"/>
          <w:lang w:eastAsia="es-ES"/>
        </w:rPr>
        <w:t>minor offenses can generate crippling debts, result in jail time because of an inability to pay</w:t>
      </w:r>
      <w:r w:rsidR="00F5755B" w:rsidRPr="00D920C9">
        <w:rPr>
          <w:rFonts w:asciiTheme="minorHAnsi" w:eastAsiaTheme="minorEastAsia" w:hAnsiTheme="minorHAnsi" w:cs="Calibri"/>
          <w:szCs w:val="20"/>
          <w:lang w:eastAsia="es-ES"/>
        </w:rPr>
        <w:t>,</w:t>
      </w:r>
      <w:r w:rsidR="008445C0" w:rsidRPr="00D920C9">
        <w:rPr>
          <w:rFonts w:asciiTheme="minorHAnsi" w:eastAsiaTheme="minorEastAsia" w:hAnsiTheme="minorHAnsi" w:cs="Calibri"/>
          <w:szCs w:val="20"/>
          <w:lang w:eastAsia="es-ES"/>
        </w:rPr>
        <w:t xml:space="preserve"> and </w:t>
      </w:r>
      <w:r w:rsidR="008445C0" w:rsidRPr="00D920C9">
        <w:rPr>
          <w:rFonts w:asciiTheme="minorHAnsi" w:hAnsiTheme="minorHAnsi"/>
          <w:szCs w:val="20"/>
        </w:rPr>
        <w:t>result in the loss of a driver’s license, employment, or housing</w:t>
      </w:r>
      <w:r w:rsidR="0009680A" w:rsidRPr="00D920C9">
        <w:rPr>
          <w:rFonts w:asciiTheme="minorHAnsi" w:hAnsiTheme="minorHAnsi"/>
          <w:szCs w:val="20"/>
        </w:rPr>
        <w:t xml:space="preserve">; in the aggregate, </w:t>
      </w:r>
      <w:r w:rsidR="00691203" w:rsidRPr="00D920C9">
        <w:rPr>
          <w:rFonts w:asciiTheme="minorHAnsi" w:hAnsiTheme="minorHAnsi"/>
          <w:szCs w:val="20"/>
        </w:rPr>
        <w:t>these may be an important element to consider in the analysis of racialized poverty</w:t>
      </w:r>
      <w:r w:rsidR="008445C0" w:rsidRPr="00D920C9">
        <w:rPr>
          <w:rFonts w:asciiTheme="minorHAnsi" w:hAnsiTheme="minorHAnsi"/>
          <w:szCs w:val="20"/>
        </w:rPr>
        <w:t xml:space="preserve">. </w:t>
      </w:r>
    </w:p>
    <w:p w14:paraId="4D298426" w14:textId="72EDE5FB" w:rsidR="00FE4A90" w:rsidRPr="00D920C9" w:rsidRDefault="008445C0"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64" w:name="_Ref511834782"/>
      <w:r w:rsidRPr="00D920C9">
        <w:rPr>
          <w:rFonts w:asciiTheme="minorHAnsi" w:hAnsiTheme="minorHAnsi"/>
          <w:szCs w:val="20"/>
        </w:rPr>
        <w:t>Furthermore, the DOJ found that these harms are borne disproportionately by African</w:t>
      </w:r>
      <w:r w:rsidR="0030356C" w:rsidRPr="00D920C9">
        <w:rPr>
          <w:rFonts w:asciiTheme="minorHAnsi" w:hAnsiTheme="minorHAnsi"/>
          <w:szCs w:val="20"/>
        </w:rPr>
        <w:t xml:space="preserve"> </w:t>
      </w:r>
      <w:r w:rsidRPr="00D920C9">
        <w:rPr>
          <w:rFonts w:asciiTheme="minorHAnsi" w:hAnsiTheme="minorHAnsi"/>
          <w:szCs w:val="20"/>
        </w:rPr>
        <w:t>Americans due, at least in part, to intentional discrimination, as demonstrated by direct evidence of racial bias and stereotyping about African Americans by certain Ferguson police and municipal court officials.</w:t>
      </w:r>
      <w:r w:rsidRPr="00D920C9">
        <w:rPr>
          <w:rFonts w:asciiTheme="minorHAnsi" w:hAnsiTheme="minorHAnsi"/>
          <w:vertAlign w:val="superscript"/>
        </w:rPr>
        <w:footnoteReference w:id="153"/>
      </w:r>
      <w:r w:rsidRPr="00D920C9">
        <w:rPr>
          <w:rFonts w:asciiTheme="minorHAnsi" w:hAnsiTheme="minorHAnsi"/>
          <w:szCs w:val="20"/>
        </w:rPr>
        <w:t xml:space="preserve"> </w:t>
      </w:r>
      <w:r w:rsidR="00FE4A90" w:rsidRPr="00D920C9">
        <w:rPr>
          <w:rFonts w:asciiTheme="minorHAnsi" w:hAnsiTheme="minorHAnsi"/>
          <w:szCs w:val="20"/>
        </w:rPr>
        <w:t>In particular, African</w:t>
      </w:r>
      <w:r w:rsidR="0030356C" w:rsidRPr="00D920C9">
        <w:rPr>
          <w:rFonts w:asciiTheme="minorHAnsi" w:hAnsiTheme="minorHAnsi"/>
          <w:szCs w:val="20"/>
        </w:rPr>
        <w:t xml:space="preserve"> </w:t>
      </w:r>
      <w:r w:rsidR="00FE4A90" w:rsidRPr="00D920C9">
        <w:rPr>
          <w:rFonts w:asciiTheme="minorHAnsi" w:hAnsiTheme="minorHAnsi"/>
          <w:szCs w:val="20"/>
        </w:rPr>
        <w:t>Americans make up about 67 percent of the Ferguson population, but accounted for 93 percent those arrested from 2012 to 2014. The DOJ found that African</w:t>
      </w:r>
      <w:r w:rsidR="0030356C" w:rsidRPr="00D920C9">
        <w:rPr>
          <w:rFonts w:asciiTheme="minorHAnsi" w:hAnsiTheme="minorHAnsi"/>
          <w:szCs w:val="20"/>
        </w:rPr>
        <w:t xml:space="preserve"> </w:t>
      </w:r>
      <w:r w:rsidR="00FE4A90" w:rsidRPr="00D920C9">
        <w:rPr>
          <w:rFonts w:asciiTheme="minorHAnsi" w:hAnsiTheme="minorHAnsi"/>
          <w:szCs w:val="20"/>
        </w:rPr>
        <w:t>Americans accounted for 85 percent of all vehicle stops, 90 percent of citations, and 93 percent of arrests in between 2012 and 2014.</w:t>
      </w:r>
      <w:r w:rsidR="00FE4A90" w:rsidRPr="00D920C9">
        <w:rPr>
          <w:rFonts w:asciiTheme="minorHAnsi" w:hAnsiTheme="minorHAnsi"/>
          <w:szCs w:val="20"/>
          <w:vertAlign w:val="superscript"/>
        </w:rPr>
        <w:footnoteReference w:id="154"/>
      </w:r>
      <w:r w:rsidR="00FE4A90" w:rsidRPr="00D920C9">
        <w:rPr>
          <w:rFonts w:asciiTheme="minorHAnsi" w:hAnsiTheme="minorHAnsi"/>
          <w:szCs w:val="20"/>
        </w:rPr>
        <w:t xml:space="preserve"> </w:t>
      </w:r>
      <w:r w:rsidR="0030356C" w:rsidRPr="00D920C9">
        <w:rPr>
          <w:rFonts w:asciiTheme="minorHAnsi" w:hAnsiTheme="minorHAnsi"/>
          <w:szCs w:val="20"/>
        </w:rPr>
        <w:t xml:space="preserve">The DOJ also found that </w:t>
      </w:r>
      <w:r w:rsidR="001F60B3" w:rsidRPr="00D920C9">
        <w:rPr>
          <w:rFonts w:asciiTheme="minorHAnsi" w:hAnsiTheme="minorHAnsi"/>
          <w:szCs w:val="20"/>
        </w:rPr>
        <w:t>black</w:t>
      </w:r>
      <w:r w:rsidR="00FE4A90" w:rsidRPr="00D920C9">
        <w:rPr>
          <w:rFonts w:asciiTheme="minorHAnsi" w:hAnsiTheme="minorHAnsi"/>
          <w:szCs w:val="20"/>
        </w:rPr>
        <w:t xml:space="preserve"> drivers are </w:t>
      </w:r>
      <w:r w:rsidR="001F60B3" w:rsidRPr="00D920C9">
        <w:rPr>
          <w:rFonts w:asciiTheme="minorHAnsi" w:hAnsiTheme="minorHAnsi"/>
          <w:szCs w:val="20"/>
        </w:rPr>
        <w:t>twice as</w:t>
      </w:r>
      <w:r w:rsidR="00FE4A90" w:rsidRPr="00D920C9">
        <w:rPr>
          <w:rFonts w:asciiTheme="minorHAnsi" w:hAnsiTheme="minorHAnsi"/>
          <w:szCs w:val="20"/>
        </w:rPr>
        <w:t xml:space="preserve"> likely to be stopped by F</w:t>
      </w:r>
      <w:r w:rsidR="00F5755B" w:rsidRPr="00D920C9">
        <w:rPr>
          <w:rFonts w:asciiTheme="minorHAnsi" w:hAnsiTheme="minorHAnsi"/>
          <w:szCs w:val="20"/>
        </w:rPr>
        <w:t>erguson police</w:t>
      </w:r>
      <w:r w:rsidR="00FE4A90" w:rsidRPr="00D920C9">
        <w:rPr>
          <w:rFonts w:asciiTheme="minorHAnsi" w:hAnsiTheme="minorHAnsi"/>
          <w:szCs w:val="20"/>
        </w:rPr>
        <w:t xml:space="preserve"> than are white drivers, are more likely to be cited and arrested following a stop, and are more likely to receive multiple citations during a single incident.</w:t>
      </w:r>
      <w:r w:rsidR="00FE4A90" w:rsidRPr="00D920C9">
        <w:rPr>
          <w:rFonts w:asciiTheme="minorHAnsi" w:hAnsiTheme="minorHAnsi"/>
          <w:szCs w:val="20"/>
          <w:vertAlign w:val="superscript"/>
        </w:rPr>
        <w:footnoteReference w:id="155"/>
      </w:r>
      <w:r w:rsidR="00FE4A90" w:rsidRPr="00D920C9">
        <w:rPr>
          <w:rFonts w:asciiTheme="minorHAnsi" w:hAnsiTheme="minorHAnsi"/>
          <w:szCs w:val="20"/>
        </w:rPr>
        <w:t xml:space="preserve"> The DOJ considered that these patterns amounted to a systematic violation of the Fourth and </w:t>
      </w:r>
      <w:r w:rsidR="00C74CCA" w:rsidRPr="00D920C9">
        <w:rPr>
          <w:rFonts w:asciiTheme="minorHAnsi" w:hAnsiTheme="minorHAnsi"/>
          <w:szCs w:val="20"/>
        </w:rPr>
        <w:t>Fourteenth</w:t>
      </w:r>
      <w:r w:rsidR="00FE4A90" w:rsidRPr="00D920C9">
        <w:rPr>
          <w:rFonts w:asciiTheme="minorHAnsi" w:hAnsiTheme="minorHAnsi"/>
          <w:szCs w:val="20"/>
        </w:rPr>
        <w:t xml:space="preserve"> Amendment rights of Ferguson residents, and that they disproportionately harmed African</w:t>
      </w:r>
      <w:r w:rsidR="0030356C" w:rsidRPr="00D920C9">
        <w:rPr>
          <w:rFonts w:asciiTheme="minorHAnsi" w:hAnsiTheme="minorHAnsi"/>
          <w:szCs w:val="20"/>
        </w:rPr>
        <w:t xml:space="preserve"> </w:t>
      </w:r>
      <w:r w:rsidR="00FE4A90" w:rsidRPr="00D920C9">
        <w:rPr>
          <w:rFonts w:asciiTheme="minorHAnsi" w:hAnsiTheme="minorHAnsi"/>
          <w:szCs w:val="20"/>
        </w:rPr>
        <w:t>Americans.</w:t>
      </w:r>
      <w:r w:rsidR="00FE4A90" w:rsidRPr="00D920C9">
        <w:rPr>
          <w:rFonts w:asciiTheme="minorHAnsi" w:hAnsiTheme="minorHAnsi"/>
          <w:vertAlign w:val="superscript"/>
        </w:rPr>
        <w:footnoteReference w:id="156"/>
      </w:r>
      <w:r w:rsidR="0009680A" w:rsidRPr="00D920C9">
        <w:rPr>
          <w:rFonts w:asciiTheme="minorHAnsi" w:hAnsiTheme="minorHAnsi"/>
          <w:szCs w:val="20"/>
        </w:rPr>
        <w:t xml:space="preserve"> Available information indicates that this practice of using municipal police and court systems as revenue generators is not limited to Ferguson, but may be a more generalized practice.</w:t>
      </w:r>
      <w:r w:rsidR="0009680A" w:rsidRPr="00D920C9">
        <w:rPr>
          <w:rFonts w:asciiTheme="minorHAnsi" w:hAnsiTheme="minorHAnsi"/>
          <w:vertAlign w:val="superscript"/>
        </w:rPr>
        <w:footnoteReference w:id="157"/>
      </w:r>
      <w:bookmarkEnd w:id="64"/>
    </w:p>
    <w:p w14:paraId="4CBF8483" w14:textId="77777777" w:rsidR="008445C0" w:rsidRPr="00D920C9" w:rsidRDefault="00907ABA"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In light of information about particular municipal practices, the Commission considers that</w:t>
      </w:r>
      <w:r w:rsidR="00FE4A90" w:rsidRPr="00D920C9">
        <w:rPr>
          <w:rFonts w:asciiTheme="minorHAnsi" w:hAnsiTheme="minorHAnsi"/>
          <w:szCs w:val="20"/>
        </w:rPr>
        <w:t xml:space="preserve"> policies of heavy criminalization of minor offenses </w:t>
      </w:r>
      <w:r w:rsidR="00691203" w:rsidRPr="00D920C9">
        <w:rPr>
          <w:rFonts w:asciiTheme="minorHAnsi" w:hAnsiTheme="minorHAnsi"/>
          <w:szCs w:val="20"/>
        </w:rPr>
        <w:t>may</w:t>
      </w:r>
      <w:r w:rsidR="00FE4A90" w:rsidRPr="00D920C9">
        <w:rPr>
          <w:rFonts w:asciiTheme="minorHAnsi" w:hAnsiTheme="minorHAnsi"/>
          <w:szCs w:val="20"/>
        </w:rPr>
        <w:t xml:space="preserve"> disproportionately affect African</w:t>
      </w:r>
      <w:r w:rsidR="0030356C" w:rsidRPr="00D920C9">
        <w:rPr>
          <w:rFonts w:asciiTheme="minorHAnsi" w:hAnsiTheme="minorHAnsi"/>
          <w:szCs w:val="20"/>
        </w:rPr>
        <w:t xml:space="preserve"> </w:t>
      </w:r>
      <w:r w:rsidR="00FE4A90" w:rsidRPr="00D920C9">
        <w:rPr>
          <w:rFonts w:asciiTheme="minorHAnsi" w:hAnsiTheme="minorHAnsi"/>
          <w:szCs w:val="20"/>
        </w:rPr>
        <w:t>Americans and other communities of color. In this scenario, race often serves as a proxy for and is deeply linked with poverty. This results in the increase of fines and arrests</w:t>
      </w:r>
      <w:r w:rsidR="00D24FA7" w:rsidRPr="00D920C9">
        <w:rPr>
          <w:rFonts w:asciiTheme="minorHAnsi" w:hAnsiTheme="minorHAnsi"/>
          <w:szCs w:val="20"/>
        </w:rPr>
        <w:t xml:space="preserve"> in these communities</w:t>
      </w:r>
      <w:r w:rsidR="00FE4A90" w:rsidRPr="00D920C9">
        <w:rPr>
          <w:rFonts w:asciiTheme="minorHAnsi" w:hAnsiTheme="minorHAnsi"/>
          <w:szCs w:val="20"/>
        </w:rPr>
        <w:t xml:space="preserve">, </w:t>
      </w:r>
      <w:r w:rsidR="00294551" w:rsidRPr="00D920C9">
        <w:rPr>
          <w:rFonts w:asciiTheme="minorHAnsi" w:hAnsiTheme="minorHAnsi"/>
          <w:szCs w:val="20"/>
        </w:rPr>
        <w:t>creating a vicious circle of poverty and criminalization</w:t>
      </w:r>
      <w:r w:rsidR="00FE4A90" w:rsidRPr="00D920C9">
        <w:rPr>
          <w:rFonts w:asciiTheme="minorHAnsi" w:hAnsiTheme="minorHAnsi"/>
          <w:szCs w:val="20"/>
        </w:rPr>
        <w:t>.</w:t>
      </w:r>
      <w:r w:rsidR="00B85243" w:rsidRPr="00D920C9">
        <w:rPr>
          <w:rFonts w:asciiTheme="minorHAnsi" w:hAnsiTheme="minorHAnsi"/>
          <w:vertAlign w:val="superscript"/>
        </w:rPr>
        <w:footnoteReference w:id="158"/>
      </w:r>
      <w:r w:rsidR="00FE4A90" w:rsidRPr="00D920C9">
        <w:rPr>
          <w:rFonts w:asciiTheme="minorHAnsi" w:hAnsiTheme="minorHAnsi"/>
          <w:szCs w:val="20"/>
        </w:rPr>
        <w:t xml:space="preserve"> </w:t>
      </w:r>
      <w:r w:rsidR="008445C0" w:rsidRPr="00D920C9">
        <w:rPr>
          <w:rFonts w:asciiTheme="minorHAnsi" w:hAnsiTheme="minorHAnsi"/>
          <w:szCs w:val="20"/>
        </w:rPr>
        <w:t xml:space="preserve">The Commission considers that </w:t>
      </w:r>
      <w:r w:rsidR="00F65336" w:rsidRPr="00D920C9">
        <w:rPr>
          <w:rFonts w:asciiTheme="minorHAnsi" w:hAnsiTheme="minorHAnsi"/>
          <w:szCs w:val="20"/>
        </w:rPr>
        <w:t xml:space="preserve">proven </w:t>
      </w:r>
      <w:r w:rsidR="008445C0" w:rsidRPr="00D920C9">
        <w:rPr>
          <w:rFonts w:asciiTheme="minorHAnsi" w:hAnsiTheme="minorHAnsi"/>
          <w:szCs w:val="20"/>
        </w:rPr>
        <w:t xml:space="preserve">practices of </w:t>
      </w:r>
      <w:r w:rsidR="008445C0" w:rsidRPr="00D920C9">
        <w:rPr>
          <w:rFonts w:asciiTheme="minorHAnsi" w:hAnsiTheme="minorHAnsi"/>
          <w:szCs w:val="20"/>
        </w:rPr>
        <w:lastRenderedPageBreak/>
        <w:t xml:space="preserve">treating policing as an exercise in revenue-raising rather than public safety and citizen security </w:t>
      </w:r>
      <w:r w:rsidR="00F65336" w:rsidRPr="00D920C9">
        <w:rPr>
          <w:rFonts w:asciiTheme="minorHAnsi" w:hAnsiTheme="minorHAnsi"/>
          <w:szCs w:val="20"/>
        </w:rPr>
        <w:t xml:space="preserve">would </w:t>
      </w:r>
      <w:r w:rsidR="008445C0" w:rsidRPr="00D920C9">
        <w:rPr>
          <w:rFonts w:asciiTheme="minorHAnsi" w:hAnsiTheme="minorHAnsi"/>
          <w:szCs w:val="20"/>
        </w:rPr>
        <w:t xml:space="preserve">present clear threats to the rights to life, personal liberty and security, due process, privacy, respect for one’s honor and dignity, peaceful assembly and association, and peaceful use and enjoyment of property, among others, </w:t>
      </w:r>
      <w:r w:rsidRPr="00D920C9">
        <w:rPr>
          <w:rFonts w:asciiTheme="minorHAnsi" w:hAnsiTheme="minorHAnsi"/>
          <w:szCs w:val="20"/>
        </w:rPr>
        <w:t>as well as</w:t>
      </w:r>
      <w:r w:rsidR="008445C0" w:rsidRPr="00D920C9">
        <w:rPr>
          <w:rFonts w:asciiTheme="minorHAnsi" w:hAnsiTheme="minorHAnsi"/>
          <w:szCs w:val="20"/>
        </w:rPr>
        <w:t xml:space="preserve"> non-discrimination.</w:t>
      </w:r>
      <w:r w:rsidR="008445C0" w:rsidRPr="00D920C9">
        <w:rPr>
          <w:rFonts w:asciiTheme="minorHAnsi" w:hAnsiTheme="minorHAnsi"/>
          <w:vertAlign w:val="superscript"/>
        </w:rPr>
        <w:footnoteReference w:id="159"/>
      </w:r>
    </w:p>
    <w:p w14:paraId="6A4B8634" w14:textId="723E73A5" w:rsidR="00B4412C" w:rsidRPr="00D920C9" w:rsidRDefault="00401DF8" w:rsidP="002C64F8">
      <w:pPr>
        <w:pStyle w:val="ListParagraph"/>
        <w:numPr>
          <w:ilvl w:val="0"/>
          <w:numId w:val="9"/>
        </w:numPr>
        <w:spacing w:after="240" w:line="240" w:lineRule="auto"/>
        <w:ind w:left="547" w:hanging="547"/>
        <w:contextualSpacing w:val="0"/>
        <w:jc w:val="both"/>
        <w:rPr>
          <w:rFonts w:asciiTheme="minorHAnsi" w:eastAsia="Times New Roman" w:hAnsiTheme="minorHAnsi"/>
          <w:szCs w:val="20"/>
          <w:lang w:eastAsia="es-ES"/>
        </w:rPr>
      </w:pPr>
      <w:r w:rsidRPr="00D920C9">
        <w:rPr>
          <w:rFonts w:asciiTheme="minorHAnsi" w:hAnsiTheme="minorHAnsi"/>
          <w:szCs w:val="20"/>
        </w:rPr>
        <w:t>T</w:t>
      </w:r>
      <w:r w:rsidR="00620290" w:rsidRPr="00D920C9">
        <w:rPr>
          <w:rFonts w:asciiTheme="minorHAnsi" w:hAnsiTheme="minorHAnsi"/>
          <w:szCs w:val="20"/>
        </w:rPr>
        <w:t>he Commission notes that</w:t>
      </w:r>
      <w:r w:rsidR="003A6467" w:rsidRPr="00D920C9">
        <w:rPr>
          <w:rFonts w:asciiTheme="minorHAnsi" w:hAnsiTheme="minorHAnsi"/>
          <w:szCs w:val="20"/>
        </w:rPr>
        <w:t xml:space="preserve"> multiple international bodies have expressed concern about racial profiling </w:t>
      </w:r>
      <w:r w:rsidR="00D24FA7" w:rsidRPr="00D920C9">
        <w:rPr>
          <w:rFonts w:asciiTheme="minorHAnsi" w:hAnsiTheme="minorHAnsi"/>
          <w:szCs w:val="20"/>
        </w:rPr>
        <w:t xml:space="preserve">practices </w:t>
      </w:r>
      <w:r w:rsidR="003A6467" w:rsidRPr="00D920C9">
        <w:rPr>
          <w:rFonts w:asciiTheme="minorHAnsi" w:hAnsiTheme="minorHAnsi"/>
          <w:szCs w:val="20"/>
        </w:rPr>
        <w:t xml:space="preserve">in the </w:t>
      </w:r>
      <w:r w:rsidR="00904A46" w:rsidRPr="00D920C9">
        <w:rPr>
          <w:rFonts w:asciiTheme="minorHAnsi" w:hAnsiTheme="minorHAnsi"/>
          <w:szCs w:val="20"/>
        </w:rPr>
        <w:t>U.S</w:t>
      </w:r>
      <w:r w:rsidR="003A6467" w:rsidRPr="00D920C9">
        <w:rPr>
          <w:rFonts w:asciiTheme="minorHAnsi" w:hAnsiTheme="minorHAnsi"/>
          <w:szCs w:val="20"/>
        </w:rPr>
        <w:t xml:space="preserve">. For example, the </w:t>
      </w:r>
      <w:r w:rsidR="0004541B" w:rsidRPr="00D920C9">
        <w:rPr>
          <w:rFonts w:asciiTheme="minorHAnsi" w:hAnsiTheme="minorHAnsi"/>
          <w:szCs w:val="20"/>
        </w:rPr>
        <w:t xml:space="preserve">U.N. </w:t>
      </w:r>
      <w:r w:rsidR="003A6467" w:rsidRPr="00D920C9">
        <w:rPr>
          <w:rFonts w:asciiTheme="minorHAnsi" w:hAnsiTheme="minorHAnsi"/>
          <w:szCs w:val="20"/>
        </w:rPr>
        <w:t xml:space="preserve">Human Rights Committee has urged the State to eliminate racial profiling by law enforcement officials, which it considers remains a common practice by many law enforcement bodies. Similarly, the </w:t>
      </w:r>
      <w:r w:rsidR="0004541B" w:rsidRPr="00D920C9">
        <w:rPr>
          <w:rFonts w:asciiTheme="minorHAnsi" w:hAnsiTheme="minorHAnsi"/>
          <w:szCs w:val="20"/>
        </w:rPr>
        <w:t>Committee on the Elimination of Racial Discrimination</w:t>
      </w:r>
      <w:r w:rsidR="00D2531A" w:rsidRPr="00D920C9">
        <w:rPr>
          <w:rFonts w:asciiTheme="minorHAnsi" w:eastAsia="Times New Roman" w:hAnsiTheme="minorHAnsi"/>
          <w:szCs w:val="20"/>
          <w:lang w:eastAsia="es-ES"/>
        </w:rPr>
        <w:t xml:space="preserve"> (CERD)</w:t>
      </w:r>
      <w:r w:rsidR="003A6467" w:rsidRPr="00D920C9">
        <w:rPr>
          <w:rFonts w:asciiTheme="minorHAnsi" w:eastAsia="Times New Roman" w:hAnsiTheme="minorHAnsi"/>
          <w:szCs w:val="20"/>
          <w:lang w:eastAsia="es-ES"/>
        </w:rPr>
        <w:t xml:space="preserve"> has called for an end to profiling of racial and ethnic </w:t>
      </w:r>
      <w:r w:rsidR="00826102" w:rsidRPr="00D920C9">
        <w:rPr>
          <w:rFonts w:asciiTheme="minorHAnsi" w:eastAsia="Times New Roman" w:hAnsiTheme="minorHAnsi"/>
          <w:szCs w:val="20"/>
          <w:lang w:eastAsia="es-ES"/>
        </w:rPr>
        <w:t>historically discriminated groups</w:t>
      </w:r>
      <w:r w:rsidR="003A6467" w:rsidRPr="00D920C9">
        <w:rPr>
          <w:rFonts w:asciiTheme="minorHAnsi" w:eastAsia="Times New Roman" w:hAnsiTheme="minorHAnsi"/>
          <w:szCs w:val="20"/>
          <w:lang w:eastAsia="es-ES"/>
        </w:rPr>
        <w:t xml:space="preserve"> by law enforcement officials.</w:t>
      </w:r>
      <w:r w:rsidR="003A6467" w:rsidRPr="00D920C9">
        <w:rPr>
          <w:rStyle w:val="FootnoteReference"/>
          <w:rFonts w:asciiTheme="minorHAnsi" w:eastAsia="Times New Roman" w:hAnsiTheme="minorHAnsi"/>
          <w:szCs w:val="20"/>
          <w:lang w:eastAsia="es-ES"/>
        </w:rPr>
        <w:footnoteReference w:id="160"/>
      </w:r>
      <w:r w:rsidR="0004541B" w:rsidRPr="00D920C9">
        <w:rPr>
          <w:rFonts w:asciiTheme="minorHAnsi" w:eastAsia="Times New Roman" w:hAnsiTheme="minorHAnsi"/>
          <w:szCs w:val="20"/>
          <w:lang w:eastAsia="es-ES"/>
        </w:rPr>
        <w:t xml:space="preserve"> </w:t>
      </w:r>
      <w:r w:rsidR="002473CF" w:rsidRPr="00D920C9">
        <w:rPr>
          <w:rFonts w:asciiTheme="minorHAnsi" w:eastAsia="Times New Roman" w:hAnsiTheme="minorHAnsi"/>
          <w:szCs w:val="20"/>
          <w:lang w:eastAsia="es-ES"/>
        </w:rPr>
        <w:t>The Commission echoes this call for the State to fully examine and eliminate practices and policies that, whether explicitly or implicitly, result in racial profiling and unequal treatment by law enforcement on the basis of race.</w:t>
      </w:r>
    </w:p>
    <w:p w14:paraId="6E687951" w14:textId="77777777" w:rsidR="00B4412C" w:rsidRPr="00D920C9" w:rsidRDefault="00B4412C" w:rsidP="003D7958">
      <w:pPr>
        <w:pStyle w:val="Heading4"/>
        <w:ind w:left="540" w:hanging="540"/>
      </w:pPr>
      <w:bookmarkStart w:id="65" w:name="_Toc511837811"/>
      <w:bookmarkStart w:id="66" w:name="_Toc511902984"/>
      <w:bookmarkStart w:id="67" w:name="_Toc517687914"/>
      <w:r w:rsidRPr="00D920C9">
        <w:t xml:space="preserve">Militarization of </w:t>
      </w:r>
      <w:r w:rsidR="001D6074" w:rsidRPr="00D920C9">
        <w:t>Police Forces</w:t>
      </w:r>
      <w:bookmarkEnd w:id="65"/>
      <w:bookmarkEnd w:id="66"/>
      <w:bookmarkEnd w:id="67"/>
    </w:p>
    <w:p w14:paraId="3902FF01" w14:textId="60E780EB" w:rsidR="00D70F37"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68" w:name="_Ref507153340"/>
      <w:r w:rsidRPr="00D920C9">
        <w:rPr>
          <w:rFonts w:asciiTheme="minorHAnsi" w:hAnsiTheme="minorHAnsi"/>
          <w:szCs w:val="20"/>
        </w:rPr>
        <w:t xml:space="preserve">Information provided to the Commission indicates that many local police departments in the </w:t>
      </w:r>
      <w:r w:rsidR="00D24FA7" w:rsidRPr="00D920C9">
        <w:rPr>
          <w:rFonts w:asciiTheme="minorHAnsi" w:hAnsiTheme="minorHAnsi"/>
          <w:szCs w:val="20"/>
        </w:rPr>
        <w:t>U.S.</w:t>
      </w:r>
      <w:r w:rsidRPr="00D920C9">
        <w:rPr>
          <w:rFonts w:asciiTheme="minorHAnsi" w:hAnsiTheme="minorHAnsi"/>
          <w:szCs w:val="20"/>
        </w:rPr>
        <w:t xml:space="preserve"> have become heavily militarized in recent decades,</w:t>
      </w:r>
      <w:r w:rsidR="00620290" w:rsidRPr="00D920C9">
        <w:rPr>
          <w:rStyle w:val="FootnoteReference"/>
          <w:rFonts w:asciiTheme="minorHAnsi" w:hAnsiTheme="minorHAnsi"/>
          <w:szCs w:val="20"/>
        </w:rPr>
        <w:footnoteReference w:id="161"/>
      </w:r>
      <w:r w:rsidRPr="00D920C9">
        <w:rPr>
          <w:rFonts w:asciiTheme="minorHAnsi" w:hAnsiTheme="minorHAnsi"/>
          <w:szCs w:val="20"/>
        </w:rPr>
        <w:t xml:space="preserve"> and that the use of military-type equipment in SWAT</w:t>
      </w:r>
      <w:r w:rsidR="00D24FA7" w:rsidRPr="00D920C9">
        <w:rPr>
          <w:rFonts w:asciiTheme="minorHAnsi" w:hAnsiTheme="minorHAnsi"/>
          <w:szCs w:val="20"/>
        </w:rPr>
        <w:t xml:space="preserve"> (“Special Weapons and Tactics”</w:t>
      </w:r>
      <w:r w:rsidR="00947CFC" w:rsidRPr="00D920C9">
        <w:rPr>
          <w:rFonts w:asciiTheme="minorHAnsi" w:hAnsiTheme="minorHAnsi"/>
          <w:szCs w:val="20"/>
        </w:rPr>
        <w:t>)</w:t>
      </w:r>
      <w:r w:rsidRPr="00D920C9">
        <w:rPr>
          <w:rFonts w:asciiTheme="minorHAnsi" w:hAnsiTheme="minorHAnsi"/>
          <w:szCs w:val="20"/>
        </w:rPr>
        <w:t xml:space="preserve"> raids and similar operations is disproportionately targeted against </w:t>
      </w:r>
      <w:r w:rsidR="00F65336" w:rsidRPr="00D920C9">
        <w:rPr>
          <w:rFonts w:asciiTheme="minorHAnsi" w:hAnsiTheme="minorHAnsi"/>
          <w:szCs w:val="20"/>
        </w:rPr>
        <w:t>historically marginalized groups</w:t>
      </w:r>
      <w:r w:rsidRPr="00D920C9">
        <w:rPr>
          <w:rFonts w:asciiTheme="minorHAnsi" w:hAnsiTheme="minorHAnsi"/>
          <w:szCs w:val="20"/>
        </w:rPr>
        <w:t>.</w:t>
      </w:r>
      <w:r w:rsidRPr="00D920C9">
        <w:rPr>
          <w:rStyle w:val="FootnoteReference"/>
          <w:rFonts w:asciiTheme="minorHAnsi" w:hAnsiTheme="minorHAnsi"/>
          <w:szCs w:val="20"/>
        </w:rPr>
        <w:footnoteReference w:id="162"/>
      </w:r>
      <w:r w:rsidRPr="00D920C9">
        <w:rPr>
          <w:rFonts w:asciiTheme="minorHAnsi" w:hAnsiTheme="minorHAnsi"/>
          <w:szCs w:val="20"/>
        </w:rPr>
        <w:t xml:space="preserve"> A recent study by the ACLU found that 42 percent of people impacted by a SWAT deployment to execute a search warrant were Black and 12 percent were Latino; of deployments in which all </w:t>
      </w:r>
      <w:r w:rsidR="002473CF" w:rsidRPr="00D920C9">
        <w:rPr>
          <w:rFonts w:asciiTheme="minorHAnsi" w:hAnsiTheme="minorHAnsi"/>
          <w:szCs w:val="20"/>
        </w:rPr>
        <w:t>individuals</w:t>
      </w:r>
      <w:r w:rsidRPr="00D920C9">
        <w:rPr>
          <w:rFonts w:asciiTheme="minorHAnsi" w:hAnsiTheme="minorHAnsi"/>
          <w:szCs w:val="20"/>
        </w:rPr>
        <w:t xml:space="preserve"> impacted were minorities, 68 percent were drug cases, and 61 percent of all </w:t>
      </w:r>
      <w:r w:rsidR="002473CF" w:rsidRPr="00D920C9">
        <w:rPr>
          <w:rFonts w:asciiTheme="minorHAnsi" w:hAnsiTheme="minorHAnsi"/>
          <w:szCs w:val="20"/>
        </w:rPr>
        <w:t>individuals</w:t>
      </w:r>
      <w:r w:rsidRPr="00D920C9">
        <w:rPr>
          <w:rFonts w:asciiTheme="minorHAnsi" w:hAnsiTheme="minorHAnsi"/>
          <w:szCs w:val="20"/>
        </w:rPr>
        <w:t xml:space="preserve"> impacted by SWAT raids in drug cases were </w:t>
      </w:r>
      <w:r w:rsidR="007940E7" w:rsidRPr="00D920C9">
        <w:rPr>
          <w:rFonts w:asciiTheme="minorHAnsi" w:hAnsiTheme="minorHAnsi"/>
          <w:szCs w:val="20"/>
        </w:rPr>
        <w:t>members of historically discriminated groups</w:t>
      </w:r>
      <w:r w:rsidRPr="00D920C9">
        <w:rPr>
          <w:rFonts w:asciiTheme="minorHAnsi" w:hAnsiTheme="minorHAnsi"/>
          <w:szCs w:val="20"/>
        </w:rPr>
        <w:t>.</w:t>
      </w:r>
      <w:r w:rsidRPr="00D920C9">
        <w:rPr>
          <w:rFonts w:asciiTheme="minorHAnsi" w:hAnsiTheme="minorHAnsi"/>
          <w:vertAlign w:val="superscript"/>
        </w:rPr>
        <w:footnoteReference w:id="163"/>
      </w:r>
      <w:r w:rsidRPr="00D920C9">
        <w:rPr>
          <w:rFonts w:asciiTheme="minorHAnsi" w:hAnsiTheme="minorHAnsi"/>
          <w:szCs w:val="20"/>
        </w:rPr>
        <w:t xml:space="preserve"> Additionally, 79 percent of incidents the ACLU studied involved the use of a SWAT team to search a person’s home, and more than 60 percent of the cases involved searches for drugs.</w:t>
      </w:r>
      <w:r w:rsidRPr="00D920C9">
        <w:rPr>
          <w:rFonts w:asciiTheme="minorHAnsi" w:hAnsiTheme="minorHAnsi"/>
          <w:vertAlign w:val="superscript"/>
        </w:rPr>
        <w:footnoteReference w:id="164"/>
      </w:r>
      <w:r w:rsidRPr="00D920C9">
        <w:rPr>
          <w:rFonts w:asciiTheme="minorHAnsi" w:hAnsiTheme="minorHAnsi"/>
          <w:szCs w:val="20"/>
        </w:rPr>
        <w:t xml:space="preserve"> According to the ACLU, </w:t>
      </w:r>
      <w:r w:rsidR="00931537" w:rsidRPr="00D920C9">
        <w:rPr>
          <w:rFonts w:asciiTheme="minorHAnsi" w:hAnsiTheme="minorHAnsi"/>
          <w:szCs w:val="20"/>
        </w:rPr>
        <w:t>U.S.</w:t>
      </w:r>
      <w:r w:rsidRPr="00D920C9">
        <w:rPr>
          <w:rFonts w:asciiTheme="minorHAnsi" w:hAnsiTheme="minorHAnsi"/>
          <w:szCs w:val="20"/>
        </w:rPr>
        <w:t xml:space="preserve"> policing has become unnecessarily and dangerously militarized, and in </w:t>
      </w:r>
      <w:r w:rsidRPr="00D920C9">
        <w:rPr>
          <w:rFonts w:asciiTheme="minorHAnsi" w:hAnsiTheme="minorHAnsi"/>
          <w:szCs w:val="20"/>
        </w:rPr>
        <w:lastRenderedPageBreak/>
        <w:t>municipalities with greater amounts of military equipment, police officers acted more aggressively and adopted a “warrior” mindset, rather than seeing themselves as protectors of a community.</w:t>
      </w:r>
      <w:r w:rsidRPr="00D920C9">
        <w:rPr>
          <w:rFonts w:asciiTheme="minorHAnsi" w:hAnsiTheme="minorHAnsi"/>
          <w:szCs w:val="20"/>
          <w:vertAlign w:val="superscript"/>
        </w:rPr>
        <w:footnoteReference w:id="165"/>
      </w:r>
      <w:bookmarkEnd w:id="68"/>
    </w:p>
    <w:p w14:paraId="42FD9677" w14:textId="77777777" w:rsidR="003A4D27" w:rsidRPr="00D920C9" w:rsidRDefault="00734F2C"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70" w:name="_Ref504669959"/>
      <w:r w:rsidRPr="00D920C9">
        <w:rPr>
          <w:rFonts w:asciiTheme="minorHAnsi" w:hAnsiTheme="minorHAnsi"/>
          <w:szCs w:val="20"/>
        </w:rPr>
        <w:t>On May 18, 2015, President Barack Obama announced new restrictions on the transfer of military equipment to local police departments, in light of concerns about the policing of protests in Ferguson, Missouri and Baltimore, Maryland, among others.</w:t>
      </w:r>
      <w:r w:rsidRPr="00D920C9">
        <w:rPr>
          <w:rFonts w:asciiTheme="minorHAnsi" w:hAnsiTheme="minorHAnsi"/>
          <w:vertAlign w:val="superscript"/>
        </w:rPr>
        <w:footnoteReference w:id="166"/>
      </w:r>
      <w:r w:rsidRPr="00D920C9">
        <w:rPr>
          <w:rFonts w:asciiTheme="minorHAnsi" w:hAnsiTheme="minorHAnsi"/>
          <w:szCs w:val="20"/>
        </w:rPr>
        <w:t xml:space="preserve"> </w:t>
      </w:r>
      <w:r w:rsidR="00D21101" w:rsidRPr="00D920C9">
        <w:rPr>
          <w:rFonts w:asciiTheme="minorHAnsi" w:hAnsiTheme="minorHAnsi"/>
          <w:szCs w:val="20"/>
        </w:rPr>
        <w:t>This Executive Order (EO</w:t>
      </w:r>
      <w:r w:rsidRPr="00D920C9">
        <w:rPr>
          <w:rFonts w:asciiTheme="minorHAnsi" w:hAnsiTheme="minorHAnsi"/>
          <w:szCs w:val="20"/>
        </w:rPr>
        <w:t xml:space="preserve"> 13688</w:t>
      </w:r>
      <w:r w:rsidR="00D21101" w:rsidRPr="00D920C9">
        <w:rPr>
          <w:rFonts w:asciiTheme="minorHAnsi" w:hAnsiTheme="minorHAnsi"/>
          <w:szCs w:val="20"/>
        </w:rPr>
        <w:t>)</w:t>
      </w:r>
      <w:r w:rsidRPr="00D920C9">
        <w:rPr>
          <w:rFonts w:asciiTheme="minorHAnsi" w:hAnsiTheme="minorHAnsi"/>
          <w:szCs w:val="20"/>
        </w:rPr>
        <w:t xml:space="preserve"> created a federal agency working group </w:t>
      </w:r>
      <w:r w:rsidR="002473CF" w:rsidRPr="00D920C9">
        <w:rPr>
          <w:rFonts w:asciiTheme="minorHAnsi" w:hAnsiTheme="minorHAnsi"/>
          <w:szCs w:val="20"/>
        </w:rPr>
        <w:t>to</w:t>
      </w:r>
      <w:r w:rsidRPr="00D920C9">
        <w:rPr>
          <w:rFonts w:asciiTheme="minorHAnsi" w:hAnsiTheme="minorHAnsi"/>
          <w:szCs w:val="20"/>
        </w:rPr>
        <w:t xml:space="preserve"> overs</w:t>
      </w:r>
      <w:r w:rsidR="002473CF" w:rsidRPr="00D920C9">
        <w:rPr>
          <w:rFonts w:asciiTheme="minorHAnsi" w:hAnsiTheme="minorHAnsi"/>
          <w:szCs w:val="20"/>
        </w:rPr>
        <w:t>ee</w:t>
      </w:r>
      <w:r w:rsidRPr="00D920C9">
        <w:rPr>
          <w:rFonts w:asciiTheme="minorHAnsi" w:hAnsiTheme="minorHAnsi"/>
          <w:szCs w:val="20"/>
        </w:rPr>
        <w:t xml:space="preserve"> and </w:t>
      </w:r>
      <w:r w:rsidR="002473CF" w:rsidRPr="00D920C9">
        <w:rPr>
          <w:rFonts w:asciiTheme="minorHAnsi" w:hAnsiTheme="minorHAnsi"/>
          <w:szCs w:val="20"/>
        </w:rPr>
        <w:t xml:space="preserve">implement </w:t>
      </w:r>
      <w:r w:rsidRPr="00D920C9">
        <w:rPr>
          <w:rFonts w:asciiTheme="minorHAnsi" w:hAnsiTheme="minorHAnsi"/>
          <w:szCs w:val="20"/>
        </w:rPr>
        <w:t>protocols around military weapons provided to police by the federal government.</w:t>
      </w:r>
      <w:r w:rsidRPr="00D920C9">
        <w:rPr>
          <w:rFonts w:asciiTheme="minorHAnsi" w:hAnsiTheme="minorHAnsi"/>
          <w:vertAlign w:val="superscript"/>
        </w:rPr>
        <w:footnoteReference w:id="167"/>
      </w:r>
      <w:r w:rsidRPr="00D920C9">
        <w:rPr>
          <w:rFonts w:asciiTheme="minorHAnsi" w:hAnsiTheme="minorHAnsi"/>
          <w:szCs w:val="20"/>
        </w:rPr>
        <w:t xml:space="preserve"> </w:t>
      </w:r>
      <w:r w:rsidR="00691203" w:rsidRPr="00D920C9">
        <w:rPr>
          <w:rFonts w:asciiTheme="minorHAnsi" w:hAnsiTheme="minorHAnsi"/>
          <w:szCs w:val="20"/>
        </w:rPr>
        <w:t>At that time, the move was greeted with optimism.</w:t>
      </w:r>
      <w:r w:rsidR="00691203" w:rsidRPr="00D920C9">
        <w:rPr>
          <w:rFonts w:asciiTheme="minorHAnsi" w:hAnsiTheme="minorHAnsi"/>
          <w:vertAlign w:val="superscript"/>
        </w:rPr>
        <w:footnoteReference w:id="168"/>
      </w:r>
      <w:r w:rsidR="00691203" w:rsidRPr="00D920C9">
        <w:rPr>
          <w:rFonts w:asciiTheme="minorHAnsi" w:hAnsiTheme="minorHAnsi"/>
          <w:szCs w:val="20"/>
        </w:rPr>
        <w:t xml:space="preserve"> </w:t>
      </w:r>
      <w:r w:rsidR="00D70F37" w:rsidRPr="00D920C9">
        <w:rPr>
          <w:rFonts w:asciiTheme="minorHAnsi" w:hAnsiTheme="minorHAnsi"/>
          <w:szCs w:val="20"/>
        </w:rPr>
        <w:t>On August 28, 2017, President Donald Trump rescinded EO</w:t>
      </w:r>
      <w:r w:rsidR="00D21101" w:rsidRPr="00D920C9">
        <w:rPr>
          <w:rFonts w:asciiTheme="minorHAnsi" w:hAnsiTheme="minorHAnsi"/>
          <w:szCs w:val="20"/>
        </w:rPr>
        <w:t xml:space="preserve"> 13688, removing those restrictions on the transfer and oversight of military equipment.</w:t>
      </w:r>
      <w:r w:rsidR="00D70F37" w:rsidRPr="00D920C9">
        <w:rPr>
          <w:rFonts w:asciiTheme="minorHAnsi" w:hAnsiTheme="minorHAnsi"/>
          <w:vertAlign w:val="superscript"/>
        </w:rPr>
        <w:footnoteReference w:id="169"/>
      </w:r>
      <w:bookmarkEnd w:id="70"/>
      <w:r w:rsidR="00D70F37" w:rsidRPr="00D920C9">
        <w:rPr>
          <w:rFonts w:asciiTheme="minorHAnsi" w:hAnsiTheme="minorHAnsi"/>
          <w:szCs w:val="20"/>
        </w:rPr>
        <w:t xml:space="preserve"> </w:t>
      </w:r>
    </w:p>
    <w:p w14:paraId="1582298D" w14:textId="77777777" w:rsidR="001320DC" w:rsidRPr="00D920C9" w:rsidRDefault="003A4D27"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71" w:name="_Ref507153342"/>
      <w:r w:rsidRPr="00D920C9">
        <w:rPr>
          <w:rFonts w:asciiTheme="minorHAnsi" w:hAnsiTheme="minorHAnsi"/>
          <w:szCs w:val="20"/>
        </w:rPr>
        <w:t xml:space="preserve">In 2015, the Commission noted that </w:t>
      </w:r>
      <w:r w:rsidR="00D24FA7" w:rsidRPr="00D920C9">
        <w:rPr>
          <w:rFonts w:asciiTheme="minorHAnsi" w:hAnsiTheme="minorHAnsi"/>
          <w:szCs w:val="20"/>
        </w:rPr>
        <w:t>a principal concern</w:t>
      </w:r>
      <w:r w:rsidRPr="00D920C9">
        <w:rPr>
          <w:rFonts w:asciiTheme="minorHAnsi" w:hAnsiTheme="minorHAnsi"/>
          <w:szCs w:val="20"/>
        </w:rPr>
        <w:t xml:space="preserve"> </w:t>
      </w:r>
      <w:r w:rsidR="00D24FA7" w:rsidRPr="00D920C9">
        <w:rPr>
          <w:rFonts w:asciiTheme="minorHAnsi" w:hAnsiTheme="minorHAnsi"/>
          <w:szCs w:val="20"/>
        </w:rPr>
        <w:t xml:space="preserve">regarding </w:t>
      </w:r>
      <w:r w:rsidRPr="00D920C9">
        <w:rPr>
          <w:rFonts w:asciiTheme="minorHAnsi" w:hAnsiTheme="minorHAnsi"/>
          <w:szCs w:val="20"/>
        </w:rPr>
        <w:t xml:space="preserve">the excessive or arbitrary use of force by law enforcement in the </w:t>
      </w:r>
      <w:r w:rsidR="00904A46" w:rsidRPr="00D920C9">
        <w:rPr>
          <w:rFonts w:asciiTheme="minorHAnsi" w:hAnsiTheme="minorHAnsi"/>
          <w:szCs w:val="20"/>
        </w:rPr>
        <w:t>U.S.</w:t>
      </w:r>
      <w:r w:rsidRPr="00D920C9">
        <w:rPr>
          <w:rFonts w:asciiTheme="minorHAnsi" w:hAnsiTheme="minorHAnsi"/>
          <w:szCs w:val="20"/>
        </w:rPr>
        <w:t xml:space="preserve"> </w:t>
      </w:r>
      <w:r w:rsidR="00D24FA7" w:rsidRPr="00D920C9">
        <w:rPr>
          <w:rFonts w:asciiTheme="minorHAnsi" w:hAnsiTheme="minorHAnsi"/>
          <w:szCs w:val="20"/>
        </w:rPr>
        <w:t>is</w:t>
      </w:r>
      <w:r w:rsidRPr="00D920C9">
        <w:rPr>
          <w:rFonts w:asciiTheme="minorHAnsi" w:hAnsiTheme="minorHAnsi"/>
          <w:szCs w:val="20"/>
        </w:rPr>
        <w:t xml:space="preserve"> the “militarization” of p</w:t>
      </w:r>
      <w:r w:rsidR="001D0018" w:rsidRPr="00D920C9">
        <w:rPr>
          <w:rFonts w:asciiTheme="minorHAnsi" w:hAnsiTheme="minorHAnsi"/>
          <w:szCs w:val="20"/>
        </w:rPr>
        <w:t xml:space="preserve">olice in terms of the equipment, training, </w:t>
      </w:r>
      <w:r w:rsidRPr="00D920C9">
        <w:rPr>
          <w:rFonts w:asciiTheme="minorHAnsi" w:hAnsiTheme="minorHAnsi"/>
          <w:szCs w:val="20"/>
        </w:rPr>
        <w:t xml:space="preserve">protocols </w:t>
      </w:r>
      <w:r w:rsidR="001D0018" w:rsidRPr="00D920C9">
        <w:rPr>
          <w:rFonts w:asciiTheme="minorHAnsi" w:hAnsiTheme="minorHAnsi"/>
          <w:szCs w:val="20"/>
        </w:rPr>
        <w:t xml:space="preserve">used, </w:t>
      </w:r>
      <w:r w:rsidR="00D24FA7" w:rsidRPr="00D920C9">
        <w:rPr>
          <w:rFonts w:asciiTheme="minorHAnsi" w:hAnsiTheme="minorHAnsi"/>
          <w:szCs w:val="20"/>
        </w:rPr>
        <w:t>and</w:t>
      </w:r>
      <w:r w:rsidRPr="00D920C9">
        <w:rPr>
          <w:rFonts w:asciiTheme="minorHAnsi" w:hAnsiTheme="minorHAnsi"/>
          <w:szCs w:val="20"/>
        </w:rPr>
        <w:t xml:space="preserve"> the difficulty </w:t>
      </w:r>
      <w:r w:rsidR="001D0018" w:rsidRPr="00D920C9">
        <w:rPr>
          <w:rFonts w:asciiTheme="minorHAnsi" w:hAnsiTheme="minorHAnsi"/>
          <w:szCs w:val="20"/>
        </w:rPr>
        <w:t>of</w:t>
      </w:r>
      <w:r w:rsidRPr="00D920C9">
        <w:rPr>
          <w:rFonts w:asciiTheme="minorHAnsi" w:hAnsiTheme="minorHAnsi"/>
          <w:szCs w:val="20"/>
        </w:rPr>
        <w:t xml:space="preserve"> prosecuting and establishing criminal responsibility for police officers guilty of abuse or excessive use of force.</w:t>
      </w:r>
      <w:r w:rsidRPr="00D920C9">
        <w:rPr>
          <w:rFonts w:asciiTheme="minorHAnsi" w:hAnsiTheme="minorHAnsi"/>
          <w:szCs w:val="20"/>
          <w:vertAlign w:val="superscript"/>
        </w:rPr>
        <w:footnoteReference w:id="170"/>
      </w:r>
      <w:r w:rsidRPr="00D920C9">
        <w:rPr>
          <w:rFonts w:asciiTheme="minorHAnsi" w:hAnsiTheme="minorHAnsi"/>
          <w:szCs w:val="20"/>
        </w:rPr>
        <w:t xml:space="preserve"> </w:t>
      </w:r>
      <w:r w:rsidR="001D0018" w:rsidRPr="00D920C9">
        <w:rPr>
          <w:rFonts w:asciiTheme="minorHAnsi" w:hAnsiTheme="minorHAnsi"/>
          <w:szCs w:val="20"/>
        </w:rPr>
        <w:t>The Commission notes with concern reports that w</w:t>
      </w:r>
      <w:r w:rsidRPr="00D920C9">
        <w:rPr>
          <w:rFonts w:asciiTheme="minorHAnsi" w:hAnsiTheme="minorHAnsi"/>
          <w:szCs w:val="20"/>
        </w:rPr>
        <w:t xml:space="preserve">ith the revocation of </w:t>
      </w:r>
      <w:r w:rsidR="001F57ED" w:rsidRPr="00D920C9">
        <w:rPr>
          <w:rFonts w:asciiTheme="minorHAnsi" w:hAnsiTheme="minorHAnsi"/>
          <w:szCs w:val="20"/>
        </w:rPr>
        <w:t>EO</w:t>
      </w:r>
      <w:r w:rsidRPr="00D920C9">
        <w:rPr>
          <w:rFonts w:asciiTheme="minorHAnsi" w:hAnsiTheme="minorHAnsi"/>
          <w:szCs w:val="20"/>
        </w:rPr>
        <w:t xml:space="preserve"> 13688, police departments will </w:t>
      </w:r>
      <w:r w:rsidR="001D0018" w:rsidRPr="00D920C9">
        <w:rPr>
          <w:rFonts w:asciiTheme="minorHAnsi" w:hAnsiTheme="minorHAnsi"/>
          <w:szCs w:val="20"/>
        </w:rPr>
        <w:t xml:space="preserve">once again </w:t>
      </w:r>
      <w:r w:rsidRPr="00D920C9">
        <w:rPr>
          <w:rFonts w:asciiTheme="minorHAnsi" w:hAnsiTheme="minorHAnsi"/>
          <w:szCs w:val="20"/>
        </w:rPr>
        <w:t>receive armed vehicles, high-caliber weapons and ammunition, grenades, camouflage uniform</w:t>
      </w:r>
      <w:r w:rsidR="001D0018" w:rsidRPr="00D920C9">
        <w:rPr>
          <w:rFonts w:asciiTheme="minorHAnsi" w:hAnsiTheme="minorHAnsi"/>
          <w:szCs w:val="20"/>
        </w:rPr>
        <w:t>s, and other military equipment,</w:t>
      </w:r>
      <w:r w:rsidRPr="00D920C9">
        <w:rPr>
          <w:rFonts w:asciiTheme="minorHAnsi" w:hAnsiTheme="minorHAnsi"/>
          <w:szCs w:val="20"/>
          <w:vertAlign w:val="superscript"/>
        </w:rPr>
        <w:footnoteReference w:id="171"/>
      </w:r>
      <w:r w:rsidR="001D0018" w:rsidRPr="00D920C9">
        <w:rPr>
          <w:rFonts w:asciiTheme="minorHAnsi" w:hAnsiTheme="minorHAnsi"/>
          <w:szCs w:val="20"/>
        </w:rPr>
        <w:t xml:space="preserve"> raising concerns about a possible increase in the excessive use of force and policing of protest situations that </w:t>
      </w:r>
      <w:r w:rsidR="00D24FA7" w:rsidRPr="00D920C9">
        <w:rPr>
          <w:rFonts w:asciiTheme="minorHAnsi" w:hAnsiTheme="minorHAnsi"/>
          <w:szCs w:val="20"/>
        </w:rPr>
        <w:t>does not comply</w:t>
      </w:r>
      <w:r w:rsidR="001D0018" w:rsidRPr="00D920C9">
        <w:rPr>
          <w:rFonts w:asciiTheme="minorHAnsi" w:hAnsiTheme="minorHAnsi"/>
          <w:szCs w:val="20"/>
        </w:rPr>
        <w:t xml:space="preserve"> with international law.</w:t>
      </w:r>
      <w:r w:rsidR="001D0018" w:rsidRPr="00D920C9">
        <w:rPr>
          <w:rFonts w:asciiTheme="minorHAnsi" w:hAnsiTheme="minorHAnsi"/>
          <w:vertAlign w:val="superscript"/>
        </w:rPr>
        <w:footnoteReference w:id="172"/>
      </w:r>
      <w:r w:rsidRPr="00D920C9">
        <w:rPr>
          <w:rFonts w:asciiTheme="minorHAnsi" w:hAnsiTheme="minorHAnsi"/>
          <w:szCs w:val="20"/>
        </w:rPr>
        <w:t xml:space="preserve"> This is particularly concerning in light of</w:t>
      </w:r>
      <w:r w:rsidR="00D21101" w:rsidRPr="00D920C9">
        <w:rPr>
          <w:rFonts w:asciiTheme="minorHAnsi" w:hAnsiTheme="minorHAnsi"/>
          <w:szCs w:val="20"/>
        </w:rPr>
        <w:t xml:space="preserve"> information received by the Commission</w:t>
      </w:r>
      <w:r w:rsidRPr="00D920C9">
        <w:rPr>
          <w:rFonts w:asciiTheme="minorHAnsi" w:hAnsiTheme="minorHAnsi"/>
          <w:szCs w:val="20"/>
        </w:rPr>
        <w:t xml:space="preserve"> that</w:t>
      </w:r>
      <w:r w:rsidR="00D21101" w:rsidRPr="00D920C9">
        <w:rPr>
          <w:rFonts w:asciiTheme="minorHAnsi" w:hAnsiTheme="minorHAnsi"/>
          <w:szCs w:val="20"/>
        </w:rPr>
        <w:t xml:space="preserve"> the</w:t>
      </w:r>
      <w:r w:rsidR="001320DC" w:rsidRPr="00D920C9">
        <w:rPr>
          <w:rFonts w:asciiTheme="minorHAnsi" w:hAnsiTheme="minorHAnsi"/>
          <w:szCs w:val="20"/>
        </w:rPr>
        <w:t xml:space="preserve"> Government Accountability Office (GAO) </w:t>
      </w:r>
      <w:r w:rsidR="00D21101" w:rsidRPr="00D920C9">
        <w:rPr>
          <w:rFonts w:asciiTheme="minorHAnsi" w:hAnsiTheme="minorHAnsi"/>
          <w:szCs w:val="20"/>
        </w:rPr>
        <w:t xml:space="preserve">recently </w:t>
      </w:r>
      <w:r w:rsidR="001D0018" w:rsidRPr="00D920C9">
        <w:rPr>
          <w:rFonts w:asciiTheme="minorHAnsi" w:hAnsiTheme="minorHAnsi"/>
          <w:szCs w:val="20"/>
        </w:rPr>
        <w:t>concluded</w:t>
      </w:r>
      <w:r w:rsidR="001320DC" w:rsidRPr="00D920C9">
        <w:rPr>
          <w:rFonts w:asciiTheme="minorHAnsi" w:hAnsiTheme="minorHAnsi"/>
          <w:szCs w:val="20"/>
        </w:rPr>
        <w:t xml:space="preserve"> that the Pentagon does not verify the quantity of military weapons transferred through</w:t>
      </w:r>
      <w:r w:rsidR="004E2C08" w:rsidRPr="00D920C9">
        <w:rPr>
          <w:rFonts w:asciiTheme="minorHAnsi" w:hAnsiTheme="minorHAnsi"/>
          <w:szCs w:val="20"/>
        </w:rPr>
        <w:t xml:space="preserve"> the</w:t>
      </w:r>
      <w:r w:rsidR="001320DC" w:rsidRPr="00D920C9">
        <w:rPr>
          <w:rFonts w:asciiTheme="minorHAnsi" w:hAnsiTheme="minorHAnsi"/>
          <w:szCs w:val="20"/>
        </w:rPr>
        <w:t xml:space="preserve"> 1033</w:t>
      </w:r>
      <w:r w:rsidR="004E2C08" w:rsidRPr="00D920C9">
        <w:rPr>
          <w:rFonts w:asciiTheme="minorHAnsi" w:hAnsiTheme="minorHAnsi"/>
          <w:szCs w:val="20"/>
        </w:rPr>
        <w:t xml:space="preserve"> program, and that the </w:t>
      </w:r>
      <w:r w:rsidR="00D24FA7" w:rsidRPr="00D920C9">
        <w:rPr>
          <w:rFonts w:asciiTheme="minorHAnsi" w:hAnsiTheme="minorHAnsi"/>
          <w:szCs w:val="20"/>
        </w:rPr>
        <w:t>DOD</w:t>
      </w:r>
      <w:r w:rsidR="001320DC" w:rsidRPr="00D920C9">
        <w:rPr>
          <w:rFonts w:asciiTheme="minorHAnsi" w:hAnsiTheme="minorHAnsi"/>
          <w:szCs w:val="20"/>
        </w:rPr>
        <w:t xml:space="preserve"> “lacks reasonable assurance that it has the ability to prevent, detect, and respond to potential fraud and minimize associated security risks.”</w:t>
      </w:r>
      <w:r w:rsidR="00BD2759" w:rsidRPr="00D920C9">
        <w:rPr>
          <w:rStyle w:val="FootnoteReference"/>
          <w:rFonts w:asciiTheme="minorHAnsi" w:hAnsiTheme="minorHAnsi"/>
          <w:szCs w:val="20"/>
        </w:rPr>
        <w:footnoteReference w:id="173"/>
      </w:r>
      <w:bookmarkEnd w:id="71"/>
      <w:r w:rsidR="001320DC" w:rsidRPr="00D920C9">
        <w:rPr>
          <w:rFonts w:asciiTheme="minorHAnsi" w:hAnsiTheme="minorHAnsi"/>
          <w:szCs w:val="20"/>
        </w:rPr>
        <w:t xml:space="preserve"> </w:t>
      </w:r>
      <w:r w:rsidR="001F57ED" w:rsidRPr="00D920C9">
        <w:rPr>
          <w:rFonts w:asciiTheme="minorHAnsi" w:hAnsiTheme="minorHAnsi"/>
          <w:szCs w:val="20"/>
        </w:rPr>
        <w:t xml:space="preserve">The Commission calls on the State to take the </w:t>
      </w:r>
      <w:r w:rsidR="001F57ED" w:rsidRPr="00D920C9">
        <w:rPr>
          <w:rFonts w:asciiTheme="minorHAnsi" w:hAnsiTheme="minorHAnsi"/>
          <w:szCs w:val="20"/>
        </w:rPr>
        <w:lastRenderedPageBreak/>
        <w:t>necessary steps to halt and reverse the militarization of police departments, as well as to further study and take corrective action in light of the racially disproportionate effect of militarized policing on African Americans and other historically marginalized groups.</w:t>
      </w:r>
    </w:p>
    <w:p w14:paraId="3D80C34A" w14:textId="5284D888" w:rsidR="00B4412C" w:rsidRPr="00D920C9" w:rsidRDefault="00B4412C" w:rsidP="003D7958">
      <w:pPr>
        <w:pStyle w:val="Heading4"/>
        <w:ind w:left="540" w:hanging="540"/>
      </w:pPr>
      <w:bookmarkStart w:id="72" w:name="_Ref507664995"/>
      <w:bookmarkStart w:id="73" w:name="_Ref507665005"/>
      <w:bookmarkStart w:id="74" w:name="_Toc511837812"/>
      <w:bookmarkStart w:id="75" w:name="_Toc511902985"/>
      <w:bookmarkStart w:id="76" w:name="_Toc517687915"/>
      <w:r w:rsidRPr="00D920C9">
        <w:t xml:space="preserve">Police </w:t>
      </w:r>
      <w:r w:rsidR="00F233D9" w:rsidRPr="00D920C9">
        <w:t xml:space="preserve">Use </w:t>
      </w:r>
      <w:r w:rsidRPr="00D920C9">
        <w:t xml:space="preserve">of </w:t>
      </w:r>
      <w:r w:rsidR="001D6074" w:rsidRPr="00D920C9">
        <w:t>Excessive Force</w:t>
      </w:r>
      <w:bookmarkEnd w:id="72"/>
      <w:bookmarkEnd w:id="73"/>
      <w:bookmarkEnd w:id="74"/>
      <w:bookmarkEnd w:id="75"/>
      <w:bookmarkEnd w:id="76"/>
    </w:p>
    <w:p w14:paraId="0FD0C926" w14:textId="77777777" w:rsidR="00B4412C" w:rsidRPr="00D920C9" w:rsidRDefault="002903D8"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In recent years, t</w:t>
      </w:r>
      <w:r w:rsidR="00B4412C" w:rsidRPr="00D920C9">
        <w:rPr>
          <w:rFonts w:asciiTheme="minorHAnsi" w:hAnsiTheme="minorHAnsi"/>
          <w:szCs w:val="20"/>
        </w:rPr>
        <w:t>he Commission,</w:t>
      </w:r>
      <w:r w:rsidR="00B4412C" w:rsidRPr="00D920C9">
        <w:rPr>
          <w:rStyle w:val="FootnoteReference"/>
          <w:rFonts w:asciiTheme="minorHAnsi" w:hAnsiTheme="minorHAnsi"/>
          <w:szCs w:val="20"/>
        </w:rPr>
        <w:footnoteReference w:id="174"/>
      </w:r>
      <w:r w:rsidR="00B4412C" w:rsidRPr="00D920C9">
        <w:rPr>
          <w:rFonts w:asciiTheme="minorHAnsi" w:hAnsiTheme="minorHAnsi"/>
          <w:szCs w:val="20"/>
        </w:rPr>
        <w:t xml:space="preserve"> </w:t>
      </w:r>
      <w:r w:rsidR="003A4D27" w:rsidRPr="00D920C9">
        <w:rPr>
          <w:rFonts w:asciiTheme="minorHAnsi" w:hAnsiTheme="minorHAnsi"/>
          <w:szCs w:val="20"/>
        </w:rPr>
        <w:t>like</w:t>
      </w:r>
      <w:r w:rsidR="00B4412C" w:rsidRPr="00D920C9">
        <w:rPr>
          <w:rFonts w:asciiTheme="minorHAnsi" w:hAnsiTheme="minorHAnsi"/>
          <w:szCs w:val="20"/>
        </w:rPr>
        <w:t xml:space="preserve"> other human rights bodies,</w:t>
      </w:r>
      <w:r w:rsidR="00B4412C" w:rsidRPr="00D920C9">
        <w:rPr>
          <w:rStyle w:val="FootnoteReference"/>
          <w:rFonts w:asciiTheme="minorHAnsi" w:hAnsiTheme="minorHAnsi"/>
          <w:szCs w:val="20"/>
        </w:rPr>
        <w:footnoteReference w:id="175"/>
      </w:r>
      <w:r w:rsidR="00B4412C" w:rsidRPr="00D920C9">
        <w:rPr>
          <w:rFonts w:asciiTheme="minorHAnsi" w:hAnsiTheme="minorHAnsi"/>
          <w:szCs w:val="20"/>
        </w:rPr>
        <w:t xml:space="preserve"> has </w:t>
      </w:r>
      <w:r w:rsidRPr="00D920C9">
        <w:rPr>
          <w:rFonts w:asciiTheme="minorHAnsi" w:hAnsiTheme="minorHAnsi"/>
          <w:szCs w:val="20"/>
        </w:rPr>
        <w:t xml:space="preserve">consistently </w:t>
      </w:r>
      <w:r w:rsidR="00B4412C" w:rsidRPr="00D920C9">
        <w:rPr>
          <w:rFonts w:asciiTheme="minorHAnsi" w:hAnsiTheme="minorHAnsi"/>
          <w:szCs w:val="20"/>
        </w:rPr>
        <w:t>registered its alarm at police brutality and excessive use of force by law enforcement officials against African</w:t>
      </w:r>
      <w:r w:rsidR="0030356C" w:rsidRPr="00D920C9">
        <w:rPr>
          <w:rFonts w:asciiTheme="minorHAnsi" w:hAnsiTheme="minorHAnsi"/>
          <w:szCs w:val="20"/>
        </w:rPr>
        <w:t xml:space="preserve"> </w:t>
      </w:r>
      <w:r w:rsidR="00B4412C" w:rsidRPr="00D920C9">
        <w:rPr>
          <w:rFonts w:asciiTheme="minorHAnsi" w:hAnsiTheme="minorHAnsi"/>
          <w:szCs w:val="20"/>
        </w:rPr>
        <w:t xml:space="preserve">Americans </w:t>
      </w:r>
      <w:r w:rsidR="00C576B4" w:rsidRPr="00D920C9">
        <w:rPr>
          <w:rFonts w:asciiTheme="minorHAnsi" w:hAnsiTheme="minorHAnsi"/>
          <w:szCs w:val="20"/>
        </w:rPr>
        <w:t>in the U</w:t>
      </w:r>
      <w:r w:rsidR="001F57ED" w:rsidRPr="00D920C9">
        <w:rPr>
          <w:rFonts w:asciiTheme="minorHAnsi" w:hAnsiTheme="minorHAnsi"/>
          <w:szCs w:val="20"/>
        </w:rPr>
        <w:t>.</w:t>
      </w:r>
      <w:r w:rsidR="00C576B4" w:rsidRPr="00D920C9">
        <w:rPr>
          <w:rFonts w:asciiTheme="minorHAnsi" w:hAnsiTheme="minorHAnsi"/>
          <w:szCs w:val="20"/>
        </w:rPr>
        <w:t>S</w:t>
      </w:r>
      <w:r w:rsidR="001F57ED" w:rsidRPr="00D920C9">
        <w:rPr>
          <w:rFonts w:asciiTheme="minorHAnsi" w:hAnsiTheme="minorHAnsi"/>
          <w:szCs w:val="20"/>
        </w:rPr>
        <w:t>.</w:t>
      </w:r>
      <w:r w:rsidR="00B4412C" w:rsidRPr="00D920C9">
        <w:rPr>
          <w:rFonts w:asciiTheme="minorHAnsi" w:hAnsiTheme="minorHAnsi"/>
          <w:szCs w:val="20"/>
        </w:rPr>
        <w:t xml:space="preserve">, and has called on the State to ensure that these events are prevented, investigated, prosecuted, and </w:t>
      </w:r>
      <w:r w:rsidRPr="00D920C9">
        <w:rPr>
          <w:rFonts w:asciiTheme="minorHAnsi" w:hAnsiTheme="minorHAnsi"/>
          <w:szCs w:val="20"/>
        </w:rPr>
        <w:t>punished.</w:t>
      </w:r>
      <w:r w:rsidR="001D0018" w:rsidRPr="00D920C9">
        <w:rPr>
          <w:rFonts w:asciiTheme="minorHAnsi" w:hAnsiTheme="minorHAnsi"/>
          <w:vertAlign w:val="superscript"/>
        </w:rPr>
        <w:footnoteReference w:id="176"/>
      </w:r>
      <w:r w:rsidRPr="00D920C9">
        <w:rPr>
          <w:rFonts w:asciiTheme="minorHAnsi" w:hAnsiTheme="minorHAnsi"/>
          <w:szCs w:val="20"/>
        </w:rPr>
        <w:t xml:space="preserve"> The use of</w:t>
      </w:r>
      <w:r w:rsidR="00C576B4" w:rsidRPr="00D920C9">
        <w:rPr>
          <w:rFonts w:asciiTheme="minorHAnsi" w:hAnsiTheme="minorHAnsi"/>
          <w:szCs w:val="20"/>
        </w:rPr>
        <w:t xml:space="preserve"> excessive</w:t>
      </w:r>
      <w:r w:rsidRPr="00D920C9">
        <w:rPr>
          <w:rFonts w:asciiTheme="minorHAnsi" w:hAnsiTheme="minorHAnsi"/>
          <w:szCs w:val="20"/>
        </w:rPr>
        <w:t xml:space="preserve"> force, in particular against unarmed civilians, raises issues of racial discrimination, and takes place in a permissive legal environment that enables excessive force and prevents accountability. This section explores several key issues relate</w:t>
      </w:r>
      <w:r w:rsidR="001D0018" w:rsidRPr="00D920C9">
        <w:rPr>
          <w:rFonts w:asciiTheme="minorHAnsi" w:hAnsiTheme="minorHAnsi"/>
          <w:szCs w:val="20"/>
        </w:rPr>
        <w:t>d to the use of excessive force</w:t>
      </w:r>
      <w:r w:rsidRPr="00D920C9">
        <w:rPr>
          <w:rFonts w:asciiTheme="minorHAnsi" w:hAnsiTheme="minorHAnsi"/>
          <w:szCs w:val="20"/>
        </w:rPr>
        <w:t xml:space="preserve">. </w:t>
      </w:r>
    </w:p>
    <w:p w14:paraId="57C1736C" w14:textId="665BDC4D" w:rsidR="00B4412C" w:rsidRPr="00D920C9" w:rsidRDefault="002903D8"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As a threshold issue, the Commission notes that</w:t>
      </w:r>
      <w:r w:rsidR="00B4412C" w:rsidRPr="00D920C9">
        <w:rPr>
          <w:rFonts w:asciiTheme="minorHAnsi" w:hAnsiTheme="minorHAnsi"/>
          <w:szCs w:val="20"/>
        </w:rPr>
        <w:t xml:space="preserve"> there is no mandatory federal database to track police violence and killings</w:t>
      </w:r>
      <w:r w:rsidRPr="00D920C9">
        <w:rPr>
          <w:rFonts w:asciiTheme="minorHAnsi" w:hAnsiTheme="minorHAnsi"/>
          <w:szCs w:val="20"/>
        </w:rPr>
        <w:t>;</w:t>
      </w:r>
      <w:r w:rsidR="00B4412C" w:rsidRPr="00D920C9">
        <w:rPr>
          <w:rFonts w:asciiTheme="minorHAnsi" w:hAnsiTheme="minorHAnsi"/>
          <w:vertAlign w:val="superscript"/>
        </w:rPr>
        <w:footnoteReference w:id="177"/>
      </w:r>
      <w:r w:rsidRPr="00D920C9">
        <w:rPr>
          <w:rFonts w:asciiTheme="minorHAnsi" w:hAnsiTheme="minorHAnsi"/>
          <w:szCs w:val="20"/>
        </w:rPr>
        <w:t xml:space="preserve"> the lack of official data raises concerns related to the State’s duty to exercise due diligence.</w:t>
      </w:r>
      <w:r w:rsidR="00711151" w:rsidRPr="00D920C9">
        <w:rPr>
          <w:rFonts w:asciiTheme="minorHAnsi" w:hAnsiTheme="minorHAnsi"/>
          <w:vertAlign w:val="superscript"/>
        </w:rPr>
        <w:footnoteReference w:id="178"/>
      </w:r>
      <w:r w:rsidRPr="00D920C9">
        <w:rPr>
          <w:rFonts w:asciiTheme="minorHAnsi" w:hAnsiTheme="minorHAnsi"/>
          <w:szCs w:val="20"/>
        </w:rPr>
        <w:t xml:space="preserve"> Nonetheless,</w:t>
      </w:r>
      <w:r w:rsidR="00B4412C" w:rsidRPr="00D920C9">
        <w:rPr>
          <w:rFonts w:asciiTheme="minorHAnsi" w:hAnsiTheme="minorHAnsi"/>
          <w:szCs w:val="20"/>
        </w:rPr>
        <w:t xml:space="preserve"> </w:t>
      </w:r>
      <w:r w:rsidR="001F57ED" w:rsidRPr="00D920C9">
        <w:rPr>
          <w:rFonts w:asciiTheme="minorHAnsi" w:hAnsiTheme="minorHAnsi"/>
          <w:szCs w:val="20"/>
        </w:rPr>
        <w:t xml:space="preserve">according to public information, </w:t>
      </w:r>
      <w:r w:rsidR="00B4412C" w:rsidRPr="00D920C9">
        <w:rPr>
          <w:rFonts w:asciiTheme="minorHAnsi" w:hAnsiTheme="minorHAnsi"/>
          <w:szCs w:val="20"/>
        </w:rPr>
        <w:t>the U</w:t>
      </w:r>
      <w:r w:rsidR="00931537" w:rsidRPr="00D920C9">
        <w:rPr>
          <w:rFonts w:asciiTheme="minorHAnsi" w:hAnsiTheme="minorHAnsi"/>
          <w:szCs w:val="20"/>
        </w:rPr>
        <w:t>.</w:t>
      </w:r>
      <w:r w:rsidR="00B4412C" w:rsidRPr="00D920C9">
        <w:rPr>
          <w:rFonts w:asciiTheme="minorHAnsi" w:hAnsiTheme="minorHAnsi"/>
          <w:szCs w:val="20"/>
        </w:rPr>
        <w:t>S</w:t>
      </w:r>
      <w:r w:rsidR="00931537" w:rsidRPr="00D920C9">
        <w:rPr>
          <w:rFonts w:asciiTheme="minorHAnsi" w:hAnsiTheme="minorHAnsi"/>
          <w:szCs w:val="20"/>
        </w:rPr>
        <w:t>.</w:t>
      </w:r>
      <w:r w:rsidR="00B4412C" w:rsidRPr="00D920C9">
        <w:rPr>
          <w:rFonts w:asciiTheme="minorHAnsi" w:hAnsiTheme="minorHAnsi"/>
          <w:szCs w:val="20"/>
        </w:rPr>
        <w:t xml:space="preserve"> consistently registers high levels of police violence: reports indicate that police officers kill about 1,000 people and wound more than 50,000 each year on average.</w:t>
      </w:r>
      <w:r w:rsidR="00B4412C" w:rsidRPr="00D920C9">
        <w:rPr>
          <w:rStyle w:val="FootnoteReference"/>
          <w:rFonts w:asciiTheme="minorHAnsi" w:hAnsiTheme="minorHAnsi"/>
          <w:szCs w:val="20"/>
        </w:rPr>
        <w:footnoteReference w:id="179"/>
      </w:r>
      <w:r w:rsidR="00B4412C" w:rsidRPr="00D920C9">
        <w:rPr>
          <w:rFonts w:asciiTheme="minorHAnsi" w:hAnsiTheme="minorHAnsi"/>
          <w:szCs w:val="20"/>
        </w:rPr>
        <w:t xml:space="preserve"> </w:t>
      </w:r>
      <w:r w:rsidR="009232C3" w:rsidRPr="00D920C9">
        <w:rPr>
          <w:rFonts w:asciiTheme="minorHAnsi" w:hAnsiTheme="minorHAnsi"/>
          <w:szCs w:val="20"/>
        </w:rPr>
        <w:t>In 2017</w:t>
      </w:r>
      <w:r w:rsidR="00B4412C" w:rsidRPr="00D920C9">
        <w:rPr>
          <w:rFonts w:asciiTheme="minorHAnsi" w:hAnsiTheme="minorHAnsi"/>
          <w:szCs w:val="20"/>
        </w:rPr>
        <w:t xml:space="preserve">, </w:t>
      </w:r>
      <w:r w:rsidR="00AF6DA3" w:rsidRPr="00D920C9">
        <w:rPr>
          <w:rFonts w:asciiTheme="minorHAnsi" w:hAnsiTheme="minorHAnsi"/>
          <w:szCs w:val="20"/>
        </w:rPr>
        <w:t xml:space="preserve">at least </w:t>
      </w:r>
      <w:r w:rsidR="006A0CEC" w:rsidRPr="00D920C9">
        <w:rPr>
          <w:rFonts w:asciiTheme="minorHAnsi" w:hAnsiTheme="minorHAnsi"/>
          <w:szCs w:val="20"/>
        </w:rPr>
        <w:t>987</w:t>
      </w:r>
      <w:r w:rsidR="00AF6DA3" w:rsidRPr="00D920C9">
        <w:rPr>
          <w:rFonts w:asciiTheme="minorHAnsi" w:hAnsiTheme="minorHAnsi"/>
          <w:szCs w:val="20"/>
        </w:rPr>
        <w:t xml:space="preserve"> people were shot and killed by law enforcement officers, including more than 300 who were fleeing from officers when they were shot</w:t>
      </w:r>
      <w:r w:rsidR="00B4412C" w:rsidRPr="00D920C9">
        <w:rPr>
          <w:rFonts w:asciiTheme="minorHAnsi" w:hAnsiTheme="minorHAnsi"/>
          <w:szCs w:val="20"/>
        </w:rPr>
        <w:t>.</w:t>
      </w:r>
      <w:r w:rsidR="00B4412C" w:rsidRPr="00D920C9">
        <w:rPr>
          <w:rStyle w:val="FootnoteReference"/>
          <w:rFonts w:asciiTheme="minorHAnsi" w:hAnsiTheme="minorHAnsi"/>
          <w:szCs w:val="20"/>
        </w:rPr>
        <w:footnoteReference w:id="180"/>
      </w:r>
      <w:r w:rsidR="00B4412C" w:rsidRPr="00D920C9">
        <w:rPr>
          <w:rFonts w:asciiTheme="minorHAnsi" w:hAnsiTheme="minorHAnsi"/>
          <w:szCs w:val="20"/>
        </w:rPr>
        <w:t xml:space="preserve"> The number of annual police killings registered yearly in the United States is much higher both in per capita and in absolute terms than in other developed countries. For example, one study indicated that whereas the U</w:t>
      </w:r>
      <w:r w:rsidR="00931537" w:rsidRPr="00D920C9">
        <w:rPr>
          <w:rFonts w:asciiTheme="minorHAnsi" w:hAnsiTheme="minorHAnsi"/>
          <w:szCs w:val="20"/>
        </w:rPr>
        <w:t>.</w:t>
      </w:r>
      <w:r w:rsidR="00B4412C" w:rsidRPr="00D920C9">
        <w:rPr>
          <w:rFonts w:asciiTheme="minorHAnsi" w:hAnsiTheme="minorHAnsi"/>
          <w:szCs w:val="20"/>
        </w:rPr>
        <w:t>S</w:t>
      </w:r>
      <w:r w:rsidR="00931537" w:rsidRPr="00D920C9">
        <w:rPr>
          <w:rFonts w:asciiTheme="minorHAnsi" w:hAnsiTheme="minorHAnsi"/>
          <w:szCs w:val="20"/>
        </w:rPr>
        <w:t>.</w:t>
      </w:r>
      <w:r w:rsidR="00B4412C" w:rsidRPr="00D920C9">
        <w:rPr>
          <w:rFonts w:asciiTheme="minorHAnsi" w:hAnsiTheme="minorHAnsi"/>
          <w:szCs w:val="20"/>
        </w:rPr>
        <w:t xml:space="preserve"> registers an average </w:t>
      </w:r>
      <w:r w:rsidR="00D06953" w:rsidRPr="00D920C9">
        <w:rPr>
          <w:rFonts w:asciiTheme="minorHAnsi" w:hAnsiTheme="minorHAnsi"/>
          <w:szCs w:val="20"/>
        </w:rPr>
        <w:t xml:space="preserve">of </w:t>
      </w:r>
      <w:r w:rsidR="00B4412C" w:rsidRPr="00D920C9">
        <w:rPr>
          <w:rFonts w:asciiTheme="minorHAnsi" w:hAnsiTheme="minorHAnsi"/>
          <w:szCs w:val="20"/>
        </w:rPr>
        <w:t>3</w:t>
      </w:r>
      <w:r w:rsidR="001F57ED" w:rsidRPr="00D920C9">
        <w:rPr>
          <w:rFonts w:asciiTheme="minorHAnsi" w:hAnsiTheme="minorHAnsi"/>
          <w:szCs w:val="20"/>
        </w:rPr>
        <w:t>.</w:t>
      </w:r>
      <w:r w:rsidR="00B4412C" w:rsidRPr="00D920C9">
        <w:rPr>
          <w:rFonts w:asciiTheme="minorHAnsi" w:hAnsiTheme="minorHAnsi"/>
          <w:szCs w:val="20"/>
        </w:rPr>
        <w:t xml:space="preserve">11 killings per </w:t>
      </w:r>
      <w:r w:rsidR="001F57ED" w:rsidRPr="00D920C9">
        <w:rPr>
          <w:rFonts w:asciiTheme="minorHAnsi" w:hAnsiTheme="minorHAnsi"/>
          <w:szCs w:val="20"/>
        </w:rPr>
        <w:t>million</w:t>
      </w:r>
      <w:r w:rsidR="00B4412C" w:rsidRPr="00D920C9">
        <w:rPr>
          <w:rFonts w:asciiTheme="minorHAnsi" w:hAnsiTheme="minorHAnsi"/>
          <w:szCs w:val="20"/>
        </w:rPr>
        <w:t xml:space="preserve"> persons, Australia, the </w:t>
      </w:r>
      <w:r w:rsidR="00B4412C" w:rsidRPr="00D920C9">
        <w:rPr>
          <w:rFonts w:asciiTheme="minorHAnsi" w:hAnsiTheme="minorHAnsi"/>
          <w:szCs w:val="20"/>
        </w:rPr>
        <w:lastRenderedPageBreak/>
        <w:t>developed country with the next highest number of p</w:t>
      </w:r>
      <w:r w:rsidR="001F57ED" w:rsidRPr="00D920C9">
        <w:rPr>
          <w:rFonts w:asciiTheme="minorHAnsi" w:hAnsiTheme="minorHAnsi"/>
          <w:szCs w:val="20"/>
        </w:rPr>
        <w:t>olice killings, registers only 0.</w:t>
      </w:r>
      <w:r w:rsidR="00B4412C" w:rsidRPr="00D920C9">
        <w:rPr>
          <w:rFonts w:asciiTheme="minorHAnsi" w:hAnsiTheme="minorHAnsi"/>
          <w:szCs w:val="20"/>
        </w:rPr>
        <w:t xml:space="preserve">21 killings per </w:t>
      </w:r>
      <w:r w:rsidR="001F57ED" w:rsidRPr="00D920C9">
        <w:rPr>
          <w:rFonts w:asciiTheme="minorHAnsi" w:hAnsiTheme="minorHAnsi"/>
          <w:szCs w:val="20"/>
        </w:rPr>
        <w:t>million</w:t>
      </w:r>
      <w:r w:rsidR="00B4412C" w:rsidRPr="00D920C9">
        <w:rPr>
          <w:rFonts w:asciiTheme="minorHAnsi" w:hAnsiTheme="minorHAnsi"/>
          <w:szCs w:val="20"/>
        </w:rPr>
        <w:t xml:space="preserve"> persons.</w:t>
      </w:r>
      <w:r w:rsidR="00B4412C" w:rsidRPr="00D920C9">
        <w:rPr>
          <w:rStyle w:val="FootnoteReference"/>
          <w:rFonts w:asciiTheme="minorHAnsi" w:hAnsiTheme="minorHAnsi"/>
          <w:szCs w:val="20"/>
        </w:rPr>
        <w:footnoteReference w:id="181"/>
      </w:r>
    </w:p>
    <w:p w14:paraId="3375CE0D"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77" w:name="_Ref507586161"/>
      <w:r w:rsidRPr="00D920C9">
        <w:rPr>
          <w:rFonts w:asciiTheme="minorHAnsi" w:hAnsiTheme="minorHAnsi"/>
          <w:szCs w:val="20"/>
        </w:rPr>
        <w:t xml:space="preserve">Within </w:t>
      </w:r>
      <w:r w:rsidR="00825CEF" w:rsidRPr="00D920C9">
        <w:rPr>
          <w:rFonts w:asciiTheme="minorHAnsi" w:hAnsiTheme="minorHAnsi"/>
          <w:szCs w:val="20"/>
        </w:rPr>
        <w:t>this</w:t>
      </w:r>
      <w:r w:rsidRPr="00D920C9">
        <w:rPr>
          <w:rFonts w:asciiTheme="minorHAnsi" w:hAnsiTheme="minorHAnsi"/>
          <w:szCs w:val="20"/>
        </w:rPr>
        <w:t xml:space="preserve"> panorama, the persistent disproportionate use of excessive force by law enforcement officials against African</w:t>
      </w:r>
      <w:r w:rsidR="0030356C" w:rsidRPr="00D920C9">
        <w:rPr>
          <w:rFonts w:asciiTheme="minorHAnsi" w:hAnsiTheme="minorHAnsi"/>
          <w:szCs w:val="20"/>
        </w:rPr>
        <w:t xml:space="preserve"> </w:t>
      </w:r>
      <w:r w:rsidRPr="00D920C9">
        <w:rPr>
          <w:rFonts w:asciiTheme="minorHAnsi" w:hAnsiTheme="minorHAnsi"/>
          <w:szCs w:val="20"/>
        </w:rPr>
        <w:t xml:space="preserve">Americans is particularly concerning; while </w:t>
      </w:r>
      <w:r w:rsidR="00B13AF3" w:rsidRPr="00D920C9">
        <w:rPr>
          <w:rFonts w:asciiTheme="minorHAnsi" w:hAnsiTheme="minorHAnsi"/>
          <w:szCs w:val="20"/>
        </w:rPr>
        <w:t>Blacks</w:t>
      </w:r>
      <w:r w:rsidRPr="00D920C9">
        <w:rPr>
          <w:rFonts w:asciiTheme="minorHAnsi" w:hAnsiTheme="minorHAnsi"/>
          <w:szCs w:val="20"/>
        </w:rPr>
        <w:t xml:space="preserve"> ma</w:t>
      </w:r>
      <w:r w:rsidR="00711151" w:rsidRPr="00D920C9">
        <w:rPr>
          <w:rFonts w:asciiTheme="minorHAnsi" w:hAnsiTheme="minorHAnsi"/>
          <w:szCs w:val="20"/>
        </w:rPr>
        <w:t>d</w:t>
      </w:r>
      <w:r w:rsidRPr="00D920C9">
        <w:rPr>
          <w:rFonts w:asciiTheme="minorHAnsi" w:hAnsiTheme="minorHAnsi"/>
          <w:szCs w:val="20"/>
        </w:rPr>
        <w:t>e up 23 percent of victims of police killings in 2017, they make up only 13 percent of the U</w:t>
      </w:r>
      <w:r w:rsidR="00931537" w:rsidRPr="00D920C9">
        <w:rPr>
          <w:rFonts w:asciiTheme="minorHAnsi" w:hAnsiTheme="minorHAnsi"/>
          <w:szCs w:val="20"/>
        </w:rPr>
        <w:t>.</w:t>
      </w:r>
      <w:r w:rsidRPr="00D920C9">
        <w:rPr>
          <w:rFonts w:asciiTheme="minorHAnsi" w:hAnsiTheme="minorHAnsi"/>
          <w:szCs w:val="20"/>
        </w:rPr>
        <w:t>S</w:t>
      </w:r>
      <w:r w:rsidR="00931537" w:rsidRPr="00D920C9">
        <w:rPr>
          <w:rFonts w:asciiTheme="minorHAnsi" w:hAnsiTheme="minorHAnsi"/>
          <w:szCs w:val="20"/>
        </w:rPr>
        <w:t>.</w:t>
      </w:r>
      <w:r w:rsidRPr="00D920C9">
        <w:rPr>
          <w:rFonts w:asciiTheme="minorHAnsi" w:hAnsiTheme="minorHAnsi"/>
          <w:szCs w:val="20"/>
        </w:rPr>
        <w:t xml:space="preserve"> population.</w:t>
      </w:r>
      <w:r w:rsidRPr="00D920C9">
        <w:rPr>
          <w:rStyle w:val="FootnoteReference"/>
          <w:rFonts w:asciiTheme="minorHAnsi" w:hAnsiTheme="minorHAnsi"/>
          <w:szCs w:val="20"/>
        </w:rPr>
        <w:footnoteReference w:id="182"/>
      </w:r>
      <w:r w:rsidRPr="00D920C9">
        <w:rPr>
          <w:rFonts w:asciiTheme="minorHAnsi" w:hAnsiTheme="minorHAnsi"/>
          <w:szCs w:val="20"/>
        </w:rPr>
        <w:t xml:space="preserve"> African</w:t>
      </w:r>
      <w:r w:rsidR="0030356C" w:rsidRPr="00D920C9">
        <w:rPr>
          <w:rFonts w:asciiTheme="minorHAnsi" w:hAnsiTheme="minorHAnsi"/>
          <w:szCs w:val="20"/>
        </w:rPr>
        <w:t xml:space="preserve"> </w:t>
      </w:r>
      <w:r w:rsidRPr="00D920C9">
        <w:rPr>
          <w:rFonts w:asciiTheme="minorHAnsi" w:hAnsiTheme="minorHAnsi"/>
          <w:szCs w:val="20"/>
        </w:rPr>
        <w:t xml:space="preserve">Americans were </w:t>
      </w:r>
      <w:r w:rsidR="00931537" w:rsidRPr="00D920C9">
        <w:rPr>
          <w:rFonts w:asciiTheme="minorHAnsi" w:hAnsiTheme="minorHAnsi"/>
          <w:szCs w:val="20"/>
        </w:rPr>
        <w:t xml:space="preserve">the </w:t>
      </w:r>
      <w:r w:rsidRPr="00D920C9">
        <w:rPr>
          <w:rFonts w:asciiTheme="minorHAnsi" w:hAnsiTheme="minorHAnsi"/>
          <w:szCs w:val="20"/>
        </w:rPr>
        <w:t>victims in 24 percent of all police killings in 2016, and 26 percent of all police killings in 2015.</w:t>
      </w:r>
      <w:r w:rsidRPr="00D920C9">
        <w:rPr>
          <w:rFonts w:asciiTheme="minorHAnsi" w:hAnsiTheme="minorHAnsi"/>
          <w:vertAlign w:val="superscript"/>
        </w:rPr>
        <w:footnoteReference w:id="183"/>
      </w:r>
      <w:r w:rsidRPr="00D920C9">
        <w:rPr>
          <w:rFonts w:asciiTheme="minorHAnsi" w:hAnsiTheme="minorHAnsi"/>
          <w:szCs w:val="20"/>
        </w:rPr>
        <w:t xml:space="preserve"> When killings of unarmed civilians are considered, the statistics are even starker; for example,</w:t>
      </w:r>
      <w:r w:rsidR="003C4AAD" w:rsidRPr="00D920C9">
        <w:rPr>
          <w:rFonts w:asciiTheme="minorHAnsi" w:hAnsiTheme="minorHAnsi"/>
          <w:szCs w:val="20"/>
        </w:rPr>
        <w:t xml:space="preserve"> statistics from civil society indicate that</w:t>
      </w:r>
      <w:r w:rsidRPr="00D920C9">
        <w:rPr>
          <w:rFonts w:asciiTheme="minorHAnsi" w:hAnsiTheme="minorHAnsi"/>
          <w:szCs w:val="20"/>
        </w:rPr>
        <w:t xml:space="preserve"> in 2015, more than 34</w:t>
      </w:r>
      <w:r w:rsidR="003C4AAD" w:rsidRPr="00D920C9">
        <w:rPr>
          <w:rFonts w:asciiTheme="minorHAnsi" w:hAnsiTheme="minorHAnsi"/>
          <w:szCs w:val="20"/>
        </w:rPr>
        <w:t xml:space="preserve"> percent</w:t>
      </w:r>
      <w:r w:rsidRPr="00D920C9">
        <w:rPr>
          <w:rFonts w:asciiTheme="minorHAnsi" w:hAnsiTheme="minorHAnsi"/>
          <w:szCs w:val="20"/>
        </w:rPr>
        <w:t xml:space="preserve"> of unarmed civilians killed by police officers were </w:t>
      </w:r>
      <w:r w:rsidR="00B13AF3" w:rsidRPr="00D920C9">
        <w:rPr>
          <w:rFonts w:asciiTheme="minorHAnsi" w:hAnsiTheme="minorHAnsi"/>
          <w:szCs w:val="20"/>
        </w:rPr>
        <w:t>black</w:t>
      </w:r>
      <w:r w:rsidRPr="00D920C9">
        <w:rPr>
          <w:rFonts w:asciiTheme="minorHAnsi" w:hAnsiTheme="minorHAnsi"/>
          <w:szCs w:val="20"/>
        </w:rPr>
        <w:t>.</w:t>
      </w:r>
      <w:r w:rsidRPr="00D920C9">
        <w:rPr>
          <w:rFonts w:asciiTheme="minorHAnsi" w:hAnsiTheme="minorHAnsi"/>
          <w:szCs w:val="20"/>
          <w:vertAlign w:val="superscript"/>
        </w:rPr>
        <w:footnoteReference w:id="184"/>
      </w:r>
      <w:r w:rsidRPr="00D920C9">
        <w:rPr>
          <w:rFonts w:asciiTheme="minorHAnsi" w:hAnsiTheme="minorHAnsi"/>
          <w:szCs w:val="20"/>
        </w:rPr>
        <w:t xml:space="preserve"> </w:t>
      </w:r>
      <w:r w:rsidR="00AF6DA3" w:rsidRPr="00D920C9">
        <w:rPr>
          <w:rFonts w:asciiTheme="minorHAnsi" w:hAnsiTheme="minorHAnsi"/>
          <w:szCs w:val="20"/>
        </w:rPr>
        <w:t>Other studies indicate that Black males are almost three times as likely, and Hispanic males are almost twice as likely, to be killed by police use of force as are white males.</w:t>
      </w:r>
      <w:r w:rsidR="00AF6DA3" w:rsidRPr="00D920C9">
        <w:rPr>
          <w:rFonts w:asciiTheme="minorHAnsi" w:hAnsiTheme="minorHAnsi"/>
          <w:vertAlign w:val="superscript"/>
        </w:rPr>
        <w:footnoteReference w:id="185"/>
      </w:r>
      <w:r w:rsidR="00AF6DA3" w:rsidRPr="00D920C9">
        <w:rPr>
          <w:rFonts w:asciiTheme="minorHAnsi" w:hAnsiTheme="minorHAnsi"/>
          <w:szCs w:val="20"/>
        </w:rPr>
        <w:t xml:space="preserve"> </w:t>
      </w:r>
      <w:r w:rsidRPr="00D920C9">
        <w:rPr>
          <w:rFonts w:asciiTheme="minorHAnsi" w:hAnsiTheme="minorHAnsi"/>
          <w:szCs w:val="20"/>
        </w:rPr>
        <w:t>These disparities are not anomalies, and are not the product of different crime rates; one study found that, controlling for differences in crime rates by race, the probability that an unarmed African</w:t>
      </w:r>
      <w:r w:rsidR="0030356C" w:rsidRPr="00D920C9">
        <w:rPr>
          <w:rFonts w:asciiTheme="minorHAnsi" w:hAnsiTheme="minorHAnsi"/>
          <w:szCs w:val="20"/>
        </w:rPr>
        <w:t xml:space="preserve"> </w:t>
      </w:r>
      <w:r w:rsidRPr="00D920C9">
        <w:rPr>
          <w:rFonts w:asciiTheme="minorHAnsi" w:hAnsiTheme="minorHAnsi"/>
          <w:szCs w:val="20"/>
        </w:rPr>
        <w:t>American person will be shot by the police is 3.49 times greater than the probability that an unarmed white person will be shot by the police.</w:t>
      </w:r>
      <w:r w:rsidRPr="00D920C9">
        <w:rPr>
          <w:rFonts w:asciiTheme="minorHAnsi" w:hAnsiTheme="minorHAnsi"/>
          <w:vertAlign w:val="superscript"/>
        </w:rPr>
        <w:footnoteReference w:id="186"/>
      </w:r>
      <w:bookmarkEnd w:id="77"/>
    </w:p>
    <w:p w14:paraId="496E9E11" w14:textId="77777777" w:rsidR="003C4AAD" w:rsidRPr="00D920C9" w:rsidRDefault="00B751A9"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78" w:name="_Ref507077640"/>
      <w:r w:rsidRPr="00D920C9">
        <w:rPr>
          <w:rFonts w:asciiTheme="minorHAnsi" w:hAnsiTheme="minorHAnsi"/>
          <w:szCs w:val="20"/>
        </w:rPr>
        <w:t>P</w:t>
      </w:r>
      <w:r w:rsidR="003C4AAD" w:rsidRPr="00D920C9">
        <w:rPr>
          <w:rFonts w:asciiTheme="minorHAnsi" w:hAnsiTheme="minorHAnsi"/>
          <w:szCs w:val="20"/>
        </w:rPr>
        <w:t xml:space="preserve">olice excessive use of force against African Americans is </w:t>
      </w:r>
      <w:r w:rsidRPr="00D920C9">
        <w:rPr>
          <w:rFonts w:asciiTheme="minorHAnsi" w:hAnsiTheme="minorHAnsi"/>
          <w:szCs w:val="20"/>
        </w:rPr>
        <w:t xml:space="preserve">a </w:t>
      </w:r>
      <w:r w:rsidR="003C4AAD" w:rsidRPr="00D920C9">
        <w:rPr>
          <w:rFonts w:asciiTheme="minorHAnsi" w:hAnsiTheme="minorHAnsi"/>
          <w:szCs w:val="20"/>
        </w:rPr>
        <w:t>longstanding</w:t>
      </w:r>
      <w:r w:rsidRPr="00D920C9">
        <w:rPr>
          <w:rFonts w:asciiTheme="minorHAnsi" w:hAnsiTheme="minorHAnsi"/>
          <w:szCs w:val="20"/>
        </w:rPr>
        <w:t xml:space="preserve"> issue</w:t>
      </w:r>
      <w:r w:rsidR="003C4AAD" w:rsidRPr="00D920C9">
        <w:rPr>
          <w:rFonts w:asciiTheme="minorHAnsi" w:hAnsiTheme="minorHAnsi"/>
          <w:szCs w:val="20"/>
        </w:rPr>
        <w:t xml:space="preserve"> in the United States</w:t>
      </w:r>
      <w:r w:rsidR="002314E4" w:rsidRPr="00D920C9">
        <w:rPr>
          <w:rFonts w:asciiTheme="minorHAnsi" w:hAnsiTheme="minorHAnsi"/>
          <w:szCs w:val="20"/>
        </w:rPr>
        <w:t>, though little systematic information is available about the scope of the problem</w:t>
      </w:r>
      <w:r w:rsidR="00E972DB" w:rsidRPr="00D920C9">
        <w:rPr>
          <w:rFonts w:asciiTheme="minorHAnsi" w:hAnsiTheme="minorHAnsi"/>
          <w:szCs w:val="20"/>
        </w:rPr>
        <w:t>. In the Antebellum period, slave patrols</w:t>
      </w:r>
      <w:r w:rsidR="00B47756" w:rsidRPr="00D920C9">
        <w:rPr>
          <w:rFonts w:asciiTheme="minorHAnsi" w:hAnsiTheme="minorHAnsi"/>
          <w:szCs w:val="20"/>
        </w:rPr>
        <w:t xml:space="preserve"> </w:t>
      </w:r>
      <w:r w:rsidR="00E972DB" w:rsidRPr="00D920C9">
        <w:rPr>
          <w:rFonts w:asciiTheme="minorHAnsi" w:hAnsiTheme="minorHAnsi"/>
          <w:szCs w:val="20"/>
        </w:rPr>
        <w:t xml:space="preserve">were empowered to enact physical violence against </w:t>
      </w:r>
      <w:r w:rsidR="00711151" w:rsidRPr="00D920C9">
        <w:rPr>
          <w:rFonts w:asciiTheme="minorHAnsi" w:hAnsiTheme="minorHAnsi"/>
          <w:szCs w:val="20"/>
        </w:rPr>
        <w:t>b</w:t>
      </w:r>
      <w:r w:rsidR="00E972DB" w:rsidRPr="00D920C9">
        <w:rPr>
          <w:rFonts w:asciiTheme="minorHAnsi" w:hAnsiTheme="minorHAnsi"/>
          <w:szCs w:val="20"/>
        </w:rPr>
        <w:t xml:space="preserve">lack individuals suspected of being escaped slaves. </w:t>
      </w:r>
      <w:r w:rsidR="00711151" w:rsidRPr="00D920C9">
        <w:rPr>
          <w:rFonts w:asciiTheme="minorHAnsi" w:hAnsiTheme="minorHAnsi"/>
          <w:szCs w:val="20"/>
        </w:rPr>
        <w:t>In more recent times</w:t>
      </w:r>
      <w:r w:rsidR="00E972DB" w:rsidRPr="00D920C9">
        <w:rPr>
          <w:rFonts w:asciiTheme="minorHAnsi" w:hAnsiTheme="minorHAnsi"/>
          <w:szCs w:val="20"/>
        </w:rPr>
        <w:t>,</w:t>
      </w:r>
      <w:r w:rsidR="002314E4" w:rsidRPr="00D920C9">
        <w:rPr>
          <w:rFonts w:asciiTheme="minorHAnsi" w:hAnsiTheme="minorHAnsi"/>
          <w:szCs w:val="20"/>
        </w:rPr>
        <w:t xml:space="preserve"> </w:t>
      </w:r>
      <w:r w:rsidR="003C4AAD" w:rsidRPr="00D920C9">
        <w:rPr>
          <w:rFonts w:asciiTheme="minorHAnsi" w:hAnsiTheme="minorHAnsi"/>
          <w:szCs w:val="20"/>
        </w:rPr>
        <w:t xml:space="preserve">images and newscasts of police officers beating </w:t>
      </w:r>
      <w:r w:rsidR="00D24FA7" w:rsidRPr="00D920C9">
        <w:rPr>
          <w:rFonts w:asciiTheme="minorHAnsi" w:hAnsiTheme="minorHAnsi"/>
          <w:szCs w:val="20"/>
        </w:rPr>
        <w:t>b</w:t>
      </w:r>
      <w:r w:rsidR="003C4AAD" w:rsidRPr="00D920C9">
        <w:rPr>
          <w:rFonts w:asciiTheme="minorHAnsi" w:hAnsiTheme="minorHAnsi"/>
          <w:szCs w:val="20"/>
        </w:rPr>
        <w:t xml:space="preserve">lack protesters with clubs </w:t>
      </w:r>
      <w:r w:rsidR="00D24FA7" w:rsidRPr="00D920C9">
        <w:rPr>
          <w:rFonts w:asciiTheme="minorHAnsi" w:hAnsiTheme="minorHAnsi"/>
          <w:szCs w:val="20"/>
        </w:rPr>
        <w:t>helped</w:t>
      </w:r>
      <w:r w:rsidR="003C4AAD" w:rsidRPr="00D920C9">
        <w:rPr>
          <w:rFonts w:asciiTheme="minorHAnsi" w:hAnsiTheme="minorHAnsi"/>
          <w:szCs w:val="20"/>
        </w:rPr>
        <w:t xml:space="preserve"> galvaniz</w:t>
      </w:r>
      <w:r w:rsidR="00D24FA7" w:rsidRPr="00D920C9">
        <w:rPr>
          <w:rFonts w:asciiTheme="minorHAnsi" w:hAnsiTheme="minorHAnsi"/>
          <w:szCs w:val="20"/>
        </w:rPr>
        <w:t xml:space="preserve">e </w:t>
      </w:r>
      <w:r w:rsidR="003C4AAD" w:rsidRPr="00D920C9">
        <w:rPr>
          <w:rFonts w:asciiTheme="minorHAnsi" w:hAnsiTheme="minorHAnsi"/>
          <w:szCs w:val="20"/>
        </w:rPr>
        <w:t>public opinion in favor of the Civil Rights Movement</w:t>
      </w:r>
      <w:r w:rsidR="00711151" w:rsidRPr="00D920C9">
        <w:rPr>
          <w:rFonts w:asciiTheme="minorHAnsi" w:hAnsiTheme="minorHAnsi"/>
          <w:szCs w:val="20"/>
        </w:rPr>
        <w:t xml:space="preserve"> during the 1960s</w:t>
      </w:r>
      <w:r w:rsidR="003C4AAD" w:rsidRPr="00D920C9">
        <w:rPr>
          <w:rFonts w:asciiTheme="minorHAnsi" w:hAnsiTheme="minorHAnsi"/>
          <w:szCs w:val="20"/>
        </w:rPr>
        <w:t xml:space="preserve">. </w:t>
      </w:r>
      <w:r w:rsidR="002314E4" w:rsidRPr="00D920C9">
        <w:rPr>
          <w:rFonts w:asciiTheme="minorHAnsi" w:hAnsiTheme="minorHAnsi"/>
          <w:szCs w:val="20"/>
        </w:rPr>
        <w:t>In 1992, t</w:t>
      </w:r>
      <w:r w:rsidR="003C4AAD" w:rsidRPr="00D920C9">
        <w:rPr>
          <w:rFonts w:asciiTheme="minorHAnsi" w:hAnsiTheme="minorHAnsi"/>
          <w:szCs w:val="20"/>
        </w:rPr>
        <w:t>he beating of Rodney King by Los Angeles police sparked widespread unrest (the “LA Riots”)</w:t>
      </w:r>
      <w:r w:rsidR="00711151" w:rsidRPr="00D920C9">
        <w:rPr>
          <w:rFonts w:asciiTheme="minorHAnsi" w:hAnsiTheme="minorHAnsi"/>
          <w:szCs w:val="20"/>
        </w:rPr>
        <w:t xml:space="preserve"> among protesters appalled by the beating</w:t>
      </w:r>
      <w:r w:rsidR="00B47756" w:rsidRPr="00D920C9">
        <w:rPr>
          <w:rFonts w:asciiTheme="minorHAnsi" w:hAnsiTheme="minorHAnsi"/>
          <w:szCs w:val="20"/>
        </w:rPr>
        <w:t xml:space="preserve"> and acquittal of the officers responsible</w:t>
      </w:r>
      <w:r w:rsidR="003C4AAD" w:rsidRPr="00D920C9">
        <w:rPr>
          <w:rFonts w:asciiTheme="minorHAnsi" w:hAnsiTheme="minorHAnsi"/>
          <w:szCs w:val="20"/>
        </w:rPr>
        <w:t xml:space="preserve">. </w:t>
      </w:r>
      <w:r w:rsidR="00B86733" w:rsidRPr="00D920C9">
        <w:rPr>
          <w:rFonts w:asciiTheme="minorHAnsi" w:hAnsiTheme="minorHAnsi"/>
          <w:szCs w:val="20"/>
        </w:rPr>
        <w:t>The Commission</w:t>
      </w:r>
      <w:r w:rsidR="002314E4" w:rsidRPr="00D920C9">
        <w:rPr>
          <w:rFonts w:asciiTheme="minorHAnsi" w:hAnsiTheme="minorHAnsi"/>
          <w:szCs w:val="20"/>
        </w:rPr>
        <w:t xml:space="preserve"> </w:t>
      </w:r>
      <w:r w:rsidR="00B86733" w:rsidRPr="00D920C9">
        <w:rPr>
          <w:rFonts w:asciiTheme="minorHAnsi" w:hAnsiTheme="minorHAnsi"/>
          <w:szCs w:val="20"/>
        </w:rPr>
        <w:t>received information</w:t>
      </w:r>
      <w:r w:rsidR="002314E4" w:rsidRPr="00D920C9">
        <w:rPr>
          <w:rFonts w:asciiTheme="minorHAnsi" w:hAnsiTheme="minorHAnsi"/>
          <w:szCs w:val="20"/>
        </w:rPr>
        <w:t xml:space="preserve"> </w:t>
      </w:r>
      <w:r w:rsidR="00B86733" w:rsidRPr="00D920C9">
        <w:rPr>
          <w:rFonts w:asciiTheme="minorHAnsi" w:hAnsiTheme="minorHAnsi"/>
          <w:szCs w:val="20"/>
        </w:rPr>
        <w:t>about</w:t>
      </w:r>
      <w:r w:rsidR="002314E4" w:rsidRPr="00D920C9">
        <w:rPr>
          <w:rFonts w:asciiTheme="minorHAnsi" w:hAnsiTheme="minorHAnsi"/>
          <w:szCs w:val="20"/>
        </w:rPr>
        <w:t xml:space="preserve"> the killing of</w:t>
      </w:r>
      <w:r w:rsidR="009D0140" w:rsidRPr="00D920C9">
        <w:rPr>
          <w:rFonts w:asciiTheme="minorHAnsi" w:hAnsiTheme="minorHAnsi"/>
          <w:szCs w:val="20"/>
        </w:rPr>
        <w:t xml:space="preserve"> </w:t>
      </w:r>
      <w:proofErr w:type="spellStart"/>
      <w:r w:rsidR="009D0140" w:rsidRPr="00D920C9">
        <w:rPr>
          <w:rFonts w:asciiTheme="minorHAnsi" w:hAnsiTheme="minorHAnsi"/>
          <w:szCs w:val="20"/>
        </w:rPr>
        <w:t>Tesfay</w:t>
      </w:r>
      <w:r w:rsidR="002314E4" w:rsidRPr="00D920C9">
        <w:rPr>
          <w:rFonts w:asciiTheme="minorHAnsi" w:hAnsiTheme="minorHAnsi"/>
          <w:szCs w:val="20"/>
        </w:rPr>
        <w:t>e</w:t>
      </w:r>
      <w:proofErr w:type="spellEnd"/>
      <w:r w:rsidR="00B86733" w:rsidRPr="00D920C9">
        <w:rPr>
          <w:rFonts w:asciiTheme="minorHAnsi" w:hAnsiTheme="minorHAnsi"/>
          <w:szCs w:val="20"/>
        </w:rPr>
        <w:t xml:space="preserve"> </w:t>
      </w:r>
      <w:proofErr w:type="spellStart"/>
      <w:r w:rsidR="00B86733" w:rsidRPr="00D920C9">
        <w:rPr>
          <w:rFonts w:asciiTheme="minorHAnsi" w:hAnsiTheme="minorHAnsi"/>
          <w:szCs w:val="20"/>
        </w:rPr>
        <w:t>Mokuria</w:t>
      </w:r>
      <w:proofErr w:type="spellEnd"/>
      <w:r w:rsidR="00B86733" w:rsidRPr="00D920C9">
        <w:rPr>
          <w:rFonts w:asciiTheme="minorHAnsi" w:hAnsiTheme="minorHAnsi"/>
          <w:szCs w:val="20"/>
        </w:rPr>
        <w:t xml:space="preserve"> </w:t>
      </w:r>
      <w:r w:rsidR="00D24FA7" w:rsidRPr="00D920C9">
        <w:rPr>
          <w:rFonts w:asciiTheme="minorHAnsi" w:hAnsiTheme="minorHAnsi"/>
          <w:szCs w:val="20"/>
        </w:rPr>
        <w:t>by Dallas p</w:t>
      </w:r>
      <w:r w:rsidR="002314E4" w:rsidRPr="00D920C9">
        <w:rPr>
          <w:rFonts w:asciiTheme="minorHAnsi" w:hAnsiTheme="minorHAnsi"/>
          <w:szCs w:val="20"/>
        </w:rPr>
        <w:t>olice officers in the presence of his children in his home in 1992.</w:t>
      </w:r>
      <w:r w:rsidR="002314E4" w:rsidRPr="00D920C9">
        <w:rPr>
          <w:rFonts w:asciiTheme="minorHAnsi" w:hAnsiTheme="minorHAnsi"/>
          <w:vertAlign w:val="superscript"/>
        </w:rPr>
        <w:footnoteReference w:id="187"/>
      </w:r>
      <w:r w:rsidR="002314E4" w:rsidRPr="00D920C9">
        <w:rPr>
          <w:rFonts w:asciiTheme="minorHAnsi" w:hAnsiTheme="minorHAnsi"/>
          <w:szCs w:val="20"/>
        </w:rPr>
        <w:t xml:space="preserve"> </w:t>
      </w:r>
      <w:r w:rsidR="003C4AAD" w:rsidRPr="00D920C9">
        <w:rPr>
          <w:rFonts w:asciiTheme="minorHAnsi" w:hAnsiTheme="minorHAnsi"/>
          <w:szCs w:val="20"/>
        </w:rPr>
        <w:t xml:space="preserve">In 1999, </w:t>
      </w:r>
      <w:proofErr w:type="spellStart"/>
      <w:r w:rsidR="003C4AAD" w:rsidRPr="00D920C9">
        <w:rPr>
          <w:rFonts w:asciiTheme="minorHAnsi" w:hAnsiTheme="minorHAnsi"/>
          <w:szCs w:val="20"/>
        </w:rPr>
        <w:t>Amadou</w:t>
      </w:r>
      <w:proofErr w:type="spellEnd"/>
      <w:r w:rsidR="003C4AAD" w:rsidRPr="00D920C9">
        <w:rPr>
          <w:rFonts w:asciiTheme="minorHAnsi" w:hAnsiTheme="minorHAnsi"/>
          <w:szCs w:val="20"/>
        </w:rPr>
        <w:t xml:space="preserve"> Diallo was shot 41</w:t>
      </w:r>
      <w:r w:rsidR="00E972DB" w:rsidRPr="00D920C9">
        <w:rPr>
          <w:rFonts w:asciiTheme="minorHAnsi" w:hAnsiTheme="minorHAnsi"/>
          <w:szCs w:val="20"/>
        </w:rPr>
        <w:t xml:space="preserve"> times by New York police while taking his wallet out of his </w:t>
      </w:r>
      <w:r w:rsidR="00E972DB" w:rsidRPr="00D920C9">
        <w:rPr>
          <w:rFonts w:asciiTheme="minorHAnsi" w:hAnsiTheme="minorHAnsi"/>
          <w:szCs w:val="20"/>
        </w:rPr>
        <w:lastRenderedPageBreak/>
        <w:t>jacket</w:t>
      </w:r>
      <w:r w:rsidR="009D0140" w:rsidRPr="00D920C9">
        <w:rPr>
          <w:rFonts w:asciiTheme="minorHAnsi" w:hAnsiTheme="minorHAnsi"/>
          <w:szCs w:val="20"/>
        </w:rPr>
        <w:t>, in a case that prompted public outcry</w:t>
      </w:r>
      <w:r w:rsidR="00E972DB" w:rsidRPr="00D920C9">
        <w:rPr>
          <w:rFonts w:asciiTheme="minorHAnsi" w:hAnsiTheme="minorHAnsi"/>
          <w:szCs w:val="20"/>
        </w:rPr>
        <w:t>.</w:t>
      </w:r>
      <w:r w:rsidR="009D0140" w:rsidRPr="00D920C9">
        <w:rPr>
          <w:rFonts w:asciiTheme="minorHAnsi" w:hAnsiTheme="minorHAnsi"/>
          <w:vertAlign w:val="superscript"/>
        </w:rPr>
        <w:footnoteReference w:id="188"/>
      </w:r>
      <w:r w:rsidR="00E972DB" w:rsidRPr="00D920C9">
        <w:rPr>
          <w:rFonts w:asciiTheme="minorHAnsi" w:hAnsiTheme="minorHAnsi"/>
          <w:szCs w:val="20"/>
        </w:rPr>
        <w:t xml:space="preserve"> </w:t>
      </w:r>
      <w:r w:rsidR="00096E79" w:rsidRPr="00D920C9">
        <w:rPr>
          <w:rFonts w:asciiTheme="minorHAnsi" w:hAnsiTheme="minorHAnsi"/>
          <w:szCs w:val="20"/>
        </w:rPr>
        <w:t>T</w:t>
      </w:r>
      <w:r w:rsidR="00E972DB" w:rsidRPr="00D920C9">
        <w:rPr>
          <w:rFonts w:asciiTheme="minorHAnsi" w:hAnsiTheme="minorHAnsi"/>
          <w:szCs w:val="20"/>
        </w:rPr>
        <w:t>he Commission</w:t>
      </w:r>
      <w:r w:rsidR="00096E79" w:rsidRPr="00D920C9">
        <w:rPr>
          <w:rFonts w:asciiTheme="minorHAnsi" w:hAnsiTheme="minorHAnsi"/>
          <w:szCs w:val="20"/>
        </w:rPr>
        <w:t xml:space="preserve"> notes information</w:t>
      </w:r>
      <w:r w:rsidR="00E972DB" w:rsidRPr="00D920C9">
        <w:rPr>
          <w:rFonts w:asciiTheme="minorHAnsi" w:hAnsiTheme="minorHAnsi"/>
          <w:szCs w:val="20"/>
        </w:rPr>
        <w:t xml:space="preserve"> suggest</w:t>
      </w:r>
      <w:r w:rsidR="00096E79" w:rsidRPr="00D920C9">
        <w:rPr>
          <w:rFonts w:asciiTheme="minorHAnsi" w:hAnsiTheme="minorHAnsi"/>
          <w:szCs w:val="20"/>
        </w:rPr>
        <w:t>ing</w:t>
      </w:r>
      <w:r w:rsidR="00E972DB" w:rsidRPr="00D920C9">
        <w:rPr>
          <w:rFonts w:asciiTheme="minorHAnsi" w:hAnsiTheme="minorHAnsi"/>
          <w:szCs w:val="20"/>
        </w:rPr>
        <w:t xml:space="preserve"> that one important reason for the public visibility and salience of the </w:t>
      </w:r>
      <w:r w:rsidRPr="00D920C9">
        <w:rPr>
          <w:rFonts w:asciiTheme="minorHAnsi" w:hAnsiTheme="minorHAnsi"/>
          <w:szCs w:val="20"/>
        </w:rPr>
        <w:t>problem</w:t>
      </w:r>
      <w:r w:rsidR="00E972DB" w:rsidRPr="00D920C9">
        <w:rPr>
          <w:rFonts w:asciiTheme="minorHAnsi" w:hAnsiTheme="minorHAnsi"/>
          <w:szCs w:val="20"/>
        </w:rPr>
        <w:t xml:space="preserve"> of police violence today is the widespread availability and use of cell phone cameras</w:t>
      </w:r>
      <w:r w:rsidR="00931537" w:rsidRPr="00D920C9">
        <w:rPr>
          <w:rFonts w:asciiTheme="minorHAnsi" w:hAnsiTheme="minorHAnsi"/>
          <w:szCs w:val="20"/>
        </w:rPr>
        <w:t xml:space="preserve"> and</w:t>
      </w:r>
      <w:r w:rsidR="009D0140" w:rsidRPr="00D920C9">
        <w:rPr>
          <w:rFonts w:asciiTheme="minorHAnsi" w:hAnsiTheme="minorHAnsi"/>
          <w:szCs w:val="20"/>
        </w:rPr>
        <w:t xml:space="preserve"> police body cameras</w:t>
      </w:r>
      <w:r w:rsidR="00E972DB" w:rsidRPr="00D920C9">
        <w:rPr>
          <w:rFonts w:asciiTheme="minorHAnsi" w:hAnsiTheme="minorHAnsi"/>
          <w:szCs w:val="20"/>
        </w:rPr>
        <w:t xml:space="preserve"> to </w:t>
      </w:r>
      <w:r w:rsidR="00931537" w:rsidRPr="00D920C9">
        <w:rPr>
          <w:rFonts w:asciiTheme="minorHAnsi" w:hAnsiTheme="minorHAnsi"/>
          <w:szCs w:val="20"/>
        </w:rPr>
        <w:t>record</w:t>
      </w:r>
      <w:r w:rsidR="00E972DB" w:rsidRPr="00D920C9">
        <w:rPr>
          <w:rFonts w:asciiTheme="minorHAnsi" w:hAnsiTheme="minorHAnsi"/>
          <w:szCs w:val="20"/>
        </w:rPr>
        <w:t xml:space="preserve"> incidents of police violence, and the existence of at least some statistics on the prevalence of the problem.</w:t>
      </w:r>
      <w:r w:rsidR="0091412C" w:rsidRPr="00D920C9">
        <w:rPr>
          <w:rFonts w:asciiTheme="minorHAnsi" w:hAnsiTheme="minorHAnsi"/>
          <w:vertAlign w:val="superscript"/>
        </w:rPr>
        <w:footnoteReference w:id="189"/>
      </w:r>
      <w:r w:rsidR="00E972DB" w:rsidRPr="00D920C9">
        <w:rPr>
          <w:rFonts w:asciiTheme="minorHAnsi" w:hAnsiTheme="minorHAnsi"/>
          <w:szCs w:val="20"/>
        </w:rPr>
        <w:t xml:space="preserve"> </w:t>
      </w:r>
      <w:r w:rsidR="00401DF8" w:rsidRPr="00D920C9">
        <w:rPr>
          <w:rFonts w:asciiTheme="minorHAnsi" w:hAnsiTheme="minorHAnsi"/>
          <w:szCs w:val="20"/>
        </w:rPr>
        <w:t>T</w:t>
      </w:r>
      <w:r w:rsidR="00E972DB" w:rsidRPr="00D920C9">
        <w:rPr>
          <w:rFonts w:asciiTheme="minorHAnsi" w:hAnsiTheme="minorHAnsi"/>
          <w:szCs w:val="20"/>
        </w:rPr>
        <w:t xml:space="preserve">he Commission </w:t>
      </w:r>
      <w:r w:rsidR="00711151" w:rsidRPr="00D920C9">
        <w:rPr>
          <w:rFonts w:asciiTheme="minorHAnsi" w:hAnsiTheme="minorHAnsi"/>
          <w:szCs w:val="20"/>
        </w:rPr>
        <w:t xml:space="preserve">again </w:t>
      </w:r>
      <w:r w:rsidR="00E972DB" w:rsidRPr="00D920C9">
        <w:rPr>
          <w:rFonts w:asciiTheme="minorHAnsi" w:hAnsiTheme="minorHAnsi"/>
          <w:szCs w:val="20"/>
        </w:rPr>
        <w:t>highlights the importance of gathering data about the scope of the problem and incentivizing public attention to it.</w:t>
      </w:r>
      <w:bookmarkEnd w:id="78"/>
    </w:p>
    <w:p w14:paraId="33B2C7BF" w14:textId="3C65E53D"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The Commission considers pertinent to note that African</w:t>
      </w:r>
      <w:r w:rsidR="0030356C" w:rsidRPr="00D920C9">
        <w:rPr>
          <w:rFonts w:asciiTheme="minorHAnsi" w:hAnsiTheme="minorHAnsi"/>
          <w:szCs w:val="20"/>
        </w:rPr>
        <w:t xml:space="preserve"> </w:t>
      </w:r>
      <w:r w:rsidRPr="00D920C9">
        <w:rPr>
          <w:rFonts w:asciiTheme="minorHAnsi" w:hAnsiTheme="minorHAnsi"/>
          <w:szCs w:val="20"/>
        </w:rPr>
        <w:t>A</w:t>
      </w:r>
      <w:r w:rsidR="00711151" w:rsidRPr="00D920C9">
        <w:rPr>
          <w:rFonts w:asciiTheme="minorHAnsi" w:hAnsiTheme="minorHAnsi"/>
          <w:szCs w:val="20"/>
        </w:rPr>
        <w:t>mericans are not the only group</w:t>
      </w:r>
      <w:r w:rsidRPr="00D920C9">
        <w:rPr>
          <w:rFonts w:asciiTheme="minorHAnsi" w:hAnsiTheme="minorHAnsi"/>
          <w:szCs w:val="20"/>
        </w:rPr>
        <w:t xml:space="preserve"> disproportionately targeted by police violence</w:t>
      </w:r>
      <w:r w:rsidR="00711151" w:rsidRPr="00D920C9">
        <w:rPr>
          <w:rFonts w:asciiTheme="minorHAnsi" w:hAnsiTheme="minorHAnsi"/>
          <w:szCs w:val="20"/>
        </w:rPr>
        <w:t xml:space="preserve">, and that </w:t>
      </w:r>
      <w:r w:rsidR="00A47BF9" w:rsidRPr="00D920C9">
        <w:rPr>
          <w:rFonts w:asciiTheme="minorHAnsi" w:hAnsiTheme="minorHAnsi"/>
          <w:szCs w:val="20"/>
        </w:rPr>
        <w:t xml:space="preserve">intersectional identities </w:t>
      </w:r>
      <w:r w:rsidR="00711151" w:rsidRPr="00D920C9">
        <w:rPr>
          <w:rFonts w:asciiTheme="minorHAnsi" w:hAnsiTheme="minorHAnsi"/>
          <w:szCs w:val="20"/>
        </w:rPr>
        <w:t>can increase the risk that a black pers</w:t>
      </w:r>
      <w:r w:rsidR="00462884" w:rsidRPr="00D920C9">
        <w:rPr>
          <w:rFonts w:asciiTheme="minorHAnsi" w:hAnsiTheme="minorHAnsi"/>
          <w:szCs w:val="20"/>
        </w:rPr>
        <w:t>on is exposed to this problem</w:t>
      </w:r>
      <w:r w:rsidRPr="00D920C9">
        <w:rPr>
          <w:rFonts w:asciiTheme="minorHAnsi" w:hAnsiTheme="minorHAnsi"/>
          <w:szCs w:val="20"/>
        </w:rPr>
        <w:t xml:space="preserve">. </w:t>
      </w:r>
      <w:r w:rsidR="009D0140" w:rsidRPr="00D920C9">
        <w:rPr>
          <w:rFonts w:asciiTheme="minorHAnsi" w:hAnsiTheme="minorHAnsi"/>
          <w:szCs w:val="20"/>
        </w:rPr>
        <w:t xml:space="preserve">Information received by the Commission </w:t>
      </w:r>
      <w:r w:rsidR="00711151" w:rsidRPr="00D920C9">
        <w:rPr>
          <w:rFonts w:asciiTheme="minorHAnsi" w:hAnsiTheme="minorHAnsi"/>
          <w:szCs w:val="20"/>
        </w:rPr>
        <w:t xml:space="preserve">at public hearings </w:t>
      </w:r>
      <w:r w:rsidR="009D0140" w:rsidRPr="00D920C9">
        <w:rPr>
          <w:rFonts w:asciiTheme="minorHAnsi" w:hAnsiTheme="minorHAnsi"/>
          <w:szCs w:val="20"/>
        </w:rPr>
        <w:t xml:space="preserve">indicates that groups </w:t>
      </w:r>
      <w:r w:rsidR="00A47BF9" w:rsidRPr="00D920C9">
        <w:rPr>
          <w:rFonts w:asciiTheme="minorHAnsi" w:hAnsiTheme="minorHAnsi"/>
          <w:szCs w:val="20"/>
        </w:rPr>
        <w:t>like</w:t>
      </w:r>
      <w:r w:rsidR="009D0140" w:rsidRPr="00D920C9">
        <w:rPr>
          <w:rFonts w:asciiTheme="minorHAnsi" w:hAnsiTheme="minorHAnsi"/>
          <w:szCs w:val="20"/>
        </w:rPr>
        <w:t xml:space="preserve"> Native Americans, Hispanics, migrant workers, individuals experiencing homelessness, and </w:t>
      </w:r>
      <w:r w:rsidR="00A47BF9" w:rsidRPr="00D920C9">
        <w:rPr>
          <w:rFonts w:asciiTheme="minorHAnsi" w:hAnsiTheme="minorHAnsi"/>
          <w:szCs w:val="20"/>
        </w:rPr>
        <w:t>persons</w:t>
      </w:r>
      <w:r w:rsidR="009D0140" w:rsidRPr="00D920C9">
        <w:rPr>
          <w:rFonts w:asciiTheme="minorHAnsi" w:hAnsiTheme="minorHAnsi"/>
          <w:szCs w:val="20"/>
        </w:rPr>
        <w:t xml:space="preserve"> with </w:t>
      </w:r>
      <w:r w:rsidR="00CF31D8" w:rsidRPr="00D920C9">
        <w:rPr>
          <w:rFonts w:asciiTheme="minorHAnsi" w:hAnsiTheme="minorHAnsi"/>
          <w:szCs w:val="20"/>
        </w:rPr>
        <w:t>disabilities</w:t>
      </w:r>
      <w:r w:rsidR="009D0140" w:rsidRPr="00D920C9">
        <w:rPr>
          <w:rFonts w:asciiTheme="minorHAnsi" w:hAnsiTheme="minorHAnsi"/>
          <w:szCs w:val="20"/>
        </w:rPr>
        <w:t xml:space="preserve"> suffer police violence disproportionately.</w:t>
      </w:r>
      <w:r w:rsidR="009D0140" w:rsidRPr="00D920C9">
        <w:rPr>
          <w:rFonts w:asciiTheme="minorHAnsi" w:hAnsiTheme="minorHAnsi"/>
          <w:vertAlign w:val="superscript"/>
        </w:rPr>
        <w:footnoteReference w:id="190"/>
      </w:r>
      <w:r w:rsidR="009D0140" w:rsidRPr="00D920C9">
        <w:rPr>
          <w:rFonts w:asciiTheme="minorHAnsi" w:hAnsiTheme="minorHAnsi"/>
          <w:szCs w:val="20"/>
        </w:rPr>
        <w:t xml:space="preserve"> </w:t>
      </w:r>
      <w:r w:rsidR="00CF31D8" w:rsidRPr="00D920C9">
        <w:rPr>
          <w:rFonts w:asciiTheme="minorHAnsi" w:hAnsiTheme="minorHAnsi"/>
          <w:szCs w:val="20"/>
        </w:rPr>
        <w:t>T</w:t>
      </w:r>
      <w:r w:rsidRPr="00D920C9">
        <w:rPr>
          <w:rFonts w:asciiTheme="minorHAnsi" w:hAnsiTheme="minorHAnsi"/>
          <w:szCs w:val="20"/>
        </w:rPr>
        <w:t>he Co</w:t>
      </w:r>
      <w:r w:rsidR="002903D8" w:rsidRPr="00D920C9">
        <w:rPr>
          <w:rFonts w:asciiTheme="minorHAnsi" w:hAnsiTheme="minorHAnsi"/>
          <w:szCs w:val="20"/>
        </w:rPr>
        <w:t xml:space="preserve">mmission has previously noted </w:t>
      </w:r>
      <w:r w:rsidRPr="00D920C9">
        <w:rPr>
          <w:rFonts w:asciiTheme="minorHAnsi" w:hAnsiTheme="minorHAnsi"/>
          <w:szCs w:val="20"/>
        </w:rPr>
        <w:t xml:space="preserve">the generalized absence of efficient and effective </w:t>
      </w:r>
      <w:r w:rsidR="00711151" w:rsidRPr="00D920C9">
        <w:rPr>
          <w:rFonts w:asciiTheme="minorHAnsi" w:hAnsiTheme="minorHAnsi"/>
          <w:szCs w:val="20"/>
        </w:rPr>
        <w:t>policing</w:t>
      </w:r>
      <w:r w:rsidRPr="00D920C9">
        <w:rPr>
          <w:rFonts w:asciiTheme="minorHAnsi" w:hAnsiTheme="minorHAnsi"/>
          <w:szCs w:val="20"/>
        </w:rPr>
        <w:t xml:space="preserve"> policies </w:t>
      </w:r>
      <w:r w:rsidR="00CF31D8" w:rsidRPr="00D920C9">
        <w:rPr>
          <w:rFonts w:asciiTheme="minorHAnsi" w:hAnsiTheme="minorHAnsi"/>
          <w:szCs w:val="20"/>
        </w:rPr>
        <w:t>to</w:t>
      </w:r>
      <w:r w:rsidRPr="00D920C9">
        <w:rPr>
          <w:rFonts w:asciiTheme="minorHAnsi" w:hAnsiTheme="minorHAnsi"/>
          <w:szCs w:val="20"/>
        </w:rPr>
        <w:t xml:space="preserve"> </w:t>
      </w:r>
      <w:r w:rsidR="00CF31D8" w:rsidRPr="00D920C9">
        <w:rPr>
          <w:rFonts w:asciiTheme="minorHAnsi" w:hAnsiTheme="minorHAnsi"/>
          <w:szCs w:val="20"/>
        </w:rPr>
        <w:t>address</w:t>
      </w:r>
      <w:r w:rsidRPr="00D920C9">
        <w:rPr>
          <w:rFonts w:asciiTheme="minorHAnsi" w:hAnsiTheme="minorHAnsi"/>
          <w:szCs w:val="20"/>
        </w:rPr>
        <w:t xml:space="preserve"> violence against groups that have traditionally experienced discrimination and marginalization, such as women, children and adolescents, Afro‐descendants, indigenous populations, </w:t>
      </w:r>
      <w:r w:rsidR="002903D8" w:rsidRPr="00D920C9">
        <w:rPr>
          <w:rFonts w:asciiTheme="minorHAnsi" w:hAnsiTheme="minorHAnsi"/>
          <w:szCs w:val="20"/>
        </w:rPr>
        <w:t xml:space="preserve">and </w:t>
      </w:r>
      <w:r w:rsidRPr="00D920C9">
        <w:rPr>
          <w:rFonts w:asciiTheme="minorHAnsi" w:hAnsiTheme="minorHAnsi"/>
          <w:szCs w:val="20"/>
        </w:rPr>
        <w:t>migrant workers and their families, among others.</w:t>
      </w:r>
      <w:r w:rsidRPr="00D920C9">
        <w:rPr>
          <w:rFonts w:asciiTheme="minorHAnsi" w:hAnsiTheme="minorHAnsi"/>
          <w:vertAlign w:val="superscript"/>
        </w:rPr>
        <w:footnoteReference w:id="191"/>
      </w:r>
      <w:r w:rsidRPr="00D920C9">
        <w:rPr>
          <w:rFonts w:asciiTheme="minorHAnsi" w:hAnsiTheme="minorHAnsi"/>
          <w:szCs w:val="20"/>
        </w:rPr>
        <w:t> </w:t>
      </w:r>
    </w:p>
    <w:p w14:paraId="6CA5AE7E"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This issue has been the subject of substantial international attention in recent years. Among others, the </w:t>
      </w:r>
      <w:r w:rsidR="00721465" w:rsidRPr="00D920C9">
        <w:rPr>
          <w:rFonts w:asciiTheme="minorHAnsi" w:hAnsiTheme="minorHAnsi"/>
          <w:szCs w:val="20"/>
        </w:rPr>
        <w:t xml:space="preserve">U.N. </w:t>
      </w:r>
      <w:r w:rsidRPr="00D920C9">
        <w:rPr>
          <w:rFonts w:asciiTheme="minorHAnsi" w:hAnsiTheme="minorHAnsi"/>
          <w:szCs w:val="20"/>
        </w:rPr>
        <w:t>Human Rights Committee has signaled its concerns about the excessive use of force in the city of Chicago and called for reform;</w:t>
      </w:r>
      <w:r w:rsidRPr="00D920C9">
        <w:rPr>
          <w:rFonts w:asciiTheme="minorHAnsi" w:hAnsiTheme="minorHAnsi"/>
          <w:vertAlign w:val="superscript"/>
        </w:rPr>
        <w:footnoteReference w:id="192"/>
      </w:r>
      <w:r w:rsidRPr="00D920C9">
        <w:rPr>
          <w:rFonts w:asciiTheme="minorHAnsi" w:hAnsiTheme="minorHAnsi"/>
          <w:szCs w:val="20"/>
        </w:rPr>
        <w:t xml:space="preserve"> the </w:t>
      </w:r>
      <w:r w:rsidR="00D2531A" w:rsidRPr="00D920C9">
        <w:rPr>
          <w:rFonts w:asciiTheme="minorHAnsi" w:hAnsiTheme="minorHAnsi"/>
          <w:szCs w:val="20"/>
        </w:rPr>
        <w:t>CERD</w:t>
      </w:r>
      <w:r w:rsidRPr="00D920C9">
        <w:rPr>
          <w:rFonts w:asciiTheme="minorHAnsi" w:hAnsiTheme="minorHAnsi"/>
          <w:szCs w:val="20"/>
        </w:rPr>
        <w:t xml:space="preserve"> has expressed concern about police brutality and excessive use of force against African</w:t>
      </w:r>
      <w:r w:rsidR="0030356C" w:rsidRPr="00D920C9">
        <w:rPr>
          <w:rFonts w:asciiTheme="minorHAnsi" w:hAnsiTheme="minorHAnsi"/>
          <w:szCs w:val="20"/>
        </w:rPr>
        <w:t xml:space="preserve"> </w:t>
      </w:r>
      <w:r w:rsidRPr="00D920C9">
        <w:rPr>
          <w:rFonts w:asciiTheme="minorHAnsi" w:hAnsiTheme="minorHAnsi"/>
          <w:szCs w:val="20"/>
        </w:rPr>
        <w:t>Americans and against undocumented immigrants at and near the U</w:t>
      </w:r>
      <w:r w:rsidR="00352483" w:rsidRPr="00D920C9">
        <w:rPr>
          <w:rFonts w:asciiTheme="minorHAnsi" w:hAnsiTheme="minorHAnsi"/>
          <w:szCs w:val="20"/>
        </w:rPr>
        <w:t>.</w:t>
      </w:r>
      <w:r w:rsidRPr="00D920C9">
        <w:rPr>
          <w:rFonts w:asciiTheme="minorHAnsi" w:hAnsiTheme="minorHAnsi"/>
          <w:szCs w:val="20"/>
        </w:rPr>
        <w:t>S</w:t>
      </w:r>
      <w:r w:rsidR="00352483" w:rsidRPr="00D920C9">
        <w:rPr>
          <w:rFonts w:asciiTheme="minorHAnsi" w:hAnsiTheme="minorHAnsi"/>
          <w:szCs w:val="20"/>
        </w:rPr>
        <w:t>.</w:t>
      </w:r>
      <w:r w:rsidRPr="00D920C9">
        <w:rPr>
          <w:rFonts w:asciiTheme="minorHAnsi" w:hAnsiTheme="minorHAnsi"/>
          <w:szCs w:val="20"/>
        </w:rPr>
        <w:t>-Mexico border;</w:t>
      </w:r>
      <w:r w:rsidRPr="00D920C9">
        <w:rPr>
          <w:rFonts w:asciiTheme="minorHAnsi" w:hAnsiTheme="minorHAnsi"/>
          <w:vertAlign w:val="superscript"/>
        </w:rPr>
        <w:footnoteReference w:id="193"/>
      </w:r>
      <w:r w:rsidRPr="00D920C9">
        <w:rPr>
          <w:rFonts w:asciiTheme="minorHAnsi" w:hAnsiTheme="minorHAnsi"/>
          <w:szCs w:val="20"/>
        </w:rPr>
        <w:t xml:space="preserve"> and the U</w:t>
      </w:r>
      <w:r w:rsidR="00352483" w:rsidRPr="00D920C9">
        <w:rPr>
          <w:rFonts w:asciiTheme="minorHAnsi" w:hAnsiTheme="minorHAnsi"/>
          <w:szCs w:val="20"/>
        </w:rPr>
        <w:t>.</w:t>
      </w:r>
      <w:r w:rsidRPr="00D920C9">
        <w:rPr>
          <w:rFonts w:asciiTheme="minorHAnsi" w:hAnsiTheme="minorHAnsi"/>
          <w:szCs w:val="20"/>
        </w:rPr>
        <w:t>N</w:t>
      </w:r>
      <w:r w:rsidR="00352483" w:rsidRPr="00D920C9">
        <w:rPr>
          <w:rFonts w:asciiTheme="minorHAnsi" w:hAnsiTheme="minorHAnsi"/>
          <w:szCs w:val="20"/>
        </w:rPr>
        <w:t>.</w:t>
      </w:r>
      <w:r w:rsidRPr="00D920C9">
        <w:rPr>
          <w:rFonts w:asciiTheme="minorHAnsi" w:hAnsiTheme="minorHAnsi"/>
          <w:szCs w:val="20"/>
        </w:rPr>
        <w:t xml:space="preserve"> Working Group of Experts on People of African Descent has expressed concerns at “alarming” levels of police brutality and excessive use of force by law enforcement officials.</w:t>
      </w:r>
      <w:r w:rsidRPr="00D920C9">
        <w:rPr>
          <w:rFonts w:asciiTheme="minorHAnsi" w:hAnsiTheme="minorHAnsi"/>
          <w:vertAlign w:val="superscript"/>
        </w:rPr>
        <w:footnoteReference w:id="194"/>
      </w:r>
      <w:r w:rsidRPr="00D920C9">
        <w:rPr>
          <w:rFonts w:asciiTheme="minorHAnsi" w:hAnsiTheme="minorHAnsi"/>
          <w:szCs w:val="20"/>
        </w:rPr>
        <w:t xml:space="preserve"> </w:t>
      </w:r>
      <w:r w:rsidR="0064619A" w:rsidRPr="00D920C9">
        <w:rPr>
          <w:rFonts w:asciiTheme="minorHAnsi" w:hAnsiTheme="minorHAnsi"/>
          <w:szCs w:val="20"/>
        </w:rPr>
        <w:t>In this respect, t</w:t>
      </w:r>
      <w:r w:rsidRPr="00D920C9">
        <w:rPr>
          <w:rFonts w:asciiTheme="minorHAnsi" w:hAnsiTheme="minorHAnsi"/>
          <w:szCs w:val="20"/>
        </w:rPr>
        <w:t>he U</w:t>
      </w:r>
      <w:r w:rsidR="00352483" w:rsidRPr="00D920C9">
        <w:rPr>
          <w:rFonts w:asciiTheme="minorHAnsi" w:hAnsiTheme="minorHAnsi"/>
          <w:szCs w:val="20"/>
        </w:rPr>
        <w:t>.</w:t>
      </w:r>
      <w:r w:rsidRPr="00D920C9">
        <w:rPr>
          <w:rFonts w:asciiTheme="minorHAnsi" w:hAnsiTheme="minorHAnsi"/>
          <w:szCs w:val="20"/>
        </w:rPr>
        <w:t>N</w:t>
      </w:r>
      <w:r w:rsidR="00352483" w:rsidRPr="00D920C9">
        <w:rPr>
          <w:rFonts w:asciiTheme="minorHAnsi" w:hAnsiTheme="minorHAnsi"/>
          <w:szCs w:val="20"/>
        </w:rPr>
        <w:t>.</w:t>
      </w:r>
      <w:r w:rsidRPr="00D920C9">
        <w:rPr>
          <w:rFonts w:asciiTheme="minorHAnsi" w:hAnsiTheme="minorHAnsi"/>
          <w:szCs w:val="20"/>
        </w:rPr>
        <w:t xml:space="preserve"> Special Rapporteur on extrajudicial, summary and arbitrary executions has noted that “at times, the police exercise higher levels of violence against certain groups of </w:t>
      </w:r>
      <w:r w:rsidRPr="00D920C9">
        <w:rPr>
          <w:rFonts w:asciiTheme="minorHAnsi" w:hAnsiTheme="minorHAnsi"/>
          <w:szCs w:val="20"/>
        </w:rPr>
        <w:lastRenderedPageBreak/>
        <w:t xml:space="preserve">people, based on institutional racism. Discrimination </w:t>
      </w:r>
      <w:r w:rsidR="00B47756" w:rsidRPr="00D920C9">
        <w:rPr>
          <w:rFonts w:asciiTheme="minorHAnsi" w:hAnsiTheme="minorHAnsi"/>
          <w:szCs w:val="20"/>
        </w:rPr>
        <w:t>[…]</w:t>
      </w:r>
      <w:r w:rsidRPr="00D920C9">
        <w:rPr>
          <w:rFonts w:asciiTheme="minorHAnsi" w:hAnsiTheme="minorHAnsi"/>
          <w:szCs w:val="20"/>
        </w:rPr>
        <w:t xml:space="preserve"> also impact</w:t>
      </w:r>
      <w:r w:rsidR="00224D66" w:rsidRPr="00D920C9">
        <w:rPr>
          <w:rFonts w:asciiTheme="minorHAnsi" w:hAnsiTheme="minorHAnsi"/>
          <w:szCs w:val="20"/>
        </w:rPr>
        <w:t>s on patterns of accountability</w:t>
      </w:r>
      <w:r w:rsidRPr="00D920C9">
        <w:rPr>
          <w:rFonts w:asciiTheme="minorHAnsi" w:hAnsiTheme="minorHAnsi"/>
          <w:szCs w:val="20"/>
        </w:rPr>
        <w:t>.”</w:t>
      </w:r>
      <w:r w:rsidRPr="00D920C9">
        <w:rPr>
          <w:rFonts w:asciiTheme="minorHAnsi" w:hAnsiTheme="minorHAnsi"/>
          <w:szCs w:val="20"/>
          <w:vertAlign w:val="superscript"/>
        </w:rPr>
        <w:footnoteReference w:id="195"/>
      </w:r>
    </w:p>
    <w:p w14:paraId="2B241C40" w14:textId="06DC8F9D" w:rsidR="0064619A" w:rsidRPr="00D920C9" w:rsidRDefault="0064619A"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Available information indicates that excessive force is enabled by a legal framework that is inadequate to ensure that the use of force by law enforcement in the </w:t>
      </w:r>
      <w:r w:rsidR="00D24FA7" w:rsidRPr="00D920C9">
        <w:rPr>
          <w:rFonts w:asciiTheme="minorHAnsi" w:hAnsiTheme="minorHAnsi"/>
          <w:szCs w:val="20"/>
        </w:rPr>
        <w:t>U.S.</w:t>
      </w:r>
      <w:r w:rsidRPr="00D920C9">
        <w:rPr>
          <w:rFonts w:asciiTheme="minorHAnsi" w:hAnsiTheme="minorHAnsi"/>
          <w:szCs w:val="20"/>
        </w:rPr>
        <w:t xml:space="preserve"> complies with international law. The Commission notes with concern civil society analyses</w:t>
      </w:r>
      <w:r w:rsidR="00B47756" w:rsidRPr="00D920C9">
        <w:rPr>
          <w:rFonts w:asciiTheme="minorHAnsi" w:hAnsiTheme="minorHAnsi"/>
          <w:szCs w:val="20"/>
        </w:rPr>
        <w:t xml:space="preserve"> that</w:t>
      </w:r>
      <w:r w:rsidRPr="00D920C9">
        <w:rPr>
          <w:rFonts w:asciiTheme="minorHAnsi" w:hAnsiTheme="minorHAnsi"/>
          <w:szCs w:val="20"/>
        </w:rPr>
        <w:t xml:space="preserve"> indicate that no state’s laws currently comply with the </w:t>
      </w:r>
      <w:r w:rsidR="00904A46" w:rsidRPr="00D920C9">
        <w:rPr>
          <w:rFonts w:asciiTheme="minorHAnsi" w:hAnsiTheme="minorHAnsi"/>
          <w:szCs w:val="20"/>
        </w:rPr>
        <w:t>U.S.’</w:t>
      </w:r>
      <w:r w:rsidRPr="00D920C9">
        <w:rPr>
          <w:rFonts w:asciiTheme="minorHAnsi" w:hAnsiTheme="minorHAnsi"/>
          <w:szCs w:val="20"/>
        </w:rPr>
        <w:t xml:space="preserve"> international obligations regarding the use of force.</w:t>
      </w:r>
      <w:r w:rsidRPr="00D920C9">
        <w:rPr>
          <w:rFonts w:asciiTheme="minorHAnsi" w:hAnsiTheme="minorHAnsi"/>
          <w:vertAlign w:val="superscript"/>
        </w:rPr>
        <w:footnoteReference w:id="196"/>
      </w:r>
      <w:r w:rsidRPr="00D920C9">
        <w:rPr>
          <w:rFonts w:asciiTheme="minorHAnsi" w:hAnsiTheme="minorHAnsi"/>
        </w:rPr>
        <w:t xml:space="preserve"> </w:t>
      </w:r>
      <w:r w:rsidRPr="00D920C9">
        <w:rPr>
          <w:rFonts w:asciiTheme="minorHAnsi" w:hAnsiTheme="minorHAnsi"/>
          <w:szCs w:val="20"/>
        </w:rPr>
        <w:t xml:space="preserve">Furthermore, no state laws passed </w:t>
      </w:r>
      <w:r w:rsidR="00B47756" w:rsidRPr="00D920C9">
        <w:rPr>
          <w:rFonts w:asciiTheme="minorHAnsi" w:hAnsiTheme="minorHAnsi"/>
          <w:szCs w:val="20"/>
        </w:rPr>
        <w:t>on</w:t>
      </w:r>
      <w:r w:rsidRPr="00D920C9">
        <w:rPr>
          <w:rFonts w:asciiTheme="minorHAnsi" w:hAnsiTheme="minorHAnsi"/>
          <w:szCs w:val="20"/>
        </w:rPr>
        <w:t xml:space="preserve"> use of force since the publication of the above-referenced report brought states into compliance with international law.</w:t>
      </w:r>
      <w:r w:rsidRPr="00D920C9">
        <w:rPr>
          <w:rFonts w:asciiTheme="minorHAnsi" w:hAnsiTheme="minorHAnsi"/>
          <w:vertAlign w:val="superscript"/>
        </w:rPr>
        <w:footnoteReference w:id="197"/>
      </w:r>
      <w:r w:rsidRPr="00D920C9">
        <w:rPr>
          <w:rFonts w:asciiTheme="minorHAnsi" w:hAnsiTheme="minorHAnsi"/>
          <w:szCs w:val="20"/>
        </w:rPr>
        <w:t xml:space="preserve"> At the federal level, the Supreme Court case Tennessee v. Garner </w:t>
      </w:r>
      <w:r w:rsidR="0085662E" w:rsidRPr="00D920C9">
        <w:rPr>
          <w:rFonts w:asciiTheme="minorHAnsi" w:hAnsiTheme="minorHAnsi"/>
          <w:szCs w:val="20"/>
        </w:rPr>
        <w:t xml:space="preserve">and subsequent jurisprudence </w:t>
      </w:r>
      <w:r w:rsidRPr="00D920C9">
        <w:rPr>
          <w:rFonts w:asciiTheme="minorHAnsi" w:hAnsiTheme="minorHAnsi"/>
          <w:szCs w:val="20"/>
        </w:rPr>
        <w:t>permits use of lethal force by law enforcement in circumstances other than those permitted under international law.</w:t>
      </w:r>
      <w:r w:rsidRPr="00D920C9">
        <w:rPr>
          <w:rFonts w:asciiTheme="minorHAnsi" w:hAnsiTheme="minorHAnsi"/>
        </w:rPr>
        <w:t xml:space="preserve"> </w:t>
      </w:r>
      <w:r w:rsidRPr="00D920C9">
        <w:rPr>
          <w:rFonts w:asciiTheme="minorHAnsi" w:hAnsiTheme="minorHAnsi"/>
          <w:vertAlign w:val="superscript"/>
        </w:rPr>
        <w:footnoteReference w:id="198"/>
      </w:r>
      <w:r w:rsidRPr="00D920C9">
        <w:rPr>
          <w:rFonts w:asciiTheme="minorHAnsi" w:hAnsiTheme="minorHAnsi"/>
          <w:szCs w:val="20"/>
        </w:rPr>
        <w:t xml:space="preserve"> </w:t>
      </w:r>
      <w:r w:rsidR="00260D9A" w:rsidRPr="00D920C9">
        <w:rPr>
          <w:rFonts w:asciiTheme="minorHAnsi" w:hAnsiTheme="minorHAnsi"/>
          <w:szCs w:val="20"/>
        </w:rPr>
        <w:t xml:space="preserve">Indeed, </w:t>
      </w:r>
      <w:r w:rsidR="0021415D" w:rsidRPr="00D920C9">
        <w:rPr>
          <w:rFonts w:asciiTheme="minorHAnsi" w:hAnsiTheme="minorHAnsi"/>
          <w:szCs w:val="20"/>
        </w:rPr>
        <w:t>one recent case of a white</w:t>
      </w:r>
      <w:r w:rsidR="00260D9A" w:rsidRPr="00D920C9">
        <w:rPr>
          <w:rFonts w:asciiTheme="minorHAnsi" w:hAnsiTheme="minorHAnsi"/>
          <w:szCs w:val="20"/>
        </w:rPr>
        <w:t xml:space="preserve"> officer fired for not </w:t>
      </w:r>
      <w:r w:rsidR="0021415D" w:rsidRPr="00D920C9">
        <w:rPr>
          <w:rFonts w:asciiTheme="minorHAnsi" w:hAnsiTheme="minorHAnsi"/>
          <w:szCs w:val="20"/>
        </w:rPr>
        <w:t>firing his weapon at a “visibly distraught” black man</w:t>
      </w:r>
      <w:r w:rsidR="00B47756" w:rsidRPr="00D920C9">
        <w:rPr>
          <w:rFonts w:asciiTheme="minorHAnsi" w:hAnsiTheme="minorHAnsi"/>
          <w:szCs w:val="20"/>
        </w:rPr>
        <w:t>,</w:t>
      </w:r>
      <w:r w:rsidR="0021415D" w:rsidRPr="00D920C9">
        <w:rPr>
          <w:rFonts w:asciiTheme="minorHAnsi" w:hAnsiTheme="minorHAnsi"/>
          <w:szCs w:val="20"/>
        </w:rPr>
        <w:t xml:space="preserve"> but rather de-escalating the situation, highlighted the extent to which U.S. law and practice can favor the use of force even when unnecessary.</w:t>
      </w:r>
      <w:r w:rsidR="0021415D" w:rsidRPr="00D920C9">
        <w:rPr>
          <w:rFonts w:asciiTheme="minorHAnsi" w:hAnsiTheme="minorHAnsi"/>
          <w:vertAlign w:val="superscript"/>
        </w:rPr>
        <w:footnoteReference w:id="199"/>
      </w:r>
      <w:r w:rsidR="00260D9A" w:rsidRPr="00D920C9">
        <w:rPr>
          <w:rFonts w:asciiTheme="minorHAnsi" w:hAnsiTheme="minorHAnsi"/>
          <w:szCs w:val="20"/>
        </w:rPr>
        <w:t xml:space="preserve"> </w:t>
      </w:r>
      <w:r w:rsidR="000310BD" w:rsidRPr="00D920C9">
        <w:rPr>
          <w:rFonts w:asciiTheme="minorHAnsi" w:hAnsiTheme="minorHAnsi"/>
          <w:szCs w:val="20"/>
        </w:rPr>
        <w:t xml:space="preserve"> </w:t>
      </w:r>
    </w:p>
    <w:p w14:paraId="235C7C1F" w14:textId="77777777" w:rsidR="003A77B8" w:rsidRPr="00D920C9" w:rsidRDefault="003A77B8"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In recent years, the Commission has received extensive information about police killings in the </w:t>
      </w:r>
      <w:r w:rsidR="00904A46" w:rsidRPr="00D920C9">
        <w:rPr>
          <w:rFonts w:asciiTheme="minorHAnsi" w:hAnsiTheme="minorHAnsi"/>
          <w:szCs w:val="20"/>
        </w:rPr>
        <w:t>U.S</w:t>
      </w:r>
      <w:r w:rsidRPr="00D920C9">
        <w:rPr>
          <w:rFonts w:asciiTheme="minorHAnsi" w:hAnsiTheme="minorHAnsi"/>
          <w:szCs w:val="20"/>
        </w:rPr>
        <w:t>. Following the killings of Eric Garner</w:t>
      </w:r>
      <w:r w:rsidR="00D87808" w:rsidRPr="00D920C9">
        <w:rPr>
          <w:rFonts w:asciiTheme="minorHAnsi" w:hAnsiTheme="minorHAnsi"/>
          <w:szCs w:val="20"/>
        </w:rPr>
        <w:t xml:space="preserve"> in Long Island</w:t>
      </w:r>
      <w:r w:rsidRPr="00D920C9">
        <w:rPr>
          <w:rFonts w:asciiTheme="minorHAnsi" w:hAnsiTheme="minorHAnsi"/>
          <w:szCs w:val="20"/>
        </w:rPr>
        <w:t xml:space="preserve"> and of Michael Brown</w:t>
      </w:r>
      <w:r w:rsidR="00D360A9" w:rsidRPr="00D920C9">
        <w:rPr>
          <w:rFonts w:asciiTheme="minorHAnsi" w:hAnsiTheme="minorHAnsi"/>
          <w:szCs w:val="20"/>
        </w:rPr>
        <w:t xml:space="preserve"> </w:t>
      </w:r>
      <w:r w:rsidR="00D87808" w:rsidRPr="00D920C9">
        <w:rPr>
          <w:rFonts w:asciiTheme="minorHAnsi" w:hAnsiTheme="minorHAnsi"/>
          <w:szCs w:val="20"/>
        </w:rPr>
        <w:t xml:space="preserve">in Ferguson, Missouri </w:t>
      </w:r>
      <w:r w:rsidR="00D360A9" w:rsidRPr="00D920C9">
        <w:rPr>
          <w:rFonts w:asciiTheme="minorHAnsi" w:hAnsiTheme="minorHAnsi"/>
          <w:szCs w:val="20"/>
        </w:rPr>
        <w:t>in the summer of 2014</w:t>
      </w:r>
      <w:r w:rsidRPr="00D920C9">
        <w:rPr>
          <w:rFonts w:asciiTheme="minorHAnsi" w:hAnsiTheme="minorHAnsi"/>
          <w:szCs w:val="20"/>
        </w:rPr>
        <w:t xml:space="preserve">, </w:t>
      </w:r>
      <w:r w:rsidR="0064619A" w:rsidRPr="00D920C9">
        <w:rPr>
          <w:rFonts w:asciiTheme="minorHAnsi" w:hAnsiTheme="minorHAnsi"/>
          <w:szCs w:val="20"/>
        </w:rPr>
        <w:t>the Commission</w:t>
      </w:r>
      <w:r w:rsidR="0085662E" w:rsidRPr="00D920C9">
        <w:rPr>
          <w:rFonts w:asciiTheme="minorHAnsi" w:hAnsiTheme="minorHAnsi"/>
          <w:szCs w:val="20"/>
        </w:rPr>
        <w:t xml:space="preserve"> considered that those cases “represent the continuation of a disturbing pattern of excessive force on the part of police officers towards African-Americans and other persons of color,” and “urge[d] the State to give renewed attention to the possible links between these cases and past cases that demonstrated a pattern of use of excessive force against persons of color.”</w:t>
      </w:r>
      <w:r w:rsidR="0085662E" w:rsidRPr="00D920C9">
        <w:rPr>
          <w:rStyle w:val="FootnoteReference"/>
          <w:rFonts w:asciiTheme="minorHAnsi" w:hAnsiTheme="minorHAnsi"/>
          <w:szCs w:val="20"/>
        </w:rPr>
        <w:footnoteReference w:id="200"/>
      </w:r>
      <w:r w:rsidR="0085662E" w:rsidRPr="00D920C9">
        <w:rPr>
          <w:rFonts w:asciiTheme="minorHAnsi" w:hAnsiTheme="minorHAnsi"/>
          <w:szCs w:val="20"/>
        </w:rPr>
        <w:t xml:space="preserve"> Subsequently</w:t>
      </w:r>
      <w:r w:rsidRPr="00D920C9">
        <w:rPr>
          <w:rFonts w:asciiTheme="minorHAnsi" w:hAnsiTheme="minorHAnsi"/>
          <w:szCs w:val="20"/>
        </w:rPr>
        <w:t>, the Commission expressed concern about the killing of Walter Lamar Scott</w:t>
      </w:r>
      <w:r w:rsidR="00B751A9" w:rsidRPr="00D920C9">
        <w:rPr>
          <w:rFonts w:asciiTheme="minorHAnsi" w:hAnsiTheme="minorHAnsi"/>
          <w:szCs w:val="20"/>
        </w:rPr>
        <w:t xml:space="preserve"> </w:t>
      </w:r>
      <w:r w:rsidR="00D87808" w:rsidRPr="00D920C9">
        <w:rPr>
          <w:rFonts w:asciiTheme="minorHAnsi" w:hAnsiTheme="minorHAnsi"/>
          <w:szCs w:val="20"/>
        </w:rPr>
        <w:t>by</w:t>
      </w:r>
      <w:r w:rsidRPr="00D920C9">
        <w:rPr>
          <w:rFonts w:asciiTheme="minorHAnsi" w:hAnsiTheme="minorHAnsi"/>
          <w:szCs w:val="20"/>
        </w:rPr>
        <w:t xml:space="preserve"> a police officer</w:t>
      </w:r>
      <w:r w:rsidR="0085662E" w:rsidRPr="00D920C9">
        <w:rPr>
          <w:rFonts w:asciiTheme="minorHAnsi" w:hAnsiTheme="minorHAnsi"/>
          <w:szCs w:val="20"/>
        </w:rPr>
        <w:t xml:space="preserve"> in South Carolina,</w:t>
      </w:r>
      <w:r w:rsidRPr="00D920C9">
        <w:rPr>
          <w:rStyle w:val="FootnoteReference"/>
          <w:rFonts w:asciiTheme="minorHAnsi" w:hAnsiTheme="minorHAnsi"/>
          <w:szCs w:val="20"/>
        </w:rPr>
        <w:footnoteReference w:id="201"/>
      </w:r>
      <w:r w:rsidR="0085662E" w:rsidRPr="00D920C9">
        <w:rPr>
          <w:rFonts w:asciiTheme="minorHAnsi" w:hAnsiTheme="minorHAnsi"/>
          <w:szCs w:val="20"/>
        </w:rPr>
        <w:t xml:space="preserve"> </w:t>
      </w:r>
      <w:r w:rsidR="00B751A9" w:rsidRPr="00D920C9">
        <w:rPr>
          <w:rFonts w:asciiTheme="minorHAnsi" w:hAnsiTheme="minorHAnsi"/>
          <w:szCs w:val="20"/>
        </w:rPr>
        <w:t>and</w:t>
      </w:r>
      <w:r w:rsidR="0085662E" w:rsidRPr="00D920C9">
        <w:rPr>
          <w:rFonts w:asciiTheme="minorHAnsi" w:hAnsiTheme="minorHAnsi"/>
          <w:szCs w:val="20"/>
        </w:rPr>
        <w:t xml:space="preserve"> at the killings of Alton Sterling in Baton Rouge, Louisiana, and </w:t>
      </w:r>
      <w:proofErr w:type="spellStart"/>
      <w:r w:rsidR="0085662E" w:rsidRPr="00D920C9">
        <w:rPr>
          <w:rFonts w:asciiTheme="minorHAnsi" w:hAnsiTheme="minorHAnsi"/>
          <w:szCs w:val="20"/>
        </w:rPr>
        <w:t>Philando</w:t>
      </w:r>
      <w:proofErr w:type="spellEnd"/>
      <w:r w:rsidR="0085662E" w:rsidRPr="00D920C9">
        <w:rPr>
          <w:rFonts w:asciiTheme="minorHAnsi" w:hAnsiTheme="minorHAnsi"/>
          <w:szCs w:val="20"/>
        </w:rPr>
        <w:t xml:space="preserve"> Castile near St. Paul, Minnesota.</w:t>
      </w:r>
      <w:r w:rsidR="0085662E" w:rsidRPr="00D920C9">
        <w:rPr>
          <w:rStyle w:val="FootnoteReference"/>
          <w:rFonts w:asciiTheme="minorHAnsi" w:hAnsiTheme="minorHAnsi"/>
          <w:szCs w:val="20"/>
        </w:rPr>
        <w:footnoteReference w:id="202"/>
      </w:r>
      <w:r w:rsidR="0085662E" w:rsidRPr="00D920C9">
        <w:rPr>
          <w:rFonts w:asciiTheme="minorHAnsi" w:hAnsiTheme="minorHAnsi"/>
          <w:szCs w:val="20"/>
        </w:rPr>
        <w:t xml:space="preserve"> T</w:t>
      </w:r>
      <w:r w:rsidRPr="00D920C9">
        <w:rPr>
          <w:rFonts w:asciiTheme="minorHAnsi" w:hAnsiTheme="minorHAnsi"/>
          <w:szCs w:val="20"/>
        </w:rPr>
        <w:t xml:space="preserve">he Commission </w:t>
      </w:r>
      <w:r w:rsidR="0064619A" w:rsidRPr="00D920C9">
        <w:rPr>
          <w:rFonts w:asciiTheme="minorHAnsi" w:hAnsiTheme="minorHAnsi"/>
          <w:szCs w:val="20"/>
        </w:rPr>
        <w:t xml:space="preserve">has also </w:t>
      </w:r>
      <w:r w:rsidRPr="00D920C9">
        <w:rPr>
          <w:rFonts w:asciiTheme="minorHAnsi" w:hAnsiTheme="minorHAnsi"/>
          <w:szCs w:val="20"/>
        </w:rPr>
        <w:t xml:space="preserve">received testimony about cases of police killings at public hearings, including the cases of </w:t>
      </w:r>
      <w:proofErr w:type="spellStart"/>
      <w:r w:rsidRPr="00D920C9">
        <w:rPr>
          <w:rFonts w:asciiTheme="minorHAnsi" w:hAnsiTheme="minorHAnsi"/>
          <w:szCs w:val="20"/>
        </w:rPr>
        <w:t>Rekia</w:t>
      </w:r>
      <w:proofErr w:type="spellEnd"/>
      <w:r w:rsidRPr="00D920C9">
        <w:rPr>
          <w:rFonts w:asciiTheme="minorHAnsi" w:hAnsiTheme="minorHAnsi"/>
          <w:szCs w:val="20"/>
        </w:rPr>
        <w:t xml:space="preserve"> Boyd, Clinton Allen, </w:t>
      </w:r>
      <w:proofErr w:type="spellStart"/>
      <w:r w:rsidRPr="00D920C9">
        <w:rPr>
          <w:rFonts w:asciiTheme="minorHAnsi" w:hAnsiTheme="minorHAnsi"/>
          <w:szCs w:val="20"/>
        </w:rPr>
        <w:t>Tesfaie</w:t>
      </w:r>
      <w:proofErr w:type="spellEnd"/>
      <w:r w:rsidRPr="00D920C9">
        <w:rPr>
          <w:rFonts w:asciiTheme="minorHAnsi" w:hAnsiTheme="minorHAnsi"/>
          <w:szCs w:val="20"/>
        </w:rPr>
        <w:t xml:space="preserve"> </w:t>
      </w:r>
      <w:proofErr w:type="spellStart"/>
      <w:r w:rsidRPr="00D920C9">
        <w:rPr>
          <w:rFonts w:asciiTheme="minorHAnsi" w:hAnsiTheme="minorHAnsi"/>
          <w:szCs w:val="20"/>
        </w:rPr>
        <w:t>Mokuria</w:t>
      </w:r>
      <w:proofErr w:type="spellEnd"/>
      <w:r w:rsidRPr="00D920C9">
        <w:rPr>
          <w:rFonts w:asciiTheme="minorHAnsi" w:hAnsiTheme="minorHAnsi"/>
          <w:szCs w:val="20"/>
        </w:rPr>
        <w:t xml:space="preserve">, Milton Hall, Luis </w:t>
      </w:r>
      <w:proofErr w:type="spellStart"/>
      <w:r w:rsidRPr="00D920C9">
        <w:rPr>
          <w:rFonts w:asciiTheme="minorHAnsi" w:hAnsiTheme="minorHAnsi"/>
          <w:szCs w:val="20"/>
        </w:rPr>
        <w:t>Góngora</w:t>
      </w:r>
      <w:proofErr w:type="spellEnd"/>
      <w:r w:rsidRPr="00D920C9">
        <w:rPr>
          <w:rFonts w:asciiTheme="minorHAnsi" w:hAnsiTheme="minorHAnsi"/>
          <w:szCs w:val="20"/>
        </w:rPr>
        <w:t xml:space="preserve"> Pat, and Dontre Hamilton.</w:t>
      </w:r>
      <w:r w:rsidR="0064619A" w:rsidRPr="00D920C9">
        <w:rPr>
          <w:rStyle w:val="FootnoteReference"/>
          <w:rFonts w:asciiTheme="minorHAnsi" w:hAnsiTheme="minorHAnsi"/>
          <w:szCs w:val="20"/>
        </w:rPr>
        <w:footnoteReference w:id="203"/>
      </w:r>
      <w:r w:rsidR="00BE5B01" w:rsidRPr="00D920C9">
        <w:rPr>
          <w:rFonts w:asciiTheme="minorHAnsi" w:hAnsiTheme="minorHAnsi"/>
          <w:szCs w:val="20"/>
        </w:rPr>
        <w:t xml:space="preserve"> High-profile police killings continue </w:t>
      </w:r>
      <w:r w:rsidR="00BE5B01" w:rsidRPr="00D920C9">
        <w:rPr>
          <w:rFonts w:asciiTheme="minorHAnsi" w:hAnsiTheme="minorHAnsi"/>
          <w:szCs w:val="20"/>
        </w:rPr>
        <w:lastRenderedPageBreak/>
        <w:t xml:space="preserve">to occur as of the writing of this report; for example, in March 2018, the killing of Stephon Clark, a 22-year-old father of two </w:t>
      </w:r>
      <w:r w:rsidR="00B751A9" w:rsidRPr="00D920C9">
        <w:rPr>
          <w:rFonts w:asciiTheme="minorHAnsi" w:hAnsiTheme="minorHAnsi"/>
          <w:szCs w:val="20"/>
        </w:rPr>
        <w:t>while</w:t>
      </w:r>
      <w:r w:rsidR="00BE5B01" w:rsidRPr="00D920C9">
        <w:rPr>
          <w:rFonts w:asciiTheme="minorHAnsi" w:hAnsiTheme="minorHAnsi"/>
          <w:szCs w:val="20"/>
        </w:rPr>
        <w:t xml:space="preserve"> talking on his cell phone in his backyard, by police in Sacramento, California, sparked widespread public condemnation and protests.</w:t>
      </w:r>
      <w:r w:rsidR="00BE5B01" w:rsidRPr="00D920C9">
        <w:rPr>
          <w:rStyle w:val="FootnoteReference"/>
          <w:rFonts w:asciiTheme="minorHAnsi" w:hAnsiTheme="minorHAnsi"/>
          <w:szCs w:val="20"/>
        </w:rPr>
        <w:footnoteReference w:id="204"/>
      </w:r>
    </w:p>
    <w:p w14:paraId="2E1285EF" w14:textId="7B9F67A6" w:rsidR="003A77B8" w:rsidRPr="00D920C9" w:rsidRDefault="00B86733"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79" w:name="_Ref511834986"/>
      <w:bookmarkStart w:id="80" w:name="_Ref507172769"/>
      <w:r w:rsidRPr="00D920C9">
        <w:rPr>
          <w:rFonts w:asciiTheme="minorHAnsi" w:hAnsiTheme="minorHAnsi"/>
          <w:szCs w:val="20"/>
        </w:rPr>
        <w:t xml:space="preserve">The Commission </w:t>
      </w:r>
      <w:r w:rsidR="0064619A" w:rsidRPr="00D920C9">
        <w:rPr>
          <w:rFonts w:asciiTheme="minorHAnsi" w:hAnsiTheme="minorHAnsi"/>
          <w:szCs w:val="20"/>
        </w:rPr>
        <w:t xml:space="preserve">also </w:t>
      </w:r>
      <w:r w:rsidR="006C5703" w:rsidRPr="00D920C9">
        <w:rPr>
          <w:rFonts w:asciiTheme="minorHAnsi" w:hAnsiTheme="minorHAnsi"/>
          <w:szCs w:val="20"/>
        </w:rPr>
        <w:t>received information</w:t>
      </w:r>
      <w:r w:rsidRPr="00D920C9">
        <w:rPr>
          <w:rFonts w:asciiTheme="minorHAnsi" w:hAnsiTheme="minorHAnsi"/>
          <w:szCs w:val="20"/>
        </w:rPr>
        <w:t xml:space="preserve"> about police violence during its on-site visit in 2015. </w:t>
      </w:r>
      <w:r w:rsidR="0064619A" w:rsidRPr="00D920C9">
        <w:rPr>
          <w:rFonts w:asciiTheme="minorHAnsi" w:hAnsiTheme="minorHAnsi"/>
          <w:szCs w:val="20"/>
        </w:rPr>
        <w:t>For example, t</w:t>
      </w:r>
      <w:r w:rsidR="003A77B8" w:rsidRPr="00D920C9">
        <w:rPr>
          <w:rFonts w:asciiTheme="minorHAnsi" w:hAnsiTheme="minorHAnsi"/>
          <w:szCs w:val="20"/>
        </w:rPr>
        <w:t>he delegation was informed in New Orleans of the need to change the culture of the use of excessive police force to strengthen accountability mechanisms and transparency in investigations.</w:t>
      </w:r>
      <w:r w:rsidR="003A77B8" w:rsidRPr="00D920C9">
        <w:rPr>
          <w:rStyle w:val="FootnoteReference"/>
          <w:rFonts w:asciiTheme="minorHAnsi" w:hAnsiTheme="minorHAnsi"/>
          <w:szCs w:val="20"/>
        </w:rPr>
        <w:footnoteReference w:id="205"/>
      </w:r>
      <w:r w:rsidR="0064619A" w:rsidRPr="00D920C9">
        <w:rPr>
          <w:rFonts w:asciiTheme="minorHAnsi" w:hAnsiTheme="minorHAnsi"/>
          <w:szCs w:val="20"/>
        </w:rPr>
        <w:t xml:space="preserve"> Likewise, d</w:t>
      </w:r>
      <w:r w:rsidR="003A77B8" w:rsidRPr="00D920C9">
        <w:rPr>
          <w:rFonts w:asciiTheme="minorHAnsi" w:hAnsiTheme="minorHAnsi"/>
          <w:szCs w:val="20"/>
        </w:rPr>
        <w:t xml:space="preserve">uring its meeting with the administration and police authorities of the City of Orlando, the delegation was informed </w:t>
      </w:r>
      <w:r w:rsidR="00224D66" w:rsidRPr="00D920C9">
        <w:rPr>
          <w:rFonts w:asciiTheme="minorHAnsi" w:hAnsiTheme="minorHAnsi"/>
          <w:szCs w:val="20"/>
        </w:rPr>
        <w:t>about</w:t>
      </w:r>
      <w:r w:rsidR="003A77B8" w:rsidRPr="00D920C9">
        <w:rPr>
          <w:rFonts w:asciiTheme="minorHAnsi" w:hAnsiTheme="minorHAnsi"/>
          <w:szCs w:val="20"/>
        </w:rPr>
        <w:t xml:space="preserve"> several policies adopted to prevent excessive use of police force</w:t>
      </w:r>
      <w:r w:rsidR="0064619A" w:rsidRPr="00D920C9">
        <w:rPr>
          <w:rFonts w:asciiTheme="minorHAnsi" w:hAnsiTheme="minorHAnsi"/>
          <w:szCs w:val="20"/>
        </w:rPr>
        <w:t>, including</w:t>
      </w:r>
      <w:r w:rsidR="003A77B8" w:rsidRPr="00D920C9">
        <w:rPr>
          <w:rFonts w:asciiTheme="minorHAnsi" w:hAnsiTheme="minorHAnsi"/>
          <w:szCs w:val="20"/>
        </w:rPr>
        <w:t xml:space="preserve"> a comprehensive policy to prevent racial profiling, efforts to build</w:t>
      </w:r>
      <w:r w:rsidR="0064619A" w:rsidRPr="00D920C9">
        <w:rPr>
          <w:rFonts w:asciiTheme="minorHAnsi" w:hAnsiTheme="minorHAnsi"/>
          <w:szCs w:val="20"/>
        </w:rPr>
        <w:t xml:space="preserve"> police</w:t>
      </w:r>
      <w:r w:rsidR="003A77B8" w:rsidRPr="00D920C9">
        <w:rPr>
          <w:rFonts w:asciiTheme="minorHAnsi" w:hAnsiTheme="minorHAnsi"/>
          <w:szCs w:val="20"/>
        </w:rPr>
        <w:t xml:space="preserve"> trust and relationships with the communities they police, measures to increase access to information on the cases that are being investigated, alternatives to arrests, and steps to follow</w:t>
      </w:r>
      <w:r w:rsidR="0064619A" w:rsidRPr="00D920C9">
        <w:rPr>
          <w:rFonts w:asciiTheme="minorHAnsi" w:hAnsiTheme="minorHAnsi"/>
          <w:szCs w:val="20"/>
        </w:rPr>
        <w:t xml:space="preserve"> </w:t>
      </w:r>
      <w:r w:rsidR="003A77B8" w:rsidRPr="00D920C9">
        <w:rPr>
          <w:rFonts w:asciiTheme="minorHAnsi" w:hAnsiTheme="minorHAnsi"/>
          <w:szCs w:val="20"/>
        </w:rPr>
        <w:t xml:space="preserve">up </w:t>
      </w:r>
      <w:r w:rsidR="0064619A" w:rsidRPr="00D920C9">
        <w:rPr>
          <w:rFonts w:asciiTheme="minorHAnsi" w:hAnsiTheme="minorHAnsi"/>
          <w:szCs w:val="20"/>
        </w:rPr>
        <w:t>on</w:t>
      </w:r>
      <w:r w:rsidR="003A77B8" w:rsidRPr="00D920C9">
        <w:rPr>
          <w:rFonts w:asciiTheme="minorHAnsi" w:hAnsiTheme="minorHAnsi"/>
          <w:szCs w:val="20"/>
        </w:rPr>
        <w:t xml:space="preserve"> the recommendations issued by the President</w:t>
      </w:r>
      <w:r w:rsidR="007B00C7" w:rsidRPr="00D920C9">
        <w:rPr>
          <w:rFonts w:asciiTheme="minorHAnsi" w:hAnsiTheme="minorHAnsi"/>
          <w:szCs w:val="20"/>
        </w:rPr>
        <w:t xml:space="preserve"> Obama’s</w:t>
      </w:r>
      <w:r w:rsidR="003A77B8" w:rsidRPr="00D920C9">
        <w:rPr>
          <w:rFonts w:asciiTheme="minorHAnsi" w:hAnsiTheme="minorHAnsi"/>
          <w:szCs w:val="20"/>
        </w:rPr>
        <w:t xml:space="preserve"> Task Force on 21st Century Policing.</w:t>
      </w:r>
      <w:bookmarkEnd w:id="79"/>
      <w:r w:rsidR="0064619A" w:rsidRPr="00D920C9">
        <w:rPr>
          <w:rFonts w:asciiTheme="minorHAnsi" w:hAnsiTheme="minorHAnsi"/>
          <w:szCs w:val="20"/>
        </w:rPr>
        <w:t xml:space="preserve"> </w:t>
      </w:r>
      <w:bookmarkEnd w:id="80"/>
    </w:p>
    <w:p w14:paraId="17A8DF0B" w14:textId="77777777" w:rsidR="005908F9" w:rsidRPr="00D920C9" w:rsidRDefault="005908F9"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At an October 2015 hearing on excessive use of force against African</w:t>
      </w:r>
      <w:r w:rsidR="0030356C" w:rsidRPr="00D920C9">
        <w:rPr>
          <w:rFonts w:asciiTheme="minorHAnsi" w:hAnsiTheme="minorHAnsi"/>
          <w:szCs w:val="20"/>
        </w:rPr>
        <w:t xml:space="preserve"> </w:t>
      </w:r>
      <w:r w:rsidRPr="00D920C9">
        <w:rPr>
          <w:rFonts w:asciiTheme="minorHAnsi" w:hAnsiTheme="minorHAnsi"/>
          <w:szCs w:val="20"/>
        </w:rPr>
        <w:t xml:space="preserve">Americans, the Commission received testimony from </w:t>
      </w:r>
      <w:r w:rsidR="00551EB5" w:rsidRPr="00D920C9">
        <w:rPr>
          <w:rFonts w:asciiTheme="minorHAnsi" w:hAnsiTheme="minorHAnsi"/>
          <w:szCs w:val="20"/>
        </w:rPr>
        <w:t xml:space="preserve">Martinez Sutton, </w:t>
      </w:r>
      <w:r w:rsidR="00B02577" w:rsidRPr="00D920C9">
        <w:rPr>
          <w:rFonts w:asciiTheme="minorHAnsi" w:hAnsiTheme="minorHAnsi"/>
          <w:szCs w:val="20"/>
        </w:rPr>
        <w:t>brother</w:t>
      </w:r>
      <w:r w:rsidR="00551EB5" w:rsidRPr="00D920C9">
        <w:rPr>
          <w:rFonts w:asciiTheme="minorHAnsi" w:hAnsiTheme="minorHAnsi"/>
          <w:szCs w:val="20"/>
        </w:rPr>
        <w:t xml:space="preserve"> of </w:t>
      </w:r>
      <w:proofErr w:type="spellStart"/>
      <w:r w:rsidR="00551EB5" w:rsidRPr="00D920C9">
        <w:rPr>
          <w:rFonts w:asciiTheme="minorHAnsi" w:hAnsiTheme="minorHAnsi"/>
          <w:szCs w:val="20"/>
        </w:rPr>
        <w:t>Rekia</w:t>
      </w:r>
      <w:proofErr w:type="spellEnd"/>
      <w:r w:rsidR="00551EB5" w:rsidRPr="00D920C9">
        <w:rPr>
          <w:rFonts w:asciiTheme="minorHAnsi" w:hAnsiTheme="minorHAnsi"/>
          <w:szCs w:val="20"/>
        </w:rPr>
        <w:t xml:space="preserve"> Boyd: </w:t>
      </w:r>
    </w:p>
    <w:tbl>
      <w:tblPr>
        <w:tblStyle w:val="TableGrid"/>
        <w:tblW w:w="0" w:type="auto"/>
        <w:jc w:val="center"/>
        <w:shd w:val="clear" w:color="auto" w:fill="D9D9D9" w:themeFill="background1" w:themeFillShade="D9"/>
        <w:tblLook w:val="04A0" w:firstRow="1" w:lastRow="0" w:firstColumn="1" w:lastColumn="0" w:noHBand="0" w:noVBand="1"/>
      </w:tblPr>
      <w:tblGrid>
        <w:gridCol w:w="7848"/>
      </w:tblGrid>
      <w:tr w:rsidR="00E03D8F" w:rsidRPr="00D920C9" w14:paraId="087292BE" w14:textId="77777777" w:rsidTr="003D7958">
        <w:trPr>
          <w:jc w:val="center"/>
        </w:trPr>
        <w:tc>
          <w:tcPr>
            <w:tcW w:w="9029" w:type="dxa"/>
            <w:shd w:val="clear" w:color="auto" w:fill="D9D9D9" w:themeFill="background1" w:themeFillShade="D9"/>
          </w:tcPr>
          <w:p w14:paraId="29694367" w14:textId="751FA998" w:rsidR="00E03D8F" w:rsidRPr="00D920C9" w:rsidRDefault="00E03D8F" w:rsidP="00E03D8F">
            <w:pPr>
              <w:spacing w:after="240" w:line="240" w:lineRule="auto"/>
              <w:ind w:left="288" w:right="288"/>
              <w:jc w:val="both"/>
              <w:rPr>
                <w:rFonts w:asciiTheme="minorHAnsi" w:hAnsiTheme="minorHAnsi"/>
                <w:szCs w:val="18"/>
              </w:rPr>
            </w:pPr>
            <w:r w:rsidRPr="00D920C9">
              <w:rPr>
                <w:rFonts w:asciiTheme="minorHAnsi" w:hAnsiTheme="minorHAnsi"/>
                <w:szCs w:val="18"/>
              </w:rPr>
              <w:br/>
              <w:t xml:space="preserve">On March 21, 2012, my sister </w:t>
            </w:r>
            <w:proofErr w:type="spellStart"/>
            <w:r w:rsidRPr="00D920C9">
              <w:rPr>
                <w:rFonts w:asciiTheme="minorHAnsi" w:hAnsiTheme="minorHAnsi"/>
                <w:szCs w:val="18"/>
              </w:rPr>
              <w:t>Rekia</w:t>
            </w:r>
            <w:proofErr w:type="spellEnd"/>
            <w:r w:rsidRPr="00D920C9">
              <w:rPr>
                <w:rFonts w:asciiTheme="minorHAnsi" w:hAnsiTheme="minorHAnsi"/>
                <w:szCs w:val="18"/>
              </w:rPr>
              <w:t xml:space="preserve"> Boyd was enjoying herself on the west side of Chicago in Douglas Park. She called me and let me know she wasn’t coming home that night. I didn’t know she meant she was going to be gone forever.</w:t>
            </w:r>
          </w:p>
          <w:p w14:paraId="598A2C9C" w14:textId="77777777" w:rsidR="00E03D8F" w:rsidRPr="00D920C9" w:rsidRDefault="00E03D8F" w:rsidP="00E03D8F">
            <w:pPr>
              <w:spacing w:after="240" w:line="240" w:lineRule="auto"/>
              <w:ind w:left="288" w:right="288"/>
              <w:jc w:val="both"/>
              <w:rPr>
                <w:rFonts w:asciiTheme="minorHAnsi" w:hAnsiTheme="minorHAnsi"/>
                <w:szCs w:val="18"/>
              </w:rPr>
            </w:pPr>
            <w:proofErr w:type="spellStart"/>
            <w:r w:rsidRPr="00D920C9">
              <w:rPr>
                <w:rFonts w:asciiTheme="minorHAnsi" w:hAnsiTheme="minorHAnsi"/>
                <w:szCs w:val="18"/>
              </w:rPr>
              <w:t>Rekia</w:t>
            </w:r>
            <w:proofErr w:type="spellEnd"/>
            <w:r w:rsidRPr="00D920C9">
              <w:rPr>
                <w:rFonts w:asciiTheme="minorHAnsi" w:hAnsiTheme="minorHAnsi"/>
                <w:szCs w:val="18"/>
              </w:rPr>
              <w:t xml:space="preserve"> and three other friends left the park and walked to a store. </w:t>
            </w:r>
            <w:proofErr w:type="spellStart"/>
            <w:r w:rsidRPr="00D920C9">
              <w:rPr>
                <w:rFonts w:asciiTheme="minorHAnsi" w:hAnsiTheme="minorHAnsi"/>
                <w:szCs w:val="18"/>
              </w:rPr>
              <w:t>En</w:t>
            </w:r>
            <w:proofErr w:type="spellEnd"/>
            <w:r w:rsidRPr="00D920C9">
              <w:rPr>
                <w:rFonts w:asciiTheme="minorHAnsi" w:hAnsiTheme="minorHAnsi"/>
                <w:szCs w:val="18"/>
              </w:rPr>
              <w:t xml:space="preserve"> route, they came across […] off-duty officer Dante </w:t>
            </w:r>
            <w:proofErr w:type="spellStart"/>
            <w:r w:rsidRPr="00D920C9">
              <w:rPr>
                <w:rFonts w:asciiTheme="minorHAnsi" w:hAnsiTheme="minorHAnsi"/>
                <w:szCs w:val="18"/>
              </w:rPr>
              <w:t>Servin</w:t>
            </w:r>
            <w:proofErr w:type="spellEnd"/>
            <w:r w:rsidRPr="00D920C9">
              <w:rPr>
                <w:rFonts w:asciiTheme="minorHAnsi" w:hAnsiTheme="minorHAnsi"/>
                <w:szCs w:val="18"/>
              </w:rPr>
              <w:t xml:space="preserve">, [who] exchanged words with the group [and began firing his gun]. Antonio Cross was shot in the hand and my sister was shot in the head. The reason why she is dead is because [the officer] didn’t like the noise that was coming out of the park which is near where he lived. </w:t>
            </w:r>
          </w:p>
          <w:p w14:paraId="7F8FC6B6" w14:textId="04AF074A" w:rsidR="00E03D8F" w:rsidRPr="00D920C9" w:rsidRDefault="00E03D8F" w:rsidP="00F233D9">
            <w:pPr>
              <w:widowControl w:val="0"/>
              <w:spacing w:after="240" w:line="240" w:lineRule="auto"/>
              <w:ind w:left="288" w:right="288"/>
              <w:jc w:val="both"/>
              <w:rPr>
                <w:rFonts w:asciiTheme="minorHAnsi" w:hAnsiTheme="minorHAnsi"/>
                <w:szCs w:val="18"/>
              </w:rPr>
            </w:pPr>
            <w:r w:rsidRPr="00D920C9">
              <w:rPr>
                <w:rFonts w:asciiTheme="minorHAnsi" w:hAnsiTheme="minorHAnsi"/>
                <w:szCs w:val="18"/>
              </w:rPr>
              <w:t xml:space="preserve">It was deemed a justified shooting, but they had nothing to justify it with. There was […] no weapon on any person in the group, nor was anyone in the group being confrontational, so where is the justification? I met Dante face-to-face a few months later […] I told him that I wanted him to go down for killing my sister. He told me the best thing for me to do was to sue the city, take money and take care of my family, and leave well enough alone. </w:t>
            </w:r>
            <w:r w:rsidR="0004388D">
              <w:rPr>
                <w:rFonts w:asciiTheme="minorHAnsi" w:hAnsiTheme="minorHAnsi"/>
                <w:szCs w:val="18"/>
              </w:rPr>
              <w:br/>
            </w:r>
            <w:r w:rsidR="0004388D">
              <w:rPr>
                <w:rFonts w:asciiTheme="minorHAnsi" w:hAnsiTheme="minorHAnsi"/>
                <w:szCs w:val="18"/>
              </w:rPr>
              <w:lastRenderedPageBreak/>
              <w:br/>
            </w:r>
            <w:r w:rsidRPr="00D920C9">
              <w:rPr>
                <w:rFonts w:asciiTheme="minorHAnsi" w:hAnsiTheme="minorHAnsi"/>
                <w:szCs w:val="18"/>
              </w:rPr>
              <w:t xml:space="preserve">When I let him know I thought otherwise, he said “Okay, if this is what you want,” like he knew he would get off. </w:t>
            </w:r>
          </w:p>
          <w:p w14:paraId="7826B6DE" w14:textId="77777777" w:rsidR="00E03D8F" w:rsidRPr="00D920C9" w:rsidRDefault="00E03D8F" w:rsidP="00E03D8F">
            <w:pPr>
              <w:spacing w:after="240" w:line="240" w:lineRule="auto"/>
              <w:ind w:left="288" w:right="288"/>
              <w:jc w:val="both"/>
              <w:rPr>
                <w:rFonts w:asciiTheme="minorHAnsi" w:hAnsiTheme="minorHAnsi"/>
                <w:szCs w:val="18"/>
              </w:rPr>
            </w:pPr>
            <w:r w:rsidRPr="00D920C9">
              <w:rPr>
                <w:rFonts w:asciiTheme="minorHAnsi" w:hAnsiTheme="minorHAnsi"/>
                <w:szCs w:val="18"/>
              </w:rPr>
              <w:t xml:space="preserve">On April 20, 2015, [the officer was] ruled not guilty. They [had] charged him with involuntary manslaughter. Judge Porter declared the charges shouldn’t have been anything but murder. He said that the prosecutors had failed to provide the right charges. </w:t>
            </w:r>
          </w:p>
          <w:p w14:paraId="0A929C81" w14:textId="31D715B2" w:rsidR="00E03D8F" w:rsidRPr="00D920C9" w:rsidRDefault="00E03D8F" w:rsidP="00E03D8F">
            <w:pPr>
              <w:spacing w:after="240" w:line="240" w:lineRule="auto"/>
              <w:ind w:left="288" w:right="288"/>
              <w:jc w:val="both"/>
              <w:rPr>
                <w:rFonts w:asciiTheme="minorHAnsi" w:hAnsiTheme="minorHAnsi"/>
                <w:szCs w:val="18"/>
              </w:rPr>
            </w:pPr>
            <w:r w:rsidRPr="00D920C9">
              <w:rPr>
                <w:rFonts w:asciiTheme="minorHAnsi" w:hAnsiTheme="minorHAnsi"/>
                <w:szCs w:val="18"/>
              </w:rPr>
              <w:t xml:space="preserve">The pain I feel in my heart will never be healed because of the psychological trauma that plays in my head on a constant basis. There was no help offered to help soothe the pain that me and my family feel, no mental health services offered, not even an apology for taking my sister off this earth. The constant harassment I receive from police officers for speaking out about the loss hasn’t died down yet. At times I feel like I am </w:t>
            </w:r>
            <w:r w:rsidR="00625D97">
              <w:rPr>
                <w:rFonts w:asciiTheme="minorHAnsi" w:hAnsiTheme="minorHAnsi"/>
                <w:szCs w:val="18"/>
              </w:rPr>
              <w:br/>
            </w:r>
            <w:r w:rsidRPr="00D920C9">
              <w:rPr>
                <w:rFonts w:asciiTheme="minorHAnsi" w:hAnsiTheme="minorHAnsi"/>
                <w:szCs w:val="18"/>
              </w:rPr>
              <w:t xml:space="preserve">the next to die, and it can happen at any given moment. The pain in my mother’s eyes along with the constant flow of tears, is never ending. How can I dry up a river of tears with Kleenex? It is hard to explain to my children and my nieces and nephews that their aunt is never coming home. It’s tough, especially the youngest ones that always expect for her to walk through the door. In the search for answers, I have just been presented with more problems that seem to have no solutions. </w:t>
            </w:r>
          </w:p>
          <w:p w14:paraId="0BA307E5" w14:textId="47A5650E" w:rsidR="00E03D8F" w:rsidRPr="00D920C9" w:rsidRDefault="00E03D8F" w:rsidP="001167CB">
            <w:pPr>
              <w:spacing w:after="240" w:line="240" w:lineRule="auto"/>
              <w:ind w:left="288" w:right="288"/>
              <w:jc w:val="both"/>
              <w:rPr>
                <w:rFonts w:asciiTheme="minorHAnsi" w:hAnsiTheme="minorHAnsi"/>
                <w:szCs w:val="18"/>
              </w:rPr>
            </w:pPr>
            <w:r w:rsidRPr="00D920C9">
              <w:rPr>
                <w:rFonts w:asciiTheme="minorHAnsi" w:hAnsiTheme="minorHAnsi"/>
                <w:szCs w:val="18"/>
              </w:rPr>
              <w:t>I’m still trying to find justice, but what is justice? To me, it’s just ice to numb the situation. I’m still trying to find answers, and I’m hoping that you all can help me.</w:t>
            </w:r>
            <w:r w:rsidRPr="00D920C9">
              <w:rPr>
                <w:rStyle w:val="FootnoteReference"/>
                <w:rFonts w:asciiTheme="minorHAnsi" w:hAnsiTheme="minorHAnsi"/>
                <w:szCs w:val="18"/>
              </w:rPr>
              <w:footnoteReference w:id="206"/>
            </w:r>
            <w:r w:rsidRPr="00D920C9">
              <w:rPr>
                <w:rFonts w:asciiTheme="minorHAnsi" w:hAnsiTheme="minorHAnsi"/>
                <w:szCs w:val="18"/>
              </w:rPr>
              <w:t xml:space="preserve"> </w:t>
            </w:r>
          </w:p>
        </w:tc>
      </w:tr>
    </w:tbl>
    <w:p w14:paraId="0A820B34" w14:textId="77777777" w:rsidR="00E03D8F" w:rsidRPr="00D920C9" w:rsidRDefault="00E03D8F" w:rsidP="00625D97">
      <w:pPr>
        <w:pStyle w:val="ListParagraph"/>
        <w:spacing w:after="0" w:line="240" w:lineRule="auto"/>
        <w:ind w:left="547"/>
        <w:contextualSpacing w:val="0"/>
        <w:jc w:val="both"/>
        <w:rPr>
          <w:rFonts w:asciiTheme="minorHAnsi" w:hAnsiTheme="minorHAnsi"/>
          <w:szCs w:val="20"/>
        </w:rPr>
      </w:pPr>
    </w:p>
    <w:p w14:paraId="5D0E98F1" w14:textId="77777777" w:rsidR="005908F9" w:rsidRPr="00D920C9" w:rsidRDefault="005908F9"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At the same hearing, the Commission received testimony from Collette Flanagan, mother of Clinton Allen and co-founder of Mothers Against Police Brutality</w:t>
      </w:r>
      <w:r w:rsidR="00551EB5" w:rsidRPr="00D920C9">
        <w:rPr>
          <w:rFonts w:asciiTheme="minorHAnsi" w:hAnsiTheme="minorHAnsi"/>
          <w:szCs w:val="20"/>
        </w:rPr>
        <w:t xml:space="preserve">: </w:t>
      </w:r>
    </w:p>
    <w:tbl>
      <w:tblPr>
        <w:tblStyle w:val="TableGrid"/>
        <w:tblW w:w="0" w:type="auto"/>
        <w:jc w:val="right"/>
        <w:tblLook w:val="04A0" w:firstRow="1" w:lastRow="0" w:firstColumn="1" w:lastColumn="0" w:noHBand="0" w:noVBand="1"/>
      </w:tblPr>
      <w:tblGrid>
        <w:gridCol w:w="7848"/>
      </w:tblGrid>
      <w:tr w:rsidR="00E03D8F" w:rsidRPr="00D920C9" w14:paraId="4386E407" w14:textId="77777777" w:rsidTr="003A1642">
        <w:trPr>
          <w:jc w:val="right"/>
        </w:trPr>
        <w:tc>
          <w:tcPr>
            <w:tcW w:w="9029" w:type="dxa"/>
            <w:shd w:val="clear" w:color="auto" w:fill="D9D9D9" w:themeFill="background1" w:themeFillShade="D9"/>
          </w:tcPr>
          <w:p w14:paraId="07E3F228" w14:textId="77777777" w:rsidR="003A1642" w:rsidRDefault="00E03D8F" w:rsidP="001167CB">
            <w:pPr>
              <w:spacing w:after="240" w:line="240" w:lineRule="auto"/>
              <w:ind w:left="288" w:right="288"/>
              <w:jc w:val="both"/>
              <w:rPr>
                <w:rFonts w:asciiTheme="minorHAnsi" w:hAnsiTheme="minorHAnsi"/>
                <w:szCs w:val="18"/>
              </w:rPr>
            </w:pPr>
            <w:r w:rsidRPr="00D920C9">
              <w:rPr>
                <w:rFonts w:asciiTheme="minorHAnsi" w:hAnsiTheme="minorHAnsi"/>
                <w:szCs w:val="20"/>
              </w:rPr>
              <w:br/>
            </w:r>
            <w:r w:rsidRPr="00D920C9">
              <w:rPr>
                <w:rFonts w:asciiTheme="minorHAnsi" w:hAnsiTheme="minorHAnsi"/>
                <w:szCs w:val="18"/>
              </w:rPr>
              <w:t xml:space="preserve">My only son Clinton Allen was murdered by Dallas policemen on March 10, 2013. He was unarmed, and shot 7 times. Once under his left arm consistent with his hands being raised, five times in the chest, and once at close range in the back. The policeman who killed my son did exactly what his past behavior indicated that he would do. He had a record of falsifying police records, running over a fleeing suspect with his police car, and using excessive force on mostly black men. And finally on that fateful day he graduated to killing and killed my son. </w:t>
            </w:r>
          </w:p>
          <w:p w14:paraId="28ED4B5E" w14:textId="5CB92DC2" w:rsidR="003A1642" w:rsidRPr="00D920C9" w:rsidRDefault="0004388D" w:rsidP="001167CB">
            <w:pPr>
              <w:spacing w:after="240" w:line="240" w:lineRule="auto"/>
              <w:ind w:left="288" w:right="288"/>
              <w:jc w:val="both"/>
              <w:rPr>
                <w:rFonts w:asciiTheme="minorHAnsi" w:hAnsiTheme="minorHAnsi"/>
                <w:szCs w:val="18"/>
              </w:rPr>
            </w:pPr>
            <w:r>
              <w:rPr>
                <w:rFonts w:asciiTheme="minorHAnsi" w:hAnsiTheme="minorHAnsi"/>
                <w:szCs w:val="18"/>
              </w:rPr>
              <w:br/>
            </w:r>
            <w:r>
              <w:rPr>
                <w:rFonts w:asciiTheme="minorHAnsi" w:hAnsiTheme="minorHAnsi"/>
                <w:szCs w:val="18"/>
              </w:rPr>
              <w:lastRenderedPageBreak/>
              <w:br/>
            </w:r>
            <w:r w:rsidR="003A1642" w:rsidRPr="00D920C9">
              <w:rPr>
                <w:rFonts w:asciiTheme="minorHAnsi" w:hAnsiTheme="minorHAnsi"/>
                <w:szCs w:val="18"/>
              </w:rPr>
              <w:t xml:space="preserve">The policeman that killed my son was not fit to be a policeman. He had such a troubled history with the Dallas Police Department. We insisted, and prevailed, that he not be allowed to go back on patrol with a gun, but he has received no other punishment: no charges, no indictment, no trial, and no loss of pay. </w:t>
            </w:r>
          </w:p>
          <w:p w14:paraId="542FA983" w14:textId="399203B0" w:rsidR="00E03D8F" w:rsidRPr="00D920C9" w:rsidRDefault="003A1642" w:rsidP="001167CB">
            <w:pPr>
              <w:spacing w:after="240" w:line="240" w:lineRule="auto"/>
              <w:ind w:left="288" w:right="288"/>
              <w:jc w:val="both"/>
              <w:rPr>
                <w:rFonts w:asciiTheme="minorHAnsi" w:hAnsiTheme="minorHAnsi"/>
                <w:szCs w:val="20"/>
              </w:rPr>
            </w:pPr>
            <w:r w:rsidRPr="00D920C9">
              <w:rPr>
                <w:rFonts w:asciiTheme="minorHAnsi" w:hAnsiTheme="minorHAnsi"/>
                <w:szCs w:val="18"/>
              </w:rPr>
              <w:t>My own sorrow turned to anger at the pervasive injustice, and finally to determination to win justice for my son. The homicidal brutality of police officers is an ongoing national disgrace. I am determined to win justice for my son and others whose lives and futures have been stolen by the very officials who have sworn to protect and serve us, but I need this Commission to hold my country to their commitment to respect human rights. Mothers against Police Brutality needs your help to restore the social contract that police violence has ripped to shreds in the streets of our cities. I pray that we will reweave the social contract before more lives are lost. Thank you.</w:t>
            </w:r>
            <w:r w:rsidRPr="00D920C9">
              <w:rPr>
                <w:rStyle w:val="FootnoteReference"/>
                <w:rFonts w:asciiTheme="minorHAnsi" w:hAnsiTheme="minorHAnsi"/>
                <w:szCs w:val="18"/>
              </w:rPr>
              <w:footnoteReference w:id="207"/>
            </w:r>
          </w:p>
        </w:tc>
      </w:tr>
    </w:tbl>
    <w:p w14:paraId="6BF205C8" w14:textId="77777777" w:rsidR="00200783" w:rsidRPr="00D920C9" w:rsidRDefault="00200783" w:rsidP="0040052F">
      <w:pPr>
        <w:spacing w:after="0" w:line="240" w:lineRule="auto"/>
        <w:ind w:firstLine="720"/>
        <w:jc w:val="both"/>
        <w:rPr>
          <w:rFonts w:asciiTheme="minorHAnsi" w:hAnsiTheme="minorHAnsi"/>
          <w:sz w:val="24"/>
          <w:szCs w:val="20"/>
        </w:rPr>
      </w:pPr>
    </w:p>
    <w:p w14:paraId="3ED4B70D" w14:textId="77777777" w:rsidR="00C040C2" w:rsidRPr="00D920C9" w:rsidRDefault="00344360"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eastAsia="Times New Roman" w:hAnsiTheme="minorHAnsi"/>
          <w:szCs w:val="20"/>
        </w:rPr>
        <w:t>T</w:t>
      </w:r>
      <w:r w:rsidR="00C040C2" w:rsidRPr="00D920C9">
        <w:rPr>
          <w:rFonts w:asciiTheme="minorHAnsi" w:eastAsia="Times New Roman" w:hAnsiTheme="minorHAnsi"/>
          <w:szCs w:val="20"/>
        </w:rPr>
        <w:t xml:space="preserve">he Commission has previously considered information indicating that </w:t>
      </w:r>
      <w:r w:rsidR="00224D66" w:rsidRPr="00D920C9">
        <w:rPr>
          <w:rFonts w:asciiTheme="minorHAnsi" w:eastAsia="Times New Roman" w:hAnsiTheme="minorHAnsi"/>
          <w:szCs w:val="20"/>
        </w:rPr>
        <w:t>the use of body</w:t>
      </w:r>
      <w:r w:rsidR="00C040C2" w:rsidRPr="00D920C9">
        <w:rPr>
          <w:rFonts w:asciiTheme="minorHAnsi" w:eastAsia="Times New Roman" w:hAnsiTheme="minorHAnsi"/>
          <w:szCs w:val="20"/>
        </w:rPr>
        <w:t xml:space="preserve"> cameras by police officers has a deterrent effect; for example, California</w:t>
      </w:r>
      <w:r w:rsidR="00FE09A1" w:rsidRPr="00D920C9">
        <w:rPr>
          <w:rFonts w:asciiTheme="minorHAnsi" w:eastAsia="Times New Roman" w:hAnsiTheme="minorHAnsi"/>
          <w:szCs w:val="20"/>
        </w:rPr>
        <w:t xml:space="preserve"> registered</w:t>
      </w:r>
      <w:r w:rsidR="00C040C2" w:rsidRPr="00D920C9">
        <w:rPr>
          <w:rFonts w:asciiTheme="minorHAnsi" w:eastAsia="Times New Roman" w:hAnsiTheme="minorHAnsi"/>
          <w:szCs w:val="20"/>
        </w:rPr>
        <w:t xml:space="preserve"> a 59 percent drop in use of force</w:t>
      </w:r>
      <w:r w:rsidR="00FE09A1" w:rsidRPr="00D920C9">
        <w:rPr>
          <w:rFonts w:asciiTheme="minorHAnsi" w:eastAsia="Times New Roman" w:hAnsiTheme="minorHAnsi"/>
          <w:szCs w:val="20"/>
        </w:rPr>
        <w:t xml:space="preserve"> and a nearly 90 percent drop in</w:t>
      </w:r>
      <w:r w:rsidR="00C040C2" w:rsidRPr="00D920C9">
        <w:rPr>
          <w:rFonts w:asciiTheme="minorHAnsi" w:eastAsia="Times New Roman" w:hAnsiTheme="minorHAnsi"/>
          <w:szCs w:val="20"/>
        </w:rPr>
        <w:t xml:space="preserve"> complaints</w:t>
      </w:r>
      <w:r w:rsidR="00C040C2" w:rsidRPr="00D920C9">
        <w:rPr>
          <w:rFonts w:asciiTheme="minorHAnsi" w:hAnsiTheme="minorHAnsi"/>
          <w:sz w:val="24"/>
        </w:rPr>
        <w:t xml:space="preserve"> </w:t>
      </w:r>
      <w:r w:rsidR="00C040C2" w:rsidRPr="00D920C9">
        <w:rPr>
          <w:rFonts w:asciiTheme="minorHAnsi" w:eastAsia="Times New Roman" w:hAnsiTheme="minorHAnsi"/>
          <w:szCs w:val="20"/>
        </w:rPr>
        <w:t xml:space="preserve">concerning excessive force </w:t>
      </w:r>
      <w:r w:rsidR="00FE09A1" w:rsidRPr="00D920C9">
        <w:rPr>
          <w:rFonts w:asciiTheme="minorHAnsi" w:eastAsia="Times New Roman" w:hAnsiTheme="minorHAnsi"/>
          <w:szCs w:val="20"/>
        </w:rPr>
        <w:t>after introducing body cameras</w:t>
      </w:r>
      <w:r w:rsidR="00C040C2" w:rsidRPr="00D920C9">
        <w:rPr>
          <w:rFonts w:asciiTheme="minorHAnsi" w:eastAsia="Times New Roman" w:hAnsiTheme="minorHAnsi"/>
          <w:szCs w:val="20"/>
        </w:rPr>
        <w:t>.</w:t>
      </w:r>
      <w:r w:rsidR="00C040C2" w:rsidRPr="00D920C9">
        <w:rPr>
          <w:rStyle w:val="FootnoteReference"/>
          <w:rFonts w:asciiTheme="minorHAnsi" w:eastAsia="Times New Roman" w:hAnsiTheme="minorHAnsi"/>
          <w:szCs w:val="20"/>
        </w:rPr>
        <w:footnoteReference w:id="208"/>
      </w:r>
      <w:r w:rsidR="00C040C2" w:rsidRPr="00D920C9">
        <w:rPr>
          <w:rFonts w:asciiTheme="minorHAnsi" w:eastAsia="Times New Roman" w:hAnsiTheme="minorHAnsi"/>
          <w:szCs w:val="20"/>
        </w:rPr>
        <w:t xml:space="preserve"> Nonetheless, the Commission has also noted concerns that body cameras could cause violations of the right to </w:t>
      </w:r>
      <w:r w:rsidR="00C040C2" w:rsidRPr="00D920C9">
        <w:rPr>
          <w:rFonts w:asciiTheme="minorHAnsi" w:hAnsiTheme="minorHAnsi"/>
          <w:szCs w:val="20"/>
        </w:rPr>
        <w:t xml:space="preserve">privacy of the official or victims, controversies </w:t>
      </w:r>
      <w:r w:rsidR="00FE09A1" w:rsidRPr="00D920C9">
        <w:rPr>
          <w:rFonts w:asciiTheme="minorHAnsi" w:hAnsiTheme="minorHAnsi"/>
          <w:szCs w:val="20"/>
        </w:rPr>
        <w:t>about</w:t>
      </w:r>
      <w:r w:rsidR="00C040C2" w:rsidRPr="00D920C9">
        <w:rPr>
          <w:rFonts w:asciiTheme="minorHAnsi" w:hAnsiTheme="minorHAnsi"/>
          <w:szCs w:val="20"/>
        </w:rPr>
        <w:t xml:space="preserve"> whether cameras could be manipulated by officials, and </w:t>
      </w:r>
      <w:r w:rsidR="00FE09A1" w:rsidRPr="00D920C9">
        <w:rPr>
          <w:rFonts w:asciiTheme="minorHAnsi" w:hAnsiTheme="minorHAnsi"/>
          <w:szCs w:val="20"/>
        </w:rPr>
        <w:t>concerns about</w:t>
      </w:r>
      <w:r w:rsidR="00C040C2" w:rsidRPr="00D920C9">
        <w:rPr>
          <w:rFonts w:asciiTheme="minorHAnsi" w:hAnsiTheme="minorHAnsi"/>
          <w:szCs w:val="20"/>
        </w:rPr>
        <w:t xml:space="preserve"> secure stor</w:t>
      </w:r>
      <w:r w:rsidR="00FE09A1" w:rsidRPr="00D920C9">
        <w:rPr>
          <w:rFonts w:asciiTheme="minorHAnsi" w:hAnsiTheme="minorHAnsi"/>
          <w:szCs w:val="20"/>
        </w:rPr>
        <w:t>ag</w:t>
      </w:r>
      <w:r w:rsidR="00C040C2" w:rsidRPr="00D920C9">
        <w:rPr>
          <w:rFonts w:asciiTheme="minorHAnsi" w:hAnsiTheme="minorHAnsi"/>
          <w:szCs w:val="20"/>
        </w:rPr>
        <w:t xml:space="preserve">e </w:t>
      </w:r>
      <w:r w:rsidR="00FE09A1" w:rsidRPr="00D920C9">
        <w:rPr>
          <w:rFonts w:asciiTheme="minorHAnsi" w:hAnsiTheme="minorHAnsi"/>
          <w:szCs w:val="20"/>
        </w:rPr>
        <w:t xml:space="preserve">of </w:t>
      </w:r>
      <w:r w:rsidR="00C040C2" w:rsidRPr="00D920C9">
        <w:rPr>
          <w:rFonts w:asciiTheme="minorHAnsi" w:hAnsiTheme="minorHAnsi"/>
          <w:szCs w:val="20"/>
        </w:rPr>
        <w:t>footage.</w:t>
      </w:r>
      <w:r w:rsidR="00C040C2" w:rsidRPr="00D920C9">
        <w:rPr>
          <w:rFonts w:asciiTheme="minorHAnsi" w:hAnsiTheme="minorHAnsi"/>
          <w:vertAlign w:val="superscript"/>
        </w:rPr>
        <w:footnoteReference w:id="209"/>
      </w:r>
      <w:r w:rsidR="00C040C2" w:rsidRPr="00D920C9">
        <w:rPr>
          <w:rFonts w:asciiTheme="minorHAnsi" w:hAnsiTheme="minorHAnsi"/>
          <w:szCs w:val="20"/>
        </w:rPr>
        <w:t xml:space="preserve"> The Commission has heard similar concerns from civil society organizations, which argue that the use of police body cameras may increase already </w:t>
      </w:r>
      <w:r w:rsidR="00FE09A1" w:rsidRPr="00D920C9">
        <w:rPr>
          <w:rFonts w:asciiTheme="minorHAnsi" w:hAnsiTheme="minorHAnsi"/>
          <w:szCs w:val="20"/>
        </w:rPr>
        <w:t>high</w:t>
      </w:r>
      <w:r w:rsidR="00C040C2" w:rsidRPr="00D920C9">
        <w:rPr>
          <w:rFonts w:asciiTheme="minorHAnsi" w:hAnsiTheme="minorHAnsi"/>
          <w:szCs w:val="20"/>
        </w:rPr>
        <w:t xml:space="preserve"> </w:t>
      </w:r>
      <w:r w:rsidR="00FE09A1" w:rsidRPr="00D920C9">
        <w:rPr>
          <w:rFonts w:asciiTheme="minorHAnsi" w:hAnsiTheme="minorHAnsi"/>
          <w:szCs w:val="20"/>
        </w:rPr>
        <w:t>rates</w:t>
      </w:r>
      <w:r w:rsidR="00C040C2" w:rsidRPr="00D920C9">
        <w:rPr>
          <w:rFonts w:asciiTheme="minorHAnsi" w:hAnsiTheme="minorHAnsi"/>
          <w:szCs w:val="20"/>
        </w:rPr>
        <w:t xml:space="preserve"> of arrests of </w:t>
      </w:r>
      <w:r w:rsidR="001D60FA" w:rsidRPr="00D920C9">
        <w:rPr>
          <w:rFonts w:asciiTheme="minorHAnsi" w:hAnsiTheme="minorHAnsi"/>
          <w:szCs w:val="20"/>
        </w:rPr>
        <w:t>Afro-descendants and other members of historically marginalized groups</w:t>
      </w:r>
      <w:r w:rsidR="00C040C2" w:rsidRPr="00D920C9">
        <w:rPr>
          <w:rFonts w:asciiTheme="minorHAnsi" w:hAnsiTheme="minorHAnsi"/>
          <w:szCs w:val="20"/>
        </w:rPr>
        <w:t xml:space="preserve"> following irregularities including failures to turn the camera on or to make footage available when it contradicts </w:t>
      </w:r>
      <w:r w:rsidR="00FE09A1" w:rsidRPr="00D920C9">
        <w:rPr>
          <w:rFonts w:asciiTheme="minorHAnsi" w:hAnsiTheme="minorHAnsi"/>
          <w:szCs w:val="20"/>
        </w:rPr>
        <w:t>officials’</w:t>
      </w:r>
      <w:r w:rsidR="00C040C2" w:rsidRPr="00D920C9">
        <w:rPr>
          <w:rFonts w:asciiTheme="minorHAnsi" w:hAnsiTheme="minorHAnsi"/>
          <w:szCs w:val="20"/>
        </w:rPr>
        <w:t xml:space="preserve"> version of events; they </w:t>
      </w:r>
      <w:r w:rsidR="00FE09A1" w:rsidRPr="00D920C9">
        <w:rPr>
          <w:rFonts w:asciiTheme="minorHAnsi" w:hAnsiTheme="minorHAnsi"/>
          <w:szCs w:val="20"/>
        </w:rPr>
        <w:t>argued</w:t>
      </w:r>
      <w:r w:rsidR="00C040C2" w:rsidRPr="00D920C9">
        <w:rPr>
          <w:rFonts w:asciiTheme="minorHAnsi" w:hAnsiTheme="minorHAnsi"/>
          <w:szCs w:val="20"/>
        </w:rPr>
        <w:t xml:space="preserve"> that police</w:t>
      </w:r>
      <w:r w:rsidR="00FE09A1" w:rsidRPr="00D920C9">
        <w:rPr>
          <w:rFonts w:asciiTheme="minorHAnsi" w:hAnsiTheme="minorHAnsi"/>
          <w:szCs w:val="20"/>
        </w:rPr>
        <w:t xml:space="preserve"> do</w:t>
      </w:r>
      <w:r w:rsidR="00C040C2" w:rsidRPr="00D920C9">
        <w:rPr>
          <w:rFonts w:asciiTheme="minorHAnsi" w:hAnsiTheme="minorHAnsi"/>
          <w:szCs w:val="20"/>
        </w:rPr>
        <w:t xml:space="preserve"> offer body camera footage when it provides proof of commission of petty crimes.</w:t>
      </w:r>
      <w:r w:rsidR="00C040C2" w:rsidRPr="00D920C9">
        <w:rPr>
          <w:rFonts w:asciiTheme="minorHAnsi" w:hAnsiTheme="minorHAnsi"/>
          <w:vertAlign w:val="superscript"/>
        </w:rPr>
        <w:footnoteReference w:id="210"/>
      </w:r>
    </w:p>
    <w:p w14:paraId="017F4F0F" w14:textId="77777777" w:rsidR="00200783" w:rsidRPr="00D920C9" w:rsidRDefault="00200783"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In light of </w:t>
      </w:r>
      <w:r w:rsidR="00FE09A1" w:rsidRPr="00D920C9">
        <w:rPr>
          <w:rFonts w:asciiTheme="minorHAnsi" w:hAnsiTheme="minorHAnsi"/>
          <w:szCs w:val="20"/>
        </w:rPr>
        <w:t>this information</w:t>
      </w:r>
      <w:r w:rsidRPr="00D920C9">
        <w:rPr>
          <w:rFonts w:asciiTheme="minorHAnsi" w:hAnsiTheme="minorHAnsi"/>
          <w:szCs w:val="20"/>
        </w:rPr>
        <w:t xml:space="preserve">, the Commission reiterates its grave concern at the existence of a disturbing pattern of excessive force on the part of police </w:t>
      </w:r>
      <w:r w:rsidRPr="00D920C9">
        <w:rPr>
          <w:rFonts w:asciiTheme="minorHAnsi" w:hAnsiTheme="minorHAnsi"/>
          <w:szCs w:val="20"/>
        </w:rPr>
        <w:lastRenderedPageBreak/>
        <w:t>officers towards African</w:t>
      </w:r>
      <w:r w:rsidR="00904A46" w:rsidRPr="00D920C9">
        <w:rPr>
          <w:rFonts w:asciiTheme="minorHAnsi" w:hAnsiTheme="minorHAnsi"/>
          <w:szCs w:val="20"/>
        </w:rPr>
        <w:t xml:space="preserve"> </w:t>
      </w:r>
      <w:r w:rsidRPr="00D920C9">
        <w:rPr>
          <w:rFonts w:asciiTheme="minorHAnsi" w:hAnsiTheme="minorHAnsi"/>
          <w:szCs w:val="20"/>
        </w:rPr>
        <w:t xml:space="preserve">Americans and other </w:t>
      </w:r>
      <w:r w:rsidR="001D60FA" w:rsidRPr="00D920C9">
        <w:rPr>
          <w:rFonts w:asciiTheme="minorHAnsi" w:hAnsiTheme="minorHAnsi"/>
          <w:szCs w:val="20"/>
        </w:rPr>
        <w:t xml:space="preserve">members of historically marginalized groups </w:t>
      </w:r>
      <w:r w:rsidRPr="00D920C9">
        <w:rPr>
          <w:rFonts w:asciiTheme="minorHAnsi" w:hAnsiTheme="minorHAnsi"/>
          <w:szCs w:val="20"/>
        </w:rPr>
        <w:t xml:space="preserve">in the </w:t>
      </w:r>
      <w:r w:rsidR="00904A46" w:rsidRPr="00D920C9">
        <w:rPr>
          <w:rFonts w:asciiTheme="minorHAnsi" w:hAnsiTheme="minorHAnsi"/>
          <w:szCs w:val="20"/>
        </w:rPr>
        <w:t>U.S</w:t>
      </w:r>
      <w:r w:rsidRPr="00D920C9">
        <w:rPr>
          <w:rFonts w:asciiTheme="minorHAnsi" w:hAnsiTheme="minorHAnsi"/>
          <w:szCs w:val="20"/>
        </w:rPr>
        <w:t>.</w:t>
      </w:r>
      <w:r w:rsidRPr="00D920C9">
        <w:rPr>
          <w:rFonts w:asciiTheme="minorHAnsi" w:hAnsiTheme="minorHAnsi"/>
          <w:vertAlign w:val="superscript"/>
        </w:rPr>
        <w:footnoteReference w:id="211"/>
      </w:r>
      <w:r w:rsidRPr="00D920C9">
        <w:rPr>
          <w:rFonts w:asciiTheme="minorHAnsi" w:hAnsiTheme="minorHAnsi"/>
          <w:szCs w:val="20"/>
        </w:rPr>
        <w:t xml:space="preserve"> The Commission considers that this issue is a structural problem, and urges the State to investigate connections between cases of police violence in order to adopt coordinated legislative, policy, and institutional measures designed to eliminate racial discrimination, including measures to protect and guarantee the right to non</w:t>
      </w:r>
      <w:r w:rsidR="00904A46" w:rsidRPr="00D920C9">
        <w:rPr>
          <w:rFonts w:asciiTheme="minorHAnsi" w:hAnsiTheme="minorHAnsi"/>
          <w:szCs w:val="20"/>
        </w:rPr>
        <w:t>-</w:t>
      </w:r>
      <w:r w:rsidRPr="00D920C9">
        <w:rPr>
          <w:rFonts w:asciiTheme="minorHAnsi" w:hAnsiTheme="minorHAnsi"/>
          <w:szCs w:val="20"/>
        </w:rPr>
        <w:t>discrimination.</w:t>
      </w:r>
      <w:r w:rsidRPr="00D920C9">
        <w:rPr>
          <w:rStyle w:val="FootnoteReference"/>
          <w:rFonts w:asciiTheme="minorHAnsi" w:hAnsiTheme="minorHAnsi"/>
          <w:szCs w:val="20"/>
        </w:rPr>
        <w:footnoteReference w:id="212"/>
      </w:r>
    </w:p>
    <w:p w14:paraId="0C08A40E" w14:textId="77777777" w:rsidR="00B4412C" w:rsidRPr="00D920C9" w:rsidRDefault="00B4412C" w:rsidP="003D7958">
      <w:pPr>
        <w:pStyle w:val="Heading4"/>
        <w:ind w:left="540" w:hanging="540"/>
      </w:pPr>
      <w:bookmarkStart w:id="81" w:name="_Toc511837813"/>
      <w:bookmarkStart w:id="82" w:name="_Toc511902986"/>
      <w:bookmarkStart w:id="83" w:name="_Toc517687916"/>
      <w:r w:rsidRPr="00D920C9">
        <w:t xml:space="preserve">Impunity in </w:t>
      </w:r>
      <w:r w:rsidR="001D6074" w:rsidRPr="00D920C9">
        <w:t xml:space="preserve">Cases </w:t>
      </w:r>
      <w:r w:rsidRPr="00D920C9">
        <w:t xml:space="preserve">of </w:t>
      </w:r>
      <w:r w:rsidR="001D6074" w:rsidRPr="00D920C9">
        <w:t>Police Killings</w:t>
      </w:r>
      <w:bookmarkEnd w:id="81"/>
      <w:bookmarkEnd w:id="82"/>
      <w:bookmarkEnd w:id="83"/>
    </w:p>
    <w:p w14:paraId="428A6A01" w14:textId="77777777" w:rsidR="00B4412C" w:rsidRPr="00D920C9" w:rsidRDefault="00B4412C" w:rsidP="002C64F8">
      <w:pPr>
        <w:pStyle w:val="ListParagraph"/>
        <w:numPr>
          <w:ilvl w:val="0"/>
          <w:numId w:val="9"/>
        </w:numPr>
        <w:spacing w:after="240" w:line="240" w:lineRule="auto"/>
        <w:ind w:left="547" w:hanging="547"/>
        <w:contextualSpacing w:val="0"/>
        <w:jc w:val="both"/>
        <w:rPr>
          <w:rFonts w:asciiTheme="minorHAnsi" w:hAnsiTheme="minorHAnsi"/>
          <w:szCs w:val="20"/>
        </w:rPr>
      </w:pPr>
      <w:bookmarkStart w:id="84" w:name="_Ref507429957"/>
      <w:r w:rsidRPr="00D920C9">
        <w:rPr>
          <w:rFonts w:asciiTheme="minorHAnsi" w:hAnsiTheme="minorHAnsi" w:cs="Times"/>
          <w:szCs w:val="20"/>
        </w:rPr>
        <w:t xml:space="preserve">The Commission </w:t>
      </w:r>
      <w:r w:rsidR="00553DBE" w:rsidRPr="00D920C9">
        <w:rPr>
          <w:rFonts w:asciiTheme="minorHAnsi" w:hAnsiTheme="minorHAnsi" w:cs="Times"/>
          <w:szCs w:val="20"/>
        </w:rPr>
        <w:t xml:space="preserve">has received information indicating that the injustice perpetuated by a pattern of racial discrimination in police killings is exacerbated by a pattern of impunity in cases of police killings of African Americans. </w:t>
      </w:r>
      <w:r w:rsidRPr="00D920C9">
        <w:rPr>
          <w:rFonts w:asciiTheme="minorHAnsi" w:hAnsiTheme="minorHAnsi"/>
          <w:szCs w:val="20"/>
        </w:rPr>
        <w:t>In this regard, the Commission echoes concerns expressed by the U</w:t>
      </w:r>
      <w:r w:rsidR="00352483" w:rsidRPr="00D920C9">
        <w:rPr>
          <w:rFonts w:asciiTheme="minorHAnsi" w:hAnsiTheme="minorHAnsi"/>
          <w:szCs w:val="20"/>
        </w:rPr>
        <w:t>.</w:t>
      </w:r>
      <w:r w:rsidRPr="00D920C9">
        <w:rPr>
          <w:rFonts w:asciiTheme="minorHAnsi" w:hAnsiTheme="minorHAnsi"/>
          <w:szCs w:val="20"/>
        </w:rPr>
        <w:t>N</w:t>
      </w:r>
      <w:r w:rsidR="00352483" w:rsidRPr="00D920C9">
        <w:rPr>
          <w:rFonts w:asciiTheme="minorHAnsi" w:hAnsiTheme="minorHAnsi"/>
          <w:szCs w:val="20"/>
        </w:rPr>
        <w:t>.</w:t>
      </w:r>
      <w:r w:rsidRPr="00D920C9">
        <w:rPr>
          <w:rFonts w:asciiTheme="minorHAnsi" w:hAnsiTheme="minorHAnsi"/>
          <w:szCs w:val="20"/>
        </w:rPr>
        <w:t xml:space="preserve"> Working Group of Experts on People of African Descent “at the alarming levels of police brutality and excessive use of lethal force by law enforcement officials, committed with impunity against people of African descent in the United States.”</w:t>
      </w:r>
      <w:r w:rsidRPr="00D920C9">
        <w:rPr>
          <w:rFonts w:asciiTheme="minorHAnsi" w:hAnsiTheme="minorHAnsi"/>
          <w:szCs w:val="20"/>
          <w:vertAlign w:val="superscript"/>
        </w:rPr>
        <w:footnoteReference w:id="213"/>
      </w:r>
      <w:r w:rsidR="00553DBE" w:rsidRPr="00D920C9">
        <w:rPr>
          <w:rFonts w:asciiTheme="minorHAnsi" w:hAnsiTheme="minorHAnsi"/>
          <w:szCs w:val="20"/>
        </w:rPr>
        <w:t xml:space="preserve"> Civil society, too, indicates that “in the present system, it continues to be a near impossible task to hold police officers and departments accountable for their excessive use of force, particularly against marginalized communities of color, [...] and there remain severe lacunae in the regulatory and reporting systems for use of force by police officers.”</w:t>
      </w:r>
      <w:r w:rsidR="00553DBE" w:rsidRPr="00D920C9">
        <w:rPr>
          <w:rStyle w:val="FootnoteReference"/>
          <w:rFonts w:asciiTheme="minorHAnsi" w:hAnsiTheme="minorHAnsi"/>
          <w:szCs w:val="20"/>
        </w:rPr>
        <w:footnoteReference w:id="214"/>
      </w:r>
      <w:r w:rsidR="00553DBE" w:rsidRPr="00D920C9">
        <w:rPr>
          <w:rFonts w:asciiTheme="minorHAnsi" w:eastAsia="MS Mincho" w:hAnsiTheme="minorHAnsi" w:cs="Calibri"/>
          <w:szCs w:val="20"/>
          <w:lang w:eastAsia="es-ES"/>
        </w:rPr>
        <w:t xml:space="preserve"> </w:t>
      </w:r>
      <w:r w:rsidR="00553DBE" w:rsidRPr="00D920C9">
        <w:rPr>
          <w:rFonts w:asciiTheme="minorHAnsi" w:hAnsiTheme="minorHAnsi"/>
          <w:szCs w:val="20"/>
        </w:rPr>
        <w:t>T</w:t>
      </w:r>
      <w:r w:rsidRPr="00D920C9">
        <w:rPr>
          <w:rFonts w:asciiTheme="minorHAnsi" w:hAnsiTheme="minorHAnsi"/>
          <w:szCs w:val="20"/>
        </w:rPr>
        <w:t>he Commission considers that impunity in these cases fosters an environment in which police violence and abuses are tolerated, and serves to sustain disparate treatment on the basis of race.</w:t>
      </w:r>
      <w:bookmarkEnd w:id="84"/>
    </w:p>
    <w:p w14:paraId="53118131" w14:textId="77777777" w:rsidR="00553DBE" w:rsidRPr="00D920C9" w:rsidRDefault="00401DF8"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T</w:t>
      </w:r>
      <w:r w:rsidR="00553DBE" w:rsidRPr="00D920C9">
        <w:rPr>
          <w:rFonts w:asciiTheme="minorHAnsi" w:hAnsiTheme="minorHAnsi"/>
          <w:szCs w:val="20"/>
        </w:rPr>
        <w:t xml:space="preserve">he Commission </w:t>
      </w:r>
      <w:r w:rsidR="00096E79" w:rsidRPr="00D920C9">
        <w:rPr>
          <w:rFonts w:asciiTheme="minorHAnsi" w:hAnsiTheme="minorHAnsi"/>
          <w:szCs w:val="20"/>
        </w:rPr>
        <w:t>highlights</w:t>
      </w:r>
      <w:r w:rsidR="00553DBE" w:rsidRPr="00D920C9">
        <w:rPr>
          <w:rFonts w:asciiTheme="minorHAnsi" w:hAnsiTheme="minorHAnsi"/>
          <w:szCs w:val="20"/>
        </w:rPr>
        <w:t xml:space="preserve"> the low number of cases in which </w:t>
      </w:r>
      <w:r w:rsidR="006B01DA" w:rsidRPr="00D920C9">
        <w:rPr>
          <w:rFonts w:asciiTheme="minorHAnsi" w:hAnsiTheme="minorHAnsi"/>
          <w:szCs w:val="20"/>
        </w:rPr>
        <w:t xml:space="preserve">police </w:t>
      </w:r>
      <w:r w:rsidR="00553DBE" w:rsidRPr="00D920C9">
        <w:rPr>
          <w:rFonts w:asciiTheme="minorHAnsi" w:hAnsiTheme="minorHAnsi"/>
          <w:szCs w:val="20"/>
        </w:rPr>
        <w:t>officers have been held accountable for killings of African</w:t>
      </w:r>
      <w:r w:rsidR="0030356C" w:rsidRPr="00D920C9">
        <w:rPr>
          <w:rFonts w:asciiTheme="minorHAnsi" w:hAnsiTheme="minorHAnsi"/>
          <w:szCs w:val="20"/>
        </w:rPr>
        <w:t xml:space="preserve"> </w:t>
      </w:r>
      <w:r w:rsidR="00553DBE" w:rsidRPr="00D920C9">
        <w:rPr>
          <w:rFonts w:asciiTheme="minorHAnsi" w:hAnsiTheme="minorHAnsi"/>
          <w:szCs w:val="20"/>
        </w:rPr>
        <w:t xml:space="preserve">Americans in the </w:t>
      </w:r>
      <w:r w:rsidR="00344360" w:rsidRPr="00D920C9">
        <w:rPr>
          <w:rFonts w:asciiTheme="minorHAnsi" w:hAnsiTheme="minorHAnsi"/>
          <w:szCs w:val="20"/>
        </w:rPr>
        <w:t>U.S.</w:t>
      </w:r>
      <w:r w:rsidR="00553DBE" w:rsidRPr="00D920C9">
        <w:rPr>
          <w:rFonts w:asciiTheme="minorHAnsi" w:hAnsiTheme="minorHAnsi"/>
          <w:szCs w:val="20"/>
        </w:rPr>
        <w:t xml:space="preserve"> </w:t>
      </w:r>
      <w:r w:rsidR="00D87808" w:rsidRPr="00D920C9">
        <w:rPr>
          <w:rFonts w:asciiTheme="minorHAnsi" w:hAnsiTheme="minorHAnsi"/>
          <w:szCs w:val="20"/>
        </w:rPr>
        <w:t>One</w:t>
      </w:r>
      <w:r w:rsidR="00553DBE" w:rsidRPr="00D920C9">
        <w:rPr>
          <w:rFonts w:asciiTheme="minorHAnsi" w:hAnsiTheme="minorHAnsi"/>
          <w:szCs w:val="20"/>
        </w:rPr>
        <w:t xml:space="preserve"> </w:t>
      </w:r>
      <w:r w:rsidR="00344360" w:rsidRPr="00D920C9">
        <w:rPr>
          <w:rFonts w:asciiTheme="minorHAnsi" w:hAnsiTheme="minorHAnsi"/>
          <w:szCs w:val="20"/>
        </w:rPr>
        <w:t xml:space="preserve">study </w:t>
      </w:r>
      <w:r w:rsidR="00553DBE" w:rsidRPr="00D920C9">
        <w:rPr>
          <w:rFonts w:asciiTheme="minorHAnsi" w:hAnsiTheme="minorHAnsi"/>
          <w:szCs w:val="20"/>
        </w:rPr>
        <w:t>found that in thousands of police-involved killings between 2005 and 2015, just 54 police officers were ever charged with a crime, and most eventually cleared or acquitted.</w:t>
      </w:r>
      <w:r w:rsidR="00553DBE" w:rsidRPr="00D920C9">
        <w:rPr>
          <w:rFonts w:asciiTheme="minorHAnsi" w:hAnsiTheme="minorHAnsi"/>
          <w:vertAlign w:val="superscript"/>
        </w:rPr>
        <w:footnoteReference w:id="215"/>
      </w:r>
      <w:r w:rsidR="00553DBE" w:rsidRPr="00D920C9">
        <w:rPr>
          <w:rFonts w:asciiTheme="minorHAnsi" w:hAnsiTheme="minorHAnsi"/>
          <w:szCs w:val="20"/>
        </w:rPr>
        <w:t xml:space="preserve"> The study pointed out that in order to bring charges against an officer, the facts must be exceptional: “a victim shot in the back, a video recording of the incident, incriminating testimony from other officers or allegations of a cover-up”—though even in these cases, convictions are rare. </w:t>
      </w:r>
      <w:r w:rsidR="00344360" w:rsidRPr="00D920C9">
        <w:rPr>
          <w:rFonts w:asciiTheme="minorHAnsi" w:hAnsiTheme="minorHAnsi"/>
          <w:szCs w:val="20"/>
        </w:rPr>
        <w:t>W</w:t>
      </w:r>
      <w:r w:rsidR="00553DBE" w:rsidRPr="00D920C9">
        <w:rPr>
          <w:rFonts w:asciiTheme="minorHAnsi" w:hAnsiTheme="minorHAnsi"/>
          <w:szCs w:val="20"/>
        </w:rPr>
        <w:t xml:space="preserve">hen police are convicted of excessive use of force against civilians, they tend to receive much lighter sentences: an </w:t>
      </w:r>
      <w:r w:rsidR="00553DBE" w:rsidRPr="00D920C9">
        <w:rPr>
          <w:rFonts w:asciiTheme="minorHAnsi" w:hAnsiTheme="minorHAnsi"/>
          <w:szCs w:val="20"/>
        </w:rPr>
        <w:lastRenderedPageBreak/>
        <w:t>average of four years in prison, but sometimes as little as weeks.</w:t>
      </w:r>
      <w:r w:rsidR="00553DBE" w:rsidRPr="00D920C9">
        <w:rPr>
          <w:rFonts w:asciiTheme="minorHAnsi" w:hAnsiTheme="minorHAnsi"/>
          <w:vertAlign w:val="superscript"/>
        </w:rPr>
        <w:footnoteReference w:id="216"/>
      </w:r>
      <w:r w:rsidR="00553DBE" w:rsidRPr="00D920C9">
        <w:rPr>
          <w:rFonts w:asciiTheme="minorHAnsi" w:hAnsiTheme="minorHAnsi"/>
          <w:szCs w:val="20"/>
        </w:rPr>
        <w:t xml:space="preserve"> </w:t>
      </w:r>
      <w:r w:rsidR="00D2531A" w:rsidRPr="00D920C9">
        <w:rPr>
          <w:rFonts w:asciiTheme="minorHAnsi" w:hAnsiTheme="minorHAnsi"/>
          <w:szCs w:val="20"/>
        </w:rPr>
        <w:t>One paper’s</w:t>
      </w:r>
      <w:r w:rsidR="00553DBE" w:rsidRPr="00D920C9">
        <w:rPr>
          <w:rFonts w:asciiTheme="minorHAnsi" w:hAnsiTheme="minorHAnsi"/>
          <w:szCs w:val="20"/>
        </w:rPr>
        <w:t xml:space="preserve"> databases indicate that officers involved in one in every six deaths recorded during the first quarter of 2015 had been cleared of wrongdoing and returned to work within a year, and in most cases the public </w:t>
      </w:r>
      <w:r w:rsidR="003B5757" w:rsidRPr="00D920C9">
        <w:rPr>
          <w:rFonts w:asciiTheme="minorHAnsi" w:hAnsiTheme="minorHAnsi"/>
          <w:szCs w:val="20"/>
        </w:rPr>
        <w:t>was</w:t>
      </w:r>
      <w:r w:rsidR="00553DBE" w:rsidRPr="00D920C9">
        <w:rPr>
          <w:rFonts w:asciiTheme="minorHAnsi" w:hAnsiTheme="minorHAnsi"/>
          <w:szCs w:val="20"/>
        </w:rPr>
        <w:t xml:space="preserve"> not notified either via official statements or via local media.</w:t>
      </w:r>
      <w:r w:rsidR="00553DBE" w:rsidRPr="00D920C9">
        <w:rPr>
          <w:rFonts w:asciiTheme="minorHAnsi" w:hAnsiTheme="minorHAnsi"/>
          <w:vertAlign w:val="superscript"/>
        </w:rPr>
        <w:footnoteReference w:id="217"/>
      </w:r>
      <w:r w:rsidR="00553DBE" w:rsidRPr="00D920C9">
        <w:rPr>
          <w:rFonts w:asciiTheme="minorHAnsi" w:hAnsiTheme="minorHAnsi"/>
          <w:szCs w:val="20"/>
        </w:rPr>
        <w:t xml:space="preserve"> </w:t>
      </w:r>
      <w:r w:rsidR="00D2531A" w:rsidRPr="00D920C9">
        <w:rPr>
          <w:rFonts w:asciiTheme="minorHAnsi" w:hAnsiTheme="minorHAnsi"/>
          <w:szCs w:val="20"/>
        </w:rPr>
        <w:t>Another</w:t>
      </w:r>
      <w:r w:rsidR="003B5757" w:rsidRPr="00D920C9">
        <w:rPr>
          <w:rFonts w:asciiTheme="minorHAnsi" w:hAnsiTheme="minorHAnsi"/>
          <w:szCs w:val="20"/>
        </w:rPr>
        <w:t xml:space="preserve"> 2015</w:t>
      </w:r>
      <w:r w:rsidR="00D2531A" w:rsidRPr="00D920C9">
        <w:rPr>
          <w:rFonts w:asciiTheme="minorHAnsi" w:hAnsiTheme="minorHAnsi"/>
          <w:szCs w:val="20"/>
        </w:rPr>
        <w:t xml:space="preserve"> report found</w:t>
      </w:r>
      <w:r w:rsidR="003B5757" w:rsidRPr="00D920C9">
        <w:rPr>
          <w:rFonts w:asciiTheme="minorHAnsi" w:hAnsiTheme="minorHAnsi"/>
          <w:szCs w:val="20"/>
        </w:rPr>
        <w:t xml:space="preserve"> that more officers were charged in police killings that year than ever before, but none</w:t>
      </w:r>
      <w:r w:rsidR="00553DBE" w:rsidRPr="00D920C9">
        <w:rPr>
          <w:rFonts w:asciiTheme="minorHAnsi" w:hAnsiTheme="minorHAnsi"/>
          <w:szCs w:val="20"/>
        </w:rPr>
        <w:t xml:space="preserve"> were found guilty of murder or manslaughter.</w:t>
      </w:r>
      <w:r w:rsidR="00553DBE" w:rsidRPr="00D920C9">
        <w:rPr>
          <w:rFonts w:asciiTheme="minorHAnsi" w:hAnsiTheme="minorHAnsi"/>
          <w:vertAlign w:val="superscript"/>
        </w:rPr>
        <w:footnoteReference w:id="218"/>
      </w:r>
      <w:r w:rsidR="00553DBE" w:rsidRPr="00D920C9">
        <w:rPr>
          <w:rFonts w:asciiTheme="minorHAnsi" w:hAnsiTheme="minorHAnsi"/>
          <w:szCs w:val="20"/>
        </w:rPr>
        <w:t xml:space="preserve"> </w:t>
      </w:r>
      <w:r w:rsidR="00D2531A" w:rsidRPr="00D920C9">
        <w:rPr>
          <w:rFonts w:asciiTheme="minorHAnsi" w:hAnsiTheme="minorHAnsi"/>
          <w:szCs w:val="20"/>
        </w:rPr>
        <w:t>And another</w:t>
      </w:r>
      <w:r w:rsidR="00553DBE" w:rsidRPr="00D920C9">
        <w:rPr>
          <w:rFonts w:asciiTheme="minorHAnsi" w:hAnsiTheme="minorHAnsi"/>
          <w:szCs w:val="20"/>
        </w:rPr>
        <w:t xml:space="preserve"> </w:t>
      </w:r>
      <w:r w:rsidR="00D2531A" w:rsidRPr="00D920C9">
        <w:rPr>
          <w:rFonts w:asciiTheme="minorHAnsi" w:hAnsiTheme="minorHAnsi"/>
          <w:szCs w:val="20"/>
        </w:rPr>
        <w:t>study</w:t>
      </w:r>
      <w:r w:rsidR="00553DBE" w:rsidRPr="00D920C9">
        <w:rPr>
          <w:rFonts w:asciiTheme="minorHAnsi" w:hAnsiTheme="minorHAnsi"/>
          <w:szCs w:val="20"/>
        </w:rPr>
        <w:t xml:space="preserve"> </w:t>
      </w:r>
      <w:r w:rsidR="00D767A5" w:rsidRPr="00D920C9">
        <w:rPr>
          <w:rFonts w:asciiTheme="minorHAnsi" w:hAnsiTheme="minorHAnsi"/>
          <w:szCs w:val="20"/>
        </w:rPr>
        <w:t>tracked</w:t>
      </w:r>
      <w:r w:rsidR="00A756D5" w:rsidRPr="00D920C9">
        <w:rPr>
          <w:rFonts w:asciiTheme="minorHAnsi" w:hAnsiTheme="minorHAnsi"/>
          <w:szCs w:val="20"/>
        </w:rPr>
        <w:t xml:space="preserve"> the outcomes of</w:t>
      </w:r>
      <w:r w:rsidR="00D767A5" w:rsidRPr="00D920C9">
        <w:rPr>
          <w:rFonts w:asciiTheme="minorHAnsi" w:hAnsiTheme="minorHAnsi"/>
          <w:szCs w:val="20"/>
        </w:rPr>
        <w:t xml:space="preserve"> </w:t>
      </w:r>
      <w:r w:rsidR="00A756D5" w:rsidRPr="00D920C9">
        <w:rPr>
          <w:rFonts w:asciiTheme="minorHAnsi" w:hAnsiTheme="minorHAnsi"/>
          <w:szCs w:val="20"/>
        </w:rPr>
        <w:t>thirteen cases of police killings that were captured on video and provoked public outcry between 2014 and 2016</w:t>
      </w:r>
      <w:r w:rsidR="00553DBE" w:rsidRPr="00D920C9">
        <w:rPr>
          <w:rFonts w:asciiTheme="minorHAnsi" w:hAnsiTheme="minorHAnsi"/>
          <w:szCs w:val="20"/>
        </w:rPr>
        <w:t>,</w:t>
      </w:r>
      <w:r w:rsidR="00A756D5" w:rsidRPr="00D920C9">
        <w:rPr>
          <w:rFonts w:asciiTheme="minorHAnsi" w:hAnsiTheme="minorHAnsi"/>
          <w:szCs w:val="20"/>
        </w:rPr>
        <w:t xml:space="preserve"> and found that</w:t>
      </w:r>
      <w:r w:rsidR="00553DBE" w:rsidRPr="00D920C9">
        <w:rPr>
          <w:rFonts w:asciiTheme="minorHAnsi" w:hAnsiTheme="minorHAnsi"/>
          <w:szCs w:val="20"/>
        </w:rPr>
        <w:t xml:space="preserve"> criminal charges have been brought against officers in fewer than half of</w:t>
      </w:r>
      <w:r w:rsidR="00A756D5" w:rsidRPr="00D920C9">
        <w:rPr>
          <w:rFonts w:asciiTheme="minorHAnsi" w:hAnsiTheme="minorHAnsi"/>
          <w:szCs w:val="20"/>
        </w:rPr>
        <w:t xml:space="preserve"> the</w:t>
      </w:r>
      <w:r w:rsidR="00553DBE" w:rsidRPr="00D920C9">
        <w:rPr>
          <w:rFonts w:asciiTheme="minorHAnsi" w:hAnsiTheme="minorHAnsi"/>
          <w:szCs w:val="20"/>
        </w:rPr>
        <w:t xml:space="preserve"> cases.</w:t>
      </w:r>
      <w:r w:rsidR="00553DBE" w:rsidRPr="00D920C9">
        <w:rPr>
          <w:rFonts w:asciiTheme="minorHAnsi" w:hAnsiTheme="minorHAnsi"/>
          <w:vertAlign w:val="superscript"/>
        </w:rPr>
        <w:footnoteReference w:id="219"/>
      </w:r>
      <w:r w:rsidR="00553DBE" w:rsidRPr="00D920C9">
        <w:rPr>
          <w:rFonts w:asciiTheme="minorHAnsi" w:hAnsiTheme="minorHAnsi"/>
          <w:szCs w:val="20"/>
        </w:rPr>
        <w:t xml:space="preserve"> </w:t>
      </w:r>
    </w:p>
    <w:p w14:paraId="61960845" w14:textId="77777777" w:rsidR="00B4412C" w:rsidRPr="00D920C9" w:rsidRDefault="00A756D5" w:rsidP="002C64F8">
      <w:pPr>
        <w:pStyle w:val="ListParagraph"/>
        <w:numPr>
          <w:ilvl w:val="0"/>
          <w:numId w:val="9"/>
        </w:numPr>
        <w:spacing w:after="240" w:line="240" w:lineRule="auto"/>
        <w:ind w:left="547" w:hanging="547"/>
        <w:contextualSpacing w:val="0"/>
        <w:jc w:val="both"/>
        <w:rPr>
          <w:rFonts w:asciiTheme="minorHAnsi" w:hAnsiTheme="minorHAnsi"/>
        </w:rPr>
      </w:pPr>
      <w:bookmarkStart w:id="85" w:name="_Ref507429959"/>
      <w:r w:rsidRPr="00D920C9">
        <w:rPr>
          <w:rFonts w:asciiTheme="minorHAnsi" w:hAnsiTheme="minorHAnsi"/>
          <w:szCs w:val="20"/>
        </w:rPr>
        <w:t xml:space="preserve">The Commission has previously denounced a “reiterated pattern of impunity in the killings of Afro-descendants by police in the United States,” in light of the failure to bring </w:t>
      </w:r>
      <w:r w:rsidR="001D60FA" w:rsidRPr="00D920C9">
        <w:rPr>
          <w:rFonts w:asciiTheme="minorHAnsi" w:hAnsiTheme="minorHAnsi"/>
          <w:szCs w:val="20"/>
        </w:rPr>
        <w:t>police</w:t>
      </w:r>
      <w:r w:rsidRPr="00D920C9">
        <w:rPr>
          <w:rFonts w:asciiTheme="minorHAnsi" w:hAnsiTheme="minorHAnsi"/>
          <w:szCs w:val="20"/>
        </w:rPr>
        <w:t xml:space="preserve"> officers in</w:t>
      </w:r>
      <w:r w:rsidR="001464CB" w:rsidRPr="00D920C9">
        <w:rPr>
          <w:rFonts w:asciiTheme="minorHAnsi" w:hAnsiTheme="minorHAnsi"/>
          <w:szCs w:val="20"/>
        </w:rPr>
        <w:t>volved in the killings of</w:t>
      </w:r>
      <w:r w:rsidR="001464CB" w:rsidRPr="00D920C9">
        <w:rPr>
          <w:rFonts w:asciiTheme="minorHAnsi" w:hAnsiTheme="minorHAnsi"/>
        </w:rPr>
        <w:t xml:space="preserve"> Michael Brown, Eric Garner, </w:t>
      </w:r>
      <w:proofErr w:type="spellStart"/>
      <w:r w:rsidR="001464CB" w:rsidRPr="00D920C9">
        <w:rPr>
          <w:rFonts w:asciiTheme="minorHAnsi" w:hAnsiTheme="minorHAnsi"/>
        </w:rPr>
        <w:t>Tamir</w:t>
      </w:r>
      <w:proofErr w:type="spellEnd"/>
      <w:r w:rsidR="001464CB" w:rsidRPr="00D920C9">
        <w:rPr>
          <w:rFonts w:asciiTheme="minorHAnsi" w:hAnsiTheme="minorHAnsi"/>
        </w:rPr>
        <w:t xml:space="preserve"> Rice, and Freddie Gray, among others</w:t>
      </w:r>
      <w:r w:rsidR="00096E79" w:rsidRPr="00D920C9">
        <w:rPr>
          <w:rFonts w:asciiTheme="minorHAnsi" w:hAnsiTheme="minorHAnsi"/>
        </w:rPr>
        <w:t>, to justice</w:t>
      </w:r>
      <w:r w:rsidR="001464CB" w:rsidRPr="00D920C9">
        <w:rPr>
          <w:rFonts w:asciiTheme="minorHAnsi" w:hAnsiTheme="minorHAnsi"/>
        </w:rPr>
        <w:t>.</w:t>
      </w:r>
      <w:r w:rsidRPr="00D920C9">
        <w:rPr>
          <w:rFonts w:asciiTheme="minorHAnsi" w:hAnsiTheme="minorHAnsi"/>
        </w:rPr>
        <w:t xml:space="preserve"> </w:t>
      </w:r>
      <w:r w:rsidR="001464CB" w:rsidRPr="00D920C9">
        <w:rPr>
          <w:rFonts w:asciiTheme="minorHAnsi" w:hAnsiTheme="minorHAnsi"/>
        </w:rPr>
        <w:t>At that time, the Commission called for the</w:t>
      </w:r>
      <w:r w:rsidRPr="00D920C9">
        <w:rPr>
          <w:rFonts w:asciiTheme="minorHAnsi" w:hAnsiTheme="minorHAnsi"/>
        </w:rPr>
        <w:t xml:space="preserve"> prompt, exhaustive, independent and impartial investigation </w:t>
      </w:r>
      <w:r w:rsidR="001464CB" w:rsidRPr="00D920C9">
        <w:rPr>
          <w:rFonts w:asciiTheme="minorHAnsi" w:hAnsiTheme="minorHAnsi"/>
        </w:rPr>
        <w:t>of these cases</w:t>
      </w:r>
      <w:r w:rsidRPr="00D920C9">
        <w:rPr>
          <w:rFonts w:asciiTheme="minorHAnsi" w:hAnsiTheme="minorHAnsi"/>
        </w:rPr>
        <w:t>, guarantee</w:t>
      </w:r>
      <w:r w:rsidR="001464CB" w:rsidRPr="00D920C9">
        <w:rPr>
          <w:rFonts w:asciiTheme="minorHAnsi" w:hAnsiTheme="minorHAnsi"/>
        </w:rPr>
        <w:t xml:space="preserve">ing </w:t>
      </w:r>
      <w:r w:rsidRPr="00D920C9">
        <w:rPr>
          <w:rFonts w:asciiTheme="minorHAnsi" w:hAnsiTheme="minorHAnsi"/>
        </w:rPr>
        <w:t>access to justice to the victims</w:t>
      </w:r>
      <w:r w:rsidR="00931537" w:rsidRPr="00D920C9">
        <w:rPr>
          <w:rFonts w:asciiTheme="minorHAnsi" w:hAnsiTheme="minorHAnsi"/>
        </w:rPr>
        <w:t>,</w:t>
      </w:r>
      <w:r w:rsidR="00200783" w:rsidRPr="00D920C9">
        <w:rPr>
          <w:rStyle w:val="FootnoteReference"/>
          <w:rFonts w:asciiTheme="minorHAnsi" w:hAnsiTheme="minorHAnsi"/>
        </w:rPr>
        <w:footnoteReference w:id="220"/>
      </w:r>
      <w:r w:rsidR="00931537" w:rsidRPr="00D920C9">
        <w:rPr>
          <w:rFonts w:asciiTheme="minorHAnsi" w:hAnsiTheme="minorHAnsi"/>
        </w:rPr>
        <w:t xml:space="preserve"> and</w:t>
      </w:r>
      <w:r w:rsidRPr="00D920C9">
        <w:rPr>
          <w:rFonts w:asciiTheme="minorHAnsi" w:hAnsiTheme="minorHAnsi"/>
        </w:rPr>
        <w:t xml:space="preserve"> </w:t>
      </w:r>
      <w:r w:rsidR="001464CB" w:rsidRPr="00D920C9">
        <w:rPr>
          <w:rFonts w:asciiTheme="minorHAnsi" w:hAnsiTheme="minorHAnsi"/>
        </w:rPr>
        <w:t>considered</w:t>
      </w:r>
      <w:r w:rsidRPr="00D920C9">
        <w:rPr>
          <w:rFonts w:asciiTheme="minorHAnsi" w:hAnsiTheme="minorHAnsi"/>
        </w:rPr>
        <w:t xml:space="preserve"> that </w:t>
      </w:r>
      <w:r w:rsidR="001464CB" w:rsidRPr="00D920C9">
        <w:rPr>
          <w:rFonts w:asciiTheme="minorHAnsi" w:hAnsiTheme="minorHAnsi"/>
        </w:rPr>
        <w:t xml:space="preserve">an </w:t>
      </w:r>
      <w:r w:rsidRPr="00D920C9">
        <w:rPr>
          <w:rFonts w:asciiTheme="minorHAnsi" w:hAnsiTheme="minorHAnsi"/>
        </w:rPr>
        <w:t>ineffective State response gives rise to high levels of impunity, result</w:t>
      </w:r>
      <w:r w:rsidR="00FE09A1" w:rsidRPr="00D920C9">
        <w:rPr>
          <w:rFonts w:asciiTheme="minorHAnsi" w:hAnsiTheme="minorHAnsi"/>
        </w:rPr>
        <w:t>ing</w:t>
      </w:r>
      <w:r w:rsidRPr="00D920C9">
        <w:rPr>
          <w:rFonts w:asciiTheme="minorHAnsi" w:hAnsiTheme="minorHAnsi"/>
        </w:rPr>
        <w:t xml:space="preserve"> in the chronic repetition of </w:t>
      </w:r>
      <w:r w:rsidR="001464CB" w:rsidRPr="00D920C9">
        <w:rPr>
          <w:rFonts w:asciiTheme="minorHAnsi" w:hAnsiTheme="minorHAnsi"/>
        </w:rPr>
        <w:t>incidents of excessive use of force by police</w:t>
      </w:r>
      <w:r w:rsidR="00FE09A1" w:rsidRPr="00D920C9">
        <w:rPr>
          <w:rFonts w:asciiTheme="minorHAnsi" w:hAnsiTheme="minorHAnsi"/>
        </w:rPr>
        <w:t xml:space="preserve"> and</w:t>
      </w:r>
      <w:r w:rsidRPr="00D920C9">
        <w:rPr>
          <w:rFonts w:asciiTheme="minorHAnsi" w:hAnsiTheme="minorHAnsi"/>
        </w:rPr>
        <w:t xml:space="preserve"> leaving victims and their families defenseless</w:t>
      </w:r>
      <w:r w:rsidR="001464CB" w:rsidRPr="00D920C9">
        <w:rPr>
          <w:rFonts w:asciiTheme="minorHAnsi" w:hAnsiTheme="minorHAnsi"/>
        </w:rPr>
        <w:t>.</w:t>
      </w:r>
      <w:r w:rsidR="001464CB" w:rsidRPr="00D920C9">
        <w:rPr>
          <w:rStyle w:val="FootnoteReference"/>
          <w:rFonts w:asciiTheme="minorHAnsi" w:hAnsiTheme="minorHAnsi"/>
        </w:rPr>
        <w:footnoteReference w:id="221"/>
      </w:r>
      <w:bookmarkEnd w:id="85"/>
    </w:p>
    <w:p w14:paraId="53C8263E" w14:textId="77777777" w:rsidR="00B4412C" w:rsidRPr="00D920C9" w:rsidRDefault="0002252F" w:rsidP="002C64F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rPr>
        <w:t>The Commission has continued to receive information demonstrating a pattern of impunity for officers in police killings</w:t>
      </w:r>
      <w:r w:rsidR="00FD5C42" w:rsidRPr="00D920C9">
        <w:rPr>
          <w:rFonts w:asciiTheme="minorHAnsi" w:hAnsiTheme="minorHAnsi"/>
        </w:rPr>
        <w:t xml:space="preserve"> in </w:t>
      </w:r>
      <w:r w:rsidR="00FD5C42" w:rsidRPr="00D920C9">
        <w:rPr>
          <w:rFonts w:asciiTheme="minorHAnsi" w:hAnsiTheme="minorHAnsi"/>
          <w:szCs w:val="20"/>
        </w:rPr>
        <w:t xml:space="preserve">the </w:t>
      </w:r>
      <w:r w:rsidR="00904A46" w:rsidRPr="00D920C9">
        <w:rPr>
          <w:rFonts w:asciiTheme="minorHAnsi" w:hAnsiTheme="minorHAnsi"/>
          <w:szCs w:val="20"/>
        </w:rPr>
        <w:t>U.S.</w:t>
      </w:r>
      <w:r w:rsidR="00556AEA" w:rsidRPr="00D920C9">
        <w:rPr>
          <w:rFonts w:asciiTheme="minorHAnsi" w:hAnsiTheme="minorHAnsi"/>
          <w:szCs w:val="20"/>
        </w:rPr>
        <w:t xml:space="preserve"> since its 2015 </w:t>
      </w:r>
      <w:r w:rsidR="00305744" w:rsidRPr="00D920C9">
        <w:rPr>
          <w:rFonts w:asciiTheme="minorHAnsi" w:hAnsiTheme="minorHAnsi"/>
          <w:szCs w:val="20"/>
        </w:rPr>
        <w:t xml:space="preserve">on-site </w:t>
      </w:r>
      <w:r w:rsidR="00556AEA" w:rsidRPr="00D920C9">
        <w:rPr>
          <w:rFonts w:asciiTheme="minorHAnsi" w:hAnsiTheme="minorHAnsi"/>
          <w:szCs w:val="20"/>
        </w:rPr>
        <w:t>visit</w:t>
      </w:r>
      <w:r w:rsidR="00FD5C42" w:rsidRPr="00D920C9">
        <w:rPr>
          <w:rFonts w:asciiTheme="minorHAnsi" w:hAnsiTheme="minorHAnsi"/>
          <w:szCs w:val="20"/>
        </w:rPr>
        <w:t xml:space="preserve">, including in the recent cases of </w:t>
      </w:r>
      <w:proofErr w:type="spellStart"/>
      <w:r w:rsidR="00FD5C42" w:rsidRPr="00D920C9">
        <w:rPr>
          <w:rFonts w:asciiTheme="minorHAnsi" w:hAnsiTheme="minorHAnsi"/>
          <w:szCs w:val="20"/>
        </w:rPr>
        <w:t>Philando</w:t>
      </w:r>
      <w:proofErr w:type="spellEnd"/>
      <w:r w:rsidR="00FD5C42" w:rsidRPr="00D920C9">
        <w:rPr>
          <w:rFonts w:asciiTheme="minorHAnsi" w:hAnsiTheme="minorHAnsi"/>
          <w:szCs w:val="20"/>
        </w:rPr>
        <w:t xml:space="preserve"> Castile, Terence Crutcher, Alton Sterling, and Anthony Lamar Smith</w:t>
      </w:r>
      <w:r w:rsidRPr="00D920C9">
        <w:rPr>
          <w:rFonts w:asciiTheme="minorHAnsi" w:hAnsiTheme="minorHAnsi"/>
          <w:szCs w:val="20"/>
        </w:rPr>
        <w:t>.</w:t>
      </w:r>
      <w:r w:rsidR="00FD5C42" w:rsidRPr="00D920C9">
        <w:rPr>
          <w:rFonts w:asciiTheme="minorHAnsi" w:hAnsiTheme="minorHAnsi"/>
          <w:szCs w:val="20"/>
        </w:rPr>
        <w:t xml:space="preserve"> All of these cases ended either without </w:t>
      </w:r>
      <w:r w:rsidR="006D4A9B" w:rsidRPr="00D920C9">
        <w:rPr>
          <w:rFonts w:asciiTheme="minorHAnsi" w:hAnsiTheme="minorHAnsi"/>
          <w:szCs w:val="20"/>
        </w:rPr>
        <w:t>indictment of</w:t>
      </w:r>
      <w:r w:rsidR="00FD5C42" w:rsidRPr="00D920C9">
        <w:rPr>
          <w:rFonts w:asciiTheme="minorHAnsi" w:hAnsiTheme="minorHAnsi"/>
          <w:szCs w:val="20"/>
        </w:rPr>
        <w:t xml:space="preserve"> the officer responsible, or with the officer’s acquittal at trial.</w:t>
      </w:r>
      <w:r w:rsidRPr="00D920C9">
        <w:rPr>
          <w:rFonts w:asciiTheme="minorHAnsi" w:hAnsiTheme="minorHAnsi"/>
          <w:szCs w:val="20"/>
          <w:vertAlign w:val="superscript"/>
        </w:rPr>
        <w:footnoteReference w:id="222"/>
      </w:r>
      <w:r w:rsidRPr="00D920C9">
        <w:rPr>
          <w:rFonts w:asciiTheme="minorHAnsi" w:hAnsiTheme="minorHAnsi"/>
          <w:szCs w:val="20"/>
        </w:rPr>
        <w:t xml:space="preserve"> </w:t>
      </w:r>
    </w:p>
    <w:p w14:paraId="406FF6EF" w14:textId="77777777" w:rsidR="00D7502C" w:rsidRPr="00D920C9" w:rsidRDefault="00D7502C" w:rsidP="002C64F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rPr>
        <w:lastRenderedPageBreak/>
        <w:t>The Commission notes that impunity in cases of police killings has a deep impact on the families of victims, contributes to mistrust between communities and police departments, and ultimately works to undermine the rule of law. The Commission has received extensive testimony from family members of victims of police violence about the lasting impact of the k</w:t>
      </w:r>
      <w:r w:rsidR="00D2531A" w:rsidRPr="00D920C9">
        <w:rPr>
          <w:rFonts w:asciiTheme="minorHAnsi" w:hAnsiTheme="minorHAnsi"/>
          <w:szCs w:val="20"/>
        </w:rPr>
        <w:t>illings on them and their families and communities</w:t>
      </w:r>
      <w:r w:rsidRPr="00D920C9">
        <w:rPr>
          <w:rFonts w:asciiTheme="minorHAnsi" w:hAnsiTheme="minorHAnsi"/>
          <w:szCs w:val="20"/>
        </w:rPr>
        <w:t>.</w:t>
      </w:r>
      <w:r w:rsidRPr="00D920C9">
        <w:rPr>
          <w:rFonts w:asciiTheme="minorHAnsi" w:hAnsiTheme="minorHAnsi"/>
        </w:rPr>
        <w:t xml:space="preserve"> For example, Collette Flanagan, mother of Clinton Allen (killed by a Dallas police officer on March 10, 2013) and </w:t>
      </w:r>
      <w:r w:rsidR="00B54495" w:rsidRPr="00D920C9">
        <w:rPr>
          <w:rFonts w:asciiTheme="minorHAnsi" w:hAnsiTheme="minorHAnsi"/>
        </w:rPr>
        <w:t>co-</w:t>
      </w:r>
      <w:r w:rsidRPr="00D920C9">
        <w:rPr>
          <w:rFonts w:asciiTheme="minorHAnsi" w:hAnsiTheme="minorHAnsi"/>
        </w:rPr>
        <w:t>founder of Mothers Against Police Brutality, testified at a public hearing:</w:t>
      </w:r>
    </w:p>
    <w:tbl>
      <w:tblPr>
        <w:tblStyle w:val="TableGrid"/>
        <w:tblW w:w="0" w:type="auto"/>
        <w:jc w:val="right"/>
        <w:shd w:val="clear" w:color="auto" w:fill="D9D9D9" w:themeFill="background1" w:themeFillShade="D9"/>
        <w:tblLook w:val="04A0" w:firstRow="1" w:lastRow="0" w:firstColumn="1" w:lastColumn="0" w:noHBand="0" w:noVBand="1"/>
      </w:tblPr>
      <w:tblGrid>
        <w:gridCol w:w="7848"/>
      </w:tblGrid>
      <w:tr w:rsidR="003A1642" w:rsidRPr="00D920C9" w14:paraId="78713DB6" w14:textId="77777777" w:rsidTr="003A1642">
        <w:trPr>
          <w:jc w:val="right"/>
        </w:trPr>
        <w:tc>
          <w:tcPr>
            <w:tcW w:w="9029" w:type="dxa"/>
            <w:shd w:val="clear" w:color="auto" w:fill="D9D9D9" w:themeFill="background1" w:themeFillShade="D9"/>
          </w:tcPr>
          <w:p w14:paraId="3FEEF898" w14:textId="7D01B609" w:rsidR="003A1642" w:rsidRPr="00D920C9" w:rsidRDefault="003A1642" w:rsidP="003A1642">
            <w:pPr>
              <w:spacing w:after="240" w:line="240" w:lineRule="auto"/>
              <w:ind w:left="288" w:right="288"/>
              <w:jc w:val="both"/>
              <w:rPr>
                <w:rFonts w:asciiTheme="minorHAnsi" w:hAnsiTheme="minorHAnsi"/>
              </w:rPr>
            </w:pPr>
            <w:r w:rsidRPr="00D920C9">
              <w:rPr>
                <w:rFonts w:asciiTheme="minorHAnsi" w:hAnsiTheme="minorHAnsi"/>
              </w:rPr>
              <w:br/>
              <w:t>When you lose a child, it is the most devastating event that could occur in your lifetime. But when you lose a child to police violence it breaks the social contract, destroying your everyday understanding and belief in your country. The level of betrayal is so awful that it literally changes your DNA. Losing a child this way renders you helpless and hopeless. You lose your will to live and fight everyday just to exist [. . . .] I share this with you because I want you to understand that when our children are unjustly killed by police because of the color of their skin, the turmoil that our</w:t>
            </w:r>
            <w:r w:rsidR="00625D97">
              <w:rPr>
                <w:rFonts w:asciiTheme="minorHAnsi" w:hAnsiTheme="minorHAnsi"/>
              </w:rPr>
              <w:br/>
            </w:r>
            <w:r w:rsidR="00625D97">
              <w:rPr>
                <w:rFonts w:asciiTheme="minorHAnsi" w:hAnsiTheme="minorHAnsi"/>
              </w:rPr>
              <w:br/>
            </w:r>
            <w:r w:rsidRPr="00D920C9">
              <w:rPr>
                <w:rFonts w:asciiTheme="minorHAnsi" w:hAnsiTheme="minorHAnsi"/>
              </w:rPr>
              <w:t xml:space="preserve">families endure [. . . </w:t>
            </w:r>
            <w:proofErr w:type="gramStart"/>
            <w:r w:rsidRPr="00D920C9">
              <w:rPr>
                <w:rFonts w:asciiTheme="minorHAnsi" w:hAnsiTheme="minorHAnsi"/>
              </w:rPr>
              <w:t>. ]</w:t>
            </w:r>
            <w:proofErr w:type="gramEnd"/>
            <w:r w:rsidRPr="00D920C9">
              <w:rPr>
                <w:rFonts w:asciiTheme="minorHAnsi" w:hAnsiTheme="minorHAnsi"/>
              </w:rPr>
              <w:t xml:space="preserve"> is like a powerful tsunami that blows your family to bits. Clinton’s death has reduced Clinton’s father to half the man he once was. His grandmother literally died of a broken heart at 69 years old. </w:t>
            </w:r>
          </w:p>
          <w:p w14:paraId="30E91256" w14:textId="0B9EE525" w:rsidR="003A1642" w:rsidRPr="00D920C9" w:rsidRDefault="003A1642" w:rsidP="003A1642">
            <w:pPr>
              <w:spacing w:after="240" w:line="240" w:lineRule="auto"/>
              <w:ind w:left="288" w:right="288"/>
              <w:jc w:val="both"/>
              <w:rPr>
                <w:rFonts w:asciiTheme="minorHAnsi" w:hAnsiTheme="minorHAnsi"/>
              </w:rPr>
            </w:pPr>
            <w:r w:rsidRPr="00D920C9">
              <w:rPr>
                <w:rFonts w:asciiTheme="minorHAnsi" w:hAnsiTheme="minorHAnsi"/>
              </w:rPr>
              <w:t>Can you imagine being told that you will just have to live with the fact that your child is gone and no one is going to help to obtain justice because his murderer is a police officer?</w:t>
            </w:r>
            <w:r w:rsidRPr="00D920C9">
              <w:rPr>
                <w:rStyle w:val="FootnoteReference"/>
                <w:rFonts w:asciiTheme="minorHAnsi" w:hAnsiTheme="minorHAnsi"/>
              </w:rPr>
              <w:footnoteReference w:id="223"/>
            </w:r>
          </w:p>
        </w:tc>
      </w:tr>
    </w:tbl>
    <w:p w14:paraId="0CAFE936" w14:textId="77777777" w:rsidR="00D7502C" w:rsidRPr="00D920C9" w:rsidRDefault="00D7502C" w:rsidP="0040052F">
      <w:pPr>
        <w:pStyle w:val="ListParagraph"/>
        <w:spacing w:after="0" w:line="240" w:lineRule="auto"/>
        <w:ind w:left="0" w:firstLine="720"/>
        <w:jc w:val="both"/>
        <w:rPr>
          <w:rFonts w:asciiTheme="minorHAnsi" w:hAnsiTheme="minorHAnsi"/>
        </w:rPr>
      </w:pPr>
    </w:p>
    <w:p w14:paraId="53927257" w14:textId="77777777" w:rsidR="00B54495" w:rsidRDefault="00B54495" w:rsidP="002C64F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At the same hearing, Sara </w:t>
      </w:r>
      <w:proofErr w:type="spellStart"/>
      <w:r w:rsidRPr="00D920C9">
        <w:rPr>
          <w:rFonts w:asciiTheme="minorHAnsi" w:hAnsiTheme="minorHAnsi"/>
        </w:rPr>
        <w:t>Mokuria</w:t>
      </w:r>
      <w:proofErr w:type="spellEnd"/>
      <w:r w:rsidRPr="00D920C9">
        <w:rPr>
          <w:rFonts w:asciiTheme="minorHAnsi" w:hAnsiTheme="minorHAnsi"/>
        </w:rPr>
        <w:t xml:space="preserve">, daughter of </w:t>
      </w:r>
      <w:proofErr w:type="spellStart"/>
      <w:r w:rsidRPr="00D920C9">
        <w:rPr>
          <w:rFonts w:asciiTheme="minorHAnsi" w:hAnsiTheme="minorHAnsi"/>
        </w:rPr>
        <w:t>Tesfaye</w:t>
      </w:r>
      <w:proofErr w:type="spellEnd"/>
      <w:r w:rsidRPr="00D920C9">
        <w:rPr>
          <w:rFonts w:asciiTheme="minorHAnsi" w:hAnsiTheme="minorHAnsi"/>
        </w:rPr>
        <w:t xml:space="preserve"> </w:t>
      </w:r>
      <w:proofErr w:type="spellStart"/>
      <w:r w:rsidRPr="00D920C9">
        <w:rPr>
          <w:rFonts w:asciiTheme="minorHAnsi" w:hAnsiTheme="minorHAnsi"/>
        </w:rPr>
        <w:t>Mokuria</w:t>
      </w:r>
      <w:proofErr w:type="spellEnd"/>
      <w:r w:rsidRPr="00D920C9">
        <w:rPr>
          <w:rFonts w:asciiTheme="minorHAnsi" w:hAnsiTheme="minorHAnsi"/>
        </w:rPr>
        <w:t xml:space="preserve"> (killed by Dallas police officers in his home in 1993) and co-founder of Mothers Against Police Brutality, stated: </w:t>
      </w:r>
    </w:p>
    <w:tbl>
      <w:tblPr>
        <w:tblStyle w:val="TableGrid"/>
        <w:tblW w:w="0" w:type="auto"/>
        <w:shd w:val="clear" w:color="auto" w:fill="D9D9D9" w:themeFill="background1" w:themeFillShade="D9"/>
        <w:tblLook w:val="04A0" w:firstRow="1" w:lastRow="0" w:firstColumn="1" w:lastColumn="0" w:noHBand="0" w:noVBand="1"/>
      </w:tblPr>
      <w:tblGrid>
        <w:gridCol w:w="7848"/>
      </w:tblGrid>
      <w:tr w:rsidR="00625D97" w14:paraId="28300B68" w14:textId="77777777" w:rsidTr="00625D97">
        <w:tc>
          <w:tcPr>
            <w:tcW w:w="7848" w:type="dxa"/>
            <w:shd w:val="clear" w:color="auto" w:fill="D9D9D9" w:themeFill="background1" w:themeFillShade="D9"/>
          </w:tcPr>
          <w:p w14:paraId="1E79CF80" w14:textId="479287A1" w:rsidR="00625D97" w:rsidRPr="00D920C9" w:rsidRDefault="00625D97" w:rsidP="00625D97">
            <w:pPr>
              <w:pStyle w:val="ListParagraph"/>
              <w:spacing w:after="0" w:line="240" w:lineRule="auto"/>
              <w:ind w:left="360" w:right="619"/>
              <w:contextualSpacing w:val="0"/>
              <w:jc w:val="both"/>
              <w:rPr>
                <w:rFonts w:asciiTheme="minorHAnsi" w:hAnsiTheme="minorHAnsi"/>
              </w:rPr>
            </w:pPr>
            <w:r>
              <w:rPr>
                <w:rFonts w:asciiTheme="minorHAnsi" w:hAnsiTheme="minorHAnsi"/>
              </w:rPr>
              <w:br/>
            </w:r>
            <w:r w:rsidRPr="00D920C9">
              <w:rPr>
                <w:rFonts w:asciiTheme="minorHAnsi" w:hAnsiTheme="minorHAnsi"/>
              </w:rPr>
              <w:t xml:space="preserve">My father didn’t pass away. He was killed by Dallas police officers who are still on the Dallas police force in front of our entire family. I was ten years old as I watched his body collapse, riddled with bullets. I was standing behind him. I watched as the blood bubbled from his mouth, as my mom, who was holding my one-year-old sister in one hand, gripped my father’s foot with her other hand and wailed and cried. I, in my childhood innocence, asked the officer to call 911 to help him. I was instructed by the officer to change out of my pajamas into clothes, </w:t>
            </w:r>
            <w:r w:rsidR="0004388D">
              <w:rPr>
                <w:rFonts w:asciiTheme="minorHAnsi" w:hAnsiTheme="minorHAnsi"/>
              </w:rPr>
              <w:br/>
            </w:r>
            <w:r w:rsidR="0004388D">
              <w:rPr>
                <w:rFonts w:asciiTheme="minorHAnsi" w:hAnsiTheme="minorHAnsi"/>
              </w:rPr>
              <w:br/>
            </w:r>
            <w:r w:rsidR="0004388D">
              <w:rPr>
                <w:rFonts w:asciiTheme="minorHAnsi" w:hAnsiTheme="minorHAnsi"/>
              </w:rPr>
              <w:lastRenderedPageBreak/>
              <w:br/>
            </w:r>
            <w:r w:rsidRPr="00D920C9">
              <w:rPr>
                <w:rFonts w:asciiTheme="minorHAnsi" w:hAnsiTheme="minorHAnsi"/>
              </w:rPr>
              <w:t xml:space="preserve">and I was put into an officer’s car and was told that I wouldn’t be able to see my mother until I made a statement. I wasn’t reunited with my mother and my sister for hours. My mother fought for two years to get me and my sister considered eligible for counseling services through Crime Victims Compensation. My mother’s friends cleaned up my father’s blood and repaired the carpets in our homes, because most people don’t know that grief-stricken families are the ones not only left to identify lifeless bodies of their loved ones, but also to clean up the blood splattered throughout the crimes scenes of our homes. </w:t>
            </w:r>
          </w:p>
          <w:p w14:paraId="7B87EA2F" w14:textId="421A113B" w:rsidR="00625D97" w:rsidRPr="00625D97" w:rsidRDefault="00625D97" w:rsidP="00625D97">
            <w:pPr>
              <w:pStyle w:val="ListParagraph"/>
              <w:spacing w:after="240" w:line="240" w:lineRule="auto"/>
              <w:ind w:left="288" w:right="288"/>
              <w:jc w:val="both"/>
              <w:rPr>
                <w:rFonts w:asciiTheme="minorHAnsi" w:hAnsiTheme="minorHAnsi"/>
              </w:rPr>
            </w:pPr>
            <w:r w:rsidRPr="00625D97">
              <w:rPr>
                <w:rFonts w:asciiTheme="minorHAnsi" w:hAnsiTheme="minorHAnsi"/>
              </w:rPr>
              <w:tab/>
            </w:r>
            <w:r w:rsidRPr="00625D97">
              <w:rPr>
                <w:rFonts w:asciiTheme="minorHAnsi" w:hAnsiTheme="minorHAnsi"/>
              </w:rPr>
              <w:br/>
              <w:t>I can’t begin to explain how this trauma has impacted my family and my life. It literally shaped me the woman that I am. I jump at loud noises when people walk up on me too fast. It scares me. Most people think it is entertaining but it is a symptom of post-traumatic stress disorder. This type of trauma has affected everything from my memory to physical health. The physical, emotional, financial, and social impact on families are immeasurable. The trauma ripples throughout the entire community.</w:t>
            </w:r>
            <w:r w:rsidRPr="00D920C9">
              <w:rPr>
                <w:rStyle w:val="FootnoteReference"/>
                <w:rFonts w:asciiTheme="minorHAnsi" w:hAnsiTheme="minorHAnsi"/>
              </w:rPr>
              <w:footnoteReference w:id="224"/>
            </w:r>
          </w:p>
        </w:tc>
      </w:tr>
    </w:tbl>
    <w:p w14:paraId="69C971DD" w14:textId="77777777" w:rsidR="003A1642" w:rsidRPr="00D920C9" w:rsidRDefault="003A1642" w:rsidP="003A1642">
      <w:pPr>
        <w:spacing w:after="240" w:line="240" w:lineRule="auto"/>
        <w:jc w:val="both"/>
        <w:rPr>
          <w:rFonts w:asciiTheme="minorHAnsi" w:hAnsiTheme="minorHAnsi"/>
        </w:rPr>
      </w:pPr>
    </w:p>
    <w:p w14:paraId="5BD4B75C" w14:textId="77777777" w:rsidR="00224D66" w:rsidRPr="00D920C9" w:rsidRDefault="00224D66" w:rsidP="003A1642">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The Commission additionally notes information regarding the death of Erica Garner, daughter of Eric Garner, on December 30, 2017 due to causes potentially related to her father’s death. Ms. Garner was 27 years old and reportedly died one week after being placed in a medically induced coma following an episode that precipitated a major heart attack.</w:t>
      </w:r>
      <w:r w:rsidRPr="00D920C9">
        <w:rPr>
          <w:rStyle w:val="FootnoteReference"/>
          <w:rFonts w:asciiTheme="minorHAnsi" w:hAnsiTheme="minorHAnsi"/>
        </w:rPr>
        <w:footnoteReference w:id="225"/>
      </w:r>
      <w:r w:rsidRPr="00D920C9">
        <w:rPr>
          <w:rFonts w:asciiTheme="minorHAnsi" w:hAnsiTheme="minorHAnsi"/>
        </w:rPr>
        <w:t xml:space="preserve"> The Commission noted that she had publicly referred earlier that month to the stress she experienced in pursuing her struggle for racial justice; she stated: “This thing, it beats you down. The system beats you down to where you can’t win.”</w:t>
      </w:r>
      <w:r w:rsidRPr="00D920C9">
        <w:rPr>
          <w:rStyle w:val="FootnoteReference"/>
          <w:rFonts w:asciiTheme="minorHAnsi" w:hAnsiTheme="minorHAnsi"/>
        </w:rPr>
        <w:footnoteReference w:id="226"/>
      </w:r>
    </w:p>
    <w:p w14:paraId="0A8B326C" w14:textId="77777777" w:rsidR="00090FAD" w:rsidRPr="00D920C9" w:rsidRDefault="00BA17C5" w:rsidP="003A1642">
      <w:pPr>
        <w:pStyle w:val="ListParagraph"/>
        <w:numPr>
          <w:ilvl w:val="0"/>
          <w:numId w:val="9"/>
        </w:numPr>
        <w:spacing w:after="240" w:line="240" w:lineRule="auto"/>
        <w:ind w:left="547" w:hanging="547"/>
        <w:contextualSpacing w:val="0"/>
        <w:jc w:val="both"/>
        <w:rPr>
          <w:rFonts w:asciiTheme="minorHAnsi" w:hAnsiTheme="minorHAnsi"/>
        </w:rPr>
      </w:pPr>
      <w:bookmarkStart w:id="86" w:name="_Ref507429069"/>
      <w:r w:rsidRPr="00D920C9">
        <w:rPr>
          <w:rFonts w:asciiTheme="minorHAnsi" w:eastAsia="Times New Roman" w:hAnsiTheme="minorHAnsi"/>
          <w:lang w:eastAsia="es-ES"/>
        </w:rPr>
        <w:t>The Commission has received information</w:t>
      </w:r>
      <w:r w:rsidR="00F178C8" w:rsidRPr="00D920C9">
        <w:rPr>
          <w:rFonts w:asciiTheme="minorHAnsi" w:eastAsia="Times New Roman" w:hAnsiTheme="minorHAnsi"/>
          <w:lang w:eastAsia="es-ES"/>
        </w:rPr>
        <w:t xml:space="preserve"> </w:t>
      </w:r>
      <w:r w:rsidRPr="00D920C9">
        <w:rPr>
          <w:rFonts w:asciiTheme="minorHAnsi" w:eastAsia="Times New Roman" w:hAnsiTheme="minorHAnsi"/>
          <w:lang w:eastAsia="es-ES"/>
        </w:rPr>
        <w:t xml:space="preserve">indicating that the role of grand juries and prosecutors in the criminal justice system may aggravate problems of police impunity. Although evidence </w:t>
      </w:r>
      <w:r w:rsidR="00096E79" w:rsidRPr="00D920C9">
        <w:rPr>
          <w:rFonts w:asciiTheme="minorHAnsi" w:eastAsia="Times New Roman" w:hAnsiTheme="minorHAnsi"/>
          <w:lang w:eastAsia="es-ES"/>
        </w:rPr>
        <w:t>about</w:t>
      </w:r>
      <w:r w:rsidRPr="00D920C9">
        <w:rPr>
          <w:rFonts w:asciiTheme="minorHAnsi" w:eastAsia="Times New Roman" w:hAnsiTheme="minorHAnsi"/>
          <w:lang w:eastAsia="es-ES"/>
        </w:rPr>
        <w:t xml:space="preserve"> the role of grand juries is mixed, studies have found that the secretive nature of grand juries and deliberations, a lack of transparent selection processes, a lack of diversity in jury pools, and the role of prosecutors in </w:t>
      </w:r>
      <w:r w:rsidRPr="00D920C9">
        <w:rPr>
          <w:rFonts w:asciiTheme="minorHAnsi" w:hAnsiTheme="minorHAnsi"/>
        </w:rPr>
        <w:t>guiding</w:t>
      </w:r>
      <w:r w:rsidRPr="00D920C9">
        <w:rPr>
          <w:rFonts w:asciiTheme="minorHAnsi" w:eastAsia="Times New Roman" w:hAnsiTheme="minorHAnsi"/>
          <w:lang w:eastAsia="es-ES"/>
        </w:rPr>
        <w:t xml:space="preserve"> the grand jury process and instructing on the law are factors that may impact the likelihood that a grand jury will elect not to approve criminal charges </w:t>
      </w:r>
      <w:r w:rsidRPr="00D920C9">
        <w:rPr>
          <w:rFonts w:asciiTheme="minorHAnsi" w:eastAsia="Times New Roman" w:hAnsiTheme="minorHAnsi"/>
          <w:lang w:eastAsia="es-ES"/>
        </w:rPr>
        <w:lastRenderedPageBreak/>
        <w:t>against police officers in cases of killings.</w:t>
      </w:r>
      <w:r w:rsidRPr="00D920C9">
        <w:rPr>
          <w:rStyle w:val="FootnoteReference"/>
          <w:rFonts w:asciiTheme="minorHAnsi" w:eastAsia="Times New Roman" w:hAnsiTheme="minorHAnsi"/>
          <w:lang w:eastAsia="es-ES"/>
        </w:rPr>
        <w:footnoteReference w:id="227"/>
      </w:r>
      <w:r w:rsidRPr="00D920C9">
        <w:rPr>
          <w:rFonts w:asciiTheme="minorHAnsi" w:eastAsia="Times New Roman" w:hAnsiTheme="minorHAnsi"/>
          <w:lang w:eastAsia="es-ES"/>
        </w:rPr>
        <w:t xml:space="preserve"> </w:t>
      </w:r>
      <w:r w:rsidR="00EA1368" w:rsidRPr="00D920C9">
        <w:rPr>
          <w:rFonts w:asciiTheme="minorHAnsi" w:eastAsia="Times New Roman" w:hAnsiTheme="minorHAnsi"/>
          <w:lang w:eastAsia="es-ES"/>
        </w:rPr>
        <w:t>While national data and systematic studies of these phenomena do not exist, one study found, for example, that grand juries in Dallas, Texas declined to indict 174 of the 175 police officers who faced investigation over a four-year period.</w:t>
      </w:r>
      <w:r w:rsidR="00EA1368" w:rsidRPr="00D920C9">
        <w:rPr>
          <w:rStyle w:val="FootnoteReference"/>
          <w:rFonts w:asciiTheme="minorHAnsi" w:eastAsia="Times New Roman" w:hAnsiTheme="minorHAnsi"/>
          <w:lang w:eastAsia="es-ES"/>
        </w:rPr>
        <w:footnoteReference w:id="228"/>
      </w:r>
      <w:bookmarkEnd w:id="86"/>
      <w:r w:rsidR="00EA1368" w:rsidRPr="00D920C9">
        <w:rPr>
          <w:rFonts w:asciiTheme="minorHAnsi" w:eastAsia="Times New Roman" w:hAnsiTheme="minorHAnsi"/>
          <w:lang w:eastAsia="es-ES"/>
        </w:rPr>
        <w:t xml:space="preserve"> </w:t>
      </w:r>
    </w:p>
    <w:p w14:paraId="1919FF3A" w14:textId="77777777" w:rsidR="00BA17C5" w:rsidRPr="00D920C9" w:rsidRDefault="00BA17C5" w:rsidP="003A1642">
      <w:pPr>
        <w:pStyle w:val="ListParagraph"/>
        <w:numPr>
          <w:ilvl w:val="0"/>
          <w:numId w:val="9"/>
        </w:numPr>
        <w:spacing w:after="240" w:line="240" w:lineRule="auto"/>
        <w:ind w:left="547" w:hanging="547"/>
        <w:contextualSpacing w:val="0"/>
        <w:jc w:val="both"/>
        <w:rPr>
          <w:rFonts w:asciiTheme="minorHAnsi" w:hAnsiTheme="minorHAnsi"/>
        </w:rPr>
      </w:pPr>
      <w:bookmarkStart w:id="87" w:name="_Ref507429070"/>
      <w:r w:rsidRPr="00D920C9">
        <w:rPr>
          <w:rFonts w:asciiTheme="minorHAnsi" w:eastAsia="Times New Roman" w:hAnsiTheme="minorHAnsi"/>
          <w:lang w:eastAsia="es-ES"/>
        </w:rPr>
        <w:t xml:space="preserve">Regarding the role of prosecutors, the Commission has received information </w:t>
      </w:r>
      <w:r w:rsidR="00F178C8" w:rsidRPr="00D920C9">
        <w:rPr>
          <w:rFonts w:asciiTheme="minorHAnsi" w:eastAsia="Times New Roman" w:hAnsiTheme="minorHAnsi"/>
          <w:lang w:eastAsia="es-ES"/>
        </w:rPr>
        <w:t xml:space="preserve">from civil society </w:t>
      </w:r>
      <w:r w:rsidRPr="00D920C9">
        <w:rPr>
          <w:rFonts w:asciiTheme="minorHAnsi" w:eastAsia="Times New Roman" w:hAnsiTheme="minorHAnsi"/>
          <w:lang w:eastAsia="es-ES"/>
        </w:rPr>
        <w:t xml:space="preserve">indicating that “prosecutors who rely on good relations with the police to effectively perform their jobs are reluctant to </w:t>
      </w:r>
      <w:r w:rsidRPr="00D920C9">
        <w:rPr>
          <w:rFonts w:asciiTheme="minorHAnsi" w:hAnsiTheme="minorHAnsi"/>
        </w:rPr>
        <w:t>bring</w:t>
      </w:r>
      <w:r w:rsidRPr="00D920C9">
        <w:rPr>
          <w:rFonts w:asciiTheme="minorHAnsi" w:eastAsia="Times New Roman" w:hAnsiTheme="minorHAnsi"/>
          <w:lang w:eastAsia="es-ES"/>
        </w:rPr>
        <w:t xml:space="preserve"> charges and employ a number of tactics—such as the use of flawed grand jury processes, advantageous plea deals, and disproportionately low sentencing recommendations—to shield police from full accountability.”</w:t>
      </w:r>
      <w:r w:rsidRPr="00D920C9">
        <w:rPr>
          <w:rStyle w:val="FootnoteReference"/>
          <w:rFonts w:asciiTheme="minorHAnsi" w:eastAsia="Times New Roman" w:hAnsiTheme="minorHAnsi"/>
          <w:lang w:eastAsia="es-ES"/>
        </w:rPr>
        <w:footnoteReference w:id="229"/>
      </w:r>
      <w:r w:rsidR="00C22DB3" w:rsidRPr="00D920C9">
        <w:rPr>
          <w:rFonts w:asciiTheme="minorHAnsi" w:eastAsia="Times New Roman" w:hAnsiTheme="minorHAnsi"/>
          <w:lang w:eastAsia="es-ES"/>
        </w:rPr>
        <w:t xml:space="preserve"> </w:t>
      </w:r>
      <w:r w:rsidR="00401DF8" w:rsidRPr="00D920C9">
        <w:rPr>
          <w:rFonts w:asciiTheme="minorHAnsi" w:eastAsia="Times New Roman" w:hAnsiTheme="minorHAnsi"/>
          <w:lang w:eastAsia="es-ES"/>
        </w:rPr>
        <w:t>A</w:t>
      </w:r>
      <w:r w:rsidR="00C22DB3" w:rsidRPr="00D920C9">
        <w:rPr>
          <w:rFonts w:asciiTheme="minorHAnsi" w:eastAsia="Times New Roman" w:hAnsiTheme="minorHAnsi"/>
          <w:lang w:eastAsia="es-ES"/>
        </w:rPr>
        <w:t>vailable information indicates that because t</w:t>
      </w:r>
      <w:r w:rsidR="00090FAD" w:rsidRPr="00D920C9">
        <w:rPr>
          <w:rFonts w:asciiTheme="minorHAnsi" w:eastAsia="Times New Roman" w:hAnsiTheme="minorHAnsi"/>
          <w:lang w:eastAsia="es-ES"/>
        </w:rPr>
        <w:t xml:space="preserve">he initiation of a criminal investigation </w:t>
      </w:r>
      <w:r w:rsidR="00C22DB3" w:rsidRPr="00D920C9">
        <w:rPr>
          <w:rFonts w:asciiTheme="minorHAnsi" w:eastAsia="Times New Roman" w:hAnsiTheme="minorHAnsi"/>
          <w:lang w:eastAsia="es-ES"/>
        </w:rPr>
        <w:t>relies</w:t>
      </w:r>
      <w:r w:rsidR="00090FAD" w:rsidRPr="00D920C9">
        <w:rPr>
          <w:rFonts w:asciiTheme="minorHAnsi" w:eastAsia="Times New Roman" w:hAnsiTheme="minorHAnsi"/>
          <w:lang w:eastAsia="es-ES"/>
        </w:rPr>
        <w:t xml:space="preserve"> upon prosecutorial discretion, </w:t>
      </w:r>
      <w:r w:rsidR="00C22DB3" w:rsidRPr="00D920C9">
        <w:rPr>
          <w:rFonts w:asciiTheme="minorHAnsi" w:eastAsia="Times New Roman" w:hAnsiTheme="minorHAnsi"/>
          <w:lang w:eastAsia="es-ES"/>
        </w:rPr>
        <w:t>“</w:t>
      </w:r>
      <w:r w:rsidR="00090FAD" w:rsidRPr="00D920C9">
        <w:rPr>
          <w:rFonts w:asciiTheme="minorHAnsi" w:eastAsia="Times New Roman" w:hAnsiTheme="minorHAnsi"/>
          <w:lang w:eastAsia="es-ES"/>
        </w:rPr>
        <w:t>which is often marred by resource constraints, pressure from police unions, and bias in favor of the police due to the working relationship between prosecutors and officers</w:t>
      </w:r>
      <w:r w:rsidR="00C22DB3" w:rsidRPr="00D920C9">
        <w:rPr>
          <w:rFonts w:asciiTheme="minorHAnsi" w:eastAsia="Times New Roman" w:hAnsiTheme="minorHAnsi"/>
          <w:lang w:eastAsia="es-ES"/>
        </w:rPr>
        <w:t>,”</w:t>
      </w:r>
      <w:r w:rsidR="00090FAD" w:rsidRPr="00D920C9">
        <w:rPr>
          <w:rFonts w:asciiTheme="minorHAnsi" w:eastAsia="Times New Roman" w:hAnsiTheme="minorHAnsi"/>
          <w:lang w:eastAsia="es-ES"/>
        </w:rPr>
        <w:t xml:space="preserve"> prosecutors </w:t>
      </w:r>
      <w:r w:rsidR="00C22DB3" w:rsidRPr="00D920C9">
        <w:rPr>
          <w:rFonts w:asciiTheme="minorHAnsi" w:eastAsia="Times New Roman" w:hAnsiTheme="minorHAnsi"/>
          <w:lang w:eastAsia="es-ES"/>
        </w:rPr>
        <w:t>may be</w:t>
      </w:r>
      <w:r w:rsidR="00090FAD" w:rsidRPr="00D920C9">
        <w:rPr>
          <w:rFonts w:asciiTheme="minorHAnsi" w:eastAsia="Times New Roman" w:hAnsiTheme="minorHAnsi"/>
          <w:lang w:eastAsia="es-ES"/>
        </w:rPr>
        <w:t xml:space="preserve"> less likely to file charges against police officers than civilian</w:t>
      </w:r>
      <w:r w:rsidR="00305744" w:rsidRPr="00D920C9">
        <w:rPr>
          <w:rFonts w:asciiTheme="minorHAnsi" w:eastAsia="Times New Roman" w:hAnsiTheme="minorHAnsi"/>
          <w:lang w:eastAsia="es-ES"/>
        </w:rPr>
        <w:t>s</w:t>
      </w:r>
      <w:r w:rsidR="00090FAD" w:rsidRPr="00D920C9">
        <w:rPr>
          <w:rFonts w:asciiTheme="minorHAnsi" w:eastAsia="Times New Roman" w:hAnsiTheme="minorHAnsi"/>
          <w:lang w:eastAsia="es-ES"/>
        </w:rPr>
        <w:t>.</w:t>
      </w:r>
      <w:r w:rsidR="00090FAD" w:rsidRPr="00D920C9">
        <w:rPr>
          <w:rStyle w:val="FootnoteReference"/>
          <w:rFonts w:asciiTheme="minorHAnsi" w:eastAsia="Times New Roman" w:hAnsiTheme="minorHAnsi"/>
          <w:lang w:eastAsia="es-ES"/>
        </w:rPr>
        <w:footnoteReference w:id="230"/>
      </w:r>
      <w:r w:rsidR="00C22DB3" w:rsidRPr="00D920C9">
        <w:rPr>
          <w:rFonts w:asciiTheme="minorHAnsi" w:eastAsia="Times New Roman" w:hAnsiTheme="minorHAnsi"/>
          <w:lang w:eastAsia="es-ES"/>
        </w:rPr>
        <w:t xml:space="preserve"> Furthermore, </w:t>
      </w:r>
      <w:r w:rsidR="00C31FA3" w:rsidRPr="00D920C9">
        <w:rPr>
          <w:rFonts w:asciiTheme="minorHAnsi" w:eastAsia="Times New Roman" w:hAnsiTheme="minorHAnsi"/>
          <w:lang w:eastAsia="es-ES"/>
        </w:rPr>
        <w:t>available information indicates that the difficulty of proving criminal charges against police officers and the generally short sentences handed down in the event of a conviction also fail to deter police violence.</w:t>
      </w:r>
      <w:r w:rsidR="00C31FA3" w:rsidRPr="00D920C9">
        <w:rPr>
          <w:rStyle w:val="FootnoteReference"/>
          <w:rFonts w:asciiTheme="minorHAnsi" w:eastAsia="Times New Roman" w:hAnsiTheme="minorHAnsi"/>
          <w:lang w:eastAsia="es-ES"/>
        </w:rPr>
        <w:footnoteReference w:id="231"/>
      </w:r>
      <w:bookmarkEnd w:id="87"/>
    </w:p>
    <w:p w14:paraId="15610B12" w14:textId="52AA12DA" w:rsidR="00866BD2" w:rsidRPr="00D920C9" w:rsidRDefault="00866BD2" w:rsidP="003A1642">
      <w:pPr>
        <w:pStyle w:val="ListParagraph"/>
        <w:numPr>
          <w:ilvl w:val="0"/>
          <w:numId w:val="9"/>
        </w:numPr>
        <w:spacing w:after="240" w:line="240" w:lineRule="auto"/>
        <w:ind w:left="547" w:hanging="547"/>
        <w:contextualSpacing w:val="0"/>
        <w:jc w:val="both"/>
        <w:rPr>
          <w:rFonts w:asciiTheme="minorHAnsi" w:hAnsiTheme="minorHAnsi"/>
        </w:rPr>
      </w:pPr>
      <w:bookmarkStart w:id="88" w:name="_Ref507429434"/>
      <w:r w:rsidRPr="00D920C9">
        <w:rPr>
          <w:rFonts w:asciiTheme="minorHAnsi" w:hAnsiTheme="minorHAnsi"/>
        </w:rPr>
        <w:t>The Commission</w:t>
      </w:r>
      <w:r w:rsidR="00E94964" w:rsidRPr="00D920C9">
        <w:rPr>
          <w:rFonts w:asciiTheme="minorHAnsi" w:hAnsiTheme="minorHAnsi"/>
        </w:rPr>
        <w:t xml:space="preserve"> affirms that </w:t>
      </w:r>
      <w:r w:rsidR="00FE09A1" w:rsidRPr="00D920C9">
        <w:rPr>
          <w:rFonts w:asciiTheme="minorHAnsi" w:hAnsiTheme="minorHAnsi"/>
        </w:rPr>
        <w:t>internal affairs units of police departments represent important control mechanisms</w:t>
      </w:r>
      <w:r w:rsidR="00232DEA" w:rsidRPr="00D920C9">
        <w:rPr>
          <w:rFonts w:asciiTheme="minorHAnsi" w:hAnsiTheme="minorHAnsi"/>
        </w:rPr>
        <w:t xml:space="preserve"> and contribute to the collection of official statistics about disciplinary complaints</w:t>
      </w:r>
      <w:r w:rsidR="00FE09A1" w:rsidRPr="00D920C9">
        <w:rPr>
          <w:rFonts w:asciiTheme="minorHAnsi" w:hAnsiTheme="minorHAnsi"/>
        </w:rPr>
        <w:t>; however, it has</w:t>
      </w:r>
      <w:r w:rsidRPr="00D920C9">
        <w:rPr>
          <w:rFonts w:asciiTheme="minorHAnsi" w:hAnsiTheme="minorHAnsi"/>
        </w:rPr>
        <w:t xml:space="preserve"> received information indicating that internal investigations into police killings tend to be ineffective remedies </w:t>
      </w:r>
      <w:r w:rsidR="00FE09A1" w:rsidRPr="00D920C9">
        <w:rPr>
          <w:rFonts w:asciiTheme="minorHAnsi" w:hAnsiTheme="minorHAnsi"/>
        </w:rPr>
        <w:t xml:space="preserve">in practice </w:t>
      </w:r>
      <w:r w:rsidRPr="00D920C9">
        <w:rPr>
          <w:rFonts w:asciiTheme="minorHAnsi" w:hAnsiTheme="minorHAnsi"/>
        </w:rPr>
        <w:t>as they are expensive, time-consuming, and not transparent.</w:t>
      </w:r>
      <w:r w:rsidRPr="00D920C9">
        <w:rPr>
          <w:rStyle w:val="FootnoteReference"/>
          <w:rFonts w:asciiTheme="minorHAnsi" w:hAnsiTheme="minorHAnsi"/>
        </w:rPr>
        <w:footnoteReference w:id="232"/>
      </w:r>
      <w:r w:rsidRPr="00D920C9">
        <w:rPr>
          <w:rFonts w:asciiTheme="minorHAnsi" w:hAnsiTheme="minorHAnsi"/>
        </w:rPr>
        <w:t xml:space="preserve"> Internal investigations in particular rarely result in positive outcomes for victims. </w:t>
      </w:r>
      <w:r w:rsidR="00C22DB3" w:rsidRPr="00D920C9">
        <w:rPr>
          <w:rFonts w:asciiTheme="minorHAnsi" w:hAnsiTheme="minorHAnsi"/>
        </w:rPr>
        <w:t>For example, information from the</w:t>
      </w:r>
      <w:r w:rsidRPr="00D920C9">
        <w:rPr>
          <w:rFonts w:asciiTheme="minorHAnsi" w:hAnsiTheme="minorHAnsi"/>
        </w:rPr>
        <w:t xml:space="preserve"> Bureau of Justice Statistics </w:t>
      </w:r>
      <w:r w:rsidR="00C22DB3" w:rsidRPr="00D920C9">
        <w:rPr>
          <w:rFonts w:asciiTheme="minorHAnsi" w:hAnsiTheme="minorHAnsi"/>
        </w:rPr>
        <w:t>indicates that 92</w:t>
      </w:r>
      <w:r w:rsidRPr="00D920C9">
        <w:rPr>
          <w:rFonts w:asciiTheme="minorHAnsi" w:hAnsiTheme="minorHAnsi"/>
        </w:rPr>
        <w:t xml:space="preserve"> percent of use of force complaints filed with large state and local law enforcement agencies were dismissed.</w:t>
      </w:r>
      <w:r w:rsidRPr="00D920C9">
        <w:rPr>
          <w:rStyle w:val="FootnoteReference"/>
          <w:rFonts w:asciiTheme="minorHAnsi" w:hAnsiTheme="minorHAnsi"/>
        </w:rPr>
        <w:footnoteReference w:id="233"/>
      </w:r>
      <w:r w:rsidRPr="00D920C9">
        <w:rPr>
          <w:rFonts w:asciiTheme="minorHAnsi" w:hAnsiTheme="minorHAnsi"/>
        </w:rPr>
        <w:t xml:space="preserve"> </w:t>
      </w:r>
      <w:r w:rsidR="00EF2013" w:rsidRPr="00D920C9">
        <w:rPr>
          <w:rFonts w:asciiTheme="minorHAnsi" w:hAnsiTheme="minorHAnsi"/>
        </w:rPr>
        <w:t xml:space="preserve">Many municipal police departments in the </w:t>
      </w:r>
      <w:r w:rsidR="006D4A9B" w:rsidRPr="00D920C9">
        <w:rPr>
          <w:rFonts w:asciiTheme="minorHAnsi" w:hAnsiTheme="minorHAnsi"/>
        </w:rPr>
        <w:t>U.S.</w:t>
      </w:r>
      <w:r w:rsidR="00EF2013" w:rsidRPr="00D920C9">
        <w:rPr>
          <w:rFonts w:asciiTheme="minorHAnsi" w:hAnsiTheme="minorHAnsi"/>
        </w:rPr>
        <w:t xml:space="preserve"> do not </w:t>
      </w:r>
      <w:r w:rsidR="00EF2013" w:rsidRPr="00D920C9">
        <w:rPr>
          <w:rFonts w:asciiTheme="minorHAnsi" w:hAnsiTheme="minorHAnsi"/>
        </w:rPr>
        <w:lastRenderedPageBreak/>
        <w:t>even have an independent internal affairs department.</w:t>
      </w:r>
      <w:r w:rsidR="00EF2013" w:rsidRPr="00D920C9">
        <w:rPr>
          <w:rStyle w:val="FootnoteReference"/>
          <w:rFonts w:asciiTheme="minorHAnsi" w:hAnsiTheme="minorHAnsi"/>
        </w:rPr>
        <w:footnoteReference w:id="234"/>
      </w:r>
      <w:r w:rsidR="00EF2013" w:rsidRPr="00D920C9">
        <w:rPr>
          <w:rFonts w:asciiTheme="minorHAnsi" w:hAnsiTheme="minorHAnsi"/>
        </w:rPr>
        <w:t xml:space="preserve"> </w:t>
      </w:r>
      <w:r w:rsidR="00C22DB3" w:rsidRPr="00D920C9">
        <w:rPr>
          <w:rFonts w:asciiTheme="minorHAnsi" w:hAnsiTheme="minorHAnsi"/>
        </w:rPr>
        <w:t>At the state level,</w:t>
      </w:r>
      <w:r w:rsidRPr="00D920C9">
        <w:rPr>
          <w:rFonts w:asciiTheme="minorHAnsi" w:hAnsiTheme="minorHAnsi"/>
        </w:rPr>
        <w:t xml:space="preserve"> statutes limit the time, place, and </w:t>
      </w:r>
      <w:r w:rsidR="00C22DB3" w:rsidRPr="00D920C9">
        <w:rPr>
          <w:rFonts w:asciiTheme="minorHAnsi" w:hAnsiTheme="minorHAnsi"/>
        </w:rPr>
        <w:t>manner</w:t>
      </w:r>
      <w:r w:rsidRPr="00D920C9">
        <w:rPr>
          <w:rFonts w:asciiTheme="minorHAnsi" w:hAnsiTheme="minorHAnsi"/>
        </w:rPr>
        <w:t xml:space="preserve"> </w:t>
      </w:r>
      <w:r w:rsidR="00C22DB3" w:rsidRPr="00D920C9">
        <w:rPr>
          <w:rFonts w:asciiTheme="minorHAnsi" w:hAnsiTheme="minorHAnsi"/>
        </w:rPr>
        <w:t>for filing</w:t>
      </w:r>
      <w:r w:rsidRPr="00D920C9">
        <w:rPr>
          <w:rFonts w:asciiTheme="minorHAnsi" w:hAnsiTheme="minorHAnsi"/>
        </w:rPr>
        <w:t xml:space="preserve"> complaints, and police agencies discourage such report</w:t>
      </w:r>
      <w:r w:rsidR="001E4021" w:rsidRPr="00D920C9">
        <w:rPr>
          <w:rFonts w:asciiTheme="minorHAnsi" w:hAnsiTheme="minorHAnsi"/>
        </w:rPr>
        <w:t>s</w:t>
      </w:r>
      <w:r w:rsidRPr="00D920C9">
        <w:rPr>
          <w:rFonts w:asciiTheme="minorHAnsi" w:hAnsiTheme="minorHAnsi"/>
        </w:rPr>
        <w:t>.</w:t>
      </w:r>
      <w:r w:rsidRPr="00D920C9">
        <w:rPr>
          <w:rStyle w:val="FootnoteReference"/>
          <w:rFonts w:asciiTheme="minorHAnsi" w:hAnsiTheme="minorHAnsi"/>
        </w:rPr>
        <w:footnoteReference w:id="235"/>
      </w:r>
      <w:r w:rsidRPr="00D920C9">
        <w:rPr>
          <w:rFonts w:asciiTheme="minorHAnsi" w:hAnsiTheme="minorHAnsi"/>
        </w:rPr>
        <w:t xml:space="preserve"> </w:t>
      </w:r>
      <w:r w:rsidR="00C22DB3" w:rsidRPr="00D920C9">
        <w:rPr>
          <w:rFonts w:asciiTheme="minorHAnsi" w:hAnsiTheme="minorHAnsi"/>
        </w:rPr>
        <w:t>Internal investigations may also be hindered by problems with witnesses and departmental cultures of secrecy</w:t>
      </w:r>
      <w:r w:rsidRPr="00D920C9">
        <w:rPr>
          <w:rFonts w:asciiTheme="minorHAnsi" w:hAnsiTheme="minorHAnsi"/>
        </w:rPr>
        <w:t>.</w:t>
      </w:r>
      <w:r w:rsidRPr="00D920C9">
        <w:rPr>
          <w:rStyle w:val="FootnoteReference"/>
          <w:rFonts w:asciiTheme="minorHAnsi" w:hAnsiTheme="minorHAnsi"/>
        </w:rPr>
        <w:footnoteReference w:id="236"/>
      </w:r>
      <w:r w:rsidR="00335CDD" w:rsidRPr="00D920C9">
        <w:rPr>
          <w:rFonts w:asciiTheme="minorHAnsi" w:hAnsiTheme="minorHAnsi"/>
        </w:rPr>
        <w:t xml:space="preserve"> And in some states, police officers are afforded special protections in misconduct investigations.</w:t>
      </w:r>
      <w:r w:rsidR="00335CDD" w:rsidRPr="00D920C9">
        <w:rPr>
          <w:rStyle w:val="FootnoteReference"/>
          <w:rFonts w:asciiTheme="minorHAnsi" w:hAnsiTheme="minorHAnsi"/>
        </w:rPr>
        <w:footnoteReference w:id="237"/>
      </w:r>
      <w:bookmarkEnd w:id="88"/>
      <w:r w:rsidR="00232DEA" w:rsidRPr="00D920C9">
        <w:rPr>
          <w:rFonts w:asciiTheme="minorHAnsi" w:hAnsiTheme="minorHAnsi"/>
        </w:rPr>
        <w:t xml:space="preserve"> These issues are</w:t>
      </w:r>
      <w:r w:rsidR="005718A7" w:rsidRPr="00D920C9">
        <w:rPr>
          <w:rFonts w:asciiTheme="minorHAnsi" w:hAnsiTheme="minorHAnsi"/>
        </w:rPr>
        <w:t xml:space="preserve"> further examined in Chapter 3</w:t>
      </w:r>
      <w:r w:rsidR="00232DEA" w:rsidRPr="00D920C9">
        <w:rPr>
          <w:rFonts w:asciiTheme="minorHAnsi" w:hAnsiTheme="minorHAnsi"/>
        </w:rPr>
        <w:t>.</w:t>
      </w:r>
    </w:p>
    <w:p w14:paraId="46F27174" w14:textId="77777777" w:rsidR="00F178C8" w:rsidRPr="00D920C9" w:rsidRDefault="00D5723F" w:rsidP="003A1642">
      <w:pPr>
        <w:pStyle w:val="ListParagraph"/>
        <w:numPr>
          <w:ilvl w:val="0"/>
          <w:numId w:val="9"/>
        </w:numPr>
        <w:spacing w:after="240" w:line="240" w:lineRule="auto"/>
        <w:ind w:left="547" w:hanging="547"/>
        <w:contextualSpacing w:val="0"/>
        <w:jc w:val="both"/>
        <w:rPr>
          <w:rFonts w:asciiTheme="minorHAnsi" w:hAnsiTheme="minorHAnsi"/>
        </w:rPr>
      </w:pPr>
      <w:bookmarkStart w:id="89" w:name="_Ref511222838"/>
      <w:r w:rsidRPr="00D920C9">
        <w:rPr>
          <w:rFonts w:asciiTheme="minorHAnsi" w:hAnsiTheme="minorHAnsi"/>
        </w:rPr>
        <w:t xml:space="preserve">The Commission has received information about the role and functioning </w:t>
      </w:r>
      <w:r w:rsidR="00AC4F41" w:rsidRPr="00D920C9">
        <w:rPr>
          <w:rFonts w:asciiTheme="minorHAnsi" w:hAnsiTheme="minorHAnsi"/>
        </w:rPr>
        <w:t>of</w:t>
      </w:r>
      <w:r w:rsidRPr="00D920C9">
        <w:rPr>
          <w:rFonts w:asciiTheme="minorHAnsi" w:hAnsiTheme="minorHAnsi"/>
        </w:rPr>
        <w:t xml:space="preserve"> civilian oversig</w:t>
      </w:r>
      <w:r w:rsidR="00AC4F41" w:rsidRPr="00D920C9">
        <w:rPr>
          <w:rFonts w:asciiTheme="minorHAnsi" w:hAnsiTheme="minorHAnsi"/>
        </w:rPr>
        <w:t>ht mechanisms to monitor police, which can involv</w:t>
      </w:r>
      <w:r w:rsidR="00232DEA" w:rsidRPr="00D920C9">
        <w:rPr>
          <w:rFonts w:asciiTheme="minorHAnsi" w:hAnsiTheme="minorHAnsi"/>
        </w:rPr>
        <w:t>e</w:t>
      </w:r>
      <w:r w:rsidR="00AC4F41" w:rsidRPr="00D920C9">
        <w:rPr>
          <w:rFonts w:asciiTheme="minorHAnsi" w:hAnsiTheme="minorHAnsi"/>
        </w:rPr>
        <w:t xml:space="preserve"> the community in police accountability and ensur</w:t>
      </w:r>
      <w:r w:rsidR="00232DEA" w:rsidRPr="00D920C9">
        <w:rPr>
          <w:rFonts w:asciiTheme="minorHAnsi" w:hAnsiTheme="minorHAnsi"/>
        </w:rPr>
        <w:t>e</w:t>
      </w:r>
      <w:r w:rsidR="00AC4F41" w:rsidRPr="00D920C9">
        <w:rPr>
          <w:rFonts w:asciiTheme="minorHAnsi" w:hAnsiTheme="minorHAnsi"/>
        </w:rPr>
        <w:t xml:space="preserve"> greater independence from internal affairs departments in </w:t>
      </w:r>
      <w:r w:rsidR="00232DEA" w:rsidRPr="00D920C9">
        <w:rPr>
          <w:rFonts w:asciiTheme="minorHAnsi" w:hAnsiTheme="minorHAnsi"/>
        </w:rPr>
        <w:t xml:space="preserve">reviewing </w:t>
      </w:r>
      <w:r w:rsidR="00AC4F41" w:rsidRPr="00D920C9">
        <w:rPr>
          <w:rFonts w:asciiTheme="minorHAnsi" w:hAnsiTheme="minorHAnsi"/>
        </w:rPr>
        <w:t>complaints against police officers.</w:t>
      </w:r>
      <w:r w:rsidR="00AC4F41" w:rsidRPr="00D920C9">
        <w:rPr>
          <w:rStyle w:val="FootnoteReference"/>
          <w:rFonts w:asciiTheme="minorHAnsi" w:hAnsiTheme="minorHAnsi"/>
        </w:rPr>
        <w:footnoteReference w:id="238"/>
      </w:r>
      <w:r w:rsidR="00AC4F41" w:rsidRPr="00D920C9">
        <w:rPr>
          <w:rFonts w:asciiTheme="minorHAnsi" w:hAnsiTheme="minorHAnsi"/>
        </w:rPr>
        <w:t xml:space="preserve"> One study indicated that “some form of civilian oversight is probably the best way to achieve legitimacy with the community, regardless of whether internal systems for dealing with police complaints might also be effective.”</w:t>
      </w:r>
      <w:r w:rsidR="00AC4F41" w:rsidRPr="00D920C9">
        <w:rPr>
          <w:rStyle w:val="FootnoteReference"/>
          <w:rFonts w:asciiTheme="minorHAnsi" w:hAnsiTheme="minorHAnsi"/>
        </w:rPr>
        <w:footnoteReference w:id="239"/>
      </w:r>
      <w:r w:rsidR="00AC4F41" w:rsidRPr="00D920C9">
        <w:rPr>
          <w:rFonts w:asciiTheme="minorHAnsi" w:hAnsiTheme="minorHAnsi"/>
        </w:rPr>
        <w:t xml:space="preserve"> Nonetheless, </w:t>
      </w:r>
      <w:r w:rsidR="00A80C34" w:rsidRPr="00D920C9">
        <w:rPr>
          <w:rFonts w:asciiTheme="minorHAnsi" w:hAnsiTheme="minorHAnsi"/>
        </w:rPr>
        <w:t>civilian</w:t>
      </w:r>
      <w:r w:rsidR="00AC4F41" w:rsidRPr="00D920C9">
        <w:rPr>
          <w:rFonts w:asciiTheme="minorHAnsi" w:hAnsiTheme="minorHAnsi"/>
        </w:rPr>
        <w:t xml:space="preserve"> boards may be limited by the </w:t>
      </w:r>
      <w:r w:rsidR="00A80C34" w:rsidRPr="00D920C9">
        <w:rPr>
          <w:rFonts w:asciiTheme="minorHAnsi" w:hAnsiTheme="minorHAnsi"/>
        </w:rPr>
        <w:t>fairness and talent</w:t>
      </w:r>
      <w:r w:rsidR="00AC4F41" w:rsidRPr="00D920C9">
        <w:rPr>
          <w:rFonts w:asciiTheme="minorHAnsi" w:hAnsiTheme="minorHAnsi"/>
        </w:rPr>
        <w:t xml:space="preserve"> of the</w:t>
      </w:r>
      <w:r w:rsidR="00A80C34" w:rsidRPr="00D920C9">
        <w:rPr>
          <w:rFonts w:asciiTheme="minorHAnsi" w:hAnsiTheme="minorHAnsi"/>
        </w:rPr>
        <w:t xml:space="preserve">ir members, </w:t>
      </w:r>
      <w:r w:rsidR="00232DEA" w:rsidRPr="00D920C9">
        <w:rPr>
          <w:rFonts w:asciiTheme="minorHAnsi" w:hAnsiTheme="minorHAnsi"/>
        </w:rPr>
        <w:t>as well as</w:t>
      </w:r>
      <w:r w:rsidR="00A80C34" w:rsidRPr="00D920C9">
        <w:rPr>
          <w:rFonts w:asciiTheme="minorHAnsi" w:hAnsiTheme="minorHAnsi"/>
        </w:rPr>
        <w:t xml:space="preserve"> the formal influence and authority of the board </w:t>
      </w:r>
      <w:proofErr w:type="gramStart"/>
      <w:r w:rsidR="00A80C34" w:rsidRPr="00D920C9">
        <w:rPr>
          <w:rFonts w:asciiTheme="minorHAnsi" w:hAnsiTheme="minorHAnsi"/>
          <w:i/>
        </w:rPr>
        <w:t>vis</w:t>
      </w:r>
      <w:proofErr w:type="gramEnd"/>
      <w:r w:rsidR="00A80C34" w:rsidRPr="00D920C9">
        <w:rPr>
          <w:rFonts w:asciiTheme="minorHAnsi" w:hAnsiTheme="minorHAnsi"/>
          <w:i/>
        </w:rPr>
        <w:t xml:space="preserve"> a vis</w:t>
      </w:r>
      <w:r w:rsidR="00A80C34" w:rsidRPr="00D920C9">
        <w:rPr>
          <w:rFonts w:asciiTheme="minorHAnsi" w:hAnsiTheme="minorHAnsi"/>
        </w:rPr>
        <w:t xml:space="preserve"> the police department, among other factors.</w:t>
      </w:r>
      <w:r w:rsidR="00A80C34" w:rsidRPr="00D920C9">
        <w:rPr>
          <w:rStyle w:val="FootnoteReference"/>
          <w:rFonts w:asciiTheme="minorHAnsi" w:hAnsiTheme="minorHAnsi"/>
        </w:rPr>
        <w:footnoteReference w:id="240"/>
      </w:r>
      <w:bookmarkEnd w:id="89"/>
    </w:p>
    <w:p w14:paraId="5DF746A8" w14:textId="77777777" w:rsidR="00335CDD" w:rsidRPr="00D920C9" w:rsidRDefault="00335CDD" w:rsidP="003A1642">
      <w:pPr>
        <w:pStyle w:val="ListParagraph"/>
        <w:numPr>
          <w:ilvl w:val="0"/>
          <w:numId w:val="9"/>
        </w:numPr>
        <w:spacing w:after="240" w:line="240" w:lineRule="auto"/>
        <w:ind w:left="547" w:hanging="547"/>
        <w:contextualSpacing w:val="0"/>
        <w:jc w:val="both"/>
        <w:rPr>
          <w:rFonts w:asciiTheme="minorHAnsi" w:hAnsiTheme="minorHAnsi"/>
        </w:rPr>
      </w:pPr>
      <w:bookmarkStart w:id="90" w:name="_Ref507431642"/>
      <w:r w:rsidRPr="00D920C9">
        <w:rPr>
          <w:rFonts w:asciiTheme="minorHAnsi" w:hAnsiTheme="minorHAnsi"/>
        </w:rPr>
        <w:t xml:space="preserve">The Commission has received information </w:t>
      </w:r>
      <w:r w:rsidR="0032508B" w:rsidRPr="00D920C9">
        <w:rPr>
          <w:rFonts w:asciiTheme="minorHAnsi" w:hAnsiTheme="minorHAnsi"/>
        </w:rPr>
        <w:t>indicating</w:t>
      </w:r>
      <w:r w:rsidRPr="00D920C9">
        <w:rPr>
          <w:rFonts w:asciiTheme="minorHAnsi" w:hAnsiTheme="minorHAnsi"/>
        </w:rPr>
        <w:t xml:space="preserve"> barriers to the effective adjudication of civil suits against police officers</w:t>
      </w:r>
      <w:r w:rsidR="00F178C8" w:rsidRPr="00D920C9">
        <w:rPr>
          <w:rFonts w:asciiTheme="minorHAnsi" w:hAnsiTheme="minorHAnsi"/>
        </w:rPr>
        <w:t>, as well as information indicating that civil suits may not in general be effective remedies</w:t>
      </w:r>
      <w:r w:rsidRPr="00D920C9">
        <w:rPr>
          <w:rFonts w:asciiTheme="minorHAnsi" w:hAnsiTheme="minorHAnsi"/>
        </w:rPr>
        <w:t xml:space="preserve">. In general, victims may sue individual police officers in their personal capacities, police departments, or municipalities to obtain monetary damages for the excessive use of force. </w:t>
      </w:r>
      <w:r w:rsidR="00232DEA" w:rsidRPr="00D920C9">
        <w:rPr>
          <w:rFonts w:asciiTheme="minorHAnsi" w:hAnsiTheme="minorHAnsi"/>
        </w:rPr>
        <w:t>P</w:t>
      </w:r>
      <w:r w:rsidRPr="00D920C9">
        <w:rPr>
          <w:rFonts w:asciiTheme="minorHAnsi" w:hAnsiTheme="minorHAnsi"/>
        </w:rPr>
        <w:t>laintiff</w:t>
      </w:r>
      <w:r w:rsidR="00232DEA" w:rsidRPr="00D920C9">
        <w:rPr>
          <w:rFonts w:asciiTheme="minorHAnsi" w:hAnsiTheme="minorHAnsi"/>
        </w:rPr>
        <w:t>s</w:t>
      </w:r>
      <w:r w:rsidRPr="00D920C9">
        <w:rPr>
          <w:rFonts w:asciiTheme="minorHAnsi" w:hAnsiTheme="minorHAnsi"/>
        </w:rPr>
        <w:t xml:space="preserve"> may face</w:t>
      </w:r>
      <w:r w:rsidR="00232DEA" w:rsidRPr="00D920C9">
        <w:rPr>
          <w:rFonts w:asciiTheme="minorHAnsi" w:hAnsiTheme="minorHAnsi"/>
        </w:rPr>
        <w:t xml:space="preserve"> a </w:t>
      </w:r>
      <w:r w:rsidR="00232DEA" w:rsidRPr="00D920C9">
        <w:rPr>
          <w:rFonts w:asciiTheme="minorHAnsi" w:hAnsiTheme="minorHAnsi"/>
        </w:rPr>
        <w:lastRenderedPageBreak/>
        <w:t>number of procedural barriers</w:t>
      </w:r>
      <w:r w:rsidRPr="00D920C9">
        <w:rPr>
          <w:rFonts w:asciiTheme="minorHAnsi" w:hAnsiTheme="minorHAnsi"/>
        </w:rPr>
        <w:t xml:space="preserve"> to filing suit, including statutes of limitations, strict standing and pleading requirements, inability to pay </w:t>
      </w:r>
      <w:r w:rsidR="00F178C8" w:rsidRPr="00D920C9">
        <w:rPr>
          <w:rFonts w:asciiTheme="minorHAnsi" w:hAnsiTheme="minorHAnsi"/>
        </w:rPr>
        <w:t>to hire a lawyer</w:t>
      </w:r>
      <w:r w:rsidRPr="00D920C9">
        <w:rPr>
          <w:rFonts w:asciiTheme="minorHAnsi" w:hAnsiTheme="minorHAnsi"/>
        </w:rPr>
        <w:t>, and fears of reprisal from police departments.</w:t>
      </w:r>
      <w:r w:rsidRPr="00D920C9">
        <w:rPr>
          <w:rStyle w:val="FootnoteReference"/>
          <w:rFonts w:asciiTheme="minorHAnsi" w:hAnsiTheme="minorHAnsi"/>
        </w:rPr>
        <w:footnoteReference w:id="241"/>
      </w:r>
      <w:r w:rsidRPr="00D920C9">
        <w:rPr>
          <w:rFonts w:asciiTheme="minorHAnsi" w:hAnsiTheme="minorHAnsi"/>
        </w:rPr>
        <w:t xml:space="preserve"> </w:t>
      </w:r>
      <w:r w:rsidR="0077479A" w:rsidRPr="00D920C9">
        <w:rPr>
          <w:rFonts w:asciiTheme="minorHAnsi" w:hAnsiTheme="minorHAnsi"/>
        </w:rPr>
        <w:t>However, evidence suggests that police officers are rarely found liable in civil suits.</w:t>
      </w:r>
      <w:r w:rsidR="0077479A" w:rsidRPr="00D920C9">
        <w:rPr>
          <w:rStyle w:val="FootnoteReference"/>
          <w:rFonts w:asciiTheme="minorHAnsi" w:hAnsiTheme="minorHAnsi"/>
        </w:rPr>
        <w:footnoteReference w:id="242"/>
      </w:r>
      <w:r w:rsidR="0077479A" w:rsidRPr="00D920C9">
        <w:rPr>
          <w:rFonts w:asciiTheme="minorHAnsi" w:hAnsiTheme="minorHAnsi"/>
        </w:rPr>
        <w:t xml:space="preserve"> Furthermore, many police misconduct cases end in out-of-court settlements, which mean that defendant officers or police departments do not have to acknowledge misconduct, limiting full accountability.</w:t>
      </w:r>
      <w:r w:rsidR="0077479A" w:rsidRPr="00D920C9">
        <w:rPr>
          <w:rStyle w:val="FootnoteReference"/>
          <w:rFonts w:asciiTheme="minorHAnsi" w:hAnsiTheme="minorHAnsi"/>
        </w:rPr>
        <w:footnoteReference w:id="243"/>
      </w:r>
      <w:bookmarkEnd w:id="90"/>
    </w:p>
    <w:p w14:paraId="725E7ADD" w14:textId="77777777" w:rsidR="00335CDD" w:rsidRPr="00D920C9" w:rsidRDefault="00335CDD" w:rsidP="003A1642">
      <w:pPr>
        <w:pStyle w:val="ListParagraph"/>
        <w:numPr>
          <w:ilvl w:val="0"/>
          <w:numId w:val="9"/>
        </w:numPr>
        <w:spacing w:after="240" w:line="240" w:lineRule="auto"/>
        <w:ind w:left="547" w:hanging="547"/>
        <w:contextualSpacing w:val="0"/>
        <w:jc w:val="both"/>
        <w:rPr>
          <w:rFonts w:asciiTheme="minorHAnsi" w:hAnsiTheme="minorHAnsi"/>
        </w:rPr>
      </w:pPr>
      <w:bookmarkStart w:id="91" w:name="_Ref507506137"/>
      <w:r w:rsidRPr="00D920C9">
        <w:rPr>
          <w:rFonts w:asciiTheme="minorHAnsi" w:hAnsiTheme="minorHAnsi"/>
        </w:rPr>
        <w:t xml:space="preserve">One key issue identified in information received by the Commission about the effectiveness of civil suits is the question of who pays </w:t>
      </w:r>
      <w:r w:rsidR="0077479A" w:rsidRPr="00D920C9">
        <w:rPr>
          <w:rFonts w:asciiTheme="minorHAnsi" w:hAnsiTheme="minorHAnsi"/>
        </w:rPr>
        <w:t>for police misconduct</w:t>
      </w:r>
      <w:r w:rsidRPr="00D920C9">
        <w:rPr>
          <w:rFonts w:asciiTheme="minorHAnsi" w:hAnsiTheme="minorHAnsi"/>
        </w:rPr>
        <w:t>.</w:t>
      </w:r>
      <w:r w:rsidR="0077479A" w:rsidRPr="00D920C9">
        <w:rPr>
          <w:rStyle w:val="FootnoteReference"/>
          <w:rFonts w:asciiTheme="minorHAnsi" w:hAnsiTheme="minorHAnsi"/>
        </w:rPr>
        <w:footnoteReference w:id="244"/>
      </w:r>
      <w:r w:rsidRPr="00D920C9">
        <w:rPr>
          <w:rFonts w:asciiTheme="minorHAnsi" w:hAnsiTheme="minorHAnsi"/>
        </w:rPr>
        <w:t xml:space="preserve"> In brief, when </w:t>
      </w:r>
      <w:r w:rsidR="0077479A" w:rsidRPr="00D920C9">
        <w:rPr>
          <w:rFonts w:asciiTheme="minorHAnsi" w:hAnsiTheme="minorHAnsi"/>
        </w:rPr>
        <w:t xml:space="preserve">a plaintiff obtains a judgment against a police officer or department, the municipality </w:t>
      </w:r>
      <w:r w:rsidR="00305744" w:rsidRPr="00D920C9">
        <w:rPr>
          <w:rFonts w:asciiTheme="minorHAnsi" w:hAnsiTheme="minorHAnsi"/>
        </w:rPr>
        <w:t>generally</w:t>
      </w:r>
      <w:r w:rsidR="0077479A" w:rsidRPr="00D920C9">
        <w:rPr>
          <w:rFonts w:asciiTheme="minorHAnsi" w:hAnsiTheme="minorHAnsi"/>
        </w:rPr>
        <w:t xml:space="preserve"> indemnifies the officer and pays the damages award out of taxpayer money. Indeed, most police departments do not even know how much a city has paid for police misconduct, or whose conduct resulted in a settlement.</w:t>
      </w:r>
      <w:r w:rsidR="0077479A" w:rsidRPr="00D920C9">
        <w:rPr>
          <w:rStyle w:val="FootnoteReference"/>
          <w:rFonts w:asciiTheme="minorHAnsi" w:hAnsiTheme="minorHAnsi"/>
        </w:rPr>
        <w:footnoteReference w:id="245"/>
      </w:r>
      <w:r w:rsidR="0077479A" w:rsidRPr="00D920C9">
        <w:rPr>
          <w:rFonts w:asciiTheme="minorHAnsi" w:hAnsiTheme="minorHAnsi"/>
        </w:rPr>
        <w:t xml:space="preserve"> Meanwhile, the cost is high: t</w:t>
      </w:r>
      <w:r w:rsidRPr="00D920C9">
        <w:rPr>
          <w:rFonts w:asciiTheme="minorHAnsi" w:hAnsiTheme="minorHAnsi"/>
        </w:rPr>
        <w:t xml:space="preserve">he </w:t>
      </w:r>
      <w:proofErr w:type="gramStart"/>
      <w:r w:rsidR="0077479A" w:rsidRPr="00D920C9">
        <w:rPr>
          <w:rFonts w:asciiTheme="minorHAnsi" w:hAnsiTheme="minorHAnsi"/>
        </w:rPr>
        <w:t>ten</w:t>
      </w:r>
      <w:r w:rsidRPr="00D920C9">
        <w:rPr>
          <w:rFonts w:asciiTheme="minorHAnsi" w:hAnsiTheme="minorHAnsi"/>
        </w:rPr>
        <w:t xml:space="preserve"> U</w:t>
      </w:r>
      <w:r w:rsidR="00C45A79" w:rsidRPr="00D920C9">
        <w:rPr>
          <w:rFonts w:asciiTheme="minorHAnsi" w:hAnsiTheme="minorHAnsi"/>
        </w:rPr>
        <w:t>.</w:t>
      </w:r>
      <w:r w:rsidRPr="00D920C9">
        <w:rPr>
          <w:rFonts w:asciiTheme="minorHAnsi" w:hAnsiTheme="minorHAnsi"/>
        </w:rPr>
        <w:t>S</w:t>
      </w:r>
      <w:r w:rsidR="00C45A79" w:rsidRPr="00D920C9">
        <w:rPr>
          <w:rFonts w:asciiTheme="minorHAnsi" w:hAnsiTheme="minorHAnsi"/>
        </w:rPr>
        <w:t>.</w:t>
      </w:r>
      <w:r w:rsidRPr="00D920C9">
        <w:rPr>
          <w:rFonts w:asciiTheme="minorHAnsi" w:hAnsiTheme="minorHAnsi"/>
        </w:rPr>
        <w:t xml:space="preserve"> cities</w:t>
      </w:r>
      <w:proofErr w:type="gramEnd"/>
      <w:r w:rsidRPr="00D920C9">
        <w:rPr>
          <w:rFonts w:asciiTheme="minorHAnsi" w:hAnsiTheme="minorHAnsi"/>
        </w:rPr>
        <w:t xml:space="preserve"> with the largest police departments </w:t>
      </w:r>
      <w:r w:rsidR="0077479A" w:rsidRPr="00D920C9">
        <w:rPr>
          <w:rFonts w:asciiTheme="minorHAnsi" w:hAnsiTheme="minorHAnsi"/>
        </w:rPr>
        <w:t>paid out</w:t>
      </w:r>
      <w:r w:rsidRPr="00D920C9">
        <w:rPr>
          <w:rFonts w:asciiTheme="minorHAnsi" w:hAnsiTheme="minorHAnsi"/>
        </w:rPr>
        <w:t xml:space="preserve"> $1.02 billion </w:t>
      </w:r>
      <w:r w:rsidR="00686D4F" w:rsidRPr="00D920C9">
        <w:rPr>
          <w:rFonts w:asciiTheme="minorHAnsi" w:hAnsiTheme="minorHAnsi"/>
        </w:rPr>
        <w:t>between 2010 and 2015</w:t>
      </w:r>
      <w:r w:rsidRPr="00D920C9">
        <w:rPr>
          <w:rFonts w:asciiTheme="minorHAnsi" w:hAnsiTheme="minorHAnsi"/>
        </w:rPr>
        <w:t xml:space="preserve"> for beatings, shootings, a</w:t>
      </w:r>
      <w:r w:rsidR="0077479A" w:rsidRPr="00D920C9">
        <w:rPr>
          <w:rFonts w:asciiTheme="minorHAnsi" w:hAnsiTheme="minorHAnsi"/>
        </w:rPr>
        <w:t>nd wrongful imprisonment alone.</w:t>
      </w:r>
      <w:r w:rsidR="0077479A" w:rsidRPr="00D920C9">
        <w:rPr>
          <w:rStyle w:val="FootnoteReference"/>
          <w:rFonts w:asciiTheme="minorHAnsi" w:hAnsiTheme="minorHAnsi"/>
        </w:rPr>
        <w:footnoteReference w:id="246"/>
      </w:r>
      <w:bookmarkEnd w:id="91"/>
      <w:r w:rsidR="0077479A" w:rsidRPr="00D920C9">
        <w:rPr>
          <w:rFonts w:asciiTheme="minorHAnsi" w:hAnsiTheme="minorHAnsi"/>
        </w:rPr>
        <w:t xml:space="preserve"> </w:t>
      </w:r>
    </w:p>
    <w:p w14:paraId="2D9C5657" w14:textId="77777777" w:rsidR="00686D4F" w:rsidRPr="00D920C9" w:rsidRDefault="00686D4F" w:rsidP="003A1642">
      <w:pPr>
        <w:pStyle w:val="ListParagraph"/>
        <w:numPr>
          <w:ilvl w:val="0"/>
          <w:numId w:val="9"/>
        </w:numPr>
        <w:spacing w:after="240" w:line="240" w:lineRule="auto"/>
        <w:ind w:left="547" w:hanging="547"/>
        <w:contextualSpacing w:val="0"/>
        <w:jc w:val="both"/>
        <w:rPr>
          <w:rFonts w:asciiTheme="minorHAnsi" w:hAnsiTheme="minorHAnsi"/>
        </w:rPr>
      </w:pPr>
      <w:bookmarkStart w:id="92" w:name="_Ref507430107"/>
      <w:r w:rsidRPr="00D920C9">
        <w:rPr>
          <w:rFonts w:asciiTheme="minorHAnsi" w:hAnsiTheme="minorHAnsi"/>
        </w:rPr>
        <w:t xml:space="preserve">Furthermore, the federal government’s ability to prosecute cases of police violence </w:t>
      </w:r>
      <w:r w:rsidR="0032508B" w:rsidRPr="00D920C9">
        <w:rPr>
          <w:rFonts w:asciiTheme="minorHAnsi" w:hAnsiTheme="minorHAnsi"/>
        </w:rPr>
        <w:t>when</w:t>
      </w:r>
      <w:r w:rsidRPr="00D920C9">
        <w:rPr>
          <w:rFonts w:asciiTheme="minorHAnsi" w:hAnsiTheme="minorHAnsi"/>
        </w:rPr>
        <w:t xml:space="preserve"> state and local criminal prosecutions fail is limited. While the federal government is empowered to initiate federal criminal civil rights prosecutions under 18 U.S.C. § 242 (“Deprivation of rights under color of law”),</w:t>
      </w:r>
      <w:r w:rsidR="006E0A81" w:rsidRPr="00D920C9">
        <w:rPr>
          <w:rStyle w:val="FootnoteReference"/>
          <w:rFonts w:asciiTheme="minorHAnsi" w:hAnsiTheme="minorHAnsi"/>
        </w:rPr>
        <w:footnoteReference w:id="247"/>
      </w:r>
      <w:r w:rsidRPr="00D920C9">
        <w:rPr>
          <w:rFonts w:asciiTheme="minorHAnsi" w:hAnsiTheme="minorHAnsi"/>
        </w:rPr>
        <w:t xml:space="preserve"> very few </w:t>
      </w:r>
      <w:r w:rsidR="006E0A81" w:rsidRPr="00D920C9">
        <w:rPr>
          <w:rFonts w:asciiTheme="minorHAnsi" w:hAnsiTheme="minorHAnsi"/>
        </w:rPr>
        <w:t>cases are prosecuted. This seems to be due to an extremely high evidentiary bar, namely that in order to prove willful conduct, the government must prove the defendant’s specific intent (</w:t>
      </w:r>
      <w:proofErr w:type="spellStart"/>
      <w:r w:rsidR="006E0A81" w:rsidRPr="00D920C9">
        <w:rPr>
          <w:rFonts w:asciiTheme="minorHAnsi" w:hAnsiTheme="minorHAnsi"/>
          <w:i/>
        </w:rPr>
        <w:t>dolo</w:t>
      </w:r>
      <w:proofErr w:type="spellEnd"/>
      <w:r w:rsidR="006E0A81" w:rsidRPr="00D920C9">
        <w:rPr>
          <w:rFonts w:asciiTheme="minorHAnsi" w:hAnsiTheme="minorHAnsi"/>
        </w:rPr>
        <w:t>) to commit the wrongful act.</w:t>
      </w:r>
      <w:r w:rsidR="00CF562C" w:rsidRPr="00D920C9">
        <w:rPr>
          <w:rFonts w:asciiTheme="minorHAnsi" w:hAnsiTheme="minorHAnsi"/>
        </w:rPr>
        <w:t xml:space="preserve"> Historically, this has meant that prosecutors </w:t>
      </w:r>
      <w:r w:rsidR="00BC05AD" w:rsidRPr="00D920C9">
        <w:rPr>
          <w:rFonts w:asciiTheme="minorHAnsi" w:hAnsiTheme="minorHAnsi"/>
        </w:rPr>
        <w:t>“</w:t>
      </w:r>
      <w:r w:rsidR="00CF562C" w:rsidRPr="00D920C9">
        <w:rPr>
          <w:rFonts w:asciiTheme="minorHAnsi" w:hAnsiTheme="minorHAnsi"/>
        </w:rPr>
        <w:t>could rarely prove to a jury that even a [Ku Klux] Klansman had lynched his victim for the purpose of depriving his victim of rights.”</w:t>
      </w:r>
      <w:r w:rsidR="00CF562C" w:rsidRPr="00D920C9">
        <w:rPr>
          <w:rStyle w:val="FootnoteReference"/>
          <w:rFonts w:asciiTheme="minorHAnsi" w:hAnsiTheme="minorHAnsi"/>
        </w:rPr>
        <w:footnoteReference w:id="248"/>
      </w:r>
      <w:r w:rsidR="006E0A81" w:rsidRPr="00D920C9">
        <w:rPr>
          <w:rFonts w:asciiTheme="minorHAnsi" w:hAnsiTheme="minorHAnsi"/>
        </w:rPr>
        <w:t xml:space="preserve"> </w:t>
      </w:r>
      <w:r w:rsidR="0032508B" w:rsidRPr="00D920C9">
        <w:rPr>
          <w:rFonts w:asciiTheme="minorHAnsi" w:hAnsiTheme="minorHAnsi"/>
        </w:rPr>
        <w:t>F</w:t>
      </w:r>
      <w:r w:rsidR="006E0A81" w:rsidRPr="00D920C9">
        <w:rPr>
          <w:rFonts w:asciiTheme="minorHAnsi" w:hAnsiTheme="minorHAnsi"/>
        </w:rPr>
        <w:t xml:space="preserve">ormer Attorney General Eric Holder, who oversaw the investigation </w:t>
      </w:r>
      <w:r w:rsidR="00232DEA" w:rsidRPr="00D920C9">
        <w:rPr>
          <w:rFonts w:asciiTheme="minorHAnsi" w:hAnsiTheme="minorHAnsi"/>
        </w:rPr>
        <w:t>in</w:t>
      </w:r>
      <w:r w:rsidR="006E0A81" w:rsidRPr="00D920C9">
        <w:rPr>
          <w:rFonts w:asciiTheme="minorHAnsi" w:hAnsiTheme="minorHAnsi"/>
        </w:rPr>
        <w:t xml:space="preserve"> Ferguson, among others, has stated that the federal civil rights laws </w:t>
      </w:r>
      <w:r w:rsidR="00CF562C" w:rsidRPr="00D920C9">
        <w:rPr>
          <w:rFonts w:asciiTheme="minorHAnsi" w:hAnsiTheme="minorHAnsi"/>
        </w:rPr>
        <w:t>require a</w:t>
      </w:r>
      <w:r w:rsidR="006E0A81" w:rsidRPr="00D920C9">
        <w:rPr>
          <w:rFonts w:asciiTheme="minorHAnsi" w:hAnsiTheme="minorHAnsi"/>
        </w:rPr>
        <w:t xml:space="preserve"> </w:t>
      </w:r>
      <w:r w:rsidR="006E0A81" w:rsidRPr="00D920C9">
        <w:rPr>
          <w:rFonts w:asciiTheme="minorHAnsi" w:hAnsiTheme="minorHAnsi"/>
        </w:rPr>
        <w:lastRenderedPageBreak/>
        <w:t>standard of proof that is too high</w:t>
      </w:r>
      <w:r w:rsidR="00CF562C" w:rsidRPr="00D920C9">
        <w:rPr>
          <w:rFonts w:asciiTheme="minorHAnsi" w:hAnsiTheme="minorHAnsi"/>
        </w:rPr>
        <w:t>, and has stated that</w:t>
      </w:r>
      <w:r w:rsidR="006E0A81" w:rsidRPr="00D920C9">
        <w:rPr>
          <w:rFonts w:asciiTheme="minorHAnsi" w:hAnsiTheme="minorHAnsi"/>
        </w:rPr>
        <w:t xml:space="preserve"> </w:t>
      </w:r>
      <w:r w:rsidR="00CF562C" w:rsidRPr="00D920C9">
        <w:rPr>
          <w:rFonts w:asciiTheme="minorHAnsi" w:hAnsiTheme="minorHAnsi"/>
        </w:rPr>
        <w:t>a change in the law is necessary.</w:t>
      </w:r>
      <w:r w:rsidR="00CF562C" w:rsidRPr="00D920C9">
        <w:rPr>
          <w:rStyle w:val="FootnoteReference"/>
          <w:rFonts w:asciiTheme="minorHAnsi" w:hAnsiTheme="minorHAnsi"/>
        </w:rPr>
        <w:footnoteReference w:id="249"/>
      </w:r>
      <w:r w:rsidR="006E0A81" w:rsidRPr="00D920C9">
        <w:rPr>
          <w:rFonts w:asciiTheme="minorHAnsi" w:hAnsiTheme="minorHAnsi"/>
        </w:rPr>
        <w:t xml:space="preserve"> </w:t>
      </w:r>
      <w:r w:rsidR="00BC05AD" w:rsidRPr="00D920C9">
        <w:rPr>
          <w:rFonts w:asciiTheme="minorHAnsi" w:hAnsiTheme="minorHAnsi"/>
        </w:rPr>
        <w:t xml:space="preserve">Additionally, limited resources may constrain the </w:t>
      </w:r>
      <w:r w:rsidR="00232DEA" w:rsidRPr="00D920C9">
        <w:rPr>
          <w:rFonts w:asciiTheme="minorHAnsi" w:hAnsiTheme="minorHAnsi"/>
        </w:rPr>
        <w:t>DOJ’s</w:t>
      </w:r>
      <w:r w:rsidR="00BC05AD" w:rsidRPr="00D920C9">
        <w:rPr>
          <w:rFonts w:asciiTheme="minorHAnsi" w:hAnsiTheme="minorHAnsi"/>
        </w:rPr>
        <w:t xml:space="preserve"> ability to investigate and enforce federal anti-discrimination laws.</w:t>
      </w:r>
      <w:r w:rsidR="00BC05AD" w:rsidRPr="00D920C9">
        <w:rPr>
          <w:rStyle w:val="FootnoteReference"/>
          <w:rFonts w:asciiTheme="minorHAnsi" w:hAnsiTheme="minorHAnsi"/>
        </w:rPr>
        <w:footnoteReference w:id="250"/>
      </w:r>
      <w:bookmarkEnd w:id="92"/>
    </w:p>
    <w:p w14:paraId="61A90A5D" w14:textId="77777777" w:rsidR="00551EB5" w:rsidRPr="00D920C9" w:rsidRDefault="00C31FA3" w:rsidP="003A1642">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Information received by the Commission indicates that a lack of police accountability not only fails to deter police violence, but also seriously harms police-community relations. </w:t>
      </w:r>
      <w:r w:rsidR="00232DEA" w:rsidRPr="00D920C9">
        <w:rPr>
          <w:rFonts w:asciiTheme="minorHAnsi" w:hAnsiTheme="minorHAnsi"/>
        </w:rPr>
        <w:t>D</w:t>
      </w:r>
      <w:r w:rsidRPr="00D920C9">
        <w:rPr>
          <w:rFonts w:asciiTheme="minorHAnsi" w:hAnsiTheme="minorHAnsi"/>
        </w:rPr>
        <w:t xml:space="preserve">uring public hearings in 2015, representatives of </w:t>
      </w:r>
      <w:r w:rsidR="00551EB5" w:rsidRPr="00D920C9">
        <w:rPr>
          <w:rFonts w:asciiTheme="minorHAnsi" w:hAnsiTheme="minorHAnsi"/>
        </w:rPr>
        <w:t>Mothers Against Police Brutality</w:t>
      </w:r>
      <w:r w:rsidRPr="00D920C9">
        <w:rPr>
          <w:rFonts w:asciiTheme="minorHAnsi" w:hAnsiTheme="minorHAnsi"/>
        </w:rPr>
        <w:t>, based in Dallas, Texas, cited a survey they carried out that found that only 12 percent</w:t>
      </w:r>
      <w:r w:rsidR="00551EB5" w:rsidRPr="00D920C9">
        <w:rPr>
          <w:rFonts w:asciiTheme="minorHAnsi" w:hAnsiTheme="minorHAnsi"/>
        </w:rPr>
        <w:t xml:space="preserve"> of </w:t>
      </w:r>
      <w:r w:rsidR="00C47738" w:rsidRPr="00D920C9">
        <w:rPr>
          <w:rFonts w:asciiTheme="minorHAnsi" w:hAnsiTheme="minorHAnsi"/>
        </w:rPr>
        <w:t>b</w:t>
      </w:r>
      <w:r w:rsidRPr="00D920C9">
        <w:rPr>
          <w:rFonts w:asciiTheme="minorHAnsi" w:hAnsiTheme="minorHAnsi"/>
        </w:rPr>
        <w:t xml:space="preserve">lack </w:t>
      </w:r>
      <w:r w:rsidR="00551EB5" w:rsidRPr="00D920C9">
        <w:rPr>
          <w:rFonts w:asciiTheme="minorHAnsi" w:hAnsiTheme="minorHAnsi"/>
        </w:rPr>
        <w:t>respondents in Dallas felt a great deal of respect for police</w:t>
      </w:r>
      <w:r w:rsidRPr="00D920C9">
        <w:rPr>
          <w:rFonts w:asciiTheme="minorHAnsi" w:hAnsiTheme="minorHAnsi"/>
        </w:rPr>
        <w:t xml:space="preserve">, while one-third said </w:t>
      </w:r>
      <w:r w:rsidR="00551EB5" w:rsidRPr="00D920C9">
        <w:rPr>
          <w:rFonts w:asciiTheme="minorHAnsi" w:hAnsiTheme="minorHAnsi"/>
        </w:rPr>
        <w:t>they have hardly any respect for the police and do not feel comfortable calling the police when they have a problem.</w:t>
      </w:r>
      <w:r w:rsidR="00551EB5" w:rsidRPr="00D920C9">
        <w:rPr>
          <w:rStyle w:val="FootnoteReference"/>
          <w:rFonts w:asciiTheme="minorHAnsi" w:hAnsiTheme="minorHAnsi"/>
        </w:rPr>
        <w:footnoteReference w:id="251"/>
      </w:r>
      <w:r w:rsidR="00335CDD" w:rsidRPr="00D920C9">
        <w:rPr>
          <w:rFonts w:asciiTheme="minorHAnsi" w:hAnsiTheme="minorHAnsi"/>
        </w:rPr>
        <w:t xml:space="preserve"> </w:t>
      </w:r>
    </w:p>
    <w:p w14:paraId="2CFF8BEB" w14:textId="77777777" w:rsidR="00F178C8" w:rsidRPr="00D920C9" w:rsidRDefault="00F178C8" w:rsidP="003A1642">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Likewise, during its visit to Ferguson, Missouri, the Commission was informed about the high level of community mistrust in police and other government authorities, exemplified by continuing disputes about the Michael Brown case. For example, the Commission heard about defacement of the memorial to Michael Brown in Canfield, Missouri, including allegations of theft of teddy bears and other memorabilia from the memorial. This situation has led community members to describe what they see as a lack of effort by the police to reach out and develop constructive relationships with African American and low-income communities, and a “culture of protecting the police department, no matter what they do.”</w:t>
      </w:r>
      <w:r w:rsidRPr="00D920C9">
        <w:rPr>
          <w:rStyle w:val="FootnoteReference"/>
          <w:rFonts w:asciiTheme="minorHAnsi" w:hAnsiTheme="minorHAnsi"/>
        </w:rPr>
        <w:footnoteReference w:id="252"/>
      </w:r>
    </w:p>
    <w:p w14:paraId="62A7930E" w14:textId="77777777" w:rsidR="00B4412C" w:rsidRPr="00D920C9" w:rsidRDefault="00B4412C" w:rsidP="003D7958">
      <w:pPr>
        <w:pStyle w:val="Heading4"/>
        <w:ind w:left="540" w:hanging="540"/>
      </w:pPr>
      <w:bookmarkStart w:id="93" w:name="_Toc511837814"/>
      <w:bookmarkStart w:id="94" w:name="_Toc511902987"/>
      <w:bookmarkStart w:id="95" w:name="_Toc517687917"/>
      <w:r w:rsidRPr="00D920C9">
        <w:t xml:space="preserve">Police </w:t>
      </w:r>
      <w:r w:rsidR="0013717A" w:rsidRPr="00D920C9">
        <w:t xml:space="preserve">Responses </w:t>
      </w:r>
      <w:r w:rsidRPr="00D920C9">
        <w:t xml:space="preserve">to </w:t>
      </w:r>
      <w:r w:rsidR="0013717A" w:rsidRPr="00D920C9">
        <w:t>Protests</w:t>
      </w:r>
      <w:bookmarkEnd w:id="93"/>
      <w:bookmarkEnd w:id="94"/>
      <w:bookmarkEnd w:id="95"/>
    </w:p>
    <w:p w14:paraId="51C17460" w14:textId="3F2EEB27" w:rsidR="00B4412C" w:rsidRPr="00D920C9" w:rsidRDefault="00B4412C" w:rsidP="003A1642">
      <w:pPr>
        <w:pStyle w:val="ListParagraph"/>
        <w:numPr>
          <w:ilvl w:val="0"/>
          <w:numId w:val="9"/>
        </w:numPr>
        <w:spacing w:after="240" w:line="240" w:lineRule="auto"/>
        <w:ind w:left="547" w:hanging="547"/>
        <w:contextualSpacing w:val="0"/>
        <w:jc w:val="both"/>
        <w:rPr>
          <w:rFonts w:asciiTheme="minorHAnsi" w:hAnsiTheme="minorHAnsi"/>
        </w:rPr>
      </w:pPr>
      <w:bookmarkStart w:id="96" w:name="_Ref507405582"/>
      <w:r w:rsidRPr="00D920C9">
        <w:rPr>
          <w:rFonts w:asciiTheme="minorHAnsi" w:hAnsiTheme="minorHAnsi"/>
        </w:rPr>
        <w:t>The Commission has received information about disproportionate police responses to protest</w:t>
      </w:r>
      <w:r w:rsidR="006D1CB5" w:rsidRPr="00D920C9">
        <w:rPr>
          <w:rFonts w:asciiTheme="minorHAnsi" w:hAnsiTheme="minorHAnsi"/>
        </w:rPr>
        <w:t>s</w:t>
      </w:r>
      <w:r w:rsidRPr="00D920C9">
        <w:rPr>
          <w:rFonts w:asciiTheme="minorHAnsi" w:hAnsiTheme="minorHAnsi"/>
        </w:rPr>
        <w:t xml:space="preserve"> </w:t>
      </w:r>
      <w:r w:rsidR="00305744" w:rsidRPr="00D920C9">
        <w:rPr>
          <w:rFonts w:asciiTheme="minorHAnsi" w:hAnsiTheme="minorHAnsi"/>
        </w:rPr>
        <w:t>and</w:t>
      </w:r>
      <w:r w:rsidR="007F62EC" w:rsidRPr="00D920C9">
        <w:rPr>
          <w:rFonts w:asciiTheme="minorHAnsi" w:hAnsiTheme="minorHAnsi"/>
        </w:rPr>
        <w:t xml:space="preserve"> about the </w:t>
      </w:r>
      <w:r w:rsidR="0082717D" w:rsidRPr="00D920C9">
        <w:rPr>
          <w:rFonts w:asciiTheme="minorHAnsi" w:hAnsiTheme="minorHAnsi"/>
        </w:rPr>
        <w:t>excessive</w:t>
      </w:r>
      <w:r w:rsidR="007F62EC" w:rsidRPr="00D920C9">
        <w:rPr>
          <w:rFonts w:asciiTheme="minorHAnsi" w:hAnsiTheme="minorHAnsi"/>
        </w:rPr>
        <w:t xml:space="preserve"> policing of African American protesters</w:t>
      </w:r>
      <w:r w:rsidRPr="00D920C9">
        <w:rPr>
          <w:rFonts w:asciiTheme="minorHAnsi" w:hAnsiTheme="minorHAnsi"/>
        </w:rPr>
        <w:t>.</w:t>
      </w:r>
      <w:r w:rsidR="007F62EC" w:rsidRPr="00D920C9">
        <w:rPr>
          <w:rStyle w:val="FootnoteReference"/>
          <w:rFonts w:asciiTheme="minorHAnsi" w:hAnsiTheme="minorHAnsi"/>
        </w:rPr>
        <w:footnoteReference w:id="253"/>
      </w:r>
      <w:r w:rsidR="001F62DB" w:rsidRPr="00D920C9">
        <w:rPr>
          <w:rFonts w:asciiTheme="minorHAnsi" w:hAnsiTheme="minorHAnsi"/>
        </w:rPr>
        <w:t xml:space="preserve"> </w:t>
      </w:r>
      <w:r w:rsidR="00171B13" w:rsidRPr="00D920C9">
        <w:rPr>
          <w:rFonts w:asciiTheme="minorHAnsi" w:hAnsiTheme="minorHAnsi"/>
        </w:rPr>
        <w:t xml:space="preserve">In particular, </w:t>
      </w:r>
      <w:r w:rsidR="001F62DB" w:rsidRPr="00D920C9">
        <w:rPr>
          <w:rFonts w:asciiTheme="minorHAnsi" w:hAnsiTheme="minorHAnsi"/>
        </w:rPr>
        <w:t>events during protests</w:t>
      </w:r>
      <w:r w:rsidR="00171B13" w:rsidRPr="00D920C9">
        <w:rPr>
          <w:rFonts w:asciiTheme="minorHAnsi" w:hAnsiTheme="minorHAnsi"/>
        </w:rPr>
        <w:t xml:space="preserve"> in Ferguson, Missouri</w:t>
      </w:r>
      <w:r w:rsidR="001F62DB" w:rsidRPr="00D920C9">
        <w:rPr>
          <w:rFonts w:asciiTheme="minorHAnsi" w:hAnsiTheme="minorHAnsi"/>
        </w:rPr>
        <w:t xml:space="preserve"> highlight a number of cross-cutting issues in this report, including issues of non-discrimination, excessive force, and police militarization.</w:t>
      </w:r>
      <w:r w:rsidR="00DB0A01" w:rsidRPr="00D920C9">
        <w:rPr>
          <w:rFonts w:asciiTheme="minorHAnsi" w:hAnsiTheme="minorHAnsi"/>
        </w:rPr>
        <w:t xml:space="preserve"> The Commission notes </w:t>
      </w:r>
      <w:r w:rsidR="006D1CB5" w:rsidRPr="00D920C9">
        <w:rPr>
          <w:rFonts w:asciiTheme="minorHAnsi" w:hAnsiTheme="minorHAnsi"/>
        </w:rPr>
        <w:t xml:space="preserve">information indicating </w:t>
      </w:r>
      <w:r w:rsidR="00DB0A01" w:rsidRPr="00D920C9">
        <w:rPr>
          <w:rFonts w:asciiTheme="minorHAnsi" w:hAnsiTheme="minorHAnsi"/>
        </w:rPr>
        <w:t xml:space="preserve">that many of the concerns expressed below in the context of Ferguson are generalized in the </w:t>
      </w:r>
      <w:r w:rsidR="006D4A9B" w:rsidRPr="00D920C9">
        <w:rPr>
          <w:rFonts w:asciiTheme="minorHAnsi" w:hAnsiTheme="minorHAnsi"/>
        </w:rPr>
        <w:t>U.S.</w:t>
      </w:r>
      <w:r w:rsidR="00DB0A01" w:rsidRPr="00D920C9">
        <w:rPr>
          <w:rFonts w:asciiTheme="minorHAnsi" w:hAnsiTheme="minorHAnsi"/>
        </w:rPr>
        <w:t>;</w:t>
      </w:r>
      <w:r w:rsidR="006D1CB5" w:rsidRPr="00D920C9">
        <w:rPr>
          <w:rStyle w:val="FootnoteReference"/>
          <w:rFonts w:asciiTheme="minorHAnsi" w:hAnsiTheme="minorHAnsi"/>
        </w:rPr>
        <w:footnoteReference w:id="254"/>
      </w:r>
      <w:r w:rsidR="00DB0A01" w:rsidRPr="00D920C9">
        <w:rPr>
          <w:rFonts w:asciiTheme="minorHAnsi" w:hAnsiTheme="minorHAnsi"/>
        </w:rPr>
        <w:t xml:space="preserve"> in </w:t>
      </w:r>
      <w:r w:rsidR="00DB0A01" w:rsidRPr="00D920C9">
        <w:rPr>
          <w:rFonts w:asciiTheme="minorHAnsi" w:hAnsiTheme="minorHAnsi"/>
        </w:rPr>
        <w:lastRenderedPageBreak/>
        <w:t>this respect, it notes the observation of the</w:t>
      </w:r>
      <w:r w:rsidR="00352483" w:rsidRPr="00D920C9">
        <w:rPr>
          <w:rFonts w:asciiTheme="minorHAnsi" w:hAnsiTheme="minorHAnsi"/>
        </w:rPr>
        <w:t xml:space="preserve"> U.N. </w:t>
      </w:r>
      <w:r w:rsidR="00DB0A01" w:rsidRPr="00D920C9">
        <w:rPr>
          <w:rFonts w:asciiTheme="minorHAnsi" w:hAnsiTheme="minorHAnsi"/>
        </w:rPr>
        <w:t>Special Rapporteur on the rights to freedom of peaceful assembly and of association on complaints of police use of excessive force to arbitrarily arrest protesters for minor acts, such as stepping off crowded sidewalks, overwhelming police presence at protests and other acts of intimidation, and targeting for arrest and abuse on the basis of race or ethnicity.</w:t>
      </w:r>
      <w:r w:rsidR="00DB0A01" w:rsidRPr="00D920C9">
        <w:rPr>
          <w:rStyle w:val="FootnoteReference"/>
          <w:rFonts w:asciiTheme="minorHAnsi" w:hAnsiTheme="minorHAnsi"/>
        </w:rPr>
        <w:footnoteReference w:id="255"/>
      </w:r>
      <w:bookmarkEnd w:id="96"/>
    </w:p>
    <w:p w14:paraId="059A5D1F" w14:textId="77777777" w:rsidR="00CC1BC3" w:rsidRPr="00D920C9" w:rsidRDefault="00311FAD" w:rsidP="003A1642">
      <w:pPr>
        <w:pStyle w:val="ListParagraph"/>
        <w:numPr>
          <w:ilvl w:val="0"/>
          <w:numId w:val="9"/>
        </w:numPr>
        <w:spacing w:after="240" w:line="240" w:lineRule="auto"/>
        <w:ind w:left="547" w:hanging="547"/>
        <w:contextualSpacing w:val="0"/>
        <w:jc w:val="both"/>
        <w:rPr>
          <w:rFonts w:asciiTheme="minorHAnsi" w:hAnsiTheme="minorHAnsi"/>
        </w:rPr>
      </w:pPr>
      <w:bookmarkStart w:id="97" w:name="_Ref507406888"/>
      <w:r w:rsidRPr="00D920C9">
        <w:rPr>
          <w:rFonts w:asciiTheme="minorHAnsi" w:hAnsiTheme="minorHAnsi"/>
        </w:rPr>
        <w:t xml:space="preserve">During its on-site visit in Ferguson, the Commission received information about protests </w:t>
      </w:r>
      <w:r w:rsidR="00C47738" w:rsidRPr="00D920C9">
        <w:rPr>
          <w:rFonts w:asciiTheme="minorHAnsi" w:hAnsiTheme="minorHAnsi"/>
        </w:rPr>
        <w:t>after</w:t>
      </w:r>
      <w:r w:rsidRPr="00D920C9">
        <w:rPr>
          <w:rFonts w:asciiTheme="minorHAnsi" w:hAnsiTheme="minorHAnsi"/>
        </w:rPr>
        <w:t xml:space="preserve"> the killing of Michael Brown in August 2014 and the announcement of the decision not to indict Darren Wilson</w:t>
      </w:r>
      <w:r w:rsidR="006C439E" w:rsidRPr="00D920C9">
        <w:rPr>
          <w:rFonts w:asciiTheme="minorHAnsi" w:hAnsiTheme="minorHAnsi"/>
        </w:rPr>
        <w:t>,</w:t>
      </w:r>
      <w:r w:rsidRPr="00D920C9">
        <w:rPr>
          <w:rFonts w:asciiTheme="minorHAnsi" w:hAnsiTheme="minorHAnsi"/>
        </w:rPr>
        <w:t xml:space="preserve"> the </w:t>
      </w:r>
      <w:r w:rsidR="00BC2D83" w:rsidRPr="00D920C9">
        <w:rPr>
          <w:rFonts w:asciiTheme="minorHAnsi" w:hAnsiTheme="minorHAnsi"/>
        </w:rPr>
        <w:t xml:space="preserve">white </w:t>
      </w:r>
      <w:r w:rsidRPr="00D920C9">
        <w:rPr>
          <w:rFonts w:asciiTheme="minorHAnsi" w:hAnsiTheme="minorHAnsi"/>
        </w:rPr>
        <w:t>officer responsible for his death</w:t>
      </w:r>
      <w:r w:rsidR="006C439E" w:rsidRPr="00D920C9">
        <w:rPr>
          <w:rFonts w:asciiTheme="minorHAnsi" w:hAnsiTheme="minorHAnsi"/>
        </w:rPr>
        <w:t>,</w:t>
      </w:r>
      <w:r w:rsidRPr="00D920C9">
        <w:rPr>
          <w:rFonts w:asciiTheme="minorHAnsi" w:hAnsiTheme="minorHAnsi"/>
        </w:rPr>
        <w:t xml:space="preserve"> on November 24, 2014</w:t>
      </w:r>
      <w:r w:rsidR="006C439E" w:rsidRPr="00D920C9">
        <w:rPr>
          <w:rFonts w:asciiTheme="minorHAnsi" w:hAnsiTheme="minorHAnsi"/>
        </w:rPr>
        <w:t>, and strong public criticism of the police response to these protests</w:t>
      </w:r>
      <w:r w:rsidRPr="00D920C9">
        <w:rPr>
          <w:rFonts w:asciiTheme="minorHAnsi" w:hAnsiTheme="minorHAnsi"/>
        </w:rPr>
        <w:t>.</w:t>
      </w:r>
      <w:r w:rsidR="00CC1BC3" w:rsidRPr="00D920C9">
        <w:rPr>
          <w:rStyle w:val="FootnoteReference"/>
          <w:rFonts w:asciiTheme="minorHAnsi" w:hAnsiTheme="minorHAnsi"/>
        </w:rPr>
        <w:footnoteReference w:id="256"/>
      </w:r>
      <w:r w:rsidR="00CC1BC3" w:rsidRPr="00D920C9">
        <w:rPr>
          <w:rFonts w:asciiTheme="minorHAnsi" w:hAnsiTheme="minorHAnsi"/>
        </w:rPr>
        <w:t xml:space="preserve"> At least 212 individuals were reportedly arrested during the protests, the majority on charges of “refusal to disperse.”</w:t>
      </w:r>
      <w:r w:rsidR="00CC1BC3" w:rsidRPr="00D920C9">
        <w:rPr>
          <w:rStyle w:val="FootnoteReference"/>
          <w:rFonts w:asciiTheme="minorHAnsi" w:hAnsiTheme="minorHAnsi"/>
        </w:rPr>
        <w:footnoteReference w:id="257"/>
      </w:r>
      <w:r w:rsidRPr="00D920C9">
        <w:rPr>
          <w:rFonts w:asciiTheme="minorHAnsi" w:hAnsiTheme="minorHAnsi"/>
        </w:rPr>
        <w:t xml:space="preserve"> </w:t>
      </w:r>
      <w:r w:rsidR="00CC1BC3" w:rsidRPr="00D920C9">
        <w:rPr>
          <w:rFonts w:asciiTheme="minorHAnsi" w:hAnsiTheme="minorHAnsi"/>
        </w:rPr>
        <w:t xml:space="preserve">The IACHR received </w:t>
      </w:r>
      <w:r w:rsidRPr="00D920C9">
        <w:rPr>
          <w:rFonts w:asciiTheme="minorHAnsi" w:hAnsiTheme="minorHAnsi"/>
        </w:rPr>
        <w:t>reports of excessive use of tear gas and violence against African</w:t>
      </w:r>
      <w:r w:rsidR="0030356C" w:rsidRPr="00D920C9">
        <w:rPr>
          <w:rFonts w:asciiTheme="minorHAnsi" w:hAnsiTheme="minorHAnsi"/>
        </w:rPr>
        <w:t xml:space="preserve"> </w:t>
      </w:r>
      <w:r w:rsidRPr="00D920C9">
        <w:rPr>
          <w:rFonts w:asciiTheme="minorHAnsi" w:hAnsiTheme="minorHAnsi"/>
        </w:rPr>
        <w:t xml:space="preserve">Americans as a </w:t>
      </w:r>
      <w:r w:rsidR="00C47738" w:rsidRPr="00D920C9">
        <w:rPr>
          <w:rFonts w:asciiTheme="minorHAnsi" w:hAnsiTheme="minorHAnsi"/>
        </w:rPr>
        <w:t xml:space="preserve">mechanism of </w:t>
      </w:r>
      <w:r w:rsidRPr="00D920C9">
        <w:rPr>
          <w:rFonts w:asciiTheme="minorHAnsi" w:hAnsiTheme="minorHAnsi"/>
        </w:rPr>
        <w:t xml:space="preserve">control </w:t>
      </w:r>
      <w:r w:rsidR="00DB7A4A" w:rsidRPr="00D920C9">
        <w:rPr>
          <w:rFonts w:asciiTheme="minorHAnsi" w:hAnsiTheme="minorHAnsi"/>
        </w:rPr>
        <w:t>and/or dispersal</w:t>
      </w:r>
      <w:r w:rsidRPr="00D920C9">
        <w:rPr>
          <w:rFonts w:asciiTheme="minorHAnsi" w:hAnsiTheme="minorHAnsi"/>
        </w:rPr>
        <w:t>, even during peaceful protests, arbitrary detention of protesters, and disrespect of places identified as safe-houses, including place</w:t>
      </w:r>
      <w:r w:rsidR="00402C78" w:rsidRPr="00D920C9">
        <w:rPr>
          <w:rFonts w:asciiTheme="minorHAnsi" w:hAnsiTheme="minorHAnsi"/>
        </w:rPr>
        <w:t xml:space="preserve">s of worship, during protests. </w:t>
      </w:r>
      <w:r w:rsidRPr="00D920C9">
        <w:rPr>
          <w:rFonts w:asciiTheme="minorHAnsi" w:hAnsiTheme="minorHAnsi"/>
        </w:rPr>
        <w:t xml:space="preserve">The delegation was </w:t>
      </w:r>
      <w:r w:rsidR="00C47738" w:rsidRPr="00D920C9">
        <w:rPr>
          <w:rFonts w:asciiTheme="minorHAnsi" w:hAnsiTheme="minorHAnsi"/>
        </w:rPr>
        <w:t>concerned</w:t>
      </w:r>
      <w:r w:rsidRPr="00D920C9">
        <w:rPr>
          <w:rFonts w:asciiTheme="minorHAnsi" w:hAnsiTheme="minorHAnsi"/>
        </w:rPr>
        <w:t xml:space="preserve"> </w:t>
      </w:r>
      <w:r w:rsidR="00C47738" w:rsidRPr="00D920C9">
        <w:rPr>
          <w:rFonts w:asciiTheme="minorHAnsi" w:hAnsiTheme="minorHAnsi"/>
        </w:rPr>
        <w:t>by</w:t>
      </w:r>
      <w:r w:rsidRPr="00D920C9">
        <w:rPr>
          <w:rFonts w:asciiTheme="minorHAnsi" w:hAnsiTheme="minorHAnsi"/>
        </w:rPr>
        <w:t xml:space="preserve"> allegations that Ferguson police deliberately ignored white protesters and focused on the arrest and use of force against </w:t>
      </w:r>
      <w:r w:rsidR="006C439E" w:rsidRPr="00D920C9">
        <w:rPr>
          <w:rFonts w:asciiTheme="minorHAnsi" w:hAnsiTheme="minorHAnsi"/>
        </w:rPr>
        <w:t>black</w:t>
      </w:r>
      <w:r w:rsidRPr="00D920C9">
        <w:rPr>
          <w:rFonts w:asciiTheme="minorHAnsi" w:hAnsiTheme="minorHAnsi"/>
        </w:rPr>
        <w:t xml:space="preserve"> protesters during protests.</w:t>
      </w:r>
      <w:r w:rsidRPr="00D920C9">
        <w:rPr>
          <w:rStyle w:val="FootnoteReference"/>
          <w:rFonts w:asciiTheme="minorHAnsi" w:hAnsiTheme="minorHAnsi"/>
        </w:rPr>
        <w:footnoteReference w:id="258"/>
      </w:r>
      <w:bookmarkEnd w:id="97"/>
      <w:r w:rsidR="00DB7A4A" w:rsidRPr="00D920C9">
        <w:rPr>
          <w:rFonts w:asciiTheme="minorHAnsi" w:hAnsiTheme="minorHAnsi"/>
        </w:rPr>
        <w:t xml:space="preserve"> </w:t>
      </w:r>
    </w:p>
    <w:p w14:paraId="0DF3245D" w14:textId="6D8F6D9D" w:rsidR="007471D4" w:rsidRDefault="00DB7A4A" w:rsidP="003A1642">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w:t>
      </w:r>
      <w:r w:rsidR="007471D4" w:rsidRPr="00D920C9">
        <w:rPr>
          <w:rFonts w:asciiTheme="minorHAnsi" w:hAnsiTheme="minorHAnsi"/>
        </w:rPr>
        <w:t xml:space="preserve">he imposition of restrictions on the right to protest, including </w:t>
      </w:r>
      <w:r w:rsidRPr="00D920C9">
        <w:rPr>
          <w:rFonts w:asciiTheme="minorHAnsi" w:hAnsiTheme="minorHAnsi"/>
        </w:rPr>
        <w:t>curfews and designated protest areas, as well as restrictions on the presence and range of action of the media and legal and human rights observers at protests may also have a chilling effect on freedom of expression.</w:t>
      </w:r>
      <w:r w:rsidRPr="00D920C9">
        <w:rPr>
          <w:rStyle w:val="FootnoteReference"/>
          <w:rFonts w:asciiTheme="minorHAnsi" w:hAnsiTheme="minorHAnsi"/>
        </w:rPr>
        <w:footnoteReference w:id="259"/>
      </w:r>
      <w:r w:rsidR="00CC1BC3" w:rsidRPr="00D920C9">
        <w:rPr>
          <w:rFonts w:asciiTheme="minorHAnsi" w:hAnsiTheme="minorHAnsi"/>
        </w:rPr>
        <w:t xml:space="preserve"> Indeed, a federal court later found that the enforcement of a “keep walking/five-second rule”</w:t>
      </w:r>
      <w:r w:rsidR="006C439E" w:rsidRPr="00D920C9">
        <w:rPr>
          <w:rFonts w:asciiTheme="minorHAnsi" w:hAnsiTheme="minorHAnsi"/>
        </w:rPr>
        <w:t xml:space="preserve"> during protests in Ferguson,</w:t>
      </w:r>
      <w:r w:rsidR="00CC1BC3" w:rsidRPr="00D920C9">
        <w:rPr>
          <w:rFonts w:asciiTheme="minorHAnsi" w:hAnsiTheme="minorHAnsi"/>
        </w:rPr>
        <w:t xml:space="preserve"> </w:t>
      </w:r>
      <w:r w:rsidR="00C47738" w:rsidRPr="00D920C9">
        <w:rPr>
          <w:rFonts w:asciiTheme="minorHAnsi" w:hAnsiTheme="minorHAnsi"/>
        </w:rPr>
        <w:t>under</w:t>
      </w:r>
      <w:r w:rsidR="00CC1BC3" w:rsidRPr="00D920C9">
        <w:rPr>
          <w:rFonts w:asciiTheme="minorHAnsi" w:hAnsiTheme="minorHAnsi"/>
        </w:rPr>
        <w:t xml:space="preserve"> which demonstrators constantly had to keep moving during the protests or face arrest, was unconstitutional.</w:t>
      </w:r>
      <w:r w:rsidR="00CC1BC3" w:rsidRPr="00D920C9">
        <w:rPr>
          <w:rFonts w:asciiTheme="minorHAnsi" w:hAnsiTheme="minorHAnsi"/>
          <w:vertAlign w:val="superscript"/>
        </w:rPr>
        <w:footnoteReference w:id="260"/>
      </w:r>
    </w:p>
    <w:p w14:paraId="3ED5DD38" w14:textId="77777777" w:rsidR="003D7958" w:rsidRDefault="003D7958" w:rsidP="003D7958">
      <w:pPr>
        <w:spacing w:after="240" w:line="240" w:lineRule="auto"/>
        <w:jc w:val="both"/>
        <w:rPr>
          <w:rFonts w:asciiTheme="minorHAnsi" w:hAnsiTheme="minorHAnsi"/>
        </w:rPr>
      </w:pPr>
    </w:p>
    <w:p w14:paraId="33494DB4" w14:textId="77777777" w:rsidR="003D7958" w:rsidRDefault="003D7958" w:rsidP="003D7958">
      <w:pPr>
        <w:spacing w:after="240" w:line="240" w:lineRule="auto"/>
        <w:jc w:val="both"/>
        <w:rPr>
          <w:rFonts w:asciiTheme="minorHAnsi" w:hAnsiTheme="minorHAnsi"/>
        </w:rPr>
      </w:pPr>
    </w:p>
    <w:p w14:paraId="43C6BCCE" w14:textId="77777777" w:rsidR="00311FAD" w:rsidRPr="00D920C9" w:rsidRDefault="00311FAD" w:rsidP="003A1642">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lastRenderedPageBreak/>
        <w:t>At a public hearing on racism in the U</w:t>
      </w:r>
      <w:r w:rsidR="00C45A79" w:rsidRPr="00D920C9">
        <w:rPr>
          <w:rFonts w:asciiTheme="minorHAnsi" w:hAnsiTheme="minorHAnsi"/>
        </w:rPr>
        <w:t>.</w:t>
      </w:r>
      <w:r w:rsidRPr="00D920C9">
        <w:rPr>
          <w:rFonts w:asciiTheme="minorHAnsi" w:hAnsiTheme="minorHAnsi"/>
        </w:rPr>
        <w:t>S</w:t>
      </w:r>
      <w:r w:rsidR="00C45A79" w:rsidRPr="00D920C9">
        <w:rPr>
          <w:rFonts w:asciiTheme="minorHAnsi" w:hAnsiTheme="minorHAnsi"/>
        </w:rPr>
        <w:t>.</w:t>
      </w:r>
      <w:r w:rsidRPr="00D920C9">
        <w:rPr>
          <w:rFonts w:asciiTheme="minorHAnsi" w:hAnsiTheme="minorHAnsi"/>
        </w:rPr>
        <w:t xml:space="preserve"> criminal justice system, a participant from the Lawyers’ Committee for Civil Rights Under Law stated:</w:t>
      </w:r>
    </w:p>
    <w:tbl>
      <w:tblPr>
        <w:tblStyle w:val="TableGrid"/>
        <w:tblW w:w="0" w:type="auto"/>
        <w:jc w:val="right"/>
        <w:shd w:val="clear" w:color="auto" w:fill="D9D9D9" w:themeFill="background1" w:themeFillShade="D9"/>
        <w:tblLook w:val="04A0" w:firstRow="1" w:lastRow="0" w:firstColumn="1" w:lastColumn="0" w:noHBand="0" w:noVBand="1"/>
      </w:tblPr>
      <w:tblGrid>
        <w:gridCol w:w="7848"/>
      </w:tblGrid>
      <w:tr w:rsidR="00002F47" w:rsidRPr="00D920C9" w14:paraId="17DD0F1E" w14:textId="77777777" w:rsidTr="00002F47">
        <w:trPr>
          <w:jc w:val="right"/>
        </w:trPr>
        <w:tc>
          <w:tcPr>
            <w:tcW w:w="9029" w:type="dxa"/>
            <w:shd w:val="clear" w:color="auto" w:fill="D9D9D9" w:themeFill="background1" w:themeFillShade="D9"/>
          </w:tcPr>
          <w:p w14:paraId="7ED04B13" w14:textId="4801312F" w:rsidR="00002F47" w:rsidRPr="00D920C9" w:rsidRDefault="00002F47" w:rsidP="001167CB">
            <w:pPr>
              <w:pStyle w:val="ListParagraph"/>
              <w:spacing w:after="240" w:line="240" w:lineRule="auto"/>
              <w:ind w:left="288" w:right="288"/>
              <w:contextualSpacing w:val="0"/>
              <w:jc w:val="both"/>
              <w:rPr>
                <w:rFonts w:asciiTheme="minorHAnsi" w:hAnsiTheme="minorHAnsi"/>
              </w:rPr>
            </w:pPr>
            <w:r w:rsidRPr="00D920C9">
              <w:rPr>
                <w:rFonts w:asciiTheme="minorHAnsi" w:hAnsiTheme="minorHAnsi"/>
              </w:rPr>
              <w:br/>
              <w:t>Instead of having their complaints and concerns heard, lawful protestors [in Ferguson, Missouri] have been met with a harsh militarized response by local and state police forces. They have been jailed without cause, beaten unconscious, blinded by tear gas and pepper spray, and had their human and constitutional rights violated every day with all kinds of pronouncements on new policies and curfews. Sadly, this is not the first time and will not be the last time that police abuse targeting communities of color, unlawfully killing unarmed black men, or suppressing lawful protest will occur. This experience has become the new normal throughout the United States.</w:t>
            </w:r>
            <w:r w:rsidRPr="00D920C9">
              <w:rPr>
                <w:rStyle w:val="FootnoteReference"/>
                <w:rFonts w:asciiTheme="minorHAnsi" w:hAnsiTheme="minorHAnsi"/>
              </w:rPr>
              <w:footnoteReference w:id="261"/>
            </w:r>
          </w:p>
        </w:tc>
      </w:tr>
    </w:tbl>
    <w:p w14:paraId="1B1A501B" w14:textId="77777777" w:rsidR="00002F47" w:rsidRPr="00D920C9" w:rsidRDefault="00002F47" w:rsidP="0087747F">
      <w:pPr>
        <w:spacing w:after="0" w:line="240" w:lineRule="auto"/>
        <w:jc w:val="both"/>
        <w:rPr>
          <w:rFonts w:asciiTheme="minorHAnsi" w:hAnsiTheme="minorHAnsi"/>
        </w:rPr>
      </w:pPr>
    </w:p>
    <w:p w14:paraId="2C7E8364" w14:textId="77777777" w:rsidR="00A254C8" w:rsidRPr="00D920C9" w:rsidRDefault="00A254C8" w:rsidP="003A1642">
      <w:pPr>
        <w:pStyle w:val="ListParagraph"/>
        <w:numPr>
          <w:ilvl w:val="0"/>
          <w:numId w:val="9"/>
        </w:numPr>
        <w:spacing w:after="240" w:line="240" w:lineRule="auto"/>
        <w:ind w:left="547" w:hanging="547"/>
        <w:contextualSpacing w:val="0"/>
        <w:jc w:val="both"/>
        <w:rPr>
          <w:rFonts w:asciiTheme="minorHAnsi" w:eastAsiaTheme="minorHAnsi" w:hAnsiTheme="minorHAnsi"/>
        </w:rPr>
      </w:pPr>
      <w:r w:rsidRPr="00D920C9">
        <w:rPr>
          <w:rFonts w:asciiTheme="minorHAnsi" w:hAnsiTheme="minorHAnsi"/>
        </w:rPr>
        <w:t xml:space="preserve">In November 2014, </w:t>
      </w:r>
      <w:r w:rsidR="00852F70" w:rsidRPr="00D920C9">
        <w:rPr>
          <w:rFonts w:asciiTheme="minorHAnsi" w:hAnsiTheme="minorHAnsi"/>
        </w:rPr>
        <w:t>new</w:t>
      </w:r>
      <w:r w:rsidRPr="00D920C9">
        <w:rPr>
          <w:rFonts w:asciiTheme="minorHAnsi" w:hAnsiTheme="minorHAnsi"/>
        </w:rPr>
        <w:t xml:space="preserve"> protests broke out across the country at the decision of a grand jury not to indict the police officer responsible for Michael Brown’s death. In California</w:t>
      </w:r>
      <w:r w:rsidR="006C439E" w:rsidRPr="00D920C9">
        <w:rPr>
          <w:rFonts w:asciiTheme="minorHAnsi" w:hAnsiTheme="minorHAnsi"/>
        </w:rPr>
        <w:t>,</w:t>
      </w:r>
      <w:r w:rsidRPr="00D920C9">
        <w:rPr>
          <w:rFonts w:asciiTheme="minorHAnsi" w:hAnsiTheme="minorHAnsi"/>
        </w:rPr>
        <w:t xml:space="preserve"> at least 180 people were reportedly arrested in protests.</w:t>
      </w:r>
      <w:r w:rsidR="00DF33ED" w:rsidRPr="00D920C9">
        <w:rPr>
          <w:rStyle w:val="FootnoteReference"/>
          <w:rFonts w:asciiTheme="minorHAnsi" w:hAnsiTheme="minorHAnsi"/>
        </w:rPr>
        <w:footnoteReference w:id="262"/>
      </w:r>
      <w:r w:rsidRPr="00D920C9">
        <w:rPr>
          <w:rFonts w:asciiTheme="minorHAnsi" w:hAnsiTheme="minorHAnsi"/>
        </w:rPr>
        <w:t xml:space="preserve"> In December, New York police reportedly arrested at least 200 people during protest</w:t>
      </w:r>
      <w:r w:rsidR="00302A96" w:rsidRPr="00D920C9">
        <w:rPr>
          <w:rFonts w:asciiTheme="minorHAnsi" w:hAnsiTheme="minorHAnsi"/>
        </w:rPr>
        <w:t>s</w:t>
      </w:r>
      <w:r w:rsidRPr="00D920C9">
        <w:rPr>
          <w:rFonts w:asciiTheme="minorHAnsi" w:hAnsiTheme="minorHAnsi"/>
        </w:rPr>
        <w:t xml:space="preserve"> against the decision of a grand jury not to indict the officer responsible for the deat</w:t>
      </w:r>
      <w:r w:rsidR="006C439E" w:rsidRPr="00D920C9">
        <w:rPr>
          <w:rFonts w:asciiTheme="minorHAnsi" w:hAnsiTheme="minorHAnsi"/>
        </w:rPr>
        <w:t>h of Eric Garner</w:t>
      </w:r>
      <w:r w:rsidRPr="00D920C9">
        <w:rPr>
          <w:rFonts w:asciiTheme="minorHAnsi" w:hAnsiTheme="minorHAnsi"/>
        </w:rPr>
        <w:t>. Most of the arrests of the demonstrators were made on charges of disorderly conduct and refusal to disperse.</w:t>
      </w:r>
      <w:r w:rsidRPr="00D920C9">
        <w:rPr>
          <w:rStyle w:val="FootnoteReference"/>
          <w:rFonts w:asciiTheme="minorHAnsi" w:hAnsiTheme="minorHAnsi"/>
        </w:rPr>
        <w:footnoteReference w:id="263"/>
      </w:r>
    </w:p>
    <w:p w14:paraId="0C8356EB" w14:textId="77777777" w:rsidR="00221947" w:rsidRPr="00D920C9" w:rsidRDefault="00302A96" w:rsidP="003A1642">
      <w:pPr>
        <w:pStyle w:val="ListParagraph"/>
        <w:numPr>
          <w:ilvl w:val="0"/>
          <w:numId w:val="9"/>
        </w:numPr>
        <w:spacing w:after="240" w:line="240" w:lineRule="auto"/>
        <w:ind w:left="547" w:hanging="547"/>
        <w:contextualSpacing w:val="0"/>
        <w:jc w:val="both"/>
        <w:rPr>
          <w:rFonts w:asciiTheme="minorHAnsi" w:hAnsiTheme="minorHAnsi"/>
        </w:rPr>
      </w:pPr>
      <w:bookmarkStart w:id="98" w:name="_Ref511835816"/>
      <w:r w:rsidRPr="00D920C9">
        <w:rPr>
          <w:rFonts w:asciiTheme="minorHAnsi" w:hAnsiTheme="minorHAnsi"/>
        </w:rPr>
        <w:t>P</w:t>
      </w:r>
      <w:r w:rsidR="00311FAD" w:rsidRPr="00D920C9">
        <w:rPr>
          <w:rFonts w:asciiTheme="minorHAnsi" w:hAnsiTheme="minorHAnsi"/>
        </w:rPr>
        <w:t xml:space="preserve">rotests in Ferguson </w:t>
      </w:r>
      <w:r w:rsidRPr="00D920C9">
        <w:rPr>
          <w:rFonts w:asciiTheme="minorHAnsi" w:hAnsiTheme="minorHAnsi"/>
        </w:rPr>
        <w:t>after</w:t>
      </w:r>
      <w:r w:rsidR="00311FAD" w:rsidRPr="00D920C9">
        <w:rPr>
          <w:rFonts w:asciiTheme="minorHAnsi" w:hAnsiTheme="minorHAnsi"/>
        </w:rPr>
        <w:t xml:space="preserve"> the killing of Michael Brown also highlighted the concerning level of militarization of municipal police, leading to a federal review of programs that supply military equipment to police departments.</w:t>
      </w:r>
      <w:r w:rsidR="00311FAD" w:rsidRPr="00D920C9">
        <w:rPr>
          <w:rStyle w:val="FootnoteReference"/>
          <w:rFonts w:asciiTheme="minorHAnsi" w:hAnsiTheme="minorHAnsi"/>
        </w:rPr>
        <w:footnoteReference w:id="264"/>
      </w:r>
      <w:r w:rsidR="00311FAD" w:rsidRPr="00D920C9">
        <w:rPr>
          <w:rFonts w:asciiTheme="minorHAnsi" w:hAnsiTheme="minorHAnsi"/>
        </w:rPr>
        <w:t xml:space="preserve"> During those protests, reports indicated that police used armored vehicles, noise-based crowd control devices, shotguns, M-4 rifles, rubber bullets, and tear gas.</w:t>
      </w:r>
      <w:r w:rsidR="00311FAD" w:rsidRPr="00D920C9">
        <w:rPr>
          <w:rFonts w:asciiTheme="minorHAnsi" w:hAnsiTheme="minorHAnsi"/>
          <w:vertAlign w:val="superscript"/>
        </w:rPr>
        <w:footnoteReference w:id="265"/>
      </w:r>
      <w:r w:rsidR="00311FAD" w:rsidRPr="00D920C9">
        <w:rPr>
          <w:rFonts w:asciiTheme="minorHAnsi" w:hAnsiTheme="minorHAnsi"/>
        </w:rPr>
        <w:t xml:space="preserve"> </w:t>
      </w:r>
      <w:r w:rsidR="00311FAD" w:rsidRPr="00D920C9">
        <w:rPr>
          <w:rFonts w:asciiTheme="minorHAnsi" w:hAnsiTheme="minorHAnsi" w:cs="TradeGothic-CondEighteen"/>
        </w:rPr>
        <w:t xml:space="preserve">The use of riot gear and military-grade weapons in peaceful demonstrations </w:t>
      </w:r>
      <w:r w:rsidR="007471D4" w:rsidRPr="00D920C9">
        <w:rPr>
          <w:rFonts w:asciiTheme="minorHAnsi" w:hAnsiTheme="minorHAnsi" w:cs="TradeGothic-CondEighteen"/>
        </w:rPr>
        <w:t>may also be a form of intimidation of</w:t>
      </w:r>
      <w:r w:rsidR="00311FAD" w:rsidRPr="00D920C9">
        <w:rPr>
          <w:rFonts w:asciiTheme="minorHAnsi" w:hAnsiTheme="minorHAnsi" w:cs="TradeGothic-CondEighteen"/>
        </w:rPr>
        <w:t xml:space="preserve"> protesters who are practicing their right to peaceful assembly, and can cause</w:t>
      </w:r>
      <w:r w:rsidRPr="00D920C9">
        <w:rPr>
          <w:rFonts w:asciiTheme="minorHAnsi" w:hAnsiTheme="minorHAnsi" w:cs="TradeGothic-CondEighteen"/>
        </w:rPr>
        <w:t xml:space="preserve"> the</w:t>
      </w:r>
      <w:r w:rsidR="00311FAD" w:rsidRPr="00D920C9">
        <w:rPr>
          <w:rFonts w:asciiTheme="minorHAnsi" w:hAnsiTheme="minorHAnsi" w:cs="TradeGothic-CondEighteen"/>
        </w:rPr>
        <w:t xml:space="preserve"> escalation, rather than de-escalation, of violence.</w:t>
      </w:r>
      <w:r w:rsidR="00311FAD" w:rsidRPr="00D920C9">
        <w:rPr>
          <w:rFonts w:asciiTheme="minorHAnsi" w:hAnsiTheme="minorHAnsi" w:cs="TradeGothic-CondEighteen"/>
          <w:vertAlign w:val="superscript"/>
        </w:rPr>
        <w:footnoteReference w:id="266"/>
      </w:r>
      <w:bookmarkEnd w:id="98"/>
    </w:p>
    <w:p w14:paraId="25AA22B4" w14:textId="03A18AC2" w:rsidR="00927E3F" w:rsidRPr="00D920C9" w:rsidRDefault="00852F70" w:rsidP="003A1642">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lastRenderedPageBreak/>
        <w:t xml:space="preserve">In April 2015, protests in Baltimore and around the country occurred </w:t>
      </w:r>
      <w:r w:rsidR="00302A96" w:rsidRPr="00D920C9">
        <w:rPr>
          <w:rFonts w:asciiTheme="minorHAnsi" w:hAnsiTheme="minorHAnsi"/>
        </w:rPr>
        <w:t>after</w:t>
      </w:r>
      <w:r w:rsidRPr="00D920C9">
        <w:rPr>
          <w:rFonts w:asciiTheme="minorHAnsi" w:hAnsiTheme="minorHAnsi"/>
        </w:rPr>
        <w:t xml:space="preserve"> the death of </w:t>
      </w:r>
      <w:r w:rsidR="006C439E" w:rsidRPr="00D920C9">
        <w:rPr>
          <w:rFonts w:asciiTheme="minorHAnsi" w:hAnsiTheme="minorHAnsi"/>
        </w:rPr>
        <w:t xml:space="preserve">25-year-old </w:t>
      </w:r>
      <w:r w:rsidR="00927E3F" w:rsidRPr="00D920C9">
        <w:rPr>
          <w:rFonts w:asciiTheme="minorHAnsi" w:hAnsiTheme="minorHAnsi"/>
        </w:rPr>
        <w:t>F</w:t>
      </w:r>
      <w:r w:rsidRPr="00D920C9">
        <w:rPr>
          <w:rFonts w:asciiTheme="minorHAnsi" w:hAnsiTheme="minorHAnsi"/>
        </w:rPr>
        <w:t>reddie Gray</w:t>
      </w:r>
      <w:r w:rsidR="006C439E" w:rsidRPr="00D920C9">
        <w:rPr>
          <w:rFonts w:asciiTheme="minorHAnsi" w:hAnsiTheme="minorHAnsi"/>
        </w:rPr>
        <w:t xml:space="preserve"> due to a spinal cord injury</w:t>
      </w:r>
      <w:r w:rsidRPr="00D920C9">
        <w:rPr>
          <w:rFonts w:asciiTheme="minorHAnsi" w:hAnsiTheme="minorHAnsi"/>
        </w:rPr>
        <w:t xml:space="preserve"> </w:t>
      </w:r>
      <w:r w:rsidR="00927E3F" w:rsidRPr="00D920C9">
        <w:rPr>
          <w:rFonts w:asciiTheme="minorHAnsi" w:hAnsiTheme="minorHAnsi"/>
        </w:rPr>
        <w:t>while in police custody.</w:t>
      </w:r>
      <w:r w:rsidRPr="00D920C9">
        <w:rPr>
          <w:rFonts w:asciiTheme="minorHAnsi" w:hAnsiTheme="minorHAnsi"/>
        </w:rPr>
        <w:t xml:space="preserve"> At least 486 people were reportedly detained in the protests.</w:t>
      </w:r>
      <w:r w:rsidRPr="00D920C9">
        <w:rPr>
          <w:rStyle w:val="FootnoteReference"/>
          <w:rFonts w:asciiTheme="minorHAnsi" w:hAnsiTheme="minorHAnsi"/>
        </w:rPr>
        <w:footnoteReference w:id="267"/>
      </w:r>
      <w:r w:rsidRPr="00D920C9">
        <w:rPr>
          <w:rFonts w:asciiTheme="minorHAnsi" w:hAnsiTheme="minorHAnsi"/>
        </w:rPr>
        <w:t xml:space="preserve"> On April 27, 2015, the governor of Maryland declared a state of emergency and ordered the National Guard to be deployed. At least 100 people were arrested in New York in protests there.</w:t>
      </w:r>
      <w:r w:rsidRPr="00D920C9">
        <w:rPr>
          <w:rStyle w:val="FootnoteReference"/>
          <w:rFonts w:asciiTheme="minorHAnsi" w:hAnsiTheme="minorHAnsi"/>
        </w:rPr>
        <w:footnoteReference w:id="268"/>
      </w:r>
      <w:r w:rsidR="00927E3F" w:rsidRPr="00D920C9">
        <w:rPr>
          <w:rFonts w:asciiTheme="minorHAnsi" w:hAnsiTheme="minorHAnsi"/>
        </w:rPr>
        <w:t xml:space="preserve"> According to reports, assaults and arrests of journalists by the police wer</w:t>
      </w:r>
      <w:r w:rsidR="00DF33ED" w:rsidRPr="00D920C9">
        <w:rPr>
          <w:rFonts w:asciiTheme="minorHAnsi" w:hAnsiTheme="minorHAnsi"/>
        </w:rPr>
        <w:t>e recorded during the protests.</w:t>
      </w:r>
      <w:r w:rsidR="00927E3F" w:rsidRPr="00D920C9">
        <w:rPr>
          <w:rFonts w:asciiTheme="minorHAnsi" w:hAnsiTheme="minorHAnsi"/>
        </w:rPr>
        <w:t xml:space="preserve"> </w:t>
      </w:r>
      <w:r w:rsidR="00302A96" w:rsidRPr="00D920C9">
        <w:rPr>
          <w:rFonts w:asciiTheme="minorHAnsi" w:hAnsiTheme="minorHAnsi"/>
        </w:rPr>
        <w:t>T</w:t>
      </w:r>
      <w:r w:rsidR="0082717D" w:rsidRPr="00D920C9">
        <w:rPr>
          <w:rFonts w:asciiTheme="minorHAnsi" w:hAnsiTheme="minorHAnsi"/>
        </w:rPr>
        <w:t>he Mayor</w:t>
      </w:r>
      <w:r w:rsidR="00927E3F" w:rsidRPr="00D920C9">
        <w:rPr>
          <w:rFonts w:asciiTheme="minorHAnsi" w:hAnsiTheme="minorHAnsi"/>
        </w:rPr>
        <w:t xml:space="preserve"> of Baltimore </w:t>
      </w:r>
      <w:r w:rsidR="00302A96" w:rsidRPr="00D920C9">
        <w:rPr>
          <w:rFonts w:asciiTheme="minorHAnsi" w:hAnsiTheme="minorHAnsi"/>
        </w:rPr>
        <w:t xml:space="preserve">also </w:t>
      </w:r>
      <w:r w:rsidR="00927E3F" w:rsidRPr="00D920C9">
        <w:rPr>
          <w:rFonts w:asciiTheme="minorHAnsi" w:hAnsiTheme="minorHAnsi"/>
        </w:rPr>
        <w:t>ordered a curfew</w:t>
      </w:r>
      <w:r w:rsidR="00302A96" w:rsidRPr="00D920C9">
        <w:rPr>
          <w:rFonts w:asciiTheme="minorHAnsi" w:hAnsiTheme="minorHAnsi"/>
        </w:rPr>
        <w:t xml:space="preserve"> that was in effect</w:t>
      </w:r>
      <w:r w:rsidR="00927E3F" w:rsidRPr="00D920C9">
        <w:rPr>
          <w:rFonts w:asciiTheme="minorHAnsi" w:hAnsiTheme="minorHAnsi"/>
        </w:rPr>
        <w:t xml:space="preserve"> </w:t>
      </w:r>
      <w:r w:rsidR="00302A96" w:rsidRPr="00D920C9">
        <w:rPr>
          <w:rFonts w:asciiTheme="minorHAnsi" w:hAnsiTheme="minorHAnsi"/>
        </w:rPr>
        <w:t>from</w:t>
      </w:r>
      <w:r w:rsidR="00927E3F" w:rsidRPr="00D920C9">
        <w:rPr>
          <w:rFonts w:asciiTheme="minorHAnsi" w:hAnsiTheme="minorHAnsi"/>
        </w:rPr>
        <w:t xml:space="preserve"> April 28 until May 3. The curfew, which was enforced citywide, did not apply to journalists, military personnel, and police, who were able to move about freely in the city between 10:00 p.m. and 5:00 a.m., </w:t>
      </w:r>
      <w:r w:rsidR="006C439E" w:rsidRPr="00D920C9">
        <w:rPr>
          <w:rFonts w:asciiTheme="minorHAnsi" w:hAnsiTheme="minorHAnsi"/>
        </w:rPr>
        <w:t>while</w:t>
      </w:r>
      <w:r w:rsidR="00927E3F" w:rsidRPr="00D920C9">
        <w:rPr>
          <w:rFonts w:asciiTheme="minorHAnsi" w:hAnsiTheme="minorHAnsi"/>
        </w:rPr>
        <w:t xml:space="preserve"> movement for all other citizens was restricted.</w:t>
      </w:r>
      <w:r w:rsidR="00927E3F" w:rsidRPr="00D920C9">
        <w:rPr>
          <w:rStyle w:val="FootnoteReference"/>
          <w:rFonts w:asciiTheme="minorHAnsi" w:hAnsiTheme="minorHAnsi"/>
        </w:rPr>
        <w:footnoteReference w:id="269"/>
      </w:r>
    </w:p>
    <w:p w14:paraId="0B02291D" w14:textId="77777777" w:rsidR="00DF33ED" w:rsidRPr="00D920C9" w:rsidRDefault="00221947" w:rsidP="003A1642">
      <w:pPr>
        <w:pStyle w:val="ListParagraph"/>
        <w:numPr>
          <w:ilvl w:val="0"/>
          <w:numId w:val="9"/>
        </w:numPr>
        <w:spacing w:after="240" w:line="240" w:lineRule="auto"/>
        <w:ind w:left="547" w:hanging="547"/>
        <w:contextualSpacing w:val="0"/>
        <w:jc w:val="both"/>
        <w:rPr>
          <w:rFonts w:asciiTheme="minorHAnsi" w:hAnsiTheme="minorHAnsi"/>
        </w:rPr>
      </w:pPr>
      <w:bookmarkStart w:id="99" w:name="_Ref507405594"/>
      <w:r w:rsidRPr="00D920C9">
        <w:rPr>
          <w:rFonts w:asciiTheme="minorHAnsi" w:hAnsiTheme="minorHAnsi"/>
        </w:rPr>
        <w:t>The Commission notes reports that police responses to protests, as well as the relationship between the community and police, appear not to have improved in Ferguson since the 2014 protests and subsequent DOJ investigation. In September 2017, thousands in Ferguson protested the acquittal of a police officer in the</w:t>
      </w:r>
      <w:r w:rsidR="006C439E" w:rsidRPr="00D920C9">
        <w:rPr>
          <w:rFonts w:asciiTheme="minorHAnsi" w:hAnsiTheme="minorHAnsi"/>
        </w:rPr>
        <w:t xml:space="preserve"> 2011</w:t>
      </w:r>
      <w:r w:rsidRPr="00D920C9">
        <w:rPr>
          <w:rFonts w:asciiTheme="minorHAnsi" w:hAnsiTheme="minorHAnsi"/>
        </w:rPr>
        <w:t xml:space="preserve"> killing of Anthony Lamar Smith, an unarmed black man.</w:t>
      </w:r>
      <w:r w:rsidRPr="00D920C9">
        <w:rPr>
          <w:rStyle w:val="FootnoteReference"/>
          <w:rFonts w:asciiTheme="minorHAnsi" w:hAnsiTheme="minorHAnsi"/>
        </w:rPr>
        <w:footnoteReference w:id="270"/>
      </w:r>
      <w:r w:rsidRPr="00D920C9">
        <w:rPr>
          <w:rFonts w:asciiTheme="minorHAnsi" w:hAnsiTheme="minorHAnsi"/>
        </w:rPr>
        <w:t xml:space="preserve"> Media reports indicated that police officers mocked protesters </w:t>
      </w:r>
      <w:r w:rsidR="00302A96" w:rsidRPr="00D920C9">
        <w:rPr>
          <w:rFonts w:asciiTheme="minorHAnsi" w:hAnsiTheme="minorHAnsi"/>
        </w:rPr>
        <w:t>while</w:t>
      </w:r>
      <w:r w:rsidRPr="00D920C9">
        <w:rPr>
          <w:rFonts w:asciiTheme="minorHAnsi" w:hAnsiTheme="minorHAnsi"/>
        </w:rPr>
        <w:t xml:space="preserve"> conduct</w:t>
      </w:r>
      <w:r w:rsidR="00302A96" w:rsidRPr="00D920C9">
        <w:rPr>
          <w:rFonts w:asciiTheme="minorHAnsi" w:hAnsiTheme="minorHAnsi"/>
        </w:rPr>
        <w:t>ing</w:t>
      </w:r>
      <w:r w:rsidRPr="00D920C9">
        <w:rPr>
          <w:rFonts w:asciiTheme="minorHAnsi" w:hAnsiTheme="minorHAnsi"/>
        </w:rPr>
        <w:t xml:space="preserve"> mass arrests by using the comm</w:t>
      </w:r>
      <w:r w:rsidR="00401DF8" w:rsidRPr="00D920C9">
        <w:rPr>
          <w:rFonts w:asciiTheme="minorHAnsi" w:hAnsiTheme="minorHAnsi"/>
        </w:rPr>
        <w:t>on protest chant “Whose streets? O</w:t>
      </w:r>
      <w:r w:rsidRPr="00D920C9">
        <w:rPr>
          <w:rFonts w:asciiTheme="minorHAnsi" w:hAnsiTheme="minorHAnsi"/>
        </w:rPr>
        <w:t>ur streets</w:t>
      </w:r>
      <w:r w:rsidR="00401DF8" w:rsidRPr="00D920C9">
        <w:rPr>
          <w:rFonts w:asciiTheme="minorHAnsi" w:hAnsiTheme="minorHAnsi"/>
        </w:rPr>
        <w:t>!</w:t>
      </w:r>
      <w:r w:rsidRPr="00D920C9">
        <w:rPr>
          <w:rFonts w:asciiTheme="minorHAnsi" w:hAnsiTheme="minorHAnsi"/>
        </w:rPr>
        <w:t>” and display</w:t>
      </w:r>
      <w:r w:rsidR="00302A96" w:rsidRPr="00D920C9">
        <w:rPr>
          <w:rFonts w:asciiTheme="minorHAnsi" w:hAnsiTheme="minorHAnsi"/>
        </w:rPr>
        <w:t>ed</w:t>
      </w:r>
      <w:r w:rsidRPr="00D920C9">
        <w:rPr>
          <w:rFonts w:asciiTheme="minorHAnsi" w:hAnsiTheme="minorHAnsi"/>
        </w:rPr>
        <w:t xml:space="preserve"> an overwhelming and militarized presence in response to the protests</w:t>
      </w:r>
      <w:r w:rsidR="00401DF8" w:rsidRPr="00D920C9">
        <w:rPr>
          <w:rFonts w:asciiTheme="minorHAnsi" w:hAnsiTheme="minorHAnsi"/>
        </w:rPr>
        <w:t xml:space="preserve">, provoking a former DOJ investigator to </w:t>
      </w:r>
      <w:r w:rsidRPr="00D920C9">
        <w:rPr>
          <w:rFonts w:asciiTheme="minorHAnsi" w:hAnsiTheme="minorHAnsi"/>
        </w:rPr>
        <w:t>observe, “You can’t legislate goodwill</w:t>
      </w:r>
      <w:r w:rsidR="00A613DF" w:rsidRPr="00D920C9">
        <w:rPr>
          <w:rFonts w:asciiTheme="minorHAnsi" w:hAnsiTheme="minorHAnsi"/>
        </w:rPr>
        <w:t>.”</w:t>
      </w:r>
      <w:r w:rsidR="00A613DF" w:rsidRPr="00D920C9">
        <w:rPr>
          <w:rStyle w:val="FootnoteReference"/>
          <w:rFonts w:asciiTheme="minorHAnsi" w:hAnsiTheme="minorHAnsi"/>
        </w:rPr>
        <w:footnoteReference w:id="271"/>
      </w:r>
      <w:r w:rsidR="00DF33ED" w:rsidRPr="00D920C9">
        <w:rPr>
          <w:rFonts w:asciiTheme="minorHAnsi" w:hAnsiTheme="minorHAnsi"/>
        </w:rPr>
        <w:t xml:space="preserve"> </w:t>
      </w:r>
      <w:r w:rsidR="00401DF8" w:rsidRPr="00D920C9">
        <w:rPr>
          <w:rFonts w:asciiTheme="minorHAnsi" w:hAnsiTheme="minorHAnsi"/>
        </w:rPr>
        <w:t>T</w:t>
      </w:r>
      <w:r w:rsidR="00DF33ED" w:rsidRPr="00D920C9">
        <w:rPr>
          <w:rFonts w:asciiTheme="minorHAnsi" w:hAnsiTheme="minorHAnsi"/>
        </w:rPr>
        <w:t xml:space="preserve">he Commission notes recent reports that the </w:t>
      </w:r>
      <w:r w:rsidR="00401DF8" w:rsidRPr="00D920C9">
        <w:rPr>
          <w:rFonts w:asciiTheme="minorHAnsi" w:hAnsiTheme="minorHAnsi"/>
        </w:rPr>
        <w:t xml:space="preserve">DOJ </w:t>
      </w:r>
      <w:r w:rsidR="00DF33ED" w:rsidRPr="00D920C9">
        <w:rPr>
          <w:rFonts w:asciiTheme="minorHAnsi" w:hAnsiTheme="minorHAnsi"/>
        </w:rPr>
        <w:t>has opened an investigation into St. Louis Police conduct during these protests.</w:t>
      </w:r>
      <w:r w:rsidR="00DF33ED" w:rsidRPr="00D920C9">
        <w:rPr>
          <w:rStyle w:val="FootnoteReference"/>
          <w:rFonts w:asciiTheme="minorHAnsi" w:hAnsiTheme="minorHAnsi"/>
        </w:rPr>
        <w:footnoteReference w:id="272"/>
      </w:r>
      <w:bookmarkEnd w:id="99"/>
      <w:r w:rsidR="00DF33ED" w:rsidRPr="00D920C9">
        <w:rPr>
          <w:rFonts w:asciiTheme="minorHAnsi" w:hAnsiTheme="minorHAnsi"/>
        </w:rPr>
        <w:t xml:space="preserve"> </w:t>
      </w:r>
    </w:p>
    <w:p w14:paraId="6CEFE937" w14:textId="600A427C" w:rsidR="00F95620" w:rsidRPr="00D920C9" w:rsidRDefault="00B13891" w:rsidP="003A1642">
      <w:pPr>
        <w:pStyle w:val="ListParagraph"/>
        <w:numPr>
          <w:ilvl w:val="0"/>
          <w:numId w:val="9"/>
        </w:numPr>
        <w:spacing w:after="240" w:line="240" w:lineRule="auto"/>
        <w:ind w:left="547" w:hanging="547"/>
        <w:contextualSpacing w:val="0"/>
        <w:jc w:val="both"/>
        <w:rPr>
          <w:rFonts w:asciiTheme="minorHAnsi" w:hAnsiTheme="minorHAnsi"/>
        </w:rPr>
      </w:pPr>
      <w:bookmarkStart w:id="100" w:name="_Ref511835853"/>
      <w:r w:rsidRPr="00D920C9">
        <w:rPr>
          <w:rFonts w:asciiTheme="minorHAnsi" w:hAnsiTheme="minorHAnsi"/>
        </w:rPr>
        <w:t>Finally, the Commission highlights</w:t>
      </w:r>
      <w:r w:rsidR="00875DF1" w:rsidRPr="00D920C9">
        <w:rPr>
          <w:rFonts w:asciiTheme="minorHAnsi" w:hAnsiTheme="minorHAnsi"/>
        </w:rPr>
        <w:t xml:space="preserve"> with concern information received </w:t>
      </w:r>
      <w:r w:rsidR="006B01DA" w:rsidRPr="00D920C9">
        <w:rPr>
          <w:rFonts w:asciiTheme="minorHAnsi" w:hAnsiTheme="minorHAnsi"/>
        </w:rPr>
        <w:t>related to the</w:t>
      </w:r>
      <w:r w:rsidR="00875DF1" w:rsidRPr="00D920C9">
        <w:rPr>
          <w:rFonts w:asciiTheme="minorHAnsi" w:hAnsiTheme="minorHAnsi"/>
        </w:rPr>
        <w:t xml:space="preserve"> increased surveillance of racial justice activists by domestic law enforcement agencies like the FBI,</w:t>
      </w:r>
      <w:r w:rsidR="00875DF1" w:rsidRPr="00D920C9">
        <w:rPr>
          <w:rStyle w:val="FootnoteReference"/>
          <w:rFonts w:asciiTheme="minorHAnsi" w:hAnsiTheme="minorHAnsi"/>
        </w:rPr>
        <w:footnoteReference w:id="273"/>
      </w:r>
      <w:r w:rsidR="00875DF1" w:rsidRPr="00D920C9">
        <w:rPr>
          <w:rFonts w:asciiTheme="minorHAnsi" w:hAnsiTheme="minorHAnsi"/>
        </w:rPr>
        <w:t xml:space="preserve"> as well as the denomination of these groups as “Black Identity Extremists.”</w:t>
      </w:r>
      <w:r w:rsidR="00875DF1" w:rsidRPr="00D920C9">
        <w:rPr>
          <w:rStyle w:val="FootnoteReference"/>
          <w:rFonts w:asciiTheme="minorHAnsi" w:hAnsiTheme="minorHAnsi"/>
        </w:rPr>
        <w:footnoteReference w:id="274"/>
      </w:r>
      <w:r w:rsidR="00875DF1" w:rsidRPr="00D920C9">
        <w:rPr>
          <w:rFonts w:asciiTheme="minorHAnsi" w:hAnsiTheme="minorHAnsi"/>
        </w:rPr>
        <w:t xml:space="preserve"> The Commission notes that </w:t>
      </w:r>
      <w:r w:rsidR="00487BD5" w:rsidRPr="00D920C9">
        <w:rPr>
          <w:rFonts w:asciiTheme="minorHAnsi" w:hAnsiTheme="minorHAnsi"/>
        </w:rPr>
        <w:t>the stigmatization of anti-racism activists is not a new phenomenon in the U</w:t>
      </w:r>
      <w:r w:rsidR="00302A96" w:rsidRPr="00D920C9">
        <w:rPr>
          <w:rFonts w:asciiTheme="minorHAnsi" w:hAnsiTheme="minorHAnsi"/>
        </w:rPr>
        <w:t>.</w:t>
      </w:r>
      <w:r w:rsidR="00487BD5" w:rsidRPr="00D920C9">
        <w:rPr>
          <w:rFonts w:asciiTheme="minorHAnsi" w:hAnsiTheme="minorHAnsi"/>
        </w:rPr>
        <w:t>S</w:t>
      </w:r>
      <w:r w:rsidR="00302A96" w:rsidRPr="00D920C9">
        <w:rPr>
          <w:rFonts w:asciiTheme="minorHAnsi" w:hAnsiTheme="minorHAnsi"/>
        </w:rPr>
        <w:t>.</w:t>
      </w:r>
      <w:r w:rsidR="00487BD5" w:rsidRPr="00D920C9">
        <w:rPr>
          <w:rFonts w:asciiTheme="minorHAnsi" w:hAnsiTheme="minorHAnsi"/>
        </w:rPr>
        <w:t xml:space="preserve">; during the civil rights movement of the 1960s, activists like the Rev. </w:t>
      </w:r>
      <w:r w:rsidR="00487BD5" w:rsidRPr="00D920C9">
        <w:rPr>
          <w:rFonts w:asciiTheme="minorHAnsi" w:hAnsiTheme="minorHAnsi"/>
        </w:rPr>
        <w:lastRenderedPageBreak/>
        <w:t>Dr. Martin Luther King, Jr. and members of the Black Panther Party were similarly targeted by the FBI’s “</w:t>
      </w:r>
      <w:proofErr w:type="spellStart"/>
      <w:r w:rsidR="00487BD5" w:rsidRPr="00D920C9">
        <w:rPr>
          <w:rFonts w:asciiTheme="minorHAnsi" w:hAnsiTheme="minorHAnsi"/>
        </w:rPr>
        <w:t>Cointelpro</w:t>
      </w:r>
      <w:proofErr w:type="spellEnd"/>
      <w:r w:rsidR="00487BD5" w:rsidRPr="00D920C9">
        <w:rPr>
          <w:rFonts w:asciiTheme="minorHAnsi" w:hAnsiTheme="minorHAnsi"/>
        </w:rPr>
        <w:t>” (“counterintelligence program”).</w:t>
      </w:r>
      <w:r w:rsidR="00487BD5" w:rsidRPr="00D920C9">
        <w:rPr>
          <w:rStyle w:val="FootnoteReference"/>
          <w:rFonts w:asciiTheme="minorHAnsi" w:hAnsiTheme="minorHAnsi"/>
        </w:rPr>
        <w:footnoteReference w:id="275"/>
      </w:r>
      <w:r w:rsidR="00487BD5" w:rsidRPr="00D920C9">
        <w:rPr>
          <w:rFonts w:asciiTheme="minorHAnsi" w:hAnsiTheme="minorHAnsi"/>
        </w:rPr>
        <w:t xml:space="preserve"> The Commission notes that, among other deleterious effects of increased surveillance of racial justice movements, this surveillance also has the effect of </w:t>
      </w:r>
      <w:r w:rsidR="0097382D" w:rsidRPr="00D920C9">
        <w:rPr>
          <w:rFonts w:asciiTheme="minorHAnsi" w:hAnsiTheme="minorHAnsi"/>
        </w:rPr>
        <w:t>increasing the likelihood that its targets will be stigmatized and criminalized, exposing its targets to the increased risk of violence (e.g. in the context of raids), and chilling free speech and freedom of assembly.</w:t>
      </w:r>
      <w:bookmarkEnd w:id="100"/>
    </w:p>
    <w:p w14:paraId="4AD2DF36" w14:textId="77777777" w:rsidR="00F95620" w:rsidRPr="00D920C9" w:rsidRDefault="00F95620" w:rsidP="003A1642">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In light of the foregoing, the Commission calls on the State to guarantee the rights to freedom of speech and freedom of assembly, and in particular to ensure their enforcement without discrimination on the basis of race or other prohibited grounds.</w:t>
      </w:r>
    </w:p>
    <w:p w14:paraId="5DA57350" w14:textId="77777777" w:rsidR="00B4412C" w:rsidRPr="00D920C9" w:rsidRDefault="00772E4F" w:rsidP="003D7958">
      <w:pPr>
        <w:pStyle w:val="Heading3"/>
        <w:ind w:left="540" w:hanging="540"/>
      </w:pPr>
      <w:bookmarkStart w:id="101" w:name="_Toc511837815"/>
      <w:bookmarkStart w:id="102" w:name="_Toc511902988"/>
      <w:bookmarkStart w:id="103" w:name="_Toc517687918"/>
      <w:r w:rsidRPr="00D920C9">
        <w:t xml:space="preserve">Aspects of </w:t>
      </w:r>
      <w:r w:rsidR="0013717A" w:rsidRPr="00D920C9">
        <w:t xml:space="preserve">Racial Discrimination </w:t>
      </w:r>
      <w:r w:rsidRPr="00D920C9">
        <w:t xml:space="preserve">in the </w:t>
      </w:r>
      <w:r w:rsidR="0013717A" w:rsidRPr="00D920C9">
        <w:t>Criminal Justice System</w:t>
      </w:r>
      <w:bookmarkEnd w:id="101"/>
      <w:bookmarkEnd w:id="102"/>
      <w:bookmarkEnd w:id="103"/>
    </w:p>
    <w:p w14:paraId="2F459C8E" w14:textId="6CDB0275" w:rsidR="00B4412C" w:rsidRPr="00D920C9" w:rsidRDefault="00B4412C" w:rsidP="003A1642">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w:t>
      </w:r>
      <w:r w:rsidR="008E0CD6" w:rsidRPr="00D920C9">
        <w:rPr>
          <w:rFonts w:asciiTheme="minorHAnsi" w:hAnsiTheme="minorHAnsi"/>
        </w:rPr>
        <w:t>Commission</w:t>
      </w:r>
      <w:r w:rsidRPr="00D920C9">
        <w:rPr>
          <w:rFonts w:asciiTheme="minorHAnsi" w:hAnsiTheme="minorHAnsi"/>
        </w:rPr>
        <w:t xml:space="preserve"> continues to </w:t>
      </w:r>
      <w:r w:rsidR="00EE6A51" w:rsidRPr="00D920C9">
        <w:rPr>
          <w:rFonts w:asciiTheme="minorHAnsi" w:hAnsiTheme="minorHAnsi"/>
        </w:rPr>
        <w:t>be</w:t>
      </w:r>
      <w:r w:rsidR="008E0CD6" w:rsidRPr="00D920C9">
        <w:rPr>
          <w:rFonts w:asciiTheme="minorHAnsi" w:hAnsiTheme="minorHAnsi"/>
        </w:rPr>
        <w:t xml:space="preserve"> concern</w:t>
      </w:r>
      <w:r w:rsidR="00EE6A51" w:rsidRPr="00D920C9">
        <w:rPr>
          <w:rFonts w:asciiTheme="minorHAnsi" w:hAnsiTheme="minorHAnsi"/>
        </w:rPr>
        <w:t>ed</w:t>
      </w:r>
      <w:r w:rsidRPr="00D920C9">
        <w:rPr>
          <w:rFonts w:asciiTheme="minorHAnsi" w:hAnsiTheme="minorHAnsi"/>
        </w:rPr>
        <w:t xml:space="preserve"> </w:t>
      </w:r>
      <w:r w:rsidR="00EE6A51" w:rsidRPr="00D920C9">
        <w:rPr>
          <w:rFonts w:asciiTheme="minorHAnsi" w:hAnsiTheme="minorHAnsi"/>
        </w:rPr>
        <w:t>by</w:t>
      </w:r>
      <w:r w:rsidRPr="00D920C9">
        <w:rPr>
          <w:rFonts w:asciiTheme="minorHAnsi" w:hAnsiTheme="minorHAnsi"/>
        </w:rPr>
        <w:t xml:space="preserve"> racial </w:t>
      </w:r>
      <w:r w:rsidR="008E0CD6" w:rsidRPr="00D920C9">
        <w:rPr>
          <w:rFonts w:asciiTheme="minorHAnsi" w:hAnsiTheme="minorHAnsi"/>
        </w:rPr>
        <w:t>discrimination</w:t>
      </w:r>
      <w:r w:rsidRPr="00D920C9">
        <w:rPr>
          <w:rFonts w:asciiTheme="minorHAnsi" w:hAnsiTheme="minorHAnsi"/>
        </w:rPr>
        <w:t xml:space="preserve"> in the criminal justice system,</w:t>
      </w:r>
      <w:r w:rsidR="008E0CD6" w:rsidRPr="00D920C9">
        <w:rPr>
          <w:rFonts w:asciiTheme="minorHAnsi" w:hAnsiTheme="minorHAnsi"/>
        </w:rPr>
        <w:t xml:space="preserve"> from </w:t>
      </w:r>
      <w:r w:rsidR="00EE6A51" w:rsidRPr="00D920C9">
        <w:rPr>
          <w:rFonts w:asciiTheme="minorHAnsi" w:hAnsiTheme="minorHAnsi"/>
        </w:rPr>
        <w:t xml:space="preserve">the moment of </w:t>
      </w:r>
      <w:r w:rsidR="008E0CD6" w:rsidRPr="00D920C9">
        <w:rPr>
          <w:rFonts w:asciiTheme="minorHAnsi" w:hAnsiTheme="minorHAnsi"/>
        </w:rPr>
        <w:t>arrest to criminal trials to sentencing,</w:t>
      </w:r>
      <w:r w:rsidRPr="00D920C9">
        <w:rPr>
          <w:rFonts w:asciiTheme="minorHAnsi" w:hAnsiTheme="minorHAnsi"/>
        </w:rPr>
        <w:t xml:space="preserve"> as well as sentencing disparities and the overrepresentation of </w:t>
      </w:r>
      <w:r w:rsidR="008E0CD6" w:rsidRPr="00D920C9">
        <w:rPr>
          <w:rFonts w:asciiTheme="minorHAnsi" w:hAnsiTheme="minorHAnsi"/>
        </w:rPr>
        <w:t>African</w:t>
      </w:r>
      <w:r w:rsidR="0030356C" w:rsidRPr="00D920C9">
        <w:rPr>
          <w:rFonts w:asciiTheme="minorHAnsi" w:hAnsiTheme="minorHAnsi"/>
        </w:rPr>
        <w:t xml:space="preserve"> </w:t>
      </w:r>
      <w:r w:rsidR="008E0CD6" w:rsidRPr="00D920C9">
        <w:rPr>
          <w:rFonts w:asciiTheme="minorHAnsi" w:hAnsiTheme="minorHAnsi"/>
        </w:rPr>
        <w:t>Americans and other historically marginalized groups in prisons and jails</w:t>
      </w:r>
      <w:r w:rsidRPr="00D920C9">
        <w:rPr>
          <w:rFonts w:asciiTheme="minorHAnsi" w:hAnsiTheme="minorHAnsi"/>
        </w:rPr>
        <w:t>.</w:t>
      </w:r>
      <w:r w:rsidRPr="00D920C9">
        <w:rPr>
          <w:rStyle w:val="FootnoteReference"/>
          <w:rFonts w:asciiTheme="minorHAnsi" w:hAnsiTheme="minorHAnsi"/>
        </w:rPr>
        <w:footnoteReference w:id="276"/>
      </w:r>
      <w:r w:rsidR="008E0CD6" w:rsidRPr="00D920C9">
        <w:rPr>
          <w:rFonts w:asciiTheme="minorHAnsi" w:hAnsiTheme="minorHAnsi"/>
        </w:rPr>
        <w:t xml:space="preserve"> The Commission notes that </w:t>
      </w:r>
      <w:r w:rsidR="00BC2D83" w:rsidRPr="00D920C9">
        <w:rPr>
          <w:rFonts w:asciiTheme="minorHAnsi" w:hAnsiTheme="minorHAnsi"/>
        </w:rPr>
        <w:t xml:space="preserve">racism </w:t>
      </w:r>
      <w:r w:rsidR="008E0CD6" w:rsidRPr="00D920C9">
        <w:rPr>
          <w:rFonts w:asciiTheme="minorHAnsi" w:hAnsiTheme="minorHAnsi"/>
        </w:rPr>
        <w:t xml:space="preserve">at every stage of the criminal justice process tends to create a vicious circle, where disparities in </w:t>
      </w:r>
      <w:r w:rsidR="00391E69" w:rsidRPr="00D920C9">
        <w:rPr>
          <w:rFonts w:asciiTheme="minorHAnsi" w:hAnsiTheme="minorHAnsi"/>
        </w:rPr>
        <w:t xml:space="preserve">policing, </w:t>
      </w:r>
      <w:r w:rsidR="008E0CD6" w:rsidRPr="00D920C9">
        <w:rPr>
          <w:rFonts w:asciiTheme="minorHAnsi" w:hAnsiTheme="minorHAnsi"/>
        </w:rPr>
        <w:t>arrests</w:t>
      </w:r>
      <w:r w:rsidR="00391E69" w:rsidRPr="00D920C9">
        <w:rPr>
          <w:rFonts w:asciiTheme="minorHAnsi" w:hAnsiTheme="minorHAnsi"/>
        </w:rPr>
        <w:t>,</w:t>
      </w:r>
      <w:r w:rsidR="008E0CD6" w:rsidRPr="00D920C9">
        <w:rPr>
          <w:rFonts w:asciiTheme="minorHAnsi" w:hAnsiTheme="minorHAnsi"/>
        </w:rPr>
        <w:t xml:space="preserve"> and pretrial detention lead to disparities in charges and convictions, and ultimately in incarceration and </w:t>
      </w:r>
      <w:proofErr w:type="spellStart"/>
      <w:r w:rsidR="008E0CD6" w:rsidRPr="00D920C9">
        <w:rPr>
          <w:rFonts w:asciiTheme="minorHAnsi" w:hAnsiTheme="minorHAnsi"/>
        </w:rPr>
        <w:t>reincarceration</w:t>
      </w:r>
      <w:proofErr w:type="spellEnd"/>
      <w:r w:rsidR="008E0CD6" w:rsidRPr="00D920C9">
        <w:rPr>
          <w:rFonts w:asciiTheme="minorHAnsi" w:hAnsiTheme="minorHAnsi"/>
        </w:rPr>
        <w:t xml:space="preserve"> rates. </w:t>
      </w:r>
      <w:bookmarkStart w:id="104" w:name="_Ref507083898"/>
      <w:r w:rsidR="008E0CD6" w:rsidRPr="00D920C9">
        <w:rPr>
          <w:rFonts w:asciiTheme="minorHAnsi" w:hAnsiTheme="minorHAnsi"/>
        </w:rPr>
        <w:t>In light of this concerning panorama, the Commission highlights the obligation of the State to address this structural issue in a comprehensive manner, in compliance with its international obligations in the areas of non-discrimination, due process, and judicial guarantees</w:t>
      </w:r>
      <w:r w:rsidR="004936E2" w:rsidRPr="00D920C9">
        <w:rPr>
          <w:rFonts w:asciiTheme="minorHAnsi" w:hAnsiTheme="minorHAnsi"/>
        </w:rPr>
        <w:t>, and calls for comprehensive actions, in line with th</w:t>
      </w:r>
      <w:r w:rsidR="00B13891" w:rsidRPr="00D920C9">
        <w:rPr>
          <w:rFonts w:asciiTheme="minorHAnsi" w:hAnsiTheme="minorHAnsi"/>
        </w:rPr>
        <w:t>e considerations in Chapters 3 and 4</w:t>
      </w:r>
      <w:r w:rsidR="004936E2" w:rsidRPr="00D920C9">
        <w:rPr>
          <w:rFonts w:asciiTheme="minorHAnsi" w:hAnsiTheme="minorHAnsi"/>
        </w:rPr>
        <w:t>, to address these issues</w:t>
      </w:r>
      <w:r w:rsidR="008E0CD6" w:rsidRPr="00D920C9">
        <w:rPr>
          <w:rFonts w:asciiTheme="minorHAnsi" w:hAnsiTheme="minorHAnsi"/>
        </w:rPr>
        <w:t>.</w:t>
      </w:r>
      <w:bookmarkEnd w:id="104"/>
    </w:p>
    <w:p w14:paraId="1C93BAEC" w14:textId="77777777" w:rsidR="00B4412C" w:rsidRPr="00D920C9" w:rsidRDefault="00B4412C" w:rsidP="003D7958">
      <w:pPr>
        <w:pStyle w:val="Heading4"/>
        <w:numPr>
          <w:ilvl w:val="0"/>
          <w:numId w:val="34"/>
        </w:numPr>
        <w:ind w:left="540" w:hanging="540"/>
      </w:pPr>
      <w:bookmarkStart w:id="105" w:name="_Ref507665030"/>
      <w:bookmarkStart w:id="106" w:name="_Toc511837816"/>
      <w:bookmarkStart w:id="107" w:name="_Toc511902989"/>
      <w:bookmarkStart w:id="108" w:name="_Toc517687919"/>
      <w:r w:rsidRPr="00D920C9">
        <w:t xml:space="preserve">Racial </w:t>
      </w:r>
      <w:r w:rsidR="00D86045" w:rsidRPr="00D920C9">
        <w:t xml:space="preserve">Disparities </w:t>
      </w:r>
      <w:r w:rsidRPr="00D920C9">
        <w:t xml:space="preserve">in </w:t>
      </w:r>
      <w:r w:rsidR="00D86045" w:rsidRPr="00D920C9">
        <w:t>Arrests</w:t>
      </w:r>
      <w:bookmarkEnd w:id="105"/>
      <w:bookmarkEnd w:id="106"/>
      <w:bookmarkEnd w:id="107"/>
      <w:bookmarkEnd w:id="108"/>
    </w:p>
    <w:p w14:paraId="6A76A036" w14:textId="77777777" w:rsidR="00D53B5E" w:rsidRPr="00D920C9" w:rsidRDefault="00100884" w:rsidP="003A1642">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Commission remains </w:t>
      </w:r>
      <w:r w:rsidR="00BC2D83" w:rsidRPr="00D920C9">
        <w:rPr>
          <w:rFonts w:asciiTheme="minorHAnsi" w:hAnsiTheme="minorHAnsi"/>
        </w:rPr>
        <w:t>seriously</w:t>
      </w:r>
      <w:r w:rsidRPr="00D920C9">
        <w:rPr>
          <w:rFonts w:asciiTheme="minorHAnsi" w:hAnsiTheme="minorHAnsi"/>
        </w:rPr>
        <w:t xml:space="preserve"> concerned by reports of racial disparities in the number and kind of arrests in the </w:t>
      </w:r>
      <w:r w:rsidR="00344360" w:rsidRPr="00D920C9">
        <w:rPr>
          <w:rFonts w:asciiTheme="minorHAnsi" w:hAnsiTheme="minorHAnsi"/>
        </w:rPr>
        <w:t>U.S</w:t>
      </w:r>
      <w:r w:rsidRPr="00D920C9">
        <w:rPr>
          <w:rFonts w:asciiTheme="minorHAnsi" w:hAnsiTheme="minorHAnsi"/>
        </w:rPr>
        <w:t xml:space="preserve">. It notes that this is closely linked to racial discrimination in policing, </w:t>
      </w:r>
      <w:r w:rsidR="00EE6A51" w:rsidRPr="00D920C9">
        <w:rPr>
          <w:rFonts w:asciiTheme="minorHAnsi" w:hAnsiTheme="minorHAnsi"/>
        </w:rPr>
        <w:t>which</w:t>
      </w:r>
      <w:r w:rsidR="008E0CD6" w:rsidRPr="00D920C9">
        <w:rPr>
          <w:rFonts w:asciiTheme="minorHAnsi" w:hAnsiTheme="minorHAnsi"/>
        </w:rPr>
        <w:t xml:space="preserve"> facilitates disparities in criminal justice outcomes for African Americans.</w:t>
      </w:r>
      <w:r w:rsidR="00DA69CF" w:rsidRPr="00D920C9">
        <w:rPr>
          <w:rFonts w:asciiTheme="minorHAnsi" w:hAnsiTheme="minorHAnsi"/>
        </w:rPr>
        <w:t xml:space="preserve"> </w:t>
      </w:r>
      <w:r w:rsidR="0085670E" w:rsidRPr="00D920C9">
        <w:rPr>
          <w:rFonts w:asciiTheme="minorHAnsi" w:hAnsiTheme="minorHAnsi"/>
        </w:rPr>
        <w:t>T</w:t>
      </w:r>
      <w:r w:rsidR="00DA69CF" w:rsidRPr="00D920C9">
        <w:rPr>
          <w:rFonts w:asciiTheme="minorHAnsi" w:hAnsiTheme="minorHAnsi"/>
        </w:rPr>
        <w:t xml:space="preserve">he Commission reiterates </w:t>
      </w:r>
      <w:r w:rsidR="00EE6A51" w:rsidRPr="00D920C9">
        <w:rPr>
          <w:rFonts w:asciiTheme="minorHAnsi" w:hAnsiTheme="minorHAnsi"/>
        </w:rPr>
        <w:t>the need</w:t>
      </w:r>
      <w:r w:rsidR="00DA69CF" w:rsidRPr="00D920C9">
        <w:rPr>
          <w:rFonts w:asciiTheme="minorHAnsi" w:hAnsiTheme="minorHAnsi"/>
        </w:rPr>
        <w:t xml:space="preserve"> for more research on alternative approaches to over-criminalization and arrests, especially for </w:t>
      </w:r>
      <w:r w:rsidR="00920995" w:rsidRPr="00D920C9">
        <w:rPr>
          <w:rFonts w:asciiTheme="minorHAnsi" w:hAnsiTheme="minorHAnsi"/>
        </w:rPr>
        <w:lastRenderedPageBreak/>
        <w:t>misdemeanors</w:t>
      </w:r>
      <w:r w:rsidR="00DA69CF" w:rsidRPr="00D920C9">
        <w:rPr>
          <w:rFonts w:asciiTheme="minorHAnsi" w:hAnsiTheme="minorHAnsi"/>
        </w:rPr>
        <w:t xml:space="preserve">, considering the negative impact of a criminal record in the life plan of the </w:t>
      </w:r>
      <w:r w:rsidR="00EE6A51" w:rsidRPr="00D920C9">
        <w:rPr>
          <w:rFonts w:asciiTheme="minorHAnsi" w:hAnsiTheme="minorHAnsi"/>
        </w:rPr>
        <w:t>individuals</w:t>
      </w:r>
      <w:r w:rsidR="00DA69CF" w:rsidRPr="00D920C9">
        <w:rPr>
          <w:rFonts w:asciiTheme="minorHAnsi" w:hAnsiTheme="minorHAnsi"/>
        </w:rPr>
        <w:t xml:space="preserve"> affected.</w:t>
      </w:r>
      <w:r w:rsidR="00DA69CF" w:rsidRPr="00D920C9">
        <w:rPr>
          <w:rStyle w:val="FootnoteReference"/>
          <w:rFonts w:asciiTheme="minorHAnsi" w:hAnsiTheme="minorHAnsi"/>
        </w:rPr>
        <w:footnoteReference w:id="277"/>
      </w:r>
    </w:p>
    <w:p w14:paraId="63ED2576" w14:textId="11931625" w:rsidR="00D53B5E" w:rsidRPr="00D920C9" w:rsidRDefault="00D53B5E" w:rsidP="003A1642">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The Commission notes with concern the role of implicit or explicit bias against African</w:t>
      </w:r>
      <w:r w:rsidR="008E0CD6" w:rsidRPr="00D920C9">
        <w:rPr>
          <w:rFonts w:asciiTheme="minorHAnsi" w:hAnsiTheme="minorHAnsi"/>
        </w:rPr>
        <w:t xml:space="preserve"> </w:t>
      </w:r>
      <w:r w:rsidRPr="00D920C9">
        <w:rPr>
          <w:rFonts w:asciiTheme="minorHAnsi" w:hAnsiTheme="minorHAnsi"/>
        </w:rPr>
        <w:t>Americans in differential arrest rates. The power of police to make stops, searches, and arrests is discretionary, and there is strong evidence that this power is used disproportionately against black men.</w:t>
      </w:r>
      <w:r w:rsidRPr="00D920C9">
        <w:rPr>
          <w:rStyle w:val="FootnoteReference"/>
          <w:rFonts w:asciiTheme="minorHAnsi" w:hAnsiTheme="minorHAnsi"/>
        </w:rPr>
        <w:footnoteReference w:id="278"/>
      </w:r>
      <w:r w:rsidRPr="00D920C9">
        <w:rPr>
          <w:rFonts w:asciiTheme="minorHAnsi" w:hAnsiTheme="minorHAnsi"/>
        </w:rPr>
        <w:t xml:space="preserve"> Racial disparity in arrests is apparent both overall, and in arrest</w:t>
      </w:r>
      <w:r w:rsidR="00305744" w:rsidRPr="00D920C9">
        <w:rPr>
          <w:rFonts w:asciiTheme="minorHAnsi" w:hAnsiTheme="minorHAnsi"/>
        </w:rPr>
        <w:t>s</w:t>
      </w:r>
      <w:r w:rsidRPr="00D920C9">
        <w:rPr>
          <w:rFonts w:asciiTheme="minorHAnsi" w:hAnsiTheme="minorHAnsi"/>
        </w:rPr>
        <w:t xml:space="preserve"> made incident to stops and searches. For example, one study</w:t>
      </w:r>
      <w:r w:rsidR="00920995" w:rsidRPr="00D920C9">
        <w:rPr>
          <w:rFonts w:asciiTheme="minorHAnsi" w:hAnsiTheme="minorHAnsi"/>
        </w:rPr>
        <w:t xml:space="preserve"> of FBI statistics</w:t>
      </w:r>
      <w:r w:rsidRPr="00D920C9">
        <w:rPr>
          <w:rFonts w:asciiTheme="minorHAnsi" w:hAnsiTheme="minorHAnsi"/>
        </w:rPr>
        <w:t xml:space="preserve"> found that </w:t>
      </w:r>
      <w:r w:rsidR="00920995" w:rsidRPr="00D920C9">
        <w:rPr>
          <w:rFonts w:asciiTheme="minorHAnsi" w:hAnsiTheme="minorHAnsi"/>
        </w:rPr>
        <w:t>B</w:t>
      </w:r>
      <w:r w:rsidRPr="00D920C9">
        <w:rPr>
          <w:rFonts w:asciiTheme="minorHAnsi" w:hAnsiTheme="minorHAnsi"/>
        </w:rPr>
        <w:t xml:space="preserve">lacks are more likely than others to be arrested </w:t>
      </w:r>
      <w:r w:rsidR="00B13891" w:rsidRPr="00D920C9">
        <w:rPr>
          <w:rFonts w:asciiTheme="minorHAnsi" w:hAnsiTheme="minorHAnsi"/>
        </w:rPr>
        <w:t xml:space="preserve">in almost every city for </w:t>
      </w:r>
      <w:r w:rsidRPr="00D920C9">
        <w:rPr>
          <w:rFonts w:asciiTheme="minorHAnsi" w:hAnsiTheme="minorHAnsi"/>
        </w:rPr>
        <w:t>every type of crime, from murder and assault to loitering and marijuana possession. Only 173 of the 3,538 police departments examined</w:t>
      </w:r>
      <w:r w:rsidR="00920995" w:rsidRPr="00D920C9">
        <w:rPr>
          <w:rFonts w:asciiTheme="minorHAnsi" w:hAnsiTheme="minorHAnsi"/>
        </w:rPr>
        <w:t xml:space="preserve"> (4.9%)</w:t>
      </w:r>
      <w:r w:rsidRPr="00D920C9">
        <w:rPr>
          <w:rFonts w:asciiTheme="minorHAnsi" w:hAnsiTheme="minorHAnsi"/>
        </w:rPr>
        <w:t xml:space="preserve"> arrested black people at a rate equal to or lower than other racial groups.</w:t>
      </w:r>
      <w:r w:rsidRPr="00D920C9">
        <w:rPr>
          <w:rStyle w:val="FootnoteReference"/>
          <w:rFonts w:asciiTheme="minorHAnsi" w:hAnsiTheme="minorHAnsi"/>
        </w:rPr>
        <w:footnoteReference w:id="279"/>
      </w:r>
      <w:r w:rsidRPr="00D920C9">
        <w:rPr>
          <w:rFonts w:asciiTheme="minorHAnsi" w:hAnsiTheme="minorHAnsi"/>
        </w:rPr>
        <w:t xml:space="preserve"> </w:t>
      </w:r>
      <w:r w:rsidR="00F74A3F" w:rsidRPr="00D920C9">
        <w:rPr>
          <w:rFonts w:asciiTheme="minorHAnsi" w:hAnsiTheme="minorHAnsi"/>
        </w:rPr>
        <w:t xml:space="preserve">Regarding arrests incident to stops, a study of traffic stop outcomes by the Bureau of Justice </w:t>
      </w:r>
      <w:r w:rsidR="00EE6A51" w:rsidRPr="00D920C9">
        <w:rPr>
          <w:rFonts w:asciiTheme="minorHAnsi" w:hAnsiTheme="minorHAnsi"/>
        </w:rPr>
        <w:t>S</w:t>
      </w:r>
      <w:r w:rsidR="00F74A3F" w:rsidRPr="00D920C9">
        <w:rPr>
          <w:rFonts w:asciiTheme="minorHAnsi" w:hAnsiTheme="minorHAnsi"/>
        </w:rPr>
        <w:t xml:space="preserve">tatistics showed that </w:t>
      </w:r>
      <w:r w:rsidR="00920995" w:rsidRPr="00D920C9">
        <w:rPr>
          <w:rFonts w:asciiTheme="minorHAnsi" w:hAnsiTheme="minorHAnsi"/>
        </w:rPr>
        <w:t>b</w:t>
      </w:r>
      <w:r w:rsidR="00F74A3F" w:rsidRPr="00D920C9">
        <w:rPr>
          <w:rFonts w:asciiTheme="minorHAnsi" w:hAnsiTheme="minorHAnsi"/>
        </w:rPr>
        <w:t xml:space="preserve">lack drivers (4.5%) were twice as likely as </w:t>
      </w:r>
      <w:r w:rsidR="00920995" w:rsidRPr="00D920C9">
        <w:rPr>
          <w:rFonts w:asciiTheme="minorHAnsi" w:hAnsiTheme="minorHAnsi"/>
        </w:rPr>
        <w:t>w</w:t>
      </w:r>
      <w:r w:rsidR="00F74A3F" w:rsidRPr="00D920C9">
        <w:rPr>
          <w:rFonts w:asciiTheme="minorHAnsi" w:hAnsiTheme="minorHAnsi"/>
        </w:rPr>
        <w:t>hite drivers (2.1%) to be arrested during a traffic stop; conversely, Whites (18.6%) were more likely than Blacks (13.7%) to be let go wi</w:t>
      </w:r>
      <w:r w:rsidR="00920995" w:rsidRPr="00D920C9">
        <w:rPr>
          <w:rFonts w:asciiTheme="minorHAnsi" w:hAnsiTheme="minorHAnsi"/>
        </w:rPr>
        <w:t>th a verbal warning from police,</w:t>
      </w:r>
      <w:r w:rsidR="00F74A3F" w:rsidRPr="00D920C9">
        <w:rPr>
          <w:rStyle w:val="FootnoteReference"/>
          <w:rFonts w:asciiTheme="minorHAnsi" w:hAnsiTheme="minorHAnsi"/>
        </w:rPr>
        <w:footnoteReference w:id="280"/>
      </w:r>
      <w:r w:rsidR="00920995" w:rsidRPr="00D920C9">
        <w:rPr>
          <w:rFonts w:asciiTheme="minorHAnsi" w:hAnsiTheme="minorHAnsi"/>
        </w:rPr>
        <w:t xml:space="preserve"> evidencing a differential treatment, whether implicit or explicit, by police toward black drivers.</w:t>
      </w:r>
      <w:r w:rsidR="00F74A3F" w:rsidRPr="00D920C9">
        <w:rPr>
          <w:rFonts w:asciiTheme="minorHAnsi" w:hAnsiTheme="minorHAnsi"/>
        </w:rPr>
        <w:t xml:space="preserve"> </w:t>
      </w:r>
    </w:p>
    <w:p w14:paraId="1BC304A6" w14:textId="1EC336D9" w:rsidR="00F2103D" w:rsidRPr="00D920C9" w:rsidRDefault="00B4412C" w:rsidP="003A1642">
      <w:pPr>
        <w:pStyle w:val="ListParagraph"/>
        <w:numPr>
          <w:ilvl w:val="0"/>
          <w:numId w:val="9"/>
        </w:numPr>
        <w:spacing w:after="240" w:line="240" w:lineRule="auto"/>
        <w:ind w:left="547" w:hanging="547"/>
        <w:contextualSpacing w:val="0"/>
        <w:jc w:val="both"/>
        <w:rPr>
          <w:rFonts w:asciiTheme="minorHAnsi" w:eastAsiaTheme="minorEastAsia" w:hAnsiTheme="minorHAnsi" w:cs="Calibri"/>
          <w:lang w:eastAsia="es-ES"/>
        </w:rPr>
      </w:pPr>
      <w:r w:rsidRPr="00D920C9">
        <w:rPr>
          <w:rFonts w:asciiTheme="minorHAnsi" w:eastAsiaTheme="minorEastAsia" w:hAnsiTheme="minorHAnsi" w:cs="Calibri"/>
          <w:lang w:eastAsia="es-ES"/>
        </w:rPr>
        <w:t xml:space="preserve">The </w:t>
      </w:r>
      <w:r w:rsidR="00892BDC" w:rsidRPr="00D920C9">
        <w:rPr>
          <w:rFonts w:asciiTheme="minorHAnsi" w:eastAsiaTheme="minorEastAsia" w:hAnsiTheme="minorHAnsi" w:cs="Calibri"/>
          <w:lang w:eastAsia="es-ES"/>
        </w:rPr>
        <w:t>Commission has previously considered that</w:t>
      </w:r>
      <w:r w:rsidR="00B13891" w:rsidRPr="00D920C9">
        <w:rPr>
          <w:rFonts w:asciiTheme="minorHAnsi" w:eastAsiaTheme="minorEastAsia" w:hAnsiTheme="minorHAnsi" w:cs="Calibri"/>
          <w:lang w:eastAsia="es-ES"/>
        </w:rPr>
        <w:t xml:space="preserve"> the</w:t>
      </w:r>
      <w:r w:rsidR="00892BDC" w:rsidRPr="00D920C9">
        <w:rPr>
          <w:rFonts w:asciiTheme="minorHAnsi" w:eastAsiaTheme="minorEastAsia" w:hAnsiTheme="minorHAnsi" w:cs="Calibri"/>
          <w:lang w:eastAsia="es-ES"/>
        </w:rPr>
        <w:t xml:space="preserve"> </w:t>
      </w:r>
      <w:r w:rsidRPr="00D920C9">
        <w:rPr>
          <w:rFonts w:asciiTheme="minorHAnsi" w:hAnsiTheme="minorHAnsi"/>
        </w:rPr>
        <w:t>war</w:t>
      </w:r>
      <w:r w:rsidRPr="00D920C9">
        <w:rPr>
          <w:rFonts w:asciiTheme="minorHAnsi" w:eastAsiaTheme="minorEastAsia" w:hAnsiTheme="minorHAnsi" w:cs="Calibri"/>
          <w:lang w:eastAsia="es-ES"/>
        </w:rPr>
        <w:t xml:space="preserve"> on drugs exacerbates racial disparities</w:t>
      </w:r>
      <w:r w:rsidR="00892BDC" w:rsidRPr="00D920C9">
        <w:rPr>
          <w:rFonts w:asciiTheme="minorHAnsi" w:eastAsiaTheme="minorEastAsia" w:hAnsiTheme="minorHAnsi" w:cs="Calibri"/>
          <w:lang w:eastAsia="es-ES"/>
        </w:rPr>
        <w:t xml:space="preserve"> in arrests</w:t>
      </w:r>
      <w:r w:rsidRPr="00D920C9">
        <w:rPr>
          <w:rFonts w:asciiTheme="minorHAnsi" w:eastAsiaTheme="minorEastAsia" w:hAnsiTheme="minorHAnsi" w:cs="Calibri"/>
          <w:lang w:eastAsia="es-ES"/>
        </w:rPr>
        <w:t xml:space="preserve">. Police target poor black neighborhoods to make low-level drug arrests, funneling </w:t>
      </w:r>
      <w:r w:rsidR="00657AA5" w:rsidRPr="00D920C9">
        <w:rPr>
          <w:rFonts w:asciiTheme="minorHAnsi" w:eastAsiaTheme="minorEastAsia" w:hAnsiTheme="minorHAnsi" w:cs="Calibri"/>
          <w:lang w:eastAsia="es-ES"/>
        </w:rPr>
        <w:t>a disproportionate number of</w:t>
      </w:r>
      <w:r w:rsidRPr="00D920C9">
        <w:rPr>
          <w:rFonts w:asciiTheme="minorHAnsi" w:eastAsiaTheme="minorEastAsia" w:hAnsiTheme="minorHAnsi" w:cs="Calibri"/>
          <w:lang w:eastAsia="es-ES"/>
        </w:rPr>
        <w:t xml:space="preserve"> </w:t>
      </w:r>
      <w:r w:rsidR="00657AA5" w:rsidRPr="00D920C9">
        <w:rPr>
          <w:rFonts w:asciiTheme="minorHAnsi" w:eastAsiaTheme="minorEastAsia" w:hAnsiTheme="minorHAnsi" w:cs="Calibri"/>
          <w:lang w:eastAsia="es-ES"/>
        </w:rPr>
        <w:t>African</w:t>
      </w:r>
      <w:r w:rsidR="0030356C" w:rsidRPr="00D920C9">
        <w:rPr>
          <w:rFonts w:asciiTheme="minorHAnsi" w:eastAsiaTheme="minorEastAsia" w:hAnsiTheme="minorHAnsi" w:cs="Calibri"/>
          <w:lang w:eastAsia="es-ES"/>
        </w:rPr>
        <w:t xml:space="preserve"> </w:t>
      </w:r>
      <w:r w:rsidR="00657AA5" w:rsidRPr="00D920C9">
        <w:rPr>
          <w:rFonts w:asciiTheme="minorHAnsi" w:eastAsiaTheme="minorEastAsia" w:hAnsiTheme="minorHAnsi" w:cs="Calibri"/>
          <w:lang w:eastAsia="es-ES"/>
        </w:rPr>
        <w:t>Americans and other people of color</w:t>
      </w:r>
      <w:r w:rsidRPr="00D920C9">
        <w:rPr>
          <w:rFonts w:asciiTheme="minorHAnsi" w:eastAsiaTheme="minorEastAsia" w:hAnsiTheme="minorHAnsi" w:cs="Calibri"/>
          <w:lang w:eastAsia="es-ES"/>
        </w:rPr>
        <w:t xml:space="preserve"> into the</w:t>
      </w:r>
      <w:r w:rsidR="00920995" w:rsidRPr="00D920C9">
        <w:rPr>
          <w:rFonts w:asciiTheme="minorHAnsi" w:eastAsiaTheme="minorEastAsia" w:hAnsiTheme="minorHAnsi" w:cs="Calibri"/>
          <w:lang w:eastAsia="es-ES"/>
        </w:rPr>
        <w:t xml:space="preserve"> criminal justice</w:t>
      </w:r>
      <w:r w:rsidRPr="00D920C9">
        <w:rPr>
          <w:rFonts w:asciiTheme="minorHAnsi" w:eastAsiaTheme="minorEastAsia" w:hAnsiTheme="minorHAnsi" w:cs="Calibri"/>
          <w:lang w:eastAsia="es-ES"/>
        </w:rPr>
        <w:t xml:space="preserve"> system.</w:t>
      </w:r>
      <w:r w:rsidR="00657AA5" w:rsidRPr="00D920C9">
        <w:rPr>
          <w:rFonts w:asciiTheme="minorHAnsi" w:eastAsiaTheme="minorEastAsia" w:hAnsiTheme="minorHAnsi" w:cs="Calibri"/>
          <w:lang w:eastAsia="es-ES"/>
        </w:rPr>
        <w:t xml:space="preserve"> </w:t>
      </w:r>
      <w:r w:rsidR="00EE6A51" w:rsidRPr="00D920C9">
        <w:rPr>
          <w:rFonts w:asciiTheme="minorHAnsi" w:eastAsiaTheme="minorEastAsia" w:hAnsiTheme="minorHAnsi" w:cs="Calibri"/>
          <w:lang w:eastAsia="es-ES"/>
        </w:rPr>
        <w:t>O</w:t>
      </w:r>
      <w:r w:rsidR="00657AA5" w:rsidRPr="00D920C9">
        <w:rPr>
          <w:rFonts w:asciiTheme="minorHAnsi" w:eastAsiaTheme="minorEastAsia" w:hAnsiTheme="minorHAnsi" w:cs="Calibri"/>
          <w:lang w:eastAsia="es-ES"/>
        </w:rPr>
        <w:t>ne study fou</w:t>
      </w:r>
      <w:r w:rsidR="00920995" w:rsidRPr="00D920C9">
        <w:rPr>
          <w:rFonts w:asciiTheme="minorHAnsi" w:eastAsiaTheme="minorEastAsia" w:hAnsiTheme="minorHAnsi" w:cs="Calibri"/>
          <w:lang w:eastAsia="es-ES"/>
        </w:rPr>
        <w:t>nd that between 1980 and 2007, B</w:t>
      </w:r>
      <w:r w:rsidR="00657AA5" w:rsidRPr="00D920C9">
        <w:rPr>
          <w:rFonts w:asciiTheme="minorHAnsi" w:eastAsiaTheme="minorEastAsia" w:hAnsiTheme="minorHAnsi" w:cs="Calibri"/>
          <w:lang w:eastAsia="es-ES"/>
        </w:rPr>
        <w:t xml:space="preserve">lacks were arrested nationwide on drug charges at rates relative to </w:t>
      </w:r>
      <w:r w:rsidR="00F56BE6" w:rsidRPr="00D920C9">
        <w:rPr>
          <w:rFonts w:asciiTheme="minorHAnsi" w:eastAsiaTheme="minorEastAsia" w:hAnsiTheme="minorHAnsi" w:cs="Calibri"/>
          <w:lang w:eastAsia="es-ES"/>
        </w:rPr>
        <w:t xml:space="preserve">the </w:t>
      </w:r>
      <w:r w:rsidR="00657AA5" w:rsidRPr="00D920C9">
        <w:rPr>
          <w:rFonts w:asciiTheme="minorHAnsi" w:eastAsiaTheme="minorEastAsia" w:hAnsiTheme="minorHAnsi" w:cs="Calibri"/>
          <w:lang w:eastAsia="es-ES"/>
        </w:rPr>
        <w:t>population that were 2.8 to 5.5 times higher than white arrest rates.</w:t>
      </w:r>
      <w:r w:rsidR="00657AA5" w:rsidRPr="00D920C9">
        <w:rPr>
          <w:rStyle w:val="FootnoteReference"/>
          <w:rFonts w:asciiTheme="minorHAnsi" w:eastAsiaTheme="minorEastAsia" w:hAnsiTheme="minorHAnsi" w:cs="Calibri"/>
          <w:lang w:eastAsia="es-ES"/>
        </w:rPr>
        <w:footnoteReference w:id="281"/>
      </w:r>
      <w:r w:rsidR="00F74A3F" w:rsidRPr="00D920C9">
        <w:rPr>
          <w:rFonts w:asciiTheme="minorHAnsi" w:eastAsiaTheme="minorEastAsia" w:hAnsiTheme="minorHAnsi" w:cs="Calibri"/>
          <w:lang w:eastAsia="es-ES"/>
        </w:rPr>
        <w:t xml:space="preserve"> </w:t>
      </w:r>
      <w:r w:rsidR="00920995" w:rsidRPr="00D920C9">
        <w:rPr>
          <w:rFonts w:asciiTheme="minorHAnsi" w:eastAsiaTheme="minorEastAsia" w:hAnsiTheme="minorHAnsi" w:cs="Calibri"/>
          <w:lang w:eastAsia="es-ES"/>
        </w:rPr>
        <w:t>O</w:t>
      </w:r>
      <w:r w:rsidRPr="00D920C9">
        <w:rPr>
          <w:rFonts w:asciiTheme="minorHAnsi" w:eastAsiaTheme="minorEastAsia" w:hAnsiTheme="minorHAnsi" w:cs="Calibri"/>
          <w:lang w:eastAsia="es-ES"/>
        </w:rPr>
        <w:t xml:space="preserve">nce in court, </w:t>
      </w:r>
      <w:r w:rsidR="00920995" w:rsidRPr="00D920C9">
        <w:rPr>
          <w:rFonts w:asciiTheme="minorHAnsi" w:eastAsiaTheme="minorEastAsia" w:hAnsiTheme="minorHAnsi" w:cs="Calibri"/>
          <w:lang w:eastAsia="es-ES"/>
        </w:rPr>
        <w:t xml:space="preserve">evidence indicates that </w:t>
      </w:r>
      <w:r w:rsidRPr="00D920C9">
        <w:rPr>
          <w:rFonts w:asciiTheme="minorHAnsi" w:eastAsiaTheme="minorEastAsia" w:hAnsiTheme="minorHAnsi" w:cs="Calibri"/>
          <w:lang w:eastAsia="es-ES"/>
        </w:rPr>
        <w:t>judges are tougher on black drug offenders every step of the way.</w:t>
      </w:r>
      <w:r w:rsidRPr="00D920C9">
        <w:rPr>
          <w:rStyle w:val="FootnoteReference"/>
          <w:rFonts w:asciiTheme="minorHAnsi" w:eastAsiaTheme="minorEastAsia" w:hAnsiTheme="minorHAnsi" w:cs="Calibri"/>
          <w:lang w:eastAsia="es-ES"/>
        </w:rPr>
        <w:footnoteReference w:id="282"/>
      </w:r>
      <w:r w:rsidR="00A528DB" w:rsidRPr="00D920C9">
        <w:rPr>
          <w:rFonts w:asciiTheme="minorHAnsi" w:eastAsiaTheme="minorEastAsia" w:hAnsiTheme="minorHAnsi" w:cs="Calibri"/>
          <w:lang w:eastAsia="es-ES"/>
        </w:rPr>
        <w:t xml:space="preserve"> </w:t>
      </w:r>
      <w:r w:rsidR="00892BDC" w:rsidRPr="00D920C9">
        <w:rPr>
          <w:rFonts w:asciiTheme="minorHAnsi" w:eastAsiaTheme="minorEastAsia" w:hAnsiTheme="minorHAnsi" w:cs="Calibri"/>
          <w:lang w:eastAsia="es-ES"/>
        </w:rPr>
        <w:t>In this regard</w:t>
      </w:r>
      <w:r w:rsidR="00F2103D" w:rsidRPr="00D920C9">
        <w:rPr>
          <w:rFonts w:asciiTheme="minorHAnsi" w:eastAsiaTheme="minorEastAsia" w:hAnsiTheme="minorHAnsi" w:cs="Calibri"/>
          <w:lang w:eastAsia="es-ES"/>
        </w:rPr>
        <w:t xml:space="preserve">, the Commission recalls its concerns “over the adoption of State measures that seek to punish drug-related conduct—specifically minor drug-related offenses, such as consumption and possession for personal use—and finds worrisome </w:t>
      </w:r>
      <w:r w:rsidR="00EE6A51" w:rsidRPr="00D920C9">
        <w:rPr>
          <w:rFonts w:asciiTheme="minorHAnsi" w:eastAsiaTheme="minorEastAsia" w:hAnsiTheme="minorHAnsi" w:cs="Calibri"/>
          <w:lang w:eastAsia="es-ES"/>
        </w:rPr>
        <w:t>[an apparent]</w:t>
      </w:r>
      <w:r w:rsidR="00F2103D" w:rsidRPr="00D920C9">
        <w:rPr>
          <w:rFonts w:asciiTheme="minorHAnsi" w:eastAsiaTheme="minorEastAsia" w:hAnsiTheme="minorHAnsi" w:cs="Calibri"/>
          <w:lang w:eastAsia="es-ES"/>
        </w:rPr>
        <w:t xml:space="preserve"> notable increase in the number of persons deprived of liberty </w:t>
      </w:r>
      <w:r w:rsidR="00892BDC" w:rsidRPr="00D920C9">
        <w:rPr>
          <w:rFonts w:asciiTheme="minorHAnsi" w:eastAsiaTheme="minorEastAsia" w:hAnsiTheme="minorHAnsi" w:cs="Calibri"/>
          <w:lang w:eastAsia="es-ES"/>
        </w:rPr>
        <w:t>for drug-related criminal acts,” as well as the treatment of drug users “</w:t>
      </w:r>
      <w:r w:rsidR="00F2103D" w:rsidRPr="00D920C9">
        <w:rPr>
          <w:rFonts w:asciiTheme="minorHAnsi" w:eastAsiaTheme="minorEastAsia" w:hAnsiTheme="minorHAnsi" w:cs="Calibri"/>
          <w:lang w:eastAsia="es-ES"/>
        </w:rPr>
        <w:t xml:space="preserve">based </w:t>
      </w:r>
      <w:r w:rsidR="00F2103D" w:rsidRPr="00D920C9">
        <w:rPr>
          <w:rFonts w:asciiTheme="minorHAnsi" w:eastAsiaTheme="minorEastAsia" w:hAnsiTheme="minorHAnsi" w:cs="Calibri"/>
          <w:lang w:eastAsia="es-ES"/>
        </w:rPr>
        <w:lastRenderedPageBreak/>
        <w:t xml:space="preserve">on a logic of repression and criminalization instead of </w:t>
      </w:r>
      <w:r w:rsidR="00892BDC" w:rsidRPr="00D920C9">
        <w:rPr>
          <w:rFonts w:asciiTheme="minorHAnsi" w:eastAsiaTheme="minorEastAsia" w:hAnsiTheme="minorHAnsi" w:cs="Calibri"/>
          <w:lang w:eastAsia="es-ES"/>
        </w:rPr>
        <w:t>[...]</w:t>
      </w:r>
      <w:r w:rsidR="00F2103D" w:rsidRPr="00D920C9">
        <w:rPr>
          <w:rFonts w:asciiTheme="minorHAnsi" w:eastAsiaTheme="minorEastAsia" w:hAnsiTheme="minorHAnsi" w:cs="Calibri"/>
          <w:lang w:eastAsia="es-ES"/>
        </w:rPr>
        <w:t xml:space="preserve"> from a public health approach.”</w:t>
      </w:r>
      <w:r w:rsidR="00F2103D" w:rsidRPr="00D920C9">
        <w:rPr>
          <w:rStyle w:val="FootnoteReference"/>
          <w:rFonts w:asciiTheme="minorHAnsi" w:eastAsiaTheme="minorEastAsia" w:hAnsiTheme="minorHAnsi" w:cs="Calibri"/>
          <w:lang w:eastAsia="es-ES"/>
        </w:rPr>
        <w:footnoteReference w:id="283"/>
      </w:r>
      <w:r w:rsidR="00F2103D" w:rsidRPr="00D920C9">
        <w:rPr>
          <w:rFonts w:asciiTheme="minorHAnsi" w:eastAsiaTheme="minorEastAsia" w:hAnsiTheme="minorHAnsi" w:cs="Calibri"/>
          <w:lang w:eastAsia="es-ES"/>
        </w:rPr>
        <w:t xml:space="preserve"> The Commission recalls that these policies of criminalization of drug possession and consumption as felonies has had a disproportionate negative impact on women as well.</w:t>
      </w:r>
      <w:r w:rsidR="00F2103D" w:rsidRPr="00D920C9">
        <w:rPr>
          <w:rStyle w:val="FootnoteReference"/>
          <w:rFonts w:asciiTheme="minorHAnsi" w:eastAsiaTheme="minorEastAsia" w:hAnsiTheme="minorHAnsi" w:cs="Calibri"/>
          <w:lang w:eastAsia="es-ES"/>
        </w:rPr>
        <w:footnoteReference w:id="284"/>
      </w:r>
      <w:r w:rsidR="00F2103D" w:rsidRPr="00D920C9">
        <w:rPr>
          <w:rFonts w:asciiTheme="minorHAnsi" w:eastAsiaTheme="minorEastAsia" w:hAnsiTheme="minorHAnsi" w:cs="Calibri"/>
          <w:lang w:eastAsia="es-ES"/>
        </w:rPr>
        <w:t xml:space="preserve"> </w:t>
      </w:r>
      <w:r w:rsidR="00892BDC" w:rsidRPr="00D920C9">
        <w:rPr>
          <w:rFonts w:asciiTheme="minorHAnsi" w:eastAsiaTheme="minorEastAsia" w:hAnsiTheme="minorHAnsi" w:cs="Calibri"/>
          <w:lang w:eastAsia="es-ES"/>
        </w:rPr>
        <w:t>The Commission stresses that the State should study less restrictive approaches such as decriminalizing drug use and possession for personal use.</w:t>
      </w:r>
      <w:r w:rsidR="00892BDC" w:rsidRPr="00D920C9">
        <w:rPr>
          <w:rStyle w:val="FootnoteReference"/>
          <w:rFonts w:asciiTheme="minorHAnsi" w:eastAsiaTheme="minorEastAsia" w:hAnsiTheme="minorHAnsi" w:cs="Calibri"/>
          <w:lang w:eastAsia="es-ES"/>
        </w:rPr>
        <w:footnoteReference w:id="285"/>
      </w:r>
    </w:p>
    <w:p w14:paraId="2396138C" w14:textId="77777777" w:rsidR="00FE72B1" w:rsidRPr="00D920C9" w:rsidRDefault="00FE72B1" w:rsidP="00E86698">
      <w:pPr>
        <w:pStyle w:val="ListParagraph"/>
        <w:numPr>
          <w:ilvl w:val="0"/>
          <w:numId w:val="9"/>
        </w:numPr>
        <w:spacing w:after="240" w:line="240" w:lineRule="auto"/>
        <w:ind w:left="547" w:hanging="547"/>
        <w:contextualSpacing w:val="0"/>
        <w:jc w:val="both"/>
        <w:rPr>
          <w:rFonts w:asciiTheme="minorHAnsi" w:hAnsiTheme="minorHAnsi"/>
        </w:rPr>
      </w:pPr>
      <w:bookmarkStart w:id="109" w:name="_Ref511150058"/>
      <w:r w:rsidRPr="00D920C9">
        <w:rPr>
          <w:rFonts w:asciiTheme="minorHAnsi" w:hAnsiTheme="minorHAnsi"/>
        </w:rPr>
        <w:t xml:space="preserve">The disproportionate impact of arrests on African Americans is compounded by the effects of pretrial detention, which disproportionately impacts those who are unable to pay bail. </w:t>
      </w:r>
      <w:r w:rsidR="00EE6A51" w:rsidRPr="00D920C9">
        <w:rPr>
          <w:rFonts w:asciiTheme="minorHAnsi" w:hAnsiTheme="minorHAnsi"/>
        </w:rPr>
        <w:t>I</w:t>
      </w:r>
      <w:r w:rsidR="00F036E0" w:rsidRPr="00D920C9">
        <w:rPr>
          <w:rFonts w:asciiTheme="minorHAnsi" w:hAnsiTheme="minorHAnsi"/>
        </w:rPr>
        <w:t>nformation indicates that n</w:t>
      </w:r>
      <w:r w:rsidR="00234BD8" w:rsidRPr="00D920C9">
        <w:rPr>
          <w:rFonts w:asciiTheme="minorHAnsi" w:hAnsiTheme="minorHAnsi"/>
        </w:rPr>
        <w:t xml:space="preserve">ationally, approximately 62 percent of all people in jail </w:t>
      </w:r>
      <w:r w:rsidR="00F036E0" w:rsidRPr="00D920C9">
        <w:rPr>
          <w:rFonts w:asciiTheme="minorHAnsi" w:hAnsiTheme="minorHAnsi"/>
        </w:rPr>
        <w:t xml:space="preserve">at any given time </w:t>
      </w:r>
      <w:r w:rsidR="00234BD8" w:rsidRPr="00D920C9">
        <w:rPr>
          <w:rFonts w:asciiTheme="minorHAnsi" w:hAnsiTheme="minorHAnsi"/>
        </w:rPr>
        <w:t>are pretrial detainees charged with nonviolent offenses</w:t>
      </w:r>
      <w:r w:rsidR="00F036E0" w:rsidRPr="00D920C9">
        <w:rPr>
          <w:rFonts w:asciiTheme="minorHAnsi" w:hAnsiTheme="minorHAnsi"/>
        </w:rPr>
        <w:t>, and the majority of those are in jail because they are unable to pay bail, not because they are a danger to the community</w:t>
      </w:r>
      <w:r w:rsidR="00234BD8" w:rsidRPr="00D920C9">
        <w:rPr>
          <w:rFonts w:asciiTheme="minorHAnsi" w:hAnsiTheme="minorHAnsi"/>
        </w:rPr>
        <w:t>.</w:t>
      </w:r>
      <w:r w:rsidR="00F036E0" w:rsidRPr="00D920C9">
        <w:rPr>
          <w:rStyle w:val="FootnoteReference"/>
          <w:rFonts w:asciiTheme="minorHAnsi" w:hAnsiTheme="minorHAnsi"/>
        </w:rPr>
        <w:footnoteReference w:id="286"/>
      </w:r>
      <w:r w:rsidR="00234BD8" w:rsidRPr="00D920C9">
        <w:rPr>
          <w:rFonts w:asciiTheme="minorHAnsi" w:hAnsiTheme="minorHAnsi"/>
        </w:rPr>
        <w:t xml:space="preserve"> </w:t>
      </w:r>
      <w:r w:rsidR="00EE6A51" w:rsidRPr="00D920C9">
        <w:rPr>
          <w:rFonts w:asciiTheme="minorHAnsi" w:hAnsiTheme="minorHAnsi"/>
        </w:rPr>
        <w:t>B</w:t>
      </w:r>
      <w:r w:rsidR="00234BD8" w:rsidRPr="00D920C9">
        <w:rPr>
          <w:rFonts w:asciiTheme="minorHAnsi" w:hAnsiTheme="minorHAnsi"/>
        </w:rPr>
        <w:t>ecause African</w:t>
      </w:r>
      <w:r w:rsidR="0030356C" w:rsidRPr="00D920C9">
        <w:rPr>
          <w:rFonts w:asciiTheme="minorHAnsi" w:hAnsiTheme="minorHAnsi"/>
        </w:rPr>
        <w:t xml:space="preserve"> </w:t>
      </w:r>
      <w:r w:rsidR="00234BD8" w:rsidRPr="00D920C9">
        <w:rPr>
          <w:rFonts w:asciiTheme="minorHAnsi" w:hAnsiTheme="minorHAnsi"/>
        </w:rPr>
        <w:t xml:space="preserve">Americans and </w:t>
      </w:r>
      <w:r w:rsidR="0030356C" w:rsidRPr="00D920C9">
        <w:rPr>
          <w:rFonts w:asciiTheme="minorHAnsi" w:hAnsiTheme="minorHAnsi"/>
        </w:rPr>
        <w:t>Hispanics</w:t>
      </w:r>
      <w:r w:rsidR="00234BD8" w:rsidRPr="00D920C9">
        <w:rPr>
          <w:rFonts w:asciiTheme="minorHAnsi" w:hAnsiTheme="minorHAnsi"/>
        </w:rPr>
        <w:t xml:space="preserve"> are overrepresented among the indigent, </w:t>
      </w:r>
      <w:r w:rsidR="00F036E0" w:rsidRPr="00D920C9">
        <w:rPr>
          <w:rFonts w:asciiTheme="minorHAnsi" w:hAnsiTheme="minorHAnsi"/>
        </w:rPr>
        <w:t xml:space="preserve">they </w:t>
      </w:r>
      <w:r w:rsidR="00234BD8" w:rsidRPr="00D920C9">
        <w:rPr>
          <w:rFonts w:asciiTheme="minorHAnsi" w:hAnsiTheme="minorHAnsi"/>
        </w:rPr>
        <w:t xml:space="preserve">are </w:t>
      </w:r>
      <w:r w:rsidR="00EE6A51" w:rsidRPr="00D920C9">
        <w:rPr>
          <w:rFonts w:asciiTheme="minorHAnsi" w:hAnsiTheme="minorHAnsi"/>
        </w:rPr>
        <w:t xml:space="preserve">overrepresented in </w:t>
      </w:r>
      <w:r w:rsidR="00234BD8" w:rsidRPr="00D920C9">
        <w:rPr>
          <w:rFonts w:asciiTheme="minorHAnsi" w:hAnsiTheme="minorHAnsi"/>
        </w:rPr>
        <w:t>pretrial</w:t>
      </w:r>
      <w:r w:rsidR="00EE6A51" w:rsidRPr="00D920C9">
        <w:rPr>
          <w:rFonts w:asciiTheme="minorHAnsi" w:hAnsiTheme="minorHAnsi"/>
        </w:rPr>
        <w:t xml:space="preserve"> detention</w:t>
      </w:r>
      <w:r w:rsidR="00234BD8" w:rsidRPr="00D920C9">
        <w:rPr>
          <w:rFonts w:asciiTheme="minorHAnsi" w:hAnsiTheme="minorHAnsi"/>
        </w:rPr>
        <w:t xml:space="preserve">: </w:t>
      </w:r>
      <w:r w:rsidR="006B5E38" w:rsidRPr="00D920C9">
        <w:rPr>
          <w:rFonts w:asciiTheme="minorHAnsi" w:hAnsiTheme="minorHAnsi"/>
        </w:rPr>
        <w:t>they</w:t>
      </w:r>
      <w:r w:rsidR="00234BD8" w:rsidRPr="00D920C9">
        <w:rPr>
          <w:rFonts w:asciiTheme="minorHAnsi" w:hAnsiTheme="minorHAnsi"/>
        </w:rPr>
        <w:t xml:space="preserve"> comprise 30 percent of the population nationwide, but represent 50 percent of all pretrial detainees.</w:t>
      </w:r>
      <w:r w:rsidR="00234BD8" w:rsidRPr="00D920C9">
        <w:rPr>
          <w:rStyle w:val="FootnoteReference"/>
          <w:rFonts w:asciiTheme="minorHAnsi" w:hAnsiTheme="minorHAnsi"/>
        </w:rPr>
        <w:footnoteReference w:id="287"/>
      </w:r>
      <w:r w:rsidR="00F036E0" w:rsidRPr="00D920C9">
        <w:rPr>
          <w:rFonts w:asciiTheme="minorHAnsi" w:hAnsiTheme="minorHAnsi"/>
        </w:rPr>
        <w:t xml:space="preserve"> </w:t>
      </w:r>
      <w:r w:rsidR="00EE6A51" w:rsidRPr="00D920C9">
        <w:rPr>
          <w:rFonts w:asciiTheme="minorHAnsi" w:hAnsiTheme="minorHAnsi"/>
        </w:rPr>
        <w:t>E</w:t>
      </w:r>
      <w:r w:rsidR="00F036E0" w:rsidRPr="00D920C9">
        <w:rPr>
          <w:rFonts w:asciiTheme="minorHAnsi" w:hAnsiTheme="minorHAnsi"/>
        </w:rPr>
        <w:t>vidence</w:t>
      </w:r>
      <w:r w:rsidR="00EE6A51" w:rsidRPr="00D920C9">
        <w:rPr>
          <w:rFonts w:asciiTheme="minorHAnsi" w:hAnsiTheme="minorHAnsi"/>
        </w:rPr>
        <w:t xml:space="preserve"> also</w:t>
      </w:r>
      <w:r w:rsidR="00F036E0" w:rsidRPr="00D920C9">
        <w:rPr>
          <w:rFonts w:asciiTheme="minorHAnsi" w:hAnsiTheme="minorHAnsi"/>
        </w:rPr>
        <w:t xml:space="preserve"> indicates that racial bias impacts judges’ decisions in setting money bail, dispr</w:t>
      </w:r>
      <w:r w:rsidR="0030356C" w:rsidRPr="00D920C9">
        <w:rPr>
          <w:rFonts w:asciiTheme="minorHAnsi" w:hAnsiTheme="minorHAnsi"/>
        </w:rPr>
        <w:t xml:space="preserve">oportionately impacting </w:t>
      </w:r>
      <w:r w:rsidR="00EE6A51" w:rsidRPr="00D920C9">
        <w:rPr>
          <w:rFonts w:asciiTheme="minorHAnsi" w:hAnsiTheme="minorHAnsi"/>
        </w:rPr>
        <w:t>Blacks</w:t>
      </w:r>
      <w:r w:rsidR="00F036E0" w:rsidRPr="00D920C9">
        <w:rPr>
          <w:rFonts w:asciiTheme="minorHAnsi" w:hAnsiTheme="minorHAnsi"/>
        </w:rPr>
        <w:t>.</w:t>
      </w:r>
      <w:r w:rsidR="00F036E0" w:rsidRPr="00D920C9">
        <w:rPr>
          <w:rStyle w:val="FootnoteReference"/>
          <w:rFonts w:asciiTheme="minorHAnsi" w:hAnsiTheme="minorHAnsi"/>
        </w:rPr>
        <w:footnoteReference w:id="288"/>
      </w:r>
      <w:r w:rsidR="00EE6A51" w:rsidRPr="00D920C9">
        <w:rPr>
          <w:rFonts w:asciiTheme="minorHAnsi" w:hAnsiTheme="minorHAnsi"/>
        </w:rPr>
        <w:t xml:space="preserve"> </w:t>
      </w:r>
      <w:r w:rsidR="006B5E38" w:rsidRPr="00D920C9">
        <w:rPr>
          <w:rFonts w:asciiTheme="minorHAnsi" w:hAnsiTheme="minorHAnsi"/>
        </w:rPr>
        <w:t>R</w:t>
      </w:r>
      <w:r w:rsidR="00F036E0" w:rsidRPr="00D920C9">
        <w:rPr>
          <w:rFonts w:asciiTheme="minorHAnsi" w:hAnsiTheme="minorHAnsi"/>
        </w:rPr>
        <w:t xml:space="preserve">acial disparity in pretrial detention, compounded by poverty, </w:t>
      </w:r>
      <w:r w:rsidR="006B5E38" w:rsidRPr="00D920C9">
        <w:rPr>
          <w:rFonts w:asciiTheme="minorHAnsi" w:hAnsiTheme="minorHAnsi"/>
        </w:rPr>
        <w:t>continues</w:t>
      </w:r>
      <w:r w:rsidR="00F036E0" w:rsidRPr="00D920C9">
        <w:rPr>
          <w:rFonts w:asciiTheme="minorHAnsi" w:hAnsiTheme="minorHAnsi"/>
        </w:rPr>
        <w:t xml:space="preserve"> a vicious cycle</w:t>
      </w:r>
      <w:r w:rsidR="008C0A3E" w:rsidRPr="00D920C9">
        <w:rPr>
          <w:rFonts w:asciiTheme="minorHAnsi" w:hAnsiTheme="minorHAnsi"/>
        </w:rPr>
        <w:t xml:space="preserve"> leading to disparities in incarceration</w:t>
      </w:r>
      <w:r w:rsidR="00F036E0" w:rsidRPr="00D920C9">
        <w:rPr>
          <w:rFonts w:asciiTheme="minorHAnsi" w:hAnsiTheme="minorHAnsi"/>
        </w:rPr>
        <w:t xml:space="preserve">: research indicates that even a weekend stay in pretrial detention increases the likelihood that a low-risk defendant will commit a crime upon release or miss a </w:t>
      </w:r>
      <w:r w:rsidR="008E0CD6" w:rsidRPr="00D920C9">
        <w:rPr>
          <w:rFonts w:asciiTheme="minorHAnsi" w:hAnsiTheme="minorHAnsi"/>
        </w:rPr>
        <w:t xml:space="preserve">future </w:t>
      </w:r>
      <w:r w:rsidR="00F036E0" w:rsidRPr="00D920C9">
        <w:rPr>
          <w:rFonts w:asciiTheme="minorHAnsi" w:hAnsiTheme="minorHAnsi"/>
        </w:rPr>
        <w:t>court date</w:t>
      </w:r>
      <w:r w:rsidR="008E0CD6" w:rsidRPr="00D920C9">
        <w:rPr>
          <w:rFonts w:asciiTheme="minorHAnsi" w:hAnsiTheme="minorHAnsi"/>
        </w:rPr>
        <w:t xml:space="preserve">; </w:t>
      </w:r>
      <w:r w:rsidR="008C0A3E" w:rsidRPr="00D920C9">
        <w:rPr>
          <w:rFonts w:asciiTheme="minorHAnsi" w:hAnsiTheme="minorHAnsi"/>
        </w:rPr>
        <w:t xml:space="preserve">this </w:t>
      </w:r>
      <w:r w:rsidR="00F036E0" w:rsidRPr="00D920C9">
        <w:rPr>
          <w:rFonts w:asciiTheme="minorHAnsi" w:hAnsiTheme="minorHAnsi"/>
        </w:rPr>
        <w:t>likelihood increases the longer the defendant is detained.</w:t>
      </w:r>
      <w:r w:rsidR="008C0A3E" w:rsidRPr="00D920C9">
        <w:rPr>
          <w:rStyle w:val="FootnoteReference"/>
          <w:rFonts w:asciiTheme="minorHAnsi" w:hAnsiTheme="minorHAnsi"/>
        </w:rPr>
        <w:footnoteReference w:id="289"/>
      </w:r>
      <w:bookmarkEnd w:id="109"/>
      <w:r w:rsidR="00892BDC" w:rsidRPr="00D920C9">
        <w:rPr>
          <w:rFonts w:asciiTheme="minorHAnsi" w:hAnsiTheme="minorHAnsi"/>
        </w:rPr>
        <w:t xml:space="preserve"> </w:t>
      </w:r>
    </w:p>
    <w:p w14:paraId="4F78A106" w14:textId="4502377D" w:rsidR="008C0A3E" w:rsidRPr="00D920C9" w:rsidRDefault="00FE72B1"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Commission further expresses concern </w:t>
      </w:r>
      <w:r w:rsidR="00F56BE6" w:rsidRPr="00D920C9">
        <w:rPr>
          <w:rFonts w:asciiTheme="minorHAnsi" w:hAnsiTheme="minorHAnsi"/>
        </w:rPr>
        <w:t>over</w:t>
      </w:r>
      <w:r w:rsidRPr="00D920C9">
        <w:rPr>
          <w:rFonts w:asciiTheme="minorHAnsi" w:hAnsiTheme="minorHAnsi"/>
        </w:rPr>
        <w:t xml:space="preserve"> the use of extended pretrial detention for individuals who are unable to pay bail and reports of use of solitary confinement in pretrial detention, including of adolescents.</w:t>
      </w:r>
      <w:r w:rsidRPr="00D920C9">
        <w:rPr>
          <w:rStyle w:val="FootnoteReference"/>
          <w:rFonts w:asciiTheme="minorHAnsi" w:hAnsiTheme="minorHAnsi"/>
        </w:rPr>
        <w:footnoteReference w:id="290"/>
      </w:r>
      <w:r w:rsidRPr="00D920C9">
        <w:rPr>
          <w:rFonts w:asciiTheme="minorHAnsi" w:hAnsiTheme="minorHAnsi"/>
        </w:rPr>
        <w:t xml:space="preserve"> </w:t>
      </w:r>
      <w:r w:rsidR="006B5E38" w:rsidRPr="00D920C9">
        <w:rPr>
          <w:rFonts w:asciiTheme="minorHAnsi" w:hAnsiTheme="minorHAnsi"/>
        </w:rPr>
        <w:t>T</w:t>
      </w:r>
      <w:r w:rsidRPr="00D920C9">
        <w:rPr>
          <w:rFonts w:asciiTheme="minorHAnsi" w:hAnsiTheme="minorHAnsi"/>
        </w:rPr>
        <w:t>hese practices tend to disproportionately impact the poor, youth, and persons with mental disabilities.</w:t>
      </w:r>
      <w:r w:rsidRPr="00D920C9">
        <w:rPr>
          <w:rStyle w:val="FootnoteReference"/>
          <w:rFonts w:asciiTheme="minorHAnsi" w:hAnsiTheme="minorHAnsi"/>
        </w:rPr>
        <w:footnoteReference w:id="291"/>
      </w:r>
      <w:r w:rsidRPr="00D920C9">
        <w:rPr>
          <w:rFonts w:asciiTheme="minorHAnsi" w:hAnsiTheme="minorHAnsi"/>
        </w:rPr>
        <w:t xml:space="preserve"> In this respect, the case of</w:t>
      </w:r>
      <w:r w:rsidR="00B40D8F" w:rsidRPr="00D920C9">
        <w:rPr>
          <w:rFonts w:asciiTheme="minorHAnsi" w:hAnsiTheme="minorHAnsi"/>
        </w:rPr>
        <w:t xml:space="preserve"> </w:t>
      </w:r>
      <w:proofErr w:type="spellStart"/>
      <w:r w:rsidR="00B40D8F" w:rsidRPr="00D920C9">
        <w:rPr>
          <w:rFonts w:asciiTheme="minorHAnsi" w:hAnsiTheme="minorHAnsi"/>
        </w:rPr>
        <w:t>Kalief</w:t>
      </w:r>
      <w:proofErr w:type="spellEnd"/>
      <w:r w:rsidR="00B40D8F" w:rsidRPr="00D920C9">
        <w:rPr>
          <w:rFonts w:asciiTheme="minorHAnsi" w:hAnsiTheme="minorHAnsi"/>
        </w:rPr>
        <w:t xml:space="preserve"> Browder</w:t>
      </w:r>
      <w:r w:rsidRPr="00D920C9">
        <w:rPr>
          <w:rFonts w:asciiTheme="minorHAnsi" w:hAnsiTheme="minorHAnsi"/>
        </w:rPr>
        <w:t xml:space="preserve"> is emblematic. Browder, an African American boy from The </w:t>
      </w:r>
      <w:r w:rsidRPr="00D920C9">
        <w:rPr>
          <w:rFonts w:asciiTheme="minorHAnsi" w:hAnsiTheme="minorHAnsi"/>
        </w:rPr>
        <w:lastRenderedPageBreak/>
        <w:t>Bronx</w:t>
      </w:r>
      <w:r w:rsidR="00B40D8F" w:rsidRPr="00D920C9">
        <w:rPr>
          <w:rFonts w:asciiTheme="minorHAnsi" w:hAnsiTheme="minorHAnsi"/>
        </w:rPr>
        <w:t xml:space="preserve">, was arrested at age 16 </w:t>
      </w:r>
      <w:r w:rsidR="000A736A" w:rsidRPr="00D920C9">
        <w:rPr>
          <w:rFonts w:asciiTheme="minorHAnsi" w:hAnsiTheme="minorHAnsi"/>
        </w:rPr>
        <w:t xml:space="preserve">for a crime he maintained he did not commit. </w:t>
      </w:r>
      <w:r w:rsidR="0096252D" w:rsidRPr="00D920C9">
        <w:rPr>
          <w:rFonts w:asciiTheme="minorHAnsi" w:hAnsiTheme="minorHAnsi"/>
        </w:rPr>
        <w:t>H</w:t>
      </w:r>
      <w:r w:rsidR="000A736A" w:rsidRPr="00D920C9">
        <w:rPr>
          <w:rFonts w:asciiTheme="minorHAnsi" w:hAnsiTheme="minorHAnsi"/>
        </w:rPr>
        <w:t>e was held</w:t>
      </w:r>
      <w:r w:rsidR="00B40D8F" w:rsidRPr="00D920C9">
        <w:rPr>
          <w:rFonts w:asciiTheme="minorHAnsi" w:hAnsiTheme="minorHAnsi"/>
        </w:rPr>
        <w:t xml:space="preserve"> in pretrial detention on </w:t>
      </w:r>
      <w:proofErr w:type="spellStart"/>
      <w:r w:rsidR="00B40D8F" w:rsidRPr="00D920C9">
        <w:rPr>
          <w:rFonts w:asciiTheme="minorHAnsi" w:hAnsiTheme="minorHAnsi"/>
        </w:rPr>
        <w:t>Rikers</w:t>
      </w:r>
      <w:proofErr w:type="spellEnd"/>
      <w:r w:rsidR="00B40D8F" w:rsidRPr="00D920C9">
        <w:rPr>
          <w:rFonts w:asciiTheme="minorHAnsi" w:hAnsiTheme="minorHAnsi"/>
        </w:rPr>
        <w:t xml:space="preserve"> Island in New York</w:t>
      </w:r>
      <w:r w:rsidR="0096252D" w:rsidRPr="00D920C9">
        <w:rPr>
          <w:rFonts w:asciiTheme="minorHAnsi" w:hAnsiTheme="minorHAnsi"/>
        </w:rPr>
        <w:t xml:space="preserve"> for more than three years</w:t>
      </w:r>
      <w:r w:rsidR="00B40D8F" w:rsidRPr="00D920C9">
        <w:rPr>
          <w:rFonts w:asciiTheme="minorHAnsi" w:hAnsiTheme="minorHAnsi"/>
        </w:rPr>
        <w:t>—</w:t>
      </w:r>
      <w:r w:rsidR="0096252D" w:rsidRPr="00D920C9">
        <w:rPr>
          <w:rFonts w:asciiTheme="minorHAnsi" w:hAnsiTheme="minorHAnsi"/>
        </w:rPr>
        <w:t>about two years of that time</w:t>
      </w:r>
      <w:r w:rsidR="00B40D8F" w:rsidRPr="00D920C9">
        <w:rPr>
          <w:rFonts w:asciiTheme="minorHAnsi" w:hAnsiTheme="minorHAnsi"/>
        </w:rPr>
        <w:t xml:space="preserve"> in solitary confinement—</w:t>
      </w:r>
      <w:r w:rsidR="000A736A" w:rsidRPr="00D920C9">
        <w:rPr>
          <w:rFonts w:asciiTheme="minorHAnsi" w:hAnsiTheme="minorHAnsi"/>
        </w:rPr>
        <w:t>while he refused to plead guilty to the charges without a trial</w:t>
      </w:r>
      <w:r w:rsidR="00A040D8" w:rsidRPr="00D920C9">
        <w:rPr>
          <w:rFonts w:asciiTheme="minorHAnsi" w:hAnsiTheme="minorHAnsi"/>
        </w:rPr>
        <w:t xml:space="preserve">, and perpetual delays in the courts prevented </w:t>
      </w:r>
      <w:r w:rsidR="0096252D" w:rsidRPr="00D920C9">
        <w:rPr>
          <w:rFonts w:asciiTheme="minorHAnsi" w:hAnsiTheme="minorHAnsi"/>
        </w:rPr>
        <w:t>a</w:t>
      </w:r>
      <w:r w:rsidR="00A040D8" w:rsidRPr="00D920C9">
        <w:rPr>
          <w:rFonts w:asciiTheme="minorHAnsi" w:hAnsiTheme="minorHAnsi"/>
        </w:rPr>
        <w:t xml:space="preserve"> trial</w:t>
      </w:r>
      <w:r w:rsidR="000A736A" w:rsidRPr="00D920C9">
        <w:rPr>
          <w:rFonts w:asciiTheme="minorHAnsi" w:hAnsiTheme="minorHAnsi"/>
        </w:rPr>
        <w:t xml:space="preserve">. He was eventually released from detention </w:t>
      </w:r>
      <w:r w:rsidR="00B87221" w:rsidRPr="00D920C9">
        <w:rPr>
          <w:rFonts w:asciiTheme="minorHAnsi" w:hAnsiTheme="minorHAnsi"/>
        </w:rPr>
        <w:t>after prosecutors dismissed the charges</w:t>
      </w:r>
      <w:r w:rsidR="000A736A" w:rsidRPr="00D920C9">
        <w:rPr>
          <w:rFonts w:asciiTheme="minorHAnsi" w:hAnsiTheme="minorHAnsi"/>
        </w:rPr>
        <w:t>. H</w:t>
      </w:r>
      <w:r w:rsidR="00B40D8F" w:rsidRPr="00D920C9">
        <w:rPr>
          <w:rFonts w:asciiTheme="minorHAnsi" w:hAnsiTheme="minorHAnsi"/>
        </w:rPr>
        <w:t xml:space="preserve">e suffered severe mental health problems </w:t>
      </w:r>
      <w:r w:rsidR="000A736A" w:rsidRPr="00D920C9">
        <w:rPr>
          <w:rFonts w:asciiTheme="minorHAnsi" w:hAnsiTheme="minorHAnsi"/>
        </w:rPr>
        <w:t>while incarcerated and after release</w:t>
      </w:r>
      <w:r w:rsidR="00B40D8F" w:rsidRPr="00D920C9">
        <w:rPr>
          <w:rFonts w:asciiTheme="minorHAnsi" w:hAnsiTheme="minorHAnsi"/>
        </w:rPr>
        <w:t>,</w:t>
      </w:r>
      <w:r w:rsidR="00B07A80" w:rsidRPr="00D920C9">
        <w:rPr>
          <w:rFonts w:asciiTheme="minorHAnsi" w:hAnsiTheme="minorHAnsi"/>
        </w:rPr>
        <w:t xml:space="preserve"> which he attributed to the violence he experienced </w:t>
      </w:r>
      <w:r w:rsidR="00B87221" w:rsidRPr="00D920C9">
        <w:rPr>
          <w:rFonts w:asciiTheme="minorHAnsi" w:hAnsiTheme="minorHAnsi"/>
        </w:rPr>
        <w:t xml:space="preserve">on </w:t>
      </w:r>
      <w:proofErr w:type="spellStart"/>
      <w:r w:rsidR="00B87221" w:rsidRPr="00D920C9">
        <w:rPr>
          <w:rFonts w:asciiTheme="minorHAnsi" w:hAnsiTheme="minorHAnsi"/>
        </w:rPr>
        <w:t>Rikers</w:t>
      </w:r>
      <w:proofErr w:type="spellEnd"/>
      <w:r w:rsidR="00B87221" w:rsidRPr="00D920C9">
        <w:rPr>
          <w:rFonts w:asciiTheme="minorHAnsi" w:hAnsiTheme="minorHAnsi"/>
        </w:rPr>
        <w:t xml:space="preserve"> and </w:t>
      </w:r>
      <w:r w:rsidR="0096252D" w:rsidRPr="00D920C9">
        <w:rPr>
          <w:rFonts w:asciiTheme="minorHAnsi" w:hAnsiTheme="minorHAnsi"/>
        </w:rPr>
        <w:t>the time</w:t>
      </w:r>
      <w:r w:rsidR="00B87221" w:rsidRPr="00D920C9">
        <w:rPr>
          <w:rFonts w:asciiTheme="minorHAnsi" w:hAnsiTheme="minorHAnsi"/>
        </w:rPr>
        <w:t xml:space="preserve"> in solitary confinement,</w:t>
      </w:r>
      <w:r w:rsidR="00B40D8F" w:rsidRPr="00D920C9">
        <w:rPr>
          <w:rFonts w:asciiTheme="minorHAnsi" w:hAnsiTheme="minorHAnsi"/>
        </w:rPr>
        <w:t xml:space="preserve"> and committed suicide</w:t>
      </w:r>
      <w:r w:rsidR="000A736A" w:rsidRPr="00D920C9">
        <w:rPr>
          <w:rFonts w:asciiTheme="minorHAnsi" w:hAnsiTheme="minorHAnsi"/>
        </w:rPr>
        <w:t xml:space="preserve"> in 2015 at the age of 22</w:t>
      </w:r>
      <w:r w:rsidR="00B40D8F" w:rsidRPr="00D920C9">
        <w:rPr>
          <w:rFonts w:asciiTheme="minorHAnsi" w:hAnsiTheme="minorHAnsi"/>
        </w:rPr>
        <w:t>.</w:t>
      </w:r>
      <w:r w:rsidR="00B40D8F" w:rsidRPr="00D920C9">
        <w:rPr>
          <w:rStyle w:val="FootnoteReference"/>
          <w:rFonts w:asciiTheme="minorHAnsi" w:hAnsiTheme="minorHAnsi"/>
        </w:rPr>
        <w:footnoteReference w:id="292"/>
      </w:r>
      <w:r w:rsidR="00B603AD" w:rsidRPr="00D920C9">
        <w:rPr>
          <w:rFonts w:asciiTheme="minorHAnsi" w:hAnsiTheme="minorHAnsi"/>
        </w:rPr>
        <w:t xml:space="preserve"> In this regard, the Commission reiterates that international standards establish that solitary confinement should be absolutely prohibited for children under the age of 18, and that in every case, beyond a period </w:t>
      </w:r>
      <w:r w:rsidR="007528E2" w:rsidRPr="00D920C9">
        <w:rPr>
          <w:rFonts w:asciiTheme="minorHAnsi" w:hAnsiTheme="minorHAnsi"/>
        </w:rPr>
        <w:t>of 1</w:t>
      </w:r>
      <w:r w:rsidR="004D0B9D" w:rsidRPr="00D920C9">
        <w:rPr>
          <w:rFonts w:asciiTheme="minorHAnsi" w:hAnsiTheme="minorHAnsi"/>
        </w:rPr>
        <w:t>5 days, the harmful psychological effects of isolation can become irreversible.</w:t>
      </w:r>
      <w:r w:rsidR="004D0B9D" w:rsidRPr="00D920C9">
        <w:rPr>
          <w:rStyle w:val="FootnoteReference"/>
          <w:rFonts w:asciiTheme="minorHAnsi" w:hAnsiTheme="minorHAnsi"/>
        </w:rPr>
        <w:footnoteReference w:id="293"/>
      </w:r>
    </w:p>
    <w:p w14:paraId="61C641BD" w14:textId="77777777" w:rsidR="00B4412C" w:rsidRPr="00D920C9" w:rsidRDefault="00B4412C" w:rsidP="003D7958">
      <w:pPr>
        <w:pStyle w:val="Heading4"/>
        <w:ind w:left="540" w:hanging="540"/>
      </w:pPr>
      <w:bookmarkStart w:id="110" w:name="_Ref507665051"/>
      <w:bookmarkStart w:id="111" w:name="_Toc511837817"/>
      <w:bookmarkStart w:id="112" w:name="_Toc511902990"/>
      <w:bookmarkStart w:id="113" w:name="_Toc517687920"/>
      <w:r w:rsidRPr="00D920C9">
        <w:t xml:space="preserve">Racial </w:t>
      </w:r>
      <w:r w:rsidR="0013717A" w:rsidRPr="00D920C9">
        <w:t xml:space="preserve">Disparities </w:t>
      </w:r>
      <w:r w:rsidRPr="00D920C9">
        <w:t xml:space="preserve">in </w:t>
      </w:r>
      <w:r w:rsidR="0013717A" w:rsidRPr="00D920C9">
        <w:t xml:space="preserve">Access </w:t>
      </w:r>
      <w:r w:rsidRPr="00D920C9">
        <w:t xml:space="preserve">to </w:t>
      </w:r>
      <w:r w:rsidR="0013717A" w:rsidRPr="00D920C9">
        <w:t>Counsel</w:t>
      </w:r>
      <w:r w:rsidRPr="00D920C9">
        <w:t xml:space="preserve">, </w:t>
      </w:r>
      <w:r w:rsidR="0013717A" w:rsidRPr="00D920C9">
        <w:t>Pleas</w:t>
      </w:r>
      <w:r w:rsidRPr="00D920C9">
        <w:t xml:space="preserve">, </w:t>
      </w:r>
      <w:r w:rsidR="0013717A" w:rsidRPr="00D920C9">
        <w:t>Sentencing</w:t>
      </w:r>
      <w:r w:rsidR="009F3240" w:rsidRPr="00D920C9">
        <w:t xml:space="preserve">, </w:t>
      </w:r>
      <w:r w:rsidR="0013717A" w:rsidRPr="00D920C9">
        <w:t>Incarceration</w:t>
      </w:r>
      <w:r w:rsidR="009F3240" w:rsidRPr="00D920C9">
        <w:t xml:space="preserve">, and </w:t>
      </w:r>
      <w:r w:rsidR="0013717A" w:rsidRPr="00D920C9">
        <w:t>Re</w:t>
      </w:r>
      <w:r w:rsidR="008E0CD6" w:rsidRPr="00D920C9">
        <w:t>-</w:t>
      </w:r>
      <w:r w:rsidR="0013717A" w:rsidRPr="00D920C9">
        <w:t>Incarceration</w:t>
      </w:r>
      <w:bookmarkEnd w:id="110"/>
      <w:bookmarkEnd w:id="111"/>
      <w:bookmarkEnd w:id="112"/>
      <w:bookmarkEnd w:id="113"/>
    </w:p>
    <w:p w14:paraId="0DD4D258" w14:textId="77777777" w:rsidR="0006240D" w:rsidRPr="00D920C9" w:rsidRDefault="0006240D" w:rsidP="00E86698">
      <w:pPr>
        <w:pStyle w:val="ListParagraph"/>
        <w:numPr>
          <w:ilvl w:val="0"/>
          <w:numId w:val="9"/>
        </w:numPr>
        <w:spacing w:after="240" w:line="240" w:lineRule="auto"/>
        <w:ind w:left="547" w:hanging="547"/>
        <w:contextualSpacing w:val="0"/>
        <w:jc w:val="both"/>
        <w:rPr>
          <w:rFonts w:asciiTheme="minorHAnsi" w:eastAsia="Times New Roman" w:hAnsiTheme="minorHAnsi"/>
          <w:lang w:eastAsia="es-ES"/>
        </w:rPr>
      </w:pPr>
      <w:r w:rsidRPr="00D920C9">
        <w:rPr>
          <w:rFonts w:asciiTheme="minorHAnsi" w:eastAsia="Times New Roman" w:hAnsiTheme="minorHAnsi"/>
          <w:lang w:eastAsia="es-ES"/>
        </w:rPr>
        <w:t>The Commission remains concerned that racial disparities permeate the entire apparatus of the criminal justice system.</w:t>
      </w:r>
      <w:r w:rsidR="00967B3A" w:rsidRPr="00D920C9">
        <w:rPr>
          <w:rStyle w:val="FootnoteReference"/>
          <w:rFonts w:asciiTheme="minorHAnsi" w:eastAsia="Times New Roman" w:hAnsiTheme="minorHAnsi"/>
          <w:lang w:eastAsia="es-ES"/>
        </w:rPr>
        <w:footnoteReference w:id="294"/>
      </w:r>
      <w:r w:rsidRPr="00D920C9">
        <w:rPr>
          <w:rFonts w:asciiTheme="minorHAnsi" w:eastAsia="Times New Roman" w:hAnsiTheme="minorHAnsi"/>
          <w:lang w:eastAsia="es-ES"/>
        </w:rPr>
        <w:t xml:space="preserve"> The Commission has received information indicating racial disparities in access to counsel in criminal proceedings; negotiation of and terms associated with plea bargain agreements; incarceration rates and sentencing; and rates of re-incarceration, including on the basis of probation violations. </w:t>
      </w:r>
      <w:r w:rsidR="00401DF8" w:rsidRPr="00D920C9">
        <w:rPr>
          <w:rFonts w:asciiTheme="minorHAnsi" w:eastAsia="Times New Roman" w:hAnsiTheme="minorHAnsi"/>
          <w:lang w:eastAsia="es-ES"/>
        </w:rPr>
        <w:t>T</w:t>
      </w:r>
      <w:r w:rsidR="00DF4BDC" w:rsidRPr="00D920C9">
        <w:rPr>
          <w:rFonts w:asciiTheme="minorHAnsi" w:eastAsia="Times New Roman" w:hAnsiTheme="minorHAnsi"/>
          <w:lang w:eastAsia="es-ES"/>
        </w:rPr>
        <w:t xml:space="preserve">he Commission echoes the concerns of </w:t>
      </w:r>
      <w:r w:rsidR="0030356C" w:rsidRPr="00D920C9">
        <w:rPr>
          <w:rFonts w:asciiTheme="minorHAnsi" w:eastAsia="Times New Roman" w:hAnsiTheme="minorHAnsi"/>
          <w:lang w:eastAsia="es-ES"/>
        </w:rPr>
        <w:t xml:space="preserve">the CERD that African </w:t>
      </w:r>
      <w:r w:rsidR="00DF4BDC" w:rsidRPr="00D920C9">
        <w:rPr>
          <w:rFonts w:asciiTheme="minorHAnsi" w:eastAsia="Times New Roman" w:hAnsiTheme="minorHAnsi"/>
          <w:lang w:eastAsia="es-ES"/>
        </w:rPr>
        <w:t>Americans continue to be disproportionately arrested, incarcerated, and subjected to harsher sentences, including life imprisonment without parole and the death penalty, and that this situation is exacerbated by the exercise of prosecutorial discretion,</w:t>
      </w:r>
      <w:r w:rsidR="00CE0C26" w:rsidRPr="00D920C9">
        <w:rPr>
          <w:rFonts w:asciiTheme="minorHAnsi" w:eastAsia="Times New Roman" w:hAnsiTheme="minorHAnsi"/>
          <w:lang w:eastAsia="es-ES"/>
        </w:rPr>
        <w:t xml:space="preserve"> and</w:t>
      </w:r>
      <w:r w:rsidR="00DF4BDC" w:rsidRPr="00D920C9">
        <w:rPr>
          <w:rFonts w:asciiTheme="minorHAnsi" w:eastAsia="Times New Roman" w:hAnsiTheme="minorHAnsi"/>
          <w:lang w:eastAsia="es-ES"/>
        </w:rPr>
        <w:t xml:space="preserve"> the application of mandatory minimum drug-offense sentencing policies and repeat offender laws.</w:t>
      </w:r>
      <w:r w:rsidR="00DF4BDC" w:rsidRPr="00D920C9">
        <w:rPr>
          <w:rStyle w:val="FootnoteReference"/>
          <w:rFonts w:asciiTheme="minorHAnsi" w:eastAsia="Times New Roman" w:hAnsiTheme="minorHAnsi"/>
          <w:lang w:eastAsia="es-ES"/>
        </w:rPr>
        <w:footnoteReference w:id="295"/>
      </w:r>
      <w:r w:rsidR="00DF4BDC" w:rsidRPr="00D920C9">
        <w:rPr>
          <w:rFonts w:asciiTheme="minorHAnsi" w:eastAsia="Times New Roman" w:hAnsiTheme="minorHAnsi"/>
          <w:lang w:eastAsia="es-ES"/>
        </w:rPr>
        <w:t xml:space="preserve"> </w:t>
      </w:r>
    </w:p>
    <w:p w14:paraId="389635EA" w14:textId="77777777" w:rsidR="00B4412C" w:rsidRPr="00D920C9" w:rsidRDefault="00397F08"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eastAsia="Times New Roman" w:hAnsiTheme="minorHAnsi"/>
          <w:lang w:eastAsia="es-ES"/>
        </w:rPr>
        <w:t>The Commission has received information about disparities in access to counsel in criminal proceedings.</w:t>
      </w:r>
      <w:r w:rsidRPr="00D920C9">
        <w:rPr>
          <w:rStyle w:val="FootnoteReference"/>
          <w:rFonts w:asciiTheme="minorHAnsi" w:eastAsia="Times New Roman" w:hAnsiTheme="minorHAnsi"/>
          <w:lang w:eastAsia="es-ES"/>
        </w:rPr>
        <w:footnoteReference w:id="296"/>
      </w:r>
      <w:r w:rsidRPr="00D920C9">
        <w:rPr>
          <w:rFonts w:asciiTheme="minorHAnsi" w:eastAsia="Times New Roman" w:hAnsiTheme="minorHAnsi"/>
          <w:lang w:eastAsia="es-ES"/>
        </w:rPr>
        <w:t xml:space="preserve"> These issues are closely related to </w:t>
      </w:r>
      <w:r w:rsidRPr="00D920C9">
        <w:rPr>
          <w:rFonts w:asciiTheme="minorHAnsi" w:eastAsia="Times New Roman" w:hAnsiTheme="minorHAnsi"/>
          <w:lang w:eastAsia="es-ES"/>
        </w:rPr>
        <w:lastRenderedPageBreak/>
        <w:t>poverty and issues in access to and quality of counsel for indigent defendants</w:t>
      </w:r>
      <w:r w:rsidR="008E0CD6" w:rsidRPr="00D920C9">
        <w:rPr>
          <w:rFonts w:asciiTheme="minorHAnsi" w:eastAsia="Times New Roman" w:hAnsiTheme="minorHAnsi"/>
          <w:lang w:eastAsia="es-ES"/>
        </w:rPr>
        <w:t>; nonetheless,</w:t>
      </w:r>
      <w:r w:rsidRPr="00D920C9">
        <w:rPr>
          <w:rFonts w:asciiTheme="minorHAnsi" w:eastAsia="Times New Roman" w:hAnsiTheme="minorHAnsi"/>
          <w:lang w:eastAsia="es-ES"/>
        </w:rPr>
        <w:t xml:space="preserve"> even among indigent defendants, African Americans are disproportionately impacted by lack of access to counsel.</w:t>
      </w:r>
      <w:r w:rsidRPr="00D920C9">
        <w:rPr>
          <w:rStyle w:val="FootnoteReference"/>
          <w:rFonts w:asciiTheme="minorHAnsi" w:eastAsia="Times New Roman" w:hAnsiTheme="minorHAnsi"/>
          <w:lang w:eastAsia="es-ES"/>
        </w:rPr>
        <w:footnoteReference w:id="297"/>
      </w:r>
      <w:r w:rsidRPr="00D920C9">
        <w:rPr>
          <w:rFonts w:asciiTheme="minorHAnsi" w:eastAsia="Times New Roman" w:hAnsiTheme="minorHAnsi"/>
          <w:lang w:eastAsia="es-ES"/>
        </w:rPr>
        <w:t xml:space="preserve"> </w:t>
      </w:r>
      <w:r w:rsidR="00637A1A" w:rsidRPr="00D920C9">
        <w:rPr>
          <w:rFonts w:asciiTheme="minorHAnsi" w:eastAsia="Times New Roman" w:hAnsiTheme="minorHAnsi"/>
          <w:lang w:eastAsia="es-ES"/>
        </w:rPr>
        <w:t>Lack of access to counsel both endangers the right to due process in general</w:t>
      </w:r>
      <w:r w:rsidR="00637A1A" w:rsidRPr="00D920C9">
        <w:rPr>
          <w:rStyle w:val="FootnoteReference"/>
          <w:rFonts w:asciiTheme="minorHAnsi" w:eastAsia="Times New Roman" w:hAnsiTheme="minorHAnsi"/>
          <w:lang w:eastAsia="es-ES"/>
        </w:rPr>
        <w:footnoteReference w:id="298"/>
      </w:r>
      <w:r w:rsidR="00637A1A" w:rsidRPr="00D920C9">
        <w:rPr>
          <w:rFonts w:asciiTheme="minorHAnsi" w:eastAsia="Times New Roman" w:hAnsiTheme="minorHAnsi"/>
          <w:lang w:eastAsia="es-ES"/>
        </w:rPr>
        <w:t xml:space="preserve"> and impacts </w:t>
      </w:r>
      <w:r w:rsidR="00305744" w:rsidRPr="00D920C9">
        <w:rPr>
          <w:rFonts w:asciiTheme="minorHAnsi" w:eastAsia="Times New Roman" w:hAnsiTheme="minorHAnsi"/>
          <w:lang w:eastAsia="es-ES"/>
        </w:rPr>
        <w:t xml:space="preserve">defendants’ </w:t>
      </w:r>
      <w:r w:rsidR="00637A1A" w:rsidRPr="00D920C9">
        <w:rPr>
          <w:rFonts w:asciiTheme="minorHAnsi" w:eastAsia="Times New Roman" w:hAnsiTheme="minorHAnsi"/>
          <w:lang w:eastAsia="es-ES"/>
        </w:rPr>
        <w:t>ability to negotiate on equal terms in a plea bargaining process.</w:t>
      </w:r>
    </w:p>
    <w:p w14:paraId="759F1178" w14:textId="77777777" w:rsidR="002E13A2" w:rsidRPr="00D920C9" w:rsidRDefault="00D0491C"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The effect of lack of access to and quality of counsel is</w:t>
      </w:r>
      <w:r w:rsidR="00FA6B7E" w:rsidRPr="00D920C9">
        <w:rPr>
          <w:rFonts w:asciiTheme="minorHAnsi" w:hAnsiTheme="minorHAnsi"/>
        </w:rPr>
        <w:t xml:space="preserve"> compounded by the power of prosecutors to </w:t>
      </w:r>
      <w:r w:rsidR="004936E2" w:rsidRPr="00D920C9">
        <w:rPr>
          <w:rFonts w:asciiTheme="minorHAnsi" w:hAnsiTheme="minorHAnsi"/>
        </w:rPr>
        <w:t xml:space="preserve">decide </w:t>
      </w:r>
      <w:r w:rsidR="00FA6B7E" w:rsidRPr="00D920C9">
        <w:rPr>
          <w:rFonts w:asciiTheme="minorHAnsi" w:hAnsiTheme="minorHAnsi"/>
        </w:rPr>
        <w:t>whether and how they will charge defendants</w:t>
      </w:r>
      <w:r w:rsidR="00492CE7" w:rsidRPr="00D920C9">
        <w:rPr>
          <w:rFonts w:asciiTheme="minorHAnsi" w:hAnsiTheme="minorHAnsi"/>
        </w:rPr>
        <w:t xml:space="preserve"> with crimes</w:t>
      </w:r>
      <w:r w:rsidR="00FA6B7E" w:rsidRPr="00D920C9">
        <w:rPr>
          <w:rFonts w:asciiTheme="minorHAnsi" w:hAnsiTheme="minorHAnsi"/>
        </w:rPr>
        <w:t xml:space="preserve">. </w:t>
      </w:r>
      <w:r w:rsidR="004936E2" w:rsidRPr="00D920C9">
        <w:rPr>
          <w:rFonts w:asciiTheme="minorHAnsi" w:hAnsiTheme="minorHAnsi"/>
        </w:rPr>
        <w:t>I</w:t>
      </w:r>
      <w:r w:rsidR="00FA6B7E" w:rsidRPr="00D920C9">
        <w:rPr>
          <w:rFonts w:asciiTheme="minorHAnsi" w:hAnsiTheme="minorHAnsi"/>
        </w:rPr>
        <w:t xml:space="preserve">nformation indicates that this power, which is not subject to review, </w:t>
      </w:r>
      <w:r w:rsidR="005F402B" w:rsidRPr="00D920C9">
        <w:rPr>
          <w:rFonts w:asciiTheme="minorHAnsi" w:hAnsiTheme="minorHAnsi"/>
        </w:rPr>
        <w:t>can be exercised in a racially discriminatory manner. For example, one study showed that prosecutors charge black men with offenses carrying mandatory penalties twice as often as they did comparable white men.</w:t>
      </w:r>
      <w:r w:rsidR="005F402B" w:rsidRPr="00D920C9">
        <w:rPr>
          <w:rStyle w:val="FootnoteReference"/>
          <w:rFonts w:asciiTheme="minorHAnsi" w:hAnsiTheme="minorHAnsi"/>
        </w:rPr>
        <w:footnoteReference w:id="299"/>
      </w:r>
      <w:r w:rsidR="005F402B" w:rsidRPr="00D920C9">
        <w:rPr>
          <w:rFonts w:asciiTheme="minorHAnsi" w:hAnsiTheme="minorHAnsi"/>
        </w:rPr>
        <w:t xml:space="preserve"> Prosecutors likewise control the plea bargaining process, which means that </w:t>
      </w:r>
      <w:r w:rsidR="002F4E05" w:rsidRPr="00D920C9">
        <w:rPr>
          <w:rFonts w:asciiTheme="minorHAnsi" w:hAnsiTheme="minorHAnsi"/>
        </w:rPr>
        <w:t>they make discretionary and largely unreviewable</w:t>
      </w:r>
      <w:r w:rsidRPr="00D920C9">
        <w:rPr>
          <w:rFonts w:asciiTheme="minorHAnsi" w:hAnsiTheme="minorHAnsi"/>
        </w:rPr>
        <w:t xml:space="preserve"> choices about what penalties to seek against which defendants.</w:t>
      </w:r>
      <w:bookmarkStart w:id="114" w:name="_Ref507171639"/>
      <w:r w:rsidR="002F4E05" w:rsidRPr="00D920C9">
        <w:rPr>
          <w:rStyle w:val="FootnoteReference"/>
          <w:rFonts w:asciiTheme="minorHAnsi" w:hAnsiTheme="minorHAnsi"/>
        </w:rPr>
        <w:footnoteReference w:id="300"/>
      </w:r>
      <w:bookmarkEnd w:id="114"/>
      <w:r w:rsidR="002F4E05" w:rsidRPr="00D920C9">
        <w:rPr>
          <w:rFonts w:asciiTheme="minorHAnsi" w:hAnsiTheme="minorHAnsi"/>
        </w:rPr>
        <w:t xml:space="preserve"> </w:t>
      </w:r>
      <w:r w:rsidR="00492CE7" w:rsidRPr="00D920C9">
        <w:rPr>
          <w:rFonts w:asciiTheme="minorHAnsi" w:hAnsiTheme="minorHAnsi"/>
        </w:rPr>
        <w:t>This power over criminal charges and penalties is magnified by the fact</w:t>
      </w:r>
      <w:r w:rsidR="00710238" w:rsidRPr="00D920C9">
        <w:rPr>
          <w:rFonts w:asciiTheme="minorHAnsi" w:hAnsiTheme="minorHAnsi"/>
        </w:rPr>
        <w:t xml:space="preserve"> that 97 percent of federal convictions and 94 percent of state convictions are the result of guilty pleas</w:t>
      </w:r>
      <w:r w:rsidR="005F402B" w:rsidRPr="00D920C9">
        <w:rPr>
          <w:rFonts w:asciiTheme="minorHAnsi" w:hAnsiTheme="minorHAnsi"/>
        </w:rPr>
        <w:t>, without going to trial.</w:t>
      </w:r>
      <w:r w:rsidR="005F402B" w:rsidRPr="00D920C9">
        <w:rPr>
          <w:rStyle w:val="FootnoteReference"/>
          <w:rFonts w:asciiTheme="minorHAnsi" w:hAnsiTheme="minorHAnsi"/>
        </w:rPr>
        <w:footnoteReference w:id="301"/>
      </w:r>
    </w:p>
    <w:p w14:paraId="726E2306" w14:textId="7ED7E67F" w:rsidR="00B4412C" w:rsidRPr="00D920C9" w:rsidRDefault="00B4412C"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Information received by the Commission indicates significant racial disparities in sentencing decisions in the </w:t>
      </w:r>
      <w:r w:rsidR="0096252D" w:rsidRPr="00D920C9">
        <w:rPr>
          <w:rFonts w:asciiTheme="minorHAnsi" w:hAnsiTheme="minorHAnsi"/>
        </w:rPr>
        <w:t>U.S</w:t>
      </w:r>
      <w:r w:rsidRPr="00D920C9">
        <w:rPr>
          <w:rFonts w:asciiTheme="minorHAnsi" w:hAnsiTheme="minorHAnsi"/>
        </w:rPr>
        <w:t>.</w:t>
      </w:r>
      <w:r w:rsidRPr="00D920C9">
        <w:rPr>
          <w:rStyle w:val="FootnoteReference"/>
          <w:rFonts w:asciiTheme="minorHAnsi" w:hAnsiTheme="minorHAnsi"/>
        </w:rPr>
        <w:footnoteReference w:id="302"/>
      </w:r>
      <w:r w:rsidR="00D0491C" w:rsidRPr="00D920C9">
        <w:rPr>
          <w:rFonts w:asciiTheme="minorHAnsi" w:hAnsiTheme="minorHAnsi"/>
        </w:rPr>
        <w:t xml:space="preserve"> Sentences imposed on b</w:t>
      </w:r>
      <w:r w:rsidRPr="00D920C9">
        <w:rPr>
          <w:rFonts w:asciiTheme="minorHAnsi" w:hAnsiTheme="minorHAnsi"/>
        </w:rPr>
        <w:t xml:space="preserve">lack males in the federal </w:t>
      </w:r>
      <w:r w:rsidR="00D0491C" w:rsidRPr="00D920C9">
        <w:rPr>
          <w:rFonts w:asciiTheme="minorHAnsi" w:hAnsiTheme="minorHAnsi"/>
        </w:rPr>
        <w:t xml:space="preserve">criminal </w:t>
      </w:r>
      <w:r w:rsidRPr="00D920C9">
        <w:rPr>
          <w:rFonts w:asciiTheme="minorHAnsi" w:hAnsiTheme="minorHAnsi"/>
        </w:rPr>
        <w:t xml:space="preserve">system are nearly 20 percent longer </w:t>
      </w:r>
      <w:r w:rsidRPr="00D920C9">
        <w:rPr>
          <w:rFonts w:asciiTheme="minorHAnsi" w:hAnsiTheme="minorHAnsi"/>
        </w:rPr>
        <w:lastRenderedPageBreak/>
        <w:t>than those imposed on white males convicted of similar crimes.</w:t>
      </w:r>
      <w:r w:rsidRPr="00D920C9">
        <w:rPr>
          <w:rStyle w:val="FootnoteReference"/>
          <w:rFonts w:asciiTheme="minorHAnsi" w:hAnsiTheme="minorHAnsi"/>
        </w:rPr>
        <w:footnoteReference w:id="303"/>
      </w:r>
      <w:r w:rsidRPr="00D920C9">
        <w:rPr>
          <w:rFonts w:asciiTheme="minorHAnsi" w:hAnsiTheme="minorHAnsi"/>
        </w:rPr>
        <w:t xml:space="preserve"> Black and </w:t>
      </w:r>
      <w:r w:rsidR="0030356C" w:rsidRPr="00D920C9">
        <w:rPr>
          <w:rFonts w:asciiTheme="minorHAnsi" w:hAnsiTheme="minorHAnsi"/>
        </w:rPr>
        <w:t>Hispanic</w:t>
      </w:r>
      <w:r w:rsidRPr="00D920C9">
        <w:rPr>
          <w:rFonts w:asciiTheme="minorHAnsi" w:hAnsiTheme="minorHAnsi"/>
        </w:rPr>
        <w:t xml:space="preserve"> </w:t>
      </w:r>
      <w:r w:rsidR="00DF4BDC" w:rsidRPr="00D920C9">
        <w:rPr>
          <w:rFonts w:asciiTheme="minorHAnsi" w:hAnsiTheme="minorHAnsi"/>
        </w:rPr>
        <w:t>defendants are</w:t>
      </w:r>
      <w:r w:rsidRPr="00D920C9">
        <w:rPr>
          <w:rFonts w:asciiTheme="minorHAnsi" w:hAnsiTheme="minorHAnsi"/>
        </w:rPr>
        <w:t xml:space="preserve"> significantly </w:t>
      </w:r>
      <w:r w:rsidR="00DF4BDC" w:rsidRPr="00D920C9">
        <w:rPr>
          <w:rFonts w:asciiTheme="minorHAnsi" w:hAnsiTheme="minorHAnsi"/>
        </w:rPr>
        <w:t xml:space="preserve">more likely </w:t>
      </w:r>
      <w:r w:rsidR="00F56BE6" w:rsidRPr="00D920C9">
        <w:rPr>
          <w:rFonts w:asciiTheme="minorHAnsi" w:hAnsiTheme="minorHAnsi"/>
        </w:rPr>
        <w:t xml:space="preserve">to </w:t>
      </w:r>
      <w:r w:rsidR="009E4764" w:rsidRPr="00D920C9">
        <w:rPr>
          <w:rFonts w:asciiTheme="minorHAnsi" w:hAnsiTheme="minorHAnsi"/>
        </w:rPr>
        <w:t>be</w:t>
      </w:r>
      <w:r w:rsidR="00DF4BDC" w:rsidRPr="00D920C9">
        <w:rPr>
          <w:rFonts w:asciiTheme="minorHAnsi" w:hAnsiTheme="minorHAnsi"/>
        </w:rPr>
        <w:t xml:space="preserve"> incarcerat</w:t>
      </w:r>
      <w:r w:rsidR="009E4764" w:rsidRPr="00D920C9">
        <w:rPr>
          <w:rFonts w:asciiTheme="minorHAnsi" w:hAnsiTheme="minorHAnsi"/>
        </w:rPr>
        <w:t>ed</w:t>
      </w:r>
      <w:r w:rsidR="00DF4BDC" w:rsidRPr="00D920C9">
        <w:rPr>
          <w:rFonts w:asciiTheme="minorHAnsi" w:hAnsiTheme="minorHAnsi"/>
        </w:rPr>
        <w:t xml:space="preserve"> than comparable </w:t>
      </w:r>
      <w:r w:rsidRPr="00D920C9">
        <w:rPr>
          <w:rFonts w:asciiTheme="minorHAnsi" w:hAnsiTheme="minorHAnsi"/>
        </w:rPr>
        <w:t xml:space="preserve">white </w:t>
      </w:r>
      <w:r w:rsidR="00DF4BDC" w:rsidRPr="00D920C9">
        <w:rPr>
          <w:rFonts w:asciiTheme="minorHAnsi" w:hAnsiTheme="minorHAnsi"/>
        </w:rPr>
        <w:t>defendants</w:t>
      </w:r>
      <w:r w:rsidR="002E13A2" w:rsidRPr="00D920C9">
        <w:rPr>
          <w:rFonts w:asciiTheme="minorHAnsi" w:hAnsiTheme="minorHAnsi"/>
        </w:rPr>
        <w:t>,</w:t>
      </w:r>
      <w:r w:rsidRPr="00D920C9">
        <w:rPr>
          <w:rFonts w:asciiTheme="minorHAnsi" w:hAnsiTheme="minorHAnsi"/>
        </w:rPr>
        <w:t xml:space="preserve"> and receive longer sentences than their white counterparts in some jurisdictions.</w:t>
      </w:r>
      <w:r w:rsidRPr="00D920C9">
        <w:rPr>
          <w:rStyle w:val="FootnoteReference"/>
          <w:rFonts w:asciiTheme="minorHAnsi" w:hAnsiTheme="minorHAnsi"/>
        </w:rPr>
        <w:footnoteReference w:id="304"/>
      </w:r>
      <w:r w:rsidRPr="00D920C9">
        <w:rPr>
          <w:rFonts w:asciiTheme="minorHAnsi" w:hAnsiTheme="minorHAnsi"/>
        </w:rPr>
        <w:t xml:space="preserve"> </w:t>
      </w:r>
      <w:r w:rsidR="004936E2" w:rsidRPr="00D920C9">
        <w:rPr>
          <w:rFonts w:asciiTheme="minorHAnsi" w:hAnsiTheme="minorHAnsi"/>
        </w:rPr>
        <w:t>O</w:t>
      </w:r>
      <w:r w:rsidR="002E13A2" w:rsidRPr="00D920C9">
        <w:rPr>
          <w:rFonts w:asciiTheme="minorHAnsi" w:eastAsiaTheme="minorEastAsia" w:hAnsiTheme="minorHAnsi" w:cs="Calibri"/>
          <w:lang w:eastAsia="es-ES"/>
        </w:rPr>
        <w:t xml:space="preserve">ne recent study found that nearly half the counties in Florida sentence </w:t>
      </w:r>
      <w:r w:rsidR="00D0491C" w:rsidRPr="00D920C9">
        <w:rPr>
          <w:rFonts w:asciiTheme="minorHAnsi" w:eastAsiaTheme="minorEastAsia" w:hAnsiTheme="minorHAnsi" w:cs="Calibri"/>
          <w:lang w:eastAsia="es-ES"/>
        </w:rPr>
        <w:t>B</w:t>
      </w:r>
      <w:r w:rsidR="002E13A2" w:rsidRPr="00D920C9">
        <w:rPr>
          <w:rFonts w:asciiTheme="minorHAnsi" w:eastAsiaTheme="minorEastAsia" w:hAnsiTheme="minorHAnsi" w:cs="Calibri"/>
          <w:lang w:eastAsia="es-ES"/>
        </w:rPr>
        <w:t xml:space="preserve">lacks convicted of felony drug possession to more than </w:t>
      </w:r>
      <w:r w:rsidR="009E4764" w:rsidRPr="00D920C9">
        <w:rPr>
          <w:rFonts w:asciiTheme="minorHAnsi" w:eastAsiaTheme="minorEastAsia" w:hAnsiTheme="minorHAnsi" w:cs="Calibri"/>
          <w:lang w:eastAsia="es-ES"/>
        </w:rPr>
        <w:t>twice</w:t>
      </w:r>
      <w:r w:rsidR="002E13A2" w:rsidRPr="00D920C9">
        <w:rPr>
          <w:rFonts w:asciiTheme="minorHAnsi" w:eastAsiaTheme="minorEastAsia" w:hAnsiTheme="minorHAnsi" w:cs="Calibri"/>
          <w:lang w:eastAsia="es-ES"/>
        </w:rPr>
        <w:t xml:space="preserve"> the time of </w:t>
      </w:r>
      <w:r w:rsidR="00D0491C" w:rsidRPr="00D920C9">
        <w:rPr>
          <w:rFonts w:asciiTheme="minorHAnsi" w:eastAsiaTheme="minorEastAsia" w:hAnsiTheme="minorHAnsi" w:cs="Calibri"/>
          <w:lang w:eastAsia="es-ES"/>
        </w:rPr>
        <w:t>W</w:t>
      </w:r>
      <w:r w:rsidR="002E13A2" w:rsidRPr="00D920C9">
        <w:rPr>
          <w:rFonts w:asciiTheme="minorHAnsi" w:eastAsiaTheme="minorEastAsia" w:hAnsiTheme="minorHAnsi" w:cs="Calibri"/>
          <w:lang w:eastAsia="es-ES"/>
        </w:rPr>
        <w:t xml:space="preserve">hites, even when their backgrounds (tallied via a “points” system) are the same. </w:t>
      </w:r>
      <w:r w:rsidR="002E13A2" w:rsidRPr="00D920C9">
        <w:rPr>
          <w:rFonts w:asciiTheme="minorHAnsi" w:hAnsiTheme="minorHAnsi"/>
        </w:rPr>
        <w:t xml:space="preserve">Across Florida, when a white and black defendant score the same points for the same offense, judges give the black defendant a longer prison </w:t>
      </w:r>
      <w:r w:rsidR="00DF4BDC" w:rsidRPr="00D920C9">
        <w:rPr>
          <w:rFonts w:asciiTheme="minorHAnsi" w:hAnsiTheme="minorHAnsi"/>
        </w:rPr>
        <w:t>sentence</w:t>
      </w:r>
      <w:r w:rsidR="002E13A2" w:rsidRPr="00D920C9">
        <w:rPr>
          <w:rFonts w:asciiTheme="minorHAnsi" w:hAnsiTheme="minorHAnsi"/>
        </w:rPr>
        <w:t xml:space="preserve"> in 60 percent of felony cases.</w:t>
      </w:r>
      <w:r w:rsidR="002E13A2" w:rsidRPr="00D920C9">
        <w:rPr>
          <w:rStyle w:val="FootnoteReference"/>
          <w:rFonts w:asciiTheme="minorHAnsi" w:eastAsiaTheme="minorEastAsia" w:hAnsiTheme="minorHAnsi" w:cs="Calibri"/>
          <w:lang w:eastAsia="es-ES"/>
        </w:rPr>
        <w:footnoteReference w:id="305"/>
      </w:r>
      <w:r w:rsidR="002E13A2" w:rsidRPr="00D920C9">
        <w:rPr>
          <w:rFonts w:asciiTheme="minorHAnsi" w:hAnsiTheme="minorHAnsi"/>
        </w:rPr>
        <w:t xml:space="preserve"> </w:t>
      </w:r>
      <w:r w:rsidR="004936E2" w:rsidRPr="00D920C9">
        <w:rPr>
          <w:rFonts w:asciiTheme="minorHAnsi" w:hAnsiTheme="minorHAnsi"/>
        </w:rPr>
        <w:t>T</w:t>
      </w:r>
      <w:r w:rsidR="00DF4BDC" w:rsidRPr="00D920C9">
        <w:rPr>
          <w:rFonts w:asciiTheme="minorHAnsi" w:hAnsiTheme="minorHAnsi"/>
        </w:rPr>
        <w:t xml:space="preserve">hroughout the federal system, </w:t>
      </w:r>
      <w:r w:rsidR="002E13A2" w:rsidRPr="00D920C9">
        <w:rPr>
          <w:rFonts w:asciiTheme="minorHAnsi" w:hAnsiTheme="minorHAnsi"/>
        </w:rPr>
        <w:t>b</w:t>
      </w:r>
      <w:r w:rsidRPr="00D920C9">
        <w:rPr>
          <w:rFonts w:asciiTheme="minorHAnsi" w:hAnsiTheme="minorHAnsi"/>
        </w:rPr>
        <w:t>lack male federal defendants receive longer sentences than white</w:t>
      </w:r>
      <w:r w:rsidR="00D0491C" w:rsidRPr="00D920C9">
        <w:rPr>
          <w:rFonts w:asciiTheme="minorHAnsi" w:hAnsiTheme="minorHAnsi"/>
        </w:rPr>
        <w:t xml:space="preserve"> defendants</w:t>
      </w:r>
      <w:r w:rsidRPr="00D920C9">
        <w:rPr>
          <w:rFonts w:asciiTheme="minorHAnsi" w:hAnsiTheme="minorHAnsi"/>
        </w:rPr>
        <w:t xml:space="preserve"> arrested for the same offenses and with comparable criminal histories.</w:t>
      </w:r>
      <w:r w:rsidRPr="00D920C9">
        <w:rPr>
          <w:rStyle w:val="FootnoteReference"/>
          <w:rFonts w:asciiTheme="minorHAnsi" w:hAnsiTheme="minorHAnsi"/>
        </w:rPr>
        <w:footnoteReference w:id="306"/>
      </w:r>
      <w:r w:rsidRPr="00D920C9">
        <w:rPr>
          <w:rFonts w:asciiTheme="minorHAnsi" w:hAnsiTheme="minorHAnsi"/>
        </w:rPr>
        <w:t xml:space="preserve"> </w:t>
      </w:r>
      <w:r w:rsidR="00DF4BDC" w:rsidRPr="00D920C9">
        <w:rPr>
          <w:rFonts w:asciiTheme="minorHAnsi" w:hAnsiTheme="minorHAnsi"/>
        </w:rPr>
        <w:t>R</w:t>
      </w:r>
      <w:r w:rsidRPr="00D920C9">
        <w:rPr>
          <w:rFonts w:asciiTheme="minorHAnsi" w:hAnsiTheme="minorHAnsi"/>
        </w:rPr>
        <w:t xml:space="preserve">ace </w:t>
      </w:r>
      <w:r w:rsidR="00D0491C" w:rsidRPr="00D920C9">
        <w:rPr>
          <w:rFonts w:asciiTheme="minorHAnsi" w:hAnsiTheme="minorHAnsi"/>
        </w:rPr>
        <w:t xml:space="preserve">further </w:t>
      </w:r>
      <w:r w:rsidRPr="00D920C9">
        <w:rPr>
          <w:rFonts w:asciiTheme="minorHAnsi" w:hAnsiTheme="minorHAnsi"/>
        </w:rPr>
        <w:t>plays a significant role in the determination of which homicide cases result in death sentences.</w:t>
      </w:r>
      <w:r w:rsidRPr="00D920C9">
        <w:rPr>
          <w:rStyle w:val="FootnoteReference"/>
          <w:rFonts w:asciiTheme="minorHAnsi" w:hAnsiTheme="minorHAnsi"/>
        </w:rPr>
        <w:footnoteReference w:id="307"/>
      </w:r>
    </w:p>
    <w:p w14:paraId="064295E5" w14:textId="77777777" w:rsidR="007B7163" w:rsidRPr="00D920C9" w:rsidRDefault="007B7163" w:rsidP="00E86698">
      <w:pPr>
        <w:pStyle w:val="ListParagraph"/>
        <w:numPr>
          <w:ilvl w:val="0"/>
          <w:numId w:val="9"/>
        </w:numPr>
        <w:spacing w:after="240" w:line="240" w:lineRule="auto"/>
        <w:ind w:left="547" w:hanging="547"/>
        <w:contextualSpacing w:val="0"/>
        <w:jc w:val="both"/>
        <w:rPr>
          <w:rFonts w:asciiTheme="minorHAnsi" w:eastAsia="Times New Roman" w:hAnsiTheme="minorHAnsi"/>
          <w:lang w:eastAsia="es-ES"/>
        </w:rPr>
      </w:pPr>
      <w:bookmarkStart w:id="115" w:name="_Ref507586178"/>
      <w:r w:rsidRPr="00D920C9">
        <w:rPr>
          <w:rFonts w:asciiTheme="minorHAnsi" w:hAnsiTheme="minorHAnsi"/>
        </w:rPr>
        <w:t>T</w:t>
      </w:r>
      <w:r w:rsidR="00650905" w:rsidRPr="00D920C9">
        <w:rPr>
          <w:rFonts w:asciiTheme="minorHAnsi" w:hAnsiTheme="minorHAnsi"/>
        </w:rPr>
        <w:t xml:space="preserve">he Commission </w:t>
      </w:r>
      <w:r w:rsidRPr="00D920C9">
        <w:rPr>
          <w:rFonts w:asciiTheme="minorHAnsi" w:hAnsiTheme="minorHAnsi"/>
        </w:rPr>
        <w:t>recalls</w:t>
      </w:r>
      <w:r w:rsidR="00650905" w:rsidRPr="00D920C9">
        <w:rPr>
          <w:rFonts w:asciiTheme="minorHAnsi" w:hAnsiTheme="minorHAnsi"/>
        </w:rPr>
        <w:t xml:space="preserve"> that the United States has the highest incarceration rate in the world, at about 719 prisoners </w:t>
      </w:r>
      <w:r w:rsidR="004936E2" w:rsidRPr="00D920C9">
        <w:rPr>
          <w:rFonts w:asciiTheme="minorHAnsi" w:hAnsiTheme="minorHAnsi"/>
        </w:rPr>
        <w:t>per</w:t>
      </w:r>
      <w:r w:rsidR="00650905" w:rsidRPr="00D920C9">
        <w:rPr>
          <w:rFonts w:asciiTheme="minorHAnsi" w:hAnsiTheme="minorHAnsi"/>
        </w:rPr>
        <w:t xml:space="preserve"> 100,000 residents</w:t>
      </w:r>
      <w:r w:rsidR="004936E2" w:rsidRPr="00D920C9">
        <w:rPr>
          <w:rFonts w:asciiTheme="minorHAnsi" w:hAnsiTheme="minorHAnsi"/>
        </w:rPr>
        <w:t>,</w:t>
      </w:r>
      <w:r w:rsidR="00650905" w:rsidRPr="00D920C9">
        <w:rPr>
          <w:rFonts w:asciiTheme="minorHAnsi" w:hAnsiTheme="minorHAnsi"/>
          <w:vertAlign w:val="superscript"/>
        </w:rPr>
        <w:footnoteReference w:id="308"/>
      </w:r>
      <w:r w:rsidR="00650905" w:rsidRPr="00D920C9">
        <w:rPr>
          <w:rFonts w:asciiTheme="minorHAnsi" w:hAnsiTheme="minorHAnsi"/>
        </w:rPr>
        <w:t xml:space="preserve"> </w:t>
      </w:r>
      <w:r w:rsidRPr="00D920C9">
        <w:rPr>
          <w:rFonts w:asciiTheme="minorHAnsi" w:eastAsia="Times New Roman" w:hAnsiTheme="minorHAnsi"/>
          <w:lang w:eastAsia="es-ES"/>
        </w:rPr>
        <w:t>more than five times higher than most of the countries in the world.</w:t>
      </w:r>
      <w:r w:rsidRPr="00D920C9">
        <w:rPr>
          <w:rStyle w:val="FootnoteReference"/>
          <w:rFonts w:asciiTheme="minorHAnsi" w:eastAsia="Times New Roman" w:hAnsiTheme="minorHAnsi"/>
          <w:lang w:eastAsia="es-ES"/>
        </w:rPr>
        <w:footnoteReference w:id="309"/>
      </w:r>
      <w:r w:rsidRPr="00D920C9">
        <w:rPr>
          <w:rFonts w:asciiTheme="minorHAnsi" w:eastAsia="Times New Roman" w:hAnsiTheme="minorHAnsi"/>
          <w:lang w:eastAsia="es-ES"/>
        </w:rPr>
        <w:t xml:space="preserve"> </w:t>
      </w:r>
      <w:r w:rsidRPr="00D920C9">
        <w:rPr>
          <w:rFonts w:asciiTheme="minorHAnsi" w:hAnsiTheme="minorHAnsi"/>
          <w:bCs/>
        </w:rPr>
        <w:t>In addition to the</w:t>
      </w:r>
      <w:r w:rsidRPr="00D920C9">
        <w:rPr>
          <w:rFonts w:asciiTheme="minorHAnsi" w:hAnsiTheme="minorHAnsi"/>
        </w:rPr>
        <w:t xml:space="preserve"> 1.3 million people incarcerated in state prisons, about 1 million more are deprived of liberty at any given time in federal prisons, local jails, immigration detention, and other detention centers.</w:t>
      </w:r>
      <w:r w:rsidRPr="00D920C9">
        <w:rPr>
          <w:rFonts w:asciiTheme="minorHAnsi" w:hAnsiTheme="minorHAnsi"/>
          <w:vertAlign w:val="superscript"/>
        </w:rPr>
        <w:footnoteReference w:id="310"/>
      </w:r>
      <w:r w:rsidRPr="00D920C9">
        <w:rPr>
          <w:rFonts w:asciiTheme="minorHAnsi" w:hAnsiTheme="minorHAnsi"/>
        </w:rPr>
        <w:t xml:space="preserve"> The Commission notes, however, that the overall incarceration rate has been falling since 2007—from about 1 in 100 adults to 1 in 115—largely due to state-level reform initiatives.</w:t>
      </w:r>
      <w:r w:rsidRPr="00D920C9">
        <w:rPr>
          <w:rFonts w:asciiTheme="minorHAnsi" w:hAnsiTheme="minorHAnsi"/>
          <w:vertAlign w:val="superscript"/>
        </w:rPr>
        <w:footnoteReference w:id="311"/>
      </w:r>
      <w:r w:rsidRPr="00D920C9">
        <w:rPr>
          <w:rFonts w:asciiTheme="minorHAnsi" w:hAnsiTheme="minorHAnsi"/>
        </w:rPr>
        <w:t xml:space="preserve"> </w:t>
      </w:r>
      <w:r w:rsidRPr="00D920C9">
        <w:rPr>
          <w:rFonts w:asciiTheme="minorHAnsi" w:eastAsia="Times New Roman" w:hAnsiTheme="minorHAnsi"/>
          <w:lang w:eastAsia="es-ES"/>
        </w:rPr>
        <w:t>W</w:t>
      </w:r>
      <w:r w:rsidR="00650905" w:rsidRPr="00D920C9">
        <w:rPr>
          <w:rFonts w:asciiTheme="minorHAnsi" w:hAnsiTheme="minorHAnsi"/>
        </w:rPr>
        <w:t>ithin the incarcerated population, Blacks, Hispanics, and Native Americans are grossly overrepresented relative to their percentage of the total population.</w:t>
      </w:r>
      <w:r w:rsidR="00650905" w:rsidRPr="00D920C9">
        <w:rPr>
          <w:rFonts w:asciiTheme="minorHAnsi" w:hAnsiTheme="minorHAnsi"/>
          <w:vertAlign w:val="superscript"/>
        </w:rPr>
        <w:footnoteReference w:id="312"/>
      </w:r>
      <w:r w:rsidR="00650905" w:rsidRPr="00D920C9">
        <w:rPr>
          <w:rFonts w:asciiTheme="minorHAnsi" w:hAnsiTheme="minorHAnsi"/>
        </w:rPr>
        <w:t xml:space="preserve"> </w:t>
      </w:r>
      <w:r w:rsidR="004936E2" w:rsidRPr="00D920C9">
        <w:rPr>
          <w:rFonts w:asciiTheme="minorHAnsi" w:hAnsiTheme="minorHAnsi"/>
        </w:rPr>
        <w:t>W</w:t>
      </w:r>
      <w:r w:rsidR="00650905" w:rsidRPr="00D920C9">
        <w:rPr>
          <w:rFonts w:asciiTheme="minorHAnsi" w:hAnsiTheme="minorHAnsi"/>
        </w:rPr>
        <w:t>hile African</w:t>
      </w:r>
      <w:r w:rsidR="0096252D" w:rsidRPr="00D920C9">
        <w:rPr>
          <w:rFonts w:asciiTheme="minorHAnsi" w:hAnsiTheme="minorHAnsi"/>
        </w:rPr>
        <w:t xml:space="preserve"> </w:t>
      </w:r>
      <w:r w:rsidR="00650905" w:rsidRPr="00D920C9">
        <w:rPr>
          <w:rFonts w:asciiTheme="minorHAnsi" w:hAnsiTheme="minorHAnsi"/>
        </w:rPr>
        <w:t>Americans comprise 13 percent of the U</w:t>
      </w:r>
      <w:r w:rsidR="0096252D" w:rsidRPr="00D920C9">
        <w:rPr>
          <w:rFonts w:asciiTheme="minorHAnsi" w:hAnsiTheme="minorHAnsi"/>
        </w:rPr>
        <w:t>.</w:t>
      </w:r>
      <w:r w:rsidR="00650905" w:rsidRPr="00D920C9">
        <w:rPr>
          <w:rFonts w:asciiTheme="minorHAnsi" w:hAnsiTheme="minorHAnsi"/>
        </w:rPr>
        <w:t>S</w:t>
      </w:r>
      <w:r w:rsidR="0096252D" w:rsidRPr="00D920C9">
        <w:rPr>
          <w:rFonts w:asciiTheme="minorHAnsi" w:hAnsiTheme="minorHAnsi"/>
        </w:rPr>
        <w:t>.</w:t>
      </w:r>
      <w:r w:rsidR="00650905" w:rsidRPr="00D920C9">
        <w:rPr>
          <w:rFonts w:asciiTheme="minorHAnsi" w:hAnsiTheme="minorHAnsi"/>
        </w:rPr>
        <w:t xml:space="preserve"> population, they represent 38 percent of </w:t>
      </w:r>
      <w:r w:rsidR="00650905" w:rsidRPr="00D920C9">
        <w:rPr>
          <w:rFonts w:asciiTheme="minorHAnsi" w:hAnsiTheme="minorHAnsi"/>
        </w:rPr>
        <w:lastRenderedPageBreak/>
        <w:t>the incarcerated population.</w:t>
      </w:r>
      <w:r w:rsidR="00650905" w:rsidRPr="00D920C9">
        <w:rPr>
          <w:rFonts w:asciiTheme="minorHAnsi" w:hAnsiTheme="minorHAnsi"/>
          <w:vertAlign w:val="superscript"/>
        </w:rPr>
        <w:footnoteReference w:id="313"/>
      </w:r>
      <w:r w:rsidR="00650905" w:rsidRPr="00D920C9">
        <w:rPr>
          <w:rFonts w:asciiTheme="minorHAnsi" w:hAnsiTheme="minorHAnsi"/>
        </w:rPr>
        <w:t xml:space="preserve"> This grave inequality extends to </w:t>
      </w:r>
      <w:r w:rsidR="00650905" w:rsidRPr="00D920C9">
        <w:rPr>
          <w:rFonts w:asciiTheme="minorHAnsi" w:hAnsiTheme="minorHAnsi"/>
          <w:bCs/>
        </w:rPr>
        <w:t>death row as well: African</w:t>
      </w:r>
      <w:r w:rsidR="0096252D" w:rsidRPr="00D920C9">
        <w:rPr>
          <w:rFonts w:asciiTheme="minorHAnsi" w:hAnsiTheme="minorHAnsi"/>
          <w:bCs/>
        </w:rPr>
        <w:t xml:space="preserve"> </w:t>
      </w:r>
      <w:r w:rsidR="00650905" w:rsidRPr="00D920C9">
        <w:rPr>
          <w:rFonts w:asciiTheme="minorHAnsi" w:hAnsiTheme="minorHAnsi"/>
          <w:bCs/>
        </w:rPr>
        <w:t xml:space="preserve">Americans comprise 41.65 percent of the population on death row and 34.5 percent of the defendants executed in the </w:t>
      </w:r>
      <w:r w:rsidR="0096252D" w:rsidRPr="00D920C9">
        <w:rPr>
          <w:rFonts w:asciiTheme="minorHAnsi" w:hAnsiTheme="minorHAnsi"/>
          <w:bCs/>
        </w:rPr>
        <w:t>U.S.</w:t>
      </w:r>
      <w:r w:rsidR="00650905" w:rsidRPr="00D920C9">
        <w:rPr>
          <w:rFonts w:asciiTheme="minorHAnsi" w:hAnsiTheme="minorHAnsi"/>
          <w:bCs/>
        </w:rPr>
        <w:t xml:space="preserve"> since 1976.</w:t>
      </w:r>
      <w:r w:rsidR="00650905" w:rsidRPr="00D920C9">
        <w:rPr>
          <w:rFonts w:asciiTheme="minorHAnsi" w:hAnsiTheme="minorHAnsi"/>
          <w:bCs/>
          <w:vertAlign w:val="superscript"/>
        </w:rPr>
        <w:footnoteReference w:id="314"/>
      </w:r>
      <w:r w:rsidR="00650905" w:rsidRPr="00D920C9">
        <w:rPr>
          <w:rFonts w:asciiTheme="minorHAnsi" w:hAnsiTheme="minorHAnsi"/>
          <w:bCs/>
        </w:rPr>
        <w:t xml:space="preserve"> </w:t>
      </w:r>
      <w:r w:rsidRPr="00D920C9">
        <w:rPr>
          <w:rFonts w:asciiTheme="minorHAnsi" w:hAnsiTheme="minorHAnsi"/>
          <w:bCs/>
        </w:rPr>
        <w:t>In contrast, W</w:t>
      </w:r>
      <w:r w:rsidRPr="00D920C9">
        <w:rPr>
          <w:rFonts w:asciiTheme="minorHAnsi" w:eastAsia="Times New Roman" w:hAnsiTheme="minorHAnsi"/>
          <w:lang w:eastAsia="es-ES"/>
        </w:rPr>
        <w:t xml:space="preserve">hites make up 64 percent of the national population and just 39 percent of the incarcerated population; Hispanics make up 16 percent of the national population and 19 percent of the incarcerated population. </w:t>
      </w:r>
      <w:r w:rsidR="004936E2" w:rsidRPr="00D920C9">
        <w:rPr>
          <w:rFonts w:asciiTheme="minorHAnsi" w:eastAsia="Times New Roman" w:hAnsiTheme="minorHAnsi"/>
          <w:lang w:eastAsia="es-ES"/>
        </w:rPr>
        <w:t>Thus,</w:t>
      </w:r>
      <w:r w:rsidRPr="00D920C9">
        <w:rPr>
          <w:rFonts w:asciiTheme="minorHAnsi" w:eastAsia="Times New Roman" w:hAnsiTheme="minorHAnsi"/>
          <w:lang w:eastAsia="es-ES"/>
        </w:rPr>
        <w:t xml:space="preserve"> while the overall incarceration rate for Whites is 450 per 100,000, the incarceration rate for Blacks is 2,306 per 100,000.</w:t>
      </w:r>
      <w:r w:rsidRPr="00D920C9">
        <w:rPr>
          <w:rStyle w:val="FootnoteReference"/>
          <w:rFonts w:asciiTheme="minorHAnsi" w:eastAsia="Times New Roman" w:hAnsiTheme="minorHAnsi"/>
          <w:lang w:eastAsia="es-ES"/>
        </w:rPr>
        <w:footnoteReference w:id="315"/>
      </w:r>
      <w:r w:rsidRPr="00D920C9">
        <w:rPr>
          <w:rFonts w:asciiTheme="minorHAnsi" w:eastAsia="Times New Roman" w:hAnsiTheme="minorHAnsi"/>
          <w:lang w:eastAsia="es-ES"/>
        </w:rPr>
        <w:t xml:space="preserve"> In state prisons, African Americans are incarcerated across the country at more than five times the rate of whites, and at least ten times the rate in five states.</w:t>
      </w:r>
      <w:r w:rsidRPr="00D920C9">
        <w:rPr>
          <w:rStyle w:val="FootnoteReference"/>
          <w:rFonts w:asciiTheme="minorHAnsi" w:eastAsia="Times New Roman" w:hAnsiTheme="minorHAnsi"/>
          <w:lang w:eastAsia="es-ES"/>
        </w:rPr>
        <w:footnoteReference w:id="316"/>
      </w:r>
      <w:bookmarkEnd w:id="115"/>
      <w:r w:rsidRPr="00D920C9">
        <w:rPr>
          <w:rFonts w:asciiTheme="minorHAnsi" w:hAnsiTheme="minorHAnsi"/>
        </w:rPr>
        <w:t xml:space="preserve">  </w:t>
      </w:r>
    </w:p>
    <w:p w14:paraId="437D1748" w14:textId="4EC83319" w:rsidR="002E13A2" w:rsidRPr="00D920C9" w:rsidRDefault="002E13A2" w:rsidP="00E86698">
      <w:pPr>
        <w:pStyle w:val="ListParagraph"/>
        <w:numPr>
          <w:ilvl w:val="0"/>
          <w:numId w:val="9"/>
        </w:numPr>
        <w:spacing w:after="240" w:line="240" w:lineRule="auto"/>
        <w:ind w:left="547" w:hanging="547"/>
        <w:contextualSpacing w:val="0"/>
        <w:jc w:val="both"/>
        <w:rPr>
          <w:rFonts w:asciiTheme="minorHAnsi" w:eastAsia="Times New Roman" w:hAnsiTheme="minorHAnsi"/>
          <w:lang w:eastAsia="es-ES"/>
        </w:rPr>
      </w:pPr>
      <w:r w:rsidRPr="00D920C9">
        <w:rPr>
          <w:rFonts w:asciiTheme="minorHAnsi" w:eastAsia="Times New Roman" w:hAnsiTheme="minorHAnsi"/>
          <w:lang w:eastAsia="es-ES"/>
        </w:rPr>
        <w:t xml:space="preserve">The Commission reiterates its concern about the </w:t>
      </w:r>
      <w:r w:rsidR="004936E2" w:rsidRPr="00D920C9">
        <w:rPr>
          <w:rFonts w:asciiTheme="minorHAnsi" w:eastAsia="Times New Roman" w:hAnsiTheme="minorHAnsi"/>
          <w:lang w:eastAsia="es-ES"/>
        </w:rPr>
        <w:t>U.S.’</w:t>
      </w:r>
      <w:r w:rsidR="00B63CDE" w:rsidRPr="00D920C9">
        <w:rPr>
          <w:rFonts w:asciiTheme="minorHAnsi" w:eastAsia="Times New Roman" w:hAnsiTheme="minorHAnsi"/>
          <w:lang w:eastAsia="es-ES"/>
        </w:rPr>
        <w:t xml:space="preserve"> high incarceration rate</w:t>
      </w:r>
      <w:r w:rsidRPr="00D920C9">
        <w:rPr>
          <w:rFonts w:asciiTheme="minorHAnsi" w:eastAsia="Times New Roman" w:hAnsiTheme="minorHAnsi"/>
          <w:lang w:eastAsia="es-ES"/>
        </w:rPr>
        <w:t xml:space="preserve"> for non-violent drug crimes. It calls </w:t>
      </w:r>
      <w:r w:rsidR="00B63CDE" w:rsidRPr="00D920C9">
        <w:rPr>
          <w:rFonts w:asciiTheme="minorHAnsi" w:eastAsia="Times New Roman" w:hAnsiTheme="minorHAnsi"/>
          <w:lang w:eastAsia="es-ES"/>
        </w:rPr>
        <w:t>on</w:t>
      </w:r>
      <w:r w:rsidRPr="00D920C9">
        <w:rPr>
          <w:rFonts w:asciiTheme="minorHAnsi" w:eastAsia="Times New Roman" w:hAnsiTheme="minorHAnsi"/>
          <w:lang w:eastAsia="es-ES"/>
        </w:rPr>
        <w:t xml:space="preserve"> the State to establish a </w:t>
      </w:r>
      <w:r w:rsidR="00B63CDE" w:rsidRPr="00D920C9">
        <w:rPr>
          <w:rFonts w:asciiTheme="minorHAnsi" w:eastAsia="Times New Roman" w:hAnsiTheme="minorHAnsi"/>
          <w:lang w:eastAsia="es-ES"/>
        </w:rPr>
        <w:t xml:space="preserve">comprehensive </w:t>
      </w:r>
      <w:r w:rsidRPr="00D920C9">
        <w:rPr>
          <w:rFonts w:asciiTheme="minorHAnsi" w:eastAsia="Times New Roman" w:hAnsiTheme="minorHAnsi"/>
          <w:lang w:eastAsia="es-ES"/>
        </w:rPr>
        <w:t xml:space="preserve">drug policy with </w:t>
      </w:r>
      <w:r w:rsidR="00B63CDE" w:rsidRPr="00D920C9">
        <w:rPr>
          <w:rFonts w:asciiTheme="minorHAnsi" w:eastAsia="Times New Roman" w:hAnsiTheme="minorHAnsi"/>
          <w:lang w:eastAsia="es-ES"/>
        </w:rPr>
        <w:t xml:space="preserve">an </w:t>
      </w:r>
      <w:r w:rsidRPr="00D920C9">
        <w:rPr>
          <w:rFonts w:asciiTheme="minorHAnsi" w:eastAsia="Times New Roman" w:hAnsiTheme="minorHAnsi"/>
          <w:lang w:eastAsia="es-ES"/>
        </w:rPr>
        <w:t>approach focused on social reinsertion, ensur</w:t>
      </w:r>
      <w:r w:rsidR="00BD08E4" w:rsidRPr="00D920C9">
        <w:rPr>
          <w:rFonts w:asciiTheme="minorHAnsi" w:eastAsia="Times New Roman" w:hAnsiTheme="minorHAnsi"/>
          <w:lang w:eastAsia="es-ES"/>
        </w:rPr>
        <w:t>ing</w:t>
      </w:r>
      <w:r w:rsidRPr="00D920C9">
        <w:rPr>
          <w:rFonts w:asciiTheme="minorHAnsi" w:eastAsia="Times New Roman" w:hAnsiTheme="minorHAnsi"/>
          <w:lang w:eastAsia="es-ES"/>
        </w:rPr>
        <w:t xml:space="preserve"> treatment for persons who have been arrested for drug use or possession</w:t>
      </w:r>
      <w:r w:rsidR="00B63CDE" w:rsidRPr="00D920C9">
        <w:rPr>
          <w:rFonts w:asciiTheme="minorHAnsi" w:eastAsia="Times New Roman" w:hAnsiTheme="minorHAnsi"/>
          <w:lang w:eastAsia="es-ES"/>
        </w:rPr>
        <w:t>,</w:t>
      </w:r>
      <w:r w:rsidRPr="00D920C9">
        <w:rPr>
          <w:rFonts w:asciiTheme="minorHAnsi" w:eastAsia="Times New Roman" w:hAnsiTheme="minorHAnsi"/>
          <w:lang w:eastAsia="es-ES"/>
        </w:rPr>
        <w:t xml:space="preserve"> or who have committed minor offenses </w:t>
      </w:r>
      <w:r w:rsidR="00B63CDE" w:rsidRPr="00D920C9">
        <w:rPr>
          <w:rFonts w:asciiTheme="minorHAnsi" w:eastAsia="Times New Roman" w:hAnsiTheme="minorHAnsi"/>
          <w:lang w:eastAsia="es-ES"/>
        </w:rPr>
        <w:t>related to drug use or dependence,</w:t>
      </w:r>
      <w:r w:rsidRPr="00D920C9">
        <w:rPr>
          <w:rFonts w:asciiTheme="minorHAnsi" w:eastAsia="Times New Roman" w:hAnsiTheme="minorHAnsi"/>
          <w:lang w:eastAsia="es-ES"/>
        </w:rPr>
        <w:t xml:space="preserve"> from a public health approach, rather than </w:t>
      </w:r>
      <w:r w:rsidR="00F56BE6" w:rsidRPr="00D920C9">
        <w:rPr>
          <w:rFonts w:asciiTheme="minorHAnsi" w:eastAsia="Times New Roman" w:hAnsiTheme="minorHAnsi"/>
          <w:lang w:eastAsia="es-ES"/>
        </w:rPr>
        <w:t xml:space="preserve">a </w:t>
      </w:r>
      <w:r w:rsidR="00984B0E" w:rsidRPr="00D920C9">
        <w:rPr>
          <w:rFonts w:asciiTheme="minorHAnsi" w:hAnsiTheme="minorHAnsi"/>
        </w:rPr>
        <w:t>logic</w:t>
      </w:r>
      <w:r w:rsidRPr="00D920C9">
        <w:rPr>
          <w:rFonts w:asciiTheme="minorHAnsi" w:eastAsia="Times New Roman" w:hAnsiTheme="minorHAnsi"/>
          <w:lang w:eastAsia="es-ES"/>
        </w:rPr>
        <w:t xml:space="preserve"> of repression</w:t>
      </w:r>
      <w:r w:rsidR="00F56BE6" w:rsidRPr="00D920C9">
        <w:rPr>
          <w:rFonts w:asciiTheme="minorHAnsi" w:eastAsia="Times New Roman" w:hAnsiTheme="minorHAnsi"/>
          <w:lang w:eastAsia="es-ES"/>
        </w:rPr>
        <w:t>,</w:t>
      </w:r>
      <w:r w:rsidRPr="00D920C9">
        <w:rPr>
          <w:rFonts w:asciiTheme="minorHAnsi" w:eastAsia="Times New Roman" w:hAnsiTheme="minorHAnsi"/>
          <w:lang w:eastAsia="es-ES"/>
        </w:rPr>
        <w:t xml:space="preserve"> or criminalization.</w:t>
      </w:r>
      <w:r w:rsidR="00BD08E4" w:rsidRPr="00D920C9">
        <w:rPr>
          <w:rFonts w:asciiTheme="minorHAnsi" w:eastAsia="Times New Roman" w:hAnsiTheme="minorHAnsi"/>
          <w:lang w:eastAsia="es-ES"/>
        </w:rPr>
        <w:t xml:space="preserve"> T</w:t>
      </w:r>
      <w:r w:rsidRPr="00D920C9">
        <w:rPr>
          <w:rFonts w:asciiTheme="minorHAnsi" w:eastAsia="Times New Roman" w:hAnsiTheme="minorHAnsi"/>
          <w:lang w:eastAsia="es-ES"/>
        </w:rPr>
        <w:t>he State should prevent individuals in cases of drug use or possession for personal use from being subjected to custodial measures or entering the criminal justice system.</w:t>
      </w:r>
      <w:r w:rsidRPr="00D920C9">
        <w:rPr>
          <w:rStyle w:val="FootnoteReference"/>
          <w:rFonts w:asciiTheme="minorHAnsi" w:eastAsia="Times New Roman" w:hAnsiTheme="minorHAnsi"/>
          <w:lang w:eastAsia="es-ES"/>
        </w:rPr>
        <w:footnoteReference w:id="317"/>
      </w:r>
    </w:p>
    <w:p w14:paraId="30F2FBA0" w14:textId="77777777" w:rsidR="00B4412C" w:rsidRPr="00D920C9" w:rsidRDefault="002E13A2" w:rsidP="00E86698">
      <w:pPr>
        <w:pStyle w:val="ListParagraph"/>
        <w:numPr>
          <w:ilvl w:val="0"/>
          <w:numId w:val="9"/>
        </w:numPr>
        <w:spacing w:after="240" w:line="240" w:lineRule="auto"/>
        <w:ind w:left="547" w:hanging="547"/>
        <w:contextualSpacing w:val="0"/>
        <w:jc w:val="both"/>
        <w:rPr>
          <w:rFonts w:asciiTheme="minorHAnsi" w:eastAsia="Times New Roman" w:hAnsiTheme="minorHAnsi"/>
          <w:lang w:eastAsia="es-ES"/>
        </w:rPr>
      </w:pPr>
      <w:r w:rsidRPr="00D920C9">
        <w:rPr>
          <w:rFonts w:asciiTheme="minorHAnsi" w:eastAsia="Times New Roman" w:hAnsiTheme="minorHAnsi"/>
          <w:lang w:eastAsia="es-ES"/>
        </w:rPr>
        <w:t xml:space="preserve">The Commission reiterates its </w:t>
      </w:r>
      <w:r w:rsidR="004936E2" w:rsidRPr="00D920C9">
        <w:rPr>
          <w:rFonts w:asciiTheme="minorHAnsi" w:eastAsia="Times New Roman" w:hAnsiTheme="minorHAnsi"/>
          <w:lang w:eastAsia="es-ES"/>
        </w:rPr>
        <w:t>concern</w:t>
      </w:r>
      <w:r w:rsidR="00192BFD" w:rsidRPr="00D920C9">
        <w:rPr>
          <w:rFonts w:asciiTheme="minorHAnsi" w:eastAsia="Times New Roman" w:hAnsiTheme="minorHAnsi"/>
          <w:lang w:eastAsia="es-ES"/>
        </w:rPr>
        <w:t xml:space="preserve"> regarding</w:t>
      </w:r>
      <w:r w:rsidRPr="00D920C9">
        <w:rPr>
          <w:rFonts w:asciiTheme="minorHAnsi" w:eastAsia="Times New Roman" w:hAnsiTheme="minorHAnsi"/>
          <w:lang w:eastAsia="es-ES"/>
        </w:rPr>
        <w:t xml:space="preserve"> detention conditions in the United States.</w:t>
      </w:r>
      <w:r w:rsidR="007631C3" w:rsidRPr="00D920C9">
        <w:rPr>
          <w:rStyle w:val="FootnoteReference"/>
          <w:rFonts w:asciiTheme="minorHAnsi" w:eastAsia="Times New Roman" w:hAnsiTheme="minorHAnsi"/>
          <w:lang w:eastAsia="es-ES"/>
        </w:rPr>
        <w:footnoteReference w:id="318"/>
      </w:r>
      <w:r w:rsidRPr="00D920C9">
        <w:rPr>
          <w:rFonts w:asciiTheme="minorHAnsi" w:eastAsia="Times New Roman" w:hAnsiTheme="minorHAnsi"/>
          <w:lang w:eastAsia="es-ES"/>
        </w:rPr>
        <w:t xml:space="preserve"> </w:t>
      </w:r>
      <w:r w:rsidR="00305744" w:rsidRPr="00D920C9">
        <w:rPr>
          <w:rFonts w:asciiTheme="minorHAnsi" w:eastAsia="Times New Roman" w:hAnsiTheme="minorHAnsi"/>
          <w:lang w:eastAsia="es-ES"/>
        </w:rPr>
        <w:t>D</w:t>
      </w:r>
      <w:r w:rsidR="00B4412C" w:rsidRPr="00D920C9">
        <w:rPr>
          <w:rFonts w:asciiTheme="minorHAnsi" w:eastAsia="Times New Roman" w:hAnsiTheme="minorHAnsi"/>
          <w:lang w:eastAsia="es-ES"/>
        </w:rPr>
        <w:t xml:space="preserve">uring its visit to New Orleans, the </w:t>
      </w:r>
      <w:r w:rsidR="00305744" w:rsidRPr="00D920C9">
        <w:rPr>
          <w:rFonts w:asciiTheme="minorHAnsi" w:eastAsia="Times New Roman" w:hAnsiTheme="minorHAnsi"/>
          <w:lang w:eastAsia="es-ES"/>
        </w:rPr>
        <w:t>delegation</w:t>
      </w:r>
      <w:r w:rsidR="00B4412C" w:rsidRPr="00D920C9">
        <w:rPr>
          <w:rFonts w:asciiTheme="minorHAnsi" w:eastAsia="Times New Roman" w:hAnsiTheme="minorHAnsi"/>
          <w:lang w:eastAsia="es-ES"/>
        </w:rPr>
        <w:t xml:space="preserve"> received testimonies from mothers of </w:t>
      </w:r>
      <w:r w:rsidR="00B63CDE" w:rsidRPr="00D920C9">
        <w:rPr>
          <w:rFonts w:asciiTheme="minorHAnsi" w:eastAsia="Times New Roman" w:hAnsiTheme="minorHAnsi"/>
          <w:lang w:eastAsia="es-ES"/>
        </w:rPr>
        <w:t>black men</w:t>
      </w:r>
      <w:r w:rsidR="00B4412C" w:rsidRPr="00D920C9">
        <w:rPr>
          <w:rFonts w:asciiTheme="minorHAnsi" w:eastAsia="Times New Roman" w:hAnsiTheme="minorHAnsi"/>
          <w:lang w:eastAsia="es-ES"/>
        </w:rPr>
        <w:t xml:space="preserve"> incarcerated in dire conditions, including </w:t>
      </w:r>
      <w:r w:rsidRPr="00D920C9">
        <w:rPr>
          <w:rFonts w:asciiTheme="minorHAnsi" w:eastAsia="Times New Roman" w:hAnsiTheme="minorHAnsi"/>
          <w:lang w:eastAsia="es-ES"/>
        </w:rPr>
        <w:t xml:space="preserve">facing </w:t>
      </w:r>
      <w:r w:rsidR="00B4412C" w:rsidRPr="00D920C9">
        <w:rPr>
          <w:rFonts w:asciiTheme="minorHAnsi" w:eastAsia="Times New Roman" w:hAnsiTheme="minorHAnsi"/>
          <w:lang w:eastAsia="es-ES"/>
        </w:rPr>
        <w:t xml:space="preserve">barriers to </w:t>
      </w:r>
      <w:r w:rsidRPr="00D920C9">
        <w:rPr>
          <w:rFonts w:asciiTheme="minorHAnsi" w:eastAsia="Times New Roman" w:hAnsiTheme="minorHAnsi"/>
          <w:lang w:eastAsia="es-ES"/>
        </w:rPr>
        <w:t>access needed medical services</w:t>
      </w:r>
      <w:r w:rsidR="00B4412C" w:rsidRPr="00D920C9">
        <w:rPr>
          <w:rFonts w:asciiTheme="minorHAnsi" w:eastAsia="Times New Roman" w:hAnsiTheme="minorHAnsi"/>
          <w:lang w:eastAsia="es-ES"/>
        </w:rPr>
        <w:t>.</w:t>
      </w:r>
      <w:r w:rsidR="00B4412C" w:rsidRPr="00D920C9">
        <w:rPr>
          <w:rStyle w:val="FootnoteReference"/>
          <w:rFonts w:asciiTheme="minorHAnsi" w:eastAsia="Times New Roman" w:hAnsiTheme="minorHAnsi"/>
          <w:lang w:eastAsia="es-ES"/>
        </w:rPr>
        <w:footnoteReference w:id="319"/>
      </w:r>
      <w:r w:rsidR="00BB4F84" w:rsidRPr="00D920C9">
        <w:rPr>
          <w:rFonts w:asciiTheme="minorHAnsi" w:eastAsia="Times New Roman" w:hAnsiTheme="minorHAnsi"/>
          <w:lang w:eastAsia="es-ES"/>
        </w:rPr>
        <w:t xml:space="preserve"> </w:t>
      </w:r>
      <w:r w:rsidR="00967B3A" w:rsidRPr="00D920C9">
        <w:rPr>
          <w:rFonts w:asciiTheme="minorHAnsi" w:eastAsia="Times New Roman" w:hAnsiTheme="minorHAnsi"/>
          <w:lang w:eastAsia="es-ES"/>
        </w:rPr>
        <w:t xml:space="preserve">Other human rights </w:t>
      </w:r>
      <w:r w:rsidR="00305744" w:rsidRPr="00D920C9">
        <w:rPr>
          <w:rFonts w:asciiTheme="minorHAnsi" w:eastAsia="Times New Roman" w:hAnsiTheme="minorHAnsi"/>
          <w:lang w:eastAsia="es-ES"/>
        </w:rPr>
        <w:t>bodies</w:t>
      </w:r>
      <w:r w:rsidR="00967B3A" w:rsidRPr="00D920C9">
        <w:rPr>
          <w:rFonts w:asciiTheme="minorHAnsi" w:eastAsia="Times New Roman" w:hAnsiTheme="minorHAnsi"/>
          <w:lang w:eastAsia="es-ES"/>
        </w:rPr>
        <w:t xml:space="preserve"> have indicated serious barriers to accessing medical </w:t>
      </w:r>
      <w:r w:rsidR="00305744" w:rsidRPr="00D920C9">
        <w:rPr>
          <w:rFonts w:asciiTheme="minorHAnsi" w:eastAsia="Times New Roman" w:hAnsiTheme="minorHAnsi"/>
          <w:lang w:eastAsia="es-ES"/>
        </w:rPr>
        <w:t>services</w:t>
      </w:r>
      <w:r w:rsidR="00967B3A" w:rsidRPr="00D920C9">
        <w:rPr>
          <w:rFonts w:asciiTheme="minorHAnsi" w:eastAsia="Times New Roman" w:hAnsiTheme="minorHAnsi"/>
          <w:lang w:eastAsia="es-ES"/>
        </w:rPr>
        <w:t xml:space="preserve">, including mental health treatment, in </w:t>
      </w:r>
      <w:r w:rsidR="00967B3A" w:rsidRPr="00D920C9">
        <w:rPr>
          <w:rFonts w:asciiTheme="minorHAnsi" w:hAnsiTheme="minorHAnsi"/>
        </w:rPr>
        <w:t>detention</w:t>
      </w:r>
      <w:r w:rsidR="00967B3A" w:rsidRPr="00D920C9">
        <w:rPr>
          <w:rFonts w:asciiTheme="minorHAnsi" w:eastAsia="Times New Roman" w:hAnsiTheme="minorHAnsi"/>
          <w:lang w:eastAsia="es-ES"/>
        </w:rPr>
        <w:t>.</w:t>
      </w:r>
      <w:r w:rsidR="00967B3A" w:rsidRPr="00D920C9">
        <w:rPr>
          <w:rStyle w:val="FootnoteReference"/>
          <w:rFonts w:asciiTheme="minorHAnsi" w:eastAsia="Times New Roman" w:hAnsiTheme="minorHAnsi"/>
          <w:lang w:eastAsia="es-ES"/>
        </w:rPr>
        <w:footnoteReference w:id="320"/>
      </w:r>
      <w:r w:rsidR="00967B3A" w:rsidRPr="00D920C9">
        <w:rPr>
          <w:rFonts w:asciiTheme="minorHAnsi" w:eastAsia="Times New Roman" w:hAnsiTheme="minorHAnsi"/>
          <w:lang w:eastAsia="es-ES"/>
        </w:rPr>
        <w:t xml:space="preserve"> </w:t>
      </w:r>
      <w:r w:rsidR="00BB4F84" w:rsidRPr="00D920C9">
        <w:rPr>
          <w:rFonts w:asciiTheme="minorHAnsi" w:eastAsia="Times New Roman" w:hAnsiTheme="minorHAnsi"/>
          <w:lang w:eastAsia="es-ES"/>
        </w:rPr>
        <w:t>Likewise, available information indicates that African Americans are disproportionately subjected to solitary confinement</w:t>
      </w:r>
      <w:r w:rsidR="00967B3A" w:rsidRPr="00D920C9">
        <w:rPr>
          <w:rFonts w:asciiTheme="minorHAnsi" w:eastAsia="Times New Roman" w:hAnsiTheme="minorHAnsi"/>
          <w:lang w:eastAsia="es-ES"/>
        </w:rPr>
        <w:t>.</w:t>
      </w:r>
      <w:r w:rsidR="00BB4F84" w:rsidRPr="00D920C9">
        <w:rPr>
          <w:rStyle w:val="FootnoteReference"/>
          <w:rFonts w:asciiTheme="minorHAnsi" w:eastAsia="Times New Roman" w:hAnsiTheme="minorHAnsi"/>
          <w:lang w:eastAsia="es-ES"/>
        </w:rPr>
        <w:footnoteReference w:id="321"/>
      </w:r>
      <w:r w:rsidR="004D0B9D" w:rsidRPr="00D920C9">
        <w:rPr>
          <w:rFonts w:asciiTheme="minorHAnsi" w:eastAsia="Times New Roman" w:hAnsiTheme="minorHAnsi"/>
          <w:lang w:eastAsia="es-ES"/>
        </w:rPr>
        <w:t xml:space="preserve"> In this regard, the Commission reiterates </w:t>
      </w:r>
      <w:r w:rsidR="00D0491C" w:rsidRPr="00D920C9">
        <w:rPr>
          <w:rFonts w:asciiTheme="minorHAnsi" w:eastAsia="Times New Roman" w:hAnsiTheme="minorHAnsi"/>
          <w:lang w:eastAsia="es-ES"/>
        </w:rPr>
        <w:t xml:space="preserve">that the prohibition of torture and cruel, inhuman, and degrading treatment may not be abrogated and is universal, and </w:t>
      </w:r>
      <w:r w:rsidR="00D0491C" w:rsidRPr="00D920C9">
        <w:rPr>
          <w:rFonts w:asciiTheme="minorHAnsi" w:eastAsia="Times New Roman" w:hAnsiTheme="minorHAnsi"/>
          <w:lang w:eastAsia="es-ES"/>
        </w:rPr>
        <w:lastRenderedPageBreak/>
        <w:t>accordingly, States must develop strong, concrete measures to eliminate the use of prolonged or indefinite isolation under all circumstances</w:t>
      </w:r>
      <w:r w:rsidR="004D0B9D" w:rsidRPr="00D920C9">
        <w:rPr>
          <w:rFonts w:asciiTheme="minorHAnsi" w:eastAsia="Times New Roman" w:hAnsiTheme="minorHAnsi"/>
          <w:lang w:eastAsia="es-ES"/>
        </w:rPr>
        <w:t>.</w:t>
      </w:r>
      <w:r w:rsidR="004D0B9D" w:rsidRPr="00D920C9">
        <w:rPr>
          <w:rStyle w:val="FootnoteReference"/>
          <w:rFonts w:asciiTheme="minorHAnsi" w:eastAsia="Times New Roman" w:hAnsiTheme="minorHAnsi"/>
          <w:lang w:eastAsia="es-ES"/>
        </w:rPr>
        <w:footnoteReference w:id="322"/>
      </w:r>
    </w:p>
    <w:p w14:paraId="74ABF420" w14:textId="77777777" w:rsidR="00B4412C" w:rsidRPr="00D920C9" w:rsidRDefault="002E13A2" w:rsidP="00E86698">
      <w:pPr>
        <w:pStyle w:val="ListParagraph"/>
        <w:numPr>
          <w:ilvl w:val="0"/>
          <w:numId w:val="9"/>
        </w:numPr>
        <w:spacing w:after="240" w:line="240" w:lineRule="auto"/>
        <w:ind w:left="547" w:hanging="547"/>
        <w:contextualSpacing w:val="0"/>
        <w:jc w:val="both"/>
        <w:rPr>
          <w:rFonts w:asciiTheme="minorHAnsi" w:eastAsia="Times New Roman" w:hAnsiTheme="minorHAnsi"/>
          <w:lang w:eastAsia="es-ES"/>
        </w:rPr>
      </w:pPr>
      <w:r w:rsidRPr="00D920C9">
        <w:rPr>
          <w:rFonts w:asciiTheme="minorHAnsi" w:eastAsia="Times New Roman" w:hAnsiTheme="minorHAnsi"/>
          <w:lang w:eastAsia="es-ES"/>
        </w:rPr>
        <w:t>Available information indicates that African Americans</w:t>
      </w:r>
      <w:r w:rsidR="00B4412C" w:rsidRPr="00D920C9">
        <w:rPr>
          <w:rFonts w:asciiTheme="minorHAnsi" w:eastAsia="Times New Roman" w:hAnsiTheme="minorHAnsi"/>
          <w:lang w:eastAsia="es-ES"/>
        </w:rPr>
        <w:t xml:space="preserve"> are also disproportionately often re-incarcerated for probation violations and similar infractions. As of 2015, one-third of the 4.65 million </w:t>
      </w:r>
      <w:r w:rsidR="00F96415" w:rsidRPr="00D920C9">
        <w:rPr>
          <w:rFonts w:asciiTheme="minorHAnsi" w:eastAsia="Times New Roman" w:hAnsiTheme="minorHAnsi"/>
          <w:lang w:eastAsia="es-ES"/>
        </w:rPr>
        <w:t>individuals in the U</w:t>
      </w:r>
      <w:r w:rsidR="00C45A79" w:rsidRPr="00D920C9">
        <w:rPr>
          <w:rFonts w:asciiTheme="minorHAnsi" w:eastAsia="Times New Roman" w:hAnsiTheme="minorHAnsi"/>
          <w:lang w:eastAsia="es-ES"/>
        </w:rPr>
        <w:t>.</w:t>
      </w:r>
      <w:r w:rsidR="00F96415" w:rsidRPr="00D920C9">
        <w:rPr>
          <w:rFonts w:asciiTheme="minorHAnsi" w:eastAsia="Times New Roman" w:hAnsiTheme="minorHAnsi"/>
          <w:lang w:eastAsia="es-ES"/>
        </w:rPr>
        <w:t>S</w:t>
      </w:r>
      <w:r w:rsidR="00C45A79" w:rsidRPr="00D920C9">
        <w:rPr>
          <w:rFonts w:asciiTheme="minorHAnsi" w:eastAsia="Times New Roman" w:hAnsiTheme="minorHAnsi"/>
          <w:lang w:eastAsia="es-ES"/>
        </w:rPr>
        <w:t>.</w:t>
      </w:r>
      <w:r w:rsidR="00B4412C" w:rsidRPr="00D920C9">
        <w:rPr>
          <w:rFonts w:asciiTheme="minorHAnsi" w:eastAsia="Times New Roman" w:hAnsiTheme="minorHAnsi"/>
          <w:lang w:eastAsia="es-ES"/>
        </w:rPr>
        <w:t xml:space="preserve"> who were on some form of parole or probation were Black, while Blacks make up only 13 percent of the U</w:t>
      </w:r>
      <w:r w:rsidR="00C45A79" w:rsidRPr="00D920C9">
        <w:rPr>
          <w:rFonts w:asciiTheme="minorHAnsi" w:eastAsia="Times New Roman" w:hAnsiTheme="minorHAnsi"/>
          <w:lang w:eastAsia="es-ES"/>
        </w:rPr>
        <w:t>.</w:t>
      </w:r>
      <w:r w:rsidR="00B4412C" w:rsidRPr="00D920C9">
        <w:rPr>
          <w:rFonts w:asciiTheme="minorHAnsi" w:eastAsia="Times New Roman" w:hAnsiTheme="minorHAnsi"/>
          <w:lang w:eastAsia="es-ES"/>
        </w:rPr>
        <w:t>S</w:t>
      </w:r>
      <w:r w:rsidR="00C45A79" w:rsidRPr="00D920C9">
        <w:rPr>
          <w:rFonts w:asciiTheme="minorHAnsi" w:eastAsia="Times New Roman" w:hAnsiTheme="minorHAnsi"/>
          <w:lang w:eastAsia="es-ES"/>
        </w:rPr>
        <w:t>.</w:t>
      </w:r>
      <w:r w:rsidR="00B4412C" w:rsidRPr="00D920C9">
        <w:rPr>
          <w:rFonts w:asciiTheme="minorHAnsi" w:eastAsia="Times New Roman" w:hAnsiTheme="minorHAnsi"/>
          <w:lang w:eastAsia="es-ES"/>
        </w:rPr>
        <w:t xml:space="preserve"> population. </w:t>
      </w:r>
      <w:r w:rsidRPr="00D920C9">
        <w:rPr>
          <w:rFonts w:asciiTheme="minorHAnsi" w:eastAsia="Times New Roman" w:hAnsiTheme="minorHAnsi"/>
          <w:lang w:eastAsia="es-ES"/>
        </w:rPr>
        <w:t>African Americans</w:t>
      </w:r>
      <w:r w:rsidR="00B4412C" w:rsidRPr="00D920C9">
        <w:rPr>
          <w:rFonts w:asciiTheme="minorHAnsi" w:eastAsia="Times New Roman" w:hAnsiTheme="minorHAnsi"/>
          <w:lang w:eastAsia="es-ES"/>
        </w:rPr>
        <w:t xml:space="preserve"> are </w:t>
      </w:r>
      <w:r w:rsidR="00F96415" w:rsidRPr="00D920C9">
        <w:rPr>
          <w:rFonts w:asciiTheme="minorHAnsi" w:eastAsia="Times New Roman" w:hAnsiTheme="minorHAnsi"/>
          <w:lang w:eastAsia="es-ES"/>
        </w:rPr>
        <w:t xml:space="preserve">furthermore </w:t>
      </w:r>
      <w:r w:rsidR="00B4412C" w:rsidRPr="00D920C9">
        <w:rPr>
          <w:rFonts w:asciiTheme="minorHAnsi" w:eastAsia="Times New Roman" w:hAnsiTheme="minorHAnsi"/>
          <w:lang w:eastAsia="es-ES"/>
        </w:rPr>
        <w:t>sent</w:t>
      </w:r>
      <w:r w:rsidR="00F96415" w:rsidRPr="00D920C9">
        <w:rPr>
          <w:rFonts w:asciiTheme="minorHAnsi" w:eastAsia="Times New Roman" w:hAnsiTheme="minorHAnsi"/>
          <w:lang w:eastAsia="es-ES"/>
        </w:rPr>
        <w:t xml:space="preserve"> or returned</w:t>
      </w:r>
      <w:r w:rsidR="00B4412C" w:rsidRPr="00D920C9">
        <w:rPr>
          <w:rFonts w:asciiTheme="minorHAnsi" w:eastAsia="Times New Roman" w:hAnsiTheme="minorHAnsi"/>
          <w:lang w:eastAsia="es-ES"/>
        </w:rPr>
        <w:t xml:space="preserve"> to prison for probation and parole violations at much higher rates than </w:t>
      </w:r>
      <w:r w:rsidR="00F96415" w:rsidRPr="00D920C9">
        <w:rPr>
          <w:rFonts w:asciiTheme="minorHAnsi" w:eastAsia="Times New Roman" w:hAnsiTheme="minorHAnsi"/>
          <w:lang w:eastAsia="es-ES"/>
        </w:rPr>
        <w:t>W</w:t>
      </w:r>
      <w:r w:rsidR="00B4412C" w:rsidRPr="00D920C9">
        <w:rPr>
          <w:rFonts w:asciiTheme="minorHAnsi" w:eastAsia="Times New Roman" w:hAnsiTheme="minorHAnsi"/>
          <w:lang w:eastAsia="es-ES"/>
        </w:rPr>
        <w:t>hite</w:t>
      </w:r>
      <w:r w:rsidR="00F96415" w:rsidRPr="00D920C9">
        <w:rPr>
          <w:rFonts w:asciiTheme="minorHAnsi" w:eastAsia="Times New Roman" w:hAnsiTheme="minorHAnsi"/>
          <w:lang w:eastAsia="es-ES"/>
        </w:rPr>
        <w:t>s</w:t>
      </w:r>
      <w:r w:rsidR="00B4412C" w:rsidRPr="00D920C9">
        <w:rPr>
          <w:rFonts w:asciiTheme="minorHAnsi" w:eastAsia="Times New Roman" w:hAnsiTheme="minorHAnsi"/>
          <w:lang w:eastAsia="es-ES"/>
        </w:rPr>
        <w:t>.</w:t>
      </w:r>
      <w:r w:rsidR="00B4412C" w:rsidRPr="00D920C9">
        <w:rPr>
          <w:rStyle w:val="FootnoteReference"/>
          <w:rFonts w:asciiTheme="minorHAnsi" w:eastAsia="Times New Roman" w:hAnsiTheme="minorHAnsi"/>
          <w:lang w:eastAsia="es-ES"/>
        </w:rPr>
        <w:footnoteReference w:id="323"/>
      </w:r>
    </w:p>
    <w:p w14:paraId="03C16903" w14:textId="77777777" w:rsidR="00B4412C" w:rsidRPr="00D920C9" w:rsidRDefault="00B4412C" w:rsidP="003D7958">
      <w:pPr>
        <w:pStyle w:val="Heading4"/>
        <w:ind w:left="540" w:hanging="540"/>
      </w:pPr>
      <w:bookmarkStart w:id="116" w:name="_Toc511837818"/>
      <w:bookmarkStart w:id="117" w:name="_Toc511902991"/>
      <w:bookmarkStart w:id="118" w:name="_Toc517687921"/>
      <w:r w:rsidRPr="00D920C9">
        <w:t xml:space="preserve">Consequences of </w:t>
      </w:r>
      <w:r w:rsidR="0013717A" w:rsidRPr="00D920C9">
        <w:t xml:space="preserve">Contact </w:t>
      </w:r>
      <w:r w:rsidRPr="00D920C9">
        <w:t xml:space="preserve">with </w:t>
      </w:r>
      <w:r w:rsidR="009F3240" w:rsidRPr="00D920C9">
        <w:t xml:space="preserve">the </w:t>
      </w:r>
      <w:r w:rsidR="0013717A" w:rsidRPr="00D920C9">
        <w:t>Criminal Justice System</w:t>
      </w:r>
      <w:bookmarkEnd w:id="116"/>
      <w:bookmarkEnd w:id="117"/>
      <w:bookmarkEnd w:id="118"/>
    </w:p>
    <w:p w14:paraId="2DE65575" w14:textId="77777777" w:rsidR="00B4412C" w:rsidRPr="00D920C9" w:rsidRDefault="00B4412C"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Commission has received information </w:t>
      </w:r>
      <w:r w:rsidR="00BD08E4" w:rsidRPr="00D920C9">
        <w:rPr>
          <w:rFonts w:asciiTheme="minorHAnsi" w:hAnsiTheme="minorHAnsi"/>
        </w:rPr>
        <w:t>on</w:t>
      </w:r>
      <w:r w:rsidRPr="00D920C9">
        <w:rPr>
          <w:rFonts w:asciiTheme="minorHAnsi" w:hAnsiTheme="minorHAnsi"/>
        </w:rPr>
        <w:t xml:space="preserve"> the long-term consequences of contact with the criminal justice system, </w:t>
      </w:r>
      <w:r w:rsidR="00AB1C48" w:rsidRPr="00D920C9">
        <w:rPr>
          <w:rFonts w:asciiTheme="minorHAnsi" w:hAnsiTheme="minorHAnsi"/>
        </w:rPr>
        <w:t>in</w:t>
      </w:r>
      <w:r w:rsidRPr="00D920C9">
        <w:rPr>
          <w:rFonts w:asciiTheme="minorHAnsi" w:hAnsiTheme="minorHAnsi"/>
        </w:rPr>
        <w:t xml:space="preserve"> particular the lasting impact of felony convictions on access</w:t>
      </w:r>
      <w:r w:rsidR="00BD08E4" w:rsidRPr="00D920C9">
        <w:rPr>
          <w:rFonts w:asciiTheme="minorHAnsi" w:hAnsiTheme="minorHAnsi"/>
        </w:rPr>
        <w:t xml:space="preserve"> to civil and political rights like </w:t>
      </w:r>
      <w:r w:rsidRPr="00D920C9">
        <w:rPr>
          <w:rFonts w:asciiTheme="minorHAnsi" w:hAnsiTheme="minorHAnsi"/>
        </w:rPr>
        <w:t>voting, as well as on access to housing, employment, and public benefits.</w:t>
      </w:r>
      <w:r w:rsidR="00412125" w:rsidRPr="00D920C9">
        <w:rPr>
          <w:rStyle w:val="FootnoteReference"/>
          <w:rFonts w:asciiTheme="minorHAnsi" w:hAnsiTheme="minorHAnsi"/>
        </w:rPr>
        <w:footnoteReference w:id="324"/>
      </w:r>
      <w:r w:rsidR="00AB1C48" w:rsidRPr="00D920C9">
        <w:rPr>
          <w:rFonts w:asciiTheme="minorHAnsi" w:hAnsiTheme="minorHAnsi"/>
        </w:rPr>
        <w:t xml:space="preserve"> This limitation on access to rights as a consequence of a prior criminal record has been described as a kind of second-class citizenship.</w:t>
      </w:r>
      <w:r w:rsidR="00AB1C48" w:rsidRPr="00D920C9">
        <w:rPr>
          <w:rStyle w:val="FootnoteReference"/>
          <w:rFonts w:asciiTheme="minorHAnsi" w:hAnsiTheme="minorHAnsi"/>
        </w:rPr>
        <w:footnoteReference w:id="325"/>
      </w:r>
    </w:p>
    <w:p w14:paraId="78693A46" w14:textId="75A08365" w:rsidR="00804652" w:rsidRPr="00D920C9" w:rsidRDefault="00BD08E4"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Regarding political rights, t</w:t>
      </w:r>
      <w:r w:rsidR="00F7212C" w:rsidRPr="00D920C9">
        <w:rPr>
          <w:rFonts w:asciiTheme="minorHAnsi" w:hAnsiTheme="minorHAnsi"/>
        </w:rPr>
        <w:t xml:space="preserve">he Commission received information about the </w:t>
      </w:r>
      <w:r w:rsidR="00B751A9" w:rsidRPr="00D920C9">
        <w:rPr>
          <w:rFonts w:asciiTheme="minorHAnsi" w:hAnsiTheme="minorHAnsi"/>
        </w:rPr>
        <w:t>problem</w:t>
      </w:r>
      <w:r w:rsidR="00F7212C" w:rsidRPr="00D920C9">
        <w:rPr>
          <w:rFonts w:asciiTheme="minorHAnsi" w:hAnsiTheme="minorHAnsi"/>
        </w:rPr>
        <w:t xml:space="preserve"> of felony disenfranchisement at public hearings and during its on-site visit. </w:t>
      </w:r>
      <w:r w:rsidR="00C63176" w:rsidRPr="00D920C9">
        <w:rPr>
          <w:rFonts w:asciiTheme="minorHAnsi" w:hAnsiTheme="minorHAnsi"/>
        </w:rPr>
        <w:t>According to information</w:t>
      </w:r>
      <w:r w:rsidR="00F7212C" w:rsidRPr="00D920C9">
        <w:rPr>
          <w:rFonts w:asciiTheme="minorHAnsi" w:hAnsiTheme="minorHAnsi"/>
        </w:rPr>
        <w:t xml:space="preserve"> received</w:t>
      </w:r>
      <w:r w:rsidR="00C63176" w:rsidRPr="00D920C9">
        <w:rPr>
          <w:rFonts w:asciiTheme="minorHAnsi" w:hAnsiTheme="minorHAnsi"/>
        </w:rPr>
        <w:t xml:space="preserve">, an estimated 5.8 million people in the </w:t>
      </w:r>
      <w:r w:rsidR="006D4A9B" w:rsidRPr="00D920C9">
        <w:rPr>
          <w:rFonts w:asciiTheme="minorHAnsi" w:hAnsiTheme="minorHAnsi"/>
        </w:rPr>
        <w:t>U.S.</w:t>
      </w:r>
      <w:r w:rsidR="00C63176" w:rsidRPr="00D920C9">
        <w:rPr>
          <w:rFonts w:asciiTheme="minorHAnsi" w:hAnsiTheme="minorHAnsi"/>
        </w:rPr>
        <w:t xml:space="preserve"> are denied the right to vote due to felony convictions; of these, 2.2 million are </w:t>
      </w:r>
      <w:r w:rsidR="006D4A9B" w:rsidRPr="00D920C9">
        <w:rPr>
          <w:rFonts w:asciiTheme="minorHAnsi" w:hAnsiTheme="minorHAnsi"/>
        </w:rPr>
        <w:t>Black</w:t>
      </w:r>
      <w:r w:rsidR="00C63176" w:rsidRPr="00D920C9">
        <w:rPr>
          <w:rFonts w:asciiTheme="minorHAnsi" w:hAnsiTheme="minorHAnsi"/>
        </w:rPr>
        <w:t xml:space="preserve">. </w:t>
      </w:r>
      <w:r w:rsidR="00BA1059" w:rsidRPr="00D920C9">
        <w:rPr>
          <w:rFonts w:asciiTheme="minorHAnsi" w:hAnsiTheme="minorHAnsi"/>
        </w:rPr>
        <w:t>This means that approximately 7.7 percent of voting-age African Americans are legally prohibited from voting, in contrast with 2.5 percent of the overall population.</w:t>
      </w:r>
      <w:r w:rsidR="00BA1059" w:rsidRPr="00D920C9">
        <w:rPr>
          <w:rStyle w:val="FootnoteReference"/>
          <w:rFonts w:asciiTheme="minorHAnsi" w:hAnsiTheme="minorHAnsi"/>
        </w:rPr>
        <w:footnoteReference w:id="326"/>
      </w:r>
      <w:r w:rsidR="00BA1059" w:rsidRPr="00D920C9">
        <w:rPr>
          <w:rFonts w:asciiTheme="minorHAnsi" w:hAnsiTheme="minorHAnsi"/>
        </w:rPr>
        <w:t xml:space="preserve"> </w:t>
      </w:r>
      <w:r w:rsidR="00522A21" w:rsidRPr="00D920C9">
        <w:rPr>
          <w:rFonts w:asciiTheme="minorHAnsi" w:eastAsia="Times New Roman" w:hAnsiTheme="minorHAnsi"/>
          <w:lang w:eastAsia="es-ES"/>
        </w:rPr>
        <w:t>Likewise, during its visit to Sanford and Miami, Florida in 2015, the Commission was informed about problems of mass incarceration and felony voter disenfranchisement affecting African</w:t>
      </w:r>
      <w:r w:rsidR="0030356C" w:rsidRPr="00D920C9">
        <w:rPr>
          <w:rFonts w:asciiTheme="minorHAnsi" w:eastAsia="Times New Roman" w:hAnsiTheme="minorHAnsi"/>
          <w:lang w:eastAsia="es-ES"/>
        </w:rPr>
        <w:t xml:space="preserve"> </w:t>
      </w:r>
      <w:r w:rsidR="00522A21" w:rsidRPr="00D920C9">
        <w:rPr>
          <w:rFonts w:asciiTheme="minorHAnsi" w:eastAsia="Times New Roman" w:hAnsiTheme="minorHAnsi"/>
          <w:lang w:eastAsia="es-ES"/>
        </w:rPr>
        <w:t xml:space="preserve">Americans, which limits the full exercise of the democratic and citizenship rights of these communities. At </w:t>
      </w:r>
      <w:r w:rsidR="00F56BE6" w:rsidRPr="00D920C9">
        <w:rPr>
          <w:rFonts w:asciiTheme="minorHAnsi" w:eastAsia="Times New Roman" w:hAnsiTheme="minorHAnsi"/>
          <w:lang w:eastAsia="es-ES"/>
        </w:rPr>
        <w:t>that time, the Commission indicated</w:t>
      </w:r>
      <w:r w:rsidR="00522A21" w:rsidRPr="00D920C9">
        <w:rPr>
          <w:rFonts w:asciiTheme="minorHAnsi" w:eastAsia="Times New Roman" w:hAnsiTheme="minorHAnsi"/>
          <w:lang w:eastAsia="es-ES"/>
        </w:rPr>
        <w:t xml:space="preserve"> that the underlying </w:t>
      </w:r>
      <w:r w:rsidR="00F96415" w:rsidRPr="00D920C9">
        <w:rPr>
          <w:rFonts w:asciiTheme="minorHAnsi" w:eastAsia="Times New Roman" w:hAnsiTheme="minorHAnsi"/>
          <w:lang w:eastAsia="es-ES"/>
        </w:rPr>
        <w:t>“</w:t>
      </w:r>
      <w:r w:rsidR="00522A21" w:rsidRPr="00D920C9">
        <w:rPr>
          <w:rFonts w:asciiTheme="minorHAnsi" w:eastAsia="Times New Roman" w:hAnsiTheme="minorHAnsi"/>
          <w:lang w:eastAsia="es-ES"/>
        </w:rPr>
        <w:t xml:space="preserve">convictions themselves are suspect because </w:t>
      </w:r>
      <w:r w:rsidR="00522A21" w:rsidRPr="00D920C9">
        <w:rPr>
          <w:rFonts w:asciiTheme="minorHAnsi" w:eastAsia="Times New Roman" w:hAnsiTheme="minorHAnsi"/>
          <w:lang w:eastAsia="es-ES"/>
        </w:rPr>
        <w:lastRenderedPageBreak/>
        <w:t>of structural racism.</w:t>
      </w:r>
      <w:r w:rsidR="00F96415" w:rsidRPr="00D920C9">
        <w:rPr>
          <w:rFonts w:asciiTheme="minorHAnsi" w:eastAsia="Times New Roman" w:hAnsiTheme="minorHAnsi"/>
          <w:lang w:eastAsia="es-ES"/>
        </w:rPr>
        <w:t>”</w:t>
      </w:r>
      <w:r w:rsidR="00522A21" w:rsidRPr="00D920C9">
        <w:rPr>
          <w:rStyle w:val="FootnoteReference"/>
          <w:rFonts w:asciiTheme="minorHAnsi" w:eastAsia="Times New Roman" w:hAnsiTheme="minorHAnsi"/>
          <w:lang w:eastAsia="es-ES"/>
        </w:rPr>
        <w:footnoteReference w:id="327"/>
      </w:r>
      <w:r w:rsidR="00637A1A" w:rsidRPr="00D920C9">
        <w:rPr>
          <w:rFonts w:asciiTheme="minorHAnsi" w:eastAsia="Times New Roman" w:hAnsiTheme="minorHAnsi"/>
          <w:lang w:eastAsia="es-ES"/>
        </w:rPr>
        <w:t xml:space="preserve"> These problems must further be viewed within the larger context of discrimination in access to voting rights.</w:t>
      </w:r>
      <w:r w:rsidR="00637A1A" w:rsidRPr="00D920C9">
        <w:rPr>
          <w:rStyle w:val="FootnoteReference"/>
          <w:rFonts w:asciiTheme="minorHAnsi" w:eastAsia="Times New Roman" w:hAnsiTheme="minorHAnsi"/>
          <w:lang w:eastAsia="es-ES"/>
        </w:rPr>
        <w:footnoteReference w:id="328"/>
      </w:r>
    </w:p>
    <w:p w14:paraId="77ED8849" w14:textId="1F3382DA" w:rsidR="00AB1C48" w:rsidRPr="00D920C9" w:rsidRDefault="00F7212C"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Commission </w:t>
      </w:r>
      <w:r w:rsidR="00403286" w:rsidRPr="00D920C9">
        <w:rPr>
          <w:rFonts w:asciiTheme="minorHAnsi" w:hAnsiTheme="minorHAnsi"/>
        </w:rPr>
        <w:t xml:space="preserve">has </w:t>
      </w:r>
      <w:r w:rsidRPr="00D920C9">
        <w:rPr>
          <w:rFonts w:asciiTheme="minorHAnsi" w:hAnsiTheme="minorHAnsi"/>
        </w:rPr>
        <w:t xml:space="preserve">further received information about </w:t>
      </w:r>
      <w:r w:rsidR="00522A21" w:rsidRPr="00D920C9">
        <w:rPr>
          <w:rFonts w:asciiTheme="minorHAnsi" w:hAnsiTheme="minorHAnsi"/>
        </w:rPr>
        <w:t xml:space="preserve">a lack of clarity </w:t>
      </w:r>
      <w:r w:rsidR="00BD08E4" w:rsidRPr="00D920C9">
        <w:rPr>
          <w:rFonts w:asciiTheme="minorHAnsi" w:hAnsiTheme="minorHAnsi"/>
        </w:rPr>
        <w:t>in</w:t>
      </w:r>
      <w:r w:rsidR="00522A21" w:rsidRPr="00D920C9">
        <w:rPr>
          <w:rFonts w:asciiTheme="minorHAnsi" w:hAnsiTheme="minorHAnsi"/>
        </w:rPr>
        <w:t xml:space="preserve"> state laws </w:t>
      </w:r>
      <w:r w:rsidR="00BD08E4" w:rsidRPr="00D920C9">
        <w:rPr>
          <w:rFonts w:asciiTheme="minorHAnsi" w:hAnsiTheme="minorHAnsi"/>
        </w:rPr>
        <w:t>on</w:t>
      </w:r>
      <w:r w:rsidR="00522A21" w:rsidRPr="00D920C9">
        <w:rPr>
          <w:rFonts w:asciiTheme="minorHAnsi" w:hAnsiTheme="minorHAnsi"/>
        </w:rPr>
        <w:t xml:space="preserve"> felony disenfranchisement, and </w:t>
      </w:r>
      <w:r w:rsidRPr="00D920C9">
        <w:rPr>
          <w:rFonts w:asciiTheme="minorHAnsi" w:hAnsiTheme="minorHAnsi"/>
        </w:rPr>
        <w:t xml:space="preserve">proposed federal legislation to </w:t>
      </w:r>
      <w:r w:rsidR="00522A21" w:rsidRPr="00D920C9">
        <w:rPr>
          <w:rFonts w:asciiTheme="minorHAnsi" w:hAnsiTheme="minorHAnsi"/>
        </w:rPr>
        <w:t xml:space="preserve">correct this situation and </w:t>
      </w:r>
      <w:r w:rsidRPr="00D920C9">
        <w:rPr>
          <w:rFonts w:asciiTheme="minorHAnsi" w:hAnsiTheme="minorHAnsi"/>
        </w:rPr>
        <w:t xml:space="preserve">restore voting rights to persons convicted of felonies, including the </w:t>
      </w:r>
      <w:r w:rsidR="00522A21" w:rsidRPr="00D920C9">
        <w:rPr>
          <w:rFonts w:asciiTheme="minorHAnsi" w:hAnsiTheme="minorHAnsi"/>
        </w:rPr>
        <w:t>draft Democracy Restoration Act.</w:t>
      </w:r>
      <w:r w:rsidRPr="00D920C9">
        <w:rPr>
          <w:rStyle w:val="FootnoteReference"/>
          <w:rFonts w:asciiTheme="minorHAnsi" w:hAnsiTheme="minorHAnsi"/>
        </w:rPr>
        <w:footnoteReference w:id="329"/>
      </w:r>
      <w:r w:rsidRPr="00D920C9">
        <w:rPr>
          <w:rFonts w:asciiTheme="minorHAnsi" w:hAnsiTheme="minorHAnsi"/>
        </w:rPr>
        <w:t xml:space="preserve"> </w:t>
      </w:r>
      <w:r w:rsidR="00403286" w:rsidRPr="00D920C9">
        <w:rPr>
          <w:rFonts w:asciiTheme="minorHAnsi" w:hAnsiTheme="minorHAnsi"/>
        </w:rPr>
        <w:t>In this regard, it notes good state</w:t>
      </w:r>
      <w:r w:rsidR="00401DF8" w:rsidRPr="00D920C9">
        <w:rPr>
          <w:rFonts w:asciiTheme="minorHAnsi" w:hAnsiTheme="minorHAnsi"/>
        </w:rPr>
        <w:t>-</w:t>
      </w:r>
      <w:r w:rsidR="00403286" w:rsidRPr="00D920C9">
        <w:rPr>
          <w:rFonts w:asciiTheme="minorHAnsi" w:hAnsiTheme="minorHAnsi"/>
        </w:rPr>
        <w:t>level</w:t>
      </w:r>
      <w:r w:rsidR="00401DF8" w:rsidRPr="00D920C9">
        <w:rPr>
          <w:rFonts w:asciiTheme="minorHAnsi" w:hAnsiTheme="minorHAnsi"/>
        </w:rPr>
        <w:t xml:space="preserve"> </w:t>
      </w:r>
      <w:r w:rsidR="00BD08E4" w:rsidRPr="00D920C9">
        <w:rPr>
          <w:rFonts w:asciiTheme="minorHAnsi" w:hAnsiTheme="minorHAnsi"/>
        </w:rPr>
        <w:t>practices; for example,</w:t>
      </w:r>
      <w:r w:rsidR="00403286" w:rsidRPr="00D920C9">
        <w:rPr>
          <w:rFonts w:asciiTheme="minorHAnsi" w:hAnsiTheme="minorHAnsi"/>
        </w:rPr>
        <w:t xml:space="preserve"> </w:t>
      </w:r>
      <w:r w:rsidR="00BD08E4" w:rsidRPr="00D920C9">
        <w:rPr>
          <w:rFonts w:asciiTheme="minorHAnsi" w:hAnsiTheme="minorHAnsi"/>
        </w:rPr>
        <w:t>in 2016, Virginia</w:t>
      </w:r>
      <w:r w:rsidR="00403286" w:rsidRPr="00D920C9">
        <w:rPr>
          <w:rFonts w:asciiTheme="minorHAnsi" w:hAnsiTheme="minorHAnsi"/>
        </w:rPr>
        <w:t xml:space="preserve"> </w:t>
      </w:r>
      <w:r w:rsidR="00804652" w:rsidRPr="00D920C9">
        <w:rPr>
          <w:rFonts w:asciiTheme="minorHAnsi" w:hAnsiTheme="minorHAnsi"/>
        </w:rPr>
        <w:t xml:space="preserve">restored voting rights </w:t>
      </w:r>
      <w:r w:rsidR="00BD08E4" w:rsidRPr="00D920C9">
        <w:rPr>
          <w:rFonts w:asciiTheme="minorHAnsi" w:hAnsiTheme="minorHAnsi"/>
        </w:rPr>
        <w:t>to</w:t>
      </w:r>
      <w:r w:rsidR="00804652" w:rsidRPr="00D920C9">
        <w:rPr>
          <w:rFonts w:asciiTheme="minorHAnsi" w:hAnsiTheme="minorHAnsi"/>
        </w:rPr>
        <w:t xml:space="preserve"> an estimated 206,000 citizens, disproportionately African American, via gubernatorial Executive Order.</w:t>
      </w:r>
      <w:r w:rsidR="00804652" w:rsidRPr="00D920C9">
        <w:rPr>
          <w:rStyle w:val="FootnoteReference"/>
          <w:rFonts w:asciiTheme="minorHAnsi" w:hAnsiTheme="minorHAnsi"/>
        </w:rPr>
        <w:footnoteReference w:id="330"/>
      </w:r>
      <w:r w:rsidR="00403286" w:rsidRPr="00D920C9">
        <w:rPr>
          <w:rFonts w:asciiTheme="minorHAnsi" w:hAnsiTheme="minorHAnsi"/>
        </w:rPr>
        <w:t xml:space="preserve"> </w:t>
      </w:r>
      <w:r w:rsidR="00804652" w:rsidRPr="00D920C9">
        <w:rPr>
          <w:rFonts w:asciiTheme="minorHAnsi" w:hAnsiTheme="minorHAnsi"/>
        </w:rPr>
        <w:t xml:space="preserve">At that time, the Commission observed that “when conviction </w:t>
      </w:r>
      <w:r w:rsidR="007F7673" w:rsidRPr="00D920C9">
        <w:rPr>
          <w:rFonts w:asciiTheme="minorHAnsi" w:hAnsiTheme="minorHAnsi"/>
        </w:rPr>
        <w:t>[…]</w:t>
      </w:r>
      <w:r w:rsidR="00804652" w:rsidRPr="00D920C9">
        <w:rPr>
          <w:rFonts w:asciiTheme="minorHAnsi" w:hAnsiTheme="minorHAnsi"/>
        </w:rPr>
        <w:t xml:space="preserve"> is a basis for suspending the right to vote, the period of such suspension should be proportionate to the </w:t>
      </w:r>
      <w:proofErr w:type="spellStart"/>
      <w:r w:rsidR="00804652" w:rsidRPr="00D920C9">
        <w:rPr>
          <w:rFonts w:asciiTheme="minorHAnsi" w:hAnsiTheme="minorHAnsi"/>
        </w:rPr>
        <w:t>offen</w:t>
      </w:r>
      <w:proofErr w:type="spellEnd"/>
      <w:r w:rsidR="00804652" w:rsidRPr="00D920C9">
        <w:rPr>
          <w:rFonts w:asciiTheme="minorHAnsi" w:hAnsiTheme="minorHAnsi"/>
        </w:rPr>
        <w:t xml:space="preserve">[s]e and the sentence,” and recommended </w:t>
      </w:r>
      <w:r w:rsidR="00BD08E4" w:rsidRPr="00D920C9">
        <w:rPr>
          <w:rFonts w:asciiTheme="minorHAnsi" w:hAnsiTheme="minorHAnsi"/>
        </w:rPr>
        <w:t>adopting “</w:t>
      </w:r>
      <w:r w:rsidR="00804652" w:rsidRPr="00D920C9">
        <w:rPr>
          <w:rFonts w:asciiTheme="minorHAnsi" w:hAnsiTheme="minorHAnsi"/>
        </w:rPr>
        <w:t xml:space="preserve">appropriate measures in other states to </w:t>
      </w:r>
      <w:r w:rsidR="007F7673" w:rsidRPr="00D920C9">
        <w:rPr>
          <w:rFonts w:asciiTheme="minorHAnsi" w:hAnsiTheme="minorHAnsi"/>
        </w:rPr>
        <w:t>[restore]</w:t>
      </w:r>
      <w:r w:rsidR="00804652" w:rsidRPr="00D920C9">
        <w:rPr>
          <w:rFonts w:asciiTheme="minorHAnsi" w:hAnsiTheme="minorHAnsi"/>
        </w:rPr>
        <w:t xml:space="preserve"> voting rights to citizens who have fully served their sentences and those who have been release on parole”</w:t>
      </w:r>
      <w:r w:rsidR="00F56F74" w:rsidRPr="00D920C9" w:rsidDel="00F56F74">
        <w:rPr>
          <w:rFonts w:asciiTheme="minorHAnsi" w:hAnsiTheme="minorHAnsi"/>
        </w:rPr>
        <w:t xml:space="preserve"> </w:t>
      </w:r>
      <w:r w:rsidR="00064585" w:rsidRPr="00D920C9">
        <w:rPr>
          <w:rFonts w:asciiTheme="minorHAnsi" w:hAnsiTheme="minorHAnsi"/>
        </w:rPr>
        <w:t>particularly in light of the racially discriminatory impact of the policy.</w:t>
      </w:r>
      <w:r w:rsidR="00064585" w:rsidRPr="00D920C9">
        <w:rPr>
          <w:rStyle w:val="FootnoteReference"/>
          <w:rFonts w:asciiTheme="minorHAnsi" w:hAnsiTheme="minorHAnsi"/>
        </w:rPr>
        <w:footnoteReference w:id="331"/>
      </w:r>
      <w:r w:rsidR="00064585" w:rsidRPr="00D920C9">
        <w:rPr>
          <w:rFonts w:asciiTheme="minorHAnsi" w:hAnsiTheme="minorHAnsi"/>
        </w:rPr>
        <w:t xml:space="preserve"> </w:t>
      </w:r>
      <w:r w:rsidR="007F7673" w:rsidRPr="00D920C9">
        <w:rPr>
          <w:rFonts w:asciiTheme="minorHAnsi" w:hAnsiTheme="minorHAnsi"/>
        </w:rPr>
        <w:t>Given</w:t>
      </w:r>
      <w:r w:rsidRPr="00D920C9">
        <w:rPr>
          <w:rFonts w:asciiTheme="minorHAnsi" w:hAnsiTheme="minorHAnsi"/>
        </w:rPr>
        <w:t xml:space="preserve"> the disproportionate impact of felony disenfranchisement on African American communities, and the fundamental importance of the right to vote in a democratic system, the Commission </w:t>
      </w:r>
      <w:r w:rsidR="00BD08E4" w:rsidRPr="00D920C9">
        <w:rPr>
          <w:rFonts w:asciiTheme="minorHAnsi" w:hAnsiTheme="minorHAnsi"/>
        </w:rPr>
        <w:t>reiterates the need for reform</w:t>
      </w:r>
      <w:r w:rsidRPr="00D920C9">
        <w:rPr>
          <w:rFonts w:asciiTheme="minorHAnsi" w:hAnsiTheme="minorHAnsi"/>
        </w:rPr>
        <w:t>.</w:t>
      </w:r>
      <w:r w:rsidR="00AB1C48" w:rsidRPr="00D920C9">
        <w:rPr>
          <w:rStyle w:val="FootnoteReference"/>
          <w:rFonts w:asciiTheme="minorHAnsi" w:hAnsiTheme="minorHAnsi"/>
        </w:rPr>
        <w:footnoteReference w:id="332"/>
      </w:r>
    </w:p>
    <w:p w14:paraId="6E925845" w14:textId="77777777" w:rsidR="007C444E" w:rsidRPr="00D920C9" w:rsidRDefault="00F96415" w:rsidP="00E86698">
      <w:pPr>
        <w:pStyle w:val="ListParagraph"/>
        <w:numPr>
          <w:ilvl w:val="0"/>
          <w:numId w:val="9"/>
        </w:numPr>
        <w:spacing w:after="240" w:line="240" w:lineRule="auto"/>
        <w:ind w:left="547" w:hanging="547"/>
        <w:contextualSpacing w:val="0"/>
        <w:jc w:val="both"/>
        <w:rPr>
          <w:rFonts w:asciiTheme="minorHAnsi" w:hAnsiTheme="minorHAnsi"/>
        </w:rPr>
      </w:pPr>
      <w:bookmarkStart w:id="119" w:name="_Ref504656720"/>
      <w:bookmarkStart w:id="120" w:name="_Ref511835933"/>
      <w:r w:rsidRPr="00D920C9">
        <w:rPr>
          <w:rFonts w:asciiTheme="minorHAnsi" w:hAnsiTheme="minorHAnsi"/>
        </w:rPr>
        <w:t xml:space="preserve">Felony convictions may also limit individuals’ access to work and other economic, social, and cultural rights over the course of their lives. </w:t>
      </w:r>
      <w:r w:rsidR="008538B7" w:rsidRPr="00D920C9">
        <w:rPr>
          <w:rFonts w:asciiTheme="minorHAnsi" w:hAnsiTheme="minorHAnsi"/>
        </w:rPr>
        <w:t>The Commission received information from the State at a public hearing about “a long history of complaints” to the Equal Opportunity Employment Commission (EEOC) of discrimination against formerly incarcerated persons with felony convictions and steps taken by the EEOC to investigate and provide policy guidance on the issue.</w:t>
      </w:r>
      <w:r w:rsidR="008538B7" w:rsidRPr="00D920C9">
        <w:rPr>
          <w:rStyle w:val="FootnoteReference"/>
          <w:rFonts w:asciiTheme="minorHAnsi" w:hAnsiTheme="minorHAnsi"/>
        </w:rPr>
        <w:footnoteReference w:id="333"/>
      </w:r>
      <w:r w:rsidR="008538B7" w:rsidRPr="00D920C9">
        <w:rPr>
          <w:rFonts w:asciiTheme="minorHAnsi" w:hAnsiTheme="minorHAnsi"/>
        </w:rPr>
        <w:t xml:space="preserve"> </w:t>
      </w:r>
      <w:r w:rsidR="00AB1C48" w:rsidRPr="00D920C9">
        <w:rPr>
          <w:rFonts w:asciiTheme="minorHAnsi" w:hAnsiTheme="minorHAnsi"/>
        </w:rPr>
        <w:t>Some information indicat</w:t>
      </w:r>
      <w:r w:rsidR="00044406" w:rsidRPr="00D920C9">
        <w:rPr>
          <w:rFonts w:asciiTheme="minorHAnsi" w:hAnsiTheme="minorHAnsi"/>
        </w:rPr>
        <w:t>es</w:t>
      </w:r>
      <w:r w:rsidR="00AB1C48" w:rsidRPr="00D920C9">
        <w:rPr>
          <w:rFonts w:asciiTheme="minorHAnsi" w:hAnsiTheme="minorHAnsi"/>
        </w:rPr>
        <w:t xml:space="preserve"> </w:t>
      </w:r>
      <w:r w:rsidR="00AB1C48" w:rsidRPr="00D920C9">
        <w:rPr>
          <w:rFonts w:asciiTheme="minorHAnsi" w:hAnsiTheme="minorHAnsi"/>
        </w:rPr>
        <w:lastRenderedPageBreak/>
        <w:t xml:space="preserve">that discrimination against </w:t>
      </w:r>
      <w:r w:rsidR="00044406" w:rsidRPr="00D920C9">
        <w:rPr>
          <w:rFonts w:asciiTheme="minorHAnsi" w:hAnsiTheme="minorHAnsi"/>
        </w:rPr>
        <w:t>black individuals</w:t>
      </w:r>
      <w:r w:rsidR="00AB1C48" w:rsidRPr="00D920C9">
        <w:rPr>
          <w:rFonts w:asciiTheme="minorHAnsi" w:hAnsiTheme="minorHAnsi"/>
        </w:rPr>
        <w:t xml:space="preserve"> with criminal records is likely more severe than against white individuals with criminal records. For example, one study found that white men with a criminal record received more positive responses from employers than black men with no criminal record.</w:t>
      </w:r>
      <w:r w:rsidR="00AB1C48" w:rsidRPr="00D920C9">
        <w:rPr>
          <w:rStyle w:val="FootnoteReference"/>
          <w:rFonts w:asciiTheme="minorHAnsi" w:hAnsiTheme="minorHAnsi"/>
        </w:rPr>
        <w:footnoteReference w:id="334"/>
      </w:r>
      <w:bookmarkEnd w:id="119"/>
      <w:r w:rsidRPr="00D920C9">
        <w:rPr>
          <w:rFonts w:asciiTheme="minorHAnsi" w:hAnsiTheme="minorHAnsi"/>
        </w:rPr>
        <w:t xml:space="preserve"> Likewise, </w:t>
      </w:r>
      <w:r w:rsidR="00E020AC" w:rsidRPr="00D920C9">
        <w:rPr>
          <w:rFonts w:asciiTheme="minorHAnsi" w:hAnsiTheme="minorHAnsi"/>
        </w:rPr>
        <w:t>a variety of laws and policies tend to exclude persons with prior felony convictions for drug crimes from accessing housing</w:t>
      </w:r>
      <w:r w:rsidR="00E020AC" w:rsidRPr="00D920C9">
        <w:rPr>
          <w:rStyle w:val="FootnoteReference"/>
          <w:rFonts w:asciiTheme="minorHAnsi" w:hAnsiTheme="minorHAnsi"/>
        </w:rPr>
        <w:footnoteReference w:id="335"/>
      </w:r>
      <w:r w:rsidR="00E020AC" w:rsidRPr="00D920C9">
        <w:rPr>
          <w:rFonts w:asciiTheme="minorHAnsi" w:hAnsiTheme="minorHAnsi"/>
        </w:rPr>
        <w:t xml:space="preserve"> and public benefits.</w:t>
      </w:r>
      <w:r w:rsidR="00E020AC" w:rsidRPr="00D920C9">
        <w:rPr>
          <w:rStyle w:val="FootnoteReference"/>
          <w:rFonts w:asciiTheme="minorHAnsi" w:hAnsiTheme="minorHAnsi"/>
        </w:rPr>
        <w:footnoteReference w:id="336"/>
      </w:r>
      <w:r w:rsidR="00E020AC" w:rsidRPr="00D920C9">
        <w:rPr>
          <w:rFonts w:asciiTheme="minorHAnsi" w:hAnsiTheme="minorHAnsi"/>
        </w:rPr>
        <w:t xml:space="preserve"> </w:t>
      </w:r>
      <w:r w:rsidRPr="00D920C9">
        <w:rPr>
          <w:rFonts w:asciiTheme="minorHAnsi" w:hAnsiTheme="minorHAnsi"/>
        </w:rPr>
        <w:t>These dispositions have an important effect on poverty and access to rights.</w:t>
      </w:r>
      <w:bookmarkEnd w:id="120"/>
    </w:p>
    <w:p w14:paraId="7F5143BA" w14:textId="77777777" w:rsidR="00B4412C" w:rsidRPr="00D920C9" w:rsidRDefault="00BB4F84" w:rsidP="003D7958">
      <w:pPr>
        <w:pStyle w:val="Heading3"/>
        <w:ind w:left="540" w:hanging="540"/>
      </w:pPr>
      <w:bookmarkStart w:id="121" w:name="_Toc511837819"/>
      <w:bookmarkStart w:id="122" w:name="_Toc511902992"/>
      <w:bookmarkStart w:id="123" w:name="_Toc517687922"/>
      <w:r w:rsidRPr="00D920C9">
        <w:t>Related</w:t>
      </w:r>
      <w:r w:rsidR="00B4412C" w:rsidRPr="00D920C9">
        <w:t xml:space="preserve"> </w:t>
      </w:r>
      <w:r w:rsidR="0013717A" w:rsidRPr="00D920C9">
        <w:t xml:space="preserve">Structural Issues </w:t>
      </w:r>
      <w:r w:rsidR="009F3240" w:rsidRPr="00D920C9">
        <w:t xml:space="preserve">of </w:t>
      </w:r>
      <w:r w:rsidR="0013717A" w:rsidRPr="00D920C9">
        <w:t>Racial Discrimination</w:t>
      </w:r>
      <w:bookmarkEnd w:id="121"/>
      <w:bookmarkEnd w:id="122"/>
      <w:bookmarkEnd w:id="123"/>
    </w:p>
    <w:p w14:paraId="6BA02FBA" w14:textId="77777777" w:rsidR="00412125" w:rsidRPr="00D920C9" w:rsidRDefault="00412125"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As noted throughout this report, racial discrimination against African Americans in the United States is structural and therefore affects virtually every aspect of life. While a complete consideration of the dimensions of structural discrimination against African Americans in the </w:t>
      </w:r>
      <w:r w:rsidR="006D4A9B" w:rsidRPr="00D920C9">
        <w:rPr>
          <w:rFonts w:asciiTheme="minorHAnsi" w:hAnsiTheme="minorHAnsi"/>
        </w:rPr>
        <w:t>U.S.</w:t>
      </w:r>
      <w:r w:rsidRPr="00D920C9">
        <w:rPr>
          <w:rFonts w:asciiTheme="minorHAnsi" w:hAnsiTheme="minorHAnsi"/>
        </w:rPr>
        <w:t xml:space="preserve"> is therefore beyond the scope of this report, this section addresses several issues that are closely connected to the issues of policing and use of force, as well as to the impact of the criminal justice system on African Americans</w:t>
      </w:r>
      <w:r w:rsidR="00BB4F84" w:rsidRPr="00D920C9">
        <w:rPr>
          <w:rFonts w:asciiTheme="minorHAnsi" w:hAnsiTheme="minorHAnsi"/>
        </w:rPr>
        <w:t>.</w:t>
      </w:r>
      <w:r w:rsidRPr="00D920C9">
        <w:rPr>
          <w:rFonts w:asciiTheme="minorHAnsi" w:hAnsiTheme="minorHAnsi"/>
        </w:rPr>
        <w:t xml:space="preserve"> </w:t>
      </w:r>
    </w:p>
    <w:p w14:paraId="7B53E7D4" w14:textId="77777777" w:rsidR="00827804" w:rsidRPr="00D920C9" w:rsidRDefault="00827804" w:rsidP="003D7958">
      <w:pPr>
        <w:pStyle w:val="Heading4"/>
        <w:numPr>
          <w:ilvl w:val="0"/>
          <w:numId w:val="35"/>
        </w:numPr>
        <w:ind w:left="540" w:hanging="540"/>
      </w:pPr>
      <w:bookmarkStart w:id="124" w:name="_Toc511837820"/>
      <w:bookmarkStart w:id="125" w:name="_Toc511902993"/>
      <w:bookmarkStart w:id="126" w:name="_Toc517687923"/>
      <w:r w:rsidRPr="00D920C9">
        <w:t xml:space="preserve">Social </w:t>
      </w:r>
      <w:r w:rsidR="0013717A" w:rsidRPr="00D920C9">
        <w:t>Context</w:t>
      </w:r>
      <w:r w:rsidRPr="00D920C9">
        <w:t xml:space="preserve">: </w:t>
      </w:r>
      <w:r w:rsidR="0013717A" w:rsidRPr="00D920C9">
        <w:t>Stigma, Hate Speech</w:t>
      </w:r>
      <w:r w:rsidRPr="00D920C9">
        <w:t xml:space="preserve">, and </w:t>
      </w:r>
      <w:r w:rsidR="0013717A" w:rsidRPr="00D920C9">
        <w:t>Hate Crimes</w:t>
      </w:r>
      <w:bookmarkEnd w:id="124"/>
      <w:bookmarkEnd w:id="125"/>
      <w:bookmarkEnd w:id="126"/>
    </w:p>
    <w:p w14:paraId="5CF1BA8E" w14:textId="56581EDD" w:rsidR="003731DE" w:rsidRPr="00D920C9" w:rsidRDefault="00827804" w:rsidP="00E86698">
      <w:pPr>
        <w:pStyle w:val="ListParagraph"/>
        <w:numPr>
          <w:ilvl w:val="0"/>
          <w:numId w:val="9"/>
        </w:numPr>
        <w:spacing w:after="240" w:line="240" w:lineRule="auto"/>
        <w:ind w:left="547" w:hanging="547"/>
        <w:contextualSpacing w:val="0"/>
        <w:jc w:val="both"/>
        <w:rPr>
          <w:rFonts w:asciiTheme="minorHAnsi" w:hAnsiTheme="minorHAnsi"/>
        </w:rPr>
      </w:pPr>
      <w:bookmarkStart w:id="127" w:name="_Ref507431987"/>
      <w:r w:rsidRPr="00D920C9">
        <w:rPr>
          <w:rFonts w:asciiTheme="minorHAnsi" w:hAnsiTheme="minorHAnsi"/>
        </w:rPr>
        <w:t xml:space="preserve">The Commission is </w:t>
      </w:r>
      <w:r w:rsidR="00C42B87" w:rsidRPr="00D920C9">
        <w:rPr>
          <w:rFonts w:asciiTheme="minorHAnsi" w:hAnsiTheme="minorHAnsi"/>
        </w:rPr>
        <w:t>seriously</w:t>
      </w:r>
      <w:r w:rsidRPr="00D920C9">
        <w:rPr>
          <w:rFonts w:asciiTheme="minorHAnsi" w:hAnsiTheme="minorHAnsi"/>
        </w:rPr>
        <w:t xml:space="preserve"> concerned by reports of rising numbers of hate crimes and by alarming increases in hate speech in the </w:t>
      </w:r>
      <w:r w:rsidR="006D4A9B" w:rsidRPr="00D920C9">
        <w:rPr>
          <w:rFonts w:asciiTheme="minorHAnsi" w:hAnsiTheme="minorHAnsi"/>
        </w:rPr>
        <w:t>U.S</w:t>
      </w:r>
      <w:r w:rsidRPr="00D920C9">
        <w:rPr>
          <w:rFonts w:asciiTheme="minorHAnsi" w:hAnsiTheme="minorHAnsi"/>
        </w:rPr>
        <w:t xml:space="preserve">. This increase has been particularly marked </w:t>
      </w:r>
      <w:r w:rsidR="00044406" w:rsidRPr="00D920C9">
        <w:rPr>
          <w:rFonts w:asciiTheme="minorHAnsi" w:hAnsiTheme="minorHAnsi"/>
        </w:rPr>
        <w:t>in</w:t>
      </w:r>
      <w:r w:rsidR="00F56BE6" w:rsidRPr="00D920C9">
        <w:rPr>
          <w:rFonts w:asciiTheme="minorHAnsi" w:hAnsiTheme="minorHAnsi"/>
        </w:rPr>
        <w:t xml:space="preserve"> </w:t>
      </w:r>
      <w:r w:rsidRPr="00D920C9">
        <w:rPr>
          <w:rFonts w:asciiTheme="minorHAnsi" w:hAnsiTheme="minorHAnsi"/>
        </w:rPr>
        <w:t>2016 and 2017. The Federal Bureau of Investigation (FBI) recently reported a five-year high in hate crimes, with 6,121 in 2016—a five percent increase over 2015, which saw 5,818 such crimes reported.</w:t>
      </w:r>
      <w:r w:rsidRPr="00D920C9">
        <w:rPr>
          <w:rStyle w:val="FootnoteReference"/>
          <w:rFonts w:asciiTheme="minorHAnsi" w:hAnsiTheme="minorHAnsi"/>
        </w:rPr>
        <w:footnoteReference w:id="337"/>
      </w:r>
      <w:r w:rsidRPr="00D920C9">
        <w:rPr>
          <w:rFonts w:asciiTheme="minorHAnsi" w:hAnsiTheme="minorHAnsi"/>
        </w:rPr>
        <w:t xml:space="preserve"> It is relevant to note, however, that 88 percent of participating law enforcement agencies reported no hate crimes in their jurisdictions, represent</w:t>
      </w:r>
      <w:r w:rsidR="00454092" w:rsidRPr="00D920C9">
        <w:rPr>
          <w:rFonts w:asciiTheme="minorHAnsi" w:hAnsiTheme="minorHAnsi"/>
        </w:rPr>
        <w:t>ing</w:t>
      </w:r>
      <w:r w:rsidRPr="00D920C9">
        <w:rPr>
          <w:rFonts w:asciiTheme="minorHAnsi" w:hAnsiTheme="minorHAnsi"/>
        </w:rPr>
        <w:t xml:space="preserve"> an ongoing challenge for data collection efforts. In comparison, the Bureau of Justice Statistics, a government entity that is also part of the </w:t>
      </w:r>
      <w:r w:rsidR="00044406" w:rsidRPr="00D920C9">
        <w:rPr>
          <w:rFonts w:asciiTheme="minorHAnsi" w:hAnsiTheme="minorHAnsi"/>
        </w:rPr>
        <w:t>DOJ</w:t>
      </w:r>
      <w:r w:rsidRPr="00D920C9">
        <w:rPr>
          <w:rFonts w:asciiTheme="minorHAnsi" w:hAnsiTheme="minorHAnsi"/>
        </w:rPr>
        <w:t xml:space="preserve">, estimates an annual average of 250,000 </w:t>
      </w:r>
      <w:r w:rsidR="00454092" w:rsidRPr="00D920C9">
        <w:rPr>
          <w:rFonts w:asciiTheme="minorHAnsi" w:hAnsiTheme="minorHAnsi"/>
        </w:rPr>
        <w:t xml:space="preserve">hate </w:t>
      </w:r>
      <w:r w:rsidR="00454092" w:rsidRPr="00D920C9">
        <w:rPr>
          <w:rFonts w:asciiTheme="minorHAnsi" w:hAnsiTheme="minorHAnsi"/>
        </w:rPr>
        <w:lastRenderedPageBreak/>
        <w:t xml:space="preserve">crime </w:t>
      </w:r>
      <w:r w:rsidRPr="00D920C9">
        <w:rPr>
          <w:rFonts w:asciiTheme="minorHAnsi" w:hAnsiTheme="minorHAnsi"/>
        </w:rPr>
        <w:t>incidents, about 40 times the number reported by the FBI.</w:t>
      </w:r>
      <w:r w:rsidRPr="00D920C9">
        <w:rPr>
          <w:rStyle w:val="FootnoteReference"/>
          <w:rFonts w:asciiTheme="minorHAnsi" w:hAnsiTheme="minorHAnsi"/>
        </w:rPr>
        <w:footnoteReference w:id="338"/>
      </w:r>
      <w:r w:rsidRPr="00D920C9">
        <w:rPr>
          <w:rFonts w:asciiTheme="minorHAnsi" w:hAnsiTheme="minorHAnsi"/>
        </w:rPr>
        <w:t xml:space="preserve"> </w:t>
      </w:r>
      <w:r w:rsidR="00137FBC" w:rsidRPr="00D920C9">
        <w:rPr>
          <w:rFonts w:asciiTheme="minorHAnsi" w:hAnsiTheme="minorHAnsi"/>
        </w:rPr>
        <w:t>The FBI found that about 58 percent of reported hate crimes in 2016 were motivated on the basis of race, ethnicity, or national origin</w:t>
      </w:r>
      <w:r w:rsidR="00D1452B" w:rsidRPr="00D920C9">
        <w:rPr>
          <w:rFonts w:asciiTheme="minorHAnsi" w:hAnsiTheme="minorHAnsi"/>
        </w:rPr>
        <w:t>.</w:t>
      </w:r>
      <w:r w:rsidR="00D1452B" w:rsidRPr="00D920C9">
        <w:rPr>
          <w:rStyle w:val="FootnoteReference"/>
          <w:rFonts w:asciiTheme="minorHAnsi" w:hAnsiTheme="minorHAnsi"/>
        </w:rPr>
        <w:footnoteReference w:id="339"/>
      </w:r>
      <w:r w:rsidR="00137FBC" w:rsidRPr="00D920C9">
        <w:rPr>
          <w:rFonts w:asciiTheme="minorHAnsi" w:hAnsiTheme="minorHAnsi"/>
        </w:rPr>
        <w:t xml:space="preserve"> </w:t>
      </w:r>
      <w:r w:rsidR="00693EDF" w:rsidRPr="00D920C9">
        <w:rPr>
          <w:rFonts w:asciiTheme="minorHAnsi" w:hAnsiTheme="minorHAnsi"/>
        </w:rPr>
        <w:t>The Commission expresses concern about the reported difficulty of prosecuting and, as appropriate, achieving convictions for hate crimes owing to a variety of factors, including gaps in state laws and lack of federal resources to prosecute, as well as the difficulty of proving the perpetrator’s specific intent (</w:t>
      </w:r>
      <w:proofErr w:type="spellStart"/>
      <w:r w:rsidR="00693EDF" w:rsidRPr="00D920C9">
        <w:rPr>
          <w:rFonts w:asciiTheme="minorHAnsi" w:hAnsiTheme="minorHAnsi"/>
          <w:i/>
        </w:rPr>
        <w:t>dolo</w:t>
      </w:r>
      <w:proofErr w:type="spellEnd"/>
      <w:r w:rsidR="00693EDF" w:rsidRPr="00D920C9">
        <w:rPr>
          <w:rFonts w:asciiTheme="minorHAnsi" w:hAnsiTheme="minorHAnsi"/>
        </w:rPr>
        <w:t>) to commit a hate crime.</w:t>
      </w:r>
      <w:r w:rsidR="00693EDF" w:rsidRPr="00D920C9">
        <w:rPr>
          <w:rStyle w:val="FootnoteReference"/>
          <w:rFonts w:asciiTheme="minorHAnsi" w:hAnsiTheme="minorHAnsi"/>
        </w:rPr>
        <w:footnoteReference w:id="340"/>
      </w:r>
      <w:r w:rsidR="00693EDF" w:rsidRPr="00D920C9">
        <w:rPr>
          <w:rFonts w:asciiTheme="minorHAnsi" w:hAnsiTheme="minorHAnsi"/>
        </w:rPr>
        <w:t xml:space="preserve"> </w:t>
      </w:r>
      <w:r w:rsidR="002038BC" w:rsidRPr="00D920C9">
        <w:rPr>
          <w:rFonts w:asciiTheme="minorHAnsi" w:hAnsiTheme="minorHAnsi"/>
        </w:rPr>
        <w:t>The Commission considers that this wider social context of increasing expressions of h</w:t>
      </w:r>
      <w:r w:rsidR="0030356C" w:rsidRPr="00D920C9">
        <w:rPr>
          <w:rFonts w:asciiTheme="minorHAnsi" w:hAnsiTheme="minorHAnsi"/>
        </w:rPr>
        <w:t xml:space="preserve">ate and bigotry against African </w:t>
      </w:r>
      <w:r w:rsidR="002038BC" w:rsidRPr="00D920C9">
        <w:rPr>
          <w:rFonts w:asciiTheme="minorHAnsi" w:hAnsiTheme="minorHAnsi"/>
        </w:rPr>
        <w:t xml:space="preserve">Americans </w:t>
      </w:r>
      <w:r w:rsidR="004B7C27" w:rsidRPr="00D920C9">
        <w:rPr>
          <w:rFonts w:asciiTheme="minorHAnsi" w:hAnsiTheme="minorHAnsi"/>
        </w:rPr>
        <w:t xml:space="preserve">(as well as </w:t>
      </w:r>
      <w:r w:rsidR="002038BC" w:rsidRPr="00D920C9">
        <w:rPr>
          <w:rFonts w:asciiTheme="minorHAnsi" w:hAnsiTheme="minorHAnsi"/>
        </w:rPr>
        <w:t xml:space="preserve">other </w:t>
      </w:r>
      <w:r w:rsidR="004B7C27" w:rsidRPr="00D920C9">
        <w:rPr>
          <w:rFonts w:asciiTheme="minorHAnsi" w:hAnsiTheme="minorHAnsi"/>
        </w:rPr>
        <w:t xml:space="preserve">historically marginalized </w:t>
      </w:r>
      <w:r w:rsidR="002038BC" w:rsidRPr="00D920C9">
        <w:rPr>
          <w:rFonts w:asciiTheme="minorHAnsi" w:hAnsiTheme="minorHAnsi"/>
        </w:rPr>
        <w:t>groups, including Muslims, immigrants, and Jews</w:t>
      </w:r>
      <w:r w:rsidR="004B7C27" w:rsidRPr="00D920C9">
        <w:rPr>
          <w:rFonts w:asciiTheme="minorHAnsi" w:hAnsiTheme="minorHAnsi"/>
        </w:rPr>
        <w:t>)</w:t>
      </w:r>
      <w:r w:rsidR="002038BC" w:rsidRPr="00D920C9">
        <w:rPr>
          <w:rFonts w:asciiTheme="minorHAnsi" w:hAnsiTheme="minorHAnsi"/>
        </w:rPr>
        <w:t>, cannot be separated from the other situations of discrimin</w:t>
      </w:r>
      <w:r w:rsidR="00693EDF" w:rsidRPr="00D920C9">
        <w:rPr>
          <w:rFonts w:asciiTheme="minorHAnsi" w:hAnsiTheme="minorHAnsi"/>
        </w:rPr>
        <w:t>ation considered in this report, in particular as they affect State obligations with respect to non-discrimination and equal protection of the law.</w:t>
      </w:r>
      <w:bookmarkEnd w:id="127"/>
    </w:p>
    <w:p w14:paraId="408ED43E" w14:textId="3BCA071B" w:rsidR="009E4764" w:rsidRPr="00D920C9" w:rsidRDefault="003731DE"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Within this context</w:t>
      </w:r>
      <w:r w:rsidR="00F56F74" w:rsidRPr="00D920C9">
        <w:rPr>
          <w:rFonts w:asciiTheme="minorHAnsi" w:hAnsiTheme="minorHAnsi"/>
        </w:rPr>
        <w:t xml:space="preserve"> of</w:t>
      </w:r>
      <w:r w:rsidRPr="00D920C9">
        <w:rPr>
          <w:rFonts w:asciiTheme="minorHAnsi" w:hAnsiTheme="minorHAnsi"/>
        </w:rPr>
        <w:t xml:space="preserve"> </w:t>
      </w:r>
      <w:r w:rsidR="004B7C27" w:rsidRPr="00D920C9">
        <w:rPr>
          <w:rFonts w:asciiTheme="minorHAnsi" w:hAnsiTheme="minorHAnsi"/>
        </w:rPr>
        <w:t xml:space="preserve">shocking </w:t>
      </w:r>
      <w:r w:rsidRPr="00D920C9">
        <w:rPr>
          <w:rFonts w:asciiTheme="minorHAnsi" w:hAnsiTheme="minorHAnsi"/>
        </w:rPr>
        <w:t>expressions of hate, the massacre perpetrated at the Emanuel African Methodist Episcopal Church (a historically Black church) in Charleston, South Carolina, in April 2015, in which a white supremacist gunman murdered nine Black parishioners during Sunday services, stand</w:t>
      </w:r>
      <w:r w:rsidR="00F56F74" w:rsidRPr="00D920C9">
        <w:rPr>
          <w:rFonts w:asciiTheme="minorHAnsi" w:hAnsiTheme="minorHAnsi"/>
        </w:rPr>
        <w:t>s</w:t>
      </w:r>
      <w:r w:rsidRPr="00D920C9">
        <w:rPr>
          <w:rFonts w:asciiTheme="minorHAnsi" w:hAnsiTheme="minorHAnsi"/>
        </w:rPr>
        <w:t xml:space="preserve"> out.</w:t>
      </w:r>
      <w:r w:rsidRPr="00D920C9">
        <w:rPr>
          <w:rStyle w:val="FootnoteReference"/>
          <w:rFonts w:asciiTheme="minorHAnsi" w:hAnsiTheme="minorHAnsi"/>
        </w:rPr>
        <w:footnoteReference w:id="341"/>
      </w:r>
      <w:r w:rsidR="007C2C1A" w:rsidRPr="00D920C9">
        <w:rPr>
          <w:rFonts w:asciiTheme="minorHAnsi" w:hAnsiTheme="minorHAnsi"/>
        </w:rPr>
        <w:t xml:space="preserve"> The shooter’s white supremacist beliefs are well-documented;</w:t>
      </w:r>
      <w:r w:rsidR="007C2C1A" w:rsidRPr="00D920C9">
        <w:rPr>
          <w:rStyle w:val="FootnoteReference"/>
          <w:rFonts w:asciiTheme="minorHAnsi" w:hAnsiTheme="minorHAnsi"/>
        </w:rPr>
        <w:footnoteReference w:id="342"/>
      </w:r>
      <w:r w:rsidR="007C2C1A" w:rsidRPr="00D920C9">
        <w:rPr>
          <w:rFonts w:asciiTheme="minorHAnsi" w:hAnsiTheme="minorHAnsi"/>
        </w:rPr>
        <w:t xml:space="preserve"> t</w:t>
      </w:r>
      <w:r w:rsidRPr="00D920C9">
        <w:rPr>
          <w:rFonts w:asciiTheme="minorHAnsi" w:hAnsiTheme="minorHAnsi"/>
        </w:rPr>
        <w:t>h</w:t>
      </w:r>
      <w:r w:rsidR="007C2C1A" w:rsidRPr="00D920C9">
        <w:rPr>
          <w:rFonts w:asciiTheme="minorHAnsi" w:hAnsiTheme="minorHAnsi"/>
        </w:rPr>
        <w:t>e</w:t>
      </w:r>
      <w:r w:rsidRPr="00D920C9">
        <w:rPr>
          <w:rFonts w:asciiTheme="minorHAnsi" w:hAnsiTheme="minorHAnsi"/>
        </w:rPr>
        <w:t xml:space="preserve"> crime was prosecuted as a federal hate crime, and the shooter was sentenced to death in the federal proceedings</w:t>
      </w:r>
      <w:r w:rsidR="002038BC" w:rsidRPr="00D920C9">
        <w:rPr>
          <w:rFonts w:asciiTheme="minorHAnsi" w:hAnsiTheme="minorHAnsi"/>
        </w:rPr>
        <w:t xml:space="preserve"> and nine life sentences in state proceedings</w:t>
      </w:r>
      <w:r w:rsidRPr="00D920C9">
        <w:rPr>
          <w:rFonts w:asciiTheme="minorHAnsi" w:hAnsiTheme="minorHAnsi"/>
        </w:rPr>
        <w:t>.</w:t>
      </w:r>
      <w:r w:rsidRPr="00D920C9">
        <w:rPr>
          <w:rStyle w:val="FootnoteReference"/>
          <w:rFonts w:asciiTheme="minorHAnsi" w:hAnsiTheme="minorHAnsi"/>
        </w:rPr>
        <w:footnoteReference w:id="343"/>
      </w:r>
      <w:r w:rsidRPr="00D920C9">
        <w:rPr>
          <w:rFonts w:asciiTheme="minorHAnsi" w:hAnsiTheme="minorHAnsi"/>
        </w:rPr>
        <w:t xml:space="preserve"> </w:t>
      </w:r>
      <w:r w:rsidR="007C2C1A" w:rsidRPr="00D920C9">
        <w:rPr>
          <w:rFonts w:asciiTheme="minorHAnsi" w:hAnsiTheme="minorHAnsi"/>
        </w:rPr>
        <w:t>This tragedy also contributed to a renewed movement to remove the Confederate flag from display in public buildings in states like South Carolina.</w:t>
      </w:r>
      <w:r w:rsidR="007C2C1A" w:rsidRPr="00D920C9">
        <w:rPr>
          <w:rStyle w:val="FootnoteReference"/>
          <w:rFonts w:asciiTheme="minorHAnsi" w:hAnsiTheme="minorHAnsi"/>
        </w:rPr>
        <w:footnoteReference w:id="344"/>
      </w:r>
    </w:p>
    <w:p w14:paraId="427135A0" w14:textId="77777777" w:rsidR="00E65534" w:rsidRPr="00D920C9" w:rsidRDefault="00710238" w:rsidP="00E86698">
      <w:pPr>
        <w:pStyle w:val="ListParagraph"/>
        <w:numPr>
          <w:ilvl w:val="0"/>
          <w:numId w:val="9"/>
        </w:numPr>
        <w:spacing w:after="240" w:line="240" w:lineRule="auto"/>
        <w:ind w:left="547" w:hanging="547"/>
        <w:contextualSpacing w:val="0"/>
        <w:jc w:val="both"/>
        <w:rPr>
          <w:rFonts w:asciiTheme="minorHAnsi" w:eastAsiaTheme="minorHAnsi" w:hAnsiTheme="minorHAnsi"/>
          <w:b/>
          <w:bCs/>
        </w:rPr>
      </w:pPr>
      <w:r w:rsidRPr="00D920C9">
        <w:rPr>
          <w:rFonts w:asciiTheme="minorHAnsi" w:hAnsiTheme="minorHAnsi"/>
        </w:rPr>
        <w:t xml:space="preserve">The Commission underscores </w:t>
      </w:r>
      <w:r w:rsidR="00554A51" w:rsidRPr="00D920C9">
        <w:rPr>
          <w:rFonts w:asciiTheme="minorHAnsi" w:hAnsiTheme="minorHAnsi"/>
        </w:rPr>
        <w:t>as well</w:t>
      </w:r>
      <w:r w:rsidRPr="00D920C9">
        <w:rPr>
          <w:rFonts w:asciiTheme="minorHAnsi" w:hAnsiTheme="minorHAnsi"/>
        </w:rPr>
        <w:t xml:space="preserve"> the events that took place in Charlottesville, Virginia on August 11-12, 2017, where hundreds of persons belonging to white nationalist groups gathered for a rally entitled “Unite t</w:t>
      </w:r>
      <w:r w:rsidR="00E65534" w:rsidRPr="00D920C9">
        <w:rPr>
          <w:rFonts w:asciiTheme="minorHAnsi" w:hAnsiTheme="minorHAnsi"/>
        </w:rPr>
        <w:t>he Right.”</w:t>
      </w:r>
      <w:r w:rsidR="00E65534" w:rsidRPr="00D920C9">
        <w:rPr>
          <w:rStyle w:val="FootnoteReference"/>
          <w:rFonts w:asciiTheme="minorHAnsi" w:hAnsiTheme="minorHAnsi"/>
        </w:rPr>
        <w:footnoteReference w:id="345"/>
      </w:r>
      <w:r w:rsidRPr="00D920C9">
        <w:rPr>
          <w:rFonts w:asciiTheme="minorHAnsi" w:hAnsiTheme="minorHAnsi"/>
        </w:rPr>
        <w:t xml:space="preserve"> The persons represented a number of white supremacist hate groups, including Neo-Nazis and the Ku Klux Klan, and expressed bigotry and hatred against groups including </w:t>
      </w:r>
      <w:r w:rsidR="00044406" w:rsidRPr="00D920C9">
        <w:rPr>
          <w:rFonts w:asciiTheme="minorHAnsi" w:hAnsiTheme="minorHAnsi"/>
        </w:rPr>
        <w:t>Blacks</w:t>
      </w:r>
      <w:r w:rsidRPr="00D920C9">
        <w:rPr>
          <w:rFonts w:asciiTheme="minorHAnsi" w:hAnsiTheme="minorHAnsi"/>
        </w:rPr>
        <w:t xml:space="preserve">, Jews, and immigrants. Violent clashes erupted during the events in Charlottesville on August 12, and one </w:t>
      </w:r>
      <w:r w:rsidRPr="00D920C9">
        <w:rPr>
          <w:rFonts w:asciiTheme="minorHAnsi" w:hAnsiTheme="minorHAnsi"/>
        </w:rPr>
        <w:lastRenderedPageBreak/>
        <w:t xml:space="preserve">“Unite the Right” protester drove a car into a crowd of counter-protesters, killing one counter-protester, Heather </w:t>
      </w:r>
      <w:proofErr w:type="spellStart"/>
      <w:r w:rsidRPr="00D920C9">
        <w:rPr>
          <w:rFonts w:asciiTheme="minorHAnsi" w:hAnsiTheme="minorHAnsi"/>
        </w:rPr>
        <w:t>Heyer</w:t>
      </w:r>
      <w:proofErr w:type="spellEnd"/>
      <w:r w:rsidRPr="00D920C9">
        <w:rPr>
          <w:rFonts w:asciiTheme="minorHAnsi" w:hAnsiTheme="minorHAnsi"/>
        </w:rPr>
        <w:t xml:space="preserve">. At least nineteen other counter-protesters were injured, including DeAndre Harris, </w:t>
      </w:r>
      <w:r w:rsidR="00A53AB4" w:rsidRPr="00D920C9">
        <w:rPr>
          <w:rFonts w:asciiTheme="minorHAnsi" w:hAnsiTheme="minorHAnsi"/>
        </w:rPr>
        <w:t xml:space="preserve">an African American man </w:t>
      </w:r>
      <w:r w:rsidRPr="00D920C9">
        <w:rPr>
          <w:rFonts w:asciiTheme="minorHAnsi" w:hAnsiTheme="minorHAnsi"/>
        </w:rPr>
        <w:t>who was violently beaten</w:t>
      </w:r>
      <w:r w:rsidR="00554A51" w:rsidRPr="00D920C9">
        <w:rPr>
          <w:rFonts w:asciiTheme="minorHAnsi" w:hAnsiTheme="minorHAnsi"/>
        </w:rPr>
        <w:t xml:space="preserve"> </w:t>
      </w:r>
      <w:r w:rsidR="00A53AB4" w:rsidRPr="00D920C9">
        <w:rPr>
          <w:rFonts w:asciiTheme="minorHAnsi" w:hAnsiTheme="minorHAnsi"/>
        </w:rPr>
        <w:t xml:space="preserve">by white supremacists </w:t>
      </w:r>
      <w:r w:rsidR="00554A51" w:rsidRPr="00D920C9">
        <w:rPr>
          <w:rFonts w:asciiTheme="minorHAnsi" w:hAnsiTheme="minorHAnsi"/>
        </w:rPr>
        <w:t>while police apparently looked on</w:t>
      </w:r>
      <w:r w:rsidRPr="00D920C9">
        <w:rPr>
          <w:rFonts w:asciiTheme="minorHAnsi" w:hAnsiTheme="minorHAnsi"/>
        </w:rPr>
        <w:t>.</w:t>
      </w:r>
      <w:r w:rsidRPr="00D920C9">
        <w:rPr>
          <w:rStyle w:val="FootnoteReference"/>
          <w:rFonts w:asciiTheme="minorHAnsi" w:hAnsiTheme="minorHAnsi"/>
        </w:rPr>
        <w:footnoteReference w:id="346"/>
      </w:r>
      <w:r w:rsidR="00E65534" w:rsidRPr="00D920C9">
        <w:rPr>
          <w:rFonts w:asciiTheme="minorHAnsi" w:hAnsiTheme="minorHAnsi"/>
        </w:rPr>
        <w:t xml:space="preserve"> Counter-protesters present at the rally and media organizations have since questioned the role of the police at the rally, stating that police stood by while white nationalists beat them, that few were arrested, and that almost none have been convicted to date.</w:t>
      </w:r>
      <w:r w:rsidR="00E65534" w:rsidRPr="00D920C9">
        <w:rPr>
          <w:rStyle w:val="FootnoteReference"/>
          <w:rFonts w:asciiTheme="minorHAnsi" w:hAnsiTheme="minorHAnsi"/>
        </w:rPr>
        <w:footnoteReference w:id="347"/>
      </w:r>
      <w:r w:rsidR="00E65534" w:rsidRPr="00D920C9">
        <w:rPr>
          <w:rFonts w:asciiTheme="minorHAnsi" w:hAnsiTheme="minorHAnsi"/>
        </w:rPr>
        <w:t xml:space="preserve"> The Commission notes that criminal charges have been brought against some of the rally participants accused of the killing and wounding, respectively, of Heather </w:t>
      </w:r>
      <w:proofErr w:type="spellStart"/>
      <w:r w:rsidR="00E65534" w:rsidRPr="00D920C9">
        <w:rPr>
          <w:rFonts w:asciiTheme="minorHAnsi" w:hAnsiTheme="minorHAnsi"/>
        </w:rPr>
        <w:t>Heyer</w:t>
      </w:r>
      <w:proofErr w:type="spellEnd"/>
      <w:r w:rsidR="00E65534" w:rsidRPr="00D920C9">
        <w:rPr>
          <w:rFonts w:asciiTheme="minorHAnsi" w:hAnsiTheme="minorHAnsi"/>
        </w:rPr>
        <w:t xml:space="preserve"> and DeAndre Harris, and </w:t>
      </w:r>
      <w:r w:rsidR="00554A51" w:rsidRPr="00D920C9">
        <w:rPr>
          <w:rFonts w:asciiTheme="minorHAnsi" w:hAnsiTheme="minorHAnsi"/>
        </w:rPr>
        <w:t xml:space="preserve">reiterates </w:t>
      </w:r>
      <w:r w:rsidR="00044406" w:rsidRPr="00D920C9">
        <w:rPr>
          <w:rFonts w:asciiTheme="minorHAnsi" w:hAnsiTheme="minorHAnsi"/>
        </w:rPr>
        <w:t>the need</w:t>
      </w:r>
      <w:r w:rsidR="00E65534" w:rsidRPr="00D920C9">
        <w:rPr>
          <w:rFonts w:asciiTheme="minorHAnsi" w:hAnsiTheme="minorHAnsi"/>
        </w:rPr>
        <w:t xml:space="preserve"> t</w:t>
      </w:r>
      <w:r w:rsidR="00044406" w:rsidRPr="00D920C9">
        <w:rPr>
          <w:rFonts w:asciiTheme="minorHAnsi" w:hAnsiTheme="minorHAnsi"/>
        </w:rPr>
        <w:t xml:space="preserve">o ensure the full investigation, </w:t>
      </w:r>
      <w:r w:rsidR="00E65534" w:rsidRPr="00D920C9">
        <w:rPr>
          <w:rFonts w:asciiTheme="minorHAnsi" w:hAnsiTheme="minorHAnsi"/>
        </w:rPr>
        <w:t xml:space="preserve">prosecution </w:t>
      </w:r>
      <w:r w:rsidR="00044406" w:rsidRPr="00D920C9">
        <w:rPr>
          <w:rFonts w:asciiTheme="minorHAnsi" w:hAnsiTheme="minorHAnsi"/>
        </w:rPr>
        <w:t xml:space="preserve">and, as appropriate, punishment </w:t>
      </w:r>
      <w:r w:rsidR="00E65534" w:rsidRPr="00D920C9">
        <w:rPr>
          <w:rFonts w:asciiTheme="minorHAnsi" w:hAnsiTheme="minorHAnsi"/>
        </w:rPr>
        <w:t>of these events.</w:t>
      </w:r>
      <w:r w:rsidR="00E65534" w:rsidRPr="00D920C9">
        <w:rPr>
          <w:rStyle w:val="FootnoteReference"/>
          <w:rFonts w:asciiTheme="minorHAnsi" w:hAnsiTheme="minorHAnsi"/>
        </w:rPr>
        <w:footnoteReference w:id="348"/>
      </w:r>
      <w:r w:rsidR="003731DE" w:rsidRPr="00D920C9">
        <w:rPr>
          <w:rFonts w:asciiTheme="minorHAnsi" w:hAnsiTheme="minorHAnsi"/>
        </w:rPr>
        <w:t xml:space="preserve">  </w:t>
      </w:r>
    </w:p>
    <w:p w14:paraId="0C231292" w14:textId="77777777" w:rsidR="00E10369" w:rsidRPr="00D920C9" w:rsidRDefault="00E10369"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The Commission further notes that the “Unite the Right” rally was held to protest the city’s plan to remove a Confederate-era monument from the city's former courthouse.</w:t>
      </w:r>
      <w:r w:rsidR="00046663" w:rsidRPr="00D920C9">
        <w:rPr>
          <w:rStyle w:val="FootnoteReference"/>
          <w:rFonts w:asciiTheme="minorHAnsi" w:hAnsiTheme="minorHAnsi"/>
        </w:rPr>
        <w:footnoteReference w:id="349"/>
      </w:r>
      <w:r w:rsidRPr="00D920C9">
        <w:rPr>
          <w:rFonts w:asciiTheme="minorHAnsi" w:hAnsiTheme="minorHAnsi"/>
        </w:rPr>
        <w:t xml:space="preserve"> That monument, like many others located across the country,</w:t>
      </w:r>
      <w:r w:rsidR="00046663" w:rsidRPr="00D920C9">
        <w:rPr>
          <w:rStyle w:val="FootnoteReference"/>
          <w:rFonts w:asciiTheme="minorHAnsi" w:hAnsiTheme="minorHAnsi"/>
        </w:rPr>
        <w:footnoteReference w:id="350"/>
      </w:r>
      <w:r w:rsidRPr="00D920C9">
        <w:rPr>
          <w:rFonts w:asciiTheme="minorHAnsi" w:hAnsiTheme="minorHAnsi"/>
        </w:rPr>
        <w:t xml:space="preserve"> pays tribute to political leaders who were advocates of slavery, perhaps the most serious human rights violation ever perpetrated in the </w:t>
      </w:r>
      <w:r w:rsidR="006D4A9B" w:rsidRPr="00D920C9">
        <w:rPr>
          <w:rFonts w:asciiTheme="minorHAnsi" w:hAnsiTheme="minorHAnsi"/>
        </w:rPr>
        <w:t>U.S</w:t>
      </w:r>
      <w:r w:rsidRPr="00D920C9">
        <w:rPr>
          <w:rFonts w:asciiTheme="minorHAnsi" w:hAnsiTheme="minorHAnsi"/>
        </w:rPr>
        <w:t>. The ongoing disputes over these monuments highlight the State’s incomplete obligation to promote memory, truth and justice for serious human rights violations committed against Afro-descendants in the U.S. Inter-American standards make clear that States must acknowledge serious human rights violations and crimes against humanity, promote the right to truth, and promote proper reparations for victims</w:t>
      </w:r>
      <w:r w:rsidR="004B7C27" w:rsidRPr="00D920C9">
        <w:rPr>
          <w:rFonts w:asciiTheme="minorHAnsi" w:hAnsiTheme="minorHAnsi"/>
        </w:rPr>
        <w:t>, including guaranteeing the non-repetition of violations</w:t>
      </w:r>
      <w:r w:rsidRPr="00D920C9">
        <w:rPr>
          <w:rFonts w:asciiTheme="minorHAnsi" w:hAnsiTheme="minorHAnsi"/>
        </w:rPr>
        <w:t>.</w:t>
      </w:r>
      <w:r w:rsidR="00046663" w:rsidRPr="00D920C9">
        <w:rPr>
          <w:rFonts w:asciiTheme="minorHAnsi" w:hAnsiTheme="minorHAnsi"/>
          <w:vertAlign w:val="superscript"/>
        </w:rPr>
        <w:footnoteReference w:id="351"/>
      </w:r>
      <w:r w:rsidRPr="00D920C9">
        <w:rPr>
          <w:rFonts w:asciiTheme="minorHAnsi" w:hAnsiTheme="minorHAnsi"/>
        </w:rPr>
        <w:t xml:space="preserve"> This includes removing public tributes to those responsible for serious human rights violations, and promoting the memory of the victims, which is also a type of symbolic reparation. </w:t>
      </w:r>
    </w:p>
    <w:p w14:paraId="388C1D8B" w14:textId="77777777" w:rsidR="001C00F6" w:rsidRPr="00D920C9" w:rsidRDefault="001C00F6" w:rsidP="003D7958">
      <w:pPr>
        <w:pStyle w:val="Heading4"/>
        <w:ind w:left="540" w:hanging="540"/>
      </w:pPr>
      <w:bookmarkStart w:id="128" w:name="_Toc511837821"/>
      <w:bookmarkStart w:id="129" w:name="_Toc511902994"/>
      <w:bookmarkStart w:id="130" w:name="_Toc517687924"/>
      <w:r w:rsidRPr="00D920C9">
        <w:lastRenderedPageBreak/>
        <w:t xml:space="preserve">“Stand Your Ground” </w:t>
      </w:r>
      <w:r w:rsidR="0013717A" w:rsidRPr="00D920C9">
        <w:t xml:space="preserve">Laws </w:t>
      </w:r>
      <w:r w:rsidRPr="00D920C9">
        <w:t xml:space="preserve">and </w:t>
      </w:r>
      <w:r w:rsidR="0013717A" w:rsidRPr="00D920C9">
        <w:t xml:space="preserve">Violence </w:t>
      </w:r>
      <w:r w:rsidRPr="00D920C9">
        <w:t xml:space="preserve">by </w:t>
      </w:r>
      <w:r w:rsidR="0013717A" w:rsidRPr="00D920C9">
        <w:t>Private Citizens</w:t>
      </w:r>
      <w:bookmarkEnd w:id="128"/>
      <w:bookmarkEnd w:id="129"/>
      <w:bookmarkEnd w:id="130"/>
    </w:p>
    <w:p w14:paraId="7256214E" w14:textId="77777777" w:rsidR="001C00F6" w:rsidRPr="00D920C9" w:rsidRDefault="001C00F6" w:rsidP="00E86698">
      <w:pPr>
        <w:pStyle w:val="ListParagraph"/>
        <w:numPr>
          <w:ilvl w:val="0"/>
          <w:numId w:val="9"/>
        </w:numPr>
        <w:spacing w:after="240" w:line="240" w:lineRule="auto"/>
        <w:ind w:left="547" w:hanging="547"/>
        <w:contextualSpacing w:val="0"/>
        <w:jc w:val="both"/>
        <w:rPr>
          <w:rFonts w:asciiTheme="minorHAnsi" w:eastAsia="Times New Roman" w:hAnsiTheme="minorHAnsi"/>
          <w:lang w:eastAsia="es-ES"/>
        </w:rPr>
      </w:pPr>
      <w:bookmarkStart w:id="131" w:name="_Ref507167635"/>
      <w:r w:rsidRPr="00D920C9">
        <w:rPr>
          <w:rFonts w:asciiTheme="minorHAnsi" w:hAnsiTheme="minorHAnsi" w:cs="Arial"/>
          <w:lang w:val="en"/>
        </w:rPr>
        <w:t xml:space="preserve">The Commission is concerned by the continued existence of “Stand Your Ground” (SYG) laws, which permit civilians to use deadly force against other civilians in circumstances other than strict self-defense, in at least 29 states of the </w:t>
      </w:r>
      <w:r w:rsidR="00044406" w:rsidRPr="00D920C9">
        <w:rPr>
          <w:rFonts w:asciiTheme="minorHAnsi" w:hAnsiTheme="minorHAnsi" w:cs="Arial"/>
          <w:lang w:val="en"/>
        </w:rPr>
        <w:t>U.S</w:t>
      </w:r>
      <w:r w:rsidRPr="00D920C9">
        <w:rPr>
          <w:rFonts w:asciiTheme="minorHAnsi" w:hAnsiTheme="minorHAnsi" w:cs="Arial"/>
          <w:lang w:val="en"/>
        </w:rPr>
        <w:t xml:space="preserve">. </w:t>
      </w:r>
      <w:r w:rsidRPr="00D920C9">
        <w:rPr>
          <w:rFonts w:asciiTheme="minorHAnsi" w:eastAsia="Times New Roman" w:hAnsiTheme="minorHAnsi"/>
          <w:lang w:eastAsia="es-ES"/>
        </w:rPr>
        <w:t xml:space="preserve">Many </w:t>
      </w:r>
      <w:r w:rsidRPr="00D920C9">
        <w:rPr>
          <w:rFonts w:asciiTheme="minorHAnsi" w:hAnsiTheme="minorHAnsi"/>
        </w:rPr>
        <w:t>state</w:t>
      </w:r>
      <w:r w:rsidRPr="00D920C9">
        <w:rPr>
          <w:rFonts w:asciiTheme="minorHAnsi" w:eastAsia="Times New Roman" w:hAnsiTheme="minorHAnsi"/>
          <w:lang w:eastAsia="es-ES"/>
        </w:rPr>
        <w:t xml:space="preserve"> laws apply an objective and reasonable standard to the exercise of self-defense, which, </w:t>
      </w:r>
      <w:r w:rsidR="00044406" w:rsidRPr="00D920C9">
        <w:rPr>
          <w:rFonts w:asciiTheme="minorHAnsi" w:eastAsia="Times New Roman" w:hAnsiTheme="minorHAnsi"/>
          <w:lang w:eastAsia="es-ES"/>
        </w:rPr>
        <w:t>under</w:t>
      </w:r>
      <w:r w:rsidRPr="00D920C9">
        <w:rPr>
          <w:rFonts w:asciiTheme="minorHAnsi" w:eastAsia="Times New Roman" w:hAnsiTheme="minorHAnsi"/>
          <w:lang w:eastAsia="es-ES"/>
        </w:rPr>
        <w:t xml:space="preserve"> international law, must embrace exceptionality, necessity and proportionality.</w:t>
      </w:r>
      <w:r w:rsidRPr="00D920C9">
        <w:rPr>
          <w:rStyle w:val="FootnoteReference"/>
          <w:rFonts w:asciiTheme="minorHAnsi" w:eastAsia="Times New Roman" w:hAnsiTheme="minorHAnsi"/>
          <w:lang w:eastAsia="es-ES"/>
        </w:rPr>
        <w:footnoteReference w:id="352"/>
      </w:r>
      <w:r w:rsidRPr="00D920C9">
        <w:rPr>
          <w:rFonts w:asciiTheme="minorHAnsi" w:eastAsia="Times New Roman" w:hAnsiTheme="minorHAnsi"/>
          <w:lang w:eastAsia="es-ES"/>
        </w:rPr>
        <w:t xml:space="preserve"> However, states that adopt SYG laws permit an individual to “stand his or her ground” and meet force with force, including deadly force.</w:t>
      </w:r>
      <w:r w:rsidRPr="00D920C9">
        <w:rPr>
          <w:rStyle w:val="FootnoteReference"/>
          <w:rFonts w:asciiTheme="minorHAnsi" w:eastAsia="Times New Roman" w:hAnsiTheme="minorHAnsi"/>
          <w:lang w:eastAsia="es-ES"/>
        </w:rPr>
        <w:footnoteReference w:id="353"/>
      </w:r>
      <w:r w:rsidRPr="00D920C9">
        <w:rPr>
          <w:rFonts w:asciiTheme="minorHAnsi" w:eastAsia="Times New Roman" w:hAnsiTheme="minorHAnsi"/>
          <w:lang w:eastAsia="es-ES"/>
        </w:rPr>
        <w:t xml:space="preserve"> </w:t>
      </w:r>
      <w:r w:rsidRPr="00D920C9">
        <w:rPr>
          <w:rFonts w:asciiTheme="minorHAnsi" w:hAnsiTheme="minorHAnsi"/>
          <w:lang w:val="en"/>
        </w:rPr>
        <w:t>SYG laws generally state that, under certain circumstances outside one’s own home,</w:t>
      </w:r>
      <w:r w:rsidRPr="00D920C9">
        <w:rPr>
          <w:rStyle w:val="FootnoteReference"/>
          <w:rFonts w:asciiTheme="minorHAnsi" w:hAnsiTheme="minorHAnsi"/>
          <w:lang w:val="en"/>
        </w:rPr>
        <w:footnoteReference w:id="354"/>
      </w:r>
      <w:r w:rsidRPr="00D920C9">
        <w:rPr>
          <w:rFonts w:asciiTheme="minorHAnsi" w:hAnsiTheme="minorHAnsi"/>
          <w:lang w:val="en"/>
        </w:rPr>
        <w:t xml:space="preserve"> individuals may use force to defend themselves without first attempting to retreat from the danger. These laws thus authorize individuals to defend themselves using disproportional force that as a result is unjustified, and provide a legal defense to the crime of homicide </w:t>
      </w:r>
      <w:r w:rsidR="00554A51" w:rsidRPr="00D920C9">
        <w:rPr>
          <w:rFonts w:asciiTheme="minorHAnsi" w:hAnsiTheme="minorHAnsi"/>
          <w:lang w:val="en"/>
        </w:rPr>
        <w:t>and</w:t>
      </w:r>
      <w:r w:rsidRPr="00D920C9">
        <w:rPr>
          <w:rFonts w:asciiTheme="minorHAnsi" w:hAnsiTheme="minorHAnsi"/>
          <w:lang w:val="en"/>
        </w:rPr>
        <w:t xml:space="preserve"> to civil liability for homicides.</w:t>
      </w:r>
      <w:bookmarkEnd w:id="131"/>
    </w:p>
    <w:p w14:paraId="6D4895EF" w14:textId="77777777" w:rsidR="001C00F6" w:rsidRPr="00D920C9" w:rsidRDefault="001C00F6" w:rsidP="00E86698">
      <w:pPr>
        <w:pStyle w:val="ListParagraph"/>
        <w:numPr>
          <w:ilvl w:val="0"/>
          <w:numId w:val="9"/>
        </w:numPr>
        <w:spacing w:after="240" w:line="240" w:lineRule="auto"/>
        <w:ind w:left="547" w:hanging="547"/>
        <w:contextualSpacing w:val="0"/>
        <w:jc w:val="both"/>
        <w:rPr>
          <w:rFonts w:asciiTheme="minorHAnsi" w:eastAsia="Times New Roman" w:hAnsiTheme="minorHAnsi"/>
          <w:lang w:eastAsia="es-ES"/>
        </w:rPr>
      </w:pPr>
      <w:r w:rsidRPr="00D920C9">
        <w:rPr>
          <w:rFonts w:asciiTheme="minorHAnsi" w:eastAsia="Times New Roman" w:hAnsiTheme="minorHAnsi"/>
          <w:lang w:eastAsia="es-ES"/>
        </w:rPr>
        <w:t>The Commission has received information indicating a link between the introduction of SYG laws and increases in homicide rates across multiple states.</w:t>
      </w:r>
      <w:r w:rsidRPr="00D920C9">
        <w:rPr>
          <w:rStyle w:val="FootnoteReference"/>
          <w:rFonts w:asciiTheme="minorHAnsi" w:eastAsia="Times New Roman" w:hAnsiTheme="minorHAnsi"/>
          <w:lang w:eastAsia="es-ES"/>
        </w:rPr>
        <w:footnoteReference w:id="355"/>
      </w:r>
      <w:r w:rsidRPr="00D920C9">
        <w:rPr>
          <w:rFonts w:asciiTheme="minorHAnsi" w:eastAsia="Times New Roman" w:hAnsiTheme="minorHAnsi"/>
          <w:lang w:eastAsia="es-ES"/>
        </w:rPr>
        <w:t xml:space="preserve"> </w:t>
      </w:r>
      <w:r w:rsidR="00E5336C" w:rsidRPr="00D920C9">
        <w:rPr>
          <w:rFonts w:asciiTheme="minorHAnsi" w:eastAsia="Times New Roman" w:hAnsiTheme="minorHAnsi"/>
          <w:lang w:eastAsia="es-ES"/>
        </w:rPr>
        <w:t>In</w:t>
      </w:r>
      <w:r w:rsidRPr="00D920C9">
        <w:rPr>
          <w:rFonts w:asciiTheme="minorHAnsi" w:eastAsia="Times New Roman" w:hAnsiTheme="minorHAnsi"/>
          <w:lang w:eastAsia="es-ES"/>
        </w:rPr>
        <w:t xml:space="preserve"> this context, the U</w:t>
      </w:r>
      <w:r w:rsidR="00C45A79" w:rsidRPr="00D920C9">
        <w:rPr>
          <w:rFonts w:asciiTheme="minorHAnsi" w:eastAsia="Times New Roman" w:hAnsiTheme="minorHAnsi"/>
          <w:lang w:eastAsia="es-ES"/>
        </w:rPr>
        <w:t>.</w:t>
      </w:r>
      <w:r w:rsidRPr="00D920C9">
        <w:rPr>
          <w:rFonts w:asciiTheme="minorHAnsi" w:eastAsia="Times New Roman" w:hAnsiTheme="minorHAnsi"/>
          <w:lang w:eastAsia="es-ES"/>
        </w:rPr>
        <w:t>S</w:t>
      </w:r>
      <w:r w:rsidR="00C45A79" w:rsidRPr="00D920C9">
        <w:rPr>
          <w:rFonts w:asciiTheme="minorHAnsi" w:eastAsia="Times New Roman" w:hAnsiTheme="minorHAnsi"/>
          <w:lang w:eastAsia="es-ES"/>
        </w:rPr>
        <w:t>.</w:t>
      </w:r>
      <w:r w:rsidRPr="00D920C9">
        <w:rPr>
          <w:rFonts w:asciiTheme="minorHAnsi" w:eastAsia="Times New Roman" w:hAnsiTheme="minorHAnsi"/>
          <w:lang w:eastAsia="es-ES"/>
        </w:rPr>
        <w:t xml:space="preserve"> Commission on Civil Rights, </w:t>
      </w:r>
      <w:r w:rsidR="00297DCD" w:rsidRPr="00D920C9">
        <w:rPr>
          <w:rFonts w:asciiTheme="minorHAnsi" w:eastAsia="Times New Roman" w:hAnsiTheme="minorHAnsi"/>
          <w:lang w:eastAsia="es-ES"/>
        </w:rPr>
        <w:t>appointed by</w:t>
      </w:r>
      <w:r w:rsidRPr="00D920C9">
        <w:rPr>
          <w:rFonts w:asciiTheme="minorHAnsi" w:eastAsia="Times New Roman" w:hAnsiTheme="minorHAnsi"/>
          <w:lang w:eastAsia="es-ES"/>
        </w:rPr>
        <w:t xml:space="preserve"> Congress, found</w:t>
      </w:r>
      <w:r w:rsidR="00E5336C" w:rsidRPr="00D920C9">
        <w:rPr>
          <w:rFonts w:asciiTheme="minorHAnsi" w:eastAsia="Times New Roman" w:hAnsiTheme="minorHAnsi"/>
          <w:lang w:eastAsia="es-ES"/>
        </w:rPr>
        <w:t xml:space="preserve"> in a study</w:t>
      </w:r>
      <w:r w:rsidRPr="00D920C9">
        <w:rPr>
          <w:rFonts w:asciiTheme="minorHAnsi" w:eastAsia="Times New Roman" w:hAnsiTheme="minorHAnsi"/>
          <w:lang w:eastAsia="es-ES"/>
        </w:rPr>
        <w:t xml:space="preserve"> that SYG statutes benefit Whites more than Blacks, are unnecessary</w:t>
      </w:r>
      <w:r w:rsidR="00554A51" w:rsidRPr="00D920C9">
        <w:rPr>
          <w:rFonts w:asciiTheme="minorHAnsi" w:eastAsia="Times New Roman" w:hAnsiTheme="minorHAnsi"/>
          <w:lang w:eastAsia="es-ES"/>
        </w:rPr>
        <w:t>,</w:t>
      </w:r>
      <w:r w:rsidRPr="00D920C9">
        <w:rPr>
          <w:rFonts w:asciiTheme="minorHAnsi" w:eastAsia="Times New Roman" w:hAnsiTheme="minorHAnsi"/>
          <w:lang w:eastAsia="es-ES"/>
        </w:rPr>
        <w:t xml:space="preserve"> and cause non-white men to live in fear.</w:t>
      </w:r>
      <w:r w:rsidRPr="00D920C9">
        <w:rPr>
          <w:rStyle w:val="FootnoteReference"/>
          <w:rFonts w:asciiTheme="minorHAnsi" w:eastAsia="Times New Roman" w:hAnsiTheme="minorHAnsi"/>
          <w:lang w:eastAsia="es-ES"/>
        </w:rPr>
        <w:footnoteReference w:id="356"/>
      </w:r>
      <w:r w:rsidRPr="00D920C9">
        <w:rPr>
          <w:rFonts w:asciiTheme="minorHAnsi" w:eastAsia="Times New Roman" w:hAnsiTheme="minorHAnsi"/>
          <w:lang w:eastAsia="es-ES"/>
        </w:rPr>
        <w:t xml:space="preserve"> The experts indicated that racially biased application of SYG laws should be attributed to racism and bias already "rampant" in the criminal justice system.</w:t>
      </w:r>
      <w:r w:rsidRPr="00D920C9">
        <w:rPr>
          <w:rStyle w:val="FootnoteReference"/>
          <w:rFonts w:asciiTheme="minorHAnsi" w:eastAsia="Times New Roman" w:hAnsiTheme="minorHAnsi"/>
          <w:lang w:eastAsia="es-ES"/>
        </w:rPr>
        <w:footnoteReference w:id="357"/>
      </w:r>
      <w:r w:rsidRPr="00D920C9">
        <w:rPr>
          <w:rFonts w:asciiTheme="minorHAnsi" w:eastAsia="Times New Roman" w:hAnsiTheme="minorHAnsi"/>
          <w:lang w:eastAsia="es-ES"/>
        </w:rPr>
        <w:t xml:space="preserve"> </w:t>
      </w:r>
    </w:p>
    <w:p w14:paraId="14ACE18C" w14:textId="77777777" w:rsidR="001C00F6" w:rsidRPr="00D920C9" w:rsidRDefault="001C00F6" w:rsidP="00E86698">
      <w:pPr>
        <w:pStyle w:val="ListParagraph"/>
        <w:numPr>
          <w:ilvl w:val="0"/>
          <w:numId w:val="9"/>
        </w:numPr>
        <w:spacing w:after="240" w:line="240" w:lineRule="auto"/>
        <w:ind w:left="547" w:hanging="547"/>
        <w:contextualSpacing w:val="0"/>
        <w:jc w:val="both"/>
        <w:rPr>
          <w:rFonts w:asciiTheme="minorHAnsi" w:eastAsia="Times New Roman" w:hAnsiTheme="minorHAnsi"/>
          <w:lang w:eastAsia="es-ES"/>
        </w:rPr>
      </w:pPr>
      <w:r w:rsidRPr="00D920C9">
        <w:rPr>
          <w:rFonts w:asciiTheme="minorHAnsi" w:eastAsia="Times New Roman" w:hAnsiTheme="minorHAnsi"/>
          <w:lang w:eastAsia="es-ES"/>
        </w:rPr>
        <w:t>The Commission was informed at a</w:t>
      </w:r>
      <w:r w:rsidR="00305744" w:rsidRPr="00D920C9">
        <w:rPr>
          <w:rFonts w:asciiTheme="minorHAnsi" w:eastAsia="Times New Roman" w:hAnsiTheme="minorHAnsi"/>
          <w:lang w:eastAsia="es-ES"/>
        </w:rPr>
        <w:t xml:space="preserve"> 2014</w:t>
      </w:r>
      <w:r w:rsidRPr="00D920C9">
        <w:rPr>
          <w:rFonts w:asciiTheme="minorHAnsi" w:eastAsia="Times New Roman" w:hAnsiTheme="minorHAnsi"/>
          <w:lang w:eastAsia="es-ES"/>
        </w:rPr>
        <w:t xml:space="preserve"> hearing about inconsistent and discriminatory application of SYG laws, and received </w:t>
      </w:r>
      <w:r w:rsidRPr="00D920C9">
        <w:rPr>
          <w:rFonts w:asciiTheme="minorHAnsi" w:hAnsiTheme="minorHAnsi"/>
        </w:rPr>
        <w:t xml:space="preserve">firsthand accounts </w:t>
      </w:r>
      <w:r w:rsidR="00305744" w:rsidRPr="00D920C9">
        <w:rPr>
          <w:rFonts w:asciiTheme="minorHAnsi" w:hAnsiTheme="minorHAnsi"/>
        </w:rPr>
        <w:t>about the</w:t>
      </w:r>
      <w:r w:rsidRPr="00D920C9">
        <w:rPr>
          <w:rFonts w:asciiTheme="minorHAnsi" w:hAnsiTheme="minorHAnsi"/>
        </w:rPr>
        <w:t xml:space="preserve"> impact</w:t>
      </w:r>
      <w:r w:rsidR="00305744" w:rsidRPr="00D920C9">
        <w:rPr>
          <w:rFonts w:asciiTheme="minorHAnsi" w:hAnsiTheme="minorHAnsi"/>
        </w:rPr>
        <w:t xml:space="preserve"> of these laws</w:t>
      </w:r>
      <w:r w:rsidRPr="00D920C9">
        <w:rPr>
          <w:rFonts w:asciiTheme="minorHAnsi" w:hAnsiTheme="minorHAnsi"/>
        </w:rPr>
        <w:t>.</w:t>
      </w:r>
      <w:r w:rsidRPr="00D920C9">
        <w:rPr>
          <w:rFonts w:asciiTheme="minorHAnsi" w:eastAsia="Times New Roman" w:hAnsiTheme="minorHAnsi"/>
          <w:lang w:eastAsia="es-ES"/>
        </w:rPr>
        <w:t xml:space="preserve"> Petitioners argued that these laws </w:t>
      </w:r>
      <w:r w:rsidRPr="00D920C9">
        <w:rPr>
          <w:rFonts w:asciiTheme="minorHAnsi" w:hAnsiTheme="minorHAnsi"/>
        </w:rPr>
        <w:t xml:space="preserve">negatively and disproportionately affect African Americans and other </w:t>
      </w:r>
      <w:r w:rsidR="004B7C27" w:rsidRPr="00D920C9">
        <w:rPr>
          <w:rFonts w:asciiTheme="minorHAnsi" w:hAnsiTheme="minorHAnsi"/>
        </w:rPr>
        <w:lastRenderedPageBreak/>
        <w:t>historically marginalized groups</w:t>
      </w:r>
      <w:r w:rsidRPr="00D920C9">
        <w:rPr>
          <w:rFonts w:asciiTheme="minorHAnsi" w:eastAsia="Times New Roman" w:hAnsiTheme="minorHAnsi"/>
          <w:lang w:eastAsia="es-ES"/>
        </w:rPr>
        <w:t xml:space="preserve"> by legitimizing a “shoot first” mindset that is used against </w:t>
      </w:r>
      <w:r w:rsidR="00297DCD" w:rsidRPr="00D920C9">
        <w:rPr>
          <w:rFonts w:asciiTheme="minorHAnsi" w:eastAsia="Times New Roman" w:hAnsiTheme="minorHAnsi"/>
          <w:lang w:eastAsia="es-ES"/>
        </w:rPr>
        <w:t>black</w:t>
      </w:r>
      <w:r w:rsidRPr="00D920C9">
        <w:rPr>
          <w:rFonts w:asciiTheme="minorHAnsi" w:eastAsia="Times New Roman" w:hAnsiTheme="minorHAnsi"/>
          <w:lang w:eastAsia="es-ES"/>
        </w:rPr>
        <w:t xml:space="preserve"> victims, based on biases and prejudices against them.</w:t>
      </w:r>
      <w:r w:rsidRPr="00D920C9">
        <w:rPr>
          <w:rFonts w:asciiTheme="minorHAnsi" w:hAnsiTheme="minorHAnsi"/>
          <w:vertAlign w:val="superscript"/>
        </w:rPr>
        <w:footnoteReference w:id="358"/>
      </w:r>
      <w:r w:rsidRPr="00D920C9">
        <w:rPr>
          <w:rFonts w:asciiTheme="minorHAnsi" w:hAnsiTheme="minorHAnsi"/>
        </w:rPr>
        <w:t xml:space="preserve"> In this regard, Ron Davis, the father of Jordan Davis, </w:t>
      </w:r>
      <w:r w:rsidR="00297DCD" w:rsidRPr="00D920C9">
        <w:rPr>
          <w:rFonts w:asciiTheme="minorHAnsi" w:hAnsiTheme="minorHAnsi"/>
        </w:rPr>
        <w:t>a black</w:t>
      </w:r>
      <w:r w:rsidRPr="00D920C9">
        <w:rPr>
          <w:rFonts w:asciiTheme="minorHAnsi" w:hAnsiTheme="minorHAnsi"/>
        </w:rPr>
        <w:t xml:space="preserve"> teenager murdered on November 23, 2012 in Jacksonville, Florida,</w:t>
      </w:r>
      <w:r w:rsidR="00297DCD" w:rsidRPr="00D920C9">
        <w:rPr>
          <w:rStyle w:val="FootnoteReference"/>
          <w:rFonts w:asciiTheme="minorHAnsi" w:hAnsiTheme="minorHAnsi"/>
        </w:rPr>
        <w:footnoteReference w:id="359"/>
      </w:r>
      <w:r w:rsidRPr="00D920C9">
        <w:rPr>
          <w:rFonts w:asciiTheme="minorHAnsi" w:hAnsiTheme="minorHAnsi"/>
        </w:rPr>
        <w:t xml:space="preserve"> stated at the hearing:</w:t>
      </w:r>
    </w:p>
    <w:tbl>
      <w:tblPr>
        <w:tblStyle w:val="TableGrid"/>
        <w:tblW w:w="0" w:type="auto"/>
        <w:jc w:val="right"/>
        <w:tblLook w:val="04A0" w:firstRow="1" w:lastRow="0" w:firstColumn="1" w:lastColumn="0" w:noHBand="0" w:noVBand="1"/>
      </w:tblPr>
      <w:tblGrid>
        <w:gridCol w:w="7848"/>
      </w:tblGrid>
      <w:tr w:rsidR="0087747F" w:rsidRPr="00D920C9" w14:paraId="7C23AFD4" w14:textId="77777777" w:rsidTr="0087747F">
        <w:trPr>
          <w:jc w:val="right"/>
        </w:trPr>
        <w:tc>
          <w:tcPr>
            <w:tcW w:w="9029" w:type="dxa"/>
            <w:shd w:val="clear" w:color="auto" w:fill="D9D9D9" w:themeFill="background1" w:themeFillShade="D9"/>
          </w:tcPr>
          <w:p w14:paraId="39F4B72B" w14:textId="3AE0AA8E" w:rsidR="0087747F" w:rsidRPr="00D920C9" w:rsidRDefault="0087747F" w:rsidP="001167CB">
            <w:pPr>
              <w:pStyle w:val="ListParagraph"/>
              <w:spacing w:after="240" w:line="240" w:lineRule="auto"/>
              <w:ind w:left="288" w:right="288"/>
              <w:contextualSpacing w:val="0"/>
              <w:jc w:val="both"/>
              <w:rPr>
                <w:rFonts w:asciiTheme="minorHAnsi" w:hAnsiTheme="minorHAnsi"/>
              </w:rPr>
            </w:pPr>
            <w:r w:rsidRPr="00D920C9">
              <w:rPr>
                <w:rFonts w:asciiTheme="minorHAnsi" w:hAnsiTheme="minorHAnsi"/>
              </w:rPr>
              <w:br/>
              <w:t>These laws take into account the fears of other people and the biases of other people over the life of your unarmed child or loved one. It is what they think you have, you don’t have to have a weapon as long as I think you having a weapon then it is reasonable to the shooter and that is all they have to prove [...] We all have certain biases. [...] Maybe you don’t have African American friends, Hispanic friends, so you might have a bias in your mind, [when you walk down the street and you see people of color hanging out on the corner] you have a little bias that [says] you know, “maybe I should cross the street.” [...] You don’t allow, however, your citizens to take guns out and shoot people and kill people based on these biases, based on these fears.</w:t>
            </w:r>
            <w:r w:rsidRPr="00D920C9">
              <w:rPr>
                <w:rStyle w:val="FootnoteReference"/>
                <w:rFonts w:asciiTheme="minorHAnsi" w:hAnsiTheme="minorHAnsi"/>
              </w:rPr>
              <w:footnoteReference w:id="360"/>
            </w:r>
          </w:p>
        </w:tc>
      </w:tr>
    </w:tbl>
    <w:p w14:paraId="2240DAD4" w14:textId="77777777" w:rsidR="0087747F" w:rsidRPr="00D920C9" w:rsidRDefault="0087747F" w:rsidP="0087747F">
      <w:pPr>
        <w:spacing w:after="0" w:line="240" w:lineRule="auto"/>
        <w:jc w:val="both"/>
        <w:rPr>
          <w:rFonts w:asciiTheme="minorHAnsi" w:eastAsia="Times New Roman" w:hAnsiTheme="minorHAnsi"/>
          <w:lang w:eastAsia="es-ES"/>
        </w:rPr>
      </w:pPr>
    </w:p>
    <w:p w14:paraId="32069F4C" w14:textId="77777777" w:rsidR="001C00F6" w:rsidRPr="00D920C9" w:rsidRDefault="001C00F6" w:rsidP="00E86698">
      <w:pPr>
        <w:pStyle w:val="ListParagraph"/>
        <w:numPr>
          <w:ilvl w:val="0"/>
          <w:numId w:val="9"/>
        </w:numPr>
        <w:spacing w:after="240" w:line="240" w:lineRule="auto"/>
        <w:ind w:left="547" w:hanging="547"/>
        <w:contextualSpacing w:val="0"/>
        <w:jc w:val="both"/>
        <w:rPr>
          <w:rFonts w:asciiTheme="minorHAnsi" w:eastAsia="Times New Roman" w:hAnsiTheme="minorHAnsi"/>
        </w:rPr>
      </w:pPr>
      <w:r w:rsidRPr="00D920C9">
        <w:rPr>
          <w:rFonts w:asciiTheme="minorHAnsi" w:hAnsiTheme="minorHAnsi"/>
        </w:rPr>
        <w:t>Sabrina Fulton, mother of Trayvon Martin,</w:t>
      </w:r>
      <w:r w:rsidR="00297DCD" w:rsidRPr="00D920C9">
        <w:rPr>
          <w:rStyle w:val="FootnoteReference"/>
          <w:rFonts w:asciiTheme="minorHAnsi" w:hAnsiTheme="minorHAnsi"/>
        </w:rPr>
        <w:footnoteReference w:id="361"/>
      </w:r>
      <w:r w:rsidRPr="00D920C9">
        <w:rPr>
          <w:rFonts w:asciiTheme="minorHAnsi" w:hAnsiTheme="minorHAnsi"/>
        </w:rPr>
        <w:t xml:space="preserve"> stated at the hearing:</w:t>
      </w:r>
    </w:p>
    <w:tbl>
      <w:tblPr>
        <w:tblStyle w:val="TableGrid"/>
        <w:tblW w:w="0" w:type="auto"/>
        <w:jc w:val="right"/>
        <w:tblLook w:val="04A0" w:firstRow="1" w:lastRow="0" w:firstColumn="1" w:lastColumn="0" w:noHBand="0" w:noVBand="1"/>
      </w:tblPr>
      <w:tblGrid>
        <w:gridCol w:w="7848"/>
      </w:tblGrid>
      <w:tr w:rsidR="0087747F" w:rsidRPr="00D920C9" w14:paraId="15C9E443" w14:textId="77777777" w:rsidTr="00A70C45">
        <w:trPr>
          <w:jc w:val="right"/>
        </w:trPr>
        <w:tc>
          <w:tcPr>
            <w:tcW w:w="9029" w:type="dxa"/>
            <w:shd w:val="clear" w:color="auto" w:fill="D9D9D9" w:themeFill="background1" w:themeFillShade="D9"/>
          </w:tcPr>
          <w:p w14:paraId="0777B0E5" w14:textId="0D135C6D" w:rsidR="0087747F" w:rsidRPr="00D920C9" w:rsidRDefault="00A70C45" w:rsidP="001167CB">
            <w:pPr>
              <w:pStyle w:val="ListParagraph"/>
              <w:spacing w:after="240" w:line="240" w:lineRule="auto"/>
              <w:ind w:left="288" w:right="288"/>
              <w:contextualSpacing w:val="0"/>
              <w:jc w:val="both"/>
              <w:rPr>
                <w:rFonts w:asciiTheme="minorHAnsi" w:eastAsia="Times New Roman" w:hAnsiTheme="minorHAnsi"/>
              </w:rPr>
            </w:pPr>
            <w:r w:rsidRPr="00D920C9">
              <w:rPr>
                <w:rFonts w:asciiTheme="minorHAnsi" w:hAnsiTheme="minorHAnsi"/>
              </w:rPr>
              <w:br/>
              <w:t xml:space="preserve">It is very difficult as a parent to relate to a law that gives a person with a gun so much authority [...] When a 17-year-old child is in a gated community simply walking from the store, with no weapon, only a drink and candy, and is in danger, that poses a problem for me as a mother and should pose a problem for other mothers and fathers as well. What this law is saying to us is that there is nothing we can tell our teenagers now. How many of our teenagers walk home from the store, from the park, from the school and have to worry now about someone perceiving them to be a criminal? [...] So I stand and hopefully I am the voice of many of those concerned parents that say this has to stop, this gun violence has to stop, </w:t>
            </w:r>
            <w:r w:rsidR="0004388D">
              <w:rPr>
                <w:rFonts w:asciiTheme="minorHAnsi" w:hAnsiTheme="minorHAnsi"/>
              </w:rPr>
              <w:br/>
            </w:r>
            <w:r w:rsidR="0004388D">
              <w:rPr>
                <w:rFonts w:asciiTheme="minorHAnsi" w:hAnsiTheme="minorHAnsi"/>
              </w:rPr>
              <w:br/>
            </w:r>
            <w:r w:rsidRPr="00D920C9">
              <w:rPr>
                <w:rFonts w:asciiTheme="minorHAnsi" w:hAnsiTheme="minorHAnsi"/>
              </w:rPr>
              <w:lastRenderedPageBreak/>
              <w:t>this method of ‘let’s shoot first and ask questions later’ has to stop [...] There has to be a better way.”</w:t>
            </w:r>
            <w:r w:rsidRPr="00D920C9">
              <w:rPr>
                <w:rStyle w:val="FootnoteReference"/>
                <w:rFonts w:asciiTheme="minorHAnsi" w:hAnsiTheme="minorHAnsi"/>
              </w:rPr>
              <w:footnoteReference w:id="362"/>
            </w:r>
          </w:p>
        </w:tc>
      </w:tr>
    </w:tbl>
    <w:p w14:paraId="03F1D8F7" w14:textId="77777777" w:rsidR="0087747F" w:rsidRPr="00D920C9" w:rsidRDefault="0087747F" w:rsidP="0087747F">
      <w:pPr>
        <w:spacing w:after="0" w:line="240" w:lineRule="auto"/>
        <w:jc w:val="both"/>
        <w:rPr>
          <w:rFonts w:asciiTheme="minorHAnsi" w:eastAsia="Times New Roman" w:hAnsiTheme="minorHAnsi"/>
        </w:rPr>
      </w:pPr>
    </w:p>
    <w:p w14:paraId="5459F26F" w14:textId="77777777" w:rsidR="001C00F6" w:rsidRPr="00D920C9" w:rsidRDefault="001C00F6" w:rsidP="00E86698">
      <w:pPr>
        <w:pStyle w:val="ListParagraph"/>
        <w:numPr>
          <w:ilvl w:val="0"/>
          <w:numId w:val="9"/>
        </w:numPr>
        <w:spacing w:after="240" w:line="240" w:lineRule="auto"/>
        <w:ind w:left="547" w:hanging="547"/>
        <w:contextualSpacing w:val="0"/>
        <w:jc w:val="both"/>
        <w:rPr>
          <w:rFonts w:asciiTheme="minorHAnsi" w:eastAsia="Times New Roman" w:hAnsiTheme="minorHAnsi"/>
        </w:rPr>
      </w:pPr>
      <w:r w:rsidRPr="00D920C9">
        <w:rPr>
          <w:rFonts w:asciiTheme="minorHAnsi" w:eastAsia="Times New Roman" w:hAnsiTheme="minorHAnsi"/>
        </w:rPr>
        <w:t>The Commission received concerning information about apparent different application of SYG laws to white men and black women. In particular, Marissa Alexander</w:t>
      </w:r>
      <w:r w:rsidR="00297DCD" w:rsidRPr="00D920C9">
        <w:rPr>
          <w:rFonts w:asciiTheme="minorHAnsi" w:eastAsia="Times New Roman" w:hAnsiTheme="minorHAnsi"/>
        </w:rPr>
        <w:t>’s case</w:t>
      </w:r>
      <w:r w:rsidRPr="00D920C9">
        <w:rPr>
          <w:rFonts w:asciiTheme="minorHAnsi" w:eastAsia="Times New Roman" w:hAnsiTheme="minorHAnsi"/>
        </w:rPr>
        <w:t xml:space="preserve"> was brought to the Commission’s attention. Alexander was convicted for firing a warning shot at her husband</w:t>
      </w:r>
      <w:r w:rsidR="00CD4F86" w:rsidRPr="00D920C9">
        <w:rPr>
          <w:rFonts w:asciiTheme="minorHAnsi" w:eastAsia="Times New Roman" w:hAnsiTheme="minorHAnsi"/>
        </w:rPr>
        <w:t>, who</w:t>
      </w:r>
      <w:r w:rsidRPr="00D920C9">
        <w:rPr>
          <w:rFonts w:asciiTheme="minorHAnsi" w:eastAsia="Times New Roman" w:hAnsiTheme="minorHAnsi"/>
        </w:rPr>
        <w:t xml:space="preserve"> had threatened her nine days after giving birth to their child</w:t>
      </w:r>
      <w:r w:rsidR="00CD4F86" w:rsidRPr="00D920C9">
        <w:rPr>
          <w:rFonts w:asciiTheme="minorHAnsi" w:eastAsia="Times New Roman" w:hAnsiTheme="minorHAnsi"/>
        </w:rPr>
        <w:t>, inside their home</w:t>
      </w:r>
      <w:r w:rsidRPr="00D920C9">
        <w:rPr>
          <w:rFonts w:asciiTheme="minorHAnsi" w:eastAsia="Times New Roman" w:hAnsiTheme="minorHAnsi"/>
        </w:rPr>
        <w:t xml:space="preserve">. After the judge rejected her </w:t>
      </w:r>
      <w:r w:rsidRPr="00D920C9">
        <w:rPr>
          <w:rFonts w:asciiTheme="minorHAnsi" w:hAnsiTheme="minorHAnsi"/>
        </w:rPr>
        <w:t>invocation</w:t>
      </w:r>
      <w:r w:rsidRPr="00D920C9">
        <w:rPr>
          <w:rFonts w:asciiTheme="minorHAnsi" w:eastAsia="Times New Roman" w:hAnsiTheme="minorHAnsi"/>
        </w:rPr>
        <w:t xml:space="preserve"> of the </w:t>
      </w:r>
      <w:r w:rsidR="00CD4F86" w:rsidRPr="00D920C9">
        <w:rPr>
          <w:rFonts w:asciiTheme="minorHAnsi" w:eastAsia="Times New Roman" w:hAnsiTheme="minorHAnsi"/>
        </w:rPr>
        <w:t>SYG</w:t>
      </w:r>
      <w:r w:rsidRPr="00D920C9">
        <w:rPr>
          <w:rFonts w:asciiTheme="minorHAnsi" w:eastAsia="Times New Roman" w:hAnsiTheme="minorHAnsi"/>
        </w:rPr>
        <w:t xml:space="preserve"> defense, she was initially sentenced to 20 years in prison under a Florida mandatory sentencing law. The rejection of the SYG defense in her case was widely denounced by civil society as discriminatory, as “Black women are often characterized in court proceedings as aggressive, emasculating, and incapable of being victimized.”</w:t>
      </w:r>
      <w:r w:rsidRPr="00D920C9">
        <w:rPr>
          <w:rStyle w:val="FootnoteReference"/>
          <w:rFonts w:asciiTheme="minorHAnsi" w:eastAsia="Times New Roman" w:hAnsiTheme="minorHAnsi"/>
        </w:rPr>
        <w:footnoteReference w:id="363"/>
      </w:r>
      <w:r w:rsidRPr="00D920C9">
        <w:rPr>
          <w:rFonts w:asciiTheme="minorHAnsi" w:eastAsia="Times New Roman" w:hAnsiTheme="minorHAnsi"/>
        </w:rPr>
        <w:t xml:space="preserve"> Alexander’s initial conviction was ultimately overturned and she was released from supervision in 2017.</w:t>
      </w:r>
      <w:r w:rsidRPr="00D920C9">
        <w:rPr>
          <w:rStyle w:val="FootnoteReference"/>
          <w:rFonts w:asciiTheme="minorHAnsi" w:eastAsia="Times New Roman" w:hAnsiTheme="minorHAnsi"/>
        </w:rPr>
        <w:footnoteReference w:id="364"/>
      </w:r>
    </w:p>
    <w:p w14:paraId="19B68171" w14:textId="77777777" w:rsidR="001C00F6" w:rsidRPr="00D920C9" w:rsidRDefault="001C00F6" w:rsidP="00E86698">
      <w:pPr>
        <w:pStyle w:val="ListParagraph"/>
        <w:numPr>
          <w:ilvl w:val="0"/>
          <w:numId w:val="9"/>
        </w:numPr>
        <w:spacing w:after="240" w:line="240" w:lineRule="auto"/>
        <w:ind w:left="547" w:hanging="547"/>
        <w:contextualSpacing w:val="0"/>
        <w:jc w:val="both"/>
        <w:rPr>
          <w:rFonts w:asciiTheme="minorHAnsi" w:eastAsia="Times New Roman" w:hAnsiTheme="minorHAnsi"/>
        </w:rPr>
      </w:pPr>
      <w:r w:rsidRPr="00D920C9">
        <w:rPr>
          <w:rFonts w:asciiTheme="minorHAnsi" w:eastAsia="Times New Roman" w:hAnsiTheme="minorHAnsi"/>
          <w:lang w:eastAsia="es-ES"/>
        </w:rPr>
        <w:t>The Commission received additional i</w:t>
      </w:r>
      <w:r w:rsidR="00E5336C" w:rsidRPr="00D920C9">
        <w:rPr>
          <w:rFonts w:asciiTheme="minorHAnsi" w:eastAsia="Times New Roman" w:hAnsiTheme="minorHAnsi"/>
          <w:lang w:eastAsia="es-ES"/>
        </w:rPr>
        <w:t xml:space="preserve">nformation about the inconsistent and discriminatory application of SYG laws </w:t>
      </w:r>
      <w:r w:rsidR="00E5336C" w:rsidRPr="00D920C9">
        <w:rPr>
          <w:rFonts w:asciiTheme="minorHAnsi" w:hAnsiTheme="minorHAnsi"/>
        </w:rPr>
        <w:t>during</w:t>
      </w:r>
      <w:r w:rsidR="00E5336C" w:rsidRPr="00D920C9">
        <w:rPr>
          <w:rFonts w:asciiTheme="minorHAnsi" w:eastAsia="Times New Roman" w:hAnsiTheme="minorHAnsi"/>
          <w:lang w:eastAsia="es-ES"/>
        </w:rPr>
        <w:t xml:space="preserve"> its 2015 visit to</w:t>
      </w:r>
      <w:r w:rsidRPr="00D920C9">
        <w:rPr>
          <w:rFonts w:asciiTheme="minorHAnsi" w:eastAsia="Times New Roman" w:hAnsiTheme="minorHAnsi"/>
          <w:lang w:eastAsia="es-ES"/>
        </w:rPr>
        <w:t xml:space="preserve"> Orlando and Sanford, Florida.</w:t>
      </w:r>
      <w:r w:rsidRPr="00D920C9">
        <w:rPr>
          <w:rStyle w:val="FootnoteReference"/>
          <w:rFonts w:asciiTheme="minorHAnsi" w:eastAsia="Times New Roman" w:hAnsiTheme="minorHAnsi"/>
          <w:lang w:eastAsia="es-ES"/>
        </w:rPr>
        <w:footnoteReference w:id="365"/>
      </w:r>
      <w:r w:rsidRPr="00D920C9">
        <w:rPr>
          <w:rFonts w:asciiTheme="minorHAnsi" w:eastAsia="Times New Roman" w:hAnsiTheme="minorHAnsi"/>
          <w:lang w:eastAsia="es-ES"/>
        </w:rPr>
        <w:t xml:space="preserve"> </w:t>
      </w:r>
      <w:r w:rsidR="00297DCD" w:rsidRPr="00D920C9">
        <w:rPr>
          <w:rFonts w:asciiTheme="minorHAnsi" w:eastAsia="Times New Roman" w:hAnsiTheme="minorHAnsi"/>
          <w:lang w:eastAsia="es-ES"/>
        </w:rPr>
        <w:t xml:space="preserve">In light of the </w:t>
      </w:r>
      <w:r w:rsidR="00E5336C" w:rsidRPr="00D920C9">
        <w:rPr>
          <w:rFonts w:asciiTheme="minorHAnsi" w:eastAsia="Times New Roman" w:hAnsiTheme="minorHAnsi"/>
          <w:lang w:eastAsia="es-ES"/>
        </w:rPr>
        <w:t>information addressed above</w:t>
      </w:r>
      <w:r w:rsidR="00297DCD" w:rsidRPr="00D920C9">
        <w:rPr>
          <w:rFonts w:asciiTheme="minorHAnsi" w:eastAsia="Times New Roman" w:hAnsiTheme="minorHAnsi"/>
          <w:lang w:eastAsia="es-ES"/>
        </w:rPr>
        <w:t xml:space="preserve">, the Commission </w:t>
      </w:r>
      <w:r w:rsidR="00E5336C" w:rsidRPr="00D920C9">
        <w:rPr>
          <w:rFonts w:asciiTheme="minorHAnsi" w:eastAsia="Times New Roman" w:hAnsiTheme="minorHAnsi"/>
          <w:lang w:eastAsia="es-ES"/>
        </w:rPr>
        <w:t>calls for the</w:t>
      </w:r>
      <w:r w:rsidR="00297DCD" w:rsidRPr="00D920C9">
        <w:rPr>
          <w:rFonts w:asciiTheme="minorHAnsi" w:eastAsia="Times New Roman" w:hAnsiTheme="minorHAnsi"/>
          <w:lang w:eastAsia="es-ES"/>
        </w:rPr>
        <w:t xml:space="preserve"> revis</w:t>
      </w:r>
      <w:r w:rsidR="00E5336C" w:rsidRPr="00D920C9">
        <w:rPr>
          <w:rFonts w:asciiTheme="minorHAnsi" w:eastAsia="Times New Roman" w:hAnsiTheme="minorHAnsi"/>
          <w:lang w:eastAsia="es-ES"/>
        </w:rPr>
        <w:t>ion</w:t>
      </w:r>
      <w:r w:rsidR="00297DCD" w:rsidRPr="00D920C9">
        <w:rPr>
          <w:rFonts w:asciiTheme="minorHAnsi" w:eastAsia="Times New Roman" w:hAnsiTheme="minorHAnsi"/>
          <w:lang w:eastAsia="es-ES"/>
        </w:rPr>
        <w:t xml:space="preserve"> Stand Your Ground laws and eliminat</w:t>
      </w:r>
      <w:r w:rsidR="00E5336C" w:rsidRPr="00D920C9">
        <w:rPr>
          <w:rFonts w:asciiTheme="minorHAnsi" w:eastAsia="Times New Roman" w:hAnsiTheme="minorHAnsi"/>
          <w:lang w:eastAsia="es-ES"/>
        </w:rPr>
        <w:t>ion of</w:t>
      </w:r>
      <w:r w:rsidR="00297DCD" w:rsidRPr="00D920C9">
        <w:rPr>
          <w:rFonts w:asciiTheme="minorHAnsi" w:eastAsia="Times New Roman" w:hAnsiTheme="minorHAnsi"/>
          <w:lang w:eastAsia="es-ES"/>
        </w:rPr>
        <w:t xml:space="preserve"> racial bias in legal proceedings.</w:t>
      </w:r>
      <w:r w:rsidR="00297DCD" w:rsidRPr="00D920C9">
        <w:rPr>
          <w:rStyle w:val="FootnoteReference"/>
          <w:rFonts w:asciiTheme="minorHAnsi" w:eastAsia="Times New Roman" w:hAnsiTheme="minorHAnsi"/>
          <w:lang w:eastAsia="es-ES"/>
        </w:rPr>
        <w:footnoteReference w:id="366"/>
      </w:r>
    </w:p>
    <w:p w14:paraId="09907BDC" w14:textId="77777777" w:rsidR="009F3240" w:rsidRPr="00D920C9" w:rsidRDefault="009F3240" w:rsidP="003D7958">
      <w:pPr>
        <w:pStyle w:val="Heading4"/>
        <w:ind w:left="540" w:hanging="540"/>
      </w:pPr>
      <w:bookmarkStart w:id="132" w:name="_Toc511837822"/>
      <w:bookmarkStart w:id="133" w:name="_Toc511902995"/>
      <w:bookmarkStart w:id="134" w:name="_Toc517687925"/>
      <w:r w:rsidRPr="00D920C9">
        <w:t xml:space="preserve">Intersectional </w:t>
      </w:r>
      <w:r w:rsidR="0013717A" w:rsidRPr="00D920C9">
        <w:t>Discrimination</w:t>
      </w:r>
      <w:r w:rsidRPr="00D920C9">
        <w:t xml:space="preserve">: </w:t>
      </w:r>
      <w:r w:rsidR="0013717A" w:rsidRPr="00D920C9">
        <w:t>Women</w:t>
      </w:r>
      <w:r w:rsidRPr="00D920C9">
        <w:t xml:space="preserve">, </w:t>
      </w:r>
      <w:r w:rsidR="0013717A" w:rsidRPr="00D920C9">
        <w:t xml:space="preserve">Persons </w:t>
      </w:r>
      <w:r w:rsidRPr="00D920C9">
        <w:t xml:space="preserve">with </w:t>
      </w:r>
      <w:r w:rsidR="0013717A" w:rsidRPr="00D920C9">
        <w:t>Disabilities</w:t>
      </w:r>
      <w:r w:rsidRPr="00D920C9">
        <w:t xml:space="preserve">, and LGBTI </w:t>
      </w:r>
      <w:r w:rsidR="0013717A" w:rsidRPr="00D920C9">
        <w:t>Persons</w:t>
      </w:r>
      <w:bookmarkEnd w:id="132"/>
      <w:bookmarkEnd w:id="133"/>
      <w:bookmarkEnd w:id="134"/>
    </w:p>
    <w:p w14:paraId="06EC560E" w14:textId="77777777" w:rsidR="009F3240" w:rsidRPr="00D920C9" w:rsidRDefault="009F3240" w:rsidP="00E86698">
      <w:pPr>
        <w:pStyle w:val="ListParagraph"/>
        <w:numPr>
          <w:ilvl w:val="0"/>
          <w:numId w:val="9"/>
        </w:numPr>
        <w:spacing w:after="240" w:line="240" w:lineRule="auto"/>
        <w:ind w:left="547" w:hanging="547"/>
        <w:contextualSpacing w:val="0"/>
        <w:jc w:val="both"/>
        <w:rPr>
          <w:rFonts w:asciiTheme="minorHAnsi" w:hAnsiTheme="minorHAnsi"/>
          <w:bCs/>
        </w:rPr>
      </w:pPr>
      <w:r w:rsidRPr="00D920C9">
        <w:rPr>
          <w:rFonts w:asciiTheme="minorHAnsi" w:hAnsiTheme="minorHAnsi"/>
          <w:bCs/>
        </w:rPr>
        <w:t>The Commission recalls that discrimination on the basis of race is inseparable from and may be aggravated by discrimination on the basis of other aspects of identity. In</w:t>
      </w:r>
      <w:r w:rsidR="00C11EFB" w:rsidRPr="00D920C9">
        <w:rPr>
          <w:rFonts w:asciiTheme="minorHAnsi" w:hAnsiTheme="minorHAnsi"/>
          <w:bCs/>
        </w:rPr>
        <w:t xml:space="preserve"> the context of police violence</w:t>
      </w:r>
      <w:r w:rsidR="00762508" w:rsidRPr="00D920C9">
        <w:rPr>
          <w:rFonts w:asciiTheme="minorHAnsi" w:hAnsiTheme="minorHAnsi"/>
          <w:bCs/>
        </w:rPr>
        <w:t xml:space="preserve">, the Commission has received substantial information indicating that factors including gender, disability (in particular mental illness), situation of homelessness, </w:t>
      </w:r>
      <w:r w:rsidR="000E7B9C" w:rsidRPr="00D920C9">
        <w:rPr>
          <w:rFonts w:asciiTheme="minorHAnsi" w:hAnsiTheme="minorHAnsi"/>
          <w:bCs/>
        </w:rPr>
        <w:t xml:space="preserve">age, </w:t>
      </w:r>
      <w:r w:rsidR="00762508" w:rsidRPr="00D920C9">
        <w:rPr>
          <w:rFonts w:asciiTheme="minorHAnsi" w:hAnsiTheme="minorHAnsi"/>
          <w:bCs/>
        </w:rPr>
        <w:t xml:space="preserve">and LGBTI </w:t>
      </w:r>
      <w:r w:rsidR="0086378B" w:rsidRPr="00D920C9">
        <w:rPr>
          <w:rFonts w:asciiTheme="minorHAnsi" w:hAnsiTheme="minorHAnsi"/>
          <w:bCs/>
        </w:rPr>
        <w:t>identity</w:t>
      </w:r>
      <w:r w:rsidRPr="00D920C9">
        <w:rPr>
          <w:rFonts w:asciiTheme="minorHAnsi" w:hAnsiTheme="minorHAnsi"/>
          <w:bCs/>
        </w:rPr>
        <w:t>, may have</w:t>
      </w:r>
      <w:r w:rsidR="00762508" w:rsidRPr="00D920C9">
        <w:rPr>
          <w:rFonts w:asciiTheme="minorHAnsi" w:hAnsiTheme="minorHAnsi"/>
          <w:bCs/>
        </w:rPr>
        <w:t xml:space="preserve"> a differential impact</w:t>
      </w:r>
      <w:r w:rsidRPr="00D920C9">
        <w:rPr>
          <w:rFonts w:asciiTheme="minorHAnsi" w:hAnsiTheme="minorHAnsi"/>
          <w:bCs/>
        </w:rPr>
        <w:t xml:space="preserve"> on a person’s interaction with law enforcement and the justice system.</w:t>
      </w:r>
    </w:p>
    <w:p w14:paraId="33AE143A" w14:textId="77777777" w:rsidR="00762508" w:rsidRPr="00D920C9" w:rsidRDefault="00C86DEC" w:rsidP="00E86698">
      <w:pPr>
        <w:pStyle w:val="ListParagraph"/>
        <w:numPr>
          <w:ilvl w:val="0"/>
          <w:numId w:val="9"/>
        </w:numPr>
        <w:spacing w:after="240" w:line="240" w:lineRule="auto"/>
        <w:ind w:left="547" w:hanging="547"/>
        <w:contextualSpacing w:val="0"/>
        <w:jc w:val="both"/>
        <w:rPr>
          <w:rFonts w:asciiTheme="minorHAnsi" w:hAnsiTheme="minorHAnsi"/>
          <w:bCs/>
        </w:rPr>
      </w:pPr>
      <w:r w:rsidRPr="00D920C9">
        <w:rPr>
          <w:rFonts w:asciiTheme="minorHAnsi" w:hAnsiTheme="minorHAnsi"/>
          <w:bCs/>
        </w:rPr>
        <w:t xml:space="preserve">As regards gender, the Commission notes that information indicating the differential impact of discrimination in policing </w:t>
      </w:r>
      <w:r w:rsidRPr="00D920C9">
        <w:rPr>
          <w:rFonts w:asciiTheme="minorHAnsi" w:hAnsiTheme="minorHAnsi"/>
        </w:rPr>
        <w:t>and</w:t>
      </w:r>
      <w:r w:rsidRPr="00D920C9">
        <w:rPr>
          <w:rFonts w:asciiTheme="minorHAnsi" w:hAnsiTheme="minorHAnsi"/>
          <w:bCs/>
        </w:rPr>
        <w:t xml:space="preserve"> the justice system on </w:t>
      </w:r>
      <w:r w:rsidRPr="00D920C9">
        <w:rPr>
          <w:rFonts w:asciiTheme="minorHAnsi" w:hAnsiTheme="minorHAnsi"/>
          <w:bCs/>
        </w:rPr>
        <w:lastRenderedPageBreak/>
        <w:t xml:space="preserve">women. </w:t>
      </w:r>
      <w:r w:rsidR="00B74EEE" w:rsidRPr="00D920C9">
        <w:rPr>
          <w:rFonts w:asciiTheme="minorHAnsi" w:hAnsiTheme="minorHAnsi"/>
          <w:bCs/>
        </w:rPr>
        <w:t xml:space="preserve">In addition to being victims of police brutality and killings, they are also disproportionately affected by sexual violence perpetrated by police officers, and </w:t>
      </w:r>
      <w:r w:rsidR="00B74EEE" w:rsidRPr="00D920C9">
        <w:rPr>
          <w:rFonts w:asciiTheme="minorHAnsi" w:hAnsiTheme="minorHAnsi"/>
        </w:rPr>
        <w:t>experience harassment and barriers to justice for family members who are victims of police violence.</w:t>
      </w:r>
      <w:r w:rsidRPr="00D920C9">
        <w:rPr>
          <w:rStyle w:val="FootnoteReference"/>
          <w:rFonts w:asciiTheme="minorHAnsi" w:hAnsiTheme="minorHAnsi"/>
        </w:rPr>
        <w:footnoteReference w:id="367"/>
      </w:r>
      <w:r w:rsidRPr="00D920C9">
        <w:rPr>
          <w:rFonts w:asciiTheme="minorHAnsi" w:hAnsiTheme="minorHAnsi"/>
        </w:rPr>
        <w:t xml:space="preserve"> </w:t>
      </w:r>
      <w:r w:rsidR="00762508" w:rsidRPr="00D920C9">
        <w:rPr>
          <w:rFonts w:asciiTheme="minorHAnsi" w:hAnsiTheme="minorHAnsi"/>
          <w:bCs/>
        </w:rPr>
        <w:t xml:space="preserve">During its 2015 visit to New Orleans, Louisiana, the </w:t>
      </w:r>
      <w:r w:rsidRPr="00D920C9">
        <w:rPr>
          <w:rFonts w:asciiTheme="minorHAnsi" w:hAnsiTheme="minorHAnsi"/>
          <w:bCs/>
        </w:rPr>
        <w:t>Commission</w:t>
      </w:r>
      <w:r w:rsidR="00762508" w:rsidRPr="00D920C9">
        <w:rPr>
          <w:rFonts w:asciiTheme="minorHAnsi" w:hAnsiTheme="minorHAnsi"/>
          <w:bCs/>
        </w:rPr>
        <w:t xml:space="preserve"> was also informed </w:t>
      </w:r>
      <w:r w:rsidRPr="00D920C9">
        <w:rPr>
          <w:rFonts w:asciiTheme="minorHAnsi" w:hAnsiTheme="minorHAnsi"/>
          <w:bCs/>
        </w:rPr>
        <w:t>about</w:t>
      </w:r>
      <w:r w:rsidR="00762508" w:rsidRPr="00D920C9">
        <w:rPr>
          <w:rFonts w:asciiTheme="minorHAnsi" w:hAnsiTheme="minorHAnsi"/>
          <w:bCs/>
        </w:rPr>
        <w:t xml:space="preserve"> serious problems with sexual assault investigations by the police, stemming from the fact that many police officers do not believe in </w:t>
      </w:r>
      <w:r w:rsidR="000E7B9C" w:rsidRPr="00D920C9">
        <w:rPr>
          <w:rFonts w:asciiTheme="minorHAnsi" w:hAnsiTheme="minorHAnsi"/>
          <w:bCs/>
        </w:rPr>
        <w:t xml:space="preserve">such a thing as </w:t>
      </w:r>
      <w:r w:rsidR="00762508" w:rsidRPr="00D920C9">
        <w:rPr>
          <w:rFonts w:asciiTheme="minorHAnsi" w:hAnsiTheme="minorHAnsi"/>
          <w:bCs/>
        </w:rPr>
        <w:t xml:space="preserve">non-violent rape. At that time, the Commission considered that the situation evidences the need for better training on </w:t>
      </w:r>
      <w:r w:rsidR="00E5336C" w:rsidRPr="00D920C9">
        <w:rPr>
          <w:rFonts w:asciiTheme="minorHAnsi" w:hAnsiTheme="minorHAnsi"/>
          <w:bCs/>
        </w:rPr>
        <w:t>the</w:t>
      </w:r>
      <w:r w:rsidR="00762508" w:rsidRPr="00D920C9">
        <w:rPr>
          <w:rFonts w:asciiTheme="minorHAnsi" w:hAnsiTheme="minorHAnsi"/>
          <w:bCs/>
        </w:rPr>
        <w:t xml:space="preserve"> proper recei</w:t>
      </w:r>
      <w:r w:rsidR="00E5336C" w:rsidRPr="00D920C9">
        <w:rPr>
          <w:rFonts w:asciiTheme="minorHAnsi" w:hAnsiTheme="minorHAnsi"/>
          <w:bCs/>
        </w:rPr>
        <w:t>pt</w:t>
      </w:r>
      <w:r w:rsidR="00762508" w:rsidRPr="00D920C9">
        <w:rPr>
          <w:rFonts w:asciiTheme="minorHAnsi" w:hAnsiTheme="minorHAnsi"/>
          <w:bCs/>
        </w:rPr>
        <w:t xml:space="preserve"> and investiga</w:t>
      </w:r>
      <w:r w:rsidR="00E5336C" w:rsidRPr="00D920C9">
        <w:rPr>
          <w:rFonts w:asciiTheme="minorHAnsi" w:hAnsiTheme="minorHAnsi"/>
          <w:bCs/>
        </w:rPr>
        <w:t>tion of</w:t>
      </w:r>
      <w:r w:rsidR="00762508" w:rsidRPr="00D920C9">
        <w:rPr>
          <w:rFonts w:asciiTheme="minorHAnsi" w:hAnsiTheme="minorHAnsi"/>
          <w:bCs/>
        </w:rPr>
        <w:t xml:space="preserve"> complaints.</w:t>
      </w:r>
      <w:r w:rsidR="00762508" w:rsidRPr="00D920C9">
        <w:rPr>
          <w:rStyle w:val="FootnoteReference"/>
          <w:rFonts w:asciiTheme="minorHAnsi" w:hAnsiTheme="minorHAnsi"/>
          <w:bCs/>
        </w:rPr>
        <w:footnoteReference w:id="368"/>
      </w:r>
      <w:r w:rsidR="0086378B" w:rsidRPr="00D920C9">
        <w:rPr>
          <w:rFonts w:asciiTheme="minorHAnsi" w:hAnsiTheme="minorHAnsi"/>
          <w:bCs/>
        </w:rPr>
        <w:t xml:space="preserve"> The Commission notes that black women may </w:t>
      </w:r>
      <w:r w:rsidR="00E5336C" w:rsidRPr="00D920C9">
        <w:rPr>
          <w:rFonts w:asciiTheme="minorHAnsi" w:hAnsiTheme="minorHAnsi"/>
          <w:bCs/>
        </w:rPr>
        <w:t>also</w:t>
      </w:r>
      <w:r w:rsidR="0086378B" w:rsidRPr="00D920C9">
        <w:rPr>
          <w:rFonts w:asciiTheme="minorHAnsi" w:hAnsiTheme="minorHAnsi"/>
          <w:bCs/>
        </w:rPr>
        <w:t xml:space="preserve"> be disproportionately affected in the aftermath of police killings</w:t>
      </w:r>
      <w:r w:rsidR="00970B76" w:rsidRPr="00D920C9">
        <w:rPr>
          <w:rFonts w:asciiTheme="minorHAnsi" w:hAnsiTheme="minorHAnsi"/>
          <w:bCs/>
        </w:rPr>
        <w:t xml:space="preserve"> as they seek justice for their </w:t>
      </w:r>
      <w:r w:rsidR="00E5336C" w:rsidRPr="00D920C9">
        <w:rPr>
          <w:rFonts w:asciiTheme="minorHAnsi" w:hAnsiTheme="minorHAnsi"/>
          <w:bCs/>
        </w:rPr>
        <w:t>loved ones</w:t>
      </w:r>
      <w:r w:rsidR="004B7C27" w:rsidRPr="00D920C9">
        <w:rPr>
          <w:rFonts w:asciiTheme="minorHAnsi" w:hAnsiTheme="minorHAnsi"/>
          <w:bCs/>
        </w:rPr>
        <w:t>, and in light of the economic impact that killings of family members may have on their households</w:t>
      </w:r>
      <w:r w:rsidR="00970B76" w:rsidRPr="00D920C9">
        <w:rPr>
          <w:rFonts w:asciiTheme="minorHAnsi" w:hAnsiTheme="minorHAnsi"/>
          <w:bCs/>
        </w:rPr>
        <w:t>.</w:t>
      </w:r>
    </w:p>
    <w:p w14:paraId="384AD74D" w14:textId="77777777" w:rsidR="000E7B9C" w:rsidRPr="00D920C9" w:rsidRDefault="000E7B9C" w:rsidP="00E86698">
      <w:pPr>
        <w:pStyle w:val="ListParagraph"/>
        <w:numPr>
          <w:ilvl w:val="0"/>
          <w:numId w:val="9"/>
        </w:numPr>
        <w:spacing w:after="240" w:line="240" w:lineRule="auto"/>
        <w:ind w:left="547" w:hanging="547"/>
        <w:contextualSpacing w:val="0"/>
        <w:jc w:val="both"/>
        <w:rPr>
          <w:rFonts w:asciiTheme="minorHAnsi" w:hAnsiTheme="minorHAnsi"/>
          <w:bCs/>
        </w:rPr>
      </w:pPr>
      <w:r w:rsidRPr="00D920C9">
        <w:rPr>
          <w:rFonts w:asciiTheme="minorHAnsi" w:hAnsiTheme="minorHAnsi"/>
          <w:bCs/>
        </w:rPr>
        <w:t>Available information indicates that mental illness plays a disproportionate role in cases of police brutality and police killings.</w:t>
      </w:r>
      <w:r w:rsidR="004B7C27" w:rsidRPr="00D920C9">
        <w:rPr>
          <w:rStyle w:val="FootnoteReference"/>
          <w:rFonts w:asciiTheme="minorHAnsi" w:hAnsiTheme="minorHAnsi"/>
          <w:bCs/>
        </w:rPr>
        <w:footnoteReference w:id="369"/>
      </w:r>
      <w:r w:rsidRPr="00D920C9">
        <w:rPr>
          <w:rFonts w:asciiTheme="minorHAnsi" w:hAnsiTheme="minorHAnsi"/>
          <w:bCs/>
        </w:rPr>
        <w:t xml:space="preserve"> </w:t>
      </w:r>
      <w:r w:rsidR="001365E4" w:rsidRPr="00D920C9">
        <w:rPr>
          <w:rFonts w:asciiTheme="minorHAnsi" w:hAnsiTheme="minorHAnsi"/>
          <w:bCs/>
        </w:rPr>
        <w:t>For example,</w:t>
      </w:r>
      <w:r w:rsidRPr="00D920C9">
        <w:rPr>
          <w:rFonts w:asciiTheme="minorHAnsi" w:hAnsiTheme="minorHAnsi"/>
          <w:bCs/>
        </w:rPr>
        <w:t xml:space="preserve"> the </w:t>
      </w:r>
      <w:r w:rsidRPr="00D920C9">
        <w:rPr>
          <w:rFonts w:asciiTheme="minorHAnsi" w:hAnsiTheme="minorHAnsi"/>
          <w:bCs/>
          <w:i/>
        </w:rPr>
        <w:t>Fatal Force</w:t>
      </w:r>
      <w:r w:rsidRPr="00D920C9">
        <w:rPr>
          <w:rFonts w:asciiTheme="minorHAnsi" w:hAnsiTheme="minorHAnsi"/>
          <w:bCs/>
        </w:rPr>
        <w:t xml:space="preserve"> database of police killings found that </w:t>
      </w:r>
      <w:r w:rsidR="001365E4" w:rsidRPr="00D920C9">
        <w:rPr>
          <w:rFonts w:asciiTheme="minorHAnsi" w:hAnsiTheme="minorHAnsi"/>
          <w:bCs/>
        </w:rPr>
        <w:t xml:space="preserve">in </w:t>
      </w:r>
      <w:r w:rsidRPr="00D920C9">
        <w:rPr>
          <w:rFonts w:asciiTheme="minorHAnsi" w:hAnsiTheme="minorHAnsi"/>
          <w:bCs/>
        </w:rPr>
        <w:t xml:space="preserve">one-fourth of reported killings </w:t>
      </w:r>
      <w:r w:rsidR="001365E4" w:rsidRPr="00D920C9">
        <w:rPr>
          <w:rFonts w:asciiTheme="minorHAnsi" w:hAnsiTheme="minorHAnsi"/>
          <w:bCs/>
        </w:rPr>
        <w:t>in 2015, 2016, and 2017</w:t>
      </w:r>
      <w:r w:rsidRPr="00D920C9">
        <w:rPr>
          <w:rFonts w:asciiTheme="minorHAnsi" w:hAnsiTheme="minorHAnsi"/>
          <w:bCs/>
        </w:rPr>
        <w:t>, the victims displayed signs of or were diagnosed with mental illness.</w:t>
      </w:r>
      <w:r w:rsidRPr="00D920C9">
        <w:rPr>
          <w:rStyle w:val="FootnoteReference"/>
          <w:rFonts w:asciiTheme="minorHAnsi" w:hAnsiTheme="minorHAnsi"/>
          <w:bCs/>
        </w:rPr>
        <w:footnoteReference w:id="370"/>
      </w:r>
      <w:r w:rsidR="001C40B1" w:rsidRPr="00D920C9">
        <w:rPr>
          <w:rFonts w:asciiTheme="minorHAnsi" w:hAnsiTheme="minorHAnsi"/>
          <w:bCs/>
        </w:rPr>
        <w:t xml:space="preserve"> Within this high number, media sources and civil society highlight that many of those </w:t>
      </w:r>
      <w:r w:rsidR="001C40B1" w:rsidRPr="00D920C9">
        <w:rPr>
          <w:rFonts w:asciiTheme="minorHAnsi" w:hAnsiTheme="minorHAnsi"/>
        </w:rPr>
        <w:t>killed</w:t>
      </w:r>
      <w:r w:rsidR="001C40B1" w:rsidRPr="00D920C9">
        <w:rPr>
          <w:rFonts w:asciiTheme="minorHAnsi" w:hAnsiTheme="minorHAnsi"/>
          <w:bCs/>
        </w:rPr>
        <w:t xml:space="preserve"> by police were reportedly experiencing mental health crises, causing family members or others to call the police seeking help. For example, </w:t>
      </w:r>
      <w:proofErr w:type="spellStart"/>
      <w:r w:rsidR="001C40B1" w:rsidRPr="00D920C9">
        <w:rPr>
          <w:rFonts w:asciiTheme="minorHAnsi" w:hAnsiTheme="minorHAnsi"/>
          <w:bCs/>
        </w:rPr>
        <w:t>Lavall</w:t>
      </w:r>
      <w:proofErr w:type="spellEnd"/>
      <w:r w:rsidR="001C40B1" w:rsidRPr="00D920C9">
        <w:rPr>
          <w:rFonts w:asciiTheme="minorHAnsi" w:hAnsiTheme="minorHAnsi"/>
          <w:bCs/>
        </w:rPr>
        <w:t xml:space="preserve"> Hall was killed by Miami Gardens police on the night of February 5, 2015 after his mother called police upon finding him outside in the cold almost naked and waving a broomstick. Hall was schizophrenic, and had been taken to a mental hospital less than a week earlier.</w:t>
      </w:r>
      <w:r w:rsidR="001C40B1" w:rsidRPr="00D920C9">
        <w:rPr>
          <w:rStyle w:val="FootnoteReference"/>
          <w:rFonts w:asciiTheme="minorHAnsi" w:hAnsiTheme="minorHAnsi"/>
          <w:bCs/>
        </w:rPr>
        <w:footnoteReference w:id="371"/>
      </w:r>
      <w:r w:rsidR="001C40B1" w:rsidRPr="00D920C9">
        <w:rPr>
          <w:rFonts w:asciiTheme="minorHAnsi" w:hAnsiTheme="minorHAnsi"/>
          <w:bCs/>
        </w:rPr>
        <w:t xml:space="preserve"> Civil society groups have voiced concerns that these kinds of killings are highly preventable, and result from a lack of adequate police training and mental health care services to appropriately respond to mental health crises without violence.</w:t>
      </w:r>
      <w:r w:rsidR="001C40B1" w:rsidRPr="00D920C9">
        <w:rPr>
          <w:rStyle w:val="FootnoteReference"/>
          <w:rFonts w:asciiTheme="minorHAnsi" w:hAnsiTheme="minorHAnsi"/>
          <w:bCs/>
        </w:rPr>
        <w:footnoteReference w:id="372"/>
      </w:r>
      <w:r w:rsidR="00A53AB4" w:rsidRPr="00D920C9">
        <w:rPr>
          <w:rFonts w:asciiTheme="minorHAnsi" w:hAnsiTheme="minorHAnsi"/>
          <w:bCs/>
        </w:rPr>
        <w:t xml:space="preserve"> D</w:t>
      </w:r>
      <w:r w:rsidR="00CE2418" w:rsidRPr="00D920C9">
        <w:rPr>
          <w:rFonts w:asciiTheme="minorHAnsi" w:hAnsiTheme="minorHAnsi"/>
          <w:bCs/>
        </w:rPr>
        <w:t>uring a December 2017 hearing</w:t>
      </w:r>
      <w:r w:rsidR="00710109" w:rsidRPr="00D920C9">
        <w:rPr>
          <w:rFonts w:asciiTheme="minorHAnsi" w:hAnsiTheme="minorHAnsi"/>
          <w:bCs/>
        </w:rPr>
        <w:t>,</w:t>
      </w:r>
      <w:r w:rsidR="00CE2418" w:rsidRPr="00D920C9">
        <w:rPr>
          <w:rFonts w:asciiTheme="minorHAnsi" w:hAnsiTheme="minorHAnsi"/>
          <w:bCs/>
        </w:rPr>
        <w:t xml:space="preserve"> the Commission received information about the </w:t>
      </w:r>
      <w:r w:rsidR="00CE2418" w:rsidRPr="00D920C9">
        <w:rPr>
          <w:rFonts w:asciiTheme="minorHAnsi" w:hAnsiTheme="minorHAnsi"/>
          <w:bCs/>
        </w:rPr>
        <w:lastRenderedPageBreak/>
        <w:t xml:space="preserve">police killing of Dontre Hamilton, a 23-year-old </w:t>
      </w:r>
      <w:r w:rsidR="00970B76" w:rsidRPr="00D920C9">
        <w:rPr>
          <w:rFonts w:asciiTheme="minorHAnsi" w:hAnsiTheme="minorHAnsi"/>
          <w:bCs/>
        </w:rPr>
        <w:t xml:space="preserve">black </w:t>
      </w:r>
      <w:r w:rsidR="00CE2418" w:rsidRPr="00D920C9">
        <w:rPr>
          <w:rFonts w:asciiTheme="minorHAnsi" w:hAnsiTheme="minorHAnsi"/>
          <w:bCs/>
        </w:rPr>
        <w:t>man with a history of mental illness, in Milwaukee, Wisconsin in 2014.</w:t>
      </w:r>
      <w:r w:rsidR="00CE2418" w:rsidRPr="00D920C9">
        <w:rPr>
          <w:rStyle w:val="FootnoteReference"/>
          <w:rFonts w:asciiTheme="minorHAnsi" w:hAnsiTheme="minorHAnsi"/>
          <w:bCs/>
        </w:rPr>
        <w:footnoteReference w:id="373"/>
      </w:r>
      <w:r w:rsidR="00CE2418" w:rsidRPr="00D920C9">
        <w:rPr>
          <w:rFonts w:asciiTheme="minorHAnsi" w:hAnsiTheme="minorHAnsi"/>
          <w:bCs/>
        </w:rPr>
        <w:t xml:space="preserve"> </w:t>
      </w:r>
    </w:p>
    <w:p w14:paraId="2A3283D5" w14:textId="77777777" w:rsidR="000E7B9C" w:rsidRPr="00D920C9" w:rsidRDefault="00CE2418" w:rsidP="00E86698">
      <w:pPr>
        <w:pStyle w:val="ListParagraph"/>
        <w:numPr>
          <w:ilvl w:val="0"/>
          <w:numId w:val="9"/>
        </w:numPr>
        <w:spacing w:after="240" w:line="240" w:lineRule="auto"/>
        <w:ind w:left="547" w:hanging="547"/>
        <w:contextualSpacing w:val="0"/>
        <w:jc w:val="both"/>
        <w:rPr>
          <w:rFonts w:asciiTheme="minorHAnsi" w:hAnsiTheme="minorHAnsi"/>
          <w:bCs/>
        </w:rPr>
      </w:pPr>
      <w:r w:rsidRPr="00D920C9">
        <w:rPr>
          <w:rFonts w:asciiTheme="minorHAnsi" w:hAnsiTheme="minorHAnsi"/>
          <w:bCs/>
        </w:rPr>
        <w:t xml:space="preserve">The Commission has also received information that individuals experiencing homelessness are disproportionately impacted by police violence. </w:t>
      </w:r>
      <w:r w:rsidR="00841F00" w:rsidRPr="00D920C9">
        <w:rPr>
          <w:rFonts w:asciiTheme="minorHAnsi" w:hAnsiTheme="minorHAnsi"/>
          <w:bCs/>
        </w:rPr>
        <w:t>D</w:t>
      </w:r>
      <w:r w:rsidR="000E7B9C" w:rsidRPr="00D920C9">
        <w:rPr>
          <w:rFonts w:asciiTheme="minorHAnsi" w:hAnsiTheme="minorHAnsi"/>
          <w:bCs/>
        </w:rPr>
        <w:t>uring an October 2015</w:t>
      </w:r>
      <w:r w:rsidR="009F3240" w:rsidRPr="00D920C9">
        <w:rPr>
          <w:rFonts w:asciiTheme="minorHAnsi" w:hAnsiTheme="minorHAnsi"/>
          <w:bCs/>
        </w:rPr>
        <w:t xml:space="preserve"> </w:t>
      </w:r>
      <w:r w:rsidR="000E7B9C" w:rsidRPr="00D920C9">
        <w:rPr>
          <w:rFonts w:asciiTheme="minorHAnsi" w:hAnsiTheme="minorHAnsi"/>
          <w:bCs/>
        </w:rPr>
        <w:t>hearing on racism in the U</w:t>
      </w:r>
      <w:r w:rsidR="00C45A79" w:rsidRPr="00D920C9">
        <w:rPr>
          <w:rFonts w:asciiTheme="minorHAnsi" w:hAnsiTheme="minorHAnsi"/>
          <w:bCs/>
        </w:rPr>
        <w:t>.</w:t>
      </w:r>
      <w:r w:rsidR="000E7B9C" w:rsidRPr="00D920C9">
        <w:rPr>
          <w:rFonts w:asciiTheme="minorHAnsi" w:hAnsiTheme="minorHAnsi"/>
          <w:bCs/>
        </w:rPr>
        <w:t>S</w:t>
      </w:r>
      <w:r w:rsidR="00C45A79" w:rsidRPr="00D920C9">
        <w:rPr>
          <w:rFonts w:asciiTheme="minorHAnsi" w:hAnsiTheme="minorHAnsi"/>
          <w:bCs/>
        </w:rPr>
        <w:t>.</w:t>
      </w:r>
      <w:r w:rsidR="000E7B9C" w:rsidRPr="00D920C9">
        <w:rPr>
          <w:rFonts w:asciiTheme="minorHAnsi" w:hAnsiTheme="minorHAnsi"/>
          <w:bCs/>
        </w:rPr>
        <w:t xml:space="preserve"> justice system,</w:t>
      </w:r>
      <w:r w:rsidR="009F3240" w:rsidRPr="00D920C9">
        <w:rPr>
          <w:rFonts w:asciiTheme="minorHAnsi" w:hAnsiTheme="minorHAnsi"/>
          <w:bCs/>
        </w:rPr>
        <w:t xml:space="preserve"> Mark </w:t>
      </w:r>
      <w:proofErr w:type="spellStart"/>
      <w:r w:rsidR="009F3240" w:rsidRPr="00D920C9">
        <w:rPr>
          <w:rFonts w:asciiTheme="minorHAnsi" w:hAnsiTheme="minorHAnsi"/>
        </w:rPr>
        <w:t>Fancher</w:t>
      </w:r>
      <w:proofErr w:type="spellEnd"/>
      <w:r w:rsidR="000E7B9C" w:rsidRPr="00D920C9">
        <w:rPr>
          <w:rFonts w:asciiTheme="minorHAnsi" w:hAnsiTheme="minorHAnsi"/>
          <w:bCs/>
        </w:rPr>
        <w:t xml:space="preserve"> of the</w:t>
      </w:r>
      <w:r w:rsidR="009F3240" w:rsidRPr="00D920C9">
        <w:rPr>
          <w:rFonts w:asciiTheme="minorHAnsi" w:hAnsiTheme="minorHAnsi"/>
          <w:bCs/>
        </w:rPr>
        <w:t xml:space="preserve"> ACLU of Michigan</w:t>
      </w:r>
      <w:r w:rsidR="000E7B9C" w:rsidRPr="00D920C9">
        <w:rPr>
          <w:rFonts w:asciiTheme="minorHAnsi" w:hAnsiTheme="minorHAnsi"/>
          <w:bCs/>
        </w:rPr>
        <w:t xml:space="preserve"> brought to the attention the case of Milton Hall, a mentally ill man</w:t>
      </w:r>
      <w:r w:rsidRPr="00D920C9">
        <w:rPr>
          <w:rFonts w:asciiTheme="minorHAnsi" w:hAnsiTheme="minorHAnsi"/>
          <w:bCs/>
        </w:rPr>
        <w:t xml:space="preserve"> experiencing homelessness</w:t>
      </w:r>
      <w:r w:rsidR="000E7B9C" w:rsidRPr="00D920C9">
        <w:rPr>
          <w:rFonts w:asciiTheme="minorHAnsi" w:hAnsiTheme="minorHAnsi"/>
          <w:bCs/>
        </w:rPr>
        <w:t xml:space="preserve"> killed by police in Milwaukee, Michigan</w:t>
      </w:r>
      <w:r w:rsidR="009F3240" w:rsidRPr="00D920C9">
        <w:rPr>
          <w:rFonts w:asciiTheme="minorHAnsi" w:hAnsiTheme="minorHAnsi"/>
          <w:bCs/>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7848"/>
      </w:tblGrid>
      <w:tr w:rsidR="00625D97" w14:paraId="112241E7" w14:textId="77777777" w:rsidTr="00625D97">
        <w:tc>
          <w:tcPr>
            <w:tcW w:w="7848" w:type="dxa"/>
            <w:shd w:val="clear" w:color="auto" w:fill="D9D9D9" w:themeFill="background1" w:themeFillShade="D9"/>
          </w:tcPr>
          <w:p w14:paraId="2AB587AA" w14:textId="75397C16" w:rsidR="00625D97" w:rsidRDefault="00625D97" w:rsidP="00625D97">
            <w:pPr>
              <w:spacing w:after="240" w:line="240" w:lineRule="auto"/>
              <w:ind w:left="288" w:right="288"/>
              <w:jc w:val="both"/>
              <w:rPr>
                <w:rFonts w:asciiTheme="minorHAnsi" w:hAnsiTheme="minorHAnsi"/>
                <w:bCs/>
              </w:rPr>
            </w:pPr>
            <w:r>
              <w:rPr>
                <w:rFonts w:asciiTheme="minorHAnsi" w:hAnsiTheme="minorHAnsi"/>
                <w:bCs/>
              </w:rPr>
              <w:br/>
            </w:r>
            <w:r w:rsidRPr="00D920C9">
              <w:rPr>
                <w:rFonts w:asciiTheme="minorHAnsi" w:hAnsiTheme="minorHAnsi"/>
                <w:bCs/>
              </w:rPr>
              <w:t>A little more than two years ago, Milton Hall, a 49-year-old homeless man who suffered from a mental illness got into an argument with a store clerk. He left the building, and while standing in the parking lot, he was surrounded by eight police officers. [...] Officers shot 46 bullets at Mr. Hall, and continued to shoot at his body even after it fell. In the face of such graphic evidence, neither local prosecutors nor the [DOJ] attempted to prosecute the officers involved. The Justice Department claimed “there was not sufficient evidence of misconduct to give rise to a federal criminal prosecution.” [...] In this case, a firing squad-type shooting was not only reckless, but was clearly unjustified and grossly violated Mr. Hall’s basic human rights. [...] The communities that continue to be victimized by these acts of police violence need answers to the question of why the federal government is failing to hold officers accountable for fatal police shootings.</w:t>
            </w:r>
            <w:r w:rsidRPr="00D920C9">
              <w:rPr>
                <w:rStyle w:val="FootnoteReference"/>
                <w:rFonts w:asciiTheme="minorHAnsi" w:hAnsiTheme="minorHAnsi"/>
                <w:bCs/>
              </w:rPr>
              <w:footnoteReference w:id="374"/>
            </w:r>
          </w:p>
        </w:tc>
      </w:tr>
    </w:tbl>
    <w:p w14:paraId="642018F4" w14:textId="77777777" w:rsidR="00B31D4A" w:rsidRPr="00D920C9" w:rsidRDefault="00B31D4A" w:rsidP="00625D97">
      <w:pPr>
        <w:spacing w:after="0" w:line="240" w:lineRule="auto"/>
        <w:jc w:val="both"/>
        <w:rPr>
          <w:rFonts w:asciiTheme="minorHAnsi" w:hAnsiTheme="minorHAnsi"/>
          <w:bCs/>
        </w:rPr>
      </w:pPr>
    </w:p>
    <w:p w14:paraId="48B764DC" w14:textId="77777777" w:rsidR="009F3240" w:rsidRPr="00D920C9" w:rsidRDefault="00B05A07" w:rsidP="00E86698">
      <w:pPr>
        <w:pStyle w:val="ListParagraph"/>
        <w:numPr>
          <w:ilvl w:val="0"/>
          <w:numId w:val="9"/>
        </w:numPr>
        <w:spacing w:after="240" w:line="240" w:lineRule="auto"/>
        <w:ind w:left="547" w:hanging="547"/>
        <w:contextualSpacing w:val="0"/>
        <w:jc w:val="both"/>
        <w:rPr>
          <w:rFonts w:asciiTheme="minorHAnsi" w:hAnsiTheme="minorHAnsi"/>
          <w:bCs/>
        </w:rPr>
      </w:pPr>
      <w:r w:rsidRPr="00D920C9">
        <w:rPr>
          <w:rFonts w:asciiTheme="minorHAnsi" w:hAnsiTheme="minorHAnsi"/>
          <w:bCs/>
        </w:rPr>
        <w:t>The Commission notes that police killings tend to disproportionate</w:t>
      </w:r>
      <w:r w:rsidR="00710109" w:rsidRPr="00D920C9">
        <w:rPr>
          <w:rFonts w:asciiTheme="minorHAnsi" w:hAnsiTheme="minorHAnsi"/>
          <w:bCs/>
        </w:rPr>
        <w:t>ly</w:t>
      </w:r>
      <w:r w:rsidRPr="00D920C9">
        <w:rPr>
          <w:rFonts w:asciiTheme="minorHAnsi" w:hAnsiTheme="minorHAnsi"/>
          <w:bCs/>
        </w:rPr>
        <w:t xml:space="preserve"> impact young </w:t>
      </w:r>
      <w:r w:rsidR="00693E7E" w:rsidRPr="00D920C9">
        <w:rPr>
          <w:rFonts w:asciiTheme="minorHAnsi" w:hAnsiTheme="minorHAnsi"/>
          <w:bCs/>
        </w:rPr>
        <w:t>African Americans</w:t>
      </w:r>
      <w:r w:rsidRPr="00D920C9">
        <w:rPr>
          <w:rFonts w:asciiTheme="minorHAnsi" w:hAnsiTheme="minorHAnsi"/>
          <w:bCs/>
        </w:rPr>
        <w:t xml:space="preserve">, including adolescents, who are frequently portrayed by officers and by the media as </w:t>
      </w:r>
      <w:r w:rsidR="00E31585" w:rsidRPr="00D920C9">
        <w:rPr>
          <w:rFonts w:asciiTheme="minorHAnsi" w:hAnsiTheme="minorHAnsi"/>
          <w:bCs/>
        </w:rPr>
        <w:t>appearing “like adults” as a way to justify the use of lethal force against them</w:t>
      </w:r>
      <w:r w:rsidRPr="00D920C9">
        <w:rPr>
          <w:rFonts w:asciiTheme="minorHAnsi" w:hAnsiTheme="minorHAnsi"/>
          <w:bCs/>
        </w:rPr>
        <w:t xml:space="preserve">. For example, Cleveland police killed twelve-year-old </w:t>
      </w:r>
      <w:proofErr w:type="spellStart"/>
      <w:r w:rsidRPr="00D920C9">
        <w:rPr>
          <w:rFonts w:asciiTheme="minorHAnsi" w:hAnsiTheme="minorHAnsi"/>
          <w:bCs/>
        </w:rPr>
        <w:t>Tamir</w:t>
      </w:r>
      <w:proofErr w:type="spellEnd"/>
      <w:r w:rsidRPr="00D920C9">
        <w:rPr>
          <w:rFonts w:asciiTheme="minorHAnsi" w:hAnsiTheme="minorHAnsi"/>
          <w:bCs/>
        </w:rPr>
        <w:t xml:space="preserve"> Rice </w:t>
      </w:r>
      <w:r w:rsidR="00FA1E78" w:rsidRPr="00D920C9">
        <w:rPr>
          <w:rFonts w:asciiTheme="minorHAnsi" w:hAnsiTheme="minorHAnsi"/>
          <w:bCs/>
        </w:rPr>
        <w:t xml:space="preserve">while responding to a 911 call reporting that someone at the park had a gun, </w:t>
      </w:r>
      <w:r w:rsidR="00E31585" w:rsidRPr="00D920C9">
        <w:rPr>
          <w:rFonts w:asciiTheme="minorHAnsi" w:hAnsiTheme="minorHAnsi"/>
          <w:bCs/>
        </w:rPr>
        <w:t>though the caller expressed that they</w:t>
      </w:r>
      <w:r w:rsidR="00FA1E78" w:rsidRPr="00D920C9">
        <w:rPr>
          <w:rFonts w:asciiTheme="minorHAnsi" w:hAnsiTheme="minorHAnsi"/>
          <w:bCs/>
        </w:rPr>
        <w:t xml:space="preserve"> might be a “juvenile” and the gun might be “fake</w:t>
      </w:r>
      <w:r w:rsidR="00A36D70" w:rsidRPr="00D920C9">
        <w:rPr>
          <w:rFonts w:asciiTheme="minorHAnsi" w:hAnsiTheme="minorHAnsi"/>
          <w:bCs/>
        </w:rPr>
        <w:t>.</w:t>
      </w:r>
      <w:r w:rsidR="00FA1E78" w:rsidRPr="00D920C9">
        <w:rPr>
          <w:rFonts w:asciiTheme="minorHAnsi" w:hAnsiTheme="minorHAnsi"/>
          <w:bCs/>
        </w:rPr>
        <w:t>”</w:t>
      </w:r>
      <w:r w:rsidR="00FA1E78" w:rsidRPr="00D920C9">
        <w:rPr>
          <w:rStyle w:val="FootnoteReference"/>
          <w:rFonts w:asciiTheme="minorHAnsi" w:hAnsiTheme="minorHAnsi"/>
          <w:bCs/>
        </w:rPr>
        <w:footnoteReference w:id="375"/>
      </w:r>
      <w:r w:rsidR="00FA1E78" w:rsidRPr="00D920C9">
        <w:rPr>
          <w:rFonts w:asciiTheme="minorHAnsi" w:hAnsiTheme="minorHAnsi"/>
          <w:bCs/>
        </w:rPr>
        <w:t xml:space="preserve"> </w:t>
      </w:r>
      <w:r w:rsidRPr="00D920C9">
        <w:rPr>
          <w:rFonts w:asciiTheme="minorHAnsi" w:hAnsiTheme="minorHAnsi"/>
          <w:bCs/>
        </w:rPr>
        <w:t xml:space="preserve">Similarly, the officer who shot Michael Brown later defended his actions by saying that he perceived </w:t>
      </w:r>
      <w:r w:rsidR="00A36D70" w:rsidRPr="00D920C9">
        <w:rPr>
          <w:rFonts w:asciiTheme="minorHAnsi" w:hAnsiTheme="minorHAnsi"/>
          <w:bCs/>
        </w:rPr>
        <w:t>the 18</w:t>
      </w:r>
      <w:r w:rsidRPr="00D920C9">
        <w:rPr>
          <w:rFonts w:asciiTheme="minorHAnsi" w:hAnsiTheme="minorHAnsi"/>
          <w:bCs/>
        </w:rPr>
        <w:t>-year-old Brown as looking “like a demon,” and that compared with Brown, he “felt like a five-year-old holding onto Hulk Hogan.”</w:t>
      </w:r>
      <w:r w:rsidRPr="00D920C9">
        <w:rPr>
          <w:rStyle w:val="FootnoteReference"/>
          <w:rFonts w:asciiTheme="minorHAnsi" w:hAnsiTheme="minorHAnsi"/>
          <w:bCs/>
        </w:rPr>
        <w:footnoteReference w:id="376"/>
      </w:r>
      <w:r w:rsidRPr="00D920C9">
        <w:rPr>
          <w:rFonts w:asciiTheme="minorHAnsi" w:hAnsiTheme="minorHAnsi"/>
          <w:bCs/>
        </w:rPr>
        <w:t xml:space="preserve"> </w:t>
      </w:r>
      <w:r w:rsidR="00A36D70" w:rsidRPr="00D920C9">
        <w:rPr>
          <w:rFonts w:asciiTheme="minorHAnsi" w:hAnsiTheme="minorHAnsi"/>
          <w:bCs/>
        </w:rPr>
        <w:t xml:space="preserve">Similarly, during its visit </w:t>
      </w:r>
      <w:r w:rsidR="00710109" w:rsidRPr="00D920C9">
        <w:rPr>
          <w:rFonts w:asciiTheme="minorHAnsi" w:hAnsiTheme="minorHAnsi"/>
          <w:bCs/>
        </w:rPr>
        <w:t>to</w:t>
      </w:r>
      <w:r w:rsidR="00A36D70" w:rsidRPr="00D920C9">
        <w:rPr>
          <w:rFonts w:asciiTheme="minorHAnsi" w:hAnsiTheme="minorHAnsi"/>
          <w:bCs/>
        </w:rPr>
        <w:t xml:space="preserve"> New Orleans, the Commission </w:t>
      </w:r>
      <w:r w:rsidR="009F3240" w:rsidRPr="00D920C9">
        <w:rPr>
          <w:rFonts w:asciiTheme="minorHAnsi" w:hAnsiTheme="minorHAnsi"/>
        </w:rPr>
        <w:t>received</w:t>
      </w:r>
      <w:r w:rsidR="009F3240" w:rsidRPr="00D920C9">
        <w:rPr>
          <w:rFonts w:asciiTheme="minorHAnsi" w:hAnsiTheme="minorHAnsi"/>
          <w:bCs/>
        </w:rPr>
        <w:t xml:space="preserve"> reports of several cases of police excessive use of force against </w:t>
      </w:r>
      <w:r w:rsidR="00710109" w:rsidRPr="00D920C9">
        <w:rPr>
          <w:rFonts w:asciiTheme="minorHAnsi" w:hAnsiTheme="minorHAnsi"/>
          <w:bCs/>
        </w:rPr>
        <w:t>Black</w:t>
      </w:r>
      <w:r w:rsidR="009F3240" w:rsidRPr="00D920C9">
        <w:rPr>
          <w:rFonts w:asciiTheme="minorHAnsi" w:hAnsiTheme="minorHAnsi"/>
          <w:bCs/>
        </w:rPr>
        <w:t xml:space="preserve"> </w:t>
      </w:r>
      <w:r w:rsidR="00970B76" w:rsidRPr="00D920C9">
        <w:rPr>
          <w:rFonts w:asciiTheme="minorHAnsi" w:hAnsiTheme="minorHAnsi"/>
          <w:bCs/>
        </w:rPr>
        <w:t>children</w:t>
      </w:r>
      <w:r w:rsidR="00A36D70" w:rsidRPr="00D920C9">
        <w:rPr>
          <w:rFonts w:asciiTheme="minorHAnsi" w:hAnsiTheme="minorHAnsi"/>
          <w:bCs/>
        </w:rPr>
        <w:t xml:space="preserve">, </w:t>
      </w:r>
      <w:r w:rsidR="00710109" w:rsidRPr="00D920C9">
        <w:rPr>
          <w:rFonts w:asciiTheme="minorHAnsi" w:hAnsiTheme="minorHAnsi"/>
          <w:bCs/>
        </w:rPr>
        <w:t>and</w:t>
      </w:r>
      <w:r w:rsidR="00A36D70" w:rsidRPr="00D920C9">
        <w:rPr>
          <w:rFonts w:asciiTheme="minorHAnsi" w:hAnsiTheme="minorHAnsi"/>
          <w:bCs/>
        </w:rPr>
        <w:t xml:space="preserve"> information about </w:t>
      </w:r>
      <w:r w:rsidR="00710109" w:rsidRPr="00D920C9">
        <w:rPr>
          <w:rFonts w:asciiTheme="minorHAnsi" w:hAnsiTheme="minorHAnsi"/>
          <w:bCs/>
        </w:rPr>
        <w:t>their treatment</w:t>
      </w:r>
      <w:r w:rsidR="009F3240" w:rsidRPr="00D920C9">
        <w:rPr>
          <w:rFonts w:asciiTheme="minorHAnsi" w:hAnsiTheme="minorHAnsi"/>
          <w:bCs/>
        </w:rPr>
        <w:t xml:space="preserve"> as adults in the </w:t>
      </w:r>
      <w:r w:rsidR="009F3240" w:rsidRPr="00D920C9">
        <w:rPr>
          <w:rFonts w:asciiTheme="minorHAnsi" w:hAnsiTheme="minorHAnsi"/>
          <w:bCs/>
        </w:rPr>
        <w:lastRenderedPageBreak/>
        <w:t>justice system.</w:t>
      </w:r>
      <w:r w:rsidR="009F3240" w:rsidRPr="00D920C9">
        <w:rPr>
          <w:rStyle w:val="FootnoteReference"/>
          <w:rFonts w:asciiTheme="minorHAnsi" w:hAnsiTheme="minorHAnsi"/>
          <w:bCs/>
        </w:rPr>
        <w:footnoteReference w:id="377"/>
      </w:r>
      <w:r w:rsidR="00E31585" w:rsidRPr="00D920C9">
        <w:rPr>
          <w:rFonts w:asciiTheme="minorHAnsi" w:hAnsiTheme="minorHAnsi"/>
          <w:bCs/>
        </w:rPr>
        <w:t xml:space="preserve"> </w:t>
      </w:r>
      <w:r w:rsidR="007F7673" w:rsidRPr="00D920C9">
        <w:rPr>
          <w:rFonts w:asciiTheme="minorHAnsi" w:hAnsiTheme="minorHAnsi"/>
          <w:bCs/>
        </w:rPr>
        <w:t>T</w:t>
      </w:r>
      <w:r w:rsidR="00E31585" w:rsidRPr="00D920C9">
        <w:rPr>
          <w:rFonts w:asciiTheme="minorHAnsi" w:hAnsiTheme="minorHAnsi"/>
          <w:bCs/>
        </w:rPr>
        <w:t xml:space="preserve">he Commission </w:t>
      </w:r>
      <w:r w:rsidR="00DE6ADF" w:rsidRPr="00D920C9">
        <w:rPr>
          <w:rFonts w:asciiTheme="minorHAnsi" w:hAnsiTheme="minorHAnsi"/>
          <w:bCs/>
        </w:rPr>
        <w:t>has previously highlighted “the stigmatization and discriminatory treatment meted out by State agents to certain social groups blamed for the lack of security, including male adolescents, persons pertaining to traditionally excluded and poor groups, and Afro</w:t>
      </w:r>
      <w:r w:rsidR="00F96415" w:rsidRPr="00D920C9">
        <w:rPr>
          <w:rFonts w:asciiTheme="minorHAnsi" w:hAnsiTheme="minorHAnsi"/>
          <w:bCs/>
        </w:rPr>
        <w:t>-</w:t>
      </w:r>
      <w:r w:rsidR="00DE6ADF" w:rsidRPr="00D920C9">
        <w:rPr>
          <w:rFonts w:asciiTheme="minorHAnsi" w:hAnsiTheme="minorHAnsi"/>
          <w:bCs/>
        </w:rPr>
        <w:t>descendants” as a worrying trend.</w:t>
      </w:r>
      <w:r w:rsidR="00DE6ADF" w:rsidRPr="00D920C9">
        <w:rPr>
          <w:rStyle w:val="FootnoteReference"/>
          <w:rFonts w:asciiTheme="minorHAnsi" w:hAnsiTheme="minorHAnsi"/>
          <w:bCs/>
        </w:rPr>
        <w:footnoteReference w:id="378"/>
      </w:r>
    </w:p>
    <w:p w14:paraId="3EA53340" w14:textId="77777777" w:rsidR="00762508" w:rsidRPr="00D920C9" w:rsidRDefault="00E12219" w:rsidP="00E86698">
      <w:pPr>
        <w:pStyle w:val="ListParagraph"/>
        <w:numPr>
          <w:ilvl w:val="0"/>
          <w:numId w:val="9"/>
        </w:numPr>
        <w:spacing w:after="240" w:line="240" w:lineRule="auto"/>
        <w:ind w:left="547" w:hanging="547"/>
        <w:contextualSpacing w:val="0"/>
        <w:jc w:val="both"/>
        <w:rPr>
          <w:rFonts w:asciiTheme="minorHAnsi" w:hAnsiTheme="minorHAnsi"/>
          <w:bCs/>
        </w:rPr>
      </w:pPr>
      <w:r w:rsidRPr="00D920C9">
        <w:rPr>
          <w:rFonts w:asciiTheme="minorHAnsi" w:hAnsiTheme="minorHAnsi"/>
          <w:bCs/>
        </w:rPr>
        <w:t xml:space="preserve">The Commission has also received information about police violence against transgender individuals. </w:t>
      </w:r>
      <w:r w:rsidR="00762508" w:rsidRPr="00D920C9">
        <w:rPr>
          <w:rFonts w:asciiTheme="minorHAnsi" w:hAnsiTheme="minorHAnsi"/>
          <w:bCs/>
        </w:rPr>
        <w:t xml:space="preserve">According to </w:t>
      </w:r>
      <w:proofErr w:type="gramStart"/>
      <w:r w:rsidR="00762508" w:rsidRPr="00D920C9">
        <w:rPr>
          <w:rFonts w:asciiTheme="minorHAnsi" w:hAnsiTheme="minorHAnsi"/>
          <w:bCs/>
        </w:rPr>
        <w:t>an</w:t>
      </w:r>
      <w:proofErr w:type="gramEnd"/>
      <w:r w:rsidR="00762508" w:rsidRPr="00D920C9">
        <w:rPr>
          <w:rFonts w:asciiTheme="minorHAnsi" w:hAnsiTheme="minorHAnsi"/>
          <w:bCs/>
        </w:rPr>
        <w:t xml:space="preserve"> 2011 national survey, 60% of all </w:t>
      </w:r>
      <w:r w:rsidR="00970B76" w:rsidRPr="00D920C9">
        <w:rPr>
          <w:rFonts w:asciiTheme="minorHAnsi" w:hAnsiTheme="minorHAnsi"/>
          <w:bCs/>
        </w:rPr>
        <w:t>b</w:t>
      </w:r>
      <w:r w:rsidR="00762508" w:rsidRPr="00D920C9">
        <w:rPr>
          <w:rFonts w:asciiTheme="minorHAnsi" w:hAnsiTheme="minorHAnsi"/>
          <w:bCs/>
        </w:rPr>
        <w:t xml:space="preserve">lack transgender individuals who interacted with police </w:t>
      </w:r>
      <w:r w:rsidR="00762508" w:rsidRPr="00D920C9">
        <w:rPr>
          <w:rFonts w:asciiTheme="minorHAnsi" w:hAnsiTheme="minorHAnsi"/>
        </w:rPr>
        <w:t>reported</w:t>
      </w:r>
      <w:r w:rsidR="00762508" w:rsidRPr="00D920C9">
        <w:rPr>
          <w:rFonts w:asciiTheme="minorHAnsi" w:hAnsiTheme="minorHAnsi"/>
          <w:bCs/>
        </w:rPr>
        <w:t xml:space="preserve"> experiencing harassment or physical or sexual assault, compared to 24% of white transgender individuals</w:t>
      </w:r>
      <w:r w:rsidR="000E7B9C" w:rsidRPr="00D920C9">
        <w:rPr>
          <w:rFonts w:asciiTheme="minorHAnsi" w:hAnsiTheme="minorHAnsi"/>
          <w:bCs/>
        </w:rPr>
        <w:t>.</w:t>
      </w:r>
      <w:r w:rsidR="000E7B9C" w:rsidRPr="00D920C9">
        <w:rPr>
          <w:rStyle w:val="FootnoteReference"/>
          <w:rFonts w:asciiTheme="minorHAnsi" w:hAnsiTheme="minorHAnsi"/>
          <w:bCs/>
        </w:rPr>
        <w:footnoteReference w:id="379"/>
      </w:r>
      <w:r w:rsidR="00DE6ADF" w:rsidRPr="00D920C9">
        <w:rPr>
          <w:rFonts w:asciiTheme="minorHAnsi" w:hAnsiTheme="minorHAnsi"/>
          <w:bCs/>
        </w:rPr>
        <w:t xml:space="preserve"> </w:t>
      </w:r>
      <w:r w:rsidRPr="00D920C9">
        <w:rPr>
          <w:rFonts w:asciiTheme="minorHAnsi" w:hAnsiTheme="minorHAnsi"/>
          <w:bCs/>
        </w:rPr>
        <w:t>Another study showed that</w:t>
      </w:r>
      <w:r w:rsidR="00DE6ADF" w:rsidRPr="00D920C9">
        <w:rPr>
          <w:rFonts w:asciiTheme="minorHAnsi" w:hAnsiTheme="minorHAnsi"/>
          <w:bCs/>
        </w:rPr>
        <w:t xml:space="preserve"> more than one-fifth (22%) of transgender people who had interacted with police reported police harassment, and 6% of transgender individuals reported that they experienced bias-motivated assault by officers. </w:t>
      </w:r>
      <w:r w:rsidRPr="00D920C9">
        <w:rPr>
          <w:rFonts w:asciiTheme="minorHAnsi" w:hAnsiTheme="minorHAnsi"/>
          <w:bCs/>
        </w:rPr>
        <w:t xml:space="preserve">These numbers were much higher for </w:t>
      </w:r>
      <w:r w:rsidR="00710109" w:rsidRPr="00D920C9">
        <w:rPr>
          <w:rFonts w:asciiTheme="minorHAnsi" w:hAnsiTheme="minorHAnsi"/>
          <w:bCs/>
        </w:rPr>
        <w:t>black</w:t>
      </w:r>
      <w:r w:rsidR="00DE6ADF" w:rsidRPr="00D920C9">
        <w:rPr>
          <w:rFonts w:asciiTheme="minorHAnsi" w:hAnsiTheme="minorHAnsi"/>
          <w:bCs/>
        </w:rPr>
        <w:t xml:space="preserve"> transgender people</w:t>
      </w:r>
      <w:r w:rsidRPr="00D920C9">
        <w:rPr>
          <w:rFonts w:asciiTheme="minorHAnsi" w:hAnsiTheme="minorHAnsi"/>
          <w:bCs/>
        </w:rPr>
        <w:t>, who</w:t>
      </w:r>
      <w:r w:rsidR="00DE6ADF" w:rsidRPr="00D920C9">
        <w:rPr>
          <w:rFonts w:asciiTheme="minorHAnsi" w:hAnsiTheme="minorHAnsi"/>
          <w:bCs/>
        </w:rPr>
        <w:t xml:space="preserve"> reported much higher rates of biased harassment and assault (38% and 15%)</w:t>
      </w:r>
      <w:r w:rsidR="00F20EE7" w:rsidRPr="00D920C9">
        <w:rPr>
          <w:rFonts w:asciiTheme="minorHAnsi" w:hAnsiTheme="minorHAnsi"/>
          <w:bCs/>
        </w:rPr>
        <w:t>, respectively</w:t>
      </w:r>
      <w:r w:rsidR="00DE6ADF" w:rsidRPr="00D920C9">
        <w:rPr>
          <w:rFonts w:asciiTheme="minorHAnsi" w:hAnsiTheme="minorHAnsi"/>
          <w:bCs/>
        </w:rPr>
        <w:t>.</w:t>
      </w:r>
      <w:r w:rsidRPr="00D920C9">
        <w:rPr>
          <w:rStyle w:val="FootnoteReference"/>
          <w:rFonts w:asciiTheme="minorHAnsi" w:hAnsiTheme="minorHAnsi"/>
          <w:bCs/>
        </w:rPr>
        <w:footnoteReference w:id="380"/>
      </w:r>
    </w:p>
    <w:p w14:paraId="62ABE43B" w14:textId="77777777" w:rsidR="00B4412C" w:rsidRPr="00D920C9" w:rsidRDefault="00710109"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bCs/>
        </w:rPr>
        <w:t>G</w:t>
      </w:r>
      <w:r w:rsidR="00F20EE7" w:rsidRPr="00D920C9">
        <w:rPr>
          <w:rFonts w:asciiTheme="minorHAnsi" w:hAnsiTheme="minorHAnsi"/>
          <w:bCs/>
        </w:rPr>
        <w:t xml:space="preserve">iven the </w:t>
      </w:r>
      <w:r w:rsidR="00454092" w:rsidRPr="00D920C9">
        <w:rPr>
          <w:rFonts w:asciiTheme="minorHAnsi" w:hAnsiTheme="minorHAnsi"/>
          <w:bCs/>
        </w:rPr>
        <w:t xml:space="preserve">disproportionate impact of police violence on persons with mental illnesses and disabilities, youth, LGBTI </w:t>
      </w:r>
      <w:r w:rsidR="00454092" w:rsidRPr="00D920C9">
        <w:rPr>
          <w:rFonts w:asciiTheme="minorHAnsi" w:hAnsiTheme="minorHAnsi"/>
        </w:rPr>
        <w:t>individuals</w:t>
      </w:r>
      <w:r w:rsidR="00454092" w:rsidRPr="00D920C9">
        <w:rPr>
          <w:rFonts w:asciiTheme="minorHAnsi" w:hAnsiTheme="minorHAnsi"/>
          <w:bCs/>
        </w:rPr>
        <w:t>, and women</w:t>
      </w:r>
      <w:r w:rsidR="00F20EE7" w:rsidRPr="00D920C9">
        <w:rPr>
          <w:rFonts w:asciiTheme="minorHAnsi" w:hAnsiTheme="minorHAnsi"/>
          <w:bCs/>
        </w:rPr>
        <w:t xml:space="preserve">, </w:t>
      </w:r>
      <w:r w:rsidRPr="00D920C9">
        <w:rPr>
          <w:rFonts w:asciiTheme="minorHAnsi" w:hAnsiTheme="minorHAnsi"/>
          <w:bCs/>
        </w:rPr>
        <w:t xml:space="preserve">the Commission calls for </w:t>
      </w:r>
      <w:r w:rsidR="00454092" w:rsidRPr="00D920C9">
        <w:rPr>
          <w:rFonts w:asciiTheme="minorHAnsi" w:hAnsiTheme="minorHAnsi"/>
          <w:bCs/>
        </w:rPr>
        <w:t>additional</w:t>
      </w:r>
      <w:r w:rsidR="00F20EE7" w:rsidRPr="00D920C9">
        <w:rPr>
          <w:rFonts w:asciiTheme="minorHAnsi" w:hAnsiTheme="minorHAnsi"/>
          <w:bCs/>
        </w:rPr>
        <w:t xml:space="preserve"> research</w:t>
      </w:r>
      <w:r w:rsidR="00454092" w:rsidRPr="00D920C9">
        <w:rPr>
          <w:rFonts w:asciiTheme="minorHAnsi" w:hAnsiTheme="minorHAnsi"/>
          <w:bCs/>
        </w:rPr>
        <w:t xml:space="preserve"> and investigation</w:t>
      </w:r>
      <w:r w:rsidR="00F20EE7" w:rsidRPr="00D920C9">
        <w:rPr>
          <w:rFonts w:asciiTheme="minorHAnsi" w:hAnsiTheme="minorHAnsi"/>
          <w:bCs/>
        </w:rPr>
        <w:t xml:space="preserve"> </w:t>
      </w:r>
      <w:r w:rsidR="00454092" w:rsidRPr="00D920C9">
        <w:rPr>
          <w:rFonts w:asciiTheme="minorHAnsi" w:hAnsiTheme="minorHAnsi"/>
          <w:bCs/>
        </w:rPr>
        <w:t>to evaluate the scope, nature, and differential effects of police violence against these groups</w:t>
      </w:r>
      <w:r w:rsidR="00795650" w:rsidRPr="00D920C9">
        <w:rPr>
          <w:rFonts w:asciiTheme="minorHAnsi" w:hAnsiTheme="minorHAnsi"/>
          <w:bCs/>
        </w:rPr>
        <w:t xml:space="preserve"> and formulate effective public policy to prevent violence and mitigate its effects.</w:t>
      </w:r>
    </w:p>
    <w:p w14:paraId="775F9E4C" w14:textId="77777777" w:rsidR="00B4412C" w:rsidRPr="00D920C9" w:rsidRDefault="009F3240" w:rsidP="003D7958">
      <w:pPr>
        <w:pStyle w:val="Heading4"/>
        <w:ind w:left="540" w:hanging="540"/>
      </w:pPr>
      <w:bookmarkStart w:id="135" w:name="_Toc511837823"/>
      <w:bookmarkStart w:id="136" w:name="_Toc511902996"/>
      <w:bookmarkStart w:id="137" w:name="_Toc517687926"/>
      <w:r w:rsidRPr="00D920C9">
        <w:t xml:space="preserve">Poverty and </w:t>
      </w:r>
      <w:r w:rsidR="0013717A" w:rsidRPr="00D920C9">
        <w:t xml:space="preserve">Access </w:t>
      </w:r>
      <w:r w:rsidRPr="00D920C9">
        <w:t xml:space="preserve">to </w:t>
      </w:r>
      <w:r w:rsidR="0013717A" w:rsidRPr="00D920C9">
        <w:t>Health</w:t>
      </w:r>
      <w:r w:rsidRPr="00D920C9">
        <w:t xml:space="preserve">, </w:t>
      </w:r>
      <w:r w:rsidR="0013717A" w:rsidRPr="00D920C9">
        <w:t>Education</w:t>
      </w:r>
      <w:r w:rsidRPr="00D920C9">
        <w:t xml:space="preserve">, </w:t>
      </w:r>
      <w:r w:rsidR="0013717A" w:rsidRPr="00D920C9">
        <w:t>Housing</w:t>
      </w:r>
      <w:r w:rsidRPr="00D920C9">
        <w:t xml:space="preserve">, </w:t>
      </w:r>
      <w:r w:rsidR="0013717A" w:rsidRPr="00D920C9">
        <w:t>Work</w:t>
      </w:r>
      <w:r w:rsidRPr="00D920C9">
        <w:t xml:space="preserve">, and other </w:t>
      </w:r>
      <w:r w:rsidR="0013717A" w:rsidRPr="00D920C9">
        <w:t>Rights</w:t>
      </w:r>
      <w:bookmarkEnd w:id="135"/>
      <w:bookmarkEnd w:id="136"/>
      <w:bookmarkEnd w:id="137"/>
    </w:p>
    <w:p w14:paraId="2A48B4E9" w14:textId="77777777" w:rsidR="001B3BF3" w:rsidRPr="00D920C9" w:rsidRDefault="00710109"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P</w:t>
      </w:r>
      <w:r w:rsidR="001B3BF3" w:rsidRPr="00D920C9">
        <w:rPr>
          <w:rFonts w:asciiTheme="minorHAnsi" w:hAnsiTheme="minorHAnsi"/>
        </w:rPr>
        <w:t>ervasive racial discrimination in policing and the criminal justice system exists in a context of structural discrimination that affects virtually every aspect of life.</w:t>
      </w:r>
      <w:r w:rsidR="00F20EE7" w:rsidRPr="00D920C9">
        <w:rPr>
          <w:rStyle w:val="FootnoteReference"/>
          <w:rFonts w:asciiTheme="minorHAnsi" w:hAnsiTheme="minorHAnsi"/>
        </w:rPr>
        <w:footnoteReference w:id="381"/>
      </w:r>
      <w:r w:rsidR="001B3BF3" w:rsidRPr="00D920C9">
        <w:rPr>
          <w:rFonts w:asciiTheme="minorHAnsi" w:hAnsiTheme="minorHAnsi"/>
        </w:rPr>
        <w:t xml:space="preserve"> </w:t>
      </w:r>
      <w:r w:rsidR="0044226C" w:rsidRPr="00D920C9">
        <w:rPr>
          <w:rFonts w:asciiTheme="minorHAnsi" w:hAnsiTheme="minorHAnsi"/>
        </w:rPr>
        <w:t xml:space="preserve">As the Commission has previously noted, historic discrimination and the structural situation of poverty in which many African Americans live </w:t>
      </w:r>
      <w:r w:rsidR="004049C5" w:rsidRPr="00D920C9">
        <w:rPr>
          <w:rFonts w:asciiTheme="minorHAnsi" w:hAnsiTheme="minorHAnsi"/>
        </w:rPr>
        <w:t>is central to</w:t>
      </w:r>
      <w:r w:rsidR="0044226C" w:rsidRPr="00D920C9">
        <w:rPr>
          <w:rFonts w:asciiTheme="minorHAnsi" w:hAnsiTheme="minorHAnsi"/>
        </w:rPr>
        <w:t xml:space="preserve"> many of the problems </w:t>
      </w:r>
      <w:r w:rsidR="00DA69CF" w:rsidRPr="00D920C9">
        <w:rPr>
          <w:rFonts w:asciiTheme="minorHAnsi" w:hAnsiTheme="minorHAnsi"/>
        </w:rPr>
        <w:t xml:space="preserve">addressed in this report, including </w:t>
      </w:r>
      <w:r w:rsidR="0044226C" w:rsidRPr="00D920C9">
        <w:rPr>
          <w:rFonts w:asciiTheme="minorHAnsi" w:hAnsiTheme="minorHAnsi"/>
        </w:rPr>
        <w:t xml:space="preserve">overrepresentation in arrests and </w:t>
      </w:r>
      <w:r w:rsidR="00DA69CF" w:rsidRPr="00D920C9">
        <w:rPr>
          <w:rFonts w:asciiTheme="minorHAnsi" w:hAnsiTheme="minorHAnsi"/>
        </w:rPr>
        <w:t xml:space="preserve">in the </w:t>
      </w:r>
      <w:r w:rsidR="0044226C" w:rsidRPr="00D920C9">
        <w:rPr>
          <w:rFonts w:asciiTheme="minorHAnsi" w:hAnsiTheme="minorHAnsi"/>
        </w:rPr>
        <w:t>prison system, and unequal access to justice.</w:t>
      </w:r>
      <w:r w:rsidR="00DA69CF" w:rsidRPr="00D920C9">
        <w:rPr>
          <w:rStyle w:val="FootnoteReference"/>
          <w:rFonts w:asciiTheme="minorHAnsi" w:hAnsiTheme="minorHAnsi"/>
        </w:rPr>
        <w:footnoteReference w:id="382"/>
      </w:r>
      <w:r w:rsidR="0044226C" w:rsidRPr="00D920C9">
        <w:rPr>
          <w:rFonts w:asciiTheme="minorHAnsi" w:hAnsiTheme="minorHAnsi"/>
        </w:rPr>
        <w:t xml:space="preserve"> </w:t>
      </w:r>
      <w:r w:rsidR="004049C5" w:rsidRPr="00D920C9">
        <w:rPr>
          <w:rFonts w:asciiTheme="minorHAnsi" w:hAnsiTheme="minorHAnsi"/>
        </w:rPr>
        <w:t>T</w:t>
      </w:r>
      <w:r w:rsidR="00DA69CF" w:rsidRPr="00D920C9">
        <w:rPr>
          <w:rFonts w:asciiTheme="minorHAnsi" w:hAnsiTheme="minorHAnsi"/>
        </w:rPr>
        <w:t>he Commission has considered that</w:t>
      </w:r>
      <w:r w:rsidR="0044226C" w:rsidRPr="00D920C9">
        <w:rPr>
          <w:rFonts w:asciiTheme="minorHAnsi" w:hAnsiTheme="minorHAnsi"/>
        </w:rPr>
        <w:t xml:space="preserve"> the </w:t>
      </w:r>
      <w:r w:rsidR="0044226C" w:rsidRPr="00D920C9">
        <w:rPr>
          <w:rFonts w:asciiTheme="minorHAnsi" w:hAnsiTheme="minorHAnsi"/>
        </w:rPr>
        <w:lastRenderedPageBreak/>
        <w:t xml:space="preserve">enduring situation of poverty of many </w:t>
      </w:r>
      <w:r w:rsidR="004049C5" w:rsidRPr="00D920C9">
        <w:rPr>
          <w:rFonts w:asciiTheme="minorHAnsi" w:hAnsiTheme="minorHAnsi"/>
        </w:rPr>
        <w:t>black</w:t>
      </w:r>
      <w:r w:rsidR="0044226C" w:rsidRPr="00D920C9">
        <w:rPr>
          <w:rFonts w:asciiTheme="minorHAnsi" w:hAnsiTheme="minorHAnsi"/>
        </w:rPr>
        <w:t xml:space="preserve"> </w:t>
      </w:r>
      <w:r w:rsidRPr="00D920C9">
        <w:rPr>
          <w:rFonts w:asciiTheme="minorHAnsi" w:hAnsiTheme="minorHAnsi"/>
        </w:rPr>
        <w:t>communities</w:t>
      </w:r>
      <w:r w:rsidR="0044226C" w:rsidRPr="00D920C9">
        <w:rPr>
          <w:rFonts w:asciiTheme="minorHAnsi" w:hAnsiTheme="minorHAnsi"/>
        </w:rPr>
        <w:t xml:space="preserve"> exacerbates their disproportionate abuse and </w:t>
      </w:r>
      <w:r w:rsidR="00DA69CF" w:rsidRPr="00D920C9">
        <w:rPr>
          <w:rFonts w:asciiTheme="minorHAnsi" w:hAnsiTheme="minorHAnsi"/>
        </w:rPr>
        <w:t>mis</w:t>
      </w:r>
      <w:r w:rsidR="0044226C" w:rsidRPr="00D920C9">
        <w:rPr>
          <w:rFonts w:asciiTheme="minorHAnsi" w:hAnsiTheme="minorHAnsi"/>
        </w:rPr>
        <w:t xml:space="preserve">treatment </w:t>
      </w:r>
      <w:r w:rsidR="00F20EE7" w:rsidRPr="00D920C9">
        <w:rPr>
          <w:rFonts w:asciiTheme="minorHAnsi" w:hAnsiTheme="minorHAnsi"/>
        </w:rPr>
        <w:t>at</w:t>
      </w:r>
      <w:r w:rsidR="0044226C" w:rsidRPr="00D920C9">
        <w:rPr>
          <w:rFonts w:asciiTheme="minorHAnsi" w:hAnsiTheme="minorHAnsi"/>
        </w:rPr>
        <w:t xml:space="preserve"> the hands of the criminal justice system and the police, which in turn aborts efforts to overcome such poverty.</w:t>
      </w:r>
      <w:r w:rsidR="0044226C" w:rsidRPr="00D920C9">
        <w:rPr>
          <w:rStyle w:val="FootnoteReference"/>
          <w:rFonts w:asciiTheme="minorHAnsi" w:hAnsiTheme="minorHAnsi"/>
        </w:rPr>
        <w:footnoteReference w:id="383"/>
      </w:r>
      <w:r w:rsidR="00DA69CF" w:rsidRPr="00D920C9">
        <w:rPr>
          <w:rFonts w:asciiTheme="minorHAnsi" w:hAnsiTheme="minorHAnsi"/>
        </w:rPr>
        <w:t xml:space="preserve"> </w:t>
      </w:r>
      <w:r w:rsidR="00A02B96" w:rsidRPr="00D920C9">
        <w:rPr>
          <w:rFonts w:asciiTheme="minorHAnsi" w:hAnsiTheme="minorHAnsi"/>
        </w:rPr>
        <w:t xml:space="preserve">Thus, </w:t>
      </w:r>
      <w:r w:rsidR="001B3BF3" w:rsidRPr="00D920C9">
        <w:rPr>
          <w:rFonts w:asciiTheme="minorHAnsi" w:hAnsiTheme="minorHAnsi"/>
        </w:rPr>
        <w:t>while African</w:t>
      </w:r>
      <w:r w:rsidR="0030356C" w:rsidRPr="00D920C9">
        <w:rPr>
          <w:rFonts w:asciiTheme="minorHAnsi" w:hAnsiTheme="minorHAnsi"/>
        </w:rPr>
        <w:t xml:space="preserve"> </w:t>
      </w:r>
      <w:r w:rsidR="001B3BF3" w:rsidRPr="00D920C9">
        <w:rPr>
          <w:rFonts w:asciiTheme="minorHAnsi" w:hAnsiTheme="minorHAnsi"/>
        </w:rPr>
        <w:t>Americans in general are disproportionately affected by police violence and discrimination in the justice system,</w:t>
      </w:r>
      <w:r w:rsidR="001B3BF3" w:rsidRPr="00D920C9">
        <w:rPr>
          <w:rStyle w:val="FootnoteReference"/>
          <w:rFonts w:asciiTheme="minorHAnsi" w:hAnsiTheme="minorHAnsi"/>
        </w:rPr>
        <w:footnoteReference w:id="384"/>
      </w:r>
      <w:r w:rsidR="00A913B1" w:rsidRPr="00D920C9">
        <w:rPr>
          <w:rFonts w:asciiTheme="minorHAnsi" w:hAnsiTheme="minorHAnsi"/>
        </w:rPr>
        <w:t xml:space="preserve"> it is poor African American communities that are </w:t>
      </w:r>
      <w:r w:rsidR="00841F00" w:rsidRPr="00D920C9">
        <w:rPr>
          <w:rFonts w:asciiTheme="minorHAnsi" w:hAnsiTheme="minorHAnsi"/>
        </w:rPr>
        <w:t xml:space="preserve">most </w:t>
      </w:r>
      <w:r w:rsidR="00A913B1" w:rsidRPr="00D920C9">
        <w:rPr>
          <w:rFonts w:asciiTheme="minorHAnsi" w:hAnsiTheme="minorHAnsi"/>
        </w:rPr>
        <w:t>impacted.</w:t>
      </w:r>
    </w:p>
    <w:p w14:paraId="42510651" w14:textId="507F5C44" w:rsidR="00B4412C" w:rsidRPr="00D920C9" w:rsidRDefault="0016547D" w:rsidP="00E86698">
      <w:pPr>
        <w:pStyle w:val="ListParagraph"/>
        <w:numPr>
          <w:ilvl w:val="0"/>
          <w:numId w:val="9"/>
        </w:numPr>
        <w:spacing w:after="240" w:line="240" w:lineRule="auto"/>
        <w:ind w:left="547" w:hanging="547"/>
        <w:contextualSpacing w:val="0"/>
        <w:jc w:val="both"/>
        <w:rPr>
          <w:rFonts w:asciiTheme="minorHAnsi" w:hAnsiTheme="minorHAnsi"/>
        </w:rPr>
      </w:pPr>
      <w:bookmarkStart w:id="138" w:name="_Ref511150077"/>
      <w:r w:rsidRPr="00D920C9">
        <w:rPr>
          <w:rFonts w:asciiTheme="minorHAnsi" w:hAnsiTheme="minorHAnsi"/>
        </w:rPr>
        <w:t>Information indicates that while African Americans make up 13 percent of the U</w:t>
      </w:r>
      <w:r w:rsidR="00C45A79" w:rsidRPr="00D920C9">
        <w:rPr>
          <w:rFonts w:asciiTheme="minorHAnsi" w:hAnsiTheme="minorHAnsi"/>
        </w:rPr>
        <w:t>.</w:t>
      </w:r>
      <w:r w:rsidRPr="00D920C9">
        <w:rPr>
          <w:rFonts w:asciiTheme="minorHAnsi" w:hAnsiTheme="minorHAnsi"/>
        </w:rPr>
        <w:t>S</w:t>
      </w:r>
      <w:r w:rsidR="00C45A79" w:rsidRPr="00D920C9">
        <w:rPr>
          <w:rFonts w:asciiTheme="minorHAnsi" w:hAnsiTheme="minorHAnsi"/>
        </w:rPr>
        <w:t>.</w:t>
      </w:r>
      <w:r w:rsidRPr="00D920C9">
        <w:rPr>
          <w:rFonts w:asciiTheme="minorHAnsi" w:hAnsiTheme="minorHAnsi"/>
        </w:rPr>
        <w:t xml:space="preserve"> population, they make up 23 percent of those officially in poverty and 39 percent of </w:t>
      </w:r>
      <w:r w:rsidR="00F20EE7" w:rsidRPr="00D920C9">
        <w:rPr>
          <w:rFonts w:asciiTheme="minorHAnsi" w:hAnsiTheme="minorHAnsi"/>
        </w:rPr>
        <w:t>those experiencing homelessness</w:t>
      </w:r>
      <w:r w:rsidRPr="00D920C9">
        <w:rPr>
          <w:rFonts w:asciiTheme="minorHAnsi" w:hAnsiTheme="minorHAnsi"/>
        </w:rPr>
        <w:t>.</w:t>
      </w:r>
      <w:r w:rsidRPr="00D920C9">
        <w:rPr>
          <w:rStyle w:val="FootnoteReference"/>
          <w:rFonts w:asciiTheme="minorHAnsi" w:hAnsiTheme="minorHAnsi"/>
        </w:rPr>
        <w:footnoteReference w:id="385"/>
      </w:r>
      <w:r w:rsidRPr="00D920C9">
        <w:rPr>
          <w:rFonts w:asciiTheme="minorHAnsi" w:hAnsiTheme="minorHAnsi"/>
        </w:rPr>
        <w:t xml:space="preserve"> </w:t>
      </w:r>
      <w:r w:rsidR="00A02B96" w:rsidRPr="00D920C9">
        <w:rPr>
          <w:rFonts w:asciiTheme="minorHAnsi" w:hAnsiTheme="minorHAnsi"/>
        </w:rPr>
        <w:t>E</w:t>
      </w:r>
      <w:r w:rsidR="00A913B1" w:rsidRPr="00D920C9">
        <w:rPr>
          <w:rFonts w:asciiTheme="minorHAnsi" w:hAnsiTheme="minorHAnsi"/>
        </w:rPr>
        <w:t xml:space="preserve">vidence indicates that </w:t>
      </w:r>
      <w:r w:rsidR="00770625" w:rsidRPr="00D920C9">
        <w:rPr>
          <w:rFonts w:asciiTheme="minorHAnsi" w:hAnsiTheme="minorHAnsi"/>
        </w:rPr>
        <w:t xml:space="preserve">poor </w:t>
      </w:r>
      <w:r w:rsidR="00A02B96" w:rsidRPr="00D920C9">
        <w:rPr>
          <w:rFonts w:asciiTheme="minorHAnsi" w:hAnsiTheme="minorHAnsi"/>
        </w:rPr>
        <w:t>black</w:t>
      </w:r>
      <w:r w:rsidR="00770625" w:rsidRPr="00D920C9">
        <w:rPr>
          <w:rFonts w:asciiTheme="minorHAnsi" w:hAnsiTheme="minorHAnsi"/>
        </w:rPr>
        <w:t xml:space="preserve"> communities (and other </w:t>
      </w:r>
      <w:r w:rsidR="00A02B96" w:rsidRPr="00D920C9">
        <w:rPr>
          <w:rFonts w:asciiTheme="minorHAnsi" w:hAnsiTheme="minorHAnsi"/>
        </w:rPr>
        <w:t>historically marginalized communities</w:t>
      </w:r>
      <w:r w:rsidR="00770625" w:rsidRPr="00D920C9">
        <w:rPr>
          <w:rFonts w:asciiTheme="minorHAnsi" w:hAnsiTheme="minorHAnsi"/>
        </w:rPr>
        <w:t>) are disproportionately targeted by over-policing practices—both “Broken Window”-type policing and policing for profit. This makes them more likely both to be the victims of police brutality, and to be arrested. Once arrested, they are less likely to be able to make bail, and thus more likely to have their family and work lives disrupted by pretrial detention and more likely to re-offend prior to their court dates. Because they are less likely to be able to afford a lawyer, they are more likely to be represented by public defender offices that provide a lower level of service</w:t>
      </w:r>
      <w:r w:rsidR="00543FF0" w:rsidRPr="00D920C9">
        <w:rPr>
          <w:rFonts w:asciiTheme="minorHAnsi" w:hAnsiTheme="minorHAnsi"/>
        </w:rPr>
        <w:t xml:space="preserve"> due to limited resources</w:t>
      </w:r>
      <w:r w:rsidR="00770625" w:rsidRPr="00D920C9">
        <w:rPr>
          <w:rFonts w:asciiTheme="minorHAnsi" w:hAnsiTheme="minorHAnsi"/>
        </w:rPr>
        <w:t>. They are statistically more likely to take plea deals, including pleading guilty to be able to leave pretrial detention, and more likely to serve longer prison sentences.</w:t>
      </w:r>
      <w:r w:rsidR="00770625" w:rsidRPr="00D920C9">
        <w:rPr>
          <w:rStyle w:val="FootnoteReference"/>
          <w:rFonts w:asciiTheme="minorHAnsi" w:hAnsiTheme="minorHAnsi"/>
        </w:rPr>
        <w:footnoteReference w:id="386"/>
      </w:r>
      <w:r w:rsidR="00770625" w:rsidRPr="00D920C9">
        <w:rPr>
          <w:rFonts w:asciiTheme="minorHAnsi" w:hAnsiTheme="minorHAnsi"/>
        </w:rPr>
        <w:t xml:space="preserve">  As a result, </w:t>
      </w:r>
      <w:r w:rsidR="00B4412C" w:rsidRPr="00D920C9">
        <w:rPr>
          <w:rFonts w:asciiTheme="minorHAnsi" w:hAnsiTheme="minorHAnsi"/>
        </w:rPr>
        <w:t xml:space="preserve">mass incarceration </w:t>
      </w:r>
      <w:r w:rsidR="00770625" w:rsidRPr="00D920C9">
        <w:rPr>
          <w:rFonts w:asciiTheme="minorHAnsi" w:hAnsiTheme="minorHAnsi"/>
        </w:rPr>
        <w:t>can be described as</w:t>
      </w:r>
      <w:r w:rsidR="00B4412C" w:rsidRPr="00D920C9">
        <w:rPr>
          <w:rFonts w:asciiTheme="minorHAnsi" w:hAnsiTheme="minorHAnsi"/>
        </w:rPr>
        <w:t xml:space="preserve"> a “racially, spatially and socioeconomically targeted phenomenon that disproportionately afflicts lower-class African</w:t>
      </w:r>
      <w:r w:rsidR="0030356C" w:rsidRPr="00D920C9">
        <w:rPr>
          <w:rFonts w:asciiTheme="minorHAnsi" w:hAnsiTheme="minorHAnsi"/>
        </w:rPr>
        <w:t xml:space="preserve"> </w:t>
      </w:r>
      <w:r w:rsidR="00B4412C" w:rsidRPr="00D920C9">
        <w:rPr>
          <w:rFonts w:asciiTheme="minorHAnsi" w:hAnsiTheme="minorHAnsi"/>
        </w:rPr>
        <w:t>American and Hispanic residents of degraded urban spaces</w:t>
      </w:r>
      <w:r w:rsidR="00770625" w:rsidRPr="00D920C9">
        <w:rPr>
          <w:rFonts w:asciiTheme="minorHAnsi" w:hAnsiTheme="minorHAnsi"/>
        </w:rPr>
        <w:t>.</w:t>
      </w:r>
      <w:r w:rsidR="00B4412C" w:rsidRPr="00D920C9">
        <w:rPr>
          <w:rFonts w:asciiTheme="minorHAnsi" w:hAnsiTheme="minorHAnsi"/>
        </w:rPr>
        <w:t>”</w:t>
      </w:r>
      <w:r w:rsidR="00770625" w:rsidRPr="00D920C9">
        <w:rPr>
          <w:rStyle w:val="FootnoteReference"/>
          <w:rFonts w:asciiTheme="minorHAnsi" w:hAnsiTheme="minorHAnsi"/>
        </w:rPr>
        <w:footnoteReference w:id="387"/>
      </w:r>
      <w:bookmarkEnd w:id="138"/>
    </w:p>
    <w:p w14:paraId="396C29B1" w14:textId="77777777" w:rsidR="00B4412C" w:rsidRPr="00D920C9" w:rsidRDefault="00B4412C"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Commission </w:t>
      </w:r>
      <w:r w:rsidR="00637E41" w:rsidRPr="00D920C9">
        <w:rPr>
          <w:rFonts w:asciiTheme="minorHAnsi" w:hAnsiTheme="minorHAnsi"/>
        </w:rPr>
        <w:t>notes that the</w:t>
      </w:r>
      <w:r w:rsidR="004049C5" w:rsidRPr="00D920C9">
        <w:rPr>
          <w:rFonts w:asciiTheme="minorHAnsi" w:hAnsiTheme="minorHAnsi"/>
        </w:rPr>
        <w:t>se</w:t>
      </w:r>
      <w:r w:rsidR="00637E41" w:rsidRPr="00D920C9">
        <w:rPr>
          <w:rFonts w:asciiTheme="minorHAnsi" w:hAnsiTheme="minorHAnsi"/>
        </w:rPr>
        <w:t xml:space="preserve"> issues may be aggravated in the context of drug use and dependence. It has</w:t>
      </w:r>
      <w:r w:rsidR="00A02B96" w:rsidRPr="00D920C9">
        <w:rPr>
          <w:rFonts w:asciiTheme="minorHAnsi" w:hAnsiTheme="minorHAnsi"/>
        </w:rPr>
        <w:t xml:space="preserve"> previously stated that to</w:t>
      </w:r>
      <w:r w:rsidR="00180E33" w:rsidRPr="00D920C9">
        <w:rPr>
          <w:rFonts w:asciiTheme="minorHAnsi" w:hAnsiTheme="minorHAnsi"/>
        </w:rPr>
        <w:t xml:space="preserve"> avoid the criminalization of addiction and </w:t>
      </w:r>
      <w:r w:rsidRPr="00D920C9">
        <w:rPr>
          <w:rFonts w:asciiTheme="minorHAnsi" w:hAnsiTheme="minorHAnsi"/>
        </w:rPr>
        <w:t>avoid recidivism</w:t>
      </w:r>
      <w:r w:rsidR="00A02B96" w:rsidRPr="00D920C9">
        <w:rPr>
          <w:rFonts w:asciiTheme="minorHAnsi" w:hAnsiTheme="minorHAnsi"/>
        </w:rPr>
        <w:t>,</w:t>
      </w:r>
      <w:r w:rsidR="00637E41" w:rsidRPr="00D920C9">
        <w:rPr>
          <w:rFonts w:asciiTheme="minorHAnsi" w:hAnsiTheme="minorHAnsi"/>
        </w:rPr>
        <w:t xml:space="preserve"> </w:t>
      </w:r>
      <w:r w:rsidRPr="00D920C9">
        <w:rPr>
          <w:rFonts w:asciiTheme="minorHAnsi" w:hAnsiTheme="minorHAnsi"/>
        </w:rPr>
        <w:t>“States should have a social and community support network that includes education, employment, housing, and health programs [...] [T]</w:t>
      </w:r>
      <w:proofErr w:type="spellStart"/>
      <w:r w:rsidRPr="00D920C9">
        <w:rPr>
          <w:rFonts w:asciiTheme="minorHAnsi" w:hAnsiTheme="minorHAnsi"/>
        </w:rPr>
        <w:t>hese</w:t>
      </w:r>
      <w:proofErr w:type="spellEnd"/>
      <w:r w:rsidRPr="00D920C9">
        <w:rPr>
          <w:rFonts w:asciiTheme="minorHAnsi" w:hAnsiTheme="minorHAnsi"/>
        </w:rPr>
        <w:t xml:space="preserve"> models should have the assistance of various institutions and a multidisciplinary team with an integral view of the beneficiaries’ psychosocial health.”</w:t>
      </w:r>
      <w:r w:rsidRPr="00D920C9">
        <w:rPr>
          <w:rStyle w:val="FootnoteReference"/>
          <w:rFonts w:asciiTheme="minorHAnsi" w:hAnsiTheme="minorHAnsi"/>
        </w:rPr>
        <w:footnoteReference w:id="388"/>
      </w:r>
      <w:r w:rsidRPr="00D920C9">
        <w:rPr>
          <w:rFonts w:asciiTheme="minorHAnsi" w:hAnsiTheme="minorHAnsi"/>
        </w:rPr>
        <w:t xml:space="preserve"> The </w:t>
      </w:r>
      <w:r w:rsidRPr="00D920C9">
        <w:rPr>
          <w:rFonts w:asciiTheme="minorHAnsi" w:hAnsiTheme="minorHAnsi"/>
        </w:rPr>
        <w:lastRenderedPageBreak/>
        <w:t>Commission notes with concern that the</w:t>
      </w:r>
      <w:r w:rsidR="004049C5" w:rsidRPr="00D920C9">
        <w:rPr>
          <w:rFonts w:asciiTheme="minorHAnsi" w:hAnsiTheme="minorHAnsi"/>
        </w:rPr>
        <w:t xml:space="preserve"> U.S.’ current legal framework </w:t>
      </w:r>
      <w:r w:rsidR="00180E33" w:rsidRPr="00D920C9">
        <w:rPr>
          <w:rFonts w:asciiTheme="minorHAnsi" w:hAnsiTheme="minorHAnsi"/>
        </w:rPr>
        <w:t xml:space="preserve">not only extensively criminalizes drug possession but also, </w:t>
      </w:r>
      <w:r w:rsidRPr="00D920C9">
        <w:rPr>
          <w:rFonts w:asciiTheme="minorHAnsi" w:hAnsiTheme="minorHAnsi"/>
        </w:rPr>
        <w:t>through a variety of laws and policies</w:t>
      </w:r>
      <w:r w:rsidR="00180E33" w:rsidRPr="00D920C9">
        <w:rPr>
          <w:rFonts w:asciiTheme="minorHAnsi" w:hAnsiTheme="minorHAnsi"/>
        </w:rPr>
        <w:t>,</w:t>
      </w:r>
      <w:r w:rsidRPr="00D920C9">
        <w:rPr>
          <w:rFonts w:asciiTheme="minorHAnsi" w:hAnsiTheme="minorHAnsi"/>
        </w:rPr>
        <w:t xml:space="preserve"> </w:t>
      </w:r>
      <w:r w:rsidR="00FD3DC0" w:rsidRPr="00D920C9">
        <w:rPr>
          <w:rFonts w:asciiTheme="minorHAnsi" w:hAnsiTheme="minorHAnsi"/>
        </w:rPr>
        <w:t>tends to exclude</w:t>
      </w:r>
      <w:r w:rsidRPr="00D920C9">
        <w:rPr>
          <w:rFonts w:asciiTheme="minorHAnsi" w:hAnsiTheme="minorHAnsi"/>
        </w:rPr>
        <w:t xml:space="preserve"> persons with prior felony convictions from accessing housing and public benefits and </w:t>
      </w:r>
      <w:r w:rsidR="00180E33" w:rsidRPr="00D920C9">
        <w:rPr>
          <w:rFonts w:asciiTheme="minorHAnsi" w:hAnsiTheme="minorHAnsi"/>
        </w:rPr>
        <w:t>does not effectively prevent</w:t>
      </w:r>
      <w:r w:rsidRPr="00D920C9">
        <w:rPr>
          <w:rFonts w:asciiTheme="minorHAnsi" w:hAnsiTheme="minorHAnsi"/>
        </w:rPr>
        <w:t xml:space="preserve"> employment discrimination against such individuals,</w:t>
      </w:r>
      <w:r w:rsidRPr="00D920C9">
        <w:rPr>
          <w:rStyle w:val="FootnoteReference"/>
          <w:rFonts w:asciiTheme="minorHAnsi" w:hAnsiTheme="minorHAnsi"/>
        </w:rPr>
        <w:footnoteReference w:id="389"/>
      </w:r>
      <w:r w:rsidRPr="00D920C9">
        <w:rPr>
          <w:rFonts w:asciiTheme="minorHAnsi" w:hAnsiTheme="minorHAnsi"/>
        </w:rPr>
        <w:t xml:space="preserve"> mak</w:t>
      </w:r>
      <w:r w:rsidR="004238D7" w:rsidRPr="00D920C9">
        <w:rPr>
          <w:rFonts w:asciiTheme="minorHAnsi" w:hAnsiTheme="minorHAnsi"/>
        </w:rPr>
        <w:t>ing</w:t>
      </w:r>
      <w:r w:rsidRPr="00D920C9">
        <w:rPr>
          <w:rFonts w:asciiTheme="minorHAnsi" w:hAnsiTheme="minorHAnsi"/>
        </w:rPr>
        <w:t xml:space="preserve"> following this recommendation difficult if not impossible in many cases. The Commission calls on the State to reform these laws and policies to enable it to address problems of drug addiction from a public health perspective and ensure access to and effective enjoyment of economic, social, cultural, and environmental rights to all individuals subject to its jurisdiction, without discrimination. </w:t>
      </w:r>
    </w:p>
    <w:p w14:paraId="05884418" w14:textId="77777777" w:rsidR="001F1D81" w:rsidRPr="00D920C9" w:rsidRDefault="009F3240" w:rsidP="00625D97">
      <w:pPr>
        <w:pStyle w:val="Heading2"/>
        <w:ind w:left="540" w:hanging="540"/>
      </w:pPr>
      <w:bookmarkStart w:id="139" w:name="_Toc511837824"/>
      <w:bookmarkStart w:id="140" w:name="_Toc511902997"/>
      <w:bookmarkStart w:id="141" w:name="_Toc517687927"/>
      <w:r w:rsidRPr="00D920C9">
        <w:t xml:space="preserve">Information </w:t>
      </w:r>
      <w:r w:rsidR="00E020AC" w:rsidRPr="00D920C9">
        <w:t>about</w:t>
      </w:r>
      <w:r w:rsidRPr="00D920C9">
        <w:t xml:space="preserve"> </w:t>
      </w:r>
      <w:r w:rsidR="0013717A" w:rsidRPr="00D920C9">
        <w:t>Federal Initiatives</w:t>
      </w:r>
      <w:bookmarkEnd w:id="139"/>
      <w:bookmarkEnd w:id="140"/>
      <w:bookmarkEnd w:id="141"/>
    </w:p>
    <w:p w14:paraId="57A9098F" w14:textId="1EB90641" w:rsidR="00CD3242" w:rsidRPr="00D920C9" w:rsidRDefault="00597062"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cs="Times"/>
          <w:szCs w:val="20"/>
        </w:rPr>
        <w:t xml:space="preserve">The IACHR has received information in recent years from the </w:t>
      </w:r>
      <w:r w:rsidR="004238D7" w:rsidRPr="00D920C9">
        <w:rPr>
          <w:rFonts w:asciiTheme="minorHAnsi" w:hAnsiTheme="minorHAnsi" w:cs="Times"/>
          <w:szCs w:val="20"/>
        </w:rPr>
        <w:t>State</w:t>
      </w:r>
      <w:r w:rsidRPr="00D920C9">
        <w:rPr>
          <w:rFonts w:asciiTheme="minorHAnsi" w:hAnsiTheme="minorHAnsi" w:cs="Times"/>
          <w:szCs w:val="20"/>
        </w:rPr>
        <w:t xml:space="preserve"> </w:t>
      </w:r>
      <w:r w:rsidR="004238D7" w:rsidRPr="00D920C9">
        <w:rPr>
          <w:rFonts w:asciiTheme="minorHAnsi" w:hAnsiTheme="minorHAnsi" w:cs="Times"/>
          <w:szCs w:val="20"/>
        </w:rPr>
        <w:t>and other sources about</w:t>
      </w:r>
      <w:r w:rsidRPr="00D920C9">
        <w:rPr>
          <w:rFonts w:asciiTheme="minorHAnsi" w:hAnsiTheme="minorHAnsi" w:cs="Times"/>
          <w:szCs w:val="20"/>
        </w:rPr>
        <w:t xml:space="preserve"> policing practices and reform initiatives</w:t>
      </w:r>
      <w:r w:rsidR="004238D7" w:rsidRPr="00D920C9">
        <w:rPr>
          <w:rFonts w:asciiTheme="minorHAnsi" w:hAnsiTheme="minorHAnsi" w:cs="Times"/>
          <w:szCs w:val="20"/>
        </w:rPr>
        <w:t>. While information about State actions is contained throughout the report,</w:t>
      </w:r>
      <w:r w:rsidR="004238D7" w:rsidRPr="00D920C9">
        <w:rPr>
          <w:rStyle w:val="FootnoteReference"/>
          <w:rFonts w:asciiTheme="minorHAnsi" w:hAnsiTheme="minorHAnsi" w:cs="Times"/>
          <w:szCs w:val="20"/>
        </w:rPr>
        <w:footnoteReference w:id="390"/>
      </w:r>
      <w:r w:rsidR="004238D7" w:rsidRPr="00D920C9">
        <w:rPr>
          <w:rFonts w:asciiTheme="minorHAnsi" w:hAnsiTheme="minorHAnsi" w:cs="Times"/>
          <w:szCs w:val="20"/>
        </w:rPr>
        <w:t xml:space="preserve"> the </w:t>
      </w:r>
      <w:r w:rsidR="004238D7" w:rsidRPr="00D920C9">
        <w:rPr>
          <w:rFonts w:asciiTheme="minorHAnsi" w:hAnsiTheme="minorHAnsi"/>
        </w:rPr>
        <w:t>Commission</w:t>
      </w:r>
      <w:r w:rsidR="004238D7" w:rsidRPr="00D920C9">
        <w:rPr>
          <w:rFonts w:asciiTheme="minorHAnsi" w:hAnsiTheme="minorHAnsi" w:cs="Times"/>
          <w:szCs w:val="20"/>
        </w:rPr>
        <w:t xml:space="preserve"> </w:t>
      </w:r>
      <w:r w:rsidR="00EE6D22" w:rsidRPr="00D920C9">
        <w:rPr>
          <w:rFonts w:asciiTheme="minorHAnsi" w:hAnsiTheme="minorHAnsi" w:cs="Times"/>
          <w:szCs w:val="20"/>
        </w:rPr>
        <w:t>finds</w:t>
      </w:r>
      <w:r w:rsidR="004238D7" w:rsidRPr="00D920C9">
        <w:rPr>
          <w:rFonts w:asciiTheme="minorHAnsi" w:hAnsiTheme="minorHAnsi" w:cs="Times"/>
          <w:szCs w:val="20"/>
        </w:rPr>
        <w:t xml:space="preserve"> it useful to </w:t>
      </w:r>
      <w:r w:rsidR="00EE6D22" w:rsidRPr="00D920C9">
        <w:rPr>
          <w:rFonts w:asciiTheme="minorHAnsi" w:hAnsiTheme="minorHAnsi" w:cs="Times"/>
          <w:szCs w:val="20"/>
        </w:rPr>
        <w:t>consider</w:t>
      </w:r>
      <w:r w:rsidR="004238D7" w:rsidRPr="00D920C9">
        <w:rPr>
          <w:rFonts w:asciiTheme="minorHAnsi" w:hAnsiTheme="minorHAnsi" w:cs="Times"/>
          <w:szCs w:val="20"/>
        </w:rPr>
        <w:t xml:space="preserve"> here the </w:t>
      </w:r>
      <w:r w:rsidR="00EE6D22" w:rsidRPr="00D920C9">
        <w:rPr>
          <w:rFonts w:asciiTheme="minorHAnsi" w:hAnsiTheme="minorHAnsi" w:cs="Times"/>
          <w:szCs w:val="20"/>
        </w:rPr>
        <w:t xml:space="preserve">federal </w:t>
      </w:r>
      <w:r w:rsidR="004238D7" w:rsidRPr="00D920C9">
        <w:rPr>
          <w:rFonts w:asciiTheme="minorHAnsi" w:hAnsiTheme="minorHAnsi" w:cs="Times"/>
          <w:szCs w:val="20"/>
        </w:rPr>
        <w:t xml:space="preserve">actions and initiatives that it </w:t>
      </w:r>
      <w:r w:rsidR="00EE6D22" w:rsidRPr="00D920C9">
        <w:rPr>
          <w:rFonts w:asciiTheme="minorHAnsi" w:hAnsiTheme="minorHAnsi" w:cs="Times"/>
          <w:szCs w:val="20"/>
        </w:rPr>
        <w:t>sees as</w:t>
      </w:r>
      <w:r w:rsidR="004238D7" w:rsidRPr="00D920C9">
        <w:rPr>
          <w:rFonts w:asciiTheme="minorHAnsi" w:hAnsiTheme="minorHAnsi" w:cs="Times"/>
          <w:szCs w:val="20"/>
        </w:rPr>
        <w:t xml:space="preserve"> most relevant to the issue of police violence,</w:t>
      </w:r>
      <w:r w:rsidRPr="00D920C9">
        <w:rPr>
          <w:rFonts w:asciiTheme="minorHAnsi" w:hAnsiTheme="minorHAnsi" w:cs="Times"/>
          <w:szCs w:val="20"/>
        </w:rPr>
        <w:t xml:space="preserve"> including prominently the President</w:t>
      </w:r>
      <w:r w:rsidR="007B00C7" w:rsidRPr="00D920C9">
        <w:rPr>
          <w:rFonts w:asciiTheme="minorHAnsi" w:hAnsiTheme="minorHAnsi" w:cs="Times"/>
          <w:szCs w:val="20"/>
        </w:rPr>
        <w:t xml:space="preserve"> Obama’s</w:t>
      </w:r>
      <w:r w:rsidRPr="00D920C9">
        <w:rPr>
          <w:rFonts w:asciiTheme="minorHAnsi" w:hAnsiTheme="minorHAnsi" w:cs="Times"/>
          <w:szCs w:val="20"/>
        </w:rPr>
        <w:t xml:space="preserve"> Task Force on 21</w:t>
      </w:r>
      <w:r w:rsidRPr="00D920C9">
        <w:rPr>
          <w:rFonts w:asciiTheme="minorHAnsi" w:hAnsiTheme="minorHAnsi" w:cs="Times"/>
          <w:szCs w:val="20"/>
          <w:vertAlign w:val="superscript"/>
        </w:rPr>
        <w:t>st</w:t>
      </w:r>
      <w:r w:rsidRPr="00D920C9">
        <w:rPr>
          <w:rFonts w:asciiTheme="minorHAnsi" w:hAnsiTheme="minorHAnsi" w:cs="Times"/>
          <w:szCs w:val="20"/>
        </w:rPr>
        <w:t xml:space="preserve"> Century Policing (concluded in 2015) and investigations of local police departments by the </w:t>
      </w:r>
      <w:r w:rsidR="004238D7" w:rsidRPr="00D920C9">
        <w:rPr>
          <w:rFonts w:asciiTheme="minorHAnsi" w:hAnsiTheme="minorHAnsi" w:cs="Times"/>
          <w:szCs w:val="20"/>
        </w:rPr>
        <w:t>DOJ</w:t>
      </w:r>
      <w:r w:rsidRPr="00D920C9">
        <w:rPr>
          <w:rFonts w:asciiTheme="minorHAnsi" w:hAnsiTheme="minorHAnsi" w:cs="Times"/>
          <w:szCs w:val="20"/>
        </w:rPr>
        <w:t xml:space="preserve"> Ci</w:t>
      </w:r>
      <w:r w:rsidR="004238D7" w:rsidRPr="00D920C9">
        <w:rPr>
          <w:rFonts w:asciiTheme="minorHAnsi" w:hAnsiTheme="minorHAnsi" w:cs="Times"/>
          <w:szCs w:val="20"/>
        </w:rPr>
        <w:t>vil Rights Division</w:t>
      </w:r>
      <w:r w:rsidRPr="00D920C9">
        <w:rPr>
          <w:rFonts w:asciiTheme="minorHAnsi" w:hAnsiTheme="minorHAnsi" w:cs="Times"/>
          <w:szCs w:val="20"/>
        </w:rPr>
        <w:t>.</w:t>
      </w:r>
    </w:p>
    <w:p w14:paraId="0AE09FAC" w14:textId="52C67D90" w:rsidR="00772E4F" w:rsidRPr="00D920C9" w:rsidRDefault="00597062" w:rsidP="00365773">
      <w:pPr>
        <w:pStyle w:val="Heading3"/>
        <w:numPr>
          <w:ilvl w:val="0"/>
          <w:numId w:val="36"/>
        </w:numPr>
        <w:ind w:left="540" w:hanging="540"/>
      </w:pPr>
      <w:bookmarkStart w:id="142" w:name="_Toc511837825"/>
      <w:bookmarkStart w:id="143" w:name="_Toc511902998"/>
      <w:bookmarkStart w:id="144" w:name="_Toc517687928"/>
      <w:r w:rsidRPr="00D920C9">
        <w:t xml:space="preserve">Actions and </w:t>
      </w:r>
      <w:r w:rsidR="0013717A" w:rsidRPr="00D920C9">
        <w:t xml:space="preserve">Initiatives </w:t>
      </w:r>
      <w:r w:rsidRPr="00D920C9">
        <w:t xml:space="preserve">by the </w:t>
      </w:r>
      <w:r w:rsidR="00385CAC" w:rsidRPr="00D920C9">
        <w:t>Department of Justice</w:t>
      </w:r>
      <w:bookmarkEnd w:id="142"/>
      <w:bookmarkEnd w:id="143"/>
      <w:bookmarkEnd w:id="144"/>
    </w:p>
    <w:p w14:paraId="665A5276" w14:textId="77777777" w:rsidR="00597062" w:rsidRPr="00D920C9" w:rsidRDefault="00597062"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The Commission has received information about Department of Justice (DOJ) investigations of police departments for possible violations of federal law. The DOJ Civil Rights Division is competent to conduct both criminal investigations against law enforcement officers for possible violations of the law, as well as civil “pattern or practice” investigations of state and local law enforcement agencies. These investigations may be initiated where there is evidence of a pattern or practice by the law enforcement agency that systemically violates federally protected rights. The </w:t>
      </w:r>
      <w:r w:rsidR="00E020AC" w:rsidRPr="00D920C9">
        <w:rPr>
          <w:rFonts w:asciiTheme="minorHAnsi" w:hAnsiTheme="minorHAnsi"/>
          <w:szCs w:val="20"/>
        </w:rPr>
        <w:t>division</w:t>
      </w:r>
      <w:r w:rsidRPr="00D920C9">
        <w:rPr>
          <w:rFonts w:asciiTheme="minorHAnsi" w:hAnsiTheme="minorHAnsi"/>
          <w:szCs w:val="20"/>
        </w:rPr>
        <w:t xml:space="preserve"> investigates law enforcement agencies across the country for problems including use of excessive force; unlawful stops, searches, or arrests; and discriminatory policing on the basis of race, ethnicity, national origin, gender, and sexual orientation. </w:t>
      </w:r>
      <w:r w:rsidR="00770A68" w:rsidRPr="00D920C9">
        <w:rPr>
          <w:rFonts w:asciiTheme="minorHAnsi" w:hAnsiTheme="minorHAnsi"/>
          <w:szCs w:val="20"/>
        </w:rPr>
        <w:t xml:space="preserve">Since 2009, the DOJ </w:t>
      </w:r>
      <w:r w:rsidR="00E020AC" w:rsidRPr="00D920C9">
        <w:rPr>
          <w:rFonts w:asciiTheme="minorHAnsi" w:hAnsiTheme="minorHAnsi"/>
          <w:szCs w:val="20"/>
        </w:rPr>
        <w:t xml:space="preserve">has </w:t>
      </w:r>
      <w:r w:rsidR="00770A68" w:rsidRPr="00D920C9">
        <w:rPr>
          <w:rFonts w:asciiTheme="minorHAnsi" w:hAnsiTheme="minorHAnsi"/>
          <w:szCs w:val="20"/>
        </w:rPr>
        <w:t xml:space="preserve">opened 25 </w:t>
      </w:r>
      <w:r w:rsidR="00770A68" w:rsidRPr="00D920C9">
        <w:rPr>
          <w:rFonts w:asciiTheme="minorHAnsi" w:hAnsiTheme="minorHAnsi"/>
          <w:szCs w:val="20"/>
        </w:rPr>
        <w:lastRenderedPageBreak/>
        <w:t>investigations into law enforcement agencies and has been enforcing 14 consent decrees.</w:t>
      </w:r>
      <w:r w:rsidR="00770A68" w:rsidRPr="00D920C9">
        <w:rPr>
          <w:rStyle w:val="FootnoteReference"/>
          <w:rFonts w:asciiTheme="minorHAnsi" w:hAnsiTheme="minorHAnsi"/>
          <w:szCs w:val="20"/>
        </w:rPr>
        <w:footnoteReference w:id="391"/>
      </w:r>
    </w:p>
    <w:p w14:paraId="321A75EC" w14:textId="77777777" w:rsidR="00597062" w:rsidRPr="00D920C9" w:rsidRDefault="00597062" w:rsidP="00E86698">
      <w:pPr>
        <w:pStyle w:val="ListParagraph"/>
        <w:numPr>
          <w:ilvl w:val="0"/>
          <w:numId w:val="9"/>
        </w:numPr>
        <w:spacing w:after="240" w:line="240" w:lineRule="auto"/>
        <w:ind w:left="547" w:hanging="547"/>
        <w:contextualSpacing w:val="0"/>
        <w:jc w:val="both"/>
        <w:rPr>
          <w:rFonts w:asciiTheme="minorHAnsi" w:hAnsiTheme="minorHAnsi"/>
          <w:szCs w:val="20"/>
        </w:rPr>
      </w:pPr>
      <w:bookmarkStart w:id="145" w:name="_Ref507171111"/>
      <w:r w:rsidRPr="00D920C9">
        <w:rPr>
          <w:rFonts w:asciiTheme="minorHAnsi" w:hAnsiTheme="minorHAnsi"/>
          <w:szCs w:val="20"/>
        </w:rPr>
        <w:t xml:space="preserve">The DOJ </w:t>
      </w:r>
      <w:r w:rsidR="004238D7" w:rsidRPr="00D920C9">
        <w:rPr>
          <w:rFonts w:asciiTheme="minorHAnsi" w:hAnsiTheme="minorHAnsi"/>
          <w:szCs w:val="20"/>
        </w:rPr>
        <w:t>also</w:t>
      </w:r>
      <w:r w:rsidRPr="00D920C9">
        <w:rPr>
          <w:rFonts w:asciiTheme="minorHAnsi" w:hAnsiTheme="minorHAnsi"/>
          <w:szCs w:val="20"/>
        </w:rPr>
        <w:t xml:space="preserve"> issues guidance on federal law to law enforcement agencies. The Commission notes the recent publication of updated “</w:t>
      </w:r>
      <w:r w:rsidRPr="00D920C9">
        <w:rPr>
          <w:rFonts w:asciiTheme="minorHAnsi" w:hAnsiTheme="minorHAnsi"/>
          <w:szCs w:val="20"/>
          <w:lang w:val="en-GB" w:eastAsia="es-ES"/>
        </w:rPr>
        <w:t>Guidance for Federal Law Enforcement Agencies Regarding the Use of Race, Ethnicity, Gender, National Origin, Religion, Sexual Orientation, or Gender Identity.”</w:t>
      </w:r>
      <w:r w:rsidRPr="00D920C9">
        <w:rPr>
          <w:rFonts w:asciiTheme="minorHAnsi" w:hAnsiTheme="minorHAnsi"/>
          <w:szCs w:val="20"/>
          <w:vertAlign w:val="superscript"/>
          <w:lang w:val="en-GB" w:eastAsia="es-ES"/>
        </w:rPr>
        <w:footnoteReference w:id="392"/>
      </w:r>
      <w:bookmarkEnd w:id="145"/>
    </w:p>
    <w:p w14:paraId="3C2ABEA5" w14:textId="7BE48F02" w:rsidR="009F3240" w:rsidRPr="00D920C9" w:rsidRDefault="00385CAC" w:rsidP="00365773">
      <w:pPr>
        <w:pStyle w:val="Heading3"/>
      </w:pPr>
      <w:bookmarkStart w:id="146" w:name="_Toc511837826"/>
      <w:bookmarkStart w:id="147" w:name="_Toc511902999"/>
      <w:bookmarkStart w:id="148" w:name="_Toc517687929"/>
      <w:r w:rsidRPr="00D920C9">
        <w:t>P</w:t>
      </w:r>
      <w:r w:rsidR="001238D1" w:rsidRPr="00D920C9">
        <w:t>resident Obama’s</w:t>
      </w:r>
      <w:r w:rsidRPr="00D920C9">
        <w:t xml:space="preserve"> Task Force on 21st Century Policing</w:t>
      </w:r>
      <w:bookmarkEnd w:id="146"/>
      <w:bookmarkEnd w:id="147"/>
      <w:bookmarkEnd w:id="148"/>
    </w:p>
    <w:p w14:paraId="4EE08699" w14:textId="7F8571E8" w:rsidR="009F3240" w:rsidRPr="00D920C9" w:rsidRDefault="009F3240" w:rsidP="00E86698">
      <w:pPr>
        <w:pStyle w:val="ListParagraph"/>
        <w:numPr>
          <w:ilvl w:val="0"/>
          <w:numId w:val="9"/>
        </w:numPr>
        <w:spacing w:after="240" w:line="240" w:lineRule="auto"/>
        <w:ind w:left="547" w:hanging="547"/>
        <w:contextualSpacing w:val="0"/>
        <w:jc w:val="both"/>
        <w:rPr>
          <w:rFonts w:asciiTheme="minorHAnsi" w:hAnsiTheme="minorHAnsi"/>
          <w:szCs w:val="20"/>
          <w:lang w:val="en"/>
        </w:rPr>
      </w:pPr>
      <w:r w:rsidRPr="00D920C9">
        <w:rPr>
          <w:rFonts w:asciiTheme="minorHAnsi" w:hAnsiTheme="minorHAnsi"/>
          <w:szCs w:val="20"/>
          <w:lang w:val="en-GB" w:eastAsia="es-ES"/>
        </w:rPr>
        <w:t xml:space="preserve">The Commission </w:t>
      </w:r>
      <w:r w:rsidR="00597062" w:rsidRPr="00D920C9">
        <w:rPr>
          <w:rFonts w:asciiTheme="minorHAnsi" w:hAnsiTheme="minorHAnsi"/>
          <w:szCs w:val="20"/>
          <w:lang w:val="en-GB" w:eastAsia="es-ES"/>
        </w:rPr>
        <w:t xml:space="preserve">has received information about the </w:t>
      </w:r>
      <w:r w:rsidR="001238D1" w:rsidRPr="00D920C9">
        <w:rPr>
          <w:rFonts w:asciiTheme="minorHAnsi" w:hAnsiTheme="minorHAnsi"/>
          <w:szCs w:val="20"/>
          <w:lang w:val="en-GB" w:eastAsia="es-ES"/>
        </w:rPr>
        <w:t xml:space="preserve">results of </w:t>
      </w:r>
      <w:r w:rsidR="00597062" w:rsidRPr="00D920C9">
        <w:rPr>
          <w:rFonts w:asciiTheme="minorHAnsi" w:hAnsiTheme="minorHAnsi"/>
          <w:szCs w:val="20"/>
          <w:lang w:val="en-GB" w:eastAsia="es-ES"/>
        </w:rPr>
        <w:t>President</w:t>
      </w:r>
      <w:r w:rsidR="001238D1" w:rsidRPr="00D920C9">
        <w:rPr>
          <w:rFonts w:asciiTheme="minorHAnsi" w:hAnsiTheme="minorHAnsi"/>
          <w:szCs w:val="20"/>
          <w:lang w:val="en-GB" w:eastAsia="es-ES"/>
        </w:rPr>
        <w:t xml:space="preserve"> Obama</w:t>
      </w:r>
      <w:r w:rsidR="00597062" w:rsidRPr="00D920C9">
        <w:rPr>
          <w:rFonts w:asciiTheme="minorHAnsi" w:hAnsiTheme="minorHAnsi"/>
          <w:szCs w:val="20"/>
          <w:lang w:val="en-GB" w:eastAsia="es-ES"/>
        </w:rPr>
        <w:t xml:space="preserve">’s </w:t>
      </w:r>
      <w:r w:rsidRPr="00D920C9">
        <w:rPr>
          <w:rFonts w:asciiTheme="minorHAnsi" w:hAnsiTheme="minorHAnsi"/>
          <w:szCs w:val="20"/>
        </w:rPr>
        <w:t xml:space="preserve">Task Force on 21st Century </w:t>
      </w:r>
      <w:r w:rsidR="00597062" w:rsidRPr="00D920C9">
        <w:rPr>
          <w:rFonts w:asciiTheme="minorHAnsi" w:hAnsiTheme="minorHAnsi"/>
          <w:szCs w:val="20"/>
        </w:rPr>
        <w:t>Policing,</w:t>
      </w:r>
      <w:r w:rsidRPr="00D920C9">
        <w:rPr>
          <w:rFonts w:asciiTheme="minorHAnsi" w:hAnsiTheme="minorHAnsi"/>
          <w:szCs w:val="20"/>
          <w:vertAlign w:val="superscript"/>
        </w:rPr>
        <w:footnoteReference w:id="393"/>
      </w:r>
      <w:r w:rsidR="00597062" w:rsidRPr="00D920C9">
        <w:rPr>
          <w:rFonts w:asciiTheme="minorHAnsi" w:hAnsiTheme="minorHAnsi"/>
          <w:szCs w:val="20"/>
        </w:rPr>
        <w:t xml:space="preserve"> which concluded in 2015. </w:t>
      </w:r>
      <w:r w:rsidR="001238D1" w:rsidRPr="00D920C9">
        <w:rPr>
          <w:rFonts w:asciiTheme="minorHAnsi" w:hAnsiTheme="minorHAnsi"/>
          <w:szCs w:val="20"/>
          <w:lang w:val="en-GB" w:eastAsia="es-ES"/>
        </w:rPr>
        <w:t>The Task Force issued</w:t>
      </w:r>
      <w:r w:rsidR="00597062" w:rsidRPr="00D920C9">
        <w:rPr>
          <w:rFonts w:asciiTheme="minorHAnsi" w:hAnsiTheme="minorHAnsi"/>
          <w:szCs w:val="20"/>
          <w:lang w:val="en-GB" w:eastAsia="es-ES"/>
        </w:rPr>
        <w:t xml:space="preserve"> a number of recommendations to law enforcement agencies in the </w:t>
      </w:r>
      <w:r w:rsidR="006D4A9B" w:rsidRPr="00D920C9">
        <w:rPr>
          <w:rFonts w:asciiTheme="minorHAnsi" w:hAnsiTheme="minorHAnsi"/>
          <w:szCs w:val="20"/>
          <w:lang w:val="en-GB" w:eastAsia="es-ES"/>
        </w:rPr>
        <w:t>U.S.</w:t>
      </w:r>
      <w:r w:rsidR="00597062" w:rsidRPr="00D920C9">
        <w:rPr>
          <w:rFonts w:asciiTheme="minorHAnsi" w:hAnsiTheme="minorHAnsi"/>
          <w:szCs w:val="20"/>
          <w:lang w:val="en-GB" w:eastAsia="es-ES"/>
        </w:rPr>
        <w:t xml:space="preserve"> aimed at building community trust in the police and fostering legitimacy. The Commission notes that the Task Force recognized the need for </w:t>
      </w:r>
      <w:r w:rsidR="00597062" w:rsidRPr="00D920C9">
        <w:rPr>
          <w:rFonts w:asciiTheme="minorHAnsi" w:hAnsiTheme="minorHAnsi"/>
          <w:szCs w:val="20"/>
        </w:rPr>
        <w:t>law enforcement agencies to “acknowledge the role of policing in past and present injustice and discrimination and how it is a hurdle to the promotion of community trust,”</w:t>
      </w:r>
      <w:r w:rsidR="00597062" w:rsidRPr="00D920C9">
        <w:rPr>
          <w:rFonts w:asciiTheme="minorHAnsi" w:hAnsiTheme="minorHAnsi"/>
          <w:szCs w:val="20"/>
          <w:vertAlign w:val="superscript"/>
        </w:rPr>
        <w:footnoteReference w:id="394"/>
      </w:r>
      <w:r w:rsidR="00597062" w:rsidRPr="00D920C9">
        <w:rPr>
          <w:rFonts w:asciiTheme="minorHAnsi" w:hAnsiTheme="minorHAnsi"/>
          <w:szCs w:val="20"/>
          <w:lang w:val="en-GB" w:eastAsia="es-ES"/>
        </w:rPr>
        <w:t xml:space="preserve"> and calls on agencies to “</w:t>
      </w:r>
      <w:r w:rsidR="00597062" w:rsidRPr="00D920C9">
        <w:rPr>
          <w:rFonts w:asciiTheme="minorHAnsi" w:hAnsiTheme="minorHAnsi"/>
          <w:szCs w:val="20"/>
        </w:rPr>
        <w:t>adopt and enforce policies prohibiting profiling and discrimination based on race, ethnicity, national origin, religion, age, gender, gender identity/expression, sexual orientation, immigration status, disability, housing status, occupation, or language fluency.”</w:t>
      </w:r>
      <w:r w:rsidR="00597062" w:rsidRPr="00D920C9">
        <w:rPr>
          <w:rFonts w:asciiTheme="minorHAnsi" w:hAnsiTheme="minorHAnsi"/>
          <w:szCs w:val="20"/>
          <w:vertAlign w:val="superscript"/>
        </w:rPr>
        <w:footnoteReference w:id="395"/>
      </w:r>
    </w:p>
    <w:p w14:paraId="16988070" w14:textId="77777777" w:rsidR="000B4690" w:rsidRPr="00D920C9" w:rsidRDefault="000B4690" w:rsidP="00E86698">
      <w:pPr>
        <w:pStyle w:val="ListParagraph"/>
        <w:numPr>
          <w:ilvl w:val="0"/>
          <w:numId w:val="9"/>
        </w:numPr>
        <w:spacing w:after="240" w:line="240" w:lineRule="auto"/>
        <w:ind w:left="547" w:hanging="547"/>
        <w:contextualSpacing w:val="0"/>
        <w:jc w:val="both"/>
        <w:rPr>
          <w:rFonts w:asciiTheme="minorHAnsi" w:hAnsiTheme="minorHAnsi"/>
          <w:sz w:val="24"/>
        </w:rPr>
      </w:pPr>
      <w:r w:rsidRPr="00D920C9">
        <w:rPr>
          <w:rFonts w:asciiTheme="minorHAnsi" w:hAnsiTheme="minorHAnsi"/>
          <w:szCs w:val="20"/>
        </w:rPr>
        <w:t xml:space="preserve">The Commission has received information that in line with the recommendations of the Task Force and other reform initiatives, </w:t>
      </w:r>
      <w:r w:rsidRPr="00D920C9">
        <w:rPr>
          <w:rFonts w:asciiTheme="minorHAnsi" w:hAnsiTheme="minorHAnsi" w:cstheme="minorHAnsi"/>
          <w:szCs w:val="20"/>
        </w:rPr>
        <w:t xml:space="preserve">several new state laws have been passed in recent years with the aim of addressing excessive use of force, including the creation of joint legislative task forces on the use of deadly </w:t>
      </w:r>
      <w:r w:rsidRPr="00D920C9">
        <w:rPr>
          <w:rFonts w:asciiTheme="minorHAnsi" w:hAnsiTheme="minorHAnsi"/>
        </w:rPr>
        <w:t>force</w:t>
      </w:r>
      <w:r w:rsidRPr="00D920C9">
        <w:rPr>
          <w:rFonts w:asciiTheme="minorHAnsi" w:hAnsiTheme="minorHAnsi" w:cstheme="minorHAnsi"/>
          <w:szCs w:val="20"/>
        </w:rPr>
        <w:t xml:space="preserve"> (Washington state),</w:t>
      </w:r>
      <w:r w:rsidRPr="00D920C9">
        <w:rPr>
          <w:rStyle w:val="FootnoteReference"/>
          <w:rFonts w:asciiTheme="minorHAnsi" w:hAnsiTheme="minorHAnsi" w:cstheme="minorHAnsi"/>
          <w:szCs w:val="20"/>
        </w:rPr>
        <w:footnoteReference w:id="396"/>
      </w:r>
      <w:r w:rsidRPr="00D920C9">
        <w:rPr>
          <w:rFonts w:asciiTheme="minorHAnsi" w:hAnsiTheme="minorHAnsi" w:cstheme="minorHAnsi"/>
          <w:szCs w:val="20"/>
        </w:rPr>
        <w:t xml:space="preserve"> statewide legal and practical training (Utah),</w:t>
      </w:r>
      <w:r w:rsidRPr="00D920C9">
        <w:rPr>
          <w:rStyle w:val="FootnoteReference"/>
          <w:rFonts w:asciiTheme="minorHAnsi" w:hAnsiTheme="minorHAnsi" w:cstheme="minorHAnsi"/>
          <w:szCs w:val="20"/>
        </w:rPr>
        <w:footnoteReference w:id="397"/>
      </w:r>
      <w:r w:rsidRPr="00D920C9">
        <w:rPr>
          <w:rFonts w:asciiTheme="minorHAnsi" w:hAnsiTheme="minorHAnsi" w:cstheme="minorHAnsi"/>
          <w:szCs w:val="20"/>
        </w:rPr>
        <w:t xml:space="preserve"> and a ban on chokeholds and other forms of potentially lethal violence (Colorado and Connecticut), among others.</w:t>
      </w:r>
      <w:r w:rsidRPr="00D920C9">
        <w:rPr>
          <w:rStyle w:val="FootnoteReference"/>
          <w:rFonts w:asciiTheme="minorHAnsi" w:hAnsiTheme="minorHAnsi" w:cstheme="minorHAnsi"/>
          <w:szCs w:val="20"/>
        </w:rPr>
        <w:footnoteReference w:id="398"/>
      </w:r>
      <w:r w:rsidRPr="00D920C9">
        <w:rPr>
          <w:rFonts w:asciiTheme="minorHAnsi" w:hAnsiTheme="minorHAnsi" w:cstheme="minorHAnsi"/>
          <w:szCs w:val="20"/>
        </w:rPr>
        <w:t xml:space="preserve"> The Commission notes that none of these reported laws effectively bring </w:t>
      </w:r>
      <w:r w:rsidRPr="00D920C9">
        <w:rPr>
          <w:rFonts w:asciiTheme="minorHAnsi" w:hAnsiTheme="minorHAnsi" w:cstheme="minorHAnsi"/>
          <w:szCs w:val="20"/>
        </w:rPr>
        <w:lastRenderedPageBreak/>
        <w:t xml:space="preserve">states </w:t>
      </w:r>
      <w:proofErr w:type="gramStart"/>
      <w:r w:rsidR="00957F22" w:rsidRPr="00D920C9">
        <w:rPr>
          <w:rFonts w:asciiTheme="minorHAnsi" w:hAnsiTheme="minorHAnsi" w:cstheme="minorHAnsi"/>
          <w:szCs w:val="20"/>
        </w:rPr>
        <w:t xml:space="preserve">into </w:t>
      </w:r>
      <w:proofErr w:type="gramEnd"/>
      <w:r w:rsidRPr="00D920C9">
        <w:rPr>
          <w:rStyle w:val="FootnoteReference"/>
          <w:rFonts w:asciiTheme="minorHAnsi" w:hAnsiTheme="minorHAnsi" w:cstheme="minorHAnsi"/>
          <w:szCs w:val="20"/>
          <w:vertAlign w:val="baseline"/>
        </w:rPr>
        <w:t>compliance with international standards; nonetheless, the Commission considers that they represent progress in the right direction</w:t>
      </w:r>
      <w:r w:rsidRPr="00D920C9">
        <w:rPr>
          <w:rFonts w:asciiTheme="minorHAnsi" w:hAnsiTheme="minorHAnsi" w:cstheme="minorHAnsi"/>
          <w:szCs w:val="20"/>
        </w:rPr>
        <w:t>.</w:t>
      </w:r>
    </w:p>
    <w:p w14:paraId="73840EE4" w14:textId="77777777" w:rsidR="00385CAC" w:rsidRPr="00D920C9" w:rsidRDefault="00385CAC" w:rsidP="00365773">
      <w:pPr>
        <w:pStyle w:val="Heading3"/>
      </w:pPr>
      <w:bookmarkStart w:id="149" w:name="_Toc511837827"/>
      <w:bookmarkStart w:id="150" w:name="_Toc511903000"/>
      <w:bookmarkStart w:id="151" w:name="_Toc517687930"/>
      <w:r w:rsidRPr="00D920C9">
        <w:t xml:space="preserve">Community </w:t>
      </w:r>
      <w:r w:rsidR="0013717A" w:rsidRPr="00D920C9">
        <w:t xml:space="preserve">Policing </w:t>
      </w:r>
      <w:r w:rsidRPr="00D920C9">
        <w:t xml:space="preserve">and other </w:t>
      </w:r>
      <w:r w:rsidR="0013717A" w:rsidRPr="00D920C9">
        <w:t>Initiatives</w:t>
      </w:r>
      <w:bookmarkEnd w:id="149"/>
      <w:bookmarkEnd w:id="150"/>
      <w:bookmarkEnd w:id="151"/>
    </w:p>
    <w:p w14:paraId="2C3C489A" w14:textId="77777777" w:rsidR="001767CD" w:rsidRPr="00D920C9" w:rsidRDefault="000B4690" w:rsidP="00E86698">
      <w:pPr>
        <w:pStyle w:val="ListParagraph"/>
        <w:numPr>
          <w:ilvl w:val="0"/>
          <w:numId w:val="9"/>
        </w:numPr>
        <w:spacing w:after="240" w:line="240" w:lineRule="auto"/>
        <w:ind w:left="547" w:hanging="547"/>
        <w:contextualSpacing w:val="0"/>
        <w:jc w:val="both"/>
        <w:rPr>
          <w:rFonts w:asciiTheme="minorHAnsi" w:eastAsia="Times New Roman" w:hAnsiTheme="minorHAnsi"/>
          <w:szCs w:val="20"/>
          <w:lang w:eastAsia="es-ES"/>
        </w:rPr>
      </w:pPr>
      <w:r w:rsidRPr="00D920C9">
        <w:rPr>
          <w:rFonts w:asciiTheme="minorHAnsi" w:eastAsia="Times New Roman" w:hAnsiTheme="minorHAnsi"/>
          <w:szCs w:val="20"/>
          <w:lang w:eastAsia="es-ES"/>
        </w:rPr>
        <w:t>T</w:t>
      </w:r>
      <w:r w:rsidR="001767CD" w:rsidRPr="00D920C9">
        <w:rPr>
          <w:rFonts w:asciiTheme="minorHAnsi" w:eastAsia="Times New Roman" w:hAnsiTheme="minorHAnsi"/>
          <w:szCs w:val="20"/>
          <w:lang w:eastAsia="es-ES"/>
        </w:rPr>
        <w:t xml:space="preserve">he State </w:t>
      </w:r>
      <w:r w:rsidRPr="00D920C9">
        <w:rPr>
          <w:rFonts w:asciiTheme="minorHAnsi" w:eastAsia="Times New Roman" w:hAnsiTheme="minorHAnsi"/>
          <w:szCs w:val="20"/>
          <w:lang w:eastAsia="es-ES"/>
        </w:rPr>
        <w:t xml:space="preserve">additionally </w:t>
      </w:r>
      <w:r w:rsidR="001767CD" w:rsidRPr="00D920C9">
        <w:rPr>
          <w:rFonts w:asciiTheme="minorHAnsi" w:eastAsia="Times New Roman" w:hAnsiTheme="minorHAnsi"/>
          <w:szCs w:val="20"/>
          <w:lang w:eastAsia="es-ES"/>
        </w:rPr>
        <w:t xml:space="preserve">informed the Commission during public hearings in 2014 about </w:t>
      </w:r>
      <w:r w:rsidRPr="00D920C9">
        <w:rPr>
          <w:rFonts w:asciiTheme="minorHAnsi" w:eastAsia="Times New Roman" w:hAnsiTheme="minorHAnsi"/>
          <w:szCs w:val="20"/>
          <w:lang w:eastAsia="es-ES"/>
        </w:rPr>
        <w:t xml:space="preserve">various </w:t>
      </w:r>
      <w:r w:rsidR="001767CD" w:rsidRPr="00D920C9">
        <w:rPr>
          <w:rFonts w:asciiTheme="minorHAnsi" w:eastAsia="Times New Roman" w:hAnsiTheme="minorHAnsi"/>
          <w:szCs w:val="20"/>
          <w:lang w:eastAsia="es-ES"/>
        </w:rPr>
        <w:t>initiatives to promote diversity in police recruiting and hiring, based on the belief that a more diverse police force will increase police legitimacy and decrease bias in policing.</w:t>
      </w:r>
      <w:r w:rsidR="001767CD" w:rsidRPr="00D920C9">
        <w:rPr>
          <w:rStyle w:val="FootnoteReference"/>
          <w:rFonts w:asciiTheme="minorHAnsi" w:eastAsia="Times New Roman" w:hAnsiTheme="minorHAnsi"/>
          <w:szCs w:val="20"/>
          <w:lang w:eastAsia="es-ES"/>
        </w:rPr>
        <w:footnoteReference w:id="399"/>
      </w:r>
      <w:r w:rsidRPr="00D920C9">
        <w:rPr>
          <w:rFonts w:asciiTheme="minorHAnsi" w:eastAsia="Times New Roman" w:hAnsiTheme="minorHAnsi"/>
          <w:szCs w:val="20"/>
          <w:lang w:eastAsia="es-ES"/>
        </w:rPr>
        <w:t xml:space="preserve"> This, in line with a finding of the President’s Task Force </w:t>
      </w:r>
      <w:r w:rsidRPr="00D920C9">
        <w:rPr>
          <w:rFonts w:asciiTheme="minorHAnsi" w:hAnsiTheme="minorHAnsi"/>
        </w:rPr>
        <w:t>that</w:t>
      </w:r>
      <w:r w:rsidRPr="00D920C9">
        <w:rPr>
          <w:rFonts w:asciiTheme="minorHAnsi" w:eastAsia="Times New Roman" w:hAnsiTheme="minorHAnsi"/>
          <w:szCs w:val="20"/>
          <w:lang w:eastAsia="es-ES"/>
        </w:rPr>
        <w:t xml:space="preserve"> “people are more likely to obey the law when they believe that those who are enforcing it have the legitimate authority to tell them what to do </w:t>
      </w:r>
      <w:r w:rsidR="004049C5" w:rsidRPr="00D920C9">
        <w:rPr>
          <w:rFonts w:asciiTheme="minorHAnsi" w:eastAsia="Times New Roman" w:hAnsiTheme="minorHAnsi"/>
          <w:szCs w:val="20"/>
          <w:lang w:eastAsia="es-ES"/>
        </w:rPr>
        <w:t>[…]</w:t>
      </w:r>
      <w:r w:rsidRPr="00D920C9">
        <w:rPr>
          <w:rFonts w:asciiTheme="minorHAnsi" w:eastAsia="Times New Roman" w:hAnsiTheme="minorHAnsi"/>
          <w:szCs w:val="20"/>
          <w:lang w:eastAsia="es-ES"/>
        </w:rPr>
        <w:t xml:space="preserve"> The public confers legitimacy only on those they believe are acting in procedurally just ways.”</w:t>
      </w:r>
      <w:r w:rsidRPr="00D920C9">
        <w:rPr>
          <w:rStyle w:val="FootnoteReference"/>
          <w:rFonts w:asciiTheme="minorHAnsi" w:eastAsia="Times New Roman" w:hAnsiTheme="minorHAnsi"/>
          <w:szCs w:val="20"/>
          <w:lang w:eastAsia="es-ES"/>
        </w:rPr>
        <w:footnoteReference w:id="400"/>
      </w:r>
    </w:p>
    <w:p w14:paraId="1FB9F485" w14:textId="77777777" w:rsidR="000B4690" w:rsidRPr="00D920C9" w:rsidRDefault="007A656C" w:rsidP="00E86698">
      <w:pPr>
        <w:pStyle w:val="ListParagraph"/>
        <w:numPr>
          <w:ilvl w:val="0"/>
          <w:numId w:val="9"/>
        </w:numPr>
        <w:spacing w:after="240" w:line="240" w:lineRule="auto"/>
        <w:ind w:left="547" w:hanging="547"/>
        <w:contextualSpacing w:val="0"/>
        <w:jc w:val="both"/>
        <w:rPr>
          <w:rFonts w:asciiTheme="minorHAnsi" w:eastAsia="Times New Roman" w:hAnsiTheme="minorHAnsi"/>
          <w:szCs w:val="20"/>
          <w:lang w:eastAsia="es-ES"/>
        </w:rPr>
      </w:pPr>
      <w:r w:rsidRPr="00D920C9">
        <w:rPr>
          <w:rFonts w:asciiTheme="minorHAnsi" w:eastAsia="Times New Roman" w:hAnsiTheme="minorHAnsi"/>
          <w:szCs w:val="20"/>
          <w:lang w:eastAsia="es-ES"/>
        </w:rPr>
        <w:t>The Commission has also received information about the initiatives of the Office of Community Oriented Policing Services, among others, to promote community policing and other police reform.</w:t>
      </w:r>
      <w:r w:rsidRPr="00D920C9">
        <w:rPr>
          <w:rStyle w:val="FootnoteReference"/>
          <w:rFonts w:asciiTheme="minorHAnsi" w:eastAsia="Times New Roman" w:hAnsiTheme="minorHAnsi"/>
          <w:szCs w:val="20"/>
          <w:lang w:eastAsia="es-ES"/>
        </w:rPr>
        <w:footnoteReference w:id="401"/>
      </w:r>
      <w:r w:rsidRPr="00D920C9">
        <w:rPr>
          <w:rFonts w:asciiTheme="minorHAnsi" w:eastAsia="Times New Roman" w:hAnsiTheme="minorHAnsi"/>
          <w:szCs w:val="20"/>
          <w:lang w:eastAsia="es-ES"/>
        </w:rPr>
        <w:t xml:space="preserve"> </w:t>
      </w:r>
      <w:r w:rsidR="000B4690" w:rsidRPr="00D920C9">
        <w:rPr>
          <w:rFonts w:asciiTheme="minorHAnsi" w:eastAsia="Times New Roman" w:hAnsiTheme="minorHAnsi"/>
          <w:szCs w:val="20"/>
          <w:lang w:eastAsia="es-ES"/>
        </w:rPr>
        <w:t>The Commission</w:t>
      </w:r>
      <w:r w:rsidRPr="00D920C9">
        <w:rPr>
          <w:rFonts w:asciiTheme="minorHAnsi" w:eastAsia="Times New Roman" w:hAnsiTheme="minorHAnsi"/>
          <w:szCs w:val="20"/>
          <w:lang w:eastAsia="es-ES"/>
        </w:rPr>
        <w:t xml:space="preserve"> additionally</w:t>
      </w:r>
      <w:r w:rsidR="000B4690" w:rsidRPr="00D920C9">
        <w:rPr>
          <w:rFonts w:asciiTheme="minorHAnsi" w:eastAsia="Times New Roman" w:hAnsiTheme="minorHAnsi"/>
          <w:szCs w:val="20"/>
          <w:lang w:eastAsia="es-ES"/>
        </w:rPr>
        <w:t xml:space="preserve"> received information that </w:t>
      </w:r>
      <w:r w:rsidRPr="00D920C9">
        <w:rPr>
          <w:rFonts w:asciiTheme="minorHAnsi" w:eastAsia="Times New Roman" w:hAnsiTheme="minorHAnsi"/>
          <w:szCs w:val="20"/>
          <w:lang w:eastAsia="es-ES"/>
        </w:rPr>
        <w:t>in</w:t>
      </w:r>
      <w:r w:rsidR="00770A68" w:rsidRPr="00D920C9">
        <w:rPr>
          <w:rFonts w:asciiTheme="minorHAnsi" w:eastAsia="Times New Roman" w:hAnsiTheme="minorHAnsi"/>
          <w:szCs w:val="20"/>
          <w:lang w:eastAsia="es-ES"/>
        </w:rPr>
        <w:t xml:space="preserve"> September</w:t>
      </w:r>
      <w:r w:rsidRPr="00D920C9">
        <w:rPr>
          <w:rFonts w:asciiTheme="minorHAnsi" w:eastAsia="Times New Roman" w:hAnsiTheme="minorHAnsi"/>
          <w:szCs w:val="20"/>
          <w:lang w:eastAsia="es-ES"/>
        </w:rPr>
        <w:t xml:space="preserve"> </w:t>
      </w:r>
      <w:r w:rsidR="00770A68" w:rsidRPr="00D920C9">
        <w:rPr>
          <w:rFonts w:asciiTheme="minorHAnsi" w:eastAsia="Times New Roman" w:hAnsiTheme="minorHAnsi"/>
          <w:szCs w:val="20"/>
          <w:lang w:eastAsia="es-ES"/>
        </w:rPr>
        <w:t>2017, Attorney General Jeff Sessions announced significant changes to its Collaborative Reform Initiative for Technical Assistance program</w:t>
      </w:r>
      <w:r w:rsidR="00BB63B9" w:rsidRPr="00D920C9">
        <w:rPr>
          <w:rFonts w:asciiTheme="minorHAnsi" w:eastAsia="Times New Roman" w:hAnsiTheme="minorHAnsi"/>
          <w:szCs w:val="20"/>
          <w:lang w:eastAsia="es-ES"/>
        </w:rPr>
        <w:t>, citing the “adversarial relationship between DOJ and the participating law enforcement agencies” created by DOJ investigations and civil suits</w:t>
      </w:r>
      <w:r w:rsidR="00770A68" w:rsidRPr="00D920C9">
        <w:rPr>
          <w:rFonts w:asciiTheme="minorHAnsi" w:eastAsia="Times New Roman" w:hAnsiTheme="minorHAnsi"/>
          <w:szCs w:val="20"/>
          <w:lang w:eastAsia="es-ES"/>
        </w:rPr>
        <w:t>.</w:t>
      </w:r>
      <w:r w:rsidR="00770A68" w:rsidRPr="00D920C9">
        <w:rPr>
          <w:rStyle w:val="FootnoteReference"/>
          <w:rFonts w:asciiTheme="minorHAnsi" w:eastAsia="Times New Roman" w:hAnsiTheme="minorHAnsi"/>
          <w:szCs w:val="20"/>
          <w:lang w:eastAsia="es-ES"/>
        </w:rPr>
        <w:footnoteReference w:id="402"/>
      </w:r>
      <w:r w:rsidR="000B4690" w:rsidRPr="00D920C9">
        <w:rPr>
          <w:rFonts w:asciiTheme="minorHAnsi" w:eastAsia="Times New Roman" w:hAnsiTheme="minorHAnsi"/>
          <w:szCs w:val="20"/>
          <w:lang w:eastAsia="es-ES"/>
        </w:rPr>
        <w:t xml:space="preserve"> This program previously </w:t>
      </w:r>
      <w:r w:rsidR="00770A68" w:rsidRPr="00D920C9">
        <w:rPr>
          <w:rFonts w:asciiTheme="minorHAnsi" w:eastAsia="Times New Roman" w:hAnsiTheme="minorHAnsi"/>
          <w:szCs w:val="20"/>
          <w:lang w:eastAsia="es-ES"/>
        </w:rPr>
        <w:t xml:space="preserve">provided resources to law enforcement agencies to address </w:t>
      </w:r>
      <w:r w:rsidR="000B4690" w:rsidRPr="00D920C9">
        <w:rPr>
          <w:rFonts w:asciiTheme="minorHAnsi" w:eastAsia="Times New Roman" w:hAnsiTheme="minorHAnsi"/>
          <w:szCs w:val="20"/>
          <w:lang w:eastAsia="es-ES"/>
        </w:rPr>
        <w:t xml:space="preserve">issues of </w:t>
      </w:r>
      <w:r w:rsidR="00770A68" w:rsidRPr="00D920C9">
        <w:rPr>
          <w:rFonts w:asciiTheme="minorHAnsi" w:eastAsia="Times New Roman" w:hAnsiTheme="minorHAnsi"/>
          <w:szCs w:val="20"/>
          <w:lang w:eastAsia="es-ES"/>
        </w:rPr>
        <w:t>excessive force, biased policing, and poor police-community relations</w:t>
      </w:r>
      <w:r w:rsidR="000B4690" w:rsidRPr="00D920C9">
        <w:rPr>
          <w:rFonts w:asciiTheme="minorHAnsi" w:eastAsia="Times New Roman" w:hAnsiTheme="minorHAnsi"/>
          <w:szCs w:val="20"/>
          <w:lang w:eastAsia="es-ES"/>
        </w:rPr>
        <w:t>; u</w:t>
      </w:r>
      <w:r w:rsidR="00770A68" w:rsidRPr="00D920C9">
        <w:rPr>
          <w:rFonts w:asciiTheme="minorHAnsi" w:eastAsia="Times New Roman" w:hAnsiTheme="minorHAnsi"/>
          <w:szCs w:val="20"/>
          <w:lang w:eastAsia="es-ES"/>
        </w:rPr>
        <w:t xml:space="preserve">nder the </w:t>
      </w:r>
      <w:r w:rsidR="000B4690" w:rsidRPr="00D920C9">
        <w:rPr>
          <w:rFonts w:asciiTheme="minorHAnsi" w:eastAsia="Times New Roman" w:hAnsiTheme="minorHAnsi"/>
          <w:szCs w:val="20"/>
          <w:lang w:eastAsia="es-ES"/>
        </w:rPr>
        <w:t>announced changes, the program will now</w:t>
      </w:r>
      <w:r w:rsidR="00770A68" w:rsidRPr="00D920C9">
        <w:rPr>
          <w:rFonts w:asciiTheme="minorHAnsi" w:eastAsia="Times New Roman" w:hAnsiTheme="minorHAnsi"/>
          <w:szCs w:val="20"/>
          <w:lang w:eastAsia="es-ES"/>
        </w:rPr>
        <w:t xml:space="preserve"> focus on </w:t>
      </w:r>
      <w:r w:rsidR="00BB63B9" w:rsidRPr="00D920C9">
        <w:rPr>
          <w:rFonts w:asciiTheme="minorHAnsi" w:eastAsia="Times New Roman" w:hAnsiTheme="minorHAnsi"/>
          <w:szCs w:val="20"/>
          <w:lang w:eastAsia="es-ES"/>
        </w:rPr>
        <w:t>“best practices, crime reduction, and the needs of the field as specifically requested by law enforcement agencies.”</w:t>
      </w:r>
      <w:r w:rsidR="00D70F37" w:rsidRPr="00D920C9">
        <w:rPr>
          <w:rStyle w:val="FootnoteReference"/>
          <w:rFonts w:asciiTheme="minorHAnsi" w:eastAsia="Times New Roman" w:hAnsiTheme="minorHAnsi"/>
          <w:szCs w:val="20"/>
          <w:lang w:eastAsia="es-ES"/>
        </w:rPr>
        <w:footnoteReference w:id="403"/>
      </w:r>
      <w:r w:rsidR="00D70F37" w:rsidRPr="00D920C9">
        <w:rPr>
          <w:rFonts w:asciiTheme="minorHAnsi" w:eastAsia="Times New Roman" w:hAnsiTheme="minorHAnsi"/>
          <w:szCs w:val="20"/>
          <w:lang w:eastAsia="es-ES"/>
        </w:rPr>
        <w:t xml:space="preserve"> </w:t>
      </w:r>
    </w:p>
    <w:p w14:paraId="3BE64B1D" w14:textId="77777777" w:rsidR="009F3240" w:rsidRPr="00D920C9" w:rsidRDefault="009F3240" w:rsidP="00625D97">
      <w:pPr>
        <w:pStyle w:val="Heading2"/>
        <w:ind w:left="540" w:hanging="540"/>
      </w:pPr>
      <w:bookmarkStart w:id="152" w:name="_Toc511837828"/>
      <w:bookmarkStart w:id="153" w:name="_Toc511903001"/>
      <w:bookmarkStart w:id="154" w:name="_Toc517687931"/>
      <w:r w:rsidRPr="00D920C9">
        <w:t>Considerations of the Commission</w:t>
      </w:r>
      <w:bookmarkEnd w:id="152"/>
      <w:bookmarkEnd w:id="153"/>
      <w:bookmarkEnd w:id="154"/>
    </w:p>
    <w:p w14:paraId="0CDC653D" w14:textId="77777777" w:rsidR="008742CB" w:rsidRPr="00D920C9" w:rsidRDefault="00597062"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cs="Times"/>
          <w:szCs w:val="20"/>
        </w:rPr>
        <w:t>While State initiatives in recent years, including the work of the President’s Task Force on 21</w:t>
      </w:r>
      <w:r w:rsidRPr="00D920C9">
        <w:rPr>
          <w:rFonts w:asciiTheme="minorHAnsi" w:hAnsiTheme="minorHAnsi" w:cs="Times"/>
          <w:szCs w:val="20"/>
          <w:vertAlign w:val="superscript"/>
        </w:rPr>
        <w:t>st</w:t>
      </w:r>
      <w:r w:rsidRPr="00D920C9">
        <w:rPr>
          <w:rFonts w:asciiTheme="minorHAnsi" w:hAnsiTheme="minorHAnsi" w:cs="Times"/>
          <w:szCs w:val="20"/>
        </w:rPr>
        <w:t xml:space="preserve"> Century Policing and </w:t>
      </w:r>
      <w:r w:rsidR="00AE5038" w:rsidRPr="00D920C9">
        <w:rPr>
          <w:rFonts w:asciiTheme="minorHAnsi" w:hAnsiTheme="minorHAnsi" w:cs="Times"/>
          <w:szCs w:val="20"/>
        </w:rPr>
        <w:t>DOJ</w:t>
      </w:r>
      <w:r w:rsidRPr="00D920C9">
        <w:rPr>
          <w:rFonts w:asciiTheme="minorHAnsi" w:hAnsiTheme="minorHAnsi" w:cs="Times"/>
          <w:szCs w:val="20"/>
        </w:rPr>
        <w:t xml:space="preserve"> Civil Rights Division </w:t>
      </w:r>
      <w:r w:rsidRPr="00D920C9">
        <w:rPr>
          <w:rFonts w:asciiTheme="minorHAnsi" w:hAnsiTheme="minorHAnsi"/>
        </w:rPr>
        <w:t>investigations</w:t>
      </w:r>
      <w:r w:rsidRPr="00D920C9">
        <w:rPr>
          <w:rFonts w:asciiTheme="minorHAnsi" w:hAnsiTheme="minorHAnsi" w:cs="Times"/>
          <w:szCs w:val="20"/>
        </w:rPr>
        <w:t xml:space="preserve"> of police departments, among others, have signaled positive political will to address the problems described in this </w:t>
      </w:r>
      <w:r w:rsidR="00E020AC" w:rsidRPr="00D920C9">
        <w:rPr>
          <w:rFonts w:asciiTheme="minorHAnsi" w:hAnsiTheme="minorHAnsi" w:cs="Times"/>
          <w:szCs w:val="20"/>
        </w:rPr>
        <w:t>report</w:t>
      </w:r>
      <w:r w:rsidRPr="00D920C9">
        <w:rPr>
          <w:rFonts w:asciiTheme="minorHAnsi" w:hAnsiTheme="minorHAnsi" w:cs="Times"/>
          <w:szCs w:val="20"/>
        </w:rPr>
        <w:t xml:space="preserve">, the </w:t>
      </w:r>
      <w:r w:rsidRPr="00D920C9">
        <w:rPr>
          <w:rFonts w:asciiTheme="minorHAnsi" w:hAnsiTheme="minorHAnsi" w:cs="Times"/>
          <w:szCs w:val="20"/>
        </w:rPr>
        <w:lastRenderedPageBreak/>
        <w:t>Commission notes with concern recent policy developments in the area of policing that it considers may endanger the full enjoyment of human rights of African</w:t>
      </w:r>
      <w:r w:rsidR="0030356C" w:rsidRPr="00D920C9">
        <w:rPr>
          <w:rFonts w:asciiTheme="minorHAnsi" w:hAnsiTheme="minorHAnsi" w:cs="Times"/>
          <w:szCs w:val="20"/>
        </w:rPr>
        <w:t xml:space="preserve"> </w:t>
      </w:r>
      <w:r w:rsidRPr="00D920C9">
        <w:rPr>
          <w:rFonts w:asciiTheme="minorHAnsi" w:hAnsiTheme="minorHAnsi" w:cs="Times"/>
          <w:szCs w:val="20"/>
        </w:rPr>
        <w:t xml:space="preserve">Americans and other </w:t>
      </w:r>
      <w:r w:rsidR="00841F00" w:rsidRPr="00D920C9">
        <w:rPr>
          <w:rFonts w:asciiTheme="minorHAnsi" w:hAnsiTheme="minorHAnsi" w:cs="Times"/>
          <w:szCs w:val="20"/>
        </w:rPr>
        <w:t>historically marginalized groups</w:t>
      </w:r>
      <w:r w:rsidRPr="00D920C9">
        <w:rPr>
          <w:rFonts w:asciiTheme="minorHAnsi" w:hAnsiTheme="minorHAnsi" w:cs="Times"/>
          <w:szCs w:val="20"/>
        </w:rPr>
        <w:t xml:space="preserve"> in the United States. </w:t>
      </w:r>
    </w:p>
    <w:p w14:paraId="7E24967F" w14:textId="77777777" w:rsidR="008742CB" w:rsidRPr="00D920C9" w:rsidRDefault="00597062"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cs="Times"/>
          <w:szCs w:val="20"/>
        </w:rPr>
        <w:t xml:space="preserve">First, </w:t>
      </w:r>
      <w:r w:rsidR="008742CB" w:rsidRPr="00D920C9">
        <w:rPr>
          <w:rFonts w:asciiTheme="minorHAnsi" w:hAnsiTheme="minorHAnsi" w:cs="Times"/>
          <w:szCs w:val="20"/>
        </w:rPr>
        <w:t>the Commission is concerned by the stated position of the Executive</w:t>
      </w:r>
      <w:r w:rsidR="002355CD" w:rsidRPr="00D920C9">
        <w:rPr>
          <w:rFonts w:asciiTheme="minorHAnsi" w:hAnsiTheme="minorHAnsi" w:cs="Times"/>
          <w:szCs w:val="20"/>
        </w:rPr>
        <w:t xml:space="preserve"> branch</w:t>
      </w:r>
      <w:r w:rsidR="008742CB" w:rsidRPr="00D920C9">
        <w:rPr>
          <w:rFonts w:asciiTheme="minorHAnsi" w:hAnsiTheme="minorHAnsi" w:cs="Times"/>
          <w:szCs w:val="20"/>
        </w:rPr>
        <w:t xml:space="preserve"> to decrease federal oversight of police. </w:t>
      </w:r>
      <w:r w:rsidR="008742CB" w:rsidRPr="00D920C9">
        <w:rPr>
          <w:rFonts w:asciiTheme="minorHAnsi" w:hAnsiTheme="minorHAnsi"/>
          <w:szCs w:val="20"/>
        </w:rPr>
        <w:t xml:space="preserve">On January 20, 2017, the day that President Trump entered office, the White House </w:t>
      </w:r>
      <w:r w:rsidR="00E020AC" w:rsidRPr="00D920C9">
        <w:rPr>
          <w:rFonts w:asciiTheme="minorHAnsi" w:hAnsiTheme="minorHAnsi"/>
          <w:szCs w:val="20"/>
        </w:rPr>
        <w:t>released</w:t>
      </w:r>
      <w:r w:rsidR="008742CB" w:rsidRPr="00D920C9">
        <w:rPr>
          <w:rFonts w:asciiTheme="minorHAnsi" w:hAnsiTheme="minorHAnsi"/>
          <w:szCs w:val="20"/>
        </w:rPr>
        <w:t xml:space="preserve"> a statement</w:t>
      </w:r>
      <w:r w:rsidR="002355CD" w:rsidRPr="00D920C9">
        <w:rPr>
          <w:rFonts w:asciiTheme="minorHAnsi" w:hAnsiTheme="minorHAnsi"/>
          <w:szCs w:val="20"/>
        </w:rPr>
        <w:t xml:space="preserve"> considering</w:t>
      </w:r>
      <w:r w:rsidR="008742CB" w:rsidRPr="00D920C9">
        <w:rPr>
          <w:rFonts w:asciiTheme="minorHAnsi" w:hAnsiTheme="minorHAnsi"/>
          <w:szCs w:val="20"/>
        </w:rPr>
        <w:t xml:space="preserve"> that “[t]he dangerous anti-police atmosphere in America is wrong” and a promise to “end it.”</w:t>
      </w:r>
      <w:r w:rsidR="008742CB" w:rsidRPr="00D920C9">
        <w:rPr>
          <w:rStyle w:val="FootnoteReference"/>
          <w:rFonts w:asciiTheme="minorHAnsi" w:hAnsiTheme="minorHAnsi"/>
          <w:szCs w:val="20"/>
        </w:rPr>
        <w:footnoteReference w:id="404"/>
      </w:r>
      <w:r w:rsidR="008742CB" w:rsidRPr="00D920C9">
        <w:rPr>
          <w:rFonts w:asciiTheme="minorHAnsi" w:hAnsiTheme="minorHAnsi"/>
          <w:szCs w:val="20"/>
        </w:rPr>
        <w:t xml:space="preserve"> I</w:t>
      </w:r>
      <w:r w:rsidRPr="00D920C9">
        <w:rPr>
          <w:rFonts w:asciiTheme="minorHAnsi" w:hAnsiTheme="minorHAnsi" w:cs="Times"/>
          <w:szCs w:val="20"/>
        </w:rPr>
        <w:t xml:space="preserve">n </w:t>
      </w:r>
      <w:r w:rsidRPr="00D920C9">
        <w:rPr>
          <w:rFonts w:asciiTheme="minorHAnsi" w:hAnsiTheme="minorHAnsi"/>
        </w:rPr>
        <w:t>April</w:t>
      </w:r>
      <w:r w:rsidRPr="00D920C9">
        <w:rPr>
          <w:rFonts w:asciiTheme="minorHAnsi" w:hAnsiTheme="minorHAnsi" w:cs="Times"/>
          <w:szCs w:val="20"/>
        </w:rPr>
        <w:t>, Attorney General</w:t>
      </w:r>
      <w:r w:rsidR="008742CB" w:rsidRPr="00D920C9">
        <w:rPr>
          <w:rFonts w:asciiTheme="minorHAnsi" w:hAnsiTheme="minorHAnsi" w:cs="Times"/>
          <w:szCs w:val="20"/>
        </w:rPr>
        <w:t xml:space="preserve"> Jeff Sessions</w:t>
      </w:r>
      <w:r w:rsidRPr="00D920C9">
        <w:rPr>
          <w:rFonts w:asciiTheme="minorHAnsi" w:hAnsiTheme="minorHAnsi" w:cs="Times"/>
          <w:szCs w:val="20"/>
        </w:rPr>
        <w:t xml:space="preserve"> announced </w:t>
      </w:r>
      <w:r w:rsidR="008742CB" w:rsidRPr="00D920C9">
        <w:rPr>
          <w:rFonts w:asciiTheme="minorHAnsi" w:hAnsiTheme="minorHAnsi" w:cs="Times"/>
          <w:szCs w:val="20"/>
        </w:rPr>
        <w:t xml:space="preserve">a </w:t>
      </w:r>
      <w:r w:rsidRPr="00D920C9">
        <w:rPr>
          <w:rFonts w:asciiTheme="minorHAnsi" w:hAnsiTheme="minorHAnsi" w:cs="Times"/>
          <w:szCs w:val="20"/>
        </w:rPr>
        <w:t>policy to “pull back” on civil rights lawsuits and investigations against police despite evide</w:t>
      </w:r>
      <w:r w:rsidR="008742CB" w:rsidRPr="00D920C9">
        <w:rPr>
          <w:rFonts w:asciiTheme="minorHAnsi" w:hAnsiTheme="minorHAnsi" w:cs="Times"/>
          <w:szCs w:val="20"/>
        </w:rPr>
        <w:t>nce of pervasive, systemic bias,</w:t>
      </w:r>
      <w:r w:rsidRPr="00D920C9">
        <w:rPr>
          <w:rStyle w:val="FootnoteReference"/>
          <w:rFonts w:asciiTheme="minorHAnsi" w:hAnsiTheme="minorHAnsi" w:cs="Times"/>
          <w:szCs w:val="20"/>
        </w:rPr>
        <w:footnoteReference w:id="405"/>
      </w:r>
      <w:r w:rsidR="008742CB" w:rsidRPr="00D920C9">
        <w:rPr>
          <w:rFonts w:asciiTheme="minorHAnsi" w:hAnsiTheme="minorHAnsi" w:cs="Times"/>
          <w:szCs w:val="20"/>
        </w:rPr>
        <w:t xml:space="preserve"> calling for </w:t>
      </w:r>
      <w:r w:rsidR="008742CB" w:rsidRPr="00D920C9">
        <w:rPr>
          <w:rFonts w:asciiTheme="minorHAnsi" w:hAnsiTheme="minorHAnsi"/>
          <w:szCs w:val="20"/>
        </w:rPr>
        <w:t>“proactive policing” and an end to “harmful federal intrusion in the daily work of local police.”</w:t>
      </w:r>
      <w:r w:rsidR="008742CB" w:rsidRPr="00D920C9">
        <w:rPr>
          <w:rStyle w:val="FootnoteReference"/>
          <w:rFonts w:asciiTheme="minorHAnsi" w:hAnsiTheme="minorHAnsi"/>
          <w:szCs w:val="20"/>
        </w:rPr>
        <w:footnoteReference w:id="406"/>
      </w:r>
      <w:r w:rsidR="008742CB" w:rsidRPr="00D920C9">
        <w:rPr>
          <w:rFonts w:asciiTheme="minorHAnsi" w:hAnsiTheme="minorHAnsi"/>
          <w:szCs w:val="20"/>
        </w:rPr>
        <w:t xml:space="preserve"> </w:t>
      </w:r>
      <w:r w:rsidRPr="00D920C9">
        <w:rPr>
          <w:rFonts w:asciiTheme="minorHAnsi" w:hAnsiTheme="minorHAnsi" w:cs="Times"/>
          <w:szCs w:val="20"/>
        </w:rPr>
        <w:t xml:space="preserve"> </w:t>
      </w:r>
    </w:p>
    <w:p w14:paraId="5CAE6EF6" w14:textId="77777777" w:rsidR="008742CB" w:rsidRPr="00D920C9" w:rsidRDefault="008742CB"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Information received by the Commission during its 166</w:t>
      </w:r>
      <w:r w:rsidRPr="00D920C9">
        <w:rPr>
          <w:rFonts w:asciiTheme="minorHAnsi" w:hAnsiTheme="minorHAnsi"/>
          <w:szCs w:val="20"/>
          <w:vertAlign w:val="superscript"/>
        </w:rPr>
        <w:t>th</w:t>
      </w:r>
      <w:r w:rsidRPr="00D920C9">
        <w:rPr>
          <w:rFonts w:asciiTheme="minorHAnsi" w:hAnsiTheme="minorHAnsi"/>
          <w:szCs w:val="20"/>
        </w:rPr>
        <w:t xml:space="preserve"> Period of Sessions in December 2017 indicates that the DOJ </w:t>
      </w:r>
      <w:r w:rsidR="003D6D7A" w:rsidRPr="00D920C9">
        <w:rPr>
          <w:rFonts w:asciiTheme="minorHAnsi" w:hAnsiTheme="minorHAnsi"/>
          <w:szCs w:val="20"/>
        </w:rPr>
        <w:t>may be</w:t>
      </w:r>
      <w:r w:rsidRPr="00D920C9">
        <w:rPr>
          <w:rFonts w:asciiTheme="minorHAnsi" w:hAnsiTheme="minorHAnsi"/>
          <w:szCs w:val="20"/>
        </w:rPr>
        <w:t xml:space="preserve"> effectively “pulling back” from enforcement of the laws it is required to enforce.</w:t>
      </w:r>
      <w:r w:rsidRPr="00D920C9">
        <w:rPr>
          <w:rStyle w:val="FootnoteReference"/>
          <w:rFonts w:asciiTheme="minorHAnsi" w:hAnsiTheme="minorHAnsi"/>
          <w:szCs w:val="20"/>
        </w:rPr>
        <w:footnoteReference w:id="407"/>
      </w:r>
      <w:r w:rsidRPr="00D920C9">
        <w:rPr>
          <w:rFonts w:asciiTheme="minorHAnsi" w:hAnsiTheme="minorHAnsi"/>
          <w:szCs w:val="20"/>
        </w:rPr>
        <w:t xml:space="preserve"> </w:t>
      </w:r>
      <w:r w:rsidR="007A656C" w:rsidRPr="00D920C9">
        <w:rPr>
          <w:rFonts w:asciiTheme="minorHAnsi" w:hAnsiTheme="minorHAnsi"/>
          <w:szCs w:val="20"/>
        </w:rPr>
        <w:t xml:space="preserve">The Commission received information that </w:t>
      </w:r>
      <w:r w:rsidRPr="00D920C9">
        <w:rPr>
          <w:rFonts w:asciiTheme="minorHAnsi" w:hAnsiTheme="minorHAnsi"/>
          <w:szCs w:val="20"/>
        </w:rPr>
        <w:t>the DOJ has been reviewing its procedures for addressing police misconduct</w:t>
      </w:r>
      <w:r w:rsidR="007A656C" w:rsidRPr="00D920C9">
        <w:rPr>
          <w:rFonts w:asciiTheme="minorHAnsi" w:hAnsiTheme="minorHAnsi"/>
          <w:szCs w:val="20"/>
        </w:rPr>
        <w:t xml:space="preserve"> to permit high-level review of agreements between the DOJ Civil Rights Division and police departments by </w:t>
      </w:r>
      <w:r w:rsidR="007A656C" w:rsidRPr="00D920C9">
        <w:rPr>
          <w:rFonts w:asciiTheme="minorHAnsi" w:hAnsiTheme="minorHAnsi"/>
        </w:rPr>
        <w:t>deputies</w:t>
      </w:r>
      <w:r w:rsidR="007A656C" w:rsidRPr="00D920C9">
        <w:rPr>
          <w:rFonts w:asciiTheme="minorHAnsi" w:hAnsiTheme="minorHAnsi"/>
          <w:szCs w:val="20"/>
        </w:rPr>
        <w:t xml:space="preserve"> of the Attorney General,</w:t>
      </w:r>
      <w:r w:rsidRPr="00D920C9">
        <w:rPr>
          <w:rStyle w:val="FootnoteReference"/>
          <w:rFonts w:asciiTheme="minorHAnsi" w:hAnsiTheme="minorHAnsi"/>
          <w:szCs w:val="20"/>
        </w:rPr>
        <w:footnoteReference w:id="408"/>
      </w:r>
      <w:r w:rsidR="007A656C" w:rsidRPr="00D920C9">
        <w:rPr>
          <w:rFonts w:asciiTheme="minorHAnsi" w:hAnsiTheme="minorHAnsi"/>
          <w:szCs w:val="20"/>
        </w:rPr>
        <w:t xml:space="preserve"> provoking concern from civil society groups that</w:t>
      </w:r>
      <w:r w:rsidRPr="00D920C9">
        <w:rPr>
          <w:rFonts w:asciiTheme="minorHAnsi" w:hAnsiTheme="minorHAnsi"/>
          <w:szCs w:val="20"/>
        </w:rPr>
        <w:t xml:space="preserve"> </w:t>
      </w:r>
      <w:r w:rsidR="007A656C" w:rsidRPr="00D920C9">
        <w:rPr>
          <w:rFonts w:asciiTheme="minorHAnsi" w:hAnsiTheme="minorHAnsi"/>
          <w:szCs w:val="20"/>
        </w:rPr>
        <w:t xml:space="preserve">the current administration </w:t>
      </w:r>
      <w:r w:rsidRPr="00D920C9">
        <w:rPr>
          <w:rFonts w:asciiTheme="minorHAnsi" w:hAnsiTheme="minorHAnsi"/>
          <w:szCs w:val="20"/>
        </w:rPr>
        <w:t xml:space="preserve">is seeking to modify or undo existing consent decrees </w:t>
      </w:r>
      <w:r w:rsidR="007A656C" w:rsidRPr="00D920C9">
        <w:rPr>
          <w:rFonts w:asciiTheme="minorHAnsi" w:hAnsiTheme="minorHAnsi"/>
          <w:szCs w:val="20"/>
        </w:rPr>
        <w:t xml:space="preserve">previously negotiated with </w:t>
      </w:r>
      <w:r w:rsidR="00841F00" w:rsidRPr="00D920C9">
        <w:rPr>
          <w:rFonts w:asciiTheme="minorHAnsi" w:hAnsiTheme="minorHAnsi"/>
          <w:szCs w:val="20"/>
        </w:rPr>
        <w:t xml:space="preserve">municipalities </w:t>
      </w:r>
      <w:r w:rsidR="007A656C" w:rsidRPr="00D920C9">
        <w:rPr>
          <w:rFonts w:asciiTheme="minorHAnsi" w:hAnsiTheme="minorHAnsi"/>
          <w:szCs w:val="20"/>
        </w:rPr>
        <w:t xml:space="preserve">to </w:t>
      </w:r>
      <w:r w:rsidRPr="00D920C9">
        <w:rPr>
          <w:rFonts w:asciiTheme="minorHAnsi" w:hAnsiTheme="minorHAnsi"/>
          <w:szCs w:val="20"/>
        </w:rPr>
        <w:t xml:space="preserve">address constitutional violations </w:t>
      </w:r>
      <w:r w:rsidR="007A656C" w:rsidRPr="00D920C9">
        <w:rPr>
          <w:rFonts w:asciiTheme="minorHAnsi" w:hAnsiTheme="minorHAnsi"/>
          <w:szCs w:val="20"/>
        </w:rPr>
        <w:t>found by the DOJ</w:t>
      </w:r>
      <w:r w:rsidRPr="00D920C9">
        <w:rPr>
          <w:rFonts w:asciiTheme="minorHAnsi" w:hAnsiTheme="minorHAnsi"/>
          <w:szCs w:val="20"/>
        </w:rPr>
        <w:t>.</w:t>
      </w:r>
      <w:r w:rsidR="007A656C" w:rsidRPr="00D920C9">
        <w:rPr>
          <w:rStyle w:val="FootnoteReference"/>
          <w:rFonts w:asciiTheme="minorHAnsi" w:hAnsiTheme="minorHAnsi"/>
          <w:szCs w:val="20"/>
        </w:rPr>
        <w:footnoteReference w:id="409"/>
      </w:r>
      <w:r w:rsidR="007A656C" w:rsidRPr="00D920C9">
        <w:rPr>
          <w:rFonts w:asciiTheme="minorHAnsi" w:hAnsiTheme="minorHAnsi"/>
          <w:szCs w:val="20"/>
        </w:rPr>
        <w:t xml:space="preserve"> </w:t>
      </w:r>
      <w:r w:rsidR="00BB63B9" w:rsidRPr="00D920C9">
        <w:rPr>
          <w:rFonts w:asciiTheme="minorHAnsi" w:hAnsiTheme="minorHAnsi"/>
          <w:szCs w:val="20"/>
        </w:rPr>
        <w:t xml:space="preserve">Following </w:t>
      </w:r>
      <w:r w:rsidR="003D6D7A" w:rsidRPr="00D920C9">
        <w:rPr>
          <w:rFonts w:asciiTheme="minorHAnsi" w:hAnsiTheme="minorHAnsi"/>
          <w:szCs w:val="20"/>
        </w:rPr>
        <w:t>the announcement of this policy change</w:t>
      </w:r>
      <w:r w:rsidR="00BB63B9" w:rsidRPr="00D920C9">
        <w:rPr>
          <w:rFonts w:asciiTheme="minorHAnsi" w:hAnsiTheme="minorHAnsi"/>
          <w:szCs w:val="20"/>
        </w:rPr>
        <w:t>, the DOJ attempted to postpone the implementation of a consent decree in Baltimore, despite the city’s own support for the measure,</w:t>
      </w:r>
      <w:r w:rsidR="00BB63B9" w:rsidRPr="00D920C9">
        <w:rPr>
          <w:rStyle w:val="FootnoteReference"/>
          <w:rFonts w:asciiTheme="minorHAnsi" w:hAnsiTheme="minorHAnsi"/>
          <w:szCs w:val="20"/>
        </w:rPr>
        <w:footnoteReference w:id="410"/>
      </w:r>
      <w:r w:rsidR="00BB63B9" w:rsidRPr="00D920C9">
        <w:rPr>
          <w:rFonts w:asciiTheme="minorHAnsi" w:hAnsiTheme="minorHAnsi"/>
          <w:szCs w:val="20"/>
        </w:rPr>
        <w:t xml:space="preserve"> and accepted Chicago’s decision to abandon the consent decree process,</w:t>
      </w:r>
      <w:r w:rsidR="00BB63B9" w:rsidRPr="00D920C9">
        <w:rPr>
          <w:rStyle w:val="FootnoteReference"/>
          <w:rFonts w:asciiTheme="minorHAnsi" w:hAnsiTheme="minorHAnsi"/>
          <w:szCs w:val="20"/>
        </w:rPr>
        <w:footnoteReference w:id="411"/>
      </w:r>
      <w:r w:rsidR="00BB63B9" w:rsidRPr="00D920C9">
        <w:rPr>
          <w:rFonts w:asciiTheme="minorHAnsi" w:hAnsiTheme="minorHAnsi"/>
          <w:szCs w:val="20"/>
        </w:rPr>
        <w:t xml:space="preserve"> in spite of evidence gathered by the DOJ that those police departments had </w:t>
      </w:r>
      <w:r w:rsidR="00BB63B9" w:rsidRPr="00D920C9">
        <w:rPr>
          <w:rFonts w:asciiTheme="minorHAnsi" w:hAnsiTheme="minorHAnsi"/>
          <w:szCs w:val="20"/>
        </w:rPr>
        <w:lastRenderedPageBreak/>
        <w:t>engaged in a pattern of discrimination that harmed the safety and civil rights of their residents.</w:t>
      </w:r>
      <w:r w:rsidR="00BB63B9" w:rsidRPr="00D920C9">
        <w:rPr>
          <w:rStyle w:val="FootnoteReference"/>
          <w:rFonts w:asciiTheme="minorHAnsi" w:hAnsiTheme="minorHAnsi"/>
          <w:szCs w:val="20"/>
        </w:rPr>
        <w:footnoteReference w:id="412"/>
      </w:r>
      <w:r w:rsidR="00BB63B9" w:rsidRPr="00D920C9">
        <w:rPr>
          <w:rFonts w:asciiTheme="minorHAnsi" w:hAnsiTheme="minorHAnsi"/>
          <w:szCs w:val="20"/>
        </w:rPr>
        <w:t xml:space="preserve"> </w:t>
      </w:r>
      <w:r w:rsidR="007A656C" w:rsidRPr="00D920C9">
        <w:rPr>
          <w:rFonts w:asciiTheme="minorHAnsi" w:hAnsiTheme="minorHAnsi"/>
          <w:szCs w:val="20"/>
        </w:rPr>
        <w:t xml:space="preserve">In general, the Commission has received reports of broad concern that the </w:t>
      </w:r>
      <w:r w:rsidRPr="00D920C9">
        <w:rPr>
          <w:rFonts w:asciiTheme="minorHAnsi" w:hAnsiTheme="minorHAnsi"/>
          <w:szCs w:val="20"/>
        </w:rPr>
        <w:t xml:space="preserve">DOJ </w:t>
      </w:r>
      <w:r w:rsidR="007A656C" w:rsidRPr="00D920C9">
        <w:rPr>
          <w:rFonts w:asciiTheme="minorHAnsi" w:hAnsiTheme="minorHAnsi"/>
          <w:szCs w:val="20"/>
        </w:rPr>
        <w:t xml:space="preserve">may be </w:t>
      </w:r>
      <w:r w:rsidRPr="00D920C9">
        <w:rPr>
          <w:rFonts w:asciiTheme="minorHAnsi" w:hAnsiTheme="minorHAnsi"/>
          <w:szCs w:val="20"/>
        </w:rPr>
        <w:t>dismantling critical struc</w:t>
      </w:r>
      <w:r w:rsidR="007A656C" w:rsidRPr="00D920C9">
        <w:rPr>
          <w:rFonts w:asciiTheme="minorHAnsi" w:hAnsiTheme="minorHAnsi"/>
          <w:szCs w:val="20"/>
        </w:rPr>
        <w:t xml:space="preserve">tures and abandoning tools that it has used for decades </w:t>
      </w:r>
      <w:r w:rsidRPr="00D920C9">
        <w:rPr>
          <w:rFonts w:asciiTheme="minorHAnsi" w:hAnsiTheme="minorHAnsi"/>
          <w:szCs w:val="20"/>
        </w:rPr>
        <w:t>to protect people from poli</w:t>
      </w:r>
      <w:r w:rsidR="007A656C" w:rsidRPr="00D920C9">
        <w:rPr>
          <w:rFonts w:asciiTheme="minorHAnsi" w:hAnsiTheme="minorHAnsi"/>
          <w:szCs w:val="20"/>
        </w:rPr>
        <w:t>ce brutality and discrimination</w:t>
      </w:r>
      <w:r w:rsidRPr="00D920C9">
        <w:rPr>
          <w:rFonts w:asciiTheme="minorHAnsi" w:hAnsiTheme="minorHAnsi"/>
          <w:szCs w:val="20"/>
        </w:rPr>
        <w:t>.</w:t>
      </w:r>
      <w:r w:rsidRPr="00D920C9">
        <w:rPr>
          <w:rStyle w:val="FootnoteReference"/>
          <w:rFonts w:asciiTheme="minorHAnsi" w:hAnsiTheme="minorHAnsi"/>
          <w:szCs w:val="20"/>
        </w:rPr>
        <w:footnoteReference w:id="413"/>
      </w:r>
    </w:p>
    <w:p w14:paraId="2AE3B1B4" w14:textId="41038527" w:rsidR="00597062" w:rsidRPr="00D920C9" w:rsidRDefault="00597062" w:rsidP="00E86698">
      <w:pPr>
        <w:pStyle w:val="ListParagraph"/>
        <w:numPr>
          <w:ilvl w:val="0"/>
          <w:numId w:val="9"/>
        </w:numPr>
        <w:spacing w:after="240" w:line="240" w:lineRule="auto"/>
        <w:ind w:left="547" w:hanging="547"/>
        <w:contextualSpacing w:val="0"/>
        <w:jc w:val="both"/>
        <w:rPr>
          <w:rFonts w:asciiTheme="minorHAnsi" w:hAnsiTheme="minorHAnsi"/>
          <w:szCs w:val="20"/>
        </w:rPr>
      </w:pPr>
      <w:bookmarkStart w:id="155" w:name="_Ref507405452"/>
      <w:r w:rsidRPr="00D920C9">
        <w:rPr>
          <w:rFonts w:asciiTheme="minorHAnsi" w:hAnsiTheme="minorHAnsi" w:cs="Times"/>
          <w:szCs w:val="20"/>
        </w:rPr>
        <w:t xml:space="preserve">Second, the Commission considers </w:t>
      </w:r>
      <w:r w:rsidRPr="00D920C9">
        <w:rPr>
          <w:rFonts w:asciiTheme="minorHAnsi" w:hAnsiTheme="minorHAnsi"/>
          <w:szCs w:val="20"/>
        </w:rPr>
        <w:t xml:space="preserve">the </w:t>
      </w:r>
      <w:r w:rsidRPr="00D920C9">
        <w:rPr>
          <w:rFonts w:asciiTheme="minorHAnsi" w:hAnsiTheme="minorHAnsi"/>
        </w:rPr>
        <w:t>President’s</w:t>
      </w:r>
      <w:r w:rsidRPr="00D920C9">
        <w:rPr>
          <w:rFonts w:asciiTheme="minorHAnsi" w:hAnsiTheme="minorHAnsi"/>
          <w:szCs w:val="20"/>
        </w:rPr>
        <w:t xml:space="preserve"> decision to revoke, via Executive Order, </w:t>
      </w:r>
      <w:r w:rsidR="003D6D7A" w:rsidRPr="00D920C9">
        <w:rPr>
          <w:rFonts w:asciiTheme="minorHAnsi" w:hAnsiTheme="minorHAnsi"/>
          <w:szCs w:val="20"/>
        </w:rPr>
        <w:t>the</w:t>
      </w:r>
      <w:r w:rsidRPr="00D920C9">
        <w:rPr>
          <w:rFonts w:asciiTheme="minorHAnsi" w:hAnsiTheme="minorHAnsi"/>
          <w:szCs w:val="20"/>
        </w:rPr>
        <w:t xml:space="preserve"> previous measure that banned the sale of military surplus equipment to local police departments</w:t>
      </w:r>
      <w:r w:rsidR="00F56F74" w:rsidRPr="00D920C9">
        <w:rPr>
          <w:rFonts w:asciiTheme="minorHAnsi" w:hAnsiTheme="minorHAnsi"/>
          <w:szCs w:val="20"/>
        </w:rPr>
        <w:t xml:space="preserve">, </w:t>
      </w:r>
      <w:r w:rsidR="00A24443" w:rsidRPr="00D920C9">
        <w:rPr>
          <w:rFonts w:asciiTheme="minorHAnsi" w:hAnsiTheme="minorHAnsi"/>
          <w:szCs w:val="20"/>
        </w:rPr>
        <w:t xml:space="preserve">due to considering </w:t>
      </w:r>
      <w:r w:rsidR="00F56F74" w:rsidRPr="00D920C9">
        <w:rPr>
          <w:rFonts w:asciiTheme="minorHAnsi" w:hAnsiTheme="minorHAnsi"/>
          <w:szCs w:val="20"/>
        </w:rPr>
        <w:t>this</w:t>
      </w:r>
      <w:r w:rsidRPr="00D920C9">
        <w:rPr>
          <w:rFonts w:asciiTheme="minorHAnsi" w:hAnsiTheme="minorHAnsi"/>
          <w:szCs w:val="20"/>
        </w:rPr>
        <w:t xml:space="preserve"> to be negative and pose risks to basic rights.</w:t>
      </w:r>
      <w:r w:rsidRPr="00D920C9">
        <w:rPr>
          <w:rStyle w:val="FootnoteReference"/>
          <w:rFonts w:asciiTheme="minorHAnsi" w:hAnsiTheme="minorHAnsi"/>
          <w:szCs w:val="20"/>
        </w:rPr>
        <w:footnoteReference w:id="414"/>
      </w:r>
      <w:bookmarkEnd w:id="155"/>
      <w:r w:rsidRPr="00D920C9">
        <w:rPr>
          <w:rFonts w:asciiTheme="minorHAnsi" w:hAnsiTheme="minorHAnsi"/>
          <w:szCs w:val="20"/>
        </w:rPr>
        <w:t xml:space="preserve"> </w:t>
      </w:r>
    </w:p>
    <w:p w14:paraId="7C25142A" w14:textId="77777777" w:rsidR="000B4690" w:rsidRPr="00D920C9" w:rsidRDefault="000B4690" w:rsidP="00E86698">
      <w:pPr>
        <w:pStyle w:val="ListParagraph"/>
        <w:numPr>
          <w:ilvl w:val="0"/>
          <w:numId w:val="9"/>
        </w:numPr>
        <w:spacing w:after="240" w:line="240" w:lineRule="auto"/>
        <w:ind w:left="547" w:hanging="547"/>
        <w:contextualSpacing w:val="0"/>
        <w:jc w:val="both"/>
        <w:rPr>
          <w:rFonts w:asciiTheme="minorHAnsi" w:eastAsia="Times New Roman" w:hAnsiTheme="minorHAnsi"/>
          <w:szCs w:val="20"/>
          <w:lang w:eastAsia="es-ES"/>
        </w:rPr>
      </w:pPr>
      <w:r w:rsidRPr="00D920C9">
        <w:rPr>
          <w:rFonts w:asciiTheme="minorHAnsi" w:hAnsiTheme="minorHAnsi"/>
          <w:szCs w:val="20"/>
        </w:rPr>
        <w:t xml:space="preserve">As noted </w:t>
      </w:r>
      <w:r w:rsidR="002355CD" w:rsidRPr="00D920C9">
        <w:rPr>
          <w:rFonts w:asciiTheme="minorHAnsi" w:hAnsiTheme="minorHAnsi"/>
          <w:szCs w:val="20"/>
        </w:rPr>
        <w:t>above</w:t>
      </w:r>
      <w:r w:rsidRPr="00D920C9">
        <w:rPr>
          <w:rFonts w:asciiTheme="minorHAnsi" w:hAnsiTheme="minorHAnsi"/>
          <w:szCs w:val="20"/>
        </w:rPr>
        <w:t>, t</w:t>
      </w:r>
      <w:r w:rsidRPr="00D920C9">
        <w:rPr>
          <w:rFonts w:asciiTheme="minorHAnsi" w:eastAsia="Times New Roman" w:hAnsiTheme="minorHAnsi"/>
          <w:szCs w:val="20"/>
          <w:lang w:eastAsia="es-ES"/>
        </w:rPr>
        <w:t>he DOJ issued new guidance on racial profiling in 2014,</w:t>
      </w:r>
      <w:r w:rsidRPr="00D920C9">
        <w:rPr>
          <w:rStyle w:val="FootnoteReference"/>
          <w:rFonts w:asciiTheme="minorHAnsi" w:eastAsia="Times New Roman" w:hAnsiTheme="minorHAnsi"/>
          <w:szCs w:val="20"/>
          <w:lang w:eastAsia="es-ES"/>
        </w:rPr>
        <w:footnoteReference w:id="415"/>
      </w:r>
      <w:r w:rsidRPr="00D920C9">
        <w:rPr>
          <w:rFonts w:asciiTheme="minorHAnsi" w:eastAsia="Times New Roman" w:hAnsiTheme="minorHAnsi"/>
          <w:szCs w:val="20"/>
          <w:lang w:eastAsia="es-ES"/>
        </w:rPr>
        <w:t xml:space="preserve"> a move that human rights groups had long called for to correct the loosely-drafted 2003 guidance to provide guidance and improve oversight of local police departments.</w:t>
      </w:r>
      <w:r w:rsidRPr="00D920C9">
        <w:rPr>
          <w:rStyle w:val="FootnoteReference"/>
          <w:rFonts w:asciiTheme="minorHAnsi" w:eastAsia="Times New Roman" w:hAnsiTheme="minorHAnsi"/>
          <w:szCs w:val="20"/>
          <w:lang w:eastAsia="es-ES"/>
        </w:rPr>
        <w:footnoteReference w:id="416"/>
      </w:r>
      <w:r w:rsidRPr="00D920C9">
        <w:rPr>
          <w:rFonts w:asciiTheme="minorHAnsi" w:eastAsia="Times New Roman" w:hAnsiTheme="minorHAnsi"/>
          <w:szCs w:val="20"/>
          <w:lang w:eastAsia="es-ES"/>
        </w:rPr>
        <w:t xml:space="preserve"> Among other things, this new guidance expanded protection from profiling on the basis of religion and national origin, as the</w:t>
      </w:r>
      <w:r w:rsidR="00352483" w:rsidRPr="00D920C9">
        <w:rPr>
          <w:rFonts w:asciiTheme="minorHAnsi" w:eastAsia="Times New Roman" w:hAnsiTheme="minorHAnsi"/>
          <w:szCs w:val="20"/>
          <w:lang w:eastAsia="es-ES"/>
        </w:rPr>
        <w:t xml:space="preserve"> U.N. </w:t>
      </w:r>
      <w:r w:rsidRPr="00D920C9">
        <w:rPr>
          <w:rFonts w:asciiTheme="minorHAnsi" w:eastAsia="Times New Roman" w:hAnsiTheme="minorHAnsi"/>
          <w:szCs w:val="20"/>
          <w:lang w:eastAsia="es-ES"/>
        </w:rPr>
        <w:t>Human Rights Committee, among others, had called for.</w:t>
      </w:r>
      <w:r w:rsidRPr="00D920C9">
        <w:rPr>
          <w:rStyle w:val="FootnoteReference"/>
          <w:rFonts w:asciiTheme="minorHAnsi" w:eastAsia="Times New Roman" w:hAnsiTheme="minorHAnsi"/>
          <w:szCs w:val="20"/>
          <w:lang w:eastAsia="es-ES"/>
        </w:rPr>
        <w:footnoteReference w:id="417"/>
      </w:r>
      <w:r w:rsidRPr="00D920C9">
        <w:rPr>
          <w:rFonts w:asciiTheme="minorHAnsi" w:eastAsia="Times New Roman" w:hAnsiTheme="minorHAnsi"/>
          <w:szCs w:val="20"/>
          <w:lang w:eastAsia="es-ES"/>
        </w:rPr>
        <w:t xml:space="preserve"> However, the Commission notes that this new guidance received substantial criticism from civil society groups for providing substantial carve-outs to permit racial profiling by the Transportation Security Administration (TSA) and Customs and Border Protection (CBP), contradicting the stated goals of the new guidance.</w:t>
      </w:r>
      <w:r w:rsidRPr="00D920C9">
        <w:rPr>
          <w:rStyle w:val="FootnoteReference"/>
          <w:rFonts w:asciiTheme="minorHAnsi" w:eastAsia="Times New Roman" w:hAnsiTheme="minorHAnsi"/>
          <w:szCs w:val="20"/>
          <w:lang w:eastAsia="es-ES"/>
        </w:rPr>
        <w:footnoteReference w:id="418"/>
      </w:r>
    </w:p>
    <w:p w14:paraId="35837DEE" w14:textId="77777777" w:rsidR="00365773" w:rsidRPr="00D920C9" w:rsidRDefault="00365773" w:rsidP="00007A36">
      <w:pPr>
        <w:pStyle w:val="Heading1"/>
        <w:sectPr w:rsidR="00365773" w:rsidRPr="00D920C9" w:rsidSect="001E4747">
          <w:headerReference w:type="default" r:id="rId28"/>
          <w:footerReference w:type="default" r:id="rId29"/>
          <w:type w:val="oddPage"/>
          <w:pgSz w:w="10080" w:h="14400" w:code="1"/>
          <w:pgMar w:top="1152" w:right="1152" w:bottom="1152" w:left="1296" w:header="720" w:footer="720" w:gutter="0"/>
          <w:cols w:space="708"/>
          <w:docGrid w:linePitch="360"/>
        </w:sectPr>
      </w:pPr>
      <w:bookmarkStart w:id="156" w:name="_Toc511837829"/>
    </w:p>
    <w:p w14:paraId="433BD1BA" w14:textId="59DE858E" w:rsidR="003F5BAC" w:rsidRPr="00A0401B" w:rsidRDefault="003F5BAC" w:rsidP="00007A36">
      <w:pPr>
        <w:pStyle w:val="CAP1"/>
      </w:pPr>
      <w:bookmarkStart w:id="157" w:name="_Toc511903002"/>
      <w:bookmarkStart w:id="158" w:name="_Toc517687932"/>
      <w:r w:rsidRPr="00A0401B">
        <w:lastRenderedPageBreak/>
        <w:t xml:space="preserve">CHAPTER </w:t>
      </w:r>
      <w:r>
        <w:t>3</w:t>
      </w:r>
    </w:p>
    <w:p w14:paraId="048DC4A6" w14:textId="7B99349E" w:rsidR="003F5BAC" w:rsidRDefault="003F5BAC" w:rsidP="003F5BAC">
      <w:pPr>
        <w:pStyle w:val="CAP2"/>
        <w:sectPr w:rsidR="003F5BAC" w:rsidSect="003F5BAC">
          <w:headerReference w:type="default" r:id="rId30"/>
          <w:footerReference w:type="default" r:id="rId31"/>
          <w:headerReference w:type="first" r:id="rId32"/>
          <w:type w:val="oddPage"/>
          <w:pgSz w:w="10080" w:h="14400" w:code="13"/>
          <w:pgMar w:top="1152" w:right="1152" w:bottom="1152" w:left="1296" w:header="720" w:footer="720" w:gutter="0"/>
          <w:cols w:space="708"/>
          <w:vAlign w:val="center"/>
          <w:docGrid w:linePitch="360"/>
        </w:sectPr>
      </w:pPr>
      <w:r w:rsidRPr="003F5BAC">
        <w:t>INTER-AMERICAN AND INTERNATIONAL OBLIGATIONS OF THE UNITED STATES REGARDING NON-DISCRIMINATION, USE OF FORCE, AND ACCESS TO JUSTICE</w:t>
      </w:r>
    </w:p>
    <w:p w14:paraId="1082D1E1" w14:textId="6C6F7A8C" w:rsidR="00B4412C" w:rsidRPr="00D920C9" w:rsidRDefault="00365773" w:rsidP="00007A36">
      <w:pPr>
        <w:pStyle w:val="Heading1"/>
      </w:pPr>
      <w:r w:rsidRPr="00D920C9">
        <w:lastRenderedPageBreak/>
        <w:t>INTER-AMERICAN AND INTERNATIONAL OBLIGATIONS OF THE UNITED STATES REGARDING NON-DISCRIMINATION, USE OF FORCE, AND ACCESS TO JUSTICE</w:t>
      </w:r>
      <w:bookmarkEnd w:id="156"/>
      <w:bookmarkEnd w:id="157"/>
      <w:bookmarkEnd w:id="158"/>
    </w:p>
    <w:p w14:paraId="05BA63FB" w14:textId="7D881ACB" w:rsidR="00502230" w:rsidRPr="00D920C9" w:rsidRDefault="00B4412C" w:rsidP="00E86698">
      <w:pPr>
        <w:pStyle w:val="ListParagraph"/>
        <w:numPr>
          <w:ilvl w:val="0"/>
          <w:numId w:val="9"/>
        </w:numPr>
        <w:spacing w:after="240" w:line="240" w:lineRule="auto"/>
        <w:ind w:left="547" w:hanging="547"/>
        <w:contextualSpacing w:val="0"/>
        <w:jc w:val="both"/>
        <w:rPr>
          <w:rFonts w:asciiTheme="minorHAnsi" w:hAnsiTheme="minorHAnsi"/>
          <w:szCs w:val="20"/>
          <w:lang w:val="en-GB"/>
        </w:rPr>
      </w:pPr>
      <w:r w:rsidRPr="00D920C9">
        <w:rPr>
          <w:rFonts w:asciiTheme="minorHAnsi" w:hAnsiTheme="minorHAnsi"/>
          <w:szCs w:val="20"/>
        </w:rPr>
        <w:t>This section examines</w:t>
      </w:r>
      <w:r w:rsidR="002355CD" w:rsidRPr="00D920C9">
        <w:rPr>
          <w:rFonts w:asciiTheme="minorHAnsi" w:hAnsiTheme="minorHAnsi"/>
          <w:szCs w:val="20"/>
        </w:rPr>
        <w:t xml:space="preserve"> the situation of Afro-descendants in the United States in light of</w:t>
      </w:r>
      <w:r w:rsidRPr="00D920C9">
        <w:rPr>
          <w:rFonts w:asciiTheme="minorHAnsi" w:hAnsiTheme="minorHAnsi"/>
          <w:szCs w:val="20"/>
        </w:rPr>
        <w:t xml:space="preserve"> key international human rights principles </w:t>
      </w:r>
      <w:r w:rsidR="002355CD" w:rsidRPr="00D920C9">
        <w:rPr>
          <w:rFonts w:asciiTheme="minorHAnsi" w:hAnsiTheme="minorHAnsi"/>
          <w:szCs w:val="20"/>
        </w:rPr>
        <w:t>regarding non-discrimination, use of force, and access to justice</w:t>
      </w:r>
      <w:r w:rsidR="004049C5" w:rsidRPr="00D920C9">
        <w:rPr>
          <w:rFonts w:asciiTheme="minorHAnsi" w:hAnsiTheme="minorHAnsi"/>
          <w:szCs w:val="20"/>
        </w:rPr>
        <w:t>.</w:t>
      </w:r>
    </w:p>
    <w:p w14:paraId="5A9A5359" w14:textId="5C1C098A" w:rsidR="00502230" w:rsidRPr="00D920C9" w:rsidRDefault="00254A03" w:rsidP="00E86698">
      <w:pPr>
        <w:pStyle w:val="ListParagraph"/>
        <w:numPr>
          <w:ilvl w:val="0"/>
          <w:numId w:val="9"/>
        </w:numPr>
        <w:spacing w:after="240" w:line="240" w:lineRule="auto"/>
        <w:ind w:left="547" w:hanging="547"/>
        <w:contextualSpacing w:val="0"/>
        <w:jc w:val="both"/>
        <w:rPr>
          <w:rFonts w:asciiTheme="minorHAnsi" w:hAnsiTheme="minorHAnsi"/>
          <w:szCs w:val="20"/>
          <w:lang w:val="en-GB"/>
        </w:rPr>
      </w:pPr>
      <w:r w:rsidRPr="00D920C9">
        <w:rPr>
          <w:rFonts w:asciiTheme="minorHAnsi" w:hAnsiTheme="minorHAnsi"/>
          <w:szCs w:val="20"/>
        </w:rPr>
        <w:t>On</w:t>
      </w:r>
      <w:r w:rsidR="0070368F" w:rsidRPr="00D920C9">
        <w:rPr>
          <w:rFonts w:asciiTheme="minorHAnsi" w:hAnsiTheme="minorHAnsi"/>
          <w:szCs w:val="20"/>
        </w:rPr>
        <w:t xml:space="preserve"> non-discrimination, the Commission considers that</w:t>
      </w:r>
      <w:r w:rsidR="00B4412C" w:rsidRPr="00D920C9">
        <w:rPr>
          <w:rFonts w:asciiTheme="minorHAnsi" w:hAnsiTheme="minorHAnsi"/>
          <w:szCs w:val="20"/>
        </w:rPr>
        <w:t xml:space="preserve"> all government and police actions </w:t>
      </w:r>
      <w:r w:rsidR="00366CED" w:rsidRPr="00D920C9">
        <w:rPr>
          <w:rFonts w:asciiTheme="minorHAnsi" w:hAnsiTheme="minorHAnsi"/>
          <w:szCs w:val="20"/>
        </w:rPr>
        <w:t xml:space="preserve">must </w:t>
      </w:r>
      <w:r w:rsidR="00B4412C" w:rsidRPr="00D920C9">
        <w:rPr>
          <w:rFonts w:asciiTheme="minorHAnsi" w:hAnsiTheme="minorHAnsi"/>
          <w:szCs w:val="20"/>
        </w:rPr>
        <w:t xml:space="preserve">be guided by and executed in harmony with the obligations of non-discrimination and </w:t>
      </w:r>
      <w:r w:rsidR="00C74F36" w:rsidRPr="00D920C9">
        <w:rPr>
          <w:rFonts w:asciiTheme="minorHAnsi" w:hAnsiTheme="minorHAnsi"/>
          <w:szCs w:val="20"/>
        </w:rPr>
        <w:t>equal protection of and before the law</w:t>
      </w:r>
      <w:r w:rsidR="00B4412C" w:rsidRPr="00D920C9">
        <w:rPr>
          <w:rFonts w:asciiTheme="minorHAnsi" w:hAnsiTheme="minorHAnsi"/>
          <w:szCs w:val="20"/>
        </w:rPr>
        <w:t>.</w:t>
      </w:r>
      <w:r w:rsidR="00C45605" w:rsidRPr="00D920C9">
        <w:rPr>
          <w:rFonts w:asciiTheme="minorHAnsi" w:hAnsiTheme="minorHAnsi"/>
          <w:szCs w:val="20"/>
        </w:rPr>
        <w:t xml:space="preserve"> </w:t>
      </w:r>
      <w:r w:rsidRPr="00D920C9">
        <w:rPr>
          <w:rFonts w:asciiTheme="minorHAnsi" w:hAnsiTheme="minorHAnsi"/>
          <w:szCs w:val="20"/>
        </w:rPr>
        <w:t>T</w:t>
      </w:r>
      <w:r w:rsidR="00C45605" w:rsidRPr="00D920C9">
        <w:rPr>
          <w:rFonts w:asciiTheme="minorHAnsi" w:hAnsiTheme="minorHAnsi"/>
          <w:szCs w:val="20"/>
        </w:rPr>
        <w:t xml:space="preserve">he Commission highlights that laws and practices that have a discriminatory effect (disparate </w:t>
      </w:r>
      <w:r w:rsidR="00C45605" w:rsidRPr="00D920C9">
        <w:rPr>
          <w:rFonts w:asciiTheme="minorHAnsi" w:hAnsiTheme="minorHAnsi"/>
        </w:rPr>
        <w:t>impact</w:t>
      </w:r>
      <w:r w:rsidR="00C45605" w:rsidRPr="00D920C9">
        <w:rPr>
          <w:rFonts w:asciiTheme="minorHAnsi" w:hAnsiTheme="minorHAnsi"/>
          <w:szCs w:val="20"/>
        </w:rPr>
        <w:t xml:space="preserve">) are prohibited under international law, even if they are not facially discriminatory. </w:t>
      </w:r>
      <w:r w:rsidR="00502230" w:rsidRPr="00D920C9">
        <w:rPr>
          <w:rFonts w:asciiTheme="minorHAnsi" w:hAnsiTheme="minorHAnsi"/>
          <w:szCs w:val="20"/>
        </w:rPr>
        <w:t>Furthermore, it notes that racial profiling practices may amount to inhumane or degrading treatment under international law.</w:t>
      </w:r>
    </w:p>
    <w:p w14:paraId="6D7C5BE4" w14:textId="0D2C2E5E" w:rsidR="00502230" w:rsidRPr="00D920C9" w:rsidRDefault="00254A03"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rPr>
        <w:t>On</w:t>
      </w:r>
      <w:r w:rsidR="0070368F" w:rsidRPr="00D920C9">
        <w:rPr>
          <w:rFonts w:asciiTheme="minorHAnsi" w:hAnsiTheme="minorHAnsi"/>
          <w:szCs w:val="20"/>
        </w:rPr>
        <w:t xml:space="preserve"> use of force, the Commission </w:t>
      </w:r>
      <w:r w:rsidR="00366CED" w:rsidRPr="00D920C9">
        <w:rPr>
          <w:rFonts w:asciiTheme="minorHAnsi" w:hAnsiTheme="minorHAnsi"/>
          <w:szCs w:val="20"/>
        </w:rPr>
        <w:t>reiterates</w:t>
      </w:r>
      <w:r w:rsidR="0070368F" w:rsidRPr="00D920C9">
        <w:rPr>
          <w:rFonts w:asciiTheme="minorHAnsi" w:hAnsiTheme="minorHAnsi"/>
          <w:szCs w:val="20"/>
        </w:rPr>
        <w:t xml:space="preserve"> that</w:t>
      </w:r>
      <w:r w:rsidR="00B4412C" w:rsidRPr="00D920C9">
        <w:rPr>
          <w:rFonts w:asciiTheme="minorHAnsi" w:hAnsiTheme="minorHAnsi"/>
          <w:szCs w:val="20"/>
        </w:rPr>
        <w:t xml:space="preserve"> </w:t>
      </w:r>
      <w:r w:rsidR="00C45605" w:rsidRPr="00D920C9">
        <w:rPr>
          <w:rFonts w:asciiTheme="minorHAnsi" w:hAnsiTheme="minorHAnsi"/>
          <w:szCs w:val="20"/>
        </w:rPr>
        <w:t xml:space="preserve">the protection against arbitrary deprivations of life applies to the entire State structure—including federal, state, and local government entities—and to all actions of police officers, both in situations of normality and unrest. To this end, </w:t>
      </w:r>
      <w:r w:rsidR="00B4412C" w:rsidRPr="00D920C9">
        <w:rPr>
          <w:rFonts w:asciiTheme="minorHAnsi" w:hAnsiTheme="minorHAnsi"/>
          <w:szCs w:val="20"/>
        </w:rPr>
        <w:t>police us</w:t>
      </w:r>
      <w:r w:rsidR="00C45605" w:rsidRPr="00D920C9">
        <w:rPr>
          <w:rFonts w:asciiTheme="minorHAnsi" w:hAnsiTheme="minorHAnsi"/>
          <w:szCs w:val="20"/>
        </w:rPr>
        <w:t xml:space="preserve">e of force in the </w:t>
      </w:r>
      <w:r w:rsidR="006D4A9B" w:rsidRPr="00D920C9">
        <w:rPr>
          <w:rFonts w:asciiTheme="minorHAnsi" w:hAnsiTheme="minorHAnsi"/>
          <w:szCs w:val="20"/>
        </w:rPr>
        <w:t>U.S.</w:t>
      </w:r>
      <w:r w:rsidR="00B4412C" w:rsidRPr="00D920C9">
        <w:rPr>
          <w:rFonts w:asciiTheme="minorHAnsi" w:hAnsiTheme="minorHAnsi"/>
          <w:szCs w:val="20"/>
        </w:rPr>
        <w:t xml:space="preserve"> </w:t>
      </w:r>
      <w:r w:rsidR="00C45605" w:rsidRPr="00D920C9">
        <w:rPr>
          <w:rFonts w:asciiTheme="minorHAnsi" w:hAnsiTheme="minorHAnsi"/>
          <w:szCs w:val="20"/>
        </w:rPr>
        <w:t>must</w:t>
      </w:r>
      <w:r w:rsidR="00B4412C" w:rsidRPr="00D920C9">
        <w:rPr>
          <w:rFonts w:asciiTheme="minorHAnsi" w:hAnsiTheme="minorHAnsi"/>
          <w:szCs w:val="20"/>
        </w:rPr>
        <w:t xml:space="preserve"> be guided by the principle of </w:t>
      </w:r>
      <w:r w:rsidR="00366CED" w:rsidRPr="00D920C9">
        <w:rPr>
          <w:rFonts w:asciiTheme="minorHAnsi" w:hAnsiTheme="minorHAnsi"/>
          <w:szCs w:val="20"/>
        </w:rPr>
        <w:t>necessity</w:t>
      </w:r>
      <w:r w:rsidR="00B4412C" w:rsidRPr="00D920C9">
        <w:rPr>
          <w:rFonts w:asciiTheme="minorHAnsi" w:hAnsiTheme="minorHAnsi"/>
          <w:szCs w:val="20"/>
        </w:rPr>
        <w:t xml:space="preserve"> and used only when other methods have been exhausted and failed.</w:t>
      </w:r>
      <w:r w:rsidR="00C45605" w:rsidRPr="00D920C9">
        <w:rPr>
          <w:rFonts w:asciiTheme="minorHAnsi" w:hAnsiTheme="minorHAnsi"/>
          <w:szCs w:val="20"/>
        </w:rPr>
        <w:t xml:space="preserve"> The Commission calls on the United States to bring its domestic law in line with international standards in </w:t>
      </w:r>
      <w:r w:rsidR="00C45605" w:rsidRPr="00D920C9">
        <w:rPr>
          <w:rFonts w:asciiTheme="minorHAnsi" w:hAnsiTheme="minorHAnsi"/>
        </w:rPr>
        <w:t xml:space="preserve">this area. </w:t>
      </w:r>
      <w:r w:rsidR="00502230" w:rsidRPr="00D920C9">
        <w:rPr>
          <w:rFonts w:asciiTheme="minorHAnsi" w:hAnsiTheme="minorHAnsi"/>
        </w:rPr>
        <w:t>The Commission</w:t>
      </w:r>
      <w:r w:rsidR="00C45605" w:rsidRPr="00D920C9">
        <w:rPr>
          <w:rFonts w:asciiTheme="minorHAnsi" w:hAnsiTheme="minorHAnsi"/>
        </w:rPr>
        <w:t xml:space="preserve"> further highlights that excessive use of force by police may amount to cruel, inhuman, or degrading treatment or torture under certain circumstances</w:t>
      </w:r>
      <w:r w:rsidR="00B4412C" w:rsidRPr="00D920C9">
        <w:rPr>
          <w:rFonts w:asciiTheme="minorHAnsi" w:hAnsiTheme="minorHAnsi"/>
        </w:rPr>
        <w:t xml:space="preserve">. </w:t>
      </w:r>
      <w:r w:rsidR="00502230" w:rsidRPr="00D920C9">
        <w:rPr>
          <w:rFonts w:asciiTheme="minorHAnsi" w:hAnsiTheme="minorHAnsi"/>
        </w:rPr>
        <w:t>Finally, the Commission underscores the need to safeguard the basic human rights of protesters, including their rights to life and physical and psychological integrity</w:t>
      </w:r>
      <w:r w:rsidR="00795650" w:rsidRPr="00D920C9">
        <w:rPr>
          <w:rFonts w:asciiTheme="minorHAnsi" w:hAnsiTheme="minorHAnsi"/>
        </w:rPr>
        <w:t>.</w:t>
      </w:r>
    </w:p>
    <w:p w14:paraId="56DE1C82" w14:textId="34C395A7" w:rsidR="00B4412C" w:rsidRPr="00D920C9" w:rsidRDefault="00254A03"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On</w:t>
      </w:r>
      <w:r w:rsidR="0070368F" w:rsidRPr="00D920C9">
        <w:rPr>
          <w:rFonts w:asciiTheme="minorHAnsi" w:hAnsiTheme="minorHAnsi"/>
        </w:rPr>
        <w:t xml:space="preserve"> access to justice, the Commission </w:t>
      </w:r>
      <w:r w:rsidR="00366CED" w:rsidRPr="00D920C9">
        <w:rPr>
          <w:rFonts w:asciiTheme="minorHAnsi" w:hAnsiTheme="minorHAnsi"/>
        </w:rPr>
        <w:t>recalls</w:t>
      </w:r>
      <w:r w:rsidR="0070368F" w:rsidRPr="00D920C9">
        <w:rPr>
          <w:rFonts w:asciiTheme="minorHAnsi" w:hAnsiTheme="minorHAnsi"/>
        </w:rPr>
        <w:t xml:space="preserve"> that</w:t>
      </w:r>
      <w:r w:rsidR="00B4412C" w:rsidRPr="00D920C9">
        <w:rPr>
          <w:rFonts w:asciiTheme="minorHAnsi" w:hAnsiTheme="minorHAnsi"/>
        </w:rPr>
        <w:t xml:space="preserve"> the government—federal, state, and local—is responsible for </w:t>
      </w:r>
      <w:r w:rsidR="00C45605" w:rsidRPr="00D920C9">
        <w:rPr>
          <w:rFonts w:asciiTheme="minorHAnsi" w:hAnsiTheme="minorHAnsi"/>
        </w:rPr>
        <w:t xml:space="preserve">ensuring access to justice, including exercising due diligence in the </w:t>
      </w:r>
      <w:r w:rsidR="00502230" w:rsidRPr="00D920C9">
        <w:rPr>
          <w:rFonts w:asciiTheme="minorHAnsi" w:hAnsiTheme="minorHAnsi"/>
        </w:rPr>
        <w:t xml:space="preserve">independent and impartial </w:t>
      </w:r>
      <w:r w:rsidR="00C45605" w:rsidRPr="00D920C9">
        <w:rPr>
          <w:rFonts w:asciiTheme="minorHAnsi" w:hAnsiTheme="minorHAnsi"/>
        </w:rPr>
        <w:t xml:space="preserve">investigation and prosecution of </w:t>
      </w:r>
      <w:r w:rsidR="00502230" w:rsidRPr="00D920C9">
        <w:rPr>
          <w:rFonts w:asciiTheme="minorHAnsi" w:hAnsiTheme="minorHAnsi"/>
        </w:rPr>
        <w:t xml:space="preserve">police abuses, and ensuring accountability and punishment of all those responsible for a violation; establishing adequate, </w:t>
      </w:r>
      <w:r w:rsidR="00B4412C" w:rsidRPr="00D920C9">
        <w:rPr>
          <w:rFonts w:asciiTheme="minorHAnsi" w:hAnsiTheme="minorHAnsi"/>
        </w:rPr>
        <w:t>effective</w:t>
      </w:r>
      <w:r w:rsidR="00502230" w:rsidRPr="00D920C9">
        <w:rPr>
          <w:rFonts w:asciiTheme="minorHAnsi" w:hAnsiTheme="minorHAnsi"/>
        </w:rPr>
        <w:t>, and accessible</w:t>
      </w:r>
      <w:r w:rsidR="00B4412C" w:rsidRPr="00D920C9">
        <w:rPr>
          <w:rFonts w:asciiTheme="minorHAnsi" w:hAnsiTheme="minorHAnsi"/>
        </w:rPr>
        <w:t xml:space="preserve"> legal remedies</w:t>
      </w:r>
      <w:r w:rsidR="00C45605" w:rsidRPr="00D920C9">
        <w:rPr>
          <w:rFonts w:asciiTheme="minorHAnsi" w:hAnsiTheme="minorHAnsi"/>
        </w:rPr>
        <w:t xml:space="preserve"> for police violence</w:t>
      </w:r>
      <w:r w:rsidR="00502230" w:rsidRPr="00D920C9">
        <w:rPr>
          <w:rFonts w:asciiTheme="minorHAnsi" w:hAnsiTheme="minorHAnsi"/>
        </w:rPr>
        <w:t>;</w:t>
      </w:r>
      <w:r w:rsidR="00B4412C" w:rsidRPr="00D920C9">
        <w:rPr>
          <w:rFonts w:asciiTheme="minorHAnsi" w:hAnsiTheme="minorHAnsi"/>
        </w:rPr>
        <w:t xml:space="preserve"> and </w:t>
      </w:r>
      <w:r w:rsidR="00502230" w:rsidRPr="00D920C9">
        <w:rPr>
          <w:rFonts w:asciiTheme="minorHAnsi" w:hAnsiTheme="minorHAnsi"/>
        </w:rPr>
        <w:t xml:space="preserve">ensuring reparations for </w:t>
      </w:r>
      <w:r w:rsidR="00502230" w:rsidRPr="00D920C9">
        <w:rPr>
          <w:rFonts w:asciiTheme="minorHAnsi" w:hAnsiTheme="minorHAnsi"/>
        </w:rPr>
        <w:lastRenderedPageBreak/>
        <w:t>victims</w:t>
      </w:r>
      <w:r w:rsidR="00B4412C" w:rsidRPr="00D920C9">
        <w:rPr>
          <w:rFonts w:asciiTheme="minorHAnsi" w:hAnsiTheme="minorHAnsi"/>
        </w:rPr>
        <w:t xml:space="preserve">. The Commission recalls that impunity fosters an environment in which police violence and abuses are tolerated and expected, and serves to </w:t>
      </w:r>
      <w:r w:rsidR="00366CED" w:rsidRPr="00D920C9">
        <w:rPr>
          <w:rFonts w:asciiTheme="minorHAnsi" w:hAnsiTheme="minorHAnsi"/>
        </w:rPr>
        <w:t>perpetuate and even promote</w:t>
      </w:r>
      <w:r w:rsidR="00B4412C" w:rsidRPr="00D920C9">
        <w:rPr>
          <w:rFonts w:asciiTheme="minorHAnsi" w:hAnsiTheme="minorHAnsi"/>
        </w:rPr>
        <w:t xml:space="preserve"> disparate treatment towards</w:t>
      </w:r>
      <w:r w:rsidR="007940E7" w:rsidRPr="00D920C9">
        <w:rPr>
          <w:rFonts w:asciiTheme="minorHAnsi" w:hAnsiTheme="minorHAnsi"/>
        </w:rPr>
        <w:t xml:space="preserve"> </w:t>
      </w:r>
      <w:r w:rsidR="00366CED" w:rsidRPr="00D920C9">
        <w:rPr>
          <w:rFonts w:asciiTheme="minorHAnsi" w:hAnsiTheme="minorHAnsi"/>
        </w:rPr>
        <w:t>people</w:t>
      </w:r>
      <w:r w:rsidR="003444DA" w:rsidRPr="00D920C9">
        <w:rPr>
          <w:rFonts w:asciiTheme="minorHAnsi" w:hAnsiTheme="minorHAnsi"/>
        </w:rPr>
        <w:t xml:space="preserve"> and </w:t>
      </w:r>
      <w:r w:rsidR="007940E7" w:rsidRPr="00D920C9">
        <w:rPr>
          <w:rFonts w:asciiTheme="minorHAnsi" w:hAnsiTheme="minorHAnsi"/>
        </w:rPr>
        <w:t>groups historically subjected to discrimination and exclusion</w:t>
      </w:r>
      <w:r w:rsidR="00366CED" w:rsidRPr="00D920C9">
        <w:rPr>
          <w:rFonts w:asciiTheme="minorHAnsi" w:hAnsiTheme="minorHAnsi"/>
        </w:rPr>
        <w:t xml:space="preserve"> based on race</w:t>
      </w:r>
      <w:r w:rsidR="007940E7" w:rsidRPr="00D920C9">
        <w:rPr>
          <w:rFonts w:asciiTheme="minorHAnsi" w:hAnsiTheme="minorHAnsi"/>
        </w:rPr>
        <w:t>.</w:t>
      </w:r>
      <w:r w:rsidR="00B4412C" w:rsidRPr="00D920C9">
        <w:rPr>
          <w:rFonts w:asciiTheme="minorHAnsi" w:hAnsiTheme="minorHAnsi"/>
        </w:rPr>
        <w:t xml:space="preserve"> </w:t>
      </w:r>
    </w:p>
    <w:p w14:paraId="21F8899C" w14:textId="4E50F55E" w:rsidR="00B4412C" w:rsidRPr="00D920C9" w:rsidRDefault="00B4412C"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In order to comply with the principles laid out </w:t>
      </w:r>
      <w:r w:rsidR="0070368F" w:rsidRPr="00D920C9">
        <w:rPr>
          <w:rFonts w:asciiTheme="minorHAnsi" w:hAnsiTheme="minorHAnsi"/>
        </w:rPr>
        <w:t>here</w:t>
      </w:r>
      <w:r w:rsidRPr="00D920C9">
        <w:rPr>
          <w:rFonts w:asciiTheme="minorHAnsi" w:hAnsiTheme="minorHAnsi"/>
        </w:rPr>
        <w:t xml:space="preserve">, the State—at the federal, state, and local levels—has the obligation to enact laws </w:t>
      </w:r>
      <w:r w:rsidR="0070368F" w:rsidRPr="00D920C9">
        <w:rPr>
          <w:rFonts w:asciiTheme="minorHAnsi" w:hAnsiTheme="minorHAnsi"/>
        </w:rPr>
        <w:t>that</w:t>
      </w:r>
      <w:r w:rsidRPr="00D920C9">
        <w:rPr>
          <w:rFonts w:asciiTheme="minorHAnsi" w:hAnsiTheme="minorHAnsi"/>
        </w:rPr>
        <w:t xml:space="preserve"> comply with international law. State agents must know and follow </w:t>
      </w:r>
      <w:r w:rsidR="00502230" w:rsidRPr="00D920C9">
        <w:rPr>
          <w:rFonts w:asciiTheme="minorHAnsi" w:hAnsiTheme="minorHAnsi"/>
        </w:rPr>
        <w:t>both the spirit and letter of these rules</w:t>
      </w:r>
      <w:r w:rsidRPr="00D920C9">
        <w:rPr>
          <w:rFonts w:asciiTheme="minorHAnsi" w:hAnsiTheme="minorHAnsi"/>
        </w:rPr>
        <w:t>.</w:t>
      </w:r>
      <w:r w:rsidRPr="00D920C9">
        <w:rPr>
          <w:rFonts w:asciiTheme="minorHAnsi" w:hAnsiTheme="minorHAnsi"/>
          <w:vertAlign w:val="superscript"/>
        </w:rPr>
        <w:footnoteReference w:id="419"/>
      </w:r>
    </w:p>
    <w:p w14:paraId="56C3EC1A" w14:textId="77777777" w:rsidR="00B4412C" w:rsidRPr="00D920C9" w:rsidRDefault="00B4412C" w:rsidP="00E86698">
      <w:pPr>
        <w:pStyle w:val="ListParagraph"/>
        <w:numPr>
          <w:ilvl w:val="0"/>
          <w:numId w:val="9"/>
        </w:numPr>
        <w:spacing w:after="240" w:line="240" w:lineRule="auto"/>
        <w:ind w:left="547" w:hanging="547"/>
        <w:contextualSpacing w:val="0"/>
        <w:jc w:val="both"/>
        <w:rPr>
          <w:rFonts w:asciiTheme="minorHAnsi" w:hAnsiTheme="minorHAnsi"/>
          <w:szCs w:val="20"/>
          <w:lang w:val="en-GB"/>
        </w:rPr>
      </w:pPr>
      <w:r w:rsidRPr="00D920C9">
        <w:rPr>
          <w:rFonts w:asciiTheme="minorHAnsi" w:hAnsiTheme="minorHAnsi"/>
        </w:rPr>
        <w:t>Finally, the Commission reiterates that discrimination against African</w:t>
      </w:r>
      <w:r w:rsidR="0030356C" w:rsidRPr="00D920C9">
        <w:rPr>
          <w:rFonts w:asciiTheme="minorHAnsi" w:hAnsiTheme="minorHAnsi"/>
        </w:rPr>
        <w:t xml:space="preserve"> </w:t>
      </w:r>
      <w:r w:rsidRPr="00D920C9">
        <w:rPr>
          <w:rFonts w:asciiTheme="minorHAnsi" w:hAnsiTheme="minorHAnsi"/>
        </w:rPr>
        <w:t xml:space="preserve">Americans and </w:t>
      </w:r>
      <w:r w:rsidR="00841F00" w:rsidRPr="00D920C9">
        <w:rPr>
          <w:rFonts w:asciiTheme="minorHAnsi" w:hAnsiTheme="minorHAnsi"/>
        </w:rPr>
        <w:t>historically marginalized groups</w:t>
      </w:r>
      <w:r w:rsidRPr="00D920C9">
        <w:rPr>
          <w:rFonts w:asciiTheme="minorHAnsi" w:hAnsiTheme="minorHAnsi"/>
        </w:rPr>
        <w:t xml:space="preserve"> in policing and the larger criminal justice system is one facet of a larger context of historical, structural discrimination. As such, measures adopted at any level of government to address discriminatory policing</w:t>
      </w:r>
      <w:r w:rsidRPr="00D920C9">
        <w:rPr>
          <w:rFonts w:asciiTheme="minorHAnsi" w:hAnsiTheme="minorHAnsi"/>
          <w:szCs w:val="20"/>
        </w:rPr>
        <w:t xml:space="preserve"> and excessive use of force should also be paired with effective measures to redress historical and structural discrimination in all areas of public life, in order to ensure the full enjoyment of human rights of all persons subject to U</w:t>
      </w:r>
      <w:r w:rsidR="00AE5038" w:rsidRPr="00D920C9">
        <w:rPr>
          <w:rFonts w:asciiTheme="minorHAnsi" w:hAnsiTheme="minorHAnsi"/>
          <w:szCs w:val="20"/>
        </w:rPr>
        <w:t>.</w:t>
      </w:r>
      <w:r w:rsidRPr="00D920C9">
        <w:rPr>
          <w:rFonts w:asciiTheme="minorHAnsi" w:hAnsiTheme="minorHAnsi"/>
          <w:szCs w:val="20"/>
        </w:rPr>
        <w:t>S</w:t>
      </w:r>
      <w:r w:rsidR="00AE5038" w:rsidRPr="00D920C9">
        <w:rPr>
          <w:rFonts w:asciiTheme="minorHAnsi" w:hAnsiTheme="minorHAnsi"/>
          <w:szCs w:val="20"/>
        </w:rPr>
        <w:t>.</w:t>
      </w:r>
      <w:r w:rsidRPr="00D920C9">
        <w:rPr>
          <w:rFonts w:asciiTheme="minorHAnsi" w:hAnsiTheme="minorHAnsi"/>
          <w:szCs w:val="20"/>
        </w:rPr>
        <w:t xml:space="preserve"> jurisdiction without discrimination on the basis of race, color, ethnicity, national origin</w:t>
      </w:r>
      <w:r w:rsidR="0070368F" w:rsidRPr="00D920C9">
        <w:rPr>
          <w:rFonts w:asciiTheme="minorHAnsi" w:hAnsiTheme="minorHAnsi"/>
          <w:szCs w:val="20"/>
        </w:rPr>
        <w:t>, or any other prohibited ground</w:t>
      </w:r>
      <w:r w:rsidRPr="00D920C9">
        <w:rPr>
          <w:rFonts w:asciiTheme="minorHAnsi" w:hAnsiTheme="minorHAnsi"/>
          <w:szCs w:val="20"/>
        </w:rPr>
        <w:t>.</w:t>
      </w:r>
    </w:p>
    <w:p w14:paraId="354597C2" w14:textId="77777777" w:rsidR="00B4412C" w:rsidRPr="00D920C9" w:rsidRDefault="00B4412C" w:rsidP="00226E45">
      <w:pPr>
        <w:pStyle w:val="Heading2"/>
        <w:numPr>
          <w:ilvl w:val="0"/>
          <w:numId w:val="14"/>
        </w:numPr>
        <w:ind w:left="547" w:hanging="547"/>
      </w:pPr>
      <w:bookmarkStart w:id="159" w:name="_Toc511837830"/>
      <w:bookmarkStart w:id="160" w:name="_Toc511903003"/>
      <w:bookmarkStart w:id="161" w:name="_Toc517687933"/>
      <w:r w:rsidRPr="00D920C9">
        <w:t xml:space="preserve">International Framework regarding </w:t>
      </w:r>
      <w:r w:rsidR="0013717A" w:rsidRPr="00D920C9">
        <w:t xml:space="preserve">Equality </w:t>
      </w:r>
      <w:r w:rsidRPr="00D920C9">
        <w:t xml:space="preserve">and </w:t>
      </w:r>
      <w:r w:rsidR="0013717A" w:rsidRPr="00D920C9">
        <w:t>Non-Discrimination</w:t>
      </w:r>
      <w:bookmarkEnd w:id="159"/>
      <w:bookmarkEnd w:id="160"/>
      <w:bookmarkEnd w:id="161"/>
    </w:p>
    <w:p w14:paraId="49DBC00C" w14:textId="77777777" w:rsidR="00B4412C" w:rsidRPr="00D920C9" w:rsidRDefault="00B4412C"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rPr>
        <w:t>The right to equality and non-discrimination contained in Article II of the American Declaration is a fundamental principle of the inter-American system of human rights,</w:t>
      </w:r>
      <w:r w:rsidRPr="00D920C9">
        <w:rPr>
          <w:rFonts w:asciiTheme="minorHAnsi" w:hAnsiTheme="minorHAnsi"/>
          <w:szCs w:val="20"/>
          <w:vertAlign w:val="superscript"/>
        </w:rPr>
        <w:footnoteReference w:id="420"/>
      </w:r>
      <w:r w:rsidRPr="00D920C9">
        <w:rPr>
          <w:rFonts w:asciiTheme="minorHAnsi" w:hAnsiTheme="minorHAnsi"/>
          <w:szCs w:val="20"/>
        </w:rPr>
        <w:t xml:space="preserve"> as</w:t>
      </w:r>
      <w:r w:rsidR="00795813" w:rsidRPr="00D920C9">
        <w:rPr>
          <w:rFonts w:asciiTheme="minorHAnsi" w:hAnsiTheme="minorHAnsi"/>
          <w:szCs w:val="20"/>
        </w:rPr>
        <w:t xml:space="preserve"> </w:t>
      </w:r>
      <w:r w:rsidRPr="00D920C9">
        <w:rPr>
          <w:rFonts w:asciiTheme="minorHAnsi" w:hAnsiTheme="minorHAnsi"/>
          <w:szCs w:val="20"/>
        </w:rPr>
        <w:t>in the universal and other regional human rights systems.</w:t>
      </w:r>
      <w:r w:rsidRPr="00D920C9">
        <w:rPr>
          <w:rStyle w:val="FootnoteReference"/>
          <w:rFonts w:asciiTheme="minorHAnsi" w:hAnsiTheme="minorHAnsi"/>
          <w:szCs w:val="20"/>
        </w:rPr>
        <w:footnoteReference w:id="421"/>
      </w:r>
      <w:r w:rsidRPr="00D920C9">
        <w:rPr>
          <w:rFonts w:asciiTheme="minorHAnsi" w:hAnsiTheme="minorHAnsi"/>
          <w:szCs w:val="20"/>
        </w:rPr>
        <w:t xml:space="preserve"> This principle provides that “all persons are equal before the law and have the rights and duties established in [the American] Declaration, without distinction as to race, sex, language, creed or any other factor.” </w:t>
      </w:r>
      <w:r w:rsidR="00015DB4" w:rsidRPr="00D920C9">
        <w:rPr>
          <w:rFonts w:asciiTheme="minorHAnsi" w:hAnsiTheme="minorHAnsi"/>
          <w:szCs w:val="20"/>
        </w:rPr>
        <w:t xml:space="preserve">This right is further contained in a number of </w:t>
      </w:r>
      <w:r w:rsidR="0070368F" w:rsidRPr="00D920C9">
        <w:rPr>
          <w:rFonts w:asciiTheme="minorHAnsi" w:hAnsiTheme="minorHAnsi"/>
          <w:szCs w:val="20"/>
        </w:rPr>
        <w:t>other inter-</w:t>
      </w:r>
      <w:r w:rsidR="0070368F" w:rsidRPr="00D920C9">
        <w:rPr>
          <w:rFonts w:asciiTheme="minorHAnsi" w:hAnsiTheme="minorHAnsi"/>
        </w:rPr>
        <w:t>American instruments, including</w:t>
      </w:r>
      <w:r w:rsidR="00015DB4" w:rsidRPr="00D920C9">
        <w:rPr>
          <w:rFonts w:asciiTheme="minorHAnsi" w:hAnsiTheme="minorHAnsi"/>
        </w:rPr>
        <w:t xml:space="preserve"> </w:t>
      </w:r>
      <w:r w:rsidRPr="00D920C9">
        <w:rPr>
          <w:rFonts w:asciiTheme="minorHAnsi" w:hAnsiTheme="minorHAnsi"/>
        </w:rPr>
        <w:t xml:space="preserve">the American Convention on Human Rights, the Inter-American Convention against Racism, Racial Discrimination and </w:t>
      </w:r>
      <w:r w:rsidRPr="00D920C9">
        <w:rPr>
          <w:rFonts w:asciiTheme="minorHAnsi" w:hAnsiTheme="minorHAnsi"/>
        </w:rPr>
        <w:lastRenderedPageBreak/>
        <w:t xml:space="preserve">Related Forms of Intolerance, </w:t>
      </w:r>
      <w:r w:rsidR="00015DB4" w:rsidRPr="00D920C9">
        <w:rPr>
          <w:rFonts w:asciiTheme="minorHAnsi" w:hAnsiTheme="minorHAnsi"/>
        </w:rPr>
        <w:t xml:space="preserve">the Inter-American Convention on the Prevention, Punishment, and Eradication of Violence Against Women (“Convention of </w:t>
      </w:r>
      <w:proofErr w:type="spellStart"/>
      <w:r w:rsidRPr="00D920C9">
        <w:rPr>
          <w:rFonts w:asciiTheme="minorHAnsi" w:hAnsiTheme="minorHAnsi"/>
        </w:rPr>
        <w:t>Belém</w:t>
      </w:r>
      <w:proofErr w:type="spellEnd"/>
      <w:r w:rsidRPr="00D920C9">
        <w:rPr>
          <w:rFonts w:asciiTheme="minorHAnsi" w:hAnsiTheme="minorHAnsi"/>
        </w:rPr>
        <w:t xml:space="preserve"> do Para</w:t>
      </w:r>
      <w:r w:rsidR="00015DB4" w:rsidRPr="00D920C9">
        <w:rPr>
          <w:rFonts w:asciiTheme="minorHAnsi" w:hAnsiTheme="minorHAnsi"/>
        </w:rPr>
        <w:t>”)</w:t>
      </w:r>
      <w:r w:rsidRPr="00D920C9">
        <w:rPr>
          <w:rFonts w:asciiTheme="minorHAnsi" w:hAnsiTheme="minorHAnsi"/>
        </w:rPr>
        <w:t xml:space="preserve">, </w:t>
      </w:r>
      <w:r w:rsidR="00015DB4" w:rsidRPr="00D920C9">
        <w:rPr>
          <w:rFonts w:asciiTheme="minorHAnsi" w:hAnsiTheme="minorHAnsi"/>
        </w:rPr>
        <w:t>the Inter-American Convention on the Elimination of All Forms of Discrimination Against Persons with Disabilities, and the Inter-American Convention on Protecting the Human Rights of Older Persons</w:t>
      </w:r>
      <w:r w:rsidR="0070368F" w:rsidRPr="00D920C9">
        <w:rPr>
          <w:rFonts w:asciiTheme="minorHAnsi" w:hAnsiTheme="minorHAnsi"/>
        </w:rPr>
        <w:t>, among others</w:t>
      </w:r>
      <w:r w:rsidR="00015DB4" w:rsidRPr="00D920C9">
        <w:rPr>
          <w:rFonts w:asciiTheme="minorHAnsi" w:hAnsiTheme="minorHAnsi"/>
        </w:rPr>
        <w:t>.</w:t>
      </w:r>
    </w:p>
    <w:p w14:paraId="0E636CA5" w14:textId="12E1FEDA" w:rsidR="00015DB4" w:rsidRPr="00D920C9" w:rsidRDefault="00015DB4"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Article 3.1 of the OAS Charter </w:t>
      </w:r>
      <w:r w:rsidR="002C4575" w:rsidRPr="00D920C9">
        <w:rPr>
          <w:rFonts w:asciiTheme="minorHAnsi" w:hAnsiTheme="minorHAnsi"/>
        </w:rPr>
        <w:t>reaffirms</w:t>
      </w:r>
      <w:r w:rsidRPr="00D920C9">
        <w:rPr>
          <w:rFonts w:asciiTheme="minorHAnsi" w:hAnsiTheme="minorHAnsi"/>
        </w:rPr>
        <w:t xml:space="preserve"> “the fundamental rights of the individual without distinction as to race, nationality, creed or sex.</w:t>
      </w:r>
      <w:r w:rsidR="00920904" w:rsidRPr="00D920C9">
        <w:rPr>
          <w:rFonts w:asciiTheme="minorHAnsi" w:hAnsiTheme="minorHAnsi"/>
        </w:rPr>
        <w:t>”</w:t>
      </w:r>
      <w:r w:rsidR="005C39DF" w:rsidRPr="00D920C9">
        <w:rPr>
          <w:rFonts w:asciiTheme="minorHAnsi" w:hAnsiTheme="minorHAnsi"/>
        </w:rPr>
        <w:t xml:space="preserve"> Likewise, </w:t>
      </w:r>
      <w:r w:rsidRPr="00D920C9">
        <w:rPr>
          <w:rFonts w:asciiTheme="minorHAnsi" w:hAnsiTheme="minorHAnsi"/>
        </w:rPr>
        <w:t xml:space="preserve">Article 9 of the Inter–American Democratic Charter establishes that: </w:t>
      </w:r>
    </w:p>
    <w:p w14:paraId="174BB914" w14:textId="77777777" w:rsidR="009F3240" w:rsidRPr="00D920C9" w:rsidRDefault="00015DB4" w:rsidP="00365773">
      <w:pPr>
        <w:pStyle w:val="ListParagraph"/>
        <w:spacing w:after="240" w:line="240" w:lineRule="auto"/>
        <w:ind w:left="1166" w:right="619"/>
        <w:contextualSpacing w:val="0"/>
        <w:jc w:val="both"/>
        <w:rPr>
          <w:rFonts w:asciiTheme="minorHAnsi" w:hAnsiTheme="minorHAnsi"/>
          <w:szCs w:val="18"/>
        </w:rPr>
      </w:pPr>
      <w:r w:rsidRPr="00D920C9">
        <w:rPr>
          <w:rFonts w:asciiTheme="minorHAnsi" w:hAnsiTheme="minorHAnsi"/>
          <w:szCs w:val="18"/>
        </w:rPr>
        <w:t>The elimination of all forms of discrimination, especially gender, ethnic and race discrimination, as well as diverse forms of intolerance, the promotion and protection of human rights of indigenous peoples and migrants, and respect for ethnic, cultural and religious diversity in the Americas contribute to strengthening democracy and citizen participation.</w:t>
      </w:r>
    </w:p>
    <w:p w14:paraId="4F080483" w14:textId="666DC81A" w:rsidR="005C39DF" w:rsidRPr="00D920C9" w:rsidRDefault="005C39DF" w:rsidP="00E86698">
      <w:pPr>
        <w:pStyle w:val="ListParagraph"/>
        <w:numPr>
          <w:ilvl w:val="0"/>
          <w:numId w:val="9"/>
        </w:numPr>
        <w:spacing w:after="240" w:line="240" w:lineRule="auto"/>
        <w:ind w:left="547" w:hanging="547"/>
        <w:contextualSpacing w:val="0"/>
        <w:jc w:val="both"/>
        <w:rPr>
          <w:rFonts w:asciiTheme="minorHAnsi" w:eastAsia="Times New Roman" w:hAnsiTheme="minorHAnsi"/>
          <w:szCs w:val="20"/>
        </w:rPr>
      </w:pPr>
      <w:r w:rsidRPr="00D920C9">
        <w:rPr>
          <w:rFonts w:asciiTheme="minorHAnsi" w:hAnsiTheme="minorHAnsi"/>
          <w:szCs w:val="20"/>
        </w:rPr>
        <w:t xml:space="preserve">Article 1 of the </w:t>
      </w:r>
      <w:r w:rsidRPr="00D920C9">
        <w:rPr>
          <w:rFonts w:asciiTheme="minorHAnsi" w:hAnsiTheme="minorHAnsi"/>
        </w:rPr>
        <w:t>International</w:t>
      </w:r>
      <w:r w:rsidRPr="00D920C9">
        <w:rPr>
          <w:rFonts w:asciiTheme="minorHAnsi" w:hAnsiTheme="minorHAnsi"/>
          <w:szCs w:val="20"/>
        </w:rPr>
        <w:t xml:space="preserve"> Convention on the Elimination of All Forms of Racial Discrimination</w:t>
      </w:r>
      <w:r w:rsidR="00F801A3" w:rsidRPr="00D920C9">
        <w:rPr>
          <w:rFonts w:asciiTheme="minorHAnsi" w:hAnsiTheme="minorHAnsi"/>
          <w:szCs w:val="20"/>
        </w:rPr>
        <w:t xml:space="preserve"> (ICERD)</w:t>
      </w:r>
      <w:r w:rsidRPr="00D920C9">
        <w:rPr>
          <w:rFonts w:asciiTheme="minorHAnsi" w:hAnsiTheme="minorHAnsi"/>
          <w:szCs w:val="20"/>
        </w:rPr>
        <w:t>, to which the United States is Party, defines discrimination as</w:t>
      </w:r>
      <w:r w:rsidR="0004388D">
        <w:rPr>
          <w:rFonts w:asciiTheme="minorHAnsi" w:hAnsiTheme="minorHAnsi"/>
          <w:szCs w:val="20"/>
        </w:rPr>
        <w:t>:</w:t>
      </w:r>
      <w:r w:rsidRPr="00D920C9">
        <w:rPr>
          <w:rFonts w:asciiTheme="minorHAnsi" w:hAnsiTheme="minorHAnsi"/>
          <w:szCs w:val="20"/>
        </w:rPr>
        <w:t xml:space="preserve"> </w:t>
      </w:r>
    </w:p>
    <w:p w14:paraId="01A2040A" w14:textId="77777777" w:rsidR="005C39DF" w:rsidRPr="00D920C9" w:rsidRDefault="005C39DF" w:rsidP="00365773">
      <w:pPr>
        <w:pStyle w:val="ListParagraph"/>
        <w:spacing w:after="240" w:line="240" w:lineRule="auto"/>
        <w:ind w:left="1166" w:right="619"/>
        <w:contextualSpacing w:val="0"/>
        <w:jc w:val="both"/>
        <w:rPr>
          <w:rFonts w:asciiTheme="minorHAnsi" w:hAnsiTheme="minorHAnsi"/>
          <w:szCs w:val="18"/>
        </w:rPr>
      </w:pPr>
      <w:r w:rsidRPr="00D920C9">
        <w:rPr>
          <w:rFonts w:asciiTheme="minorHAnsi" w:hAnsiTheme="minorHAnsi"/>
          <w:szCs w:val="18"/>
        </w:rPr>
        <w:t>any distinction, exclusion, restriction or preference based on race, color, descent, or national or ethnic origin which has the purpose or effect of nullifying or impairing the recognition, enjoyment or exercise, on an equal footing, of human rights and fundamental freedoms in the political, economic, social, cultural or any other field of public life.</w:t>
      </w:r>
      <w:r w:rsidRPr="00D920C9">
        <w:rPr>
          <w:rFonts w:asciiTheme="minorHAnsi" w:hAnsiTheme="minorHAnsi"/>
          <w:szCs w:val="18"/>
          <w:vertAlign w:val="superscript"/>
        </w:rPr>
        <w:footnoteReference w:id="422"/>
      </w:r>
    </w:p>
    <w:p w14:paraId="6A73802C" w14:textId="77777777" w:rsidR="00954BCF" w:rsidRPr="00D920C9" w:rsidRDefault="00954BCF" w:rsidP="00E86698">
      <w:pPr>
        <w:pStyle w:val="ListParagraph"/>
        <w:numPr>
          <w:ilvl w:val="0"/>
          <w:numId w:val="9"/>
        </w:numPr>
        <w:spacing w:after="240" w:line="240" w:lineRule="auto"/>
        <w:ind w:left="547" w:hanging="547"/>
        <w:contextualSpacing w:val="0"/>
        <w:jc w:val="both"/>
        <w:rPr>
          <w:rFonts w:asciiTheme="minorHAnsi" w:eastAsia="Times New Roman" w:hAnsiTheme="minorHAnsi"/>
          <w:szCs w:val="20"/>
        </w:rPr>
      </w:pPr>
      <w:r w:rsidRPr="00D920C9">
        <w:rPr>
          <w:rFonts w:asciiTheme="minorHAnsi" w:hAnsiTheme="minorHAnsi"/>
          <w:szCs w:val="20"/>
        </w:rPr>
        <w:t xml:space="preserve">Article 2.2 of the UNESCO </w:t>
      </w:r>
      <w:r w:rsidRPr="00D920C9">
        <w:rPr>
          <w:rFonts w:asciiTheme="minorHAnsi" w:hAnsiTheme="minorHAnsi"/>
        </w:rPr>
        <w:t>Declaration</w:t>
      </w:r>
      <w:r w:rsidRPr="00D920C9">
        <w:rPr>
          <w:rFonts w:asciiTheme="minorHAnsi" w:hAnsiTheme="minorHAnsi"/>
          <w:szCs w:val="20"/>
        </w:rPr>
        <w:t xml:space="preserve"> on Race and Racial Prejudice establishes that: </w:t>
      </w:r>
    </w:p>
    <w:p w14:paraId="6C090BF9" w14:textId="77777777" w:rsidR="00B4412C" w:rsidRPr="00D920C9" w:rsidRDefault="00954BCF" w:rsidP="00C91E4F">
      <w:pPr>
        <w:autoSpaceDE w:val="0"/>
        <w:autoSpaceDN w:val="0"/>
        <w:adjustRightInd w:val="0"/>
        <w:spacing w:after="240" w:line="240" w:lineRule="auto"/>
        <w:ind w:left="1166" w:right="619"/>
        <w:jc w:val="both"/>
        <w:rPr>
          <w:rFonts w:asciiTheme="minorHAnsi" w:hAnsiTheme="minorHAnsi"/>
          <w:szCs w:val="18"/>
        </w:rPr>
      </w:pPr>
      <w:r w:rsidRPr="00D920C9">
        <w:rPr>
          <w:rFonts w:asciiTheme="minorHAnsi" w:hAnsiTheme="minorHAnsi"/>
          <w:szCs w:val="18"/>
        </w:rPr>
        <w:t>[r]</w:t>
      </w:r>
      <w:proofErr w:type="spellStart"/>
      <w:r w:rsidRPr="00D920C9">
        <w:rPr>
          <w:rFonts w:asciiTheme="minorHAnsi" w:hAnsiTheme="minorHAnsi"/>
          <w:szCs w:val="18"/>
        </w:rPr>
        <w:t>acism</w:t>
      </w:r>
      <w:proofErr w:type="spellEnd"/>
      <w:r w:rsidRPr="00D920C9">
        <w:rPr>
          <w:rFonts w:asciiTheme="minorHAnsi" w:hAnsiTheme="minorHAnsi"/>
          <w:szCs w:val="18"/>
        </w:rPr>
        <w:t xml:space="preserve"> includes racist ideologies, prejudiced attitudes, discriminatory behavior, structural arrangements and institutionalized practices resulting in racial inequality as well as the fallacious notion that discriminatory relations between groups are morally and scientifically justifiable; it is reflected in discriminatory provisions in legislation or regulations and </w:t>
      </w:r>
      <w:r w:rsidRPr="00D920C9">
        <w:rPr>
          <w:rFonts w:asciiTheme="minorHAnsi" w:hAnsiTheme="minorHAnsi"/>
          <w:szCs w:val="18"/>
        </w:rPr>
        <w:lastRenderedPageBreak/>
        <w:t>discriminatory practices as well as in anti-social beliefs and acts; it hinders the development of its victims, perverts those who practice it, divides nations internally, impedes international co-operation and gives rise to political tensions between peoples; it is contrary to the fundamental principles of international law and, consequently, seriously disturbs international peace and security.</w:t>
      </w:r>
    </w:p>
    <w:p w14:paraId="321D3031" w14:textId="77777777" w:rsidR="00DF3CCA" w:rsidRPr="00D920C9" w:rsidRDefault="00B4412C" w:rsidP="00E86698">
      <w:pPr>
        <w:pStyle w:val="ListParagraph"/>
        <w:numPr>
          <w:ilvl w:val="0"/>
          <w:numId w:val="9"/>
        </w:numPr>
        <w:spacing w:after="240" w:line="240" w:lineRule="auto"/>
        <w:ind w:left="547" w:hanging="547"/>
        <w:contextualSpacing w:val="0"/>
        <w:jc w:val="both"/>
        <w:rPr>
          <w:rFonts w:asciiTheme="minorHAnsi" w:eastAsia="Times New Roman" w:hAnsiTheme="minorHAnsi"/>
          <w:szCs w:val="20"/>
        </w:rPr>
      </w:pPr>
      <w:r w:rsidRPr="00D920C9">
        <w:rPr>
          <w:rFonts w:asciiTheme="minorHAnsi" w:hAnsiTheme="minorHAnsi"/>
          <w:szCs w:val="20"/>
        </w:rPr>
        <w:t xml:space="preserve"> </w:t>
      </w:r>
      <w:bookmarkStart w:id="162" w:name="_Ref507675636"/>
      <w:r w:rsidR="00ED5CD3" w:rsidRPr="00D920C9">
        <w:rPr>
          <w:rFonts w:asciiTheme="minorHAnsi" w:eastAsia="Times New Roman" w:hAnsiTheme="minorHAnsi"/>
          <w:szCs w:val="20"/>
        </w:rPr>
        <w:t>In light of the fundamental nature of these rights and their extensive consolidation in law</w:t>
      </w:r>
      <w:r w:rsidR="005C39DF" w:rsidRPr="00D920C9">
        <w:rPr>
          <w:rFonts w:asciiTheme="minorHAnsi" w:eastAsia="Times New Roman" w:hAnsiTheme="minorHAnsi"/>
          <w:szCs w:val="20"/>
        </w:rPr>
        <w:t xml:space="preserve">, the Inter-American Court has considered that the principles of equality before the law, equal protection of the law, and non‐discrimination constitute </w:t>
      </w:r>
      <w:r w:rsidR="005C39DF" w:rsidRPr="00D920C9">
        <w:rPr>
          <w:rFonts w:asciiTheme="minorHAnsi" w:eastAsia="Times New Roman" w:hAnsiTheme="minorHAnsi"/>
          <w:i/>
          <w:szCs w:val="20"/>
        </w:rPr>
        <w:t xml:space="preserve">jus </w:t>
      </w:r>
      <w:proofErr w:type="spellStart"/>
      <w:r w:rsidR="005C39DF" w:rsidRPr="00D920C9">
        <w:rPr>
          <w:rFonts w:asciiTheme="minorHAnsi" w:eastAsia="Times New Roman" w:hAnsiTheme="minorHAnsi"/>
          <w:i/>
          <w:szCs w:val="20"/>
        </w:rPr>
        <w:t>cogens</w:t>
      </w:r>
      <w:proofErr w:type="spellEnd"/>
      <w:r w:rsidR="005C39DF" w:rsidRPr="00D920C9">
        <w:rPr>
          <w:rFonts w:asciiTheme="minorHAnsi" w:eastAsia="Times New Roman" w:hAnsiTheme="minorHAnsi"/>
          <w:szCs w:val="20"/>
        </w:rPr>
        <w:t xml:space="preserve"> norms:</w:t>
      </w:r>
      <w:bookmarkEnd w:id="162"/>
    </w:p>
    <w:p w14:paraId="24CE8E76" w14:textId="77777777" w:rsidR="005C39DF" w:rsidRPr="00D920C9" w:rsidRDefault="005C39DF" w:rsidP="00365773">
      <w:pPr>
        <w:pStyle w:val="ListParagraph"/>
        <w:spacing w:after="240" w:line="240" w:lineRule="auto"/>
        <w:ind w:left="1166" w:right="619"/>
        <w:contextualSpacing w:val="0"/>
        <w:jc w:val="both"/>
        <w:rPr>
          <w:rFonts w:asciiTheme="minorHAnsi" w:hAnsiTheme="minorHAnsi"/>
          <w:szCs w:val="18"/>
        </w:rPr>
      </w:pPr>
      <w:r w:rsidRPr="00D920C9">
        <w:rPr>
          <w:rFonts w:asciiTheme="minorHAnsi" w:hAnsiTheme="minorHAnsi"/>
          <w:szCs w:val="18"/>
        </w:rPr>
        <w:t xml:space="preserve">because the whole legal structure of national and international public order rests on it [...] Nowadays, no legal act that is in conflict with this fundamental principle is acceptable, and discriminatory treatment of any person, owing to gender, race, color, language, religion or belief, political or other opinion, national, ethnic or social origin, nationality, age, economic situation, property, civil status, birth or any other status is unacceptable. This principle (equality and non‐discrimination) forms part of general international law. At the existing stage of the development of international law, the fundamental principle of equality and non‐discrimination has entered the realm of jus </w:t>
      </w:r>
      <w:proofErr w:type="spellStart"/>
      <w:r w:rsidRPr="00D920C9">
        <w:rPr>
          <w:rFonts w:asciiTheme="minorHAnsi" w:hAnsiTheme="minorHAnsi"/>
          <w:szCs w:val="18"/>
        </w:rPr>
        <w:t>cogens</w:t>
      </w:r>
      <w:proofErr w:type="spellEnd"/>
      <w:r w:rsidRPr="00D920C9">
        <w:rPr>
          <w:rFonts w:asciiTheme="minorHAnsi" w:hAnsiTheme="minorHAnsi"/>
          <w:szCs w:val="18"/>
        </w:rPr>
        <w:t>.</w:t>
      </w:r>
      <w:r w:rsidRPr="00D920C9">
        <w:rPr>
          <w:rFonts w:asciiTheme="minorHAnsi" w:hAnsiTheme="minorHAnsi"/>
          <w:vertAlign w:val="superscript"/>
        </w:rPr>
        <w:footnoteReference w:id="423"/>
      </w:r>
    </w:p>
    <w:p w14:paraId="5059A6A1" w14:textId="274BEBD5" w:rsidR="00D0153A" w:rsidRPr="00D920C9" w:rsidRDefault="00A60699"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rPr>
        <w:t xml:space="preserve">The Commission </w:t>
      </w:r>
      <w:r w:rsidR="003444DA" w:rsidRPr="00D920C9">
        <w:rPr>
          <w:rFonts w:asciiTheme="minorHAnsi" w:hAnsiTheme="minorHAnsi"/>
          <w:szCs w:val="20"/>
        </w:rPr>
        <w:t xml:space="preserve">considers </w:t>
      </w:r>
      <w:r w:rsidRPr="00D920C9">
        <w:rPr>
          <w:rFonts w:asciiTheme="minorHAnsi" w:hAnsiTheme="minorHAnsi"/>
          <w:szCs w:val="20"/>
        </w:rPr>
        <w:t>there are</w:t>
      </w:r>
      <w:r w:rsidR="002C4575" w:rsidRPr="00D920C9">
        <w:rPr>
          <w:rFonts w:asciiTheme="minorHAnsi" w:hAnsiTheme="minorHAnsi"/>
          <w:szCs w:val="20"/>
        </w:rPr>
        <w:t xml:space="preserve"> complementary ways of understanding the obligations that the right</w:t>
      </w:r>
      <w:r w:rsidR="002C524C" w:rsidRPr="00D920C9">
        <w:rPr>
          <w:rFonts w:asciiTheme="minorHAnsi" w:hAnsiTheme="minorHAnsi"/>
          <w:szCs w:val="20"/>
        </w:rPr>
        <w:t>s</w:t>
      </w:r>
      <w:r w:rsidR="002C4575" w:rsidRPr="00D920C9">
        <w:rPr>
          <w:rFonts w:asciiTheme="minorHAnsi" w:hAnsiTheme="minorHAnsi"/>
          <w:szCs w:val="20"/>
        </w:rPr>
        <w:t xml:space="preserve"> to equality and non-discrimination</w:t>
      </w:r>
      <w:r w:rsidR="002C524C" w:rsidRPr="00D920C9">
        <w:rPr>
          <w:rFonts w:asciiTheme="minorHAnsi" w:hAnsiTheme="minorHAnsi"/>
          <w:szCs w:val="20"/>
        </w:rPr>
        <w:t xml:space="preserve"> entail</w:t>
      </w:r>
      <w:r w:rsidR="00E10C66" w:rsidRPr="00D920C9">
        <w:rPr>
          <w:rFonts w:asciiTheme="minorHAnsi" w:hAnsiTheme="minorHAnsi"/>
          <w:szCs w:val="20"/>
        </w:rPr>
        <w:t xml:space="preserve"> for States</w:t>
      </w:r>
      <w:r w:rsidR="0025402C" w:rsidRPr="00D920C9">
        <w:rPr>
          <w:rFonts w:asciiTheme="minorHAnsi" w:hAnsiTheme="minorHAnsi"/>
          <w:szCs w:val="20"/>
        </w:rPr>
        <w:t>.</w:t>
      </w:r>
      <w:r w:rsidRPr="00D920C9">
        <w:rPr>
          <w:rStyle w:val="FootnoteReference"/>
          <w:rFonts w:asciiTheme="minorHAnsi" w:hAnsiTheme="minorHAnsi"/>
          <w:szCs w:val="20"/>
        </w:rPr>
        <w:footnoteReference w:id="424"/>
      </w:r>
      <w:r w:rsidRPr="00D920C9">
        <w:rPr>
          <w:rFonts w:asciiTheme="minorHAnsi" w:hAnsiTheme="minorHAnsi"/>
          <w:szCs w:val="20"/>
        </w:rPr>
        <w:t xml:space="preserve"> </w:t>
      </w:r>
      <w:r w:rsidR="003444DA" w:rsidRPr="00D920C9">
        <w:rPr>
          <w:rFonts w:asciiTheme="minorHAnsi" w:hAnsiTheme="minorHAnsi"/>
          <w:szCs w:val="20"/>
        </w:rPr>
        <w:t xml:space="preserve"> States are obligated to prohibit arbitrary treatment</w:t>
      </w:r>
      <w:r w:rsidR="00432CEC" w:rsidRPr="00D920C9">
        <w:rPr>
          <w:rFonts w:asciiTheme="minorHAnsi" w:hAnsiTheme="minorHAnsi"/>
          <w:szCs w:val="20"/>
        </w:rPr>
        <w:t>—</w:t>
      </w:r>
      <w:r w:rsidR="00432CEC" w:rsidRPr="00D920C9">
        <w:rPr>
          <w:rFonts w:asciiTheme="minorHAnsi" w:hAnsiTheme="minorHAnsi"/>
        </w:rPr>
        <w:t xml:space="preserve">including </w:t>
      </w:r>
      <w:r w:rsidR="003444DA" w:rsidRPr="00D920C9">
        <w:rPr>
          <w:rFonts w:asciiTheme="minorHAnsi" w:hAnsiTheme="minorHAnsi"/>
        </w:rPr>
        <w:t>distinction, exclusion, restriction, or preference</w:t>
      </w:r>
      <w:r w:rsidR="00432CEC" w:rsidRPr="00D920C9">
        <w:rPr>
          <w:rFonts w:asciiTheme="minorHAnsi" w:hAnsiTheme="minorHAnsi"/>
        </w:rPr>
        <w:t>—</w:t>
      </w:r>
      <w:r w:rsidR="003444DA" w:rsidRPr="00D920C9">
        <w:rPr>
          <w:rFonts w:asciiTheme="minorHAnsi" w:hAnsiTheme="minorHAnsi"/>
        </w:rPr>
        <w:t xml:space="preserve">and must also ensure </w:t>
      </w:r>
      <w:r w:rsidRPr="00D920C9">
        <w:rPr>
          <w:rFonts w:asciiTheme="minorHAnsi" w:hAnsiTheme="minorHAnsi"/>
        </w:rPr>
        <w:t>conditions of true equality for groups that have historically</w:t>
      </w:r>
      <w:r w:rsidR="003444DA" w:rsidRPr="00D920C9">
        <w:rPr>
          <w:rFonts w:asciiTheme="minorHAnsi" w:hAnsiTheme="minorHAnsi"/>
        </w:rPr>
        <w:t xml:space="preserve"> suffered marginalization and discrimination.</w:t>
      </w:r>
      <w:r w:rsidRPr="00D920C9">
        <w:rPr>
          <w:rFonts w:asciiTheme="minorHAnsi" w:hAnsiTheme="minorHAnsi"/>
          <w:vertAlign w:val="superscript"/>
        </w:rPr>
        <w:footnoteReference w:id="425"/>
      </w:r>
      <w:r w:rsidR="00947EAE" w:rsidRPr="00D920C9">
        <w:rPr>
          <w:rFonts w:asciiTheme="minorHAnsi" w:hAnsiTheme="minorHAnsi"/>
        </w:rPr>
        <w:t xml:space="preserve"> </w:t>
      </w:r>
      <w:r w:rsidR="00445121" w:rsidRPr="00D920C9">
        <w:rPr>
          <w:rFonts w:asciiTheme="minorHAnsi" w:hAnsiTheme="minorHAnsi"/>
        </w:rPr>
        <w:t xml:space="preserve"> States have the obligation to adopt the measures necessary to recognize and guarantee the effective equality of all persons before the law; to abstain from introducing in their legal framework regulations that are discriminatory towards certain groups either on their face or in practice; and to combat discriminatory practices.</w:t>
      </w:r>
      <w:r w:rsidR="00445121" w:rsidRPr="00D920C9">
        <w:rPr>
          <w:rFonts w:asciiTheme="minorHAnsi" w:hAnsiTheme="minorHAnsi"/>
          <w:vertAlign w:val="superscript"/>
        </w:rPr>
        <w:footnoteReference w:id="426"/>
      </w:r>
      <w:r w:rsidR="00445121" w:rsidRPr="00D920C9">
        <w:rPr>
          <w:rFonts w:asciiTheme="minorHAnsi" w:hAnsiTheme="minorHAnsi"/>
        </w:rPr>
        <w:t xml:space="preserve"> </w:t>
      </w:r>
    </w:p>
    <w:p w14:paraId="1A5A4FE6" w14:textId="77777777" w:rsidR="00641F9C" w:rsidRPr="00D920C9" w:rsidRDefault="00445121" w:rsidP="00E86698">
      <w:pPr>
        <w:pStyle w:val="ListParagraph"/>
        <w:numPr>
          <w:ilvl w:val="0"/>
          <w:numId w:val="9"/>
        </w:numPr>
        <w:spacing w:after="240" w:line="240" w:lineRule="auto"/>
        <w:ind w:left="547" w:hanging="547"/>
        <w:contextualSpacing w:val="0"/>
        <w:jc w:val="both"/>
        <w:rPr>
          <w:rFonts w:asciiTheme="minorHAnsi" w:eastAsia="Times New Roman" w:hAnsiTheme="minorHAnsi"/>
          <w:szCs w:val="20"/>
        </w:rPr>
      </w:pPr>
      <w:r w:rsidRPr="00D920C9">
        <w:rPr>
          <w:rFonts w:asciiTheme="minorHAnsi" w:hAnsiTheme="minorHAnsi"/>
        </w:rPr>
        <w:lastRenderedPageBreak/>
        <w:t>In this regard, a State’s breach of the right to equal protection of the law does not need to be intentional.</w:t>
      </w:r>
      <w:r w:rsidRPr="00D920C9">
        <w:rPr>
          <w:rFonts w:asciiTheme="minorHAnsi" w:hAnsiTheme="minorHAnsi"/>
          <w:vertAlign w:val="superscript"/>
        </w:rPr>
        <w:footnoteReference w:id="427"/>
      </w:r>
      <w:r w:rsidRPr="00D920C9">
        <w:rPr>
          <w:rFonts w:asciiTheme="minorHAnsi" w:hAnsiTheme="minorHAnsi"/>
        </w:rPr>
        <w:t xml:space="preserve"> The Commission has underscored that laws and policies should be examined to ensure that they comply with the principles</w:t>
      </w:r>
      <w:r w:rsidRPr="00D920C9">
        <w:rPr>
          <w:rFonts w:asciiTheme="minorHAnsi" w:hAnsiTheme="minorHAnsi"/>
          <w:szCs w:val="20"/>
        </w:rPr>
        <w:t xml:space="preserve"> of equality and non-discrimination; this analysis should assess their potential discriminatory </w:t>
      </w:r>
      <w:r w:rsidR="00641F9C" w:rsidRPr="00D920C9">
        <w:rPr>
          <w:rFonts w:asciiTheme="minorHAnsi" w:hAnsiTheme="minorHAnsi"/>
          <w:szCs w:val="20"/>
        </w:rPr>
        <w:t>effect</w:t>
      </w:r>
      <w:r w:rsidRPr="00D920C9">
        <w:rPr>
          <w:rFonts w:asciiTheme="minorHAnsi" w:hAnsiTheme="minorHAnsi"/>
          <w:szCs w:val="20"/>
        </w:rPr>
        <w:t>, even when their formulation or wording appears neutral, or they apply without textual distinctions.</w:t>
      </w:r>
      <w:r w:rsidRPr="00D920C9">
        <w:rPr>
          <w:rStyle w:val="FootnoteReference"/>
          <w:rFonts w:asciiTheme="minorHAnsi" w:hAnsiTheme="minorHAnsi"/>
          <w:color w:val="000000"/>
          <w:szCs w:val="20"/>
        </w:rPr>
        <w:footnoteReference w:id="428"/>
      </w:r>
      <w:r w:rsidRPr="00D920C9">
        <w:rPr>
          <w:rFonts w:asciiTheme="minorHAnsi" w:eastAsia="Times New Roman" w:hAnsiTheme="minorHAnsi"/>
          <w:szCs w:val="20"/>
        </w:rPr>
        <w:t xml:space="preserve"> </w:t>
      </w:r>
    </w:p>
    <w:p w14:paraId="15B7E321" w14:textId="3F352236" w:rsidR="003444DA" w:rsidRPr="00D920C9" w:rsidRDefault="00641F9C" w:rsidP="00E86698">
      <w:pPr>
        <w:pStyle w:val="ListParagraph"/>
        <w:numPr>
          <w:ilvl w:val="0"/>
          <w:numId w:val="9"/>
        </w:numPr>
        <w:spacing w:after="240" w:line="240" w:lineRule="auto"/>
        <w:ind w:left="547" w:hanging="547"/>
        <w:contextualSpacing w:val="0"/>
        <w:jc w:val="both"/>
        <w:rPr>
          <w:rFonts w:asciiTheme="minorHAnsi" w:eastAsia="Times New Roman" w:hAnsiTheme="minorHAnsi"/>
          <w:szCs w:val="20"/>
        </w:rPr>
      </w:pPr>
      <w:r w:rsidRPr="00D920C9">
        <w:rPr>
          <w:rFonts w:asciiTheme="minorHAnsi" w:eastAsia="Times New Roman" w:hAnsiTheme="minorHAnsi"/>
          <w:bCs/>
        </w:rPr>
        <w:t xml:space="preserve">The Commission has previously recognized that while Article II does not prohibit all distinctions in treatment </w:t>
      </w:r>
      <w:r w:rsidRPr="00D920C9">
        <w:rPr>
          <w:rFonts w:asciiTheme="minorHAnsi" w:hAnsiTheme="minorHAnsi"/>
        </w:rPr>
        <w:t>in</w:t>
      </w:r>
      <w:r w:rsidRPr="00D920C9">
        <w:rPr>
          <w:rFonts w:asciiTheme="minorHAnsi" w:eastAsia="Times New Roman" w:hAnsiTheme="minorHAnsi"/>
          <w:bCs/>
        </w:rPr>
        <w:t xml:space="preserve"> the enjoyment of protected rights and freedoms, it does require that any permissible distinctions be based upon objective and reasonable justification, that they further a legitimate objective, “regard being had to the principles which normally prevail in democratic societies, and that the means are reasonable and proportionate to the end sought.”</w:t>
      </w:r>
      <w:r w:rsidRPr="00D920C9">
        <w:rPr>
          <w:rStyle w:val="FootnoteReference"/>
          <w:rFonts w:asciiTheme="minorHAnsi" w:eastAsia="Times New Roman" w:hAnsiTheme="minorHAnsi"/>
          <w:bCs/>
        </w:rPr>
        <w:footnoteReference w:id="429"/>
      </w:r>
      <w:r w:rsidRPr="00D920C9">
        <w:rPr>
          <w:rFonts w:asciiTheme="minorHAnsi" w:eastAsia="Times New Roman" w:hAnsiTheme="minorHAnsi"/>
          <w:bCs/>
        </w:rPr>
        <w:t xml:space="preserve"> The Commission also takes into account evolving standards in the area of discrimination, and considers that what has been expressed by the Human Rights Committee under the ICCPR is equally applicable in the inter-American system</w:t>
      </w:r>
      <w:r w:rsidR="004007E0" w:rsidRPr="00D920C9">
        <w:rPr>
          <w:rFonts w:asciiTheme="minorHAnsi" w:eastAsia="Times New Roman" w:hAnsiTheme="minorHAnsi"/>
          <w:bCs/>
        </w:rPr>
        <w:t>:</w:t>
      </w:r>
    </w:p>
    <w:p w14:paraId="4A9121C9" w14:textId="0FE7EEF4" w:rsidR="00641F9C" w:rsidRPr="00D920C9" w:rsidRDefault="00E10C66" w:rsidP="00777FAE">
      <w:pPr>
        <w:tabs>
          <w:tab w:val="left" w:pos="90"/>
        </w:tabs>
        <w:spacing w:after="240" w:line="240" w:lineRule="auto"/>
        <w:ind w:left="1170" w:right="630"/>
        <w:jc w:val="both"/>
        <w:rPr>
          <w:rFonts w:asciiTheme="minorHAnsi" w:eastAsia="Times New Roman" w:hAnsiTheme="minorHAnsi"/>
        </w:rPr>
      </w:pPr>
      <w:r w:rsidRPr="00D920C9">
        <w:rPr>
          <w:rFonts w:asciiTheme="minorHAnsi" w:eastAsia="Times New Roman" w:hAnsiTheme="minorHAnsi"/>
          <w:bCs/>
        </w:rPr>
        <w:t>[T]</w:t>
      </w:r>
      <w:r w:rsidR="00641F9C" w:rsidRPr="00D920C9">
        <w:rPr>
          <w:rFonts w:asciiTheme="minorHAnsi" w:eastAsia="Times New Roman" w:hAnsiTheme="minorHAnsi"/>
          <w:bCs/>
        </w:rPr>
        <w:t>he term “discrimination” as used in the Covenant should be understood to imply any distinction, exclusion, restriction, or preference which is based on any ground such as race, color,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00641F9C" w:rsidRPr="00D920C9">
        <w:rPr>
          <w:rStyle w:val="FootnoteReference"/>
          <w:rFonts w:asciiTheme="minorHAnsi" w:eastAsia="Times New Roman" w:hAnsiTheme="minorHAnsi"/>
          <w:bCs/>
        </w:rPr>
        <w:footnoteReference w:id="430"/>
      </w:r>
      <w:r w:rsidR="00641F9C" w:rsidRPr="00D920C9">
        <w:rPr>
          <w:rFonts w:asciiTheme="minorHAnsi" w:eastAsia="Times New Roman" w:hAnsiTheme="minorHAnsi"/>
          <w:bCs/>
        </w:rPr>
        <w:t xml:space="preserve"> </w:t>
      </w:r>
    </w:p>
    <w:p w14:paraId="3CC9E9B8" w14:textId="77777777" w:rsidR="00100386" w:rsidRPr="00D920C9" w:rsidRDefault="00641F9C"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eastAsia="Times New Roman" w:hAnsiTheme="minorHAnsi"/>
          <w:szCs w:val="20"/>
        </w:rPr>
        <w:t>Based on the</w:t>
      </w:r>
      <w:r w:rsidR="004007E0" w:rsidRPr="00D920C9">
        <w:rPr>
          <w:rFonts w:asciiTheme="minorHAnsi" w:eastAsia="Times New Roman" w:hAnsiTheme="minorHAnsi"/>
          <w:szCs w:val="20"/>
        </w:rPr>
        <w:t>se</w:t>
      </w:r>
      <w:r w:rsidRPr="00D920C9">
        <w:rPr>
          <w:rFonts w:asciiTheme="minorHAnsi" w:eastAsia="Times New Roman" w:hAnsiTheme="minorHAnsi"/>
          <w:szCs w:val="20"/>
        </w:rPr>
        <w:t xml:space="preserve"> principles, a</w:t>
      </w:r>
      <w:r w:rsidR="002C524C" w:rsidRPr="00D920C9">
        <w:rPr>
          <w:rFonts w:asciiTheme="minorHAnsi" w:eastAsia="Times New Roman" w:hAnsiTheme="minorHAnsi"/>
          <w:szCs w:val="20"/>
        </w:rPr>
        <w:t xml:space="preserve">rbitrary treatment and distinctions on the basis of race are prohibited under </w:t>
      </w:r>
      <w:r w:rsidRPr="00D920C9">
        <w:rPr>
          <w:rFonts w:asciiTheme="minorHAnsi" w:eastAsia="Times New Roman" w:hAnsiTheme="minorHAnsi"/>
          <w:szCs w:val="20"/>
        </w:rPr>
        <w:t>international human rights</w:t>
      </w:r>
      <w:r w:rsidR="002C524C" w:rsidRPr="00D920C9">
        <w:rPr>
          <w:rFonts w:asciiTheme="minorHAnsi" w:eastAsia="Times New Roman" w:hAnsiTheme="minorHAnsi"/>
          <w:szCs w:val="20"/>
        </w:rPr>
        <w:t xml:space="preserve"> law</w:t>
      </w:r>
      <w:r w:rsidRPr="00D920C9">
        <w:rPr>
          <w:rFonts w:asciiTheme="minorHAnsi" w:eastAsia="Times New Roman" w:hAnsiTheme="minorHAnsi"/>
          <w:szCs w:val="20"/>
        </w:rPr>
        <w:t>, and should be prevented</w:t>
      </w:r>
      <w:r w:rsidR="002C524C" w:rsidRPr="00D920C9">
        <w:rPr>
          <w:rFonts w:asciiTheme="minorHAnsi" w:eastAsia="Times New Roman" w:hAnsiTheme="minorHAnsi"/>
          <w:szCs w:val="20"/>
        </w:rPr>
        <w:t xml:space="preserve">. </w:t>
      </w:r>
      <w:r w:rsidRPr="00D920C9">
        <w:rPr>
          <w:rFonts w:asciiTheme="minorHAnsi" w:hAnsiTheme="minorHAnsi"/>
          <w:szCs w:val="20"/>
        </w:rPr>
        <w:t>R</w:t>
      </w:r>
      <w:r w:rsidR="00DF3CCA" w:rsidRPr="00D920C9">
        <w:rPr>
          <w:rFonts w:asciiTheme="minorHAnsi" w:hAnsiTheme="minorHAnsi"/>
          <w:szCs w:val="20"/>
        </w:rPr>
        <w:t>ace-based restrictions must be ba</w:t>
      </w:r>
      <w:r w:rsidR="00125C81" w:rsidRPr="00D920C9">
        <w:rPr>
          <w:rFonts w:asciiTheme="minorHAnsi" w:hAnsiTheme="minorHAnsi"/>
          <w:szCs w:val="20"/>
        </w:rPr>
        <w:t xml:space="preserve">sed on very compelling reasons; on this issue, </w:t>
      </w:r>
      <w:r w:rsidR="00DF3CCA" w:rsidRPr="00D920C9">
        <w:rPr>
          <w:rFonts w:asciiTheme="minorHAnsi" w:hAnsiTheme="minorHAnsi"/>
          <w:szCs w:val="20"/>
        </w:rPr>
        <w:t>there is a “presumption of invalidity” and the burden of proof rests with the State.</w:t>
      </w:r>
      <w:r w:rsidR="00DF3CCA" w:rsidRPr="00D920C9">
        <w:rPr>
          <w:rFonts w:asciiTheme="minorHAnsi" w:hAnsiTheme="minorHAnsi"/>
          <w:szCs w:val="20"/>
          <w:vertAlign w:val="superscript"/>
        </w:rPr>
        <w:footnoteReference w:id="431"/>
      </w:r>
      <w:r w:rsidR="00DF3CCA" w:rsidRPr="00D920C9">
        <w:rPr>
          <w:rFonts w:asciiTheme="minorHAnsi" w:hAnsiTheme="minorHAnsi"/>
          <w:szCs w:val="20"/>
        </w:rPr>
        <w:t xml:space="preserve"> The Commission has underscored that laws and policies should be examined to </w:t>
      </w:r>
      <w:r w:rsidR="00DF3CCA" w:rsidRPr="00D920C9">
        <w:rPr>
          <w:rFonts w:asciiTheme="minorHAnsi" w:hAnsiTheme="minorHAnsi"/>
        </w:rPr>
        <w:t xml:space="preserve">ensure that they comply with the principles of equality and non-discrimination; this analysis should assess </w:t>
      </w:r>
      <w:r w:rsidR="00DF3CCA" w:rsidRPr="00D920C9">
        <w:rPr>
          <w:rFonts w:asciiTheme="minorHAnsi" w:hAnsiTheme="minorHAnsi"/>
        </w:rPr>
        <w:lastRenderedPageBreak/>
        <w:t xml:space="preserve">the potential discriminatory </w:t>
      </w:r>
      <w:r w:rsidR="00DE1C7C" w:rsidRPr="00D920C9">
        <w:rPr>
          <w:rFonts w:asciiTheme="minorHAnsi" w:hAnsiTheme="minorHAnsi"/>
        </w:rPr>
        <w:t>effect</w:t>
      </w:r>
      <w:r w:rsidR="00DF3CCA" w:rsidRPr="00D920C9">
        <w:rPr>
          <w:rFonts w:asciiTheme="minorHAnsi" w:hAnsiTheme="minorHAnsi"/>
        </w:rPr>
        <w:t xml:space="preserve"> of even facially neutral provisions.</w:t>
      </w:r>
      <w:r w:rsidR="00DF3CCA" w:rsidRPr="00D920C9">
        <w:rPr>
          <w:rFonts w:asciiTheme="minorHAnsi" w:hAnsiTheme="minorHAnsi"/>
          <w:vertAlign w:val="superscript"/>
        </w:rPr>
        <w:footnoteReference w:id="432"/>
      </w:r>
      <w:r w:rsidR="00A60699" w:rsidRPr="00D920C9">
        <w:rPr>
          <w:rFonts w:asciiTheme="minorHAnsi" w:hAnsiTheme="minorHAnsi"/>
        </w:rPr>
        <w:t xml:space="preserve"> </w:t>
      </w:r>
      <w:r w:rsidR="00076270" w:rsidRPr="00D920C9">
        <w:rPr>
          <w:rFonts w:asciiTheme="minorHAnsi" w:hAnsiTheme="minorHAnsi"/>
        </w:rPr>
        <w:t xml:space="preserve">This, in light of the fact </w:t>
      </w:r>
      <w:r w:rsidR="00100386" w:rsidRPr="00D920C9">
        <w:rPr>
          <w:rFonts w:asciiTheme="minorHAnsi" w:hAnsiTheme="minorHAnsi"/>
        </w:rPr>
        <w:t>that States are not only obligated to provide for equal protection of the law,  but must also adopt the legislative, policy and other measures necessary to guarantee the effective enjoyment of the rights protected under Article II of the American Declaration.</w:t>
      </w:r>
      <w:r w:rsidR="00100386" w:rsidRPr="00D920C9">
        <w:rPr>
          <w:rFonts w:asciiTheme="minorHAnsi" w:hAnsiTheme="minorHAnsi"/>
          <w:vertAlign w:val="superscript"/>
        </w:rPr>
        <w:footnoteReference w:id="433"/>
      </w:r>
    </w:p>
    <w:p w14:paraId="4A389BDB" w14:textId="7C3C2F09" w:rsidR="00E10C66" w:rsidRPr="00D920C9" w:rsidRDefault="00E10C66" w:rsidP="00E86698">
      <w:pPr>
        <w:pStyle w:val="ListParagraph"/>
        <w:numPr>
          <w:ilvl w:val="0"/>
          <w:numId w:val="9"/>
        </w:numPr>
        <w:spacing w:after="240" w:line="240" w:lineRule="auto"/>
        <w:ind w:left="547" w:hanging="547"/>
        <w:contextualSpacing w:val="0"/>
        <w:jc w:val="both"/>
        <w:rPr>
          <w:rFonts w:asciiTheme="minorHAnsi" w:hAnsiTheme="minorHAnsi"/>
          <w:szCs w:val="18"/>
        </w:rPr>
      </w:pPr>
      <w:r w:rsidRPr="00D920C9">
        <w:rPr>
          <w:rFonts w:asciiTheme="minorHAnsi" w:hAnsiTheme="minorHAnsi"/>
        </w:rPr>
        <w:t>The Commission observes that while the United States’ legal framework effectively prohibits facial discrimination in</w:t>
      </w:r>
      <w:r w:rsidRPr="00D920C9">
        <w:rPr>
          <w:rFonts w:asciiTheme="minorHAnsi" w:hAnsiTheme="minorHAnsi"/>
          <w:szCs w:val="18"/>
        </w:rPr>
        <w:t xml:space="preserve"> law, it largely does not prohibit the disparate impact of facially neutral policies except in very limited legal circumstances. In general, measures to prevent, protect against, and remedy the effects of indirect discrimination exist only where provided for by statute</w:t>
      </w:r>
      <w:r w:rsidR="00B16ED2" w:rsidRPr="00D920C9">
        <w:rPr>
          <w:rFonts w:asciiTheme="minorHAnsi" w:hAnsiTheme="minorHAnsi"/>
          <w:szCs w:val="18"/>
        </w:rPr>
        <w:t>, including for claims of employment, housing, and age discrimination</w:t>
      </w:r>
      <w:r w:rsidRPr="00D920C9">
        <w:rPr>
          <w:rFonts w:asciiTheme="minorHAnsi" w:hAnsiTheme="minorHAnsi"/>
          <w:szCs w:val="18"/>
        </w:rPr>
        <w:t>.</w:t>
      </w:r>
      <w:r w:rsidRPr="00D920C9">
        <w:rPr>
          <w:rFonts w:asciiTheme="minorHAnsi" w:hAnsiTheme="minorHAnsi"/>
          <w:szCs w:val="18"/>
          <w:vertAlign w:val="superscript"/>
        </w:rPr>
        <w:footnoteReference w:id="434"/>
      </w:r>
    </w:p>
    <w:p w14:paraId="09A13F53" w14:textId="3A02D469" w:rsidR="00B16ED2" w:rsidRPr="00D920C9" w:rsidRDefault="00B16ED2"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18"/>
        </w:rPr>
        <w:t xml:space="preserve">The Commission expresses its deep concern that U.S. law does not prohibit disparate impact in the criminal justice system. Here, the case </w:t>
      </w:r>
      <w:proofErr w:type="spellStart"/>
      <w:r w:rsidRPr="00D920C9">
        <w:rPr>
          <w:rFonts w:asciiTheme="minorHAnsi" w:hAnsiTheme="minorHAnsi"/>
          <w:i/>
          <w:szCs w:val="18"/>
        </w:rPr>
        <w:t>McCleskey</w:t>
      </w:r>
      <w:proofErr w:type="spellEnd"/>
      <w:r w:rsidRPr="00D920C9">
        <w:rPr>
          <w:rFonts w:asciiTheme="minorHAnsi" w:hAnsiTheme="minorHAnsi"/>
          <w:i/>
          <w:szCs w:val="18"/>
        </w:rPr>
        <w:t xml:space="preserve"> v. Kemp</w:t>
      </w:r>
      <w:r w:rsidRPr="00D920C9">
        <w:rPr>
          <w:rFonts w:asciiTheme="minorHAnsi" w:hAnsiTheme="minorHAnsi"/>
          <w:szCs w:val="18"/>
        </w:rPr>
        <w:t xml:space="preserve"> is illustrative.</w:t>
      </w:r>
      <w:r w:rsidRPr="00D920C9">
        <w:rPr>
          <w:rFonts w:asciiTheme="minorHAnsi" w:hAnsiTheme="minorHAnsi"/>
          <w:szCs w:val="18"/>
          <w:vertAlign w:val="superscript"/>
        </w:rPr>
        <w:footnoteReference w:id="435"/>
      </w:r>
      <w:r w:rsidRPr="00D920C9">
        <w:rPr>
          <w:rFonts w:asciiTheme="minorHAnsi" w:hAnsiTheme="minorHAnsi"/>
          <w:szCs w:val="18"/>
        </w:rPr>
        <w:t xml:space="preserve"> In </w:t>
      </w:r>
      <w:proofErr w:type="spellStart"/>
      <w:r w:rsidRPr="00D920C9">
        <w:rPr>
          <w:rFonts w:asciiTheme="minorHAnsi" w:hAnsiTheme="minorHAnsi"/>
          <w:i/>
          <w:szCs w:val="18"/>
        </w:rPr>
        <w:t>McCleskey</w:t>
      </w:r>
      <w:proofErr w:type="spellEnd"/>
      <w:r w:rsidRPr="00D920C9">
        <w:rPr>
          <w:rFonts w:asciiTheme="minorHAnsi" w:hAnsiTheme="minorHAnsi"/>
          <w:szCs w:val="18"/>
        </w:rPr>
        <w:t>, the Supreme Court held that the "racially disproportionate impact" of the application of the death penalty in Georgia, which the Court accepted as proven by a comprehensive scientific study, was not sufficient to overturn a death sentence without additionally proving a "discriminatory purpose"—that is, evidence of conscious, intentional bias.</w:t>
      </w:r>
      <w:r w:rsidRPr="00D920C9">
        <w:rPr>
          <w:rFonts w:asciiTheme="minorHAnsi" w:hAnsiTheme="minorHAnsi"/>
          <w:szCs w:val="18"/>
          <w:vertAlign w:val="superscript"/>
        </w:rPr>
        <w:footnoteReference w:id="436"/>
      </w:r>
      <w:r w:rsidRPr="00D920C9">
        <w:rPr>
          <w:rFonts w:asciiTheme="minorHAnsi" w:hAnsiTheme="minorHAnsi"/>
          <w:szCs w:val="18"/>
        </w:rPr>
        <w:t xml:space="preserve"> This holding, which moreover involves the fundamental right to life subject to the imposition of the death penalty, directly contradicts the international standard, which does not require discrimination to be purposive, conscious or intentional to violate human rights. In light of the state of federal law on this issue, the Commission notes as a positive approach the example of North Carolina’s Racial Justice Act (introduced in 2011 and subsequently repealed in 2013), which permitted capital defendants to challenge their sentences on grounds of racial bias.</w:t>
      </w:r>
      <w:r w:rsidRPr="00D920C9">
        <w:rPr>
          <w:rFonts w:asciiTheme="minorHAnsi" w:hAnsiTheme="minorHAnsi"/>
          <w:szCs w:val="18"/>
          <w:vertAlign w:val="superscript"/>
        </w:rPr>
        <w:footnoteReference w:id="437"/>
      </w:r>
      <w:r w:rsidRPr="00D920C9">
        <w:rPr>
          <w:rFonts w:asciiTheme="minorHAnsi" w:hAnsiTheme="minorHAnsi"/>
          <w:szCs w:val="18"/>
        </w:rPr>
        <w:t xml:space="preserve"> The Commission recalls that the obligation to guarantee </w:t>
      </w:r>
      <w:r w:rsidRPr="00D920C9">
        <w:rPr>
          <w:rFonts w:asciiTheme="minorHAnsi" w:hAnsiTheme="minorHAnsi"/>
          <w:szCs w:val="18"/>
        </w:rPr>
        <w:lastRenderedPageBreak/>
        <w:t xml:space="preserve">equality and non-discrimination, as with all </w:t>
      </w:r>
      <w:r w:rsidRPr="00D920C9">
        <w:rPr>
          <w:rFonts w:asciiTheme="minorHAnsi" w:hAnsiTheme="minorHAnsi"/>
        </w:rPr>
        <w:t>human rights norms, applies to all levels of government—federal, state, and local.</w:t>
      </w:r>
    </w:p>
    <w:p w14:paraId="2B91115A" w14:textId="2E6D3E2F" w:rsidR="00B16ED2" w:rsidRPr="00D920C9" w:rsidRDefault="00B16ED2"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In this sense, the Commission notes and echoes concerns by the CERD about the limited scope and applicability of the disparate impact doctrine in the U.S.; in particular, that it is out of line with the State’s duty to “prohibit and eliminate racial discrimination in all its forms, including practices and legislation that may not be discriminatory in purpose, but are discriminatory in effect.”</w:t>
      </w:r>
      <w:r w:rsidRPr="00D920C9">
        <w:rPr>
          <w:rFonts w:asciiTheme="minorHAnsi" w:hAnsiTheme="minorHAnsi"/>
          <w:vertAlign w:val="superscript"/>
        </w:rPr>
        <w:footnoteReference w:id="438"/>
      </w:r>
      <w:r w:rsidRPr="00D920C9">
        <w:rPr>
          <w:rFonts w:asciiTheme="minorHAnsi" w:hAnsiTheme="minorHAnsi"/>
        </w:rPr>
        <w:t xml:space="preserve"> The Commission reiterates the United States’ obligation to adopt all legal and administrative measures necessary, including legal reform, in order to recognize and guarantee the effective equality of all persons before the law.</w:t>
      </w:r>
      <w:r w:rsidRPr="00D920C9">
        <w:rPr>
          <w:rFonts w:asciiTheme="minorHAnsi" w:hAnsiTheme="minorHAnsi"/>
          <w:vertAlign w:val="superscript"/>
        </w:rPr>
        <w:footnoteReference w:id="439"/>
      </w:r>
      <w:r w:rsidRPr="00D920C9">
        <w:rPr>
          <w:rFonts w:asciiTheme="minorHAnsi" w:hAnsiTheme="minorHAnsi"/>
        </w:rPr>
        <w:t xml:space="preserve"> The Commission additionally reiterates the obligation of the State to take special measures to ensure conditions of true equality for African Americans and other historically marginalized groups.</w:t>
      </w:r>
    </w:p>
    <w:p w14:paraId="29181F8C" w14:textId="162B7037" w:rsidR="00932FE3" w:rsidRPr="00D920C9" w:rsidRDefault="00B16ED2"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Likewise, the Commission highlights that i</w:t>
      </w:r>
      <w:r w:rsidR="002C524C" w:rsidRPr="00D920C9">
        <w:rPr>
          <w:rFonts w:asciiTheme="minorHAnsi" w:hAnsiTheme="minorHAnsi"/>
        </w:rPr>
        <w:t>nstitutionalized discriminatory law enforcement practices that result in differential treatment on the basis of race, ethnicity, national origin, or other suspect category, including “Stop and Frisk” programs and patterns of policing and police use of force that have a disproportionate impact on historically marginalized groups, are</w:t>
      </w:r>
      <w:r w:rsidR="004007E0" w:rsidRPr="00D920C9">
        <w:rPr>
          <w:rFonts w:asciiTheme="minorHAnsi" w:hAnsiTheme="minorHAnsi"/>
        </w:rPr>
        <w:t xml:space="preserve"> </w:t>
      </w:r>
      <w:r w:rsidR="002C524C" w:rsidRPr="00D920C9">
        <w:rPr>
          <w:rFonts w:asciiTheme="minorHAnsi" w:hAnsiTheme="minorHAnsi"/>
        </w:rPr>
        <w:t>presumptively incompatible with the American Declaration as a form of racial discrimination, and under certain circumstances may additionally constitute a violation of the prohibition on inhuman and degrading treatment.</w:t>
      </w:r>
      <w:r w:rsidR="00932FE3" w:rsidRPr="00D920C9">
        <w:rPr>
          <w:rFonts w:asciiTheme="minorHAnsi" w:hAnsiTheme="minorHAnsi"/>
        </w:rPr>
        <w:t xml:space="preserve"> </w:t>
      </w:r>
      <w:r w:rsidR="00DE1C7C" w:rsidRPr="00D920C9">
        <w:rPr>
          <w:rFonts w:asciiTheme="minorHAnsi" w:hAnsiTheme="minorHAnsi"/>
        </w:rPr>
        <w:t>The</w:t>
      </w:r>
      <w:r w:rsidR="002C524C" w:rsidRPr="00D920C9">
        <w:rPr>
          <w:rFonts w:asciiTheme="minorHAnsi" w:hAnsiTheme="minorHAnsi"/>
        </w:rPr>
        <w:t xml:space="preserve"> CERD has previously found that “States Parties must take all necessary steps to prevent interrogations, arrests and searches that are in reality based solely on physical appearance, color, characteristics, race or ethnicity, or some other profile that makes an individual subject to a higher degree of suspicion”</w:t>
      </w:r>
      <w:r w:rsidR="002C524C" w:rsidRPr="00D920C9">
        <w:rPr>
          <w:rFonts w:asciiTheme="minorHAnsi" w:hAnsiTheme="minorHAnsi"/>
          <w:vertAlign w:val="superscript"/>
        </w:rPr>
        <w:footnoteReference w:id="440"/>
      </w:r>
      <w:r w:rsidR="002C524C" w:rsidRPr="00D920C9">
        <w:rPr>
          <w:rFonts w:asciiTheme="minorHAnsi" w:hAnsiTheme="minorHAnsi"/>
        </w:rPr>
        <w:t xml:space="preserve"> In this respect, the U.S. is obligated to take positive steps to eradicate policies that have a discriminatory impact.</w:t>
      </w:r>
      <w:bookmarkStart w:id="163" w:name="_Ref507148005"/>
    </w:p>
    <w:p w14:paraId="1D7F0053" w14:textId="55D916B8" w:rsidR="00394165" w:rsidRPr="00D920C9" w:rsidRDefault="00704B88" w:rsidP="00E86698">
      <w:pPr>
        <w:pStyle w:val="ListParagraph"/>
        <w:numPr>
          <w:ilvl w:val="0"/>
          <w:numId w:val="9"/>
        </w:numPr>
        <w:spacing w:after="240" w:line="240" w:lineRule="auto"/>
        <w:ind w:left="547" w:hanging="547"/>
        <w:contextualSpacing w:val="0"/>
        <w:jc w:val="both"/>
        <w:rPr>
          <w:rFonts w:asciiTheme="minorHAnsi" w:eastAsia="Times New Roman" w:hAnsiTheme="minorHAnsi"/>
          <w:szCs w:val="20"/>
        </w:rPr>
      </w:pPr>
      <w:r w:rsidRPr="00D920C9">
        <w:rPr>
          <w:rFonts w:asciiTheme="minorHAnsi" w:hAnsiTheme="minorHAnsi"/>
        </w:rPr>
        <w:t>In light of the complementary obligations to prohibit</w:t>
      </w:r>
      <w:r w:rsidR="00DE1C7C" w:rsidRPr="00D920C9">
        <w:rPr>
          <w:rFonts w:asciiTheme="minorHAnsi" w:hAnsiTheme="minorHAnsi"/>
        </w:rPr>
        <w:t xml:space="preserve"> racial</w:t>
      </w:r>
      <w:r w:rsidRPr="00D920C9">
        <w:rPr>
          <w:rFonts w:asciiTheme="minorHAnsi" w:hAnsiTheme="minorHAnsi"/>
        </w:rPr>
        <w:t xml:space="preserve"> discrimination and guarantee equality,</w:t>
      </w:r>
      <w:r w:rsidR="00DE1C7C" w:rsidRPr="00D920C9">
        <w:rPr>
          <w:rFonts w:asciiTheme="minorHAnsi" w:hAnsiTheme="minorHAnsi"/>
        </w:rPr>
        <w:t xml:space="preserve"> the Commission reiterates the need for States</w:t>
      </w:r>
      <w:r w:rsidR="00DE1C7C" w:rsidRPr="00D920C9">
        <w:rPr>
          <w:rFonts w:asciiTheme="minorHAnsi" w:eastAsia="Times New Roman" w:hAnsiTheme="minorHAnsi"/>
          <w:szCs w:val="20"/>
          <w:lang w:eastAsia="es-ES"/>
        </w:rPr>
        <w:t xml:space="preserve"> to recognize</w:t>
      </w:r>
      <w:r w:rsidR="007A45D9" w:rsidRPr="00D920C9">
        <w:rPr>
          <w:rFonts w:asciiTheme="minorHAnsi" w:eastAsia="Times New Roman" w:hAnsiTheme="minorHAnsi"/>
          <w:szCs w:val="20"/>
          <w:lang w:eastAsia="es-ES"/>
        </w:rPr>
        <w:t xml:space="preserve"> and address</w:t>
      </w:r>
      <w:r w:rsidR="00DE1C7C" w:rsidRPr="00D920C9">
        <w:rPr>
          <w:rFonts w:asciiTheme="minorHAnsi" w:eastAsia="Times New Roman" w:hAnsiTheme="minorHAnsi"/>
          <w:szCs w:val="20"/>
          <w:lang w:eastAsia="es-ES"/>
        </w:rPr>
        <w:t xml:space="preserve"> the existence of police profiling and practices </w:t>
      </w:r>
      <w:r w:rsidR="00394165" w:rsidRPr="00D920C9">
        <w:rPr>
          <w:rFonts w:asciiTheme="minorHAnsi" w:eastAsia="Times New Roman" w:hAnsiTheme="minorHAnsi"/>
          <w:szCs w:val="20"/>
          <w:lang w:eastAsia="es-ES"/>
        </w:rPr>
        <w:t>which are harmful to</w:t>
      </w:r>
      <w:r w:rsidR="00DE1C7C" w:rsidRPr="00D920C9">
        <w:rPr>
          <w:rFonts w:asciiTheme="minorHAnsi" w:eastAsia="Times New Roman" w:hAnsiTheme="minorHAnsi"/>
          <w:szCs w:val="20"/>
          <w:lang w:eastAsia="es-ES"/>
        </w:rPr>
        <w:t xml:space="preserve"> </w:t>
      </w:r>
      <w:r w:rsidR="007A45D9" w:rsidRPr="00D920C9">
        <w:rPr>
          <w:rFonts w:asciiTheme="minorHAnsi" w:eastAsia="Times New Roman" w:hAnsiTheme="minorHAnsi"/>
          <w:szCs w:val="20"/>
          <w:lang w:eastAsia="es-ES"/>
        </w:rPr>
        <w:t>historically marginalized groups</w:t>
      </w:r>
      <w:r w:rsidR="00394165" w:rsidRPr="00D920C9">
        <w:rPr>
          <w:rFonts w:asciiTheme="minorHAnsi" w:eastAsia="Times New Roman" w:hAnsiTheme="minorHAnsi"/>
          <w:szCs w:val="20"/>
          <w:lang w:eastAsia="es-ES"/>
        </w:rPr>
        <w:t>.</w:t>
      </w:r>
      <w:r w:rsidR="00394165" w:rsidRPr="00D920C9">
        <w:rPr>
          <w:rStyle w:val="FootnoteReference"/>
          <w:rFonts w:asciiTheme="minorHAnsi" w:eastAsia="Times New Roman" w:hAnsiTheme="minorHAnsi"/>
          <w:szCs w:val="20"/>
          <w:lang w:eastAsia="es-ES"/>
        </w:rPr>
        <w:footnoteReference w:id="441"/>
      </w:r>
      <w:r w:rsidR="00394165" w:rsidRPr="00D920C9">
        <w:rPr>
          <w:rFonts w:asciiTheme="minorHAnsi" w:eastAsia="Times New Roman" w:hAnsiTheme="minorHAnsi"/>
          <w:szCs w:val="20"/>
          <w:lang w:eastAsia="es-ES"/>
        </w:rPr>
        <w:t xml:space="preserve"> This entails the adoption of</w:t>
      </w:r>
      <w:r w:rsidR="00DE1C7C" w:rsidRPr="00D920C9">
        <w:rPr>
          <w:rFonts w:asciiTheme="minorHAnsi" w:eastAsia="Times New Roman" w:hAnsiTheme="minorHAnsi"/>
          <w:szCs w:val="20"/>
          <w:lang w:eastAsia="es-ES"/>
        </w:rPr>
        <w:t xml:space="preserve"> effective prevention p</w:t>
      </w:r>
      <w:r w:rsidR="00394165" w:rsidRPr="00D920C9">
        <w:rPr>
          <w:rFonts w:asciiTheme="minorHAnsi" w:eastAsia="Times New Roman" w:hAnsiTheme="minorHAnsi"/>
          <w:szCs w:val="20"/>
          <w:lang w:eastAsia="es-ES"/>
        </w:rPr>
        <w:t>olicies and steps, and implementation of</w:t>
      </w:r>
      <w:r w:rsidR="00DE1C7C" w:rsidRPr="00D920C9">
        <w:rPr>
          <w:rFonts w:asciiTheme="minorHAnsi" w:eastAsia="Times New Roman" w:hAnsiTheme="minorHAnsi"/>
          <w:szCs w:val="20"/>
          <w:lang w:eastAsia="es-ES"/>
        </w:rPr>
        <w:t xml:space="preserve"> appropriate</w:t>
      </w:r>
      <w:r w:rsidR="00394165" w:rsidRPr="00D920C9">
        <w:rPr>
          <w:rFonts w:asciiTheme="minorHAnsi" w:eastAsia="Times New Roman" w:hAnsiTheme="minorHAnsi"/>
          <w:szCs w:val="20"/>
          <w:lang w:eastAsia="es-ES"/>
        </w:rPr>
        <w:t xml:space="preserve"> and independent</w:t>
      </w:r>
      <w:r w:rsidR="00DE1C7C" w:rsidRPr="00D920C9">
        <w:rPr>
          <w:rFonts w:asciiTheme="minorHAnsi" w:eastAsia="Times New Roman" w:hAnsiTheme="minorHAnsi"/>
          <w:szCs w:val="20"/>
          <w:lang w:eastAsia="es-ES"/>
        </w:rPr>
        <w:t xml:space="preserve"> accountability mechanisms for police officer</w:t>
      </w:r>
      <w:r w:rsidR="00394165" w:rsidRPr="00D920C9">
        <w:rPr>
          <w:rFonts w:asciiTheme="minorHAnsi" w:eastAsia="Times New Roman" w:hAnsiTheme="minorHAnsi"/>
          <w:szCs w:val="20"/>
          <w:lang w:eastAsia="es-ES"/>
        </w:rPr>
        <w:t xml:space="preserve">s </w:t>
      </w:r>
      <w:r w:rsidR="00394165" w:rsidRPr="00D920C9">
        <w:rPr>
          <w:rFonts w:asciiTheme="minorHAnsi" w:eastAsia="Times New Roman" w:hAnsiTheme="minorHAnsi"/>
          <w:szCs w:val="20"/>
          <w:lang w:eastAsia="es-ES"/>
        </w:rPr>
        <w:lastRenderedPageBreak/>
        <w:t>who</w:t>
      </w:r>
      <w:r w:rsidR="00DE1C7C" w:rsidRPr="00D920C9">
        <w:rPr>
          <w:rFonts w:asciiTheme="minorHAnsi" w:eastAsia="Times New Roman" w:hAnsiTheme="minorHAnsi"/>
          <w:szCs w:val="20"/>
          <w:lang w:eastAsia="es-ES"/>
        </w:rPr>
        <w:t xml:space="preserve"> engage in these practices. Additionally, the Commission highlights </w:t>
      </w:r>
      <w:r w:rsidR="007A45D9" w:rsidRPr="00D920C9">
        <w:rPr>
          <w:rFonts w:asciiTheme="minorHAnsi" w:eastAsia="Times New Roman" w:hAnsiTheme="minorHAnsi"/>
          <w:szCs w:val="20"/>
          <w:lang w:eastAsia="es-ES"/>
        </w:rPr>
        <w:t>the importance of</w:t>
      </w:r>
      <w:r w:rsidR="00DE1C7C" w:rsidRPr="00D920C9">
        <w:rPr>
          <w:rFonts w:asciiTheme="minorHAnsi" w:eastAsia="Times New Roman" w:hAnsiTheme="minorHAnsi"/>
          <w:szCs w:val="20"/>
          <w:lang w:eastAsia="es-ES"/>
        </w:rPr>
        <w:t xml:space="preserve"> police officer training guided by the principles of legality, absolute necessity, and proportionality in the use of force, and the design of protocols </w:t>
      </w:r>
      <w:r w:rsidR="00394165" w:rsidRPr="00D920C9">
        <w:rPr>
          <w:rFonts w:asciiTheme="minorHAnsi" w:eastAsia="Times New Roman" w:hAnsiTheme="minorHAnsi"/>
          <w:szCs w:val="20"/>
          <w:lang w:eastAsia="es-ES"/>
        </w:rPr>
        <w:t xml:space="preserve">which are consonant with </w:t>
      </w:r>
      <w:r w:rsidR="00DE1C7C" w:rsidRPr="00D920C9">
        <w:rPr>
          <w:rFonts w:asciiTheme="minorHAnsi" w:eastAsia="Times New Roman" w:hAnsiTheme="minorHAnsi"/>
          <w:szCs w:val="20"/>
          <w:lang w:eastAsia="es-ES"/>
        </w:rPr>
        <w:t xml:space="preserve">US human rights obligations.  </w:t>
      </w:r>
      <w:r w:rsidRPr="00D920C9">
        <w:rPr>
          <w:rFonts w:asciiTheme="minorHAnsi" w:eastAsia="Times New Roman" w:hAnsiTheme="minorHAnsi"/>
          <w:szCs w:val="20"/>
          <w:lang w:eastAsia="es-ES"/>
        </w:rPr>
        <w:t xml:space="preserve"> </w:t>
      </w:r>
      <w:bookmarkEnd w:id="163"/>
      <w:r w:rsidR="00394165" w:rsidRPr="00D920C9">
        <w:rPr>
          <w:rFonts w:asciiTheme="minorHAnsi" w:eastAsia="Times New Roman" w:hAnsiTheme="minorHAnsi"/>
          <w:szCs w:val="20"/>
          <w:lang w:eastAsia="es-ES"/>
        </w:rPr>
        <w:t xml:space="preserve"> </w:t>
      </w:r>
      <w:bookmarkStart w:id="164" w:name="_Ref507148897"/>
      <w:bookmarkStart w:id="165" w:name="_Ref507148911"/>
      <w:bookmarkStart w:id="166" w:name="_Ref507148915"/>
      <w:bookmarkStart w:id="167" w:name="_Ref507148919"/>
      <w:bookmarkStart w:id="168" w:name="_Ref507148925"/>
      <w:bookmarkStart w:id="169" w:name="_Toc511837832"/>
      <w:bookmarkStart w:id="170" w:name="_Toc511903005"/>
    </w:p>
    <w:p w14:paraId="2C3C280D" w14:textId="111E1B46" w:rsidR="00B4412C" w:rsidRPr="00D920C9" w:rsidRDefault="00B4412C" w:rsidP="00226E45">
      <w:pPr>
        <w:pStyle w:val="Heading2"/>
        <w:numPr>
          <w:ilvl w:val="0"/>
          <w:numId w:val="14"/>
        </w:numPr>
        <w:ind w:left="547" w:hanging="547"/>
      </w:pPr>
      <w:bookmarkStart w:id="171" w:name="_Toc517687934"/>
      <w:r w:rsidRPr="00D920C9">
        <w:t xml:space="preserve">International </w:t>
      </w:r>
      <w:r w:rsidR="0013717A" w:rsidRPr="00D920C9">
        <w:t xml:space="preserve">Framework </w:t>
      </w:r>
      <w:r w:rsidRPr="00D920C9">
        <w:t xml:space="preserve">regarding the </w:t>
      </w:r>
      <w:r w:rsidR="0013717A" w:rsidRPr="00D920C9">
        <w:t xml:space="preserve">Use </w:t>
      </w:r>
      <w:r w:rsidRPr="00D920C9">
        <w:t xml:space="preserve">of </w:t>
      </w:r>
      <w:r w:rsidR="0013717A" w:rsidRPr="00D920C9">
        <w:t>Force</w:t>
      </w:r>
      <w:r w:rsidRPr="00D920C9">
        <w:t xml:space="preserve">: </w:t>
      </w:r>
      <w:r w:rsidR="0013717A" w:rsidRPr="00D920C9">
        <w:t>Legality</w:t>
      </w:r>
      <w:r w:rsidRPr="00D920C9">
        <w:t xml:space="preserve">, </w:t>
      </w:r>
      <w:r w:rsidR="00893A6A" w:rsidRPr="00D920C9">
        <w:t xml:space="preserve">Absolute </w:t>
      </w:r>
      <w:r w:rsidR="0013717A" w:rsidRPr="00D920C9">
        <w:rPr>
          <w:bCs/>
          <w:iCs/>
        </w:rPr>
        <w:t>Necessity</w:t>
      </w:r>
      <w:r w:rsidRPr="00D920C9">
        <w:rPr>
          <w:bCs/>
          <w:iCs/>
        </w:rPr>
        <w:t xml:space="preserve">, and </w:t>
      </w:r>
      <w:r w:rsidR="0013717A" w:rsidRPr="00D920C9">
        <w:rPr>
          <w:bCs/>
          <w:iCs/>
        </w:rPr>
        <w:t>Proportionality</w:t>
      </w:r>
      <w:bookmarkEnd w:id="164"/>
      <w:bookmarkEnd w:id="165"/>
      <w:bookmarkEnd w:id="166"/>
      <w:bookmarkEnd w:id="167"/>
      <w:bookmarkEnd w:id="168"/>
      <w:bookmarkEnd w:id="169"/>
      <w:bookmarkEnd w:id="170"/>
      <w:bookmarkEnd w:id="171"/>
    </w:p>
    <w:p w14:paraId="1AD94188" w14:textId="01249104" w:rsidR="00B4412C" w:rsidRPr="00D920C9" w:rsidRDefault="00D36670" w:rsidP="00E86698">
      <w:pPr>
        <w:pStyle w:val="ListParagraph"/>
        <w:numPr>
          <w:ilvl w:val="0"/>
          <w:numId w:val="9"/>
        </w:numPr>
        <w:spacing w:after="240" w:line="240" w:lineRule="auto"/>
        <w:ind w:left="547" w:hanging="547"/>
        <w:contextualSpacing w:val="0"/>
        <w:jc w:val="both"/>
        <w:rPr>
          <w:rFonts w:asciiTheme="minorHAnsi" w:hAnsiTheme="minorHAnsi"/>
        </w:rPr>
      </w:pPr>
      <w:bookmarkStart w:id="172" w:name="_Ref507675715"/>
      <w:r w:rsidRPr="00D920C9">
        <w:rPr>
          <w:rFonts w:asciiTheme="minorHAnsi" w:hAnsiTheme="minorHAnsi"/>
          <w:szCs w:val="20"/>
        </w:rPr>
        <w:t>E</w:t>
      </w:r>
      <w:r w:rsidR="00B4412C" w:rsidRPr="00D920C9">
        <w:rPr>
          <w:rFonts w:asciiTheme="minorHAnsi" w:hAnsiTheme="minorHAnsi"/>
          <w:szCs w:val="20"/>
        </w:rPr>
        <w:t>very State in the Americas has the obligation to guarantee security and to safeguard public order,</w:t>
      </w:r>
      <w:r w:rsidR="00B4412C" w:rsidRPr="00D920C9">
        <w:rPr>
          <w:rFonts w:asciiTheme="minorHAnsi" w:hAnsiTheme="minorHAnsi"/>
          <w:szCs w:val="20"/>
          <w:vertAlign w:val="superscript"/>
        </w:rPr>
        <w:footnoteReference w:id="442"/>
      </w:r>
      <w:r w:rsidR="00B4412C" w:rsidRPr="00D920C9">
        <w:rPr>
          <w:rFonts w:asciiTheme="minorHAnsi" w:hAnsiTheme="minorHAnsi"/>
          <w:szCs w:val="20"/>
        </w:rPr>
        <w:t xml:space="preserve"> and therefore the power to use force in order to guarantee these ends</w:t>
      </w:r>
      <w:r w:rsidRPr="00D920C9">
        <w:rPr>
          <w:rFonts w:asciiTheme="minorHAnsi" w:hAnsiTheme="minorHAnsi"/>
          <w:szCs w:val="20"/>
        </w:rPr>
        <w:t>; however,</w:t>
      </w:r>
      <w:r w:rsidR="00B4412C" w:rsidRPr="00D920C9">
        <w:rPr>
          <w:rFonts w:asciiTheme="minorHAnsi" w:hAnsiTheme="minorHAnsi"/>
          <w:szCs w:val="20"/>
        </w:rPr>
        <w:t xml:space="preserve"> this power is limited by the observance of human rights.</w:t>
      </w:r>
      <w:r w:rsidR="00B4412C" w:rsidRPr="00D920C9">
        <w:rPr>
          <w:rFonts w:asciiTheme="minorHAnsi" w:hAnsiTheme="minorHAnsi"/>
          <w:szCs w:val="20"/>
          <w:vertAlign w:val="superscript"/>
        </w:rPr>
        <w:footnoteReference w:id="443"/>
      </w:r>
      <w:r w:rsidR="00B4412C" w:rsidRPr="00D920C9">
        <w:rPr>
          <w:rFonts w:asciiTheme="minorHAnsi" w:hAnsiTheme="minorHAnsi"/>
          <w:szCs w:val="20"/>
        </w:rPr>
        <w:t xml:space="preserve"> The fundamental rights to </w:t>
      </w:r>
      <w:r w:rsidRPr="00D920C9">
        <w:rPr>
          <w:rFonts w:asciiTheme="minorHAnsi" w:hAnsiTheme="minorHAnsi"/>
          <w:szCs w:val="20"/>
        </w:rPr>
        <w:t>life and personal security,</w:t>
      </w:r>
      <w:r w:rsidRPr="00D920C9">
        <w:rPr>
          <w:rStyle w:val="FootnoteReference"/>
          <w:rFonts w:asciiTheme="minorHAnsi" w:hAnsiTheme="minorHAnsi"/>
          <w:szCs w:val="20"/>
        </w:rPr>
        <w:footnoteReference w:id="444"/>
      </w:r>
      <w:r w:rsidRPr="00D920C9">
        <w:rPr>
          <w:rFonts w:asciiTheme="minorHAnsi" w:hAnsiTheme="minorHAnsi"/>
          <w:szCs w:val="20"/>
        </w:rPr>
        <w:t xml:space="preserve"> equality before the law,</w:t>
      </w:r>
      <w:r w:rsidRPr="00D920C9">
        <w:rPr>
          <w:rStyle w:val="FootnoteReference"/>
          <w:rFonts w:asciiTheme="minorHAnsi" w:hAnsiTheme="minorHAnsi"/>
          <w:szCs w:val="20"/>
        </w:rPr>
        <w:footnoteReference w:id="445"/>
      </w:r>
      <w:r w:rsidRPr="00D920C9">
        <w:rPr>
          <w:rFonts w:asciiTheme="minorHAnsi" w:hAnsiTheme="minorHAnsi"/>
          <w:szCs w:val="20"/>
        </w:rPr>
        <w:t xml:space="preserve"> due process of law,</w:t>
      </w:r>
      <w:r w:rsidRPr="00D920C9">
        <w:rPr>
          <w:rStyle w:val="FootnoteReference"/>
          <w:rFonts w:asciiTheme="minorHAnsi" w:hAnsiTheme="minorHAnsi"/>
          <w:szCs w:val="20"/>
        </w:rPr>
        <w:footnoteReference w:id="446"/>
      </w:r>
      <w:r w:rsidRPr="00D920C9">
        <w:rPr>
          <w:rFonts w:asciiTheme="minorHAnsi" w:hAnsiTheme="minorHAnsi"/>
          <w:szCs w:val="20"/>
        </w:rPr>
        <w:t xml:space="preserve"> and the right to be free from torture and ill-treatment,</w:t>
      </w:r>
      <w:r w:rsidRPr="00D920C9">
        <w:rPr>
          <w:rStyle w:val="FootnoteReference"/>
          <w:rFonts w:asciiTheme="minorHAnsi" w:hAnsiTheme="minorHAnsi"/>
          <w:szCs w:val="20"/>
        </w:rPr>
        <w:footnoteReference w:id="447"/>
      </w:r>
      <w:r w:rsidRPr="00D920C9">
        <w:rPr>
          <w:rFonts w:asciiTheme="minorHAnsi" w:hAnsiTheme="minorHAnsi"/>
          <w:szCs w:val="20"/>
        </w:rPr>
        <w:t xml:space="preserve"> among others,</w:t>
      </w:r>
      <w:r w:rsidR="00C71DC0" w:rsidRPr="00D920C9">
        <w:rPr>
          <w:rFonts w:asciiTheme="minorHAnsi" w:hAnsiTheme="minorHAnsi"/>
          <w:szCs w:val="20"/>
        </w:rPr>
        <w:t xml:space="preserve"> </w:t>
      </w:r>
      <w:r w:rsidR="00893A6A" w:rsidRPr="00D920C9">
        <w:rPr>
          <w:rFonts w:asciiTheme="minorHAnsi" w:hAnsiTheme="minorHAnsi"/>
          <w:szCs w:val="20"/>
        </w:rPr>
        <w:t>require</w:t>
      </w:r>
      <w:r w:rsidR="00C71DC0" w:rsidRPr="00D920C9">
        <w:rPr>
          <w:rFonts w:asciiTheme="minorHAnsi" w:hAnsiTheme="minorHAnsi"/>
          <w:szCs w:val="20"/>
        </w:rPr>
        <w:t xml:space="preserve"> not only the State’s obligation </w:t>
      </w:r>
      <w:r w:rsidR="007770E4" w:rsidRPr="00D920C9">
        <w:rPr>
          <w:rFonts w:asciiTheme="minorHAnsi" w:hAnsiTheme="minorHAnsi"/>
          <w:szCs w:val="20"/>
        </w:rPr>
        <w:t>to</w:t>
      </w:r>
      <w:r w:rsidR="00C71DC0" w:rsidRPr="00D920C9">
        <w:rPr>
          <w:rFonts w:asciiTheme="minorHAnsi" w:hAnsiTheme="minorHAnsi"/>
          <w:szCs w:val="20"/>
        </w:rPr>
        <w:t xml:space="preserve"> refrain from </w:t>
      </w:r>
      <w:r w:rsidR="007770E4" w:rsidRPr="00D920C9">
        <w:rPr>
          <w:rFonts w:asciiTheme="minorHAnsi" w:hAnsiTheme="minorHAnsi"/>
          <w:szCs w:val="20"/>
        </w:rPr>
        <w:t>infringing those rights, but</w:t>
      </w:r>
      <w:r w:rsidR="00C71DC0" w:rsidRPr="00D920C9">
        <w:rPr>
          <w:rFonts w:asciiTheme="minorHAnsi" w:hAnsiTheme="minorHAnsi"/>
          <w:szCs w:val="20"/>
        </w:rPr>
        <w:t xml:space="preserve"> also demand </w:t>
      </w:r>
      <w:r w:rsidR="007770E4" w:rsidRPr="00D920C9">
        <w:rPr>
          <w:rFonts w:asciiTheme="minorHAnsi" w:hAnsiTheme="minorHAnsi"/>
          <w:szCs w:val="20"/>
        </w:rPr>
        <w:t xml:space="preserve">the protection and </w:t>
      </w:r>
      <w:r w:rsidR="007770E4" w:rsidRPr="00D920C9">
        <w:rPr>
          <w:rFonts w:asciiTheme="minorHAnsi" w:hAnsiTheme="minorHAnsi"/>
        </w:rPr>
        <w:t>preservation of</w:t>
      </w:r>
      <w:r w:rsidR="00C71DC0" w:rsidRPr="00D920C9">
        <w:rPr>
          <w:rFonts w:asciiTheme="minorHAnsi" w:hAnsiTheme="minorHAnsi"/>
        </w:rPr>
        <w:t xml:space="preserve"> those rights. Thus, the State’s actions in discharging its duties of securi</w:t>
      </w:r>
      <w:r w:rsidR="0025402C" w:rsidRPr="00D920C9">
        <w:rPr>
          <w:rFonts w:asciiTheme="minorHAnsi" w:hAnsiTheme="minorHAnsi"/>
        </w:rPr>
        <w:t>ty and law and order must safeguard</w:t>
      </w:r>
      <w:r w:rsidR="00C71DC0" w:rsidRPr="00D920C9">
        <w:rPr>
          <w:rFonts w:asciiTheme="minorHAnsi" w:hAnsiTheme="minorHAnsi"/>
        </w:rPr>
        <w:t xml:space="preserve"> that any risk to </w:t>
      </w:r>
      <w:r w:rsidR="00893A6A" w:rsidRPr="00D920C9">
        <w:rPr>
          <w:rFonts w:asciiTheme="minorHAnsi" w:hAnsiTheme="minorHAnsi"/>
        </w:rPr>
        <w:t>basic</w:t>
      </w:r>
      <w:r w:rsidR="00C71DC0" w:rsidRPr="00D920C9">
        <w:rPr>
          <w:rFonts w:asciiTheme="minorHAnsi" w:hAnsiTheme="minorHAnsi"/>
        </w:rPr>
        <w:t xml:space="preserve"> rights is minimized by </w:t>
      </w:r>
      <w:r w:rsidR="00893A6A" w:rsidRPr="00D920C9">
        <w:rPr>
          <w:rFonts w:asciiTheme="minorHAnsi" w:hAnsiTheme="minorHAnsi"/>
        </w:rPr>
        <w:t xml:space="preserve">ensuring </w:t>
      </w:r>
      <w:r w:rsidR="00C71DC0" w:rsidRPr="00D920C9">
        <w:rPr>
          <w:rFonts w:asciiTheme="minorHAnsi" w:hAnsiTheme="minorHAnsi"/>
        </w:rPr>
        <w:t>in strict compliance with the international principles and standards set out below</w:t>
      </w:r>
      <w:r w:rsidR="00B4412C" w:rsidRPr="00D920C9">
        <w:rPr>
          <w:rFonts w:asciiTheme="minorHAnsi" w:hAnsiTheme="minorHAnsi"/>
        </w:rPr>
        <w:t>.</w:t>
      </w:r>
      <w:r w:rsidR="00B4412C" w:rsidRPr="00D920C9">
        <w:rPr>
          <w:rFonts w:asciiTheme="minorHAnsi" w:hAnsiTheme="minorHAnsi"/>
          <w:vertAlign w:val="superscript"/>
        </w:rPr>
        <w:footnoteReference w:id="448"/>
      </w:r>
      <w:bookmarkEnd w:id="172"/>
      <w:r w:rsidR="00B4412C" w:rsidRPr="00D920C9">
        <w:rPr>
          <w:rFonts w:asciiTheme="minorHAnsi" w:hAnsiTheme="minorHAnsi"/>
        </w:rPr>
        <w:t xml:space="preserve"> </w:t>
      </w:r>
    </w:p>
    <w:p w14:paraId="1BB3CAD6" w14:textId="6D1F5D85" w:rsidR="001B5BAA" w:rsidRPr="00D920C9" w:rsidRDefault="00B4412C"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use of force </w:t>
      </w:r>
      <w:r w:rsidR="00893A6A" w:rsidRPr="00D920C9">
        <w:rPr>
          <w:rFonts w:asciiTheme="minorHAnsi" w:hAnsiTheme="minorHAnsi"/>
        </w:rPr>
        <w:t>must</w:t>
      </w:r>
      <w:r w:rsidRPr="00D920C9">
        <w:rPr>
          <w:rFonts w:asciiTheme="minorHAnsi" w:hAnsiTheme="minorHAnsi"/>
        </w:rPr>
        <w:t xml:space="preserve"> be guided by the principles of legality, </w:t>
      </w:r>
      <w:r w:rsidR="00893A6A" w:rsidRPr="00D920C9">
        <w:rPr>
          <w:rFonts w:asciiTheme="minorHAnsi" w:hAnsiTheme="minorHAnsi"/>
        </w:rPr>
        <w:t>absolute</w:t>
      </w:r>
      <w:r w:rsidR="00D06953" w:rsidRPr="00D920C9">
        <w:rPr>
          <w:rFonts w:asciiTheme="minorHAnsi" w:hAnsiTheme="minorHAnsi"/>
        </w:rPr>
        <w:t xml:space="preserve"> </w:t>
      </w:r>
      <w:r w:rsidRPr="00D920C9">
        <w:rPr>
          <w:rFonts w:asciiTheme="minorHAnsi" w:hAnsiTheme="minorHAnsi"/>
        </w:rPr>
        <w:t>necessity</w:t>
      </w:r>
      <w:r w:rsidR="00893A6A" w:rsidRPr="00D920C9">
        <w:rPr>
          <w:rFonts w:asciiTheme="minorHAnsi" w:hAnsiTheme="minorHAnsi"/>
        </w:rPr>
        <w:t>, and proportionality</w:t>
      </w:r>
      <w:r w:rsidRPr="00D920C9">
        <w:rPr>
          <w:rFonts w:asciiTheme="minorHAnsi" w:hAnsiTheme="minorHAnsi"/>
        </w:rPr>
        <w:t>.</w:t>
      </w:r>
      <w:r w:rsidRPr="00D920C9">
        <w:rPr>
          <w:rFonts w:asciiTheme="minorHAnsi" w:hAnsiTheme="minorHAnsi"/>
          <w:vertAlign w:val="superscript"/>
        </w:rPr>
        <w:footnoteReference w:id="449"/>
      </w:r>
      <w:r w:rsidRPr="00D920C9">
        <w:rPr>
          <w:rFonts w:asciiTheme="minorHAnsi" w:hAnsiTheme="minorHAnsi"/>
        </w:rPr>
        <w:t xml:space="preserve"> In conjunction, these principles lead to the conclusion that “use of force is a last resort that is to be limited both qualitatively and quantitatively, employed solely to prevent a more serious occurrence than the one that prompted the State to intervene.”</w:t>
      </w:r>
      <w:r w:rsidRPr="00D920C9">
        <w:rPr>
          <w:rFonts w:asciiTheme="minorHAnsi" w:hAnsiTheme="minorHAnsi"/>
          <w:vertAlign w:val="superscript"/>
        </w:rPr>
        <w:footnoteReference w:id="450"/>
      </w:r>
      <w:r w:rsidRPr="00D920C9">
        <w:rPr>
          <w:rFonts w:asciiTheme="minorHAnsi" w:hAnsiTheme="minorHAnsi"/>
        </w:rPr>
        <w:t xml:space="preserve"> </w:t>
      </w:r>
    </w:p>
    <w:p w14:paraId="5B7931B5" w14:textId="77777777" w:rsidR="00B4412C" w:rsidRPr="00D920C9" w:rsidRDefault="001B5BAA"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rPr>
        <w:lastRenderedPageBreak/>
        <w:t>According to the</w:t>
      </w:r>
      <w:r w:rsidR="00352483" w:rsidRPr="00D920C9">
        <w:rPr>
          <w:rFonts w:asciiTheme="minorHAnsi" w:hAnsiTheme="minorHAnsi"/>
        </w:rPr>
        <w:t xml:space="preserve"> U.N. </w:t>
      </w:r>
      <w:r w:rsidRPr="00D920C9">
        <w:rPr>
          <w:rFonts w:asciiTheme="minorHAnsi" w:hAnsiTheme="minorHAnsi"/>
        </w:rPr>
        <w:t>Code of Conduct for Law Enforcement Officials (“U</w:t>
      </w:r>
      <w:r w:rsidR="00352483" w:rsidRPr="00D920C9">
        <w:rPr>
          <w:rFonts w:asciiTheme="minorHAnsi" w:hAnsiTheme="minorHAnsi"/>
        </w:rPr>
        <w:t>.</w:t>
      </w:r>
      <w:r w:rsidRPr="00D920C9">
        <w:rPr>
          <w:rFonts w:asciiTheme="minorHAnsi" w:hAnsiTheme="minorHAnsi"/>
        </w:rPr>
        <w:t>N</w:t>
      </w:r>
      <w:r w:rsidR="00352483" w:rsidRPr="00D920C9">
        <w:rPr>
          <w:rFonts w:asciiTheme="minorHAnsi" w:hAnsiTheme="minorHAnsi"/>
        </w:rPr>
        <w:t>.</w:t>
      </w:r>
      <w:r w:rsidRPr="00D920C9">
        <w:rPr>
          <w:rFonts w:asciiTheme="minorHAnsi" w:hAnsiTheme="minorHAnsi"/>
        </w:rPr>
        <w:t xml:space="preserve"> Code of Conduct”), adopted by the</w:t>
      </w:r>
      <w:r w:rsidR="00352483" w:rsidRPr="00D920C9">
        <w:rPr>
          <w:rFonts w:asciiTheme="minorHAnsi" w:hAnsiTheme="minorHAnsi"/>
        </w:rPr>
        <w:t xml:space="preserve"> U.N. </w:t>
      </w:r>
      <w:r w:rsidRPr="00D920C9">
        <w:rPr>
          <w:rFonts w:asciiTheme="minorHAnsi" w:hAnsiTheme="minorHAnsi"/>
        </w:rPr>
        <w:t>General Assembly in 1979, and the</w:t>
      </w:r>
      <w:r w:rsidR="00352483" w:rsidRPr="00D920C9">
        <w:rPr>
          <w:rFonts w:asciiTheme="minorHAnsi" w:hAnsiTheme="minorHAnsi"/>
        </w:rPr>
        <w:t xml:space="preserve"> U.N. </w:t>
      </w:r>
      <w:r w:rsidRPr="00D920C9">
        <w:rPr>
          <w:rFonts w:asciiTheme="minorHAnsi" w:hAnsiTheme="minorHAnsi"/>
        </w:rPr>
        <w:t>Basic Principles on the Use of Force and Firearms by Law Enforcement Officials</w:t>
      </w:r>
      <w:r w:rsidRPr="00D920C9">
        <w:rPr>
          <w:rFonts w:asciiTheme="minorHAnsi" w:eastAsia="Times New Roman" w:hAnsiTheme="minorHAnsi"/>
          <w:szCs w:val="20"/>
          <w:lang w:eastAsia="es-ES"/>
        </w:rPr>
        <w:t xml:space="preserve"> (“U</w:t>
      </w:r>
      <w:r w:rsidR="00352483" w:rsidRPr="00D920C9">
        <w:rPr>
          <w:rFonts w:asciiTheme="minorHAnsi" w:eastAsia="Times New Roman" w:hAnsiTheme="minorHAnsi"/>
          <w:szCs w:val="20"/>
          <w:lang w:eastAsia="es-ES"/>
        </w:rPr>
        <w:t>.</w:t>
      </w:r>
      <w:r w:rsidRPr="00D920C9">
        <w:rPr>
          <w:rFonts w:asciiTheme="minorHAnsi" w:eastAsia="Times New Roman" w:hAnsiTheme="minorHAnsi"/>
          <w:szCs w:val="20"/>
          <w:lang w:eastAsia="es-ES"/>
        </w:rPr>
        <w:t>N</w:t>
      </w:r>
      <w:r w:rsidR="00352483" w:rsidRPr="00D920C9">
        <w:rPr>
          <w:rFonts w:asciiTheme="minorHAnsi" w:eastAsia="Times New Roman" w:hAnsiTheme="minorHAnsi"/>
          <w:szCs w:val="20"/>
          <w:lang w:eastAsia="es-ES"/>
        </w:rPr>
        <w:t>.</w:t>
      </w:r>
      <w:r w:rsidRPr="00D920C9">
        <w:rPr>
          <w:rFonts w:asciiTheme="minorHAnsi" w:eastAsia="Times New Roman" w:hAnsiTheme="minorHAnsi"/>
          <w:szCs w:val="20"/>
          <w:lang w:eastAsia="es-ES"/>
        </w:rPr>
        <w:t xml:space="preserve"> Basic Principles”) of 1990,</w:t>
      </w:r>
      <w:r w:rsidR="00CA648A" w:rsidRPr="00D920C9">
        <w:rPr>
          <w:rFonts w:asciiTheme="minorHAnsi" w:eastAsia="Times New Roman" w:hAnsiTheme="minorHAnsi"/>
          <w:szCs w:val="20"/>
          <w:lang w:eastAsia="es-ES"/>
        </w:rPr>
        <w:t xml:space="preserve"> law enforcement officials may use force only when strictly necessary.</w:t>
      </w:r>
      <w:r w:rsidR="00CA648A" w:rsidRPr="00D920C9">
        <w:rPr>
          <w:rStyle w:val="FootnoteReference"/>
          <w:rFonts w:asciiTheme="minorHAnsi" w:eastAsia="Times New Roman" w:hAnsiTheme="minorHAnsi"/>
          <w:szCs w:val="20"/>
          <w:lang w:eastAsia="es-ES"/>
        </w:rPr>
        <w:footnoteReference w:id="451"/>
      </w:r>
      <w:r w:rsidR="00CA648A" w:rsidRPr="00D920C9">
        <w:rPr>
          <w:rFonts w:asciiTheme="minorHAnsi" w:eastAsia="Times New Roman" w:hAnsiTheme="minorHAnsi"/>
          <w:szCs w:val="20"/>
          <w:lang w:eastAsia="es-ES"/>
        </w:rPr>
        <w:t xml:space="preserve"> According to the Basic Principles: </w:t>
      </w:r>
      <w:r w:rsidRPr="00D920C9">
        <w:rPr>
          <w:rFonts w:asciiTheme="minorHAnsi" w:eastAsia="Times New Roman" w:hAnsiTheme="minorHAnsi"/>
          <w:szCs w:val="20"/>
          <w:lang w:eastAsia="es-ES"/>
        </w:rPr>
        <w:t xml:space="preserve"> </w:t>
      </w:r>
    </w:p>
    <w:p w14:paraId="5374CEE9" w14:textId="77777777" w:rsidR="00B4412C" w:rsidRPr="00D920C9" w:rsidRDefault="00B4412C" w:rsidP="00CF0731">
      <w:pPr>
        <w:autoSpaceDE w:val="0"/>
        <w:autoSpaceDN w:val="0"/>
        <w:adjustRightInd w:val="0"/>
        <w:spacing w:after="240" w:line="240" w:lineRule="auto"/>
        <w:ind w:left="1166" w:right="619"/>
        <w:jc w:val="both"/>
        <w:rPr>
          <w:rFonts w:asciiTheme="minorHAnsi" w:eastAsia="Cambria" w:hAnsiTheme="minorHAnsi"/>
          <w:szCs w:val="18"/>
        </w:rPr>
      </w:pPr>
      <w:r w:rsidRPr="00D920C9">
        <w:rPr>
          <w:rFonts w:asciiTheme="minorHAnsi" w:eastAsia="Cambria" w:hAnsiTheme="minorHAnsi"/>
          <w:szCs w:val="18"/>
        </w:rPr>
        <w:t>Law enforcement officials shall not use firearms against persons except in self-</w:t>
      </w:r>
      <w:proofErr w:type="spellStart"/>
      <w:r w:rsidRPr="00D920C9">
        <w:rPr>
          <w:rFonts w:asciiTheme="minorHAnsi" w:eastAsia="Cambria" w:hAnsiTheme="minorHAnsi"/>
          <w:szCs w:val="18"/>
        </w:rPr>
        <w:t>defen</w:t>
      </w:r>
      <w:proofErr w:type="spellEnd"/>
      <w:r w:rsidRPr="00D920C9">
        <w:rPr>
          <w:rFonts w:asciiTheme="minorHAnsi" w:eastAsia="Cambria" w:hAnsiTheme="minorHAnsi"/>
          <w:szCs w:val="18"/>
        </w:rPr>
        <w:t xml:space="preserve">[s]e or </w:t>
      </w:r>
      <w:proofErr w:type="spellStart"/>
      <w:r w:rsidRPr="00D920C9">
        <w:rPr>
          <w:rFonts w:asciiTheme="minorHAnsi" w:eastAsia="Cambria" w:hAnsiTheme="minorHAnsi"/>
          <w:szCs w:val="18"/>
        </w:rPr>
        <w:t>defen</w:t>
      </w:r>
      <w:proofErr w:type="spellEnd"/>
      <w:r w:rsidRPr="00D920C9">
        <w:rPr>
          <w:rFonts w:asciiTheme="minorHAnsi" w:eastAsia="Cambria" w:hAnsiTheme="minorHAnsi"/>
          <w:szCs w:val="18"/>
        </w:rPr>
        <w:t>[s]e of others against the imminent threat of death or serious injury, to prevent the perpetration of a particularly serious crime involving grave threat to life, to arrest a person presenting such a danger and resisting their authority, or to prevent his or her escape, and only when less extreme means are insufficient to achieve these objectives. In any event, intentional lethal use of firearms may only be made when strictly unavoidable in order to protect life.</w:t>
      </w:r>
      <w:r w:rsidRPr="00D920C9">
        <w:rPr>
          <w:rStyle w:val="FootnoteReference"/>
          <w:rFonts w:asciiTheme="minorHAnsi" w:eastAsia="Cambria" w:hAnsiTheme="minorHAnsi"/>
          <w:szCs w:val="18"/>
        </w:rPr>
        <w:footnoteReference w:id="452"/>
      </w:r>
    </w:p>
    <w:p w14:paraId="43329889" w14:textId="77777777" w:rsidR="00B4412C" w:rsidRPr="00D920C9" w:rsidRDefault="00B4412C"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rPr>
        <w:t xml:space="preserve">As a threshold matter, the principle of </w:t>
      </w:r>
      <w:r w:rsidRPr="00D920C9">
        <w:rPr>
          <w:rFonts w:asciiTheme="minorHAnsi" w:hAnsiTheme="minorHAnsi"/>
          <w:i/>
          <w:szCs w:val="20"/>
        </w:rPr>
        <w:t>legality</w:t>
      </w:r>
      <w:r w:rsidRPr="00D920C9">
        <w:rPr>
          <w:rFonts w:asciiTheme="minorHAnsi" w:hAnsiTheme="minorHAnsi"/>
          <w:szCs w:val="20"/>
        </w:rPr>
        <w:t xml:space="preserve"> requires that the exceptional use of lethal force by State agents be regulated by law in a sufficiently clear manner, and interpreted narrowly so as to minimize its use in every circumstance.</w:t>
      </w:r>
      <w:r w:rsidRPr="00D920C9">
        <w:rPr>
          <w:rStyle w:val="FootnoteReference"/>
          <w:rFonts w:asciiTheme="minorHAnsi" w:hAnsiTheme="minorHAnsi"/>
          <w:szCs w:val="20"/>
        </w:rPr>
        <w:footnoteReference w:id="453"/>
      </w:r>
      <w:r w:rsidRPr="00D920C9">
        <w:rPr>
          <w:rFonts w:asciiTheme="minorHAnsi" w:hAnsiTheme="minorHAnsi"/>
          <w:szCs w:val="20"/>
        </w:rPr>
        <w:t xml:space="preserve"> Domestic regulation is of particular importance in this context; as the Special Rapporteur on Extrajudicial Executions has stated, “</w:t>
      </w:r>
      <w:r w:rsidR="00D9152E" w:rsidRPr="00D920C9">
        <w:rPr>
          <w:rFonts w:asciiTheme="minorHAnsi" w:hAnsiTheme="minorHAnsi"/>
          <w:szCs w:val="20"/>
        </w:rPr>
        <w:t>[t]</w:t>
      </w:r>
      <w:r w:rsidRPr="00D920C9">
        <w:rPr>
          <w:rFonts w:asciiTheme="minorHAnsi" w:hAnsiTheme="minorHAnsi"/>
          <w:szCs w:val="20"/>
        </w:rPr>
        <w:t xml:space="preserve">he specific relevance of domestic law stems from the fact that the laws of each State remain the first line and in many cases effectively the last line of </w:t>
      </w:r>
      <w:proofErr w:type="spellStart"/>
      <w:r w:rsidRPr="00D920C9">
        <w:rPr>
          <w:rFonts w:asciiTheme="minorHAnsi" w:hAnsiTheme="minorHAnsi"/>
          <w:szCs w:val="20"/>
        </w:rPr>
        <w:t>defen</w:t>
      </w:r>
      <w:proofErr w:type="spellEnd"/>
      <w:r w:rsidRPr="00D920C9">
        <w:rPr>
          <w:rFonts w:asciiTheme="minorHAnsi" w:hAnsiTheme="minorHAnsi"/>
          <w:szCs w:val="20"/>
        </w:rPr>
        <w:t xml:space="preserve">[s]e for the protection of the right to life,” because the content of internal law frames and </w:t>
      </w:r>
      <w:r w:rsidRPr="00D920C9">
        <w:rPr>
          <w:rFonts w:asciiTheme="minorHAnsi" w:hAnsiTheme="minorHAnsi"/>
        </w:rPr>
        <w:t>determines legal liability and available remedies for the excessive use of force.</w:t>
      </w:r>
      <w:r w:rsidRPr="00D920C9">
        <w:rPr>
          <w:rFonts w:asciiTheme="minorHAnsi" w:hAnsiTheme="minorHAnsi"/>
          <w:vertAlign w:val="superscript"/>
        </w:rPr>
        <w:footnoteReference w:id="454"/>
      </w:r>
      <w:r w:rsidRPr="00D920C9">
        <w:rPr>
          <w:rFonts w:asciiTheme="minorHAnsi" w:hAnsiTheme="minorHAnsi"/>
        </w:rPr>
        <w:t xml:space="preserve"> </w:t>
      </w:r>
      <w:r w:rsidR="0073426B" w:rsidRPr="00D920C9">
        <w:rPr>
          <w:rFonts w:asciiTheme="minorHAnsi" w:hAnsiTheme="minorHAnsi"/>
        </w:rPr>
        <w:t>In this regard, the Inter-American Court has established the State obligation to adapt domestic legislation and “to ensure that its security forces, which are entitled to use legitimate force, respect the right to life of those who a</w:t>
      </w:r>
      <w:r w:rsidR="00C46BFA" w:rsidRPr="00D920C9">
        <w:rPr>
          <w:rFonts w:asciiTheme="minorHAnsi" w:hAnsiTheme="minorHAnsi"/>
        </w:rPr>
        <w:t>re under its jurisdiction.”</w:t>
      </w:r>
      <w:r w:rsidR="00C46BFA" w:rsidRPr="00D920C9">
        <w:rPr>
          <w:rFonts w:asciiTheme="minorHAnsi" w:hAnsiTheme="minorHAnsi"/>
          <w:vertAlign w:val="superscript"/>
        </w:rPr>
        <w:footnoteReference w:id="455"/>
      </w:r>
      <w:r w:rsidR="00C46BFA" w:rsidRPr="00D920C9">
        <w:rPr>
          <w:rFonts w:asciiTheme="minorHAnsi" w:hAnsiTheme="minorHAnsi"/>
        </w:rPr>
        <w:t xml:space="preserve"> Likewise, “t</w:t>
      </w:r>
      <w:r w:rsidR="0073426B" w:rsidRPr="00D920C9">
        <w:rPr>
          <w:rFonts w:asciiTheme="minorHAnsi" w:hAnsiTheme="minorHAnsi"/>
        </w:rPr>
        <w:t xml:space="preserve">he State must be clear when defining domestic policies on the use of force </w:t>
      </w:r>
      <w:r w:rsidR="0073426B" w:rsidRPr="00D920C9">
        <w:rPr>
          <w:rFonts w:asciiTheme="minorHAnsi" w:hAnsiTheme="minorHAnsi"/>
        </w:rPr>
        <w:lastRenderedPageBreak/>
        <w:t>and pursue strategies to implement the Principles on the Use of Fo</w:t>
      </w:r>
      <w:r w:rsidR="00C46BFA" w:rsidRPr="00D920C9">
        <w:rPr>
          <w:rFonts w:asciiTheme="minorHAnsi" w:hAnsiTheme="minorHAnsi"/>
        </w:rPr>
        <w:t>rce and the Code of Conduct.”</w:t>
      </w:r>
      <w:r w:rsidR="00C46BFA" w:rsidRPr="00D920C9">
        <w:rPr>
          <w:rFonts w:asciiTheme="minorHAnsi" w:hAnsiTheme="minorHAnsi"/>
          <w:vertAlign w:val="superscript"/>
        </w:rPr>
        <w:footnoteReference w:id="456"/>
      </w:r>
    </w:p>
    <w:p w14:paraId="07129C16" w14:textId="14AE86B5" w:rsidR="00B4412C" w:rsidRPr="00D920C9" w:rsidRDefault="00B4412C" w:rsidP="001167CB">
      <w:pPr>
        <w:pStyle w:val="ListParagraph"/>
        <w:numPr>
          <w:ilvl w:val="0"/>
          <w:numId w:val="9"/>
        </w:numPr>
        <w:spacing w:after="240" w:line="240" w:lineRule="auto"/>
        <w:ind w:left="547" w:hanging="547"/>
        <w:contextualSpacing w:val="0"/>
        <w:jc w:val="both"/>
        <w:rPr>
          <w:rFonts w:asciiTheme="minorHAnsi" w:hAnsiTheme="minorHAnsi"/>
          <w:szCs w:val="20"/>
        </w:rPr>
      </w:pPr>
      <w:bookmarkStart w:id="173" w:name="_Ref507172647"/>
      <w:r w:rsidRPr="00D920C9">
        <w:rPr>
          <w:rFonts w:asciiTheme="minorHAnsi" w:hAnsiTheme="minorHAnsi"/>
        </w:rPr>
        <w:t>The principle of legality also requires</w:t>
      </w:r>
      <w:r w:rsidRPr="00D920C9">
        <w:rPr>
          <w:rFonts w:asciiTheme="minorHAnsi" w:hAnsiTheme="minorHAnsi"/>
          <w:szCs w:val="20"/>
        </w:rPr>
        <w:t xml:space="preserve"> the regulation of the types of firearms and ammunition permitted.  The United Nations </w:t>
      </w:r>
      <w:r w:rsidRPr="00D920C9">
        <w:rPr>
          <w:rFonts w:asciiTheme="minorHAnsi" w:hAnsiTheme="minorHAnsi"/>
          <w:i/>
          <w:szCs w:val="20"/>
        </w:rPr>
        <w:t>Principles on the Use of Force</w:t>
      </w:r>
      <w:r w:rsidRPr="00D920C9">
        <w:rPr>
          <w:rFonts w:asciiTheme="minorHAnsi" w:hAnsiTheme="minorHAnsi"/>
          <w:szCs w:val="20"/>
        </w:rPr>
        <w:t xml:space="preserve"> state that these regulations should:</w:t>
      </w:r>
      <w:bookmarkEnd w:id="173"/>
      <w:r w:rsidRPr="00D920C9">
        <w:rPr>
          <w:rFonts w:asciiTheme="minorHAnsi" w:hAnsiTheme="minorHAnsi"/>
          <w:szCs w:val="20"/>
        </w:rPr>
        <w:t xml:space="preserve"> </w:t>
      </w:r>
    </w:p>
    <w:p w14:paraId="6FFAA313" w14:textId="77777777" w:rsidR="00B4412C" w:rsidRPr="00D920C9" w:rsidRDefault="00B4412C" w:rsidP="00C91E4F">
      <w:pPr>
        <w:pStyle w:val="ListParagraph"/>
        <w:numPr>
          <w:ilvl w:val="0"/>
          <w:numId w:val="10"/>
        </w:numPr>
        <w:spacing w:after="120" w:line="240" w:lineRule="auto"/>
        <w:ind w:left="1170" w:hanging="630"/>
        <w:contextualSpacing w:val="0"/>
        <w:jc w:val="both"/>
        <w:rPr>
          <w:rFonts w:asciiTheme="minorHAnsi" w:hAnsiTheme="minorHAnsi"/>
          <w:szCs w:val="18"/>
        </w:rPr>
      </w:pPr>
      <w:r w:rsidRPr="00D920C9">
        <w:rPr>
          <w:rFonts w:asciiTheme="minorHAnsi" w:hAnsiTheme="minorHAnsi"/>
          <w:szCs w:val="18"/>
        </w:rPr>
        <w:t>Specify the circumstances under which law enforcement officials are authorized to carry firearms and prescribe the types of firearms and ammunition permitted;</w:t>
      </w:r>
    </w:p>
    <w:p w14:paraId="7D4EFABF" w14:textId="77777777" w:rsidR="00B4412C" w:rsidRPr="00D920C9" w:rsidRDefault="00B4412C" w:rsidP="00C91E4F">
      <w:pPr>
        <w:pStyle w:val="ListParagraph"/>
        <w:numPr>
          <w:ilvl w:val="0"/>
          <w:numId w:val="10"/>
        </w:numPr>
        <w:spacing w:after="120" w:line="240" w:lineRule="auto"/>
        <w:ind w:left="1170" w:hanging="630"/>
        <w:contextualSpacing w:val="0"/>
        <w:jc w:val="both"/>
        <w:rPr>
          <w:rFonts w:asciiTheme="minorHAnsi" w:hAnsiTheme="minorHAnsi"/>
          <w:szCs w:val="18"/>
        </w:rPr>
      </w:pPr>
      <w:r w:rsidRPr="00D920C9">
        <w:rPr>
          <w:rFonts w:asciiTheme="minorHAnsi" w:hAnsiTheme="minorHAnsi"/>
          <w:szCs w:val="18"/>
        </w:rPr>
        <w:t xml:space="preserve">Ensure that firearms are used only in appropriate circumstances and in a manner likely to decrease the risk of unnecessary harm; </w:t>
      </w:r>
    </w:p>
    <w:p w14:paraId="59F6727D" w14:textId="77777777" w:rsidR="00B4412C" w:rsidRPr="00D920C9" w:rsidRDefault="00B4412C" w:rsidP="00C91E4F">
      <w:pPr>
        <w:pStyle w:val="ListParagraph"/>
        <w:numPr>
          <w:ilvl w:val="0"/>
          <w:numId w:val="10"/>
        </w:numPr>
        <w:spacing w:after="120" w:line="240" w:lineRule="auto"/>
        <w:ind w:left="1170" w:hanging="630"/>
        <w:contextualSpacing w:val="0"/>
        <w:jc w:val="both"/>
        <w:rPr>
          <w:rFonts w:asciiTheme="minorHAnsi" w:hAnsiTheme="minorHAnsi"/>
          <w:szCs w:val="18"/>
        </w:rPr>
      </w:pPr>
      <w:r w:rsidRPr="00D920C9">
        <w:rPr>
          <w:rFonts w:asciiTheme="minorHAnsi" w:hAnsiTheme="minorHAnsi"/>
          <w:szCs w:val="18"/>
        </w:rPr>
        <w:t xml:space="preserve">Prohibit the use of those firearms and ammunition that cause unwarranted injury or present an unwarranted risk; </w:t>
      </w:r>
    </w:p>
    <w:p w14:paraId="5E92FE0C" w14:textId="77777777" w:rsidR="00B4412C" w:rsidRPr="00D920C9" w:rsidRDefault="00B4412C" w:rsidP="00C91E4F">
      <w:pPr>
        <w:pStyle w:val="ListParagraph"/>
        <w:numPr>
          <w:ilvl w:val="0"/>
          <w:numId w:val="10"/>
        </w:numPr>
        <w:spacing w:after="120" w:line="240" w:lineRule="auto"/>
        <w:ind w:left="1170" w:hanging="630"/>
        <w:contextualSpacing w:val="0"/>
        <w:jc w:val="both"/>
        <w:rPr>
          <w:rFonts w:asciiTheme="minorHAnsi" w:hAnsiTheme="minorHAnsi"/>
          <w:szCs w:val="18"/>
        </w:rPr>
      </w:pPr>
      <w:r w:rsidRPr="00D920C9">
        <w:rPr>
          <w:rFonts w:asciiTheme="minorHAnsi" w:hAnsiTheme="minorHAnsi"/>
          <w:szCs w:val="18"/>
        </w:rPr>
        <w:t xml:space="preserve">Regulate the control, storage and issuing of firearms, including procedures for ensuring that law enforcement officials are accountable for the firearms and ammunition issued to them; </w:t>
      </w:r>
    </w:p>
    <w:p w14:paraId="48290DFE" w14:textId="77777777" w:rsidR="00B4412C" w:rsidRPr="00D920C9" w:rsidRDefault="00B4412C" w:rsidP="00C91E4F">
      <w:pPr>
        <w:pStyle w:val="ListParagraph"/>
        <w:numPr>
          <w:ilvl w:val="0"/>
          <w:numId w:val="10"/>
        </w:numPr>
        <w:spacing w:after="120" w:line="240" w:lineRule="auto"/>
        <w:ind w:left="1170" w:hanging="630"/>
        <w:contextualSpacing w:val="0"/>
        <w:jc w:val="both"/>
        <w:rPr>
          <w:rFonts w:asciiTheme="minorHAnsi" w:hAnsiTheme="minorHAnsi"/>
          <w:szCs w:val="18"/>
        </w:rPr>
      </w:pPr>
      <w:r w:rsidRPr="00D920C9">
        <w:rPr>
          <w:rFonts w:asciiTheme="minorHAnsi" w:hAnsiTheme="minorHAnsi"/>
          <w:szCs w:val="18"/>
        </w:rPr>
        <w:t xml:space="preserve">Provide for warnings to be given, if appropriate, when firearms are to be discharged; </w:t>
      </w:r>
    </w:p>
    <w:p w14:paraId="6A0A97DF" w14:textId="77777777" w:rsidR="00B4412C" w:rsidRPr="00D920C9" w:rsidRDefault="00B4412C" w:rsidP="00C91E4F">
      <w:pPr>
        <w:pStyle w:val="ListParagraph"/>
        <w:numPr>
          <w:ilvl w:val="0"/>
          <w:numId w:val="10"/>
        </w:numPr>
        <w:spacing w:after="240" w:line="240" w:lineRule="auto"/>
        <w:ind w:left="1170" w:hanging="630"/>
        <w:contextualSpacing w:val="0"/>
        <w:jc w:val="both"/>
        <w:rPr>
          <w:rFonts w:asciiTheme="minorHAnsi" w:hAnsiTheme="minorHAnsi"/>
          <w:szCs w:val="18"/>
        </w:rPr>
      </w:pPr>
      <w:r w:rsidRPr="00D920C9">
        <w:rPr>
          <w:rFonts w:asciiTheme="minorHAnsi" w:hAnsiTheme="minorHAnsi"/>
          <w:szCs w:val="18"/>
        </w:rPr>
        <w:t>Provide for a system of reporting whenever law enforcement officials use firearms in the performance of their duty.</w:t>
      </w:r>
      <w:r w:rsidRPr="00D920C9">
        <w:rPr>
          <w:rStyle w:val="FootnoteReference"/>
          <w:rFonts w:asciiTheme="minorHAnsi" w:hAnsiTheme="minorHAnsi"/>
          <w:szCs w:val="18"/>
        </w:rPr>
        <w:footnoteReference w:id="457"/>
      </w:r>
    </w:p>
    <w:p w14:paraId="3371349B" w14:textId="35358BA9" w:rsidR="00C12FC7" w:rsidRPr="00D920C9" w:rsidRDefault="00442729"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rPr>
        <w:t xml:space="preserve">The principle of </w:t>
      </w:r>
      <w:r w:rsidR="002E7A5A" w:rsidRPr="00D920C9">
        <w:rPr>
          <w:rFonts w:asciiTheme="minorHAnsi" w:hAnsiTheme="minorHAnsi"/>
          <w:i/>
          <w:szCs w:val="20"/>
        </w:rPr>
        <w:t>absolute</w:t>
      </w:r>
      <w:r w:rsidR="002E7A5A" w:rsidRPr="00D920C9">
        <w:rPr>
          <w:rFonts w:asciiTheme="minorHAnsi" w:hAnsiTheme="minorHAnsi"/>
          <w:szCs w:val="20"/>
        </w:rPr>
        <w:t xml:space="preserve"> </w:t>
      </w:r>
      <w:r w:rsidRPr="00D920C9">
        <w:rPr>
          <w:rFonts w:asciiTheme="minorHAnsi" w:hAnsiTheme="minorHAnsi"/>
          <w:i/>
          <w:szCs w:val="20"/>
        </w:rPr>
        <w:t>necessity</w:t>
      </w:r>
      <w:r w:rsidRPr="00D920C9">
        <w:rPr>
          <w:rFonts w:asciiTheme="minorHAnsi" w:hAnsiTheme="minorHAnsi"/>
          <w:szCs w:val="20"/>
        </w:rPr>
        <w:t xml:space="preserve"> requires that officers </w:t>
      </w:r>
      <w:r w:rsidR="00C12FC7" w:rsidRPr="00D920C9">
        <w:rPr>
          <w:rFonts w:asciiTheme="minorHAnsi" w:hAnsiTheme="minorHAnsi"/>
          <w:szCs w:val="20"/>
        </w:rPr>
        <w:t>apply nonviolent means before resorting to the use of force and firearms i</w:t>
      </w:r>
      <w:r w:rsidR="00C12FC7" w:rsidRPr="00D920C9">
        <w:rPr>
          <w:rFonts w:asciiTheme="minorHAnsi" w:eastAsia="Times New Roman" w:hAnsiTheme="minorHAnsi"/>
          <w:szCs w:val="20"/>
          <w:lang w:eastAsia="es-ES"/>
        </w:rPr>
        <w:t>n carrying out their duty</w:t>
      </w:r>
      <w:r w:rsidR="00C12FC7" w:rsidRPr="00D920C9">
        <w:rPr>
          <w:rFonts w:asciiTheme="minorHAnsi" w:hAnsiTheme="minorHAnsi"/>
          <w:szCs w:val="20"/>
        </w:rPr>
        <w:t xml:space="preserve">, and </w:t>
      </w:r>
      <w:r w:rsidR="00C12FC7" w:rsidRPr="00D920C9">
        <w:rPr>
          <w:rFonts w:asciiTheme="minorHAnsi" w:eastAsia="Times New Roman" w:hAnsiTheme="minorHAnsi"/>
          <w:szCs w:val="20"/>
          <w:lang w:eastAsia="es-ES"/>
        </w:rPr>
        <w:t xml:space="preserve">use force only if other means </w:t>
      </w:r>
      <w:r w:rsidR="00910DA6" w:rsidRPr="00D920C9">
        <w:rPr>
          <w:rFonts w:asciiTheme="minorHAnsi" w:eastAsia="Times New Roman" w:hAnsiTheme="minorHAnsi"/>
          <w:szCs w:val="20"/>
          <w:lang w:eastAsia="es-ES"/>
        </w:rPr>
        <w:t>are</w:t>
      </w:r>
      <w:r w:rsidR="00C12FC7" w:rsidRPr="00D920C9">
        <w:rPr>
          <w:rFonts w:asciiTheme="minorHAnsi" w:eastAsia="Times New Roman" w:hAnsiTheme="minorHAnsi"/>
          <w:szCs w:val="20"/>
          <w:lang w:eastAsia="es-ES"/>
        </w:rPr>
        <w:t xml:space="preserve"> ineffective or lack any promise of achieving the intended result.</w:t>
      </w:r>
      <w:r w:rsidR="00C12FC7" w:rsidRPr="00D920C9">
        <w:rPr>
          <w:rFonts w:asciiTheme="minorHAnsi" w:eastAsia="Times New Roman" w:hAnsiTheme="minorHAnsi"/>
          <w:szCs w:val="20"/>
          <w:vertAlign w:val="superscript"/>
          <w:lang w:eastAsia="es-ES"/>
        </w:rPr>
        <w:footnoteReference w:id="458"/>
      </w:r>
      <w:r w:rsidR="00C12FC7" w:rsidRPr="00D920C9">
        <w:rPr>
          <w:rFonts w:asciiTheme="minorHAnsi" w:eastAsia="Times New Roman" w:hAnsiTheme="minorHAnsi"/>
          <w:szCs w:val="20"/>
          <w:lang w:eastAsia="es-ES"/>
        </w:rPr>
        <w:t xml:space="preserve"> Thus, it is necessary to </w:t>
      </w:r>
      <w:r w:rsidRPr="00D920C9">
        <w:rPr>
          <w:rFonts w:asciiTheme="minorHAnsi" w:eastAsia="Times New Roman" w:hAnsiTheme="minorHAnsi"/>
          <w:szCs w:val="20"/>
          <w:lang w:eastAsia="es-ES"/>
        </w:rPr>
        <w:t xml:space="preserve">verify whether other less harmful means exist </w:t>
      </w:r>
      <w:r w:rsidRPr="00D920C9">
        <w:rPr>
          <w:rFonts w:asciiTheme="minorHAnsi" w:hAnsiTheme="minorHAnsi"/>
        </w:rPr>
        <w:t xml:space="preserve">to safeguard the life and integrity of the </w:t>
      </w:r>
      <w:r w:rsidR="0043644A" w:rsidRPr="00D920C9">
        <w:rPr>
          <w:rFonts w:asciiTheme="minorHAnsi" w:hAnsiTheme="minorHAnsi"/>
        </w:rPr>
        <w:t xml:space="preserve">person or </w:t>
      </w:r>
      <w:r w:rsidRPr="00D920C9">
        <w:rPr>
          <w:rFonts w:asciiTheme="minorHAnsi" w:hAnsiTheme="minorHAnsi"/>
        </w:rPr>
        <w:t>person</w:t>
      </w:r>
      <w:r w:rsidR="00910DA6" w:rsidRPr="00D920C9">
        <w:rPr>
          <w:rFonts w:asciiTheme="minorHAnsi" w:hAnsiTheme="minorHAnsi"/>
        </w:rPr>
        <w:t>s whom</w:t>
      </w:r>
      <w:r w:rsidRPr="00D920C9">
        <w:rPr>
          <w:rFonts w:asciiTheme="minorHAnsi" w:hAnsiTheme="minorHAnsi"/>
        </w:rPr>
        <w:t xml:space="preserve"> the officer seeks to protect under the circumstances of each case.</w:t>
      </w:r>
      <w:r w:rsidRPr="00D920C9">
        <w:rPr>
          <w:rFonts w:asciiTheme="minorHAnsi" w:hAnsiTheme="minorHAnsi"/>
          <w:vertAlign w:val="superscript"/>
        </w:rPr>
        <w:footnoteReference w:id="459"/>
      </w:r>
      <w:r w:rsidRPr="00D920C9">
        <w:rPr>
          <w:rFonts w:asciiTheme="minorHAnsi" w:hAnsiTheme="minorHAnsi"/>
        </w:rPr>
        <w:t xml:space="preserve"> This requirement cannot be met where the person does not represent a direct danger, “even when the failure to use force results in the loss of the opportunity to capture them.”</w:t>
      </w:r>
      <w:r w:rsidRPr="00D920C9">
        <w:rPr>
          <w:rFonts w:asciiTheme="minorHAnsi" w:hAnsiTheme="minorHAnsi"/>
          <w:vertAlign w:val="superscript"/>
        </w:rPr>
        <w:footnoteReference w:id="460"/>
      </w:r>
      <w:r w:rsidRPr="00D920C9">
        <w:rPr>
          <w:rFonts w:asciiTheme="minorHAnsi" w:hAnsiTheme="minorHAnsi"/>
        </w:rPr>
        <w:t xml:space="preserve"> </w:t>
      </w:r>
    </w:p>
    <w:p w14:paraId="18FBFC0C" w14:textId="623B95E7" w:rsidR="00442729" w:rsidRPr="00D920C9" w:rsidRDefault="00442729"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The principle of proportionality requires that law enforcement officers</w:t>
      </w:r>
      <w:r w:rsidR="00814641" w:rsidRPr="00D920C9">
        <w:rPr>
          <w:rFonts w:asciiTheme="minorHAnsi" w:hAnsiTheme="minorHAnsi"/>
        </w:rPr>
        <w:t xml:space="preserve"> “apply a standard of differentiated use of force, determining the level of cooperation, resistance, or aggressiveness of the person involved and, on </w:t>
      </w:r>
      <w:r w:rsidR="00814641" w:rsidRPr="00D920C9">
        <w:rPr>
          <w:rFonts w:asciiTheme="minorHAnsi" w:hAnsiTheme="minorHAnsi"/>
        </w:rPr>
        <w:lastRenderedPageBreak/>
        <w:t>this basis, use tactics of negotiation, control or use of force, as appropriate.”</w:t>
      </w:r>
      <w:r w:rsidR="00814641" w:rsidRPr="00D920C9">
        <w:rPr>
          <w:rFonts w:asciiTheme="minorHAnsi" w:hAnsiTheme="minorHAnsi"/>
          <w:vertAlign w:val="superscript"/>
        </w:rPr>
        <w:footnoteReference w:id="461"/>
      </w:r>
      <w:r w:rsidR="00C12FC7" w:rsidRPr="00D920C9">
        <w:rPr>
          <w:rFonts w:asciiTheme="minorHAnsi" w:hAnsiTheme="minorHAnsi"/>
        </w:rPr>
        <w:t xml:space="preserve"> Thus, law enforcement officials</w:t>
      </w:r>
      <w:r w:rsidR="00160213" w:rsidRPr="00D920C9">
        <w:rPr>
          <w:rFonts w:asciiTheme="minorHAnsi" w:hAnsiTheme="minorHAnsi"/>
        </w:rPr>
        <w:t xml:space="preserve"> should exercise moderation in their actions</w:t>
      </w:r>
      <w:r w:rsidR="00C12FC7" w:rsidRPr="00D920C9">
        <w:rPr>
          <w:rFonts w:asciiTheme="minorHAnsi" w:hAnsiTheme="minorHAnsi"/>
        </w:rPr>
        <w:t xml:space="preserve"> in an effort to minimize the harm and injuries that may result from their intervention, guarantee immediate assistance to the persons negatively impacted, and endeavor to inform next-of-kin or loved ones of the situation as soon as possible.</w:t>
      </w:r>
      <w:r w:rsidR="00C12FC7" w:rsidRPr="00D920C9">
        <w:rPr>
          <w:rFonts w:asciiTheme="minorHAnsi" w:hAnsiTheme="minorHAnsi"/>
          <w:vertAlign w:val="superscript"/>
        </w:rPr>
        <w:footnoteReference w:id="462"/>
      </w:r>
      <w:r w:rsidR="00C12FC7" w:rsidRPr="00D920C9">
        <w:rPr>
          <w:rFonts w:asciiTheme="minorHAnsi" w:hAnsiTheme="minorHAnsi"/>
        </w:rPr>
        <w:t xml:space="preserve"> Circumstances including “the level of intensity and danger of the threat; the attitude of the individual; the conditions of the surrounding area</w:t>
      </w:r>
      <w:r w:rsidR="00910DA6" w:rsidRPr="00D920C9">
        <w:rPr>
          <w:rFonts w:asciiTheme="minorHAnsi" w:hAnsiTheme="minorHAnsi"/>
        </w:rPr>
        <w:t>;</w:t>
      </w:r>
      <w:r w:rsidR="00C12FC7" w:rsidRPr="00D920C9">
        <w:rPr>
          <w:rFonts w:asciiTheme="minorHAnsi" w:hAnsiTheme="minorHAnsi"/>
        </w:rPr>
        <w:t xml:space="preserve"> and the means available to the agent to deal with the specific situation” are relevant to evaluating the proportionality of interventions by the law enforcement agents.</w:t>
      </w:r>
      <w:r w:rsidR="00160213" w:rsidRPr="00D920C9">
        <w:rPr>
          <w:rFonts w:asciiTheme="minorHAnsi" w:hAnsiTheme="minorHAnsi"/>
          <w:vertAlign w:val="superscript"/>
        </w:rPr>
        <w:footnoteReference w:id="463"/>
      </w:r>
    </w:p>
    <w:p w14:paraId="160114C1" w14:textId="77777777" w:rsidR="001F1D81" w:rsidRPr="00D920C9" w:rsidRDefault="00C71DC0"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w:t>
      </w:r>
      <w:r w:rsidR="00B4412C" w:rsidRPr="00D920C9">
        <w:rPr>
          <w:rFonts w:asciiTheme="minorHAnsi" w:hAnsiTheme="minorHAnsi"/>
        </w:rPr>
        <w:t>he use of lethal force (i.e. force that has the capacity to cause death) by law enforcement officers is legitimate only to save the life of a person or to protect a person from serious injury.</w:t>
      </w:r>
      <w:r w:rsidR="00B4412C" w:rsidRPr="00D920C9">
        <w:rPr>
          <w:rFonts w:asciiTheme="minorHAnsi" w:hAnsiTheme="minorHAnsi"/>
          <w:vertAlign w:val="superscript"/>
        </w:rPr>
        <w:footnoteReference w:id="464"/>
      </w:r>
      <w:r w:rsidR="00B4412C" w:rsidRPr="00D920C9">
        <w:rPr>
          <w:rFonts w:asciiTheme="minorHAnsi" w:hAnsiTheme="minorHAnsi"/>
        </w:rPr>
        <w:t xml:space="preserve"> This means that if lethal force is used in furtherance of any objective other than saving life or limb, it will be considered excessive.</w:t>
      </w:r>
      <w:r w:rsidR="00B4412C" w:rsidRPr="00D920C9">
        <w:rPr>
          <w:rFonts w:asciiTheme="minorHAnsi" w:hAnsiTheme="minorHAnsi"/>
          <w:vertAlign w:val="superscript"/>
        </w:rPr>
        <w:footnoteReference w:id="465"/>
      </w:r>
      <w:r w:rsidR="00B4412C" w:rsidRPr="00D920C9">
        <w:rPr>
          <w:rFonts w:asciiTheme="minorHAnsi" w:hAnsiTheme="minorHAnsi"/>
        </w:rPr>
        <w:t xml:space="preserve"> Similarly, Christof </w:t>
      </w:r>
      <w:proofErr w:type="spellStart"/>
      <w:r w:rsidR="00B4412C" w:rsidRPr="00D920C9">
        <w:rPr>
          <w:rFonts w:asciiTheme="minorHAnsi" w:hAnsiTheme="minorHAnsi"/>
        </w:rPr>
        <w:t>Heyns</w:t>
      </w:r>
      <w:proofErr w:type="spellEnd"/>
      <w:r w:rsidR="00B4412C" w:rsidRPr="00D920C9">
        <w:rPr>
          <w:rFonts w:asciiTheme="minorHAnsi" w:hAnsiTheme="minorHAnsi"/>
        </w:rPr>
        <w:t xml:space="preserve">, </w:t>
      </w:r>
      <w:r w:rsidR="007B6526" w:rsidRPr="00D920C9">
        <w:rPr>
          <w:rFonts w:asciiTheme="minorHAnsi" w:hAnsiTheme="minorHAnsi"/>
        </w:rPr>
        <w:t>former</w:t>
      </w:r>
      <w:r w:rsidR="00352483" w:rsidRPr="00D920C9">
        <w:rPr>
          <w:rFonts w:asciiTheme="minorHAnsi" w:hAnsiTheme="minorHAnsi"/>
        </w:rPr>
        <w:t xml:space="preserve"> U.N. </w:t>
      </w:r>
      <w:r w:rsidR="00B4412C" w:rsidRPr="00D920C9">
        <w:rPr>
          <w:rFonts w:asciiTheme="minorHAnsi" w:hAnsiTheme="minorHAnsi"/>
        </w:rPr>
        <w:t>Special Rapporteur on extrajudicial executions, has stated before the Commission that the use of lethal force is legitimate, proportional, and necessary only if it is the means of last resort available to protect another life. Therefore, the use of lethal force will not be justified when seeking, for example, to protect property, avoid non-serious injury, or re-establish public order.</w:t>
      </w:r>
      <w:r w:rsidR="00B4412C" w:rsidRPr="00D920C9">
        <w:rPr>
          <w:rFonts w:asciiTheme="minorHAnsi" w:hAnsiTheme="minorHAnsi"/>
          <w:vertAlign w:val="superscript"/>
        </w:rPr>
        <w:footnoteReference w:id="466"/>
      </w:r>
    </w:p>
    <w:p w14:paraId="4285F306" w14:textId="0A36EB96" w:rsidR="007E3C35" w:rsidRPr="00D920C9" w:rsidRDefault="007E3C35" w:rsidP="00E86698">
      <w:pPr>
        <w:pStyle w:val="ListParagraph"/>
        <w:numPr>
          <w:ilvl w:val="0"/>
          <w:numId w:val="9"/>
        </w:numPr>
        <w:spacing w:after="240" w:line="240" w:lineRule="auto"/>
        <w:ind w:left="547" w:hanging="547"/>
        <w:contextualSpacing w:val="0"/>
        <w:jc w:val="both"/>
        <w:rPr>
          <w:rFonts w:asciiTheme="minorHAnsi" w:hAnsiTheme="minorHAnsi"/>
          <w:szCs w:val="20"/>
        </w:rPr>
      </w:pPr>
      <w:bookmarkStart w:id="174" w:name="_Ref507172452"/>
      <w:r w:rsidRPr="00D920C9">
        <w:rPr>
          <w:rFonts w:asciiTheme="minorHAnsi" w:hAnsiTheme="minorHAnsi"/>
        </w:rPr>
        <w:t xml:space="preserve">Regarding </w:t>
      </w:r>
      <w:r w:rsidR="00890AAC" w:rsidRPr="00D920C9">
        <w:rPr>
          <w:rFonts w:asciiTheme="minorHAnsi" w:hAnsiTheme="minorHAnsi"/>
        </w:rPr>
        <w:t>potential</w:t>
      </w:r>
      <w:r w:rsidRPr="00D920C9">
        <w:rPr>
          <w:rFonts w:asciiTheme="minorHAnsi" w:hAnsiTheme="minorHAnsi"/>
        </w:rPr>
        <w:t xml:space="preserve"> State responsibility for human rights</w:t>
      </w:r>
      <w:r w:rsidR="00920904" w:rsidRPr="00D920C9">
        <w:rPr>
          <w:rFonts w:asciiTheme="minorHAnsi" w:hAnsiTheme="minorHAnsi"/>
        </w:rPr>
        <w:t xml:space="preserve"> violations</w:t>
      </w:r>
      <w:r w:rsidRPr="00D920C9">
        <w:rPr>
          <w:rFonts w:asciiTheme="minorHAnsi" w:hAnsiTheme="minorHAnsi"/>
        </w:rPr>
        <w:t xml:space="preserve">, such as </w:t>
      </w:r>
      <w:r w:rsidR="00920904" w:rsidRPr="00D920C9">
        <w:rPr>
          <w:rFonts w:asciiTheme="minorHAnsi" w:hAnsiTheme="minorHAnsi"/>
        </w:rPr>
        <w:t xml:space="preserve">in </w:t>
      </w:r>
      <w:r w:rsidRPr="00D920C9">
        <w:rPr>
          <w:rFonts w:asciiTheme="minorHAnsi" w:hAnsiTheme="minorHAnsi"/>
        </w:rPr>
        <w:t xml:space="preserve">cases of police violence </w:t>
      </w:r>
      <w:r w:rsidR="00920904" w:rsidRPr="00D920C9">
        <w:rPr>
          <w:rFonts w:asciiTheme="minorHAnsi" w:hAnsiTheme="minorHAnsi"/>
        </w:rPr>
        <w:t>or</w:t>
      </w:r>
      <w:r w:rsidRPr="00D920C9">
        <w:rPr>
          <w:rFonts w:asciiTheme="minorHAnsi" w:hAnsiTheme="minorHAnsi"/>
        </w:rPr>
        <w:t xml:space="preserve"> killings, the Commission recalls that under international law, any </w:t>
      </w:r>
      <w:r w:rsidR="00125C81" w:rsidRPr="00D920C9">
        <w:rPr>
          <w:rFonts w:asciiTheme="minorHAnsi" w:hAnsiTheme="minorHAnsi"/>
        </w:rPr>
        <w:t>violation of</w:t>
      </w:r>
      <w:r w:rsidRPr="00D920C9">
        <w:rPr>
          <w:rFonts w:asciiTheme="minorHAnsi" w:hAnsiTheme="minorHAnsi"/>
        </w:rPr>
        <w:t xml:space="preserve"> human rights </w:t>
      </w:r>
      <w:r w:rsidR="00890AAC" w:rsidRPr="00D920C9">
        <w:rPr>
          <w:rFonts w:asciiTheme="minorHAnsi" w:hAnsiTheme="minorHAnsi"/>
        </w:rPr>
        <w:t xml:space="preserve">that </w:t>
      </w:r>
      <w:r w:rsidR="00D44603" w:rsidRPr="00D920C9">
        <w:rPr>
          <w:rFonts w:asciiTheme="minorHAnsi" w:hAnsiTheme="minorHAnsi"/>
        </w:rPr>
        <w:t>is</w:t>
      </w:r>
      <w:r w:rsidR="00890AAC" w:rsidRPr="00D920C9">
        <w:rPr>
          <w:rFonts w:asciiTheme="minorHAnsi" w:hAnsiTheme="minorHAnsi"/>
        </w:rPr>
        <w:t xml:space="preserve"> attribut</w:t>
      </w:r>
      <w:r w:rsidR="00D44603" w:rsidRPr="00D920C9">
        <w:rPr>
          <w:rFonts w:asciiTheme="minorHAnsi" w:hAnsiTheme="minorHAnsi"/>
        </w:rPr>
        <w:t>abl</w:t>
      </w:r>
      <w:r w:rsidR="00890AAC" w:rsidRPr="00D920C9">
        <w:rPr>
          <w:rFonts w:asciiTheme="minorHAnsi" w:hAnsiTheme="minorHAnsi"/>
        </w:rPr>
        <w:t>e</w:t>
      </w:r>
      <w:r w:rsidRPr="00D920C9">
        <w:rPr>
          <w:rFonts w:asciiTheme="minorHAnsi" w:hAnsiTheme="minorHAnsi"/>
        </w:rPr>
        <w:t xml:space="preserve"> to actions or omissions</w:t>
      </w:r>
      <w:r w:rsidRPr="00D920C9">
        <w:rPr>
          <w:rFonts w:asciiTheme="minorHAnsi" w:hAnsiTheme="minorHAnsi"/>
          <w:szCs w:val="20"/>
        </w:rPr>
        <w:t xml:space="preserve"> by any State agent constitutes an act attributable to the State, irrespective of that agent’s </w:t>
      </w:r>
      <w:r w:rsidR="007425E9" w:rsidRPr="00D920C9">
        <w:rPr>
          <w:rFonts w:asciiTheme="minorHAnsi" w:hAnsiTheme="minorHAnsi"/>
          <w:szCs w:val="20"/>
        </w:rPr>
        <w:t xml:space="preserve">hierarchy </w:t>
      </w:r>
      <w:r w:rsidRPr="00D920C9">
        <w:rPr>
          <w:rFonts w:asciiTheme="minorHAnsi" w:hAnsiTheme="minorHAnsi"/>
          <w:szCs w:val="20"/>
        </w:rPr>
        <w:t xml:space="preserve">and </w:t>
      </w:r>
      <w:r w:rsidR="00920904" w:rsidRPr="00D920C9">
        <w:rPr>
          <w:rFonts w:asciiTheme="minorHAnsi" w:hAnsiTheme="minorHAnsi"/>
          <w:szCs w:val="20"/>
        </w:rPr>
        <w:t>whether</w:t>
      </w:r>
      <w:r w:rsidRPr="00D920C9">
        <w:rPr>
          <w:rFonts w:asciiTheme="minorHAnsi" w:hAnsiTheme="minorHAnsi"/>
          <w:szCs w:val="20"/>
        </w:rPr>
        <w:t xml:space="preserve"> th</w:t>
      </w:r>
      <w:r w:rsidR="00920904" w:rsidRPr="00D920C9">
        <w:rPr>
          <w:rFonts w:asciiTheme="minorHAnsi" w:hAnsiTheme="minorHAnsi"/>
          <w:szCs w:val="20"/>
        </w:rPr>
        <w:t>e</w:t>
      </w:r>
      <w:r w:rsidRPr="00D920C9">
        <w:rPr>
          <w:rFonts w:asciiTheme="minorHAnsi" w:hAnsiTheme="minorHAnsi"/>
          <w:szCs w:val="20"/>
        </w:rPr>
        <w:t xml:space="preserve"> agent is acting outside the </w:t>
      </w:r>
      <w:r w:rsidR="00890AAC" w:rsidRPr="00D920C9">
        <w:rPr>
          <w:rFonts w:asciiTheme="minorHAnsi" w:hAnsiTheme="minorHAnsi"/>
          <w:szCs w:val="20"/>
        </w:rPr>
        <w:t>scope</w:t>
      </w:r>
      <w:r w:rsidRPr="00D920C9">
        <w:rPr>
          <w:rFonts w:asciiTheme="minorHAnsi" w:hAnsiTheme="minorHAnsi"/>
          <w:szCs w:val="20"/>
        </w:rPr>
        <w:t xml:space="preserve"> of his/her </w:t>
      </w:r>
      <w:r w:rsidR="00920904" w:rsidRPr="00D920C9">
        <w:rPr>
          <w:rFonts w:asciiTheme="minorHAnsi" w:hAnsiTheme="minorHAnsi"/>
          <w:szCs w:val="20"/>
        </w:rPr>
        <w:t>authority</w:t>
      </w:r>
      <w:r w:rsidRPr="00D920C9">
        <w:rPr>
          <w:rFonts w:asciiTheme="minorHAnsi" w:hAnsiTheme="minorHAnsi"/>
          <w:szCs w:val="20"/>
        </w:rPr>
        <w:t>.</w:t>
      </w:r>
      <w:r w:rsidRPr="00D920C9">
        <w:rPr>
          <w:rStyle w:val="FootnoteReference"/>
          <w:rFonts w:asciiTheme="minorHAnsi" w:hAnsiTheme="minorHAnsi"/>
          <w:szCs w:val="20"/>
        </w:rPr>
        <w:footnoteReference w:id="467"/>
      </w:r>
      <w:r w:rsidRPr="00D920C9">
        <w:rPr>
          <w:rFonts w:asciiTheme="minorHAnsi" w:hAnsiTheme="minorHAnsi"/>
          <w:szCs w:val="20"/>
        </w:rPr>
        <w:t xml:space="preserve"> </w:t>
      </w:r>
      <w:r w:rsidR="00920904" w:rsidRPr="00D920C9">
        <w:rPr>
          <w:rFonts w:asciiTheme="minorHAnsi" w:hAnsiTheme="minorHAnsi"/>
          <w:szCs w:val="20"/>
        </w:rPr>
        <w:t>T</w:t>
      </w:r>
      <w:r w:rsidRPr="00D920C9">
        <w:rPr>
          <w:rFonts w:asciiTheme="minorHAnsi" w:hAnsiTheme="minorHAnsi"/>
          <w:szCs w:val="20"/>
        </w:rPr>
        <w:t>o establish whether a human rights violation has been committed, it is not necessary to determine, as it is in domestic criminal law, the guilt of the perpetrators or their intent</w:t>
      </w:r>
      <w:r w:rsidR="00920904" w:rsidRPr="00D920C9">
        <w:rPr>
          <w:rFonts w:asciiTheme="minorHAnsi" w:hAnsiTheme="minorHAnsi"/>
          <w:szCs w:val="20"/>
        </w:rPr>
        <w:t xml:space="preserve">, or </w:t>
      </w:r>
      <w:r w:rsidRPr="00D920C9">
        <w:rPr>
          <w:rFonts w:asciiTheme="minorHAnsi" w:hAnsiTheme="minorHAnsi"/>
          <w:szCs w:val="20"/>
        </w:rPr>
        <w:t>to individually identify the agents</w:t>
      </w:r>
      <w:r w:rsidR="00890AAC" w:rsidRPr="00D920C9">
        <w:rPr>
          <w:rFonts w:asciiTheme="minorHAnsi" w:hAnsiTheme="minorHAnsi"/>
          <w:szCs w:val="20"/>
        </w:rPr>
        <w:t>.</w:t>
      </w:r>
      <w:r w:rsidRPr="00D920C9">
        <w:rPr>
          <w:rFonts w:asciiTheme="minorHAnsi" w:hAnsiTheme="minorHAnsi"/>
          <w:szCs w:val="20"/>
        </w:rPr>
        <w:t xml:space="preserve"> It is sufficient that a State </w:t>
      </w:r>
      <w:r w:rsidRPr="00D920C9">
        <w:rPr>
          <w:rFonts w:asciiTheme="minorHAnsi" w:hAnsiTheme="minorHAnsi"/>
          <w:szCs w:val="20"/>
        </w:rPr>
        <w:lastRenderedPageBreak/>
        <w:t>obligation exists and that the State failed to comply with it.</w:t>
      </w:r>
      <w:r w:rsidRPr="00D920C9">
        <w:rPr>
          <w:rStyle w:val="FootnoteReference"/>
          <w:rFonts w:asciiTheme="minorHAnsi" w:hAnsiTheme="minorHAnsi"/>
          <w:szCs w:val="20"/>
        </w:rPr>
        <w:footnoteReference w:id="468"/>
      </w:r>
      <w:r w:rsidRPr="00D920C9">
        <w:rPr>
          <w:rFonts w:asciiTheme="minorHAnsi" w:hAnsiTheme="minorHAnsi"/>
          <w:szCs w:val="20"/>
        </w:rPr>
        <w:t xml:space="preserve"> By the same token, </w:t>
      </w:r>
      <w:r w:rsidR="00890AAC" w:rsidRPr="00D920C9">
        <w:rPr>
          <w:rFonts w:asciiTheme="minorHAnsi" w:hAnsiTheme="minorHAnsi"/>
          <w:szCs w:val="20"/>
        </w:rPr>
        <w:t>States are obligated to organize their</w:t>
      </w:r>
      <w:r w:rsidRPr="00D920C9">
        <w:rPr>
          <w:rFonts w:asciiTheme="minorHAnsi" w:hAnsiTheme="minorHAnsi"/>
          <w:szCs w:val="20"/>
        </w:rPr>
        <w:t xml:space="preserve"> government</w:t>
      </w:r>
      <w:r w:rsidR="00890AAC" w:rsidRPr="00D920C9">
        <w:rPr>
          <w:rFonts w:asciiTheme="minorHAnsi" w:hAnsiTheme="minorHAnsi"/>
          <w:szCs w:val="20"/>
        </w:rPr>
        <w:t>s</w:t>
      </w:r>
      <w:r w:rsidRPr="00D920C9">
        <w:rPr>
          <w:rFonts w:asciiTheme="minorHAnsi" w:hAnsiTheme="minorHAnsi"/>
          <w:szCs w:val="20"/>
        </w:rPr>
        <w:t>—federal, state, and local—</w:t>
      </w:r>
      <w:r w:rsidR="00890AAC" w:rsidRPr="00D920C9">
        <w:rPr>
          <w:rFonts w:asciiTheme="minorHAnsi" w:hAnsiTheme="minorHAnsi"/>
          <w:szCs w:val="20"/>
        </w:rPr>
        <w:t>and, in general, all the structures through which public power is exercised, to ensure the full enjoyment of human rights of all persons subject to their jurisdiction</w:t>
      </w:r>
      <w:r w:rsidRPr="00D920C9">
        <w:rPr>
          <w:rFonts w:asciiTheme="minorHAnsi" w:hAnsiTheme="minorHAnsi"/>
          <w:szCs w:val="20"/>
        </w:rPr>
        <w:t>.</w:t>
      </w:r>
      <w:r w:rsidR="002963FF" w:rsidRPr="00D920C9">
        <w:rPr>
          <w:rStyle w:val="FootnoteReference"/>
          <w:rFonts w:asciiTheme="minorHAnsi" w:hAnsiTheme="minorHAnsi"/>
          <w:szCs w:val="20"/>
        </w:rPr>
        <w:footnoteReference w:id="469"/>
      </w:r>
      <w:bookmarkEnd w:id="174"/>
    </w:p>
    <w:p w14:paraId="27C90EE3" w14:textId="1E2A3727" w:rsidR="00B4412C" w:rsidRPr="00D920C9" w:rsidRDefault="002C70C0" w:rsidP="00226E45">
      <w:pPr>
        <w:pStyle w:val="Heading3"/>
        <w:numPr>
          <w:ilvl w:val="0"/>
          <w:numId w:val="44"/>
        </w:numPr>
        <w:ind w:left="547" w:hanging="547"/>
      </w:pPr>
      <w:bookmarkStart w:id="175" w:name="_Toc511837833"/>
      <w:bookmarkStart w:id="176" w:name="_Toc511903006"/>
      <w:bookmarkStart w:id="177" w:name="_Toc517687935"/>
      <w:r w:rsidRPr="00D920C9">
        <w:t>Domestic L</w:t>
      </w:r>
      <w:r w:rsidR="00B4412C" w:rsidRPr="00D920C9">
        <w:t xml:space="preserve">egal </w:t>
      </w:r>
      <w:r w:rsidR="003A6706" w:rsidRPr="00D920C9">
        <w:t xml:space="preserve">Framework Governing Use </w:t>
      </w:r>
      <w:r w:rsidR="00B4412C" w:rsidRPr="00D920C9">
        <w:t xml:space="preserve">of </w:t>
      </w:r>
      <w:r w:rsidR="003A6706" w:rsidRPr="00D920C9">
        <w:t>Force</w:t>
      </w:r>
      <w:bookmarkEnd w:id="175"/>
      <w:bookmarkEnd w:id="176"/>
      <w:bookmarkEnd w:id="177"/>
    </w:p>
    <w:p w14:paraId="674CEEE8" w14:textId="472E93D8" w:rsidR="0065599A" w:rsidRPr="00D920C9" w:rsidRDefault="0065599A" w:rsidP="00E86698">
      <w:pPr>
        <w:pStyle w:val="ListParagraph"/>
        <w:numPr>
          <w:ilvl w:val="0"/>
          <w:numId w:val="9"/>
        </w:numPr>
        <w:spacing w:after="240" w:line="240" w:lineRule="auto"/>
        <w:ind w:left="547" w:hanging="547"/>
        <w:contextualSpacing w:val="0"/>
        <w:jc w:val="both"/>
        <w:rPr>
          <w:rFonts w:asciiTheme="minorHAnsi" w:hAnsiTheme="minorHAnsi"/>
        </w:rPr>
      </w:pPr>
      <w:bookmarkStart w:id="178" w:name="_Ref507675769"/>
      <w:r w:rsidRPr="00D920C9">
        <w:rPr>
          <w:rFonts w:asciiTheme="minorHAnsi" w:eastAsia="Times New Roman" w:hAnsiTheme="minorHAnsi"/>
          <w:szCs w:val="20"/>
          <w:lang w:eastAsia="es-ES"/>
        </w:rPr>
        <w:t>International bodies have repeatedly noted that the United States’ legal framework for use of force does not comply with international law, and have called for compliance with the</w:t>
      </w:r>
      <w:r w:rsidR="00352483" w:rsidRPr="00D920C9">
        <w:rPr>
          <w:rFonts w:asciiTheme="minorHAnsi" w:eastAsia="Times New Roman" w:hAnsiTheme="minorHAnsi"/>
          <w:szCs w:val="20"/>
          <w:lang w:eastAsia="es-ES"/>
        </w:rPr>
        <w:t xml:space="preserve"> U.N. </w:t>
      </w:r>
      <w:r w:rsidRPr="00D920C9">
        <w:rPr>
          <w:rFonts w:asciiTheme="minorHAnsi" w:eastAsia="Times New Roman" w:hAnsiTheme="minorHAnsi"/>
          <w:szCs w:val="20"/>
          <w:lang w:eastAsia="es-ES"/>
        </w:rPr>
        <w:t>Basic Principles.</w:t>
      </w:r>
      <w:r w:rsidRPr="00D920C9">
        <w:rPr>
          <w:rStyle w:val="FootnoteReference"/>
          <w:rFonts w:asciiTheme="minorHAnsi" w:eastAsia="Times New Roman" w:hAnsiTheme="minorHAnsi"/>
          <w:szCs w:val="20"/>
          <w:lang w:eastAsia="es-ES"/>
        </w:rPr>
        <w:footnoteReference w:id="470"/>
      </w:r>
      <w:r w:rsidRPr="00D920C9">
        <w:rPr>
          <w:rFonts w:asciiTheme="minorHAnsi" w:eastAsia="Times New Roman" w:hAnsiTheme="minorHAnsi"/>
          <w:szCs w:val="20"/>
          <w:lang w:eastAsia="es-ES"/>
        </w:rPr>
        <w:t xml:space="preserve"> </w:t>
      </w:r>
      <w:r w:rsidR="00DE44CE" w:rsidRPr="00D920C9">
        <w:rPr>
          <w:rFonts w:asciiTheme="minorHAnsi" w:eastAsia="Times New Roman" w:hAnsiTheme="minorHAnsi"/>
          <w:szCs w:val="20"/>
          <w:lang w:eastAsia="es-ES"/>
        </w:rPr>
        <w:t xml:space="preserve">The Inter-American </w:t>
      </w:r>
      <w:r w:rsidR="00DE44CE" w:rsidRPr="00D920C9">
        <w:rPr>
          <w:rFonts w:asciiTheme="minorHAnsi" w:hAnsiTheme="minorHAnsi"/>
        </w:rPr>
        <w:t>Commission reiterates this call to bring the U</w:t>
      </w:r>
      <w:r w:rsidR="00352483" w:rsidRPr="00D920C9">
        <w:rPr>
          <w:rFonts w:asciiTheme="minorHAnsi" w:hAnsiTheme="minorHAnsi"/>
        </w:rPr>
        <w:t>.</w:t>
      </w:r>
      <w:r w:rsidR="00DE44CE" w:rsidRPr="00D920C9">
        <w:rPr>
          <w:rFonts w:asciiTheme="minorHAnsi" w:hAnsiTheme="minorHAnsi"/>
        </w:rPr>
        <w:t>S</w:t>
      </w:r>
      <w:r w:rsidR="00352483" w:rsidRPr="00D920C9">
        <w:rPr>
          <w:rFonts w:asciiTheme="minorHAnsi" w:hAnsiTheme="minorHAnsi"/>
        </w:rPr>
        <w:t>.</w:t>
      </w:r>
      <w:r w:rsidR="00F97B50" w:rsidRPr="00D920C9">
        <w:rPr>
          <w:rFonts w:asciiTheme="minorHAnsi" w:hAnsiTheme="minorHAnsi"/>
        </w:rPr>
        <w:t xml:space="preserve">’ domestic law in </w:t>
      </w:r>
      <w:r w:rsidR="00DE44CE" w:rsidRPr="00D920C9">
        <w:rPr>
          <w:rFonts w:asciiTheme="minorHAnsi" w:hAnsiTheme="minorHAnsi"/>
        </w:rPr>
        <w:t>line with international law governing the use of force.</w:t>
      </w:r>
      <w:bookmarkEnd w:id="178"/>
    </w:p>
    <w:p w14:paraId="0A022BFE" w14:textId="29565E52" w:rsidR="0065599A" w:rsidRPr="00D920C9" w:rsidRDefault="003B7CBA" w:rsidP="00E86698">
      <w:pPr>
        <w:pStyle w:val="ListParagraph"/>
        <w:numPr>
          <w:ilvl w:val="0"/>
          <w:numId w:val="9"/>
        </w:numPr>
        <w:spacing w:after="240" w:line="240" w:lineRule="auto"/>
        <w:ind w:left="547" w:hanging="547"/>
        <w:contextualSpacing w:val="0"/>
        <w:jc w:val="both"/>
        <w:rPr>
          <w:rFonts w:asciiTheme="minorHAnsi" w:eastAsia="Times New Roman" w:hAnsiTheme="minorHAnsi"/>
          <w:szCs w:val="20"/>
          <w:lang w:eastAsia="es-ES"/>
        </w:rPr>
      </w:pPr>
      <w:r w:rsidRPr="00D920C9">
        <w:rPr>
          <w:rFonts w:asciiTheme="minorHAnsi" w:hAnsiTheme="minorHAnsi"/>
        </w:rPr>
        <w:t>T</w:t>
      </w:r>
      <w:r w:rsidR="00D70F37" w:rsidRPr="00D920C9">
        <w:rPr>
          <w:rFonts w:asciiTheme="minorHAnsi" w:hAnsiTheme="minorHAnsi"/>
        </w:rPr>
        <w:t xml:space="preserve">he </w:t>
      </w:r>
      <w:r w:rsidR="00352483" w:rsidRPr="00D920C9">
        <w:rPr>
          <w:rFonts w:asciiTheme="minorHAnsi" w:hAnsiTheme="minorHAnsi"/>
        </w:rPr>
        <w:t>U.S.</w:t>
      </w:r>
      <w:r w:rsidR="00D70F37" w:rsidRPr="00D920C9">
        <w:rPr>
          <w:rFonts w:asciiTheme="minorHAnsi" w:hAnsiTheme="minorHAnsi"/>
        </w:rPr>
        <w:t xml:space="preserve"> Supreme Court has established </w:t>
      </w:r>
      <w:r w:rsidR="00907F77" w:rsidRPr="00D920C9">
        <w:rPr>
          <w:rFonts w:asciiTheme="minorHAnsi" w:hAnsiTheme="minorHAnsi"/>
        </w:rPr>
        <w:t xml:space="preserve">in a series of cases that </w:t>
      </w:r>
      <w:r w:rsidR="00D70F37" w:rsidRPr="00D920C9">
        <w:rPr>
          <w:rFonts w:asciiTheme="minorHAnsi" w:hAnsiTheme="minorHAnsi"/>
        </w:rPr>
        <w:t xml:space="preserve">the Constitutional </w:t>
      </w:r>
      <w:r w:rsidRPr="00D920C9">
        <w:rPr>
          <w:rFonts w:asciiTheme="minorHAnsi" w:hAnsiTheme="minorHAnsi"/>
        </w:rPr>
        <w:t xml:space="preserve">standard for use of force </w:t>
      </w:r>
      <w:r w:rsidR="00907F77" w:rsidRPr="00D920C9">
        <w:rPr>
          <w:rFonts w:asciiTheme="minorHAnsi" w:hAnsiTheme="minorHAnsi"/>
        </w:rPr>
        <w:t>is</w:t>
      </w:r>
      <w:r w:rsidR="00D70F37" w:rsidRPr="00D920C9">
        <w:rPr>
          <w:rFonts w:asciiTheme="minorHAnsi" w:hAnsiTheme="minorHAnsi"/>
        </w:rPr>
        <w:t xml:space="preserve"> one of “reasonableness</w:t>
      </w:r>
      <w:r w:rsidRPr="00D920C9">
        <w:rPr>
          <w:rFonts w:asciiTheme="minorHAnsi" w:hAnsiTheme="minorHAnsi"/>
        </w:rPr>
        <w:t>,</w:t>
      </w:r>
      <w:r w:rsidR="00D70F37" w:rsidRPr="00D920C9">
        <w:rPr>
          <w:rFonts w:asciiTheme="minorHAnsi" w:hAnsiTheme="minorHAnsi"/>
        </w:rPr>
        <w:t xml:space="preserve">” </w:t>
      </w:r>
      <w:r w:rsidR="00907F77" w:rsidRPr="00D920C9">
        <w:rPr>
          <w:rFonts w:asciiTheme="minorHAnsi" w:hAnsiTheme="minorHAnsi"/>
        </w:rPr>
        <w:t xml:space="preserve">without </w:t>
      </w:r>
      <w:r w:rsidR="00DE44CE" w:rsidRPr="00D920C9">
        <w:rPr>
          <w:rFonts w:asciiTheme="minorHAnsi" w:hAnsiTheme="minorHAnsi"/>
        </w:rPr>
        <w:t xml:space="preserve">distinguishing between the use of lethal and non-lethal force, and without clearly establishing </w:t>
      </w:r>
      <w:r w:rsidR="00910DA6" w:rsidRPr="00D920C9">
        <w:rPr>
          <w:rFonts w:asciiTheme="minorHAnsi" w:hAnsiTheme="minorHAnsi"/>
        </w:rPr>
        <w:t>absolute</w:t>
      </w:r>
      <w:r w:rsidR="007A45D9" w:rsidRPr="00D920C9">
        <w:rPr>
          <w:rFonts w:asciiTheme="minorHAnsi" w:hAnsiTheme="minorHAnsi"/>
        </w:rPr>
        <w:t xml:space="preserve"> </w:t>
      </w:r>
      <w:r w:rsidR="00DE44CE" w:rsidRPr="00D920C9">
        <w:rPr>
          <w:rFonts w:asciiTheme="minorHAnsi" w:hAnsiTheme="minorHAnsi"/>
        </w:rPr>
        <w:t>necessity, and proportionality as guiding principles</w:t>
      </w:r>
      <w:r w:rsidR="00D70F37" w:rsidRPr="00D920C9">
        <w:rPr>
          <w:rFonts w:asciiTheme="minorHAnsi" w:hAnsiTheme="minorHAnsi"/>
        </w:rPr>
        <w:t>.</w:t>
      </w:r>
      <w:r w:rsidR="00D70F37" w:rsidRPr="00D920C9">
        <w:rPr>
          <w:rFonts w:asciiTheme="minorHAnsi" w:hAnsiTheme="minorHAnsi"/>
          <w:vertAlign w:val="superscript"/>
        </w:rPr>
        <w:footnoteReference w:id="471"/>
      </w:r>
      <w:r w:rsidR="00DE44CE" w:rsidRPr="00D920C9">
        <w:rPr>
          <w:rFonts w:asciiTheme="minorHAnsi" w:hAnsiTheme="minorHAnsi"/>
        </w:rPr>
        <w:t xml:space="preserve"> Among other things, this precludes the application of the strict proportionality test to the use of lethal force, as required by the</w:t>
      </w:r>
      <w:r w:rsidR="00352483" w:rsidRPr="00D920C9">
        <w:rPr>
          <w:rFonts w:asciiTheme="minorHAnsi" w:hAnsiTheme="minorHAnsi"/>
        </w:rPr>
        <w:t xml:space="preserve"> U.N. </w:t>
      </w:r>
      <w:r w:rsidR="00DE44CE" w:rsidRPr="00D920C9">
        <w:rPr>
          <w:rFonts w:asciiTheme="minorHAnsi" w:hAnsiTheme="minorHAnsi"/>
        </w:rPr>
        <w:t>Basic Principles.</w:t>
      </w:r>
      <w:r w:rsidR="00DE44CE" w:rsidRPr="00D920C9">
        <w:rPr>
          <w:rFonts w:asciiTheme="minorHAnsi" w:hAnsiTheme="minorHAnsi"/>
          <w:vertAlign w:val="superscript"/>
        </w:rPr>
        <w:footnoteReference w:id="472"/>
      </w:r>
      <w:r w:rsidR="00FC1912" w:rsidRPr="00D920C9">
        <w:rPr>
          <w:rFonts w:asciiTheme="minorHAnsi" w:hAnsiTheme="minorHAnsi"/>
        </w:rPr>
        <w:t xml:space="preserve"> In particular</w:t>
      </w:r>
      <w:r w:rsidR="00394B2D" w:rsidRPr="00D920C9">
        <w:rPr>
          <w:rFonts w:asciiTheme="minorHAnsi" w:hAnsiTheme="minorHAnsi"/>
        </w:rPr>
        <w:t xml:space="preserve">, </w:t>
      </w:r>
      <w:r w:rsidR="00DE44CE" w:rsidRPr="00D920C9">
        <w:rPr>
          <w:rFonts w:asciiTheme="minorHAnsi" w:hAnsiTheme="minorHAnsi"/>
        </w:rPr>
        <w:t>t</w:t>
      </w:r>
      <w:r w:rsidR="0065599A" w:rsidRPr="00D920C9">
        <w:rPr>
          <w:rFonts w:asciiTheme="minorHAnsi" w:hAnsiTheme="minorHAnsi"/>
        </w:rPr>
        <w:t>he Supreme Court case</w:t>
      </w:r>
      <w:r w:rsidR="00B4412C" w:rsidRPr="00D920C9">
        <w:rPr>
          <w:rFonts w:asciiTheme="minorHAnsi" w:hAnsiTheme="minorHAnsi"/>
        </w:rPr>
        <w:t xml:space="preserve"> Tennessee v. Garne</w:t>
      </w:r>
      <w:r w:rsidR="0065599A" w:rsidRPr="00D920C9">
        <w:rPr>
          <w:rFonts w:asciiTheme="minorHAnsi" w:hAnsiTheme="minorHAnsi"/>
        </w:rPr>
        <w:t xml:space="preserve">r </w:t>
      </w:r>
      <w:r w:rsidR="00DE44CE" w:rsidRPr="00D920C9">
        <w:rPr>
          <w:rFonts w:asciiTheme="minorHAnsi" w:hAnsiTheme="minorHAnsi"/>
        </w:rPr>
        <w:t>addressed</w:t>
      </w:r>
      <w:r w:rsidR="00B4412C" w:rsidRPr="00D920C9">
        <w:rPr>
          <w:rFonts w:asciiTheme="minorHAnsi" w:hAnsiTheme="minorHAnsi"/>
        </w:rPr>
        <w:t xml:space="preserve"> the constitutionality of the use of deadly force to prevent the escape of an apparently unarmed suspected felon. The court concluded that deadly force “may not be used unless it is necessary to prevent the escape and the officer has probable cause to believe that the suspect poses </w:t>
      </w:r>
      <w:r w:rsidR="00B4412C" w:rsidRPr="00D920C9">
        <w:rPr>
          <w:rFonts w:asciiTheme="minorHAnsi" w:hAnsiTheme="minorHAnsi"/>
        </w:rPr>
        <w:lastRenderedPageBreak/>
        <w:t>a significant</w:t>
      </w:r>
      <w:r w:rsidR="00B4412C" w:rsidRPr="00D920C9">
        <w:rPr>
          <w:rFonts w:asciiTheme="minorHAnsi" w:hAnsiTheme="minorHAnsi"/>
          <w:szCs w:val="20"/>
        </w:rPr>
        <w:t xml:space="preserve"> threat of death or serious physical injury to the officer or others.”</w:t>
      </w:r>
      <w:r w:rsidR="00B4412C" w:rsidRPr="00D920C9">
        <w:rPr>
          <w:rStyle w:val="FootnoteReference"/>
          <w:rFonts w:asciiTheme="minorHAnsi" w:hAnsiTheme="minorHAnsi"/>
          <w:szCs w:val="20"/>
        </w:rPr>
        <w:footnoteReference w:id="473"/>
      </w:r>
      <w:r w:rsidR="00B4412C" w:rsidRPr="00D920C9">
        <w:rPr>
          <w:rFonts w:asciiTheme="minorHAnsi" w:hAnsiTheme="minorHAnsi"/>
          <w:szCs w:val="20"/>
        </w:rPr>
        <w:t xml:space="preserve"> </w:t>
      </w:r>
      <w:r w:rsidR="0065599A" w:rsidRPr="00D920C9">
        <w:rPr>
          <w:rFonts w:asciiTheme="minorHAnsi" w:eastAsia="Times New Roman" w:hAnsiTheme="minorHAnsi"/>
          <w:szCs w:val="20"/>
        </w:rPr>
        <w:t xml:space="preserve">Subsequently, the Supreme Court held in </w:t>
      </w:r>
      <w:r w:rsidR="0065599A" w:rsidRPr="00D920C9">
        <w:rPr>
          <w:rFonts w:asciiTheme="minorHAnsi" w:eastAsia="Times New Roman" w:hAnsiTheme="minorHAnsi"/>
          <w:i/>
          <w:szCs w:val="20"/>
        </w:rPr>
        <w:t>Graham v. Connor</w:t>
      </w:r>
      <w:r w:rsidR="0065599A" w:rsidRPr="00D920C9">
        <w:rPr>
          <w:rFonts w:asciiTheme="minorHAnsi" w:eastAsia="Times New Roman" w:hAnsiTheme="minorHAnsi"/>
          <w:szCs w:val="20"/>
        </w:rPr>
        <w:t xml:space="preserve"> that </w:t>
      </w:r>
      <w:r w:rsidR="001869CA" w:rsidRPr="00D920C9">
        <w:rPr>
          <w:rFonts w:asciiTheme="minorHAnsi" w:eastAsia="Times New Roman" w:hAnsiTheme="minorHAnsi"/>
          <w:szCs w:val="20"/>
        </w:rPr>
        <w:t>the “reasonableness” inquiry</w:t>
      </w:r>
      <w:r w:rsidR="00907F77" w:rsidRPr="00D920C9">
        <w:rPr>
          <w:rFonts w:asciiTheme="minorHAnsi" w:eastAsia="Times New Roman" w:hAnsiTheme="minorHAnsi"/>
          <w:szCs w:val="20"/>
        </w:rPr>
        <w:t xml:space="preserve"> required under </w:t>
      </w:r>
      <w:r w:rsidR="00907F77" w:rsidRPr="00D920C9">
        <w:rPr>
          <w:rFonts w:asciiTheme="minorHAnsi" w:eastAsia="Times New Roman" w:hAnsiTheme="minorHAnsi"/>
          <w:i/>
          <w:szCs w:val="20"/>
        </w:rPr>
        <w:t>Garner</w:t>
      </w:r>
      <w:r w:rsidR="003309FE" w:rsidRPr="00D920C9">
        <w:rPr>
          <w:rFonts w:asciiTheme="minorHAnsi" w:eastAsia="Times New Roman" w:hAnsiTheme="minorHAnsi"/>
          <w:szCs w:val="20"/>
        </w:rPr>
        <w:t xml:space="preserve"> looks to the</w:t>
      </w:r>
      <w:r w:rsidR="00907F77" w:rsidRPr="00D920C9">
        <w:rPr>
          <w:rFonts w:asciiTheme="minorHAnsi" w:eastAsia="Times New Roman" w:hAnsiTheme="minorHAnsi"/>
          <w:szCs w:val="20"/>
        </w:rPr>
        <w:t xml:space="preserve"> objective reasonableness of use of force under the circumstances, without regard to the officer’s subjective motives or intention.</w:t>
      </w:r>
      <w:r w:rsidR="00907F77" w:rsidRPr="00D920C9">
        <w:rPr>
          <w:rStyle w:val="FootnoteReference"/>
          <w:rFonts w:asciiTheme="minorHAnsi" w:eastAsia="Times New Roman" w:hAnsiTheme="minorHAnsi"/>
          <w:szCs w:val="20"/>
        </w:rPr>
        <w:footnoteReference w:id="474"/>
      </w:r>
      <w:r w:rsidR="00907F77" w:rsidRPr="00D920C9">
        <w:rPr>
          <w:rFonts w:asciiTheme="minorHAnsi" w:eastAsia="Times New Roman" w:hAnsiTheme="minorHAnsi"/>
          <w:szCs w:val="20"/>
        </w:rPr>
        <w:t xml:space="preserve"> It “requires careful attention to the facts and circumstances of each particular case, including the severity of the crime at issue, whether the suspect poses an immediate threat to the safety of the officers or of others, and whether he is actively resisting arrest or attempting to evade arrest by flight.”</w:t>
      </w:r>
      <w:r w:rsidR="00907F77" w:rsidRPr="00D920C9">
        <w:rPr>
          <w:rStyle w:val="FootnoteReference"/>
          <w:rFonts w:asciiTheme="minorHAnsi" w:eastAsia="Times New Roman" w:hAnsiTheme="minorHAnsi"/>
          <w:szCs w:val="20"/>
        </w:rPr>
        <w:footnoteReference w:id="475"/>
      </w:r>
      <w:r w:rsidR="00907F77" w:rsidRPr="00D920C9">
        <w:rPr>
          <w:rFonts w:asciiTheme="minorHAnsi" w:eastAsia="Times New Roman" w:hAnsiTheme="minorHAnsi"/>
          <w:szCs w:val="20"/>
        </w:rPr>
        <w:t xml:space="preserve"> Significantly, this analysis does not require differentiation between the use of lethal and non-lethal force, and does not identify the elements of necessity and proportionality. </w:t>
      </w:r>
      <w:r w:rsidR="00D44603" w:rsidRPr="00D920C9">
        <w:rPr>
          <w:rFonts w:asciiTheme="minorHAnsi" w:eastAsia="Times New Roman" w:hAnsiTheme="minorHAnsi"/>
          <w:szCs w:val="20"/>
        </w:rPr>
        <w:t>The Court subsequently clarified in</w:t>
      </w:r>
      <w:r w:rsidR="00907F77" w:rsidRPr="00D920C9">
        <w:rPr>
          <w:rFonts w:asciiTheme="minorHAnsi" w:eastAsia="Times New Roman" w:hAnsiTheme="minorHAnsi"/>
          <w:szCs w:val="20"/>
        </w:rPr>
        <w:t xml:space="preserve"> </w:t>
      </w:r>
      <w:r w:rsidR="00907F77" w:rsidRPr="00D920C9">
        <w:rPr>
          <w:rFonts w:asciiTheme="minorHAnsi" w:eastAsia="Times New Roman" w:hAnsiTheme="minorHAnsi"/>
          <w:i/>
          <w:szCs w:val="20"/>
        </w:rPr>
        <w:t>Scott v. Harris</w:t>
      </w:r>
      <w:r w:rsidR="00907F77" w:rsidRPr="00D920C9">
        <w:rPr>
          <w:rFonts w:asciiTheme="minorHAnsi" w:eastAsia="Times New Roman" w:hAnsiTheme="minorHAnsi"/>
          <w:szCs w:val="20"/>
        </w:rPr>
        <w:t xml:space="preserve"> that “</w:t>
      </w:r>
      <w:r w:rsidR="00907F77" w:rsidRPr="00D920C9">
        <w:rPr>
          <w:rFonts w:asciiTheme="minorHAnsi" w:eastAsia="Times New Roman" w:hAnsiTheme="minorHAnsi"/>
          <w:i/>
          <w:szCs w:val="20"/>
        </w:rPr>
        <w:t xml:space="preserve">Garner </w:t>
      </w:r>
      <w:r w:rsidR="00907F77" w:rsidRPr="00D920C9">
        <w:rPr>
          <w:rFonts w:asciiTheme="minorHAnsi" w:eastAsia="Times New Roman" w:hAnsiTheme="minorHAnsi"/>
          <w:szCs w:val="20"/>
        </w:rPr>
        <w:t>did not establish a magical on/off switch that triggers rigid preconditions whenever an officer’s actions constitute ‘deadly force.’”</w:t>
      </w:r>
      <w:r w:rsidR="00907F77" w:rsidRPr="00D920C9">
        <w:rPr>
          <w:rStyle w:val="FootnoteReference"/>
          <w:rFonts w:asciiTheme="minorHAnsi" w:eastAsia="Times New Roman" w:hAnsiTheme="minorHAnsi"/>
          <w:szCs w:val="20"/>
        </w:rPr>
        <w:footnoteReference w:id="476"/>
      </w:r>
      <w:r w:rsidR="00907F77" w:rsidRPr="00D920C9">
        <w:rPr>
          <w:rFonts w:asciiTheme="minorHAnsi" w:eastAsia="Times New Roman" w:hAnsiTheme="minorHAnsi"/>
          <w:szCs w:val="20"/>
        </w:rPr>
        <w:t xml:space="preserve"> The failure to apply different standards to the use of lethal versus non-lethal force clearly runs contrary to the</w:t>
      </w:r>
      <w:r w:rsidR="00352483" w:rsidRPr="00D920C9">
        <w:rPr>
          <w:rFonts w:asciiTheme="minorHAnsi" w:eastAsia="Times New Roman" w:hAnsiTheme="minorHAnsi"/>
          <w:szCs w:val="20"/>
        </w:rPr>
        <w:t xml:space="preserve"> U.N. </w:t>
      </w:r>
      <w:r w:rsidR="00907F77" w:rsidRPr="00D920C9">
        <w:rPr>
          <w:rFonts w:asciiTheme="minorHAnsi" w:eastAsia="Times New Roman" w:hAnsiTheme="minorHAnsi"/>
          <w:szCs w:val="20"/>
        </w:rPr>
        <w:t>Basic Principles</w:t>
      </w:r>
      <w:r w:rsidR="00947EAE" w:rsidRPr="00D920C9">
        <w:rPr>
          <w:rFonts w:asciiTheme="minorHAnsi" w:eastAsia="Times New Roman" w:hAnsiTheme="minorHAnsi"/>
          <w:szCs w:val="20"/>
        </w:rPr>
        <w:t xml:space="preserve"> and the standards of the inter-American human rights system</w:t>
      </w:r>
      <w:r w:rsidR="00907F77" w:rsidRPr="00D920C9">
        <w:rPr>
          <w:rFonts w:asciiTheme="minorHAnsi" w:eastAsia="Times New Roman" w:hAnsiTheme="minorHAnsi"/>
          <w:szCs w:val="20"/>
        </w:rPr>
        <w:t>.</w:t>
      </w:r>
      <w:r w:rsidR="00907F77" w:rsidRPr="00D920C9">
        <w:rPr>
          <w:rStyle w:val="FootnoteReference"/>
          <w:rFonts w:asciiTheme="minorHAnsi" w:eastAsia="Times New Roman" w:hAnsiTheme="minorHAnsi"/>
          <w:szCs w:val="20"/>
        </w:rPr>
        <w:footnoteReference w:id="477"/>
      </w:r>
    </w:p>
    <w:p w14:paraId="105E6287" w14:textId="5174479D" w:rsidR="00B4412C" w:rsidRPr="00D920C9" w:rsidRDefault="00B4412C"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eastAsia="Times New Roman" w:hAnsiTheme="minorHAnsi"/>
          <w:szCs w:val="20"/>
          <w:lang w:eastAsia="es-ES"/>
        </w:rPr>
        <w:t xml:space="preserve"> Information received by the Commission indicates that U</w:t>
      </w:r>
      <w:r w:rsidR="00125C81" w:rsidRPr="00D920C9">
        <w:rPr>
          <w:rFonts w:asciiTheme="minorHAnsi" w:eastAsia="Times New Roman" w:hAnsiTheme="minorHAnsi"/>
          <w:szCs w:val="20"/>
          <w:lang w:eastAsia="es-ES"/>
        </w:rPr>
        <w:t>.</w:t>
      </w:r>
      <w:r w:rsidRPr="00D920C9">
        <w:rPr>
          <w:rFonts w:asciiTheme="minorHAnsi" w:eastAsia="Times New Roman" w:hAnsiTheme="minorHAnsi"/>
          <w:szCs w:val="20"/>
          <w:lang w:eastAsia="es-ES"/>
        </w:rPr>
        <w:t>S</w:t>
      </w:r>
      <w:r w:rsidR="00125C81" w:rsidRPr="00D920C9">
        <w:rPr>
          <w:rFonts w:asciiTheme="minorHAnsi" w:eastAsia="Times New Roman" w:hAnsiTheme="minorHAnsi"/>
          <w:szCs w:val="20"/>
          <w:lang w:eastAsia="es-ES"/>
        </w:rPr>
        <w:t>.</w:t>
      </w:r>
      <w:r w:rsidR="006567E3" w:rsidRPr="00D920C9">
        <w:rPr>
          <w:rFonts w:asciiTheme="minorHAnsi" w:eastAsia="Times New Roman" w:hAnsiTheme="minorHAnsi"/>
          <w:szCs w:val="20"/>
          <w:lang w:eastAsia="es-ES"/>
        </w:rPr>
        <w:t xml:space="preserve"> state</w:t>
      </w:r>
      <w:r w:rsidRPr="00D920C9">
        <w:rPr>
          <w:rFonts w:asciiTheme="minorHAnsi" w:eastAsia="Times New Roman" w:hAnsiTheme="minorHAnsi"/>
          <w:szCs w:val="20"/>
          <w:lang w:eastAsia="es-ES"/>
        </w:rPr>
        <w:t xml:space="preserve"> laws fail to meet international standards as well. For example, U</w:t>
      </w:r>
      <w:r w:rsidR="00125C81" w:rsidRPr="00D920C9">
        <w:rPr>
          <w:rFonts w:asciiTheme="minorHAnsi" w:eastAsia="Times New Roman" w:hAnsiTheme="minorHAnsi"/>
          <w:szCs w:val="20"/>
          <w:lang w:eastAsia="es-ES"/>
        </w:rPr>
        <w:t>.</w:t>
      </w:r>
      <w:r w:rsidRPr="00D920C9">
        <w:rPr>
          <w:rFonts w:asciiTheme="minorHAnsi" w:eastAsia="Times New Roman" w:hAnsiTheme="minorHAnsi"/>
          <w:szCs w:val="20"/>
          <w:lang w:eastAsia="es-ES"/>
        </w:rPr>
        <w:t>S</w:t>
      </w:r>
      <w:r w:rsidR="00125C81" w:rsidRPr="00D920C9">
        <w:rPr>
          <w:rFonts w:asciiTheme="minorHAnsi" w:eastAsia="Times New Roman" w:hAnsiTheme="minorHAnsi"/>
          <w:szCs w:val="20"/>
          <w:lang w:eastAsia="es-ES"/>
        </w:rPr>
        <w:t>.</w:t>
      </w:r>
      <w:r w:rsidRPr="00D920C9">
        <w:rPr>
          <w:rFonts w:asciiTheme="minorHAnsi" w:eastAsia="Times New Roman" w:hAnsiTheme="minorHAnsi"/>
          <w:szCs w:val="20"/>
          <w:lang w:eastAsia="es-ES"/>
        </w:rPr>
        <w:t xml:space="preserve"> laws do not include provisions requiring the use of non-violent means prior to resorting to the </w:t>
      </w:r>
      <w:r w:rsidRPr="00D920C9">
        <w:rPr>
          <w:rFonts w:asciiTheme="minorHAnsi" w:hAnsiTheme="minorHAnsi"/>
        </w:rPr>
        <w:t>use of force, requiring that lethal force be used as a last resort, or requiring that a warning be given prior to the use of lethal force.</w:t>
      </w:r>
      <w:r w:rsidRPr="00D920C9">
        <w:rPr>
          <w:rFonts w:asciiTheme="minorHAnsi" w:hAnsiTheme="minorHAnsi"/>
          <w:vertAlign w:val="superscript"/>
        </w:rPr>
        <w:footnoteReference w:id="478"/>
      </w:r>
      <w:r w:rsidRPr="00D920C9">
        <w:rPr>
          <w:rFonts w:asciiTheme="minorHAnsi" w:hAnsiTheme="minorHAnsi"/>
        </w:rPr>
        <w:t xml:space="preserve"> The Commission notes with concern that</w:t>
      </w:r>
      <w:r w:rsidR="003309FE" w:rsidRPr="00D920C9">
        <w:rPr>
          <w:rFonts w:asciiTheme="minorHAnsi" w:hAnsiTheme="minorHAnsi"/>
        </w:rPr>
        <w:t>,</w:t>
      </w:r>
      <w:r w:rsidRPr="00D920C9">
        <w:rPr>
          <w:rFonts w:asciiTheme="minorHAnsi" w:hAnsiTheme="minorHAnsi"/>
        </w:rPr>
        <w:t xml:space="preserve"> in general, state laws do not clearly and objectively define the situations in which the use of lethal force is authorized, and leave a </w:t>
      </w:r>
      <w:r w:rsidR="00FF46FD" w:rsidRPr="00D920C9">
        <w:rPr>
          <w:rFonts w:asciiTheme="minorHAnsi" w:hAnsiTheme="minorHAnsi"/>
        </w:rPr>
        <w:t>large</w:t>
      </w:r>
      <w:r w:rsidRPr="00D920C9">
        <w:rPr>
          <w:rFonts w:asciiTheme="minorHAnsi" w:hAnsiTheme="minorHAnsi"/>
        </w:rPr>
        <w:t xml:space="preserve"> margin of discretion to the understanding of police officers.</w:t>
      </w:r>
      <w:r w:rsidRPr="00D920C9">
        <w:rPr>
          <w:rFonts w:asciiTheme="minorHAnsi" w:hAnsiTheme="minorHAnsi"/>
          <w:vertAlign w:val="superscript"/>
        </w:rPr>
        <w:footnoteReference w:id="479"/>
      </w:r>
      <w:r w:rsidRPr="00D920C9">
        <w:rPr>
          <w:rFonts w:asciiTheme="minorHAnsi" w:hAnsiTheme="minorHAnsi"/>
        </w:rPr>
        <w:t xml:space="preserve"> </w:t>
      </w:r>
    </w:p>
    <w:p w14:paraId="0FF691D0" w14:textId="4F626CAB" w:rsidR="009B7EE9" w:rsidRPr="00D920C9" w:rsidRDefault="009B7EE9" w:rsidP="00E86698">
      <w:pPr>
        <w:pStyle w:val="ListParagraph"/>
        <w:numPr>
          <w:ilvl w:val="0"/>
          <w:numId w:val="9"/>
        </w:numPr>
        <w:spacing w:after="240" w:line="240" w:lineRule="auto"/>
        <w:ind w:left="547" w:hanging="547"/>
        <w:contextualSpacing w:val="0"/>
        <w:jc w:val="both"/>
        <w:rPr>
          <w:rFonts w:asciiTheme="minorHAnsi" w:eastAsia="Times New Roman" w:hAnsiTheme="minorHAnsi"/>
          <w:szCs w:val="20"/>
          <w:lang w:eastAsia="es-ES"/>
        </w:rPr>
      </w:pPr>
      <w:bookmarkStart w:id="179" w:name="_Ref507675772"/>
      <w:r w:rsidRPr="00D920C9">
        <w:rPr>
          <w:rFonts w:asciiTheme="minorHAnsi" w:hAnsiTheme="minorHAnsi"/>
        </w:rPr>
        <w:t xml:space="preserve">The Commission observes with concern that the failure of domestic use of force laws to comply with international standards fundamentally </w:t>
      </w:r>
      <w:r w:rsidR="00D1734A" w:rsidRPr="00D920C9">
        <w:rPr>
          <w:rFonts w:asciiTheme="minorHAnsi" w:hAnsiTheme="minorHAnsi"/>
        </w:rPr>
        <w:t>limits</w:t>
      </w:r>
      <w:r w:rsidRPr="00D920C9">
        <w:rPr>
          <w:rFonts w:asciiTheme="minorHAnsi" w:hAnsiTheme="minorHAnsi"/>
        </w:rPr>
        <w:t xml:space="preserve"> the possibility of effectively investigating, prosecuting, and punishing the excessive use of force by law enforcement agents.</w:t>
      </w:r>
      <w:r w:rsidRPr="00D920C9">
        <w:rPr>
          <w:rFonts w:asciiTheme="minorHAnsi" w:hAnsiTheme="minorHAnsi"/>
          <w:vertAlign w:val="superscript"/>
        </w:rPr>
        <w:footnoteReference w:id="480"/>
      </w:r>
      <w:r w:rsidRPr="00D920C9">
        <w:rPr>
          <w:rFonts w:asciiTheme="minorHAnsi" w:hAnsiTheme="minorHAnsi"/>
        </w:rPr>
        <w:t xml:space="preserve"> Where the law does not effectively prohibit the violation of internationally-recognized rights, it is similarly unable to </w:t>
      </w:r>
      <w:r w:rsidR="00D1734A" w:rsidRPr="00D920C9">
        <w:rPr>
          <w:rFonts w:asciiTheme="minorHAnsi" w:hAnsiTheme="minorHAnsi"/>
        </w:rPr>
        <w:t xml:space="preserve">later </w:t>
      </w:r>
      <w:r w:rsidRPr="00D920C9">
        <w:rPr>
          <w:rFonts w:asciiTheme="minorHAnsi" w:hAnsiTheme="minorHAnsi"/>
        </w:rPr>
        <w:t xml:space="preserve">declare the existence of and punish such </w:t>
      </w:r>
      <w:r w:rsidRPr="00D920C9">
        <w:rPr>
          <w:rFonts w:asciiTheme="minorHAnsi" w:hAnsiTheme="minorHAnsi"/>
        </w:rPr>
        <w:lastRenderedPageBreak/>
        <w:t>violations.</w:t>
      </w:r>
      <w:r w:rsidR="00A00DF4" w:rsidRPr="00D920C9">
        <w:rPr>
          <w:rFonts w:asciiTheme="minorHAnsi" w:hAnsiTheme="minorHAnsi"/>
          <w:vertAlign w:val="superscript"/>
        </w:rPr>
        <w:footnoteReference w:id="481"/>
      </w:r>
      <w:r w:rsidRPr="00D920C9">
        <w:rPr>
          <w:rFonts w:asciiTheme="minorHAnsi" w:hAnsiTheme="minorHAnsi"/>
        </w:rPr>
        <w:t xml:space="preserve"> </w:t>
      </w:r>
      <w:r w:rsidR="00A00DF4" w:rsidRPr="00D920C9">
        <w:rPr>
          <w:rFonts w:asciiTheme="minorHAnsi" w:hAnsiTheme="minorHAnsi"/>
        </w:rPr>
        <w:t>This may create a situation where there is no domestic remedy available for a</w:t>
      </w:r>
      <w:r w:rsidR="00A00DF4" w:rsidRPr="00D920C9">
        <w:rPr>
          <w:rFonts w:asciiTheme="minorHAnsi" w:eastAsia="Times New Roman" w:hAnsiTheme="minorHAnsi"/>
          <w:szCs w:val="20"/>
          <w:lang w:eastAsia="es-ES"/>
        </w:rPr>
        <w:t xml:space="preserve"> human rights violation. </w:t>
      </w:r>
      <w:r w:rsidRPr="00D920C9">
        <w:rPr>
          <w:rFonts w:asciiTheme="minorHAnsi" w:eastAsia="Times New Roman" w:hAnsiTheme="minorHAnsi"/>
          <w:szCs w:val="20"/>
          <w:lang w:eastAsia="es-ES"/>
        </w:rPr>
        <w:t xml:space="preserve">Given its fundamental importance </w:t>
      </w:r>
      <w:r w:rsidR="00A00DF4" w:rsidRPr="00D920C9">
        <w:rPr>
          <w:rFonts w:asciiTheme="minorHAnsi" w:eastAsia="Times New Roman" w:hAnsiTheme="minorHAnsi"/>
          <w:szCs w:val="20"/>
          <w:lang w:eastAsia="es-ES"/>
        </w:rPr>
        <w:t xml:space="preserve">for </w:t>
      </w:r>
      <w:r w:rsidR="009F40FB" w:rsidRPr="00D920C9">
        <w:rPr>
          <w:rFonts w:asciiTheme="minorHAnsi" w:eastAsia="Times New Roman" w:hAnsiTheme="minorHAnsi"/>
          <w:szCs w:val="20"/>
          <w:lang w:eastAsia="es-ES"/>
        </w:rPr>
        <w:t>prevention, investigation, prosecution, and punishment of excessive use of force, the Commission calls on the federal and state governments to urgently undertake to reform their laws governing the use of force to bring them in line with international standards, in order to comply with the principle of legality and in line with the</w:t>
      </w:r>
      <w:r w:rsidR="00352483" w:rsidRPr="00D920C9">
        <w:rPr>
          <w:rFonts w:asciiTheme="minorHAnsi" w:eastAsia="Times New Roman" w:hAnsiTheme="minorHAnsi"/>
          <w:szCs w:val="20"/>
          <w:lang w:eastAsia="es-ES"/>
        </w:rPr>
        <w:t xml:space="preserve"> U.N. </w:t>
      </w:r>
      <w:r w:rsidR="009F40FB" w:rsidRPr="00D920C9">
        <w:rPr>
          <w:rFonts w:asciiTheme="minorHAnsi" w:eastAsia="Times New Roman" w:hAnsiTheme="minorHAnsi"/>
          <w:szCs w:val="20"/>
          <w:lang w:eastAsia="es-ES"/>
        </w:rPr>
        <w:t>Basic Principles and the State’s obligations under the American Declaration.</w:t>
      </w:r>
      <w:bookmarkEnd w:id="179"/>
    </w:p>
    <w:p w14:paraId="3F8638BE" w14:textId="4E712A6A" w:rsidR="003B4D7F" w:rsidRPr="00D920C9" w:rsidRDefault="007151EF" w:rsidP="00226E45">
      <w:pPr>
        <w:pStyle w:val="Heading3"/>
        <w:numPr>
          <w:ilvl w:val="0"/>
          <w:numId w:val="44"/>
        </w:numPr>
        <w:ind w:left="547" w:hanging="547"/>
      </w:pPr>
      <w:bookmarkStart w:id="180" w:name="_Toc511837834"/>
      <w:bookmarkStart w:id="181" w:name="_Toc511903007"/>
      <w:bookmarkStart w:id="182" w:name="_Toc517687936"/>
      <w:r w:rsidRPr="00D920C9">
        <w:t xml:space="preserve">Institutional </w:t>
      </w:r>
      <w:r w:rsidR="003A6706" w:rsidRPr="00D920C9">
        <w:t xml:space="preserve">Reform </w:t>
      </w:r>
      <w:r w:rsidRPr="00D920C9">
        <w:t>and</w:t>
      </w:r>
      <w:r w:rsidR="00B4412C" w:rsidRPr="00D920C9">
        <w:t xml:space="preserve"> </w:t>
      </w:r>
      <w:r w:rsidR="003A6706" w:rsidRPr="00D920C9">
        <w:t xml:space="preserve">Guidelines </w:t>
      </w:r>
      <w:r w:rsidR="00B4412C" w:rsidRPr="00D920C9">
        <w:t xml:space="preserve">for </w:t>
      </w:r>
      <w:r w:rsidR="003A6706" w:rsidRPr="00D920C9">
        <w:t>Policing</w:t>
      </w:r>
      <w:bookmarkEnd w:id="180"/>
      <w:bookmarkEnd w:id="181"/>
      <w:bookmarkEnd w:id="182"/>
    </w:p>
    <w:p w14:paraId="1B3BA758" w14:textId="4C6BAB62" w:rsidR="007425E9" w:rsidRPr="00D920C9" w:rsidRDefault="007425E9"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The Commission notes that many issues relating to the excessive use of force by police may be </w:t>
      </w:r>
      <w:r w:rsidR="00FF46FD" w:rsidRPr="00D920C9">
        <w:rPr>
          <w:rFonts w:asciiTheme="minorHAnsi" w:hAnsiTheme="minorHAnsi"/>
          <w:szCs w:val="20"/>
        </w:rPr>
        <w:t>framed</w:t>
      </w:r>
      <w:r w:rsidRPr="00D920C9">
        <w:rPr>
          <w:rFonts w:asciiTheme="minorHAnsi" w:hAnsiTheme="minorHAnsi"/>
          <w:szCs w:val="20"/>
        </w:rPr>
        <w:t xml:space="preserve"> as a failure of the State to </w:t>
      </w:r>
      <w:r w:rsidRPr="00D920C9">
        <w:rPr>
          <w:rFonts w:asciiTheme="minorHAnsi" w:hAnsiTheme="minorHAnsi"/>
        </w:rPr>
        <w:t>prevent</w:t>
      </w:r>
      <w:r w:rsidRPr="00D920C9">
        <w:rPr>
          <w:rFonts w:asciiTheme="minorHAnsi" w:hAnsiTheme="minorHAnsi"/>
          <w:szCs w:val="20"/>
        </w:rPr>
        <w:t xml:space="preserve"> violations.</w:t>
      </w:r>
      <w:r w:rsidR="00FF46FD" w:rsidRPr="00D920C9">
        <w:rPr>
          <w:rStyle w:val="FootnoteReference"/>
          <w:rFonts w:asciiTheme="minorHAnsi" w:hAnsiTheme="minorHAnsi"/>
          <w:szCs w:val="20"/>
        </w:rPr>
        <w:footnoteReference w:id="482"/>
      </w:r>
      <w:r w:rsidRPr="00D920C9">
        <w:rPr>
          <w:rFonts w:asciiTheme="minorHAnsi" w:hAnsiTheme="minorHAnsi"/>
          <w:szCs w:val="20"/>
        </w:rPr>
        <w:t xml:space="preserve"> In this section, the Commission details some pertinent guidelines regarding the training and internal regulation of police forces intended to prevent the excessive use of force and thus protect individuals from cruel, inhuman, or degrading treatment or torture as well as arbitrary deprivations of the right to life.</w:t>
      </w:r>
    </w:p>
    <w:p w14:paraId="5A8FA37F" w14:textId="0BF66306" w:rsidR="00B4412C" w:rsidRPr="00D920C9" w:rsidRDefault="003B4D7F" w:rsidP="00226E45">
      <w:pPr>
        <w:pStyle w:val="Heading4"/>
        <w:keepNext w:val="0"/>
        <w:keepLines w:val="0"/>
        <w:numPr>
          <w:ilvl w:val="0"/>
          <w:numId w:val="37"/>
        </w:numPr>
        <w:ind w:left="547" w:hanging="547"/>
      </w:pPr>
      <w:bookmarkStart w:id="183" w:name="_Toc511837835"/>
      <w:bookmarkStart w:id="184" w:name="_Toc511903008"/>
      <w:bookmarkStart w:id="185" w:name="_Toc517687937"/>
      <w:r w:rsidRPr="00D920C9">
        <w:t xml:space="preserve">Hiring and </w:t>
      </w:r>
      <w:r w:rsidR="003A6706" w:rsidRPr="00D920C9">
        <w:t xml:space="preserve">Training </w:t>
      </w:r>
      <w:r w:rsidRPr="00D920C9">
        <w:t xml:space="preserve">of </w:t>
      </w:r>
      <w:r w:rsidR="003A6706" w:rsidRPr="00D920C9">
        <w:t>Police</w:t>
      </w:r>
      <w:bookmarkEnd w:id="183"/>
      <w:bookmarkEnd w:id="184"/>
      <w:bookmarkEnd w:id="185"/>
    </w:p>
    <w:p w14:paraId="538038BF" w14:textId="599AA6B7" w:rsidR="00765C8B" w:rsidRPr="00D920C9" w:rsidRDefault="00765C8B"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rPr>
        <w:t>The Inter-American Commission has previously observed the importance of proper police training and departmental policies for preventing the excessive use of force,</w:t>
      </w:r>
      <w:r w:rsidR="003309FE" w:rsidRPr="00D920C9">
        <w:rPr>
          <w:rFonts w:asciiTheme="minorHAnsi" w:hAnsiTheme="minorHAnsi"/>
          <w:szCs w:val="20"/>
        </w:rPr>
        <w:t xml:space="preserve"> indicating</w:t>
      </w:r>
      <w:r w:rsidR="00FC1912" w:rsidRPr="00D920C9">
        <w:rPr>
          <w:rFonts w:asciiTheme="minorHAnsi" w:hAnsiTheme="minorHAnsi"/>
          <w:szCs w:val="20"/>
        </w:rPr>
        <w:t xml:space="preserve"> </w:t>
      </w:r>
      <w:r w:rsidRPr="00D920C9">
        <w:rPr>
          <w:rFonts w:asciiTheme="minorHAnsi" w:hAnsiTheme="minorHAnsi"/>
          <w:szCs w:val="20"/>
        </w:rPr>
        <w:t xml:space="preserve">that States must “educate and train </w:t>
      </w:r>
      <w:r w:rsidRPr="00D920C9">
        <w:rPr>
          <w:rFonts w:asciiTheme="minorHAnsi" w:hAnsiTheme="minorHAnsi"/>
        </w:rPr>
        <w:t>the members of their armed forces and security agencies pursuant to the principles and provisions on protection of human rights and the limits to which the use of weapons by law enforcement officials is subject.”</w:t>
      </w:r>
      <w:r w:rsidRPr="00D920C9">
        <w:rPr>
          <w:rFonts w:asciiTheme="minorHAnsi" w:hAnsiTheme="minorHAnsi"/>
          <w:vertAlign w:val="superscript"/>
        </w:rPr>
        <w:footnoteReference w:id="483"/>
      </w:r>
      <w:r w:rsidRPr="00D920C9">
        <w:rPr>
          <w:rFonts w:asciiTheme="minorHAnsi" w:hAnsiTheme="minorHAnsi"/>
        </w:rPr>
        <w:t xml:space="preserve"> </w:t>
      </w:r>
    </w:p>
    <w:p w14:paraId="790DC9A8" w14:textId="77777777" w:rsidR="00765C8B" w:rsidRPr="00D920C9" w:rsidRDefault="00765C8B"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As a preliminary issue, it is important to have rigorous and transparent processes for selecting personnel, together with the offer of fair and competitive salaries and labor and social benefits that make it possible to </w:t>
      </w:r>
      <w:r w:rsidRPr="00D920C9">
        <w:rPr>
          <w:rFonts w:asciiTheme="minorHAnsi" w:hAnsiTheme="minorHAnsi"/>
        </w:rPr>
        <w:lastRenderedPageBreak/>
        <w:t xml:space="preserve">identify </w:t>
      </w:r>
      <w:r w:rsidR="00FF46FD" w:rsidRPr="00D920C9">
        <w:rPr>
          <w:rFonts w:asciiTheme="minorHAnsi" w:hAnsiTheme="minorHAnsi"/>
        </w:rPr>
        <w:t>and hire officers</w:t>
      </w:r>
      <w:r w:rsidRPr="00D920C9">
        <w:rPr>
          <w:rFonts w:asciiTheme="minorHAnsi" w:hAnsiTheme="minorHAnsi"/>
        </w:rPr>
        <w:t xml:space="preserve"> who “have appropriate moral, psychological and physical qualities for the effective exercise of their functions.”</w:t>
      </w:r>
      <w:r w:rsidRPr="00D920C9">
        <w:rPr>
          <w:rFonts w:asciiTheme="minorHAnsi" w:hAnsiTheme="minorHAnsi"/>
          <w:vertAlign w:val="superscript"/>
        </w:rPr>
        <w:footnoteReference w:id="484"/>
      </w:r>
      <w:r w:rsidRPr="00D920C9">
        <w:rPr>
          <w:rFonts w:asciiTheme="minorHAnsi" w:hAnsiTheme="minorHAnsi"/>
        </w:rPr>
        <w:t xml:space="preserve"> In this respect, the</w:t>
      </w:r>
      <w:r w:rsidR="00352483" w:rsidRPr="00D920C9">
        <w:rPr>
          <w:rFonts w:asciiTheme="minorHAnsi" w:hAnsiTheme="minorHAnsi"/>
        </w:rPr>
        <w:t xml:space="preserve"> U.N. </w:t>
      </w:r>
      <w:r w:rsidRPr="00D920C9">
        <w:rPr>
          <w:rFonts w:asciiTheme="minorHAnsi" w:hAnsiTheme="minorHAnsi"/>
        </w:rPr>
        <w:t>Basic Principles additionally require States to “ensure that all law enforcement officials are selected by proper screening procedures [...] and receive continuous and thorough professional training. Their continued fitness to perform these functions should be subject to periodic review.”</w:t>
      </w:r>
      <w:r w:rsidRPr="00D920C9">
        <w:rPr>
          <w:rFonts w:asciiTheme="minorHAnsi" w:hAnsiTheme="minorHAnsi"/>
          <w:vertAlign w:val="superscript"/>
        </w:rPr>
        <w:footnoteReference w:id="485"/>
      </w:r>
    </w:p>
    <w:p w14:paraId="20FE1CCE" w14:textId="77777777" w:rsidR="00765C8B" w:rsidRPr="00D920C9" w:rsidRDefault="000F6CA9" w:rsidP="00E86698">
      <w:pPr>
        <w:pStyle w:val="ListParagraph"/>
        <w:numPr>
          <w:ilvl w:val="0"/>
          <w:numId w:val="9"/>
        </w:numPr>
        <w:spacing w:after="240" w:line="240" w:lineRule="auto"/>
        <w:ind w:left="547" w:hanging="547"/>
        <w:contextualSpacing w:val="0"/>
        <w:jc w:val="both"/>
        <w:rPr>
          <w:rFonts w:asciiTheme="minorHAnsi" w:eastAsia="Times New Roman" w:hAnsiTheme="minorHAnsi"/>
          <w:szCs w:val="20"/>
        </w:rPr>
      </w:pPr>
      <w:r w:rsidRPr="00D920C9">
        <w:rPr>
          <w:rFonts w:asciiTheme="minorHAnsi" w:hAnsiTheme="minorHAnsi"/>
        </w:rPr>
        <w:t xml:space="preserve">Furthermore, the Basic Principles state that training shall focus </w:t>
      </w:r>
      <w:r w:rsidR="0098507B" w:rsidRPr="00D920C9">
        <w:rPr>
          <w:rFonts w:asciiTheme="minorHAnsi" w:hAnsiTheme="minorHAnsi"/>
        </w:rPr>
        <w:t xml:space="preserve">special attention </w:t>
      </w:r>
      <w:r w:rsidRPr="00D920C9">
        <w:rPr>
          <w:rFonts w:asciiTheme="minorHAnsi" w:hAnsiTheme="minorHAnsi"/>
        </w:rPr>
        <w:t>on</w:t>
      </w:r>
      <w:r w:rsidR="0098507B" w:rsidRPr="00D920C9">
        <w:rPr>
          <w:rFonts w:asciiTheme="minorHAnsi" w:hAnsiTheme="minorHAnsi"/>
        </w:rPr>
        <w:t xml:space="preserve"> </w:t>
      </w:r>
      <w:r w:rsidRPr="00D920C9">
        <w:rPr>
          <w:rFonts w:asciiTheme="minorHAnsi" w:hAnsiTheme="minorHAnsi"/>
        </w:rPr>
        <w:t>“</w:t>
      </w:r>
      <w:r w:rsidR="0098507B" w:rsidRPr="00D920C9">
        <w:rPr>
          <w:rFonts w:asciiTheme="minorHAnsi" w:hAnsiTheme="minorHAnsi"/>
        </w:rPr>
        <w:t xml:space="preserve">police ethics and human rights, especially in the investigative process, alternatives to the use of force and firearms, including the peaceful settlement of conflicts, the understanding of crowd </w:t>
      </w:r>
      <w:r w:rsidRPr="00D920C9">
        <w:rPr>
          <w:rFonts w:asciiTheme="minorHAnsi" w:hAnsiTheme="minorHAnsi"/>
        </w:rPr>
        <w:t>behavior</w:t>
      </w:r>
      <w:r w:rsidR="0098507B" w:rsidRPr="00D920C9">
        <w:rPr>
          <w:rFonts w:asciiTheme="minorHAnsi" w:hAnsiTheme="minorHAnsi"/>
        </w:rPr>
        <w:t>, and the methods of persuasion, negotiation and mediation, as well as to technical means, with a view to limiting the use of force and</w:t>
      </w:r>
      <w:r w:rsidR="0098507B" w:rsidRPr="00D920C9">
        <w:rPr>
          <w:rFonts w:asciiTheme="minorHAnsi" w:eastAsia="Times New Roman" w:hAnsiTheme="minorHAnsi"/>
          <w:szCs w:val="20"/>
        </w:rPr>
        <w:t xml:space="preserve"> firearms.</w:t>
      </w:r>
      <w:r w:rsidRPr="00D920C9">
        <w:rPr>
          <w:rFonts w:asciiTheme="minorHAnsi" w:eastAsia="Times New Roman" w:hAnsiTheme="minorHAnsi"/>
          <w:szCs w:val="20"/>
        </w:rPr>
        <w:t>”</w:t>
      </w:r>
      <w:r w:rsidRPr="00D920C9">
        <w:rPr>
          <w:rStyle w:val="FootnoteReference"/>
          <w:rFonts w:asciiTheme="minorHAnsi" w:eastAsia="Times New Roman" w:hAnsiTheme="minorHAnsi"/>
          <w:szCs w:val="20"/>
        </w:rPr>
        <w:footnoteReference w:id="486"/>
      </w:r>
      <w:r w:rsidRPr="00D920C9">
        <w:rPr>
          <w:rFonts w:asciiTheme="minorHAnsi" w:eastAsia="Times New Roman" w:hAnsiTheme="minorHAnsi"/>
          <w:szCs w:val="20"/>
        </w:rPr>
        <w:t xml:space="preserve"> Agency </w:t>
      </w:r>
      <w:r w:rsidR="0098507B" w:rsidRPr="00D920C9">
        <w:rPr>
          <w:rFonts w:asciiTheme="minorHAnsi" w:eastAsia="Times New Roman" w:hAnsiTheme="minorHAnsi"/>
          <w:szCs w:val="20"/>
        </w:rPr>
        <w:t>training programs and operational procedures</w:t>
      </w:r>
      <w:r w:rsidRPr="00D920C9">
        <w:rPr>
          <w:rFonts w:asciiTheme="minorHAnsi" w:eastAsia="Times New Roman" w:hAnsiTheme="minorHAnsi"/>
          <w:szCs w:val="20"/>
        </w:rPr>
        <w:t xml:space="preserve"> should be periodically reviewed</w:t>
      </w:r>
      <w:r w:rsidR="0098507B" w:rsidRPr="00D920C9">
        <w:rPr>
          <w:rFonts w:asciiTheme="minorHAnsi" w:eastAsia="Times New Roman" w:hAnsiTheme="minorHAnsi"/>
          <w:szCs w:val="20"/>
        </w:rPr>
        <w:t xml:space="preserve"> in the light of particular incidents.</w:t>
      </w:r>
      <w:r w:rsidRPr="00D920C9">
        <w:rPr>
          <w:rStyle w:val="FootnoteReference"/>
          <w:rFonts w:asciiTheme="minorHAnsi" w:eastAsia="Times New Roman" w:hAnsiTheme="minorHAnsi"/>
          <w:szCs w:val="20"/>
        </w:rPr>
        <w:footnoteReference w:id="487"/>
      </w:r>
      <w:r w:rsidR="009A4A80" w:rsidRPr="00D920C9">
        <w:rPr>
          <w:rFonts w:asciiTheme="minorHAnsi" w:eastAsia="Times New Roman" w:hAnsiTheme="minorHAnsi"/>
          <w:szCs w:val="20"/>
        </w:rPr>
        <w:t xml:space="preserve"> </w:t>
      </w:r>
      <w:r w:rsidR="009A4A80" w:rsidRPr="00D920C9">
        <w:rPr>
          <w:rFonts w:asciiTheme="minorHAnsi" w:hAnsiTheme="minorHAnsi"/>
          <w:szCs w:val="20"/>
        </w:rPr>
        <w:t>The CERD has additionally stated that law enforcement officials should be trained “to ensure that in the performance of their duties they respect as well as protect human dignity and maintain and uphold the human rights of all persons without distinction as to race, color or national or ethnic origin.”</w:t>
      </w:r>
      <w:r w:rsidR="009A4A80" w:rsidRPr="00D920C9">
        <w:rPr>
          <w:rFonts w:asciiTheme="minorHAnsi" w:hAnsiTheme="minorHAnsi"/>
          <w:szCs w:val="20"/>
          <w:vertAlign w:val="superscript"/>
        </w:rPr>
        <w:footnoteReference w:id="488"/>
      </w:r>
      <w:r w:rsidR="009A4A80" w:rsidRPr="00D920C9">
        <w:rPr>
          <w:rFonts w:asciiTheme="minorHAnsi" w:hAnsiTheme="minorHAnsi"/>
          <w:szCs w:val="20"/>
        </w:rPr>
        <w:t xml:space="preserve"> This training must also address</w:t>
      </w:r>
      <w:r w:rsidR="009A4A80" w:rsidRPr="00D920C9">
        <w:rPr>
          <w:rFonts w:asciiTheme="minorHAnsi" w:hAnsiTheme="minorHAnsi" w:cs="TimesNewRoman"/>
          <w:szCs w:val="20"/>
        </w:rPr>
        <w:t xml:space="preserve"> respect for human rights, racial tolerance, and tools for working in multicultural environments, for law enforcement officials, justice operators, and related professions.</w:t>
      </w:r>
      <w:r w:rsidR="009A4A80" w:rsidRPr="00D920C9">
        <w:rPr>
          <w:rFonts w:asciiTheme="minorHAnsi" w:hAnsiTheme="minorHAnsi" w:cs="TimesNewRoman"/>
          <w:szCs w:val="20"/>
          <w:vertAlign w:val="superscript"/>
        </w:rPr>
        <w:footnoteReference w:id="489"/>
      </w:r>
    </w:p>
    <w:p w14:paraId="4FA3DE88" w14:textId="1CFAABB3" w:rsidR="00765C8B" w:rsidRPr="00D920C9" w:rsidRDefault="00765C8B"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eastAsia="Times New Roman" w:hAnsiTheme="minorHAnsi"/>
          <w:szCs w:val="20"/>
        </w:rPr>
        <w:t>Additionally, the Basic Principles require that “</w:t>
      </w:r>
      <w:r w:rsidRPr="00D920C9">
        <w:rPr>
          <w:rFonts w:asciiTheme="minorHAnsi" w:hAnsiTheme="minorHAnsi"/>
        </w:rPr>
        <w:t xml:space="preserve">all law enforcement officials </w:t>
      </w:r>
      <w:r w:rsidR="00C63972" w:rsidRPr="00D920C9">
        <w:rPr>
          <w:rFonts w:asciiTheme="minorHAnsi" w:hAnsiTheme="minorHAnsi"/>
        </w:rPr>
        <w:t>[be]</w:t>
      </w:r>
      <w:r w:rsidRPr="00D920C9">
        <w:rPr>
          <w:rFonts w:asciiTheme="minorHAnsi" w:hAnsiTheme="minorHAnsi"/>
        </w:rPr>
        <w:t xml:space="preserve"> provided with training and</w:t>
      </w:r>
      <w:r w:rsidR="00FC1912" w:rsidRPr="00D920C9">
        <w:rPr>
          <w:rFonts w:asciiTheme="minorHAnsi" w:hAnsiTheme="minorHAnsi"/>
        </w:rPr>
        <w:t xml:space="preserve"> […]</w:t>
      </w:r>
      <w:r w:rsidRPr="00D920C9">
        <w:rPr>
          <w:rFonts w:asciiTheme="minorHAnsi" w:hAnsiTheme="minorHAnsi"/>
        </w:rPr>
        <w:t xml:space="preserve"> tested in accordance with appropriate proficiency standards in the use of force,” and that only those law enforcement officials who complete special training in use of firearms be allowed to carry them.</w:t>
      </w:r>
      <w:r w:rsidRPr="00D920C9">
        <w:rPr>
          <w:rFonts w:asciiTheme="minorHAnsi" w:hAnsiTheme="minorHAnsi"/>
          <w:vertAlign w:val="superscript"/>
        </w:rPr>
        <w:footnoteReference w:id="490"/>
      </w:r>
    </w:p>
    <w:p w14:paraId="5C9CDD1F" w14:textId="6ABD05FD" w:rsidR="00F504E6" w:rsidRPr="00D920C9" w:rsidRDefault="00765C8B"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Commission has previously emphasized the importance of training in the gradual escalation in force </w:t>
      </w:r>
      <w:r w:rsidR="00C63972" w:rsidRPr="00D920C9">
        <w:rPr>
          <w:rFonts w:asciiTheme="minorHAnsi" w:hAnsiTheme="minorHAnsi"/>
        </w:rPr>
        <w:t>when</w:t>
      </w:r>
      <w:r w:rsidRPr="00D920C9">
        <w:rPr>
          <w:rFonts w:asciiTheme="minorHAnsi" w:hAnsiTheme="minorHAnsi"/>
        </w:rPr>
        <w:t xml:space="preserve"> </w:t>
      </w:r>
      <w:r w:rsidR="00BA1747" w:rsidRPr="00D920C9">
        <w:rPr>
          <w:rFonts w:asciiTheme="minorHAnsi" w:hAnsiTheme="minorHAnsi"/>
        </w:rPr>
        <w:t xml:space="preserve">it meets required standards </w:t>
      </w:r>
      <w:r w:rsidRPr="00D920C9">
        <w:rPr>
          <w:rFonts w:asciiTheme="minorHAnsi" w:hAnsiTheme="minorHAnsi"/>
        </w:rPr>
        <w:t>of legality, absolute necessity, and proportionality.</w:t>
      </w:r>
      <w:r w:rsidRPr="00D920C9">
        <w:rPr>
          <w:rFonts w:asciiTheme="minorHAnsi" w:hAnsiTheme="minorHAnsi"/>
          <w:vertAlign w:val="superscript"/>
        </w:rPr>
        <w:footnoteReference w:id="491"/>
      </w:r>
      <w:r w:rsidRPr="00D920C9">
        <w:rPr>
          <w:rFonts w:asciiTheme="minorHAnsi" w:hAnsiTheme="minorHAnsi"/>
        </w:rPr>
        <w:t xml:space="preserve"> </w:t>
      </w:r>
      <w:r w:rsidR="009A4A80" w:rsidRPr="00D920C9">
        <w:rPr>
          <w:rFonts w:asciiTheme="minorHAnsi" w:hAnsiTheme="minorHAnsi"/>
        </w:rPr>
        <w:t>The Commission observes that</w:t>
      </w:r>
      <w:r w:rsidR="002C70C0" w:rsidRPr="00D920C9">
        <w:rPr>
          <w:rFonts w:asciiTheme="minorHAnsi" w:hAnsiTheme="minorHAnsi"/>
        </w:rPr>
        <w:t xml:space="preserve"> </w:t>
      </w:r>
      <w:r w:rsidR="00085370" w:rsidRPr="00D920C9">
        <w:rPr>
          <w:rFonts w:asciiTheme="minorHAnsi" w:hAnsiTheme="minorHAnsi"/>
        </w:rPr>
        <w:t>President</w:t>
      </w:r>
      <w:r w:rsidR="002C70C0" w:rsidRPr="00D920C9">
        <w:rPr>
          <w:rFonts w:asciiTheme="minorHAnsi" w:hAnsiTheme="minorHAnsi"/>
        </w:rPr>
        <w:t xml:space="preserve"> Obama</w:t>
      </w:r>
      <w:r w:rsidR="00085370" w:rsidRPr="00D920C9">
        <w:rPr>
          <w:rFonts w:asciiTheme="minorHAnsi" w:hAnsiTheme="minorHAnsi"/>
        </w:rPr>
        <w:t>’s Task Force recommendations regarding the use of force, which includ</w:t>
      </w:r>
      <w:r w:rsidR="000D7DD2" w:rsidRPr="00D920C9">
        <w:rPr>
          <w:rFonts w:asciiTheme="minorHAnsi" w:hAnsiTheme="minorHAnsi"/>
        </w:rPr>
        <w:t xml:space="preserve">e creating agency use of force policies for training that </w:t>
      </w:r>
      <w:r w:rsidR="000D7DD2" w:rsidRPr="00D920C9">
        <w:rPr>
          <w:rFonts w:asciiTheme="minorHAnsi" w:hAnsiTheme="minorHAnsi"/>
        </w:rPr>
        <w:lastRenderedPageBreak/>
        <w:t>emphasize</w:t>
      </w:r>
      <w:r w:rsidR="00BA1747" w:rsidRPr="00D920C9">
        <w:rPr>
          <w:rFonts w:asciiTheme="minorHAnsi" w:hAnsiTheme="minorHAnsi"/>
        </w:rPr>
        <w:t>s</w:t>
      </w:r>
      <w:r w:rsidR="000D7DD2" w:rsidRPr="00D920C9">
        <w:rPr>
          <w:rFonts w:asciiTheme="minorHAnsi" w:hAnsiTheme="minorHAnsi"/>
        </w:rPr>
        <w:t xml:space="preserve"> </w:t>
      </w:r>
      <w:r w:rsidR="00C63972" w:rsidRPr="00D920C9">
        <w:rPr>
          <w:rFonts w:asciiTheme="minorHAnsi" w:hAnsiTheme="minorHAnsi"/>
        </w:rPr>
        <w:t xml:space="preserve">the use of less </w:t>
      </w:r>
      <w:r w:rsidR="009A4A80" w:rsidRPr="00D920C9">
        <w:rPr>
          <w:rFonts w:asciiTheme="minorHAnsi" w:hAnsiTheme="minorHAnsi"/>
        </w:rPr>
        <w:t xml:space="preserve">lethal technologies, </w:t>
      </w:r>
      <w:r w:rsidR="000D7DD2" w:rsidRPr="00D920C9">
        <w:rPr>
          <w:rFonts w:asciiTheme="minorHAnsi" w:hAnsiTheme="minorHAnsi"/>
        </w:rPr>
        <w:t>de-escalation</w:t>
      </w:r>
      <w:r w:rsidR="009A4A80" w:rsidRPr="00D920C9">
        <w:rPr>
          <w:rFonts w:asciiTheme="minorHAnsi" w:hAnsiTheme="minorHAnsi"/>
        </w:rPr>
        <w:t>,</w:t>
      </w:r>
      <w:r w:rsidR="000D7DD2" w:rsidRPr="00D920C9">
        <w:rPr>
          <w:rFonts w:asciiTheme="minorHAnsi" w:hAnsiTheme="minorHAnsi"/>
        </w:rPr>
        <w:t xml:space="preserve"> and alternatives to arrest or summons in situations where appropriate</w:t>
      </w:r>
      <w:r w:rsidR="009A4A80" w:rsidRPr="00D920C9">
        <w:rPr>
          <w:rFonts w:asciiTheme="minorHAnsi" w:hAnsiTheme="minorHAnsi"/>
        </w:rPr>
        <w:t>,</w:t>
      </w:r>
      <w:r w:rsidR="009A4A80" w:rsidRPr="00D920C9">
        <w:rPr>
          <w:rFonts w:asciiTheme="minorHAnsi" w:hAnsiTheme="minorHAnsi"/>
          <w:vertAlign w:val="superscript"/>
        </w:rPr>
        <w:footnoteReference w:id="492"/>
      </w:r>
      <w:r w:rsidR="009A4A80" w:rsidRPr="00D920C9">
        <w:rPr>
          <w:rFonts w:asciiTheme="minorHAnsi" w:hAnsiTheme="minorHAnsi"/>
        </w:rPr>
        <w:t xml:space="preserve"> would represent positive development</w:t>
      </w:r>
      <w:r w:rsidR="00BA1747" w:rsidRPr="00D920C9">
        <w:rPr>
          <w:rFonts w:asciiTheme="minorHAnsi" w:hAnsiTheme="minorHAnsi"/>
        </w:rPr>
        <w:t>s</w:t>
      </w:r>
      <w:r w:rsidR="009A4A80" w:rsidRPr="00D920C9">
        <w:rPr>
          <w:rFonts w:asciiTheme="minorHAnsi" w:hAnsiTheme="minorHAnsi"/>
        </w:rPr>
        <w:t xml:space="preserve"> in this regard.</w:t>
      </w:r>
      <w:r w:rsidR="000D7DD2" w:rsidRPr="00D920C9">
        <w:rPr>
          <w:rFonts w:asciiTheme="minorHAnsi" w:hAnsiTheme="minorHAnsi"/>
        </w:rPr>
        <w:t xml:space="preserve"> </w:t>
      </w:r>
    </w:p>
    <w:p w14:paraId="08DBE6AD" w14:textId="77777777" w:rsidR="00567CB0" w:rsidRPr="00D920C9" w:rsidRDefault="00567CB0" w:rsidP="00E86698">
      <w:pPr>
        <w:pStyle w:val="ListParagraph"/>
        <w:numPr>
          <w:ilvl w:val="0"/>
          <w:numId w:val="9"/>
        </w:numPr>
        <w:spacing w:after="240" w:line="240" w:lineRule="auto"/>
        <w:ind w:left="547" w:hanging="547"/>
        <w:contextualSpacing w:val="0"/>
        <w:jc w:val="both"/>
        <w:rPr>
          <w:rFonts w:asciiTheme="minorHAnsi" w:eastAsia="Times New Roman" w:hAnsiTheme="minorHAnsi"/>
          <w:szCs w:val="20"/>
        </w:rPr>
      </w:pPr>
      <w:r w:rsidRPr="00D920C9">
        <w:rPr>
          <w:rFonts w:asciiTheme="minorHAnsi" w:hAnsiTheme="minorHAnsi"/>
        </w:rPr>
        <w:t>The Commission observes that the approximately 18,000 law enforcement agencies in the United States are</w:t>
      </w:r>
      <w:r w:rsidR="00E7659C" w:rsidRPr="00D920C9">
        <w:rPr>
          <w:rFonts w:asciiTheme="minorHAnsi" w:hAnsiTheme="minorHAnsi"/>
        </w:rPr>
        <w:t xml:space="preserve"> almost all state and local agencies.</w:t>
      </w:r>
      <w:r w:rsidR="005E484F" w:rsidRPr="00D920C9">
        <w:rPr>
          <w:rFonts w:asciiTheme="minorHAnsi" w:hAnsiTheme="minorHAnsi"/>
          <w:vertAlign w:val="superscript"/>
        </w:rPr>
        <w:footnoteReference w:id="493"/>
      </w:r>
      <w:r w:rsidR="00E7659C" w:rsidRPr="00D920C9">
        <w:rPr>
          <w:rFonts w:asciiTheme="minorHAnsi" w:hAnsiTheme="minorHAnsi"/>
        </w:rPr>
        <w:t xml:space="preserve"> In this </w:t>
      </w:r>
      <w:r w:rsidR="007F7673" w:rsidRPr="00D920C9">
        <w:rPr>
          <w:rFonts w:asciiTheme="minorHAnsi" w:hAnsiTheme="minorHAnsi"/>
        </w:rPr>
        <w:t>context</w:t>
      </w:r>
      <w:r w:rsidR="00E7659C" w:rsidRPr="00D920C9">
        <w:rPr>
          <w:rFonts w:asciiTheme="minorHAnsi" w:hAnsiTheme="minorHAnsi"/>
        </w:rPr>
        <w:t>, it reiterates the obligation of all levels of government, including state and local, to observe international human rights standards and bring their laws, policies, and practices in line with international law.</w:t>
      </w:r>
      <w:r w:rsidRPr="00D920C9">
        <w:rPr>
          <w:rFonts w:asciiTheme="minorHAnsi" w:hAnsiTheme="minorHAnsi"/>
        </w:rPr>
        <w:t xml:space="preserve"> </w:t>
      </w:r>
      <w:r w:rsidR="00E7659C" w:rsidRPr="00D920C9">
        <w:rPr>
          <w:rFonts w:asciiTheme="minorHAnsi" w:hAnsiTheme="minorHAnsi"/>
        </w:rPr>
        <w:t>In light of this situation</w:t>
      </w:r>
      <w:r w:rsidRPr="00D920C9">
        <w:rPr>
          <w:rFonts w:asciiTheme="minorHAnsi" w:hAnsiTheme="minorHAnsi"/>
        </w:rPr>
        <w:t xml:space="preserve">, the Commission reiterates the importance of </w:t>
      </w:r>
      <w:r w:rsidR="00E7659C" w:rsidRPr="00D920C9">
        <w:rPr>
          <w:rFonts w:asciiTheme="minorHAnsi" w:hAnsiTheme="minorHAnsi"/>
        </w:rPr>
        <w:t>establishing police training programs that include training in: the definition of force, use of force, and permissible use of lethal force; de-escalation tactics, in order to comply with the principle of necessity; alternatives to use of lethal force, including less lethal weapons; instruction in non-discrimination and implicit bias spanning all aspects of policing, from patrols to arrests to use of force. The Commission additionally notes information it has received indicating a lack of p</w:t>
      </w:r>
      <w:r w:rsidR="00E7659C" w:rsidRPr="00D920C9">
        <w:rPr>
          <w:rFonts w:asciiTheme="minorHAnsi" w:eastAsia="Times New Roman" w:hAnsiTheme="minorHAnsi"/>
          <w:szCs w:val="20"/>
        </w:rPr>
        <w:t>ublicly available information from many local police departments, including of major cities, about the nature and scope of their police training and policies.</w:t>
      </w:r>
      <w:r w:rsidR="00E7659C" w:rsidRPr="00D920C9">
        <w:rPr>
          <w:rStyle w:val="FootnoteReference"/>
          <w:rFonts w:asciiTheme="minorHAnsi" w:eastAsia="Times New Roman" w:hAnsiTheme="minorHAnsi"/>
          <w:szCs w:val="20"/>
        </w:rPr>
        <w:footnoteReference w:id="494"/>
      </w:r>
      <w:r w:rsidR="00E7659C" w:rsidRPr="00D920C9">
        <w:rPr>
          <w:rFonts w:asciiTheme="minorHAnsi" w:eastAsia="Times New Roman" w:hAnsiTheme="minorHAnsi"/>
          <w:szCs w:val="20"/>
        </w:rPr>
        <w:t xml:space="preserve"> In this regard, the Commission calls for greater active transparency from these bodies in order to facilitate monitoring of compliance with human rights norms regarding police training and use of force policies.</w:t>
      </w:r>
    </w:p>
    <w:p w14:paraId="772D2A59" w14:textId="5C218D15" w:rsidR="003B4D7F" w:rsidRPr="00D920C9" w:rsidRDefault="00EC0A9F" w:rsidP="00226E45">
      <w:pPr>
        <w:pStyle w:val="Heading4"/>
        <w:keepNext w:val="0"/>
        <w:keepLines w:val="0"/>
        <w:ind w:left="547" w:hanging="547"/>
      </w:pPr>
      <w:bookmarkStart w:id="186" w:name="_Toc511837836"/>
      <w:bookmarkStart w:id="187" w:name="_Toc511903009"/>
      <w:bookmarkStart w:id="188" w:name="_Toc517687938"/>
      <w:r w:rsidRPr="00D920C9">
        <w:t>Adoption</w:t>
      </w:r>
      <w:r w:rsidR="00534AD6" w:rsidRPr="00D920C9">
        <w:t xml:space="preserve"> of </w:t>
      </w:r>
      <w:r w:rsidR="003A6706" w:rsidRPr="00D920C9">
        <w:t xml:space="preserve">Protocols </w:t>
      </w:r>
      <w:r w:rsidR="003B4D7F" w:rsidRPr="00D920C9">
        <w:t xml:space="preserve">regarding the </w:t>
      </w:r>
      <w:r w:rsidR="003A6706" w:rsidRPr="00D920C9">
        <w:t xml:space="preserve">Use </w:t>
      </w:r>
      <w:r w:rsidR="003B4D7F" w:rsidRPr="00D920C9">
        <w:t xml:space="preserve">of </w:t>
      </w:r>
      <w:r w:rsidR="003A6706" w:rsidRPr="00D920C9">
        <w:t>Force</w:t>
      </w:r>
      <w:bookmarkEnd w:id="186"/>
      <w:bookmarkEnd w:id="187"/>
      <w:bookmarkEnd w:id="188"/>
    </w:p>
    <w:p w14:paraId="1ABE9EAE" w14:textId="27529694" w:rsidR="0019471C" w:rsidRPr="00D920C9" w:rsidRDefault="0019471C" w:rsidP="00E86698">
      <w:pPr>
        <w:pStyle w:val="ListParagraph"/>
        <w:numPr>
          <w:ilvl w:val="0"/>
          <w:numId w:val="9"/>
        </w:numPr>
        <w:spacing w:after="240" w:line="240" w:lineRule="auto"/>
        <w:ind w:left="547" w:hanging="547"/>
        <w:contextualSpacing w:val="0"/>
        <w:jc w:val="both"/>
        <w:rPr>
          <w:rFonts w:asciiTheme="minorHAnsi" w:hAnsiTheme="minorHAnsi"/>
        </w:rPr>
      </w:pPr>
      <w:bookmarkStart w:id="189" w:name="_Ref507675995"/>
      <w:r w:rsidRPr="00D920C9">
        <w:rPr>
          <w:rFonts w:asciiTheme="minorHAnsi" w:eastAsia="Times New Roman" w:hAnsiTheme="minorHAnsi"/>
          <w:szCs w:val="20"/>
        </w:rPr>
        <w:t xml:space="preserve">The IACHR recalls that under international law, the use of lethal weapons is considered a last resort, when less extreme </w:t>
      </w:r>
      <w:r w:rsidRPr="00D920C9">
        <w:rPr>
          <w:rFonts w:asciiTheme="minorHAnsi" w:hAnsiTheme="minorHAnsi"/>
        </w:rPr>
        <w:t xml:space="preserve">measures would be insufficient. </w:t>
      </w:r>
      <w:r w:rsidR="00EC0A9F" w:rsidRPr="00D920C9">
        <w:rPr>
          <w:rFonts w:asciiTheme="minorHAnsi" w:hAnsiTheme="minorHAnsi"/>
        </w:rPr>
        <w:t>T</w:t>
      </w:r>
      <w:r w:rsidRPr="00D920C9">
        <w:rPr>
          <w:rFonts w:asciiTheme="minorHAnsi" w:hAnsiTheme="minorHAnsi"/>
        </w:rPr>
        <w:t xml:space="preserve">his obligation takes on a special character in operations and in situations </w:t>
      </w:r>
      <w:r w:rsidR="00C63972" w:rsidRPr="00D920C9">
        <w:rPr>
          <w:rFonts w:asciiTheme="minorHAnsi" w:hAnsiTheme="minorHAnsi"/>
        </w:rPr>
        <w:t>that</w:t>
      </w:r>
      <w:r w:rsidRPr="00D920C9">
        <w:rPr>
          <w:rFonts w:asciiTheme="minorHAnsi" w:hAnsiTheme="minorHAnsi"/>
        </w:rPr>
        <w:t xml:space="preserve"> by their nature endanger the fundamental rights of persons.</w:t>
      </w:r>
      <w:r w:rsidRPr="00D920C9">
        <w:rPr>
          <w:rFonts w:asciiTheme="minorHAnsi" w:hAnsiTheme="minorHAnsi"/>
          <w:vertAlign w:val="superscript"/>
        </w:rPr>
        <w:footnoteReference w:id="495"/>
      </w:r>
      <w:r w:rsidRPr="00D920C9">
        <w:rPr>
          <w:rFonts w:asciiTheme="minorHAnsi" w:hAnsiTheme="minorHAnsi"/>
        </w:rPr>
        <w:t xml:space="preserve"> These principles should be fully incorporated into departmental use of force policies, in line with the obligation of all levels of government to observe and protect human rights obligations.</w:t>
      </w:r>
      <w:bookmarkEnd w:id="189"/>
    </w:p>
    <w:p w14:paraId="1DDA46EA" w14:textId="7B401545" w:rsidR="00C63972" w:rsidRPr="00D920C9" w:rsidRDefault="00C63972" w:rsidP="00E86698">
      <w:pPr>
        <w:pStyle w:val="ListParagraph"/>
        <w:numPr>
          <w:ilvl w:val="0"/>
          <w:numId w:val="9"/>
        </w:numPr>
        <w:spacing w:after="240" w:line="240" w:lineRule="auto"/>
        <w:ind w:left="547" w:hanging="547"/>
        <w:contextualSpacing w:val="0"/>
        <w:jc w:val="both"/>
        <w:rPr>
          <w:rFonts w:asciiTheme="minorHAnsi" w:eastAsia="Times New Roman" w:hAnsiTheme="minorHAnsi"/>
          <w:szCs w:val="20"/>
        </w:rPr>
      </w:pPr>
      <w:bookmarkStart w:id="190" w:name="_Ref507405694"/>
      <w:r w:rsidRPr="00D920C9">
        <w:rPr>
          <w:rFonts w:asciiTheme="minorHAnsi" w:hAnsiTheme="minorHAnsi"/>
        </w:rPr>
        <w:t xml:space="preserve">Given the expansion in the manufacture and sale of less lethal weapons, </w:t>
      </w:r>
      <w:r w:rsidR="007774FA" w:rsidRPr="00D920C9">
        <w:rPr>
          <w:rFonts w:asciiTheme="minorHAnsi" w:hAnsiTheme="minorHAnsi"/>
        </w:rPr>
        <w:t xml:space="preserve">and </w:t>
      </w:r>
      <w:r w:rsidRPr="00D920C9">
        <w:rPr>
          <w:rFonts w:asciiTheme="minorHAnsi" w:hAnsiTheme="minorHAnsi"/>
        </w:rPr>
        <w:t>their varied characteristics, mechanisms for causing harm, and risks associated with their use, clear and appropriate rules are essential. This is because the lethality of the weapon depend</w:t>
      </w:r>
      <w:r w:rsidR="007774FA" w:rsidRPr="00D920C9">
        <w:rPr>
          <w:rFonts w:asciiTheme="minorHAnsi" w:hAnsiTheme="minorHAnsi"/>
        </w:rPr>
        <w:t>s</w:t>
      </w:r>
      <w:r w:rsidRPr="00D920C9">
        <w:rPr>
          <w:rFonts w:asciiTheme="minorHAnsi" w:hAnsiTheme="minorHAnsi"/>
        </w:rPr>
        <w:t xml:space="preserve"> on its use, the context in </w:t>
      </w:r>
      <w:r w:rsidRPr="00D920C9">
        <w:rPr>
          <w:rFonts w:asciiTheme="minorHAnsi" w:hAnsiTheme="minorHAnsi"/>
        </w:rPr>
        <w:lastRenderedPageBreak/>
        <w:t>which it is used, and the particular conditions of the person using it.</w:t>
      </w:r>
      <w:r w:rsidRPr="00D920C9">
        <w:rPr>
          <w:rFonts w:asciiTheme="minorHAnsi" w:hAnsiTheme="minorHAnsi"/>
          <w:vertAlign w:val="superscript"/>
        </w:rPr>
        <w:footnoteReference w:id="496"/>
      </w:r>
      <w:r w:rsidRPr="00D920C9">
        <w:rPr>
          <w:rFonts w:asciiTheme="minorHAnsi" w:hAnsiTheme="minorHAnsi"/>
        </w:rPr>
        <w:t xml:space="preserve"> The IACHR has previously observed that “almost any use of force against the human person can under certain circumstances lead to loss of life or serious</w:t>
      </w:r>
      <w:r w:rsidRPr="00D920C9">
        <w:rPr>
          <w:rFonts w:asciiTheme="minorHAnsi" w:eastAsia="Times New Roman" w:hAnsiTheme="minorHAnsi"/>
          <w:szCs w:val="20"/>
        </w:rPr>
        <w:t xml:space="preserve"> injury,” and in many cases, negative impacts on physical integrity or life have been caused by the misuse of such weapons.</w:t>
      </w:r>
      <w:r w:rsidRPr="00D920C9">
        <w:rPr>
          <w:rStyle w:val="FootnoteReference"/>
          <w:rFonts w:asciiTheme="minorHAnsi" w:eastAsia="Times New Roman" w:hAnsiTheme="minorHAnsi"/>
          <w:szCs w:val="20"/>
        </w:rPr>
        <w:footnoteReference w:id="497"/>
      </w:r>
      <w:r w:rsidRPr="00D920C9">
        <w:rPr>
          <w:rFonts w:asciiTheme="minorHAnsi" w:eastAsia="Times New Roman" w:hAnsiTheme="minorHAnsi"/>
          <w:szCs w:val="20"/>
        </w:rPr>
        <w:t xml:space="preserve"> For example, rubber munitions shot from a short distance at the upper body, tear gas fired at bodies, irritant gases used against children and the elderly, and Tasers used against persons with heart conditions may all cause serious injury or death.</w:t>
      </w:r>
      <w:r w:rsidRPr="00D920C9">
        <w:rPr>
          <w:rStyle w:val="FootnoteReference"/>
          <w:rFonts w:asciiTheme="minorHAnsi" w:eastAsia="Times New Roman" w:hAnsiTheme="minorHAnsi"/>
          <w:szCs w:val="20"/>
        </w:rPr>
        <w:footnoteReference w:id="498"/>
      </w:r>
      <w:r w:rsidRPr="00D920C9">
        <w:rPr>
          <w:rFonts w:asciiTheme="minorHAnsi" w:eastAsia="Times New Roman" w:hAnsiTheme="minorHAnsi"/>
          <w:szCs w:val="20"/>
        </w:rPr>
        <w:t xml:space="preserve"> The IACHR recalls that </w:t>
      </w:r>
      <w:r w:rsidR="007774FA" w:rsidRPr="00D920C9">
        <w:rPr>
          <w:rFonts w:asciiTheme="minorHAnsi" w:eastAsia="Times New Roman" w:hAnsiTheme="minorHAnsi"/>
          <w:szCs w:val="20"/>
        </w:rPr>
        <w:t>several</w:t>
      </w:r>
      <w:r w:rsidRPr="00D920C9">
        <w:rPr>
          <w:rFonts w:asciiTheme="minorHAnsi" w:eastAsia="Times New Roman" w:hAnsiTheme="minorHAnsi"/>
          <w:szCs w:val="20"/>
        </w:rPr>
        <w:t xml:space="preserve"> cases cited in this report resulted </w:t>
      </w:r>
      <w:r w:rsidR="007B6526" w:rsidRPr="00D920C9">
        <w:rPr>
          <w:rFonts w:asciiTheme="minorHAnsi" w:eastAsia="Times New Roman" w:hAnsiTheme="minorHAnsi"/>
          <w:szCs w:val="20"/>
        </w:rPr>
        <w:t>from</w:t>
      </w:r>
      <w:r w:rsidRPr="00D920C9">
        <w:rPr>
          <w:rFonts w:asciiTheme="minorHAnsi" w:eastAsia="Times New Roman" w:hAnsiTheme="minorHAnsi"/>
          <w:szCs w:val="20"/>
        </w:rPr>
        <w:t xml:space="preserve"> </w:t>
      </w:r>
      <w:r w:rsidR="00464244" w:rsidRPr="00D920C9">
        <w:rPr>
          <w:rFonts w:asciiTheme="minorHAnsi" w:eastAsia="Times New Roman" w:hAnsiTheme="minorHAnsi"/>
          <w:szCs w:val="20"/>
        </w:rPr>
        <w:t>causes other than shootings, such as the use of prohibited chokeholds or “rough rides</w:t>
      </w:r>
      <w:r w:rsidRPr="00D920C9">
        <w:rPr>
          <w:rFonts w:asciiTheme="minorHAnsi" w:eastAsia="Times New Roman" w:hAnsiTheme="minorHAnsi"/>
          <w:szCs w:val="20"/>
        </w:rPr>
        <w:t>.</w:t>
      </w:r>
      <w:r w:rsidR="00464244" w:rsidRPr="00D920C9">
        <w:rPr>
          <w:rFonts w:asciiTheme="minorHAnsi" w:eastAsia="Times New Roman" w:hAnsiTheme="minorHAnsi"/>
          <w:szCs w:val="20"/>
        </w:rPr>
        <w:t>”</w:t>
      </w:r>
      <w:r w:rsidRPr="00D920C9">
        <w:rPr>
          <w:rStyle w:val="FootnoteReference"/>
          <w:rFonts w:asciiTheme="minorHAnsi" w:eastAsia="Times New Roman" w:hAnsiTheme="minorHAnsi"/>
          <w:szCs w:val="20"/>
        </w:rPr>
        <w:footnoteReference w:id="499"/>
      </w:r>
      <w:bookmarkEnd w:id="190"/>
    </w:p>
    <w:p w14:paraId="59DF4058" w14:textId="786FECAD" w:rsidR="00206055" w:rsidRPr="00D920C9" w:rsidRDefault="00C13594" w:rsidP="00E86698">
      <w:pPr>
        <w:pStyle w:val="ListParagraph"/>
        <w:numPr>
          <w:ilvl w:val="0"/>
          <w:numId w:val="9"/>
        </w:numPr>
        <w:spacing w:after="240" w:line="240" w:lineRule="auto"/>
        <w:ind w:left="547" w:hanging="547"/>
        <w:contextualSpacing w:val="0"/>
        <w:jc w:val="both"/>
        <w:rPr>
          <w:rFonts w:asciiTheme="minorHAnsi" w:hAnsiTheme="minorHAnsi"/>
        </w:rPr>
      </w:pPr>
      <w:bookmarkStart w:id="191" w:name="_Ref507405696"/>
      <w:r w:rsidRPr="00D920C9">
        <w:rPr>
          <w:rFonts w:asciiTheme="minorHAnsi" w:eastAsia="Times New Roman" w:hAnsiTheme="minorHAnsi"/>
          <w:szCs w:val="20"/>
        </w:rPr>
        <w:t xml:space="preserve">In addition to the need to bring domestic laws regarding the use of lethal force in line with international law and create appropriate protocols to ensure compliance, the Commission </w:t>
      </w:r>
      <w:r w:rsidR="00206055" w:rsidRPr="00D920C9">
        <w:rPr>
          <w:rFonts w:asciiTheme="minorHAnsi" w:eastAsia="Times New Roman" w:hAnsiTheme="minorHAnsi"/>
          <w:szCs w:val="20"/>
        </w:rPr>
        <w:t xml:space="preserve">emphasizes the need to develop normative provisions, protocols, and manuals that consider prohibitions </w:t>
      </w:r>
      <w:r w:rsidRPr="00D920C9">
        <w:rPr>
          <w:rFonts w:asciiTheme="minorHAnsi" w:eastAsia="Times New Roman" w:hAnsiTheme="minorHAnsi"/>
          <w:szCs w:val="20"/>
        </w:rPr>
        <w:t>on</w:t>
      </w:r>
      <w:r w:rsidR="00206055" w:rsidRPr="00D920C9">
        <w:rPr>
          <w:rFonts w:asciiTheme="minorHAnsi" w:eastAsia="Times New Roman" w:hAnsiTheme="minorHAnsi"/>
          <w:szCs w:val="20"/>
        </w:rPr>
        <w:t xml:space="preserve"> </w:t>
      </w:r>
      <w:r w:rsidRPr="00D920C9">
        <w:rPr>
          <w:rFonts w:asciiTheme="minorHAnsi" w:eastAsia="Times New Roman" w:hAnsiTheme="minorHAnsi"/>
          <w:szCs w:val="20"/>
        </w:rPr>
        <w:t>the use of</w:t>
      </w:r>
      <w:r w:rsidR="00C63972" w:rsidRPr="00D920C9">
        <w:rPr>
          <w:rFonts w:asciiTheme="minorHAnsi" w:eastAsia="Times New Roman" w:hAnsiTheme="minorHAnsi"/>
          <w:szCs w:val="20"/>
        </w:rPr>
        <w:t xml:space="preserve"> lethal and</w:t>
      </w:r>
      <w:r w:rsidRPr="00D920C9">
        <w:rPr>
          <w:rFonts w:asciiTheme="minorHAnsi" w:eastAsia="Times New Roman" w:hAnsiTheme="minorHAnsi"/>
          <w:szCs w:val="20"/>
        </w:rPr>
        <w:t xml:space="preserve"> less letha</w:t>
      </w:r>
      <w:r w:rsidR="00C63972" w:rsidRPr="00D920C9">
        <w:rPr>
          <w:rFonts w:asciiTheme="minorHAnsi" w:eastAsia="Times New Roman" w:hAnsiTheme="minorHAnsi"/>
          <w:szCs w:val="20"/>
        </w:rPr>
        <w:t>l weapons</w:t>
      </w:r>
      <w:r w:rsidRPr="00D920C9">
        <w:rPr>
          <w:rFonts w:asciiTheme="minorHAnsi" w:eastAsia="Times New Roman" w:hAnsiTheme="minorHAnsi"/>
          <w:szCs w:val="20"/>
        </w:rPr>
        <w:t xml:space="preserve"> </w:t>
      </w:r>
      <w:r w:rsidR="00206055" w:rsidRPr="00D920C9">
        <w:rPr>
          <w:rFonts w:asciiTheme="minorHAnsi" w:eastAsia="Times New Roman" w:hAnsiTheme="minorHAnsi"/>
          <w:szCs w:val="20"/>
        </w:rPr>
        <w:t>in contexts or with persons that may imply greater risk</w:t>
      </w:r>
      <w:r w:rsidR="00C63972" w:rsidRPr="00D920C9">
        <w:rPr>
          <w:rFonts w:asciiTheme="minorHAnsi" w:eastAsia="Times New Roman" w:hAnsiTheme="minorHAnsi"/>
          <w:szCs w:val="20"/>
        </w:rPr>
        <w:t>, in view of the consequences that could result from their</w:t>
      </w:r>
      <w:r w:rsidR="00EC0A9F" w:rsidRPr="00D920C9">
        <w:rPr>
          <w:rFonts w:asciiTheme="minorHAnsi" w:eastAsia="Times New Roman" w:hAnsiTheme="minorHAnsi"/>
          <w:szCs w:val="20"/>
        </w:rPr>
        <w:t xml:space="preserve"> improper,</w:t>
      </w:r>
      <w:r w:rsidR="00C63972" w:rsidRPr="00D920C9">
        <w:rPr>
          <w:rFonts w:asciiTheme="minorHAnsi" w:eastAsia="Times New Roman" w:hAnsiTheme="minorHAnsi"/>
          <w:szCs w:val="20"/>
        </w:rPr>
        <w:t xml:space="preserve"> inappropriate or abusive use</w:t>
      </w:r>
      <w:r w:rsidR="00206055" w:rsidRPr="00D920C9">
        <w:rPr>
          <w:rFonts w:asciiTheme="minorHAnsi" w:eastAsia="Times New Roman" w:hAnsiTheme="minorHAnsi"/>
          <w:szCs w:val="20"/>
        </w:rPr>
        <w:t>.</w:t>
      </w:r>
      <w:r w:rsidRPr="00D920C9">
        <w:rPr>
          <w:rStyle w:val="FootnoteReference"/>
          <w:rFonts w:asciiTheme="minorHAnsi" w:eastAsia="Times New Roman" w:hAnsiTheme="minorHAnsi"/>
          <w:szCs w:val="20"/>
        </w:rPr>
        <w:footnoteReference w:id="500"/>
      </w:r>
      <w:r w:rsidR="00206055" w:rsidRPr="00D920C9">
        <w:rPr>
          <w:rFonts w:asciiTheme="minorHAnsi" w:eastAsia="Times New Roman" w:hAnsiTheme="minorHAnsi"/>
          <w:szCs w:val="20"/>
        </w:rPr>
        <w:t xml:space="preserve"> For example, </w:t>
      </w:r>
      <w:r w:rsidRPr="00D920C9">
        <w:rPr>
          <w:rFonts w:asciiTheme="minorHAnsi" w:eastAsia="Times New Roman" w:hAnsiTheme="minorHAnsi"/>
          <w:szCs w:val="20"/>
        </w:rPr>
        <w:t xml:space="preserve">the </w:t>
      </w:r>
      <w:r w:rsidRPr="00D920C9">
        <w:rPr>
          <w:rFonts w:asciiTheme="minorHAnsi" w:hAnsiTheme="minorHAnsi"/>
        </w:rPr>
        <w:t xml:space="preserve">Commission has stated that </w:t>
      </w:r>
      <w:r w:rsidR="00206055" w:rsidRPr="00D920C9">
        <w:rPr>
          <w:rFonts w:asciiTheme="minorHAnsi" w:hAnsiTheme="minorHAnsi"/>
        </w:rPr>
        <w:t xml:space="preserve">tear gas should not be used in closed spaces or with persons who have no place to move away </w:t>
      </w:r>
      <w:r w:rsidRPr="00D920C9">
        <w:rPr>
          <w:rFonts w:asciiTheme="minorHAnsi" w:hAnsiTheme="minorHAnsi"/>
        </w:rPr>
        <w:t>from the crowd or to evacuate.</w:t>
      </w:r>
      <w:r w:rsidRPr="00D920C9">
        <w:rPr>
          <w:rFonts w:asciiTheme="minorHAnsi" w:hAnsiTheme="minorHAnsi"/>
          <w:vertAlign w:val="superscript"/>
        </w:rPr>
        <w:footnoteReference w:id="501"/>
      </w:r>
      <w:r w:rsidRPr="00D920C9">
        <w:rPr>
          <w:rFonts w:asciiTheme="minorHAnsi" w:hAnsiTheme="minorHAnsi"/>
        </w:rPr>
        <w:t xml:space="preserve"> The use of less </w:t>
      </w:r>
      <w:r w:rsidR="00206055" w:rsidRPr="00D920C9">
        <w:rPr>
          <w:rFonts w:asciiTheme="minorHAnsi" w:hAnsiTheme="minorHAnsi"/>
        </w:rPr>
        <w:t xml:space="preserve">lethal weapons should be preceded by formal notices </w:t>
      </w:r>
      <w:r w:rsidRPr="00D920C9">
        <w:rPr>
          <w:rFonts w:asciiTheme="minorHAnsi" w:hAnsiTheme="minorHAnsi"/>
        </w:rPr>
        <w:t>that</w:t>
      </w:r>
      <w:r w:rsidR="00206055" w:rsidRPr="00D920C9">
        <w:rPr>
          <w:rFonts w:asciiTheme="minorHAnsi" w:hAnsiTheme="minorHAnsi"/>
        </w:rPr>
        <w:t xml:space="preserve"> give </w:t>
      </w:r>
      <w:r w:rsidRPr="00D920C9">
        <w:rPr>
          <w:rFonts w:asciiTheme="minorHAnsi" w:hAnsiTheme="minorHAnsi"/>
        </w:rPr>
        <w:t>individuals</w:t>
      </w:r>
      <w:r w:rsidR="00206055" w:rsidRPr="00D920C9">
        <w:rPr>
          <w:rFonts w:asciiTheme="minorHAnsi" w:hAnsiTheme="minorHAnsi"/>
        </w:rPr>
        <w:t xml:space="preserve"> the opportunity to evacuate the </w:t>
      </w:r>
      <w:r w:rsidRPr="00D920C9">
        <w:rPr>
          <w:rFonts w:asciiTheme="minorHAnsi" w:hAnsiTheme="minorHAnsi"/>
        </w:rPr>
        <w:t>area</w:t>
      </w:r>
      <w:r w:rsidR="00206055" w:rsidRPr="00D920C9">
        <w:rPr>
          <w:rFonts w:asciiTheme="minorHAnsi" w:hAnsiTheme="minorHAnsi"/>
        </w:rPr>
        <w:t xml:space="preserve"> without provoking situations of panic or stampedes</w:t>
      </w:r>
      <w:r w:rsidRPr="00D920C9">
        <w:rPr>
          <w:rFonts w:asciiTheme="minorHAnsi" w:hAnsiTheme="minorHAnsi"/>
        </w:rPr>
        <w:t>.</w:t>
      </w:r>
      <w:r w:rsidR="00206055" w:rsidRPr="00D920C9">
        <w:rPr>
          <w:rFonts w:asciiTheme="minorHAnsi" w:hAnsiTheme="minorHAnsi"/>
        </w:rPr>
        <w:t xml:space="preserve"> </w:t>
      </w:r>
      <w:r w:rsidRPr="00D920C9">
        <w:rPr>
          <w:rFonts w:asciiTheme="minorHAnsi" w:hAnsiTheme="minorHAnsi"/>
        </w:rPr>
        <w:t>G</w:t>
      </w:r>
      <w:r w:rsidR="00206055" w:rsidRPr="00D920C9">
        <w:rPr>
          <w:rFonts w:asciiTheme="minorHAnsi" w:hAnsiTheme="minorHAnsi"/>
        </w:rPr>
        <w:t>uidelines should</w:t>
      </w:r>
      <w:r w:rsidRPr="00D920C9">
        <w:rPr>
          <w:rFonts w:asciiTheme="minorHAnsi" w:hAnsiTheme="minorHAnsi"/>
        </w:rPr>
        <w:t xml:space="preserve"> further</w:t>
      </w:r>
      <w:r w:rsidR="00206055" w:rsidRPr="00D920C9">
        <w:rPr>
          <w:rFonts w:asciiTheme="minorHAnsi" w:hAnsiTheme="minorHAnsi"/>
        </w:rPr>
        <w:t xml:space="preserve"> be put in place for </w:t>
      </w:r>
      <w:r w:rsidRPr="00D920C9">
        <w:rPr>
          <w:rFonts w:asciiTheme="minorHAnsi" w:hAnsiTheme="minorHAnsi"/>
        </w:rPr>
        <w:t>regulating their composition</w:t>
      </w:r>
      <w:r w:rsidRPr="00D920C9">
        <w:rPr>
          <w:rFonts w:asciiTheme="minorHAnsi" w:hAnsiTheme="minorHAnsi"/>
          <w:vertAlign w:val="superscript"/>
        </w:rPr>
        <w:footnoteReference w:id="502"/>
      </w:r>
      <w:r w:rsidRPr="00D920C9">
        <w:rPr>
          <w:rFonts w:asciiTheme="minorHAnsi" w:hAnsiTheme="minorHAnsi"/>
        </w:rPr>
        <w:t xml:space="preserve"> and </w:t>
      </w:r>
      <w:r w:rsidR="00206055" w:rsidRPr="00D920C9">
        <w:rPr>
          <w:rFonts w:asciiTheme="minorHAnsi" w:hAnsiTheme="minorHAnsi"/>
        </w:rPr>
        <w:t>attributing responsibility for their incorrect use.</w:t>
      </w:r>
      <w:r w:rsidR="00206055" w:rsidRPr="00D920C9">
        <w:rPr>
          <w:rFonts w:asciiTheme="minorHAnsi" w:hAnsiTheme="minorHAnsi"/>
          <w:vertAlign w:val="superscript"/>
        </w:rPr>
        <w:footnoteReference w:id="503"/>
      </w:r>
      <w:bookmarkEnd w:id="191"/>
      <w:r w:rsidR="00206055" w:rsidRPr="00D920C9">
        <w:rPr>
          <w:rFonts w:asciiTheme="minorHAnsi" w:hAnsiTheme="minorHAnsi"/>
        </w:rPr>
        <w:t xml:space="preserve"> </w:t>
      </w:r>
    </w:p>
    <w:p w14:paraId="64B458CB" w14:textId="1FC375E4" w:rsidR="00C040C2" w:rsidRPr="00D920C9" w:rsidRDefault="00C040C2" w:rsidP="00E86698">
      <w:pPr>
        <w:pStyle w:val="ListParagraph"/>
        <w:numPr>
          <w:ilvl w:val="0"/>
          <w:numId w:val="9"/>
        </w:numPr>
        <w:spacing w:after="240" w:line="240" w:lineRule="auto"/>
        <w:ind w:left="547" w:hanging="547"/>
        <w:contextualSpacing w:val="0"/>
        <w:jc w:val="both"/>
        <w:rPr>
          <w:rFonts w:asciiTheme="minorHAnsi" w:eastAsia="Times New Roman" w:hAnsiTheme="minorHAnsi"/>
          <w:szCs w:val="20"/>
        </w:rPr>
      </w:pPr>
      <w:bookmarkStart w:id="192" w:name="_Ref507675997"/>
      <w:r w:rsidRPr="00D920C9">
        <w:rPr>
          <w:rFonts w:asciiTheme="minorHAnsi" w:hAnsiTheme="minorHAnsi"/>
        </w:rPr>
        <w:t xml:space="preserve">The Commission reiterates the importance of implementing ammunition registration and control </w:t>
      </w:r>
      <w:r w:rsidR="00C63972" w:rsidRPr="00D920C9">
        <w:rPr>
          <w:rFonts w:asciiTheme="minorHAnsi" w:hAnsiTheme="minorHAnsi"/>
        </w:rPr>
        <w:t xml:space="preserve">protocols and </w:t>
      </w:r>
      <w:r w:rsidRPr="00D920C9">
        <w:rPr>
          <w:rFonts w:asciiTheme="minorHAnsi" w:hAnsiTheme="minorHAnsi"/>
        </w:rPr>
        <w:t>systems.</w:t>
      </w:r>
      <w:r w:rsidRPr="00D920C9">
        <w:rPr>
          <w:rFonts w:asciiTheme="minorHAnsi" w:hAnsiTheme="minorHAnsi"/>
          <w:vertAlign w:val="superscript"/>
        </w:rPr>
        <w:footnoteReference w:id="504"/>
      </w:r>
      <w:r w:rsidRPr="00D920C9">
        <w:rPr>
          <w:rFonts w:asciiTheme="minorHAnsi" w:hAnsiTheme="minorHAnsi"/>
        </w:rPr>
        <w:t xml:space="preserve"> The Basic Principles </w:t>
      </w:r>
      <w:r w:rsidRPr="00D920C9">
        <w:rPr>
          <w:rFonts w:asciiTheme="minorHAnsi" w:hAnsiTheme="minorHAnsi"/>
        </w:rPr>
        <w:lastRenderedPageBreak/>
        <w:t>similarly recommend the establishment of guidelines that regulate the control, storage, and issuance of firearms, including procedures for ensuring that law enforcement officials are accountable for the firearms and ammunition issued to them.</w:t>
      </w:r>
      <w:r w:rsidRPr="00D920C9">
        <w:rPr>
          <w:rFonts w:asciiTheme="minorHAnsi" w:hAnsiTheme="minorHAnsi"/>
          <w:vertAlign w:val="superscript"/>
        </w:rPr>
        <w:footnoteReference w:id="505"/>
      </w:r>
      <w:r w:rsidRPr="00D920C9">
        <w:rPr>
          <w:rFonts w:asciiTheme="minorHAnsi" w:hAnsiTheme="minorHAnsi"/>
        </w:rPr>
        <w:t xml:space="preserve"> Registration of this type, before and after operations, helps to facilitate judicial and administrative investigations into possible</w:t>
      </w:r>
      <w:r w:rsidRPr="00D920C9">
        <w:rPr>
          <w:rFonts w:asciiTheme="minorHAnsi" w:eastAsia="Times New Roman" w:hAnsiTheme="minorHAnsi"/>
          <w:szCs w:val="20"/>
        </w:rPr>
        <w:t xml:space="preserve"> violations of rules and principles on the use of force. </w:t>
      </w:r>
      <w:r w:rsidR="0019471C" w:rsidRPr="00D920C9">
        <w:rPr>
          <w:rFonts w:asciiTheme="minorHAnsi" w:eastAsia="Times New Roman" w:hAnsiTheme="minorHAnsi"/>
          <w:szCs w:val="20"/>
        </w:rPr>
        <w:t>Thus</w:t>
      </w:r>
      <w:r w:rsidRPr="00D920C9">
        <w:rPr>
          <w:rFonts w:asciiTheme="minorHAnsi" w:eastAsia="Times New Roman" w:hAnsiTheme="minorHAnsi"/>
          <w:szCs w:val="20"/>
        </w:rPr>
        <w:t xml:space="preserve">, </w:t>
      </w:r>
      <w:r w:rsidR="0019471C" w:rsidRPr="00D920C9">
        <w:rPr>
          <w:rFonts w:asciiTheme="minorHAnsi" w:eastAsia="Times New Roman" w:hAnsiTheme="minorHAnsi"/>
          <w:szCs w:val="20"/>
        </w:rPr>
        <w:t>S</w:t>
      </w:r>
      <w:r w:rsidRPr="00D920C9">
        <w:rPr>
          <w:rFonts w:asciiTheme="minorHAnsi" w:eastAsia="Times New Roman" w:hAnsiTheme="minorHAnsi"/>
          <w:szCs w:val="20"/>
        </w:rPr>
        <w:t>tates should have in place effective mechanisms for making inventories of firearms, ammunition, and other control devices, such as chemical weapons, to be used in a security operation.</w:t>
      </w:r>
      <w:r w:rsidRPr="00D920C9">
        <w:rPr>
          <w:rStyle w:val="FootnoteReference"/>
          <w:rFonts w:asciiTheme="minorHAnsi" w:eastAsia="Times New Roman" w:hAnsiTheme="minorHAnsi"/>
          <w:szCs w:val="20"/>
        </w:rPr>
        <w:footnoteReference w:id="506"/>
      </w:r>
      <w:bookmarkEnd w:id="192"/>
    </w:p>
    <w:p w14:paraId="75BF4201" w14:textId="13663F2F" w:rsidR="00206055" w:rsidRPr="00D920C9" w:rsidRDefault="006E17F4" w:rsidP="00226E45">
      <w:pPr>
        <w:pStyle w:val="Heading4"/>
        <w:keepNext w:val="0"/>
        <w:keepLines w:val="0"/>
        <w:ind w:left="547" w:hanging="547"/>
      </w:pPr>
      <w:bookmarkStart w:id="193" w:name="_Toc511837837"/>
      <w:bookmarkStart w:id="194" w:name="_Toc511903010"/>
      <w:bookmarkStart w:id="195" w:name="_Toc517687939"/>
      <w:r w:rsidRPr="00D920C9">
        <w:t>Preventing</w:t>
      </w:r>
      <w:r w:rsidR="00A350FD" w:rsidRPr="00D920C9">
        <w:t xml:space="preserve"> </w:t>
      </w:r>
      <w:r w:rsidR="003A6706" w:rsidRPr="00D920C9">
        <w:t xml:space="preserve">Violations </w:t>
      </w:r>
      <w:r w:rsidR="00A350FD" w:rsidRPr="00D920C9">
        <w:t xml:space="preserve">of the </w:t>
      </w:r>
      <w:r w:rsidR="003A6706" w:rsidRPr="00D920C9">
        <w:t xml:space="preserve">Prohibition </w:t>
      </w:r>
      <w:r w:rsidR="00A350FD" w:rsidRPr="00D920C9">
        <w:t xml:space="preserve">against </w:t>
      </w:r>
      <w:r w:rsidR="003A6706" w:rsidRPr="00D920C9">
        <w:t xml:space="preserve">Torture </w:t>
      </w:r>
      <w:r w:rsidR="00A350FD" w:rsidRPr="00D920C9">
        <w:t xml:space="preserve">and </w:t>
      </w:r>
      <w:r w:rsidR="003A6706" w:rsidRPr="00D920C9">
        <w:t>Cruel</w:t>
      </w:r>
      <w:r w:rsidR="00A350FD" w:rsidRPr="00D920C9">
        <w:t xml:space="preserve">, </w:t>
      </w:r>
      <w:r w:rsidR="003A6706" w:rsidRPr="00D920C9">
        <w:t>Inhuman</w:t>
      </w:r>
      <w:r w:rsidR="00A350FD" w:rsidRPr="00D920C9">
        <w:t xml:space="preserve">, and </w:t>
      </w:r>
      <w:r w:rsidR="003A6706" w:rsidRPr="00D920C9">
        <w:t>Degrading Treatment</w:t>
      </w:r>
      <w:bookmarkEnd w:id="193"/>
      <w:bookmarkEnd w:id="194"/>
      <w:bookmarkEnd w:id="195"/>
    </w:p>
    <w:p w14:paraId="45540D89" w14:textId="3C4EF0BD" w:rsidR="00A350FD" w:rsidRPr="00D920C9" w:rsidRDefault="00A350FD" w:rsidP="00E86698">
      <w:pPr>
        <w:pStyle w:val="ListParagraph"/>
        <w:numPr>
          <w:ilvl w:val="0"/>
          <w:numId w:val="9"/>
        </w:numPr>
        <w:spacing w:after="240" w:line="240" w:lineRule="auto"/>
        <w:ind w:left="547" w:hanging="547"/>
        <w:contextualSpacing w:val="0"/>
        <w:jc w:val="both"/>
        <w:rPr>
          <w:rFonts w:asciiTheme="minorHAnsi" w:hAnsiTheme="minorHAnsi"/>
        </w:rPr>
      </w:pPr>
      <w:bookmarkStart w:id="196" w:name="_Ref507675833"/>
      <w:r w:rsidRPr="00D920C9">
        <w:rPr>
          <w:rFonts w:asciiTheme="minorHAnsi" w:hAnsiTheme="minorHAnsi"/>
          <w:szCs w:val="20"/>
        </w:rPr>
        <w:t>Under international law, all forms of torture and cruel, inhuman or degrading treatment (“CIDT”) are banned without exception,</w:t>
      </w:r>
      <w:r w:rsidR="00B751ED" w:rsidRPr="00D920C9">
        <w:rPr>
          <w:rStyle w:val="FootnoteReference"/>
          <w:rFonts w:asciiTheme="minorHAnsi" w:hAnsiTheme="minorHAnsi"/>
          <w:szCs w:val="20"/>
        </w:rPr>
        <w:footnoteReference w:id="507"/>
      </w:r>
      <w:r w:rsidRPr="00D920C9">
        <w:rPr>
          <w:rFonts w:asciiTheme="minorHAnsi" w:hAnsiTheme="minorHAnsi"/>
          <w:szCs w:val="20"/>
        </w:rPr>
        <w:t xml:space="preserve"> including under the </w:t>
      </w:r>
      <w:r w:rsidRPr="00D920C9">
        <w:rPr>
          <w:rFonts w:asciiTheme="minorHAnsi" w:hAnsiTheme="minorHAnsi"/>
        </w:rPr>
        <w:t>Convention Against Torture (CAT) and the International Covenant on Civil and Political Rights (ICCPR), both of which the United States has ratified, and the American Convention on Human Rights (ACHR), among many other instruments</w:t>
      </w:r>
      <w:r w:rsidR="006E17F4" w:rsidRPr="00D920C9">
        <w:rPr>
          <w:rFonts w:asciiTheme="minorHAnsi" w:hAnsiTheme="minorHAnsi"/>
        </w:rPr>
        <w:t>, including the American Declaration</w:t>
      </w:r>
      <w:r w:rsidRPr="00D920C9">
        <w:rPr>
          <w:rFonts w:asciiTheme="minorHAnsi" w:hAnsiTheme="minorHAnsi"/>
        </w:rPr>
        <w:t xml:space="preserve">. Indeed, the prohibition against torture is considered a jus </w:t>
      </w:r>
      <w:proofErr w:type="spellStart"/>
      <w:r w:rsidRPr="00D920C9">
        <w:rPr>
          <w:rFonts w:asciiTheme="minorHAnsi" w:hAnsiTheme="minorHAnsi"/>
        </w:rPr>
        <w:t>cogens</w:t>
      </w:r>
      <w:proofErr w:type="spellEnd"/>
      <w:r w:rsidRPr="00D920C9">
        <w:rPr>
          <w:rFonts w:asciiTheme="minorHAnsi" w:hAnsiTheme="minorHAnsi"/>
        </w:rPr>
        <w:t xml:space="preserve"> norm, from which no derogation is permitted. </w:t>
      </w:r>
      <w:r w:rsidR="00EC794C" w:rsidRPr="00D920C9">
        <w:rPr>
          <w:rFonts w:asciiTheme="minorHAnsi" w:hAnsiTheme="minorHAnsi"/>
        </w:rPr>
        <w:t xml:space="preserve">The </w:t>
      </w:r>
      <w:r w:rsidR="00352483" w:rsidRPr="00D920C9">
        <w:rPr>
          <w:rFonts w:asciiTheme="minorHAnsi" w:hAnsiTheme="minorHAnsi"/>
        </w:rPr>
        <w:t>U.S.</w:t>
      </w:r>
      <w:r w:rsidR="00EC794C" w:rsidRPr="00D920C9">
        <w:rPr>
          <w:rFonts w:asciiTheme="minorHAnsi" w:hAnsiTheme="minorHAnsi"/>
        </w:rPr>
        <w:t xml:space="preserve"> is obligated to prevent torture, including by ensuring that “education and information regarding the prohibition against torture are fully included in the training of law enforcement personnel [. . </w:t>
      </w:r>
      <w:proofErr w:type="gramStart"/>
      <w:r w:rsidR="00EC794C" w:rsidRPr="00D920C9">
        <w:rPr>
          <w:rFonts w:asciiTheme="minorHAnsi" w:hAnsiTheme="minorHAnsi"/>
        </w:rPr>
        <w:t>. ]</w:t>
      </w:r>
      <w:proofErr w:type="gramEnd"/>
      <w:r w:rsidR="00EC794C" w:rsidRPr="00D920C9">
        <w:rPr>
          <w:rFonts w:asciiTheme="minorHAnsi" w:hAnsiTheme="minorHAnsi"/>
        </w:rPr>
        <w:t>,” and by including the prohibition “in the rules or instructions issued in regard to the duties and functions of any such person.”</w:t>
      </w:r>
      <w:r w:rsidR="00EC794C" w:rsidRPr="00D920C9">
        <w:rPr>
          <w:rFonts w:asciiTheme="minorHAnsi" w:hAnsiTheme="minorHAnsi"/>
          <w:vertAlign w:val="superscript"/>
        </w:rPr>
        <w:footnoteReference w:id="508"/>
      </w:r>
      <w:bookmarkEnd w:id="196"/>
    </w:p>
    <w:p w14:paraId="44980D45" w14:textId="77777777" w:rsidR="00A350FD" w:rsidRPr="00D920C9" w:rsidRDefault="00A350FD"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ICCPR Article 7 provides: “No one shall be subjected to torture or to cruel, inhuman or degrading treatment or punishment.”</w:t>
      </w:r>
      <w:r w:rsidRPr="00D920C9">
        <w:rPr>
          <w:rFonts w:asciiTheme="minorHAnsi" w:hAnsiTheme="minorHAnsi"/>
          <w:vertAlign w:val="superscript"/>
        </w:rPr>
        <w:footnoteReference w:id="509"/>
      </w:r>
      <w:r w:rsidRPr="00D920C9">
        <w:rPr>
          <w:rFonts w:asciiTheme="minorHAnsi" w:hAnsiTheme="minorHAnsi"/>
        </w:rPr>
        <w:t xml:space="preserve"> </w:t>
      </w:r>
    </w:p>
    <w:p w14:paraId="1841FB5E" w14:textId="51EB4341" w:rsidR="00A350FD" w:rsidRPr="00D920C9" w:rsidRDefault="00A350FD"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rPr>
        <w:t>CAT Article 1 defines torture as</w:t>
      </w:r>
      <w:r w:rsidR="00C91E4F" w:rsidRPr="00D920C9">
        <w:rPr>
          <w:rFonts w:asciiTheme="minorHAnsi" w:hAnsiTheme="minorHAnsi"/>
        </w:rPr>
        <w:t>:</w:t>
      </w:r>
      <w:r w:rsidRPr="00D920C9">
        <w:rPr>
          <w:rFonts w:asciiTheme="minorHAnsi" w:hAnsiTheme="minorHAnsi"/>
        </w:rPr>
        <w:t xml:space="preserve"> </w:t>
      </w:r>
    </w:p>
    <w:p w14:paraId="3654FCD2" w14:textId="77777777" w:rsidR="00A350FD" w:rsidRPr="00D920C9" w:rsidRDefault="00A350FD" w:rsidP="00C91E4F">
      <w:pPr>
        <w:pStyle w:val="ListParagraph"/>
        <w:spacing w:after="240" w:line="240" w:lineRule="auto"/>
        <w:ind w:left="1166" w:right="619"/>
        <w:contextualSpacing w:val="0"/>
        <w:jc w:val="both"/>
        <w:rPr>
          <w:rFonts w:asciiTheme="minorHAnsi" w:hAnsiTheme="minorHAnsi"/>
          <w:szCs w:val="18"/>
        </w:rPr>
      </w:pPr>
      <w:r w:rsidRPr="00D920C9">
        <w:rPr>
          <w:rFonts w:asciiTheme="minorHAnsi" w:hAnsiTheme="minorHAnsi"/>
          <w:szCs w:val="18"/>
        </w:rPr>
        <w:t xml:space="preserve">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w:t>
      </w:r>
      <w:r w:rsidRPr="00D920C9">
        <w:rPr>
          <w:rFonts w:asciiTheme="minorHAnsi" w:hAnsiTheme="minorHAnsi"/>
          <w:szCs w:val="18"/>
        </w:rPr>
        <w:lastRenderedPageBreak/>
        <w:t>intimidating or coercing him or a third person, or for any reason based on discrimination of any kind, when such pain or suffering is inflicted by or at the instigation of or with the consent or acquiescence of a public official or other person acting in an official capacity.</w:t>
      </w:r>
    </w:p>
    <w:p w14:paraId="7573DC8D" w14:textId="1CA28C00" w:rsidR="00A350FD" w:rsidRPr="00D920C9" w:rsidRDefault="00A350FD"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CAT Article 16 </w:t>
      </w:r>
      <w:r w:rsidRPr="00D920C9">
        <w:rPr>
          <w:rFonts w:asciiTheme="minorHAnsi" w:hAnsiTheme="minorHAnsi"/>
        </w:rPr>
        <w:t>additionally</w:t>
      </w:r>
      <w:r w:rsidRPr="00D920C9">
        <w:rPr>
          <w:rFonts w:asciiTheme="minorHAnsi" w:hAnsiTheme="minorHAnsi"/>
          <w:szCs w:val="20"/>
        </w:rPr>
        <w:t xml:space="preserve"> obligates States to avoid</w:t>
      </w:r>
      <w:r w:rsidR="0004388D">
        <w:rPr>
          <w:rFonts w:asciiTheme="minorHAnsi" w:hAnsiTheme="minorHAnsi"/>
          <w:szCs w:val="20"/>
        </w:rPr>
        <w:t>:</w:t>
      </w:r>
    </w:p>
    <w:p w14:paraId="78E10C5F" w14:textId="77777777" w:rsidR="00A350FD" w:rsidRPr="00D920C9" w:rsidRDefault="00A350FD" w:rsidP="001167CB">
      <w:pPr>
        <w:pStyle w:val="ListParagraph"/>
        <w:spacing w:after="240" w:line="240" w:lineRule="auto"/>
        <w:ind w:left="1166" w:right="619"/>
        <w:contextualSpacing w:val="0"/>
        <w:jc w:val="both"/>
        <w:rPr>
          <w:rFonts w:asciiTheme="minorHAnsi" w:hAnsiTheme="minorHAnsi"/>
          <w:szCs w:val="18"/>
        </w:rPr>
      </w:pPr>
      <w:proofErr w:type="gramStart"/>
      <w:r w:rsidRPr="00D920C9">
        <w:rPr>
          <w:rFonts w:asciiTheme="minorHAnsi" w:hAnsiTheme="minorHAnsi"/>
          <w:szCs w:val="18"/>
        </w:rPr>
        <w:t>other</w:t>
      </w:r>
      <w:proofErr w:type="gramEnd"/>
      <w:r w:rsidRPr="00D920C9">
        <w:rPr>
          <w:rFonts w:asciiTheme="minorHAnsi" w:hAnsiTheme="minorHAnsi"/>
          <w:szCs w:val="18"/>
        </w:rPr>
        <w:t xml:space="preserve"> acts of cruel, inhuman or degrading treatment or punishment which do not amount to torture as defined in article I, when such acts are committed by or at the instigation of or with the consent or acquiescence of a public official or other person acting in an official capacity.</w:t>
      </w:r>
    </w:p>
    <w:p w14:paraId="6CA4A227" w14:textId="77777777" w:rsidR="004F08A7" w:rsidRPr="00D920C9" w:rsidRDefault="004F08A7"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rPr>
        <w:t xml:space="preserve">The Inter-American Commission has </w:t>
      </w:r>
      <w:r w:rsidR="00C6286A" w:rsidRPr="00D920C9">
        <w:rPr>
          <w:rFonts w:asciiTheme="minorHAnsi" w:hAnsiTheme="minorHAnsi"/>
          <w:szCs w:val="20"/>
        </w:rPr>
        <w:t xml:space="preserve">further </w:t>
      </w:r>
      <w:r w:rsidRPr="00D920C9">
        <w:rPr>
          <w:rFonts w:asciiTheme="minorHAnsi" w:hAnsiTheme="minorHAnsi"/>
          <w:szCs w:val="20"/>
        </w:rPr>
        <w:t xml:space="preserve">stated that torture is an aggravated form of inhuman treatment perpetrated </w:t>
      </w:r>
      <w:r w:rsidRPr="00D920C9">
        <w:rPr>
          <w:rFonts w:asciiTheme="minorHAnsi" w:hAnsiTheme="minorHAnsi"/>
        </w:rPr>
        <w:t>with a purpose, namely to obtain information or confessions, as a preventative measure, or to inflict punishment.</w:t>
      </w:r>
      <w:r w:rsidRPr="00D920C9">
        <w:rPr>
          <w:rFonts w:asciiTheme="minorHAnsi" w:hAnsiTheme="minorHAnsi"/>
          <w:vertAlign w:val="superscript"/>
        </w:rPr>
        <w:footnoteReference w:id="510"/>
      </w:r>
      <w:r w:rsidRPr="00D920C9">
        <w:rPr>
          <w:rFonts w:asciiTheme="minorHAnsi" w:hAnsiTheme="minorHAnsi"/>
        </w:rPr>
        <w:t xml:space="preserve"> In this regard, the essential criterion to distinguish between torture and other CIDT "primarily results from the intensity of the suffering inflicted."</w:t>
      </w:r>
      <w:r w:rsidRPr="00D920C9">
        <w:rPr>
          <w:rFonts w:asciiTheme="minorHAnsi" w:hAnsiTheme="minorHAnsi"/>
          <w:vertAlign w:val="superscript"/>
        </w:rPr>
        <w:footnoteReference w:id="511"/>
      </w:r>
    </w:p>
    <w:p w14:paraId="02EDA5F0" w14:textId="3B76633E" w:rsidR="00C73C74" w:rsidRPr="00D920C9" w:rsidRDefault="00C73C74"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rPr>
        <w:t>The definition of torture explicitly does not include “pain or suffering arising only from, inherent in or incidental to lawful sanctions.</w:t>
      </w:r>
      <w:r w:rsidR="00B1250E" w:rsidRPr="00D920C9">
        <w:rPr>
          <w:rFonts w:asciiTheme="minorHAnsi" w:hAnsiTheme="minorHAnsi"/>
        </w:rPr>
        <w:t>”</w:t>
      </w:r>
      <w:r w:rsidR="00B1250E" w:rsidRPr="00D920C9">
        <w:rPr>
          <w:rFonts w:asciiTheme="minorHAnsi" w:hAnsiTheme="minorHAnsi"/>
          <w:vertAlign w:val="superscript"/>
        </w:rPr>
        <w:footnoteReference w:id="512"/>
      </w:r>
      <w:r w:rsidR="00B1250E" w:rsidRPr="00D920C9">
        <w:rPr>
          <w:rFonts w:asciiTheme="minorHAnsi" w:hAnsiTheme="minorHAnsi"/>
        </w:rPr>
        <w:t xml:space="preserve"> </w:t>
      </w:r>
      <w:r w:rsidR="002E49DC" w:rsidRPr="00D920C9">
        <w:rPr>
          <w:rFonts w:asciiTheme="minorHAnsi" w:hAnsiTheme="minorHAnsi"/>
        </w:rPr>
        <w:t xml:space="preserve">Thus, force that is not excessive and is used for a lawful purpose will not constitute torture or CIDT. However, excessive and unlawful use of force </w:t>
      </w:r>
      <w:r w:rsidR="00654BA9" w:rsidRPr="00D920C9">
        <w:rPr>
          <w:rFonts w:asciiTheme="minorHAnsi" w:hAnsiTheme="minorHAnsi"/>
        </w:rPr>
        <w:t>by police officers may constitute torture or CIDT</w:t>
      </w:r>
      <w:r w:rsidR="00EB3E23" w:rsidRPr="00D920C9">
        <w:rPr>
          <w:rFonts w:asciiTheme="minorHAnsi" w:hAnsiTheme="minorHAnsi"/>
        </w:rPr>
        <w:t>, particularly where it is intentionally inflicted, causing severe pain or suffering, for</w:t>
      </w:r>
      <w:r w:rsidR="00EB3E23" w:rsidRPr="00D920C9">
        <w:rPr>
          <w:rFonts w:asciiTheme="minorHAnsi" w:hAnsiTheme="minorHAnsi"/>
          <w:szCs w:val="20"/>
        </w:rPr>
        <w:t xml:space="preserve"> the purposes of interrogation, punishment or intimidation.</w:t>
      </w:r>
      <w:r w:rsidR="00DA489F" w:rsidRPr="00D920C9">
        <w:rPr>
          <w:rFonts w:asciiTheme="minorHAnsi" w:hAnsiTheme="minorHAnsi"/>
          <w:szCs w:val="20"/>
        </w:rPr>
        <w:t xml:space="preserve"> The Commission additionally considers it relevant to note that the intentional infliction of severe pain or suffering on a person by or with the acquiescence of State agents “for any reason based on discrimination of any kind”</w:t>
      </w:r>
      <w:r w:rsidR="006E17F4" w:rsidRPr="00D920C9">
        <w:rPr>
          <w:rFonts w:asciiTheme="minorHAnsi" w:hAnsiTheme="minorHAnsi"/>
          <w:szCs w:val="20"/>
        </w:rPr>
        <w:t xml:space="preserve"> would</w:t>
      </w:r>
      <w:r w:rsidR="00DA489F" w:rsidRPr="00D920C9">
        <w:rPr>
          <w:rFonts w:asciiTheme="minorHAnsi" w:hAnsiTheme="minorHAnsi"/>
          <w:szCs w:val="20"/>
        </w:rPr>
        <w:t xml:space="preserve"> constitute torture.</w:t>
      </w:r>
      <w:r w:rsidR="00DA489F" w:rsidRPr="00D920C9">
        <w:rPr>
          <w:rStyle w:val="FootnoteReference"/>
          <w:rFonts w:asciiTheme="minorHAnsi" w:hAnsiTheme="minorHAnsi"/>
          <w:szCs w:val="20"/>
        </w:rPr>
        <w:footnoteReference w:id="513"/>
      </w:r>
      <w:r w:rsidR="00DA489F" w:rsidRPr="00D920C9">
        <w:rPr>
          <w:rFonts w:asciiTheme="minorHAnsi" w:hAnsiTheme="minorHAnsi"/>
          <w:szCs w:val="20"/>
        </w:rPr>
        <w:t xml:space="preserve"> </w:t>
      </w:r>
    </w:p>
    <w:p w14:paraId="72038DB9" w14:textId="77777777" w:rsidR="00654BA9" w:rsidRPr="00D920C9" w:rsidRDefault="00654BA9"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rPr>
        <w:t>For example, in</w:t>
      </w:r>
      <w:r w:rsidR="00EB3E23" w:rsidRPr="00D920C9">
        <w:rPr>
          <w:rFonts w:asciiTheme="minorHAnsi" w:hAnsiTheme="minorHAnsi"/>
          <w:i/>
          <w:szCs w:val="20"/>
        </w:rPr>
        <w:t xml:space="preserve"> Michael G</w:t>
      </w:r>
      <w:r w:rsidRPr="00D920C9">
        <w:rPr>
          <w:rFonts w:asciiTheme="minorHAnsi" w:hAnsiTheme="minorHAnsi"/>
          <w:i/>
          <w:szCs w:val="20"/>
        </w:rPr>
        <w:t>ayle v. Jamaica</w:t>
      </w:r>
      <w:r w:rsidRPr="00D920C9">
        <w:rPr>
          <w:rFonts w:asciiTheme="minorHAnsi" w:hAnsiTheme="minorHAnsi"/>
          <w:szCs w:val="20"/>
        </w:rPr>
        <w:t xml:space="preserve">, the Inter-American Commission held that the brutal beating of Michael Gayle by </w:t>
      </w:r>
      <w:r w:rsidR="00C6286A" w:rsidRPr="00D920C9">
        <w:rPr>
          <w:rFonts w:asciiTheme="minorHAnsi" w:hAnsiTheme="minorHAnsi"/>
          <w:szCs w:val="20"/>
        </w:rPr>
        <w:t>S</w:t>
      </w:r>
      <w:r w:rsidRPr="00D920C9">
        <w:rPr>
          <w:rFonts w:asciiTheme="minorHAnsi" w:hAnsiTheme="minorHAnsi"/>
          <w:szCs w:val="20"/>
        </w:rPr>
        <w:t xml:space="preserve">tate security forces amounted to </w:t>
      </w:r>
      <w:r w:rsidR="00EB3E23" w:rsidRPr="00D920C9">
        <w:rPr>
          <w:rFonts w:asciiTheme="minorHAnsi" w:hAnsiTheme="minorHAnsi"/>
          <w:szCs w:val="20"/>
        </w:rPr>
        <w:t>torture.</w:t>
      </w:r>
      <w:r w:rsidRPr="00D920C9">
        <w:rPr>
          <w:rFonts w:asciiTheme="minorHAnsi" w:hAnsiTheme="minorHAnsi"/>
          <w:szCs w:val="20"/>
        </w:rPr>
        <w:t xml:space="preserve"> The record showed that during </w:t>
      </w:r>
      <w:r w:rsidR="00464244" w:rsidRPr="00D920C9">
        <w:rPr>
          <w:rFonts w:asciiTheme="minorHAnsi" w:hAnsiTheme="minorHAnsi"/>
          <w:szCs w:val="20"/>
        </w:rPr>
        <w:t>twelve</w:t>
      </w:r>
      <w:r w:rsidRPr="00D920C9">
        <w:rPr>
          <w:rFonts w:asciiTheme="minorHAnsi" w:hAnsiTheme="minorHAnsi"/>
          <w:szCs w:val="20"/>
        </w:rPr>
        <w:t xml:space="preserve"> minutes, Mr. Gayle was beaten with gun butts, punched</w:t>
      </w:r>
      <w:r w:rsidR="00C6286A" w:rsidRPr="00D920C9">
        <w:rPr>
          <w:rFonts w:asciiTheme="minorHAnsi" w:hAnsiTheme="minorHAnsi"/>
          <w:szCs w:val="20"/>
        </w:rPr>
        <w:t>,</w:t>
      </w:r>
      <w:r w:rsidRPr="00D920C9">
        <w:rPr>
          <w:rFonts w:asciiTheme="minorHAnsi" w:hAnsiTheme="minorHAnsi"/>
          <w:szCs w:val="20"/>
        </w:rPr>
        <w:t xml:space="preserve"> and kicked with military boots</w:t>
      </w:r>
      <w:r w:rsidR="00B751ED" w:rsidRPr="00D920C9">
        <w:rPr>
          <w:rFonts w:asciiTheme="minorHAnsi" w:hAnsiTheme="minorHAnsi"/>
          <w:szCs w:val="20"/>
        </w:rPr>
        <w:t>; t</w:t>
      </w:r>
      <w:r w:rsidRPr="00D920C9">
        <w:rPr>
          <w:rFonts w:asciiTheme="minorHAnsi" w:hAnsiTheme="minorHAnsi"/>
          <w:szCs w:val="20"/>
        </w:rPr>
        <w:t xml:space="preserve">he assaults were so severe </w:t>
      </w:r>
      <w:r w:rsidRPr="00D920C9">
        <w:rPr>
          <w:rFonts w:asciiTheme="minorHAnsi" w:hAnsiTheme="minorHAnsi"/>
        </w:rPr>
        <w:t xml:space="preserve">that they caused </w:t>
      </w:r>
      <w:r w:rsidR="00B751ED" w:rsidRPr="00D920C9">
        <w:rPr>
          <w:rFonts w:asciiTheme="minorHAnsi" w:hAnsiTheme="minorHAnsi"/>
        </w:rPr>
        <w:t>his</w:t>
      </w:r>
      <w:r w:rsidRPr="00D920C9">
        <w:rPr>
          <w:rFonts w:asciiTheme="minorHAnsi" w:hAnsiTheme="minorHAnsi"/>
        </w:rPr>
        <w:t xml:space="preserve"> stomach to rupture, which </w:t>
      </w:r>
      <w:r w:rsidRPr="00D920C9">
        <w:rPr>
          <w:rFonts w:asciiTheme="minorHAnsi" w:hAnsiTheme="minorHAnsi"/>
        </w:rPr>
        <w:lastRenderedPageBreak/>
        <w:t xml:space="preserve">resulted in his death two days later. </w:t>
      </w:r>
      <w:r w:rsidR="00B751ED" w:rsidRPr="00D920C9">
        <w:rPr>
          <w:rFonts w:asciiTheme="minorHAnsi" w:hAnsiTheme="minorHAnsi"/>
        </w:rPr>
        <w:t xml:space="preserve">Following the beating, he did not receive prompt medical attention; the autopsy later showed that prompt and proper medical attention could have saved his life. </w:t>
      </w:r>
      <w:r w:rsidRPr="00D920C9">
        <w:rPr>
          <w:rFonts w:asciiTheme="minorHAnsi" w:hAnsiTheme="minorHAnsi"/>
        </w:rPr>
        <w:t>Prior to his death, Mr. Gayle continued to suffer from the injurious effects of his beating.</w:t>
      </w:r>
      <w:r w:rsidR="00B751ED" w:rsidRPr="00D920C9">
        <w:rPr>
          <w:rFonts w:asciiTheme="minorHAnsi" w:hAnsiTheme="minorHAnsi"/>
          <w:vertAlign w:val="superscript"/>
        </w:rPr>
        <w:footnoteReference w:id="514"/>
      </w:r>
    </w:p>
    <w:p w14:paraId="484CE4C1" w14:textId="47CA2088" w:rsidR="003D0A1F" w:rsidRPr="00D920C9" w:rsidRDefault="00EB3E23"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Commission considered, among other factors, the fact that </w:t>
      </w:r>
      <w:r w:rsidR="00654BA9" w:rsidRPr="00D920C9">
        <w:rPr>
          <w:rFonts w:asciiTheme="minorHAnsi" w:hAnsiTheme="minorHAnsi"/>
        </w:rPr>
        <w:t>the beating of Michael Gayle was intentional</w:t>
      </w:r>
      <w:r w:rsidRPr="00D920C9">
        <w:rPr>
          <w:rFonts w:asciiTheme="minorHAnsi" w:hAnsiTheme="minorHAnsi"/>
        </w:rPr>
        <w:t xml:space="preserve">; that it </w:t>
      </w:r>
      <w:r w:rsidR="00654BA9" w:rsidRPr="00D920C9">
        <w:rPr>
          <w:rFonts w:asciiTheme="minorHAnsi" w:hAnsiTheme="minorHAnsi"/>
        </w:rPr>
        <w:t xml:space="preserve">was purported to have been imposed as a measure to prevent </w:t>
      </w:r>
      <w:r w:rsidRPr="00D920C9">
        <w:rPr>
          <w:rFonts w:asciiTheme="minorHAnsi" w:hAnsiTheme="minorHAnsi"/>
        </w:rPr>
        <w:t>him</w:t>
      </w:r>
      <w:r w:rsidR="00654BA9" w:rsidRPr="00D920C9">
        <w:rPr>
          <w:rFonts w:asciiTheme="minorHAnsi" w:hAnsiTheme="minorHAnsi"/>
        </w:rPr>
        <w:t xml:space="preserve"> from crossing </w:t>
      </w:r>
      <w:r w:rsidRPr="00D920C9">
        <w:rPr>
          <w:rFonts w:asciiTheme="minorHAnsi" w:hAnsiTheme="minorHAnsi"/>
        </w:rPr>
        <w:t>a</w:t>
      </w:r>
      <w:r w:rsidR="00654BA9" w:rsidRPr="00D920C9">
        <w:rPr>
          <w:rFonts w:asciiTheme="minorHAnsi" w:hAnsiTheme="minorHAnsi"/>
        </w:rPr>
        <w:t xml:space="preserve"> curfew barricade</w:t>
      </w:r>
      <w:r w:rsidRPr="00D920C9">
        <w:rPr>
          <w:rFonts w:asciiTheme="minorHAnsi" w:hAnsiTheme="minorHAnsi"/>
        </w:rPr>
        <w:t>; that it</w:t>
      </w:r>
      <w:r w:rsidR="00654BA9" w:rsidRPr="00D920C9">
        <w:rPr>
          <w:rFonts w:asciiTheme="minorHAnsi" w:hAnsiTheme="minorHAnsi"/>
        </w:rPr>
        <w:t xml:space="preserve"> was excessive</w:t>
      </w:r>
      <w:r w:rsidRPr="00D920C9">
        <w:rPr>
          <w:rFonts w:asciiTheme="minorHAnsi" w:hAnsiTheme="minorHAnsi"/>
        </w:rPr>
        <w:t xml:space="preserve">; that it </w:t>
      </w:r>
      <w:r w:rsidR="00654BA9" w:rsidRPr="00D920C9">
        <w:rPr>
          <w:rFonts w:asciiTheme="minorHAnsi" w:hAnsiTheme="minorHAnsi"/>
        </w:rPr>
        <w:t>caused severe physical and mental pain and suffering</w:t>
      </w:r>
      <w:r w:rsidRPr="00D920C9">
        <w:rPr>
          <w:rFonts w:asciiTheme="minorHAnsi" w:hAnsiTheme="minorHAnsi"/>
        </w:rPr>
        <w:t xml:space="preserve">; as well as </w:t>
      </w:r>
      <w:r w:rsidR="00654BA9" w:rsidRPr="00D920C9">
        <w:rPr>
          <w:rFonts w:asciiTheme="minorHAnsi" w:hAnsiTheme="minorHAnsi"/>
        </w:rPr>
        <w:t xml:space="preserve">the nature and intensity of the treatment, including the failure to provide him with prompt medical attention and </w:t>
      </w:r>
      <w:r w:rsidRPr="00D920C9">
        <w:rPr>
          <w:rFonts w:asciiTheme="minorHAnsi" w:hAnsiTheme="minorHAnsi"/>
        </w:rPr>
        <w:t>his resulting</w:t>
      </w:r>
      <w:r w:rsidR="00654BA9" w:rsidRPr="00D920C9">
        <w:rPr>
          <w:rFonts w:asciiTheme="minorHAnsi" w:hAnsiTheme="minorHAnsi"/>
        </w:rPr>
        <w:t xml:space="preserve"> protracted suffering.</w:t>
      </w:r>
      <w:r w:rsidRPr="00D920C9">
        <w:rPr>
          <w:rFonts w:asciiTheme="minorHAnsi" w:hAnsiTheme="minorHAnsi"/>
        </w:rPr>
        <w:t xml:space="preserve"> All of these factors led the Commission to consider that Mr. Gayle was a victim of torture</w:t>
      </w:r>
      <w:r w:rsidR="00C6286A" w:rsidRPr="00D920C9">
        <w:rPr>
          <w:rFonts w:asciiTheme="minorHAnsi" w:hAnsiTheme="minorHAnsi"/>
        </w:rPr>
        <w:t xml:space="preserve"> by State security forces</w:t>
      </w:r>
      <w:r w:rsidRPr="00D920C9">
        <w:rPr>
          <w:rFonts w:asciiTheme="minorHAnsi" w:hAnsiTheme="minorHAnsi"/>
        </w:rPr>
        <w:t>.</w:t>
      </w:r>
      <w:r w:rsidRPr="00D920C9">
        <w:rPr>
          <w:rFonts w:asciiTheme="minorHAnsi" w:hAnsiTheme="minorHAnsi"/>
          <w:vertAlign w:val="superscript"/>
        </w:rPr>
        <w:footnoteReference w:id="515"/>
      </w:r>
    </w:p>
    <w:p w14:paraId="09167917" w14:textId="304EE789" w:rsidR="003D0A1F" w:rsidRPr="00D920C9" w:rsidRDefault="00C6286A"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Commission recalls that the threshold for establishing CIDT is lower than the threshold for establishing torture, and the </w:t>
      </w:r>
      <w:r w:rsidR="00722549" w:rsidRPr="00D920C9">
        <w:rPr>
          <w:rFonts w:asciiTheme="minorHAnsi" w:hAnsiTheme="minorHAnsi"/>
        </w:rPr>
        <w:t xml:space="preserve">issue of CIDT may also be raised by racial profiling practices. </w:t>
      </w:r>
      <w:bookmarkStart w:id="197" w:name="_Ref507405023"/>
      <w:r w:rsidR="003D0A1F" w:rsidRPr="00D920C9">
        <w:rPr>
          <w:rFonts w:asciiTheme="minorHAnsi" w:hAnsiTheme="minorHAnsi"/>
        </w:rPr>
        <w:t>In particular, t</w:t>
      </w:r>
      <w:r w:rsidR="007A45D9" w:rsidRPr="00D920C9">
        <w:rPr>
          <w:rFonts w:asciiTheme="minorHAnsi" w:hAnsiTheme="minorHAnsi"/>
        </w:rPr>
        <w:t>he Commission has previously found that racially discriminatory treatment by State officials can constitute a violation of the prohibition on cruel, inhuman, and degrading treatment (CIDT). In Benito Tide Méndez v. Dominican Republic, the Commission found that the discrimination endured by the petitioners of Haitian descent at the hands of Dominican officials on the basis of their race or color constituted inhumane treatment and thus a violation of the prohibition of CIDT, “read in conjunction with the obligation to respect rights without discrimination.”</w:t>
      </w:r>
      <w:r w:rsidR="007A45D9" w:rsidRPr="00D920C9">
        <w:rPr>
          <w:rFonts w:asciiTheme="minorHAnsi" w:hAnsiTheme="minorHAnsi"/>
          <w:vertAlign w:val="superscript"/>
        </w:rPr>
        <w:footnoteReference w:id="516"/>
      </w:r>
      <w:bookmarkEnd w:id="197"/>
      <w:r w:rsidR="003D0A1F" w:rsidRPr="00D920C9">
        <w:rPr>
          <w:rFonts w:asciiTheme="minorHAnsi" w:hAnsiTheme="minorHAnsi"/>
        </w:rPr>
        <w:t xml:space="preserve"> </w:t>
      </w:r>
    </w:p>
    <w:p w14:paraId="6BC50F4C" w14:textId="362AAFD9" w:rsidR="003D0A1F" w:rsidRPr="00D920C9" w:rsidRDefault="003D0A1F"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The Commission further considered in Benito Tide Méndez that the "treatment or punishment of an individual may be degrading if he is severely humiliated in front of others or he is compelled to act against his wishes or conscience.”</w:t>
      </w:r>
      <w:r w:rsidRPr="00D920C9">
        <w:rPr>
          <w:rFonts w:asciiTheme="minorHAnsi" w:hAnsiTheme="minorHAnsi"/>
          <w:vertAlign w:val="superscript"/>
        </w:rPr>
        <w:footnoteReference w:id="517"/>
      </w:r>
      <w:r w:rsidRPr="00D920C9">
        <w:rPr>
          <w:rFonts w:asciiTheme="minorHAnsi" w:hAnsiTheme="minorHAnsi"/>
        </w:rPr>
        <w:t xml:space="preserve"> To evaluate whether treatment is inhumane or degrading, one must evaluate “the circumstances in each case, such as the duration of the treatment, its physical and mental effects and, in some cases, [...] race, color, nationality, immigration status, and other factors.”</w:t>
      </w:r>
      <w:r w:rsidRPr="00D920C9">
        <w:rPr>
          <w:rFonts w:asciiTheme="minorHAnsi" w:hAnsiTheme="minorHAnsi"/>
          <w:vertAlign w:val="superscript"/>
        </w:rPr>
        <w:footnoteReference w:id="518"/>
      </w:r>
      <w:r w:rsidRPr="00D920C9">
        <w:rPr>
          <w:rFonts w:asciiTheme="minorHAnsi" w:hAnsiTheme="minorHAnsi"/>
        </w:rPr>
        <w:t xml:space="preserve"> The Commission recalled that “degrading treatment is characterized by the fear, anxiety and inferiority induced for the purpose of humiliating and degrading the victim and breaking his [or her] physical and moral </w:t>
      </w:r>
      <w:r w:rsidRPr="00D920C9">
        <w:rPr>
          <w:rFonts w:asciiTheme="minorHAnsi" w:hAnsiTheme="minorHAnsi"/>
        </w:rPr>
        <w:lastRenderedPageBreak/>
        <w:t>resistance,” which “is exacerbated by the vulnerability of a person who is unlawfully detained.”</w:t>
      </w:r>
      <w:r w:rsidRPr="00D920C9">
        <w:rPr>
          <w:rFonts w:asciiTheme="minorHAnsi" w:hAnsiTheme="minorHAnsi"/>
          <w:vertAlign w:val="superscript"/>
        </w:rPr>
        <w:footnoteReference w:id="519"/>
      </w:r>
    </w:p>
    <w:p w14:paraId="5B436EC3" w14:textId="79559EA5" w:rsidR="00C6286A" w:rsidRPr="00D920C9" w:rsidRDefault="003D0A1F"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In this regard, the Commission reiterates the importance of t</w:t>
      </w:r>
      <w:r w:rsidR="00722549" w:rsidRPr="00D920C9">
        <w:rPr>
          <w:rFonts w:asciiTheme="minorHAnsi" w:hAnsiTheme="minorHAnsi"/>
        </w:rPr>
        <w:t>he development of appropriate protocols and training</w:t>
      </w:r>
      <w:r w:rsidR="00753713" w:rsidRPr="00D920C9">
        <w:rPr>
          <w:rFonts w:asciiTheme="minorHAnsi" w:hAnsiTheme="minorHAnsi"/>
        </w:rPr>
        <w:t>,</w:t>
      </w:r>
      <w:r w:rsidR="006E17F4" w:rsidRPr="00D920C9">
        <w:rPr>
          <w:rFonts w:asciiTheme="minorHAnsi" w:hAnsiTheme="minorHAnsi"/>
        </w:rPr>
        <w:t xml:space="preserve"> as well as processes to ensure accountability for failure to follow such requirements, in order to prevent </w:t>
      </w:r>
      <w:r w:rsidR="00722549" w:rsidRPr="00D920C9">
        <w:rPr>
          <w:rFonts w:asciiTheme="minorHAnsi" w:hAnsiTheme="minorHAnsi"/>
        </w:rPr>
        <w:t>and punish torture and cruel, inhuman, and degrading treatment.</w:t>
      </w:r>
    </w:p>
    <w:p w14:paraId="7EE9858E" w14:textId="676546E3" w:rsidR="004429AD" w:rsidRPr="00D920C9" w:rsidRDefault="007F7673" w:rsidP="00E86698">
      <w:pPr>
        <w:pStyle w:val="ListParagraph"/>
        <w:numPr>
          <w:ilvl w:val="0"/>
          <w:numId w:val="9"/>
        </w:numPr>
        <w:spacing w:after="240" w:line="240" w:lineRule="auto"/>
        <w:ind w:left="547" w:hanging="547"/>
        <w:contextualSpacing w:val="0"/>
        <w:jc w:val="both"/>
        <w:rPr>
          <w:rFonts w:asciiTheme="minorHAnsi" w:hAnsiTheme="minorHAnsi"/>
          <w:szCs w:val="20"/>
        </w:rPr>
      </w:pPr>
      <w:bookmarkStart w:id="198" w:name="_Ref507675840"/>
      <w:r w:rsidRPr="00D920C9">
        <w:rPr>
          <w:rFonts w:asciiTheme="minorHAnsi" w:hAnsiTheme="minorHAnsi"/>
        </w:rPr>
        <w:t>T</w:t>
      </w:r>
      <w:r w:rsidR="00EC794C" w:rsidRPr="00D920C9">
        <w:rPr>
          <w:rFonts w:asciiTheme="minorHAnsi" w:hAnsiTheme="minorHAnsi"/>
        </w:rPr>
        <w:t xml:space="preserve">he Commission echoes the concern expressed by the Committee Against Torture that </w:t>
      </w:r>
      <w:r w:rsidR="00A350FD" w:rsidRPr="00D920C9">
        <w:rPr>
          <w:rFonts w:asciiTheme="minorHAnsi" w:hAnsiTheme="minorHAnsi"/>
        </w:rPr>
        <w:t xml:space="preserve">“information, education and training provided to </w:t>
      </w:r>
      <w:r w:rsidR="00722549" w:rsidRPr="00D920C9">
        <w:rPr>
          <w:rFonts w:asciiTheme="minorHAnsi" w:hAnsiTheme="minorHAnsi"/>
        </w:rPr>
        <w:t>[U</w:t>
      </w:r>
      <w:r w:rsidR="00125C81" w:rsidRPr="00D920C9">
        <w:rPr>
          <w:rFonts w:asciiTheme="minorHAnsi" w:hAnsiTheme="minorHAnsi"/>
        </w:rPr>
        <w:t>.</w:t>
      </w:r>
      <w:r w:rsidR="00722549" w:rsidRPr="00D920C9">
        <w:rPr>
          <w:rFonts w:asciiTheme="minorHAnsi" w:hAnsiTheme="minorHAnsi"/>
        </w:rPr>
        <w:t>S</w:t>
      </w:r>
      <w:r w:rsidR="00125C81" w:rsidRPr="00D920C9">
        <w:rPr>
          <w:rFonts w:asciiTheme="minorHAnsi" w:hAnsiTheme="minorHAnsi"/>
        </w:rPr>
        <w:t>.</w:t>
      </w:r>
      <w:r w:rsidR="00722549" w:rsidRPr="00D920C9">
        <w:rPr>
          <w:rFonts w:asciiTheme="minorHAnsi" w:hAnsiTheme="minorHAnsi"/>
        </w:rPr>
        <w:t>]</w:t>
      </w:r>
      <w:r w:rsidR="00A350FD" w:rsidRPr="00D920C9">
        <w:rPr>
          <w:rFonts w:asciiTheme="minorHAnsi" w:hAnsiTheme="minorHAnsi"/>
        </w:rPr>
        <w:t xml:space="preserve"> law enforcement or military personnel are not adequate and do not focus on all provisions of the Convention, in particular on the non-</w:t>
      </w:r>
      <w:proofErr w:type="spellStart"/>
      <w:r w:rsidR="00A350FD" w:rsidRPr="00D920C9">
        <w:rPr>
          <w:rFonts w:asciiTheme="minorHAnsi" w:hAnsiTheme="minorHAnsi"/>
        </w:rPr>
        <w:t>derogable</w:t>
      </w:r>
      <w:proofErr w:type="spellEnd"/>
      <w:r w:rsidR="00A350FD" w:rsidRPr="00D920C9">
        <w:rPr>
          <w:rFonts w:asciiTheme="minorHAnsi" w:hAnsiTheme="minorHAnsi"/>
        </w:rPr>
        <w:t xml:space="preserve"> nature of the prohibition</w:t>
      </w:r>
      <w:r w:rsidR="00A350FD" w:rsidRPr="00D920C9">
        <w:rPr>
          <w:rFonts w:asciiTheme="minorHAnsi" w:hAnsiTheme="minorHAnsi"/>
          <w:szCs w:val="20"/>
        </w:rPr>
        <w:t xml:space="preserve"> of torture and the prevention of </w:t>
      </w:r>
      <w:r w:rsidR="00125C81" w:rsidRPr="00D920C9">
        <w:rPr>
          <w:rFonts w:asciiTheme="minorHAnsi" w:hAnsiTheme="minorHAnsi"/>
          <w:szCs w:val="20"/>
        </w:rPr>
        <w:t>[CIDT]</w:t>
      </w:r>
      <w:r w:rsidR="00A350FD" w:rsidRPr="00D920C9">
        <w:rPr>
          <w:rFonts w:asciiTheme="minorHAnsi" w:hAnsiTheme="minorHAnsi"/>
          <w:szCs w:val="20"/>
        </w:rPr>
        <w:t>.”</w:t>
      </w:r>
      <w:r w:rsidR="00EC794C" w:rsidRPr="00D920C9">
        <w:rPr>
          <w:rStyle w:val="FootnoteReference"/>
          <w:rFonts w:asciiTheme="minorHAnsi" w:hAnsiTheme="minorHAnsi"/>
          <w:szCs w:val="20"/>
        </w:rPr>
        <w:footnoteReference w:id="520"/>
      </w:r>
      <w:r w:rsidR="00A350FD" w:rsidRPr="00D920C9">
        <w:rPr>
          <w:rFonts w:asciiTheme="minorHAnsi" w:hAnsiTheme="minorHAnsi"/>
          <w:szCs w:val="20"/>
        </w:rPr>
        <w:t xml:space="preserve"> </w:t>
      </w:r>
      <w:r w:rsidR="00722549" w:rsidRPr="00D920C9">
        <w:rPr>
          <w:rFonts w:asciiTheme="minorHAnsi" w:hAnsiTheme="minorHAnsi"/>
          <w:szCs w:val="20"/>
        </w:rPr>
        <w:t>This, in light of</w:t>
      </w:r>
      <w:r w:rsidR="003934C2" w:rsidRPr="00D920C9">
        <w:rPr>
          <w:rFonts w:asciiTheme="minorHAnsi" w:hAnsiTheme="minorHAnsi"/>
          <w:szCs w:val="20"/>
        </w:rPr>
        <w:t xml:space="preserve"> “reports of brutality and use </w:t>
      </w:r>
      <w:r w:rsidR="009423DC" w:rsidRPr="00D920C9">
        <w:rPr>
          <w:rFonts w:asciiTheme="minorHAnsi" w:hAnsiTheme="minorHAnsi"/>
          <w:szCs w:val="20"/>
        </w:rPr>
        <w:t xml:space="preserve">of excessive force by the </w:t>
      </w:r>
      <w:proofErr w:type="gramStart"/>
      <w:r w:rsidR="009423DC" w:rsidRPr="00D920C9">
        <w:rPr>
          <w:rFonts w:asciiTheme="minorHAnsi" w:hAnsiTheme="minorHAnsi"/>
          <w:szCs w:val="20"/>
        </w:rPr>
        <w:t>State[</w:t>
      </w:r>
      <w:proofErr w:type="gramEnd"/>
      <w:r w:rsidR="009423DC" w:rsidRPr="00D920C9">
        <w:rPr>
          <w:rFonts w:asciiTheme="minorHAnsi" w:hAnsiTheme="minorHAnsi"/>
          <w:szCs w:val="20"/>
        </w:rPr>
        <w:t xml:space="preserve">‘s] </w:t>
      </w:r>
      <w:r w:rsidR="003934C2" w:rsidRPr="00D920C9">
        <w:rPr>
          <w:rFonts w:asciiTheme="minorHAnsi" w:hAnsiTheme="minorHAnsi"/>
          <w:szCs w:val="20"/>
        </w:rPr>
        <w:t xml:space="preserve">law-enforcement personnel, and the numerous allegations of their ill-treatment of vulnerable groups, in particular racial minorities, migrants and </w:t>
      </w:r>
      <w:r w:rsidR="009423DC" w:rsidRPr="00D920C9">
        <w:rPr>
          <w:rFonts w:asciiTheme="minorHAnsi" w:hAnsiTheme="minorHAnsi"/>
          <w:szCs w:val="20"/>
        </w:rPr>
        <w:t>[LGBTI persons],</w:t>
      </w:r>
      <w:r w:rsidR="003934C2" w:rsidRPr="00D920C9">
        <w:rPr>
          <w:rFonts w:asciiTheme="minorHAnsi" w:hAnsiTheme="minorHAnsi"/>
          <w:szCs w:val="20"/>
        </w:rPr>
        <w:t>”</w:t>
      </w:r>
      <w:r w:rsidR="003934C2" w:rsidRPr="00D920C9">
        <w:rPr>
          <w:rStyle w:val="FootnoteReference"/>
          <w:rFonts w:asciiTheme="minorHAnsi" w:hAnsiTheme="minorHAnsi"/>
          <w:szCs w:val="20"/>
        </w:rPr>
        <w:footnoteReference w:id="521"/>
      </w:r>
      <w:r w:rsidR="00EE7DC7" w:rsidRPr="00D920C9">
        <w:rPr>
          <w:rFonts w:asciiTheme="minorHAnsi" w:hAnsiTheme="minorHAnsi"/>
          <w:szCs w:val="20"/>
        </w:rPr>
        <w:t xml:space="preserve"> </w:t>
      </w:r>
      <w:bookmarkStart w:id="199" w:name="_Hlk504833187"/>
      <w:r w:rsidR="00722549" w:rsidRPr="00D920C9">
        <w:rPr>
          <w:rFonts w:asciiTheme="minorHAnsi" w:hAnsiTheme="minorHAnsi"/>
          <w:szCs w:val="20"/>
        </w:rPr>
        <w:t xml:space="preserve">and </w:t>
      </w:r>
      <w:r w:rsidR="00EE7DC7" w:rsidRPr="00D920C9">
        <w:rPr>
          <w:rFonts w:asciiTheme="minorHAnsi" w:hAnsiTheme="minorHAnsi"/>
          <w:szCs w:val="20"/>
        </w:rPr>
        <w:t>“the frequent and recurrent shootings or fatal pursuits by the police of unarmed black individuals.”</w:t>
      </w:r>
      <w:r w:rsidR="00EE7DC7" w:rsidRPr="00D920C9">
        <w:rPr>
          <w:rStyle w:val="FootnoteReference"/>
          <w:rFonts w:asciiTheme="minorHAnsi" w:hAnsiTheme="minorHAnsi"/>
          <w:szCs w:val="20"/>
        </w:rPr>
        <w:footnoteReference w:id="522"/>
      </w:r>
      <w:r w:rsidR="00EE7DC7" w:rsidRPr="00D920C9">
        <w:rPr>
          <w:rFonts w:asciiTheme="minorHAnsi" w:hAnsiTheme="minorHAnsi"/>
          <w:szCs w:val="20"/>
        </w:rPr>
        <w:t xml:space="preserve"> </w:t>
      </w:r>
      <w:bookmarkEnd w:id="199"/>
      <w:r w:rsidRPr="00D920C9">
        <w:rPr>
          <w:rFonts w:asciiTheme="minorHAnsi" w:hAnsiTheme="minorHAnsi"/>
          <w:szCs w:val="20"/>
        </w:rPr>
        <w:t>T</w:t>
      </w:r>
      <w:r w:rsidR="00722549" w:rsidRPr="00D920C9">
        <w:rPr>
          <w:rFonts w:asciiTheme="minorHAnsi" w:hAnsiTheme="minorHAnsi"/>
          <w:szCs w:val="20"/>
        </w:rPr>
        <w:t>he Commission calls on the State to fulfill its duty to act with due diligence to prevent torture and cruel, inhuman, and degrading treatment.</w:t>
      </w:r>
      <w:r w:rsidR="00722549" w:rsidRPr="00D920C9">
        <w:rPr>
          <w:rStyle w:val="FootnoteReference"/>
          <w:rFonts w:asciiTheme="minorHAnsi" w:hAnsiTheme="minorHAnsi"/>
          <w:szCs w:val="20"/>
        </w:rPr>
        <w:footnoteReference w:id="523"/>
      </w:r>
      <w:bookmarkEnd w:id="198"/>
    </w:p>
    <w:p w14:paraId="3F02B62E" w14:textId="236BE0B1" w:rsidR="00D21101" w:rsidRPr="00226E45" w:rsidRDefault="00D21101" w:rsidP="00226E45">
      <w:pPr>
        <w:pStyle w:val="Heading3"/>
        <w:ind w:left="547" w:hanging="547"/>
      </w:pPr>
      <w:bookmarkStart w:id="201" w:name="_Toc511837838"/>
      <w:bookmarkStart w:id="202" w:name="_Toc511903011"/>
      <w:bookmarkStart w:id="203" w:name="_Toc517687940"/>
      <w:r w:rsidRPr="00226E45">
        <w:t xml:space="preserve">Militarization of </w:t>
      </w:r>
      <w:r w:rsidR="003A6706" w:rsidRPr="00226E45">
        <w:t>Police</w:t>
      </w:r>
      <w:bookmarkEnd w:id="201"/>
      <w:bookmarkEnd w:id="202"/>
      <w:bookmarkEnd w:id="203"/>
    </w:p>
    <w:p w14:paraId="6613CB3D" w14:textId="6AAFBABA" w:rsidR="00D21101" w:rsidRPr="00D920C9" w:rsidRDefault="003C6C15" w:rsidP="00E86698">
      <w:pPr>
        <w:pStyle w:val="ListParagraph"/>
        <w:numPr>
          <w:ilvl w:val="0"/>
          <w:numId w:val="9"/>
        </w:numPr>
        <w:spacing w:after="240" w:line="240" w:lineRule="auto"/>
        <w:ind w:left="547" w:hanging="547"/>
        <w:contextualSpacing w:val="0"/>
        <w:jc w:val="both"/>
        <w:rPr>
          <w:rFonts w:asciiTheme="minorHAnsi" w:hAnsiTheme="minorHAnsi"/>
        </w:rPr>
      </w:pPr>
      <w:bookmarkStart w:id="204" w:name="_Ref507676083"/>
      <w:r w:rsidRPr="00D920C9">
        <w:rPr>
          <w:rFonts w:asciiTheme="minorHAnsi" w:hAnsiTheme="minorHAnsi"/>
          <w:szCs w:val="20"/>
        </w:rPr>
        <w:t xml:space="preserve">The Commission is concerned by the level of militarization of local police forces in the United States, as well as by </w:t>
      </w:r>
      <w:r w:rsidRPr="00D920C9">
        <w:rPr>
          <w:rFonts w:asciiTheme="minorHAnsi" w:hAnsiTheme="minorHAnsi"/>
        </w:rPr>
        <w:t>recent information that steps taken to decrease militarization at the federal level are being reversed.</w:t>
      </w:r>
      <w:r w:rsidR="00756FB1" w:rsidRPr="00D920C9">
        <w:rPr>
          <w:rFonts w:asciiTheme="minorHAnsi" w:hAnsiTheme="minorHAnsi"/>
          <w:vertAlign w:val="superscript"/>
        </w:rPr>
        <w:footnoteReference w:id="524"/>
      </w:r>
      <w:r w:rsidRPr="00D920C9">
        <w:rPr>
          <w:rFonts w:asciiTheme="minorHAnsi" w:hAnsiTheme="minorHAnsi"/>
        </w:rPr>
        <w:t xml:space="preserve"> In particular, the Commission observes that the</w:t>
      </w:r>
      <w:r w:rsidR="00D21101" w:rsidRPr="00D920C9">
        <w:rPr>
          <w:rFonts w:asciiTheme="minorHAnsi" w:hAnsiTheme="minorHAnsi"/>
        </w:rPr>
        <w:t xml:space="preserve"> use of </w:t>
      </w:r>
      <w:r w:rsidRPr="00D920C9">
        <w:rPr>
          <w:rFonts w:asciiTheme="minorHAnsi" w:hAnsiTheme="minorHAnsi"/>
        </w:rPr>
        <w:t>military-grade</w:t>
      </w:r>
      <w:r w:rsidR="00D21101" w:rsidRPr="00D920C9">
        <w:rPr>
          <w:rFonts w:asciiTheme="minorHAnsi" w:hAnsiTheme="minorHAnsi"/>
        </w:rPr>
        <w:t xml:space="preserve"> tools and tactics </w:t>
      </w:r>
      <w:r w:rsidRPr="00D920C9">
        <w:rPr>
          <w:rFonts w:asciiTheme="minorHAnsi" w:hAnsiTheme="minorHAnsi"/>
        </w:rPr>
        <w:t xml:space="preserve">by local police forces </w:t>
      </w:r>
      <w:r w:rsidR="00D21101" w:rsidRPr="00D920C9">
        <w:rPr>
          <w:rFonts w:asciiTheme="minorHAnsi" w:hAnsiTheme="minorHAnsi"/>
        </w:rPr>
        <w:t>escalates the risk of excessive force and undermines respect for human rights.</w:t>
      </w:r>
      <w:r w:rsidR="00D21101" w:rsidRPr="00D920C9">
        <w:rPr>
          <w:rFonts w:asciiTheme="minorHAnsi" w:hAnsiTheme="minorHAnsi"/>
          <w:vertAlign w:val="superscript"/>
        </w:rPr>
        <w:footnoteReference w:id="525"/>
      </w:r>
      <w:r w:rsidR="00D21101" w:rsidRPr="00D920C9">
        <w:rPr>
          <w:rFonts w:asciiTheme="minorHAnsi" w:hAnsiTheme="minorHAnsi"/>
        </w:rPr>
        <w:t xml:space="preserve"> The use of violent tactics and military equipment increases the risk of bodily harm,</w:t>
      </w:r>
      <w:r w:rsidR="00D21101" w:rsidRPr="00D920C9">
        <w:rPr>
          <w:rFonts w:asciiTheme="minorHAnsi" w:hAnsiTheme="minorHAnsi"/>
          <w:vertAlign w:val="superscript"/>
        </w:rPr>
        <w:footnoteReference w:id="526"/>
      </w:r>
      <w:r w:rsidR="00D21101" w:rsidRPr="00D920C9">
        <w:rPr>
          <w:rFonts w:asciiTheme="minorHAnsi" w:hAnsiTheme="minorHAnsi"/>
        </w:rPr>
        <w:t xml:space="preserve"> including injury and death.</w:t>
      </w:r>
      <w:r w:rsidR="00D21101" w:rsidRPr="00D920C9">
        <w:rPr>
          <w:rFonts w:asciiTheme="minorHAnsi" w:hAnsiTheme="minorHAnsi"/>
          <w:vertAlign w:val="superscript"/>
        </w:rPr>
        <w:footnoteReference w:id="527"/>
      </w:r>
      <w:bookmarkEnd w:id="204"/>
    </w:p>
    <w:p w14:paraId="2068DCC5" w14:textId="729B61F6" w:rsidR="00D21101" w:rsidRPr="00D920C9" w:rsidRDefault="00D21101"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rPr>
        <w:lastRenderedPageBreak/>
        <w:t xml:space="preserve">The Commission notes that </w:t>
      </w:r>
      <w:r w:rsidR="00756FB1" w:rsidRPr="00D920C9">
        <w:rPr>
          <w:rFonts w:asciiTheme="minorHAnsi" w:hAnsiTheme="minorHAnsi"/>
        </w:rPr>
        <w:t>militarized</w:t>
      </w:r>
      <w:r w:rsidRPr="00D920C9">
        <w:rPr>
          <w:rFonts w:asciiTheme="minorHAnsi" w:hAnsiTheme="minorHAnsi"/>
        </w:rPr>
        <w:t xml:space="preserve"> policing is not simply a matter of appearance</w:t>
      </w:r>
      <w:r w:rsidR="00756FB1" w:rsidRPr="00D920C9">
        <w:rPr>
          <w:rFonts w:asciiTheme="minorHAnsi" w:hAnsiTheme="minorHAnsi"/>
        </w:rPr>
        <w:t>,</w:t>
      </w:r>
      <w:r w:rsidRPr="00D920C9">
        <w:rPr>
          <w:rFonts w:asciiTheme="minorHAnsi" w:hAnsiTheme="minorHAnsi"/>
        </w:rPr>
        <w:t xml:space="preserve"> nor does the use of military-style tactics and equipment simply undermine community trust. Rather, it may violate the principles of necessity and proportionality under international law.</w:t>
      </w:r>
      <w:r w:rsidRPr="00D920C9">
        <w:rPr>
          <w:rFonts w:asciiTheme="minorHAnsi" w:hAnsiTheme="minorHAnsi"/>
          <w:vertAlign w:val="superscript"/>
        </w:rPr>
        <w:footnoteReference w:id="528"/>
      </w:r>
      <w:r w:rsidRPr="00D920C9">
        <w:rPr>
          <w:rFonts w:asciiTheme="minorHAnsi" w:hAnsiTheme="minorHAnsi"/>
        </w:rPr>
        <w:t xml:space="preserve"> </w:t>
      </w:r>
      <w:r w:rsidR="00C1070E" w:rsidRPr="00D920C9">
        <w:rPr>
          <w:rFonts w:asciiTheme="minorHAnsi" w:hAnsiTheme="minorHAnsi"/>
        </w:rPr>
        <w:t xml:space="preserve">When used in the context of peaceful protests, militarized police tactics may undermine the rights to freedom of expression, association and assembly, and the right to take part in the conduct of public affairs. </w:t>
      </w:r>
      <w:r w:rsidRPr="00D920C9">
        <w:rPr>
          <w:rFonts w:asciiTheme="minorHAnsi" w:hAnsiTheme="minorHAnsi"/>
        </w:rPr>
        <w:t>The Commission has stated that</w:t>
      </w:r>
      <w:r w:rsidR="00B26F80" w:rsidRPr="00D920C9">
        <w:rPr>
          <w:rFonts w:asciiTheme="minorHAnsi" w:hAnsiTheme="minorHAnsi"/>
        </w:rPr>
        <w:t xml:space="preserve"> the</w:t>
      </w:r>
      <w:r w:rsidRPr="00D920C9">
        <w:rPr>
          <w:rFonts w:asciiTheme="minorHAnsi" w:hAnsiTheme="minorHAnsi"/>
          <w:szCs w:val="20"/>
        </w:rPr>
        <w:t xml:space="preserve"> police and armed forces are</w:t>
      </w:r>
      <w:r w:rsidR="00B26F80" w:rsidRPr="00D920C9">
        <w:rPr>
          <w:rFonts w:asciiTheme="minorHAnsi" w:hAnsiTheme="minorHAnsi"/>
          <w:szCs w:val="20"/>
        </w:rPr>
        <w:t xml:space="preserve"> entrusted with</w:t>
      </w:r>
      <w:r w:rsidRPr="00D920C9">
        <w:rPr>
          <w:rFonts w:asciiTheme="minorHAnsi" w:hAnsiTheme="minorHAnsi"/>
          <w:szCs w:val="20"/>
        </w:rPr>
        <w:t xml:space="preserve"> substantively different missions and</w:t>
      </w:r>
      <w:r w:rsidR="00B26F80" w:rsidRPr="00D920C9">
        <w:rPr>
          <w:rFonts w:asciiTheme="minorHAnsi" w:hAnsiTheme="minorHAnsi"/>
          <w:szCs w:val="20"/>
        </w:rPr>
        <w:t xml:space="preserve"> members of the respective forces are trained for those very different missions; accordingly there should </w:t>
      </w:r>
      <w:r w:rsidRPr="00D920C9">
        <w:rPr>
          <w:rFonts w:asciiTheme="minorHAnsi" w:hAnsiTheme="minorHAnsi"/>
          <w:szCs w:val="20"/>
        </w:rPr>
        <w:t>be a clear distinction between internal security and law enforcement as the function of the police and national defense as the function of the armed forces.</w:t>
      </w:r>
      <w:r w:rsidRPr="00D920C9">
        <w:rPr>
          <w:rStyle w:val="FootnoteReference"/>
          <w:rFonts w:asciiTheme="minorHAnsi" w:hAnsiTheme="minorHAnsi"/>
          <w:szCs w:val="20"/>
        </w:rPr>
        <w:footnoteReference w:id="529"/>
      </w:r>
    </w:p>
    <w:p w14:paraId="71EA43D6" w14:textId="6BD467C9" w:rsidR="00772E4F" w:rsidRPr="00226E45" w:rsidRDefault="00B4412C" w:rsidP="00226E45">
      <w:pPr>
        <w:pStyle w:val="Heading3"/>
        <w:numPr>
          <w:ilvl w:val="0"/>
          <w:numId w:val="44"/>
        </w:numPr>
        <w:ind w:left="547" w:hanging="547"/>
      </w:pPr>
      <w:bookmarkStart w:id="205" w:name="_Toc511837839"/>
      <w:bookmarkStart w:id="206" w:name="_Toc511903012"/>
      <w:bookmarkStart w:id="207" w:name="_Toc517687941"/>
      <w:r w:rsidRPr="00226E45">
        <w:t xml:space="preserve">Use of </w:t>
      </w:r>
      <w:r w:rsidR="003A6706" w:rsidRPr="00226E45">
        <w:t xml:space="preserve">Force </w:t>
      </w:r>
      <w:r w:rsidRPr="00226E45">
        <w:t xml:space="preserve">and </w:t>
      </w:r>
      <w:r w:rsidR="003A6706" w:rsidRPr="00226E45">
        <w:t>Social Protest</w:t>
      </w:r>
      <w:bookmarkEnd w:id="205"/>
      <w:bookmarkEnd w:id="206"/>
      <w:bookmarkEnd w:id="207"/>
    </w:p>
    <w:p w14:paraId="43395384" w14:textId="5A67E98E" w:rsidR="00C1070E" w:rsidRPr="00D920C9" w:rsidRDefault="003C6C15" w:rsidP="00E86698">
      <w:pPr>
        <w:pStyle w:val="ListParagraph"/>
        <w:numPr>
          <w:ilvl w:val="0"/>
          <w:numId w:val="9"/>
        </w:numPr>
        <w:spacing w:after="240" w:line="240" w:lineRule="auto"/>
        <w:ind w:left="547" w:hanging="547"/>
        <w:contextualSpacing w:val="0"/>
        <w:jc w:val="both"/>
        <w:rPr>
          <w:rFonts w:asciiTheme="minorHAnsi" w:hAnsiTheme="minorHAnsi"/>
        </w:rPr>
      </w:pPr>
      <w:bookmarkStart w:id="208" w:name="_Ref507675980"/>
      <w:r w:rsidRPr="00D920C9">
        <w:rPr>
          <w:rFonts w:asciiTheme="minorHAnsi" w:hAnsiTheme="minorHAnsi"/>
          <w:szCs w:val="20"/>
        </w:rPr>
        <w:t xml:space="preserve">Of special concern to </w:t>
      </w:r>
      <w:r w:rsidR="00516323" w:rsidRPr="00D920C9">
        <w:rPr>
          <w:rFonts w:asciiTheme="minorHAnsi" w:hAnsiTheme="minorHAnsi"/>
          <w:szCs w:val="20"/>
        </w:rPr>
        <w:t>the</w:t>
      </w:r>
      <w:r w:rsidRPr="00D920C9">
        <w:rPr>
          <w:rFonts w:asciiTheme="minorHAnsi" w:hAnsiTheme="minorHAnsi"/>
          <w:szCs w:val="20"/>
        </w:rPr>
        <w:t xml:space="preserve"> Commission is the use of force to contain</w:t>
      </w:r>
      <w:r w:rsidR="00B26F80" w:rsidRPr="00D920C9">
        <w:rPr>
          <w:rFonts w:asciiTheme="minorHAnsi" w:hAnsiTheme="minorHAnsi"/>
          <w:szCs w:val="20"/>
        </w:rPr>
        <w:t xml:space="preserve"> or </w:t>
      </w:r>
      <w:r w:rsidR="0025402C" w:rsidRPr="00D920C9">
        <w:rPr>
          <w:rFonts w:asciiTheme="minorHAnsi" w:hAnsiTheme="minorHAnsi"/>
          <w:szCs w:val="20"/>
        </w:rPr>
        <w:t>repress</w:t>
      </w:r>
      <w:r w:rsidR="0025402C" w:rsidRPr="00D920C9" w:rsidDel="0025402C">
        <w:rPr>
          <w:rFonts w:asciiTheme="minorHAnsi" w:hAnsiTheme="minorHAnsi"/>
          <w:szCs w:val="20"/>
        </w:rPr>
        <w:t xml:space="preserve"> </w:t>
      </w:r>
      <w:r w:rsidRPr="00D920C9">
        <w:rPr>
          <w:rFonts w:asciiTheme="minorHAnsi" w:hAnsiTheme="minorHAnsi"/>
          <w:szCs w:val="20"/>
        </w:rPr>
        <w:t>social protests and public demonstrations that seek to give an outlet to discontent and struggles to vindicate fundamental rights</w:t>
      </w:r>
      <w:r w:rsidR="00756FB1" w:rsidRPr="00D920C9">
        <w:rPr>
          <w:rFonts w:asciiTheme="minorHAnsi" w:hAnsiTheme="minorHAnsi"/>
          <w:szCs w:val="20"/>
        </w:rPr>
        <w:t>,</w:t>
      </w:r>
      <w:r w:rsidR="00C1070E" w:rsidRPr="00D920C9">
        <w:rPr>
          <w:rStyle w:val="FootnoteReference"/>
          <w:rFonts w:asciiTheme="minorHAnsi" w:hAnsiTheme="minorHAnsi"/>
          <w:szCs w:val="20"/>
        </w:rPr>
        <w:footnoteReference w:id="530"/>
      </w:r>
      <w:r w:rsidR="00C1070E" w:rsidRPr="00D920C9">
        <w:rPr>
          <w:rFonts w:asciiTheme="minorHAnsi" w:hAnsiTheme="minorHAnsi"/>
          <w:szCs w:val="20"/>
        </w:rPr>
        <w:t xml:space="preserve"> </w:t>
      </w:r>
      <w:r w:rsidR="00756FB1" w:rsidRPr="00D920C9">
        <w:rPr>
          <w:rFonts w:asciiTheme="minorHAnsi" w:hAnsiTheme="minorHAnsi"/>
          <w:szCs w:val="20"/>
        </w:rPr>
        <w:t>such as demonstrations protesting racial discrimination or impunity for police violence in the US.</w:t>
      </w:r>
      <w:r w:rsidR="00756FB1" w:rsidRPr="00D920C9">
        <w:rPr>
          <w:rStyle w:val="FootnoteReference"/>
          <w:rFonts w:asciiTheme="minorHAnsi" w:hAnsiTheme="minorHAnsi"/>
          <w:szCs w:val="20"/>
        </w:rPr>
        <w:footnoteReference w:id="531"/>
      </w:r>
      <w:r w:rsidR="00756FB1" w:rsidRPr="00D920C9">
        <w:rPr>
          <w:rFonts w:asciiTheme="minorHAnsi" w:hAnsiTheme="minorHAnsi"/>
          <w:szCs w:val="20"/>
        </w:rPr>
        <w:t xml:space="preserve"> </w:t>
      </w:r>
      <w:r w:rsidR="00C1070E" w:rsidRPr="00D920C9">
        <w:rPr>
          <w:rFonts w:asciiTheme="minorHAnsi" w:hAnsiTheme="minorHAnsi"/>
          <w:szCs w:val="20"/>
        </w:rPr>
        <w:t xml:space="preserve">In </w:t>
      </w:r>
      <w:r w:rsidR="00516323" w:rsidRPr="00D920C9">
        <w:rPr>
          <w:rFonts w:asciiTheme="minorHAnsi" w:hAnsiTheme="minorHAnsi"/>
          <w:szCs w:val="20"/>
        </w:rPr>
        <w:t xml:space="preserve">a </w:t>
      </w:r>
      <w:r w:rsidR="00C1070E" w:rsidRPr="00D920C9">
        <w:rPr>
          <w:rFonts w:asciiTheme="minorHAnsi" w:hAnsiTheme="minorHAnsi"/>
          <w:szCs w:val="20"/>
        </w:rPr>
        <w:t>democrac</w:t>
      </w:r>
      <w:r w:rsidR="00516323" w:rsidRPr="00D920C9">
        <w:rPr>
          <w:rFonts w:asciiTheme="minorHAnsi" w:hAnsiTheme="minorHAnsi"/>
          <w:szCs w:val="20"/>
        </w:rPr>
        <w:t>y</w:t>
      </w:r>
      <w:r w:rsidR="00C1070E" w:rsidRPr="00D920C9">
        <w:rPr>
          <w:rFonts w:asciiTheme="minorHAnsi" w:hAnsiTheme="minorHAnsi"/>
          <w:szCs w:val="20"/>
        </w:rPr>
        <w:t xml:space="preserve">, </w:t>
      </w:r>
      <w:r w:rsidR="00516323" w:rsidRPr="00D920C9">
        <w:rPr>
          <w:rFonts w:asciiTheme="minorHAnsi" w:hAnsiTheme="minorHAnsi"/>
        </w:rPr>
        <w:t>S</w:t>
      </w:r>
      <w:r w:rsidR="00C1070E" w:rsidRPr="00D920C9">
        <w:rPr>
          <w:rFonts w:asciiTheme="minorHAnsi" w:hAnsiTheme="minorHAnsi"/>
        </w:rPr>
        <w:t>tate</w:t>
      </w:r>
      <w:r w:rsidR="00516323" w:rsidRPr="00D920C9">
        <w:rPr>
          <w:rFonts w:asciiTheme="minorHAnsi" w:hAnsiTheme="minorHAnsi"/>
        </w:rPr>
        <w:t xml:space="preserve"> authorities</w:t>
      </w:r>
      <w:r w:rsidR="00C1070E" w:rsidRPr="00D920C9">
        <w:rPr>
          <w:rFonts w:asciiTheme="minorHAnsi" w:hAnsiTheme="minorHAnsi"/>
        </w:rPr>
        <w:t xml:space="preserve"> should act under the assumption that </w:t>
      </w:r>
      <w:r w:rsidR="00516323" w:rsidRPr="00D920C9">
        <w:rPr>
          <w:rFonts w:asciiTheme="minorHAnsi" w:hAnsiTheme="minorHAnsi"/>
        </w:rPr>
        <w:t xml:space="preserve">protests or public demonstrations </w:t>
      </w:r>
      <w:r w:rsidR="00C1070E" w:rsidRPr="00D920C9">
        <w:rPr>
          <w:rFonts w:asciiTheme="minorHAnsi" w:hAnsiTheme="minorHAnsi"/>
        </w:rPr>
        <w:t>do not cons</w:t>
      </w:r>
      <w:r w:rsidR="00516323" w:rsidRPr="00D920C9">
        <w:rPr>
          <w:rFonts w:asciiTheme="minorHAnsi" w:hAnsiTheme="minorHAnsi"/>
        </w:rPr>
        <w:t>titute a threat to public order, with</w:t>
      </w:r>
      <w:r w:rsidR="00C1070E" w:rsidRPr="00D920C9">
        <w:rPr>
          <w:rFonts w:asciiTheme="minorHAnsi" w:hAnsiTheme="minorHAnsi"/>
        </w:rPr>
        <w:t xml:space="preserve"> an approach focused on building the highest levels of citizen participation, with the streets and plazas considered privileged places for public expression.</w:t>
      </w:r>
      <w:r w:rsidR="00C1070E" w:rsidRPr="00D920C9">
        <w:rPr>
          <w:rFonts w:asciiTheme="minorHAnsi" w:hAnsiTheme="minorHAnsi"/>
          <w:vertAlign w:val="superscript"/>
        </w:rPr>
        <w:footnoteReference w:id="532"/>
      </w:r>
      <w:bookmarkEnd w:id="208"/>
      <w:r w:rsidR="00C1070E" w:rsidRPr="00D920C9">
        <w:rPr>
          <w:rFonts w:asciiTheme="minorHAnsi" w:hAnsiTheme="minorHAnsi"/>
        </w:rPr>
        <w:t xml:space="preserve"> </w:t>
      </w:r>
    </w:p>
    <w:p w14:paraId="0945C2A7" w14:textId="77777777" w:rsidR="00C1070E" w:rsidRPr="00D920C9" w:rsidRDefault="00C1070E"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Whatever the format </w:t>
      </w:r>
      <w:r w:rsidR="00516323" w:rsidRPr="00D920C9">
        <w:rPr>
          <w:rFonts w:asciiTheme="minorHAnsi" w:hAnsiTheme="minorHAnsi"/>
        </w:rPr>
        <w:t xml:space="preserve">for demonstrations </w:t>
      </w:r>
      <w:r w:rsidRPr="00D920C9">
        <w:rPr>
          <w:rFonts w:asciiTheme="minorHAnsi" w:hAnsiTheme="minorHAnsi"/>
        </w:rPr>
        <w:t xml:space="preserve">adopted by protesters, the police should have </w:t>
      </w:r>
      <w:r w:rsidR="00516323" w:rsidRPr="00D920C9">
        <w:rPr>
          <w:rFonts w:asciiTheme="minorHAnsi" w:hAnsiTheme="minorHAnsi"/>
        </w:rPr>
        <w:t xml:space="preserve">the principal </w:t>
      </w:r>
      <w:r w:rsidRPr="00D920C9">
        <w:rPr>
          <w:rFonts w:asciiTheme="minorHAnsi" w:hAnsiTheme="minorHAnsi"/>
        </w:rPr>
        <w:t>objective</w:t>
      </w:r>
      <w:r w:rsidR="00516323" w:rsidRPr="00D920C9">
        <w:rPr>
          <w:rFonts w:asciiTheme="minorHAnsi" w:hAnsiTheme="minorHAnsi"/>
        </w:rPr>
        <w:t xml:space="preserve"> of</w:t>
      </w:r>
      <w:r w:rsidRPr="00D920C9">
        <w:rPr>
          <w:rFonts w:asciiTheme="minorHAnsi" w:hAnsiTheme="minorHAnsi"/>
        </w:rPr>
        <w:t xml:space="preserve"> facilitating demonstrations</w:t>
      </w:r>
      <w:r w:rsidR="00516323" w:rsidRPr="00D920C9">
        <w:rPr>
          <w:rFonts w:asciiTheme="minorHAnsi" w:hAnsiTheme="minorHAnsi"/>
        </w:rPr>
        <w:t xml:space="preserve">, guaranteeing the exercise of the right to protest and protecting the </w:t>
      </w:r>
      <w:r w:rsidR="009423DC" w:rsidRPr="00D920C9">
        <w:rPr>
          <w:rFonts w:asciiTheme="minorHAnsi" w:hAnsiTheme="minorHAnsi"/>
        </w:rPr>
        <w:t>protesters</w:t>
      </w:r>
      <w:r w:rsidR="00516323" w:rsidRPr="00D920C9">
        <w:rPr>
          <w:rFonts w:asciiTheme="minorHAnsi" w:hAnsiTheme="minorHAnsi"/>
        </w:rPr>
        <w:t xml:space="preserve"> and third persons present,</w:t>
      </w:r>
      <w:r w:rsidRPr="00D920C9">
        <w:rPr>
          <w:rFonts w:asciiTheme="minorHAnsi" w:hAnsiTheme="minorHAnsi"/>
        </w:rPr>
        <w:t xml:space="preserve"> and not </w:t>
      </w:r>
      <w:r w:rsidR="00516323" w:rsidRPr="00D920C9">
        <w:rPr>
          <w:rFonts w:asciiTheme="minorHAnsi" w:hAnsiTheme="minorHAnsi"/>
        </w:rPr>
        <w:t xml:space="preserve">of </w:t>
      </w:r>
      <w:r w:rsidRPr="00D920C9">
        <w:rPr>
          <w:rFonts w:asciiTheme="minorHAnsi" w:hAnsiTheme="minorHAnsi"/>
        </w:rPr>
        <w:t xml:space="preserve">containing or confronting the </w:t>
      </w:r>
      <w:r w:rsidR="009423DC" w:rsidRPr="00D920C9">
        <w:rPr>
          <w:rFonts w:asciiTheme="minorHAnsi" w:hAnsiTheme="minorHAnsi"/>
        </w:rPr>
        <w:t>protesters</w:t>
      </w:r>
      <w:r w:rsidRPr="00D920C9">
        <w:rPr>
          <w:rFonts w:asciiTheme="minorHAnsi" w:hAnsiTheme="minorHAnsi"/>
        </w:rPr>
        <w:t xml:space="preserve">. </w:t>
      </w:r>
      <w:r w:rsidR="00516323" w:rsidRPr="00D920C9">
        <w:rPr>
          <w:rFonts w:asciiTheme="minorHAnsi" w:hAnsiTheme="minorHAnsi"/>
        </w:rPr>
        <w:t>If</w:t>
      </w:r>
      <w:r w:rsidRPr="00D920C9">
        <w:rPr>
          <w:rFonts w:asciiTheme="minorHAnsi" w:hAnsiTheme="minorHAnsi"/>
        </w:rPr>
        <w:t xml:space="preserve"> a demonstration or protest leads to violence</w:t>
      </w:r>
      <w:r w:rsidR="00516323" w:rsidRPr="00D920C9">
        <w:rPr>
          <w:rFonts w:asciiTheme="minorHAnsi" w:hAnsiTheme="minorHAnsi"/>
        </w:rPr>
        <w:t>, this</w:t>
      </w:r>
      <w:r w:rsidRPr="00D920C9">
        <w:rPr>
          <w:rFonts w:asciiTheme="minorHAnsi" w:hAnsiTheme="minorHAnsi"/>
        </w:rPr>
        <w:t xml:space="preserve"> should be understood </w:t>
      </w:r>
      <w:r w:rsidR="00516323" w:rsidRPr="00D920C9">
        <w:rPr>
          <w:rFonts w:asciiTheme="minorHAnsi" w:hAnsiTheme="minorHAnsi"/>
        </w:rPr>
        <w:t>as a failure of State capacity to</w:t>
      </w:r>
      <w:r w:rsidRPr="00D920C9">
        <w:rPr>
          <w:rFonts w:asciiTheme="minorHAnsi" w:hAnsiTheme="minorHAnsi"/>
        </w:rPr>
        <w:t xml:space="preserve"> guarantee the exercise of this right. </w:t>
      </w:r>
      <w:r w:rsidR="00516323" w:rsidRPr="00D920C9">
        <w:rPr>
          <w:rFonts w:asciiTheme="minorHAnsi" w:hAnsiTheme="minorHAnsi"/>
        </w:rPr>
        <w:t>In this sense, the S</w:t>
      </w:r>
      <w:r w:rsidRPr="00D920C9">
        <w:rPr>
          <w:rFonts w:asciiTheme="minorHAnsi" w:hAnsiTheme="minorHAnsi"/>
        </w:rPr>
        <w:t xml:space="preserve">tate’s obligation is to ensure the </w:t>
      </w:r>
      <w:r w:rsidR="007335F0" w:rsidRPr="00D920C9">
        <w:rPr>
          <w:rFonts w:asciiTheme="minorHAnsi" w:hAnsiTheme="minorHAnsi"/>
        </w:rPr>
        <w:t xml:space="preserve">expression and </w:t>
      </w:r>
      <w:r w:rsidRPr="00D920C9">
        <w:rPr>
          <w:rFonts w:asciiTheme="minorHAnsi" w:hAnsiTheme="minorHAnsi"/>
        </w:rPr>
        <w:t>processing of the underlying social and political conflicts.</w:t>
      </w:r>
      <w:r w:rsidRPr="00D920C9">
        <w:rPr>
          <w:rFonts w:asciiTheme="minorHAnsi" w:hAnsiTheme="minorHAnsi"/>
          <w:vertAlign w:val="superscript"/>
        </w:rPr>
        <w:footnoteReference w:id="533"/>
      </w:r>
      <w:r w:rsidRPr="00D920C9">
        <w:rPr>
          <w:rFonts w:asciiTheme="minorHAnsi" w:hAnsiTheme="minorHAnsi"/>
        </w:rPr>
        <w:t xml:space="preserve"> </w:t>
      </w:r>
    </w:p>
    <w:p w14:paraId="54493006" w14:textId="7A7A96F7" w:rsidR="00C1070E" w:rsidRPr="00D920C9" w:rsidRDefault="00D44603"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w:t>
      </w:r>
      <w:r w:rsidR="008C0F31" w:rsidRPr="00D920C9">
        <w:rPr>
          <w:rFonts w:asciiTheme="minorHAnsi" w:hAnsiTheme="minorHAnsi"/>
        </w:rPr>
        <w:t xml:space="preserve">he law should clearly define the circumstances that justify the use of force in the context of protests, as well as the acceptable level of force for </w:t>
      </w:r>
      <w:r w:rsidR="008C0F31" w:rsidRPr="00D920C9">
        <w:rPr>
          <w:rFonts w:asciiTheme="minorHAnsi" w:hAnsiTheme="minorHAnsi"/>
        </w:rPr>
        <w:lastRenderedPageBreak/>
        <w:t>addressing various threats</w:t>
      </w:r>
      <w:r w:rsidRPr="00D920C9">
        <w:rPr>
          <w:rFonts w:asciiTheme="minorHAnsi" w:hAnsiTheme="minorHAnsi"/>
        </w:rPr>
        <w:t>, in line with the principle of legality</w:t>
      </w:r>
      <w:r w:rsidR="008C0F31" w:rsidRPr="00D920C9">
        <w:rPr>
          <w:rFonts w:asciiTheme="minorHAnsi" w:hAnsiTheme="minorHAnsi"/>
        </w:rPr>
        <w:t>.</w:t>
      </w:r>
      <w:r w:rsidR="008C0F31" w:rsidRPr="00D920C9">
        <w:rPr>
          <w:rFonts w:asciiTheme="minorHAnsi" w:hAnsiTheme="minorHAnsi"/>
          <w:vertAlign w:val="superscript"/>
        </w:rPr>
        <w:footnoteReference w:id="534"/>
      </w:r>
      <w:r w:rsidR="008C0F31" w:rsidRPr="00D920C9">
        <w:rPr>
          <w:rFonts w:asciiTheme="minorHAnsi" w:hAnsiTheme="minorHAnsi"/>
        </w:rPr>
        <w:t xml:space="preserve"> </w:t>
      </w:r>
      <w:r w:rsidR="00DC2377" w:rsidRPr="00D920C9">
        <w:rPr>
          <w:rFonts w:asciiTheme="minorHAnsi" w:hAnsiTheme="minorHAnsi"/>
        </w:rPr>
        <w:t>In this regard</w:t>
      </w:r>
      <w:r w:rsidR="00C1070E" w:rsidRPr="00D920C9">
        <w:rPr>
          <w:rFonts w:asciiTheme="minorHAnsi" w:hAnsiTheme="minorHAnsi"/>
        </w:rPr>
        <w:t>,</w:t>
      </w:r>
      <w:r w:rsidR="007335F0" w:rsidRPr="00D920C9">
        <w:rPr>
          <w:rFonts w:asciiTheme="minorHAnsi" w:hAnsiTheme="minorHAnsi"/>
        </w:rPr>
        <w:t xml:space="preserve"> the principles regarding use of force detailed in previous sections</w:t>
      </w:r>
      <w:r w:rsidR="00C1070E" w:rsidRPr="00D920C9">
        <w:rPr>
          <w:rFonts w:asciiTheme="minorHAnsi" w:hAnsiTheme="minorHAnsi"/>
        </w:rPr>
        <w:t xml:space="preserve"> require that security operations be carefully planned by persons with experience and </w:t>
      </w:r>
      <w:r w:rsidR="007335F0" w:rsidRPr="00D920C9">
        <w:rPr>
          <w:rFonts w:asciiTheme="minorHAnsi" w:hAnsiTheme="minorHAnsi"/>
        </w:rPr>
        <w:t xml:space="preserve">specialized training, with </w:t>
      </w:r>
      <w:r w:rsidR="00C1070E" w:rsidRPr="00D920C9">
        <w:rPr>
          <w:rFonts w:asciiTheme="minorHAnsi" w:hAnsiTheme="minorHAnsi"/>
        </w:rPr>
        <w:t>clear protocols for action</w:t>
      </w:r>
      <w:r w:rsidR="007335F0" w:rsidRPr="00D920C9">
        <w:rPr>
          <w:rFonts w:asciiTheme="minorHAnsi" w:hAnsiTheme="minorHAnsi"/>
        </w:rPr>
        <w:t xml:space="preserve"> by security forces</w:t>
      </w:r>
      <w:r w:rsidR="00C1070E" w:rsidRPr="00D920C9">
        <w:rPr>
          <w:rFonts w:asciiTheme="minorHAnsi" w:hAnsiTheme="minorHAnsi"/>
        </w:rPr>
        <w:t>.</w:t>
      </w:r>
      <w:r w:rsidR="008C0F31" w:rsidRPr="00D920C9">
        <w:rPr>
          <w:rFonts w:asciiTheme="minorHAnsi" w:hAnsiTheme="minorHAnsi"/>
          <w:vertAlign w:val="superscript"/>
        </w:rPr>
        <w:footnoteReference w:id="535"/>
      </w:r>
      <w:r w:rsidR="008C0F31" w:rsidRPr="00D920C9">
        <w:rPr>
          <w:rFonts w:asciiTheme="minorHAnsi" w:hAnsiTheme="minorHAnsi"/>
        </w:rPr>
        <w:t xml:space="preserve"> </w:t>
      </w:r>
      <w:r w:rsidR="00C1070E" w:rsidRPr="00D920C9">
        <w:rPr>
          <w:rFonts w:asciiTheme="minorHAnsi" w:hAnsiTheme="minorHAnsi"/>
        </w:rPr>
        <w:t xml:space="preserve">These instructions should be aimed at ensuring that </w:t>
      </w:r>
      <w:r w:rsidR="007335F0" w:rsidRPr="00D920C9">
        <w:rPr>
          <w:rFonts w:asciiTheme="minorHAnsi" w:hAnsiTheme="minorHAnsi"/>
        </w:rPr>
        <w:t>law enforcement agents</w:t>
      </w:r>
      <w:r w:rsidR="00C1070E" w:rsidRPr="00D920C9">
        <w:rPr>
          <w:rFonts w:asciiTheme="minorHAnsi" w:hAnsiTheme="minorHAnsi"/>
        </w:rPr>
        <w:t xml:space="preserve"> act with the certainty that “their job is to protect the participants in a public meeting or demonstration or mass gathering so long as they are exercising their right.”</w:t>
      </w:r>
      <w:r w:rsidR="00C1070E" w:rsidRPr="00D920C9">
        <w:rPr>
          <w:rFonts w:asciiTheme="minorHAnsi" w:hAnsiTheme="minorHAnsi"/>
          <w:vertAlign w:val="superscript"/>
        </w:rPr>
        <w:footnoteReference w:id="536"/>
      </w:r>
      <w:r w:rsidR="00C1070E" w:rsidRPr="00D920C9">
        <w:rPr>
          <w:rFonts w:asciiTheme="minorHAnsi" w:hAnsiTheme="minorHAnsi"/>
        </w:rPr>
        <w:t xml:space="preserve"> </w:t>
      </w:r>
    </w:p>
    <w:p w14:paraId="16C4283B" w14:textId="2719D1C1" w:rsidR="00C1070E" w:rsidRPr="00D920C9" w:rsidRDefault="009423DC" w:rsidP="00E86698">
      <w:pPr>
        <w:pStyle w:val="ListParagraph"/>
        <w:numPr>
          <w:ilvl w:val="0"/>
          <w:numId w:val="9"/>
        </w:numPr>
        <w:spacing w:after="240" w:line="240" w:lineRule="auto"/>
        <w:ind w:left="547" w:hanging="547"/>
        <w:contextualSpacing w:val="0"/>
        <w:jc w:val="both"/>
        <w:rPr>
          <w:rFonts w:asciiTheme="minorHAnsi" w:hAnsiTheme="minorHAnsi"/>
        </w:rPr>
      </w:pPr>
      <w:bookmarkStart w:id="209" w:name="_Ref507172810"/>
      <w:r w:rsidRPr="00D920C9">
        <w:rPr>
          <w:rFonts w:asciiTheme="minorHAnsi" w:hAnsiTheme="minorHAnsi"/>
        </w:rPr>
        <w:t>T</w:t>
      </w:r>
      <w:r w:rsidR="007335F0" w:rsidRPr="00D920C9">
        <w:rPr>
          <w:rFonts w:asciiTheme="minorHAnsi" w:hAnsiTheme="minorHAnsi"/>
        </w:rPr>
        <w:t xml:space="preserve">he Commission </w:t>
      </w:r>
      <w:r w:rsidR="00753713" w:rsidRPr="00D920C9">
        <w:rPr>
          <w:rFonts w:asciiTheme="minorHAnsi" w:hAnsiTheme="minorHAnsi"/>
        </w:rPr>
        <w:t>considers that police who accompany protests should not be assigned firearms or other lethal weapons for that purpose</w:t>
      </w:r>
      <w:r w:rsidR="00C1070E" w:rsidRPr="00D920C9">
        <w:rPr>
          <w:rFonts w:asciiTheme="minorHAnsi" w:hAnsiTheme="minorHAnsi"/>
        </w:rPr>
        <w:t>.</w:t>
      </w:r>
      <w:r w:rsidR="007335F0" w:rsidRPr="00D920C9">
        <w:rPr>
          <w:rFonts w:asciiTheme="minorHAnsi" w:hAnsiTheme="minorHAnsi"/>
          <w:vertAlign w:val="superscript"/>
        </w:rPr>
        <w:footnoteReference w:id="537"/>
      </w:r>
      <w:r w:rsidR="00C1070E" w:rsidRPr="00D920C9">
        <w:rPr>
          <w:rFonts w:asciiTheme="minorHAnsi" w:hAnsiTheme="minorHAnsi"/>
        </w:rPr>
        <w:t xml:space="preserve"> </w:t>
      </w:r>
      <w:r w:rsidR="00704151" w:rsidRPr="00D920C9">
        <w:rPr>
          <w:rFonts w:asciiTheme="minorHAnsi" w:hAnsiTheme="minorHAnsi"/>
        </w:rPr>
        <w:t>P</w:t>
      </w:r>
      <w:r w:rsidR="00C1070E" w:rsidRPr="00D920C9">
        <w:rPr>
          <w:rFonts w:asciiTheme="minorHAnsi" w:hAnsiTheme="minorHAnsi"/>
        </w:rPr>
        <w:t>rohibitin</w:t>
      </w:r>
      <w:r w:rsidR="00704151" w:rsidRPr="00D920C9">
        <w:rPr>
          <w:rFonts w:asciiTheme="minorHAnsi" w:hAnsiTheme="minorHAnsi"/>
        </w:rPr>
        <w:t>g</w:t>
      </w:r>
      <w:r w:rsidR="00C1070E" w:rsidRPr="00D920C9">
        <w:rPr>
          <w:rFonts w:asciiTheme="minorHAnsi" w:hAnsiTheme="minorHAnsi"/>
        </w:rPr>
        <w:t xml:space="preserve"> officials who </w:t>
      </w:r>
      <w:r w:rsidR="008C0F31" w:rsidRPr="00D920C9">
        <w:rPr>
          <w:rFonts w:asciiTheme="minorHAnsi" w:hAnsiTheme="minorHAnsi"/>
        </w:rPr>
        <w:t xml:space="preserve">may </w:t>
      </w:r>
      <w:r w:rsidRPr="00D920C9">
        <w:rPr>
          <w:rFonts w:asciiTheme="minorHAnsi" w:hAnsiTheme="minorHAnsi"/>
        </w:rPr>
        <w:t>have</w:t>
      </w:r>
      <w:r w:rsidR="008C0F31" w:rsidRPr="00D920C9">
        <w:rPr>
          <w:rFonts w:asciiTheme="minorHAnsi" w:hAnsiTheme="minorHAnsi"/>
        </w:rPr>
        <w:t xml:space="preserve"> </w:t>
      </w:r>
      <w:r w:rsidR="00C1070E" w:rsidRPr="00D920C9">
        <w:rPr>
          <w:rFonts w:asciiTheme="minorHAnsi" w:hAnsiTheme="minorHAnsi"/>
        </w:rPr>
        <w:t xml:space="preserve">contact with </w:t>
      </w:r>
      <w:r w:rsidRPr="00D920C9">
        <w:rPr>
          <w:rFonts w:asciiTheme="minorHAnsi" w:hAnsiTheme="minorHAnsi"/>
        </w:rPr>
        <w:t>protesters</w:t>
      </w:r>
      <w:r w:rsidR="00C1070E" w:rsidRPr="00D920C9">
        <w:rPr>
          <w:rFonts w:asciiTheme="minorHAnsi" w:hAnsiTheme="minorHAnsi"/>
        </w:rPr>
        <w:t xml:space="preserve"> </w:t>
      </w:r>
      <w:r w:rsidR="00704151" w:rsidRPr="00D920C9">
        <w:rPr>
          <w:rFonts w:asciiTheme="minorHAnsi" w:hAnsiTheme="minorHAnsi"/>
        </w:rPr>
        <w:t xml:space="preserve">from </w:t>
      </w:r>
      <w:r w:rsidR="00C1070E" w:rsidRPr="00D920C9">
        <w:rPr>
          <w:rFonts w:asciiTheme="minorHAnsi" w:hAnsiTheme="minorHAnsi"/>
        </w:rPr>
        <w:t xml:space="preserve">carrying firearms and lead munitions has proven the best </w:t>
      </w:r>
      <w:r w:rsidR="008C0F31" w:rsidRPr="00D920C9">
        <w:rPr>
          <w:rFonts w:asciiTheme="minorHAnsi" w:hAnsiTheme="minorHAnsi"/>
        </w:rPr>
        <w:t>method</w:t>
      </w:r>
      <w:r w:rsidR="00C1070E" w:rsidRPr="00D920C9">
        <w:rPr>
          <w:rFonts w:asciiTheme="minorHAnsi" w:hAnsiTheme="minorHAnsi"/>
        </w:rPr>
        <w:t xml:space="preserve"> for preventing lethal violence and deaths i</w:t>
      </w:r>
      <w:r w:rsidR="008C0F31" w:rsidRPr="00D920C9">
        <w:rPr>
          <w:rFonts w:asciiTheme="minorHAnsi" w:hAnsiTheme="minorHAnsi"/>
        </w:rPr>
        <w:t>n contexts of social protest.</w:t>
      </w:r>
      <w:r w:rsidR="008C0F31" w:rsidRPr="00D920C9">
        <w:rPr>
          <w:rFonts w:asciiTheme="minorHAnsi" w:hAnsiTheme="minorHAnsi"/>
          <w:vertAlign w:val="superscript"/>
        </w:rPr>
        <w:footnoteReference w:id="538"/>
      </w:r>
      <w:r w:rsidR="00C1070E" w:rsidRPr="00D920C9">
        <w:rPr>
          <w:rFonts w:asciiTheme="minorHAnsi" w:hAnsiTheme="minorHAnsi"/>
        </w:rPr>
        <w:t xml:space="preserve"> </w:t>
      </w:r>
      <w:r w:rsidR="008C0F31" w:rsidRPr="00D920C9">
        <w:rPr>
          <w:rFonts w:asciiTheme="minorHAnsi" w:hAnsiTheme="minorHAnsi"/>
        </w:rPr>
        <w:t>In</w:t>
      </w:r>
      <w:r w:rsidR="00C1070E" w:rsidRPr="00D920C9">
        <w:rPr>
          <w:rFonts w:asciiTheme="minorHAnsi" w:hAnsiTheme="minorHAnsi"/>
        </w:rPr>
        <w:t xml:space="preserve"> exceptional cases </w:t>
      </w:r>
      <w:r w:rsidRPr="00D920C9">
        <w:rPr>
          <w:rFonts w:asciiTheme="minorHAnsi" w:hAnsiTheme="minorHAnsi"/>
        </w:rPr>
        <w:t>where</w:t>
      </w:r>
      <w:r w:rsidR="00C1070E" w:rsidRPr="00D920C9">
        <w:rPr>
          <w:rFonts w:asciiTheme="minorHAnsi" w:hAnsiTheme="minorHAnsi"/>
        </w:rPr>
        <w:t xml:space="preserve"> there is a situation of actual, serious, and imminent risk to persons that </w:t>
      </w:r>
      <w:r w:rsidR="008C0F31" w:rsidRPr="00D920C9">
        <w:rPr>
          <w:rFonts w:asciiTheme="minorHAnsi" w:hAnsiTheme="minorHAnsi"/>
        </w:rPr>
        <w:t>may make the use of firearms and lead munitions warranted, an operation may provide for the</w:t>
      </w:r>
      <w:r w:rsidRPr="00D920C9">
        <w:rPr>
          <w:rFonts w:asciiTheme="minorHAnsi" w:hAnsiTheme="minorHAnsi"/>
        </w:rPr>
        <w:t>ir</w:t>
      </w:r>
      <w:r w:rsidR="008C0F31" w:rsidRPr="00D920C9">
        <w:rPr>
          <w:rFonts w:asciiTheme="minorHAnsi" w:hAnsiTheme="minorHAnsi"/>
        </w:rPr>
        <w:t xml:space="preserve"> presence somewhere outside the radius of action of the demonstration.</w:t>
      </w:r>
      <w:r w:rsidR="00C1070E" w:rsidRPr="00D920C9">
        <w:rPr>
          <w:rFonts w:asciiTheme="minorHAnsi" w:hAnsiTheme="minorHAnsi"/>
        </w:rPr>
        <w:t xml:space="preserve"> In such an extreme circumstance</w:t>
      </w:r>
      <w:r w:rsidR="008C0F31" w:rsidRPr="00D920C9">
        <w:rPr>
          <w:rFonts w:asciiTheme="minorHAnsi" w:hAnsiTheme="minorHAnsi"/>
        </w:rPr>
        <w:t>,</w:t>
      </w:r>
      <w:r w:rsidR="00C1070E" w:rsidRPr="00D920C9">
        <w:rPr>
          <w:rFonts w:asciiTheme="minorHAnsi" w:hAnsiTheme="minorHAnsi"/>
        </w:rPr>
        <w:t xml:space="preserve"> there should be explicit rules concerning who has the power to authorize their use and the ways in which such authorization is to be documented.</w:t>
      </w:r>
      <w:r w:rsidR="00C1070E" w:rsidRPr="00D920C9">
        <w:rPr>
          <w:rFonts w:asciiTheme="minorHAnsi" w:hAnsiTheme="minorHAnsi"/>
          <w:vertAlign w:val="superscript"/>
        </w:rPr>
        <w:footnoteReference w:id="539"/>
      </w:r>
      <w:bookmarkEnd w:id="209"/>
      <w:r w:rsidR="00C1070E" w:rsidRPr="00D920C9">
        <w:rPr>
          <w:rFonts w:asciiTheme="minorHAnsi" w:hAnsiTheme="minorHAnsi"/>
        </w:rPr>
        <w:t xml:space="preserve"> </w:t>
      </w:r>
    </w:p>
    <w:p w14:paraId="7E480EEF" w14:textId="09180895" w:rsidR="00C1070E" w:rsidRPr="00D920C9" w:rsidRDefault="008C0F31" w:rsidP="00E86698">
      <w:pPr>
        <w:pStyle w:val="ListParagraph"/>
        <w:numPr>
          <w:ilvl w:val="0"/>
          <w:numId w:val="9"/>
        </w:numPr>
        <w:spacing w:after="240" w:line="240" w:lineRule="auto"/>
        <w:ind w:left="547" w:hanging="547"/>
        <w:contextualSpacing w:val="0"/>
        <w:jc w:val="both"/>
        <w:rPr>
          <w:rFonts w:asciiTheme="minorHAnsi" w:hAnsiTheme="minorHAnsi"/>
        </w:rPr>
      </w:pPr>
      <w:bookmarkStart w:id="210" w:name="_Ref507172812"/>
      <w:r w:rsidRPr="00D920C9">
        <w:rPr>
          <w:rFonts w:asciiTheme="minorHAnsi" w:hAnsiTheme="minorHAnsi"/>
        </w:rPr>
        <w:t>Likewise, t</w:t>
      </w:r>
      <w:r w:rsidR="00C1070E" w:rsidRPr="00D920C9">
        <w:rPr>
          <w:rFonts w:asciiTheme="minorHAnsi" w:hAnsiTheme="minorHAnsi"/>
        </w:rPr>
        <w:t>he Commission notes</w:t>
      </w:r>
      <w:r w:rsidR="007F1B61" w:rsidRPr="00D920C9">
        <w:rPr>
          <w:rFonts w:asciiTheme="minorHAnsi" w:hAnsiTheme="minorHAnsi"/>
        </w:rPr>
        <w:t xml:space="preserve"> the potential for serious injury of using less</w:t>
      </w:r>
      <w:r w:rsidR="00C1070E" w:rsidRPr="00D920C9">
        <w:rPr>
          <w:rFonts w:asciiTheme="minorHAnsi" w:hAnsiTheme="minorHAnsi"/>
        </w:rPr>
        <w:t xml:space="preserve"> lethal weapons in the context of social protests</w:t>
      </w:r>
      <w:r w:rsidRPr="00D920C9">
        <w:rPr>
          <w:rFonts w:asciiTheme="minorHAnsi" w:hAnsiTheme="minorHAnsi"/>
        </w:rPr>
        <w:t>, such as</w:t>
      </w:r>
      <w:r w:rsidR="00C1070E" w:rsidRPr="00D920C9">
        <w:rPr>
          <w:rFonts w:asciiTheme="minorHAnsi" w:hAnsiTheme="minorHAnsi"/>
        </w:rPr>
        <w:t xml:space="preserve"> tear gas and </w:t>
      </w:r>
      <w:r w:rsidRPr="00D920C9">
        <w:rPr>
          <w:rFonts w:asciiTheme="minorHAnsi" w:hAnsiTheme="minorHAnsi"/>
        </w:rPr>
        <w:t>devices</w:t>
      </w:r>
      <w:r w:rsidR="00C1070E" w:rsidRPr="00D920C9">
        <w:rPr>
          <w:rFonts w:asciiTheme="minorHAnsi" w:hAnsiTheme="minorHAnsi"/>
        </w:rPr>
        <w:t xml:space="preserve"> used to shoot hard rubber, plastic, or soft rubber</w:t>
      </w:r>
      <w:r w:rsidRPr="00D920C9">
        <w:rPr>
          <w:rFonts w:asciiTheme="minorHAnsi" w:hAnsiTheme="minorHAnsi"/>
        </w:rPr>
        <w:t xml:space="preserve"> projectiles</w:t>
      </w:r>
      <w:r w:rsidR="00C1070E" w:rsidRPr="00D920C9">
        <w:rPr>
          <w:rFonts w:asciiTheme="minorHAnsi" w:hAnsiTheme="minorHAnsi"/>
        </w:rPr>
        <w:t xml:space="preserve">. The use of such weapons </w:t>
      </w:r>
      <w:r w:rsidRPr="00D920C9">
        <w:rPr>
          <w:rFonts w:asciiTheme="minorHAnsi" w:hAnsiTheme="minorHAnsi"/>
        </w:rPr>
        <w:t>is</w:t>
      </w:r>
      <w:r w:rsidR="00C1070E" w:rsidRPr="00D920C9">
        <w:rPr>
          <w:rFonts w:asciiTheme="minorHAnsi" w:hAnsiTheme="minorHAnsi"/>
        </w:rPr>
        <w:t xml:space="preserve"> ill-advised since it is impossible to control the direction of their impact.</w:t>
      </w:r>
      <w:r w:rsidR="00C1070E" w:rsidRPr="00D920C9">
        <w:rPr>
          <w:rFonts w:asciiTheme="minorHAnsi" w:hAnsiTheme="minorHAnsi"/>
          <w:vertAlign w:val="superscript"/>
        </w:rPr>
        <w:footnoteReference w:id="540"/>
      </w:r>
      <w:bookmarkEnd w:id="210"/>
      <w:r w:rsidR="00C1070E" w:rsidRPr="00D920C9">
        <w:rPr>
          <w:rFonts w:asciiTheme="minorHAnsi" w:hAnsiTheme="minorHAnsi"/>
        </w:rPr>
        <w:t xml:space="preserve"> </w:t>
      </w:r>
    </w:p>
    <w:p w14:paraId="2D71ED2C" w14:textId="77777777" w:rsidR="00004BB6" w:rsidRPr="00D920C9" w:rsidRDefault="00C1070E"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Commission considers that any arrest made in the context of </w:t>
      </w:r>
      <w:r w:rsidR="00DC2377" w:rsidRPr="00D920C9">
        <w:rPr>
          <w:rFonts w:asciiTheme="minorHAnsi" w:hAnsiTheme="minorHAnsi"/>
        </w:rPr>
        <w:t>protests</w:t>
      </w:r>
      <w:r w:rsidRPr="00D920C9">
        <w:rPr>
          <w:rFonts w:asciiTheme="minorHAnsi" w:hAnsiTheme="minorHAnsi"/>
        </w:rPr>
        <w:t xml:space="preserve"> must meet all requirements </w:t>
      </w:r>
      <w:r w:rsidR="00DC2377" w:rsidRPr="00D920C9">
        <w:rPr>
          <w:rFonts w:asciiTheme="minorHAnsi" w:hAnsiTheme="minorHAnsi"/>
        </w:rPr>
        <w:t>established</w:t>
      </w:r>
      <w:r w:rsidRPr="00D920C9">
        <w:rPr>
          <w:rFonts w:asciiTheme="minorHAnsi" w:hAnsiTheme="minorHAnsi"/>
        </w:rPr>
        <w:t xml:space="preserve"> by domestic law</w:t>
      </w:r>
      <w:r w:rsidR="00DC2377" w:rsidRPr="00D920C9">
        <w:rPr>
          <w:rFonts w:asciiTheme="minorHAnsi" w:hAnsiTheme="minorHAnsi"/>
        </w:rPr>
        <w:t xml:space="preserve"> and international standards, including avoiding </w:t>
      </w:r>
      <w:r w:rsidRPr="00D920C9">
        <w:rPr>
          <w:rFonts w:asciiTheme="minorHAnsi" w:hAnsiTheme="minorHAnsi"/>
        </w:rPr>
        <w:t xml:space="preserve">mass, collective, or indiscriminate arrests. </w:t>
      </w:r>
      <w:r w:rsidR="00DC2377" w:rsidRPr="00D920C9">
        <w:rPr>
          <w:rFonts w:asciiTheme="minorHAnsi" w:hAnsiTheme="minorHAnsi"/>
        </w:rPr>
        <w:t xml:space="preserve">For example, </w:t>
      </w:r>
      <w:r w:rsidRPr="00D920C9">
        <w:rPr>
          <w:rFonts w:asciiTheme="minorHAnsi" w:hAnsiTheme="minorHAnsi"/>
        </w:rPr>
        <w:t xml:space="preserve">the Inter-American Court </w:t>
      </w:r>
      <w:r w:rsidR="00DC2377" w:rsidRPr="00D920C9">
        <w:rPr>
          <w:rFonts w:asciiTheme="minorHAnsi" w:hAnsiTheme="minorHAnsi"/>
        </w:rPr>
        <w:t xml:space="preserve">has </w:t>
      </w:r>
      <w:r w:rsidRPr="00D920C9">
        <w:rPr>
          <w:rFonts w:asciiTheme="minorHAnsi" w:hAnsiTheme="minorHAnsi"/>
        </w:rPr>
        <w:t>found that</w:t>
      </w:r>
      <w:r w:rsidR="00DC2377" w:rsidRPr="00D920C9">
        <w:rPr>
          <w:rFonts w:asciiTheme="minorHAnsi" w:hAnsiTheme="minorHAnsi"/>
        </w:rPr>
        <w:t xml:space="preserve"> the</w:t>
      </w:r>
      <w:r w:rsidRPr="00D920C9">
        <w:rPr>
          <w:rFonts w:asciiTheme="minorHAnsi" w:hAnsiTheme="minorHAnsi"/>
        </w:rPr>
        <w:t xml:space="preserve"> “</w:t>
      </w:r>
      <w:proofErr w:type="gramStart"/>
      <w:r w:rsidR="00DC2377" w:rsidRPr="00D920C9">
        <w:rPr>
          <w:rFonts w:asciiTheme="minorHAnsi" w:hAnsiTheme="minorHAnsi"/>
        </w:rPr>
        <w:t>massive[</w:t>
      </w:r>
      <w:proofErr w:type="gramEnd"/>
      <w:r w:rsidR="00DC2377" w:rsidRPr="00D920C9">
        <w:rPr>
          <w:rFonts w:asciiTheme="minorHAnsi" w:hAnsiTheme="minorHAnsi"/>
        </w:rPr>
        <w:t>]</w:t>
      </w:r>
      <w:r w:rsidRPr="00D920C9">
        <w:rPr>
          <w:rFonts w:asciiTheme="minorHAnsi" w:hAnsiTheme="minorHAnsi"/>
        </w:rPr>
        <w:t xml:space="preserve"> arrest</w:t>
      </w:r>
      <w:r w:rsidR="00DC2377" w:rsidRPr="00D920C9">
        <w:rPr>
          <w:rFonts w:asciiTheme="minorHAnsi" w:hAnsiTheme="minorHAnsi"/>
        </w:rPr>
        <w:t xml:space="preserve"> [of]</w:t>
      </w:r>
      <w:r w:rsidRPr="00D920C9">
        <w:rPr>
          <w:rFonts w:asciiTheme="minorHAnsi" w:hAnsiTheme="minorHAnsi"/>
        </w:rPr>
        <w:t xml:space="preserve"> people that</w:t>
      </w:r>
      <w:r w:rsidR="00DC2377" w:rsidRPr="00D920C9">
        <w:rPr>
          <w:rFonts w:asciiTheme="minorHAnsi" w:hAnsiTheme="minorHAnsi"/>
        </w:rPr>
        <w:t xml:space="preserve"> []</w:t>
      </w:r>
      <w:r w:rsidRPr="00D920C9">
        <w:rPr>
          <w:rFonts w:asciiTheme="minorHAnsi" w:hAnsiTheme="minorHAnsi"/>
        </w:rPr>
        <w:t xml:space="preserve"> </w:t>
      </w:r>
      <w:proofErr w:type="spellStart"/>
      <w:r w:rsidRPr="00D920C9">
        <w:rPr>
          <w:rFonts w:asciiTheme="minorHAnsi" w:hAnsiTheme="minorHAnsi"/>
        </w:rPr>
        <w:t>authorit</w:t>
      </w:r>
      <w:proofErr w:type="spellEnd"/>
      <w:r w:rsidR="00DC2377" w:rsidRPr="00D920C9">
        <w:rPr>
          <w:rFonts w:asciiTheme="minorHAnsi" w:hAnsiTheme="minorHAnsi"/>
        </w:rPr>
        <w:t>[</w:t>
      </w:r>
      <w:proofErr w:type="spellStart"/>
      <w:r w:rsidR="00DC2377" w:rsidRPr="00D920C9">
        <w:rPr>
          <w:rFonts w:asciiTheme="minorHAnsi" w:hAnsiTheme="minorHAnsi"/>
        </w:rPr>
        <w:t>ies</w:t>
      </w:r>
      <w:proofErr w:type="spellEnd"/>
      <w:r w:rsidR="00DC2377" w:rsidRPr="00D920C9">
        <w:rPr>
          <w:rFonts w:asciiTheme="minorHAnsi" w:hAnsiTheme="minorHAnsi"/>
        </w:rPr>
        <w:t>] consider[]</w:t>
      </w:r>
      <w:r w:rsidRPr="00D920C9">
        <w:rPr>
          <w:rFonts w:asciiTheme="minorHAnsi" w:hAnsiTheme="minorHAnsi"/>
        </w:rPr>
        <w:t xml:space="preserve"> may represent a risk or danger to the security of others, without substantiated evidence of the commission </w:t>
      </w:r>
      <w:r w:rsidRPr="00D920C9">
        <w:rPr>
          <w:rFonts w:asciiTheme="minorHAnsi" w:hAnsiTheme="minorHAnsi"/>
        </w:rPr>
        <w:lastRenderedPageBreak/>
        <w:t>of a crime, constitutes an illegal and arbitrary arrest.”</w:t>
      </w:r>
      <w:r w:rsidR="00DC2377" w:rsidRPr="00D920C9">
        <w:rPr>
          <w:rFonts w:asciiTheme="minorHAnsi" w:hAnsiTheme="minorHAnsi"/>
          <w:vertAlign w:val="superscript"/>
        </w:rPr>
        <w:footnoteReference w:id="541"/>
      </w:r>
      <w:r w:rsidRPr="00D920C9">
        <w:rPr>
          <w:rFonts w:asciiTheme="minorHAnsi" w:hAnsiTheme="minorHAnsi"/>
        </w:rPr>
        <w:t xml:space="preserve"> In </w:t>
      </w:r>
      <w:r w:rsidR="00DC2377" w:rsidRPr="00D920C9">
        <w:rPr>
          <w:rFonts w:asciiTheme="minorHAnsi" w:hAnsiTheme="minorHAnsi"/>
        </w:rPr>
        <w:t>this regard</w:t>
      </w:r>
      <w:r w:rsidRPr="00D920C9">
        <w:rPr>
          <w:rFonts w:asciiTheme="minorHAnsi" w:hAnsiTheme="minorHAnsi"/>
        </w:rPr>
        <w:t>,</w:t>
      </w:r>
      <w:r w:rsidR="009823F5" w:rsidRPr="00D920C9">
        <w:rPr>
          <w:rFonts w:asciiTheme="minorHAnsi" w:hAnsiTheme="minorHAnsi"/>
        </w:rPr>
        <w:t xml:space="preserve"> the Commission highlights </w:t>
      </w:r>
      <w:r w:rsidR="00BE5451" w:rsidRPr="00D920C9">
        <w:rPr>
          <w:rFonts w:asciiTheme="minorHAnsi" w:hAnsiTheme="minorHAnsi"/>
        </w:rPr>
        <w:t>its concern about reports of arbitrary arrests at protests for minor acts that do not clearly constitute criminal activity</w:t>
      </w:r>
      <w:r w:rsidR="009823F5" w:rsidRPr="00D920C9">
        <w:rPr>
          <w:rFonts w:asciiTheme="minorHAnsi" w:hAnsiTheme="minorHAnsi"/>
        </w:rPr>
        <w:t>.</w:t>
      </w:r>
      <w:r w:rsidR="00BE5451" w:rsidRPr="00D920C9">
        <w:rPr>
          <w:rFonts w:asciiTheme="minorHAnsi" w:hAnsiTheme="minorHAnsi"/>
          <w:vertAlign w:val="superscript"/>
        </w:rPr>
        <w:footnoteReference w:id="542"/>
      </w:r>
      <w:r w:rsidR="009823F5" w:rsidRPr="00D920C9">
        <w:rPr>
          <w:rFonts w:asciiTheme="minorHAnsi" w:hAnsiTheme="minorHAnsi"/>
        </w:rPr>
        <w:t xml:space="preserve"> T</w:t>
      </w:r>
      <w:r w:rsidRPr="00D920C9">
        <w:rPr>
          <w:rFonts w:asciiTheme="minorHAnsi" w:hAnsiTheme="minorHAnsi"/>
        </w:rPr>
        <w:t xml:space="preserve">he Commission </w:t>
      </w:r>
      <w:r w:rsidR="009823F5" w:rsidRPr="00D920C9">
        <w:rPr>
          <w:rFonts w:asciiTheme="minorHAnsi" w:hAnsiTheme="minorHAnsi"/>
        </w:rPr>
        <w:t xml:space="preserve">additionally </w:t>
      </w:r>
      <w:r w:rsidR="00DC2377" w:rsidRPr="00D920C9">
        <w:rPr>
          <w:rFonts w:asciiTheme="minorHAnsi" w:hAnsiTheme="minorHAnsi"/>
        </w:rPr>
        <w:t>reiterates that the State must</w:t>
      </w:r>
      <w:r w:rsidRPr="00D920C9">
        <w:rPr>
          <w:rFonts w:asciiTheme="minorHAnsi" w:hAnsiTheme="minorHAnsi"/>
        </w:rPr>
        <w:t xml:space="preserve"> take all necessary steps to ensure that detainees and their next of kin are given precise information about the reasons for the detention and where they are being held.</w:t>
      </w:r>
      <w:r w:rsidRPr="00D920C9">
        <w:rPr>
          <w:rFonts w:asciiTheme="minorHAnsi" w:hAnsiTheme="minorHAnsi"/>
          <w:vertAlign w:val="superscript"/>
        </w:rPr>
        <w:footnoteReference w:id="543"/>
      </w:r>
      <w:r w:rsidR="00004BB6" w:rsidRPr="00D920C9">
        <w:rPr>
          <w:rFonts w:asciiTheme="minorHAnsi" w:hAnsiTheme="minorHAnsi"/>
        </w:rPr>
        <w:t xml:space="preserve"> </w:t>
      </w:r>
    </w:p>
    <w:p w14:paraId="06A47EB0" w14:textId="33F17D1E" w:rsidR="00A75070" w:rsidRPr="00D920C9" w:rsidRDefault="00A75070"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Commission also reiterates the importance of properly identifying law enforcement officials as key to establish the actors involved in a use of force incident, for the purpose of clarifying the facts and, as appropriate, </w:t>
      </w:r>
      <w:r w:rsidR="00BE5451" w:rsidRPr="00D920C9">
        <w:rPr>
          <w:rFonts w:asciiTheme="minorHAnsi" w:hAnsiTheme="minorHAnsi"/>
        </w:rPr>
        <w:t>assigning</w:t>
      </w:r>
      <w:r w:rsidRPr="00D920C9">
        <w:rPr>
          <w:rFonts w:asciiTheme="minorHAnsi" w:hAnsiTheme="minorHAnsi"/>
        </w:rPr>
        <w:t xml:space="preserve"> responsibilit</w:t>
      </w:r>
      <w:r w:rsidR="00BE5451" w:rsidRPr="00D920C9">
        <w:rPr>
          <w:rFonts w:asciiTheme="minorHAnsi" w:hAnsiTheme="minorHAnsi"/>
        </w:rPr>
        <w:t>y</w:t>
      </w:r>
      <w:r w:rsidRPr="00D920C9">
        <w:rPr>
          <w:rFonts w:asciiTheme="minorHAnsi" w:hAnsiTheme="minorHAnsi"/>
        </w:rPr>
        <w:t xml:space="preserve">. </w:t>
      </w:r>
      <w:r w:rsidR="007F1B61" w:rsidRPr="00D920C9">
        <w:rPr>
          <w:rFonts w:asciiTheme="minorHAnsi" w:hAnsiTheme="minorHAnsi"/>
        </w:rPr>
        <w:t xml:space="preserve"> The Commission considers that the police </w:t>
      </w:r>
      <w:r w:rsidRPr="00D920C9">
        <w:rPr>
          <w:rFonts w:asciiTheme="minorHAnsi" w:hAnsiTheme="minorHAnsi"/>
        </w:rPr>
        <w:t>should wear a visible tag either with their name or number on it identifying them personally.</w:t>
      </w:r>
      <w:r w:rsidRPr="00D920C9">
        <w:rPr>
          <w:rFonts w:asciiTheme="minorHAnsi" w:hAnsiTheme="minorHAnsi"/>
          <w:vertAlign w:val="superscript"/>
        </w:rPr>
        <w:footnoteReference w:id="544"/>
      </w:r>
      <w:r w:rsidRPr="00D920C9">
        <w:rPr>
          <w:rFonts w:asciiTheme="minorHAnsi" w:hAnsiTheme="minorHAnsi"/>
        </w:rPr>
        <w:t xml:space="preserve"> In the case of public </w:t>
      </w:r>
      <w:r w:rsidR="009423DC" w:rsidRPr="00D920C9">
        <w:rPr>
          <w:rFonts w:asciiTheme="minorHAnsi" w:hAnsiTheme="minorHAnsi"/>
        </w:rPr>
        <w:t>protests</w:t>
      </w:r>
      <w:r w:rsidRPr="00D920C9">
        <w:rPr>
          <w:rFonts w:asciiTheme="minorHAnsi" w:hAnsiTheme="minorHAnsi"/>
        </w:rPr>
        <w:t xml:space="preserve">, police participation in security operations in plainclothes or without proper identification poses problems for the administrative and/or judicial review of possible irregularities and/or violations of rights. The lack of proper identification constitutes an added obstacle to </w:t>
      </w:r>
      <w:r w:rsidR="00BE5451" w:rsidRPr="00D920C9">
        <w:rPr>
          <w:rFonts w:asciiTheme="minorHAnsi" w:hAnsiTheme="minorHAnsi"/>
        </w:rPr>
        <w:t xml:space="preserve">assigning </w:t>
      </w:r>
      <w:r w:rsidRPr="00D920C9">
        <w:rPr>
          <w:rFonts w:asciiTheme="minorHAnsi" w:hAnsiTheme="minorHAnsi"/>
        </w:rPr>
        <w:t>responsibilit</w:t>
      </w:r>
      <w:r w:rsidR="00BE5451" w:rsidRPr="00D920C9">
        <w:rPr>
          <w:rFonts w:asciiTheme="minorHAnsi" w:hAnsiTheme="minorHAnsi"/>
        </w:rPr>
        <w:t>y</w:t>
      </w:r>
      <w:r w:rsidRPr="00D920C9">
        <w:rPr>
          <w:rFonts w:asciiTheme="minorHAnsi" w:hAnsiTheme="minorHAnsi"/>
        </w:rPr>
        <w:t xml:space="preserve"> in contexts where reconstructing the events is </w:t>
      </w:r>
      <w:r w:rsidR="000665B5" w:rsidRPr="00D920C9">
        <w:rPr>
          <w:rFonts w:asciiTheme="minorHAnsi" w:hAnsiTheme="minorHAnsi"/>
        </w:rPr>
        <w:t>often</w:t>
      </w:r>
      <w:r w:rsidRPr="00D920C9">
        <w:rPr>
          <w:rFonts w:asciiTheme="minorHAnsi" w:hAnsiTheme="minorHAnsi"/>
        </w:rPr>
        <w:t xml:space="preserve"> complex. </w:t>
      </w:r>
      <w:r w:rsidR="008A7C97" w:rsidRPr="00D920C9">
        <w:rPr>
          <w:rFonts w:asciiTheme="minorHAnsi" w:hAnsiTheme="minorHAnsi"/>
        </w:rPr>
        <w:t>T</w:t>
      </w:r>
      <w:r w:rsidRPr="00D920C9">
        <w:rPr>
          <w:rFonts w:asciiTheme="minorHAnsi" w:hAnsiTheme="minorHAnsi"/>
        </w:rPr>
        <w:t xml:space="preserve">he Commission observes that the </w:t>
      </w:r>
      <w:r w:rsidR="008A7C97" w:rsidRPr="00D920C9">
        <w:rPr>
          <w:rFonts w:asciiTheme="minorHAnsi" w:hAnsiTheme="minorHAnsi"/>
        </w:rPr>
        <w:t>value of reconstructions and audiovisual records and testimonies as evidence is</w:t>
      </w:r>
      <w:r w:rsidRPr="00D920C9">
        <w:rPr>
          <w:rFonts w:asciiTheme="minorHAnsi" w:hAnsiTheme="minorHAnsi"/>
        </w:rPr>
        <w:t xml:space="preserve"> severely limited without the possibility of identifying the officers directly involved as State officials with their own personal identity numbers.</w:t>
      </w:r>
      <w:r w:rsidRPr="00D920C9">
        <w:rPr>
          <w:rFonts w:asciiTheme="minorHAnsi" w:hAnsiTheme="minorHAnsi"/>
          <w:vertAlign w:val="superscript"/>
        </w:rPr>
        <w:footnoteReference w:id="545"/>
      </w:r>
      <w:r w:rsidRPr="00D920C9">
        <w:rPr>
          <w:rFonts w:asciiTheme="minorHAnsi" w:hAnsiTheme="minorHAnsi"/>
        </w:rPr>
        <w:t xml:space="preserve"> </w:t>
      </w:r>
      <w:r w:rsidR="008A7C97" w:rsidRPr="00D920C9">
        <w:rPr>
          <w:rFonts w:asciiTheme="minorHAnsi" w:hAnsiTheme="minorHAnsi"/>
        </w:rPr>
        <w:t>F</w:t>
      </w:r>
      <w:r w:rsidRPr="00D920C9">
        <w:rPr>
          <w:rFonts w:asciiTheme="minorHAnsi" w:hAnsiTheme="minorHAnsi"/>
        </w:rPr>
        <w:t>ailure to identify law enforcement officers further opens the possibility</w:t>
      </w:r>
      <w:r w:rsidR="008A7C97" w:rsidRPr="00D920C9">
        <w:rPr>
          <w:rFonts w:asciiTheme="minorHAnsi" w:hAnsiTheme="minorHAnsi"/>
        </w:rPr>
        <w:t xml:space="preserve"> of</w:t>
      </w:r>
      <w:r w:rsidRPr="00D920C9">
        <w:rPr>
          <w:rFonts w:asciiTheme="minorHAnsi" w:hAnsiTheme="minorHAnsi"/>
        </w:rPr>
        <w:t xml:space="preserve"> infiltration for intelligence purposes, which violates different rights. In this regard, the Commission has previously considered concerns about “the use of embedded undercover police officers in groups that are non-violent and take peaceful direct action by exercising their right to freedom of peaceful assembly.”</w:t>
      </w:r>
      <w:r w:rsidRPr="00D920C9">
        <w:rPr>
          <w:rFonts w:asciiTheme="minorHAnsi" w:hAnsiTheme="minorHAnsi"/>
          <w:vertAlign w:val="superscript"/>
        </w:rPr>
        <w:footnoteReference w:id="546"/>
      </w:r>
    </w:p>
    <w:p w14:paraId="6F9CE746" w14:textId="273D50DF" w:rsidR="00004BB6" w:rsidRPr="00D920C9" w:rsidRDefault="00A254C8" w:rsidP="00E86698">
      <w:pPr>
        <w:pStyle w:val="ListParagraph"/>
        <w:numPr>
          <w:ilvl w:val="0"/>
          <w:numId w:val="9"/>
        </w:numPr>
        <w:spacing w:after="240" w:line="240" w:lineRule="auto"/>
        <w:ind w:left="547" w:hanging="547"/>
        <w:contextualSpacing w:val="0"/>
        <w:jc w:val="both"/>
        <w:rPr>
          <w:rFonts w:asciiTheme="minorHAnsi" w:eastAsiaTheme="minorHAnsi" w:hAnsiTheme="minorHAnsi"/>
          <w:sz w:val="28"/>
          <w:szCs w:val="24"/>
        </w:rPr>
      </w:pPr>
      <w:bookmarkStart w:id="211" w:name="_Ref507675985"/>
      <w:r w:rsidRPr="00D920C9">
        <w:rPr>
          <w:rFonts w:asciiTheme="minorHAnsi" w:hAnsiTheme="minorHAnsi"/>
        </w:rPr>
        <w:t>T</w:t>
      </w:r>
      <w:r w:rsidR="00004BB6" w:rsidRPr="00D920C9">
        <w:rPr>
          <w:rFonts w:asciiTheme="minorHAnsi" w:hAnsiTheme="minorHAnsi"/>
        </w:rPr>
        <w:t xml:space="preserve">he IACHR </w:t>
      </w:r>
      <w:r w:rsidRPr="00D920C9">
        <w:rPr>
          <w:rFonts w:asciiTheme="minorHAnsi" w:hAnsiTheme="minorHAnsi"/>
        </w:rPr>
        <w:t xml:space="preserve">additionally reiterates that </w:t>
      </w:r>
      <w:r w:rsidR="00927E3F" w:rsidRPr="00D920C9">
        <w:rPr>
          <w:rFonts w:asciiTheme="minorHAnsi" w:hAnsiTheme="minorHAnsi"/>
        </w:rPr>
        <w:t xml:space="preserve">the State must ensure that journalists and media workers reporting on public demonstrations are not arrested, threatened, assaulted, or limited in any manner in their rights as a result of practicing their profession. This should include assurances that their work materials and tools will not be destroyed or confiscated by the </w:t>
      </w:r>
      <w:r w:rsidR="00927E3F" w:rsidRPr="00D920C9">
        <w:rPr>
          <w:rFonts w:asciiTheme="minorHAnsi" w:hAnsiTheme="minorHAnsi"/>
        </w:rPr>
        <w:lastRenderedPageBreak/>
        <w:t>authorities, and that they will not be subjected to arbitrary or excessive use of force.</w:t>
      </w:r>
      <w:r w:rsidR="00927E3F" w:rsidRPr="00D920C9">
        <w:rPr>
          <w:rFonts w:asciiTheme="minorHAnsi" w:hAnsiTheme="minorHAnsi"/>
          <w:vertAlign w:val="superscript"/>
        </w:rPr>
        <w:footnoteReference w:id="547"/>
      </w:r>
      <w:r w:rsidR="00004BB6" w:rsidRPr="00D920C9">
        <w:rPr>
          <w:rFonts w:asciiTheme="minorHAnsi" w:hAnsiTheme="minorHAnsi"/>
        </w:rPr>
        <w:t xml:space="preserve"> </w:t>
      </w:r>
      <w:r w:rsidR="00927E3F" w:rsidRPr="00D920C9">
        <w:rPr>
          <w:rFonts w:asciiTheme="minorHAnsi" w:hAnsiTheme="minorHAnsi"/>
        </w:rPr>
        <w:t>Additionally,</w:t>
      </w:r>
      <w:r w:rsidR="00004BB6" w:rsidRPr="00D920C9">
        <w:rPr>
          <w:rFonts w:asciiTheme="minorHAnsi" w:hAnsiTheme="minorHAnsi"/>
        </w:rPr>
        <w:t xml:space="preserve"> in situations of social unrest</w:t>
      </w:r>
      <w:r w:rsidR="00BE5451" w:rsidRPr="00D920C9">
        <w:rPr>
          <w:rFonts w:asciiTheme="minorHAnsi" w:hAnsiTheme="minorHAnsi"/>
        </w:rPr>
        <w:t>,</w:t>
      </w:r>
      <w:r w:rsidR="00004BB6" w:rsidRPr="00D920C9">
        <w:rPr>
          <w:rFonts w:asciiTheme="minorHAnsi" w:hAnsiTheme="minorHAnsi"/>
        </w:rPr>
        <w:t xml:space="preserve"> the State</w:t>
      </w:r>
      <w:r w:rsidR="00927E3F" w:rsidRPr="00D920C9">
        <w:rPr>
          <w:rFonts w:asciiTheme="minorHAnsi" w:hAnsiTheme="minorHAnsi"/>
        </w:rPr>
        <w:t xml:space="preserve"> remains obligated</w:t>
      </w:r>
      <w:r w:rsidR="00004BB6" w:rsidRPr="00D920C9">
        <w:rPr>
          <w:rFonts w:asciiTheme="minorHAnsi" w:hAnsiTheme="minorHAnsi"/>
        </w:rPr>
        <w:t xml:space="preserve"> to respect the right of journalists to keep their sources of information, notes, and personal and professional archives confidential. Furthermore, the “photographing or video recording of the</w:t>
      </w:r>
      <w:r w:rsidR="00004BB6" w:rsidRPr="00D920C9">
        <w:rPr>
          <w:rFonts w:asciiTheme="minorHAnsi" w:hAnsiTheme="minorHAnsi"/>
          <w:szCs w:val="20"/>
        </w:rPr>
        <w:t xml:space="preserve"> policing operation by participants and other third parties should not be prevented, and any requirement to surrender film or digitally recorded images or footage to the law enforcement agencies should be subject to prior judicial scrutiny.”</w:t>
      </w:r>
      <w:r w:rsidR="00004BB6" w:rsidRPr="00D920C9">
        <w:rPr>
          <w:rStyle w:val="FootnoteReference"/>
          <w:rFonts w:asciiTheme="minorHAnsi" w:hAnsiTheme="minorHAnsi"/>
          <w:szCs w:val="20"/>
        </w:rPr>
        <w:footnoteReference w:id="548"/>
      </w:r>
      <w:bookmarkEnd w:id="211"/>
      <w:r w:rsidR="00004BB6" w:rsidRPr="00D920C9">
        <w:rPr>
          <w:rFonts w:asciiTheme="minorHAnsi" w:hAnsiTheme="minorHAnsi"/>
          <w:szCs w:val="20"/>
        </w:rPr>
        <w:t xml:space="preserve"> </w:t>
      </w:r>
    </w:p>
    <w:p w14:paraId="71615140" w14:textId="27F8796B" w:rsidR="00B4412C" w:rsidRPr="00D920C9" w:rsidRDefault="00B4412C" w:rsidP="00F84204">
      <w:pPr>
        <w:pStyle w:val="Heading2"/>
        <w:numPr>
          <w:ilvl w:val="0"/>
          <w:numId w:val="14"/>
        </w:numPr>
        <w:ind w:hanging="720"/>
      </w:pPr>
      <w:bookmarkStart w:id="212" w:name="_Ref507149138"/>
      <w:bookmarkStart w:id="213" w:name="_Toc511837840"/>
      <w:bookmarkStart w:id="214" w:name="_Toc511903013"/>
      <w:bookmarkStart w:id="215" w:name="_Toc517687942"/>
      <w:r w:rsidRPr="00D920C9">
        <w:t xml:space="preserve">International Framework regarding </w:t>
      </w:r>
      <w:r w:rsidR="003A6706" w:rsidRPr="00D920C9">
        <w:t xml:space="preserve">Access </w:t>
      </w:r>
      <w:r w:rsidRPr="00D920C9">
        <w:t xml:space="preserve">to </w:t>
      </w:r>
      <w:r w:rsidR="003A6706" w:rsidRPr="00D920C9">
        <w:t>Justice</w:t>
      </w:r>
      <w:r w:rsidRPr="00D920C9">
        <w:t xml:space="preserve">: </w:t>
      </w:r>
      <w:r w:rsidR="003A6706" w:rsidRPr="00D920C9">
        <w:t>Due Diligence, Accountability</w:t>
      </w:r>
      <w:r w:rsidR="006D2C1F" w:rsidRPr="00D920C9">
        <w:t>,</w:t>
      </w:r>
      <w:r w:rsidR="003A6706" w:rsidRPr="00D920C9">
        <w:t xml:space="preserve"> Institutional Independence</w:t>
      </w:r>
      <w:bookmarkEnd w:id="212"/>
      <w:r w:rsidR="003A6706" w:rsidRPr="00D920C9">
        <w:t>, Remedies</w:t>
      </w:r>
      <w:r w:rsidR="00BE5451" w:rsidRPr="00D920C9">
        <w:t xml:space="preserve">, and </w:t>
      </w:r>
      <w:r w:rsidR="003A6706" w:rsidRPr="00D920C9">
        <w:t>Reparations</w:t>
      </w:r>
      <w:bookmarkEnd w:id="213"/>
      <w:bookmarkEnd w:id="214"/>
      <w:bookmarkEnd w:id="215"/>
    </w:p>
    <w:p w14:paraId="3D7708F3" w14:textId="5259B154" w:rsidR="00B4412C" w:rsidRPr="00D920C9" w:rsidRDefault="00F504E6"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eastAsia="Times New Roman" w:hAnsiTheme="minorHAnsi" w:cs="Verdana"/>
          <w:szCs w:val="20"/>
          <w:lang w:eastAsia="es-ES"/>
        </w:rPr>
        <w:t xml:space="preserve">The Commission </w:t>
      </w:r>
      <w:r w:rsidR="006A5F79" w:rsidRPr="00D920C9">
        <w:rPr>
          <w:rFonts w:asciiTheme="minorHAnsi" w:eastAsia="Times New Roman" w:hAnsiTheme="minorHAnsi" w:cs="Verdana"/>
          <w:szCs w:val="20"/>
          <w:lang w:eastAsia="es-ES"/>
        </w:rPr>
        <w:t>has previously observed that the</w:t>
      </w:r>
      <w:r w:rsidRPr="00D920C9">
        <w:rPr>
          <w:rFonts w:asciiTheme="minorHAnsi" w:eastAsia="Times New Roman" w:hAnsiTheme="minorHAnsi" w:cs="Verdana"/>
          <w:szCs w:val="20"/>
          <w:lang w:eastAsia="es-ES"/>
        </w:rPr>
        <w:t xml:space="preserve"> structural discrimination </w:t>
      </w:r>
      <w:r w:rsidR="006A5F79" w:rsidRPr="00D920C9">
        <w:rPr>
          <w:rFonts w:asciiTheme="minorHAnsi" w:eastAsia="Times New Roman" w:hAnsiTheme="minorHAnsi" w:cs="Verdana"/>
          <w:szCs w:val="20"/>
          <w:lang w:eastAsia="es-ES"/>
        </w:rPr>
        <w:t xml:space="preserve">that Afro-descendants </w:t>
      </w:r>
      <w:r w:rsidRPr="00D920C9">
        <w:rPr>
          <w:rFonts w:asciiTheme="minorHAnsi" w:eastAsia="Times New Roman" w:hAnsiTheme="minorHAnsi" w:cs="Verdana"/>
          <w:szCs w:val="20"/>
          <w:lang w:eastAsia="es-ES"/>
        </w:rPr>
        <w:t xml:space="preserve">in the Americas </w:t>
      </w:r>
      <w:r w:rsidR="006A5F79" w:rsidRPr="00D920C9">
        <w:rPr>
          <w:rFonts w:asciiTheme="minorHAnsi" w:eastAsia="Times New Roman" w:hAnsiTheme="minorHAnsi" w:cs="Verdana"/>
          <w:szCs w:val="20"/>
          <w:lang w:eastAsia="es-ES"/>
        </w:rPr>
        <w:t xml:space="preserve">face </w:t>
      </w:r>
      <w:r w:rsidRPr="00D920C9">
        <w:rPr>
          <w:rFonts w:asciiTheme="minorHAnsi" w:eastAsia="Times New Roman" w:hAnsiTheme="minorHAnsi" w:cs="Verdana"/>
          <w:szCs w:val="20"/>
          <w:lang w:eastAsia="es-ES"/>
        </w:rPr>
        <w:t xml:space="preserve">must also be analyzed in light of the obstacles that </w:t>
      </w:r>
      <w:r w:rsidR="006A5F79" w:rsidRPr="00D920C9">
        <w:rPr>
          <w:rFonts w:asciiTheme="minorHAnsi" w:eastAsia="Times New Roman" w:hAnsiTheme="minorHAnsi" w:cs="Verdana"/>
          <w:szCs w:val="20"/>
          <w:lang w:eastAsia="es-ES"/>
        </w:rPr>
        <w:t>they</w:t>
      </w:r>
      <w:r w:rsidRPr="00D920C9">
        <w:rPr>
          <w:rFonts w:asciiTheme="minorHAnsi" w:eastAsia="Times New Roman" w:hAnsiTheme="minorHAnsi" w:cs="Verdana"/>
          <w:szCs w:val="20"/>
          <w:lang w:eastAsia="es-ES"/>
        </w:rPr>
        <w:t xml:space="preserve"> encounter when trying to access domestic judicial remedies.</w:t>
      </w:r>
      <w:r w:rsidRPr="00D920C9">
        <w:rPr>
          <w:rStyle w:val="FootnoteReference"/>
          <w:rFonts w:asciiTheme="minorHAnsi" w:eastAsia="Times New Roman" w:hAnsiTheme="minorHAnsi" w:cs="Verdana"/>
          <w:szCs w:val="20"/>
          <w:lang w:eastAsia="es-ES"/>
        </w:rPr>
        <w:footnoteReference w:id="549"/>
      </w:r>
      <w:r w:rsidRPr="00D920C9">
        <w:rPr>
          <w:rFonts w:asciiTheme="minorHAnsi" w:eastAsia="Times New Roman" w:hAnsiTheme="minorHAnsi" w:cs="Verdana"/>
          <w:szCs w:val="20"/>
          <w:lang w:eastAsia="es-ES"/>
        </w:rPr>
        <w:t xml:space="preserve"> </w:t>
      </w:r>
      <w:r w:rsidR="00B4412C" w:rsidRPr="00D920C9">
        <w:rPr>
          <w:rFonts w:asciiTheme="minorHAnsi" w:eastAsia="Times New Roman" w:hAnsiTheme="minorHAnsi" w:cs="Verdana"/>
          <w:szCs w:val="20"/>
          <w:lang w:eastAsia="es-ES"/>
        </w:rPr>
        <w:t xml:space="preserve">While any victim of </w:t>
      </w:r>
      <w:r w:rsidR="006A5F79" w:rsidRPr="00D920C9">
        <w:rPr>
          <w:rFonts w:asciiTheme="minorHAnsi" w:eastAsia="Times New Roman" w:hAnsiTheme="minorHAnsi" w:cs="Verdana"/>
          <w:szCs w:val="20"/>
          <w:lang w:eastAsia="es-ES"/>
        </w:rPr>
        <w:t xml:space="preserve">a </w:t>
      </w:r>
      <w:r w:rsidR="00B4412C" w:rsidRPr="00D920C9">
        <w:rPr>
          <w:rFonts w:asciiTheme="minorHAnsi" w:eastAsia="Times New Roman" w:hAnsiTheme="minorHAnsi" w:cs="Verdana"/>
          <w:szCs w:val="20"/>
          <w:lang w:eastAsia="es-ES"/>
        </w:rPr>
        <w:t xml:space="preserve">crime or act of violence may have difficulty getting </w:t>
      </w:r>
      <w:r w:rsidR="00B4412C" w:rsidRPr="00D920C9">
        <w:rPr>
          <w:rFonts w:asciiTheme="minorHAnsi" w:hAnsiTheme="minorHAnsi"/>
        </w:rPr>
        <w:t>justice, those difficulties are compounded for those sectors of the population that have historic</w:t>
      </w:r>
      <w:r w:rsidR="006A5F79" w:rsidRPr="00D920C9">
        <w:rPr>
          <w:rFonts w:asciiTheme="minorHAnsi" w:hAnsiTheme="minorHAnsi"/>
        </w:rPr>
        <w:t xml:space="preserve">ally been </w:t>
      </w:r>
      <w:r w:rsidR="000665B5" w:rsidRPr="00D920C9">
        <w:rPr>
          <w:rFonts w:asciiTheme="minorHAnsi" w:hAnsiTheme="minorHAnsi"/>
        </w:rPr>
        <w:t xml:space="preserve">discriminated against or excluded, </w:t>
      </w:r>
      <w:r w:rsidR="006A5F79" w:rsidRPr="00D920C9">
        <w:rPr>
          <w:rFonts w:asciiTheme="minorHAnsi" w:hAnsiTheme="minorHAnsi"/>
        </w:rPr>
        <w:t>including </w:t>
      </w:r>
      <w:r w:rsidR="00B4412C" w:rsidRPr="00D920C9">
        <w:rPr>
          <w:rFonts w:asciiTheme="minorHAnsi" w:hAnsiTheme="minorHAnsi"/>
        </w:rPr>
        <w:t>children, adolescents, women, indi</w:t>
      </w:r>
      <w:r w:rsidRPr="00D920C9">
        <w:rPr>
          <w:rFonts w:asciiTheme="minorHAnsi" w:hAnsiTheme="minorHAnsi"/>
        </w:rPr>
        <w:t xml:space="preserve">genous </w:t>
      </w:r>
      <w:r w:rsidR="006A5F79" w:rsidRPr="00D920C9">
        <w:rPr>
          <w:rFonts w:asciiTheme="minorHAnsi" w:hAnsiTheme="minorHAnsi"/>
        </w:rPr>
        <w:t>persons</w:t>
      </w:r>
      <w:r w:rsidRPr="00D920C9">
        <w:rPr>
          <w:rFonts w:asciiTheme="minorHAnsi" w:hAnsiTheme="minorHAnsi"/>
        </w:rPr>
        <w:t>, Afro‐descenda</w:t>
      </w:r>
      <w:r w:rsidR="00B4412C" w:rsidRPr="00D920C9">
        <w:rPr>
          <w:rFonts w:asciiTheme="minorHAnsi" w:hAnsiTheme="minorHAnsi"/>
        </w:rPr>
        <w:t xml:space="preserve">nts, </w:t>
      </w:r>
      <w:r w:rsidR="006A5F79" w:rsidRPr="00D920C9">
        <w:rPr>
          <w:rFonts w:asciiTheme="minorHAnsi" w:hAnsiTheme="minorHAnsi"/>
        </w:rPr>
        <w:t xml:space="preserve">and </w:t>
      </w:r>
      <w:r w:rsidR="00B4412C" w:rsidRPr="00D920C9">
        <w:rPr>
          <w:rFonts w:asciiTheme="minorHAnsi" w:hAnsiTheme="minorHAnsi"/>
        </w:rPr>
        <w:t>migrant workers and their families.</w:t>
      </w:r>
      <w:r w:rsidR="006A5F79" w:rsidRPr="00D920C9">
        <w:rPr>
          <w:rFonts w:asciiTheme="minorHAnsi" w:hAnsiTheme="minorHAnsi"/>
          <w:vertAlign w:val="superscript"/>
        </w:rPr>
        <w:footnoteReference w:id="550"/>
      </w:r>
      <w:r w:rsidR="00B4412C" w:rsidRPr="00D920C9">
        <w:rPr>
          <w:rFonts w:asciiTheme="minorHAnsi" w:hAnsiTheme="minorHAnsi"/>
        </w:rPr>
        <w:t xml:space="preserve"> States must</w:t>
      </w:r>
      <w:r w:rsidR="00401D2A" w:rsidRPr="00D920C9">
        <w:rPr>
          <w:rFonts w:asciiTheme="minorHAnsi" w:hAnsiTheme="minorHAnsi"/>
        </w:rPr>
        <w:t xml:space="preserve"> therefore</w:t>
      </w:r>
      <w:r w:rsidR="00B4412C" w:rsidRPr="00D920C9">
        <w:rPr>
          <w:rFonts w:asciiTheme="minorHAnsi" w:hAnsiTheme="minorHAnsi"/>
        </w:rPr>
        <w:t xml:space="preserve"> take all measures necessary to ensure that all persons within their territory have equal access to justice. This is particularly important in States </w:t>
      </w:r>
      <w:r w:rsidR="00AF7ED3" w:rsidRPr="00D920C9">
        <w:rPr>
          <w:rFonts w:asciiTheme="minorHAnsi" w:hAnsiTheme="minorHAnsi"/>
        </w:rPr>
        <w:t>with</w:t>
      </w:r>
      <w:r w:rsidR="00B4412C" w:rsidRPr="00D920C9">
        <w:rPr>
          <w:rFonts w:asciiTheme="minorHAnsi" w:hAnsiTheme="minorHAnsi"/>
        </w:rPr>
        <w:t xml:space="preserve"> multiethnic </w:t>
      </w:r>
      <w:r w:rsidR="00AF7ED3" w:rsidRPr="00D920C9">
        <w:rPr>
          <w:rFonts w:asciiTheme="minorHAnsi" w:hAnsiTheme="minorHAnsi"/>
        </w:rPr>
        <w:t>populations</w:t>
      </w:r>
      <w:r w:rsidR="00B4412C" w:rsidRPr="00D920C9">
        <w:rPr>
          <w:rFonts w:asciiTheme="minorHAnsi" w:hAnsiTheme="minorHAnsi"/>
        </w:rPr>
        <w:t xml:space="preserve"> </w:t>
      </w:r>
      <w:r w:rsidR="00AF7ED3" w:rsidRPr="00D920C9">
        <w:rPr>
          <w:rFonts w:asciiTheme="minorHAnsi" w:hAnsiTheme="minorHAnsi"/>
        </w:rPr>
        <w:t>that</w:t>
      </w:r>
      <w:r w:rsidR="00B4412C" w:rsidRPr="00D920C9">
        <w:rPr>
          <w:rFonts w:asciiTheme="minorHAnsi" w:hAnsiTheme="minorHAnsi"/>
        </w:rPr>
        <w:t xml:space="preserve"> represent diverse cultures and languages.</w:t>
      </w:r>
      <w:r w:rsidR="00B4412C" w:rsidRPr="00D920C9">
        <w:rPr>
          <w:rFonts w:asciiTheme="minorHAnsi" w:hAnsiTheme="minorHAnsi"/>
          <w:vertAlign w:val="superscript"/>
        </w:rPr>
        <w:footnoteReference w:id="551"/>
      </w:r>
      <w:r w:rsidR="00AF7ED3" w:rsidRPr="00D920C9">
        <w:rPr>
          <w:rFonts w:asciiTheme="minorHAnsi" w:hAnsiTheme="minorHAnsi"/>
        </w:rPr>
        <w:t xml:space="preserve"> The Commission has previously recognized African </w:t>
      </w:r>
      <w:r w:rsidR="00AF7ED3" w:rsidRPr="00D920C9">
        <w:rPr>
          <w:rFonts w:asciiTheme="minorHAnsi" w:hAnsiTheme="minorHAnsi"/>
        </w:rPr>
        <w:lastRenderedPageBreak/>
        <w:t>Americans in the United States as a group whose access to justice in cases of police killings is precarious.</w:t>
      </w:r>
      <w:r w:rsidR="00AF7ED3" w:rsidRPr="00D920C9">
        <w:rPr>
          <w:rFonts w:asciiTheme="minorHAnsi" w:hAnsiTheme="minorHAnsi"/>
          <w:vertAlign w:val="superscript"/>
        </w:rPr>
        <w:footnoteReference w:id="552"/>
      </w:r>
    </w:p>
    <w:p w14:paraId="1A9F2021" w14:textId="77777777" w:rsidR="00401D2A" w:rsidRPr="00D920C9" w:rsidRDefault="00B4412C" w:rsidP="00E86698">
      <w:pPr>
        <w:pStyle w:val="ListParagraph"/>
        <w:numPr>
          <w:ilvl w:val="0"/>
          <w:numId w:val="9"/>
        </w:numPr>
        <w:spacing w:after="240" w:line="240" w:lineRule="auto"/>
        <w:ind w:left="547" w:hanging="547"/>
        <w:contextualSpacing w:val="0"/>
        <w:jc w:val="both"/>
        <w:rPr>
          <w:rFonts w:asciiTheme="minorHAnsi" w:eastAsia="Times New Roman" w:hAnsiTheme="minorHAnsi" w:cs="Verdana"/>
          <w:szCs w:val="20"/>
          <w:lang w:eastAsia="es-ES"/>
        </w:rPr>
      </w:pPr>
      <w:r w:rsidRPr="00D920C9">
        <w:rPr>
          <w:rFonts w:asciiTheme="minorHAnsi" w:hAnsiTheme="minorHAnsi"/>
        </w:rPr>
        <w:t xml:space="preserve"> The right to judic</w:t>
      </w:r>
      <w:r w:rsidRPr="00D920C9">
        <w:rPr>
          <w:rFonts w:asciiTheme="minorHAnsi" w:eastAsia="Times New Roman" w:hAnsiTheme="minorHAnsi" w:cs="Verdana"/>
          <w:szCs w:val="20"/>
          <w:lang w:eastAsia="es-ES"/>
        </w:rPr>
        <w:t xml:space="preserve">ial protection is reflected in Articles XVIII and XXIV of the American Declaration. The first establishes </w:t>
      </w:r>
      <w:r w:rsidR="00401D2A" w:rsidRPr="00D920C9">
        <w:rPr>
          <w:rFonts w:asciiTheme="minorHAnsi" w:eastAsia="Times New Roman" w:hAnsiTheme="minorHAnsi" w:cs="Verdana"/>
          <w:szCs w:val="20"/>
          <w:lang w:eastAsia="es-ES"/>
        </w:rPr>
        <w:t>the right to a fair trial, that is, that</w:t>
      </w:r>
    </w:p>
    <w:p w14:paraId="65A06143" w14:textId="77777777" w:rsidR="00401D2A" w:rsidRDefault="00401D2A" w:rsidP="00773974">
      <w:pPr>
        <w:pStyle w:val="ListParagraph"/>
        <w:spacing w:after="240" w:line="240" w:lineRule="auto"/>
        <w:ind w:left="1166" w:right="619"/>
        <w:contextualSpacing w:val="0"/>
        <w:jc w:val="both"/>
        <w:rPr>
          <w:rFonts w:asciiTheme="minorHAnsi" w:eastAsia="Times New Roman" w:hAnsiTheme="minorHAnsi" w:cs="Verdana"/>
          <w:szCs w:val="18"/>
          <w:lang w:eastAsia="es-ES"/>
        </w:rPr>
      </w:pPr>
      <w:r w:rsidRPr="00D920C9">
        <w:rPr>
          <w:rFonts w:asciiTheme="minorHAnsi" w:eastAsia="Times New Roman" w:hAnsiTheme="minorHAnsi" w:cs="Verdana"/>
          <w:szCs w:val="18"/>
          <w:lang w:eastAsia="es-ES"/>
        </w:rPr>
        <w:t>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p w14:paraId="54C027EC" w14:textId="77777777" w:rsidR="00401D2A" w:rsidRPr="00D920C9" w:rsidRDefault="00B4412C" w:rsidP="00E86698">
      <w:pPr>
        <w:pStyle w:val="ListParagraph"/>
        <w:numPr>
          <w:ilvl w:val="0"/>
          <w:numId w:val="9"/>
        </w:numPr>
        <w:spacing w:after="240" w:line="240" w:lineRule="auto"/>
        <w:ind w:left="547" w:hanging="547"/>
        <w:contextualSpacing w:val="0"/>
        <w:jc w:val="both"/>
        <w:rPr>
          <w:rFonts w:asciiTheme="minorHAnsi" w:eastAsia="Times New Roman" w:hAnsiTheme="minorHAnsi" w:cs="Verdana"/>
          <w:szCs w:val="20"/>
          <w:lang w:eastAsia="es-ES"/>
        </w:rPr>
      </w:pPr>
      <w:r w:rsidRPr="00D920C9">
        <w:rPr>
          <w:rFonts w:asciiTheme="minorHAnsi" w:eastAsia="Times New Roman" w:hAnsiTheme="minorHAnsi" w:cs="Verdana"/>
          <w:szCs w:val="20"/>
          <w:lang w:eastAsia="es-ES"/>
        </w:rPr>
        <w:t xml:space="preserve">The second refers to the right of petition, </w:t>
      </w:r>
      <w:r w:rsidR="00401D2A" w:rsidRPr="00D920C9">
        <w:rPr>
          <w:rFonts w:asciiTheme="minorHAnsi" w:eastAsia="Times New Roman" w:hAnsiTheme="minorHAnsi" w:cs="Verdana"/>
          <w:szCs w:val="20"/>
          <w:lang w:eastAsia="es-ES"/>
        </w:rPr>
        <w:t xml:space="preserve">that is, </w:t>
      </w:r>
    </w:p>
    <w:p w14:paraId="6AC867BE" w14:textId="77777777" w:rsidR="00401D2A" w:rsidRPr="00D920C9" w:rsidRDefault="00401D2A" w:rsidP="001167CB">
      <w:pPr>
        <w:spacing w:after="240" w:line="240" w:lineRule="auto"/>
        <w:ind w:left="1166" w:right="619"/>
        <w:jc w:val="both"/>
        <w:rPr>
          <w:rFonts w:asciiTheme="minorHAnsi" w:eastAsia="Times New Roman" w:hAnsiTheme="minorHAnsi" w:cs="Verdana"/>
          <w:szCs w:val="18"/>
          <w:lang w:eastAsia="es-ES"/>
        </w:rPr>
      </w:pPr>
      <w:r w:rsidRPr="00D920C9">
        <w:rPr>
          <w:rFonts w:asciiTheme="minorHAnsi" w:eastAsia="Times New Roman" w:hAnsiTheme="minorHAnsi" w:cs="Verdana"/>
          <w:szCs w:val="18"/>
          <w:lang w:eastAsia="es-ES"/>
        </w:rPr>
        <w:t xml:space="preserve">Every person has the right to submit respectful petitions to any competent authority, for reasons of </w:t>
      </w:r>
      <w:proofErr w:type="gramStart"/>
      <w:r w:rsidRPr="00D920C9">
        <w:rPr>
          <w:rFonts w:asciiTheme="minorHAnsi" w:eastAsia="Times New Roman" w:hAnsiTheme="minorHAnsi" w:cs="Verdana"/>
          <w:szCs w:val="18"/>
          <w:lang w:eastAsia="es-ES"/>
        </w:rPr>
        <w:t>either general or private interest, and</w:t>
      </w:r>
      <w:proofErr w:type="gramEnd"/>
      <w:r w:rsidRPr="00D920C9">
        <w:rPr>
          <w:rFonts w:asciiTheme="minorHAnsi" w:eastAsia="Times New Roman" w:hAnsiTheme="minorHAnsi" w:cs="Verdana"/>
          <w:szCs w:val="18"/>
          <w:lang w:eastAsia="es-ES"/>
        </w:rPr>
        <w:t xml:space="preserve"> the right to obtain a prompt decision thereon.</w:t>
      </w:r>
    </w:p>
    <w:p w14:paraId="2540CA27" w14:textId="77777777" w:rsidR="00B4412C" w:rsidRPr="00D920C9" w:rsidRDefault="00B4412C" w:rsidP="00E86698">
      <w:pPr>
        <w:pStyle w:val="ListParagraph"/>
        <w:numPr>
          <w:ilvl w:val="0"/>
          <w:numId w:val="9"/>
        </w:numPr>
        <w:spacing w:after="240" w:line="240" w:lineRule="auto"/>
        <w:ind w:left="547" w:hanging="547"/>
        <w:contextualSpacing w:val="0"/>
        <w:jc w:val="both"/>
        <w:rPr>
          <w:rFonts w:asciiTheme="minorHAnsi" w:eastAsia="Times New Roman" w:hAnsiTheme="minorHAnsi" w:cs="Verdana"/>
          <w:szCs w:val="20"/>
          <w:lang w:eastAsia="es-ES"/>
        </w:rPr>
      </w:pPr>
      <w:r w:rsidRPr="00D920C9">
        <w:rPr>
          <w:rFonts w:asciiTheme="minorHAnsi" w:eastAsia="Times New Roman" w:hAnsiTheme="minorHAnsi" w:cs="Verdana"/>
          <w:szCs w:val="20"/>
          <w:lang w:eastAsia="es-ES"/>
        </w:rPr>
        <w:t xml:space="preserve">These rights together stand for a wider guarantee of access to justice. </w:t>
      </w:r>
      <w:r w:rsidR="00AF7ED3" w:rsidRPr="00D920C9">
        <w:rPr>
          <w:rFonts w:asciiTheme="minorHAnsi" w:eastAsia="Times New Roman" w:hAnsiTheme="minorHAnsi" w:cs="Verdana"/>
          <w:szCs w:val="20"/>
          <w:lang w:eastAsia="es-ES"/>
        </w:rPr>
        <w:t xml:space="preserve">These include the duty of the State to act with due diligence to prevent, investigate, and punish human rights violations; the </w:t>
      </w:r>
      <w:r w:rsidR="00AF7ED3" w:rsidRPr="00D920C9">
        <w:rPr>
          <w:rFonts w:asciiTheme="minorHAnsi" w:hAnsiTheme="minorHAnsi"/>
        </w:rPr>
        <w:t>obligation</w:t>
      </w:r>
      <w:r w:rsidR="00AF7ED3" w:rsidRPr="00D920C9">
        <w:rPr>
          <w:rFonts w:asciiTheme="minorHAnsi" w:eastAsia="Times New Roman" w:hAnsiTheme="minorHAnsi" w:cs="Verdana"/>
          <w:szCs w:val="20"/>
          <w:lang w:eastAsia="es-ES"/>
        </w:rPr>
        <w:t xml:space="preserve"> to provide adequate and accessible remedies; and to ensure appropriate reparations for victims of violations.</w:t>
      </w:r>
      <w:r w:rsidRPr="00D920C9">
        <w:rPr>
          <w:rFonts w:asciiTheme="minorHAnsi" w:hAnsiTheme="minorHAnsi"/>
          <w:szCs w:val="20"/>
        </w:rPr>
        <w:t xml:space="preserve"> </w:t>
      </w:r>
    </w:p>
    <w:p w14:paraId="419803D3" w14:textId="09F1D3E3" w:rsidR="00F504E6" w:rsidRPr="00D920C9" w:rsidRDefault="00F504E6" w:rsidP="00226E45">
      <w:pPr>
        <w:pStyle w:val="Heading3"/>
        <w:numPr>
          <w:ilvl w:val="0"/>
          <w:numId w:val="41"/>
        </w:numPr>
        <w:ind w:left="540" w:hanging="540"/>
      </w:pPr>
      <w:bookmarkStart w:id="216" w:name="_Toc511837841"/>
      <w:bookmarkStart w:id="217" w:name="_Toc511903014"/>
      <w:bookmarkStart w:id="218" w:name="_Toc517687943"/>
      <w:r w:rsidRPr="00D920C9">
        <w:t xml:space="preserve">Due </w:t>
      </w:r>
      <w:r w:rsidR="003A6706" w:rsidRPr="00D920C9">
        <w:t>Diligence</w:t>
      </w:r>
      <w:bookmarkEnd w:id="216"/>
      <w:bookmarkEnd w:id="217"/>
      <w:bookmarkEnd w:id="218"/>
    </w:p>
    <w:p w14:paraId="7FD77E54" w14:textId="49C80FE3" w:rsidR="00AF7ED3" w:rsidRPr="00D920C9" w:rsidRDefault="00AF7ED3" w:rsidP="00E86698">
      <w:pPr>
        <w:pStyle w:val="ListParagraph"/>
        <w:numPr>
          <w:ilvl w:val="0"/>
          <w:numId w:val="9"/>
        </w:numPr>
        <w:spacing w:after="240" w:line="240" w:lineRule="auto"/>
        <w:ind w:left="547" w:hanging="547"/>
        <w:contextualSpacing w:val="0"/>
        <w:jc w:val="both"/>
        <w:rPr>
          <w:rFonts w:asciiTheme="minorHAnsi" w:hAnsiTheme="minorHAnsi"/>
        </w:rPr>
      </w:pPr>
      <w:bookmarkStart w:id="219" w:name="_Ref507518542"/>
      <w:r w:rsidRPr="00D920C9">
        <w:rPr>
          <w:rFonts w:asciiTheme="minorHAnsi" w:hAnsiTheme="minorHAnsi"/>
          <w:szCs w:val="20"/>
          <w:lang w:eastAsia="es-ES"/>
        </w:rPr>
        <w:t>States are obligated to organize their governments—federal, state, and local—and, in general, all the structures through which public power is exercised, including the State’s legislative framework, public policies, law enforcement machinery, and judicial system, to ensure the full enjoyment of human rights of all persons subject to their jurisdiction.</w:t>
      </w:r>
      <w:r w:rsidRPr="00D920C9">
        <w:rPr>
          <w:rStyle w:val="FootnoteReference"/>
          <w:rFonts w:asciiTheme="minorHAnsi" w:hAnsiTheme="minorHAnsi"/>
          <w:szCs w:val="20"/>
          <w:lang w:eastAsia="es-ES"/>
        </w:rPr>
        <w:footnoteReference w:id="553"/>
      </w:r>
      <w:r w:rsidR="007002EB" w:rsidRPr="00D920C9">
        <w:rPr>
          <w:rFonts w:asciiTheme="minorHAnsi" w:hAnsiTheme="minorHAnsi"/>
          <w:szCs w:val="20"/>
          <w:lang w:eastAsia="es-ES"/>
        </w:rPr>
        <w:t xml:space="preserve"> Under international human rights law, the State has the non-</w:t>
      </w:r>
      <w:proofErr w:type="spellStart"/>
      <w:r w:rsidR="007002EB" w:rsidRPr="00D920C9">
        <w:rPr>
          <w:rFonts w:asciiTheme="minorHAnsi" w:hAnsiTheme="minorHAnsi"/>
          <w:szCs w:val="20"/>
          <w:lang w:eastAsia="es-ES"/>
        </w:rPr>
        <w:t>derogable</w:t>
      </w:r>
      <w:proofErr w:type="spellEnd"/>
      <w:r w:rsidR="007002EB" w:rsidRPr="00D920C9">
        <w:rPr>
          <w:rFonts w:asciiTheme="minorHAnsi" w:hAnsiTheme="minorHAnsi"/>
          <w:szCs w:val="20"/>
          <w:lang w:eastAsia="es-ES"/>
        </w:rPr>
        <w:t xml:space="preserve"> obligation to respect the right to life and prevent torture.</w:t>
      </w:r>
      <w:r w:rsidR="007002EB" w:rsidRPr="00D920C9">
        <w:rPr>
          <w:rStyle w:val="FootnoteReference"/>
          <w:rFonts w:asciiTheme="minorHAnsi" w:hAnsiTheme="minorHAnsi"/>
          <w:szCs w:val="20"/>
          <w:lang w:eastAsia="es-ES"/>
        </w:rPr>
        <w:footnoteReference w:id="554"/>
      </w:r>
      <w:r w:rsidR="007002EB" w:rsidRPr="00D920C9">
        <w:rPr>
          <w:rFonts w:asciiTheme="minorHAnsi" w:hAnsiTheme="minorHAnsi"/>
          <w:szCs w:val="20"/>
          <w:lang w:eastAsia="es-ES"/>
        </w:rPr>
        <w:t xml:space="preserve"> This obligation </w:t>
      </w:r>
      <w:r w:rsidR="007002EB" w:rsidRPr="00D920C9">
        <w:rPr>
          <w:rFonts w:asciiTheme="minorHAnsi" w:hAnsiTheme="minorHAnsi"/>
        </w:rPr>
        <w:t>gives rise, in turn</w:t>
      </w:r>
      <w:r w:rsidR="002571D0" w:rsidRPr="00D920C9">
        <w:rPr>
          <w:rFonts w:asciiTheme="minorHAnsi" w:hAnsiTheme="minorHAnsi"/>
        </w:rPr>
        <w:t>,</w:t>
      </w:r>
      <w:r w:rsidR="007002EB" w:rsidRPr="00D920C9">
        <w:rPr>
          <w:rFonts w:asciiTheme="minorHAnsi" w:hAnsiTheme="minorHAnsi"/>
        </w:rPr>
        <w:t xml:space="preserve"> to the obligation to act with due diligence to protect human rights. This requirement encompasses four basic obligations: prevention, </w:t>
      </w:r>
      <w:r w:rsidR="007002EB" w:rsidRPr="00D920C9">
        <w:rPr>
          <w:rFonts w:asciiTheme="minorHAnsi" w:hAnsiTheme="minorHAnsi"/>
        </w:rPr>
        <w:lastRenderedPageBreak/>
        <w:t xml:space="preserve">investigation, punishment, and reparation </w:t>
      </w:r>
      <w:r w:rsidR="00943FA9" w:rsidRPr="00D920C9">
        <w:rPr>
          <w:rFonts w:asciiTheme="minorHAnsi" w:hAnsiTheme="minorHAnsi"/>
        </w:rPr>
        <w:t xml:space="preserve">and non-repetition </w:t>
      </w:r>
      <w:r w:rsidR="007002EB" w:rsidRPr="00D920C9">
        <w:rPr>
          <w:rFonts w:asciiTheme="minorHAnsi" w:hAnsiTheme="minorHAnsi"/>
        </w:rPr>
        <w:t>of human rights violations.</w:t>
      </w:r>
      <w:r w:rsidR="007002EB" w:rsidRPr="00D920C9">
        <w:rPr>
          <w:rFonts w:asciiTheme="minorHAnsi" w:hAnsiTheme="minorHAnsi"/>
          <w:vertAlign w:val="superscript"/>
        </w:rPr>
        <w:footnoteReference w:id="555"/>
      </w:r>
      <w:r w:rsidR="007002EB" w:rsidRPr="00D920C9">
        <w:rPr>
          <w:rFonts w:asciiTheme="minorHAnsi" w:hAnsiTheme="minorHAnsi"/>
        </w:rPr>
        <w:t xml:space="preserve"> The failure of the State to carry out this duty, even where the perpetrators are third parties, may amount to State action that </w:t>
      </w:r>
      <w:r w:rsidR="002571D0" w:rsidRPr="00D920C9">
        <w:rPr>
          <w:rFonts w:asciiTheme="minorHAnsi" w:hAnsiTheme="minorHAnsi"/>
        </w:rPr>
        <w:t>gives rise to</w:t>
      </w:r>
      <w:r w:rsidR="007002EB" w:rsidRPr="00D920C9">
        <w:rPr>
          <w:rFonts w:asciiTheme="minorHAnsi" w:hAnsiTheme="minorHAnsi"/>
        </w:rPr>
        <w:t xml:space="preserve"> international responsibility.</w:t>
      </w:r>
      <w:r w:rsidR="007002EB" w:rsidRPr="00D920C9">
        <w:rPr>
          <w:rFonts w:asciiTheme="minorHAnsi" w:hAnsiTheme="minorHAnsi"/>
          <w:vertAlign w:val="superscript"/>
        </w:rPr>
        <w:footnoteReference w:id="556"/>
      </w:r>
      <w:r w:rsidR="007002EB" w:rsidRPr="00D920C9">
        <w:rPr>
          <w:rFonts w:asciiTheme="minorHAnsi" w:hAnsiTheme="minorHAnsi"/>
        </w:rPr>
        <w:t xml:space="preserve"> The Commission has </w:t>
      </w:r>
      <w:r w:rsidR="002571D0" w:rsidRPr="00D920C9">
        <w:rPr>
          <w:rFonts w:asciiTheme="minorHAnsi" w:hAnsiTheme="minorHAnsi"/>
        </w:rPr>
        <w:t xml:space="preserve">consistently </w:t>
      </w:r>
      <w:r w:rsidR="007002EB" w:rsidRPr="00D920C9">
        <w:rPr>
          <w:rFonts w:asciiTheme="minorHAnsi" w:hAnsiTheme="minorHAnsi"/>
        </w:rPr>
        <w:t>invoked the due diligence principle as a benchmark to rule on cases and situations of racism and other forms of intolerance.</w:t>
      </w:r>
      <w:r w:rsidR="00904CD6" w:rsidRPr="00D920C9">
        <w:rPr>
          <w:rFonts w:asciiTheme="minorHAnsi" w:hAnsiTheme="minorHAnsi"/>
          <w:vertAlign w:val="superscript"/>
        </w:rPr>
        <w:footnoteReference w:id="557"/>
      </w:r>
      <w:bookmarkEnd w:id="219"/>
    </w:p>
    <w:p w14:paraId="09166411" w14:textId="1B164731" w:rsidR="00904CD6" w:rsidRPr="00D920C9" w:rsidRDefault="00904CD6"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Commission has addressed the scope of the United States’ obligation to guarantee the rights of at-risk persons or groups on </w:t>
      </w:r>
      <w:r w:rsidR="002571D0" w:rsidRPr="00D920C9">
        <w:rPr>
          <w:rFonts w:asciiTheme="minorHAnsi" w:hAnsiTheme="minorHAnsi"/>
        </w:rPr>
        <w:t>various</w:t>
      </w:r>
      <w:r w:rsidRPr="00D920C9">
        <w:rPr>
          <w:rFonts w:asciiTheme="minorHAnsi" w:hAnsiTheme="minorHAnsi"/>
        </w:rPr>
        <w:t xml:space="preserve"> occasions, examining the differential impact that widespread practices of discrimination and violence by State agents or non-State actors have had on certain social groups,</w:t>
      </w:r>
      <w:r w:rsidRPr="00D920C9">
        <w:rPr>
          <w:rFonts w:asciiTheme="minorHAnsi" w:hAnsiTheme="minorHAnsi"/>
          <w:vertAlign w:val="superscript"/>
        </w:rPr>
        <w:footnoteReference w:id="558"/>
      </w:r>
      <w:r w:rsidRPr="00D920C9">
        <w:rPr>
          <w:rFonts w:asciiTheme="minorHAnsi" w:hAnsiTheme="minorHAnsi"/>
        </w:rPr>
        <w:t xml:space="preserve"> including African Americans.</w:t>
      </w:r>
      <w:r w:rsidRPr="00D920C9">
        <w:rPr>
          <w:rFonts w:asciiTheme="minorHAnsi" w:hAnsiTheme="minorHAnsi"/>
          <w:vertAlign w:val="superscript"/>
        </w:rPr>
        <w:footnoteReference w:id="559"/>
      </w:r>
      <w:r w:rsidRPr="00D920C9">
        <w:rPr>
          <w:rFonts w:asciiTheme="minorHAnsi" w:hAnsiTheme="minorHAnsi"/>
        </w:rPr>
        <w:t xml:space="preserve"> </w:t>
      </w:r>
    </w:p>
    <w:p w14:paraId="3B0983EB" w14:textId="4B82B9C2" w:rsidR="006A0627" w:rsidRPr="00D920C9" w:rsidRDefault="006A0627" w:rsidP="00E86698">
      <w:pPr>
        <w:pStyle w:val="ListParagraph"/>
        <w:numPr>
          <w:ilvl w:val="0"/>
          <w:numId w:val="9"/>
        </w:numPr>
        <w:spacing w:after="240" w:line="240" w:lineRule="auto"/>
        <w:ind w:left="547" w:hanging="547"/>
        <w:contextualSpacing w:val="0"/>
        <w:jc w:val="both"/>
        <w:rPr>
          <w:rFonts w:asciiTheme="minorHAnsi" w:hAnsiTheme="minorHAnsi"/>
          <w:szCs w:val="20"/>
          <w:lang w:eastAsia="es-ES"/>
        </w:rPr>
      </w:pPr>
      <w:bookmarkStart w:id="221" w:name="_Ref507677451"/>
      <w:r w:rsidRPr="00D920C9">
        <w:rPr>
          <w:rFonts w:asciiTheme="minorHAnsi" w:hAnsiTheme="minorHAnsi"/>
        </w:rPr>
        <w:t xml:space="preserve">There is a strong link between discrimination, violence, and due diligence. For example, the Commission has found on </w:t>
      </w:r>
      <w:r w:rsidR="002571D0" w:rsidRPr="00D920C9">
        <w:rPr>
          <w:rFonts w:asciiTheme="minorHAnsi" w:hAnsiTheme="minorHAnsi"/>
        </w:rPr>
        <w:t>various</w:t>
      </w:r>
      <w:r w:rsidRPr="00D920C9">
        <w:rPr>
          <w:rFonts w:asciiTheme="minorHAnsi" w:hAnsiTheme="minorHAnsi"/>
        </w:rPr>
        <w:t xml:space="preserve"> occasions that a State’s failure to act with due diligence to protect women from violence constitutes a form of discrimination, and denies women their right to equality before the law.</w:t>
      </w:r>
      <w:r w:rsidRPr="00D920C9">
        <w:rPr>
          <w:rFonts w:asciiTheme="minorHAnsi" w:hAnsiTheme="minorHAnsi"/>
          <w:vertAlign w:val="superscript"/>
        </w:rPr>
        <w:footnoteReference w:id="560"/>
      </w:r>
      <w:r w:rsidRPr="00D920C9">
        <w:rPr>
          <w:rFonts w:asciiTheme="minorHAnsi" w:hAnsiTheme="minorHAnsi"/>
          <w:szCs w:val="20"/>
          <w:lang w:eastAsia="es-ES"/>
        </w:rPr>
        <w:t xml:space="preserve"> </w:t>
      </w:r>
      <w:r w:rsidR="002571D0" w:rsidRPr="00D920C9">
        <w:rPr>
          <w:rFonts w:asciiTheme="minorHAnsi" w:hAnsiTheme="minorHAnsi"/>
          <w:szCs w:val="20"/>
          <w:lang w:eastAsia="es-ES"/>
        </w:rPr>
        <w:t xml:space="preserve"> T</w:t>
      </w:r>
      <w:r w:rsidRPr="00D920C9">
        <w:rPr>
          <w:rFonts w:asciiTheme="minorHAnsi" w:hAnsiTheme="minorHAnsi"/>
          <w:szCs w:val="20"/>
          <w:lang w:eastAsia="es-ES"/>
        </w:rPr>
        <w:t xml:space="preserve">he State is obligated not only to abstain from violating rights and act with due diligence to prevent particular acts of </w:t>
      </w:r>
      <w:r w:rsidRPr="00D920C9">
        <w:rPr>
          <w:rFonts w:asciiTheme="minorHAnsi" w:hAnsiTheme="minorHAnsi"/>
          <w:szCs w:val="20"/>
          <w:lang w:eastAsia="es-ES"/>
        </w:rPr>
        <w:lastRenderedPageBreak/>
        <w:t xml:space="preserve">violence, but also to remedy </w:t>
      </w:r>
      <w:r w:rsidR="002571D0" w:rsidRPr="00D920C9">
        <w:rPr>
          <w:rFonts w:asciiTheme="minorHAnsi" w:hAnsiTheme="minorHAnsi"/>
          <w:szCs w:val="20"/>
          <w:lang w:eastAsia="es-ES"/>
        </w:rPr>
        <w:t>an</w:t>
      </w:r>
      <w:r w:rsidRPr="00D920C9">
        <w:rPr>
          <w:rFonts w:asciiTheme="minorHAnsi" w:hAnsiTheme="minorHAnsi"/>
          <w:szCs w:val="20"/>
          <w:lang w:eastAsia="es-ES"/>
        </w:rPr>
        <w:t xml:space="preserve"> underlying</w:t>
      </w:r>
      <w:r w:rsidR="002571D0" w:rsidRPr="00D920C9">
        <w:rPr>
          <w:rFonts w:asciiTheme="minorHAnsi" w:hAnsiTheme="minorHAnsi"/>
          <w:szCs w:val="20"/>
          <w:lang w:eastAsia="es-ES"/>
        </w:rPr>
        <w:t xml:space="preserve"> situation of</w:t>
      </w:r>
      <w:r w:rsidRPr="00D920C9">
        <w:rPr>
          <w:rFonts w:asciiTheme="minorHAnsi" w:hAnsiTheme="minorHAnsi"/>
          <w:szCs w:val="20"/>
          <w:lang w:eastAsia="es-ES"/>
        </w:rPr>
        <w:t xml:space="preserve"> discrimination and injustice.</w:t>
      </w:r>
      <w:r w:rsidRPr="00D920C9">
        <w:rPr>
          <w:rStyle w:val="FootnoteReference"/>
          <w:rFonts w:asciiTheme="minorHAnsi" w:hAnsiTheme="minorHAnsi"/>
          <w:szCs w:val="20"/>
          <w:lang w:eastAsia="es-ES"/>
        </w:rPr>
        <w:footnoteReference w:id="561"/>
      </w:r>
      <w:bookmarkEnd w:id="221"/>
    </w:p>
    <w:p w14:paraId="77169A7F" w14:textId="74DF0DED" w:rsidR="006A0627" w:rsidRPr="00D920C9" w:rsidRDefault="006A0627" w:rsidP="00E86698">
      <w:pPr>
        <w:pStyle w:val="ListParagraph"/>
        <w:numPr>
          <w:ilvl w:val="0"/>
          <w:numId w:val="9"/>
        </w:numPr>
        <w:spacing w:after="240" w:line="240" w:lineRule="auto"/>
        <w:ind w:left="547" w:hanging="547"/>
        <w:contextualSpacing w:val="0"/>
        <w:jc w:val="both"/>
        <w:rPr>
          <w:rFonts w:asciiTheme="minorHAnsi" w:hAnsiTheme="minorHAnsi"/>
        </w:rPr>
      </w:pPr>
      <w:bookmarkStart w:id="222" w:name="_Ref507497216"/>
      <w:r w:rsidRPr="00D920C9">
        <w:rPr>
          <w:rFonts w:asciiTheme="minorHAnsi" w:hAnsiTheme="minorHAnsi"/>
          <w:szCs w:val="20"/>
          <w:lang w:eastAsia="es-ES"/>
        </w:rPr>
        <w:t xml:space="preserve">The Commission has interpreted the duty to act with due diligence toward situations of structural violence, such as gender-based violence against women, broadly, encompassing not only </w:t>
      </w:r>
      <w:r w:rsidR="00541774" w:rsidRPr="00D920C9">
        <w:rPr>
          <w:rFonts w:asciiTheme="minorHAnsi" w:hAnsiTheme="minorHAnsi"/>
          <w:szCs w:val="20"/>
          <w:lang w:eastAsia="es-ES"/>
        </w:rPr>
        <w:t>the prompt investigation, prosecution, and punishment of these acts, but also the obligation “to prevent these degrading practices.”</w:t>
      </w:r>
      <w:r w:rsidR="00541774" w:rsidRPr="00D920C9">
        <w:rPr>
          <w:rStyle w:val="FootnoteReference"/>
          <w:rFonts w:asciiTheme="minorHAnsi" w:hAnsiTheme="minorHAnsi"/>
          <w:szCs w:val="20"/>
          <w:lang w:eastAsia="es-ES"/>
        </w:rPr>
        <w:footnoteReference w:id="562"/>
      </w:r>
      <w:r w:rsidR="00541774" w:rsidRPr="00D920C9">
        <w:rPr>
          <w:rFonts w:asciiTheme="minorHAnsi" w:hAnsiTheme="minorHAnsi"/>
          <w:szCs w:val="20"/>
          <w:lang w:eastAsia="es-ES"/>
        </w:rPr>
        <w:t xml:space="preserve"> For example, in </w:t>
      </w:r>
      <w:r w:rsidR="00541774" w:rsidRPr="00D920C9">
        <w:rPr>
          <w:rFonts w:asciiTheme="minorHAnsi" w:hAnsiTheme="minorHAnsi"/>
          <w:i/>
          <w:szCs w:val="20"/>
          <w:lang w:eastAsia="es-ES"/>
        </w:rPr>
        <w:t xml:space="preserve">Jessica </w:t>
      </w:r>
      <w:proofErr w:type="spellStart"/>
      <w:r w:rsidR="00541774" w:rsidRPr="00D920C9">
        <w:rPr>
          <w:rFonts w:asciiTheme="minorHAnsi" w:hAnsiTheme="minorHAnsi"/>
          <w:i/>
          <w:szCs w:val="20"/>
          <w:lang w:eastAsia="es-ES"/>
        </w:rPr>
        <w:t>Lenahan</w:t>
      </w:r>
      <w:proofErr w:type="spellEnd"/>
      <w:r w:rsidR="00541774" w:rsidRPr="00D920C9">
        <w:rPr>
          <w:rFonts w:asciiTheme="minorHAnsi" w:hAnsiTheme="minorHAnsi"/>
          <w:i/>
          <w:szCs w:val="20"/>
          <w:lang w:eastAsia="es-ES"/>
        </w:rPr>
        <w:t xml:space="preserve"> v. United States</w:t>
      </w:r>
      <w:r w:rsidR="00541774" w:rsidRPr="00D920C9">
        <w:rPr>
          <w:rFonts w:asciiTheme="minorHAnsi" w:hAnsiTheme="minorHAnsi"/>
          <w:szCs w:val="20"/>
          <w:lang w:eastAsia="es-ES"/>
        </w:rPr>
        <w:t>, the Commission highlighted that “the State</w:t>
      </w:r>
      <w:r w:rsidR="008A7C97" w:rsidRPr="00D920C9">
        <w:rPr>
          <w:rFonts w:asciiTheme="minorHAnsi" w:hAnsiTheme="minorHAnsi"/>
          <w:szCs w:val="20"/>
          <w:lang w:eastAsia="es-ES"/>
        </w:rPr>
        <w:t>’</w:t>
      </w:r>
      <w:r w:rsidR="00541774" w:rsidRPr="00D920C9">
        <w:rPr>
          <w:rFonts w:asciiTheme="minorHAnsi" w:hAnsiTheme="minorHAnsi"/>
          <w:szCs w:val="20"/>
          <w:lang w:eastAsia="es-ES"/>
        </w:rPr>
        <w:t xml:space="preserve">s duty to address violence against women also involves measures to prevent and </w:t>
      </w:r>
      <w:r w:rsidR="00541774" w:rsidRPr="00D920C9">
        <w:rPr>
          <w:rFonts w:asciiTheme="minorHAnsi" w:hAnsiTheme="minorHAnsi"/>
        </w:rPr>
        <w:t>respond to the discrimination that perpetuates this problem.”</w:t>
      </w:r>
      <w:r w:rsidR="00541774" w:rsidRPr="00D920C9">
        <w:rPr>
          <w:rFonts w:asciiTheme="minorHAnsi" w:hAnsiTheme="minorHAnsi"/>
          <w:vertAlign w:val="superscript"/>
        </w:rPr>
        <w:footnoteReference w:id="563"/>
      </w:r>
      <w:r w:rsidR="00541774" w:rsidRPr="00D920C9">
        <w:rPr>
          <w:rFonts w:asciiTheme="minorHAnsi" w:hAnsiTheme="minorHAnsi"/>
        </w:rPr>
        <w:t xml:space="preserve"> Thus, “States must adopt the required measures to modify the social and cultural patterns of conduct of men and women and to eliminate prejudices, customary practices and other practices based on the idea of the inferiority or superiority of either of the sexes, and on stereotyped roles for men and women.”</w:t>
      </w:r>
      <w:r w:rsidR="00541774" w:rsidRPr="00D920C9">
        <w:rPr>
          <w:rFonts w:asciiTheme="minorHAnsi" w:hAnsiTheme="minorHAnsi"/>
          <w:vertAlign w:val="superscript"/>
        </w:rPr>
        <w:footnoteReference w:id="564"/>
      </w:r>
      <w:r w:rsidR="00541774" w:rsidRPr="00D920C9">
        <w:rPr>
          <w:rFonts w:asciiTheme="minorHAnsi" w:hAnsiTheme="minorHAnsi"/>
        </w:rPr>
        <w:t xml:space="preserve"> Furthermore, the Commission</w:t>
      </w:r>
      <w:r w:rsidR="00680620" w:rsidRPr="00D920C9">
        <w:rPr>
          <w:rFonts w:asciiTheme="minorHAnsi" w:hAnsiTheme="minorHAnsi"/>
        </w:rPr>
        <w:t xml:space="preserve"> has previously considered that “the existence of a general pattern of State tolerance and judicial inefficiency towards cases of domestic violence [promotes] their repetition, and reaffirm[s] the inextricable link between the problem of violence against women and discrimination in the domestic setting.”</w:t>
      </w:r>
      <w:r w:rsidR="00680620" w:rsidRPr="00D920C9">
        <w:rPr>
          <w:rFonts w:asciiTheme="minorHAnsi" w:hAnsiTheme="minorHAnsi"/>
          <w:vertAlign w:val="superscript"/>
        </w:rPr>
        <w:footnoteReference w:id="565"/>
      </w:r>
      <w:bookmarkEnd w:id="222"/>
    </w:p>
    <w:p w14:paraId="3931E8F5" w14:textId="4E8BD73B" w:rsidR="00680620" w:rsidRPr="00D920C9" w:rsidRDefault="00680620" w:rsidP="00E86698">
      <w:pPr>
        <w:pStyle w:val="ListParagraph"/>
        <w:numPr>
          <w:ilvl w:val="0"/>
          <w:numId w:val="9"/>
        </w:numPr>
        <w:spacing w:after="240" w:line="240" w:lineRule="auto"/>
        <w:ind w:left="547" w:hanging="547"/>
        <w:contextualSpacing w:val="0"/>
        <w:jc w:val="both"/>
        <w:rPr>
          <w:rFonts w:asciiTheme="minorHAnsi" w:hAnsiTheme="minorHAnsi"/>
        </w:rPr>
      </w:pPr>
      <w:bookmarkStart w:id="223" w:name="_Ref508009411"/>
      <w:r w:rsidRPr="00D920C9">
        <w:rPr>
          <w:rFonts w:asciiTheme="minorHAnsi" w:hAnsiTheme="minorHAnsi"/>
        </w:rPr>
        <w:t>In the case of violence and discrimination against African Americans, the Commission has previously considered the need for the federal and state governments to take steps “with due diligence and without delay to address the context which fuels forms of structural discrimination and disparate treatment against African Americans and racial minorities in the United States,” considering that this context is a key contributing factor to police violence against African Americans, and that remedying this underlying discrimination is “vital for the full exercise of citizenship by African Americans and to foster a more inclusive democracy in the United States.”</w:t>
      </w:r>
      <w:r w:rsidRPr="00D920C9">
        <w:rPr>
          <w:rFonts w:asciiTheme="minorHAnsi" w:hAnsiTheme="minorHAnsi"/>
          <w:vertAlign w:val="superscript"/>
        </w:rPr>
        <w:footnoteReference w:id="566"/>
      </w:r>
      <w:r w:rsidRPr="00D920C9">
        <w:rPr>
          <w:rFonts w:asciiTheme="minorHAnsi" w:hAnsiTheme="minorHAnsi"/>
        </w:rPr>
        <w:t xml:space="preserve"> Indeed, historic, structural discrimination against African Americans is the “backbone” of many of the problems discussed in this report.</w:t>
      </w:r>
      <w:r w:rsidRPr="00D920C9">
        <w:rPr>
          <w:rFonts w:asciiTheme="minorHAnsi" w:hAnsiTheme="minorHAnsi"/>
          <w:vertAlign w:val="superscript"/>
        </w:rPr>
        <w:footnoteReference w:id="567"/>
      </w:r>
      <w:bookmarkEnd w:id="223"/>
    </w:p>
    <w:p w14:paraId="4AC2CB5B" w14:textId="14976FA3" w:rsidR="00680620" w:rsidRPr="00D920C9" w:rsidRDefault="00680620" w:rsidP="00E86698">
      <w:pPr>
        <w:pStyle w:val="ListParagraph"/>
        <w:numPr>
          <w:ilvl w:val="0"/>
          <w:numId w:val="9"/>
        </w:numPr>
        <w:spacing w:after="240" w:line="240" w:lineRule="auto"/>
        <w:ind w:left="547" w:hanging="547"/>
        <w:contextualSpacing w:val="0"/>
        <w:jc w:val="both"/>
        <w:rPr>
          <w:rFonts w:asciiTheme="minorHAnsi" w:hAnsiTheme="minorHAnsi"/>
        </w:rPr>
      </w:pPr>
      <w:bookmarkStart w:id="224" w:name="_Ref507497229"/>
      <w:r w:rsidRPr="00D920C9">
        <w:rPr>
          <w:rFonts w:asciiTheme="minorHAnsi" w:hAnsiTheme="minorHAnsi"/>
        </w:rPr>
        <w:t xml:space="preserve">In light of the foregoing, the Commission considers that </w:t>
      </w:r>
      <w:r w:rsidR="00B751A9" w:rsidRPr="00D920C9">
        <w:rPr>
          <w:rFonts w:asciiTheme="minorHAnsi" w:hAnsiTheme="minorHAnsi"/>
        </w:rPr>
        <w:t xml:space="preserve">a </w:t>
      </w:r>
      <w:r w:rsidRPr="00D920C9">
        <w:rPr>
          <w:rFonts w:asciiTheme="minorHAnsi" w:hAnsiTheme="minorHAnsi"/>
        </w:rPr>
        <w:t>State</w:t>
      </w:r>
      <w:r w:rsidR="00B751A9" w:rsidRPr="00D920C9">
        <w:rPr>
          <w:rFonts w:asciiTheme="minorHAnsi" w:hAnsiTheme="minorHAnsi"/>
        </w:rPr>
        <w:t>’s failure</w:t>
      </w:r>
      <w:r w:rsidRPr="00D920C9">
        <w:rPr>
          <w:rFonts w:asciiTheme="minorHAnsi" w:hAnsiTheme="minorHAnsi"/>
        </w:rPr>
        <w:t xml:space="preserve"> to act with due diligence to prevent violence against African Americans constitutes a form of discrimination and a denial of equality before the law. </w:t>
      </w:r>
      <w:r w:rsidRPr="00D920C9">
        <w:rPr>
          <w:rFonts w:asciiTheme="minorHAnsi" w:hAnsiTheme="minorHAnsi"/>
        </w:rPr>
        <w:lastRenderedPageBreak/>
        <w:t xml:space="preserve">The State has a positive duty to prevent and respond to the underlying discrimination that perpetuates </w:t>
      </w:r>
      <w:r w:rsidR="00B751A9" w:rsidRPr="00D920C9">
        <w:rPr>
          <w:rFonts w:asciiTheme="minorHAnsi" w:hAnsiTheme="minorHAnsi"/>
        </w:rPr>
        <w:t xml:space="preserve">the commission of </w:t>
      </w:r>
      <w:r w:rsidRPr="00D920C9">
        <w:rPr>
          <w:rFonts w:asciiTheme="minorHAnsi" w:hAnsiTheme="minorHAnsi"/>
        </w:rPr>
        <w:t>police violence against African Americans.</w:t>
      </w:r>
      <w:r w:rsidRPr="00D920C9">
        <w:rPr>
          <w:rFonts w:asciiTheme="minorHAnsi" w:hAnsiTheme="minorHAnsi"/>
          <w:vertAlign w:val="superscript"/>
        </w:rPr>
        <w:footnoteReference w:id="568"/>
      </w:r>
      <w:r w:rsidRPr="00D920C9">
        <w:rPr>
          <w:rFonts w:asciiTheme="minorHAnsi" w:hAnsiTheme="minorHAnsi"/>
        </w:rPr>
        <w:t xml:space="preserve"> </w:t>
      </w:r>
      <w:r w:rsidR="007F7673" w:rsidRPr="00D920C9">
        <w:rPr>
          <w:rFonts w:asciiTheme="minorHAnsi" w:hAnsiTheme="minorHAnsi"/>
        </w:rPr>
        <w:t>T</w:t>
      </w:r>
      <w:r w:rsidRPr="00D920C9">
        <w:rPr>
          <w:rFonts w:asciiTheme="minorHAnsi" w:hAnsiTheme="minorHAnsi"/>
        </w:rPr>
        <w:t>he Commission has previously emphasized that it is essential not only to appropriately investigate, prosecute, and punish cases of police violence, but also “to modify […] institutionalized stereotypes towards Afro-descendant[s]”</w:t>
      </w:r>
      <w:r w:rsidRPr="00D920C9">
        <w:rPr>
          <w:rFonts w:asciiTheme="minorHAnsi" w:hAnsiTheme="minorHAnsi"/>
          <w:vertAlign w:val="superscript"/>
        </w:rPr>
        <w:footnoteReference w:id="569"/>
      </w:r>
      <w:r w:rsidRPr="00D920C9">
        <w:rPr>
          <w:rFonts w:asciiTheme="minorHAnsi" w:hAnsiTheme="minorHAnsi"/>
        </w:rPr>
        <w:t xml:space="preserve"> in order to fulfill its duties to prevent and eradicate discrimination.</w:t>
      </w:r>
      <w:bookmarkEnd w:id="224"/>
    </w:p>
    <w:p w14:paraId="2E003F6C" w14:textId="6AB6864A" w:rsidR="004A338F" w:rsidRPr="00D920C9" w:rsidRDefault="004A338F" w:rsidP="00E86698">
      <w:pPr>
        <w:pStyle w:val="ListParagraph"/>
        <w:numPr>
          <w:ilvl w:val="0"/>
          <w:numId w:val="9"/>
        </w:numPr>
        <w:spacing w:after="240" w:line="240" w:lineRule="auto"/>
        <w:ind w:left="547" w:hanging="547"/>
        <w:contextualSpacing w:val="0"/>
        <w:jc w:val="both"/>
        <w:rPr>
          <w:rFonts w:asciiTheme="minorHAnsi" w:hAnsiTheme="minorHAnsi"/>
          <w:szCs w:val="20"/>
          <w:lang w:eastAsia="es-ES"/>
        </w:rPr>
      </w:pPr>
      <w:bookmarkStart w:id="225" w:name="_Ref507518547"/>
      <w:r w:rsidRPr="00D920C9">
        <w:rPr>
          <w:rFonts w:asciiTheme="minorHAnsi" w:hAnsiTheme="minorHAnsi"/>
        </w:rPr>
        <w:t xml:space="preserve">There is an important link between the duty </w:t>
      </w:r>
      <w:r w:rsidR="00D44603" w:rsidRPr="00D920C9">
        <w:rPr>
          <w:rFonts w:asciiTheme="minorHAnsi" w:hAnsiTheme="minorHAnsi"/>
        </w:rPr>
        <w:t>of</w:t>
      </w:r>
      <w:r w:rsidRPr="00D920C9">
        <w:rPr>
          <w:rFonts w:asciiTheme="minorHAnsi" w:hAnsiTheme="minorHAnsi"/>
        </w:rPr>
        <w:t xml:space="preserve"> due diligence and the obligation of States to guarantee access to adequate and effective judicial remedies for victims and their family members when they suffer acts of violence.</w:t>
      </w:r>
      <w:r w:rsidRPr="00D920C9">
        <w:rPr>
          <w:rFonts w:asciiTheme="minorHAnsi" w:hAnsiTheme="minorHAnsi"/>
          <w:vertAlign w:val="superscript"/>
        </w:rPr>
        <w:footnoteReference w:id="570"/>
      </w:r>
      <w:r w:rsidRPr="00D920C9">
        <w:rPr>
          <w:rFonts w:asciiTheme="minorHAnsi" w:hAnsiTheme="minorHAnsi"/>
        </w:rPr>
        <w:t xml:space="preserve"> Finally, it is important to keep in mind the role of intersectional factors (e.g. </w:t>
      </w:r>
      <w:r w:rsidR="00943FA9" w:rsidRPr="00D920C9">
        <w:rPr>
          <w:rFonts w:asciiTheme="minorHAnsi" w:hAnsiTheme="minorHAnsi"/>
        </w:rPr>
        <w:t>sexual orientation, gender identity and expression</w:t>
      </w:r>
      <w:r w:rsidRPr="00D920C9">
        <w:rPr>
          <w:rFonts w:asciiTheme="minorHAnsi" w:hAnsiTheme="minorHAnsi"/>
        </w:rPr>
        <w:t xml:space="preserve">, age, color, </w:t>
      </w:r>
      <w:r w:rsidR="00943FA9" w:rsidRPr="00D920C9">
        <w:rPr>
          <w:rFonts w:asciiTheme="minorHAnsi" w:hAnsiTheme="minorHAnsi"/>
        </w:rPr>
        <w:t xml:space="preserve">ethnicity, </w:t>
      </w:r>
      <w:r w:rsidRPr="00D920C9">
        <w:rPr>
          <w:rFonts w:asciiTheme="minorHAnsi" w:hAnsiTheme="minorHAnsi"/>
        </w:rPr>
        <w:t>national origin, immigration status, religion, disability, situation of poverty, situation of homelessness, and others) that may place certain African Americans and other individuals of color at particular risk of violence or discrimination by State or non-S</w:t>
      </w:r>
      <w:r w:rsidRPr="00D920C9">
        <w:rPr>
          <w:rFonts w:asciiTheme="minorHAnsi" w:hAnsiTheme="minorHAnsi"/>
          <w:szCs w:val="20"/>
          <w:lang w:eastAsia="es-ES"/>
        </w:rPr>
        <w:t>tate actors.</w:t>
      </w:r>
      <w:r w:rsidRPr="00D920C9">
        <w:rPr>
          <w:rStyle w:val="FootnoteReference"/>
          <w:rFonts w:asciiTheme="minorHAnsi" w:hAnsiTheme="minorHAnsi"/>
          <w:szCs w:val="20"/>
          <w:lang w:eastAsia="es-ES"/>
        </w:rPr>
        <w:footnoteReference w:id="571"/>
      </w:r>
      <w:bookmarkEnd w:id="225"/>
    </w:p>
    <w:p w14:paraId="5A8DD226" w14:textId="5F2C310B" w:rsidR="008F624A" w:rsidRPr="00D920C9" w:rsidRDefault="008F624A" w:rsidP="00226E45">
      <w:pPr>
        <w:pStyle w:val="Heading4"/>
        <w:numPr>
          <w:ilvl w:val="0"/>
          <w:numId w:val="42"/>
        </w:numPr>
        <w:ind w:left="540" w:hanging="540"/>
      </w:pPr>
      <w:bookmarkStart w:id="226" w:name="_Toc511837842"/>
      <w:bookmarkStart w:id="227" w:name="_Toc511903015"/>
      <w:bookmarkStart w:id="228" w:name="_Toc517687944"/>
      <w:r w:rsidRPr="00D920C9">
        <w:t xml:space="preserve">Collection of </w:t>
      </w:r>
      <w:r w:rsidR="003A6706" w:rsidRPr="00D920C9">
        <w:t xml:space="preserve">Statistics </w:t>
      </w:r>
      <w:r w:rsidRPr="00D920C9">
        <w:t xml:space="preserve">and </w:t>
      </w:r>
      <w:r w:rsidR="003A6706" w:rsidRPr="00D920C9">
        <w:t>Active Transparency</w:t>
      </w:r>
      <w:bookmarkEnd w:id="226"/>
      <w:bookmarkEnd w:id="227"/>
      <w:bookmarkEnd w:id="228"/>
    </w:p>
    <w:p w14:paraId="0DC3D353" w14:textId="77777777" w:rsidR="00B17B62" w:rsidRPr="00D920C9" w:rsidRDefault="00B17B62"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lang w:eastAsia="es-ES"/>
        </w:rPr>
        <w:t xml:space="preserve">The Commission underscores the fundamental importance of properly collecting official statistics on police violence as a key </w:t>
      </w:r>
      <w:r w:rsidRPr="00D920C9">
        <w:rPr>
          <w:rFonts w:asciiTheme="minorHAnsi" w:hAnsiTheme="minorHAnsi"/>
        </w:rPr>
        <w:t>element of its duty of due diligence, and calls on the State to begin collecting this information in a systematic, rigorous, transparent, and disaggregated manner without delay. In this regard, the Commission has previously signaled that the State is responsible for safeguarding information on the use of force and, therefore, any loss or concealment of the same should be investigated in order to establish administrative or other liability.</w:t>
      </w:r>
      <w:r w:rsidRPr="00D920C9">
        <w:rPr>
          <w:rFonts w:asciiTheme="minorHAnsi" w:hAnsiTheme="minorHAnsi"/>
          <w:vertAlign w:val="superscript"/>
        </w:rPr>
        <w:footnoteReference w:id="572"/>
      </w:r>
      <w:r w:rsidRPr="00D920C9">
        <w:rPr>
          <w:rFonts w:asciiTheme="minorHAnsi" w:hAnsiTheme="minorHAnsi"/>
        </w:rPr>
        <w:t xml:space="preserve"> </w:t>
      </w:r>
    </w:p>
    <w:p w14:paraId="2C8ED0A0" w14:textId="77777777" w:rsidR="00926210" w:rsidRPr="00D920C9" w:rsidRDefault="00926210"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The lack of official statistics on police violence hinders understanding and effectively addressing the problem of police violence.</w:t>
      </w:r>
      <w:r w:rsidRPr="00D920C9">
        <w:rPr>
          <w:rFonts w:asciiTheme="minorHAnsi" w:hAnsiTheme="minorHAnsi"/>
          <w:vertAlign w:val="superscript"/>
        </w:rPr>
        <w:footnoteReference w:id="573"/>
      </w:r>
      <w:r w:rsidRPr="00D920C9">
        <w:rPr>
          <w:rFonts w:asciiTheme="minorHAnsi" w:hAnsiTheme="minorHAnsi"/>
        </w:rPr>
        <w:t xml:space="preserve"> The Commission considers that accurate statistics and records on police violence are important not only as a matter of transparency, but are also relevant for establishing, evaluating, and understanding the magnitude and principal </w:t>
      </w:r>
      <w:r w:rsidRPr="00D920C9">
        <w:rPr>
          <w:rFonts w:asciiTheme="minorHAnsi" w:hAnsiTheme="minorHAnsi"/>
        </w:rPr>
        <w:lastRenderedPageBreak/>
        <w:t>modalities of police violence, patterns and practices of police violence against certain groups, and for ensuring accountability for the officers and agencies responsible.</w:t>
      </w:r>
    </w:p>
    <w:p w14:paraId="7DE649D0" w14:textId="77777777" w:rsidR="00ED5E8D" w:rsidRPr="00D920C9" w:rsidRDefault="00926210"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The Commission further highlights that in order to be of the greatest use for human rights monitoring, the official data that is gathered must be disaggregated.</w:t>
      </w:r>
      <w:r w:rsidRPr="00D920C9">
        <w:rPr>
          <w:rFonts w:asciiTheme="minorHAnsi" w:hAnsiTheme="minorHAnsi"/>
          <w:vertAlign w:val="superscript"/>
        </w:rPr>
        <w:footnoteReference w:id="574"/>
      </w:r>
      <w:r w:rsidR="00ED5E8D" w:rsidRPr="00D920C9">
        <w:rPr>
          <w:rFonts w:asciiTheme="minorHAnsi" w:hAnsiTheme="minorHAnsi"/>
        </w:rPr>
        <w:t xml:space="preserve"> For example, official statistics should distinguish between the context of use of force incidents (e.g., at public demonstrations, in the context of evictions, in the context of raids on homes and on other locations, incidents at detention centers or other State facilities, regular policing activities, and states of emergency, among others), actors involved (both State actors and victims, quantifying and disaggregating them by race, color, gender identity, sexual orientation, age, language, origin, education level, etc.; in the case of State agents, also indicating the security agency to which they belong), weapons used, rights violated (e.g., life, humane treatment, personal liberty, property, etc.), and circumstances of time and place, among others. It is also important to compile data on ongoing investigations and proceedings, including specifying the jurisdiction, and the results thereof.</w:t>
      </w:r>
      <w:r w:rsidR="00ED5E8D" w:rsidRPr="00D920C9">
        <w:rPr>
          <w:rFonts w:asciiTheme="minorHAnsi" w:hAnsiTheme="minorHAnsi"/>
          <w:vertAlign w:val="superscript"/>
        </w:rPr>
        <w:footnoteReference w:id="575"/>
      </w:r>
      <w:r w:rsidR="00ED5E8D" w:rsidRPr="00D920C9">
        <w:rPr>
          <w:rFonts w:asciiTheme="minorHAnsi" w:hAnsiTheme="minorHAnsi"/>
        </w:rPr>
        <w:t xml:space="preserve"> </w:t>
      </w:r>
    </w:p>
    <w:p w14:paraId="06AA998A" w14:textId="522E2A9E" w:rsidR="004A5257" w:rsidRPr="00D920C9" w:rsidRDefault="007F7673"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w:t>
      </w:r>
      <w:r w:rsidR="004A5257" w:rsidRPr="00D920C9">
        <w:rPr>
          <w:rFonts w:asciiTheme="minorHAnsi" w:hAnsiTheme="minorHAnsi"/>
        </w:rPr>
        <w:t>h</w:t>
      </w:r>
      <w:r w:rsidR="006D2C1F" w:rsidRPr="00D920C9">
        <w:rPr>
          <w:rFonts w:asciiTheme="minorHAnsi" w:hAnsiTheme="minorHAnsi"/>
        </w:rPr>
        <w:t xml:space="preserve">e Commission considers that </w:t>
      </w:r>
      <w:r w:rsidR="004A5257" w:rsidRPr="00D920C9">
        <w:rPr>
          <w:rFonts w:asciiTheme="minorHAnsi" w:hAnsiTheme="minorHAnsi"/>
        </w:rPr>
        <w:t>President</w:t>
      </w:r>
      <w:r w:rsidR="006D2C1F" w:rsidRPr="00D920C9">
        <w:rPr>
          <w:rFonts w:asciiTheme="minorHAnsi" w:hAnsiTheme="minorHAnsi"/>
        </w:rPr>
        <w:t xml:space="preserve"> Obama</w:t>
      </w:r>
      <w:r w:rsidR="004A5257" w:rsidRPr="00D920C9">
        <w:rPr>
          <w:rFonts w:asciiTheme="minorHAnsi" w:hAnsiTheme="minorHAnsi"/>
        </w:rPr>
        <w:t xml:space="preserve">’s Task Force’s recommendations to “require agencies to collect, </w:t>
      </w:r>
      <w:r w:rsidR="002A2FE1" w:rsidRPr="00D920C9">
        <w:rPr>
          <w:rFonts w:asciiTheme="minorHAnsi" w:hAnsiTheme="minorHAnsi"/>
        </w:rPr>
        <w:t>maintain, and report data to the Federal Government on all officer-involved shootings, whether fatal or non-fatal, as well as any in-custody death,” and to ensure that “policies on the use of force […] clearly state what types of information will be released, when, and in what situation, to maintain transparency,”</w:t>
      </w:r>
      <w:r w:rsidR="002A2FE1" w:rsidRPr="00D920C9">
        <w:rPr>
          <w:rFonts w:asciiTheme="minorHAnsi" w:hAnsiTheme="minorHAnsi"/>
          <w:vertAlign w:val="superscript"/>
        </w:rPr>
        <w:footnoteReference w:id="576"/>
      </w:r>
      <w:r w:rsidR="002A2FE1" w:rsidRPr="00D920C9">
        <w:rPr>
          <w:rFonts w:asciiTheme="minorHAnsi" w:hAnsiTheme="minorHAnsi"/>
        </w:rPr>
        <w:t xml:space="preserve"> are positive. The Commission calls on the State to ensure that statistics collected include disaggregated demographic data described in the previous paragraph, in order to best fulfill the duty of due diligence.</w:t>
      </w:r>
    </w:p>
    <w:p w14:paraId="59D1090A" w14:textId="77777777" w:rsidR="00926210" w:rsidRPr="00D920C9" w:rsidRDefault="007944EA" w:rsidP="00E86698">
      <w:pPr>
        <w:pStyle w:val="ListParagraph"/>
        <w:numPr>
          <w:ilvl w:val="0"/>
          <w:numId w:val="9"/>
        </w:numPr>
        <w:spacing w:after="240" w:line="240" w:lineRule="auto"/>
        <w:ind w:left="547" w:hanging="547"/>
        <w:contextualSpacing w:val="0"/>
        <w:jc w:val="both"/>
        <w:rPr>
          <w:rFonts w:asciiTheme="minorHAnsi" w:hAnsiTheme="minorHAnsi"/>
          <w:szCs w:val="20"/>
          <w:lang w:eastAsia="es-ES"/>
        </w:rPr>
      </w:pPr>
      <w:r w:rsidRPr="00D920C9">
        <w:rPr>
          <w:rFonts w:asciiTheme="minorHAnsi" w:hAnsiTheme="minorHAnsi"/>
        </w:rPr>
        <w:t xml:space="preserve">The Commission additionally highlights the importance of collecting data about a variety of situations of racial discrimination in the </w:t>
      </w:r>
      <w:r w:rsidR="006D4A9B" w:rsidRPr="00D920C9">
        <w:rPr>
          <w:rFonts w:asciiTheme="minorHAnsi" w:hAnsiTheme="minorHAnsi"/>
        </w:rPr>
        <w:t>U.S.</w:t>
      </w:r>
      <w:r w:rsidRPr="00D920C9">
        <w:rPr>
          <w:rFonts w:asciiTheme="minorHAnsi" w:hAnsiTheme="minorHAnsi"/>
        </w:rPr>
        <w:t xml:space="preserve">, </w:t>
      </w:r>
      <w:r w:rsidR="00943FA9" w:rsidRPr="00D920C9">
        <w:rPr>
          <w:rFonts w:asciiTheme="minorHAnsi" w:hAnsiTheme="minorHAnsi"/>
        </w:rPr>
        <w:t xml:space="preserve">including those related to access to economic, social, cultural, and environmental rights, </w:t>
      </w:r>
      <w:r w:rsidRPr="00D920C9">
        <w:rPr>
          <w:rFonts w:asciiTheme="minorHAnsi" w:hAnsiTheme="minorHAnsi"/>
        </w:rPr>
        <w:t>i</w:t>
      </w:r>
      <w:r w:rsidRPr="00D920C9">
        <w:rPr>
          <w:rFonts w:asciiTheme="minorHAnsi" w:hAnsiTheme="minorHAnsi"/>
          <w:szCs w:val="20"/>
          <w:lang w:eastAsia="es-ES"/>
        </w:rPr>
        <w:t>n order to better understand the dimensions of the problems, their causes and consequences. For example, in this report the Commission has referred to the importance of studying the effects of racial profiling on communities,</w:t>
      </w:r>
      <w:r w:rsidRPr="00D920C9">
        <w:rPr>
          <w:rStyle w:val="FootnoteReference"/>
          <w:rFonts w:asciiTheme="minorHAnsi" w:hAnsiTheme="minorHAnsi"/>
          <w:szCs w:val="20"/>
          <w:lang w:eastAsia="es-ES"/>
        </w:rPr>
        <w:footnoteReference w:id="577"/>
      </w:r>
      <w:r w:rsidRPr="00D920C9">
        <w:rPr>
          <w:rFonts w:asciiTheme="minorHAnsi" w:hAnsiTheme="minorHAnsi"/>
          <w:szCs w:val="20"/>
          <w:lang w:eastAsia="es-ES"/>
        </w:rPr>
        <w:t xml:space="preserve"> and the effects of the use of less lethal weapons.</w:t>
      </w:r>
      <w:r w:rsidRPr="00D920C9">
        <w:rPr>
          <w:rStyle w:val="FootnoteReference"/>
          <w:rFonts w:asciiTheme="minorHAnsi" w:hAnsiTheme="minorHAnsi"/>
          <w:szCs w:val="20"/>
          <w:lang w:eastAsia="es-ES"/>
        </w:rPr>
        <w:footnoteReference w:id="578"/>
      </w:r>
      <w:r w:rsidRPr="00D920C9">
        <w:rPr>
          <w:rFonts w:asciiTheme="minorHAnsi" w:hAnsiTheme="minorHAnsi"/>
          <w:szCs w:val="20"/>
          <w:lang w:eastAsia="es-ES"/>
        </w:rPr>
        <w:t xml:space="preserve"> </w:t>
      </w:r>
    </w:p>
    <w:p w14:paraId="4354B088" w14:textId="6CEEA576" w:rsidR="008F624A" w:rsidRPr="00D920C9" w:rsidRDefault="00BE5451" w:rsidP="00226E45">
      <w:pPr>
        <w:pStyle w:val="Heading4"/>
        <w:ind w:left="540" w:hanging="540"/>
      </w:pPr>
      <w:bookmarkStart w:id="229" w:name="_Toc511837843"/>
      <w:bookmarkStart w:id="230" w:name="_Toc511903016"/>
      <w:bookmarkStart w:id="231" w:name="_Toc517687945"/>
      <w:r w:rsidRPr="00D920C9">
        <w:lastRenderedPageBreak/>
        <w:t xml:space="preserve">The </w:t>
      </w:r>
      <w:r w:rsidR="003A6706" w:rsidRPr="00D920C9">
        <w:t xml:space="preserve">Duty </w:t>
      </w:r>
      <w:r w:rsidR="008F624A" w:rsidRPr="00D920C9">
        <w:t xml:space="preserve">to </w:t>
      </w:r>
      <w:r w:rsidR="003A6706" w:rsidRPr="00D920C9">
        <w:t xml:space="preserve">Investigate </w:t>
      </w:r>
      <w:r w:rsidRPr="00D920C9">
        <w:t xml:space="preserve">and </w:t>
      </w:r>
      <w:r w:rsidR="003A6706" w:rsidRPr="00D920C9">
        <w:t xml:space="preserve">Principles </w:t>
      </w:r>
      <w:r w:rsidRPr="00D920C9">
        <w:t xml:space="preserve">for </w:t>
      </w:r>
      <w:r w:rsidR="003A6706" w:rsidRPr="00D920C9">
        <w:t>Investigation</w:t>
      </w:r>
      <w:bookmarkEnd w:id="229"/>
      <w:bookmarkEnd w:id="230"/>
      <w:bookmarkEnd w:id="231"/>
    </w:p>
    <w:p w14:paraId="23051A77" w14:textId="77777777" w:rsidR="00CC2749" w:rsidRPr="00D920C9" w:rsidRDefault="007944EA" w:rsidP="00E86698">
      <w:pPr>
        <w:pStyle w:val="ListParagraph"/>
        <w:numPr>
          <w:ilvl w:val="0"/>
          <w:numId w:val="9"/>
        </w:numPr>
        <w:spacing w:after="240" w:line="240" w:lineRule="auto"/>
        <w:ind w:left="547" w:hanging="547"/>
        <w:contextualSpacing w:val="0"/>
        <w:jc w:val="both"/>
        <w:rPr>
          <w:rFonts w:asciiTheme="minorHAnsi" w:hAnsiTheme="minorHAnsi"/>
        </w:rPr>
      </w:pPr>
      <w:bookmarkStart w:id="232" w:name="_Ref507676913"/>
      <w:r w:rsidRPr="00D920C9">
        <w:rPr>
          <w:rFonts w:asciiTheme="minorHAnsi" w:hAnsiTheme="minorHAnsi"/>
          <w:szCs w:val="20"/>
        </w:rPr>
        <w:t>The Commission has recognized that States hold a “special duty” to investigate and prosecute police misconduct.</w:t>
      </w:r>
      <w:r w:rsidR="002A2144" w:rsidRPr="00D920C9">
        <w:rPr>
          <w:rStyle w:val="FootnoteReference"/>
          <w:rFonts w:asciiTheme="minorHAnsi" w:hAnsiTheme="minorHAnsi"/>
          <w:szCs w:val="20"/>
        </w:rPr>
        <w:footnoteReference w:id="579"/>
      </w:r>
      <w:r w:rsidRPr="00D920C9">
        <w:rPr>
          <w:rFonts w:asciiTheme="minorHAnsi" w:hAnsiTheme="minorHAnsi"/>
          <w:szCs w:val="20"/>
        </w:rPr>
        <w:t xml:space="preserve"> The obligation to guarantee the rights to life, liberty, and personal integrity, and the prohibition of </w:t>
      </w:r>
      <w:r w:rsidRPr="00D920C9">
        <w:rPr>
          <w:rFonts w:asciiTheme="minorHAnsi" w:hAnsiTheme="minorHAnsi"/>
        </w:rPr>
        <w:t>torture and other cruel, inhuman, or degrading treatment or punishment all implicate the State’s duty to prevent and investigate possible violations of these rights. The Commission has stated that in light of this obligation, authorities must investigate conduct affecting the enjoyment of rights as soon as they become aware of it.</w:t>
      </w:r>
      <w:r w:rsidR="002A2144" w:rsidRPr="00D920C9">
        <w:rPr>
          <w:rFonts w:asciiTheme="minorHAnsi" w:hAnsiTheme="minorHAnsi"/>
          <w:vertAlign w:val="superscript"/>
        </w:rPr>
        <w:footnoteReference w:id="580"/>
      </w:r>
      <w:bookmarkEnd w:id="232"/>
    </w:p>
    <w:p w14:paraId="15D4FE88" w14:textId="77777777" w:rsidR="002A2144" w:rsidRPr="00D920C9" w:rsidRDefault="002A2144"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This investigation must be carried out without delay, by all available legal means, and with the aim of determining the truth and ensuring the investigation, prosecution, and punishment of the perpetrators. During the investigation and judicial proceedings, the victims of human rights violations, or their next of kin, should have extensive opportunities to participate and be heard, in the clarification of facts and the punishment of those responsible, and in seeking fair compensation.</w:t>
      </w:r>
      <w:r w:rsidRPr="00D920C9">
        <w:rPr>
          <w:rFonts w:asciiTheme="minorHAnsi" w:hAnsiTheme="minorHAnsi"/>
          <w:vertAlign w:val="superscript"/>
        </w:rPr>
        <w:footnoteReference w:id="581"/>
      </w:r>
    </w:p>
    <w:p w14:paraId="27355CD5" w14:textId="77777777" w:rsidR="002A2144" w:rsidRPr="00D920C9" w:rsidRDefault="002A2144"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The investigation of human rights violations is an inherent legal obligation of the State.</w:t>
      </w:r>
      <w:r w:rsidRPr="00D920C9">
        <w:rPr>
          <w:rFonts w:asciiTheme="minorHAnsi" w:hAnsiTheme="minorHAnsi"/>
          <w:vertAlign w:val="superscript"/>
        </w:rPr>
        <w:footnoteReference w:id="582"/>
      </w:r>
      <w:r w:rsidR="00D85EFB" w:rsidRPr="00D920C9">
        <w:rPr>
          <w:rFonts w:asciiTheme="minorHAnsi" w:hAnsiTheme="minorHAnsi"/>
        </w:rPr>
        <w:t xml:space="preserve"> Thus, the duty to investigate should not be viewed by the State as a mere formality or a proceeding performed merely for private interests that depends on the procedural initiative of the victims or their relatives, or the production of evidence by individuals.</w:t>
      </w:r>
      <w:r w:rsidR="00D85EFB" w:rsidRPr="00D920C9">
        <w:rPr>
          <w:rFonts w:asciiTheme="minorHAnsi" w:hAnsiTheme="minorHAnsi"/>
          <w:vertAlign w:val="superscript"/>
        </w:rPr>
        <w:footnoteReference w:id="583"/>
      </w:r>
      <w:r w:rsidR="00D85EFB" w:rsidRPr="00D920C9">
        <w:rPr>
          <w:rFonts w:asciiTheme="minorHAnsi" w:hAnsiTheme="minorHAnsi"/>
        </w:rPr>
        <w:t xml:space="preserve"> Effective investigations should thus be capable of producing results and offering a proper response to rights violations.</w:t>
      </w:r>
      <w:r w:rsidR="00D85EFB" w:rsidRPr="00D920C9">
        <w:rPr>
          <w:rFonts w:asciiTheme="minorHAnsi" w:hAnsiTheme="minorHAnsi"/>
          <w:vertAlign w:val="superscript"/>
        </w:rPr>
        <w:footnoteReference w:id="584"/>
      </w:r>
    </w:p>
    <w:p w14:paraId="45371E69" w14:textId="77777777" w:rsidR="00AD637C" w:rsidRPr="00D920C9" w:rsidRDefault="00AD637C"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rPr>
        <w:t>There are a number of relevant international</w:t>
      </w:r>
      <w:r w:rsidRPr="00D920C9">
        <w:rPr>
          <w:rFonts w:asciiTheme="minorHAnsi" w:hAnsiTheme="minorHAnsi"/>
          <w:szCs w:val="20"/>
        </w:rPr>
        <w:t xml:space="preserve"> guidelines and protocols that address various aspects of an efficacious investigation of human rights abuses. These include the</w:t>
      </w:r>
      <w:r w:rsidR="00352483" w:rsidRPr="00D920C9">
        <w:rPr>
          <w:rFonts w:asciiTheme="minorHAnsi" w:hAnsiTheme="minorHAnsi"/>
          <w:szCs w:val="20"/>
        </w:rPr>
        <w:t xml:space="preserve"> U.N. </w:t>
      </w:r>
      <w:r w:rsidRPr="00D920C9">
        <w:rPr>
          <w:rFonts w:asciiTheme="minorHAnsi" w:hAnsiTheme="minorHAnsi"/>
          <w:szCs w:val="20"/>
        </w:rPr>
        <w:t xml:space="preserve">Manual on the Effective Investigation and Documentation of Torture and Other Cruel, Inhuman or Degrading </w:t>
      </w:r>
      <w:r w:rsidRPr="00D920C9">
        <w:rPr>
          <w:rFonts w:asciiTheme="minorHAnsi" w:hAnsiTheme="minorHAnsi"/>
          <w:szCs w:val="20"/>
        </w:rPr>
        <w:lastRenderedPageBreak/>
        <w:t>Treatment or Punishment (Istanbul Protocol),</w:t>
      </w:r>
      <w:r w:rsidRPr="00D920C9">
        <w:rPr>
          <w:rStyle w:val="FootnoteReference"/>
          <w:rFonts w:asciiTheme="minorHAnsi" w:hAnsiTheme="minorHAnsi"/>
          <w:szCs w:val="20"/>
        </w:rPr>
        <w:footnoteReference w:id="585"/>
      </w:r>
      <w:r w:rsidRPr="00D920C9">
        <w:rPr>
          <w:rFonts w:asciiTheme="minorHAnsi" w:hAnsiTheme="minorHAnsi"/>
          <w:szCs w:val="20"/>
        </w:rPr>
        <w:t xml:space="preserve"> and the</w:t>
      </w:r>
      <w:r w:rsidR="00352483" w:rsidRPr="00D920C9">
        <w:rPr>
          <w:rFonts w:asciiTheme="minorHAnsi" w:hAnsiTheme="minorHAnsi"/>
          <w:szCs w:val="20"/>
        </w:rPr>
        <w:t xml:space="preserve"> U.N. </w:t>
      </w:r>
      <w:r w:rsidR="00F71095" w:rsidRPr="00D920C9">
        <w:rPr>
          <w:rFonts w:asciiTheme="minorHAnsi" w:hAnsiTheme="minorHAnsi"/>
          <w:szCs w:val="20"/>
        </w:rPr>
        <w:t>Manual on the Effective Prevention and Investigation of Extra-legal, Arbitrary and Summary Executions (Minnesota Protocol).</w:t>
      </w:r>
      <w:r w:rsidR="00F71095" w:rsidRPr="00D920C9">
        <w:rPr>
          <w:rStyle w:val="FootnoteReference"/>
          <w:rFonts w:asciiTheme="minorHAnsi" w:hAnsiTheme="minorHAnsi"/>
          <w:szCs w:val="20"/>
        </w:rPr>
        <w:footnoteReference w:id="586"/>
      </w:r>
    </w:p>
    <w:p w14:paraId="6E968379" w14:textId="77777777" w:rsidR="001E6FC6" w:rsidRPr="00D920C9" w:rsidRDefault="001E6FC6"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rPr>
        <w:t xml:space="preserve">Citing the Minnesota protocol, the Commission has indicated that when investigating a potentially unlawful killing, that the investigating authorities must, at the very least, a) identify the victim; b) collect and preserve evidence related to the death in order to assist with any investigation; c) identify possible witnesses and obtain testimonies in relation to the death under investigation; d) determine the cause, manner, place and time of death, as well as any pattern or practice which may have brought about such </w:t>
      </w:r>
      <w:r w:rsidRPr="00D920C9">
        <w:rPr>
          <w:rFonts w:asciiTheme="minorHAnsi" w:hAnsiTheme="minorHAnsi"/>
        </w:rPr>
        <w:t>death, and e) distinguish between natural death, accidental death, suicide and homicide. The scene of the crime must be examined exhaustively, using autopsies and analysis of human remains by competent professionals and employing rigorous and appropriate procedures. Furthermore, special diligence shall be shown in cases indicating violence against women and children, or torture and other CIDT, in accordance with international law.</w:t>
      </w:r>
      <w:r w:rsidRPr="00D920C9">
        <w:rPr>
          <w:rFonts w:asciiTheme="minorHAnsi" w:hAnsiTheme="minorHAnsi"/>
          <w:vertAlign w:val="superscript"/>
        </w:rPr>
        <w:footnoteReference w:id="587"/>
      </w:r>
    </w:p>
    <w:p w14:paraId="1F3EB74A" w14:textId="77777777" w:rsidR="00E83859" w:rsidRPr="00D920C9" w:rsidRDefault="00E83859"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In particular, the Commission has stated that it is incumbent upon the State to investigate alleged human rights violations ex officio. In cases involving the use of force by State agents, the investigation has to meet certain standards. </w:t>
      </w:r>
      <w:r w:rsidR="000873BA" w:rsidRPr="00D920C9">
        <w:rPr>
          <w:rFonts w:asciiTheme="minorHAnsi" w:hAnsiTheme="minorHAnsi"/>
        </w:rPr>
        <w:t>For example, the</w:t>
      </w:r>
      <w:r w:rsidRPr="00D920C9">
        <w:rPr>
          <w:rFonts w:asciiTheme="minorHAnsi" w:hAnsiTheme="minorHAnsi"/>
        </w:rPr>
        <w:t xml:space="preserve"> investigation</w:t>
      </w:r>
      <w:r w:rsidR="000873BA" w:rsidRPr="00D920C9">
        <w:rPr>
          <w:rFonts w:asciiTheme="minorHAnsi" w:hAnsiTheme="minorHAnsi"/>
        </w:rPr>
        <w:t xml:space="preserve"> must be</w:t>
      </w:r>
      <w:r w:rsidRPr="00D920C9">
        <w:rPr>
          <w:rFonts w:asciiTheme="minorHAnsi" w:hAnsiTheme="minorHAnsi"/>
        </w:rPr>
        <w:t xml:space="preserve"> conducted by authorities with real institutional independence</w:t>
      </w:r>
      <w:r w:rsidR="000873BA" w:rsidRPr="00D920C9">
        <w:rPr>
          <w:rFonts w:asciiTheme="minorHAnsi" w:hAnsiTheme="minorHAnsi"/>
        </w:rPr>
        <w:t xml:space="preserve">, and must take </w:t>
      </w:r>
      <w:r w:rsidRPr="00D920C9">
        <w:rPr>
          <w:rFonts w:asciiTheme="minorHAnsi" w:hAnsiTheme="minorHAnsi"/>
        </w:rPr>
        <w:t>reasonable steps to safeguard the stock of evidence required to ascertain the facts being examined</w:t>
      </w:r>
      <w:r w:rsidR="000873BA" w:rsidRPr="00D920C9">
        <w:rPr>
          <w:rFonts w:asciiTheme="minorHAnsi" w:hAnsiTheme="minorHAnsi"/>
        </w:rPr>
        <w:t>.</w:t>
      </w:r>
      <w:r w:rsidR="000873BA" w:rsidRPr="00D920C9">
        <w:rPr>
          <w:rFonts w:asciiTheme="minorHAnsi" w:hAnsiTheme="minorHAnsi"/>
          <w:vertAlign w:val="superscript"/>
        </w:rPr>
        <w:footnoteReference w:id="588"/>
      </w:r>
      <w:r w:rsidR="000873BA" w:rsidRPr="00D920C9">
        <w:rPr>
          <w:rFonts w:asciiTheme="minorHAnsi" w:hAnsiTheme="minorHAnsi"/>
        </w:rPr>
        <w:t xml:space="preserve"> Investigations should further conform to the principles of celerity, professionalism, exhaustiveness, and victim participation.</w:t>
      </w:r>
    </w:p>
    <w:p w14:paraId="440A4EF3" w14:textId="77777777" w:rsidR="000873BA" w:rsidRPr="00D920C9" w:rsidRDefault="000873BA"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rPr>
        <w:t xml:space="preserve">The Commission has previously emphasized that conserving the scene where the alleged facts took place is core part of the concept of due </w:t>
      </w:r>
      <w:r w:rsidRPr="00D920C9">
        <w:rPr>
          <w:rFonts w:asciiTheme="minorHAnsi" w:hAnsiTheme="minorHAnsi"/>
        </w:rPr>
        <w:lastRenderedPageBreak/>
        <w:t>diligence.</w:t>
      </w:r>
      <w:r w:rsidRPr="00D920C9">
        <w:rPr>
          <w:rFonts w:asciiTheme="minorHAnsi" w:hAnsiTheme="minorHAnsi"/>
          <w:vertAlign w:val="superscript"/>
        </w:rPr>
        <w:footnoteReference w:id="589"/>
      </w:r>
      <w:r w:rsidRPr="00D920C9">
        <w:rPr>
          <w:rFonts w:asciiTheme="minorHAnsi" w:hAnsiTheme="minorHAnsi"/>
        </w:rPr>
        <w:t xml:space="preserve"> It is especially important to preserve the communications between personnel involved in the operation and all records of sounds and images produced by the security institutions present</w:t>
      </w:r>
      <w:r w:rsidRPr="00D920C9">
        <w:rPr>
          <w:rFonts w:asciiTheme="minorHAnsi" w:hAnsiTheme="minorHAnsi"/>
          <w:szCs w:val="20"/>
        </w:rPr>
        <w:t xml:space="preserve"> at the time in their original media, both those directly relating to the sequence of events and those relating to the whole operation at its various levels. The authorities responsible for protecting the scene and the evidence must cooperate effectively with those responsible for </w:t>
      </w:r>
      <w:r w:rsidR="004570B4" w:rsidRPr="00D920C9">
        <w:rPr>
          <w:rFonts w:asciiTheme="minorHAnsi" w:hAnsiTheme="minorHAnsi"/>
          <w:szCs w:val="20"/>
        </w:rPr>
        <w:t>conducting the investigation.</w:t>
      </w:r>
      <w:r w:rsidR="004570B4" w:rsidRPr="00D920C9">
        <w:rPr>
          <w:rStyle w:val="FootnoteReference"/>
          <w:rFonts w:asciiTheme="minorHAnsi" w:hAnsiTheme="minorHAnsi"/>
          <w:szCs w:val="20"/>
        </w:rPr>
        <w:footnoteReference w:id="590"/>
      </w:r>
      <w:r w:rsidR="004570B4" w:rsidRPr="00D920C9">
        <w:rPr>
          <w:rFonts w:asciiTheme="minorHAnsi" w:hAnsiTheme="minorHAnsi"/>
          <w:szCs w:val="20"/>
        </w:rPr>
        <w:t xml:space="preserve"> This obligation includes the obligation to properly preserve and ensure chain of custody over recordings of an incident of police violence, including dashboard and body camera footage. </w:t>
      </w:r>
    </w:p>
    <w:p w14:paraId="5A839B8A" w14:textId="0F42D944" w:rsidR="002F06BF" w:rsidRPr="00D920C9" w:rsidRDefault="008F624A" w:rsidP="00226E45">
      <w:pPr>
        <w:pStyle w:val="Heading3"/>
        <w:ind w:left="540" w:hanging="540"/>
      </w:pPr>
      <w:bookmarkStart w:id="233" w:name="_Toc511837844"/>
      <w:bookmarkStart w:id="234" w:name="_Toc511903017"/>
      <w:bookmarkStart w:id="235" w:name="_Toc517687946"/>
      <w:r w:rsidRPr="00D920C9">
        <w:t xml:space="preserve">Institutional </w:t>
      </w:r>
      <w:r w:rsidR="003A6706" w:rsidRPr="00D920C9">
        <w:t>Design</w:t>
      </w:r>
      <w:bookmarkEnd w:id="233"/>
      <w:bookmarkEnd w:id="234"/>
      <w:bookmarkEnd w:id="235"/>
    </w:p>
    <w:p w14:paraId="05F2E01E" w14:textId="77777777" w:rsidR="004570B4" w:rsidRPr="00D920C9" w:rsidRDefault="004570B4"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lang w:eastAsia="es-ES"/>
        </w:rPr>
        <w:t xml:space="preserve">Designing proper oversight and investigatory mechanisms for cases of </w:t>
      </w:r>
      <w:r w:rsidRPr="00D920C9">
        <w:rPr>
          <w:rFonts w:asciiTheme="minorHAnsi" w:hAnsiTheme="minorHAnsi"/>
          <w:szCs w:val="20"/>
        </w:rPr>
        <w:t xml:space="preserve">police violence is of fundamental importance. As </w:t>
      </w:r>
      <w:r w:rsidRPr="00D920C9">
        <w:rPr>
          <w:rFonts w:asciiTheme="minorHAnsi" w:hAnsiTheme="minorHAnsi"/>
        </w:rPr>
        <w:t>the Special Rapporteur on extrajudicial executions has stated, “[</w:t>
      </w:r>
      <w:proofErr w:type="spellStart"/>
      <w:r w:rsidRPr="00D920C9">
        <w:rPr>
          <w:rFonts w:asciiTheme="minorHAnsi" w:hAnsiTheme="minorHAnsi"/>
        </w:rPr>
        <w:t>i</w:t>
      </w:r>
      <w:proofErr w:type="spellEnd"/>
      <w:r w:rsidRPr="00D920C9">
        <w:rPr>
          <w:rFonts w:asciiTheme="minorHAnsi" w:hAnsiTheme="minorHAnsi"/>
        </w:rPr>
        <w:t>]</w:t>
      </w:r>
      <w:proofErr w:type="spellStart"/>
      <w:r w:rsidRPr="00D920C9">
        <w:rPr>
          <w:rFonts w:asciiTheme="minorHAnsi" w:hAnsiTheme="minorHAnsi"/>
        </w:rPr>
        <w:t>ndividuals</w:t>
      </w:r>
      <w:proofErr w:type="spellEnd"/>
      <w:r w:rsidRPr="00D920C9">
        <w:rPr>
          <w:rFonts w:asciiTheme="minorHAnsi" w:hAnsiTheme="minorHAnsi"/>
        </w:rPr>
        <w:t xml:space="preserve"> commit violations of the right to life not because they believe it is justifiable, but because they believe they will not be called on to justify themselves.”</w:t>
      </w:r>
      <w:r w:rsidRPr="00D920C9">
        <w:rPr>
          <w:rFonts w:asciiTheme="minorHAnsi" w:hAnsiTheme="minorHAnsi"/>
          <w:vertAlign w:val="superscript"/>
        </w:rPr>
        <w:footnoteReference w:id="591"/>
      </w:r>
    </w:p>
    <w:p w14:paraId="518C905A" w14:textId="77777777" w:rsidR="004570B4" w:rsidRPr="00D920C9" w:rsidRDefault="004570B4"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It is critical to have in place preventive controls and pr</w:t>
      </w:r>
      <w:r w:rsidR="00046E48" w:rsidRPr="00D920C9">
        <w:rPr>
          <w:rFonts w:asciiTheme="minorHAnsi" w:hAnsiTheme="minorHAnsi"/>
        </w:rPr>
        <w:t>ocedures to effectively review</w:t>
      </w:r>
      <w:r w:rsidRPr="00D920C9">
        <w:rPr>
          <w:rFonts w:asciiTheme="minorHAnsi" w:hAnsiTheme="minorHAnsi"/>
        </w:rPr>
        <w:t xml:space="preserve"> the legality of the use of force by law enforcement personnel</w:t>
      </w:r>
      <w:r w:rsidR="00046E48" w:rsidRPr="00D920C9">
        <w:rPr>
          <w:rFonts w:asciiTheme="minorHAnsi" w:hAnsiTheme="minorHAnsi"/>
        </w:rPr>
        <w:t xml:space="preserve"> in accordance with the rules of due process</w:t>
      </w:r>
      <w:r w:rsidRPr="00D920C9">
        <w:rPr>
          <w:rFonts w:asciiTheme="minorHAnsi" w:hAnsiTheme="minorHAnsi"/>
        </w:rPr>
        <w:t>, since the absence of meaningful investigations tends to encourage conduct</w:t>
      </w:r>
      <w:r w:rsidR="00046E48" w:rsidRPr="00D920C9">
        <w:rPr>
          <w:rFonts w:asciiTheme="minorHAnsi" w:hAnsiTheme="minorHAnsi"/>
        </w:rPr>
        <w:t xml:space="preserve"> contrary to human rights; this creates a climate of impunity that encourages the repetition of abuses and may potentially engage the international responsibility of the State.</w:t>
      </w:r>
      <w:r w:rsidR="00046E48" w:rsidRPr="00D920C9">
        <w:rPr>
          <w:rFonts w:asciiTheme="minorHAnsi" w:hAnsiTheme="minorHAnsi"/>
          <w:vertAlign w:val="superscript"/>
        </w:rPr>
        <w:footnoteReference w:id="592"/>
      </w:r>
      <w:r w:rsidR="00046E48" w:rsidRPr="00D920C9">
        <w:rPr>
          <w:rFonts w:asciiTheme="minorHAnsi" w:hAnsiTheme="minorHAnsi"/>
        </w:rPr>
        <w:t xml:space="preserve"> In this regard, the existence of a robust, efficient, independent, and impartial system to which State agents are accountable remains the best deterrent to the arbitrary use of force by law enforcement agents.</w:t>
      </w:r>
      <w:r w:rsidR="00046E48" w:rsidRPr="00D920C9">
        <w:rPr>
          <w:rFonts w:asciiTheme="minorHAnsi" w:hAnsiTheme="minorHAnsi"/>
          <w:vertAlign w:val="superscript"/>
        </w:rPr>
        <w:footnoteReference w:id="593"/>
      </w:r>
      <w:r w:rsidR="00046E48" w:rsidRPr="00D920C9">
        <w:rPr>
          <w:rFonts w:asciiTheme="minorHAnsi" w:hAnsiTheme="minorHAnsi"/>
        </w:rPr>
        <w:t xml:space="preserve"> In this vein, the Special Rapporteur on extrajudicial executions stated, “[t]o </w:t>
      </w:r>
      <w:r w:rsidR="00046E48" w:rsidRPr="00D920C9">
        <w:rPr>
          <w:rFonts w:asciiTheme="minorHAnsi" w:hAnsiTheme="minorHAnsi"/>
        </w:rPr>
        <w:lastRenderedPageBreak/>
        <w:t>function properly, the police need […] appropriate mechanisms for accountability to be in place.”</w:t>
      </w:r>
      <w:r w:rsidR="00046E48" w:rsidRPr="00D920C9">
        <w:rPr>
          <w:rFonts w:asciiTheme="minorHAnsi" w:hAnsiTheme="minorHAnsi"/>
          <w:vertAlign w:val="superscript"/>
        </w:rPr>
        <w:footnoteReference w:id="594"/>
      </w:r>
    </w:p>
    <w:p w14:paraId="188AA20B" w14:textId="77777777" w:rsidR="004570B4" w:rsidRPr="00D920C9" w:rsidRDefault="004570B4"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The Commission notes the need to both create more independent mechanisms to investigate police abuses, and to take measures to strengthen the capacity and effectiveness of existing ones.</w:t>
      </w:r>
      <w:r w:rsidRPr="00D920C9">
        <w:rPr>
          <w:rFonts w:asciiTheme="minorHAnsi" w:hAnsiTheme="minorHAnsi"/>
          <w:vertAlign w:val="superscript"/>
        </w:rPr>
        <w:footnoteReference w:id="595"/>
      </w:r>
      <w:r w:rsidRPr="00D920C9">
        <w:rPr>
          <w:rFonts w:asciiTheme="minorHAnsi" w:hAnsiTheme="minorHAnsi"/>
        </w:rPr>
        <w:t xml:space="preserve"> Investigation must be independent from police departments and individuals who may be influenced by </w:t>
      </w:r>
      <w:r w:rsidR="005112CF" w:rsidRPr="00D920C9">
        <w:rPr>
          <w:rFonts w:asciiTheme="minorHAnsi" w:hAnsiTheme="minorHAnsi"/>
        </w:rPr>
        <w:t>t</w:t>
      </w:r>
      <w:r w:rsidRPr="00D920C9">
        <w:rPr>
          <w:rFonts w:asciiTheme="minorHAnsi" w:hAnsiTheme="minorHAnsi"/>
        </w:rPr>
        <w:t>hem, and the accountability system must include provision for administrative, disciplinary, and criminal sanctions of those responsible for any violations.</w:t>
      </w:r>
      <w:r w:rsidRPr="00D920C9">
        <w:rPr>
          <w:rFonts w:asciiTheme="minorHAnsi" w:hAnsiTheme="minorHAnsi"/>
          <w:vertAlign w:val="superscript"/>
        </w:rPr>
        <w:footnoteReference w:id="596"/>
      </w:r>
    </w:p>
    <w:p w14:paraId="19772F34" w14:textId="77777777" w:rsidR="004570B4" w:rsidRPr="00D920C9" w:rsidRDefault="004570B4"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rPr>
        <w:t xml:space="preserve">When an investigation of an incident of police violence is initiated, its independence is critical. </w:t>
      </w:r>
      <w:r w:rsidR="007F7673" w:rsidRPr="00D920C9">
        <w:rPr>
          <w:rFonts w:asciiTheme="minorHAnsi" w:hAnsiTheme="minorHAnsi"/>
        </w:rPr>
        <w:t>T</w:t>
      </w:r>
      <w:r w:rsidR="005112CF" w:rsidRPr="00D920C9">
        <w:rPr>
          <w:rFonts w:asciiTheme="minorHAnsi" w:hAnsiTheme="minorHAnsi"/>
        </w:rPr>
        <w:t>he</w:t>
      </w:r>
      <w:r w:rsidR="00352483" w:rsidRPr="00D920C9">
        <w:rPr>
          <w:rFonts w:asciiTheme="minorHAnsi" w:hAnsiTheme="minorHAnsi"/>
        </w:rPr>
        <w:t xml:space="preserve"> U.N. </w:t>
      </w:r>
      <w:r w:rsidR="005112CF" w:rsidRPr="00D920C9">
        <w:rPr>
          <w:rFonts w:asciiTheme="minorHAnsi" w:hAnsiTheme="minorHAnsi"/>
        </w:rPr>
        <w:t>Basic Principles emphasize that institutional connections and relationships that may impact the independence of investigations and future prosecutions must be carefully evaluated.</w:t>
      </w:r>
      <w:r w:rsidR="005112CF" w:rsidRPr="00D920C9">
        <w:rPr>
          <w:rFonts w:asciiTheme="minorHAnsi" w:hAnsiTheme="minorHAnsi"/>
          <w:vertAlign w:val="superscript"/>
        </w:rPr>
        <w:footnoteReference w:id="597"/>
      </w:r>
      <w:r w:rsidRPr="00D920C9">
        <w:rPr>
          <w:rFonts w:asciiTheme="minorHAnsi" w:hAnsiTheme="minorHAnsi"/>
        </w:rPr>
        <w:t xml:space="preserve"> </w:t>
      </w:r>
      <w:r w:rsidR="005112CF" w:rsidRPr="00D920C9">
        <w:rPr>
          <w:rFonts w:asciiTheme="minorHAnsi" w:hAnsiTheme="minorHAnsi"/>
        </w:rPr>
        <w:t>The Commission recalls the information discussed in previous sections regarding the roles of grand juries and prosecutors in the indictment or non-indictment of police officers,</w:t>
      </w:r>
      <w:r w:rsidR="009749F9" w:rsidRPr="00D920C9">
        <w:rPr>
          <w:rFonts w:asciiTheme="minorHAnsi" w:hAnsiTheme="minorHAnsi"/>
          <w:vertAlign w:val="superscript"/>
        </w:rPr>
        <w:footnoteReference w:id="598"/>
      </w:r>
      <w:r w:rsidR="005112CF" w:rsidRPr="00D920C9">
        <w:rPr>
          <w:rFonts w:asciiTheme="minorHAnsi" w:hAnsiTheme="minorHAnsi"/>
        </w:rPr>
        <w:t xml:space="preserve"> and in particular the concerns</w:t>
      </w:r>
      <w:r w:rsidR="005112CF" w:rsidRPr="00D920C9">
        <w:rPr>
          <w:rFonts w:asciiTheme="minorHAnsi" w:hAnsiTheme="minorHAnsi"/>
          <w:szCs w:val="20"/>
        </w:rPr>
        <w:t xml:space="preserve"> expressed by civil society that because the initiation of a criminal investigation relies upon prosecutorial discretion, “which is often marred by resource constraints, pressure from police unions, and bias in favor of the police due to the working relationship between prosecutors and officers</w:t>
      </w:r>
      <w:r w:rsidR="00E27379" w:rsidRPr="00D920C9">
        <w:rPr>
          <w:rFonts w:asciiTheme="minorHAnsi" w:hAnsiTheme="minorHAnsi"/>
          <w:szCs w:val="20"/>
        </w:rPr>
        <w:t>,” prosecutors may be less likely to file charges against police officers than civilian suspects.</w:t>
      </w:r>
      <w:r w:rsidR="009749F9" w:rsidRPr="00D920C9">
        <w:rPr>
          <w:rStyle w:val="FootnoteReference"/>
          <w:rFonts w:asciiTheme="minorHAnsi" w:hAnsiTheme="minorHAnsi"/>
          <w:szCs w:val="20"/>
        </w:rPr>
        <w:footnoteReference w:id="599"/>
      </w:r>
      <w:r w:rsidR="00E27379" w:rsidRPr="00D920C9">
        <w:rPr>
          <w:rFonts w:asciiTheme="minorHAnsi" w:hAnsiTheme="minorHAnsi"/>
          <w:szCs w:val="20"/>
        </w:rPr>
        <w:t xml:space="preserve"> In this regard, the Commission regards as positive the recommendation of the President’s Task Force that State “policies should mandate external and independent criminal investigations in cases of police use of force resulting in death, officer-involved shootings resulting in injury or death, or in-custody deaths.”</w:t>
      </w:r>
      <w:r w:rsidR="009749F9" w:rsidRPr="00D920C9">
        <w:rPr>
          <w:rStyle w:val="FootnoteReference"/>
          <w:rFonts w:asciiTheme="minorHAnsi" w:hAnsiTheme="minorHAnsi"/>
          <w:szCs w:val="20"/>
        </w:rPr>
        <w:footnoteReference w:id="600"/>
      </w:r>
      <w:r w:rsidR="00E27379" w:rsidRPr="00D920C9">
        <w:rPr>
          <w:rFonts w:asciiTheme="minorHAnsi" w:hAnsiTheme="minorHAnsi"/>
          <w:szCs w:val="20"/>
        </w:rPr>
        <w:t xml:space="preserve"> The Commission further emphasizes the importance of exploring the use of special prosecutors or investigatory bodies without close institutional connections to the police for the investigation and prosecution of police killings.</w:t>
      </w:r>
    </w:p>
    <w:p w14:paraId="0C5AA201" w14:textId="77777777" w:rsidR="004570B4" w:rsidRPr="00D920C9" w:rsidRDefault="00174CE4"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lang w:eastAsia="es-ES"/>
        </w:rPr>
        <w:lastRenderedPageBreak/>
        <w:t>The Commission considers, in line with the U</w:t>
      </w:r>
      <w:r w:rsidR="00037FDA" w:rsidRPr="00D920C9">
        <w:rPr>
          <w:rFonts w:asciiTheme="minorHAnsi" w:hAnsiTheme="minorHAnsi"/>
          <w:szCs w:val="20"/>
          <w:lang w:eastAsia="es-ES"/>
        </w:rPr>
        <w:t>.</w:t>
      </w:r>
      <w:r w:rsidRPr="00D920C9">
        <w:rPr>
          <w:rFonts w:asciiTheme="minorHAnsi" w:hAnsiTheme="minorHAnsi"/>
          <w:szCs w:val="20"/>
          <w:lang w:eastAsia="es-ES"/>
        </w:rPr>
        <w:t>N</w:t>
      </w:r>
      <w:r w:rsidR="00037FDA" w:rsidRPr="00D920C9">
        <w:rPr>
          <w:rFonts w:asciiTheme="minorHAnsi" w:hAnsiTheme="minorHAnsi"/>
          <w:szCs w:val="20"/>
          <w:lang w:eastAsia="es-ES"/>
        </w:rPr>
        <w:t>.</w:t>
      </w:r>
      <w:r w:rsidRPr="00D920C9">
        <w:rPr>
          <w:rFonts w:asciiTheme="minorHAnsi" w:hAnsiTheme="minorHAnsi"/>
          <w:szCs w:val="20"/>
          <w:lang w:eastAsia="es-ES"/>
        </w:rPr>
        <w:t xml:space="preserve"> </w:t>
      </w:r>
      <w:r w:rsidR="006F2F26" w:rsidRPr="00D920C9">
        <w:rPr>
          <w:rFonts w:asciiTheme="minorHAnsi" w:hAnsiTheme="minorHAnsi"/>
          <w:szCs w:val="20"/>
          <w:lang w:eastAsia="es-ES"/>
        </w:rPr>
        <w:t>B</w:t>
      </w:r>
      <w:r w:rsidRPr="00D920C9">
        <w:rPr>
          <w:rFonts w:asciiTheme="minorHAnsi" w:hAnsiTheme="minorHAnsi"/>
          <w:szCs w:val="20"/>
          <w:lang w:eastAsia="es-ES"/>
        </w:rPr>
        <w:t xml:space="preserve">asic Principles, </w:t>
      </w:r>
      <w:r w:rsidR="00E53C93" w:rsidRPr="00D920C9">
        <w:rPr>
          <w:rFonts w:asciiTheme="minorHAnsi" w:hAnsiTheme="minorHAnsi"/>
          <w:szCs w:val="20"/>
          <w:lang w:eastAsia="es-ES"/>
        </w:rPr>
        <w:t>that when an investigation into the use of force by law enforcement agents is initiated, it is critical that investigating or prosecuting authorities be independent, specialized in the supervision of police misconduct investigations, permanently appointed, and in a position to exercise jurisdiction in appropriate circumstances.</w:t>
      </w:r>
      <w:r w:rsidR="00E53C93" w:rsidRPr="00D920C9">
        <w:rPr>
          <w:rStyle w:val="FootnoteReference"/>
          <w:rFonts w:asciiTheme="minorHAnsi" w:hAnsiTheme="minorHAnsi"/>
          <w:szCs w:val="20"/>
          <w:lang w:eastAsia="es-ES"/>
        </w:rPr>
        <w:footnoteReference w:id="601"/>
      </w:r>
      <w:r w:rsidR="00D71309" w:rsidRPr="00D920C9">
        <w:rPr>
          <w:rFonts w:asciiTheme="minorHAnsi" w:hAnsiTheme="minorHAnsi"/>
          <w:szCs w:val="20"/>
          <w:lang w:eastAsia="es-ES"/>
        </w:rPr>
        <w:t xml:space="preserve"> Such authorities should have the necessary expertise to supervise investigations of police misconduct and crimes, and the same authority should be involved from the first case report through the indictment and trial of defendants. </w:t>
      </w:r>
      <w:r w:rsidR="007F7673" w:rsidRPr="00D920C9">
        <w:rPr>
          <w:rFonts w:asciiTheme="minorHAnsi" w:hAnsiTheme="minorHAnsi"/>
          <w:szCs w:val="20"/>
          <w:lang w:eastAsia="es-ES"/>
        </w:rPr>
        <w:t>T</w:t>
      </w:r>
      <w:r w:rsidR="00E53C93" w:rsidRPr="00D920C9">
        <w:rPr>
          <w:rFonts w:asciiTheme="minorHAnsi" w:hAnsiTheme="minorHAnsi"/>
          <w:szCs w:val="20"/>
          <w:lang w:eastAsia="es-ES"/>
        </w:rPr>
        <w:t xml:space="preserve">he Principles recommend that “in cases of death and serious injury, or other </w:t>
      </w:r>
      <w:r w:rsidR="00E53C93" w:rsidRPr="00D920C9">
        <w:rPr>
          <w:rFonts w:asciiTheme="minorHAnsi" w:hAnsiTheme="minorHAnsi"/>
        </w:rPr>
        <w:t>grave consequences, a detailed report shall be sent promptly to the competent authorities responsible for administrative review and judicial control.”</w:t>
      </w:r>
      <w:r w:rsidR="00E53C93" w:rsidRPr="00D920C9">
        <w:rPr>
          <w:rFonts w:asciiTheme="minorHAnsi" w:hAnsiTheme="minorHAnsi"/>
          <w:vertAlign w:val="superscript"/>
        </w:rPr>
        <w:footnoteReference w:id="602"/>
      </w:r>
      <w:r w:rsidR="00FE0818" w:rsidRPr="00D920C9">
        <w:rPr>
          <w:rFonts w:asciiTheme="minorHAnsi" w:hAnsiTheme="minorHAnsi"/>
        </w:rPr>
        <w:t xml:space="preserve"> The entire process should be marked by transparency and participation of the victims and their next of kin. The Commission additionally highlights the important complementary role that entities like civilian oversight boards may play in the independent supervision of police conduct.</w:t>
      </w:r>
      <w:r w:rsidR="00FE0818" w:rsidRPr="00D920C9">
        <w:rPr>
          <w:rFonts w:asciiTheme="minorHAnsi" w:hAnsiTheme="minorHAnsi"/>
          <w:vertAlign w:val="superscript"/>
        </w:rPr>
        <w:footnoteReference w:id="603"/>
      </w:r>
    </w:p>
    <w:p w14:paraId="0C05B81D" w14:textId="2E8F8861" w:rsidR="00E53C93" w:rsidRPr="00D920C9" w:rsidRDefault="00FE0818" w:rsidP="00E86698">
      <w:pPr>
        <w:pStyle w:val="ListParagraph"/>
        <w:numPr>
          <w:ilvl w:val="0"/>
          <w:numId w:val="9"/>
        </w:numPr>
        <w:spacing w:after="240" w:line="240" w:lineRule="auto"/>
        <w:ind w:left="547" w:hanging="547"/>
        <w:contextualSpacing w:val="0"/>
        <w:jc w:val="both"/>
        <w:rPr>
          <w:rFonts w:asciiTheme="minorHAnsi" w:hAnsiTheme="minorHAnsi"/>
          <w:szCs w:val="20"/>
          <w:lang w:eastAsia="es-ES"/>
        </w:rPr>
      </w:pPr>
      <w:bookmarkStart w:id="236" w:name="_Ref507676946"/>
      <w:r w:rsidRPr="00D920C9">
        <w:rPr>
          <w:rFonts w:asciiTheme="minorHAnsi" w:hAnsiTheme="minorHAnsi"/>
        </w:rPr>
        <w:t>The Commission reiterates that it regards internal disciplinary proceedings as autonomous mechanisms for States to supervise their officials’ discharge of the public duties assigned to them. Other than being an appropriate mechanism for monitoring performance, disciplinary proceedings</w:t>
      </w:r>
      <w:r w:rsidR="0032508B" w:rsidRPr="00D920C9">
        <w:rPr>
          <w:rFonts w:asciiTheme="minorHAnsi" w:hAnsiTheme="minorHAnsi"/>
        </w:rPr>
        <w:t xml:space="preserve"> alone</w:t>
      </w:r>
      <w:r w:rsidRPr="00D920C9">
        <w:rPr>
          <w:rFonts w:asciiTheme="minorHAnsi" w:hAnsiTheme="minorHAnsi"/>
        </w:rPr>
        <w:t xml:space="preserve"> are not a “sufficient means for prosecuting, punishing, and repairing the consequences of violations of human rights.”</w:t>
      </w:r>
      <w:r w:rsidRPr="00D920C9">
        <w:rPr>
          <w:rFonts w:asciiTheme="minorHAnsi" w:hAnsiTheme="minorHAnsi"/>
          <w:vertAlign w:val="superscript"/>
        </w:rPr>
        <w:footnoteReference w:id="604"/>
      </w:r>
      <w:r w:rsidRPr="00D920C9">
        <w:rPr>
          <w:rFonts w:asciiTheme="minorHAnsi" w:hAnsiTheme="minorHAnsi"/>
        </w:rPr>
        <w:t xml:space="preserve"> In this regard, the Commission reiterates its </w:t>
      </w:r>
      <w:r w:rsidR="00260D9A" w:rsidRPr="00D920C9">
        <w:rPr>
          <w:rFonts w:asciiTheme="minorHAnsi" w:hAnsiTheme="minorHAnsi"/>
        </w:rPr>
        <w:t>serious</w:t>
      </w:r>
      <w:r w:rsidRPr="00D920C9">
        <w:rPr>
          <w:rFonts w:asciiTheme="minorHAnsi" w:hAnsiTheme="minorHAnsi"/>
        </w:rPr>
        <w:t xml:space="preserve"> concern at information that internal investigatio</w:t>
      </w:r>
      <w:r w:rsidRPr="00D920C9">
        <w:rPr>
          <w:rFonts w:asciiTheme="minorHAnsi" w:hAnsiTheme="minorHAnsi"/>
          <w:szCs w:val="20"/>
          <w:lang w:eastAsia="es-ES"/>
        </w:rPr>
        <w:t>ns into police killings tend to be ineffective</w:t>
      </w:r>
      <w:r w:rsidR="00E074C3" w:rsidRPr="00D920C9">
        <w:rPr>
          <w:rFonts w:asciiTheme="minorHAnsi" w:hAnsiTheme="minorHAnsi"/>
          <w:szCs w:val="20"/>
          <w:lang w:eastAsia="es-ES"/>
        </w:rPr>
        <w:t xml:space="preserve"> remedies as they are expensive, time-consuming, and not transparent, and information</w:t>
      </w:r>
      <w:r w:rsidR="0032508B" w:rsidRPr="00D920C9">
        <w:rPr>
          <w:rFonts w:asciiTheme="minorHAnsi" w:hAnsiTheme="minorHAnsi"/>
          <w:szCs w:val="20"/>
          <w:lang w:eastAsia="es-ES"/>
        </w:rPr>
        <w:t xml:space="preserve"> </w:t>
      </w:r>
      <w:r w:rsidR="00E074C3" w:rsidRPr="00D920C9">
        <w:rPr>
          <w:rFonts w:asciiTheme="minorHAnsi" w:hAnsiTheme="minorHAnsi"/>
          <w:szCs w:val="20"/>
          <w:lang w:eastAsia="es-ES"/>
        </w:rPr>
        <w:t>indicat</w:t>
      </w:r>
      <w:r w:rsidR="00260D9A" w:rsidRPr="00D920C9">
        <w:rPr>
          <w:rFonts w:asciiTheme="minorHAnsi" w:hAnsiTheme="minorHAnsi"/>
          <w:szCs w:val="20"/>
          <w:lang w:eastAsia="es-ES"/>
        </w:rPr>
        <w:t>ing</w:t>
      </w:r>
      <w:r w:rsidR="00E074C3" w:rsidRPr="00D920C9">
        <w:rPr>
          <w:rFonts w:asciiTheme="minorHAnsi" w:hAnsiTheme="minorHAnsi"/>
          <w:szCs w:val="20"/>
          <w:lang w:eastAsia="es-ES"/>
        </w:rPr>
        <w:t xml:space="preserve"> that more than 90 percent of use of force complaints filed with large state and local law enforcement agencies were dismissed.</w:t>
      </w:r>
      <w:r w:rsidR="00E074C3" w:rsidRPr="00D920C9">
        <w:rPr>
          <w:rStyle w:val="FootnoteReference"/>
          <w:rFonts w:asciiTheme="minorHAnsi" w:hAnsiTheme="minorHAnsi"/>
          <w:szCs w:val="20"/>
          <w:lang w:eastAsia="es-ES"/>
        </w:rPr>
        <w:footnoteReference w:id="605"/>
      </w:r>
      <w:r w:rsidR="00E074C3" w:rsidRPr="00D920C9">
        <w:rPr>
          <w:rFonts w:asciiTheme="minorHAnsi" w:hAnsiTheme="minorHAnsi"/>
          <w:szCs w:val="20"/>
          <w:lang w:eastAsia="es-ES"/>
        </w:rPr>
        <w:t xml:space="preserve"> The inefficiency or inefficacy of internal investigations in practice likewise highlights the importance of ensuring external investigations with the competence to prosecute and punish, as applicable, those responsible for violations.</w:t>
      </w:r>
      <w:bookmarkEnd w:id="236"/>
    </w:p>
    <w:p w14:paraId="5274E968" w14:textId="33DA6895" w:rsidR="00F504E6" w:rsidRPr="00D920C9" w:rsidRDefault="008F624A" w:rsidP="00226E45">
      <w:pPr>
        <w:pStyle w:val="Heading3"/>
        <w:ind w:left="540" w:hanging="540"/>
      </w:pPr>
      <w:bookmarkStart w:id="237" w:name="_Toc511837845"/>
      <w:bookmarkStart w:id="238" w:name="_Toc511903018"/>
      <w:bookmarkStart w:id="239" w:name="_Toc517687947"/>
      <w:r w:rsidRPr="00D920C9">
        <w:t xml:space="preserve">The </w:t>
      </w:r>
      <w:r w:rsidR="003A6706" w:rsidRPr="00D920C9">
        <w:t xml:space="preserve">Duty </w:t>
      </w:r>
      <w:r w:rsidRPr="00D920C9">
        <w:t xml:space="preserve">to </w:t>
      </w:r>
      <w:proofErr w:type="gramStart"/>
      <w:r w:rsidR="003A6706" w:rsidRPr="00D920C9">
        <w:t>Prosecute</w:t>
      </w:r>
      <w:proofErr w:type="gramEnd"/>
      <w:r w:rsidR="003A6706" w:rsidRPr="00D920C9">
        <w:t xml:space="preserve"> </w:t>
      </w:r>
      <w:r w:rsidRPr="00D920C9">
        <w:t xml:space="preserve">and </w:t>
      </w:r>
      <w:r w:rsidR="003A6706" w:rsidRPr="00D920C9">
        <w:t xml:space="preserve">Punish </w:t>
      </w:r>
      <w:r w:rsidRPr="00D920C9">
        <w:t xml:space="preserve">all </w:t>
      </w:r>
      <w:r w:rsidR="003A6706" w:rsidRPr="00D920C9">
        <w:t>Responsible Parties</w:t>
      </w:r>
      <w:bookmarkEnd w:id="237"/>
      <w:bookmarkEnd w:id="238"/>
      <w:bookmarkEnd w:id="239"/>
    </w:p>
    <w:p w14:paraId="6A2B0F73" w14:textId="77777777" w:rsidR="00E074C3" w:rsidRPr="00D920C9" w:rsidRDefault="00E074C3"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t xml:space="preserve">Cases of death or injury must be subject to a prompt, thorough, independent and impartial investigation with the goal of carrying out </w:t>
      </w:r>
      <w:r w:rsidRPr="00D920C9">
        <w:rPr>
          <w:rFonts w:asciiTheme="minorHAnsi" w:hAnsiTheme="minorHAnsi"/>
          <w:szCs w:val="20"/>
        </w:rPr>
        <w:lastRenderedPageBreak/>
        <w:t>prosecution proceedings. The general existence of criminal laws is not sufficie</w:t>
      </w:r>
      <w:r w:rsidRPr="00D920C9">
        <w:rPr>
          <w:rFonts w:asciiTheme="minorHAnsi" w:hAnsiTheme="minorHAnsi"/>
        </w:rPr>
        <w:t>n</w:t>
      </w:r>
      <w:r w:rsidRPr="00D920C9">
        <w:rPr>
          <w:rFonts w:asciiTheme="minorHAnsi" w:hAnsiTheme="minorHAnsi"/>
          <w:szCs w:val="20"/>
        </w:rPr>
        <w:t xml:space="preserve">t to ensure accountability of State officials—special measures are needed in order to ensure that officers are held responsible. These concerns are especially relevant in the context of police killings, </w:t>
      </w:r>
      <w:r w:rsidRPr="00D920C9">
        <w:rPr>
          <w:rFonts w:asciiTheme="minorHAnsi" w:hAnsiTheme="minorHAnsi"/>
        </w:rPr>
        <w:t>given</w:t>
      </w:r>
      <w:r w:rsidRPr="00D920C9">
        <w:rPr>
          <w:rFonts w:asciiTheme="minorHAnsi" w:hAnsiTheme="minorHAnsi"/>
          <w:szCs w:val="20"/>
        </w:rPr>
        <w:t xml:space="preserve"> the reported difficulties of achieving convictions of police officers. In this regard, the Committee </w:t>
      </w:r>
      <w:proofErr w:type="gramStart"/>
      <w:r w:rsidRPr="00D920C9">
        <w:rPr>
          <w:rFonts w:asciiTheme="minorHAnsi" w:hAnsiTheme="minorHAnsi"/>
          <w:szCs w:val="20"/>
        </w:rPr>
        <w:t>Against</w:t>
      </w:r>
      <w:proofErr w:type="gramEnd"/>
      <w:r w:rsidRPr="00D920C9">
        <w:rPr>
          <w:rFonts w:asciiTheme="minorHAnsi" w:hAnsiTheme="minorHAnsi"/>
          <w:szCs w:val="20"/>
        </w:rPr>
        <w:t xml:space="preserve"> Torture, among others, has expressed concern at “the frequent and recurrent shootings or fatal pursuits by the police of unarmed black individuals” and “the alleged difficulties of holding police officers and their employers accountable for abuses.”</w:t>
      </w:r>
      <w:r w:rsidRPr="00D920C9">
        <w:rPr>
          <w:rStyle w:val="FootnoteReference"/>
          <w:rFonts w:asciiTheme="minorHAnsi" w:hAnsiTheme="minorHAnsi"/>
          <w:szCs w:val="20"/>
        </w:rPr>
        <w:footnoteReference w:id="606"/>
      </w:r>
    </w:p>
    <w:p w14:paraId="10FC925C" w14:textId="77777777" w:rsidR="00E074C3" w:rsidRPr="00D920C9" w:rsidRDefault="00E074C3"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rPr>
        <w:t>Regarding the liability of senior officials incurred by issuing illicit orders regarding the use of force, the Commission underscores the provisions set forth in the U</w:t>
      </w:r>
      <w:r w:rsidR="00037FDA" w:rsidRPr="00D920C9">
        <w:rPr>
          <w:rFonts w:asciiTheme="minorHAnsi" w:hAnsiTheme="minorHAnsi"/>
          <w:szCs w:val="20"/>
        </w:rPr>
        <w:t>.</w:t>
      </w:r>
      <w:r w:rsidRPr="00D920C9">
        <w:rPr>
          <w:rFonts w:asciiTheme="minorHAnsi" w:hAnsiTheme="minorHAnsi"/>
          <w:szCs w:val="20"/>
        </w:rPr>
        <w:t>N</w:t>
      </w:r>
      <w:r w:rsidR="00037FDA" w:rsidRPr="00D920C9">
        <w:rPr>
          <w:rFonts w:asciiTheme="minorHAnsi" w:hAnsiTheme="minorHAnsi"/>
          <w:szCs w:val="20"/>
        </w:rPr>
        <w:t>.</w:t>
      </w:r>
      <w:r w:rsidRPr="00D920C9">
        <w:rPr>
          <w:rFonts w:asciiTheme="minorHAnsi" w:hAnsiTheme="minorHAnsi"/>
          <w:szCs w:val="20"/>
        </w:rPr>
        <w:t xml:space="preserve"> Basic Principles establishing that States must take steps to ensure that senior officials are held responsible when they were “aware of, or should have been aware of, agents under their command resorting to the illicit use of force and of firearms, and failed to adopt all measures at their disposal to prevent, eliminate, or report that use.”</w:t>
      </w:r>
      <w:r w:rsidRPr="00D920C9">
        <w:rPr>
          <w:rStyle w:val="FootnoteReference"/>
          <w:rFonts w:asciiTheme="minorHAnsi" w:hAnsiTheme="minorHAnsi"/>
          <w:szCs w:val="20"/>
        </w:rPr>
        <w:footnoteReference w:id="607"/>
      </w:r>
      <w:r w:rsidR="00E50ADE" w:rsidRPr="00D920C9">
        <w:rPr>
          <w:rFonts w:asciiTheme="minorHAnsi" w:hAnsiTheme="minorHAnsi"/>
          <w:szCs w:val="20"/>
        </w:rPr>
        <w:t xml:space="preserve"> On the other h</w:t>
      </w:r>
      <w:r w:rsidRPr="00D920C9">
        <w:rPr>
          <w:rFonts w:asciiTheme="minorHAnsi" w:hAnsiTheme="minorHAnsi"/>
          <w:szCs w:val="20"/>
        </w:rPr>
        <w:t xml:space="preserve">and, officials responsible for the use of force may not allege that they obeyed orders from superiors if they were aware that an order to use force that resulted in death or serious injury was </w:t>
      </w:r>
      <w:r w:rsidRPr="00D920C9">
        <w:rPr>
          <w:rFonts w:asciiTheme="minorHAnsi" w:hAnsiTheme="minorHAnsi"/>
        </w:rPr>
        <w:t>manifestly illicit, and they had a reasonable chance to refuse to obey it.</w:t>
      </w:r>
      <w:r w:rsidRPr="00D920C9">
        <w:rPr>
          <w:rFonts w:asciiTheme="minorHAnsi" w:hAnsiTheme="minorHAnsi"/>
          <w:vertAlign w:val="superscript"/>
        </w:rPr>
        <w:footnoteReference w:id="608"/>
      </w:r>
      <w:r w:rsidRPr="00D920C9">
        <w:rPr>
          <w:rFonts w:asciiTheme="minorHAnsi" w:hAnsiTheme="minorHAnsi"/>
        </w:rPr>
        <w:t xml:space="preserve"> </w:t>
      </w:r>
      <w:r w:rsidR="00D44603" w:rsidRPr="00D920C9">
        <w:rPr>
          <w:rFonts w:asciiTheme="minorHAnsi" w:hAnsiTheme="minorHAnsi"/>
        </w:rPr>
        <w:t>T</w:t>
      </w:r>
      <w:r w:rsidRPr="00D920C9">
        <w:rPr>
          <w:rFonts w:asciiTheme="minorHAnsi" w:hAnsiTheme="minorHAnsi"/>
        </w:rPr>
        <w:t>he Commission has echoed the Inter-American Court in stating that investigation of the facts must “make it possible to determine the degree and manner of participation of those who intervened, be they perpetrators or instigators, and thereby establish the corresponding liabilities.”</w:t>
      </w:r>
      <w:r w:rsidRPr="00D920C9">
        <w:rPr>
          <w:rFonts w:asciiTheme="minorHAnsi" w:hAnsiTheme="minorHAnsi"/>
          <w:vertAlign w:val="superscript"/>
        </w:rPr>
        <w:footnoteReference w:id="609"/>
      </w:r>
    </w:p>
    <w:p w14:paraId="44879642" w14:textId="77777777" w:rsidR="00E074C3" w:rsidRPr="00D920C9" w:rsidRDefault="007F7673"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w:t>
      </w:r>
      <w:r w:rsidR="00E074C3" w:rsidRPr="00D920C9">
        <w:rPr>
          <w:rFonts w:asciiTheme="minorHAnsi" w:hAnsiTheme="minorHAnsi"/>
        </w:rPr>
        <w:t>he Commission denounces a “reiterated pattern of impunity in the killings of Afro-descendants by police in the United States,” and reiterates that the ineffective State response to this problem fuels the chronic repetition of incidents of excessive use of force by police.</w:t>
      </w:r>
      <w:r w:rsidR="00E074C3" w:rsidRPr="00D920C9">
        <w:rPr>
          <w:rFonts w:asciiTheme="minorHAnsi" w:hAnsiTheme="minorHAnsi"/>
          <w:vertAlign w:val="superscript"/>
        </w:rPr>
        <w:footnoteReference w:id="610"/>
      </w:r>
      <w:r w:rsidR="00E074C3" w:rsidRPr="00D920C9">
        <w:rPr>
          <w:rFonts w:asciiTheme="minorHAnsi" w:hAnsiTheme="minorHAnsi"/>
        </w:rPr>
        <w:t xml:space="preserve"> </w:t>
      </w:r>
      <w:r w:rsidRPr="00D920C9">
        <w:rPr>
          <w:rFonts w:asciiTheme="minorHAnsi" w:hAnsiTheme="minorHAnsi"/>
        </w:rPr>
        <w:t>T</w:t>
      </w:r>
      <w:r w:rsidR="00E074C3" w:rsidRPr="00D920C9">
        <w:rPr>
          <w:rFonts w:asciiTheme="minorHAnsi" w:hAnsiTheme="minorHAnsi"/>
        </w:rPr>
        <w:t xml:space="preserve">he absence of efficient and effective interventions by the organs of justice generates frustration among African Americans and other </w:t>
      </w:r>
      <w:r w:rsidR="00037FDA" w:rsidRPr="00D920C9">
        <w:rPr>
          <w:rFonts w:asciiTheme="minorHAnsi" w:hAnsiTheme="minorHAnsi"/>
        </w:rPr>
        <w:t>historically marginalized groups</w:t>
      </w:r>
      <w:r w:rsidR="00E074C3" w:rsidRPr="00D920C9">
        <w:rPr>
          <w:rFonts w:asciiTheme="minorHAnsi" w:hAnsiTheme="minorHAnsi"/>
        </w:rPr>
        <w:t>, as well as a sense that the police and other social institutions do not exist to protect them, which seriously affects coexistence in a democratic society.</w:t>
      </w:r>
      <w:r w:rsidR="00E074C3" w:rsidRPr="00D920C9">
        <w:rPr>
          <w:rFonts w:asciiTheme="minorHAnsi" w:hAnsiTheme="minorHAnsi"/>
          <w:vertAlign w:val="superscript"/>
        </w:rPr>
        <w:footnoteReference w:id="611"/>
      </w:r>
      <w:r w:rsidR="00E074C3" w:rsidRPr="00D920C9">
        <w:rPr>
          <w:rFonts w:asciiTheme="minorHAnsi" w:hAnsiTheme="minorHAnsi"/>
        </w:rPr>
        <w:t xml:space="preserve"> In light of the serious impacts that impunity for police violence has both on the repetition of these abuses and on the fabric of democratic society and social inclusion, the Commission considers that structural measures are urgently </w:t>
      </w:r>
      <w:r w:rsidR="00E074C3" w:rsidRPr="00D920C9">
        <w:rPr>
          <w:rFonts w:asciiTheme="minorHAnsi" w:hAnsiTheme="minorHAnsi"/>
        </w:rPr>
        <w:lastRenderedPageBreak/>
        <w:t xml:space="preserve">necessary to address the situation and rectify the underlying discrimination and marginalization that contribute to these abuses. </w:t>
      </w:r>
    </w:p>
    <w:p w14:paraId="209C3CB8" w14:textId="10CF5E0A" w:rsidR="00E074C3" w:rsidRPr="00D920C9" w:rsidRDefault="00E074C3" w:rsidP="00E86698">
      <w:pPr>
        <w:pStyle w:val="ListParagraph"/>
        <w:numPr>
          <w:ilvl w:val="0"/>
          <w:numId w:val="9"/>
        </w:numPr>
        <w:spacing w:after="240" w:line="240" w:lineRule="auto"/>
        <w:ind w:left="547" w:hanging="547"/>
        <w:contextualSpacing w:val="0"/>
        <w:jc w:val="both"/>
        <w:rPr>
          <w:rFonts w:asciiTheme="minorHAnsi" w:hAnsiTheme="minorHAnsi"/>
          <w:szCs w:val="20"/>
        </w:rPr>
      </w:pPr>
      <w:bookmarkStart w:id="240" w:name="_Ref507677030"/>
      <w:r w:rsidRPr="00D920C9">
        <w:rPr>
          <w:rFonts w:asciiTheme="minorHAnsi" w:hAnsiTheme="minorHAnsi"/>
        </w:rPr>
        <w:t>The Commission further reiterates the importance of fully investigating and prosecuting all officers who may be responsible; and the</w:t>
      </w:r>
      <w:r w:rsidRPr="00D920C9">
        <w:rPr>
          <w:rFonts w:asciiTheme="minorHAnsi" w:hAnsiTheme="minorHAnsi"/>
          <w:szCs w:val="20"/>
        </w:rPr>
        <w:t xml:space="preserve"> importance of reforming domestic law where necessary to ensure that proof of explicit racial bias is not the legal standard for achieving a conviction.</w:t>
      </w:r>
      <w:r w:rsidRPr="00D920C9">
        <w:rPr>
          <w:rStyle w:val="FootnoteReference"/>
          <w:rFonts w:asciiTheme="minorHAnsi" w:hAnsiTheme="minorHAnsi"/>
          <w:szCs w:val="20"/>
        </w:rPr>
        <w:footnoteReference w:id="612"/>
      </w:r>
      <w:bookmarkEnd w:id="240"/>
    </w:p>
    <w:p w14:paraId="24D2110C" w14:textId="2CECDDB5" w:rsidR="00F504E6" w:rsidRPr="00D920C9" w:rsidRDefault="008F624A" w:rsidP="00226E45">
      <w:pPr>
        <w:pStyle w:val="Heading3"/>
        <w:ind w:left="540" w:hanging="540"/>
      </w:pPr>
      <w:bookmarkStart w:id="241" w:name="_Toc511837846"/>
      <w:bookmarkStart w:id="242" w:name="_Toc511903019"/>
      <w:bookmarkStart w:id="243" w:name="_Toc517687948"/>
      <w:r w:rsidRPr="00D920C9">
        <w:t xml:space="preserve">The </w:t>
      </w:r>
      <w:r w:rsidR="003A6706" w:rsidRPr="00D920C9">
        <w:t xml:space="preserve">Right </w:t>
      </w:r>
      <w:r w:rsidRPr="00D920C9">
        <w:t xml:space="preserve">to an </w:t>
      </w:r>
      <w:r w:rsidR="003A6706" w:rsidRPr="00D920C9">
        <w:t>Effective Remedy</w:t>
      </w:r>
      <w:bookmarkEnd w:id="241"/>
      <w:bookmarkEnd w:id="242"/>
      <w:bookmarkEnd w:id="243"/>
    </w:p>
    <w:p w14:paraId="29E4C7A9" w14:textId="4EACA678" w:rsidR="009770A7" w:rsidRPr="00D920C9" w:rsidRDefault="009770A7" w:rsidP="00E86698">
      <w:pPr>
        <w:pStyle w:val="ListParagraph"/>
        <w:numPr>
          <w:ilvl w:val="0"/>
          <w:numId w:val="9"/>
        </w:numPr>
        <w:spacing w:after="240" w:line="240" w:lineRule="auto"/>
        <w:ind w:left="547" w:hanging="547"/>
        <w:contextualSpacing w:val="0"/>
        <w:jc w:val="both"/>
        <w:rPr>
          <w:rFonts w:asciiTheme="minorHAnsi" w:hAnsiTheme="minorHAnsi"/>
        </w:rPr>
      </w:pPr>
      <w:bookmarkStart w:id="244" w:name="_Ref507677064"/>
      <w:r w:rsidRPr="00D920C9">
        <w:rPr>
          <w:rFonts w:asciiTheme="minorHAnsi" w:hAnsiTheme="minorHAnsi"/>
          <w:szCs w:val="20"/>
        </w:rPr>
        <w:t xml:space="preserve">The duty to act with due diligence additionally engages the obligation of the State to guarantee access to adequate and </w:t>
      </w:r>
      <w:r w:rsidRPr="00D920C9">
        <w:rPr>
          <w:rFonts w:asciiTheme="minorHAnsi" w:hAnsiTheme="minorHAnsi"/>
        </w:rPr>
        <w:t>effective judicial remedies for victims and their family members when</w:t>
      </w:r>
      <w:r w:rsidR="00994081" w:rsidRPr="00D920C9">
        <w:rPr>
          <w:rFonts w:asciiTheme="minorHAnsi" w:hAnsiTheme="minorHAnsi"/>
        </w:rPr>
        <w:t xml:space="preserve"> they suffer acts of violence. T</w:t>
      </w:r>
      <w:r w:rsidRPr="00D920C9">
        <w:rPr>
          <w:rFonts w:asciiTheme="minorHAnsi" w:hAnsiTheme="minorHAnsi"/>
        </w:rPr>
        <w:t xml:space="preserve">he Commission has previously called for the </w:t>
      </w:r>
      <w:r w:rsidR="00352483" w:rsidRPr="00D920C9">
        <w:rPr>
          <w:rFonts w:asciiTheme="minorHAnsi" w:hAnsiTheme="minorHAnsi"/>
        </w:rPr>
        <w:t>U.S.</w:t>
      </w:r>
      <w:r w:rsidRPr="00D920C9">
        <w:rPr>
          <w:rFonts w:asciiTheme="minorHAnsi" w:hAnsiTheme="minorHAnsi"/>
        </w:rPr>
        <w:t xml:space="preserve"> to adopt measures to guarantee access to justice for African Americans and other historically marginalized groups, in light of the fact that impunity for extrajudicial killings by the police disproportionately impacts African Americans and other people of color in the </w:t>
      </w:r>
      <w:r w:rsidR="00352483" w:rsidRPr="00D920C9">
        <w:rPr>
          <w:rFonts w:asciiTheme="minorHAnsi" w:hAnsiTheme="minorHAnsi"/>
        </w:rPr>
        <w:t>U.S</w:t>
      </w:r>
      <w:r w:rsidRPr="00D920C9">
        <w:rPr>
          <w:rFonts w:asciiTheme="minorHAnsi" w:hAnsiTheme="minorHAnsi"/>
        </w:rPr>
        <w:t>.</w:t>
      </w:r>
      <w:r w:rsidRPr="00D920C9">
        <w:rPr>
          <w:rFonts w:asciiTheme="minorHAnsi" w:hAnsiTheme="minorHAnsi"/>
          <w:vertAlign w:val="superscript"/>
        </w:rPr>
        <w:footnoteReference w:id="613"/>
      </w:r>
      <w:bookmarkEnd w:id="244"/>
    </w:p>
    <w:p w14:paraId="48CC711D" w14:textId="77777777" w:rsidR="008D0907" w:rsidRPr="00D920C9" w:rsidRDefault="009770A7"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As this Commission has recognized previously, both Articles XVII and XVIII are predicated upon the recognition and protection by a State of an individual’s fundamental civil and constitutional rights.</w:t>
      </w:r>
      <w:r w:rsidR="00350E2A" w:rsidRPr="00D920C9">
        <w:rPr>
          <w:rFonts w:asciiTheme="minorHAnsi" w:hAnsiTheme="minorHAnsi"/>
          <w:vertAlign w:val="superscript"/>
        </w:rPr>
        <w:footnoteReference w:id="614"/>
      </w:r>
      <w:r w:rsidRPr="00D920C9">
        <w:rPr>
          <w:rFonts w:asciiTheme="minorHAnsi" w:hAnsiTheme="minorHAnsi"/>
        </w:rPr>
        <w:t xml:space="preserve"> Article XVIII further prescribes a fundamental role for the courts in ensuring and protecting basic rights.</w:t>
      </w:r>
      <w:r w:rsidR="00350E2A" w:rsidRPr="00D920C9">
        <w:rPr>
          <w:rFonts w:asciiTheme="minorHAnsi" w:hAnsiTheme="minorHAnsi"/>
          <w:vertAlign w:val="superscript"/>
        </w:rPr>
        <w:footnoteReference w:id="615"/>
      </w:r>
      <w:r w:rsidRPr="00D920C9">
        <w:rPr>
          <w:rFonts w:asciiTheme="minorHAnsi" w:hAnsiTheme="minorHAnsi"/>
        </w:rPr>
        <w:t xml:space="preserve"> For its part, Article XVIII of the American Declaration establishes that all persons are entitled to access judicial remedies when they have suffered human rights violations.</w:t>
      </w:r>
      <w:r w:rsidR="00350E2A" w:rsidRPr="00D920C9">
        <w:rPr>
          <w:rFonts w:asciiTheme="minorHAnsi" w:hAnsiTheme="minorHAnsi"/>
          <w:vertAlign w:val="superscript"/>
        </w:rPr>
        <w:footnoteReference w:id="616"/>
      </w:r>
      <w:r w:rsidRPr="00D920C9">
        <w:rPr>
          <w:rFonts w:asciiTheme="minorHAnsi" w:hAnsiTheme="minorHAnsi"/>
        </w:rPr>
        <w:t xml:space="preserve"> This right is similar in scope to the right to judicial protection and guarantees contained in Article 25 of the American Convention, which is understood to encompass: the right of every individual to go to a tribunal when any of his or her rights have been violated; to obtain a judicial investigation conducted by a competent, impartial and independent tribunal that </w:t>
      </w:r>
      <w:r w:rsidRPr="00D920C9">
        <w:rPr>
          <w:rFonts w:asciiTheme="minorHAnsi" w:hAnsiTheme="minorHAnsi"/>
        </w:rPr>
        <w:lastRenderedPageBreak/>
        <w:t>establishes whether or not a violation has taken place; and the corresponding right to obtain reparations for the harm suffered.</w:t>
      </w:r>
      <w:r w:rsidR="00350E2A" w:rsidRPr="00D920C9">
        <w:rPr>
          <w:rFonts w:asciiTheme="minorHAnsi" w:hAnsiTheme="minorHAnsi"/>
          <w:vertAlign w:val="superscript"/>
        </w:rPr>
        <w:footnoteReference w:id="617"/>
      </w:r>
    </w:p>
    <w:p w14:paraId="661C53C1" w14:textId="77777777" w:rsidR="008D0907" w:rsidRPr="00D920C9" w:rsidRDefault="009770A7"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The Commission has affirmed for many years that it is not the formal existence of judicial remedies that demonstrates due diligence, but rather that they are adequate and effective.</w:t>
      </w:r>
      <w:r w:rsidR="00350E2A" w:rsidRPr="00D920C9">
        <w:rPr>
          <w:rFonts w:asciiTheme="minorHAnsi" w:hAnsiTheme="minorHAnsi"/>
          <w:vertAlign w:val="superscript"/>
        </w:rPr>
        <w:footnoteReference w:id="618"/>
      </w:r>
      <w:r w:rsidRPr="00D920C9">
        <w:rPr>
          <w:rFonts w:asciiTheme="minorHAnsi" w:hAnsiTheme="minorHAnsi"/>
        </w:rPr>
        <w:t xml:space="preserve"> The “effectiveness” of a judicial remedy has two aspects: one is normative and the other is empirical.</w:t>
      </w:r>
      <w:r w:rsidR="00350E2A" w:rsidRPr="00D920C9">
        <w:rPr>
          <w:rFonts w:asciiTheme="minorHAnsi" w:hAnsiTheme="minorHAnsi"/>
          <w:vertAlign w:val="superscript"/>
        </w:rPr>
        <w:footnoteReference w:id="619"/>
      </w:r>
      <w:r w:rsidRPr="00D920C9">
        <w:rPr>
          <w:rFonts w:asciiTheme="minorHAnsi" w:hAnsiTheme="minorHAnsi"/>
        </w:rPr>
        <w:t xml:space="preserve"> The normative aspect deals</w:t>
      </w:r>
      <w:r w:rsidR="003E68F6" w:rsidRPr="00D920C9">
        <w:rPr>
          <w:rFonts w:asciiTheme="minorHAnsi" w:hAnsiTheme="minorHAnsi"/>
        </w:rPr>
        <w:t xml:space="preserve"> with the remedy’s suitability—that is, </w:t>
      </w:r>
      <w:r w:rsidRPr="00D920C9">
        <w:rPr>
          <w:rFonts w:asciiTheme="minorHAnsi" w:hAnsiTheme="minorHAnsi"/>
        </w:rPr>
        <w:t xml:space="preserve">its ability to determine whether a violation of human rights occurred, and its capacity to yield positive results or responses, principally measured in terms of </w:t>
      </w:r>
      <w:r w:rsidR="003E68F6" w:rsidRPr="00D920C9">
        <w:rPr>
          <w:rFonts w:asciiTheme="minorHAnsi" w:hAnsiTheme="minorHAnsi"/>
        </w:rPr>
        <w:t>its potential ability</w:t>
      </w:r>
      <w:r w:rsidRPr="00D920C9">
        <w:rPr>
          <w:rFonts w:asciiTheme="minorHAnsi" w:hAnsiTheme="minorHAnsi"/>
        </w:rPr>
        <w:t xml:space="preserve"> to provide adequate redress for human rights violations.</w:t>
      </w:r>
      <w:r w:rsidR="00350E2A" w:rsidRPr="00D920C9">
        <w:rPr>
          <w:rFonts w:asciiTheme="minorHAnsi" w:hAnsiTheme="minorHAnsi"/>
          <w:vertAlign w:val="superscript"/>
        </w:rPr>
        <w:footnoteReference w:id="620"/>
      </w:r>
    </w:p>
    <w:p w14:paraId="67C5F45E" w14:textId="77777777" w:rsidR="008D0907" w:rsidRPr="00D920C9" w:rsidRDefault="009770A7"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The second aspect, the empirical nature of the remedy, refers to the political or institutional conditions that enable a legally recognized remedy to “fulfill its purpose” or “produce the result for which [it] was designed.”</w:t>
      </w:r>
      <w:r w:rsidR="008D0907" w:rsidRPr="00D920C9">
        <w:rPr>
          <w:rFonts w:asciiTheme="minorHAnsi" w:hAnsiTheme="minorHAnsi"/>
          <w:vertAlign w:val="superscript"/>
        </w:rPr>
        <w:footnoteReference w:id="621"/>
      </w:r>
      <w:r w:rsidRPr="00D920C9">
        <w:rPr>
          <w:rFonts w:asciiTheme="minorHAnsi" w:hAnsiTheme="minorHAnsi"/>
        </w:rPr>
        <w:t xml:space="preserve"> </w:t>
      </w:r>
      <w:r w:rsidR="00260121" w:rsidRPr="00D920C9">
        <w:rPr>
          <w:rFonts w:asciiTheme="minorHAnsi" w:hAnsiTheme="minorHAnsi"/>
        </w:rPr>
        <w:t>A</w:t>
      </w:r>
      <w:r w:rsidRPr="00D920C9">
        <w:rPr>
          <w:rFonts w:asciiTheme="minorHAnsi" w:hAnsiTheme="minorHAnsi"/>
        </w:rPr>
        <w:t xml:space="preserve"> remedy is not effective when it is “illusory,” excessively onerous for the victim, or when the State has not ensured its proper enforcement by the judicial authorities.</w:t>
      </w:r>
      <w:r w:rsidR="008D0907" w:rsidRPr="00D920C9">
        <w:rPr>
          <w:rFonts w:asciiTheme="minorHAnsi" w:hAnsiTheme="minorHAnsi"/>
          <w:vertAlign w:val="superscript"/>
        </w:rPr>
        <w:footnoteReference w:id="622"/>
      </w:r>
      <w:r w:rsidR="003E68F6" w:rsidRPr="00D920C9">
        <w:rPr>
          <w:rFonts w:asciiTheme="minorHAnsi" w:hAnsiTheme="minorHAnsi"/>
        </w:rPr>
        <w:t xml:space="preserve"> In this regard, the Commission expresses its concern about information received indicating barriers to the effective adjudication of civil suits against police officers, including both procedural barriers to presenting claims as well as high burdens of proof and fears of reprisals.</w:t>
      </w:r>
      <w:r w:rsidR="003E68F6" w:rsidRPr="00D920C9">
        <w:rPr>
          <w:rFonts w:asciiTheme="minorHAnsi" w:hAnsiTheme="minorHAnsi"/>
          <w:vertAlign w:val="superscript"/>
        </w:rPr>
        <w:footnoteReference w:id="623"/>
      </w:r>
      <w:r w:rsidR="003E68F6" w:rsidRPr="00D920C9">
        <w:rPr>
          <w:rFonts w:asciiTheme="minorHAnsi" w:hAnsiTheme="minorHAnsi"/>
        </w:rPr>
        <w:t xml:space="preserve"> This is reflected as well in evidence that suggests that police officers are rarely found liable in civil suits.</w:t>
      </w:r>
      <w:r w:rsidR="003E68F6" w:rsidRPr="00D920C9">
        <w:rPr>
          <w:rFonts w:asciiTheme="minorHAnsi" w:hAnsiTheme="minorHAnsi"/>
          <w:vertAlign w:val="superscript"/>
        </w:rPr>
        <w:footnoteReference w:id="624"/>
      </w:r>
    </w:p>
    <w:p w14:paraId="303CB183" w14:textId="34AF487E" w:rsidR="003E68F6" w:rsidRPr="00D920C9" w:rsidRDefault="009770A7" w:rsidP="00E86698">
      <w:pPr>
        <w:pStyle w:val="ListParagraph"/>
        <w:numPr>
          <w:ilvl w:val="0"/>
          <w:numId w:val="9"/>
        </w:numPr>
        <w:spacing w:after="240" w:line="240" w:lineRule="auto"/>
        <w:ind w:left="547" w:hanging="547"/>
        <w:contextualSpacing w:val="0"/>
        <w:jc w:val="both"/>
        <w:rPr>
          <w:rFonts w:asciiTheme="minorHAnsi" w:hAnsiTheme="minorHAnsi"/>
        </w:rPr>
      </w:pPr>
      <w:bookmarkStart w:id="245" w:name="_Ref507684464"/>
      <w:r w:rsidRPr="00D920C9">
        <w:rPr>
          <w:rFonts w:asciiTheme="minorHAnsi" w:hAnsiTheme="minorHAnsi"/>
        </w:rPr>
        <w:t>Thus, when the State</w:t>
      </w:r>
      <w:r w:rsidR="00B276C0" w:rsidRPr="00D920C9">
        <w:rPr>
          <w:rFonts w:asciiTheme="minorHAnsi" w:hAnsiTheme="minorHAnsi"/>
        </w:rPr>
        <w:t>’s institutions</w:t>
      </w:r>
      <w:r w:rsidRPr="00D920C9">
        <w:rPr>
          <w:rFonts w:asciiTheme="minorHAnsi" w:hAnsiTheme="minorHAnsi"/>
        </w:rPr>
        <w:t xml:space="preserve"> leave human rights violations unpunished and the victim’s full enjoyment of human rights is not promptly</w:t>
      </w:r>
      <w:r w:rsidR="00B276C0" w:rsidRPr="00D920C9">
        <w:rPr>
          <w:rFonts w:asciiTheme="minorHAnsi" w:hAnsiTheme="minorHAnsi"/>
        </w:rPr>
        <w:t xml:space="preserve"> and properly</w:t>
      </w:r>
      <w:r w:rsidRPr="00D920C9">
        <w:rPr>
          <w:rFonts w:asciiTheme="minorHAnsi" w:hAnsiTheme="minorHAnsi"/>
        </w:rPr>
        <w:t xml:space="preserve"> restored, the State fails to comply with its positive duties under international human rights law.</w:t>
      </w:r>
      <w:r w:rsidR="008D0907" w:rsidRPr="00D920C9">
        <w:rPr>
          <w:rFonts w:asciiTheme="minorHAnsi" w:hAnsiTheme="minorHAnsi"/>
          <w:vertAlign w:val="superscript"/>
        </w:rPr>
        <w:footnoteReference w:id="625"/>
      </w:r>
      <w:r w:rsidR="008D0907" w:rsidRPr="00D920C9">
        <w:rPr>
          <w:rFonts w:asciiTheme="minorHAnsi" w:hAnsiTheme="minorHAnsi"/>
        </w:rPr>
        <w:t xml:space="preserve"> </w:t>
      </w:r>
      <w:r w:rsidRPr="00D920C9">
        <w:rPr>
          <w:rFonts w:asciiTheme="minorHAnsi" w:hAnsiTheme="minorHAnsi"/>
        </w:rPr>
        <w:t xml:space="preserve">The same principle applies when a State allows private persons to </w:t>
      </w:r>
      <w:r w:rsidR="003E68F6" w:rsidRPr="00D920C9">
        <w:rPr>
          <w:rFonts w:asciiTheme="minorHAnsi" w:hAnsiTheme="minorHAnsi"/>
        </w:rPr>
        <w:t>act freely and with impunity to the detriment</w:t>
      </w:r>
      <w:r w:rsidR="00B276C0" w:rsidRPr="00D920C9">
        <w:rPr>
          <w:rFonts w:asciiTheme="minorHAnsi" w:hAnsiTheme="minorHAnsi"/>
        </w:rPr>
        <w:t xml:space="preserve"> of the rights recognized in international human rights law</w:t>
      </w:r>
      <w:r w:rsidR="003E68F6" w:rsidRPr="00D920C9">
        <w:rPr>
          <w:rFonts w:asciiTheme="minorHAnsi" w:hAnsiTheme="minorHAnsi"/>
        </w:rPr>
        <w:t>.</w:t>
      </w:r>
      <w:r w:rsidR="00B276C0" w:rsidRPr="00D920C9">
        <w:rPr>
          <w:rFonts w:asciiTheme="minorHAnsi" w:hAnsiTheme="minorHAnsi"/>
          <w:vertAlign w:val="superscript"/>
        </w:rPr>
        <w:footnoteReference w:id="626"/>
      </w:r>
      <w:r w:rsidR="00B276C0" w:rsidRPr="00D920C9">
        <w:rPr>
          <w:rFonts w:asciiTheme="minorHAnsi" w:hAnsiTheme="minorHAnsi"/>
        </w:rPr>
        <w:t xml:space="preserve"> In </w:t>
      </w:r>
      <w:r w:rsidR="00B276C0" w:rsidRPr="00D920C9">
        <w:rPr>
          <w:rFonts w:asciiTheme="minorHAnsi" w:hAnsiTheme="minorHAnsi"/>
        </w:rPr>
        <w:lastRenderedPageBreak/>
        <w:t>this regard, the Commission reiterates its concerns expressed in previous sections about the low number of prosecutions of police officers involved in extrajudicial killings,</w:t>
      </w:r>
      <w:r w:rsidR="00B276C0" w:rsidRPr="00D920C9">
        <w:rPr>
          <w:rFonts w:asciiTheme="minorHAnsi" w:hAnsiTheme="minorHAnsi"/>
          <w:vertAlign w:val="superscript"/>
        </w:rPr>
        <w:footnoteReference w:id="627"/>
      </w:r>
      <w:r w:rsidR="00B276C0" w:rsidRPr="00D920C9">
        <w:rPr>
          <w:rFonts w:asciiTheme="minorHAnsi" w:hAnsiTheme="minorHAnsi"/>
        </w:rPr>
        <w:t xml:space="preserve"> and the reported difficulty of pursuing hate crimes prosecutions, particularly in light of the rapidly rising numbers of hate crimes in recent years.</w:t>
      </w:r>
      <w:r w:rsidR="00B276C0" w:rsidRPr="00D920C9">
        <w:rPr>
          <w:rFonts w:asciiTheme="minorHAnsi" w:hAnsiTheme="minorHAnsi"/>
          <w:vertAlign w:val="superscript"/>
        </w:rPr>
        <w:footnoteReference w:id="628"/>
      </w:r>
      <w:bookmarkEnd w:id="245"/>
    </w:p>
    <w:p w14:paraId="2372AFA1" w14:textId="545E4065" w:rsidR="00897264" w:rsidRPr="00D920C9" w:rsidRDefault="00897264" w:rsidP="00E86698">
      <w:pPr>
        <w:pStyle w:val="ListParagraph"/>
        <w:numPr>
          <w:ilvl w:val="0"/>
          <w:numId w:val="9"/>
        </w:numPr>
        <w:spacing w:after="240" w:line="240" w:lineRule="auto"/>
        <w:ind w:left="547" w:hanging="547"/>
        <w:contextualSpacing w:val="0"/>
        <w:jc w:val="both"/>
        <w:rPr>
          <w:rFonts w:asciiTheme="minorHAnsi" w:hAnsiTheme="minorHAnsi"/>
        </w:rPr>
      </w:pPr>
      <w:bookmarkStart w:id="246" w:name="_Ref507684466"/>
      <w:r w:rsidRPr="00D920C9">
        <w:rPr>
          <w:rFonts w:asciiTheme="minorHAnsi" w:hAnsiTheme="minorHAnsi"/>
        </w:rPr>
        <w:t xml:space="preserve">The Commission additionally considers it relevant to note that by recognizing spaces and circumstances in which individuals are provided with unlimited autonomy over others, “Stand Your Ground” laws may violate fundamental rights such as life and physical integrity. The Commission considers that States have a special obligation of protection </w:t>
      </w:r>
      <w:proofErr w:type="gramStart"/>
      <w:r w:rsidRPr="00D920C9">
        <w:rPr>
          <w:rFonts w:asciiTheme="minorHAnsi" w:hAnsiTheme="minorHAnsi"/>
        </w:rPr>
        <w:t>vis</w:t>
      </w:r>
      <w:proofErr w:type="gramEnd"/>
      <w:r w:rsidRPr="00D920C9">
        <w:rPr>
          <w:rFonts w:asciiTheme="minorHAnsi" w:hAnsiTheme="minorHAnsi"/>
        </w:rPr>
        <w:t xml:space="preserve"> a vis the acts and practices of third parties that create discriminatory situations, and that the failure of the State to act in this context may produce international responsibility.</w:t>
      </w:r>
      <w:r w:rsidRPr="00D920C9">
        <w:rPr>
          <w:rFonts w:asciiTheme="minorHAnsi" w:hAnsiTheme="minorHAnsi"/>
          <w:vertAlign w:val="superscript"/>
        </w:rPr>
        <w:footnoteReference w:id="629"/>
      </w:r>
      <w:bookmarkEnd w:id="246"/>
    </w:p>
    <w:p w14:paraId="01C88072" w14:textId="77777777" w:rsidR="00897264" w:rsidRPr="00D920C9" w:rsidRDefault="00897264"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The Commission emphasizes that States must ensure that channels exist</w:t>
      </w:r>
      <w:r w:rsidR="00572B90" w:rsidRPr="00D920C9">
        <w:rPr>
          <w:rFonts w:asciiTheme="minorHAnsi" w:hAnsiTheme="minorHAnsi"/>
        </w:rPr>
        <w:t xml:space="preserve"> </w:t>
      </w:r>
      <w:r w:rsidRPr="00D920C9">
        <w:rPr>
          <w:rFonts w:asciiTheme="minorHAnsi" w:hAnsiTheme="minorHAnsi"/>
        </w:rPr>
        <w:t>by which individuals may petition independent tribunals to enforce their rights and receive reparations for declared violations</w:t>
      </w:r>
      <w:r w:rsidR="00572B90" w:rsidRPr="00D920C9">
        <w:rPr>
          <w:rFonts w:asciiTheme="minorHAnsi" w:hAnsiTheme="minorHAnsi"/>
        </w:rPr>
        <w:t>.</w:t>
      </w:r>
      <w:r w:rsidR="00572B90" w:rsidRPr="00D920C9">
        <w:rPr>
          <w:rFonts w:asciiTheme="minorHAnsi" w:hAnsiTheme="minorHAnsi"/>
          <w:vertAlign w:val="superscript"/>
        </w:rPr>
        <w:footnoteReference w:id="630"/>
      </w:r>
      <w:r w:rsidR="00572B90" w:rsidRPr="00D920C9">
        <w:rPr>
          <w:rFonts w:asciiTheme="minorHAnsi" w:hAnsiTheme="minorHAnsi"/>
        </w:rPr>
        <w:t xml:space="preserve"> Procedural barriers and other dynamics, including bias of judicial bodies and partiality of prosecutors, which limit individuals’ ability to file grievances or obtain punishment for police misconduct, can amount to denial of an effective remedy.</w:t>
      </w:r>
      <w:r w:rsidR="00572B90" w:rsidRPr="00D920C9">
        <w:rPr>
          <w:rFonts w:asciiTheme="minorHAnsi" w:hAnsiTheme="minorHAnsi"/>
          <w:vertAlign w:val="superscript"/>
        </w:rPr>
        <w:footnoteReference w:id="631"/>
      </w:r>
      <w:r w:rsidR="00037FDA" w:rsidRPr="00D920C9">
        <w:rPr>
          <w:rFonts w:asciiTheme="minorHAnsi" w:hAnsiTheme="minorHAnsi"/>
        </w:rPr>
        <w:t xml:space="preserve"> </w:t>
      </w:r>
      <w:r w:rsidR="00572B90" w:rsidRPr="00D920C9">
        <w:rPr>
          <w:rFonts w:asciiTheme="minorHAnsi" w:hAnsiTheme="minorHAnsi"/>
        </w:rPr>
        <w:t>In this regard, the Commission reiterates its concerns about barriers to effective accountability for police killings, including bias among grand juries and prosecutors, lack of independent investigations and prosecutions, lack of federal resources and will to investigate and prosecute, and procedural and evidentiary barriers to beginning and successfully completing legal proceedings to obtain remedies.</w:t>
      </w:r>
      <w:r w:rsidR="00572B90" w:rsidRPr="00D920C9">
        <w:rPr>
          <w:rFonts w:asciiTheme="minorHAnsi" w:hAnsiTheme="minorHAnsi"/>
          <w:vertAlign w:val="superscript"/>
        </w:rPr>
        <w:footnoteReference w:id="632"/>
      </w:r>
    </w:p>
    <w:p w14:paraId="03F4376F" w14:textId="507B3318" w:rsidR="009770A7" w:rsidRPr="00D920C9" w:rsidRDefault="003E68F6"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Commission further maintains that there is a direct connection between the suitability of available judicial remedies, and the real possibility of observance of economic, social, and cultural rights. The IACHR has identified the principle of equality of arms as an integral part of the right to a fair trial, given </w:t>
      </w:r>
      <w:r w:rsidR="00E7640C" w:rsidRPr="00D920C9">
        <w:rPr>
          <w:rFonts w:asciiTheme="minorHAnsi" w:hAnsiTheme="minorHAnsi"/>
        </w:rPr>
        <w:t xml:space="preserve">that </w:t>
      </w:r>
      <w:r w:rsidRPr="00D920C9">
        <w:rPr>
          <w:rFonts w:asciiTheme="minorHAnsi" w:hAnsiTheme="minorHAnsi"/>
        </w:rPr>
        <w:t>inequality between the parties in a dispute often translates into disadvantages in the frame</w:t>
      </w:r>
      <w:r w:rsidR="00897264" w:rsidRPr="00D920C9">
        <w:rPr>
          <w:rFonts w:asciiTheme="minorHAnsi" w:hAnsiTheme="minorHAnsi"/>
        </w:rPr>
        <w:t xml:space="preserve">work of judicial </w:t>
      </w:r>
      <w:r w:rsidR="00897264" w:rsidRPr="00D920C9">
        <w:rPr>
          <w:rFonts w:asciiTheme="minorHAnsi" w:hAnsiTheme="minorHAnsi"/>
        </w:rPr>
        <w:lastRenderedPageBreak/>
        <w:t>proceedings.</w:t>
      </w:r>
      <w:r w:rsidR="00897264" w:rsidRPr="00D920C9">
        <w:rPr>
          <w:rFonts w:asciiTheme="minorHAnsi" w:hAnsiTheme="minorHAnsi"/>
          <w:vertAlign w:val="superscript"/>
        </w:rPr>
        <w:footnoteReference w:id="633"/>
      </w:r>
      <w:r w:rsidR="00572B90" w:rsidRPr="00D920C9">
        <w:rPr>
          <w:rFonts w:asciiTheme="minorHAnsi" w:hAnsiTheme="minorHAnsi"/>
        </w:rPr>
        <w:t xml:space="preserve"> In this regard, the Commission recalls the information and concerns expressed throughout this report about the historical, structural situation of marginalization and racialized poverty that African Americans as a group face in the </w:t>
      </w:r>
      <w:r w:rsidR="008A7C97" w:rsidRPr="00D920C9">
        <w:rPr>
          <w:rFonts w:asciiTheme="minorHAnsi" w:hAnsiTheme="minorHAnsi"/>
        </w:rPr>
        <w:t>U.S</w:t>
      </w:r>
      <w:r w:rsidR="00572B90" w:rsidRPr="00D920C9">
        <w:rPr>
          <w:rFonts w:asciiTheme="minorHAnsi" w:hAnsiTheme="minorHAnsi"/>
        </w:rPr>
        <w:t xml:space="preserve">. </w:t>
      </w:r>
      <w:r w:rsidR="006D6D0A" w:rsidRPr="00D920C9">
        <w:rPr>
          <w:rFonts w:asciiTheme="minorHAnsi" w:hAnsiTheme="minorHAnsi"/>
        </w:rPr>
        <w:t xml:space="preserve">For example, the impact of </w:t>
      </w:r>
      <w:r w:rsidR="00522A53" w:rsidRPr="00D920C9">
        <w:rPr>
          <w:rFonts w:asciiTheme="minorHAnsi" w:hAnsiTheme="minorHAnsi"/>
        </w:rPr>
        <w:t>pretrial detention</w:t>
      </w:r>
      <w:r w:rsidR="006D6D0A" w:rsidRPr="00D920C9">
        <w:rPr>
          <w:rFonts w:asciiTheme="minorHAnsi" w:hAnsiTheme="minorHAnsi"/>
        </w:rPr>
        <w:t xml:space="preserve"> on </w:t>
      </w:r>
      <w:r w:rsidR="00522A53" w:rsidRPr="00D920C9">
        <w:rPr>
          <w:rFonts w:asciiTheme="minorHAnsi" w:hAnsiTheme="minorHAnsi"/>
        </w:rPr>
        <w:t>guilty pleas</w:t>
      </w:r>
      <w:r w:rsidR="006D6D0A" w:rsidRPr="00D920C9">
        <w:rPr>
          <w:rFonts w:asciiTheme="minorHAnsi" w:hAnsiTheme="minorHAnsi"/>
        </w:rPr>
        <w:t xml:space="preserve"> provides a clear indicator of the impact of materially unequal positions</w:t>
      </w:r>
      <w:r w:rsidR="00522A53" w:rsidRPr="00D920C9">
        <w:rPr>
          <w:rFonts w:asciiTheme="minorHAnsi" w:hAnsiTheme="minorHAnsi"/>
        </w:rPr>
        <w:t xml:space="preserve"> between the parties</w:t>
      </w:r>
      <w:r w:rsidR="006D6D0A" w:rsidRPr="00D920C9">
        <w:rPr>
          <w:rFonts w:asciiTheme="minorHAnsi" w:hAnsiTheme="minorHAnsi"/>
        </w:rPr>
        <w:t xml:space="preserve"> on </w:t>
      </w:r>
      <w:r w:rsidR="00522A53" w:rsidRPr="00D920C9">
        <w:rPr>
          <w:rFonts w:asciiTheme="minorHAnsi" w:hAnsiTheme="minorHAnsi"/>
        </w:rPr>
        <w:t>the outcome of judicial proceedings.</w:t>
      </w:r>
      <w:r w:rsidR="00522A53" w:rsidRPr="00D920C9">
        <w:rPr>
          <w:rFonts w:asciiTheme="minorHAnsi" w:hAnsiTheme="minorHAnsi"/>
          <w:vertAlign w:val="superscript"/>
        </w:rPr>
        <w:footnoteReference w:id="634"/>
      </w:r>
      <w:r w:rsidR="006D6D0A" w:rsidRPr="00D920C9">
        <w:rPr>
          <w:rFonts w:asciiTheme="minorHAnsi" w:hAnsiTheme="minorHAnsi"/>
        </w:rPr>
        <w:t xml:space="preserve"> </w:t>
      </w:r>
      <w:r w:rsidR="00572B90" w:rsidRPr="00D920C9">
        <w:rPr>
          <w:rFonts w:asciiTheme="minorHAnsi" w:hAnsiTheme="minorHAnsi"/>
        </w:rPr>
        <w:t xml:space="preserve">The Commission </w:t>
      </w:r>
      <w:r w:rsidRPr="00D920C9">
        <w:rPr>
          <w:rFonts w:asciiTheme="minorHAnsi" w:hAnsiTheme="minorHAnsi"/>
        </w:rPr>
        <w:t xml:space="preserve">considers that real inequality between the parties in a proceeding engages the duty of the State to adopt all the necessary measures to </w:t>
      </w:r>
      <w:r w:rsidR="00572B90" w:rsidRPr="00D920C9">
        <w:rPr>
          <w:rFonts w:asciiTheme="minorHAnsi" w:hAnsiTheme="minorHAnsi"/>
        </w:rPr>
        <w:t>remedy</w:t>
      </w:r>
      <w:r w:rsidRPr="00D920C9">
        <w:rPr>
          <w:rFonts w:asciiTheme="minorHAnsi" w:hAnsiTheme="minorHAnsi"/>
        </w:rPr>
        <w:t xml:space="preserve"> any deficiencies that </w:t>
      </w:r>
      <w:r w:rsidR="00572B90" w:rsidRPr="00D920C9">
        <w:rPr>
          <w:rFonts w:asciiTheme="minorHAnsi" w:hAnsiTheme="minorHAnsi"/>
        </w:rPr>
        <w:t>frustrate</w:t>
      </w:r>
      <w:r w:rsidRPr="00D920C9">
        <w:rPr>
          <w:rFonts w:asciiTheme="minorHAnsi" w:hAnsiTheme="minorHAnsi"/>
        </w:rPr>
        <w:t xml:space="preserve"> the effective protection of rights</w:t>
      </w:r>
      <w:r w:rsidR="00CE4CA9" w:rsidRPr="00D920C9">
        <w:rPr>
          <w:rFonts w:asciiTheme="minorHAnsi" w:hAnsiTheme="minorHAnsi"/>
        </w:rPr>
        <w:t>, including recognizing and correcting any real disadvantages that the parties in a proceeding might have, thereby observing the principle of equality before the law and the prohibition of discrimination</w:t>
      </w:r>
      <w:r w:rsidRPr="00D920C9">
        <w:rPr>
          <w:rFonts w:asciiTheme="minorHAnsi" w:hAnsiTheme="minorHAnsi"/>
        </w:rPr>
        <w:t>.</w:t>
      </w:r>
      <w:r w:rsidR="00CE4CA9" w:rsidRPr="00D920C9">
        <w:rPr>
          <w:rFonts w:asciiTheme="minorHAnsi" w:hAnsiTheme="minorHAnsi"/>
          <w:vertAlign w:val="superscript"/>
        </w:rPr>
        <w:footnoteReference w:id="635"/>
      </w:r>
      <w:r w:rsidRPr="00D920C9">
        <w:rPr>
          <w:rFonts w:asciiTheme="minorHAnsi" w:hAnsiTheme="minorHAnsi"/>
        </w:rPr>
        <w:t xml:space="preserve"> </w:t>
      </w:r>
      <w:r w:rsidR="007F7673" w:rsidRPr="00D920C9">
        <w:rPr>
          <w:rFonts w:asciiTheme="minorHAnsi" w:hAnsiTheme="minorHAnsi"/>
        </w:rPr>
        <w:t>Thus</w:t>
      </w:r>
      <w:r w:rsidR="00CE4CA9" w:rsidRPr="00D920C9">
        <w:rPr>
          <w:rFonts w:asciiTheme="minorHAnsi" w:hAnsiTheme="minorHAnsi"/>
        </w:rPr>
        <w:t>,</w:t>
      </w:r>
      <w:r w:rsidRPr="00D920C9">
        <w:rPr>
          <w:rFonts w:asciiTheme="minorHAnsi" w:hAnsiTheme="minorHAnsi"/>
        </w:rPr>
        <w:t xml:space="preserve"> the particular circumstances of a case may determine that guarantees additional to those explicitly prescribed in the pertinent human rights instruments are necessary </w:t>
      </w:r>
      <w:r w:rsidR="00CE4CA9" w:rsidRPr="00D920C9">
        <w:rPr>
          <w:rFonts w:asciiTheme="minorHAnsi" w:hAnsiTheme="minorHAnsi"/>
        </w:rPr>
        <w:t>to ensure a fair trial.</w:t>
      </w:r>
      <w:r w:rsidR="00CE4CA9" w:rsidRPr="00D920C9">
        <w:rPr>
          <w:rFonts w:asciiTheme="minorHAnsi" w:hAnsiTheme="minorHAnsi"/>
          <w:vertAlign w:val="superscript"/>
        </w:rPr>
        <w:footnoteReference w:id="636"/>
      </w:r>
    </w:p>
    <w:p w14:paraId="4AFF62A3" w14:textId="77777777" w:rsidR="009770A7" w:rsidRPr="00D920C9" w:rsidRDefault="007F7673"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w:t>
      </w:r>
      <w:r w:rsidR="000F471F" w:rsidRPr="00D920C9">
        <w:rPr>
          <w:rFonts w:asciiTheme="minorHAnsi" w:hAnsiTheme="minorHAnsi"/>
        </w:rPr>
        <w:t xml:space="preserve">he Commission </w:t>
      </w:r>
      <w:r w:rsidR="00C932A9" w:rsidRPr="00D920C9">
        <w:rPr>
          <w:rFonts w:asciiTheme="minorHAnsi" w:hAnsiTheme="minorHAnsi"/>
        </w:rPr>
        <w:t>has previously observed that “</w:t>
      </w:r>
      <w:r w:rsidR="003553C4" w:rsidRPr="00D920C9">
        <w:rPr>
          <w:rFonts w:asciiTheme="minorHAnsi" w:hAnsiTheme="minorHAnsi"/>
        </w:rPr>
        <w:t xml:space="preserve">the impossibility of accessing complaint and reparation mechanisms, </w:t>
      </w:r>
      <w:r w:rsidR="0017556C" w:rsidRPr="00D920C9">
        <w:rPr>
          <w:rFonts w:asciiTheme="minorHAnsi" w:hAnsiTheme="minorHAnsi"/>
        </w:rPr>
        <w:t>[…]</w:t>
      </w:r>
      <w:r w:rsidR="003553C4" w:rsidRPr="00D920C9">
        <w:rPr>
          <w:rFonts w:asciiTheme="minorHAnsi" w:hAnsiTheme="minorHAnsi"/>
        </w:rPr>
        <w:t xml:space="preserve"> administrative or judicial, is a factor contributing to the persistence of racism in the region,” and “the absence of judicial guarantees and the lack of sensitivity of justice system operators with respect to racial discrimination […] help perpetuate patterns of segregation and exclusion.”</w:t>
      </w:r>
      <w:r w:rsidR="003553C4" w:rsidRPr="00D920C9">
        <w:rPr>
          <w:rFonts w:asciiTheme="minorHAnsi" w:hAnsiTheme="minorHAnsi"/>
          <w:vertAlign w:val="superscript"/>
        </w:rPr>
        <w:footnoteReference w:id="637"/>
      </w:r>
      <w:r w:rsidR="0056058E" w:rsidRPr="00D920C9">
        <w:rPr>
          <w:rFonts w:asciiTheme="minorHAnsi" w:hAnsiTheme="minorHAnsi"/>
        </w:rPr>
        <w:t xml:space="preserve"> In light of this situation, the Commission has called on States to “adopt legal measures and policies to enhance their domestic laws and processes and guarantee effective access to justice for [Afro-descendants],” “taking into account material, economic, and juridical obstacles and the systematic exclusion to which persons of African descent are subjected.”</w:t>
      </w:r>
      <w:r w:rsidR="0056058E" w:rsidRPr="00D920C9">
        <w:rPr>
          <w:rFonts w:asciiTheme="minorHAnsi" w:hAnsiTheme="minorHAnsi"/>
          <w:vertAlign w:val="superscript"/>
        </w:rPr>
        <w:footnoteReference w:id="638"/>
      </w:r>
    </w:p>
    <w:p w14:paraId="4277D25C" w14:textId="7408E10E" w:rsidR="002F06BF" w:rsidRPr="00D920C9" w:rsidRDefault="00422618" w:rsidP="00E86698">
      <w:pPr>
        <w:pStyle w:val="ListParagraph"/>
        <w:numPr>
          <w:ilvl w:val="0"/>
          <w:numId w:val="9"/>
        </w:numPr>
        <w:spacing w:after="240" w:line="240" w:lineRule="auto"/>
        <w:ind w:left="547" w:hanging="547"/>
        <w:contextualSpacing w:val="0"/>
        <w:jc w:val="both"/>
        <w:rPr>
          <w:rFonts w:asciiTheme="minorHAnsi" w:eastAsia="Times New Roman" w:hAnsiTheme="minorHAnsi" w:cs="Verdana"/>
          <w:szCs w:val="20"/>
          <w:lang w:eastAsia="es-ES"/>
        </w:rPr>
      </w:pPr>
      <w:bookmarkStart w:id="247" w:name="_Ref507677071"/>
      <w:r w:rsidRPr="00D920C9">
        <w:rPr>
          <w:rFonts w:asciiTheme="minorHAnsi" w:hAnsiTheme="minorHAnsi"/>
        </w:rPr>
        <w:t xml:space="preserve">The Commission further recalls the obstacles that it has previously identified that hinder </w:t>
      </w:r>
      <w:r w:rsidR="00100080" w:rsidRPr="00D920C9">
        <w:rPr>
          <w:rFonts w:asciiTheme="minorHAnsi" w:hAnsiTheme="minorHAnsi"/>
        </w:rPr>
        <w:t>access to justice for Afro-descendants in the Americas generally in cases of police violence, including, among others: the bureaucracy of the judicial system; the lack of an immediate information system; language barriers; poor management and organization of courts; a lack of training of justice operators; the insufficiency of public defenders; the high cost of hiring a lawyer and of the judicial process</w:t>
      </w:r>
      <w:r w:rsidR="004F2B83" w:rsidRPr="00D920C9">
        <w:rPr>
          <w:rFonts w:asciiTheme="minorHAnsi" w:hAnsiTheme="minorHAnsi"/>
        </w:rPr>
        <w:t>; lack of knowledge about actions taken, and appellate procedures; and a lack of judicial remedies.</w:t>
      </w:r>
      <w:r w:rsidR="004F2B83" w:rsidRPr="00D920C9">
        <w:rPr>
          <w:rFonts w:asciiTheme="minorHAnsi" w:hAnsiTheme="minorHAnsi"/>
          <w:vertAlign w:val="superscript"/>
        </w:rPr>
        <w:footnoteReference w:id="639"/>
      </w:r>
      <w:r w:rsidR="004F2B83" w:rsidRPr="00D920C9">
        <w:rPr>
          <w:rFonts w:asciiTheme="minorHAnsi" w:hAnsiTheme="minorHAnsi"/>
        </w:rPr>
        <w:t xml:space="preserve"> The Commission calls on the State to take effective </w:t>
      </w:r>
      <w:r w:rsidR="004F2B83" w:rsidRPr="00D920C9">
        <w:rPr>
          <w:rFonts w:asciiTheme="minorHAnsi" w:hAnsiTheme="minorHAnsi"/>
        </w:rPr>
        <w:lastRenderedPageBreak/>
        <w:t>action to correct and eliminate such structural inequalities where</w:t>
      </w:r>
      <w:r w:rsidR="004F2B83" w:rsidRPr="00D920C9">
        <w:rPr>
          <w:rFonts w:asciiTheme="minorHAnsi" w:eastAsia="Times New Roman" w:hAnsiTheme="minorHAnsi" w:cs="Verdana"/>
          <w:szCs w:val="20"/>
          <w:lang w:eastAsia="es-ES"/>
        </w:rPr>
        <w:t xml:space="preserve"> they exist.</w:t>
      </w:r>
      <w:bookmarkEnd w:id="247"/>
    </w:p>
    <w:p w14:paraId="09CDE519" w14:textId="26B03EF6" w:rsidR="00F504E6" w:rsidRPr="00D920C9" w:rsidRDefault="008F624A" w:rsidP="00226E45">
      <w:pPr>
        <w:pStyle w:val="Heading3"/>
        <w:ind w:left="540" w:hanging="540"/>
      </w:pPr>
      <w:bookmarkStart w:id="248" w:name="_Toc511837847"/>
      <w:bookmarkStart w:id="249" w:name="_Toc511903020"/>
      <w:bookmarkStart w:id="250" w:name="_Toc517687949"/>
      <w:r w:rsidRPr="00D920C9">
        <w:t>Reparations</w:t>
      </w:r>
      <w:bookmarkEnd w:id="248"/>
      <w:bookmarkEnd w:id="249"/>
      <w:bookmarkEnd w:id="250"/>
      <w:r w:rsidRPr="00D920C9">
        <w:t xml:space="preserve"> </w:t>
      </w:r>
    </w:p>
    <w:p w14:paraId="3ADAA31C" w14:textId="77777777" w:rsidR="00B62090" w:rsidRPr="00D920C9" w:rsidRDefault="00430F8C" w:rsidP="00E86698">
      <w:pPr>
        <w:pStyle w:val="ListParagraph"/>
        <w:numPr>
          <w:ilvl w:val="0"/>
          <w:numId w:val="9"/>
        </w:numPr>
        <w:spacing w:after="240" w:line="240" w:lineRule="auto"/>
        <w:ind w:left="547" w:hanging="547"/>
        <w:contextualSpacing w:val="0"/>
        <w:jc w:val="both"/>
        <w:rPr>
          <w:rFonts w:asciiTheme="minorHAnsi" w:hAnsiTheme="minorHAnsi"/>
          <w:bCs/>
        </w:rPr>
      </w:pPr>
      <w:bookmarkStart w:id="251" w:name="_Ref507677091"/>
      <w:r w:rsidRPr="00D920C9">
        <w:rPr>
          <w:rFonts w:asciiTheme="minorHAnsi" w:eastAsia="Times New Roman" w:hAnsiTheme="minorHAnsi" w:cs="Verdana"/>
        </w:rPr>
        <w:t xml:space="preserve">The Commission has stated that </w:t>
      </w:r>
      <w:r w:rsidR="00B62090" w:rsidRPr="00D920C9">
        <w:rPr>
          <w:rFonts w:asciiTheme="minorHAnsi" w:hAnsiTheme="minorHAnsi"/>
        </w:rPr>
        <w:t>any violation of an international obligation that results in harm creates a duty to make adequate reparation.</w:t>
      </w:r>
      <w:bookmarkStart w:id="252" w:name="_Ref247712982"/>
      <w:r w:rsidR="00B62090" w:rsidRPr="00D920C9">
        <w:rPr>
          <w:rFonts w:asciiTheme="minorHAnsi" w:hAnsiTheme="minorHAnsi"/>
          <w:vertAlign w:val="superscript"/>
        </w:rPr>
        <w:footnoteReference w:id="640"/>
      </w:r>
      <w:bookmarkEnd w:id="252"/>
      <w:r w:rsidR="00B62090" w:rsidRPr="00D920C9">
        <w:rPr>
          <w:rFonts w:asciiTheme="minorHAnsi" w:hAnsiTheme="minorHAnsi"/>
        </w:rPr>
        <w:t xml:space="preserve"> </w:t>
      </w:r>
      <w:r w:rsidR="0088383F" w:rsidRPr="00D920C9">
        <w:rPr>
          <w:rFonts w:asciiTheme="minorHAnsi" w:hAnsiTheme="minorHAnsi"/>
        </w:rPr>
        <w:t>R</w:t>
      </w:r>
      <w:r w:rsidR="00B62090" w:rsidRPr="00D920C9">
        <w:rPr>
          <w:rFonts w:asciiTheme="minorHAnsi" w:hAnsiTheme="minorHAnsi"/>
        </w:rPr>
        <w:t xml:space="preserve">eparation is a generic term that covers the various ways a </w:t>
      </w:r>
      <w:r w:rsidR="0088383F" w:rsidRPr="00D920C9">
        <w:rPr>
          <w:rFonts w:asciiTheme="minorHAnsi" w:hAnsiTheme="minorHAnsi"/>
        </w:rPr>
        <w:t>S</w:t>
      </w:r>
      <w:r w:rsidR="00B62090" w:rsidRPr="00D920C9">
        <w:rPr>
          <w:rFonts w:asciiTheme="minorHAnsi" w:hAnsiTheme="minorHAnsi"/>
        </w:rPr>
        <w:t>tate may make amends for international responsibility it has incurred.</w:t>
      </w:r>
      <w:r w:rsidR="00B62090" w:rsidRPr="00D920C9">
        <w:rPr>
          <w:rStyle w:val="FootnoteReference"/>
          <w:rFonts w:asciiTheme="minorHAnsi" w:hAnsiTheme="minorHAnsi"/>
        </w:rPr>
        <w:footnoteReference w:id="641"/>
      </w:r>
      <w:r w:rsidR="00B62090" w:rsidRPr="00D920C9">
        <w:rPr>
          <w:rFonts w:asciiTheme="minorHAnsi" w:hAnsiTheme="minorHAnsi"/>
        </w:rPr>
        <w:t xml:space="preserve"> The Commission has recognized that States can adopt various means of reparation, involving both judicial and non-judicial mechanisms.</w:t>
      </w:r>
      <w:r w:rsidR="00B62090" w:rsidRPr="00D920C9">
        <w:rPr>
          <w:rFonts w:asciiTheme="minorHAnsi" w:hAnsiTheme="minorHAnsi"/>
          <w:vertAlign w:val="superscript"/>
        </w:rPr>
        <w:footnoteReference w:id="642"/>
      </w:r>
      <w:r w:rsidR="00B62090" w:rsidRPr="00D920C9">
        <w:rPr>
          <w:rFonts w:asciiTheme="minorHAnsi" w:hAnsiTheme="minorHAnsi"/>
        </w:rPr>
        <w:t xml:space="preserve"> </w:t>
      </w:r>
      <w:r w:rsidR="00B62090" w:rsidRPr="00D920C9">
        <w:rPr>
          <w:rFonts w:asciiTheme="minorHAnsi" w:hAnsiTheme="minorHAnsi"/>
          <w:bCs/>
        </w:rPr>
        <w:t>Under international law, remedies for victims of gross violations of international human rights law include equal and effective access to justice; access to relevant information about the violations committed and reparation mechanisms available; and adequate, effective, and prompt reparation for the harm suffered.</w:t>
      </w:r>
      <w:r w:rsidR="00B62090" w:rsidRPr="00D920C9">
        <w:rPr>
          <w:rFonts w:asciiTheme="minorHAnsi" w:hAnsiTheme="minorHAnsi"/>
          <w:vertAlign w:val="superscript"/>
        </w:rPr>
        <w:footnoteReference w:id="643"/>
      </w:r>
      <w:bookmarkEnd w:id="251"/>
    </w:p>
    <w:p w14:paraId="70B03765" w14:textId="77777777" w:rsidR="00F73FE0" w:rsidRPr="00D920C9" w:rsidRDefault="00B62090" w:rsidP="00E86698">
      <w:pPr>
        <w:pStyle w:val="ListParagraph"/>
        <w:numPr>
          <w:ilvl w:val="0"/>
          <w:numId w:val="9"/>
        </w:numPr>
        <w:spacing w:after="240" w:line="240" w:lineRule="auto"/>
        <w:ind w:left="547" w:hanging="547"/>
        <w:contextualSpacing w:val="0"/>
        <w:jc w:val="both"/>
        <w:rPr>
          <w:rFonts w:asciiTheme="minorHAnsi" w:hAnsiTheme="minorHAnsi"/>
          <w:bCs/>
          <w:color w:val="000000"/>
        </w:rPr>
      </w:pPr>
      <w:r w:rsidRPr="00D920C9">
        <w:rPr>
          <w:rFonts w:asciiTheme="minorHAnsi" w:hAnsiTheme="minorHAnsi"/>
          <w:bCs/>
        </w:rPr>
        <w:t>In order to ensure that victims of</w:t>
      </w:r>
      <w:r w:rsidRPr="00D920C9">
        <w:rPr>
          <w:rStyle w:val="Strong"/>
          <w:rFonts w:asciiTheme="minorHAnsi" w:hAnsiTheme="minorHAnsi"/>
          <w:b w:val="0"/>
          <w:color w:val="000000"/>
        </w:rPr>
        <w:t xml:space="preserve"> human rights violations </w:t>
      </w:r>
      <w:r w:rsidRPr="00D920C9">
        <w:rPr>
          <w:rFonts w:asciiTheme="minorHAnsi" w:hAnsiTheme="minorHAnsi"/>
          <w:color w:val="000000"/>
        </w:rPr>
        <w:t>have equal access to an effective judicial remedy, States should ensure that these obligations are effectively reflected in the domestic legal framework</w:t>
      </w:r>
      <w:r w:rsidR="0088383F" w:rsidRPr="00D920C9">
        <w:rPr>
          <w:rFonts w:asciiTheme="minorHAnsi" w:hAnsiTheme="minorHAnsi"/>
          <w:color w:val="000000"/>
        </w:rPr>
        <w:t>, and that effective access to these mechanisms, as well as to information about them, is guaranteed.</w:t>
      </w:r>
      <w:r w:rsidR="0088383F" w:rsidRPr="00D920C9">
        <w:rPr>
          <w:rStyle w:val="FootnoteReference"/>
          <w:rFonts w:asciiTheme="minorHAnsi" w:hAnsiTheme="minorHAnsi"/>
          <w:color w:val="000000"/>
        </w:rPr>
        <w:footnoteReference w:id="644"/>
      </w:r>
      <w:r w:rsidR="0088383F" w:rsidRPr="00D920C9">
        <w:rPr>
          <w:rFonts w:asciiTheme="minorHAnsi" w:hAnsiTheme="minorHAnsi"/>
          <w:color w:val="000000"/>
        </w:rPr>
        <w:t xml:space="preserve"> States should further ensure the dissemination of information about all available and appropriate international processes in which a person may have legal standing, without prejudice to any other domestic remedies.</w:t>
      </w:r>
      <w:r w:rsidR="0088383F" w:rsidRPr="00D920C9">
        <w:rPr>
          <w:rStyle w:val="FootnoteReference"/>
          <w:rFonts w:asciiTheme="minorHAnsi" w:hAnsiTheme="minorHAnsi"/>
          <w:color w:val="000000"/>
        </w:rPr>
        <w:footnoteReference w:id="645"/>
      </w:r>
      <w:r w:rsidRPr="00D920C9">
        <w:rPr>
          <w:rFonts w:asciiTheme="minorHAnsi" w:hAnsiTheme="minorHAnsi"/>
          <w:color w:val="000000"/>
        </w:rPr>
        <w:t xml:space="preserve"> </w:t>
      </w:r>
    </w:p>
    <w:p w14:paraId="334A0FCF" w14:textId="77777777" w:rsidR="00F73FE0" w:rsidRPr="00D920C9" w:rsidRDefault="00B62090"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w:t>
      </w:r>
      <w:r w:rsidR="0017556C" w:rsidRPr="00D920C9">
        <w:rPr>
          <w:rFonts w:asciiTheme="minorHAnsi" w:hAnsiTheme="minorHAnsi"/>
        </w:rPr>
        <w:t>I</w:t>
      </w:r>
      <w:r w:rsidRPr="00D920C9">
        <w:rPr>
          <w:rFonts w:asciiTheme="minorHAnsi" w:hAnsiTheme="minorHAnsi"/>
        </w:rPr>
        <w:t>ntegral reparation” (</w:t>
      </w:r>
      <w:proofErr w:type="spellStart"/>
      <w:r w:rsidRPr="00D920C9">
        <w:rPr>
          <w:rFonts w:asciiTheme="minorHAnsi" w:hAnsiTheme="minorHAnsi"/>
          <w:i/>
        </w:rPr>
        <w:t>restitutio</w:t>
      </w:r>
      <w:proofErr w:type="spellEnd"/>
      <w:r w:rsidRPr="00D920C9">
        <w:rPr>
          <w:rFonts w:asciiTheme="minorHAnsi" w:hAnsiTheme="minorHAnsi"/>
          <w:i/>
        </w:rPr>
        <w:t xml:space="preserve"> in </w:t>
      </w:r>
      <w:proofErr w:type="spellStart"/>
      <w:r w:rsidRPr="00D920C9">
        <w:rPr>
          <w:rFonts w:asciiTheme="minorHAnsi" w:hAnsiTheme="minorHAnsi"/>
          <w:i/>
        </w:rPr>
        <w:t>integrum</w:t>
      </w:r>
      <w:proofErr w:type="spellEnd"/>
      <w:r w:rsidRPr="00D920C9">
        <w:rPr>
          <w:rFonts w:asciiTheme="minorHAnsi" w:hAnsiTheme="minorHAnsi"/>
        </w:rPr>
        <w:t xml:space="preserve">) entails the re-establishment of the </w:t>
      </w:r>
      <w:r w:rsidR="0017556C" w:rsidRPr="00D920C9">
        <w:rPr>
          <w:rFonts w:asciiTheme="minorHAnsi" w:hAnsiTheme="minorHAnsi"/>
        </w:rPr>
        <w:t>prior</w:t>
      </w:r>
      <w:r w:rsidRPr="00D920C9">
        <w:rPr>
          <w:rFonts w:asciiTheme="minorHAnsi" w:hAnsiTheme="minorHAnsi"/>
        </w:rPr>
        <w:t xml:space="preserve"> situation and the elimination of the effects produced by the violation, as well as the payment of compensation for the damage caused</w:t>
      </w:r>
      <w:r w:rsidR="00F73FE0" w:rsidRPr="00D920C9">
        <w:rPr>
          <w:rFonts w:asciiTheme="minorHAnsi" w:hAnsiTheme="minorHAnsi"/>
        </w:rPr>
        <w:t>;</w:t>
      </w:r>
      <w:r w:rsidRPr="00D920C9">
        <w:rPr>
          <w:rStyle w:val="FootnoteReference"/>
          <w:rFonts w:asciiTheme="minorHAnsi" w:hAnsiTheme="minorHAnsi"/>
        </w:rPr>
        <w:footnoteReference w:id="646"/>
      </w:r>
      <w:r w:rsidR="00F73FE0" w:rsidRPr="00D920C9">
        <w:rPr>
          <w:rFonts w:asciiTheme="minorHAnsi" w:hAnsiTheme="minorHAnsi"/>
        </w:rPr>
        <w:t xml:space="preserve"> reparation should</w:t>
      </w:r>
      <w:r w:rsidR="0017556C" w:rsidRPr="00D920C9">
        <w:rPr>
          <w:rFonts w:asciiTheme="minorHAnsi" w:hAnsiTheme="minorHAnsi"/>
        </w:rPr>
        <w:t xml:space="preserve"> thus</w:t>
      </w:r>
      <w:r w:rsidR="00F73FE0" w:rsidRPr="00D920C9">
        <w:rPr>
          <w:rFonts w:asciiTheme="minorHAnsi" w:hAnsiTheme="minorHAnsi"/>
        </w:rPr>
        <w:t xml:space="preserve"> be proportional to the gravity of the violations and the harm suffered.</w:t>
      </w:r>
      <w:r w:rsidR="00F73FE0" w:rsidRPr="00D920C9">
        <w:rPr>
          <w:rStyle w:val="FootnoteReference"/>
          <w:rFonts w:asciiTheme="minorHAnsi" w:hAnsiTheme="minorHAnsi"/>
        </w:rPr>
        <w:footnoteReference w:id="647"/>
      </w:r>
      <w:r w:rsidRPr="00D920C9">
        <w:rPr>
          <w:rFonts w:asciiTheme="minorHAnsi" w:hAnsiTheme="minorHAnsi"/>
        </w:rPr>
        <w:t xml:space="preserve"> </w:t>
      </w:r>
      <w:r w:rsidR="0017556C" w:rsidRPr="00D920C9">
        <w:rPr>
          <w:rFonts w:asciiTheme="minorHAnsi" w:hAnsiTheme="minorHAnsi"/>
        </w:rPr>
        <w:t>I</w:t>
      </w:r>
      <w:r w:rsidR="00F73FE0" w:rsidRPr="00D920C9">
        <w:rPr>
          <w:rFonts w:asciiTheme="minorHAnsi" w:hAnsiTheme="minorHAnsi"/>
        </w:rPr>
        <w:t xml:space="preserve">nter-American </w:t>
      </w:r>
      <w:r w:rsidR="0017556C" w:rsidRPr="00D920C9">
        <w:rPr>
          <w:rFonts w:asciiTheme="minorHAnsi" w:hAnsiTheme="minorHAnsi"/>
        </w:rPr>
        <w:t>case law</w:t>
      </w:r>
      <w:r w:rsidR="00F73FE0" w:rsidRPr="00D920C9">
        <w:rPr>
          <w:rFonts w:asciiTheme="minorHAnsi" w:hAnsiTheme="minorHAnsi"/>
        </w:rPr>
        <w:t xml:space="preserve"> has </w:t>
      </w:r>
      <w:r w:rsidR="00F73FE0" w:rsidRPr="00D920C9">
        <w:rPr>
          <w:rFonts w:asciiTheme="minorHAnsi" w:hAnsiTheme="minorHAnsi"/>
        </w:rPr>
        <w:lastRenderedPageBreak/>
        <w:t>established that victims of human rights violations are entitled to adequate compensation for the harm caused, which must materialize in the form of individual measures calculated to constitute restitution, compensation and rehabilitation for the victim, as well as general measures of satisfaction and guarantees of non-repetition.</w:t>
      </w:r>
      <w:r w:rsidR="00F73FE0" w:rsidRPr="00D920C9">
        <w:rPr>
          <w:rFonts w:asciiTheme="minorHAnsi" w:hAnsiTheme="minorHAnsi"/>
          <w:vertAlign w:val="superscript"/>
        </w:rPr>
        <w:footnoteReference w:id="648"/>
      </w:r>
      <w:r w:rsidR="00F73FE0" w:rsidRPr="00D920C9">
        <w:rPr>
          <w:rFonts w:asciiTheme="minorHAnsi" w:hAnsiTheme="minorHAnsi"/>
        </w:rPr>
        <w:t xml:space="preserve"> In all cases, the nature and amount of the reparations ordered depend on the characteristics of the violation and on the pecuniary and non-pecuniary damage caused; </w:t>
      </w:r>
      <w:r w:rsidR="005F220B" w:rsidRPr="00D920C9">
        <w:rPr>
          <w:rFonts w:asciiTheme="minorHAnsi" w:hAnsiTheme="minorHAnsi"/>
        </w:rPr>
        <w:t>one or more measures can repair a specific damage, without this being considered double reparation.</w:t>
      </w:r>
      <w:r w:rsidR="005F220B" w:rsidRPr="00D920C9">
        <w:rPr>
          <w:rFonts w:asciiTheme="minorHAnsi" w:hAnsiTheme="minorHAnsi"/>
          <w:vertAlign w:val="superscript"/>
        </w:rPr>
        <w:footnoteReference w:id="649"/>
      </w:r>
    </w:p>
    <w:p w14:paraId="3B4D4441" w14:textId="77777777" w:rsidR="00B62090" w:rsidRPr="00D920C9" w:rsidRDefault="00B62090"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A State shall provide reparation to victims for acts or omissions which can be attributed to the State;</w:t>
      </w:r>
      <w:r w:rsidRPr="00D920C9">
        <w:rPr>
          <w:rFonts w:asciiTheme="minorHAnsi" w:hAnsiTheme="minorHAnsi"/>
          <w:vertAlign w:val="superscript"/>
        </w:rPr>
        <w:footnoteReference w:id="650"/>
      </w:r>
      <w:r w:rsidRPr="00D920C9">
        <w:rPr>
          <w:rFonts w:asciiTheme="minorHAnsi" w:hAnsiTheme="minorHAnsi"/>
        </w:rPr>
        <w:t xml:space="preserve"> States should further endeavor to establish national programs for reparation and other assistance to victims in the event that the parties liable for the harm suffered are unable or unwilling to meet their obligations.</w:t>
      </w:r>
      <w:r w:rsidRPr="00D920C9">
        <w:rPr>
          <w:rFonts w:asciiTheme="minorHAnsi" w:hAnsiTheme="minorHAnsi"/>
          <w:vertAlign w:val="superscript"/>
        </w:rPr>
        <w:footnoteReference w:id="651"/>
      </w:r>
      <w:r w:rsidRPr="00D920C9">
        <w:rPr>
          <w:rFonts w:asciiTheme="minorHAnsi" w:hAnsiTheme="minorHAnsi"/>
        </w:rPr>
        <w:t xml:space="preserve"> </w:t>
      </w:r>
      <w:r w:rsidR="007F7673" w:rsidRPr="00D920C9">
        <w:rPr>
          <w:rFonts w:asciiTheme="minorHAnsi" w:hAnsiTheme="minorHAnsi"/>
        </w:rPr>
        <w:t>T</w:t>
      </w:r>
      <w:r w:rsidR="005F220B" w:rsidRPr="00D920C9">
        <w:rPr>
          <w:rFonts w:asciiTheme="minorHAnsi" w:hAnsiTheme="minorHAnsi"/>
        </w:rPr>
        <w:t>he Inter-American Court has held that “in cases of human rights violations, the State has the duty to provide reparations. This duty implies that while the victims or their next of kin should have ample opportunity to seek just compensation under domestic law, the State’s obligation cannot rest exclusively on their procedural initiative or on the submission of probative elements by private individuals.”</w:t>
      </w:r>
      <w:r w:rsidR="005F220B" w:rsidRPr="00D920C9">
        <w:rPr>
          <w:rFonts w:asciiTheme="minorHAnsi" w:hAnsiTheme="minorHAnsi"/>
          <w:vertAlign w:val="superscript"/>
        </w:rPr>
        <w:footnoteReference w:id="652"/>
      </w:r>
    </w:p>
    <w:p w14:paraId="1E40331A" w14:textId="77777777" w:rsidR="00B62090" w:rsidRPr="00D920C9" w:rsidRDefault="00B62090" w:rsidP="00E86698">
      <w:pPr>
        <w:pStyle w:val="ListParagraph"/>
        <w:numPr>
          <w:ilvl w:val="0"/>
          <w:numId w:val="9"/>
        </w:numPr>
        <w:spacing w:after="240" w:line="240" w:lineRule="auto"/>
        <w:ind w:left="547" w:hanging="547"/>
        <w:contextualSpacing w:val="0"/>
        <w:jc w:val="both"/>
        <w:rPr>
          <w:rFonts w:asciiTheme="minorHAnsi" w:hAnsiTheme="minorHAnsi"/>
          <w:bCs/>
          <w:color w:val="000000"/>
        </w:rPr>
      </w:pPr>
      <w:r w:rsidRPr="00D920C9">
        <w:rPr>
          <w:rFonts w:asciiTheme="minorHAnsi" w:hAnsiTheme="minorHAnsi"/>
        </w:rPr>
        <w:t>Many of the general principles of reparation and restitution already applicable in common law countries apply to the reparation of human rights violations as well. For example, a State shall provide reparation to victims for acts or omissions which can be attributed to the State;</w:t>
      </w:r>
      <w:r w:rsidRPr="00D920C9">
        <w:rPr>
          <w:rFonts w:asciiTheme="minorHAnsi" w:hAnsiTheme="minorHAnsi"/>
          <w:vertAlign w:val="superscript"/>
        </w:rPr>
        <w:footnoteReference w:id="653"/>
      </w:r>
      <w:r w:rsidRPr="00D920C9">
        <w:rPr>
          <w:rFonts w:asciiTheme="minorHAnsi" w:hAnsiTheme="minorHAnsi"/>
        </w:rPr>
        <w:t xml:space="preserve"> States should further endeavor to establish national programs for reparation and other assistance to victims where the parties liable for the harm are unable or unwilling to meet their obligations.</w:t>
      </w:r>
      <w:r w:rsidRPr="00D920C9">
        <w:rPr>
          <w:rFonts w:asciiTheme="minorHAnsi" w:hAnsiTheme="minorHAnsi"/>
          <w:vertAlign w:val="superscript"/>
        </w:rPr>
        <w:footnoteReference w:id="654"/>
      </w:r>
      <w:r w:rsidRPr="00D920C9">
        <w:rPr>
          <w:rFonts w:asciiTheme="minorHAnsi" w:hAnsiTheme="minorHAnsi"/>
        </w:rPr>
        <w:t xml:space="preserve"> Reparation should be proportional to the gravity of the violations</w:t>
      </w:r>
      <w:r w:rsidRPr="00D920C9">
        <w:rPr>
          <w:rFonts w:asciiTheme="minorHAnsi" w:hAnsiTheme="minorHAnsi"/>
          <w:color w:val="000000"/>
        </w:rPr>
        <w:t xml:space="preserve"> and the harm suffered.</w:t>
      </w:r>
      <w:r w:rsidRPr="00D920C9">
        <w:rPr>
          <w:rStyle w:val="FootnoteReference"/>
          <w:rFonts w:asciiTheme="minorHAnsi" w:hAnsiTheme="minorHAnsi"/>
          <w:color w:val="000000"/>
        </w:rPr>
        <w:footnoteReference w:id="655"/>
      </w:r>
      <w:r w:rsidRPr="00D920C9">
        <w:rPr>
          <w:rFonts w:asciiTheme="minorHAnsi" w:hAnsiTheme="minorHAnsi"/>
          <w:color w:val="000000"/>
        </w:rPr>
        <w:t xml:space="preserve"> </w:t>
      </w:r>
      <w:r w:rsidRPr="00D920C9">
        <w:rPr>
          <w:rFonts w:asciiTheme="minorHAnsi" w:hAnsiTheme="minorHAnsi"/>
        </w:rPr>
        <w:t xml:space="preserve">In this </w:t>
      </w:r>
      <w:r w:rsidR="00260121" w:rsidRPr="00D920C9">
        <w:rPr>
          <w:rFonts w:asciiTheme="minorHAnsi" w:hAnsiTheme="minorHAnsi"/>
        </w:rPr>
        <w:t>sense</w:t>
      </w:r>
      <w:r w:rsidRPr="00D920C9">
        <w:rPr>
          <w:rFonts w:asciiTheme="minorHAnsi" w:hAnsiTheme="minorHAnsi"/>
        </w:rPr>
        <w:t xml:space="preserve">, the nature and amount of the reparations ordered depend on the characteristics of the violation and on the pecuniary and non-pecuniary </w:t>
      </w:r>
      <w:r w:rsidRPr="00D920C9">
        <w:rPr>
          <w:rFonts w:asciiTheme="minorHAnsi" w:hAnsiTheme="minorHAnsi"/>
        </w:rPr>
        <w:lastRenderedPageBreak/>
        <w:t>damage caused; one or more measures can repair a specific damage, without this being considered double reparation.</w:t>
      </w:r>
      <w:r w:rsidRPr="00D920C9">
        <w:rPr>
          <w:rStyle w:val="FootnoteReference"/>
          <w:rFonts w:asciiTheme="minorHAnsi" w:hAnsiTheme="minorHAnsi"/>
        </w:rPr>
        <w:footnoteReference w:id="656"/>
      </w:r>
      <w:r w:rsidRPr="00D920C9">
        <w:rPr>
          <w:rFonts w:asciiTheme="minorHAnsi" w:hAnsiTheme="minorHAnsi"/>
        </w:rPr>
        <w:t xml:space="preserve"> </w:t>
      </w:r>
      <w:r w:rsidRPr="00D920C9">
        <w:rPr>
          <w:rFonts w:asciiTheme="minorHAnsi" w:hAnsiTheme="minorHAnsi"/>
          <w:color w:val="000000"/>
        </w:rPr>
        <w:t>In cases where a person, a legal person, or other entity is found liable for reparation to a victim, such party should provide reparation to the victim or compensate the State if the State has already provided reparation to the victim.</w:t>
      </w:r>
      <w:r w:rsidRPr="00D920C9">
        <w:rPr>
          <w:rStyle w:val="FootnoteReference"/>
          <w:rFonts w:asciiTheme="minorHAnsi" w:hAnsiTheme="minorHAnsi"/>
          <w:color w:val="000000"/>
        </w:rPr>
        <w:footnoteReference w:id="657"/>
      </w:r>
      <w:r w:rsidRPr="00D920C9">
        <w:rPr>
          <w:rFonts w:asciiTheme="minorHAnsi" w:hAnsiTheme="minorHAnsi"/>
          <w:color w:val="000000"/>
        </w:rPr>
        <w:t xml:space="preserve"> States shall, with respect to claims by victims, enforce domestic judgements for reparation against individuals or entities liable for the harm suffered and endeavor to enforce valid foreign legal judgements for reparation in accordance with domestic law and international legal obligations.</w:t>
      </w:r>
      <w:r w:rsidRPr="00D920C9">
        <w:rPr>
          <w:rStyle w:val="FootnoteReference"/>
          <w:rFonts w:asciiTheme="minorHAnsi" w:hAnsiTheme="minorHAnsi"/>
          <w:color w:val="000000"/>
        </w:rPr>
        <w:footnoteReference w:id="658"/>
      </w:r>
    </w:p>
    <w:p w14:paraId="1FF53CD8" w14:textId="08292E78" w:rsidR="00B62090" w:rsidRPr="00D920C9" w:rsidRDefault="00B62090" w:rsidP="00E86698">
      <w:pPr>
        <w:pStyle w:val="ListParagraph"/>
        <w:numPr>
          <w:ilvl w:val="0"/>
          <w:numId w:val="9"/>
        </w:numPr>
        <w:spacing w:after="240" w:line="240" w:lineRule="auto"/>
        <w:ind w:left="547" w:hanging="547"/>
        <w:contextualSpacing w:val="0"/>
        <w:jc w:val="both"/>
        <w:rPr>
          <w:rFonts w:asciiTheme="minorHAnsi" w:hAnsiTheme="minorHAnsi"/>
        </w:rPr>
      </w:pPr>
      <w:bookmarkStart w:id="253" w:name="_Ref507677509"/>
      <w:r w:rsidRPr="00D920C9">
        <w:rPr>
          <w:rFonts w:asciiTheme="minorHAnsi" w:hAnsiTheme="minorHAnsi"/>
        </w:rPr>
        <w:t xml:space="preserve">However, in </w:t>
      </w:r>
      <w:r w:rsidR="005F220B" w:rsidRPr="00D920C9">
        <w:rPr>
          <w:rFonts w:asciiTheme="minorHAnsi" w:hAnsiTheme="minorHAnsi"/>
        </w:rPr>
        <w:t>a</w:t>
      </w:r>
      <w:r w:rsidRPr="00D920C9">
        <w:rPr>
          <w:rFonts w:asciiTheme="minorHAnsi" w:hAnsiTheme="minorHAnsi"/>
        </w:rPr>
        <w:t xml:space="preserve"> context of structural discrimination</w:t>
      </w:r>
      <w:r w:rsidR="005F220B" w:rsidRPr="00D920C9">
        <w:rPr>
          <w:rFonts w:asciiTheme="minorHAnsi" w:hAnsiTheme="minorHAnsi"/>
        </w:rPr>
        <w:t>, the Commission has previously endorsed the position that “reparations must be designed to change [a structural] situation, so that their effect is not only of restitution, but also of rectification.”</w:t>
      </w:r>
      <w:r w:rsidR="005F220B" w:rsidRPr="00D920C9">
        <w:rPr>
          <w:rStyle w:val="FootnoteReference"/>
          <w:rFonts w:asciiTheme="minorHAnsi" w:hAnsiTheme="minorHAnsi"/>
        </w:rPr>
        <w:footnoteReference w:id="659"/>
      </w:r>
      <w:r w:rsidRPr="00D920C9">
        <w:rPr>
          <w:rFonts w:asciiTheme="minorHAnsi" w:hAnsiTheme="minorHAnsi"/>
        </w:rPr>
        <w:t xml:space="preserve"> </w:t>
      </w:r>
      <w:r w:rsidR="00260121" w:rsidRPr="00D920C9">
        <w:rPr>
          <w:rFonts w:asciiTheme="minorHAnsi" w:hAnsiTheme="minorHAnsi"/>
        </w:rPr>
        <w:t>Thus</w:t>
      </w:r>
      <w:r w:rsidRPr="00D920C9">
        <w:rPr>
          <w:rFonts w:asciiTheme="minorHAnsi" w:hAnsiTheme="minorHAnsi"/>
        </w:rPr>
        <w:t xml:space="preserve">, </w:t>
      </w:r>
      <w:r w:rsidR="002F48E5" w:rsidRPr="00D920C9">
        <w:rPr>
          <w:rFonts w:asciiTheme="minorHAnsi" w:hAnsiTheme="minorHAnsi"/>
        </w:rPr>
        <w:t>“</w:t>
      </w:r>
      <w:r w:rsidRPr="00D920C9">
        <w:rPr>
          <w:rFonts w:asciiTheme="minorHAnsi" w:hAnsiTheme="minorHAnsi"/>
        </w:rPr>
        <w:t>re-establishment of the same structural context of violence and discrimination</w:t>
      </w:r>
      <w:r w:rsidR="002F48E5" w:rsidRPr="00D920C9">
        <w:rPr>
          <w:rFonts w:asciiTheme="minorHAnsi" w:hAnsiTheme="minorHAnsi"/>
        </w:rPr>
        <w:t xml:space="preserve"> [that existed previously]</w:t>
      </w:r>
      <w:r w:rsidRPr="00D920C9">
        <w:rPr>
          <w:rFonts w:asciiTheme="minorHAnsi" w:hAnsiTheme="minorHAnsi"/>
        </w:rPr>
        <w:t xml:space="preserve"> is not acceptable.</w:t>
      </w:r>
      <w:r w:rsidRPr="00D920C9">
        <w:rPr>
          <w:rFonts w:asciiTheme="minorHAnsi" w:hAnsiTheme="minorHAnsi"/>
          <w:vertAlign w:val="superscript"/>
        </w:rPr>
        <w:footnoteReference w:id="660"/>
      </w:r>
      <w:r w:rsidR="002F48E5" w:rsidRPr="00D920C9">
        <w:rPr>
          <w:rFonts w:asciiTheme="minorHAnsi" w:hAnsiTheme="minorHAnsi"/>
        </w:rPr>
        <w:t xml:space="preserve"> This obligation can also be articulated as part of the State obligation of due diligence.</w:t>
      </w:r>
      <w:r w:rsidR="002F48E5" w:rsidRPr="00D920C9">
        <w:rPr>
          <w:rFonts w:asciiTheme="minorHAnsi" w:hAnsiTheme="minorHAnsi"/>
          <w:vertAlign w:val="superscript"/>
        </w:rPr>
        <w:footnoteReference w:id="661"/>
      </w:r>
      <w:r w:rsidR="00CC395E" w:rsidRPr="00D920C9">
        <w:rPr>
          <w:rFonts w:asciiTheme="minorHAnsi" w:hAnsiTheme="minorHAnsi"/>
        </w:rPr>
        <w:t xml:space="preserve"> The Commission has considered that a structural situation of discrimination against Afro-descendants exists in the region, and that this context of structural violence contributes to a situation of impunity and lack of reparations for police killings in the </w:t>
      </w:r>
      <w:r w:rsidR="00352483" w:rsidRPr="00D920C9">
        <w:rPr>
          <w:rFonts w:asciiTheme="minorHAnsi" w:hAnsiTheme="minorHAnsi"/>
        </w:rPr>
        <w:t>U.S</w:t>
      </w:r>
      <w:r w:rsidR="00CC395E" w:rsidRPr="00D920C9">
        <w:rPr>
          <w:rFonts w:asciiTheme="minorHAnsi" w:hAnsiTheme="minorHAnsi"/>
        </w:rPr>
        <w:t>.</w:t>
      </w:r>
      <w:r w:rsidR="00CC395E" w:rsidRPr="00D920C9">
        <w:rPr>
          <w:rFonts w:asciiTheme="minorHAnsi" w:hAnsiTheme="minorHAnsi"/>
          <w:vertAlign w:val="superscript"/>
        </w:rPr>
        <w:footnoteReference w:id="662"/>
      </w:r>
      <w:r w:rsidR="000C369C" w:rsidRPr="00D920C9">
        <w:rPr>
          <w:rFonts w:asciiTheme="minorHAnsi" w:hAnsiTheme="minorHAnsi"/>
        </w:rPr>
        <w:t xml:space="preserve"> </w:t>
      </w:r>
      <w:r w:rsidR="00CC395E" w:rsidRPr="00D920C9">
        <w:rPr>
          <w:rFonts w:asciiTheme="minorHAnsi" w:hAnsiTheme="minorHAnsi"/>
        </w:rPr>
        <w:t xml:space="preserve">Given this situation, the Commission reiterates that the </w:t>
      </w:r>
      <w:r w:rsidR="00904A46" w:rsidRPr="00D920C9">
        <w:rPr>
          <w:rFonts w:asciiTheme="minorHAnsi" w:hAnsiTheme="minorHAnsi"/>
        </w:rPr>
        <w:t>U.S.</w:t>
      </w:r>
      <w:r w:rsidR="00CC395E" w:rsidRPr="00D920C9">
        <w:rPr>
          <w:rFonts w:asciiTheme="minorHAnsi" w:hAnsiTheme="minorHAnsi"/>
        </w:rPr>
        <w:t xml:space="preserve"> must take urgent steps to remedy the situation of historic, structural discrimination against African Americans in order to transform </w:t>
      </w:r>
      <w:r w:rsidR="00651075" w:rsidRPr="00D920C9">
        <w:rPr>
          <w:rFonts w:asciiTheme="minorHAnsi" w:hAnsiTheme="minorHAnsi"/>
        </w:rPr>
        <w:t>the underlying situation of inequality in which the concrete violations discussed in this report take place.</w:t>
      </w:r>
      <w:bookmarkEnd w:id="253"/>
    </w:p>
    <w:p w14:paraId="1E2C007D" w14:textId="77777777" w:rsidR="00B62090" w:rsidRPr="00D920C9" w:rsidRDefault="00B62090"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i/>
          <w:iCs/>
        </w:rPr>
        <w:t>Restitution</w:t>
      </w:r>
      <w:r w:rsidRPr="00D920C9">
        <w:rPr>
          <w:rFonts w:asciiTheme="minorHAnsi" w:hAnsiTheme="minorHAnsi"/>
        </w:rPr>
        <w:t> should, whenever possible, restore the victim to the original situation before the human rights violations occurred. Restitution includes, as appropriate: restoration of liberty, enjoyment of human rights, identity, family life and citizenship, return to one’s place of residence, restoration of employment</w:t>
      </w:r>
      <w:r w:rsidR="00651075" w:rsidRPr="00D920C9">
        <w:rPr>
          <w:rFonts w:asciiTheme="minorHAnsi" w:hAnsiTheme="minorHAnsi"/>
        </w:rPr>
        <w:t>,</w:t>
      </w:r>
      <w:r w:rsidRPr="00D920C9">
        <w:rPr>
          <w:rFonts w:asciiTheme="minorHAnsi" w:hAnsiTheme="minorHAnsi"/>
        </w:rPr>
        <w:t xml:space="preserve"> and return of property.</w:t>
      </w:r>
      <w:r w:rsidRPr="00D920C9">
        <w:rPr>
          <w:rFonts w:asciiTheme="minorHAnsi" w:hAnsiTheme="minorHAnsi"/>
          <w:vertAlign w:val="superscript"/>
        </w:rPr>
        <w:footnoteReference w:id="663"/>
      </w:r>
    </w:p>
    <w:p w14:paraId="191B82F8" w14:textId="77777777" w:rsidR="00B62090" w:rsidRPr="00D920C9" w:rsidRDefault="00B62090" w:rsidP="00E86698">
      <w:pPr>
        <w:pStyle w:val="ListParagraph"/>
        <w:numPr>
          <w:ilvl w:val="0"/>
          <w:numId w:val="9"/>
        </w:numPr>
        <w:spacing w:after="240" w:line="240" w:lineRule="auto"/>
        <w:ind w:left="547" w:hanging="547"/>
        <w:contextualSpacing w:val="0"/>
        <w:jc w:val="both"/>
        <w:rPr>
          <w:rFonts w:asciiTheme="minorHAnsi" w:hAnsiTheme="minorHAnsi"/>
          <w:bCs/>
          <w:color w:val="000000"/>
        </w:rPr>
      </w:pPr>
      <w:r w:rsidRPr="00D920C9">
        <w:rPr>
          <w:rFonts w:asciiTheme="minorHAnsi" w:hAnsiTheme="minorHAnsi"/>
          <w:i/>
          <w:iCs/>
        </w:rPr>
        <w:lastRenderedPageBreak/>
        <w:t>Compensation</w:t>
      </w:r>
      <w:r w:rsidRPr="00D920C9">
        <w:rPr>
          <w:rFonts w:asciiTheme="minorHAnsi" w:hAnsiTheme="minorHAnsi"/>
        </w:rPr>
        <w:t> should be</w:t>
      </w:r>
      <w:r w:rsidRPr="00D920C9">
        <w:rPr>
          <w:rFonts w:asciiTheme="minorHAnsi" w:hAnsiTheme="minorHAnsi"/>
          <w:color w:val="000000"/>
        </w:rPr>
        <w:t xml:space="preserve"> provided for any economically assessable damage, as appropriate and proportional to the gravity of the violation and the circumstances of each case, </w:t>
      </w:r>
      <w:r w:rsidR="00651075" w:rsidRPr="00D920C9">
        <w:rPr>
          <w:rFonts w:asciiTheme="minorHAnsi" w:hAnsiTheme="minorHAnsi"/>
          <w:color w:val="000000"/>
        </w:rPr>
        <w:t>including</w:t>
      </w:r>
      <w:r w:rsidRPr="00D920C9">
        <w:rPr>
          <w:rFonts w:asciiTheme="minorHAnsi" w:hAnsiTheme="minorHAnsi"/>
          <w:color w:val="000000"/>
        </w:rPr>
        <w:t>:</w:t>
      </w:r>
    </w:p>
    <w:p w14:paraId="4F7C297A" w14:textId="77777777" w:rsidR="00B62090" w:rsidRPr="00D920C9" w:rsidRDefault="00451A5D" w:rsidP="006E3350">
      <w:pPr>
        <w:pStyle w:val="NormalWeb"/>
        <w:numPr>
          <w:ilvl w:val="1"/>
          <w:numId w:val="9"/>
        </w:numPr>
        <w:shd w:val="clear" w:color="auto" w:fill="FFFFFF"/>
        <w:spacing w:before="0" w:beforeAutospacing="0" w:after="120" w:afterAutospacing="0"/>
        <w:ind w:left="1094" w:hanging="547"/>
        <w:jc w:val="both"/>
        <w:rPr>
          <w:rFonts w:asciiTheme="minorHAnsi" w:hAnsiTheme="minorHAnsi"/>
          <w:color w:val="000000"/>
          <w:sz w:val="22"/>
          <w:lang w:val="en-US"/>
        </w:rPr>
      </w:pPr>
      <w:r w:rsidRPr="00D920C9">
        <w:rPr>
          <w:rFonts w:asciiTheme="minorHAnsi" w:hAnsiTheme="minorHAnsi"/>
          <w:color w:val="000000"/>
          <w:sz w:val="22"/>
          <w:lang w:val="en-US"/>
        </w:rPr>
        <w:t>Pecuniary</w:t>
      </w:r>
      <w:r w:rsidR="00B62090" w:rsidRPr="00D920C9">
        <w:rPr>
          <w:rFonts w:asciiTheme="minorHAnsi" w:hAnsiTheme="minorHAnsi"/>
          <w:color w:val="000000"/>
          <w:sz w:val="22"/>
          <w:lang w:val="en-US"/>
        </w:rPr>
        <w:t xml:space="preserve"> damages </w:t>
      </w:r>
      <w:r w:rsidRPr="00D920C9">
        <w:rPr>
          <w:rFonts w:asciiTheme="minorHAnsi" w:hAnsiTheme="minorHAnsi"/>
          <w:color w:val="000000"/>
          <w:sz w:val="22"/>
          <w:lang w:val="en-US"/>
        </w:rPr>
        <w:t>(including consequential damages and loss of earnings)</w:t>
      </w:r>
      <w:r w:rsidR="00B62090" w:rsidRPr="00D920C9">
        <w:rPr>
          <w:rFonts w:asciiTheme="minorHAnsi" w:hAnsiTheme="minorHAnsi"/>
          <w:color w:val="000000"/>
          <w:sz w:val="22"/>
          <w:lang w:val="en-US"/>
        </w:rPr>
        <w:t>;</w:t>
      </w:r>
    </w:p>
    <w:p w14:paraId="69500ECD" w14:textId="77777777" w:rsidR="00B62090" w:rsidRPr="00D920C9" w:rsidRDefault="007A1E26" w:rsidP="006E3350">
      <w:pPr>
        <w:pStyle w:val="NormalWeb"/>
        <w:numPr>
          <w:ilvl w:val="1"/>
          <w:numId w:val="9"/>
        </w:numPr>
        <w:shd w:val="clear" w:color="auto" w:fill="FFFFFF"/>
        <w:spacing w:before="0" w:beforeAutospacing="0" w:after="120" w:afterAutospacing="0"/>
        <w:ind w:left="1094" w:hanging="547"/>
        <w:jc w:val="both"/>
        <w:rPr>
          <w:rFonts w:asciiTheme="minorHAnsi" w:hAnsiTheme="minorHAnsi"/>
          <w:color w:val="000000"/>
          <w:sz w:val="22"/>
          <w:lang w:val="en-US"/>
        </w:rPr>
      </w:pPr>
      <w:r w:rsidRPr="00D920C9">
        <w:rPr>
          <w:rFonts w:asciiTheme="minorHAnsi" w:hAnsiTheme="minorHAnsi"/>
          <w:color w:val="000000"/>
          <w:sz w:val="22"/>
          <w:lang w:val="en-US"/>
        </w:rPr>
        <w:t>Non-pecuniary damages (including m</w:t>
      </w:r>
      <w:r w:rsidR="00B62090" w:rsidRPr="00D920C9">
        <w:rPr>
          <w:rFonts w:asciiTheme="minorHAnsi" w:hAnsiTheme="minorHAnsi"/>
          <w:color w:val="000000"/>
          <w:sz w:val="22"/>
          <w:lang w:val="en-US"/>
        </w:rPr>
        <w:t>oral damage</w:t>
      </w:r>
      <w:r w:rsidRPr="00D920C9">
        <w:rPr>
          <w:rFonts w:asciiTheme="minorHAnsi" w:hAnsiTheme="minorHAnsi"/>
          <w:color w:val="000000"/>
          <w:sz w:val="22"/>
          <w:lang w:val="en-US"/>
        </w:rPr>
        <w:t>s)</w:t>
      </w:r>
      <w:r w:rsidR="00B62090" w:rsidRPr="00D920C9">
        <w:rPr>
          <w:rFonts w:asciiTheme="minorHAnsi" w:hAnsiTheme="minorHAnsi"/>
          <w:color w:val="000000"/>
          <w:sz w:val="22"/>
          <w:lang w:val="en-US"/>
        </w:rPr>
        <w:t>;</w:t>
      </w:r>
      <w:r w:rsidRPr="00D920C9">
        <w:rPr>
          <w:rFonts w:asciiTheme="minorHAnsi" w:hAnsiTheme="minorHAnsi"/>
          <w:color w:val="000000"/>
          <w:sz w:val="22"/>
          <w:lang w:val="en-US"/>
        </w:rPr>
        <w:t xml:space="preserve"> and</w:t>
      </w:r>
    </w:p>
    <w:p w14:paraId="3F54B460" w14:textId="77777777" w:rsidR="00B62090" w:rsidRPr="00D920C9" w:rsidRDefault="00B62090" w:rsidP="006E3350">
      <w:pPr>
        <w:pStyle w:val="NormalWeb"/>
        <w:numPr>
          <w:ilvl w:val="1"/>
          <w:numId w:val="9"/>
        </w:numPr>
        <w:shd w:val="clear" w:color="auto" w:fill="FFFFFF"/>
        <w:spacing w:before="0" w:beforeAutospacing="0" w:after="240" w:afterAutospacing="0"/>
        <w:ind w:left="1094" w:hanging="547"/>
        <w:jc w:val="both"/>
        <w:rPr>
          <w:rFonts w:asciiTheme="minorHAnsi" w:hAnsiTheme="minorHAnsi"/>
          <w:color w:val="000000"/>
          <w:sz w:val="22"/>
          <w:lang w:val="en-US"/>
        </w:rPr>
      </w:pPr>
      <w:r w:rsidRPr="00D920C9">
        <w:rPr>
          <w:rFonts w:asciiTheme="minorHAnsi" w:hAnsiTheme="minorHAnsi"/>
          <w:color w:val="000000"/>
          <w:sz w:val="22"/>
          <w:lang w:val="en-US"/>
        </w:rPr>
        <w:t>Costs required for legal or expert assistance, medicine and medical services, and psychological and social services.</w:t>
      </w:r>
      <w:r w:rsidRPr="00D920C9">
        <w:rPr>
          <w:rStyle w:val="FootnoteReference"/>
          <w:rFonts w:asciiTheme="minorHAnsi" w:hAnsiTheme="minorHAnsi"/>
          <w:color w:val="000000"/>
          <w:sz w:val="22"/>
        </w:rPr>
        <w:footnoteReference w:id="664"/>
      </w:r>
    </w:p>
    <w:p w14:paraId="2F98A1EA" w14:textId="77777777" w:rsidR="007A1E26" w:rsidRPr="00D920C9" w:rsidRDefault="007A1E26" w:rsidP="00E86698">
      <w:pPr>
        <w:pStyle w:val="ListParagraph"/>
        <w:numPr>
          <w:ilvl w:val="0"/>
          <w:numId w:val="9"/>
        </w:numPr>
        <w:spacing w:after="240" w:line="240" w:lineRule="auto"/>
        <w:ind w:left="547" w:hanging="547"/>
        <w:contextualSpacing w:val="0"/>
        <w:jc w:val="both"/>
        <w:rPr>
          <w:rStyle w:val="Emphasis"/>
          <w:rFonts w:asciiTheme="minorHAnsi" w:hAnsiTheme="minorHAnsi"/>
          <w:i w:val="0"/>
          <w:iCs w:val="0"/>
          <w:color w:val="000000"/>
        </w:rPr>
      </w:pPr>
      <w:r w:rsidRPr="00D920C9">
        <w:rPr>
          <w:rStyle w:val="Emphasis"/>
          <w:rFonts w:asciiTheme="minorHAnsi" w:hAnsiTheme="minorHAnsi"/>
          <w:i w:val="0"/>
          <w:iCs w:val="0"/>
          <w:color w:val="000000"/>
        </w:rPr>
        <w:t xml:space="preserve">The Inter-American Court has previously considered that non-pecuniary damage includes </w:t>
      </w:r>
      <w:r w:rsidRPr="00D920C9">
        <w:rPr>
          <w:rFonts w:asciiTheme="minorHAnsi" w:hAnsiTheme="minorHAnsi"/>
          <w:color w:val="000000"/>
        </w:rPr>
        <w:t xml:space="preserve">the pain and suffering </w:t>
      </w:r>
      <w:r w:rsidRPr="00D920C9">
        <w:rPr>
          <w:rFonts w:asciiTheme="minorHAnsi" w:hAnsiTheme="minorHAnsi"/>
        </w:rPr>
        <w:t>caused</w:t>
      </w:r>
      <w:r w:rsidRPr="00D920C9">
        <w:rPr>
          <w:rFonts w:asciiTheme="minorHAnsi" w:hAnsiTheme="minorHAnsi"/>
          <w:color w:val="000000"/>
        </w:rPr>
        <w:t xml:space="preserve"> to the direct victim and the next of kin, the impairment of values that are significant to an individual, and also the non-pecuniary damage caused by alterations in the living conditions of the victim and their next of kin. Since it is not possible to allocate a precise monetary amount to such damage, it can only be compensated by the payment of a sum of money or the delivery of goods or services with a pecuniary value established by the relevant tribunal, in equity, as well as by acts or works of a public scope or impact designed to acknowledge the dignity of the victim and avoid the occurrence of human rights violations.</w:t>
      </w:r>
      <w:r w:rsidRPr="00D920C9">
        <w:rPr>
          <w:rStyle w:val="FootnoteReference"/>
          <w:rFonts w:asciiTheme="minorHAnsi" w:hAnsiTheme="minorHAnsi"/>
          <w:color w:val="000000"/>
        </w:rPr>
        <w:footnoteReference w:id="665"/>
      </w:r>
    </w:p>
    <w:p w14:paraId="0D885C16" w14:textId="77777777" w:rsidR="00B62090" w:rsidRPr="00D920C9" w:rsidRDefault="00B62090"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Style w:val="Emphasis"/>
          <w:rFonts w:asciiTheme="minorHAnsi" w:hAnsiTheme="minorHAnsi"/>
          <w:color w:val="000000"/>
        </w:rPr>
        <w:t>Rehabilitation </w:t>
      </w:r>
      <w:r w:rsidRPr="00D920C9">
        <w:rPr>
          <w:rFonts w:asciiTheme="minorHAnsi" w:hAnsiTheme="minorHAnsi"/>
          <w:color w:val="000000"/>
        </w:rPr>
        <w:t>should include</w:t>
      </w:r>
      <w:r w:rsidR="007A1E26" w:rsidRPr="00D920C9">
        <w:rPr>
          <w:rFonts w:asciiTheme="minorHAnsi" w:hAnsiTheme="minorHAnsi"/>
          <w:color w:val="000000"/>
        </w:rPr>
        <w:t xml:space="preserve"> appropriate and effective medical, </w:t>
      </w:r>
      <w:r w:rsidRPr="00D920C9">
        <w:rPr>
          <w:rFonts w:asciiTheme="minorHAnsi" w:hAnsiTheme="minorHAnsi"/>
          <w:color w:val="000000"/>
        </w:rPr>
        <w:t>psychological</w:t>
      </w:r>
      <w:r w:rsidR="007A1E26" w:rsidRPr="00D920C9">
        <w:rPr>
          <w:rFonts w:asciiTheme="minorHAnsi" w:hAnsiTheme="minorHAnsi"/>
          <w:color w:val="000000"/>
        </w:rPr>
        <w:t xml:space="preserve">, or psychiatric treatment, by health </w:t>
      </w:r>
      <w:r w:rsidR="007A1E26" w:rsidRPr="00D920C9">
        <w:rPr>
          <w:rFonts w:asciiTheme="minorHAnsi" w:hAnsiTheme="minorHAnsi"/>
        </w:rPr>
        <w:t xml:space="preserve">care institutions with appropriate </w:t>
      </w:r>
      <w:r w:rsidR="003A5980" w:rsidRPr="00D920C9">
        <w:rPr>
          <w:rFonts w:asciiTheme="minorHAnsi" w:hAnsiTheme="minorHAnsi"/>
        </w:rPr>
        <w:t>training and specialization to provide care to the victims and their next of kin.</w:t>
      </w:r>
      <w:r w:rsidR="003A5980" w:rsidRPr="00D920C9">
        <w:rPr>
          <w:rFonts w:asciiTheme="minorHAnsi" w:hAnsiTheme="minorHAnsi"/>
          <w:vertAlign w:val="superscript"/>
        </w:rPr>
        <w:footnoteReference w:id="666"/>
      </w:r>
      <w:r w:rsidRPr="00D920C9">
        <w:rPr>
          <w:rFonts w:asciiTheme="minorHAnsi" w:hAnsiTheme="minorHAnsi"/>
        </w:rPr>
        <w:t xml:space="preserve"> </w:t>
      </w:r>
      <w:r w:rsidR="003A5980" w:rsidRPr="00D920C9">
        <w:rPr>
          <w:rFonts w:asciiTheme="minorHAnsi" w:hAnsiTheme="minorHAnsi"/>
        </w:rPr>
        <w:t>In general, the Inter-American Court additionally requires that such care be provided immediately, free of charge in public institutions, for the length of time necessary, and include the supply of any needed medication.</w:t>
      </w:r>
      <w:r w:rsidR="003A5980" w:rsidRPr="00D920C9">
        <w:rPr>
          <w:rFonts w:asciiTheme="minorHAnsi" w:hAnsiTheme="minorHAnsi"/>
          <w:vertAlign w:val="superscript"/>
        </w:rPr>
        <w:footnoteReference w:id="667"/>
      </w:r>
    </w:p>
    <w:p w14:paraId="434175CF" w14:textId="77777777" w:rsidR="00B62090" w:rsidRPr="00D920C9" w:rsidRDefault="00B62090" w:rsidP="00E86698">
      <w:pPr>
        <w:pStyle w:val="ListParagraph"/>
        <w:numPr>
          <w:ilvl w:val="0"/>
          <w:numId w:val="9"/>
        </w:numPr>
        <w:spacing w:after="240" w:line="240" w:lineRule="auto"/>
        <w:ind w:left="547" w:hanging="547"/>
        <w:contextualSpacing w:val="0"/>
        <w:jc w:val="both"/>
        <w:rPr>
          <w:rFonts w:asciiTheme="minorHAnsi" w:hAnsiTheme="minorHAnsi"/>
          <w:color w:val="000000"/>
        </w:rPr>
      </w:pPr>
      <w:r w:rsidRPr="00D920C9">
        <w:rPr>
          <w:rFonts w:asciiTheme="minorHAnsi" w:hAnsiTheme="minorHAnsi"/>
          <w:i/>
          <w:iCs/>
        </w:rPr>
        <w:t>Satisfaction</w:t>
      </w:r>
      <w:r w:rsidRPr="00D920C9">
        <w:rPr>
          <w:rFonts w:asciiTheme="minorHAnsi" w:hAnsiTheme="minorHAnsi"/>
        </w:rPr>
        <w:t> should include</w:t>
      </w:r>
      <w:r w:rsidRPr="00D920C9">
        <w:rPr>
          <w:rFonts w:asciiTheme="minorHAnsi" w:hAnsiTheme="minorHAnsi"/>
          <w:color w:val="000000"/>
        </w:rPr>
        <w:t>, where applicable, any or all of the following:</w:t>
      </w:r>
    </w:p>
    <w:p w14:paraId="41515A6B" w14:textId="77777777" w:rsidR="00B62090" w:rsidRPr="00D920C9" w:rsidRDefault="00B62090" w:rsidP="00C91E4F">
      <w:pPr>
        <w:pStyle w:val="NormalWeb"/>
        <w:numPr>
          <w:ilvl w:val="1"/>
          <w:numId w:val="9"/>
        </w:numPr>
        <w:shd w:val="clear" w:color="auto" w:fill="FFFFFF"/>
        <w:spacing w:before="0" w:beforeAutospacing="0" w:after="12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t>Effective measures aimed at the cessation of continuing violations;</w:t>
      </w:r>
    </w:p>
    <w:p w14:paraId="69069B00" w14:textId="77777777" w:rsidR="00B62090" w:rsidRPr="00D920C9" w:rsidRDefault="00B62090" w:rsidP="00C91E4F">
      <w:pPr>
        <w:pStyle w:val="NormalWeb"/>
        <w:numPr>
          <w:ilvl w:val="1"/>
          <w:numId w:val="9"/>
        </w:numPr>
        <w:shd w:val="clear" w:color="auto" w:fill="FFFFFF"/>
        <w:spacing w:before="0" w:beforeAutospacing="0" w:after="12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t xml:space="preserve">Verification of the facts and full and public disclosure of the truth </w:t>
      </w:r>
      <w:r w:rsidR="003A5980" w:rsidRPr="00D920C9">
        <w:rPr>
          <w:rFonts w:asciiTheme="minorHAnsi" w:hAnsiTheme="minorHAnsi"/>
          <w:color w:val="000000"/>
          <w:sz w:val="22"/>
          <w:lang w:val="en-US"/>
        </w:rPr>
        <w:t>[…]</w:t>
      </w:r>
      <w:r w:rsidRPr="00D920C9">
        <w:rPr>
          <w:rFonts w:asciiTheme="minorHAnsi" w:hAnsiTheme="minorHAnsi"/>
          <w:color w:val="000000"/>
          <w:sz w:val="22"/>
          <w:lang w:val="en-US"/>
        </w:rPr>
        <w:t>;</w:t>
      </w:r>
    </w:p>
    <w:p w14:paraId="3D7550ED" w14:textId="77777777" w:rsidR="00B62090" w:rsidRPr="00D920C9" w:rsidRDefault="00B62090" w:rsidP="00C91E4F">
      <w:pPr>
        <w:pStyle w:val="NormalWeb"/>
        <w:numPr>
          <w:ilvl w:val="1"/>
          <w:numId w:val="9"/>
        </w:numPr>
        <w:shd w:val="clear" w:color="auto" w:fill="FFFFFF"/>
        <w:spacing w:before="0" w:beforeAutospacing="0" w:after="12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t>The search for the whereabouts of the disappeared, for the identities of the children abducted, and</w:t>
      </w:r>
      <w:r w:rsidR="003A5980" w:rsidRPr="00D920C9">
        <w:rPr>
          <w:rFonts w:asciiTheme="minorHAnsi" w:hAnsiTheme="minorHAnsi"/>
          <w:color w:val="000000"/>
          <w:sz w:val="22"/>
          <w:lang w:val="en-US"/>
        </w:rPr>
        <w:t xml:space="preserve"> for the bodies of those killed […]</w:t>
      </w:r>
      <w:r w:rsidRPr="00D920C9">
        <w:rPr>
          <w:rFonts w:asciiTheme="minorHAnsi" w:hAnsiTheme="minorHAnsi"/>
          <w:color w:val="000000"/>
          <w:sz w:val="22"/>
          <w:lang w:val="en-US"/>
        </w:rPr>
        <w:t>;</w:t>
      </w:r>
    </w:p>
    <w:p w14:paraId="58AE6C96" w14:textId="77777777" w:rsidR="00B62090" w:rsidRPr="00D920C9" w:rsidRDefault="00B62090" w:rsidP="00C91E4F">
      <w:pPr>
        <w:pStyle w:val="NormalWeb"/>
        <w:numPr>
          <w:ilvl w:val="1"/>
          <w:numId w:val="9"/>
        </w:numPr>
        <w:shd w:val="clear" w:color="auto" w:fill="FFFFFF"/>
        <w:spacing w:before="0" w:beforeAutospacing="0" w:after="12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lastRenderedPageBreak/>
        <w:t>An official declaration or a judicial decision restoring the dignity, reputation and rights of the victim and of persons closely connected with the victim</w:t>
      </w:r>
      <w:r w:rsidR="003A5980" w:rsidRPr="00D920C9">
        <w:rPr>
          <w:rFonts w:asciiTheme="minorHAnsi" w:hAnsiTheme="minorHAnsi"/>
          <w:color w:val="000000"/>
          <w:sz w:val="22"/>
          <w:lang w:val="en-US"/>
        </w:rPr>
        <w:t>, and publication of the decision</w:t>
      </w:r>
      <w:r w:rsidRPr="00D920C9">
        <w:rPr>
          <w:rFonts w:asciiTheme="minorHAnsi" w:hAnsiTheme="minorHAnsi"/>
          <w:color w:val="000000"/>
          <w:sz w:val="22"/>
          <w:lang w:val="en-US"/>
        </w:rPr>
        <w:t>;</w:t>
      </w:r>
      <w:r w:rsidR="003A5980" w:rsidRPr="00D920C9">
        <w:rPr>
          <w:rStyle w:val="FootnoteReference"/>
          <w:rFonts w:asciiTheme="minorHAnsi" w:hAnsiTheme="minorHAnsi"/>
          <w:color w:val="000000"/>
          <w:sz w:val="22"/>
          <w:lang w:val="en-US"/>
        </w:rPr>
        <w:footnoteReference w:id="668"/>
      </w:r>
    </w:p>
    <w:p w14:paraId="3688A430" w14:textId="77777777" w:rsidR="00B62090" w:rsidRPr="00D920C9" w:rsidRDefault="00B62090" w:rsidP="00C91E4F">
      <w:pPr>
        <w:pStyle w:val="NormalWeb"/>
        <w:numPr>
          <w:ilvl w:val="1"/>
          <w:numId w:val="9"/>
        </w:numPr>
        <w:shd w:val="clear" w:color="auto" w:fill="FFFFFF"/>
        <w:spacing w:before="0" w:beforeAutospacing="0" w:after="12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t>Public apology, including acknowledgement of the facts and acceptance of responsibility;</w:t>
      </w:r>
    </w:p>
    <w:p w14:paraId="330F9C48" w14:textId="77777777" w:rsidR="00B62090" w:rsidRPr="00D920C9" w:rsidRDefault="00B62090" w:rsidP="00C91E4F">
      <w:pPr>
        <w:pStyle w:val="NormalWeb"/>
        <w:numPr>
          <w:ilvl w:val="1"/>
          <w:numId w:val="9"/>
        </w:numPr>
        <w:shd w:val="clear" w:color="auto" w:fill="FFFFFF"/>
        <w:spacing w:before="0" w:beforeAutospacing="0" w:after="12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t>Judicial and administrative sanctions against persons liable for the violations;</w:t>
      </w:r>
    </w:p>
    <w:p w14:paraId="78EB3DA2" w14:textId="77777777" w:rsidR="00B62090" w:rsidRPr="00D920C9" w:rsidRDefault="00B62090" w:rsidP="00C91E4F">
      <w:pPr>
        <w:pStyle w:val="NormalWeb"/>
        <w:numPr>
          <w:ilvl w:val="1"/>
          <w:numId w:val="9"/>
        </w:numPr>
        <w:shd w:val="clear" w:color="auto" w:fill="FFFFFF"/>
        <w:spacing w:before="0" w:beforeAutospacing="0" w:after="12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t>Commemorations and tributes to the victims;</w:t>
      </w:r>
    </w:p>
    <w:p w14:paraId="73A87AFE" w14:textId="77777777" w:rsidR="00B62090" w:rsidRPr="00D920C9" w:rsidRDefault="00B62090" w:rsidP="00C91E4F">
      <w:pPr>
        <w:pStyle w:val="NormalWeb"/>
        <w:numPr>
          <w:ilvl w:val="1"/>
          <w:numId w:val="9"/>
        </w:numPr>
        <w:shd w:val="clear" w:color="auto" w:fill="FFFFFF"/>
        <w:spacing w:before="0" w:beforeAutospacing="0" w:after="24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t>Inclusion of an accurate account of the violations that occurred in training and in educational material at all levels.</w:t>
      </w:r>
      <w:r w:rsidRPr="00D920C9">
        <w:rPr>
          <w:rStyle w:val="FootnoteReference"/>
          <w:rFonts w:asciiTheme="minorHAnsi" w:hAnsiTheme="minorHAnsi"/>
          <w:color w:val="000000"/>
          <w:sz w:val="22"/>
        </w:rPr>
        <w:footnoteReference w:id="669"/>
      </w:r>
    </w:p>
    <w:p w14:paraId="218347F4" w14:textId="77777777" w:rsidR="00B62090" w:rsidRPr="00D920C9" w:rsidRDefault="00B62090" w:rsidP="00E86698">
      <w:pPr>
        <w:pStyle w:val="ListParagraph"/>
        <w:numPr>
          <w:ilvl w:val="0"/>
          <w:numId w:val="9"/>
        </w:numPr>
        <w:spacing w:after="240" w:line="240" w:lineRule="auto"/>
        <w:ind w:left="547" w:hanging="547"/>
        <w:contextualSpacing w:val="0"/>
        <w:jc w:val="both"/>
        <w:rPr>
          <w:rFonts w:asciiTheme="minorHAnsi" w:hAnsiTheme="minorHAnsi"/>
          <w:color w:val="000000"/>
        </w:rPr>
      </w:pPr>
      <w:r w:rsidRPr="00D920C9">
        <w:rPr>
          <w:rStyle w:val="Emphasis"/>
          <w:rFonts w:asciiTheme="minorHAnsi" w:hAnsiTheme="minorHAnsi"/>
          <w:color w:val="000000"/>
        </w:rPr>
        <w:t>Guarantees of non-repetition</w:t>
      </w:r>
      <w:r w:rsidRPr="00D920C9">
        <w:rPr>
          <w:rFonts w:asciiTheme="minorHAnsi" w:hAnsiTheme="minorHAnsi"/>
          <w:color w:val="000000"/>
        </w:rPr>
        <w:t> should include, where applicable, any or all of the following measures, which will also contribute to prevention:</w:t>
      </w:r>
    </w:p>
    <w:p w14:paraId="446C21D9" w14:textId="77777777" w:rsidR="00B62090" w:rsidRPr="00D920C9" w:rsidRDefault="00B62090" w:rsidP="00C91E4F">
      <w:pPr>
        <w:pStyle w:val="NormalWeb"/>
        <w:numPr>
          <w:ilvl w:val="1"/>
          <w:numId w:val="9"/>
        </w:numPr>
        <w:shd w:val="clear" w:color="auto" w:fill="FFFFFF"/>
        <w:spacing w:before="0" w:beforeAutospacing="0" w:after="12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t>Ensuring effective civilian control of military and security forces;</w:t>
      </w:r>
    </w:p>
    <w:p w14:paraId="035B633E" w14:textId="77777777" w:rsidR="00B62090" w:rsidRPr="00D920C9" w:rsidRDefault="00B62090" w:rsidP="00C91E4F">
      <w:pPr>
        <w:pStyle w:val="NormalWeb"/>
        <w:numPr>
          <w:ilvl w:val="1"/>
          <w:numId w:val="9"/>
        </w:numPr>
        <w:shd w:val="clear" w:color="auto" w:fill="FFFFFF"/>
        <w:spacing w:before="0" w:beforeAutospacing="0" w:after="12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t>Ensuring that all civilian and military proceedings abide by international standards of due process, fairness and impartiality;</w:t>
      </w:r>
    </w:p>
    <w:p w14:paraId="63FAFA18" w14:textId="77777777" w:rsidR="00B62090" w:rsidRPr="00D920C9" w:rsidRDefault="00B62090" w:rsidP="00C91E4F">
      <w:pPr>
        <w:pStyle w:val="NormalWeb"/>
        <w:numPr>
          <w:ilvl w:val="1"/>
          <w:numId w:val="9"/>
        </w:numPr>
        <w:shd w:val="clear" w:color="auto" w:fill="FFFFFF"/>
        <w:spacing w:before="0" w:beforeAutospacing="0" w:after="12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t>Strengthening the independence of the judiciary;</w:t>
      </w:r>
    </w:p>
    <w:p w14:paraId="2E5949E1" w14:textId="77777777" w:rsidR="00B62090" w:rsidRPr="00D920C9" w:rsidRDefault="00B62090" w:rsidP="00C91E4F">
      <w:pPr>
        <w:pStyle w:val="NormalWeb"/>
        <w:numPr>
          <w:ilvl w:val="1"/>
          <w:numId w:val="9"/>
        </w:numPr>
        <w:shd w:val="clear" w:color="auto" w:fill="FFFFFF"/>
        <w:spacing w:before="0" w:beforeAutospacing="0" w:after="12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t>Protecting persons in the legal, medical and health-care professions, the media and other related professions, and human rights defenders;</w:t>
      </w:r>
    </w:p>
    <w:p w14:paraId="32740A71" w14:textId="77777777" w:rsidR="00B62090" w:rsidRPr="00D920C9" w:rsidRDefault="00B62090" w:rsidP="00C91E4F">
      <w:pPr>
        <w:pStyle w:val="NormalWeb"/>
        <w:numPr>
          <w:ilvl w:val="1"/>
          <w:numId w:val="9"/>
        </w:numPr>
        <w:shd w:val="clear" w:color="auto" w:fill="FFFFFF"/>
        <w:spacing w:before="0" w:beforeAutospacing="0" w:after="12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t>Providing, on a priority and continued basis, human rights and international humanitarian law education to all sectors of society and training for law enforcement officials as well as military and security forces;</w:t>
      </w:r>
    </w:p>
    <w:p w14:paraId="28C15264" w14:textId="77777777" w:rsidR="00B62090" w:rsidRPr="00D920C9" w:rsidRDefault="00B62090" w:rsidP="00C91E4F">
      <w:pPr>
        <w:pStyle w:val="NormalWeb"/>
        <w:numPr>
          <w:ilvl w:val="1"/>
          <w:numId w:val="9"/>
        </w:numPr>
        <w:shd w:val="clear" w:color="auto" w:fill="FFFFFF"/>
        <w:spacing w:before="0" w:beforeAutospacing="0" w:after="12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t>Promoting the observance of codes of conduct and ethical norms, in particular international standards, by public servants, including law enforcement, correctional, media, medical, psychological, social service and military personnel, as well as by economic enterprises;</w:t>
      </w:r>
    </w:p>
    <w:p w14:paraId="1B8288CB" w14:textId="77777777" w:rsidR="00B62090" w:rsidRPr="00D920C9" w:rsidRDefault="00B62090" w:rsidP="00C91E4F">
      <w:pPr>
        <w:pStyle w:val="NormalWeb"/>
        <w:numPr>
          <w:ilvl w:val="1"/>
          <w:numId w:val="9"/>
        </w:numPr>
        <w:shd w:val="clear" w:color="auto" w:fill="FFFFFF"/>
        <w:spacing w:before="0" w:beforeAutospacing="0" w:after="12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t>Promoting mechanisms for preventing and monitoring social conflicts and their resolution;</w:t>
      </w:r>
    </w:p>
    <w:p w14:paraId="79C68BA4" w14:textId="77777777" w:rsidR="00B62090" w:rsidRPr="00D920C9" w:rsidRDefault="00B62090" w:rsidP="00C91E4F">
      <w:pPr>
        <w:pStyle w:val="NormalWeb"/>
        <w:numPr>
          <w:ilvl w:val="1"/>
          <w:numId w:val="9"/>
        </w:numPr>
        <w:shd w:val="clear" w:color="auto" w:fill="FFFFFF"/>
        <w:spacing w:before="0" w:beforeAutospacing="0" w:after="240" w:afterAutospacing="0"/>
        <w:ind w:left="1080" w:hanging="540"/>
        <w:jc w:val="both"/>
        <w:rPr>
          <w:rFonts w:asciiTheme="minorHAnsi" w:hAnsiTheme="minorHAnsi"/>
          <w:color w:val="000000"/>
          <w:sz w:val="22"/>
          <w:lang w:val="en-US"/>
        </w:rPr>
      </w:pPr>
      <w:r w:rsidRPr="00D920C9">
        <w:rPr>
          <w:rFonts w:asciiTheme="minorHAnsi" w:hAnsiTheme="minorHAnsi"/>
          <w:color w:val="000000"/>
          <w:sz w:val="22"/>
          <w:lang w:val="en-US"/>
        </w:rPr>
        <w:t>Reviewing and reforming laws contributing to or allowing gross violations of international human rights law and serious violations of international humanitarian law.</w:t>
      </w:r>
      <w:r w:rsidRPr="00D920C9">
        <w:rPr>
          <w:rStyle w:val="FootnoteReference"/>
          <w:rFonts w:asciiTheme="minorHAnsi" w:hAnsiTheme="minorHAnsi"/>
          <w:color w:val="000000"/>
          <w:sz w:val="22"/>
        </w:rPr>
        <w:footnoteReference w:id="670"/>
      </w:r>
    </w:p>
    <w:p w14:paraId="50E7FFBF" w14:textId="77777777" w:rsidR="006C7DAF" w:rsidRPr="00D920C9" w:rsidRDefault="006C7DAF" w:rsidP="00E86698">
      <w:pPr>
        <w:pStyle w:val="ListParagraph"/>
        <w:numPr>
          <w:ilvl w:val="0"/>
          <w:numId w:val="9"/>
        </w:numPr>
        <w:spacing w:after="240" w:line="240" w:lineRule="auto"/>
        <w:ind w:left="547" w:hanging="547"/>
        <w:contextualSpacing w:val="0"/>
        <w:jc w:val="both"/>
        <w:rPr>
          <w:rFonts w:asciiTheme="minorHAnsi" w:hAnsiTheme="minorHAnsi"/>
          <w:color w:val="000000"/>
        </w:rPr>
      </w:pPr>
      <w:r w:rsidRPr="00D920C9">
        <w:rPr>
          <w:rFonts w:asciiTheme="minorHAnsi" w:hAnsiTheme="minorHAnsi"/>
          <w:color w:val="000000"/>
          <w:shd w:val="clear" w:color="auto" w:fill="FFFFFF"/>
        </w:rPr>
        <w:lastRenderedPageBreak/>
        <w:t xml:space="preserve">Finally, the right to the truth is </w:t>
      </w:r>
      <w:r w:rsidR="00474F33" w:rsidRPr="00D920C9">
        <w:rPr>
          <w:rFonts w:asciiTheme="minorHAnsi" w:hAnsiTheme="minorHAnsi"/>
          <w:color w:val="000000"/>
          <w:shd w:val="clear" w:color="auto" w:fill="FFFFFF"/>
        </w:rPr>
        <w:t>an important</w:t>
      </w:r>
      <w:r w:rsidRPr="00D920C9">
        <w:rPr>
          <w:rFonts w:asciiTheme="minorHAnsi" w:hAnsiTheme="minorHAnsi"/>
          <w:color w:val="000000"/>
          <w:shd w:val="clear" w:color="auto" w:fill="FFFFFF"/>
        </w:rPr>
        <w:t xml:space="preserve"> form of reparation, because it constitutes </w:t>
      </w:r>
      <w:r w:rsidR="00474F33" w:rsidRPr="00D920C9">
        <w:rPr>
          <w:rFonts w:asciiTheme="minorHAnsi" w:hAnsiTheme="minorHAnsi"/>
          <w:color w:val="000000"/>
          <w:shd w:val="clear" w:color="auto" w:fill="FFFFFF"/>
        </w:rPr>
        <w:t>a recognition of</w:t>
      </w:r>
      <w:r w:rsidRPr="00D920C9">
        <w:rPr>
          <w:rFonts w:asciiTheme="minorHAnsi" w:hAnsiTheme="minorHAnsi"/>
          <w:color w:val="000000"/>
          <w:shd w:val="clear" w:color="auto" w:fill="FFFFFF"/>
        </w:rPr>
        <w:t xml:space="preserve"> the significance and value of persons as individuals, as vict</w:t>
      </w:r>
      <w:r w:rsidR="00474F33" w:rsidRPr="00D920C9">
        <w:rPr>
          <w:rFonts w:asciiTheme="minorHAnsi" w:hAnsiTheme="minorHAnsi"/>
          <w:color w:val="000000"/>
          <w:shd w:val="clear" w:color="auto" w:fill="FFFFFF"/>
        </w:rPr>
        <w:t>ims and as holders of rights.</w:t>
      </w:r>
      <w:r w:rsidR="00474F33" w:rsidRPr="00D920C9">
        <w:rPr>
          <w:rStyle w:val="FootnoteReference"/>
          <w:rFonts w:asciiTheme="minorHAnsi" w:hAnsiTheme="minorHAnsi"/>
          <w:color w:val="000000"/>
          <w:shd w:val="clear" w:color="auto" w:fill="FFFFFF"/>
        </w:rPr>
        <w:footnoteReference w:id="671"/>
      </w:r>
      <w:r w:rsidRPr="00D920C9">
        <w:rPr>
          <w:rFonts w:asciiTheme="minorHAnsi" w:hAnsiTheme="minorHAnsi"/>
          <w:color w:val="000000"/>
          <w:shd w:val="clear" w:color="auto" w:fill="FFFFFF"/>
        </w:rPr>
        <w:t xml:space="preserve"> Furthermore, knowledge of the circumstances of manner, time and place, motives and the identification of the perpetrators are fundamental to making full reparations to victims of human rights violations. The Commission has previously established that: </w:t>
      </w:r>
    </w:p>
    <w:p w14:paraId="6F4B3540" w14:textId="77777777" w:rsidR="00E161E3" w:rsidRPr="00D920C9" w:rsidRDefault="006C7DAF" w:rsidP="00B24BD8">
      <w:pPr>
        <w:pStyle w:val="NormalWeb"/>
        <w:shd w:val="clear" w:color="auto" w:fill="FFFFFF"/>
        <w:spacing w:before="0" w:beforeAutospacing="0" w:after="240" w:afterAutospacing="0"/>
        <w:ind w:left="1166" w:right="619"/>
        <w:jc w:val="both"/>
        <w:rPr>
          <w:rFonts w:asciiTheme="minorHAnsi" w:hAnsiTheme="minorHAnsi"/>
          <w:color w:val="000000"/>
          <w:sz w:val="22"/>
          <w:szCs w:val="18"/>
          <w:lang w:val="en-US"/>
        </w:rPr>
      </w:pPr>
      <w:r w:rsidRPr="00D920C9">
        <w:rPr>
          <w:rFonts w:asciiTheme="minorHAnsi" w:hAnsiTheme="minorHAnsi"/>
          <w:color w:val="000000"/>
          <w:sz w:val="22"/>
          <w:szCs w:val="18"/>
          <w:shd w:val="clear" w:color="auto" w:fill="FFFFFF"/>
          <w:lang w:val="en-US"/>
        </w:rPr>
        <w:t xml:space="preserve">The right that all persons and society have to know the full, complete, and public truth as to the events transpired, their specific circumstances, and who participated in them is part of the right to reparation for human rights violations, with respect to satisfaction and guarantees of non-repetition. The right of a society to have full knowledge of its past is not only a mode of reparation and clarification of what has happened, but is also aimed at </w:t>
      </w:r>
      <w:r w:rsidR="00474F33" w:rsidRPr="00D920C9">
        <w:rPr>
          <w:rFonts w:asciiTheme="minorHAnsi" w:hAnsiTheme="minorHAnsi"/>
          <w:color w:val="000000"/>
          <w:sz w:val="22"/>
          <w:szCs w:val="18"/>
          <w:shd w:val="clear" w:color="auto" w:fill="FFFFFF"/>
          <w:lang w:val="en-US"/>
        </w:rPr>
        <w:t>preventing future violations.</w:t>
      </w:r>
      <w:r w:rsidR="00474F33" w:rsidRPr="00D920C9">
        <w:rPr>
          <w:rStyle w:val="FootnoteReference"/>
          <w:rFonts w:asciiTheme="minorHAnsi" w:hAnsiTheme="minorHAnsi"/>
          <w:color w:val="000000"/>
          <w:sz w:val="22"/>
          <w:szCs w:val="18"/>
          <w:shd w:val="clear" w:color="auto" w:fill="FFFFFF"/>
          <w:lang w:val="en-US"/>
        </w:rPr>
        <w:footnoteReference w:id="672"/>
      </w:r>
    </w:p>
    <w:p w14:paraId="3346C38C" w14:textId="77777777" w:rsidR="006D56EC" w:rsidRPr="00D920C9" w:rsidRDefault="00260121" w:rsidP="00E86698">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rPr>
        <w:lastRenderedPageBreak/>
        <w:t>T</w:t>
      </w:r>
      <w:r w:rsidR="006D56EC" w:rsidRPr="00D920C9">
        <w:rPr>
          <w:rFonts w:asciiTheme="minorHAnsi" w:hAnsiTheme="minorHAnsi"/>
          <w:szCs w:val="20"/>
        </w:rPr>
        <w:t xml:space="preserve">he Commission considers that </w:t>
      </w:r>
      <w:r w:rsidR="0017556C" w:rsidRPr="00D920C9">
        <w:rPr>
          <w:rFonts w:asciiTheme="minorHAnsi" w:hAnsiTheme="minorHAnsi"/>
          <w:szCs w:val="20"/>
        </w:rPr>
        <w:t>t</w:t>
      </w:r>
      <w:r w:rsidR="006D56EC" w:rsidRPr="00D920C9">
        <w:rPr>
          <w:rFonts w:asciiTheme="minorHAnsi" w:hAnsiTheme="minorHAnsi"/>
          <w:szCs w:val="20"/>
        </w:rPr>
        <w:t xml:space="preserve">he State must take measures to grant reparations to victims and their family members—encompassing measures of restitution (which could include the reduction, redefinition, expunction, </w:t>
      </w:r>
      <w:r w:rsidR="006D56EC" w:rsidRPr="00D920C9">
        <w:rPr>
          <w:rFonts w:asciiTheme="minorHAnsi" w:hAnsiTheme="minorHAnsi"/>
        </w:rPr>
        <w:t xml:space="preserve">pardon, or similar of prior convictions; restoration of liberty; restoration of property; or similar), compensation (commensurate with the circumstances of the case); and rehabilitation (including medical and mental health care for victims and their next of kin, free of cost to them)—in cases of police abuses and </w:t>
      </w:r>
      <w:r w:rsidR="0017556C" w:rsidRPr="00D920C9">
        <w:rPr>
          <w:rFonts w:asciiTheme="minorHAnsi" w:hAnsiTheme="minorHAnsi"/>
        </w:rPr>
        <w:t>killings</w:t>
      </w:r>
      <w:r w:rsidR="006D56EC" w:rsidRPr="00D920C9">
        <w:rPr>
          <w:rFonts w:asciiTheme="minorHAnsi" w:hAnsiTheme="minorHAnsi"/>
        </w:rPr>
        <w:t>, as well as initiatives to transform the discriminatory culture and prejudices which give rise to these violations.</w:t>
      </w:r>
      <w:r w:rsidR="006D56EC" w:rsidRPr="00D920C9">
        <w:rPr>
          <w:rFonts w:asciiTheme="minorHAnsi" w:hAnsiTheme="minorHAnsi"/>
          <w:vertAlign w:val="superscript"/>
        </w:rPr>
        <w:footnoteReference w:id="673"/>
      </w:r>
    </w:p>
    <w:p w14:paraId="3CC8AFE5" w14:textId="77777777" w:rsidR="006D56EC" w:rsidRPr="00D920C9" w:rsidRDefault="006D56EC" w:rsidP="00E86698">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rPr>
        <w:t>Such initiatives, generally encompassing measures of satisfaction and guarantees of non-repetition, may take several forms and be targeted at a wide range of social institutions, from police departments to governments at all levels</w:t>
      </w:r>
      <w:r w:rsidRPr="00D920C9">
        <w:rPr>
          <w:rFonts w:asciiTheme="minorHAnsi" w:hAnsiTheme="minorHAnsi"/>
          <w:szCs w:val="20"/>
        </w:rPr>
        <w:t xml:space="preserve"> to society at large. </w:t>
      </w:r>
      <w:r w:rsidR="00260121" w:rsidRPr="00D920C9">
        <w:rPr>
          <w:rFonts w:asciiTheme="minorHAnsi" w:hAnsiTheme="minorHAnsi"/>
          <w:szCs w:val="20"/>
        </w:rPr>
        <w:t>T</w:t>
      </w:r>
      <w:r w:rsidRPr="00D920C9">
        <w:rPr>
          <w:rFonts w:asciiTheme="minorHAnsi" w:hAnsiTheme="minorHAnsi"/>
          <w:szCs w:val="20"/>
        </w:rPr>
        <w:t>he Commission recommends that measures of satisfaction</w:t>
      </w:r>
      <w:r w:rsidR="004B2CE1" w:rsidRPr="00D920C9">
        <w:rPr>
          <w:rFonts w:asciiTheme="minorHAnsi" w:hAnsiTheme="minorHAnsi"/>
          <w:szCs w:val="20"/>
        </w:rPr>
        <w:t xml:space="preserve"> for individual cases</w:t>
      </w:r>
      <w:r w:rsidRPr="00D920C9">
        <w:rPr>
          <w:rFonts w:asciiTheme="minorHAnsi" w:hAnsiTheme="minorHAnsi"/>
          <w:szCs w:val="20"/>
        </w:rPr>
        <w:t xml:space="preserve"> may include principally: </w:t>
      </w:r>
    </w:p>
    <w:p w14:paraId="7A10BC74" w14:textId="77777777" w:rsidR="006D56EC" w:rsidRPr="00D920C9" w:rsidRDefault="006D56EC" w:rsidP="00C91E4F">
      <w:pPr>
        <w:pStyle w:val="ListParagraph"/>
        <w:numPr>
          <w:ilvl w:val="1"/>
          <w:numId w:val="25"/>
        </w:numPr>
        <w:spacing w:after="120" w:line="240" w:lineRule="auto"/>
        <w:ind w:left="1080" w:hanging="540"/>
        <w:contextualSpacing w:val="0"/>
        <w:jc w:val="both"/>
        <w:rPr>
          <w:rFonts w:asciiTheme="minorHAnsi" w:hAnsiTheme="minorHAnsi"/>
          <w:szCs w:val="20"/>
        </w:rPr>
      </w:pPr>
      <w:r w:rsidRPr="00D920C9">
        <w:rPr>
          <w:rFonts w:asciiTheme="minorHAnsi" w:hAnsiTheme="minorHAnsi"/>
          <w:szCs w:val="20"/>
        </w:rPr>
        <w:t>An official declaration or judicial decision restoring the dignity, reputation, and rights of the victim or other persons connected with the case, and publication of the decision;</w:t>
      </w:r>
    </w:p>
    <w:p w14:paraId="6F1AAD4B" w14:textId="77777777" w:rsidR="006D56EC" w:rsidRPr="00D920C9" w:rsidRDefault="006D56EC" w:rsidP="00C91E4F">
      <w:pPr>
        <w:pStyle w:val="ListParagraph"/>
        <w:numPr>
          <w:ilvl w:val="1"/>
          <w:numId w:val="25"/>
        </w:numPr>
        <w:spacing w:after="120" w:line="240" w:lineRule="auto"/>
        <w:ind w:left="1080" w:hanging="540"/>
        <w:contextualSpacing w:val="0"/>
        <w:jc w:val="both"/>
        <w:rPr>
          <w:rFonts w:asciiTheme="minorHAnsi" w:hAnsiTheme="minorHAnsi"/>
          <w:szCs w:val="20"/>
        </w:rPr>
      </w:pPr>
      <w:r w:rsidRPr="00D920C9">
        <w:rPr>
          <w:rFonts w:asciiTheme="minorHAnsi" w:hAnsiTheme="minorHAnsi"/>
          <w:szCs w:val="20"/>
        </w:rPr>
        <w:t>Public apology and acknowledgement of responsibility for abuses, including acknowledgment of the facts and acceptance of responsibility;</w:t>
      </w:r>
    </w:p>
    <w:p w14:paraId="6D76F986" w14:textId="77777777" w:rsidR="006D56EC" w:rsidRPr="00D920C9" w:rsidRDefault="006D56EC" w:rsidP="00C91E4F">
      <w:pPr>
        <w:pStyle w:val="ListParagraph"/>
        <w:numPr>
          <w:ilvl w:val="1"/>
          <w:numId w:val="25"/>
        </w:numPr>
        <w:spacing w:after="120" w:line="240" w:lineRule="auto"/>
        <w:ind w:left="1080" w:hanging="540"/>
        <w:contextualSpacing w:val="0"/>
        <w:jc w:val="both"/>
        <w:rPr>
          <w:rFonts w:asciiTheme="minorHAnsi" w:hAnsiTheme="minorHAnsi"/>
          <w:szCs w:val="20"/>
        </w:rPr>
      </w:pPr>
      <w:r w:rsidRPr="00D920C9">
        <w:rPr>
          <w:rFonts w:asciiTheme="minorHAnsi" w:hAnsiTheme="minorHAnsi"/>
          <w:szCs w:val="20"/>
        </w:rPr>
        <w:t>The dedication of monuments or other tributes to the victims of police violence, and the removal of monuments that commemorate symbols of racial inequality;</w:t>
      </w:r>
    </w:p>
    <w:p w14:paraId="084F7D73" w14:textId="77777777" w:rsidR="006D56EC" w:rsidRPr="00D920C9" w:rsidRDefault="006D56EC" w:rsidP="00C91E4F">
      <w:pPr>
        <w:pStyle w:val="ListParagraph"/>
        <w:numPr>
          <w:ilvl w:val="1"/>
          <w:numId w:val="25"/>
        </w:numPr>
        <w:spacing w:after="240" w:line="240" w:lineRule="auto"/>
        <w:ind w:left="1080" w:hanging="540"/>
        <w:contextualSpacing w:val="0"/>
        <w:jc w:val="both"/>
        <w:rPr>
          <w:rFonts w:asciiTheme="minorHAnsi" w:hAnsiTheme="minorHAnsi"/>
          <w:szCs w:val="20"/>
        </w:rPr>
      </w:pPr>
      <w:r w:rsidRPr="00D920C9">
        <w:rPr>
          <w:rFonts w:asciiTheme="minorHAnsi" w:hAnsiTheme="minorHAnsi"/>
          <w:szCs w:val="20"/>
        </w:rPr>
        <w:t>Inclusion of accurate accounts of violations in training materials, including police and judicial training materials, and in education</w:t>
      </w:r>
      <w:r w:rsidR="004B2CE1" w:rsidRPr="00D920C9">
        <w:rPr>
          <w:rFonts w:asciiTheme="minorHAnsi" w:hAnsiTheme="minorHAnsi"/>
          <w:szCs w:val="20"/>
        </w:rPr>
        <w:t>al</w:t>
      </w:r>
      <w:r w:rsidRPr="00D920C9">
        <w:rPr>
          <w:rFonts w:asciiTheme="minorHAnsi" w:hAnsiTheme="minorHAnsi"/>
          <w:szCs w:val="20"/>
        </w:rPr>
        <w:t xml:space="preserve"> materials at all levels of public education.</w:t>
      </w:r>
    </w:p>
    <w:p w14:paraId="6C8C4A50" w14:textId="77777777" w:rsidR="006D56EC" w:rsidRPr="00D920C9" w:rsidRDefault="006D56EC" w:rsidP="00DD6575">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szCs w:val="20"/>
        </w:rPr>
        <w:lastRenderedPageBreak/>
        <w:t xml:space="preserve">The Commission </w:t>
      </w:r>
      <w:r w:rsidRPr="00D920C9">
        <w:rPr>
          <w:rFonts w:asciiTheme="minorHAnsi" w:hAnsiTheme="minorHAnsi"/>
        </w:rPr>
        <w:t>recommends</w:t>
      </w:r>
      <w:r w:rsidRPr="00D920C9">
        <w:rPr>
          <w:rFonts w:asciiTheme="minorHAnsi" w:hAnsiTheme="minorHAnsi"/>
          <w:szCs w:val="20"/>
        </w:rPr>
        <w:t xml:space="preserve"> that guarantees of non-repetition may include principally:</w:t>
      </w:r>
    </w:p>
    <w:p w14:paraId="5D0BDF57" w14:textId="77777777" w:rsidR="006D56EC" w:rsidRPr="00D920C9" w:rsidRDefault="006D56EC" w:rsidP="00C91E4F">
      <w:pPr>
        <w:pStyle w:val="ListParagraph"/>
        <w:numPr>
          <w:ilvl w:val="0"/>
          <w:numId w:val="26"/>
        </w:numPr>
        <w:spacing w:after="120" w:line="240" w:lineRule="auto"/>
        <w:ind w:left="1080" w:hanging="540"/>
        <w:contextualSpacing w:val="0"/>
        <w:jc w:val="both"/>
        <w:rPr>
          <w:rFonts w:asciiTheme="minorHAnsi" w:hAnsiTheme="minorHAnsi"/>
          <w:szCs w:val="20"/>
        </w:rPr>
      </w:pPr>
      <w:r w:rsidRPr="00D920C9">
        <w:rPr>
          <w:rFonts w:asciiTheme="minorHAnsi" w:hAnsiTheme="minorHAnsi"/>
          <w:szCs w:val="20"/>
        </w:rPr>
        <w:t>Appropriately identifying, prosecuting and, as applicable, punishing all those responsible for unresolved cases of police homicides, and removing all de facto and legal mechanisms and obstacles in internal investigations, criminal proceedings, civil proceedings, and federal investigations that maintain impunity for cases of police killings;</w:t>
      </w:r>
    </w:p>
    <w:p w14:paraId="2B83E53F" w14:textId="77777777" w:rsidR="006D56EC" w:rsidRPr="00D920C9" w:rsidRDefault="006D56EC" w:rsidP="00C91E4F">
      <w:pPr>
        <w:pStyle w:val="ListParagraph"/>
        <w:numPr>
          <w:ilvl w:val="0"/>
          <w:numId w:val="26"/>
        </w:numPr>
        <w:spacing w:after="120" w:line="240" w:lineRule="auto"/>
        <w:ind w:left="1080" w:hanging="540"/>
        <w:contextualSpacing w:val="0"/>
        <w:jc w:val="both"/>
        <w:rPr>
          <w:rFonts w:asciiTheme="minorHAnsi" w:hAnsiTheme="minorHAnsi"/>
          <w:szCs w:val="20"/>
        </w:rPr>
      </w:pPr>
      <w:r w:rsidRPr="00D920C9">
        <w:rPr>
          <w:rFonts w:asciiTheme="minorHAnsi" w:hAnsiTheme="minorHAnsi"/>
          <w:szCs w:val="20"/>
        </w:rPr>
        <w:t>Taking into account the systematic patterns that characterize police killings both in their investigation and prosecution, and in the design of measures and initiatives to prevent them;</w:t>
      </w:r>
    </w:p>
    <w:p w14:paraId="7DFE7727" w14:textId="77777777" w:rsidR="006D56EC" w:rsidRPr="00D920C9" w:rsidRDefault="006D56EC" w:rsidP="00C91E4F">
      <w:pPr>
        <w:pStyle w:val="ListParagraph"/>
        <w:numPr>
          <w:ilvl w:val="0"/>
          <w:numId w:val="26"/>
        </w:numPr>
        <w:spacing w:after="120" w:line="240" w:lineRule="auto"/>
        <w:ind w:left="1080" w:hanging="540"/>
        <w:contextualSpacing w:val="0"/>
        <w:jc w:val="both"/>
        <w:rPr>
          <w:rFonts w:asciiTheme="minorHAnsi" w:hAnsiTheme="minorHAnsi"/>
          <w:szCs w:val="20"/>
        </w:rPr>
      </w:pPr>
      <w:r w:rsidRPr="00D920C9">
        <w:rPr>
          <w:rFonts w:asciiTheme="minorHAnsi" w:hAnsiTheme="minorHAnsi"/>
          <w:szCs w:val="20"/>
        </w:rPr>
        <w:t>Reviewing and reforming laws that contribute to or permit human rights violations by police, principally relating to international standards for non-discrimination and the use of force;</w:t>
      </w:r>
    </w:p>
    <w:p w14:paraId="262E0822" w14:textId="77777777" w:rsidR="006D56EC" w:rsidRPr="00D920C9" w:rsidRDefault="006D56EC" w:rsidP="00C91E4F">
      <w:pPr>
        <w:pStyle w:val="ListParagraph"/>
        <w:numPr>
          <w:ilvl w:val="0"/>
          <w:numId w:val="26"/>
        </w:numPr>
        <w:spacing w:after="120" w:line="240" w:lineRule="auto"/>
        <w:ind w:left="1080" w:hanging="540"/>
        <w:contextualSpacing w:val="0"/>
        <w:jc w:val="both"/>
        <w:rPr>
          <w:rFonts w:asciiTheme="minorHAnsi" w:hAnsiTheme="minorHAnsi"/>
          <w:szCs w:val="20"/>
        </w:rPr>
      </w:pPr>
      <w:r w:rsidRPr="00D920C9">
        <w:rPr>
          <w:rFonts w:asciiTheme="minorHAnsi" w:hAnsiTheme="minorHAnsi"/>
          <w:szCs w:val="20"/>
        </w:rPr>
        <w:t>Providing human rights education to all sectors of society and training for law enforcement officials at all levels, in particular in the areas of non-discrimination and use of force;</w:t>
      </w:r>
    </w:p>
    <w:p w14:paraId="4EFAC8A8" w14:textId="77777777" w:rsidR="006D56EC" w:rsidRPr="00D920C9" w:rsidRDefault="006D56EC" w:rsidP="00C91E4F">
      <w:pPr>
        <w:pStyle w:val="ListParagraph"/>
        <w:numPr>
          <w:ilvl w:val="0"/>
          <w:numId w:val="26"/>
        </w:numPr>
        <w:spacing w:after="120" w:line="240" w:lineRule="auto"/>
        <w:ind w:left="1080" w:hanging="540"/>
        <w:contextualSpacing w:val="0"/>
        <w:jc w:val="both"/>
        <w:rPr>
          <w:rFonts w:asciiTheme="minorHAnsi" w:hAnsiTheme="minorHAnsi"/>
          <w:szCs w:val="20"/>
        </w:rPr>
      </w:pPr>
      <w:r w:rsidRPr="00D920C9">
        <w:rPr>
          <w:rFonts w:asciiTheme="minorHAnsi" w:hAnsiTheme="minorHAnsi"/>
          <w:szCs w:val="20"/>
        </w:rPr>
        <w:t>Promoting the observance of clearly defined codes of conduct and ethical norms, in line with international standards, by all public servants, in particular law enforcement officials and justice operators (including prosecutors and judges);</w:t>
      </w:r>
    </w:p>
    <w:p w14:paraId="05F0B9BD" w14:textId="77777777" w:rsidR="006D56EC" w:rsidRPr="00D920C9" w:rsidRDefault="006D56EC" w:rsidP="00C91E4F">
      <w:pPr>
        <w:pStyle w:val="ListParagraph"/>
        <w:numPr>
          <w:ilvl w:val="0"/>
          <w:numId w:val="26"/>
        </w:numPr>
        <w:spacing w:after="120" w:line="240" w:lineRule="auto"/>
        <w:ind w:left="1080" w:hanging="540"/>
        <w:contextualSpacing w:val="0"/>
        <w:jc w:val="both"/>
        <w:rPr>
          <w:rFonts w:asciiTheme="minorHAnsi" w:hAnsiTheme="minorHAnsi"/>
          <w:szCs w:val="20"/>
        </w:rPr>
      </w:pPr>
      <w:r w:rsidRPr="00D920C9">
        <w:rPr>
          <w:rFonts w:asciiTheme="minorHAnsi" w:hAnsiTheme="minorHAnsi"/>
          <w:szCs w:val="20"/>
        </w:rPr>
        <w:t>Ensuring the independence, impartiality, and efficacy of investigatory and judicial mechanisms in cases of police violence, in order to ensure the prompt and effective investigation, prosecution and, as applicable, punishment of those responsible;</w:t>
      </w:r>
    </w:p>
    <w:p w14:paraId="7F123FEE" w14:textId="77777777" w:rsidR="006D56EC" w:rsidRPr="00D920C9" w:rsidRDefault="006D56EC" w:rsidP="00C91E4F">
      <w:pPr>
        <w:pStyle w:val="ListParagraph"/>
        <w:numPr>
          <w:ilvl w:val="0"/>
          <w:numId w:val="26"/>
        </w:numPr>
        <w:spacing w:after="240" w:line="240" w:lineRule="auto"/>
        <w:ind w:left="1080" w:hanging="540"/>
        <w:contextualSpacing w:val="0"/>
        <w:jc w:val="both"/>
        <w:rPr>
          <w:rFonts w:asciiTheme="minorHAnsi" w:hAnsiTheme="minorHAnsi"/>
          <w:szCs w:val="20"/>
        </w:rPr>
      </w:pPr>
      <w:r w:rsidRPr="00D920C9">
        <w:rPr>
          <w:rFonts w:asciiTheme="minorHAnsi" w:hAnsiTheme="minorHAnsi"/>
          <w:szCs w:val="20"/>
        </w:rPr>
        <w:t>Ensuring that all investigatory and judicial proceedings abide by international standards of due process, fairness, and impartiality.</w:t>
      </w:r>
    </w:p>
    <w:p w14:paraId="7A2B771B" w14:textId="77777777" w:rsidR="006D56EC" w:rsidRPr="00D920C9" w:rsidRDefault="006D56EC" w:rsidP="00DD6575">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rPr>
        <w:t>On non-repetition, the Commission considers pertinent to highlight in particular possible structural barriers to the effectiveness of civil lawsuits for police misconduct. As highlighted above,</w:t>
      </w:r>
      <w:r w:rsidRPr="00D920C9">
        <w:rPr>
          <w:rStyle w:val="FootnoteReference"/>
          <w:rFonts w:asciiTheme="minorHAnsi" w:hAnsiTheme="minorHAnsi"/>
          <w:szCs w:val="20"/>
        </w:rPr>
        <w:footnoteReference w:id="674"/>
      </w:r>
      <w:r w:rsidRPr="00D920C9">
        <w:rPr>
          <w:rFonts w:asciiTheme="minorHAnsi" w:hAnsiTheme="minorHAnsi"/>
          <w:szCs w:val="20"/>
        </w:rPr>
        <w:t xml:space="preserve"> when a plaintiff obtains a judgment against a police officer or police department for misconduct, it is generally the municipality that indemnifies the officer and pays the damages award out of taxpayer money</w:t>
      </w:r>
      <w:r w:rsidRPr="00D920C9">
        <w:rPr>
          <w:rFonts w:asciiTheme="minorHAnsi" w:hAnsiTheme="minorHAnsi"/>
        </w:rPr>
        <w:t xml:space="preserve">. Information indicates that most police departments do not know how much a city has paid for police misconduct, or which officers’ conduct resulted in a settlement. The Commission considers that this situation, in the municipalities, would present a case of moral hazard and likely contribute to the chronic repetition of police abuses, as it does not appropriately incentivize police </w:t>
      </w:r>
      <w:r w:rsidRPr="00D920C9">
        <w:rPr>
          <w:rFonts w:asciiTheme="minorHAnsi" w:hAnsiTheme="minorHAnsi"/>
        </w:rPr>
        <w:lastRenderedPageBreak/>
        <w:t>departments to take action to fire offending officers and reform protocols and practices to effectively avoid the commission of abuses in the future.</w:t>
      </w:r>
    </w:p>
    <w:p w14:paraId="70854B81" w14:textId="79B36E0F" w:rsidR="006D56EC" w:rsidRPr="00D920C9" w:rsidRDefault="006D56EC" w:rsidP="00DD6575">
      <w:pPr>
        <w:pStyle w:val="ListParagraph"/>
        <w:numPr>
          <w:ilvl w:val="0"/>
          <w:numId w:val="9"/>
        </w:numPr>
        <w:spacing w:after="240" w:line="240" w:lineRule="auto"/>
        <w:ind w:left="547" w:hanging="547"/>
        <w:contextualSpacing w:val="0"/>
        <w:jc w:val="both"/>
        <w:rPr>
          <w:rFonts w:asciiTheme="minorHAnsi" w:hAnsiTheme="minorHAnsi"/>
          <w:szCs w:val="20"/>
        </w:rPr>
      </w:pPr>
      <w:bookmarkStart w:id="254" w:name="_Ref507677109"/>
      <w:r w:rsidRPr="00D920C9">
        <w:rPr>
          <w:rFonts w:asciiTheme="minorHAnsi" w:hAnsiTheme="minorHAnsi"/>
        </w:rPr>
        <w:t xml:space="preserve">The Commission furthermore reiterates the importance of the federal government as a key guarantee against impunity where state and local investigation and prosecution of police violence fails or is ineffective. </w:t>
      </w:r>
      <w:r w:rsidR="00260121" w:rsidRPr="00D920C9">
        <w:rPr>
          <w:rFonts w:asciiTheme="minorHAnsi" w:hAnsiTheme="minorHAnsi"/>
        </w:rPr>
        <w:t>The Commission</w:t>
      </w:r>
      <w:r w:rsidRPr="00D920C9">
        <w:rPr>
          <w:rFonts w:asciiTheme="minorHAnsi" w:hAnsiTheme="minorHAnsi"/>
        </w:rPr>
        <w:t xml:space="preserve"> recalls the information described above</w:t>
      </w:r>
      <w:r w:rsidRPr="00D920C9">
        <w:rPr>
          <w:rFonts w:asciiTheme="minorHAnsi" w:hAnsiTheme="minorHAnsi"/>
          <w:vertAlign w:val="superscript"/>
        </w:rPr>
        <w:footnoteReference w:id="675"/>
      </w:r>
      <w:r w:rsidRPr="00D920C9">
        <w:rPr>
          <w:rFonts w:asciiTheme="minorHAnsi" w:hAnsiTheme="minorHAnsi"/>
        </w:rPr>
        <w:t xml:space="preserve"> regarding the difficulty of bringing federal criminal civil rights prosecutions under 18 U.S.C. § 242, and considers that reform of this law may be</w:t>
      </w:r>
      <w:r w:rsidRPr="00D920C9">
        <w:rPr>
          <w:rFonts w:asciiTheme="minorHAnsi" w:hAnsiTheme="minorHAnsi"/>
          <w:szCs w:val="20"/>
        </w:rPr>
        <w:t xml:space="preserve"> necessary in order to ensure that the federal government can appropriately serve as this backstop. The Commission additionally reiterates that it is critical that the federal government act to enforce its civil rights laws.</w:t>
      </w:r>
      <w:r w:rsidRPr="00D920C9">
        <w:rPr>
          <w:rStyle w:val="FootnoteReference"/>
          <w:rFonts w:asciiTheme="minorHAnsi" w:hAnsiTheme="minorHAnsi"/>
          <w:szCs w:val="20"/>
        </w:rPr>
        <w:footnoteReference w:id="676"/>
      </w:r>
      <w:bookmarkEnd w:id="254"/>
      <w:r w:rsidRPr="00D920C9">
        <w:rPr>
          <w:rFonts w:asciiTheme="minorHAnsi" w:hAnsiTheme="minorHAnsi"/>
          <w:szCs w:val="20"/>
        </w:rPr>
        <w:t xml:space="preserve"> </w:t>
      </w:r>
    </w:p>
    <w:p w14:paraId="44AE8814" w14:textId="77777777" w:rsidR="00B24BD8" w:rsidRPr="00D920C9" w:rsidRDefault="00B24BD8" w:rsidP="00B24BD8">
      <w:pPr>
        <w:autoSpaceDE w:val="0"/>
        <w:autoSpaceDN w:val="0"/>
        <w:adjustRightInd w:val="0"/>
        <w:spacing w:after="240" w:line="240" w:lineRule="auto"/>
        <w:jc w:val="both"/>
        <w:rPr>
          <w:rFonts w:asciiTheme="minorHAnsi" w:hAnsiTheme="minorHAnsi"/>
          <w:szCs w:val="20"/>
          <w:highlight w:val="lightGray"/>
        </w:rPr>
        <w:sectPr w:rsidR="00B24BD8" w:rsidRPr="00D920C9" w:rsidSect="00226E45">
          <w:headerReference w:type="default" r:id="rId33"/>
          <w:footerReference w:type="default" r:id="rId34"/>
          <w:type w:val="oddPage"/>
          <w:pgSz w:w="10080" w:h="14400" w:code="1"/>
          <w:pgMar w:top="1152" w:right="1152" w:bottom="1152" w:left="1296" w:header="720" w:footer="720" w:gutter="0"/>
          <w:cols w:space="708"/>
          <w:docGrid w:linePitch="360"/>
        </w:sectPr>
      </w:pPr>
    </w:p>
    <w:p w14:paraId="7DA87243" w14:textId="77777777" w:rsidR="00E027D0" w:rsidRDefault="00E027D0" w:rsidP="00007A36">
      <w:pPr>
        <w:pStyle w:val="CAP1"/>
      </w:pPr>
      <w:bookmarkStart w:id="255" w:name="_Toc511837848"/>
      <w:bookmarkStart w:id="256" w:name="_Toc511903021"/>
      <w:bookmarkStart w:id="257" w:name="_Toc517687950"/>
      <w:r>
        <w:rPr>
          <w:rFonts w:eastAsia="Calibri"/>
        </w:rPr>
        <w:lastRenderedPageBreak/>
        <w:t>CHAPTER 4</w:t>
      </w:r>
    </w:p>
    <w:p w14:paraId="3C5CB91A" w14:textId="4234730B" w:rsidR="00E027D0" w:rsidRDefault="00E027D0" w:rsidP="00E027D0">
      <w:pPr>
        <w:pStyle w:val="CAP2"/>
        <w:sectPr w:rsidR="00E027D0" w:rsidSect="00E027D0">
          <w:headerReference w:type="default" r:id="rId35"/>
          <w:footerReference w:type="default" r:id="rId36"/>
          <w:headerReference w:type="first" r:id="rId37"/>
          <w:type w:val="oddPage"/>
          <w:pgSz w:w="10080" w:h="14400" w:code="13"/>
          <w:pgMar w:top="1152" w:right="1152" w:bottom="1152" w:left="1296" w:header="720" w:footer="720" w:gutter="0"/>
          <w:cols w:space="708"/>
          <w:vAlign w:val="center"/>
          <w:docGrid w:linePitch="360"/>
        </w:sectPr>
      </w:pPr>
      <w:r>
        <w:t>CONCLUSIONS AND RECOMMENDATIONS</w:t>
      </w:r>
    </w:p>
    <w:p w14:paraId="76A7369D" w14:textId="528E330C" w:rsidR="00B4412C" w:rsidRPr="00D920C9" w:rsidRDefault="00B24BD8" w:rsidP="00007A36">
      <w:pPr>
        <w:pStyle w:val="Heading1"/>
      </w:pPr>
      <w:r w:rsidRPr="00D920C9">
        <w:rPr>
          <w:rFonts w:eastAsia="Calibri"/>
        </w:rPr>
        <w:lastRenderedPageBreak/>
        <w:t>CONCLUSION AND RECOMMENDATIONS</w:t>
      </w:r>
      <w:bookmarkEnd w:id="255"/>
      <w:bookmarkEnd w:id="256"/>
      <w:bookmarkEnd w:id="257"/>
    </w:p>
    <w:p w14:paraId="07E70C97" w14:textId="28CE87D9" w:rsidR="006D56EC" w:rsidRPr="00D920C9" w:rsidRDefault="006D56EC" w:rsidP="00DD6575">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szCs w:val="20"/>
        </w:rPr>
        <w:t xml:space="preserve">This report has highlighted the dimensions of structural and historic discrimination against African Americans in policing, resulting in the disproportionate use of excessive force by police, impunity </w:t>
      </w:r>
      <w:r w:rsidR="00D55025" w:rsidRPr="00D920C9">
        <w:rPr>
          <w:rFonts w:asciiTheme="minorHAnsi" w:hAnsiTheme="minorHAnsi"/>
          <w:szCs w:val="20"/>
        </w:rPr>
        <w:t>in such cases</w:t>
      </w:r>
      <w:r w:rsidRPr="00D920C9">
        <w:rPr>
          <w:rFonts w:asciiTheme="minorHAnsi" w:hAnsiTheme="minorHAnsi"/>
          <w:szCs w:val="20"/>
        </w:rPr>
        <w:t xml:space="preserve">, and structural barriers to access to justice for African </w:t>
      </w:r>
      <w:r w:rsidR="00A93516" w:rsidRPr="00D920C9">
        <w:rPr>
          <w:rFonts w:asciiTheme="minorHAnsi" w:hAnsiTheme="minorHAnsi"/>
          <w:szCs w:val="20"/>
        </w:rPr>
        <w:t>Americans</w:t>
      </w:r>
      <w:r w:rsidRPr="00D920C9">
        <w:rPr>
          <w:rFonts w:asciiTheme="minorHAnsi" w:hAnsiTheme="minorHAnsi"/>
          <w:szCs w:val="20"/>
        </w:rPr>
        <w:t xml:space="preserve">. The report has </w:t>
      </w:r>
      <w:r w:rsidR="00D55025" w:rsidRPr="00D920C9">
        <w:rPr>
          <w:rFonts w:asciiTheme="minorHAnsi" w:hAnsiTheme="minorHAnsi"/>
          <w:szCs w:val="20"/>
        </w:rPr>
        <w:t>taken into account</w:t>
      </w:r>
      <w:r w:rsidRPr="00D920C9">
        <w:rPr>
          <w:rFonts w:asciiTheme="minorHAnsi" w:hAnsiTheme="minorHAnsi"/>
          <w:szCs w:val="20"/>
        </w:rPr>
        <w:t xml:space="preserve"> that these issues of structural racism and discrimination are closely </w:t>
      </w:r>
      <w:r w:rsidR="00A93516" w:rsidRPr="00D920C9">
        <w:rPr>
          <w:rFonts w:asciiTheme="minorHAnsi" w:hAnsiTheme="minorHAnsi"/>
          <w:szCs w:val="20"/>
        </w:rPr>
        <w:t>linked</w:t>
      </w:r>
      <w:r w:rsidRPr="00D920C9">
        <w:rPr>
          <w:rFonts w:asciiTheme="minorHAnsi" w:hAnsiTheme="minorHAnsi"/>
          <w:szCs w:val="20"/>
        </w:rPr>
        <w:t xml:space="preserve"> to other </w:t>
      </w:r>
      <w:r w:rsidR="00494E8F" w:rsidRPr="00D920C9">
        <w:rPr>
          <w:rFonts w:asciiTheme="minorHAnsi" w:hAnsiTheme="minorHAnsi"/>
          <w:szCs w:val="20"/>
        </w:rPr>
        <w:t>systemic</w:t>
      </w:r>
      <w:r w:rsidRPr="00D920C9">
        <w:rPr>
          <w:rFonts w:asciiTheme="minorHAnsi" w:hAnsiTheme="minorHAnsi"/>
          <w:szCs w:val="20"/>
        </w:rPr>
        <w:t xml:space="preserve"> issues whose close </w:t>
      </w:r>
      <w:r w:rsidRPr="00D920C9">
        <w:rPr>
          <w:rFonts w:asciiTheme="minorHAnsi" w:hAnsiTheme="minorHAnsi"/>
        </w:rPr>
        <w:t xml:space="preserve">analysis is beyond the scope of this report, including discrimination in the wider criminal justice system and in access to and </w:t>
      </w:r>
      <w:r w:rsidR="00A93516" w:rsidRPr="00D920C9">
        <w:rPr>
          <w:rFonts w:asciiTheme="minorHAnsi" w:hAnsiTheme="minorHAnsi"/>
        </w:rPr>
        <w:t>quality</w:t>
      </w:r>
      <w:r w:rsidRPr="00D920C9">
        <w:rPr>
          <w:rFonts w:asciiTheme="minorHAnsi" w:hAnsiTheme="minorHAnsi"/>
        </w:rPr>
        <w:t xml:space="preserve"> of housing, education, healthcare, employment, and other rights.</w:t>
      </w:r>
      <w:r w:rsidR="00BE5B01" w:rsidRPr="00D920C9">
        <w:rPr>
          <w:rFonts w:asciiTheme="minorHAnsi" w:hAnsiTheme="minorHAnsi"/>
        </w:rPr>
        <w:t xml:space="preserve"> </w:t>
      </w:r>
      <w:r w:rsidR="00260121" w:rsidRPr="00D920C9">
        <w:rPr>
          <w:rFonts w:asciiTheme="minorHAnsi" w:hAnsiTheme="minorHAnsi"/>
        </w:rPr>
        <w:t>T</w:t>
      </w:r>
      <w:r w:rsidR="00BE5B01" w:rsidRPr="00D920C9">
        <w:rPr>
          <w:rFonts w:asciiTheme="minorHAnsi" w:hAnsiTheme="minorHAnsi"/>
        </w:rPr>
        <w:t>he Commission calls on</w:t>
      </w:r>
      <w:r w:rsidR="00E662E2" w:rsidRPr="00D920C9">
        <w:rPr>
          <w:rFonts w:asciiTheme="minorHAnsi" w:hAnsiTheme="minorHAnsi"/>
        </w:rPr>
        <w:t xml:space="preserve"> the</w:t>
      </w:r>
      <w:r w:rsidR="00BE5B01" w:rsidRPr="00D920C9">
        <w:rPr>
          <w:rFonts w:asciiTheme="minorHAnsi" w:hAnsiTheme="minorHAnsi"/>
        </w:rPr>
        <w:t xml:space="preserve"> State to continue researching, documenting, and analyzing these issues in order to effectively address situations of discrimination</w:t>
      </w:r>
      <w:r w:rsidR="00795F3B" w:rsidRPr="00D920C9">
        <w:rPr>
          <w:rFonts w:asciiTheme="minorHAnsi" w:hAnsiTheme="minorHAnsi"/>
        </w:rPr>
        <w:t xml:space="preserve"> and to provide ample opportunities for civil society inputs, participation, and access to information</w:t>
      </w:r>
      <w:r w:rsidR="00BE5B01" w:rsidRPr="00D920C9">
        <w:rPr>
          <w:rFonts w:asciiTheme="minorHAnsi" w:hAnsiTheme="minorHAnsi"/>
        </w:rPr>
        <w:t>.</w:t>
      </w:r>
    </w:p>
    <w:p w14:paraId="45DAB188" w14:textId="77777777" w:rsidR="006D56EC" w:rsidRPr="00D920C9" w:rsidRDefault="00260121" w:rsidP="00DD6575">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w:t>
      </w:r>
      <w:r w:rsidR="006D56EC" w:rsidRPr="00D920C9">
        <w:rPr>
          <w:rFonts w:asciiTheme="minorHAnsi" w:hAnsiTheme="minorHAnsi"/>
        </w:rPr>
        <w:t xml:space="preserve">here is a clear need for federal, state, and local governments to undertake steps with due diligence and without </w:t>
      </w:r>
      <w:r w:rsidR="00A93516" w:rsidRPr="00D920C9">
        <w:rPr>
          <w:rFonts w:asciiTheme="minorHAnsi" w:hAnsiTheme="minorHAnsi"/>
        </w:rPr>
        <w:t>delay</w:t>
      </w:r>
      <w:r w:rsidR="006D56EC" w:rsidRPr="00D920C9">
        <w:rPr>
          <w:rFonts w:asciiTheme="minorHAnsi" w:hAnsiTheme="minorHAnsi"/>
        </w:rPr>
        <w:t xml:space="preserve"> to address the context which fuels forms of structural discrimination and disparate treatment against African Americans and other historically marginalized groups in the United States. This is vital to enable the full exercise of </w:t>
      </w:r>
      <w:r w:rsidR="00260D9A" w:rsidRPr="00D920C9">
        <w:rPr>
          <w:rFonts w:asciiTheme="minorHAnsi" w:hAnsiTheme="minorHAnsi"/>
        </w:rPr>
        <w:t>rights</w:t>
      </w:r>
      <w:r w:rsidR="006D56EC" w:rsidRPr="00D920C9">
        <w:rPr>
          <w:rFonts w:asciiTheme="minorHAnsi" w:hAnsiTheme="minorHAnsi"/>
        </w:rPr>
        <w:t xml:space="preserve"> by African Americans and to foster a more inclusive democracy in the United States.</w:t>
      </w:r>
    </w:p>
    <w:p w14:paraId="71D97C7B" w14:textId="77777777" w:rsidR="006D56EC" w:rsidRPr="00D920C9" w:rsidRDefault="006D56EC" w:rsidP="00DD6575">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On the basis of information gathered through its monitoring mechanisms, during the on-site visit, and in hearings, the Commission has found a pattern of discriminatory and excessive use of force by police against African Americans. The Commission considers that this pattern places the United States in violation of its obligation under international</w:t>
      </w:r>
      <w:r w:rsidR="00795F3B" w:rsidRPr="00D920C9">
        <w:rPr>
          <w:rFonts w:asciiTheme="minorHAnsi" w:hAnsiTheme="minorHAnsi"/>
        </w:rPr>
        <w:t xml:space="preserve"> law</w:t>
      </w:r>
      <w:r w:rsidRPr="00D920C9">
        <w:rPr>
          <w:rFonts w:asciiTheme="minorHAnsi" w:hAnsiTheme="minorHAnsi"/>
        </w:rPr>
        <w:t xml:space="preserve"> to protect the rights to life, personal integrity, and equality before the law. Addressing the international standards on non-discrimination, use of force, and access to justice, the Commission has highlighted its principal concerns about U</w:t>
      </w:r>
      <w:r w:rsidR="00AE5038" w:rsidRPr="00D920C9">
        <w:rPr>
          <w:rFonts w:asciiTheme="minorHAnsi" w:hAnsiTheme="minorHAnsi"/>
        </w:rPr>
        <w:t>.</w:t>
      </w:r>
      <w:r w:rsidRPr="00D920C9">
        <w:rPr>
          <w:rFonts w:asciiTheme="minorHAnsi" w:hAnsiTheme="minorHAnsi"/>
        </w:rPr>
        <w:t>S</w:t>
      </w:r>
      <w:r w:rsidR="00AE5038" w:rsidRPr="00D920C9">
        <w:rPr>
          <w:rFonts w:asciiTheme="minorHAnsi" w:hAnsiTheme="minorHAnsi"/>
        </w:rPr>
        <w:t>.</w:t>
      </w:r>
      <w:r w:rsidRPr="00D920C9">
        <w:rPr>
          <w:rFonts w:asciiTheme="minorHAnsi" w:hAnsiTheme="minorHAnsi"/>
        </w:rPr>
        <w:t xml:space="preserve"> compliance with these international principles, as well as concrete recommendations for bringing domestic law and practice into line with international law.</w:t>
      </w:r>
    </w:p>
    <w:p w14:paraId="3F895EDD" w14:textId="727A27E3" w:rsidR="00301E46" w:rsidRPr="00D920C9" w:rsidRDefault="00301E46" w:rsidP="00DD6575">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Regarding non-discrimination, the Commission has highlighted that laws and practices that have a discriminatory effect (disparate impact) are prohibited under international law</w:t>
      </w:r>
      <w:proofErr w:type="gramStart"/>
      <w:r w:rsidR="00795F3B" w:rsidRPr="00D920C9">
        <w:rPr>
          <w:rFonts w:asciiTheme="minorHAnsi" w:hAnsiTheme="minorHAnsi"/>
        </w:rPr>
        <w:t>.</w:t>
      </w:r>
      <w:r w:rsidRPr="00D920C9">
        <w:rPr>
          <w:rFonts w:asciiTheme="minorHAnsi" w:hAnsiTheme="minorHAnsi"/>
        </w:rPr>
        <w:t>.</w:t>
      </w:r>
      <w:proofErr w:type="gramEnd"/>
      <w:r w:rsidRPr="00D920C9">
        <w:rPr>
          <w:rFonts w:asciiTheme="minorHAnsi" w:hAnsiTheme="minorHAnsi"/>
        </w:rPr>
        <w:t xml:space="preserve"> It is urgent that the U</w:t>
      </w:r>
      <w:r w:rsidR="00AE5038" w:rsidRPr="00D920C9">
        <w:rPr>
          <w:rFonts w:asciiTheme="minorHAnsi" w:hAnsiTheme="minorHAnsi"/>
        </w:rPr>
        <w:t>.</w:t>
      </w:r>
      <w:r w:rsidRPr="00D920C9">
        <w:rPr>
          <w:rFonts w:asciiTheme="minorHAnsi" w:hAnsiTheme="minorHAnsi"/>
        </w:rPr>
        <w:t>S</w:t>
      </w:r>
      <w:r w:rsidR="00AE5038" w:rsidRPr="00D920C9">
        <w:rPr>
          <w:rFonts w:asciiTheme="minorHAnsi" w:hAnsiTheme="minorHAnsi"/>
        </w:rPr>
        <w:t>.</w:t>
      </w:r>
      <w:r w:rsidRPr="00D920C9">
        <w:rPr>
          <w:rFonts w:asciiTheme="minorHAnsi" w:hAnsiTheme="minorHAnsi"/>
        </w:rPr>
        <w:t xml:space="preserve"> bring its domestic law in line with international standards in this regard. The </w:t>
      </w:r>
      <w:r w:rsidRPr="00D920C9">
        <w:rPr>
          <w:rFonts w:asciiTheme="minorHAnsi" w:hAnsiTheme="minorHAnsi"/>
        </w:rPr>
        <w:lastRenderedPageBreak/>
        <w:t xml:space="preserve">Commission </w:t>
      </w:r>
      <w:r w:rsidR="00795F3B" w:rsidRPr="00D920C9">
        <w:rPr>
          <w:rFonts w:asciiTheme="minorHAnsi" w:hAnsiTheme="minorHAnsi"/>
        </w:rPr>
        <w:t>has emphasized</w:t>
      </w:r>
      <w:r w:rsidRPr="00D920C9">
        <w:rPr>
          <w:rFonts w:asciiTheme="minorHAnsi" w:hAnsiTheme="minorHAnsi"/>
        </w:rPr>
        <w:t xml:space="preserve"> that racial profiling practices may amount to inhumane or degrading treatment under international law.</w:t>
      </w:r>
    </w:p>
    <w:p w14:paraId="14091895" w14:textId="7B98BBC4" w:rsidR="00301E46" w:rsidRPr="00D920C9" w:rsidRDefault="00301E46" w:rsidP="00DD6575">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Regarding use of force, the Commission has reiterated that the protection against arbitrary deprivations of life applies to the entire State structure—including federal, state, and local government entities—and to all actions of police officers. </w:t>
      </w:r>
      <w:r w:rsidR="00795F3B" w:rsidRPr="00D920C9">
        <w:rPr>
          <w:rFonts w:asciiTheme="minorHAnsi" w:hAnsiTheme="minorHAnsi"/>
        </w:rPr>
        <w:t xml:space="preserve"> P</w:t>
      </w:r>
      <w:r w:rsidRPr="00D920C9">
        <w:rPr>
          <w:rFonts w:asciiTheme="minorHAnsi" w:hAnsiTheme="minorHAnsi"/>
        </w:rPr>
        <w:t xml:space="preserve">olice use of force must be guided by the principles of </w:t>
      </w:r>
      <w:r w:rsidR="00795F3B" w:rsidRPr="00D920C9">
        <w:rPr>
          <w:rFonts w:asciiTheme="minorHAnsi" w:hAnsiTheme="minorHAnsi"/>
        </w:rPr>
        <w:t>legality, absolute necessity and</w:t>
      </w:r>
      <w:r w:rsidRPr="00D920C9">
        <w:rPr>
          <w:rFonts w:asciiTheme="minorHAnsi" w:hAnsiTheme="minorHAnsi"/>
        </w:rPr>
        <w:t xml:space="preserve"> proportionality, and used only when other methods have been exhausted and failed. The Commission </w:t>
      </w:r>
      <w:r w:rsidR="00B314B4" w:rsidRPr="00D920C9">
        <w:rPr>
          <w:rFonts w:asciiTheme="minorHAnsi" w:hAnsiTheme="minorHAnsi"/>
        </w:rPr>
        <w:t xml:space="preserve">has </w:t>
      </w:r>
      <w:r w:rsidRPr="00D920C9">
        <w:rPr>
          <w:rFonts w:asciiTheme="minorHAnsi" w:hAnsiTheme="minorHAnsi"/>
        </w:rPr>
        <w:t>call</w:t>
      </w:r>
      <w:r w:rsidR="00B314B4" w:rsidRPr="00D920C9">
        <w:rPr>
          <w:rFonts w:asciiTheme="minorHAnsi" w:hAnsiTheme="minorHAnsi"/>
        </w:rPr>
        <w:t>ed</w:t>
      </w:r>
      <w:r w:rsidRPr="00D920C9">
        <w:rPr>
          <w:rFonts w:asciiTheme="minorHAnsi" w:hAnsiTheme="minorHAnsi"/>
        </w:rPr>
        <w:t xml:space="preserve"> on the </w:t>
      </w:r>
      <w:r w:rsidR="0017556C" w:rsidRPr="00D920C9">
        <w:rPr>
          <w:rFonts w:asciiTheme="minorHAnsi" w:hAnsiTheme="minorHAnsi"/>
        </w:rPr>
        <w:t>U.S.</w:t>
      </w:r>
      <w:r w:rsidRPr="00D920C9">
        <w:rPr>
          <w:rFonts w:asciiTheme="minorHAnsi" w:hAnsiTheme="minorHAnsi"/>
        </w:rPr>
        <w:t xml:space="preserve"> to bring its domestic law in line with international standards in this area. </w:t>
      </w:r>
      <w:r w:rsidR="0017556C" w:rsidRPr="00D920C9">
        <w:rPr>
          <w:rFonts w:asciiTheme="minorHAnsi" w:hAnsiTheme="minorHAnsi"/>
        </w:rPr>
        <w:t>It</w:t>
      </w:r>
      <w:r w:rsidRPr="00D920C9">
        <w:rPr>
          <w:rFonts w:asciiTheme="minorHAnsi" w:hAnsiTheme="minorHAnsi"/>
        </w:rPr>
        <w:t xml:space="preserve"> </w:t>
      </w:r>
      <w:r w:rsidR="00795F3B" w:rsidRPr="00D920C9">
        <w:rPr>
          <w:rFonts w:asciiTheme="minorHAnsi" w:hAnsiTheme="minorHAnsi"/>
        </w:rPr>
        <w:t>has</w:t>
      </w:r>
      <w:r w:rsidRPr="00D920C9">
        <w:rPr>
          <w:rFonts w:asciiTheme="minorHAnsi" w:hAnsiTheme="minorHAnsi"/>
        </w:rPr>
        <w:t xml:space="preserve"> highlight</w:t>
      </w:r>
      <w:r w:rsidR="00B314B4" w:rsidRPr="00D920C9">
        <w:rPr>
          <w:rFonts w:asciiTheme="minorHAnsi" w:hAnsiTheme="minorHAnsi"/>
        </w:rPr>
        <w:t>ed</w:t>
      </w:r>
      <w:r w:rsidRPr="00D920C9">
        <w:rPr>
          <w:rFonts w:asciiTheme="minorHAnsi" w:hAnsiTheme="minorHAnsi"/>
        </w:rPr>
        <w:t xml:space="preserve"> that excessive use of force by police may amount to cruel, inhuman, or degrading treatment or torture under certain circumstances</w:t>
      </w:r>
      <w:r w:rsidR="00B314B4" w:rsidRPr="00D920C9">
        <w:rPr>
          <w:rFonts w:asciiTheme="minorHAnsi" w:hAnsiTheme="minorHAnsi"/>
        </w:rPr>
        <w:t>, particularly where it is committed for any reason based on discrimination of any kind</w:t>
      </w:r>
      <w:r w:rsidRPr="00D920C9">
        <w:rPr>
          <w:rFonts w:asciiTheme="minorHAnsi" w:hAnsiTheme="minorHAnsi"/>
        </w:rPr>
        <w:t xml:space="preserve">. </w:t>
      </w:r>
      <w:r w:rsidR="00B314B4" w:rsidRPr="00D920C9">
        <w:rPr>
          <w:rFonts w:asciiTheme="minorHAnsi" w:hAnsiTheme="minorHAnsi"/>
        </w:rPr>
        <w:t>And</w:t>
      </w:r>
      <w:r w:rsidRPr="00D920C9">
        <w:rPr>
          <w:rFonts w:asciiTheme="minorHAnsi" w:hAnsiTheme="minorHAnsi"/>
        </w:rPr>
        <w:t xml:space="preserve"> the Commission</w:t>
      </w:r>
      <w:r w:rsidR="00B314B4" w:rsidRPr="00D920C9">
        <w:rPr>
          <w:rFonts w:asciiTheme="minorHAnsi" w:hAnsiTheme="minorHAnsi"/>
        </w:rPr>
        <w:t xml:space="preserve"> has</w:t>
      </w:r>
      <w:r w:rsidRPr="00D920C9">
        <w:rPr>
          <w:rFonts w:asciiTheme="minorHAnsi" w:hAnsiTheme="minorHAnsi"/>
        </w:rPr>
        <w:t xml:space="preserve"> underscore</w:t>
      </w:r>
      <w:r w:rsidR="00B314B4" w:rsidRPr="00D920C9">
        <w:rPr>
          <w:rFonts w:asciiTheme="minorHAnsi" w:hAnsiTheme="minorHAnsi"/>
        </w:rPr>
        <w:t>d</w:t>
      </w:r>
      <w:r w:rsidRPr="00D920C9">
        <w:rPr>
          <w:rFonts w:asciiTheme="minorHAnsi" w:hAnsiTheme="minorHAnsi"/>
        </w:rPr>
        <w:t xml:space="preserve"> the need to safeguard the basic human rights of protesters, including their rights to life and physical and psychological integrity</w:t>
      </w:r>
      <w:r w:rsidR="00B314B4" w:rsidRPr="00D920C9">
        <w:rPr>
          <w:rFonts w:asciiTheme="minorHAnsi" w:hAnsiTheme="minorHAnsi"/>
        </w:rPr>
        <w:t>, as well as considerations related to the regulation of the use of lethal force and less lethal weapons in protest situations.</w:t>
      </w:r>
    </w:p>
    <w:p w14:paraId="3C00CCDE" w14:textId="2D684245" w:rsidR="00301E46" w:rsidRPr="00D920C9" w:rsidRDefault="00301E46" w:rsidP="00DD6575">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Regarding access to justice, the Commission </w:t>
      </w:r>
      <w:r w:rsidR="00B314B4" w:rsidRPr="00D920C9">
        <w:rPr>
          <w:rFonts w:asciiTheme="minorHAnsi" w:hAnsiTheme="minorHAnsi"/>
        </w:rPr>
        <w:t>has emphasized</w:t>
      </w:r>
      <w:r w:rsidRPr="00D920C9">
        <w:rPr>
          <w:rFonts w:asciiTheme="minorHAnsi" w:hAnsiTheme="minorHAnsi"/>
        </w:rPr>
        <w:t xml:space="preserve"> that the government—federal, state, and local—is responsible for ensuring access to justice, including exercising due diligence in the independent and impartial investigation and prosecution of police abuses, and ensuring accountability and punishment of all those responsible for a violation; establishing adequate, effective, and accessible legal remedies for police violence; and ensuring reparations for victims. The Commission recalls that impunity fosters an environment in which police violence and abuses are tolerated and</w:t>
      </w:r>
      <w:r w:rsidR="00C17916" w:rsidRPr="00D920C9">
        <w:rPr>
          <w:rFonts w:asciiTheme="minorHAnsi" w:hAnsiTheme="minorHAnsi"/>
        </w:rPr>
        <w:t xml:space="preserve"> even</w:t>
      </w:r>
      <w:r w:rsidRPr="00D920C9">
        <w:rPr>
          <w:rFonts w:asciiTheme="minorHAnsi" w:hAnsiTheme="minorHAnsi"/>
        </w:rPr>
        <w:t xml:space="preserve"> expected, and serves to sustain disparate treatment towards</w:t>
      </w:r>
      <w:r w:rsidR="00C17916" w:rsidRPr="00D920C9">
        <w:rPr>
          <w:rFonts w:asciiTheme="minorHAnsi" w:hAnsiTheme="minorHAnsi"/>
        </w:rPr>
        <w:t xml:space="preserve"> people of color</w:t>
      </w:r>
      <w:r w:rsidRPr="00D920C9">
        <w:rPr>
          <w:rFonts w:asciiTheme="minorHAnsi" w:hAnsiTheme="minorHAnsi"/>
        </w:rPr>
        <w:t>.</w:t>
      </w:r>
      <w:r w:rsidR="00B314B4" w:rsidRPr="00D920C9">
        <w:rPr>
          <w:rFonts w:asciiTheme="minorHAnsi" w:hAnsiTheme="minorHAnsi"/>
        </w:rPr>
        <w:t xml:space="preserve"> The Commission has additionally noted the State’s duty to take measures to prevent and respond to violence on the part of State and non-State actors explicitly or implicitly motivated by racial bias.</w:t>
      </w:r>
    </w:p>
    <w:p w14:paraId="05C03818" w14:textId="77777777" w:rsidR="006D56EC" w:rsidRPr="00D920C9" w:rsidRDefault="006D56EC" w:rsidP="00DD6575">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Commission recalls that the guarantee and enjoyment of economic, social, cultural, and environmental rights is indivisible from the guarantee and enjoyment of civil and political rights. In this regard, the Commission has considered that discrimination against African Americans in policing and the criminal justice system is necessarily linked to the structural situation of racialized poverty in which many African Americans live. In this </w:t>
      </w:r>
      <w:r w:rsidR="00260121" w:rsidRPr="00D920C9">
        <w:rPr>
          <w:rFonts w:asciiTheme="minorHAnsi" w:hAnsiTheme="minorHAnsi"/>
        </w:rPr>
        <w:t>sense</w:t>
      </w:r>
      <w:r w:rsidRPr="00D920C9">
        <w:rPr>
          <w:rFonts w:asciiTheme="minorHAnsi" w:hAnsiTheme="minorHAnsi"/>
        </w:rPr>
        <w:t>, any policy or initiative intended to mitigate police violence against African Americans should be paired with policies designed to remedy the disparity in access to health, housing, education, work, and other rights that has historically been fomented through structural discrimination. The Commission reiterates the need for the State to adopt prompt measures to address obstacles to the exercise, respect for, and guarantee of all human rights of Afro-descendants</w:t>
      </w:r>
      <w:r w:rsidR="00904A46" w:rsidRPr="00D920C9">
        <w:rPr>
          <w:rFonts w:asciiTheme="minorHAnsi" w:hAnsiTheme="minorHAnsi"/>
        </w:rPr>
        <w:t xml:space="preserve"> </w:t>
      </w:r>
      <w:r w:rsidRPr="00D920C9">
        <w:rPr>
          <w:rFonts w:asciiTheme="minorHAnsi" w:hAnsiTheme="minorHAnsi"/>
        </w:rPr>
        <w:t>in the United States.</w:t>
      </w:r>
    </w:p>
    <w:p w14:paraId="3A34A339" w14:textId="77777777" w:rsidR="006D56EC" w:rsidRPr="00D920C9" w:rsidRDefault="00260121" w:rsidP="00DD6575">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lastRenderedPageBreak/>
        <w:t>T</w:t>
      </w:r>
      <w:r w:rsidR="006D56EC" w:rsidRPr="00D920C9">
        <w:rPr>
          <w:rFonts w:asciiTheme="minorHAnsi" w:hAnsiTheme="minorHAnsi"/>
        </w:rPr>
        <w:t xml:space="preserve">he Commission has previously considered that positive </w:t>
      </w:r>
      <w:r w:rsidR="000C369C" w:rsidRPr="00D920C9">
        <w:rPr>
          <w:rFonts w:asciiTheme="minorHAnsi" w:hAnsiTheme="minorHAnsi"/>
        </w:rPr>
        <w:t>special</w:t>
      </w:r>
      <w:r w:rsidR="006D56EC" w:rsidRPr="00D920C9">
        <w:rPr>
          <w:rFonts w:asciiTheme="minorHAnsi" w:hAnsiTheme="minorHAnsi"/>
        </w:rPr>
        <w:t xml:space="preserve"> measures are essential to eradicate racial discrimination in the Hemisphere and effectively guarantee the rights of Afro-descendants. It has recommended the collection of proper and disaggregated information about the nature of racial discrimination, and the devotion of sufficient and specific human and financial resources not only to neutralizing prejudice and racial stereotypes, but also to improving the living conditions of Afro-descendants in the areas of health, housing, education, and work, paying particular attention to the phenomenon of intersectional discrimination.</w:t>
      </w:r>
      <w:r w:rsidR="006D56EC" w:rsidRPr="00D920C9">
        <w:rPr>
          <w:rFonts w:asciiTheme="minorHAnsi" w:hAnsiTheme="minorHAnsi"/>
          <w:vertAlign w:val="superscript"/>
        </w:rPr>
        <w:footnoteReference w:id="677"/>
      </w:r>
      <w:r w:rsidR="006D56EC" w:rsidRPr="00D920C9">
        <w:rPr>
          <w:rFonts w:asciiTheme="minorHAnsi" w:hAnsiTheme="minorHAnsi"/>
        </w:rPr>
        <w:t xml:space="preserve"> </w:t>
      </w:r>
    </w:p>
    <w:p w14:paraId="10668585" w14:textId="77777777" w:rsidR="00B4412C" w:rsidRPr="00D920C9" w:rsidRDefault="006D56EC" w:rsidP="00DD6575">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 xml:space="preserve">The Commission expresses its hope that this report will contribute to improving and strengthening legislation, policies, and practices at every level of government in order to address </w:t>
      </w:r>
      <w:r w:rsidR="00A93516" w:rsidRPr="00D920C9">
        <w:rPr>
          <w:rFonts w:asciiTheme="minorHAnsi" w:hAnsiTheme="minorHAnsi"/>
        </w:rPr>
        <w:t>institutional</w:t>
      </w:r>
      <w:r w:rsidRPr="00D920C9">
        <w:rPr>
          <w:rFonts w:asciiTheme="minorHAnsi" w:hAnsiTheme="minorHAnsi"/>
        </w:rPr>
        <w:t xml:space="preserve"> discrimination that has been fostered through law enforcement practices and throughout the criminal justice system.</w:t>
      </w:r>
    </w:p>
    <w:p w14:paraId="481D018E" w14:textId="1ADA068D" w:rsidR="00B4412C" w:rsidRPr="00D920C9" w:rsidRDefault="00B4412C" w:rsidP="00DD6575">
      <w:pPr>
        <w:pStyle w:val="ListParagraph"/>
        <w:numPr>
          <w:ilvl w:val="0"/>
          <w:numId w:val="9"/>
        </w:numPr>
        <w:spacing w:after="240" w:line="240" w:lineRule="auto"/>
        <w:ind w:left="547" w:hanging="547"/>
        <w:contextualSpacing w:val="0"/>
        <w:jc w:val="both"/>
        <w:rPr>
          <w:rFonts w:asciiTheme="minorHAnsi" w:hAnsiTheme="minorHAnsi"/>
        </w:rPr>
      </w:pPr>
      <w:r w:rsidRPr="00D920C9">
        <w:rPr>
          <w:rFonts w:asciiTheme="minorHAnsi" w:hAnsiTheme="minorHAnsi"/>
        </w:rPr>
        <w:t>The Commission acknowledges the efforts of the State to date to address discriminatory police practices</w:t>
      </w:r>
      <w:r w:rsidR="00B314B4" w:rsidRPr="00D920C9">
        <w:rPr>
          <w:rFonts w:asciiTheme="minorHAnsi" w:hAnsiTheme="minorHAnsi"/>
        </w:rPr>
        <w:t>, excessive use of force, and impunity, among other</w:t>
      </w:r>
      <w:r w:rsidR="00C17916" w:rsidRPr="00D920C9">
        <w:rPr>
          <w:rFonts w:asciiTheme="minorHAnsi" w:hAnsiTheme="minorHAnsi"/>
        </w:rPr>
        <w:t xml:space="preserve"> challenges</w:t>
      </w:r>
      <w:r w:rsidRPr="00D920C9">
        <w:rPr>
          <w:rFonts w:asciiTheme="minorHAnsi" w:hAnsiTheme="minorHAnsi"/>
        </w:rPr>
        <w:t xml:space="preserve">. It encourages the State to continue those efforts.  </w:t>
      </w:r>
      <w:r w:rsidR="001D670E" w:rsidRPr="00D920C9">
        <w:rPr>
          <w:rFonts w:asciiTheme="minorHAnsi" w:hAnsiTheme="minorHAnsi"/>
        </w:rPr>
        <w:t>The IACHR reiterates that it is open to dialogue with the State and willing to provide technical assistance to support the process of compliance with the recommendations in this report, in order to move forward in the protection of human rights of the people of the United States.</w:t>
      </w:r>
    </w:p>
    <w:p w14:paraId="1BD16DF1" w14:textId="77777777" w:rsidR="00B4412C" w:rsidRPr="00D920C9" w:rsidRDefault="00B4412C" w:rsidP="00DD6575">
      <w:pPr>
        <w:pStyle w:val="ListParagraph"/>
        <w:numPr>
          <w:ilvl w:val="0"/>
          <w:numId w:val="9"/>
        </w:numPr>
        <w:spacing w:after="240" w:line="240" w:lineRule="auto"/>
        <w:ind w:left="547" w:hanging="547"/>
        <w:contextualSpacing w:val="0"/>
        <w:jc w:val="both"/>
        <w:rPr>
          <w:rFonts w:asciiTheme="minorHAnsi" w:hAnsiTheme="minorHAnsi"/>
          <w:szCs w:val="20"/>
        </w:rPr>
      </w:pPr>
      <w:r w:rsidRPr="00D920C9">
        <w:rPr>
          <w:rFonts w:asciiTheme="minorHAnsi" w:hAnsiTheme="minorHAnsi"/>
        </w:rPr>
        <w:t xml:space="preserve">The following recommendations </w:t>
      </w:r>
      <w:r w:rsidR="00A93516" w:rsidRPr="00D920C9">
        <w:rPr>
          <w:rFonts w:asciiTheme="minorHAnsi" w:hAnsiTheme="minorHAnsi"/>
        </w:rPr>
        <w:t>are designed to promote</w:t>
      </w:r>
      <w:r w:rsidRPr="00D920C9">
        <w:rPr>
          <w:rFonts w:asciiTheme="minorHAnsi" w:hAnsiTheme="minorHAnsi"/>
        </w:rPr>
        <w:t xml:space="preserve"> concrete changes to the existing legal and policy framework of the United States to ensure effective compliance with its international obligations in the areas of non</w:t>
      </w:r>
      <w:r w:rsidRPr="00D920C9">
        <w:rPr>
          <w:rFonts w:asciiTheme="minorHAnsi" w:hAnsiTheme="minorHAnsi"/>
          <w:szCs w:val="20"/>
        </w:rPr>
        <w:t>-discrimination,</w:t>
      </w:r>
      <w:r w:rsidR="00A93516" w:rsidRPr="00D920C9">
        <w:rPr>
          <w:rFonts w:asciiTheme="minorHAnsi" w:hAnsiTheme="minorHAnsi"/>
          <w:szCs w:val="20"/>
        </w:rPr>
        <w:t xml:space="preserve"> use of force, </w:t>
      </w:r>
      <w:r w:rsidRPr="00D920C9">
        <w:rPr>
          <w:rFonts w:asciiTheme="minorHAnsi" w:hAnsiTheme="minorHAnsi"/>
          <w:szCs w:val="20"/>
        </w:rPr>
        <w:t xml:space="preserve"> and access to justice:</w:t>
      </w:r>
    </w:p>
    <w:p w14:paraId="4C7389B9" w14:textId="77777777" w:rsidR="00A927C5" w:rsidRPr="00D920C9" w:rsidRDefault="00A927C5" w:rsidP="006E3DD1">
      <w:pPr>
        <w:pStyle w:val="Heading2"/>
        <w:numPr>
          <w:ilvl w:val="0"/>
          <w:numId w:val="38"/>
        </w:numPr>
        <w:ind w:left="547" w:hanging="547"/>
      </w:pPr>
      <w:bookmarkStart w:id="258" w:name="_Toc511903022"/>
      <w:bookmarkStart w:id="259" w:name="_Toc517687951"/>
      <w:r w:rsidRPr="00D920C9">
        <w:t xml:space="preserve">General </w:t>
      </w:r>
      <w:r w:rsidR="001814C0" w:rsidRPr="00D920C9">
        <w:t>R</w:t>
      </w:r>
      <w:r w:rsidRPr="00D920C9">
        <w:t>ecommendations</w:t>
      </w:r>
      <w:bookmarkEnd w:id="258"/>
      <w:bookmarkEnd w:id="259"/>
    </w:p>
    <w:p w14:paraId="07774984" w14:textId="393A1582" w:rsidR="00A927C5" w:rsidRPr="00D920C9" w:rsidRDefault="00A927C5"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 xml:space="preserve">Undertake and ensure proper funding for official studies—whether at the federal, state, or local level—with the goal of contributing to the establishment of the full, complete, and public truth of the past and forward-looking public policy to contribute to the satisfaction of the victims and guarantees of non-repetition, on, </w:t>
      </w:r>
      <w:r w:rsidRPr="00D920C9">
        <w:rPr>
          <w:rFonts w:asciiTheme="minorHAnsi" w:hAnsiTheme="minorHAnsi"/>
          <w:i/>
          <w:szCs w:val="20"/>
        </w:rPr>
        <w:t>inter alia</w:t>
      </w:r>
      <w:r w:rsidRPr="00D920C9">
        <w:rPr>
          <w:rFonts w:asciiTheme="minorHAnsi" w:hAnsiTheme="minorHAnsi"/>
          <w:szCs w:val="20"/>
        </w:rPr>
        <w:t>:</w:t>
      </w:r>
    </w:p>
    <w:p w14:paraId="064BEF20" w14:textId="2759B174" w:rsidR="00611B4F" w:rsidRPr="00D920C9" w:rsidRDefault="00611B4F"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t xml:space="preserve">The </w:t>
      </w:r>
      <w:r w:rsidR="00733ED6" w:rsidRPr="00D920C9">
        <w:rPr>
          <w:rFonts w:asciiTheme="minorHAnsi" w:hAnsiTheme="minorHAnsi"/>
          <w:szCs w:val="20"/>
        </w:rPr>
        <w:t xml:space="preserve">causes and </w:t>
      </w:r>
      <w:r w:rsidR="00046463" w:rsidRPr="00D920C9">
        <w:rPr>
          <w:rFonts w:asciiTheme="minorHAnsi" w:hAnsiTheme="minorHAnsi"/>
          <w:szCs w:val="20"/>
        </w:rPr>
        <w:t>consequences</w:t>
      </w:r>
      <w:r w:rsidRPr="00D920C9">
        <w:rPr>
          <w:rFonts w:asciiTheme="minorHAnsi" w:hAnsiTheme="minorHAnsi"/>
          <w:szCs w:val="20"/>
        </w:rPr>
        <w:t xml:space="preserve"> of racial profiling and other racially discriminatory treatment or practices by law </w:t>
      </w:r>
      <w:r w:rsidRPr="00D920C9">
        <w:rPr>
          <w:rFonts w:asciiTheme="minorHAnsi" w:hAnsiTheme="minorHAnsi"/>
          <w:szCs w:val="20"/>
        </w:rPr>
        <w:lastRenderedPageBreak/>
        <w:t xml:space="preserve">enforcement officials or agencies on African Americans and other </w:t>
      </w:r>
      <w:r w:rsidR="00D55025" w:rsidRPr="00D920C9">
        <w:rPr>
          <w:rFonts w:asciiTheme="minorHAnsi" w:hAnsiTheme="minorHAnsi"/>
          <w:szCs w:val="20"/>
        </w:rPr>
        <w:t>communities of color</w:t>
      </w:r>
      <w:r w:rsidRPr="00D920C9">
        <w:rPr>
          <w:rFonts w:asciiTheme="minorHAnsi" w:hAnsiTheme="minorHAnsi"/>
          <w:szCs w:val="20"/>
        </w:rPr>
        <w:t>;</w:t>
      </w:r>
    </w:p>
    <w:p w14:paraId="2A214B82" w14:textId="77777777" w:rsidR="00611B4F" w:rsidRPr="00D920C9" w:rsidRDefault="00611B4F"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t xml:space="preserve">The </w:t>
      </w:r>
      <w:r w:rsidR="00733ED6" w:rsidRPr="00D920C9">
        <w:rPr>
          <w:rFonts w:asciiTheme="minorHAnsi" w:hAnsiTheme="minorHAnsi"/>
          <w:szCs w:val="20"/>
        </w:rPr>
        <w:t xml:space="preserve">causes and </w:t>
      </w:r>
      <w:r w:rsidRPr="00D920C9">
        <w:rPr>
          <w:rFonts w:asciiTheme="minorHAnsi" w:hAnsiTheme="minorHAnsi"/>
          <w:szCs w:val="20"/>
        </w:rPr>
        <w:t>impact</w:t>
      </w:r>
      <w:r w:rsidR="00733ED6" w:rsidRPr="00D920C9">
        <w:rPr>
          <w:rFonts w:asciiTheme="minorHAnsi" w:hAnsiTheme="minorHAnsi"/>
          <w:szCs w:val="20"/>
        </w:rPr>
        <w:t>s</w:t>
      </w:r>
      <w:r w:rsidRPr="00D920C9">
        <w:rPr>
          <w:rFonts w:asciiTheme="minorHAnsi" w:hAnsiTheme="minorHAnsi"/>
          <w:szCs w:val="20"/>
        </w:rPr>
        <w:t xml:space="preserve"> of police use of force and deadly force on African Americans and other </w:t>
      </w:r>
      <w:r w:rsidR="000C369C" w:rsidRPr="00D920C9">
        <w:rPr>
          <w:rFonts w:asciiTheme="minorHAnsi" w:hAnsiTheme="minorHAnsi"/>
          <w:szCs w:val="20"/>
        </w:rPr>
        <w:t>historically marginalized groups</w:t>
      </w:r>
      <w:r w:rsidR="00733ED6" w:rsidRPr="00D920C9">
        <w:rPr>
          <w:rFonts w:asciiTheme="minorHAnsi" w:hAnsiTheme="minorHAnsi"/>
          <w:szCs w:val="20"/>
        </w:rPr>
        <w:t>, and the differential impacts of the same on persons with mental illnesses and disabilities, LGBTI individuals, children and adolescents, and women</w:t>
      </w:r>
      <w:r w:rsidRPr="00D920C9">
        <w:rPr>
          <w:rFonts w:asciiTheme="minorHAnsi" w:hAnsiTheme="minorHAnsi"/>
          <w:szCs w:val="20"/>
        </w:rPr>
        <w:t>;</w:t>
      </w:r>
    </w:p>
    <w:p w14:paraId="5A5A8C7F" w14:textId="1D06227F" w:rsidR="00611B4F" w:rsidRPr="00D920C9" w:rsidRDefault="00611B4F"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t>The causes and impacts of disproportionate arrests, prosecutions, sentencing, incarceration, and re</w:t>
      </w:r>
      <w:r w:rsidR="007631C3" w:rsidRPr="00D920C9">
        <w:rPr>
          <w:rFonts w:asciiTheme="minorHAnsi" w:hAnsiTheme="minorHAnsi"/>
          <w:szCs w:val="20"/>
        </w:rPr>
        <w:t>-</w:t>
      </w:r>
      <w:r w:rsidRPr="00D920C9">
        <w:rPr>
          <w:rFonts w:asciiTheme="minorHAnsi" w:hAnsiTheme="minorHAnsi"/>
          <w:szCs w:val="20"/>
        </w:rPr>
        <w:t xml:space="preserve">incarceration of African Americans and other </w:t>
      </w:r>
      <w:r w:rsidR="00D55025" w:rsidRPr="00D920C9">
        <w:rPr>
          <w:rFonts w:asciiTheme="minorHAnsi" w:hAnsiTheme="minorHAnsi"/>
          <w:szCs w:val="20"/>
        </w:rPr>
        <w:t>communities of color</w:t>
      </w:r>
      <w:r w:rsidRPr="00D920C9">
        <w:rPr>
          <w:rFonts w:asciiTheme="minorHAnsi" w:hAnsiTheme="minorHAnsi"/>
          <w:szCs w:val="20"/>
        </w:rPr>
        <w:t>;</w:t>
      </w:r>
    </w:p>
    <w:p w14:paraId="5ECCCEE8" w14:textId="77777777" w:rsidR="00611B4F" w:rsidRPr="00D920C9" w:rsidRDefault="00611B4F"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t>The causes, impacts, and magnitude of lack of access to social, economic, cultural, and environmental rights on African Americans and other communities of color.</w:t>
      </w:r>
    </w:p>
    <w:p w14:paraId="722A9443" w14:textId="77777777" w:rsidR="007B0CF5" w:rsidRPr="00D920C9" w:rsidRDefault="007B0CF5"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 xml:space="preserve">Design, implement, and fund </w:t>
      </w:r>
      <w:r w:rsidR="00260D9A" w:rsidRPr="00D920C9">
        <w:rPr>
          <w:rFonts w:asciiTheme="minorHAnsi" w:hAnsiTheme="minorHAnsi"/>
          <w:szCs w:val="20"/>
        </w:rPr>
        <w:t xml:space="preserve">governmental </w:t>
      </w:r>
      <w:r w:rsidRPr="00D920C9">
        <w:rPr>
          <w:rFonts w:asciiTheme="minorHAnsi" w:hAnsiTheme="minorHAnsi"/>
          <w:szCs w:val="20"/>
        </w:rPr>
        <w:t xml:space="preserve">systems to collect accurate, disaggregated data and statistical and qualitative information on the human rights situation of African Americans and other communities of color, in order to create and implement appropriate laws and public policies to address the needs </w:t>
      </w:r>
      <w:r w:rsidR="004B2CE1" w:rsidRPr="00D920C9">
        <w:rPr>
          <w:rFonts w:asciiTheme="minorHAnsi" w:hAnsiTheme="minorHAnsi"/>
          <w:szCs w:val="20"/>
        </w:rPr>
        <w:t xml:space="preserve">of </w:t>
      </w:r>
      <w:r w:rsidRPr="00D920C9">
        <w:rPr>
          <w:rFonts w:asciiTheme="minorHAnsi" w:hAnsiTheme="minorHAnsi"/>
          <w:szCs w:val="20"/>
        </w:rPr>
        <w:t>and overcome the specific obstacles faced by these gr</w:t>
      </w:r>
      <w:r w:rsidR="00260121" w:rsidRPr="00D920C9">
        <w:rPr>
          <w:rFonts w:asciiTheme="minorHAnsi" w:hAnsiTheme="minorHAnsi"/>
          <w:szCs w:val="20"/>
        </w:rPr>
        <w:t>oups.</w:t>
      </w:r>
      <w:r w:rsidRPr="00D920C9">
        <w:rPr>
          <w:rFonts w:asciiTheme="minorHAnsi" w:hAnsiTheme="minorHAnsi"/>
          <w:szCs w:val="20"/>
        </w:rPr>
        <w:t xml:space="preserve"> In particular, ensure the collection of disaggregated data about the conditions faced by African American women and LGBTI individuals, incorporating a gender and diversity approach, and design public policies to prevent and eliminate racial discrimination in its various forms.</w:t>
      </w:r>
    </w:p>
    <w:p w14:paraId="6686C373" w14:textId="77777777" w:rsidR="00611B4F" w:rsidRPr="00D920C9" w:rsidRDefault="00611B4F"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In order to facilitate processes of bringing domestic law in line with international standards, take steps to ratify not only the American Convention on Human Rights, but all inter-American human rights protection instruments. In particular, the Commission calls on the United States to sign and ratify the Inter-American Convention against Racism, Racial Discrimination and Related Forms of Intolerance, as an important measure to guarantee the rights of persons of African descent and other h</w:t>
      </w:r>
      <w:r w:rsidR="007631C3" w:rsidRPr="00D920C9">
        <w:rPr>
          <w:rFonts w:asciiTheme="minorHAnsi" w:hAnsiTheme="minorHAnsi"/>
          <w:szCs w:val="20"/>
        </w:rPr>
        <w:t>istorically marginalized groups.</w:t>
      </w:r>
    </w:p>
    <w:p w14:paraId="5B050F62" w14:textId="77777777" w:rsidR="000561DB" w:rsidRPr="00D920C9" w:rsidRDefault="000561DB"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Consider the reform of domestic laws or portions of domestic laws that may hamper the protection or effective enforcement of human rights.</w:t>
      </w:r>
    </w:p>
    <w:p w14:paraId="6C2BFF10" w14:textId="77777777" w:rsidR="000561DB" w:rsidRPr="00D920C9" w:rsidRDefault="000561DB"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lastRenderedPageBreak/>
        <w:t>Ensure that all federal, state, and local government entities fully comply with the relevant domestic laws mandating the monitoring, oversight, and investigation of possible human or civil rights violations by State actors, such as police departments, as well as private individuals.</w:t>
      </w:r>
    </w:p>
    <w:p w14:paraId="6EE4E832" w14:textId="77777777" w:rsidR="00611B4F" w:rsidRPr="00D920C9" w:rsidRDefault="00611B4F"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Create a national human rights mechanism for the protection and promotion of human rights, in line with the “Paris Principles” relating to the Status of National Institutions</w:t>
      </w:r>
      <w:r w:rsidR="005F3A77" w:rsidRPr="00D920C9">
        <w:rPr>
          <w:rFonts w:asciiTheme="minorHAnsi" w:hAnsiTheme="minorHAnsi"/>
          <w:szCs w:val="20"/>
        </w:rPr>
        <w:t>. The IACHR recommends that this national human rights institution include a division focused exclusively on monitoring and promoting the human rights of African Americans, addressing currently existing racial disparities as well as the historical and structural conditions that create them.</w:t>
      </w:r>
    </w:p>
    <w:p w14:paraId="5EACA8D8" w14:textId="77777777" w:rsidR="005F3A77" w:rsidRPr="00D920C9" w:rsidRDefault="005F3A77" w:rsidP="006E3DD1">
      <w:pPr>
        <w:pStyle w:val="Heading2"/>
        <w:ind w:left="547" w:hanging="547"/>
      </w:pPr>
      <w:bookmarkStart w:id="260" w:name="_Toc511903023"/>
      <w:bookmarkStart w:id="261" w:name="_Toc517687952"/>
      <w:r w:rsidRPr="00D920C9">
        <w:t xml:space="preserve">Recommendations regarding </w:t>
      </w:r>
      <w:r w:rsidR="003A6706" w:rsidRPr="00D920C9">
        <w:t>Non-Discrimination</w:t>
      </w:r>
      <w:bookmarkEnd w:id="260"/>
      <w:bookmarkEnd w:id="261"/>
    </w:p>
    <w:p w14:paraId="20D648DA" w14:textId="77777777" w:rsidR="0017556C" w:rsidRPr="00D920C9" w:rsidRDefault="00BE6966"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As a matter of urgency, t</w:t>
      </w:r>
      <w:r w:rsidR="005F3A77" w:rsidRPr="00D920C9">
        <w:rPr>
          <w:rFonts w:asciiTheme="minorHAnsi" w:hAnsiTheme="minorHAnsi"/>
          <w:szCs w:val="20"/>
        </w:rPr>
        <w:t>ake the necessary steps to reform domestic law—both federal and state—</w:t>
      </w:r>
      <w:r w:rsidR="004B2CE1" w:rsidRPr="00D920C9">
        <w:rPr>
          <w:rFonts w:asciiTheme="minorHAnsi" w:hAnsiTheme="minorHAnsi"/>
          <w:szCs w:val="20"/>
        </w:rPr>
        <w:t>to</w:t>
      </w:r>
      <w:r w:rsidR="005F3A77" w:rsidRPr="00D920C9">
        <w:rPr>
          <w:rFonts w:asciiTheme="minorHAnsi" w:hAnsiTheme="minorHAnsi"/>
          <w:szCs w:val="20"/>
        </w:rPr>
        <w:t xml:space="preserve"> bring it in line with international law in the area of non-discrimination, in particular the obligation to prohibit and sanction both facial discrimination and the disparate impact of facially neutral laws and policies, in all areas of U</w:t>
      </w:r>
      <w:r w:rsidR="00AE5038" w:rsidRPr="00D920C9">
        <w:rPr>
          <w:rFonts w:asciiTheme="minorHAnsi" w:hAnsiTheme="minorHAnsi"/>
          <w:szCs w:val="20"/>
        </w:rPr>
        <w:t>.</w:t>
      </w:r>
      <w:r w:rsidR="005F3A77" w:rsidRPr="00D920C9">
        <w:rPr>
          <w:rFonts w:asciiTheme="minorHAnsi" w:hAnsiTheme="minorHAnsi"/>
          <w:szCs w:val="20"/>
        </w:rPr>
        <w:t>S</w:t>
      </w:r>
      <w:r w:rsidR="00AE5038" w:rsidRPr="00D920C9">
        <w:rPr>
          <w:rFonts w:asciiTheme="minorHAnsi" w:hAnsiTheme="minorHAnsi"/>
          <w:szCs w:val="20"/>
        </w:rPr>
        <w:t>.</w:t>
      </w:r>
      <w:r w:rsidR="005F3A77" w:rsidRPr="00D920C9">
        <w:rPr>
          <w:rFonts w:asciiTheme="minorHAnsi" w:hAnsiTheme="minorHAnsi"/>
          <w:szCs w:val="20"/>
        </w:rPr>
        <w:t xml:space="preserve"> law. </w:t>
      </w:r>
    </w:p>
    <w:p w14:paraId="57B599A0" w14:textId="77777777" w:rsidR="005F3A77" w:rsidRPr="00D920C9" w:rsidRDefault="0017556C"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t>T</w:t>
      </w:r>
      <w:r w:rsidR="005F3A77" w:rsidRPr="00D920C9">
        <w:rPr>
          <w:rFonts w:asciiTheme="minorHAnsi" w:hAnsiTheme="minorHAnsi"/>
          <w:szCs w:val="20"/>
        </w:rPr>
        <w:t>ake all necessary steps to adjust the domestic legal framework to ensure that disparate impact claims regarding policing and the criminal justice system, among other areas, are justiciable under domestic law.</w:t>
      </w:r>
    </w:p>
    <w:p w14:paraId="6CD3856F" w14:textId="77777777" w:rsidR="00727CD8" w:rsidRPr="00D920C9" w:rsidRDefault="009B7EE9"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Adopt coordinated legislative, policy, and institutional measures designed to eliminate racial discrimination and stereotypes, and devote appropriate human and financial resources to the same</w:t>
      </w:r>
      <w:r w:rsidR="00727CD8" w:rsidRPr="00D920C9">
        <w:rPr>
          <w:rFonts w:asciiTheme="minorHAnsi" w:hAnsiTheme="minorHAnsi"/>
          <w:szCs w:val="20"/>
        </w:rPr>
        <w:t>.</w:t>
      </w:r>
    </w:p>
    <w:p w14:paraId="09B2EC43" w14:textId="77777777" w:rsidR="005F3A77" w:rsidRPr="00D920C9" w:rsidRDefault="005F3A77"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Take the necessary steps to comprehensively review and reform protocols and guidelines for local, state, and federal law enforcement agencies to ensure that they comply with international law in the areas of non-</w:t>
      </w:r>
      <w:r w:rsidR="007631C3" w:rsidRPr="00D920C9">
        <w:rPr>
          <w:rFonts w:asciiTheme="minorHAnsi" w:hAnsiTheme="minorHAnsi"/>
          <w:szCs w:val="20"/>
        </w:rPr>
        <w:t>discrimination</w:t>
      </w:r>
      <w:r w:rsidRPr="00D920C9">
        <w:rPr>
          <w:rFonts w:asciiTheme="minorHAnsi" w:hAnsiTheme="minorHAnsi"/>
          <w:szCs w:val="20"/>
        </w:rPr>
        <w:t xml:space="preserve">. In particular, ensure that </w:t>
      </w:r>
      <w:r w:rsidR="007631C3" w:rsidRPr="00D920C9">
        <w:rPr>
          <w:rFonts w:asciiTheme="minorHAnsi" w:hAnsiTheme="minorHAnsi"/>
          <w:szCs w:val="20"/>
        </w:rPr>
        <w:t>racial</w:t>
      </w:r>
      <w:r w:rsidRPr="00D920C9">
        <w:rPr>
          <w:rFonts w:asciiTheme="minorHAnsi" w:hAnsiTheme="minorHAnsi"/>
          <w:szCs w:val="20"/>
        </w:rPr>
        <w:t xml:space="preserve"> profiling and other explicit or implicit discrimination on the basis of race, ethnicity, color, national origin, and other prohibited grounds is explicitly prohibited and punished.</w:t>
      </w:r>
    </w:p>
    <w:p w14:paraId="301E8069" w14:textId="77777777" w:rsidR="005F3A77" w:rsidRPr="00D920C9" w:rsidRDefault="00BE6966"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lastRenderedPageBreak/>
        <w:t>Implement federal legislation to require the</w:t>
      </w:r>
      <w:r w:rsidR="005F3A77" w:rsidRPr="00D920C9">
        <w:rPr>
          <w:rFonts w:asciiTheme="minorHAnsi" w:hAnsiTheme="minorHAnsi"/>
          <w:szCs w:val="20"/>
        </w:rPr>
        <w:t xml:space="preserve"> appropriate training of local, state, and federal law enforcement agents and agencies in the areas of human rights obligations </w:t>
      </w:r>
      <w:r w:rsidR="007631C3" w:rsidRPr="00D920C9">
        <w:rPr>
          <w:rFonts w:asciiTheme="minorHAnsi" w:hAnsiTheme="minorHAnsi"/>
          <w:szCs w:val="20"/>
        </w:rPr>
        <w:t>regarding</w:t>
      </w:r>
      <w:r w:rsidR="005F3A77" w:rsidRPr="00D920C9">
        <w:rPr>
          <w:rFonts w:asciiTheme="minorHAnsi" w:hAnsiTheme="minorHAnsi"/>
          <w:szCs w:val="20"/>
        </w:rPr>
        <w:t xml:space="preserve"> non-discrimination, avoiding implicit bias, and other anti-discrimination training to ensure that law enforcement officers demonstrate respect for and protect the fundamental rights of all individuals subject to their jurisdiction, without discrimination of any kind.</w:t>
      </w:r>
    </w:p>
    <w:p w14:paraId="1D310D38" w14:textId="77777777" w:rsidR="006753A7" w:rsidRPr="00D920C9" w:rsidRDefault="006753A7"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Take steps to reverse the impact of policies with racially disparate impacts.</w:t>
      </w:r>
    </w:p>
    <w:p w14:paraId="7DD4E559" w14:textId="77777777" w:rsidR="00064585" w:rsidRPr="00D920C9" w:rsidRDefault="00E5383E"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t>A</w:t>
      </w:r>
      <w:r w:rsidR="00064585" w:rsidRPr="00D920C9">
        <w:rPr>
          <w:rFonts w:asciiTheme="minorHAnsi" w:hAnsiTheme="minorHAnsi"/>
          <w:szCs w:val="20"/>
        </w:rPr>
        <w:t xml:space="preserve">dopt appropriate measures </w:t>
      </w:r>
      <w:r w:rsidRPr="00D920C9">
        <w:rPr>
          <w:rFonts w:asciiTheme="minorHAnsi" w:hAnsiTheme="minorHAnsi"/>
          <w:szCs w:val="20"/>
        </w:rPr>
        <w:t>at the federal or state level</w:t>
      </w:r>
      <w:r w:rsidR="00064585" w:rsidRPr="00D920C9">
        <w:rPr>
          <w:rFonts w:asciiTheme="minorHAnsi" w:hAnsiTheme="minorHAnsi"/>
          <w:szCs w:val="20"/>
        </w:rPr>
        <w:t xml:space="preserve"> to ensure the restoration of voting rights to citizens who have fully served their </w:t>
      </w:r>
      <w:r w:rsidRPr="00D920C9">
        <w:rPr>
          <w:rFonts w:asciiTheme="minorHAnsi" w:hAnsiTheme="minorHAnsi"/>
          <w:szCs w:val="20"/>
        </w:rPr>
        <w:t xml:space="preserve">criminal </w:t>
      </w:r>
      <w:r w:rsidR="00064585" w:rsidRPr="00D920C9">
        <w:rPr>
          <w:rFonts w:asciiTheme="minorHAnsi" w:hAnsiTheme="minorHAnsi"/>
          <w:szCs w:val="20"/>
        </w:rPr>
        <w:t>sentences and those who have been release</w:t>
      </w:r>
      <w:r w:rsidRPr="00D920C9">
        <w:rPr>
          <w:rFonts w:asciiTheme="minorHAnsi" w:hAnsiTheme="minorHAnsi"/>
          <w:szCs w:val="20"/>
        </w:rPr>
        <w:t xml:space="preserve">d on parole, </w:t>
      </w:r>
      <w:r w:rsidR="00064585" w:rsidRPr="00D920C9">
        <w:rPr>
          <w:rFonts w:asciiTheme="minorHAnsi" w:hAnsiTheme="minorHAnsi"/>
          <w:szCs w:val="20"/>
        </w:rPr>
        <w:t>particularly in light of the racially discriminatory impact of the policy</w:t>
      </w:r>
      <w:r w:rsidRPr="00D920C9">
        <w:rPr>
          <w:rFonts w:asciiTheme="minorHAnsi" w:hAnsiTheme="minorHAnsi"/>
          <w:szCs w:val="20"/>
        </w:rPr>
        <w:t xml:space="preserve"> of felony disenfranchisement.</w:t>
      </w:r>
    </w:p>
    <w:p w14:paraId="6B6F7686" w14:textId="77777777" w:rsidR="006753A7" w:rsidRPr="00D920C9" w:rsidRDefault="006753A7"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t>Take steps to prevent individuals in cases of drug use or possession for personal use from being subjected to custodial measures or entering the criminal justice system.</w:t>
      </w:r>
    </w:p>
    <w:p w14:paraId="2E22E1CD" w14:textId="77777777" w:rsidR="005F3A77" w:rsidRPr="00D920C9" w:rsidRDefault="005F3A77"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 xml:space="preserve">Create independent ombudsperson offices at the state and local levels to receive and take action regarding complaints about discriminatory treatment. </w:t>
      </w:r>
    </w:p>
    <w:p w14:paraId="0B3D3757" w14:textId="77777777" w:rsidR="007631C3" w:rsidRPr="00D920C9" w:rsidRDefault="007631C3" w:rsidP="006E3DD1">
      <w:pPr>
        <w:pStyle w:val="Heading2"/>
        <w:ind w:left="547" w:hanging="547"/>
      </w:pPr>
      <w:bookmarkStart w:id="262" w:name="_Toc511903024"/>
      <w:bookmarkStart w:id="263" w:name="_Toc517687953"/>
      <w:r w:rsidRPr="00D920C9">
        <w:t xml:space="preserve">Recommendations regarding the </w:t>
      </w:r>
      <w:r w:rsidR="003A6706" w:rsidRPr="00D920C9">
        <w:t xml:space="preserve">Use </w:t>
      </w:r>
      <w:r w:rsidRPr="00D920C9">
        <w:t xml:space="preserve">of </w:t>
      </w:r>
      <w:r w:rsidR="003A6706" w:rsidRPr="00D920C9">
        <w:t>Force</w:t>
      </w:r>
      <w:bookmarkEnd w:id="262"/>
      <w:bookmarkEnd w:id="263"/>
    </w:p>
    <w:p w14:paraId="4680AB1E" w14:textId="77777777" w:rsidR="007631C3" w:rsidRPr="00D920C9" w:rsidRDefault="009F40FB"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As a matter of urgency, t</w:t>
      </w:r>
      <w:r w:rsidR="007631C3" w:rsidRPr="00D920C9">
        <w:rPr>
          <w:rFonts w:asciiTheme="minorHAnsi" w:hAnsiTheme="minorHAnsi"/>
          <w:szCs w:val="20"/>
        </w:rPr>
        <w:t>ake the necessary steps to reform domestic law—both federal and state—and bring it in line with international law in the area of use of force and use of deadly force, observing the principles of exceptionality, necessity, proportionality, and legality.</w:t>
      </w:r>
    </w:p>
    <w:p w14:paraId="513185AC" w14:textId="77777777" w:rsidR="00B07095" w:rsidRPr="00D920C9" w:rsidRDefault="00B07095"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Implement federal legislation to require that all law enforcement agents receive human rights training, including regarding the obligation to respect and protect fundamental rights, such as the rights to life and personal integrity, without discrimination.</w:t>
      </w:r>
    </w:p>
    <w:p w14:paraId="73E20746" w14:textId="77777777" w:rsidR="007631C3" w:rsidRPr="00D920C9" w:rsidRDefault="007631C3"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 xml:space="preserve">Take the necessary steps to reform protocols and guidelines for local, state, and federal law enforcement agencies to ensure that </w:t>
      </w:r>
      <w:r w:rsidRPr="00D920C9">
        <w:rPr>
          <w:rFonts w:asciiTheme="minorHAnsi" w:hAnsiTheme="minorHAnsi"/>
          <w:szCs w:val="20"/>
        </w:rPr>
        <w:lastRenderedPageBreak/>
        <w:t>they comply with international law  in the area of use of force, including international standards regarding:</w:t>
      </w:r>
    </w:p>
    <w:p w14:paraId="413E08EF" w14:textId="77777777" w:rsidR="007631C3" w:rsidRPr="00D920C9" w:rsidRDefault="00260121"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t>P</w:t>
      </w:r>
      <w:r w:rsidR="00A06BBE" w:rsidRPr="00D920C9">
        <w:rPr>
          <w:rFonts w:asciiTheme="minorHAnsi" w:hAnsiTheme="minorHAnsi"/>
          <w:szCs w:val="20"/>
        </w:rPr>
        <w:t>ermissible use of force and circumstances under which the use of deadly force is permitted;</w:t>
      </w:r>
    </w:p>
    <w:p w14:paraId="03E98016" w14:textId="77777777" w:rsidR="00A06BBE" w:rsidRPr="00D920C9" w:rsidRDefault="00A06BBE"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t>De-escalation tactics and the use of less lethal weapons;</w:t>
      </w:r>
    </w:p>
    <w:p w14:paraId="2FE37581" w14:textId="77777777" w:rsidR="00A06BBE" w:rsidRPr="00D920C9" w:rsidRDefault="000C369C"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t>The prohibition of</w:t>
      </w:r>
      <w:r w:rsidR="00A06BBE" w:rsidRPr="00D920C9">
        <w:rPr>
          <w:rFonts w:asciiTheme="minorHAnsi" w:hAnsiTheme="minorHAnsi"/>
          <w:szCs w:val="20"/>
        </w:rPr>
        <w:t xml:space="preserve"> torture and cruel, inhuman, or degrading treatment or punishment;</w:t>
      </w:r>
    </w:p>
    <w:p w14:paraId="441FA177" w14:textId="77777777" w:rsidR="00A06BBE" w:rsidRPr="00D920C9" w:rsidRDefault="00A06BBE"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t>In protest situations, respect for and facilitation of the exercise of the right to freedom of expression, including the regulation of less lethal weapons.</w:t>
      </w:r>
    </w:p>
    <w:p w14:paraId="0C8236A3" w14:textId="77777777" w:rsidR="00A06BBE" w:rsidRPr="00D920C9" w:rsidRDefault="00A06BBE"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Ensure the participation of disproportionately impacted communities in the design of strategies for better policing and in police oversight mechanisms.</w:t>
      </w:r>
    </w:p>
    <w:p w14:paraId="7A76CDF9" w14:textId="77777777" w:rsidR="00A06BBE" w:rsidRPr="00D920C9" w:rsidRDefault="00A06BBE"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Take steps to reverse the militarization of police departments, including via:</w:t>
      </w:r>
    </w:p>
    <w:p w14:paraId="3AC8C397" w14:textId="77777777" w:rsidR="00A06BBE" w:rsidRPr="00D920C9" w:rsidRDefault="00A06BBE"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t>The rescission of programs permitting the transfer of military equipment and weapons to domestic law enforcement agencies;</w:t>
      </w:r>
    </w:p>
    <w:p w14:paraId="430454B1" w14:textId="77777777" w:rsidR="00A06BBE" w:rsidRPr="00D920C9" w:rsidRDefault="00A06BBE"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t xml:space="preserve">Verification by the federal government of the quantity of military weapons </w:t>
      </w:r>
      <w:r w:rsidR="0072065E" w:rsidRPr="00D920C9">
        <w:rPr>
          <w:rFonts w:asciiTheme="minorHAnsi" w:hAnsiTheme="minorHAnsi"/>
          <w:szCs w:val="20"/>
        </w:rPr>
        <w:t xml:space="preserve">transferred </w:t>
      </w:r>
      <w:r w:rsidRPr="00D920C9">
        <w:rPr>
          <w:rFonts w:asciiTheme="minorHAnsi" w:hAnsiTheme="minorHAnsi"/>
          <w:szCs w:val="20"/>
        </w:rPr>
        <w:t xml:space="preserve">to local police departments and other measures to </w:t>
      </w:r>
      <w:r w:rsidR="004B2CE1" w:rsidRPr="00D920C9">
        <w:rPr>
          <w:rFonts w:asciiTheme="minorHAnsi" w:hAnsiTheme="minorHAnsi"/>
          <w:szCs w:val="20"/>
        </w:rPr>
        <w:t>control the diffusion of military weaponry</w:t>
      </w:r>
      <w:r w:rsidRPr="00D920C9">
        <w:rPr>
          <w:rFonts w:asciiTheme="minorHAnsi" w:hAnsiTheme="minorHAnsi"/>
          <w:szCs w:val="20"/>
        </w:rPr>
        <w:t>; and</w:t>
      </w:r>
    </w:p>
    <w:p w14:paraId="1831E62A" w14:textId="77777777" w:rsidR="00A06BBE" w:rsidRPr="00D920C9" w:rsidRDefault="004B2CE1"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t>T</w:t>
      </w:r>
      <w:r w:rsidR="00A06BBE" w:rsidRPr="00D920C9">
        <w:rPr>
          <w:rFonts w:asciiTheme="minorHAnsi" w:hAnsiTheme="minorHAnsi"/>
          <w:szCs w:val="20"/>
        </w:rPr>
        <w:t>raining police to use departmental equipment in a manner that respects human rights obligations.</w:t>
      </w:r>
    </w:p>
    <w:p w14:paraId="4D57A742" w14:textId="77777777" w:rsidR="006753A7" w:rsidRPr="00D920C9" w:rsidRDefault="006753A7"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 xml:space="preserve">Adopt all </w:t>
      </w:r>
      <w:r w:rsidR="004B2CE1" w:rsidRPr="00D920C9">
        <w:rPr>
          <w:rFonts w:asciiTheme="minorHAnsi" w:hAnsiTheme="minorHAnsi"/>
          <w:szCs w:val="20"/>
        </w:rPr>
        <w:t>necessary</w:t>
      </w:r>
      <w:r w:rsidRPr="00D920C9">
        <w:rPr>
          <w:rFonts w:asciiTheme="minorHAnsi" w:hAnsiTheme="minorHAnsi"/>
          <w:szCs w:val="20"/>
        </w:rPr>
        <w:t xml:space="preserve"> measures to protect the rights to life and personal integrity in the context of protests.</w:t>
      </w:r>
    </w:p>
    <w:p w14:paraId="36B86C30" w14:textId="77777777" w:rsidR="00A06BBE" w:rsidRPr="00D920C9" w:rsidRDefault="00A06BBE"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 xml:space="preserve">Take effective measures to prevent and combat the stigmatization and criminalization of protesters, </w:t>
      </w:r>
      <w:r w:rsidR="00DA14D9" w:rsidRPr="00D920C9">
        <w:rPr>
          <w:rFonts w:asciiTheme="minorHAnsi" w:hAnsiTheme="minorHAnsi"/>
          <w:szCs w:val="20"/>
        </w:rPr>
        <w:t xml:space="preserve">in particular where such stigmatization or criminalization may be racially discriminatory in nature, </w:t>
      </w:r>
      <w:r w:rsidRPr="00D920C9">
        <w:rPr>
          <w:rFonts w:asciiTheme="minorHAnsi" w:hAnsiTheme="minorHAnsi"/>
          <w:szCs w:val="20"/>
        </w:rPr>
        <w:t>and fully guarantee the right to freedom of expression.</w:t>
      </w:r>
    </w:p>
    <w:p w14:paraId="5C1B45C7" w14:textId="24FF89FC" w:rsidR="00DA14D9" w:rsidRPr="00D920C9" w:rsidRDefault="00224407" w:rsidP="006E3DD1">
      <w:pPr>
        <w:pStyle w:val="Heading2"/>
        <w:ind w:left="547" w:hanging="547"/>
      </w:pPr>
      <w:bookmarkStart w:id="264" w:name="_Toc511903025"/>
      <w:bookmarkStart w:id="265" w:name="_Toc517687954"/>
      <w:r w:rsidRPr="00D920C9">
        <w:lastRenderedPageBreak/>
        <w:t>Recommendations regarding D</w:t>
      </w:r>
      <w:r w:rsidR="00DA14D9" w:rsidRPr="00D920C9">
        <w:t xml:space="preserve">ue </w:t>
      </w:r>
      <w:r w:rsidR="003A6706" w:rsidRPr="00D920C9">
        <w:t xml:space="preserve">Diligence </w:t>
      </w:r>
      <w:r w:rsidR="00DA14D9" w:rsidRPr="00D920C9">
        <w:t xml:space="preserve">and </w:t>
      </w:r>
      <w:r w:rsidR="003A6706" w:rsidRPr="00D920C9">
        <w:t>Accountability</w:t>
      </w:r>
      <w:bookmarkEnd w:id="264"/>
      <w:bookmarkEnd w:id="265"/>
      <w:r w:rsidR="003A6706" w:rsidRPr="00D920C9">
        <w:t xml:space="preserve"> </w:t>
      </w:r>
    </w:p>
    <w:p w14:paraId="1D50C30E" w14:textId="77777777" w:rsidR="00DA14D9" w:rsidRPr="00D920C9" w:rsidRDefault="00DA14D9"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 xml:space="preserve">Create a federal database to track </w:t>
      </w:r>
      <w:r w:rsidR="009D3618" w:rsidRPr="00D920C9">
        <w:rPr>
          <w:rFonts w:asciiTheme="minorHAnsi" w:hAnsiTheme="minorHAnsi"/>
          <w:szCs w:val="20"/>
        </w:rPr>
        <w:t>incidents involving police use of force</w:t>
      </w:r>
      <w:r w:rsidRPr="00D920C9">
        <w:rPr>
          <w:rFonts w:asciiTheme="minorHAnsi" w:hAnsiTheme="minorHAnsi"/>
          <w:szCs w:val="20"/>
        </w:rPr>
        <w:t xml:space="preserve"> by all law enforcement agencies in a transparent, uniform, and public manner</w:t>
      </w:r>
      <w:r w:rsidR="009D3618" w:rsidRPr="00D920C9">
        <w:rPr>
          <w:rFonts w:asciiTheme="minorHAnsi" w:hAnsiTheme="minorHAnsi"/>
          <w:szCs w:val="20"/>
        </w:rPr>
        <w:t>, including disaggregated data on demographics of all victims and officers involved, such as age, gender, race, and disability status</w:t>
      </w:r>
      <w:r w:rsidR="0072065E" w:rsidRPr="00D920C9">
        <w:rPr>
          <w:rFonts w:asciiTheme="minorHAnsi" w:hAnsiTheme="minorHAnsi"/>
          <w:szCs w:val="20"/>
        </w:rPr>
        <w:t>, among others</w:t>
      </w:r>
      <w:r w:rsidR="009D3618" w:rsidRPr="00D920C9">
        <w:rPr>
          <w:rFonts w:asciiTheme="minorHAnsi" w:hAnsiTheme="minorHAnsi"/>
          <w:szCs w:val="20"/>
        </w:rPr>
        <w:t>; details regarding the circumstances of the use of force; location of incident (municipality and neighborhood); and outcomes of all corresponding internal, civil, and criminal police misconduct proceedings.</w:t>
      </w:r>
    </w:p>
    <w:p w14:paraId="3E57A8CF" w14:textId="77777777" w:rsidR="009D3618" w:rsidRPr="00D920C9" w:rsidRDefault="009D3618"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Ensure the prompt, thorough, independent,</w:t>
      </w:r>
      <w:r w:rsidR="00894E5E" w:rsidRPr="00D920C9">
        <w:rPr>
          <w:rFonts w:asciiTheme="minorHAnsi" w:hAnsiTheme="minorHAnsi"/>
          <w:szCs w:val="20"/>
        </w:rPr>
        <w:t xml:space="preserve"> impartial, and</w:t>
      </w:r>
      <w:r w:rsidRPr="00D920C9">
        <w:rPr>
          <w:rFonts w:asciiTheme="minorHAnsi" w:hAnsiTheme="minorHAnsi"/>
          <w:szCs w:val="20"/>
        </w:rPr>
        <w:t xml:space="preserve"> effective investigation of incidents of excessive use of force and police killings</w:t>
      </w:r>
      <w:r w:rsidR="00894E5E" w:rsidRPr="00D920C9">
        <w:rPr>
          <w:rFonts w:asciiTheme="minorHAnsi" w:hAnsiTheme="minorHAnsi"/>
          <w:szCs w:val="20"/>
        </w:rPr>
        <w:t>, ensuring the investigation of all potentially responsible parties</w:t>
      </w:r>
      <w:r w:rsidRPr="00D920C9">
        <w:rPr>
          <w:rFonts w:asciiTheme="minorHAnsi" w:hAnsiTheme="minorHAnsi"/>
          <w:szCs w:val="20"/>
        </w:rPr>
        <w:t xml:space="preserve"> and, as relevant, their appropriate prosecution and punishment.</w:t>
      </w:r>
    </w:p>
    <w:p w14:paraId="43F3D3EE" w14:textId="77777777" w:rsidR="004B2CE1" w:rsidRPr="00D920C9" w:rsidRDefault="004B2CE1"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Remove all de facto and legal mechanisms and obstacles in internal investigations, criminal proceedings, civil proceedings, and federal investigations that maintain impunity for police killings.</w:t>
      </w:r>
    </w:p>
    <w:p w14:paraId="7C163D48" w14:textId="77777777" w:rsidR="00894E5E" w:rsidRPr="00D920C9" w:rsidRDefault="00894E5E"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Establish permanent, independent, and specialized bodies at the local and/or state level with the capacity and expertise to supervise investigations of police misconduct and crimes committed by police. These bodies should be competent to accompany cases from the moment of complaint through the indictment and trial of defendants, prioritizing transparency and victim and next of kin participation.</w:t>
      </w:r>
    </w:p>
    <w:p w14:paraId="7C39DB9A" w14:textId="77777777" w:rsidR="00894E5E" w:rsidRPr="00D920C9" w:rsidRDefault="00894E5E"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Ensure the effective and proportional punishment of police officers who commit misconduct.</w:t>
      </w:r>
    </w:p>
    <w:p w14:paraId="52AAAB3D" w14:textId="77777777" w:rsidR="00894E5E" w:rsidRPr="00D920C9" w:rsidRDefault="00894E5E"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t xml:space="preserve">In light of the fragmentation in the U.S. between local, state, and federal </w:t>
      </w:r>
      <w:r w:rsidR="000561DB" w:rsidRPr="00D920C9">
        <w:rPr>
          <w:rFonts w:asciiTheme="minorHAnsi" w:hAnsiTheme="minorHAnsi"/>
          <w:szCs w:val="20"/>
        </w:rPr>
        <w:t xml:space="preserve">law enforcement </w:t>
      </w:r>
      <w:r w:rsidRPr="00D920C9">
        <w:rPr>
          <w:rFonts w:asciiTheme="minorHAnsi" w:hAnsiTheme="minorHAnsi"/>
          <w:szCs w:val="20"/>
        </w:rPr>
        <w:t>entities, and among and between municipalities, consider the creation of a national database to report disciplinary measures against law enforcement officers, including firing for cause, to prevent law enforcement officers who are not fit for service from being re-hired in other jurisdictions.</w:t>
      </w:r>
    </w:p>
    <w:p w14:paraId="78782C95" w14:textId="77777777" w:rsidR="000561DB" w:rsidRPr="00D920C9" w:rsidRDefault="000561DB" w:rsidP="00EC5191">
      <w:pPr>
        <w:pStyle w:val="ListParagraph"/>
        <w:numPr>
          <w:ilvl w:val="1"/>
          <w:numId w:val="39"/>
        </w:numPr>
        <w:spacing w:after="240" w:line="240" w:lineRule="auto"/>
        <w:ind w:left="1620" w:right="432" w:hanging="540"/>
        <w:contextualSpacing w:val="0"/>
        <w:jc w:val="both"/>
        <w:rPr>
          <w:rFonts w:asciiTheme="minorHAnsi" w:hAnsiTheme="minorHAnsi"/>
          <w:szCs w:val="20"/>
        </w:rPr>
      </w:pPr>
      <w:r w:rsidRPr="00D920C9">
        <w:rPr>
          <w:rFonts w:asciiTheme="minorHAnsi" w:hAnsiTheme="minorHAnsi"/>
          <w:szCs w:val="20"/>
        </w:rPr>
        <w:lastRenderedPageBreak/>
        <w:t>At both the state and local level, consider reforms to the grand jury process and the role of local prosecutors in the indictment of officers in cases of police excessive use of force, fully ensuring the impartiality of indicting authorities or creating separate, independent, and specialized bodies to carry out these proceedings.</w:t>
      </w:r>
    </w:p>
    <w:p w14:paraId="35533FC6" w14:textId="77777777" w:rsidR="00E5383E" w:rsidRPr="00D920C9" w:rsidRDefault="000561DB"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 xml:space="preserve">In order to ensure the non-repetition of police misconduct, brutality, and/or killings, consider the introduction of reforms at the local, state, and federal levels to ensure that when a criminal or civil judgment is rendered against a law enforcement officer or department, the department is effectively aware of the contents of the judgment and required to indemnify the </w:t>
      </w:r>
      <w:proofErr w:type="spellStart"/>
      <w:r w:rsidRPr="00D920C9">
        <w:rPr>
          <w:rFonts w:asciiTheme="minorHAnsi" w:hAnsiTheme="minorHAnsi"/>
          <w:szCs w:val="20"/>
        </w:rPr>
        <w:t>payor</w:t>
      </w:r>
      <w:proofErr w:type="spellEnd"/>
      <w:r w:rsidRPr="00D920C9">
        <w:rPr>
          <w:rFonts w:asciiTheme="minorHAnsi" w:hAnsiTheme="minorHAnsi"/>
          <w:szCs w:val="20"/>
        </w:rPr>
        <w:t xml:space="preserve"> party in any resulting judgment, in order to incentivize structural reforms within law enforcement departments and prevent patterns of abuses.</w:t>
      </w:r>
    </w:p>
    <w:p w14:paraId="55C25B48" w14:textId="77777777" w:rsidR="00E5383E" w:rsidRPr="00D920C9" w:rsidRDefault="00E5383E" w:rsidP="006E3DD1">
      <w:pPr>
        <w:pStyle w:val="Heading2"/>
        <w:ind w:left="547" w:hanging="547"/>
      </w:pPr>
      <w:bookmarkStart w:id="266" w:name="_Toc511903026"/>
      <w:bookmarkStart w:id="267" w:name="_Toc517687955"/>
      <w:r w:rsidRPr="00D920C9">
        <w:t>Recommendations regarding</w:t>
      </w:r>
      <w:r w:rsidR="00C252AC" w:rsidRPr="00D920C9">
        <w:t xml:space="preserve"> </w:t>
      </w:r>
      <w:r w:rsidR="003A6706" w:rsidRPr="00D920C9">
        <w:t xml:space="preserve">Access </w:t>
      </w:r>
      <w:r w:rsidR="00C252AC" w:rsidRPr="00D920C9">
        <w:t xml:space="preserve">to </w:t>
      </w:r>
      <w:r w:rsidR="003A6706" w:rsidRPr="00D920C9">
        <w:t xml:space="preserve">Justice </w:t>
      </w:r>
      <w:r w:rsidR="00C252AC" w:rsidRPr="00D920C9">
        <w:t>and</w:t>
      </w:r>
      <w:r w:rsidRPr="00D920C9">
        <w:t xml:space="preserve"> </w:t>
      </w:r>
      <w:r w:rsidR="003A6706" w:rsidRPr="00D920C9">
        <w:t>Reparations</w:t>
      </w:r>
      <w:bookmarkEnd w:id="266"/>
      <w:bookmarkEnd w:id="267"/>
    </w:p>
    <w:p w14:paraId="1C34B685" w14:textId="77777777" w:rsidR="00C252AC" w:rsidRPr="00D920C9" w:rsidRDefault="00C252AC"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 xml:space="preserve">Ensure effective access to justice for African Americans and other communities of color, taking into account the material, economic, and juridical obstacles </w:t>
      </w:r>
      <w:r w:rsidR="00727CD8" w:rsidRPr="00D920C9">
        <w:rPr>
          <w:rFonts w:asciiTheme="minorHAnsi" w:hAnsiTheme="minorHAnsi"/>
          <w:szCs w:val="20"/>
        </w:rPr>
        <w:t>and systematic exclusion they face.</w:t>
      </w:r>
    </w:p>
    <w:p w14:paraId="2D4ACC3B" w14:textId="77777777" w:rsidR="006753A7" w:rsidRPr="00D920C9" w:rsidRDefault="006753A7"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At the federal, state, and local levels, train justice operators (including judges, prosecutors, public defenders, and other judicial staff, as well as law enforcement officials) in human rights protection principles and norms, including in the areas of non-discrimination and access to justice.</w:t>
      </w:r>
    </w:p>
    <w:p w14:paraId="2989CAF4" w14:textId="77777777" w:rsidR="004B2CE1" w:rsidRPr="00D920C9" w:rsidRDefault="004B2CE1"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Promote the observance of clearly defined codes of conduct and ethical norms, in line with international standards, by all public servants, in particular law enforcement officials and other justice operators, including prosecutors and judges.</w:t>
      </w:r>
    </w:p>
    <w:p w14:paraId="263BAC1D" w14:textId="77777777" w:rsidR="0017556C" w:rsidRPr="00D920C9" w:rsidRDefault="0017556C"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At the state level, revise or repeal “Stand Your Ground” laws, and take other effective steps to eliminate racial bias in legal proceedings.</w:t>
      </w:r>
    </w:p>
    <w:p w14:paraId="5A469439" w14:textId="77777777" w:rsidR="00E5383E" w:rsidRPr="00D920C9" w:rsidRDefault="00E5383E"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 xml:space="preserve">Ensure </w:t>
      </w:r>
      <w:r w:rsidR="00733ED6" w:rsidRPr="00D920C9">
        <w:rPr>
          <w:rFonts w:asciiTheme="minorHAnsi" w:hAnsiTheme="minorHAnsi"/>
          <w:szCs w:val="20"/>
        </w:rPr>
        <w:t>appropriate and prompt reparation for all victims of police conduct and their next of kin, in line with the principles laid out in the previous sections.</w:t>
      </w:r>
    </w:p>
    <w:p w14:paraId="60B137AE" w14:textId="77777777" w:rsidR="00727CD8" w:rsidRPr="00D920C9" w:rsidRDefault="00727CD8"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lastRenderedPageBreak/>
        <w:t xml:space="preserve">Devote appropriate human and financial resources toward improving access to </w:t>
      </w:r>
      <w:r w:rsidR="009B7EE9" w:rsidRPr="00D920C9">
        <w:rPr>
          <w:rFonts w:asciiTheme="minorHAnsi" w:hAnsiTheme="minorHAnsi"/>
          <w:szCs w:val="20"/>
        </w:rPr>
        <w:t xml:space="preserve">quality </w:t>
      </w:r>
      <w:r w:rsidRPr="00D920C9">
        <w:rPr>
          <w:rFonts w:asciiTheme="minorHAnsi" w:hAnsiTheme="minorHAnsi"/>
          <w:szCs w:val="20"/>
        </w:rPr>
        <w:t xml:space="preserve">health care, housing, education, </w:t>
      </w:r>
      <w:r w:rsidR="009B7EE9" w:rsidRPr="00D920C9">
        <w:rPr>
          <w:rFonts w:asciiTheme="minorHAnsi" w:hAnsiTheme="minorHAnsi"/>
          <w:szCs w:val="20"/>
        </w:rPr>
        <w:t>and other rights for African Americans and other communities of color.</w:t>
      </w:r>
    </w:p>
    <w:p w14:paraId="09B1FA69" w14:textId="77777777" w:rsidR="00611B4F" w:rsidRPr="00D920C9" w:rsidRDefault="00733ED6"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Undertake studies with the goal of creating guidelines for the reparation of historic and structural discrimination against African Americans and other historically marginalized groups.</w:t>
      </w:r>
    </w:p>
    <w:p w14:paraId="0BE04CB7" w14:textId="77777777" w:rsidR="00A927C5" w:rsidRPr="00D920C9" w:rsidRDefault="00733ED6" w:rsidP="00EC5191">
      <w:pPr>
        <w:pStyle w:val="ListParagraph"/>
        <w:numPr>
          <w:ilvl w:val="0"/>
          <w:numId w:val="39"/>
        </w:numPr>
        <w:spacing w:after="240" w:line="240" w:lineRule="auto"/>
        <w:ind w:left="1080" w:right="432" w:hanging="720"/>
        <w:contextualSpacing w:val="0"/>
        <w:jc w:val="both"/>
        <w:rPr>
          <w:rFonts w:asciiTheme="minorHAnsi" w:hAnsiTheme="minorHAnsi"/>
          <w:szCs w:val="20"/>
        </w:rPr>
      </w:pPr>
      <w:r w:rsidRPr="00D920C9">
        <w:rPr>
          <w:rFonts w:asciiTheme="minorHAnsi" w:hAnsiTheme="minorHAnsi"/>
          <w:szCs w:val="20"/>
        </w:rPr>
        <w:t xml:space="preserve">Provide appropriate reparation to those affected by the racially disparate impact of federal, state, and local laws and policies. </w:t>
      </w:r>
    </w:p>
    <w:sectPr w:rsidR="00A927C5" w:rsidRPr="00D920C9" w:rsidSect="001E4747">
      <w:headerReference w:type="default" r:id="rId38"/>
      <w:footerReference w:type="default" r:id="rId39"/>
      <w:type w:val="oddPage"/>
      <w:pgSz w:w="10080" w:h="14400" w:code="1"/>
      <w:pgMar w:top="1152" w:right="1152" w:bottom="1152" w:left="12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7F00E" w14:textId="77777777" w:rsidR="00BA1293" w:rsidRDefault="00BA1293" w:rsidP="00EF0E62">
      <w:pPr>
        <w:spacing w:after="0" w:line="240" w:lineRule="auto"/>
      </w:pPr>
      <w:r>
        <w:separator/>
      </w:r>
    </w:p>
  </w:endnote>
  <w:endnote w:type="continuationSeparator" w:id="0">
    <w:p w14:paraId="4D24E8AC" w14:textId="77777777" w:rsidR="00BA1293" w:rsidRDefault="00BA1293" w:rsidP="00EF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radeGothic">
    <w:altName w:val="Calibri"/>
    <w:panose1 w:val="00000000000000000000"/>
    <w:charset w:val="00"/>
    <w:family w:val="swiss"/>
    <w:notTrueType/>
    <w:pitch w:val="default"/>
    <w:sig w:usb0="00000003" w:usb1="00000000" w:usb2="00000000" w:usb3="00000000" w:csb0="00000001" w:csb1="00000000"/>
  </w:font>
  <w:font w:name="TradeGothic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otham-Book">
    <w:panose1 w:val="00000000000000000000"/>
    <w:charset w:val="00"/>
    <w:family w:val="auto"/>
    <w:notTrueType/>
    <w:pitch w:val="default"/>
    <w:sig w:usb0="00000003" w:usb1="00000000" w:usb2="00000000" w:usb3="00000000" w:csb0="00000001" w:csb1="00000000"/>
  </w:font>
  <w:font w:name="TradeGothic-CondEighteen">
    <w:altName w:val="Cambria"/>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FA1A4" w14:textId="77777777" w:rsidR="005C2394" w:rsidRPr="00F700B7" w:rsidRDefault="005C2394" w:rsidP="00D91D6A">
    <w:pPr>
      <w:pStyle w:val="Footer"/>
      <w:spacing w:before="420"/>
      <w:rPr>
        <w:rFonts w:ascii="Calibri" w:hAnsi="Calibri"/>
        <w:color w:val="4A442A"/>
        <w:sz w:val="16"/>
        <w:szCs w:val="14"/>
      </w:rPr>
    </w:pPr>
    <w:r>
      <w:rPr>
        <w:rFonts w:ascii="Calibri" w:hAnsi="Calibri"/>
        <w:color w:val="4A442A"/>
        <w:sz w:val="16"/>
        <w:szCs w:val="14"/>
      </w:rPr>
      <w:t xml:space="preserve">Organization of American States </w:t>
    </w:r>
    <w:r w:rsidRPr="00BD573B">
      <w:rPr>
        <w:rFonts w:ascii="Calibri" w:hAnsi="Calibri"/>
        <w:color w:val="4A442A"/>
        <w:sz w:val="16"/>
        <w:szCs w:val="14"/>
      </w:rPr>
      <w:t xml:space="preserve">| </w:t>
    </w:r>
    <w:r>
      <w:rPr>
        <w:rFonts w:ascii="Calibri" w:hAnsi="Calibri"/>
        <w:b/>
        <w:color w:val="4A442A"/>
        <w:sz w:val="16"/>
        <w:szCs w:val="14"/>
      </w:rPr>
      <w:t>OAS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5300" w14:textId="7608CB51" w:rsidR="005C2394" w:rsidRPr="003F5BAC" w:rsidRDefault="005C2394" w:rsidP="003F5BA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21B16" w14:textId="77777777" w:rsidR="005C2394" w:rsidRPr="00D91D6A" w:rsidRDefault="005C2394" w:rsidP="00D91D6A">
    <w:pPr>
      <w:pStyle w:val="Footer"/>
      <w:spacing w:before="420"/>
      <w:jc w:val="right"/>
      <w:rPr>
        <w:rFonts w:asciiTheme="majorHAnsi" w:hAnsiTheme="majorHAnsi"/>
        <w:color w:val="4A442A" w:themeColor="background2" w:themeShade="40"/>
        <w:sz w:val="16"/>
        <w:szCs w:val="16"/>
      </w:rPr>
    </w:pPr>
    <w:r w:rsidRPr="00D91D6A">
      <w:rPr>
        <w:rFonts w:asciiTheme="majorHAnsi" w:hAnsiTheme="majorHAnsi"/>
        <w:color w:val="4A442A" w:themeColor="background2" w:themeShade="40"/>
        <w:sz w:val="16"/>
        <w:szCs w:val="16"/>
      </w:rPr>
      <w:t xml:space="preserve">Inter-American Commission on Human Rights | </w:t>
    </w:r>
    <w:r w:rsidRPr="00D91D6A">
      <w:rPr>
        <w:rFonts w:asciiTheme="majorHAnsi" w:hAnsiTheme="majorHAnsi"/>
        <w:b/>
        <w:color w:val="4A442A" w:themeColor="background2" w:themeShade="40"/>
        <w:sz w:val="16"/>
        <w:szCs w:val="16"/>
      </w:rPr>
      <w:t>IACHR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F8285" w14:textId="2AA374CE" w:rsidR="005C2394" w:rsidRPr="00E027D0" w:rsidRDefault="005C2394" w:rsidP="00E027D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F017" w14:textId="77777777" w:rsidR="005C2394" w:rsidRPr="00D91D6A" w:rsidRDefault="005C2394" w:rsidP="00D91D6A">
    <w:pPr>
      <w:pStyle w:val="Footer"/>
      <w:spacing w:before="420"/>
      <w:jc w:val="right"/>
      <w:rPr>
        <w:rFonts w:asciiTheme="majorHAnsi" w:hAnsiTheme="majorHAnsi"/>
        <w:color w:val="4A442A" w:themeColor="background2" w:themeShade="40"/>
        <w:sz w:val="16"/>
        <w:szCs w:val="16"/>
      </w:rPr>
    </w:pPr>
    <w:r w:rsidRPr="00D91D6A">
      <w:rPr>
        <w:rFonts w:asciiTheme="majorHAnsi" w:hAnsiTheme="majorHAnsi"/>
        <w:color w:val="4A442A" w:themeColor="background2" w:themeShade="40"/>
        <w:sz w:val="16"/>
        <w:szCs w:val="16"/>
      </w:rPr>
      <w:t xml:space="preserve">Inter-American Commission on Human Rights | </w:t>
    </w:r>
    <w:r w:rsidRPr="00D91D6A">
      <w:rPr>
        <w:rFonts w:asciiTheme="majorHAnsi" w:hAnsiTheme="majorHAnsi"/>
        <w:b/>
        <w:color w:val="4A442A" w:themeColor="background2" w:themeShade="40"/>
        <w:sz w:val="16"/>
        <w:szCs w:val="16"/>
      </w:rPr>
      <w:t>IACHR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4E9F0" w14:textId="51BD39C7" w:rsidR="005C2394" w:rsidRPr="005C2394" w:rsidRDefault="005C2394" w:rsidP="005C2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221B" w14:textId="77777777" w:rsidR="005C2394" w:rsidRPr="00737B87" w:rsidRDefault="005C2394" w:rsidP="00A9013E">
    <w:pPr>
      <w:pStyle w:val="Footer"/>
      <w:spacing w:before="420"/>
      <w:jc w:val="right"/>
      <w:rPr>
        <w:rFonts w:ascii="Calibri" w:hAnsi="Calibri"/>
        <w:color w:val="4A442A"/>
        <w:sz w:val="16"/>
        <w:szCs w:val="14"/>
      </w:rPr>
    </w:pPr>
    <w:r w:rsidRPr="00737B87">
      <w:rPr>
        <w:rFonts w:ascii="Calibri" w:hAnsi="Calibri"/>
        <w:color w:val="4A442A"/>
        <w:sz w:val="16"/>
        <w:szCs w:val="14"/>
      </w:rPr>
      <w:t xml:space="preserve">Inter-American Commission on Human Rights | </w:t>
    </w:r>
    <w:r w:rsidRPr="00737B87">
      <w:rPr>
        <w:rFonts w:ascii="Calibri" w:hAnsi="Calibri"/>
        <w:b/>
        <w:color w:val="4A442A"/>
        <w:sz w:val="16"/>
        <w:szCs w:val="14"/>
      </w:rPr>
      <w:t>IACHR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D56F" w14:textId="77777777" w:rsidR="005C2394" w:rsidRPr="00F700B7" w:rsidRDefault="005C2394" w:rsidP="00D91D6A">
    <w:pPr>
      <w:pStyle w:val="Footer"/>
      <w:spacing w:before="420"/>
      <w:rPr>
        <w:rFonts w:ascii="Calibri" w:hAnsi="Calibri"/>
        <w:color w:val="4A442A"/>
        <w:sz w:val="16"/>
        <w:szCs w:val="14"/>
      </w:rPr>
    </w:pPr>
    <w:r>
      <w:rPr>
        <w:rFonts w:ascii="Calibri" w:hAnsi="Calibri"/>
        <w:color w:val="4A442A"/>
        <w:sz w:val="16"/>
        <w:szCs w:val="14"/>
      </w:rPr>
      <w:t xml:space="preserve">Organization of American States </w:t>
    </w:r>
    <w:r w:rsidRPr="00BD573B">
      <w:rPr>
        <w:rFonts w:ascii="Calibri" w:hAnsi="Calibri"/>
        <w:color w:val="4A442A"/>
        <w:sz w:val="16"/>
        <w:szCs w:val="14"/>
      </w:rPr>
      <w:t xml:space="preserve">| </w:t>
    </w:r>
    <w:r>
      <w:rPr>
        <w:rFonts w:ascii="Calibri" w:hAnsi="Calibri"/>
        <w:b/>
        <w:color w:val="4A442A"/>
        <w:sz w:val="16"/>
        <w:szCs w:val="14"/>
      </w:rPr>
      <w:t>OAS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0B5C5" w14:textId="77777777" w:rsidR="005C2394" w:rsidRDefault="005C2394" w:rsidP="00BC143C">
    <w:pPr>
      <w:pStyle w:val="Footer"/>
      <w:spacing w:before="420"/>
      <w:jc w:val="right"/>
      <w:rPr>
        <w:rFonts w:ascii="Calibri" w:hAnsi="Calibri"/>
        <w:color w:val="4A442A"/>
        <w:sz w:val="16"/>
        <w:szCs w:val="14"/>
      </w:rPr>
    </w:pPr>
    <w:r>
      <w:rPr>
        <w:rFonts w:ascii="Calibri" w:hAnsi="Calibri"/>
        <w:color w:val="4A442A"/>
        <w:sz w:val="16"/>
        <w:szCs w:val="14"/>
      </w:rPr>
      <w:t xml:space="preserve">Inter-American Commission on Human Rights | </w:t>
    </w:r>
    <w:r>
      <w:rPr>
        <w:rFonts w:ascii="Calibri" w:hAnsi="Calibri"/>
        <w:b/>
        <w:color w:val="4A442A"/>
        <w:sz w:val="16"/>
        <w:szCs w:val="14"/>
      </w:rPr>
      <w:t>IACHR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A1724" w14:textId="4039769D" w:rsidR="005C2394" w:rsidRPr="003443D5" w:rsidRDefault="005C2394" w:rsidP="003443D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1D2C" w14:textId="77777777" w:rsidR="005C2394" w:rsidRPr="00D91D6A" w:rsidRDefault="005C2394" w:rsidP="00D91D6A">
    <w:pPr>
      <w:pStyle w:val="Footer"/>
      <w:spacing w:before="420"/>
      <w:jc w:val="right"/>
      <w:rPr>
        <w:rFonts w:asciiTheme="majorHAnsi" w:hAnsiTheme="majorHAnsi"/>
        <w:color w:val="4A442A" w:themeColor="background2" w:themeShade="40"/>
        <w:sz w:val="16"/>
        <w:szCs w:val="16"/>
      </w:rPr>
    </w:pPr>
    <w:r w:rsidRPr="00D91D6A">
      <w:rPr>
        <w:rFonts w:asciiTheme="majorHAnsi" w:hAnsiTheme="majorHAnsi"/>
        <w:color w:val="4A442A" w:themeColor="background2" w:themeShade="40"/>
        <w:sz w:val="16"/>
        <w:szCs w:val="16"/>
      </w:rPr>
      <w:t xml:space="preserve">Inter-American Commission on Human Rights | </w:t>
    </w:r>
    <w:r w:rsidRPr="00D91D6A">
      <w:rPr>
        <w:rFonts w:asciiTheme="majorHAnsi" w:hAnsiTheme="majorHAnsi"/>
        <w:b/>
        <w:color w:val="4A442A" w:themeColor="background2" w:themeShade="40"/>
        <w:sz w:val="16"/>
        <w:szCs w:val="16"/>
      </w:rPr>
      <w:t>IACHR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A64F6" w14:textId="2C808F2F" w:rsidR="005C2394" w:rsidRPr="00625D97" w:rsidRDefault="005C2394" w:rsidP="00625D9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A782" w14:textId="77777777" w:rsidR="005C2394" w:rsidRPr="00D91D6A" w:rsidRDefault="005C2394" w:rsidP="00D91D6A">
    <w:pPr>
      <w:pStyle w:val="Footer"/>
      <w:spacing w:before="420"/>
      <w:jc w:val="right"/>
      <w:rPr>
        <w:rFonts w:asciiTheme="majorHAnsi" w:hAnsiTheme="majorHAnsi"/>
        <w:color w:val="4A442A" w:themeColor="background2" w:themeShade="40"/>
        <w:sz w:val="16"/>
        <w:szCs w:val="16"/>
      </w:rPr>
    </w:pPr>
    <w:r w:rsidRPr="00D91D6A">
      <w:rPr>
        <w:rFonts w:asciiTheme="majorHAnsi" w:hAnsiTheme="majorHAnsi"/>
        <w:color w:val="4A442A" w:themeColor="background2" w:themeShade="40"/>
        <w:sz w:val="16"/>
        <w:szCs w:val="16"/>
      </w:rPr>
      <w:t xml:space="preserve">Inter-American Commission on Human Rights | </w:t>
    </w:r>
    <w:r w:rsidRPr="00D91D6A">
      <w:rPr>
        <w:rFonts w:asciiTheme="majorHAnsi" w:hAnsiTheme="majorHAnsi"/>
        <w:b/>
        <w:color w:val="4A442A" w:themeColor="background2" w:themeShade="40"/>
        <w:sz w:val="16"/>
        <w:szCs w:val="16"/>
      </w:rPr>
      <w:t>IACHR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F867B" w14:textId="77777777" w:rsidR="00BA1293" w:rsidRPr="00823659" w:rsidRDefault="00BA1293" w:rsidP="007B6001">
      <w:pPr>
        <w:rPr>
          <w:color w:val="808080" w:themeColor="background1" w:themeShade="80"/>
          <w:sz w:val="14"/>
          <w:szCs w:val="14"/>
        </w:rPr>
      </w:pPr>
      <w:r w:rsidRPr="00823659">
        <w:rPr>
          <w:color w:val="808080" w:themeColor="background1" w:themeShade="80"/>
          <w:sz w:val="14"/>
          <w:szCs w:val="14"/>
        </w:rPr>
        <w:continuationSeparator/>
      </w:r>
    </w:p>
  </w:footnote>
  <w:footnote w:type="continuationSeparator" w:id="0">
    <w:p w14:paraId="5DAFCC1C" w14:textId="77777777" w:rsidR="00BA1293" w:rsidRPr="00823659" w:rsidRDefault="00BA1293" w:rsidP="007B6001">
      <w:pPr>
        <w:rPr>
          <w:color w:val="808080" w:themeColor="background1" w:themeShade="80"/>
          <w:sz w:val="14"/>
          <w:szCs w:val="14"/>
        </w:rPr>
      </w:pPr>
      <w:r w:rsidRPr="00823659">
        <w:rPr>
          <w:color w:val="808080" w:themeColor="background1" w:themeShade="80"/>
          <w:sz w:val="14"/>
          <w:szCs w:val="14"/>
        </w:rPr>
        <w:continuationSeparator/>
      </w:r>
    </w:p>
  </w:footnote>
  <w:footnote w:id="1">
    <w:p w14:paraId="2717F7A3" w14:textId="5B4E2B7E"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For ease of reading and accessibility, the Commission uses “African American,” “Black,” and “Afro-descendant” in this report virtually interchangeably, favoring the term “African American.” However, the Commission recognizes that whereas “African American” denotes nationality, “Black” (the preferred domestic term) and “Afro-descendant” (the preferred term in the Inter-American Human Rights System) refer more broadly to those individuals racialized as black in the United States and of African descent, respectively, irrespective of national origin. In this regard, the Commission recognizes that all individuals racialized as black in the U.S. may be targets of police violence in the U.S., regardless of nationality or country of origin (</w:t>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e.g.</w:t>
      </w:r>
      <w:r w:rsidRPr="001167CB">
        <w:rPr>
          <w:rFonts w:asciiTheme="majorHAnsi" w:hAnsiTheme="majorHAnsi" w:cstheme="majorHAnsi"/>
          <w:color w:val="808080" w:themeColor="background1" w:themeShade="80"/>
          <w:sz w:val="16"/>
          <w:szCs w:val="16"/>
        </w:rPr>
        <w:t xml:space="preserve">, considerations in this report related to </w:t>
      </w:r>
      <w:proofErr w:type="spellStart"/>
      <w:r w:rsidRPr="001167CB">
        <w:rPr>
          <w:rFonts w:asciiTheme="majorHAnsi" w:hAnsiTheme="majorHAnsi" w:cstheme="majorHAnsi"/>
          <w:color w:val="808080" w:themeColor="background1" w:themeShade="80"/>
          <w:sz w:val="16"/>
          <w:szCs w:val="16"/>
        </w:rPr>
        <w:t>Tesfaie</w:t>
      </w:r>
      <w:proofErr w:type="spellEnd"/>
      <w:r w:rsidRPr="001167CB">
        <w:rPr>
          <w:rFonts w:asciiTheme="majorHAnsi" w:hAnsiTheme="majorHAnsi" w:cstheme="majorHAnsi"/>
          <w:color w:val="808080" w:themeColor="background1" w:themeShade="80"/>
          <w:sz w:val="16"/>
          <w:szCs w:val="16"/>
        </w:rPr>
        <w:t xml:space="preserve"> </w:t>
      </w:r>
      <w:proofErr w:type="spellStart"/>
      <w:r w:rsidRPr="001167CB">
        <w:rPr>
          <w:rFonts w:asciiTheme="majorHAnsi" w:hAnsiTheme="majorHAnsi" w:cstheme="majorHAnsi"/>
          <w:color w:val="808080" w:themeColor="background1" w:themeShade="80"/>
          <w:sz w:val="16"/>
          <w:szCs w:val="16"/>
        </w:rPr>
        <w:t>Mokuria</w:t>
      </w:r>
      <w:proofErr w:type="spellEnd"/>
      <w:r w:rsidRPr="001167CB">
        <w:rPr>
          <w:rFonts w:asciiTheme="majorHAnsi" w:hAnsiTheme="majorHAnsi" w:cstheme="majorHAnsi"/>
          <w:color w:val="808080" w:themeColor="background1" w:themeShade="80"/>
          <w:sz w:val="16"/>
          <w:szCs w:val="16"/>
        </w:rPr>
        <w:t xml:space="preserve"> and </w:t>
      </w:r>
      <w:proofErr w:type="spellStart"/>
      <w:r w:rsidRPr="001167CB">
        <w:rPr>
          <w:rFonts w:asciiTheme="majorHAnsi" w:hAnsiTheme="majorHAnsi" w:cstheme="majorHAnsi"/>
          <w:color w:val="808080" w:themeColor="background1" w:themeShade="80"/>
          <w:sz w:val="16"/>
          <w:szCs w:val="16"/>
        </w:rPr>
        <w:t>Amadou</w:t>
      </w:r>
      <w:proofErr w:type="spellEnd"/>
      <w:r w:rsidRPr="001167CB">
        <w:rPr>
          <w:rFonts w:asciiTheme="majorHAnsi" w:hAnsiTheme="majorHAnsi" w:cstheme="majorHAnsi"/>
          <w:color w:val="808080" w:themeColor="background1" w:themeShade="80"/>
          <w:sz w:val="16"/>
          <w:szCs w:val="16"/>
        </w:rPr>
        <w:t xml:space="preserve"> Diallo (</w:t>
      </w:r>
      <w:r w:rsidRPr="001167CB">
        <w:rPr>
          <w:rFonts w:asciiTheme="majorHAnsi" w:hAnsiTheme="majorHAnsi" w:cstheme="majorHAnsi"/>
          <w:i/>
          <w:color w:val="808080" w:themeColor="background1" w:themeShade="80"/>
          <w:sz w:val="16"/>
          <w:szCs w:val="16"/>
        </w:rPr>
        <w:t>infra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_Ref507077640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93</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 immigrants from Ethiopia and Guinea, respectively), and the report should be read in this sense.</w:t>
      </w:r>
    </w:p>
  </w:footnote>
  <w:footnote w:id="2">
    <w:p w14:paraId="5D83F1CB" w14:textId="5BFDC95B" w:rsidR="005C2394" w:rsidRPr="001167CB" w:rsidRDefault="005C2394" w:rsidP="002C64F8">
      <w:pPr>
        <w:pStyle w:val="HTMLPreformatted"/>
        <w:shd w:val="clear" w:color="auto" w:fill="FFFFFF"/>
        <w:spacing w:after="40"/>
        <w:ind w:left="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The Commission uses the term “race” throughout this report to refer to the justification for different kinds of violence and   discrimination that affect disproportionately afro-descendent persons in the United States, in line with Article 1.1 of the American Convention </w:t>
      </w:r>
      <w:proofErr w:type="spellStart"/>
      <w:r w:rsidRPr="001167CB">
        <w:rPr>
          <w:rFonts w:asciiTheme="majorHAnsi" w:hAnsiTheme="majorHAnsi" w:cstheme="majorHAnsi"/>
          <w:color w:val="808080" w:themeColor="background1" w:themeShade="80"/>
          <w:sz w:val="16"/>
          <w:szCs w:val="16"/>
        </w:rPr>
        <w:t>o</w:t>
      </w:r>
      <w:proofErr w:type="spellEnd"/>
      <w:r w:rsidRPr="001167CB">
        <w:rPr>
          <w:rFonts w:asciiTheme="majorHAnsi" w:hAnsiTheme="majorHAnsi" w:cstheme="majorHAnsi"/>
          <w:color w:val="808080" w:themeColor="background1" w:themeShade="80"/>
          <w:sz w:val="16"/>
          <w:szCs w:val="16"/>
        </w:rPr>
        <w:t xml:space="preserve"> Human Rights. </w:t>
      </w:r>
      <w:r w:rsidRPr="001167CB">
        <w:rPr>
          <w:rFonts w:asciiTheme="majorHAnsi" w:eastAsia="Arial Unicode MS" w:hAnsiTheme="majorHAnsi" w:cstheme="majorHAnsi"/>
          <w:color w:val="808080" w:themeColor="background1" w:themeShade="80"/>
          <w:sz w:val="16"/>
          <w:szCs w:val="16"/>
        </w:rPr>
        <w:t xml:space="preserve"> </w:t>
      </w:r>
    </w:p>
  </w:footnote>
  <w:footnote w:id="3">
    <w:p w14:paraId="29DFE0D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The Commission recognizes that African Americans are not the only group in the United States disproportionately affected by police excessive use of force, or the only group in the U.S. affected by structural racial discrimination. This report focuses specifically on African Americans and the discrimination they face; however, reference is made as relevant to other groups affected by the excessive use of force, including Native Americans, Hispanics, and others.</w:t>
      </w:r>
    </w:p>
  </w:footnote>
  <w:footnote w:id="4">
    <w:p w14:paraId="0CC0BD9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150th Period of Sessions, Thematic Hearing: Self-defense laws (Stand Your Ground) and their impact on minorities in the United States, Oct. 27, 2014. Video of hearing available at: </w:t>
      </w:r>
      <w:hyperlink r:id="rId1" w:history="1">
        <w:r w:rsidRPr="001167CB">
          <w:rPr>
            <w:rStyle w:val="Hyperlink"/>
            <w:rFonts w:asciiTheme="majorHAnsi" w:hAnsiTheme="majorHAnsi" w:cstheme="majorHAnsi"/>
            <w:color w:val="808080" w:themeColor="background1" w:themeShade="80"/>
            <w:sz w:val="16"/>
            <w:szCs w:val="16"/>
          </w:rPr>
          <w:t>https://www.youtube.com/watch?v=X0EV8Rbpg2s</w:t>
        </w:r>
      </w:hyperlink>
      <w:r w:rsidRPr="001167CB">
        <w:rPr>
          <w:rFonts w:asciiTheme="majorHAnsi" w:hAnsiTheme="majorHAnsi" w:cstheme="majorHAnsi"/>
          <w:color w:val="808080" w:themeColor="background1" w:themeShade="80"/>
          <w:sz w:val="16"/>
          <w:szCs w:val="16"/>
        </w:rPr>
        <w:t xml:space="preserve"> [hereinafter “‘Stand Your Ground’ Laws Hearing”]. The hearing was requested by the Community Justice Project, Florida Legal Services, The Dream Defenders, University of Miami School of Law Human Rights Clinic, National Association for the Advancement of Colored People (NAACP), and the Free Marissa Now Mobilization Campaign. The State was represented by U.S. Mission to the OAS and the Department of State.</w:t>
      </w:r>
    </w:p>
  </w:footnote>
  <w:footnote w:id="5">
    <w:p w14:paraId="593639D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153d Period of Sessions, Thematic Hearing: Racism in the Justice System in the United States, Oct. 27, 2014. Video of hearing available at: </w:t>
      </w:r>
      <w:hyperlink r:id="rId2" w:history="1">
        <w:r w:rsidRPr="001167CB">
          <w:rPr>
            <w:rStyle w:val="Hyperlink"/>
            <w:rFonts w:asciiTheme="majorHAnsi" w:hAnsiTheme="majorHAnsi" w:cstheme="majorHAnsi"/>
            <w:color w:val="808080" w:themeColor="background1" w:themeShade="80"/>
            <w:sz w:val="16"/>
            <w:szCs w:val="16"/>
          </w:rPr>
          <w:t>https://www.youtube.com/watch?v=ieGOtPqlHLM&amp;feature=youtu.be</w:t>
        </w:r>
      </w:hyperlink>
      <w:r w:rsidRPr="001167CB">
        <w:rPr>
          <w:rFonts w:asciiTheme="majorHAnsi" w:hAnsiTheme="majorHAnsi" w:cstheme="majorHAnsi"/>
          <w:color w:val="808080" w:themeColor="background1" w:themeShade="80"/>
          <w:sz w:val="16"/>
          <w:szCs w:val="16"/>
        </w:rPr>
        <w:t xml:space="preserve"> [hereinafter “Racism in the Justice System Hearing”]. Representatives from the Lawyers’ Committee for Civil Rights </w:t>
      </w:r>
      <w:proofErr w:type="gramStart"/>
      <w:r w:rsidRPr="001167CB">
        <w:rPr>
          <w:rFonts w:asciiTheme="majorHAnsi" w:hAnsiTheme="majorHAnsi" w:cstheme="majorHAnsi"/>
          <w:color w:val="808080" w:themeColor="background1" w:themeShade="80"/>
          <w:sz w:val="16"/>
          <w:szCs w:val="16"/>
        </w:rPr>
        <w:t>Under</w:t>
      </w:r>
      <w:proofErr w:type="gramEnd"/>
      <w:r w:rsidRPr="001167CB">
        <w:rPr>
          <w:rFonts w:asciiTheme="majorHAnsi" w:hAnsiTheme="majorHAnsi" w:cstheme="majorHAnsi"/>
          <w:color w:val="808080" w:themeColor="background1" w:themeShade="80"/>
          <w:sz w:val="16"/>
          <w:szCs w:val="16"/>
        </w:rPr>
        <w:t xml:space="preserve"> Law, the NAACP Washington Bureau, Brennan Center for Justice, American Bar Association, and ACLU of Michigan attended the hearing. For the State, the U.S. Mission to the OAS, the Assistant U.S. Attorney for the Southern District of Ohio (Department of Justice), the Office of the Legal Advisor for Western Hemisphere Affairs (Department of State), and the Office of the Legal Advisor for Human Rights and Refugees (Department of State) attended.</w:t>
      </w:r>
    </w:p>
  </w:footnote>
  <w:footnote w:id="6">
    <w:p w14:paraId="10570F0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154th Period of Sessions, Thematic Hearing: Criminal Justice and Race in the United States, Mar. 16, 2015. Video of hearing available at: </w:t>
      </w:r>
      <w:hyperlink r:id="rId3" w:history="1">
        <w:r w:rsidRPr="001167CB">
          <w:rPr>
            <w:rStyle w:val="Hyperlink"/>
            <w:rFonts w:asciiTheme="majorHAnsi" w:hAnsiTheme="majorHAnsi" w:cstheme="majorHAnsi"/>
            <w:color w:val="808080" w:themeColor="background1" w:themeShade="80"/>
            <w:sz w:val="16"/>
            <w:szCs w:val="16"/>
          </w:rPr>
          <w:t>https://www.youtube.com/watch?v=j_OIkzDAaxA</w:t>
        </w:r>
      </w:hyperlink>
      <w:r w:rsidRPr="001167CB">
        <w:rPr>
          <w:rFonts w:asciiTheme="majorHAnsi" w:hAnsiTheme="majorHAnsi" w:cstheme="majorHAnsi"/>
          <w:color w:val="808080" w:themeColor="background1" w:themeShade="80"/>
          <w:sz w:val="16"/>
          <w:szCs w:val="16"/>
        </w:rPr>
        <w:t xml:space="preserve"> [hereinafter “Criminal Justice and Race Hearing”].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lang w:val="en-GB"/>
        </w:rPr>
        <w:t xml:space="preserve">IACHR, Press Release No. 035/2015, </w:t>
      </w:r>
      <w:hyperlink r:id="rId4" w:history="1">
        <w:r w:rsidRPr="001167CB">
          <w:rPr>
            <w:rStyle w:val="Hyperlink"/>
            <w:rFonts w:asciiTheme="majorHAnsi" w:hAnsiTheme="majorHAnsi" w:cstheme="majorHAnsi"/>
            <w:color w:val="808080" w:themeColor="background1" w:themeShade="80"/>
            <w:sz w:val="16"/>
            <w:szCs w:val="16"/>
            <w:lang w:val="en-GB"/>
          </w:rPr>
          <w:t>IACHR Wraps Up its 154th Session</w:t>
        </w:r>
      </w:hyperlink>
      <w:r w:rsidRPr="001167CB">
        <w:rPr>
          <w:rFonts w:asciiTheme="majorHAnsi" w:hAnsiTheme="majorHAnsi" w:cstheme="majorHAnsi"/>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rPr>
        <w:t xml:space="preserve">Mar. </w:t>
      </w:r>
      <w:r w:rsidRPr="001167CB">
        <w:rPr>
          <w:rFonts w:asciiTheme="majorHAnsi" w:hAnsiTheme="majorHAnsi" w:cstheme="majorHAnsi"/>
          <w:color w:val="808080" w:themeColor="background1" w:themeShade="80"/>
          <w:sz w:val="16"/>
          <w:szCs w:val="16"/>
          <w:lang w:val="en-GB"/>
        </w:rPr>
        <w:t xml:space="preserve">27, 2015. The hearing was attended by the Lawyers’ Committee for Civil Rights </w:t>
      </w:r>
      <w:proofErr w:type="gramStart"/>
      <w:r w:rsidRPr="001167CB">
        <w:rPr>
          <w:rFonts w:asciiTheme="majorHAnsi" w:hAnsiTheme="majorHAnsi" w:cstheme="majorHAnsi"/>
          <w:color w:val="808080" w:themeColor="background1" w:themeShade="80"/>
          <w:sz w:val="16"/>
          <w:szCs w:val="16"/>
          <w:lang w:val="en-GB"/>
        </w:rPr>
        <w:t>Under</w:t>
      </w:r>
      <w:proofErr w:type="gramEnd"/>
      <w:r w:rsidRPr="001167CB">
        <w:rPr>
          <w:rFonts w:asciiTheme="majorHAnsi" w:hAnsiTheme="majorHAnsi" w:cstheme="majorHAnsi"/>
          <w:color w:val="808080" w:themeColor="background1" w:themeShade="80"/>
          <w:sz w:val="16"/>
          <w:szCs w:val="16"/>
          <w:lang w:val="en-GB"/>
        </w:rPr>
        <w:t xml:space="preserve"> Law, the </w:t>
      </w:r>
      <w:proofErr w:type="spellStart"/>
      <w:r w:rsidRPr="001167CB">
        <w:rPr>
          <w:rFonts w:asciiTheme="majorHAnsi" w:hAnsiTheme="majorHAnsi" w:cstheme="majorHAnsi"/>
          <w:color w:val="808080" w:themeColor="background1" w:themeShade="80"/>
          <w:sz w:val="16"/>
          <w:szCs w:val="16"/>
          <w:lang w:val="en-GB"/>
        </w:rPr>
        <w:t>Center</w:t>
      </w:r>
      <w:proofErr w:type="spellEnd"/>
      <w:r w:rsidRPr="001167CB">
        <w:rPr>
          <w:rFonts w:asciiTheme="majorHAnsi" w:hAnsiTheme="majorHAnsi" w:cstheme="majorHAnsi"/>
          <w:color w:val="808080" w:themeColor="background1" w:themeShade="80"/>
          <w:sz w:val="16"/>
          <w:szCs w:val="16"/>
          <w:lang w:val="en-GB"/>
        </w:rPr>
        <w:t xml:space="preserve"> for Constitutional Rights, and the ACLU. For the State, the U.S. Mission to the OAS, Department of State, Department of Justice, Department of </w:t>
      </w:r>
      <w:proofErr w:type="spellStart"/>
      <w:r w:rsidRPr="001167CB">
        <w:rPr>
          <w:rFonts w:asciiTheme="majorHAnsi" w:hAnsiTheme="majorHAnsi" w:cstheme="majorHAnsi"/>
          <w:color w:val="808080" w:themeColor="background1" w:themeShade="80"/>
          <w:sz w:val="16"/>
          <w:szCs w:val="16"/>
          <w:lang w:val="en-GB"/>
        </w:rPr>
        <w:t>Labor</w:t>
      </w:r>
      <w:proofErr w:type="spellEnd"/>
      <w:r w:rsidRPr="001167CB">
        <w:rPr>
          <w:rFonts w:asciiTheme="majorHAnsi" w:hAnsiTheme="majorHAnsi" w:cstheme="majorHAnsi"/>
          <w:color w:val="808080" w:themeColor="background1" w:themeShade="80"/>
          <w:sz w:val="16"/>
          <w:szCs w:val="16"/>
          <w:lang w:val="en-GB"/>
        </w:rPr>
        <w:t>, and U.S. Equal Employment Opportunity Commission (EEOC) attended.</w:t>
      </w:r>
    </w:p>
  </w:footnote>
  <w:footnote w:id="7">
    <w:p w14:paraId="76E96D4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156th Period of Sessions, Thematic Hearing: Reports of Excessive Use of Force by the Police against People of African Descent in the United States, Oct. 23, 2015. Video of hearing available at: </w:t>
      </w:r>
      <w:hyperlink r:id="rId5" w:tgtFrame="_blank" w:history="1">
        <w:r w:rsidRPr="001167CB">
          <w:rPr>
            <w:rStyle w:val="Hyperlink"/>
            <w:rFonts w:asciiTheme="majorHAnsi" w:hAnsiTheme="majorHAnsi" w:cstheme="majorHAnsi"/>
            <w:color w:val="808080" w:themeColor="background1" w:themeShade="80"/>
            <w:sz w:val="16"/>
            <w:szCs w:val="16"/>
          </w:rPr>
          <w:t>https://www.youtube.com/watch?v=c_ZLnaWeXCk</w:t>
        </w:r>
      </w:hyperlink>
      <w:r w:rsidRPr="001167CB">
        <w:rPr>
          <w:rFonts w:asciiTheme="majorHAnsi" w:hAnsiTheme="majorHAnsi" w:cstheme="majorHAnsi"/>
          <w:color w:val="808080" w:themeColor="background1" w:themeShade="80"/>
          <w:sz w:val="16"/>
          <w:szCs w:val="16"/>
        </w:rPr>
        <w:t xml:space="preserve"> [hereinafter “Police Killings Hearing”].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IACHR, Press Release No. 120/15, </w:t>
      </w:r>
      <w:hyperlink r:id="rId6" w:history="1">
        <w:r w:rsidRPr="001167CB">
          <w:rPr>
            <w:rStyle w:val="Hyperlink"/>
            <w:rFonts w:asciiTheme="majorHAnsi" w:hAnsiTheme="majorHAnsi" w:cstheme="majorHAnsi"/>
            <w:color w:val="808080" w:themeColor="background1" w:themeShade="80"/>
            <w:sz w:val="16"/>
            <w:szCs w:val="16"/>
          </w:rPr>
          <w:t>IACHR Wraps Up its 156th Session</w:t>
        </w:r>
      </w:hyperlink>
      <w:r w:rsidRPr="001167CB">
        <w:rPr>
          <w:rFonts w:asciiTheme="majorHAnsi" w:hAnsiTheme="majorHAnsi" w:cstheme="majorHAnsi"/>
          <w:color w:val="808080" w:themeColor="background1" w:themeShade="80"/>
          <w:sz w:val="16"/>
          <w:szCs w:val="16"/>
        </w:rPr>
        <w:t xml:space="preserve">, Oct. 28, 2015. The hearing was requested by the Robert F. Kennedy Center for </w:t>
      </w:r>
      <w:proofErr w:type="gramStart"/>
      <w:r w:rsidRPr="001167CB">
        <w:rPr>
          <w:rFonts w:asciiTheme="majorHAnsi" w:hAnsiTheme="majorHAnsi" w:cstheme="majorHAnsi"/>
          <w:color w:val="808080" w:themeColor="background1" w:themeShade="80"/>
          <w:sz w:val="16"/>
          <w:szCs w:val="16"/>
        </w:rPr>
        <w:t>Justice &amp;</w:t>
      </w:r>
      <w:proofErr w:type="gramEnd"/>
      <w:r w:rsidRPr="001167CB">
        <w:rPr>
          <w:rFonts w:asciiTheme="majorHAnsi" w:hAnsiTheme="majorHAnsi" w:cstheme="majorHAnsi"/>
          <w:color w:val="808080" w:themeColor="background1" w:themeShade="80"/>
          <w:sz w:val="16"/>
          <w:szCs w:val="16"/>
        </w:rPr>
        <w:t xml:space="preserve"> Human Rights (RFK Human Rights), </w:t>
      </w:r>
      <w:proofErr w:type="spellStart"/>
      <w:r w:rsidRPr="001167CB">
        <w:rPr>
          <w:rFonts w:asciiTheme="majorHAnsi" w:hAnsiTheme="majorHAnsi" w:cstheme="majorHAnsi"/>
          <w:color w:val="808080" w:themeColor="background1" w:themeShade="80"/>
          <w:sz w:val="16"/>
          <w:szCs w:val="16"/>
        </w:rPr>
        <w:t>Rekia’s</w:t>
      </w:r>
      <w:proofErr w:type="spellEnd"/>
      <w:r w:rsidRPr="001167CB">
        <w:rPr>
          <w:rFonts w:asciiTheme="majorHAnsi" w:hAnsiTheme="majorHAnsi" w:cstheme="majorHAnsi"/>
          <w:color w:val="808080" w:themeColor="background1" w:themeShade="80"/>
          <w:sz w:val="16"/>
          <w:szCs w:val="16"/>
        </w:rPr>
        <w:t xml:space="preserve"> Haven, Mothers Against Police Brutality, and Saint Louis University School of Law. For the State, the U.S. Mission to the OAS, Department of State, and DOJ attended.</w:t>
      </w:r>
    </w:p>
  </w:footnote>
  <w:footnote w:id="8">
    <w:p w14:paraId="7411BA1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166th Period of Sessions, Thematic Hearing: Reports of Impunity for Extrajudicial Killings in the United States, Dec. 7, 2017. Video of hearing available at: </w:t>
      </w:r>
      <w:hyperlink r:id="rId7" w:history="1">
        <w:r w:rsidRPr="001167CB">
          <w:rPr>
            <w:rStyle w:val="Hyperlink"/>
            <w:rFonts w:asciiTheme="majorHAnsi" w:hAnsiTheme="majorHAnsi" w:cstheme="majorHAnsi"/>
            <w:color w:val="808080" w:themeColor="background1" w:themeShade="80"/>
            <w:sz w:val="16"/>
            <w:szCs w:val="16"/>
          </w:rPr>
          <w:t>https://www.youtube.com/watch?v=U5SvLoYX71M</w:t>
        </w:r>
      </w:hyperlink>
      <w:r w:rsidRPr="001167CB">
        <w:rPr>
          <w:rFonts w:asciiTheme="majorHAnsi" w:hAnsiTheme="majorHAnsi" w:cstheme="majorHAnsi"/>
          <w:color w:val="808080" w:themeColor="background1" w:themeShade="80"/>
          <w:sz w:val="16"/>
          <w:szCs w:val="16"/>
        </w:rPr>
        <w:t>. [</w:t>
      </w:r>
      <w:proofErr w:type="gramStart"/>
      <w:r w:rsidRPr="001167CB">
        <w:rPr>
          <w:rFonts w:asciiTheme="majorHAnsi" w:hAnsiTheme="majorHAnsi" w:cstheme="majorHAnsi"/>
          <w:color w:val="808080" w:themeColor="background1" w:themeShade="80"/>
          <w:sz w:val="16"/>
          <w:szCs w:val="16"/>
        </w:rPr>
        <w:t>hereinafter</w:t>
      </w:r>
      <w:proofErr w:type="gramEnd"/>
      <w:r w:rsidRPr="001167CB">
        <w:rPr>
          <w:rFonts w:asciiTheme="majorHAnsi" w:hAnsiTheme="majorHAnsi" w:cstheme="majorHAnsi"/>
          <w:color w:val="808080" w:themeColor="background1" w:themeShade="80"/>
          <w:sz w:val="16"/>
          <w:szCs w:val="16"/>
        </w:rPr>
        <w:t xml:space="preserve"> “Impunity for Police Killings Hearing”]. The hearing was requested by the Santa Clara University School of Law International Human Rights Clinic, RFK Human Rights, and the ACLU. For the State, the U.S. Mission to the OAS and the Department of State attended.</w:t>
      </w:r>
    </w:p>
  </w:footnote>
  <w:footnote w:id="9">
    <w:p w14:paraId="671D163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generally</w:t>
      </w:r>
      <w:r w:rsidRPr="001167CB">
        <w:rPr>
          <w:rFonts w:asciiTheme="majorHAnsi" w:hAnsiTheme="majorHAnsi" w:cstheme="majorHAnsi"/>
          <w:color w:val="808080" w:themeColor="background1" w:themeShade="80"/>
          <w:sz w:val="16"/>
          <w:szCs w:val="16"/>
        </w:rPr>
        <w:t xml:space="preserve"> IACHR, Press Release No. 118/15, </w:t>
      </w:r>
      <w:hyperlink r:id="rId8" w:history="1">
        <w:r w:rsidRPr="001167CB">
          <w:rPr>
            <w:rStyle w:val="Hyperlink"/>
            <w:rFonts w:asciiTheme="majorHAnsi" w:hAnsiTheme="majorHAnsi" w:cstheme="majorHAnsi"/>
            <w:color w:val="808080" w:themeColor="background1" w:themeShade="80"/>
            <w:sz w:val="16"/>
            <w:szCs w:val="16"/>
          </w:rPr>
          <w:t>IACHR Concludes Visit to Florida, Louisiana and Missouri, United States</w:t>
        </w:r>
      </w:hyperlink>
      <w:r w:rsidRPr="001167CB">
        <w:rPr>
          <w:rFonts w:asciiTheme="majorHAnsi" w:hAnsiTheme="majorHAnsi" w:cstheme="majorHAnsi"/>
          <w:color w:val="808080" w:themeColor="background1" w:themeShade="80"/>
          <w:sz w:val="16"/>
          <w:szCs w:val="16"/>
        </w:rPr>
        <w:t xml:space="preserve">, Oct. 16, 2015 [hereinafter “On-Site Visit Press Release”]. </w:t>
      </w:r>
      <w:r w:rsidRPr="001167CB">
        <w:rPr>
          <w:rFonts w:asciiTheme="majorHAnsi" w:hAnsiTheme="majorHAnsi" w:cstheme="majorHAnsi"/>
          <w:i/>
          <w:color w:val="808080" w:themeColor="background1" w:themeShade="80"/>
          <w:sz w:val="16"/>
          <w:szCs w:val="16"/>
        </w:rPr>
        <w:t xml:space="preserve">See also </w:t>
      </w:r>
      <w:r w:rsidRPr="001167CB">
        <w:rPr>
          <w:rFonts w:asciiTheme="majorHAnsi" w:hAnsiTheme="majorHAnsi" w:cstheme="majorHAnsi"/>
          <w:color w:val="808080" w:themeColor="background1" w:themeShade="80"/>
          <w:sz w:val="16"/>
          <w:szCs w:val="16"/>
        </w:rPr>
        <w:t xml:space="preserve">IACHR, </w:t>
      </w:r>
      <w:hyperlink r:id="rId9" w:history="1">
        <w:r w:rsidRPr="001167CB">
          <w:rPr>
            <w:rStyle w:val="Hyperlink"/>
            <w:rFonts w:asciiTheme="majorHAnsi" w:hAnsiTheme="majorHAnsi" w:cstheme="majorHAnsi"/>
            <w:color w:val="808080" w:themeColor="background1" w:themeShade="80"/>
            <w:sz w:val="16"/>
            <w:szCs w:val="16"/>
          </w:rPr>
          <w:t>Preliminary Report on Poverty, Extreme Poverty, and Human Rights in the Americas</w:t>
        </w:r>
      </w:hyperlink>
      <w:r w:rsidRPr="001167CB">
        <w:rPr>
          <w:rFonts w:asciiTheme="majorHAnsi" w:hAnsiTheme="majorHAnsi" w:cstheme="majorHAnsi"/>
          <w:color w:val="808080" w:themeColor="background1" w:themeShade="80"/>
          <w:sz w:val="16"/>
          <w:szCs w:val="16"/>
        </w:rPr>
        <w:t>, 2016.</w:t>
      </w:r>
    </w:p>
  </w:footnote>
  <w:footnote w:id="10">
    <w:p w14:paraId="61EB152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Press Release No. 90/14, </w:t>
      </w:r>
      <w:hyperlink r:id="rId10" w:history="1">
        <w:r w:rsidRPr="001167CB">
          <w:rPr>
            <w:rStyle w:val="Hyperlink"/>
            <w:rFonts w:asciiTheme="majorHAnsi" w:hAnsiTheme="majorHAnsi" w:cstheme="majorHAnsi"/>
            <w:color w:val="808080" w:themeColor="background1" w:themeShade="80"/>
            <w:sz w:val="16"/>
            <w:szCs w:val="16"/>
          </w:rPr>
          <w:t>IACHR Expresses Concern over Police Killings of African-American Persons in the United States</w:t>
        </w:r>
      </w:hyperlink>
      <w:r w:rsidRPr="001167CB">
        <w:rPr>
          <w:rFonts w:asciiTheme="majorHAnsi" w:hAnsiTheme="majorHAnsi" w:cstheme="majorHAnsi"/>
          <w:color w:val="808080" w:themeColor="background1" w:themeShade="80"/>
          <w:sz w:val="16"/>
          <w:szCs w:val="16"/>
        </w:rPr>
        <w:t>, Aug. 22, 2014 [hereinafter “Eric Garner and Michael Brown Press Release”].</w:t>
      </w:r>
    </w:p>
  </w:footnote>
  <w:footnote w:id="11">
    <w:p w14:paraId="1298323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Press Release No. 31/15, </w:t>
      </w:r>
      <w:hyperlink r:id="rId11" w:history="1">
        <w:r w:rsidRPr="001167CB">
          <w:rPr>
            <w:rStyle w:val="Hyperlink"/>
            <w:rFonts w:asciiTheme="majorHAnsi" w:hAnsiTheme="majorHAnsi" w:cstheme="majorHAnsi"/>
            <w:color w:val="808080" w:themeColor="background1" w:themeShade="80"/>
            <w:sz w:val="16"/>
            <w:szCs w:val="16"/>
          </w:rPr>
          <w:t>IACHR Calls on OAS Member States to Bring an End to Racial Discrimination in the Americas</w:t>
        </w:r>
      </w:hyperlink>
      <w:r w:rsidRPr="001167CB">
        <w:rPr>
          <w:rFonts w:asciiTheme="majorHAnsi" w:hAnsiTheme="majorHAnsi" w:cstheme="majorHAnsi"/>
          <w:color w:val="808080" w:themeColor="background1" w:themeShade="80"/>
          <w:sz w:val="16"/>
          <w:szCs w:val="16"/>
        </w:rPr>
        <w:t>, Mar. 20, 2015.</w:t>
      </w:r>
    </w:p>
  </w:footnote>
  <w:footnote w:id="12">
    <w:p w14:paraId="73CB642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n-GB"/>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lang w:val="en-GB"/>
        </w:rPr>
        <w:tab/>
        <w:t xml:space="preserve">IACHR, Press Release No. 37/15, </w:t>
      </w:r>
      <w:hyperlink r:id="rId12" w:history="1">
        <w:r w:rsidRPr="001167CB">
          <w:rPr>
            <w:rStyle w:val="Hyperlink"/>
            <w:rFonts w:asciiTheme="majorHAnsi" w:hAnsiTheme="majorHAnsi" w:cstheme="majorHAnsi"/>
            <w:color w:val="808080" w:themeColor="background1" w:themeShade="80"/>
            <w:sz w:val="16"/>
            <w:szCs w:val="16"/>
            <w:lang w:val="en-GB"/>
          </w:rPr>
          <w:t>IACHR Wraps Up its 154th Session</w:t>
        </w:r>
      </w:hyperlink>
      <w:r w:rsidRPr="001167CB">
        <w:rPr>
          <w:rFonts w:asciiTheme="majorHAnsi" w:hAnsiTheme="majorHAnsi" w:cstheme="majorHAnsi"/>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rPr>
        <w:t xml:space="preserve">Mar. </w:t>
      </w:r>
      <w:r w:rsidRPr="001167CB">
        <w:rPr>
          <w:rFonts w:asciiTheme="majorHAnsi" w:hAnsiTheme="majorHAnsi" w:cstheme="majorHAnsi"/>
          <w:color w:val="808080" w:themeColor="background1" w:themeShade="80"/>
          <w:sz w:val="16"/>
          <w:szCs w:val="16"/>
          <w:lang w:val="en-GB"/>
        </w:rPr>
        <w:t>27, 2015.</w:t>
      </w:r>
    </w:p>
  </w:footnote>
  <w:footnote w:id="13">
    <w:p w14:paraId="5CCD6BB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Press Release No. 40/15, </w:t>
      </w:r>
      <w:hyperlink r:id="rId13" w:history="1">
        <w:r w:rsidRPr="001167CB">
          <w:rPr>
            <w:rStyle w:val="Hyperlink"/>
            <w:rFonts w:asciiTheme="majorHAnsi" w:hAnsiTheme="majorHAnsi" w:cstheme="majorHAnsi"/>
            <w:color w:val="808080" w:themeColor="background1" w:themeShade="80"/>
            <w:sz w:val="16"/>
            <w:szCs w:val="16"/>
          </w:rPr>
          <w:t>IACHR Condemns the Killing of an African-American Man in the United States</w:t>
        </w:r>
      </w:hyperlink>
      <w:r w:rsidRPr="001167CB">
        <w:rPr>
          <w:rFonts w:asciiTheme="majorHAnsi" w:hAnsiTheme="majorHAnsi" w:cstheme="majorHAnsi"/>
          <w:color w:val="808080" w:themeColor="background1" w:themeShade="80"/>
          <w:sz w:val="16"/>
          <w:szCs w:val="16"/>
        </w:rPr>
        <w:t>, Apr. 17, 2015 [hereinafter “Walter Scott Press Release”].</w:t>
      </w:r>
    </w:p>
  </w:footnote>
  <w:footnote w:id="14">
    <w:p w14:paraId="4FAAB6A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Press Release No. 120/16, </w:t>
      </w:r>
      <w:hyperlink r:id="rId14" w:history="1">
        <w:r w:rsidRPr="001167CB">
          <w:rPr>
            <w:rStyle w:val="Hyperlink"/>
            <w:rFonts w:asciiTheme="majorHAnsi" w:hAnsiTheme="majorHAnsi" w:cstheme="majorHAnsi"/>
            <w:color w:val="808080" w:themeColor="background1" w:themeShade="80"/>
            <w:sz w:val="16"/>
            <w:szCs w:val="16"/>
          </w:rPr>
          <w:t>IACHR Expresses Concern with the Deficiencies in the Investigation of Cases Relating to Killing of Afro-descendants by the Police in the United States</w:t>
        </w:r>
      </w:hyperlink>
      <w:r w:rsidRPr="001167CB">
        <w:rPr>
          <w:rFonts w:asciiTheme="majorHAnsi" w:hAnsiTheme="majorHAnsi" w:cstheme="majorHAnsi"/>
          <w:color w:val="808080" w:themeColor="background1" w:themeShade="80"/>
          <w:sz w:val="16"/>
          <w:szCs w:val="16"/>
        </w:rPr>
        <w:t>, Aug. 23, 2016 [hereinafter “Investigation of Police Killings Press Release”].</w:t>
      </w:r>
    </w:p>
  </w:footnote>
  <w:footnote w:id="15">
    <w:p w14:paraId="632F119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Press Release No. </w:t>
      </w:r>
      <w:r w:rsidRPr="001167CB">
        <w:rPr>
          <w:rFonts w:asciiTheme="majorHAnsi" w:hAnsiTheme="majorHAnsi" w:cstheme="majorHAnsi"/>
          <w:color w:val="808080" w:themeColor="background1" w:themeShade="80"/>
          <w:sz w:val="16"/>
          <w:szCs w:val="16"/>
          <w:shd w:val="clear" w:color="auto" w:fill="FFFFFF"/>
        </w:rPr>
        <w:t xml:space="preserve">124/17, </w:t>
      </w:r>
      <w:hyperlink r:id="rId15" w:history="1">
        <w:r w:rsidRPr="001167CB">
          <w:rPr>
            <w:rStyle w:val="Hyperlink"/>
            <w:rFonts w:asciiTheme="majorHAnsi" w:hAnsiTheme="majorHAnsi" w:cstheme="majorHAnsi"/>
            <w:color w:val="808080" w:themeColor="background1" w:themeShade="80"/>
            <w:sz w:val="16"/>
            <w:szCs w:val="16"/>
            <w:shd w:val="clear" w:color="auto" w:fill="FFFFFF"/>
          </w:rPr>
          <w:t>IACHR Repudiates Hate Speech and Violence in Charlottesville, Virginia, United States</w:t>
        </w:r>
      </w:hyperlink>
      <w:r w:rsidRPr="001167CB">
        <w:rPr>
          <w:rFonts w:asciiTheme="majorHAnsi" w:hAnsiTheme="majorHAnsi" w:cstheme="majorHAnsi"/>
          <w:color w:val="808080" w:themeColor="background1" w:themeShade="80"/>
          <w:sz w:val="16"/>
          <w:szCs w:val="16"/>
          <w:shd w:val="clear" w:color="auto" w:fill="FFFFFF"/>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color w:val="808080" w:themeColor="background1" w:themeShade="80"/>
          <w:sz w:val="16"/>
          <w:szCs w:val="16"/>
          <w:shd w:val="clear" w:color="auto" w:fill="FFFFFF"/>
        </w:rPr>
        <w:t xml:space="preserve">18, 2017 [hereinafter “Charlottesville Press Release”]. </w:t>
      </w:r>
    </w:p>
  </w:footnote>
  <w:footnote w:id="16">
    <w:p w14:paraId="1FC1D825" w14:textId="77777777" w:rsidR="005C2394" w:rsidRPr="001167CB" w:rsidRDefault="005C2394" w:rsidP="002C64F8">
      <w:pPr>
        <w:spacing w:after="40" w:line="240" w:lineRule="auto"/>
        <w:ind w:left="547" w:hanging="547"/>
        <w:jc w:val="both"/>
        <w:rPr>
          <w:rFonts w:asciiTheme="majorHAnsi" w:eastAsiaTheme="min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OAS, </w:t>
      </w:r>
      <w:hyperlink r:id="rId16" w:history="1">
        <w:r w:rsidRPr="001167CB">
          <w:rPr>
            <w:rStyle w:val="Hyperlink"/>
            <w:rFonts w:asciiTheme="majorHAnsi" w:hAnsiTheme="majorHAnsi" w:cstheme="majorHAnsi"/>
            <w:i/>
            <w:color w:val="808080" w:themeColor="background1" w:themeShade="80"/>
            <w:sz w:val="16"/>
            <w:szCs w:val="16"/>
          </w:rPr>
          <w:t>General Assembly Resolution 314,</w:t>
        </w:r>
      </w:hyperlink>
      <w:r w:rsidRPr="001167CB">
        <w:rPr>
          <w:rFonts w:asciiTheme="majorHAnsi" w:hAnsiTheme="majorHAnsi" w:cstheme="majorHAnsi"/>
          <w:i/>
          <w:color w:val="808080" w:themeColor="background1" w:themeShade="80"/>
          <w:sz w:val="16"/>
          <w:szCs w:val="16"/>
        </w:rPr>
        <w:t xml:space="preserve"> AG/RES. 314 (VII-O/7</w:t>
      </w:r>
      <w:r w:rsidRPr="001167CB">
        <w:rPr>
          <w:rFonts w:asciiTheme="majorHAnsi" w:hAnsiTheme="majorHAnsi" w:cstheme="majorHAnsi"/>
          <w:color w:val="808080" w:themeColor="background1" w:themeShade="80"/>
          <w:sz w:val="16"/>
          <w:szCs w:val="16"/>
        </w:rPr>
        <w:t>7), June 22, 1977 (entrusting the Inter-American Commission with the preparation of a study to “set forth their obligations to carry out the commitments assumed in the American Declaration of the Rights and Duties of Man”); IACHR, Report No. 80/11, Case 12.626, Merits</w:t>
      </w:r>
      <w:r w:rsidRPr="001167CB">
        <w:rPr>
          <w:rFonts w:asciiTheme="majorHAnsi" w:hAnsiTheme="majorHAnsi" w:cstheme="majorHAnsi"/>
          <w:i/>
          <w:color w:val="808080" w:themeColor="background1" w:themeShade="80"/>
          <w:sz w:val="16"/>
          <w:szCs w:val="16"/>
        </w:rPr>
        <w:t>,</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 xml:space="preserve">Jessica </w:t>
      </w:r>
      <w:proofErr w:type="spellStart"/>
      <w:r w:rsidRPr="001167CB">
        <w:rPr>
          <w:rFonts w:asciiTheme="majorHAnsi" w:hAnsiTheme="majorHAnsi" w:cstheme="majorHAnsi"/>
          <w:i/>
          <w:color w:val="808080" w:themeColor="background1" w:themeShade="80"/>
          <w:sz w:val="16"/>
          <w:szCs w:val="16"/>
        </w:rPr>
        <w:t>Lenahan</w:t>
      </w:r>
      <w:proofErr w:type="spellEnd"/>
      <w:r w:rsidRPr="001167CB">
        <w:rPr>
          <w:rFonts w:asciiTheme="majorHAnsi" w:hAnsiTheme="majorHAnsi" w:cstheme="majorHAnsi"/>
          <w:i/>
          <w:color w:val="808080" w:themeColor="background1" w:themeShade="80"/>
          <w:sz w:val="16"/>
          <w:szCs w:val="16"/>
        </w:rPr>
        <w:t xml:space="preserve"> (Gonzales) et al. </w:t>
      </w:r>
      <w:r w:rsidRPr="001167CB">
        <w:rPr>
          <w:rFonts w:asciiTheme="majorHAnsi" w:hAnsiTheme="majorHAnsi" w:cstheme="majorHAnsi"/>
          <w:color w:val="808080" w:themeColor="background1" w:themeShade="80"/>
          <w:sz w:val="16"/>
          <w:szCs w:val="16"/>
        </w:rPr>
        <w:t xml:space="preserve">(United States), July 21, 2011; IACHR, </w:t>
      </w:r>
      <w:hyperlink r:id="rId17" w:history="1">
        <w:r w:rsidRPr="001167CB">
          <w:rPr>
            <w:rStyle w:val="Hyperlink"/>
            <w:rFonts w:asciiTheme="majorHAnsi" w:hAnsiTheme="majorHAnsi" w:cstheme="majorHAnsi"/>
            <w:i/>
            <w:color w:val="808080" w:themeColor="background1" w:themeShade="80"/>
            <w:sz w:val="16"/>
            <w:szCs w:val="16"/>
          </w:rPr>
          <w:t>Missing and Murdered Indigenous Women in British Columbia, Canada</w:t>
        </w:r>
        <w:r w:rsidRPr="001167CB">
          <w:rPr>
            <w:rStyle w:val="Hyperlink"/>
            <w:rFonts w:asciiTheme="majorHAnsi" w:hAnsiTheme="majorHAnsi" w:cstheme="majorHAnsi"/>
            <w:color w:val="808080" w:themeColor="background1" w:themeShade="80"/>
            <w:sz w:val="16"/>
            <w:szCs w:val="16"/>
          </w:rPr>
          <w:t>,</w:t>
        </w:r>
      </w:hyperlink>
      <w:r w:rsidRPr="001167CB">
        <w:rPr>
          <w:rFonts w:asciiTheme="majorHAnsi" w:hAnsiTheme="majorHAnsi" w:cstheme="majorHAnsi"/>
          <w:color w:val="808080" w:themeColor="background1" w:themeShade="80"/>
          <w:sz w:val="16"/>
          <w:szCs w:val="16"/>
        </w:rPr>
        <w:t xml:space="preserve"> OEA/Ser. L/V/II. Doc. 30/14 (2014); OAS, </w:t>
      </w:r>
      <w:hyperlink r:id="rId18" w:history="1">
        <w:r w:rsidRPr="001167CB">
          <w:rPr>
            <w:rStyle w:val="Hyperlink"/>
            <w:rFonts w:asciiTheme="majorHAnsi" w:hAnsiTheme="majorHAnsi" w:cstheme="majorHAnsi"/>
            <w:i/>
            <w:color w:val="808080" w:themeColor="background1" w:themeShade="80"/>
            <w:sz w:val="16"/>
            <w:szCs w:val="16"/>
          </w:rPr>
          <w:t>General Assembly Resolution 371</w:t>
        </w:r>
      </w:hyperlink>
      <w:r w:rsidRPr="001167CB">
        <w:rPr>
          <w:rFonts w:asciiTheme="majorHAnsi" w:hAnsiTheme="majorHAnsi" w:cstheme="majorHAnsi"/>
          <w:i/>
          <w:color w:val="808080" w:themeColor="background1" w:themeShade="80"/>
          <w:sz w:val="16"/>
          <w:szCs w:val="16"/>
        </w:rPr>
        <w:t>, AG/RES (VIII-O/78)</w:t>
      </w:r>
      <w:r w:rsidRPr="001167CB">
        <w:rPr>
          <w:rFonts w:asciiTheme="majorHAnsi" w:hAnsiTheme="majorHAnsi" w:cstheme="majorHAnsi"/>
          <w:color w:val="808080" w:themeColor="background1" w:themeShade="80"/>
          <w:sz w:val="16"/>
          <w:szCs w:val="16"/>
        </w:rPr>
        <w:t xml:space="preserve">, July 1, 1978. (reaffirming its commitment to “promote the observance of the American Declaration of the Rights and Duties of Man”); OAS, </w:t>
      </w:r>
      <w:hyperlink r:id="rId19" w:history="1">
        <w:r w:rsidRPr="001167CB">
          <w:rPr>
            <w:rStyle w:val="Hyperlink"/>
            <w:rFonts w:asciiTheme="majorHAnsi" w:hAnsiTheme="majorHAnsi" w:cstheme="majorHAnsi"/>
            <w:i/>
            <w:color w:val="808080" w:themeColor="background1" w:themeShade="80"/>
            <w:sz w:val="16"/>
            <w:szCs w:val="16"/>
          </w:rPr>
          <w:t>General Assembly Resolution 370</w:t>
        </w:r>
      </w:hyperlink>
      <w:r w:rsidRPr="001167CB">
        <w:rPr>
          <w:rFonts w:asciiTheme="majorHAnsi" w:hAnsiTheme="majorHAnsi" w:cstheme="majorHAnsi"/>
          <w:i/>
          <w:color w:val="808080" w:themeColor="background1" w:themeShade="80"/>
          <w:sz w:val="16"/>
          <w:szCs w:val="16"/>
        </w:rPr>
        <w:t>, AG/RES. 370 (VIII-O/78)</w:t>
      </w:r>
      <w:r w:rsidRPr="001167CB">
        <w:rPr>
          <w:rFonts w:asciiTheme="majorHAnsi" w:hAnsiTheme="majorHAnsi" w:cstheme="majorHAnsi"/>
          <w:color w:val="808080" w:themeColor="background1" w:themeShade="80"/>
          <w:sz w:val="16"/>
          <w:szCs w:val="16"/>
        </w:rPr>
        <w:t>, July 1, 1978 (referring to the “international commitments” of OAS member states to respect the rights recognized in the American Declaration of the Rights and Duties of Man).</w:t>
      </w:r>
    </w:p>
  </w:footnote>
  <w:footnote w:id="17">
    <w:p w14:paraId="6A8DCF9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I/A Court H.R, </w:t>
      </w:r>
      <w:hyperlink r:id="rId20" w:history="1">
        <w:r w:rsidRPr="001167CB">
          <w:rPr>
            <w:rStyle w:val="Hyperlink"/>
            <w:rFonts w:asciiTheme="majorHAnsi" w:hAnsiTheme="majorHAnsi" w:cstheme="majorHAnsi"/>
            <w:i/>
            <w:color w:val="808080" w:themeColor="background1" w:themeShade="80"/>
            <w:sz w:val="16"/>
            <w:szCs w:val="16"/>
          </w:rPr>
          <w:t>Interpretation of the Declaration of the Rights and Duties of Man within the Framework of Article 64 of the American Convention on Human Rights</w:t>
        </w:r>
      </w:hyperlink>
      <w:r w:rsidRPr="001167CB">
        <w:rPr>
          <w:rFonts w:asciiTheme="majorHAnsi" w:hAnsiTheme="majorHAnsi" w:cstheme="majorHAnsi"/>
          <w:color w:val="808080" w:themeColor="background1" w:themeShade="80"/>
          <w:sz w:val="16"/>
          <w:szCs w:val="16"/>
        </w:rPr>
        <w:t xml:space="preserve">, Advisory Opinion OC-10/89, </w:t>
      </w:r>
      <w:proofErr w:type="gramStart"/>
      <w:r w:rsidRPr="001167CB">
        <w:rPr>
          <w:rFonts w:asciiTheme="majorHAnsi" w:hAnsiTheme="majorHAnsi" w:cstheme="majorHAnsi"/>
          <w:color w:val="808080" w:themeColor="background1" w:themeShade="80"/>
          <w:sz w:val="16"/>
          <w:szCs w:val="16"/>
        </w:rPr>
        <w:t>Ser</w:t>
      </w:r>
      <w:proofErr w:type="gramEnd"/>
      <w:r w:rsidRPr="001167CB">
        <w:rPr>
          <w:rFonts w:asciiTheme="majorHAnsi" w:hAnsiTheme="majorHAnsi" w:cstheme="majorHAnsi"/>
          <w:color w:val="808080" w:themeColor="background1" w:themeShade="80"/>
          <w:sz w:val="16"/>
          <w:szCs w:val="16"/>
        </w:rPr>
        <w:t>. A No.10 July 14, 1989, paras. 35-45; IACHR, Res. 3/87, Case 9647,</w:t>
      </w:r>
      <w:hyperlink r:id="rId21" w:history="1">
        <w:r w:rsidRPr="001167CB">
          <w:rPr>
            <w:rStyle w:val="Hyperlink"/>
            <w:rFonts w:asciiTheme="majorHAnsi" w:hAnsiTheme="majorHAnsi" w:cstheme="majorHAnsi"/>
            <w:i/>
            <w:color w:val="808080" w:themeColor="background1" w:themeShade="80"/>
            <w:sz w:val="16"/>
            <w:szCs w:val="16"/>
          </w:rPr>
          <w:t xml:space="preserve"> James Terry Roach and Jay Pinkerton v.</w:t>
        </w:r>
      </w:hyperlink>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(United States), Sept. 22, 1998; IACHR, </w:t>
      </w:r>
      <w:hyperlink r:id="rId22" w:history="1">
        <w:r w:rsidRPr="001167CB">
          <w:rPr>
            <w:rStyle w:val="Hyperlink"/>
            <w:rFonts w:asciiTheme="majorHAnsi" w:hAnsiTheme="majorHAnsi" w:cstheme="majorHAnsi"/>
            <w:i/>
            <w:color w:val="808080" w:themeColor="background1" w:themeShade="80"/>
            <w:sz w:val="16"/>
            <w:szCs w:val="16"/>
          </w:rPr>
          <w:t>Annual Report 1986-87</w:t>
        </w:r>
      </w:hyperlink>
      <w:r w:rsidRPr="001167CB">
        <w:rPr>
          <w:rFonts w:asciiTheme="majorHAnsi" w:hAnsiTheme="majorHAnsi" w:cstheme="majorHAnsi"/>
          <w:color w:val="808080" w:themeColor="background1" w:themeShade="80"/>
          <w:sz w:val="16"/>
          <w:szCs w:val="16"/>
        </w:rPr>
        <w:t>,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/V/II.71 Doc.9 rev.1, Sept. 22, 1987, paras. 46-49; IACHR, Report No. 80/11, Case 12.626, Merits,</w:t>
      </w:r>
      <w:r w:rsidRPr="001167CB">
        <w:rPr>
          <w:rFonts w:asciiTheme="majorHAnsi" w:hAnsiTheme="majorHAnsi" w:cstheme="majorHAnsi"/>
          <w:i/>
          <w:color w:val="808080" w:themeColor="background1" w:themeShade="80"/>
          <w:sz w:val="16"/>
          <w:szCs w:val="16"/>
        </w:rPr>
        <w:t xml:space="preserve"> Jessica </w:t>
      </w:r>
      <w:proofErr w:type="spellStart"/>
      <w:r w:rsidRPr="001167CB">
        <w:rPr>
          <w:rFonts w:asciiTheme="majorHAnsi" w:hAnsiTheme="majorHAnsi" w:cstheme="majorHAnsi"/>
          <w:i/>
          <w:color w:val="808080" w:themeColor="background1" w:themeShade="80"/>
          <w:sz w:val="16"/>
          <w:szCs w:val="16"/>
        </w:rPr>
        <w:t>Lenahan</w:t>
      </w:r>
      <w:proofErr w:type="spellEnd"/>
      <w:r w:rsidRPr="001167CB">
        <w:rPr>
          <w:rFonts w:asciiTheme="majorHAnsi" w:hAnsiTheme="majorHAnsi" w:cstheme="majorHAnsi"/>
          <w:i/>
          <w:color w:val="808080" w:themeColor="background1" w:themeShade="80"/>
          <w:sz w:val="16"/>
          <w:szCs w:val="16"/>
        </w:rPr>
        <w:t xml:space="preserve"> (Gonzales) et al. </w:t>
      </w:r>
      <w:r w:rsidRPr="001167CB">
        <w:rPr>
          <w:rFonts w:asciiTheme="majorHAnsi" w:hAnsiTheme="majorHAnsi" w:cstheme="majorHAnsi"/>
          <w:color w:val="808080" w:themeColor="background1" w:themeShade="80"/>
          <w:sz w:val="16"/>
          <w:szCs w:val="16"/>
        </w:rPr>
        <w:t xml:space="preserve">(United States), July 21, 2011; Report No. 21/16 Petition 419-08, </w:t>
      </w:r>
      <w:hyperlink r:id="rId23" w:history="1">
        <w:r w:rsidRPr="001167CB">
          <w:rPr>
            <w:rStyle w:val="Hyperlink"/>
            <w:rFonts w:asciiTheme="majorHAnsi" w:hAnsiTheme="majorHAnsi" w:cstheme="majorHAnsi"/>
            <w:i/>
            <w:color w:val="808080" w:themeColor="background1" w:themeShade="80"/>
            <w:sz w:val="16"/>
            <w:szCs w:val="16"/>
          </w:rPr>
          <w:t>Khaled El-</w:t>
        </w:r>
        <w:proofErr w:type="spellStart"/>
        <w:r w:rsidRPr="001167CB">
          <w:rPr>
            <w:rStyle w:val="Hyperlink"/>
            <w:rFonts w:asciiTheme="majorHAnsi" w:hAnsiTheme="majorHAnsi" w:cstheme="majorHAnsi"/>
            <w:i/>
            <w:color w:val="808080" w:themeColor="background1" w:themeShade="80"/>
            <w:sz w:val="16"/>
            <w:szCs w:val="16"/>
          </w:rPr>
          <w:t>Masri</w:t>
        </w:r>
        <w:proofErr w:type="spellEnd"/>
      </w:hyperlink>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(United States), Apr. 15, 2016; Report No. 17/17 Petition P-1105-06, </w:t>
      </w:r>
      <w:hyperlink r:id="rId24" w:history="1">
        <w:r w:rsidRPr="001167CB">
          <w:rPr>
            <w:rStyle w:val="Hyperlink"/>
            <w:rFonts w:asciiTheme="majorHAnsi" w:hAnsiTheme="majorHAnsi" w:cstheme="majorHAnsi"/>
            <w:i/>
            <w:color w:val="808080" w:themeColor="background1" w:themeShade="80"/>
            <w:sz w:val="16"/>
            <w:szCs w:val="16"/>
          </w:rPr>
          <w:t xml:space="preserve">Pedro </w:t>
        </w:r>
        <w:proofErr w:type="spellStart"/>
        <w:r w:rsidRPr="001167CB">
          <w:rPr>
            <w:rStyle w:val="Hyperlink"/>
            <w:rFonts w:asciiTheme="majorHAnsi" w:hAnsiTheme="majorHAnsi" w:cstheme="majorHAnsi"/>
            <w:i/>
            <w:color w:val="808080" w:themeColor="background1" w:themeShade="80"/>
            <w:sz w:val="16"/>
            <w:szCs w:val="16"/>
          </w:rPr>
          <w:t>Rosello</w:t>
        </w:r>
        <w:proofErr w:type="spellEnd"/>
        <w:r w:rsidRPr="001167CB">
          <w:rPr>
            <w:rStyle w:val="Hyperlink"/>
            <w:rFonts w:asciiTheme="majorHAnsi" w:hAnsiTheme="majorHAnsi" w:cstheme="majorHAnsi"/>
            <w:i/>
            <w:color w:val="808080" w:themeColor="background1" w:themeShade="80"/>
            <w:sz w:val="16"/>
            <w:szCs w:val="16"/>
          </w:rPr>
          <w:t xml:space="preserve"> et al</w:t>
        </w:r>
        <w:r w:rsidRPr="001167CB">
          <w:rPr>
            <w:rStyle w:val="Hyperlink"/>
            <w:rFonts w:asciiTheme="majorHAnsi" w:hAnsiTheme="majorHAnsi" w:cstheme="majorHAnsi"/>
            <w:color w:val="808080" w:themeColor="background1" w:themeShade="80"/>
            <w:sz w:val="16"/>
            <w:szCs w:val="16"/>
          </w:rPr>
          <w:t>.</w:t>
        </w:r>
      </w:hyperlink>
      <w:r w:rsidRPr="001167CB">
        <w:rPr>
          <w:rFonts w:asciiTheme="majorHAnsi" w:hAnsiTheme="majorHAnsi" w:cstheme="majorHAnsi"/>
          <w:color w:val="808080" w:themeColor="background1" w:themeShade="80"/>
          <w:sz w:val="16"/>
          <w:szCs w:val="16"/>
        </w:rPr>
        <w:t xml:space="preserve"> (United States), Jan. 27, 2017; Report No. 24/15 Petition 1752-09, </w:t>
      </w:r>
      <w:hyperlink r:id="rId25" w:history="1">
        <w:r w:rsidRPr="001167CB">
          <w:rPr>
            <w:rStyle w:val="Hyperlink"/>
            <w:rFonts w:asciiTheme="majorHAnsi" w:hAnsiTheme="majorHAnsi" w:cstheme="majorHAnsi"/>
            <w:i/>
            <w:color w:val="808080" w:themeColor="background1" w:themeShade="80"/>
            <w:sz w:val="16"/>
            <w:szCs w:val="16"/>
          </w:rPr>
          <w:t xml:space="preserve">Bernardo </w:t>
        </w:r>
        <w:proofErr w:type="spellStart"/>
        <w:r w:rsidRPr="001167CB">
          <w:rPr>
            <w:rStyle w:val="Hyperlink"/>
            <w:rFonts w:asciiTheme="majorHAnsi" w:hAnsiTheme="majorHAnsi" w:cstheme="majorHAnsi"/>
            <w:i/>
            <w:color w:val="808080" w:themeColor="background1" w:themeShade="80"/>
            <w:sz w:val="16"/>
            <w:szCs w:val="16"/>
          </w:rPr>
          <w:t>Aban</w:t>
        </w:r>
        <w:proofErr w:type="spellEnd"/>
        <w:r w:rsidRPr="001167CB">
          <w:rPr>
            <w:rStyle w:val="Hyperlink"/>
            <w:rFonts w:asciiTheme="majorHAnsi" w:hAnsiTheme="majorHAnsi" w:cstheme="majorHAnsi"/>
            <w:i/>
            <w:color w:val="808080" w:themeColor="background1" w:themeShade="80"/>
            <w:sz w:val="16"/>
            <w:szCs w:val="16"/>
          </w:rPr>
          <w:t xml:space="preserve"> </w:t>
        </w:r>
        <w:proofErr w:type="spellStart"/>
        <w:r w:rsidRPr="001167CB">
          <w:rPr>
            <w:rStyle w:val="Hyperlink"/>
            <w:rFonts w:asciiTheme="majorHAnsi" w:hAnsiTheme="majorHAnsi" w:cstheme="majorHAnsi"/>
            <w:i/>
            <w:color w:val="808080" w:themeColor="background1" w:themeShade="80"/>
            <w:sz w:val="16"/>
            <w:szCs w:val="16"/>
          </w:rPr>
          <w:t>Tercero</w:t>
        </w:r>
        <w:proofErr w:type="spellEnd"/>
      </w:hyperlink>
      <w:r w:rsidRPr="001167CB">
        <w:rPr>
          <w:rFonts w:asciiTheme="majorHAnsi" w:hAnsiTheme="majorHAnsi" w:cstheme="majorHAnsi"/>
          <w:color w:val="808080" w:themeColor="background1" w:themeShade="80"/>
          <w:sz w:val="16"/>
          <w:szCs w:val="16"/>
        </w:rPr>
        <w:t xml:space="preserve"> (United States), June 24, 2015; OAS,</w:t>
      </w:r>
      <w:r w:rsidRPr="001167CB">
        <w:rPr>
          <w:rFonts w:asciiTheme="majorHAnsi" w:hAnsiTheme="majorHAnsi" w:cstheme="majorHAnsi"/>
          <w:i/>
          <w:color w:val="808080" w:themeColor="background1" w:themeShade="80"/>
          <w:sz w:val="16"/>
          <w:szCs w:val="16"/>
        </w:rPr>
        <w:t xml:space="preserve"> </w:t>
      </w:r>
      <w:hyperlink r:id="rId26" w:history="1">
        <w:r w:rsidRPr="001167CB">
          <w:rPr>
            <w:rStyle w:val="Hyperlink"/>
            <w:rFonts w:asciiTheme="majorHAnsi" w:hAnsiTheme="majorHAnsi" w:cstheme="majorHAnsi"/>
            <w:i/>
            <w:color w:val="808080" w:themeColor="background1" w:themeShade="80"/>
            <w:sz w:val="16"/>
            <w:szCs w:val="16"/>
          </w:rPr>
          <w:t>American Declaration Of The Rights And Duties Of Man</w:t>
        </w:r>
      </w:hyperlink>
      <w:r w:rsidRPr="001167CB">
        <w:rPr>
          <w:rFonts w:asciiTheme="majorHAnsi" w:hAnsiTheme="majorHAnsi" w:cstheme="majorHAnsi"/>
          <w:color w:val="808080" w:themeColor="background1" w:themeShade="80"/>
          <w:sz w:val="16"/>
          <w:szCs w:val="16"/>
        </w:rPr>
        <w:t>, adopted by the Ninth International Conference of American States, Bogotá, Colombia, 1948.</w:t>
      </w:r>
    </w:p>
  </w:footnote>
  <w:footnote w:id="18">
    <w:p w14:paraId="5D60DC7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OAS, </w:t>
      </w:r>
      <w:hyperlink r:id="rId27" w:history="1">
        <w:r w:rsidRPr="001167CB">
          <w:rPr>
            <w:rStyle w:val="Hyperlink"/>
            <w:rFonts w:asciiTheme="majorHAnsi" w:hAnsiTheme="majorHAnsi" w:cstheme="majorHAnsi"/>
            <w:i/>
            <w:color w:val="808080" w:themeColor="background1" w:themeShade="80"/>
            <w:sz w:val="16"/>
            <w:szCs w:val="16"/>
          </w:rPr>
          <w:t>Charter of the Organization of American States,</w:t>
        </w:r>
      </w:hyperlink>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as amended by the “Protocol of Buenos Aires”, Feb. 27, 1967, the “Protocol of Cartagena de </w:t>
      </w:r>
      <w:proofErr w:type="spellStart"/>
      <w:r w:rsidRPr="001167CB">
        <w:rPr>
          <w:rFonts w:asciiTheme="majorHAnsi" w:hAnsiTheme="majorHAnsi" w:cstheme="majorHAnsi"/>
          <w:color w:val="808080" w:themeColor="background1" w:themeShade="80"/>
          <w:sz w:val="16"/>
          <w:szCs w:val="16"/>
        </w:rPr>
        <w:t>Indias</w:t>
      </w:r>
      <w:proofErr w:type="spellEnd"/>
      <w:r w:rsidRPr="001167CB">
        <w:rPr>
          <w:rFonts w:asciiTheme="majorHAnsi" w:hAnsiTheme="majorHAnsi" w:cstheme="majorHAnsi"/>
          <w:color w:val="808080" w:themeColor="background1" w:themeShade="80"/>
          <w:sz w:val="16"/>
          <w:szCs w:val="16"/>
        </w:rPr>
        <w:t>”, Dec. 5, 1985, the “Protocol of Washington”, Dec. 14, 1992, the “Protocol of Managua”, June 10, 1993, Arts. 53 (defining the status of the IACHR within the OAS) and 106 (setting forth the IACHR’s mandate). To date, the United States has not ratified the American Convention, and has not accepted the jurisdiction of the Inter-American Court of Human Rights.</w:t>
      </w:r>
    </w:p>
  </w:footnote>
  <w:footnote w:id="19">
    <w:p w14:paraId="67F7C06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e.g.,</w:t>
      </w:r>
      <w:r w:rsidRPr="001167CB">
        <w:rPr>
          <w:rFonts w:asciiTheme="majorHAnsi" w:hAnsiTheme="majorHAnsi" w:cstheme="majorHAnsi"/>
          <w:color w:val="808080" w:themeColor="background1" w:themeShade="80"/>
          <w:sz w:val="16"/>
          <w:szCs w:val="16"/>
        </w:rPr>
        <w:t xml:space="preserve"> IACHR, </w:t>
      </w:r>
      <w:hyperlink r:id="rId28" w:history="1">
        <w:r w:rsidRPr="001167CB">
          <w:rPr>
            <w:rStyle w:val="Hyperlink"/>
            <w:rFonts w:asciiTheme="majorHAnsi" w:hAnsiTheme="majorHAnsi" w:cstheme="majorHAnsi"/>
            <w:color w:val="808080" w:themeColor="background1" w:themeShade="80"/>
            <w:sz w:val="16"/>
            <w:szCs w:val="16"/>
          </w:rPr>
          <w:t>Toward the Closure of Guantánamo</w:t>
        </w:r>
      </w:hyperlink>
      <w:r w:rsidRPr="001167CB">
        <w:rPr>
          <w:rFonts w:asciiTheme="majorHAnsi" w:hAnsiTheme="majorHAnsi" w:cstheme="majorHAnsi"/>
          <w:color w:val="808080" w:themeColor="background1" w:themeShade="80"/>
          <w:sz w:val="16"/>
          <w:szCs w:val="16"/>
        </w:rPr>
        <w:t>, OAS/</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 xml:space="preserve">/V/II., Doc. 20/15 (2015); IACHR, </w:t>
      </w:r>
      <w:hyperlink r:id="rId29" w:history="1">
        <w:r w:rsidRPr="001167CB">
          <w:rPr>
            <w:rStyle w:val="Hyperlink"/>
            <w:rFonts w:asciiTheme="majorHAnsi" w:hAnsiTheme="majorHAnsi" w:cstheme="majorHAnsi"/>
            <w:color w:val="808080" w:themeColor="background1" w:themeShade="80"/>
            <w:sz w:val="16"/>
            <w:szCs w:val="16"/>
          </w:rPr>
          <w:t>Refugees and Migrants in the United States: Families and Unaccompanied Children</w:t>
        </w:r>
      </w:hyperlink>
      <w:r w:rsidRPr="001167CB">
        <w:rPr>
          <w:rFonts w:asciiTheme="majorHAnsi" w:hAnsiTheme="majorHAnsi" w:cstheme="majorHAnsi"/>
          <w:color w:val="808080" w:themeColor="background1" w:themeShade="80"/>
          <w:sz w:val="16"/>
          <w:szCs w:val="16"/>
        </w:rPr>
        <w:t>, OAS/</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 xml:space="preserve">/V/II.155, Doc. 16 (2015); IACHR, </w:t>
      </w:r>
      <w:hyperlink r:id="rId30" w:history="1">
        <w:r w:rsidRPr="001167CB">
          <w:rPr>
            <w:rStyle w:val="Hyperlink"/>
            <w:rFonts w:asciiTheme="majorHAnsi" w:hAnsiTheme="majorHAnsi" w:cstheme="majorHAnsi"/>
            <w:color w:val="808080" w:themeColor="background1" w:themeShade="80"/>
            <w:sz w:val="16"/>
            <w:szCs w:val="16"/>
          </w:rPr>
          <w:t>Report on Immigration in the United States: Detention and Due Process</w:t>
        </w:r>
      </w:hyperlink>
      <w:r w:rsidRPr="001167CB">
        <w:rPr>
          <w:rFonts w:asciiTheme="majorHAnsi" w:hAnsiTheme="majorHAnsi" w:cstheme="majorHAnsi"/>
          <w:color w:val="808080" w:themeColor="background1" w:themeShade="80"/>
          <w:sz w:val="16"/>
          <w:szCs w:val="16"/>
        </w:rPr>
        <w:t>,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/V/II., Doc. 78/10 (2010).</w:t>
      </w:r>
    </w:p>
  </w:footnote>
  <w:footnote w:id="20">
    <w:p w14:paraId="269D78E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31" w:history="1">
        <w:r w:rsidRPr="001167CB">
          <w:rPr>
            <w:rStyle w:val="Hyperlink"/>
            <w:rFonts w:asciiTheme="majorHAnsi" w:hAnsiTheme="majorHAnsi" w:cstheme="majorHAnsi"/>
            <w:color w:val="808080" w:themeColor="background1" w:themeShade="80"/>
            <w:sz w:val="16"/>
            <w:szCs w:val="16"/>
          </w:rPr>
          <w:t>Considerations related to the universal ratification of the American Convention and other Inter-American Human Rights Treaties</w:t>
        </w:r>
      </w:hyperlink>
      <w:r w:rsidRPr="001167CB">
        <w:rPr>
          <w:rFonts w:asciiTheme="majorHAnsi" w:hAnsiTheme="majorHAnsi" w:cstheme="majorHAnsi"/>
          <w:i/>
          <w:color w:val="808080" w:themeColor="background1" w:themeShade="80"/>
          <w:sz w:val="16"/>
          <w:szCs w:val="16"/>
        </w:rPr>
        <w:t>,</w:t>
      </w:r>
      <w:r w:rsidRPr="001167CB">
        <w:rPr>
          <w:rFonts w:asciiTheme="majorHAnsi" w:hAnsiTheme="majorHAnsi" w:cstheme="majorHAnsi"/>
          <w:color w:val="808080" w:themeColor="background1" w:themeShade="80"/>
          <w:sz w:val="16"/>
          <w:szCs w:val="16"/>
        </w:rPr>
        <w:t xml:space="preserve">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/V/II.152  Doc. 21 (2015)</w:t>
      </w:r>
      <w:r w:rsidRPr="001167CB">
        <w:rPr>
          <w:rFonts w:asciiTheme="majorHAnsi" w:eastAsia="MS Mincho" w:hAnsiTheme="majorHAnsi" w:cstheme="majorHAnsi"/>
          <w:bCs/>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rPr>
        <w:t xml:space="preserve">IACHR, Press Release No. 117/16, </w:t>
      </w:r>
      <w:hyperlink r:id="rId32" w:history="1">
        <w:r w:rsidRPr="001167CB">
          <w:rPr>
            <w:rStyle w:val="Hyperlink"/>
            <w:rFonts w:asciiTheme="majorHAnsi" w:hAnsiTheme="majorHAnsi" w:cstheme="majorHAnsi"/>
            <w:color w:val="808080" w:themeColor="background1" w:themeShade="80"/>
            <w:sz w:val="16"/>
            <w:szCs w:val="16"/>
          </w:rPr>
          <w:t>IACHR Hails Costa Rica’s Ratification of the Inter-American Convention against Racism, Racial Discrimination and Related Forms of Intolerance</w:t>
        </w:r>
      </w:hyperlink>
      <w:r w:rsidRPr="001167CB">
        <w:rPr>
          <w:rFonts w:asciiTheme="majorHAnsi" w:hAnsiTheme="majorHAnsi" w:cstheme="majorHAnsi"/>
          <w:color w:val="808080" w:themeColor="background1" w:themeShade="80"/>
          <w:sz w:val="16"/>
          <w:szCs w:val="16"/>
        </w:rPr>
        <w:t xml:space="preserve">, Aug. 18, 2016; Press Release No. 81/16, </w:t>
      </w:r>
      <w:hyperlink r:id="rId33" w:history="1">
        <w:r w:rsidRPr="001167CB">
          <w:rPr>
            <w:rStyle w:val="Hyperlink"/>
            <w:rFonts w:asciiTheme="majorHAnsi" w:hAnsiTheme="majorHAnsi" w:cstheme="majorHAnsi"/>
            <w:color w:val="808080" w:themeColor="background1" w:themeShade="80"/>
            <w:sz w:val="16"/>
            <w:szCs w:val="16"/>
          </w:rPr>
          <w:t>The IACHR celebrates the adoption of the American Declaration on the Rights of Indigenous Peoples</w:t>
        </w:r>
      </w:hyperlink>
      <w:r w:rsidRPr="001167CB">
        <w:rPr>
          <w:rFonts w:asciiTheme="majorHAnsi" w:hAnsiTheme="majorHAnsi" w:cstheme="majorHAnsi"/>
          <w:color w:val="808080" w:themeColor="background1" w:themeShade="80"/>
          <w:sz w:val="16"/>
          <w:szCs w:val="16"/>
        </w:rPr>
        <w:t xml:space="preserve">, June 22, 2016; Press Release No. 187/16, </w:t>
      </w:r>
      <w:hyperlink r:id="rId34" w:history="1">
        <w:r w:rsidRPr="001167CB">
          <w:rPr>
            <w:rStyle w:val="Hyperlink"/>
            <w:rFonts w:asciiTheme="majorHAnsi" w:hAnsiTheme="majorHAnsi" w:cstheme="majorHAnsi"/>
            <w:color w:val="808080" w:themeColor="background1" w:themeShade="80"/>
            <w:sz w:val="16"/>
            <w:szCs w:val="16"/>
          </w:rPr>
          <w:t>IACHR Hails the Entry into Force of the Inter-American Convention on the Rights of Older Persons</w:t>
        </w:r>
      </w:hyperlink>
      <w:r w:rsidRPr="001167CB">
        <w:rPr>
          <w:rFonts w:asciiTheme="majorHAnsi" w:hAnsiTheme="majorHAnsi" w:cstheme="majorHAnsi"/>
          <w:color w:val="808080" w:themeColor="background1" w:themeShade="80"/>
          <w:sz w:val="16"/>
          <w:szCs w:val="16"/>
        </w:rPr>
        <w:t xml:space="preserve">, Dec. 16, 2016; Press Release No. 117/12, </w:t>
      </w:r>
      <w:hyperlink r:id="rId35" w:history="1">
        <w:r w:rsidRPr="001167CB">
          <w:rPr>
            <w:rStyle w:val="Hyperlink"/>
            <w:rFonts w:asciiTheme="majorHAnsi" w:hAnsiTheme="majorHAnsi" w:cstheme="majorHAnsi"/>
            <w:color w:val="808080" w:themeColor="background1" w:themeShade="80"/>
            <w:sz w:val="16"/>
            <w:szCs w:val="16"/>
          </w:rPr>
          <w:t>IACHR Regrets Decision of Venezuela to Denounce the American Convention on Human Rights</w:t>
        </w:r>
      </w:hyperlink>
      <w:r w:rsidRPr="001167CB">
        <w:rPr>
          <w:rFonts w:asciiTheme="majorHAnsi" w:hAnsiTheme="majorHAnsi" w:cstheme="majorHAnsi"/>
          <w:color w:val="808080" w:themeColor="background1" w:themeShade="80"/>
          <w:sz w:val="16"/>
          <w:szCs w:val="16"/>
        </w:rPr>
        <w:t xml:space="preserve">, Sept. 12, 2012. </w:t>
      </w:r>
    </w:p>
  </w:footnote>
  <w:footnote w:id="21">
    <w:p w14:paraId="0233F9F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Press Release No. 31/15, </w:t>
      </w:r>
      <w:hyperlink r:id="rId36" w:history="1">
        <w:r w:rsidRPr="001167CB">
          <w:rPr>
            <w:rStyle w:val="Hyperlink"/>
            <w:rFonts w:asciiTheme="majorHAnsi" w:hAnsiTheme="majorHAnsi" w:cstheme="majorHAnsi"/>
            <w:color w:val="808080" w:themeColor="background1" w:themeShade="80"/>
            <w:sz w:val="16"/>
            <w:szCs w:val="16"/>
          </w:rPr>
          <w:t>IACHR Calls on OAS Member States to Bring an End to Racial Discrimination in the Americas</w:t>
        </w:r>
      </w:hyperlink>
      <w:r w:rsidRPr="001167CB">
        <w:rPr>
          <w:rFonts w:asciiTheme="majorHAnsi" w:hAnsiTheme="majorHAnsi" w:cstheme="majorHAnsi"/>
          <w:color w:val="808080" w:themeColor="background1" w:themeShade="80"/>
          <w:sz w:val="16"/>
          <w:szCs w:val="16"/>
        </w:rPr>
        <w:t>, Mar. 20, 2015.</w:t>
      </w:r>
    </w:p>
  </w:footnote>
  <w:footnote w:id="22">
    <w:p w14:paraId="1F08DCC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IACHR, Report No. 40/04, Case 12.053, Merits, </w:t>
      </w:r>
      <w:hyperlink r:id="rId37" w:history="1">
        <w:r w:rsidRPr="001167CB">
          <w:rPr>
            <w:rStyle w:val="Hyperlink"/>
            <w:rFonts w:asciiTheme="majorHAnsi" w:hAnsiTheme="majorHAnsi" w:cstheme="majorHAnsi"/>
            <w:i/>
            <w:color w:val="808080" w:themeColor="background1" w:themeShade="80"/>
            <w:sz w:val="16"/>
            <w:szCs w:val="16"/>
          </w:rPr>
          <w:t>Maya Indigenous Community</w:t>
        </w:r>
      </w:hyperlink>
      <w:r w:rsidRPr="001167CB">
        <w:rPr>
          <w:rFonts w:asciiTheme="majorHAnsi" w:hAnsiTheme="majorHAnsi" w:cstheme="majorHAnsi"/>
          <w:color w:val="808080" w:themeColor="background1" w:themeShade="80"/>
          <w:sz w:val="16"/>
          <w:szCs w:val="16"/>
        </w:rPr>
        <w:t xml:space="preserve"> (Belize), Oct. 12, 2004, para. 162 [hereinafter “Report 40/04, </w:t>
      </w:r>
      <w:hyperlink r:id="rId38" w:history="1">
        <w:r w:rsidRPr="001167CB">
          <w:rPr>
            <w:rStyle w:val="Hyperlink"/>
            <w:rFonts w:asciiTheme="majorHAnsi" w:hAnsiTheme="majorHAnsi" w:cstheme="majorHAnsi"/>
            <w:i/>
            <w:color w:val="808080" w:themeColor="background1" w:themeShade="80"/>
            <w:sz w:val="16"/>
            <w:szCs w:val="16"/>
          </w:rPr>
          <w:t>Maya Indigenous Community</w:t>
        </w:r>
      </w:hyperlink>
      <w:r w:rsidRPr="001167CB">
        <w:rPr>
          <w:rFonts w:asciiTheme="majorHAnsi" w:hAnsiTheme="majorHAnsi" w:cstheme="majorHAnsi"/>
          <w:color w:val="808080" w:themeColor="background1" w:themeShade="80"/>
          <w:sz w:val="16"/>
          <w:szCs w:val="16"/>
        </w:rPr>
        <w:t xml:space="preserve"> (2004)”]; Report No. 67/06, Case 12.476, Merits, </w:t>
      </w:r>
      <w:hyperlink r:id="rId39" w:history="1">
        <w:r w:rsidRPr="001167CB">
          <w:rPr>
            <w:rStyle w:val="Hyperlink"/>
            <w:rFonts w:asciiTheme="majorHAnsi" w:hAnsiTheme="majorHAnsi" w:cstheme="majorHAnsi"/>
            <w:i/>
            <w:color w:val="808080" w:themeColor="background1" w:themeShade="80"/>
            <w:sz w:val="16"/>
            <w:szCs w:val="16"/>
          </w:rPr>
          <w:t xml:space="preserve">Oscar </w:t>
        </w:r>
        <w:proofErr w:type="spellStart"/>
        <w:r w:rsidRPr="001167CB">
          <w:rPr>
            <w:rStyle w:val="Hyperlink"/>
            <w:rFonts w:asciiTheme="majorHAnsi" w:hAnsiTheme="majorHAnsi" w:cstheme="majorHAnsi"/>
            <w:i/>
            <w:color w:val="808080" w:themeColor="background1" w:themeShade="80"/>
            <w:sz w:val="16"/>
            <w:szCs w:val="16"/>
          </w:rPr>
          <w:t>Elías</w:t>
        </w:r>
        <w:proofErr w:type="spellEnd"/>
        <w:r w:rsidRPr="001167CB">
          <w:rPr>
            <w:rStyle w:val="Hyperlink"/>
            <w:rFonts w:asciiTheme="majorHAnsi" w:hAnsiTheme="majorHAnsi" w:cstheme="majorHAnsi"/>
            <w:i/>
            <w:color w:val="808080" w:themeColor="background1" w:themeShade="80"/>
            <w:sz w:val="16"/>
            <w:szCs w:val="16"/>
          </w:rPr>
          <w:t xml:space="preserve"> </w:t>
        </w:r>
        <w:proofErr w:type="spellStart"/>
        <w:r w:rsidRPr="001167CB">
          <w:rPr>
            <w:rStyle w:val="Hyperlink"/>
            <w:rFonts w:asciiTheme="majorHAnsi" w:hAnsiTheme="majorHAnsi" w:cstheme="majorHAnsi"/>
            <w:i/>
            <w:color w:val="808080" w:themeColor="background1" w:themeShade="80"/>
            <w:sz w:val="16"/>
            <w:szCs w:val="16"/>
          </w:rPr>
          <w:t>Bicet</w:t>
        </w:r>
        <w:proofErr w:type="spellEnd"/>
        <w:r w:rsidRPr="001167CB">
          <w:rPr>
            <w:rStyle w:val="Hyperlink"/>
            <w:rFonts w:asciiTheme="majorHAnsi" w:hAnsiTheme="majorHAnsi" w:cstheme="majorHAnsi"/>
            <w:i/>
            <w:color w:val="808080" w:themeColor="background1" w:themeShade="80"/>
            <w:sz w:val="16"/>
            <w:szCs w:val="16"/>
          </w:rPr>
          <w:t xml:space="preserve"> et al.</w:t>
        </w:r>
      </w:hyperlink>
      <w:r w:rsidRPr="001167CB">
        <w:rPr>
          <w:rFonts w:asciiTheme="majorHAnsi" w:hAnsiTheme="majorHAnsi" w:cstheme="majorHAnsi"/>
          <w:color w:val="808080" w:themeColor="background1" w:themeShade="80"/>
          <w:sz w:val="16"/>
          <w:szCs w:val="16"/>
        </w:rPr>
        <w:t xml:space="preserve"> (Cuba), Oct. 21, 2006, paras. 227-231 [hereinafter “Report No. 67/06, </w:t>
      </w:r>
      <w:hyperlink r:id="rId40" w:history="1">
        <w:r w:rsidRPr="001167CB">
          <w:rPr>
            <w:rStyle w:val="Hyperlink"/>
            <w:rFonts w:asciiTheme="majorHAnsi" w:hAnsiTheme="majorHAnsi" w:cstheme="majorHAnsi"/>
            <w:i/>
            <w:color w:val="808080" w:themeColor="background1" w:themeShade="80"/>
            <w:sz w:val="16"/>
            <w:szCs w:val="16"/>
          </w:rPr>
          <w:t xml:space="preserve">Oscar </w:t>
        </w:r>
        <w:proofErr w:type="spellStart"/>
        <w:r w:rsidRPr="001167CB">
          <w:rPr>
            <w:rStyle w:val="Hyperlink"/>
            <w:rFonts w:asciiTheme="majorHAnsi" w:hAnsiTheme="majorHAnsi" w:cstheme="majorHAnsi"/>
            <w:i/>
            <w:color w:val="808080" w:themeColor="background1" w:themeShade="80"/>
            <w:sz w:val="16"/>
            <w:szCs w:val="16"/>
          </w:rPr>
          <w:t>Elías</w:t>
        </w:r>
        <w:proofErr w:type="spellEnd"/>
        <w:r w:rsidRPr="001167CB">
          <w:rPr>
            <w:rStyle w:val="Hyperlink"/>
            <w:rFonts w:asciiTheme="majorHAnsi" w:hAnsiTheme="majorHAnsi" w:cstheme="majorHAnsi"/>
            <w:i/>
            <w:color w:val="808080" w:themeColor="background1" w:themeShade="80"/>
            <w:sz w:val="16"/>
            <w:szCs w:val="16"/>
          </w:rPr>
          <w:t xml:space="preserve"> </w:t>
        </w:r>
        <w:proofErr w:type="spellStart"/>
        <w:r w:rsidRPr="001167CB">
          <w:rPr>
            <w:rStyle w:val="Hyperlink"/>
            <w:rFonts w:asciiTheme="majorHAnsi" w:hAnsiTheme="majorHAnsi" w:cstheme="majorHAnsi"/>
            <w:i/>
            <w:color w:val="808080" w:themeColor="background1" w:themeShade="80"/>
            <w:sz w:val="16"/>
            <w:szCs w:val="16"/>
          </w:rPr>
          <w:t>Bicet</w:t>
        </w:r>
        <w:proofErr w:type="spellEnd"/>
        <w:r w:rsidRPr="001167CB">
          <w:rPr>
            <w:rStyle w:val="Hyperlink"/>
            <w:rFonts w:asciiTheme="majorHAnsi" w:hAnsiTheme="majorHAnsi" w:cstheme="majorHAnsi"/>
            <w:i/>
            <w:color w:val="808080" w:themeColor="background1" w:themeShade="80"/>
            <w:sz w:val="16"/>
            <w:szCs w:val="16"/>
          </w:rPr>
          <w:t xml:space="preserve"> et al.</w:t>
        </w:r>
      </w:hyperlink>
      <w:r w:rsidRPr="001167CB">
        <w:rPr>
          <w:rFonts w:asciiTheme="majorHAnsi" w:hAnsiTheme="majorHAnsi" w:cstheme="majorHAnsi"/>
          <w:color w:val="808080" w:themeColor="background1" w:themeShade="80"/>
          <w:sz w:val="16"/>
          <w:szCs w:val="16"/>
        </w:rPr>
        <w:t xml:space="preserve"> (2006)”].</w:t>
      </w:r>
    </w:p>
  </w:footnote>
  <w:footnote w:id="23">
    <w:p w14:paraId="320AC804" w14:textId="77777777" w:rsidR="005C2394" w:rsidRPr="001167CB" w:rsidRDefault="005C2394" w:rsidP="002C64F8">
      <w:pPr>
        <w:spacing w:after="40" w:line="240" w:lineRule="auto"/>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IACHR, Report No. 63/08, Case 12.534, Admissibility and Merits, </w:t>
      </w:r>
      <w:hyperlink r:id="rId41" w:history="1">
        <w:r w:rsidRPr="001167CB">
          <w:rPr>
            <w:rStyle w:val="Hyperlink"/>
            <w:rFonts w:asciiTheme="majorHAnsi" w:hAnsiTheme="majorHAnsi" w:cstheme="majorHAnsi"/>
            <w:i/>
            <w:color w:val="808080" w:themeColor="background1" w:themeShade="80"/>
            <w:sz w:val="16"/>
            <w:szCs w:val="16"/>
          </w:rPr>
          <w:t xml:space="preserve">Andrea </w:t>
        </w:r>
        <w:proofErr w:type="spellStart"/>
        <w:r w:rsidRPr="001167CB">
          <w:rPr>
            <w:rStyle w:val="Hyperlink"/>
            <w:rFonts w:asciiTheme="majorHAnsi" w:hAnsiTheme="majorHAnsi" w:cstheme="majorHAnsi"/>
            <w:i/>
            <w:color w:val="808080" w:themeColor="background1" w:themeShade="80"/>
            <w:sz w:val="16"/>
            <w:szCs w:val="16"/>
          </w:rPr>
          <w:t>Mortlock</w:t>
        </w:r>
        <w:proofErr w:type="spellEnd"/>
      </w:hyperlink>
      <w:r w:rsidRPr="001167CB">
        <w:rPr>
          <w:rFonts w:asciiTheme="majorHAnsi" w:hAnsiTheme="majorHAnsi" w:cstheme="majorHAnsi"/>
          <w:color w:val="808080" w:themeColor="background1" w:themeShade="80"/>
          <w:sz w:val="16"/>
          <w:szCs w:val="16"/>
        </w:rPr>
        <w:t xml:space="preserve"> (United States), July 25, 2008, paras. 75-95; Report No. 62/02, Case 12.285, Merits, </w:t>
      </w:r>
      <w:hyperlink r:id="rId42" w:history="1">
        <w:r w:rsidRPr="001167CB">
          <w:rPr>
            <w:rStyle w:val="Hyperlink"/>
            <w:rFonts w:asciiTheme="majorHAnsi" w:hAnsiTheme="majorHAnsi" w:cstheme="majorHAnsi"/>
            <w:i/>
            <w:color w:val="808080" w:themeColor="background1" w:themeShade="80"/>
            <w:sz w:val="16"/>
            <w:szCs w:val="16"/>
          </w:rPr>
          <w:t xml:space="preserve">Michael </w:t>
        </w:r>
        <w:proofErr w:type="spellStart"/>
        <w:r w:rsidRPr="001167CB">
          <w:rPr>
            <w:rStyle w:val="Hyperlink"/>
            <w:rFonts w:asciiTheme="majorHAnsi" w:hAnsiTheme="majorHAnsi" w:cstheme="majorHAnsi"/>
            <w:i/>
            <w:color w:val="808080" w:themeColor="background1" w:themeShade="80"/>
            <w:sz w:val="16"/>
            <w:szCs w:val="16"/>
          </w:rPr>
          <w:t>Domingues</w:t>
        </w:r>
        <w:proofErr w:type="spellEnd"/>
      </w:hyperlink>
      <w:r w:rsidRPr="001167CB">
        <w:rPr>
          <w:rFonts w:asciiTheme="majorHAnsi" w:hAnsiTheme="majorHAnsi" w:cstheme="majorHAnsi"/>
          <w:color w:val="808080" w:themeColor="background1" w:themeShade="80"/>
          <w:sz w:val="16"/>
          <w:szCs w:val="16"/>
        </w:rPr>
        <w:t xml:space="preserve"> (United States), Oct. 22, 2002, paras. 84-87.</w:t>
      </w:r>
    </w:p>
  </w:footnote>
  <w:footnote w:id="24">
    <w:p w14:paraId="62A8066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highlight w:val="yellow"/>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IACHR, Report No. 81/10, Case 12.562, Merits, </w:t>
      </w:r>
      <w:hyperlink r:id="rId43" w:history="1">
        <w:r w:rsidRPr="001167CB">
          <w:rPr>
            <w:rStyle w:val="Hyperlink"/>
            <w:rFonts w:asciiTheme="majorHAnsi" w:hAnsiTheme="majorHAnsi" w:cstheme="majorHAnsi"/>
            <w:i/>
            <w:color w:val="808080" w:themeColor="background1" w:themeShade="80"/>
            <w:sz w:val="16"/>
            <w:szCs w:val="16"/>
          </w:rPr>
          <w:t>Wayne Smith, Hugo Armendariz, et al.</w:t>
        </w:r>
      </w:hyperlink>
      <w:r w:rsidRPr="001167CB">
        <w:rPr>
          <w:rFonts w:asciiTheme="majorHAnsi" w:hAnsiTheme="majorHAnsi" w:cstheme="majorHAnsi"/>
          <w:color w:val="808080" w:themeColor="background1" w:themeShade="80"/>
          <w:sz w:val="16"/>
          <w:szCs w:val="16"/>
        </w:rPr>
        <w:t xml:space="preserve"> (United States), July 12, 2010, paras. 61-65; Report 40/04, </w:t>
      </w:r>
      <w:hyperlink r:id="rId44" w:history="1">
        <w:r w:rsidRPr="001167CB">
          <w:rPr>
            <w:rStyle w:val="Hyperlink"/>
            <w:rFonts w:asciiTheme="majorHAnsi" w:hAnsiTheme="majorHAnsi" w:cstheme="majorHAnsi"/>
            <w:i/>
            <w:color w:val="808080" w:themeColor="background1" w:themeShade="80"/>
            <w:sz w:val="16"/>
            <w:szCs w:val="16"/>
          </w:rPr>
          <w:t>Maya Indigenous Community</w:t>
        </w:r>
      </w:hyperlink>
      <w:r w:rsidRPr="001167CB">
        <w:rPr>
          <w:rFonts w:asciiTheme="majorHAnsi" w:hAnsiTheme="majorHAnsi" w:cstheme="majorHAnsi"/>
          <w:color w:val="808080" w:themeColor="background1" w:themeShade="80"/>
          <w:sz w:val="16"/>
          <w:szCs w:val="16"/>
        </w:rPr>
        <w:t xml:space="preserve"> (2004), paras. 122-135, 162, and 193-196; Report No. 75/02, Case 11.140, Merits, </w:t>
      </w:r>
      <w:hyperlink r:id="rId45" w:history="1">
        <w:r w:rsidRPr="001167CB">
          <w:rPr>
            <w:rStyle w:val="Hyperlink"/>
            <w:rFonts w:asciiTheme="majorHAnsi" w:hAnsiTheme="majorHAnsi" w:cstheme="majorHAnsi"/>
            <w:i/>
            <w:color w:val="808080" w:themeColor="background1" w:themeShade="80"/>
            <w:sz w:val="16"/>
            <w:szCs w:val="16"/>
          </w:rPr>
          <w:t>Mary and Carrie Dann</w:t>
        </w:r>
      </w:hyperlink>
      <w:r w:rsidRPr="001167CB">
        <w:rPr>
          <w:rFonts w:asciiTheme="majorHAnsi" w:hAnsiTheme="majorHAnsi" w:cstheme="majorHAnsi"/>
          <w:color w:val="808080" w:themeColor="background1" w:themeShade="80"/>
          <w:sz w:val="16"/>
          <w:szCs w:val="16"/>
        </w:rPr>
        <w:t xml:space="preserve"> (United States), Dec. 27, 2002, paras. 124-145.</w:t>
      </w:r>
    </w:p>
  </w:footnote>
  <w:footnote w:id="25">
    <w:p w14:paraId="6309E1F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46" w:history="1">
        <w:r w:rsidRPr="001167CB">
          <w:rPr>
            <w:rStyle w:val="Hyperlink"/>
            <w:rFonts w:asciiTheme="majorHAnsi" w:hAnsiTheme="majorHAnsi" w:cstheme="majorHAnsi"/>
            <w:color w:val="808080" w:themeColor="background1" w:themeShade="80"/>
            <w:sz w:val="16"/>
            <w:szCs w:val="16"/>
          </w:rPr>
          <w:t>Considerations related to the universal ratification of the American Convention and other Inter-American Human Rights Treaties</w:t>
        </w:r>
      </w:hyperlink>
      <w:r w:rsidRPr="001167CB">
        <w:rPr>
          <w:rFonts w:asciiTheme="majorHAnsi" w:hAnsiTheme="majorHAnsi" w:cstheme="majorHAnsi"/>
          <w:i/>
          <w:color w:val="808080" w:themeColor="background1" w:themeShade="80"/>
          <w:sz w:val="16"/>
          <w:szCs w:val="16"/>
        </w:rPr>
        <w:t>,</w:t>
      </w:r>
      <w:r w:rsidRPr="001167CB">
        <w:rPr>
          <w:rFonts w:asciiTheme="majorHAnsi" w:hAnsiTheme="majorHAnsi" w:cstheme="majorHAnsi"/>
          <w:color w:val="808080" w:themeColor="background1" w:themeShade="80"/>
          <w:sz w:val="16"/>
          <w:szCs w:val="16"/>
        </w:rPr>
        <w:t xml:space="preserve">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/V/II.152,  Doc.21 (2015), para. 11.</w:t>
      </w:r>
    </w:p>
  </w:footnote>
  <w:footnote w:id="26">
    <w:p w14:paraId="0D2FF245" w14:textId="77777777" w:rsidR="005C2394" w:rsidRPr="001167CB" w:rsidRDefault="005C2394" w:rsidP="002C64F8">
      <w:pPr>
        <w:spacing w:after="40" w:line="240" w:lineRule="auto"/>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generally</w:t>
      </w:r>
      <w:r w:rsidRPr="001167CB">
        <w:rPr>
          <w:rFonts w:asciiTheme="majorHAnsi" w:hAnsiTheme="majorHAnsi" w:cstheme="majorHAnsi"/>
          <w:color w:val="808080" w:themeColor="background1" w:themeShade="80"/>
          <w:sz w:val="16"/>
          <w:szCs w:val="16"/>
        </w:rPr>
        <w:t xml:space="preserve">, IACHR, Report No. 81/10, Case 12.562, Merits, </w:t>
      </w:r>
      <w:hyperlink r:id="rId47" w:history="1">
        <w:r w:rsidRPr="001167CB">
          <w:rPr>
            <w:rStyle w:val="Hyperlink"/>
            <w:rFonts w:asciiTheme="majorHAnsi" w:hAnsiTheme="majorHAnsi" w:cstheme="majorHAnsi"/>
            <w:i/>
            <w:color w:val="808080" w:themeColor="background1" w:themeShade="80"/>
            <w:sz w:val="16"/>
            <w:szCs w:val="16"/>
          </w:rPr>
          <w:t>Wayne Smith, Hugo Armendariz, et al.</w:t>
        </w:r>
      </w:hyperlink>
      <w:r w:rsidRPr="001167CB">
        <w:rPr>
          <w:rFonts w:asciiTheme="majorHAnsi" w:hAnsiTheme="majorHAnsi" w:cstheme="majorHAnsi"/>
          <w:color w:val="808080" w:themeColor="background1" w:themeShade="80"/>
          <w:sz w:val="16"/>
          <w:szCs w:val="16"/>
        </w:rPr>
        <w:t xml:space="preserve"> (United States), July 12, 2010; Report No. 63/08, Case 12.534, Admissibility and Merits, </w:t>
      </w:r>
      <w:hyperlink r:id="rId48" w:history="1">
        <w:r w:rsidRPr="001167CB">
          <w:rPr>
            <w:rStyle w:val="Hyperlink"/>
            <w:rFonts w:asciiTheme="majorHAnsi" w:hAnsiTheme="majorHAnsi" w:cstheme="majorHAnsi"/>
            <w:i/>
            <w:color w:val="808080" w:themeColor="background1" w:themeShade="80"/>
            <w:sz w:val="16"/>
            <w:szCs w:val="16"/>
          </w:rPr>
          <w:t xml:space="preserve">Andrea </w:t>
        </w:r>
        <w:proofErr w:type="spellStart"/>
        <w:r w:rsidRPr="001167CB">
          <w:rPr>
            <w:rStyle w:val="Hyperlink"/>
            <w:rFonts w:asciiTheme="majorHAnsi" w:hAnsiTheme="majorHAnsi" w:cstheme="majorHAnsi"/>
            <w:i/>
            <w:color w:val="808080" w:themeColor="background1" w:themeShade="80"/>
            <w:sz w:val="16"/>
            <w:szCs w:val="16"/>
          </w:rPr>
          <w:t>Mortlock</w:t>
        </w:r>
        <w:proofErr w:type="spellEnd"/>
      </w:hyperlink>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(United States), July 25, 2008; Report 40/04, </w:t>
      </w:r>
      <w:hyperlink r:id="rId49" w:history="1">
        <w:r w:rsidRPr="001167CB">
          <w:rPr>
            <w:rStyle w:val="Hyperlink"/>
            <w:rFonts w:asciiTheme="majorHAnsi" w:hAnsiTheme="majorHAnsi" w:cstheme="majorHAnsi"/>
            <w:i/>
            <w:color w:val="808080" w:themeColor="background1" w:themeShade="80"/>
            <w:sz w:val="16"/>
            <w:szCs w:val="16"/>
          </w:rPr>
          <w:t>Maya Indigenous Community</w:t>
        </w:r>
      </w:hyperlink>
      <w:r w:rsidRPr="001167CB">
        <w:rPr>
          <w:rFonts w:asciiTheme="majorHAnsi" w:hAnsiTheme="majorHAnsi" w:cstheme="majorHAnsi"/>
          <w:color w:val="808080" w:themeColor="background1" w:themeShade="80"/>
          <w:sz w:val="16"/>
          <w:szCs w:val="16"/>
        </w:rPr>
        <w:t xml:space="preserve"> (2004); Report No. 75/02, Case 11.140, Merits, </w:t>
      </w:r>
      <w:hyperlink r:id="rId50" w:history="1">
        <w:r w:rsidRPr="001167CB">
          <w:rPr>
            <w:rStyle w:val="Hyperlink"/>
            <w:rFonts w:asciiTheme="majorHAnsi" w:hAnsiTheme="majorHAnsi" w:cstheme="majorHAnsi"/>
            <w:i/>
            <w:color w:val="808080" w:themeColor="background1" w:themeShade="80"/>
            <w:sz w:val="16"/>
            <w:szCs w:val="16"/>
          </w:rPr>
          <w:t>Mary and Carrie Dann</w:t>
        </w:r>
      </w:hyperlink>
      <w:r w:rsidRPr="001167CB">
        <w:rPr>
          <w:rFonts w:asciiTheme="majorHAnsi" w:hAnsiTheme="majorHAnsi" w:cstheme="majorHAnsi"/>
          <w:color w:val="808080" w:themeColor="background1" w:themeShade="80"/>
          <w:sz w:val="16"/>
          <w:szCs w:val="16"/>
        </w:rPr>
        <w:t xml:space="preserve"> (United States), Dec. 27, 2002; Report No. 62/02, Case 12.285, Merits, </w:t>
      </w:r>
      <w:hyperlink r:id="rId51" w:history="1">
        <w:r w:rsidRPr="001167CB">
          <w:rPr>
            <w:rStyle w:val="Hyperlink"/>
            <w:rFonts w:asciiTheme="majorHAnsi" w:hAnsiTheme="majorHAnsi" w:cstheme="majorHAnsi"/>
            <w:i/>
            <w:color w:val="808080" w:themeColor="background1" w:themeShade="80"/>
            <w:sz w:val="16"/>
            <w:szCs w:val="16"/>
          </w:rPr>
          <w:t xml:space="preserve">Michael </w:t>
        </w:r>
        <w:proofErr w:type="spellStart"/>
        <w:r w:rsidRPr="001167CB">
          <w:rPr>
            <w:rStyle w:val="Hyperlink"/>
            <w:rFonts w:asciiTheme="majorHAnsi" w:hAnsiTheme="majorHAnsi" w:cstheme="majorHAnsi"/>
            <w:i/>
            <w:color w:val="808080" w:themeColor="background1" w:themeShade="80"/>
            <w:sz w:val="16"/>
            <w:szCs w:val="16"/>
          </w:rPr>
          <w:t>Domingues</w:t>
        </w:r>
        <w:proofErr w:type="spellEnd"/>
      </w:hyperlink>
      <w:r w:rsidRPr="001167CB">
        <w:rPr>
          <w:rFonts w:asciiTheme="majorHAnsi" w:hAnsiTheme="majorHAnsi" w:cstheme="majorHAnsi"/>
          <w:color w:val="808080" w:themeColor="background1" w:themeShade="80"/>
          <w:sz w:val="16"/>
          <w:szCs w:val="16"/>
        </w:rPr>
        <w:t xml:space="preserve"> (United States), Oct. 22, 2002.  </w:t>
      </w:r>
    </w:p>
  </w:footnote>
  <w:footnote w:id="27">
    <w:p w14:paraId="036DF37F" w14:textId="741AC54A"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w:t>
      </w:r>
      <w:r w:rsidRPr="001167CB">
        <w:rPr>
          <w:rFonts w:asciiTheme="majorHAnsi" w:hAnsiTheme="majorHAnsi" w:cstheme="majorHAnsi"/>
          <w:color w:val="808080" w:themeColor="background1" w:themeShade="80"/>
          <w:sz w:val="16"/>
          <w:szCs w:val="16"/>
        </w:rPr>
        <w:t xml:space="preserve">IACHR, </w:t>
      </w:r>
      <w:hyperlink r:id="rId52" w:history="1">
        <w:r w:rsidRPr="001167CB">
          <w:rPr>
            <w:rStyle w:val="Hyperlink"/>
            <w:rFonts w:asciiTheme="majorHAnsi" w:hAnsiTheme="majorHAnsi" w:cstheme="majorHAnsi"/>
            <w:color w:val="808080" w:themeColor="background1" w:themeShade="80"/>
            <w:sz w:val="16"/>
            <w:szCs w:val="16"/>
          </w:rPr>
          <w:t>Situation of Human Rights in the Dominican Republic</w:t>
        </w:r>
      </w:hyperlink>
      <w:r w:rsidRPr="001167CB">
        <w:rPr>
          <w:rFonts w:asciiTheme="majorHAnsi" w:hAnsiTheme="majorHAnsi" w:cstheme="majorHAnsi"/>
          <w:color w:val="808080" w:themeColor="background1" w:themeShade="80"/>
          <w:sz w:val="16"/>
          <w:szCs w:val="16"/>
        </w:rPr>
        <w:t>,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 xml:space="preserve">/V/II, Doc. 45/15 (2015), para. 93 [hereinafter “Human Rights in the Dominican Republic”]. </w:t>
      </w:r>
      <w:r w:rsidRPr="001167CB">
        <w:rPr>
          <w:rFonts w:asciiTheme="majorHAnsi" w:hAnsiTheme="majorHAnsi" w:cstheme="majorHAnsi"/>
          <w:i/>
          <w:color w:val="808080" w:themeColor="background1" w:themeShade="80"/>
          <w:sz w:val="16"/>
          <w:szCs w:val="16"/>
        </w:rPr>
        <w:t>See also infra</w:t>
      </w:r>
      <w:r w:rsidRPr="001167CB">
        <w:rPr>
          <w:rFonts w:asciiTheme="majorHAnsi" w:hAnsiTheme="majorHAnsi" w:cstheme="majorHAnsi"/>
          <w:color w:val="808080" w:themeColor="background1" w:themeShade="80"/>
          <w:sz w:val="16"/>
          <w:szCs w:val="16"/>
        </w:rPr>
        <w:t xml:space="preserve"> paras.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_Ref508009411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254</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_Ref507497229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255</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_Ref507677509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294</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28">
    <w:p w14:paraId="2C230BF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e.g.</w:t>
      </w:r>
      <w:r w:rsidRPr="001167CB">
        <w:rPr>
          <w:rFonts w:asciiTheme="majorHAnsi" w:hAnsiTheme="majorHAnsi" w:cstheme="majorHAnsi"/>
          <w:color w:val="808080" w:themeColor="background1" w:themeShade="80"/>
          <w:sz w:val="16"/>
          <w:szCs w:val="16"/>
        </w:rPr>
        <w:t xml:space="preserve">, Justin Hansford, </w:t>
      </w:r>
      <w:hyperlink r:id="rId53" w:history="1">
        <w:r w:rsidRPr="001167CB">
          <w:rPr>
            <w:rStyle w:val="Hyperlink"/>
            <w:rFonts w:asciiTheme="majorHAnsi" w:hAnsiTheme="majorHAnsi" w:cstheme="majorHAnsi"/>
            <w:color w:val="808080" w:themeColor="background1" w:themeShade="80"/>
            <w:sz w:val="16"/>
            <w:szCs w:val="16"/>
          </w:rPr>
          <w:t>The First Amendment Freedom of Assembly as a Racial Project</w:t>
        </w:r>
      </w:hyperlink>
      <w:r w:rsidRPr="001167CB">
        <w:rPr>
          <w:rFonts w:asciiTheme="majorHAnsi" w:hAnsiTheme="majorHAnsi" w:cstheme="majorHAnsi"/>
          <w:color w:val="808080" w:themeColor="background1" w:themeShade="80"/>
          <w:sz w:val="16"/>
          <w:szCs w:val="16"/>
        </w:rPr>
        <w:t>, 127 Yale L.J. Forum, Jan. 20, 2018.</w:t>
      </w:r>
    </w:p>
  </w:footnote>
  <w:footnote w:id="29">
    <w:p w14:paraId="578F628A" w14:textId="673849C2"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infra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_Ref507079616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48</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30">
    <w:p w14:paraId="32C4377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54" w:history="1">
        <w:r w:rsidRPr="001167CB">
          <w:rPr>
            <w:rStyle w:val="Hyperlink"/>
            <w:rFonts w:asciiTheme="majorHAnsi" w:eastAsia="Times New Roman" w:hAnsiTheme="majorHAnsi" w:cstheme="majorHAnsi"/>
            <w:bCs/>
            <w:color w:val="808080" w:themeColor="background1" w:themeShade="80"/>
            <w:sz w:val="16"/>
            <w:szCs w:val="16"/>
            <w:lang w:eastAsia="es-ES"/>
          </w:rPr>
          <w:t>The Situation of 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OEA/</w:t>
      </w:r>
      <w:proofErr w:type="spellStart"/>
      <w:r w:rsidRPr="001167CB">
        <w:rPr>
          <w:rFonts w:asciiTheme="majorHAnsi" w:eastAsia="Times New Roman" w:hAnsiTheme="majorHAnsi" w:cstheme="majorHAnsi"/>
          <w:bCs/>
          <w:color w:val="808080" w:themeColor="background1" w:themeShade="80"/>
          <w:sz w:val="16"/>
          <w:szCs w:val="16"/>
          <w:lang w:eastAsia="es-ES"/>
        </w:rPr>
        <w:t>Ser.L</w:t>
      </w:r>
      <w:proofErr w:type="spellEnd"/>
      <w:r w:rsidRPr="001167CB">
        <w:rPr>
          <w:rFonts w:asciiTheme="majorHAnsi" w:eastAsia="Times New Roman" w:hAnsiTheme="majorHAnsi" w:cstheme="majorHAnsi"/>
          <w:bCs/>
          <w:color w:val="808080" w:themeColor="background1" w:themeShade="80"/>
          <w:sz w:val="16"/>
          <w:szCs w:val="16"/>
          <w:lang w:eastAsia="es-ES"/>
        </w:rPr>
        <w:t xml:space="preserve">/V/II., Doc. 62 (2011) [hereinafter “People of African Descent in the Americas”], </w:t>
      </w:r>
      <w:r w:rsidRPr="001167CB">
        <w:rPr>
          <w:rFonts w:asciiTheme="majorHAnsi" w:eastAsia="Times New Roman" w:hAnsiTheme="majorHAnsi" w:cstheme="majorHAnsi"/>
          <w:color w:val="808080" w:themeColor="background1" w:themeShade="80"/>
          <w:sz w:val="16"/>
          <w:szCs w:val="16"/>
          <w:lang w:eastAsia="es-ES"/>
        </w:rPr>
        <w:t>paras. 42, 46.</w:t>
      </w:r>
    </w:p>
  </w:footnote>
  <w:footnote w:id="31">
    <w:p w14:paraId="2C911A0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U.N., Comm. Elimination of Racial Discrimination, </w:t>
      </w:r>
      <w:r w:rsidRPr="001167CB">
        <w:rPr>
          <w:rFonts w:asciiTheme="majorHAnsi" w:hAnsiTheme="majorHAnsi" w:cstheme="majorHAnsi"/>
          <w:i/>
          <w:color w:val="808080" w:themeColor="background1" w:themeShade="80"/>
          <w:sz w:val="16"/>
          <w:szCs w:val="16"/>
        </w:rPr>
        <w:t>General recommendation No. 34: Racial discrimination against people of African descent</w:t>
      </w:r>
      <w:r w:rsidRPr="001167CB">
        <w:rPr>
          <w:rFonts w:asciiTheme="majorHAnsi" w:hAnsiTheme="majorHAnsi" w:cstheme="majorHAnsi"/>
          <w:color w:val="808080" w:themeColor="background1" w:themeShade="80"/>
          <w:sz w:val="16"/>
          <w:szCs w:val="16"/>
        </w:rPr>
        <w:t>, 79th session, CERD/C/GC/34, Oct. 3, 2011, para. 6.</w:t>
      </w:r>
    </w:p>
  </w:footnote>
  <w:footnote w:id="32">
    <w:p w14:paraId="559FC4F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5" w:history="1">
        <w:r w:rsidRPr="001167CB">
          <w:rPr>
            <w:rStyle w:val="Hyperlink"/>
            <w:rFonts w:asciiTheme="majorHAnsi" w:hAnsiTheme="majorHAnsi" w:cstheme="majorHAnsi"/>
            <w:color w:val="808080" w:themeColor="background1" w:themeShade="80"/>
            <w:sz w:val="16"/>
            <w:szCs w:val="16"/>
          </w:rPr>
          <w:t>Human Rights in the Dominican Republic</w:t>
        </w:r>
      </w:hyperlink>
      <w:r w:rsidRPr="001167CB">
        <w:rPr>
          <w:rFonts w:asciiTheme="majorHAnsi" w:hAnsiTheme="majorHAnsi" w:cstheme="majorHAnsi"/>
          <w:color w:val="808080" w:themeColor="background1" w:themeShade="80"/>
          <w:sz w:val="16"/>
          <w:szCs w:val="16"/>
        </w:rPr>
        <w:t xml:space="preserve"> (2015), para.  368 (citation omitted).</w:t>
      </w:r>
    </w:p>
  </w:footnote>
  <w:footnote w:id="33">
    <w:p w14:paraId="6D5557A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(citing, </w:t>
      </w:r>
      <w:r w:rsidRPr="001167CB">
        <w:rPr>
          <w:rFonts w:asciiTheme="majorHAnsi" w:hAnsiTheme="majorHAnsi" w:cstheme="majorHAnsi"/>
          <w:i/>
          <w:color w:val="808080" w:themeColor="background1" w:themeShade="80"/>
          <w:sz w:val="16"/>
          <w:szCs w:val="16"/>
        </w:rPr>
        <w:t>inter alia</w:t>
      </w:r>
      <w:r w:rsidRPr="001167CB">
        <w:rPr>
          <w:rFonts w:asciiTheme="majorHAnsi" w:hAnsiTheme="majorHAnsi" w:cstheme="majorHAnsi"/>
          <w:color w:val="808080" w:themeColor="background1" w:themeShade="80"/>
          <w:sz w:val="16"/>
          <w:szCs w:val="16"/>
        </w:rPr>
        <w:t xml:space="preserve">, IACHR, Report No. 64/12, Case 12.271, Merits, </w:t>
      </w:r>
      <w:r w:rsidRPr="001167CB">
        <w:rPr>
          <w:rFonts w:asciiTheme="majorHAnsi" w:hAnsiTheme="majorHAnsi" w:cstheme="majorHAnsi"/>
          <w:i/>
          <w:color w:val="808080" w:themeColor="background1" w:themeShade="80"/>
          <w:sz w:val="16"/>
          <w:szCs w:val="16"/>
        </w:rPr>
        <w:t>Benito Tide Méndez et al.</w:t>
      </w:r>
      <w:r w:rsidRPr="001167CB">
        <w:rPr>
          <w:rFonts w:asciiTheme="majorHAnsi" w:hAnsiTheme="majorHAnsi" w:cstheme="majorHAnsi"/>
          <w:color w:val="808080" w:themeColor="background1" w:themeShade="80"/>
          <w:sz w:val="16"/>
          <w:szCs w:val="16"/>
        </w:rPr>
        <w:t xml:space="preserve"> (Dominican Republic), Mar. 29, 2012, para. 53);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I/A Ct. H.R., </w:t>
      </w:r>
      <w:r w:rsidRPr="001167CB">
        <w:rPr>
          <w:rFonts w:asciiTheme="majorHAnsi" w:hAnsiTheme="majorHAnsi" w:cstheme="majorHAnsi"/>
          <w:i/>
          <w:color w:val="808080" w:themeColor="background1" w:themeShade="80"/>
          <w:sz w:val="16"/>
          <w:szCs w:val="16"/>
        </w:rPr>
        <w:t xml:space="preserve">Hacienda </w:t>
      </w:r>
      <w:proofErr w:type="spellStart"/>
      <w:r w:rsidRPr="001167CB">
        <w:rPr>
          <w:rFonts w:asciiTheme="majorHAnsi" w:hAnsiTheme="majorHAnsi" w:cstheme="majorHAnsi"/>
          <w:i/>
          <w:color w:val="808080" w:themeColor="background1" w:themeShade="80"/>
          <w:sz w:val="16"/>
          <w:szCs w:val="16"/>
        </w:rPr>
        <w:t>Brasil</w:t>
      </w:r>
      <w:proofErr w:type="spellEnd"/>
      <w:r w:rsidRPr="001167CB">
        <w:rPr>
          <w:rFonts w:asciiTheme="majorHAnsi" w:hAnsiTheme="majorHAnsi" w:cstheme="majorHAnsi"/>
          <w:i/>
          <w:color w:val="808080" w:themeColor="background1" w:themeShade="80"/>
          <w:sz w:val="16"/>
          <w:szCs w:val="16"/>
        </w:rPr>
        <w:t xml:space="preserve"> Verde Workers v. Brazil. </w:t>
      </w:r>
      <w:r w:rsidRPr="001167CB">
        <w:rPr>
          <w:rFonts w:asciiTheme="majorHAnsi" w:hAnsiTheme="majorHAnsi" w:cstheme="majorHAnsi"/>
          <w:color w:val="808080" w:themeColor="background1" w:themeShade="80"/>
          <w:sz w:val="16"/>
          <w:szCs w:val="16"/>
        </w:rPr>
        <w:t xml:space="preserve">Preliminary Objections, Merits, Reparations and Costs. Judgment of Oct. 20, 2016. Series C No. 318, paras. 334-341 (discussing structural discrimination against poor and Afro-descendant workers who performed forced slave labor at a plantation in Brazil for years with the knowledge and tacit consent of the State). </w:t>
      </w:r>
    </w:p>
  </w:footnote>
  <w:footnote w:id="34">
    <w:p w14:paraId="7E10ACE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w:t>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56"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 para. 46;</w:t>
      </w:r>
      <w:r w:rsidRPr="001167CB">
        <w:rPr>
          <w:rFonts w:asciiTheme="majorHAnsi" w:hAnsiTheme="majorHAnsi" w:cstheme="majorHAnsi"/>
          <w:color w:val="808080" w:themeColor="background1" w:themeShade="80"/>
          <w:sz w:val="16"/>
          <w:szCs w:val="16"/>
        </w:rPr>
        <w:t xml:space="preserve"> Human Rights Committee, </w:t>
      </w:r>
      <w:hyperlink r:id="rId57" w:history="1">
        <w:r w:rsidRPr="001167CB">
          <w:rPr>
            <w:rStyle w:val="Hyperlink"/>
            <w:rFonts w:asciiTheme="majorHAnsi" w:hAnsiTheme="majorHAnsi" w:cstheme="majorHAnsi"/>
            <w:i/>
            <w:color w:val="808080" w:themeColor="background1" w:themeShade="80"/>
            <w:sz w:val="16"/>
            <w:szCs w:val="16"/>
          </w:rPr>
          <w:t>Report of the Special Rapporteur on the rights to freedom of peaceful assembly and of association on his follow-up Mission to the United States of America</w:t>
        </w:r>
      </w:hyperlink>
      <w:r w:rsidRPr="001167CB">
        <w:rPr>
          <w:rFonts w:asciiTheme="majorHAnsi" w:hAnsiTheme="majorHAnsi" w:cstheme="majorHAnsi"/>
          <w:color w:val="808080" w:themeColor="background1" w:themeShade="80"/>
          <w:sz w:val="16"/>
          <w:szCs w:val="16"/>
        </w:rPr>
        <w:t xml:space="preserve">, A/HRC/35/28/Add.2, June 12, 2017, para. 13; U.N., </w:t>
      </w:r>
      <w:r w:rsidRPr="001167CB">
        <w:rPr>
          <w:rFonts w:asciiTheme="majorHAnsi" w:hAnsiTheme="majorHAnsi" w:cstheme="majorHAnsi"/>
          <w:bCs/>
          <w:color w:val="808080" w:themeColor="background1" w:themeShade="80"/>
          <w:sz w:val="16"/>
          <w:szCs w:val="16"/>
        </w:rPr>
        <w:t xml:space="preserve">Comm. Elimination of Racial Discrimination, </w:t>
      </w:r>
      <w:hyperlink r:id="rId58" w:history="1">
        <w:r w:rsidRPr="001167CB">
          <w:rPr>
            <w:rStyle w:val="Hyperlink"/>
            <w:rFonts w:asciiTheme="majorHAnsi" w:hAnsiTheme="majorHAnsi" w:cstheme="majorHAnsi"/>
            <w:bCs/>
            <w:i/>
            <w:color w:val="808080" w:themeColor="background1" w:themeShade="80"/>
            <w:sz w:val="16"/>
            <w:szCs w:val="16"/>
          </w:rPr>
          <w:t>Concluding Observations on the combined seventh to ninth periodic reports of the United States of America</w:t>
        </w:r>
      </w:hyperlink>
      <w:r w:rsidRPr="001167CB">
        <w:rPr>
          <w:rFonts w:asciiTheme="majorHAnsi" w:hAnsiTheme="majorHAnsi" w:cstheme="majorHAnsi"/>
          <w:bCs/>
          <w:color w:val="808080" w:themeColor="background1" w:themeShade="80"/>
          <w:sz w:val="16"/>
          <w:szCs w:val="16"/>
        </w:rPr>
        <w:t xml:space="preserve">, U.N. Doc. CERD/C/USA/CO/7-9,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bCs/>
          <w:color w:val="808080" w:themeColor="background1" w:themeShade="80"/>
          <w:sz w:val="16"/>
          <w:szCs w:val="16"/>
        </w:rPr>
        <w:t>25, 2014 [hereinafter “CERD, Concluding Observations 2014”]</w:t>
      </w:r>
      <w:r w:rsidRPr="001167CB">
        <w:rPr>
          <w:rFonts w:asciiTheme="majorHAnsi" w:hAnsiTheme="majorHAnsi" w:cstheme="majorHAnsi"/>
          <w:color w:val="808080" w:themeColor="background1" w:themeShade="80"/>
          <w:sz w:val="16"/>
          <w:szCs w:val="16"/>
        </w:rPr>
        <w:t xml:space="preserve">; U.N., Working Group of Experts on People of African Descent, </w:t>
      </w:r>
      <w:hyperlink r:id="rId59" w:history="1">
        <w:r w:rsidRPr="001167CB">
          <w:rPr>
            <w:rStyle w:val="Hyperlink"/>
            <w:rFonts w:asciiTheme="majorHAnsi" w:hAnsiTheme="majorHAnsi" w:cstheme="majorHAnsi"/>
            <w:i/>
            <w:color w:val="808080" w:themeColor="background1" w:themeShade="80"/>
            <w:sz w:val="16"/>
            <w:szCs w:val="16"/>
          </w:rPr>
          <w:t>Report of the Working Group of Experts on People of African Descent on its mission to the United States of America</w:t>
        </w:r>
      </w:hyperlink>
      <w:r w:rsidRPr="001167CB">
        <w:rPr>
          <w:rFonts w:asciiTheme="majorHAnsi" w:hAnsiTheme="majorHAnsi" w:cstheme="majorHAnsi"/>
          <w:color w:val="808080" w:themeColor="background1" w:themeShade="80"/>
          <w:sz w:val="16"/>
          <w:szCs w:val="16"/>
        </w:rPr>
        <w:t xml:space="preserve">, A/HRC/33/61/Add.2, Aug. 18, 2016 </w:t>
      </w:r>
      <w:r w:rsidRPr="001167CB">
        <w:rPr>
          <w:rFonts w:asciiTheme="majorHAnsi" w:hAnsiTheme="majorHAnsi" w:cstheme="majorHAnsi"/>
          <w:bCs/>
          <w:color w:val="808080" w:themeColor="background1" w:themeShade="80"/>
          <w:sz w:val="16"/>
          <w:szCs w:val="16"/>
        </w:rPr>
        <w:t>[hereinafter “Working Group on People of African Descent, Report on mission to the U.S.”]</w:t>
      </w:r>
      <w:r w:rsidRPr="001167CB">
        <w:rPr>
          <w:rFonts w:asciiTheme="majorHAnsi" w:hAnsiTheme="majorHAnsi" w:cstheme="majorHAnsi"/>
          <w:color w:val="808080" w:themeColor="background1" w:themeShade="80"/>
          <w:sz w:val="16"/>
          <w:szCs w:val="16"/>
        </w:rPr>
        <w:t>.</w:t>
      </w:r>
    </w:p>
  </w:footnote>
  <w:footnote w:id="35">
    <w:p w14:paraId="60C546D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Atlantic, </w:t>
      </w:r>
      <w:hyperlink r:id="rId60" w:history="1">
        <w:r w:rsidRPr="001167CB">
          <w:rPr>
            <w:rStyle w:val="Hyperlink"/>
            <w:rFonts w:asciiTheme="majorHAnsi" w:hAnsiTheme="majorHAnsi" w:cstheme="majorHAnsi"/>
            <w:color w:val="808080" w:themeColor="background1" w:themeShade="80"/>
            <w:sz w:val="16"/>
            <w:szCs w:val="16"/>
          </w:rPr>
          <w:t>Education Gaps Don't Fully Explain Why Black Unemployment Is So High</w:t>
        </w:r>
      </w:hyperlink>
      <w:r w:rsidRPr="001167CB">
        <w:rPr>
          <w:rFonts w:asciiTheme="majorHAnsi" w:hAnsiTheme="majorHAnsi" w:cstheme="majorHAnsi"/>
          <w:color w:val="808080" w:themeColor="background1" w:themeShade="80"/>
          <w:sz w:val="16"/>
          <w:szCs w:val="16"/>
        </w:rPr>
        <w:t xml:space="preserve">, Dec. 21, 2015.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w:t>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61"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 paras. 47-48.</w:t>
      </w:r>
    </w:p>
  </w:footnote>
  <w:footnote w:id="36">
    <w:p w14:paraId="0B3AD5B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CNN Money, </w:t>
      </w:r>
      <w:hyperlink r:id="rId62" w:history="1">
        <w:r w:rsidRPr="001167CB">
          <w:rPr>
            <w:rStyle w:val="Hyperlink"/>
            <w:rFonts w:asciiTheme="majorHAnsi" w:hAnsiTheme="majorHAnsi" w:cstheme="majorHAnsi"/>
            <w:color w:val="808080" w:themeColor="background1" w:themeShade="80"/>
            <w:sz w:val="16"/>
            <w:szCs w:val="16"/>
          </w:rPr>
          <w:t>Wage gap between blacks and whites is worst in nearly 40 years</w:t>
        </w:r>
      </w:hyperlink>
      <w:r w:rsidRPr="001167CB">
        <w:rPr>
          <w:rFonts w:asciiTheme="majorHAnsi" w:hAnsiTheme="majorHAnsi" w:cstheme="majorHAnsi"/>
          <w:color w:val="808080" w:themeColor="background1" w:themeShade="80"/>
          <w:sz w:val="16"/>
          <w:szCs w:val="16"/>
        </w:rPr>
        <w:t>, Sept. 20, 2016 (“the hourly pay gap between blacks and whites widened to 26.7% [...] [R]</w:t>
      </w:r>
      <w:proofErr w:type="spellStart"/>
      <w:r w:rsidRPr="001167CB">
        <w:rPr>
          <w:rFonts w:asciiTheme="majorHAnsi" w:hAnsiTheme="majorHAnsi" w:cstheme="majorHAnsi"/>
          <w:color w:val="808080" w:themeColor="background1" w:themeShade="80"/>
          <w:sz w:val="16"/>
          <w:szCs w:val="16"/>
        </w:rPr>
        <w:t>esearchers</w:t>
      </w:r>
      <w:proofErr w:type="spellEnd"/>
      <w:r w:rsidRPr="001167CB">
        <w:rPr>
          <w:rFonts w:asciiTheme="majorHAnsi" w:hAnsiTheme="majorHAnsi" w:cstheme="majorHAnsi"/>
          <w:color w:val="808080" w:themeColor="background1" w:themeShade="80"/>
          <w:sz w:val="16"/>
          <w:szCs w:val="16"/>
        </w:rPr>
        <w:t xml:space="preserve"> found discrimination...and growing earnings inequality in general, to be the primary factors.”). Black women are particularly adversely affected by the wage gap, by virtue of double discrimination against them. National Partnership for Women &amp; Families, </w:t>
      </w:r>
      <w:hyperlink r:id="rId63" w:history="1">
        <w:r w:rsidRPr="001167CB">
          <w:rPr>
            <w:rStyle w:val="Hyperlink"/>
            <w:rFonts w:asciiTheme="majorHAnsi" w:hAnsiTheme="majorHAnsi" w:cstheme="majorHAnsi"/>
            <w:color w:val="808080" w:themeColor="background1" w:themeShade="80"/>
            <w:sz w:val="16"/>
            <w:szCs w:val="16"/>
          </w:rPr>
          <w:t>Black Women and the Wage Gap</w:t>
        </w:r>
      </w:hyperlink>
      <w:r w:rsidRPr="001167CB">
        <w:rPr>
          <w:rFonts w:asciiTheme="majorHAnsi" w:hAnsiTheme="majorHAnsi" w:cstheme="majorHAnsi"/>
          <w:color w:val="808080" w:themeColor="background1" w:themeShade="80"/>
          <w:sz w:val="16"/>
          <w:szCs w:val="16"/>
        </w:rPr>
        <w:t>, Mar. 2017 (“Black women [in the U.S.] are typically paid just 63 cents for every dollar paid to white, non-Hispanic men. Overall, women […] are typically paid 80 cents for every dollar paid to men.”).</w:t>
      </w:r>
    </w:p>
  </w:footnote>
  <w:footnote w:id="37">
    <w:p w14:paraId="6B255E69" w14:textId="42B86EF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infra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_Ref511745913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61</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CERD, </w:t>
      </w:r>
      <w:hyperlink r:id="rId64" w:history="1">
        <w:r w:rsidRPr="001167CB">
          <w:rPr>
            <w:rStyle w:val="Hyperlink"/>
            <w:rFonts w:asciiTheme="majorHAnsi" w:hAnsiTheme="majorHAnsi" w:cstheme="majorHAnsi"/>
            <w:bCs/>
            <w:iCs/>
            <w:color w:val="808080" w:themeColor="background1" w:themeShade="80"/>
            <w:sz w:val="16"/>
            <w:szCs w:val="16"/>
          </w:rPr>
          <w:t>Concluding Observations 2014</w:t>
        </w:r>
      </w:hyperlink>
      <w:r w:rsidRPr="001167CB">
        <w:rPr>
          <w:rFonts w:asciiTheme="majorHAnsi" w:hAnsiTheme="majorHAnsi" w:cstheme="majorHAnsi"/>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color w:val="808080" w:themeColor="background1" w:themeShade="80"/>
          <w:sz w:val="16"/>
          <w:szCs w:val="16"/>
          <w:lang w:val="en-GB"/>
        </w:rPr>
        <w:t>25, 2014, para. 13.</w:t>
      </w:r>
    </w:p>
  </w:footnote>
  <w:footnote w:id="38">
    <w:p w14:paraId="13A3E44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CERD has emphasized the persistence of discrimination in access to housing and the high degree of racial segregation and concentrated poverty in neighborhoods characterized by sub-standard conditions and services. </w:t>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CERD, </w:t>
      </w:r>
      <w:hyperlink r:id="rId65" w:history="1">
        <w:r w:rsidRPr="001167CB">
          <w:rPr>
            <w:rStyle w:val="Hyperlink"/>
            <w:rFonts w:asciiTheme="majorHAnsi" w:hAnsiTheme="majorHAnsi" w:cstheme="majorHAnsi"/>
            <w:bCs/>
            <w:iCs/>
            <w:color w:val="808080" w:themeColor="background1" w:themeShade="80"/>
            <w:sz w:val="16"/>
            <w:szCs w:val="16"/>
          </w:rPr>
          <w:t>Concluding Observations 2014</w:t>
        </w:r>
      </w:hyperlink>
      <w:r w:rsidRPr="001167CB">
        <w:rPr>
          <w:rFonts w:asciiTheme="majorHAnsi" w:hAnsiTheme="majorHAnsi" w:cstheme="majorHAnsi"/>
          <w:color w:val="808080" w:themeColor="background1" w:themeShade="80"/>
          <w:sz w:val="16"/>
          <w:szCs w:val="16"/>
          <w:lang w:val="en-GB"/>
        </w:rPr>
        <w:t xml:space="preserve">, Sept. 25, 2014, para. 13. </w:t>
      </w:r>
      <w:r w:rsidRPr="001167CB">
        <w:rPr>
          <w:rFonts w:asciiTheme="majorHAnsi" w:hAnsiTheme="majorHAnsi" w:cstheme="majorHAnsi"/>
          <w:i/>
          <w:color w:val="808080" w:themeColor="background1" w:themeShade="80"/>
          <w:sz w:val="16"/>
          <w:szCs w:val="16"/>
          <w:lang w:val="en-GB"/>
        </w:rPr>
        <w:t>See also</w:t>
      </w:r>
      <w:r w:rsidRPr="001167CB">
        <w:rPr>
          <w:rFonts w:asciiTheme="majorHAnsi" w:hAnsiTheme="majorHAnsi" w:cstheme="majorHAnsi"/>
          <w:color w:val="808080" w:themeColor="background1" w:themeShade="80"/>
          <w:sz w:val="16"/>
          <w:szCs w:val="16"/>
          <w:lang w:val="en-GB"/>
        </w:rPr>
        <w:t xml:space="preserve"> </w:t>
      </w:r>
      <w:proofErr w:type="spellStart"/>
      <w:r w:rsidRPr="001167CB">
        <w:rPr>
          <w:rFonts w:asciiTheme="majorHAnsi" w:hAnsiTheme="majorHAnsi" w:cstheme="majorHAnsi"/>
          <w:color w:val="808080" w:themeColor="background1" w:themeShade="80"/>
          <w:sz w:val="16"/>
          <w:szCs w:val="16"/>
          <w:lang w:val="en-GB"/>
        </w:rPr>
        <w:t>ProPublica</w:t>
      </w:r>
      <w:proofErr w:type="spellEnd"/>
      <w:r w:rsidRPr="001167CB">
        <w:rPr>
          <w:rFonts w:asciiTheme="majorHAnsi" w:hAnsiTheme="majorHAnsi" w:cstheme="majorHAnsi"/>
          <w:color w:val="808080" w:themeColor="background1" w:themeShade="80"/>
          <w:sz w:val="16"/>
          <w:szCs w:val="16"/>
          <w:lang w:val="en-GB"/>
        </w:rPr>
        <w:t xml:space="preserve">, </w:t>
      </w:r>
      <w:hyperlink r:id="rId66" w:history="1">
        <w:r w:rsidRPr="001167CB">
          <w:rPr>
            <w:rStyle w:val="Hyperlink"/>
            <w:rFonts w:asciiTheme="majorHAnsi" w:hAnsiTheme="majorHAnsi" w:cstheme="majorHAnsi"/>
            <w:color w:val="808080" w:themeColor="background1" w:themeShade="80"/>
            <w:sz w:val="16"/>
            <w:szCs w:val="16"/>
            <w:lang w:val="en-GB"/>
          </w:rPr>
          <w:t>Living Apart: How the Government Betrayed a Landmark Civil Rights Law</w:t>
        </w:r>
      </w:hyperlink>
      <w:r w:rsidRPr="001167CB">
        <w:rPr>
          <w:rFonts w:asciiTheme="majorHAnsi" w:hAnsiTheme="majorHAnsi" w:cstheme="majorHAnsi"/>
          <w:color w:val="808080" w:themeColor="background1" w:themeShade="80"/>
          <w:sz w:val="16"/>
          <w:szCs w:val="16"/>
          <w:lang w:val="en-GB"/>
        </w:rPr>
        <w:t>, June 25, 2015.</w:t>
      </w:r>
    </w:p>
  </w:footnote>
  <w:footnote w:id="39">
    <w:p w14:paraId="1179FEB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Feeding America, </w:t>
      </w:r>
      <w:hyperlink r:id="rId67" w:history="1">
        <w:r w:rsidRPr="001167CB">
          <w:rPr>
            <w:rStyle w:val="Hyperlink"/>
            <w:rFonts w:asciiTheme="majorHAnsi" w:hAnsiTheme="majorHAnsi" w:cstheme="majorHAnsi"/>
            <w:color w:val="808080" w:themeColor="background1" w:themeShade="80"/>
            <w:sz w:val="16"/>
            <w:szCs w:val="16"/>
          </w:rPr>
          <w:t>African American Hunger Facts</w:t>
        </w:r>
      </w:hyperlink>
      <w:r w:rsidRPr="001167CB">
        <w:rPr>
          <w:rFonts w:asciiTheme="majorHAnsi" w:hAnsiTheme="majorHAnsi" w:cstheme="majorHAnsi"/>
          <w:color w:val="808080" w:themeColor="background1" w:themeShade="80"/>
          <w:sz w:val="16"/>
          <w:szCs w:val="16"/>
        </w:rPr>
        <w:t>, June 21, 2017.</w:t>
      </w:r>
    </w:p>
  </w:footnote>
  <w:footnote w:id="40">
    <w:p w14:paraId="102D9AC9" w14:textId="580D22EE"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emblematic case is Flint, Michigan (a city whose population is 57 percent African American, with 40 percent of residents living under the poverty line). The high-profile environmental and public health disaster of extreme lead contamination of the city’s drinking water was first reported in 2014, and remained </w:t>
      </w:r>
      <w:proofErr w:type="spellStart"/>
      <w:r w:rsidRPr="001167CB">
        <w:rPr>
          <w:rFonts w:asciiTheme="majorHAnsi" w:hAnsiTheme="majorHAnsi" w:cstheme="majorHAnsi"/>
          <w:color w:val="808080" w:themeColor="background1" w:themeShade="80"/>
          <w:sz w:val="16"/>
          <w:szCs w:val="16"/>
        </w:rPr>
        <w:t>unremediated</w:t>
      </w:r>
      <w:proofErr w:type="spellEnd"/>
      <w:r w:rsidRPr="001167CB">
        <w:rPr>
          <w:rFonts w:asciiTheme="majorHAnsi" w:hAnsiTheme="majorHAnsi" w:cstheme="majorHAnsi"/>
          <w:color w:val="808080" w:themeColor="background1" w:themeShade="80"/>
          <w:sz w:val="16"/>
          <w:szCs w:val="16"/>
        </w:rPr>
        <w:t xml:space="preserve"> until late 2017</w:t>
      </w:r>
      <w:proofErr w:type="gramStart"/>
      <w:r w:rsidRPr="001167CB">
        <w:rPr>
          <w:rFonts w:asciiTheme="majorHAnsi" w:hAnsiTheme="majorHAnsi" w:cstheme="majorHAnsi"/>
          <w:color w:val="808080" w:themeColor="background1" w:themeShade="80"/>
          <w:sz w:val="16"/>
          <w:szCs w:val="16"/>
        </w:rPr>
        <w:t>..</w:t>
      </w:r>
      <w:proofErr w:type="gramEnd"/>
      <w:r w:rsidRPr="001167CB">
        <w:rPr>
          <w:rFonts w:asciiTheme="majorHAnsi" w:hAnsiTheme="majorHAnsi" w:cstheme="majorHAnsi"/>
          <w:color w:val="808080" w:themeColor="background1" w:themeShade="80"/>
          <w:sz w:val="16"/>
          <w:szCs w:val="16"/>
        </w:rPr>
        <w:t xml:space="preserve"> U.S. News &amp; World Report, </w:t>
      </w:r>
      <w:hyperlink r:id="rId68" w:history="1">
        <w:r w:rsidRPr="001167CB">
          <w:rPr>
            <w:rStyle w:val="Hyperlink"/>
            <w:rFonts w:asciiTheme="majorHAnsi" w:hAnsiTheme="majorHAnsi" w:cstheme="majorHAnsi"/>
            <w:color w:val="808080" w:themeColor="background1" w:themeShade="80"/>
            <w:sz w:val="16"/>
            <w:szCs w:val="16"/>
          </w:rPr>
          <w:t>Expert Declares Qualified End to Water Crisis in Flint</w:t>
        </w:r>
      </w:hyperlink>
      <w:r w:rsidRPr="001167CB">
        <w:rPr>
          <w:rFonts w:asciiTheme="majorHAnsi" w:hAnsiTheme="majorHAnsi" w:cstheme="majorHAnsi"/>
          <w:color w:val="808080" w:themeColor="background1" w:themeShade="80"/>
          <w:sz w:val="16"/>
          <w:szCs w:val="16"/>
        </w:rPr>
        <w:t xml:space="preserve">, Sept. 15, 2017; Detroit News, </w:t>
      </w:r>
      <w:hyperlink r:id="rId69" w:history="1">
        <w:r w:rsidRPr="001167CB">
          <w:rPr>
            <w:rStyle w:val="Hyperlink"/>
            <w:rFonts w:asciiTheme="majorHAnsi" w:hAnsiTheme="majorHAnsi" w:cstheme="majorHAnsi"/>
            <w:color w:val="808080" w:themeColor="background1" w:themeShade="80"/>
            <w:sz w:val="16"/>
            <w:szCs w:val="16"/>
          </w:rPr>
          <w:t>Flint: ‘All clear’ for drinking water years away</w:t>
        </w:r>
      </w:hyperlink>
      <w:r w:rsidRPr="001167CB">
        <w:rPr>
          <w:rFonts w:asciiTheme="majorHAnsi" w:hAnsiTheme="majorHAnsi" w:cstheme="majorHAnsi"/>
          <w:color w:val="808080" w:themeColor="background1" w:themeShade="80"/>
          <w:sz w:val="16"/>
          <w:szCs w:val="16"/>
        </w:rPr>
        <w:t xml:space="preserve">, Mar. 7, 2017; CNN, </w:t>
      </w:r>
      <w:hyperlink r:id="rId70" w:history="1">
        <w:r w:rsidRPr="001167CB">
          <w:rPr>
            <w:rStyle w:val="Hyperlink"/>
            <w:rFonts w:asciiTheme="majorHAnsi" w:hAnsiTheme="majorHAnsi" w:cstheme="majorHAnsi"/>
            <w:color w:val="808080" w:themeColor="background1" w:themeShade="80"/>
            <w:sz w:val="16"/>
            <w:szCs w:val="16"/>
          </w:rPr>
          <w:t>Flint, Michigan: Did race and poverty factor into water crisis?</w:t>
        </w:r>
      </w:hyperlink>
      <w:r w:rsidRPr="001167CB">
        <w:rPr>
          <w:rFonts w:asciiTheme="majorHAnsi" w:hAnsiTheme="majorHAnsi" w:cstheme="majorHAnsi"/>
          <w:color w:val="808080" w:themeColor="background1" w:themeShade="80"/>
          <w:sz w:val="16"/>
          <w:szCs w:val="16"/>
        </w:rPr>
        <w:t xml:space="preserve">, Jan. 28, 2016. </w:t>
      </w:r>
      <w:r w:rsidRPr="001167CB">
        <w:rPr>
          <w:rFonts w:asciiTheme="majorHAnsi" w:hAnsiTheme="majorHAnsi" w:cstheme="majorHAnsi"/>
          <w:i/>
          <w:color w:val="808080" w:themeColor="background1" w:themeShade="80"/>
          <w:sz w:val="16"/>
          <w:szCs w:val="16"/>
        </w:rPr>
        <w:t xml:space="preserve">See also </w:t>
      </w:r>
      <w:r w:rsidRPr="001167CB">
        <w:rPr>
          <w:rFonts w:asciiTheme="majorHAnsi" w:hAnsiTheme="majorHAnsi" w:cstheme="majorHAnsi"/>
          <w:color w:val="808080" w:themeColor="background1" w:themeShade="80"/>
          <w:sz w:val="16"/>
          <w:szCs w:val="16"/>
        </w:rPr>
        <w:t xml:space="preserve">National Resources Defense Council, </w:t>
      </w:r>
      <w:hyperlink r:id="rId71" w:history="1">
        <w:r w:rsidRPr="001167CB">
          <w:rPr>
            <w:rStyle w:val="Hyperlink"/>
            <w:rFonts w:asciiTheme="majorHAnsi" w:hAnsiTheme="majorHAnsi" w:cstheme="majorHAnsi"/>
            <w:color w:val="808080" w:themeColor="background1" w:themeShade="80"/>
            <w:sz w:val="16"/>
            <w:szCs w:val="16"/>
          </w:rPr>
          <w:t>REPORT: Nearly One in Four Americans’ Drinking Water Comes from Untested or Contaminated Systems</w:t>
        </w:r>
      </w:hyperlink>
      <w:r w:rsidRPr="001167CB">
        <w:rPr>
          <w:rFonts w:asciiTheme="majorHAnsi" w:hAnsiTheme="majorHAnsi" w:cstheme="majorHAnsi"/>
          <w:color w:val="808080" w:themeColor="background1" w:themeShade="80"/>
          <w:sz w:val="16"/>
          <w:szCs w:val="16"/>
        </w:rPr>
        <w:t xml:space="preserve">, May 2, 2017. NPR, </w:t>
      </w:r>
    </w:p>
  </w:footnote>
  <w:footnote w:id="41">
    <w:p w14:paraId="4097BE8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CERD, </w:t>
      </w:r>
      <w:hyperlink r:id="rId72" w:history="1">
        <w:r w:rsidRPr="001167CB">
          <w:rPr>
            <w:rStyle w:val="Hyperlink"/>
            <w:rFonts w:asciiTheme="majorHAnsi" w:hAnsiTheme="majorHAnsi" w:cstheme="majorHAnsi"/>
            <w:bCs/>
            <w:iCs/>
            <w:color w:val="808080" w:themeColor="background1" w:themeShade="80"/>
            <w:sz w:val="16"/>
            <w:szCs w:val="16"/>
          </w:rPr>
          <w:t>Concluding Observations 2014</w:t>
        </w:r>
      </w:hyperlink>
      <w:r w:rsidRPr="001167CB">
        <w:rPr>
          <w:rFonts w:asciiTheme="majorHAnsi" w:hAnsiTheme="majorHAnsi" w:cstheme="majorHAnsi"/>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color w:val="808080" w:themeColor="background1" w:themeShade="80"/>
          <w:sz w:val="16"/>
          <w:szCs w:val="16"/>
          <w:lang w:val="en-GB"/>
        </w:rPr>
        <w:t xml:space="preserve">25, 2014, para. 10 (“[…] racial and ethnic minorities, as well as indigenous peoples, continue to be disproportionately affected by the negative health impact of pollution caused by the extractive and manufacturing industries.”). In this regard, </w:t>
      </w:r>
      <w:r w:rsidRPr="001167CB">
        <w:rPr>
          <w:rFonts w:asciiTheme="majorHAnsi" w:hAnsiTheme="majorHAnsi" w:cstheme="majorHAnsi"/>
          <w:i/>
          <w:color w:val="808080" w:themeColor="background1" w:themeShade="80"/>
          <w:sz w:val="16"/>
          <w:szCs w:val="16"/>
          <w:lang w:val="en-GB"/>
        </w:rPr>
        <w:t>see also</w:t>
      </w:r>
      <w:r w:rsidRPr="001167CB">
        <w:rPr>
          <w:rFonts w:asciiTheme="majorHAnsi" w:hAnsiTheme="majorHAnsi" w:cstheme="majorHAnsi"/>
          <w:color w:val="808080" w:themeColor="background1" w:themeShade="80"/>
          <w:sz w:val="16"/>
          <w:szCs w:val="16"/>
          <w:lang w:val="en-GB"/>
        </w:rPr>
        <w:t xml:space="preserve"> Washington Post, </w:t>
      </w:r>
      <w:hyperlink r:id="rId73" w:history="1">
        <w:r w:rsidRPr="001167CB">
          <w:rPr>
            <w:rStyle w:val="Hyperlink"/>
            <w:rFonts w:asciiTheme="majorHAnsi" w:hAnsiTheme="majorHAnsi" w:cstheme="majorHAnsi"/>
            <w:color w:val="808080" w:themeColor="background1" w:themeShade="80"/>
            <w:sz w:val="16"/>
            <w:szCs w:val="16"/>
            <w:lang w:val="en-GB"/>
          </w:rPr>
          <w:t xml:space="preserve">Freddie </w:t>
        </w:r>
        <w:proofErr w:type="spellStart"/>
        <w:r w:rsidRPr="001167CB">
          <w:rPr>
            <w:rStyle w:val="Hyperlink"/>
            <w:rFonts w:asciiTheme="majorHAnsi" w:hAnsiTheme="majorHAnsi" w:cstheme="majorHAnsi"/>
            <w:color w:val="808080" w:themeColor="background1" w:themeShade="80"/>
            <w:sz w:val="16"/>
            <w:szCs w:val="16"/>
            <w:lang w:val="en-GB"/>
          </w:rPr>
          <w:t>Gray’s</w:t>
        </w:r>
        <w:proofErr w:type="spellEnd"/>
        <w:r w:rsidRPr="001167CB">
          <w:rPr>
            <w:rStyle w:val="Hyperlink"/>
            <w:rFonts w:asciiTheme="majorHAnsi" w:hAnsiTheme="majorHAnsi" w:cstheme="majorHAnsi"/>
            <w:color w:val="808080" w:themeColor="background1" w:themeShade="80"/>
            <w:sz w:val="16"/>
            <w:szCs w:val="16"/>
            <w:lang w:val="en-GB"/>
          </w:rPr>
          <w:t xml:space="preserve"> life a study on the effects of lead paint on poor blacks</w:t>
        </w:r>
      </w:hyperlink>
      <w:r w:rsidRPr="001167CB">
        <w:rPr>
          <w:rFonts w:asciiTheme="majorHAnsi" w:hAnsiTheme="majorHAnsi" w:cstheme="majorHAnsi"/>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color w:val="808080" w:themeColor="background1" w:themeShade="80"/>
          <w:sz w:val="16"/>
          <w:szCs w:val="16"/>
          <w:lang w:val="en-GB"/>
        </w:rPr>
        <w:t xml:space="preserve">29, 2015; IACHR, </w:t>
      </w:r>
      <w:hyperlink r:id="rId74" w:history="1">
        <w:r w:rsidRPr="001167CB">
          <w:rPr>
            <w:rStyle w:val="Hyperlink"/>
            <w:rFonts w:asciiTheme="majorHAnsi" w:hAnsiTheme="majorHAnsi" w:cstheme="majorHAnsi"/>
            <w:color w:val="808080" w:themeColor="background1" w:themeShade="80"/>
            <w:sz w:val="16"/>
            <w:szCs w:val="16"/>
          </w:rPr>
          <w:t>Indigenous Peoples, Communities of African Descent, and Extractive Industries</w:t>
        </w:r>
      </w:hyperlink>
      <w:r w:rsidRPr="001167CB">
        <w:rPr>
          <w:rFonts w:asciiTheme="majorHAnsi" w:hAnsiTheme="majorHAnsi" w:cstheme="majorHAnsi"/>
          <w:color w:val="808080" w:themeColor="background1" w:themeShade="80"/>
          <w:sz w:val="16"/>
          <w:szCs w:val="16"/>
        </w:rPr>
        <w:t>,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/V/II., Doc. 47/15 (2015).</w:t>
      </w:r>
    </w:p>
  </w:footnote>
  <w:footnote w:id="42">
    <w:p w14:paraId="1874182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Allan S. Noonan, et al., </w:t>
      </w:r>
      <w:hyperlink r:id="rId75" w:history="1">
        <w:r w:rsidRPr="001167CB">
          <w:rPr>
            <w:rStyle w:val="Hyperlink"/>
            <w:rFonts w:asciiTheme="majorHAnsi" w:hAnsiTheme="majorHAnsi" w:cstheme="majorHAnsi"/>
            <w:color w:val="808080" w:themeColor="background1" w:themeShade="80"/>
            <w:sz w:val="16"/>
            <w:szCs w:val="16"/>
          </w:rPr>
          <w:t>Improving the health of African Americans in the USA: an overdue opportunity for social justice</w:t>
        </w:r>
      </w:hyperlink>
      <w:r w:rsidRPr="001167CB">
        <w:rPr>
          <w:rFonts w:asciiTheme="majorHAnsi" w:hAnsiTheme="majorHAnsi" w:cstheme="majorHAnsi"/>
          <w:color w:val="808080" w:themeColor="background1" w:themeShade="80"/>
          <w:sz w:val="16"/>
          <w:szCs w:val="16"/>
        </w:rPr>
        <w:t xml:space="preserve">, 2016;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w:t>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76"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 xml:space="preserve">, para. 52; </w:t>
      </w:r>
      <w:r w:rsidRPr="001167CB">
        <w:rPr>
          <w:rFonts w:asciiTheme="majorHAnsi" w:hAnsiTheme="majorHAnsi" w:cstheme="majorHAnsi"/>
          <w:color w:val="808080" w:themeColor="background1" w:themeShade="80"/>
          <w:sz w:val="16"/>
          <w:szCs w:val="16"/>
        </w:rPr>
        <w:t xml:space="preserve">CERD, </w:t>
      </w:r>
      <w:hyperlink r:id="rId77" w:history="1">
        <w:r w:rsidRPr="001167CB">
          <w:rPr>
            <w:rStyle w:val="Hyperlink"/>
            <w:rFonts w:asciiTheme="majorHAnsi" w:hAnsiTheme="majorHAnsi" w:cstheme="majorHAnsi"/>
            <w:bCs/>
            <w:iCs/>
            <w:color w:val="808080" w:themeColor="background1" w:themeShade="80"/>
            <w:sz w:val="16"/>
            <w:szCs w:val="16"/>
          </w:rPr>
          <w:t>Concluding Observations 2014</w:t>
        </w:r>
      </w:hyperlink>
      <w:r w:rsidRPr="001167CB">
        <w:rPr>
          <w:rFonts w:asciiTheme="majorHAnsi" w:hAnsiTheme="majorHAnsi" w:cstheme="majorHAnsi"/>
          <w:color w:val="808080" w:themeColor="background1" w:themeShade="80"/>
          <w:sz w:val="16"/>
          <w:szCs w:val="16"/>
          <w:lang w:val="en-GB"/>
        </w:rPr>
        <w:t>, para. 15</w:t>
      </w:r>
      <w:r w:rsidRPr="001167CB">
        <w:rPr>
          <w:rFonts w:asciiTheme="majorHAnsi" w:eastAsia="Times New Roman" w:hAnsiTheme="majorHAnsi" w:cstheme="majorHAnsi"/>
          <w:color w:val="808080" w:themeColor="background1" w:themeShade="80"/>
          <w:sz w:val="16"/>
          <w:szCs w:val="16"/>
          <w:lang w:eastAsia="es-ES"/>
        </w:rPr>
        <w:t>.</w:t>
      </w:r>
    </w:p>
  </w:footnote>
  <w:footnote w:id="43">
    <w:p w14:paraId="38CF805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n-GB"/>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LA Times, </w:t>
      </w:r>
      <w:hyperlink r:id="rId78" w:history="1">
        <w:r w:rsidRPr="001167CB">
          <w:rPr>
            <w:rStyle w:val="Hyperlink"/>
            <w:rFonts w:asciiTheme="majorHAnsi" w:hAnsiTheme="majorHAnsi" w:cstheme="majorHAnsi"/>
            <w:color w:val="808080" w:themeColor="background1" w:themeShade="80"/>
            <w:sz w:val="16"/>
            <w:szCs w:val="16"/>
          </w:rPr>
          <w:t>The quiet crisis among African Americans: Pregnancy and childbirth are killing women at inexplicable rates</w:t>
        </w:r>
      </w:hyperlink>
      <w:r w:rsidRPr="001167CB">
        <w:rPr>
          <w:rFonts w:asciiTheme="majorHAnsi" w:hAnsiTheme="majorHAnsi" w:cstheme="majorHAnsi"/>
          <w:color w:val="808080" w:themeColor="background1" w:themeShade="80"/>
          <w:sz w:val="16"/>
          <w:szCs w:val="16"/>
        </w:rPr>
        <w:t xml:space="preserve">, Oct. 26, 2017; In Our Own Voice, </w:t>
      </w:r>
      <w:hyperlink r:id="rId79" w:history="1">
        <w:r w:rsidRPr="001167CB">
          <w:rPr>
            <w:rStyle w:val="Hyperlink"/>
            <w:rFonts w:asciiTheme="majorHAnsi" w:hAnsiTheme="majorHAnsi" w:cstheme="majorHAnsi"/>
            <w:color w:val="808080" w:themeColor="background1" w:themeShade="80"/>
            <w:sz w:val="16"/>
            <w:szCs w:val="16"/>
          </w:rPr>
          <w:t>Our Bodies, Our Lives, Our Voices: The State of Black Women and Reproductive Justice</w:t>
        </w:r>
      </w:hyperlink>
      <w:r w:rsidRPr="001167CB">
        <w:rPr>
          <w:rFonts w:asciiTheme="majorHAnsi" w:hAnsiTheme="majorHAnsi" w:cstheme="majorHAnsi"/>
          <w:color w:val="808080" w:themeColor="background1" w:themeShade="80"/>
          <w:sz w:val="16"/>
          <w:szCs w:val="16"/>
        </w:rPr>
        <w:t xml:space="preserve">, June 2017; CERD, </w:t>
      </w:r>
      <w:hyperlink r:id="rId80" w:history="1">
        <w:r w:rsidRPr="001167CB">
          <w:rPr>
            <w:rStyle w:val="Hyperlink"/>
            <w:rFonts w:asciiTheme="majorHAnsi" w:hAnsiTheme="majorHAnsi" w:cstheme="majorHAnsi"/>
            <w:bCs/>
            <w:iCs/>
            <w:color w:val="808080" w:themeColor="background1" w:themeShade="80"/>
            <w:sz w:val="16"/>
            <w:szCs w:val="16"/>
          </w:rPr>
          <w:t>Concluding Observations 2014</w:t>
        </w:r>
      </w:hyperlink>
      <w:r w:rsidRPr="001167CB">
        <w:rPr>
          <w:rFonts w:asciiTheme="majorHAnsi" w:hAnsiTheme="majorHAnsi" w:cstheme="majorHAnsi"/>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color w:val="808080" w:themeColor="background1" w:themeShade="80"/>
          <w:sz w:val="16"/>
          <w:szCs w:val="16"/>
          <w:lang w:val="en-GB"/>
        </w:rPr>
        <w:t xml:space="preserve">25, 2014, para. 15; </w:t>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81"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 para. 68.</w:t>
      </w:r>
    </w:p>
  </w:footnote>
  <w:footnote w:id="44">
    <w:p w14:paraId="0B7B39D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CNN, </w:t>
      </w:r>
      <w:hyperlink r:id="rId82" w:history="1">
        <w:r w:rsidRPr="001167CB">
          <w:rPr>
            <w:rStyle w:val="Hyperlink"/>
            <w:rFonts w:asciiTheme="majorHAnsi" w:hAnsiTheme="majorHAnsi" w:cstheme="majorHAnsi"/>
            <w:color w:val="808080" w:themeColor="background1" w:themeShade="80"/>
            <w:sz w:val="16"/>
            <w:szCs w:val="16"/>
          </w:rPr>
          <w:t>Racism in medicine: An 'open secret'</w:t>
        </w:r>
      </w:hyperlink>
      <w:r w:rsidRPr="001167CB">
        <w:rPr>
          <w:rFonts w:asciiTheme="majorHAnsi" w:hAnsiTheme="majorHAnsi" w:cstheme="majorHAnsi"/>
          <w:color w:val="808080" w:themeColor="background1" w:themeShade="80"/>
          <w:sz w:val="16"/>
          <w:szCs w:val="16"/>
        </w:rPr>
        <w:t xml:space="preserve">, Oct. 26, 2016; U.S. News &amp; World Report, </w:t>
      </w:r>
      <w:hyperlink r:id="rId83" w:history="1">
        <w:r w:rsidRPr="001167CB">
          <w:rPr>
            <w:rStyle w:val="Hyperlink"/>
            <w:rFonts w:asciiTheme="majorHAnsi" w:hAnsiTheme="majorHAnsi" w:cstheme="majorHAnsi"/>
            <w:color w:val="808080" w:themeColor="background1" w:themeShade="80"/>
            <w:sz w:val="16"/>
            <w:szCs w:val="16"/>
          </w:rPr>
          <w:t>Racial Bias in Medicine Leads to Worse Care for Minorities</w:t>
        </w:r>
      </w:hyperlink>
      <w:r w:rsidRPr="001167CB">
        <w:rPr>
          <w:rFonts w:asciiTheme="majorHAnsi" w:hAnsiTheme="majorHAnsi" w:cstheme="majorHAnsi"/>
          <w:color w:val="808080" w:themeColor="background1" w:themeShade="80"/>
          <w:sz w:val="16"/>
          <w:szCs w:val="16"/>
        </w:rPr>
        <w:t xml:space="preserve">, Feb. 11, 2016. </w:t>
      </w:r>
    </w:p>
  </w:footnote>
  <w:footnote w:id="45">
    <w:p w14:paraId="116785D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Handbook of Research in Education Finance and Policy, </w:t>
      </w:r>
      <w:hyperlink r:id="rId84" w:history="1">
        <w:r w:rsidRPr="001167CB">
          <w:rPr>
            <w:rStyle w:val="Hyperlink"/>
            <w:rFonts w:asciiTheme="majorHAnsi" w:hAnsiTheme="majorHAnsi" w:cstheme="majorHAnsi"/>
            <w:color w:val="808080" w:themeColor="background1" w:themeShade="80"/>
            <w:sz w:val="16"/>
            <w:szCs w:val="16"/>
          </w:rPr>
          <w:t>Patterns and Trends in Racial/Ethnic and Socioeconomic Academic Achievement Gaps</w:t>
        </w:r>
      </w:hyperlink>
      <w:r w:rsidRPr="001167CB">
        <w:rPr>
          <w:rFonts w:asciiTheme="majorHAnsi" w:hAnsiTheme="majorHAnsi" w:cstheme="majorHAnsi"/>
          <w:color w:val="808080" w:themeColor="background1" w:themeShade="80"/>
          <w:sz w:val="16"/>
          <w:szCs w:val="16"/>
        </w:rPr>
        <w:t xml:space="preserve">; Brookings Institution, </w:t>
      </w:r>
      <w:hyperlink r:id="rId85" w:history="1">
        <w:r w:rsidRPr="001167CB">
          <w:rPr>
            <w:rStyle w:val="Hyperlink"/>
            <w:rFonts w:asciiTheme="majorHAnsi" w:hAnsiTheme="majorHAnsi" w:cstheme="majorHAnsi"/>
            <w:color w:val="808080" w:themeColor="background1" w:themeShade="80"/>
            <w:sz w:val="16"/>
            <w:szCs w:val="16"/>
          </w:rPr>
          <w:t>7 findings that illustrate racial disparities in education</w:t>
        </w:r>
      </w:hyperlink>
      <w:r w:rsidRPr="001167CB">
        <w:rPr>
          <w:rFonts w:asciiTheme="majorHAnsi" w:hAnsiTheme="majorHAnsi" w:cstheme="majorHAnsi"/>
          <w:color w:val="808080" w:themeColor="background1" w:themeShade="80"/>
          <w:sz w:val="16"/>
          <w:szCs w:val="16"/>
        </w:rPr>
        <w:t xml:space="preserve">, June 6, 2016;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w:t>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86"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 xml:space="preserve">, paras. 53-54; </w:t>
      </w:r>
      <w:r w:rsidRPr="001167CB">
        <w:rPr>
          <w:rFonts w:asciiTheme="majorHAnsi" w:hAnsiTheme="majorHAnsi" w:cstheme="majorHAnsi"/>
          <w:color w:val="808080" w:themeColor="background1" w:themeShade="80"/>
          <w:sz w:val="16"/>
          <w:szCs w:val="16"/>
        </w:rPr>
        <w:t xml:space="preserve">CERD, </w:t>
      </w:r>
      <w:hyperlink r:id="rId87" w:history="1">
        <w:r w:rsidRPr="001167CB">
          <w:rPr>
            <w:rStyle w:val="Hyperlink"/>
            <w:rFonts w:asciiTheme="majorHAnsi" w:hAnsiTheme="majorHAnsi" w:cstheme="majorHAnsi"/>
            <w:bCs/>
            <w:iCs/>
            <w:color w:val="808080" w:themeColor="background1" w:themeShade="80"/>
            <w:sz w:val="16"/>
            <w:szCs w:val="16"/>
          </w:rPr>
          <w:t>Concluding Observations 2014</w:t>
        </w:r>
      </w:hyperlink>
      <w:r w:rsidRPr="001167CB">
        <w:rPr>
          <w:rFonts w:asciiTheme="majorHAnsi" w:hAnsiTheme="majorHAnsi" w:cstheme="majorHAnsi"/>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color w:val="808080" w:themeColor="background1" w:themeShade="80"/>
          <w:sz w:val="16"/>
          <w:szCs w:val="16"/>
          <w:lang w:val="en-GB"/>
        </w:rPr>
        <w:t>25, 2014, para. 14.</w:t>
      </w:r>
    </w:p>
  </w:footnote>
  <w:footnote w:id="46">
    <w:p w14:paraId="4B873A1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USA Today, </w:t>
      </w:r>
      <w:hyperlink r:id="rId88" w:history="1">
        <w:r w:rsidRPr="001167CB">
          <w:rPr>
            <w:rStyle w:val="Hyperlink"/>
            <w:rFonts w:asciiTheme="majorHAnsi" w:hAnsiTheme="majorHAnsi" w:cstheme="majorHAnsi"/>
            <w:color w:val="808080" w:themeColor="background1" w:themeShade="80"/>
            <w:sz w:val="16"/>
            <w:szCs w:val="16"/>
          </w:rPr>
          <w:t>Report: The race gap in higher education is very real</w:t>
        </w:r>
      </w:hyperlink>
      <w:r w:rsidRPr="001167CB">
        <w:rPr>
          <w:rFonts w:asciiTheme="majorHAnsi" w:hAnsiTheme="majorHAnsi" w:cstheme="majorHAnsi"/>
          <w:color w:val="808080" w:themeColor="background1" w:themeShade="80"/>
          <w:sz w:val="16"/>
          <w:szCs w:val="16"/>
        </w:rPr>
        <w:t xml:space="preserve">, Mar. 7, 2017; The Chronicle of Higher Education, </w:t>
      </w:r>
      <w:hyperlink r:id="rId89" w:history="1">
        <w:r w:rsidRPr="001167CB">
          <w:rPr>
            <w:rStyle w:val="Hyperlink"/>
            <w:rFonts w:asciiTheme="majorHAnsi" w:hAnsiTheme="majorHAnsi" w:cstheme="majorHAnsi"/>
            <w:color w:val="808080" w:themeColor="background1" w:themeShade="80"/>
            <w:sz w:val="16"/>
            <w:szCs w:val="16"/>
          </w:rPr>
          <w:t>Racial Disparities in Higher Education: an Overview</w:t>
        </w:r>
      </w:hyperlink>
      <w:r w:rsidRPr="001167CB">
        <w:rPr>
          <w:rFonts w:asciiTheme="majorHAnsi" w:hAnsiTheme="majorHAnsi" w:cstheme="majorHAnsi"/>
          <w:color w:val="808080" w:themeColor="background1" w:themeShade="80"/>
          <w:sz w:val="16"/>
          <w:szCs w:val="16"/>
        </w:rPr>
        <w:t>, Nov. 10, 2015.</w:t>
      </w:r>
    </w:p>
  </w:footnote>
  <w:footnote w:id="47">
    <w:p w14:paraId="1DCB5C4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e.g.</w:t>
      </w:r>
      <w:r w:rsidRPr="001167CB">
        <w:rPr>
          <w:rFonts w:asciiTheme="majorHAnsi" w:hAnsiTheme="majorHAnsi" w:cstheme="majorHAnsi"/>
          <w:color w:val="808080" w:themeColor="background1" w:themeShade="80"/>
          <w:sz w:val="16"/>
          <w:szCs w:val="16"/>
        </w:rPr>
        <w:t xml:space="preserve">, Washington Post, </w:t>
      </w:r>
      <w:hyperlink r:id="rId90" w:history="1">
        <w:r w:rsidRPr="001167CB">
          <w:rPr>
            <w:rStyle w:val="Hyperlink"/>
            <w:rFonts w:asciiTheme="majorHAnsi" w:hAnsiTheme="majorHAnsi" w:cstheme="majorHAnsi"/>
            <w:color w:val="808080" w:themeColor="background1" w:themeShade="80"/>
            <w:sz w:val="16"/>
            <w:szCs w:val="16"/>
          </w:rPr>
          <w:t>Do voter identification laws suppress minority voting? Yes. We did the research</w:t>
        </w:r>
      </w:hyperlink>
      <w:r w:rsidRPr="001167CB">
        <w:rPr>
          <w:rFonts w:asciiTheme="majorHAnsi" w:hAnsiTheme="majorHAnsi" w:cstheme="majorHAnsi"/>
          <w:color w:val="808080" w:themeColor="background1" w:themeShade="80"/>
          <w:sz w:val="16"/>
          <w:szCs w:val="16"/>
        </w:rPr>
        <w:t xml:space="preserve">., Feb. 15, 2017; POLITICO Magazine, </w:t>
      </w:r>
      <w:hyperlink r:id="rId91" w:history="1">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Real Voting Problem in the 2016 Election</w:t>
        </w:r>
      </w:hyperlink>
      <w:r w:rsidRPr="001167CB">
        <w:rPr>
          <w:rFonts w:asciiTheme="majorHAnsi" w:hAnsiTheme="majorHAnsi" w:cstheme="majorHAnsi"/>
          <w:color w:val="808080" w:themeColor="background1" w:themeShade="80"/>
          <w:sz w:val="16"/>
          <w:szCs w:val="16"/>
        </w:rPr>
        <w:t>, Oct. 24, 2016.</w:t>
      </w:r>
    </w:p>
  </w:footnote>
  <w:footnote w:id="48">
    <w:p w14:paraId="1DA072FA" w14:textId="77777777" w:rsidR="005C2394" w:rsidRPr="001167CB" w:rsidRDefault="005C2394" w:rsidP="002C64F8">
      <w:pPr>
        <w:pStyle w:val="FootnoteText"/>
        <w:spacing w:after="40"/>
        <w:ind w:left="547" w:hanging="547"/>
        <w:jc w:val="both"/>
        <w:rPr>
          <w:rFonts w:asciiTheme="majorHAnsi" w:hAnsiTheme="majorHAnsi" w:cstheme="majorHAnsi"/>
          <w: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U.N., Human Rights Comm., </w:t>
      </w:r>
      <w:hyperlink r:id="rId92" w:history="1">
        <w:r w:rsidRPr="001167CB">
          <w:rPr>
            <w:rStyle w:val="Hyperlink"/>
            <w:rFonts w:asciiTheme="majorHAnsi" w:hAnsiTheme="majorHAnsi" w:cstheme="majorHAnsi"/>
            <w:bCs/>
            <w:i/>
            <w:color w:val="808080" w:themeColor="background1" w:themeShade="80"/>
            <w:sz w:val="16"/>
            <w:szCs w:val="16"/>
          </w:rPr>
          <w:t>Concluding observations on the fourth periodic report of the United States of America</w:t>
        </w:r>
        <w:r w:rsidRPr="001167CB">
          <w:rPr>
            <w:rStyle w:val="Hyperlink"/>
            <w:rFonts w:asciiTheme="majorHAnsi" w:hAnsiTheme="majorHAnsi" w:cstheme="majorHAnsi"/>
            <w:bCs/>
            <w:color w:val="808080" w:themeColor="background1" w:themeShade="80"/>
            <w:sz w:val="16"/>
            <w:szCs w:val="16"/>
          </w:rPr>
          <w:t>, U.N. Doc CCPR/C/USA/CO/4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bCs/>
          <w:color w:val="808080" w:themeColor="background1" w:themeShade="80"/>
          <w:sz w:val="16"/>
          <w:szCs w:val="16"/>
        </w:rPr>
        <w:t>23, 2014</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see also</w:t>
      </w:r>
      <w:r w:rsidRPr="001167CB">
        <w:rPr>
          <w:rFonts w:asciiTheme="majorHAnsi" w:eastAsia="Times New Roman" w:hAnsiTheme="majorHAnsi" w:cstheme="majorHAnsi"/>
          <w:color w:val="808080" w:themeColor="background1" w:themeShade="80"/>
          <w:sz w:val="16"/>
          <w:szCs w:val="16"/>
          <w:lang w:eastAsia="es-ES"/>
        </w:rPr>
        <w:t xml:space="preserve"> </w:t>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93"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 para. 55-56.</w:t>
      </w:r>
    </w:p>
  </w:footnote>
  <w:footnote w:id="49">
    <w:p w14:paraId="2F67B07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Slate, </w:t>
      </w:r>
      <w:hyperlink r:id="rId94" w:history="1">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Invisible Segregation of Diverse Neighborhoods</w:t>
        </w:r>
      </w:hyperlink>
      <w:r w:rsidRPr="001167CB">
        <w:rPr>
          <w:rFonts w:asciiTheme="majorHAnsi" w:hAnsiTheme="majorHAnsi" w:cstheme="majorHAnsi"/>
          <w:color w:val="808080" w:themeColor="background1" w:themeShade="80"/>
          <w:sz w:val="16"/>
          <w:szCs w:val="16"/>
        </w:rPr>
        <w:t xml:space="preserve">, July 24, 2017; New York Times, </w:t>
      </w:r>
      <w:hyperlink r:id="rId95" w:history="1">
        <w:r w:rsidRPr="001167CB">
          <w:rPr>
            <w:rStyle w:val="Hyperlink"/>
            <w:rFonts w:asciiTheme="majorHAnsi" w:hAnsiTheme="majorHAnsi" w:cstheme="majorHAnsi"/>
            <w:color w:val="808080" w:themeColor="background1" w:themeShade="80"/>
            <w:sz w:val="16"/>
            <w:szCs w:val="16"/>
          </w:rPr>
          <w:t>Affluent and Black, but Still Trapped by Segregation</w:t>
        </w:r>
      </w:hyperlink>
      <w:r w:rsidRPr="001167CB">
        <w:rPr>
          <w:rFonts w:asciiTheme="majorHAnsi" w:hAnsiTheme="majorHAnsi" w:cstheme="majorHAnsi"/>
          <w:color w:val="808080" w:themeColor="background1" w:themeShade="80"/>
          <w:sz w:val="16"/>
          <w:szCs w:val="16"/>
        </w:rPr>
        <w:t>, Aug. 20, 2016.</w:t>
      </w:r>
    </w:p>
  </w:footnote>
  <w:footnote w:id="50">
    <w:p w14:paraId="37E9C8A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Seattle Times, </w:t>
      </w:r>
      <w:hyperlink r:id="rId96" w:history="1">
        <w:r w:rsidRPr="001167CB">
          <w:rPr>
            <w:rStyle w:val="Hyperlink"/>
            <w:rFonts w:asciiTheme="majorHAnsi" w:hAnsiTheme="majorHAnsi" w:cstheme="majorHAnsi"/>
            <w:color w:val="808080" w:themeColor="background1" w:themeShade="80"/>
            <w:sz w:val="16"/>
            <w:szCs w:val="16"/>
          </w:rPr>
          <w:t>Segregation worse in schools 60 years after Brown v. Board of Education</w:t>
        </w:r>
      </w:hyperlink>
      <w:r w:rsidRPr="001167CB">
        <w:rPr>
          <w:rFonts w:asciiTheme="majorHAnsi" w:hAnsiTheme="majorHAnsi" w:cstheme="majorHAnsi"/>
          <w:color w:val="808080" w:themeColor="background1" w:themeShade="80"/>
          <w:sz w:val="16"/>
          <w:szCs w:val="16"/>
        </w:rPr>
        <w:t xml:space="preserve">, Sept. 14, 2017; The Atlantic, </w:t>
      </w:r>
      <w:hyperlink r:id="rId97" w:history="1">
        <w:r w:rsidRPr="001167CB">
          <w:rPr>
            <w:rStyle w:val="Hyperlink"/>
            <w:rFonts w:asciiTheme="majorHAnsi" w:hAnsiTheme="majorHAnsi" w:cstheme="majorHAnsi"/>
            <w:color w:val="808080" w:themeColor="background1" w:themeShade="80"/>
            <w:sz w:val="16"/>
            <w:szCs w:val="16"/>
          </w:rPr>
          <w:t>Segregation Now . . . .</w:t>
        </w:r>
      </w:hyperlink>
      <w:r w:rsidRPr="001167CB">
        <w:rPr>
          <w:rFonts w:asciiTheme="majorHAnsi" w:hAnsiTheme="majorHAnsi" w:cstheme="majorHAnsi"/>
          <w:color w:val="808080" w:themeColor="background1" w:themeShade="80"/>
          <w:sz w:val="16"/>
          <w:szCs w:val="16"/>
        </w:rPr>
        <w:t xml:space="preserve">, May 2014; </w:t>
      </w:r>
      <w:proofErr w:type="spellStart"/>
      <w:r w:rsidRPr="001167CB">
        <w:rPr>
          <w:rFonts w:asciiTheme="majorHAnsi" w:hAnsiTheme="majorHAnsi" w:cstheme="majorHAnsi"/>
          <w:color w:val="808080" w:themeColor="background1" w:themeShade="80"/>
          <w:sz w:val="16"/>
          <w:szCs w:val="16"/>
        </w:rPr>
        <w:t>ProPublica</w:t>
      </w:r>
      <w:proofErr w:type="spellEnd"/>
      <w:r w:rsidRPr="001167CB">
        <w:rPr>
          <w:rFonts w:asciiTheme="majorHAnsi" w:hAnsiTheme="majorHAnsi" w:cstheme="majorHAnsi"/>
          <w:color w:val="808080" w:themeColor="background1" w:themeShade="80"/>
          <w:sz w:val="16"/>
          <w:szCs w:val="16"/>
        </w:rPr>
        <w:t xml:space="preserve">, </w:t>
      </w:r>
      <w:hyperlink r:id="rId98" w:anchor="intro" w:history="1">
        <w:r w:rsidRPr="001167CB">
          <w:rPr>
            <w:rStyle w:val="Hyperlink"/>
            <w:rFonts w:asciiTheme="majorHAnsi" w:hAnsiTheme="majorHAnsi" w:cstheme="majorHAnsi"/>
            <w:color w:val="808080" w:themeColor="background1" w:themeShade="80"/>
            <w:sz w:val="16"/>
            <w:szCs w:val="16"/>
          </w:rPr>
          <w:t xml:space="preserve">Segregation Now: The </w:t>
        </w:r>
        <w:proofErr w:type="spellStart"/>
        <w:r w:rsidRPr="001167CB">
          <w:rPr>
            <w:rStyle w:val="Hyperlink"/>
            <w:rFonts w:asciiTheme="majorHAnsi" w:hAnsiTheme="majorHAnsi" w:cstheme="majorHAnsi"/>
            <w:color w:val="808080" w:themeColor="background1" w:themeShade="80"/>
            <w:sz w:val="16"/>
            <w:szCs w:val="16"/>
          </w:rPr>
          <w:t>Resegregation</w:t>
        </w:r>
        <w:proofErr w:type="spellEnd"/>
        <w:r w:rsidRPr="001167CB">
          <w:rPr>
            <w:rStyle w:val="Hyperlink"/>
            <w:rFonts w:asciiTheme="majorHAnsi" w:hAnsiTheme="majorHAnsi" w:cstheme="majorHAnsi"/>
            <w:color w:val="808080" w:themeColor="background1" w:themeShade="80"/>
            <w:sz w:val="16"/>
            <w:szCs w:val="16"/>
          </w:rPr>
          <w:t xml:space="preserve"> of America’s Schools</w:t>
        </w:r>
      </w:hyperlink>
      <w:r w:rsidRPr="001167CB">
        <w:rPr>
          <w:rFonts w:asciiTheme="majorHAnsi" w:hAnsiTheme="majorHAnsi" w:cstheme="majorHAnsi"/>
          <w:color w:val="808080" w:themeColor="background1" w:themeShade="80"/>
          <w:sz w:val="16"/>
          <w:szCs w:val="16"/>
        </w:rPr>
        <w:t xml:space="preserve">, Apr. 16, 2014; Washington Post, </w:t>
      </w:r>
      <w:hyperlink r:id="rId99" w:history="1">
        <w:r w:rsidRPr="001167CB">
          <w:rPr>
            <w:rStyle w:val="Hyperlink"/>
            <w:rFonts w:asciiTheme="majorHAnsi" w:hAnsiTheme="majorHAnsi" w:cstheme="majorHAnsi"/>
            <w:color w:val="808080" w:themeColor="background1" w:themeShade="80"/>
            <w:sz w:val="16"/>
            <w:szCs w:val="16"/>
          </w:rPr>
          <w:t>The most segregated schools may not be in the states you’d expect</w:t>
        </w:r>
      </w:hyperlink>
      <w:r w:rsidRPr="001167CB">
        <w:rPr>
          <w:rFonts w:asciiTheme="majorHAnsi" w:hAnsiTheme="majorHAnsi" w:cstheme="majorHAnsi"/>
          <w:color w:val="808080" w:themeColor="background1" w:themeShade="80"/>
          <w:sz w:val="16"/>
          <w:szCs w:val="16"/>
        </w:rPr>
        <w:t>, May 15, 2014.</w:t>
      </w:r>
    </w:p>
  </w:footnote>
  <w:footnote w:id="51">
    <w:p w14:paraId="1EC39F7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proofErr w:type="spellStart"/>
      <w:r w:rsidRPr="001167CB">
        <w:rPr>
          <w:rFonts w:asciiTheme="majorHAnsi" w:hAnsiTheme="majorHAnsi" w:cstheme="majorHAnsi"/>
          <w:color w:val="808080" w:themeColor="background1" w:themeShade="80"/>
          <w:sz w:val="16"/>
          <w:szCs w:val="16"/>
        </w:rPr>
        <w:t>Kimberlé</w:t>
      </w:r>
      <w:proofErr w:type="spellEnd"/>
      <w:r w:rsidRPr="001167CB">
        <w:rPr>
          <w:rFonts w:asciiTheme="majorHAnsi" w:hAnsiTheme="majorHAnsi" w:cstheme="majorHAnsi"/>
          <w:color w:val="808080" w:themeColor="background1" w:themeShade="80"/>
          <w:sz w:val="16"/>
          <w:szCs w:val="16"/>
        </w:rPr>
        <w:t xml:space="preserve"> Crenshaw, </w:t>
      </w:r>
      <w:hyperlink r:id="rId100" w:history="1">
        <w:proofErr w:type="spellStart"/>
        <w:r w:rsidRPr="001167CB">
          <w:rPr>
            <w:rStyle w:val="Hyperlink"/>
            <w:rFonts w:asciiTheme="majorHAnsi" w:hAnsiTheme="majorHAnsi" w:cstheme="majorHAnsi"/>
            <w:color w:val="808080" w:themeColor="background1" w:themeShade="80"/>
            <w:sz w:val="16"/>
            <w:szCs w:val="16"/>
          </w:rPr>
          <w:t>Demarginalizing</w:t>
        </w:r>
        <w:proofErr w:type="spellEnd"/>
        <w:r w:rsidRPr="001167CB">
          <w:rPr>
            <w:rStyle w:val="Hyperlink"/>
            <w:rFonts w:asciiTheme="majorHAnsi" w:hAnsiTheme="majorHAnsi" w:cstheme="majorHAnsi"/>
            <w:color w:val="808080" w:themeColor="background1" w:themeShade="80"/>
            <w:sz w:val="16"/>
            <w:szCs w:val="16"/>
          </w:rPr>
          <w:t xml:space="preserve"> the Intersection of Race and Sex: A Black Feminist Critique of Antidiscrimination Doctrine, Feminist Theory and Antiracist Politics</w:t>
        </w:r>
      </w:hyperlink>
      <w:r w:rsidRPr="001167CB">
        <w:rPr>
          <w:rFonts w:asciiTheme="majorHAnsi" w:hAnsiTheme="majorHAnsi" w:cstheme="majorHAnsi"/>
          <w:i/>
          <w:color w:val="808080" w:themeColor="background1" w:themeShade="80"/>
          <w:sz w:val="16"/>
          <w:szCs w:val="16"/>
        </w:rPr>
        <w:t>, U. Chicago Legal Forum</w:t>
      </w:r>
      <w:r w:rsidRPr="001167CB">
        <w:rPr>
          <w:rFonts w:asciiTheme="majorHAnsi" w:hAnsiTheme="majorHAnsi" w:cstheme="majorHAnsi"/>
          <w:color w:val="808080" w:themeColor="background1" w:themeShade="80"/>
          <w:sz w:val="16"/>
          <w:szCs w:val="16"/>
        </w:rPr>
        <w:t xml:space="preserve"> (1989); </w:t>
      </w:r>
      <w:r w:rsidRPr="001167CB">
        <w:rPr>
          <w:rFonts w:asciiTheme="majorHAnsi" w:hAnsiTheme="majorHAnsi" w:cstheme="majorHAnsi"/>
          <w:i/>
          <w:color w:val="808080" w:themeColor="background1" w:themeShade="80"/>
          <w:sz w:val="16"/>
          <w:szCs w:val="16"/>
        </w:rPr>
        <w:t>see also, e.g.,</w:t>
      </w:r>
      <w:r w:rsidRPr="001167CB">
        <w:rPr>
          <w:rFonts w:asciiTheme="majorHAnsi" w:hAnsiTheme="majorHAnsi" w:cstheme="majorHAnsi"/>
          <w:color w:val="808080" w:themeColor="background1" w:themeShade="80"/>
          <w:sz w:val="16"/>
          <w:szCs w:val="16"/>
        </w:rPr>
        <w:t xml:space="preserve"> Columbia Law School, </w:t>
      </w:r>
      <w:hyperlink r:id="rId101" w:history="1">
        <w:proofErr w:type="spellStart"/>
        <w:r w:rsidRPr="001167CB">
          <w:rPr>
            <w:rStyle w:val="Hyperlink"/>
            <w:rFonts w:asciiTheme="majorHAnsi" w:hAnsiTheme="majorHAnsi" w:cstheme="majorHAnsi"/>
            <w:color w:val="808080" w:themeColor="background1" w:themeShade="80"/>
            <w:sz w:val="16"/>
            <w:szCs w:val="16"/>
          </w:rPr>
          <w:t>Kimberlé</w:t>
        </w:r>
        <w:proofErr w:type="spellEnd"/>
        <w:r w:rsidRPr="001167CB">
          <w:rPr>
            <w:rStyle w:val="Hyperlink"/>
            <w:rFonts w:asciiTheme="majorHAnsi" w:hAnsiTheme="majorHAnsi" w:cstheme="majorHAnsi"/>
            <w:color w:val="808080" w:themeColor="background1" w:themeShade="80"/>
            <w:sz w:val="16"/>
            <w:szCs w:val="16"/>
          </w:rPr>
          <w:t xml:space="preserve"> Crenshaw on Intersectionality, More than Two Decades Later</w:t>
        </w:r>
      </w:hyperlink>
      <w:r w:rsidRPr="001167CB">
        <w:rPr>
          <w:rFonts w:asciiTheme="majorHAnsi" w:hAnsiTheme="majorHAnsi" w:cstheme="majorHAnsi"/>
          <w:color w:val="808080" w:themeColor="background1" w:themeShade="80"/>
          <w:sz w:val="16"/>
          <w:szCs w:val="16"/>
        </w:rPr>
        <w:t>, June 8, 2017.</w:t>
      </w:r>
    </w:p>
  </w:footnote>
  <w:footnote w:id="52">
    <w:p w14:paraId="51C84D5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102"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 paras. 59-61.</w:t>
      </w:r>
    </w:p>
  </w:footnote>
  <w:footnote w:id="53">
    <w:p w14:paraId="0C4B477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IACHR, </w:t>
      </w:r>
      <w:hyperlink r:id="rId103" w:history="1">
        <w:r w:rsidRPr="001167CB">
          <w:rPr>
            <w:rStyle w:val="Hyperlink"/>
            <w:rFonts w:asciiTheme="majorHAnsi" w:hAnsiTheme="majorHAnsi" w:cstheme="majorHAnsi"/>
            <w:color w:val="808080" w:themeColor="background1" w:themeShade="80"/>
            <w:sz w:val="16"/>
            <w:szCs w:val="16"/>
          </w:rPr>
          <w:t>Indigenous Women</w:t>
        </w:r>
      </w:hyperlink>
      <w:r w:rsidRPr="001167CB">
        <w:rPr>
          <w:rFonts w:asciiTheme="majorHAnsi" w:hAnsiTheme="majorHAnsi" w:cstheme="majorHAnsi"/>
          <w:color w:val="808080" w:themeColor="background1" w:themeShade="80"/>
          <w:sz w:val="16"/>
          <w:szCs w:val="16"/>
        </w:rPr>
        <w:t>,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 xml:space="preserve">/V/II., Doc. 44/17, (2017), para. 38 (citing </w:t>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104"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 xml:space="preserve">, para. 60. </w:t>
      </w:r>
      <w:r w:rsidRPr="001167CB">
        <w:rPr>
          <w:rFonts w:asciiTheme="majorHAnsi" w:eastAsia="Times New Roman" w:hAnsiTheme="majorHAnsi" w:cstheme="majorHAnsi"/>
          <w:i/>
          <w:color w:val="808080" w:themeColor="background1" w:themeShade="80"/>
          <w:sz w:val="16"/>
          <w:szCs w:val="16"/>
          <w:lang w:eastAsia="es-ES"/>
        </w:rPr>
        <w:t>See also</w:t>
      </w:r>
      <w:r w:rsidRPr="001167CB">
        <w:rPr>
          <w:rFonts w:asciiTheme="majorHAnsi" w:eastAsia="Times New Roman" w:hAnsiTheme="majorHAnsi" w:cstheme="majorHAnsi"/>
          <w:color w:val="808080" w:themeColor="background1" w:themeShade="80"/>
          <w:sz w:val="16"/>
          <w:szCs w:val="16"/>
          <w:lang w:eastAsia="es-ES"/>
        </w:rPr>
        <w:t xml:space="preserve"> U.N., Comm. Elimination of Discrimination against Women (CEDAW), </w:t>
      </w:r>
      <w:proofErr w:type="gramStart"/>
      <w:r w:rsidRPr="001167CB">
        <w:rPr>
          <w:rFonts w:asciiTheme="majorHAnsi" w:eastAsia="Times New Roman" w:hAnsiTheme="majorHAnsi" w:cstheme="majorHAnsi"/>
          <w:i/>
          <w:color w:val="808080" w:themeColor="background1" w:themeShade="80"/>
          <w:sz w:val="16"/>
          <w:szCs w:val="16"/>
          <w:lang w:eastAsia="es-ES"/>
        </w:rPr>
        <w:t>General</w:t>
      </w:r>
      <w:proofErr w:type="gramEnd"/>
      <w:r w:rsidRPr="001167CB">
        <w:rPr>
          <w:rFonts w:asciiTheme="majorHAnsi" w:eastAsia="Times New Roman" w:hAnsiTheme="majorHAnsi" w:cstheme="majorHAnsi"/>
          <w:i/>
          <w:color w:val="808080" w:themeColor="background1" w:themeShade="80"/>
          <w:sz w:val="16"/>
          <w:szCs w:val="16"/>
          <w:lang w:eastAsia="es-ES"/>
        </w:rPr>
        <w:t xml:space="preserve"> Recommendation 28 on the Obligations of States Parties under Section 2 of the CEDAW</w:t>
      </w:r>
      <w:r w:rsidRPr="001167CB">
        <w:rPr>
          <w:rFonts w:asciiTheme="majorHAnsi" w:eastAsia="Times New Roman" w:hAnsiTheme="majorHAnsi" w:cstheme="majorHAnsi"/>
          <w:color w:val="808080" w:themeColor="background1" w:themeShade="80"/>
          <w:sz w:val="16"/>
          <w:szCs w:val="16"/>
          <w:lang w:eastAsia="es-ES"/>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eastAsia="Times New Roman" w:hAnsiTheme="majorHAnsi" w:cstheme="majorHAnsi"/>
          <w:color w:val="808080" w:themeColor="background1" w:themeShade="80"/>
          <w:sz w:val="16"/>
          <w:szCs w:val="16"/>
          <w:lang w:eastAsia="es-ES"/>
        </w:rPr>
        <w:t>19, 2010, para. 18).</w:t>
      </w:r>
    </w:p>
  </w:footnote>
  <w:footnote w:id="54">
    <w:p w14:paraId="3F02543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105" w:history="1">
        <w:r w:rsidRPr="001167CB">
          <w:rPr>
            <w:rStyle w:val="Hyperlink"/>
            <w:rFonts w:asciiTheme="majorHAnsi" w:hAnsiTheme="majorHAnsi" w:cstheme="majorHAnsi"/>
            <w:color w:val="808080" w:themeColor="background1" w:themeShade="80"/>
            <w:sz w:val="16"/>
            <w:szCs w:val="16"/>
          </w:rPr>
          <w:t>Human Rights in the Dominican Republic</w:t>
        </w:r>
      </w:hyperlink>
      <w:r w:rsidRPr="001167CB">
        <w:rPr>
          <w:rFonts w:asciiTheme="majorHAnsi" w:hAnsiTheme="majorHAnsi" w:cstheme="majorHAnsi"/>
          <w:color w:val="808080" w:themeColor="background1" w:themeShade="80"/>
          <w:sz w:val="16"/>
          <w:szCs w:val="16"/>
        </w:rPr>
        <w:t xml:space="preserve"> (2015), para. 92.</w:t>
      </w:r>
    </w:p>
  </w:footnote>
  <w:footnote w:id="55">
    <w:p w14:paraId="57647DB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93.</w:t>
      </w:r>
    </w:p>
  </w:footnote>
  <w:footnote w:id="56">
    <w:p w14:paraId="4538C6B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Slate, </w:t>
      </w:r>
      <w:hyperlink r:id="rId106" w:history="1">
        <w:r w:rsidRPr="001167CB">
          <w:rPr>
            <w:rStyle w:val="Hyperlink"/>
            <w:rFonts w:asciiTheme="majorHAnsi" w:hAnsiTheme="majorHAnsi" w:cstheme="majorHAnsi"/>
            <w:color w:val="808080" w:themeColor="background1" w:themeShade="80"/>
            <w:sz w:val="16"/>
            <w:szCs w:val="16"/>
          </w:rPr>
          <w:t>The Birth of Race-Based Slavery</w:t>
        </w:r>
      </w:hyperlink>
      <w:r w:rsidRPr="001167CB">
        <w:rPr>
          <w:rFonts w:asciiTheme="majorHAnsi" w:hAnsiTheme="majorHAnsi" w:cstheme="majorHAnsi"/>
          <w:color w:val="808080" w:themeColor="background1" w:themeShade="80"/>
          <w:sz w:val="16"/>
          <w:szCs w:val="16"/>
        </w:rPr>
        <w:t xml:space="preserve">, May 19, 2015 (reprinted from Peter H. Wood, </w:t>
      </w:r>
      <w:r w:rsidRPr="001167CB">
        <w:rPr>
          <w:rFonts w:asciiTheme="majorHAnsi" w:hAnsiTheme="majorHAnsi" w:cstheme="majorHAnsi"/>
          <w:i/>
          <w:color w:val="808080" w:themeColor="background1" w:themeShade="80"/>
          <w:sz w:val="16"/>
          <w:szCs w:val="16"/>
        </w:rPr>
        <w:t>Strange New Land: Africans in Colonial America</w:t>
      </w:r>
      <w:r w:rsidRPr="001167CB">
        <w:rPr>
          <w:rFonts w:asciiTheme="majorHAnsi" w:hAnsiTheme="majorHAnsi" w:cstheme="majorHAnsi"/>
          <w:color w:val="808080" w:themeColor="background1" w:themeShade="80"/>
          <w:sz w:val="16"/>
          <w:szCs w:val="16"/>
        </w:rPr>
        <w:t xml:space="preserve">, New York: Oxford University Press, 2003). </w:t>
      </w:r>
    </w:p>
  </w:footnote>
  <w:footnote w:id="57">
    <w:p w14:paraId="2E2CAC3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id</w:t>
      </w:r>
      <w:r w:rsidRPr="001167CB">
        <w:rPr>
          <w:rFonts w:asciiTheme="majorHAnsi" w:hAnsiTheme="majorHAnsi" w:cstheme="majorHAnsi"/>
          <w:color w:val="808080" w:themeColor="background1" w:themeShade="80"/>
          <w:sz w:val="16"/>
          <w:szCs w:val="16"/>
        </w:rPr>
        <w:t>.</w:t>
      </w:r>
    </w:p>
  </w:footnote>
  <w:footnote w:id="58">
    <w:p w14:paraId="02D7308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Victor E. </w:t>
      </w:r>
      <w:proofErr w:type="spellStart"/>
      <w:r w:rsidRPr="001167CB">
        <w:rPr>
          <w:rFonts w:asciiTheme="majorHAnsi" w:hAnsiTheme="majorHAnsi" w:cstheme="majorHAnsi"/>
          <w:color w:val="808080" w:themeColor="background1" w:themeShade="80"/>
          <w:sz w:val="16"/>
          <w:szCs w:val="16"/>
        </w:rPr>
        <w:t>Kappeler</w:t>
      </w:r>
      <w:proofErr w:type="spellEnd"/>
      <w:r w:rsidRPr="001167CB">
        <w:rPr>
          <w:rFonts w:asciiTheme="majorHAnsi" w:hAnsiTheme="majorHAnsi" w:cstheme="majorHAnsi"/>
          <w:color w:val="808080" w:themeColor="background1" w:themeShade="80"/>
          <w:sz w:val="16"/>
          <w:szCs w:val="16"/>
        </w:rPr>
        <w:t xml:space="preserve"> (Eastern Kentucky University), </w:t>
      </w:r>
      <w:hyperlink r:id="rId107" w:history="1">
        <w:r w:rsidRPr="001167CB">
          <w:rPr>
            <w:rStyle w:val="Hyperlink"/>
            <w:rFonts w:asciiTheme="majorHAnsi" w:hAnsiTheme="majorHAnsi" w:cstheme="majorHAnsi"/>
            <w:color w:val="808080" w:themeColor="background1" w:themeShade="80"/>
            <w:sz w:val="16"/>
            <w:szCs w:val="16"/>
          </w:rPr>
          <w:t>A Brief History of Slavery and the Origins of American Policing</w:t>
        </w:r>
      </w:hyperlink>
      <w:r w:rsidRPr="001167CB">
        <w:rPr>
          <w:rFonts w:asciiTheme="majorHAnsi" w:hAnsiTheme="majorHAnsi" w:cstheme="majorHAnsi"/>
          <w:color w:val="808080" w:themeColor="background1" w:themeShade="80"/>
          <w:sz w:val="16"/>
          <w:szCs w:val="16"/>
        </w:rPr>
        <w:t xml:space="preserve">, 2014.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Katheryn Russell-Brown, “Making Implicit Bias Explicit,” in Angela J. Davis (ed.), </w:t>
      </w:r>
      <w:r w:rsidRPr="001167CB">
        <w:rPr>
          <w:rFonts w:asciiTheme="majorHAnsi" w:hAnsiTheme="majorHAnsi" w:cstheme="majorHAnsi"/>
          <w:i/>
          <w:color w:val="808080" w:themeColor="background1" w:themeShade="80"/>
          <w:sz w:val="16"/>
          <w:szCs w:val="16"/>
        </w:rPr>
        <w:t xml:space="preserve">Policing the Black Man </w:t>
      </w:r>
      <w:r w:rsidRPr="001167CB">
        <w:rPr>
          <w:rFonts w:asciiTheme="majorHAnsi" w:hAnsiTheme="majorHAnsi" w:cstheme="majorHAnsi"/>
          <w:color w:val="808080" w:themeColor="background1" w:themeShade="80"/>
          <w:sz w:val="16"/>
          <w:szCs w:val="16"/>
        </w:rPr>
        <w:t>(New York: Pantheon, 2017) [hereinafter “</w:t>
      </w:r>
      <w:r w:rsidRPr="001167CB">
        <w:rPr>
          <w:rFonts w:asciiTheme="majorHAnsi" w:hAnsiTheme="majorHAnsi" w:cstheme="majorHAnsi"/>
          <w:i/>
          <w:color w:val="808080" w:themeColor="background1" w:themeShade="80"/>
          <w:sz w:val="16"/>
          <w:szCs w:val="16"/>
        </w:rPr>
        <w:t>Policing the Black Man</w:t>
      </w:r>
      <w:r w:rsidRPr="001167CB">
        <w:rPr>
          <w:rFonts w:asciiTheme="majorHAnsi" w:hAnsiTheme="majorHAnsi" w:cstheme="majorHAnsi"/>
          <w:color w:val="808080" w:themeColor="background1" w:themeShade="80"/>
          <w:sz w:val="16"/>
          <w:szCs w:val="16"/>
        </w:rPr>
        <w:t xml:space="preserve">”]; Southern Poverty Law Center, </w:t>
      </w:r>
      <w:hyperlink r:id="rId108" w:history="1">
        <w:r w:rsidRPr="001167CB">
          <w:rPr>
            <w:rStyle w:val="Hyperlink"/>
            <w:rFonts w:asciiTheme="majorHAnsi" w:hAnsiTheme="majorHAnsi" w:cstheme="majorHAnsi"/>
            <w:color w:val="808080" w:themeColor="background1" w:themeShade="80"/>
            <w:sz w:val="16"/>
            <w:szCs w:val="16"/>
          </w:rPr>
          <w:t>Ku Klux Klan: A History of Racism and Violence</w:t>
        </w:r>
      </w:hyperlink>
      <w:r w:rsidRPr="001167CB">
        <w:rPr>
          <w:rFonts w:asciiTheme="majorHAnsi" w:hAnsiTheme="majorHAnsi" w:cstheme="majorHAnsi"/>
          <w:color w:val="808080" w:themeColor="background1" w:themeShade="80"/>
          <w:sz w:val="16"/>
          <w:szCs w:val="16"/>
        </w:rPr>
        <w:t>, 2011 (“The mounted patrols, or regulators […] prowled Southern roads, enforcing the curfew for slaves, looking for runaways, and guarding rural areas against the threat of black uprisings. They were authorized by law to give a specific number of lashes to any violators they caught.”)</w:t>
      </w:r>
    </w:p>
  </w:footnote>
  <w:footnote w:id="59">
    <w:p w14:paraId="146DFC5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Katheryn Russell-Brown, “Making Implicit Bias Explicit,” in </w:t>
      </w:r>
      <w:r w:rsidRPr="001167CB">
        <w:rPr>
          <w:rFonts w:asciiTheme="majorHAnsi" w:hAnsiTheme="majorHAnsi" w:cstheme="majorHAnsi"/>
          <w:i/>
          <w:color w:val="808080" w:themeColor="background1" w:themeShade="80"/>
          <w:sz w:val="16"/>
          <w:szCs w:val="16"/>
        </w:rPr>
        <w:t xml:space="preserve">Policing the Black Man </w:t>
      </w:r>
      <w:r w:rsidRPr="001167CB">
        <w:rPr>
          <w:rFonts w:asciiTheme="majorHAnsi" w:hAnsiTheme="majorHAnsi" w:cstheme="majorHAnsi"/>
          <w:color w:val="808080" w:themeColor="background1" w:themeShade="80"/>
          <w:sz w:val="16"/>
          <w:szCs w:val="16"/>
        </w:rPr>
        <w:t>(2017), p. 140.</w:t>
      </w:r>
    </w:p>
  </w:footnote>
  <w:footnote w:id="60">
    <w:p w14:paraId="5A7595A1" w14:textId="77777777" w:rsidR="005C2394" w:rsidRPr="001167CB" w:rsidRDefault="005C2394" w:rsidP="002C64F8">
      <w:pPr>
        <w:spacing w:after="40" w:line="240" w:lineRule="auto"/>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New York Times, </w:t>
      </w:r>
      <w:hyperlink r:id="rId109" w:history="1">
        <w:r w:rsidRPr="001167CB">
          <w:rPr>
            <w:rStyle w:val="Hyperlink"/>
            <w:rFonts w:asciiTheme="majorHAnsi" w:hAnsiTheme="majorHAnsi" w:cstheme="majorHAnsi"/>
            <w:color w:val="808080" w:themeColor="background1" w:themeShade="80"/>
            <w:sz w:val="16"/>
            <w:szCs w:val="16"/>
          </w:rPr>
          <w:t>How the Slave Trade Built America</w:t>
        </w:r>
      </w:hyperlink>
      <w:r w:rsidRPr="001167CB">
        <w:rPr>
          <w:rFonts w:asciiTheme="majorHAnsi" w:hAnsiTheme="majorHAnsi" w:cstheme="majorHAnsi"/>
          <w:color w:val="808080" w:themeColor="background1" w:themeShade="80"/>
          <w:sz w:val="16"/>
          <w:szCs w:val="16"/>
        </w:rPr>
        <w:t>, Apr. 3, 2015 (“</w:t>
      </w:r>
      <w:r w:rsidRPr="001167CB">
        <w:rPr>
          <w:rFonts w:asciiTheme="majorHAnsi" w:eastAsia="Cambria" w:hAnsiTheme="majorHAnsi" w:cstheme="majorHAnsi"/>
          <w:color w:val="808080" w:themeColor="background1" w:themeShade="80"/>
          <w:sz w:val="16"/>
          <w:szCs w:val="16"/>
        </w:rPr>
        <w:t xml:space="preserve">Slave owners in the Upper South profited because they received cash for the people they sold. Slave owners in the Lower South profited because the people they purchased were forced to labor in the immensely productive cotton and sugar fields. The merchants who supplied clothing and food to the slave traders profited, as did steamboat, railroad and </w:t>
      </w:r>
      <w:proofErr w:type="spellStart"/>
      <w:r w:rsidRPr="001167CB">
        <w:rPr>
          <w:rFonts w:asciiTheme="majorHAnsi" w:eastAsia="Cambria" w:hAnsiTheme="majorHAnsi" w:cstheme="majorHAnsi"/>
          <w:color w:val="808080" w:themeColor="background1" w:themeShade="80"/>
          <w:sz w:val="16"/>
          <w:szCs w:val="16"/>
        </w:rPr>
        <w:t>shipowners</w:t>
      </w:r>
      <w:proofErr w:type="spellEnd"/>
      <w:r w:rsidRPr="001167CB">
        <w:rPr>
          <w:rFonts w:asciiTheme="majorHAnsi" w:eastAsia="Cambria" w:hAnsiTheme="majorHAnsi" w:cstheme="majorHAnsi"/>
          <w:color w:val="808080" w:themeColor="background1" w:themeShade="80"/>
          <w:sz w:val="16"/>
          <w:szCs w:val="16"/>
        </w:rPr>
        <w:t xml:space="preserve"> who carried enslaved people. Capitalists in the North profited by investing in banks that handled the exchange of money for people, or in insurance companies that provided insurance for the owners’ investments in enslaved people. So did foreign investors in Southern securities, some of which were issued on mortgaged slaves. The hotbed of American abolitionism — New England — was also the home of America’s cotton textile industry, which grew rich on the backs of the enslaved people forced to pick cotton.</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Boston Globe, </w:t>
      </w:r>
      <w:hyperlink r:id="rId110" w:history="1">
        <w:r w:rsidRPr="001167CB">
          <w:rPr>
            <w:rStyle w:val="Hyperlink"/>
            <w:rFonts w:asciiTheme="majorHAnsi" w:hAnsiTheme="majorHAnsi" w:cstheme="majorHAnsi"/>
            <w:color w:val="808080" w:themeColor="background1" w:themeShade="80"/>
            <w:sz w:val="16"/>
            <w:szCs w:val="16"/>
          </w:rPr>
          <w:t>Slave trade helped build early New England economy</w:t>
        </w:r>
      </w:hyperlink>
      <w:r w:rsidRPr="001167CB">
        <w:rPr>
          <w:rFonts w:asciiTheme="majorHAnsi" w:hAnsiTheme="majorHAnsi" w:cstheme="majorHAnsi"/>
          <w:color w:val="808080" w:themeColor="background1" w:themeShade="80"/>
          <w:sz w:val="16"/>
          <w:szCs w:val="16"/>
        </w:rPr>
        <w:t>, June 23, 2016.</w:t>
      </w:r>
    </w:p>
  </w:footnote>
  <w:footnote w:id="61">
    <w:p w14:paraId="6BFA290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This clause (Art. I, Sec. 2, para. 3) provided that enslaved (Afro-descendant) persons would be counted for census purposes as “three-fifths” of a (free, white) person, an intentional agreement to increase the political representation of the Southern states vis a vis the North in the House of Representatives, where representation is determined by state population. As a result, slaves were counted to determine the number of state House delegates, but could not vote, thus increasing the relative political power of Southern whites.</w:t>
      </w:r>
    </w:p>
  </w:footnote>
  <w:footnote w:id="62">
    <w:p w14:paraId="77053F8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At issue was whether, as additional territories in the west were settled and admitted to the union as states, the relative number of slave states versus </w:t>
      </w:r>
      <w:proofErr w:type="gramStart"/>
      <w:r w:rsidRPr="001167CB">
        <w:rPr>
          <w:rFonts w:asciiTheme="majorHAnsi" w:hAnsiTheme="majorHAnsi" w:cstheme="majorHAnsi"/>
          <w:color w:val="808080" w:themeColor="background1" w:themeShade="80"/>
          <w:sz w:val="16"/>
          <w:szCs w:val="16"/>
        </w:rPr>
        <w:t>free</w:t>
      </w:r>
      <w:proofErr w:type="gramEnd"/>
      <w:r w:rsidRPr="001167CB">
        <w:rPr>
          <w:rFonts w:asciiTheme="majorHAnsi" w:hAnsiTheme="majorHAnsi" w:cstheme="majorHAnsi"/>
          <w:color w:val="808080" w:themeColor="background1" w:themeShade="80"/>
          <w:sz w:val="16"/>
          <w:szCs w:val="16"/>
        </w:rPr>
        <w:t xml:space="preserve"> states would shift. Any shift would affect the balance of power in the Senate, where each state has two representatives regardless of population, and thus the ability to end slavery or continue it in perpetuity. These debates played out multiple times in the early 1800s, including in the passage of the Northwest Ordinance (1807), the Missouri Compromise of 1820 (which prohibited slavery north of the 36°30’ parallel), the Kansas-Nebraska Act (1854), and the Compromise of 1850, among others.</w:t>
      </w:r>
    </w:p>
  </w:footnote>
  <w:footnote w:id="63">
    <w:p w14:paraId="1F62B7E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Fugitive Slave Act of 1850 was an essential element of the Compromise of 1850 (see previous footnote), and replaced the Fugitive Slave Act of 1793. The new Act made it easier to arrest Blacks accused of being escaped slaves, and created financial incentives for federal officials to the arrest and return of alleged “fugitive slaves” (and imposed fines and penalties on those who refused to cooperate), implicating Northern states in the physical and legal enforcement of slavery in the Southern states. </w:t>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e.g.</w:t>
      </w:r>
      <w:r w:rsidRPr="001167CB">
        <w:rPr>
          <w:rFonts w:asciiTheme="majorHAnsi" w:hAnsiTheme="majorHAnsi" w:cstheme="majorHAnsi"/>
          <w:color w:val="808080" w:themeColor="background1" w:themeShade="80"/>
          <w:sz w:val="16"/>
          <w:szCs w:val="16"/>
        </w:rPr>
        <w:t xml:space="preserve">, The Atlantic, </w:t>
      </w:r>
      <w:hyperlink r:id="rId111" w:history="1">
        <w:r w:rsidRPr="001167CB">
          <w:rPr>
            <w:rStyle w:val="Hyperlink"/>
            <w:rFonts w:asciiTheme="majorHAnsi" w:hAnsiTheme="majorHAnsi" w:cstheme="majorHAnsi"/>
            <w:color w:val="808080" w:themeColor="background1" w:themeShade="80"/>
            <w:sz w:val="16"/>
            <w:szCs w:val="16"/>
          </w:rPr>
          <w:t>The Old Jim Crow</w:t>
        </w:r>
      </w:hyperlink>
      <w:r w:rsidRPr="001167CB">
        <w:rPr>
          <w:rFonts w:asciiTheme="majorHAnsi" w:hAnsiTheme="majorHAnsi" w:cstheme="majorHAnsi"/>
          <w:color w:val="808080" w:themeColor="background1" w:themeShade="80"/>
          <w:sz w:val="16"/>
          <w:szCs w:val="16"/>
        </w:rPr>
        <w:t xml:space="preserve">, Oct. 15, 2014. This Act became a flashpoint in the growing anti-slavery unrest in the years leading up to the Civil War. </w:t>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also</w:t>
      </w:r>
      <w:r w:rsidRPr="001167CB">
        <w:rPr>
          <w:rFonts w:asciiTheme="majorHAnsi" w:hAnsiTheme="majorHAnsi" w:cstheme="majorHAnsi"/>
          <w:color w:val="808080" w:themeColor="background1" w:themeShade="80"/>
          <w:sz w:val="16"/>
          <w:szCs w:val="16"/>
        </w:rPr>
        <w:t xml:space="preserve"> Stanley Campbell, </w:t>
      </w:r>
      <w:r w:rsidRPr="001167CB">
        <w:rPr>
          <w:rFonts w:asciiTheme="majorHAnsi" w:hAnsiTheme="majorHAnsi" w:cstheme="majorHAnsi"/>
          <w:i/>
          <w:color w:val="808080" w:themeColor="background1" w:themeShade="80"/>
          <w:sz w:val="16"/>
          <w:szCs w:val="16"/>
        </w:rPr>
        <w:t>The Slave Catchers: Enforcement of the Fugitive Slave Law, 1850–1860</w:t>
      </w:r>
      <w:r w:rsidRPr="001167CB">
        <w:rPr>
          <w:rFonts w:asciiTheme="majorHAnsi" w:hAnsiTheme="majorHAnsi" w:cstheme="majorHAnsi"/>
          <w:color w:val="808080" w:themeColor="background1" w:themeShade="80"/>
          <w:sz w:val="16"/>
          <w:szCs w:val="16"/>
        </w:rPr>
        <w:t xml:space="preserve"> (Chapel Hill: University of North Carolina Press, 1970).</w:t>
      </w:r>
    </w:p>
  </w:footnote>
  <w:footnote w:id="64">
    <w:p w14:paraId="2935994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Dred Scott v. </w:t>
      </w:r>
      <w:proofErr w:type="spellStart"/>
      <w:r w:rsidRPr="001167CB">
        <w:rPr>
          <w:rFonts w:asciiTheme="majorHAnsi" w:hAnsiTheme="majorHAnsi" w:cstheme="majorHAnsi"/>
          <w:color w:val="808080" w:themeColor="background1" w:themeShade="80"/>
          <w:sz w:val="16"/>
          <w:szCs w:val="16"/>
        </w:rPr>
        <w:t>Sandford</w:t>
      </w:r>
      <w:proofErr w:type="spellEnd"/>
      <w:r w:rsidRPr="001167CB">
        <w:rPr>
          <w:rFonts w:asciiTheme="majorHAnsi" w:hAnsiTheme="majorHAnsi" w:cstheme="majorHAnsi"/>
          <w:color w:val="808080" w:themeColor="background1" w:themeShade="80"/>
          <w:sz w:val="16"/>
          <w:szCs w:val="16"/>
        </w:rPr>
        <w:t>, 60 U.S. 393, 404, 407 (1857).</w:t>
      </w:r>
    </w:p>
  </w:footnote>
  <w:footnote w:id="65">
    <w:p w14:paraId="0846A89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“Prior to the Civil War, many jurisdictions made slaves into “criminals” by […] enact[</w:t>
      </w:r>
      <w:proofErr w:type="spellStart"/>
      <w:r w:rsidRPr="001167CB">
        <w:rPr>
          <w:rFonts w:asciiTheme="majorHAnsi" w:hAnsiTheme="majorHAnsi" w:cstheme="majorHAnsi"/>
          <w:color w:val="808080" w:themeColor="background1" w:themeShade="80"/>
          <w:sz w:val="16"/>
          <w:szCs w:val="16"/>
        </w:rPr>
        <w:t>ing</w:t>
      </w:r>
      <w:proofErr w:type="spellEnd"/>
      <w:r w:rsidRPr="001167CB">
        <w:rPr>
          <w:rFonts w:asciiTheme="majorHAnsi" w:hAnsiTheme="majorHAnsi" w:cstheme="majorHAnsi"/>
          <w:color w:val="808080" w:themeColor="background1" w:themeShade="80"/>
          <w:sz w:val="16"/>
          <w:szCs w:val="16"/>
        </w:rPr>
        <w:t xml:space="preserve">] criminal statutes barring slaves from learning to read, leaving their masters’ property without a proper pass, engaging in “unbecoming” conduct in the presence of a white female, assembling to worship outside the supervisory presence of a white person, neglecting to step out of the way when a white person approached on a walkway, smoking in public, walking with a cane, making loud noises, or defending themselves from assaults. Governed by a separate law of crimes, slaves were also subjected to a separate brand of punishment. Slaves […] were subjected to capital punishment for a wider range of crimes than any other sector of the population. Virginia, for instance, defined seventy-three capital crimes applicable to slaves but only one—first degree murder—applicable to whites." The Atlantic, </w:t>
      </w:r>
      <w:hyperlink r:id="rId112" w:history="1">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Old Jim Crow</w:t>
        </w:r>
      </w:hyperlink>
      <w:r w:rsidRPr="001167CB">
        <w:rPr>
          <w:rFonts w:asciiTheme="majorHAnsi" w:hAnsiTheme="majorHAnsi" w:cstheme="majorHAnsi"/>
          <w:color w:val="808080" w:themeColor="background1" w:themeShade="80"/>
          <w:sz w:val="16"/>
          <w:szCs w:val="16"/>
        </w:rPr>
        <w:t>, Oct. 15, 2014.</w:t>
      </w:r>
    </w:p>
  </w:footnote>
  <w:footnote w:id="66">
    <w:p w14:paraId="19BD7FB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e.g.</w:t>
      </w:r>
      <w:r w:rsidRPr="001167CB">
        <w:rPr>
          <w:rFonts w:asciiTheme="majorHAnsi" w:hAnsiTheme="majorHAnsi" w:cstheme="majorHAnsi"/>
          <w:color w:val="808080" w:themeColor="background1" w:themeShade="80"/>
          <w:sz w:val="16"/>
          <w:szCs w:val="16"/>
        </w:rPr>
        <w:t xml:space="preserve">, Frederick Douglass, </w:t>
      </w:r>
      <w:r w:rsidRPr="001167CB">
        <w:rPr>
          <w:rFonts w:asciiTheme="majorHAnsi" w:hAnsiTheme="majorHAnsi" w:cstheme="majorHAnsi"/>
          <w:i/>
          <w:color w:val="808080" w:themeColor="background1" w:themeShade="80"/>
          <w:sz w:val="16"/>
          <w:szCs w:val="16"/>
        </w:rPr>
        <w:t>Narrative of the Life of Frederick Douglass, an American Slave</w:t>
      </w:r>
      <w:r w:rsidRPr="001167CB">
        <w:rPr>
          <w:rFonts w:asciiTheme="majorHAnsi" w:hAnsiTheme="majorHAnsi" w:cstheme="majorHAnsi"/>
          <w:color w:val="808080" w:themeColor="background1" w:themeShade="80"/>
          <w:sz w:val="16"/>
          <w:szCs w:val="16"/>
        </w:rPr>
        <w:t xml:space="preserve"> (Boston: The Anti-Slavery Society, 1845; reprint New York: Dover, 1995); Harriet Jacobs, </w:t>
      </w:r>
      <w:r w:rsidRPr="001167CB">
        <w:rPr>
          <w:rFonts w:asciiTheme="majorHAnsi" w:hAnsiTheme="majorHAnsi" w:cstheme="majorHAnsi"/>
          <w:i/>
          <w:color w:val="808080" w:themeColor="background1" w:themeShade="80"/>
          <w:sz w:val="16"/>
          <w:szCs w:val="16"/>
        </w:rPr>
        <w:t xml:space="preserve">Incidents in the Life of a Slave Girl </w:t>
      </w:r>
      <w:r w:rsidRPr="001167CB">
        <w:rPr>
          <w:rFonts w:asciiTheme="majorHAnsi" w:hAnsiTheme="majorHAnsi" w:cstheme="majorHAnsi"/>
          <w:color w:val="808080" w:themeColor="background1" w:themeShade="80"/>
          <w:sz w:val="16"/>
          <w:szCs w:val="16"/>
        </w:rPr>
        <w:t xml:space="preserve">(Boston, 1861; reprint New York: Dover, 2001); </w:t>
      </w:r>
      <w:proofErr w:type="spellStart"/>
      <w:r w:rsidRPr="001167CB">
        <w:rPr>
          <w:rFonts w:asciiTheme="majorHAnsi" w:hAnsiTheme="majorHAnsi" w:cstheme="majorHAnsi"/>
          <w:color w:val="808080" w:themeColor="background1" w:themeShade="80"/>
          <w:sz w:val="16"/>
          <w:szCs w:val="16"/>
        </w:rPr>
        <w:t>Thavolia</w:t>
      </w:r>
      <w:proofErr w:type="spellEnd"/>
      <w:r w:rsidRPr="001167CB">
        <w:rPr>
          <w:rFonts w:asciiTheme="majorHAnsi" w:hAnsiTheme="majorHAnsi" w:cstheme="majorHAnsi"/>
          <w:color w:val="808080" w:themeColor="background1" w:themeShade="80"/>
          <w:sz w:val="16"/>
          <w:szCs w:val="16"/>
        </w:rPr>
        <w:t xml:space="preserve"> </w:t>
      </w:r>
      <w:proofErr w:type="spellStart"/>
      <w:r w:rsidRPr="001167CB">
        <w:rPr>
          <w:rFonts w:asciiTheme="majorHAnsi" w:hAnsiTheme="majorHAnsi" w:cstheme="majorHAnsi"/>
          <w:color w:val="808080" w:themeColor="background1" w:themeShade="80"/>
          <w:sz w:val="16"/>
          <w:szCs w:val="16"/>
        </w:rPr>
        <w:t>Glymph</w:t>
      </w:r>
      <w:proofErr w:type="spellEnd"/>
      <w:r w:rsidRPr="001167CB">
        <w:rPr>
          <w:rFonts w:asciiTheme="majorHAnsi" w:hAnsiTheme="majorHAnsi" w:cstheme="majorHAnsi"/>
          <w:i/>
          <w:color w:val="808080" w:themeColor="background1" w:themeShade="80"/>
          <w:sz w:val="16"/>
          <w:szCs w:val="16"/>
        </w:rPr>
        <w:t>, Out of the House of Bondage: The Transformation of the Plantation Household</w:t>
      </w:r>
      <w:r w:rsidRPr="001167CB">
        <w:rPr>
          <w:rFonts w:asciiTheme="majorHAnsi" w:hAnsiTheme="majorHAnsi" w:cstheme="majorHAnsi"/>
          <w:color w:val="808080" w:themeColor="background1" w:themeShade="80"/>
          <w:sz w:val="16"/>
          <w:szCs w:val="16"/>
        </w:rPr>
        <w:t xml:space="preserve"> (New York: Cambridge, 2008); Dorothy Roberts, </w:t>
      </w:r>
      <w:r w:rsidRPr="001167CB">
        <w:rPr>
          <w:rFonts w:asciiTheme="majorHAnsi" w:hAnsiTheme="majorHAnsi" w:cstheme="majorHAnsi"/>
          <w:i/>
          <w:color w:val="808080" w:themeColor="background1" w:themeShade="80"/>
          <w:sz w:val="16"/>
          <w:szCs w:val="16"/>
        </w:rPr>
        <w:t>Killing the Black Body: Race, Reproduction, and the Meaning of Liberty</w:t>
      </w:r>
      <w:r w:rsidRPr="001167CB">
        <w:rPr>
          <w:rFonts w:asciiTheme="majorHAnsi" w:hAnsiTheme="majorHAnsi" w:cstheme="majorHAnsi"/>
          <w:color w:val="808080" w:themeColor="background1" w:themeShade="80"/>
          <w:sz w:val="16"/>
          <w:szCs w:val="16"/>
        </w:rPr>
        <w:t xml:space="preserve"> (New York: Vintage, 1998); Edward Baptist, </w:t>
      </w:r>
      <w:r w:rsidRPr="001167CB">
        <w:rPr>
          <w:rFonts w:asciiTheme="majorHAnsi" w:hAnsiTheme="majorHAnsi" w:cstheme="majorHAnsi"/>
          <w:i/>
          <w:color w:val="808080" w:themeColor="background1" w:themeShade="80"/>
          <w:sz w:val="16"/>
          <w:szCs w:val="16"/>
        </w:rPr>
        <w:t>The Half Has Never Been Told: Slavery and the Making of American Capitalism</w:t>
      </w:r>
      <w:r w:rsidRPr="001167CB">
        <w:rPr>
          <w:rFonts w:asciiTheme="majorHAnsi" w:hAnsiTheme="majorHAnsi" w:cstheme="majorHAnsi"/>
          <w:color w:val="808080" w:themeColor="background1" w:themeShade="80"/>
          <w:sz w:val="16"/>
          <w:szCs w:val="16"/>
        </w:rPr>
        <w:t xml:space="preserve"> (New York: Basic Books, 2014).</w:t>
      </w:r>
    </w:p>
  </w:footnote>
  <w:footnote w:id="67">
    <w:p w14:paraId="15DA774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Victor E. </w:t>
      </w:r>
      <w:proofErr w:type="spellStart"/>
      <w:r w:rsidRPr="001167CB">
        <w:rPr>
          <w:rFonts w:asciiTheme="majorHAnsi" w:hAnsiTheme="majorHAnsi" w:cstheme="majorHAnsi"/>
          <w:color w:val="808080" w:themeColor="background1" w:themeShade="80"/>
          <w:sz w:val="16"/>
          <w:szCs w:val="16"/>
        </w:rPr>
        <w:t>Kappeler</w:t>
      </w:r>
      <w:proofErr w:type="spellEnd"/>
      <w:r w:rsidRPr="001167CB">
        <w:rPr>
          <w:rFonts w:asciiTheme="majorHAnsi" w:hAnsiTheme="majorHAnsi" w:cstheme="majorHAnsi"/>
          <w:color w:val="808080" w:themeColor="background1" w:themeShade="80"/>
          <w:sz w:val="16"/>
          <w:szCs w:val="16"/>
        </w:rPr>
        <w:t xml:space="preserve"> (Eastern Kentucky University), </w:t>
      </w:r>
      <w:hyperlink r:id="rId113" w:history="1">
        <w:r w:rsidRPr="001167CB">
          <w:rPr>
            <w:rStyle w:val="Hyperlink"/>
            <w:rFonts w:asciiTheme="majorHAnsi" w:hAnsiTheme="majorHAnsi" w:cstheme="majorHAnsi"/>
            <w:color w:val="808080" w:themeColor="background1" w:themeShade="80"/>
            <w:sz w:val="16"/>
            <w:szCs w:val="16"/>
          </w:rPr>
          <w:t>A Brief History of Slavery and the Origins of American Policing</w:t>
        </w:r>
      </w:hyperlink>
      <w:r w:rsidRPr="001167CB">
        <w:rPr>
          <w:rFonts w:asciiTheme="majorHAnsi" w:hAnsiTheme="majorHAnsi" w:cstheme="majorHAnsi"/>
          <w:color w:val="808080" w:themeColor="background1" w:themeShade="80"/>
          <w:sz w:val="16"/>
          <w:szCs w:val="16"/>
        </w:rPr>
        <w:t>, 2014.</w:t>
      </w:r>
    </w:p>
  </w:footnote>
  <w:footnote w:id="68">
    <w:p w14:paraId="791F0E7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(citing Turner et al. (2006), Ignoring the Past: Coverage of Slavery and Slave Patrols in Criminal Justice Texts, </w:t>
      </w:r>
      <w:r w:rsidRPr="001167CB">
        <w:rPr>
          <w:rFonts w:asciiTheme="majorHAnsi" w:hAnsiTheme="majorHAnsi" w:cstheme="majorHAnsi"/>
          <w:i/>
          <w:color w:val="808080" w:themeColor="background1" w:themeShade="80"/>
          <w:sz w:val="16"/>
          <w:szCs w:val="16"/>
        </w:rPr>
        <w:t>Journal of Criminal Justice Education</w:t>
      </w:r>
      <w:r w:rsidRPr="001167CB">
        <w:rPr>
          <w:rFonts w:asciiTheme="majorHAnsi" w:hAnsiTheme="majorHAnsi" w:cstheme="majorHAnsi"/>
          <w:color w:val="808080" w:themeColor="background1" w:themeShade="80"/>
          <w:sz w:val="16"/>
          <w:szCs w:val="16"/>
        </w:rPr>
        <w:t>, 17:(1), 186).</w:t>
      </w:r>
    </w:p>
  </w:footnote>
  <w:footnote w:id="69">
    <w:p w14:paraId="377C1C5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Figure estimated in today’s dollars. The Atlantic, </w:t>
      </w:r>
      <w:hyperlink r:id="rId114" w:history="1">
        <w:r w:rsidRPr="001167CB">
          <w:rPr>
            <w:rStyle w:val="Hyperlink"/>
            <w:rFonts w:asciiTheme="majorHAnsi" w:hAnsiTheme="majorHAnsi" w:cstheme="majorHAnsi"/>
            <w:color w:val="808080" w:themeColor="background1" w:themeShade="80"/>
            <w:sz w:val="16"/>
            <w:szCs w:val="16"/>
          </w:rPr>
          <w:t>Slavery Made America</w:t>
        </w:r>
      </w:hyperlink>
      <w:r w:rsidRPr="001167CB">
        <w:rPr>
          <w:rFonts w:asciiTheme="majorHAnsi" w:hAnsiTheme="majorHAnsi" w:cstheme="majorHAnsi"/>
          <w:color w:val="808080" w:themeColor="background1" w:themeShade="80"/>
          <w:sz w:val="16"/>
          <w:szCs w:val="16"/>
        </w:rPr>
        <w:t xml:space="preserve">, June 24, 2014 (citing David Blight (Yale University), </w:t>
      </w:r>
      <w:hyperlink r:id="rId115" w:history="1">
        <w:r w:rsidRPr="001167CB">
          <w:rPr>
            <w:rStyle w:val="Hyperlink"/>
            <w:rFonts w:asciiTheme="majorHAnsi" w:hAnsiTheme="majorHAnsi" w:cstheme="majorHAnsi"/>
            <w:color w:val="808080" w:themeColor="background1" w:themeShade="80"/>
            <w:sz w:val="16"/>
            <w:szCs w:val="16"/>
          </w:rPr>
          <w:t>The Civil War and Reconstruction Era, 1845-1877</w:t>
        </w:r>
      </w:hyperlink>
      <w:r w:rsidRPr="001167CB">
        <w:rPr>
          <w:rFonts w:asciiTheme="majorHAnsi" w:hAnsiTheme="majorHAnsi" w:cstheme="majorHAnsi"/>
          <w:color w:val="808080" w:themeColor="background1" w:themeShade="80"/>
          <w:sz w:val="16"/>
          <w:szCs w:val="16"/>
        </w:rPr>
        <w:t xml:space="preserve">, 2008);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Roger L. Ransom (U. California-Riverside), </w:t>
      </w:r>
      <w:hyperlink r:id="rId116" w:history="1">
        <w:r w:rsidRPr="001167CB">
          <w:rPr>
            <w:rStyle w:val="Hyperlink"/>
            <w:rFonts w:asciiTheme="majorHAnsi" w:hAnsiTheme="majorHAnsi" w:cstheme="majorHAnsi"/>
            <w:color w:val="808080" w:themeColor="background1" w:themeShade="80"/>
            <w:sz w:val="16"/>
            <w:szCs w:val="16"/>
          </w:rPr>
          <w:t>The Economics of the Civil War</w:t>
        </w:r>
      </w:hyperlink>
      <w:r w:rsidRPr="001167CB">
        <w:rPr>
          <w:rFonts w:asciiTheme="majorHAnsi" w:hAnsiTheme="majorHAnsi" w:cstheme="majorHAnsi"/>
          <w:color w:val="808080" w:themeColor="background1" w:themeShade="80"/>
          <w:sz w:val="16"/>
          <w:szCs w:val="16"/>
        </w:rPr>
        <w:t>, 2004 (estimating the value of all slaves in the U.S. in 1860 at $3 billion);</w:t>
      </w:r>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Edward Baptist, </w:t>
      </w:r>
      <w:r w:rsidRPr="001167CB">
        <w:rPr>
          <w:rFonts w:asciiTheme="majorHAnsi" w:hAnsiTheme="majorHAnsi" w:cstheme="majorHAnsi"/>
          <w:i/>
          <w:color w:val="808080" w:themeColor="background1" w:themeShade="80"/>
          <w:sz w:val="16"/>
          <w:szCs w:val="16"/>
        </w:rPr>
        <w:t>The Half Has Never Been Told: Slavery and the Making of American Capitalism</w:t>
      </w:r>
      <w:r w:rsidRPr="001167CB">
        <w:rPr>
          <w:rFonts w:asciiTheme="majorHAnsi" w:hAnsiTheme="majorHAnsi" w:cstheme="majorHAnsi"/>
          <w:color w:val="808080" w:themeColor="background1" w:themeShade="80"/>
          <w:sz w:val="16"/>
          <w:szCs w:val="16"/>
        </w:rPr>
        <w:t xml:space="preserve"> (New York: Basic Books, 2014).</w:t>
      </w:r>
    </w:p>
  </w:footnote>
  <w:footnote w:id="70">
    <w:p w14:paraId="2F5724C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e.g.</w:t>
      </w:r>
      <w:r w:rsidRPr="001167CB">
        <w:rPr>
          <w:rFonts w:asciiTheme="majorHAnsi" w:hAnsiTheme="majorHAnsi" w:cstheme="majorHAnsi"/>
          <w:color w:val="808080" w:themeColor="background1" w:themeShade="80"/>
          <w:sz w:val="16"/>
          <w:szCs w:val="16"/>
        </w:rPr>
        <w:t xml:space="preserve">, James McPherson, </w:t>
      </w:r>
      <w:r w:rsidRPr="001167CB">
        <w:rPr>
          <w:rFonts w:asciiTheme="majorHAnsi" w:hAnsiTheme="majorHAnsi" w:cstheme="majorHAnsi"/>
          <w:i/>
          <w:color w:val="808080" w:themeColor="background1" w:themeShade="80"/>
          <w:sz w:val="16"/>
          <w:szCs w:val="16"/>
        </w:rPr>
        <w:t>Battle Cry of Freedom: The Civil War Era</w:t>
      </w:r>
      <w:r w:rsidRPr="001167CB">
        <w:rPr>
          <w:rFonts w:asciiTheme="majorHAnsi" w:hAnsiTheme="majorHAnsi" w:cstheme="majorHAnsi"/>
          <w:color w:val="808080" w:themeColor="background1" w:themeShade="80"/>
          <w:sz w:val="16"/>
          <w:szCs w:val="16"/>
        </w:rPr>
        <w:t xml:space="preserve"> (New York: Oxford University Press, 1988).</w:t>
      </w:r>
    </w:p>
  </w:footnote>
  <w:footnote w:id="71">
    <w:p w14:paraId="3D2A6F2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e.g.</w:t>
      </w:r>
      <w:r w:rsidRPr="001167CB">
        <w:rPr>
          <w:rFonts w:asciiTheme="majorHAnsi" w:hAnsiTheme="majorHAnsi" w:cstheme="majorHAnsi"/>
          <w:color w:val="808080" w:themeColor="background1" w:themeShade="80"/>
          <w:sz w:val="16"/>
          <w:szCs w:val="16"/>
        </w:rPr>
        <w:t xml:space="preserve">, Equal Justice Initiative, </w:t>
      </w:r>
      <w:hyperlink r:id="rId117" w:history="1">
        <w:r w:rsidRPr="001167CB">
          <w:rPr>
            <w:rStyle w:val="Hyperlink"/>
            <w:rFonts w:asciiTheme="majorHAnsi" w:hAnsiTheme="majorHAnsi" w:cstheme="majorHAnsi"/>
            <w:color w:val="808080" w:themeColor="background1" w:themeShade="80"/>
            <w:sz w:val="16"/>
            <w:szCs w:val="16"/>
          </w:rPr>
          <w:t>Lynching in America</w:t>
        </w:r>
      </w:hyperlink>
      <w:r w:rsidRPr="001167CB">
        <w:rPr>
          <w:rFonts w:asciiTheme="majorHAnsi" w:hAnsiTheme="majorHAnsi" w:cstheme="majorHAnsi"/>
          <w:color w:val="808080" w:themeColor="background1" w:themeShade="80"/>
          <w:sz w:val="16"/>
          <w:szCs w:val="16"/>
        </w:rPr>
        <w:t xml:space="preserve"> (3d edition), 2017, p. 7; U.N., Working group on People of African Descent. </w:t>
      </w:r>
      <w:hyperlink r:id="rId118" w:history="1">
        <w:r w:rsidRPr="001167CB">
          <w:rPr>
            <w:rStyle w:val="Hyperlink"/>
            <w:rFonts w:asciiTheme="majorHAnsi" w:hAnsiTheme="majorHAnsi" w:cstheme="majorHAnsi"/>
            <w:bCs/>
            <w:color w:val="808080" w:themeColor="background1" w:themeShade="80"/>
            <w:sz w:val="16"/>
            <w:szCs w:val="16"/>
          </w:rPr>
          <w:t>Report on mission to the U.S.</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18, 2016, para. 6. </w:t>
      </w:r>
    </w:p>
  </w:footnote>
  <w:footnote w:id="72">
    <w:p w14:paraId="1FF655D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proofErr w:type="spellStart"/>
      <w:r w:rsidRPr="001167CB">
        <w:rPr>
          <w:rFonts w:asciiTheme="majorHAnsi" w:hAnsiTheme="majorHAnsi" w:cstheme="majorHAnsi"/>
          <w:color w:val="808080" w:themeColor="background1" w:themeShade="80"/>
          <w:sz w:val="16"/>
          <w:szCs w:val="16"/>
        </w:rPr>
        <w:t>Amdt</w:t>
      </w:r>
      <w:proofErr w:type="spellEnd"/>
      <w:r w:rsidRPr="001167CB">
        <w:rPr>
          <w:rFonts w:asciiTheme="majorHAnsi" w:hAnsiTheme="majorHAnsi" w:cstheme="majorHAnsi"/>
          <w:color w:val="808080" w:themeColor="background1" w:themeShade="80"/>
          <w:sz w:val="16"/>
          <w:szCs w:val="16"/>
        </w:rPr>
        <w:t xml:space="preserve">. XIV, sec. 5. Section 2 also effectively overturns the “Three-Fifths Compromise” by mandating that representatives be apportioned proportionately, counting all persons in each state as whole persons (“excluding Indians not taxed”).  </w:t>
      </w:r>
    </w:p>
  </w:footnote>
  <w:footnote w:id="73">
    <w:p w14:paraId="48475DC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During the Reconstruction period, at least 2,000 African American men held public office, from local office to U.S. Senate seats. History.com, </w:t>
      </w:r>
      <w:hyperlink r:id="rId119" w:history="1">
        <w:r w:rsidRPr="001167CB">
          <w:rPr>
            <w:rStyle w:val="Hyperlink"/>
            <w:rFonts w:asciiTheme="majorHAnsi" w:hAnsiTheme="majorHAnsi" w:cstheme="majorHAnsi"/>
            <w:color w:val="808080" w:themeColor="background1" w:themeShade="80"/>
            <w:sz w:val="16"/>
            <w:szCs w:val="16"/>
          </w:rPr>
          <w:t xml:space="preserve">Black Leadership </w:t>
        </w:r>
        <w:proofErr w:type="gramStart"/>
        <w:r w:rsidRPr="001167CB">
          <w:rPr>
            <w:rStyle w:val="Hyperlink"/>
            <w:rFonts w:asciiTheme="majorHAnsi" w:hAnsiTheme="majorHAnsi" w:cstheme="majorHAnsi"/>
            <w:color w:val="808080" w:themeColor="background1" w:themeShade="80"/>
            <w:sz w:val="16"/>
            <w:szCs w:val="16"/>
          </w:rPr>
          <w:t>During</w:t>
        </w:r>
        <w:proofErr w:type="gramEnd"/>
        <w:r w:rsidRPr="001167CB">
          <w:rPr>
            <w:rStyle w:val="Hyperlink"/>
            <w:rFonts w:asciiTheme="majorHAnsi" w:hAnsiTheme="majorHAnsi" w:cstheme="majorHAnsi"/>
            <w:color w:val="808080" w:themeColor="background1" w:themeShade="80"/>
            <w:sz w:val="16"/>
            <w:szCs w:val="16"/>
          </w:rPr>
          <w:t xml:space="preserve"> Reconstruction</w:t>
        </w:r>
      </w:hyperlink>
      <w:r w:rsidRPr="001167CB">
        <w:rPr>
          <w:rFonts w:asciiTheme="majorHAnsi" w:hAnsiTheme="majorHAnsi" w:cstheme="majorHAnsi"/>
          <w:color w:val="808080" w:themeColor="background1" w:themeShade="80"/>
          <w:sz w:val="16"/>
          <w:szCs w:val="16"/>
        </w:rPr>
        <w:t>, 2010. As Thomas Miller, a Black lawyer and legislator in South Carolina, would recall in 1895 about the Reconstruction years: “We were eight years in power. We had built schoolhouses, established charitable institutions, built and maintained the penitentiary system, provided for the education of the deaf and dumb, rebuilt the ferries. In short, we had reconstructed the State and placed it upon the road to prosperity.” Quoted in Ta-</w:t>
      </w:r>
      <w:proofErr w:type="spellStart"/>
      <w:r w:rsidRPr="001167CB">
        <w:rPr>
          <w:rFonts w:asciiTheme="majorHAnsi" w:hAnsiTheme="majorHAnsi" w:cstheme="majorHAnsi"/>
          <w:color w:val="808080" w:themeColor="background1" w:themeShade="80"/>
          <w:sz w:val="16"/>
          <w:szCs w:val="16"/>
        </w:rPr>
        <w:t>Nehisi</w:t>
      </w:r>
      <w:proofErr w:type="spellEnd"/>
      <w:r w:rsidRPr="001167CB">
        <w:rPr>
          <w:rFonts w:asciiTheme="majorHAnsi" w:hAnsiTheme="majorHAnsi" w:cstheme="majorHAnsi"/>
          <w:color w:val="808080" w:themeColor="background1" w:themeShade="80"/>
          <w:sz w:val="16"/>
          <w:szCs w:val="16"/>
        </w:rPr>
        <w:t xml:space="preserve"> Coates, </w:t>
      </w:r>
      <w:r w:rsidRPr="001167CB">
        <w:rPr>
          <w:rFonts w:asciiTheme="majorHAnsi" w:hAnsiTheme="majorHAnsi" w:cstheme="majorHAnsi"/>
          <w:i/>
          <w:color w:val="808080" w:themeColor="background1" w:themeShade="80"/>
          <w:sz w:val="16"/>
          <w:szCs w:val="16"/>
        </w:rPr>
        <w:t>We Were Eight Years in Power: An American Tragedy</w:t>
      </w:r>
      <w:r w:rsidRPr="001167CB">
        <w:rPr>
          <w:rFonts w:asciiTheme="majorHAnsi" w:hAnsiTheme="majorHAnsi" w:cstheme="majorHAnsi"/>
          <w:color w:val="808080" w:themeColor="background1" w:themeShade="80"/>
          <w:sz w:val="16"/>
          <w:szCs w:val="16"/>
        </w:rPr>
        <w:t xml:space="preserve"> (New York: Random House, 2017).</w:t>
      </w:r>
    </w:p>
  </w:footnote>
  <w:footnote w:id="74">
    <w:p w14:paraId="74E4E11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n-GB"/>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Style w:val="reference-text"/>
          <w:rFonts w:asciiTheme="majorHAnsi" w:hAnsiTheme="majorHAnsi" w:cstheme="majorHAnsi"/>
          <w:color w:val="808080" w:themeColor="background1" w:themeShade="80"/>
          <w:sz w:val="16"/>
          <w:szCs w:val="16"/>
        </w:rPr>
        <w:t>W.E.B. DuBois,</w:t>
      </w:r>
      <w:r w:rsidRPr="001167CB">
        <w:rPr>
          <w:rStyle w:val="reference-text"/>
          <w:rFonts w:asciiTheme="majorHAnsi" w:hAnsiTheme="majorHAnsi" w:cstheme="majorHAnsi"/>
          <w:i/>
          <w:color w:val="808080" w:themeColor="background1" w:themeShade="80"/>
          <w:sz w:val="16"/>
          <w:szCs w:val="16"/>
        </w:rPr>
        <w:t xml:space="preserve"> </w:t>
      </w:r>
      <w:r w:rsidRPr="001167CB">
        <w:rPr>
          <w:rStyle w:val="reference-text"/>
          <w:rFonts w:asciiTheme="majorHAnsi" w:hAnsiTheme="majorHAnsi" w:cstheme="majorHAnsi"/>
          <w:i/>
          <w:iCs/>
          <w:color w:val="808080" w:themeColor="background1" w:themeShade="80"/>
          <w:sz w:val="16"/>
          <w:szCs w:val="16"/>
        </w:rPr>
        <w:t>Black Reconstruction in America, 1868-1880</w:t>
      </w:r>
      <w:r w:rsidRPr="001167CB">
        <w:rPr>
          <w:rStyle w:val="reference-text"/>
          <w:rFonts w:asciiTheme="majorHAnsi" w:hAnsiTheme="majorHAnsi" w:cstheme="majorHAnsi"/>
          <w:i/>
          <w:color w:val="808080" w:themeColor="background1" w:themeShade="80"/>
          <w:sz w:val="16"/>
          <w:szCs w:val="16"/>
        </w:rPr>
        <w:t xml:space="preserve"> </w:t>
      </w:r>
      <w:r w:rsidRPr="001167CB">
        <w:rPr>
          <w:rStyle w:val="reference-text"/>
          <w:rFonts w:asciiTheme="majorHAnsi" w:hAnsiTheme="majorHAnsi" w:cstheme="majorHAnsi"/>
          <w:color w:val="808080" w:themeColor="background1" w:themeShade="80"/>
          <w:sz w:val="16"/>
          <w:szCs w:val="16"/>
        </w:rPr>
        <w:t xml:space="preserve">(New York: Oxford University Press, 1935). Black women, of course, would wait until the passage of the Nineteenth Amendment in 1920 to enjoy the legal right to vote. </w:t>
      </w:r>
    </w:p>
  </w:footnote>
  <w:footnote w:id="75">
    <w:p w14:paraId="0B9B6A9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Equal Justice Initiative, </w:t>
      </w:r>
      <w:hyperlink r:id="rId120" w:history="1">
        <w:r w:rsidRPr="001167CB">
          <w:rPr>
            <w:rStyle w:val="Hyperlink"/>
            <w:rFonts w:asciiTheme="majorHAnsi" w:hAnsiTheme="majorHAnsi" w:cstheme="majorHAnsi"/>
            <w:color w:val="808080" w:themeColor="background1" w:themeShade="80"/>
            <w:sz w:val="16"/>
            <w:szCs w:val="16"/>
          </w:rPr>
          <w:t>Lynching in America</w:t>
        </w:r>
      </w:hyperlink>
      <w:r w:rsidRPr="001167CB">
        <w:rPr>
          <w:rFonts w:asciiTheme="majorHAnsi" w:hAnsiTheme="majorHAnsi" w:cstheme="majorHAnsi"/>
          <w:color w:val="808080" w:themeColor="background1" w:themeShade="80"/>
          <w:sz w:val="16"/>
          <w:szCs w:val="16"/>
        </w:rPr>
        <w:t xml:space="preserve"> (3d edition), 2017, p. 11. </w:t>
      </w:r>
    </w:p>
  </w:footnote>
  <w:footnote w:id="76">
    <w:p w14:paraId="645446C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at p. 12 (citing Eric </w:t>
      </w:r>
      <w:proofErr w:type="spellStart"/>
      <w:r w:rsidRPr="001167CB">
        <w:rPr>
          <w:rFonts w:asciiTheme="majorHAnsi" w:hAnsiTheme="majorHAnsi" w:cstheme="majorHAnsi"/>
          <w:color w:val="808080" w:themeColor="background1" w:themeShade="80"/>
          <w:sz w:val="16"/>
          <w:szCs w:val="16"/>
        </w:rPr>
        <w:t>Foner</w:t>
      </w:r>
      <w:proofErr w:type="spellEnd"/>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Reconstruction: America’s Unfinished Revolution, 1863-1877</w:t>
      </w:r>
      <w:r w:rsidRPr="001167CB">
        <w:rPr>
          <w:rFonts w:asciiTheme="majorHAnsi" w:hAnsiTheme="majorHAnsi" w:cstheme="majorHAnsi"/>
          <w:color w:val="808080" w:themeColor="background1" w:themeShade="80"/>
          <w:sz w:val="16"/>
          <w:szCs w:val="16"/>
        </w:rPr>
        <w:t xml:space="preserve"> (New York: HarperCollins, 1988).</w:t>
      </w:r>
    </w:p>
  </w:footnote>
  <w:footnote w:id="77">
    <w:p w14:paraId="102BC458" w14:textId="7AEBF8DC"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Smithsonian Magazine, </w:t>
      </w:r>
      <w:hyperlink r:id="rId121" w:history="1">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1873 Colfax Massacre Crippled the Reconstruction Era</w:t>
        </w:r>
      </w:hyperlink>
      <w:r w:rsidRPr="001167CB">
        <w:rPr>
          <w:rFonts w:asciiTheme="majorHAnsi" w:hAnsiTheme="majorHAnsi" w:cstheme="majorHAnsi"/>
          <w:color w:val="808080" w:themeColor="background1" w:themeShade="80"/>
          <w:sz w:val="16"/>
          <w:szCs w:val="16"/>
        </w:rPr>
        <w:t xml:space="preserve">, Apr. 13, 2016. This event would further have legal repercussions, as the white defendants charged in the massacre were later acquitted in </w:t>
      </w:r>
      <w:r w:rsidRPr="001167CB">
        <w:rPr>
          <w:rFonts w:asciiTheme="majorHAnsi" w:hAnsiTheme="majorHAnsi" w:cstheme="majorHAnsi"/>
          <w:i/>
          <w:color w:val="808080" w:themeColor="background1" w:themeShade="80"/>
          <w:sz w:val="16"/>
          <w:szCs w:val="16"/>
        </w:rPr>
        <w:t>U.S. v. Cruikshank</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see supra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_Ref507082453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58</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78">
    <w:p w14:paraId="7A18101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63 U.S. 537 (1896).</w:t>
      </w:r>
    </w:p>
  </w:footnote>
  <w:footnote w:id="79">
    <w:p w14:paraId="082E8EC3" w14:textId="2DFA7C1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189 U.S. 475 (1903). In </w:t>
      </w:r>
      <w:r w:rsidRPr="001167CB">
        <w:rPr>
          <w:rFonts w:asciiTheme="majorHAnsi" w:hAnsiTheme="majorHAnsi" w:cstheme="majorHAnsi"/>
          <w:i/>
          <w:color w:val="808080" w:themeColor="background1" w:themeShade="80"/>
          <w:sz w:val="16"/>
          <w:szCs w:val="16"/>
        </w:rPr>
        <w:t>Giles</w:t>
      </w:r>
      <w:r w:rsidRPr="001167CB">
        <w:rPr>
          <w:rFonts w:asciiTheme="majorHAnsi" w:hAnsiTheme="majorHAnsi" w:cstheme="majorHAnsi"/>
          <w:color w:val="808080" w:themeColor="background1" w:themeShade="80"/>
          <w:sz w:val="16"/>
          <w:szCs w:val="16"/>
        </w:rPr>
        <w:t xml:space="preserve">, the Supreme Court declined to review an Alabama law that required that registered voters be of “good character,” a requirement that was enforced in a racially biased manner to disenfranchise virtually all Black voters. This decision effectively sanctioned the disenfranchisement of Black voters in the South, signaling that the federal government would not intervene to enforce the 15th Amendment. This situation persisted at least until the passage of the Voting Rights Act of 1965. </w:t>
      </w:r>
      <w:r w:rsidRPr="001167CB">
        <w:rPr>
          <w:rFonts w:asciiTheme="majorHAnsi" w:hAnsiTheme="majorHAnsi" w:cstheme="majorHAnsi"/>
          <w:i/>
          <w:color w:val="808080" w:themeColor="background1" w:themeShade="80"/>
          <w:sz w:val="16"/>
          <w:szCs w:val="16"/>
        </w:rPr>
        <w:t>See infra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_Ref507082559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63</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80">
    <w:p w14:paraId="7D27961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Slaughter-House Cases, 83 U.S. 36 (1873); U.S. v. Cruikshank, 92 U.S. 542 (1875); Civil Rights Cases, 109 U.S. 3 (1883). The Civil Rights Cases </w:t>
      </w:r>
      <w:proofErr w:type="spellStart"/>
      <w:r w:rsidRPr="001167CB">
        <w:rPr>
          <w:rFonts w:asciiTheme="majorHAnsi" w:hAnsiTheme="majorHAnsi" w:cstheme="majorHAnsi"/>
          <w:color w:val="808080" w:themeColor="background1" w:themeShade="80"/>
          <w:sz w:val="16"/>
          <w:szCs w:val="16"/>
        </w:rPr>
        <w:t>cases</w:t>
      </w:r>
      <w:proofErr w:type="spellEnd"/>
      <w:r w:rsidRPr="001167CB">
        <w:rPr>
          <w:rFonts w:asciiTheme="majorHAnsi" w:hAnsiTheme="majorHAnsi" w:cstheme="majorHAnsi"/>
          <w:color w:val="808080" w:themeColor="background1" w:themeShade="80"/>
          <w:sz w:val="16"/>
          <w:szCs w:val="16"/>
        </w:rPr>
        <w:t xml:space="preserve"> ruled unconstitutional the Civil Rights Act of 1875, which banned race discrimination in access to services offered to the public. The decision was effectively reversed in jurisprudence of the Supreme Court from 1937, and finally by legislation in the Civil Rights Act of 1964. On the three cases mentioned,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Equal Justice Initiative, </w:t>
      </w:r>
      <w:hyperlink r:id="rId122" w:history="1">
        <w:r w:rsidRPr="001167CB">
          <w:rPr>
            <w:rStyle w:val="Hyperlink"/>
            <w:rFonts w:asciiTheme="majorHAnsi" w:hAnsiTheme="majorHAnsi" w:cstheme="majorHAnsi"/>
            <w:color w:val="808080" w:themeColor="background1" w:themeShade="80"/>
            <w:sz w:val="16"/>
            <w:szCs w:val="16"/>
          </w:rPr>
          <w:t>Lynching in America</w:t>
        </w:r>
      </w:hyperlink>
      <w:r w:rsidRPr="001167CB">
        <w:rPr>
          <w:rFonts w:asciiTheme="majorHAnsi" w:hAnsiTheme="majorHAnsi" w:cstheme="majorHAnsi"/>
          <w:color w:val="808080" w:themeColor="background1" w:themeShade="80"/>
          <w:sz w:val="16"/>
          <w:szCs w:val="16"/>
        </w:rPr>
        <w:t xml:space="preserve"> (3d edition), 2017, p. 16-18.</w:t>
      </w:r>
    </w:p>
  </w:footnote>
  <w:footnote w:id="81">
    <w:p w14:paraId="72B60CF4" w14:textId="63BC27A6"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“state action” doctrine has had widespread and long-lasting effects on the development of constitutional jurisprudence and the justiciability of human rights violations in the United States, as it effectively placed a wide range of private violations of rights beyond the reach of federal power to provide a remedy. In this regard, consider the landmark Supreme Court cases which outlawed racial discrimination by private businesses (see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_Ref507082559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63</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 xml:space="preserve">), finding the Constitutional authority to do so under the Commerce Clause (Art. I, Sec. 8, Clause 3) rather than the Fourteenth Amendment. </w:t>
      </w:r>
    </w:p>
  </w:footnote>
  <w:footnote w:id="82">
    <w:p w14:paraId="4D1BDEC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Quoted in Equal Justice Initiative, </w:t>
      </w:r>
      <w:hyperlink r:id="rId123" w:history="1">
        <w:r w:rsidRPr="001167CB">
          <w:rPr>
            <w:rStyle w:val="Hyperlink"/>
            <w:rFonts w:asciiTheme="majorHAnsi" w:hAnsiTheme="majorHAnsi" w:cstheme="majorHAnsi"/>
            <w:color w:val="808080" w:themeColor="background1" w:themeShade="80"/>
            <w:sz w:val="16"/>
            <w:szCs w:val="16"/>
          </w:rPr>
          <w:t>Lynching in America</w:t>
        </w:r>
      </w:hyperlink>
      <w:r w:rsidRPr="001167CB">
        <w:rPr>
          <w:rFonts w:asciiTheme="majorHAnsi" w:hAnsiTheme="majorHAnsi" w:cstheme="majorHAnsi"/>
          <w:color w:val="808080" w:themeColor="background1" w:themeShade="80"/>
          <w:sz w:val="16"/>
          <w:szCs w:val="16"/>
        </w:rPr>
        <w:t xml:space="preserve"> (3d edition), 2017, p. 21.</w:t>
      </w:r>
    </w:p>
  </w:footnote>
  <w:footnote w:id="83">
    <w:p w14:paraId="413D848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Equal Justice Initiative, </w:t>
      </w:r>
      <w:hyperlink r:id="rId124" w:history="1">
        <w:r w:rsidRPr="001167CB">
          <w:rPr>
            <w:rStyle w:val="Hyperlink"/>
            <w:rFonts w:asciiTheme="majorHAnsi" w:hAnsiTheme="majorHAnsi" w:cstheme="majorHAnsi"/>
            <w:color w:val="808080" w:themeColor="background1" w:themeShade="80"/>
            <w:sz w:val="16"/>
            <w:szCs w:val="16"/>
          </w:rPr>
          <w:t>Lynching in America</w:t>
        </w:r>
      </w:hyperlink>
      <w:r w:rsidRPr="001167CB">
        <w:rPr>
          <w:rFonts w:asciiTheme="majorHAnsi" w:hAnsiTheme="majorHAnsi" w:cstheme="majorHAnsi"/>
          <w:color w:val="808080" w:themeColor="background1" w:themeShade="80"/>
          <w:sz w:val="16"/>
          <w:szCs w:val="16"/>
        </w:rPr>
        <w:t xml:space="preserve"> (3d edition), 2017, p. 23;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David </w:t>
      </w:r>
      <w:proofErr w:type="spellStart"/>
      <w:r w:rsidRPr="001167CB">
        <w:rPr>
          <w:rFonts w:asciiTheme="majorHAnsi" w:hAnsiTheme="majorHAnsi" w:cstheme="majorHAnsi"/>
          <w:color w:val="808080" w:themeColor="background1" w:themeShade="80"/>
          <w:sz w:val="16"/>
          <w:szCs w:val="16"/>
        </w:rPr>
        <w:t>Oshinsky</w:t>
      </w:r>
      <w:proofErr w:type="spellEnd"/>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bCs/>
          <w:i/>
          <w:color w:val="808080" w:themeColor="background1" w:themeShade="80"/>
          <w:sz w:val="16"/>
          <w:szCs w:val="16"/>
        </w:rPr>
        <w:t xml:space="preserve">Worse than Slavery: </w:t>
      </w:r>
      <w:proofErr w:type="spellStart"/>
      <w:r w:rsidRPr="001167CB">
        <w:rPr>
          <w:rFonts w:asciiTheme="majorHAnsi" w:hAnsiTheme="majorHAnsi" w:cstheme="majorHAnsi"/>
          <w:bCs/>
          <w:i/>
          <w:color w:val="808080" w:themeColor="background1" w:themeShade="80"/>
          <w:sz w:val="16"/>
          <w:szCs w:val="16"/>
        </w:rPr>
        <w:t>Parchman</w:t>
      </w:r>
      <w:proofErr w:type="spellEnd"/>
      <w:r w:rsidRPr="001167CB">
        <w:rPr>
          <w:rFonts w:asciiTheme="majorHAnsi" w:hAnsiTheme="majorHAnsi" w:cstheme="majorHAnsi"/>
          <w:bCs/>
          <w:i/>
          <w:color w:val="808080" w:themeColor="background1" w:themeShade="80"/>
          <w:sz w:val="16"/>
          <w:szCs w:val="16"/>
        </w:rPr>
        <w:t xml:space="preserve"> Farm and the Ordeal of Jim Crow Justice</w:t>
      </w:r>
      <w:r w:rsidRPr="001167CB">
        <w:rPr>
          <w:rFonts w:asciiTheme="majorHAnsi" w:hAnsiTheme="majorHAnsi" w:cstheme="majorHAnsi"/>
          <w:bCs/>
          <w:color w:val="808080" w:themeColor="background1" w:themeShade="80"/>
          <w:sz w:val="16"/>
          <w:szCs w:val="16"/>
        </w:rPr>
        <w:t xml:space="preserve"> (New York: Free Press, 1997); Douglas Blackmon, </w:t>
      </w:r>
      <w:r w:rsidRPr="001167CB">
        <w:rPr>
          <w:rFonts w:asciiTheme="majorHAnsi" w:hAnsiTheme="majorHAnsi" w:cstheme="majorHAnsi"/>
          <w:bCs/>
          <w:i/>
          <w:color w:val="808080" w:themeColor="background1" w:themeShade="80"/>
          <w:sz w:val="16"/>
          <w:szCs w:val="16"/>
        </w:rPr>
        <w:t>Slavery by Another Name: The Re-Enslavement of Black Americans from the Civil War to World War II</w:t>
      </w:r>
      <w:r w:rsidRPr="001167CB">
        <w:rPr>
          <w:rFonts w:asciiTheme="majorHAnsi" w:hAnsiTheme="majorHAnsi" w:cstheme="majorHAnsi"/>
          <w:bCs/>
          <w:color w:val="808080" w:themeColor="background1" w:themeShade="80"/>
          <w:sz w:val="16"/>
          <w:szCs w:val="16"/>
        </w:rPr>
        <w:t xml:space="preserve"> (New York: Random House, 2008); </w:t>
      </w:r>
      <w:r w:rsidRPr="001167CB">
        <w:rPr>
          <w:rFonts w:asciiTheme="majorHAnsi" w:hAnsiTheme="majorHAnsi" w:cstheme="majorHAnsi"/>
          <w:color w:val="808080" w:themeColor="background1" w:themeShade="80"/>
          <w:sz w:val="16"/>
          <w:szCs w:val="16"/>
        </w:rPr>
        <w:t xml:space="preserve">Michelle Alexander, </w:t>
      </w:r>
      <w:r w:rsidRPr="001167CB">
        <w:rPr>
          <w:rFonts w:asciiTheme="majorHAnsi" w:hAnsiTheme="majorHAnsi" w:cstheme="majorHAnsi"/>
          <w:i/>
          <w:color w:val="808080" w:themeColor="background1" w:themeShade="80"/>
          <w:sz w:val="16"/>
          <w:szCs w:val="16"/>
        </w:rPr>
        <w:t>The New Jim Crow: Mass Incarceration in the Age of Colorblindness</w:t>
      </w:r>
      <w:r w:rsidRPr="001167CB">
        <w:rPr>
          <w:rFonts w:asciiTheme="majorHAnsi" w:hAnsiTheme="majorHAnsi" w:cstheme="majorHAnsi"/>
          <w:color w:val="808080" w:themeColor="background1" w:themeShade="80"/>
          <w:sz w:val="16"/>
          <w:szCs w:val="16"/>
        </w:rPr>
        <w:t xml:space="preserve"> (New York: The New Press, 2010), p. 156-57.</w:t>
      </w:r>
    </w:p>
  </w:footnote>
  <w:footnote w:id="84">
    <w:p w14:paraId="701216E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Equal Justice Initiative, </w:t>
      </w:r>
      <w:hyperlink r:id="rId125" w:history="1">
        <w:r w:rsidRPr="001167CB">
          <w:rPr>
            <w:rStyle w:val="Hyperlink"/>
            <w:rFonts w:asciiTheme="majorHAnsi" w:hAnsiTheme="majorHAnsi" w:cstheme="majorHAnsi"/>
            <w:color w:val="808080" w:themeColor="background1" w:themeShade="80"/>
            <w:sz w:val="16"/>
            <w:szCs w:val="16"/>
          </w:rPr>
          <w:t>Lynching in America</w:t>
        </w:r>
      </w:hyperlink>
      <w:r w:rsidRPr="001167CB">
        <w:rPr>
          <w:rFonts w:asciiTheme="majorHAnsi" w:hAnsiTheme="majorHAnsi" w:cstheme="majorHAnsi"/>
          <w:color w:val="808080" w:themeColor="background1" w:themeShade="80"/>
          <w:sz w:val="16"/>
          <w:szCs w:val="16"/>
        </w:rPr>
        <w:t xml:space="preserve"> (3d edition), 2017, p. 23 (citing Jennifer Rae Taylor, Constitutionally Unprotected: Prison Slavery, Felon Disenfranchisement, and the Criminal Exception to Citizenship Rights, 47 </w:t>
      </w:r>
      <w:r w:rsidRPr="001167CB">
        <w:rPr>
          <w:rFonts w:asciiTheme="majorHAnsi" w:hAnsiTheme="majorHAnsi" w:cstheme="majorHAnsi"/>
          <w:i/>
          <w:color w:val="808080" w:themeColor="background1" w:themeShade="80"/>
          <w:sz w:val="16"/>
          <w:szCs w:val="16"/>
        </w:rPr>
        <w:t>Gonzaga Law Review</w:t>
      </w:r>
      <w:r w:rsidRPr="001167CB">
        <w:rPr>
          <w:rFonts w:asciiTheme="majorHAnsi" w:hAnsiTheme="majorHAnsi" w:cstheme="majorHAnsi"/>
          <w:color w:val="808080" w:themeColor="background1" w:themeShade="80"/>
          <w:sz w:val="16"/>
          <w:szCs w:val="16"/>
        </w:rPr>
        <w:t xml:space="preserve"> 365, 374 (2012));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David </w:t>
      </w:r>
      <w:proofErr w:type="spellStart"/>
      <w:r w:rsidRPr="001167CB">
        <w:rPr>
          <w:rFonts w:asciiTheme="majorHAnsi" w:hAnsiTheme="majorHAnsi" w:cstheme="majorHAnsi"/>
          <w:color w:val="808080" w:themeColor="background1" w:themeShade="80"/>
          <w:sz w:val="16"/>
          <w:szCs w:val="16"/>
        </w:rPr>
        <w:t>Oshinsky</w:t>
      </w:r>
      <w:proofErr w:type="spellEnd"/>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bCs/>
          <w:i/>
          <w:color w:val="808080" w:themeColor="background1" w:themeShade="80"/>
          <w:sz w:val="16"/>
          <w:szCs w:val="16"/>
        </w:rPr>
        <w:t xml:space="preserve">Worse than Slavery: </w:t>
      </w:r>
      <w:proofErr w:type="spellStart"/>
      <w:r w:rsidRPr="001167CB">
        <w:rPr>
          <w:rFonts w:asciiTheme="majorHAnsi" w:hAnsiTheme="majorHAnsi" w:cstheme="majorHAnsi"/>
          <w:bCs/>
          <w:i/>
          <w:color w:val="808080" w:themeColor="background1" w:themeShade="80"/>
          <w:sz w:val="16"/>
          <w:szCs w:val="16"/>
        </w:rPr>
        <w:t>Parchman</w:t>
      </w:r>
      <w:proofErr w:type="spellEnd"/>
      <w:r w:rsidRPr="001167CB">
        <w:rPr>
          <w:rFonts w:asciiTheme="majorHAnsi" w:hAnsiTheme="majorHAnsi" w:cstheme="majorHAnsi"/>
          <w:bCs/>
          <w:i/>
          <w:color w:val="808080" w:themeColor="background1" w:themeShade="80"/>
          <w:sz w:val="16"/>
          <w:szCs w:val="16"/>
        </w:rPr>
        <w:t xml:space="preserve"> Farm and the Ordeal of Jim Crow Justice</w:t>
      </w:r>
      <w:r w:rsidRPr="001167CB">
        <w:rPr>
          <w:rFonts w:asciiTheme="majorHAnsi" w:hAnsiTheme="majorHAnsi" w:cstheme="majorHAnsi"/>
          <w:bCs/>
          <w:color w:val="808080" w:themeColor="background1" w:themeShade="80"/>
          <w:sz w:val="16"/>
          <w:szCs w:val="16"/>
        </w:rPr>
        <w:t xml:space="preserve"> (New York: Free Press, 1997); Douglas Blackmon, </w:t>
      </w:r>
      <w:r w:rsidRPr="001167CB">
        <w:rPr>
          <w:rFonts w:asciiTheme="majorHAnsi" w:hAnsiTheme="majorHAnsi" w:cstheme="majorHAnsi"/>
          <w:bCs/>
          <w:i/>
          <w:color w:val="808080" w:themeColor="background1" w:themeShade="80"/>
          <w:sz w:val="16"/>
          <w:szCs w:val="16"/>
        </w:rPr>
        <w:t>Slavery by Another Name: The Re-Enslavement of Black Americans from the Civil War to World War II</w:t>
      </w:r>
      <w:r w:rsidRPr="001167CB">
        <w:rPr>
          <w:rFonts w:asciiTheme="majorHAnsi" w:hAnsiTheme="majorHAnsi" w:cstheme="majorHAnsi"/>
          <w:bCs/>
          <w:color w:val="808080" w:themeColor="background1" w:themeShade="80"/>
          <w:sz w:val="16"/>
          <w:szCs w:val="16"/>
        </w:rPr>
        <w:t xml:space="preserve"> (New York: Random House, 2008) (excerpted in Wall Street Journal, </w:t>
      </w:r>
      <w:hyperlink r:id="rId126" w:history="1">
        <w:r w:rsidRPr="001167CB">
          <w:rPr>
            <w:rStyle w:val="Hyperlink"/>
            <w:rFonts w:asciiTheme="majorHAnsi" w:hAnsiTheme="majorHAnsi" w:cstheme="majorHAnsi"/>
            <w:color w:val="808080" w:themeColor="background1" w:themeShade="80"/>
            <w:sz w:val="16"/>
            <w:szCs w:val="16"/>
          </w:rPr>
          <w:t>A Different Kind of Slavery</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Mar. </w:t>
      </w:r>
      <w:r w:rsidRPr="001167CB">
        <w:rPr>
          <w:rFonts w:asciiTheme="majorHAnsi" w:hAnsiTheme="majorHAnsi" w:cstheme="majorHAnsi"/>
          <w:bCs/>
          <w:color w:val="808080" w:themeColor="background1" w:themeShade="80"/>
          <w:sz w:val="16"/>
          <w:szCs w:val="16"/>
        </w:rPr>
        <w:t xml:space="preserve">29, 2008; </w:t>
      </w:r>
      <w:r w:rsidRPr="001167CB">
        <w:rPr>
          <w:rFonts w:asciiTheme="majorHAnsi" w:hAnsiTheme="majorHAnsi" w:cstheme="majorHAnsi"/>
          <w:bCs/>
          <w:i/>
          <w:color w:val="808080" w:themeColor="background1" w:themeShade="80"/>
          <w:sz w:val="16"/>
          <w:szCs w:val="16"/>
        </w:rPr>
        <w:t>see also</w:t>
      </w:r>
      <w:r w:rsidRPr="001167CB">
        <w:rPr>
          <w:rFonts w:asciiTheme="majorHAnsi" w:hAnsiTheme="majorHAnsi" w:cstheme="majorHAnsi"/>
          <w:bCs/>
          <w:color w:val="808080" w:themeColor="background1" w:themeShade="80"/>
          <w:sz w:val="16"/>
          <w:szCs w:val="16"/>
        </w:rPr>
        <w:t xml:space="preserve"> Wall Street Journal, </w:t>
      </w:r>
      <w:hyperlink r:id="rId127" w:history="1">
        <w:r w:rsidRPr="001167CB">
          <w:rPr>
            <w:rStyle w:val="Hyperlink"/>
            <w:rFonts w:asciiTheme="majorHAnsi" w:hAnsiTheme="majorHAnsi" w:cstheme="majorHAnsi"/>
            <w:color w:val="808080" w:themeColor="background1" w:themeShade="80"/>
            <w:sz w:val="16"/>
            <w:szCs w:val="16"/>
          </w:rPr>
          <w:t>From Alabama's Past, Capitalism Teamed With Racism to Create Cruel Partnership</w:t>
        </w:r>
      </w:hyperlink>
      <w:r w:rsidRPr="001167CB">
        <w:rPr>
          <w:rFonts w:asciiTheme="majorHAnsi" w:hAnsiTheme="majorHAnsi" w:cstheme="majorHAnsi"/>
          <w:bCs/>
          <w:color w:val="808080" w:themeColor="background1" w:themeShade="80"/>
          <w:sz w:val="16"/>
          <w:szCs w:val="16"/>
        </w:rPr>
        <w:t>, July 16, 2001).</w:t>
      </w:r>
    </w:p>
  </w:footnote>
  <w:footnote w:id="85">
    <w:p w14:paraId="01051F9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U.N., Working Group on People of African Descent, </w:t>
      </w:r>
      <w:hyperlink r:id="rId128" w:history="1">
        <w:r w:rsidRPr="001167CB">
          <w:rPr>
            <w:rStyle w:val="Hyperlink"/>
            <w:rFonts w:asciiTheme="majorHAnsi" w:hAnsiTheme="majorHAnsi" w:cstheme="majorHAnsi"/>
            <w:bCs/>
            <w:color w:val="808080" w:themeColor="background1" w:themeShade="80"/>
            <w:sz w:val="16"/>
            <w:szCs w:val="16"/>
          </w:rPr>
          <w:t>Report on mission to the U.S.</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18, 2016</w:t>
      </w:r>
      <w:r w:rsidRPr="001167CB">
        <w:rPr>
          <w:rFonts w:asciiTheme="majorHAnsi" w:hAnsiTheme="majorHAnsi" w:cstheme="majorHAnsi"/>
          <w:color w:val="808080" w:themeColor="background1" w:themeShade="80"/>
          <w:sz w:val="16"/>
          <w:szCs w:val="16"/>
        </w:rPr>
        <w:t>, para. 7.</w:t>
      </w:r>
    </w:p>
  </w:footnote>
  <w:footnote w:id="86">
    <w:p w14:paraId="3C99B9F3" w14:textId="5520FB89"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From 1885 to 1908, all eleven former Confederate states rewrote their constitutions to include provisions restricting voting rights with poll taxes, literacy tests, and felon </w:t>
      </w:r>
      <w:proofErr w:type="spellStart"/>
      <w:r w:rsidRPr="001167CB">
        <w:rPr>
          <w:rFonts w:asciiTheme="majorHAnsi" w:hAnsiTheme="majorHAnsi" w:cstheme="majorHAnsi"/>
          <w:color w:val="808080" w:themeColor="background1" w:themeShade="80"/>
          <w:sz w:val="16"/>
          <w:szCs w:val="16"/>
        </w:rPr>
        <w:t>disenfrachisement</w:t>
      </w:r>
      <w:proofErr w:type="spellEnd"/>
      <w:r w:rsidRPr="001167CB">
        <w:rPr>
          <w:rFonts w:asciiTheme="majorHAnsi" w:hAnsiTheme="majorHAnsi" w:cstheme="majorHAnsi"/>
          <w:color w:val="808080" w:themeColor="background1" w:themeShade="80"/>
          <w:sz w:val="16"/>
          <w:szCs w:val="16"/>
        </w:rPr>
        <w:t xml:space="preserve">; poll taxes and literacy tests remained legal until the passage of the Voting Rights Act in 1965. Equal Justice Initiative, </w:t>
      </w:r>
      <w:hyperlink r:id="rId129" w:history="1">
        <w:r w:rsidRPr="001167CB">
          <w:rPr>
            <w:rStyle w:val="Hyperlink"/>
            <w:rFonts w:asciiTheme="majorHAnsi" w:hAnsiTheme="majorHAnsi" w:cstheme="majorHAnsi"/>
            <w:color w:val="808080" w:themeColor="background1" w:themeShade="80"/>
            <w:sz w:val="16"/>
            <w:szCs w:val="16"/>
          </w:rPr>
          <w:t>Lynching in America</w:t>
        </w:r>
      </w:hyperlink>
      <w:r w:rsidRPr="001167CB">
        <w:rPr>
          <w:rFonts w:asciiTheme="majorHAnsi" w:hAnsiTheme="majorHAnsi" w:cstheme="majorHAnsi"/>
          <w:color w:val="808080" w:themeColor="background1" w:themeShade="80"/>
          <w:sz w:val="16"/>
          <w:szCs w:val="16"/>
        </w:rPr>
        <w:t xml:space="preserve"> (3d edition), 2017, p. 23. </w:t>
      </w:r>
      <w:r w:rsidRPr="001167CB">
        <w:rPr>
          <w:rFonts w:asciiTheme="majorHAnsi" w:hAnsiTheme="majorHAnsi" w:cstheme="majorHAnsi"/>
          <w:i/>
          <w:color w:val="808080" w:themeColor="background1" w:themeShade="80"/>
          <w:sz w:val="16"/>
          <w:szCs w:val="16"/>
        </w:rPr>
        <w:t xml:space="preserve">See supra </w:t>
      </w:r>
      <w:r w:rsidRPr="001167CB">
        <w:rPr>
          <w:rFonts w:asciiTheme="majorHAnsi" w:hAnsiTheme="majorHAnsi" w:cstheme="majorHAnsi"/>
          <w:color w:val="808080" w:themeColor="background1" w:themeShade="80"/>
          <w:sz w:val="16"/>
          <w:szCs w:val="16"/>
        </w:rPr>
        <w:t xml:space="preserve">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_Ref507082453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58</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87">
    <w:p w14:paraId="707F6DC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Ex-Confederate soldiers in the south formed the Klan in the months after the end of the Civil War in 1865, and became more organized and violent over the subsequent years. Southern Poverty Law Center, </w:t>
      </w:r>
      <w:hyperlink r:id="rId130" w:history="1">
        <w:r w:rsidRPr="001167CB">
          <w:rPr>
            <w:rStyle w:val="Hyperlink"/>
            <w:rFonts w:asciiTheme="majorHAnsi" w:hAnsiTheme="majorHAnsi" w:cstheme="majorHAnsi"/>
            <w:color w:val="808080" w:themeColor="background1" w:themeShade="80"/>
            <w:sz w:val="16"/>
            <w:szCs w:val="16"/>
          </w:rPr>
          <w:t>Ku Klux Klan: A History of Racism and Violence</w:t>
        </w:r>
      </w:hyperlink>
      <w:r w:rsidRPr="001167CB">
        <w:rPr>
          <w:rFonts w:asciiTheme="majorHAnsi" w:hAnsiTheme="majorHAnsi" w:cstheme="majorHAnsi"/>
          <w:color w:val="808080" w:themeColor="background1" w:themeShade="80"/>
          <w:sz w:val="16"/>
          <w:szCs w:val="16"/>
        </w:rPr>
        <w:t>, 2011.</w:t>
      </w:r>
    </w:p>
  </w:footnote>
  <w:footnote w:id="88">
    <w:p w14:paraId="63A4449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proofErr w:type="spellStart"/>
      <w:r w:rsidRPr="001167CB">
        <w:rPr>
          <w:rFonts w:asciiTheme="majorHAnsi" w:hAnsiTheme="majorHAnsi" w:cstheme="majorHAnsi"/>
          <w:color w:val="808080" w:themeColor="background1" w:themeShade="80"/>
          <w:sz w:val="16"/>
          <w:szCs w:val="16"/>
        </w:rPr>
        <w:t>Lynchings</w:t>
      </w:r>
      <w:proofErr w:type="spellEnd"/>
      <w:r w:rsidRPr="001167CB">
        <w:rPr>
          <w:rFonts w:asciiTheme="majorHAnsi" w:hAnsiTheme="majorHAnsi" w:cstheme="majorHAnsi"/>
          <w:color w:val="808080" w:themeColor="background1" w:themeShade="80"/>
          <w:sz w:val="16"/>
          <w:szCs w:val="16"/>
        </w:rPr>
        <w:t xml:space="preserve"> were violent, public acts of torture that traumatized Blacks throughout the country and were largely tolerated by state and federal officials. A recent report documented 4,084 racial terror </w:t>
      </w:r>
      <w:proofErr w:type="spellStart"/>
      <w:r w:rsidRPr="001167CB">
        <w:rPr>
          <w:rFonts w:asciiTheme="majorHAnsi" w:hAnsiTheme="majorHAnsi" w:cstheme="majorHAnsi"/>
          <w:color w:val="808080" w:themeColor="background1" w:themeShade="80"/>
          <w:sz w:val="16"/>
          <w:szCs w:val="16"/>
        </w:rPr>
        <w:t>lynchings</w:t>
      </w:r>
      <w:proofErr w:type="spellEnd"/>
      <w:r w:rsidRPr="001167CB">
        <w:rPr>
          <w:rFonts w:asciiTheme="majorHAnsi" w:hAnsiTheme="majorHAnsi" w:cstheme="majorHAnsi"/>
          <w:color w:val="808080" w:themeColor="background1" w:themeShade="80"/>
          <w:sz w:val="16"/>
          <w:szCs w:val="16"/>
        </w:rPr>
        <w:t xml:space="preserve"> in twelve southern states between 1877 and 1950, at least 800 more </w:t>
      </w:r>
      <w:proofErr w:type="spellStart"/>
      <w:r w:rsidRPr="001167CB">
        <w:rPr>
          <w:rFonts w:asciiTheme="majorHAnsi" w:hAnsiTheme="majorHAnsi" w:cstheme="majorHAnsi"/>
          <w:color w:val="808080" w:themeColor="background1" w:themeShade="80"/>
          <w:sz w:val="16"/>
          <w:szCs w:val="16"/>
        </w:rPr>
        <w:t>lynchings</w:t>
      </w:r>
      <w:proofErr w:type="spellEnd"/>
      <w:r w:rsidRPr="001167CB">
        <w:rPr>
          <w:rFonts w:asciiTheme="majorHAnsi" w:hAnsiTheme="majorHAnsi" w:cstheme="majorHAnsi"/>
          <w:color w:val="808080" w:themeColor="background1" w:themeShade="80"/>
          <w:sz w:val="16"/>
          <w:szCs w:val="16"/>
        </w:rPr>
        <w:t xml:space="preserve"> in these states than previously reported. The report also documented more than 300 racial terror </w:t>
      </w:r>
      <w:proofErr w:type="spellStart"/>
      <w:r w:rsidRPr="001167CB">
        <w:rPr>
          <w:rFonts w:asciiTheme="majorHAnsi" w:hAnsiTheme="majorHAnsi" w:cstheme="majorHAnsi"/>
          <w:color w:val="808080" w:themeColor="background1" w:themeShade="80"/>
          <w:sz w:val="16"/>
          <w:szCs w:val="16"/>
        </w:rPr>
        <w:t>lynchings</w:t>
      </w:r>
      <w:proofErr w:type="spellEnd"/>
      <w:r w:rsidRPr="001167CB">
        <w:rPr>
          <w:rFonts w:asciiTheme="majorHAnsi" w:hAnsiTheme="majorHAnsi" w:cstheme="majorHAnsi"/>
          <w:color w:val="808080" w:themeColor="background1" w:themeShade="80"/>
          <w:sz w:val="16"/>
          <w:szCs w:val="16"/>
        </w:rPr>
        <w:t xml:space="preserve"> in other states during this period. Equal Justice Initiative, </w:t>
      </w:r>
      <w:hyperlink r:id="rId131" w:history="1">
        <w:r w:rsidRPr="001167CB">
          <w:rPr>
            <w:rStyle w:val="Hyperlink"/>
            <w:rFonts w:asciiTheme="majorHAnsi" w:hAnsiTheme="majorHAnsi" w:cstheme="majorHAnsi"/>
            <w:color w:val="808080" w:themeColor="background1" w:themeShade="80"/>
            <w:sz w:val="16"/>
            <w:szCs w:val="16"/>
          </w:rPr>
          <w:t>Lynching in America</w:t>
        </w:r>
      </w:hyperlink>
      <w:r w:rsidRPr="001167CB">
        <w:rPr>
          <w:rFonts w:asciiTheme="majorHAnsi" w:hAnsiTheme="majorHAnsi" w:cstheme="majorHAnsi"/>
          <w:color w:val="808080" w:themeColor="background1" w:themeShade="80"/>
          <w:sz w:val="16"/>
          <w:szCs w:val="16"/>
        </w:rPr>
        <w:t xml:space="preserve"> (3d edition), 2017. </w:t>
      </w:r>
      <w:r w:rsidRPr="001167CB">
        <w:rPr>
          <w:rStyle w:val="reference-accessdate"/>
          <w:rFonts w:asciiTheme="majorHAnsi" w:hAnsiTheme="majorHAnsi" w:cstheme="majorHAnsi"/>
          <w:i/>
          <w:iCs/>
          <w:color w:val="808080" w:themeColor="background1" w:themeShade="80"/>
          <w:sz w:val="16"/>
          <w:szCs w:val="16"/>
        </w:rPr>
        <w:t xml:space="preserve">See also </w:t>
      </w:r>
      <w:r w:rsidRPr="001167CB">
        <w:rPr>
          <w:rFonts w:asciiTheme="majorHAnsi" w:hAnsiTheme="majorHAnsi" w:cstheme="majorHAnsi"/>
          <w:bCs/>
          <w:color w:val="808080" w:themeColor="background1" w:themeShade="80"/>
          <w:sz w:val="16"/>
          <w:szCs w:val="16"/>
        </w:rPr>
        <w:t xml:space="preserve">U.N., Working Group on People of African Descent, </w:t>
      </w:r>
      <w:hyperlink r:id="rId132" w:history="1">
        <w:r w:rsidRPr="001167CB">
          <w:rPr>
            <w:rStyle w:val="Hyperlink"/>
            <w:rFonts w:asciiTheme="majorHAnsi" w:hAnsiTheme="majorHAnsi" w:cstheme="majorHAnsi"/>
            <w:bCs/>
            <w:color w:val="808080" w:themeColor="background1" w:themeShade="80"/>
            <w:sz w:val="16"/>
            <w:szCs w:val="16"/>
          </w:rPr>
          <w:t>Report on mission to the U.S.</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18, 2016</w:t>
      </w:r>
      <w:r w:rsidRPr="001167CB">
        <w:rPr>
          <w:rFonts w:asciiTheme="majorHAnsi" w:hAnsiTheme="majorHAnsi" w:cstheme="majorHAnsi"/>
          <w:color w:val="808080" w:themeColor="background1" w:themeShade="80"/>
          <w:sz w:val="16"/>
          <w:szCs w:val="16"/>
        </w:rPr>
        <w:t xml:space="preserve">, </w:t>
      </w:r>
      <w:proofErr w:type="gramStart"/>
      <w:r w:rsidRPr="001167CB">
        <w:rPr>
          <w:rFonts w:asciiTheme="majorHAnsi" w:hAnsiTheme="majorHAnsi" w:cstheme="majorHAnsi"/>
          <w:color w:val="808080" w:themeColor="background1" w:themeShade="80"/>
          <w:sz w:val="16"/>
          <w:szCs w:val="16"/>
        </w:rPr>
        <w:t>para</w:t>
      </w:r>
      <w:proofErr w:type="gramEnd"/>
      <w:r w:rsidRPr="001167CB">
        <w:rPr>
          <w:rFonts w:asciiTheme="majorHAnsi" w:hAnsiTheme="majorHAnsi" w:cstheme="majorHAnsi"/>
          <w:color w:val="808080" w:themeColor="background1" w:themeShade="80"/>
          <w:sz w:val="16"/>
          <w:szCs w:val="16"/>
        </w:rPr>
        <w:t>. 7.</w:t>
      </w:r>
    </w:p>
    <w:p w14:paraId="2FE72227" w14:textId="77777777" w:rsidR="005C2394" w:rsidRPr="001167CB" w:rsidRDefault="005C2394" w:rsidP="000A1E39">
      <w:pPr>
        <w:pStyle w:val="FootnoteText"/>
        <w:spacing w:after="40"/>
        <w:ind w:left="547"/>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 xml:space="preserve">The EJI found that the decline of lynching “relied heavily on the increased use of capital punishment imposed by court order following an often accelerated trial. That the death penalty’s roots are sunk deep in the legacy of lynching is evidenced by the fact that public executions to mollify the mob continued after the practice was legally banned.” EJI, </w:t>
      </w:r>
      <w:hyperlink r:id="rId133" w:history="1">
        <w:r w:rsidRPr="001167CB">
          <w:rPr>
            <w:rStyle w:val="Hyperlink"/>
            <w:rFonts w:asciiTheme="majorHAnsi" w:hAnsiTheme="majorHAnsi" w:cstheme="majorHAnsi"/>
            <w:color w:val="808080" w:themeColor="background1" w:themeShade="80"/>
            <w:sz w:val="16"/>
            <w:szCs w:val="16"/>
          </w:rPr>
          <w:t>Lynching in America</w:t>
        </w:r>
      </w:hyperlink>
      <w:r w:rsidRPr="001167CB">
        <w:rPr>
          <w:rFonts w:asciiTheme="majorHAnsi" w:hAnsiTheme="majorHAnsi" w:cstheme="majorHAnsi"/>
          <w:color w:val="808080" w:themeColor="background1" w:themeShade="80"/>
          <w:sz w:val="16"/>
          <w:szCs w:val="16"/>
        </w:rPr>
        <w:t xml:space="preserve"> (3d edition), 2017.</w:t>
      </w:r>
    </w:p>
  </w:footnote>
  <w:footnote w:id="89">
    <w:p w14:paraId="511603D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e.g., </w:t>
      </w:r>
      <w:r w:rsidRPr="001167CB">
        <w:rPr>
          <w:rFonts w:asciiTheme="majorHAnsi" w:hAnsiTheme="majorHAnsi" w:cstheme="majorHAnsi"/>
          <w:color w:val="808080" w:themeColor="background1" w:themeShade="80"/>
          <w:sz w:val="16"/>
          <w:szCs w:val="16"/>
        </w:rPr>
        <w:t xml:space="preserve">William A. </w:t>
      </w:r>
      <w:proofErr w:type="spellStart"/>
      <w:r w:rsidRPr="001167CB">
        <w:rPr>
          <w:rFonts w:asciiTheme="majorHAnsi" w:hAnsiTheme="majorHAnsi" w:cstheme="majorHAnsi"/>
          <w:color w:val="808080" w:themeColor="background1" w:themeShade="80"/>
          <w:sz w:val="16"/>
          <w:szCs w:val="16"/>
        </w:rPr>
        <w:t>Darity</w:t>
      </w:r>
      <w:proofErr w:type="spellEnd"/>
      <w:r w:rsidRPr="001167CB">
        <w:rPr>
          <w:rFonts w:asciiTheme="majorHAnsi" w:hAnsiTheme="majorHAnsi" w:cstheme="majorHAnsi"/>
          <w:color w:val="808080" w:themeColor="background1" w:themeShade="80"/>
          <w:sz w:val="16"/>
          <w:szCs w:val="16"/>
        </w:rPr>
        <w:t xml:space="preserve">, Jr. &amp; Dania Frank (2005), “The Economics of Reparations,” in Conrad et al., eds., </w:t>
      </w:r>
      <w:r w:rsidRPr="001167CB">
        <w:rPr>
          <w:rFonts w:asciiTheme="majorHAnsi" w:hAnsiTheme="majorHAnsi" w:cstheme="majorHAnsi"/>
          <w:i/>
          <w:color w:val="808080" w:themeColor="background1" w:themeShade="80"/>
          <w:sz w:val="16"/>
          <w:szCs w:val="16"/>
        </w:rPr>
        <w:t>African Americans in the US Economy</w:t>
      </w:r>
      <w:r w:rsidRPr="001167CB">
        <w:rPr>
          <w:rFonts w:asciiTheme="majorHAnsi" w:hAnsiTheme="majorHAnsi" w:cstheme="majorHAnsi"/>
          <w:color w:val="808080" w:themeColor="background1" w:themeShade="80"/>
          <w:sz w:val="16"/>
          <w:szCs w:val="16"/>
        </w:rPr>
        <w:t xml:space="preserve"> (2005), p. 335. The authors argue that the grotesque violence of public </w:t>
      </w:r>
      <w:proofErr w:type="spellStart"/>
      <w:r w:rsidRPr="001167CB">
        <w:rPr>
          <w:rFonts w:asciiTheme="majorHAnsi" w:hAnsiTheme="majorHAnsi" w:cstheme="majorHAnsi"/>
          <w:color w:val="808080" w:themeColor="background1" w:themeShade="80"/>
          <w:sz w:val="16"/>
          <w:szCs w:val="16"/>
        </w:rPr>
        <w:t>lynchings</w:t>
      </w:r>
      <w:proofErr w:type="spellEnd"/>
      <w:r w:rsidRPr="001167CB">
        <w:rPr>
          <w:rFonts w:asciiTheme="majorHAnsi" w:hAnsiTheme="majorHAnsi" w:cstheme="majorHAnsi"/>
          <w:color w:val="808080" w:themeColor="background1" w:themeShade="80"/>
          <w:sz w:val="16"/>
          <w:szCs w:val="16"/>
        </w:rPr>
        <w:t xml:space="preserve"> was closely linked to the theft of Black property, citing hundreds of documented cases of land theft as well as the race riots in Wilmington, NC (1898), Tulsa, Oklahoma (1921), and Rosewood, Florida (1923), which burned prosperous Black communities in those cities to the ground. </w:t>
      </w:r>
    </w:p>
  </w:footnote>
  <w:footnote w:id="90">
    <w:p w14:paraId="549E287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w:t>
      </w:r>
      <w:r w:rsidRPr="001167CB">
        <w:rPr>
          <w:rFonts w:asciiTheme="majorHAnsi" w:hAnsiTheme="majorHAnsi" w:cstheme="majorHAnsi"/>
          <w:color w:val="808080" w:themeColor="background1" w:themeShade="80"/>
          <w:sz w:val="16"/>
          <w:szCs w:val="16"/>
        </w:rPr>
        <w:t xml:space="preserve">The Atlantic Magazine, </w:t>
      </w:r>
      <w:hyperlink r:id="rId134" w:history="1">
        <w:r w:rsidRPr="001167CB">
          <w:rPr>
            <w:rStyle w:val="Hyperlink"/>
            <w:rFonts w:asciiTheme="majorHAnsi" w:hAnsiTheme="majorHAnsi" w:cstheme="majorHAnsi"/>
            <w:color w:val="808080" w:themeColor="background1" w:themeShade="80"/>
            <w:sz w:val="16"/>
            <w:szCs w:val="16"/>
          </w:rPr>
          <w:t>The Case for Reparations</w:t>
        </w:r>
      </w:hyperlink>
      <w:r w:rsidRPr="001167CB">
        <w:rPr>
          <w:rFonts w:asciiTheme="majorHAnsi" w:hAnsiTheme="majorHAnsi" w:cstheme="majorHAnsi"/>
          <w:color w:val="808080" w:themeColor="background1" w:themeShade="80"/>
          <w:sz w:val="16"/>
          <w:szCs w:val="16"/>
        </w:rPr>
        <w:t xml:space="preserve">, June 2014; Richard Rothstein, </w:t>
      </w:r>
      <w:r w:rsidRPr="001167CB">
        <w:rPr>
          <w:rFonts w:asciiTheme="majorHAnsi" w:hAnsiTheme="majorHAnsi" w:cstheme="majorHAnsi"/>
          <w:i/>
          <w:color w:val="808080" w:themeColor="background1" w:themeShade="80"/>
          <w:sz w:val="16"/>
          <w:szCs w:val="16"/>
        </w:rPr>
        <w:t>The Color of Law: A Forgotten History of How Our Government Segregated America</w:t>
      </w:r>
      <w:r w:rsidRPr="001167CB">
        <w:rPr>
          <w:rFonts w:asciiTheme="majorHAnsi" w:hAnsiTheme="majorHAnsi" w:cstheme="majorHAnsi"/>
          <w:color w:val="808080" w:themeColor="background1" w:themeShade="80"/>
          <w:sz w:val="16"/>
          <w:szCs w:val="16"/>
        </w:rPr>
        <w:t xml:space="preserve"> (New York: </w:t>
      </w:r>
      <w:proofErr w:type="spellStart"/>
      <w:r w:rsidRPr="001167CB">
        <w:rPr>
          <w:rFonts w:asciiTheme="majorHAnsi" w:hAnsiTheme="majorHAnsi" w:cstheme="majorHAnsi"/>
          <w:color w:val="808080" w:themeColor="background1" w:themeShade="80"/>
          <w:sz w:val="16"/>
          <w:szCs w:val="16"/>
        </w:rPr>
        <w:t>Liveright</w:t>
      </w:r>
      <w:proofErr w:type="spellEnd"/>
      <w:r w:rsidRPr="001167CB">
        <w:rPr>
          <w:rFonts w:asciiTheme="majorHAnsi" w:hAnsiTheme="majorHAnsi" w:cstheme="majorHAnsi"/>
          <w:color w:val="808080" w:themeColor="background1" w:themeShade="80"/>
          <w:sz w:val="16"/>
          <w:szCs w:val="16"/>
        </w:rPr>
        <w:t>, 2017).</w:t>
      </w:r>
    </w:p>
  </w:footnote>
  <w:footnote w:id="91">
    <w:p w14:paraId="52845E5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New Yorker, </w:t>
      </w:r>
      <w:hyperlink r:id="rId135" w:history="1">
        <w:r w:rsidRPr="001167CB">
          <w:rPr>
            <w:rStyle w:val="Hyperlink"/>
            <w:rFonts w:asciiTheme="majorHAnsi" w:hAnsiTheme="majorHAnsi" w:cstheme="majorHAnsi"/>
            <w:color w:val="808080" w:themeColor="background1" w:themeShade="80"/>
            <w:sz w:val="16"/>
            <w:szCs w:val="16"/>
          </w:rPr>
          <w:t>The Widening Racial Wealth Divide</w:t>
        </w:r>
      </w:hyperlink>
      <w:r w:rsidRPr="001167CB">
        <w:rPr>
          <w:rFonts w:asciiTheme="majorHAnsi" w:hAnsiTheme="majorHAnsi" w:cstheme="majorHAnsi"/>
          <w:color w:val="808080" w:themeColor="background1" w:themeShade="80"/>
          <w:sz w:val="16"/>
          <w:szCs w:val="16"/>
        </w:rPr>
        <w:t xml:space="preserve">, Oct. 10, 2016; Forbes, </w:t>
      </w:r>
      <w:hyperlink r:id="rId136" w:anchor="6a3532261f45" w:history="1">
        <w:r w:rsidRPr="001167CB">
          <w:rPr>
            <w:rStyle w:val="Hyperlink"/>
            <w:rFonts w:asciiTheme="majorHAnsi" w:hAnsiTheme="majorHAnsi" w:cstheme="majorHAnsi"/>
            <w:color w:val="808080" w:themeColor="background1" w:themeShade="80"/>
            <w:sz w:val="16"/>
            <w:szCs w:val="16"/>
          </w:rPr>
          <w:t>The Racial Wealth Gap: Why A Typical White Household Has 16 Times The Wealth Of A Black One</w:t>
        </w:r>
      </w:hyperlink>
      <w:r w:rsidRPr="001167CB">
        <w:rPr>
          <w:rFonts w:asciiTheme="majorHAnsi" w:hAnsiTheme="majorHAnsi" w:cstheme="majorHAnsi"/>
          <w:color w:val="808080" w:themeColor="background1" w:themeShade="80"/>
          <w:sz w:val="16"/>
          <w:szCs w:val="16"/>
        </w:rPr>
        <w:t xml:space="preserve">, Mar. 26, 2015. Since the 2008 financial crisis, there has been increasing scrutiny of predatory lending practices against Black and other minority communities. Chicago Tribune, </w:t>
      </w:r>
      <w:hyperlink r:id="rId137" w:history="1">
        <w:proofErr w:type="gramStart"/>
        <w:r w:rsidRPr="001167CB">
          <w:rPr>
            <w:rStyle w:val="Hyperlink"/>
            <w:rFonts w:asciiTheme="majorHAnsi" w:hAnsiTheme="majorHAnsi" w:cstheme="majorHAnsi"/>
            <w:color w:val="808080" w:themeColor="background1" w:themeShade="80"/>
            <w:sz w:val="16"/>
            <w:szCs w:val="16"/>
          </w:rPr>
          <w:t>Why</w:t>
        </w:r>
        <w:proofErr w:type="gramEnd"/>
        <w:r w:rsidRPr="001167CB">
          <w:rPr>
            <w:rStyle w:val="Hyperlink"/>
            <w:rFonts w:asciiTheme="majorHAnsi" w:hAnsiTheme="majorHAnsi" w:cstheme="majorHAnsi"/>
            <w:color w:val="808080" w:themeColor="background1" w:themeShade="80"/>
            <w:sz w:val="16"/>
            <w:szCs w:val="16"/>
          </w:rPr>
          <w:t xml:space="preserve"> black homeownership rates lag even as the housing market recovers</w:t>
        </w:r>
      </w:hyperlink>
      <w:r w:rsidRPr="001167CB">
        <w:rPr>
          <w:rFonts w:asciiTheme="majorHAnsi" w:hAnsiTheme="majorHAnsi" w:cstheme="majorHAnsi"/>
          <w:color w:val="808080" w:themeColor="background1" w:themeShade="80"/>
          <w:sz w:val="16"/>
          <w:szCs w:val="16"/>
        </w:rPr>
        <w:t xml:space="preserve">, June 21, 2017; New York Times, </w:t>
      </w:r>
      <w:hyperlink r:id="rId138" w:history="1">
        <w:r w:rsidRPr="001167CB">
          <w:rPr>
            <w:rStyle w:val="Hyperlink"/>
            <w:rFonts w:asciiTheme="majorHAnsi" w:hAnsiTheme="majorHAnsi" w:cstheme="majorHAnsi"/>
            <w:color w:val="808080" w:themeColor="background1" w:themeShade="80"/>
            <w:sz w:val="16"/>
            <w:szCs w:val="16"/>
          </w:rPr>
          <w:t>How Homeownership Became the Engine of American Inequality</w:t>
        </w:r>
      </w:hyperlink>
      <w:r w:rsidRPr="001167CB">
        <w:rPr>
          <w:rFonts w:asciiTheme="majorHAnsi" w:hAnsiTheme="majorHAnsi" w:cstheme="majorHAnsi"/>
          <w:color w:val="808080" w:themeColor="background1" w:themeShade="80"/>
          <w:sz w:val="16"/>
          <w:szCs w:val="16"/>
        </w:rPr>
        <w:t xml:space="preserve">, May 9, 2017. </w:t>
      </w:r>
    </w:p>
  </w:footnote>
  <w:footnote w:id="92">
    <w:p w14:paraId="3B24E18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Equal Justice Initiative, </w:t>
      </w:r>
      <w:hyperlink r:id="rId139" w:history="1">
        <w:r w:rsidRPr="001167CB">
          <w:rPr>
            <w:rStyle w:val="Hyperlink"/>
            <w:rFonts w:asciiTheme="majorHAnsi" w:hAnsiTheme="majorHAnsi" w:cstheme="majorHAnsi"/>
            <w:color w:val="808080" w:themeColor="background1" w:themeShade="80"/>
            <w:sz w:val="16"/>
            <w:szCs w:val="16"/>
          </w:rPr>
          <w:t>Lynching in America</w:t>
        </w:r>
      </w:hyperlink>
      <w:r w:rsidRPr="001167CB">
        <w:rPr>
          <w:rFonts w:asciiTheme="majorHAnsi" w:hAnsiTheme="majorHAnsi" w:cstheme="majorHAnsi"/>
          <w:color w:val="808080" w:themeColor="background1" w:themeShade="80"/>
          <w:sz w:val="16"/>
          <w:szCs w:val="16"/>
        </w:rPr>
        <w:t xml:space="preserve"> (3d edition), 2017, p. 58.</w:t>
      </w:r>
    </w:p>
  </w:footnote>
  <w:footnote w:id="93">
    <w:p w14:paraId="10ED371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Brown I</w:t>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347 U.S. 483 (1954); </w:t>
      </w:r>
      <w:r w:rsidRPr="001167CB">
        <w:rPr>
          <w:rFonts w:asciiTheme="majorHAnsi" w:hAnsiTheme="majorHAnsi" w:cstheme="majorHAnsi"/>
          <w:i/>
          <w:color w:val="808080" w:themeColor="background1" w:themeShade="80"/>
          <w:sz w:val="16"/>
          <w:szCs w:val="16"/>
        </w:rPr>
        <w:t>Brown II</w:t>
      </w:r>
      <w:r w:rsidRPr="001167CB">
        <w:rPr>
          <w:rFonts w:asciiTheme="majorHAnsi" w:hAnsiTheme="majorHAnsi" w:cstheme="majorHAnsi"/>
          <w:color w:val="808080" w:themeColor="background1" w:themeShade="80"/>
          <w:sz w:val="16"/>
          <w:szCs w:val="16"/>
        </w:rPr>
        <w:t xml:space="preserve">, 349 U.S. 294 (1955). Prior public university desegregation cases included </w:t>
      </w:r>
      <w:proofErr w:type="spellStart"/>
      <w:r w:rsidRPr="001167CB">
        <w:rPr>
          <w:rFonts w:asciiTheme="majorHAnsi" w:hAnsiTheme="majorHAnsi" w:cstheme="majorHAnsi"/>
          <w:i/>
          <w:color w:val="808080" w:themeColor="background1" w:themeShade="80"/>
          <w:sz w:val="16"/>
          <w:szCs w:val="16"/>
        </w:rPr>
        <w:t>Sweatt</w:t>
      </w:r>
      <w:proofErr w:type="spellEnd"/>
      <w:r w:rsidRPr="001167CB">
        <w:rPr>
          <w:rFonts w:asciiTheme="majorHAnsi" w:hAnsiTheme="majorHAnsi" w:cstheme="majorHAnsi"/>
          <w:i/>
          <w:color w:val="808080" w:themeColor="background1" w:themeShade="80"/>
          <w:sz w:val="16"/>
          <w:szCs w:val="16"/>
        </w:rPr>
        <w:t xml:space="preserve"> v. Painter</w:t>
      </w:r>
      <w:r w:rsidRPr="001167CB">
        <w:rPr>
          <w:rFonts w:asciiTheme="majorHAnsi" w:hAnsiTheme="majorHAnsi" w:cstheme="majorHAnsi"/>
          <w:color w:val="808080" w:themeColor="background1" w:themeShade="80"/>
          <w:sz w:val="16"/>
          <w:szCs w:val="16"/>
        </w:rPr>
        <w:t xml:space="preserve">, 339 U.S. 629 (1950) (regarding desegregation of the University of Texas School of Law), and </w:t>
      </w:r>
      <w:r w:rsidRPr="001167CB">
        <w:rPr>
          <w:rFonts w:asciiTheme="majorHAnsi" w:hAnsiTheme="majorHAnsi" w:cstheme="majorHAnsi"/>
          <w:i/>
          <w:color w:val="808080" w:themeColor="background1" w:themeShade="80"/>
          <w:sz w:val="16"/>
          <w:szCs w:val="16"/>
        </w:rPr>
        <w:t>McLaurin v. Oklahoma State Regents</w:t>
      </w:r>
      <w:r w:rsidRPr="001167CB">
        <w:rPr>
          <w:rFonts w:asciiTheme="majorHAnsi" w:hAnsiTheme="majorHAnsi" w:cstheme="majorHAnsi"/>
          <w:color w:val="808080" w:themeColor="background1" w:themeShade="80"/>
          <w:sz w:val="16"/>
          <w:szCs w:val="16"/>
        </w:rPr>
        <w:t>, 339 U.S. 637 (1950) (regarding desegregation of the University of Oklahoma School of Law).</w:t>
      </w:r>
    </w:p>
  </w:footnote>
  <w:footnote w:id="94">
    <w:p w14:paraId="77680E0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Heart of Atlanta Motel v. U.S., 379 U.S. 241 (1964); </w:t>
      </w:r>
      <w:proofErr w:type="spellStart"/>
      <w:r w:rsidRPr="001167CB">
        <w:rPr>
          <w:rFonts w:asciiTheme="majorHAnsi" w:hAnsiTheme="majorHAnsi" w:cstheme="majorHAnsi"/>
          <w:color w:val="808080" w:themeColor="background1" w:themeShade="80"/>
          <w:sz w:val="16"/>
          <w:szCs w:val="16"/>
        </w:rPr>
        <w:t>Katzenbach</w:t>
      </w:r>
      <w:proofErr w:type="spellEnd"/>
      <w:r w:rsidRPr="001167CB">
        <w:rPr>
          <w:rFonts w:asciiTheme="majorHAnsi" w:hAnsiTheme="majorHAnsi" w:cstheme="majorHAnsi"/>
          <w:color w:val="808080" w:themeColor="background1" w:themeShade="80"/>
          <w:sz w:val="16"/>
          <w:szCs w:val="16"/>
        </w:rPr>
        <w:t xml:space="preserve"> v. McClung (“Ollie’s Barbeque”), 379 U.S. 294 (1964).</w:t>
      </w:r>
    </w:p>
  </w:footnote>
  <w:footnote w:id="95">
    <w:p w14:paraId="6DF0039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These include not only Civil Rights and Black Power movements but also, among others, the American Indian Movement, the Red Power and Chicano Movements, the United Farm Workers Movement, the rise of the New Left and the anti-Vietnam War movement, and the women’s liberation and gay liberation movements.</w:t>
      </w:r>
    </w:p>
  </w:footnote>
  <w:footnote w:id="96">
    <w:p w14:paraId="2BC726F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John </w:t>
      </w:r>
      <w:proofErr w:type="spellStart"/>
      <w:r w:rsidRPr="001167CB">
        <w:rPr>
          <w:rFonts w:asciiTheme="majorHAnsi" w:hAnsiTheme="majorHAnsi" w:cstheme="majorHAnsi"/>
          <w:color w:val="808080" w:themeColor="background1" w:themeShade="80"/>
          <w:sz w:val="16"/>
          <w:szCs w:val="16"/>
        </w:rPr>
        <w:t>Erlichman</w:t>
      </w:r>
      <w:proofErr w:type="spellEnd"/>
      <w:r w:rsidRPr="001167CB">
        <w:rPr>
          <w:rFonts w:asciiTheme="majorHAnsi" w:hAnsiTheme="majorHAnsi" w:cstheme="majorHAnsi"/>
          <w:color w:val="808080" w:themeColor="background1" w:themeShade="80"/>
          <w:sz w:val="16"/>
          <w:szCs w:val="16"/>
        </w:rPr>
        <w:t xml:space="preserve">, a Watergate co-conspirator and former domestic policy adviser to President Richard Nixon (1969-74), was quoted in a 1994 interview recently published by Harper’s saying, "[The Nixon Administration] had two enemies: the antiwar left and black people [...] We knew we couldn’t make it illegal to be either against the war or black, but by getting the public to associate the hippies with marijuana and blacks with heroin, and then criminalizing both heavily, we could disrupt those communities. We could arrest their leaders, raid their homes, break up their meetings, and vilify them night after night on the evening news. Did we know we were lying about the drugs? Of course we did." Harper’s Magazine, </w:t>
      </w:r>
      <w:hyperlink r:id="rId140" w:history="1">
        <w:r w:rsidRPr="001167CB">
          <w:rPr>
            <w:rStyle w:val="Hyperlink"/>
            <w:rFonts w:asciiTheme="majorHAnsi" w:hAnsiTheme="majorHAnsi" w:cstheme="majorHAnsi"/>
            <w:color w:val="808080" w:themeColor="background1" w:themeShade="80"/>
            <w:sz w:val="16"/>
            <w:szCs w:val="16"/>
          </w:rPr>
          <w:t>Legalize It All: How to win the war on drugs</w:t>
        </w:r>
      </w:hyperlink>
      <w:r w:rsidRPr="001167CB">
        <w:rPr>
          <w:rFonts w:asciiTheme="majorHAnsi" w:hAnsiTheme="majorHAnsi" w:cstheme="majorHAnsi"/>
          <w:color w:val="808080" w:themeColor="background1" w:themeShade="80"/>
          <w:sz w:val="16"/>
          <w:szCs w:val="16"/>
        </w:rPr>
        <w:t>, Apr. 2016.</w:t>
      </w:r>
    </w:p>
    <w:p w14:paraId="122E29CC" w14:textId="77777777" w:rsidR="005C2394" w:rsidRPr="001167CB" w:rsidRDefault="005C2394" w:rsidP="00F233D9">
      <w:pPr>
        <w:pStyle w:val="FootnoteText"/>
        <w:spacing w:after="40"/>
        <w:ind w:left="547"/>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Activists associated with many of the movements listed above were also actively pursued and harassed by the federal government, most prominently the FBI under the Counterintelligence Program (“COINTELPRO”), during the 1960s as well.</w:t>
      </w:r>
    </w:p>
  </w:footnote>
  <w:footnote w:id="97">
    <w:p w14:paraId="100631B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141" w:history="1">
        <w:r w:rsidRPr="001167CB">
          <w:rPr>
            <w:rStyle w:val="Hyperlink"/>
            <w:rFonts w:asciiTheme="majorHAnsi" w:hAnsiTheme="majorHAnsi" w:cstheme="majorHAnsi"/>
            <w:color w:val="808080" w:themeColor="background1" w:themeShade="80"/>
            <w:sz w:val="16"/>
            <w:szCs w:val="16"/>
          </w:rPr>
          <w:t>Measures to Reduce Pretrial Detention</w:t>
        </w:r>
      </w:hyperlink>
      <w:r w:rsidRPr="001167CB">
        <w:rPr>
          <w:rFonts w:asciiTheme="majorHAnsi" w:hAnsiTheme="majorHAnsi" w:cstheme="majorHAnsi"/>
          <w:color w:val="808080" w:themeColor="background1" w:themeShade="80"/>
          <w:sz w:val="16"/>
          <w:szCs w:val="16"/>
        </w:rPr>
        <w:t>,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 xml:space="preserve">/V/II.163, (2017), para. 9;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IACHR, 150th Period of Sessions, “Drug Policies and Human Rights in the Americas,” Mar. 25, 2014. Video available at: </w:t>
      </w:r>
      <w:hyperlink r:id="rId142" w:history="1">
        <w:r w:rsidRPr="001167CB">
          <w:rPr>
            <w:rStyle w:val="Hyperlink"/>
            <w:rFonts w:asciiTheme="majorHAnsi" w:hAnsiTheme="majorHAnsi" w:cstheme="majorHAnsi"/>
            <w:color w:val="808080" w:themeColor="background1" w:themeShade="80"/>
            <w:sz w:val="16"/>
            <w:szCs w:val="16"/>
          </w:rPr>
          <w:t>https://www.youtube.com/watch?v=YqsAddPVcMI</w:t>
        </w:r>
      </w:hyperlink>
      <w:r w:rsidRPr="001167CB">
        <w:rPr>
          <w:rFonts w:asciiTheme="majorHAnsi" w:hAnsiTheme="majorHAnsi" w:cstheme="majorHAnsi"/>
          <w:color w:val="808080" w:themeColor="background1" w:themeShade="80"/>
          <w:sz w:val="16"/>
          <w:szCs w:val="16"/>
        </w:rPr>
        <w:t xml:space="preserve">. </w:t>
      </w:r>
    </w:p>
  </w:footnote>
  <w:footnote w:id="98">
    <w:p w14:paraId="58ADA1E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Human Rights Committee, </w:t>
      </w:r>
      <w:hyperlink r:id="rId143" w:history="1">
        <w:r w:rsidRPr="001167CB">
          <w:rPr>
            <w:rStyle w:val="Hyperlink"/>
            <w:rFonts w:asciiTheme="majorHAnsi" w:hAnsiTheme="majorHAnsi" w:cstheme="majorHAnsi"/>
            <w:i/>
            <w:color w:val="808080" w:themeColor="background1" w:themeShade="80"/>
            <w:sz w:val="16"/>
            <w:szCs w:val="16"/>
          </w:rPr>
          <w:t>Report of the Special Rapporteur on the rights to freedom of peaceful assembly and of association on his follow-up Mission to the United States of America</w:t>
        </w:r>
      </w:hyperlink>
      <w:r w:rsidRPr="001167CB">
        <w:rPr>
          <w:rFonts w:asciiTheme="majorHAnsi" w:hAnsiTheme="majorHAnsi" w:cstheme="majorHAnsi"/>
          <w:color w:val="808080" w:themeColor="background1" w:themeShade="80"/>
          <w:sz w:val="16"/>
          <w:szCs w:val="16"/>
        </w:rPr>
        <w:t xml:space="preserve">, A/HRC/35/28/Add.2, June 12, 2017, para. 13 (citations omitted);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bCs/>
          <w:color w:val="808080" w:themeColor="background1" w:themeShade="80"/>
          <w:sz w:val="16"/>
          <w:szCs w:val="16"/>
        </w:rPr>
        <w:t xml:space="preserve">U.N., Working Group on People of African Descent, </w:t>
      </w:r>
      <w:hyperlink r:id="rId144" w:history="1">
        <w:r w:rsidRPr="001167CB">
          <w:rPr>
            <w:rStyle w:val="Hyperlink"/>
            <w:rFonts w:asciiTheme="majorHAnsi" w:hAnsiTheme="majorHAnsi" w:cstheme="majorHAnsi"/>
            <w:bCs/>
            <w:color w:val="808080" w:themeColor="background1" w:themeShade="80"/>
            <w:sz w:val="16"/>
            <w:szCs w:val="16"/>
          </w:rPr>
          <w:t>Report on mission to the U.S.</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18, 2016</w:t>
      </w:r>
      <w:r w:rsidRPr="001167CB">
        <w:rPr>
          <w:rFonts w:asciiTheme="majorHAnsi" w:hAnsiTheme="majorHAnsi" w:cstheme="majorHAnsi"/>
          <w:color w:val="808080" w:themeColor="background1" w:themeShade="80"/>
          <w:sz w:val="16"/>
          <w:szCs w:val="16"/>
        </w:rPr>
        <w:t>, para. 31.</w:t>
      </w:r>
    </w:p>
  </w:footnote>
  <w:footnote w:id="99">
    <w:p w14:paraId="1828064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Bureau of Justice Statistics (BJS), </w:t>
      </w:r>
      <w:hyperlink r:id="rId145" w:history="1">
        <w:r w:rsidRPr="001167CB">
          <w:rPr>
            <w:rStyle w:val="Hyperlink"/>
            <w:rFonts w:asciiTheme="majorHAnsi" w:hAnsiTheme="majorHAnsi" w:cstheme="majorHAnsi"/>
            <w:color w:val="808080" w:themeColor="background1" w:themeShade="80"/>
            <w:sz w:val="16"/>
            <w:szCs w:val="16"/>
          </w:rPr>
          <w:t>Bulletin: Prisoners 1925-81</w:t>
        </w:r>
      </w:hyperlink>
      <w:r w:rsidRPr="001167CB">
        <w:rPr>
          <w:rFonts w:asciiTheme="majorHAnsi" w:hAnsiTheme="majorHAnsi" w:cstheme="majorHAnsi"/>
          <w:color w:val="808080" w:themeColor="background1" w:themeShade="80"/>
          <w:sz w:val="16"/>
          <w:szCs w:val="16"/>
        </w:rPr>
        <w:t xml:space="preserve">, Dec. 1982; BJS, </w:t>
      </w:r>
      <w:hyperlink r:id="rId146" w:history="1">
        <w:r w:rsidRPr="001167CB">
          <w:rPr>
            <w:rStyle w:val="Hyperlink"/>
            <w:rFonts w:asciiTheme="majorHAnsi" w:hAnsiTheme="majorHAnsi" w:cstheme="majorHAnsi"/>
            <w:color w:val="808080" w:themeColor="background1" w:themeShade="80"/>
            <w:sz w:val="16"/>
            <w:szCs w:val="16"/>
          </w:rPr>
          <w:t>Prisoners in 2016</w:t>
        </w:r>
      </w:hyperlink>
      <w:r w:rsidRPr="001167CB">
        <w:rPr>
          <w:rFonts w:asciiTheme="majorHAnsi" w:hAnsiTheme="majorHAnsi" w:cstheme="majorHAnsi"/>
          <w:color w:val="808080" w:themeColor="background1" w:themeShade="80"/>
          <w:sz w:val="16"/>
          <w:szCs w:val="16"/>
        </w:rPr>
        <w:t>, Jan. 9, 2018.</w:t>
      </w:r>
    </w:p>
  </w:footnote>
  <w:footnote w:id="100">
    <w:p w14:paraId="528503CB" w14:textId="32E72F48"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infra </w:t>
      </w:r>
      <w:r w:rsidRPr="001167CB">
        <w:rPr>
          <w:rFonts w:asciiTheme="majorHAnsi" w:hAnsiTheme="majorHAnsi" w:cstheme="majorHAnsi"/>
          <w:color w:val="808080" w:themeColor="background1" w:themeShade="80"/>
          <w:sz w:val="16"/>
          <w:szCs w:val="16"/>
        </w:rPr>
        <w:t xml:space="preserve">paras.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_Ref507083898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129</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-134.</w:t>
      </w:r>
    </w:p>
  </w:footnote>
  <w:footnote w:id="101">
    <w:p w14:paraId="53EF593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Atlantic Magazine, </w:t>
      </w:r>
      <w:hyperlink r:id="rId147" w:history="1">
        <w:r w:rsidRPr="001167CB">
          <w:rPr>
            <w:rStyle w:val="Hyperlink"/>
            <w:rFonts w:asciiTheme="majorHAnsi" w:hAnsiTheme="majorHAnsi" w:cstheme="majorHAnsi"/>
            <w:color w:val="808080" w:themeColor="background1" w:themeShade="80"/>
            <w:sz w:val="16"/>
            <w:szCs w:val="16"/>
          </w:rPr>
          <w:t>Broken Windows: The police and neighborhood safety</w:t>
        </w:r>
      </w:hyperlink>
      <w:r w:rsidRPr="001167CB">
        <w:rPr>
          <w:rFonts w:asciiTheme="majorHAnsi" w:hAnsiTheme="majorHAnsi" w:cstheme="majorHAnsi"/>
          <w:color w:val="808080" w:themeColor="background1" w:themeShade="80"/>
          <w:sz w:val="16"/>
          <w:szCs w:val="16"/>
        </w:rPr>
        <w:t>, Mar. 1982 (“[I]f a window in a building is broken and is left unrepaired, all the rest of the windows will soon be broken. […] one unrepaired broken window is a signal that no one cares, and so breaking more windows costs nothing.”).</w:t>
      </w:r>
    </w:p>
  </w:footnote>
  <w:footnote w:id="102">
    <w:p w14:paraId="203E5DF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Id</w:t>
      </w:r>
      <w:r w:rsidRPr="001167CB">
        <w:rPr>
          <w:rFonts w:asciiTheme="majorHAnsi" w:hAnsiTheme="majorHAnsi" w:cstheme="majorHAnsi"/>
          <w:color w:val="808080" w:themeColor="background1" w:themeShade="80"/>
          <w:sz w:val="16"/>
          <w:szCs w:val="16"/>
        </w:rPr>
        <w:t xml:space="preserve">. </w:t>
      </w:r>
    </w:p>
  </w:footnote>
  <w:footnote w:id="103">
    <w:p w14:paraId="13A85F9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“This wish to "decriminalize" disreputable behavior that "harms no one" […] is, we think, a mistake. Arresting a single drunk or a single vagrant who has harmed no identifiable person seems unjust, and in a sense it is. But failing to do anything about a score of drunks or a hundred vagrants may destroy an entire community. […] Of course, agencies other than the police could attend to the problems posed by drunks or the mentally ill, but in most communities especially where the "deinstitutionalization" movement has been strong—they do not.” The Atlantic Magazine, </w:t>
      </w:r>
      <w:hyperlink r:id="rId148" w:history="1">
        <w:r w:rsidRPr="001167CB">
          <w:rPr>
            <w:rStyle w:val="Hyperlink"/>
            <w:rFonts w:asciiTheme="majorHAnsi" w:hAnsiTheme="majorHAnsi" w:cstheme="majorHAnsi"/>
            <w:color w:val="808080" w:themeColor="background1" w:themeShade="80"/>
            <w:sz w:val="16"/>
            <w:szCs w:val="16"/>
          </w:rPr>
          <w:t>Broken Windows: The police and neighborhood safety</w:t>
        </w:r>
      </w:hyperlink>
      <w:r w:rsidRPr="001167CB">
        <w:rPr>
          <w:rFonts w:asciiTheme="majorHAnsi" w:hAnsiTheme="majorHAnsi" w:cstheme="majorHAnsi"/>
          <w:color w:val="808080" w:themeColor="background1" w:themeShade="80"/>
          <w:sz w:val="16"/>
          <w:szCs w:val="16"/>
        </w:rPr>
        <w:t>, Mar. 1982.</w:t>
      </w:r>
    </w:p>
  </w:footnote>
  <w:footnote w:id="104">
    <w:p w14:paraId="3D67216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Los Angeles Times, </w:t>
      </w:r>
      <w:hyperlink r:id="rId149" w:history="1">
        <w:r w:rsidRPr="001167CB">
          <w:rPr>
            <w:rStyle w:val="Hyperlink"/>
            <w:rFonts w:asciiTheme="majorHAnsi" w:hAnsiTheme="majorHAnsi" w:cstheme="majorHAnsi"/>
            <w:color w:val="808080" w:themeColor="background1" w:themeShade="80"/>
            <w:sz w:val="16"/>
            <w:szCs w:val="16"/>
          </w:rPr>
          <w:t>Bratton's ‘broken windows’</w:t>
        </w:r>
      </w:hyperlink>
      <w:r w:rsidRPr="001167CB">
        <w:rPr>
          <w:rFonts w:asciiTheme="majorHAnsi" w:hAnsiTheme="majorHAnsi" w:cstheme="majorHAnsi"/>
          <w:color w:val="808080" w:themeColor="background1" w:themeShade="80"/>
          <w:sz w:val="16"/>
          <w:szCs w:val="16"/>
        </w:rPr>
        <w:t>, Apr. 20, 2006.</w:t>
      </w:r>
    </w:p>
  </w:footnote>
  <w:footnote w:id="105">
    <w:p w14:paraId="3879638E" w14:textId="72E1AC6C"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infra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_Ref507084368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80</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106">
    <w:p w14:paraId="23ED111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ACLU, </w:t>
      </w:r>
      <w:hyperlink r:id="rId150" w:history="1">
        <w:r w:rsidRPr="001167CB">
          <w:rPr>
            <w:rStyle w:val="Hyperlink"/>
            <w:rFonts w:asciiTheme="majorHAnsi" w:hAnsiTheme="majorHAnsi" w:cstheme="majorHAnsi"/>
            <w:color w:val="808080" w:themeColor="background1" w:themeShade="80"/>
            <w:sz w:val="16"/>
            <w:szCs w:val="16"/>
          </w:rPr>
          <w:t>War Comes Home: The Excessive Militarization of American Policing</w:t>
        </w:r>
      </w:hyperlink>
      <w:r w:rsidRPr="001167CB">
        <w:rPr>
          <w:rFonts w:asciiTheme="majorHAnsi" w:hAnsiTheme="majorHAnsi" w:cstheme="majorHAnsi"/>
          <w:color w:val="808080" w:themeColor="background1" w:themeShade="80"/>
          <w:sz w:val="16"/>
          <w:szCs w:val="16"/>
        </w:rPr>
        <w:t>, June 2014, p. 16.</w:t>
      </w:r>
    </w:p>
  </w:footnote>
  <w:footnote w:id="107">
    <w:p w14:paraId="58B52BF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Id</w:t>
      </w:r>
      <w:r w:rsidRPr="001167CB">
        <w:rPr>
          <w:rFonts w:asciiTheme="majorHAnsi" w:hAnsiTheme="majorHAnsi" w:cstheme="majorHAnsi"/>
          <w:color w:val="808080" w:themeColor="background1" w:themeShade="80"/>
          <w:sz w:val="16"/>
          <w:szCs w:val="16"/>
        </w:rPr>
        <w:t>. at p. 17.</w:t>
      </w:r>
    </w:p>
  </w:footnote>
  <w:footnote w:id="108">
    <w:p w14:paraId="3963AA2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151" w:history="1">
        <w:r w:rsidRPr="001167CB">
          <w:rPr>
            <w:rStyle w:val="Hyperlink"/>
            <w:rFonts w:asciiTheme="majorHAnsi" w:hAnsiTheme="majorHAnsi" w:cstheme="majorHAnsi"/>
            <w:bCs/>
            <w:color w:val="808080" w:themeColor="background1" w:themeShade="80"/>
            <w:sz w:val="16"/>
            <w:szCs w:val="16"/>
          </w:rPr>
          <w:t>Walter Scott Press Release</w:t>
        </w:r>
      </w:hyperlink>
      <w:r w:rsidRPr="001167CB">
        <w:rPr>
          <w:rFonts w:asciiTheme="majorHAnsi" w:hAnsiTheme="majorHAnsi" w:cstheme="majorHAnsi"/>
          <w:color w:val="808080" w:themeColor="background1" w:themeShade="80"/>
          <w:sz w:val="16"/>
          <w:szCs w:val="16"/>
        </w:rPr>
        <w:t xml:space="preserve">, Apr. 17, 2015;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IACHR, </w:t>
      </w:r>
      <w:hyperlink r:id="rId152" w:history="1">
        <w:r w:rsidRPr="001167CB">
          <w:rPr>
            <w:rStyle w:val="Hyperlink"/>
            <w:rFonts w:asciiTheme="majorHAnsi" w:hAnsiTheme="majorHAnsi" w:cstheme="majorHAnsi"/>
            <w:color w:val="808080" w:themeColor="background1" w:themeShade="80"/>
            <w:sz w:val="16"/>
            <w:szCs w:val="16"/>
          </w:rPr>
          <w:t>Hearing on Reports of Excessive Use of Force by the Police against People of African Descent in the United States</w:t>
        </w:r>
      </w:hyperlink>
      <w:r w:rsidRPr="001167CB">
        <w:rPr>
          <w:rFonts w:asciiTheme="majorHAnsi" w:hAnsiTheme="majorHAnsi" w:cstheme="majorHAnsi"/>
          <w:color w:val="808080" w:themeColor="background1" w:themeShade="80"/>
          <w:sz w:val="16"/>
          <w:szCs w:val="16"/>
        </w:rPr>
        <w:t xml:space="preserve">, 156th regular session, Oct. 23, 2015. In its 2016 Press Release, the IACHR expressed its concern over the deaths of Freddie Gray, Michael Brown, </w:t>
      </w:r>
      <w:proofErr w:type="spellStart"/>
      <w:r w:rsidRPr="001167CB">
        <w:rPr>
          <w:rFonts w:asciiTheme="majorHAnsi" w:hAnsiTheme="majorHAnsi" w:cstheme="majorHAnsi"/>
          <w:color w:val="808080" w:themeColor="background1" w:themeShade="80"/>
          <w:sz w:val="16"/>
          <w:szCs w:val="16"/>
        </w:rPr>
        <w:t>Tamir</w:t>
      </w:r>
      <w:proofErr w:type="spellEnd"/>
      <w:r w:rsidRPr="001167CB">
        <w:rPr>
          <w:rFonts w:asciiTheme="majorHAnsi" w:hAnsiTheme="majorHAnsi" w:cstheme="majorHAnsi"/>
          <w:color w:val="808080" w:themeColor="background1" w:themeShade="80"/>
          <w:sz w:val="16"/>
          <w:szCs w:val="16"/>
        </w:rPr>
        <w:t xml:space="preserve"> Rice, Eric Garner, </w:t>
      </w:r>
      <w:proofErr w:type="spellStart"/>
      <w:r w:rsidRPr="001167CB">
        <w:rPr>
          <w:rFonts w:asciiTheme="majorHAnsi" w:hAnsiTheme="majorHAnsi" w:cstheme="majorHAnsi"/>
          <w:color w:val="808080" w:themeColor="background1" w:themeShade="80"/>
          <w:sz w:val="16"/>
          <w:szCs w:val="16"/>
        </w:rPr>
        <w:t>Philando</w:t>
      </w:r>
      <w:proofErr w:type="spellEnd"/>
      <w:r w:rsidRPr="001167CB">
        <w:rPr>
          <w:rFonts w:asciiTheme="majorHAnsi" w:hAnsiTheme="majorHAnsi" w:cstheme="majorHAnsi"/>
          <w:color w:val="808080" w:themeColor="background1" w:themeShade="80"/>
          <w:sz w:val="16"/>
          <w:szCs w:val="16"/>
        </w:rPr>
        <w:t xml:space="preserve"> Castile, and Alton Sterling, as well as continued impunity in these cases (e.g. dismissal of charges prior to trial; failure to fire officers involved). </w:t>
      </w:r>
    </w:p>
  </w:footnote>
  <w:footnote w:id="109">
    <w:p w14:paraId="3F8429DC" w14:textId="77777777" w:rsidR="005C2394" w:rsidRPr="001167CB" w:rsidRDefault="005C2394" w:rsidP="002C64F8">
      <w:pPr>
        <w:pStyle w:val="FootnoteText"/>
        <w:spacing w:after="40"/>
        <w:ind w:left="547" w:hanging="547"/>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NPR, </w:t>
      </w:r>
      <w:hyperlink r:id="rId153" w:history="1">
        <w:r w:rsidRPr="001167CB">
          <w:rPr>
            <w:rStyle w:val="Hyperlink"/>
            <w:rFonts w:asciiTheme="majorHAnsi" w:hAnsiTheme="majorHAnsi" w:cstheme="majorHAnsi"/>
            <w:color w:val="808080" w:themeColor="background1" w:themeShade="80"/>
            <w:sz w:val="16"/>
            <w:szCs w:val="16"/>
          </w:rPr>
          <w:t xml:space="preserve">When LA Erupted In Anger: A Look Back At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Rodney King Riots</w:t>
        </w:r>
      </w:hyperlink>
      <w:r w:rsidRPr="001167CB">
        <w:rPr>
          <w:rFonts w:asciiTheme="majorHAnsi" w:hAnsiTheme="majorHAnsi" w:cstheme="majorHAnsi"/>
          <w:color w:val="808080" w:themeColor="background1" w:themeShade="80"/>
          <w:sz w:val="16"/>
          <w:szCs w:val="16"/>
        </w:rPr>
        <w:t>, Apr. 26, 2017.</w:t>
      </w:r>
    </w:p>
  </w:footnote>
  <w:footnote w:id="110">
    <w:p w14:paraId="4C46A886" w14:textId="77777777" w:rsidR="005C2394" w:rsidRPr="001167CB" w:rsidRDefault="005C2394" w:rsidP="002C64F8">
      <w:pPr>
        <w:pStyle w:val="FootnoteText"/>
        <w:spacing w:after="40"/>
        <w:ind w:left="547" w:hanging="547"/>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New York Times, </w:t>
      </w:r>
      <w:hyperlink r:id="rId154" w:history="1">
        <w:r w:rsidRPr="001167CB">
          <w:rPr>
            <w:rStyle w:val="Hyperlink"/>
            <w:rFonts w:asciiTheme="majorHAnsi" w:hAnsiTheme="majorHAnsi" w:cstheme="majorHAnsi"/>
            <w:color w:val="808080" w:themeColor="background1" w:themeShade="80"/>
            <w:sz w:val="16"/>
            <w:szCs w:val="16"/>
          </w:rPr>
          <w:t>Officers in Bronx Fire 41 Shots, And an Unarmed Man Is Killed</w:t>
        </w:r>
      </w:hyperlink>
      <w:r w:rsidRPr="001167CB">
        <w:rPr>
          <w:rFonts w:asciiTheme="majorHAnsi" w:hAnsiTheme="majorHAnsi" w:cstheme="majorHAnsi"/>
          <w:color w:val="808080" w:themeColor="background1" w:themeShade="80"/>
          <w:sz w:val="16"/>
          <w:szCs w:val="16"/>
        </w:rPr>
        <w:t>, Feb. 5, 1999.</w:t>
      </w:r>
    </w:p>
  </w:footnote>
  <w:footnote w:id="111">
    <w:p w14:paraId="4DBC0115" w14:textId="648AA9EB"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w:t>
      </w:r>
      <w:r w:rsidRPr="001167CB">
        <w:rPr>
          <w:rFonts w:asciiTheme="majorHAnsi" w:hAnsiTheme="majorHAnsi" w:cstheme="majorHAnsi"/>
          <w:bCs/>
          <w:color w:val="808080" w:themeColor="background1" w:themeShade="80"/>
          <w:sz w:val="16"/>
          <w:szCs w:val="16"/>
        </w:rPr>
        <w:t xml:space="preserve">IACHR, 150th Period of Sessions, </w:t>
      </w:r>
      <w:hyperlink r:id="rId155" w:history="1">
        <w:r w:rsidRPr="001167CB">
          <w:rPr>
            <w:rStyle w:val="Hyperlink"/>
            <w:rFonts w:asciiTheme="majorHAnsi" w:hAnsiTheme="majorHAnsi" w:cstheme="majorHAnsi"/>
            <w:bCs/>
            <w:color w:val="808080" w:themeColor="background1" w:themeShade="80"/>
            <w:sz w:val="16"/>
            <w:szCs w:val="16"/>
          </w:rPr>
          <w:t>“‘Stand Your Ground’ Laws”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27, 2014.</w:t>
      </w:r>
      <w:r w:rsidRPr="001167CB">
        <w:rPr>
          <w:rFonts w:asciiTheme="majorHAnsi" w:hAnsiTheme="majorHAnsi" w:cstheme="majorHAnsi"/>
          <w:color w:val="808080" w:themeColor="background1" w:themeShade="80"/>
          <w:sz w:val="16"/>
          <w:szCs w:val="16"/>
        </w:rPr>
        <w:t xml:space="preserve"> Although Martin was killed by a private individual and his killing raises different legal issues related to Florida’s “Stand Your Ground” law under which George Zimmerman successfully argued he was not guilty of murder (</w:t>
      </w:r>
      <w:r w:rsidRPr="001167CB">
        <w:rPr>
          <w:rFonts w:asciiTheme="majorHAnsi" w:hAnsiTheme="majorHAnsi" w:cstheme="majorHAnsi"/>
          <w:i/>
          <w:color w:val="808080" w:themeColor="background1" w:themeShade="80"/>
          <w:sz w:val="16"/>
          <w:szCs w:val="16"/>
        </w:rPr>
        <w:t xml:space="preserve">see infra </w:t>
      </w:r>
      <w:r w:rsidRPr="001167CB">
        <w:rPr>
          <w:rFonts w:asciiTheme="majorHAnsi" w:hAnsiTheme="majorHAnsi" w:cstheme="majorHAnsi"/>
          <w:color w:val="808080" w:themeColor="background1" w:themeShade="80"/>
          <w:sz w:val="16"/>
          <w:szCs w:val="16"/>
        </w:rPr>
        <w:t xml:space="preserve">paras.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_Ref507167635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152</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-157), his death was a key moment for raising public consciousness of the problem of excessive use of force against African Americans and the emergence of social movements like Black Lives Matter.</w:t>
      </w:r>
    </w:p>
  </w:footnote>
  <w:footnote w:id="112">
    <w:p w14:paraId="40826BC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iCs/>
          <w:color w:val="808080" w:themeColor="background1" w:themeShade="80"/>
          <w:sz w:val="16"/>
          <w:szCs w:val="16"/>
        </w:rPr>
        <w:t xml:space="preserve">See </w:t>
      </w:r>
      <w:r w:rsidRPr="001167CB">
        <w:rPr>
          <w:rFonts w:asciiTheme="majorHAnsi" w:hAnsiTheme="majorHAnsi" w:cstheme="majorHAnsi"/>
          <w:color w:val="808080" w:themeColor="background1" w:themeShade="80"/>
          <w:sz w:val="16"/>
          <w:szCs w:val="16"/>
        </w:rPr>
        <w:t xml:space="preserve">Black Lives Matter website: </w:t>
      </w:r>
      <w:hyperlink r:id="rId156" w:history="1">
        <w:r w:rsidRPr="001167CB">
          <w:rPr>
            <w:rStyle w:val="Hyperlink"/>
            <w:rFonts w:asciiTheme="majorHAnsi" w:hAnsiTheme="majorHAnsi" w:cstheme="majorHAnsi"/>
            <w:color w:val="808080" w:themeColor="background1" w:themeShade="80"/>
            <w:sz w:val="16"/>
            <w:szCs w:val="16"/>
          </w:rPr>
          <w:t>http://blacklivesmatter.com/</w:t>
        </w:r>
      </w:hyperlink>
      <w:r w:rsidRPr="001167CB">
        <w:rPr>
          <w:rFonts w:asciiTheme="majorHAnsi" w:hAnsiTheme="majorHAnsi" w:cstheme="majorHAnsi"/>
          <w:color w:val="808080" w:themeColor="background1" w:themeShade="80"/>
          <w:sz w:val="16"/>
          <w:szCs w:val="16"/>
        </w:rPr>
        <w:t>, last visited Jan. 30, 2018. BLM is “a call to action and a response to the virulent anti-Black racism that permeates [...] society” and addresses “extrajudicial killings of Black people by police and vigilantes.”</w:t>
      </w:r>
    </w:p>
  </w:footnote>
  <w:footnote w:id="113">
    <w:p w14:paraId="666C9EE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157" w:history="1">
        <w:r w:rsidRPr="001167CB">
          <w:rPr>
            <w:rStyle w:val="Hyperlink"/>
            <w:rFonts w:asciiTheme="majorHAnsi" w:hAnsiTheme="majorHAnsi" w:cstheme="majorHAnsi"/>
            <w:bCs/>
            <w:color w:val="808080" w:themeColor="background1" w:themeShade="80"/>
            <w:sz w:val="16"/>
            <w:szCs w:val="16"/>
          </w:rPr>
          <w:t>Eric Garner and Michael Brown Press Release</w:t>
        </w:r>
      </w:hyperlink>
      <w:r w:rsidRPr="001167CB">
        <w:rPr>
          <w:rFonts w:asciiTheme="majorHAnsi" w:hAnsiTheme="majorHAnsi" w:cstheme="majorHAnsi"/>
          <w:color w:val="808080" w:themeColor="background1" w:themeShade="80"/>
          <w:sz w:val="16"/>
          <w:szCs w:val="16"/>
        </w:rPr>
        <w:t xml:space="preserve">, Aug. 22, 2014; IACHR, </w:t>
      </w:r>
      <w:hyperlink r:id="rId158" w:history="1">
        <w:r w:rsidRPr="001167CB">
          <w:rPr>
            <w:rStyle w:val="Hyperlink"/>
            <w:rFonts w:asciiTheme="majorHAnsi" w:hAnsiTheme="majorHAnsi" w:cstheme="majorHAnsi"/>
            <w:bCs/>
            <w:color w:val="808080" w:themeColor="background1" w:themeShade="80"/>
            <w:sz w:val="16"/>
            <w:szCs w:val="16"/>
          </w:rPr>
          <w:t>Walter Scott Press Release</w:t>
        </w:r>
      </w:hyperlink>
      <w:r w:rsidRPr="001167CB">
        <w:rPr>
          <w:rFonts w:asciiTheme="majorHAnsi" w:hAnsiTheme="majorHAnsi" w:cstheme="majorHAnsi"/>
          <w:color w:val="808080" w:themeColor="background1" w:themeShade="80"/>
          <w:sz w:val="16"/>
          <w:szCs w:val="16"/>
        </w:rPr>
        <w:t>, Apr. 17, 2015.</w:t>
      </w:r>
    </w:p>
  </w:footnote>
  <w:footnote w:id="114">
    <w:p w14:paraId="701820C9" w14:textId="77777777"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159" w:history="1">
        <w:r w:rsidRPr="001167CB">
          <w:rPr>
            <w:rStyle w:val="Hyperlink"/>
            <w:rFonts w:asciiTheme="majorHAnsi" w:hAnsiTheme="majorHAnsi" w:cstheme="majorHAnsi"/>
            <w:color w:val="808080" w:themeColor="background1" w:themeShade="80"/>
            <w:sz w:val="16"/>
            <w:szCs w:val="16"/>
          </w:rPr>
          <w:t>Violence, Children and Organized Crime</w:t>
        </w:r>
      </w:hyperlink>
      <w:r w:rsidRPr="001167CB">
        <w:rPr>
          <w:rFonts w:asciiTheme="majorHAnsi" w:hAnsiTheme="majorHAnsi" w:cstheme="majorHAnsi"/>
          <w:color w:val="808080" w:themeColor="background1" w:themeShade="80"/>
          <w:sz w:val="16"/>
          <w:szCs w:val="16"/>
        </w:rPr>
        <w:t xml:space="preserve">, OAS/ </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/V/II.Doc.40/15 (2015), para. 191.</w:t>
      </w:r>
    </w:p>
  </w:footnote>
  <w:footnote w:id="115">
    <w:p w14:paraId="68AEB34E" w14:textId="2E1F3E5B"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also supra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_Ref504647147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65</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116">
    <w:p w14:paraId="1121B3F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n-GB"/>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160"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 xml:space="preserve">, para. 143. </w:t>
      </w:r>
    </w:p>
  </w:footnote>
  <w:footnote w:id="117">
    <w:p w14:paraId="55010103" w14:textId="19844283"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infra</w:t>
      </w:r>
      <w:r w:rsidRPr="001167CB">
        <w:rPr>
          <w:rFonts w:asciiTheme="majorHAnsi" w:hAnsiTheme="majorHAnsi" w:cstheme="majorHAnsi"/>
          <w:color w:val="808080" w:themeColor="background1" w:themeShade="80"/>
          <w:sz w:val="16"/>
          <w:szCs w:val="16"/>
        </w:rPr>
        <w:t xml:space="preserve"> paras. 191-196.</w:t>
      </w:r>
    </w:p>
  </w:footnote>
  <w:footnote w:id="118">
    <w:p w14:paraId="2290AF7A" w14:textId="77777777"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161"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w:t>
      </w:r>
      <w:r w:rsidRPr="001167CB">
        <w:rPr>
          <w:rFonts w:asciiTheme="majorHAnsi" w:hAnsiTheme="majorHAnsi" w:cstheme="majorHAnsi"/>
          <w:color w:val="808080" w:themeColor="background1" w:themeShade="80"/>
          <w:sz w:val="16"/>
          <w:szCs w:val="16"/>
        </w:rPr>
        <w:t xml:space="preserve"> para. 148.</w:t>
      </w:r>
    </w:p>
  </w:footnote>
  <w:footnote w:id="119">
    <w:p w14:paraId="23A8979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National Advisory Commission on Civil Disorders, </w:t>
      </w:r>
      <w:r w:rsidRPr="001167CB">
        <w:rPr>
          <w:rFonts w:asciiTheme="majorHAnsi" w:hAnsiTheme="majorHAnsi" w:cstheme="majorHAnsi"/>
          <w:i/>
          <w:color w:val="808080" w:themeColor="background1" w:themeShade="80"/>
          <w:sz w:val="16"/>
          <w:szCs w:val="16"/>
        </w:rPr>
        <w:t>Report of the National Advisory Commission on Civil Disorders</w:t>
      </w:r>
      <w:r w:rsidRPr="001167CB">
        <w:rPr>
          <w:rFonts w:asciiTheme="majorHAnsi" w:hAnsiTheme="majorHAnsi" w:cstheme="majorHAnsi"/>
          <w:color w:val="808080" w:themeColor="background1" w:themeShade="80"/>
          <w:sz w:val="16"/>
          <w:szCs w:val="16"/>
        </w:rPr>
        <w:t xml:space="preserve"> (Washington, D.C.: U.S. Government Printing Office, 1968), p. 5; </w:t>
      </w:r>
      <w:r w:rsidRPr="001167CB">
        <w:rPr>
          <w:rFonts w:asciiTheme="majorHAnsi" w:hAnsiTheme="majorHAnsi" w:cstheme="majorHAnsi"/>
          <w:i/>
          <w:color w:val="808080" w:themeColor="background1" w:themeShade="80"/>
          <w:sz w:val="16"/>
          <w:szCs w:val="16"/>
        </w:rPr>
        <w:t xml:space="preserve">see also </w:t>
      </w:r>
      <w:r w:rsidRPr="001167CB">
        <w:rPr>
          <w:rFonts w:asciiTheme="majorHAnsi" w:hAnsiTheme="majorHAnsi" w:cstheme="majorHAnsi"/>
          <w:color w:val="808080" w:themeColor="background1" w:themeShade="80"/>
          <w:sz w:val="16"/>
          <w:szCs w:val="16"/>
        </w:rPr>
        <w:t xml:space="preserve">Steven </w:t>
      </w:r>
      <w:proofErr w:type="spellStart"/>
      <w:r w:rsidRPr="001167CB">
        <w:rPr>
          <w:rFonts w:asciiTheme="majorHAnsi" w:hAnsiTheme="majorHAnsi" w:cstheme="majorHAnsi"/>
          <w:color w:val="808080" w:themeColor="background1" w:themeShade="80"/>
          <w:sz w:val="16"/>
          <w:szCs w:val="16"/>
        </w:rPr>
        <w:t>Gillon</w:t>
      </w:r>
      <w:proofErr w:type="spellEnd"/>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 xml:space="preserve">Separate and Unequal: The </w:t>
      </w:r>
      <w:proofErr w:type="spellStart"/>
      <w:r w:rsidRPr="001167CB">
        <w:rPr>
          <w:rFonts w:asciiTheme="majorHAnsi" w:hAnsiTheme="majorHAnsi" w:cstheme="majorHAnsi"/>
          <w:i/>
          <w:color w:val="808080" w:themeColor="background1" w:themeShade="80"/>
          <w:sz w:val="16"/>
          <w:szCs w:val="16"/>
        </w:rPr>
        <w:t>Kerner</w:t>
      </w:r>
      <w:proofErr w:type="spellEnd"/>
      <w:r w:rsidRPr="001167CB">
        <w:rPr>
          <w:rFonts w:asciiTheme="majorHAnsi" w:hAnsiTheme="majorHAnsi" w:cstheme="majorHAnsi"/>
          <w:i/>
          <w:color w:val="808080" w:themeColor="background1" w:themeShade="80"/>
          <w:sz w:val="16"/>
          <w:szCs w:val="16"/>
        </w:rPr>
        <w:t xml:space="preserve"> Commission and the Unraveling of American Liberalism</w:t>
      </w:r>
      <w:r w:rsidRPr="001167CB">
        <w:rPr>
          <w:rFonts w:asciiTheme="majorHAnsi" w:hAnsiTheme="majorHAnsi" w:cstheme="majorHAnsi"/>
          <w:color w:val="808080" w:themeColor="background1" w:themeShade="80"/>
          <w:sz w:val="16"/>
          <w:szCs w:val="16"/>
        </w:rPr>
        <w:t xml:space="preserve"> (New York: Basic Books, 2018); Smithsonian, </w:t>
      </w:r>
      <w:hyperlink r:id="rId162" w:anchor="EIdcLdmkVHvlrpYi.99" w:history="1">
        <w:r w:rsidRPr="001167CB">
          <w:rPr>
            <w:rStyle w:val="Hyperlink"/>
            <w:rFonts w:asciiTheme="majorHAnsi" w:hAnsiTheme="majorHAnsi" w:cstheme="majorHAnsi"/>
            <w:color w:val="808080" w:themeColor="background1" w:themeShade="80"/>
            <w:sz w:val="16"/>
            <w:szCs w:val="16"/>
          </w:rPr>
          <w:t xml:space="preserve">Study Shows Little Change Since </w:t>
        </w:r>
        <w:proofErr w:type="spellStart"/>
        <w:r w:rsidRPr="001167CB">
          <w:rPr>
            <w:rStyle w:val="Hyperlink"/>
            <w:rFonts w:asciiTheme="majorHAnsi" w:hAnsiTheme="majorHAnsi" w:cstheme="majorHAnsi"/>
            <w:color w:val="808080" w:themeColor="background1" w:themeShade="80"/>
            <w:sz w:val="16"/>
            <w:szCs w:val="16"/>
          </w:rPr>
          <w:t>Kerner</w:t>
        </w:r>
        <w:proofErr w:type="spellEnd"/>
        <w:r w:rsidRPr="001167CB">
          <w:rPr>
            <w:rStyle w:val="Hyperlink"/>
            <w:rFonts w:asciiTheme="majorHAnsi" w:hAnsiTheme="majorHAnsi" w:cstheme="majorHAnsi"/>
            <w:color w:val="808080" w:themeColor="background1" w:themeShade="80"/>
            <w:sz w:val="16"/>
            <w:szCs w:val="16"/>
          </w:rPr>
          <w:t xml:space="preserve"> Commission Reported on Racism 50 Years Ago</w:t>
        </w:r>
      </w:hyperlink>
      <w:r w:rsidRPr="001167CB">
        <w:rPr>
          <w:rFonts w:asciiTheme="majorHAnsi" w:hAnsiTheme="majorHAnsi" w:cstheme="majorHAnsi"/>
          <w:color w:val="808080" w:themeColor="background1" w:themeShade="80"/>
          <w:sz w:val="16"/>
          <w:szCs w:val="16"/>
        </w:rPr>
        <w:t>, Mar. 2, 2018.</w:t>
      </w:r>
    </w:p>
  </w:footnote>
  <w:footnote w:id="120">
    <w:p w14:paraId="15CB4AA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eastAsia="Times New Roman" w:hAnsiTheme="majorHAnsi" w:cstheme="majorHAnsi"/>
          <w:color w:val="808080" w:themeColor="background1" w:themeShade="80"/>
          <w:sz w:val="16"/>
          <w:szCs w:val="16"/>
          <w:lang w:eastAsia="es-ES"/>
        </w:rPr>
        <w:t xml:space="preserve">The Commission received information that following the September 2001 terrorist attacks, a shift in federal policing priorities influenced the culture of local policing toward “homeland security” and greater militarization. This led to </w:t>
      </w:r>
      <w:r w:rsidRPr="001167CB">
        <w:rPr>
          <w:rFonts w:asciiTheme="majorHAnsi" w:hAnsiTheme="majorHAnsi" w:cstheme="majorHAnsi"/>
          <w:color w:val="808080" w:themeColor="background1" w:themeShade="80"/>
          <w:sz w:val="16"/>
          <w:szCs w:val="16"/>
          <w:shd w:val="clear" w:color="auto" w:fill="FFFFFF"/>
        </w:rPr>
        <w:t xml:space="preserve">the adoption of a “warrior mentality” rather than a “guardian mentality” by police toward the communities they serve. </w:t>
      </w:r>
      <w:r w:rsidRPr="001167CB">
        <w:rPr>
          <w:rFonts w:asciiTheme="majorHAnsi" w:hAnsiTheme="majorHAnsi" w:cstheme="majorHAnsi"/>
          <w:color w:val="808080" w:themeColor="background1" w:themeShade="80"/>
          <w:sz w:val="16"/>
          <w:szCs w:val="16"/>
        </w:rPr>
        <w:t xml:space="preserve">Interview with Mayor Regalado, IACHR visit to the United States, Sept. 21, 2015. </w:t>
      </w:r>
      <w:r w:rsidRPr="001167CB">
        <w:rPr>
          <w:rFonts w:asciiTheme="majorHAnsi" w:hAnsiTheme="majorHAnsi" w:cstheme="majorHAnsi"/>
          <w:i/>
          <w:color w:val="808080" w:themeColor="background1" w:themeShade="80"/>
          <w:sz w:val="16"/>
          <w:szCs w:val="16"/>
        </w:rPr>
        <w:t>Accord</w:t>
      </w:r>
      <w:r w:rsidRPr="001167CB">
        <w:rPr>
          <w:rFonts w:asciiTheme="majorHAnsi" w:hAnsiTheme="majorHAnsi" w:cstheme="majorHAnsi"/>
          <w:color w:val="808080" w:themeColor="background1" w:themeShade="80"/>
          <w:sz w:val="16"/>
          <w:szCs w:val="16"/>
        </w:rPr>
        <w:t xml:space="preserve">. ACLU, </w:t>
      </w:r>
      <w:hyperlink r:id="rId163" w:history="1">
        <w:r w:rsidRPr="001167CB">
          <w:rPr>
            <w:rStyle w:val="Hyperlink"/>
            <w:rFonts w:asciiTheme="majorHAnsi" w:hAnsiTheme="majorHAnsi" w:cstheme="majorHAnsi"/>
            <w:color w:val="808080" w:themeColor="background1" w:themeShade="80"/>
            <w:sz w:val="16"/>
            <w:szCs w:val="16"/>
          </w:rPr>
          <w:t>War Comes Home: The Excessive Militarization of American Policing</w:t>
        </w:r>
      </w:hyperlink>
      <w:r w:rsidRPr="001167CB">
        <w:rPr>
          <w:rFonts w:asciiTheme="majorHAnsi" w:hAnsiTheme="majorHAnsi" w:cstheme="majorHAnsi"/>
          <w:color w:val="808080" w:themeColor="background1" w:themeShade="80"/>
          <w:sz w:val="16"/>
          <w:szCs w:val="16"/>
        </w:rPr>
        <w:t xml:space="preserve">, June 2014. </w:t>
      </w:r>
    </w:p>
    <w:p w14:paraId="32FBAC41" w14:textId="77777777" w:rsidR="005C2394" w:rsidRPr="001167CB" w:rsidRDefault="005C2394" w:rsidP="00F233D9">
      <w:pPr>
        <w:pStyle w:val="FootnoteText"/>
        <w:spacing w:after="40"/>
        <w:ind w:left="547"/>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 xml:space="preserve">Available information indicates that surveillance and racial profiling have been reinforced since the introduction of the Patriot Act in October 2001, which “affects not only [U.S.] citizens but also has a disparate impact on the detention, treatment and deportation of undocumented migrants, including people of African descent, who enter the [U.S.],” and particularly impacts Muslims and people of Middle Eastern descent. </w:t>
      </w:r>
      <w:r w:rsidRPr="001167CB">
        <w:rPr>
          <w:rFonts w:asciiTheme="majorHAnsi" w:hAnsiTheme="majorHAnsi" w:cstheme="majorHAnsi"/>
          <w:bCs/>
          <w:color w:val="808080" w:themeColor="background1" w:themeShade="80"/>
          <w:sz w:val="16"/>
          <w:szCs w:val="16"/>
        </w:rPr>
        <w:t xml:space="preserve">U.N., Working Group on People of African Descent. </w:t>
      </w:r>
      <w:hyperlink r:id="rId164" w:history="1">
        <w:r w:rsidRPr="001167CB">
          <w:rPr>
            <w:rStyle w:val="Hyperlink"/>
            <w:rFonts w:asciiTheme="majorHAnsi" w:hAnsiTheme="majorHAnsi" w:cstheme="majorHAnsi"/>
            <w:bCs/>
            <w:color w:val="808080" w:themeColor="background1" w:themeShade="80"/>
            <w:sz w:val="16"/>
            <w:szCs w:val="16"/>
          </w:rPr>
          <w:t>Report on mission to the U.S.</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18, 2016</w:t>
      </w:r>
      <w:r w:rsidRPr="001167CB">
        <w:rPr>
          <w:rFonts w:asciiTheme="majorHAnsi" w:hAnsiTheme="majorHAnsi" w:cstheme="majorHAnsi"/>
          <w:color w:val="808080" w:themeColor="background1" w:themeShade="80"/>
          <w:sz w:val="16"/>
          <w:szCs w:val="16"/>
        </w:rPr>
        <w:t xml:space="preserve">, para. 24; </w:t>
      </w:r>
      <w:r w:rsidRPr="001167CB">
        <w:rPr>
          <w:rFonts w:asciiTheme="majorHAnsi" w:hAnsiTheme="majorHAnsi" w:cstheme="majorHAnsi"/>
          <w:bCs/>
          <w:color w:val="808080" w:themeColor="background1" w:themeShade="80"/>
          <w:sz w:val="16"/>
          <w:szCs w:val="16"/>
        </w:rPr>
        <w:t xml:space="preserve">IACHR, 154th Period of Sessions, </w:t>
      </w:r>
      <w:hyperlink r:id="rId165" w:history="1">
        <w:r w:rsidRPr="001167CB">
          <w:rPr>
            <w:rStyle w:val="Hyperlink"/>
            <w:rFonts w:asciiTheme="majorHAnsi" w:hAnsiTheme="majorHAnsi" w:cstheme="majorHAnsi"/>
            <w:bCs/>
            <w:color w:val="808080" w:themeColor="background1" w:themeShade="80"/>
            <w:sz w:val="16"/>
            <w:szCs w:val="16"/>
          </w:rPr>
          <w:t>“Criminal Justice and Race”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Mar. </w:t>
      </w:r>
      <w:r w:rsidRPr="001167CB">
        <w:rPr>
          <w:rFonts w:asciiTheme="majorHAnsi" w:hAnsiTheme="majorHAnsi" w:cstheme="majorHAnsi"/>
          <w:bCs/>
          <w:color w:val="808080" w:themeColor="background1" w:themeShade="80"/>
          <w:sz w:val="16"/>
          <w:szCs w:val="16"/>
        </w:rPr>
        <w:t>16, 2015</w:t>
      </w:r>
      <w:r w:rsidRPr="001167CB">
        <w:rPr>
          <w:rStyle w:val="Hyperlink"/>
          <w:rFonts w:asciiTheme="majorHAnsi" w:hAnsiTheme="majorHAnsi" w:cstheme="majorHAnsi"/>
          <w:color w:val="808080" w:themeColor="background1" w:themeShade="80"/>
          <w:sz w:val="16"/>
          <w:szCs w:val="16"/>
          <w:u w:val="none"/>
        </w:rPr>
        <w:t xml:space="preserve">; </w:t>
      </w:r>
      <w:r w:rsidRPr="001167CB">
        <w:rPr>
          <w:rFonts w:asciiTheme="majorHAnsi" w:hAnsiTheme="majorHAnsi" w:cstheme="majorHAnsi"/>
          <w:bCs/>
          <w:color w:val="808080" w:themeColor="background1" w:themeShade="80"/>
          <w:sz w:val="16"/>
          <w:szCs w:val="16"/>
        </w:rPr>
        <w:t xml:space="preserve">CERD, </w:t>
      </w:r>
      <w:hyperlink r:id="rId166"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bCs/>
          <w:color w:val="808080" w:themeColor="background1" w:themeShade="80"/>
          <w:sz w:val="16"/>
          <w:szCs w:val="16"/>
        </w:rPr>
        <w:t>25, 2014</w:t>
      </w:r>
      <w:r w:rsidRPr="001167CB">
        <w:rPr>
          <w:rFonts w:asciiTheme="majorHAnsi" w:hAnsiTheme="majorHAnsi" w:cstheme="majorHAnsi"/>
          <w:color w:val="808080" w:themeColor="background1" w:themeShade="80"/>
          <w:sz w:val="16"/>
          <w:szCs w:val="16"/>
        </w:rPr>
        <w:t>, para. 8.</w:t>
      </w:r>
    </w:p>
  </w:footnote>
  <w:footnote w:id="121">
    <w:p w14:paraId="7C0C0D4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153d Period of Sessions, </w:t>
      </w:r>
      <w:hyperlink r:id="rId167" w:history="1">
        <w:r w:rsidRPr="001167CB">
          <w:rPr>
            <w:rStyle w:val="Hyperlink"/>
            <w:rFonts w:asciiTheme="majorHAnsi" w:hAnsiTheme="majorHAnsi" w:cstheme="majorHAnsi"/>
            <w:bCs/>
            <w:color w:val="808080" w:themeColor="background1" w:themeShade="80"/>
            <w:sz w:val="16"/>
            <w:szCs w:val="16"/>
          </w:rPr>
          <w:t>“Racism in the Justice System”</w:t>
        </w:r>
      </w:hyperlink>
      <w:r w:rsidRPr="001167CB">
        <w:rPr>
          <w:rFonts w:asciiTheme="majorHAnsi" w:hAnsiTheme="majorHAnsi" w:cstheme="majorHAnsi"/>
          <w:bCs/>
          <w:color w:val="808080" w:themeColor="background1" w:themeShade="80"/>
          <w:sz w:val="16"/>
          <w:szCs w:val="16"/>
        </w:rPr>
        <w:t xml:space="preserve"> Hearing,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27, 2014</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lang w:val="en"/>
        </w:rPr>
        <w:t xml:space="preserve">NYCLU, </w:t>
      </w:r>
      <w:hyperlink r:id="rId168" w:history="1">
        <w:r w:rsidRPr="001167CB">
          <w:rPr>
            <w:rStyle w:val="Hyperlink"/>
            <w:rFonts w:asciiTheme="majorHAnsi" w:hAnsiTheme="majorHAnsi" w:cstheme="majorHAnsi"/>
            <w:color w:val="808080" w:themeColor="background1" w:themeShade="80"/>
            <w:sz w:val="16"/>
            <w:szCs w:val="16"/>
            <w:lang w:val="en"/>
          </w:rPr>
          <w:t>Testimony Before City Council Public Safety &amp; Courts and Legal Services Committees On Summons Court Operations and Impact</w:t>
        </w:r>
      </w:hyperlink>
      <w:r w:rsidRPr="001167CB">
        <w:rPr>
          <w:rFonts w:asciiTheme="majorHAnsi" w:hAnsiTheme="majorHAnsi" w:cstheme="majorHAnsi"/>
          <w:color w:val="808080" w:themeColor="background1" w:themeShade="80"/>
          <w:sz w:val="16"/>
          <w:szCs w:val="16"/>
          <w:lang w:val="en"/>
        </w:rPr>
        <w:t xml:space="preserve">, </w:t>
      </w:r>
      <w:r w:rsidRPr="001167CB">
        <w:rPr>
          <w:rFonts w:asciiTheme="majorHAnsi" w:hAnsiTheme="majorHAnsi" w:cstheme="majorHAnsi"/>
          <w:color w:val="808080" w:themeColor="background1" w:themeShade="80"/>
          <w:sz w:val="16"/>
          <w:szCs w:val="16"/>
        </w:rPr>
        <w:t xml:space="preserve">Dec. </w:t>
      </w:r>
      <w:r w:rsidRPr="001167CB">
        <w:rPr>
          <w:rFonts w:asciiTheme="majorHAnsi" w:hAnsiTheme="majorHAnsi" w:cstheme="majorHAnsi"/>
          <w:color w:val="808080" w:themeColor="background1" w:themeShade="80"/>
          <w:sz w:val="16"/>
          <w:szCs w:val="16"/>
          <w:lang w:val="en"/>
        </w:rPr>
        <w:t>15, 2014.</w:t>
      </w:r>
    </w:p>
  </w:footnote>
  <w:footnote w:id="122">
    <w:p w14:paraId="7567656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Frontline (PBS), </w:t>
      </w:r>
      <w:hyperlink r:id="rId169" w:history="1">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Problem with “Broken Windows” Policing</w:t>
        </w:r>
      </w:hyperlink>
      <w:r w:rsidRPr="001167CB">
        <w:rPr>
          <w:rFonts w:asciiTheme="majorHAnsi" w:hAnsiTheme="majorHAnsi" w:cstheme="majorHAnsi"/>
          <w:color w:val="808080" w:themeColor="background1" w:themeShade="80"/>
          <w:sz w:val="16"/>
          <w:szCs w:val="16"/>
        </w:rPr>
        <w:t>, June 28, 2016.</w:t>
      </w:r>
    </w:p>
  </w:footnote>
  <w:footnote w:id="123">
    <w:p w14:paraId="1AAA8BE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124">
    <w:p w14:paraId="1BC68C5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Terry v. Ohio, 392 U.S. 1 (1968);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Adams v. Williams, 407 U.S. 143 (1972).</w:t>
      </w:r>
    </w:p>
  </w:footnote>
  <w:footnote w:id="125">
    <w:p w14:paraId="2B01C00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Illinois v. </w:t>
      </w:r>
      <w:proofErr w:type="spellStart"/>
      <w:r w:rsidRPr="001167CB">
        <w:rPr>
          <w:rFonts w:asciiTheme="majorHAnsi" w:hAnsiTheme="majorHAnsi" w:cstheme="majorHAnsi"/>
          <w:color w:val="808080" w:themeColor="background1" w:themeShade="80"/>
          <w:sz w:val="16"/>
          <w:szCs w:val="16"/>
        </w:rPr>
        <w:t>Wardlow</w:t>
      </w:r>
      <w:proofErr w:type="spellEnd"/>
      <w:r w:rsidRPr="001167CB">
        <w:rPr>
          <w:rFonts w:asciiTheme="majorHAnsi" w:hAnsiTheme="majorHAnsi" w:cstheme="majorHAnsi"/>
          <w:color w:val="808080" w:themeColor="background1" w:themeShade="80"/>
          <w:sz w:val="16"/>
          <w:szCs w:val="16"/>
        </w:rPr>
        <w:t>, 528 U.S. 119, 121-24 (2000).</w:t>
      </w:r>
    </w:p>
  </w:footnote>
  <w:footnote w:id="126">
    <w:p w14:paraId="7D3022F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proofErr w:type="spellStart"/>
      <w:r w:rsidRPr="001167CB">
        <w:rPr>
          <w:rFonts w:asciiTheme="majorHAnsi" w:hAnsiTheme="majorHAnsi" w:cstheme="majorHAnsi"/>
          <w:color w:val="808080" w:themeColor="background1" w:themeShade="80"/>
          <w:sz w:val="16"/>
          <w:szCs w:val="16"/>
        </w:rPr>
        <w:t>Whren</w:t>
      </w:r>
      <w:proofErr w:type="spellEnd"/>
      <w:r w:rsidRPr="001167CB">
        <w:rPr>
          <w:rFonts w:asciiTheme="majorHAnsi" w:hAnsiTheme="majorHAnsi" w:cstheme="majorHAnsi"/>
          <w:color w:val="808080" w:themeColor="background1" w:themeShade="80"/>
          <w:sz w:val="16"/>
          <w:szCs w:val="16"/>
        </w:rPr>
        <w:t xml:space="preserve"> v. U.S., 517 U.S. 806 (1996).</w:t>
      </w:r>
    </w:p>
  </w:footnote>
  <w:footnote w:id="127">
    <w:p w14:paraId="3AB9F21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Leadership Conference on Civil and Human Rights, </w:t>
      </w:r>
      <w:hyperlink r:id="rId170" w:history="1">
        <w:r w:rsidRPr="001167CB">
          <w:rPr>
            <w:rStyle w:val="Hyperlink"/>
            <w:rFonts w:asciiTheme="majorHAnsi" w:hAnsiTheme="majorHAnsi" w:cstheme="majorHAnsi"/>
            <w:color w:val="808080" w:themeColor="background1" w:themeShade="80"/>
            <w:sz w:val="16"/>
            <w:szCs w:val="16"/>
          </w:rPr>
          <w:t>Restoring a National Consensus: The Need to End Racial Profiling in America</w:t>
        </w:r>
      </w:hyperlink>
      <w:r w:rsidRPr="001167CB">
        <w:rPr>
          <w:rFonts w:asciiTheme="majorHAnsi" w:hAnsiTheme="majorHAnsi" w:cstheme="majorHAnsi"/>
          <w:color w:val="808080" w:themeColor="background1" w:themeShade="80"/>
          <w:sz w:val="16"/>
          <w:szCs w:val="16"/>
        </w:rPr>
        <w:t>, Mar. 2011, 9-12. This report aggregates studies on racial profiling and incidents from Texas, California, West Virginia, Minnesota, Illinois, New York, Arizona, New Jersey, Mississippi, Tennessee, and New Mexico, among other states.</w:t>
      </w:r>
    </w:p>
  </w:footnote>
  <w:footnote w:id="128">
    <w:p w14:paraId="0A8A059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Cited in </w:t>
      </w:r>
      <w:r w:rsidRPr="001167CB">
        <w:rPr>
          <w:rFonts w:asciiTheme="majorHAnsi" w:hAnsiTheme="majorHAnsi" w:cstheme="majorHAnsi"/>
          <w:i/>
          <w:color w:val="808080" w:themeColor="background1" w:themeShade="80"/>
          <w:sz w:val="16"/>
          <w:szCs w:val="16"/>
        </w:rPr>
        <w:t>id</w:t>
      </w:r>
      <w:r w:rsidRPr="001167CB">
        <w:rPr>
          <w:rFonts w:asciiTheme="majorHAnsi" w:hAnsiTheme="majorHAnsi" w:cstheme="majorHAnsi"/>
          <w:color w:val="808080" w:themeColor="background1" w:themeShade="80"/>
          <w:sz w:val="16"/>
          <w:szCs w:val="16"/>
        </w:rPr>
        <w:t xml:space="preserve">. </w:t>
      </w:r>
      <w:proofErr w:type="gramStart"/>
      <w:r w:rsidRPr="001167CB">
        <w:rPr>
          <w:rFonts w:asciiTheme="majorHAnsi" w:hAnsiTheme="majorHAnsi" w:cstheme="majorHAnsi"/>
          <w:color w:val="808080" w:themeColor="background1" w:themeShade="80"/>
          <w:sz w:val="16"/>
          <w:szCs w:val="16"/>
        </w:rPr>
        <w:t>at</w:t>
      </w:r>
      <w:proofErr w:type="gramEnd"/>
      <w:r w:rsidRPr="001167CB">
        <w:rPr>
          <w:rFonts w:asciiTheme="majorHAnsi" w:hAnsiTheme="majorHAnsi" w:cstheme="majorHAnsi"/>
          <w:color w:val="808080" w:themeColor="background1" w:themeShade="80"/>
          <w:sz w:val="16"/>
          <w:szCs w:val="16"/>
        </w:rPr>
        <w:t xml:space="preserve"> 11.</w:t>
      </w:r>
    </w:p>
  </w:footnote>
  <w:footnote w:id="129">
    <w:p w14:paraId="6C0587D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171"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color w:val="808080" w:themeColor="background1" w:themeShade="80"/>
          <w:sz w:val="16"/>
          <w:szCs w:val="16"/>
        </w:rPr>
        <w:t>, Oct. 16, 2015.</w:t>
      </w:r>
    </w:p>
  </w:footnote>
  <w:footnote w:id="130">
    <w:p w14:paraId="2B39F57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131">
    <w:p w14:paraId="698B8BE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132">
    <w:p w14:paraId="298338C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New York Times, </w:t>
      </w:r>
      <w:hyperlink r:id="rId172" w:history="1">
        <w:r w:rsidRPr="001167CB">
          <w:rPr>
            <w:rStyle w:val="Hyperlink"/>
            <w:rFonts w:asciiTheme="majorHAnsi" w:hAnsiTheme="majorHAnsi" w:cstheme="majorHAnsi"/>
            <w:color w:val="808080" w:themeColor="background1" w:themeShade="80"/>
            <w:sz w:val="16"/>
            <w:szCs w:val="16"/>
          </w:rPr>
          <w:t>On Stop-and-Frisk, We Can’t Celebrate Just Yet</w:t>
        </w:r>
      </w:hyperlink>
      <w:r w:rsidRPr="001167CB">
        <w:rPr>
          <w:rFonts w:asciiTheme="majorHAnsi" w:hAnsiTheme="majorHAnsi" w:cstheme="majorHAnsi"/>
          <w:color w:val="808080" w:themeColor="background1" w:themeShade="80"/>
          <w:sz w:val="16"/>
          <w:szCs w:val="16"/>
        </w:rPr>
        <w:t xml:space="preserve">, Jan. 7, 2018 (citing Amy E. </w:t>
      </w:r>
      <w:proofErr w:type="spellStart"/>
      <w:r w:rsidRPr="001167CB">
        <w:rPr>
          <w:rFonts w:asciiTheme="majorHAnsi" w:hAnsiTheme="majorHAnsi" w:cstheme="majorHAnsi"/>
          <w:color w:val="808080" w:themeColor="background1" w:themeShade="80"/>
          <w:sz w:val="16"/>
          <w:szCs w:val="16"/>
        </w:rPr>
        <w:t>Lerman</w:t>
      </w:r>
      <w:proofErr w:type="spellEnd"/>
      <w:r w:rsidRPr="001167CB">
        <w:rPr>
          <w:rFonts w:asciiTheme="majorHAnsi" w:hAnsiTheme="majorHAnsi" w:cstheme="majorHAnsi"/>
          <w:color w:val="808080" w:themeColor="background1" w:themeShade="80"/>
          <w:sz w:val="16"/>
          <w:szCs w:val="16"/>
        </w:rPr>
        <w:t xml:space="preserve"> &amp; </w:t>
      </w:r>
      <w:proofErr w:type="spellStart"/>
      <w:r w:rsidRPr="001167CB">
        <w:rPr>
          <w:rFonts w:asciiTheme="majorHAnsi" w:hAnsiTheme="majorHAnsi" w:cstheme="majorHAnsi"/>
          <w:color w:val="808080" w:themeColor="background1" w:themeShade="80"/>
          <w:sz w:val="16"/>
          <w:szCs w:val="16"/>
        </w:rPr>
        <w:t>Vesla</w:t>
      </w:r>
      <w:proofErr w:type="spellEnd"/>
      <w:r w:rsidRPr="001167CB">
        <w:rPr>
          <w:rFonts w:asciiTheme="majorHAnsi" w:hAnsiTheme="majorHAnsi" w:cstheme="majorHAnsi"/>
          <w:color w:val="808080" w:themeColor="background1" w:themeShade="80"/>
          <w:sz w:val="16"/>
          <w:szCs w:val="16"/>
        </w:rPr>
        <w:t xml:space="preserve"> M. Weaver, </w:t>
      </w:r>
      <w:r w:rsidRPr="001167CB">
        <w:rPr>
          <w:rFonts w:asciiTheme="majorHAnsi" w:hAnsiTheme="majorHAnsi" w:cstheme="majorHAnsi"/>
          <w:i/>
          <w:color w:val="808080" w:themeColor="background1" w:themeShade="80"/>
          <w:sz w:val="16"/>
          <w:szCs w:val="16"/>
        </w:rPr>
        <w:t>Arresting Citizenship: The Democratic Consequences of American Crime Control</w:t>
      </w:r>
      <w:r w:rsidRPr="001167CB">
        <w:rPr>
          <w:rFonts w:asciiTheme="majorHAnsi" w:hAnsiTheme="majorHAnsi" w:cstheme="majorHAnsi"/>
          <w:color w:val="808080" w:themeColor="background1" w:themeShade="80"/>
          <w:sz w:val="16"/>
          <w:szCs w:val="16"/>
        </w:rPr>
        <w:t xml:space="preserve"> (Chicago: University of Chicago Press, 2014).</w:t>
      </w:r>
    </w:p>
  </w:footnote>
  <w:footnote w:id="133">
    <w:p w14:paraId="2A25B03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(citing the presentation “Crime is Insufficient: Explaining Racial Disparities in Use of Force,” available at: </w:t>
      </w:r>
      <w:hyperlink r:id="rId173" w:history="1">
        <w:r w:rsidRPr="001167CB">
          <w:rPr>
            <w:rStyle w:val="Hyperlink"/>
            <w:rFonts w:asciiTheme="majorHAnsi" w:hAnsiTheme="majorHAnsi" w:cstheme="majorHAnsi"/>
            <w:color w:val="808080" w:themeColor="background1" w:themeShade="80"/>
            <w:sz w:val="16"/>
            <w:szCs w:val="16"/>
          </w:rPr>
          <w:t>https://convention2.allacademic.com/one/asc/asc17/index.php?program_focus=view_paper&amp;selected_paper_id=1276548&amp;cmd=online_program_direct_link&amp;sub_action=online_program</w:t>
        </w:r>
      </w:hyperlink>
      <w:r w:rsidRPr="001167CB">
        <w:rPr>
          <w:rFonts w:asciiTheme="majorHAnsi" w:hAnsiTheme="majorHAnsi" w:cstheme="majorHAnsi"/>
          <w:color w:val="808080" w:themeColor="background1" w:themeShade="80"/>
          <w:sz w:val="16"/>
          <w:szCs w:val="16"/>
        </w:rPr>
        <w:t xml:space="preserve">). </w:t>
      </w:r>
    </w:p>
  </w:footnote>
  <w:footnote w:id="134">
    <w:p w14:paraId="02E5EED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e.g.</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bCs/>
          <w:color w:val="808080" w:themeColor="background1" w:themeShade="80"/>
          <w:sz w:val="16"/>
          <w:szCs w:val="16"/>
        </w:rPr>
        <w:t xml:space="preserve">IACHR, 154th Period of Sessions, </w:t>
      </w:r>
      <w:hyperlink r:id="rId174" w:history="1">
        <w:r w:rsidRPr="001167CB">
          <w:rPr>
            <w:rStyle w:val="Hyperlink"/>
            <w:rFonts w:asciiTheme="majorHAnsi" w:hAnsiTheme="majorHAnsi" w:cstheme="majorHAnsi"/>
            <w:bCs/>
            <w:color w:val="808080" w:themeColor="background1" w:themeShade="80"/>
            <w:sz w:val="16"/>
            <w:szCs w:val="16"/>
          </w:rPr>
          <w:t>“Criminal Justice and Race”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Mar. </w:t>
      </w:r>
      <w:r w:rsidRPr="001167CB">
        <w:rPr>
          <w:rFonts w:asciiTheme="majorHAnsi" w:hAnsiTheme="majorHAnsi" w:cstheme="majorHAnsi"/>
          <w:bCs/>
          <w:color w:val="808080" w:themeColor="background1" w:themeShade="80"/>
          <w:sz w:val="16"/>
          <w:szCs w:val="16"/>
        </w:rPr>
        <w:t>16, 2015</w:t>
      </w:r>
      <w:r w:rsidRPr="001167CB">
        <w:rPr>
          <w:rStyle w:val="Hyperlink"/>
          <w:rFonts w:asciiTheme="majorHAnsi" w:hAnsiTheme="majorHAnsi" w:cstheme="majorHAnsi"/>
          <w:color w:val="808080" w:themeColor="background1" w:themeShade="80"/>
          <w:sz w:val="16"/>
          <w:szCs w:val="16"/>
        </w:rPr>
        <w:t>.</w:t>
      </w:r>
    </w:p>
  </w:footnote>
  <w:footnote w:id="135">
    <w:p w14:paraId="4A09A00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Style w:val="reference-text"/>
          <w:rFonts w:asciiTheme="majorHAnsi" w:hAnsiTheme="majorHAnsi" w:cstheme="majorHAnsi"/>
          <w:color w:val="808080" w:themeColor="background1" w:themeShade="80"/>
          <w:sz w:val="16"/>
          <w:szCs w:val="16"/>
        </w:rPr>
        <w:t>Civil Rights Bureau of the New York State Attorney General’s Office,</w:t>
      </w:r>
      <w:r w:rsidRPr="001167CB">
        <w:rPr>
          <w:rFonts w:asciiTheme="majorHAnsi" w:hAnsiTheme="majorHAnsi" w:cstheme="majorHAnsi"/>
          <w:color w:val="808080" w:themeColor="background1" w:themeShade="80"/>
          <w:sz w:val="16"/>
          <w:szCs w:val="16"/>
        </w:rPr>
        <w:t xml:space="preserve"> </w:t>
      </w:r>
      <w:hyperlink r:id="rId175" w:history="1">
        <w:r w:rsidRPr="001167CB">
          <w:rPr>
            <w:rStyle w:val="Hyperlink"/>
            <w:rFonts w:asciiTheme="majorHAnsi" w:hAnsiTheme="majorHAnsi" w:cstheme="majorHAnsi"/>
            <w:color w:val="808080" w:themeColor="background1" w:themeShade="80"/>
            <w:sz w:val="16"/>
            <w:szCs w:val="16"/>
          </w:rPr>
          <w:t>Stop and Frisk Report of November 2013</w:t>
        </w:r>
      </w:hyperlink>
      <w:r w:rsidRPr="001167CB">
        <w:rPr>
          <w:rStyle w:val="reference-text"/>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Nov. </w:t>
      </w:r>
      <w:r w:rsidRPr="001167CB">
        <w:rPr>
          <w:rStyle w:val="reference-text"/>
          <w:rFonts w:asciiTheme="majorHAnsi" w:hAnsiTheme="majorHAnsi" w:cstheme="majorHAnsi"/>
          <w:color w:val="808080" w:themeColor="background1" w:themeShade="80"/>
          <w:sz w:val="16"/>
          <w:szCs w:val="16"/>
        </w:rPr>
        <w:t xml:space="preserve">2013. </w:t>
      </w:r>
      <w:r w:rsidRPr="001167CB">
        <w:rPr>
          <w:rFonts w:asciiTheme="majorHAnsi" w:hAnsiTheme="majorHAnsi" w:cstheme="majorHAnsi"/>
          <w:color w:val="808080" w:themeColor="background1" w:themeShade="80"/>
          <w:sz w:val="16"/>
          <w:szCs w:val="16"/>
        </w:rPr>
        <w:t>“Stop and Frisk” is a policing tactic comprised of two separate acts that involve two different levels of justification. To stop a person, a police officer must have reasonable suspicion that the person has committed, is committing, or is about to commit an unlawful act. To frisk a person, the officer must have a reason to believe that the person stopped has a weapon that poses a threat to the officer’s safety.</w:t>
      </w:r>
      <w:r w:rsidRPr="001167CB">
        <w:rPr>
          <w:rFonts w:asciiTheme="majorHAnsi" w:hAnsiTheme="majorHAnsi" w:cstheme="majorHAnsi"/>
          <w:i/>
          <w:color w:val="808080" w:themeColor="background1" w:themeShade="80"/>
          <w:sz w:val="16"/>
          <w:szCs w:val="16"/>
        </w:rPr>
        <w:t xml:space="preserve"> See </w:t>
      </w:r>
      <w:r w:rsidRPr="001167CB">
        <w:rPr>
          <w:rFonts w:asciiTheme="majorHAnsi" w:hAnsiTheme="majorHAnsi" w:cstheme="majorHAnsi"/>
          <w:color w:val="808080" w:themeColor="background1" w:themeShade="80"/>
          <w:sz w:val="16"/>
          <w:szCs w:val="16"/>
        </w:rPr>
        <w:t>Terry v. Ohio, 392 U.S. 1 (1968).</w:t>
      </w:r>
    </w:p>
  </w:footnote>
  <w:footnote w:id="136">
    <w:p w14:paraId="6E4CFD2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For example, in New York, police issued 1.8 million quality of life summonses for offenses like disorderly conduct, public urination, and drinking or marijuana possession between 2010 and 2015, but the NYPD’s Office of the Inspector General found “no evidence” of any link between these summonses and a decrease in felony crime rates during that time. New York City Department of Investigation Office of the Inspector General for the NYPD (OIG-NYPD), </w:t>
      </w:r>
      <w:hyperlink r:id="rId176" w:history="1">
        <w:r w:rsidRPr="001167CB">
          <w:rPr>
            <w:rStyle w:val="Hyperlink"/>
            <w:rFonts w:asciiTheme="majorHAnsi" w:hAnsiTheme="majorHAnsi" w:cstheme="majorHAnsi"/>
            <w:color w:val="808080" w:themeColor="background1" w:themeShade="80"/>
            <w:sz w:val="16"/>
            <w:szCs w:val="16"/>
          </w:rPr>
          <w:t>An Analysis of Quality-of-Life Summonses, Quality-of-Life Misdemeanor Arrests, and Felony Crime in New York City, 2010-2015</w:t>
        </w:r>
      </w:hyperlink>
      <w:r w:rsidRPr="001167CB">
        <w:rPr>
          <w:rFonts w:asciiTheme="majorHAnsi" w:hAnsiTheme="majorHAnsi" w:cstheme="majorHAnsi"/>
          <w:color w:val="808080" w:themeColor="background1" w:themeShade="80"/>
          <w:sz w:val="16"/>
          <w:szCs w:val="16"/>
        </w:rPr>
        <w:t xml:space="preserve">, June 22, 2016;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Bernard E. Harcourt &amp; Jens Ludwig, </w:t>
      </w:r>
      <w:hyperlink r:id="rId177" w:history="1">
        <w:r w:rsidRPr="001167CB">
          <w:rPr>
            <w:rStyle w:val="Hyperlink"/>
            <w:rFonts w:asciiTheme="majorHAnsi" w:hAnsiTheme="majorHAnsi" w:cstheme="majorHAnsi"/>
            <w:color w:val="808080" w:themeColor="background1" w:themeShade="80"/>
            <w:sz w:val="16"/>
            <w:szCs w:val="16"/>
          </w:rPr>
          <w:t>Broken Windows: New Evidence from New York City and a Five-City Social Experiment</w:t>
        </w:r>
      </w:hyperlink>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University of Chicago Law Review</w:t>
      </w:r>
      <w:r w:rsidRPr="001167CB">
        <w:rPr>
          <w:rFonts w:asciiTheme="majorHAnsi" w:hAnsiTheme="majorHAnsi" w:cstheme="majorHAnsi"/>
          <w:color w:val="808080" w:themeColor="background1" w:themeShade="80"/>
          <w:sz w:val="16"/>
          <w:szCs w:val="16"/>
        </w:rPr>
        <w:t xml:space="preserve">, Vol. 73 (2006); Bernard E. Harcourt &amp; Jens Ludwig, </w:t>
      </w:r>
      <w:hyperlink r:id="rId178" w:history="1">
        <w:r w:rsidRPr="001167CB">
          <w:rPr>
            <w:rStyle w:val="Hyperlink"/>
            <w:rFonts w:asciiTheme="majorHAnsi" w:hAnsiTheme="majorHAnsi" w:cstheme="majorHAnsi"/>
            <w:color w:val="808080" w:themeColor="background1" w:themeShade="80"/>
            <w:sz w:val="16"/>
            <w:szCs w:val="16"/>
          </w:rPr>
          <w:t>Reefer Madness: Broken Windows Policing and Misdemeanor Marijuana Arrests in New York</w:t>
        </w:r>
      </w:hyperlink>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University of Chicago Public Law &amp; Legal Theory Working Paper</w:t>
      </w:r>
      <w:r w:rsidRPr="001167CB">
        <w:rPr>
          <w:rFonts w:asciiTheme="majorHAnsi" w:hAnsiTheme="majorHAnsi" w:cstheme="majorHAnsi"/>
          <w:color w:val="808080" w:themeColor="background1" w:themeShade="80"/>
          <w:sz w:val="16"/>
          <w:szCs w:val="16"/>
        </w:rPr>
        <w:t>, No. 142 (2006).</w:t>
      </w:r>
    </w:p>
  </w:footnote>
  <w:footnote w:id="137">
    <w:p w14:paraId="1A99363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New York Civil Liberties Union (NYCLU), </w:t>
      </w:r>
      <w:hyperlink r:id="rId179" w:history="1">
        <w:r w:rsidRPr="001167CB">
          <w:rPr>
            <w:rStyle w:val="Hyperlink"/>
            <w:rFonts w:asciiTheme="majorHAnsi" w:hAnsiTheme="majorHAnsi" w:cstheme="majorHAnsi"/>
            <w:color w:val="808080" w:themeColor="background1" w:themeShade="80"/>
            <w:sz w:val="16"/>
            <w:szCs w:val="16"/>
          </w:rPr>
          <w:t>NYC Must Reform Aggressive Policing of Low-Level Offenses and Summons Court Operations</w:t>
        </w:r>
      </w:hyperlink>
      <w:r w:rsidRPr="001167CB">
        <w:rPr>
          <w:rFonts w:asciiTheme="majorHAnsi" w:hAnsiTheme="majorHAnsi" w:cstheme="majorHAnsi"/>
          <w:color w:val="808080" w:themeColor="background1" w:themeShade="80"/>
          <w:sz w:val="16"/>
          <w:szCs w:val="16"/>
        </w:rPr>
        <w:t>, Dec. 15, 2014.</w:t>
      </w:r>
    </w:p>
  </w:footnote>
  <w:footnote w:id="138">
    <w:p w14:paraId="02C081B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Floyd v. City of New York</w:t>
      </w:r>
      <w:r w:rsidRPr="001167CB">
        <w:rPr>
          <w:rFonts w:asciiTheme="majorHAnsi" w:hAnsiTheme="majorHAnsi" w:cstheme="majorHAnsi"/>
          <w:color w:val="808080" w:themeColor="background1" w:themeShade="80"/>
          <w:sz w:val="16"/>
          <w:szCs w:val="16"/>
        </w:rPr>
        <w:t>, 959 F. Supp. 2d 540 (S.D.N.Y. 2013) (finding that the NYPD’s Stop and Frisk program violates the Fourteenth Amendment’s non-discrimination protection and Fourth Amendment’s protection from unreasonable searches and seizures).</w:t>
      </w:r>
    </w:p>
  </w:footnote>
  <w:footnote w:id="139">
    <w:p w14:paraId="2E3D1EC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NYCLU, </w:t>
      </w:r>
      <w:hyperlink r:id="rId180" w:history="1">
        <w:r w:rsidRPr="001167CB">
          <w:rPr>
            <w:rStyle w:val="Hyperlink"/>
            <w:rFonts w:asciiTheme="majorHAnsi" w:hAnsiTheme="majorHAnsi" w:cstheme="majorHAnsi"/>
            <w:color w:val="808080" w:themeColor="background1" w:themeShade="80"/>
            <w:sz w:val="16"/>
            <w:szCs w:val="16"/>
          </w:rPr>
          <w:t>Stop-and-Frisk Data</w:t>
        </w:r>
      </w:hyperlink>
      <w:r w:rsidRPr="001167CB">
        <w:rPr>
          <w:rFonts w:asciiTheme="majorHAnsi" w:hAnsiTheme="majorHAnsi" w:cstheme="majorHAnsi"/>
          <w:color w:val="808080" w:themeColor="background1" w:themeShade="80"/>
          <w:sz w:val="16"/>
          <w:szCs w:val="16"/>
        </w:rPr>
        <w:t>, May 23, 2017.</w:t>
      </w:r>
    </w:p>
  </w:footnote>
  <w:footnote w:id="140">
    <w:p w14:paraId="79D17A59" w14:textId="054D88B4" w:rsidR="005C2394" w:rsidRPr="001167CB" w:rsidRDefault="005C2394" w:rsidP="002C64F8">
      <w:pPr>
        <w:tabs>
          <w:tab w:val="center" w:pos="4680"/>
        </w:tabs>
        <w:spacing w:after="40" w:line="240" w:lineRule="auto"/>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NYCLU, </w:t>
      </w:r>
      <w:hyperlink r:id="rId181" w:history="1">
        <w:r w:rsidRPr="001167CB">
          <w:rPr>
            <w:rStyle w:val="Hyperlink"/>
            <w:rFonts w:asciiTheme="majorHAnsi" w:hAnsiTheme="majorHAnsi" w:cstheme="majorHAnsi"/>
            <w:color w:val="808080" w:themeColor="background1" w:themeShade="80"/>
            <w:sz w:val="16"/>
            <w:szCs w:val="16"/>
          </w:rPr>
          <w:t>Stop and Frisks Report</w:t>
        </w:r>
      </w:hyperlink>
      <w:r w:rsidRPr="001167CB">
        <w:rPr>
          <w:rFonts w:asciiTheme="majorHAnsi" w:hAnsiTheme="majorHAnsi" w:cstheme="majorHAnsi"/>
          <w:color w:val="808080" w:themeColor="background1" w:themeShade="80"/>
          <w:sz w:val="16"/>
          <w:szCs w:val="16"/>
        </w:rPr>
        <w:t>. July 13, 2017.</w:t>
      </w:r>
    </w:p>
  </w:footnote>
  <w:footnote w:id="141">
    <w:p w14:paraId="744FADED" w14:textId="77777777" w:rsidR="005C2394" w:rsidRPr="001167CB" w:rsidRDefault="005C2394" w:rsidP="002C64F8">
      <w:pPr>
        <w:spacing w:after="40" w:line="240" w:lineRule="auto"/>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United States Census Bureau, </w:t>
      </w:r>
      <w:hyperlink r:id="rId182" w:history="1">
        <w:r w:rsidRPr="001167CB">
          <w:rPr>
            <w:rStyle w:val="Hyperlink"/>
            <w:rFonts w:asciiTheme="majorHAnsi" w:hAnsiTheme="majorHAnsi" w:cstheme="majorHAnsi"/>
            <w:color w:val="808080" w:themeColor="background1" w:themeShade="80"/>
            <w:sz w:val="16"/>
            <w:szCs w:val="16"/>
          </w:rPr>
          <w:t xml:space="preserve">State and County </w:t>
        </w:r>
        <w:proofErr w:type="spellStart"/>
        <w:r w:rsidRPr="001167CB">
          <w:rPr>
            <w:rStyle w:val="Hyperlink"/>
            <w:rFonts w:asciiTheme="majorHAnsi" w:hAnsiTheme="majorHAnsi" w:cstheme="majorHAnsi"/>
            <w:color w:val="808080" w:themeColor="background1" w:themeShade="80"/>
            <w:sz w:val="16"/>
            <w:szCs w:val="16"/>
          </w:rPr>
          <w:t>Quickfacts</w:t>
        </w:r>
        <w:proofErr w:type="spellEnd"/>
        <w:r w:rsidRPr="001167CB">
          <w:rPr>
            <w:rStyle w:val="Hyperlink"/>
            <w:rFonts w:asciiTheme="majorHAnsi" w:hAnsiTheme="majorHAnsi" w:cstheme="majorHAnsi"/>
            <w:color w:val="808080" w:themeColor="background1" w:themeShade="80"/>
            <w:sz w:val="16"/>
            <w:szCs w:val="16"/>
          </w:rPr>
          <w:t>: New York (city)</w:t>
        </w:r>
      </w:hyperlink>
      <w:r w:rsidRPr="001167CB">
        <w:rPr>
          <w:rFonts w:asciiTheme="majorHAnsi" w:hAnsiTheme="majorHAnsi" w:cstheme="majorHAnsi"/>
          <w:color w:val="808080" w:themeColor="background1" w:themeShade="80"/>
          <w:sz w:val="16"/>
          <w:szCs w:val="16"/>
        </w:rPr>
        <w:t>, 2016.</w:t>
      </w:r>
    </w:p>
  </w:footnote>
  <w:footnote w:id="142">
    <w:p w14:paraId="2FD0583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NYCLU, </w:t>
      </w:r>
      <w:hyperlink r:id="rId183" w:history="1">
        <w:r w:rsidRPr="001167CB">
          <w:rPr>
            <w:rStyle w:val="Hyperlink"/>
            <w:rFonts w:asciiTheme="majorHAnsi" w:hAnsiTheme="majorHAnsi" w:cstheme="majorHAnsi"/>
            <w:color w:val="808080" w:themeColor="background1" w:themeShade="80"/>
            <w:sz w:val="16"/>
            <w:szCs w:val="16"/>
          </w:rPr>
          <w:t>Stop-and-Frisk Data</w:t>
        </w:r>
      </w:hyperlink>
      <w:r w:rsidRPr="001167CB">
        <w:rPr>
          <w:rFonts w:asciiTheme="majorHAnsi" w:hAnsiTheme="majorHAnsi" w:cstheme="majorHAnsi"/>
          <w:color w:val="808080" w:themeColor="background1" w:themeShade="80"/>
          <w:sz w:val="16"/>
          <w:szCs w:val="16"/>
        </w:rPr>
        <w:t>, May 23, 2017.</w:t>
      </w:r>
    </w:p>
  </w:footnote>
  <w:footnote w:id="143">
    <w:p w14:paraId="66D4AD8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n-GB"/>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184"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w:t>
      </w:r>
    </w:p>
  </w:footnote>
  <w:footnote w:id="144">
    <w:p w14:paraId="081166A4" w14:textId="77777777" w:rsidR="005C2394" w:rsidRPr="001167CB" w:rsidRDefault="005C2394" w:rsidP="002C64F8">
      <w:pPr>
        <w:spacing w:after="40" w:line="240" w:lineRule="auto"/>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ACLU of Illinois, </w:t>
      </w:r>
      <w:hyperlink r:id="rId185" w:history="1">
        <w:r w:rsidRPr="001167CB">
          <w:rPr>
            <w:rStyle w:val="Hyperlink"/>
            <w:rFonts w:asciiTheme="majorHAnsi" w:hAnsiTheme="majorHAnsi" w:cstheme="majorHAnsi"/>
            <w:color w:val="808080" w:themeColor="background1" w:themeShade="80"/>
            <w:sz w:val="16"/>
            <w:szCs w:val="16"/>
          </w:rPr>
          <w:t>Stop and Frisk</w:t>
        </w:r>
      </w:hyperlink>
      <w:r w:rsidRPr="001167CB">
        <w:rPr>
          <w:rFonts w:asciiTheme="majorHAnsi" w:hAnsiTheme="majorHAnsi" w:cstheme="majorHAnsi"/>
          <w:color w:val="808080" w:themeColor="background1" w:themeShade="80"/>
          <w:sz w:val="16"/>
          <w:szCs w:val="16"/>
        </w:rPr>
        <w:t>, last visited Nov. 20, 2017.</w:t>
      </w:r>
    </w:p>
  </w:footnote>
  <w:footnote w:id="145">
    <w:p w14:paraId="1E9B523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Id</w:t>
      </w:r>
      <w:r w:rsidRPr="001167CB">
        <w:rPr>
          <w:rFonts w:asciiTheme="majorHAnsi" w:hAnsiTheme="majorHAnsi" w:cstheme="majorHAnsi"/>
          <w:color w:val="808080" w:themeColor="background1" w:themeShade="80"/>
          <w:sz w:val="16"/>
          <w:szCs w:val="16"/>
        </w:rPr>
        <w:t>.</w:t>
      </w:r>
    </w:p>
  </w:footnote>
  <w:footnote w:id="146">
    <w:p w14:paraId="47AD90A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ACLU of Minnesota, </w:t>
      </w:r>
      <w:hyperlink r:id="rId186" w:history="1">
        <w:r w:rsidRPr="001167CB">
          <w:rPr>
            <w:rStyle w:val="Hyperlink"/>
            <w:rFonts w:asciiTheme="majorHAnsi" w:hAnsiTheme="majorHAnsi" w:cstheme="majorHAnsi"/>
            <w:color w:val="808080" w:themeColor="background1" w:themeShade="80"/>
            <w:sz w:val="16"/>
            <w:szCs w:val="16"/>
          </w:rPr>
          <w:t>ACLU Finds Severe Racial Disparities in Low-Level Arrests by Minneapolis Police</w:t>
        </w:r>
      </w:hyperlink>
      <w:r w:rsidRPr="001167CB">
        <w:rPr>
          <w:rFonts w:asciiTheme="majorHAnsi" w:hAnsiTheme="majorHAnsi" w:cstheme="majorHAnsi"/>
          <w:color w:val="808080" w:themeColor="background1" w:themeShade="80"/>
          <w:sz w:val="16"/>
          <w:szCs w:val="16"/>
        </w:rPr>
        <w:t>, May 28, 2015 (“Patterns of racial bias and over-criminalization show blacks and Native Americans disproportionately affected”).</w:t>
      </w:r>
    </w:p>
  </w:footnote>
  <w:footnote w:id="147">
    <w:p w14:paraId="6893F30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Washington Lawyers’ Committee for Civil Rights &amp; Urban Affairs, </w:t>
      </w:r>
      <w:hyperlink r:id="rId187" w:history="1">
        <w:r w:rsidRPr="001167CB">
          <w:rPr>
            <w:rStyle w:val="Hyperlink"/>
            <w:rFonts w:asciiTheme="majorHAnsi" w:hAnsiTheme="majorHAnsi" w:cstheme="majorHAnsi"/>
            <w:color w:val="808080" w:themeColor="background1" w:themeShade="80"/>
            <w:sz w:val="16"/>
            <w:szCs w:val="16"/>
          </w:rPr>
          <w:t>Racial Disparities in Arrests in the District of Columbia, 2009-2011</w:t>
        </w:r>
      </w:hyperlink>
      <w:r w:rsidRPr="001167CB">
        <w:rPr>
          <w:rFonts w:asciiTheme="majorHAnsi" w:hAnsiTheme="majorHAnsi" w:cstheme="majorHAnsi"/>
          <w:color w:val="808080" w:themeColor="background1" w:themeShade="80"/>
          <w:sz w:val="16"/>
          <w:szCs w:val="16"/>
        </w:rPr>
        <w:t>, July 2013.</w:t>
      </w:r>
    </w:p>
  </w:footnote>
  <w:footnote w:id="148">
    <w:p w14:paraId="0EDEED2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NPR, </w:t>
      </w:r>
      <w:hyperlink r:id="rId188" w:history="1">
        <w:r w:rsidRPr="001167CB">
          <w:rPr>
            <w:rStyle w:val="Hyperlink"/>
            <w:rFonts w:asciiTheme="majorHAnsi" w:hAnsiTheme="majorHAnsi" w:cstheme="majorHAnsi"/>
            <w:color w:val="808080" w:themeColor="background1" w:themeShade="80"/>
            <w:sz w:val="16"/>
            <w:szCs w:val="16"/>
          </w:rPr>
          <w:t>LAPD Report Finds Racial Disparity In Approval And Trust Of Police</w:t>
        </w:r>
      </w:hyperlink>
      <w:r w:rsidRPr="001167CB">
        <w:rPr>
          <w:rFonts w:asciiTheme="majorHAnsi" w:hAnsiTheme="majorHAnsi" w:cstheme="majorHAnsi"/>
          <w:color w:val="808080" w:themeColor="background1" w:themeShade="80"/>
          <w:sz w:val="16"/>
          <w:szCs w:val="16"/>
        </w:rPr>
        <w:t>, Nov. 15, 2016.</w:t>
      </w:r>
    </w:p>
  </w:footnote>
  <w:footnote w:id="149">
    <w:p w14:paraId="193D691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proofErr w:type="spellStart"/>
      <w:r w:rsidRPr="001167CB">
        <w:rPr>
          <w:rFonts w:asciiTheme="majorHAnsi" w:hAnsiTheme="majorHAnsi" w:cstheme="majorHAnsi"/>
          <w:color w:val="808080" w:themeColor="background1" w:themeShade="80"/>
          <w:sz w:val="16"/>
          <w:szCs w:val="16"/>
        </w:rPr>
        <w:t>ProPublica</w:t>
      </w:r>
      <w:proofErr w:type="spellEnd"/>
      <w:r w:rsidRPr="001167CB">
        <w:rPr>
          <w:rFonts w:asciiTheme="majorHAnsi" w:hAnsiTheme="majorHAnsi" w:cstheme="majorHAnsi"/>
          <w:color w:val="808080" w:themeColor="background1" w:themeShade="80"/>
          <w:sz w:val="16"/>
          <w:szCs w:val="16"/>
        </w:rPr>
        <w:t xml:space="preserve">, </w:t>
      </w:r>
      <w:hyperlink r:id="rId189" w:history="1">
        <w:r w:rsidRPr="001167CB">
          <w:rPr>
            <w:rStyle w:val="Hyperlink"/>
            <w:rFonts w:asciiTheme="majorHAnsi" w:hAnsiTheme="majorHAnsi" w:cstheme="majorHAnsi"/>
            <w:color w:val="808080" w:themeColor="background1" w:themeShade="80"/>
            <w:sz w:val="16"/>
            <w:szCs w:val="16"/>
          </w:rPr>
          <w:t>Walking While Black: Jacksonville’s enforcement of pedestrian violations raises concerns that it’s another example of racial profiling</w:t>
        </w:r>
      </w:hyperlink>
      <w:r w:rsidRPr="001167CB">
        <w:rPr>
          <w:rFonts w:asciiTheme="majorHAnsi" w:hAnsiTheme="majorHAnsi" w:cstheme="majorHAnsi"/>
          <w:color w:val="808080" w:themeColor="background1" w:themeShade="80"/>
          <w:sz w:val="16"/>
          <w:szCs w:val="16"/>
        </w:rPr>
        <w:t>, Nov. 16, 2017.</w:t>
      </w:r>
    </w:p>
  </w:footnote>
  <w:footnote w:id="150">
    <w:p w14:paraId="63F60C8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proofErr w:type="spellStart"/>
      <w:r w:rsidRPr="001167CB">
        <w:rPr>
          <w:rFonts w:asciiTheme="majorHAnsi" w:hAnsiTheme="majorHAnsi" w:cstheme="majorHAnsi"/>
          <w:color w:val="808080" w:themeColor="background1" w:themeShade="80"/>
          <w:sz w:val="16"/>
          <w:szCs w:val="16"/>
        </w:rPr>
        <w:t>Vox</w:t>
      </w:r>
      <w:proofErr w:type="spellEnd"/>
      <w:r w:rsidRPr="001167CB">
        <w:rPr>
          <w:rFonts w:asciiTheme="majorHAnsi" w:hAnsiTheme="majorHAnsi" w:cstheme="majorHAnsi"/>
          <w:color w:val="808080" w:themeColor="background1" w:themeShade="80"/>
          <w:sz w:val="16"/>
          <w:szCs w:val="16"/>
        </w:rPr>
        <w:t xml:space="preserve">, </w:t>
      </w:r>
      <w:hyperlink r:id="rId190" w:history="1">
        <w:r w:rsidRPr="001167CB">
          <w:rPr>
            <w:rStyle w:val="Hyperlink"/>
            <w:rFonts w:asciiTheme="majorHAnsi" w:hAnsiTheme="majorHAnsi" w:cstheme="majorHAnsi"/>
            <w:color w:val="808080" w:themeColor="background1" w:themeShade="80"/>
            <w:sz w:val="16"/>
            <w:szCs w:val="16"/>
          </w:rPr>
          <w:t>Cities across the country have been riddled with accusations of police abuse</w:t>
        </w:r>
      </w:hyperlink>
      <w:r w:rsidRPr="001167CB">
        <w:rPr>
          <w:rFonts w:asciiTheme="majorHAnsi" w:hAnsiTheme="majorHAnsi" w:cstheme="majorHAnsi"/>
          <w:color w:val="808080" w:themeColor="background1" w:themeShade="80"/>
          <w:sz w:val="16"/>
          <w:szCs w:val="16"/>
        </w:rPr>
        <w:t>, last updated May 6, 2017.</w:t>
      </w:r>
    </w:p>
  </w:footnote>
  <w:footnote w:id="151">
    <w:p w14:paraId="714B30B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U.S. DOJ, </w:t>
      </w:r>
      <w:hyperlink r:id="rId191" w:history="1">
        <w:r w:rsidRPr="001167CB">
          <w:rPr>
            <w:rStyle w:val="Hyperlink"/>
            <w:rFonts w:asciiTheme="majorHAnsi" w:hAnsiTheme="majorHAnsi" w:cstheme="majorHAnsi"/>
            <w:color w:val="808080" w:themeColor="background1" w:themeShade="80"/>
            <w:sz w:val="16"/>
            <w:szCs w:val="16"/>
          </w:rPr>
          <w:t>Justice Department Announces Findings of Two Civil Rights Investigations in Ferguson, Missouri</w:t>
        </w:r>
      </w:hyperlink>
      <w:r w:rsidRPr="001167CB">
        <w:rPr>
          <w:rFonts w:asciiTheme="majorHAnsi" w:hAnsiTheme="majorHAnsi" w:cstheme="majorHAnsi"/>
          <w:color w:val="808080" w:themeColor="background1" w:themeShade="80"/>
          <w:sz w:val="16"/>
          <w:szCs w:val="16"/>
        </w:rPr>
        <w:t xml:space="preserve">, Mar. 4, 2015; </w:t>
      </w:r>
      <w:r w:rsidRPr="001167CB">
        <w:rPr>
          <w:rFonts w:asciiTheme="majorHAnsi" w:hAnsiTheme="majorHAnsi" w:cstheme="majorHAnsi"/>
          <w:i/>
          <w:color w:val="808080" w:themeColor="background1" w:themeShade="80"/>
          <w:sz w:val="16"/>
          <w:szCs w:val="16"/>
        </w:rPr>
        <w:t xml:space="preserve">see also </w:t>
      </w:r>
      <w:r w:rsidRPr="001167CB">
        <w:rPr>
          <w:rFonts w:asciiTheme="majorHAnsi" w:hAnsiTheme="majorHAnsi" w:cstheme="majorHAnsi"/>
          <w:color w:val="808080" w:themeColor="background1" w:themeShade="80"/>
          <w:sz w:val="16"/>
          <w:szCs w:val="16"/>
        </w:rPr>
        <w:t xml:space="preserve">U.S. DOJ Civil Rights Division, </w:t>
      </w:r>
      <w:hyperlink r:id="rId192" w:history="1">
        <w:r w:rsidRPr="001167CB">
          <w:rPr>
            <w:rStyle w:val="Hyperlink"/>
            <w:rFonts w:asciiTheme="majorHAnsi" w:hAnsiTheme="majorHAnsi" w:cstheme="majorHAnsi"/>
            <w:color w:val="808080" w:themeColor="background1" w:themeShade="80"/>
            <w:sz w:val="16"/>
            <w:szCs w:val="16"/>
          </w:rPr>
          <w:t>Investigation of the Ferguson Police Department</w:t>
        </w:r>
      </w:hyperlink>
      <w:r w:rsidRPr="001167CB">
        <w:rPr>
          <w:rFonts w:asciiTheme="majorHAnsi" w:hAnsiTheme="majorHAnsi" w:cstheme="majorHAnsi"/>
          <w:color w:val="808080" w:themeColor="background1" w:themeShade="80"/>
          <w:sz w:val="16"/>
          <w:szCs w:val="16"/>
        </w:rPr>
        <w:t xml:space="preserve">, Mar. 4, 2015; </w:t>
      </w:r>
      <w:r w:rsidRPr="001167CB">
        <w:rPr>
          <w:rFonts w:asciiTheme="majorHAnsi" w:hAnsiTheme="majorHAnsi" w:cstheme="majorHAnsi"/>
          <w:bCs/>
          <w:color w:val="808080" w:themeColor="background1" w:themeShade="80"/>
          <w:sz w:val="16"/>
          <w:szCs w:val="16"/>
        </w:rPr>
        <w:t xml:space="preserve">IACHR, 154th Period of Sessions, </w:t>
      </w:r>
      <w:hyperlink r:id="rId193" w:history="1">
        <w:r w:rsidRPr="001167CB">
          <w:rPr>
            <w:rStyle w:val="Hyperlink"/>
            <w:rFonts w:asciiTheme="majorHAnsi" w:hAnsiTheme="majorHAnsi" w:cstheme="majorHAnsi"/>
            <w:bCs/>
            <w:color w:val="808080" w:themeColor="background1" w:themeShade="80"/>
            <w:sz w:val="16"/>
            <w:szCs w:val="16"/>
          </w:rPr>
          <w:t>“Criminal Justice and Race”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Mar.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w:t>
      </w:r>
    </w:p>
  </w:footnote>
  <w:footnote w:id="152">
    <w:p w14:paraId="6C99CE7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194" w:history="1">
        <w:r w:rsidRPr="001167CB">
          <w:rPr>
            <w:rStyle w:val="Hyperlink"/>
            <w:rFonts w:asciiTheme="majorHAnsi" w:hAnsiTheme="majorHAnsi" w:cstheme="majorHAnsi"/>
            <w:color w:val="808080" w:themeColor="background1" w:themeShade="80"/>
            <w:sz w:val="16"/>
            <w:szCs w:val="16"/>
          </w:rPr>
          <w:t>Policing and Profit</w:t>
        </w:r>
      </w:hyperlink>
      <w:r w:rsidRPr="001167CB">
        <w:rPr>
          <w:rFonts w:asciiTheme="majorHAnsi" w:hAnsiTheme="majorHAnsi" w:cstheme="majorHAnsi"/>
          <w:color w:val="808080" w:themeColor="background1" w:themeShade="80"/>
          <w:sz w:val="16"/>
          <w:szCs w:val="16"/>
        </w:rPr>
        <w:t xml:space="preserve">, 128 </w:t>
      </w:r>
      <w:r w:rsidRPr="001167CB">
        <w:rPr>
          <w:rFonts w:asciiTheme="majorHAnsi" w:hAnsiTheme="majorHAnsi" w:cstheme="majorHAnsi"/>
          <w:i/>
          <w:color w:val="808080" w:themeColor="background1" w:themeShade="80"/>
          <w:sz w:val="16"/>
          <w:szCs w:val="16"/>
        </w:rPr>
        <w:t>Harvard Law Review</w:t>
      </w:r>
      <w:r w:rsidRPr="001167CB">
        <w:rPr>
          <w:rFonts w:asciiTheme="majorHAnsi" w:hAnsiTheme="majorHAnsi" w:cstheme="majorHAnsi"/>
          <w:color w:val="808080" w:themeColor="background1" w:themeShade="80"/>
          <w:sz w:val="16"/>
          <w:szCs w:val="16"/>
        </w:rPr>
        <w:t xml:space="preserve"> 1723 (2015).</w:t>
      </w:r>
    </w:p>
  </w:footnote>
  <w:footnote w:id="153">
    <w:p w14:paraId="6392F60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U.S. DOJ, </w:t>
      </w:r>
      <w:hyperlink r:id="rId195" w:history="1">
        <w:r w:rsidRPr="001167CB">
          <w:rPr>
            <w:rStyle w:val="Hyperlink"/>
            <w:rFonts w:asciiTheme="majorHAnsi" w:hAnsiTheme="majorHAnsi" w:cstheme="majorHAnsi"/>
            <w:color w:val="808080" w:themeColor="background1" w:themeShade="80"/>
            <w:sz w:val="16"/>
            <w:szCs w:val="16"/>
          </w:rPr>
          <w:t>Justice Department Announces Findings of Two Civil Rights Investigations in Ferguson, Missouri</w:t>
        </w:r>
      </w:hyperlink>
      <w:r w:rsidRPr="001167CB">
        <w:rPr>
          <w:rFonts w:asciiTheme="majorHAnsi" w:hAnsiTheme="majorHAnsi" w:cstheme="majorHAnsi"/>
          <w:color w:val="808080" w:themeColor="background1" w:themeShade="80"/>
          <w:sz w:val="16"/>
          <w:szCs w:val="16"/>
        </w:rPr>
        <w:t xml:space="preserve">, Mar. 4, 2015; </w:t>
      </w:r>
      <w:r w:rsidRPr="001167CB">
        <w:rPr>
          <w:rFonts w:asciiTheme="majorHAnsi" w:hAnsiTheme="majorHAnsi" w:cstheme="majorHAnsi"/>
          <w:i/>
          <w:color w:val="808080" w:themeColor="background1" w:themeShade="80"/>
          <w:sz w:val="16"/>
          <w:szCs w:val="16"/>
        </w:rPr>
        <w:t xml:space="preserve">see also </w:t>
      </w:r>
      <w:r w:rsidRPr="001167CB">
        <w:rPr>
          <w:rFonts w:asciiTheme="majorHAnsi" w:hAnsiTheme="majorHAnsi" w:cstheme="majorHAnsi"/>
          <w:color w:val="808080" w:themeColor="background1" w:themeShade="80"/>
          <w:sz w:val="16"/>
          <w:szCs w:val="16"/>
        </w:rPr>
        <w:t xml:space="preserve">U.S. DOJ Civil Rights Division, </w:t>
      </w:r>
      <w:hyperlink r:id="rId196" w:history="1">
        <w:r w:rsidRPr="001167CB">
          <w:rPr>
            <w:rStyle w:val="Hyperlink"/>
            <w:rFonts w:asciiTheme="majorHAnsi" w:hAnsiTheme="majorHAnsi" w:cstheme="majorHAnsi"/>
            <w:color w:val="808080" w:themeColor="background1" w:themeShade="80"/>
            <w:sz w:val="16"/>
            <w:szCs w:val="16"/>
          </w:rPr>
          <w:t>Investigation of the Ferguson Police Department</w:t>
        </w:r>
      </w:hyperlink>
      <w:r w:rsidRPr="001167CB">
        <w:rPr>
          <w:rFonts w:asciiTheme="majorHAnsi" w:hAnsiTheme="majorHAnsi" w:cstheme="majorHAnsi"/>
          <w:color w:val="808080" w:themeColor="background1" w:themeShade="80"/>
          <w:sz w:val="16"/>
          <w:szCs w:val="16"/>
        </w:rPr>
        <w:t xml:space="preserve">, Mar. 4, 2015; </w:t>
      </w:r>
      <w:r w:rsidRPr="001167CB">
        <w:rPr>
          <w:rFonts w:asciiTheme="majorHAnsi" w:hAnsiTheme="majorHAnsi" w:cstheme="majorHAnsi"/>
          <w:bCs/>
          <w:color w:val="808080" w:themeColor="background1" w:themeShade="80"/>
          <w:sz w:val="16"/>
          <w:szCs w:val="16"/>
        </w:rPr>
        <w:t xml:space="preserve">IACHR, 154th Period of Sessions, </w:t>
      </w:r>
      <w:hyperlink r:id="rId197" w:history="1">
        <w:r w:rsidRPr="001167CB">
          <w:rPr>
            <w:rStyle w:val="Hyperlink"/>
            <w:rFonts w:asciiTheme="majorHAnsi" w:hAnsiTheme="majorHAnsi" w:cstheme="majorHAnsi"/>
            <w:bCs/>
            <w:color w:val="808080" w:themeColor="background1" w:themeShade="80"/>
            <w:sz w:val="16"/>
            <w:szCs w:val="16"/>
          </w:rPr>
          <w:t>“Criminal Justice and Race”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Mar.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w:t>
      </w:r>
    </w:p>
  </w:footnote>
  <w:footnote w:id="154">
    <w:p w14:paraId="17F69244" w14:textId="77777777" w:rsidR="005C2394" w:rsidRPr="001167CB" w:rsidRDefault="005C2394" w:rsidP="002C64F8">
      <w:pPr>
        <w:spacing w:after="40" w:line="240" w:lineRule="auto"/>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U.S. DOJ Civil Rights Division, </w:t>
      </w:r>
      <w:hyperlink r:id="rId198" w:history="1">
        <w:r w:rsidRPr="001167CB">
          <w:rPr>
            <w:rStyle w:val="Hyperlink"/>
            <w:rFonts w:asciiTheme="majorHAnsi" w:hAnsiTheme="majorHAnsi" w:cstheme="majorHAnsi"/>
            <w:color w:val="808080" w:themeColor="background1" w:themeShade="80"/>
            <w:sz w:val="16"/>
            <w:szCs w:val="16"/>
          </w:rPr>
          <w:t>Investigation of the Ferguson Police Department</w:t>
        </w:r>
      </w:hyperlink>
      <w:r w:rsidRPr="001167CB">
        <w:rPr>
          <w:rFonts w:asciiTheme="majorHAnsi" w:hAnsiTheme="majorHAnsi" w:cstheme="majorHAnsi"/>
          <w:color w:val="808080" w:themeColor="background1" w:themeShade="80"/>
          <w:sz w:val="16"/>
          <w:szCs w:val="16"/>
        </w:rPr>
        <w:t>, Mar. 4, 2015, p. 4.</w:t>
      </w:r>
    </w:p>
  </w:footnote>
  <w:footnote w:id="155">
    <w:p w14:paraId="6955F4FF" w14:textId="77777777" w:rsidR="005C2394" w:rsidRPr="001167CB" w:rsidRDefault="005C2394" w:rsidP="002C64F8">
      <w:pPr>
        <w:spacing w:after="40" w:line="240" w:lineRule="auto"/>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4-11.</w:t>
      </w:r>
    </w:p>
  </w:footnote>
  <w:footnote w:id="156">
    <w:p w14:paraId="21A4C09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U.S. DOJ, </w:t>
      </w:r>
      <w:hyperlink r:id="rId199" w:history="1">
        <w:r w:rsidRPr="001167CB">
          <w:rPr>
            <w:rStyle w:val="Hyperlink"/>
            <w:rFonts w:asciiTheme="majorHAnsi" w:hAnsiTheme="majorHAnsi" w:cstheme="majorHAnsi"/>
            <w:color w:val="808080" w:themeColor="background1" w:themeShade="80"/>
            <w:sz w:val="16"/>
            <w:szCs w:val="16"/>
          </w:rPr>
          <w:t>Justice Department Announces Findings of Two Civil Rights Investigations in Ferguson, Missouri</w:t>
        </w:r>
      </w:hyperlink>
      <w:r w:rsidRPr="001167CB">
        <w:rPr>
          <w:rFonts w:asciiTheme="majorHAnsi" w:hAnsiTheme="majorHAnsi" w:cstheme="majorHAnsi"/>
          <w:color w:val="808080" w:themeColor="background1" w:themeShade="80"/>
          <w:sz w:val="16"/>
          <w:szCs w:val="16"/>
        </w:rPr>
        <w:t xml:space="preserve">, Mar. 4, 2015; </w:t>
      </w:r>
      <w:r w:rsidRPr="001167CB">
        <w:rPr>
          <w:rFonts w:asciiTheme="majorHAnsi" w:hAnsiTheme="majorHAnsi" w:cstheme="majorHAnsi"/>
          <w:i/>
          <w:color w:val="808080" w:themeColor="background1" w:themeShade="80"/>
          <w:sz w:val="16"/>
          <w:szCs w:val="16"/>
        </w:rPr>
        <w:t xml:space="preserve">see also </w:t>
      </w:r>
      <w:r w:rsidRPr="001167CB">
        <w:rPr>
          <w:rFonts w:asciiTheme="majorHAnsi" w:hAnsiTheme="majorHAnsi" w:cstheme="majorHAnsi"/>
          <w:color w:val="808080" w:themeColor="background1" w:themeShade="80"/>
          <w:sz w:val="16"/>
          <w:szCs w:val="16"/>
        </w:rPr>
        <w:t xml:space="preserve">U.S. DOJ Civil Rights Division, </w:t>
      </w:r>
      <w:hyperlink r:id="rId200" w:history="1">
        <w:r w:rsidRPr="001167CB">
          <w:rPr>
            <w:rStyle w:val="Hyperlink"/>
            <w:rFonts w:asciiTheme="majorHAnsi" w:hAnsiTheme="majorHAnsi" w:cstheme="majorHAnsi"/>
            <w:color w:val="808080" w:themeColor="background1" w:themeShade="80"/>
            <w:sz w:val="16"/>
            <w:szCs w:val="16"/>
          </w:rPr>
          <w:t>Investigation of the Ferguson Police Department</w:t>
        </w:r>
      </w:hyperlink>
      <w:r w:rsidRPr="001167CB">
        <w:rPr>
          <w:rFonts w:asciiTheme="majorHAnsi" w:hAnsiTheme="majorHAnsi" w:cstheme="majorHAnsi"/>
          <w:color w:val="808080" w:themeColor="background1" w:themeShade="80"/>
          <w:sz w:val="16"/>
          <w:szCs w:val="16"/>
        </w:rPr>
        <w:t>, Mar. 4, 2015.</w:t>
      </w:r>
    </w:p>
  </w:footnote>
  <w:footnote w:id="157">
    <w:p w14:paraId="487E290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generally</w:t>
      </w:r>
      <w:r w:rsidRPr="001167CB">
        <w:rPr>
          <w:rFonts w:asciiTheme="majorHAnsi" w:hAnsiTheme="majorHAnsi" w:cstheme="majorHAnsi"/>
          <w:color w:val="808080" w:themeColor="background1" w:themeShade="80"/>
          <w:sz w:val="16"/>
          <w:szCs w:val="16"/>
        </w:rPr>
        <w:t xml:space="preserve"> </w:t>
      </w:r>
      <w:hyperlink r:id="rId201" w:history="1">
        <w:r w:rsidRPr="001167CB">
          <w:rPr>
            <w:rStyle w:val="Hyperlink"/>
            <w:rFonts w:asciiTheme="majorHAnsi" w:hAnsiTheme="majorHAnsi" w:cstheme="majorHAnsi"/>
            <w:color w:val="808080" w:themeColor="background1" w:themeShade="80"/>
            <w:sz w:val="16"/>
            <w:szCs w:val="16"/>
          </w:rPr>
          <w:t>Policing and Profit</w:t>
        </w:r>
      </w:hyperlink>
      <w:r w:rsidRPr="001167CB">
        <w:rPr>
          <w:rFonts w:asciiTheme="majorHAnsi" w:hAnsiTheme="majorHAnsi" w:cstheme="majorHAnsi"/>
          <w:color w:val="808080" w:themeColor="background1" w:themeShade="80"/>
          <w:sz w:val="16"/>
          <w:szCs w:val="16"/>
        </w:rPr>
        <w:t xml:space="preserve">, 128 </w:t>
      </w:r>
      <w:r w:rsidRPr="001167CB">
        <w:rPr>
          <w:rFonts w:asciiTheme="majorHAnsi" w:hAnsiTheme="majorHAnsi" w:cstheme="majorHAnsi"/>
          <w:i/>
          <w:color w:val="808080" w:themeColor="background1" w:themeShade="80"/>
          <w:sz w:val="16"/>
          <w:szCs w:val="16"/>
        </w:rPr>
        <w:t>Harvard Law Review</w:t>
      </w:r>
      <w:r w:rsidRPr="001167CB">
        <w:rPr>
          <w:rFonts w:asciiTheme="majorHAnsi" w:hAnsiTheme="majorHAnsi" w:cstheme="majorHAnsi"/>
          <w:color w:val="808080" w:themeColor="background1" w:themeShade="80"/>
          <w:sz w:val="16"/>
          <w:szCs w:val="16"/>
        </w:rPr>
        <w:t xml:space="preserve"> 1723 (2015).</w:t>
      </w:r>
    </w:p>
  </w:footnote>
  <w:footnote w:id="158">
    <w:p w14:paraId="2AF954F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Office of the High Commissioner for Human Rights, </w:t>
      </w:r>
      <w:hyperlink r:id="rId202" w:history="1">
        <w:r w:rsidRPr="001167CB">
          <w:rPr>
            <w:rStyle w:val="Hyperlink"/>
            <w:rFonts w:asciiTheme="majorHAnsi" w:hAnsiTheme="majorHAnsi" w:cstheme="majorHAnsi"/>
            <w:color w:val="808080" w:themeColor="background1" w:themeShade="80"/>
            <w:sz w:val="16"/>
            <w:szCs w:val="16"/>
          </w:rPr>
          <w:t>Statement on Visit to the USA, by Professor Philip Alston, United Nations Special Rapporteur on extreme poverty and human rights</w:t>
        </w:r>
      </w:hyperlink>
      <w:r w:rsidRPr="001167CB">
        <w:rPr>
          <w:rFonts w:asciiTheme="majorHAnsi" w:hAnsiTheme="majorHAnsi" w:cstheme="majorHAnsi"/>
          <w:color w:val="808080" w:themeColor="background1" w:themeShade="80"/>
          <w:sz w:val="16"/>
          <w:szCs w:val="16"/>
        </w:rPr>
        <w:t>, Dec. 15, 2017.</w:t>
      </w:r>
    </w:p>
  </w:footnote>
  <w:footnote w:id="159">
    <w:p w14:paraId="3A3CD2D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also generally</w:t>
      </w:r>
      <w:r w:rsidRPr="001167CB">
        <w:rPr>
          <w:rFonts w:asciiTheme="majorHAnsi" w:hAnsiTheme="majorHAnsi" w:cstheme="majorHAnsi"/>
          <w:color w:val="808080" w:themeColor="background1" w:themeShade="80"/>
          <w:sz w:val="16"/>
          <w:szCs w:val="16"/>
        </w:rPr>
        <w:t xml:space="preserve"> IACHR, </w:t>
      </w:r>
      <w:hyperlink r:id="rId203" w:history="1">
        <w:r w:rsidRPr="001167CB">
          <w:rPr>
            <w:rStyle w:val="Hyperlink"/>
            <w:rFonts w:asciiTheme="majorHAnsi" w:hAnsiTheme="majorHAnsi" w:cstheme="majorHAnsi"/>
            <w:color w:val="808080" w:themeColor="background1" w:themeShade="80"/>
            <w:sz w:val="16"/>
            <w:szCs w:val="16"/>
          </w:rPr>
          <w:t>Report on Citizen Security and Human Rights</w:t>
        </w:r>
      </w:hyperlink>
      <w:r w:rsidRPr="001167CB">
        <w:rPr>
          <w:rFonts w:asciiTheme="majorHAnsi" w:hAnsiTheme="majorHAnsi" w:cstheme="majorHAnsi"/>
          <w:color w:val="808080" w:themeColor="background1" w:themeShade="80"/>
          <w:sz w:val="16"/>
          <w:szCs w:val="16"/>
        </w:rPr>
        <w:t>,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/V/II., Doc. 57 (2009) [hereinafter “Citizen Security and Human Rights”].</w:t>
      </w:r>
    </w:p>
  </w:footnote>
  <w:footnote w:id="160">
    <w:p w14:paraId="4A71061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These bodies refer not only to practices like “Stop and Frisk” but also to practices of surveillance of Muslim and Middle Eastern communities by the FBI and TSA, and the Secure Communities and INA § 287(g) immigration enforcement programs, among others. Human Rights </w:t>
      </w:r>
      <w:proofErr w:type="gramStart"/>
      <w:r w:rsidRPr="001167CB">
        <w:rPr>
          <w:rFonts w:asciiTheme="majorHAnsi" w:hAnsiTheme="majorHAnsi" w:cstheme="majorHAnsi"/>
          <w:color w:val="808080" w:themeColor="background1" w:themeShade="80"/>
          <w:sz w:val="16"/>
          <w:szCs w:val="16"/>
        </w:rPr>
        <w:t>Comm..</w:t>
      </w:r>
      <w:proofErr w:type="gramEnd"/>
      <w:r w:rsidRPr="001167CB">
        <w:rPr>
          <w:rFonts w:asciiTheme="majorHAnsi" w:hAnsiTheme="majorHAnsi" w:cstheme="majorHAnsi"/>
          <w:color w:val="808080" w:themeColor="background1" w:themeShade="80"/>
          <w:sz w:val="16"/>
          <w:szCs w:val="16"/>
        </w:rPr>
        <w:t xml:space="preserve"> </w:t>
      </w:r>
      <w:hyperlink r:id="rId204"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color w:val="808080" w:themeColor="background1" w:themeShade="80"/>
          <w:sz w:val="16"/>
          <w:szCs w:val="16"/>
        </w:rPr>
        <w:t xml:space="preserve">, Apr. 23, 2014, para. 7; </w:t>
      </w:r>
      <w:r w:rsidRPr="001167CB">
        <w:rPr>
          <w:rFonts w:asciiTheme="majorHAnsi" w:hAnsiTheme="majorHAnsi" w:cstheme="majorHAnsi"/>
          <w:bCs/>
          <w:color w:val="808080" w:themeColor="background1" w:themeShade="80"/>
          <w:sz w:val="16"/>
          <w:szCs w:val="16"/>
        </w:rPr>
        <w:t xml:space="preserve">CERD, </w:t>
      </w:r>
      <w:hyperlink r:id="rId205"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bCs/>
          <w:color w:val="808080" w:themeColor="background1" w:themeShade="80"/>
          <w:sz w:val="16"/>
          <w:szCs w:val="16"/>
        </w:rPr>
        <w:t>25, 2014</w:t>
      </w:r>
      <w:r w:rsidRPr="001167CB">
        <w:rPr>
          <w:rFonts w:asciiTheme="majorHAnsi" w:hAnsiTheme="majorHAnsi" w:cstheme="majorHAnsi"/>
          <w:color w:val="808080" w:themeColor="background1" w:themeShade="80"/>
          <w:sz w:val="16"/>
          <w:szCs w:val="16"/>
        </w:rPr>
        <w:t>, para. 8.</w:t>
      </w:r>
    </w:p>
  </w:footnote>
  <w:footnote w:id="161">
    <w:p w14:paraId="6D02F8CA" w14:textId="2E686C10"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supra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lang w:val="es-MX"/>
        </w:rPr>
        <w:fldChar w:fldCharType="begin"/>
      </w:r>
      <w:r w:rsidRPr="001167CB">
        <w:rPr>
          <w:rFonts w:asciiTheme="majorHAnsi" w:hAnsiTheme="majorHAnsi" w:cstheme="majorHAnsi"/>
          <w:color w:val="808080" w:themeColor="background1" w:themeShade="80"/>
          <w:sz w:val="16"/>
          <w:szCs w:val="16"/>
        </w:rPr>
        <w:instrText xml:space="preserve"> REF _Ref507148704 \r \h  \* MERGEFORMAT </w:instrText>
      </w:r>
      <w:r w:rsidRPr="001167CB">
        <w:rPr>
          <w:rFonts w:asciiTheme="majorHAnsi" w:hAnsiTheme="majorHAnsi" w:cstheme="majorHAnsi"/>
          <w:color w:val="808080" w:themeColor="background1" w:themeShade="80"/>
          <w:sz w:val="16"/>
          <w:szCs w:val="16"/>
          <w:lang w:val="es-MX"/>
        </w:rPr>
      </w:r>
      <w:r w:rsidRPr="001167CB">
        <w:rPr>
          <w:rFonts w:asciiTheme="majorHAnsi" w:hAnsiTheme="majorHAnsi" w:cstheme="majorHAnsi"/>
          <w:color w:val="808080" w:themeColor="background1" w:themeShade="80"/>
          <w:sz w:val="16"/>
          <w:szCs w:val="16"/>
          <w:lang w:val="es-MX"/>
        </w:rPr>
        <w:fldChar w:fldCharType="separate"/>
      </w:r>
      <w:r w:rsidRPr="001167CB">
        <w:rPr>
          <w:rFonts w:asciiTheme="majorHAnsi" w:hAnsiTheme="majorHAnsi" w:cstheme="majorHAnsi"/>
          <w:color w:val="808080" w:themeColor="background1" w:themeShade="80"/>
          <w:sz w:val="16"/>
          <w:szCs w:val="16"/>
        </w:rPr>
        <w:t>66</w:t>
      </w:r>
      <w:r w:rsidRPr="001167CB">
        <w:rPr>
          <w:rFonts w:asciiTheme="majorHAnsi" w:hAnsiTheme="majorHAnsi" w:cstheme="majorHAnsi"/>
          <w:color w:val="808080" w:themeColor="background1" w:themeShade="80"/>
          <w:sz w:val="16"/>
          <w:szCs w:val="16"/>
          <w:lang w:val="es-MX"/>
        </w:rPr>
        <w:fldChar w:fldCharType="end"/>
      </w:r>
      <w:r w:rsidRPr="001167CB">
        <w:rPr>
          <w:rFonts w:asciiTheme="majorHAnsi" w:hAnsiTheme="majorHAnsi" w:cstheme="majorHAnsi"/>
          <w:color w:val="808080" w:themeColor="background1" w:themeShade="80"/>
          <w:sz w:val="16"/>
          <w:szCs w:val="16"/>
        </w:rPr>
        <w:t>.</w:t>
      </w:r>
    </w:p>
  </w:footnote>
  <w:footnote w:id="162">
    <w:p w14:paraId="260F612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bookmarkStart w:id="69" w:name="_Hlk498797947"/>
      <w:r w:rsidRPr="001167CB">
        <w:rPr>
          <w:rFonts w:asciiTheme="majorHAnsi" w:hAnsiTheme="majorHAnsi" w:cstheme="majorHAnsi"/>
          <w:color w:val="808080" w:themeColor="background1" w:themeShade="80"/>
          <w:sz w:val="16"/>
          <w:szCs w:val="16"/>
        </w:rPr>
        <w:tab/>
        <w:t xml:space="preserve">ACLU. </w:t>
      </w:r>
      <w:hyperlink r:id="rId206" w:history="1">
        <w:r w:rsidRPr="001167CB">
          <w:rPr>
            <w:rStyle w:val="Hyperlink"/>
            <w:rFonts w:asciiTheme="majorHAnsi" w:hAnsiTheme="majorHAnsi" w:cstheme="majorHAnsi"/>
            <w:iCs/>
            <w:color w:val="808080" w:themeColor="background1" w:themeShade="80"/>
            <w:sz w:val="16"/>
            <w:szCs w:val="16"/>
          </w:rPr>
          <w:t>War Comes Home</w:t>
        </w:r>
        <w:r w:rsidRPr="001167CB">
          <w:rPr>
            <w:rStyle w:val="Hyperlink"/>
            <w:rFonts w:asciiTheme="majorHAnsi" w:hAnsiTheme="majorHAnsi" w:cstheme="majorHAnsi"/>
            <w:color w:val="808080" w:themeColor="background1" w:themeShade="80"/>
            <w:sz w:val="16"/>
            <w:szCs w:val="16"/>
          </w:rPr>
          <w:t>.</w:t>
        </w:r>
      </w:hyperlink>
      <w:r w:rsidRPr="001167CB">
        <w:rPr>
          <w:rFonts w:asciiTheme="majorHAnsi" w:hAnsiTheme="majorHAnsi" w:cstheme="majorHAnsi"/>
          <w:color w:val="808080" w:themeColor="background1" w:themeShade="80"/>
          <w:sz w:val="16"/>
          <w:szCs w:val="16"/>
        </w:rPr>
        <w:t xml:space="preserve"> </w:t>
      </w:r>
      <w:hyperlink r:id="rId207" w:history="1">
        <w:r w:rsidRPr="001167CB">
          <w:rPr>
            <w:rStyle w:val="Hyperlink"/>
            <w:rFonts w:asciiTheme="majorHAnsi" w:hAnsiTheme="majorHAnsi" w:cstheme="majorHAnsi"/>
            <w:color w:val="808080" w:themeColor="background1" w:themeShade="80"/>
            <w:sz w:val="16"/>
            <w:szCs w:val="16"/>
          </w:rPr>
          <w:t>The Excessive Militarization of American Policing</w:t>
        </w:r>
      </w:hyperlink>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lang w:val="en-GB"/>
        </w:rPr>
        <w:t>June 2014, p</w:t>
      </w:r>
      <w:r w:rsidRPr="001167CB">
        <w:rPr>
          <w:rFonts w:asciiTheme="majorHAnsi" w:hAnsiTheme="majorHAnsi" w:cstheme="majorHAnsi"/>
          <w:color w:val="808080" w:themeColor="background1" w:themeShade="80"/>
          <w:sz w:val="16"/>
          <w:szCs w:val="16"/>
        </w:rPr>
        <w:t>. 2.</w:t>
      </w:r>
      <w:bookmarkEnd w:id="69"/>
    </w:p>
  </w:footnote>
  <w:footnote w:id="163">
    <w:p w14:paraId="37100F0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5.</w:t>
      </w:r>
    </w:p>
  </w:footnote>
  <w:footnote w:id="164">
    <w:p w14:paraId="7E1D804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3.</w:t>
      </w:r>
    </w:p>
  </w:footnote>
  <w:footnote w:id="165">
    <w:p w14:paraId="4CCEB327" w14:textId="77777777" w:rsidR="005C2394" w:rsidRPr="001167CB" w:rsidRDefault="005C2394" w:rsidP="002C64F8">
      <w:pPr>
        <w:spacing w:after="40" w:line="240" w:lineRule="auto"/>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at 2. </w:t>
      </w:r>
      <w:r w:rsidRPr="001167CB">
        <w:rPr>
          <w:rFonts w:asciiTheme="majorHAnsi" w:hAnsiTheme="majorHAnsi" w:cstheme="majorHAnsi"/>
          <w:i/>
          <w:color w:val="808080" w:themeColor="background1" w:themeShade="80"/>
          <w:sz w:val="16"/>
          <w:szCs w:val="16"/>
        </w:rPr>
        <w:t>Accord</w:t>
      </w:r>
      <w:r w:rsidRPr="001167CB">
        <w:rPr>
          <w:rFonts w:asciiTheme="majorHAnsi" w:hAnsiTheme="majorHAnsi" w:cstheme="majorHAnsi"/>
          <w:color w:val="808080" w:themeColor="background1" w:themeShade="80"/>
          <w:sz w:val="16"/>
          <w:szCs w:val="16"/>
        </w:rPr>
        <w:t>. Testimony during on-site visit.</w:t>
      </w:r>
    </w:p>
  </w:footnote>
  <w:footnote w:id="166">
    <w:p w14:paraId="30BBC22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Reuters, </w:t>
      </w:r>
      <w:hyperlink r:id="rId208" w:history="1">
        <w:r w:rsidRPr="001167CB">
          <w:rPr>
            <w:rStyle w:val="Hyperlink"/>
            <w:rFonts w:asciiTheme="majorHAnsi" w:hAnsiTheme="majorHAnsi" w:cstheme="majorHAnsi"/>
            <w:color w:val="808080" w:themeColor="background1" w:themeShade="80"/>
            <w:sz w:val="16"/>
            <w:szCs w:val="16"/>
          </w:rPr>
          <w:t>Obama sets new limits on police use of military equipment</w:t>
        </w:r>
      </w:hyperlink>
      <w:r w:rsidRPr="001167CB">
        <w:rPr>
          <w:rFonts w:asciiTheme="majorHAnsi" w:hAnsiTheme="majorHAnsi" w:cstheme="majorHAnsi"/>
          <w:color w:val="808080" w:themeColor="background1" w:themeShade="80"/>
          <w:sz w:val="16"/>
          <w:szCs w:val="16"/>
        </w:rPr>
        <w:t xml:space="preserve">, May 18, 2015. </w:t>
      </w:r>
    </w:p>
  </w:footnote>
  <w:footnote w:id="167">
    <w:p w14:paraId="2E14039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Law Enforcement Equipment Working Group, </w:t>
      </w:r>
      <w:hyperlink r:id="rId209" w:history="1">
        <w:r w:rsidRPr="001167CB">
          <w:rPr>
            <w:rStyle w:val="Hyperlink"/>
            <w:rFonts w:asciiTheme="majorHAnsi" w:hAnsiTheme="majorHAnsi" w:cstheme="majorHAnsi"/>
            <w:iCs/>
            <w:color w:val="808080" w:themeColor="background1" w:themeShade="80"/>
            <w:sz w:val="16"/>
            <w:szCs w:val="16"/>
          </w:rPr>
          <w:t>Recommendations Pursuant to EXECUTIVE ORDER 13688, Federal Support for Local Law Enforcement Equipment Acquisition</w:t>
        </w:r>
      </w:hyperlink>
      <w:r w:rsidRPr="001167CB">
        <w:rPr>
          <w:rFonts w:asciiTheme="majorHAnsi" w:hAnsiTheme="majorHAnsi" w:cstheme="majorHAnsi"/>
          <w:color w:val="808080" w:themeColor="background1" w:themeShade="80"/>
          <w:sz w:val="16"/>
          <w:szCs w:val="16"/>
        </w:rPr>
        <w:t xml:space="preserve">, May 2015.  </w:t>
      </w:r>
    </w:p>
  </w:footnote>
  <w:footnote w:id="168">
    <w:p w14:paraId="50DBC01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Washington Post, </w:t>
      </w:r>
      <w:hyperlink r:id="rId210" w:history="1">
        <w:r w:rsidRPr="001167CB">
          <w:rPr>
            <w:rStyle w:val="Hyperlink"/>
            <w:rFonts w:asciiTheme="majorHAnsi" w:hAnsiTheme="majorHAnsi" w:cstheme="majorHAnsi"/>
            <w:color w:val="808080" w:themeColor="background1" w:themeShade="80"/>
            <w:sz w:val="16"/>
            <w:szCs w:val="16"/>
          </w:rPr>
          <w:t>Obama moves to demilitarize America’s police</w:t>
        </w:r>
      </w:hyperlink>
      <w:r w:rsidRPr="001167CB">
        <w:rPr>
          <w:rFonts w:asciiTheme="majorHAnsi" w:hAnsiTheme="majorHAnsi" w:cstheme="majorHAnsi"/>
          <w:color w:val="808080" w:themeColor="background1" w:themeShade="80"/>
          <w:sz w:val="16"/>
          <w:szCs w:val="16"/>
        </w:rPr>
        <w:t>, May 18, 2015.</w:t>
      </w:r>
    </w:p>
  </w:footnote>
  <w:footnote w:id="169">
    <w:p w14:paraId="1965A16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White House, </w:t>
      </w:r>
      <w:hyperlink r:id="rId211" w:history="1">
        <w:r w:rsidRPr="001167CB">
          <w:rPr>
            <w:rStyle w:val="Hyperlink"/>
            <w:rFonts w:asciiTheme="majorHAnsi" w:hAnsiTheme="majorHAnsi" w:cstheme="majorHAnsi"/>
            <w:iCs/>
            <w:color w:val="808080" w:themeColor="background1" w:themeShade="80"/>
            <w:sz w:val="16"/>
            <w:szCs w:val="16"/>
          </w:rPr>
          <w:t>Presidential Executive Order on Restoring State, Tribal, and Local Law Enforcement's Access to Life-Saving Equipment and Resources</w:t>
        </w:r>
      </w:hyperlink>
      <w:r w:rsidRPr="001167CB">
        <w:rPr>
          <w:rFonts w:asciiTheme="majorHAnsi" w:hAnsiTheme="majorHAnsi" w:cstheme="majorHAnsi"/>
          <w:color w:val="808080" w:themeColor="background1" w:themeShade="80"/>
          <w:sz w:val="16"/>
          <w:szCs w:val="16"/>
        </w:rPr>
        <w:t>, Aug. 28, 2017.</w:t>
      </w:r>
    </w:p>
  </w:footnote>
  <w:footnote w:id="170">
    <w:p w14:paraId="6AECCA5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vertAlign w:val="superscript"/>
        </w:rPr>
        <w:footnoteRef/>
      </w:r>
      <w:r w:rsidRPr="001167CB">
        <w:rPr>
          <w:rFonts w:asciiTheme="majorHAnsi" w:hAnsiTheme="majorHAnsi" w:cstheme="majorHAnsi"/>
          <w:color w:val="808080" w:themeColor="background1" w:themeShade="80"/>
          <w:sz w:val="16"/>
          <w:szCs w:val="16"/>
          <w:vertAlign w:val="superscript"/>
        </w:rPr>
        <w:t xml:space="preserve"> </w:t>
      </w:r>
      <w:r w:rsidRPr="001167CB">
        <w:rPr>
          <w:rFonts w:asciiTheme="majorHAnsi" w:hAnsiTheme="majorHAnsi" w:cstheme="majorHAnsi"/>
          <w:color w:val="808080" w:themeColor="background1" w:themeShade="80"/>
          <w:sz w:val="16"/>
          <w:szCs w:val="16"/>
          <w:vertAlign w:val="superscript"/>
        </w:rPr>
        <w:tab/>
      </w:r>
      <w:r w:rsidRPr="001167CB">
        <w:rPr>
          <w:rFonts w:asciiTheme="majorHAnsi" w:hAnsiTheme="majorHAnsi" w:cstheme="majorHAnsi"/>
          <w:color w:val="808080" w:themeColor="background1" w:themeShade="80"/>
          <w:sz w:val="16"/>
          <w:szCs w:val="16"/>
        </w:rPr>
        <w:t xml:space="preserve">IACHR, Annual Report 2016. </w:t>
      </w:r>
      <w:hyperlink r:id="rId212" w:history="1">
        <w:r w:rsidRPr="001167CB">
          <w:rPr>
            <w:rStyle w:val="Hyperlink"/>
            <w:rFonts w:asciiTheme="majorHAnsi" w:hAnsiTheme="majorHAnsi" w:cstheme="majorHAnsi"/>
            <w:color w:val="808080" w:themeColor="background1" w:themeShade="80"/>
            <w:sz w:val="16"/>
            <w:szCs w:val="16"/>
          </w:rPr>
          <w:t xml:space="preserve">Report of the Special Rapporteur for Freedom of Expression. </w:t>
        </w:r>
        <w:proofErr w:type="spellStart"/>
        <w:r w:rsidRPr="001167CB">
          <w:rPr>
            <w:rStyle w:val="Hyperlink"/>
            <w:rFonts w:asciiTheme="majorHAnsi" w:hAnsiTheme="majorHAnsi" w:cstheme="majorHAnsi"/>
            <w:color w:val="808080" w:themeColor="background1" w:themeShade="80"/>
            <w:sz w:val="16"/>
            <w:szCs w:val="16"/>
            <w:lang w:val="fr-CA"/>
          </w:rPr>
          <w:t>Chapter</w:t>
        </w:r>
        <w:proofErr w:type="spellEnd"/>
        <w:r w:rsidRPr="001167CB">
          <w:rPr>
            <w:rStyle w:val="Hyperlink"/>
            <w:rFonts w:asciiTheme="majorHAnsi" w:hAnsiTheme="majorHAnsi" w:cstheme="majorHAnsi"/>
            <w:color w:val="808080" w:themeColor="background1" w:themeShade="80"/>
            <w:sz w:val="16"/>
            <w:szCs w:val="16"/>
            <w:lang w:val="fr-CA"/>
          </w:rPr>
          <w:t xml:space="preserve"> VI (</w:t>
        </w:r>
        <w:proofErr w:type="spellStart"/>
        <w:r w:rsidRPr="001167CB">
          <w:rPr>
            <w:rStyle w:val="Hyperlink"/>
            <w:rFonts w:asciiTheme="majorHAnsi" w:hAnsiTheme="majorHAnsi" w:cstheme="majorHAnsi"/>
            <w:color w:val="808080" w:themeColor="background1" w:themeShade="80"/>
            <w:sz w:val="16"/>
            <w:szCs w:val="16"/>
            <w:lang w:val="fr-CA"/>
          </w:rPr>
          <w:t>Recommendations</w:t>
        </w:r>
        <w:proofErr w:type="spellEnd"/>
        <w:r w:rsidRPr="001167CB">
          <w:rPr>
            <w:rStyle w:val="Hyperlink"/>
            <w:rFonts w:asciiTheme="majorHAnsi" w:hAnsiTheme="majorHAnsi" w:cstheme="majorHAnsi"/>
            <w:color w:val="808080" w:themeColor="background1" w:themeShade="80"/>
            <w:sz w:val="16"/>
            <w:szCs w:val="16"/>
            <w:lang w:val="fr-CA"/>
          </w:rPr>
          <w:t xml:space="preserve"> on Social </w:t>
        </w:r>
        <w:proofErr w:type="spellStart"/>
        <w:r w:rsidRPr="001167CB">
          <w:rPr>
            <w:rStyle w:val="Hyperlink"/>
            <w:rFonts w:asciiTheme="majorHAnsi" w:hAnsiTheme="majorHAnsi" w:cstheme="majorHAnsi"/>
            <w:color w:val="808080" w:themeColor="background1" w:themeShade="80"/>
            <w:sz w:val="16"/>
            <w:szCs w:val="16"/>
            <w:lang w:val="fr-CA"/>
          </w:rPr>
          <w:t>Protest</w:t>
        </w:r>
        <w:proofErr w:type="spellEnd"/>
        <w:r w:rsidRPr="001167CB">
          <w:rPr>
            <w:rStyle w:val="Hyperlink"/>
            <w:rFonts w:asciiTheme="majorHAnsi" w:hAnsiTheme="majorHAnsi" w:cstheme="majorHAnsi"/>
            <w:color w:val="808080" w:themeColor="background1" w:themeShade="80"/>
            <w:sz w:val="16"/>
            <w:szCs w:val="16"/>
            <w:lang w:val="fr-CA"/>
          </w:rPr>
          <w:t>)</w:t>
        </w:r>
      </w:hyperlink>
      <w:r w:rsidRPr="001167CB">
        <w:rPr>
          <w:rFonts w:asciiTheme="majorHAnsi" w:hAnsiTheme="majorHAnsi" w:cstheme="majorHAnsi"/>
          <w:color w:val="808080" w:themeColor="background1" w:themeShade="80"/>
          <w:sz w:val="16"/>
          <w:szCs w:val="16"/>
          <w:lang w:val="fr-CA"/>
        </w:rPr>
        <w:t>. OEA/</w:t>
      </w:r>
      <w:proofErr w:type="spellStart"/>
      <w:r w:rsidRPr="001167CB">
        <w:rPr>
          <w:rFonts w:asciiTheme="majorHAnsi" w:hAnsiTheme="majorHAnsi" w:cstheme="majorHAnsi"/>
          <w:color w:val="808080" w:themeColor="background1" w:themeShade="80"/>
          <w:sz w:val="16"/>
          <w:szCs w:val="16"/>
          <w:lang w:val="fr-CA"/>
        </w:rPr>
        <w:t>Ser.L</w:t>
      </w:r>
      <w:proofErr w:type="spellEnd"/>
      <w:r w:rsidRPr="001167CB">
        <w:rPr>
          <w:rFonts w:asciiTheme="majorHAnsi" w:hAnsiTheme="majorHAnsi" w:cstheme="majorHAnsi"/>
          <w:color w:val="808080" w:themeColor="background1" w:themeShade="80"/>
          <w:sz w:val="16"/>
          <w:szCs w:val="16"/>
          <w:lang w:val="fr-CA"/>
        </w:rPr>
        <w:t xml:space="preserve">/V/II. Doc. 22/17. </w:t>
      </w:r>
      <w:r w:rsidRPr="001167CB">
        <w:rPr>
          <w:rFonts w:asciiTheme="majorHAnsi" w:hAnsiTheme="majorHAnsi" w:cstheme="majorHAnsi"/>
          <w:color w:val="808080" w:themeColor="background1" w:themeShade="80"/>
          <w:sz w:val="16"/>
          <w:szCs w:val="16"/>
        </w:rPr>
        <w:t>Mar. 9, 2015.</w:t>
      </w:r>
    </w:p>
  </w:footnote>
  <w:footnote w:id="171">
    <w:p w14:paraId="191B967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ACLU, </w:t>
      </w:r>
      <w:hyperlink r:id="rId213" w:history="1">
        <w:r w:rsidRPr="001167CB">
          <w:rPr>
            <w:rStyle w:val="Hyperlink"/>
            <w:rFonts w:asciiTheme="majorHAnsi" w:hAnsiTheme="majorHAnsi" w:cstheme="majorHAnsi"/>
            <w:color w:val="808080" w:themeColor="background1" w:themeShade="80"/>
            <w:sz w:val="16"/>
            <w:szCs w:val="16"/>
          </w:rPr>
          <w:t>Trump Just Gave Thousands of Bayonets And Hundreds of Grenade Launchers Back To Police</w:t>
        </w:r>
      </w:hyperlink>
      <w:r w:rsidRPr="001167CB">
        <w:rPr>
          <w:rFonts w:asciiTheme="majorHAnsi" w:hAnsiTheme="majorHAnsi" w:cstheme="majorHAnsi"/>
          <w:color w:val="808080" w:themeColor="background1" w:themeShade="80"/>
          <w:sz w:val="16"/>
          <w:szCs w:val="16"/>
        </w:rPr>
        <w:t>, Aug. 28, 2017</w:t>
      </w:r>
      <w:r w:rsidRPr="001167CB">
        <w:rPr>
          <w:rFonts w:asciiTheme="majorHAnsi" w:hAnsiTheme="majorHAnsi" w:cstheme="majorHAnsi"/>
          <w:i/>
          <w:color w:val="808080" w:themeColor="background1" w:themeShade="80"/>
          <w:sz w:val="16"/>
          <w:szCs w:val="16"/>
        </w:rPr>
        <w:t>.</w:t>
      </w:r>
    </w:p>
  </w:footnote>
  <w:footnote w:id="172">
    <w:p w14:paraId="5FE66130" w14:textId="497D1F3A" w:rsidR="005C2394" w:rsidRPr="001167CB" w:rsidRDefault="005C2394" w:rsidP="002C64F8">
      <w:pPr>
        <w:pStyle w:val="FootnoteText"/>
        <w:tabs>
          <w:tab w:val="left" w:pos="0"/>
        </w:tabs>
        <w:spacing w:after="40"/>
        <w:ind w:left="547" w:hanging="547"/>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 </w:t>
      </w:r>
      <w:r w:rsidRPr="001167CB">
        <w:rPr>
          <w:rFonts w:asciiTheme="majorHAnsi" w:hAnsiTheme="majorHAnsi" w:cstheme="majorHAnsi"/>
          <w:i/>
          <w:color w:val="808080" w:themeColor="background1" w:themeShade="80"/>
          <w:sz w:val="16"/>
          <w:szCs w:val="16"/>
        </w:rPr>
        <w:t>See infra</w:t>
      </w:r>
      <w:r>
        <w:rPr>
          <w:rFonts w:asciiTheme="majorHAnsi" w:hAnsiTheme="majorHAnsi" w:cstheme="majorHAnsi"/>
          <w:i/>
          <w:color w:val="808080" w:themeColor="background1" w:themeShade="80"/>
          <w:sz w:val="16"/>
          <w:szCs w:val="16"/>
        </w:rPr>
        <w:t>.</w:t>
      </w:r>
      <w:r w:rsidRPr="001167CB">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International Framework regarding the Use of Force Legality, Absolute Necessity and Proportionality.</w:t>
      </w:r>
    </w:p>
  </w:footnote>
  <w:footnote w:id="173">
    <w:p w14:paraId="242B520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GAO, </w:t>
      </w:r>
      <w:hyperlink r:id="rId214" w:history="1">
        <w:r w:rsidRPr="001167CB">
          <w:rPr>
            <w:rStyle w:val="Hyperlink"/>
            <w:rFonts w:asciiTheme="majorHAnsi" w:hAnsiTheme="majorHAnsi" w:cstheme="majorHAnsi"/>
            <w:iCs/>
            <w:color w:val="808080" w:themeColor="background1" w:themeShade="80"/>
            <w:sz w:val="16"/>
            <w:szCs w:val="16"/>
          </w:rPr>
          <w:t>DOD EXCESS PROPERTY: Enhanced Controls Needed for Access to Excess Controlled Property</w:t>
        </w:r>
      </w:hyperlink>
      <w:r w:rsidRPr="001167CB">
        <w:rPr>
          <w:rFonts w:asciiTheme="majorHAnsi" w:hAnsiTheme="majorHAnsi" w:cstheme="majorHAnsi"/>
          <w:color w:val="808080" w:themeColor="background1" w:themeShade="80"/>
          <w:sz w:val="16"/>
          <w:szCs w:val="16"/>
        </w:rPr>
        <w:t xml:space="preserve">, July 2017.  </w:t>
      </w:r>
    </w:p>
  </w:footnote>
  <w:footnote w:id="174">
    <w:p w14:paraId="2CF64CA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e.g.</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bCs/>
          <w:color w:val="808080" w:themeColor="background1" w:themeShade="80"/>
          <w:sz w:val="16"/>
          <w:szCs w:val="16"/>
        </w:rPr>
        <w:t xml:space="preserve">IACHR, 156th Period of Sessions, </w:t>
      </w:r>
      <w:hyperlink r:id="rId215" w:history="1">
        <w:r w:rsidRPr="001167CB">
          <w:rPr>
            <w:rStyle w:val="Hyperlink"/>
            <w:rFonts w:asciiTheme="majorHAnsi" w:hAnsiTheme="majorHAnsi" w:cstheme="majorHAnsi"/>
            <w:bCs/>
            <w:color w:val="808080" w:themeColor="background1" w:themeShade="80"/>
            <w:sz w:val="16"/>
            <w:szCs w:val="16"/>
          </w:rPr>
          <w:t>“Police Killings”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23, 2015</w:t>
      </w:r>
      <w:r w:rsidRPr="001167CB">
        <w:rPr>
          <w:rFonts w:asciiTheme="majorHAnsi" w:hAnsiTheme="majorHAnsi" w:cstheme="majorHAnsi"/>
          <w:color w:val="808080" w:themeColor="background1" w:themeShade="80"/>
          <w:sz w:val="16"/>
          <w:szCs w:val="16"/>
        </w:rPr>
        <w:t xml:space="preserve">; Press Release No. 120/2015, </w:t>
      </w:r>
      <w:hyperlink r:id="rId216" w:history="1">
        <w:r w:rsidRPr="001167CB">
          <w:rPr>
            <w:rStyle w:val="Hyperlink"/>
            <w:rFonts w:asciiTheme="majorHAnsi" w:hAnsiTheme="majorHAnsi" w:cstheme="majorHAnsi"/>
            <w:color w:val="808080" w:themeColor="background1" w:themeShade="80"/>
            <w:sz w:val="16"/>
            <w:szCs w:val="16"/>
          </w:rPr>
          <w:t>IACHR Wraps Up its 156th Session</w:t>
        </w:r>
      </w:hyperlink>
      <w:r w:rsidRPr="001167CB">
        <w:rPr>
          <w:rFonts w:asciiTheme="majorHAnsi" w:hAnsiTheme="majorHAnsi" w:cstheme="majorHAnsi"/>
          <w:color w:val="808080" w:themeColor="background1" w:themeShade="80"/>
          <w:sz w:val="16"/>
          <w:szCs w:val="16"/>
        </w:rPr>
        <w:t>, Oct. 28, 2015;</w:t>
      </w:r>
      <w:r w:rsidRPr="001167CB">
        <w:rPr>
          <w:rFonts w:asciiTheme="majorHAnsi" w:hAnsiTheme="majorHAnsi" w:cstheme="majorHAnsi"/>
          <w:bCs/>
          <w:color w:val="808080" w:themeColor="background1" w:themeShade="80"/>
          <w:sz w:val="16"/>
          <w:szCs w:val="16"/>
        </w:rPr>
        <w:t xml:space="preserve"> </w:t>
      </w:r>
      <w:hyperlink r:id="rId217" w:history="1">
        <w:r w:rsidRPr="001167CB">
          <w:rPr>
            <w:rStyle w:val="Hyperlink"/>
            <w:rFonts w:asciiTheme="majorHAnsi" w:hAnsiTheme="majorHAnsi" w:cstheme="majorHAnsi"/>
            <w:bCs/>
            <w:color w:val="808080" w:themeColor="background1" w:themeShade="80"/>
            <w:sz w:val="16"/>
            <w:szCs w:val="16"/>
          </w:rPr>
          <w:t>Walter Scott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bCs/>
          <w:color w:val="808080" w:themeColor="background1" w:themeShade="80"/>
          <w:sz w:val="16"/>
          <w:szCs w:val="16"/>
        </w:rPr>
        <w:t>17, 2015</w:t>
      </w:r>
      <w:r w:rsidRPr="001167CB">
        <w:rPr>
          <w:rFonts w:asciiTheme="majorHAnsi" w:hAnsiTheme="majorHAnsi" w:cstheme="majorHAnsi"/>
          <w:color w:val="808080" w:themeColor="background1" w:themeShade="80"/>
          <w:sz w:val="16"/>
          <w:szCs w:val="16"/>
        </w:rPr>
        <w:t xml:space="preserve">. </w:t>
      </w:r>
    </w:p>
  </w:footnote>
  <w:footnote w:id="175">
    <w:p w14:paraId="7FE77D6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CERD, </w:t>
      </w:r>
      <w:hyperlink r:id="rId218"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bCs/>
          <w:color w:val="808080" w:themeColor="background1" w:themeShade="80"/>
          <w:sz w:val="16"/>
          <w:szCs w:val="16"/>
        </w:rPr>
        <w:t>25, 2014</w:t>
      </w:r>
      <w:r w:rsidRPr="001167CB">
        <w:rPr>
          <w:rFonts w:asciiTheme="majorHAnsi" w:hAnsiTheme="majorHAnsi" w:cstheme="majorHAnsi"/>
          <w:color w:val="808080" w:themeColor="background1" w:themeShade="80"/>
          <w:sz w:val="16"/>
          <w:szCs w:val="16"/>
        </w:rPr>
        <w:t xml:space="preserve">, para. 17; </w:t>
      </w:r>
      <w:r w:rsidRPr="001167CB">
        <w:rPr>
          <w:rFonts w:asciiTheme="majorHAnsi" w:hAnsiTheme="majorHAnsi" w:cstheme="majorHAnsi"/>
          <w:bCs/>
          <w:color w:val="808080" w:themeColor="background1" w:themeShade="80"/>
          <w:sz w:val="16"/>
          <w:szCs w:val="16"/>
        </w:rPr>
        <w:t xml:space="preserve">U.N., Working Group on People of African Descent. </w:t>
      </w:r>
      <w:hyperlink r:id="rId219" w:history="1">
        <w:r w:rsidRPr="001167CB">
          <w:rPr>
            <w:rStyle w:val="Hyperlink"/>
            <w:rFonts w:asciiTheme="majorHAnsi" w:hAnsiTheme="majorHAnsi" w:cstheme="majorHAnsi"/>
            <w:bCs/>
            <w:color w:val="808080" w:themeColor="background1" w:themeShade="80"/>
            <w:sz w:val="16"/>
            <w:szCs w:val="16"/>
          </w:rPr>
          <w:t>Report on mission to the U.S.</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18, 2016</w:t>
      </w:r>
      <w:r w:rsidRPr="001167CB">
        <w:rPr>
          <w:rFonts w:asciiTheme="majorHAnsi" w:hAnsiTheme="majorHAnsi" w:cstheme="majorHAnsi"/>
          <w:color w:val="808080" w:themeColor="background1" w:themeShade="80"/>
          <w:sz w:val="16"/>
          <w:szCs w:val="16"/>
        </w:rPr>
        <w:t xml:space="preserve">, para. 20. </w:t>
      </w:r>
    </w:p>
  </w:footnote>
  <w:footnote w:id="176">
    <w:p w14:paraId="6EC2D75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220" w:history="1">
        <w:r w:rsidRPr="001167CB">
          <w:rPr>
            <w:rStyle w:val="Hyperlink"/>
            <w:rFonts w:asciiTheme="majorHAnsi" w:hAnsiTheme="majorHAnsi" w:cstheme="majorHAnsi"/>
            <w:bCs/>
            <w:color w:val="808080" w:themeColor="background1" w:themeShade="80"/>
            <w:sz w:val="16"/>
            <w:szCs w:val="16"/>
          </w:rPr>
          <w:t>Eric Garner and Michael Brown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22, 2014</w:t>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bCs/>
          <w:color w:val="808080" w:themeColor="background1" w:themeShade="80"/>
          <w:sz w:val="16"/>
          <w:szCs w:val="16"/>
        </w:rPr>
        <w:t xml:space="preserve"> </w:t>
      </w:r>
      <w:hyperlink r:id="rId221" w:history="1">
        <w:r w:rsidRPr="001167CB">
          <w:rPr>
            <w:rStyle w:val="Hyperlink"/>
            <w:rFonts w:asciiTheme="majorHAnsi" w:hAnsiTheme="majorHAnsi" w:cstheme="majorHAnsi"/>
            <w:bCs/>
            <w:color w:val="808080" w:themeColor="background1" w:themeShade="80"/>
            <w:sz w:val="16"/>
            <w:szCs w:val="16"/>
          </w:rPr>
          <w:t>Walter Scott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bCs/>
          <w:color w:val="808080" w:themeColor="background1" w:themeShade="80"/>
          <w:sz w:val="16"/>
          <w:szCs w:val="16"/>
        </w:rPr>
        <w:t>17, 2015</w:t>
      </w:r>
      <w:r w:rsidRPr="001167CB">
        <w:rPr>
          <w:rFonts w:asciiTheme="majorHAnsi" w:hAnsiTheme="majorHAnsi" w:cstheme="majorHAnsi"/>
          <w:color w:val="808080" w:themeColor="background1" w:themeShade="80"/>
          <w:sz w:val="16"/>
          <w:szCs w:val="16"/>
        </w:rPr>
        <w:t xml:space="preserve">; </w:t>
      </w:r>
      <w:hyperlink r:id="rId222" w:history="1">
        <w:r w:rsidRPr="001167CB">
          <w:rPr>
            <w:rStyle w:val="Hyperlink"/>
            <w:rFonts w:asciiTheme="majorHAnsi" w:hAnsiTheme="majorHAnsi" w:cstheme="majorHAnsi"/>
            <w:bCs/>
            <w:color w:val="808080" w:themeColor="background1" w:themeShade="80"/>
            <w:sz w:val="16"/>
            <w:szCs w:val="16"/>
          </w:rPr>
          <w:t>Investigation of Police Killings Press Release</w:t>
        </w:r>
      </w:hyperlink>
      <w:r w:rsidRPr="001167CB">
        <w:rPr>
          <w:rFonts w:asciiTheme="majorHAnsi" w:hAnsiTheme="majorHAnsi" w:cstheme="majorHAnsi"/>
          <w:color w:val="808080" w:themeColor="background1" w:themeShade="80"/>
          <w:sz w:val="16"/>
          <w:szCs w:val="16"/>
        </w:rPr>
        <w:t>, Aug. 23, 2016.</w:t>
      </w:r>
    </w:p>
  </w:footnote>
  <w:footnote w:id="177">
    <w:p w14:paraId="43CC3FC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e.g., </w:t>
      </w:r>
      <w:r w:rsidRPr="001167CB">
        <w:rPr>
          <w:rFonts w:asciiTheme="majorHAnsi" w:hAnsiTheme="majorHAnsi" w:cstheme="majorHAnsi"/>
          <w:color w:val="808080" w:themeColor="background1" w:themeShade="80"/>
          <w:sz w:val="16"/>
          <w:szCs w:val="16"/>
        </w:rPr>
        <w:t xml:space="preserve">Washington Post, </w:t>
      </w:r>
      <w:hyperlink r:id="rId223" w:history="1">
        <w:r w:rsidRPr="001167CB">
          <w:rPr>
            <w:rStyle w:val="Hyperlink"/>
            <w:rFonts w:asciiTheme="majorHAnsi" w:hAnsiTheme="majorHAnsi" w:cstheme="majorHAnsi"/>
            <w:color w:val="808080" w:themeColor="background1" w:themeShade="80"/>
            <w:sz w:val="16"/>
            <w:szCs w:val="16"/>
          </w:rPr>
          <w:t>FBI director calls lack of data on police shootings ‘ridiculous,’ ‘embarrassing’</w:t>
        </w:r>
      </w:hyperlink>
      <w:r w:rsidRPr="001167CB">
        <w:rPr>
          <w:rFonts w:asciiTheme="majorHAnsi" w:hAnsiTheme="majorHAnsi" w:cstheme="majorHAnsi"/>
          <w:color w:val="808080" w:themeColor="background1" w:themeShade="80"/>
          <w:sz w:val="16"/>
          <w:szCs w:val="16"/>
        </w:rPr>
        <w:t>, Oct. 7, 2015. In light of the lack of a mandatory federal database, four principal non-governmental databases have been established to track killings by police officers. Two are maintained by newspapers—The Guardian’s “</w:t>
      </w:r>
      <w:hyperlink r:id="rId224" w:history="1">
        <w:r w:rsidRPr="001167CB">
          <w:rPr>
            <w:rStyle w:val="Hyperlink"/>
            <w:rFonts w:asciiTheme="majorHAnsi" w:hAnsiTheme="majorHAnsi" w:cstheme="majorHAnsi"/>
            <w:color w:val="808080" w:themeColor="background1" w:themeShade="80"/>
            <w:sz w:val="16"/>
            <w:szCs w:val="16"/>
          </w:rPr>
          <w:t>The Counted</w:t>
        </w:r>
      </w:hyperlink>
      <w:r w:rsidRPr="001167CB">
        <w:rPr>
          <w:rFonts w:asciiTheme="majorHAnsi" w:hAnsiTheme="majorHAnsi" w:cstheme="majorHAnsi"/>
          <w:color w:val="808080" w:themeColor="background1" w:themeShade="80"/>
          <w:sz w:val="16"/>
          <w:szCs w:val="16"/>
        </w:rPr>
        <w:t>” and The Washington Post’s “</w:t>
      </w:r>
      <w:hyperlink r:id="rId225" w:history="1">
        <w:r w:rsidRPr="001167CB">
          <w:rPr>
            <w:rStyle w:val="Hyperlink"/>
            <w:rFonts w:asciiTheme="majorHAnsi" w:hAnsiTheme="majorHAnsi" w:cstheme="majorHAnsi"/>
            <w:color w:val="808080" w:themeColor="background1" w:themeShade="80"/>
            <w:sz w:val="16"/>
            <w:szCs w:val="16"/>
          </w:rPr>
          <w:t>Fatal Force</w:t>
        </w:r>
      </w:hyperlink>
      <w:r w:rsidRPr="001167CB">
        <w:rPr>
          <w:rFonts w:asciiTheme="majorHAnsi" w:hAnsiTheme="majorHAnsi" w:cstheme="majorHAnsi"/>
          <w:color w:val="808080" w:themeColor="background1" w:themeShade="80"/>
          <w:sz w:val="16"/>
          <w:szCs w:val="16"/>
        </w:rPr>
        <w:t>”—and two are maintained by citizen activist groups—“</w:t>
      </w:r>
      <w:hyperlink r:id="rId226" w:history="1">
        <w:r w:rsidRPr="001167CB">
          <w:rPr>
            <w:rStyle w:val="Hyperlink"/>
            <w:rFonts w:asciiTheme="majorHAnsi" w:hAnsiTheme="majorHAnsi" w:cstheme="majorHAnsi"/>
            <w:color w:val="808080" w:themeColor="background1" w:themeShade="80"/>
            <w:sz w:val="16"/>
            <w:szCs w:val="16"/>
          </w:rPr>
          <w:t>Fatal Encounters</w:t>
        </w:r>
      </w:hyperlink>
      <w:r w:rsidRPr="001167CB">
        <w:rPr>
          <w:rFonts w:asciiTheme="majorHAnsi" w:hAnsiTheme="majorHAnsi" w:cstheme="majorHAnsi"/>
          <w:color w:val="808080" w:themeColor="background1" w:themeShade="80"/>
          <w:sz w:val="16"/>
          <w:szCs w:val="16"/>
        </w:rPr>
        <w:t>” and “</w:t>
      </w:r>
      <w:hyperlink r:id="rId227" w:history="1">
        <w:r w:rsidRPr="001167CB">
          <w:rPr>
            <w:rStyle w:val="Hyperlink"/>
            <w:rFonts w:asciiTheme="majorHAnsi" w:hAnsiTheme="majorHAnsi" w:cstheme="majorHAnsi"/>
            <w:color w:val="808080" w:themeColor="background1" w:themeShade="80"/>
            <w:sz w:val="16"/>
            <w:szCs w:val="16"/>
          </w:rPr>
          <w:t>Killed by Police</w:t>
        </w:r>
      </w:hyperlink>
      <w:r w:rsidRPr="001167CB">
        <w:rPr>
          <w:rFonts w:asciiTheme="majorHAnsi" w:hAnsiTheme="majorHAnsi" w:cstheme="majorHAnsi"/>
          <w:color w:val="808080" w:themeColor="background1" w:themeShade="80"/>
          <w:sz w:val="16"/>
          <w:szCs w:val="16"/>
        </w:rPr>
        <w:t xml:space="preserve">.” </w:t>
      </w:r>
    </w:p>
  </w:footnote>
  <w:footnote w:id="178">
    <w:p w14:paraId="0DB7BC64" w14:textId="01BCB9C9"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infra</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_Ref507149138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lang w:val="en"/>
        </w:rPr>
        <w:t xml:space="preserve">International Framework regarding Access to Justice: Due Diligence, Accountability, </w:t>
      </w:r>
      <w:proofErr w:type="gramStart"/>
      <w:r w:rsidRPr="001167CB">
        <w:rPr>
          <w:rFonts w:asciiTheme="majorHAnsi" w:hAnsiTheme="majorHAnsi" w:cstheme="majorHAnsi"/>
          <w:color w:val="808080" w:themeColor="background1" w:themeShade="80"/>
          <w:sz w:val="16"/>
          <w:szCs w:val="16"/>
          <w:lang w:val="en"/>
        </w:rPr>
        <w:t>Institutional</w:t>
      </w:r>
      <w:proofErr w:type="gramEnd"/>
      <w:r w:rsidRPr="001167CB">
        <w:rPr>
          <w:rFonts w:asciiTheme="majorHAnsi" w:hAnsiTheme="majorHAnsi" w:cstheme="majorHAnsi"/>
          <w:color w:val="808080" w:themeColor="background1" w:themeShade="80"/>
          <w:sz w:val="16"/>
          <w:szCs w:val="16"/>
          <w:lang w:val="en"/>
        </w:rPr>
        <w:t xml:space="preserve"> </w:t>
      </w:r>
      <w:r w:rsidRPr="001167CB">
        <w:rPr>
          <w:rFonts w:asciiTheme="majorHAnsi" w:hAnsiTheme="majorHAnsi" w:cstheme="majorHAnsi"/>
          <w:color w:val="808080" w:themeColor="background1" w:themeShade="80"/>
          <w:sz w:val="16"/>
          <w:szCs w:val="16"/>
        </w:rPr>
        <w:t>Independence</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179">
    <w:p w14:paraId="5CC30EE9" w14:textId="77777777" w:rsidR="005C2394" w:rsidRPr="001167CB" w:rsidRDefault="005C2394" w:rsidP="002C64F8">
      <w:pPr>
        <w:spacing w:after="40" w:line="240" w:lineRule="auto"/>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vertAlign w:val="superscript"/>
        </w:rPr>
        <w:t xml:space="preserve"> </w:t>
      </w:r>
      <w:r w:rsidRPr="001167CB">
        <w:rPr>
          <w:rFonts w:asciiTheme="majorHAnsi" w:hAnsiTheme="majorHAnsi" w:cstheme="majorHAnsi"/>
          <w:color w:val="808080" w:themeColor="background1" w:themeShade="80"/>
          <w:sz w:val="16"/>
          <w:szCs w:val="16"/>
          <w:vertAlign w:val="superscript"/>
        </w:rPr>
        <w:tab/>
      </w:r>
      <w:r w:rsidRPr="001167CB">
        <w:rPr>
          <w:rFonts w:asciiTheme="majorHAnsi" w:hAnsiTheme="majorHAnsi" w:cstheme="majorHAnsi"/>
          <w:color w:val="808080" w:themeColor="background1" w:themeShade="80"/>
          <w:sz w:val="16"/>
          <w:szCs w:val="16"/>
        </w:rPr>
        <w:t xml:space="preserve">New York Times, </w:t>
      </w:r>
      <w:hyperlink r:id="rId228" w:history="1">
        <w:r w:rsidRPr="001167CB">
          <w:rPr>
            <w:rStyle w:val="Hyperlink"/>
            <w:rFonts w:asciiTheme="majorHAnsi" w:hAnsiTheme="majorHAnsi" w:cstheme="majorHAnsi"/>
            <w:bCs/>
            <w:color w:val="808080" w:themeColor="background1" w:themeShade="80"/>
            <w:sz w:val="16"/>
            <w:szCs w:val="16"/>
          </w:rPr>
          <w:t>Why Are Police Officers More Dangerous Than Airplanes?</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2017.</w:t>
      </w:r>
    </w:p>
  </w:footnote>
  <w:footnote w:id="180">
    <w:p w14:paraId="421FDE8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229" w:history="1">
        <w:r w:rsidRPr="001167CB">
          <w:rPr>
            <w:rStyle w:val="Hyperlink"/>
            <w:rFonts w:asciiTheme="majorHAnsi" w:hAnsiTheme="majorHAnsi" w:cstheme="majorHAnsi"/>
            <w:color w:val="808080" w:themeColor="background1" w:themeShade="80"/>
            <w:sz w:val="16"/>
            <w:szCs w:val="16"/>
          </w:rPr>
          <w:t>Fata</w:t>
        </w:r>
      </w:hyperlink>
      <w:r w:rsidRPr="001167CB">
        <w:rPr>
          <w:rStyle w:val="Hyperlink"/>
          <w:rFonts w:asciiTheme="majorHAnsi" w:hAnsiTheme="majorHAnsi" w:cstheme="majorHAnsi"/>
          <w:color w:val="808080" w:themeColor="background1" w:themeShade="80"/>
          <w:sz w:val="16"/>
          <w:szCs w:val="16"/>
        </w:rPr>
        <w:t>l Force: 2017</w:t>
      </w:r>
      <w:r w:rsidRPr="001167CB">
        <w:rPr>
          <w:rFonts w:asciiTheme="majorHAnsi" w:hAnsiTheme="majorHAnsi" w:cstheme="majorHAnsi"/>
          <w:color w:val="808080" w:themeColor="background1" w:themeShade="80"/>
          <w:sz w:val="16"/>
          <w:szCs w:val="16"/>
        </w:rPr>
        <w:t xml:space="preserve">; Washington Post, </w:t>
      </w:r>
      <w:hyperlink r:id="rId230" w:history="1">
        <w:r w:rsidRPr="001167CB">
          <w:rPr>
            <w:rStyle w:val="Hyperlink"/>
            <w:rFonts w:asciiTheme="majorHAnsi" w:hAnsiTheme="majorHAnsi" w:cstheme="majorHAnsi"/>
            <w:color w:val="808080" w:themeColor="background1" w:themeShade="80"/>
            <w:sz w:val="16"/>
            <w:szCs w:val="16"/>
          </w:rPr>
          <w:t>Nationwide, police shot and killed nearly 1,000 people in 2017</w:t>
        </w:r>
      </w:hyperlink>
      <w:r w:rsidRPr="001167CB">
        <w:rPr>
          <w:rFonts w:asciiTheme="majorHAnsi" w:hAnsiTheme="majorHAnsi" w:cstheme="majorHAnsi"/>
          <w:color w:val="808080" w:themeColor="background1" w:themeShade="80"/>
          <w:sz w:val="16"/>
          <w:szCs w:val="16"/>
        </w:rPr>
        <w:t>, Jan. 6, 2018.</w:t>
      </w:r>
    </w:p>
  </w:footnote>
  <w:footnote w:id="181">
    <w:p w14:paraId="5BA8D1B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PRI, </w:t>
      </w:r>
      <w:hyperlink r:id="rId231" w:history="1">
        <w:proofErr w:type="gramStart"/>
        <w:r w:rsidRPr="001167CB">
          <w:rPr>
            <w:rStyle w:val="Hyperlink"/>
            <w:rFonts w:asciiTheme="majorHAnsi" w:hAnsiTheme="majorHAnsi" w:cstheme="majorHAnsi"/>
            <w:color w:val="808080" w:themeColor="background1" w:themeShade="80"/>
            <w:sz w:val="16"/>
            <w:szCs w:val="16"/>
          </w:rPr>
          <w:t>When</w:t>
        </w:r>
        <w:proofErr w:type="gramEnd"/>
        <w:r w:rsidRPr="001167CB">
          <w:rPr>
            <w:rStyle w:val="Hyperlink"/>
            <w:rFonts w:asciiTheme="majorHAnsi" w:hAnsiTheme="majorHAnsi" w:cstheme="majorHAnsi"/>
            <w:color w:val="808080" w:themeColor="background1" w:themeShade="80"/>
            <w:sz w:val="16"/>
            <w:szCs w:val="16"/>
          </w:rPr>
          <w:t xml:space="preserve"> it comes to police shootings, the US doesn't look like a developed nation</w:t>
        </w:r>
      </w:hyperlink>
      <w:r w:rsidRPr="001167CB">
        <w:rPr>
          <w:rFonts w:asciiTheme="majorHAnsi" w:hAnsiTheme="majorHAnsi" w:cstheme="majorHAnsi"/>
          <w:color w:val="808080" w:themeColor="background1" w:themeShade="80"/>
          <w:sz w:val="16"/>
          <w:szCs w:val="16"/>
        </w:rPr>
        <w:t>, July 12, 2016.</w:t>
      </w:r>
    </w:p>
  </w:footnote>
  <w:footnote w:id="182">
    <w:p w14:paraId="7682FA53" w14:textId="77777777"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Washington Post database registered 223 African Americans among the 987 total killings by police registered in the United States during 2017 (23 percent of total killings). Washington Post, </w:t>
      </w:r>
      <w:hyperlink r:id="rId232" w:history="1">
        <w:r w:rsidRPr="001167CB">
          <w:rPr>
            <w:rStyle w:val="Hyperlink"/>
            <w:rFonts w:asciiTheme="majorHAnsi" w:hAnsiTheme="majorHAnsi" w:cstheme="majorHAnsi"/>
            <w:color w:val="808080" w:themeColor="background1" w:themeShade="80"/>
            <w:sz w:val="16"/>
            <w:szCs w:val="16"/>
          </w:rPr>
          <w:t>Fata</w:t>
        </w:r>
      </w:hyperlink>
      <w:r w:rsidRPr="001167CB">
        <w:rPr>
          <w:rStyle w:val="Hyperlink"/>
          <w:rFonts w:asciiTheme="majorHAnsi" w:hAnsiTheme="majorHAnsi" w:cstheme="majorHAnsi"/>
          <w:color w:val="808080" w:themeColor="background1" w:themeShade="80"/>
          <w:sz w:val="16"/>
          <w:szCs w:val="16"/>
        </w:rPr>
        <w:t>l Force: 2017</w:t>
      </w:r>
      <w:r w:rsidRPr="001167CB">
        <w:rPr>
          <w:rFonts w:asciiTheme="majorHAnsi" w:hAnsiTheme="majorHAnsi" w:cstheme="majorHAnsi"/>
          <w:color w:val="808080" w:themeColor="background1" w:themeShade="80"/>
          <w:sz w:val="16"/>
          <w:szCs w:val="16"/>
        </w:rPr>
        <w:t>, last visited Nov. 8, 2017.</w:t>
      </w:r>
    </w:p>
  </w:footnote>
  <w:footnote w:id="183">
    <w:p w14:paraId="19CA4AF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Washington Post, </w:t>
      </w:r>
      <w:hyperlink r:id="rId233" w:history="1">
        <w:r w:rsidRPr="001167CB">
          <w:rPr>
            <w:rStyle w:val="Hyperlink"/>
            <w:rFonts w:asciiTheme="majorHAnsi" w:hAnsiTheme="majorHAnsi" w:cstheme="majorHAnsi"/>
            <w:color w:val="808080" w:themeColor="background1" w:themeShade="80"/>
            <w:sz w:val="16"/>
            <w:szCs w:val="16"/>
          </w:rPr>
          <w:t>Fatal Force: 2016</w:t>
        </w:r>
      </w:hyperlink>
      <w:r w:rsidRPr="001167CB">
        <w:rPr>
          <w:rFonts w:asciiTheme="majorHAnsi" w:hAnsiTheme="majorHAnsi" w:cstheme="majorHAnsi"/>
          <w:color w:val="808080" w:themeColor="background1" w:themeShade="80"/>
          <w:sz w:val="16"/>
          <w:szCs w:val="16"/>
        </w:rPr>
        <w:t xml:space="preserve">, last visited Oct. 23, 2017; </w:t>
      </w:r>
      <w:hyperlink r:id="rId234" w:history="1">
        <w:r w:rsidRPr="001167CB">
          <w:rPr>
            <w:rStyle w:val="Hyperlink"/>
            <w:rFonts w:asciiTheme="majorHAnsi" w:hAnsiTheme="majorHAnsi" w:cstheme="majorHAnsi"/>
            <w:color w:val="808080" w:themeColor="background1" w:themeShade="80"/>
            <w:sz w:val="16"/>
            <w:szCs w:val="16"/>
          </w:rPr>
          <w:t>Fatal Force: 2015</w:t>
        </w:r>
      </w:hyperlink>
      <w:r w:rsidRPr="001167CB">
        <w:rPr>
          <w:rFonts w:asciiTheme="majorHAnsi" w:hAnsiTheme="majorHAnsi" w:cstheme="majorHAnsi"/>
          <w:color w:val="808080" w:themeColor="background1" w:themeShade="80"/>
          <w:sz w:val="16"/>
          <w:szCs w:val="16"/>
        </w:rPr>
        <w:t xml:space="preserve">, last visited Oct. 23, 2017. </w:t>
      </w:r>
    </w:p>
  </w:footnote>
  <w:footnote w:id="184">
    <w:p w14:paraId="00AB0003" w14:textId="77777777" w:rsidR="005C2394" w:rsidRPr="001167CB" w:rsidRDefault="005C2394" w:rsidP="002C64F8">
      <w:pPr>
        <w:spacing w:after="40" w:line="240" w:lineRule="auto"/>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156th Period of Sessions, </w:t>
      </w:r>
      <w:hyperlink r:id="rId235" w:history="1">
        <w:r w:rsidRPr="001167CB">
          <w:rPr>
            <w:rStyle w:val="Hyperlink"/>
            <w:rFonts w:asciiTheme="majorHAnsi" w:hAnsiTheme="majorHAnsi" w:cstheme="majorHAnsi"/>
            <w:bCs/>
            <w:color w:val="808080" w:themeColor="background1" w:themeShade="80"/>
            <w:sz w:val="16"/>
            <w:szCs w:val="16"/>
          </w:rPr>
          <w:t>“Police Killings”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23, 2015</w:t>
      </w:r>
      <w:r w:rsidRPr="001167CB">
        <w:rPr>
          <w:rFonts w:asciiTheme="majorHAnsi" w:hAnsiTheme="majorHAnsi" w:cstheme="majorHAnsi"/>
          <w:color w:val="808080" w:themeColor="background1" w:themeShade="80"/>
          <w:sz w:val="16"/>
          <w:szCs w:val="16"/>
        </w:rPr>
        <w:t>.</w:t>
      </w:r>
    </w:p>
  </w:footnote>
  <w:footnote w:id="185">
    <w:p w14:paraId="3B2C267E" w14:textId="208D934C"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James Buehler, “</w:t>
      </w:r>
      <w:r w:rsidRPr="001167CB">
        <w:rPr>
          <w:rFonts w:asciiTheme="majorHAnsi" w:hAnsiTheme="majorHAnsi" w:cstheme="majorHAnsi"/>
          <w:iCs/>
          <w:color w:val="808080" w:themeColor="background1" w:themeShade="80"/>
          <w:sz w:val="16"/>
          <w:szCs w:val="16"/>
        </w:rPr>
        <w:t>R</w:t>
      </w:r>
      <w:hyperlink r:id="rId236" w:history="1">
        <w:r w:rsidRPr="001167CB">
          <w:rPr>
            <w:rStyle w:val="Hyperlink"/>
            <w:rFonts w:asciiTheme="majorHAnsi" w:hAnsiTheme="majorHAnsi" w:cstheme="majorHAnsi"/>
            <w:iCs/>
            <w:color w:val="808080" w:themeColor="background1" w:themeShade="80"/>
            <w:sz w:val="16"/>
            <w:szCs w:val="16"/>
          </w:rPr>
          <w:t>acial/Ethnic Disparities in the Use of Lethal Force by US Police, 2010–2014</w:t>
        </w:r>
      </w:hyperlink>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American Journal of Public Health</w:t>
      </w:r>
      <w:r w:rsidRPr="001167CB">
        <w:rPr>
          <w:rFonts w:asciiTheme="majorHAnsi" w:hAnsiTheme="majorHAnsi" w:cstheme="majorHAnsi"/>
          <w:color w:val="808080" w:themeColor="background1" w:themeShade="80"/>
          <w:sz w:val="16"/>
          <w:szCs w:val="16"/>
        </w:rPr>
        <w:t xml:space="preserve">, Jan. 11, 2017. </w:t>
      </w:r>
    </w:p>
  </w:footnote>
  <w:footnote w:id="186">
    <w:p w14:paraId="27CD7A7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ab/>
      </w:r>
      <w:r w:rsidRPr="001167CB">
        <w:rPr>
          <w:rFonts w:asciiTheme="majorHAnsi" w:hAnsiTheme="majorHAnsi" w:cstheme="majorHAnsi"/>
          <w:color w:val="808080" w:themeColor="background1" w:themeShade="80"/>
          <w:sz w:val="16"/>
          <w:szCs w:val="16"/>
        </w:rPr>
        <w:t xml:space="preserve">Cody Ross, </w:t>
      </w:r>
      <w:r w:rsidRPr="001167CB">
        <w:rPr>
          <w:rFonts w:asciiTheme="majorHAnsi" w:hAnsiTheme="majorHAnsi" w:cstheme="majorHAnsi"/>
          <w:i/>
          <w:color w:val="808080" w:themeColor="background1" w:themeShade="80"/>
          <w:sz w:val="16"/>
          <w:szCs w:val="16"/>
        </w:rPr>
        <w:t>A Multi-Level Bayesian Analysis of Racial Bias in Police Shootings at the County-Level in the United States,</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2011–2014</w:t>
      </w:r>
      <w:r w:rsidRPr="001167CB">
        <w:rPr>
          <w:rFonts w:asciiTheme="majorHAnsi" w:hAnsiTheme="majorHAnsi" w:cstheme="majorHAnsi"/>
          <w:color w:val="808080" w:themeColor="background1" w:themeShade="80"/>
          <w:sz w:val="16"/>
          <w:szCs w:val="16"/>
        </w:rPr>
        <w:t xml:space="preserve">, </w:t>
      </w:r>
      <w:proofErr w:type="spellStart"/>
      <w:r w:rsidRPr="001167CB">
        <w:rPr>
          <w:rFonts w:asciiTheme="majorHAnsi" w:hAnsiTheme="majorHAnsi" w:cstheme="majorHAnsi"/>
          <w:color w:val="808080" w:themeColor="background1" w:themeShade="80"/>
          <w:sz w:val="16"/>
          <w:szCs w:val="16"/>
        </w:rPr>
        <w:t>Plos</w:t>
      </w:r>
      <w:proofErr w:type="spellEnd"/>
      <w:r w:rsidRPr="001167CB">
        <w:rPr>
          <w:rFonts w:asciiTheme="majorHAnsi" w:hAnsiTheme="majorHAnsi" w:cstheme="majorHAnsi"/>
          <w:color w:val="808080" w:themeColor="background1" w:themeShade="80"/>
          <w:sz w:val="16"/>
          <w:szCs w:val="16"/>
        </w:rPr>
        <w:t xml:space="preserve"> Journals, Nov. 5, 2015.</w:t>
      </w:r>
    </w:p>
  </w:footnote>
  <w:footnote w:id="187">
    <w:p w14:paraId="10E0834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156th Period of Sessions, </w:t>
      </w:r>
      <w:hyperlink r:id="rId237" w:history="1">
        <w:r w:rsidRPr="001167CB">
          <w:rPr>
            <w:rStyle w:val="Hyperlink"/>
            <w:rFonts w:asciiTheme="majorHAnsi" w:hAnsiTheme="majorHAnsi" w:cstheme="majorHAnsi"/>
            <w:bCs/>
            <w:color w:val="808080" w:themeColor="background1" w:themeShade="80"/>
            <w:sz w:val="16"/>
            <w:szCs w:val="16"/>
          </w:rPr>
          <w:t>“Police Killings”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23, 2015</w:t>
      </w:r>
      <w:r w:rsidRPr="001167CB">
        <w:rPr>
          <w:rFonts w:asciiTheme="majorHAnsi" w:hAnsiTheme="majorHAnsi" w:cstheme="majorHAnsi"/>
          <w:color w:val="808080" w:themeColor="background1" w:themeShade="80"/>
          <w:sz w:val="16"/>
          <w:szCs w:val="16"/>
        </w:rPr>
        <w:t>.</w:t>
      </w:r>
    </w:p>
  </w:footnote>
  <w:footnote w:id="188">
    <w:p w14:paraId="1019C07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New York Times, </w:t>
      </w:r>
      <w:hyperlink r:id="rId238" w:history="1">
        <w:r w:rsidRPr="001167CB">
          <w:rPr>
            <w:rStyle w:val="Hyperlink"/>
            <w:rFonts w:asciiTheme="majorHAnsi" w:hAnsiTheme="majorHAnsi" w:cstheme="majorHAnsi"/>
            <w:color w:val="808080" w:themeColor="background1" w:themeShade="80"/>
            <w:sz w:val="16"/>
            <w:szCs w:val="16"/>
          </w:rPr>
          <w:t>Officers in Bronx Fire 41 Shots, And an Unarmed Man Is Killed</w:t>
        </w:r>
      </w:hyperlink>
      <w:r w:rsidRPr="001167CB">
        <w:rPr>
          <w:rFonts w:asciiTheme="majorHAnsi" w:hAnsiTheme="majorHAnsi" w:cstheme="majorHAnsi"/>
          <w:color w:val="808080" w:themeColor="background1" w:themeShade="80"/>
          <w:sz w:val="16"/>
          <w:szCs w:val="16"/>
        </w:rPr>
        <w:t>, Feb. 5, 1999.</w:t>
      </w:r>
    </w:p>
  </w:footnote>
  <w:footnote w:id="189">
    <w:p w14:paraId="46F893F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e.g.,</w:t>
      </w:r>
      <w:r w:rsidRPr="001167CB">
        <w:rPr>
          <w:rFonts w:asciiTheme="majorHAnsi" w:hAnsiTheme="majorHAnsi" w:cstheme="majorHAnsi"/>
          <w:color w:val="808080" w:themeColor="background1" w:themeShade="80"/>
          <w:sz w:val="16"/>
          <w:szCs w:val="16"/>
        </w:rPr>
        <w:t xml:space="preserve"> LA Times, </w:t>
      </w:r>
      <w:hyperlink r:id="rId239" w:history="1">
        <w:r w:rsidRPr="001167CB">
          <w:rPr>
            <w:rStyle w:val="Hyperlink"/>
            <w:rFonts w:asciiTheme="majorHAnsi" w:hAnsiTheme="majorHAnsi" w:cstheme="majorHAnsi"/>
            <w:color w:val="808080" w:themeColor="background1" w:themeShade="80"/>
            <w:sz w:val="16"/>
            <w:szCs w:val="16"/>
          </w:rPr>
          <w:t>Cops shoot and kill someone about 1,000 times a year. Few are prosecuted. What can be done?</w:t>
        </w:r>
      </w:hyperlink>
      <w:r w:rsidRPr="001167CB">
        <w:rPr>
          <w:rFonts w:asciiTheme="majorHAnsi" w:hAnsiTheme="majorHAnsi" w:cstheme="majorHAnsi"/>
          <w:color w:val="808080" w:themeColor="background1" w:themeShade="80"/>
          <w:sz w:val="16"/>
          <w:szCs w:val="16"/>
        </w:rPr>
        <w:t>, Dec. 15, 2016.</w:t>
      </w:r>
    </w:p>
  </w:footnote>
  <w:footnote w:id="190">
    <w:p w14:paraId="4951D15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e.g.</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bCs/>
          <w:color w:val="808080" w:themeColor="background1" w:themeShade="80"/>
          <w:sz w:val="16"/>
          <w:szCs w:val="16"/>
        </w:rPr>
        <w:t xml:space="preserve">IACHR, 166th Period of Sessions, </w:t>
      </w:r>
      <w:hyperlink r:id="rId240" w:history="1">
        <w:r w:rsidRPr="001167CB">
          <w:rPr>
            <w:rStyle w:val="Hyperlink"/>
            <w:rFonts w:asciiTheme="majorHAnsi" w:hAnsiTheme="majorHAnsi" w:cstheme="majorHAnsi"/>
            <w:bCs/>
            <w:color w:val="808080" w:themeColor="background1" w:themeShade="80"/>
            <w:sz w:val="16"/>
            <w:szCs w:val="16"/>
          </w:rPr>
          <w:t>“Impunity for Police Killings” Hearing</w:t>
        </w:r>
      </w:hyperlink>
      <w:r w:rsidRPr="001167CB">
        <w:rPr>
          <w:rFonts w:asciiTheme="majorHAnsi" w:hAnsiTheme="majorHAnsi" w:cstheme="majorHAnsi"/>
          <w:bCs/>
          <w:color w:val="808080" w:themeColor="background1" w:themeShade="80"/>
          <w:sz w:val="16"/>
          <w:szCs w:val="16"/>
        </w:rPr>
        <w:t>,</w:t>
      </w:r>
      <w:r w:rsidRPr="001167CB">
        <w:rPr>
          <w:rFonts w:asciiTheme="majorHAnsi" w:hAnsiTheme="majorHAnsi" w:cstheme="majorHAnsi"/>
          <w:color w:val="808080" w:themeColor="background1" w:themeShade="80"/>
          <w:sz w:val="16"/>
          <w:szCs w:val="16"/>
        </w:rPr>
        <w:t xml:space="preserve"> Dec. </w:t>
      </w:r>
      <w:r w:rsidRPr="001167CB">
        <w:rPr>
          <w:rFonts w:asciiTheme="majorHAnsi" w:hAnsiTheme="majorHAnsi" w:cstheme="majorHAnsi"/>
          <w:bCs/>
          <w:color w:val="808080" w:themeColor="background1" w:themeShade="80"/>
          <w:sz w:val="16"/>
          <w:szCs w:val="16"/>
        </w:rPr>
        <w:t>7, 2017</w:t>
      </w:r>
      <w:r w:rsidRPr="001167CB">
        <w:rPr>
          <w:rFonts w:asciiTheme="majorHAnsi" w:hAnsiTheme="majorHAnsi" w:cstheme="majorHAnsi"/>
          <w:color w:val="808080" w:themeColor="background1" w:themeShade="80"/>
          <w:sz w:val="16"/>
          <w:szCs w:val="16"/>
        </w:rPr>
        <w:t>.</w:t>
      </w:r>
    </w:p>
  </w:footnote>
  <w:footnote w:id="191">
    <w:p w14:paraId="62D993B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241" w:history="1">
        <w:r w:rsidRPr="001167CB">
          <w:rPr>
            <w:rStyle w:val="Hyperlink"/>
            <w:rFonts w:asciiTheme="majorHAnsi" w:hAnsiTheme="majorHAnsi" w:cstheme="majorHAnsi"/>
            <w:color w:val="808080" w:themeColor="background1" w:themeShade="80"/>
            <w:sz w:val="16"/>
            <w:szCs w:val="16"/>
          </w:rPr>
          <w:t>Citizen Security and Human Rights</w:t>
        </w:r>
      </w:hyperlink>
      <w:r w:rsidRPr="001167CB">
        <w:rPr>
          <w:rFonts w:asciiTheme="majorHAnsi" w:hAnsiTheme="majorHAnsi" w:cstheme="majorHAnsi"/>
          <w:color w:val="808080" w:themeColor="background1" w:themeShade="80"/>
          <w:sz w:val="16"/>
          <w:szCs w:val="16"/>
        </w:rPr>
        <w:t xml:space="preserve"> (2009), para. 31.</w:t>
      </w:r>
    </w:p>
  </w:footnote>
  <w:footnote w:id="192">
    <w:p w14:paraId="5004661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Human Rights </w:t>
      </w:r>
      <w:proofErr w:type="gramStart"/>
      <w:r w:rsidRPr="001167CB">
        <w:rPr>
          <w:rFonts w:asciiTheme="majorHAnsi" w:hAnsiTheme="majorHAnsi" w:cstheme="majorHAnsi"/>
          <w:bCs/>
          <w:color w:val="808080" w:themeColor="background1" w:themeShade="80"/>
          <w:sz w:val="16"/>
          <w:szCs w:val="16"/>
        </w:rPr>
        <w:t>Comm..</w:t>
      </w:r>
      <w:proofErr w:type="gramEnd"/>
      <w:r w:rsidRPr="001167CB">
        <w:rPr>
          <w:rFonts w:asciiTheme="majorHAnsi" w:hAnsiTheme="majorHAnsi" w:cstheme="majorHAnsi"/>
          <w:bCs/>
          <w:color w:val="808080" w:themeColor="background1" w:themeShade="80"/>
          <w:sz w:val="16"/>
          <w:szCs w:val="16"/>
        </w:rPr>
        <w:t xml:space="preserve"> </w:t>
      </w:r>
      <w:hyperlink r:id="rId242"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bCs/>
          <w:color w:val="808080" w:themeColor="background1" w:themeShade="80"/>
          <w:sz w:val="16"/>
          <w:szCs w:val="16"/>
        </w:rPr>
        <w:t>23, 2014</w:t>
      </w:r>
      <w:r w:rsidRPr="001167CB">
        <w:rPr>
          <w:rFonts w:asciiTheme="majorHAnsi" w:hAnsiTheme="majorHAnsi" w:cstheme="majorHAnsi"/>
          <w:color w:val="808080" w:themeColor="background1" w:themeShade="80"/>
          <w:sz w:val="16"/>
          <w:szCs w:val="16"/>
        </w:rPr>
        <w:t>, para. 11.</w:t>
      </w:r>
    </w:p>
  </w:footnote>
  <w:footnote w:id="193">
    <w:p w14:paraId="53CC4F7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CERD, </w:t>
      </w:r>
      <w:hyperlink r:id="rId243"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bCs/>
          <w:color w:val="808080" w:themeColor="background1" w:themeShade="80"/>
          <w:sz w:val="16"/>
          <w:szCs w:val="16"/>
        </w:rPr>
        <w:t>25, 2014</w:t>
      </w:r>
      <w:r w:rsidRPr="001167CB">
        <w:rPr>
          <w:rFonts w:asciiTheme="majorHAnsi" w:hAnsiTheme="majorHAnsi" w:cstheme="majorHAnsi"/>
          <w:color w:val="808080" w:themeColor="background1" w:themeShade="80"/>
          <w:sz w:val="16"/>
          <w:szCs w:val="16"/>
        </w:rPr>
        <w:t xml:space="preserve">, para. 17. On border violence and cross-border use of force, </w:t>
      </w:r>
      <w:r w:rsidRPr="001167CB">
        <w:rPr>
          <w:rFonts w:asciiTheme="majorHAnsi" w:hAnsiTheme="majorHAnsi" w:cstheme="majorHAnsi"/>
          <w:i/>
          <w:color w:val="808080" w:themeColor="background1" w:themeShade="80"/>
          <w:sz w:val="16"/>
          <w:szCs w:val="16"/>
        </w:rPr>
        <w:t xml:space="preserve">see also </w:t>
      </w:r>
      <w:r w:rsidRPr="001167CB">
        <w:rPr>
          <w:rFonts w:asciiTheme="majorHAnsi" w:hAnsiTheme="majorHAnsi" w:cstheme="majorHAnsi"/>
          <w:color w:val="808080" w:themeColor="background1" w:themeShade="80"/>
          <w:sz w:val="16"/>
          <w:szCs w:val="16"/>
        </w:rPr>
        <w:t xml:space="preserve">Slate, </w:t>
      </w:r>
      <w:hyperlink r:id="rId244" w:history="1">
        <w:r w:rsidRPr="001167CB">
          <w:rPr>
            <w:rStyle w:val="Hyperlink"/>
            <w:rFonts w:asciiTheme="majorHAnsi" w:hAnsiTheme="majorHAnsi" w:cstheme="majorHAnsi"/>
            <w:color w:val="808080" w:themeColor="background1" w:themeShade="80"/>
            <w:sz w:val="16"/>
            <w:szCs w:val="16"/>
          </w:rPr>
          <w:t>A Supreme Court Conundrum: A federal agent standing on U.S. soil shot and killed someone across the border in Mexico. Was the shooting unconstitutional?</w:t>
        </w:r>
      </w:hyperlink>
      <w:r w:rsidRPr="001167CB">
        <w:rPr>
          <w:rFonts w:asciiTheme="majorHAnsi" w:hAnsiTheme="majorHAnsi" w:cstheme="majorHAnsi"/>
          <w:color w:val="808080" w:themeColor="background1" w:themeShade="80"/>
          <w:sz w:val="16"/>
          <w:szCs w:val="16"/>
        </w:rPr>
        <w:t xml:space="preserve"> Feb. 20, 2017; NPR, </w:t>
      </w:r>
      <w:hyperlink r:id="rId245" w:history="1">
        <w:r w:rsidRPr="001167CB">
          <w:rPr>
            <w:rStyle w:val="Hyperlink"/>
            <w:rFonts w:asciiTheme="majorHAnsi" w:hAnsiTheme="majorHAnsi" w:cstheme="majorHAnsi"/>
            <w:color w:val="808080" w:themeColor="background1" w:themeShade="80"/>
            <w:sz w:val="16"/>
            <w:szCs w:val="16"/>
          </w:rPr>
          <w:t>Supreme Court Sends Cross-Border Shooting Case Back To Lower Court</w:t>
        </w:r>
      </w:hyperlink>
      <w:r w:rsidRPr="001167CB">
        <w:rPr>
          <w:rFonts w:asciiTheme="majorHAnsi" w:hAnsiTheme="majorHAnsi" w:cstheme="majorHAnsi"/>
          <w:color w:val="808080" w:themeColor="background1" w:themeShade="80"/>
          <w:sz w:val="16"/>
          <w:szCs w:val="16"/>
        </w:rPr>
        <w:t>, June 26, 2017.</w:t>
      </w:r>
    </w:p>
  </w:footnote>
  <w:footnote w:id="194">
    <w:p w14:paraId="6010CE3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U.N., Working Group on People of African Descent. </w:t>
      </w:r>
      <w:hyperlink r:id="rId246" w:history="1">
        <w:r w:rsidRPr="001167CB">
          <w:rPr>
            <w:rStyle w:val="Hyperlink"/>
            <w:rFonts w:asciiTheme="majorHAnsi" w:hAnsiTheme="majorHAnsi" w:cstheme="majorHAnsi"/>
            <w:bCs/>
            <w:color w:val="808080" w:themeColor="background1" w:themeShade="80"/>
            <w:sz w:val="16"/>
            <w:szCs w:val="16"/>
          </w:rPr>
          <w:t>Report on mission to the U.S.</w:t>
        </w:r>
      </w:hyperlink>
      <w:r w:rsidRPr="001167CB">
        <w:rPr>
          <w:rFonts w:asciiTheme="majorHAnsi" w:hAnsiTheme="majorHAnsi" w:cstheme="majorHAnsi"/>
          <w:bCs/>
          <w:color w:val="808080" w:themeColor="background1" w:themeShade="80"/>
          <w:sz w:val="16"/>
          <w:szCs w:val="16"/>
        </w:rPr>
        <w:t>, Aug. 18, 2016</w:t>
      </w:r>
      <w:r w:rsidRPr="001167CB">
        <w:rPr>
          <w:rFonts w:asciiTheme="majorHAnsi" w:hAnsiTheme="majorHAnsi" w:cstheme="majorHAnsi"/>
          <w:color w:val="808080" w:themeColor="background1" w:themeShade="80"/>
          <w:sz w:val="16"/>
          <w:szCs w:val="16"/>
        </w:rPr>
        <w:t>, paras. 20-26.</w:t>
      </w:r>
    </w:p>
  </w:footnote>
  <w:footnote w:id="195">
    <w:p w14:paraId="7FC4BD5E" w14:textId="77777777" w:rsidR="005C2394" w:rsidRPr="001167CB" w:rsidRDefault="005C2394" w:rsidP="002C64F8">
      <w:pPr>
        <w:pStyle w:val="NoSpacing"/>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U.N., Report of the Special Rapporteur on extrajudicial, summary or arbitrary executions, Philip Alston, </w:t>
      </w:r>
      <w:r w:rsidRPr="001167CB">
        <w:rPr>
          <w:rFonts w:asciiTheme="majorHAnsi" w:hAnsiTheme="majorHAnsi" w:cstheme="majorHAnsi"/>
          <w:i/>
          <w:color w:val="808080" w:themeColor="background1" w:themeShade="80"/>
          <w:sz w:val="16"/>
          <w:szCs w:val="16"/>
        </w:rPr>
        <w:t>Study on police oversight mechanisms</w:t>
      </w:r>
      <w:r w:rsidRPr="001167CB">
        <w:rPr>
          <w:rFonts w:asciiTheme="majorHAnsi" w:hAnsiTheme="majorHAnsi" w:cstheme="majorHAnsi"/>
          <w:color w:val="808080" w:themeColor="background1" w:themeShade="80"/>
          <w:sz w:val="16"/>
          <w:szCs w:val="16"/>
        </w:rPr>
        <w:t>, A/HRC/14/2/Ad. 8, May 28, 2010, para. 10.</w:t>
      </w:r>
    </w:p>
  </w:footnote>
  <w:footnote w:id="196">
    <w:p w14:paraId="39A1BCBB" w14:textId="452243DC"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Amnesty International (AI), </w:t>
      </w:r>
      <w:hyperlink r:id="rId247">
        <w:r w:rsidRPr="001167CB">
          <w:rPr>
            <w:rStyle w:val="Hyperlink"/>
            <w:rFonts w:asciiTheme="majorHAnsi" w:hAnsiTheme="majorHAnsi" w:cstheme="majorHAnsi"/>
            <w:i/>
            <w:color w:val="808080" w:themeColor="background1" w:themeShade="80"/>
            <w:sz w:val="16"/>
            <w:szCs w:val="16"/>
          </w:rPr>
          <w:t xml:space="preserve">Deadly Force: Police Use of Lethal Force </w:t>
        </w:r>
        <w:proofErr w:type="gramStart"/>
        <w:r w:rsidRPr="001167CB">
          <w:rPr>
            <w:rStyle w:val="Hyperlink"/>
            <w:rFonts w:asciiTheme="majorHAnsi" w:hAnsiTheme="majorHAnsi" w:cstheme="majorHAnsi"/>
            <w:i/>
            <w:color w:val="808080" w:themeColor="background1" w:themeShade="80"/>
            <w:sz w:val="16"/>
            <w:szCs w:val="16"/>
          </w:rPr>
          <w:t>In</w:t>
        </w:r>
        <w:proofErr w:type="gramEnd"/>
        <w:r w:rsidRPr="001167CB">
          <w:rPr>
            <w:rStyle w:val="Hyperlink"/>
            <w:rFonts w:asciiTheme="majorHAnsi" w:hAnsiTheme="majorHAnsi" w:cstheme="majorHAnsi"/>
            <w:i/>
            <w:color w:val="808080" w:themeColor="background1" w:themeShade="80"/>
            <w:sz w:val="16"/>
            <w:szCs w:val="16"/>
          </w:rPr>
          <w:t xml:space="preserve"> The United States</w:t>
        </w:r>
      </w:hyperlink>
      <w:r w:rsidRPr="001167CB">
        <w:rPr>
          <w:rStyle w:val="Hyperlink"/>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June, 2015, p. 22.</w:t>
      </w:r>
    </w:p>
  </w:footnote>
  <w:footnote w:id="197">
    <w:p w14:paraId="0CD215E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Vera Institute of Justice, </w:t>
      </w:r>
      <w:hyperlink r:id="rId248" w:history="1">
        <w:r w:rsidRPr="001167CB">
          <w:rPr>
            <w:rStyle w:val="Hyperlink"/>
            <w:rFonts w:asciiTheme="majorHAnsi" w:hAnsiTheme="majorHAnsi" w:cstheme="majorHAnsi"/>
            <w:color w:val="808080" w:themeColor="background1" w:themeShade="80"/>
            <w:sz w:val="16"/>
            <w:szCs w:val="16"/>
          </w:rPr>
          <w:t>To Protect and Serve: New Trends in State-Level Policing Reform, 2015-2016</w:t>
        </w:r>
      </w:hyperlink>
      <w:r w:rsidRPr="001167CB">
        <w:rPr>
          <w:rFonts w:asciiTheme="majorHAnsi" w:hAnsiTheme="majorHAnsi" w:cstheme="majorHAnsi"/>
          <w:color w:val="808080" w:themeColor="background1" w:themeShade="80"/>
          <w:sz w:val="16"/>
          <w:szCs w:val="16"/>
        </w:rPr>
        <w:t>, Apr. 2017.</w:t>
      </w:r>
    </w:p>
  </w:footnote>
  <w:footnote w:id="198">
    <w:p w14:paraId="729EC25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471 U.S. 1 (1985).</w:t>
      </w:r>
    </w:p>
  </w:footnote>
  <w:footnote w:id="199">
    <w:p w14:paraId="4F935143" w14:textId="77777777" w:rsidR="005C2394" w:rsidRPr="001167CB" w:rsidRDefault="005C2394" w:rsidP="002C64F8">
      <w:pPr>
        <w:pStyle w:val="FootnoteText"/>
        <w:spacing w:after="40"/>
        <w:ind w:left="547" w:hanging="547"/>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Washington Post, </w:t>
      </w:r>
      <w:hyperlink r:id="rId249" w:history="1">
        <w:r w:rsidRPr="001167CB">
          <w:rPr>
            <w:rStyle w:val="Hyperlink"/>
            <w:rFonts w:asciiTheme="majorHAnsi" w:hAnsiTheme="majorHAnsi" w:cstheme="majorHAnsi"/>
            <w:color w:val="808080" w:themeColor="background1" w:themeShade="80"/>
            <w:sz w:val="16"/>
            <w:szCs w:val="16"/>
          </w:rPr>
          <w:t>‘Just shoot me,’ an armed man told a cop. The officer didn’t — and was fired, his lawsuit claimed</w:t>
        </w:r>
      </w:hyperlink>
      <w:r w:rsidRPr="001167CB">
        <w:rPr>
          <w:rFonts w:asciiTheme="majorHAnsi" w:hAnsiTheme="majorHAnsi" w:cstheme="majorHAnsi"/>
          <w:color w:val="808080" w:themeColor="background1" w:themeShade="80"/>
          <w:sz w:val="16"/>
          <w:szCs w:val="16"/>
        </w:rPr>
        <w:t>, Feb.12</w:t>
      </w:r>
      <w:proofErr w:type="gramStart"/>
      <w:r w:rsidRPr="001167CB">
        <w:rPr>
          <w:rFonts w:asciiTheme="majorHAnsi" w:hAnsiTheme="majorHAnsi" w:cstheme="majorHAnsi"/>
          <w:color w:val="808080" w:themeColor="background1" w:themeShade="80"/>
          <w:sz w:val="16"/>
          <w:szCs w:val="16"/>
        </w:rPr>
        <w:t>,2018</w:t>
      </w:r>
      <w:proofErr w:type="gramEnd"/>
      <w:r w:rsidRPr="001167CB">
        <w:rPr>
          <w:rFonts w:asciiTheme="majorHAnsi" w:hAnsiTheme="majorHAnsi" w:cstheme="majorHAnsi"/>
          <w:color w:val="808080" w:themeColor="background1" w:themeShade="80"/>
          <w:sz w:val="16"/>
          <w:szCs w:val="16"/>
        </w:rPr>
        <w:t>.</w:t>
      </w:r>
    </w:p>
  </w:footnote>
  <w:footnote w:id="200">
    <w:p w14:paraId="61A14B5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250" w:history="1">
        <w:r w:rsidRPr="001167CB">
          <w:rPr>
            <w:rStyle w:val="Hyperlink"/>
            <w:rFonts w:asciiTheme="majorHAnsi" w:hAnsiTheme="majorHAnsi" w:cstheme="majorHAnsi"/>
            <w:bCs/>
            <w:color w:val="808080" w:themeColor="background1" w:themeShade="80"/>
            <w:sz w:val="16"/>
            <w:szCs w:val="16"/>
          </w:rPr>
          <w:t>Eric Garner and Michael Brown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22, 2014</w:t>
      </w:r>
      <w:r w:rsidRPr="001167CB">
        <w:rPr>
          <w:rFonts w:asciiTheme="majorHAnsi" w:hAnsiTheme="majorHAnsi" w:cstheme="majorHAnsi"/>
          <w:color w:val="808080" w:themeColor="background1" w:themeShade="80"/>
          <w:sz w:val="16"/>
          <w:szCs w:val="16"/>
        </w:rPr>
        <w:t>.</w:t>
      </w:r>
    </w:p>
  </w:footnote>
  <w:footnote w:id="201">
    <w:p w14:paraId="03D3ED7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251" w:history="1">
        <w:r w:rsidRPr="001167CB">
          <w:rPr>
            <w:rStyle w:val="Hyperlink"/>
            <w:rFonts w:asciiTheme="majorHAnsi" w:hAnsiTheme="majorHAnsi" w:cstheme="majorHAnsi"/>
            <w:bCs/>
            <w:color w:val="808080" w:themeColor="background1" w:themeShade="80"/>
            <w:sz w:val="16"/>
            <w:szCs w:val="16"/>
          </w:rPr>
          <w:t>Walter Scott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bCs/>
          <w:color w:val="808080" w:themeColor="background1" w:themeShade="80"/>
          <w:sz w:val="16"/>
          <w:szCs w:val="16"/>
        </w:rPr>
        <w:t>17, 2015</w:t>
      </w:r>
      <w:r w:rsidRPr="001167CB">
        <w:rPr>
          <w:rFonts w:asciiTheme="majorHAnsi" w:hAnsiTheme="majorHAnsi" w:cstheme="majorHAnsi"/>
          <w:color w:val="808080" w:themeColor="background1" w:themeShade="80"/>
          <w:sz w:val="16"/>
          <w:szCs w:val="16"/>
        </w:rPr>
        <w:t xml:space="preserve">. </w:t>
      </w:r>
    </w:p>
  </w:footnote>
  <w:footnote w:id="202">
    <w:p w14:paraId="7449FC8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252" w:history="1">
        <w:r w:rsidRPr="001167CB">
          <w:rPr>
            <w:rStyle w:val="Hyperlink"/>
            <w:rFonts w:asciiTheme="majorHAnsi" w:hAnsiTheme="majorHAnsi" w:cstheme="majorHAnsi"/>
            <w:bCs/>
            <w:color w:val="808080" w:themeColor="background1" w:themeShade="80"/>
            <w:sz w:val="16"/>
            <w:szCs w:val="16"/>
          </w:rPr>
          <w:t>Investigation of Police Killings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23, 2016</w:t>
      </w:r>
      <w:r w:rsidRPr="001167CB">
        <w:rPr>
          <w:rFonts w:asciiTheme="majorHAnsi" w:hAnsiTheme="majorHAnsi" w:cstheme="majorHAnsi"/>
          <w:color w:val="808080" w:themeColor="background1" w:themeShade="80"/>
          <w:sz w:val="16"/>
          <w:szCs w:val="16"/>
        </w:rPr>
        <w:t>.</w:t>
      </w:r>
    </w:p>
  </w:footnote>
  <w:footnote w:id="203">
    <w:p w14:paraId="556951A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156th Period of Sessions, </w:t>
      </w:r>
      <w:hyperlink r:id="rId253" w:history="1">
        <w:r w:rsidRPr="001167CB">
          <w:rPr>
            <w:rStyle w:val="Hyperlink"/>
            <w:rFonts w:asciiTheme="majorHAnsi" w:hAnsiTheme="majorHAnsi" w:cstheme="majorHAnsi"/>
            <w:bCs/>
            <w:color w:val="808080" w:themeColor="background1" w:themeShade="80"/>
            <w:sz w:val="16"/>
            <w:szCs w:val="16"/>
          </w:rPr>
          <w:t>“Police Killings”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23, 2015</w:t>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bCs/>
          <w:color w:val="808080" w:themeColor="background1" w:themeShade="80"/>
          <w:sz w:val="16"/>
          <w:szCs w:val="16"/>
        </w:rPr>
        <w:t xml:space="preserve"> 166th Period of Sessions, </w:t>
      </w:r>
      <w:hyperlink r:id="rId254" w:history="1">
        <w:r w:rsidRPr="001167CB">
          <w:rPr>
            <w:rStyle w:val="Hyperlink"/>
            <w:rFonts w:asciiTheme="majorHAnsi" w:hAnsiTheme="majorHAnsi" w:cstheme="majorHAnsi"/>
            <w:bCs/>
            <w:color w:val="808080" w:themeColor="background1" w:themeShade="80"/>
            <w:sz w:val="16"/>
            <w:szCs w:val="16"/>
          </w:rPr>
          <w:t>“Impunity for Police Killings” Hearing</w:t>
        </w:r>
      </w:hyperlink>
      <w:r w:rsidRPr="001167CB">
        <w:rPr>
          <w:rFonts w:asciiTheme="majorHAnsi" w:hAnsiTheme="majorHAnsi" w:cstheme="majorHAnsi"/>
          <w:bCs/>
          <w:color w:val="808080" w:themeColor="background1" w:themeShade="80"/>
          <w:sz w:val="16"/>
          <w:szCs w:val="16"/>
        </w:rPr>
        <w:t>,</w:t>
      </w:r>
      <w:r w:rsidRPr="001167CB">
        <w:rPr>
          <w:rFonts w:asciiTheme="majorHAnsi" w:hAnsiTheme="majorHAnsi" w:cstheme="majorHAnsi"/>
          <w:color w:val="808080" w:themeColor="background1" w:themeShade="80"/>
          <w:sz w:val="16"/>
          <w:szCs w:val="16"/>
        </w:rPr>
        <w:t xml:space="preserve"> Dec. </w:t>
      </w:r>
      <w:r w:rsidRPr="001167CB">
        <w:rPr>
          <w:rFonts w:asciiTheme="majorHAnsi" w:hAnsiTheme="majorHAnsi" w:cstheme="majorHAnsi"/>
          <w:bCs/>
          <w:color w:val="808080" w:themeColor="background1" w:themeShade="80"/>
          <w:sz w:val="16"/>
          <w:szCs w:val="16"/>
        </w:rPr>
        <w:t>7, 2017</w:t>
      </w:r>
      <w:r w:rsidRPr="001167CB">
        <w:rPr>
          <w:rFonts w:asciiTheme="majorHAnsi" w:hAnsiTheme="majorHAnsi" w:cstheme="majorHAnsi"/>
          <w:color w:val="808080" w:themeColor="background1" w:themeShade="80"/>
          <w:sz w:val="16"/>
          <w:szCs w:val="16"/>
        </w:rPr>
        <w:t>.</w:t>
      </w:r>
    </w:p>
  </w:footnote>
  <w:footnote w:id="204">
    <w:p w14:paraId="446F789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New York Times, </w:t>
      </w:r>
      <w:hyperlink r:id="rId255" w:history="1">
        <w:r w:rsidRPr="001167CB">
          <w:rPr>
            <w:rStyle w:val="Hyperlink"/>
            <w:rFonts w:asciiTheme="majorHAnsi" w:hAnsiTheme="majorHAnsi" w:cstheme="majorHAnsi"/>
            <w:color w:val="808080" w:themeColor="background1" w:themeShade="80"/>
            <w:sz w:val="16"/>
            <w:szCs w:val="16"/>
          </w:rPr>
          <w:t>Stephon Clark Was Shot 8 Times Primarily in His Back, Family-Ordered Autopsy Finds</w:t>
        </w:r>
      </w:hyperlink>
      <w:r w:rsidRPr="001167CB">
        <w:rPr>
          <w:rFonts w:asciiTheme="majorHAnsi" w:hAnsiTheme="majorHAnsi" w:cstheme="majorHAnsi"/>
          <w:color w:val="808080" w:themeColor="background1" w:themeShade="80"/>
          <w:sz w:val="16"/>
          <w:szCs w:val="16"/>
        </w:rPr>
        <w:t>, Mar. 30, 2018.</w:t>
      </w:r>
    </w:p>
  </w:footnote>
  <w:footnote w:id="205">
    <w:p w14:paraId="037341A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256"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w:t>
      </w:r>
    </w:p>
  </w:footnote>
  <w:footnote w:id="206">
    <w:p w14:paraId="3DDF7374" w14:textId="77777777" w:rsidR="005C2394" w:rsidRPr="001167CB" w:rsidRDefault="005C2394" w:rsidP="00E03D8F">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156th Period of Sessions, </w:t>
      </w:r>
      <w:hyperlink r:id="rId257" w:history="1">
        <w:r w:rsidRPr="001167CB">
          <w:rPr>
            <w:rStyle w:val="Hyperlink"/>
            <w:rFonts w:asciiTheme="majorHAnsi" w:hAnsiTheme="majorHAnsi" w:cstheme="majorHAnsi"/>
            <w:bCs/>
            <w:color w:val="808080" w:themeColor="background1" w:themeShade="80"/>
            <w:sz w:val="16"/>
            <w:szCs w:val="16"/>
          </w:rPr>
          <w:t>“Police Killings”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23, 2015</w:t>
      </w:r>
      <w:r w:rsidRPr="001167CB">
        <w:rPr>
          <w:rFonts w:asciiTheme="majorHAnsi" w:hAnsiTheme="majorHAnsi" w:cstheme="majorHAnsi"/>
          <w:color w:val="808080" w:themeColor="background1" w:themeShade="80"/>
          <w:sz w:val="16"/>
          <w:szCs w:val="16"/>
        </w:rPr>
        <w:t>.</w:t>
      </w:r>
    </w:p>
  </w:footnote>
  <w:footnote w:id="207">
    <w:p w14:paraId="31A451D4" w14:textId="77777777" w:rsidR="005C2394" w:rsidRPr="001167CB" w:rsidRDefault="005C2394" w:rsidP="003A1642">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Id</w:t>
      </w:r>
      <w:r w:rsidRPr="001167CB">
        <w:rPr>
          <w:rFonts w:asciiTheme="majorHAnsi" w:hAnsiTheme="majorHAnsi" w:cstheme="majorHAnsi"/>
          <w:color w:val="808080" w:themeColor="background1" w:themeShade="80"/>
          <w:sz w:val="16"/>
          <w:szCs w:val="16"/>
        </w:rPr>
        <w:t>.</w:t>
      </w:r>
    </w:p>
  </w:footnote>
  <w:footnote w:id="208">
    <w:p w14:paraId="5CEF4CD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258"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xml:space="preserve">, para. 224 (citing U.N., Special Rapporteur on extrajudicial, summary or arbitrary executions, Christof </w:t>
      </w:r>
      <w:proofErr w:type="spellStart"/>
      <w:r w:rsidRPr="001167CB">
        <w:rPr>
          <w:rFonts w:asciiTheme="majorHAnsi" w:hAnsiTheme="majorHAnsi" w:cstheme="majorHAnsi"/>
          <w:color w:val="808080" w:themeColor="background1" w:themeShade="80"/>
          <w:sz w:val="16"/>
          <w:szCs w:val="16"/>
        </w:rPr>
        <w:t>Heyns</w:t>
      </w:r>
      <w:proofErr w:type="spellEnd"/>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Use of information and communications technologies to secure the right to life</w:t>
      </w:r>
      <w:r w:rsidRPr="001167CB">
        <w:rPr>
          <w:rFonts w:asciiTheme="majorHAnsi" w:hAnsiTheme="majorHAnsi" w:cstheme="majorHAnsi"/>
          <w:color w:val="808080" w:themeColor="background1" w:themeShade="80"/>
          <w:sz w:val="16"/>
          <w:szCs w:val="16"/>
        </w:rPr>
        <w:t>. 24 Apr. 2015, para. 57).</w:t>
      </w:r>
    </w:p>
  </w:footnote>
  <w:footnote w:id="209">
    <w:p w14:paraId="636480D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w:t>
      </w:r>
    </w:p>
  </w:footnote>
  <w:footnote w:id="210">
    <w:p w14:paraId="21B0A28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156th Period of Sessions, </w:t>
      </w:r>
      <w:hyperlink r:id="rId259" w:history="1">
        <w:r w:rsidRPr="001167CB">
          <w:rPr>
            <w:rStyle w:val="Hyperlink"/>
            <w:rFonts w:asciiTheme="majorHAnsi" w:hAnsiTheme="majorHAnsi" w:cstheme="majorHAnsi"/>
            <w:bCs/>
            <w:color w:val="808080" w:themeColor="background1" w:themeShade="80"/>
            <w:sz w:val="16"/>
            <w:szCs w:val="16"/>
          </w:rPr>
          <w:t>“Police Killings”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23, 2015</w:t>
      </w:r>
      <w:r w:rsidRPr="001167CB">
        <w:rPr>
          <w:rFonts w:asciiTheme="majorHAnsi" w:hAnsiTheme="majorHAnsi" w:cstheme="majorHAnsi"/>
          <w:color w:val="808080" w:themeColor="background1" w:themeShade="80"/>
          <w:sz w:val="16"/>
          <w:szCs w:val="16"/>
        </w:rPr>
        <w:t>.</w:t>
      </w:r>
    </w:p>
  </w:footnote>
  <w:footnote w:id="211">
    <w:p w14:paraId="10582C1A" w14:textId="77777777" w:rsidR="005C2394" w:rsidRPr="001167CB" w:rsidRDefault="005C2394" w:rsidP="002C64F8">
      <w:pPr>
        <w:pStyle w:val="FootnoteText"/>
        <w:spacing w:after="40"/>
        <w:ind w:left="547" w:hanging="547"/>
        <w:jc w:val="both"/>
        <w:rPr>
          <w:rFonts w:asciiTheme="majorHAnsi" w:hAnsiTheme="majorHAnsi" w:cstheme="majorHAnsi"/>
          <w:bCs/>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260" w:history="1">
        <w:r w:rsidRPr="001167CB">
          <w:rPr>
            <w:rStyle w:val="Hyperlink"/>
            <w:rFonts w:asciiTheme="majorHAnsi" w:hAnsiTheme="majorHAnsi" w:cstheme="majorHAnsi"/>
            <w:bCs/>
            <w:color w:val="808080" w:themeColor="background1" w:themeShade="80"/>
            <w:sz w:val="16"/>
            <w:szCs w:val="16"/>
          </w:rPr>
          <w:t>Eric Garner and Michael Brown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22, 2014</w:t>
      </w:r>
      <w:r w:rsidRPr="001167CB">
        <w:rPr>
          <w:rFonts w:asciiTheme="majorHAnsi" w:hAnsiTheme="majorHAnsi" w:cstheme="majorHAnsi"/>
          <w:color w:val="808080" w:themeColor="background1" w:themeShade="80"/>
          <w:sz w:val="16"/>
          <w:szCs w:val="16"/>
        </w:rPr>
        <w:t>.</w:t>
      </w:r>
    </w:p>
  </w:footnote>
  <w:footnote w:id="212">
    <w:p w14:paraId="21A09C1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261" w:history="1">
        <w:r w:rsidRPr="001167CB">
          <w:rPr>
            <w:rStyle w:val="Hyperlink"/>
            <w:rFonts w:asciiTheme="majorHAnsi" w:hAnsiTheme="majorHAnsi" w:cstheme="majorHAnsi"/>
            <w:bCs/>
            <w:color w:val="808080" w:themeColor="background1" w:themeShade="80"/>
            <w:sz w:val="16"/>
            <w:szCs w:val="16"/>
          </w:rPr>
          <w:t>Walter Scott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bCs/>
          <w:color w:val="808080" w:themeColor="background1" w:themeShade="80"/>
          <w:sz w:val="16"/>
          <w:szCs w:val="16"/>
        </w:rPr>
        <w:t>17, 2015</w:t>
      </w:r>
      <w:r w:rsidRPr="001167CB">
        <w:rPr>
          <w:rFonts w:asciiTheme="majorHAnsi" w:hAnsiTheme="majorHAnsi" w:cstheme="majorHAnsi"/>
          <w:color w:val="808080" w:themeColor="background1" w:themeShade="80"/>
          <w:sz w:val="16"/>
          <w:szCs w:val="16"/>
        </w:rPr>
        <w:t>.</w:t>
      </w:r>
    </w:p>
  </w:footnote>
  <w:footnote w:id="213">
    <w:p w14:paraId="2991E6F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U.N., Working Group on People of African Descent. </w:t>
      </w:r>
      <w:hyperlink r:id="rId262" w:history="1">
        <w:r w:rsidRPr="001167CB">
          <w:rPr>
            <w:rStyle w:val="Hyperlink"/>
            <w:rFonts w:asciiTheme="majorHAnsi" w:hAnsiTheme="majorHAnsi" w:cstheme="majorHAnsi"/>
            <w:bCs/>
            <w:color w:val="808080" w:themeColor="background1" w:themeShade="80"/>
            <w:sz w:val="16"/>
            <w:szCs w:val="16"/>
          </w:rPr>
          <w:t>Report on mission to the U.S.</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18, 2016</w:t>
      </w:r>
      <w:r w:rsidRPr="001167CB">
        <w:rPr>
          <w:rFonts w:asciiTheme="majorHAnsi" w:hAnsiTheme="majorHAnsi" w:cstheme="majorHAnsi"/>
          <w:color w:val="808080" w:themeColor="background1" w:themeShade="80"/>
          <w:sz w:val="16"/>
          <w:szCs w:val="16"/>
        </w:rPr>
        <w:t>, para. 20.</w:t>
      </w:r>
    </w:p>
  </w:footnote>
  <w:footnote w:id="214">
    <w:p w14:paraId="5D576BA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Mothers against Police Brutality, Community Justice Project and Dream Defenders, </w:t>
      </w:r>
      <w:r w:rsidRPr="001167CB">
        <w:rPr>
          <w:rFonts w:asciiTheme="majorHAnsi" w:hAnsiTheme="majorHAnsi" w:cstheme="majorHAnsi"/>
          <w:i/>
          <w:color w:val="808080" w:themeColor="background1" w:themeShade="80"/>
          <w:sz w:val="16"/>
          <w:szCs w:val="16"/>
        </w:rPr>
        <w:t xml:space="preserve">Submission to the United Nations Committee Against Torture on the List of Issues Prior to Reporting for the United States of America (6th Periodic Report), </w:t>
      </w:r>
      <w:r w:rsidRPr="001167CB">
        <w:rPr>
          <w:rFonts w:asciiTheme="majorHAnsi" w:hAnsiTheme="majorHAnsi" w:cstheme="majorHAnsi"/>
          <w:color w:val="808080" w:themeColor="background1" w:themeShade="80"/>
          <w:sz w:val="16"/>
          <w:szCs w:val="16"/>
        </w:rPr>
        <w:t xml:space="preserve">Aug. 2017. </w:t>
      </w:r>
    </w:p>
  </w:footnote>
  <w:footnote w:id="215">
    <w:p w14:paraId="7DCA97A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Washington Post, </w:t>
      </w:r>
      <w:hyperlink r:id="rId263" w:history="1">
        <w:r w:rsidRPr="001167CB">
          <w:rPr>
            <w:rStyle w:val="Hyperlink"/>
            <w:rFonts w:asciiTheme="majorHAnsi" w:hAnsiTheme="majorHAnsi" w:cstheme="majorHAnsi"/>
            <w:color w:val="808080" w:themeColor="background1" w:themeShade="80"/>
            <w:sz w:val="16"/>
            <w:szCs w:val="16"/>
          </w:rPr>
          <w:t>Thousands Dead, Few Prosecuted</w:t>
        </w:r>
      </w:hyperlink>
      <w:r w:rsidRPr="001167CB">
        <w:rPr>
          <w:rFonts w:asciiTheme="majorHAnsi" w:hAnsiTheme="majorHAnsi" w:cstheme="majorHAnsi"/>
          <w:color w:val="808080" w:themeColor="background1" w:themeShade="80"/>
          <w:sz w:val="16"/>
          <w:szCs w:val="16"/>
        </w:rPr>
        <w:t xml:space="preserve">, Apr. 11, 2015. </w:t>
      </w:r>
    </w:p>
  </w:footnote>
  <w:footnote w:id="216">
    <w:p w14:paraId="60299AC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Id</w:t>
      </w:r>
      <w:r w:rsidRPr="001167CB">
        <w:rPr>
          <w:rFonts w:asciiTheme="majorHAnsi" w:hAnsiTheme="majorHAnsi" w:cstheme="majorHAnsi"/>
          <w:color w:val="808080" w:themeColor="background1" w:themeShade="80"/>
          <w:sz w:val="16"/>
          <w:szCs w:val="16"/>
        </w:rPr>
        <w:t>.</w:t>
      </w:r>
    </w:p>
  </w:footnote>
  <w:footnote w:id="217">
    <w:p w14:paraId="37243A9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n-GB"/>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Guardian, </w:t>
      </w:r>
      <w:hyperlink r:id="rId264" w:history="1">
        <w:r w:rsidRPr="001167CB">
          <w:rPr>
            <w:rStyle w:val="Hyperlink"/>
            <w:rFonts w:asciiTheme="majorHAnsi" w:hAnsiTheme="majorHAnsi" w:cstheme="majorHAnsi"/>
            <w:color w:val="808080" w:themeColor="background1" w:themeShade="80"/>
            <w:sz w:val="16"/>
            <w:szCs w:val="16"/>
          </w:rPr>
          <w:t>Dozens of killings by US police ruled justified without public being notified</w:t>
        </w:r>
      </w:hyperlink>
      <w:r w:rsidRPr="001167CB">
        <w:rPr>
          <w:rFonts w:asciiTheme="majorHAnsi" w:hAnsiTheme="majorHAnsi" w:cstheme="majorHAnsi"/>
          <w:color w:val="808080" w:themeColor="background1" w:themeShade="80"/>
          <w:sz w:val="16"/>
          <w:szCs w:val="16"/>
        </w:rPr>
        <w:t>, Apr. 13, 2016.</w:t>
      </w:r>
    </w:p>
  </w:footnote>
  <w:footnote w:id="218">
    <w:p w14:paraId="03E841F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Washington Post, </w:t>
      </w:r>
      <w:hyperlink r:id="rId265" w:history="1">
        <w:r w:rsidRPr="001167CB">
          <w:rPr>
            <w:rStyle w:val="Hyperlink"/>
            <w:rFonts w:asciiTheme="majorHAnsi" w:hAnsiTheme="majorHAnsi" w:cstheme="majorHAnsi"/>
            <w:color w:val="808080" w:themeColor="background1" w:themeShade="80"/>
            <w:sz w:val="16"/>
            <w:szCs w:val="16"/>
          </w:rPr>
          <w:t>More Police Go to Trial in Killings, but Convictions Remain Rare</w:t>
        </w:r>
      </w:hyperlink>
      <w:r w:rsidRPr="001167CB">
        <w:rPr>
          <w:rFonts w:asciiTheme="majorHAnsi" w:hAnsiTheme="majorHAnsi" w:cstheme="majorHAnsi"/>
          <w:color w:val="808080" w:themeColor="background1" w:themeShade="80"/>
          <w:sz w:val="16"/>
          <w:szCs w:val="16"/>
        </w:rPr>
        <w:t xml:space="preserve">, Sept. 23, 2015. </w:t>
      </w:r>
      <w:r w:rsidRPr="001167CB">
        <w:rPr>
          <w:rFonts w:asciiTheme="majorHAnsi" w:hAnsiTheme="majorHAnsi" w:cstheme="majorHAnsi"/>
          <w:i/>
          <w:iCs/>
          <w:color w:val="808080" w:themeColor="background1" w:themeShade="80"/>
          <w:sz w:val="16"/>
          <w:szCs w:val="16"/>
        </w:rPr>
        <w:t xml:space="preserve">See also </w:t>
      </w:r>
      <w:r w:rsidRPr="001167CB">
        <w:rPr>
          <w:rFonts w:asciiTheme="majorHAnsi" w:hAnsiTheme="majorHAnsi" w:cstheme="majorHAnsi"/>
          <w:iCs/>
          <w:color w:val="808080" w:themeColor="background1" w:themeShade="80"/>
          <w:sz w:val="16"/>
          <w:szCs w:val="16"/>
        </w:rPr>
        <w:t>Mapping Police Violence: Police Violence Map</w:t>
      </w:r>
      <w:r w:rsidRPr="001167CB">
        <w:rPr>
          <w:rFonts w:asciiTheme="majorHAnsi" w:hAnsiTheme="majorHAnsi" w:cstheme="majorHAnsi"/>
          <w:color w:val="808080" w:themeColor="background1" w:themeShade="80"/>
          <w:sz w:val="16"/>
          <w:szCs w:val="16"/>
        </w:rPr>
        <w:t xml:space="preserve">, </w:t>
      </w:r>
      <w:hyperlink r:id="rId266" w:history="1">
        <w:r w:rsidRPr="001167CB">
          <w:rPr>
            <w:rStyle w:val="Hyperlink"/>
            <w:rFonts w:asciiTheme="majorHAnsi" w:hAnsiTheme="majorHAnsi" w:cstheme="majorHAnsi"/>
            <w:color w:val="808080" w:themeColor="background1" w:themeShade="80"/>
            <w:sz w:val="16"/>
            <w:szCs w:val="16"/>
          </w:rPr>
          <w:t>https://mappingpoliceviolence.org</w:t>
        </w:r>
      </w:hyperlink>
      <w:r w:rsidRPr="001167CB">
        <w:rPr>
          <w:rFonts w:asciiTheme="majorHAnsi" w:hAnsiTheme="majorHAnsi" w:cstheme="majorHAnsi"/>
          <w:color w:val="808080" w:themeColor="background1" w:themeShade="80"/>
          <w:sz w:val="16"/>
          <w:szCs w:val="16"/>
        </w:rPr>
        <w:t xml:space="preserve"> (finding that 99% of cases in 2015 have not resulted in any officer(s) being convicted of a crime); </w:t>
      </w:r>
      <w:r w:rsidRPr="001167CB">
        <w:rPr>
          <w:rFonts w:asciiTheme="majorHAnsi" w:hAnsiTheme="majorHAnsi" w:cstheme="majorHAnsi"/>
          <w:i/>
          <w:iCs/>
          <w:color w:val="808080" w:themeColor="background1" w:themeShade="80"/>
          <w:sz w:val="16"/>
          <w:szCs w:val="16"/>
        </w:rPr>
        <w:t xml:space="preserve">See also </w:t>
      </w:r>
      <w:r w:rsidRPr="001167CB">
        <w:rPr>
          <w:rFonts w:asciiTheme="majorHAnsi" w:hAnsiTheme="majorHAnsi" w:cstheme="majorHAnsi"/>
          <w:color w:val="808080" w:themeColor="background1" w:themeShade="80"/>
          <w:sz w:val="16"/>
          <w:szCs w:val="16"/>
        </w:rPr>
        <w:t xml:space="preserve">L.A. Times, </w:t>
      </w:r>
      <w:hyperlink r:id="rId267" w:history="1">
        <w:r w:rsidRPr="001167CB">
          <w:rPr>
            <w:rStyle w:val="Hyperlink"/>
            <w:rFonts w:asciiTheme="majorHAnsi" w:hAnsiTheme="majorHAnsi" w:cstheme="majorHAnsi"/>
            <w:iCs/>
            <w:color w:val="808080" w:themeColor="background1" w:themeShade="80"/>
            <w:sz w:val="16"/>
            <w:szCs w:val="16"/>
          </w:rPr>
          <w:t>Cops shoot and kill someone about 1,000 times a year. Few are prosecuted. What can be done?</w:t>
        </w:r>
      </w:hyperlink>
      <w:r w:rsidRPr="001167CB">
        <w:rPr>
          <w:rFonts w:asciiTheme="majorHAnsi" w:hAnsiTheme="majorHAnsi" w:cstheme="majorHAnsi"/>
          <w:color w:val="808080" w:themeColor="background1" w:themeShade="80"/>
          <w:sz w:val="16"/>
          <w:szCs w:val="16"/>
        </w:rPr>
        <w:t xml:space="preserve"> Dec. 15, 2016.</w:t>
      </w:r>
    </w:p>
  </w:footnote>
  <w:footnote w:id="219">
    <w:p w14:paraId="00387B4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New York Times, </w:t>
      </w:r>
      <w:hyperlink r:id="rId268" w:history="1">
        <w:r w:rsidRPr="001167CB">
          <w:rPr>
            <w:rStyle w:val="Hyperlink"/>
            <w:rFonts w:asciiTheme="majorHAnsi" w:hAnsiTheme="majorHAnsi" w:cstheme="majorHAnsi"/>
            <w:color w:val="808080" w:themeColor="background1" w:themeShade="80"/>
            <w:sz w:val="16"/>
            <w:szCs w:val="16"/>
          </w:rPr>
          <w:t>Looking for Accountability in Police-Involved Deaths of Blacks</w:t>
        </w:r>
      </w:hyperlink>
      <w:r w:rsidRPr="001167CB">
        <w:rPr>
          <w:rFonts w:asciiTheme="majorHAnsi" w:hAnsiTheme="majorHAnsi" w:cstheme="majorHAnsi"/>
          <w:color w:val="808080" w:themeColor="background1" w:themeShade="80"/>
          <w:sz w:val="16"/>
          <w:szCs w:val="16"/>
        </w:rPr>
        <w:t xml:space="preserve">, May 3, 2017. </w:t>
      </w:r>
    </w:p>
  </w:footnote>
  <w:footnote w:id="220">
    <w:p w14:paraId="11DE09A5" w14:textId="77777777" w:rsidR="005C2394" w:rsidRPr="001167CB" w:rsidRDefault="005C2394" w:rsidP="002C64F8">
      <w:pPr>
        <w:pStyle w:val="FootnoteText"/>
        <w:spacing w:after="40"/>
        <w:ind w:left="547" w:hanging="547"/>
        <w:jc w:val="both"/>
        <w:rPr>
          <w:rFonts w:asciiTheme="majorHAnsi" w:hAnsiTheme="majorHAnsi" w:cstheme="majorHAnsi"/>
          <w:bCs/>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269" w:history="1">
        <w:r w:rsidRPr="001167CB">
          <w:rPr>
            <w:rStyle w:val="Hyperlink"/>
            <w:rFonts w:asciiTheme="majorHAnsi" w:hAnsiTheme="majorHAnsi" w:cstheme="majorHAnsi"/>
            <w:bCs/>
            <w:color w:val="808080" w:themeColor="background1" w:themeShade="80"/>
            <w:sz w:val="16"/>
            <w:szCs w:val="16"/>
          </w:rPr>
          <w:t>Eric Garner and Michael Brown Press Release</w:t>
        </w:r>
      </w:hyperlink>
      <w:r w:rsidRPr="001167CB">
        <w:rPr>
          <w:rFonts w:asciiTheme="majorHAnsi" w:hAnsiTheme="majorHAnsi" w:cstheme="majorHAnsi"/>
          <w:bCs/>
          <w:color w:val="808080" w:themeColor="background1" w:themeShade="80"/>
          <w:sz w:val="16"/>
          <w:szCs w:val="16"/>
        </w:rPr>
        <w:t>, Aug. 22, 2014</w:t>
      </w:r>
      <w:proofErr w:type="gramStart"/>
      <w:r w:rsidRPr="001167CB">
        <w:rPr>
          <w:rFonts w:asciiTheme="majorHAnsi" w:hAnsiTheme="majorHAnsi" w:cstheme="majorHAnsi"/>
          <w:bCs/>
          <w:color w:val="808080" w:themeColor="background1" w:themeShade="80"/>
          <w:sz w:val="16"/>
          <w:szCs w:val="16"/>
        </w:rPr>
        <w:t>;,</w:t>
      </w:r>
      <w:proofErr w:type="gramEnd"/>
      <w:r w:rsidRPr="001167CB">
        <w:rPr>
          <w:rFonts w:asciiTheme="majorHAnsi" w:hAnsiTheme="majorHAnsi" w:cstheme="majorHAnsi"/>
          <w:bCs/>
          <w:color w:val="808080" w:themeColor="background1" w:themeShade="80"/>
          <w:sz w:val="16"/>
          <w:szCs w:val="16"/>
        </w:rPr>
        <w:t xml:space="preserve"> </w:t>
      </w:r>
      <w:hyperlink r:id="rId270" w:history="1">
        <w:r w:rsidRPr="001167CB">
          <w:rPr>
            <w:rStyle w:val="Hyperlink"/>
            <w:rFonts w:asciiTheme="majorHAnsi" w:hAnsiTheme="majorHAnsi" w:cstheme="majorHAnsi"/>
            <w:bCs/>
            <w:color w:val="808080" w:themeColor="background1" w:themeShade="80"/>
            <w:sz w:val="16"/>
            <w:szCs w:val="16"/>
          </w:rPr>
          <w:t>Investigation of Police Killings Press Release</w:t>
        </w:r>
      </w:hyperlink>
      <w:r w:rsidRPr="001167CB">
        <w:rPr>
          <w:rFonts w:asciiTheme="majorHAnsi" w:hAnsiTheme="majorHAnsi" w:cstheme="majorHAnsi"/>
          <w:bCs/>
          <w:color w:val="808080" w:themeColor="background1" w:themeShade="80"/>
          <w:sz w:val="16"/>
          <w:szCs w:val="16"/>
        </w:rPr>
        <w:t>, Aug. 23, 2016</w:t>
      </w:r>
      <w:r w:rsidRPr="001167CB">
        <w:rPr>
          <w:rFonts w:asciiTheme="majorHAnsi" w:hAnsiTheme="majorHAnsi" w:cstheme="majorHAnsi"/>
          <w:color w:val="808080" w:themeColor="background1" w:themeShade="80"/>
          <w:sz w:val="16"/>
          <w:szCs w:val="16"/>
        </w:rPr>
        <w:t>.</w:t>
      </w:r>
    </w:p>
  </w:footnote>
  <w:footnote w:id="221">
    <w:p w14:paraId="0E24B0E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271" w:history="1">
        <w:r w:rsidRPr="001167CB">
          <w:rPr>
            <w:rStyle w:val="Hyperlink"/>
            <w:rFonts w:asciiTheme="majorHAnsi" w:hAnsiTheme="majorHAnsi" w:cstheme="majorHAnsi"/>
            <w:bCs/>
            <w:color w:val="808080" w:themeColor="background1" w:themeShade="80"/>
            <w:sz w:val="16"/>
            <w:szCs w:val="16"/>
          </w:rPr>
          <w:t>Investigation of Police Killings Press Release</w:t>
        </w:r>
      </w:hyperlink>
      <w:r w:rsidRPr="001167CB">
        <w:rPr>
          <w:rFonts w:asciiTheme="majorHAnsi" w:hAnsiTheme="majorHAnsi" w:cstheme="majorHAnsi"/>
          <w:bCs/>
          <w:color w:val="808080" w:themeColor="background1" w:themeShade="80"/>
          <w:sz w:val="16"/>
          <w:szCs w:val="16"/>
        </w:rPr>
        <w:t>, Aug. 23, 2016</w:t>
      </w:r>
      <w:r w:rsidRPr="001167CB">
        <w:rPr>
          <w:rFonts w:asciiTheme="majorHAnsi" w:hAnsiTheme="majorHAnsi" w:cstheme="majorHAnsi"/>
          <w:color w:val="808080" w:themeColor="background1" w:themeShade="80"/>
          <w:sz w:val="16"/>
          <w:szCs w:val="16"/>
        </w:rPr>
        <w:t>.</w:t>
      </w:r>
    </w:p>
  </w:footnote>
  <w:footnote w:id="222">
    <w:p w14:paraId="30A41580" w14:textId="77777777"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New York Times, </w:t>
      </w:r>
      <w:hyperlink r:id="rId272" w:history="1">
        <w:r w:rsidRPr="001167CB">
          <w:rPr>
            <w:rStyle w:val="Hyperlink"/>
            <w:rFonts w:asciiTheme="majorHAnsi" w:hAnsiTheme="majorHAnsi" w:cstheme="majorHAnsi"/>
            <w:color w:val="808080" w:themeColor="background1" w:themeShade="80"/>
            <w:sz w:val="16"/>
            <w:szCs w:val="16"/>
            <w:lang w:val="en"/>
          </w:rPr>
          <w:t xml:space="preserve">Why N.F.L. Players Started Taking a Knee </w:t>
        </w:r>
        <w:proofErr w:type="gramStart"/>
        <w:r w:rsidRPr="001167CB">
          <w:rPr>
            <w:rStyle w:val="Hyperlink"/>
            <w:rFonts w:asciiTheme="majorHAnsi" w:hAnsiTheme="majorHAnsi" w:cstheme="majorHAnsi"/>
            <w:color w:val="808080" w:themeColor="background1" w:themeShade="80"/>
            <w:sz w:val="16"/>
            <w:szCs w:val="16"/>
            <w:lang w:val="en"/>
          </w:rPr>
          <w:t>During</w:t>
        </w:r>
        <w:proofErr w:type="gramEnd"/>
        <w:r w:rsidRPr="001167CB">
          <w:rPr>
            <w:rStyle w:val="Hyperlink"/>
            <w:rFonts w:asciiTheme="majorHAnsi" w:hAnsiTheme="majorHAnsi" w:cstheme="majorHAnsi"/>
            <w:color w:val="808080" w:themeColor="background1" w:themeShade="80"/>
            <w:sz w:val="16"/>
            <w:szCs w:val="16"/>
            <w:lang w:val="en"/>
          </w:rPr>
          <w:t xml:space="preserve"> the Anthem</w:t>
        </w:r>
      </w:hyperlink>
      <w:r w:rsidRPr="001167CB">
        <w:rPr>
          <w:rFonts w:asciiTheme="majorHAnsi" w:hAnsiTheme="majorHAnsi" w:cstheme="majorHAnsi"/>
          <w:color w:val="808080" w:themeColor="background1" w:themeShade="80"/>
          <w:sz w:val="16"/>
          <w:szCs w:val="16"/>
          <w:lang w:val="en"/>
        </w:rPr>
        <w:t>,</w:t>
      </w:r>
      <w:r w:rsidRPr="001167CB">
        <w:rPr>
          <w:rFonts w:asciiTheme="majorHAnsi" w:hAnsiTheme="majorHAnsi" w:cstheme="majorHAnsi"/>
          <w:color w:val="808080" w:themeColor="background1" w:themeShade="80"/>
          <w:sz w:val="16"/>
          <w:szCs w:val="16"/>
        </w:rPr>
        <w:t xml:space="preserve"> Sept. 25, 2017. New York Times, </w:t>
      </w:r>
      <w:hyperlink r:id="rId273" w:history="1">
        <w:r w:rsidRPr="001167CB">
          <w:rPr>
            <w:rStyle w:val="Hyperlink"/>
            <w:rFonts w:asciiTheme="majorHAnsi" w:hAnsiTheme="majorHAnsi" w:cstheme="majorHAnsi"/>
            <w:color w:val="808080" w:themeColor="background1" w:themeShade="80"/>
            <w:sz w:val="16"/>
            <w:szCs w:val="16"/>
          </w:rPr>
          <w:t xml:space="preserve">Minnesota Officer Acquitted in Killing of </w:t>
        </w:r>
        <w:proofErr w:type="spellStart"/>
        <w:r w:rsidRPr="001167CB">
          <w:rPr>
            <w:rStyle w:val="Hyperlink"/>
            <w:rFonts w:asciiTheme="majorHAnsi" w:hAnsiTheme="majorHAnsi" w:cstheme="majorHAnsi"/>
            <w:color w:val="808080" w:themeColor="background1" w:themeShade="80"/>
            <w:sz w:val="16"/>
            <w:szCs w:val="16"/>
          </w:rPr>
          <w:t>Philando</w:t>
        </w:r>
        <w:proofErr w:type="spellEnd"/>
        <w:r w:rsidRPr="001167CB">
          <w:rPr>
            <w:rStyle w:val="Hyperlink"/>
            <w:rFonts w:asciiTheme="majorHAnsi" w:hAnsiTheme="majorHAnsi" w:cstheme="majorHAnsi"/>
            <w:color w:val="808080" w:themeColor="background1" w:themeShade="80"/>
            <w:sz w:val="16"/>
            <w:szCs w:val="16"/>
          </w:rPr>
          <w:t xml:space="preserve"> Castile</w:t>
        </w:r>
      </w:hyperlink>
      <w:r w:rsidRPr="001167CB">
        <w:rPr>
          <w:rFonts w:asciiTheme="majorHAnsi" w:hAnsiTheme="majorHAnsi" w:cstheme="majorHAnsi"/>
          <w:color w:val="808080" w:themeColor="background1" w:themeShade="80"/>
          <w:sz w:val="16"/>
          <w:szCs w:val="16"/>
        </w:rPr>
        <w:t xml:space="preserve">, June. 6, 2017. ABC News, </w:t>
      </w:r>
      <w:hyperlink r:id="rId274" w:history="1">
        <w:r w:rsidRPr="001167CB">
          <w:rPr>
            <w:rStyle w:val="Hyperlink"/>
            <w:rFonts w:asciiTheme="majorHAnsi" w:hAnsiTheme="majorHAnsi" w:cstheme="majorHAnsi"/>
            <w:color w:val="808080" w:themeColor="background1" w:themeShade="80"/>
            <w:sz w:val="16"/>
            <w:szCs w:val="16"/>
          </w:rPr>
          <w:t>Tulsa police officer acquitted in death of unarmed African-American man</w:t>
        </w:r>
      </w:hyperlink>
      <w:r w:rsidRPr="001167CB">
        <w:rPr>
          <w:rFonts w:asciiTheme="majorHAnsi" w:hAnsiTheme="majorHAnsi" w:cstheme="majorHAnsi"/>
          <w:color w:val="808080" w:themeColor="background1" w:themeShade="80"/>
          <w:sz w:val="16"/>
          <w:szCs w:val="16"/>
        </w:rPr>
        <w:t xml:space="preserve">, May 18, 2017. CNN News, </w:t>
      </w:r>
      <w:hyperlink r:id="rId275" w:history="1">
        <w:r w:rsidRPr="001167CB">
          <w:rPr>
            <w:rStyle w:val="Hyperlink"/>
            <w:rFonts w:asciiTheme="majorHAnsi" w:hAnsiTheme="majorHAnsi" w:cstheme="majorHAnsi"/>
            <w:color w:val="808080" w:themeColor="background1" w:themeShade="80"/>
            <w:sz w:val="16"/>
            <w:szCs w:val="16"/>
          </w:rPr>
          <w:t>No federal charges against officers in Alton Sterling death</w:t>
        </w:r>
      </w:hyperlink>
      <w:r w:rsidRPr="001167CB">
        <w:rPr>
          <w:rFonts w:asciiTheme="majorHAnsi" w:hAnsiTheme="majorHAnsi" w:cstheme="majorHAnsi"/>
          <w:color w:val="808080" w:themeColor="background1" w:themeShade="80"/>
          <w:sz w:val="16"/>
          <w:szCs w:val="16"/>
        </w:rPr>
        <w:t xml:space="preserve">, June 27, 2017; CNN, </w:t>
      </w:r>
      <w:hyperlink r:id="rId276" w:history="1">
        <w:r w:rsidRPr="001167CB">
          <w:rPr>
            <w:rStyle w:val="Hyperlink"/>
            <w:rFonts w:asciiTheme="majorHAnsi" w:hAnsiTheme="majorHAnsi" w:cstheme="majorHAnsi"/>
            <w:color w:val="808080" w:themeColor="background1" w:themeShade="80"/>
            <w:sz w:val="16"/>
            <w:szCs w:val="16"/>
          </w:rPr>
          <w:t>St. Louis ex-officer acquitted in fatal shooting of black driver</w:t>
        </w:r>
      </w:hyperlink>
      <w:r w:rsidRPr="001167CB">
        <w:rPr>
          <w:rFonts w:asciiTheme="majorHAnsi" w:hAnsiTheme="majorHAnsi" w:cstheme="majorHAnsi"/>
          <w:color w:val="808080" w:themeColor="background1" w:themeShade="80"/>
          <w:sz w:val="16"/>
          <w:szCs w:val="16"/>
        </w:rPr>
        <w:t xml:space="preserve">, Sept. 16, 2017; </w:t>
      </w:r>
      <w:r w:rsidRPr="001167CB">
        <w:rPr>
          <w:rFonts w:asciiTheme="majorHAnsi" w:hAnsiTheme="majorHAnsi" w:cstheme="majorHAnsi"/>
          <w:color w:val="808080" w:themeColor="background1" w:themeShade="80"/>
          <w:sz w:val="16"/>
          <w:szCs w:val="16"/>
          <w:lang w:val="en-GB"/>
        </w:rPr>
        <w:t xml:space="preserve">CBS News, </w:t>
      </w:r>
      <w:hyperlink r:id="rId277" w:history="1">
        <w:r w:rsidRPr="001167CB">
          <w:rPr>
            <w:rStyle w:val="Hyperlink"/>
            <w:rFonts w:asciiTheme="majorHAnsi" w:hAnsiTheme="majorHAnsi" w:cstheme="majorHAnsi"/>
            <w:color w:val="808080" w:themeColor="background1" w:themeShade="80"/>
            <w:sz w:val="16"/>
            <w:szCs w:val="16"/>
            <w:lang w:val="en-GB"/>
          </w:rPr>
          <w:t>Terence Crutcher shooting ignites debate</w:t>
        </w:r>
      </w:hyperlink>
      <w:r w:rsidRPr="001167CB">
        <w:rPr>
          <w:rFonts w:asciiTheme="majorHAnsi" w:hAnsiTheme="majorHAnsi" w:cstheme="majorHAnsi"/>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color w:val="808080" w:themeColor="background1" w:themeShade="80"/>
          <w:sz w:val="16"/>
          <w:szCs w:val="16"/>
          <w:lang w:val="en-GB"/>
        </w:rPr>
        <w:t xml:space="preserve">4, 2017;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New York Times, </w:t>
      </w:r>
      <w:hyperlink r:id="rId278" w:history="1">
        <w:r w:rsidRPr="001167CB">
          <w:rPr>
            <w:rStyle w:val="Hyperlink"/>
            <w:rFonts w:asciiTheme="majorHAnsi" w:hAnsiTheme="majorHAnsi" w:cstheme="majorHAnsi"/>
            <w:color w:val="808080" w:themeColor="background1" w:themeShade="80"/>
            <w:sz w:val="16"/>
            <w:szCs w:val="16"/>
          </w:rPr>
          <w:t>Looking for Accountability in Police-Involved Deaths of Blacks</w:t>
        </w:r>
      </w:hyperlink>
      <w:r w:rsidRPr="001167CB">
        <w:rPr>
          <w:rFonts w:asciiTheme="majorHAnsi" w:hAnsiTheme="majorHAnsi" w:cstheme="majorHAnsi"/>
          <w:color w:val="808080" w:themeColor="background1" w:themeShade="80"/>
          <w:sz w:val="16"/>
          <w:szCs w:val="16"/>
        </w:rPr>
        <w:t>, May 3, 2017;</w:t>
      </w:r>
      <w:r w:rsidRPr="001167CB">
        <w:rPr>
          <w:rFonts w:asciiTheme="majorHAnsi" w:hAnsiTheme="majorHAnsi" w:cstheme="majorHAnsi"/>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rPr>
        <w:t xml:space="preserve">Guardian, </w:t>
      </w:r>
      <w:hyperlink r:id="rId279" w:history="1">
        <w:r w:rsidRPr="001167CB">
          <w:rPr>
            <w:rStyle w:val="Hyperlink"/>
            <w:rFonts w:asciiTheme="majorHAnsi" w:hAnsiTheme="majorHAnsi" w:cstheme="majorHAnsi"/>
            <w:color w:val="808080" w:themeColor="background1" w:themeShade="80"/>
            <w:sz w:val="16"/>
            <w:szCs w:val="16"/>
          </w:rPr>
          <w:t xml:space="preserve">Cleveland police handcuff </w:t>
        </w:r>
        <w:proofErr w:type="spellStart"/>
        <w:r w:rsidRPr="001167CB">
          <w:rPr>
            <w:rStyle w:val="Hyperlink"/>
            <w:rFonts w:asciiTheme="majorHAnsi" w:hAnsiTheme="majorHAnsi" w:cstheme="majorHAnsi"/>
            <w:color w:val="808080" w:themeColor="background1" w:themeShade="80"/>
            <w:sz w:val="16"/>
            <w:szCs w:val="16"/>
          </w:rPr>
          <w:t>Tamir</w:t>
        </w:r>
        <w:proofErr w:type="spellEnd"/>
        <w:r w:rsidRPr="001167CB">
          <w:rPr>
            <w:rStyle w:val="Hyperlink"/>
            <w:rFonts w:asciiTheme="majorHAnsi" w:hAnsiTheme="majorHAnsi" w:cstheme="majorHAnsi"/>
            <w:color w:val="808080" w:themeColor="background1" w:themeShade="80"/>
            <w:sz w:val="16"/>
            <w:szCs w:val="16"/>
          </w:rPr>
          <w:t xml:space="preserve"> Rice's sister after shooting 12-year-old – video</w:t>
        </w:r>
      </w:hyperlink>
      <w:r w:rsidRPr="001167CB">
        <w:rPr>
          <w:rFonts w:asciiTheme="majorHAnsi" w:hAnsiTheme="majorHAnsi" w:cstheme="majorHAnsi"/>
          <w:color w:val="808080" w:themeColor="background1" w:themeShade="80"/>
          <w:sz w:val="16"/>
          <w:szCs w:val="16"/>
        </w:rPr>
        <w:t>, Jan. 8, 2015.</w:t>
      </w:r>
    </w:p>
  </w:footnote>
  <w:footnote w:id="223">
    <w:p w14:paraId="5ED23276" w14:textId="77777777" w:rsidR="005C2394" w:rsidRPr="001167CB" w:rsidRDefault="005C2394" w:rsidP="003A1642">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156th Period of Sessions, </w:t>
      </w:r>
      <w:hyperlink r:id="rId280" w:history="1">
        <w:r w:rsidRPr="001167CB">
          <w:rPr>
            <w:rStyle w:val="Hyperlink"/>
            <w:rFonts w:asciiTheme="majorHAnsi" w:hAnsiTheme="majorHAnsi" w:cstheme="majorHAnsi"/>
            <w:bCs/>
            <w:color w:val="808080" w:themeColor="background1" w:themeShade="80"/>
            <w:sz w:val="16"/>
            <w:szCs w:val="16"/>
          </w:rPr>
          <w:t>“Police Killings”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23, 2015</w:t>
      </w:r>
      <w:r w:rsidRPr="001167CB">
        <w:rPr>
          <w:rFonts w:asciiTheme="majorHAnsi" w:hAnsiTheme="majorHAnsi" w:cstheme="majorHAnsi"/>
          <w:color w:val="808080" w:themeColor="background1" w:themeShade="80"/>
          <w:sz w:val="16"/>
          <w:szCs w:val="16"/>
        </w:rPr>
        <w:t>.</w:t>
      </w:r>
    </w:p>
  </w:footnote>
  <w:footnote w:id="224">
    <w:p w14:paraId="7D13D2F4" w14:textId="77777777" w:rsidR="005C2394" w:rsidRPr="001167CB" w:rsidRDefault="005C2394" w:rsidP="00625D97">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Id.</w:t>
      </w:r>
    </w:p>
  </w:footnote>
  <w:footnote w:id="225">
    <w:p w14:paraId="4ECBFC8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New York Times, </w:t>
      </w:r>
      <w:hyperlink r:id="rId281" w:history="1">
        <w:r w:rsidRPr="001167CB">
          <w:rPr>
            <w:rStyle w:val="Hyperlink"/>
            <w:rFonts w:asciiTheme="majorHAnsi" w:hAnsiTheme="majorHAnsi" w:cstheme="majorHAnsi"/>
            <w:color w:val="808080" w:themeColor="background1" w:themeShade="80"/>
            <w:sz w:val="16"/>
            <w:szCs w:val="16"/>
          </w:rPr>
          <w:t>Erica Garner, Activist and Daughter of Eric Garner, Dies at 27</w:t>
        </w:r>
      </w:hyperlink>
      <w:r w:rsidRPr="001167CB">
        <w:rPr>
          <w:rFonts w:asciiTheme="majorHAnsi" w:hAnsiTheme="majorHAnsi" w:cstheme="majorHAnsi"/>
          <w:color w:val="808080" w:themeColor="background1" w:themeShade="80"/>
          <w:sz w:val="16"/>
          <w:szCs w:val="16"/>
        </w:rPr>
        <w:t>, Dec. 30, 2017.</w:t>
      </w:r>
    </w:p>
  </w:footnote>
  <w:footnote w:id="226">
    <w:p w14:paraId="02A3676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227">
    <w:p w14:paraId="51C312F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Roger A. Fairfax, Jr., “The Grand Jury and Police Violence Against Black Men,” in </w:t>
      </w:r>
      <w:r w:rsidRPr="001167CB">
        <w:rPr>
          <w:rFonts w:asciiTheme="majorHAnsi" w:hAnsiTheme="majorHAnsi" w:cstheme="majorHAnsi"/>
          <w:i/>
          <w:color w:val="808080" w:themeColor="background1" w:themeShade="80"/>
          <w:sz w:val="16"/>
          <w:szCs w:val="16"/>
        </w:rPr>
        <w:t xml:space="preserve">Policing the Black Man </w:t>
      </w:r>
      <w:r w:rsidRPr="001167CB">
        <w:rPr>
          <w:rFonts w:asciiTheme="majorHAnsi" w:hAnsiTheme="majorHAnsi" w:cstheme="majorHAnsi"/>
          <w:color w:val="808080" w:themeColor="background1" w:themeShade="80"/>
          <w:sz w:val="16"/>
          <w:szCs w:val="16"/>
        </w:rPr>
        <w:t>(2017), pp. 220-228.</w:t>
      </w:r>
    </w:p>
  </w:footnote>
  <w:footnote w:id="228">
    <w:p w14:paraId="43BB762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Houston Chronicle, </w:t>
      </w:r>
      <w:hyperlink r:id="rId282" w:history="1">
        <w:r w:rsidRPr="001167CB">
          <w:rPr>
            <w:rStyle w:val="Hyperlink"/>
            <w:rFonts w:asciiTheme="majorHAnsi" w:hAnsiTheme="majorHAnsi" w:cstheme="majorHAnsi"/>
            <w:color w:val="808080" w:themeColor="background1" w:themeShade="80"/>
            <w:sz w:val="16"/>
            <w:szCs w:val="16"/>
          </w:rPr>
          <w:t>Hard to Charge</w:t>
        </w:r>
      </w:hyperlink>
      <w:r w:rsidRPr="001167CB">
        <w:rPr>
          <w:rFonts w:asciiTheme="majorHAnsi" w:hAnsiTheme="majorHAnsi" w:cstheme="majorHAnsi"/>
          <w:color w:val="808080" w:themeColor="background1" w:themeShade="80"/>
          <w:sz w:val="16"/>
          <w:szCs w:val="16"/>
        </w:rPr>
        <w:t xml:space="preserve">, last visited Jan. 29, 2018;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New York Times, </w:t>
      </w:r>
      <w:hyperlink r:id="rId283" w:history="1">
        <w:r w:rsidRPr="001167CB">
          <w:rPr>
            <w:rStyle w:val="Hyperlink"/>
            <w:rFonts w:asciiTheme="majorHAnsi" w:hAnsiTheme="majorHAnsi" w:cstheme="majorHAnsi"/>
            <w:color w:val="808080" w:themeColor="background1" w:themeShade="80"/>
            <w:sz w:val="16"/>
            <w:szCs w:val="16"/>
          </w:rPr>
          <w:t>Grand Jury System, With Exceptions, Favors the Police in Fatalities</w:t>
        </w:r>
      </w:hyperlink>
      <w:r w:rsidRPr="001167CB">
        <w:rPr>
          <w:rFonts w:asciiTheme="majorHAnsi" w:hAnsiTheme="majorHAnsi" w:cstheme="majorHAnsi"/>
          <w:color w:val="808080" w:themeColor="background1" w:themeShade="80"/>
          <w:sz w:val="16"/>
          <w:szCs w:val="16"/>
        </w:rPr>
        <w:t>, Dec. 7, 2014.</w:t>
      </w:r>
    </w:p>
  </w:footnote>
  <w:footnote w:id="229">
    <w:p w14:paraId="09B1BB8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Request for hearing received from Robert F. Kennedy Human Rights for 156th Period of Sessions, Oct. 23, 2015, p. 2 [hereinafter “RFK Request for hearing, 156th Period of Sessions, Oct. 23, 2015”].</w:t>
      </w:r>
    </w:p>
  </w:footnote>
  <w:footnote w:id="230">
    <w:p w14:paraId="0272C97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Information received from RFK Human Rights during 166th Period of Sessions, Dec. 7, 2017, p. 1 (citing MSNBC, </w:t>
      </w:r>
      <w:hyperlink r:id="rId284" w:history="1">
        <w:r w:rsidRPr="001167CB">
          <w:rPr>
            <w:rStyle w:val="Hyperlink"/>
            <w:rFonts w:asciiTheme="majorHAnsi" w:hAnsiTheme="majorHAnsi" w:cstheme="majorHAnsi"/>
            <w:color w:val="808080" w:themeColor="background1" w:themeShade="80"/>
            <w:sz w:val="16"/>
            <w:szCs w:val="16"/>
          </w:rPr>
          <w:t>Prosecutors and Police: The Inherent Conflict in our Courts</w:t>
        </w:r>
      </w:hyperlink>
      <w:r w:rsidRPr="001167CB">
        <w:rPr>
          <w:rFonts w:asciiTheme="majorHAnsi" w:hAnsiTheme="majorHAnsi" w:cstheme="majorHAnsi"/>
          <w:color w:val="808080" w:themeColor="background1" w:themeShade="80"/>
          <w:sz w:val="16"/>
          <w:szCs w:val="16"/>
        </w:rPr>
        <w:t xml:space="preserve">, Dec. 5, 2014, FiveThirtyEight, </w:t>
      </w:r>
      <w:hyperlink r:id="rId285" w:history="1">
        <w:r w:rsidRPr="001167CB">
          <w:rPr>
            <w:rStyle w:val="Hyperlink"/>
            <w:rFonts w:asciiTheme="majorHAnsi" w:hAnsiTheme="majorHAnsi" w:cstheme="majorHAnsi"/>
            <w:color w:val="808080" w:themeColor="background1" w:themeShade="80"/>
            <w:sz w:val="16"/>
            <w:szCs w:val="16"/>
          </w:rPr>
          <w:t>Allegations of Police Misconduct Rarely Result in Charge</w:t>
        </w:r>
      </w:hyperlink>
      <w:r w:rsidRPr="001167CB">
        <w:rPr>
          <w:rFonts w:asciiTheme="majorHAnsi" w:hAnsiTheme="majorHAnsi" w:cstheme="majorHAnsi"/>
          <w:color w:val="808080" w:themeColor="background1" w:themeShade="80"/>
          <w:sz w:val="16"/>
          <w:szCs w:val="16"/>
        </w:rPr>
        <w:t xml:space="preserve">s, Nov. 25, 2014; Washington Post, </w:t>
      </w:r>
      <w:hyperlink r:id="rId286" w:history="1">
        <w:r w:rsidRPr="001167CB">
          <w:rPr>
            <w:rStyle w:val="Hyperlink"/>
            <w:rFonts w:asciiTheme="majorHAnsi" w:hAnsiTheme="majorHAnsi" w:cstheme="majorHAnsi"/>
            <w:color w:val="808080" w:themeColor="background1" w:themeShade="80"/>
            <w:sz w:val="16"/>
            <w:szCs w:val="16"/>
          </w:rPr>
          <w:t>Thousands Dead, Few Prosecuted</w:t>
        </w:r>
      </w:hyperlink>
      <w:r w:rsidRPr="001167CB">
        <w:rPr>
          <w:rFonts w:asciiTheme="majorHAnsi" w:hAnsiTheme="majorHAnsi" w:cstheme="majorHAnsi"/>
          <w:color w:val="808080" w:themeColor="background1" w:themeShade="80"/>
          <w:sz w:val="16"/>
          <w:szCs w:val="16"/>
        </w:rPr>
        <w:t xml:space="preserve">, Apr. 11, 2015; Houston Chronicle, </w:t>
      </w:r>
      <w:hyperlink r:id="rId287" w:history="1">
        <w:r w:rsidRPr="001167CB">
          <w:rPr>
            <w:rStyle w:val="Hyperlink"/>
            <w:rFonts w:asciiTheme="majorHAnsi" w:hAnsiTheme="majorHAnsi" w:cstheme="majorHAnsi"/>
            <w:color w:val="808080" w:themeColor="background1" w:themeShade="80"/>
            <w:sz w:val="16"/>
            <w:szCs w:val="16"/>
          </w:rPr>
          <w:t>Hard to Charge</w:t>
        </w:r>
      </w:hyperlink>
      <w:r w:rsidRPr="001167CB">
        <w:rPr>
          <w:rFonts w:asciiTheme="majorHAnsi" w:hAnsiTheme="majorHAnsi" w:cstheme="majorHAnsi"/>
          <w:color w:val="808080" w:themeColor="background1" w:themeShade="80"/>
          <w:sz w:val="16"/>
          <w:szCs w:val="16"/>
        </w:rPr>
        <w:t xml:space="preserve">, last visited Oct. 5, 2015; </w:t>
      </w:r>
      <w:hyperlink r:id="rId288" w:history="1">
        <w:r w:rsidRPr="001167CB">
          <w:rPr>
            <w:rStyle w:val="Hyperlink"/>
            <w:rFonts w:asciiTheme="majorHAnsi" w:hAnsiTheme="majorHAnsi" w:cstheme="majorHAnsi"/>
            <w:color w:val="808080" w:themeColor="background1" w:themeShade="80"/>
            <w:sz w:val="16"/>
            <w:szCs w:val="16"/>
          </w:rPr>
          <w:t>Federal Justice Statistics 2010 – Statistical Tables</w:t>
        </w:r>
      </w:hyperlink>
      <w:r w:rsidRPr="001167CB">
        <w:rPr>
          <w:rFonts w:asciiTheme="majorHAnsi" w:hAnsiTheme="majorHAnsi" w:cstheme="majorHAnsi"/>
          <w:color w:val="808080" w:themeColor="background1" w:themeShade="80"/>
          <w:sz w:val="16"/>
          <w:szCs w:val="16"/>
        </w:rPr>
        <w:t>, Dec. 2013) [hereinafter “RFK Submission, 166th Period of Sessions, Dec. 7, 2017”].</w:t>
      </w:r>
    </w:p>
  </w:footnote>
  <w:footnote w:id="231">
    <w:p w14:paraId="08A8656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RFK Request for hearing, 156th Period of Sessions, Oct. 23, 2015, p. 2.</w:t>
      </w:r>
    </w:p>
  </w:footnote>
  <w:footnote w:id="232">
    <w:p w14:paraId="3F47D61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RFK Submission, 166th Period of Sessions, Dec. 7, 2017, p. 2.</w:t>
      </w:r>
    </w:p>
  </w:footnote>
  <w:footnote w:id="233">
    <w:p w14:paraId="41ED633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Bureau of Justice Statistics, </w:t>
      </w:r>
      <w:hyperlink r:id="rId289" w:history="1">
        <w:r w:rsidRPr="001167CB">
          <w:rPr>
            <w:rStyle w:val="Hyperlink"/>
            <w:rFonts w:asciiTheme="majorHAnsi" w:hAnsiTheme="majorHAnsi" w:cstheme="majorHAnsi"/>
            <w:color w:val="808080" w:themeColor="background1" w:themeShade="80"/>
            <w:sz w:val="16"/>
            <w:szCs w:val="16"/>
          </w:rPr>
          <w:t xml:space="preserve">Citizen Complaints </w:t>
        </w:r>
        <w:proofErr w:type="gramStart"/>
        <w:r w:rsidRPr="001167CB">
          <w:rPr>
            <w:rStyle w:val="Hyperlink"/>
            <w:rFonts w:asciiTheme="majorHAnsi" w:hAnsiTheme="majorHAnsi" w:cstheme="majorHAnsi"/>
            <w:color w:val="808080" w:themeColor="background1" w:themeShade="80"/>
            <w:sz w:val="16"/>
            <w:szCs w:val="16"/>
          </w:rPr>
          <w:t>About</w:t>
        </w:r>
        <w:proofErr w:type="gramEnd"/>
        <w:r w:rsidRPr="001167CB">
          <w:rPr>
            <w:rStyle w:val="Hyperlink"/>
            <w:rFonts w:asciiTheme="majorHAnsi" w:hAnsiTheme="majorHAnsi" w:cstheme="majorHAnsi"/>
            <w:color w:val="808080" w:themeColor="background1" w:themeShade="80"/>
            <w:sz w:val="16"/>
            <w:szCs w:val="16"/>
          </w:rPr>
          <w:t xml:space="preserve"> Police Use of Force</w:t>
        </w:r>
      </w:hyperlink>
      <w:r w:rsidRPr="001167CB">
        <w:rPr>
          <w:rFonts w:asciiTheme="majorHAnsi" w:hAnsiTheme="majorHAnsi" w:cstheme="majorHAnsi"/>
          <w:color w:val="808080" w:themeColor="background1" w:themeShade="80"/>
          <w:sz w:val="16"/>
          <w:szCs w:val="16"/>
        </w:rPr>
        <w:t>, June 2006.</w:t>
      </w:r>
    </w:p>
  </w:footnote>
  <w:footnote w:id="234">
    <w:p w14:paraId="4B037C2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5. However, it is not clear that there is a direct relationship between the mere existence of an internal affairs unit and a higher rate of police accountability. “Among all agencies having an internal affairs unit, the overall rate of citizen force complaints was higher than those not having a unit (54 per agency versus 5 per agency), as were the rates of complaint per 100 officers [...] Overall, force complaints received by agencies having an internal affairs unit were more than twice as likely to be found not sustained than in agencies not having an internal affairs unit (37% versus 16%). Force complaints in agencies not having an internal affairs unit were more likely to result in officers being exonerated (47% versus 20%). The sustain rate was roughly equivalent in both types of agencies.”</w:t>
      </w:r>
    </w:p>
  </w:footnote>
  <w:footnote w:id="235">
    <w:p w14:paraId="5FBFFD0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ACLU of New Jersey, </w:t>
      </w:r>
      <w:hyperlink r:id="rId290" w:history="1">
        <w:r w:rsidRPr="001167CB">
          <w:rPr>
            <w:rStyle w:val="Hyperlink"/>
            <w:rFonts w:asciiTheme="majorHAnsi" w:hAnsiTheme="majorHAnsi" w:cstheme="majorHAnsi"/>
            <w:color w:val="808080" w:themeColor="background1" w:themeShade="80"/>
            <w:sz w:val="16"/>
            <w:szCs w:val="16"/>
          </w:rPr>
          <w:t>The Crisis Continues Inside Police and Internal Affairs</w:t>
        </w:r>
      </w:hyperlink>
      <w:r w:rsidRPr="001167CB">
        <w:rPr>
          <w:rFonts w:asciiTheme="majorHAnsi" w:hAnsiTheme="majorHAnsi" w:cstheme="majorHAnsi"/>
          <w:color w:val="808080" w:themeColor="background1" w:themeShade="80"/>
          <w:sz w:val="16"/>
          <w:szCs w:val="16"/>
        </w:rPr>
        <w:t>, Feb. 2013.</w:t>
      </w:r>
    </w:p>
  </w:footnote>
  <w:footnote w:id="236">
    <w:p w14:paraId="635BBDBA" w14:textId="77777777" w:rsidR="005C2394" w:rsidRPr="001167CB" w:rsidRDefault="005C2394" w:rsidP="002C64F8">
      <w:pPr>
        <w:pStyle w:val="FootnoteText"/>
        <w:spacing w:after="40"/>
        <w:ind w:left="547" w:hanging="547"/>
        <w:jc w:val="both"/>
        <w:rPr>
          <w:rFonts w:asciiTheme="majorHAnsi" w:hAnsiTheme="majorHAnsi" w:cstheme="majorHAnsi"/>
          <w: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See, e.g., LA Times, </w:t>
      </w:r>
      <w:hyperlink r:id="rId291" w:history="1">
        <w:r w:rsidRPr="001167CB">
          <w:rPr>
            <w:rStyle w:val="Hyperlink"/>
            <w:rFonts w:asciiTheme="majorHAnsi" w:hAnsiTheme="majorHAnsi" w:cstheme="majorHAnsi"/>
            <w:color w:val="808080" w:themeColor="background1" w:themeShade="80"/>
            <w:sz w:val="16"/>
            <w:szCs w:val="16"/>
          </w:rPr>
          <w:t>LAPD found no bias in all 1,356 complaints filed against officers</w:t>
        </w:r>
      </w:hyperlink>
      <w:r w:rsidRPr="001167CB">
        <w:rPr>
          <w:rFonts w:asciiTheme="majorHAnsi" w:hAnsiTheme="majorHAnsi" w:cstheme="majorHAnsi"/>
          <w:color w:val="808080" w:themeColor="background1" w:themeShade="80"/>
          <w:sz w:val="16"/>
          <w:szCs w:val="16"/>
        </w:rPr>
        <w:t xml:space="preserve">, Dec. 15, 2015; New Yorker, </w:t>
      </w:r>
      <w:hyperlink r:id="rId292" w:history="1">
        <w:r w:rsidRPr="001167CB">
          <w:rPr>
            <w:rStyle w:val="Hyperlink"/>
            <w:rFonts w:asciiTheme="majorHAnsi" w:hAnsiTheme="majorHAnsi" w:cstheme="majorHAnsi"/>
            <w:color w:val="808080" w:themeColor="background1" w:themeShade="80"/>
            <w:sz w:val="16"/>
            <w:szCs w:val="16"/>
          </w:rPr>
          <w:t>Bad Cops, Good Cops</w:t>
        </w:r>
      </w:hyperlink>
      <w:r w:rsidRPr="001167CB">
        <w:rPr>
          <w:rFonts w:asciiTheme="majorHAnsi" w:hAnsiTheme="majorHAnsi" w:cstheme="majorHAnsi"/>
          <w:color w:val="808080" w:themeColor="background1" w:themeShade="80"/>
          <w:sz w:val="16"/>
          <w:szCs w:val="16"/>
        </w:rPr>
        <w:t xml:space="preserve">, Dec. 21, 2015. </w:t>
      </w:r>
      <w:r w:rsidRPr="001167CB">
        <w:rPr>
          <w:rFonts w:asciiTheme="majorHAnsi" w:hAnsiTheme="majorHAnsi" w:cstheme="majorHAnsi"/>
          <w:i/>
          <w:color w:val="808080" w:themeColor="background1" w:themeShade="80"/>
          <w:sz w:val="16"/>
          <w:szCs w:val="16"/>
        </w:rPr>
        <w:t xml:space="preserve">See also </w:t>
      </w:r>
      <w:r w:rsidRPr="001167CB">
        <w:rPr>
          <w:rFonts w:asciiTheme="majorHAnsi" w:hAnsiTheme="majorHAnsi" w:cstheme="majorHAnsi"/>
          <w:color w:val="808080" w:themeColor="background1" w:themeShade="80"/>
          <w:sz w:val="16"/>
          <w:szCs w:val="16"/>
        </w:rPr>
        <w:t xml:space="preserve">RFK Submission, 166th Period of Sessions, </w:t>
      </w:r>
      <w:proofErr w:type="gramStart"/>
      <w:r w:rsidRPr="001167CB">
        <w:rPr>
          <w:rFonts w:asciiTheme="majorHAnsi" w:hAnsiTheme="majorHAnsi" w:cstheme="majorHAnsi"/>
          <w:color w:val="808080" w:themeColor="background1" w:themeShade="80"/>
          <w:sz w:val="16"/>
          <w:szCs w:val="16"/>
        </w:rPr>
        <w:t>Dec</w:t>
      </w:r>
      <w:proofErr w:type="gramEnd"/>
      <w:r w:rsidRPr="001167CB">
        <w:rPr>
          <w:rFonts w:asciiTheme="majorHAnsi" w:hAnsiTheme="majorHAnsi" w:cstheme="majorHAnsi"/>
          <w:color w:val="808080" w:themeColor="background1" w:themeShade="80"/>
          <w:sz w:val="16"/>
          <w:szCs w:val="16"/>
        </w:rPr>
        <w:t>. 7, 2017.</w:t>
      </w:r>
    </w:p>
  </w:footnote>
  <w:footnote w:id="237">
    <w:p w14:paraId="518A78E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Marshall Project, </w:t>
      </w:r>
      <w:hyperlink r:id="rId293" w:history="1">
        <w:r w:rsidRPr="001167CB">
          <w:rPr>
            <w:rStyle w:val="Hyperlink"/>
            <w:rFonts w:asciiTheme="majorHAnsi" w:hAnsiTheme="majorHAnsi" w:cstheme="majorHAnsi"/>
            <w:color w:val="808080" w:themeColor="background1" w:themeShade="80"/>
            <w:sz w:val="16"/>
            <w:szCs w:val="16"/>
          </w:rPr>
          <w:t>Blue Shield</w:t>
        </w:r>
      </w:hyperlink>
      <w:r w:rsidRPr="001167CB">
        <w:rPr>
          <w:rFonts w:asciiTheme="majorHAnsi" w:hAnsiTheme="majorHAnsi" w:cstheme="majorHAnsi"/>
          <w:color w:val="808080" w:themeColor="background1" w:themeShade="80"/>
          <w:sz w:val="16"/>
          <w:szCs w:val="16"/>
        </w:rPr>
        <w:t xml:space="preserve">, Apr. 27, 2015; New York Times, </w:t>
      </w:r>
      <w:hyperlink r:id="rId294" w:history="1">
        <w:r w:rsidRPr="001167CB">
          <w:rPr>
            <w:rStyle w:val="Hyperlink"/>
            <w:rFonts w:asciiTheme="majorHAnsi" w:hAnsiTheme="majorHAnsi" w:cstheme="majorHAnsi"/>
            <w:color w:val="808080" w:themeColor="background1" w:themeShade="80"/>
            <w:sz w:val="16"/>
            <w:szCs w:val="16"/>
          </w:rPr>
          <w:t>The Police Officers’ Bill of Rights Creates a Double Standard</w:t>
        </w:r>
      </w:hyperlink>
      <w:r w:rsidRPr="001167CB">
        <w:rPr>
          <w:rFonts w:asciiTheme="majorHAnsi" w:hAnsiTheme="majorHAnsi" w:cstheme="majorHAnsi"/>
          <w:color w:val="808080" w:themeColor="background1" w:themeShade="80"/>
          <w:sz w:val="16"/>
          <w:szCs w:val="16"/>
        </w:rPr>
        <w:t xml:space="preserve">, June 27, 2015; Human Rights Committee, </w:t>
      </w:r>
      <w:hyperlink r:id="rId295" w:history="1">
        <w:r w:rsidRPr="001167CB">
          <w:rPr>
            <w:rStyle w:val="Hyperlink"/>
            <w:rFonts w:asciiTheme="majorHAnsi" w:hAnsiTheme="majorHAnsi" w:cstheme="majorHAnsi"/>
            <w:i/>
            <w:color w:val="808080" w:themeColor="background1" w:themeShade="80"/>
            <w:sz w:val="16"/>
            <w:szCs w:val="16"/>
          </w:rPr>
          <w:t>Report of the Special Rapporteur on the rights to freedom of peaceful assembly and of association on his follow-up Mission to the United States of America</w:t>
        </w:r>
      </w:hyperlink>
      <w:r w:rsidRPr="001167CB">
        <w:rPr>
          <w:rFonts w:asciiTheme="majorHAnsi" w:hAnsiTheme="majorHAnsi" w:cstheme="majorHAnsi"/>
          <w:color w:val="808080" w:themeColor="background1" w:themeShade="80"/>
          <w:sz w:val="16"/>
          <w:szCs w:val="16"/>
        </w:rPr>
        <w:t>, A/HRC/35/28/Add.2, June 12, 2017, para. 41.</w:t>
      </w:r>
    </w:p>
  </w:footnote>
  <w:footnote w:id="238">
    <w:p w14:paraId="484C810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Information received from Robert F. Kennedy (RFK) Human Rights during 156th Period of Sessions, updated Feb. 12, 2016, p. 82 (also available at: </w:t>
      </w:r>
      <w:hyperlink r:id="rId296" w:history="1">
        <w:r w:rsidRPr="001167CB">
          <w:rPr>
            <w:rStyle w:val="Hyperlink"/>
            <w:rFonts w:asciiTheme="majorHAnsi" w:hAnsiTheme="majorHAnsi" w:cstheme="majorHAnsi"/>
            <w:color w:val="808080" w:themeColor="background1" w:themeShade="80"/>
            <w:sz w:val="16"/>
            <w:szCs w:val="16"/>
          </w:rPr>
          <w:t>http://rfkhumanrights.org/media/filer_public/7d/84/7d8409c1-588f-4163-b552-1f6428e685db/iachr_thematic_ hearing_submission_-_excessive_use_of_force_by_police_against_black_americans.pdf</w:t>
        </w:r>
      </w:hyperlink>
      <w:r w:rsidRPr="001167CB">
        <w:rPr>
          <w:rFonts w:asciiTheme="majorHAnsi" w:hAnsiTheme="majorHAnsi" w:cstheme="majorHAnsi"/>
          <w:color w:val="808080" w:themeColor="background1" w:themeShade="80"/>
          <w:sz w:val="16"/>
          <w:szCs w:val="16"/>
        </w:rPr>
        <w:t>) [hereinafter “Excessive Use of Force”].</w:t>
      </w:r>
    </w:p>
  </w:footnote>
  <w:footnote w:id="239">
    <w:p w14:paraId="39FE6D8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Vera Institute of Justice, </w:t>
      </w:r>
      <w:hyperlink r:id="rId297" w:history="1">
        <w:r w:rsidRPr="001167CB">
          <w:rPr>
            <w:rStyle w:val="Hyperlink"/>
            <w:rFonts w:asciiTheme="majorHAnsi" w:hAnsiTheme="majorHAnsi" w:cstheme="majorHAnsi"/>
            <w:color w:val="808080" w:themeColor="background1" w:themeShade="80"/>
            <w:sz w:val="16"/>
            <w:szCs w:val="16"/>
          </w:rPr>
          <w:t>Civilian Oversight of Policing: Lessons from the Literature</w:t>
        </w:r>
      </w:hyperlink>
      <w:r w:rsidRPr="001167CB">
        <w:rPr>
          <w:rFonts w:asciiTheme="majorHAnsi" w:hAnsiTheme="majorHAnsi" w:cstheme="majorHAnsi"/>
          <w:color w:val="808080" w:themeColor="background1" w:themeShade="80"/>
          <w:sz w:val="16"/>
          <w:szCs w:val="16"/>
        </w:rPr>
        <w:t>, May 5-8, 2002.</w:t>
      </w:r>
    </w:p>
  </w:footnote>
  <w:footnote w:id="240">
    <w:p w14:paraId="70BC2C7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RFK Human Rights, </w:t>
      </w:r>
      <w:hyperlink r:id="rId298" w:history="1">
        <w:r w:rsidRPr="001167CB">
          <w:rPr>
            <w:rStyle w:val="Hyperlink"/>
            <w:rFonts w:asciiTheme="majorHAnsi" w:hAnsiTheme="majorHAnsi" w:cstheme="majorHAnsi"/>
            <w:color w:val="808080" w:themeColor="background1" w:themeShade="80"/>
            <w:sz w:val="16"/>
            <w:szCs w:val="16"/>
          </w:rPr>
          <w:t>Excessive Use of Force</w:t>
        </w:r>
      </w:hyperlink>
      <w:r w:rsidRPr="001167CB">
        <w:rPr>
          <w:rFonts w:asciiTheme="majorHAnsi" w:hAnsiTheme="majorHAnsi" w:cstheme="majorHAnsi"/>
          <w:color w:val="808080" w:themeColor="background1" w:themeShade="80"/>
          <w:sz w:val="16"/>
          <w:szCs w:val="16"/>
        </w:rPr>
        <w:t>, updated Feb. 12, 2016, p. 83.</w:t>
      </w:r>
    </w:p>
  </w:footnote>
  <w:footnote w:id="241">
    <w:p w14:paraId="7E03481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 80.</w:t>
      </w:r>
    </w:p>
  </w:footnote>
  <w:footnote w:id="242">
    <w:p w14:paraId="5EF2943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Cato Institute: Policemisconduct.net, </w:t>
      </w:r>
      <w:hyperlink r:id="rId299" w:history="1">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Truth About Police Misconduct Litigation</w:t>
        </w:r>
      </w:hyperlink>
      <w:r w:rsidRPr="001167CB">
        <w:rPr>
          <w:rFonts w:asciiTheme="majorHAnsi" w:hAnsiTheme="majorHAnsi" w:cstheme="majorHAnsi"/>
          <w:color w:val="808080" w:themeColor="background1" w:themeShade="80"/>
          <w:sz w:val="16"/>
          <w:szCs w:val="16"/>
        </w:rPr>
        <w:t>, Feb. 22, 2010.</w:t>
      </w:r>
    </w:p>
  </w:footnote>
  <w:footnote w:id="243">
    <w:p w14:paraId="1B2D02C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244">
    <w:p w14:paraId="28D095B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RFK Human Rights, </w:t>
      </w:r>
      <w:hyperlink r:id="rId300" w:history="1">
        <w:r w:rsidRPr="001167CB">
          <w:rPr>
            <w:rStyle w:val="Hyperlink"/>
            <w:rFonts w:asciiTheme="majorHAnsi" w:hAnsiTheme="majorHAnsi" w:cstheme="majorHAnsi"/>
            <w:color w:val="808080" w:themeColor="background1" w:themeShade="80"/>
            <w:sz w:val="16"/>
            <w:szCs w:val="16"/>
          </w:rPr>
          <w:t>Excessive Use of Force</w:t>
        </w:r>
      </w:hyperlink>
      <w:r w:rsidRPr="001167CB">
        <w:rPr>
          <w:rFonts w:asciiTheme="majorHAnsi" w:hAnsiTheme="majorHAnsi" w:cstheme="majorHAnsi"/>
          <w:color w:val="808080" w:themeColor="background1" w:themeShade="80"/>
          <w:sz w:val="16"/>
          <w:szCs w:val="16"/>
        </w:rPr>
        <w:t>, updated Feb. 12, 2016, p. 80.</w:t>
      </w:r>
    </w:p>
  </w:footnote>
  <w:footnote w:id="245">
    <w:p w14:paraId="650C45E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Free Speech Radio News, </w:t>
      </w:r>
      <w:hyperlink r:id="rId301" w:history="1">
        <w:r w:rsidRPr="001167CB">
          <w:rPr>
            <w:rStyle w:val="Hyperlink"/>
            <w:rFonts w:asciiTheme="majorHAnsi" w:hAnsiTheme="majorHAnsi" w:cstheme="majorHAnsi"/>
            <w:color w:val="808080" w:themeColor="background1" w:themeShade="80"/>
            <w:sz w:val="16"/>
            <w:szCs w:val="16"/>
          </w:rPr>
          <w:t xml:space="preserve">Civil Suits </w:t>
        </w:r>
        <w:proofErr w:type="gramStart"/>
        <w:r w:rsidRPr="001167CB">
          <w:rPr>
            <w:rStyle w:val="Hyperlink"/>
            <w:rFonts w:asciiTheme="majorHAnsi" w:hAnsiTheme="majorHAnsi" w:cstheme="majorHAnsi"/>
            <w:color w:val="808080" w:themeColor="background1" w:themeShade="80"/>
            <w:sz w:val="16"/>
            <w:szCs w:val="16"/>
          </w:rPr>
          <w:t>Against</w:t>
        </w:r>
        <w:proofErr w:type="gramEnd"/>
        <w:r w:rsidRPr="001167CB">
          <w:rPr>
            <w:rStyle w:val="Hyperlink"/>
            <w:rFonts w:asciiTheme="majorHAnsi" w:hAnsiTheme="majorHAnsi" w:cstheme="majorHAnsi"/>
            <w:color w:val="808080" w:themeColor="background1" w:themeShade="80"/>
            <w:sz w:val="16"/>
            <w:szCs w:val="16"/>
          </w:rPr>
          <w:t xml:space="preserve"> Police Cost Taxpayers Millions But Rarely Result in Reforms</w:t>
        </w:r>
      </w:hyperlink>
      <w:r w:rsidRPr="001167CB">
        <w:rPr>
          <w:rFonts w:asciiTheme="majorHAnsi" w:hAnsiTheme="majorHAnsi" w:cstheme="majorHAnsi"/>
          <w:color w:val="808080" w:themeColor="background1" w:themeShade="80"/>
          <w:sz w:val="16"/>
          <w:szCs w:val="16"/>
        </w:rPr>
        <w:t>, June 23, 2015.</w:t>
      </w:r>
    </w:p>
  </w:footnote>
  <w:footnote w:id="246">
    <w:p w14:paraId="22E2802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Wall Street Journal, </w:t>
      </w:r>
      <w:hyperlink r:id="rId302" w:history="1">
        <w:r w:rsidRPr="001167CB">
          <w:rPr>
            <w:rStyle w:val="Hyperlink"/>
            <w:rFonts w:asciiTheme="majorHAnsi" w:hAnsiTheme="majorHAnsi" w:cstheme="majorHAnsi"/>
            <w:color w:val="808080" w:themeColor="background1" w:themeShade="80"/>
            <w:sz w:val="16"/>
            <w:szCs w:val="16"/>
          </w:rPr>
          <w:t>Cost of Police-Misconduct Cases Soars in Big U.S. Cities</w:t>
        </w:r>
      </w:hyperlink>
      <w:r w:rsidRPr="001167CB">
        <w:rPr>
          <w:rFonts w:asciiTheme="majorHAnsi" w:hAnsiTheme="majorHAnsi" w:cstheme="majorHAnsi"/>
          <w:color w:val="808080" w:themeColor="background1" w:themeShade="80"/>
          <w:sz w:val="16"/>
          <w:szCs w:val="16"/>
        </w:rPr>
        <w:t>, July 15, 2015. The ten cities are New York City, Chicago, Los Angeles, Philadelphia, Houston, Washington, D.C., Dallas, Phoenix, Baltimore, and Miami-Dade.</w:t>
      </w:r>
    </w:p>
  </w:footnote>
  <w:footnote w:id="247">
    <w:p w14:paraId="665ABB0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statute requires the State to prove 1) that the defendant acted under color of law; 2) that the defendant acted willfully; 3) that the defendant deprived the victim of a federally protected right OR subjected the victim to different punishment on the basis of alienage, color, or race, and 4) any aggravating circumstances, such as having caused bodily injury or death. </w:t>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18 U.S.C. § 242, available at: </w:t>
      </w:r>
      <w:hyperlink r:id="rId303" w:history="1">
        <w:r w:rsidRPr="001167CB">
          <w:rPr>
            <w:rStyle w:val="Hyperlink"/>
            <w:rFonts w:asciiTheme="majorHAnsi" w:hAnsiTheme="majorHAnsi" w:cstheme="majorHAnsi"/>
            <w:color w:val="808080" w:themeColor="background1" w:themeShade="80"/>
            <w:sz w:val="16"/>
            <w:szCs w:val="16"/>
          </w:rPr>
          <w:t>https://www.law.cornell.edu/uscode/text/18/242</w:t>
        </w:r>
      </w:hyperlink>
      <w:r w:rsidRPr="001167CB">
        <w:rPr>
          <w:rFonts w:asciiTheme="majorHAnsi" w:hAnsiTheme="majorHAnsi" w:cstheme="majorHAnsi"/>
          <w:color w:val="808080" w:themeColor="background1" w:themeShade="80"/>
          <w:sz w:val="16"/>
          <w:szCs w:val="16"/>
        </w:rPr>
        <w:t xml:space="preserve">. </w:t>
      </w:r>
    </w:p>
  </w:footnote>
  <w:footnote w:id="248">
    <w:p w14:paraId="41C595C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Slate, </w:t>
      </w:r>
      <w:hyperlink r:id="rId304" w:history="1">
        <w:r w:rsidRPr="001167CB">
          <w:rPr>
            <w:rStyle w:val="Hyperlink"/>
            <w:rFonts w:asciiTheme="majorHAnsi" w:hAnsiTheme="majorHAnsi" w:cstheme="majorHAnsi"/>
            <w:color w:val="808080" w:themeColor="background1" w:themeShade="80"/>
            <w:sz w:val="16"/>
            <w:szCs w:val="16"/>
          </w:rPr>
          <w:t>Will Justice Department Charge Darren Wilson?</w:t>
        </w:r>
      </w:hyperlink>
      <w:r w:rsidRPr="001167CB">
        <w:rPr>
          <w:rFonts w:asciiTheme="majorHAnsi" w:hAnsiTheme="majorHAnsi" w:cstheme="majorHAnsi"/>
          <w:color w:val="808080" w:themeColor="background1" w:themeShade="80"/>
          <w:sz w:val="16"/>
          <w:szCs w:val="16"/>
        </w:rPr>
        <w:t>, Mar. 14, 2015.</w:t>
      </w:r>
    </w:p>
  </w:footnote>
  <w:footnote w:id="249">
    <w:p w14:paraId="540F701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POLITICO, </w:t>
      </w:r>
      <w:hyperlink r:id="rId305" w:history="1">
        <w:r w:rsidRPr="001167CB">
          <w:rPr>
            <w:rStyle w:val="Hyperlink"/>
            <w:rFonts w:asciiTheme="majorHAnsi" w:hAnsiTheme="majorHAnsi" w:cstheme="majorHAnsi"/>
            <w:color w:val="808080" w:themeColor="background1" w:themeShade="80"/>
            <w:sz w:val="16"/>
            <w:szCs w:val="16"/>
          </w:rPr>
          <w:t>Holder's parting shot: It's too hard to bring civil rights cases</w:t>
        </w:r>
      </w:hyperlink>
      <w:r w:rsidRPr="001167CB">
        <w:rPr>
          <w:rFonts w:asciiTheme="majorHAnsi" w:hAnsiTheme="majorHAnsi" w:cstheme="majorHAnsi"/>
          <w:color w:val="808080" w:themeColor="background1" w:themeShade="80"/>
          <w:sz w:val="16"/>
          <w:szCs w:val="16"/>
        </w:rPr>
        <w:t>, Feb. 27, 2015.</w:t>
      </w:r>
    </w:p>
  </w:footnote>
  <w:footnote w:id="250">
    <w:p w14:paraId="6F4B43A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RFK Human Rights, </w:t>
      </w:r>
      <w:hyperlink r:id="rId306" w:history="1">
        <w:r w:rsidRPr="001167CB">
          <w:rPr>
            <w:rStyle w:val="Hyperlink"/>
            <w:rFonts w:asciiTheme="majorHAnsi" w:hAnsiTheme="majorHAnsi" w:cstheme="majorHAnsi"/>
            <w:color w:val="808080" w:themeColor="background1" w:themeShade="80"/>
            <w:sz w:val="16"/>
            <w:szCs w:val="16"/>
          </w:rPr>
          <w:t>Excessive Use of Force</w:t>
        </w:r>
      </w:hyperlink>
      <w:r w:rsidRPr="001167CB">
        <w:rPr>
          <w:rFonts w:asciiTheme="majorHAnsi" w:hAnsiTheme="majorHAnsi" w:cstheme="majorHAnsi"/>
          <w:color w:val="808080" w:themeColor="background1" w:themeShade="80"/>
          <w:sz w:val="16"/>
          <w:szCs w:val="16"/>
        </w:rPr>
        <w:t>, updated Feb. 12, 2016, p. 84-85.</w:t>
      </w:r>
    </w:p>
  </w:footnote>
  <w:footnote w:id="251">
    <w:p w14:paraId="356EFA5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156th Period of Sessions, </w:t>
      </w:r>
      <w:hyperlink r:id="rId307" w:history="1">
        <w:r w:rsidRPr="001167CB">
          <w:rPr>
            <w:rStyle w:val="Hyperlink"/>
            <w:rFonts w:asciiTheme="majorHAnsi" w:hAnsiTheme="majorHAnsi" w:cstheme="majorHAnsi"/>
            <w:bCs/>
            <w:color w:val="808080" w:themeColor="background1" w:themeShade="80"/>
            <w:sz w:val="16"/>
            <w:szCs w:val="16"/>
          </w:rPr>
          <w:t>“Police Killings”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23, 2015</w:t>
      </w:r>
      <w:r w:rsidRPr="001167CB">
        <w:rPr>
          <w:rFonts w:asciiTheme="majorHAnsi" w:hAnsiTheme="majorHAnsi" w:cstheme="majorHAnsi"/>
          <w:color w:val="808080" w:themeColor="background1" w:themeShade="80"/>
          <w:sz w:val="16"/>
          <w:szCs w:val="16"/>
        </w:rPr>
        <w:t>.</w:t>
      </w:r>
    </w:p>
  </w:footnote>
  <w:footnote w:id="252">
    <w:p w14:paraId="7D87B18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308"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w:t>
      </w:r>
    </w:p>
  </w:footnote>
  <w:footnote w:id="253">
    <w:p w14:paraId="59B1750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e.g.,</w:t>
      </w:r>
      <w:r w:rsidRPr="001167CB">
        <w:rPr>
          <w:rFonts w:asciiTheme="majorHAnsi" w:hAnsiTheme="majorHAnsi" w:cstheme="majorHAnsi"/>
          <w:color w:val="808080" w:themeColor="background1" w:themeShade="80"/>
          <w:sz w:val="16"/>
          <w:szCs w:val="16"/>
        </w:rPr>
        <w:t xml:space="preserve"> Justin Hansford, </w:t>
      </w:r>
      <w:hyperlink r:id="rId309" w:history="1">
        <w:r w:rsidRPr="001167CB">
          <w:rPr>
            <w:rStyle w:val="Hyperlink"/>
            <w:rFonts w:asciiTheme="majorHAnsi" w:hAnsiTheme="majorHAnsi" w:cstheme="majorHAnsi"/>
            <w:color w:val="808080" w:themeColor="background1" w:themeShade="80"/>
            <w:sz w:val="16"/>
            <w:szCs w:val="16"/>
          </w:rPr>
          <w:t>The First Amendment Freedom of Assembly as a Racial Project</w:t>
        </w:r>
      </w:hyperlink>
      <w:r w:rsidRPr="001167CB">
        <w:rPr>
          <w:rFonts w:asciiTheme="majorHAnsi" w:hAnsiTheme="majorHAnsi" w:cstheme="majorHAnsi"/>
          <w:color w:val="808080" w:themeColor="background1" w:themeShade="80"/>
          <w:sz w:val="16"/>
          <w:szCs w:val="16"/>
        </w:rPr>
        <w:t>, 127 Yale L.J. Forum, Jan. 20, 2018.</w:t>
      </w:r>
    </w:p>
  </w:footnote>
  <w:footnote w:id="254">
    <w:p w14:paraId="07E3A5B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e.g.</w:t>
      </w:r>
      <w:r w:rsidRPr="001167CB">
        <w:rPr>
          <w:rFonts w:asciiTheme="majorHAnsi" w:hAnsiTheme="majorHAnsi" w:cstheme="majorHAnsi"/>
          <w:color w:val="808080" w:themeColor="background1" w:themeShade="80"/>
          <w:sz w:val="16"/>
          <w:szCs w:val="16"/>
        </w:rPr>
        <w:t xml:space="preserve">, IACHR, 166th Period of Sessions, </w:t>
      </w:r>
      <w:proofErr w:type="gramStart"/>
      <w:r w:rsidRPr="001167CB">
        <w:rPr>
          <w:rFonts w:asciiTheme="majorHAnsi" w:hAnsiTheme="majorHAnsi" w:cstheme="majorHAnsi"/>
          <w:color w:val="808080" w:themeColor="background1" w:themeShade="80"/>
          <w:sz w:val="16"/>
          <w:szCs w:val="16"/>
        </w:rPr>
        <w:t>Thematic</w:t>
      </w:r>
      <w:proofErr w:type="gramEnd"/>
      <w:r w:rsidRPr="001167CB">
        <w:rPr>
          <w:rFonts w:asciiTheme="majorHAnsi" w:hAnsiTheme="majorHAnsi" w:cstheme="majorHAnsi"/>
          <w:color w:val="808080" w:themeColor="background1" w:themeShade="80"/>
          <w:sz w:val="16"/>
          <w:szCs w:val="16"/>
        </w:rPr>
        <w:t xml:space="preserve"> Hearing: Rights to association, peaceful assembly and freedom of expression in the United States, Oct. 27, 2014. Video of hearing available at: </w:t>
      </w:r>
      <w:hyperlink r:id="rId310" w:history="1">
        <w:r w:rsidRPr="001167CB">
          <w:rPr>
            <w:rStyle w:val="Hyperlink"/>
            <w:rFonts w:asciiTheme="majorHAnsi" w:hAnsiTheme="majorHAnsi" w:cstheme="majorHAnsi"/>
            <w:color w:val="808080" w:themeColor="background1" w:themeShade="80"/>
            <w:sz w:val="16"/>
            <w:szCs w:val="16"/>
          </w:rPr>
          <w:t>https://www.youtube.com/watch?v=yft7VCzxXUg</w:t>
        </w:r>
      </w:hyperlink>
      <w:r w:rsidRPr="001167CB">
        <w:rPr>
          <w:rFonts w:asciiTheme="majorHAnsi" w:hAnsiTheme="majorHAnsi" w:cstheme="majorHAnsi"/>
          <w:color w:val="808080" w:themeColor="background1" w:themeShade="80"/>
          <w:sz w:val="16"/>
          <w:szCs w:val="16"/>
        </w:rPr>
        <w:t>.</w:t>
      </w:r>
    </w:p>
  </w:footnote>
  <w:footnote w:id="255">
    <w:p w14:paraId="435980A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Human Rights Committee, </w:t>
      </w:r>
      <w:hyperlink r:id="rId311" w:history="1">
        <w:r w:rsidRPr="001167CB">
          <w:rPr>
            <w:rStyle w:val="Hyperlink"/>
            <w:rFonts w:asciiTheme="majorHAnsi" w:hAnsiTheme="majorHAnsi" w:cstheme="majorHAnsi"/>
            <w:i/>
            <w:color w:val="808080" w:themeColor="background1" w:themeShade="80"/>
            <w:sz w:val="16"/>
            <w:szCs w:val="16"/>
          </w:rPr>
          <w:t>Report of the Special Rapporteur on the rights to freedom of peaceful assembly and of association on his follow-up Mission to the United States of America</w:t>
        </w:r>
      </w:hyperlink>
      <w:r w:rsidRPr="001167CB">
        <w:rPr>
          <w:rFonts w:asciiTheme="majorHAnsi" w:hAnsiTheme="majorHAnsi" w:cstheme="majorHAnsi"/>
          <w:color w:val="808080" w:themeColor="background1" w:themeShade="80"/>
          <w:sz w:val="16"/>
          <w:szCs w:val="16"/>
        </w:rPr>
        <w:t xml:space="preserve">, A/HRC/35/28/Add.2, June 12, 2017, para. 36. </w:t>
      </w:r>
    </w:p>
  </w:footnote>
  <w:footnote w:id="256">
    <w:p w14:paraId="5BAA37D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312"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w:t>
      </w:r>
    </w:p>
  </w:footnote>
  <w:footnote w:id="257">
    <w:p w14:paraId="2C2D793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CNN, </w:t>
      </w:r>
      <w:hyperlink r:id="rId313" w:history="1">
        <w:r w:rsidRPr="001167CB">
          <w:rPr>
            <w:rStyle w:val="Hyperlink"/>
            <w:rFonts w:asciiTheme="majorHAnsi" w:hAnsiTheme="majorHAnsi" w:cstheme="majorHAnsi"/>
            <w:color w:val="808080" w:themeColor="background1" w:themeShade="80"/>
            <w:sz w:val="16"/>
            <w:szCs w:val="16"/>
          </w:rPr>
          <w:t>Who was arrested in Ferguson?</w:t>
        </w:r>
      </w:hyperlink>
      <w:r w:rsidRPr="001167CB">
        <w:rPr>
          <w:rFonts w:asciiTheme="majorHAnsi" w:hAnsiTheme="majorHAnsi" w:cstheme="majorHAnsi"/>
          <w:color w:val="808080" w:themeColor="background1" w:themeShade="80"/>
          <w:sz w:val="16"/>
          <w:szCs w:val="16"/>
        </w:rPr>
        <w:t xml:space="preserve">, Aug. 22, 2014; </w:t>
      </w:r>
      <w:r w:rsidRPr="001167CB">
        <w:rPr>
          <w:rFonts w:asciiTheme="majorHAnsi" w:hAnsiTheme="majorHAnsi" w:cstheme="majorHAnsi"/>
          <w:i/>
          <w:color w:val="808080" w:themeColor="background1" w:themeShade="80"/>
          <w:sz w:val="16"/>
          <w:szCs w:val="16"/>
        </w:rPr>
        <w:t>Ferguson Crisis: Arrest Data 8/10-8/22</w:t>
      </w:r>
      <w:r w:rsidRPr="001167CB">
        <w:rPr>
          <w:rFonts w:asciiTheme="majorHAnsi" w:hAnsiTheme="majorHAnsi" w:cstheme="majorHAnsi"/>
          <w:color w:val="808080" w:themeColor="background1" w:themeShade="80"/>
          <w:sz w:val="16"/>
          <w:szCs w:val="16"/>
        </w:rPr>
        <w:t xml:space="preserve">, available at: </w:t>
      </w:r>
      <w:hyperlink r:id="rId314" w:history="1">
        <w:r w:rsidRPr="001167CB">
          <w:rPr>
            <w:rStyle w:val="Hyperlink"/>
            <w:rFonts w:asciiTheme="majorHAnsi" w:hAnsiTheme="majorHAnsi" w:cstheme="majorHAnsi"/>
            <w:color w:val="808080" w:themeColor="background1" w:themeShade="80"/>
            <w:sz w:val="16"/>
            <w:szCs w:val="16"/>
          </w:rPr>
          <w:t>http://i2.cdn.turner.com/cnn/2014/images/08/22/arrest.data.from.8-10.to.8-22.pdf</w:t>
        </w:r>
      </w:hyperlink>
      <w:r w:rsidRPr="001167CB">
        <w:rPr>
          <w:rFonts w:asciiTheme="majorHAnsi" w:hAnsiTheme="majorHAnsi" w:cstheme="majorHAnsi"/>
          <w:color w:val="808080" w:themeColor="background1" w:themeShade="80"/>
          <w:sz w:val="16"/>
          <w:szCs w:val="16"/>
        </w:rPr>
        <w:t xml:space="preserve">. </w:t>
      </w:r>
    </w:p>
  </w:footnote>
  <w:footnote w:id="258">
    <w:p w14:paraId="679016B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315"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w:t>
      </w:r>
    </w:p>
  </w:footnote>
  <w:footnote w:id="259">
    <w:p w14:paraId="1DC414E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Amnesty International, </w:t>
      </w:r>
      <w:hyperlink r:id="rId316" w:history="1">
        <w:r w:rsidRPr="001167CB">
          <w:rPr>
            <w:rStyle w:val="Hyperlink"/>
            <w:rFonts w:asciiTheme="majorHAnsi" w:hAnsiTheme="majorHAnsi" w:cstheme="majorHAnsi"/>
            <w:color w:val="808080" w:themeColor="background1" w:themeShade="80"/>
            <w:sz w:val="16"/>
            <w:szCs w:val="16"/>
          </w:rPr>
          <w:t>On the Streets of America: Human Rights Abuses in Ferguson</w:t>
        </w:r>
      </w:hyperlink>
      <w:r w:rsidRPr="001167CB">
        <w:rPr>
          <w:rFonts w:asciiTheme="majorHAnsi" w:hAnsiTheme="majorHAnsi" w:cstheme="majorHAnsi"/>
          <w:color w:val="808080" w:themeColor="background1" w:themeShade="80"/>
          <w:sz w:val="16"/>
          <w:szCs w:val="16"/>
        </w:rPr>
        <w:t>, 2014.</w:t>
      </w:r>
    </w:p>
  </w:footnote>
  <w:footnote w:id="260">
    <w:p w14:paraId="0662415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Mustafa Abdullah vs. County of St. Louis, et al. (E.D. MO, 2014), available at: </w:t>
      </w:r>
      <w:hyperlink r:id="rId317" w:history="1">
        <w:r w:rsidRPr="001167CB">
          <w:rPr>
            <w:rStyle w:val="Hyperlink"/>
            <w:rFonts w:asciiTheme="majorHAnsi" w:hAnsiTheme="majorHAnsi" w:cstheme="majorHAnsi"/>
            <w:color w:val="808080" w:themeColor="background1" w:themeShade="80"/>
            <w:sz w:val="16"/>
            <w:szCs w:val="16"/>
          </w:rPr>
          <w:t>https://s3.amazonaws.com/s3.document cloud.org/documents/1310115/5-second-rule-injunction.pdf</w:t>
        </w:r>
      </w:hyperlink>
      <w:r w:rsidRPr="001167CB">
        <w:rPr>
          <w:rFonts w:asciiTheme="majorHAnsi" w:hAnsiTheme="majorHAnsi" w:cstheme="majorHAnsi"/>
          <w:color w:val="808080" w:themeColor="background1" w:themeShade="80"/>
          <w:sz w:val="16"/>
          <w:szCs w:val="16"/>
        </w:rPr>
        <w:t xml:space="preserve">; Washington Post. </w:t>
      </w:r>
      <w:hyperlink r:id="rId318" w:history="1">
        <w:r w:rsidRPr="001167CB">
          <w:rPr>
            <w:rStyle w:val="Hyperlink"/>
            <w:rFonts w:asciiTheme="majorHAnsi" w:hAnsiTheme="majorHAnsi" w:cstheme="majorHAnsi"/>
            <w:color w:val="808080" w:themeColor="background1" w:themeShade="80"/>
            <w:sz w:val="16"/>
            <w:szCs w:val="16"/>
          </w:rPr>
          <w:t>Federal Judges Tossed 5 second rule being used by Police in Ferguson Protests</w:t>
        </w:r>
      </w:hyperlink>
      <w:r w:rsidRPr="001167CB">
        <w:rPr>
          <w:rFonts w:asciiTheme="majorHAnsi" w:hAnsiTheme="majorHAnsi" w:cstheme="majorHAnsi"/>
          <w:color w:val="808080" w:themeColor="background1" w:themeShade="80"/>
          <w:sz w:val="16"/>
          <w:szCs w:val="16"/>
        </w:rPr>
        <w:t xml:space="preserve">. Oct. 6, 2014; </w:t>
      </w:r>
      <w:proofErr w:type="gramStart"/>
      <w:r w:rsidRPr="001167CB">
        <w:rPr>
          <w:rFonts w:asciiTheme="majorHAnsi" w:hAnsiTheme="majorHAnsi" w:cstheme="majorHAnsi"/>
          <w:i/>
          <w:color w:val="808080" w:themeColor="background1" w:themeShade="80"/>
          <w:sz w:val="16"/>
          <w:szCs w:val="16"/>
        </w:rPr>
        <w:t>See</w:t>
      </w:r>
      <w:proofErr w:type="gramEnd"/>
      <w:r w:rsidRPr="001167CB">
        <w:rPr>
          <w:rFonts w:asciiTheme="majorHAnsi" w:hAnsiTheme="majorHAnsi" w:cstheme="majorHAnsi"/>
          <w:i/>
          <w:color w:val="808080" w:themeColor="background1" w:themeShade="80"/>
          <w:sz w:val="16"/>
          <w:szCs w:val="16"/>
        </w:rPr>
        <w:t xml:space="preserve"> also </w:t>
      </w:r>
      <w:r w:rsidRPr="001167CB">
        <w:rPr>
          <w:rFonts w:asciiTheme="majorHAnsi" w:hAnsiTheme="majorHAnsi" w:cstheme="majorHAnsi"/>
          <w:color w:val="808080" w:themeColor="background1" w:themeShade="80"/>
          <w:sz w:val="16"/>
          <w:szCs w:val="16"/>
        </w:rPr>
        <w:t xml:space="preserve">IACHR, </w:t>
      </w:r>
      <w:hyperlink r:id="rId319"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Mar. 17, 2016, para. 124.</w:t>
      </w:r>
    </w:p>
  </w:footnote>
  <w:footnote w:id="261">
    <w:p w14:paraId="0AA18EB6" w14:textId="77777777" w:rsidR="005C2394" w:rsidRPr="001167CB" w:rsidRDefault="005C2394" w:rsidP="00002F47">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153d Period of Sessions, </w:t>
      </w:r>
      <w:hyperlink r:id="rId320" w:history="1">
        <w:r w:rsidRPr="001167CB">
          <w:rPr>
            <w:rStyle w:val="Hyperlink"/>
            <w:rFonts w:asciiTheme="majorHAnsi" w:hAnsiTheme="majorHAnsi" w:cstheme="majorHAnsi"/>
            <w:bCs/>
            <w:color w:val="808080" w:themeColor="background1" w:themeShade="80"/>
            <w:sz w:val="16"/>
            <w:szCs w:val="16"/>
          </w:rPr>
          <w:t>“Racism in the Justice System”</w:t>
        </w:r>
      </w:hyperlink>
      <w:r w:rsidRPr="001167CB">
        <w:rPr>
          <w:rFonts w:asciiTheme="majorHAnsi" w:hAnsiTheme="majorHAnsi" w:cstheme="majorHAnsi"/>
          <w:bCs/>
          <w:color w:val="808080" w:themeColor="background1" w:themeShade="80"/>
          <w:sz w:val="16"/>
          <w:szCs w:val="16"/>
        </w:rPr>
        <w:t xml:space="preserve"> Hearing,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27, 2014</w:t>
      </w:r>
      <w:r w:rsidRPr="001167CB">
        <w:rPr>
          <w:rFonts w:asciiTheme="majorHAnsi" w:hAnsiTheme="majorHAnsi" w:cstheme="majorHAnsi"/>
          <w:color w:val="808080" w:themeColor="background1" w:themeShade="80"/>
          <w:sz w:val="16"/>
          <w:szCs w:val="16"/>
        </w:rPr>
        <w:t>.</w:t>
      </w:r>
    </w:p>
  </w:footnote>
  <w:footnote w:id="262">
    <w:p w14:paraId="404650D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LA Times. </w:t>
      </w:r>
      <w:hyperlink r:id="rId321" w:history="1">
        <w:r w:rsidRPr="001167CB">
          <w:rPr>
            <w:rStyle w:val="Hyperlink"/>
            <w:rFonts w:asciiTheme="majorHAnsi" w:hAnsiTheme="majorHAnsi" w:cstheme="majorHAnsi"/>
            <w:color w:val="808080" w:themeColor="background1" w:themeShade="80"/>
            <w:sz w:val="16"/>
            <w:szCs w:val="16"/>
          </w:rPr>
          <w:t>California unrest: Dozens arrested after Michael Brown decision</w:t>
        </w:r>
      </w:hyperlink>
      <w:r w:rsidRPr="001167CB">
        <w:rPr>
          <w:rFonts w:asciiTheme="majorHAnsi" w:hAnsiTheme="majorHAnsi" w:cstheme="majorHAnsi"/>
          <w:color w:val="808080" w:themeColor="background1" w:themeShade="80"/>
          <w:sz w:val="16"/>
          <w:szCs w:val="16"/>
        </w:rPr>
        <w:t>. Nov. 25, 2014.</w:t>
      </w:r>
    </w:p>
  </w:footnote>
  <w:footnote w:id="263">
    <w:p w14:paraId="64988B1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322"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Mar. 17, 2016, para. 125.</w:t>
      </w:r>
    </w:p>
  </w:footnote>
  <w:footnote w:id="264">
    <w:p w14:paraId="4B1C1425" w14:textId="0AA4AEB5"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Washington Post, </w:t>
      </w:r>
      <w:hyperlink r:id="rId323" w:history="1">
        <w:r w:rsidRPr="001167CB">
          <w:rPr>
            <w:rStyle w:val="Hyperlink"/>
            <w:rFonts w:asciiTheme="majorHAnsi" w:hAnsiTheme="majorHAnsi" w:cstheme="majorHAnsi"/>
            <w:color w:val="808080" w:themeColor="background1" w:themeShade="80"/>
            <w:sz w:val="16"/>
            <w:szCs w:val="16"/>
          </w:rPr>
          <w:t>Obama orders review of military equipment supplied to police</w:t>
        </w:r>
      </w:hyperlink>
      <w:r w:rsidRPr="001167CB">
        <w:rPr>
          <w:rStyle w:val="Hyperlink"/>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rPr>
        <w:t xml:space="preserve"> Aug. 23, 2014; Washington Post. </w:t>
      </w:r>
      <w:hyperlink r:id="rId324" w:history="1">
        <w:r w:rsidRPr="001167CB">
          <w:rPr>
            <w:rStyle w:val="Hyperlink"/>
            <w:rFonts w:asciiTheme="majorHAnsi" w:hAnsiTheme="majorHAnsi" w:cstheme="majorHAnsi"/>
            <w:color w:val="808080" w:themeColor="background1" w:themeShade="80"/>
            <w:sz w:val="16"/>
            <w:szCs w:val="16"/>
          </w:rPr>
          <w:t>The Pentagon gave nearly half a billion dollars of military gear to local law enforcement last year</w:t>
        </w:r>
      </w:hyperlink>
      <w:r w:rsidRPr="001167CB">
        <w:rPr>
          <w:rFonts w:asciiTheme="majorHAnsi" w:hAnsiTheme="majorHAnsi" w:cstheme="majorHAnsi"/>
          <w:color w:val="808080" w:themeColor="background1" w:themeShade="80"/>
          <w:sz w:val="16"/>
          <w:szCs w:val="16"/>
        </w:rPr>
        <w:t xml:space="preserve">, Aug. 14, 2014. </w:t>
      </w:r>
      <w:r w:rsidRPr="001167CB">
        <w:rPr>
          <w:rFonts w:asciiTheme="majorHAnsi" w:hAnsiTheme="majorHAnsi" w:cstheme="majorHAnsi"/>
          <w:i/>
          <w:color w:val="808080" w:themeColor="background1" w:themeShade="80"/>
          <w:sz w:val="16"/>
          <w:szCs w:val="16"/>
        </w:rPr>
        <w:t>See supra</w:t>
      </w:r>
      <w:r w:rsidRPr="001167CB">
        <w:rPr>
          <w:rFonts w:asciiTheme="majorHAnsi" w:hAnsiTheme="majorHAnsi" w:cstheme="majorHAnsi"/>
          <w:color w:val="808080" w:themeColor="background1" w:themeShade="80"/>
          <w:sz w:val="16"/>
          <w:szCs w:val="16"/>
        </w:rPr>
        <w:t xml:space="preserve"> paras.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_Ref507148704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66</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_Ref507153340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87</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_Ref507153342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89</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265">
    <w:p w14:paraId="0F3DAAC8" w14:textId="77777777"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ACLU.  </w:t>
      </w:r>
      <w:hyperlink r:id="rId325" w:history="1">
        <w:r w:rsidRPr="001167CB">
          <w:rPr>
            <w:rStyle w:val="Hyperlink"/>
            <w:rFonts w:asciiTheme="majorHAnsi" w:hAnsiTheme="majorHAnsi" w:cstheme="majorHAnsi"/>
            <w:color w:val="808080" w:themeColor="background1" w:themeShade="80"/>
            <w:sz w:val="16"/>
            <w:szCs w:val="16"/>
            <w:lang w:val="en"/>
          </w:rPr>
          <w:t xml:space="preserve">365 Days and 605 Armored Military Vehicles Later: Police Militarization a Year </w:t>
        </w:r>
        <w:proofErr w:type="gramStart"/>
        <w:r w:rsidRPr="001167CB">
          <w:rPr>
            <w:rStyle w:val="Hyperlink"/>
            <w:rFonts w:asciiTheme="majorHAnsi" w:hAnsiTheme="majorHAnsi" w:cstheme="majorHAnsi"/>
            <w:color w:val="808080" w:themeColor="background1" w:themeShade="80"/>
            <w:sz w:val="16"/>
            <w:szCs w:val="16"/>
            <w:lang w:val="en"/>
          </w:rPr>
          <w:t>After</w:t>
        </w:r>
        <w:proofErr w:type="gramEnd"/>
        <w:r w:rsidRPr="001167CB">
          <w:rPr>
            <w:rStyle w:val="Hyperlink"/>
            <w:rFonts w:asciiTheme="majorHAnsi" w:hAnsiTheme="majorHAnsi" w:cstheme="majorHAnsi"/>
            <w:color w:val="808080" w:themeColor="background1" w:themeShade="80"/>
            <w:sz w:val="16"/>
            <w:szCs w:val="16"/>
            <w:lang w:val="en"/>
          </w:rPr>
          <w:t xml:space="preserve"> Ferguson</w:t>
        </w:r>
      </w:hyperlink>
      <w:r w:rsidRPr="001167CB">
        <w:rPr>
          <w:rFonts w:asciiTheme="majorHAnsi" w:hAnsiTheme="majorHAnsi" w:cstheme="majorHAnsi"/>
          <w:color w:val="808080" w:themeColor="background1" w:themeShade="80"/>
          <w:sz w:val="16"/>
          <w:szCs w:val="16"/>
          <w:lang w:val="en"/>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color w:val="808080" w:themeColor="background1" w:themeShade="80"/>
          <w:sz w:val="16"/>
          <w:szCs w:val="16"/>
          <w:lang w:val="en"/>
        </w:rPr>
        <w:t xml:space="preserve">2015. </w:t>
      </w:r>
    </w:p>
  </w:footnote>
  <w:footnote w:id="266">
    <w:p w14:paraId="4BCD7E3E" w14:textId="77777777"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Amnesty International, </w:t>
      </w:r>
      <w:hyperlink r:id="rId326" w:history="1">
        <w:r w:rsidRPr="001167CB">
          <w:rPr>
            <w:rStyle w:val="Hyperlink"/>
            <w:rFonts w:asciiTheme="majorHAnsi" w:hAnsiTheme="majorHAnsi" w:cstheme="majorHAnsi"/>
            <w:color w:val="808080" w:themeColor="background1" w:themeShade="80"/>
            <w:sz w:val="16"/>
            <w:szCs w:val="16"/>
          </w:rPr>
          <w:t>On the Streets of America: Human Rights Abuses in Ferguson</w:t>
        </w:r>
      </w:hyperlink>
      <w:r w:rsidRPr="001167CB">
        <w:rPr>
          <w:rFonts w:asciiTheme="majorHAnsi" w:hAnsiTheme="majorHAnsi" w:cstheme="majorHAnsi"/>
          <w:color w:val="808080" w:themeColor="background1" w:themeShade="80"/>
          <w:sz w:val="16"/>
          <w:szCs w:val="16"/>
        </w:rPr>
        <w:t>, 2014.</w:t>
      </w:r>
    </w:p>
  </w:footnote>
  <w:footnote w:id="267">
    <w:p w14:paraId="2570E43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Washington Post. </w:t>
      </w:r>
      <w:hyperlink r:id="rId327" w:history="1">
        <w:r w:rsidRPr="001167CB">
          <w:rPr>
            <w:rStyle w:val="Hyperlink"/>
            <w:rFonts w:asciiTheme="majorHAnsi" w:hAnsiTheme="majorHAnsi" w:cstheme="majorHAnsi"/>
            <w:color w:val="808080" w:themeColor="background1" w:themeShade="80"/>
            <w:sz w:val="16"/>
            <w:szCs w:val="16"/>
          </w:rPr>
          <w:t>Accurately Charging People Arrested in Baltimore Proves to be Legal Challenge</w:t>
        </w:r>
      </w:hyperlink>
      <w:r w:rsidRPr="001167CB">
        <w:rPr>
          <w:rFonts w:asciiTheme="majorHAnsi" w:hAnsiTheme="majorHAnsi" w:cstheme="majorHAnsi"/>
          <w:color w:val="808080" w:themeColor="background1" w:themeShade="80"/>
          <w:sz w:val="16"/>
          <w:szCs w:val="16"/>
        </w:rPr>
        <w:t>. May 4, 2015.</w:t>
      </w:r>
    </w:p>
  </w:footnote>
  <w:footnote w:id="268">
    <w:p w14:paraId="76F00E0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NBC News. </w:t>
      </w:r>
      <w:hyperlink r:id="rId328" w:history="1">
        <w:r w:rsidRPr="001167CB">
          <w:rPr>
            <w:rStyle w:val="Hyperlink"/>
            <w:rFonts w:asciiTheme="majorHAnsi" w:hAnsiTheme="majorHAnsi" w:cstheme="majorHAnsi"/>
            <w:color w:val="808080" w:themeColor="background1" w:themeShade="80"/>
            <w:sz w:val="16"/>
            <w:szCs w:val="16"/>
          </w:rPr>
          <w:t>Freddie Gray Protests Spread Beyond Baltimore, 100 Arrested in New York</w:t>
        </w:r>
      </w:hyperlink>
      <w:r w:rsidRPr="001167CB">
        <w:rPr>
          <w:rFonts w:asciiTheme="majorHAnsi" w:hAnsiTheme="majorHAnsi" w:cstheme="majorHAnsi"/>
          <w:color w:val="808080" w:themeColor="background1" w:themeShade="80"/>
          <w:sz w:val="16"/>
          <w:szCs w:val="16"/>
        </w:rPr>
        <w:t xml:space="preserve">. Apr. 30, 2015. IACHR, </w:t>
      </w:r>
      <w:hyperlink r:id="rId329"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Mar. 17, 2016, para. 126.</w:t>
      </w:r>
    </w:p>
  </w:footnote>
  <w:footnote w:id="269">
    <w:p w14:paraId="72584DD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w:t>
      </w:r>
      <w:r w:rsidRPr="001167CB">
        <w:rPr>
          <w:rFonts w:asciiTheme="majorHAnsi" w:hAnsiTheme="majorHAnsi" w:cstheme="majorHAnsi"/>
          <w:color w:val="808080" w:themeColor="background1" w:themeShade="80"/>
          <w:sz w:val="16"/>
          <w:szCs w:val="16"/>
        </w:rPr>
        <w:t xml:space="preserve">IACHR, </w:t>
      </w:r>
      <w:hyperlink r:id="rId330" w:history="1">
        <w:r w:rsidRPr="001167CB">
          <w:rPr>
            <w:rStyle w:val="Hyperlink"/>
            <w:rFonts w:asciiTheme="majorHAnsi" w:hAnsiTheme="majorHAnsi" w:cstheme="majorHAnsi"/>
            <w:color w:val="808080" w:themeColor="background1" w:themeShade="80"/>
            <w:sz w:val="16"/>
            <w:szCs w:val="16"/>
          </w:rPr>
          <w:t xml:space="preserve">Annual Report 2015, </w:t>
        </w:r>
        <w:proofErr w:type="gramStart"/>
        <w:r w:rsidRPr="001167CB">
          <w:rPr>
            <w:rStyle w:val="Hyperlink"/>
            <w:rFonts w:asciiTheme="majorHAnsi" w:hAnsiTheme="majorHAnsi" w:cstheme="majorHAnsi"/>
            <w:color w:val="808080" w:themeColor="background1" w:themeShade="80"/>
            <w:sz w:val="16"/>
            <w:szCs w:val="16"/>
          </w:rPr>
          <w:t>Chapter</w:t>
        </w:r>
        <w:proofErr w:type="gramEnd"/>
        <w:r w:rsidRPr="001167CB">
          <w:rPr>
            <w:rStyle w:val="Hyperlink"/>
            <w:rFonts w:asciiTheme="majorHAnsi" w:hAnsiTheme="majorHAnsi" w:cstheme="majorHAnsi"/>
            <w:color w:val="808080" w:themeColor="background1" w:themeShade="80"/>
            <w:sz w:val="16"/>
            <w:szCs w:val="16"/>
          </w:rPr>
          <w:t xml:space="preserve"> IV: The Use of Force</w:t>
        </w:r>
      </w:hyperlink>
      <w:r w:rsidRPr="001167CB">
        <w:rPr>
          <w:rFonts w:asciiTheme="majorHAnsi" w:hAnsiTheme="majorHAnsi" w:cstheme="majorHAnsi"/>
          <w:color w:val="808080" w:themeColor="background1" w:themeShade="80"/>
          <w:sz w:val="16"/>
          <w:szCs w:val="16"/>
        </w:rPr>
        <w:t>, Mar. 17, 2016, para. 175.</w:t>
      </w:r>
    </w:p>
  </w:footnote>
  <w:footnote w:id="270">
    <w:p w14:paraId="40AFC6D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Guardian, </w:t>
      </w:r>
      <w:hyperlink r:id="rId331" w:history="1">
        <w:r w:rsidRPr="001167CB">
          <w:rPr>
            <w:rStyle w:val="Hyperlink"/>
            <w:rFonts w:asciiTheme="majorHAnsi" w:hAnsiTheme="majorHAnsi" w:cstheme="majorHAnsi"/>
            <w:color w:val="808080" w:themeColor="background1" w:themeShade="80"/>
            <w:sz w:val="16"/>
            <w:szCs w:val="16"/>
          </w:rPr>
          <w:t>'Militaristic and intimidating': St Louis police criticized as protests stretch on</w:t>
        </w:r>
      </w:hyperlink>
      <w:r w:rsidRPr="001167CB">
        <w:rPr>
          <w:rFonts w:asciiTheme="majorHAnsi" w:hAnsiTheme="majorHAnsi" w:cstheme="majorHAnsi"/>
          <w:color w:val="808080" w:themeColor="background1" w:themeShade="80"/>
          <w:sz w:val="16"/>
          <w:szCs w:val="16"/>
        </w:rPr>
        <w:t xml:space="preserve">, Sept. 18, 2017. </w:t>
      </w:r>
    </w:p>
  </w:footnote>
  <w:footnote w:id="271">
    <w:p w14:paraId="326CF35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Guardian, </w:t>
      </w:r>
      <w:hyperlink r:id="rId332" w:history="1">
        <w:r w:rsidRPr="001167CB">
          <w:rPr>
            <w:rStyle w:val="Hyperlink"/>
            <w:rFonts w:asciiTheme="majorHAnsi" w:hAnsiTheme="majorHAnsi" w:cstheme="majorHAnsi"/>
            <w:color w:val="808080" w:themeColor="background1" w:themeShade="80"/>
            <w:sz w:val="16"/>
            <w:szCs w:val="16"/>
          </w:rPr>
          <w:t>St Louis protests: three years since Ferguson, why hasn't anything changed?</w:t>
        </w:r>
      </w:hyperlink>
      <w:r w:rsidRPr="001167CB">
        <w:rPr>
          <w:rFonts w:asciiTheme="majorHAnsi" w:hAnsiTheme="majorHAnsi" w:cstheme="majorHAnsi"/>
          <w:color w:val="808080" w:themeColor="background1" w:themeShade="80"/>
          <w:sz w:val="16"/>
          <w:szCs w:val="16"/>
        </w:rPr>
        <w:t>, Sept. 22, 2017.</w:t>
      </w:r>
    </w:p>
  </w:footnote>
  <w:footnote w:id="272">
    <w:p w14:paraId="18BF148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Chicago Tribune, </w:t>
      </w:r>
      <w:hyperlink r:id="rId333" w:history="1">
        <w:r w:rsidRPr="001167CB">
          <w:rPr>
            <w:rStyle w:val="Hyperlink"/>
            <w:rFonts w:asciiTheme="majorHAnsi" w:hAnsiTheme="majorHAnsi" w:cstheme="majorHAnsi"/>
            <w:color w:val="808080" w:themeColor="background1" w:themeShade="80"/>
            <w:sz w:val="16"/>
            <w:szCs w:val="16"/>
          </w:rPr>
          <w:t>FBI, Justice Department investigating St. Louis police conduct during protests</w:t>
        </w:r>
      </w:hyperlink>
      <w:r w:rsidRPr="001167CB">
        <w:rPr>
          <w:rFonts w:asciiTheme="majorHAnsi" w:hAnsiTheme="majorHAnsi" w:cstheme="majorHAnsi"/>
          <w:color w:val="808080" w:themeColor="background1" w:themeShade="80"/>
          <w:sz w:val="16"/>
          <w:szCs w:val="16"/>
        </w:rPr>
        <w:t>, Nov. 20, 2017.</w:t>
      </w:r>
    </w:p>
  </w:footnote>
  <w:footnote w:id="273">
    <w:p w14:paraId="7583A8C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OSCE, “The Responsibility of States”: Protection of Human Rights Defenders in the OSCE Region (2014–2016), para. 323; The Intercept, </w:t>
      </w:r>
      <w:hyperlink r:id="rId334" w:history="1">
        <w:r w:rsidRPr="001167CB">
          <w:rPr>
            <w:rStyle w:val="Hyperlink"/>
            <w:rFonts w:asciiTheme="majorHAnsi" w:hAnsiTheme="majorHAnsi" w:cstheme="majorHAnsi"/>
            <w:color w:val="808080" w:themeColor="background1" w:themeShade="80"/>
            <w:sz w:val="16"/>
            <w:szCs w:val="16"/>
          </w:rPr>
          <w:t>Exclusive: Feds Regularly Monitored Black Lives Matter Since Ferguson</w:t>
        </w:r>
      </w:hyperlink>
      <w:r w:rsidRPr="001167CB">
        <w:rPr>
          <w:rFonts w:asciiTheme="majorHAnsi" w:hAnsiTheme="majorHAnsi" w:cstheme="majorHAnsi"/>
          <w:color w:val="808080" w:themeColor="background1" w:themeShade="80"/>
          <w:sz w:val="16"/>
          <w:szCs w:val="16"/>
        </w:rPr>
        <w:t>, July 24, 2015.</w:t>
      </w:r>
    </w:p>
  </w:footnote>
  <w:footnote w:id="274">
    <w:p w14:paraId="56EDDDE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Foreign Policy, </w:t>
      </w:r>
      <w:hyperlink r:id="rId335" w:history="1">
        <w:r w:rsidRPr="001167CB">
          <w:rPr>
            <w:rStyle w:val="Hyperlink"/>
            <w:rFonts w:asciiTheme="majorHAnsi" w:hAnsiTheme="majorHAnsi" w:cstheme="majorHAnsi"/>
            <w:color w:val="808080" w:themeColor="background1" w:themeShade="80"/>
            <w:sz w:val="16"/>
            <w:szCs w:val="16"/>
          </w:rPr>
          <w:t>The FBI’s New U.S. Terrorist Threat: ‘Black Identity Extremists’</w:t>
        </w:r>
      </w:hyperlink>
      <w:r w:rsidRPr="001167CB">
        <w:rPr>
          <w:rFonts w:asciiTheme="majorHAnsi" w:hAnsiTheme="majorHAnsi" w:cstheme="majorHAnsi"/>
          <w:color w:val="808080" w:themeColor="background1" w:themeShade="80"/>
          <w:sz w:val="16"/>
          <w:szCs w:val="16"/>
        </w:rPr>
        <w:t xml:space="preserve">, Oct. 6, 2017; New York Times, </w:t>
      </w:r>
      <w:hyperlink r:id="rId336" w:history="1">
        <w:r w:rsidRPr="001167CB">
          <w:rPr>
            <w:rStyle w:val="Hyperlink"/>
            <w:rFonts w:asciiTheme="majorHAnsi" w:hAnsiTheme="majorHAnsi" w:cstheme="majorHAnsi"/>
            <w:color w:val="808080" w:themeColor="background1" w:themeShade="80"/>
            <w:sz w:val="16"/>
            <w:szCs w:val="16"/>
          </w:rPr>
          <w:t>The F.B.I.’s Black Phantom Menace</w:t>
        </w:r>
      </w:hyperlink>
      <w:r w:rsidRPr="001167CB">
        <w:rPr>
          <w:rFonts w:asciiTheme="majorHAnsi" w:hAnsiTheme="majorHAnsi" w:cstheme="majorHAnsi"/>
          <w:color w:val="808080" w:themeColor="background1" w:themeShade="80"/>
          <w:sz w:val="16"/>
          <w:szCs w:val="16"/>
        </w:rPr>
        <w:t xml:space="preserve">, Oct. 9, 2017. </w:t>
      </w:r>
    </w:p>
  </w:footnote>
  <w:footnote w:id="275">
    <w:p w14:paraId="7E671FC3" w14:textId="253FDB7C"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e.g.,</w:t>
      </w:r>
      <w:r w:rsidRPr="001167CB">
        <w:rPr>
          <w:rFonts w:asciiTheme="majorHAnsi" w:hAnsiTheme="majorHAnsi" w:cstheme="majorHAnsi"/>
          <w:color w:val="808080" w:themeColor="background1" w:themeShade="80"/>
          <w:sz w:val="16"/>
          <w:szCs w:val="16"/>
        </w:rPr>
        <w:t xml:space="preserve"> New York Times, </w:t>
      </w:r>
      <w:hyperlink r:id="rId337" w:history="1">
        <w:r w:rsidRPr="001167CB">
          <w:rPr>
            <w:rStyle w:val="Hyperlink"/>
            <w:rFonts w:asciiTheme="majorHAnsi" w:hAnsiTheme="majorHAnsi" w:cstheme="majorHAnsi"/>
            <w:color w:val="808080" w:themeColor="background1" w:themeShade="80"/>
            <w:sz w:val="16"/>
            <w:szCs w:val="16"/>
          </w:rPr>
          <w:t>The F.B.I.’s Dangerous Crackdown on ‘Black Identity Extremists’</w:t>
        </w:r>
      </w:hyperlink>
      <w:r w:rsidRPr="001167CB">
        <w:rPr>
          <w:rFonts w:asciiTheme="majorHAnsi" w:hAnsiTheme="majorHAnsi" w:cstheme="majorHAnsi"/>
          <w:color w:val="808080" w:themeColor="background1" w:themeShade="80"/>
          <w:sz w:val="16"/>
          <w:szCs w:val="16"/>
        </w:rPr>
        <w:t xml:space="preserve">, Nov. 15, 2017. </w:t>
      </w:r>
      <w:r w:rsidRPr="001167CB">
        <w:rPr>
          <w:rFonts w:asciiTheme="majorHAnsi" w:hAnsiTheme="majorHAnsi" w:cstheme="majorHAnsi"/>
          <w:i/>
          <w:color w:val="808080" w:themeColor="background1" w:themeShade="80"/>
          <w:sz w:val="16"/>
          <w:szCs w:val="16"/>
        </w:rPr>
        <w:t>See also supra</w:t>
      </w:r>
      <w:r w:rsidRPr="001167CB">
        <w:rPr>
          <w:rFonts w:asciiTheme="majorHAnsi" w:hAnsiTheme="majorHAnsi" w:cstheme="majorHAnsi"/>
          <w:color w:val="808080" w:themeColor="background1" w:themeShade="80"/>
          <w:sz w:val="16"/>
          <w:szCs w:val="16"/>
        </w:rPr>
        <w:t xml:space="preserve"> note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NOTEREF _Ref507153538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96</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276">
    <w:p w14:paraId="553A802A" w14:textId="62D69DD9"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Human Rights Committee, </w:t>
      </w:r>
      <w:hyperlink r:id="rId338"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bCs/>
          <w:color w:val="808080" w:themeColor="background1" w:themeShade="80"/>
          <w:sz w:val="16"/>
          <w:szCs w:val="16"/>
        </w:rPr>
        <w:t>23, 2014</w:t>
      </w:r>
      <w:r w:rsidRPr="001167CB">
        <w:rPr>
          <w:rFonts w:asciiTheme="majorHAnsi" w:hAnsiTheme="majorHAnsi" w:cstheme="majorHAnsi"/>
          <w:color w:val="808080" w:themeColor="background1" w:themeShade="80"/>
          <w:sz w:val="16"/>
          <w:szCs w:val="16"/>
        </w:rPr>
        <w:t>, para. 6.</w:t>
      </w:r>
    </w:p>
  </w:footnote>
  <w:footnote w:id="277">
    <w:p w14:paraId="40539CB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339"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w:t>
      </w:r>
    </w:p>
  </w:footnote>
  <w:footnote w:id="278">
    <w:p w14:paraId="62AF903D" w14:textId="631CE2F1"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Angela J. Davis, “The Prosecution of Black Men,” in </w:t>
      </w:r>
      <w:r w:rsidRPr="001167CB">
        <w:rPr>
          <w:rFonts w:asciiTheme="majorHAnsi" w:hAnsiTheme="majorHAnsi" w:cstheme="majorHAnsi"/>
          <w:i/>
          <w:color w:val="808080" w:themeColor="background1" w:themeShade="80"/>
          <w:sz w:val="16"/>
          <w:szCs w:val="16"/>
        </w:rPr>
        <w:t xml:space="preserve">Policing the Black Man </w:t>
      </w:r>
      <w:r w:rsidRPr="001167CB">
        <w:rPr>
          <w:rFonts w:asciiTheme="majorHAnsi" w:hAnsiTheme="majorHAnsi" w:cstheme="majorHAnsi"/>
          <w:color w:val="808080" w:themeColor="background1" w:themeShade="80"/>
          <w:sz w:val="16"/>
          <w:szCs w:val="16"/>
        </w:rPr>
        <w:t xml:space="preserve">(2017), p. 178; The Leadership Conference on Civil and Human Rights, </w:t>
      </w:r>
      <w:hyperlink r:id="rId340" w:history="1">
        <w:r w:rsidRPr="001167CB">
          <w:rPr>
            <w:rStyle w:val="Hyperlink"/>
            <w:rFonts w:asciiTheme="majorHAnsi" w:hAnsiTheme="majorHAnsi" w:cstheme="majorHAnsi"/>
            <w:color w:val="808080" w:themeColor="background1" w:themeShade="80"/>
            <w:sz w:val="16"/>
            <w:szCs w:val="16"/>
          </w:rPr>
          <w:t>Restoring a National Consensus: The Need to End Racial Profiling in America</w:t>
        </w:r>
      </w:hyperlink>
      <w:r w:rsidRPr="001167CB">
        <w:rPr>
          <w:rFonts w:asciiTheme="majorHAnsi" w:hAnsiTheme="majorHAnsi" w:cstheme="majorHAnsi"/>
          <w:color w:val="808080" w:themeColor="background1" w:themeShade="80"/>
          <w:sz w:val="16"/>
          <w:szCs w:val="16"/>
        </w:rPr>
        <w:t xml:space="preserve">, Mar. 2011; </w:t>
      </w:r>
      <w:r w:rsidRPr="001167CB">
        <w:rPr>
          <w:rFonts w:asciiTheme="majorHAnsi" w:hAnsiTheme="majorHAnsi" w:cstheme="majorHAnsi"/>
          <w:i/>
          <w:color w:val="808080" w:themeColor="background1" w:themeShade="80"/>
          <w:sz w:val="16"/>
          <w:szCs w:val="16"/>
        </w:rPr>
        <w:t>see also supra</w:t>
      </w:r>
      <w:r w:rsidRPr="001167CB">
        <w:rPr>
          <w:rFonts w:asciiTheme="majorHAnsi" w:hAnsiTheme="majorHAnsi" w:cstheme="majorHAnsi"/>
          <w:color w:val="808080" w:themeColor="background1" w:themeShade="80"/>
          <w:sz w:val="16"/>
          <w:szCs w:val="16"/>
        </w:rPr>
        <w:t xml:space="preserve"> paras.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_Ref507161400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76</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_Ref507161402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77</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279">
    <w:p w14:paraId="043D4EC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USA Today, </w:t>
      </w:r>
      <w:hyperlink r:id="rId341" w:history="1">
        <w:r w:rsidRPr="001167CB">
          <w:rPr>
            <w:rStyle w:val="Hyperlink"/>
            <w:rFonts w:asciiTheme="majorHAnsi" w:hAnsiTheme="majorHAnsi" w:cstheme="majorHAnsi"/>
            <w:color w:val="808080" w:themeColor="background1" w:themeShade="80"/>
            <w:sz w:val="16"/>
            <w:szCs w:val="16"/>
          </w:rPr>
          <w:t>Racial gap in U.S. arrest rates: 'Staggering disparity'</w:t>
        </w:r>
      </w:hyperlink>
      <w:r w:rsidRPr="001167CB">
        <w:rPr>
          <w:rFonts w:asciiTheme="majorHAnsi" w:hAnsiTheme="majorHAnsi" w:cstheme="majorHAnsi"/>
          <w:color w:val="808080" w:themeColor="background1" w:themeShade="80"/>
          <w:sz w:val="16"/>
          <w:szCs w:val="16"/>
        </w:rPr>
        <w:t xml:space="preserve">, Nov. 18, 2014; app.com (USA Today), </w:t>
      </w:r>
      <w:hyperlink r:id="rId342" w:history="1">
        <w:r w:rsidRPr="001167CB">
          <w:rPr>
            <w:rStyle w:val="Hyperlink"/>
            <w:rFonts w:asciiTheme="majorHAnsi" w:hAnsiTheme="majorHAnsi" w:cstheme="majorHAnsi"/>
            <w:color w:val="808080" w:themeColor="background1" w:themeShade="80"/>
            <w:sz w:val="16"/>
            <w:szCs w:val="16"/>
          </w:rPr>
          <w:t>Do cops target blacks? FBI stats show arrest disparity</w:t>
        </w:r>
      </w:hyperlink>
      <w:r w:rsidRPr="001167CB">
        <w:rPr>
          <w:rFonts w:asciiTheme="majorHAnsi" w:hAnsiTheme="majorHAnsi" w:cstheme="majorHAnsi"/>
          <w:color w:val="808080" w:themeColor="background1" w:themeShade="80"/>
          <w:sz w:val="16"/>
          <w:szCs w:val="16"/>
        </w:rPr>
        <w:t>, Nov. 18, 2014.</w:t>
      </w:r>
    </w:p>
  </w:footnote>
  <w:footnote w:id="280">
    <w:p w14:paraId="3F02E66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Cited in The Leadership Conference on Civil and Human Rights, </w:t>
      </w:r>
      <w:hyperlink r:id="rId343" w:history="1">
        <w:r w:rsidRPr="001167CB">
          <w:rPr>
            <w:rStyle w:val="Hyperlink"/>
            <w:rFonts w:asciiTheme="majorHAnsi" w:hAnsiTheme="majorHAnsi" w:cstheme="majorHAnsi"/>
            <w:color w:val="808080" w:themeColor="background1" w:themeShade="80"/>
            <w:sz w:val="16"/>
            <w:szCs w:val="16"/>
          </w:rPr>
          <w:t>Restoring a National Consensus: The Need to End Racial Profiling in America</w:t>
        </w:r>
      </w:hyperlink>
      <w:r w:rsidRPr="001167CB">
        <w:rPr>
          <w:rFonts w:asciiTheme="majorHAnsi" w:hAnsiTheme="majorHAnsi" w:cstheme="majorHAnsi"/>
          <w:color w:val="808080" w:themeColor="background1" w:themeShade="80"/>
          <w:sz w:val="16"/>
          <w:szCs w:val="16"/>
        </w:rPr>
        <w:t xml:space="preserve">, Mar. 2011, 9.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similar studies cited at </w:t>
      </w:r>
      <w:r w:rsidRPr="001167CB">
        <w:rPr>
          <w:rFonts w:asciiTheme="majorHAnsi" w:hAnsiTheme="majorHAnsi" w:cstheme="majorHAnsi"/>
          <w:i/>
          <w:color w:val="808080" w:themeColor="background1" w:themeShade="80"/>
          <w:sz w:val="16"/>
          <w:szCs w:val="16"/>
        </w:rPr>
        <w:t>id</w:t>
      </w:r>
      <w:r w:rsidRPr="001167CB">
        <w:rPr>
          <w:rFonts w:asciiTheme="majorHAnsi" w:hAnsiTheme="majorHAnsi" w:cstheme="majorHAnsi"/>
          <w:color w:val="808080" w:themeColor="background1" w:themeShade="80"/>
          <w:sz w:val="16"/>
          <w:szCs w:val="16"/>
        </w:rPr>
        <w:t>., pages 10-12.</w:t>
      </w:r>
    </w:p>
  </w:footnote>
  <w:footnote w:id="281">
    <w:p w14:paraId="6D4CEDC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Human Rights Watch, </w:t>
      </w:r>
      <w:hyperlink r:id="rId344" w:history="1">
        <w:r w:rsidRPr="001167CB">
          <w:rPr>
            <w:rStyle w:val="Hyperlink"/>
            <w:rFonts w:asciiTheme="majorHAnsi" w:hAnsiTheme="majorHAnsi" w:cstheme="majorHAnsi"/>
            <w:color w:val="808080" w:themeColor="background1" w:themeShade="80"/>
            <w:sz w:val="16"/>
            <w:szCs w:val="16"/>
          </w:rPr>
          <w:t>Decades of Disparity: Drug Arrests and Race in the United States</w:t>
        </w:r>
      </w:hyperlink>
      <w:r w:rsidRPr="001167CB">
        <w:rPr>
          <w:rFonts w:asciiTheme="majorHAnsi" w:hAnsiTheme="majorHAnsi" w:cstheme="majorHAnsi"/>
          <w:color w:val="808080" w:themeColor="background1" w:themeShade="80"/>
          <w:sz w:val="16"/>
          <w:szCs w:val="16"/>
        </w:rPr>
        <w:t>, Mar. 2009.</w:t>
      </w:r>
    </w:p>
  </w:footnote>
  <w:footnote w:id="282">
    <w:p w14:paraId="3B4AE3A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Sarasota Herald-Tribune, </w:t>
      </w:r>
      <w:hyperlink r:id="rId345" w:history="1">
        <w:r w:rsidRPr="001167CB">
          <w:rPr>
            <w:rStyle w:val="Hyperlink"/>
            <w:rFonts w:asciiTheme="majorHAnsi" w:hAnsiTheme="majorHAnsi" w:cstheme="majorHAnsi"/>
            <w:color w:val="808080" w:themeColor="background1" w:themeShade="80"/>
            <w:sz w:val="16"/>
            <w:szCs w:val="16"/>
          </w:rPr>
          <w:t>Bias on the Bench: Florida’s Broken Sentencing System</w:t>
        </w:r>
      </w:hyperlink>
      <w:r w:rsidRPr="001167CB">
        <w:rPr>
          <w:rFonts w:asciiTheme="majorHAnsi" w:hAnsiTheme="majorHAnsi" w:cstheme="majorHAnsi"/>
          <w:color w:val="808080" w:themeColor="background1" w:themeShade="80"/>
          <w:sz w:val="16"/>
          <w:szCs w:val="16"/>
        </w:rPr>
        <w:t>, Dec. 2016.</w:t>
      </w:r>
    </w:p>
  </w:footnote>
  <w:footnote w:id="283">
    <w:p w14:paraId="430B668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346" w:history="1">
        <w:r w:rsidRPr="001167CB">
          <w:rPr>
            <w:rStyle w:val="Hyperlink"/>
            <w:rFonts w:asciiTheme="majorHAnsi" w:hAnsiTheme="majorHAnsi" w:cstheme="majorHAnsi"/>
            <w:color w:val="808080" w:themeColor="background1" w:themeShade="80"/>
            <w:sz w:val="16"/>
            <w:szCs w:val="16"/>
          </w:rPr>
          <w:t>Measures to Reduce Pretrial Detention</w:t>
        </w:r>
      </w:hyperlink>
      <w:r w:rsidRPr="001167CB">
        <w:rPr>
          <w:rFonts w:asciiTheme="majorHAnsi" w:hAnsiTheme="majorHAnsi" w:cstheme="majorHAnsi"/>
          <w:color w:val="808080" w:themeColor="background1" w:themeShade="80"/>
          <w:sz w:val="16"/>
          <w:szCs w:val="16"/>
        </w:rPr>
        <w:t>,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/V/II.163, Doc. 105 (2017), para. 9.</w:t>
      </w:r>
    </w:p>
  </w:footnote>
  <w:footnote w:id="284">
    <w:p w14:paraId="276987D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90.</w:t>
      </w:r>
    </w:p>
  </w:footnote>
  <w:footnote w:id="285">
    <w:p w14:paraId="168BFB9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w:t>
      </w:r>
    </w:p>
  </w:footnote>
  <w:footnote w:id="286">
    <w:p w14:paraId="133EF50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Huffington Post, </w:t>
      </w:r>
      <w:hyperlink r:id="rId347" w:history="1">
        <w:r w:rsidRPr="001167CB">
          <w:rPr>
            <w:rStyle w:val="Hyperlink"/>
            <w:rFonts w:asciiTheme="majorHAnsi" w:hAnsiTheme="majorHAnsi" w:cstheme="majorHAnsi"/>
            <w:color w:val="808080" w:themeColor="background1" w:themeShade="80"/>
            <w:sz w:val="16"/>
            <w:szCs w:val="16"/>
          </w:rPr>
          <w:t>Decision Points: Disproportionate Pretrial Detention of Blacks and Latinos Drives Mass Incarceration</w:t>
        </w:r>
      </w:hyperlink>
      <w:r w:rsidRPr="001167CB">
        <w:rPr>
          <w:rFonts w:asciiTheme="majorHAnsi" w:hAnsiTheme="majorHAnsi" w:cstheme="majorHAnsi"/>
          <w:color w:val="808080" w:themeColor="background1" w:themeShade="80"/>
          <w:sz w:val="16"/>
          <w:szCs w:val="16"/>
        </w:rPr>
        <w:t>, Nov. 11, 2016.</w:t>
      </w:r>
    </w:p>
  </w:footnote>
  <w:footnote w:id="287">
    <w:p w14:paraId="714B7B2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Equal Justice Initiative, </w:t>
      </w:r>
      <w:hyperlink r:id="rId348" w:history="1">
        <w:r w:rsidRPr="001167CB">
          <w:rPr>
            <w:rStyle w:val="Hyperlink"/>
            <w:rFonts w:asciiTheme="majorHAnsi" w:hAnsiTheme="majorHAnsi" w:cstheme="majorHAnsi"/>
            <w:color w:val="808080" w:themeColor="background1" w:themeShade="80"/>
            <w:sz w:val="16"/>
            <w:szCs w:val="16"/>
          </w:rPr>
          <w:t>Disproportionate Pretrial Detention of People of Color Drives Mass Incarceration</w:t>
        </w:r>
      </w:hyperlink>
      <w:r w:rsidRPr="001167CB">
        <w:rPr>
          <w:rFonts w:asciiTheme="majorHAnsi" w:hAnsiTheme="majorHAnsi" w:cstheme="majorHAnsi"/>
          <w:color w:val="808080" w:themeColor="background1" w:themeShade="80"/>
          <w:sz w:val="16"/>
          <w:szCs w:val="16"/>
        </w:rPr>
        <w:t xml:space="preserve">, Dec. 17, 2015; Huffington Post, </w:t>
      </w:r>
      <w:hyperlink r:id="rId349" w:history="1">
        <w:r w:rsidRPr="001167CB">
          <w:rPr>
            <w:rStyle w:val="Hyperlink"/>
            <w:rFonts w:asciiTheme="majorHAnsi" w:hAnsiTheme="majorHAnsi" w:cstheme="majorHAnsi"/>
            <w:color w:val="808080" w:themeColor="background1" w:themeShade="80"/>
            <w:sz w:val="16"/>
            <w:szCs w:val="16"/>
          </w:rPr>
          <w:t>Decision Points: Disproportionate Pretrial Detention of Blacks and Latinos Drives Mass Incarceration</w:t>
        </w:r>
      </w:hyperlink>
      <w:r w:rsidRPr="001167CB">
        <w:rPr>
          <w:rFonts w:asciiTheme="majorHAnsi" w:hAnsiTheme="majorHAnsi" w:cstheme="majorHAnsi"/>
          <w:color w:val="808080" w:themeColor="background1" w:themeShade="80"/>
          <w:sz w:val="16"/>
          <w:szCs w:val="16"/>
        </w:rPr>
        <w:t>, Nov. 11, 2016.</w:t>
      </w:r>
    </w:p>
  </w:footnote>
  <w:footnote w:id="288">
    <w:p w14:paraId="77BFED3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Cynthia Jones, </w:t>
      </w:r>
      <w:hyperlink r:id="rId350" w:history="1">
        <w:r w:rsidRPr="001167CB">
          <w:rPr>
            <w:rStyle w:val="Hyperlink"/>
            <w:rFonts w:asciiTheme="majorHAnsi" w:hAnsiTheme="majorHAnsi" w:cstheme="majorHAnsi"/>
            <w:color w:val="808080" w:themeColor="background1" w:themeShade="80"/>
            <w:sz w:val="16"/>
            <w:szCs w:val="16"/>
          </w:rPr>
          <w:t>“Give Us Free”: Addressing Racial Disparities in Bail Determinations</w:t>
        </w:r>
      </w:hyperlink>
      <w:r w:rsidRPr="001167CB">
        <w:rPr>
          <w:rFonts w:asciiTheme="majorHAnsi" w:hAnsiTheme="majorHAnsi" w:cstheme="majorHAnsi"/>
          <w:color w:val="808080" w:themeColor="background1" w:themeShade="80"/>
          <w:sz w:val="16"/>
          <w:szCs w:val="16"/>
        </w:rPr>
        <w:t xml:space="preserve">, 16 </w:t>
      </w:r>
      <w:r w:rsidRPr="001167CB">
        <w:rPr>
          <w:rFonts w:asciiTheme="majorHAnsi" w:hAnsiTheme="majorHAnsi" w:cstheme="majorHAnsi"/>
          <w:i/>
          <w:color w:val="808080" w:themeColor="background1" w:themeShade="80"/>
          <w:sz w:val="16"/>
          <w:szCs w:val="16"/>
        </w:rPr>
        <w:t xml:space="preserve">Legislation and Pub. </w:t>
      </w:r>
      <w:proofErr w:type="spellStart"/>
      <w:r w:rsidRPr="001167CB">
        <w:rPr>
          <w:rFonts w:asciiTheme="majorHAnsi" w:hAnsiTheme="majorHAnsi" w:cstheme="majorHAnsi"/>
          <w:i/>
          <w:color w:val="808080" w:themeColor="background1" w:themeShade="80"/>
          <w:sz w:val="16"/>
          <w:szCs w:val="16"/>
        </w:rPr>
        <w:t>Pol’y</w:t>
      </w:r>
      <w:proofErr w:type="spellEnd"/>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919 (2013).</w:t>
      </w:r>
    </w:p>
  </w:footnote>
  <w:footnote w:id="289">
    <w:p w14:paraId="18FD435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Laura and John Arnold Foundation (LJAF), </w:t>
      </w:r>
      <w:hyperlink r:id="rId351" w:history="1">
        <w:r w:rsidRPr="001167CB">
          <w:rPr>
            <w:rStyle w:val="Hyperlink"/>
            <w:rFonts w:asciiTheme="majorHAnsi" w:hAnsiTheme="majorHAnsi" w:cstheme="majorHAnsi"/>
            <w:color w:val="808080" w:themeColor="background1" w:themeShade="80"/>
            <w:sz w:val="16"/>
            <w:szCs w:val="16"/>
          </w:rPr>
          <w:t>Pretrial Criminal Justice Research</w:t>
        </w:r>
      </w:hyperlink>
      <w:r w:rsidRPr="001167CB">
        <w:rPr>
          <w:rFonts w:asciiTheme="majorHAnsi" w:hAnsiTheme="majorHAnsi" w:cstheme="majorHAnsi"/>
          <w:color w:val="808080" w:themeColor="background1" w:themeShade="80"/>
          <w:sz w:val="16"/>
          <w:szCs w:val="16"/>
        </w:rPr>
        <w:t xml:space="preserve">, Mar. 2013; Huffington Post, </w:t>
      </w:r>
      <w:hyperlink r:id="rId352" w:history="1">
        <w:r w:rsidRPr="001167CB">
          <w:rPr>
            <w:rStyle w:val="Hyperlink"/>
            <w:rFonts w:asciiTheme="majorHAnsi" w:hAnsiTheme="majorHAnsi" w:cstheme="majorHAnsi"/>
            <w:color w:val="808080" w:themeColor="background1" w:themeShade="80"/>
            <w:sz w:val="16"/>
            <w:szCs w:val="16"/>
          </w:rPr>
          <w:t>Decision Points: Disproportionate Pretrial Detention of Blacks and Latinos Drives Mass Incarceration</w:t>
        </w:r>
      </w:hyperlink>
      <w:r w:rsidRPr="001167CB">
        <w:rPr>
          <w:rFonts w:asciiTheme="majorHAnsi" w:hAnsiTheme="majorHAnsi" w:cstheme="majorHAnsi"/>
          <w:color w:val="808080" w:themeColor="background1" w:themeShade="80"/>
          <w:sz w:val="16"/>
          <w:szCs w:val="16"/>
        </w:rPr>
        <w:t>, Nov. 11, 2016.</w:t>
      </w:r>
    </w:p>
  </w:footnote>
  <w:footnote w:id="290">
    <w:p w14:paraId="470DE03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also </w:t>
      </w:r>
      <w:r w:rsidRPr="001167CB">
        <w:rPr>
          <w:rFonts w:asciiTheme="majorHAnsi" w:hAnsiTheme="majorHAnsi" w:cstheme="majorHAnsi"/>
          <w:bCs/>
          <w:color w:val="808080" w:themeColor="background1" w:themeShade="80"/>
          <w:sz w:val="16"/>
          <w:szCs w:val="16"/>
        </w:rPr>
        <w:t xml:space="preserve">Human Rights Committee. </w:t>
      </w:r>
      <w:hyperlink r:id="rId353"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bCs/>
          <w:color w:val="808080" w:themeColor="background1" w:themeShade="80"/>
          <w:sz w:val="16"/>
          <w:szCs w:val="16"/>
        </w:rPr>
        <w:t>23, 2014</w:t>
      </w:r>
      <w:r w:rsidRPr="001167CB">
        <w:rPr>
          <w:rFonts w:asciiTheme="majorHAnsi" w:hAnsiTheme="majorHAnsi" w:cstheme="majorHAnsi"/>
          <w:color w:val="808080" w:themeColor="background1" w:themeShade="80"/>
          <w:sz w:val="16"/>
          <w:szCs w:val="16"/>
        </w:rPr>
        <w:t>, para. 20.</w:t>
      </w:r>
    </w:p>
  </w:footnote>
  <w:footnote w:id="291">
    <w:p w14:paraId="7A5E5B0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292">
    <w:p w14:paraId="10D6908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New Yorker, </w:t>
      </w:r>
      <w:hyperlink r:id="rId354" w:history="1">
        <w:r w:rsidRPr="001167CB">
          <w:rPr>
            <w:rStyle w:val="Hyperlink"/>
            <w:rFonts w:asciiTheme="majorHAnsi" w:hAnsiTheme="majorHAnsi" w:cstheme="majorHAnsi"/>
            <w:color w:val="808080" w:themeColor="background1" w:themeShade="80"/>
            <w:sz w:val="16"/>
            <w:szCs w:val="16"/>
          </w:rPr>
          <w:t>Before the Law</w:t>
        </w:r>
      </w:hyperlink>
      <w:r w:rsidRPr="001167CB">
        <w:rPr>
          <w:rFonts w:asciiTheme="majorHAnsi" w:hAnsiTheme="majorHAnsi" w:cstheme="majorHAnsi"/>
          <w:color w:val="808080" w:themeColor="background1" w:themeShade="80"/>
          <w:sz w:val="16"/>
          <w:szCs w:val="16"/>
        </w:rPr>
        <w:t xml:space="preserve">, Oct. 6, 2014; New Yorker, </w:t>
      </w:r>
      <w:hyperlink r:id="rId355" w:history="1">
        <w:proofErr w:type="spellStart"/>
        <w:r w:rsidRPr="001167CB">
          <w:rPr>
            <w:rStyle w:val="Hyperlink"/>
            <w:rFonts w:asciiTheme="majorHAnsi" w:hAnsiTheme="majorHAnsi" w:cstheme="majorHAnsi"/>
            <w:color w:val="808080" w:themeColor="background1" w:themeShade="80"/>
            <w:sz w:val="16"/>
            <w:szCs w:val="16"/>
          </w:rPr>
          <w:t>Kalief</w:t>
        </w:r>
        <w:proofErr w:type="spellEnd"/>
        <w:r w:rsidRPr="001167CB">
          <w:rPr>
            <w:rStyle w:val="Hyperlink"/>
            <w:rFonts w:asciiTheme="majorHAnsi" w:hAnsiTheme="majorHAnsi" w:cstheme="majorHAnsi"/>
            <w:color w:val="808080" w:themeColor="background1" w:themeShade="80"/>
            <w:sz w:val="16"/>
            <w:szCs w:val="16"/>
          </w:rPr>
          <w:t xml:space="preserve"> Browder, 1993-2015</w:t>
        </w:r>
      </w:hyperlink>
      <w:r w:rsidRPr="001167CB">
        <w:rPr>
          <w:rFonts w:asciiTheme="majorHAnsi" w:hAnsiTheme="majorHAnsi" w:cstheme="majorHAnsi"/>
          <w:color w:val="808080" w:themeColor="background1" w:themeShade="80"/>
          <w:sz w:val="16"/>
          <w:szCs w:val="16"/>
        </w:rPr>
        <w:t xml:space="preserve">, June 6, 2015; </w:t>
      </w:r>
      <w:proofErr w:type="spellStart"/>
      <w:r w:rsidRPr="001167CB">
        <w:rPr>
          <w:rFonts w:asciiTheme="majorHAnsi" w:hAnsiTheme="majorHAnsi" w:cstheme="majorHAnsi"/>
          <w:color w:val="808080" w:themeColor="background1" w:themeShade="80"/>
          <w:sz w:val="16"/>
          <w:szCs w:val="16"/>
        </w:rPr>
        <w:t>CityLab</w:t>
      </w:r>
      <w:proofErr w:type="spellEnd"/>
      <w:r w:rsidRPr="001167CB">
        <w:rPr>
          <w:rFonts w:asciiTheme="majorHAnsi" w:hAnsiTheme="majorHAnsi" w:cstheme="majorHAnsi"/>
          <w:color w:val="808080" w:themeColor="background1" w:themeShade="80"/>
          <w:sz w:val="16"/>
          <w:szCs w:val="16"/>
        </w:rPr>
        <w:t xml:space="preserve">, </w:t>
      </w:r>
      <w:hyperlink r:id="rId356" w:history="1">
        <w:r w:rsidRPr="001167CB">
          <w:rPr>
            <w:rStyle w:val="Hyperlink"/>
            <w:rFonts w:asciiTheme="majorHAnsi" w:hAnsiTheme="majorHAnsi" w:cstheme="majorHAnsi"/>
            <w:color w:val="808080" w:themeColor="background1" w:themeShade="80"/>
            <w:sz w:val="16"/>
            <w:szCs w:val="16"/>
            <w:lang w:val="en"/>
          </w:rPr>
          <w:t xml:space="preserve">How New York City Killed </w:t>
        </w:r>
        <w:proofErr w:type="spellStart"/>
        <w:r w:rsidRPr="001167CB">
          <w:rPr>
            <w:rStyle w:val="Hyperlink"/>
            <w:rFonts w:asciiTheme="majorHAnsi" w:hAnsiTheme="majorHAnsi" w:cstheme="majorHAnsi"/>
            <w:color w:val="808080" w:themeColor="background1" w:themeShade="80"/>
            <w:sz w:val="16"/>
            <w:szCs w:val="16"/>
            <w:lang w:val="en"/>
          </w:rPr>
          <w:t>Kalief</w:t>
        </w:r>
        <w:proofErr w:type="spellEnd"/>
        <w:r w:rsidRPr="001167CB">
          <w:rPr>
            <w:rStyle w:val="Hyperlink"/>
            <w:rFonts w:asciiTheme="majorHAnsi" w:hAnsiTheme="majorHAnsi" w:cstheme="majorHAnsi"/>
            <w:color w:val="808080" w:themeColor="background1" w:themeShade="80"/>
            <w:sz w:val="16"/>
            <w:szCs w:val="16"/>
            <w:lang w:val="en"/>
          </w:rPr>
          <w:t xml:space="preserve"> Browder</w:t>
        </w:r>
      </w:hyperlink>
      <w:r w:rsidRPr="001167CB">
        <w:rPr>
          <w:rFonts w:asciiTheme="majorHAnsi" w:hAnsiTheme="majorHAnsi" w:cstheme="majorHAnsi"/>
          <w:color w:val="808080" w:themeColor="background1" w:themeShade="80"/>
          <w:sz w:val="16"/>
          <w:szCs w:val="16"/>
          <w:lang w:val="en"/>
        </w:rPr>
        <w:t xml:space="preserve">, </w:t>
      </w:r>
      <w:r w:rsidRPr="001167CB">
        <w:rPr>
          <w:rFonts w:asciiTheme="majorHAnsi" w:hAnsiTheme="majorHAnsi" w:cstheme="majorHAnsi"/>
          <w:color w:val="808080" w:themeColor="background1" w:themeShade="80"/>
          <w:sz w:val="16"/>
          <w:szCs w:val="16"/>
        </w:rPr>
        <w:t xml:space="preserve">Mar. </w:t>
      </w:r>
      <w:r w:rsidRPr="001167CB">
        <w:rPr>
          <w:rFonts w:asciiTheme="majorHAnsi" w:hAnsiTheme="majorHAnsi" w:cstheme="majorHAnsi"/>
          <w:color w:val="808080" w:themeColor="background1" w:themeShade="80"/>
          <w:sz w:val="16"/>
          <w:szCs w:val="16"/>
          <w:lang w:val="en"/>
        </w:rPr>
        <w:t xml:space="preserve">7, 2017 (interviewing </w:t>
      </w:r>
      <w:proofErr w:type="spellStart"/>
      <w:r w:rsidRPr="001167CB">
        <w:rPr>
          <w:rFonts w:asciiTheme="majorHAnsi" w:hAnsiTheme="majorHAnsi" w:cstheme="majorHAnsi"/>
          <w:color w:val="808080" w:themeColor="background1" w:themeShade="80"/>
          <w:sz w:val="16"/>
          <w:szCs w:val="16"/>
          <w:lang w:val="en"/>
        </w:rPr>
        <w:t>Kalief’s</w:t>
      </w:r>
      <w:proofErr w:type="spellEnd"/>
      <w:r w:rsidRPr="001167CB">
        <w:rPr>
          <w:rFonts w:asciiTheme="majorHAnsi" w:hAnsiTheme="majorHAnsi" w:cstheme="majorHAnsi"/>
          <w:color w:val="808080" w:themeColor="background1" w:themeShade="80"/>
          <w:sz w:val="16"/>
          <w:szCs w:val="16"/>
          <w:lang w:val="en"/>
        </w:rPr>
        <w:t xml:space="preserve"> surviving family members). On conditions at </w:t>
      </w:r>
      <w:proofErr w:type="spellStart"/>
      <w:r w:rsidRPr="001167CB">
        <w:rPr>
          <w:rFonts w:asciiTheme="majorHAnsi" w:hAnsiTheme="majorHAnsi" w:cstheme="majorHAnsi"/>
          <w:color w:val="808080" w:themeColor="background1" w:themeShade="80"/>
          <w:sz w:val="16"/>
          <w:szCs w:val="16"/>
          <w:lang w:val="en"/>
        </w:rPr>
        <w:t>Rikers</w:t>
      </w:r>
      <w:proofErr w:type="spellEnd"/>
      <w:r w:rsidRPr="001167CB">
        <w:rPr>
          <w:rFonts w:asciiTheme="majorHAnsi" w:hAnsiTheme="majorHAnsi" w:cstheme="majorHAnsi"/>
          <w:color w:val="808080" w:themeColor="background1" w:themeShade="80"/>
          <w:sz w:val="16"/>
          <w:szCs w:val="16"/>
          <w:lang w:val="en"/>
        </w:rPr>
        <w:t xml:space="preserve"> Island, </w:t>
      </w:r>
      <w:r w:rsidRPr="001167CB">
        <w:rPr>
          <w:rFonts w:asciiTheme="majorHAnsi" w:hAnsiTheme="majorHAnsi" w:cstheme="majorHAnsi"/>
          <w:i/>
          <w:color w:val="808080" w:themeColor="background1" w:themeShade="80"/>
          <w:sz w:val="16"/>
          <w:szCs w:val="16"/>
          <w:lang w:val="en"/>
        </w:rPr>
        <w:t>see also</w:t>
      </w:r>
      <w:r w:rsidRPr="001167CB">
        <w:rPr>
          <w:rFonts w:asciiTheme="majorHAnsi" w:hAnsiTheme="majorHAnsi" w:cstheme="majorHAnsi"/>
          <w:color w:val="808080" w:themeColor="background1" w:themeShade="80"/>
          <w:sz w:val="16"/>
          <w:szCs w:val="16"/>
          <w:lang w:val="en"/>
        </w:rPr>
        <w:t xml:space="preserve"> </w:t>
      </w:r>
      <w:r w:rsidRPr="001167CB">
        <w:rPr>
          <w:rFonts w:asciiTheme="majorHAnsi" w:hAnsiTheme="majorHAnsi" w:cstheme="majorHAnsi"/>
          <w:color w:val="808080" w:themeColor="background1" w:themeShade="80"/>
          <w:sz w:val="16"/>
          <w:szCs w:val="16"/>
        </w:rPr>
        <w:t xml:space="preserve">IACHR, Press Release No. 104/14, </w:t>
      </w:r>
      <w:hyperlink r:id="rId357" w:history="1">
        <w:proofErr w:type="gramStart"/>
        <w:r w:rsidRPr="001167CB">
          <w:rPr>
            <w:rStyle w:val="Hyperlink"/>
            <w:rFonts w:asciiTheme="majorHAnsi" w:hAnsiTheme="majorHAnsi" w:cstheme="majorHAnsi"/>
            <w:color w:val="808080" w:themeColor="background1" w:themeShade="80"/>
            <w:sz w:val="16"/>
            <w:szCs w:val="16"/>
          </w:rPr>
          <w:t>IACHR</w:t>
        </w:r>
        <w:proofErr w:type="gramEnd"/>
        <w:r w:rsidRPr="001167CB">
          <w:rPr>
            <w:rStyle w:val="Hyperlink"/>
            <w:rFonts w:asciiTheme="majorHAnsi" w:hAnsiTheme="majorHAnsi" w:cstheme="majorHAnsi"/>
            <w:color w:val="808080" w:themeColor="background1" w:themeShade="80"/>
            <w:sz w:val="16"/>
            <w:szCs w:val="16"/>
          </w:rPr>
          <w:t xml:space="preserve"> Expresses Concern over Detention Conditions at </w:t>
        </w:r>
        <w:proofErr w:type="spellStart"/>
        <w:r w:rsidRPr="001167CB">
          <w:rPr>
            <w:rStyle w:val="Hyperlink"/>
            <w:rFonts w:asciiTheme="majorHAnsi" w:hAnsiTheme="majorHAnsi" w:cstheme="majorHAnsi"/>
            <w:color w:val="808080" w:themeColor="background1" w:themeShade="80"/>
            <w:sz w:val="16"/>
            <w:szCs w:val="16"/>
          </w:rPr>
          <w:t>Rikers</w:t>
        </w:r>
        <w:proofErr w:type="spellEnd"/>
        <w:r w:rsidRPr="001167CB">
          <w:rPr>
            <w:rStyle w:val="Hyperlink"/>
            <w:rFonts w:asciiTheme="majorHAnsi" w:hAnsiTheme="majorHAnsi" w:cstheme="majorHAnsi"/>
            <w:color w:val="808080" w:themeColor="background1" w:themeShade="80"/>
            <w:sz w:val="16"/>
            <w:szCs w:val="16"/>
          </w:rPr>
          <w:t xml:space="preserve"> Island Prison, United States, a year after the tragic death of an inmate</w:t>
        </w:r>
      </w:hyperlink>
      <w:r w:rsidRPr="001167CB">
        <w:rPr>
          <w:rFonts w:asciiTheme="majorHAnsi" w:hAnsiTheme="majorHAnsi" w:cstheme="majorHAnsi"/>
          <w:color w:val="808080" w:themeColor="background1" w:themeShade="80"/>
          <w:sz w:val="16"/>
          <w:szCs w:val="16"/>
        </w:rPr>
        <w:t>, Sept. 18, 2014.</w:t>
      </w:r>
    </w:p>
  </w:footnote>
  <w:footnote w:id="293">
    <w:p w14:paraId="1273706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Press Release No. 51/13, </w:t>
      </w:r>
      <w:hyperlink r:id="rId358" w:history="1">
        <w:r w:rsidRPr="001167CB">
          <w:rPr>
            <w:rStyle w:val="Hyperlink"/>
            <w:rFonts w:asciiTheme="majorHAnsi" w:hAnsiTheme="majorHAnsi" w:cstheme="majorHAnsi"/>
            <w:color w:val="808080" w:themeColor="background1" w:themeShade="80"/>
            <w:sz w:val="16"/>
            <w:szCs w:val="16"/>
          </w:rPr>
          <w:t>IACHR Expresses Concern over Excessive Use of Solitary Confinement in the United States</w:t>
        </w:r>
      </w:hyperlink>
      <w:r w:rsidRPr="001167CB">
        <w:rPr>
          <w:rFonts w:asciiTheme="majorHAnsi" w:hAnsiTheme="majorHAnsi" w:cstheme="majorHAnsi"/>
          <w:color w:val="808080" w:themeColor="background1" w:themeShade="80"/>
          <w:sz w:val="16"/>
          <w:szCs w:val="16"/>
        </w:rPr>
        <w:t>, July 18, 2013.</w:t>
      </w:r>
    </w:p>
  </w:footnote>
  <w:footnote w:id="294">
    <w:p w14:paraId="71ACAFD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bCs/>
          <w:color w:val="808080" w:themeColor="background1" w:themeShade="80"/>
          <w:sz w:val="16"/>
          <w:szCs w:val="16"/>
        </w:rPr>
        <w:t xml:space="preserve">Human Rights Committee. </w:t>
      </w:r>
      <w:hyperlink r:id="rId359"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bCs/>
          <w:color w:val="808080" w:themeColor="background1" w:themeShade="80"/>
          <w:sz w:val="16"/>
          <w:szCs w:val="16"/>
        </w:rPr>
        <w:t>23, 2014</w:t>
      </w:r>
      <w:r w:rsidRPr="001167CB">
        <w:rPr>
          <w:rFonts w:asciiTheme="majorHAnsi" w:hAnsiTheme="majorHAnsi" w:cstheme="majorHAnsi"/>
          <w:color w:val="808080" w:themeColor="background1" w:themeShade="80"/>
          <w:sz w:val="16"/>
          <w:szCs w:val="16"/>
        </w:rPr>
        <w:t xml:space="preserve">, para. 6; </w:t>
      </w:r>
      <w:r w:rsidRPr="001167CB">
        <w:rPr>
          <w:rFonts w:asciiTheme="majorHAnsi" w:hAnsiTheme="majorHAnsi" w:cstheme="majorHAnsi"/>
          <w:bCs/>
          <w:color w:val="808080" w:themeColor="background1" w:themeShade="80"/>
          <w:sz w:val="16"/>
          <w:szCs w:val="16"/>
        </w:rPr>
        <w:t xml:space="preserve">CERD, </w:t>
      </w:r>
      <w:hyperlink r:id="rId360"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bCs/>
          <w:color w:val="808080" w:themeColor="background1" w:themeShade="80"/>
          <w:sz w:val="16"/>
          <w:szCs w:val="16"/>
        </w:rPr>
        <w:t>25, 2014</w:t>
      </w:r>
      <w:r w:rsidRPr="001167CB">
        <w:rPr>
          <w:rFonts w:asciiTheme="majorHAnsi" w:hAnsiTheme="majorHAnsi" w:cstheme="majorHAnsi"/>
          <w:color w:val="808080" w:themeColor="background1" w:themeShade="80"/>
          <w:sz w:val="16"/>
          <w:szCs w:val="16"/>
        </w:rPr>
        <w:t xml:space="preserve">, para. 20; </w:t>
      </w:r>
      <w:r w:rsidRPr="001167CB">
        <w:rPr>
          <w:rFonts w:asciiTheme="majorHAnsi" w:hAnsiTheme="majorHAnsi" w:cstheme="majorHAnsi"/>
          <w:bCs/>
          <w:color w:val="808080" w:themeColor="background1" w:themeShade="80"/>
          <w:sz w:val="16"/>
          <w:szCs w:val="16"/>
        </w:rPr>
        <w:t xml:space="preserve">U.N., Working Group on People of African Descent. </w:t>
      </w:r>
      <w:hyperlink r:id="rId361" w:history="1">
        <w:r w:rsidRPr="001167CB">
          <w:rPr>
            <w:rStyle w:val="Hyperlink"/>
            <w:rFonts w:asciiTheme="majorHAnsi" w:hAnsiTheme="majorHAnsi" w:cstheme="majorHAnsi"/>
            <w:bCs/>
            <w:color w:val="808080" w:themeColor="background1" w:themeShade="80"/>
            <w:sz w:val="16"/>
            <w:szCs w:val="16"/>
          </w:rPr>
          <w:t>Report on mission to the U.S.</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18, 2016</w:t>
      </w:r>
      <w:r w:rsidRPr="001167CB">
        <w:rPr>
          <w:rFonts w:asciiTheme="majorHAnsi" w:hAnsiTheme="majorHAnsi" w:cstheme="majorHAnsi"/>
          <w:color w:val="808080" w:themeColor="background1" w:themeShade="80"/>
          <w:sz w:val="16"/>
          <w:szCs w:val="16"/>
        </w:rPr>
        <w:t>, paras. 20-42.</w:t>
      </w:r>
    </w:p>
  </w:footnote>
  <w:footnote w:id="295">
    <w:p w14:paraId="08E34F7C" w14:textId="679C0770"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CERD, </w:t>
      </w:r>
      <w:hyperlink r:id="rId362"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bCs/>
          <w:color w:val="808080" w:themeColor="background1" w:themeShade="80"/>
          <w:sz w:val="16"/>
          <w:szCs w:val="16"/>
        </w:rPr>
        <w:t>25, 2014</w:t>
      </w:r>
      <w:r w:rsidRPr="001167CB">
        <w:rPr>
          <w:rFonts w:asciiTheme="majorHAnsi" w:hAnsiTheme="majorHAnsi" w:cstheme="majorHAnsi"/>
          <w:color w:val="808080" w:themeColor="background1" w:themeShade="80"/>
          <w:sz w:val="16"/>
          <w:szCs w:val="16"/>
        </w:rPr>
        <w:t>, para. 20.</w:t>
      </w:r>
    </w:p>
  </w:footnote>
  <w:footnote w:id="296">
    <w:p w14:paraId="136D0351" w14:textId="67D65131"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363"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bCs/>
          <w:color w:val="808080" w:themeColor="background1" w:themeShade="80"/>
          <w:sz w:val="16"/>
          <w:szCs w:val="16"/>
        </w:rPr>
        <w:t xml:space="preserve">CERD, </w:t>
      </w:r>
      <w:hyperlink r:id="rId364"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Sept.</w:t>
      </w:r>
      <w:r w:rsidRPr="001167CB">
        <w:rPr>
          <w:rFonts w:asciiTheme="majorHAnsi" w:hAnsiTheme="majorHAnsi" w:cstheme="majorHAnsi"/>
          <w:bCs/>
          <w:color w:val="808080" w:themeColor="background1" w:themeShade="80"/>
          <w:sz w:val="16"/>
          <w:szCs w:val="16"/>
        </w:rPr>
        <w:t>25, 2014</w:t>
      </w:r>
      <w:r w:rsidRPr="001167CB">
        <w:rPr>
          <w:rFonts w:asciiTheme="majorHAnsi" w:hAnsiTheme="majorHAnsi" w:cstheme="majorHAnsi"/>
          <w:color w:val="808080" w:themeColor="background1" w:themeShade="80"/>
          <w:sz w:val="16"/>
          <w:szCs w:val="16"/>
        </w:rPr>
        <w:t>, para. 23.</w:t>
      </w:r>
    </w:p>
  </w:footnote>
  <w:footnote w:id="297">
    <w:p w14:paraId="582507E7" w14:textId="23F5A828"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e.g.</w:t>
      </w:r>
      <w:r w:rsidRPr="001167CB">
        <w:rPr>
          <w:rFonts w:asciiTheme="majorHAnsi" w:hAnsiTheme="majorHAnsi" w:cstheme="majorHAnsi"/>
          <w:color w:val="808080" w:themeColor="background1" w:themeShade="80"/>
          <w:sz w:val="16"/>
          <w:szCs w:val="16"/>
        </w:rPr>
        <w:t xml:space="preserve">, Gabriel F. Chin, </w:t>
      </w:r>
      <w:hyperlink r:id="rId365" w:history="1">
        <w:r w:rsidRPr="001167CB">
          <w:rPr>
            <w:rStyle w:val="Hyperlink"/>
            <w:rFonts w:asciiTheme="majorHAnsi" w:hAnsiTheme="majorHAnsi" w:cstheme="majorHAnsi"/>
            <w:color w:val="808080" w:themeColor="background1" w:themeShade="80"/>
            <w:sz w:val="16"/>
            <w:szCs w:val="16"/>
          </w:rPr>
          <w:t>Race and the Disappointing Right to Counsel</w:t>
        </w:r>
      </w:hyperlink>
      <w:r w:rsidRPr="001167CB">
        <w:rPr>
          <w:rFonts w:asciiTheme="majorHAnsi" w:hAnsiTheme="majorHAnsi" w:cstheme="majorHAnsi"/>
          <w:color w:val="808080" w:themeColor="background1" w:themeShade="80"/>
          <w:sz w:val="16"/>
          <w:szCs w:val="16"/>
        </w:rPr>
        <w:t xml:space="preserve">, 122 </w:t>
      </w:r>
      <w:r w:rsidRPr="001167CB">
        <w:rPr>
          <w:rFonts w:asciiTheme="majorHAnsi" w:hAnsiTheme="majorHAnsi" w:cstheme="majorHAnsi"/>
          <w:i/>
          <w:color w:val="808080" w:themeColor="background1" w:themeShade="80"/>
          <w:sz w:val="16"/>
          <w:szCs w:val="16"/>
        </w:rPr>
        <w:t>Yale Law Journal</w:t>
      </w:r>
      <w:r w:rsidRPr="001167CB">
        <w:rPr>
          <w:rFonts w:asciiTheme="majorHAnsi" w:hAnsiTheme="majorHAnsi" w:cstheme="majorHAnsi"/>
          <w:color w:val="808080" w:themeColor="background1" w:themeShade="80"/>
          <w:sz w:val="16"/>
          <w:szCs w:val="16"/>
        </w:rPr>
        <w:t xml:space="preserve"> 2236, 2238 (2013) (citing</w:t>
      </w:r>
      <w:r w:rsidRPr="001167CB">
        <w:rPr>
          <w:rFonts w:asciiTheme="majorHAnsi" w:hAnsiTheme="majorHAnsi" w:cstheme="majorHAnsi"/>
          <w:i/>
          <w:color w:val="808080" w:themeColor="background1" w:themeShade="80"/>
          <w:sz w:val="16"/>
          <w:szCs w:val="16"/>
        </w:rPr>
        <w:t>, inter alia</w:t>
      </w:r>
      <w:r w:rsidRPr="001167CB">
        <w:rPr>
          <w:rFonts w:asciiTheme="majorHAnsi" w:hAnsiTheme="majorHAnsi" w:cstheme="majorHAnsi"/>
          <w:color w:val="808080" w:themeColor="background1" w:themeShade="80"/>
          <w:sz w:val="16"/>
          <w:szCs w:val="16"/>
        </w:rPr>
        <w:t xml:space="preserve">, Michelle Alexander, </w:t>
      </w:r>
      <w:r w:rsidRPr="001167CB">
        <w:rPr>
          <w:rFonts w:asciiTheme="majorHAnsi" w:hAnsiTheme="majorHAnsi" w:cstheme="majorHAnsi"/>
          <w:i/>
          <w:color w:val="808080" w:themeColor="background1" w:themeShade="80"/>
          <w:sz w:val="16"/>
          <w:szCs w:val="16"/>
        </w:rPr>
        <w:t>The New Jim Crow: Mass Incarceration in the Age of Colorblindness</w:t>
      </w:r>
      <w:r w:rsidRPr="001167CB">
        <w:rPr>
          <w:rFonts w:asciiTheme="majorHAnsi" w:hAnsiTheme="majorHAnsi" w:cstheme="majorHAnsi"/>
          <w:color w:val="808080" w:themeColor="background1" w:themeShade="80"/>
          <w:sz w:val="16"/>
          <w:szCs w:val="16"/>
        </w:rPr>
        <w:t xml:space="preserve"> (New York: New Press, 2010); David Cole, </w:t>
      </w:r>
      <w:r w:rsidRPr="001167CB">
        <w:rPr>
          <w:rFonts w:asciiTheme="majorHAnsi" w:hAnsiTheme="majorHAnsi" w:cstheme="majorHAnsi"/>
          <w:i/>
          <w:color w:val="808080" w:themeColor="background1" w:themeShade="80"/>
          <w:sz w:val="16"/>
          <w:szCs w:val="16"/>
        </w:rPr>
        <w:t>No Equal Justice: Race and Class in the American Criminal Justice System</w:t>
      </w:r>
      <w:r w:rsidRPr="001167CB">
        <w:rPr>
          <w:rFonts w:asciiTheme="majorHAnsi" w:hAnsiTheme="majorHAnsi" w:cstheme="majorHAnsi"/>
          <w:color w:val="808080" w:themeColor="background1" w:themeShade="80"/>
          <w:sz w:val="16"/>
          <w:szCs w:val="16"/>
        </w:rPr>
        <w:t xml:space="preserve"> (New York: New Press, 1999); Stephen B. Bright, Counsel for the Poor: The Death Sentence Not for the Worst Crime but for the Worst Lawyer, 103 </w:t>
      </w:r>
      <w:r w:rsidRPr="001167CB">
        <w:rPr>
          <w:rFonts w:asciiTheme="majorHAnsi" w:hAnsiTheme="majorHAnsi" w:cstheme="majorHAnsi"/>
          <w:i/>
          <w:color w:val="808080" w:themeColor="background1" w:themeShade="80"/>
          <w:sz w:val="16"/>
          <w:szCs w:val="16"/>
        </w:rPr>
        <w:t>Yale Law Journal</w:t>
      </w:r>
      <w:r w:rsidRPr="001167CB">
        <w:rPr>
          <w:rFonts w:asciiTheme="majorHAnsi" w:hAnsiTheme="majorHAnsi" w:cstheme="majorHAnsi"/>
          <w:color w:val="808080" w:themeColor="background1" w:themeShade="80"/>
          <w:sz w:val="16"/>
          <w:szCs w:val="16"/>
        </w:rPr>
        <w:t xml:space="preserve"> 1835 (1994); additional citations omitted).</w:t>
      </w:r>
    </w:p>
  </w:footnote>
  <w:footnote w:id="298">
    <w:p w14:paraId="1FACFBB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American Declaration, Arts. XVIII, XXVI; International Covenant on Civil and Political Rights, Art. 15(3)(b), (d),</w:t>
      </w:r>
    </w:p>
  </w:footnote>
  <w:footnote w:id="299">
    <w:p w14:paraId="4A416A4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Sonja B. Starr and M. </w:t>
      </w:r>
      <w:proofErr w:type="spellStart"/>
      <w:r w:rsidRPr="001167CB">
        <w:rPr>
          <w:rFonts w:asciiTheme="majorHAnsi" w:hAnsiTheme="majorHAnsi" w:cstheme="majorHAnsi"/>
          <w:color w:val="808080" w:themeColor="background1" w:themeShade="80"/>
          <w:sz w:val="16"/>
          <w:szCs w:val="16"/>
        </w:rPr>
        <w:t>Marit</w:t>
      </w:r>
      <w:proofErr w:type="spellEnd"/>
      <w:r w:rsidRPr="001167CB">
        <w:rPr>
          <w:rFonts w:asciiTheme="majorHAnsi" w:hAnsiTheme="majorHAnsi" w:cstheme="majorHAnsi"/>
          <w:color w:val="808080" w:themeColor="background1" w:themeShade="80"/>
          <w:sz w:val="16"/>
          <w:szCs w:val="16"/>
        </w:rPr>
        <w:t xml:space="preserve"> </w:t>
      </w:r>
      <w:proofErr w:type="spellStart"/>
      <w:r w:rsidRPr="001167CB">
        <w:rPr>
          <w:rFonts w:asciiTheme="majorHAnsi" w:hAnsiTheme="majorHAnsi" w:cstheme="majorHAnsi"/>
          <w:color w:val="808080" w:themeColor="background1" w:themeShade="80"/>
          <w:sz w:val="16"/>
          <w:szCs w:val="16"/>
        </w:rPr>
        <w:t>Rehavi</w:t>
      </w:r>
      <w:proofErr w:type="spellEnd"/>
      <w:r w:rsidRPr="001167CB">
        <w:rPr>
          <w:rFonts w:asciiTheme="majorHAnsi" w:hAnsiTheme="majorHAnsi" w:cstheme="majorHAnsi"/>
          <w:color w:val="808080" w:themeColor="background1" w:themeShade="80"/>
          <w:sz w:val="16"/>
          <w:szCs w:val="16"/>
        </w:rPr>
        <w:t xml:space="preserve">, “Mandatory Sentencing and Racial Disparity: Assessing the Role of Prosecutors and the Effects of </w:t>
      </w:r>
      <w:r w:rsidRPr="001167CB">
        <w:rPr>
          <w:rFonts w:asciiTheme="majorHAnsi" w:hAnsiTheme="majorHAnsi" w:cstheme="majorHAnsi"/>
          <w:i/>
          <w:color w:val="808080" w:themeColor="background1" w:themeShade="80"/>
          <w:sz w:val="16"/>
          <w:szCs w:val="16"/>
        </w:rPr>
        <w:t>Booker</w:t>
      </w:r>
      <w:r w:rsidRPr="001167CB">
        <w:rPr>
          <w:rFonts w:asciiTheme="majorHAnsi" w:hAnsiTheme="majorHAnsi" w:cstheme="majorHAnsi"/>
          <w:color w:val="808080" w:themeColor="background1" w:themeShade="80"/>
          <w:sz w:val="16"/>
          <w:szCs w:val="16"/>
        </w:rPr>
        <w:t xml:space="preserve">,” 123 </w:t>
      </w:r>
      <w:r w:rsidRPr="001167CB">
        <w:rPr>
          <w:rFonts w:asciiTheme="majorHAnsi" w:hAnsiTheme="majorHAnsi" w:cstheme="majorHAnsi"/>
          <w:i/>
          <w:color w:val="808080" w:themeColor="background1" w:themeShade="80"/>
          <w:sz w:val="16"/>
          <w:szCs w:val="16"/>
        </w:rPr>
        <w:t>Yale Law Journal</w:t>
      </w:r>
      <w:r w:rsidRPr="001167CB">
        <w:rPr>
          <w:rFonts w:asciiTheme="majorHAnsi" w:hAnsiTheme="majorHAnsi" w:cstheme="majorHAnsi"/>
          <w:color w:val="808080" w:themeColor="background1" w:themeShade="80"/>
          <w:sz w:val="16"/>
          <w:szCs w:val="16"/>
        </w:rPr>
        <w:t xml:space="preserve"> 2 (2013). </w:t>
      </w:r>
    </w:p>
  </w:footnote>
  <w:footnote w:id="300">
    <w:p w14:paraId="4A980F7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e.g.,</w:t>
      </w:r>
      <w:r w:rsidRPr="001167CB">
        <w:rPr>
          <w:rFonts w:asciiTheme="majorHAnsi" w:hAnsiTheme="majorHAnsi" w:cstheme="majorHAnsi"/>
          <w:color w:val="808080" w:themeColor="background1" w:themeShade="80"/>
          <w:sz w:val="16"/>
          <w:szCs w:val="16"/>
        </w:rPr>
        <w:t xml:space="preserve"> </w:t>
      </w:r>
      <w:proofErr w:type="spellStart"/>
      <w:r w:rsidRPr="001167CB">
        <w:rPr>
          <w:rFonts w:asciiTheme="majorHAnsi" w:hAnsiTheme="majorHAnsi" w:cstheme="majorHAnsi"/>
          <w:color w:val="808080" w:themeColor="background1" w:themeShade="80"/>
          <w:sz w:val="16"/>
          <w:szCs w:val="16"/>
        </w:rPr>
        <w:t>Oyler</w:t>
      </w:r>
      <w:proofErr w:type="spellEnd"/>
      <w:r w:rsidRPr="001167CB">
        <w:rPr>
          <w:rFonts w:asciiTheme="majorHAnsi" w:hAnsiTheme="majorHAnsi" w:cstheme="majorHAnsi"/>
          <w:color w:val="808080" w:themeColor="background1" w:themeShade="80"/>
          <w:sz w:val="16"/>
          <w:szCs w:val="16"/>
        </w:rPr>
        <w:t xml:space="preserve"> v. Boyles, 368 U.S. 448 (1962); </w:t>
      </w:r>
      <w:proofErr w:type="spellStart"/>
      <w:r w:rsidRPr="001167CB">
        <w:rPr>
          <w:rFonts w:asciiTheme="majorHAnsi" w:hAnsiTheme="majorHAnsi" w:cstheme="majorHAnsi"/>
          <w:color w:val="808080" w:themeColor="background1" w:themeShade="80"/>
          <w:sz w:val="16"/>
          <w:szCs w:val="16"/>
        </w:rPr>
        <w:t>McCleskey</w:t>
      </w:r>
      <w:proofErr w:type="spellEnd"/>
      <w:r w:rsidRPr="001167CB">
        <w:rPr>
          <w:rFonts w:asciiTheme="majorHAnsi" w:hAnsiTheme="majorHAnsi" w:cstheme="majorHAnsi"/>
          <w:color w:val="808080" w:themeColor="background1" w:themeShade="80"/>
          <w:sz w:val="16"/>
          <w:szCs w:val="16"/>
        </w:rPr>
        <w:t xml:space="preserve"> v. Kemp, 481 U.S. 279 (1987). These and other cases held that selective prosecution (e.g. selectively charging different crimes, seeking different penalties, or charging in federal versus state court) violates the Equal Protection Clause only if a prosecutor intentionally or purposefully discriminates on the basis of race. Thus, a showing of disparate impact of prosecutorial decisions (which would tend to establish the existence of implicit prosecutorial bias) is not sufficient to establish discrimination; rather, explicit invidious discrimination must be proved in order to establish an Equal Protection violation in this context.</w:t>
      </w:r>
    </w:p>
  </w:footnote>
  <w:footnote w:id="301">
    <w:p w14:paraId="4696665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w:t>
      </w:r>
      <w:r w:rsidRPr="001167CB">
        <w:rPr>
          <w:rFonts w:asciiTheme="majorHAnsi" w:hAnsiTheme="majorHAnsi" w:cstheme="majorHAnsi"/>
          <w:color w:val="808080" w:themeColor="background1" w:themeShade="80"/>
          <w:sz w:val="16"/>
          <w:szCs w:val="16"/>
        </w:rPr>
        <w:t xml:space="preserve">The Marshall Project (US District Judge John Kane), </w:t>
      </w:r>
      <w:hyperlink r:id="rId366" w:history="1">
        <w:r w:rsidRPr="001167CB">
          <w:rPr>
            <w:rStyle w:val="Hyperlink"/>
            <w:rFonts w:asciiTheme="majorHAnsi" w:hAnsiTheme="majorHAnsi" w:cstheme="majorHAnsi"/>
            <w:color w:val="808080" w:themeColor="background1" w:themeShade="80"/>
            <w:sz w:val="16"/>
            <w:szCs w:val="16"/>
          </w:rPr>
          <w:t>Plea Bargaining and the Innocent</w:t>
        </w:r>
      </w:hyperlink>
      <w:r w:rsidRPr="001167CB">
        <w:rPr>
          <w:rFonts w:asciiTheme="majorHAnsi" w:hAnsiTheme="majorHAnsi" w:cstheme="majorHAnsi"/>
          <w:color w:val="808080" w:themeColor="background1" w:themeShade="80"/>
          <w:sz w:val="16"/>
          <w:szCs w:val="16"/>
        </w:rPr>
        <w:t xml:space="preserve">, Dec. 26, 2014; New York Review of Books (US District Judge Jed </w:t>
      </w:r>
      <w:proofErr w:type="spellStart"/>
      <w:r w:rsidRPr="001167CB">
        <w:rPr>
          <w:rFonts w:asciiTheme="majorHAnsi" w:hAnsiTheme="majorHAnsi" w:cstheme="majorHAnsi"/>
          <w:color w:val="808080" w:themeColor="background1" w:themeShade="80"/>
          <w:sz w:val="16"/>
          <w:szCs w:val="16"/>
        </w:rPr>
        <w:t>Rakoff</w:t>
      </w:r>
      <w:proofErr w:type="spellEnd"/>
      <w:r w:rsidRPr="001167CB">
        <w:rPr>
          <w:rFonts w:asciiTheme="majorHAnsi" w:hAnsiTheme="majorHAnsi" w:cstheme="majorHAnsi"/>
          <w:color w:val="808080" w:themeColor="background1" w:themeShade="80"/>
          <w:sz w:val="16"/>
          <w:szCs w:val="16"/>
        </w:rPr>
        <w:t xml:space="preserve">), </w:t>
      </w:r>
      <w:hyperlink r:id="rId367" w:history="1">
        <w:r w:rsidRPr="001167CB">
          <w:rPr>
            <w:rStyle w:val="Hyperlink"/>
            <w:rFonts w:asciiTheme="majorHAnsi" w:hAnsiTheme="majorHAnsi" w:cstheme="majorHAnsi"/>
            <w:color w:val="808080" w:themeColor="background1" w:themeShade="80"/>
            <w:sz w:val="16"/>
            <w:szCs w:val="16"/>
          </w:rPr>
          <w:t>Why Innocent People Plead Guilty</w:t>
        </w:r>
      </w:hyperlink>
      <w:r w:rsidRPr="001167CB">
        <w:rPr>
          <w:rFonts w:asciiTheme="majorHAnsi" w:hAnsiTheme="majorHAnsi" w:cstheme="majorHAnsi"/>
          <w:color w:val="808080" w:themeColor="background1" w:themeShade="80"/>
          <w:sz w:val="16"/>
          <w:szCs w:val="16"/>
        </w:rPr>
        <w:t>, Nov. 20, 2014.</w:t>
      </w:r>
    </w:p>
  </w:footnote>
  <w:footnote w:id="302">
    <w:p w14:paraId="12E08866" w14:textId="77777777" w:rsidR="005C2394" w:rsidRPr="001167CB" w:rsidRDefault="005C2394" w:rsidP="002C64F8">
      <w:pPr>
        <w:pStyle w:val="FootnoteText"/>
        <w:spacing w:after="40"/>
        <w:ind w:left="547" w:hanging="547"/>
        <w:jc w:val="both"/>
        <w:rPr>
          <w:rFonts w:asciiTheme="majorHAnsi" w:hAnsiTheme="majorHAnsi" w:cstheme="majorHAnsi"/>
          <w:i/>
          <w:iCs/>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ACLU, Submission on Racial Disparities in Sentencing for Hearing on Reports of Racism in the Justice System of the United States (IACHR, 153d Session), Oct. 27, 2014 [hereinafter ACLU Submission, 153d Session] (citing Sonja B. Starr &amp; M. </w:t>
      </w:r>
      <w:proofErr w:type="spellStart"/>
      <w:r w:rsidRPr="001167CB">
        <w:rPr>
          <w:rFonts w:asciiTheme="majorHAnsi" w:hAnsiTheme="majorHAnsi" w:cstheme="majorHAnsi"/>
          <w:color w:val="808080" w:themeColor="background1" w:themeShade="80"/>
          <w:sz w:val="16"/>
          <w:szCs w:val="16"/>
        </w:rPr>
        <w:t>Marit</w:t>
      </w:r>
      <w:proofErr w:type="spellEnd"/>
      <w:r w:rsidRPr="001167CB">
        <w:rPr>
          <w:rFonts w:asciiTheme="majorHAnsi" w:hAnsiTheme="majorHAnsi" w:cstheme="majorHAnsi"/>
          <w:color w:val="808080" w:themeColor="background1" w:themeShade="80"/>
          <w:sz w:val="16"/>
          <w:szCs w:val="16"/>
        </w:rPr>
        <w:t xml:space="preserve"> </w:t>
      </w:r>
      <w:proofErr w:type="spellStart"/>
      <w:r w:rsidRPr="001167CB">
        <w:rPr>
          <w:rFonts w:asciiTheme="majorHAnsi" w:hAnsiTheme="majorHAnsi" w:cstheme="majorHAnsi"/>
          <w:color w:val="808080" w:themeColor="background1" w:themeShade="80"/>
          <w:sz w:val="16"/>
          <w:szCs w:val="16"/>
        </w:rPr>
        <w:t>Rehavi</w:t>
      </w:r>
      <w:proofErr w:type="spellEnd"/>
      <w:r w:rsidRPr="001167CB">
        <w:rPr>
          <w:rFonts w:asciiTheme="majorHAnsi" w:hAnsiTheme="majorHAnsi" w:cstheme="majorHAnsi"/>
          <w:color w:val="808080" w:themeColor="background1" w:themeShade="80"/>
          <w:sz w:val="16"/>
          <w:szCs w:val="16"/>
        </w:rPr>
        <w:t>, “</w:t>
      </w:r>
      <w:r w:rsidRPr="001167CB">
        <w:rPr>
          <w:rFonts w:asciiTheme="majorHAnsi" w:hAnsiTheme="majorHAnsi" w:cstheme="majorHAnsi"/>
          <w:iCs/>
          <w:color w:val="808080" w:themeColor="background1" w:themeShade="80"/>
          <w:sz w:val="16"/>
          <w:szCs w:val="16"/>
        </w:rPr>
        <w:t>Racial Disparity in Federal Criminal Charging and its Sentencing Consequences</w:t>
      </w:r>
      <w:r w:rsidRPr="001167CB">
        <w:rPr>
          <w:rFonts w:asciiTheme="majorHAnsi" w:hAnsiTheme="majorHAnsi" w:cstheme="majorHAnsi"/>
          <w:color w:val="808080" w:themeColor="background1" w:themeShade="80"/>
          <w:sz w:val="16"/>
          <w:szCs w:val="16"/>
        </w:rPr>
        <w:t xml:space="preserve">,” U. Michigan Law &amp; Economics, Empirical Legal Studies Center Paper No. 12-002 (2012); Marc </w:t>
      </w:r>
      <w:proofErr w:type="spellStart"/>
      <w:r w:rsidRPr="001167CB">
        <w:rPr>
          <w:rFonts w:asciiTheme="majorHAnsi" w:hAnsiTheme="majorHAnsi" w:cstheme="majorHAnsi"/>
          <w:color w:val="808080" w:themeColor="background1" w:themeShade="80"/>
          <w:sz w:val="16"/>
          <w:szCs w:val="16"/>
        </w:rPr>
        <w:t>Mauer</w:t>
      </w:r>
      <w:proofErr w:type="spellEnd"/>
      <w:r w:rsidRPr="001167CB">
        <w:rPr>
          <w:rFonts w:asciiTheme="majorHAnsi" w:hAnsiTheme="majorHAnsi" w:cstheme="majorHAnsi"/>
          <w:color w:val="808080" w:themeColor="background1" w:themeShade="80"/>
          <w:sz w:val="16"/>
          <w:szCs w:val="16"/>
        </w:rPr>
        <w:t>, “</w:t>
      </w:r>
      <w:r w:rsidRPr="001167CB">
        <w:rPr>
          <w:rFonts w:asciiTheme="majorHAnsi" w:hAnsiTheme="majorHAnsi" w:cstheme="majorHAnsi"/>
          <w:iCs/>
          <w:color w:val="808080" w:themeColor="background1" w:themeShade="80"/>
          <w:sz w:val="16"/>
          <w:szCs w:val="16"/>
        </w:rPr>
        <w:t>Addressing Racial Disparities in Incarceration</w:t>
      </w:r>
      <w:r w:rsidRPr="001167CB">
        <w:rPr>
          <w:rFonts w:asciiTheme="majorHAnsi" w:hAnsiTheme="majorHAnsi" w:cstheme="majorHAnsi"/>
          <w:color w:val="808080" w:themeColor="background1" w:themeShade="80"/>
          <w:sz w:val="16"/>
          <w:szCs w:val="16"/>
        </w:rPr>
        <w:t xml:space="preserve">,” 91 </w:t>
      </w:r>
      <w:r w:rsidRPr="001167CB">
        <w:rPr>
          <w:rFonts w:asciiTheme="majorHAnsi" w:hAnsiTheme="majorHAnsi" w:cstheme="majorHAnsi"/>
          <w:i/>
          <w:color w:val="808080" w:themeColor="background1" w:themeShade="80"/>
          <w:sz w:val="16"/>
          <w:szCs w:val="16"/>
        </w:rPr>
        <w:t>Prison Journal</w:t>
      </w:r>
      <w:r w:rsidRPr="001167CB">
        <w:rPr>
          <w:rFonts w:asciiTheme="majorHAnsi" w:hAnsiTheme="majorHAnsi" w:cstheme="majorHAnsi"/>
          <w:color w:val="808080" w:themeColor="background1" w:themeShade="80"/>
          <w:sz w:val="16"/>
          <w:szCs w:val="16"/>
        </w:rPr>
        <w:t xml:space="preserve"> (2011); The Sentencing Project, </w:t>
      </w:r>
      <w:hyperlink r:id="rId368" w:history="1">
        <w:r w:rsidRPr="001167CB">
          <w:rPr>
            <w:rStyle w:val="Hyperlink"/>
            <w:rFonts w:asciiTheme="majorHAnsi" w:hAnsiTheme="majorHAnsi" w:cstheme="majorHAnsi"/>
            <w:color w:val="808080" w:themeColor="background1" w:themeShade="80"/>
            <w:sz w:val="16"/>
            <w:szCs w:val="16"/>
          </w:rPr>
          <w:t>Racial Disparity in Sentencing: A Review of the Literature</w:t>
        </w:r>
      </w:hyperlink>
      <w:r w:rsidRPr="001167CB">
        <w:rPr>
          <w:rFonts w:asciiTheme="majorHAnsi" w:hAnsiTheme="majorHAnsi" w:cstheme="majorHAnsi"/>
          <w:color w:val="808080" w:themeColor="background1" w:themeShade="80"/>
          <w:sz w:val="16"/>
          <w:szCs w:val="16"/>
        </w:rPr>
        <w:t>, 2005).</w:t>
      </w:r>
    </w:p>
  </w:footnote>
  <w:footnote w:id="303">
    <w:p w14:paraId="4ADD696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ACLU Submission, 153d Session (citing U.S. Sentencing Commission, </w:t>
      </w:r>
      <w:hyperlink r:id="rId369" w:history="1">
        <w:r w:rsidRPr="001167CB">
          <w:rPr>
            <w:rStyle w:val="Hyperlink"/>
            <w:rFonts w:asciiTheme="majorHAnsi" w:hAnsiTheme="majorHAnsi" w:cstheme="majorHAnsi"/>
            <w:color w:val="808080" w:themeColor="background1" w:themeShade="80"/>
            <w:sz w:val="16"/>
            <w:szCs w:val="16"/>
          </w:rPr>
          <w:t>Report on the Continuing Impact of United States v. Booker on Federal Sentencing</w:t>
        </w:r>
      </w:hyperlink>
      <w:r w:rsidRPr="001167CB">
        <w:rPr>
          <w:rFonts w:asciiTheme="majorHAnsi" w:hAnsiTheme="majorHAnsi" w:cstheme="majorHAnsi"/>
          <w:color w:val="808080" w:themeColor="background1" w:themeShade="80"/>
          <w:sz w:val="16"/>
          <w:szCs w:val="16"/>
        </w:rPr>
        <w:t>, Jan. 30, 2013).</w:t>
      </w:r>
    </w:p>
  </w:footnote>
  <w:footnote w:id="304">
    <w:p w14:paraId="2B215EA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(citing Cassia C. </w:t>
      </w:r>
      <w:proofErr w:type="spellStart"/>
      <w:r w:rsidRPr="001167CB">
        <w:rPr>
          <w:rFonts w:asciiTheme="majorHAnsi" w:hAnsiTheme="majorHAnsi" w:cstheme="majorHAnsi"/>
          <w:color w:val="808080" w:themeColor="background1" w:themeShade="80"/>
          <w:sz w:val="16"/>
          <w:szCs w:val="16"/>
        </w:rPr>
        <w:t>Spohn</w:t>
      </w:r>
      <w:proofErr w:type="spellEnd"/>
      <w:r w:rsidRPr="001167CB">
        <w:rPr>
          <w:rFonts w:asciiTheme="majorHAnsi" w:hAnsiTheme="majorHAnsi" w:cstheme="majorHAnsi"/>
          <w:color w:val="808080" w:themeColor="background1" w:themeShade="80"/>
          <w:sz w:val="16"/>
          <w:szCs w:val="16"/>
        </w:rPr>
        <w:t xml:space="preserve">, </w:t>
      </w:r>
      <w:hyperlink r:id="rId370" w:history="1">
        <w:r w:rsidRPr="001167CB">
          <w:rPr>
            <w:rStyle w:val="Hyperlink"/>
            <w:rFonts w:asciiTheme="majorHAnsi" w:hAnsiTheme="majorHAnsi" w:cstheme="majorHAnsi"/>
            <w:color w:val="808080" w:themeColor="background1" w:themeShade="80"/>
            <w:sz w:val="16"/>
            <w:szCs w:val="16"/>
          </w:rPr>
          <w:t>Thirty Years of Sentencing Reform: The Quest for a Racially Neutral Sentencing Process</w:t>
        </w:r>
      </w:hyperlink>
      <w:r w:rsidRPr="001167CB">
        <w:rPr>
          <w:rFonts w:asciiTheme="majorHAnsi" w:hAnsiTheme="majorHAnsi" w:cstheme="majorHAnsi"/>
          <w:color w:val="808080" w:themeColor="background1" w:themeShade="80"/>
          <w:sz w:val="16"/>
          <w:szCs w:val="16"/>
        </w:rPr>
        <w:t xml:space="preserve">, in 3 </w:t>
      </w:r>
      <w:r w:rsidRPr="001167CB">
        <w:rPr>
          <w:rFonts w:asciiTheme="majorHAnsi" w:hAnsiTheme="majorHAnsi" w:cstheme="majorHAnsi"/>
          <w:i/>
          <w:color w:val="808080" w:themeColor="background1" w:themeShade="80"/>
          <w:sz w:val="16"/>
          <w:szCs w:val="16"/>
        </w:rPr>
        <w:t xml:space="preserve">Criminal Justice </w:t>
      </w:r>
      <w:r w:rsidRPr="001167CB">
        <w:rPr>
          <w:rFonts w:asciiTheme="majorHAnsi" w:hAnsiTheme="majorHAnsi" w:cstheme="majorHAnsi"/>
          <w:color w:val="808080" w:themeColor="background1" w:themeShade="80"/>
          <w:sz w:val="16"/>
          <w:szCs w:val="16"/>
        </w:rPr>
        <w:t xml:space="preserve">427 (2000)). </w:t>
      </w:r>
    </w:p>
  </w:footnote>
  <w:footnote w:id="305">
    <w:p w14:paraId="3A39C68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Sarasota Herald-Tribune, </w:t>
      </w:r>
      <w:hyperlink r:id="rId371" w:history="1">
        <w:r w:rsidRPr="001167CB">
          <w:rPr>
            <w:rStyle w:val="Hyperlink"/>
            <w:rFonts w:asciiTheme="majorHAnsi" w:hAnsiTheme="majorHAnsi" w:cstheme="majorHAnsi"/>
            <w:color w:val="808080" w:themeColor="background1" w:themeShade="80"/>
            <w:sz w:val="16"/>
            <w:szCs w:val="16"/>
          </w:rPr>
          <w:t>Bias on the Bench: Florida’s Broken Sentencing System</w:t>
        </w:r>
      </w:hyperlink>
      <w:r w:rsidRPr="001167CB">
        <w:rPr>
          <w:rFonts w:asciiTheme="majorHAnsi" w:hAnsiTheme="majorHAnsi" w:cstheme="majorHAnsi"/>
          <w:color w:val="808080" w:themeColor="background1" w:themeShade="80"/>
          <w:sz w:val="16"/>
          <w:szCs w:val="16"/>
        </w:rPr>
        <w:t>, Dec. 2016.</w:t>
      </w:r>
    </w:p>
  </w:footnote>
  <w:footnote w:id="306">
    <w:p w14:paraId="5582CF6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ACLU Submission, 153d Session (citing Sonja B. Starr &amp; M. </w:t>
      </w:r>
      <w:proofErr w:type="spellStart"/>
      <w:r w:rsidRPr="001167CB">
        <w:rPr>
          <w:rFonts w:asciiTheme="majorHAnsi" w:hAnsiTheme="majorHAnsi" w:cstheme="majorHAnsi"/>
          <w:color w:val="808080" w:themeColor="background1" w:themeShade="80"/>
          <w:sz w:val="16"/>
          <w:szCs w:val="16"/>
        </w:rPr>
        <w:t>Marit</w:t>
      </w:r>
      <w:proofErr w:type="spellEnd"/>
      <w:r w:rsidRPr="001167CB">
        <w:rPr>
          <w:rFonts w:asciiTheme="majorHAnsi" w:hAnsiTheme="majorHAnsi" w:cstheme="majorHAnsi"/>
          <w:color w:val="808080" w:themeColor="background1" w:themeShade="80"/>
          <w:sz w:val="16"/>
          <w:szCs w:val="16"/>
        </w:rPr>
        <w:t xml:space="preserve"> </w:t>
      </w:r>
      <w:proofErr w:type="spellStart"/>
      <w:r w:rsidRPr="001167CB">
        <w:rPr>
          <w:rFonts w:asciiTheme="majorHAnsi" w:hAnsiTheme="majorHAnsi" w:cstheme="majorHAnsi"/>
          <w:color w:val="808080" w:themeColor="background1" w:themeShade="80"/>
          <w:sz w:val="16"/>
          <w:szCs w:val="16"/>
        </w:rPr>
        <w:t>Rehavi</w:t>
      </w:r>
      <w:proofErr w:type="spellEnd"/>
      <w:r w:rsidRPr="001167CB">
        <w:rPr>
          <w:rFonts w:asciiTheme="majorHAnsi" w:hAnsiTheme="majorHAnsi" w:cstheme="majorHAnsi"/>
          <w:color w:val="808080" w:themeColor="background1" w:themeShade="80"/>
          <w:sz w:val="16"/>
          <w:szCs w:val="16"/>
        </w:rPr>
        <w:t>, “</w:t>
      </w:r>
      <w:r w:rsidRPr="001167CB">
        <w:rPr>
          <w:rFonts w:asciiTheme="majorHAnsi" w:hAnsiTheme="majorHAnsi" w:cstheme="majorHAnsi"/>
          <w:iCs/>
          <w:color w:val="808080" w:themeColor="background1" w:themeShade="80"/>
          <w:sz w:val="16"/>
          <w:szCs w:val="16"/>
        </w:rPr>
        <w:t>Racial Disparity in Federal Criminal Charging and its Sentencing Consequences</w:t>
      </w:r>
      <w:r w:rsidRPr="001167CB">
        <w:rPr>
          <w:rFonts w:asciiTheme="majorHAnsi" w:hAnsiTheme="majorHAnsi" w:cstheme="majorHAnsi"/>
          <w:color w:val="808080" w:themeColor="background1" w:themeShade="80"/>
          <w:sz w:val="16"/>
          <w:szCs w:val="16"/>
        </w:rPr>
        <w:t>,” University of Michigan Law &amp; Economics, Empirical Legal Studies Center Paper No. 12-002 (2012)).</w:t>
      </w:r>
    </w:p>
  </w:footnote>
  <w:footnote w:id="307">
    <w:p w14:paraId="165CC8B7" w14:textId="03ED8B8B"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ACLU Submission, 153d Session (citing D.C. </w:t>
      </w:r>
      <w:proofErr w:type="spellStart"/>
      <w:r w:rsidRPr="001167CB">
        <w:rPr>
          <w:rFonts w:asciiTheme="majorHAnsi" w:hAnsiTheme="majorHAnsi" w:cstheme="majorHAnsi"/>
          <w:color w:val="808080" w:themeColor="background1" w:themeShade="80"/>
          <w:sz w:val="16"/>
          <w:szCs w:val="16"/>
        </w:rPr>
        <w:t>Baldus</w:t>
      </w:r>
      <w:proofErr w:type="spellEnd"/>
      <w:r w:rsidRPr="001167CB">
        <w:rPr>
          <w:rFonts w:asciiTheme="majorHAnsi" w:hAnsiTheme="majorHAnsi" w:cstheme="majorHAnsi"/>
          <w:color w:val="808080" w:themeColor="background1" w:themeShade="80"/>
          <w:sz w:val="16"/>
          <w:szCs w:val="16"/>
        </w:rPr>
        <w:t xml:space="preserve"> &amp; C. Woodworth, </w:t>
      </w:r>
      <w:r w:rsidRPr="001167CB">
        <w:rPr>
          <w:rFonts w:asciiTheme="majorHAnsi" w:hAnsiTheme="majorHAnsi" w:cstheme="majorHAnsi"/>
          <w:iCs/>
          <w:color w:val="808080" w:themeColor="background1" w:themeShade="80"/>
          <w:sz w:val="16"/>
          <w:szCs w:val="16"/>
        </w:rPr>
        <w:t>Race Discrimination and the Legitimacy of Capital Punishment: Reflections on the Interaction of Fact and Perception</w:t>
      </w:r>
      <w:r w:rsidRPr="001167CB">
        <w:rPr>
          <w:rFonts w:asciiTheme="majorHAnsi" w:hAnsiTheme="majorHAnsi" w:cstheme="majorHAnsi"/>
          <w:color w:val="808080" w:themeColor="background1" w:themeShade="80"/>
          <w:sz w:val="16"/>
          <w:szCs w:val="16"/>
        </w:rPr>
        <w:t xml:space="preserve">, 53 </w:t>
      </w:r>
      <w:r w:rsidRPr="001167CB">
        <w:rPr>
          <w:rFonts w:asciiTheme="majorHAnsi" w:hAnsiTheme="majorHAnsi" w:cstheme="majorHAnsi"/>
          <w:i/>
          <w:color w:val="808080" w:themeColor="background1" w:themeShade="80"/>
          <w:sz w:val="16"/>
          <w:szCs w:val="16"/>
        </w:rPr>
        <w:t>DePaul Law Review</w:t>
      </w:r>
      <w:r w:rsidRPr="001167CB">
        <w:rPr>
          <w:rFonts w:asciiTheme="majorHAnsi" w:hAnsiTheme="majorHAnsi" w:cstheme="majorHAnsi"/>
          <w:color w:val="808080" w:themeColor="background1" w:themeShade="80"/>
          <w:sz w:val="16"/>
          <w:szCs w:val="16"/>
        </w:rPr>
        <w:t xml:space="preserve"> 1411 (2004));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supra</w:t>
      </w:r>
      <w:r w:rsidRPr="001167CB">
        <w:rPr>
          <w:rFonts w:asciiTheme="majorHAnsi" w:hAnsiTheme="majorHAnsi" w:cstheme="majorHAnsi"/>
          <w:color w:val="808080" w:themeColor="background1" w:themeShade="80"/>
          <w:sz w:val="16"/>
          <w:szCs w:val="16"/>
        </w:rPr>
        <w:t xml:space="preserve"> footnotes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NOTEREF _Ref500752134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88</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NOTEREF _Ref507165488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65</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 xml:space="preserve">. </w:t>
      </w:r>
    </w:p>
  </w:footnote>
  <w:footnote w:id="308">
    <w:p w14:paraId="008CE3D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Prison Policy, </w:t>
      </w:r>
      <w:hyperlink r:id="rId372" w:history="1">
        <w:r w:rsidRPr="001167CB">
          <w:rPr>
            <w:rStyle w:val="Hyperlink"/>
            <w:rFonts w:asciiTheme="majorHAnsi" w:hAnsiTheme="majorHAnsi" w:cstheme="majorHAnsi"/>
            <w:bCs/>
            <w:color w:val="808080" w:themeColor="background1" w:themeShade="80"/>
            <w:sz w:val="16"/>
            <w:szCs w:val="16"/>
          </w:rPr>
          <w:t>States of Incarceration: The Global Context</w:t>
        </w:r>
      </w:hyperlink>
      <w:r w:rsidRPr="001167CB">
        <w:rPr>
          <w:rFonts w:asciiTheme="majorHAnsi" w:eastAsia="Times New Roman"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eastAsia="Times New Roman" w:hAnsiTheme="majorHAnsi" w:cstheme="majorHAnsi"/>
          <w:bCs/>
          <w:color w:val="808080" w:themeColor="background1" w:themeShade="80"/>
          <w:sz w:val="16"/>
          <w:szCs w:val="16"/>
        </w:rPr>
        <w:t>2017.</w:t>
      </w:r>
    </w:p>
  </w:footnote>
  <w:footnote w:id="309">
    <w:p w14:paraId="380D239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Prison Policy Initiative</w:t>
      </w:r>
      <w:hyperlink r:id="rId373" w:history="1">
        <w:r w:rsidRPr="001167CB">
          <w:rPr>
            <w:rStyle w:val="Hyperlink"/>
            <w:rFonts w:asciiTheme="majorHAnsi" w:hAnsiTheme="majorHAnsi" w:cstheme="majorHAnsi"/>
            <w:color w:val="808080" w:themeColor="background1" w:themeShade="80"/>
            <w:sz w:val="16"/>
            <w:szCs w:val="16"/>
          </w:rPr>
          <w:t>, States of Incarceration: The Global Context 2016</w:t>
        </w:r>
      </w:hyperlink>
      <w:r w:rsidRPr="001167CB">
        <w:rPr>
          <w:rFonts w:asciiTheme="majorHAnsi" w:hAnsiTheme="majorHAnsi" w:cstheme="majorHAnsi"/>
          <w:color w:val="808080" w:themeColor="background1" w:themeShade="80"/>
          <w:sz w:val="16"/>
          <w:szCs w:val="16"/>
        </w:rPr>
        <w:t>, June 16, 2016.</w:t>
      </w:r>
    </w:p>
  </w:footnote>
  <w:footnote w:id="310">
    <w:p w14:paraId="6B1A4C90" w14:textId="77777777" w:rsidR="005C2394" w:rsidRPr="001167CB" w:rsidRDefault="005C2394" w:rsidP="002C64F8">
      <w:pPr>
        <w:pStyle w:val="FootnoteText"/>
        <w:spacing w:after="40"/>
        <w:ind w:left="547" w:hanging="547"/>
        <w:jc w:val="both"/>
        <w:rPr>
          <w:rFonts w:asciiTheme="majorHAnsi" w:eastAsiaTheme="min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Prison Policy Initiative, </w:t>
      </w:r>
      <w:hyperlink r:id="rId374" w:history="1">
        <w:r w:rsidRPr="001167CB">
          <w:rPr>
            <w:rStyle w:val="Hyperlink"/>
            <w:rFonts w:asciiTheme="majorHAnsi" w:hAnsiTheme="majorHAnsi" w:cstheme="majorHAnsi"/>
            <w:color w:val="808080" w:themeColor="background1" w:themeShade="80"/>
            <w:sz w:val="16"/>
            <w:szCs w:val="16"/>
          </w:rPr>
          <w:t>Mass Incarceration: The Whole Pie 2017</w:t>
        </w:r>
      </w:hyperlink>
      <w:r w:rsidRPr="001167CB">
        <w:rPr>
          <w:rFonts w:asciiTheme="majorHAnsi" w:hAnsiTheme="majorHAnsi" w:cstheme="majorHAnsi"/>
          <w:color w:val="808080" w:themeColor="background1" w:themeShade="80"/>
          <w:sz w:val="16"/>
          <w:szCs w:val="16"/>
        </w:rPr>
        <w:t>, Mar. 14, 2017.</w:t>
      </w:r>
    </w:p>
  </w:footnote>
  <w:footnote w:id="311">
    <w:p w14:paraId="6AF8224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Pew Charitable Trusts, </w:t>
      </w:r>
      <w:hyperlink r:id="rId375" w:history="1">
        <w:r w:rsidRPr="001167CB">
          <w:rPr>
            <w:rStyle w:val="Hyperlink"/>
            <w:rFonts w:asciiTheme="majorHAnsi" w:hAnsiTheme="majorHAnsi" w:cstheme="majorHAnsi"/>
            <w:color w:val="808080" w:themeColor="background1" w:themeShade="80"/>
            <w:sz w:val="16"/>
            <w:szCs w:val="16"/>
          </w:rPr>
          <w:t>State Reforms Reverse Decades of Incarceration Growth</w:t>
        </w:r>
      </w:hyperlink>
      <w:r w:rsidRPr="001167CB">
        <w:rPr>
          <w:rFonts w:asciiTheme="majorHAnsi" w:hAnsiTheme="majorHAnsi" w:cstheme="majorHAnsi"/>
          <w:color w:val="808080" w:themeColor="background1" w:themeShade="80"/>
          <w:sz w:val="16"/>
          <w:szCs w:val="16"/>
        </w:rPr>
        <w:t>, Mar. 21, 2017. This report notes that the number of adults subject to any kind of correctional control, such as probation or parole, is much higher than the incarceration rate, but has also been falling since 2007, from a peak of 1 in 31 adults in the U.S. subject to correctional control to the current rate of 1 in 37.</w:t>
      </w:r>
    </w:p>
  </w:footnote>
  <w:footnote w:id="312">
    <w:p w14:paraId="4C47E24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Sentencing Project, </w:t>
      </w:r>
      <w:hyperlink r:id="rId376" w:history="1">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Color of Justice: Racial and Ethnic Disparity in State Prisons</w:t>
        </w:r>
      </w:hyperlink>
      <w:r w:rsidRPr="001167CB">
        <w:rPr>
          <w:rFonts w:asciiTheme="majorHAnsi" w:hAnsiTheme="majorHAnsi" w:cstheme="majorHAnsi"/>
          <w:color w:val="808080" w:themeColor="background1" w:themeShade="80"/>
          <w:sz w:val="16"/>
          <w:szCs w:val="16"/>
        </w:rPr>
        <w:t>, June 14, 2016.</w:t>
      </w:r>
    </w:p>
  </w:footnote>
  <w:footnote w:id="313">
    <w:p w14:paraId="7CC0613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314">
    <w:p w14:paraId="7B5F1169" w14:textId="77777777" w:rsidR="005C2394" w:rsidRPr="001167CB" w:rsidRDefault="005C2394" w:rsidP="002C64F8">
      <w:pPr>
        <w:spacing w:after="40" w:line="240" w:lineRule="auto"/>
        <w:ind w:left="547" w:hanging="547"/>
        <w:jc w:val="both"/>
        <w:rPr>
          <w:rFonts w:asciiTheme="majorHAnsi" w:eastAsia="Times New Roman"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Death Penalty Information Center, </w:t>
      </w:r>
      <w:hyperlink r:id="rId377" w:history="1">
        <w:r w:rsidRPr="001167CB">
          <w:rPr>
            <w:rStyle w:val="Hyperlink"/>
            <w:rFonts w:asciiTheme="majorHAnsi" w:hAnsiTheme="majorHAnsi" w:cstheme="majorHAnsi"/>
            <w:bCs/>
            <w:color w:val="808080" w:themeColor="background1" w:themeShade="80"/>
            <w:sz w:val="16"/>
            <w:szCs w:val="16"/>
            <w:shd w:val="clear" w:color="auto" w:fill="FFFFFF"/>
          </w:rPr>
          <w:t>National Statistics on the Death Penalty and Race,</w:t>
        </w:r>
      </w:hyperlink>
      <w:r w:rsidRPr="001167CB">
        <w:rPr>
          <w:rFonts w:asciiTheme="majorHAnsi" w:eastAsia="Times New Roman" w:hAnsiTheme="majorHAnsi" w:cstheme="majorHAnsi"/>
          <w:bCs/>
          <w:color w:val="808080" w:themeColor="background1" w:themeShade="80"/>
          <w:sz w:val="16"/>
          <w:szCs w:val="16"/>
          <w:shd w:val="clear" w:color="auto" w:fill="FFFFFF"/>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eastAsia="Times New Roman" w:hAnsiTheme="majorHAnsi" w:cstheme="majorHAnsi"/>
          <w:bCs/>
          <w:color w:val="808080" w:themeColor="background1" w:themeShade="80"/>
          <w:sz w:val="16"/>
          <w:szCs w:val="16"/>
          <w:shd w:val="clear" w:color="auto" w:fill="FFFFFF"/>
        </w:rPr>
        <w:t>2017.</w:t>
      </w:r>
    </w:p>
  </w:footnote>
  <w:footnote w:id="315">
    <w:p w14:paraId="092BE87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Prison Policy Initiative, </w:t>
      </w:r>
      <w:hyperlink r:id="rId378" w:history="1">
        <w:r w:rsidRPr="001167CB">
          <w:rPr>
            <w:rStyle w:val="Hyperlink"/>
            <w:rFonts w:asciiTheme="majorHAnsi" w:hAnsiTheme="majorHAnsi" w:cstheme="majorHAnsi"/>
            <w:color w:val="808080" w:themeColor="background1" w:themeShade="80"/>
            <w:sz w:val="16"/>
            <w:szCs w:val="16"/>
          </w:rPr>
          <w:t>Breaking Down Mass Incarceration in the 2010 Census: State-by-State Incarceration Rates by Race/Ethnicity</w:t>
        </w:r>
      </w:hyperlink>
      <w:r w:rsidRPr="001167CB">
        <w:rPr>
          <w:rFonts w:asciiTheme="majorHAnsi" w:hAnsiTheme="majorHAnsi" w:cstheme="majorHAnsi"/>
          <w:color w:val="808080" w:themeColor="background1" w:themeShade="80"/>
          <w:sz w:val="16"/>
          <w:szCs w:val="16"/>
        </w:rPr>
        <w:t>, May 28, 2014.</w:t>
      </w:r>
    </w:p>
  </w:footnote>
  <w:footnote w:id="316">
    <w:p w14:paraId="74814EA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Sentencing Project, </w:t>
      </w:r>
      <w:hyperlink r:id="rId379" w:history="1">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Color of Justice: Racial and Ethnic Disparity in State Prisons</w:t>
        </w:r>
      </w:hyperlink>
      <w:r w:rsidRPr="001167CB">
        <w:rPr>
          <w:rFonts w:asciiTheme="majorHAnsi" w:hAnsiTheme="majorHAnsi" w:cstheme="majorHAnsi"/>
          <w:color w:val="808080" w:themeColor="background1" w:themeShade="80"/>
          <w:sz w:val="16"/>
          <w:szCs w:val="16"/>
        </w:rPr>
        <w:t>, June 14, 2016.</w:t>
      </w:r>
    </w:p>
  </w:footnote>
  <w:footnote w:id="317">
    <w:p w14:paraId="1FB261F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380" w:history="1">
        <w:r w:rsidRPr="001167CB">
          <w:rPr>
            <w:rStyle w:val="Hyperlink"/>
            <w:rFonts w:asciiTheme="majorHAnsi" w:hAnsiTheme="majorHAnsi" w:cstheme="majorHAnsi"/>
            <w:bCs/>
            <w:color w:val="808080" w:themeColor="background1" w:themeShade="80"/>
            <w:sz w:val="16"/>
            <w:szCs w:val="16"/>
          </w:rPr>
          <w:t>Measures to Reduce Pretrial Detention</w:t>
        </w:r>
      </w:hyperlink>
      <w:r w:rsidRPr="001167CB">
        <w:rPr>
          <w:rFonts w:asciiTheme="majorHAnsi" w:hAnsiTheme="majorHAnsi" w:cstheme="majorHAnsi"/>
          <w:bCs/>
          <w:color w:val="808080" w:themeColor="background1" w:themeShade="80"/>
          <w:sz w:val="16"/>
          <w:szCs w:val="16"/>
        </w:rPr>
        <w:t>, OEA/</w:t>
      </w:r>
      <w:proofErr w:type="spellStart"/>
      <w:r w:rsidRPr="001167CB">
        <w:rPr>
          <w:rFonts w:asciiTheme="majorHAnsi" w:hAnsiTheme="majorHAnsi" w:cstheme="majorHAnsi"/>
          <w:bCs/>
          <w:color w:val="808080" w:themeColor="background1" w:themeShade="80"/>
          <w:sz w:val="16"/>
          <w:szCs w:val="16"/>
        </w:rPr>
        <w:t>Ser.L</w:t>
      </w:r>
      <w:proofErr w:type="spellEnd"/>
      <w:r w:rsidRPr="001167CB">
        <w:rPr>
          <w:rFonts w:asciiTheme="majorHAnsi" w:hAnsiTheme="majorHAnsi" w:cstheme="majorHAnsi"/>
          <w:bCs/>
          <w:color w:val="808080" w:themeColor="background1" w:themeShade="80"/>
          <w:sz w:val="16"/>
          <w:szCs w:val="16"/>
        </w:rPr>
        <w:t xml:space="preserve">/V/II.163, Doc. 105 (2017), </w:t>
      </w:r>
      <w:r w:rsidRPr="001167CB">
        <w:rPr>
          <w:rFonts w:asciiTheme="majorHAnsi" w:hAnsiTheme="majorHAnsi" w:cstheme="majorHAnsi"/>
          <w:color w:val="808080" w:themeColor="background1" w:themeShade="80"/>
          <w:sz w:val="16"/>
          <w:szCs w:val="16"/>
        </w:rPr>
        <w:t>para. 153.</w:t>
      </w:r>
    </w:p>
  </w:footnote>
  <w:footnote w:id="318">
    <w:p w14:paraId="1963F9F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e.g.,</w:t>
      </w:r>
      <w:r w:rsidRPr="001167CB">
        <w:rPr>
          <w:rFonts w:asciiTheme="majorHAnsi" w:hAnsiTheme="majorHAnsi" w:cstheme="majorHAnsi"/>
          <w:color w:val="808080" w:themeColor="background1" w:themeShade="80"/>
          <w:sz w:val="16"/>
          <w:szCs w:val="16"/>
        </w:rPr>
        <w:t xml:space="preserve"> IACHR, Press Release No. 120/12, </w:t>
      </w:r>
      <w:hyperlink r:id="rId381" w:history="1">
        <w:r w:rsidRPr="001167CB">
          <w:rPr>
            <w:rStyle w:val="Hyperlink"/>
            <w:rFonts w:asciiTheme="majorHAnsi" w:hAnsiTheme="majorHAnsi" w:cstheme="majorHAnsi"/>
            <w:color w:val="808080" w:themeColor="background1" w:themeShade="80"/>
            <w:sz w:val="16"/>
            <w:szCs w:val="16"/>
          </w:rPr>
          <w:t>IACHR Expresses Concern on Acts of Violence in Prison in the United States</w:t>
        </w:r>
      </w:hyperlink>
      <w:r w:rsidRPr="001167CB">
        <w:rPr>
          <w:rFonts w:asciiTheme="majorHAnsi" w:hAnsiTheme="majorHAnsi" w:cstheme="majorHAnsi"/>
          <w:color w:val="808080" w:themeColor="background1" w:themeShade="80"/>
          <w:sz w:val="16"/>
          <w:szCs w:val="16"/>
        </w:rPr>
        <w:t xml:space="preserve">, Sept. 26, 2012; Press Release No. 104/14, </w:t>
      </w:r>
      <w:hyperlink r:id="rId382" w:history="1">
        <w:r w:rsidRPr="001167CB">
          <w:rPr>
            <w:rStyle w:val="Hyperlink"/>
            <w:rFonts w:asciiTheme="majorHAnsi" w:hAnsiTheme="majorHAnsi" w:cstheme="majorHAnsi"/>
            <w:color w:val="808080" w:themeColor="background1" w:themeShade="80"/>
            <w:sz w:val="16"/>
            <w:szCs w:val="16"/>
          </w:rPr>
          <w:t xml:space="preserve">IACHR Expresses Concern over Detention Conditions at </w:t>
        </w:r>
        <w:proofErr w:type="spellStart"/>
        <w:r w:rsidRPr="001167CB">
          <w:rPr>
            <w:rStyle w:val="Hyperlink"/>
            <w:rFonts w:asciiTheme="majorHAnsi" w:hAnsiTheme="majorHAnsi" w:cstheme="majorHAnsi"/>
            <w:color w:val="808080" w:themeColor="background1" w:themeShade="80"/>
            <w:sz w:val="16"/>
            <w:szCs w:val="16"/>
          </w:rPr>
          <w:t>Rikers</w:t>
        </w:r>
        <w:proofErr w:type="spellEnd"/>
        <w:r w:rsidRPr="001167CB">
          <w:rPr>
            <w:rStyle w:val="Hyperlink"/>
            <w:rFonts w:asciiTheme="majorHAnsi" w:hAnsiTheme="majorHAnsi" w:cstheme="majorHAnsi"/>
            <w:color w:val="808080" w:themeColor="background1" w:themeShade="80"/>
            <w:sz w:val="16"/>
            <w:szCs w:val="16"/>
          </w:rPr>
          <w:t xml:space="preserve"> Island Prison, United States, a year after the tragic death of an inmate</w:t>
        </w:r>
      </w:hyperlink>
      <w:r w:rsidRPr="001167CB">
        <w:rPr>
          <w:rFonts w:asciiTheme="majorHAnsi" w:hAnsiTheme="majorHAnsi" w:cstheme="majorHAnsi"/>
          <w:color w:val="808080" w:themeColor="background1" w:themeShade="80"/>
          <w:sz w:val="16"/>
          <w:szCs w:val="16"/>
        </w:rPr>
        <w:t>, Sept. 18, 2014.</w:t>
      </w:r>
    </w:p>
  </w:footnote>
  <w:footnote w:id="319">
    <w:p w14:paraId="2B7896E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383"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w:t>
      </w:r>
    </w:p>
  </w:footnote>
  <w:footnote w:id="320">
    <w:p w14:paraId="4C40E0A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U.N., Working Group on People of African Descent. </w:t>
      </w:r>
      <w:hyperlink r:id="rId384" w:history="1">
        <w:r w:rsidRPr="001167CB">
          <w:rPr>
            <w:rStyle w:val="Hyperlink"/>
            <w:rFonts w:asciiTheme="majorHAnsi" w:hAnsiTheme="majorHAnsi" w:cstheme="majorHAnsi"/>
            <w:bCs/>
            <w:color w:val="808080" w:themeColor="background1" w:themeShade="80"/>
            <w:sz w:val="16"/>
            <w:szCs w:val="16"/>
          </w:rPr>
          <w:t>Report on mission to the U.S.</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18, 2016</w:t>
      </w:r>
      <w:r w:rsidRPr="001167CB">
        <w:rPr>
          <w:rFonts w:asciiTheme="majorHAnsi" w:hAnsiTheme="majorHAnsi" w:cstheme="majorHAnsi"/>
          <w:color w:val="808080" w:themeColor="background1" w:themeShade="80"/>
          <w:sz w:val="16"/>
          <w:szCs w:val="16"/>
        </w:rPr>
        <w:t>, para. 35.</w:t>
      </w:r>
    </w:p>
  </w:footnote>
  <w:footnote w:id="321">
    <w:p w14:paraId="6FF8036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Solitary Watch, </w:t>
      </w:r>
      <w:hyperlink r:id="rId385" w:history="1">
        <w:r w:rsidRPr="001167CB">
          <w:rPr>
            <w:rStyle w:val="Hyperlink"/>
            <w:rFonts w:asciiTheme="majorHAnsi" w:hAnsiTheme="majorHAnsi" w:cstheme="majorHAnsi"/>
            <w:color w:val="808080" w:themeColor="background1" w:themeShade="80"/>
            <w:sz w:val="16"/>
            <w:szCs w:val="16"/>
          </w:rPr>
          <w:t>Prison Segregation and Racial Disparities</w:t>
        </w:r>
      </w:hyperlink>
      <w:r w:rsidRPr="001167CB">
        <w:rPr>
          <w:rFonts w:asciiTheme="majorHAnsi" w:hAnsiTheme="majorHAnsi" w:cstheme="majorHAnsi"/>
          <w:color w:val="808080" w:themeColor="background1" w:themeShade="80"/>
          <w:sz w:val="16"/>
          <w:szCs w:val="16"/>
        </w:rPr>
        <w:t xml:space="preserve">, Nov. 2, 2013; </w:t>
      </w:r>
      <w:r w:rsidRPr="001167CB">
        <w:rPr>
          <w:rFonts w:asciiTheme="majorHAnsi" w:hAnsiTheme="majorHAnsi" w:cstheme="majorHAnsi"/>
          <w:bCs/>
          <w:color w:val="808080" w:themeColor="background1" w:themeShade="80"/>
          <w:sz w:val="16"/>
          <w:szCs w:val="16"/>
        </w:rPr>
        <w:t xml:space="preserve">U.N., Working Group on People of African Descent. </w:t>
      </w:r>
      <w:hyperlink r:id="rId386" w:history="1">
        <w:r w:rsidRPr="001167CB">
          <w:rPr>
            <w:rStyle w:val="Hyperlink"/>
            <w:rFonts w:asciiTheme="majorHAnsi" w:hAnsiTheme="majorHAnsi" w:cstheme="majorHAnsi"/>
            <w:bCs/>
            <w:color w:val="808080" w:themeColor="background1" w:themeShade="80"/>
            <w:sz w:val="16"/>
            <w:szCs w:val="16"/>
          </w:rPr>
          <w:t>Report on mission to the U.S.</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18, 2016</w:t>
      </w:r>
      <w:r w:rsidRPr="001167CB">
        <w:rPr>
          <w:rFonts w:asciiTheme="majorHAnsi" w:hAnsiTheme="majorHAnsi" w:cstheme="majorHAnsi"/>
          <w:color w:val="808080" w:themeColor="background1" w:themeShade="80"/>
          <w:sz w:val="16"/>
          <w:szCs w:val="16"/>
        </w:rPr>
        <w:t>, para. 35.</w:t>
      </w:r>
    </w:p>
  </w:footnote>
  <w:footnote w:id="322">
    <w:p w14:paraId="18A71C8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Press Release No. 51/13, </w:t>
      </w:r>
      <w:hyperlink r:id="rId387" w:history="1">
        <w:r w:rsidRPr="001167CB">
          <w:rPr>
            <w:rStyle w:val="Hyperlink"/>
            <w:rFonts w:asciiTheme="majorHAnsi" w:hAnsiTheme="majorHAnsi" w:cstheme="majorHAnsi"/>
            <w:color w:val="808080" w:themeColor="background1" w:themeShade="80"/>
            <w:sz w:val="16"/>
            <w:szCs w:val="16"/>
          </w:rPr>
          <w:t>IACHR Expresses Concern over Excessive Use of Solitary Confinement in the United States</w:t>
        </w:r>
      </w:hyperlink>
      <w:r w:rsidRPr="001167CB">
        <w:rPr>
          <w:rFonts w:asciiTheme="majorHAnsi" w:hAnsiTheme="majorHAnsi" w:cstheme="majorHAnsi"/>
          <w:color w:val="808080" w:themeColor="background1" w:themeShade="80"/>
          <w:sz w:val="16"/>
          <w:szCs w:val="16"/>
        </w:rPr>
        <w:t>, July 18, 2013.</w:t>
      </w:r>
    </w:p>
  </w:footnote>
  <w:footnote w:id="323">
    <w:p w14:paraId="5DFE0AA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New York Times, </w:t>
      </w:r>
      <w:hyperlink r:id="rId388" w:history="1">
        <w:r w:rsidRPr="001167CB">
          <w:rPr>
            <w:rStyle w:val="Hyperlink"/>
            <w:rFonts w:asciiTheme="majorHAnsi" w:hAnsiTheme="majorHAnsi" w:cstheme="majorHAnsi"/>
            <w:color w:val="808080" w:themeColor="background1" w:themeShade="80"/>
            <w:sz w:val="16"/>
            <w:szCs w:val="16"/>
          </w:rPr>
          <w:t>Jay-Z: The Criminal Justice System Stalks Black People Like Meek Mill</w:t>
        </w:r>
      </w:hyperlink>
      <w:r w:rsidRPr="001167CB">
        <w:rPr>
          <w:rFonts w:asciiTheme="majorHAnsi" w:hAnsiTheme="majorHAnsi" w:cstheme="majorHAnsi"/>
          <w:color w:val="808080" w:themeColor="background1" w:themeShade="80"/>
          <w:sz w:val="16"/>
          <w:szCs w:val="16"/>
        </w:rPr>
        <w:t>, Nov. 17, 2017.</w:t>
      </w:r>
    </w:p>
  </w:footnote>
  <w:footnote w:id="324">
    <w:p w14:paraId="75EACD6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also generally </w:t>
      </w:r>
      <w:r w:rsidRPr="001167CB">
        <w:rPr>
          <w:rFonts w:asciiTheme="majorHAnsi" w:hAnsiTheme="majorHAnsi" w:cstheme="majorHAnsi"/>
          <w:color w:val="808080" w:themeColor="background1" w:themeShade="80"/>
          <w:sz w:val="16"/>
          <w:szCs w:val="16"/>
        </w:rPr>
        <w:t xml:space="preserve">Michelle Alexander, </w:t>
      </w:r>
      <w:r w:rsidRPr="001167CB">
        <w:rPr>
          <w:rFonts w:asciiTheme="majorHAnsi" w:hAnsiTheme="majorHAnsi" w:cstheme="majorHAnsi"/>
          <w:i/>
          <w:color w:val="808080" w:themeColor="background1" w:themeShade="80"/>
          <w:sz w:val="16"/>
          <w:szCs w:val="16"/>
        </w:rPr>
        <w:t>The New Jim Crow: Mass Incarceration in the Age of Colorblindness</w:t>
      </w:r>
      <w:r w:rsidRPr="001167CB">
        <w:rPr>
          <w:rFonts w:asciiTheme="majorHAnsi" w:hAnsiTheme="majorHAnsi" w:cstheme="majorHAnsi"/>
          <w:color w:val="808080" w:themeColor="background1" w:themeShade="80"/>
          <w:sz w:val="16"/>
          <w:szCs w:val="16"/>
        </w:rPr>
        <w:t xml:space="preserve"> (2010), pp. 157-165.</w:t>
      </w:r>
    </w:p>
  </w:footnote>
  <w:footnote w:id="325">
    <w:p w14:paraId="4BD6DF7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154th Period of Sessions, </w:t>
      </w:r>
      <w:hyperlink r:id="rId389" w:history="1">
        <w:r w:rsidRPr="001167CB">
          <w:rPr>
            <w:rStyle w:val="Hyperlink"/>
            <w:rFonts w:asciiTheme="majorHAnsi" w:hAnsiTheme="majorHAnsi" w:cstheme="majorHAnsi"/>
            <w:bCs/>
            <w:color w:val="808080" w:themeColor="background1" w:themeShade="80"/>
            <w:sz w:val="16"/>
            <w:szCs w:val="16"/>
          </w:rPr>
          <w:t>“Criminal Justice and Race”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Mar.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lang w:val="en-GB"/>
        </w:rPr>
        <w:t xml:space="preserve"> Press Release No. 035/2015, </w:t>
      </w:r>
      <w:hyperlink r:id="rId390" w:history="1">
        <w:r w:rsidRPr="001167CB">
          <w:rPr>
            <w:rStyle w:val="Hyperlink"/>
            <w:rFonts w:asciiTheme="majorHAnsi" w:hAnsiTheme="majorHAnsi" w:cstheme="majorHAnsi"/>
            <w:color w:val="808080" w:themeColor="background1" w:themeShade="80"/>
            <w:sz w:val="16"/>
            <w:szCs w:val="16"/>
            <w:lang w:val="en-GB"/>
          </w:rPr>
          <w:t>IACHR Wraps Up its 154th Session</w:t>
        </w:r>
      </w:hyperlink>
      <w:r w:rsidRPr="001167CB">
        <w:rPr>
          <w:rFonts w:asciiTheme="majorHAnsi" w:hAnsiTheme="majorHAnsi" w:cstheme="majorHAnsi"/>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rPr>
        <w:t xml:space="preserve">Mar. </w:t>
      </w:r>
      <w:r w:rsidRPr="001167CB">
        <w:rPr>
          <w:rFonts w:asciiTheme="majorHAnsi" w:hAnsiTheme="majorHAnsi" w:cstheme="majorHAnsi"/>
          <w:color w:val="808080" w:themeColor="background1" w:themeShade="80"/>
          <w:sz w:val="16"/>
          <w:szCs w:val="16"/>
          <w:lang w:val="en-GB"/>
        </w:rPr>
        <w:t>27, 2015.</w:t>
      </w:r>
    </w:p>
  </w:footnote>
  <w:footnote w:id="326">
    <w:p w14:paraId="0D483D4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153d Period of Sessions, </w:t>
      </w:r>
      <w:hyperlink r:id="rId391" w:history="1">
        <w:r w:rsidRPr="001167CB">
          <w:rPr>
            <w:rStyle w:val="Hyperlink"/>
            <w:rFonts w:asciiTheme="majorHAnsi" w:hAnsiTheme="majorHAnsi" w:cstheme="majorHAnsi"/>
            <w:bCs/>
            <w:color w:val="808080" w:themeColor="background1" w:themeShade="80"/>
            <w:sz w:val="16"/>
            <w:szCs w:val="16"/>
          </w:rPr>
          <w:t>“Racism in the Justice System”</w:t>
        </w:r>
      </w:hyperlink>
      <w:r w:rsidRPr="001167CB">
        <w:rPr>
          <w:rFonts w:asciiTheme="majorHAnsi" w:hAnsiTheme="majorHAnsi" w:cstheme="majorHAnsi"/>
          <w:bCs/>
          <w:color w:val="808080" w:themeColor="background1" w:themeShade="80"/>
          <w:sz w:val="16"/>
          <w:szCs w:val="16"/>
        </w:rPr>
        <w:t xml:space="preserve"> Hearing,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27, 2014</w:t>
      </w:r>
      <w:r w:rsidRPr="001167CB">
        <w:rPr>
          <w:rFonts w:asciiTheme="majorHAnsi" w:hAnsiTheme="majorHAnsi" w:cstheme="majorHAnsi"/>
          <w:color w:val="808080" w:themeColor="background1" w:themeShade="80"/>
          <w:sz w:val="16"/>
          <w:szCs w:val="16"/>
        </w:rPr>
        <w:t>.</w:t>
      </w:r>
    </w:p>
  </w:footnote>
  <w:footnote w:id="327">
    <w:p w14:paraId="2763FDE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392"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w:t>
      </w:r>
    </w:p>
  </w:footnote>
  <w:footnote w:id="328">
    <w:p w14:paraId="42112FD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e.g.</w:t>
      </w:r>
      <w:r w:rsidRPr="001167CB">
        <w:rPr>
          <w:rFonts w:asciiTheme="majorHAnsi" w:hAnsiTheme="majorHAnsi" w:cstheme="majorHAnsi"/>
          <w:color w:val="808080" w:themeColor="background1" w:themeShade="80"/>
          <w:sz w:val="16"/>
          <w:szCs w:val="16"/>
        </w:rPr>
        <w:t xml:space="preserve">, OHCHR, </w:t>
      </w:r>
      <w:hyperlink r:id="rId393" w:history="1">
        <w:r w:rsidRPr="001167CB">
          <w:rPr>
            <w:rStyle w:val="Hyperlink"/>
            <w:rFonts w:asciiTheme="majorHAnsi" w:hAnsiTheme="majorHAnsi" w:cstheme="majorHAnsi"/>
            <w:color w:val="808080" w:themeColor="background1" w:themeShade="80"/>
            <w:sz w:val="16"/>
            <w:szCs w:val="16"/>
          </w:rPr>
          <w:t>Statement on Visit to the USA, by Professor Philip Alston, United Nations Special Rapporteur on extreme poverty and human rights</w:t>
        </w:r>
      </w:hyperlink>
      <w:r w:rsidRPr="001167CB">
        <w:rPr>
          <w:rFonts w:asciiTheme="majorHAnsi" w:hAnsiTheme="majorHAnsi" w:cstheme="majorHAnsi"/>
          <w:color w:val="808080" w:themeColor="background1" w:themeShade="80"/>
          <w:sz w:val="16"/>
          <w:szCs w:val="16"/>
        </w:rPr>
        <w:t>, Dec. 15, 2017, para. 18 (“Then there is covert disenfranchisement, which includes the dramatic gerrymandering of electoral districts to privilege particular groups of voters, the imposition of artificial and unnecessary voter ID requirements, the blatant manipulation of polling station locations, the relocating of DMVs to make it more difficult for certain groups to obtain IDs, and the general ramping up of obstacles to voting especially by those without resources. The net result is that people living in poverty, minorities, and other disfavored groups are being systematically deprived of their voting rights.”)</w:t>
      </w:r>
    </w:p>
  </w:footnote>
  <w:footnote w:id="329">
    <w:p w14:paraId="2865DEB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153d Period of Sessions, </w:t>
      </w:r>
      <w:hyperlink r:id="rId394" w:history="1">
        <w:r w:rsidRPr="001167CB">
          <w:rPr>
            <w:rStyle w:val="Hyperlink"/>
            <w:rFonts w:asciiTheme="majorHAnsi" w:hAnsiTheme="majorHAnsi" w:cstheme="majorHAnsi"/>
            <w:bCs/>
            <w:color w:val="808080" w:themeColor="background1" w:themeShade="80"/>
            <w:sz w:val="16"/>
            <w:szCs w:val="16"/>
          </w:rPr>
          <w:t>“Racism in the Justice System”</w:t>
        </w:r>
      </w:hyperlink>
      <w:r w:rsidRPr="001167CB">
        <w:rPr>
          <w:rFonts w:asciiTheme="majorHAnsi" w:hAnsiTheme="majorHAnsi" w:cstheme="majorHAnsi"/>
          <w:bCs/>
          <w:color w:val="808080" w:themeColor="background1" w:themeShade="80"/>
          <w:sz w:val="16"/>
          <w:szCs w:val="16"/>
        </w:rPr>
        <w:t xml:space="preserve"> Hearing,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27, 2014</w:t>
      </w:r>
      <w:r w:rsidRPr="001167CB">
        <w:rPr>
          <w:rFonts w:asciiTheme="majorHAnsi" w:hAnsiTheme="majorHAnsi" w:cstheme="majorHAnsi"/>
          <w:color w:val="808080" w:themeColor="background1" w:themeShade="80"/>
          <w:sz w:val="16"/>
          <w:szCs w:val="16"/>
        </w:rPr>
        <w:t>.</w:t>
      </w:r>
    </w:p>
  </w:footnote>
  <w:footnote w:id="330">
    <w:p w14:paraId="671D08F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Press Release No. 77/16, </w:t>
      </w:r>
      <w:hyperlink r:id="rId395" w:history="1">
        <w:r w:rsidRPr="001167CB">
          <w:rPr>
            <w:rStyle w:val="Hyperlink"/>
            <w:rFonts w:asciiTheme="majorHAnsi" w:hAnsiTheme="majorHAnsi" w:cstheme="majorHAnsi"/>
            <w:color w:val="808080" w:themeColor="background1" w:themeShade="80"/>
            <w:sz w:val="16"/>
            <w:szCs w:val="16"/>
          </w:rPr>
          <w:t>IACHR Welcomes the Restoration of Voting Rights for Former Felons in the United States</w:t>
        </w:r>
      </w:hyperlink>
      <w:r w:rsidRPr="001167CB">
        <w:rPr>
          <w:rFonts w:asciiTheme="majorHAnsi" w:hAnsiTheme="majorHAnsi" w:cstheme="majorHAnsi"/>
          <w:color w:val="808080" w:themeColor="background1" w:themeShade="80"/>
          <w:sz w:val="16"/>
          <w:szCs w:val="16"/>
        </w:rPr>
        <w:t>, June 14, 2016.</w:t>
      </w:r>
    </w:p>
  </w:footnote>
  <w:footnote w:id="331">
    <w:p w14:paraId="5FEE9FD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332">
    <w:p w14:paraId="6076AAF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bCs/>
          <w:color w:val="808080" w:themeColor="background1" w:themeShade="80"/>
          <w:sz w:val="16"/>
          <w:szCs w:val="16"/>
        </w:rPr>
        <w:t xml:space="preserve">Human Rights </w:t>
      </w:r>
      <w:proofErr w:type="gramStart"/>
      <w:r w:rsidRPr="001167CB">
        <w:rPr>
          <w:rFonts w:asciiTheme="majorHAnsi" w:hAnsiTheme="majorHAnsi" w:cstheme="majorHAnsi"/>
          <w:bCs/>
          <w:color w:val="808080" w:themeColor="background1" w:themeShade="80"/>
          <w:sz w:val="16"/>
          <w:szCs w:val="16"/>
        </w:rPr>
        <w:t>Comm..</w:t>
      </w:r>
      <w:proofErr w:type="gramEnd"/>
      <w:r w:rsidRPr="001167CB">
        <w:rPr>
          <w:rFonts w:asciiTheme="majorHAnsi" w:hAnsiTheme="majorHAnsi" w:cstheme="majorHAnsi"/>
          <w:bCs/>
          <w:color w:val="808080" w:themeColor="background1" w:themeShade="80"/>
          <w:sz w:val="16"/>
          <w:szCs w:val="16"/>
        </w:rPr>
        <w:t xml:space="preserve"> </w:t>
      </w:r>
      <w:hyperlink r:id="rId396"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bCs/>
          <w:color w:val="808080" w:themeColor="background1" w:themeShade="80"/>
          <w:sz w:val="16"/>
          <w:szCs w:val="16"/>
        </w:rPr>
        <w:t>23, 2014</w:t>
      </w:r>
      <w:r w:rsidRPr="001167CB">
        <w:rPr>
          <w:rFonts w:asciiTheme="majorHAnsi" w:hAnsiTheme="majorHAnsi" w:cstheme="majorHAnsi"/>
          <w:color w:val="808080" w:themeColor="background1" w:themeShade="80"/>
          <w:sz w:val="16"/>
          <w:szCs w:val="16"/>
        </w:rPr>
        <w:t xml:space="preserve">, para. 24; </w:t>
      </w:r>
      <w:r w:rsidRPr="001167CB">
        <w:rPr>
          <w:rFonts w:asciiTheme="majorHAnsi" w:hAnsiTheme="majorHAnsi" w:cstheme="majorHAnsi"/>
          <w:bCs/>
          <w:color w:val="808080" w:themeColor="background1" w:themeShade="80"/>
          <w:sz w:val="16"/>
          <w:szCs w:val="16"/>
        </w:rPr>
        <w:t xml:space="preserve">CERD, </w:t>
      </w:r>
      <w:hyperlink r:id="rId397"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bCs/>
          <w:color w:val="808080" w:themeColor="background1" w:themeShade="80"/>
          <w:sz w:val="16"/>
          <w:szCs w:val="16"/>
        </w:rPr>
        <w:t>25, 2014</w:t>
      </w:r>
      <w:r w:rsidRPr="001167CB">
        <w:rPr>
          <w:rFonts w:asciiTheme="majorHAnsi" w:hAnsiTheme="majorHAnsi" w:cstheme="majorHAnsi"/>
          <w:color w:val="808080" w:themeColor="background1" w:themeShade="80"/>
          <w:sz w:val="16"/>
          <w:szCs w:val="16"/>
        </w:rPr>
        <w:t xml:space="preserve">, para. 11; Brennan Center for Justice, </w:t>
      </w:r>
      <w:hyperlink r:id="rId398" w:history="1">
        <w:r w:rsidRPr="001167CB">
          <w:rPr>
            <w:rStyle w:val="Hyperlink"/>
            <w:rFonts w:asciiTheme="majorHAnsi" w:hAnsiTheme="majorHAnsi" w:cstheme="majorHAnsi"/>
            <w:color w:val="808080" w:themeColor="background1" w:themeShade="80"/>
            <w:sz w:val="16"/>
            <w:szCs w:val="16"/>
          </w:rPr>
          <w:t>Judge Sotomayor in Good Company on Restoring Voting Rights</w:t>
        </w:r>
      </w:hyperlink>
      <w:r w:rsidRPr="001167CB">
        <w:rPr>
          <w:rFonts w:asciiTheme="majorHAnsi" w:hAnsiTheme="majorHAnsi" w:cstheme="majorHAnsi"/>
          <w:color w:val="808080" w:themeColor="background1" w:themeShade="80"/>
          <w:sz w:val="16"/>
          <w:szCs w:val="16"/>
        </w:rPr>
        <w:t>, June 2, 2009.</w:t>
      </w:r>
    </w:p>
  </w:footnote>
  <w:footnote w:id="333">
    <w:p w14:paraId="438A620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n-GB"/>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154th Period of Sessions, </w:t>
      </w:r>
      <w:hyperlink r:id="rId399" w:history="1">
        <w:r w:rsidRPr="001167CB">
          <w:rPr>
            <w:rStyle w:val="Hyperlink"/>
            <w:rFonts w:asciiTheme="majorHAnsi" w:hAnsiTheme="majorHAnsi" w:cstheme="majorHAnsi"/>
            <w:bCs/>
            <w:color w:val="808080" w:themeColor="background1" w:themeShade="80"/>
            <w:sz w:val="16"/>
            <w:szCs w:val="16"/>
          </w:rPr>
          <w:t>“Criminal Justice and Race”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Mar.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Lawyers’ Committee for Civil Rights </w:t>
      </w:r>
      <w:proofErr w:type="gramStart"/>
      <w:r w:rsidRPr="001167CB">
        <w:rPr>
          <w:rFonts w:asciiTheme="majorHAnsi" w:hAnsiTheme="majorHAnsi" w:cstheme="majorHAnsi"/>
          <w:color w:val="808080" w:themeColor="background1" w:themeShade="80"/>
          <w:sz w:val="16"/>
          <w:szCs w:val="16"/>
        </w:rPr>
        <w:t>Under</w:t>
      </w:r>
      <w:proofErr w:type="gramEnd"/>
      <w:r w:rsidRPr="001167CB">
        <w:rPr>
          <w:rFonts w:asciiTheme="majorHAnsi" w:hAnsiTheme="majorHAnsi" w:cstheme="majorHAnsi"/>
          <w:color w:val="808080" w:themeColor="background1" w:themeShade="80"/>
          <w:sz w:val="16"/>
          <w:szCs w:val="16"/>
        </w:rPr>
        <w:t xml:space="preserve"> Law, </w:t>
      </w:r>
      <w:hyperlink r:id="rId400" w:history="1">
        <w:r w:rsidRPr="001167CB">
          <w:rPr>
            <w:rStyle w:val="Hyperlink"/>
            <w:rFonts w:asciiTheme="majorHAnsi" w:hAnsiTheme="majorHAnsi" w:cstheme="majorHAnsi"/>
            <w:color w:val="808080" w:themeColor="background1" w:themeShade="80"/>
            <w:sz w:val="16"/>
            <w:szCs w:val="16"/>
            <w:lang w:val="en-GB"/>
          </w:rPr>
          <w:t>Best Practice Standards: The Proper Use of Criminal Records in Hiring</w:t>
        </w:r>
      </w:hyperlink>
      <w:r w:rsidRPr="001167CB">
        <w:rPr>
          <w:rFonts w:asciiTheme="majorHAnsi" w:hAnsiTheme="majorHAnsi" w:cstheme="majorHAnsi"/>
          <w:color w:val="808080" w:themeColor="background1" w:themeShade="80"/>
          <w:sz w:val="16"/>
          <w:szCs w:val="16"/>
          <w:lang w:val="en-GB"/>
        </w:rPr>
        <w:t>, May 21, 2013.</w:t>
      </w:r>
    </w:p>
  </w:footnote>
  <w:footnote w:id="334">
    <w:p w14:paraId="2EDEC61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Council of State Governments Justice Center, </w:t>
      </w:r>
      <w:hyperlink r:id="rId401" w:history="1">
        <w:r w:rsidRPr="001167CB">
          <w:rPr>
            <w:rStyle w:val="Hyperlink"/>
            <w:rFonts w:asciiTheme="majorHAnsi" w:hAnsiTheme="majorHAnsi" w:cstheme="majorHAnsi"/>
            <w:color w:val="808080" w:themeColor="background1" w:themeShade="80"/>
            <w:sz w:val="16"/>
            <w:szCs w:val="16"/>
          </w:rPr>
          <w:t>Researchers Examine Effects of a Criminal Record on Prospects for Employment</w:t>
        </w:r>
      </w:hyperlink>
      <w:r w:rsidRPr="001167CB">
        <w:rPr>
          <w:rFonts w:asciiTheme="majorHAnsi" w:hAnsiTheme="majorHAnsi" w:cstheme="majorHAnsi"/>
          <w:color w:val="808080" w:themeColor="background1" w:themeShade="80"/>
          <w:sz w:val="16"/>
          <w:szCs w:val="16"/>
        </w:rPr>
        <w:t>, Aug. 20, 2014.</w:t>
      </w:r>
    </w:p>
  </w:footnote>
  <w:footnote w:id="335">
    <w:p w14:paraId="336302C7" w14:textId="0DA4FB0D"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Indeed, the issue is so well-recognized that in 2016, the Department of Housing and Urban Development (HUD) issued a guidance saying that blanket refusals to rent to individuals with criminal records is de facto discrimination, because of the systemic disparities of the American criminal justice system: “Because of widespread racial and ethnic disparities in the U.S. criminal justice system, criminal history-based restrictions on access to housing are likely disproportionately to burden African-Americans and Hispanics.” NPR, </w:t>
      </w:r>
      <w:hyperlink r:id="rId402" w:history="1">
        <w:r w:rsidRPr="001167CB">
          <w:rPr>
            <w:rStyle w:val="Hyperlink"/>
            <w:rFonts w:asciiTheme="majorHAnsi" w:hAnsiTheme="majorHAnsi" w:cstheme="majorHAnsi"/>
            <w:color w:val="808080" w:themeColor="background1" w:themeShade="80"/>
            <w:sz w:val="16"/>
            <w:szCs w:val="16"/>
          </w:rPr>
          <w:t>Denying Housing Over Criminal Record May Be Discrimination, Feds Say</w:t>
        </w:r>
      </w:hyperlink>
      <w:r w:rsidRPr="001167CB">
        <w:rPr>
          <w:rFonts w:asciiTheme="majorHAnsi" w:hAnsiTheme="majorHAnsi" w:cstheme="majorHAnsi"/>
          <w:color w:val="808080" w:themeColor="background1" w:themeShade="80"/>
          <w:sz w:val="16"/>
          <w:szCs w:val="16"/>
        </w:rPr>
        <w:t xml:space="preserve">, </w:t>
      </w:r>
      <w:proofErr w:type="gramStart"/>
      <w:r w:rsidRPr="001167CB">
        <w:rPr>
          <w:rFonts w:asciiTheme="majorHAnsi" w:hAnsiTheme="majorHAnsi" w:cstheme="majorHAnsi"/>
          <w:color w:val="808080" w:themeColor="background1" w:themeShade="80"/>
          <w:sz w:val="16"/>
          <w:szCs w:val="16"/>
        </w:rPr>
        <w:t>Apr</w:t>
      </w:r>
      <w:proofErr w:type="gramEnd"/>
      <w:r w:rsidRPr="001167CB">
        <w:rPr>
          <w:rFonts w:asciiTheme="majorHAnsi" w:hAnsiTheme="majorHAnsi" w:cstheme="majorHAnsi"/>
          <w:color w:val="808080" w:themeColor="background1" w:themeShade="80"/>
          <w:sz w:val="16"/>
          <w:szCs w:val="16"/>
        </w:rPr>
        <w:t>. 4, 2016.</w:t>
      </w:r>
    </w:p>
  </w:footnote>
  <w:footnote w:id="336">
    <w:p w14:paraId="786E67A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Sentencing Project, </w:t>
      </w:r>
      <w:hyperlink r:id="rId403" w:history="1">
        <w:r w:rsidRPr="001167CB">
          <w:rPr>
            <w:rStyle w:val="Hyperlink"/>
            <w:rFonts w:asciiTheme="majorHAnsi" w:hAnsiTheme="majorHAnsi" w:cstheme="majorHAnsi"/>
            <w:color w:val="808080" w:themeColor="background1" w:themeShade="80"/>
            <w:sz w:val="16"/>
            <w:szCs w:val="16"/>
          </w:rPr>
          <w:t>State Advocacy Update: Efforts to Address Federal Drug Felony Ban on Public Benefits</w:t>
        </w:r>
      </w:hyperlink>
      <w:r w:rsidRPr="001167CB">
        <w:rPr>
          <w:rFonts w:asciiTheme="majorHAnsi" w:hAnsiTheme="majorHAnsi" w:cstheme="majorHAnsi"/>
          <w:color w:val="808080" w:themeColor="background1" w:themeShade="80"/>
          <w:sz w:val="16"/>
          <w:szCs w:val="16"/>
        </w:rPr>
        <w:t>, May 1, 2017.</w:t>
      </w:r>
    </w:p>
  </w:footnote>
  <w:footnote w:id="337">
    <w:p w14:paraId="3E8A757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FBI, </w:t>
      </w:r>
      <w:hyperlink r:id="rId404" w:history="1">
        <w:r w:rsidRPr="001167CB">
          <w:rPr>
            <w:rStyle w:val="Hyperlink"/>
            <w:rFonts w:asciiTheme="majorHAnsi" w:hAnsiTheme="majorHAnsi" w:cstheme="majorHAnsi"/>
            <w:color w:val="808080" w:themeColor="background1" w:themeShade="80"/>
            <w:sz w:val="16"/>
            <w:szCs w:val="16"/>
          </w:rPr>
          <w:t>2016 Hate Crime Statistics: Incidents and Offenses</w:t>
        </w:r>
      </w:hyperlink>
      <w:r w:rsidRPr="001167CB">
        <w:rPr>
          <w:rFonts w:asciiTheme="majorHAnsi" w:hAnsiTheme="majorHAnsi" w:cstheme="majorHAnsi"/>
          <w:color w:val="808080" w:themeColor="background1" w:themeShade="80"/>
          <w:sz w:val="16"/>
          <w:szCs w:val="16"/>
        </w:rPr>
        <w:t>, Nov. 2017.</w:t>
      </w:r>
    </w:p>
  </w:footnote>
  <w:footnote w:id="338">
    <w:p w14:paraId="60C81D8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Bureau of Justice Statistics, </w:t>
      </w:r>
      <w:hyperlink r:id="rId405" w:history="1">
        <w:r w:rsidRPr="001167CB">
          <w:rPr>
            <w:rStyle w:val="Hyperlink"/>
            <w:rFonts w:asciiTheme="majorHAnsi" w:hAnsiTheme="majorHAnsi" w:cstheme="majorHAnsi"/>
            <w:color w:val="808080" w:themeColor="background1" w:themeShade="80"/>
            <w:sz w:val="16"/>
            <w:szCs w:val="16"/>
          </w:rPr>
          <w:t>Hate Crime Victimization, 2004-2015</w:t>
        </w:r>
      </w:hyperlink>
      <w:r w:rsidRPr="001167CB">
        <w:rPr>
          <w:rFonts w:asciiTheme="majorHAnsi" w:hAnsiTheme="majorHAnsi" w:cstheme="majorHAnsi"/>
          <w:color w:val="808080" w:themeColor="background1" w:themeShade="80"/>
          <w:sz w:val="16"/>
          <w:szCs w:val="16"/>
        </w:rPr>
        <w:t xml:space="preserve">, June 29, 2017;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Southern Poverty Law Center, </w:t>
      </w:r>
      <w:hyperlink r:id="rId406" w:history="1">
        <w:r w:rsidRPr="001167CB">
          <w:rPr>
            <w:rStyle w:val="Hyperlink"/>
            <w:rFonts w:asciiTheme="majorHAnsi" w:hAnsiTheme="majorHAnsi" w:cstheme="majorHAnsi"/>
            <w:color w:val="808080" w:themeColor="background1" w:themeShade="80"/>
            <w:sz w:val="16"/>
            <w:szCs w:val="16"/>
          </w:rPr>
          <w:t>FBI: Hate crimes reach 5-year high in 2016, jumped as Trump rolled toward presidency</w:t>
        </w:r>
      </w:hyperlink>
      <w:r w:rsidRPr="001167CB">
        <w:rPr>
          <w:rFonts w:asciiTheme="majorHAnsi" w:hAnsiTheme="majorHAnsi" w:cstheme="majorHAnsi"/>
          <w:color w:val="808080" w:themeColor="background1" w:themeShade="80"/>
          <w:sz w:val="16"/>
          <w:szCs w:val="16"/>
        </w:rPr>
        <w:t xml:space="preserve">, Nov. 13, 2017; El País, </w:t>
      </w:r>
      <w:hyperlink r:id="rId407" w:history="1">
        <w:proofErr w:type="spellStart"/>
        <w:r w:rsidRPr="001167CB">
          <w:rPr>
            <w:rStyle w:val="Hyperlink"/>
            <w:rFonts w:asciiTheme="majorHAnsi" w:hAnsiTheme="majorHAnsi" w:cstheme="majorHAnsi"/>
            <w:color w:val="808080" w:themeColor="background1" w:themeShade="80"/>
            <w:sz w:val="16"/>
            <w:szCs w:val="16"/>
          </w:rPr>
          <w:t>Aumentan</w:t>
        </w:r>
        <w:proofErr w:type="spellEnd"/>
        <w:r w:rsidRPr="001167CB">
          <w:rPr>
            <w:rStyle w:val="Hyperlink"/>
            <w:rFonts w:asciiTheme="majorHAnsi" w:hAnsiTheme="majorHAnsi" w:cstheme="majorHAnsi"/>
            <w:color w:val="808080" w:themeColor="background1" w:themeShade="80"/>
            <w:sz w:val="16"/>
            <w:szCs w:val="16"/>
          </w:rPr>
          <w:t xml:space="preserve"> </w:t>
        </w:r>
        <w:proofErr w:type="spellStart"/>
        <w:r w:rsidRPr="001167CB">
          <w:rPr>
            <w:rStyle w:val="Hyperlink"/>
            <w:rFonts w:asciiTheme="majorHAnsi" w:hAnsiTheme="majorHAnsi" w:cstheme="majorHAnsi"/>
            <w:color w:val="808080" w:themeColor="background1" w:themeShade="80"/>
            <w:sz w:val="16"/>
            <w:szCs w:val="16"/>
          </w:rPr>
          <w:t>en</w:t>
        </w:r>
        <w:proofErr w:type="spellEnd"/>
        <w:r w:rsidRPr="001167CB">
          <w:rPr>
            <w:rStyle w:val="Hyperlink"/>
            <w:rFonts w:asciiTheme="majorHAnsi" w:hAnsiTheme="majorHAnsi" w:cstheme="majorHAnsi"/>
            <w:color w:val="808080" w:themeColor="background1" w:themeShade="80"/>
            <w:sz w:val="16"/>
            <w:szCs w:val="16"/>
          </w:rPr>
          <w:t xml:space="preserve"> EE UU </w:t>
        </w:r>
        <w:proofErr w:type="spellStart"/>
        <w:r w:rsidRPr="001167CB">
          <w:rPr>
            <w:rStyle w:val="Hyperlink"/>
            <w:rFonts w:asciiTheme="majorHAnsi" w:hAnsiTheme="majorHAnsi" w:cstheme="majorHAnsi"/>
            <w:color w:val="808080" w:themeColor="background1" w:themeShade="80"/>
            <w:sz w:val="16"/>
            <w:szCs w:val="16"/>
          </w:rPr>
          <w:t>los</w:t>
        </w:r>
        <w:proofErr w:type="spellEnd"/>
        <w:r w:rsidRPr="001167CB">
          <w:rPr>
            <w:rStyle w:val="Hyperlink"/>
            <w:rFonts w:asciiTheme="majorHAnsi" w:hAnsiTheme="majorHAnsi" w:cstheme="majorHAnsi"/>
            <w:color w:val="808080" w:themeColor="background1" w:themeShade="80"/>
            <w:sz w:val="16"/>
            <w:szCs w:val="16"/>
          </w:rPr>
          <w:t xml:space="preserve"> </w:t>
        </w:r>
        <w:proofErr w:type="spellStart"/>
        <w:r w:rsidRPr="001167CB">
          <w:rPr>
            <w:rStyle w:val="Hyperlink"/>
            <w:rFonts w:asciiTheme="majorHAnsi" w:hAnsiTheme="majorHAnsi" w:cstheme="majorHAnsi"/>
            <w:color w:val="808080" w:themeColor="background1" w:themeShade="80"/>
            <w:sz w:val="16"/>
            <w:szCs w:val="16"/>
          </w:rPr>
          <w:t>delitos</w:t>
        </w:r>
        <w:proofErr w:type="spellEnd"/>
        <w:r w:rsidRPr="001167CB">
          <w:rPr>
            <w:rStyle w:val="Hyperlink"/>
            <w:rFonts w:asciiTheme="majorHAnsi" w:hAnsiTheme="majorHAnsi" w:cstheme="majorHAnsi"/>
            <w:color w:val="808080" w:themeColor="background1" w:themeShade="80"/>
            <w:sz w:val="16"/>
            <w:szCs w:val="16"/>
          </w:rPr>
          <w:t xml:space="preserve"> de </w:t>
        </w:r>
        <w:proofErr w:type="spellStart"/>
        <w:r w:rsidRPr="001167CB">
          <w:rPr>
            <w:rStyle w:val="Hyperlink"/>
            <w:rFonts w:asciiTheme="majorHAnsi" w:hAnsiTheme="majorHAnsi" w:cstheme="majorHAnsi"/>
            <w:color w:val="808080" w:themeColor="background1" w:themeShade="80"/>
            <w:sz w:val="16"/>
            <w:szCs w:val="16"/>
          </w:rPr>
          <w:t>odio</w:t>
        </w:r>
        <w:proofErr w:type="spellEnd"/>
        <w:r w:rsidRPr="001167CB">
          <w:rPr>
            <w:rStyle w:val="Hyperlink"/>
            <w:rFonts w:asciiTheme="majorHAnsi" w:hAnsiTheme="majorHAnsi" w:cstheme="majorHAnsi"/>
            <w:color w:val="808080" w:themeColor="background1" w:themeShade="80"/>
            <w:sz w:val="16"/>
            <w:szCs w:val="16"/>
          </w:rPr>
          <w:t xml:space="preserve"> contra </w:t>
        </w:r>
        <w:proofErr w:type="spellStart"/>
        <w:r w:rsidRPr="001167CB">
          <w:rPr>
            <w:rStyle w:val="Hyperlink"/>
            <w:rFonts w:asciiTheme="majorHAnsi" w:hAnsiTheme="majorHAnsi" w:cstheme="majorHAnsi"/>
            <w:color w:val="808080" w:themeColor="background1" w:themeShade="80"/>
            <w:sz w:val="16"/>
            <w:szCs w:val="16"/>
          </w:rPr>
          <w:t>musulmanes</w:t>
        </w:r>
        <w:proofErr w:type="spellEnd"/>
        <w:r w:rsidRPr="001167CB">
          <w:rPr>
            <w:rStyle w:val="Hyperlink"/>
            <w:rFonts w:asciiTheme="majorHAnsi" w:hAnsiTheme="majorHAnsi" w:cstheme="majorHAnsi"/>
            <w:color w:val="808080" w:themeColor="background1" w:themeShade="80"/>
            <w:sz w:val="16"/>
            <w:szCs w:val="16"/>
          </w:rPr>
          <w:t xml:space="preserve"> y </w:t>
        </w:r>
        <w:proofErr w:type="spellStart"/>
        <w:r w:rsidRPr="001167CB">
          <w:rPr>
            <w:rStyle w:val="Hyperlink"/>
            <w:rFonts w:asciiTheme="majorHAnsi" w:hAnsiTheme="majorHAnsi" w:cstheme="majorHAnsi"/>
            <w:color w:val="808080" w:themeColor="background1" w:themeShade="80"/>
            <w:sz w:val="16"/>
            <w:szCs w:val="16"/>
          </w:rPr>
          <w:t>latinos</w:t>
        </w:r>
        <w:proofErr w:type="spellEnd"/>
      </w:hyperlink>
      <w:r w:rsidRPr="001167CB">
        <w:rPr>
          <w:rFonts w:asciiTheme="majorHAnsi" w:hAnsiTheme="majorHAnsi" w:cstheme="majorHAnsi"/>
          <w:color w:val="808080" w:themeColor="background1" w:themeShade="80"/>
          <w:sz w:val="16"/>
          <w:szCs w:val="16"/>
        </w:rPr>
        <w:t>, Nov. 13, 2017.</w:t>
      </w:r>
    </w:p>
  </w:footnote>
  <w:footnote w:id="339">
    <w:p w14:paraId="7821CE0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FBI, </w:t>
      </w:r>
      <w:hyperlink r:id="rId408" w:history="1">
        <w:r w:rsidRPr="001167CB">
          <w:rPr>
            <w:rStyle w:val="Hyperlink"/>
            <w:rFonts w:asciiTheme="majorHAnsi" w:hAnsiTheme="majorHAnsi" w:cstheme="majorHAnsi"/>
            <w:color w:val="808080" w:themeColor="background1" w:themeShade="80"/>
            <w:sz w:val="16"/>
            <w:szCs w:val="16"/>
          </w:rPr>
          <w:t>2016 Hate Crime Statistics: Incidents and Offenses</w:t>
        </w:r>
      </w:hyperlink>
      <w:r w:rsidRPr="001167CB">
        <w:rPr>
          <w:rFonts w:asciiTheme="majorHAnsi" w:hAnsiTheme="majorHAnsi" w:cstheme="majorHAnsi"/>
          <w:color w:val="808080" w:themeColor="background1" w:themeShade="80"/>
          <w:sz w:val="16"/>
          <w:szCs w:val="16"/>
        </w:rPr>
        <w:t>, Nov. 2017.</w:t>
      </w:r>
    </w:p>
  </w:footnote>
  <w:footnote w:id="340">
    <w:p w14:paraId="43EB059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e.g., </w:t>
      </w:r>
      <w:proofErr w:type="spellStart"/>
      <w:r w:rsidRPr="001167CB">
        <w:rPr>
          <w:rFonts w:asciiTheme="majorHAnsi" w:hAnsiTheme="majorHAnsi" w:cstheme="majorHAnsi"/>
          <w:color w:val="808080" w:themeColor="background1" w:themeShade="80"/>
          <w:sz w:val="16"/>
          <w:szCs w:val="16"/>
        </w:rPr>
        <w:t>Vox</w:t>
      </w:r>
      <w:proofErr w:type="spellEnd"/>
      <w:r w:rsidRPr="001167CB">
        <w:rPr>
          <w:rFonts w:asciiTheme="majorHAnsi" w:hAnsiTheme="majorHAnsi" w:cstheme="majorHAnsi"/>
          <w:color w:val="808080" w:themeColor="background1" w:themeShade="80"/>
          <w:sz w:val="16"/>
          <w:szCs w:val="16"/>
        </w:rPr>
        <w:t xml:space="preserve">, </w:t>
      </w:r>
      <w:hyperlink r:id="rId409" w:history="1">
        <w:r w:rsidRPr="001167CB">
          <w:rPr>
            <w:rStyle w:val="Hyperlink"/>
            <w:rFonts w:asciiTheme="majorHAnsi" w:hAnsiTheme="majorHAnsi" w:cstheme="majorHAnsi"/>
            <w:color w:val="808080" w:themeColor="background1" w:themeShade="80"/>
            <w:sz w:val="16"/>
            <w:szCs w:val="16"/>
          </w:rPr>
          <w:t>Why it’s so hard to prosecute a hate crime</w:t>
        </w:r>
      </w:hyperlink>
      <w:r w:rsidRPr="001167CB">
        <w:rPr>
          <w:rFonts w:asciiTheme="majorHAnsi" w:hAnsiTheme="majorHAnsi" w:cstheme="majorHAnsi"/>
          <w:color w:val="808080" w:themeColor="background1" w:themeShade="80"/>
          <w:sz w:val="16"/>
          <w:szCs w:val="16"/>
        </w:rPr>
        <w:t>, last updated May 23, 2017.</w:t>
      </w:r>
    </w:p>
  </w:footnote>
  <w:footnote w:id="341">
    <w:p w14:paraId="2A43551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BBC News, </w:t>
      </w:r>
      <w:hyperlink r:id="rId410" w:history="1">
        <w:r w:rsidRPr="001167CB">
          <w:rPr>
            <w:rStyle w:val="Hyperlink"/>
            <w:rFonts w:asciiTheme="majorHAnsi" w:hAnsiTheme="majorHAnsi" w:cstheme="majorHAnsi"/>
            <w:color w:val="808080" w:themeColor="background1" w:themeShade="80"/>
            <w:sz w:val="16"/>
            <w:szCs w:val="16"/>
          </w:rPr>
          <w:t>Charleston church shooting: Nine die in South Carolina 'hate crime'</w:t>
        </w:r>
      </w:hyperlink>
      <w:r w:rsidRPr="001167CB">
        <w:rPr>
          <w:rFonts w:asciiTheme="majorHAnsi" w:hAnsiTheme="majorHAnsi" w:cstheme="majorHAnsi"/>
          <w:color w:val="808080" w:themeColor="background1" w:themeShade="80"/>
          <w:sz w:val="16"/>
          <w:szCs w:val="16"/>
        </w:rPr>
        <w:t>, 18 June 2015.</w:t>
      </w:r>
    </w:p>
  </w:footnote>
  <w:footnote w:id="342">
    <w:p w14:paraId="7424334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Chicago Tribune, </w:t>
      </w:r>
      <w:hyperlink r:id="rId411" w:history="1">
        <w:r w:rsidRPr="001167CB">
          <w:rPr>
            <w:rStyle w:val="Hyperlink"/>
            <w:rFonts w:asciiTheme="majorHAnsi" w:hAnsiTheme="majorHAnsi" w:cstheme="majorHAnsi"/>
            <w:color w:val="808080" w:themeColor="background1" w:themeShade="80"/>
            <w:sz w:val="16"/>
            <w:szCs w:val="16"/>
          </w:rPr>
          <w:t xml:space="preserve">FBI: </w:t>
        </w:r>
        <w:proofErr w:type="spellStart"/>
        <w:r w:rsidRPr="001167CB">
          <w:rPr>
            <w:rStyle w:val="Hyperlink"/>
            <w:rFonts w:asciiTheme="majorHAnsi" w:hAnsiTheme="majorHAnsi" w:cstheme="majorHAnsi"/>
            <w:color w:val="808080" w:themeColor="background1" w:themeShade="80"/>
            <w:sz w:val="16"/>
            <w:szCs w:val="16"/>
          </w:rPr>
          <w:t>Dylann</w:t>
        </w:r>
        <w:proofErr w:type="spellEnd"/>
        <w:r w:rsidRPr="001167CB">
          <w:rPr>
            <w:rStyle w:val="Hyperlink"/>
            <w:rFonts w:asciiTheme="majorHAnsi" w:hAnsiTheme="majorHAnsi" w:cstheme="majorHAnsi"/>
            <w:color w:val="808080" w:themeColor="background1" w:themeShade="80"/>
            <w:sz w:val="16"/>
            <w:szCs w:val="16"/>
          </w:rPr>
          <w:t xml:space="preserve"> Roof displaying racist symbols even during his trial</w:t>
        </w:r>
      </w:hyperlink>
      <w:r w:rsidRPr="001167CB">
        <w:rPr>
          <w:rFonts w:asciiTheme="majorHAnsi" w:hAnsiTheme="majorHAnsi" w:cstheme="majorHAnsi"/>
          <w:color w:val="808080" w:themeColor="background1" w:themeShade="80"/>
          <w:sz w:val="16"/>
          <w:szCs w:val="16"/>
        </w:rPr>
        <w:t>, Jan. 6, 2017.</w:t>
      </w:r>
    </w:p>
  </w:footnote>
  <w:footnote w:id="343">
    <w:p w14:paraId="2BCF7E5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Washington Post, </w:t>
      </w:r>
      <w:hyperlink r:id="rId412" w:history="1">
        <w:r w:rsidRPr="001167CB">
          <w:rPr>
            <w:rStyle w:val="Hyperlink"/>
            <w:rFonts w:asciiTheme="majorHAnsi" w:hAnsiTheme="majorHAnsi" w:cstheme="majorHAnsi"/>
            <w:color w:val="808080" w:themeColor="background1" w:themeShade="80"/>
            <w:sz w:val="16"/>
            <w:szCs w:val="16"/>
          </w:rPr>
          <w:t>Charleston church shooter: ‘I would like to make it crystal clear, I do not regret what I did’</w:t>
        </w:r>
      </w:hyperlink>
      <w:r w:rsidRPr="001167CB">
        <w:rPr>
          <w:rFonts w:asciiTheme="majorHAnsi" w:hAnsiTheme="majorHAnsi" w:cstheme="majorHAnsi"/>
          <w:color w:val="808080" w:themeColor="background1" w:themeShade="80"/>
          <w:sz w:val="16"/>
          <w:szCs w:val="16"/>
        </w:rPr>
        <w:t xml:space="preserve">, Jan. 4, 2017; CNN, </w:t>
      </w:r>
      <w:hyperlink r:id="rId413" w:history="1">
        <w:proofErr w:type="spellStart"/>
        <w:r w:rsidRPr="001167CB">
          <w:rPr>
            <w:rStyle w:val="Hyperlink"/>
            <w:rFonts w:asciiTheme="majorHAnsi" w:hAnsiTheme="majorHAnsi" w:cstheme="majorHAnsi"/>
            <w:color w:val="808080" w:themeColor="background1" w:themeShade="80"/>
            <w:sz w:val="16"/>
            <w:szCs w:val="16"/>
          </w:rPr>
          <w:t>Dylann</w:t>
        </w:r>
        <w:proofErr w:type="spellEnd"/>
        <w:r w:rsidRPr="001167CB">
          <w:rPr>
            <w:rStyle w:val="Hyperlink"/>
            <w:rFonts w:asciiTheme="majorHAnsi" w:hAnsiTheme="majorHAnsi" w:cstheme="majorHAnsi"/>
            <w:color w:val="808080" w:themeColor="background1" w:themeShade="80"/>
            <w:sz w:val="16"/>
            <w:szCs w:val="16"/>
          </w:rPr>
          <w:t xml:space="preserve"> Roof jury: Death penalty for Charleston church shooter</w:t>
        </w:r>
      </w:hyperlink>
      <w:r w:rsidRPr="001167CB">
        <w:rPr>
          <w:rFonts w:asciiTheme="majorHAnsi" w:hAnsiTheme="majorHAnsi" w:cstheme="majorHAnsi"/>
          <w:color w:val="808080" w:themeColor="background1" w:themeShade="80"/>
          <w:sz w:val="16"/>
          <w:szCs w:val="16"/>
        </w:rPr>
        <w:t xml:space="preserve">, Jan. 10, 2017; NBC News, </w:t>
      </w:r>
      <w:hyperlink r:id="rId414" w:history="1">
        <w:proofErr w:type="spellStart"/>
        <w:r w:rsidRPr="001167CB">
          <w:rPr>
            <w:rStyle w:val="Hyperlink"/>
            <w:rFonts w:asciiTheme="majorHAnsi" w:hAnsiTheme="majorHAnsi" w:cstheme="majorHAnsi"/>
            <w:color w:val="808080" w:themeColor="background1" w:themeShade="80"/>
            <w:sz w:val="16"/>
            <w:szCs w:val="16"/>
          </w:rPr>
          <w:t>Dylann</w:t>
        </w:r>
        <w:proofErr w:type="spellEnd"/>
        <w:r w:rsidRPr="001167CB">
          <w:rPr>
            <w:rStyle w:val="Hyperlink"/>
            <w:rFonts w:asciiTheme="majorHAnsi" w:hAnsiTheme="majorHAnsi" w:cstheme="majorHAnsi"/>
            <w:color w:val="808080" w:themeColor="background1" w:themeShade="80"/>
            <w:sz w:val="16"/>
            <w:szCs w:val="16"/>
          </w:rPr>
          <w:t xml:space="preserve"> Roof: Charleston Church Shooter Gets Nine Life Sentences in State Case</w:t>
        </w:r>
      </w:hyperlink>
      <w:r w:rsidRPr="001167CB">
        <w:rPr>
          <w:rFonts w:asciiTheme="majorHAnsi" w:hAnsiTheme="majorHAnsi" w:cstheme="majorHAnsi"/>
          <w:color w:val="808080" w:themeColor="background1" w:themeShade="80"/>
          <w:sz w:val="16"/>
          <w:szCs w:val="16"/>
        </w:rPr>
        <w:t>, Apr. 10, 2017.</w:t>
      </w:r>
    </w:p>
  </w:footnote>
  <w:footnote w:id="344">
    <w:p w14:paraId="522F745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NBC News, </w:t>
      </w:r>
      <w:hyperlink r:id="rId415" w:history="1">
        <w:r w:rsidRPr="001167CB">
          <w:rPr>
            <w:rStyle w:val="Hyperlink"/>
            <w:rFonts w:asciiTheme="majorHAnsi" w:hAnsiTheme="majorHAnsi" w:cstheme="majorHAnsi"/>
            <w:color w:val="808080" w:themeColor="background1" w:themeShade="80"/>
            <w:sz w:val="16"/>
            <w:szCs w:val="16"/>
          </w:rPr>
          <w:t>Charleston Church Shooting Renews Confederate Flag Debate</w:t>
        </w:r>
      </w:hyperlink>
      <w:r w:rsidRPr="001167CB">
        <w:rPr>
          <w:rFonts w:asciiTheme="majorHAnsi" w:hAnsiTheme="majorHAnsi" w:cstheme="majorHAnsi"/>
          <w:color w:val="808080" w:themeColor="background1" w:themeShade="80"/>
          <w:sz w:val="16"/>
          <w:szCs w:val="16"/>
        </w:rPr>
        <w:t>, June 20, 2015.</w:t>
      </w:r>
    </w:p>
  </w:footnote>
  <w:footnote w:id="345">
    <w:p w14:paraId="018F6DE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416" w:history="1">
        <w:r w:rsidRPr="001167CB">
          <w:rPr>
            <w:rStyle w:val="Hyperlink"/>
            <w:rFonts w:asciiTheme="majorHAnsi" w:hAnsiTheme="majorHAnsi" w:cstheme="majorHAnsi"/>
            <w:bCs/>
            <w:color w:val="808080" w:themeColor="background1" w:themeShade="80"/>
            <w:sz w:val="16"/>
            <w:szCs w:val="16"/>
          </w:rPr>
          <w:t>Charlottesville Press Release</w:t>
        </w:r>
      </w:hyperlink>
      <w:r w:rsidRPr="001167CB">
        <w:rPr>
          <w:rFonts w:asciiTheme="majorHAnsi" w:hAnsiTheme="majorHAnsi" w:cstheme="majorHAnsi"/>
          <w:color w:val="808080" w:themeColor="background1" w:themeShade="80"/>
          <w:sz w:val="16"/>
          <w:szCs w:val="16"/>
          <w:shd w:val="clear" w:color="auto" w:fill="FFFFFF"/>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color w:val="808080" w:themeColor="background1" w:themeShade="80"/>
          <w:sz w:val="16"/>
          <w:szCs w:val="16"/>
          <w:shd w:val="clear" w:color="auto" w:fill="FFFFFF"/>
        </w:rPr>
        <w:t xml:space="preserve">18, 2017. </w:t>
      </w:r>
    </w:p>
  </w:footnote>
  <w:footnote w:id="346">
    <w:p w14:paraId="7676E14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New York Times, </w:t>
      </w:r>
      <w:hyperlink r:id="rId417" w:history="1">
        <w:r w:rsidRPr="001167CB">
          <w:rPr>
            <w:rStyle w:val="Hyperlink"/>
            <w:rFonts w:asciiTheme="majorHAnsi" w:hAnsiTheme="majorHAnsi" w:cstheme="majorHAnsi"/>
            <w:color w:val="808080" w:themeColor="background1" w:themeShade="80"/>
            <w:sz w:val="16"/>
            <w:szCs w:val="16"/>
          </w:rPr>
          <w:t>Man Charged After White Nationalist Rally in Charlottesville Ends in Deadly Violence</w:t>
        </w:r>
      </w:hyperlink>
      <w:r w:rsidRPr="001167CB">
        <w:rPr>
          <w:rFonts w:asciiTheme="majorHAnsi" w:hAnsiTheme="majorHAnsi" w:cstheme="majorHAnsi"/>
          <w:color w:val="808080" w:themeColor="background1" w:themeShade="80"/>
          <w:sz w:val="16"/>
          <w:szCs w:val="16"/>
        </w:rPr>
        <w:t xml:space="preserve">, Aug. 12, 2017; Washington Post, </w:t>
      </w:r>
      <w:hyperlink r:id="rId418" w:history="1">
        <w:r w:rsidRPr="001167CB">
          <w:rPr>
            <w:rStyle w:val="Hyperlink"/>
            <w:rFonts w:asciiTheme="majorHAnsi" w:hAnsiTheme="majorHAnsi" w:cstheme="majorHAnsi"/>
            <w:color w:val="808080" w:themeColor="background1" w:themeShade="80"/>
            <w:sz w:val="16"/>
            <w:szCs w:val="16"/>
          </w:rPr>
          <w:t>Black man attacked by white supremacists in Charlottesville faces felony charge</w:t>
        </w:r>
      </w:hyperlink>
      <w:r w:rsidRPr="001167CB">
        <w:rPr>
          <w:rFonts w:asciiTheme="majorHAnsi" w:hAnsiTheme="majorHAnsi" w:cstheme="majorHAnsi"/>
          <w:color w:val="808080" w:themeColor="background1" w:themeShade="80"/>
          <w:sz w:val="16"/>
          <w:szCs w:val="16"/>
        </w:rPr>
        <w:t xml:space="preserve">, Oct. 11, 2017; Washington Post, </w:t>
      </w:r>
      <w:hyperlink r:id="rId419" w:history="1">
        <w:r w:rsidRPr="001167CB">
          <w:rPr>
            <w:rStyle w:val="Hyperlink"/>
            <w:rFonts w:asciiTheme="majorHAnsi" w:hAnsiTheme="majorHAnsi" w:cstheme="majorHAnsi"/>
            <w:color w:val="808080" w:themeColor="background1" w:themeShade="80"/>
            <w:sz w:val="16"/>
            <w:szCs w:val="16"/>
          </w:rPr>
          <w:t>Black man beaten in Charlottesville found not guilty of assaulting white supremacist</w:t>
        </w:r>
      </w:hyperlink>
      <w:r w:rsidRPr="001167CB">
        <w:rPr>
          <w:rFonts w:asciiTheme="majorHAnsi" w:hAnsiTheme="majorHAnsi" w:cstheme="majorHAnsi"/>
          <w:color w:val="808080" w:themeColor="background1" w:themeShade="80"/>
          <w:sz w:val="16"/>
          <w:szCs w:val="16"/>
        </w:rPr>
        <w:t>, Mar. 16, 2018.</w:t>
      </w:r>
    </w:p>
  </w:footnote>
  <w:footnote w:id="347">
    <w:p w14:paraId="49ADFFE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New York Times, </w:t>
      </w:r>
      <w:hyperlink r:id="rId420" w:history="1">
        <w:r w:rsidRPr="001167CB">
          <w:rPr>
            <w:rStyle w:val="Hyperlink"/>
            <w:rFonts w:asciiTheme="majorHAnsi" w:hAnsiTheme="majorHAnsi" w:cstheme="majorHAnsi"/>
            <w:color w:val="808080" w:themeColor="background1" w:themeShade="80"/>
            <w:sz w:val="16"/>
            <w:szCs w:val="16"/>
          </w:rPr>
          <w:t>As White Nationalist in Charlottesville Fired, Police ‘Never Moved’</w:t>
        </w:r>
      </w:hyperlink>
      <w:r w:rsidRPr="001167CB">
        <w:rPr>
          <w:rFonts w:asciiTheme="majorHAnsi" w:hAnsiTheme="majorHAnsi" w:cstheme="majorHAnsi"/>
          <w:color w:val="808080" w:themeColor="background1" w:themeShade="80"/>
          <w:sz w:val="16"/>
          <w:szCs w:val="16"/>
        </w:rPr>
        <w:t xml:space="preserve">, Aug. 25, 2017; TIME, </w:t>
      </w:r>
      <w:hyperlink r:id="rId421" w:history="1">
        <w:r w:rsidRPr="001167CB">
          <w:rPr>
            <w:rStyle w:val="Hyperlink"/>
            <w:rFonts w:asciiTheme="majorHAnsi" w:hAnsiTheme="majorHAnsi" w:cstheme="majorHAnsi"/>
            <w:color w:val="808080" w:themeColor="background1" w:themeShade="80"/>
            <w:sz w:val="16"/>
            <w:szCs w:val="16"/>
          </w:rPr>
          <w:t>White Supremacists Assaulted Dozens of Us in Charlottesville. Almost None Have Been Punished</w:t>
        </w:r>
      </w:hyperlink>
      <w:r w:rsidRPr="001167CB">
        <w:rPr>
          <w:rFonts w:asciiTheme="majorHAnsi" w:hAnsiTheme="majorHAnsi" w:cstheme="majorHAnsi"/>
          <w:color w:val="808080" w:themeColor="background1" w:themeShade="80"/>
          <w:sz w:val="16"/>
          <w:szCs w:val="16"/>
        </w:rPr>
        <w:t xml:space="preserve">, Nov. 3, 2017; WRIC (ABC News), </w:t>
      </w:r>
      <w:hyperlink r:id="rId422" w:history="1">
        <w:r w:rsidRPr="001167CB">
          <w:rPr>
            <w:rStyle w:val="Hyperlink"/>
            <w:rFonts w:asciiTheme="majorHAnsi" w:hAnsiTheme="majorHAnsi" w:cstheme="majorHAnsi"/>
            <w:color w:val="808080" w:themeColor="background1" w:themeShade="80"/>
            <w:sz w:val="16"/>
            <w:szCs w:val="16"/>
          </w:rPr>
          <w:t>Court Documents: 6 out of 8 arrested in Charlottesville protests from out of state</w:t>
        </w:r>
      </w:hyperlink>
      <w:r w:rsidRPr="001167CB">
        <w:rPr>
          <w:rFonts w:asciiTheme="majorHAnsi" w:hAnsiTheme="majorHAnsi" w:cstheme="majorHAnsi"/>
          <w:color w:val="808080" w:themeColor="background1" w:themeShade="80"/>
          <w:sz w:val="16"/>
          <w:szCs w:val="16"/>
        </w:rPr>
        <w:t xml:space="preserve">, Aug. 14, 2017; </w:t>
      </w:r>
      <w:proofErr w:type="spellStart"/>
      <w:r w:rsidRPr="001167CB">
        <w:rPr>
          <w:rFonts w:asciiTheme="majorHAnsi" w:hAnsiTheme="majorHAnsi" w:cstheme="majorHAnsi"/>
          <w:color w:val="808080" w:themeColor="background1" w:themeShade="80"/>
          <w:sz w:val="16"/>
          <w:szCs w:val="16"/>
        </w:rPr>
        <w:t>ThinkProgress</w:t>
      </w:r>
      <w:proofErr w:type="spellEnd"/>
      <w:r w:rsidRPr="001167CB">
        <w:rPr>
          <w:rFonts w:asciiTheme="majorHAnsi" w:hAnsiTheme="majorHAnsi" w:cstheme="majorHAnsi"/>
          <w:color w:val="808080" w:themeColor="background1" w:themeShade="80"/>
          <w:sz w:val="16"/>
          <w:szCs w:val="16"/>
        </w:rPr>
        <w:t xml:space="preserve">, </w:t>
      </w:r>
      <w:hyperlink r:id="rId423" w:history="1">
        <w:r w:rsidRPr="001167CB">
          <w:rPr>
            <w:rStyle w:val="Hyperlink"/>
            <w:rFonts w:asciiTheme="majorHAnsi" w:hAnsiTheme="majorHAnsi" w:cstheme="majorHAnsi"/>
            <w:color w:val="808080" w:themeColor="background1" w:themeShade="80"/>
            <w:sz w:val="16"/>
            <w:szCs w:val="16"/>
          </w:rPr>
          <w:t>Police in Charlottesville arrested almost as many drunk people as violent white supremacists</w:t>
        </w:r>
      </w:hyperlink>
      <w:r w:rsidRPr="001167CB">
        <w:rPr>
          <w:rFonts w:asciiTheme="majorHAnsi" w:hAnsiTheme="majorHAnsi" w:cstheme="majorHAnsi"/>
          <w:color w:val="808080" w:themeColor="background1" w:themeShade="80"/>
          <w:sz w:val="16"/>
          <w:szCs w:val="16"/>
        </w:rPr>
        <w:t xml:space="preserve">, Aug. 18, 2017; CNN, </w:t>
      </w:r>
      <w:hyperlink r:id="rId424" w:history="1">
        <w:r w:rsidRPr="001167CB">
          <w:rPr>
            <w:rStyle w:val="Hyperlink"/>
            <w:rFonts w:asciiTheme="majorHAnsi" w:hAnsiTheme="majorHAnsi" w:cstheme="majorHAnsi"/>
            <w:color w:val="808080" w:themeColor="background1" w:themeShade="80"/>
            <w:sz w:val="16"/>
            <w:szCs w:val="16"/>
          </w:rPr>
          <w:t>Man beaten by white supremacists in Charlottesville is arrested</w:t>
        </w:r>
      </w:hyperlink>
      <w:r w:rsidRPr="001167CB">
        <w:rPr>
          <w:rFonts w:asciiTheme="majorHAnsi" w:hAnsiTheme="majorHAnsi" w:cstheme="majorHAnsi"/>
          <w:color w:val="808080" w:themeColor="background1" w:themeShade="80"/>
          <w:sz w:val="16"/>
          <w:szCs w:val="16"/>
        </w:rPr>
        <w:t>, Oct. 13, 2017.</w:t>
      </w:r>
    </w:p>
  </w:footnote>
  <w:footnote w:id="348">
    <w:p w14:paraId="333FC18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CNN, </w:t>
      </w:r>
      <w:hyperlink r:id="rId425" w:history="1">
        <w:r w:rsidRPr="001167CB">
          <w:rPr>
            <w:rStyle w:val="Hyperlink"/>
            <w:rFonts w:asciiTheme="majorHAnsi" w:hAnsiTheme="majorHAnsi" w:cstheme="majorHAnsi"/>
            <w:color w:val="808080" w:themeColor="background1" w:themeShade="80"/>
            <w:sz w:val="16"/>
            <w:szCs w:val="16"/>
          </w:rPr>
          <w:t>Charlottesville car attack suspect charged with five additional felonies</w:t>
        </w:r>
      </w:hyperlink>
      <w:r w:rsidRPr="001167CB">
        <w:rPr>
          <w:rFonts w:asciiTheme="majorHAnsi" w:hAnsiTheme="majorHAnsi" w:cstheme="majorHAnsi"/>
          <w:color w:val="808080" w:themeColor="background1" w:themeShade="80"/>
          <w:sz w:val="16"/>
          <w:szCs w:val="16"/>
        </w:rPr>
        <w:t xml:space="preserve">, Aug. 18, 2017; Baltimore Sun, </w:t>
      </w:r>
      <w:hyperlink r:id="rId426" w:history="1">
        <w:r w:rsidRPr="001167CB">
          <w:rPr>
            <w:rStyle w:val="Hyperlink"/>
            <w:rFonts w:asciiTheme="majorHAnsi" w:hAnsiTheme="majorHAnsi" w:cstheme="majorHAnsi"/>
            <w:color w:val="808080" w:themeColor="background1" w:themeShade="80"/>
            <w:sz w:val="16"/>
            <w:szCs w:val="16"/>
          </w:rPr>
          <w:t>Baltimore man among 3 more charged in Charlottesville, Va., white supremacist rally</w:t>
        </w:r>
      </w:hyperlink>
      <w:r w:rsidRPr="001167CB">
        <w:rPr>
          <w:rFonts w:asciiTheme="majorHAnsi" w:hAnsiTheme="majorHAnsi" w:cstheme="majorHAnsi"/>
          <w:color w:val="808080" w:themeColor="background1" w:themeShade="80"/>
          <w:sz w:val="16"/>
          <w:szCs w:val="16"/>
        </w:rPr>
        <w:t>, Aug. 27, 2017.</w:t>
      </w:r>
    </w:p>
  </w:footnote>
  <w:footnote w:id="349">
    <w:p w14:paraId="2FF0F64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New York Times, </w:t>
      </w:r>
      <w:hyperlink r:id="rId427" w:history="1">
        <w:r w:rsidRPr="001167CB">
          <w:rPr>
            <w:rStyle w:val="Hyperlink"/>
            <w:rFonts w:asciiTheme="majorHAnsi" w:hAnsiTheme="majorHAnsi" w:cstheme="majorHAnsi"/>
            <w:color w:val="808080" w:themeColor="background1" w:themeShade="80"/>
            <w:sz w:val="16"/>
            <w:szCs w:val="16"/>
          </w:rPr>
          <w:t>The Statue at the Center of Charlottesville’s Storm</w:t>
        </w:r>
      </w:hyperlink>
      <w:r w:rsidRPr="001167CB">
        <w:rPr>
          <w:rFonts w:asciiTheme="majorHAnsi" w:hAnsiTheme="majorHAnsi" w:cstheme="majorHAnsi"/>
          <w:color w:val="808080" w:themeColor="background1" w:themeShade="80"/>
          <w:sz w:val="16"/>
          <w:szCs w:val="16"/>
        </w:rPr>
        <w:t xml:space="preserve">, Aug. 13, 2017;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NPR, </w:t>
      </w:r>
      <w:hyperlink r:id="rId428" w:history="1">
        <w:r w:rsidRPr="001167CB">
          <w:rPr>
            <w:rStyle w:val="Hyperlink"/>
            <w:rFonts w:asciiTheme="majorHAnsi" w:hAnsiTheme="majorHAnsi" w:cstheme="majorHAnsi"/>
            <w:color w:val="808080" w:themeColor="background1" w:themeShade="80"/>
            <w:sz w:val="16"/>
            <w:szCs w:val="16"/>
          </w:rPr>
          <w:t xml:space="preserve">Shrouds Pulled </w:t>
        </w:r>
        <w:proofErr w:type="gramStart"/>
        <w:r w:rsidRPr="001167CB">
          <w:rPr>
            <w:rStyle w:val="Hyperlink"/>
            <w:rFonts w:asciiTheme="majorHAnsi" w:hAnsiTheme="majorHAnsi" w:cstheme="majorHAnsi"/>
            <w:color w:val="808080" w:themeColor="background1" w:themeShade="80"/>
            <w:sz w:val="16"/>
            <w:szCs w:val="16"/>
          </w:rPr>
          <w:t>From</w:t>
        </w:r>
        <w:proofErr w:type="gramEnd"/>
        <w:r w:rsidRPr="001167CB">
          <w:rPr>
            <w:rStyle w:val="Hyperlink"/>
            <w:rFonts w:asciiTheme="majorHAnsi" w:hAnsiTheme="majorHAnsi" w:cstheme="majorHAnsi"/>
            <w:color w:val="808080" w:themeColor="background1" w:themeShade="80"/>
            <w:sz w:val="16"/>
            <w:szCs w:val="16"/>
          </w:rPr>
          <w:t xml:space="preserve"> Charlottesville Confederate Statues, Following Ruling</w:t>
        </w:r>
      </w:hyperlink>
      <w:r w:rsidRPr="001167CB">
        <w:rPr>
          <w:rFonts w:asciiTheme="majorHAnsi" w:hAnsiTheme="majorHAnsi" w:cstheme="majorHAnsi"/>
          <w:color w:val="808080" w:themeColor="background1" w:themeShade="80"/>
          <w:sz w:val="16"/>
          <w:szCs w:val="16"/>
        </w:rPr>
        <w:t>, Feb. 28, 2018.</w:t>
      </w:r>
    </w:p>
  </w:footnote>
  <w:footnote w:id="350">
    <w:p w14:paraId="4A2489C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CNN, </w:t>
      </w:r>
      <w:hyperlink r:id="rId429" w:history="1">
        <w:r w:rsidRPr="001167CB">
          <w:rPr>
            <w:rStyle w:val="Hyperlink"/>
            <w:rFonts w:asciiTheme="majorHAnsi" w:hAnsiTheme="majorHAnsi" w:cstheme="majorHAnsi"/>
            <w:color w:val="808080" w:themeColor="background1" w:themeShade="80"/>
            <w:sz w:val="16"/>
            <w:szCs w:val="16"/>
          </w:rPr>
          <w:t>Here are the Confederate memorials that will be removed after Charlottesville</w:t>
        </w:r>
      </w:hyperlink>
      <w:r w:rsidRPr="001167CB">
        <w:rPr>
          <w:rFonts w:asciiTheme="majorHAnsi" w:hAnsiTheme="majorHAnsi" w:cstheme="majorHAnsi"/>
          <w:color w:val="808080" w:themeColor="background1" w:themeShade="80"/>
          <w:sz w:val="16"/>
          <w:szCs w:val="16"/>
        </w:rPr>
        <w:t xml:space="preserve">, Aug. 22, 2017; The Atlantic, </w:t>
      </w:r>
      <w:hyperlink r:id="rId430" w:history="1">
        <w:r w:rsidRPr="001167CB">
          <w:rPr>
            <w:rStyle w:val="Hyperlink"/>
            <w:rFonts w:asciiTheme="majorHAnsi" w:hAnsiTheme="majorHAnsi" w:cstheme="majorHAnsi"/>
            <w:color w:val="808080" w:themeColor="background1" w:themeShade="80"/>
            <w:sz w:val="16"/>
            <w:szCs w:val="16"/>
          </w:rPr>
          <w:t>Take the Statues Down</w:t>
        </w:r>
      </w:hyperlink>
      <w:r w:rsidRPr="001167CB">
        <w:rPr>
          <w:rFonts w:asciiTheme="majorHAnsi" w:hAnsiTheme="majorHAnsi" w:cstheme="majorHAnsi"/>
          <w:color w:val="808080" w:themeColor="background1" w:themeShade="80"/>
          <w:sz w:val="16"/>
          <w:szCs w:val="16"/>
        </w:rPr>
        <w:t>, Aug. 13, 2017.</w:t>
      </w:r>
    </w:p>
  </w:footnote>
  <w:footnote w:id="351">
    <w:p w14:paraId="76C7B4B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w:t>
      </w:r>
      <w:r w:rsidRPr="001167CB">
        <w:rPr>
          <w:rFonts w:asciiTheme="majorHAnsi" w:hAnsiTheme="majorHAnsi" w:cstheme="majorHAnsi"/>
          <w:color w:val="808080" w:themeColor="background1" w:themeShade="80"/>
          <w:sz w:val="16"/>
          <w:szCs w:val="16"/>
        </w:rPr>
        <w:t xml:space="preserve">IACHR, </w:t>
      </w:r>
      <w:hyperlink r:id="rId431" w:history="1">
        <w:r w:rsidRPr="001167CB">
          <w:rPr>
            <w:rStyle w:val="Hyperlink"/>
            <w:rFonts w:asciiTheme="majorHAnsi" w:hAnsiTheme="majorHAnsi" w:cstheme="majorHAnsi"/>
            <w:color w:val="808080" w:themeColor="background1" w:themeShade="80"/>
            <w:sz w:val="16"/>
            <w:szCs w:val="16"/>
          </w:rPr>
          <w:t>The Right to Truth in the Americas</w:t>
        </w:r>
      </w:hyperlink>
      <w:r w:rsidRPr="001167CB">
        <w:rPr>
          <w:rFonts w:asciiTheme="majorHAnsi" w:hAnsiTheme="majorHAnsi" w:cstheme="majorHAnsi"/>
          <w:color w:val="808080" w:themeColor="background1" w:themeShade="80"/>
          <w:sz w:val="16"/>
          <w:szCs w:val="16"/>
        </w:rPr>
        <w:t>,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/V/II.152, Doc. 2 (2014) [hereinafter “The Right to Truth”].</w:t>
      </w:r>
    </w:p>
  </w:footnote>
  <w:footnote w:id="352">
    <w:p w14:paraId="666DE87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n-GB"/>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color w:val="808080" w:themeColor="background1" w:themeShade="80"/>
          <w:sz w:val="16"/>
          <w:szCs w:val="16"/>
          <w:lang w:val="en-GB"/>
        </w:rPr>
        <w:t xml:space="preserve">Dream Defenders, Florida Legal Services Inc., National Association for the Advancement of </w:t>
      </w:r>
      <w:proofErr w:type="spellStart"/>
      <w:r w:rsidRPr="001167CB">
        <w:rPr>
          <w:rFonts w:asciiTheme="majorHAnsi" w:hAnsiTheme="majorHAnsi" w:cstheme="majorHAnsi"/>
          <w:color w:val="808080" w:themeColor="background1" w:themeShade="80"/>
          <w:sz w:val="16"/>
          <w:szCs w:val="16"/>
          <w:lang w:val="en-GB"/>
        </w:rPr>
        <w:t>Colored</w:t>
      </w:r>
      <w:proofErr w:type="spellEnd"/>
      <w:r w:rsidRPr="001167CB">
        <w:rPr>
          <w:rFonts w:asciiTheme="majorHAnsi" w:hAnsiTheme="majorHAnsi" w:cstheme="majorHAnsi"/>
          <w:color w:val="808080" w:themeColor="background1" w:themeShade="80"/>
          <w:sz w:val="16"/>
          <w:szCs w:val="16"/>
          <w:lang w:val="en-GB"/>
        </w:rPr>
        <w:t xml:space="preserve"> People (NAACP), </w:t>
      </w:r>
      <w:hyperlink r:id="rId432" w:history="1">
        <w:r w:rsidRPr="001167CB">
          <w:rPr>
            <w:rStyle w:val="Hyperlink"/>
            <w:rFonts w:asciiTheme="majorHAnsi" w:hAnsiTheme="majorHAnsi" w:cstheme="majorHAnsi"/>
            <w:color w:val="808080" w:themeColor="background1" w:themeShade="80"/>
            <w:sz w:val="16"/>
            <w:szCs w:val="16"/>
          </w:rPr>
          <w:t>United States’ Compliance with the International Covenant on Civil and Political Rights - Written Statement on Stand Your Ground Laws</w:t>
        </w:r>
      </w:hyperlink>
      <w:r w:rsidRPr="001167CB">
        <w:rPr>
          <w:rFonts w:asciiTheme="majorHAnsi" w:hAnsiTheme="majorHAnsi" w:cstheme="majorHAnsi"/>
          <w:color w:val="808080" w:themeColor="background1" w:themeShade="80"/>
          <w:sz w:val="16"/>
          <w:szCs w:val="16"/>
          <w:lang w:val="en-GB"/>
        </w:rPr>
        <w:t>, 109</w:t>
      </w:r>
      <w:r w:rsidRPr="001167CB">
        <w:rPr>
          <w:rFonts w:asciiTheme="majorHAnsi" w:hAnsiTheme="majorHAnsi" w:cstheme="majorHAnsi"/>
          <w:color w:val="808080" w:themeColor="background1" w:themeShade="80"/>
          <w:sz w:val="16"/>
          <w:szCs w:val="16"/>
          <w:vertAlign w:val="superscript"/>
          <w:lang w:val="en-GB"/>
        </w:rPr>
        <w:t>th</w:t>
      </w:r>
      <w:r w:rsidRPr="001167CB">
        <w:rPr>
          <w:rFonts w:asciiTheme="majorHAnsi" w:hAnsiTheme="majorHAnsi" w:cstheme="majorHAnsi"/>
          <w:color w:val="808080" w:themeColor="background1" w:themeShade="80"/>
          <w:sz w:val="16"/>
          <w:szCs w:val="16"/>
          <w:lang w:val="en-GB"/>
        </w:rPr>
        <w:t xml:space="preserve"> Session of the United Nations Human Rights Committee,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color w:val="808080" w:themeColor="background1" w:themeShade="80"/>
          <w:sz w:val="16"/>
          <w:szCs w:val="16"/>
          <w:lang w:val="en-GB"/>
        </w:rPr>
        <w:t>13-31, 2013.</w:t>
      </w:r>
    </w:p>
  </w:footnote>
  <w:footnote w:id="353">
    <w:p w14:paraId="217BF86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n-GB"/>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color w:val="808080" w:themeColor="background1" w:themeShade="80"/>
          <w:sz w:val="16"/>
          <w:szCs w:val="16"/>
          <w:lang w:val="en-GB"/>
        </w:rPr>
        <w:t xml:space="preserve">ABA, </w:t>
      </w:r>
      <w:hyperlink r:id="rId433" w:history="1">
        <w:r w:rsidRPr="001167CB">
          <w:rPr>
            <w:rStyle w:val="Hyperlink"/>
            <w:rFonts w:asciiTheme="majorHAnsi" w:hAnsiTheme="majorHAnsi" w:cstheme="majorHAnsi"/>
            <w:color w:val="808080" w:themeColor="background1" w:themeShade="80"/>
            <w:sz w:val="16"/>
            <w:szCs w:val="16"/>
            <w:lang w:val="en-GB"/>
          </w:rPr>
          <w:t>National Task Force on Stand Your Ground Laws: Final Report and Recommendations</w:t>
        </w:r>
      </w:hyperlink>
      <w:r w:rsidRPr="001167CB">
        <w:rPr>
          <w:rFonts w:asciiTheme="majorHAnsi" w:hAnsiTheme="majorHAnsi" w:cstheme="majorHAnsi"/>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color w:val="808080" w:themeColor="background1" w:themeShade="80"/>
          <w:sz w:val="16"/>
          <w:szCs w:val="16"/>
          <w:lang w:val="en-GB"/>
        </w:rPr>
        <w:t>2015, p. 1.</w:t>
      </w:r>
    </w:p>
  </w:footnote>
  <w:footnote w:id="354">
    <w:p w14:paraId="2BF5FCE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State laws vary, but many states do not require a person to first attempt to retreat before using lethal force in the face of a threat of death or serious bodily injury when in one’s own home. This disposition follows a common law tradition known as the “Castle Doctrine” (also known as a castle law or a defense of habitation law). </w:t>
      </w:r>
    </w:p>
  </w:footnote>
  <w:footnote w:id="355">
    <w:p w14:paraId="16F3460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NPR, </w:t>
      </w:r>
      <w:hyperlink r:id="rId434" w:history="1">
        <w:r w:rsidRPr="001167CB">
          <w:rPr>
            <w:rStyle w:val="Hyperlink"/>
            <w:rFonts w:asciiTheme="majorHAnsi" w:hAnsiTheme="majorHAnsi" w:cstheme="majorHAnsi"/>
            <w:color w:val="808080" w:themeColor="background1" w:themeShade="80"/>
            <w:sz w:val="16"/>
            <w:szCs w:val="16"/>
          </w:rPr>
          <w:t>'Stand Your Ground' Linked To Increase In Homicides</w:t>
        </w:r>
      </w:hyperlink>
      <w:r w:rsidRPr="001167CB">
        <w:rPr>
          <w:rFonts w:asciiTheme="majorHAnsi" w:hAnsiTheme="majorHAnsi" w:cstheme="majorHAnsi"/>
          <w:color w:val="808080" w:themeColor="background1" w:themeShade="80"/>
          <w:sz w:val="16"/>
          <w:szCs w:val="16"/>
        </w:rPr>
        <w:t>, Jan. 2, 2013 (One study found 500 to 700 more homicides per year across the 23 states that introduced SYG laws as a result of the laws. There are about 14,000 homicides annually in the U.S.).</w:t>
      </w:r>
    </w:p>
  </w:footnote>
  <w:footnote w:id="356">
    <w:p w14:paraId="0DD2C29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Transcript of U.S. Commission on Civil Rights, Briefing on Stand Your Ground, Oct. 17, 2014, available at:  </w:t>
      </w:r>
      <w:hyperlink r:id="rId435" w:history="1">
        <w:r w:rsidRPr="001167CB">
          <w:rPr>
            <w:rStyle w:val="Hyperlink"/>
            <w:rFonts w:asciiTheme="majorHAnsi" w:hAnsiTheme="majorHAnsi" w:cstheme="majorHAnsi"/>
            <w:color w:val="808080" w:themeColor="background1" w:themeShade="80"/>
            <w:sz w:val="16"/>
            <w:szCs w:val="16"/>
          </w:rPr>
          <w:t>http://www.usccr.gov/calendar/trnscrpt/CommissionBriefingTranscript_Part1_10-17-2014_Final.pdf</w:t>
        </w:r>
      </w:hyperlink>
      <w:r w:rsidRPr="001167CB">
        <w:rPr>
          <w:rFonts w:asciiTheme="majorHAnsi" w:hAnsiTheme="majorHAnsi" w:cstheme="majorHAnsi"/>
          <w:color w:val="808080" w:themeColor="background1" w:themeShade="80"/>
          <w:sz w:val="16"/>
          <w:szCs w:val="16"/>
        </w:rPr>
        <w:t xml:space="preserve">; FOX News, </w:t>
      </w:r>
      <w:hyperlink r:id="rId436" w:history="1">
        <w:r w:rsidRPr="001167CB">
          <w:rPr>
            <w:rStyle w:val="Hyperlink"/>
            <w:rFonts w:asciiTheme="majorHAnsi" w:hAnsiTheme="majorHAnsi" w:cstheme="majorHAnsi"/>
            <w:color w:val="808080" w:themeColor="background1" w:themeShade="80"/>
            <w:sz w:val="16"/>
            <w:szCs w:val="16"/>
          </w:rPr>
          <w:t>Experts tell U.S. commission 'stand your ground' law is discriminatory</w:t>
        </w:r>
      </w:hyperlink>
      <w:r w:rsidRPr="001167CB">
        <w:rPr>
          <w:rFonts w:asciiTheme="majorHAnsi" w:hAnsiTheme="majorHAnsi" w:cstheme="majorHAnsi"/>
          <w:color w:val="808080" w:themeColor="background1" w:themeShade="80"/>
          <w:sz w:val="16"/>
          <w:szCs w:val="16"/>
        </w:rPr>
        <w:t>, Oct. 18, 2014.</w:t>
      </w:r>
    </w:p>
  </w:footnote>
  <w:footnote w:id="357">
    <w:p w14:paraId="6980670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Orlando Sentinel, </w:t>
      </w:r>
      <w:hyperlink r:id="rId437" w:history="1">
        <w:r w:rsidRPr="001167CB">
          <w:rPr>
            <w:rStyle w:val="Hyperlink"/>
            <w:rFonts w:asciiTheme="majorHAnsi" w:hAnsiTheme="majorHAnsi" w:cstheme="majorHAnsi"/>
            <w:color w:val="808080" w:themeColor="background1" w:themeShade="80"/>
            <w:sz w:val="16"/>
            <w:szCs w:val="16"/>
          </w:rPr>
          <w:t>Experts offer testimony in 'stand your ground' probe</w:t>
        </w:r>
      </w:hyperlink>
      <w:r w:rsidRPr="001167CB">
        <w:rPr>
          <w:rFonts w:asciiTheme="majorHAnsi" w:hAnsiTheme="majorHAnsi" w:cstheme="majorHAnsi"/>
          <w:color w:val="808080" w:themeColor="background1" w:themeShade="80"/>
          <w:sz w:val="16"/>
          <w:szCs w:val="16"/>
        </w:rPr>
        <w:t>, Oct. 17, 2014.</w:t>
      </w:r>
    </w:p>
  </w:footnote>
  <w:footnote w:id="358">
    <w:p w14:paraId="7DFD9CFB" w14:textId="77777777" w:rsidR="005C2394" w:rsidRPr="001167CB" w:rsidRDefault="005C2394" w:rsidP="002C64F8">
      <w:pPr>
        <w:spacing w:after="40" w:line="240" w:lineRule="auto"/>
        <w:ind w:left="547" w:hanging="547"/>
        <w:contextualSpacing/>
        <w:jc w:val="both"/>
        <w:rPr>
          <w:rFonts w:asciiTheme="majorHAnsi" w:eastAsia="Cambria"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lang w:val="en-GB"/>
        </w:rPr>
        <w:tab/>
      </w:r>
      <w:r w:rsidRPr="001167CB">
        <w:rPr>
          <w:rFonts w:asciiTheme="majorHAnsi" w:hAnsiTheme="majorHAnsi" w:cstheme="majorHAnsi"/>
          <w:bCs/>
          <w:color w:val="808080" w:themeColor="background1" w:themeShade="80"/>
          <w:sz w:val="16"/>
          <w:szCs w:val="16"/>
        </w:rPr>
        <w:t xml:space="preserve">IACHR, 150th Period of Sessions, </w:t>
      </w:r>
      <w:hyperlink r:id="rId438" w:history="1">
        <w:r w:rsidRPr="001167CB">
          <w:rPr>
            <w:rStyle w:val="Hyperlink"/>
            <w:rFonts w:asciiTheme="majorHAnsi" w:hAnsiTheme="majorHAnsi" w:cstheme="majorHAnsi"/>
            <w:bCs/>
            <w:color w:val="808080" w:themeColor="background1" w:themeShade="80"/>
            <w:sz w:val="16"/>
            <w:szCs w:val="16"/>
          </w:rPr>
          <w:t>“‘Stand Your Ground’ Laws”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27, 2014</w:t>
      </w:r>
      <w:r w:rsidRPr="001167CB">
        <w:rPr>
          <w:rFonts w:asciiTheme="majorHAnsi" w:hAnsiTheme="majorHAnsi" w:cstheme="majorHAnsi"/>
          <w:color w:val="808080" w:themeColor="background1" w:themeShade="80"/>
          <w:sz w:val="16"/>
          <w:szCs w:val="16"/>
        </w:rPr>
        <w:t>.</w:t>
      </w:r>
    </w:p>
  </w:footnote>
  <w:footnote w:id="359">
    <w:p w14:paraId="057C4BC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man who killed Jordan Davis was convicted of murder and three attempted murders, and sentenced to life without the possibility of parole plus 90 additional years in prison in October 2014. The Guardian, </w:t>
      </w:r>
      <w:hyperlink r:id="rId439" w:history="1">
        <w:r w:rsidRPr="001167CB">
          <w:rPr>
            <w:rStyle w:val="Hyperlink"/>
            <w:rFonts w:asciiTheme="majorHAnsi" w:hAnsiTheme="majorHAnsi" w:cstheme="majorHAnsi"/>
            <w:color w:val="808080" w:themeColor="background1" w:themeShade="80"/>
            <w:sz w:val="16"/>
            <w:szCs w:val="16"/>
          </w:rPr>
          <w:t>Michael Dunn sentenced to life without parole for killing of Florida teenager</w:t>
        </w:r>
      </w:hyperlink>
      <w:r w:rsidRPr="001167CB">
        <w:rPr>
          <w:rFonts w:asciiTheme="majorHAnsi" w:hAnsiTheme="majorHAnsi" w:cstheme="majorHAnsi"/>
          <w:color w:val="808080" w:themeColor="background1" w:themeShade="80"/>
          <w:sz w:val="16"/>
          <w:szCs w:val="16"/>
        </w:rPr>
        <w:t>, Oct. 17, 2014.</w:t>
      </w:r>
    </w:p>
  </w:footnote>
  <w:footnote w:id="360">
    <w:p w14:paraId="31E43DD4" w14:textId="77777777" w:rsidR="005C2394" w:rsidRPr="001167CB" w:rsidRDefault="005C2394" w:rsidP="0087747F">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150th Period of Sessions, </w:t>
      </w:r>
      <w:hyperlink r:id="rId440" w:history="1">
        <w:r w:rsidRPr="001167CB">
          <w:rPr>
            <w:rStyle w:val="Hyperlink"/>
            <w:rFonts w:asciiTheme="majorHAnsi" w:hAnsiTheme="majorHAnsi" w:cstheme="majorHAnsi"/>
            <w:bCs/>
            <w:color w:val="808080" w:themeColor="background1" w:themeShade="80"/>
            <w:sz w:val="16"/>
            <w:szCs w:val="16"/>
          </w:rPr>
          <w:t>“‘Stand Your Ground’ Laws”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27, 2014</w:t>
      </w:r>
      <w:r w:rsidRPr="001167CB">
        <w:rPr>
          <w:rFonts w:asciiTheme="majorHAnsi" w:hAnsiTheme="majorHAnsi" w:cstheme="majorHAnsi"/>
          <w:color w:val="808080" w:themeColor="background1" w:themeShade="80"/>
          <w:sz w:val="16"/>
          <w:szCs w:val="16"/>
        </w:rPr>
        <w:t>.</w:t>
      </w:r>
    </w:p>
  </w:footnote>
  <w:footnote w:id="361">
    <w:p w14:paraId="5F455EF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man who killed Trayvon Martin, was acquitted of second-degree murder under Florida’s SYG law in 2013. Since his acquittal he has courted public controversy by, among others, putting up for auction the gun that he killed Trayvon Martin with. Washington Post, </w:t>
      </w:r>
      <w:hyperlink r:id="rId441" w:history="1">
        <w:r w:rsidRPr="001167CB">
          <w:rPr>
            <w:rStyle w:val="Hyperlink"/>
            <w:rFonts w:asciiTheme="majorHAnsi" w:hAnsiTheme="majorHAnsi" w:cstheme="majorHAnsi"/>
            <w:color w:val="808080" w:themeColor="background1" w:themeShade="80"/>
            <w:sz w:val="16"/>
            <w:szCs w:val="16"/>
          </w:rPr>
          <w:t>George Zimmerman’s many, many controversies since the Trayvon Martin case</w:t>
        </w:r>
      </w:hyperlink>
      <w:r w:rsidRPr="001167CB">
        <w:rPr>
          <w:rFonts w:asciiTheme="majorHAnsi" w:hAnsiTheme="majorHAnsi" w:cstheme="majorHAnsi"/>
          <w:color w:val="808080" w:themeColor="background1" w:themeShade="80"/>
          <w:sz w:val="16"/>
          <w:szCs w:val="16"/>
        </w:rPr>
        <w:t>, May 12, 2016.</w:t>
      </w:r>
    </w:p>
  </w:footnote>
  <w:footnote w:id="362">
    <w:p w14:paraId="5218A30C" w14:textId="77777777" w:rsidR="005C2394" w:rsidRPr="001167CB" w:rsidRDefault="005C2394" w:rsidP="00A70C45">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150th Period of Sessions, </w:t>
      </w:r>
      <w:hyperlink r:id="rId442" w:history="1">
        <w:r w:rsidRPr="001167CB">
          <w:rPr>
            <w:rStyle w:val="Hyperlink"/>
            <w:rFonts w:asciiTheme="majorHAnsi" w:hAnsiTheme="majorHAnsi" w:cstheme="majorHAnsi"/>
            <w:bCs/>
            <w:color w:val="808080" w:themeColor="background1" w:themeShade="80"/>
            <w:sz w:val="16"/>
            <w:szCs w:val="16"/>
          </w:rPr>
          <w:t>“‘Stand Your Ground’ Laws”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27, 2014</w:t>
      </w:r>
      <w:r w:rsidRPr="001167CB">
        <w:rPr>
          <w:rFonts w:asciiTheme="majorHAnsi" w:hAnsiTheme="majorHAnsi" w:cstheme="majorHAnsi"/>
          <w:color w:val="808080" w:themeColor="background1" w:themeShade="80"/>
          <w:sz w:val="16"/>
          <w:szCs w:val="16"/>
        </w:rPr>
        <w:t>.</w:t>
      </w:r>
    </w:p>
  </w:footnote>
  <w:footnote w:id="363">
    <w:p w14:paraId="199A498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364">
    <w:p w14:paraId="4F03CE0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New York Times, </w:t>
      </w:r>
      <w:hyperlink r:id="rId443" w:history="1">
        <w:r w:rsidRPr="001167CB">
          <w:rPr>
            <w:rStyle w:val="Hyperlink"/>
            <w:rFonts w:asciiTheme="majorHAnsi" w:hAnsiTheme="majorHAnsi" w:cstheme="majorHAnsi"/>
            <w:color w:val="808080" w:themeColor="background1" w:themeShade="80"/>
            <w:sz w:val="16"/>
            <w:szCs w:val="16"/>
          </w:rPr>
          <w:t>Florida Woman Whose ‘Stand Your Ground’ Defense Was Rejected Is Released</w:t>
        </w:r>
      </w:hyperlink>
      <w:r w:rsidRPr="001167CB">
        <w:rPr>
          <w:rFonts w:asciiTheme="majorHAnsi" w:hAnsiTheme="majorHAnsi" w:cstheme="majorHAnsi"/>
          <w:color w:val="808080" w:themeColor="background1" w:themeShade="80"/>
          <w:sz w:val="16"/>
          <w:szCs w:val="16"/>
        </w:rPr>
        <w:t>, Feb. 7, 2017.</w:t>
      </w:r>
    </w:p>
  </w:footnote>
  <w:footnote w:id="365">
    <w:p w14:paraId="6003EAC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444"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w:t>
      </w:r>
    </w:p>
  </w:footnote>
  <w:footnote w:id="366">
    <w:p w14:paraId="11521D3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bCs/>
          <w:color w:val="808080" w:themeColor="background1" w:themeShade="80"/>
          <w:sz w:val="16"/>
          <w:szCs w:val="16"/>
        </w:rPr>
        <w:t xml:space="preserve">Human Rights </w:t>
      </w:r>
      <w:proofErr w:type="gramStart"/>
      <w:r w:rsidRPr="001167CB">
        <w:rPr>
          <w:rFonts w:asciiTheme="majorHAnsi" w:hAnsiTheme="majorHAnsi" w:cstheme="majorHAnsi"/>
          <w:bCs/>
          <w:color w:val="808080" w:themeColor="background1" w:themeShade="80"/>
          <w:sz w:val="16"/>
          <w:szCs w:val="16"/>
        </w:rPr>
        <w:t>Comm..</w:t>
      </w:r>
      <w:proofErr w:type="gramEnd"/>
      <w:r w:rsidRPr="001167CB">
        <w:rPr>
          <w:rFonts w:asciiTheme="majorHAnsi" w:hAnsiTheme="majorHAnsi" w:cstheme="majorHAnsi"/>
          <w:bCs/>
          <w:color w:val="808080" w:themeColor="background1" w:themeShade="80"/>
          <w:sz w:val="16"/>
          <w:szCs w:val="16"/>
        </w:rPr>
        <w:t xml:space="preserve"> </w:t>
      </w:r>
      <w:hyperlink r:id="rId445"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bCs/>
          <w:color w:val="808080" w:themeColor="background1" w:themeShade="80"/>
          <w:sz w:val="16"/>
          <w:szCs w:val="16"/>
        </w:rPr>
        <w:t>23, 2014</w:t>
      </w:r>
      <w:r w:rsidRPr="001167CB">
        <w:rPr>
          <w:rFonts w:asciiTheme="majorHAnsi" w:hAnsiTheme="majorHAnsi" w:cstheme="majorHAnsi"/>
          <w:color w:val="808080" w:themeColor="background1" w:themeShade="80"/>
          <w:sz w:val="16"/>
          <w:szCs w:val="16"/>
        </w:rPr>
        <w:t xml:space="preserve">, para. 10(b); </w:t>
      </w:r>
      <w:r w:rsidRPr="001167CB">
        <w:rPr>
          <w:rFonts w:asciiTheme="majorHAnsi" w:hAnsiTheme="majorHAnsi" w:cstheme="majorHAnsi"/>
          <w:bCs/>
          <w:color w:val="808080" w:themeColor="background1" w:themeShade="80"/>
          <w:sz w:val="16"/>
          <w:szCs w:val="16"/>
        </w:rPr>
        <w:t xml:space="preserve">CERD, </w:t>
      </w:r>
      <w:hyperlink r:id="rId446"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bCs/>
          <w:color w:val="808080" w:themeColor="background1" w:themeShade="80"/>
          <w:sz w:val="16"/>
          <w:szCs w:val="16"/>
        </w:rPr>
        <w:t>25, 2014</w:t>
      </w:r>
      <w:r w:rsidRPr="001167CB">
        <w:rPr>
          <w:rFonts w:asciiTheme="majorHAnsi" w:hAnsiTheme="majorHAnsi" w:cstheme="majorHAnsi"/>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rPr>
        <w:t>para. 16.</w:t>
      </w:r>
    </w:p>
  </w:footnote>
  <w:footnote w:id="367">
    <w:p w14:paraId="1637DA2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African American Policy Forum &amp; Center for Intersectionality and Social Policy Studies, </w:t>
      </w:r>
      <w:hyperlink r:id="rId447" w:history="1">
        <w:r w:rsidRPr="001167CB">
          <w:rPr>
            <w:rStyle w:val="Hyperlink"/>
            <w:rFonts w:asciiTheme="majorHAnsi" w:hAnsiTheme="majorHAnsi" w:cstheme="majorHAnsi"/>
            <w:color w:val="808080" w:themeColor="background1" w:themeShade="80"/>
            <w:sz w:val="16"/>
            <w:szCs w:val="16"/>
          </w:rPr>
          <w:t>Say Her Name: Resisting Police Brutality against Black Women</w:t>
        </w:r>
      </w:hyperlink>
      <w:r w:rsidRPr="001167CB">
        <w:rPr>
          <w:rFonts w:asciiTheme="majorHAnsi" w:hAnsiTheme="majorHAnsi" w:cstheme="majorHAnsi"/>
          <w:color w:val="808080" w:themeColor="background1" w:themeShade="80"/>
          <w:sz w:val="16"/>
          <w:szCs w:val="16"/>
        </w:rPr>
        <w:t xml:space="preserve">, July 2015; </w:t>
      </w:r>
      <w:r w:rsidRPr="001167CB">
        <w:rPr>
          <w:rFonts w:asciiTheme="majorHAnsi" w:hAnsiTheme="majorHAnsi" w:cstheme="majorHAnsi"/>
          <w:i/>
          <w:color w:val="808080" w:themeColor="background1" w:themeShade="80"/>
          <w:sz w:val="16"/>
          <w:szCs w:val="16"/>
        </w:rPr>
        <w:t>see also, e.g.,</w:t>
      </w:r>
      <w:r w:rsidRPr="001167CB">
        <w:rPr>
          <w:rFonts w:asciiTheme="majorHAnsi" w:hAnsiTheme="majorHAnsi" w:cstheme="majorHAnsi"/>
          <w:color w:val="808080" w:themeColor="background1" w:themeShade="80"/>
          <w:sz w:val="16"/>
          <w:szCs w:val="16"/>
        </w:rPr>
        <w:t xml:space="preserve"> Washington Post, </w:t>
      </w:r>
      <w:hyperlink r:id="rId448" w:history="1">
        <w:r w:rsidRPr="001167CB">
          <w:rPr>
            <w:rStyle w:val="Hyperlink"/>
            <w:rFonts w:asciiTheme="majorHAnsi" w:hAnsiTheme="majorHAnsi" w:cstheme="majorHAnsi"/>
            <w:color w:val="808080" w:themeColor="background1" w:themeShade="80"/>
            <w:sz w:val="16"/>
            <w:szCs w:val="16"/>
          </w:rPr>
          <w:t xml:space="preserve">Disgraced ex-cop Daniel </w:t>
        </w:r>
        <w:proofErr w:type="spellStart"/>
        <w:r w:rsidRPr="001167CB">
          <w:rPr>
            <w:rStyle w:val="Hyperlink"/>
            <w:rFonts w:asciiTheme="majorHAnsi" w:hAnsiTheme="majorHAnsi" w:cstheme="majorHAnsi"/>
            <w:color w:val="808080" w:themeColor="background1" w:themeShade="80"/>
            <w:sz w:val="16"/>
            <w:szCs w:val="16"/>
          </w:rPr>
          <w:t>Holtzclaw</w:t>
        </w:r>
        <w:proofErr w:type="spellEnd"/>
        <w:r w:rsidRPr="001167CB">
          <w:rPr>
            <w:rStyle w:val="Hyperlink"/>
            <w:rFonts w:asciiTheme="majorHAnsi" w:hAnsiTheme="majorHAnsi" w:cstheme="majorHAnsi"/>
            <w:color w:val="808080" w:themeColor="background1" w:themeShade="80"/>
            <w:sz w:val="16"/>
            <w:szCs w:val="16"/>
          </w:rPr>
          <w:t xml:space="preserve"> sentenced to 263 years for on-duty rapes, sexual assault</w:t>
        </w:r>
      </w:hyperlink>
      <w:r w:rsidRPr="001167CB">
        <w:rPr>
          <w:rFonts w:asciiTheme="majorHAnsi" w:hAnsiTheme="majorHAnsi" w:cstheme="majorHAnsi"/>
          <w:color w:val="808080" w:themeColor="background1" w:themeShade="80"/>
          <w:sz w:val="16"/>
          <w:szCs w:val="16"/>
        </w:rPr>
        <w:t xml:space="preserve">s, Jan. 22, 2016 (“In a racially charged case that attracted national attention, </w:t>
      </w:r>
      <w:proofErr w:type="spellStart"/>
      <w:r w:rsidRPr="001167CB">
        <w:rPr>
          <w:rFonts w:asciiTheme="majorHAnsi" w:hAnsiTheme="majorHAnsi" w:cstheme="majorHAnsi"/>
          <w:color w:val="808080" w:themeColor="background1" w:themeShade="80"/>
          <w:sz w:val="16"/>
          <w:szCs w:val="16"/>
        </w:rPr>
        <w:t>Holtzclaw</w:t>
      </w:r>
      <w:proofErr w:type="spellEnd"/>
      <w:r w:rsidRPr="001167CB">
        <w:rPr>
          <w:rFonts w:asciiTheme="majorHAnsi" w:hAnsiTheme="majorHAnsi" w:cstheme="majorHAnsi"/>
          <w:color w:val="808080" w:themeColor="background1" w:themeShade="80"/>
          <w:sz w:val="16"/>
          <w:szCs w:val="16"/>
        </w:rPr>
        <w:t xml:space="preserve"> was accused of committing sex crimes against 13 different African American women while patrolling a low-income neighborhood.”).</w:t>
      </w:r>
    </w:p>
  </w:footnote>
  <w:footnote w:id="368">
    <w:p w14:paraId="77B8670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449"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w:t>
      </w:r>
    </w:p>
  </w:footnote>
  <w:footnote w:id="369">
    <w:p w14:paraId="78554A1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e.g., </w:t>
      </w:r>
      <w:hyperlink r:id="rId450" w:history="1">
        <w:r w:rsidRPr="001167CB">
          <w:rPr>
            <w:rStyle w:val="Hyperlink"/>
            <w:rFonts w:asciiTheme="majorHAnsi" w:hAnsiTheme="majorHAnsi" w:cstheme="majorHAnsi"/>
            <w:color w:val="808080" w:themeColor="background1" w:themeShade="80"/>
            <w:sz w:val="16"/>
            <w:szCs w:val="16"/>
          </w:rPr>
          <w:t xml:space="preserve">The </w:t>
        </w:r>
        <w:proofErr w:type="spellStart"/>
        <w:r w:rsidRPr="001167CB">
          <w:rPr>
            <w:rStyle w:val="Hyperlink"/>
            <w:rFonts w:asciiTheme="majorHAnsi" w:hAnsiTheme="majorHAnsi" w:cstheme="majorHAnsi"/>
            <w:color w:val="808080" w:themeColor="background1" w:themeShade="80"/>
            <w:sz w:val="16"/>
            <w:szCs w:val="16"/>
          </w:rPr>
          <w:t>Ruderman</w:t>
        </w:r>
        <w:proofErr w:type="spellEnd"/>
        <w:r w:rsidRPr="001167CB">
          <w:rPr>
            <w:rStyle w:val="Hyperlink"/>
            <w:rFonts w:asciiTheme="majorHAnsi" w:hAnsiTheme="majorHAnsi" w:cstheme="majorHAnsi"/>
            <w:color w:val="808080" w:themeColor="background1" w:themeShade="80"/>
            <w:sz w:val="16"/>
            <w:szCs w:val="16"/>
          </w:rPr>
          <w:t xml:space="preserve"> White Paper on Media Coverage of Law Enforcement Use of Force and Disability: a Media Study (2013-2015) and Overview</w:t>
        </w:r>
      </w:hyperlink>
      <w:r w:rsidRPr="001167CB">
        <w:rPr>
          <w:rFonts w:asciiTheme="majorHAnsi" w:hAnsiTheme="majorHAnsi" w:cstheme="majorHAnsi"/>
          <w:color w:val="808080" w:themeColor="background1" w:themeShade="80"/>
          <w:sz w:val="16"/>
          <w:szCs w:val="16"/>
        </w:rPr>
        <w:t xml:space="preserve">, Mar. 2016; Treatment Advocacy Center, </w:t>
      </w:r>
      <w:hyperlink r:id="rId451" w:history="1">
        <w:r w:rsidRPr="001167CB">
          <w:rPr>
            <w:rStyle w:val="Hyperlink"/>
            <w:rFonts w:asciiTheme="majorHAnsi" w:hAnsiTheme="majorHAnsi" w:cstheme="majorHAnsi"/>
            <w:color w:val="808080" w:themeColor="background1" w:themeShade="80"/>
            <w:sz w:val="16"/>
            <w:szCs w:val="16"/>
          </w:rPr>
          <w:t>Overlooked in the Undercounted: The Role of Mental Illness in Fatal Law Enforcement Encounters</w:t>
        </w:r>
      </w:hyperlink>
      <w:r w:rsidRPr="001167CB">
        <w:rPr>
          <w:rFonts w:asciiTheme="majorHAnsi" w:hAnsiTheme="majorHAnsi" w:cstheme="majorHAnsi"/>
          <w:color w:val="808080" w:themeColor="background1" w:themeShade="80"/>
          <w:sz w:val="16"/>
          <w:szCs w:val="16"/>
        </w:rPr>
        <w:t xml:space="preserve">, Dec. 2015. </w:t>
      </w:r>
    </w:p>
  </w:footnote>
  <w:footnote w:id="370">
    <w:p w14:paraId="7B091AF7" w14:textId="77777777"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Washington Post, </w:t>
      </w:r>
      <w:hyperlink r:id="rId452" w:history="1">
        <w:r w:rsidRPr="001167CB">
          <w:rPr>
            <w:rStyle w:val="Hyperlink"/>
            <w:rFonts w:asciiTheme="majorHAnsi" w:hAnsiTheme="majorHAnsi" w:cstheme="majorHAnsi"/>
            <w:color w:val="808080" w:themeColor="background1" w:themeShade="80"/>
            <w:sz w:val="16"/>
            <w:szCs w:val="16"/>
          </w:rPr>
          <w:t>Fata</w:t>
        </w:r>
      </w:hyperlink>
      <w:r w:rsidRPr="001167CB">
        <w:rPr>
          <w:rStyle w:val="Hyperlink"/>
          <w:rFonts w:asciiTheme="majorHAnsi" w:hAnsiTheme="majorHAnsi" w:cstheme="majorHAnsi"/>
          <w:color w:val="808080" w:themeColor="background1" w:themeShade="80"/>
          <w:sz w:val="16"/>
          <w:szCs w:val="16"/>
        </w:rPr>
        <w:t>l Force: 2017</w:t>
      </w:r>
      <w:r w:rsidRPr="001167CB">
        <w:rPr>
          <w:rFonts w:asciiTheme="majorHAnsi" w:hAnsiTheme="majorHAnsi" w:cstheme="majorHAnsi"/>
          <w:color w:val="808080" w:themeColor="background1" w:themeShade="80"/>
          <w:sz w:val="16"/>
          <w:szCs w:val="16"/>
        </w:rPr>
        <w:t xml:space="preserve">, last visited Dec. 8, 2017; </w:t>
      </w:r>
      <w:hyperlink r:id="rId453" w:history="1">
        <w:r w:rsidRPr="001167CB">
          <w:rPr>
            <w:rStyle w:val="Hyperlink"/>
            <w:rFonts w:asciiTheme="majorHAnsi" w:hAnsiTheme="majorHAnsi" w:cstheme="majorHAnsi"/>
            <w:color w:val="808080" w:themeColor="background1" w:themeShade="80"/>
            <w:sz w:val="16"/>
            <w:szCs w:val="16"/>
          </w:rPr>
          <w:t>Fatal Force: 2016</w:t>
        </w:r>
      </w:hyperlink>
      <w:r w:rsidRPr="001167CB">
        <w:rPr>
          <w:rFonts w:asciiTheme="majorHAnsi" w:hAnsiTheme="majorHAnsi" w:cstheme="majorHAnsi"/>
          <w:color w:val="808080" w:themeColor="background1" w:themeShade="80"/>
          <w:sz w:val="16"/>
          <w:szCs w:val="16"/>
        </w:rPr>
        <w:t xml:space="preserve">, last visited Dec. 8, 2017; </w:t>
      </w:r>
      <w:hyperlink r:id="rId454" w:history="1">
        <w:r w:rsidRPr="001167CB">
          <w:rPr>
            <w:rStyle w:val="Hyperlink"/>
            <w:rFonts w:asciiTheme="majorHAnsi" w:hAnsiTheme="majorHAnsi" w:cstheme="majorHAnsi"/>
            <w:color w:val="808080" w:themeColor="background1" w:themeShade="80"/>
            <w:sz w:val="16"/>
            <w:szCs w:val="16"/>
          </w:rPr>
          <w:t>Fatal Force: 2015</w:t>
        </w:r>
      </w:hyperlink>
      <w:r w:rsidRPr="001167CB">
        <w:rPr>
          <w:rFonts w:asciiTheme="majorHAnsi" w:hAnsiTheme="majorHAnsi" w:cstheme="majorHAnsi"/>
          <w:color w:val="808080" w:themeColor="background1" w:themeShade="80"/>
          <w:sz w:val="16"/>
          <w:szCs w:val="16"/>
        </w:rPr>
        <w:t>, last visited Dec. 8, 2017. These estimates are conservative, including only those identified by family or police officers as being mentally ill.</w:t>
      </w:r>
    </w:p>
  </w:footnote>
  <w:footnote w:id="371">
    <w:p w14:paraId="275C6D3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Miami Herald, </w:t>
      </w:r>
      <w:hyperlink r:id="rId455" w:history="1">
        <w:r w:rsidRPr="001167CB">
          <w:rPr>
            <w:rStyle w:val="Hyperlink"/>
            <w:rFonts w:asciiTheme="majorHAnsi" w:hAnsiTheme="majorHAnsi" w:cstheme="majorHAnsi"/>
            <w:color w:val="808080" w:themeColor="background1" w:themeShade="80"/>
            <w:sz w:val="16"/>
            <w:szCs w:val="16"/>
          </w:rPr>
          <w:t>Family: Video shows Miami Gardens police didn’t need to shoot mentally ill man</w:t>
        </w:r>
      </w:hyperlink>
      <w:r w:rsidRPr="001167CB">
        <w:rPr>
          <w:rFonts w:asciiTheme="majorHAnsi" w:hAnsiTheme="majorHAnsi" w:cstheme="majorHAnsi"/>
          <w:color w:val="808080" w:themeColor="background1" w:themeShade="80"/>
          <w:sz w:val="16"/>
          <w:szCs w:val="16"/>
        </w:rPr>
        <w:t>, Apr. 8, 2015.</w:t>
      </w:r>
    </w:p>
  </w:footnote>
  <w:footnote w:id="372">
    <w:p w14:paraId="1FD7B29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e.g.</w:t>
      </w:r>
      <w:r w:rsidRPr="001167CB">
        <w:rPr>
          <w:rFonts w:asciiTheme="majorHAnsi" w:hAnsiTheme="majorHAnsi" w:cstheme="majorHAnsi"/>
          <w:color w:val="808080" w:themeColor="background1" w:themeShade="80"/>
          <w:sz w:val="16"/>
          <w:szCs w:val="16"/>
        </w:rPr>
        <w:t xml:space="preserve">, NPR, </w:t>
      </w:r>
      <w:hyperlink r:id="rId456" w:history="1">
        <w:r w:rsidRPr="001167CB">
          <w:rPr>
            <w:rStyle w:val="Hyperlink"/>
            <w:rFonts w:asciiTheme="majorHAnsi" w:hAnsiTheme="majorHAnsi" w:cstheme="majorHAnsi"/>
            <w:color w:val="808080" w:themeColor="background1" w:themeShade="80"/>
            <w:sz w:val="16"/>
            <w:szCs w:val="16"/>
          </w:rPr>
          <w:t xml:space="preserve">Of All U.S. Police Shootings, One-Quarter Reportedly Involve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Mentally Ill</w:t>
        </w:r>
      </w:hyperlink>
      <w:r w:rsidRPr="001167CB">
        <w:rPr>
          <w:rFonts w:asciiTheme="majorHAnsi" w:hAnsiTheme="majorHAnsi" w:cstheme="majorHAnsi"/>
          <w:color w:val="808080" w:themeColor="background1" w:themeShade="80"/>
          <w:sz w:val="16"/>
          <w:szCs w:val="16"/>
        </w:rPr>
        <w:t xml:space="preserve">, July 4, 2015; </w:t>
      </w:r>
      <w:r w:rsidRPr="001167CB">
        <w:rPr>
          <w:rFonts w:asciiTheme="majorHAnsi" w:hAnsiTheme="majorHAnsi" w:cstheme="majorHAnsi"/>
          <w:i/>
          <w:color w:val="808080" w:themeColor="background1" w:themeShade="80"/>
          <w:sz w:val="16"/>
          <w:szCs w:val="16"/>
        </w:rPr>
        <w:t xml:space="preserve">see also supra </w:t>
      </w:r>
      <w:r w:rsidRPr="001167CB">
        <w:rPr>
          <w:rFonts w:asciiTheme="majorHAnsi" w:hAnsiTheme="majorHAnsi" w:cstheme="majorHAnsi"/>
          <w:color w:val="808080" w:themeColor="background1" w:themeShade="80"/>
          <w:sz w:val="16"/>
          <w:szCs w:val="16"/>
        </w:rPr>
        <w:t xml:space="preserve">note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NOTEREF _Ref511832973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103</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373">
    <w:p w14:paraId="30EA7D1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166th Period of Sessions, </w:t>
      </w:r>
      <w:hyperlink r:id="rId457" w:history="1">
        <w:r w:rsidRPr="001167CB">
          <w:rPr>
            <w:rStyle w:val="Hyperlink"/>
            <w:rFonts w:asciiTheme="majorHAnsi" w:hAnsiTheme="majorHAnsi" w:cstheme="majorHAnsi"/>
            <w:bCs/>
            <w:color w:val="808080" w:themeColor="background1" w:themeShade="80"/>
            <w:sz w:val="16"/>
            <w:szCs w:val="16"/>
          </w:rPr>
          <w:t>“Impunity for Police Killings” Hearing</w:t>
        </w:r>
      </w:hyperlink>
      <w:r w:rsidRPr="001167CB">
        <w:rPr>
          <w:rFonts w:asciiTheme="majorHAnsi" w:hAnsiTheme="majorHAnsi" w:cstheme="majorHAnsi"/>
          <w:bCs/>
          <w:color w:val="808080" w:themeColor="background1" w:themeShade="80"/>
          <w:sz w:val="16"/>
          <w:szCs w:val="16"/>
        </w:rPr>
        <w:t>,</w:t>
      </w:r>
      <w:r w:rsidRPr="001167CB">
        <w:rPr>
          <w:rFonts w:asciiTheme="majorHAnsi" w:hAnsiTheme="majorHAnsi" w:cstheme="majorHAnsi"/>
          <w:color w:val="808080" w:themeColor="background1" w:themeShade="80"/>
          <w:sz w:val="16"/>
          <w:szCs w:val="16"/>
        </w:rPr>
        <w:t xml:space="preserve"> Dec. </w:t>
      </w:r>
      <w:r w:rsidRPr="001167CB">
        <w:rPr>
          <w:rFonts w:asciiTheme="majorHAnsi" w:hAnsiTheme="majorHAnsi" w:cstheme="majorHAnsi"/>
          <w:bCs/>
          <w:color w:val="808080" w:themeColor="background1" w:themeShade="80"/>
          <w:sz w:val="16"/>
          <w:szCs w:val="16"/>
        </w:rPr>
        <w:t>7, 2017</w:t>
      </w:r>
      <w:r w:rsidRPr="001167CB">
        <w:rPr>
          <w:rFonts w:asciiTheme="majorHAnsi" w:hAnsiTheme="majorHAnsi" w:cstheme="majorHAnsi"/>
          <w:color w:val="808080" w:themeColor="background1" w:themeShade="80"/>
          <w:sz w:val="16"/>
          <w:szCs w:val="16"/>
        </w:rPr>
        <w:t>.</w:t>
      </w:r>
    </w:p>
  </w:footnote>
  <w:footnote w:id="374">
    <w:p w14:paraId="3F765BE1" w14:textId="77777777" w:rsidR="005C2394" w:rsidRPr="001167CB" w:rsidRDefault="005C2394" w:rsidP="00625D97">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153d Period of Sessions, </w:t>
      </w:r>
      <w:hyperlink r:id="rId458" w:history="1">
        <w:r w:rsidRPr="001167CB">
          <w:rPr>
            <w:rStyle w:val="Hyperlink"/>
            <w:rFonts w:asciiTheme="majorHAnsi" w:hAnsiTheme="majorHAnsi" w:cstheme="majorHAnsi"/>
            <w:bCs/>
            <w:color w:val="808080" w:themeColor="background1" w:themeShade="80"/>
            <w:sz w:val="16"/>
            <w:szCs w:val="16"/>
          </w:rPr>
          <w:t>“Racism in the Justice System”</w:t>
        </w:r>
      </w:hyperlink>
      <w:r w:rsidRPr="001167CB">
        <w:rPr>
          <w:rFonts w:asciiTheme="majorHAnsi" w:hAnsiTheme="majorHAnsi" w:cstheme="majorHAnsi"/>
          <w:bCs/>
          <w:color w:val="808080" w:themeColor="background1" w:themeShade="80"/>
          <w:sz w:val="16"/>
          <w:szCs w:val="16"/>
        </w:rPr>
        <w:t xml:space="preserve"> Hearing,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27, 2014</w:t>
      </w:r>
      <w:r w:rsidRPr="001167CB">
        <w:rPr>
          <w:rFonts w:asciiTheme="majorHAnsi" w:hAnsiTheme="majorHAnsi" w:cstheme="majorHAnsi"/>
          <w:color w:val="808080" w:themeColor="background1" w:themeShade="80"/>
          <w:sz w:val="16"/>
          <w:szCs w:val="16"/>
        </w:rPr>
        <w:t>.</w:t>
      </w:r>
    </w:p>
  </w:footnote>
  <w:footnote w:id="375">
    <w:p w14:paraId="160E793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NBC News, </w:t>
      </w:r>
      <w:hyperlink r:id="rId459" w:history="1">
        <w:proofErr w:type="spellStart"/>
        <w:r w:rsidRPr="001167CB">
          <w:rPr>
            <w:rStyle w:val="Hyperlink"/>
            <w:rFonts w:asciiTheme="majorHAnsi" w:hAnsiTheme="majorHAnsi" w:cstheme="majorHAnsi"/>
            <w:color w:val="808080" w:themeColor="background1" w:themeShade="80"/>
            <w:sz w:val="16"/>
            <w:szCs w:val="16"/>
          </w:rPr>
          <w:t>Tamir</w:t>
        </w:r>
        <w:proofErr w:type="spellEnd"/>
        <w:r w:rsidRPr="001167CB">
          <w:rPr>
            <w:rStyle w:val="Hyperlink"/>
            <w:rFonts w:asciiTheme="majorHAnsi" w:hAnsiTheme="majorHAnsi" w:cstheme="majorHAnsi"/>
            <w:color w:val="808080" w:themeColor="background1" w:themeShade="80"/>
            <w:sz w:val="16"/>
            <w:szCs w:val="16"/>
          </w:rPr>
          <w:t xml:space="preserve"> Rice Shooting: Newly Released Interview Reveals Cop’s Shifting Story</w:t>
        </w:r>
      </w:hyperlink>
      <w:r w:rsidRPr="001167CB">
        <w:rPr>
          <w:rFonts w:asciiTheme="majorHAnsi" w:hAnsiTheme="majorHAnsi" w:cstheme="majorHAnsi"/>
          <w:color w:val="808080" w:themeColor="background1" w:themeShade="80"/>
          <w:sz w:val="16"/>
          <w:szCs w:val="16"/>
        </w:rPr>
        <w:t>, Apr. 26, 2017.</w:t>
      </w:r>
    </w:p>
  </w:footnote>
  <w:footnote w:id="376">
    <w:p w14:paraId="444D2D7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Washington Post, </w:t>
      </w:r>
      <w:hyperlink r:id="rId460" w:history="1">
        <w:r w:rsidRPr="001167CB">
          <w:rPr>
            <w:rStyle w:val="Hyperlink"/>
            <w:rFonts w:asciiTheme="majorHAnsi" w:hAnsiTheme="majorHAnsi" w:cstheme="majorHAnsi"/>
            <w:color w:val="808080" w:themeColor="background1" w:themeShade="80"/>
            <w:sz w:val="16"/>
            <w:szCs w:val="16"/>
          </w:rPr>
          <w:t>Darren Wilson explains why he killed Michael Brown</w:t>
        </w:r>
      </w:hyperlink>
      <w:r w:rsidRPr="001167CB">
        <w:rPr>
          <w:rFonts w:asciiTheme="majorHAnsi" w:hAnsiTheme="majorHAnsi" w:cstheme="majorHAnsi"/>
          <w:color w:val="808080" w:themeColor="background1" w:themeShade="80"/>
          <w:sz w:val="16"/>
          <w:szCs w:val="16"/>
        </w:rPr>
        <w:t>, Nov. 25, 2014.</w:t>
      </w:r>
    </w:p>
  </w:footnote>
  <w:footnote w:id="377">
    <w:p w14:paraId="5FD6ED9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461"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Oct. </w:t>
      </w:r>
      <w:r w:rsidRPr="001167CB">
        <w:rPr>
          <w:rFonts w:asciiTheme="majorHAnsi" w:hAnsiTheme="majorHAnsi" w:cstheme="majorHAnsi"/>
          <w:bCs/>
          <w:color w:val="808080" w:themeColor="background1" w:themeShade="80"/>
          <w:sz w:val="16"/>
          <w:szCs w:val="16"/>
        </w:rPr>
        <w:t>16, 2015</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Press Release No. 134/14, </w:t>
      </w:r>
      <w:hyperlink r:id="rId462" w:history="1">
        <w:r w:rsidRPr="001167CB">
          <w:rPr>
            <w:rStyle w:val="Hyperlink"/>
            <w:rFonts w:asciiTheme="majorHAnsi" w:hAnsiTheme="majorHAnsi" w:cstheme="majorHAnsi"/>
            <w:color w:val="808080" w:themeColor="background1" w:themeShade="80"/>
            <w:sz w:val="16"/>
            <w:szCs w:val="16"/>
          </w:rPr>
          <w:t>IACHR Conducts Visit to Colorado, United States</w:t>
        </w:r>
      </w:hyperlink>
      <w:r w:rsidRPr="001167CB">
        <w:rPr>
          <w:rFonts w:asciiTheme="majorHAnsi" w:hAnsiTheme="majorHAnsi" w:cstheme="majorHAnsi"/>
          <w:color w:val="808080" w:themeColor="background1" w:themeShade="80"/>
          <w:sz w:val="16"/>
          <w:szCs w:val="16"/>
        </w:rPr>
        <w:t xml:space="preserve">, Nov. 14, 2014; Press Release No. 44/14, </w:t>
      </w:r>
      <w:hyperlink r:id="rId463" w:history="1">
        <w:r w:rsidRPr="001167CB">
          <w:rPr>
            <w:rStyle w:val="Hyperlink"/>
            <w:rFonts w:asciiTheme="majorHAnsi" w:hAnsiTheme="majorHAnsi" w:cstheme="majorHAnsi"/>
            <w:color w:val="808080" w:themeColor="background1" w:themeShade="80"/>
            <w:sz w:val="16"/>
            <w:szCs w:val="16"/>
          </w:rPr>
          <w:t>IACHR Conducted a Visit to New York, United States</w:t>
        </w:r>
      </w:hyperlink>
      <w:r w:rsidRPr="001167CB">
        <w:rPr>
          <w:rFonts w:asciiTheme="majorHAnsi" w:hAnsiTheme="majorHAnsi" w:cstheme="majorHAnsi"/>
          <w:color w:val="808080" w:themeColor="background1" w:themeShade="80"/>
          <w:sz w:val="16"/>
          <w:szCs w:val="16"/>
        </w:rPr>
        <w:t>, Apr. 24, 2014.</w:t>
      </w:r>
    </w:p>
  </w:footnote>
  <w:footnote w:id="378">
    <w:p w14:paraId="5365001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464" w:history="1">
        <w:r w:rsidRPr="001167CB">
          <w:rPr>
            <w:rStyle w:val="Hyperlink"/>
            <w:rFonts w:asciiTheme="majorHAnsi" w:hAnsiTheme="majorHAnsi" w:cstheme="majorHAnsi"/>
            <w:color w:val="808080" w:themeColor="background1" w:themeShade="80"/>
            <w:sz w:val="16"/>
            <w:szCs w:val="16"/>
          </w:rPr>
          <w:t>Violence, Children and Organized Crime</w:t>
        </w:r>
      </w:hyperlink>
      <w:r w:rsidRPr="001167CB">
        <w:rPr>
          <w:rFonts w:asciiTheme="majorHAnsi" w:hAnsiTheme="majorHAnsi" w:cstheme="majorHAnsi"/>
          <w:color w:val="808080" w:themeColor="background1" w:themeShade="80"/>
          <w:sz w:val="16"/>
          <w:szCs w:val="16"/>
        </w:rPr>
        <w:t xml:space="preserve">, OAS/ </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/V/II.Doc.40/15 (2015), para. 81.</w:t>
      </w:r>
    </w:p>
  </w:footnote>
  <w:footnote w:id="379">
    <w:p w14:paraId="64C1241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National Center for Transgender Equality &amp; National Gay and Lesbian Task Force, </w:t>
      </w:r>
      <w:hyperlink r:id="rId465" w:history="1">
        <w:r w:rsidRPr="001167CB">
          <w:rPr>
            <w:rStyle w:val="Hyperlink"/>
            <w:rFonts w:asciiTheme="majorHAnsi" w:hAnsiTheme="majorHAnsi" w:cstheme="majorHAnsi"/>
            <w:i/>
            <w:color w:val="808080" w:themeColor="background1" w:themeShade="80"/>
            <w:sz w:val="16"/>
            <w:szCs w:val="16"/>
          </w:rPr>
          <w:t>Injustice at Every Turn: A Report of the National Transgender Discrimination Survey</w:t>
        </w:r>
      </w:hyperlink>
      <w:r w:rsidRPr="001167CB">
        <w:rPr>
          <w:rFonts w:asciiTheme="majorHAnsi" w:hAnsiTheme="majorHAnsi" w:cstheme="majorHAnsi"/>
          <w:color w:val="808080" w:themeColor="background1" w:themeShade="80"/>
          <w:sz w:val="16"/>
          <w:szCs w:val="16"/>
        </w:rPr>
        <w:t xml:space="preserve"> (2011), 5.</w:t>
      </w:r>
    </w:p>
  </w:footnote>
  <w:footnote w:id="380">
    <w:p w14:paraId="6093110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National Center for Trans Equality, </w:t>
      </w:r>
      <w:hyperlink r:id="rId466" w:history="1">
        <w:r w:rsidRPr="001167CB">
          <w:rPr>
            <w:rStyle w:val="Hyperlink"/>
            <w:rFonts w:asciiTheme="majorHAnsi" w:hAnsiTheme="majorHAnsi" w:cstheme="majorHAnsi"/>
            <w:color w:val="808080" w:themeColor="background1" w:themeShade="80"/>
            <w:sz w:val="16"/>
            <w:szCs w:val="16"/>
          </w:rPr>
          <w:t>Blueprint for Equality: A Transgender Federal Agenda</w:t>
        </w:r>
      </w:hyperlink>
      <w:r w:rsidRPr="001167CB">
        <w:rPr>
          <w:rFonts w:asciiTheme="majorHAnsi" w:hAnsiTheme="majorHAnsi" w:cstheme="majorHAnsi"/>
          <w:color w:val="808080" w:themeColor="background1" w:themeShade="80"/>
          <w:sz w:val="16"/>
          <w:szCs w:val="16"/>
        </w:rPr>
        <w:t xml:space="preserve"> (2015), p. 28.</w:t>
      </w:r>
    </w:p>
  </w:footnote>
  <w:footnote w:id="381">
    <w:p w14:paraId="0500FEA1" w14:textId="744FD51F"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also supra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_Ref507079616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48</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382">
    <w:p w14:paraId="12352C1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467"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Oct. 16, 2015</w:t>
      </w:r>
      <w:r w:rsidRPr="001167CB">
        <w:rPr>
          <w:rFonts w:asciiTheme="majorHAnsi" w:hAnsiTheme="majorHAnsi" w:cstheme="majorHAnsi"/>
          <w:color w:val="808080" w:themeColor="background1" w:themeShade="80"/>
          <w:sz w:val="16"/>
          <w:szCs w:val="16"/>
        </w:rPr>
        <w:t>.</w:t>
      </w:r>
    </w:p>
  </w:footnote>
  <w:footnote w:id="383">
    <w:p w14:paraId="1CE98B1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Id</w:t>
      </w:r>
      <w:r w:rsidRPr="001167CB">
        <w:rPr>
          <w:rFonts w:asciiTheme="majorHAnsi" w:hAnsiTheme="majorHAnsi" w:cstheme="majorHAnsi"/>
          <w:color w:val="808080" w:themeColor="background1" w:themeShade="80"/>
          <w:sz w:val="16"/>
          <w:szCs w:val="16"/>
        </w:rPr>
        <w:t>.</w:t>
      </w:r>
    </w:p>
  </w:footnote>
  <w:footnote w:id="384">
    <w:p w14:paraId="468A645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For example, the widely reported arrest of Henry Louis Gates, Jr., a Harvard professor, at his home in Cambridge, Massachusetts, in 2009, highlighted that racial profiling by police cuts across class lines. </w:t>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Washington Post, </w:t>
      </w:r>
      <w:hyperlink r:id="rId468" w:history="1">
        <w:r w:rsidRPr="001167CB">
          <w:rPr>
            <w:rStyle w:val="Hyperlink"/>
            <w:rFonts w:asciiTheme="majorHAnsi" w:hAnsiTheme="majorHAnsi" w:cstheme="majorHAnsi"/>
            <w:color w:val="808080" w:themeColor="background1" w:themeShade="80"/>
            <w:sz w:val="16"/>
            <w:szCs w:val="16"/>
          </w:rPr>
          <w:t>Arrest of Harvard's Henry Louis Gates Jr. was avoidable, report says</w:t>
        </w:r>
      </w:hyperlink>
      <w:r w:rsidRPr="001167CB">
        <w:rPr>
          <w:rFonts w:asciiTheme="majorHAnsi" w:hAnsiTheme="majorHAnsi" w:cstheme="majorHAnsi"/>
          <w:color w:val="808080" w:themeColor="background1" w:themeShade="80"/>
          <w:sz w:val="16"/>
          <w:szCs w:val="16"/>
        </w:rPr>
        <w:t>, June 30, 2010.</w:t>
      </w:r>
    </w:p>
  </w:footnote>
  <w:footnote w:id="385">
    <w:p w14:paraId="4638867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Guardian, </w:t>
      </w:r>
      <w:hyperlink r:id="rId469" w:history="1">
        <w:r w:rsidRPr="001167CB">
          <w:rPr>
            <w:rStyle w:val="Hyperlink"/>
            <w:rFonts w:asciiTheme="majorHAnsi" w:hAnsiTheme="majorHAnsi" w:cstheme="majorHAnsi"/>
            <w:color w:val="808080" w:themeColor="background1" w:themeShade="80"/>
            <w:sz w:val="16"/>
            <w:szCs w:val="16"/>
          </w:rPr>
          <w:t>A journey through a land of extreme poverty: welcome to America</w:t>
        </w:r>
      </w:hyperlink>
      <w:r w:rsidRPr="001167CB">
        <w:rPr>
          <w:rFonts w:asciiTheme="majorHAnsi" w:hAnsiTheme="majorHAnsi" w:cstheme="majorHAnsi"/>
          <w:color w:val="808080" w:themeColor="background1" w:themeShade="80"/>
          <w:sz w:val="16"/>
          <w:szCs w:val="16"/>
        </w:rPr>
        <w:t>, Dec. 15, 2017.</w:t>
      </w:r>
    </w:p>
  </w:footnote>
  <w:footnote w:id="386">
    <w:p w14:paraId="018C79A7" w14:textId="396CBD3F"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infra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_Ref507665005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Police Use of Excessive Force</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_Ref507665030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Racial Disparities in Arrests</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 xml:space="preserve">, and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_Ref507665051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Racial Disparities in Access to Counsel, Pleas, Sentencing, Incarceration, and Re-Incarceration</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387">
    <w:p w14:paraId="0523A20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Lawyers’ Committee for Civil Rights under Law, </w:t>
      </w:r>
      <w:r w:rsidRPr="001167CB">
        <w:rPr>
          <w:rFonts w:asciiTheme="majorHAnsi" w:hAnsiTheme="majorHAnsi" w:cstheme="majorHAnsi"/>
          <w:i/>
          <w:color w:val="808080" w:themeColor="background1" w:themeShade="80"/>
          <w:sz w:val="16"/>
          <w:szCs w:val="16"/>
        </w:rPr>
        <w:t>Statement before the Inter-American Commission on Human Rights, Criminal Justice and Race in the United States</w:t>
      </w:r>
      <w:r w:rsidRPr="001167CB">
        <w:rPr>
          <w:rFonts w:asciiTheme="majorHAnsi" w:hAnsiTheme="majorHAnsi" w:cstheme="majorHAnsi"/>
          <w:color w:val="808080" w:themeColor="background1" w:themeShade="80"/>
          <w:sz w:val="16"/>
          <w:szCs w:val="16"/>
        </w:rPr>
        <w:t xml:space="preserve">, Mar. 16, 2015, page 2; </w:t>
      </w:r>
      <w:r w:rsidRPr="001167CB">
        <w:rPr>
          <w:rFonts w:asciiTheme="majorHAnsi" w:hAnsiTheme="majorHAnsi" w:cstheme="majorHAnsi"/>
          <w:i/>
          <w:color w:val="808080" w:themeColor="background1" w:themeShade="80"/>
          <w:sz w:val="16"/>
          <w:szCs w:val="16"/>
        </w:rPr>
        <w:t xml:space="preserve">see also generally </w:t>
      </w:r>
      <w:r w:rsidRPr="001167CB">
        <w:rPr>
          <w:rFonts w:asciiTheme="majorHAnsi" w:hAnsiTheme="majorHAnsi" w:cstheme="majorHAnsi"/>
          <w:color w:val="808080" w:themeColor="background1" w:themeShade="80"/>
          <w:sz w:val="16"/>
          <w:szCs w:val="16"/>
        </w:rPr>
        <w:t xml:space="preserve">Michelle Alexander, </w:t>
      </w:r>
      <w:r w:rsidRPr="001167CB">
        <w:rPr>
          <w:rFonts w:asciiTheme="majorHAnsi" w:hAnsiTheme="majorHAnsi" w:cstheme="majorHAnsi"/>
          <w:i/>
          <w:color w:val="808080" w:themeColor="background1" w:themeShade="80"/>
          <w:sz w:val="16"/>
          <w:szCs w:val="16"/>
        </w:rPr>
        <w:t>The New Jim Crow: Mass Incarceration in the Age of Colorblindness</w:t>
      </w:r>
      <w:r w:rsidRPr="001167CB">
        <w:rPr>
          <w:rFonts w:asciiTheme="majorHAnsi" w:hAnsiTheme="majorHAnsi" w:cstheme="majorHAnsi"/>
          <w:color w:val="808080" w:themeColor="background1" w:themeShade="80"/>
          <w:sz w:val="16"/>
          <w:szCs w:val="16"/>
        </w:rPr>
        <w:t xml:space="preserve"> (New York: The New Press, 2010).</w:t>
      </w:r>
    </w:p>
  </w:footnote>
  <w:footnote w:id="388">
    <w:p w14:paraId="430BE6B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470" w:history="1">
        <w:r w:rsidRPr="001167CB">
          <w:rPr>
            <w:rStyle w:val="Hyperlink"/>
            <w:rFonts w:asciiTheme="majorHAnsi" w:hAnsiTheme="majorHAnsi" w:cstheme="majorHAnsi"/>
            <w:bCs/>
            <w:color w:val="808080" w:themeColor="background1" w:themeShade="80"/>
            <w:sz w:val="16"/>
            <w:szCs w:val="16"/>
          </w:rPr>
          <w:t>Measures to Reduce Pretrial Detention</w:t>
        </w:r>
      </w:hyperlink>
      <w:r w:rsidRPr="001167CB">
        <w:rPr>
          <w:rFonts w:asciiTheme="majorHAnsi" w:hAnsiTheme="majorHAnsi" w:cstheme="majorHAnsi"/>
          <w:bCs/>
          <w:color w:val="808080" w:themeColor="background1" w:themeShade="80"/>
          <w:sz w:val="16"/>
          <w:szCs w:val="16"/>
        </w:rPr>
        <w:t>, OEA/</w:t>
      </w:r>
      <w:proofErr w:type="spellStart"/>
      <w:r w:rsidRPr="001167CB">
        <w:rPr>
          <w:rFonts w:asciiTheme="majorHAnsi" w:hAnsiTheme="majorHAnsi" w:cstheme="majorHAnsi"/>
          <w:bCs/>
          <w:color w:val="808080" w:themeColor="background1" w:themeShade="80"/>
          <w:sz w:val="16"/>
          <w:szCs w:val="16"/>
        </w:rPr>
        <w:t>Ser.L</w:t>
      </w:r>
      <w:proofErr w:type="spellEnd"/>
      <w:r w:rsidRPr="001167CB">
        <w:rPr>
          <w:rFonts w:asciiTheme="majorHAnsi" w:hAnsiTheme="majorHAnsi" w:cstheme="majorHAnsi"/>
          <w:bCs/>
          <w:color w:val="808080" w:themeColor="background1" w:themeShade="80"/>
          <w:sz w:val="16"/>
          <w:szCs w:val="16"/>
        </w:rPr>
        <w:t>/V/II.163, Doc. 105 (2017),</w:t>
      </w:r>
      <w:r w:rsidRPr="001167CB">
        <w:rPr>
          <w:rFonts w:asciiTheme="majorHAnsi" w:hAnsiTheme="majorHAnsi" w:cstheme="majorHAnsi"/>
          <w:color w:val="808080" w:themeColor="background1" w:themeShade="80"/>
          <w:sz w:val="16"/>
          <w:szCs w:val="16"/>
        </w:rPr>
        <w:t xml:space="preserve"> para. 155.</w:t>
      </w:r>
    </w:p>
  </w:footnote>
  <w:footnote w:id="389">
    <w:p w14:paraId="3AA00A8E" w14:textId="5C5F8062"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supra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_Ref504656720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146</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390">
    <w:p w14:paraId="28C1CA05" w14:textId="1BCB6770"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Regarding actions of the federal government </w:t>
      </w:r>
      <w:r w:rsidRPr="001167CB">
        <w:rPr>
          <w:rFonts w:asciiTheme="majorHAnsi" w:hAnsiTheme="majorHAnsi" w:cstheme="majorHAnsi"/>
          <w:i/>
          <w:color w:val="808080" w:themeColor="background1" w:themeShade="80"/>
          <w:sz w:val="16"/>
          <w:szCs w:val="16"/>
        </w:rPr>
        <w:t xml:space="preserve">see supra </w:t>
      </w:r>
      <w:r w:rsidRPr="001167CB">
        <w:rPr>
          <w:rFonts w:asciiTheme="majorHAnsi" w:hAnsiTheme="majorHAnsi" w:cstheme="majorHAnsi"/>
          <w:color w:val="808080" w:themeColor="background1" w:themeShade="80"/>
          <w:sz w:val="16"/>
          <w:szCs w:val="16"/>
        </w:rPr>
        <w:t>paras.</w:t>
      </w:r>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21, 82, 84, 88, 98, 116, 127, 146, and 148. </w:t>
      </w:r>
      <w:r w:rsidRPr="001167CB">
        <w:rPr>
          <w:rFonts w:asciiTheme="majorHAnsi" w:hAnsiTheme="majorHAnsi" w:cstheme="majorHAnsi"/>
          <w:i/>
          <w:color w:val="808080" w:themeColor="background1" w:themeShade="80"/>
          <w:sz w:val="16"/>
          <w:szCs w:val="16"/>
        </w:rPr>
        <w:t xml:space="preserve">   </w:t>
      </w:r>
    </w:p>
  </w:footnote>
  <w:footnote w:id="391">
    <w:p w14:paraId="2D6FF2E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U.S. DOJ, </w:t>
      </w:r>
      <w:hyperlink r:id="rId471" w:history="1">
        <w:r w:rsidRPr="001167CB">
          <w:rPr>
            <w:rStyle w:val="Hyperlink"/>
            <w:rFonts w:asciiTheme="majorHAnsi" w:hAnsiTheme="majorHAnsi" w:cstheme="majorHAnsi"/>
            <w:i/>
            <w:iCs/>
            <w:color w:val="808080" w:themeColor="background1" w:themeShade="80"/>
            <w:sz w:val="16"/>
            <w:szCs w:val="16"/>
          </w:rPr>
          <w:t>Justice Department Releases Report on Civil Rights Division’s Pattern and Practice Police Reform Work</w:t>
        </w:r>
      </w:hyperlink>
      <w:r w:rsidRPr="001167CB">
        <w:rPr>
          <w:rFonts w:asciiTheme="majorHAnsi" w:hAnsiTheme="majorHAnsi" w:cstheme="majorHAnsi"/>
          <w:color w:val="808080" w:themeColor="background1" w:themeShade="80"/>
          <w:sz w:val="16"/>
          <w:szCs w:val="16"/>
        </w:rPr>
        <w:t>, Jan. 4, 2017.</w:t>
      </w:r>
    </w:p>
  </w:footnote>
  <w:footnote w:id="392">
    <w:p w14:paraId="3AC5DCD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U.S. DOJ, </w:t>
      </w:r>
      <w:hyperlink r:id="rId472" w:history="1">
        <w:r w:rsidRPr="001167CB">
          <w:rPr>
            <w:rStyle w:val="Hyperlink"/>
            <w:rFonts w:asciiTheme="majorHAnsi" w:hAnsiTheme="majorHAnsi" w:cstheme="majorHAnsi"/>
            <w:color w:val="808080" w:themeColor="background1" w:themeShade="80"/>
            <w:sz w:val="16"/>
            <w:szCs w:val="16"/>
            <w:lang w:val="en-GB" w:eastAsia="es-ES"/>
          </w:rPr>
          <w:t>Guidance For Federal Law Enforcement Agencies Regarding the Use of Race, Ethnicity, Gender, National Origin, Religion, Sexual Orientation, or Gender Identity</w:t>
        </w:r>
      </w:hyperlink>
      <w:r w:rsidRPr="001167CB">
        <w:rPr>
          <w:rFonts w:asciiTheme="majorHAnsi" w:hAnsiTheme="majorHAnsi" w:cstheme="majorHAnsi"/>
          <w:color w:val="808080" w:themeColor="background1" w:themeShade="80"/>
          <w:sz w:val="16"/>
          <w:szCs w:val="16"/>
          <w:lang w:val="en-GB" w:eastAsia="es-ES"/>
        </w:rPr>
        <w:t xml:space="preserve">, </w:t>
      </w:r>
      <w:r w:rsidRPr="001167CB">
        <w:rPr>
          <w:rFonts w:asciiTheme="majorHAnsi" w:hAnsiTheme="majorHAnsi" w:cstheme="majorHAnsi"/>
          <w:color w:val="808080" w:themeColor="background1" w:themeShade="80"/>
          <w:sz w:val="16"/>
          <w:szCs w:val="16"/>
        </w:rPr>
        <w:t>Dec.</w:t>
      </w:r>
      <w:r w:rsidRPr="001167CB">
        <w:rPr>
          <w:rFonts w:asciiTheme="majorHAnsi" w:hAnsiTheme="majorHAnsi" w:cstheme="majorHAnsi"/>
          <w:color w:val="808080" w:themeColor="background1" w:themeShade="80"/>
          <w:sz w:val="16"/>
          <w:szCs w:val="16"/>
          <w:lang w:val="en-GB" w:eastAsia="es-ES"/>
        </w:rPr>
        <w:t xml:space="preserve"> 2014. </w:t>
      </w:r>
    </w:p>
  </w:footnote>
  <w:footnote w:id="393">
    <w:p w14:paraId="53B5C69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Office of Community Oriented Policing Services (COPS), </w:t>
      </w:r>
      <w:hyperlink r:id="rId473" w:history="1">
        <w:r w:rsidRPr="001167CB">
          <w:rPr>
            <w:rStyle w:val="Hyperlink"/>
            <w:rFonts w:asciiTheme="majorHAnsi" w:hAnsiTheme="majorHAnsi" w:cstheme="majorHAnsi"/>
            <w:bCs/>
            <w:color w:val="808080" w:themeColor="background1" w:themeShade="80"/>
            <w:sz w:val="16"/>
            <w:szCs w:val="16"/>
          </w:rPr>
          <w:t>Final Report of the President’s Task Force on 21</w:t>
        </w:r>
        <w:r w:rsidRPr="001167CB">
          <w:rPr>
            <w:rStyle w:val="Hyperlink"/>
            <w:rFonts w:asciiTheme="majorHAnsi" w:hAnsiTheme="majorHAnsi" w:cstheme="majorHAnsi"/>
            <w:bCs/>
            <w:color w:val="808080" w:themeColor="background1" w:themeShade="80"/>
            <w:sz w:val="16"/>
            <w:szCs w:val="16"/>
            <w:vertAlign w:val="superscript"/>
          </w:rPr>
          <w:t>st</w:t>
        </w:r>
        <w:r w:rsidRPr="001167CB">
          <w:rPr>
            <w:rStyle w:val="Hyperlink"/>
            <w:rFonts w:asciiTheme="majorHAnsi" w:hAnsiTheme="majorHAnsi" w:cstheme="majorHAnsi"/>
            <w:bCs/>
            <w:color w:val="808080" w:themeColor="background1" w:themeShade="80"/>
            <w:sz w:val="16"/>
            <w:szCs w:val="16"/>
          </w:rPr>
          <w:t xml:space="preserve"> Century Policing</w:t>
        </w:r>
      </w:hyperlink>
      <w:r w:rsidRPr="001167CB">
        <w:rPr>
          <w:rFonts w:asciiTheme="majorHAnsi" w:hAnsiTheme="majorHAnsi" w:cstheme="majorHAnsi"/>
          <w:bCs/>
          <w:color w:val="808080" w:themeColor="background1" w:themeShade="80"/>
          <w:sz w:val="16"/>
          <w:szCs w:val="16"/>
        </w:rPr>
        <w:t>, May 2015</w:t>
      </w:r>
      <w:r w:rsidRPr="001167CB">
        <w:rPr>
          <w:rFonts w:asciiTheme="majorHAnsi" w:hAnsiTheme="majorHAnsi" w:cstheme="majorHAnsi"/>
          <w:color w:val="808080" w:themeColor="background1" w:themeShade="80"/>
          <w:sz w:val="16"/>
          <w:szCs w:val="16"/>
        </w:rPr>
        <w:t>.</w:t>
      </w:r>
    </w:p>
  </w:footnote>
  <w:footnote w:id="394">
    <w:p w14:paraId="7F8FBE2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at Recommendation 1.2. </w:t>
      </w:r>
    </w:p>
  </w:footnote>
  <w:footnote w:id="395">
    <w:p w14:paraId="487EECA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 28.</w:t>
      </w:r>
    </w:p>
  </w:footnote>
  <w:footnote w:id="396">
    <w:p w14:paraId="484ABBA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State of Washington, </w:t>
      </w:r>
      <w:hyperlink r:id="rId474" w:anchor="page=1" w:history="1">
        <w:r w:rsidRPr="001167CB">
          <w:rPr>
            <w:rStyle w:val="Hyperlink"/>
            <w:rFonts w:asciiTheme="majorHAnsi" w:hAnsiTheme="majorHAnsi" w:cstheme="majorHAnsi"/>
            <w:color w:val="808080" w:themeColor="background1" w:themeShade="80"/>
            <w:sz w:val="16"/>
            <w:szCs w:val="16"/>
          </w:rPr>
          <w:t>HOUSE BILL 2908</w:t>
        </w:r>
      </w:hyperlink>
      <w:r w:rsidRPr="001167CB">
        <w:rPr>
          <w:rFonts w:asciiTheme="majorHAnsi" w:hAnsiTheme="majorHAnsi" w:cstheme="majorHAnsi"/>
          <w:color w:val="808080" w:themeColor="background1" w:themeShade="80"/>
          <w:sz w:val="16"/>
          <w:szCs w:val="16"/>
        </w:rPr>
        <w:t>, Mar. 10, 2016.</w:t>
      </w:r>
    </w:p>
  </w:footnote>
  <w:footnote w:id="397">
    <w:p w14:paraId="760D095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State of Utah, </w:t>
      </w:r>
      <w:hyperlink r:id="rId475" w:history="1">
        <w:r w:rsidRPr="001167CB">
          <w:rPr>
            <w:rStyle w:val="Hyperlink"/>
            <w:rFonts w:asciiTheme="majorHAnsi" w:hAnsiTheme="majorHAnsi" w:cstheme="majorHAnsi"/>
            <w:color w:val="808080" w:themeColor="background1" w:themeShade="80"/>
            <w:sz w:val="16"/>
            <w:szCs w:val="16"/>
          </w:rPr>
          <w:t>HOUSE BILL 355</w:t>
        </w:r>
      </w:hyperlink>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shd w:val="clear" w:color="auto" w:fill="FAFAFA"/>
        </w:rPr>
        <w:t>Mar. 30, 2016</w:t>
      </w:r>
    </w:p>
  </w:footnote>
  <w:footnote w:id="398">
    <w:p w14:paraId="6D2B75F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State of Colorado, </w:t>
      </w:r>
      <w:hyperlink r:id="rId476" w:history="1">
        <w:r w:rsidRPr="001167CB">
          <w:rPr>
            <w:rStyle w:val="Hyperlink"/>
            <w:rFonts w:asciiTheme="majorHAnsi" w:hAnsiTheme="majorHAnsi" w:cstheme="majorHAnsi"/>
            <w:color w:val="808080" w:themeColor="background1" w:themeShade="80"/>
            <w:sz w:val="16"/>
            <w:szCs w:val="16"/>
          </w:rPr>
          <w:t>HOUSE BILL 16-1264</w:t>
        </w:r>
      </w:hyperlink>
      <w:r w:rsidRPr="001167CB">
        <w:rPr>
          <w:rFonts w:asciiTheme="majorHAnsi" w:hAnsiTheme="majorHAnsi" w:cstheme="majorHAnsi"/>
          <w:color w:val="808080" w:themeColor="background1" w:themeShade="80"/>
          <w:sz w:val="16"/>
          <w:szCs w:val="16"/>
        </w:rPr>
        <w:t xml:space="preserve">, June 10, 2016; State of Connecticut, </w:t>
      </w:r>
      <w:hyperlink r:id="rId477" w:history="1">
        <w:r w:rsidRPr="001167CB">
          <w:rPr>
            <w:rStyle w:val="Hyperlink"/>
            <w:rFonts w:asciiTheme="majorHAnsi" w:hAnsiTheme="majorHAnsi" w:cstheme="majorHAnsi"/>
            <w:color w:val="808080" w:themeColor="background1" w:themeShade="80"/>
            <w:sz w:val="16"/>
            <w:szCs w:val="16"/>
          </w:rPr>
          <w:t>HOUSE BILL 7103</w:t>
        </w:r>
      </w:hyperlink>
      <w:r w:rsidRPr="001167CB">
        <w:rPr>
          <w:rFonts w:asciiTheme="majorHAnsi" w:hAnsiTheme="majorHAnsi" w:cstheme="majorHAnsi"/>
          <w:color w:val="808080" w:themeColor="background1" w:themeShade="80"/>
          <w:sz w:val="16"/>
          <w:szCs w:val="16"/>
        </w:rPr>
        <w:t xml:space="preserve">, June 2015; State of Illinois, </w:t>
      </w:r>
      <w:hyperlink r:id="rId478" w:history="1">
        <w:r w:rsidRPr="001167CB">
          <w:rPr>
            <w:rStyle w:val="Hyperlink"/>
            <w:rFonts w:asciiTheme="majorHAnsi" w:hAnsiTheme="majorHAnsi" w:cstheme="majorHAnsi"/>
            <w:color w:val="808080" w:themeColor="background1" w:themeShade="80"/>
            <w:sz w:val="16"/>
            <w:szCs w:val="16"/>
          </w:rPr>
          <w:t>SENATE BILL 1304</w:t>
        </w:r>
      </w:hyperlink>
      <w:r w:rsidRPr="001167CB">
        <w:rPr>
          <w:rFonts w:asciiTheme="majorHAnsi" w:hAnsiTheme="majorHAnsi" w:cstheme="majorHAnsi"/>
          <w:color w:val="808080" w:themeColor="background1" w:themeShade="80"/>
          <w:sz w:val="16"/>
          <w:szCs w:val="16"/>
        </w:rPr>
        <w:t xml:space="preserve">, Aug. 12, 2015. </w:t>
      </w:r>
    </w:p>
  </w:footnote>
  <w:footnote w:id="399">
    <w:p w14:paraId="3759633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154th Period of Sessions, </w:t>
      </w:r>
      <w:hyperlink r:id="rId479" w:history="1">
        <w:r w:rsidRPr="001167CB">
          <w:rPr>
            <w:rStyle w:val="Hyperlink"/>
            <w:rFonts w:asciiTheme="majorHAnsi" w:hAnsiTheme="majorHAnsi" w:cstheme="majorHAnsi"/>
            <w:bCs/>
            <w:color w:val="808080" w:themeColor="background1" w:themeShade="80"/>
            <w:sz w:val="16"/>
            <w:szCs w:val="16"/>
          </w:rPr>
          <w:t>“Criminal Justice and Race” Hearing</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Mar. </w:t>
      </w:r>
      <w:r w:rsidRPr="001167CB">
        <w:rPr>
          <w:rFonts w:asciiTheme="majorHAnsi" w:hAnsiTheme="majorHAnsi" w:cstheme="majorHAnsi"/>
          <w:bCs/>
          <w:color w:val="808080" w:themeColor="background1" w:themeShade="80"/>
          <w:sz w:val="16"/>
          <w:szCs w:val="16"/>
        </w:rPr>
        <w:t>16, 2015</w:t>
      </w:r>
      <w:r w:rsidRPr="001167CB">
        <w:rPr>
          <w:rStyle w:val="Hyperlink"/>
          <w:rFonts w:asciiTheme="majorHAnsi" w:hAnsiTheme="majorHAnsi" w:cstheme="majorHAnsi"/>
          <w:color w:val="808080" w:themeColor="background1" w:themeShade="80"/>
          <w:sz w:val="16"/>
          <w:szCs w:val="16"/>
          <w:u w:val="none"/>
        </w:rPr>
        <w:t xml:space="preserve">; </w:t>
      </w:r>
      <w:r w:rsidRPr="001167CB">
        <w:rPr>
          <w:rStyle w:val="Hyperlink"/>
          <w:rFonts w:asciiTheme="majorHAnsi" w:hAnsiTheme="majorHAnsi" w:cstheme="majorHAnsi"/>
          <w:i/>
          <w:color w:val="808080" w:themeColor="background1" w:themeShade="80"/>
          <w:sz w:val="16"/>
          <w:szCs w:val="16"/>
          <w:u w:val="none"/>
        </w:rPr>
        <w:t>see also</w:t>
      </w:r>
      <w:r w:rsidRPr="001167CB">
        <w:rPr>
          <w:rStyle w:val="Hyperlink"/>
          <w:rFonts w:asciiTheme="majorHAnsi" w:hAnsiTheme="majorHAnsi" w:cstheme="majorHAnsi"/>
          <w:color w:val="808080" w:themeColor="background1" w:themeShade="80"/>
          <w:sz w:val="16"/>
          <w:szCs w:val="16"/>
          <w:u w:val="none"/>
        </w:rPr>
        <w:t xml:space="preserve"> </w:t>
      </w:r>
      <w:r w:rsidRPr="001167CB">
        <w:rPr>
          <w:rFonts w:asciiTheme="majorHAnsi" w:hAnsiTheme="majorHAnsi" w:cstheme="majorHAnsi"/>
          <w:bCs/>
          <w:color w:val="808080" w:themeColor="background1" w:themeShade="80"/>
          <w:sz w:val="16"/>
          <w:szCs w:val="16"/>
        </w:rPr>
        <w:t xml:space="preserve">COPS, </w:t>
      </w:r>
      <w:hyperlink r:id="rId480" w:history="1">
        <w:r w:rsidRPr="001167CB">
          <w:rPr>
            <w:rStyle w:val="Hyperlink"/>
            <w:rFonts w:asciiTheme="majorHAnsi" w:hAnsiTheme="majorHAnsi" w:cstheme="majorHAnsi"/>
            <w:bCs/>
            <w:color w:val="808080" w:themeColor="background1" w:themeShade="80"/>
            <w:sz w:val="16"/>
            <w:szCs w:val="16"/>
          </w:rPr>
          <w:t>Final Report of the President’s Task Force on 21</w:t>
        </w:r>
        <w:r w:rsidRPr="001167CB">
          <w:rPr>
            <w:rStyle w:val="Hyperlink"/>
            <w:rFonts w:asciiTheme="majorHAnsi" w:hAnsiTheme="majorHAnsi" w:cstheme="majorHAnsi"/>
            <w:bCs/>
            <w:color w:val="808080" w:themeColor="background1" w:themeShade="80"/>
            <w:sz w:val="16"/>
            <w:szCs w:val="16"/>
            <w:vertAlign w:val="superscript"/>
          </w:rPr>
          <w:t>st</w:t>
        </w:r>
        <w:r w:rsidRPr="001167CB">
          <w:rPr>
            <w:rStyle w:val="Hyperlink"/>
            <w:rFonts w:asciiTheme="majorHAnsi" w:hAnsiTheme="majorHAnsi" w:cstheme="majorHAnsi"/>
            <w:bCs/>
            <w:color w:val="808080" w:themeColor="background1" w:themeShade="80"/>
            <w:sz w:val="16"/>
            <w:szCs w:val="16"/>
          </w:rPr>
          <w:t xml:space="preserve"> Century Policing</w:t>
        </w:r>
      </w:hyperlink>
      <w:r w:rsidRPr="001167CB">
        <w:rPr>
          <w:rFonts w:asciiTheme="majorHAnsi" w:hAnsiTheme="majorHAnsi" w:cstheme="majorHAnsi"/>
          <w:bCs/>
          <w:color w:val="808080" w:themeColor="background1" w:themeShade="80"/>
          <w:sz w:val="16"/>
          <w:szCs w:val="16"/>
        </w:rPr>
        <w:t>, May 2015</w:t>
      </w:r>
      <w:r w:rsidRPr="001167CB">
        <w:rPr>
          <w:rFonts w:asciiTheme="majorHAnsi" w:hAnsiTheme="majorHAnsi" w:cstheme="majorHAnsi"/>
          <w:color w:val="808080" w:themeColor="background1" w:themeShade="80"/>
          <w:sz w:val="16"/>
          <w:szCs w:val="16"/>
        </w:rPr>
        <w:t>.</w:t>
      </w:r>
    </w:p>
  </w:footnote>
  <w:footnote w:id="400">
    <w:p w14:paraId="7B4010C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COPS, </w:t>
      </w:r>
      <w:hyperlink r:id="rId481" w:history="1">
        <w:r w:rsidRPr="001167CB">
          <w:rPr>
            <w:rStyle w:val="Hyperlink"/>
            <w:rFonts w:asciiTheme="majorHAnsi" w:hAnsiTheme="majorHAnsi" w:cstheme="majorHAnsi"/>
            <w:bCs/>
            <w:color w:val="808080" w:themeColor="background1" w:themeShade="80"/>
            <w:sz w:val="16"/>
            <w:szCs w:val="16"/>
          </w:rPr>
          <w:t>Final Report of the President’s Task Force on 21</w:t>
        </w:r>
        <w:r w:rsidRPr="001167CB">
          <w:rPr>
            <w:rStyle w:val="Hyperlink"/>
            <w:rFonts w:asciiTheme="majorHAnsi" w:hAnsiTheme="majorHAnsi" w:cstheme="majorHAnsi"/>
            <w:bCs/>
            <w:color w:val="808080" w:themeColor="background1" w:themeShade="80"/>
            <w:sz w:val="16"/>
            <w:szCs w:val="16"/>
            <w:vertAlign w:val="superscript"/>
          </w:rPr>
          <w:t>st</w:t>
        </w:r>
        <w:r w:rsidRPr="001167CB">
          <w:rPr>
            <w:rStyle w:val="Hyperlink"/>
            <w:rFonts w:asciiTheme="majorHAnsi" w:hAnsiTheme="majorHAnsi" w:cstheme="majorHAnsi"/>
            <w:bCs/>
            <w:color w:val="808080" w:themeColor="background1" w:themeShade="80"/>
            <w:sz w:val="16"/>
            <w:szCs w:val="16"/>
          </w:rPr>
          <w:t xml:space="preserve"> Century Policing</w:t>
        </w:r>
      </w:hyperlink>
      <w:r w:rsidRPr="001167CB">
        <w:rPr>
          <w:rFonts w:asciiTheme="majorHAnsi" w:hAnsiTheme="majorHAnsi" w:cstheme="majorHAnsi"/>
          <w:bCs/>
          <w:color w:val="808080" w:themeColor="background1" w:themeShade="80"/>
          <w:sz w:val="16"/>
          <w:szCs w:val="16"/>
        </w:rPr>
        <w:t>, May 2015</w:t>
      </w:r>
      <w:r w:rsidRPr="001167CB">
        <w:rPr>
          <w:rFonts w:asciiTheme="majorHAnsi" w:hAnsiTheme="majorHAnsi" w:cstheme="majorHAnsi"/>
          <w:color w:val="808080" w:themeColor="background1" w:themeShade="80"/>
          <w:sz w:val="16"/>
          <w:szCs w:val="16"/>
        </w:rPr>
        <w:t>, p. 9.</w:t>
      </w:r>
    </w:p>
  </w:footnote>
  <w:footnote w:id="401">
    <w:p w14:paraId="63D01C9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e.g.</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bCs/>
          <w:color w:val="808080" w:themeColor="background1" w:themeShade="80"/>
          <w:sz w:val="16"/>
          <w:szCs w:val="16"/>
        </w:rPr>
        <w:t xml:space="preserve">IACHR, 153d Period of Sessions, </w:t>
      </w:r>
      <w:hyperlink r:id="rId482" w:history="1">
        <w:r w:rsidRPr="001167CB">
          <w:rPr>
            <w:rStyle w:val="Hyperlink"/>
            <w:rFonts w:asciiTheme="majorHAnsi" w:hAnsiTheme="majorHAnsi" w:cstheme="majorHAnsi"/>
            <w:bCs/>
            <w:color w:val="808080" w:themeColor="background1" w:themeShade="80"/>
            <w:sz w:val="16"/>
            <w:szCs w:val="16"/>
          </w:rPr>
          <w:t>“Racism in the Justice System”</w:t>
        </w:r>
      </w:hyperlink>
      <w:r w:rsidRPr="001167CB">
        <w:rPr>
          <w:rFonts w:asciiTheme="majorHAnsi" w:hAnsiTheme="majorHAnsi" w:cstheme="majorHAnsi"/>
          <w:bCs/>
          <w:color w:val="808080" w:themeColor="background1" w:themeShade="80"/>
          <w:sz w:val="16"/>
          <w:szCs w:val="16"/>
        </w:rPr>
        <w:t xml:space="preserve"> Hearing, Oct. 27, 2014</w:t>
      </w:r>
      <w:r w:rsidRPr="001167CB">
        <w:rPr>
          <w:rStyle w:val="Hyperlink"/>
          <w:rFonts w:asciiTheme="majorHAnsi" w:hAnsiTheme="majorHAnsi" w:cstheme="majorHAnsi"/>
          <w:color w:val="808080" w:themeColor="background1" w:themeShade="80"/>
          <w:sz w:val="16"/>
          <w:szCs w:val="16"/>
        </w:rPr>
        <w:t>.</w:t>
      </w:r>
    </w:p>
  </w:footnote>
  <w:footnote w:id="402">
    <w:p w14:paraId="41E5FAE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DOJ, </w:t>
      </w:r>
      <w:hyperlink r:id="rId483" w:history="1">
        <w:r w:rsidRPr="001167CB">
          <w:rPr>
            <w:rStyle w:val="Hyperlink"/>
            <w:rFonts w:asciiTheme="majorHAnsi" w:hAnsiTheme="majorHAnsi" w:cstheme="majorHAnsi"/>
            <w:iCs/>
            <w:color w:val="808080" w:themeColor="background1" w:themeShade="80"/>
            <w:sz w:val="16"/>
            <w:szCs w:val="16"/>
          </w:rPr>
          <w:t>Department of Justice Announces Changes to the Collaborative Reform Initiative</w:t>
        </w:r>
      </w:hyperlink>
      <w:r w:rsidRPr="001167CB">
        <w:rPr>
          <w:rFonts w:asciiTheme="majorHAnsi" w:hAnsiTheme="majorHAnsi" w:cstheme="majorHAnsi"/>
          <w:color w:val="808080" w:themeColor="background1" w:themeShade="80"/>
          <w:sz w:val="16"/>
          <w:szCs w:val="16"/>
        </w:rPr>
        <w:t xml:space="preserve">, Sept. 15, 2017; St. Louis Post-Dispatch, </w:t>
      </w:r>
      <w:hyperlink r:id="rId484" w:history="1">
        <w:r w:rsidRPr="001167CB">
          <w:rPr>
            <w:rStyle w:val="Hyperlink"/>
            <w:rFonts w:asciiTheme="majorHAnsi" w:hAnsiTheme="majorHAnsi" w:cstheme="majorHAnsi"/>
            <w:color w:val="808080" w:themeColor="background1" w:themeShade="80"/>
            <w:sz w:val="16"/>
            <w:szCs w:val="16"/>
          </w:rPr>
          <w:t>DOJ shifts from 'collaborative reform' doctrine toward Trump's law-and-order mandate</w:t>
        </w:r>
      </w:hyperlink>
      <w:r w:rsidRPr="001167CB">
        <w:rPr>
          <w:rFonts w:asciiTheme="majorHAnsi" w:hAnsiTheme="majorHAnsi" w:cstheme="majorHAnsi"/>
          <w:color w:val="808080" w:themeColor="background1" w:themeShade="80"/>
          <w:sz w:val="16"/>
          <w:szCs w:val="16"/>
        </w:rPr>
        <w:t xml:space="preserve">, Sept. 15, 2017.  </w:t>
      </w:r>
    </w:p>
  </w:footnote>
  <w:footnote w:id="403">
    <w:p w14:paraId="2ED7BAF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DOJ, </w:t>
      </w:r>
      <w:hyperlink r:id="rId485" w:history="1">
        <w:r w:rsidRPr="001167CB">
          <w:rPr>
            <w:rStyle w:val="Hyperlink"/>
            <w:rFonts w:asciiTheme="majorHAnsi" w:hAnsiTheme="majorHAnsi" w:cstheme="majorHAnsi"/>
            <w:iCs/>
            <w:color w:val="808080" w:themeColor="background1" w:themeShade="80"/>
            <w:sz w:val="16"/>
            <w:szCs w:val="16"/>
          </w:rPr>
          <w:t>Department of Justice Announces Changes to the Collaborative Reform Initiative</w:t>
        </w:r>
      </w:hyperlink>
      <w:r w:rsidRPr="001167CB">
        <w:rPr>
          <w:rFonts w:asciiTheme="majorHAnsi" w:hAnsiTheme="majorHAnsi" w:cstheme="majorHAnsi"/>
          <w:color w:val="808080" w:themeColor="background1" w:themeShade="80"/>
          <w:sz w:val="16"/>
          <w:szCs w:val="16"/>
        </w:rPr>
        <w:t xml:space="preserve">, Sept. 15, 2017.  </w:t>
      </w:r>
    </w:p>
  </w:footnote>
  <w:footnote w:id="404">
    <w:p w14:paraId="252CC5B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White House, </w:t>
      </w:r>
      <w:r w:rsidRPr="001167CB">
        <w:rPr>
          <w:rFonts w:asciiTheme="majorHAnsi" w:hAnsiTheme="majorHAnsi" w:cstheme="majorHAnsi"/>
          <w:iCs/>
          <w:color w:val="808080" w:themeColor="background1" w:themeShade="80"/>
          <w:sz w:val="16"/>
          <w:szCs w:val="16"/>
        </w:rPr>
        <w:t>Standing Up For Our Law Enforcement Community</w:t>
      </w:r>
      <w:r w:rsidRPr="001167CB">
        <w:rPr>
          <w:rFonts w:asciiTheme="majorHAnsi" w:hAnsiTheme="majorHAnsi" w:cstheme="majorHAnsi"/>
          <w:color w:val="808080" w:themeColor="background1" w:themeShade="80"/>
          <w:sz w:val="16"/>
          <w:szCs w:val="16"/>
        </w:rPr>
        <w:t xml:space="preserve">, Jan. 20, 2017.  </w:t>
      </w:r>
    </w:p>
  </w:footnote>
  <w:footnote w:id="405">
    <w:p w14:paraId="41AAB0F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proofErr w:type="spellStart"/>
      <w:r w:rsidRPr="001167CB">
        <w:rPr>
          <w:rFonts w:asciiTheme="majorHAnsi" w:hAnsiTheme="majorHAnsi" w:cstheme="majorHAnsi"/>
          <w:color w:val="808080" w:themeColor="background1" w:themeShade="80"/>
          <w:sz w:val="16"/>
          <w:szCs w:val="16"/>
        </w:rPr>
        <w:t>Vox</w:t>
      </w:r>
      <w:proofErr w:type="spellEnd"/>
      <w:r w:rsidRPr="001167CB">
        <w:rPr>
          <w:rFonts w:asciiTheme="majorHAnsi" w:hAnsiTheme="majorHAnsi" w:cstheme="majorHAnsi"/>
          <w:color w:val="808080" w:themeColor="background1" w:themeShade="80"/>
          <w:sz w:val="16"/>
          <w:szCs w:val="16"/>
        </w:rPr>
        <w:t xml:space="preserve">, </w:t>
      </w:r>
      <w:hyperlink r:id="rId486" w:history="1">
        <w:r w:rsidRPr="001167CB">
          <w:rPr>
            <w:rStyle w:val="Hyperlink"/>
            <w:rFonts w:asciiTheme="majorHAnsi" w:hAnsiTheme="majorHAnsi" w:cstheme="majorHAnsi"/>
            <w:color w:val="808080" w:themeColor="background1" w:themeShade="80"/>
            <w:sz w:val="16"/>
            <w:szCs w:val="16"/>
          </w:rPr>
          <w:t>What Jeff Sessions has done so far is toward one goal: unleashing the police</w:t>
        </w:r>
      </w:hyperlink>
      <w:r w:rsidRPr="001167CB">
        <w:rPr>
          <w:rFonts w:asciiTheme="majorHAnsi" w:hAnsiTheme="majorHAnsi" w:cstheme="majorHAnsi"/>
          <w:color w:val="808080" w:themeColor="background1" w:themeShade="80"/>
          <w:sz w:val="16"/>
          <w:szCs w:val="16"/>
        </w:rPr>
        <w:t>, May 4, 2017</w:t>
      </w:r>
      <w:r w:rsidRPr="001167CB">
        <w:rPr>
          <w:rFonts w:asciiTheme="majorHAnsi" w:eastAsia="Times New Roman" w:hAnsiTheme="majorHAnsi" w:cstheme="majorHAnsi"/>
          <w:color w:val="808080" w:themeColor="background1" w:themeShade="80"/>
          <w:sz w:val="16"/>
          <w:szCs w:val="16"/>
        </w:rPr>
        <w:t xml:space="preserve">; NPR, </w:t>
      </w:r>
      <w:hyperlink r:id="rId487" w:history="1">
        <w:r w:rsidRPr="001167CB">
          <w:rPr>
            <w:rStyle w:val="Hyperlink"/>
            <w:rFonts w:asciiTheme="majorHAnsi" w:eastAsia="Times New Roman" w:hAnsiTheme="majorHAnsi" w:cstheme="majorHAnsi"/>
            <w:color w:val="808080" w:themeColor="background1" w:themeShade="80"/>
            <w:sz w:val="16"/>
            <w:szCs w:val="16"/>
          </w:rPr>
          <w:t>Justice Department To Review All Civil Rights Agreements On Police Conduct</w:t>
        </w:r>
      </w:hyperlink>
      <w:r w:rsidRPr="001167CB">
        <w:rPr>
          <w:rFonts w:asciiTheme="majorHAnsi" w:eastAsia="Times New Roman"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eastAsia="Times New Roman" w:hAnsiTheme="majorHAnsi" w:cstheme="majorHAnsi"/>
          <w:color w:val="808080" w:themeColor="background1" w:themeShade="80"/>
          <w:sz w:val="16"/>
          <w:szCs w:val="16"/>
        </w:rPr>
        <w:t xml:space="preserve">3, 2017; </w:t>
      </w:r>
      <w:r w:rsidRPr="001167CB">
        <w:rPr>
          <w:rFonts w:asciiTheme="majorHAnsi" w:hAnsiTheme="majorHAnsi" w:cstheme="majorHAnsi"/>
          <w:color w:val="808080" w:themeColor="background1" w:themeShade="80"/>
          <w:sz w:val="16"/>
          <w:szCs w:val="16"/>
        </w:rPr>
        <w:t xml:space="preserve">New York Times, </w:t>
      </w:r>
      <w:hyperlink r:id="rId488" w:history="1">
        <w:r w:rsidRPr="001167CB">
          <w:rPr>
            <w:rStyle w:val="Hyperlink"/>
            <w:rFonts w:asciiTheme="majorHAnsi" w:hAnsiTheme="majorHAnsi" w:cstheme="majorHAnsi"/>
            <w:color w:val="808080" w:themeColor="background1" w:themeShade="80"/>
            <w:sz w:val="16"/>
            <w:szCs w:val="16"/>
          </w:rPr>
          <w:t>Police Chiefs Say Trump’s Law Enforcement Priorities Are Out of Step</w:t>
        </w:r>
      </w:hyperlink>
      <w:r w:rsidRPr="001167CB">
        <w:rPr>
          <w:rFonts w:asciiTheme="majorHAnsi" w:hAnsiTheme="majorHAnsi" w:cstheme="majorHAnsi"/>
          <w:color w:val="808080" w:themeColor="background1" w:themeShade="80"/>
          <w:sz w:val="16"/>
          <w:szCs w:val="16"/>
        </w:rPr>
        <w:t xml:space="preserve">, Feb. 12, 2017; New York Times, </w:t>
      </w:r>
      <w:hyperlink r:id="rId489" w:history="1">
        <w:r w:rsidRPr="001167CB">
          <w:rPr>
            <w:rStyle w:val="Hyperlink"/>
            <w:rFonts w:asciiTheme="majorHAnsi" w:hAnsiTheme="majorHAnsi" w:cstheme="majorHAnsi"/>
            <w:color w:val="808080" w:themeColor="background1" w:themeShade="80"/>
            <w:sz w:val="16"/>
            <w:szCs w:val="16"/>
          </w:rPr>
          <w:t>Police Criticize Trump for Urging Officers Not to Be ‘Too Nice’ With Suspects</w:t>
        </w:r>
      </w:hyperlink>
      <w:r w:rsidRPr="001167CB">
        <w:rPr>
          <w:rFonts w:asciiTheme="majorHAnsi" w:hAnsiTheme="majorHAnsi" w:cstheme="majorHAnsi"/>
          <w:color w:val="808080" w:themeColor="background1" w:themeShade="80"/>
          <w:sz w:val="16"/>
          <w:szCs w:val="16"/>
        </w:rPr>
        <w:t xml:space="preserve">, July 29, 2017; Slate, </w:t>
      </w:r>
      <w:hyperlink r:id="rId490" w:history="1">
        <w:r w:rsidRPr="001167CB">
          <w:rPr>
            <w:rStyle w:val="Hyperlink"/>
            <w:rFonts w:asciiTheme="majorHAnsi" w:hAnsiTheme="majorHAnsi" w:cstheme="majorHAnsi"/>
            <w:color w:val="808080" w:themeColor="background1" w:themeShade="80"/>
            <w:sz w:val="16"/>
            <w:szCs w:val="16"/>
          </w:rPr>
          <w:t>Trump and Sessions Support Local Cops, Except When Local Cops Support Federal Intervention</w:t>
        </w:r>
      </w:hyperlink>
      <w:r w:rsidRPr="001167CB">
        <w:rPr>
          <w:rFonts w:asciiTheme="majorHAnsi" w:hAnsiTheme="majorHAnsi" w:cstheme="majorHAnsi"/>
          <w:color w:val="808080" w:themeColor="background1" w:themeShade="80"/>
          <w:sz w:val="16"/>
          <w:szCs w:val="16"/>
        </w:rPr>
        <w:t>, Apr. 6, 2017.</w:t>
      </w:r>
    </w:p>
  </w:footnote>
  <w:footnote w:id="406">
    <w:p w14:paraId="4C549EC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USA Today (Attorney General Jeff Sessions), </w:t>
      </w:r>
      <w:hyperlink r:id="rId491" w:history="1">
        <w:r w:rsidRPr="001167CB">
          <w:rPr>
            <w:rStyle w:val="Hyperlink"/>
            <w:rFonts w:asciiTheme="majorHAnsi" w:hAnsiTheme="majorHAnsi" w:cstheme="majorHAnsi"/>
            <w:iCs/>
            <w:color w:val="808080" w:themeColor="background1" w:themeShade="80"/>
            <w:sz w:val="16"/>
            <w:szCs w:val="16"/>
          </w:rPr>
          <w:t>Avoid harmful federal intrusion</w:t>
        </w:r>
      </w:hyperlink>
      <w:r w:rsidRPr="001167CB">
        <w:rPr>
          <w:rFonts w:asciiTheme="majorHAnsi" w:hAnsiTheme="majorHAnsi" w:cstheme="majorHAnsi"/>
          <w:color w:val="808080" w:themeColor="background1" w:themeShade="80"/>
          <w:sz w:val="16"/>
          <w:szCs w:val="16"/>
        </w:rPr>
        <w:t xml:space="preserve">, Apr. 17, 2017.  </w:t>
      </w:r>
    </w:p>
  </w:footnote>
  <w:footnote w:id="407">
    <w:p w14:paraId="655BC2A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u w:val="single"/>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w:t>
      </w:r>
      <w:r w:rsidRPr="001167CB">
        <w:rPr>
          <w:rFonts w:asciiTheme="majorHAnsi" w:hAnsiTheme="majorHAnsi" w:cstheme="majorHAnsi"/>
          <w:bCs/>
          <w:color w:val="808080" w:themeColor="background1" w:themeShade="80"/>
          <w:sz w:val="16"/>
          <w:szCs w:val="16"/>
        </w:rPr>
        <w:t xml:space="preserve">ACHR, 166th Period of Sessions, </w:t>
      </w:r>
      <w:hyperlink r:id="rId492" w:history="1">
        <w:r w:rsidRPr="001167CB">
          <w:rPr>
            <w:rStyle w:val="Hyperlink"/>
            <w:rFonts w:asciiTheme="majorHAnsi" w:hAnsiTheme="majorHAnsi" w:cstheme="majorHAnsi"/>
            <w:bCs/>
            <w:color w:val="808080" w:themeColor="background1" w:themeShade="80"/>
            <w:sz w:val="16"/>
            <w:szCs w:val="16"/>
          </w:rPr>
          <w:t>“Impunity for Police Killings” Hearing</w:t>
        </w:r>
      </w:hyperlink>
      <w:r w:rsidRPr="001167CB">
        <w:rPr>
          <w:rFonts w:asciiTheme="majorHAnsi" w:hAnsiTheme="majorHAnsi" w:cstheme="majorHAnsi"/>
          <w:bCs/>
          <w:color w:val="808080" w:themeColor="background1" w:themeShade="80"/>
          <w:sz w:val="16"/>
          <w:szCs w:val="16"/>
        </w:rPr>
        <w:t>,</w:t>
      </w:r>
      <w:r w:rsidRPr="001167CB">
        <w:rPr>
          <w:rFonts w:asciiTheme="majorHAnsi" w:hAnsiTheme="majorHAnsi" w:cstheme="majorHAnsi"/>
          <w:color w:val="808080" w:themeColor="background1" w:themeShade="80"/>
          <w:sz w:val="16"/>
          <w:szCs w:val="16"/>
        </w:rPr>
        <w:t xml:space="preserve"> Dec. </w:t>
      </w:r>
      <w:r w:rsidRPr="001167CB">
        <w:rPr>
          <w:rFonts w:asciiTheme="majorHAnsi" w:hAnsiTheme="majorHAnsi" w:cstheme="majorHAnsi"/>
          <w:bCs/>
          <w:color w:val="808080" w:themeColor="background1" w:themeShade="80"/>
          <w:sz w:val="16"/>
          <w:szCs w:val="16"/>
        </w:rPr>
        <w:t>7, 2017</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See, e.g.,</w:t>
      </w:r>
      <w:r w:rsidRPr="001167CB">
        <w:rPr>
          <w:rFonts w:asciiTheme="majorHAnsi" w:hAnsiTheme="majorHAnsi" w:cstheme="majorHAnsi"/>
          <w:color w:val="808080" w:themeColor="background1" w:themeShade="80"/>
          <w:sz w:val="16"/>
          <w:szCs w:val="16"/>
        </w:rPr>
        <w:t xml:space="preserve"> New York Times, </w:t>
      </w:r>
      <w:hyperlink r:id="rId493" w:history="1">
        <w:r w:rsidRPr="001167CB">
          <w:rPr>
            <w:rStyle w:val="Hyperlink"/>
            <w:rFonts w:asciiTheme="majorHAnsi" w:hAnsiTheme="majorHAnsi" w:cstheme="majorHAnsi"/>
            <w:iCs/>
            <w:color w:val="808080" w:themeColor="background1" w:themeShade="80"/>
            <w:sz w:val="16"/>
            <w:szCs w:val="16"/>
          </w:rPr>
          <w:t>How Trump’s Hands-Off Approach to Policing is Frustrating Some Chiefs</w:t>
        </w:r>
      </w:hyperlink>
      <w:r w:rsidRPr="001167CB">
        <w:rPr>
          <w:rFonts w:asciiTheme="majorHAnsi" w:hAnsiTheme="majorHAnsi" w:cstheme="majorHAnsi"/>
          <w:i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Nov. 21, 2017.</w:t>
      </w:r>
    </w:p>
  </w:footnote>
  <w:footnote w:id="408">
    <w:p w14:paraId="0C469D3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Office of the Attorney General, </w:t>
      </w:r>
      <w:hyperlink r:id="rId494" w:history="1">
        <w:r w:rsidRPr="001167CB">
          <w:rPr>
            <w:rStyle w:val="Hyperlink"/>
            <w:rFonts w:asciiTheme="majorHAnsi" w:hAnsiTheme="majorHAnsi" w:cstheme="majorHAnsi"/>
            <w:iCs/>
            <w:color w:val="808080" w:themeColor="background1" w:themeShade="80"/>
            <w:sz w:val="16"/>
            <w:szCs w:val="16"/>
          </w:rPr>
          <w:t>Memorandum for Heads of Department Components and United States Attorneys</w:t>
        </w:r>
      </w:hyperlink>
      <w:r w:rsidRPr="001167CB">
        <w:rPr>
          <w:rFonts w:asciiTheme="majorHAnsi" w:hAnsiTheme="majorHAnsi" w:cstheme="majorHAnsi"/>
          <w:color w:val="808080" w:themeColor="background1" w:themeShade="80"/>
          <w:sz w:val="16"/>
          <w:szCs w:val="16"/>
        </w:rPr>
        <w:t xml:space="preserve">, Mar. 31, 2017; The Guardian, </w:t>
      </w:r>
      <w:hyperlink r:id="rId495" w:history="1">
        <w:r w:rsidRPr="001167CB">
          <w:rPr>
            <w:rStyle w:val="Hyperlink"/>
            <w:rFonts w:asciiTheme="majorHAnsi" w:hAnsiTheme="majorHAnsi" w:cstheme="majorHAnsi"/>
            <w:color w:val="808080" w:themeColor="background1" w:themeShade="80"/>
            <w:sz w:val="16"/>
            <w:szCs w:val="16"/>
          </w:rPr>
          <w:t>Jeff Sessions orders review of police reforms prompted by high-profile shootings</w:t>
        </w:r>
      </w:hyperlink>
      <w:r w:rsidRPr="001167CB">
        <w:rPr>
          <w:rFonts w:asciiTheme="majorHAnsi" w:hAnsiTheme="majorHAnsi" w:cstheme="majorHAnsi"/>
          <w:color w:val="808080" w:themeColor="background1" w:themeShade="80"/>
          <w:sz w:val="16"/>
          <w:szCs w:val="16"/>
        </w:rPr>
        <w:t>, Apr. 3, 2017.</w:t>
      </w:r>
    </w:p>
  </w:footnote>
  <w:footnote w:id="409">
    <w:p w14:paraId="0C0B059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w:t>
      </w:r>
      <w:r w:rsidRPr="001167CB">
        <w:rPr>
          <w:rFonts w:asciiTheme="majorHAnsi" w:hAnsiTheme="majorHAnsi" w:cstheme="majorHAnsi"/>
          <w:color w:val="808080" w:themeColor="background1" w:themeShade="80"/>
          <w:sz w:val="16"/>
          <w:szCs w:val="16"/>
        </w:rPr>
        <w:t>Information received from American Civil Liberties Union during 166th Period of Sessions, Thematic Hearing: Reports of Impunity for Extrajudicial Killings in the United States, Dec. 7, 2017, p. 2-3.</w:t>
      </w:r>
    </w:p>
  </w:footnote>
  <w:footnote w:id="410">
    <w:p w14:paraId="1DE1BF2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U.S. News &amp; World Report, </w:t>
      </w:r>
      <w:hyperlink r:id="rId496" w:history="1">
        <w:r w:rsidRPr="001167CB">
          <w:rPr>
            <w:rStyle w:val="Hyperlink"/>
            <w:rFonts w:asciiTheme="majorHAnsi" w:hAnsiTheme="majorHAnsi" w:cstheme="majorHAnsi"/>
            <w:iCs/>
            <w:color w:val="808080" w:themeColor="background1" w:themeShade="80"/>
            <w:sz w:val="16"/>
            <w:szCs w:val="16"/>
          </w:rPr>
          <w:t>Sessions slams Baltimore consent decree</w:t>
        </w:r>
      </w:hyperlink>
      <w:r w:rsidRPr="001167CB">
        <w:rPr>
          <w:rFonts w:asciiTheme="majorHAnsi" w:hAnsiTheme="majorHAnsi" w:cstheme="majorHAnsi"/>
          <w:color w:val="808080" w:themeColor="background1" w:themeShade="80"/>
          <w:sz w:val="16"/>
          <w:szCs w:val="16"/>
        </w:rPr>
        <w:t xml:space="preserve">, Apr. 7, 2017.  </w:t>
      </w:r>
    </w:p>
  </w:footnote>
  <w:footnote w:id="411">
    <w:p w14:paraId="786E2FF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Chicago Tribune, </w:t>
      </w:r>
      <w:hyperlink r:id="rId497" w:history="1">
        <w:r w:rsidRPr="001167CB">
          <w:rPr>
            <w:rStyle w:val="Hyperlink"/>
            <w:rFonts w:asciiTheme="majorHAnsi" w:hAnsiTheme="majorHAnsi" w:cstheme="majorHAnsi"/>
            <w:iCs/>
            <w:color w:val="808080" w:themeColor="background1" w:themeShade="80"/>
            <w:sz w:val="16"/>
            <w:szCs w:val="16"/>
          </w:rPr>
          <w:t>Emanuel backs off from commitment to court oversight of Chicago police reform</w:t>
        </w:r>
      </w:hyperlink>
      <w:r w:rsidRPr="001167CB">
        <w:rPr>
          <w:rFonts w:asciiTheme="majorHAnsi" w:hAnsiTheme="majorHAnsi" w:cstheme="majorHAnsi"/>
          <w:color w:val="808080" w:themeColor="background1" w:themeShade="80"/>
          <w:sz w:val="16"/>
          <w:szCs w:val="16"/>
        </w:rPr>
        <w:t xml:space="preserve">, June 2, 2017.  </w:t>
      </w:r>
    </w:p>
  </w:footnote>
  <w:footnote w:id="412">
    <w:p w14:paraId="36326AC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DOJ, </w:t>
      </w:r>
      <w:hyperlink r:id="rId498" w:history="1">
        <w:r w:rsidRPr="001167CB">
          <w:rPr>
            <w:rStyle w:val="Hyperlink"/>
            <w:rFonts w:asciiTheme="majorHAnsi" w:hAnsiTheme="majorHAnsi" w:cstheme="majorHAnsi"/>
            <w:iCs/>
            <w:color w:val="808080" w:themeColor="background1" w:themeShade="80"/>
            <w:sz w:val="16"/>
            <w:szCs w:val="16"/>
          </w:rPr>
          <w:t>Investigation of the Chicago Police Department</w:t>
        </w:r>
      </w:hyperlink>
      <w:r w:rsidRPr="001167CB">
        <w:rPr>
          <w:rFonts w:asciiTheme="majorHAnsi" w:hAnsiTheme="majorHAnsi" w:cstheme="majorHAnsi"/>
          <w:color w:val="808080" w:themeColor="background1" w:themeShade="80"/>
          <w:sz w:val="16"/>
          <w:szCs w:val="16"/>
        </w:rPr>
        <w:t xml:space="preserve">, Jan. 13, 2017; DOJ, </w:t>
      </w:r>
      <w:hyperlink r:id="rId499" w:history="1">
        <w:r w:rsidRPr="001167CB">
          <w:rPr>
            <w:rStyle w:val="Hyperlink"/>
            <w:rFonts w:asciiTheme="majorHAnsi" w:hAnsiTheme="majorHAnsi" w:cstheme="majorHAnsi"/>
            <w:iCs/>
            <w:color w:val="808080" w:themeColor="background1" w:themeShade="80"/>
            <w:sz w:val="16"/>
            <w:szCs w:val="16"/>
          </w:rPr>
          <w:t>Investigation of the Baltimore City Police Department</w:t>
        </w:r>
      </w:hyperlink>
      <w:r w:rsidRPr="001167CB">
        <w:rPr>
          <w:rFonts w:asciiTheme="majorHAnsi" w:hAnsiTheme="majorHAnsi" w:cstheme="majorHAnsi"/>
          <w:color w:val="808080" w:themeColor="background1" w:themeShade="80"/>
          <w:sz w:val="16"/>
          <w:szCs w:val="16"/>
        </w:rPr>
        <w:t xml:space="preserve">, Aug. 10, 2016.  </w:t>
      </w:r>
    </w:p>
  </w:footnote>
  <w:footnote w:id="413">
    <w:p w14:paraId="473609C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w:t>
      </w:r>
      <w:r w:rsidRPr="001167CB">
        <w:rPr>
          <w:rFonts w:asciiTheme="majorHAnsi" w:hAnsiTheme="majorHAnsi" w:cstheme="majorHAnsi"/>
          <w:color w:val="808080" w:themeColor="background1" w:themeShade="80"/>
          <w:sz w:val="16"/>
          <w:szCs w:val="16"/>
        </w:rPr>
        <w:t>Information received from American Civil Liberties Union during 166th Period of Sessions, Thematic Hearing: Reports of Impunity for Extrajudicial Killings in the United States, Dec. 7, 2017, p. 2-3.</w:t>
      </w:r>
    </w:p>
  </w:footnote>
  <w:footnote w:id="414">
    <w:p w14:paraId="7F2158A6" w14:textId="5F0C707F"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supra </w:t>
      </w:r>
      <w:r w:rsidRPr="001167CB">
        <w:rPr>
          <w:rFonts w:asciiTheme="majorHAnsi" w:hAnsiTheme="majorHAnsi" w:cstheme="majorHAnsi"/>
          <w:color w:val="808080" w:themeColor="background1" w:themeShade="80"/>
          <w:sz w:val="16"/>
          <w:szCs w:val="16"/>
        </w:rPr>
        <w:t xml:space="preserve">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_Ref504669959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88</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 xml:space="preserve">. White House, Office of the Press Secretary, </w:t>
      </w:r>
      <w:hyperlink r:id="rId500" w:history="1">
        <w:r w:rsidRPr="001167CB">
          <w:rPr>
            <w:rStyle w:val="Hyperlink"/>
            <w:rFonts w:asciiTheme="majorHAnsi" w:hAnsiTheme="majorHAnsi" w:cstheme="majorHAnsi"/>
            <w:color w:val="808080" w:themeColor="background1" w:themeShade="80"/>
            <w:sz w:val="16"/>
            <w:szCs w:val="16"/>
          </w:rPr>
          <w:t>Presidential Executive Order on Restoring State, Tribal, and Local Law Enforcement's Access to Life-Saving Equipment and Resources</w:t>
        </w:r>
      </w:hyperlink>
      <w:r w:rsidRPr="001167CB">
        <w:rPr>
          <w:rFonts w:asciiTheme="majorHAnsi" w:hAnsiTheme="majorHAnsi" w:cstheme="majorHAnsi"/>
          <w:color w:val="808080" w:themeColor="background1" w:themeShade="80"/>
          <w:sz w:val="16"/>
          <w:szCs w:val="16"/>
        </w:rPr>
        <w:t xml:space="preserve">, Aug. 28, 2017; New York Times, </w:t>
      </w:r>
      <w:hyperlink r:id="rId501" w:history="1">
        <w:r w:rsidRPr="001167CB">
          <w:rPr>
            <w:rStyle w:val="Hyperlink"/>
            <w:rFonts w:asciiTheme="majorHAnsi" w:hAnsiTheme="majorHAnsi" w:cstheme="majorHAnsi"/>
            <w:color w:val="808080" w:themeColor="background1" w:themeShade="80"/>
            <w:sz w:val="16"/>
            <w:szCs w:val="16"/>
          </w:rPr>
          <w:t>Trump Reverses Restrictions on Military Hardware for Police</w:t>
        </w:r>
      </w:hyperlink>
      <w:r w:rsidRPr="001167CB">
        <w:rPr>
          <w:rFonts w:asciiTheme="majorHAnsi" w:hAnsiTheme="majorHAnsi" w:cstheme="majorHAnsi"/>
          <w:color w:val="808080" w:themeColor="background1" w:themeShade="80"/>
          <w:sz w:val="16"/>
          <w:szCs w:val="16"/>
        </w:rPr>
        <w:t>, Aug. 28, 2017.</w:t>
      </w:r>
    </w:p>
  </w:footnote>
  <w:footnote w:id="415">
    <w:p w14:paraId="3D52DE34" w14:textId="11EB869F"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supra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_Ref507171111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170</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 xml:space="preserve">; U.S. DOJ, </w:t>
      </w:r>
      <w:hyperlink r:id="rId502" w:history="1">
        <w:r w:rsidRPr="001167CB">
          <w:rPr>
            <w:rStyle w:val="Hyperlink"/>
            <w:rFonts w:asciiTheme="majorHAnsi" w:hAnsiTheme="majorHAnsi" w:cstheme="majorHAnsi"/>
            <w:color w:val="808080" w:themeColor="background1" w:themeShade="80"/>
            <w:sz w:val="16"/>
            <w:szCs w:val="16"/>
          </w:rPr>
          <w:t>Guidance for Federal Law Enforcement Agencies Regarding the Use of Race, Ethnicity, Gender, National Origin, Religion, Sexual Orientation, or Gender Identity</w:t>
        </w:r>
      </w:hyperlink>
      <w:r w:rsidRPr="001167CB">
        <w:rPr>
          <w:rFonts w:asciiTheme="majorHAnsi" w:hAnsiTheme="majorHAnsi" w:cstheme="majorHAnsi"/>
          <w:color w:val="808080" w:themeColor="background1" w:themeShade="80"/>
          <w:sz w:val="16"/>
          <w:szCs w:val="16"/>
        </w:rPr>
        <w:t xml:space="preserve">, December 2014; Washington Post, </w:t>
      </w:r>
      <w:hyperlink r:id="rId503" w:history="1">
        <w:r w:rsidRPr="001167CB">
          <w:rPr>
            <w:rStyle w:val="Hyperlink"/>
            <w:rFonts w:asciiTheme="majorHAnsi" w:hAnsiTheme="majorHAnsi" w:cstheme="majorHAnsi"/>
            <w:color w:val="808080" w:themeColor="background1" w:themeShade="80"/>
            <w:sz w:val="16"/>
            <w:szCs w:val="16"/>
          </w:rPr>
          <w:t>Justice Dept. announces new rules to curb racial profiling by federal law enforcement</w:t>
        </w:r>
      </w:hyperlink>
      <w:r w:rsidRPr="001167CB">
        <w:rPr>
          <w:rFonts w:asciiTheme="majorHAnsi" w:hAnsiTheme="majorHAnsi" w:cstheme="majorHAnsi"/>
          <w:color w:val="808080" w:themeColor="background1" w:themeShade="80"/>
          <w:sz w:val="16"/>
          <w:szCs w:val="16"/>
        </w:rPr>
        <w:t>, Dec. 8, 2014.</w:t>
      </w:r>
    </w:p>
  </w:footnote>
  <w:footnote w:id="416">
    <w:p w14:paraId="2F233B2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153d Period of Sessions, </w:t>
      </w:r>
      <w:hyperlink r:id="rId504" w:history="1">
        <w:r w:rsidRPr="001167CB">
          <w:rPr>
            <w:rStyle w:val="Hyperlink"/>
            <w:rFonts w:asciiTheme="majorHAnsi" w:hAnsiTheme="majorHAnsi" w:cstheme="majorHAnsi"/>
            <w:bCs/>
            <w:color w:val="808080" w:themeColor="background1" w:themeShade="80"/>
            <w:sz w:val="16"/>
            <w:szCs w:val="16"/>
          </w:rPr>
          <w:t>“Racism in the Justice System”</w:t>
        </w:r>
      </w:hyperlink>
      <w:r w:rsidRPr="001167CB">
        <w:rPr>
          <w:rFonts w:asciiTheme="majorHAnsi" w:hAnsiTheme="majorHAnsi" w:cstheme="majorHAnsi"/>
          <w:bCs/>
          <w:color w:val="808080" w:themeColor="background1" w:themeShade="80"/>
          <w:sz w:val="16"/>
          <w:szCs w:val="16"/>
        </w:rPr>
        <w:t xml:space="preserve"> Hearing, Oct. 27, 2014</w:t>
      </w:r>
      <w:r w:rsidRPr="001167CB">
        <w:rPr>
          <w:rStyle w:val="Hyperlink"/>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bCs/>
          <w:color w:val="808080" w:themeColor="background1" w:themeShade="80"/>
          <w:sz w:val="16"/>
          <w:szCs w:val="16"/>
        </w:rPr>
        <w:t xml:space="preserve">CERD, </w:t>
      </w:r>
      <w:hyperlink r:id="rId505"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bCs/>
          <w:color w:val="808080" w:themeColor="background1" w:themeShade="80"/>
          <w:sz w:val="16"/>
          <w:szCs w:val="16"/>
        </w:rPr>
        <w:t>25, 2014,</w:t>
      </w:r>
      <w:r w:rsidRPr="001167CB">
        <w:rPr>
          <w:rFonts w:asciiTheme="majorHAnsi" w:hAnsiTheme="majorHAnsi" w:cstheme="majorHAnsi"/>
          <w:color w:val="808080" w:themeColor="background1" w:themeShade="80"/>
          <w:sz w:val="16"/>
          <w:szCs w:val="16"/>
        </w:rPr>
        <w:t xml:space="preserve"> para. 8.</w:t>
      </w:r>
    </w:p>
  </w:footnote>
  <w:footnote w:id="417">
    <w:p w14:paraId="75A0D48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Human Rights </w:t>
      </w:r>
      <w:proofErr w:type="gramStart"/>
      <w:r w:rsidRPr="001167CB">
        <w:rPr>
          <w:rFonts w:asciiTheme="majorHAnsi" w:hAnsiTheme="majorHAnsi" w:cstheme="majorHAnsi"/>
          <w:bCs/>
          <w:color w:val="808080" w:themeColor="background1" w:themeShade="80"/>
          <w:sz w:val="16"/>
          <w:szCs w:val="16"/>
        </w:rPr>
        <w:t>Comm..</w:t>
      </w:r>
      <w:proofErr w:type="gramEnd"/>
      <w:r w:rsidRPr="001167CB">
        <w:rPr>
          <w:rFonts w:asciiTheme="majorHAnsi" w:hAnsiTheme="majorHAnsi" w:cstheme="majorHAnsi"/>
          <w:bCs/>
          <w:color w:val="808080" w:themeColor="background1" w:themeShade="80"/>
          <w:sz w:val="16"/>
          <w:szCs w:val="16"/>
        </w:rPr>
        <w:t xml:space="preserve"> </w:t>
      </w:r>
      <w:hyperlink r:id="rId506"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bCs/>
          <w:color w:val="808080" w:themeColor="background1" w:themeShade="80"/>
          <w:sz w:val="16"/>
          <w:szCs w:val="16"/>
        </w:rPr>
        <w:t>23, 2014</w:t>
      </w:r>
      <w:r w:rsidRPr="001167CB">
        <w:rPr>
          <w:rFonts w:asciiTheme="majorHAnsi" w:hAnsiTheme="majorHAnsi" w:cstheme="majorHAnsi"/>
          <w:color w:val="808080" w:themeColor="background1" w:themeShade="80"/>
          <w:sz w:val="16"/>
          <w:szCs w:val="16"/>
        </w:rPr>
        <w:t>, para. 7.</w:t>
      </w:r>
    </w:p>
  </w:footnote>
  <w:footnote w:id="418">
    <w:p w14:paraId="36053F7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Washington Post, </w:t>
      </w:r>
      <w:hyperlink r:id="rId507" w:history="1">
        <w:r w:rsidRPr="001167CB">
          <w:rPr>
            <w:rStyle w:val="Hyperlink"/>
            <w:rFonts w:asciiTheme="majorHAnsi" w:hAnsiTheme="majorHAnsi" w:cstheme="majorHAnsi"/>
            <w:color w:val="808080" w:themeColor="background1" w:themeShade="80"/>
            <w:sz w:val="16"/>
            <w:szCs w:val="16"/>
          </w:rPr>
          <w:t>Justice Dept. announces new rules to curb racial profiling by federal law enforcement</w:t>
        </w:r>
      </w:hyperlink>
      <w:r w:rsidRPr="001167CB">
        <w:rPr>
          <w:rFonts w:asciiTheme="majorHAnsi" w:hAnsiTheme="majorHAnsi" w:cstheme="majorHAnsi"/>
          <w:color w:val="808080" w:themeColor="background1" w:themeShade="80"/>
          <w:sz w:val="16"/>
          <w:szCs w:val="16"/>
        </w:rPr>
        <w:t>, Dec. 8, 2014.</w:t>
      </w:r>
    </w:p>
  </w:footnote>
  <w:footnote w:id="419">
    <w:p w14:paraId="025F9F28" w14:textId="77777777"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08" w:history="1">
        <w:r w:rsidRPr="001167CB">
          <w:rPr>
            <w:rStyle w:val="Hyperlink"/>
            <w:rFonts w:asciiTheme="majorHAnsi" w:hAnsiTheme="majorHAnsi" w:cstheme="majorHAnsi"/>
            <w:color w:val="808080" w:themeColor="background1" w:themeShade="80"/>
            <w:sz w:val="16"/>
            <w:szCs w:val="16"/>
          </w:rPr>
          <w:t>Citizen Security and Human Rights</w:t>
        </w:r>
      </w:hyperlink>
      <w:r w:rsidRPr="001167CB">
        <w:rPr>
          <w:rFonts w:asciiTheme="majorHAnsi" w:hAnsiTheme="majorHAnsi" w:cstheme="majorHAnsi"/>
          <w:color w:val="808080" w:themeColor="background1" w:themeShade="80"/>
          <w:sz w:val="16"/>
          <w:szCs w:val="16"/>
        </w:rPr>
        <w:t xml:space="preserve"> (2009), para. 97.</w:t>
      </w:r>
    </w:p>
  </w:footnote>
  <w:footnote w:id="420">
    <w:p w14:paraId="2969717D" w14:textId="6ED23B1F" w:rsidR="005C2394" w:rsidRPr="001167CB" w:rsidRDefault="005C2394" w:rsidP="002C64F8">
      <w:pPr>
        <w:spacing w:after="40" w:line="240" w:lineRule="auto"/>
        <w:ind w:left="547" w:hanging="547"/>
        <w:jc w:val="both"/>
        <w:rPr>
          <w:rFonts w:asciiTheme="majorHAnsi" w:hAnsiTheme="majorHAnsi" w:cstheme="majorHAnsi"/>
          <w:color w:val="808080" w:themeColor="background1" w:themeShade="80"/>
          <w:sz w:val="16"/>
          <w:szCs w:val="16"/>
          <w:lang w:val="en-GB"/>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n-GB"/>
        </w:rPr>
        <w:t xml:space="preserve"> </w:t>
      </w:r>
      <w:r w:rsidRPr="001167CB">
        <w:rPr>
          <w:rFonts w:asciiTheme="majorHAnsi" w:hAnsiTheme="majorHAnsi" w:cstheme="majorHAnsi"/>
          <w:color w:val="808080" w:themeColor="background1" w:themeShade="80"/>
          <w:sz w:val="16"/>
          <w:szCs w:val="16"/>
          <w:lang w:val="en-GB"/>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IACHR, Report No. 50/16, Case 12.834, Merits, </w:t>
      </w:r>
      <w:hyperlink r:id="rId509" w:history="1">
        <w:r w:rsidRPr="001167CB">
          <w:rPr>
            <w:rStyle w:val="Hyperlink"/>
            <w:rFonts w:asciiTheme="majorHAnsi" w:hAnsiTheme="majorHAnsi" w:cstheme="majorHAnsi"/>
            <w:i/>
            <w:color w:val="808080" w:themeColor="background1" w:themeShade="80"/>
            <w:sz w:val="16"/>
            <w:szCs w:val="16"/>
          </w:rPr>
          <w:t>Undocumented Workers</w:t>
        </w:r>
      </w:hyperlink>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(United States), Nov. 30, 2016, para. 72 [hereinafter “Report No. 50/16, </w:t>
      </w:r>
      <w:hyperlink r:id="rId510" w:history="1">
        <w:r w:rsidRPr="001167CB">
          <w:rPr>
            <w:rStyle w:val="Hyperlink"/>
            <w:rFonts w:asciiTheme="majorHAnsi" w:hAnsiTheme="majorHAnsi" w:cstheme="majorHAnsi"/>
            <w:i/>
            <w:color w:val="808080" w:themeColor="background1" w:themeShade="80"/>
            <w:sz w:val="16"/>
            <w:szCs w:val="16"/>
          </w:rPr>
          <w:t>Undocumented Workers</w:t>
        </w:r>
      </w:hyperlink>
      <w:r w:rsidRPr="001167CB">
        <w:rPr>
          <w:rFonts w:asciiTheme="majorHAnsi" w:hAnsiTheme="majorHAnsi" w:cstheme="majorHAnsi"/>
          <w:color w:val="808080" w:themeColor="background1" w:themeShade="80"/>
          <w:sz w:val="16"/>
          <w:szCs w:val="16"/>
        </w:rPr>
        <w:t xml:space="preserve"> (2016)”]; Report No. 80/11, Case 12.626, Merits, </w:t>
      </w:r>
      <w:hyperlink r:id="rId511" w:history="1">
        <w:r w:rsidRPr="001167CB">
          <w:rPr>
            <w:rStyle w:val="Hyperlink"/>
            <w:rFonts w:asciiTheme="majorHAnsi" w:hAnsiTheme="majorHAnsi" w:cstheme="majorHAnsi"/>
            <w:i/>
            <w:color w:val="808080" w:themeColor="background1" w:themeShade="80"/>
            <w:sz w:val="16"/>
            <w:szCs w:val="16"/>
          </w:rPr>
          <w:t xml:space="preserve">Jessica </w:t>
        </w:r>
        <w:proofErr w:type="spellStart"/>
        <w:r w:rsidRPr="001167CB">
          <w:rPr>
            <w:rStyle w:val="Hyperlink"/>
            <w:rFonts w:asciiTheme="majorHAnsi" w:hAnsiTheme="majorHAnsi" w:cstheme="majorHAnsi"/>
            <w:i/>
            <w:color w:val="808080" w:themeColor="background1" w:themeShade="80"/>
            <w:sz w:val="16"/>
            <w:szCs w:val="16"/>
          </w:rPr>
          <w:t>Lenahan</w:t>
        </w:r>
        <w:proofErr w:type="spellEnd"/>
        <w:r w:rsidRPr="001167CB">
          <w:rPr>
            <w:rStyle w:val="Hyperlink"/>
            <w:rFonts w:asciiTheme="majorHAnsi" w:hAnsiTheme="majorHAnsi" w:cstheme="majorHAnsi"/>
            <w:i/>
            <w:color w:val="808080" w:themeColor="background1" w:themeShade="80"/>
            <w:sz w:val="16"/>
            <w:szCs w:val="16"/>
          </w:rPr>
          <w:t xml:space="preserve"> (Gonzales) et al</w:t>
        </w:r>
        <w:r w:rsidRPr="001167CB">
          <w:rPr>
            <w:rStyle w:val="Hyperlink"/>
            <w:rFonts w:asciiTheme="majorHAnsi" w:hAnsiTheme="majorHAnsi" w:cstheme="majorHAnsi"/>
            <w:color w:val="808080" w:themeColor="background1" w:themeShade="80"/>
            <w:sz w:val="16"/>
            <w:szCs w:val="16"/>
          </w:rPr>
          <w:t>.</w:t>
        </w:r>
      </w:hyperlink>
      <w:r w:rsidRPr="001167CB">
        <w:rPr>
          <w:rFonts w:asciiTheme="majorHAnsi" w:hAnsiTheme="majorHAnsi" w:cstheme="majorHAnsi"/>
          <w:color w:val="808080" w:themeColor="background1" w:themeShade="80"/>
          <w:sz w:val="16"/>
          <w:szCs w:val="16"/>
        </w:rPr>
        <w:t xml:space="preserve"> (United States), July 21, 2011, para. 107 [hereinafter “Report No. 80/11, </w:t>
      </w:r>
      <w:hyperlink r:id="rId512" w:history="1">
        <w:r w:rsidRPr="001167CB">
          <w:rPr>
            <w:rStyle w:val="Hyperlink"/>
            <w:rFonts w:asciiTheme="majorHAnsi" w:hAnsiTheme="majorHAnsi" w:cstheme="majorHAnsi"/>
            <w:i/>
            <w:color w:val="808080" w:themeColor="background1" w:themeShade="80"/>
            <w:sz w:val="16"/>
            <w:szCs w:val="16"/>
          </w:rPr>
          <w:t xml:space="preserve">Jessica </w:t>
        </w:r>
        <w:proofErr w:type="spellStart"/>
        <w:r w:rsidRPr="001167CB">
          <w:rPr>
            <w:rStyle w:val="Hyperlink"/>
            <w:rFonts w:asciiTheme="majorHAnsi" w:hAnsiTheme="majorHAnsi" w:cstheme="majorHAnsi"/>
            <w:i/>
            <w:color w:val="808080" w:themeColor="background1" w:themeShade="80"/>
            <w:sz w:val="16"/>
            <w:szCs w:val="16"/>
          </w:rPr>
          <w:t>Lenahan</w:t>
        </w:r>
        <w:proofErr w:type="spellEnd"/>
      </w:hyperlink>
      <w:r w:rsidRPr="001167CB">
        <w:rPr>
          <w:rFonts w:asciiTheme="majorHAnsi" w:hAnsiTheme="majorHAnsi" w:cstheme="majorHAnsi"/>
          <w:color w:val="808080" w:themeColor="background1" w:themeShade="80"/>
          <w:sz w:val="16"/>
          <w:szCs w:val="16"/>
        </w:rPr>
        <w:t xml:space="preserve"> (2011)”]; Report 40/04, </w:t>
      </w:r>
      <w:hyperlink r:id="rId513" w:history="1">
        <w:r w:rsidRPr="001167CB">
          <w:rPr>
            <w:rStyle w:val="Hyperlink"/>
            <w:rFonts w:asciiTheme="majorHAnsi" w:hAnsiTheme="majorHAnsi" w:cstheme="majorHAnsi"/>
            <w:i/>
            <w:color w:val="808080" w:themeColor="background1" w:themeShade="80"/>
            <w:sz w:val="16"/>
            <w:szCs w:val="16"/>
          </w:rPr>
          <w:t>Maya Indigenous Community</w:t>
        </w:r>
      </w:hyperlink>
      <w:r w:rsidRPr="001167CB">
        <w:rPr>
          <w:rFonts w:asciiTheme="majorHAnsi" w:hAnsiTheme="majorHAnsi" w:cstheme="majorHAnsi"/>
          <w:color w:val="808080" w:themeColor="background1" w:themeShade="80"/>
          <w:sz w:val="16"/>
          <w:szCs w:val="16"/>
        </w:rPr>
        <w:t xml:space="preserve"> (Belize) (2004), para. 163; Report No. 67/06, </w:t>
      </w:r>
      <w:hyperlink r:id="rId514" w:history="1">
        <w:r w:rsidRPr="001167CB">
          <w:rPr>
            <w:rStyle w:val="Hyperlink"/>
            <w:rFonts w:asciiTheme="majorHAnsi" w:hAnsiTheme="majorHAnsi" w:cstheme="majorHAnsi"/>
            <w:i/>
            <w:color w:val="808080" w:themeColor="background1" w:themeShade="80"/>
            <w:sz w:val="16"/>
            <w:szCs w:val="16"/>
          </w:rPr>
          <w:t xml:space="preserve">Oscar </w:t>
        </w:r>
        <w:proofErr w:type="spellStart"/>
        <w:r w:rsidRPr="001167CB">
          <w:rPr>
            <w:rStyle w:val="Hyperlink"/>
            <w:rFonts w:asciiTheme="majorHAnsi" w:hAnsiTheme="majorHAnsi" w:cstheme="majorHAnsi"/>
            <w:i/>
            <w:color w:val="808080" w:themeColor="background1" w:themeShade="80"/>
            <w:sz w:val="16"/>
            <w:szCs w:val="16"/>
          </w:rPr>
          <w:t>Elías</w:t>
        </w:r>
        <w:proofErr w:type="spellEnd"/>
        <w:r w:rsidRPr="001167CB">
          <w:rPr>
            <w:rStyle w:val="Hyperlink"/>
            <w:rFonts w:asciiTheme="majorHAnsi" w:hAnsiTheme="majorHAnsi" w:cstheme="majorHAnsi"/>
            <w:i/>
            <w:color w:val="808080" w:themeColor="background1" w:themeShade="80"/>
            <w:sz w:val="16"/>
            <w:szCs w:val="16"/>
          </w:rPr>
          <w:t xml:space="preserve"> </w:t>
        </w:r>
        <w:proofErr w:type="spellStart"/>
        <w:r w:rsidRPr="001167CB">
          <w:rPr>
            <w:rStyle w:val="Hyperlink"/>
            <w:rFonts w:asciiTheme="majorHAnsi" w:hAnsiTheme="majorHAnsi" w:cstheme="majorHAnsi"/>
            <w:i/>
            <w:color w:val="808080" w:themeColor="background1" w:themeShade="80"/>
            <w:sz w:val="16"/>
            <w:szCs w:val="16"/>
          </w:rPr>
          <w:t>Bicet</w:t>
        </w:r>
        <w:proofErr w:type="spellEnd"/>
        <w:r w:rsidRPr="001167CB">
          <w:rPr>
            <w:rStyle w:val="Hyperlink"/>
            <w:rFonts w:asciiTheme="majorHAnsi" w:hAnsiTheme="majorHAnsi" w:cstheme="majorHAnsi"/>
            <w:i/>
            <w:color w:val="808080" w:themeColor="background1" w:themeShade="80"/>
            <w:sz w:val="16"/>
            <w:szCs w:val="16"/>
          </w:rPr>
          <w:t xml:space="preserve"> et al.</w:t>
        </w:r>
      </w:hyperlink>
      <w:r w:rsidRPr="001167CB">
        <w:rPr>
          <w:rFonts w:asciiTheme="majorHAnsi" w:hAnsiTheme="majorHAnsi" w:cstheme="majorHAnsi"/>
          <w:color w:val="808080" w:themeColor="background1" w:themeShade="80"/>
          <w:sz w:val="16"/>
          <w:szCs w:val="16"/>
        </w:rPr>
        <w:t xml:space="preserve"> (Cuba) (2006), para. 228; </w:t>
      </w:r>
      <w:hyperlink r:id="rId515" w:history="1">
        <w:r w:rsidRPr="001167CB">
          <w:rPr>
            <w:rStyle w:val="Hyperlink"/>
            <w:rFonts w:asciiTheme="majorHAnsi" w:hAnsiTheme="majorHAnsi" w:cstheme="majorHAnsi"/>
            <w:color w:val="808080" w:themeColor="background1" w:themeShade="80"/>
            <w:sz w:val="16"/>
            <w:szCs w:val="16"/>
          </w:rPr>
          <w:t>Report on Terrorism and Human Rights</w:t>
        </w:r>
      </w:hyperlink>
      <w:r w:rsidRPr="001167CB">
        <w:rPr>
          <w:rFonts w:asciiTheme="majorHAnsi" w:hAnsiTheme="majorHAnsi" w:cstheme="majorHAnsi"/>
          <w:color w:val="808080" w:themeColor="background1" w:themeShade="80"/>
          <w:sz w:val="16"/>
          <w:szCs w:val="16"/>
        </w:rPr>
        <w:t>,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./V/II.116, Doc. 5, rev. 1 corr., 22 (2002), para. 335.</w:t>
      </w:r>
    </w:p>
  </w:footnote>
  <w:footnote w:id="421">
    <w:p w14:paraId="4D33857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International Covenant on Civil and Political Rights</w:t>
      </w:r>
      <w:r w:rsidRPr="001167CB">
        <w:rPr>
          <w:rFonts w:asciiTheme="majorHAnsi" w:hAnsiTheme="majorHAnsi" w:cstheme="majorHAnsi"/>
          <w:color w:val="808080" w:themeColor="background1" w:themeShade="80"/>
          <w:sz w:val="16"/>
          <w:szCs w:val="16"/>
        </w:rPr>
        <w:t xml:space="preserve"> (Arts. 2, 26); </w:t>
      </w:r>
      <w:r w:rsidRPr="001167CB">
        <w:rPr>
          <w:rFonts w:asciiTheme="majorHAnsi" w:hAnsiTheme="majorHAnsi" w:cstheme="majorHAnsi"/>
          <w:i/>
          <w:color w:val="808080" w:themeColor="background1" w:themeShade="80"/>
          <w:sz w:val="16"/>
          <w:szCs w:val="16"/>
        </w:rPr>
        <w:t>International Covenant on Economic, Social and Cultural Rights</w:t>
      </w:r>
      <w:r w:rsidRPr="001167CB">
        <w:rPr>
          <w:rFonts w:asciiTheme="majorHAnsi" w:hAnsiTheme="majorHAnsi" w:cstheme="majorHAnsi"/>
          <w:color w:val="808080" w:themeColor="background1" w:themeShade="80"/>
          <w:sz w:val="16"/>
          <w:szCs w:val="16"/>
        </w:rPr>
        <w:t xml:space="preserve"> (Arts. 2.2, 3); </w:t>
      </w:r>
      <w:r w:rsidRPr="001167CB">
        <w:rPr>
          <w:rFonts w:asciiTheme="majorHAnsi" w:hAnsiTheme="majorHAnsi" w:cstheme="majorHAnsi"/>
          <w:i/>
          <w:color w:val="808080" w:themeColor="background1" w:themeShade="80"/>
          <w:sz w:val="16"/>
          <w:szCs w:val="16"/>
        </w:rPr>
        <w:t>European Convention on Human Rights</w:t>
      </w:r>
      <w:r w:rsidRPr="001167CB">
        <w:rPr>
          <w:rFonts w:asciiTheme="majorHAnsi" w:hAnsiTheme="majorHAnsi" w:cstheme="majorHAnsi"/>
          <w:color w:val="808080" w:themeColor="background1" w:themeShade="80"/>
          <w:sz w:val="16"/>
          <w:szCs w:val="16"/>
        </w:rPr>
        <w:t xml:space="preserve"> (Art. 14); </w:t>
      </w:r>
      <w:r w:rsidRPr="001167CB">
        <w:rPr>
          <w:rFonts w:asciiTheme="majorHAnsi" w:hAnsiTheme="majorHAnsi" w:cstheme="majorHAnsi"/>
          <w:i/>
          <w:color w:val="808080" w:themeColor="background1" w:themeShade="80"/>
          <w:sz w:val="16"/>
          <w:szCs w:val="16"/>
        </w:rPr>
        <w:t>African Charter on Human and People’s Rights</w:t>
      </w:r>
      <w:r w:rsidRPr="001167CB">
        <w:rPr>
          <w:rFonts w:asciiTheme="majorHAnsi" w:hAnsiTheme="majorHAnsi" w:cstheme="majorHAnsi"/>
          <w:color w:val="808080" w:themeColor="background1" w:themeShade="80"/>
          <w:sz w:val="16"/>
          <w:szCs w:val="16"/>
        </w:rPr>
        <w:t xml:space="preserve"> (Art. 2).</w:t>
      </w:r>
    </w:p>
  </w:footnote>
  <w:footnote w:id="422">
    <w:p w14:paraId="4C948B96" w14:textId="77777777" w:rsidR="005C2394" w:rsidRPr="001167CB" w:rsidRDefault="005C2394" w:rsidP="002C64F8">
      <w:pPr>
        <w:pStyle w:val="NoSpacing"/>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U.N</w:t>
      </w:r>
      <w:hyperlink r:id="rId516" w:history="1">
        <w:r w:rsidRPr="001167CB">
          <w:rPr>
            <w:rStyle w:val="Hyperlink"/>
            <w:rFonts w:asciiTheme="majorHAnsi" w:hAnsiTheme="majorHAnsi" w:cstheme="majorHAnsi"/>
            <w:color w:val="808080" w:themeColor="background1" w:themeShade="80"/>
            <w:sz w:val="16"/>
            <w:szCs w:val="16"/>
          </w:rPr>
          <w:t xml:space="preserve">., </w:t>
        </w:r>
        <w:r w:rsidRPr="001167CB">
          <w:rPr>
            <w:rStyle w:val="Hyperlink"/>
            <w:rFonts w:asciiTheme="majorHAnsi" w:hAnsiTheme="majorHAnsi" w:cstheme="majorHAnsi"/>
            <w:i/>
            <w:color w:val="808080" w:themeColor="background1" w:themeShade="80"/>
            <w:sz w:val="16"/>
            <w:szCs w:val="16"/>
          </w:rPr>
          <w:t>International Convention on the Elimination of Racial Discrimination,</w:t>
        </w:r>
      </w:hyperlink>
      <w:r w:rsidRPr="001167CB">
        <w:rPr>
          <w:rFonts w:asciiTheme="majorHAnsi" w:hAnsiTheme="majorHAnsi" w:cstheme="majorHAnsi"/>
          <w:color w:val="808080" w:themeColor="background1" w:themeShade="80"/>
          <w:sz w:val="16"/>
          <w:szCs w:val="16"/>
        </w:rPr>
        <w:t xml:space="preserve"> Adopted and opened for signature and ratification by General Assembly resolution 2106 (XX) of 21 December 1965, Entry in force 4 Jan. 1969, in accordance with Article 19. Article 1.</w:t>
      </w:r>
    </w:p>
  </w:footnote>
  <w:footnote w:id="423">
    <w:p w14:paraId="79BBD36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i/>
          <w:iCs/>
          <w:color w:val="808080" w:themeColor="background1" w:themeShade="80"/>
          <w:sz w:val="16"/>
          <w:szCs w:val="16"/>
        </w:rPr>
        <w:t xml:space="preserve"> </w:t>
      </w:r>
      <w:proofErr w:type="gramStart"/>
      <w:r w:rsidRPr="001167CB">
        <w:rPr>
          <w:rFonts w:asciiTheme="majorHAnsi" w:hAnsiTheme="majorHAnsi" w:cstheme="majorHAnsi"/>
          <w:color w:val="808080" w:themeColor="background1" w:themeShade="80"/>
          <w:sz w:val="16"/>
          <w:szCs w:val="16"/>
        </w:rPr>
        <w:t xml:space="preserve">I/A Ct. H. R., </w:t>
      </w:r>
      <w:hyperlink r:id="rId517" w:history="1">
        <w:r w:rsidRPr="001167CB">
          <w:rPr>
            <w:rStyle w:val="Hyperlink"/>
            <w:rFonts w:asciiTheme="majorHAnsi" w:hAnsiTheme="majorHAnsi" w:cstheme="majorHAnsi"/>
            <w:i/>
            <w:iCs/>
            <w:color w:val="808080" w:themeColor="background1" w:themeShade="80"/>
            <w:sz w:val="16"/>
            <w:szCs w:val="16"/>
          </w:rPr>
          <w:t>Juridical</w:t>
        </w:r>
        <w:proofErr w:type="gramEnd"/>
        <w:r w:rsidRPr="001167CB">
          <w:rPr>
            <w:rStyle w:val="Hyperlink"/>
            <w:rFonts w:asciiTheme="majorHAnsi" w:hAnsiTheme="majorHAnsi" w:cstheme="majorHAnsi"/>
            <w:i/>
            <w:iCs/>
            <w:color w:val="808080" w:themeColor="background1" w:themeShade="80"/>
            <w:sz w:val="16"/>
            <w:szCs w:val="16"/>
          </w:rPr>
          <w:t xml:space="preserve"> Condition and Rights of the Undocumented Migrants</w:t>
        </w:r>
      </w:hyperlink>
      <w:r w:rsidRPr="001167CB">
        <w:rPr>
          <w:rFonts w:asciiTheme="majorHAnsi" w:hAnsiTheme="majorHAnsi" w:cstheme="majorHAnsi"/>
          <w:color w:val="808080" w:themeColor="background1" w:themeShade="80"/>
          <w:sz w:val="16"/>
          <w:szCs w:val="16"/>
        </w:rPr>
        <w:t xml:space="preserve">. Advisory Opinion OC‐18, Sept. 17, 2003. Series </w:t>
      </w:r>
      <w:proofErr w:type="gramStart"/>
      <w:r w:rsidRPr="001167CB">
        <w:rPr>
          <w:rFonts w:asciiTheme="majorHAnsi" w:hAnsiTheme="majorHAnsi" w:cstheme="majorHAnsi"/>
          <w:color w:val="808080" w:themeColor="background1" w:themeShade="80"/>
          <w:sz w:val="16"/>
          <w:szCs w:val="16"/>
        </w:rPr>
        <w:t>A</w:t>
      </w:r>
      <w:proofErr w:type="gramEnd"/>
      <w:r w:rsidRPr="001167CB">
        <w:rPr>
          <w:rFonts w:asciiTheme="majorHAnsi" w:hAnsiTheme="majorHAnsi" w:cstheme="majorHAnsi"/>
          <w:color w:val="808080" w:themeColor="background1" w:themeShade="80"/>
          <w:sz w:val="16"/>
          <w:szCs w:val="16"/>
        </w:rPr>
        <w:t xml:space="preserve"> No. 18, para. 101.  </w:t>
      </w:r>
    </w:p>
  </w:footnote>
  <w:footnote w:id="424">
    <w:p w14:paraId="35AA156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518"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 para. 89 (citation omitted</w:t>
      </w:r>
      <w:r w:rsidRPr="001167CB">
        <w:rPr>
          <w:rFonts w:asciiTheme="majorHAnsi" w:hAnsiTheme="majorHAnsi" w:cstheme="majorHAnsi"/>
          <w:color w:val="808080" w:themeColor="background1" w:themeShade="80"/>
          <w:sz w:val="16"/>
          <w:szCs w:val="16"/>
        </w:rPr>
        <w:t>).</w:t>
      </w:r>
    </w:p>
  </w:footnote>
  <w:footnote w:id="425">
    <w:p w14:paraId="5904A59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eastAsia="Times New Roman" w:hAnsiTheme="majorHAnsi" w:cstheme="majorHAnsi"/>
          <w:color w:val="808080" w:themeColor="background1" w:themeShade="80"/>
          <w:sz w:val="16"/>
          <w:szCs w:val="16"/>
          <w:lang w:eastAsia="es-ES"/>
        </w:rPr>
        <w:t>Id. (citation omitted</w:t>
      </w:r>
      <w:r w:rsidRPr="001167CB">
        <w:rPr>
          <w:rFonts w:asciiTheme="majorHAnsi" w:hAnsiTheme="majorHAnsi" w:cstheme="majorHAnsi"/>
          <w:color w:val="808080" w:themeColor="background1" w:themeShade="80"/>
          <w:sz w:val="16"/>
          <w:szCs w:val="16"/>
        </w:rPr>
        <w:t>).</w:t>
      </w:r>
    </w:p>
  </w:footnote>
  <w:footnote w:id="426">
    <w:p w14:paraId="45130AA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Report No. 80/11, </w:t>
      </w:r>
      <w:hyperlink r:id="rId519" w:history="1">
        <w:r w:rsidRPr="001167CB">
          <w:rPr>
            <w:rStyle w:val="Hyperlink"/>
            <w:rFonts w:asciiTheme="majorHAnsi" w:hAnsiTheme="majorHAnsi" w:cstheme="majorHAnsi"/>
            <w:i/>
            <w:color w:val="808080" w:themeColor="background1" w:themeShade="80"/>
            <w:sz w:val="16"/>
            <w:szCs w:val="16"/>
          </w:rPr>
          <w:t xml:space="preserve">Jessica </w:t>
        </w:r>
        <w:proofErr w:type="spellStart"/>
        <w:r w:rsidRPr="001167CB">
          <w:rPr>
            <w:rStyle w:val="Hyperlink"/>
            <w:rFonts w:asciiTheme="majorHAnsi" w:hAnsiTheme="majorHAnsi" w:cstheme="majorHAnsi"/>
            <w:i/>
            <w:color w:val="808080" w:themeColor="background1" w:themeShade="80"/>
            <w:sz w:val="16"/>
            <w:szCs w:val="16"/>
          </w:rPr>
          <w:t>Lenahan</w:t>
        </w:r>
        <w:proofErr w:type="spellEnd"/>
      </w:hyperlink>
      <w:r w:rsidRPr="001167CB">
        <w:rPr>
          <w:rFonts w:asciiTheme="majorHAnsi" w:hAnsiTheme="majorHAnsi" w:cstheme="majorHAnsi"/>
          <w:color w:val="808080" w:themeColor="background1" w:themeShade="80"/>
          <w:sz w:val="16"/>
          <w:szCs w:val="16"/>
        </w:rPr>
        <w:t xml:space="preserve"> (2011), para. 109; Report No. 67/06, </w:t>
      </w:r>
      <w:hyperlink r:id="rId520" w:history="1">
        <w:r w:rsidRPr="001167CB">
          <w:rPr>
            <w:rStyle w:val="Hyperlink"/>
            <w:rFonts w:asciiTheme="majorHAnsi" w:hAnsiTheme="majorHAnsi" w:cstheme="majorHAnsi"/>
            <w:i/>
            <w:color w:val="808080" w:themeColor="background1" w:themeShade="80"/>
            <w:sz w:val="16"/>
            <w:szCs w:val="16"/>
          </w:rPr>
          <w:t xml:space="preserve">Oscar </w:t>
        </w:r>
        <w:proofErr w:type="spellStart"/>
        <w:r w:rsidRPr="001167CB">
          <w:rPr>
            <w:rStyle w:val="Hyperlink"/>
            <w:rFonts w:asciiTheme="majorHAnsi" w:hAnsiTheme="majorHAnsi" w:cstheme="majorHAnsi"/>
            <w:i/>
            <w:color w:val="808080" w:themeColor="background1" w:themeShade="80"/>
            <w:sz w:val="16"/>
            <w:szCs w:val="16"/>
          </w:rPr>
          <w:t>Elías</w:t>
        </w:r>
        <w:proofErr w:type="spellEnd"/>
        <w:r w:rsidRPr="001167CB">
          <w:rPr>
            <w:rStyle w:val="Hyperlink"/>
            <w:rFonts w:asciiTheme="majorHAnsi" w:hAnsiTheme="majorHAnsi" w:cstheme="majorHAnsi"/>
            <w:i/>
            <w:color w:val="808080" w:themeColor="background1" w:themeShade="80"/>
            <w:sz w:val="16"/>
            <w:szCs w:val="16"/>
          </w:rPr>
          <w:t xml:space="preserve"> </w:t>
        </w:r>
        <w:proofErr w:type="spellStart"/>
        <w:r w:rsidRPr="001167CB">
          <w:rPr>
            <w:rStyle w:val="Hyperlink"/>
            <w:rFonts w:asciiTheme="majorHAnsi" w:hAnsiTheme="majorHAnsi" w:cstheme="majorHAnsi"/>
            <w:i/>
            <w:color w:val="808080" w:themeColor="background1" w:themeShade="80"/>
            <w:sz w:val="16"/>
            <w:szCs w:val="16"/>
          </w:rPr>
          <w:t>Bicet</w:t>
        </w:r>
        <w:proofErr w:type="spellEnd"/>
        <w:r w:rsidRPr="001167CB">
          <w:rPr>
            <w:rStyle w:val="Hyperlink"/>
            <w:rFonts w:asciiTheme="majorHAnsi" w:hAnsiTheme="majorHAnsi" w:cstheme="majorHAnsi"/>
            <w:i/>
            <w:color w:val="808080" w:themeColor="background1" w:themeShade="80"/>
            <w:sz w:val="16"/>
            <w:szCs w:val="16"/>
          </w:rPr>
          <w:t xml:space="preserve"> et al.</w:t>
        </w:r>
      </w:hyperlink>
      <w:r w:rsidRPr="001167CB">
        <w:rPr>
          <w:rFonts w:asciiTheme="majorHAnsi" w:hAnsiTheme="majorHAnsi" w:cstheme="majorHAnsi"/>
          <w:color w:val="808080" w:themeColor="background1" w:themeShade="80"/>
          <w:sz w:val="16"/>
          <w:szCs w:val="16"/>
        </w:rPr>
        <w:t xml:space="preserve"> (2006), paras. 228-231; Report 40/04, </w:t>
      </w:r>
      <w:hyperlink r:id="rId521" w:history="1">
        <w:r w:rsidRPr="001167CB">
          <w:rPr>
            <w:rStyle w:val="Hyperlink"/>
            <w:rFonts w:asciiTheme="majorHAnsi" w:hAnsiTheme="majorHAnsi" w:cstheme="majorHAnsi"/>
            <w:i/>
            <w:color w:val="808080" w:themeColor="background1" w:themeShade="80"/>
            <w:sz w:val="16"/>
            <w:szCs w:val="16"/>
          </w:rPr>
          <w:t>Maya Indigenous Community</w:t>
        </w:r>
      </w:hyperlink>
      <w:r w:rsidRPr="001167CB">
        <w:rPr>
          <w:rFonts w:asciiTheme="majorHAnsi" w:hAnsiTheme="majorHAnsi" w:cstheme="majorHAnsi"/>
          <w:color w:val="808080" w:themeColor="background1" w:themeShade="80"/>
          <w:sz w:val="16"/>
          <w:szCs w:val="16"/>
        </w:rPr>
        <w:t xml:space="preserve"> (2004), paras. 162, 166.</w:t>
      </w:r>
    </w:p>
  </w:footnote>
  <w:footnote w:id="427">
    <w:p w14:paraId="068CA0B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Report No. 80/11, </w:t>
      </w:r>
      <w:hyperlink r:id="rId522" w:history="1">
        <w:r w:rsidRPr="001167CB">
          <w:rPr>
            <w:rStyle w:val="Hyperlink"/>
            <w:rFonts w:asciiTheme="majorHAnsi" w:hAnsiTheme="majorHAnsi" w:cstheme="majorHAnsi"/>
            <w:i/>
            <w:color w:val="808080" w:themeColor="background1" w:themeShade="80"/>
            <w:sz w:val="16"/>
            <w:szCs w:val="16"/>
          </w:rPr>
          <w:t xml:space="preserve">Jessica </w:t>
        </w:r>
        <w:proofErr w:type="spellStart"/>
        <w:r w:rsidRPr="001167CB">
          <w:rPr>
            <w:rStyle w:val="Hyperlink"/>
            <w:rFonts w:asciiTheme="majorHAnsi" w:hAnsiTheme="majorHAnsi" w:cstheme="majorHAnsi"/>
            <w:i/>
            <w:color w:val="808080" w:themeColor="background1" w:themeShade="80"/>
            <w:sz w:val="16"/>
            <w:szCs w:val="16"/>
          </w:rPr>
          <w:t>Lenahan</w:t>
        </w:r>
        <w:proofErr w:type="spellEnd"/>
      </w:hyperlink>
      <w:r w:rsidRPr="001167CB">
        <w:rPr>
          <w:rFonts w:asciiTheme="majorHAnsi" w:hAnsiTheme="majorHAnsi" w:cstheme="majorHAnsi"/>
          <w:color w:val="808080" w:themeColor="background1" w:themeShade="80"/>
          <w:sz w:val="16"/>
          <w:szCs w:val="16"/>
        </w:rPr>
        <w:t xml:space="preserve"> (2011), para. 134 (citing European Court of Human Rights, </w:t>
      </w:r>
      <w:r w:rsidRPr="001167CB">
        <w:rPr>
          <w:rFonts w:asciiTheme="majorHAnsi" w:hAnsiTheme="majorHAnsi" w:cstheme="majorHAnsi"/>
          <w:i/>
          <w:color w:val="808080" w:themeColor="background1" w:themeShade="80"/>
          <w:sz w:val="16"/>
          <w:szCs w:val="16"/>
        </w:rPr>
        <w:t xml:space="preserve">Case of </w:t>
      </w:r>
      <w:proofErr w:type="spellStart"/>
      <w:r w:rsidRPr="001167CB">
        <w:rPr>
          <w:rFonts w:asciiTheme="majorHAnsi" w:hAnsiTheme="majorHAnsi" w:cstheme="majorHAnsi"/>
          <w:i/>
          <w:color w:val="808080" w:themeColor="background1" w:themeShade="80"/>
          <w:sz w:val="16"/>
          <w:szCs w:val="16"/>
        </w:rPr>
        <w:t>Opuz</w:t>
      </w:r>
      <w:proofErr w:type="spellEnd"/>
      <w:r w:rsidRPr="001167CB">
        <w:rPr>
          <w:rFonts w:asciiTheme="majorHAnsi" w:hAnsiTheme="majorHAnsi" w:cstheme="majorHAnsi"/>
          <w:i/>
          <w:color w:val="808080" w:themeColor="background1" w:themeShade="80"/>
          <w:sz w:val="16"/>
          <w:szCs w:val="16"/>
        </w:rPr>
        <w:t xml:space="preserve"> v. Turkey</w:t>
      </w:r>
      <w:r w:rsidRPr="001167CB">
        <w:rPr>
          <w:rFonts w:asciiTheme="majorHAnsi" w:hAnsiTheme="majorHAnsi" w:cstheme="majorHAnsi"/>
          <w:color w:val="808080" w:themeColor="background1" w:themeShade="80"/>
          <w:sz w:val="16"/>
          <w:szCs w:val="16"/>
        </w:rPr>
        <w:t>, Application No. 33401/02, 9 June 2009, para. 191).</w:t>
      </w:r>
    </w:p>
  </w:footnote>
  <w:footnote w:id="428">
    <w:p w14:paraId="5BFDF2C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109 (citation omitted).</w:t>
      </w:r>
    </w:p>
  </w:footnote>
  <w:footnote w:id="429">
    <w:p w14:paraId="3857B0E2" w14:textId="3A7A974A" w:rsidR="005C2394" w:rsidRPr="001167CB" w:rsidRDefault="005C2394" w:rsidP="002C64F8">
      <w:pPr>
        <w:pStyle w:val="Footnotes"/>
        <w:tabs>
          <w:tab w:val="left" w:pos="540"/>
        </w:tabs>
        <w:spacing w:after="40"/>
        <w:ind w:left="547" w:hanging="547"/>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Report No. 51/01, Case 9903, </w:t>
      </w:r>
      <w:r w:rsidRPr="001167CB">
        <w:rPr>
          <w:rFonts w:asciiTheme="majorHAnsi" w:hAnsiTheme="majorHAnsi" w:cstheme="majorHAnsi"/>
          <w:i/>
          <w:color w:val="808080" w:themeColor="background1" w:themeShade="80"/>
          <w:sz w:val="16"/>
          <w:szCs w:val="16"/>
        </w:rPr>
        <w:t>Rafael Ferrer-</w:t>
      </w:r>
      <w:proofErr w:type="spellStart"/>
      <w:r w:rsidRPr="001167CB">
        <w:rPr>
          <w:rFonts w:asciiTheme="majorHAnsi" w:hAnsiTheme="majorHAnsi" w:cstheme="majorHAnsi"/>
          <w:i/>
          <w:color w:val="808080" w:themeColor="background1" w:themeShade="80"/>
          <w:sz w:val="16"/>
          <w:szCs w:val="16"/>
        </w:rPr>
        <w:t>Mazorra</w:t>
      </w:r>
      <w:proofErr w:type="spellEnd"/>
      <w:r w:rsidRPr="001167CB">
        <w:rPr>
          <w:rFonts w:asciiTheme="majorHAnsi" w:hAnsiTheme="majorHAnsi" w:cstheme="majorHAnsi"/>
          <w:i/>
          <w:color w:val="808080" w:themeColor="background1" w:themeShade="80"/>
          <w:sz w:val="16"/>
          <w:szCs w:val="16"/>
        </w:rPr>
        <w:t xml:space="preserve"> et al.</w:t>
      </w:r>
      <w:r w:rsidRPr="001167CB">
        <w:rPr>
          <w:rFonts w:asciiTheme="majorHAnsi" w:hAnsiTheme="majorHAnsi" w:cstheme="majorHAnsi"/>
          <w:color w:val="808080" w:themeColor="background1" w:themeShade="80"/>
          <w:sz w:val="16"/>
          <w:szCs w:val="16"/>
        </w:rPr>
        <w:t xml:space="preserve">, United States, Apr. 4, 2001, para. 238 (citing </w:t>
      </w:r>
      <w:r w:rsidRPr="001167CB">
        <w:rPr>
          <w:rFonts w:asciiTheme="majorHAnsi" w:eastAsia="Times New Roman" w:hAnsiTheme="majorHAnsi" w:cstheme="majorHAnsi"/>
          <w:iCs/>
          <w:color w:val="808080" w:themeColor="background1" w:themeShade="80"/>
          <w:sz w:val="16"/>
          <w:szCs w:val="16"/>
        </w:rPr>
        <w:t xml:space="preserve">as support of its position </w:t>
      </w:r>
      <w:r w:rsidRPr="001167CB">
        <w:rPr>
          <w:rFonts w:asciiTheme="majorHAnsi" w:eastAsia="Times New Roman" w:hAnsiTheme="majorHAnsi" w:cstheme="majorHAnsi"/>
          <w:color w:val="808080" w:themeColor="background1" w:themeShade="80"/>
          <w:sz w:val="16"/>
          <w:szCs w:val="16"/>
        </w:rPr>
        <w:t>Eur. Ct. H.R., </w:t>
      </w:r>
      <w:r w:rsidRPr="001167CB">
        <w:rPr>
          <w:rFonts w:asciiTheme="majorHAnsi" w:eastAsia="Times New Roman" w:hAnsiTheme="majorHAnsi" w:cstheme="majorHAnsi"/>
          <w:i/>
          <w:iCs/>
          <w:color w:val="808080" w:themeColor="background1" w:themeShade="80"/>
          <w:sz w:val="16"/>
          <w:szCs w:val="16"/>
        </w:rPr>
        <w:t>Belgian Linguistics Case</w:t>
      </w:r>
      <w:r w:rsidRPr="001167CB">
        <w:rPr>
          <w:rFonts w:asciiTheme="majorHAnsi" w:eastAsia="Times New Roman" w:hAnsiTheme="majorHAnsi" w:cstheme="majorHAnsi"/>
          <w:color w:val="808080" w:themeColor="background1" w:themeShade="80"/>
          <w:sz w:val="16"/>
          <w:szCs w:val="16"/>
        </w:rPr>
        <w:t xml:space="preserve">, July 23, 1968, Series A Nº 6, 1 E.H.R.R. 252, p. 35, para. 10). </w:t>
      </w:r>
    </w:p>
  </w:footnote>
  <w:footnote w:id="430">
    <w:p w14:paraId="32003289" w14:textId="262A9EB9" w:rsidR="005C2394" w:rsidRPr="001167CB" w:rsidRDefault="005C2394" w:rsidP="002C64F8">
      <w:pPr>
        <w:pStyle w:val="Footnotes"/>
        <w:spacing w:after="40"/>
        <w:ind w:left="547" w:hanging="547"/>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U.N. Human Rights Committee, Compilation of General Comments and General Recommendations Adopted by Human Rights Treaty Bodies, HRI/GEN/1/Rev.1 (1994), General Comment 18, Non-discrimination, p. 26. </w:t>
      </w:r>
    </w:p>
  </w:footnote>
  <w:footnote w:id="431">
    <w:p w14:paraId="4C9F92A7" w14:textId="742AF476"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523"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 para. 91;</w:t>
      </w:r>
      <w:r w:rsidRPr="001167CB">
        <w:rPr>
          <w:rFonts w:asciiTheme="majorHAnsi" w:hAnsiTheme="majorHAnsi" w:cstheme="majorHAnsi"/>
          <w:color w:val="808080" w:themeColor="background1" w:themeShade="80"/>
          <w:sz w:val="16"/>
          <w:szCs w:val="16"/>
        </w:rPr>
        <w:t xml:space="preserve"> Report No. 50/16, </w:t>
      </w:r>
      <w:hyperlink r:id="rId524" w:history="1">
        <w:r w:rsidRPr="001167CB">
          <w:rPr>
            <w:rStyle w:val="Hyperlink"/>
            <w:rFonts w:asciiTheme="majorHAnsi" w:hAnsiTheme="majorHAnsi" w:cstheme="majorHAnsi"/>
            <w:i/>
            <w:color w:val="808080" w:themeColor="background1" w:themeShade="80"/>
            <w:sz w:val="16"/>
            <w:szCs w:val="16"/>
          </w:rPr>
          <w:t>Undocumented Workers</w:t>
        </w:r>
      </w:hyperlink>
      <w:r w:rsidRPr="001167CB">
        <w:rPr>
          <w:rFonts w:asciiTheme="majorHAnsi" w:hAnsiTheme="majorHAnsi" w:cstheme="majorHAnsi"/>
          <w:color w:val="808080" w:themeColor="background1" w:themeShade="80"/>
          <w:sz w:val="16"/>
          <w:szCs w:val="16"/>
        </w:rPr>
        <w:t xml:space="preserve"> (2016), paras. 71-92.</w:t>
      </w:r>
    </w:p>
  </w:footnote>
  <w:footnote w:id="432">
    <w:p w14:paraId="20C9E530" w14:textId="2EF137DF"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25" w:history="1">
        <w:r w:rsidRPr="001167CB">
          <w:rPr>
            <w:rStyle w:val="Hyperlink"/>
            <w:rFonts w:asciiTheme="majorHAnsi" w:hAnsiTheme="majorHAnsi" w:cstheme="majorHAnsi"/>
            <w:iCs/>
            <w:color w:val="808080" w:themeColor="background1" w:themeShade="80"/>
            <w:sz w:val="16"/>
            <w:szCs w:val="16"/>
          </w:rPr>
          <w:t>Access to Justice for Women Victims of Violence in the Americas</w:t>
        </w:r>
      </w:hyperlink>
      <w:r w:rsidRPr="001167CB">
        <w:rPr>
          <w:rFonts w:asciiTheme="majorHAnsi" w:hAnsiTheme="majorHAnsi" w:cstheme="majorHAnsi"/>
          <w:i/>
          <w:i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OEA/Ser. L/V/II. Doc.68 (2007), para. 90; Report No. 17/17 Petition P-1105-06, </w:t>
      </w:r>
      <w:hyperlink r:id="rId526" w:history="1">
        <w:r w:rsidRPr="001167CB">
          <w:rPr>
            <w:rStyle w:val="Hyperlink"/>
            <w:rFonts w:asciiTheme="majorHAnsi" w:hAnsiTheme="majorHAnsi" w:cstheme="majorHAnsi"/>
            <w:i/>
            <w:color w:val="808080" w:themeColor="background1" w:themeShade="80"/>
            <w:sz w:val="16"/>
            <w:szCs w:val="16"/>
          </w:rPr>
          <w:t xml:space="preserve">Pedro </w:t>
        </w:r>
        <w:proofErr w:type="spellStart"/>
        <w:r w:rsidRPr="001167CB">
          <w:rPr>
            <w:rStyle w:val="Hyperlink"/>
            <w:rFonts w:asciiTheme="majorHAnsi" w:hAnsiTheme="majorHAnsi" w:cstheme="majorHAnsi"/>
            <w:i/>
            <w:color w:val="808080" w:themeColor="background1" w:themeShade="80"/>
            <w:sz w:val="16"/>
            <w:szCs w:val="16"/>
          </w:rPr>
          <w:t>Rosello</w:t>
        </w:r>
        <w:proofErr w:type="spellEnd"/>
        <w:r w:rsidRPr="001167CB">
          <w:rPr>
            <w:rStyle w:val="Hyperlink"/>
            <w:rFonts w:asciiTheme="majorHAnsi" w:hAnsiTheme="majorHAnsi" w:cstheme="majorHAnsi"/>
            <w:i/>
            <w:color w:val="808080" w:themeColor="background1" w:themeShade="80"/>
            <w:sz w:val="16"/>
            <w:szCs w:val="16"/>
          </w:rPr>
          <w:t xml:space="preserve"> et al.</w:t>
        </w:r>
      </w:hyperlink>
      <w:r w:rsidRPr="001167CB">
        <w:rPr>
          <w:rFonts w:asciiTheme="majorHAnsi" w:hAnsiTheme="majorHAnsi" w:cstheme="majorHAnsi"/>
          <w:color w:val="808080" w:themeColor="background1" w:themeShade="80"/>
          <w:sz w:val="16"/>
          <w:szCs w:val="16"/>
        </w:rPr>
        <w:t xml:space="preserve"> (United States), Jan. 27, 2017.</w:t>
      </w:r>
    </w:p>
  </w:footnote>
  <w:footnote w:id="433">
    <w:p w14:paraId="7C6A381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Report No. 50/16, </w:t>
      </w:r>
      <w:hyperlink r:id="rId527" w:history="1">
        <w:r w:rsidRPr="001167CB">
          <w:rPr>
            <w:rStyle w:val="Hyperlink"/>
            <w:rFonts w:asciiTheme="majorHAnsi" w:hAnsiTheme="majorHAnsi" w:cstheme="majorHAnsi"/>
            <w:i/>
            <w:color w:val="808080" w:themeColor="background1" w:themeShade="80"/>
            <w:sz w:val="16"/>
            <w:szCs w:val="16"/>
          </w:rPr>
          <w:t>Undocumented Workers</w:t>
        </w:r>
      </w:hyperlink>
      <w:r w:rsidRPr="001167CB">
        <w:rPr>
          <w:rFonts w:asciiTheme="majorHAnsi" w:hAnsiTheme="majorHAnsi" w:cstheme="majorHAnsi"/>
          <w:color w:val="808080" w:themeColor="background1" w:themeShade="80"/>
          <w:sz w:val="16"/>
          <w:szCs w:val="16"/>
        </w:rPr>
        <w:t xml:space="preserve"> (2016), para. 72; Report No. 80/11, </w:t>
      </w:r>
      <w:hyperlink r:id="rId528" w:history="1">
        <w:r w:rsidRPr="001167CB">
          <w:rPr>
            <w:rStyle w:val="Hyperlink"/>
            <w:rFonts w:asciiTheme="majorHAnsi" w:hAnsiTheme="majorHAnsi" w:cstheme="majorHAnsi"/>
            <w:i/>
            <w:color w:val="808080" w:themeColor="background1" w:themeShade="80"/>
            <w:sz w:val="16"/>
            <w:szCs w:val="16"/>
          </w:rPr>
          <w:t xml:space="preserve">Jessica </w:t>
        </w:r>
        <w:proofErr w:type="spellStart"/>
        <w:r w:rsidRPr="001167CB">
          <w:rPr>
            <w:rStyle w:val="Hyperlink"/>
            <w:rFonts w:asciiTheme="majorHAnsi" w:hAnsiTheme="majorHAnsi" w:cstheme="majorHAnsi"/>
            <w:i/>
            <w:color w:val="808080" w:themeColor="background1" w:themeShade="80"/>
            <w:sz w:val="16"/>
            <w:szCs w:val="16"/>
          </w:rPr>
          <w:t>Lenahan</w:t>
        </w:r>
        <w:proofErr w:type="spellEnd"/>
      </w:hyperlink>
      <w:r w:rsidRPr="001167CB">
        <w:rPr>
          <w:rFonts w:asciiTheme="majorHAnsi" w:hAnsiTheme="majorHAnsi" w:cstheme="majorHAnsi"/>
          <w:color w:val="808080" w:themeColor="background1" w:themeShade="80"/>
          <w:sz w:val="16"/>
          <w:szCs w:val="16"/>
        </w:rPr>
        <w:t xml:space="preserve"> (2011), para. 108; Report 40/04, </w:t>
      </w:r>
      <w:hyperlink r:id="rId529" w:history="1">
        <w:r w:rsidRPr="001167CB">
          <w:rPr>
            <w:rStyle w:val="Hyperlink"/>
            <w:rFonts w:asciiTheme="majorHAnsi" w:hAnsiTheme="majorHAnsi" w:cstheme="majorHAnsi"/>
            <w:i/>
            <w:color w:val="808080" w:themeColor="background1" w:themeShade="80"/>
            <w:sz w:val="16"/>
            <w:szCs w:val="16"/>
          </w:rPr>
          <w:t>Maya Indigenous Community</w:t>
        </w:r>
      </w:hyperlink>
      <w:r w:rsidRPr="001167CB">
        <w:rPr>
          <w:rFonts w:asciiTheme="majorHAnsi" w:hAnsiTheme="majorHAnsi" w:cstheme="majorHAnsi"/>
          <w:color w:val="808080" w:themeColor="background1" w:themeShade="80"/>
          <w:sz w:val="16"/>
          <w:szCs w:val="16"/>
        </w:rPr>
        <w:t xml:space="preserve"> (2004), para. 162.</w:t>
      </w:r>
    </w:p>
  </w:footnote>
  <w:footnote w:id="434">
    <w:p w14:paraId="71D6AD37" w14:textId="76F93A27" w:rsidR="005C2394" w:rsidRPr="001167CB" w:rsidRDefault="005C2394" w:rsidP="002C64F8">
      <w:pPr>
        <w:pStyle w:val="FootnoteText"/>
        <w:tabs>
          <w:tab w:val="left" w:pos="540"/>
        </w:tabs>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For example, Title VII of the Civil Rights Act of 1964 (regarding employment discrimination), the Fair Housing Act of 1968, and the Age Discrimination in Employment Act of 1967, among others, permit causes of action for disparate impact. </w:t>
      </w:r>
    </w:p>
    <w:p w14:paraId="53C00DAA" w14:textId="1315B154" w:rsidR="005C2394" w:rsidRPr="001167CB" w:rsidRDefault="005C2394" w:rsidP="00C91E4F">
      <w:pPr>
        <w:pStyle w:val="FootnoteText"/>
        <w:spacing w:after="40"/>
        <w:ind w:left="547"/>
        <w:jc w:val="both"/>
        <w:rPr>
          <w:rFonts w:asciiTheme="majorHAnsi" w:hAnsiTheme="majorHAnsi" w:cstheme="majorHAnsi"/>
          <w:color w:val="808080" w:themeColor="background1" w:themeShade="80"/>
          <w:sz w:val="16"/>
          <w:szCs w:val="16"/>
        </w:rPr>
      </w:pP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Texas Department of Housing and Community Affairs v. Inclusive Communities Project, Inc., 575 U.S ___ (2015) (holding that parties can raise disparate impact claims where authorized by statute, to challenge practices that are “otherwise unjustified by a legitimate rationale”); Griggs v. Duke Power Co., 401 U.S. 424 (1971).</w:t>
      </w:r>
    </w:p>
  </w:footnote>
  <w:footnote w:id="435">
    <w:p w14:paraId="157D7020" w14:textId="5238E9B2" w:rsidR="005C2394" w:rsidRPr="001167CB" w:rsidRDefault="005C2394" w:rsidP="002C64F8">
      <w:pPr>
        <w:pStyle w:val="FootnoteText"/>
        <w:tabs>
          <w:tab w:val="left" w:pos="540"/>
        </w:tabs>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481 U.S. 279 (1987). </w:t>
      </w:r>
      <w:r w:rsidRPr="001167CB">
        <w:rPr>
          <w:rFonts w:asciiTheme="majorHAnsi" w:hAnsiTheme="majorHAnsi" w:cstheme="majorHAnsi"/>
          <w:i/>
          <w:color w:val="808080" w:themeColor="background1" w:themeShade="80"/>
          <w:sz w:val="16"/>
          <w:szCs w:val="16"/>
        </w:rPr>
        <w:t>See also supra</w:t>
      </w:r>
      <w:r w:rsidRPr="001167CB">
        <w:rPr>
          <w:rFonts w:asciiTheme="majorHAnsi" w:hAnsiTheme="majorHAnsi" w:cstheme="majorHAnsi"/>
          <w:color w:val="808080" w:themeColor="background1" w:themeShade="80"/>
          <w:sz w:val="16"/>
          <w:szCs w:val="16"/>
        </w:rPr>
        <w:t xml:space="preserve"> footnote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NOTEREF _Ref507171639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300</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436">
    <w:p w14:paraId="0843479B" w14:textId="6B0235A1"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279-80.</w:t>
      </w:r>
    </w:p>
  </w:footnote>
  <w:footnote w:id="437">
    <w:p w14:paraId="181EBFD5" w14:textId="4ED04CEF"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ACLU, </w:t>
      </w:r>
      <w:hyperlink r:id="rId530" w:history="1">
        <w:r w:rsidRPr="001167CB">
          <w:rPr>
            <w:rStyle w:val="Hyperlink"/>
            <w:rFonts w:asciiTheme="majorHAnsi" w:hAnsiTheme="majorHAnsi" w:cstheme="majorHAnsi"/>
            <w:color w:val="808080" w:themeColor="background1" w:themeShade="80"/>
            <w:sz w:val="16"/>
            <w:szCs w:val="16"/>
          </w:rPr>
          <w:t>North Carolina Racial Justice Act</w:t>
        </w:r>
      </w:hyperlink>
      <w:r w:rsidRPr="001167CB">
        <w:rPr>
          <w:rFonts w:asciiTheme="majorHAnsi" w:hAnsiTheme="majorHAnsi" w:cstheme="majorHAnsi"/>
          <w:color w:val="808080" w:themeColor="background1" w:themeShade="80"/>
          <w:sz w:val="16"/>
          <w:szCs w:val="16"/>
        </w:rPr>
        <w:t xml:space="preserve">, last visited Jan. 26, 2018; CNN, </w:t>
      </w:r>
      <w:hyperlink r:id="rId531" w:history="1">
        <w:r w:rsidRPr="001167CB">
          <w:rPr>
            <w:rStyle w:val="Hyperlink"/>
            <w:rFonts w:asciiTheme="majorHAnsi" w:hAnsiTheme="majorHAnsi" w:cstheme="majorHAnsi"/>
            <w:color w:val="808080" w:themeColor="background1" w:themeShade="80"/>
            <w:sz w:val="16"/>
            <w:szCs w:val="16"/>
          </w:rPr>
          <w:t>'Racial Justice Act' repealed in North Carolina</w:t>
        </w:r>
      </w:hyperlink>
      <w:r w:rsidRPr="001167CB">
        <w:rPr>
          <w:rFonts w:asciiTheme="majorHAnsi" w:hAnsiTheme="majorHAnsi" w:cstheme="majorHAnsi"/>
          <w:color w:val="808080" w:themeColor="background1" w:themeShade="80"/>
          <w:sz w:val="16"/>
          <w:szCs w:val="16"/>
        </w:rPr>
        <w:t>, June 21, 2013.</w:t>
      </w:r>
    </w:p>
  </w:footnote>
  <w:footnote w:id="438">
    <w:p w14:paraId="3C72AB39" w14:textId="282458CC" w:rsidR="005C2394" w:rsidRPr="001167CB" w:rsidRDefault="005C2394" w:rsidP="002C64F8">
      <w:pPr>
        <w:pStyle w:val="FootnoteText"/>
        <w:spacing w:after="40"/>
        <w:ind w:left="547" w:hanging="547"/>
        <w:jc w:val="both"/>
        <w:rPr>
          <w:rFonts w:asciiTheme="majorHAnsi" w:hAnsiTheme="majorHAnsi" w:cstheme="majorHAnsi"/>
          <w:bCs/>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CERD, </w:t>
      </w:r>
      <w:hyperlink r:id="rId532"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Sept. 25, 2014, paras. 5, 20</w:t>
      </w:r>
      <w:r w:rsidRPr="001167CB">
        <w:rPr>
          <w:rFonts w:asciiTheme="majorHAnsi" w:hAnsiTheme="majorHAnsi" w:cstheme="majorHAnsi"/>
          <w:color w:val="808080" w:themeColor="background1" w:themeShade="80"/>
          <w:sz w:val="16"/>
          <w:szCs w:val="16"/>
        </w:rPr>
        <w:t>.</w:t>
      </w:r>
    </w:p>
  </w:footnote>
  <w:footnote w:id="439">
    <w:p w14:paraId="161F6C65" w14:textId="156F5A23"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Report No. 50/16, </w:t>
      </w:r>
      <w:hyperlink r:id="rId533" w:history="1">
        <w:r w:rsidRPr="001167CB">
          <w:rPr>
            <w:rStyle w:val="Hyperlink"/>
            <w:rFonts w:asciiTheme="majorHAnsi" w:hAnsiTheme="majorHAnsi" w:cstheme="majorHAnsi"/>
            <w:i/>
            <w:color w:val="808080" w:themeColor="background1" w:themeShade="80"/>
            <w:sz w:val="16"/>
            <w:szCs w:val="16"/>
          </w:rPr>
          <w:t>Undocumented Workers</w:t>
        </w:r>
      </w:hyperlink>
      <w:r w:rsidRPr="001167CB">
        <w:rPr>
          <w:rFonts w:asciiTheme="majorHAnsi" w:hAnsiTheme="majorHAnsi" w:cstheme="majorHAnsi"/>
          <w:color w:val="808080" w:themeColor="background1" w:themeShade="80"/>
          <w:sz w:val="16"/>
          <w:szCs w:val="16"/>
        </w:rPr>
        <w:t xml:space="preserve"> (2016), para. 73; IACHR, Report No. 67/06, </w:t>
      </w:r>
      <w:hyperlink r:id="rId534" w:history="1">
        <w:r w:rsidRPr="001167CB">
          <w:rPr>
            <w:rStyle w:val="Hyperlink"/>
            <w:rFonts w:asciiTheme="majorHAnsi" w:hAnsiTheme="majorHAnsi" w:cstheme="majorHAnsi"/>
            <w:i/>
            <w:color w:val="808080" w:themeColor="background1" w:themeShade="80"/>
            <w:sz w:val="16"/>
            <w:szCs w:val="16"/>
          </w:rPr>
          <w:t xml:space="preserve">Oscar </w:t>
        </w:r>
        <w:proofErr w:type="spellStart"/>
        <w:r w:rsidRPr="001167CB">
          <w:rPr>
            <w:rStyle w:val="Hyperlink"/>
            <w:rFonts w:asciiTheme="majorHAnsi" w:hAnsiTheme="majorHAnsi" w:cstheme="majorHAnsi"/>
            <w:i/>
            <w:color w:val="808080" w:themeColor="background1" w:themeShade="80"/>
            <w:sz w:val="16"/>
            <w:szCs w:val="16"/>
          </w:rPr>
          <w:t>Elías</w:t>
        </w:r>
        <w:proofErr w:type="spellEnd"/>
        <w:r w:rsidRPr="001167CB">
          <w:rPr>
            <w:rStyle w:val="Hyperlink"/>
            <w:rFonts w:asciiTheme="majorHAnsi" w:hAnsiTheme="majorHAnsi" w:cstheme="majorHAnsi"/>
            <w:i/>
            <w:color w:val="808080" w:themeColor="background1" w:themeShade="80"/>
            <w:sz w:val="16"/>
            <w:szCs w:val="16"/>
          </w:rPr>
          <w:t xml:space="preserve"> </w:t>
        </w:r>
        <w:proofErr w:type="spellStart"/>
        <w:r w:rsidRPr="001167CB">
          <w:rPr>
            <w:rStyle w:val="Hyperlink"/>
            <w:rFonts w:asciiTheme="majorHAnsi" w:hAnsiTheme="majorHAnsi" w:cstheme="majorHAnsi"/>
            <w:i/>
            <w:color w:val="808080" w:themeColor="background1" w:themeShade="80"/>
            <w:sz w:val="16"/>
            <w:szCs w:val="16"/>
          </w:rPr>
          <w:t>Bicet</w:t>
        </w:r>
        <w:proofErr w:type="spellEnd"/>
        <w:r w:rsidRPr="001167CB">
          <w:rPr>
            <w:rStyle w:val="Hyperlink"/>
            <w:rFonts w:asciiTheme="majorHAnsi" w:hAnsiTheme="majorHAnsi" w:cstheme="majorHAnsi"/>
            <w:i/>
            <w:color w:val="808080" w:themeColor="background1" w:themeShade="80"/>
            <w:sz w:val="16"/>
            <w:szCs w:val="16"/>
          </w:rPr>
          <w:t xml:space="preserve"> et al.</w:t>
        </w:r>
      </w:hyperlink>
      <w:r w:rsidRPr="001167CB">
        <w:rPr>
          <w:rFonts w:asciiTheme="majorHAnsi" w:hAnsiTheme="majorHAnsi" w:cstheme="majorHAnsi"/>
          <w:color w:val="808080" w:themeColor="background1" w:themeShade="80"/>
          <w:sz w:val="16"/>
          <w:szCs w:val="16"/>
        </w:rPr>
        <w:t xml:space="preserve"> (2006), paras. 228-231; IACHR, Report 40/04, </w:t>
      </w:r>
      <w:hyperlink r:id="rId535" w:history="1">
        <w:r w:rsidRPr="001167CB">
          <w:rPr>
            <w:rStyle w:val="Hyperlink"/>
            <w:rFonts w:asciiTheme="majorHAnsi" w:hAnsiTheme="majorHAnsi" w:cstheme="majorHAnsi"/>
            <w:i/>
            <w:color w:val="808080" w:themeColor="background1" w:themeShade="80"/>
            <w:sz w:val="16"/>
            <w:szCs w:val="16"/>
          </w:rPr>
          <w:t>Maya Indigenous Community</w:t>
        </w:r>
      </w:hyperlink>
      <w:r w:rsidRPr="001167CB">
        <w:rPr>
          <w:rFonts w:asciiTheme="majorHAnsi" w:hAnsiTheme="majorHAnsi" w:cstheme="majorHAnsi"/>
          <w:color w:val="808080" w:themeColor="background1" w:themeShade="80"/>
          <w:sz w:val="16"/>
          <w:szCs w:val="16"/>
        </w:rPr>
        <w:t xml:space="preserve"> (2004), paras. 162, 166.</w:t>
      </w:r>
    </w:p>
  </w:footnote>
  <w:footnote w:id="440">
    <w:p w14:paraId="79120207" w14:textId="4A593DFD"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CERD, General Recommendation XXXI, </w:t>
      </w:r>
      <w:hyperlink r:id="rId536" w:history="1">
        <w:r w:rsidRPr="001167CB">
          <w:rPr>
            <w:rStyle w:val="Hyperlink"/>
            <w:rFonts w:asciiTheme="majorHAnsi" w:hAnsiTheme="majorHAnsi" w:cstheme="majorHAnsi"/>
            <w:i/>
            <w:color w:val="808080" w:themeColor="background1" w:themeShade="80"/>
            <w:sz w:val="16"/>
            <w:szCs w:val="16"/>
          </w:rPr>
          <w:t>Prevention of Racial Discrimination in the Administration and Functioning of the Criminal Justice System</w:t>
        </w:r>
      </w:hyperlink>
      <w:r w:rsidRPr="001167CB">
        <w:rPr>
          <w:rFonts w:asciiTheme="majorHAnsi" w:hAnsiTheme="majorHAnsi" w:cstheme="majorHAnsi"/>
          <w:color w:val="808080" w:themeColor="background1" w:themeShade="80"/>
          <w:sz w:val="16"/>
          <w:szCs w:val="16"/>
        </w:rPr>
        <w:t xml:space="preserve">, 2005.  </w:t>
      </w:r>
    </w:p>
  </w:footnote>
  <w:footnote w:id="441">
    <w:p w14:paraId="42E4AE78" w14:textId="4C17F29A" w:rsidR="005C2394" w:rsidRPr="001167CB" w:rsidRDefault="005C2394" w:rsidP="002C64F8">
      <w:pPr>
        <w:pStyle w:val="FootnoteText"/>
        <w:spacing w:after="40"/>
        <w:ind w:left="547" w:hanging="547"/>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ab/>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537"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 paras. 162-163.</w:t>
      </w:r>
    </w:p>
  </w:footnote>
  <w:footnote w:id="442">
    <w:p w14:paraId="588937AB" w14:textId="77777777"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38" w:history="1">
        <w:r w:rsidRPr="001167CB">
          <w:rPr>
            <w:rStyle w:val="Hyperlink"/>
            <w:rFonts w:asciiTheme="majorHAnsi" w:hAnsiTheme="majorHAnsi" w:cstheme="majorHAnsi"/>
            <w:color w:val="808080" w:themeColor="background1" w:themeShade="80"/>
            <w:sz w:val="16"/>
            <w:szCs w:val="16"/>
          </w:rPr>
          <w:t>2006 Annual Report, Chapter IV, Human Rights Developments in the Region, Venezuela</w:t>
        </w:r>
      </w:hyperlink>
      <w:r w:rsidRPr="001167CB">
        <w:rPr>
          <w:rFonts w:asciiTheme="majorHAnsi" w:hAnsiTheme="majorHAnsi" w:cstheme="majorHAnsi"/>
          <w:color w:val="808080" w:themeColor="background1" w:themeShade="80"/>
          <w:sz w:val="16"/>
          <w:szCs w:val="16"/>
        </w:rPr>
        <w:t xml:space="preserve">, para. 208.  </w:t>
      </w:r>
    </w:p>
  </w:footnote>
  <w:footnote w:id="443">
    <w:p w14:paraId="23297C74" w14:textId="77777777"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39"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para. 6.</w:t>
      </w:r>
    </w:p>
  </w:footnote>
  <w:footnote w:id="444">
    <w:p w14:paraId="0998461C" w14:textId="5A5340EB"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American Declaration, Art. I. The ICERD, to which the United States is Party, further establishes the obligation to eliminate racial discrimination in all forms in the enjoyment of “The right to security of person and protection by the State against violence or bodily harm, whether inflicted by government officials or by any individual, group, or institution.” Article 5.b.</w:t>
      </w:r>
    </w:p>
  </w:footnote>
  <w:footnote w:id="445">
    <w:p w14:paraId="31C65D1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American Declaration, Art. II.</w:t>
      </w:r>
    </w:p>
  </w:footnote>
  <w:footnote w:id="446">
    <w:p w14:paraId="21EE08A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American Declaration, Art. XXVI.</w:t>
      </w:r>
    </w:p>
  </w:footnote>
  <w:footnote w:id="447">
    <w:p w14:paraId="43CFE66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Convention </w:t>
      </w:r>
      <w:proofErr w:type="gramStart"/>
      <w:r w:rsidRPr="001167CB">
        <w:rPr>
          <w:rFonts w:asciiTheme="majorHAnsi" w:hAnsiTheme="majorHAnsi" w:cstheme="majorHAnsi"/>
          <w:color w:val="808080" w:themeColor="background1" w:themeShade="80"/>
          <w:sz w:val="16"/>
          <w:szCs w:val="16"/>
        </w:rPr>
        <w:t>Against</w:t>
      </w:r>
      <w:proofErr w:type="gramEnd"/>
      <w:r w:rsidRPr="001167CB">
        <w:rPr>
          <w:rFonts w:asciiTheme="majorHAnsi" w:hAnsiTheme="majorHAnsi" w:cstheme="majorHAnsi"/>
          <w:color w:val="808080" w:themeColor="background1" w:themeShade="80"/>
          <w:sz w:val="16"/>
          <w:szCs w:val="16"/>
        </w:rPr>
        <w:t xml:space="preserve"> Torture, Art. I.</w:t>
      </w:r>
    </w:p>
  </w:footnote>
  <w:footnote w:id="448">
    <w:p w14:paraId="19C8076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40"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para. 6 (citing IACHR, Report No. 26/09, Case 12.440, Admissibility and Merits, </w:t>
      </w:r>
      <w:hyperlink r:id="rId541" w:history="1">
        <w:r w:rsidRPr="001167CB">
          <w:rPr>
            <w:rStyle w:val="Hyperlink"/>
            <w:rFonts w:asciiTheme="majorHAnsi" w:hAnsiTheme="majorHAnsi" w:cstheme="majorHAnsi"/>
            <w:color w:val="808080" w:themeColor="background1" w:themeShade="80"/>
            <w:sz w:val="16"/>
            <w:szCs w:val="16"/>
          </w:rPr>
          <w:t>Wallace de Almeida</w:t>
        </w:r>
      </w:hyperlink>
      <w:r w:rsidRPr="001167CB">
        <w:rPr>
          <w:rFonts w:asciiTheme="majorHAnsi" w:hAnsiTheme="majorHAnsi" w:cstheme="majorHAnsi"/>
          <w:color w:val="808080" w:themeColor="background1" w:themeShade="80"/>
          <w:sz w:val="16"/>
          <w:szCs w:val="16"/>
        </w:rPr>
        <w:t xml:space="preserve"> (Brazil), Mar. 20, 2009, paras. 102-103, 105; Report No. 43/08, Merits</w:t>
      </w:r>
      <w:hyperlink r:id="rId542" w:history="1">
        <w:r w:rsidRPr="001167CB">
          <w:rPr>
            <w:rStyle w:val="Hyperlink"/>
            <w:rFonts w:asciiTheme="majorHAnsi" w:hAnsiTheme="majorHAnsi" w:cstheme="majorHAnsi"/>
            <w:color w:val="808080" w:themeColor="background1" w:themeShade="80"/>
            <w:sz w:val="16"/>
            <w:szCs w:val="16"/>
          </w:rPr>
          <w:t xml:space="preserve">, </w:t>
        </w:r>
        <w:proofErr w:type="spellStart"/>
        <w:r w:rsidRPr="001167CB">
          <w:rPr>
            <w:rStyle w:val="Hyperlink"/>
            <w:rFonts w:asciiTheme="majorHAnsi" w:hAnsiTheme="majorHAnsi" w:cstheme="majorHAnsi"/>
            <w:color w:val="808080" w:themeColor="background1" w:themeShade="80"/>
            <w:sz w:val="16"/>
            <w:szCs w:val="16"/>
          </w:rPr>
          <w:t>Leydi</w:t>
        </w:r>
        <w:proofErr w:type="spellEnd"/>
        <w:r w:rsidRPr="001167CB">
          <w:rPr>
            <w:rStyle w:val="Hyperlink"/>
            <w:rFonts w:asciiTheme="majorHAnsi" w:hAnsiTheme="majorHAnsi" w:cstheme="majorHAnsi"/>
            <w:color w:val="808080" w:themeColor="background1" w:themeShade="80"/>
            <w:sz w:val="16"/>
            <w:szCs w:val="16"/>
          </w:rPr>
          <w:t xml:space="preserve"> </w:t>
        </w:r>
        <w:proofErr w:type="spellStart"/>
        <w:r w:rsidRPr="001167CB">
          <w:rPr>
            <w:rStyle w:val="Hyperlink"/>
            <w:rFonts w:asciiTheme="majorHAnsi" w:hAnsiTheme="majorHAnsi" w:cstheme="majorHAnsi"/>
            <w:color w:val="808080" w:themeColor="background1" w:themeShade="80"/>
            <w:sz w:val="16"/>
            <w:szCs w:val="16"/>
          </w:rPr>
          <w:t>Dayán</w:t>
        </w:r>
        <w:proofErr w:type="spellEnd"/>
        <w:r w:rsidRPr="001167CB">
          <w:rPr>
            <w:rStyle w:val="Hyperlink"/>
            <w:rFonts w:asciiTheme="majorHAnsi" w:hAnsiTheme="majorHAnsi" w:cstheme="majorHAnsi"/>
            <w:color w:val="808080" w:themeColor="background1" w:themeShade="80"/>
            <w:sz w:val="16"/>
            <w:szCs w:val="16"/>
          </w:rPr>
          <w:t xml:space="preserve"> Sánchez</w:t>
        </w:r>
      </w:hyperlink>
      <w:r w:rsidRPr="001167CB">
        <w:rPr>
          <w:rFonts w:asciiTheme="majorHAnsi" w:hAnsiTheme="majorHAnsi" w:cstheme="majorHAnsi"/>
          <w:color w:val="808080" w:themeColor="background1" w:themeShade="80"/>
          <w:sz w:val="16"/>
          <w:szCs w:val="16"/>
        </w:rPr>
        <w:t xml:space="preserve"> (Colombia), July 23, 2008, paras. 51, 54-56; Report No. 92/05, Merits, </w:t>
      </w:r>
      <w:hyperlink r:id="rId543" w:history="1">
        <w:r w:rsidRPr="001167CB">
          <w:rPr>
            <w:rStyle w:val="Hyperlink"/>
            <w:rFonts w:asciiTheme="majorHAnsi" w:hAnsiTheme="majorHAnsi" w:cstheme="majorHAnsi"/>
            <w:color w:val="808080" w:themeColor="background1" w:themeShade="80"/>
            <w:sz w:val="16"/>
            <w:szCs w:val="16"/>
          </w:rPr>
          <w:t>Michael Gayle</w:t>
        </w:r>
      </w:hyperlink>
      <w:r w:rsidRPr="001167CB">
        <w:rPr>
          <w:rFonts w:asciiTheme="majorHAnsi" w:hAnsiTheme="majorHAnsi" w:cstheme="majorHAnsi"/>
          <w:color w:val="808080" w:themeColor="background1" w:themeShade="80"/>
          <w:sz w:val="16"/>
          <w:szCs w:val="16"/>
        </w:rPr>
        <w:t xml:space="preserve"> (Jamaica), </w:t>
      </w:r>
      <w:r w:rsidRPr="001167CB">
        <w:rPr>
          <w:rFonts w:asciiTheme="majorHAnsi" w:hAnsiTheme="majorHAnsi" w:cstheme="majorHAnsi"/>
          <w:bCs/>
          <w:color w:val="808080" w:themeColor="background1" w:themeShade="80"/>
          <w:sz w:val="16"/>
          <w:szCs w:val="16"/>
        </w:rPr>
        <w:t xml:space="preserve">Oct. </w:t>
      </w:r>
      <w:r w:rsidRPr="001167CB">
        <w:rPr>
          <w:rFonts w:asciiTheme="majorHAnsi" w:hAnsiTheme="majorHAnsi" w:cstheme="majorHAnsi"/>
          <w:color w:val="808080" w:themeColor="background1" w:themeShade="80"/>
          <w:sz w:val="16"/>
          <w:szCs w:val="16"/>
        </w:rPr>
        <w:t>24, 2005, paras. 61-64).</w:t>
      </w:r>
    </w:p>
  </w:footnote>
  <w:footnote w:id="449">
    <w:p w14:paraId="29D063B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IACHR</w:t>
      </w:r>
      <w:r w:rsidRPr="001167CB">
        <w:rPr>
          <w:rFonts w:asciiTheme="majorHAnsi" w:hAnsiTheme="majorHAnsi" w:cstheme="majorHAnsi"/>
          <w:i/>
          <w:color w:val="808080" w:themeColor="background1" w:themeShade="80"/>
          <w:sz w:val="16"/>
          <w:szCs w:val="16"/>
        </w:rPr>
        <w:t xml:space="preserve">, </w:t>
      </w:r>
      <w:hyperlink r:id="rId544"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xml:space="preserve">, para. 7-9; </w:t>
      </w:r>
      <w:hyperlink r:id="rId545" w:history="1">
        <w:r w:rsidRPr="001167CB">
          <w:rPr>
            <w:rStyle w:val="Hyperlink"/>
            <w:rFonts w:asciiTheme="majorHAnsi" w:hAnsiTheme="majorHAnsi" w:cstheme="majorHAnsi"/>
            <w:color w:val="808080" w:themeColor="background1" w:themeShade="80"/>
            <w:sz w:val="16"/>
            <w:szCs w:val="16"/>
          </w:rPr>
          <w:t>Report on Terrorism and Human Rights</w:t>
        </w:r>
      </w:hyperlink>
      <w:r w:rsidRPr="001167CB">
        <w:rPr>
          <w:rFonts w:asciiTheme="majorHAnsi" w:hAnsiTheme="majorHAnsi" w:cstheme="majorHAnsi"/>
          <w:color w:val="808080" w:themeColor="background1" w:themeShade="80"/>
          <w:sz w:val="16"/>
          <w:szCs w:val="16"/>
        </w:rPr>
        <w:t>,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 xml:space="preserve">/V/II.116 Doc.5, </w:t>
      </w:r>
      <w:r w:rsidRPr="001167CB">
        <w:rPr>
          <w:rFonts w:asciiTheme="majorHAnsi" w:hAnsiTheme="majorHAnsi" w:cstheme="majorHAnsi"/>
          <w:bCs/>
          <w:color w:val="808080" w:themeColor="background1" w:themeShade="80"/>
          <w:sz w:val="16"/>
          <w:szCs w:val="16"/>
        </w:rPr>
        <w:t xml:space="preserve">Oct. </w:t>
      </w:r>
      <w:r w:rsidRPr="001167CB">
        <w:rPr>
          <w:rFonts w:asciiTheme="majorHAnsi" w:hAnsiTheme="majorHAnsi" w:cstheme="majorHAnsi"/>
          <w:color w:val="808080" w:themeColor="background1" w:themeShade="80"/>
          <w:sz w:val="16"/>
          <w:szCs w:val="16"/>
        </w:rPr>
        <w:t xml:space="preserve">2, 2002, para. 87; </w:t>
      </w:r>
      <w:hyperlink r:id="rId546" w:history="1">
        <w:r w:rsidRPr="001167CB">
          <w:rPr>
            <w:rStyle w:val="Hyperlink"/>
            <w:rFonts w:asciiTheme="majorHAnsi" w:hAnsiTheme="majorHAnsi" w:cstheme="majorHAnsi"/>
            <w:color w:val="808080" w:themeColor="background1" w:themeShade="80"/>
            <w:sz w:val="16"/>
            <w:szCs w:val="16"/>
          </w:rPr>
          <w:t>Citizen Security and Human Rights</w:t>
        </w:r>
      </w:hyperlink>
      <w:r w:rsidRPr="001167CB">
        <w:rPr>
          <w:rFonts w:asciiTheme="majorHAnsi" w:hAnsiTheme="majorHAnsi" w:cstheme="majorHAnsi"/>
          <w:color w:val="808080" w:themeColor="background1" w:themeShade="80"/>
          <w:sz w:val="16"/>
          <w:szCs w:val="16"/>
        </w:rPr>
        <w:t xml:space="preserve"> (2009), para. 114; IACHR, Office of the Special Rapporteur for Freedom of Expression, </w:t>
      </w:r>
      <w:hyperlink r:id="rId547" w:history="1">
        <w:r w:rsidRPr="001167CB">
          <w:rPr>
            <w:rStyle w:val="Hyperlink"/>
            <w:rFonts w:asciiTheme="majorHAnsi" w:hAnsiTheme="majorHAnsi" w:cstheme="majorHAnsi"/>
            <w:color w:val="808080" w:themeColor="background1" w:themeShade="80"/>
            <w:sz w:val="16"/>
            <w:szCs w:val="16"/>
          </w:rPr>
          <w:t>Annual Report of the Office of the Special Rapporteur for Freedom of Expression</w:t>
        </w:r>
      </w:hyperlink>
      <w:r w:rsidRPr="001167CB">
        <w:rPr>
          <w:rFonts w:asciiTheme="majorHAnsi" w:hAnsiTheme="majorHAnsi" w:cstheme="majorHAnsi"/>
          <w:i/>
          <w:color w:val="808080" w:themeColor="background1" w:themeShade="80"/>
          <w:sz w:val="16"/>
          <w:szCs w:val="16"/>
        </w:rPr>
        <w:t>,</w:t>
      </w:r>
      <w:r w:rsidRPr="001167CB">
        <w:rPr>
          <w:rFonts w:asciiTheme="majorHAnsi" w:hAnsiTheme="majorHAnsi" w:cstheme="majorHAnsi"/>
          <w:color w:val="808080" w:themeColor="background1" w:themeShade="80"/>
          <w:sz w:val="16"/>
          <w:szCs w:val="16"/>
        </w:rPr>
        <w:t xml:space="preserve">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/V/II. Doc. 48/15, Dec. 31, 2015, para. 621.</w:t>
      </w:r>
    </w:p>
  </w:footnote>
  <w:footnote w:id="450">
    <w:p w14:paraId="3A8E3BE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548"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 xml:space="preserve">, paras. </w:t>
      </w:r>
      <w:r w:rsidRPr="001167CB">
        <w:rPr>
          <w:rFonts w:asciiTheme="majorHAnsi" w:hAnsiTheme="majorHAnsi" w:cstheme="majorHAnsi"/>
          <w:color w:val="808080" w:themeColor="background1" w:themeShade="80"/>
          <w:sz w:val="16"/>
          <w:szCs w:val="16"/>
        </w:rPr>
        <w:t>163-164.</w:t>
      </w:r>
    </w:p>
  </w:footnote>
  <w:footnote w:id="451">
    <w:p w14:paraId="7D9CA6E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549" w:history="1">
        <w:r w:rsidRPr="001167CB">
          <w:rPr>
            <w:rStyle w:val="Hyperlink"/>
            <w:rFonts w:asciiTheme="majorHAnsi" w:eastAsia="Times New Roman" w:hAnsiTheme="majorHAnsi" w:cstheme="majorHAnsi"/>
            <w:color w:val="808080" w:themeColor="background1" w:themeShade="80"/>
            <w:sz w:val="16"/>
            <w:szCs w:val="16"/>
            <w:lang w:eastAsia="es-ES"/>
          </w:rPr>
          <w:t>U.N. Code of Conduct for Law Enforcement Officials</w:t>
        </w:r>
      </w:hyperlink>
      <w:r w:rsidRPr="001167CB">
        <w:rPr>
          <w:rFonts w:asciiTheme="majorHAnsi" w:eastAsia="Times New Roman" w:hAnsiTheme="majorHAnsi" w:cstheme="majorHAnsi"/>
          <w:color w:val="808080" w:themeColor="background1" w:themeShade="80"/>
          <w:sz w:val="16"/>
          <w:szCs w:val="16"/>
          <w:lang w:eastAsia="es-ES"/>
        </w:rPr>
        <w:t xml:space="preserve"> [hereinafter “UN Code of Conduct”], adopted by General Assembly resolution 34/169 of 17 December 1979; </w:t>
      </w:r>
      <w:hyperlink r:id="rId550" w:history="1">
        <w:r w:rsidRPr="001167CB">
          <w:rPr>
            <w:rStyle w:val="Hyperlink"/>
            <w:rFonts w:asciiTheme="majorHAnsi" w:eastAsia="Times New Roman" w:hAnsiTheme="majorHAnsi" w:cstheme="majorHAnsi"/>
            <w:color w:val="808080" w:themeColor="background1" w:themeShade="80"/>
            <w:sz w:val="16"/>
            <w:szCs w:val="16"/>
            <w:lang w:eastAsia="es-ES"/>
          </w:rPr>
          <w:t>U.N. Basic Principles on the Use of Force and Firearms by Law Enforcement Officials</w:t>
        </w:r>
      </w:hyperlink>
      <w:r w:rsidRPr="001167CB">
        <w:rPr>
          <w:rFonts w:asciiTheme="majorHAnsi" w:eastAsia="Times New Roman" w:hAnsiTheme="majorHAnsi" w:cstheme="majorHAnsi"/>
          <w:color w:val="808080" w:themeColor="background1" w:themeShade="80"/>
          <w:sz w:val="16"/>
          <w:szCs w:val="16"/>
          <w:lang w:eastAsia="es-ES"/>
        </w:rPr>
        <w:t xml:space="preserve"> [hereinafter “UN Basic Principles on the Use of Force”], adopted by the Eighth United Nations Congress on the Prevention of Crime and the Treatment of Offenders, Havana, Cuba, 27 August to 7 September 1990.</w:t>
      </w:r>
    </w:p>
  </w:footnote>
  <w:footnote w:id="452">
    <w:p w14:paraId="7DBC605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551" w:history="1">
        <w:r w:rsidRPr="001167CB">
          <w:rPr>
            <w:rStyle w:val="Hyperlink"/>
            <w:rFonts w:asciiTheme="majorHAnsi" w:hAnsiTheme="majorHAnsi" w:cstheme="majorHAnsi"/>
            <w:bCs/>
            <w:color w:val="808080" w:themeColor="background1" w:themeShade="80"/>
            <w:sz w:val="16"/>
            <w:szCs w:val="16"/>
          </w:rPr>
          <w:t>U.N. Basic Principles on the Use of Force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No. 9 (cited in IACHR, </w:t>
      </w:r>
      <w:hyperlink r:id="rId552"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para. 7).</w:t>
      </w:r>
    </w:p>
  </w:footnote>
  <w:footnote w:id="453">
    <w:p w14:paraId="3EC88A8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53"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xml:space="preserve">, para. 9 (citing United Nations, </w:t>
      </w:r>
      <w:r w:rsidRPr="001167CB">
        <w:rPr>
          <w:rFonts w:asciiTheme="majorHAnsi" w:hAnsiTheme="majorHAnsi" w:cstheme="majorHAnsi"/>
          <w:i/>
          <w:color w:val="808080" w:themeColor="background1" w:themeShade="80"/>
          <w:sz w:val="16"/>
          <w:szCs w:val="16"/>
        </w:rPr>
        <w:t>Basic Principles on the Use of Force and Firearms by Law Enforcement Officials</w:t>
      </w:r>
      <w:r w:rsidRPr="001167CB">
        <w:rPr>
          <w:rFonts w:asciiTheme="majorHAnsi" w:hAnsiTheme="majorHAnsi" w:cstheme="majorHAnsi"/>
          <w:color w:val="808080" w:themeColor="background1" w:themeShade="80"/>
          <w:sz w:val="16"/>
          <w:szCs w:val="16"/>
        </w:rPr>
        <w:t xml:space="preserve">, No. 20).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w:t>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554"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 xml:space="preserve">, para. </w:t>
      </w:r>
      <w:r w:rsidRPr="001167CB">
        <w:rPr>
          <w:rFonts w:asciiTheme="majorHAnsi" w:hAnsiTheme="majorHAnsi" w:cstheme="majorHAnsi"/>
          <w:color w:val="808080" w:themeColor="background1" w:themeShade="80"/>
          <w:sz w:val="16"/>
          <w:szCs w:val="16"/>
        </w:rPr>
        <w:t>178.</w:t>
      </w:r>
    </w:p>
  </w:footnote>
  <w:footnote w:id="454">
    <w:p w14:paraId="2E762073" w14:textId="12330FE6"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IACHR</w:t>
      </w:r>
      <w:r w:rsidRPr="001167CB">
        <w:rPr>
          <w:rFonts w:asciiTheme="majorHAnsi" w:hAnsiTheme="majorHAnsi" w:cstheme="majorHAnsi"/>
          <w:i/>
          <w:color w:val="808080" w:themeColor="background1" w:themeShade="80"/>
          <w:sz w:val="16"/>
          <w:szCs w:val="16"/>
        </w:rPr>
        <w:t xml:space="preserve">, </w:t>
      </w:r>
      <w:hyperlink r:id="rId555"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xml:space="preserve">, para. 9 (citing Report of the Special Rapporteur on extrajudicial, summary or arbitrary executions, Christof </w:t>
      </w:r>
      <w:proofErr w:type="spellStart"/>
      <w:r w:rsidRPr="001167CB">
        <w:rPr>
          <w:rFonts w:asciiTheme="majorHAnsi" w:hAnsiTheme="majorHAnsi" w:cstheme="majorHAnsi"/>
          <w:color w:val="808080" w:themeColor="background1" w:themeShade="80"/>
          <w:sz w:val="16"/>
          <w:szCs w:val="16"/>
        </w:rPr>
        <w:t>Heyns</w:t>
      </w:r>
      <w:proofErr w:type="spellEnd"/>
      <w:r w:rsidRPr="001167CB">
        <w:rPr>
          <w:rFonts w:asciiTheme="majorHAnsi" w:hAnsiTheme="majorHAnsi" w:cstheme="majorHAnsi"/>
          <w:color w:val="808080" w:themeColor="background1" w:themeShade="80"/>
          <w:sz w:val="16"/>
          <w:szCs w:val="16"/>
        </w:rPr>
        <w:t>, A/HRC/26/36, Apr. 1, 2014, para. 29).</w:t>
      </w:r>
    </w:p>
  </w:footnote>
  <w:footnote w:id="455">
    <w:p w14:paraId="04C7AE5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 Ct. H.R., </w:t>
      </w:r>
      <w:proofErr w:type="spellStart"/>
      <w:r w:rsidRPr="001167CB">
        <w:rPr>
          <w:rFonts w:asciiTheme="majorHAnsi" w:hAnsiTheme="majorHAnsi" w:cstheme="majorHAnsi"/>
          <w:i/>
          <w:color w:val="808080" w:themeColor="background1" w:themeShade="80"/>
          <w:sz w:val="16"/>
          <w:szCs w:val="16"/>
        </w:rPr>
        <w:t>Nadege</w:t>
      </w:r>
      <w:proofErr w:type="spellEnd"/>
      <w:r w:rsidRPr="001167CB">
        <w:rPr>
          <w:rFonts w:asciiTheme="majorHAnsi" w:hAnsiTheme="majorHAnsi" w:cstheme="majorHAnsi"/>
          <w:i/>
          <w:color w:val="808080" w:themeColor="background1" w:themeShade="80"/>
          <w:sz w:val="16"/>
          <w:szCs w:val="16"/>
        </w:rPr>
        <w:t xml:space="preserve"> </w:t>
      </w:r>
      <w:proofErr w:type="spellStart"/>
      <w:r w:rsidRPr="001167CB">
        <w:rPr>
          <w:rFonts w:asciiTheme="majorHAnsi" w:hAnsiTheme="majorHAnsi" w:cstheme="majorHAnsi"/>
          <w:i/>
          <w:color w:val="808080" w:themeColor="background1" w:themeShade="80"/>
          <w:sz w:val="16"/>
          <w:szCs w:val="16"/>
        </w:rPr>
        <w:t>Dorzema</w:t>
      </w:r>
      <w:proofErr w:type="spellEnd"/>
      <w:r w:rsidRPr="001167CB">
        <w:rPr>
          <w:rFonts w:asciiTheme="majorHAnsi" w:hAnsiTheme="majorHAnsi" w:cstheme="majorHAnsi"/>
          <w:i/>
          <w:color w:val="808080" w:themeColor="background1" w:themeShade="80"/>
          <w:sz w:val="16"/>
          <w:szCs w:val="16"/>
        </w:rPr>
        <w:t xml:space="preserve"> et al. v. Dominican Republic</w:t>
      </w:r>
      <w:r w:rsidRPr="001167CB">
        <w:rPr>
          <w:rFonts w:asciiTheme="majorHAnsi" w:hAnsiTheme="majorHAnsi" w:cstheme="majorHAnsi"/>
          <w:color w:val="808080" w:themeColor="background1" w:themeShade="80"/>
          <w:sz w:val="16"/>
          <w:szCs w:val="16"/>
        </w:rPr>
        <w:t xml:space="preserve">. Merits, Reparations, and Costs. Judgment of </w:t>
      </w:r>
      <w:r w:rsidRPr="001167CB">
        <w:rPr>
          <w:rFonts w:asciiTheme="majorHAnsi" w:hAnsiTheme="majorHAnsi" w:cstheme="majorHAnsi"/>
          <w:bCs/>
          <w:color w:val="808080" w:themeColor="background1" w:themeShade="80"/>
          <w:sz w:val="16"/>
          <w:szCs w:val="16"/>
        </w:rPr>
        <w:t xml:space="preserve">Oct. </w:t>
      </w:r>
      <w:r w:rsidRPr="001167CB">
        <w:rPr>
          <w:rFonts w:asciiTheme="majorHAnsi" w:hAnsiTheme="majorHAnsi" w:cstheme="majorHAnsi"/>
          <w:color w:val="808080" w:themeColor="background1" w:themeShade="80"/>
          <w:sz w:val="16"/>
          <w:szCs w:val="16"/>
        </w:rPr>
        <w:t>24, 2012, Ser. C No. 251, para. 80 (citation omitted).</w:t>
      </w:r>
    </w:p>
  </w:footnote>
  <w:footnote w:id="456">
    <w:p w14:paraId="7B786C9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w:t>
      </w:r>
    </w:p>
  </w:footnote>
  <w:footnote w:id="457">
    <w:p w14:paraId="55EBAC8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56"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xml:space="preserve">, para. 9 (citing </w:t>
      </w:r>
      <w:hyperlink r:id="rId557" w:history="1">
        <w:r w:rsidRPr="001167CB">
          <w:rPr>
            <w:rStyle w:val="Hyperlink"/>
            <w:rFonts w:asciiTheme="majorHAnsi" w:hAnsiTheme="majorHAnsi" w:cstheme="majorHAnsi"/>
            <w:bCs/>
            <w:color w:val="808080" w:themeColor="background1" w:themeShade="80"/>
            <w:sz w:val="16"/>
            <w:szCs w:val="16"/>
          </w:rPr>
          <w:t>U.N. Basic Principles on the Use of Force</w:t>
        </w:r>
      </w:hyperlink>
      <w:r w:rsidRPr="001167CB">
        <w:rPr>
          <w:rFonts w:asciiTheme="majorHAnsi" w:hAnsiTheme="majorHAnsi" w:cstheme="majorHAnsi"/>
          <w:color w:val="808080" w:themeColor="background1" w:themeShade="80"/>
          <w:sz w:val="16"/>
          <w:szCs w:val="16"/>
        </w:rPr>
        <w:t>).</w:t>
      </w:r>
    </w:p>
  </w:footnote>
  <w:footnote w:id="458">
    <w:p w14:paraId="4D46D40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58"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xml:space="preserve">, para. 10 (citing </w:t>
      </w:r>
      <w:hyperlink r:id="rId559" w:history="1">
        <w:r w:rsidRPr="001167CB">
          <w:rPr>
            <w:rStyle w:val="Hyperlink"/>
            <w:rFonts w:asciiTheme="majorHAnsi" w:hAnsiTheme="majorHAnsi" w:cstheme="majorHAnsi"/>
            <w:bCs/>
            <w:color w:val="808080" w:themeColor="background1" w:themeShade="80"/>
            <w:sz w:val="16"/>
            <w:szCs w:val="16"/>
          </w:rPr>
          <w:t>U.N. Basic Principles on the Use of Force</w:t>
        </w:r>
      </w:hyperlink>
      <w:r w:rsidRPr="001167CB">
        <w:rPr>
          <w:rFonts w:asciiTheme="majorHAnsi" w:hAnsiTheme="majorHAnsi" w:cstheme="majorHAnsi"/>
          <w:bCs/>
          <w:color w:val="808080" w:themeColor="background1" w:themeShade="80"/>
          <w:sz w:val="16"/>
          <w:szCs w:val="16"/>
        </w:rPr>
        <w:t>,</w:t>
      </w:r>
      <w:r w:rsidRPr="001167CB">
        <w:rPr>
          <w:rFonts w:asciiTheme="majorHAnsi" w:hAnsiTheme="majorHAnsi" w:cstheme="majorHAnsi"/>
          <w:color w:val="808080" w:themeColor="background1" w:themeShade="80"/>
          <w:sz w:val="16"/>
          <w:szCs w:val="16"/>
        </w:rPr>
        <w:t xml:space="preserve"> no. 4);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IACHR, </w:t>
      </w:r>
      <w:hyperlink r:id="rId560" w:history="1">
        <w:r w:rsidRPr="001167CB">
          <w:rPr>
            <w:rStyle w:val="Hyperlink"/>
            <w:rFonts w:asciiTheme="majorHAnsi" w:hAnsiTheme="majorHAnsi" w:cstheme="majorHAnsi"/>
            <w:color w:val="808080" w:themeColor="background1" w:themeShade="80"/>
            <w:sz w:val="16"/>
            <w:szCs w:val="16"/>
          </w:rPr>
          <w:t>Citizen Security and Human Rights</w:t>
        </w:r>
      </w:hyperlink>
      <w:r w:rsidRPr="001167CB">
        <w:rPr>
          <w:rFonts w:asciiTheme="majorHAnsi" w:hAnsiTheme="majorHAnsi" w:cstheme="majorHAnsi"/>
          <w:color w:val="808080" w:themeColor="background1" w:themeShade="80"/>
          <w:sz w:val="16"/>
          <w:szCs w:val="16"/>
        </w:rPr>
        <w:t xml:space="preserve"> (2009), para. 116.</w:t>
      </w:r>
    </w:p>
  </w:footnote>
  <w:footnote w:id="459">
    <w:p w14:paraId="31408BE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61"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para. 10 (citation omitted)</w:t>
      </w:r>
    </w:p>
  </w:footnote>
  <w:footnote w:id="460">
    <w:p w14:paraId="1443C65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(citation omitted).</w:t>
      </w:r>
    </w:p>
  </w:footnote>
  <w:footnote w:id="461">
    <w:p w14:paraId="071D55B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at para. 12 (citation omitted). </w:t>
      </w:r>
    </w:p>
  </w:footnote>
  <w:footnote w:id="462">
    <w:p w14:paraId="0B6D4FD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(citing IACHR, </w:t>
      </w:r>
      <w:hyperlink r:id="rId562" w:history="1">
        <w:r w:rsidRPr="001167CB">
          <w:rPr>
            <w:rStyle w:val="Hyperlink"/>
            <w:rFonts w:asciiTheme="majorHAnsi" w:hAnsiTheme="majorHAnsi" w:cstheme="majorHAnsi"/>
            <w:color w:val="808080" w:themeColor="background1" w:themeShade="80"/>
            <w:sz w:val="16"/>
            <w:szCs w:val="16"/>
          </w:rPr>
          <w:t>Citizen Security and Human Rights</w:t>
        </w:r>
      </w:hyperlink>
      <w:r w:rsidRPr="001167CB">
        <w:rPr>
          <w:rFonts w:asciiTheme="majorHAnsi" w:hAnsiTheme="majorHAnsi" w:cstheme="majorHAnsi"/>
          <w:color w:val="808080" w:themeColor="background1" w:themeShade="80"/>
          <w:sz w:val="16"/>
          <w:szCs w:val="16"/>
        </w:rPr>
        <w:t xml:space="preserve"> (2009), para. 119).</w:t>
      </w:r>
    </w:p>
  </w:footnote>
  <w:footnote w:id="463">
    <w:p w14:paraId="7B9C3A6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(citing </w:t>
      </w:r>
      <w:hyperlink r:id="rId563" w:history="1">
        <w:r w:rsidRPr="001167CB">
          <w:rPr>
            <w:rStyle w:val="Hyperlink"/>
            <w:rFonts w:asciiTheme="majorHAnsi" w:hAnsiTheme="majorHAnsi" w:cstheme="majorHAnsi"/>
            <w:bCs/>
            <w:color w:val="808080" w:themeColor="background1" w:themeShade="80"/>
            <w:sz w:val="16"/>
            <w:szCs w:val="16"/>
          </w:rPr>
          <w:t>U.N. Basic Principles on the Use of Force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No. 9).</w:t>
      </w:r>
    </w:p>
  </w:footnote>
  <w:footnote w:id="464">
    <w:p w14:paraId="337958B6" w14:textId="77777777" w:rsidR="005C2394" w:rsidRPr="001167CB" w:rsidRDefault="005C2394" w:rsidP="002C64F8">
      <w:pPr>
        <w:spacing w:after="40" w:line="240" w:lineRule="auto"/>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564" w:history="1">
        <w:r w:rsidRPr="001167CB">
          <w:rPr>
            <w:rStyle w:val="Hyperlink"/>
            <w:rFonts w:asciiTheme="majorHAnsi" w:hAnsiTheme="majorHAnsi" w:cstheme="majorHAnsi"/>
            <w:bCs/>
            <w:color w:val="808080" w:themeColor="background1" w:themeShade="80"/>
            <w:sz w:val="16"/>
            <w:szCs w:val="16"/>
          </w:rPr>
          <w:t>U.N. Basic Principles on the Use of Force</w:t>
        </w:r>
      </w:hyperlink>
      <w:r w:rsidRPr="001167CB">
        <w:rPr>
          <w:rFonts w:asciiTheme="majorHAnsi" w:hAnsiTheme="majorHAnsi" w:cstheme="majorHAnsi"/>
          <w:bCs/>
          <w:color w:val="808080" w:themeColor="background1" w:themeShade="80"/>
          <w:sz w:val="16"/>
          <w:szCs w:val="16"/>
        </w:rPr>
        <w:t>,</w:t>
      </w:r>
      <w:r w:rsidRPr="001167CB">
        <w:rPr>
          <w:rFonts w:asciiTheme="majorHAnsi" w:hAnsiTheme="majorHAnsi" w:cstheme="majorHAnsi"/>
          <w:color w:val="808080" w:themeColor="background1" w:themeShade="80"/>
          <w:sz w:val="16"/>
          <w:szCs w:val="16"/>
        </w:rPr>
        <w:t xml:space="preserve"> No. 9.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United Nations, </w:t>
      </w:r>
      <w:hyperlink r:id="rId565" w:history="1">
        <w:r w:rsidRPr="001167CB">
          <w:rPr>
            <w:rStyle w:val="Hyperlink"/>
            <w:rFonts w:asciiTheme="majorHAnsi" w:hAnsiTheme="majorHAnsi" w:cstheme="majorHAnsi"/>
            <w:color w:val="808080" w:themeColor="background1" w:themeShade="80"/>
            <w:sz w:val="16"/>
            <w:szCs w:val="16"/>
          </w:rPr>
          <w:t>Report of the Special Rapporteur on extrajudicial, summary or arbitrary executions</w:t>
        </w:r>
      </w:hyperlink>
      <w:r w:rsidRPr="001167CB">
        <w:rPr>
          <w:rFonts w:asciiTheme="majorHAnsi" w:hAnsiTheme="majorHAnsi" w:cstheme="majorHAnsi"/>
          <w:color w:val="808080" w:themeColor="background1" w:themeShade="80"/>
          <w:sz w:val="16"/>
          <w:szCs w:val="16"/>
        </w:rPr>
        <w:t>, Philip Alston, Study on police oversight mechanisms, A/HRC/14/2/Ad 6, May 28, 2010.</w:t>
      </w:r>
    </w:p>
  </w:footnote>
  <w:footnote w:id="465">
    <w:p w14:paraId="514D091F" w14:textId="77777777" w:rsidR="005C2394" w:rsidRPr="001167CB" w:rsidRDefault="005C2394" w:rsidP="002C64F8">
      <w:pPr>
        <w:spacing w:after="40" w:line="240" w:lineRule="auto"/>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United Nations, Report of the Special Rapporteur on extrajudicial, summary or arbitrary executions, Philip Alston, Study on police oversight mechanisms, A/HRC/14/2/Ad 6, May 28, 2010.</w:t>
      </w:r>
    </w:p>
  </w:footnote>
  <w:footnote w:id="466">
    <w:p w14:paraId="1363BD49" w14:textId="77777777" w:rsidR="005C2394" w:rsidRPr="001167CB" w:rsidRDefault="005C2394" w:rsidP="00C91E4F">
      <w:pPr>
        <w:pStyle w:val="FootnoteText"/>
        <w:spacing w:after="40"/>
        <w:ind w:left="547"/>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 xml:space="preserve">IACHR. </w:t>
      </w:r>
      <w:hyperlink r:id="rId566" w:history="1">
        <w:r w:rsidRPr="001167CB">
          <w:rPr>
            <w:rStyle w:val="Hyperlink"/>
            <w:rFonts w:asciiTheme="majorHAnsi" w:hAnsiTheme="majorHAnsi" w:cstheme="majorHAnsi"/>
            <w:color w:val="808080" w:themeColor="background1" w:themeShade="80"/>
            <w:sz w:val="16"/>
            <w:szCs w:val="16"/>
          </w:rPr>
          <w:t>Hearing on Social protest and human rights in the Americas</w:t>
        </w:r>
      </w:hyperlink>
      <w:r w:rsidRPr="001167CB">
        <w:rPr>
          <w:rFonts w:asciiTheme="majorHAnsi" w:hAnsiTheme="majorHAnsi" w:cstheme="majorHAnsi"/>
          <w:color w:val="808080" w:themeColor="background1" w:themeShade="80"/>
          <w:sz w:val="16"/>
          <w:szCs w:val="16"/>
        </w:rPr>
        <w:t xml:space="preserve">, 154th regular period of sessions, Mar. 16, 2015; </w:t>
      </w:r>
      <w:r w:rsidRPr="001167CB">
        <w:rPr>
          <w:rFonts w:asciiTheme="majorHAnsi" w:hAnsiTheme="majorHAnsi" w:cstheme="majorHAnsi"/>
          <w:i/>
          <w:color w:val="808080" w:themeColor="background1" w:themeShade="80"/>
          <w:sz w:val="16"/>
          <w:szCs w:val="16"/>
        </w:rPr>
        <w:t xml:space="preserve">see also </w:t>
      </w:r>
      <w:r w:rsidRPr="001167CB">
        <w:rPr>
          <w:rFonts w:asciiTheme="majorHAnsi" w:hAnsiTheme="majorHAnsi" w:cstheme="majorHAnsi"/>
          <w:color w:val="808080" w:themeColor="background1" w:themeShade="80"/>
          <w:sz w:val="16"/>
          <w:szCs w:val="16"/>
        </w:rPr>
        <w:t xml:space="preserve">IACHR, </w:t>
      </w:r>
      <w:hyperlink r:id="rId567"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para. 19.</w:t>
      </w:r>
    </w:p>
  </w:footnote>
  <w:footnote w:id="467">
    <w:p w14:paraId="746156E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568" w:history="1">
        <w:r w:rsidRPr="001167CB">
          <w:rPr>
            <w:rStyle w:val="Hyperlink"/>
            <w:rFonts w:asciiTheme="majorHAnsi" w:hAnsiTheme="majorHAnsi" w:cstheme="majorHAnsi"/>
            <w:bCs/>
            <w:color w:val="808080" w:themeColor="background1" w:themeShade="80"/>
            <w:sz w:val="16"/>
            <w:szCs w:val="16"/>
          </w:rPr>
          <w:t>Human Rights of Migrants and Other Persons in the Context of Human Mobility in Mexico</w:t>
        </w:r>
      </w:hyperlink>
      <w:r w:rsidRPr="001167CB">
        <w:rPr>
          <w:rFonts w:asciiTheme="majorHAnsi" w:hAnsiTheme="majorHAnsi" w:cstheme="majorHAnsi"/>
          <w:bCs/>
          <w:color w:val="808080" w:themeColor="background1" w:themeShade="80"/>
          <w:sz w:val="16"/>
          <w:szCs w:val="16"/>
        </w:rPr>
        <w:t>, OEA/</w:t>
      </w:r>
      <w:proofErr w:type="spellStart"/>
      <w:r w:rsidRPr="001167CB">
        <w:rPr>
          <w:rFonts w:asciiTheme="majorHAnsi" w:hAnsiTheme="majorHAnsi" w:cstheme="majorHAnsi"/>
          <w:bCs/>
          <w:color w:val="808080" w:themeColor="background1" w:themeShade="80"/>
          <w:sz w:val="16"/>
          <w:szCs w:val="16"/>
        </w:rPr>
        <w:t>Ser.L</w:t>
      </w:r>
      <w:proofErr w:type="spellEnd"/>
      <w:r w:rsidRPr="001167CB">
        <w:rPr>
          <w:rFonts w:asciiTheme="majorHAnsi" w:hAnsiTheme="majorHAnsi" w:cstheme="majorHAnsi"/>
          <w:bCs/>
          <w:color w:val="808080" w:themeColor="background1" w:themeShade="80"/>
          <w:sz w:val="16"/>
          <w:szCs w:val="16"/>
        </w:rPr>
        <w:t>/V/II, Doc. 48/13 (2013)</w:t>
      </w:r>
      <w:r w:rsidRPr="001167CB">
        <w:rPr>
          <w:rFonts w:asciiTheme="majorHAnsi" w:hAnsiTheme="majorHAnsi" w:cstheme="majorHAnsi"/>
          <w:color w:val="808080" w:themeColor="background1" w:themeShade="80"/>
          <w:sz w:val="16"/>
          <w:szCs w:val="16"/>
        </w:rPr>
        <w:t xml:space="preserve">, para. 333 (citing </w:t>
      </w:r>
      <w:proofErr w:type="gramStart"/>
      <w:r w:rsidRPr="001167CB">
        <w:rPr>
          <w:rFonts w:asciiTheme="majorHAnsi" w:hAnsiTheme="majorHAnsi" w:cstheme="majorHAnsi"/>
          <w:color w:val="808080" w:themeColor="background1" w:themeShade="80"/>
          <w:sz w:val="16"/>
          <w:szCs w:val="16"/>
        </w:rPr>
        <w:t>I/A</w:t>
      </w:r>
      <w:proofErr w:type="gramEnd"/>
      <w:r w:rsidRPr="001167CB">
        <w:rPr>
          <w:rFonts w:asciiTheme="majorHAnsi" w:hAnsiTheme="majorHAnsi" w:cstheme="majorHAnsi"/>
          <w:color w:val="808080" w:themeColor="background1" w:themeShade="80"/>
          <w:sz w:val="16"/>
          <w:szCs w:val="16"/>
        </w:rPr>
        <w:t xml:space="preserve"> Court H. R</w:t>
      </w:r>
      <w:r w:rsidRPr="001167CB">
        <w:rPr>
          <w:rFonts w:asciiTheme="majorHAnsi" w:hAnsiTheme="majorHAnsi" w:cstheme="majorHAnsi"/>
          <w:i/>
          <w:color w:val="808080" w:themeColor="background1" w:themeShade="80"/>
          <w:sz w:val="16"/>
          <w:szCs w:val="16"/>
        </w:rPr>
        <w:t>., “</w:t>
      </w:r>
      <w:proofErr w:type="spellStart"/>
      <w:r w:rsidRPr="001167CB">
        <w:rPr>
          <w:rFonts w:asciiTheme="majorHAnsi" w:hAnsiTheme="majorHAnsi" w:cstheme="majorHAnsi"/>
          <w:i/>
          <w:color w:val="808080" w:themeColor="background1" w:themeShade="80"/>
          <w:sz w:val="16"/>
          <w:szCs w:val="16"/>
        </w:rPr>
        <w:t>Mapiripán</w:t>
      </w:r>
      <w:proofErr w:type="spellEnd"/>
      <w:r w:rsidRPr="001167CB">
        <w:rPr>
          <w:rFonts w:asciiTheme="majorHAnsi" w:hAnsiTheme="majorHAnsi" w:cstheme="majorHAnsi"/>
          <w:i/>
          <w:color w:val="808080" w:themeColor="background1" w:themeShade="80"/>
          <w:sz w:val="16"/>
          <w:szCs w:val="16"/>
        </w:rPr>
        <w:t xml:space="preserve"> Massacre” v. Colombia</w:t>
      </w:r>
      <w:r w:rsidRPr="001167CB">
        <w:rPr>
          <w:rFonts w:asciiTheme="majorHAnsi" w:hAnsiTheme="majorHAnsi" w:cstheme="majorHAnsi"/>
          <w:color w:val="808080" w:themeColor="background1" w:themeShade="80"/>
          <w:sz w:val="16"/>
          <w:szCs w:val="16"/>
        </w:rPr>
        <w:t xml:space="preserve">. Judgment of Sept. 15, 2005. Series C No. 134, para. 108; I/A Court H. R., </w:t>
      </w:r>
      <w:r w:rsidRPr="001167CB">
        <w:rPr>
          <w:rFonts w:asciiTheme="majorHAnsi" w:hAnsiTheme="majorHAnsi" w:cstheme="majorHAnsi"/>
          <w:i/>
          <w:color w:val="808080" w:themeColor="background1" w:themeShade="80"/>
          <w:sz w:val="16"/>
          <w:szCs w:val="16"/>
        </w:rPr>
        <w:t>“Massacre of Pueblo Bello” v. Colombia</w:t>
      </w:r>
      <w:r w:rsidRPr="001167CB">
        <w:rPr>
          <w:rFonts w:asciiTheme="majorHAnsi" w:hAnsiTheme="majorHAnsi" w:cstheme="majorHAnsi"/>
          <w:color w:val="808080" w:themeColor="background1" w:themeShade="80"/>
          <w:sz w:val="16"/>
          <w:szCs w:val="16"/>
        </w:rPr>
        <w:t>. Judgment of Jan. 31, 2006. Series C No. 140, para. 111).</w:t>
      </w:r>
    </w:p>
  </w:footnote>
  <w:footnote w:id="468">
    <w:p w14:paraId="554F133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(citing IACHR, </w:t>
      </w:r>
      <w:hyperlink r:id="rId569" w:history="1">
        <w:r w:rsidRPr="001167CB">
          <w:rPr>
            <w:rStyle w:val="Hyperlink"/>
            <w:rFonts w:asciiTheme="majorHAnsi" w:hAnsiTheme="majorHAnsi" w:cstheme="majorHAnsi"/>
            <w:color w:val="808080" w:themeColor="background1" w:themeShade="80"/>
            <w:sz w:val="16"/>
            <w:szCs w:val="16"/>
          </w:rPr>
          <w:t>Citizen Security and Human Rights</w:t>
        </w:r>
      </w:hyperlink>
      <w:r w:rsidRPr="001167CB">
        <w:rPr>
          <w:rFonts w:asciiTheme="majorHAnsi" w:hAnsiTheme="majorHAnsi" w:cstheme="majorHAnsi"/>
          <w:color w:val="808080" w:themeColor="background1" w:themeShade="80"/>
          <w:sz w:val="16"/>
          <w:szCs w:val="16"/>
        </w:rPr>
        <w:t xml:space="preserve"> (2009), para. 39).</w:t>
      </w:r>
    </w:p>
  </w:footnote>
  <w:footnote w:id="469">
    <w:p w14:paraId="55A1DDCE" w14:textId="0A9224BE"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5C2394">
        <w:rPr>
          <w:rFonts w:asciiTheme="majorHAnsi" w:hAnsiTheme="majorHAnsi" w:cstheme="majorHAnsi"/>
          <w:color w:val="808080" w:themeColor="background1" w:themeShade="80"/>
          <w:sz w:val="16"/>
          <w:szCs w:val="16"/>
        </w:rPr>
        <w:t xml:space="preserve"> </w:t>
      </w:r>
      <w:r w:rsidRPr="005C2394">
        <w:rPr>
          <w:rFonts w:asciiTheme="majorHAnsi" w:hAnsiTheme="majorHAnsi" w:cstheme="majorHAnsi"/>
          <w:color w:val="808080" w:themeColor="background1" w:themeShade="80"/>
          <w:sz w:val="16"/>
          <w:szCs w:val="16"/>
        </w:rPr>
        <w:tab/>
        <w:t xml:space="preserve">IACHR, Report No. 80/11, </w:t>
      </w:r>
      <w:hyperlink r:id="rId570" w:history="1">
        <w:r w:rsidRPr="005C2394">
          <w:rPr>
            <w:rStyle w:val="Hyperlink"/>
            <w:rFonts w:asciiTheme="majorHAnsi" w:hAnsiTheme="majorHAnsi" w:cstheme="majorHAnsi"/>
            <w:i/>
            <w:color w:val="808080" w:themeColor="background1" w:themeShade="80"/>
            <w:sz w:val="16"/>
            <w:szCs w:val="16"/>
          </w:rPr>
          <w:t xml:space="preserve">Jessica </w:t>
        </w:r>
        <w:proofErr w:type="spellStart"/>
        <w:r w:rsidRPr="005C2394">
          <w:rPr>
            <w:rStyle w:val="Hyperlink"/>
            <w:rFonts w:asciiTheme="majorHAnsi" w:hAnsiTheme="majorHAnsi" w:cstheme="majorHAnsi"/>
            <w:i/>
            <w:color w:val="808080" w:themeColor="background1" w:themeShade="80"/>
            <w:sz w:val="16"/>
            <w:szCs w:val="16"/>
          </w:rPr>
          <w:t>Lenahan</w:t>
        </w:r>
        <w:proofErr w:type="spellEnd"/>
      </w:hyperlink>
      <w:r w:rsidRPr="005C2394">
        <w:rPr>
          <w:rFonts w:asciiTheme="majorHAnsi" w:hAnsiTheme="majorHAnsi" w:cstheme="majorHAnsi"/>
          <w:color w:val="808080" w:themeColor="background1" w:themeShade="80"/>
          <w:sz w:val="16"/>
          <w:szCs w:val="16"/>
        </w:rPr>
        <w:t xml:space="preserve"> (2011), para. </w:t>
      </w:r>
      <w:r w:rsidRPr="001167CB">
        <w:rPr>
          <w:rFonts w:asciiTheme="majorHAnsi" w:hAnsiTheme="majorHAnsi" w:cstheme="majorHAnsi"/>
          <w:color w:val="808080" w:themeColor="background1" w:themeShade="80"/>
          <w:sz w:val="16"/>
          <w:szCs w:val="16"/>
        </w:rPr>
        <w:t>125, 128</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U.N., </w:t>
      </w:r>
      <w:r w:rsidRPr="001167CB">
        <w:rPr>
          <w:rFonts w:asciiTheme="majorHAnsi" w:hAnsiTheme="majorHAnsi" w:cstheme="majorHAnsi"/>
          <w:i/>
          <w:color w:val="808080" w:themeColor="background1" w:themeShade="80"/>
          <w:sz w:val="16"/>
          <w:szCs w:val="16"/>
        </w:rPr>
        <w:t xml:space="preserve">Durban Declaration and </w:t>
      </w:r>
      <w:proofErr w:type="spellStart"/>
      <w:r w:rsidRPr="001167CB">
        <w:rPr>
          <w:rFonts w:asciiTheme="majorHAnsi" w:hAnsiTheme="majorHAnsi" w:cstheme="majorHAnsi"/>
          <w:i/>
          <w:color w:val="808080" w:themeColor="background1" w:themeShade="80"/>
          <w:sz w:val="16"/>
          <w:szCs w:val="16"/>
        </w:rPr>
        <w:t>Programme</w:t>
      </w:r>
      <w:proofErr w:type="spellEnd"/>
      <w:r w:rsidRPr="001167CB">
        <w:rPr>
          <w:rFonts w:asciiTheme="majorHAnsi" w:hAnsiTheme="majorHAnsi" w:cstheme="majorHAnsi"/>
          <w:i/>
          <w:color w:val="808080" w:themeColor="background1" w:themeShade="80"/>
          <w:sz w:val="16"/>
          <w:szCs w:val="16"/>
        </w:rPr>
        <w:t xml:space="preserve"> of Action</w:t>
      </w:r>
      <w:r w:rsidRPr="001167CB">
        <w:rPr>
          <w:rFonts w:asciiTheme="majorHAnsi" w:hAnsiTheme="majorHAnsi" w:cstheme="majorHAnsi"/>
          <w:color w:val="808080" w:themeColor="background1" w:themeShade="80"/>
          <w:sz w:val="16"/>
          <w:szCs w:val="16"/>
        </w:rPr>
        <w:t xml:space="preserve"> (adopted at the 2001 World Conference </w:t>
      </w:r>
      <w:proofErr w:type="gramStart"/>
      <w:r w:rsidRPr="001167CB">
        <w:rPr>
          <w:rFonts w:asciiTheme="majorHAnsi" w:hAnsiTheme="majorHAnsi" w:cstheme="majorHAnsi"/>
          <w:color w:val="808080" w:themeColor="background1" w:themeShade="80"/>
          <w:sz w:val="16"/>
          <w:szCs w:val="16"/>
        </w:rPr>
        <w:t>Against</w:t>
      </w:r>
      <w:proofErr w:type="gramEnd"/>
      <w:r w:rsidRPr="001167CB">
        <w:rPr>
          <w:rFonts w:asciiTheme="majorHAnsi" w:hAnsiTheme="majorHAnsi" w:cstheme="majorHAnsi"/>
          <w:color w:val="808080" w:themeColor="background1" w:themeShade="80"/>
          <w:sz w:val="16"/>
          <w:szCs w:val="16"/>
        </w:rPr>
        <w:t xml:space="preserve"> Racism), para. 104; </w:t>
      </w:r>
      <w:r w:rsidRPr="001167CB">
        <w:rPr>
          <w:rFonts w:asciiTheme="majorHAnsi" w:hAnsiTheme="majorHAnsi" w:cstheme="majorHAnsi"/>
          <w:i/>
          <w:color w:val="808080" w:themeColor="background1" w:themeShade="80"/>
          <w:sz w:val="16"/>
          <w:szCs w:val="16"/>
        </w:rPr>
        <w:t>International Convention on the Elimination of All Forms of Racial Discrimination</w:t>
      </w:r>
      <w:r w:rsidRPr="001167CB">
        <w:rPr>
          <w:rFonts w:asciiTheme="majorHAnsi" w:hAnsiTheme="majorHAnsi" w:cstheme="majorHAnsi"/>
          <w:color w:val="808080" w:themeColor="background1" w:themeShade="80"/>
          <w:sz w:val="16"/>
          <w:szCs w:val="16"/>
        </w:rPr>
        <w:t xml:space="preserve">, adopted and opened for signature and ratification by General Assembly Resolution 2106 (XX) of Dec. 21, 1965.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as reference, I/A Ct. H.R.</w:t>
      </w:r>
      <w:r w:rsidRPr="001167CB">
        <w:rPr>
          <w:rFonts w:asciiTheme="majorHAnsi" w:hAnsiTheme="majorHAnsi" w:cstheme="majorHAnsi"/>
          <w:i/>
          <w:color w:val="808080" w:themeColor="background1" w:themeShade="80"/>
          <w:sz w:val="16"/>
          <w:szCs w:val="16"/>
        </w:rPr>
        <w:t xml:space="preserve"> </w:t>
      </w:r>
      <w:proofErr w:type="spellStart"/>
      <w:r w:rsidRPr="001167CB">
        <w:rPr>
          <w:rFonts w:asciiTheme="majorHAnsi" w:hAnsiTheme="majorHAnsi" w:cstheme="majorHAnsi"/>
          <w:i/>
          <w:color w:val="808080" w:themeColor="background1" w:themeShade="80"/>
          <w:sz w:val="16"/>
          <w:szCs w:val="16"/>
        </w:rPr>
        <w:t>Velásquez</w:t>
      </w:r>
      <w:proofErr w:type="spellEnd"/>
      <w:r w:rsidRPr="001167CB">
        <w:rPr>
          <w:rFonts w:asciiTheme="majorHAnsi" w:hAnsiTheme="majorHAnsi" w:cstheme="majorHAnsi"/>
          <w:i/>
          <w:color w:val="808080" w:themeColor="background1" w:themeShade="80"/>
          <w:sz w:val="16"/>
          <w:szCs w:val="16"/>
        </w:rPr>
        <w:t xml:space="preserve"> Rodríguez v. Honduras. </w:t>
      </w:r>
      <w:r w:rsidRPr="001167CB">
        <w:rPr>
          <w:rFonts w:asciiTheme="majorHAnsi" w:hAnsiTheme="majorHAnsi" w:cstheme="majorHAnsi"/>
          <w:color w:val="808080" w:themeColor="background1" w:themeShade="80"/>
          <w:sz w:val="16"/>
          <w:szCs w:val="16"/>
        </w:rPr>
        <w:t xml:space="preserve">Reparations and Costs. </w:t>
      </w:r>
      <w:proofErr w:type="spellStart"/>
      <w:r w:rsidRPr="001167CB">
        <w:rPr>
          <w:rFonts w:asciiTheme="majorHAnsi" w:hAnsiTheme="majorHAnsi" w:cstheme="majorHAnsi"/>
          <w:color w:val="808080" w:themeColor="background1" w:themeShade="80"/>
          <w:sz w:val="16"/>
          <w:szCs w:val="16"/>
          <w:lang w:val="es-US"/>
        </w:rPr>
        <w:t>Judgment</w:t>
      </w:r>
      <w:proofErr w:type="spellEnd"/>
      <w:r w:rsidRPr="001167CB">
        <w:rPr>
          <w:rFonts w:asciiTheme="majorHAnsi" w:hAnsiTheme="majorHAnsi" w:cstheme="majorHAnsi"/>
          <w:color w:val="808080" w:themeColor="background1" w:themeShade="80"/>
          <w:sz w:val="16"/>
          <w:szCs w:val="16"/>
          <w:lang w:val="es-US"/>
        </w:rPr>
        <w:t xml:space="preserve"> of </w:t>
      </w:r>
      <w:proofErr w:type="spellStart"/>
      <w:r w:rsidRPr="001167CB">
        <w:rPr>
          <w:rFonts w:asciiTheme="majorHAnsi" w:hAnsiTheme="majorHAnsi" w:cstheme="majorHAnsi"/>
          <w:color w:val="808080" w:themeColor="background1" w:themeShade="80"/>
          <w:sz w:val="16"/>
          <w:szCs w:val="16"/>
          <w:lang w:val="es-US"/>
        </w:rPr>
        <w:t>July</w:t>
      </w:r>
      <w:proofErr w:type="spellEnd"/>
      <w:r w:rsidRPr="001167CB">
        <w:rPr>
          <w:rFonts w:asciiTheme="majorHAnsi" w:hAnsiTheme="majorHAnsi" w:cstheme="majorHAnsi"/>
          <w:color w:val="808080" w:themeColor="background1" w:themeShade="80"/>
          <w:sz w:val="16"/>
          <w:szCs w:val="16"/>
          <w:lang w:val="es-US"/>
        </w:rPr>
        <w:t xml:space="preserve"> 21, 1989. Series C No. 7, para. 166 [</w:t>
      </w:r>
      <w:proofErr w:type="spellStart"/>
      <w:r w:rsidRPr="001167CB">
        <w:rPr>
          <w:rFonts w:asciiTheme="majorHAnsi" w:hAnsiTheme="majorHAnsi" w:cstheme="majorHAnsi"/>
          <w:color w:val="808080" w:themeColor="background1" w:themeShade="80"/>
          <w:sz w:val="16"/>
          <w:szCs w:val="16"/>
          <w:lang w:val="es-US"/>
        </w:rPr>
        <w:t>hereinafter</w:t>
      </w:r>
      <w:proofErr w:type="spellEnd"/>
      <w:r w:rsidRPr="001167CB">
        <w:rPr>
          <w:rFonts w:asciiTheme="majorHAnsi" w:hAnsiTheme="majorHAnsi" w:cstheme="majorHAnsi"/>
          <w:color w:val="808080" w:themeColor="background1" w:themeShade="80"/>
          <w:sz w:val="16"/>
          <w:szCs w:val="16"/>
          <w:lang w:val="es-US"/>
        </w:rPr>
        <w:t xml:space="preserve"> “I/A </w:t>
      </w:r>
      <w:proofErr w:type="spellStart"/>
      <w:r w:rsidRPr="001167CB">
        <w:rPr>
          <w:rFonts w:asciiTheme="majorHAnsi" w:hAnsiTheme="majorHAnsi" w:cstheme="majorHAnsi"/>
          <w:color w:val="808080" w:themeColor="background1" w:themeShade="80"/>
          <w:sz w:val="16"/>
          <w:szCs w:val="16"/>
          <w:lang w:val="es-US"/>
        </w:rPr>
        <w:t>Ct</w:t>
      </w:r>
      <w:proofErr w:type="spellEnd"/>
      <w:r w:rsidRPr="001167CB">
        <w:rPr>
          <w:rFonts w:asciiTheme="majorHAnsi" w:hAnsiTheme="majorHAnsi" w:cstheme="majorHAnsi"/>
          <w:color w:val="808080" w:themeColor="background1" w:themeShade="80"/>
          <w:sz w:val="16"/>
          <w:szCs w:val="16"/>
          <w:lang w:val="es-US"/>
        </w:rPr>
        <w:t xml:space="preserve">. H.R., </w:t>
      </w:r>
      <w:r w:rsidRPr="001167CB">
        <w:rPr>
          <w:rFonts w:asciiTheme="majorHAnsi" w:hAnsiTheme="majorHAnsi" w:cstheme="majorHAnsi"/>
          <w:i/>
          <w:color w:val="808080" w:themeColor="background1" w:themeShade="80"/>
          <w:sz w:val="16"/>
          <w:szCs w:val="16"/>
          <w:lang w:val="es-US"/>
        </w:rPr>
        <w:t>Velásquez Rodríguez</w:t>
      </w:r>
      <w:r w:rsidRPr="001167CB">
        <w:rPr>
          <w:rFonts w:asciiTheme="majorHAnsi" w:hAnsiTheme="majorHAnsi" w:cstheme="majorHAnsi"/>
          <w:color w:val="808080" w:themeColor="background1" w:themeShade="80"/>
          <w:sz w:val="16"/>
          <w:szCs w:val="16"/>
          <w:lang w:val="es-US"/>
        </w:rPr>
        <w:t xml:space="preserve">, Ser. C No. 7 (1989)”]; </w:t>
      </w:r>
      <w:r w:rsidRPr="001167CB">
        <w:rPr>
          <w:rFonts w:asciiTheme="majorHAnsi" w:hAnsiTheme="majorHAnsi" w:cstheme="majorHAnsi"/>
          <w:bCs/>
          <w:color w:val="808080" w:themeColor="background1" w:themeShade="80"/>
          <w:sz w:val="16"/>
          <w:szCs w:val="16"/>
          <w:lang w:val="es-US"/>
        </w:rPr>
        <w:t xml:space="preserve">I/A </w:t>
      </w:r>
      <w:proofErr w:type="spellStart"/>
      <w:r w:rsidRPr="001167CB">
        <w:rPr>
          <w:rFonts w:asciiTheme="majorHAnsi" w:hAnsiTheme="majorHAnsi" w:cstheme="majorHAnsi"/>
          <w:bCs/>
          <w:color w:val="808080" w:themeColor="background1" w:themeShade="80"/>
          <w:sz w:val="16"/>
          <w:szCs w:val="16"/>
          <w:lang w:val="es-US"/>
        </w:rPr>
        <w:t>Ct</w:t>
      </w:r>
      <w:proofErr w:type="spellEnd"/>
      <w:r w:rsidRPr="001167CB">
        <w:rPr>
          <w:rFonts w:asciiTheme="majorHAnsi" w:hAnsiTheme="majorHAnsi" w:cstheme="majorHAnsi"/>
          <w:bCs/>
          <w:color w:val="808080" w:themeColor="background1" w:themeShade="80"/>
          <w:sz w:val="16"/>
          <w:szCs w:val="16"/>
          <w:lang w:val="es-US"/>
        </w:rPr>
        <w:t xml:space="preserve">. H.R. </w:t>
      </w:r>
      <w:r w:rsidRPr="001167CB">
        <w:rPr>
          <w:rFonts w:asciiTheme="majorHAnsi" w:hAnsiTheme="majorHAnsi" w:cstheme="majorHAnsi"/>
          <w:bCs/>
          <w:i/>
          <w:color w:val="808080" w:themeColor="background1" w:themeShade="80"/>
          <w:sz w:val="16"/>
          <w:szCs w:val="16"/>
          <w:lang w:val="es-US"/>
        </w:rPr>
        <w:t xml:space="preserve">González et al. </w:t>
      </w:r>
      <w:r w:rsidRPr="001167CB">
        <w:rPr>
          <w:rFonts w:asciiTheme="majorHAnsi" w:hAnsiTheme="majorHAnsi" w:cstheme="majorHAnsi"/>
          <w:bCs/>
          <w:i/>
          <w:color w:val="808080" w:themeColor="background1" w:themeShade="80"/>
          <w:sz w:val="16"/>
          <w:szCs w:val="16"/>
        </w:rPr>
        <w:t>(“Cotton Field”) v. Mexico</w:t>
      </w:r>
      <w:r w:rsidRPr="001167CB">
        <w:rPr>
          <w:rFonts w:asciiTheme="majorHAnsi" w:hAnsiTheme="majorHAnsi" w:cstheme="majorHAnsi"/>
          <w:bCs/>
          <w:color w:val="808080" w:themeColor="background1" w:themeShade="80"/>
          <w:sz w:val="16"/>
          <w:szCs w:val="16"/>
        </w:rPr>
        <w:t xml:space="preserve">. Preliminary Objection, Merits, Reparations, and Costs. Judgment of </w:t>
      </w:r>
      <w:r w:rsidRPr="001167CB">
        <w:rPr>
          <w:rFonts w:asciiTheme="majorHAnsi" w:hAnsiTheme="majorHAnsi" w:cstheme="majorHAnsi"/>
          <w:color w:val="808080" w:themeColor="background1" w:themeShade="80"/>
          <w:sz w:val="16"/>
          <w:szCs w:val="16"/>
        </w:rPr>
        <w:t xml:space="preserve">Nov. </w:t>
      </w:r>
      <w:r w:rsidRPr="001167CB">
        <w:rPr>
          <w:rFonts w:asciiTheme="majorHAnsi" w:hAnsiTheme="majorHAnsi" w:cstheme="majorHAnsi"/>
          <w:bCs/>
          <w:color w:val="808080" w:themeColor="background1" w:themeShade="80"/>
          <w:sz w:val="16"/>
          <w:szCs w:val="16"/>
        </w:rPr>
        <w:t>16, 2009. Series C No. 205</w:t>
      </w:r>
      <w:r w:rsidRPr="001167CB">
        <w:rPr>
          <w:rFonts w:asciiTheme="majorHAnsi" w:hAnsiTheme="majorHAnsi" w:cstheme="majorHAnsi"/>
          <w:color w:val="808080" w:themeColor="background1" w:themeShade="80"/>
          <w:sz w:val="16"/>
          <w:szCs w:val="16"/>
        </w:rPr>
        <w:t xml:space="preserve">, para. 236 [hereinafter “I/A Ct. H.R., </w:t>
      </w:r>
      <w:r w:rsidRPr="001167CB">
        <w:rPr>
          <w:rFonts w:asciiTheme="majorHAnsi" w:hAnsiTheme="majorHAnsi" w:cstheme="majorHAnsi"/>
          <w:i/>
          <w:color w:val="808080" w:themeColor="background1" w:themeShade="80"/>
          <w:sz w:val="16"/>
          <w:szCs w:val="16"/>
        </w:rPr>
        <w:t>Cotton Field</w:t>
      </w:r>
      <w:r w:rsidRPr="001167CB">
        <w:rPr>
          <w:rFonts w:asciiTheme="majorHAnsi" w:hAnsiTheme="majorHAnsi" w:cstheme="majorHAnsi"/>
          <w:color w:val="808080" w:themeColor="background1" w:themeShade="80"/>
          <w:sz w:val="16"/>
          <w:szCs w:val="16"/>
        </w:rPr>
        <w:t xml:space="preserve">, Series C No. 205 (2009)”]; IACHR, Report Nº 28/07, Cases 12.496-12.498, </w:t>
      </w:r>
      <w:r w:rsidRPr="001167CB">
        <w:rPr>
          <w:rFonts w:asciiTheme="majorHAnsi" w:hAnsiTheme="majorHAnsi" w:cstheme="majorHAnsi"/>
          <w:i/>
          <w:color w:val="808080" w:themeColor="background1" w:themeShade="80"/>
          <w:sz w:val="16"/>
          <w:szCs w:val="16"/>
        </w:rPr>
        <w:t>Claudia Ivette Gonzalez and Others</w:t>
      </w:r>
      <w:r w:rsidRPr="001167CB">
        <w:rPr>
          <w:rFonts w:asciiTheme="majorHAnsi" w:hAnsiTheme="majorHAnsi" w:cstheme="majorHAnsi"/>
          <w:color w:val="808080" w:themeColor="background1" w:themeShade="80"/>
          <w:sz w:val="16"/>
          <w:szCs w:val="16"/>
        </w:rPr>
        <w:t xml:space="preserve"> (Mexico), Mar. 9, 2007, paras. 160-255 [hereinafter “Report No. 28/07, </w:t>
      </w:r>
      <w:r w:rsidRPr="001167CB">
        <w:rPr>
          <w:rFonts w:asciiTheme="majorHAnsi" w:hAnsiTheme="majorHAnsi" w:cstheme="majorHAnsi"/>
          <w:i/>
          <w:color w:val="808080" w:themeColor="background1" w:themeShade="80"/>
          <w:sz w:val="16"/>
          <w:szCs w:val="16"/>
        </w:rPr>
        <w:t>Gonzalez et al.</w:t>
      </w:r>
      <w:r w:rsidRPr="001167CB">
        <w:rPr>
          <w:rFonts w:asciiTheme="majorHAnsi" w:hAnsiTheme="majorHAnsi" w:cstheme="majorHAnsi"/>
          <w:color w:val="808080" w:themeColor="background1" w:themeShade="80"/>
          <w:sz w:val="16"/>
          <w:szCs w:val="16"/>
        </w:rPr>
        <w:t xml:space="preserve"> (2007)”];</w:t>
      </w:r>
    </w:p>
  </w:footnote>
  <w:footnote w:id="470">
    <w:p w14:paraId="3DC70F1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e.g.</w:t>
      </w:r>
      <w:r w:rsidRPr="001167CB">
        <w:rPr>
          <w:rFonts w:asciiTheme="majorHAnsi" w:hAnsiTheme="majorHAnsi" w:cstheme="majorHAnsi"/>
          <w:color w:val="808080" w:themeColor="background1" w:themeShade="80"/>
          <w:sz w:val="16"/>
          <w:szCs w:val="16"/>
        </w:rPr>
        <w:t xml:space="preserve">, Human Rights Comm., </w:t>
      </w:r>
      <w:hyperlink r:id="rId571" w:history="1">
        <w:r w:rsidRPr="001167CB">
          <w:rPr>
            <w:rStyle w:val="Hyperlink"/>
            <w:rFonts w:asciiTheme="majorHAnsi" w:hAnsiTheme="majorHAnsi" w:cstheme="majorHAnsi"/>
            <w:i/>
            <w:color w:val="808080" w:themeColor="background1" w:themeShade="80"/>
            <w:sz w:val="16"/>
            <w:szCs w:val="16"/>
          </w:rPr>
          <w:t>Concluding Observations of the Human Rights Committee: United States of America</w:t>
        </w:r>
        <w:r w:rsidRPr="001167CB">
          <w:rPr>
            <w:rStyle w:val="Hyperlink"/>
            <w:rFonts w:asciiTheme="majorHAnsi" w:hAnsiTheme="majorHAnsi" w:cstheme="majorHAnsi"/>
            <w:color w:val="808080" w:themeColor="background1" w:themeShade="80"/>
            <w:sz w:val="16"/>
            <w:szCs w:val="16"/>
          </w:rPr>
          <w:t>, U.N. Doc. CCPR/C/79/Add.50, A/50/40,</w:t>
        </w:r>
      </w:hyperlink>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bCs/>
          <w:color w:val="808080" w:themeColor="background1" w:themeShade="80"/>
          <w:sz w:val="16"/>
          <w:szCs w:val="16"/>
        </w:rPr>
        <w:t xml:space="preserve">Oct. </w:t>
      </w:r>
      <w:r w:rsidRPr="001167CB">
        <w:rPr>
          <w:rFonts w:asciiTheme="majorHAnsi" w:hAnsiTheme="majorHAnsi" w:cstheme="majorHAnsi"/>
          <w:color w:val="808080" w:themeColor="background1" w:themeShade="80"/>
          <w:sz w:val="16"/>
          <w:szCs w:val="16"/>
        </w:rPr>
        <w:t xml:space="preserve">3, 1995, para. 297; Human Rights Comm., </w:t>
      </w:r>
      <w:hyperlink r:id="rId572" w:history="1">
        <w:r w:rsidRPr="001167CB">
          <w:rPr>
            <w:rStyle w:val="Hyperlink"/>
            <w:rFonts w:asciiTheme="majorHAnsi" w:hAnsiTheme="majorHAnsi" w:cstheme="majorHAnsi"/>
            <w:i/>
            <w:color w:val="808080" w:themeColor="background1" w:themeShade="80"/>
            <w:sz w:val="16"/>
            <w:szCs w:val="16"/>
          </w:rPr>
          <w:t>Concluding Observations of the Human Rights Committee: United States of America</w:t>
        </w:r>
        <w:r w:rsidRPr="001167CB">
          <w:rPr>
            <w:rStyle w:val="Hyperlink"/>
            <w:rFonts w:asciiTheme="majorHAnsi" w:hAnsiTheme="majorHAnsi" w:cstheme="majorHAnsi"/>
            <w:color w:val="808080" w:themeColor="background1" w:themeShade="80"/>
            <w:sz w:val="16"/>
            <w:szCs w:val="16"/>
          </w:rPr>
          <w:t>, U.N. Doc. CCPR/C/USA/CO/3,</w:t>
        </w:r>
      </w:hyperlink>
      <w:r w:rsidRPr="001167CB">
        <w:rPr>
          <w:rFonts w:asciiTheme="majorHAnsi" w:hAnsiTheme="majorHAnsi" w:cstheme="majorHAnsi"/>
          <w:color w:val="808080" w:themeColor="background1" w:themeShade="80"/>
          <w:sz w:val="16"/>
          <w:szCs w:val="16"/>
        </w:rPr>
        <w:t xml:space="preserve"> Dec. 18, 2006, para. 30; </w:t>
      </w:r>
      <w:r w:rsidRPr="001167CB">
        <w:rPr>
          <w:rFonts w:asciiTheme="majorHAnsi" w:hAnsiTheme="majorHAnsi" w:cstheme="majorHAnsi"/>
          <w:bCs/>
          <w:color w:val="808080" w:themeColor="background1" w:themeShade="80"/>
          <w:sz w:val="16"/>
          <w:szCs w:val="16"/>
        </w:rPr>
        <w:t xml:space="preserve">Human Rights </w:t>
      </w:r>
      <w:proofErr w:type="gramStart"/>
      <w:r w:rsidRPr="001167CB">
        <w:rPr>
          <w:rFonts w:asciiTheme="majorHAnsi" w:hAnsiTheme="majorHAnsi" w:cstheme="majorHAnsi"/>
          <w:bCs/>
          <w:color w:val="808080" w:themeColor="background1" w:themeShade="80"/>
          <w:sz w:val="16"/>
          <w:szCs w:val="16"/>
        </w:rPr>
        <w:t>Comm..</w:t>
      </w:r>
      <w:proofErr w:type="gramEnd"/>
      <w:r w:rsidRPr="001167CB">
        <w:rPr>
          <w:rFonts w:asciiTheme="majorHAnsi" w:hAnsiTheme="majorHAnsi" w:cstheme="majorHAnsi"/>
          <w:bCs/>
          <w:color w:val="808080" w:themeColor="background1" w:themeShade="80"/>
          <w:sz w:val="16"/>
          <w:szCs w:val="16"/>
        </w:rPr>
        <w:t xml:space="preserve"> </w:t>
      </w:r>
      <w:hyperlink r:id="rId573"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bCs/>
          <w:color w:val="808080" w:themeColor="background1" w:themeShade="80"/>
          <w:sz w:val="16"/>
          <w:szCs w:val="16"/>
        </w:rPr>
        <w:t>23, 2014</w:t>
      </w:r>
      <w:r w:rsidRPr="001167CB">
        <w:rPr>
          <w:rFonts w:asciiTheme="majorHAnsi" w:hAnsiTheme="majorHAnsi" w:cstheme="majorHAnsi"/>
          <w:color w:val="808080" w:themeColor="background1" w:themeShade="80"/>
          <w:sz w:val="16"/>
          <w:szCs w:val="16"/>
        </w:rPr>
        <w:t xml:space="preserve">, para. 11(a); </w:t>
      </w:r>
      <w:r w:rsidRPr="001167CB">
        <w:rPr>
          <w:rFonts w:asciiTheme="majorHAnsi" w:hAnsiTheme="majorHAnsi" w:cstheme="majorHAnsi"/>
          <w:bCs/>
          <w:color w:val="808080" w:themeColor="background1" w:themeShade="80"/>
          <w:sz w:val="16"/>
          <w:szCs w:val="16"/>
        </w:rPr>
        <w:t xml:space="preserve">CERD, </w:t>
      </w:r>
      <w:hyperlink r:id="rId574" w:history="1">
        <w:r w:rsidRPr="001167CB">
          <w:rPr>
            <w:rStyle w:val="Hyperlink"/>
            <w:rFonts w:asciiTheme="majorHAnsi" w:hAnsiTheme="majorHAnsi" w:cstheme="majorHAnsi"/>
            <w:bCs/>
            <w:color w:val="808080" w:themeColor="background1" w:themeShade="80"/>
            <w:sz w:val="16"/>
            <w:szCs w:val="16"/>
          </w:rPr>
          <w:t>Concluding Observations 2014</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Sept. </w:t>
      </w:r>
      <w:r w:rsidRPr="001167CB">
        <w:rPr>
          <w:rFonts w:asciiTheme="majorHAnsi" w:hAnsiTheme="majorHAnsi" w:cstheme="majorHAnsi"/>
          <w:bCs/>
          <w:color w:val="808080" w:themeColor="background1" w:themeShade="80"/>
          <w:sz w:val="16"/>
          <w:szCs w:val="16"/>
        </w:rPr>
        <w:t>25, 2014</w:t>
      </w:r>
      <w:r w:rsidRPr="001167CB">
        <w:rPr>
          <w:rFonts w:asciiTheme="majorHAnsi" w:hAnsiTheme="majorHAnsi" w:cstheme="majorHAnsi"/>
          <w:color w:val="808080" w:themeColor="background1" w:themeShade="80"/>
          <w:sz w:val="16"/>
          <w:szCs w:val="16"/>
        </w:rPr>
        <w:t>, para. 17 (b).</w:t>
      </w:r>
    </w:p>
  </w:footnote>
  <w:footnote w:id="471">
    <w:p w14:paraId="189AA45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See, e.g., U.S. Constitution, amendment IV; Tennessee v. Garner, 471 U.S. 1 (1985); Graham v. Connor, 490 U.S. 386 (1989); Tim Longo, </w:t>
      </w:r>
      <w:r w:rsidRPr="001167CB">
        <w:rPr>
          <w:rFonts w:asciiTheme="majorHAnsi" w:hAnsiTheme="majorHAnsi" w:cstheme="majorHAnsi"/>
          <w:i/>
          <w:color w:val="808080" w:themeColor="background1" w:themeShade="80"/>
          <w:sz w:val="16"/>
          <w:szCs w:val="16"/>
        </w:rPr>
        <w:t>Defining Instrumentalities of Deadly Force</w:t>
      </w:r>
      <w:r w:rsidRPr="001167CB">
        <w:rPr>
          <w:rFonts w:asciiTheme="majorHAnsi" w:hAnsiTheme="majorHAnsi" w:cstheme="majorHAnsi"/>
          <w:color w:val="808080" w:themeColor="background1" w:themeShade="80"/>
          <w:sz w:val="16"/>
          <w:szCs w:val="16"/>
        </w:rPr>
        <w:t xml:space="preserve">, 27 </w:t>
      </w:r>
      <w:proofErr w:type="spellStart"/>
      <w:r w:rsidRPr="001167CB">
        <w:rPr>
          <w:rFonts w:asciiTheme="majorHAnsi" w:hAnsiTheme="majorHAnsi" w:cstheme="majorHAnsi"/>
          <w:color w:val="808080" w:themeColor="background1" w:themeShade="80"/>
          <w:sz w:val="16"/>
          <w:szCs w:val="16"/>
        </w:rPr>
        <w:t>Touro</w:t>
      </w:r>
      <w:proofErr w:type="spellEnd"/>
      <w:r w:rsidRPr="001167CB">
        <w:rPr>
          <w:rFonts w:asciiTheme="majorHAnsi" w:hAnsiTheme="majorHAnsi" w:cstheme="majorHAnsi"/>
          <w:color w:val="808080" w:themeColor="background1" w:themeShade="80"/>
          <w:sz w:val="16"/>
          <w:szCs w:val="16"/>
        </w:rPr>
        <w:t xml:space="preserve"> Law Review 261 (2011); The Nation, </w:t>
      </w:r>
      <w:hyperlink r:id="rId575" w:history="1">
        <w:r w:rsidRPr="001167CB">
          <w:rPr>
            <w:rStyle w:val="Hyperlink"/>
            <w:rFonts w:asciiTheme="majorHAnsi" w:hAnsiTheme="majorHAnsi" w:cstheme="majorHAnsi"/>
            <w:color w:val="808080" w:themeColor="background1" w:themeShade="80"/>
            <w:sz w:val="16"/>
            <w:szCs w:val="16"/>
          </w:rPr>
          <w:t>Why It’s Impossible to Indict a Cop</w:t>
        </w:r>
      </w:hyperlink>
      <w:r w:rsidRPr="001167CB">
        <w:rPr>
          <w:rFonts w:asciiTheme="majorHAnsi" w:hAnsiTheme="majorHAnsi" w:cstheme="majorHAnsi"/>
          <w:color w:val="808080" w:themeColor="background1" w:themeShade="80"/>
          <w:sz w:val="16"/>
          <w:szCs w:val="16"/>
        </w:rPr>
        <w:t>, Dec. 25, 2014.</w:t>
      </w:r>
    </w:p>
  </w:footnote>
  <w:footnote w:id="472">
    <w:p w14:paraId="7FA0A12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576" w:history="1">
        <w:r w:rsidRPr="001167CB">
          <w:rPr>
            <w:rStyle w:val="Hyperlink"/>
            <w:rFonts w:asciiTheme="majorHAnsi" w:hAnsiTheme="majorHAnsi" w:cstheme="majorHAnsi"/>
            <w:bCs/>
            <w:color w:val="808080" w:themeColor="background1" w:themeShade="80"/>
            <w:sz w:val="16"/>
            <w:szCs w:val="16"/>
          </w:rPr>
          <w:t>U.N. Basic Principles on the Use of Force</w:t>
        </w:r>
      </w:hyperlink>
      <w:r w:rsidRPr="001167CB">
        <w:rPr>
          <w:rFonts w:asciiTheme="majorHAnsi" w:hAnsiTheme="majorHAnsi" w:cstheme="majorHAnsi"/>
          <w:bCs/>
          <w:color w:val="808080" w:themeColor="background1" w:themeShade="80"/>
          <w:sz w:val="16"/>
          <w:szCs w:val="16"/>
        </w:rPr>
        <w:t>, No.</w:t>
      </w:r>
      <w:r w:rsidRPr="001167CB">
        <w:rPr>
          <w:rFonts w:asciiTheme="majorHAnsi" w:hAnsiTheme="majorHAnsi" w:cstheme="majorHAnsi"/>
          <w:color w:val="808080" w:themeColor="background1" w:themeShade="80"/>
          <w:sz w:val="16"/>
          <w:szCs w:val="16"/>
        </w:rPr>
        <w:t xml:space="preserve"> 9 (“... In any event, intentional lethal use of firearms may only be made when strictly unavoidable in order to protect life.”).</w:t>
      </w:r>
    </w:p>
  </w:footnote>
  <w:footnote w:id="473">
    <w:p w14:paraId="5052804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471 U.S. 1, 3 (1985).</w:t>
      </w:r>
    </w:p>
  </w:footnote>
  <w:footnote w:id="474">
    <w:p w14:paraId="080FDF1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Graham v. Connor</w:t>
      </w:r>
      <w:r w:rsidRPr="001167CB">
        <w:rPr>
          <w:rFonts w:asciiTheme="majorHAnsi" w:hAnsiTheme="majorHAnsi" w:cstheme="majorHAnsi"/>
          <w:color w:val="808080" w:themeColor="background1" w:themeShade="80"/>
          <w:sz w:val="16"/>
          <w:szCs w:val="16"/>
        </w:rPr>
        <w:t>, 490 U.S. 386 (1989).</w:t>
      </w:r>
    </w:p>
  </w:footnote>
  <w:footnote w:id="475">
    <w:p w14:paraId="63ED364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396.</w:t>
      </w:r>
    </w:p>
  </w:footnote>
  <w:footnote w:id="476">
    <w:p w14:paraId="1E4887A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Scott v. Harris</w:t>
      </w:r>
      <w:r w:rsidRPr="001167CB">
        <w:rPr>
          <w:rFonts w:asciiTheme="majorHAnsi" w:hAnsiTheme="majorHAnsi" w:cstheme="majorHAnsi"/>
          <w:color w:val="808080" w:themeColor="background1" w:themeShade="80"/>
          <w:sz w:val="16"/>
          <w:szCs w:val="16"/>
        </w:rPr>
        <w:t xml:space="preserve">, 550 U.S. 372, 382 (2007). </w:t>
      </w:r>
    </w:p>
  </w:footnote>
  <w:footnote w:id="477">
    <w:p w14:paraId="5F89ED0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w:t>
      </w:r>
      <w:hyperlink r:id="rId577" w:history="1">
        <w:r w:rsidRPr="001167CB">
          <w:rPr>
            <w:rStyle w:val="Hyperlink"/>
            <w:rFonts w:asciiTheme="majorHAnsi" w:hAnsiTheme="majorHAnsi" w:cstheme="majorHAnsi"/>
            <w:bCs/>
            <w:color w:val="808080" w:themeColor="background1" w:themeShade="80"/>
            <w:sz w:val="16"/>
            <w:szCs w:val="16"/>
          </w:rPr>
          <w:t>U.N. Basic Principles on the Use of Force</w:t>
        </w:r>
      </w:hyperlink>
      <w:r w:rsidRPr="001167CB">
        <w:rPr>
          <w:rFonts w:asciiTheme="majorHAnsi" w:hAnsiTheme="majorHAnsi" w:cstheme="majorHAnsi"/>
          <w:bCs/>
          <w:color w:val="808080" w:themeColor="background1" w:themeShade="80"/>
          <w:sz w:val="16"/>
          <w:szCs w:val="16"/>
        </w:rPr>
        <w:t>, No.</w:t>
      </w:r>
      <w:r w:rsidRPr="001167CB">
        <w:rPr>
          <w:rFonts w:asciiTheme="majorHAnsi" w:hAnsiTheme="majorHAnsi" w:cstheme="majorHAnsi"/>
          <w:color w:val="808080" w:themeColor="background1" w:themeShade="80"/>
          <w:sz w:val="16"/>
          <w:szCs w:val="16"/>
        </w:rPr>
        <w:t xml:space="preserve"> 9.</w:t>
      </w:r>
    </w:p>
  </w:footnote>
  <w:footnote w:id="478">
    <w:p w14:paraId="49574F6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Amnesty International, </w:t>
      </w:r>
      <w:hyperlink r:id="rId578">
        <w:r w:rsidRPr="001167CB">
          <w:rPr>
            <w:rStyle w:val="Hyperlink"/>
            <w:rFonts w:asciiTheme="majorHAnsi" w:hAnsiTheme="majorHAnsi" w:cstheme="majorHAnsi"/>
            <w:color w:val="808080" w:themeColor="background1" w:themeShade="80"/>
            <w:sz w:val="16"/>
            <w:szCs w:val="16"/>
          </w:rPr>
          <w:t xml:space="preserve">Deadly Force: Police Use of Lethal Force </w:t>
        </w:r>
        <w:proofErr w:type="gramStart"/>
        <w:r w:rsidRPr="001167CB">
          <w:rPr>
            <w:rStyle w:val="Hyperlink"/>
            <w:rFonts w:asciiTheme="majorHAnsi" w:hAnsiTheme="majorHAnsi" w:cstheme="majorHAnsi"/>
            <w:color w:val="808080" w:themeColor="background1" w:themeShade="80"/>
            <w:sz w:val="16"/>
            <w:szCs w:val="16"/>
          </w:rPr>
          <w:t>In</w:t>
        </w:r>
        <w:proofErr w:type="gramEnd"/>
        <w:r w:rsidRPr="001167CB">
          <w:rPr>
            <w:rStyle w:val="Hyperlink"/>
            <w:rFonts w:asciiTheme="majorHAnsi" w:hAnsiTheme="majorHAnsi" w:cstheme="majorHAnsi"/>
            <w:color w:val="808080" w:themeColor="background1" w:themeShade="80"/>
            <w:sz w:val="16"/>
            <w:szCs w:val="16"/>
          </w:rPr>
          <w:t xml:space="preserve"> The United States</w:t>
        </w:r>
      </w:hyperlink>
      <w:r w:rsidRPr="001167CB">
        <w:rPr>
          <w:rStyle w:val="Hyperlink"/>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June 2015, p. 18.</w:t>
      </w:r>
    </w:p>
  </w:footnote>
  <w:footnote w:id="479">
    <w:p w14:paraId="358E1A2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n-GB"/>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Vera Institute of Justice, </w:t>
      </w:r>
      <w:hyperlink r:id="rId579" w:history="1">
        <w:r w:rsidRPr="001167CB">
          <w:rPr>
            <w:rStyle w:val="Hyperlink"/>
            <w:rFonts w:asciiTheme="majorHAnsi" w:hAnsiTheme="majorHAnsi" w:cstheme="majorHAnsi"/>
            <w:color w:val="808080" w:themeColor="background1" w:themeShade="80"/>
            <w:sz w:val="16"/>
            <w:szCs w:val="16"/>
          </w:rPr>
          <w:t>To Protect and Serve: New Trends in State-Level Policing Reform, 2015-2016</w:t>
        </w:r>
      </w:hyperlink>
      <w:r w:rsidRPr="001167CB">
        <w:rPr>
          <w:rFonts w:asciiTheme="majorHAnsi" w:hAnsiTheme="majorHAnsi" w:cstheme="majorHAnsi"/>
          <w:color w:val="808080" w:themeColor="background1" w:themeShade="80"/>
          <w:sz w:val="16"/>
          <w:szCs w:val="16"/>
        </w:rPr>
        <w:t>, Apr. 2017.</w:t>
      </w:r>
    </w:p>
  </w:footnote>
  <w:footnote w:id="480">
    <w:p w14:paraId="278E2E0D" w14:textId="77777777" w:rsidR="005C2394" w:rsidRPr="001167CB" w:rsidRDefault="005C2394" w:rsidP="002C64F8">
      <w:pPr>
        <w:pStyle w:val="FootnoteText"/>
        <w:spacing w:after="40"/>
        <w:ind w:left="547" w:hanging="547"/>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580" w:history="1">
        <w:r w:rsidRPr="001167CB">
          <w:rPr>
            <w:rStyle w:val="Hyperlink"/>
            <w:rFonts w:asciiTheme="majorHAnsi" w:hAnsiTheme="majorHAnsi" w:cstheme="majorHAnsi"/>
            <w:bCs/>
            <w:color w:val="808080" w:themeColor="background1" w:themeShade="80"/>
            <w:sz w:val="16"/>
            <w:szCs w:val="16"/>
          </w:rPr>
          <w:t>Investigation of Police Killings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23, 2016.</w:t>
      </w:r>
    </w:p>
  </w:footnote>
  <w:footnote w:id="481">
    <w:p w14:paraId="1489611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On the relevance of domestic legislation that effectively prohibits the violation of internationally recognized rights, </w:t>
      </w:r>
      <w:r w:rsidRPr="001167CB">
        <w:rPr>
          <w:rFonts w:asciiTheme="majorHAnsi" w:hAnsiTheme="majorHAnsi" w:cstheme="majorHAnsi"/>
          <w:i/>
          <w:color w:val="808080" w:themeColor="background1" w:themeShade="80"/>
          <w:sz w:val="16"/>
          <w:szCs w:val="16"/>
        </w:rPr>
        <w:t>see, e.g.,</w:t>
      </w:r>
      <w:r w:rsidRPr="001167CB">
        <w:rPr>
          <w:rFonts w:asciiTheme="majorHAnsi" w:hAnsiTheme="majorHAnsi" w:cstheme="majorHAnsi"/>
          <w:color w:val="808080" w:themeColor="background1" w:themeShade="80"/>
          <w:sz w:val="16"/>
          <w:szCs w:val="16"/>
        </w:rPr>
        <w:t xml:space="preserve"> I/A Ct. H.R., </w:t>
      </w:r>
      <w:hyperlink r:id="rId581" w:history="1">
        <w:r w:rsidRPr="001167CB">
          <w:rPr>
            <w:rStyle w:val="Hyperlink"/>
            <w:rFonts w:asciiTheme="majorHAnsi" w:hAnsiTheme="majorHAnsi" w:cstheme="majorHAnsi"/>
            <w:i/>
            <w:color w:val="808080" w:themeColor="background1" w:themeShade="80"/>
            <w:sz w:val="16"/>
            <w:szCs w:val="16"/>
          </w:rPr>
          <w:t>International Responsibility for the Promulgation and Enforcement of Laws in Violation of the Convention (Arts. 1 and 2 of the American Convention on Human Rights)</w:t>
        </w:r>
      </w:hyperlink>
      <w:r w:rsidRPr="001167CB">
        <w:rPr>
          <w:rFonts w:asciiTheme="majorHAnsi" w:hAnsiTheme="majorHAnsi" w:cstheme="majorHAnsi"/>
          <w:color w:val="808080" w:themeColor="background1" w:themeShade="80"/>
          <w:sz w:val="16"/>
          <w:szCs w:val="16"/>
        </w:rPr>
        <w:t xml:space="preserve">, Advisory Opinion OC-14/94 of Dec. 9, 1994, paras. 37-39; U.N., Working Group on Enforced and Involuntary Disappearances, </w:t>
      </w:r>
      <w:hyperlink r:id="rId582" w:history="1">
        <w:r w:rsidRPr="001167CB">
          <w:rPr>
            <w:rStyle w:val="Hyperlink"/>
            <w:rFonts w:asciiTheme="majorHAnsi" w:hAnsiTheme="majorHAnsi" w:cstheme="majorHAnsi"/>
            <w:i/>
            <w:color w:val="808080" w:themeColor="background1" w:themeShade="80"/>
            <w:sz w:val="16"/>
            <w:szCs w:val="16"/>
          </w:rPr>
          <w:t>Best practices on enforced disappearances in domestic criminal legislation</w:t>
        </w:r>
      </w:hyperlink>
      <w:r w:rsidRPr="001167CB">
        <w:rPr>
          <w:rFonts w:asciiTheme="majorHAnsi" w:hAnsiTheme="majorHAnsi" w:cstheme="majorHAnsi"/>
          <w:color w:val="808080" w:themeColor="background1" w:themeShade="80"/>
          <w:sz w:val="16"/>
          <w:szCs w:val="16"/>
        </w:rPr>
        <w:t>, A/HRC/16/48/Add.3, Dec. 28, 2010, para. 10.</w:t>
      </w:r>
    </w:p>
  </w:footnote>
  <w:footnote w:id="482">
    <w:p w14:paraId="755DB9CA" w14:textId="74E0D8C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also supra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_Ref507172452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208</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483">
    <w:p w14:paraId="27AD7AD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83"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xml:space="preserve">, para. 21 (citing </w:t>
      </w:r>
      <w:proofErr w:type="gramStart"/>
      <w:r w:rsidRPr="001167CB">
        <w:rPr>
          <w:rFonts w:asciiTheme="majorHAnsi" w:hAnsiTheme="majorHAnsi" w:cstheme="majorHAnsi"/>
          <w:color w:val="808080" w:themeColor="background1" w:themeShade="80"/>
          <w:sz w:val="16"/>
          <w:szCs w:val="16"/>
        </w:rPr>
        <w:t>I/A</w:t>
      </w:r>
      <w:proofErr w:type="gramEnd"/>
      <w:r w:rsidRPr="001167CB">
        <w:rPr>
          <w:rFonts w:asciiTheme="majorHAnsi" w:hAnsiTheme="majorHAnsi" w:cstheme="majorHAnsi"/>
          <w:color w:val="808080" w:themeColor="background1" w:themeShade="80"/>
          <w:sz w:val="16"/>
          <w:szCs w:val="16"/>
        </w:rPr>
        <w:t xml:space="preserve"> Court HR. </w:t>
      </w:r>
      <w:r w:rsidRPr="001167CB">
        <w:rPr>
          <w:rFonts w:asciiTheme="majorHAnsi" w:hAnsiTheme="majorHAnsi" w:cstheme="majorHAnsi"/>
          <w:i/>
          <w:color w:val="808080" w:themeColor="background1" w:themeShade="80"/>
          <w:sz w:val="16"/>
          <w:szCs w:val="16"/>
        </w:rPr>
        <w:t xml:space="preserve">Case of Montero </w:t>
      </w:r>
      <w:proofErr w:type="spellStart"/>
      <w:r w:rsidRPr="001167CB">
        <w:rPr>
          <w:rFonts w:asciiTheme="majorHAnsi" w:hAnsiTheme="majorHAnsi" w:cstheme="majorHAnsi"/>
          <w:i/>
          <w:color w:val="808080" w:themeColor="background1" w:themeShade="80"/>
          <w:sz w:val="16"/>
          <w:szCs w:val="16"/>
        </w:rPr>
        <w:t>Aranguren</w:t>
      </w:r>
      <w:proofErr w:type="spellEnd"/>
      <w:r w:rsidRPr="001167CB">
        <w:rPr>
          <w:rFonts w:asciiTheme="majorHAnsi" w:hAnsiTheme="majorHAnsi" w:cstheme="majorHAnsi"/>
          <w:i/>
          <w:color w:val="808080" w:themeColor="background1" w:themeShade="80"/>
          <w:sz w:val="16"/>
          <w:szCs w:val="16"/>
        </w:rPr>
        <w:t xml:space="preserve"> et al. (Detention Center of </w:t>
      </w:r>
      <w:proofErr w:type="spellStart"/>
      <w:r w:rsidRPr="001167CB">
        <w:rPr>
          <w:rFonts w:asciiTheme="majorHAnsi" w:hAnsiTheme="majorHAnsi" w:cstheme="majorHAnsi"/>
          <w:i/>
          <w:color w:val="808080" w:themeColor="background1" w:themeShade="80"/>
          <w:sz w:val="16"/>
          <w:szCs w:val="16"/>
        </w:rPr>
        <w:t>Catia</w:t>
      </w:r>
      <w:proofErr w:type="spellEnd"/>
      <w:r w:rsidRPr="001167CB">
        <w:rPr>
          <w:rFonts w:asciiTheme="majorHAnsi" w:hAnsiTheme="majorHAnsi" w:cstheme="majorHAnsi"/>
          <w:i/>
          <w:color w:val="808080" w:themeColor="background1" w:themeShade="80"/>
          <w:sz w:val="16"/>
          <w:szCs w:val="16"/>
        </w:rPr>
        <w:t>) v. Venezuela</w:t>
      </w:r>
      <w:r w:rsidRPr="001167CB">
        <w:rPr>
          <w:rFonts w:asciiTheme="majorHAnsi" w:hAnsiTheme="majorHAnsi" w:cstheme="majorHAnsi"/>
          <w:color w:val="808080" w:themeColor="background1" w:themeShade="80"/>
          <w:sz w:val="16"/>
          <w:szCs w:val="16"/>
        </w:rPr>
        <w:t xml:space="preserve">. Preliminary Objections, Merits, Reparations and Costs. Judgment of July 5, 2006. Series C No. 150, para. 77; </w:t>
      </w:r>
      <w:r w:rsidRPr="001167CB">
        <w:rPr>
          <w:rFonts w:asciiTheme="majorHAnsi" w:hAnsiTheme="majorHAnsi" w:cstheme="majorHAnsi"/>
          <w:i/>
          <w:color w:val="808080" w:themeColor="background1" w:themeShade="80"/>
          <w:sz w:val="16"/>
          <w:szCs w:val="16"/>
        </w:rPr>
        <w:t xml:space="preserve">Case of Zambrano </w:t>
      </w:r>
      <w:proofErr w:type="spellStart"/>
      <w:r w:rsidRPr="001167CB">
        <w:rPr>
          <w:rFonts w:asciiTheme="majorHAnsi" w:hAnsiTheme="majorHAnsi" w:cstheme="majorHAnsi"/>
          <w:i/>
          <w:color w:val="808080" w:themeColor="background1" w:themeShade="80"/>
          <w:sz w:val="16"/>
          <w:szCs w:val="16"/>
        </w:rPr>
        <w:t>Vélez</w:t>
      </w:r>
      <w:proofErr w:type="spellEnd"/>
      <w:r w:rsidRPr="001167CB">
        <w:rPr>
          <w:rFonts w:asciiTheme="majorHAnsi" w:hAnsiTheme="majorHAnsi" w:cstheme="majorHAnsi"/>
          <w:i/>
          <w:color w:val="808080" w:themeColor="background1" w:themeShade="80"/>
          <w:sz w:val="16"/>
          <w:szCs w:val="16"/>
        </w:rPr>
        <w:t xml:space="preserve"> et al. v. Ecuador</w:t>
      </w:r>
      <w:r w:rsidRPr="001167CB">
        <w:rPr>
          <w:rFonts w:asciiTheme="majorHAnsi" w:hAnsiTheme="majorHAnsi" w:cstheme="majorHAnsi"/>
          <w:color w:val="808080" w:themeColor="background1" w:themeShade="80"/>
          <w:sz w:val="16"/>
          <w:szCs w:val="16"/>
        </w:rPr>
        <w:t xml:space="preserve">. Merits, Reparations and Costs. Judgment of July 4, 2007. Series C No. 166, para. 87.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IACHR, </w:t>
      </w:r>
      <w:hyperlink r:id="rId584" w:history="1">
        <w:r w:rsidRPr="001167CB">
          <w:rPr>
            <w:rStyle w:val="Hyperlink"/>
            <w:rFonts w:asciiTheme="majorHAnsi" w:hAnsiTheme="majorHAnsi" w:cstheme="majorHAnsi"/>
            <w:color w:val="808080" w:themeColor="background1" w:themeShade="80"/>
            <w:sz w:val="16"/>
            <w:szCs w:val="16"/>
          </w:rPr>
          <w:t>Citizen Security and Human Rights</w:t>
        </w:r>
      </w:hyperlink>
      <w:r w:rsidRPr="001167CB">
        <w:rPr>
          <w:rFonts w:asciiTheme="majorHAnsi" w:hAnsiTheme="majorHAnsi" w:cstheme="majorHAnsi"/>
          <w:color w:val="808080" w:themeColor="background1" w:themeShade="80"/>
          <w:sz w:val="16"/>
          <w:szCs w:val="16"/>
        </w:rPr>
        <w:t xml:space="preserve"> (2009), para. 115).</w:t>
      </w:r>
    </w:p>
  </w:footnote>
  <w:footnote w:id="484">
    <w:p w14:paraId="454D3DE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22.</w:t>
      </w:r>
    </w:p>
  </w:footnote>
  <w:footnote w:id="485">
    <w:p w14:paraId="3F4D881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585" w:history="1">
        <w:r w:rsidRPr="001167CB">
          <w:rPr>
            <w:rStyle w:val="Hyperlink"/>
            <w:rFonts w:asciiTheme="majorHAnsi" w:hAnsiTheme="majorHAnsi" w:cstheme="majorHAnsi"/>
            <w:bCs/>
            <w:color w:val="808080" w:themeColor="background1" w:themeShade="80"/>
            <w:sz w:val="16"/>
            <w:szCs w:val="16"/>
          </w:rPr>
          <w:t>U.N. Basic Principles on the Use of Force</w:t>
        </w:r>
      </w:hyperlink>
      <w:r w:rsidRPr="001167CB">
        <w:rPr>
          <w:rFonts w:asciiTheme="majorHAnsi" w:hAnsiTheme="majorHAnsi" w:cstheme="majorHAnsi"/>
          <w:bCs/>
          <w:color w:val="808080" w:themeColor="background1" w:themeShade="80"/>
          <w:sz w:val="16"/>
          <w:szCs w:val="16"/>
        </w:rPr>
        <w:t>, No.</w:t>
      </w:r>
      <w:r w:rsidRPr="001167CB">
        <w:rPr>
          <w:rFonts w:asciiTheme="majorHAnsi" w:hAnsiTheme="majorHAnsi" w:cstheme="majorHAnsi"/>
          <w:color w:val="808080" w:themeColor="background1" w:themeShade="80"/>
          <w:sz w:val="16"/>
          <w:szCs w:val="16"/>
        </w:rPr>
        <w:t xml:space="preserve"> 18.</w:t>
      </w:r>
    </w:p>
  </w:footnote>
  <w:footnote w:id="486">
    <w:p w14:paraId="1C6994E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586" w:history="1">
        <w:r w:rsidRPr="001167CB">
          <w:rPr>
            <w:rStyle w:val="Hyperlink"/>
            <w:rFonts w:asciiTheme="majorHAnsi" w:hAnsiTheme="majorHAnsi" w:cstheme="majorHAnsi"/>
            <w:bCs/>
            <w:color w:val="808080" w:themeColor="background1" w:themeShade="80"/>
            <w:sz w:val="16"/>
            <w:szCs w:val="16"/>
          </w:rPr>
          <w:t>U.N. Basic Principles on the Use of Force</w:t>
        </w:r>
      </w:hyperlink>
      <w:r w:rsidRPr="001167CB">
        <w:rPr>
          <w:rFonts w:asciiTheme="majorHAnsi" w:hAnsiTheme="majorHAnsi" w:cstheme="majorHAnsi"/>
          <w:bCs/>
          <w:color w:val="808080" w:themeColor="background1" w:themeShade="80"/>
          <w:sz w:val="16"/>
          <w:szCs w:val="16"/>
        </w:rPr>
        <w:t>, No.</w:t>
      </w:r>
      <w:r w:rsidRPr="001167CB">
        <w:rPr>
          <w:rFonts w:asciiTheme="majorHAnsi" w:hAnsiTheme="majorHAnsi" w:cstheme="majorHAnsi"/>
          <w:color w:val="808080" w:themeColor="background1" w:themeShade="80"/>
          <w:sz w:val="16"/>
          <w:szCs w:val="16"/>
        </w:rPr>
        <w:t xml:space="preserve"> 20.</w:t>
      </w:r>
    </w:p>
  </w:footnote>
  <w:footnote w:id="487">
    <w:p w14:paraId="1982E3A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488">
    <w:p w14:paraId="4D651154" w14:textId="77777777"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CERD, </w:t>
      </w:r>
      <w:hyperlink r:id="rId587" w:history="1">
        <w:r w:rsidRPr="001167CB">
          <w:rPr>
            <w:rStyle w:val="Hyperlink"/>
            <w:rFonts w:asciiTheme="majorHAnsi" w:hAnsiTheme="majorHAnsi" w:cstheme="majorHAnsi"/>
            <w:i/>
            <w:color w:val="808080" w:themeColor="background1" w:themeShade="80"/>
            <w:sz w:val="16"/>
            <w:szCs w:val="16"/>
          </w:rPr>
          <w:t>General Recommendation XIII on the training of law enforcement officials in the protection of human rights</w:t>
        </w:r>
        <w:r w:rsidRPr="001167CB">
          <w:rPr>
            <w:rStyle w:val="Hyperlink"/>
            <w:rFonts w:asciiTheme="majorHAnsi" w:hAnsiTheme="majorHAnsi" w:cstheme="majorHAnsi"/>
            <w:color w:val="808080" w:themeColor="background1" w:themeShade="80"/>
            <w:sz w:val="16"/>
            <w:szCs w:val="16"/>
          </w:rPr>
          <w:t>.</w:t>
        </w:r>
      </w:hyperlink>
      <w:r w:rsidRPr="001167CB">
        <w:rPr>
          <w:rFonts w:asciiTheme="majorHAnsi" w:hAnsiTheme="majorHAnsi" w:cstheme="majorHAnsi"/>
          <w:color w:val="808080" w:themeColor="background1" w:themeShade="80"/>
          <w:sz w:val="16"/>
          <w:szCs w:val="16"/>
        </w:rPr>
        <w:t xml:space="preserve"> U.N. Doc A/48/18, 1993, para. 2.</w:t>
      </w:r>
    </w:p>
  </w:footnote>
  <w:footnote w:id="489">
    <w:p w14:paraId="3956A72C" w14:textId="77777777"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490">
    <w:p w14:paraId="4C580CCA" w14:textId="3CFC086D"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588" w:history="1">
        <w:r w:rsidRPr="001167CB">
          <w:rPr>
            <w:rStyle w:val="Hyperlink"/>
            <w:rFonts w:asciiTheme="majorHAnsi" w:hAnsiTheme="majorHAnsi" w:cstheme="majorHAnsi"/>
            <w:bCs/>
            <w:color w:val="808080" w:themeColor="background1" w:themeShade="80"/>
            <w:sz w:val="16"/>
            <w:szCs w:val="16"/>
          </w:rPr>
          <w:t>U.N. Basic Principles on the Use of Force</w:t>
        </w:r>
      </w:hyperlink>
      <w:r w:rsidRPr="001167CB">
        <w:rPr>
          <w:rFonts w:asciiTheme="majorHAnsi" w:hAnsiTheme="majorHAnsi" w:cstheme="majorHAnsi"/>
          <w:bCs/>
          <w:color w:val="808080" w:themeColor="background1" w:themeShade="80"/>
          <w:sz w:val="16"/>
          <w:szCs w:val="16"/>
        </w:rPr>
        <w:t>, No.</w:t>
      </w:r>
      <w:r w:rsidRPr="001167CB">
        <w:rPr>
          <w:rFonts w:asciiTheme="majorHAnsi" w:hAnsiTheme="majorHAnsi" w:cstheme="majorHAnsi"/>
          <w:color w:val="808080" w:themeColor="background1" w:themeShade="80"/>
          <w:sz w:val="16"/>
          <w:szCs w:val="16"/>
        </w:rPr>
        <w:t xml:space="preserve"> 19. </w:t>
      </w:r>
      <w:r w:rsidRPr="001167CB">
        <w:rPr>
          <w:rFonts w:asciiTheme="majorHAnsi" w:hAnsiTheme="majorHAnsi" w:cstheme="majorHAnsi"/>
          <w:i/>
          <w:color w:val="808080" w:themeColor="background1" w:themeShade="80"/>
          <w:sz w:val="16"/>
          <w:szCs w:val="16"/>
        </w:rPr>
        <w:t xml:space="preserve">See also supra </w:t>
      </w:r>
      <w:r w:rsidRPr="001167CB">
        <w:rPr>
          <w:rFonts w:asciiTheme="majorHAnsi" w:hAnsiTheme="majorHAnsi" w:cstheme="majorHAnsi"/>
          <w:color w:val="808080" w:themeColor="background1" w:themeShade="80"/>
          <w:sz w:val="16"/>
          <w:szCs w:val="16"/>
        </w:rPr>
        <w:t xml:space="preserve">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_Ref507172647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204</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491">
    <w:p w14:paraId="68EF77F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89"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para. 23.</w:t>
      </w:r>
    </w:p>
  </w:footnote>
  <w:footnote w:id="492">
    <w:p w14:paraId="45DB70F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COPS, </w:t>
      </w:r>
      <w:hyperlink r:id="rId590" w:history="1">
        <w:r w:rsidRPr="001167CB">
          <w:rPr>
            <w:rStyle w:val="Hyperlink"/>
            <w:rFonts w:asciiTheme="majorHAnsi" w:hAnsiTheme="majorHAnsi" w:cstheme="majorHAnsi"/>
            <w:bCs/>
            <w:color w:val="808080" w:themeColor="background1" w:themeShade="80"/>
            <w:sz w:val="16"/>
            <w:szCs w:val="16"/>
          </w:rPr>
          <w:t>Final Report of the President’s Task Force on 21</w:t>
        </w:r>
        <w:r w:rsidRPr="001167CB">
          <w:rPr>
            <w:rStyle w:val="Hyperlink"/>
            <w:rFonts w:asciiTheme="majorHAnsi" w:hAnsiTheme="majorHAnsi" w:cstheme="majorHAnsi"/>
            <w:bCs/>
            <w:color w:val="808080" w:themeColor="background1" w:themeShade="80"/>
            <w:sz w:val="16"/>
            <w:szCs w:val="16"/>
            <w:vertAlign w:val="superscript"/>
          </w:rPr>
          <w:t>st</w:t>
        </w:r>
        <w:r w:rsidRPr="001167CB">
          <w:rPr>
            <w:rStyle w:val="Hyperlink"/>
            <w:rFonts w:asciiTheme="majorHAnsi" w:hAnsiTheme="majorHAnsi" w:cstheme="majorHAnsi"/>
            <w:bCs/>
            <w:color w:val="808080" w:themeColor="background1" w:themeShade="80"/>
            <w:sz w:val="16"/>
            <w:szCs w:val="16"/>
          </w:rPr>
          <w:t xml:space="preserve"> Century Policing</w:t>
        </w:r>
      </w:hyperlink>
      <w:r w:rsidRPr="001167CB">
        <w:rPr>
          <w:rFonts w:asciiTheme="majorHAnsi" w:hAnsiTheme="majorHAnsi" w:cstheme="majorHAnsi"/>
          <w:bCs/>
          <w:color w:val="808080" w:themeColor="background1" w:themeShade="80"/>
          <w:sz w:val="16"/>
          <w:szCs w:val="16"/>
        </w:rPr>
        <w:t>, May 2015</w:t>
      </w:r>
      <w:r w:rsidRPr="001167CB">
        <w:rPr>
          <w:rFonts w:asciiTheme="majorHAnsi" w:hAnsiTheme="majorHAnsi" w:cstheme="majorHAnsi"/>
          <w:color w:val="808080" w:themeColor="background1" w:themeShade="80"/>
          <w:sz w:val="16"/>
          <w:szCs w:val="16"/>
        </w:rPr>
        <w:t>, Recommendations 2.2.1, 3.6.</w:t>
      </w:r>
    </w:p>
  </w:footnote>
  <w:footnote w:id="493">
    <w:p w14:paraId="0E88985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Bureau of Justice Statistics, </w:t>
      </w:r>
      <w:hyperlink r:id="rId591" w:history="1">
        <w:r w:rsidRPr="001167CB">
          <w:rPr>
            <w:rStyle w:val="Hyperlink"/>
            <w:rFonts w:asciiTheme="majorHAnsi" w:hAnsiTheme="majorHAnsi" w:cstheme="majorHAnsi"/>
            <w:color w:val="808080" w:themeColor="background1" w:themeShade="80"/>
            <w:sz w:val="16"/>
            <w:szCs w:val="16"/>
          </w:rPr>
          <w:t>Census of State and Local Law Enforcement Agencies, 2008</w:t>
        </w:r>
      </w:hyperlink>
      <w:r w:rsidRPr="001167CB">
        <w:rPr>
          <w:rFonts w:asciiTheme="majorHAnsi" w:hAnsiTheme="majorHAnsi" w:cstheme="majorHAnsi"/>
          <w:color w:val="808080" w:themeColor="background1" w:themeShade="80"/>
          <w:sz w:val="16"/>
          <w:szCs w:val="16"/>
        </w:rPr>
        <w:t>, July 2011.</w:t>
      </w:r>
    </w:p>
  </w:footnote>
  <w:footnote w:id="494">
    <w:p w14:paraId="2948B2F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RFK Human Rights, </w:t>
      </w:r>
      <w:hyperlink r:id="rId592" w:history="1">
        <w:r w:rsidRPr="001167CB">
          <w:rPr>
            <w:rStyle w:val="Hyperlink"/>
            <w:rFonts w:asciiTheme="majorHAnsi" w:hAnsiTheme="majorHAnsi" w:cstheme="majorHAnsi"/>
            <w:color w:val="808080" w:themeColor="background1" w:themeShade="80"/>
            <w:sz w:val="16"/>
            <w:szCs w:val="16"/>
          </w:rPr>
          <w:t>Excessive Use of Force</w:t>
        </w:r>
      </w:hyperlink>
      <w:r w:rsidRPr="001167CB">
        <w:rPr>
          <w:rFonts w:asciiTheme="majorHAnsi" w:hAnsiTheme="majorHAnsi" w:cstheme="majorHAnsi"/>
          <w:color w:val="808080" w:themeColor="background1" w:themeShade="80"/>
          <w:sz w:val="16"/>
          <w:szCs w:val="16"/>
        </w:rPr>
        <w:t xml:space="preserve">, updated Feb. 12, 2016, p. 44. </w:t>
      </w:r>
    </w:p>
  </w:footnote>
  <w:footnote w:id="495">
    <w:p w14:paraId="43751A2C" w14:textId="63E60DED"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93"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xml:space="preserve">, para. 19.   </w:t>
      </w:r>
    </w:p>
  </w:footnote>
  <w:footnote w:id="496">
    <w:p w14:paraId="7E79D48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at para. 18 (citing U.N., Report of the Special Rapporteur on extrajudicial, summary or arbitrary executions, Christof </w:t>
      </w:r>
      <w:proofErr w:type="spellStart"/>
      <w:r w:rsidRPr="001167CB">
        <w:rPr>
          <w:rFonts w:asciiTheme="majorHAnsi" w:hAnsiTheme="majorHAnsi" w:cstheme="majorHAnsi"/>
          <w:color w:val="808080" w:themeColor="background1" w:themeShade="80"/>
          <w:sz w:val="16"/>
          <w:szCs w:val="16"/>
        </w:rPr>
        <w:t>Heyns</w:t>
      </w:r>
      <w:proofErr w:type="spellEnd"/>
      <w:r w:rsidRPr="001167CB">
        <w:rPr>
          <w:rFonts w:asciiTheme="majorHAnsi" w:hAnsiTheme="majorHAnsi" w:cstheme="majorHAnsi"/>
          <w:color w:val="808080" w:themeColor="background1" w:themeShade="80"/>
          <w:sz w:val="16"/>
          <w:szCs w:val="16"/>
        </w:rPr>
        <w:t>, A/HRC/26/36, Apr. 1, 2014, paras. 103-106).</w:t>
      </w:r>
    </w:p>
  </w:footnote>
  <w:footnote w:id="497">
    <w:p w14:paraId="22DB81B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(citing U.N., Report of the Special Rapporteur on extrajudicial, summary or arbitrary executions, Note by the Secretary General, A/69/265, Aug. 6, 2014, para. 69).</w:t>
      </w:r>
    </w:p>
  </w:footnote>
  <w:footnote w:id="498">
    <w:p w14:paraId="5A0BD2F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94"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xml:space="preserve">, para. 18.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e.g., Physicians for Human Rights et al., </w:t>
      </w:r>
      <w:hyperlink r:id="rId595" w:history="1">
        <w:r w:rsidRPr="001167CB">
          <w:rPr>
            <w:rStyle w:val="Hyperlink"/>
            <w:rFonts w:asciiTheme="majorHAnsi" w:hAnsiTheme="majorHAnsi" w:cstheme="majorHAnsi"/>
            <w:color w:val="808080" w:themeColor="background1" w:themeShade="80"/>
            <w:sz w:val="16"/>
            <w:szCs w:val="16"/>
          </w:rPr>
          <w:t>Lethal in Disguise: The Health Consequences of Crowd-Control Weapons</w:t>
        </w:r>
      </w:hyperlink>
      <w:r w:rsidRPr="001167CB">
        <w:rPr>
          <w:rFonts w:asciiTheme="majorHAnsi" w:hAnsiTheme="majorHAnsi" w:cstheme="majorHAnsi"/>
          <w:color w:val="808080" w:themeColor="background1" w:themeShade="80"/>
          <w:sz w:val="16"/>
          <w:szCs w:val="16"/>
        </w:rPr>
        <w:t>, 2016.</w:t>
      </w:r>
    </w:p>
  </w:footnote>
  <w:footnote w:id="499">
    <w:p w14:paraId="12AA5D1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In the cases of Eric Garner and Freddie Gray, respectively.</w:t>
      </w:r>
    </w:p>
  </w:footnote>
  <w:footnote w:id="500">
    <w:p w14:paraId="2CC26778" w14:textId="51D6B342"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96"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xml:space="preserve">, para. 16. </w:t>
      </w:r>
      <w:r w:rsidRPr="001167CB">
        <w:rPr>
          <w:rFonts w:asciiTheme="majorHAnsi" w:hAnsiTheme="majorHAnsi" w:cstheme="majorHAnsi"/>
          <w:i/>
          <w:color w:val="808080" w:themeColor="background1" w:themeShade="80"/>
          <w:sz w:val="16"/>
          <w:szCs w:val="16"/>
        </w:rPr>
        <w:t>See also infra</w:t>
      </w:r>
      <w:r w:rsidRPr="001167CB">
        <w:rPr>
          <w:rFonts w:asciiTheme="majorHAnsi" w:hAnsiTheme="majorHAnsi" w:cstheme="majorHAnsi"/>
          <w:color w:val="808080" w:themeColor="background1" w:themeShade="80"/>
          <w:sz w:val="16"/>
          <w:szCs w:val="16"/>
        </w:rPr>
        <w:t xml:space="preserve"> paras.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_Ref507172810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241</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_Ref507172812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242</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501">
    <w:p w14:paraId="390822D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(referring additionally to statements from the UN Special Rapporteur on extrajudicial, summary or arbitrary executions and the International Committee of the Red Cross).</w:t>
      </w:r>
    </w:p>
  </w:footnote>
  <w:footnote w:id="502">
    <w:p w14:paraId="082D471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For example, </w:t>
      </w:r>
      <w:r w:rsidRPr="001167CB">
        <w:rPr>
          <w:rFonts w:asciiTheme="majorHAnsi" w:eastAsia="Times New Roman" w:hAnsiTheme="majorHAnsi" w:cstheme="majorHAnsi"/>
          <w:color w:val="808080" w:themeColor="background1" w:themeShade="80"/>
          <w:sz w:val="16"/>
          <w:szCs w:val="16"/>
        </w:rPr>
        <w:t>the State should develop standards regulating the composition and concentration of irritant chemical substances and water used in water cannons, the levels of discharge of electrical devices, the volume and frequency of acoustic weapons, and the levels of precision required for projectiles, among others.</w:t>
      </w:r>
      <w:r w:rsidRPr="001167CB">
        <w:rPr>
          <w:rFonts w:asciiTheme="majorHAnsi" w:hAnsiTheme="majorHAnsi" w:cstheme="majorHAnsi"/>
          <w:color w:val="808080" w:themeColor="background1" w:themeShade="80"/>
          <w:sz w:val="16"/>
          <w:szCs w:val="16"/>
        </w:rPr>
        <w:t xml:space="preserve"> IACHR, </w:t>
      </w:r>
      <w:hyperlink r:id="rId597"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para. 17.</w:t>
      </w:r>
    </w:p>
  </w:footnote>
  <w:footnote w:id="503">
    <w:p w14:paraId="4C0CB43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16.</w:t>
      </w:r>
    </w:p>
  </w:footnote>
  <w:footnote w:id="504">
    <w:p w14:paraId="1E6A75A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598"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xml:space="preserve">, para. 227 (citing IACHR, </w:t>
      </w:r>
      <w:proofErr w:type="spellStart"/>
      <w:r w:rsidRPr="001167CB">
        <w:rPr>
          <w:rFonts w:asciiTheme="majorHAnsi" w:hAnsiTheme="majorHAnsi" w:cstheme="majorHAnsi"/>
          <w:color w:val="808080" w:themeColor="background1" w:themeShade="80"/>
          <w:sz w:val="16"/>
          <w:szCs w:val="16"/>
        </w:rPr>
        <w:t>THe</w:t>
      </w:r>
      <w:proofErr w:type="spellEnd"/>
      <w:r w:rsidRPr="001167CB">
        <w:rPr>
          <w:rFonts w:asciiTheme="majorHAnsi" w:hAnsiTheme="majorHAnsi" w:cstheme="majorHAnsi"/>
          <w:color w:val="808080" w:themeColor="background1" w:themeShade="80"/>
          <w:sz w:val="16"/>
          <w:szCs w:val="16"/>
        </w:rPr>
        <w:t xml:space="preserve"> Situation of Human Rights Defenders in the Americas,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/V/II.124, Doc. 5 rev. 1 (2006), para. 68).</w:t>
      </w:r>
    </w:p>
  </w:footnote>
  <w:footnote w:id="505">
    <w:p w14:paraId="7531439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599" w:history="1">
        <w:r w:rsidRPr="001167CB">
          <w:rPr>
            <w:rStyle w:val="Hyperlink"/>
            <w:rFonts w:asciiTheme="majorHAnsi" w:hAnsiTheme="majorHAnsi" w:cstheme="majorHAnsi"/>
            <w:bCs/>
            <w:color w:val="808080" w:themeColor="background1" w:themeShade="80"/>
            <w:sz w:val="16"/>
            <w:szCs w:val="16"/>
          </w:rPr>
          <w:t>U.N. Basic Principles on the Use of Force</w:t>
        </w:r>
      </w:hyperlink>
      <w:r w:rsidRPr="001167CB">
        <w:rPr>
          <w:rFonts w:asciiTheme="majorHAnsi" w:hAnsiTheme="majorHAnsi" w:cstheme="majorHAnsi"/>
          <w:bCs/>
          <w:color w:val="808080" w:themeColor="background1" w:themeShade="80"/>
          <w:sz w:val="16"/>
          <w:szCs w:val="16"/>
        </w:rPr>
        <w:t xml:space="preserve">, No. </w:t>
      </w:r>
      <w:r w:rsidRPr="001167CB">
        <w:rPr>
          <w:rFonts w:asciiTheme="majorHAnsi" w:hAnsiTheme="majorHAnsi" w:cstheme="majorHAnsi"/>
          <w:color w:val="808080" w:themeColor="background1" w:themeShade="80"/>
          <w:sz w:val="16"/>
          <w:szCs w:val="16"/>
        </w:rPr>
        <w:t>11(d).</w:t>
      </w:r>
    </w:p>
  </w:footnote>
  <w:footnote w:id="506">
    <w:p w14:paraId="7DF9E3B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00"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para. 227</w:t>
      </w:r>
    </w:p>
  </w:footnote>
  <w:footnote w:id="507">
    <w:p w14:paraId="76A2062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e.g.</w:t>
      </w:r>
      <w:r w:rsidRPr="001167CB">
        <w:rPr>
          <w:rFonts w:asciiTheme="majorHAnsi" w:hAnsiTheme="majorHAnsi" w:cstheme="majorHAnsi"/>
          <w:color w:val="808080" w:themeColor="background1" w:themeShade="80"/>
          <w:sz w:val="16"/>
          <w:szCs w:val="16"/>
        </w:rPr>
        <w:t xml:space="preserve">, IACHR, Report No. 92/05, Case 12.418, </w:t>
      </w:r>
      <w:r w:rsidRPr="001167CB">
        <w:rPr>
          <w:rFonts w:asciiTheme="majorHAnsi" w:hAnsiTheme="majorHAnsi" w:cstheme="majorHAnsi"/>
          <w:i/>
          <w:color w:val="808080" w:themeColor="background1" w:themeShade="80"/>
          <w:sz w:val="16"/>
          <w:szCs w:val="16"/>
        </w:rPr>
        <w:t>Michael Gayle</w:t>
      </w:r>
      <w:r w:rsidRPr="001167CB">
        <w:rPr>
          <w:rFonts w:asciiTheme="majorHAnsi" w:hAnsiTheme="majorHAnsi" w:cstheme="majorHAnsi"/>
          <w:color w:val="808080" w:themeColor="background1" w:themeShade="80"/>
          <w:sz w:val="16"/>
          <w:szCs w:val="16"/>
        </w:rPr>
        <w:t xml:space="preserve"> (Jamaica), </w:t>
      </w:r>
      <w:r w:rsidRPr="001167CB">
        <w:rPr>
          <w:rFonts w:asciiTheme="majorHAnsi" w:hAnsiTheme="majorHAnsi" w:cstheme="majorHAnsi"/>
          <w:bCs/>
          <w:color w:val="808080" w:themeColor="background1" w:themeShade="80"/>
          <w:sz w:val="16"/>
          <w:szCs w:val="16"/>
        </w:rPr>
        <w:t xml:space="preserve">Oct. </w:t>
      </w:r>
      <w:r w:rsidRPr="001167CB">
        <w:rPr>
          <w:rFonts w:asciiTheme="majorHAnsi" w:hAnsiTheme="majorHAnsi" w:cstheme="majorHAnsi"/>
          <w:color w:val="808080" w:themeColor="background1" w:themeShade="80"/>
          <w:sz w:val="16"/>
          <w:szCs w:val="16"/>
        </w:rPr>
        <w:t xml:space="preserve">24, 2005, para. 61 (citing </w:t>
      </w:r>
      <w:proofErr w:type="gramStart"/>
      <w:r w:rsidRPr="001167CB">
        <w:rPr>
          <w:rFonts w:asciiTheme="majorHAnsi" w:hAnsiTheme="majorHAnsi" w:cstheme="majorHAnsi"/>
          <w:color w:val="808080" w:themeColor="background1" w:themeShade="80"/>
          <w:sz w:val="16"/>
          <w:szCs w:val="16"/>
        </w:rPr>
        <w:t>I/A</w:t>
      </w:r>
      <w:proofErr w:type="gramEnd"/>
      <w:r w:rsidRPr="001167CB">
        <w:rPr>
          <w:rFonts w:asciiTheme="majorHAnsi" w:hAnsiTheme="majorHAnsi" w:cstheme="majorHAnsi"/>
          <w:color w:val="808080" w:themeColor="background1" w:themeShade="80"/>
          <w:sz w:val="16"/>
          <w:szCs w:val="16"/>
        </w:rPr>
        <w:t xml:space="preserve"> Ct. H.R., </w:t>
      </w:r>
      <w:proofErr w:type="spellStart"/>
      <w:r w:rsidRPr="001167CB">
        <w:rPr>
          <w:rFonts w:asciiTheme="majorHAnsi" w:hAnsiTheme="majorHAnsi" w:cstheme="majorHAnsi"/>
          <w:i/>
          <w:color w:val="808080" w:themeColor="background1" w:themeShade="80"/>
          <w:sz w:val="16"/>
          <w:szCs w:val="16"/>
        </w:rPr>
        <w:t>Cantoral</w:t>
      </w:r>
      <w:proofErr w:type="spellEnd"/>
      <w:r w:rsidRPr="001167CB">
        <w:rPr>
          <w:rFonts w:asciiTheme="majorHAnsi" w:hAnsiTheme="majorHAnsi" w:cstheme="majorHAnsi"/>
          <w:i/>
          <w:color w:val="808080" w:themeColor="background1" w:themeShade="80"/>
          <w:sz w:val="16"/>
          <w:szCs w:val="16"/>
        </w:rPr>
        <w:t xml:space="preserve"> Benavides</w:t>
      </w:r>
      <w:r w:rsidRPr="001167CB">
        <w:rPr>
          <w:rFonts w:asciiTheme="majorHAnsi" w:hAnsiTheme="majorHAnsi" w:cstheme="majorHAnsi"/>
          <w:color w:val="808080" w:themeColor="background1" w:themeShade="80"/>
          <w:sz w:val="16"/>
          <w:szCs w:val="16"/>
        </w:rPr>
        <w:t>, Judgment of Aug. 18, 2000, Ser. C No.  69, para. 95).</w:t>
      </w:r>
    </w:p>
  </w:footnote>
  <w:footnote w:id="508">
    <w:p w14:paraId="40D2C6D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Art. 10(1), (2).</w:t>
      </w:r>
    </w:p>
  </w:footnote>
  <w:footnote w:id="509">
    <w:p w14:paraId="7122A9E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ICCPR, Art. 7.</w:t>
      </w:r>
    </w:p>
  </w:footnote>
  <w:footnote w:id="510">
    <w:p w14:paraId="59DDCD0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Report No. 92/05, Case 12.418, </w:t>
      </w:r>
      <w:r w:rsidRPr="001167CB">
        <w:rPr>
          <w:rFonts w:asciiTheme="majorHAnsi" w:hAnsiTheme="majorHAnsi" w:cstheme="majorHAnsi"/>
          <w:i/>
          <w:color w:val="808080" w:themeColor="background1" w:themeShade="80"/>
          <w:sz w:val="16"/>
          <w:szCs w:val="16"/>
        </w:rPr>
        <w:t>Michael Gayle</w:t>
      </w:r>
      <w:r w:rsidRPr="001167CB">
        <w:rPr>
          <w:rFonts w:asciiTheme="majorHAnsi" w:hAnsiTheme="majorHAnsi" w:cstheme="majorHAnsi"/>
          <w:color w:val="808080" w:themeColor="background1" w:themeShade="80"/>
          <w:sz w:val="16"/>
          <w:szCs w:val="16"/>
        </w:rPr>
        <w:t xml:space="preserve"> (Jamaica), </w:t>
      </w:r>
      <w:r w:rsidRPr="001167CB">
        <w:rPr>
          <w:rFonts w:asciiTheme="majorHAnsi" w:hAnsiTheme="majorHAnsi" w:cstheme="majorHAnsi"/>
          <w:bCs/>
          <w:color w:val="808080" w:themeColor="background1" w:themeShade="80"/>
          <w:sz w:val="16"/>
          <w:szCs w:val="16"/>
        </w:rPr>
        <w:t xml:space="preserve">Oct. </w:t>
      </w:r>
      <w:r w:rsidRPr="001167CB">
        <w:rPr>
          <w:rFonts w:asciiTheme="majorHAnsi" w:hAnsiTheme="majorHAnsi" w:cstheme="majorHAnsi"/>
          <w:color w:val="808080" w:themeColor="background1" w:themeShade="80"/>
          <w:sz w:val="16"/>
          <w:szCs w:val="16"/>
        </w:rPr>
        <w:t xml:space="preserve">24, 2005, para. 62 (citing Case 10.832, Report Nº 35/96, </w:t>
      </w:r>
      <w:r w:rsidRPr="001167CB">
        <w:rPr>
          <w:rFonts w:asciiTheme="majorHAnsi" w:hAnsiTheme="majorHAnsi" w:cstheme="majorHAnsi"/>
          <w:i/>
          <w:color w:val="808080" w:themeColor="background1" w:themeShade="80"/>
          <w:sz w:val="16"/>
          <w:szCs w:val="16"/>
        </w:rPr>
        <w:t xml:space="preserve">Luis </w:t>
      </w:r>
      <w:proofErr w:type="spellStart"/>
      <w:r w:rsidRPr="001167CB">
        <w:rPr>
          <w:rFonts w:asciiTheme="majorHAnsi" w:hAnsiTheme="majorHAnsi" w:cstheme="majorHAnsi"/>
          <w:i/>
          <w:color w:val="808080" w:themeColor="background1" w:themeShade="80"/>
          <w:sz w:val="16"/>
          <w:szCs w:val="16"/>
        </w:rPr>
        <w:t>Lizardo</w:t>
      </w:r>
      <w:proofErr w:type="spellEnd"/>
      <w:r w:rsidRPr="001167CB">
        <w:rPr>
          <w:rFonts w:asciiTheme="majorHAnsi" w:hAnsiTheme="majorHAnsi" w:cstheme="majorHAnsi"/>
          <w:i/>
          <w:color w:val="808080" w:themeColor="background1" w:themeShade="80"/>
          <w:sz w:val="16"/>
          <w:szCs w:val="16"/>
        </w:rPr>
        <w:t xml:space="preserve"> Cabrera</w:t>
      </w:r>
      <w:r w:rsidRPr="001167CB">
        <w:rPr>
          <w:rFonts w:asciiTheme="majorHAnsi" w:hAnsiTheme="majorHAnsi" w:cstheme="majorHAnsi"/>
          <w:color w:val="808080" w:themeColor="background1" w:themeShade="80"/>
          <w:sz w:val="16"/>
          <w:szCs w:val="16"/>
        </w:rPr>
        <w:t xml:space="preserve"> (Dominican Republic), Annual Report of the IACHR 1997, para. 79, citing Eur. Com. H.R., </w:t>
      </w:r>
      <w:r w:rsidRPr="001167CB">
        <w:rPr>
          <w:rFonts w:asciiTheme="majorHAnsi" w:hAnsiTheme="majorHAnsi" w:cstheme="majorHAnsi"/>
          <w:i/>
          <w:iCs/>
          <w:color w:val="808080" w:themeColor="background1" w:themeShade="80"/>
          <w:sz w:val="16"/>
          <w:szCs w:val="16"/>
        </w:rPr>
        <w:t>The Greek Case</w:t>
      </w:r>
      <w:r w:rsidRPr="001167CB">
        <w:rPr>
          <w:rFonts w:asciiTheme="majorHAnsi" w:hAnsiTheme="majorHAnsi" w:cstheme="majorHAnsi"/>
          <w:color w:val="808080" w:themeColor="background1" w:themeShade="80"/>
          <w:sz w:val="16"/>
          <w:szCs w:val="16"/>
        </w:rPr>
        <w:t>, 1969, 12 Y. B. Eur. Conv. on H.R. 12, at 186).</w:t>
      </w:r>
    </w:p>
  </w:footnote>
  <w:footnote w:id="511">
    <w:p w14:paraId="2D10518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5C2394">
        <w:rPr>
          <w:rFonts w:asciiTheme="majorHAnsi" w:hAnsiTheme="majorHAnsi" w:cstheme="majorHAnsi"/>
          <w:color w:val="808080" w:themeColor="background1" w:themeShade="80"/>
          <w:sz w:val="16"/>
          <w:szCs w:val="16"/>
        </w:rPr>
        <w:t xml:space="preserve"> </w:t>
      </w:r>
      <w:r w:rsidRPr="005C2394">
        <w:rPr>
          <w:rFonts w:asciiTheme="majorHAnsi" w:hAnsiTheme="majorHAnsi" w:cstheme="majorHAnsi"/>
          <w:color w:val="808080" w:themeColor="background1" w:themeShade="80"/>
          <w:sz w:val="16"/>
          <w:szCs w:val="16"/>
        </w:rPr>
        <w:tab/>
        <w:t xml:space="preserve">Id. (citing </w:t>
      </w:r>
      <w:r w:rsidRPr="005C2394">
        <w:rPr>
          <w:rFonts w:asciiTheme="majorHAnsi" w:hAnsiTheme="majorHAnsi" w:cstheme="majorHAnsi"/>
          <w:i/>
          <w:color w:val="808080" w:themeColor="background1" w:themeShade="80"/>
          <w:sz w:val="16"/>
          <w:szCs w:val="16"/>
        </w:rPr>
        <w:t xml:space="preserve">Luis </w:t>
      </w:r>
      <w:proofErr w:type="spellStart"/>
      <w:r w:rsidRPr="005C2394">
        <w:rPr>
          <w:rFonts w:asciiTheme="majorHAnsi" w:hAnsiTheme="majorHAnsi" w:cstheme="majorHAnsi"/>
          <w:i/>
          <w:color w:val="808080" w:themeColor="background1" w:themeShade="80"/>
          <w:sz w:val="16"/>
          <w:szCs w:val="16"/>
        </w:rPr>
        <w:t>Lizardo</w:t>
      </w:r>
      <w:proofErr w:type="spellEnd"/>
      <w:r w:rsidRPr="005C2394">
        <w:rPr>
          <w:rFonts w:asciiTheme="majorHAnsi" w:hAnsiTheme="majorHAnsi" w:cstheme="majorHAnsi"/>
          <w:i/>
          <w:color w:val="808080" w:themeColor="background1" w:themeShade="80"/>
          <w:sz w:val="16"/>
          <w:szCs w:val="16"/>
        </w:rPr>
        <w:t xml:space="preserve"> Cabrera</w:t>
      </w:r>
      <w:r w:rsidRPr="005C2394">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t xml:space="preserve">80, citing Eur. Court H. R., Ireland v. United Kingdom, judgment of </w:t>
      </w:r>
      <w:r w:rsidRPr="001167CB">
        <w:rPr>
          <w:rFonts w:asciiTheme="majorHAnsi" w:hAnsiTheme="majorHAnsi" w:cstheme="majorHAnsi"/>
          <w:bCs/>
          <w:color w:val="808080" w:themeColor="background1" w:themeShade="80"/>
          <w:sz w:val="16"/>
          <w:szCs w:val="16"/>
        </w:rPr>
        <w:t xml:space="preserve">Oct. </w:t>
      </w:r>
      <w:r w:rsidRPr="001167CB">
        <w:rPr>
          <w:rFonts w:asciiTheme="majorHAnsi" w:hAnsiTheme="majorHAnsi" w:cstheme="majorHAnsi"/>
          <w:color w:val="808080" w:themeColor="background1" w:themeShade="80"/>
          <w:sz w:val="16"/>
          <w:szCs w:val="16"/>
        </w:rPr>
        <w:t xml:space="preserve">9, 1979, Ser. </w:t>
      </w:r>
      <w:proofErr w:type="gramStart"/>
      <w:r w:rsidRPr="001167CB">
        <w:rPr>
          <w:rFonts w:asciiTheme="majorHAnsi" w:hAnsiTheme="majorHAnsi" w:cstheme="majorHAnsi"/>
          <w:color w:val="808080" w:themeColor="background1" w:themeShade="80"/>
          <w:sz w:val="16"/>
          <w:szCs w:val="16"/>
        </w:rPr>
        <w:t>A</w:t>
      </w:r>
      <w:proofErr w:type="gramEnd"/>
      <w:r w:rsidRPr="001167CB">
        <w:rPr>
          <w:rFonts w:asciiTheme="majorHAnsi" w:hAnsiTheme="majorHAnsi" w:cstheme="majorHAnsi"/>
          <w:color w:val="808080" w:themeColor="background1" w:themeShade="80"/>
          <w:sz w:val="16"/>
          <w:szCs w:val="16"/>
        </w:rPr>
        <w:t xml:space="preserve"> Nº 25, para. 167).</w:t>
      </w:r>
    </w:p>
  </w:footnote>
  <w:footnote w:id="512">
    <w:p w14:paraId="6615624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CAT, Art. 1.</w:t>
      </w:r>
    </w:p>
  </w:footnote>
  <w:footnote w:id="513">
    <w:p w14:paraId="5D68A97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CAT, Art. 1.</w:t>
      </w:r>
    </w:p>
  </w:footnote>
  <w:footnote w:id="514">
    <w:p w14:paraId="133937D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Report No. 92/05, Case 12.418, </w:t>
      </w:r>
      <w:r w:rsidRPr="001167CB">
        <w:rPr>
          <w:rFonts w:asciiTheme="majorHAnsi" w:hAnsiTheme="majorHAnsi" w:cstheme="majorHAnsi"/>
          <w:i/>
          <w:color w:val="808080" w:themeColor="background1" w:themeShade="80"/>
          <w:sz w:val="16"/>
          <w:szCs w:val="16"/>
        </w:rPr>
        <w:t>Michael Gayle</w:t>
      </w:r>
      <w:r w:rsidRPr="001167CB">
        <w:rPr>
          <w:rFonts w:asciiTheme="majorHAnsi" w:hAnsiTheme="majorHAnsi" w:cstheme="majorHAnsi"/>
          <w:color w:val="808080" w:themeColor="background1" w:themeShade="80"/>
          <w:sz w:val="16"/>
          <w:szCs w:val="16"/>
        </w:rPr>
        <w:t xml:space="preserve"> (Jamaica), </w:t>
      </w:r>
      <w:r w:rsidRPr="001167CB">
        <w:rPr>
          <w:rFonts w:asciiTheme="majorHAnsi" w:hAnsiTheme="majorHAnsi" w:cstheme="majorHAnsi"/>
          <w:bCs/>
          <w:color w:val="808080" w:themeColor="background1" w:themeShade="80"/>
          <w:sz w:val="16"/>
          <w:szCs w:val="16"/>
        </w:rPr>
        <w:t xml:space="preserve">Oct. </w:t>
      </w:r>
      <w:r w:rsidRPr="001167CB">
        <w:rPr>
          <w:rFonts w:asciiTheme="majorHAnsi" w:hAnsiTheme="majorHAnsi" w:cstheme="majorHAnsi"/>
          <w:color w:val="808080" w:themeColor="background1" w:themeShade="80"/>
          <w:sz w:val="16"/>
          <w:szCs w:val="16"/>
        </w:rPr>
        <w:t>24, 2005, paras. 59-60.</w:t>
      </w:r>
    </w:p>
  </w:footnote>
  <w:footnote w:id="515">
    <w:p w14:paraId="1520A44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63.</w:t>
      </w:r>
    </w:p>
  </w:footnote>
  <w:footnote w:id="516">
    <w:p w14:paraId="642D84A7" w14:textId="03AAA09B" w:rsidR="005C2394" w:rsidRPr="001167CB" w:rsidRDefault="005C2394" w:rsidP="002C64F8">
      <w:pPr>
        <w:pStyle w:val="FootnoteText"/>
        <w:tabs>
          <w:tab w:val="left" w:pos="1080"/>
        </w:tabs>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IACHR, Report No. 64/12, Case 12.271, Merits, </w:t>
      </w:r>
      <w:r w:rsidRPr="001167CB">
        <w:rPr>
          <w:rFonts w:asciiTheme="majorHAnsi" w:hAnsiTheme="majorHAnsi" w:cstheme="majorHAnsi"/>
          <w:i/>
          <w:color w:val="808080" w:themeColor="background1" w:themeShade="80"/>
          <w:sz w:val="16"/>
          <w:szCs w:val="16"/>
        </w:rPr>
        <w:t>Benito Tide Méndez et al.</w:t>
      </w:r>
      <w:r w:rsidRPr="001167CB">
        <w:rPr>
          <w:rFonts w:asciiTheme="majorHAnsi" w:hAnsiTheme="majorHAnsi" w:cstheme="majorHAnsi"/>
          <w:color w:val="808080" w:themeColor="background1" w:themeShade="80"/>
          <w:sz w:val="16"/>
          <w:szCs w:val="16"/>
        </w:rPr>
        <w:t xml:space="preserve"> (Dominican Republic), Mar. 29, 2012, para. 209. </w:t>
      </w:r>
    </w:p>
  </w:footnote>
  <w:footnote w:id="517">
    <w:p w14:paraId="58343B85" w14:textId="3B2F1880"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s-US"/>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Id. at para. 194 (citing IACHR, Report No. 35/96, Case 10.832, Merits, </w:t>
      </w:r>
      <w:r w:rsidRPr="001167CB">
        <w:rPr>
          <w:rFonts w:asciiTheme="majorHAnsi" w:hAnsiTheme="majorHAnsi" w:cstheme="majorHAnsi"/>
          <w:i/>
          <w:color w:val="808080" w:themeColor="background1" w:themeShade="80"/>
          <w:sz w:val="16"/>
          <w:szCs w:val="16"/>
        </w:rPr>
        <w:t xml:space="preserve">Luis </w:t>
      </w:r>
      <w:proofErr w:type="spellStart"/>
      <w:r w:rsidRPr="001167CB">
        <w:rPr>
          <w:rFonts w:asciiTheme="majorHAnsi" w:hAnsiTheme="majorHAnsi" w:cstheme="majorHAnsi"/>
          <w:i/>
          <w:color w:val="808080" w:themeColor="background1" w:themeShade="80"/>
          <w:sz w:val="16"/>
          <w:szCs w:val="16"/>
        </w:rPr>
        <w:t>Lizardo</w:t>
      </w:r>
      <w:proofErr w:type="spellEnd"/>
      <w:r w:rsidRPr="001167CB">
        <w:rPr>
          <w:rFonts w:asciiTheme="majorHAnsi" w:hAnsiTheme="majorHAnsi" w:cstheme="majorHAnsi"/>
          <w:i/>
          <w:color w:val="808080" w:themeColor="background1" w:themeShade="80"/>
          <w:sz w:val="16"/>
          <w:szCs w:val="16"/>
        </w:rPr>
        <w:t xml:space="preserve"> Cabrera</w:t>
      </w:r>
      <w:r w:rsidRPr="001167CB">
        <w:rPr>
          <w:rFonts w:asciiTheme="majorHAnsi" w:hAnsiTheme="majorHAnsi" w:cstheme="majorHAnsi"/>
          <w:color w:val="808080" w:themeColor="background1" w:themeShade="80"/>
          <w:sz w:val="16"/>
          <w:szCs w:val="16"/>
        </w:rPr>
        <w:t xml:space="preserve"> (Dominican Republic). Feb. 19, 1998, para. 77, citing European Commission on Human Rights, The Greek Case, 1969, 12 </w:t>
      </w:r>
      <w:r w:rsidRPr="001167CB">
        <w:rPr>
          <w:rFonts w:asciiTheme="majorHAnsi" w:hAnsiTheme="majorHAnsi" w:cstheme="majorHAnsi"/>
          <w:smallCaps/>
          <w:color w:val="808080" w:themeColor="background1" w:themeShade="80"/>
          <w:sz w:val="16"/>
          <w:szCs w:val="16"/>
        </w:rPr>
        <w:t>Y.B. Eur. Conv. on H.R.</w:t>
      </w:r>
      <w:r w:rsidRPr="001167CB">
        <w:rPr>
          <w:rFonts w:asciiTheme="majorHAnsi" w:hAnsiTheme="majorHAnsi" w:cstheme="majorHAnsi"/>
          <w:color w:val="808080" w:themeColor="background1" w:themeShade="80"/>
          <w:sz w:val="16"/>
          <w:szCs w:val="16"/>
        </w:rPr>
        <w:t xml:space="preserve"> 12, 186.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IACHR, Report on Terrorism and Human Rights. </w:t>
      </w:r>
      <w:r w:rsidRPr="001167CB">
        <w:rPr>
          <w:rFonts w:asciiTheme="majorHAnsi" w:hAnsiTheme="majorHAnsi" w:cstheme="majorHAnsi"/>
          <w:color w:val="808080" w:themeColor="background1" w:themeShade="80"/>
          <w:sz w:val="16"/>
          <w:szCs w:val="16"/>
          <w:lang w:val="es-US"/>
        </w:rPr>
        <w:t>OEA/</w:t>
      </w:r>
      <w:proofErr w:type="spellStart"/>
      <w:r w:rsidRPr="001167CB">
        <w:rPr>
          <w:rFonts w:asciiTheme="majorHAnsi" w:hAnsiTheme="majorHAnsi" w:cstheme="majorHAnsi"/>
          <w:color w:val="808080" w:themeColor="background1" w:themeShade="80"/>
          <w:sz w:val="16"/>
          <w:szCs w:val="16"/>
          <w:lang w:val="es-US"/>
        </w:rPr>
        <w:t>Ser.L</w:t>
      </w:r>
      <w:proofErr w:type="spellEnd"/>
      <w:r w:rsidRPr="001167CB">
        <w:rPr>
          <w:rFonts w:asciiTheme="majorHAnsi" w:hAnsiTheme="majorHAnsi" w:cstheme="majorHAnsi"/>
          <w:color w:val="808080" w:themeColor="background1" w:themeShade="80"/>
          <w:sz w:val="16"/>
          <w:szCs w:val="16"/>
          <w:lang w:val="es-US"/>
        </w:rPr>
        <w:t xml:space="preserve">/V/II.116 </w:t>
      </w:r>
      <w:proofErr w:type="spellStart"/>
      <w:r w:rsidRPr="001167CB">
        <w:rPr>
          <w:rFonts w:asciiTheme="majorHAnsi" w:hAnsiTheme="majorHAnsi" w:cstheme="majorHAnsi"/>
          <w:color w:val="808080" w:themeColor="background1" w:themeShade="80"/>
          <w:sz w:val="16"/>
          <w:szCs w:val="16"/>
          <w:lang w:val="es-US"/>
        </w:rPr>
        <w:t>Doc</w:t>
      </w:r>
      <w:proofErr w:type="spellEnd"/>
      <w:r w:rsidRPr="001167CB">
        <w:rPr>
          <w:rFonts w:asciiTheme="majorHAnsi" w:hAnsiTheme="majorHAnsi" w:cstheme="majorHAnsi"/>
          <w:color w:val="808080" w:themeColor="background1" w:themeShade="80"/>
          <w:sz w:val="16"/>
          <w:szCs w:val="16"/>
          <w:lang w:val="es-US"/>
        </w:rPr>
        <w:t xml:space="preserve"> 5 </w:t>
      </w:r>
      <w:proofErr w:type="spellStart"/>
      <w:r w:rsidRPr="001167CB">
        <w:rPr>
          <w:rFonts w:asciiTheme="majorHAnsi" w:hAnsiTheme="majorHAnsi" w:cstheme="majorHAnsi"/>
          <w:color w:val="808080" w:themeColor="background1" w:themeShade="80"/>
          <w:sz w:val="16"/>
          <w:szCs w:val="16"/>
          <w:lang w:val="es-US"/>
        </w:rPr>
        <w:t>rev.</w:t>
      </w:r>
      <w:proofErr w:type="spellEnd"/>
      <w:r w:rsidRPr="001167CB">
        <w:rPr>
          <w:rFonts w:asciiTheme="majorHAnsi" w:hAnsiTheme="majorHAnsi" w:cstheme="majorHAnsi"/>
          <w:color w:val="808080" w:themeColor="background1" w:themeShade="80"/>
          <w:sz w:val="16"/>
          <w:szCs w:val="16"/>
          <w:lang w:val="es-US"/>
        </w:rPr>
        <w:t xml:space="preserve"> 1 </w:t>
      </w:r>
      <w:proofErr w:type="spellStart"/>
      <w:r w:rsidRPr="001167CB">
        <w:rPr>
          <w:rFonts w:asciiTheme="majorHAnsi" w:hAnsiTheme="majorHAnsi" w:cstheme="majorHAnsi"/>
          <w:color w:val="808080" w:themeColor="background1" w:themeShade="80"/>
          <w:sz w:val="16"/>
          <w:szCs w:val="16"/>
          <w:lang w:val="es-US"/>
        </w:rPr>
        <w:t>corr</w:t>
      </w:r>
      <w:proofErr w:type="spellEnd"/>
      <w:r w:rsidRPr="001167CB">
        <w:rPr>
          <w:rFonts w:asciiTheme="majorHAnsi" w:hAnsiTheme="majorHAnsi" w:cstheme="majorHAnsi"/>
          <w:color w:val="808080" w:themeColor="background1" w:themeShade="80"/>
          <w:sz w:val="16"/>
          <w:szCs w:val="16"/>
          <w:lang w:val="es-US"/>
        </w:rPr>
        <w:t>. (2002), para. 156.)</w:t>
      </w:r>
    </w:p>
  </w:footnote>
  <w:footnote w:id="518">
    <w:p w14:paraId="66DC549A" w14:textId="1A621A32" w:rsidR="005C2394" w:rsidRPr="001167CB" w:rsidRDefault="005C2394" w:rsidP="002C64F8">
      <w:pPr>
        <w:pStyle w:val="FootnoteText"/>
        <w:tabs>
          <w:tab w:val="left" w:pos="1080"/>
        </w:tabs>
        <w:spacing w:after="40"/>
        <w:ind w:left="547" w:hanging="547"/>
        <w:jc w:val="both"/>
        <w:rPr>
          <w:rFonts w:asciiTheme="majorHAnsi" w:hAnsiTheme="majorHAnsi" w:cstheme="majorHAnsi"/>
          <w:color w:val="808080" w:themeColor="background1" w:themeShade="80"/>
          <w:sz w:val="16"/>
          <w:szCs w:val="16"/>
          <w:lang w:val="es-US"/>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s-US"/>
        </w:rPr>
        <w:t xml:space="preserve">           Id.</w:t>
      </w:r>
    </w:p>
  </w:footnote>
  <w:footnote w:id="519">
    <w:p w14:paraId="2DA67861" w14:textId="044515AC" w:rsidR="005C2394" w:rsidRPr="001167CB" w:rsidRDefault="005C2394" w:rsidP="002C64F8">
      <w:pPr>
        <w:pStyle w:val="FootnoteText"/>
        <w:tabs>
          <w:tab w:val="left" w:pos="900"/>
        </w:tabs>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Id. (citing </w:t>
      </w:r>
      <w:proofErr w:type="gramStart"/>
      <w:r w:rsidRPr="001167CB">
        <w:rPr>
          <w:rFonts w:asciiTheme="majorHAnsi" w:hAnsiTheme="majorHAnsi" w:cstheme="majorHAnsi"/>
          <w:color w:val="808080" w:themeColor="background1" w:themeShade="80"/>
          <w:sz w:val="16"/>
          <w:szCs w:val="16"/>
        </w:rPr>
        <w:t>I/A</w:t>
      </w:r>
      <w:proofErr w:type="gramEnd"/>
      <w:r w:rsidRPr="001167CB">
        <w:rPr>
          <w:rFonts w:asciiTheme="majorHAnsi" w:hAnsiTheme="majorHAnsi" w:cstheme="majorHAnsi"/>
          <w:color w:val="808080" w:themeColor="background1" w:themeShade="80"/>
          <w:sz w:val="16"/>
          <w:szCs w:val="16"/>
        </w:rPr>
        <w:t xml:space="preserve"> Ct. H.R., </w:t>
      </w:r>
      <w:proofErr w:type="spellStart"/>
      <w:r w:rsidRPr="001167CB">
        <w:rPr>
          <w:rFonts w:asciiTheme="majorHAnsi" w:hAnsiTheme="majorHAnsi" w:cstheme="majorHAnsi"/>
          <w:i/>
          <w:color w:val="808080" w:themeColor="background1" w:themeShade="80"/>
          <w:sz w:val="16"/>
          <w:szCs w:val="16"/>
        </w:rPr>
        <w:t>Loayza</w:t>
      </w:r>
      <w:proofErr w:type="spellEnd"/>
      <w:r w:rsidRPr="001167CB">
        <w:rPr>
          <w:rFonts w:asciiTheme="majorHAnsi" w:hAnsiTheme="majorHAnsi" w:cstheme="majorHAnsi"/>
          <w:i/>
          <w:color w:val="808080" w:themeColor="background1" w:themeShade="80"/>
          <w:sz w:val="16"/>
          <w:szCs w:val="16"/>
        </w:rPr>
        <w:t xml:space="preserve"> Tamayo v. Peru</w:t>
      </w:r>
      <w:r w:rsidRPr="001167CB">
        <w:rPr>
          <w:rFonts w:asciiTheme="majorHAnsi" w:hAnsiTheme="majorHAnsi" w:cstheme="majorHAnsi"/>
          <w:color w:val="808080" w:themeColor="background1" w:themeShade="80"/>
          <w:sz w:val="16"/>
          <w:szCs w:val="16"/>
        </w:rPr>
        <w:t>. Sept. 19, 1997, Series C Nº 33, para. 57).</w:t>
      </w:r>
    </w:p>
  </w:footnote>
  <w:footnote w:id="520">
    <w:p w14:paraId="1BB6EC0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Committee </w:t>
      </w:r>
      <w:proofErr w:type="gramStart"/>
      <w:r w:rsidRPr="001167CB">
        <w:rPr>
          <w:rFonts w:asciiTheme="majorHAnsi" w:hAnsiTheme="majorHAnsi" w:cstheme="majorHAnsi"/>
          <w:color w:val="808080" w:themeColor="background1" w:themeShade="80"/>
          <w:sz w:val="16"/>
          <w:szCs w:val="16"/>
        </w:rPr>
        <w:t>Against</w:t>
      </w:r>
      <w:proofErr w:type="gramEnd"/>
      <w:r w:rsidRPr="001167CB">
        <w:rPr>
          <w:rFonts w:asciiTheme="majorHAnsi" w:hAnsiTheme="majorHAnsi" w:cstheme="majorHAnsi"/>
          <w:color w:val="808080" w:themeColor="background1" w:themeShade="80"/>
          <w:sz w:val="16"/>
          <w:szCs w:val="16"/>
        </w:rPr>
        <w:t xml:space="preserve"> Torture, </w:t>
      </w:r>
      <w:r w:rsidRPr="001167CB">
        <w:rPr>
          <w:rFonts w:asciiTheme="majorHAnsi" w:hAnsiTheme="majorHAnsi" w:cstheme="majorHAnsi"/>
          <w:i/>
          <w:color w:val="808080" w:themeColor="background1" w:themeShade="80"/>
          <w:sz w:val="16"/>
          <w:szCs w:val="16"/>
        </w:rPr>
        <w:t>Conclusions and recommendations: U.S.</w:t>
      </w:r>
      <w:r w:rsidRPr="001167CB">
        <w:rPr>
          <w:rFonts w:asciiTheme="majorHAnsi" w:hAnsiTheme="majorHAnsi" w:cstheme="majorHAnsi"/>
          <w:color w:val="808080" w:themeColor="background1" w:themeShade="80"/>
          <w:sz w:val="16"/>
          <w:szCs w:val="16"/>
        </w:rPr>
        <w:t>, U.N. Doc. CAT/C/USA/CO/2 (July 25, 2006), para. 23.</w:t>
      </w:r>
    </w:p>
  </w:footnote>
  <w:footnote w:id="521">
    <w:p w14:paraId="538965E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37.</w:t>
      </w:r>
    </w:p>
  </w:footnote>
  <w:footnote w:id="522">
    <w:p w14:paraId="5917A3A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bookmarkStart w:id="200" w:name="_Hlk504833244"/>
      <w:r w:rsidRPr="001167CB">
        <w:rPr>
          <w:rFonts w:asciiTheme="majorHAnsi" w:hAnsiTheme="majorHAnsi" w:cstheme="majorHAnsi"/>
          <w:color w:val="808080" w:themeColor="background1" w:themeShade="80"/>
          <w:sz w:val="16"/>
          <w:szCs w:val="16"/>
        </w:rPr>
        <w:tab/>
        <w:t xml:space="preserve">Committee Against Torture, </w:t>
      </w:r>
      <w:r w:rsidRPr="001167CB">
        <w:rPr>
          <w:rFonts w:asciiTheme="majorHAnsi" w:hAnsiTheme="majorHAnsi" w:cstheme="majorHAnsi"/>
          <w:i/>
          <w:color w:val="808080" w:themeColor="background1" w:themeShade="80"/>
          <w:sz w:val="16"/>
          <w:szCs w:val="16"/>
        </w:rPr>
        <w:t>Concluding observations on the combined third to fifth periodic reports of the United States of America</w:t>
      </w:r>
      <w:r w:rsidRPr="001167CB">
        <w:rPr>
          <w:rFonts w:asciiTheme="majorHAnsi" w:hAnsiTheme="majorHAnsi" w:cstheme="majorHAnsi"/>
          <w:color w:val="808080" w:themeColor="background1" w:themeShade="80"/>
          <w:sz w:val="16"/>
          <w:szCs w:val="16"/>
        </w:rPr>
        <w:t>, CAT/C/USA/CO/3-5, Dec. 19, 2014, para. 26.</w:t>
      </w:r>
      <w:bookmarkEnd w:id="200"/>
    </w:p>
  </w:footnote>
  <w:footnote w:id="523">
    <w:p w14:paraId="7AED980D" w14:textId="44F148DD"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generally infra</w:t>
      </w:r>
      <w:r w:rsidRPr="001167CB">
        <w:rPr>
          <w:rFonts w:asciiTheme="majorHAnsi" w:hAnsiTheme="majorHAnsi" w:cstheme="majorHAnsi"/>
          <w:color w:val="808080" w:themeColor="background1" w:themeShade="80"/>
          <w:sz w:val="16"/>
          <w:szCs w:val="16"/>
        </w:rPr>
        <w:t xml:space="preserve"> paras.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_Ref507518542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250</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_Ref507518547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256</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524">
    <w:p w14:paraId="07EF23E3" w14:textId="7E2EB81E"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supra</w:t>
      </w:r>
      <w:r w:rsidRPr="001167CB">
        <w:rPr>
          <w:rFonts w:asciiTheme="majorHAnsi" w:hAnsiTheme="majorHAnsi" w:cstheme="majorHAnsi"/>
          <w:color w:val="808080" w:themeColor="background1" w:themeShade="80"/>
          <w:sz w:val="16"/>
          <w:szCs w:val="16"/>
        </w:rPr>
        <w:t xml:space="preserve"> paras.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_Ref507148704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66</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_Ref507153340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87</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_Ref507153342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89</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_Ref507405452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178</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525">
    <w:p w14:paraId="7C4063FF" w14:textId="77777777"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ACLU, </w:t>
      </w:r>
      <w:hyperlink r:id="rId601" w:history="1">
        <w:r w:rsidRPr="001167CB">
          <w:rPr>
            <w:rStyle w:val="Hyperlink"/>
            <w:rFonts w:asciiTheme="majorHAnsi" w:hAnsiTheme="majorHAnsi" w:cstheme="majorHAnsi"/>
            <w:color w:val="808080" w:themeColor="background1" w:themeShade="80"/>
            <w:sz w:val="16"/>
            <w:szCs w:val="16"/>
          </w:rPr>
          <w:t>The War on Marijuana in Black and White</w:t>
        </w:r>
      </w:hyperlink>
      <w:proofErr w:type="gramStart"/>
      <w:r w:rsidRPr="001167CB">
        <w:rPr>
          <w:rFonts w:asciiTheme="majorHAnsi" w:hAnsiTheme="majorHAnsi" w:cstheme="majorHAnsi"/>
          <w:color w:val="808080" w:themeColor="background1" w:themeShade="80"/>
          <w:sz w:val="16"/>
          <w:szCs w:val="16"/>
        </w:rPr>
        <w:t>,  June</w:t>
      </w:r>
      <w:proofErr w:type="gramEnd"/>
      <w:r w:rsidRPr="001167CB">
        <w:rPr>
          <w:rFonts w:asciiTheme="majorHAnsi" w:hAnsiTheme="majorHAnsi" w:cstheme="majorHAnsi"/>
          <w:color w:val="808080" w:themeColor="background1" w:themeShade="80"/>
          <w:sz w:val="16"/>
          <w:szCs w:val="16"/>
        </w:rPr>
        <w:t xml:space="preserve"> 2013.</w:t>
      </w:r>
    </w:p>
  </w:footnote>
  <w:footnote w:id="526">
    <w:p w14:paraId="4D49381B" w14:textId="77777777"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ACLU. </w:t>
      </w:r>
      <w:hyperlink r:id="rId602" w:history="1">
        <w:r w:rsidRPr="001167CB">
          <w:rPr>
            <w:rStyle w:val="Hyperlink"/>
            <w:rFonts w:asciiTheme="majorHAnsi" w:hAnsiTheme="majorHAnsi" w:cstheme="majorHAnsi"/>
            <w:iCs/>
            <w:color w:val="808080" w:themeColor="background1" w:themeShade="80"/>
            <w:sz w:val="16"/>
            <w:szCs w:val="16"/>
          </w:rPr>
          <w:t>War Comes Home</w:t>
        </w:r>
        <w:r w:rsidRPr="001167CB">
          <w:rPr>
            <w:rStyle w:val="Hyperlink"/>
            <w:rFonts w:asciiTheme="majorHAnsi" w:hAnsiTheme="majorHAnsi" w:cstheme="majorHAnsi"/>
            <w:color w:val="808080" w:themeColor="background1" w:themeShade="80"/>
            <w:sz w:val="16"/>
            <w:szCs w:val="16"/>
          </w:rPr>
          <w:t>.</w:t>
        </w:r>
      </w:hyperlink>
      <w:r w:rsidRPr="001167CB">
        <w:rPr>
          <w:rFonts w:asciiTheme="majorHAnsi" w:hAnsiTheme="majorHAnsi" w:cstheme="majorHAnsi"/>
          <w:color w:val="808080" w:themeColor="background1" w:themeShade="80"/>
          <w:sz w:val="16"/>
          <w:szCs w:val="16"/>
        </w:rPr>
        <w:t xml:space="preserve"> </w:t>
      </w:r>
      <w:hyperlink r:id="rId603" w:history="1">
        <w:r w:rsidRPr="001167CB">
          <w:rPr>
            <w:rStyle w:val="Hyperlink"/>
            <w:rFonts w:asciiTheme="majorHAnsi" w:hAnsiTheme="majorHAnsi" w:cstheme="majorHAnsi"/>
            <w:color w:val="808080" w:themeColor="background1" w:themeShade="80"/>
            <w:sz w:val="16"/>
            <w:szCs w:val="16"/>
          </w:rPr>
          <w:t>The Excessive Militarization of American Policing</w:t>
        </w:r>
      </w:hyperlink>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lang w:val="en-GB"/>
        </w:rPr>
        <w:t xml:space="preserve">June 2014, </w:t>
      </w:r>
      <w:r w:rsidRPr="001167CB">
        <w:rPr>
          <w:rFonts w:asciiTheme="majorHAnsi" w:hAnsiTheme="majorHAnsi" w:cstheme="majorHAnsi"/>
          <w:color w:val="808080" w:themeColor="background1" w:themeShade="80"/>
          <w:sz w:val="16"/>
          <w:szCs w:val="16"/>
        </w:rPr>
        <w:t>p. 3.</w:t>
      </w:r>
    </w:p>
  </w:footnote>
  <w:footnote w:id="527">
    <w:p w14:paraId="0CFA3110" w14:textId="77777777" w:rsidR="005C2394" w:rsidRPr="001167CB" w:rsidRDefault="005C2394" w:rsidP="002C64F8">
      <w:pPr>
        <w:pStyle w:val="FootnoteText"/>
        <w:spacing w:after="40"/>
        <w:ind w:left="547" w:hanging="547"/>
        <w:contextualSpacing/>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5.</w:t>
      </w:r>
    </w:p>
  </w:footnote>
  <w:footnote w:id="528">
    <w:p w14:paraId="7538F0B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04"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Mar. 17, 2016, para. 40.</w:t>
      </w:r>
    </w:p>
  </w:footnote>
  <w:footnote w:id="529">
    <w:p w14:paraId="2477049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49.</w:t>
      </w:r>
    </w:p>
  </w:footnote>
  <w:footnote w:id="530">
    <w:p w14:paraId="04F77DD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2.</w:t>
      </w:r>
    </w:p>
  </w:footnote>
  <w:footnote w:id="531">
    <w:p w14:paraId="25A3F71A" w14:textId="00642E16"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supra </w:t>
      </w:r>
      <w:r w:rsidRPr="001167CB">
        <w:rPr>
          <w:rFonts w:asciiTheme="majorHAnsi" w:hAnsiTheme="majorHAnsi" w:cstheme="majorHAnsi"/>
          <w:color w:val="808080" w:themeColor="background1" w:themeShade="80"/>
          <w:sz w:val="16"/>
          <w:szCs w:val="16"/>
        </w:rPr>
        <w:t xml:space="preserve">paras. </w:t>
      </w:r>
      <w:r w:rsidRPr="001167CB">
        <w:rPr>
          <w:rFonts w:asciiTheme="majorHAnsi" w:hAnsiTheme="majorHAnsi" w:cstheme="majorHAnsi"/>
          <w:color w:val="808080" w:themeColor="background1" w:themeShade="80"/>
          <w:sz w:val="16"/>
          <w:szCs w:val="16"/>
          <w:lang w:val="es-MX"/>
        </w:rPr>
        <w:fldChar w:fldCharType="begin"/>
      </w:r>
      <w:r w:rsidRPr="001167CB">
        <w:rPr>
          <w:rFonts w:asciiTheme="majorHAnsi" w:hAnsiTheme="majorHAnsi" w:cstheme="majorHAnsi"/>
          <w:color w:val="808080" w:themeColor="background1" w:themeShade="80"/>
          <w:sz w:val="16"/>
          <w:szCs w:val="16"/>
        </w:rPr>
        <w:instrText xml:space="preserve"> REF _Ref507405582 \r \h  \* MERGEFORMAT </w:instrText>
      </w:r>
      <w:r w:rsidRPr="001167CB">
        <w:rPr>
          <w:rFonts w:asciiTheme="majorHAnsi" w:hAnsiTheme="majorHAnsi" w:cstheme="majorHAnsi"/>
          <w:color w:val="808080" w:themeColor="background1" w:themeShade="80"/>
          <w:sz w:val="16"/>
          <w:szCs w:val="16"/>
          <w:lang w:val="es-MX"/>
        </w:rPr>
      </w:r>
      <w:r w:rsidRPr="001167CB">
        <w:rPr>
          <w:rFonts w:asciiTheme="majorHAnsi" w:hAnsiTheme="majorHAnsi" w:cstheme="majorHAnsi"/>
          <w:color w:val="808080" w:themeColor="background1" w:themeShade="80"/>
          <w:sz w:val="16"/>
          <w:szCs w:val="16"/>
          <w:lang w:val="es-MX"/>
        </w:rPr>
        <w:fldChar w:fldCharType="separate"/>
      </w:r>
      <w:r w:rsidRPr="001167CB">
        <w:rPr>
          <w:rFonts w:asciiTheme="majorHAnsi" w:hAnsiTheme="majorHAnsi" w:cstheme="majorHAnsi"/>
          <w:color w:val="808080" w:themeColor="background1" w:themeShade="80"/>
          <w:sz w:val="16"/>
          <w:szCs w:val="16"/>
        </w:rPr>
        <w:t>119</w:t>
      </w:r>
      <w:r w:rsidRPr="001167CB">
        <w:rPr>
          <w:rFonts w:asciiTheme="majorHAnsi" w:hAnsiTheme="majorHAnsi" w:cstheme="majorHAnsi"/>
          <w:color w:val="808080" w:themeColor="background1" w:themeShade="80"/>
          <w:sz w:val="16"/>
          <w:szCs w:val="16"/>
          <w:lang w:val="es-MX"/>
        </w:rPr>
        <w:fldChar w:fldCharType="end"/>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lang w:val="es-MX"/>
        </w:rPr>
        <w:fldChar w:fldCharType="begin"/>
      </w:r>
      <w:r w:rsidRPr="001167CB">
        <w:rPr>
          <w:rFonts w:asciiTheme="majorHAnsi" w:hAnsiTheme="majorHAnsi" w:cstheme="majorHAnsi"/>
          <w:color w:val="808080" w:themeColor="background1" w:themeShade="80"/>
          <w:sz w:val="16"/>
          <w:szCs w:val="16"/>
        </w:rPr>
        <w:instrText xml:space="preserve"> REF _Ref507405594 \r \h  \* MERGEFORMAT </w:instrText>
      </w:r>
      <w:r w:rsidRPr="001167CB">
        <w:rPr>
          <w:rFonts w:asciiTheme="majorHAnsi" w:hAnsiTheme="majorHAnsi" w:cstheme="majorHAnsi"/>
          <w:color w:val="808080" w:themeColor="background1" w:themeShade="80"/>
          <w:sz w:val="16"/>
          <w:szCs w:val="16"/>
          <w:lang w:val="es-MX"/>
        </w:rPr>
      </w:r>
      <w:r w:rsidRPr="001167CB">
        <w:rPr>
          <w:rFonts w:asciiTheme="majorHAnsi" w:hAnsiTheme="majorHAnsi" w:cstheme="majorHAnsi"/>
          <w:color w:val="808080" w:themeColor="background1" w:themeShade="80"/>
          <w:sz w:val="16"/>
          <w:szCs w:val="16"/>
          <w:lang w:val="es-MX"/>
        </w:rPr>
        <w:fldChar w:fldCharType="separate"/>
      </w:r>
      <w:r w:rsidRPr="001167CB">
        <w:rPr>
          <w:rFonts w:asciiTheme="majorHAnsi" w:hAnsiTheme="majorHAnsi" w:cstheme="majorHAnsi"/>
          <w:color w:val="808080" w:themeColor="background1" w:themeShade="80"/>
          <w:sz w:val="16"/>
          <w:szCs w:val="16"/>
        </w:rPr>
        <w:t>126</w:t>
      </w:r>
      <w:r w:rsidRPr="001167CB">
        <w:rPr>
          <w:rFonts w:asciiTheme="majorHAnsi" w:hAnsiTheme="majorHAnsi" w:cstheme="majorHAnsi"/>
          <w:color w:val="808080" w:themeColor="background1" w:themeShade="80"/>
          <w:sz w:val="16"/>
          <w:szCs w:val="16"/>
          <w:lang w:val="es-MX"/>
        </w:rPr>
        <w:fldChar w:fldCharType="end"/>
      </w:r>
      <w:r w:rsidRPr="001167CB">
        <w:rPr>
          <w:rFonts w:asciiTheme="majorHAnsi" w:hAnsiTheme="majorHAnsi" w:cstheme="majorHAnsi"/>
          <w:color w:val="808080" w:themeColor="background1" w:themeShade="80"/>
          <w:sz w:val="16"/>
          <w:szCs w:val="16"/>
        </w:rPr>
        <w:t>.</w:t>
      </w:r>
    </w:p>
  </w:footnote>
  <w:footnote w:id="532">
    <w:p w14:paraId="1E4B714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05"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Mar. 17, 2016, para. 64.</w:t>
      </w:r>
    </w:p>
  </w:footnote>
  <w:footnote w:id="533">
    <w:p w14:paraId="4F4623B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68.</w:t>
      </w:r>
    </w:p>
  </w:footnote>
  <w:footnote w:id="534">
    <w:p w14:paraId="50D4D24F" w14:textId="59877A85"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at para. 120. </w:t>
      </w:r>
      <w:r w:rsidRPr="001167CB">
        <w:rPr>
          <w:rFonts w:asciiTheme="majorHAnsi" w:hAnsiTheme="majorHAnsi" w:cstheme="majorHAnsi"/>
          <w:i/>
          <w:color w:val="808080" w:themeColor="background1" w:themeShade="80"/>
          <w:sz w:val="16"/>
          <w:szCs w:val="16"/>
        </w:rPr>
        <w:t>See also supra</w:t>
      </w:r>
      <w:r w:rsidRPr="001167CB">
        <w:rPr>
          <w:rFonts w:asciiTheme="majorHAnsi" w:hAnsiTheme="majorHAnsi" w:cstheme="majorHAnsi"/>
          <w:color w:val="808080" w:themeColor="background1" w:themeShade="80"/>
          <w:sz w:val="16"/>
          <w:szCs w:val="16"/>
        </w:rPr>
        <w:t xml:space="preserve"> paras.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_Ref507405694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221</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_Ref507405696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222</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 xml:space="preserve">. </w:t>
      </w:r>
    </w:p>
  </w:footnote>
  <w:footnote w:id="535">
    <w:p w14:paraId="64618F0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79.</w:t>
      </w:r>
    </w:p>
  </w:footnote>
  <w:footnote w:id="536">
    <w:p w14:paraId="0DB869D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at para. 79 (citing IACHR, </w:t>
      </w:r>
      <w:hyperlink r:id="rId606" w:history="1">
        <w:r w:rsidRPr="001167CB">
          <w:rPr>
            <w:rStyle w:val="Hyperlink"/>
            <w:rFonts w:asciiTheme="majorHAnsi" w:hAnsiTheme="majorHAnsi" w:cstheme="majorHAnsi"/>
            <w:color w:val="808080" w:themeColor="background1" w:themeShade="80"/>
            <w:sz w:val="16"/>
            <w:szCs w:val="16"/>
          </w:rPr>
          <w:t>Citizen Security and Human Rights</w:t>
        </w:r>
      </w:hyperlink>
      <w:r w:rsidRPr="001167CB">
        <w:rPr>
          <w:rFonts w:asciiTheme="majorHAnsi" w:hAnsiTheme="majorHAnsi" w:cstheme="majorHAnsi"/>
          <w:color w:val="808080" w:themeColor="background1" w:themeShade="80"/>
          <w:sz w:val="16"/>
          <w:szCs w:val="16"/>
        </w:rPr>
        <w:t xml:space="preserve"> (2009), para. 193).</w:t>
      </w:r>
    </w:p>
  </w:footnote>
  <w:footnote w:id="537">
    <w:p w14:paraId="76C036D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w:t>
      </w:r>
      <w:r w:rsidRPr="001167CB">
        <w:rPr>
          <w:rFonts w:asciiTheme="majorHAnsi" w:hAnsiTheme="majorHAnsi" w:cstheme="majorHAnsi"/>
          <w:color w:val="808080" w:themeColor="background1" w:themeShade="80"/>
          <w:sz w:val="16"/>
          <w:szCs w:val="16"/>
        </w:rPr>
        <w:t xml:space="preserve">Id. at para. 82 (citing UN, </w:t>
      </w:r>
      <w:r w:rsidRPr="001167CB">
        <w:rPr>
          <w:rFonts w:asciiTheme="majorHAnsi" w:hAnsiTheme="majorHAnsi" w:cstheme="majorHAnsi"/>
          <w:i/>
          <w:color w:val="808080" w:themeColor="background1" w:themeShade="80"/>
          <w:sz w:val="16"/>
          <w:szCs w:val="16"/>
        </w:rPr>
        <w:t xml:space="preserve">Report of the Special Rapporteur on extrajudicial, summary or arbitrary executions, Christof </w:t>
      </w:r>
      <w:proofErr w:type="spellStart"/>
      <w:r w:rsidRPr="001167CB">
        <w:rPr>
          <w:rFonts w:asciiTheme="majorHAnsi" w:hAnsiTheme="majorHAnsi" w:cstheme="majorHAnsi"/>
          <w:i/>
          <w:color w:val="808080" w:themeColor="background1" w:themeShade="80"/>
          <w:sz w:val="16"/>
          <w:szCs w:val="16"/>
        </w:rPr>
        <w:t>Heyns</w:t>
      </w:r>
      <w:proofErr w:type="spellEnd"/>
      <w:r w:rsidRPr="001167CB">
        <w:rPr>
          <w:rFonts w:asciiTheme="majorHAnsi" w:hAnsiTheme="majorHAnsi" w:cstheme="majorHAnsi"/>
          <w:i/>
          <w:color w:val="808080" w:themeColor="background1" w:themeShade="80"/>
          <w:sz w:val="16"/>
          <w:szCs w:val="16"/>
        </w:rPr>
        <w:t>, "Use of force during demonstrations,"</w:t>
      </w:r>
      <w:r w:rsidRPr="001167CB">
        <w:rPr>
          <w:rFonts w:asciiTheme="majorHAnsi" w:hAnsiTheme="majorHAnsi" w:cstheme="majorHAnsi"/>
          <w:color w:val="808080" w:themeColor="background1" w:themeShade="80"/>
          <w:sz w:val="16"/>
          <w:szCs w:val="16"/>
        </w:rPr>
        <w:t xml:space="preserve"> A/HRC/17/28. May 23, 2011. Para. 75. See also: Amnesty International, </w:t>
      </w:r>
      <w:r w:rsidRPr="001167CB">
        <w:rPr>
          <w:rFonts w:asciiTheme="majorHAnsi" w:hAnsiTheme="majorHAnsi" w:cstheme="majorHAnsi"/>
          <w:i/>
          <w:color w:val="808080" w:themeColor="background1" w:themeShade="80"/>
          <w:sz w:val="16"/>
          <w:szCs w:val="16"/>
        </w:rPr>
        <w:t>Use of force: Guidelines for implementation of the UN Basic Principles on the Use of Force and Firearms by Law Enforcement Officials</w:t>
      </w:r>
      <w:r w:rsidRPr="001167CB">
        <w:rPr>
          <w:rFonts w:asciiTheme="majorHAnsi" w:hAnsiTheme="majorHAnsi" w:cstheme="majorHAnsi"/>
          <w:color w:val="808080" w:themeColor="background1" w:themeShade="80"/>
          <w:sz w:val="16"/>
          <w:szCs w:val="16"/>
        </w:rPr>
        <w:t>, Aug. 2015. p. 148(</w:t>
      </w:r>
      <w:proofErr w:type="spellStart"/>
      <w:r w:rsidRPr="001167CB">
        <w:rPr>
          <w:rFonts w:asciiTheme="majorHAnsi" w:hAnsiTheme="majorHAnsi" w:cstheme="majorHAnsi"/>
          <w:color w:val="808080" w:themeColor="background1" w:themeShade="80"/>
          <w:sz w:val="16"/>
          <w:szCs w:val="16"/>
        </w:rPr>
        <w:t>i</w:t>
      </w:r>
      <w:proofErr w:type="spellEnd"/>
      <w:r w:rsidRPr="001167CB">
        <w:rPr>
          <w:rFonts w:asciiTheme="majorHAnsi" w:hAnsiTheme="majorHAnsi" w:cstheme="majorHAnsi"/>
          <w:color w:val="808080" w:themeColor="background1" w:themeShade="80"/>
          <w:sz w:val="16"/>
          <w:szCs w:val="16"/>
        </w:rPr>
        <w:t>)).</w:t>
      </w:r>
    </w:p>
  </w:footnote>
  <w:footnote w:id="538">
    <w:p w14:paraId="4704AD9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07"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Mar. 17, 2016, para. 82 (citing Report on the Situation of Human Rights Defenders in the Americas,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/V/II.124, Doc. 5 rev. 1, Mar. 7, 2006, para. 68(a)).</w:t>
      </w:r>
    </w:p>
  </w:footnote>
  <w:footnote w:id="539">
    <w:p w14:paraId="19858C9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82 (citations omitted).</w:t>
      </w:r>
    </w:p>
  </w:footnote>
  <w:footnote w:id="540">
    <w:p w14:paraId="336F894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84.</w:t>
      </w:r>
    </w:p>
  </w:footnote>
  <w:footnote w:id="541">
    <w:p w14:paraId="58F2050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at para. </w:t>
      </w:r>
      <w:r w:rsidRPr="005C2394">
        <w:rPr>
          <w:rFonts w:asciiTheme="majorHAnsi" w:hAnsiTheme="majorHAnsi" w:cstheme="majorHAnsi"/>
          <w:color w:val="808080" w:themeColor="background1" w:themeShade="80"/>
          <w:sz w:val="16"/>
          <w:szCs w:val="16"/>
          <w:lang w:val="es-US"/>
        </w:rPr>
        <w:t>121 (</w:t>
      </w:r>
      <w:proofErr w:type="spellStart"/>
      <w:r w:rsidRPr="005C2394">
        <w:rPr>
          <w:rFonts w:asciiTheme="majorHAnsi" w:hAnsiTheme="majorHAnsi" w:cstheme="majorHAnsi"/>
          <w:color w:val="808080" w:themeColor="background1" w:themeShade="80"/>
          <w:sz w:val="16"/>
          <w:szCs w:val="16"/>
          <w:lang w:val="es-US"/>
        </w:rPr>
        <w:t>citing</w:t>
      </w:r>
      <w:proofErr w:type="spellEnd"/>
      <w:r w:rsidRPr="005C2394">
        <w:rPr>
          <w:rFonts w:asciiTheme="majorHAnsi" w:hAnsiTheme="majorHAnsi" w:cstheme="majorHAnsi"/>
          <w:color w:val="808080" w:themeColor="background1" w:themeShade="80"/>
          <w:sz w:val="16"/>
          <w:szCs w:val="16"/>
          <w:lang w:val="es-US"/>
        </w:rPr>
        <w:t xml:space="preserve"> I/A </w:t>
      </w:r>
      <w:proofErr w:type="spellStart"/>
      <w:r w:rsidRPr="005C2394">
        <w:rPr>
          <w:rFonts w:asciiTheme="majorHAnsi" w:hAnsiTheme="majorHAnsi" w:cstheme="majorHAnsi"/>
          <w:color w:val="808080" w:themeColor="background1" w:themeShade="80"/>
          <w:sz w:val="16"/>
          <w:szCs w:val="16"/>
          <w:lang w:val="es-US"/>
        </w:rPr>
        <w:t>Ct</w:t>
      </w:r>
      <w:proofErr w:type="spellEnd"/>
      <w:r w:rsidRPr="005C2394">
        <w:rPr>
          <w:rFonts w:asciiTheme="majorHAnsi" w:hAnsiTheme="majorHAnsi" w:cstheme="majorHAnsi"/>
          <w:color w:val="808080" w:themeColor="background1" w:themeShade="80"/>
          <w:sz w:val="16"/>
          <w:szCs w:val="16"/>
          <w:lang w:val="es-US"/>
        </w:rPr>
        <w:t xml:space="preserve">. H.R., </w:t>
      </w:r>
      <w:proofErr w:type="spellStart"/>
      <w:r w:rsidRPr="005C2394">
        <w:rPr>
          <w:rFonts w:asciiTheme="majorHAnsi" w:hAnsiTheme="majorHAnsi" w:cstheme="majorHAnsi"/>
          <w:i/>
          <w:color w:val="808080" w:themeColor="background1" w:themeShade="80"/>
          <w:sz w:val="16"/>
          <w:szCs w:val="16"/>
          <w:lang w:val="es-US"/>
        </w:rPr>
        <w:t>Servellón</w:t>
      </w:r>
      <w:proofErr w:type="spellEnd"/>
      <w:r w:rsidRPr="005C2394">
        <w:rPr>
          <w:rFonts w:asciiTheme="majorHAnsi" w:hAnsiTheme="majorHAnsi" w:cstheme="majorHAnsi"/>
          <w:i/>
          <w:color w:val="808080" w:themeColor="background1" w:themeShade="80"/>
          <w:sz w:val="16"/>
          <w:szCs w:val="16"/>
          <w:lang w:val="es-US"/>
        </w:rPr>
        <w:t xml:space="preserve"> García et al. v. Honduras</w:t>
      </w:r>
      <w:r w:rsidRPr="005C2394">
        <w:rPr>
          <w:rFonts w:asciiTheme="majorHAnsi" w:hAnsiTheme="majorHAnsi" w:cstheme="majorHAnsi"/>
          <w:color w:val="808080" w:themeColor="background1" w:themeShade="80"/>
          <w:sz w:val="16"/>
          <w:szCs w:val="16"/>
          <w:lang w:val="es-US"/>
        </w:rPr>
        <w:t xml:space="preserve">. </w:t>
      </w:r>
      <w:r w:rsidRPr="001167CB">
        <w:rPr>
          <w:rFonts w:asciiTheme="majorHAnsi" w:hAnsiTheme="majorHAnsi" w:cstheme="majorHAnsi"/>
          <w:color w:val="808080" w:themeColor="background1" w:themeShade="80"/>
          <w:sz w:val="16"/>
          <w:szCs w:val="16"/>
        </w:rPr>
        <w:t xml:space="preserve">Judgment of Sept. 21, 2006. Series C No. 152, para. 134); </w:t>
      </w:r>
      <w:r w:rsidRPr="001167CB">
        <w:rPr>
          <w:rFonts w:asciiTheme="majorHAnsi" w:hAnsiTheme="majorHAnsi" w:cstheme="majorHAnsi"/>
          <w:i/>
          <w:color w:val="808080" w:themeColor="background1" w:themeShade="80"/>
          <w:sz w:val="16"/>
          <w:szCs w:val="16"/>
        </w:rPr>
        <w:t xml:space="preserve">see also </w:t>
      </w:r>
      <w:proofErr w:type="gramStart"/>
      <w:r w:rsidRPr="001167CB">
        <w:rPr>
          <w:rFonts w:asciiTheme="majorHAnsi" w:hAnsiTheme="majorHAnsi" w:cstheme="majorHAnsi"/>
          <w:color w:val="808080" w:themeColor="background1" w:themeShade="80"/>
          <w:sz w:val="16"/>
          <w:szCs w:val="16"/>
        </w:rPr>
        <w:t>I/A</w:t>
      </w:r>
      <w:proofErr w:type="gramEnd"/>
      <w:r w:rsidRPr="001167CB">
        <w:rPr>
          <w:rFonts w:asciiTheme="majorHAnsi" w:hAnsiTheme="majorHAnsi" w:cstheme="majorHAnsi"/>
          <w:color w:val="808080" w:themeColor="background1" w:themeShade="80"/>
          <w:sz w:val="16"/>
          <w:szCs w:val="16"/>
        </w:rPr>
        <w:t xml:space="preserve"> Ct. H.R.,</w:t>
      </w:r>
      <w:r w:rsidRPr="001167CB">
        <w:rPr>
          <w:rFonts w:asciiTheme="majorHAnsi" w:hAnsiTheme="majorHAnsi" w:cstheme="majorHAnsi"/>
          <w:i/>
          <w:color w:val="808080" w:themeColor="background1" w:themeShade="80"/>
          <w:sz w:val="16"/>
          <w:szCs w:val="16"/>
        </w:rPr>
        <w:t xml:space="preserve"> </w:t>
      </w:r>
      <w:proofErr w:type="spellStart"/>
      <w:r w:rsidRPr="001167CB">
        <w:rPr>
          <w:rFonts w:asciiTheme="majorHAnsi" w:hAnsiTheme="majorHAnsi" w:cstheme="majorHAnsi"/>
          <w:i/>
          <w:color w:val="808080" w:themeColor="background1" w:themeShade="80"/>
          <w:sz w:val="16"/>
          <w:szCs w:val="16"/>
        </w:rPr>
        <w:t>Bulacio</w:t>
      </w:r>
      <w:proofErr w:type="spellEnd"/>
      <w:r w:rsidRPr="001167CB">
        <w:rPr>
          <w:rFonts w:asciiTheme="majorHAnsi" w:hAnsiTheme="majorHAnsi" w:cstheme="majorHAnsi"/>
          <w:i/>
          <w:color w:val="808080" w:themeColor="background1" w:themeShade="80"/>
          <w:sz w:val="16"/>
          <w:szCs w:val="16"/>
        </w:rPr>
        <w:t xml:space="preserve"> v. Argentina. </w:t>
      </w:r>
      <w:r w:rsidRPr="001167CB">
        <w:rPr>
          <w:rFonts w:asciiTheme="majorHAnsi" w:hAnsiTheme="majorHAnsi" w:cstheme="majorHAnsi"/>
          <w:color w:val="808080" w:themeColor="background1" w:themeShade="80"/>
          <w:sz w:val="16"/>
          <w:szCs w:val="16"/>
        </w:rPr>
        <w:t>Judgment of Sept. 18, 2003. Series C No. 100, para. 137.</w:t>
      </w:r>
    </w:p>
  </w:footnote>
  <w:footnote w:id="542">
    <w:p w14:paraId="57B83CD4" w14:textId="31FFF83D"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supra</w:t>
      </w:r>
      <w:r w:rsidRPr="001167CB">
        <w:rPr>
          <w:rFonts w:asciiTheme="majorHAnsi" w:hAnsiTheme="majorHAnsi" w:cstheme="majorHAnsi"/>
          <w:color w:val="808080" w:themeColor="background1" w:themeShade="80"/>
          <w:sz w:val="16"/>
          <w:szCs w:val="16"/>
        </w:rPr>
        <w:t xml:space="preserve"> paras. </w:t>
      </w:r>
      <w:r w:rsidRPr="001167CB">
        <w:rPr>
          <w:rFonts w:asciiTheme="majorHAnsi" w:hAnsiTheme="majorHAnsi" w:cstheme="majorHAnsi"/>
          <w:color w:val="808080" w:themeColor="background1" w:themeShade="80"/>
          <w:sz w:val="16"/>
          <w:szCs w:val="16"/>
          <w:lang w:val="es-MX"/>
        </w:rPr>
        <w:fldChar w:fldCharType="begin"/>
      </w:r>
      <w:r w:rsidRPr="001167CB">
        <w:rPr>
          <w:rFonts w:asciiTheme="majorHAnsi" w:hAnsiTheme="majorHAnsi" w:cstheme="majorHAnsi"/>
          <w:color w:val="808080" w:themeColor="background1" w:themeShade="80"/>
          <w:sz w:val="16"/>
          <w:szCs w:val="16"/>
        </w:rPr>
        <w:instrText xml:space="preserve"> REF _Ref507405582 \r \h  \* MERGEFORMAT </w:instrText>
      </w:r>
      <w:r w:rsidRPr="001167CB">
        <w:rPr>
          <w:rFonts w:asciiTheme="majorHAnsi" w:hAnsiTheme="majorHAnsi" w:cstheme="majorHAnsi"/>
          <w:color w:val="808080" w:themeColor="background1" w:themeShade="80"/>
          <w:sz w:val="16"/>
          <w:szCs w:val="16"/>
          <w:lang w:val="es-MX"/>
        </w:rPr>
      </w:r>
      <w:r w:rsidRPr="001167CB">
        <w:rPr>
          <w:rFonts w:asciiTheme="majorHAnsi" w:hAnsiTheme="majorHAnsi" w:cstheme="majorHAnsi"/>
          <w:color w:val="808080" w:themeColor="background1" w:themeShade="80"/>
          <w:sz w:val="16"/>
          <w:szCs w:val="16"/>
          <w:lang w:val="es-MX"/>
        </w:rPr>
        <w:fldChar w:fldCharType="separate"/>
      </w:r>
      <w:r w:rsidRPr="001167CB">
        <w:rPr>
          <w:rFonts w:asciiTheme="majorHAnsi" w:hAnsiTheme="majorHAnsi" w:cstheme="majorHAnsi"/>
          <w:color w:val="808080" w:themeColor="background1" w:themeShade="80"/>
          <w:sz w:val="16"/>
          <w:szCs w:val="16"/>
        </w:rPr>
        <w:t>119</w:t>
      </w:r>
      <w:r w:rsidRPr="001167CB">
        <w:rPr>
          <w:rFonts w:asciiTheme="majorHAnsi" w:hAnsiTheme="majorHAnsi" w:cstheme="majorHAnsi"/>
          <w:color w:val="808080" w:themeColor="background1" w:themeShade="80"/>
          <w:sz w:val="16"/>
          <w:szCs w:val="16"/>
          <w:lang w:val="es-MX"/>
        </w:rPr>
        <w:fldChar w:fldCharType="end"/>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lang w:val="es-MX"/>
        </w:rPr>
        <w:fldChar w:fldCharType="begin"/>
      </w:r>
      <w:r w:rsidRPr="001167CB">
        <w:rPr>
          <w:rFonts w:asciiTheme="majorHAnsi" w:hAnsiTheme="majorHAnsi" w:cstheme="majorHAnsi"/>
          <w:color w:val="808080" w:themeColor="background1" w:themeShade="80"/>
          <w:sz w:val="16"/>
          <w:szCs w:val="16"/>
        </w:rPr>
        <w:instrText xml:space="preserve"> REF _Ref507406888 \r \h  \* MERGEFORMAT </w:instrText>
      </w:r>
      <w:r w:rsidRPr="001167CB">
        <w:rPr>
          <w:rFonts w:asciiTheme="majorHAnsi" w:hAnsiTheme="majorHAnsi" w:cstheme="majorHAnsi"/>
          <w:color w:val="808080" w:themeColor="background1" w:themeShade="80"/>
          <w:sz w:val="16"/>
          <w:szCs w:val="16"/>
          <w:lang w:val="es-MX"/>
        </w:rPr>
      </w:r>
      <w:r w:rsidRPr="001167CB">
        <w:rPr>
          <w:rFonts w:asciiTheme="majorHAnsi" w:hAnsiTheme="majorHAnsi" w:cstheme="majorHAnsi"/>
          <w:color w:val="808080" w:themeColor="background1" w:themeShade="80"/>
          <w:sz w:val="16"/>
          <w:szCs w:val="16"/>
          <w:lang w:val="es-MX"/>
        </w:rPr>
        <w:fldChar w:fldCharType="separate"/>
      </w:r>
      <w:r w:rsidRPr="001167CB">
        <w:rPr>
          <w:rFonts w:asciiTheme="majorHAnsi" w:hAnsiTheme="majorHAnsi" w:cstheme="majorHAnsi"/>
          <w:color w:val="808080" w:themeColor="background1" w:themeShade="80"/>
          <w:sz w:val="16"/>
          <w:szCs w:val="16"/>
        </w:rPr>
        <w:t>120</w:t>
      </w:r>
      <w:r w:rsidRPr="001167CB">
        <w:rPr>
          <w:rFonts w:asciiTheme="majorHAnsi" w:hAnsiTheme="majorHAnsi" w:cstheme="majorHAnsi"/>
          <w:color w:val="808080" w:themeColor="background1" w:themeShade="80"/>
          <w:sz w:val="16"/>
          <w:szCs w:val="16"/>
          <w:lang w:val="es-MX"/>
        </w:rPr>
        <w:fldChar w:fldCharType="end"/>
      </w:r>
      <w:r w:rsidRPr="001167CB">
        <w:rPr>
          <w:rFonts w:asciiTheme="majorHAnsi" w:hAnsiTheme="majorHAnsi" w:cstheme="majorHAnsi"/>
          <w:color w:val="808080" w:themeColor="background1" w:themeShade="80"/>
          <w:sz w:val="16"/>
          <w:szCs w:val="16"/>
        </w:rPr>
        <w:t>.</w:t>
      </w:r>
    </w:p>
  </w:footnote>
  <w:footnote w:id="543">
    <w:p w14:paraId="520275F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122.</w:t>
      </w:r>
    </w:p>
  </w:footnote>
  <w:footnote w:id="544">
    <w:p w14:paraId="4373921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08" w:history="1">
        <w:r w:rsidRPr="001167CB">
          <w:rPr>
            <w:rStyle w:val="Hyperlink"/>
            <w:rFonts w:asciiTheme="majorHAnsi" w:hAnsiTheme="majorHAnsi" w:cstheme="majorHAnsi"/>
            <w:color w:val="808080" w:themeColor="background1" w:themeShade="80"/>
            <w:sz w:val="16"/>
            <w:szCs w:val="16"/>
          </w:rPr>
          <w:t xml:space="preserve">Annual Report 2015: Chapter IV </w:t>
        </w:r>
        <w:proofErr w:type="gramStart"/>
        <w:r w:rsidRPr="001167CB">
          <w:rPr>
            <w:rStyle w:val="Hyperlink"/>
            <w:rFonts w:asciiTheme="majorHAnsi" w:hAnsiTheme="majorHAnsi" w:cstheme="majorHAnsi"/>
            <w:color w:val="808080" w:themeColor="background1" w:themeShade="80"/>
            <w:sz w:val="16"/>
            <w:szCs w:val="16"/>
          </w:rPr>
          <w:t>The</w:t>
        </w:r>
        <w:proofErr w:type="gramEnd"/>
        <w:r w:rsidRPr="001167CB">
          <w:rPr>
            <w:rStyle w:val="Hyperlink"/>
            <w:rFonts w:asciiTheme="majorHAnsi" w:hAnsiTheme="majorHAnsi" w:cstheme="majorHAnsi"/>
            <w:color w:val="808080" w:themeColor="background1" w:themeShade="80"/>
            <w:sz w:val="16"/>
            <w:szCs w:val="16"/>
          </w:rPr>
          <w:t xml:space="preserve"> Use of Force</w:t>
        </w:r>
      </w:hyperlink>
      <w:r w:rsidRPr="001167CB">
        <w:rPr>
          <w:rFonts w:asciiTheme="majorHAnsi" w:hAnsiTheme="majorHAnsi" w:cstheme="majorHAnsi"/>
          <w:color w:val="808080" w:themeColor="background1" w:themeShade="80"/>
          <w:sz w:val="16"/>
          <w:szCs w:val="16"/>
        </w:rPr>
        <w:t xml:space="preserve">, para. 225 (citing Amnesty International. </w:t>
      </w:r>
      <w:hyperlink r:id="rId609" w:history="1">
        <w:r w:rsidRPr="001167CB">
          <w:rPr>
            <w:rStyle w:val="Hyperlink"/>
            <w:rFonts w:asciiTheme="majorHAnsi" w:hAnsiTheme="majorHAnsi" w:cstheme="majorHAnsi"/>
            <w:color w:val="808080" w:themeColor="background1" w:themeShade="80"/>
            <w:sz w:val="16"/>
            <w:szCs w:val="16"/>
          </w:rPr>
          <w:t xml:space="preserve">Use of force: Guidelines for implementation of the UN Basic Principles on the use of </w:t>
        </w:r>
        <w:proofErr w:type="spellStart"/>
        <w:r w:rsidRPr="001167CB">
          <w:rPr>
            <w:rStyle w:val="Hyperlink"/>
            <w:rFonts w:asciiTheme="majorHAnsi" w:hAnsiTheme="majorHAnsi" w:cstheme="majorHAnsi"/>
            <w:color w:val="808080" w:themeColor="background1" w:themeShade="80"/>
            <w:sz w:val="16"/>
            <w:szCs w:val="16"/>
          </w:rPr>
          <w:t>forcé</w:t>
        </w:r>
        <w:proofErr w:type="spellEnd"/>
        <w:r w:rsidRPr="001167CB">
          <w:rPr>
            <w:rStyle w:val="Hyperlink"/>
            <w:rFonts w:asciiTheme="majorHAnsi" w:hAnsiTheme="majorHAnsi" w:cstheme="majorHAnsi"/>
            <w:color w:val="808080" w:themeColor="background1" w:themeShade="80"/>
            <w:sz w:val="16"/>
            <w:szCs w:val="16"/>
          </w:rPr>
          <w:t xml:space="preserve"> and firearms by law enforcement officials</w:t>
        </w:r>
      </w:hyperlink>
      <w:r w:rsidRPr="001167CB">
        <w:rPr>
          <w:rFonts w:asciiTheme="majorHAnsi" w:hAnsiTheme="majorHAnsi" w:cstheme="majorHAnsi"/>
          <w:color w:val="808080" w:themeColor="background1" w:themeShade="80"/>
          <w:sz w:val="16"/>
          <w:szCs w:val="16"/>
        </w:rPr>
        <w:t>, Aug. 2015).</w:t>
      </w:r>
    </w:p>
  </w:footnote>
  <w:footnote w:id="545">
    <w:p w14:paraId="43B859A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225.</w:t>
      </w:r>
    </w:p>
  </w:footnote>
  <w:footnote w:id="546">
    <w:p w14:paraId="1253C7E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at para. 226 (citing Report of the Special Rapporteur on the rights to freedom of peaceful assembly and of association, </w:t>
      </w:r>
      <w:proofErr w:type="spellStart"/>
      <w:r w:rsidRPr="001167CB">
        <w:rPr>
          <w:rFonts w:asciiTheme="majorHAnsi" w:hAnsiTheme="majorHAnsi" w:cstheme="majorHAnsi"/>
          <w:color w:val="808080" w:themeColor="background1" w:themeShade="80"/>
          <w:sz w:val="16"/>
          <w:szCs w:val="16"/>
        </w:rPr>
        <w:t>Maina</w:t>
      </w:r>
      <w:proofErr w:type="spellEnd"/>
      <w:r w:rsidRPr="001167CB">
        <w:rPr>
          <w:rFonts w:asciiTheme="majorHAnsi" w:hAnsiTheme="majorHAnsi" w:cstheme="majorHAnsi"/>
          <w:color w:val="808080" w:themeColor="background1" w:themeShade="80"/>
          <w:sz w:val="16"/>
          <w:szCs w:val="16"/>
        </w:rPr>
        <w:t xml:space="preserve"> </w:t>
      </w:r>
      <w:proofErr w:type="spellStart"/>
      <w:r w:rsidRPr="001167CB">
        <w:rPr>
          <w:rFonts w:asciiTheme="majorHAnsi" w:hAnsiTheme="majorHAnsi" w:cstheme="majorHAnsi"/>
          <w:color w:val="808080" w:themeColor="background1" w:themeShade="80"/>
          <w:sz w:val="16"/>
          <w:szCs w:val="16"/>
        </w:rPr>
        <w:t>Kiai</w:t>
      </w:r>
      <w:proofErr w:type="spellEnd"/>
      <w:r w:rsidRPr="001167CB">
        <w:rPr>
          <w:rFonts w:asciiTheme="majorHAnsi" w:hAnsiTheme="majorHAnsi" w:cstheme="majorHAnsi"/>
          <w:color w:val="808080" w:themeColor="background1" w:themeShade="80"/>
          <w:sz w:val="16"/>
          <w:szCs w:val="16"/>
        </w:rPr>
        <w:t>, on his mission to the United Kingdom (14-23 Jan. 2013) A/HRC/23/39/Add.1, para. 24).</w:t>
      </w:r>
    </w:p>
  </w:footnote>
  <w:footnote w:id="547">
    <w:p w14:paraId="33282B1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paras. 168, 170.</w:t>
      </w:r>
    </w:p>
    <w:p w14:paraId="270A63E8" w14:textId="77777777" w:rsidR="005C2394" w:rsidRPr="001167CB" w:rsidRDefault="005C2394" w:rsidP="00C91E4F">
      <w:pPr>
        <w:pStyle w:val="FootnoteText"/>
        <w:spacing w:after="40"/>
        <w:ind w:left="547"/>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 xml:space="preserve">In this regard, “in the context of demonstrations and situations of social unrest, the work of journalists and media workers, as well as the free flow of information through alternative media such as the social networks, is essential to keeping the public informed of the events […] it plays an important role in reporting on the conduct of the State and of law enforcement authorities toward the protesters, preventing the disproportionate use of force and the abuse of authority.” U.N. Special Rapporteur on the Protection and Promotion of the Right to Freedom of Opinion and Expression and the Special Rapporteur for Freedom of Expression of the IACHR. </w:t>
      </w:r>
      <w:hyperlink r:id="rId610" w:history="1">
        <w:r w:rsidRPr="001167CB">
          <w:rPr>
            <w:rStyle w:val="Hyperlink"/>
            <w:rFonts w:asciiTheme="majorHAnsi" w:hAnsiTheme="majorHAnsi" w:cstheme="majorHAnsi"/>
            <w:color w:val="808080" w:themeColor="background1" w:themeShade="80"/>
            <w:sz w:val="16"/>
            <w:szCs w:val="16"/>
          </w:rPr>
          <w:t>Joint declaration on violence against journalists and media workers in the context of protests</w:t>
        </w:r>
      </w:hyperlink>
      <w:r w:rsidRPr="001167CB">
        <w:rPr>
          <w:rFonts w:asciiTheme="majorHAnsi" w:hAnsiTheme="majorHAnsi" w:cstheme="majorHAnsi"/>
          <w:color w:val="808080" w:themeColor="background1" w:themeShade="80"/>
          <w:sz w:val="16"/>
          <w:szCs w:val="16"/>
        </w:rPr>
        <w:t>. Sept. 13, 2013.</w:t>
      </w:r>
    </w:p>
  </w:footnote>
  <w:footnote w:id="548">
    <w:p w14:paraId="54A77E7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11"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Mar. 17, 2016, para. 172 (citing Guidelines on Peaceful Freedom of Assembly, OSCE – ODIHR and Venice Commission, para. 169).</w:t>
      </w:r>
    </w:p>
  </w:footnote>
  <w:footnote w:id="549">
    <w:p w14:paraId="38AC7EF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612"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eastAsia="Times New Roman" w:hAnsiTheme="majorHAnsi" w:cstheme="majorHAnsi"/>
          <w:color w:val="808080" w:themeColor="background1" w:themeShade="80"/>
          <w:sz w:val="16"/>
          <w:szCs w:val="16"/>
          <w:lang w:eastAsia="es-ES"/>
        </w:rPr>
        <w:t xml:space="preserve">, para. </w:t>
      </w:r>
      <w:r w:rsidRPr="001167CB">
        <w:rPr>
          <w:rFonts w:asciiTheme="majorHAnsi" w:hAnsiTheme="majorHAnsi" w:cstheme="majorHAnsi"/>
          <w:color w:val="808080" w:themeColor="background1" w:themeShade="80"/>
          <w:sz w:val="16"/>
          <w:szCs w:val="16"/>
        </w:rPr>
        <w:t>15.</w:t>
      </w:r>
    </w:p>
  </w:footnote>
  <w:footnote w:id="550">
    <w:p w14:paraId="4C909A3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13" w:history="1">
        <w:r w:rsidRPr="001167CB">
          <w:rPr>
            <w:rStyle w:val="Hyperlink"/>
            <w:rFonts w:asciiTheme="majorHAnsi" w:hAnsiTheme="majorHAnsi" w:cstheme="majorHAnsi"/>
            <w:color w:val="808080" w:themeColor="background1" w:themeShade="80"/>
            <w:sz w:val="16"/>
            <w:szCs w:val="16"/>
          </w:rPr>
          <w:t>Citizen Security and Human Rights</w:t>
        </w:r>
      </w:hyperlink>
      <w:r w:rsidRPr="001167CB">
        <w:rPr>
          <w:rFonts w:asciiTheme="majorHAnsi" w:hAnsiTheme="majorHAnsi" w:cstheme="majorHAnsi"/>
          <w:color w:val="808080" w:themeColor="background1" w:themeShade="80"/>
          <w:sz w:val="16"/>
          <w:szCs w:val="16"/>
        </w:rPr>
        <w:t xml:space="preserve"> (2009), para. 168.</w:t>
      </w:r>
    </w:p>
  </w:footnote>
  <w:footnote w:id="551">
    <w:p w14:paraId="6279BFF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552">
    <w:p w14:paraId="73C6749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14"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Mar. 17, 2016, para. 236.</w:t>
      </w:r>
    </w:p>
  </w:footnote>
  <w:footnote w:id="553">
    <w:p w14:paraId="1F72D8F6" w14:textId="47BEB8BD"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04388D">
        <w:rPr>
          <w:rFonts w:asciiTheme="majorHAnsi" w:hAnsiTheme="majorHAnsi" w:cstheme="majorHAnsi"/>
          <w:color w:val="808080" w:themeColor="background1" w:themeShade="80"/>
          <w:sz w:val="16"/>
          <w:szCs w:val="16"/>
        </w:rPr>
        <w:t xml:space="preserve"> </w:t>
      </w:r>
      <w:r w:rsidRPr="0004388D">
        <w:rPr>
          <w:rFonts w:asciiTheme="majorHAnsi" w:hAnsiTheme="majorHAnsi" w:cstheme="majorHAnsi"/>
          <w:color w:val="808080" w:themeColor="background1" w:themeShade="80"/>
          <w:sz w:val="16"/>
          <w:szCs w:val="16"/>
        </w:rPr>
        <w:tab/>
        <w:t xml:space="preserve">IACHR, Report No. 80/11, </w:t>
      </w:r>
      <w:hyperlink r:id="rId615" w:history="1">
        <w:r w:rsidRPr="0004388D">
          <w:rPr>
            <w:rStyle w:val="Hyperlink"/>
            <w:rFonts w:asciiTheme="majorHAnsi" w:hAnsiTheme="majorHAnsi" w:cstheme="majorHAnsi"/>
            <w:i/>
            <w:color w:val="808080" w:themeColor="background1" w:themeShade="80"/>
            <w:sz w:val="16"/>
            <w:szCs w:val="16"/>
          </w:rPr>
          <w:t xml:space="preserve">Jessica </w:t>
        </w:r>
        <w:proofErr w:type="spellStart"/>
        <w:r w:rsidRPr="0004388D">
          <w:rPr>
            <w:rStyle w:val="Hyperlink"/>
            <w:rFonts w:asciiTheme="majorHAnsi" w:hAnsiTheme="majorHAnsi" w:cstheme="majorHAnsi"/>
            <w:i/>
            <w:color w:val="808080" w:themeColor="background1" w:themeShade="80"/>
            <w:sz w:val="16"/>
            <w:szCs w:val="16"/>
          </w:rPr>
          <w:t>Lenahan</w:t>
        </w:r>
        <w:proofErr w:type="spellEnd"/>
      </w:hyperlink>
      <w:r w:rsidRPr="0004388D">
        <w:rPr>
          <w:rFonts w:asciiTheme="majorHAnsi" w:hAnsiTheme="majorHAnsi" w:cstheme="majorHAnsi"/>
          <w:color w:val="808080" w:themeColor="background1" w:themeShade="80"/>
          <w:sz w:val="16"/>
          <w:szCs w:val="16"/>
        </w:rPr>
        <w:t xml:space="preserve"> (2011), para. </w:t>
      </w:r>
      <w:r w:rsidRPr="001167CB">
        <w:rPr>
          <w:rFonts w:asciiTheme="majorHAnsi" w:hAnsiTheme="majorHAnsi" w:cstheme="majorHAnsi"/>
          <w:color w:val="808080" w:themeColor="background1" w:themeShade="80"/>
          <w:sz w:val="16"/>
          <w:szCs w:val="16"/>
        </w:rPr>
        <w:t xml:space="preserve">125, 128. </w:t>
      </w:r>
      <w:r w:rsidRPr="001167CB">
        <w:rPr>
          <w:rFonts w:asciiTheme="majorHAnsi" w:hAnsiTheme="majorHAnsi" w:cstheme="majorHAnsi"/>
          <w:i/>
          <w:color w:val="808080" w:themeColor="background1" w:themeShade="80"/>
          <w:sz w:val="16"/>
          <w:szCs w:val="16"/>
        </w:rPr>
        <w:t>See also</w:t>
      </w:r>
      <w:r w:rsidRPr="001167CB">
        <w:rPr>
          <w:rFonts w:asciiTheme="majorHAnsi" w:hAnsiTheme="majorHAnsi" w:cstheme="majorHAnsi"/>
          <w:color w:val="808080" w:themeColor="background1" w:themeShade="80"/>
          <w:sz w:val="16"/>
          <w:szCs w:val="16"/>
        </w:rPr>
        <w:t xml:space="preserve"> U.N., </w:t>
      </w:r>
      <w:r w:rsidRPr="001167CB">
        <w:rPr>
          <w:rFonts w:asciiTheme="majorHAnsi" w:hAnsiTheme="majorHAnsi" w:cstheme="majorHAnsi"/>
          <w:i/>
          <w:color w:val="808080" w:themeColor="background1" w:themeShade="80"/>
          <w:sz w:val="16"/>
          <w:szCs w:val="16"/>
        </w:rPr>
        <w:t xml:space="preserve">Durban Declaration and </w:t>
      </w:r>
      <w:proofErr w:type="spellStart"/>
      <w:r w:rsidRPr="001167CB">
        <w:rPr>
          <w:rFonts w:asciiTheme="majorHAnsi" w:hAnsiTheme="majorHAnsi" w:cstheme="majorHAnsi"/>
          <w:i/>
          <w:color w:val="808080" w:themeColor="background1" w:themeShade="80"/>
          <w:sz w:val="16"/>
          <w:szCs w:val="16"/>
        </w:rPr>
        <w:t>Programme</w:t>
      </w:r>
      <w:proofErr w:type="spellEnd"/>
      <w:r w:rsidRPr="001167CB">
        <w:rPr>
          <w:rFonts w:asciiTheme="majorHAnsi" w:hAnsiTheme="majorHAnsi" w:cstheme="majorHAnsi"/>
          <w:i/>
          <w:color w:val="808080" w:themeColor="background1" w:themeShade="80"/>
          <w:sz w:val="16"/>
          <w:szCs w:val="16"/>
        </w:rPr>
        <w:t xml:space="preserve"> of Action</w:t>
      </w:r>
      <w:r w:rsidRPr="001167CB">
        <w:rPr>
          <w:rFonts w:asciiTheme="majorHAnsi" w:hAnsiTheme="majorHAnsi" w:cstheme="majorHAnsi"/>
          <w:color w:val="808080" w:themeColor="background1" w:themeShade="80"/>
          <w:sz w:val="16"/>
          <w:szCs w:val="16"/>
        </w:rPr>
        <w:t xml:space="preserve"> (adopted at the 2001 World Conference </w:t>
      </w:r>
      <w:proofErr w:type="gramStart"/>
      <w:r w:rsidRPr="001167CB">
        <w:rPr>
          <w:rFonts w:asciiTheme="majorHAnsi" w:hAnsiTheme="majorHAnsi" w:cstheme="majorHAnsi"/>
          <w:color w:val="808080" w:themeColor="background1" w:themeShade="80"/>
          <w:sz w:val="16"/>
          <w:szCs w:val="16"/>
        </w:rPr>
        <w:t>Against</w:t>
      </w:r>
      <w:proofErr w:type="gramEnd"/>
      <w:r w:rsidRPr="001167CB">
        <w:rPr>
          <w:rFonts w:asciiTheme="majorHAnsi" w:hAnsiTheme="majorHAnsi" w:cstheme="majorHAnsi"/>
          <w:color w:val="808080" w:themeColor="background1" w:themeShade="80"/>
          <w:sz w:val="16"/>
          <w:szCs w:val="16"/>
        </w:rPr>
        <w:t xml:space="preserve"> Racism), para. 104; </w:t>
      </w:r>
      <w:r w:rsidRPr="001167CB">
        <w:rPr>
          <w:rFonts w:asciiTheme="majorHAnsi" w:hAnsiTheme="majorHAnsi" w:cstheme="majorHAnsi"/>
          <w:i/>
          <w:color w:val="808080" w:themeColor="background1" w:themeShade="80"/>
          <w:sz w:val="16"/>
          <w:szCs w:val="16"/>
        </w:rPr>
        <w:t>International Convention on the Elimination of All Forms of Racial Discrimination</w:t>
      </w:r>
      <w:r w:rsidRPr="001167CB">
        <w:rPr>
          <w:rFonts w:asciiTheme="majorHAnsi" w:hAnsiTheme="majorHAnsi" w:cstheme="majorHAnsi"/>
          <w:color w:val="808080" w:themeColor="background1" w:themeShade="80"/>
          <w:sz w:val="16"/>
          <w:szCs w:val="16"/>
        </w:rPr>
        <w:t xml:space="preserve">, adopted and opened for signature and ratification by General Assembly Resolution 2106 (XX) of Dec. 21, 1965. </w:t>
      </w:r>
    </w:p>
  </w:footnote>
  <w:footnote w:id="554">
    <w:p w14:paraId="13FA19A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ICCPR, arts. 6-7; CAT, art. 2; CRC, art. 37; Belem do </w:t>
      </w:r>
      <w:proofErr w:type="spellStart"/>
      <w:r w:rsidRPr="001167CB">
        <w:rPr>
          <w:rFonts w:asciiTheme="majorHAnsi" w:hAnsiTheme="majorHAnsi" w:cstheme="majorHAnsi"/>
          <w:color w:val="808080" w:themeColor="background1" w:themeShade="80"/>
          <w:sz w:val="16"/>
          <w:szCs w:val="16"/>
        </w:rPr>
        <w:t>Pará</w:t>
      </w:r>
      <w:proofErr w:type="spellEnd"/>
      <w:r w:rsidRPr="001167CB">
        <w:rPr>
          <w:rFonts w:asciiTheme="majorHAnsi" w:hAnsiTheme="majorHAnsi" w:cstheme="majorHAnsi"/>
          <w:color w:val="808080" w:themeColor="background1" w:themeShade="80"/>
          <w:sz w:val="16"/>
          <w:szCs w:val="16"/>
        </w:rPr>
        <w:t>, art. 4.</w:t>
      </w:r>
    </w:p>
  </w:footnote>
  <w:footnote w:id="555">
    <w:p w14:paraId="7CB5FB2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616" w:history="1">
        <w:r w:rsidRPr="001167CB">
          <w:rPr>
            <w:rStyle w:val="Hyperlink"/>
            <w:rFonts w:asciiTheme="majorHAnsi" w:hAnsiTheme="majorHAnsi" w:cstheme="majorHAnsi"/>
            <w:bCs/>
            <w:color w:val="808080" w:themeColor="background1" w:themeShade="80"/>
            <w:sz w:val="16"/>
            <w:szCs w:val="16"/>
          </w:rPr>
          <w:t>Human Rights of Migrants and Other Persons in the Context of Human Mobility in Mexico</w:t>
        </w:r>
      </w:hyperlink>
      <w:r w:rsidRPr="001167CB">
        <w:rPr>
          <w:rFonts w:asciiTheme="majorHAnsi" w:hAnsiTheme="majorHAnsi" w:cstheme="majorHAnsi"/>
          <w:bCs/>
          <w:color w:val="808080" w:themeColor="background1" w:themeShade="80"/>
          <w:sz w:val="16"/>
          <w:szCs w:val="16"/>
        </w:rPr>
        <w:t>, OEA/</w:t>
      </w:r>
      <w:proofErr w:type="spellStart"/>
      <w:r w:rsidRPr="001167CB">
        <w:rPr>
          <w:rFonts w:asciiTheme="majorHAnsi" w:hAnsiTheme="majorHAnsi" w:cstheme="majorHAnsi"/>
          <w:bCs/>
          <w:color w:val="808080" w:themeColor="background1" w:themeShade="80"/>
          <w:sz w:val="16"/>
          <w:szCs w:val="16"/>
        </w:rPr>
        <w:t>Ser.L</w:t>
      </w:r>
      <w:proofErr w:type="spellEnd"/>
      <w:r w:rsidRPr="001167CB">
        <w:rPr>
          <w:rFonts w:asciiTheme="majorHAnsi" w:hAnsiTheme="majorHAnsi" w:cstheme="majorHAnsi"/>
          <w:bCs/>
          <w:color w:val="808080" w:themeColor="background1" w:themeShade="80"/>
          <w:sz w:val="16"/>
          <w:szCs w:val="16"/>
        </w:rPr>
        <w:t>/V/II, Doc. 48/13 (2013)</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lang w:val="pt-BR"/>
        </w:rPr>
        <w:t xml:space="preserve">365 (citing I/A Ct. H.R., </w:t>
      </w:r>
      <w:r w:rsidRPr="001167CB">
        <w:rPr>
          <w:rFonts w:asciiTheme="majorHAnsi" w:hAnsiTheme="majorHAnsi" w:cstheme="majorHAnsi"/>
          <w:i/>
          <w:color w:val="808080" w:themeColor="background1" w:themeShade="80"/>
          <w:sz w:val="16"/>
          <w:szCs w:val="16"/>
          <w:lang w:val="pt-BR"/>
        </w:rPr>
        <w:t>Velásquez Rodríguez</w:t>
      </w:r>
      <w:r w:rsidRPr="001167CB">
        <w:rPr>
          <w:rFonts w:asciiTheme="majorHAnsi" w:hAnsiTheme="majorHAnsi" w:cstheme="majorHAnsi"/>
          <w:color w:val="808080" w:themeColor="background1" w:themeShade="80"/>
          <w:sz w:val="16"/>
          <w:szCs w:val="16"/>
          <w:lang w:val="pt-BR"/>
        </w:rPr>
        <w:t xml:space="preserve">, Ser. C No. 7 (1989). </w:t>
      </w:r>
      <w:r w:rsidRPr="001167CB">
        <w:rPr>
          <w:rFonts w:asciiTheme="majorHAnsi" w:hAnsiTheme="majorHAnsi" w:cstheme="majorHAnsi"/>
          <w:color w:val="808080" w:themeColor="background1" w:themeShade="80"/>
          <w:sz w:val="16"/>
          <w:szCs w:val="16"/>
        </w:rPr>
        <w:t xml:space="preserve">Other instruments of the Inter-American human rights system also establish the State’s obligation to act with due diligence to protect human rights. Examples include Art. 6 of the Inter-American Convention against Torture and Art. 7(b) of the Convention of </w:t>
      </w:r>
      <w:proofErr w:type="spellStart"/>
      <w:r w:rsidRPr="001167CB">
        <w:rPr>
          <w:rFonts w:asciiTheme="majorHAnsi" w:hAnsiTheme="majorHAnsi" w:cstheme="majorHAnsi"/>
          <w:color w:val="808080" w:themeColor="background1" w:themeShade="80"/>
          <w:sz w:val="16"/>
          <w:szCs w:val="16"/>
        </w:rPr>
        <w:t>Belém</w:t>
      </w:r>
      <w:proofErr w:type="spellEnd"/>
      <w:r w:rsidRPr="001167CB">
        <w:rPr>
          <w:rFonts w:asciiTheme="majorHAnsi" w:hAnsiTheme="majorHAnsi" w:cstheme="majorHAnsi"/>
          <w:color w:val="808080" w:themeColor="background1" w:themeShade="80"/>
          <w:sz w:val="16"/>
          <w:szCs w:val="16"/>
        </w:rPr>
        <w:t xml:space="preserve"> do </w:t>
      </w:r>
      <w:proofErr w:type="spellStart"/>
      <w:r w:rsidRPr="001167CB">
        <w:rPr>
          <w:rFonts w:asciiTheme="majorHAnsi" w:hAnsiTheme="majorHAnsi" w:cstheme="majorHAnsi"/>
          <w:color w:val="808080" w:themeColor="background1" w:themeShade="80"/>
          <w:sz w:val="16"/>
          <w:szCs w:val="16"/>
        </w:rPr>
        <w:t>Pará</w:t>
      </w:r>
      <w:proofErr w:type="spellEnd"/>
      <w:r w:rsidRPr="001167CB">
        <w:rPr>
          <w:rFonts w:asciiTheme="majorHAnsi" w:hAnsiTheme="majorHAnsi" w:cstheme="majorHAnsi"/>
          <w:color w:val="808080" w:themeColor="background1" w:themeShade="80"/>
          <w:sz w:val="16"/>
          <w:szCs w:val="16"/>
        </w:rPr>
        <w:t>).</w:t>
      </w:r>
    </w:p>
  </w:footnote>
  <w:footnote w:id="556">
    <w:p w14:paraId="6C719DF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s-US"/>
        </w:rPr>
        <w:t xml:space="preserve"> </w:t>
      </w:r>
      <w:r w:rsidRPr="001167CB">
        <w:rPr>
          <w:rFonts w:asciiTheme="majorHAnsi" w:hAnsiTheme="majorHAnsi" w:cstheme="majorHAnsi"/>
          <w:color w:val="808080" w:themeColor="background1" w:themeShade="80"/>
          <w:sz w:val="16"/>
          <w:szCs w:val="16"/>
          <w:lang w:val="es-US"/>
        </w:rPr>
        <w:tab/>
        <w:t xml:space="preserve">IACHR, </w:t>
      </w:r>
      <w:proofErr w:type="spellStart"/>
      <w:r w:rsidRPr="001167CB">
        <w:rPr>
          <w:rFonts w:asciiTheme="majorHAnsi" w:hAnsiTheme="majorHAnsi" w:cstheme="majorHAnsi"/>
          <w:color w:val="808080" w:themeColor="background1" w:themeShade="80"/>
          <w:sz w:val="16"/>
          <w:szCs w:val="16"/>
          <w:lang w:val="es-US"/>
        </w:rPr>
        <w:t>Report</w:t>
      </w:r>
      <w:proofErr w:type="spellEnd"/>
      <w:r w:rsidRPr="001167CB">
        <w:rPr>
          <w:rFonts w:asciiTheme="majorHAnsi" w:hAnsiTheme="majorHAnsi" w:cstheme="majorHAnsi"/>
          <w:color w:val="808080" w:themeColor="background1" w:themeShade="80"/>
          <w:sz w:val="16"/>
          <w:szCs w:val="16"/>
          <w:lang w:val="es-US"/>
        </w:rPr>
        <w:t xml:space="preserve"> No. 80/11, </w:t>
      </w:r>
      <w:hyperlink r:id="rId617" w:history="1">
        <w:r w:rsidRPr="001167CB">
          <w:rPr>
            <w:rStyle w:val="Hyperlink"/>
            <w:rFonts w:asciiTheme="majorHAnsi" w:hAnsiTheme="majorHAnsi" w:cstheme="majorHAnsi"/>
            <w:i/>
            <w:color w:val="808080" w:themeColor="background1" w:themeShade="80"/>
            <w:sz w:val="16"/>
            <w:szCs w:val="16"/>
            <w:lang w:val="es-US"/>
          </w:rPr>
          <w:t xml:space="preserve">Jessica </w:t>
        </w:r>
        <w:proofErr w:type="spellStart"/>
        <w:r w:rsidRPr="001167CB">
          <w:rPr>
            <w:rStyle w:val="Hyperlink"/>
            <w:rFonts w:asciiTheme="majorHAnsi" w:hAnsiTheme="majorHAnsi" w:cstheme="majorHAnsi"/>
            <w:i/>
            <w:color w:val="808080" w:themeColor="background1" w:themeShade="80"/>
            <w:sz w:val="16"/>
            <w:szCs w:val="16"/>
            <w:lang w:val="es-US"/>
          </w:rPr>
          <w:t>Lenahan</w:t>
        </w:r>
        <w:proofErr w:type="spellEnd"/>
      </w:hyperlink>
      <w:r w:rsidRPr="001167CB">
        <w:rPr>
          <w:rFonts w:asciiTheme="majorHAnsi" w:hAnsiTheme="majorHAnsi" w:cstheme="majorHAnsi"/>
          <w:color w:val="808080" w:themeColor="background1" w:themeShade="80"/>
          <w:sz w:val="16"/>
          <w:szCs w:val="16"/>
          <w:lang w:val="es-US"/>
        </w:rPr>
        <w:t xml:space="preserve"> (2011), paras. 122, 128 (</w:t>
      </w:r>
      <w:proofErr w:type="spellStart"/>
      <w:r w:rsidRPr="001167CB">
        <w:rPr>
          <w:rFonts w:asciiTheme="majorHAnsi" w:hAnsiTheme="majorHAnsi" w:cstheme="majorHAnsi"/>
          <w:color w:val="808080" w:themeColor="background1" w:themeShade="80"/>
          <w:sz w:val="16"/>
          <w:szCs w:val="16"/>
          <w:lang w:val="es-US"/>
        </w:rPr>
        <w:t>citing</w:t>
      </w:r>
      <w:proofErr w:type="spellEnd"/>
      <w:r w:rsidRPr="001167CB">
        <w:rPr>
          <w:rFonts w:asciiTheme="majorHAnsi" w:hAnsiTheme="majorHAnsi" w:cstheme="majorHAnsi"/>
          <w:color w:val="808080" w:themeColor="background1" w:themeShade="80"/>
          <w:sz w:val="16"/>
          <w:szCs w:val="16"/>
          <w:lang w:val="es-US"/>
        </w:rPr>
        <w:t xml:space="preserve"> IACHR, </w:t>
      </w:r>
      <w:proofErr w:type="spellStart"/>
      <w:r w:rsidRPr="001167CB">
        <w:rPr>
          <w:rFonts w:asciiTheme="majorHAnsi" w:hAnsiTheme="majorHAnsi" w:cstheme="majorHAnsi"/>
          <w:color w:val="808080" w:themeColor="background1" w:themeShade="80"/>
          <w:sz w:val="16"/>
          <w:szCs w:val="16"/>
          <w:lang w:val="es-US"/>
        </w:rPr>
        <w:t>Report</w:t>
      </w:r>
      <w:proofErr w:type="spellEnd"/>
      <w:r w:rsidRPr="001167CB">
        <w:rPr>
          <w:rFonts w:asciiTheme="majorHAnsi" w:hAnsiTheme="majorHAnsi" w:cstheme="majorHAnsi"/>
          <w:color w:val="808080" w:themeColor="background1" w:themeShade="80"/>
          <w:sz w:val="16"/>
          <w:szCs w:val="16"/>
          <w:lang w:val="es-US"/>
        </w:rPr>
        <w:t xml:space="preserve"> No. 28/07, </w:t>
      </w:r>
      <w:r w:rsidRPr="001167CB">
        <w:rPr>
          <w:rFonts w:asciiTheme="majorHAnsi" w:hAnsiTheme="majorHAnsi" w:cstheme="majorHAnsi"/>
          <w:i/>
          <w:color w:val="808080" w:themeColor="background1" w:themeShade="80"/>
          <w:sz w:val="16"/>
          <w:szCs w:val="16"/>
          <w:lang w:val="es-US"/>
        </w:rPr>
        <w:t>Gonzalez et al.</w:t>
      </w:r>
      <w:r w:rsidRPr="001167CB">
        <w:rPr>
          <w:rFonts w:asciiTheme="majorHAnsi" w:hAnsiTheme="majorHAnsi" w:cstheme="majorHAnsi"/>
          <w:color w:val="808080" w:themeColor="background1" w:themeShade="80"/>
          <w:sz w:val="16"/>
          <w:szCs w:val="16"/>
          <w:lang w:val="es-US"/>
        </w:rPr>
        <w:t xml:space="preserve"> (2007), paras. </w:t>
      </w:r>
      <w:r w:rsidRPr="001167CB">
        <w:rPr>
          <w:rFonts w:asciiTheme="majorHAnsi" w:hAnsiTheme="majorHAnsi" w:cstheme="majorHAnsi"/>
          <w:color w:val="808080" w:themeColor="background1" w:themeShade="80"/>
          <w:sz w:val="16"/>
          <w:szCs w:val="16"/>
        </w:rPr>
        <w:t xml:space="preserve">247-255; I/A Ct. H.R., </w:t>
      </w:r>
      <w:r w:rsidRPr="001167CB">
        <w:rPr>
          <w:rFonts w:asciiTheme="majorHAnsi" w:hAnsiTheme="majorHAnsi" w:cstheme="majorHAnsi"/>
          <w:i/>
          <w:color w:val="808080" w:themeColor="background1" w:themeShade="80"/>
          <w:sz w:val="16"/>
          <w:szCs w:val="16"/>
        </w:rPr>
        <w:t>Cotton Field</w:t>
      </w:r>
      <w:r w:rsidRPr="001167CB">
        <w:rPr>
          <w:rFonts w:asciiTheme="majorHAnsi" w:hAnsiTheme="majorHAnsi" w:cstheme="majorHAnsi"/>
          <w:color w:val="808080" w:themeColor="background1" w:themeShade="80"/>
          <w:sz w:val="16"/>
          <w:szCs w:val="16"/>
        </w:rPr>
        <w:t xml:space="preserve">, Series C No. 205 (2009), para. 245); for a more detailed discussion, </w:t>
      </w:r>
      <w:r w:rsidRPr="001167CB">
        <w:rPr>
          <w:rFonts w:asciiTheme="majorHAnsi" w:hAnsiTheme="majorHAnsi" w:cstheme="majorHAnsi"/>
          <w:i/>
          <w:color w:val="808080" w:themeColor="background1" w:themeShade="80"/>
          <w:sz w:val="16"/>
          <w:szCs w:val="16"/>
        </w:rPr>
        <w:t>see generally</w:t>
      </w:r>
      <w:r w:rsidRPr="001167CB">
        <w:rPr>
          <w:rFonts w:asciiTheme="majorHAnsi" w:hAnsiTheme="majorHAnsi" w:cstheme="majorHAnsi"/>
          <w:color w:val="808080" w:themeColor="background1" w:themeShade="80"/>
          <w:sz w:val="16"/>
          <w:szCs w:val="16"/>
        </w:rPr>
        <w:t xml:space="preserve"> J. </w:t>
      </w:r>
      <w:proofErr w:type="spellStart"/>
      <w:r w:rsidRPr="001167CB">
        <w:rPr>
          <w:rFonts w:asciiTheme="majorHAnsi" w:hAnsiTheme="majorHAnsi" w:cstheme="majorHAnsi"/>
          <w:color w:val="808080" w:themeColor="background1" w:themeShade="80"/>
          <w:sz w:val="16"/>
          <w:szCs w:val="16"/>
        </w:rPr>
        <w:t>Hessbruegge</w:t>
      </w:r>
      <w:proofErr w:type="spellEnd"/>
      <w:r w:rsidRPr="001167CB">
        <w:rPr>
          <w:rFonts w:asciiTheme="majorHAnsi" w:hAnsiTheme="majorHAnsi" w:cstheme="majorHAnsi"/>
          <w:color w:val="808080" w:themeColor="background1" w:themeShade="80"/>
          <w:sz w:val="16"/>
          <w:szCs w:val="16"/>
        </w:rPr>
        <w:t xml:space="preserve">. 2004. “The Historical development of the doctrines of attribution and due diligence in international law”, </w:t>
      </w:r>
      <w:r w:rsidRPr="001167CB">
        <w:rPr>
          <w:rFonts w:asciiTheme="majorHAnsi" w:hAnsiTheme="majorHAnsi" w:cstheme="majorHAnsi"/>
          <w:i/>
          <w:color w:val="808080" w:themeColor="background1" w:themeShade="80"/>
          <w:sz w:val="16"/>
          <w:szCs w:val="16"/>
        </w:rPr>
        <w:t>NYU Journal of Int’l Law</w:t>
      </w:r>
      <w:r w:rsidRPr="001167CB">
        <w:rPr>
          <w:rFonts w:asciiTheme="majorHAnsi" w:hAnsiTheme="majorHAnsi" w:cstheme="majorHAnsi"/>
          <w:color w:val="808080" w:themeColor="background1" w:themeShade="80"/>
          <w:sz w:val="16"/>
          <w:szCs w:val="16"/>
        </w:rPr>
        <w:t xml:space="preserve">, vol. 36; Robert P. Barnidge, Jr., The Due Diligence Principle under International Law, </w:t>
      </w:r>
      <w:r w:rsidRPr="001167CB">
        <w:rPr>
          <w:rFonts w:asciiTheme="majorHAnsi" w:hAnsiTheme="majorHAnsi" w:cstheme="majorHAnsi"/>
          <w:i/>
          <w:color w:val="808080" w:themeColor="background1" w:themeShade="80"/>
          <w:sz w:val="16"/>
          <w:szCs w:val="16"/>
        </w:rPr>
        <w:t>Int’l Community Law Review</w:t>
      </w:r>
      <w:r w:rsidRPr="001167CB">
        <w:rPr>
          <w:rFonts w:asciiTheme="majorHAnsi" w:hAnsiTheme="majorHAnsi" w:cstheme="majorHAnsi"/>
          <w:color w:val="808080" w:themeColor="background1" w:themeShade="80"/>
          <w:sz w:val="16"/>
          <w:szCs w:val="16"/>
        </w:rPr>
        <w:t xml:space="preserve"> (2006).</w:t>
      </w:r>
    </w:p>
  </w:footnote>
  <w:footnote w:id="557">
    <w:p w14:paraId="5DC6555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Report No. 50/16, </w:t>
      </w:r>
      <w:hyperlink r:id="rId618" w:history="1">
        <w:r w:rsidRPr="001167CB">
          <w:rPr>
            <w:rStyle w:val="Hyperlink"/>
            <w:rFonts w:asciiTheme="majorHAnsi" w:hAnsiTheme="majorHAnsi" w:cstheme="majorHAnsi"/>
            <w:i/>
            <w:color w:val="808080" w:themeColor="background1" w:themeShade="80"/>
            <w:sz w:val="16"/>
            <w:szCs w:val="16"/>
          </w:rPr>
          <w:t>Undocumented Workers</w:t>
        </w:r>
      </w:hyperlink>
      <w:r w:rsidRPr="001167CB">
        <w:rPr>
          <w:rFonts w:asciiTheme="majorHAnsi" w:hAnsiTheme="majorHAnsi" w:cstheme="majorHAnsi"/>
          <w:color w:val="808080" w:themeColor="background1" w:themeShade="80"/>
          <w:sz w:val="16"/>
          <w:szCs w:val="16"/>
        </w:rPr>
        <w:t xml:space="preserve"> (2016), para. </w:t>
      </w:r>
      <w:r w:rsidRPr="001167CB">
        <w:rPr>
          <w:rFonts w:asciiTheme="majorHAnsi" w:hAnsiTheme="majorHAnsi" w:cstheme="majorHAnsi"/>
          <w:color w:val="808080" w:themeColor="background1" w:themeShade="80"/>
          <w:sz w:val="16"/>
          <w:szCs w:val="16"/>
          <w:lang w:val="es-CO"/>
        </w:rPr>
        <w:t xml:space="preserve">99; </w:t>
      </w:r>
      <w:proofErr w:type="spellStart"/>
      <w:r w:rsidRPr="001167CB">
        <w:rPr>
          <w:rFonts w:asciiTheme="majorHAnsi" w:hAnsiTheme="majorHAnsi" w:cstheme="majorHAnsi"/>
          <w:color w:val="808080" w:themeColor="background1" w:themeShade="80"/>
          <w:sz w:val="16"/>
          <w:szCs w:val="16"/>
          <w:lang w:val="es-CO"/>
        </w:rPr>
        <w:t>Report</w:t>
      </w:r>
      <w:proofErr w:type="spellEnd"/>
      <w:r w:rsidRPr="001167CB">
        <w:rPr>
          <w:rFonts w:asciiTheme="majorHAnsi" w:hAnsiTheme="majorHAnsi" w:cstheme="majorHAnsi"/>
          <w:color w:val="808080" w:themeColor="background1" w:themeShade="80"/>
          <w:sz w:val="16"/>
          <w:szCs w:val="16"/>
          <w:lang w:val="es-CO"/>
        </w:rPr>
        <w:t xml:space="preserve"> No. 80/11, </w:t>
      </w:r>
      <w:hyperlink r:id="rId619" w:history="1">
        <w:r w:rsidRPr="001167CB">
          <w:rPr>
            <w:rStyle w:val="Hyperlink"/>
            <w:rFonts w:asciiTheme="majorHAnsi" w:hAnsiTheme="majorHAnsi" w:cstheme="majorHAnsi"/>
            <w:i/>
            <w:color w:val="808080" w:themeColor="background1" w:themeShade="80"/>
            <w:sz w:val="16"/>
            <w:szCs w:val="16"/>
            <w:lang w:val="es-CO"/>
          </w:rPr>
          <w:t xml:space="preserve">Jessica </w:t>
        </w:r>
        <w:proofErr w:type="spellStart"/>
        <w:r w:rsidRPr="001167CB">
          <w:rPr>
            <w:rStyle w:val="Hyperlink"/>
            <w:rFonts w:asciiTheme="majorHAnsi" w:hAnsiTheme="majorHAnsi" w:cstheme="majorHAnsi"/>
            <w:i/>
            <w:color w:val="808080" w:themeColor="background1" w:themeShade="80"/>
            <w:sz w:val="16"/>
            <w:szCs w:val="16"/>
            <w:lang w:val="es-CO"/>
          </w:rPr>
          <w:t>Lenahan</w:t>
        </w:r>
        <w:proofErr w:type="spellEnd"/>
      </w:hyperlink>
      <w:r w:rsidRPr="001167CB">
        <w:rPr>
          <w:rFonts w:asciiTheme="majorHAnsi" w:hAnsiTheme="majorHAnsi" w:cstheme="majorHAnsi"/>
          <w:color w:val="808080" w:themeColor="background1" w:themeShade="80"/>
          <w:sz w:val="16"/>
          <w:szCs w:val="16"/>
          <w:lang w:val="es-CO"/>
        </w:rPr>
        <w:t xml:space="preserve"> (2011), para. 125; </w:t>
      </w:r>
      <w:proofErr w:type="spellStart"/>
      <w:r w:rsidRPr="001167CB">
        <w:rPr>
          <w:rFonts w:asciiTheme="majorHAnsi" w:hAnsiTheme="majorHAnsi" w:cstheme="majorHAnsi"/>
          <w:color w:val="808080" w:themeColor="background1" w:themeShade="80"/>
          <w:sz w:val="16"/>
          <w:szCs w:val="16"/>
          <w:lang w:val="es-CO"/>
        </w:rPr>
        <w:t>Report</w:t>
      </w:r>
      <w:proofErr w:type="spellEnd"/>
      <w:r w:rsidRPr="001167CB">
        <w:rPr>
          <w:rFonts w:asciiTheme="majorHAnsi" w:hAnsiTheme="majorHAnsi" w:cstheme="majorHAnsi"/>
          <w:color w:val="808080" w:themeColor="background1" w:themeShade="80"/>
          <w:sz w:val="16"/>
          <w:szCs w:val="16"/>
          <w:lang w:val="es-CO"/>
        </w:rPr>
        <w:t xml:space="preserve"> 40/04, </w:t>
      </w:r>
      <w:hyperlink r:id="rId620" w:history="1">
        <w:r w:rsidRPr="001167CB">
          <w:rPr>
            <w:rStyle w:val="Hyperlink"/>
            <w:rFonts w:asciiTheme="majorHAnsi" w:hAnsiTheme="majorHAnsi" w:cstheme="majorHAnsi"/>
            <w:i/>
            <w:color w:val="808080" w:themeColor="background1" w:themeShade="80"/>
            <w:sz w:val="16"/>
            <w:szCs w:val="16"/>
            <w:lang w:val="es-CO"/>
          </w:rPr>
          <w:t xml:space="preserve">Maya </w:t>
        </w:r>
        <w:proofErr w:type="spellStart"/>
        <w:r w:rsidRPr="001167CB">
          <w:rPr>
            <w:rStyle w:val="Hyperlink"/>
            <w:rFonts w:asciiTheme="majorHAnsi" w:hAnsiTheme="majorHAnsi" w:cstheme="majorHAnsi"/>
            <w:i/>
            <w:color w:val="808080" w:themeColor="background1" w:themeShade="80"/>
            <w:sz w:val="16"/>
            <w:szCs w:val="16"/>
            <w:lang w:val="es-CO"/>
          </w:rPr>
          <w:t>Indigenous</w:t>
        </w:r>
        <w:proofErr w:type="spellEnd"/>
        <w:r w:rsidRPr="001167CB">
          <w:rPr>
            <w:rStyle w:val="Hyperlink"/>
            <w:rFonts w:asciiTheme="majorHAnsi" w:hAnsiTheme="majorHAnsi" w:cstheme="majorHAnsi"/>
            <w:i/>
            <w:color w:val="808080" w:themeColor="background1" w:themeShade="80"/>
            <w:sz w:val="16"/>
            <w:szCs w:val="16"/>
            <w:lang w:val="es-CO"/>
          </w:rPr>
          <w:t xml:space="preserve"> </w:t>
        </w:r>
        <w:proofErr w:type="spellStart"/>
        <w:r w:rsidRPr="001167CB">
          <w:rPr>
            <w:rStyle w:val="Hyperlink"/>
            <w:rFonts w:asciiTheme="majorHAnsi" w:hAnsiTheme="majorHAnsi" w:cstheme="majorHAnsi"/>
            <w:i/>
            <w:color w:val="808080" w:themeColor="background1" w:themeShade="80"/>
            <w:sz w:val="16"/>
            <w:szCs w:val="16"/>
            <w:lang w:val="es-CO"/>
          </w:rPr>
          <w:t>Community</w:t>
        </w:r>
        <w:proofErr w:type="spellEnd"/>
      </w:hyperlink>
      <w:r w:rsidRPr="001167CB">
        <w:rPr>
          <w:rFonts w:asciiTheme="majorHAnsi" w:hAnsiTheme="majorHAnsi" w:cstheme="majorHAnsi"/>
          <w:color w:val="808080" w:themeColor="background1" w:themeShade="80"/>
          <w:sz w:val="16"/>
          <w:szCs w:val="16"/>
          <w:lang w:val="es-CO"/>
        </w:rPr>
        <w:t xml:space="preserve"> (2004), para. 162; </w:t>
      </w:r>
      <w:proofErr w:type="spellStart"/>
      <w:r w:rsidRPr="001167CB">
        <w:rPr>
          <w:rFonts w:asciiTheme="majorHAnsi" w:hAnsiTheme="majorHAnsi" w:cstheme="majorHAnsi"/>
          <w:color w:val="808080" w:themeColor="background1" w:themeShade="80"/>
          <w:sz w:val="16"/>
          <w:szCs w:val="16"/>
          <w:lang w:val="es-CO"/>
        </w:rPr>
        <w:t>Report</w:t>
      </w:r>
      <w:proofErr w:type="spellEnd"/>
      <w:r w:rsidRPr="001167CB">
        <w:rPr>
          <w:rFonts w:asciiTheme="majorHAnsi" w:hAnsiTheme="majorHAnsi" w:cstheme="majorHAnsi"/>
          <w:color w:val="808080" w:themeColor="background1" w:themeShade="80"/>
          <w:sz w:val="16"/>
          <w:szCs w:val="16"/>
          <w:lang w:val="es-CO"/>
        </w:rPr>
        <w:t xml:space="preserve"> No. 67/06, </w:t>
      </w:r>
      <w:hyperlink r:id="rId621" w:history="1">
        <w:r w:rsidRPr="001167CB">
          <w:rPr>
            <w:rStyle w:val="Hyperlink"/>
            <w:rFonts w:asciiTheme="majorHAnsi" w:hAnsiTheme="majorHAnsi" w:cstheme="majorHAnsi"/>
            <w:i/>
            <w:color w:val="808080" w:themeColor="background1" w:themeShade="80"/>
            <w:sz w:val="16"/>
            <w:szCs w:val="16"/>
            <w:lang w:val="es-CO"/>
          </w:rPr>
          <w:t xml:space="preserve">Oscar Elías </w:t>
        </w:r>
        <w:proofErr w:type="spellStart"/>
        <w:r w:rsidRPr="001167CB">
          <w:rPr>
            <w:rStyle w:val="Hyperlink"/>
            <w:rFonts w:asciiTheme="majorHAnsi" w:hAnsiTheme="majorHAnsi" w:cstheme="majorHAnsi"/>
            <w:i/>
            <w:color w:val="808080" w:themeColor="background1" w:themeShade="80"/>
            <w:sz w:val="16"/>
            <w:szCs w:val="16"/>
            <w:lang w:val="es-CO"/>
          </w:rPr>
          <w:t>Bicet</w:t>
        </w:r>
        <w:proofErr w:type="spellEnd"/>
        <w:r w:rsidRPr="001167CB">
          <w:rPr>
            <w:rStyle w:val="Hyperlink"/>
            <w:rFonts w:asciiTheme="majorHAnsi" w:hAnsiTheme="majorHAnsi" w:cstheme="majorHAnsi"/>
            <w:i/>
            <w:color w:val="808080" w:themeColor="background1" w:themeShade="80"/>
            <w:sz w:val="16"/>
            <w:szCs w:val="16"/>
            <w:lang w:val="es-CO"/>
          </w:rPr>
          <w:t xml:space="preserve"> et al.</w:t>
        </w:r>
      </w:hyperlink>
      <w:r w:rsidRPr="001167CB">
        <w:rPr>
          <w:rFonts w:asciiTheme="majorHAnsi" w:hAnsiTheme="majorHAnsi" w:cstheme="majorHAnsi"/>
          <w:color w:val="808080" w:themeColor="background1" w:themeShade="80"/>
          <w:sz w:val="16"/>
          <w:szCs w:val="16"/>
          <w:lang w:val="es-CO"/>
        </w:rPr>
        <w:t xml:space="preserve"> (2006), para. </w:t>
      </w:r>
      <w:r w:rsidRPr="001167CB">
        <w:rPr>
          <w:rFonts w:asciiTheme="majorHAnsi" w:hAnsiTheme="majorHAnsi" w:cstheme="majorHAnsi"/>
          <w:color w:val="808080" w:themeColor="background1" w:themeShade="80"/>
          <w:sz w:val="16"/>
          <w:szCs w:val="16"/>
        </w:rPr>
        <w:t>228.</w:t>
      </w:r>
    </w:p>
    <w:p w14:paraId="1CC3C1A5" w14:textId="77777777" w:rsidR="005C2394" w:rsidRPr="001167CB" w:rsidRDefault="005C2394" w:rsidP="00C91E4F">
      <w:pPr>
        <w:pStyle w:val="FootnoteText"/>
        <w:spacing w:after="40"/>
        <w:ind w:left="547"/>
        <w:jc w:val="both"/>
        <w:rPr>
          <w:rFonts w:asciiTheme="majorHAnsi" w:hAnsiTheme="majorHAnsi" w:cstheme="majorHAnsi"/>
          <w:color w:val="808080" w:themeColor="background1" w:themeShade="80"/>
          <w:sz w:val="16"/>
          <w:szCs w:val="16"/>
        </w:rPr>
      </w:pPr>
      <w:r w:rsidRPr="001167CB">
        <w:rPr>
          <w:rFonts w:asciiTheme="majorHAnsi" w:hAnsiTheme="majorHAnsi" w:cstheme="majorHAnsi"/>
          <w:i/>
          <w:color w:val="808080" w:themeColor="background1" w:themeShade="80"/>
          <w:sz w:val="16"/>
          <w:szCs w:val="16"/>
        </w:rPr>
        <w:t>See also, e.g.,</w:t>
      </w:r>
      <w:r w:rsidRPr="001167CB">
        <w:rPr>
          <w:rFonts w:asciiTheme="majorHAnsi" w:hAnsiTheme="majorHAnsi" w:cstheme="majorHAnsi"/>
          <w:color w:val="808080" w:themeColor="background1" w:themeShade="80"/>
          <w:sz w:val="16"/>
          <w:szCs w:val="16"/>
        </w:rPr>
        <w:t xml:space="preserve"> IACHR, Report No. 28/07, </w:t>
      </w:r>
      <w:r w:rsidRPr="001167CB">
        <w:rPr>
          <w:rFonts w:asciiTheme="majorHAnsi" w:hAnsiTheme="majorHAnsi" w:cstheme="majorHAnsi"/>
          <w:i/>
          <w:color w:val="808080" w:themeColor="background1" w:themeShade="80"/>
          <w:sz w:val="16"/>
          <w:szCs w:val="16"/>
        </w:rPr>
        <w:t>Gonzalez et al.</w:t>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lang w:val="es-CO"/>
        </w:rPr>
        <w:t>(2007)</w:t>
      </w:r>
      <w:r w:rsidRPr="001167CB">
        <w:rPr>
          <w:rFonts w:asciiTheme="majorHAnsi" w:hAnsiTheme="majorHAnsi" w:cstheme="majorHAnsi"/>
          <w:color w:val="808080" w:themeColor="background1" w:themeShade="80"/>
          <w:sz w:val="16"/>
          <w:szCs w:val="16"/>
          <w:lang w:val="es-MX"/>
        </w:rPr>
        <w:t xml:space="preserve">, paras. </w:t>
      </w:r>
      <w:r w:rsidRPr="001167CB">
        <w:rPr>
          <w:rFonts w:asciiTheme="majorHAnsi" w:hAnsiTheme="majorHAnsi" w:cstheme="majorHAnsi"/>
          <w:color w:val="808080" w:themeColor="background1" w:themeShade="80"/>
          <w:sz w:val="16"/>
          <w:szCs w:val="16"/>
          <w:lang w:val="pt-BR"/>
        </w:rPr>
        <w:t xml:space="preserve">160-255; IACHR, Report No. 54/01, Case 12.051, </w:t>
      </w:r>
      <w:r w:rsidRPr="001167CB">
        <w:rPr>
          <w:rFonts w:asciiTheme="majorHAnsi" w:hAnsiTheme="majorHAnsi" w:cstheme="majorHAnsi"/>
          <w:i/>
          <w:color w:val="808080" w:themeColor="background1" w:themeShade="80"/>
          <w:sz w:val="16"/>
          <w:szCs w:val="16"/>
          <w:lang w:val="pt-BR"/>
        </w:rPr>
        <w:t>Maria Da Penha Maia Fernandes</w:t>
      </w:r>
      <w:r w:rsidRPr="001167CB">
        <w:rPr>
          <w:rFonts w:asciiTheme="majorHAnsi" w:hAnsiTheme="majorHAnsi" w:cstheme="majorHAnsi"/>
          <w:color w:val="808080" w:themeColor="background1" w:themeShade="80"/>
          <w:sz w:val="16"/>
          <w:szCs w:val="16"/>
          <w:lang w:val="pt-BR"/>
        </w:rPr>
        <w:t xml:space="preserve"> (Brazil), Apr. 16, 2001, paras. </w:t>
      </w:r>
      <w:r w:rsidRPr="001167CB">
        <w:rPr>
          <w:rFonts w:asciiTheme="majorHAnsi" w:hAnsiTheme="majorHAnsi" w:cstheme="majorHAnsi"/>
          <w:color w:val="808080" w:themeColor="background1" w:themeShade="80"/>
          <w:sz w:val="16"/>
          <w:szCs w:val="16"/>
        </w:rPr>
        <w:t>55-58 [hereinafter “</w:t>
      </w:r>
      <w:bookmarkStart w:id="220" w:name="_Hlk507688268"/>
      <w:r w:rsidRPr="001167CB">
        <w:rPr>
          <w:rFonts w:asciiTheme="majorHAnsi" w:hAnsiTheme="majorHAnsi" w:cstheme="majorHAnsi"/>
          <w:color w:val="808080" w:themeColor="background1" w:themeShade="80"/>
          <w:sz w:val="16"/>
          <w:szCs w:val="16"/>
        </w:rPr>
        <w:t xml:space="preserve">Report No. 54/01, </w:t>
      </w:r>
      <w:r w:rsidRPr="001167CB">
        <w:rPr>
          <w:rFonts w:asciiTheme="majorHAnsi" w:hAnsiTheme="majorHAnsi" w:cstheme="majorHAnsi"/>
          <w:i/>
          <w:color w:val="808080" w:themeColor="background1" w:themeShade="80"/>
          <w:sz w:val="16"/>
          <w:szCs w:val="16"/>
        </w:rPr>
        <w:t>Maria da Penha</w:t>
      </w:r>
      <w:r w:rsidRPr="001167CB">
        <w:rPr>
          <w:rFonts w:asciiTheme="majorHAnsi" w:hAnsiTheme="majorHAnsi" w:cstheme="majorHAnsi"/>
          <w:color w:val="808080" w:themeColor="background1" w:themeShade="80"/>
          <w:sz w:val="16"/>
          <w:szCs w:val="16"/>
        </w:rPr>
        <w:t xml:space="preserve"> (2001)</w:t>
      </w:r>
      <w:bookmarkEnd w:id="220"/>
      <w:r w:rsidRPr="001167CB">
        <w:rPr>
          <w:rFonts w:asciiTheme="majorHAnsi" w:hAnsiTheme="majorHAnsi" w:cstheme="majorHAnsi"/>
          <w:color w:val="808080" w:themeColor="background1" w:themeShade="80"/>
          <w:sz w:val="16"/>
          <w:szCs w:val="16"/>
        </w:rPr>
        <w:t xml:space="preserve">”]; IACHR, Access to Justice for Women Victims of Violence in the Americas, paras 26-58; </w:t>
      </w:r>
      <w:r w:rsidRPr="001167CB">
        <w:rPr>
          <w:rFonts w:asciiTheme="majorHAnsi" w:hAnsiTheme="majorHAnsi" w:cstheme="majorHAnsi"/>
          <w:i/>
          <w:color w:val="808080" w:themeColor="background1" w:themeShade="80"/>
          <w:sz w:val="16"/>
          <w:szCs w:val="16"/>
        </w:rPr>
        <w:t>See also generally</w:t>
      </w:r>
      <w:r w:rsidRPr="001167CB">
        <w:rPr>
          <w:rFonts w:asciiTheme="majorHAnsi" w:hAnsiTheme="majorHAnsi" w:cstheme="majorHAnsi"/>
          <w:color w:val="808080" w:themeColor="background1" w:themeShade="80"/>
          <w:sz w:val="16"/>
          <w:szCs w:val="16"/>
        </w:rPr>
        <w:t xml:space="preserve"> I/A Ct. H.R., </w:t>
      </w:r>
      <w:r w:rsidRPr="001167CB">
        <w:rPr>
          <w:rFonts w:asciiTheme="majorHAnsi" w:hAnsiTheme="majorHAnsi" w:cstheme="majorHAnsi"/>
          <w:i/>
          <w:color w:val="808080" w:themeColor="background1" w:themeShade="80"/>
          <w:sz w:val="16"/>
          <w:szCs w:val="16"/>
        </w:rPr>
        <w:t>Cotton Field</w:t>
      </w:r>
      <w:r w:rsidRPr="001167CB">
        <w:rPr>
          <w:rFonts w:asciiTheme="majorHAnsi" w:hAnsiTheme="majorHAnsi" w:cstheme="majorHAnsi"/>
          <w:color w:val="808080" w:themeColor="background1" w:themeShade="80"/>
          <w:sz w:val="16"/>
          <w:szCs w:val="16"/>
        </w:rPr>
        <w:t>, Series C No. 205 (2009).</w:t>
      </w:r>
    </w:p>
  </w:footnote>
  <w:footnote w:id="558">
    <w:p w14:paraId="1CE899C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e.g.,</w:t>
      </w:r>
      <w:r w:rsidRPr="001167CB">
        <w:rPr>
          <w:rFonts w:asciiTheme="majorHAnsi" w:hAnsiTheme="majorHAnsi" w:cstheme="majorHAnsi"/>
          <w:color w:val="808080" w:themeColor="background1" w:themeShade="80"/>
          <w:sz w:val="16"/>
          <w:szCs w:val="16"/>
        </w:rPr>
        <w:t xml:space="preserve"> IACHR, Report No. 50/16, </w:t>
      </w:r>
      <w:hyperlink r:id="rId622" w:history="1">
        <w:r w:rsidRPr="001167CB">
          <w:rPr>
            <w:rStyle w:val="Hyperlink"/>
            <w:rFonts w:asciiTheme="majorHAnsi" w:hAnsiTheme="majorHAnsi" w:cstheme="majorHAnsi"/>
            <w:i/>
            <w:color w:val="808080" w:themeColor="background1" w:themeShade="80"/>
            <w:sz w:val="16"/>
            <w:szCs w:val="16"/>
          </w:rPr>
          <w:t>Undocumented Workers</w:t>
        </w:r>
      </w:hyperlink>
      <w:r w:rsidRPr="001167CB">
        <w:rPr>
          <w:rFonts w:asciiTheme="majorHAnsi" w:hAnsiTheme="majorHAnsi" w:cstheme="majorHAnsi"/>
          <w:color w:val="808080" w:themeColor="background1" w:themeShade="80"/>
          <w:sz w:val="16"/>
          <w:szCs w:val="16"/>
        </w:rPr>
        <w:t xml:space="preserve"> (2016); Report No. 80/11, </w:t>
      </w:r>
      <w:hyperlink r:id="rId623" w:history="1">
        <w:r w:rsidRPr="001167CB">
          <w:rPr>
            <w:rStyle w:val="Hyperlink"/>
            <w:rFonts w:asciiTheme="majorHAnsi" w:hAnsiTheme="majorHAnsi" w:cstheme="majorHAnsi"/>
            <w:i/>
            <w:color w:val="808080" w:themeColor="background1" w:themeShade="80"/>
            <w:sz w:val="16"/>
            <w:szCs w:val="16"/>
          </w:rPr>
          <w:t xml:space="preserve">Jessica </w:t>
        </w:r>
        <w:proofErr w:type="spellStart"/>
        <w:r w:rsidRPr="001167CB">
          <w:rPr>
            <w:rStyle w:val="Hyperlink"/>
            <w:rFonts w:asciiTheme="majorHAnsi" w:hAnsiTheme="majorHAnsi" w:cstheme="majorHAnsi"/>
            <w:i/>
            <w:color w:val="808080" w:themeColor="background1" w:themeShade="80"/>
            <w:sz w:val="16"/>
            <w:szCs w:val="16"/>
          </w:rPr>
          <w:t>Lenahan</w:t>
        </w:r>
        <w:proofErr w:type="spellEnd"/>
      </w:hyperlink>
      <w:r w:rsidRPr="001167CB">
        <w:rPr>
          <w:rFonts w:asciiTheme="majorHAnsi" w:hAnsiTheme="majorHAnsi" w:cstheme="majorHAnsi"/>
          <w:color w:val="808080" w:themeColor="background1" w:themeShade="80"/>
          <w:sz w:val="16"/>
          <w:szCs w:val="16"/>
        </w:rPr>
        <w:t xml:space="preserve"> (2011), para. 111); </w:t>
      </w:r>
      <w:hyperlink r:id="rId624" w:history="1">
        <w:r w:rsidRPr="001167CB">
          <w:rPr>
            <w:rStyle w:val="Hyperlink"/>
            <w:rFonts w:asciiTheme="majorHAnsi" w:hAnsiTheme="majorHAnsi" w:cstheme="majorHAnsi"/>
            <w:color w:val="808080" w:themeColor="background1" w:themeShade="80"/>
            <w:sz w:val="16"/>
            <w:szCs w:val="16"/>
          </w:rPr>
          <w:t>Refugees and Migrants in the United States: Families and Unaccompanied Children</w:t>
        </w:r>
      </w:hyperlink>
      <w:r w:rsidRPr="001167CB">
        <w:rPr>
          <w:rFonts w:asciiTheme="majorHAnsi" w:hAnsiTheme="majorHAnsi" w:cstheme="majorHAnsi"/>
          <w:color w:val="808080" w:themeColor="background1" w:themeShade="80"/>
          <w:sz w:val="16"/>
          <w:szCs w:val="16"/>
        </w:rPr>
        <w:t>, OAS/</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 xml:space="preserve">/V/II.155, Doc. 16 (2015); </w:t>
      </w:r>
      <w:hyperlink r:id="rId625" w:history="1">
        <w:r w:rsidRPr="001167CB">
          <w:rPr>
            <w:rStyle w:val="Hyperlink"/>
            <w:rFonts w:asciiTheme="majorHAnsi" w:hAnsiTheme="majorHAnsi" w:cstheme="majorHAnsi"/>
            <w:color w:val="808080" w:themeColor="background1" w:themeShade="80"/>
            <w:sz w:val="16"/>
            <w:szCs w:val="16"/>
          </w:rPr>
          <w:t>Report on Immigration in the United States: Detention and Due Process</w:t>
        </w:r>
      </w:hyperlink>
      <w:r w:rsidRPr="001167CB">
        <w:rPr>
          <w:rFonts w:asciiTheme="majorHAnsi" w:hAnsiTheme="majorHAnsi" w:cstheme="majorHAnsi"/>
          <w:color w:val="808080" w:themeColor="background1" w:themeShade="80"/>
          <w:sz w:val="16"/>
          <w:szCs w:val="16"/>
        </w:rPr>
        <w:t>,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/V/II., Doc. 78/10 (2010).</w:t>
      </w:r>
    </w:p>
  </w:footnote>
  <w:footnote w:id="559">
    <w:p w14:paraId="2260420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626" w:history="1">
        <w:r w:rsidRPr="001167CB">
          <w:rPr>
            <w:rStyle w:val="Hyperlink"/>
            <w:rFonts w:asciiTheme="majorHAnsi" w:hAnsiTheme="majorHAnsi" w:cstheme="majorHAnsi"/>
            <w:bCs/>
            <w:color w:val="808080" w:themeColor="background1" w:themeShade="80"/>
            <w:sz w:val="16"/>
            <w:szCs w:val="16"/>
          </w:rPr>
          <w:t>Eric Garner and Michael Brown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 xml:space="preserve">22, 2014; </w:t>
      </w:r>
      <w:hyperlink r:id="rId627" w:history="1">
        <w:r w:rsidRPr="001167CB">
          <w:rPr>
            <w:rStyle w:val="Hyperlink"/>
            <w:rFonts w:asciiTheme="majorHAnsi" w:hAnsiTheme="majorHAnsi" w:cstheme="majorHAnsi"/>
            <w:bCs/>
            <w:color w:val="808080" w:themeColor="background1" w:themeShade="80"/>
            <w:sz w:val="16"/>
            <w:szCs w:val="16"/>
          </w:rPr>
          <w:t>Walter Scott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Apr. </w:t>
      </w:r>
      <w:r w:rsidRPr="001167CB">
        <w:rPr>
          <w:rFonts w:asciiTheme="majorHAnsi" w:hAnsiTheme="majorHAnsi" w:cstheme="majorHAnsi"/>
          <w:bCs/>
          <w:color w:val="808080" w:themeColor="background1" w:themeShade="80"/>
          <w:sz w:val="16"/>
          <w:szCs w:val="16"/>
        </w:rPr>
        <w:t xml:space="preserve">17, 2015; </w:t>
      </w:r>
      <w:hyperlink r:id="rId628" w:history="1">
        <w:r w:rsidRPr="001167CB">
          <w:rPr>
            <w:rStyle w:val="Hyperlink"/>
            <w:rFonts w:asciiTheme="majorHAnsi" w:hAnsiTheme="majorHAnsi" w:cstheme="majorHAnsi"/>
            <w:bCs/>
            <w:color w:val="808080" w:themeColor="background1" w:themeShade="80"/>
            <w:sz w:val="16"/>
            <w:szCs w:val="16"/>
          </w:rPr>
          <w:t>Investigation of Police Killings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 xml:space="preserve">23, 2016; </w:t>
      </w:r>
      <w:hyperlink r:id="rId629" w:history="1">
        <w:r w:rsidRPr="001167CB">
          <w:rPr>
            <w:rStyle w:val="Hyperlink"/>
            <w:rFonts w:asciiTheme="majorHAnsi" w:hAnsiTheme="majorHAnsi" w:cstheme="majorHAnsi"/>
            <w:bCs/>
            <w:color w:val="808080" w:themeColor="background1" w:themeShade="80"/>
            <w:sz w:val="16"/>
            <w:szCs w:val="16"/>
          </w:rPr>
          <w:t>Charlottesville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18, 2017.</w:t>
      </w:r>
    </w:p>
  </w:footnote>
  <w:footnote w:id="560">
    <w:p w14:paraId="61D2057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See, e.g., IACHR, Report No. 80/11, </w:t>
      </w:r>
      <w:hyperlink r:id="rId630" w:history="1">
        <w:r w:rsidRPr="001167CB">
          <w:rPr>
            <w:rStyle w:val="Hyperlink"/>
            <w:rFonts w:asciiTheme="majorHAnsi" w:hAnsiTheme="majorHAnsi" w:cstheme="majorHAnsi"/>
            <w:i/>
            <w:color w:val="808080" w:themeColor="background1" w:themeShade="80"/>
            <w:sz w:val="16"/>
            <w:szCs w:val="16"/>
          </w:rPr>
          <w:t xml:space="preserve">Jessica </w:t>
        </w:r>
        <w:proofErr w:type="spellStart"/>
        <w:r w:rsidRPr="001167CB">
          <w:rPr>
            <w:rStyle w:val="Hyperlink"/>
            <w:rFonts w:asciiTheme="majorHAnsi" w:hAnsiTheme="majorHAnsi" w:cstheme="majorHAnsi"/>
            <w:i/>
            <w:color w:val="808080" w:themeColor="background1" w:themeShade="80"/>
            <w:sz w:val="16"/>
            <w:szCs w:val="16"/>
          </w:rPr>
          <w:t>Lenahan</w:t>
        </w:r>
        <w:proofErr w:type="spellEnd"/>
      </w:hyperlink>
      <w:r w:rsidRPr="001167CB">
        <w:rPr>
          <w:rFonts w:asciiTheme="majorHAnsi" w:hAnsiTheme="majorHAnsi" w:cstheme="majorHAnsi"/>
          <w:color w:val="808080" w:themeColor="background1" w:themeShade="80"/>
          <w:sz w:val="16"/>
          <w:szCs w:val="16"/>
        </w:rPr>
        <w:t xml:space="preserve"> (2011); Report No. 28/07, </w:t>
      </w:r>
      <w:r w:rsidRPr="001167CB">
        <w:rPr>
          <w:rFonts w:asciiTheme="majorHAnsi" w:hAnsiTheme="majorHAnsi" w:cstheme="majorHAnsi"/>
          <w:i/>
          <w:color w:val="808080" w:themeColor="background1" w:themeShade="80"/>
          <w:sz w:val="16"/>
          <w:szCs w:val="16"/>
        </w:rPr>
        <w:t>Gonzalez et al.</w:t>
      </w:r>
      <w:r w:rsidRPr="001167CB">
        <w:rPr>
          <w:rFonts w:asciiTheme="majorHAnsi" w:hAnsiTheme="majorHAnsi" w:cstheme="majorHAnsi"/>
          <w:color w:val="808080" w:themeColor="background1" w:themeShade="80"/>
          <w:sz w:val="16"/>
          <w:szCs w:val="16"/>
        </w:rPr>
        <w:t xml:space="preserve"> (2007); I/A Ct. H.R., </w:t>
      </w:r>
      <w:r w:rsidRPr="001167CB">
        <w:rPr>
          <w:rFonts w:asciiTheme="majorHAnsi" w:hAnsiTheme="majorHAnsi" w:cstheme="majorHAnsi"/>
          <w:i/>
          <w:color w:val="808080" w:themeColor="background1" w:themeShade="80"/>
          <w:sz w:val="16"/>
          <w:szCs w:val="16"/>
        </w:rPr>
        <w:t>Cotton Field</w:t>
      </w:r>
      <w:r w:rsidRPr="001167CB">
        <w:rPr>
          <w:rFonts w:asciiTheme="majorHAnsi" w:hAnsiTheme="majorHAnsi" w:cstheme="majorHAnsi"/>
          <w:color w:val="808080" w:themeColor="background1" w:themeShade="80"/>
          <w:sz w:val="16"/>
          <w:szCs w:val="16"/>
        </w:rPr>
        <w:t xml:space="preserve">, Series C No. 205 (2009); IACHR, Report No. 54/01, </w:t>
      </w:r>
      <w:r w:rsidRPr="001167CB">
        <w:rPr>
          <w:rFonts w:asciiTheme="majorHAnsi" w:hAnsiTheme="majorHAnsi" w:cstheme="majorHAnsi"/>
          <w:i/>
          <w:color w:val="808080" w:themeColor="background1" w:themeShade="80"/>
          <w:sz w:val="16"/>
          <w:szCs w:val="16"/>
        </w:rPr>
        <w:t>Maria da Penha</w:t>
      </w:r>
      <w:r w:rsidRPr="001167CB">
        <w:rPr>
          <w:rFonts w:asciiTheme="majorHAnsi" w:hAnsiTheme="majorHAnsi" w:cstheme="majorHAnsi"/>
          <w:color w:val="808080" w:themeColor="background1" w:themeShade="80"/>
          <w:sz w:val="16"/>
          <w:szCs w:val="16"/>
        </w:rPr>
        <w:t xml:space="preserve"> (2001).</w:t>
      </w:r>
    </w:p>
  </w:footnote>
  <w:footnote w:id="561">
    <w:p w14:paraId="5128C14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pt-BR"/>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pt-BR"/>
        </w:rPr>
        <w:t xml:space="preserve"> </w:t>
      </w:r>
      <w:r w:rsidRPr="001167CB">
        <w:rPr>
          <w:rFonts w:asciiTheme="majorHAnsi" w:hAnsiTheme="majorHAnsi" w:cstheme="majorHAnsi"/>
          <w:color w:val="808080" w:themeColor="background1" w:themeShade="80"/>
          <w:sz w:val="16"/>
          <w:szCs w:val="16"/>
          <w:lang w:val="pt-BR"/>
        </w:rPr>
        <w:tab/>
        <w:t>Id.</w:t>
      </w:r>
    </w:p>
  </w:footnote>
  <w:footnote w:id="562">
    <w:p w14:paraId="238AD3B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pt-BR"/>
        </w:rPr>
        <w:t xml:space="preserve"> </w:t>
      </w:r>
      <w:r w:rsidRPr="001167CB">
        <w:rPr>
          <w:rFonts w:asciiTheme="majorHAnsi" w:hAnsiTheme="majorHAnsi" w:cstheme="majorHAnsi"/>
          <w:color w:val="808080" w:themeColor="background1" w:themeShade="80"/>
          <w:sz w:val="16"/>
          <w:szCs w:val="16"/>
          <w:lang w:val="pt-BR"/>
        </w:rPr>
        <w:tab/>
        <w:t xml:space="preserve">IACHR, Report No. </w:t>
      </w:r>
      <w:r w:rsidRPr="001167CB">
        <w:rPr>
          <w:rFonts w:asciiTheme="majorHAnsi" w:hAnsiTheme="majorHAnsi" w:cstheme="majorHAnsi"/>
          <w:color w:val="808080" w:themeColor="background1" w:themeShade="80"/>
          <w:sz w:val="16"/>
          <w:szCs w:val="16"/>
          <w:lang w:val="pt-BR"/>
        </w:rPr>
        <w:t xml:space="preserve">80/11, </w:t>
      </w:r>
      <w:r>
        <w:rPr>
          <w:rStyle w:val="Hyperlink"/>
          <w:rFonts w:asciiTheme="majorHAnsi" w:hAnsiTheme="majorHAnsi" w:cstheme="majorHAnsi"/>
          <w:i/>
          <w:color w:val="808080" w:themeColor="background1" w:themeShade="80"/>
          <w:sz w:val="16"/>
          <w:szCs w:val="16"/>
          <w:lang w:val="pt-BR"/>
        </w:rPr>
        <w:fldChar w:fldCharType="begin"/>
      </w:r>
      <w:r>
        <w:rPr>
          <w:rStyle w:val="Hyperlink"/>
          <w:rFonts w:asciiTheme="majorHAnsi" w:hAnsiTheme="majorHAnsi" w:cstheme="majorHAnsi"/>
          <w:i/>
          <w:color w:val="808080" w:themeColor="background1" w:themeShade="80"/>
          <w:sz w:val="16"/>
          <w:szCs w:val="16"/>
          <w:lang w:val="pt-BR"/>
        </w:rPr>
        <w:instrText xml:space="preserve"> HYPERLINK "http://www.oas.org/en/iachr/decisions/2011/uspu12626en.doc" </w:instrText>
      </w:r>
      <w:r>
        <w:rPr>
          <w:rStyle w:val="Hyperlink"/>
          <w:rFonts w:asciiTheme="majorHAnsi" w:hAnsiTheme="majorHAnsi" w:cstheme="majorHAnsi"/>
          <w:i/>
          <w:color w:val="808080" w:themeColor="background1" w:themeShade="80"/>
          <w:sz w:val="16"/>
          <w:szCs w:val="16"/>
          <w:lang w:val="pt-BR"/>
        </w:rPr>
        <w:fldChar w:fldCharType="separate"/>
      </w:r>
      <w:r w:rsidRPr="001167CB">
        <w:rPr>
          <w:rStyle w:val="Hyperlink"/>
          <w:rFonts w:asciiTheme="majorHAnsi" w:hAnsiTheme="majorHAnsi" w:cstheme="majorHAnsi"/>
          <w:i/>
          <w:color w:val="808080" w:themeColor="background1" w:themeShade="80"/>
          <w:sz w:val="16"/>
          <w:szCs w:val="16"/>
          <w:lang w:val="pt-BR"/>
        </w:rPr>
        <w:t>Jessica Lenahan</w:t>
      </w:r>
      <w:r>
        <w:rPr>
          <w:rStyle w:val="Hyperlink"/>
          <w:rFonts w:asciiTheme="majorHAnsi" w:hAnsiTheme="majorHAnsi" w:cstheme="majorHAnsi"/>
          <w:i/>
          <w:color w:val="808080" w:themeColor="background1" w:themeShade="80"/>
          <w:sz w:val="16"/>
          <w:szCs w:val="16"/>
          <w:lang w:val="pt-BR"/>
        </w:rPr>
        <w:fldChar w:fldCharType="end"/>
      </w:r>
      <w:r w:rsidRPr="001167CB">
        <w:rPr>
          <w:rFonts w:asciiTheme="majorHAnsi" w:hAnsiTheme="majorHAnsi" w:cstheme="majorHAnsi"/>
          <w:color w:val="808080" w:themeColor="background1" w:themeShade="80"/>
          <w:sz w:val="16"/>
          <w:szCs w:val="16"/>
          <w:lang w:val="pt-BR"/>
        </w:rPr>
        <w:t xml:space="preserve"> (2011), para. 131 (citing Report No. 54/01, </w:t>
      </w:r>
      <w:r w:rsidRPr="001167CB">
        <w:rPr>
          <w:rFonts w:asciiTheme="majorHAnsi" w:hAnsiTheme="majorHAnsi" w:cstheme="majorHAnsi"/>
          <w:i/>
          <w:color w:val="808080" w:themeColor="background1" w:themeShade="80"/>
          <w:sz w:val="16"/>
          <w:szCs w:val="16"/>
          <w:lang w:val="pt-BR"/>
        </w:rPr>
        <w:t>Maria da Penha</w:t>
      </w:r>
      <w:r w:rsidRPr="001167CB">
        <w:rPr>
          <w:rFonts w:asciiTheme="majorHAnsi" w:hAnsiTheme="majorHAnsi" w:cstheme="majorHAnsi"/>
          <w:color w:val="808080" w:themeColor="background1" w:themeShade="80"/>
          <w:sz w:val="16"/>
          <w:szCs w:val="16"/>
          <w:lang w:val="pt-BR"/>
        </w:rPr>
        <w:t xml:space="preserve"> (2001), para. </w:t>
      </w:r>
      <w:r w:rsidRPr="001167CB">
        <w:rPr>
          <w:rFonts w:asciiTheme="majorHAnsi" w:hAnsiTheme="majorHAnsi" w:cstheme="majorHAnsi"/>
          <w:color w:val="808080" w:themeColor="background1" w:themeShade="80"/>
          <w:sz w:val="16"/>
          <w:szCs w:val="16"/>
        </w:rPr>
        <w:t>56).</w:t>
      </w:r>
    </w:p>
  </w:footnote>
  <w:footnote w:id="563">
    <w:p w14:paraId="1FE841E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126 (citation omitted).</w:t>
      </w:r>
    </w:p>
  </w:footnote>
  <w:footnote w:id="564">
    <w:p w14:paraId="2C345C5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565">
    <w:p w14:paraId="6FC8066B" w14:textId="77777777" w:rsidR="005C2394" w:rsidRPr="001167CB" w:rsidRDefault="005C2394" w:rsidP="002C64F8">
      <w:pPr>
        <w:pStyle w:val="NormalWeb"/>
        <w:spacing w:before="0" w:beforeAutospacing="0" w:after="40" w:afterAutospacing="0"/>
        <w:ind w:left="547" w:hanging="547"/>
        <w:jc w:val="both"/>
        <w:rPr>
          <w:rFonts w:asciiTheme="majorHAnsi" w:hAnsiTheme="majorHAnsi" w:cstheme="majorHAnsi"/>
          <w:color w:val="808080" w:themeColor="background1" w:themeShade="80"/>
          <w:sz w:val="16"/>
          <w:szCs w:val="16"/>
          <w:lang w:val="en-US"/>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n-US"/>
        </w:rPr>
        <w:t xml:space="preserve"> </w:t>
      </w:r>
      <w:r w:rsidRPr="001167CB">
        <w:rPr>
          <w:rFonts w:asciiTheme="majorHAnsi" w:hAnsiTheme="majorHAnsi" w:cstheme="majorHAnsi"/>
          <w:color w:val="808080" w:themeColor="background1" w:themeShade="80"/>
          <w:sz w:val="16"/>
          <w:szCs w:val="16"/>
          <w:lang w:val="en-US"/>
        </w:rPr>
        <w:tab/>
        <w:t xml:space="preserve">Id. at para. 121 (citing Report No. 54/01, </w:t>
      </w:r>
      <w:r w:rsidRPr="001167CB">
        <w:rPr>
          <w:rFonts w:asciiTheme="majorHAnsi" w:hAnsiTheme="majorHAnsi" w:cstheme="majorHAnsi"/>
          <w:i/>
          <w:color w:val="808080" w:themeColor="background1" w:themeShade="80"/>
          <w:sz w:val="16"/>
          <w:szCs w:val="16"/>
          <w:lang w:val="en-US"/>
        </w:rPr>
        <w:t>Maria da Penha</w:t>
      </w:r>
      <w:r w:rsidRPr="001167CB">
        <w:rPr>
          <w:rFonts w:asciiTheme="majorHAnsi" w:hAnsiTheme="majorHAnsi" w:cstheme="majorHAnsi"/>
          <w:color w:val="808080" w:themeColor="background1" w:themeShade="80"/>
          <w:sz w:val="16"/>
          <w:szCs w:val="16"/>
          <w:lang w:val="en-US"/>
        </w:rPr>
        <w:t xml:space="preserve"> (2001), para. 55).</w:t>
      </w:r>
    </w:p>
  </w:footnote>
  <w:footnote w:id="566">
    <w:p w14:paraId="67AB1E4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w:t>
      </w:r>
      <w:r w:rsidRPr="001167CB">
        <w:rPr>
          <w:rFonts w:asciiTheme="majorHAnsi" w:hAnsiTheme="majorHAnsi" w:cstheme="majorHAnsi"/>
          <w:bCs/>
          <w:color w:val="808080" w:themeColor="background1" w:themeShade="80"/>
          <w:sz w:val="16"/>
          <w:szCs w:val="16"/>
        </w:rPr>
        <w:t xml:space="preserve">ACHR, </w:t>
      </w:r>
      <w:hyperlink r:id="rId631"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Oct. 16, 2015.</w:t>
      </w:r>
    </w:p>
  </w:footnote>
  <w:footnote w:id="567">
    <w:p w14:paraId="2AB5306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w:t>
      </w:r>
    </w:p>
  </w:footnote>
  <w:footnote w:id="568">
    <w:p w14:paraId="040DE7FC" w14:textId="409B27CC"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also infra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highlight w:val="yellow"/>
        </w:rPr>
        <w:fldChar w:fldCharType="begin"/>
      </w:r>
      <w:r w:rsidRPr="001167CB">
        <w:rPr>
          <w:rFonts w:asciiTheme="majorHAnsi" w:hAnsiTheme="majorHAnsi" w:cstheme="majorHAnsi"/>
          <w:color w:val="808080" w:themeColor="background1" w:themeShade="80"/>
          <w:sz w:val="16"/>
          <w:szCs w:val="16"/>
        </w:rPr>
        <w:instrText xml:space="preserve"> REF _Ref507677509 \r \h </w:instrText>
      </w:r>
      <w:r w:rsidRPr="001167CB">
        <w:rPr>
          <w:rFonts w:asciiTheme="majorHAnsi" w:hAnsiTheme="majorHAnsi" w:cstheme="majorHAnsi"/>
          <w:color w:val="808080" w:themeColor="background1" w:themeShade="80"/>
          <w:sz w:val="16"/>
          <w:szCs w:val="16"/>
          <w:highlight w:val="yellow"/>
        </w:rPr>
        <w:instrText xml:space="preserve"> \* MERGEFORMAT </w:instrText>
      </w:r>
      <w:r w:rsidRPr="001167CB">
        <w:rPr>
          <w:rFonts w:asciiTheme="majorHAnsi" w:hAnsiTheme="majorHAnsi" w:cstheme="majorHAnsi"/>
          <w:color w:val="808080" w:themeColor="background1" w:themeShade="80"/>
          <w:sz w:val="16"/>
          <w:szCs w:val="16"/>
          <w:highlight w:val="yellow"/>
        </w:rPr>
      </w:r>
      <w:r w:rsidRPr="001167CB">
        <w:rPr>
          <w:rFonts w:asciiTheme="majorHAnsi" w:hAnsiTheme="majorHAnsi" w:cstheme="majorHAnsi"/>
          <w:color w:val="808080" w:themeColor="background1" w:themeShade="80"/>
          <w:sz w:val="16"/>
          <w:szCs w:val="16"/>
          <w:highlight w:val="yellow"/>
        </w:rPr>
        <w:fldChar w:fldCharType="separate"/>
      </w:r>
      <w:r w:rsidRPr="001167CB">
        <w:rPr>
          <w:rFonts w:asciiTheme="majorHAnsi" w:hAnsiTheme="majorHAnsi" w:cstheme="majorHAnsi"/>
          <w:color w:val="808080" w:themeColor="background1" w:themeShade="80"/>
          <w:sz w:val="16"/>
          <w:szCs w:val="16"/>
        </w:rPr>
        <w:t>294</w:t>
      </w:r>
      <w:r w:rsidRPr="001167CB">
        <w:rPr>
          <w:rFonts w:asciiTheme="majorHAnsi" w:hAnsiTheme="majorHAnsi" w:cstheme="majorHAnsi"/>
          <w:color w:val="808080" w:themeColor="background1" w:themeShade="80"/>
          <w:sz w:val="16"/>
          <w:szCs w:val="16"/>
          <w:highlight w:val="yellow"/>
        </w:rPr>
        <w:fldChar w:fldCharType="end"/>
      </w:r>
      <w:r w:rsidRPr="001167CB">
        <w:rPr>
          <w:rFonts w:asciiTheme="majorHAnsi" w:hAnsiTheme="majorHAnsi" w:cstheme="majorHAnsi"/>
          <w:color w:val="808080" w:themeColor="background1" w:themeShade="80"/>
          <w:sz w:val="16"/>
          <w:szCs w:val="16"/>
        </w:rPr>
        <w:t>.</w:t>
      </w:r>
    </w:p>
  </w:footnote>
  <w:footnote w:id="569">
    <w:p w14:paraId="248973D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632"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hAnsiTheme="majorHAnsi" w:cstheme="majorHAnsi"/>
          <w:color w:val="808080" w:themeColor="background1" w:themeShade="80"/>
          <w:sz w:val="16"/>
          <w:szCs w:val="16"/>
        </w:rPr>
        <w:t>, para. 162.</w:t>
      </w:r>
    </w:p>
  </w:footnote>
  <w:footnote w:id="570">
    <w:p w14:paraId="482E7312" w14:textId="0CADC545" w:rsidR="005C2394" w:rsidRPr="001167CB" w:rsidRDefault="005C2394" w:rsidP="002C64F8">
      <w:pPr>
        <w:pStyle w:val="FootnoteText"/>
        <w:spacing w:after="40"/>
        <w:ind w:left="547" w:hanging="547"/>
        <w:jc w:val="both"/>
        <w:rPr>
          <w:rFonts w:asciiTheme="majorHAnsi" w:hAnsiTheme="majorHAnsi" w:cstheme="majorHAnsi"/>
          <w: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5C2394">
        <w:rPr>
          <w:rFonts w:asciiTheme="majorHAnsi" w:hAnsiTheme="majorHAnsi" w:cstheme="majorHAnsi"/>
          <w:color w:val="808080" w:themeColor="background1" w:themeShade="80"/>
          <w:sz w:val="16"/>
          <w:szCs w:val="16"/>
        </w:rPr>
        <w:t xml:space="preserve"> </w:t>
      </w:r>
      <w:r w:rsidRPr="005C2394">
        <w:rPr>
          <w:rFonts w:asciiTheme="majorHAnsi" w:hAnsiTheme="majorHAnsi" w:cstheme="majorHAnsi"/>
          <w:color w:val="808080" w:themeColor="background1" w:themeShade="80"/>
          <w:sz w:val="16"/>
          <w:szCs w:val="16"/>
        </w:rPr>
        <w:tab/>
        <w:t xml:space="preserve">IACHR, Report No. 80/11, </w:t>
      </w:r>
      <w:hyperlink r:id="rId633" w:history="1">
        <w:r w:rsidRPr="005C2394">
          <w:rPr>
            <w:rStyle w:val="Hyperlink"/>
            <w:rFonts w:asciiTheme="majorHAnsi" w:hAnsiTheme="majorHAnsi" w:cstheme="majorHAnsi"/>
            <w:i/>
            <w:color w:val="808080" w:themeColor="background1" w:themeShade="80"/>
            <w:sz w:val="16"/>
            <w:szCs w:val="16"/>
          </w:rPr>
          <w:t xml:space="preserve">Jessica </w:t>
        </w:r>
        <w:proofErr w:type="spellStart"/>
        <w:r w:rsidRPr="005C2394">
          <w:rPr>
            <w:rStyle w:val="Hyperlink"/>
            <w:rFonts w:asciiTheme="majorHAnsi" w:hAnsiTheme="majorHAnsi" w:cstheme="majorHAnsi"/>
            <w:i/>
            <w:color w:val="808080" w:themeColor="background1" w:themeShade="80"/>
            <w:sz w:val="16"/>
            <w:szCs w:val="16"/>
          </w:rPr>
          <w:t>Lenahan</w:t>
        </w:r>
        <w:proofErr w:type="spellEnd"/>
      </w:hyperlink>
      <w:r w:rsidRPr="005C2394">
        <w:rPr>
          <w:rFonts w:asciiTheme="majorHAnsi" w:hAnsiTheme="majorHAnsi" w:cstheme="majorHAnsi"/>
          <w:color w:val="808080" w:themeColor="background1" w:themeShade="80"/>
          <w:sz w:val="16"/>
          <w:szCs w:val="16"/>
        </w:rPr>
        <w:t xml:space="preserve"> (2011), para. </w:t>
      </w:r>
      <w:r w:rsidRPr="001167CB">
        <w:rPr>
          <w:rFonts w:asciiTheme="majorHAnsi" w:hAnsiTheme="majorHAnsi" w:cstheme="majorHAnsi"/>
          <w:color w:val="808080" w:themeColor="background1" w:themeShade="80"/>
          <w:sz w:val="16"/>
          <w:szCs w:val="16"/>
        </w:rPr>
        <w:t xml:space="preserve">127 (citation omitted); </w:t>
      </w:r>
      <w:r w:rsidRPr="001167CB">
        <w:rPr>
          <w:rFonts w:asciiTheme="majorHAnsi" w:hAnsiTheme="majorHAnsi" w:cstheme="majorHAnsi"/>
          <w:i/>
          <w:color w:val="808080" w:themeColor="background1" w:themeShade="80"/>
          <w:sz w:val="16"/>
          <w:szCs w:val="16"/>
        </w:rPr>
        <w:t>see also infra</w:t>
      </w:r>
      <w:r w:rsidRPr="001167CB">
        <w:rPr>
          <w:rFonts w:asciiTheme="majorHAnsi" w:hAnsiTheme="majorHAnsi" w:cstheme="majorHAnsi"/>
          <w:color w:val="808080" w:themeColor="background1" w:themeShade="80"/>
          <w:sz w:val="16"/>
          <w:szCs w:val="16"/>
        </w:rPr>
        <w:t xml:space="preserve"> paras.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_Ref507677064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279</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_Ref507677071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288</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571">
    <w:p w14:paraId="39016390" w14:textId="51CEA63E"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infra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_Ref507409426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49</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572">
    <w:p w14:paraId="055565F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34"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xml:space="preserve">, Mar. 17, 2016, para. 222 (citing </w:t>
      </w:r>
      <w:proofErr w:type="gramStart"/>
      <w:r w:rsidRPr="001167CB">
        <w:rPr>
          <w:rFonts w:asciiTheme="majorHAnsi" w:hAnsiTheme="majorHAnsi" w:cstheme="majorHAnsi"/>
          <w:color w:val="808080" w:themeColor="background1" w:themeShade="80"/>
          <w:sz w:val="16"/>
          <w:szCs w:val="16"/>
        </w:rPr>
        <w:t>I/A</w:t>
      </w:r>
      <w:proofErr w:type="gramEnd"/>
      <w:r w:rsidRPr="001167CB">
        <w:rPr>
          <w:rFonts w:asciiTheme="majorHAnsi" w:hAnsiTheme="majorHAnsi" w:cstheme="majorHAnsi"/>
          <w:color w:val="808080" w:themeColor="background1" w:themeShade="80"/>
          <w:sz w:val="16"/>
          <w:szCs w:val="16"/>
        </w:rPr>
        <w:t xml:space="preserve"> Ct. H.R. </w:t>
      </w:r>
      <w:r w:rsidRPr="001167CB">
        <w:rPr>
          <w:rFonts w:asciiTheme="majorHAnsi" w:hAnsiTheme="majorHAnsi" w:cstheme="majorHAnsi"/>
          <w:i/>
          <w:iCs/>
          <w:color w:val="808080" w:themeColor="background1" w:themeShade="80"/>
          <w:sz w:val="16"/>
          <w:szCs w:val="16"/>
        </w:rPr>
        <w:t xml:space="preserve">Barrios Family v. Venezuela. </w:t>
      </w:r>
      <w:r w:rsidRPr="001167CB">
        <w:rPr>
          <w:rFonts w:asciiTheme="majorHAnsi" w:hAnsiTheme="majorHAnsi" w:cstheme="majorHAnsi"/>
          <w:color w:val="808080" w:themeColor="background1" w:themeShade="80"/>
          <w:sz w:val="16"/>
          <w:szCs w:val="16"/>
        </w:rPr>
        <w:t xml:space="preserve">Merits, Reparations and Costs. Judgment of Nov. 24, 2011. Series C No. 237, para. 234).  </w:t>
      </w:r>
    </w:p>
  </w:footnote>
  <w:footnote w:id="573">
    <w:p w14:paraId="3835F96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35"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xml:space="preserve">, Mar. 17, 2016, para. 216; </w:t>
      </w:r>
      <w:r w:rsidRPr="001167CB">
        <w:rPr>
          <w:rFonts w:asciiTheme="majorHAnsi" w:hAnsiTheme="majorHAnsi" w:cstheme="majorHAnsi"/>
          <w:i/>
          <w:color w:val="808080" w:themeColor="background1" w:themeShade="80"/>
          <w:sz w:val="16"/>
          <w:szCs w:val="16"/>
        </w:rPr>
        <w:t>see also, e.g.,</w:t>
      </w:r>
      <w:r w:rsidRPr="001167CB">
        <w:rPr>
          <w:rFonts w:asciiTheme="majorHAnsi" w:hAnsiTheme="majorHAnsi" w:cstheme="majorHAnsi"/>
          <w:color w:val="808080" w:themeColor="background1" w:themeShade="80"/>
          <w:sz w:val="16"/>
          <w:szCs w:val="16"/>
        </w:rPr>
        <w:t xml:space="preserve"> Washington Post, </w:t>
      </w:r>
      <w:hyperlink r:id="rId636" w:history="1">
        <w:r w:rsidRPr="001167CB">
          <w:rPr>
            <w:rStyle w:val="Hyperlink"/>
            <w:rFonts w:asciiTheme="majorHAnsi" w:hAnsiTheme="majorHAnsi" w:cstheme="majorHAnsi"/>
            <w:color w:val="808080" w:themeColor="background1" w:themeShade="80"/>
            <w:sz w:val="16"/>
            <w:szCs w:val="16"/>
            <w:lang w:val="en"/>
          </w:rPr>
          <w:t>FBI director calls lack of data on police shootings ‘ridiculous,’ ‘embarrassing’</w:t>
        </w:r>
      </w:hyperlink>
      <w:r w:rsidRPr="001167CB">
        <w:rPr>
          <w:rFonts w:asciiTheme="majorHAnsi" w:hAnsiTheme="majorHAnsi" w:cstheme="majorHAnsi"/>
          <w:color w:val="808080" w:themeColor="background1" w:themeShade="80"/>
          <w:sz w:val="16"/>
          <w:szCs w:val="16"/>
          <w:lang w:val="en"/>
        </w:rPr>
        <w:t xml:space="preserve">, </w:t>
      </w:r>
      <w:r w:rsidRPr="001167CB">
        <w:rPr>
          <w:rFonts w:asciiTheme="majorHAnsi" w:hAnsiTheme="majorHAnsi" w:cstheme="majorHAnsi"/>
          <w:bCs/>
          <w:color w:val="808080" w:themeColor="background1" w:themeShade="80"/>
          <w:sz w:val="16"/>
          <w:szCs w:val="16"/>
        </w:rPr>
        <w:t xml:space="preserve">Oct. </w:t>
      </w:r>
      <w:r w:rsidRPr="001167CB">
        <w:rPr>
          <w:rFonts w:asciiTheme="majorHAnsi" w:hAnsiTheme="majorHAnsi" w:cstheme="majorHAnsi"/>
          <w:color w:val="808080" w:themeColor="background1" w:themeShade="80"/>
          <w:sz w:val="16"/>
          <w:szCs w:val="16"/>
          <w:lang w:val="en"/>
        </w:rPr>
        <w:t>7, 2015.</w:t>
      </w:r>
    </w:p>
  </w:footnote>
  <w:footnote w:id="574">
    <w:p w14:paraId="09AE504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37"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Mar. 17, 2016, para. 216.</w:t>
      </w:r>
    </w:p>
  </w:footnote>
  <w:footnote w:id="575">
    <w:p w14:paraId="7F4B1F9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38"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Mar. 17, 2016, para. 215.</w:t>
      </w:r>
    </w:p>
  </w:footnote>
  <w:footnote w:id="576">
    <w:p w14:paraId="0007D59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COPS, </w:t>
      </w:r>
      <w:hyperlink r:id="rId639" w:history="1">
        <w:r w:rsidRPr="001167CB">
          <w:rPr>
            <w:rStyle w:val="Hyperlink"/>
            <w:rFonts w:asciiTheme="majorHAnsi" w:hAnsiTheme="majorHAnsi" w:cstheme="majorHAnsi"/>
            <w:bCs/>
            <w:color w:val="808080" w:themeColor="background1" w:themeShade="80"/>
            <w:sz w:val="16"/>
            <w:szCs w:val="16"/>
          </w:rPr>
          <w:t>Final Report of the President’s Task Force on 21</w:t>
        </w:r>
        <w:r w:rsidRPr="001167CB">
          <w:rPr>
            <w:rStyle w:val="Hyperlink"/>
            <w:rFonts w:asciiTheme="majorHAnsi" w:hAnsiTheme="majorHAnsi" w:cstheme="majorHAnsi"/>
            <w:bCs/>
            <w:color w:val="808080" w:themeColor="background1" w:themeShade="80"/>
            <w:sz w:val="16"/>
            <w:szCs w:val="16"/>
            <w:vertAlign w:val="superscript"/>
          </w:rPr>
          <w:t>st</w:t>
        </w:r>
        <w:r w:rsidRPr="001167CB">
          <w:rPr>
            <w:rStyle w:val="Hyperlink"/>
            <w:rFonts w:asciiTheme="majorHAnsi" w:hAnsiTheme="majorHAnsi" w:cstheme="majorHAnsi"/>
            <w:bCs/>
            <w:color w:val="808080" w:themeColor="background1" w:themeShade="80"/>
            <w:sz w:val="16"/>
            <w:szCs w:val="16"/>
          </w:rPr>
          <w:t xml:space="preserve"> Century Policing</w:t>
        </w:r>
      </w:hyperlink>
      <w:r w:rsidRPr="001167CB">
        <w:rPr>
          <w:rFonts w:asciiTheme="majorHAnsi" w:hAnsiTheme="majorHAnsi" w:cstheme="majorHAnsi"/>
          <w:bCs/>
          <w:color w:val="808080" w:themeColor="background1" w:themeShade="80"/>
          <w:sz w:val="16"/>
          <w:szCs w:val="16"/>
        </w:rPr>
        <w:t>, May 2015</w:t>
      </w:r>
      <w:r w:rsidRPr="001167CB">
        <w:rPr>
          <w:rFonts w:asciiTheme="majorHAnsi" w:hAnsiTheme="majorHAnsi" w:cstheme="majorHAnsi"/>
          <w:color w:val="808080" w:themeColor="background1" w:themeShade="80"/>
          <w:sz w:val="16"/>
          <w:szCs w:val="16"/>
        </w:rPr>
        <w:t>, Recs. 2.2.4, 2.2.5.</w:t>
      </w:r>
    </w:p>
  </w:footnote>
  <w:footnote w:id="577">
    <w:p w14:paraId="479A1E3B" w14:textId="645FC805"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s-US"/>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s-US"/>
        </w:rPr>
        <w:t xml:space="preserve"> </w:t>
      </w:r>
      <w:r w:rsidRPr="001167CB">
        <w:rPr>
          <w:rFonts w:asciiTheme="majorHAnsi" w:hAnsiTheme="majorHAnsi" w:cstheme="majorHAnsi"/>
          <w:color w:val="808080" w:themeColor="background1" w:themeShade="80"/>
          <w:sz w:val="16"/>
          <w:szCs w:val="16"/>
          <w:lang w:val="es-US"/>
        </w:rPr>
        <w:tab/>
      </w:r>
      <w:proofErr w:type="spellStart"/>
      <w:r w:rsidRPr="001167CB">
        <w:rPr>
          <w:rFonts w:asciiTheme="majorHAnsi" w:hAnsiTheme="majorHAnsi" w:cstheme="majorHAnsi"/>
          <w:i/>
          <w:color w:val="808080" w:themeColor="background1" w:themeShade="80"/>
          <w:sz w:val="16"/>
          <w:szCs w:val="16"/>
          <w:lang w:val="es-US"/>
        </w:rPr>
        <w:t>See</w:t>
      </w:r>
      <w:proofErr w:type="spellEnd"/>
      <w:r w:rsidRPr="001167CB">
        <w:rPr>
          <w:rFonts w:asciiTheme="majorHAnsi" w:hAnsiTheme="majorHAnsi" w:cstheme="majorHAnsi"/>
          <w:i/>
          <w:color w:val="808080" w:themeColor="background1" w:themeShade="80"/>
          <w:sz w:val="16"/>
          <w:szCs w:val="16"/>
          <w:lang w:val="es-US"/>
        </w:rPr>
        <w:t xml:space="preserve"> supra</w:t>
      </w:r>
      <w:r w:rsidRPr="001167CB">
        <w:rPr>
          <w:rFonts w:asciiTheme="majorHAnsi" w:hAnsiTheme="majorHAnsi" w:cstheme="majorHAnsi"/>
          <w:color w:val="808080" w:themeColor="background1" w:themeShade="80"/>
          <w:sz w:val="16"/>
          <w:szCs w:val="16"/>
          <w:lang w:val="es-US"/>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lang w:val="es-US"/>
        </w:rPr>
        <w:instrText xml:space="preserve"> REF _Ref507411660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lang w:val="es-US"/>
        </w:rPr>
        <w:t>79</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lang w:val="es-US"/>
        </w:rPr>
        <w:t>.</w:t>
      </w:r>
    </w:p>
  </w:footnote>
  <w:footnote w:id="578">
    <w:p w14:paraId="7E869A7E" w14:textId="0175A9EF"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s-US"/>
        </w:rPr>
        <w:t xml:space="preserve"> </w:t>
      </w:r>
      <w:r w:rsidRPr="001167CB">
        <w:rPr>
          <w:rFonts w:asciiTheme="majorHAnsi" w:hAnsiTheme="majorHAnsi" w:cstheme="majorHAnsi"/>
          <w:color w:val="808080" w:themeColor="background1" w:themeShade="80"/>
          <w:sz w:val="16"/>
          <w:szCs w:val="16"/>
          <w:lang w:val="es-US"/>
        </w:rPr>
        <w:tab/>
      </w:r>
      <w:proofErr w:type="spellStart"/>
      <w:r w:rsidRPr="001167CB">
        <w:rPr>
          <w:rFonts w:asciiTheme="majorHAnsi" w:hAnsiTheme="majorHAnsi" w:cstheme="majorHAnsi"/>
          <w:i/>
          <w:color w:val="808080" w:themeColor="background1" w:themeShade="80"/>
          <w:sz w:val="16"/>
          <w:szCs w:val="16"/>
          <w:lang w:val="es-US"/>
        </w:rPr>
        <w:t>See</w:t>
      </w:r>
      <w:proofErr w:type="spellEnd"/>
      <w:r w:rsidRPr="001167CB">
        <w:rPr>
          <w:rFonts w:asciiTheme="majorHAnsi" w:hAnsiTheme="majorHAnsi" w:cstheme="majorHAnsi"/>
          <w:i/>
          <w:color w:val="808080" w:themeColor="background1" w:themeShade="80"/>
          <w:sz w:val="16"/>
          <w:szCs w:val="16"/>
          <w:lang w:val="es-US"/>
        </w:rPr>
        <w:t xml:space="preserve"> supra</w:t>
      </w:r>
      <w:r w:rsidRPr="001167CB">
        <w:rPr>
          <w:rFonts w:asciiTheme="majorHAnsi" w:hAnsiTheme="majorHAnsi" w:cstheme="majorHAnsi"/>
          <w:color w:val="808080" w:themeColor="background1" w:themeShade="80"/>
          <w:sz w:val="16"/>
          <w:szCs w:val="16"/>
          <w:lang w:val="es-US"/>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lang w:val="es-US"/>
        </w:rPr>
        <w:instrText xml:space="preserve"> REF _Ref507172812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242</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579">
    <w:p w14:paraId="0CE1D22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40" w:history="1">
        <w:r w:rsidRPr="001167CB">
          <w:rPr>
            <w:rStyle w:val="Hyperlink"/>
            <w:rFonts w:asciiTheme="majorHAnsi" w:hAnsiTheme="majorHAnsi" w:cstheme="majorHAnsi"/>
            <w:color w:val="808080" w:themeColor="background1" w:themeShade="80"/>
            <w:sz w:val="16"/>
            <w:szCs w:val="16"/>
          </w:rPr>
          <w:t>Citizen Security and Human Rights</w:t>
        </w:r>
      </w:hyperlink>
      <w:r w:rsidRPr="001167CB">
        <w:rPr>
          <w:rFonts w:asciiTheme="majorHAnsi" w:hAnsiTheme="majorHAnsi" w:cstheme="majorHAnsi"/>
          <w:color w:val="808080" w:themeColor="background1" w:themeShade="80"/>
          <w:sz w:val="16"/>
          <w:szCs w:val="16"/>
        </w:rPr>
        <w:t xml:space="preserve"> (2009), para. 46.</w:t>
      </w:r>
    </w:p>
  </w:footnote>
  <w:footnote w:id="580">
    <w:p w14:paraId="4E48F2A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45.</w:t>
      </w:r>
    </w:p>
  </w:footnote>
  <w:footnote w:id="581">
    <w:p w14:paraId="5F9280A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(citing </w:t>
      </w:r>
      <w:proofErr w:type="gramStart"/>
      <w:r w:rsidRPr="001167CB">
        <w:rPr>
          <w:rFonts w:asciiTheme="majorHAnsi" w:hAnsiTheme="majorHAnsi" w:cstheme="majorHAnsi"/>
          <w:color w:val="808080" w:themeColor="background1" w:themeShade="80"/>
          <w:sz w:val="16"/>
          <w:szCs w:val="16"/>
        </w:rPr>
        <w:t>I/A</w:t>
      </w:r>
      <w:proofErr w:type="gramEnd"/>
      <w:r w:rsidRPr="001167CB">
        <w:rPr>
          <w:rFonts w:asciiTheme="majorHAnsi" w:hAnsiTheme="majorHAnsi" w:cstheme="majorHAnsi"/>
          <w:color w:val="808080" w:themeColor="background1" w:themeShade="80"/>
          <w:sz w:val="16"/>
          <w:szCs w:val="16"/>
        </w:rPr>
        <w:t xml:space="preserve"> Ct. H.R., </w:t>
      </w:r>
      <w:r w:rsidRPr="001167CB">
        <w:rPr>
          <w:rFonts w:asciiTheme="majorHAnsi" w:hAnsiTheme="majorHAnsi" w:cstheme="majorHAnsi"/>
          <w:i/>
          <w:iCs/>
          <w:color w:val="808080" w:themeColor="background1" w:themeShade="80"/>
          <w:sz w:val="16"/>
          <w:szCs w:val="16"/>
        </w:rPr>
        <w:t>“</w:t>
      </w:r>
      <w:proofErr w:type="spellStart"/>
      <w:r w:rsidRPr="001167CB">
        <w:rPr>
          <w:rFonts w:asciiTheme="majorHAnsi" w:hAnsiTheme="majorHAnsi" w:cstheme="majorHAnsi"/>
          <w:i/>
          <w:iCs/>
          <w:color w:val="808080" w:themeColor="background1" w:themeShade="80"/>
          <w:sz w:val="16"/>
          <w:szCs w:val="16"/>
        </w:rPr>
        <w:t>Mapiripán</w:t>
      </w:r>
      <w:proofErr w:type="spellEnd"/>
      <w:r w:rsidRPr="001167CB">
        <w:rPr>
          <w:rFonts w:asciiTheme="majorHAnsi" w:hAnsiTheme="majorHAnsi" w:cstheme="majorHAnsi"/>
          <w:i/>
          <w:iCs/>
          <w:color w:val="808080" w:themeColor="background1" w:themeShade="80"/>
          <w:sz w:val="16"/>
          <w:szCs w:val="16"/>
        </w:rPr>
        <w:t xml:space="preserve"> Massacre” v. Colombia</w:t>
      </w:r>
      <w:r w:rsidRPr="001167CB">
        <w:rPr>
          <w:rFonts w:asciiTheme="majorHAnsi" w:hAnsiTheme="majorHAnsi" w:cstheme="majorHAnsi"/>
          <w:color w:val="808080" w:themeColor="background1" w:themeShade="80"/>
          <w:sz w:val="16"/>
          <w:szCs w:val="16"/>
        </w:rPr>
        <w:t xml:space="preserve">. Judgment of Sept. 15, 2005. Series C No. 134, para. 219; </w:t>
      </w:r>
      <w:proofErr w:type="spellStart"/>
      <w:r w:rsidRPr="001167CB">
        <w:rPr>
          <w:rFonts w:asciiTheme="majorHAnsi" w:hAnsiTheme="majorHAnsi" w:cstheme="majorHAnsi"/>
          <w:i/>
          <w:iCs/>
          <w:color w:val="808080" w:themeColor="background1" w:themeShade="80"/>
          <w:sz w:val="16"/>
          <w:szCs w:val="16"/>
        </w:rPr>
        <w:t>Moiwana</w:t>
      </w:r>
      <w:proofErr w:type="spellEnd"/>
      <w:r w:rsidRPr="001167CB">
        <w:rPr>
          <w:rFonts w:asciiTheme="majorHAnsi" w:hAnsiTheme="majorHAnsi" w:cstheme="majorHAnsi"/>
          <w:i/>
          <w:iCs/>
          <w:color w:val="808080" w:themeColor="background1" w:themeShade="80"/>
          <w:sz w:val="16"/>
          <w:szCs w:val="16"/>
        </w:rPr>
        <w:t xml:space="preserve"> Community v. Suriname</w:t>
      </w:r>
      <w:r w:rsidRPr="001167CB">
        <w:rPr>
          <w:rFonts w:asciiTheme="majorHAnsi" w:hAnsiTheme="majorHAnsi" w:cstheme="majorHAnsi"/>
          <w:color w:val="808080" w:themeColor="background1" w:themeShade="80"/>
          <w:sz w:val="16"/>
          <w:szCs w:val="16"/>
        </w:rPr>
        <w:t xml:space="preserve">. Judgment of June 15, 2005. Series C No. 124, para. </w:t>
      </w:r>
      <w:r w:rsidRPr="001167CB">
        <w:rPr>
          <w:rFonts w:asciiTheme="majorHAnsi" w:hAnsiTheme="majorHAnsi" w:cstheme="majorHAnsi"/>
          <w:color w:val="808080" w:themeColor="background1" w:themeShade="80"/>
          <w:sz w:val="16"/>
          <w:szCs w:val="16"/>
          <w:lang w:val="es-US"/>
        </w:rPr>
        <w:t xml:space="preserve">147; </w:t>
      </w:r>
      <w:r w:rsidRPr="001167CB">
        <w:rPr>
          <w:rFonts w:asciiTheme="majorHAnsi" w:hAnsiTheme="majorHAnsi" w:cstheme="majorHAnsi"/>
          <w:i/>
          <w:iCs/>
          <w:color w:val="808080" w:themeColor="background1" w:themeShade="80"/>
          <w:sz w:val="16"/>
          <w:szCs w:val="16"/>
          <w:lang w:val="es-US"/>
        </w:rPr>
        <w:t xml:space="preserve">Serrano Cruz </w:t>
      </w:r>
      <w:proofErr w:type="spellStart"/>
      <w:r w:rsidRPr="001167CB">
        <w:rPr>
          <w:rFonts w:asciiTheme="majorHAnsi" w:hAnsiTheme="majorHAnsi" w:cstheme="majorHAnsi"/>
          <w:i/>
          <w:iCs/>
          <w:color w:val="808080" w:themeColor="background1" w:themeShade="80"/>
          <w:sz w:val="16"/>
          <w:szCs w:val="16"/>
          <w:lang w:val="es-US"/>
        </w:rPr>
        <w:t>Sisters</w:t>
      </w:r>
      <w:proofErr w:type="spellEnd"/>
      <w:r w:rsidRPr="001167CB">
        <w:rPr>
          <w:rFonts w:asciiTheme="majorHAnsi" w:hAnsiTheme="majorHAnsi" w:cstheme="majorHAnsi"/>
          <w:i/>
          <w:iCs/>
          <w:color w:val="808080" w:themeColor="background1" w:themeShade="80"/>
          <w:sz w:val="16"/>
          <w:szCs w:val="16"/>
          <w:lang w:val="es-US"/>
        </w:rPr>
        <w:t xml:space="preserve"> v. El Salvador</w:t>
      </w:r>
      <w:r w:rsidRPr="001167CB">
        <w:rPr>
          <w:rFonts w:asciiTheme="majorHAnsi" w:hAnsiTheme="majorHAnsi" w:cstheme="majorHAnsi"/>
          <w:color w:val="808080" w:themeColor="background1" w:themeShade="80"/>
          <w:sz w:val="16"/>
          <w:szCs w:val="16"/>
          <w:lang w:val="es-US"/>
        </w:rPr>
        <w:t xml:space="preserve">. </w:t>
      </w:r>
      <w:proofErr w:type="spellStart"/>
      <w:r w:rsidRPr="001167CB">
        <w:rPr>
          <w:rFonts w:asciiTheme="majorHAnsi" w:hAnsiTheme="majorHAnsi" w:cstheme="majorHAnsi"/>
          <w:color w:val="808080" w:themeColor="background1" w:themeShade="80"/>
          <w:sz w:val="16"/>
          <w:szCs w:val="16"/>
          <w:lang w:val="es-US"/>
        </w:rPr>
        <w:t>Judgment</w:t>
      </w:r>
      <w:proofErr w:type="spellEnd"/>
      <w:r w:rsidRPr="001167CB">
        <w:rPr>
          <w:rFonts w:asciiTheme="majorHAnsi" w:hAnsiTheme="majorHAnsi" w:cstheme="majorHAnsi"/>
          <w:color w:val="808080" w:themeColor="background1" w:themeShade="80"/>
          <w:sz w:val="16"/>
          <w:szCs w:val="16"/>
          <w:lang w:val="es-US"/>
        </w:rPr>
        <w:t xml:space="preserve"> of Mar. 1, 2005. Series C No. 120, para. </w:t>
      </w:r>
      <w:r w:rsidRPr="001167CB">
        <w:rPr>
          <w:rFonts w:asciiTheme="majorHAnsi" w:hAnsiTheme="majorHAnsi" w:cstheme="majorHAnsi"/>
          <w:color w:val="808080" w:themeColor="background1" w:themeShade="80"/>
          <w:sz w:val="16"/>
          <w:szCs w:val="16"/>
        </w:rPr>
        <w:t xml:space="preserve">63).  </w:t>
      </w:r>
    </w:p>
  </w:footnote>
  <w:footnote w:id="582">
    <w:p w14:paraId="125E948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583">
    <w:p w14:paraId="5174132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41"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xml:space="preserve">, Mar. 17, 2016, para. 231; </w:t>
      </w:r>
      <w:r w:rsidRPr="001167CB">
        <w:rPr>
          <w:rFonts w:asciiTheme="majorHAnsi" w:hAnsiTheme="majorHAnsi" w:cstheme="majorHAnsi"/>
          <w:i/>
          <w:color w:val="808080" w:themeColor="background1" w:themeShade="80"/>
          <w:sz w:val="16"/>
          <w:szCs w:val="16"/>
        </w:rPr>
        <w:t xml:space="preserve">see also </w:t>
      </w:r>
      <w:r w:rsidRPr="001167CB">
        <w:rPr>
          <w:rFonts w:asciiTheme="majorHAnsi" w:eastAsiaTheme="minorEastAsia" w:hAnsiTheme="majorHAnsi" w:cstheme="majorHAnsi"/>
          <w:color w:val="808080" w:themeColor="background1" w:themeShade="80"/>
          <w:sz w:val="16"/>
          <w:szCs w:val="16"/>
          <w:lang w:eastAsia="es-ES"/>
        </w:rPr>
        <w:t xml:space="preserve">I/A Ct. H.R., </w:t>
      </w:r>
      <w:proofErr w:type="gramStart"/>
      <w:r w:rsidRPr="001167CB">
        <w:rPr>
          <w:rFonts w:asciiTheme="majorHAnsi" w:eastAsiaTheme="minorEastAsia" w:hAnsiTheme="majorHAnsi" w:cstheme="majorHAnsi"/>
          <w:color w:val="808080" w:themeColor="background1" w:themeShade="80"/>
          <w:sz w:val="16"/>
          <w:szCs w:val="16"/>
          <w:lang w:eastAsia="es-ES"/>
        </w:rPr>
        <w:t>The</w:t>
      </w:r>
      <w:proofErr w:type="gramEnd"/>
      <w:r w:rsidRPr="001167CB">
        <w:rPr>
          <w:rFonts w:asciiTheme="majorHAnsi" w:eastAsiaTheme="minorEastAsia" w:hAnsiTheme="majorHAnsi" w:cstheme="majorHAnsi"/>
          <w:color w:val="808080" w:themeColor="background1" w:themeShade="80"/>
          <w:sz w:val="16"/>
          <w:szCs w:val="16"/>
          <w:lang w:eastAsia="es-ES"/>
        </w:rPr>
        <w:t xml:space="preserve"> “Street Children” Case (</w:t>
      </w:r>
      <w:proofErr w:type="spellStart"/>
      <w:r w:rsidRPr="001167CB">
        <w:rPr>
          <w:rFonts w:asciiTheme="majorHAnsi" w:eastAsiaTheme="minorEastAsia" w:hAnsiTheme="majorHAnsi" w:cstheme="majorHAnsi"/>
          <w:color w:val="808080" w:themeColor="background1" w:themeShade="80"/>
          <w:sz w:val="16"/>
          <w:szCs w:val="16"/>
          <w:lang w:eastAsia="es-ES"/>
        </w:rPr>
        <w:t>Villagrán</w:t>
      </w:r>
      <w:proofErr w:type="spellEnd"/>
      <w:r w:rsidRPr="001167CB">
        <w:rPr>
          <w:rFonts w:asciiTheme="majorHAnsi" w:eastAsiaTheme="minorEastAsia" w:hAnsiTheme="majorHAnsi" w:cstheme="majorHAnsi"/>
          <w:color w:val="808080" w:themeColor="background1" w:themeShade="80"/>
          <w:sz w:val="16"/>
          <w:szCs w:val="16"/>
          <w:lang w:eastAsia="es-ES"/>
        </w:rPr>
        <w:t xml:space="preserve"> Morales et al.). Judgment of </w:t>
      </w:r>
      <w:r w:rsidRPr="001167CB">
        <w:rPr>
          <w:rFonts w:asciiTheme="majorHAnsi" w:hAnsiTheme="majorHAnsi" w:cstheme="majorHAnsi"/>
          <w:color w:val="808080" w:themeColor="background1" w:themeShade="80"/>
          <w:sz w:val="16"/>
          <w:szCs w:val="16"/>
        </w:rPr>
        <w:t xml:space="preserve">Nov. </w:t>
      </w:r>
      <w:r w:rsidRPr="001167CB">
        <w:rPr>
          <w:rFonts w:asciiTheme="majorHAnsi" w:eastAsiaTheme="minorEastAsia" w:hAnsiTheme="majorHAnsi" w:cstheme="majorHAnsi"/>
          <w:color w:val="808080" w:themeColor="background1" w:themeShade="80"/>
          <w:sz w:val="16"/>
          <w:szCs w:val="16"/>
          <w:lang w:eastAsia="es-ES"/>
        </w:rPr>
        <w:t xml:space="preserve">19, 1999. Series C No. 63, para. 22 [hereinafter “I/A Ct. H.R. “Street Children,” Ser. </w:t>
      </w:r>
      <w:r w:rsidRPr="001167CB">
        <w:rPr>
          <w:rFonts w:asciiTheme="majorHAnsi" w:eastAsiaTheme="minorEastAsia" w:hAnsiTheme="majorHAnsi" w:cstheme="majorHAnsi"/>
          <w:color w:val="808080" w:themeColor="background1" w:themeShade="80"/>
          <w:sz w:val="16"/>
          <w:szCs w:val="16"/>
          <w:lang w:val="es-US" w:eastAsia="es-ES"/>
        </w:rPr>
        <w:t>C No. 63 (1999)”]</w:t>
      </w:r>
      <w:r w:rsidRPr="001167CB">
        <w:rPr>
          <w:rFonts w:asciiTheme="majorHAnsi" w:hAnsiTheme="majorHAnsi" w:cstheme="majorHAnsi"/>
          <w:color w:val="808080" w:themeColor="background1" w:themeShade="80"/>
          <w:sz w:val="16"/>
          <w:szCs w:val="16"/>
          <w:lang w:val="es-US"/>
        </w:rPr>
        <w:t xml:space="preserve">; I/A </w:t>
      </w:r>
      <w:proofErr w:type="spellStart"/>
      <w:r w:rsidRPr="001167CB">
        <w:rPr>
          <w:rFonts w:asciiTheme="majorHAnsi" w:hAnsiTheme="majorHAnsi" w:cstheme="majorHAnsi"/>
          <w:color w:val="808080" w:themeColor="background1" w:themeShade="80"/>
          <w:sz w:val="16"/>
          <w:szCs w:val="16"/>
          <w:lang w:val="es-US"/>
        </w:rPr>
        <w:t>Ct</w:t>
      </w:r>
      <w:proofErr w:type="spellEnd"/>
      <w:r w:rsidRPr="001167CB">
        <w:rPr>
          <w:rFonts w:asciiTheme="majorHAnsi" w:hAnsiTheme="majorHAnsi" w:cstheme="majorHAnsi"/>
          <w:color w:val="808080" w:themeColor="background1" w:themeShade="80"/>
          <w:sz w:val="16"/>
          <w:szCs w:val="16"/>
          <w:lang w:val="es-US"/>
        </w:rPr>
        <w:t xml:space="preserve">. H.R., </w:t>
      </w:r>
      <w:r w:rsidRPr="001167CB">
        <w:rPr>
          <w:rFonts w:asciiTheme="majorHAnsi" w:hAnsiTheme="majorHAnsi" w:cstheme="majorHAnsi"/>
          <w:i/>
          <w:color w:val="808080" w:themeColor="background1" w:themeShade="80"/>
          <w:sz w:val="16"/>
          <w:szCs w:val="16"/>
          <w:lang w:val="es-US"/>
        </w:rPr>
        <w:t>Velásquez Rodríguez</w:t>
      </w:r>
      <w:r w:rsidRPr="001167CB">
        <w:rPr>
          <w:rFonts w:asciiTheme="majorHAnsi" w:hAnsiTheme="majorHAnsi" w:cstheme="majorHAnsi"/>
          <w:color w:val="808080" w:themeColor="background1" w:themeShade="80"/>
          <w:sz w:val="16"/>
          <w:szCs w:val="16"/>
          <w:lang w:val="es-US"/>
        </w:rPr>
        <w:t xml:space="preserve">, Ser. </w:t>
      </w:r>
      <w:r w:rsidRPr="001167CB">
        <w:rPr>
          <w:rFonts w:asciiTheme="majorHAnsi" w:hAnsiTheme="majorHAnsi" w:cstheme="majorHAnsi"/>
          <w:color w:val="808080" w:themeColor="background1" w:themeShade="80"/>
          <w:sz w:val="16"/>
          <w:szCs w:val="16"/>
        </w:rPr>
        <w:t xml:space="preserve">C No. 7 (1989), para. 177; IACHR, </w:t>
      </w:r>
      <w:hyperlink r:id="rId642" w:history="1">
        <w:r w:rsidRPr="001167CB">
          <w:rPr>
            <w:rStyle w:val="Hyperlink"/>
            <w:rFonts w:asciiTheme="majorHAnsi" w:hAnsiTheme="majorHAnsi" w:cstheme="majorHAnsi"/>
            <w:color w:val="808080" w:themeColor="background1" w:themeShade="80"/>
            <w:sz w:val="16"/>
            <w:szCs w:val="16"/>
          </w:rPr>
          <w:t>Citizen Security and Human Rights</w:t>
        </w:r>
      </w:hyperlink>
      <w:r w:rsidRPr="001167CB">
        <w:rPr>
          <w:rFonts w:asciiTheme="majorHAnsi" w:hAnsiTheme="majorHAnsi" w:cstheme="majorHAnsi"/>
          <w:color w:val="808080" w:themeColor="background1" w:themeShade="80"/>
          <w:sz w:val="16"/>
          <w:szCs w:val="16"/>
        </w:rPr>
        <w:t xml:space="preserve"> (2009), para. 45.</w:t>
      </w:r>
    </w:p>
  </w:footnote>
  <w:footnote w:id="584">
    <w:p w14:paraId="6D0F5D1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43"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xml:space="preserve">, Mar. 17, 2016, para. 231; </w:t>
      </w:r>
      <w:r w:rsidRPr="001167CB">
        <w:rPr>
          <w:rFonts w:asciiTheme="majorHAnsi" w:hAnsiTheme="majorHAnsi" w:cstheme="majorHAnsi"/>
          <w:i/>
          <w:color w:val="808080" w:themeColor="background1" w:themeShade="80"/>
          <w:sz w:val="16"/>
          <w:szCs w:val="16"/>
        </w:rPr>
        <w:t xml:space="preserve">see also </w:t>
      </w:r>
      <w:r w:rsidRPr="001167CB">
        <w:rPr>
          <w:rFonts w:asciiTheme="majorHAnsi" w:eastAsiaTheme="minorEastAsia" w:hAnsiTheme="majorHAnsi" w:cstheme="majorHAnsi"/>
          <w:color w:val="808080" w:themeColor="background1" w:themeShade="80"/>
          <w:sz w:val="16"/>
          <w:szCs w:val="16"/>
          <w:lang w:eastAsia="es-ES"/>
        </w:rPr>
        <w:t>I/A Ct. H.R. “Street Children,” Ser. C No. 63 (1999)</w:t>
      </w:r>
      <w:r w:rsidRPr="001167CB">
        <w:rPr>
          <w:rFonts w:asciiTheme="majorHAnsi" w:hAnsiTheme="majorHAnsi" w:cstheme="majorHAnsi"/>
          <w:color w:val="808080" w:themeColor="background1" w:themeShade="80"/>
          <w:sz w:val="16"/>
          <w:szCs w:val="16"/>
        </w:rPr>
        <w:t>, para. 22.</w:t>
      </w:r>
    </w:p>
  </w:footnote>
  <w:footnote w:id="585">
    <w:p w14:paraId="01721AD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Istanbul Protocol: Manual on the Effective Investigation and Documentation of Torture and Other Cruel, Inhuman or Degrading Treatment or Punishment (2004), available at: </w:t>
      </w:r>
      <w:hyperlink r:id="rId644" w:history="1">
        <w:r w:rsidRPr="001167CB">
          <w:rPr>
            <w:rStyle w:val="Hyperlink"/>
            <w:rFonts w:asciiTheme="majorHAnsi" w:hAnsiTheme="majorHAnsi" w:cstheme="majorHAnsi"/>
            <w:color w:val="808080" w:themeColor="background1" w:themeShade="80"/>
            <w:sz w:val="16"/>
            <w:szCs w:val="16"/>
          </w:rPr>
          <w:t>http://www.ohchr.org/Documents/Publications/training8Rev1en.pdf</w:t>
        </w:r>
      </w:hyperlink>
      <w:r w:rsidRPr="001167CB">
        <w:rPr>
          <w:rFonts w:asciiTheme="majorHAnsi" w:hAnsiTheme="majorHAnsi" w:cstheme="majorHAnsi"/>
          <w:color w:val="808080" w:themeColor="background1" w:themeShade="80"/>
          <w:sz w:val="16"/>
          <w:szCs w:val="16"/>
        </w:rPr>
        <w:t xml:space="preserve">. </w:t>
      </w:r>
    </w:p>
  </w:footnote>
  <w:footnote w:id="586">
    <w:p w14:paraId="117D411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The Minnesota Protocol on the Investigation of Potentially Unlawful Death: The Revised United Nations Manual on the Effective Prevention and Investigation of Extra-legal, Arbitrary and Summary Executions (2016), available at: </w:t>
      </w:r>
      <w:hyperlink r:id="rId645" w:history="1">
        <w:r w:rsidRPr="001167CB">
          <w:rPr>
            <w:rStyle w:val="Hyperlink"/>
            <w:rFonts w:asciiTheme="majorHAnsi" w:hAnsiTheme="majorHAnsi" w:cstheme="majorHAnsi"/>
            <w:color w:val="808080" w:themeColor="background1" w:themeShade="80"/>
            <w:sz w:val="16"/>
            <w:szCs w:val="16"/>
          </w:rPr>
          <w:t>http://www.ohchr.org/Documents/Publications/MinnesotaProtocol.pdf</w:t>
        </w:r>
      </w:hyperlink>
      <w:r w:rsidRPr="001167CB">
        <w:rPr>
          <w:rFonts w:asciiTheme="majorHAnsi" w:hAnsiTheme="majorHAnsi" w:cstheme="majorHAnsi"/>
          <w:color w:val="808080" w:themeColor="background1" w:themeShade="80"/>
          <w:sz w:val="16"/>
          <w:szCs w:val="16"/>
        </w:rPr>
        <w:t xml:space="preserve">. </w:t>
      </w:r>
    </w:p>
  </w:footnote>
  <w:footnote w:id="587">
    <w:p w14:paraId="0D35E62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46"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Mar. 17, 2016, para. 234.</w:t>
      </w:r>
    </w:p>
  </w:footnote>
  <w:footnote w:id="588">
    <w:p w14:paraId="67CBDF6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at para. 229 (citing </w:t>
      </w:r>
      <w:proofErr w:type="gramStart"/>
      <w:r w:rsidRPr="001167CB">
        <w:rPr>
          <w:rFonts w:asciiTheme="majorHAnsi" w:hAnsiTheme="majorHAnsi" w:cstheme="majorHAnsi"/>
          <w:color w:val="808080" w:themeColor="background1" w:themeShade="80"/>
          <w:sz w:val="16"/>
          <w:szCs w:val="16"/>
        </w:rPr>
        <w:t>I/A</w:t>
      </w:r>
      <w:proofErr w:type="gramEnd"/>
      <w:r w:rsidRPr="001167CB">
        <w:rPr>
          <w:rFonts w:asciiTheme="majorHAnsi" w:hAnsiTheme="majorHAnsi" w:cstheme="majorHAnsi"/>
          <w:color w:val="808080" w:themeColor="background1" w:themeShade="80"/>
          <w:sz w:val="16"/>
          <w:szCs w:val="16"/>
        </w:rPr>
        <w:t xml:space="preserve"> Court HR. </w:t>
      </w:r>
      <w:r w:rsidRPr="001167CB">
        <w:rPr>
          <w:rFonts w:asciiTheme="majorHAnsi" w:hAnsiTheme="majorHAnsi" w:cstheme="majorHAnsi"/>
          <w:i/>
          <w:iCs/>
          <w:color w:val="808080" w:themeColor="background1" w:themeShade="80"/>
          <w:sz w:val="16"/>
          <w:szCs w:val="16"/>
        </w:rPr>
        <w:t xml:space="preserve">Montero </w:t>
      </w:r>
      <w:proofErr w:type="spellStart"/>
      <w:r w:rsidRPr="001167CB">
        <w:rPr>
          <w:rFonts w:asciiTheme="majorHAnsi" w:hAnsiTheme="majorHAnsi" w:cstheme="majorHAnsi"/>
          <w:i/>
          <w:iCs/>
          <w:color w:val="808080" w:themeColor="background1" w:themeShade="80"/>
          <w:sz w:val="16"/>
          <w:szCs w:val="16"/>
        </w:rPr>
        <w:t>Aranguren</w:t>
      </w:r>
      <w:proofErr w:type="spellEnd"/>
      <w:r w:rsidRPr="001167CB">
        <w:rPr>
          <w:rFonts w:asciiTheme="majorHAnsi" w:hAnsiTheme="majorHAnsi" w:cstheme="majorHAnsi"/>
          <w:i/>
          <w:iCs/>
          <w:color w:val="808080" w:themeColor="background1" w:themeShade="80"/>
          <w:sz w:val="16"/>
          <w:szCs w:val="16"/>
        </w:rPr>
        <w:t xml:space="preserve"> et al. (Detention Center of </w:t>
      </w:r>
      <w:proofErr w:type="spellStart"/>
      <w:r w:rsidRPr="001167CB">
        <w:rPr>
          <w:rFonts w:asciiTheme="majorHAnsi" w:hAnsiTheme="majorHAnsi" w:cstheme="majorHAnsi"/>
          <w:i/>
          <w:iCs/>
          <w:color w:val="808080" w:themeColor="background1" w:themeShade="80"/>
          <w:sz w:val="16"/>
          <w:szCs w:val="16"/>
        </w:rPr>
        <w:t>Catia</w:t>
      </w:r>
      <w:proofErr w:type="spellEnd"/>
      <w:r w:rsidRPr="001167CB">
        <w:rPr>
          <w:rFonts w:asciiTheme="majorHAnsi" w:hAnsiTheme="majorHAnsi" w:cstheme="majorHAnsi"/>
          <w:i/>
          <w:iCs/>
          <w:color w:val="808080" w:themeColor="background1" w:themeShade="80"/>
          <w:sz w:val="16"/>
          <w:szCs w:val="16"/>
        </w:rPr>
        <w:t xml:space="preserve">) v. Venezuela. Preliminary Objection, Merits, Reparations and Costs. </w:t>
      </w:r>
      <w:r w:rsidRPr="001167CB">
        <w:rPr>
          <w:rFonts w:asciiTheme="majorHAnsi" w:hAnsiTheme="majorHAnsi" w:cstheme="majorHAnsi"/>
          <w:color w:val="808080" w:themeColor="background1" w:themeShade="80"/>
          <w:sz w:val="16"/>
          <w:szCs w:val="16"/>
        </w:rPr>
        <w:t xml:space="preserve">Judgment of July 5, 2006. Series C No. 150, para. 81. When referring to the real independence of the investigative body, the Court also queried the propriety of the assistance lent to the principal investigative organ, in other words the Public Prosecution Service, by the institution involved in the events relating to the allegedly excessive use of force, namely the Judicial Police Technical Corps, a circumstance that might have contributed to the irregularities encountered in the proceeding. I/A Court HR. </w:t>
      </w:r>
      <w:proofErr w:type="spellStart"/>
      <w:r w:rsidRPr="001167CB">
        <w:rPr>
          <w:rFonts w:asciiTheme="majorHAnsi" w:hAnsiTheme="majorHAnsi" w:cstheme="majorHAnsi"/>
          <w:i/>
          <w:iCs/>
          <w:color w:val="808080" w:themeColor="background1" w:themeShade="80"/>
          <w:sz w:val="16"/>
          <w:szCs w:val="16"/>
        </w:rPr>
        <w:t>Uzcátegui</w:t>
      </w:r>
      <w:proofErr w:type="spellEnd"/>
      <w:r w:rsidRPr="001167CB">
        <w:rPr>
          <w:rFonts w:asciiTheme="majorHAnsi" w:hAnsiTheme="majorHAnsi" w:cstheme="majorHAnsi"/>
          <w:i/>
          <w:iCs/>
          <w:color w:val="808080" w:themeColor="background1" w:themeShade="80"/>
          <w:sz w:val="16"/>
          <w:szCs w:val="16"/>
        </w:rPr>
        <w:t xml:space="preserve"> et al. v. Venezuela. </w:t>
      </w:r>
      <w:r w:rsidRPr="001167CB">
        <w:rPr>
          <w:rFonts w:asciiTheme="majorHAnsi" w:hAnsiTheme="majorHAnsi" w:cstheme="majorHAnsi"/>
          <w:color w:val="808080" w:themeColor="background1" w:themeShade="80"/>
          <w:sz w:val="16"/>
          <w:szCs w:val="16"/>
        </w:rPr>
        <w:t>Merits and Reparations. Judgment of Sept. 3, 2012, Series C No. 249, para. 220).</w:t>
      </w:r>
    </w:p>
  </w:footnote>
  <w:footnote w:id="589">
    <w:p w14:paraId="1346DB4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at para. 230 (adding that The Inter-American Court of Human Rights has pointed out that “failure to adequately protect the scene of the crime may affect the investigation because it is a crucial factor for its being conducted properly” (I/A Ct. H.R., Myrna Mack Chang v. Guatemala, para. 166) and the United Nations Human Rights Council has urged “States to investigate any cases of deaths or injuries brought about during demonstrations, including those resulting from shots from firearms or the use of nonlethal weapons by law enforcement personnel” (CDH ONU, A/HRC/25/L.20, para. 12)). </w:t>
      </w:r>
    </w:p>
  </w:footnote>
  <w:footnote w:id="590">
    <w:p w14:paraId="20564AC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(citation omitted).</w:t>
      </w:r>
    </w:p>
  </w:footnote>
  <w:footnote w:id="591">
    <w:p w14:paraId="2980231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at para. 214 (citing U.N., Special Rapporteur on extrajudicial, summary or arbitrary executions, Christof </w:t>
      </w:r>
      <w:proofErr w:type="spellStart"/>
      <w:r w:rsidRPr="001167CB">
        <w:rPr>
          <w:rFonts w:asciiTheme="majorHAnsi" w:hAnsiTheme="majorHAnsi" w:cstheme="majorHAnsi"/>
          <w:color w:val="808080" w:themeColor="background1" w:themeShade="80"/>
          <w:sz w:val="16"/>
          <w:szCs w:val="16"/>
        </w:rPr>
        <w:t>Heyns</w:t>
      </w:r>
      <w:proofErr w:type="spellEnd"/>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i/>
          <w:iCs/>
          <w:color w:val="808080" w:themeColor="background1" w:themeShade="80"/>
          <w:sz w:val="16"/>
          <w:szCs w:val="16"/>
        </w:rPr>
        <w:t>Use of information and communications technologies to secure the right to life</w:t>
      </w:r>
      <w:r w:rsidRPr="001167CB">
        <w:rPr>
          <w:rFonts w:asciiTheme="majorHAnsi" w:hAnsiTheme="majorHAnsi" w:cstheme="majorHAnsi"/>
          <w:color w:val="808080" w:themeColor="background1" w:themeShade="80"/>
          <w:sz w:val="16"/>
          <w:szCs w:val="16"/>
        </w:rPr>
        <w:t xml:space="preserve">. Apr. 24, 2015).  </w:t>
      </w:r>
    </w:p>
  </w:footnote>
  <w:footnote w:id="592">
    <w:p w14:paraId="33CEFEE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w:t>
      </w:r>
    </w:p>
  </w:footnote>
  <w:footnote w:id="593">
    <w:p w14:paraId="27168E3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222.</w:t>
      </w:r>
    </w:p>
  </w:footnote>
  <w:footnote w:id="594">
    <w:p w14:paraId="275A655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(citing U.N., Report of the Special Rapporteur on extrajudicial, summary or arbitrary executions, Christof </w:t>
      </w:r>
      <w:proofErr w:type="spellStart"/>
      <w:r w:rsidRPr="001167CB">
        <w:rPr>
          <w:rFonts w:asciiTheme="majorHAnsi" w:hAnsiTheme="majorHAnsi" w:cstheme="majorHAnsi"/>
          <w:color w:val="808080" w:themeColor="background1" w:themeShade="80"/>
          <w:sz w:val="16"/>
          <w:szCs w:val="16"/>
        </w:rPr>
        <w:t>Heyns</w:t>
      </w:r>
      <w:proofErr w:type="spellEnd"/>
      <w:r w:rsidRPr="001167CB">
        <w:rPr>
          <w:rFonts w:asciiTheme="majorHAnsi" w:hAnsiTheme="majorHAnsi" w:cstheme="majorHAnsi"/>
          <w:color w:val="808080" w:themeColor="background1" w:themeShade="80"/>
          <w:sz w:val="16"/>
          <w:szCs w:val="16"/>
        </w:rPr>
        <w:t>, A/HRC/26/36, Apr. 1, 2014, para. 23).</w:t>
      </w:r>
    </w:p>
  </w:footnote>
  <w:footnote w:id="595">
    <w:p w14:paraId="51EF800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647"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Oct. 16, 2015</w:t>
      </w:r>
      <w:r w:rsidRPr="001167CB">
        <w:rPr>
          <w:rFonts w:asciiTheme="majorHAnsi" w:hAnsiTheme="majorHAnsi" w:cstheme="majorHAnsi"/>
          <w:color w:val="808080" w:themeColor="background1" w:themeShade="80"/>
          <w:sz w:val="16"/>
          <w:szCs w:val="16"/>
        </w:rPr>
        <w:t>.</w:t>
      </w:r>
    </w:p>
  </w:footnote>
  <w:footnote w:id="596">
    <w:p w14:paraId="6C0F147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48" w:history="1">
        <w:r w:rsidRPr="001167CB">
          <w:rPr>
            <w:rStyle w:val="Hyperlink"/>
            <w:rFonts w:asciiTheme="majorHAnsi" w:hAnsiTheme="majorHAnsi" w:cstheme="majorHAnsi"/>
            <w:bCs/>
            <w:iCs/>
            <w:color w:val="808080" w:themeColor="background1" w:themeShade="80"/>
            <w:sz w:val="16"/>
            <w:szCs w:val="16"/>
          </w:rPr>
          <w:t>U.N. Basic Principles on the Use of Force</w:t>
        </w:r>
      </w:hyperlink>
      <w:r w:rsidRPr="001167CB">
        <w:rPr>
          <w:rFonts w:asciiTheme="majorHAnsi" w:hAnsiTheme="majorHAnsi" w:cstheme="majorHAnsi"/>
          <w:i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Nos. 22 and 11.</w:t>
      </w:r>
    </w:p>
  </w:footnote>
  <w:footnote w:id="597">
    <w:p w14:paraId="1991BCA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49" w:history="1">
        <w:r w:rsidRPr="001167CB">
          <w:rPr>
            <w:rStyle w:val="Hyperlink"/>
            <w:rFonts w:asciiTheme="majorHAnsi" w:hAnsiTheme="majorHAnsi" w:cstheme="majorHAnsi"/>
            <w:bCs/>
            <w:iCs/>
            <w:color w:val="808080" w:themeColor="background1" w:themeShade="80"/>
            <w:sz w:val="16"/>
            <w:szCs w:val="16"/>
          </w:rPr>
          <w:t>U.N. Basic Principles on the Use of Force</w:t>
        </w:r>
      </w:hyperlink>
      <w:r w:rsidRPr="001167CB">
        <w:rPr>
          <w:rFonts w:asciiTheme="majorHAnsi" w:hAnsiTheme="majorHAnsi" w:cstheme="majorHAnsi"/>
          <w:i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No. 26.  </w:t>
      </w:r>
    </w:p>
  </w:footnote>
  <w:footnote w:id="598">
    <w:p w14:paraId="06FE2F67" w14:textId="48104101"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supra</w:t>
      </w:r>
      <w:r w:rsidRPr="001167CB">
        <w:rPr>
          <w:rFonts w:asciiTheme="majorHAnsi" w:hAnsiTheme="majorHAnsi" w:cstheme="majorHAnsi"/>
          <w:color w:val="808080" w:themeColor="background1" w:themeShade="80"/>
          <w:sz w:val="16"/>
          <w:szCs w:val="16"/>
        </w:rPr>
        <w:t xml:space="preserve"> paras.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_Ref507429069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110</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_Ref507429070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111</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599">
    <w:p w14:paraId="606D3DC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Information received from Robert F. Kennedy Human Rights during 166</w:t>
      </w:r>
      <w:r w:rsidRPr="001167CB">
        <w:rPr>
          <w:rFonts w:asciiTheme="majorHAnsi" w:hAnsiTheme="majorHAnsi" w:cstheme="majorHAnsi"/>
          <w:color w:val="808080" w:themeColor="background1" w:themeShade="80"/>
          <w:sz w:val="16"/>
          <w:szCs w:val="16"/>
          <w:vertAlign w:val="superscript"/>
        </w:rPr>
        <w:t>th</w:t>
      </w:r>
      <w:r w:rsidRPr="001167CB">
        <w:rPr>
          <w:rFonts w:asciiTheme="majorHAnsi" w:hAnsiTheme="majorHAnsi" w:cstheme="majorHAnsi"/>
          <w:color w:val="808080" w:themeColor="background1" w:themeShade="80"/>
          <w:sz w:val="16"/>
          <w:szCs w:val="16"/>
        </w:rPr>
        <w:t xml:space="preserve"> Period of Sessions, Thematic Hearing: Reports of Impunity for Extrajudicial Killings in the United States, Dec. 7, 2017, p. 1 (citing MSNBC, </w:t>
      </w:r>
      <w:hyperlink r:id="rId650" w:history="1">
        <w:r w:rsidRPr="001167CB">
          <w:rPr>
            <w:rStyle w:val="Hyperlink"/>
            <w:rFonts w:asciiTheme="majorHAnsi" w:hAnsiTheme="majorHAnsi" w:cstheme="majorHAnsi"/>
            <w:color w:val="808080" w:themeColor="background1" w:themeShade="80"/>
            <w:sz w:val="16"/>
            <w:szCs w:val="16"/>
          </w:rPr>
          <w:t>Prosecutors and police: The inherent conflict in our courts</w:t>
        </w:r>
      </w:hyperlink>
      <w:r w:rsidRPr="001167CB">
        <w:rPr>
          <w:rFonts w:asciiTheme="majorHAnsi" w:hAnsiTheme="majorHAnsi" w:cstheme="majorHAnsi"/>
          <w:color w:val="808080" w:themeColor="background1" w:themeShade="80"/>
          <w:sz w:val="16"/>
          <w:szCs w:val="16"/>
        </w:rPr>
        <w:t xml:space="preserve">, Dec. 5, 2014; FiveThirtyEight, </w:t>
      </w:r>
      <w:hyperlink r:id="rId651" w:history="1">
        <w:r w:rsidRPr="001167CB">
          <w:rPr>
            <w:rStyle w:val="Hyperlink"/>
            <w:rFonts w:asciiTheme="majorHAnsi" w:hAnsiTheme="majorHAnsi" w:cstheme="majorHAnsi"/>
            <w:color w:val="808080" w:themeColor="background1" w:themeShade="80"/>
            <w:sz w:val="16"/>
            <w:szCs w:val="16"/>
          </w:rPr>
          <w:t>Allegations Of Police Misconduct Rarely Result In Charges</w:t>
        </w:r>
      </w:hyperlink>
      <w:r w:rsidRPr="001167CB">
        <w:rPr>
          <w:rFonts w:asciiTheme="majorHAnsi" w:hAnsiTheme="majorHAnsi" w:cstheme="majorHAnsi"/>
          <w:color w:val="808080" w:themeColor="background1" w:themeShade="80"/>
          <w:sz w:val="16"/>
          <w:szCs w:val="16"/>
        </w:rPr>
        <w:t xml:space="preserve">, Nov. 25, 2014; Washington Post, </w:t>
      </w:r>
      <w:hyperlink r:id="rId652" w:history="1">
        <w:r w:rsidRPr="001167CB">
          <w:rPr>
            <w:rStyle w:val="Hyperlink"/>
            <w:rFonts w:asciiTheme="majorHAnsi" w:hAnsiTheme="majorHAnsi" w:cstheme="majorHAnsi"/>
            <w:color w:val="808080" w:themeColor="background1" w:themeShade="80"/>
            <w:sz w:val="16"/>
            <w:szCs w:val="16"/>
          </w:rPr>
          <w:t>Thousands Dead, Few Prosecuted</w:t>
        </w:r>
      </w:hyperlink>
      <w:r w:rsidRPr="001167CB">
        <w:rPr>
          <w:rFonts w:asciiTheme="majorHAnsi" w:hAnsiTheme="majorHAnsi" w:cstheme="majorHAnsi"/>
          <w:color w:val="808080" w:themeColor="background1" w:themeShade="80"/>
          <w:sz w:val="16"/>
          <w:szCs w:val="16"/>
        </w:rPr>
        <w:t xml:space="preserve">, Apr. 11, 2015; Houston Chronicle, </w:t>
      </w:r>
      <w:hyperlink r:id="rId653" w:history="1">
        <w:r w:rsidRPr="001167CB">
          <w:rPr>
            <w:rStyle w:val="Hyperlink"/>
            <w:rFonts w:asciiTheme="majorHAnsi" w:hAnsiTheme="majorHAnsi" w:cstheme="majorHAnsi"/>
            <w:color w:val="808080" w:themeColor="background1" w:themeShade="80"/>
            <w:sz w:val="16"/>
            <w:szCs w:val="16"/>
          </w:rPr>
          <w:t>Hard to Charge</w:t>
        </w:r>
      </w:hyperlink>
      <w:r w:rsidRPr="001167CB">
        <w:rPr>
          <w:rFonts w:asciiTheme="majorHAnsi" w:hAnsiTheme="majorHAnsi" w:cstheme="majorHAnsi"/>
          <w:color w:val="808080" w:themeColor="background1" w:themeShade="80"/>
          <w:sz w:val="16"/>
          <w:szCs w:val="16"/>
        </w:rPr>
        <w:t xml:space="preserve">, last visited </w:t>
      </w:r>
      <w:r w:rsidRPr="001167CB">
        <w:rPr>
          <w:rFonts w:asciiTheme="majorHAnsi" w:hAnsiTheme="majorHAnsi" w:cstheme="majorHAnsi"/>
          <w:bCs/>
          <w:color w:val="808080" w:themeColor="background1" w:themeShade="80"/>
          <w:sz w:val="16"/>
          <w:szCs w:val="16"/>
        </w:rPr>
        <w:t xml:space="preserve">Oct. </w:t>
      </w:r>
      <w:r w:rsidRPr="001167CB">
        <w:rPr>
          <w:rFonts w:asciiTheme="majorHAnsi" w:hAnsiTheme="majorHAnsi" w:cstheme="majorHAnsi"/>
          <w:color w:val="808080" w:themeColor="background1" w:themeShade="80"/>
          <w:sz w:val="16"/>
          <w:szCs w:val="16"/>
        </w:rPr>
        <w:t xml:space="preserve">5, 2015; Bureau of Justice Statistics, </w:t>
      </w:r>
      <w:hyperlink r:id="rId654" w:history="1">
        <w:r w:rsidRPr="001167CB">
          <w:rPr>
            <w:rStyle w:val="Hyperlink"/>
            <w:rFonts w:asciiTheme="majorHAnsi" w:hAnsiTheme="majorHAnsi" w:cstheme="majorHAnsi"/>
            <w:color w:val="808080" w:themeColor="background1" w:themeShade="80"/>
            <w:sz w:val="16"/>
            <w:szCs w:val="16"/>
          </w:rPr>
          <w:t>Federal Justice Statistics 2010 – Statistical Tables</w:t>
        </w:r>
      </w:hyperlink>
      <w:r w:rsidRPr="001167CB">
        <w:rPr>
          <w:rFonts w:asciiTheme="majorHAnsi" w:hAnsiTheme="majorHAnsi" w:cstheme="majorHAnsi"/>
          <w:color w:val="808080" w:themeColor="background1" w:themeShade="80"/>
          <w:sz w:val="16"/>
          <w:szCs w:val="16"/>
        </w:rPr>
        <w:t xml:space="preserve">, Dec. 2013). </w:t>
      </w:r>
    </w:p>
  </w:footnote>
  <w:footnote w:id="600">
    <w:p w14:paraId="59E7364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COPS, </w:t>
      </w:r>
      <w:hyperlink r:id="rId655" w:history="1">
        <w:r w:rsidRPr="001167CB">
          <w:rPr>
            <w:rStyle w:val="Hyperlink"/>
            <w:rFonts w:asciiTheme="majorHAnsi" w:hAnsiTheme="majorHAnsi" w:cstheme="majorHAnsi"/>
            <w:bCs/>
            <w:color w:val="808080" w:themeColor="background1" w:themeShade="80"/>
            <w:sz w:val="16"/>
            <w:szCs w:val="16"/>
          </w:rPr>
          <w:t>Final Report of the President’s Task Force on 21</w:t>
        </w:r>
        <w:r w:rsidRPr="001167CB">
          <w:rPr>
            <w:rStyle w:val="Hyperlink"/>
            <w:rFonts w:asciiTheme="majorHAnsi" w:hAnsiTheme="majorHAnsi" w:cstheme="majorHAnsi"/>
            <w:bCs/>
            <w:color w:val="808080" w:themeColor="background1" w:themeShade="80"/>
            <w:sz w:val="16"/>
            <w:szCs w:val="16"/>
            <w:vertAlign w:val="superscript"/>
          </w:rPr>
          <w:t>st</w:t>
        </w:r>
        <w:r w:rsidRPr="001167CB">
          <w:rPr>
            <w:rStyle w:val="Hyperlink"/>
            <w:rFonts w:asciiTheme="majorHAnsi" w:hAnsiTheme="majorHAnsi" w:cstheme="majorHAnsi"/>
            <w:bCs/>
            <w:color w:val="808080" w:themeColor="background1" w:themeShade="80"/>
            <w:sz w:val="16"/>
            <w:szCs w:val="16"/>
          </w:rPr>
          <w:t xml:space="preserve"> Century Policing</w:t>
        </w:r>
      </w:hyperlink>
      <w:r w:rsidRPr="001167CB">
        <w:rPr>
          <w:rFonts w:asciiTheme="majorHAnsi" w:hAnsiTheme="majorHAnsi" w:cstheme="majorHAnsi"/>
          <w:bCs/>
          <w:color w:val="808080" w:themeColor="background1" w:themeShade="80"/>
          <w:sz w:val="16"/>
          <w:szCs w:val="16"/>
        </w:rPr>
        <w:t>, May 2015</w:t>
      </w:r>
      <w:r w:rsidRPr="001167CB">
        <w:rPr>
          <w:rFonts w:asciiTheme="majorHAnsi" w:hAnsiTheme="majorHAnsi" w:cstheme="majorHAnsi"/>
          <w:color w:val="808080" w:themeColor="background1" w:themeShade="80"/>
          <w:sz w:val="16"/>
          <w:szCs w:val="16"/>
        </w:rPr>
        <w:t xml:space="preserve">, Rec. 2.2.2. </w:t>
      </w:r>
    </w:p>
  </w:footnote>
  <w:footnote w:id="601">
    <w:p w14:paraId="161A5D3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56" w:history="1">
        <w:r w:rsidRPr="001167CB">
          <w:rPr>
            <w:rStyle w:val="Hyperlink"/>
            <w:rFonts w:asciiTheme="majorHAnsi" w:hAnsiTheme="majorHAnsi" w:cstheme="majorHAnsi"/>
            <w:bCs/>
            <w:iCs/>
            <w:color w:val="808080" w:themeColor="background1" w:themeShade="80"/>
            <w:sz w:val="16"/>
            <w:szCs w:val="16"/>
          </w:rPr>
          <w:t>U.N. Basic Principles on the Use of Force</w:t>
        </w:r>
      </w:hyperlink>
      <w:r w:rsidRPr="001167CB">
        <w:rPr>
          <w:rFonts w:asciiTheme="majorHAnsi" w:hAnsiTheme="majorHAnsi" w:cstheme="majorHAnsi"/>
          <w:i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No. 22.</w:t>
      </w:r>
    </w:p>
  </w:footnote>
  <w:footnote w:id="602">
    <w:p w14:paraId="0C76165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57" w:history="1">
        <w:r w:rsidRPr="001167CB">
          <w:rPr>
            <w:rStyle w:val="Hyperlink"/>
            <w:rFonts w:asciiTheme="majorHAnsi" w:hAnsiTheme="majorHAnsi" w:cstheme="majorHAnsi"/>
            <w:bCs/>
            <w:iCs/>
            <w:color w:val="808080" w:themeColor="background1" w:themeShade="80"/>
            <w:sz w:val="16"/>
            <w:szCs w:val="16"/>
          </w:rPr>
          <w:t>U.N. Basic Principles on the Use of Force</w:t>
        </w:r>
      </w:hyperlink>
      <w:r w:rsidRPr="001167CB">
        <w:rPr>
          <w:rFonts w:asciiTheme="majorHAnsi" w:hAnsiTheme="majorHAnsi" w:cstheme="majorHAnsi"/>
          <w:i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No. 22.</w:t>
      </w:r>
    </w:p>
  </w:footnote>
  <w:footnote w:id="603">
    <w:p w14:paraId="2944C767" w14:textId="7295EE2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supra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_Ref511222838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113</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604">
    <w:p w14:paraId="4EA2772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58"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Mar. 17, 2016, para. 228 (citation omitted).</w:t>
      </w:r>
    </w:p>
  </w:footnote>
  <w:footnote w:id="605">
    <w:p w14:paraId="49C32BD4" w14:textId="74D3A250"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supra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_Ref507429434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112</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606">
    <w:p w14:paraId="5F75311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Committee Against Torture, Concluding observations on the combined third to fifth periodic reports of the United States of America, CAT/C/USA/CO/3-5, Dec. 19, 2014, para. 26.</w:t>
      </w:r>
    </w:p>
  </w:footnote>
  <w:footnote w:id="607">
    <w:p w14:paraId="2DEA223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59" w:history="1">
        <w:r w:rsidRPr="001167CB">
          <w:rPr>
            <w:rStyle w:val="Hyperlink"/>
            <w:rFonts w:asciiTheme="majorHAnsi" w:hAnsiTheme="majorHAnsi" w:cstheme="majorHAnsi"/>
            <w:color w:val="808080" w:themeColor="background1" w:themeShade="80"/>
            <w:sz w:val="16"/>
            <w:szCs w:val="16"/>
          </w:rPr>
          <w:t>Annual Report 2015, Chapter IV: The Use of Force</w:t>
        </w:r>
      </w:hyperlink>
      <w:r w:rsidRPr="001167CB">
        <w:rPr>
          <w:rFonts w:asciiTheme="majorHAnsi" w:hAnsiTheme="majorHAnsi" w:cstheme="majorHAnsi"/>
          <w:color w:val="808080" w:themeColor="background1" w:themeShade="80"/>
          <w:sz w:val="16"/>
          <w:szCs w:val="16"/>
        </w:rPr>
        <w:t xml:space="preserve">, Mar. 17, 2016, para. 233 (citing </w:t>
      </w:r>
      <w:hyperlink r:id="rId660" w:history="1">
        <w:r w:rsidRPr="001167CB">
          <w:rPr>
            <w:rStyle w:val="Hyperlink"/>
            <w:rFonts w:asciiTheme="majorHAnsi" w:hAnsiTheme="majorHAnsi" w:cstheme="majorHAnsi"/>
            <w:bCs/>
            <w:iCs/>
            <w:color w:val="808080" w:themeColor="background1" w:themeShade="80"/>
            <w:sz w:val="16"/>
            <w:szCs w:val="16"/>
          </w:rPr>
          <w:t>U.N. Basic Principles on the Use of Force</w:t>
        </w:r>
      </w:hyperlink>
      <w:r w:rsidRPr="001167CB">
        <w:rPr>
          <w:rFonts w:asciiTheme="majorHAnsi" w:hAnsiTheme="majorHAnsi" w:cstheme="majorHAnsi"/>
          <w:i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No. 24).</w:t>
      </w:r>
    </w:p>
  </w:footnote>
  <w:footnote w:id="608">
    <w:p w14:paraId="0A2F7B6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(citing </w:t>
      </w:r>
      <w:hyperlink r:id="rId661" w:history="1">
        <w:r w:rsidRPr="001167CB">
          <w:rPr>
            <w:rStyle w:val="Hyperlink"/>
            <w:rFonts w:asciiTheme="majorHAnsi" w:hAnsiTheme="majorHAnsi" w:cstheme="majorHAnsi"/>
            <w:bCs/>
            <w:iCs/>
            <w:color w:val="808080" w:themeColor="background1" w:themeShade="80"/>
            <w:sz w:val="16"/>
            <w:szCs w:val="16"/>
          </w:rPr>
          <w:t>U.N. Basic Principles on the Use of Force</w:t>
        </w:r>
      </w:hyperlink>
      <w:r w:rsidRPr="001167CB">
        <w:rPr>
          <w:rFonts w:asciiTheme="majorHAnsi" w:hAnsiTheme="majorHAnsi" w:cstheme="majorHAnsi"/>
          <w:i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No. 26).</w:t>
      </w:r>
    </w:p>
  </w:footnote>
  <w:footnote w:id="609">
    <w:p w14:paraId="5A9E466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232.</w:t>
      </w:r>
    </w:p>
  </w:footnote>
  <w:footnote w:id="610">
    <w:p w14:paraId="04FFE6C4" w14:textId="63A66DA5"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supra</w:t>
      </w:r>
      <w:r w:rsidRPr="001167CB">
        <w:rPr>
          <w:rFonts w:asciiTheme="majorHAnsi" w:hAnsiTheme="majorHAnsi" w:cstheme="majorHAnsi"/>
          <w:color w:val="808080" w:themeColor="background1" w:themeShade="80"/>
          <w:sz w:val="16"/>
          <w:szCs w:val="16"/>
        </w:rPr>
        <w:t xml:space="preserve"> paras.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_Ref507429957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103</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_Ref507429959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105</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611">
    <w:p w14:paraId="68449EA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w:t>
      </w:r>
      <w:r w:rsidRPr="001167CB">
        <w:rPr>
          <w:rFonts w:asciiTheme="majorHAnsi" w:hAnsiTheme="majorHAnsi" w:cstheme="majorHAnsi"/>
          <w:bCs/>
          <w:color w:val="808080" w:themeColor="background1" w:themeShade="80"/>
          <w:sz w:val="16"/>
          <w:szCs w:val="16"/>
        </w:rPr>
        <w:t xml:space="preserve">IACHR, </w:t>
      </w:r>
      <w:hyperlink r:id="rId662" w:history="1">
        <w:r w:rsidRPr="001167CB">
          <w:rPr>
            <w:rStyle w:val="Hyperlink"/>
            <w:rFonts w:asciiTheme="majorHAnsi" w:hAnsiTheme="majorHAnsi" w:cstheme="majorHAnsi"/>
            <w:bCs/>
            <w:color w:val="808080" w:themeColor="background1" w:themeShade="80"/>
            <w:sz w:val="16"/>
            <w:szCs w:val="16"/>
          </w:rPr>
          <w:t>Investigation of Police Killings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23, 2016.</w:t>
      </w:r>
    </w:p>
  </w:footnote>
  <w:footnote w:id="612">
    <w:p w14:paraId="2B876860" w14:textId="55EC933C"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supra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_Ref507430107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116</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 xml:space="preserve">. </w:t>
      </w:r>
    </w:p>
  </w:footnote>
  <w:footnote w:id="613">
    <w:p w14:paraId="04BC0072" w14:textId="77777777" w:rsidR="005C2394" w:rsidRPr="001167CB" w:rsidRDefault="005C2394" w:rsidP="002C64F8">
      <w:pPr>
        <w:pStyle w:val="NormalWeb"/>
        <w:shd w:val="clear" w:color="auto" w:fill="FFFFFF"/>
        <w:spacing w:before="0" w:beforeAutospacing="0" w:after="40" w:afterAutospacing="0"/>
        <w:ind w:left="547" w:hanging="547"/>
        <w:jc w:val="both"/>
        <w:rPr>
          <w:rFonts w:asciiTheme="majorHAnsi" w:hAnsiTheme="majorHAnsi" w:cstheme="majorHAnsi"/>
          <w:color w:val="808080" w:themeColor="background1" w:themeShade="80"/>
          <w:sz w:val="16"/>
          <w:szCs w:val="16"/>
          <w:lang w:val="en-US"/>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n-US"/>
        </w:rPr>
        <w:t xml:space="preserve"> </w:t>
      </w:r>
      <w:r w:rsidRPr="001167CB">
        <w:rPr>
          <w:rFonts w:asciiTheme="majorHAnsi" w:hAnsiTheme="majorHAnsi" w:cstheme="majorHAnsi"/>
          <w:color w:val="808080" w:themeColor="background1" w:themeShade="80"/>
          <w:sz w:val="16"/>
          <w:szCs w:val="16"/>
          <w:lang w:val="en-US"/>
        </w:rPr>
        <w:tab/>
      </w:r>
      <w:r w:rsidRPr="001167CB">
        <w:rPr>
          <w:rFonts w:asciiTheme="majorHAnsi" w:eastAsia="Times New Roman" w:hAnsiTheme="majorHAnsi" w:cstheme="majorHAnsi"/>
          <w:bCs/>
          <w:color w:val="808080" w:themeColor="background1" w:themeShade="80"/>
          <w:sz w:val="16"/>
          <w:szCs w:val="16"/>
          <w:lang w:val="en-US"/>
        </w:rPr>
        <w:t xml:space="preserve">IACHR, </w:t>
      </w:r>
      <w:hyperlink r:id="rId663" w:history="1">
        <w:r w:rsidRPr="001167CB">
          <w:rPr>
            <w:rStyle w:val="Hyperlink"/>
            <w:rFonts w:asciiTheme="majorHAnsi" w:eastAsia="Times New Roman" w:hAnsiTheme="majorHAnsi" w:cstheme="majorHAnsi"/>
            <w:bCs/>
            <w:color w:val="808080" w:themeColor="background1" w:themeShade="80"/>
            <w:sz w:val="16"/>
            <w:szCs w:val="16"/>
            <w:lang w:val="en-US"/>
          </w:rPr>
          <w:t>People of African Descent in the Americas</w:t>
        </w:r>
      </w:hyperlink>
      <w:r w:rsidRPr="001167CB">
        <w:rPr>
          <w:rFonts w:asciiTheme="majorHAnsi" w:eastAsia="Times New Roman" w:hAnsiTheme="majorHAnsi" w:cstheme="majorHAnsi"/>
          <w:bCs/>
          <w:color w:val="808080" w:themeColor="background1" w:themeShade="80"/>
          <w:sz w:val="16"/>
          <w:szCs w:val="16"/>
          <w:lang w:val="en-US"/>
        </w:rPr>
        <w:t xml:space="preserve"> (2011)</w:t>
      </w:r>
      <w:r w:rsidRPr="001167CB">
        <w:rPr>
          <w:rFonts w:asciiTheme="majorHAnsi" w:hAnsiTheme="majorHAnsi" w:cstheme="majorHAnsi"/>
          <w:color w:val="808080" w:themeColor="background1" w:themeShade="80"/>
          <w:sz w:val="16"/>
          <w:szCs w:val="16"/>
          <w:lang w:val="en-US"/>
        </w:rPr>
        <w:t>, para 141;</w:t>
      </w:r>
      <w:r w:rsidRPr="001167CB">
        <w:rPr>
          <w:rFonts w:asciiTheme="majorHAnsi" w:hAnsiTheme="majorHAnsi" w:cstheme="majorHAnsi"/>
          <w:bCs/>
          <w:color w:val="808080" w:themeColor="background1" w:themeShade="80"/>
          <w:sz w:val="16"/>
          <w:szCs w:val="16"/>
          <w:lang w:val="en-US"/>
        </w:rPr>
        <w:t xml:space="preserve"> </w:t>
      </w:r>
      <w:hyperlink r:id="rId664" w:history="1">
        <w:r w:rsidRPr="001167CB">
          <w:rPr>
            <w:rStyle w:val="Hyperlink"/>
            <w:rFonts w:asciiTheme="majorHAnsi" w:hAnsiTheme="majorHAnsi" w:cstheme="majorHAnsi"/>
            <w:bCs/>
            <w:color w:val="808080" w:themeColor="background1" w:themeShade="80"/>
            <w:sz w:val="16"/>
            <w:szCs w:val="16"/>
            <w:lang w:val="en-US"/>
          </w:rPr>
          <w:t>Eric Garner and Michael Brown Press Release</w:t>
        </w:r>
      </w:hyperlink>
      <w:r w:rsidRPr="001167CB">
        <w:rPr>
          <w:rFonts w:asciiTheme="majorHAnsi" w:hAnsiTheme="majorHAnsi" w:cstheme="majorHAnsi"/>
          <w:bCs/>
          <w:color w:val="808080" w:themeColor="background1" w:themeShade="80"/>
          <w:sz w:val="16"/>
          <w:szCs w:val="16"/>
          <w:lang w:val="en-US"/>
        </w:rPr>
        <w:t xml:space="preserve">, </w:t>
      </w:r>
      <w:r w:rsidRPr="001167CB">
        <w:rPr>
          <w:rFonts w:asciiTheme="majorHAnsi" w:hAnsiTheme="majorHAnsi" w:cstheme="majorHAnsi"/>
          <w:color w:val="808080" w:themeColor="background1" w:themeShade="80"/>
          <w:sz w:val="16"/>
          <w:szCs w:val="16"/>
          <w:lang w:val="en-US"/>
        </w:rPr>
        <w:t xml:space="preserve">Aug. </w:t>
      </w:r>
      <w:r w:rsidRPr="001167CB">
        <w:rPr>
          <w:rFonts w:asciiTheme="majorHAnsi" w:hAnsiTheme="majorHAnsi" w:cstheme="majorHAnsi"/>
          <w:bCs/>
          <w:color w:val="808080" w:themeColor="background1" w:themeShade="80"/>
          <w:sz w:val="16"/>
          <w:szCs w:val="16"/>
          <w:lang w:val="en-US"/>
        </w:rPr>
        <w:t xml:space="preserve">22, 2014; </w:t>
      </w:r>
      <w:hyperlink r:id="rId665" w:history="1">
        <w:r w:rsidRPr="001167CB">
          <w:rPr>
            <w:rStyle w:val="Hyperlink"/>
            <w:rFonts w:asciiTheme="majorHAnsi" w:hAnsiTheme="majorHAnsi" w:cstheme="majorHAnsi"/>
            <w:bCs/>
            <w:color w:val="808080" w:themeColor="background1" w:themeShade="80"/>
            <w:sz w:val="16"/>
            <w:szCs w:val="16"/>
            <w:lang w:val="en-US"/>
          </w:rPr>
          <w:t>Walter Scott Press Release</w:t>
        </w:r>
      </w:hyperlink>
      <w:r w:rsidRPr="001167CB">
        <w:rPr>
          <w:rFonts w:asciiTheme="majorHAnsi" w:hAnsiTheme="majorHAnsi" w:cstheme="majorHAnsi"/>
          <w:bCs/>
          <w:color w:val="808080" w:themeColor="background1" w:themeShade="80"/>
          <w:sz w:val="16"/>
          <w:szCs w:val="16"/>
          <w:lang w:val="en-US"/>
        </w:rPr>
        <w:t xml:space="preserve">, </w:t>
      </w:r>
      <w:r w:rsidRPr="001167CB">
        <w:rPr>
          <w:rFonts w:asciiTheme="majorHAnsi" w:hAnsiTheme="majorHAnsi" w:cstheme="majorHAnsi"/>
          <w:color w:val="808080" w:themeColor="background1" w:themeShade="80"/>
          <w:sz w:val="16"/>
          <w:szCs w:val="16"/>
          <w:lang w:val="en-US"/>
        </w:rPr>
        <w:t xml:space="preserve">Apr. </w:t>
      </w:r>
      <w:r w:rsidRPr="001167CB">
        <w:rPr>
          <w:rFonts w:asciiTheme="majorHAnsi" w:hAnsiTheme="majorHAnsi" w:cstheme="majorHAnsi"/>
          <w:bCs/>
          <w:color w:val="808080" w:themeColor="background1" w:themeShade="80"/>
          <w:sz w:val="16"/>
          <w:szCs w:val="16"/>
          <w:lang w:val="en-US"/>
        </w:rPr>
        <w:t xml:space="preserve">17, 2015; </w:t>
      </w:r>
      <w:hyperlink r:id="rId666" w:history="1">
        <w:r w:rsidRPr="001167CB">
          <w:rPr>
            <w:rStyle w:val="Hyperlink"/>
            <w:rFonts w:asciiTheme="majorHAnsi" w:hAnsiTheme="majorHAnsi" w:cstheme="majorHAnsi"/>
            <w:bCs/>
            <w:color w:val="808080" w:themeColor="background1" w:themeShade="80"/>
            <w:sz w:val="16"/>
            <w:szCs w:val="16"/>
            <w:lang w:val="en-US"/>
          </w:rPr>
          <w:t>Investigation of Police Killings Press Release</w:t>
        </w:r>
      </w:hyperlink>
      <w:r w:rsidRPr="001167CB">
        <w:rPr>
          <w:rFonts w:asciiTheme="majorHAnsi" w:hAnsiTheme="majorHAnsi" w:cstheme="majorHAnsi"/>
          <w:bCs/>
          <w:color w:val="808080" w:themeColor="background1" w:themeShade="80"/>
          <w:sz w:val="16"/>
          <w:szCs w:val="16"/>
          <w:lang w:val="en-US"/>
        </w:rPr>
        <w:t xml:space="preserve">, </w:t>
      </w:r>
      <w:r w:rsidRPr="001167CB">
        <w:rPr>
          <w:rFonts w:asciiTheme="majorHAnsi" w:hAnsiTheme="majorHAnsi" w:cstheme="majorHAnsi"/>
          <w:color w:val="808080" w:themeColor="background1" w:themeShade="80"/>
          <w:sz w:val="16"/>
          <w:szCs w:val="16"/>
          <w:lang w:val="en-US"/>
        </w:rPr>
        <w:t xml:space="preserve">Aug. </w:t>
      </w:r>
      <w:r w:rsidRPr="001167CB">
        <w:rPr>
          <w:rFonts w:asciiTheme="majorHAnsi" w:hAnsiTheme="majorHAnsi" w:cstheme="majorHAnsi"/>
          <w:bCs/>
          <w:color w:val="808080" w:themeColor="background1" w:themeShade="80"/>
          <w:sz w:val="16"/>
          <w:szCs w:val="16"/>
          <w:lang w:val="en-US"/>
        </w:rPr>
        <w:t>23, 2016.</w:t>
      </w:r>
    </w:p>
  </w:footnote>
  <w:footnote w:id="614">
    <w:p w14:paraId="3B69D98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Report No. 50/16, </w:t>
      </w:r>
      <w:hyperlink r:id="rId667" w:history="1">
        <w:r w:rsidRPr="001167CB">
          <w:rPr>
            <w:rStyle w:val="Hyperlink"/>
            <w:rFonts w:asciiTheme="majorHAnsi" w:hAnsiTheme="majorHAnsi" w:cstheme="majorHAnsi"/>
            <w:i/>
            <w:color w:val="808080" w:themeColor="background1" w:themeShade="80"/>
            <w:sz w:val="16"/>
            <w:szCs w:val="16"/>
          </w:rPr>
          <w:t>Undocumented Workers</w:t>
        </w:r>
      </w:hyperlink>
      <w:r w:rsidRPr="001167CB">
        <w:rPr>
          <w:rFonts w:asciiTheme="majorHAnsi" w:hAnsiTheme="majorHAnsi" w:cstheme="majorHAnsi"/>
          <w:color w:val="808080" w:themeColor="background1" w:themeShade="80"/>
          <w:sz w:val="16"/>
          <w:szCs w:val="16"/>
        </w:rPr>
        <w:t xml:space="preserve"> (2016), para. 98.</w:t>
      </w:r>
    </w:p>
  </w:footnote>
  <w:footnote w:id="615">
    <w:p w14:paraId="66CAC7C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pt-BR"/>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(citing </w:t>
      </w:r>
      <w:r w:rsidRPr="001167CB">
        <w:rPr>
          <w:rFonts w:asciiTheme="majorHAnsi" w:eastAsiaTheme="minorEastAsia" w:hAnsiTheme="majorHAnsi" w:cstheme="majorHAnsi"/>
          <w:color w:val="808080" w:themeColor="background1" w:themeShade="80"/>
          <w:sz w:val="16"/>
          <w:szCs w:val="16"/>
          <w:lang w:eastAsia="es-ES"/>
        </w:rPr>
        <w:t xml:space="preserve">IACHR, Report No. 51/01, Case 9903, </w:t>
      </w:r>
      <w:r w:rsidRPr="001167CB">
        <w:rPr>
          <w:rFonts w:asciiTheme="majorHAnsi" w:eastAsiaTheme="minorEastAsia" w:hAnsiTheme="majorHAnsi" w:cstheme="majorHAnsi"/>
          <w:i/>
          <w:iCs/>
          <w:color w:val="808080" w:themeColor="background1" w:themeShade="80"/>
          <w:sz w:val="16"/>
          <w:szCs w:val="16"/>
          <w:lang w:eastAsia="es-ES"/>
        </w:rPr>
        <w:t>Rafael Ferrer-</w:t>
      </w:r>
      <w:proofErr w:type="spellStart"/>
      <w:r w:rsidRPr="001167CB">
        <w:rPr>
          <w:rFonts w:asciiTheme="majorHAnsi" w:eastAsiaTheme="minorEastAsia" w:hAnsiTheme="majorHAnsi" w:cstheme="majorHAnsi"/>
          <w:i/>
          <w:iCs/>
          <w:color w:val="808080" w:themeColor="background1" w:themeShade="80"/>
          <w:sz w:val="16"/>
          <w:szCs w:val="16"/>
          <w:lang w:eastAsia="es-ES"/>
        </w:rPr>
        <w:t>Mazorra</w:t>
      </w:r>
      <w:proofErr w:type="spellEnd"/>
      <w:r w:rsidRPr="001167CB">
        <w:rPr>
          <w:rFonts w:asciiTheme="majorHAnsi" w:eastAsiaTheme="minorEastAsia" w:hAnsiTheme="majorHAnsi" w:cstheme="majorHAnsi"/>
          <w:i/>
          <w:iCs/>
          <w:color w:val="808080" w:themeColor="background1" w:themeShade="80"/>
          <w:sz w:val="16"/>
          <w:szCs w:val="16"/>
          <w:lang w:eastAsia="es-ES"/>
        </w:rPr>
        <w:t xml:space="preserve"> et al.</w:t>
      </w:r>
      <w:r w:rsidRPr="001167CB">
        <w:rPr>
          <w:rFonts w:asciiTheme="majorHAnsi" w:eastAsiaTheme="minorEastAsia" w:hAnsiTheme="majorHAnsi" w:cstheme="majorHAnsi"/>
          <w:color w:val="808080" w:themeColor="background1" w:themeShade="80"/>
          <w:sz w:val="16"/>
          <w:szCs w:val="16"/>
          <w:lang w:eastAsia="es-ES"/>
        </w:rPr>
        <w:t xml:space="preserve">, United States, Apr. 4, 2001, para. </w:t>
      </w:r>
      <w:r w:rsidRPr="001167CB">
        <w:rPr>
          <w:rFonts w:asciiTheme="majorHAnsi" w:eastAsiaTheme="minorEastAsia" w:hAnsiTheme="majorHAnsi" w:cstheme="majorHAnsi"/>
          <w:color w:val="808080" w:themeColor="background1" w:themeShade="80"/>
          <w:sz w:val="16"/>
          <w:szCs w:val="16"/>
          <w:lang w:val="pt-BR" w:eastAsia="es-ES"/>
        </w:rPr>
        <w:t>243).</w:t>
      </w:r>
    </w:p>
  </w:footnote>
  <w:footnote w:id="616">
    <w:p w14:paraId="0C5F6F9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pt-BR"/>
        </w:rPr>
        <w:t xml:space="preserve"> </w:t>
      </w:r>
      <w:r w:rsidRPr="001167CB">
        <w:rPr>
          <w:rFonts w:asciiTheme="majorHAnsi" w:hAnsiTheme="majorHAnsi" w:cstheme="majorHAnsi"/>
          <w:color w:val="808080" w:themeColor="background1" w:themeShade="80"/>
          <w:sz w:val="16"/>
          <w:szCs w:val="16"/>
          <w:lang w:val="pt-BR"/>
        </w:rPr>
        <w:tab/>
        <w:t xml:space="preserve">Id. (citing IACHR, Report No. </w:t>
      </w:r>
      <w:r w:rsidRPr="001167CB">
        <w:rPr>
          <w:rFonts w:asciiTheme="majorHAnsi" w:hAnsiTheme="majorHAnsi" w:cstheme="majorHAnsi"/>
          <w:color w:val="808080" w:themeColor="background1" w:themeShade="80"/>
          <w:sz w:val="16"/>
          <w:szCs w:val="16"/>
          <w:lang w:val="pt-BR"/>
        </w:rPr>
        <w:t xml:space="preserve">80/11, </w:t>
      </w:r>
      <w:r>
        <w:rPr>
          <w:rStyle w:val="Hyperlink"/>
          <w:rFonts w:asciiTheme="majorHAnsi" w:hAnsiTheme="majorHAnsi" w:cstheme="majorHAnsi"/>
          <w:i/>
          <w:color w:val="808080" w:themeColor="background1" w:themeShade="80"/>
          <w:sz w:val="16"/>
          <w:szCs w:val="16"/>
          <w:lang w:val="pt-BR"/>
        </w:rPr>
        <w:fldChar w:fldCharType="begin"/>
      </w:r>
      <w:r>
        <w:rPr>
          <w:rStyle w:val="Hyperlink"/>
          <w:rFonts w:asciiTheme="majorHAnsi" w:hAnsiTheme="majorHAnsi" w:cstheme="majorHAnsi"/>
          <w:i/>
          <w:color w:val="808080" w:themeColor="background1" w:themeShade="80"/>
          <w:sz w:val="16"/>
          <w:szCs w:val="16"/>
          <w:lang w:val="pt-BR"/>
        </w:rPr>
        <w:instrText xml:space="preserve"> HYPERLINK "http://www.oas.org/en/iachr/decisions/2011/uspu12626en.doc" </w:instrText>
      </w:r>
      <w:r>
        <w:rPr>
          <w:rStyle w:val="Hyperlink"/>
          <w:rFonts w:asciiTheme="majorHAnsi" w:hAnsiTheme="majorHAnsi" w:cstheme="majorHAnsi"/>
          <w:i/>
          <w:color w:val="808080" w:themeColor="background1" w:themeShade="80"/>
          <w:sz w:val="16"/>
          <w:szCs w:val="16"/>
          <w:lang w:val="pt-BR"/>
        </w:rPr>
        <w:fldChar w:fldCharType="separate"/>
      </w:r>
      <w:r w:rsidRPr="001167CB">
        <w:rPr>
          <w:rStyle w:val="Hyperlink"/>
          <w:rFonts w:asciiTheme="majorHAnsi" w:hAnsiTheme="majorHAnsi" w:cstheme="majorHAnsi"/>
          <w:i/>
          <w:color w:val="808080" w:themeColor="background1" w:themeShade="80"/>
          <w:sz w:val="16"/>
          <w:szCs w:val="16"/>
          <w:lang w:val="pt-BR"/>
        </w:rPr>
        <w:t>Jessica Lenahan</w:t>
      </w:r>
      <w:r>
        <w:rPr>
          <w:rStyle w:val="Hyperlink"/>
          <w:rFonts w:asciiTheme="majorHAnsi" w:hAnsiTheme="majorHAnsi" w:cstheme="majorHAnsi"/>
          <w:i/>
          <w:color w:val="808080" w:themeColor="background1" w:themeShade="80"/>
          <w:sz w:val="16"/>
          <w:szCs w:val="16"/>
          <w:lang w:val="pt-BR"/>
        </w:rPr>
        <w:fldChar w:fldCharType="end"/>
      </w:r>
      <w:r w:rsidRPr="001167CB">
        <w:rPr>
          <w:rFonts w:asciiTheme="majorHAnsi" w:hAnsiTheme="majorHAnsi" w:cstheme="majorHAnsi"/>
          <w:color w:val="808080" w:themeColor="background1" w:themeShade="80"/>
          <w:sz w:val="16"/>
          <w:szCs w:val="16"/>
          <w:lang w:val="pt-BR"/>
        </w:rPr>
        <w:t xml:space="preserve"> (2011)</w:t>
      </w:r>
      <w:r w:rsidRPr="001167CB">
        <w:rPr>
          <w:rFonts w:asciiTheme="majorHAnsi" w:eastAsiaTheme="minorEastAsia" w:hAnsiTheme="majorHAnsi" w:cstheme="majorHAnsi"/>
          <w:color w:val="808080" w:themeColor="background1" w:themeShade="80"/>
          <w:sz w:val="16"/>
          <w:szCs w:val="16"/>
          <w:lang w:val="pt-BR" w:eastAsia="es-ES"/>
        </w:rPr>
        <w:t>, para. 172;</w:t>
      </w:r>
      <w:r w:rsidRPr="001167CB">
        <w:rPr>
          <w:rFonts w:asciiTheme="majorHAnsi" w:hAnsiTheme="majorHAnsi" w:cstheme="majorHAnsi"/>
          <w:color w:val="808080" w:themeColor="background1" w:themeShade="80"/>
          <w:sz w:val="16"/>
          <w:szCs w:val="16"/>
          <w:lang w:val="pt-BR"/>
        </w:rPr>
        <w:t xml:space="preserve"> Report No. 54/01, </w:t>
      </w:r>
      <w:r w:rsidRPr="001167CB">
        <w:rPr>
          <w:rFonts w:asciiTheme="majorHAnsi" w:hAnsiTheme="majorHAnsi" w:cstheme="majorHAnsi"/>
          <w:i/>
          <w:color w:val="808080" w:themeColor="background1" w:themeShade="80"/>
          <w:sz w:val="16"/>
          <w:szCs w:val="16"/>
          <w:lang w:val="pt-BR"/>
        </w:rPr>
        <w:t>Maria da Penha</w:t>
      </w:r>
      <w:r w:rsidRPr="001167CB">
        <w:rPr>
          <w:rFonts w:asciiTheme="majorHAnsi" w:hAnsiTheme="majorHAnsi" w:cstheme="majorHAnsi"/>
          <w:color w:val="808080" w:themeColor="background1" w:themeShade="80"/>
          <w:sz w:val="16"/>
          <w:szCs w:val="16"/>
          <w:lang w:val="pt-BR"/>
        </w:rPr>
        <w:t xml:space="preserve"> (2001)</w:t>
      </w:r>
      <w:r w:rsidRPr="001167CB">
        <w:rPr>
          <w:rFonts w:asciiTheme="majorHAnsi" w:eastAsiaTheme="minorEastAsia" w:hAnsiTheme="majorHAnsi" w:cstheme="majorHAnsi"/>
          <w:color w:val="808080" w:themeColor="background1" w:themeShade="80"/>
          <w:sz w:val="16"/>
          <w:szCs w:val="16"/>
          <w:lang w:val="pt-BR" w:eastAsia="es-ES"/>
        </w:rPr>
        <w:t xml:space="preserve">, para. </w:t>
      </w:r>
      <w:r w:rsidRPr="001167CB">
        <w:rPr>
          <w:rFonts w:asciiTheme="majorHAnsi" w:eastAsiaTheme="minorEastAsia" w:hAnsiTheme="majorHAnsi" w:cstheme="majorHAnsi"/>
          <w:color w:val="808080" w:themeColor="background1" w:themeShade="80"/>
          <w:sz w:val="16"/>
          <w:szCs w:val="16"/>
          <w:lang w:eastAsia="es-ES"/>
        </w:rPr>
        <w:t>37).</w:t>
      </w:r>
    </w:p>
  </w:footnote>
  <w:footnote w:id="617">
    <w:p w14:paraId="4449D51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pt-BR"/>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(citing IACHR, Report No. 80/11, </w:t>
      </w:r>
      <w:hyperlink r:id="rId668" w:history="1">
        <w:r w:rsidRPr="001167CB">
          <w:rPr>
            <w:rStyle w:val="Hyperlink"/>
            <w:rFonts w:asciiTheme="majorHAnsi" w:hAnsiTheme="majorHAnsi" w:cstheme="majorHAnsi"/>
            <w:i/>
            <w:color w:val="808080" w:themeColor="background1" w:themeShade="80"/>
            <w:sz w:val="16"/>
            <w:szCs w:val="16"/>
          </w:rPr>
          <w:t xml:space="preserve">Jessica </w:t>
        </w:r>
        <w:proofErr w:type="spellStart"/>
        <w:r w:rsidRPr="001167CB">
          <w:rPr>
            <w:rStyle w:val="Hyperlink"/>
            <w:rFonts w:asciiTheme="majorHAnsi" w:hAnsiTheme="majorHAnsi" w:cstheme="majorHAnsi"/>
            <w:i/>
            <w:color w:val="808080" w:themeColor="background1" w:themeShade="80"/>
            <w:sz w:val="16"/>
            <w:szCs w:val="16"/>
          </w:rPr>
          <w:t>Lenahan</w:t>
        </w:r>
        <w:proofErr w:type="spellEnd"/>
      </w:hyperlink>
      <w:r w:rsidRPr="001167CB">
        <w:rPr>
          <w:rFonts w:asciiTheme="majorHAnsi" w:hAnsiTheme="majorHAnsi" w:cstheme="majorHAnsi"/>
          <w:color w:val="808080" w:themeColor="background1" w:themeShade="80"/>
          <w:sz w:val="16"/>
          <w:szCs w:val="16"/>
        </w:rPr>
        <w:t xml:space="preserve"> (2011)</w:t>
      </w:r>
      <w:r w:rsidRPr="001167CB">
        <w:rPr>
          <w:rFonts w:asciiTheme="majorHAnsi" w:eastAsiaTheme="minorEastAsia" w:hAnsiTheme="majorHAnsi" w:cstheme="majorHAnsi"/>
          <w:color w:val="808080" w:themeColor="background1" w:themeShade="80"/>
          <w:sz w:val="16"/>
          <w:szCs w:val="16"/>
          <w:lang w:eastAsia="es-ES"/>
        </w:rPr>
        <w:t>, para. 172;</w:t>
      </w:r>
      <w:r w:rsidRPr="001167CB">
        <w:rPr>
          <w:rFonts w:asciiTheme="majorHAnsi" w:hAnsiTheme="majorHAnsi" w:cstheme="majorHAnsi"/>
          <w:color w:val="808080" w:themeColor="background1" w:themeShade="80"/>
          <w:sz w:val="16"/>
          <w:szCs w:val="16"/>
        </w:rPr>
        <w:t xml:space="preserve"> Report 40/04, </w:t>
      </w:r>
      <w:hyperlink r:id="rId669" w:history="1">
        <w:r w:rsidRPr="001167CB">
          <w:rPr>
            <w:rStyle w:val="Hyperlink"/>
            <w:rFonts w:asciiTheme="majorHAnsi" w:hAnsiTheme="majorHAnsi" w:cstheme="majorHAnsi"/>
            <w:i/>
            <w:color w:val="808080" w:themeColor="background1" w:themeShade="80"/>
            <w:sz w:val="16"/>
            <w:szCs w:val="16"/>
          </w:rPr>
          <w:t>Maya Indigenous Community</w:t>
        </w:r>
      </w:hyperlink>
      <w:r w:rsidRPr="001167CB">
        <w:rPr>
          <w:rFonts w:asciiTheme="majorHAnsi" w:hAnsiTheme="majorHAnsi" w:cstheme="majorHAnsi"/>
          <w:color w:val="808080" w:themeColor="background1" w:themeShade="80"/>
          <w:sz w:val="16"/>
          <w:szCs w:val="16"/>
        </w:rPr>
        <w:t xml:space="preserve"> (2004)</w:t>
      </w:r>
      <w:r w:rsidRPr="001167CB">
        <w:rPr>
          <w:rFonts w:asciiTheme="majorHAnsi" w:eastAsiaTheme="minorEastAsia" w:hAnsiTheme="majorHAnsi" w:cstheme="majorHAnsi"/>
          <w:color w:val="808080" w:themeColor="background1" w:themeShade="80"/>
          <w:sz w:val="16"/>
          <w:szCs w:val="16"/>
          <w:lang w:eastAsia="es-ES"/>
        </w:rPr>
        <w:t xml:space="preserve">, para. </w:t>
      </w:r>
      <w:r w:rsidRPr="001167CB">
        <w:rPr>
          <w:rFonts w:asciiTheme="majorHAnsi" w:eastAsiaTheme="minorEastAsia" w:hAnsiTheme="majorHAnsi" w:cstheme="majorHAnsi"/>
          <w:color w:val="808080" w:themeColor="background1" w:themeShade="80"/>
          <w:sz w:val="16"/>
          <w:szCs w:val="16"/>
          <w:lang w:val="pt-BR" w:eastAsia="es-ES"/>
        </w:rPr>
        <w:t>174;</w:t>
      </w:r>
      <w:r w:rsidRPr="001167CB">
        <w:rPr>
          <w:rFonts w:asciiTheme="majorHAnsi" w:hAnsiTheme="majorHAnsi" w:cstheme="majorHAnsi"/>
          <w:color w:val="808080" w:themeColor="background1" w:themeShade="80"/>
          <w:sz w:val="16"/>
          <w:szCs w:val="16"/>
          <w:lang w:val="pt-BR"/>
        </w:rPr>
        <w:t xml:space="preserve"> Report No. 54/01, </w:t>
      </w:r>
      <w:r w:rsidRPr="001167CB">
        <w:rPr>
          <w:rFonts w:asciiTheme="majorHAnsi" w:hAnsiTheme="majorHAnsi" w:cstheme="majorHAnsi"/>
          <w:i/>
          <w:color w:val="808080" w:themeColor="background1" w:themeShade="80"/>
          <w:sz w:val="16"/>
          <w:szCs w:val="16"/>
          <w:lang w:val="pt-BR"/>
        </w:rPr>
        <w:t>Maria da Penha</w:t>
      </w:r>
      <w:r w:rsidRPr="001167CB">
        <w:rPr>
          <w:rFonts w:asciiTheme="majorHAnsi" w:hAnsiTheme="majorHAnsi" w:cstheme="majorHAnsi"/>
          <w:color w:val="808080" w:themeColor="background1" w:themeShade="80"/>
          <w:sz w:val="16"/>
          <w:szCs w:val="16"/>
          <w:lang w:val="pt-BR"/>
        </w:rPr>
        <w:t xml:space="preserve"> (2001)</w:t>
      </w:r>
      <w:r w:rsidRPr="001167CB">
        <w:rPr>
          <w:rFonts w:asciiTheme="majorHAnsi" w:eastAsiaTheme="minorEastAsia" w:hAnsiTheme="majorHAnsi" w:cstheme="majorHAnsi"/>
          <w:color w:val="808080" w:themeColor="background1" w:themeShade="80"/>
          <w:sz w:val="16"/>
          <w:szCs w:val="16"/>
          <w:lang w:val="pt-BR" w:eastAsia="es-ES"/>
        </w:rPr>
        <w:t>, para. 37).</w:t>
      </w:r>
    </w:p>
  </w:footnote>
  <w:footnote w:id="618">
    <w:p w14:paraId="5F7FD0C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pt-BR"/>
        </w:rPr>
        <w:t xml:space="preserve"> </w:t>
      </w:r>
      <w:r w:rsidRPr="001167CB">
        <w:rPr>
          <w:rFonts w:asciiTheme="majorHAnsi" w:hAnsiTheme="majorHAnsi" w:cstheme="majorHAnsi"/>
          <w:color w:val="808080" w:themeColor="background1" w:themeShade="80"/>
          <w:sz w:val="16"/>
          <w:szCs w:val="16"/>
          <w:lang w:val="pt-BR"/>
        </w:rPr>
        <w:tab/>
        <w:t xml:space="preserve">Id. at para. 99 (citing, </w:t>
      </w:r>
      <w:r w:rsidRPr="001167CB">
        <w:rPr>
          <w:rFonts w:asciiTheme="majorHAnsi" w:hAnsiTheme="majorHAnsi" w:cstheme="majorHAnsi"/>
          <w:i/>
          <w:color w:val="808080" w:themeColor="background1" w:themeShade="80"/>
          <w:sz w:val="16"/>
          <w:szCs w:val="16"/>
          <w:lang w:val="pt-BR"/>
        </w:rPr>
        <w:t>inter alia</w:t>
      </w:r>
      <w:r w:rsidRPr="001167CB">
        <w:rPr>
          <w:rFonts w:asciiTheme="majorHAnsi" w:hAnsiTheme="majorHAnsi" w:cstheme="majorHAnsi"/>
          <w:color w:val="808080" w:themeColor="background1" w:themeShade="80"/>
          <w:sz w:val="16"/>
          <w:szCs w:val="16"/>
          <w:lang w:val="pt-BR"/>
        </w:rPr>
        <w:t xml:space="preserve">, IACHR, Report No. </w:t>
      </w:r>
      <w:r w:rsidRPr="001167CB">
        <w:rPr>
          <w:rFonts w:asciiTheme="majorHAnsi" w:hAnsiTheme="majorHAnsi" w:cstheme="majorHAnsi"/>
          <w:color w:val="808080" w:themeColor="background1" w:themeShade="80"/>
          <w:sz w:val="16"/>
          <w:szCs w:val="16"/>
          <w:lang w:val="pt-BR"/>
        </w:rPr>
        <w:t xml:space="preserve">80/11, </w:t>
      </w:r>
      <w:r>
        <w:rPr>
          <w:rStyle w:val="Hyperlink"/>
          <w:rFonts w:asciiTheme="majorHAnsi" w:hAnsiTheme="majorHAnsi" w:cstheme="majorHAnsi"/>
          <w:i/>
          <w:color w:val="808080" w:themeColor="background1" w:themeShade="80"/>
          <w:sz w:val="16"/>
          <w:szCs w:val="16"/>
          <w:lang w:val="pt-BR"/>
        </w:rPr>
        <w:fldChar w:fldCharType="begin"/>
      </w:r>
      <w:r>
        <w:rPr>
          <w:rStyle w:val="Hyperlink"/>
          <w:rFonts w:asciiTheme="majorHAnsi" w:hAnsiTheme="majorHAnsi" w:cstheme="majorHAnsi"/>
          <w:i/>
          <w:color w:val="808080" w:themeColor="background1" w:themeShade="80"/>
          <w:sz w:val="16"/>
          <w:szCs w:val="16"/>
          <w:lang w:val="pt-BR"/>
        </w:rPr>
        <w:instrText xml:space="preserve"> HYPERLINK "http://www.oas.org/en/iachr/decisions/2011/uspu12626en.doc" </w:instrText>
      </w:r>
      <w:r>
        <w:rPr>
          <w:rStyle w:val="Hyperlink"/>
          <w:rFonts w:asciiTheme="majorHAnsi" w:hAnsiTheme="majorHAnsi" w:cstheme="majorHAnsi"/>
          <w:i/>
          <w:color w:val="808080" w:themeColor="background1" w:themeShade="80"/>
          <w:sz w:val="16"/>
          <w:szCs w:val="16"/>
          <w:lang w:val="pt-BR"/>
        </w:rPr>
        <w:fldChar w:fldCharType="separate"/>
      </w:r>
      <w:r w:rsidRPr="001167CB">
        <w:rPr>
          <w:rStyle w:val="Hyperlink"/>
          <w:rFonts w:asciiTheme="majorHAnsi" w:hAnsiTheme="majorHAnsi" w:cstheme="majorHAnsi"/>
          <w:i/>
          <w:color w:val="808080" w:themeColor="background1" w:themeShade="80"/>
          <w:sz w:val="16"/>
          <w:szCs w:val="16"/>
          <w:lang w:val="pt-BR"/>
        </w:rPr>
        <w:t>Jessica Lenahan</w:t>
      </w:r>
      <w:r>
        <w:rPr>
          <w:rStyle w:val="Hyperlink"/>
          <w:rFonts w:asciiTheme="majorHAnsi" w:hAnsiTheme="majorHAnsi" w:cstheme="majorHAnsi"/>
          <w:i/>
          <w:color w:val="808080" w:themeColor="background1" w:themeShade="80"/>
          <w:sz w:val="16"/>
          <w:szCs w:val="16"/>
          <w:lang w:val="pt-BR"/>
        </w:rPr>
        <w:fldChar w:fldCharType="end"/>
      </w:r>
      <w:r w:rsidRPr="001167CB">
        <w:rPr>
          <w:rFonts w:asciiTheme="majorHAnsi" w:hAnsiTheme="majorHAnsi" w:cstheme="majorHAnsi"/>
          <w:color w:val="808080" w:themeColor="background1" w:themeShade="80"/>
          <w:sz w:val="16"/>
          <w:szCs w:val="16"/>
          <w:lang w:val="pt-BR"/>
        </w:rPr>
        <w:t xml:space="preserve"> (2011)</w:t>
      </w:r>
      <w:r w:rsidRPr="001167CB">
        <w:rPr>
          <w:rFonts w:asciiTheme="majorHAnsi" w:eastAsiaTheme="minorEastAsia" w:hAnsiTheme="majorHAnsi" w:cstheme="majorHAnsi"/>
          <w:color w:val="808080" w:themeColor="background1" w:themeShade="80"/>
          <w:sz w:val="16"/>
          <w:szCs w:val="16"/>
          <w:lang w:val="pt-BR" w:eastAsia="es-ES"/>
        </w:rPr>
        <w:t xml:space="preserve">, para. </w:t>
      </w:r>
      <w:r w:rsidRPr="001167CB">
        <w:rPr>
          <w:rFonts w:asciiTheme="majorHAnsi" w:eastAsiaTheme="minorEastAsia" w:hAnsiTheme="majorHAnsi" w:cstheme="majorHAnsi"/>
          <w:color w:val="808080" w:themeColor="background1" w:themeShade="80"/>
          <w:sz w:val="16"/>
          <w:szCs w:val="16"/>
          <w:lang w:eastAsia="es-ES"/>
        </w:rPr>
        <w:t xml:space="preserve">173; Report Nº 81/10, Case 12.562, </w:t>
      </w:r>
      <w:r w:rsidRPr="001167CB">
        <w:rPr>
          <w:rFonts w:asciiTheme="majorHAnsi" w:eastAsiaTheme="minorEastAsia" w:hAnsiTheme="majorHAnsi" w:cstheme="majorHAnsi"/>
          <w:i/>
          <w:iCs/>
          <w:color w:val="808080" w:themeColor="background1" w:themeShade="80"/>
          <w:sz w:val="16"/>
          <w:szCs w:val="16"/>
          <w:lang w:eastAsia="es-ES"/>
        </w:rPr>
        <w:t xml:space="preserve">Wayne Smith, Hugo </w:t>
      </w:r>
      <w:proofErr w:type="spellStart"/>
      <w:r w:rsidRPr="001167CB">
        <w:rPr>
          <w:rFonts w:asciiTheme="majorHAnsi" w:eastAsiaTheme="minorEastAsia" w:hAnsiTheme="majorHAnsi" w:cstheme="majorHAnsi"/>
          <w:i/>
          <w:iCs/>
          <w:color w:val="808080" w:themeColor="background1" w:themeShade="80"/>
          <w:sz w:val="16"/>
          <w:szCs w:val="16"/>
          <w:lang w:eastAsia="es-ES"/>
        </w:rPr>
        <w:t>Armendatriz</w:t>
      </w:r>
      <w:proofErr w:type="spellEnd"/>
      <w:r w:rsidRPr="001167CB">
        <w:rPr>
          <w:rFonts w:asciiTheme="majorHAnsi" w:eastAsiaTheme="minorEastAsia" w:hAnsiTheme="majorHAnsi" w:cstheme="majorHAnsi"/>
          <w:i/>
          <w:iCs/>
          <w:color w:val="808080" w:themeColor="background1" w:themeShade="80"/>
          <w:sz w:val="16"/>
          <w:szCs w:val="16"/>
          <w:lang w:eastAsia="es-ES"/>
        </w:rPr>
        <w:t xml:space="preserve">, et al., </w:t>
      </w:r>
      <w:r w:rsidRPr="001167CB">
        <w:rPr>
          <w:rFonts w:asciiTheme="majorHAnsi" w:eastAsiaTheme="minorEastAsia" w:hAnsiTheme="majorHAnsi" w:cstheme="majorHAnsi"/>
          <w:color w:val="808080" w:themeColor="background1" w:themeShade="80"/>
          <w:sz w:val="16"/>
          <w:szCs w:val="16"/>
          <w:lang w:eastAsia="es-ES"/>
        </w:rPr>
        <w:t>United States, July 12, 2010, para. 62).</w:t>
      </w:r>
    </w:p>
  </w:footnote>
  <w:footnote w:id="619">
    <w:p w14:paraId="4578655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(citing </w:t>
      </w:r>
      <w:r w:rsidRPr="001167CB">
        <w:rPr>
          <w:rFonts w:asciiTheme="majorHAnsi" w:eastAsiaTheme="minorEastAsia" w:hAnsiTheme="majorHAnsi" w:cstheme="majorHAnsi"/>
          <w:color w:val="808080" w:themeColor="background1" w:themeShade="80"/>
          <w:sz w:val="16"/>
          <w:szCs w:val="16"/>
          <w:lang w:eastAsia="es-ES"/>
        </w:rPr>
        <w:t xml:space="preserve">IACHR, </w:t>
      </w:r>
      <w:r w:rsidRPr="001167CB">
        <w:rPr>
          <w:rFonts w:asciiTheme="majorHAnsi" w:eastAsiaTheme="minorEastAsia" w:hAnsiTheme="majorHAnsi" w:cstheme="majorHAnsi"/>
          <w:i/>
          <w:iCs/>
          <w:color w:val="808080" w:themeColor="background1" w:themeShade="80"/>
          <w:sz w:val="16"/>
          <w:szCs w:val="16"/>
          <w:lang w:eastAsia="es-ES"/>
        </w:rPr>
        <w:t>Access to Justice as a Guarantee of Economic, Social, and Cultural Rights</w:t>
      </w:r>
      <w:r w:rsidRPr="001167CB">
        <w:rPr>
          <w:rFonts w:asciiTheme="majorHAnsi" w:eastAsiaTheme="minorEastAsia" w:hAnsiTheme="majorHAnsi" w:cstheme="majorHAnsi"/>
          <w:color w:val="808080" w:themeColor="background1" w:themeShade="80"/>
          <w:sz w:val="16"/>
          <w:szCs w:val="16"/>
          <w:lang w:eastAsia="es-ES"/>
        </w:rPr>
        <w:t>, OEA/</w:t>
      </w:r>
      <w:proofErr w:type="spellStart"/>
      <w:r w:rsidRPr="001167CB">
        <w:rPr>
          <w:rFonts w:asciiTheme="majorHAnsi" w:eastAsiaTheme="minorEastAsia" w:hAnsiTheme="majorHAnsi" w:cstheme="majorHAnsi"/>
          <w:color w:val="808080" w:themeColor="background1" w:themeShade="80"/>
          <w:sz w:val="16"/>
          <w:szCs w:val="16"/>
          <w:lang w:eastAsia="es-ES"/>
        </w:rPr>
        <w:t>Ser.L</w:t>
      </w:r>
      <w:proofErr w:type="spellEnd"/>
      <w:r w:rsidRPr="001167CB">
        <w:rPr>
          <w:rFonts w:asciiTheme="majorHAnsi" w:eastAsiaTheme="minorEastAsia" w:hAnsiTheme="majorHAnsi" w:cstheme="majorHAnsi"/>
          <w:color w:val="808080" w:themeColor="background1" w:themeShade="80"/>
          <w:sz w:val="16"/>
          <w:szCs w:val="16"/>
          <w:lang w:eastAsia="es-ES"/>
        </w:rPr>
        <w:t>/V/II.129 Doc.4 (2007) (hereinafter “IACHR Access to Justice Report”), para. 245 (citation omitted)).</w:t>
      </w:r>
    </w:p>
  </w:footnote>
  <w:footnote w:id="620">
    <w:p w14:paraId="36D388C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(citing </w:t>
      </w:r>
      <w:r w:rsidRPr="001167CB">
        <w:rPr>
          <w:rFonts w:asciiTheme="majorHAnsi" w:eastAsiaTheme="minorEastAsia" w:hAnsiTheme="majorHAnsi" w:cstheme="majorHAnsi"/>
          <w:color w:val="808080" w:themeColor="background1" w:themeShade="80"/>
          <w:sz w:val="16"/>
          <w:szCs w:val="16"/>
          <w:lang w:eastAsia="es-ES"/>
        </w:rPr>
        <w:t>IACHR Access to Justice Report, paras. 246-47).</w:t>
      </w:r>
    </w:p>
  </w:footnote>
  <w:footnote w:id="621">
    <w:p w14:paraId="6C33F90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at para. 100 (citing </w:t>
      </w:r>
      <w:r w:rsidRPr="001167CB">
        <w:rPr>
          <w:rFonts w:asciiTheme="majorHAnsi" w:eastAsiaTheme="minorEastAsia" w:hAnsiTheme="majorHAnsi" w:cstheme="majorHAnsi"/>
          <w:color w:val="808080" w:themeColor="background1" w:themeShade="80"/>
          <w:sz w:val="16"/>
          <w:szCs w:val="16"/>
          <w:lang w:eastAsia="es-ES"/>
        </w:rPr>
        <w:t>IACHR Access to Justice Report, para. 251).</w:t>
      </w:r>
    </w:p>
  </w:footnote>
  <w:footnote w:id="622">
    <w:p w14:paraId="20E5C2E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(citing </w:t>
      </w:r>
      <w:r w:rsidRPr="001167CB">
        <w:rPr>
          <w:rFonts w:asciiTheme="majorHAnsi" w:eastAsiaTheme="minorEastAsia" w:hAnsiTheme="majorHAnsi" w:cstheme="majorHAnsi"/>
          <w:color w:val="808080" w:themeColor="background1" w:themeShade="80"/>
          <w:sz w:val="16"/>
          <w:szCs w:val="16"/>
          <w:lang w:eastAsia="es-ES"/>
        </w:rPr>
        <w:t>IACHR Access to Justice Report, para. 251).</w:t>
      </w:r>
    </w:p>
  </w:footnote>
  <w:footnote w:id="623">
    <w:p w14:paraId="29741D9F" w14:textId="2D3FADC1"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supra</w:t>
      </w:r>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lang w:val="es-MX"/>
        </w:rPr>
        <w:fldChar w:fldCharType="begin"/>
      </w:r>
      <w:r w:rsidRPr="001167CB">
        <w:rPr>
          <w:rFonts w:asciiTheme="majorHAnsi" w:hAnsiTheme="majorHAnsi" w:cstheme="majorHAnsi"/>
          <w:color w:val="808080" w:themeColor="background1" w:themeShade="80"/>
          <w:sz w:val="16"/>
          <w:szCs w:val="16"/>
        </w:rPr>
        <w:instrText xml:space="preserve"> REF _Ref507431642 \r \h  \* MERGEFORMAT </w:instrText>
      </w:r>
      <w:r w:rsidRPr="001167CB">
        <w:rPr>
          <w:rFonts w:asciiTheme="majorHAnsi" w:hAnsiTheme="majorHAnsi" w:cstheme="majorHAnsi"/>
          <w:color w:val="808080" w:themeColor="background1" w:themeShade="80"/>
          <w:sz w:val="16"/>
          <w:szCs w:val="16"/>
          <w:lang w:val="es-MX"/>
        </w:rPr>
      </w:r>
      <w:r w:rsidRPr="001167CB">
        <w:rPr>
          <w:rFonts w:asciiTheme="majorHAnsi" w:hAnsiTheme="majorHAnsi" w:cstheme="majorHAnsi"/>
          <w:color w:val="808080" w:themeColor="background1" w:themeShade="80"/>
          <w:sz w:val="16"/>
          <w:szCs w:val="16"/>
          <w:lang w:val="es-MX"/>
        </w:rPr>
        <w:fldChar w:fldCharType="separate"/>
      </w:r>
      <w:r w:rsidRPr="001167CB">
        <w:rPr>
          <w:rFonts w:asciiTheme="majorHAnsi" w:hAnsiTheme="majorHAnsi" w:cstheme="majorHAnsi"/>
          <w:color w:val="808080" w:themeColor="background1" w:themeShade="80"/>
          <w:sz w:val="16"/>
          <w:szCs w:val="16"/>
        </w:rPr>
        <w:t>114</w:t>
      </w:r>
      <w:r w:rsidRPr="001167CB">
        <w:rPr>
          <w:rFonts w:asciiTheme="majorHAnsi" w:hAnsiTheme="majorHAnsi" w:cstheme="majorHAnsi"/>
          <w:color w:val="808080" w:themeColor="background1" w:themeShade="80"/>
          <w:sz w:val="16"/>
          <w:szCs w:val="16"/>
          <w:lang w:val="es-MX"/>
        </w:rPr>
        <w:fldChar w:fldCharType="end"/>
      </w:r>
      <w:r w:rsidRPr="001167CB">
        <w:rPr>
          <w:rFonts w:asciiTheme="majorHAnsi" w:hAnsiTheme="majorHAnsi" w:cstheme="majorHAnsi"/>
          <w:color w:val="808080" w:themeColor="background1" w:themeShade="80"/>
          <w:sz w:val="16"/>
          <w:szCs w:val="16"/>
        </w:rPr>
        <w:t>.</w:t>
      </w:r>
    </w:p>
  </w:footnote>
  <w:footnote w:id="624">
    <w:p w14:paraId="66A12B96"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625">
    <w:p w14:paraId="5011F6A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s-US"/>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Report No. 50/16, </w:t>
      </w:r>
      <w:hyperlink r:id="rId670" w:history="1">
        <w:r w:rsidRPr="001167CB">
          <w:rPr>
            <w:rStyle w:val="Hyperlink"/>
            <w:rFonts w:asciiTheme="majorHAnsi" w:hAnsiTheme="majorHAnsi" w:cstheme="majorHAnsi"/>
            <w:i/>
            <w:color w:val="808080" w:themeColor="background1" w:themeShade="80"/>
            <w:sz w:val="16"/>
            <w:szCs w:val="16"/>
          </w:rPr>
          <w:t>Undocumented Workers</w:t>
        </w:r>
      </w:hyperlink>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(2016), para 101 (citing IACHR, Report No. 80/11, </w:t>
      </w:r>
      <w:hyperlink r:id="rId671" w:history="1">
        <w:r w:rsidRPr="001167CB">
          <w:rPr>
            <w:rStyle w:val="Hyperlink"/>
            <w:rFonts w:asciiTheme="majorHAnsi" w:hAnsiTheme="majorHAnsi" w:cstheme="majorHAnsi"/>
            <w:i/>
            <w:color w:val="808080" w:themeColor="background1" w:themeShade="80"/>
            <w:sz w:val="16"/>
            <w:szCs w:val="16"/>
          </w:rPr>
          <w:t xml:space="preserve">Jessica </w:t>
        </w:r>
        <w:proofErr w:type="spellStart"/>
        <w:r w:rsidRPr="001167CB">
          <w:rPr>
            <w:rStyle w:val="Hyperlink"/>
            <w:rFonts w:asciiTheme="majorHAnsi" w:hAnsiTheme="majorHAnsi" w:cstheme="majorHAnsi"/>
            <w:i/>
            <w:color w:val="808080" w:themeColor="background1" w:themeShade="80"/>
            <w:sz w:val="16"/>
            <w:szCs w:val="16"/>
          </w:rPr>
          <w:t>Lenahan</w:t>
        </w:r>
        <w:proofErr w:type="spellEnd"/>
      </w:hyperlink>
      <w:r w:rsidRPr="001167CB">
        <w:rPr>
          <w:rFonts w:asciiTheme="majorHAnsi" w:hAnsiTheme="majorHAnsi" w:cstheme="majorHAnsi"/>
          <w:color w:val="808080" w:themeColor="background1" w:themeShade="80"/>
          <w:sz w:val="16"/>
          <w:szCs w:val="16"/>
        </w:rPr>
        <w:t xml:space="preserve"> (2011)</w:t>
      </w:r>
      <w:r w:rsidRPr="001167CB">
        <w:rPr>
          <w:rFonts w:asciiTheme="majorHAnsi" w:eastAsiaTheme="minorEastAsia" w:hAnsiTheme="majorHAnsi" w:cstheme="majorHAnsi"/>
          <w:color w:val="808080" w:themeColor="background1" w:themeShade="80"/>
          <w:sz w:val="16"/>
          <w:szCs w:val="16"/>
          <w:lang w:eastAsia="es-ES"/>
        </w:rPr>
        <w:t xml:space="preserve">, para. 173; IACHR, </w:t>
      </w:r>
      <w:r w:rsidRPr="001167CB">
        <w:rPr>
          <w:rFonts w:asciiTheme="majorHAnsi" w:eastAsiaTheme="minorEastAsia" w:hAnsiTheme="majorHAnsi" w:cstheme="majorHAnsi"/>
          <w:i/>
          <w:iCs/>
          <w:color w:val="808080" w:themeColor="background1" w:themeShade="80"/>
          <w:sz w:val="16"/>
          <w:szCs w:val="16"/>
          <w:lang w:eastAsia="es-ES"/>
        </w:rPr>
        <w:t>The Situation of</w:t>
      </w:r>
      <w:r w:rsidRPr="001167CB">
        <w:rPr>
          <w:rFonts w:asciiTheme="majorHAnsi" w:hAnsiTheme="majorHAnsi" w:cstheme="majorHAnsi"/>
          <w:i/>
          <w:iCs/>
          <w:color w:val="808080" w:themeColor="background1" w:themeShade="80"/>
          <w:sz w:val="16"/>
          <w:szCs w:val="16"/>
        </w:rPr>
        <w:t xml:space="preserve"> the Rights of Women in Ciudad Juarez</w:t>
      </w:r>
      <w:r w:rsidRPr="001167CB">
        <w:rPr>
          <w:rFonts w:asciiTheme="majorHAnsi" w:hAnsiTheme="majorHAnsi" w:cstheme="majorHAnsi"/>
          <w:color w:val="808080" w:themeColor="background1" w:themeShade="80"/>
          <w:sz w:val="16"/>
          <w:szCs w:val="16"/>
        </w:rPr>
        <w:t xml:space="preserve">, OEA/Ser. </w:t>
      </w:r>
      <w:r w:rsidRPr="001167CB">
        <w:rPr>
          <w:rFonts w:asciiTheme="majorHAnsi" w:hAnsiTheme="majorHAnsi" w:cstheme="majorHAnsi"/>
          <w:color w:val="808080" w:themeColor="background1" w:themeShade="80"/>
          <w:sz w:val="16"/>
          <w:szCs w:val="16"/>
          <w:lang w:val="es-US"/>
        </w:rPr>
        <w:t xml:space="preserve">L/V/II.117. Doc. 44 (2003), para. 51).  </w:t>
      </w:r>
    </w:p>
  </w:footnote>
  <w:footnote w:id="626">
    <w:p w14:paraId="5C2F4FD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s-US"/>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s-US"/>
        </w:rPr>
        <w:t xml:space="preserve"> </w:t>
      </w:r>
      <w:r w:rsidRPr="001167CB">
        <w:rPr>
          <w:rFonts w:asciiTheme="majorHAnsi" w:hAnsiTheme="majorHAnsi" w:cstheme="majorHAnsi"/>
          <w:color w:val="808080" w:themeColor="background1" w:themeShade="80"/>
          <w:sz w:val="16"/>
          <w:szCs w:val="16"/>
          <w:lang w:val="es-US"/>
        </w:rPr>
        <w:tab/>
        <w:t>Id.</w:t>
      </w:r>
    </w:p>
  </w:footnote>
  <w:footnote w:id="627">
    <w:p w14:paraId="1E178ECE" w14:textId="649E6202"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s-US"/>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s-US"/>
        </w:rPr>
        <w:t xml:space="preserve"> </w:t>
      </w:r>
      <w:r w:rsidRPr="001167CB">
        <w:rPr>
          <w:rFonts w:asciiTheme="majorHAnsi" w:hAnsiTheme="majorHAnsi" w:cstheme="majorHAnsi"/>
          <w:color w:val="808080" w:themeColor="background1" w:themeShade="80"/>
          <w:sz w:val="16"/>
          <w:szCs w:val="16"/>
          <w:lang w:val="es-US"/>
        </w:rPr>
        <w:tab/>
      </w:r>
      <w:proofErr w:type="spellStart"/>
      <w:r w:rsidRPr="001167CB">
        <w:rPr>
          <w:rFonts w:asciiTheme="majorHAnsi" w:hAnsiTheme="majorHAnsi" w:cstheme="majorHAnsi"/>
          <w:i/>
          <w:color w:val="808080" w:themeColor="background1" w:themeShade="80"/>
          <w:sz w:val="16"/>
          <w:szCs w:val="16"/>
          <w:lang w:val="es-US"/>
        </w:rPr>
        <w:t>See</w:t>
      </w:r>
      <w:proofErr w:type="spellEnd"/>
      <w:r w:rsidRPr="001167CB">
        <w:rPr>
          <w:rFonts w:asciiTheme="majorHAnsi" w:hAnsiTheme="majorHAnsi" w:cstheme="majorHAnsi"/>
          <w:i/>
          <w:color w:val="808080" w:themeColor="background1" w:themeShade="80"/>
          <w:sz w:val="16"/>
          <w:szCs w:val="16"/>
          <w:lang w:val="es-US"/>
        </w:rPr>
        <w:t xml:space="preserve"> supra</w:t>
      </w:r>
      <w:r w:rsidRPr="001167CB">
        <w:rPr>
          <w:rFonts w:asciiTheme="majorHAnsi" w:hAnsiTheme="majorHAnsi" w:cstheme="majorHAnsi"/>
          <w:color w:val="808080" w:themeColor="background1" w:themeShade="80"/>
          <w:sz w:val="16"/>
          <w:szCs w:val="16"/>
          <w:lang w:val="es-US"/>
        </w:rPr>
        <w:t xml:space="preserve"> paras. </w:t>
      </w:r>
      <w:r w:rsidRPr="001167CB">
        <w:rPr>
          <w:rFonts w:asciiTheme="majorHAnsi" w:hAnsiTheme="majorHAnsi" w:cstheme="majorHAnsi"/>
          <w:color w:val="808080" w:themeColor="background1" w:themeShade="80"/>
          <w:sz w:val="16"/>
          <w:szCs w:val="16"/>
          <w:lang w:val="es-MX"/>
        </w:rPr>
        <w:fldChar w:fldCharType="begin"/>
      </w:r>
      <w:r w:rsidRPr="001167CB">
        <w:rPr>
          <w:rFonts w:asciiTheme="majorHAnsi" w:hAnsiTheme="majorHAnsi" w:cstheme="majorHAnsi"/>
          <w:color w:val="808080" w:themeColor="background1" w:themeShade="80"/>
          <w:sz w:val="16"/>
          <w:szCs w:val="16"/>
          <w:lang w:val="es-US"/>
        </w:rPr>
        <w:instrText xml:space="preserve"> REF _Ref507429957 \r \h  \* MERGEFORMAT </w:instrText>
      </w:r>
      <w:r w:rsidRPr="001167CB">
        <w:rPr>
          <w:rFonts w:asciiTheme="majorHAnsi" w:hAnsiTheme="majorHAnsi" w:cstheme="majorHAnsi"/>
          <w:color w:val="808080" w:themeColor="background1" w:themeShade="80"/>
          <w:sz w:val="16"/>
          <w:szCs w:val="16"/>
          <w:lang w:val="es-MX"/>
        </w:rPr>
      </w:r>
      <w:r w:rsidRPr="001167CB">
        <w:rPr>
          <w:rFonts w:asciiTheme="majorHAnsi" w:hAnsiTheme="majorHAnsi" w:cstheme="majorHAnsi"/>
          <w:color w:val="808080" w:themeColor="background1" w:themeShade="80"/>
          <w:sz w:val="16"/>
          <w:szCs w:val="16"/>
          <w:lang w:val="es-MX"/>
        </w:rPr>
        <w:fldChar w:fldCharType="separate"/>
      </w:r>
      <w:r w:rsidRPr="001167CB">
        <w:rPr>
          <w:rFonts w:asciiTheme="majorHAnsi" w:hAnsiTheme="majorHAnsi" w:cstheme="majorHAnsi"/>
          <w:color w:val="808080" w:themeColor="background1" w:themeShade="80"/>
          <w:sz w:val="16"/>
          <w:szCs w:val="16"/>
          <w:lang w:val="es-US"/>
        </w:rPr>
        <w:t>103</w:t>
      </w:r>
      <w:r w:rsidRPr="001167CB">
        <w:rPr>
          <w:rFonts w:asciiTheme="majorHAnsi" w:hAnsiTheme="majorHAnsi" w:cstheme="majorHAnsi"/>
          <w:color w:val="808080" w:themeColor="background1" w:themeShade="80"/>
          <w:sz w:val="16"/>
          <w:szCs w:val="16"/>
          <w:lang w:val="es-MX"/>
        </w:rPr>
        <w:fldChar w:fldCharType="end"/>
      </w:r>
      <w:r w:rsidRPr="001167CB">
        <w:rPr>
          <w:rFonts w:asciiTheme="majorHAnsi" w:hAnsiTheme="majorHAnsi" w:cstheme="majorHAnsi"/>
          <w:color w:val="808080" w:themeColor="background1" w:themeShade="80"/>
          <w:sz w:val="16"/>
          <w:szCs w:val="16"/>
          <w:lang w:val="es-US"/>
        </w:rPr>
        <w:t>-</w:t>
      </w:r>
      <w:r w:rsidRPr="001167CB">
        <w:rPr>
          <w:rFonts w:asciiTheme="majorHAnsi" w:hAnsiTheme="majorHAnsi" w:cstheme="majorHAnsi"/>
          <w:color w:val="808080" w:themeColor="background1" w:themeShade="80"/>
          <w:sz w:val="16"/>
          <w:szCs w:val="16"/>
          <w:lang w:val="es-MX"/>
        </w:rPr>
        <w:fldChar w:fldCharType="begin"/>
      </w:r>
      <w:r w:rsidRPr="001167CB">
        <w:rPr>
          <w:rFonts w:asciiTheme="majorHAnsi" w:hAnsiTheme="majorHAnsi" w:cstheme="majorHAnsi"/>
          <w:color w:val="808080" w:themeColor="background1" w:themeShade="80"/>
          <w:sz w:val="16"/>
          <w:szCs w:val="16"/>
          <w:lang w:val="es-US"/>
        </w:rPr>
        <w:instrText xml:space="preserve"> REF _Ref507429959 \r \h  \* MERGEFORMAT </w:instrText>
      </w:r>
      <w:r w:rsidRPr="001167CB">
        <w:rPr>
          <w:rFonts w:asciiTheme="majorHAnsi" w:hAnsiTheme="majorHAnsi" w:cstheme="majorHAnsi"/>
          <w:color w:val="808080" w:themeColor="background1" w:themeShade="80"/>
          <w:sz w:val="16"/>
          <w:szCs w:val="16"/>
          <w:lang w:val="es-MX"/>
        </w:rPr>
      </w:r>
      <w:r w:rsidRPr="001167CB">
        <w:rPr>
          <w:rFonts w:asciiTheme="majorHAnsi" w:hAnsiTheme="majorHAnsi" w:cstheme="majorHAnsi"/>
          <w:color w:val="808080" w:themeColor="background1" w:themeShade="80"/>
          <w:sz w:val="16"/>
          <w:szCs w:val="16"/>
          <w:lang w:val="es-MX"/>
        </w:rPr>
        <w:fldChar w:fldCharType="separate"/>
      </w:r>
      <w:r w:rsidRPr="001167CB">
        <w:rPr>
          <w:rFonts w:asciiTheme="majorHAnsi" w:hAnsiTheme="majorHAnsi" w:cstheme="majorHAnsi"/>
          <w:color w:val="808080" w:themeColor="background1" w:themeShade="80"/>
          <w:sz w:val="16"/>
          <w:szCs w:val="16"/>
          <w:lang w:val="es-US"/>
        </w:rPr>
        <w:t>105</w:t>
      </w:r>
      <w:r w:rsidRPr="001167CB">
        <w:rPr>
          <w:rFonts w:asciiTheme="majorHAnsi" w:hAnsiTheme="majorHAnsi" w:cstheme="majorHAnsi"/>
          <w:color w:val="808080" w:themeColor="background1" w:themeShade="80"/>
          <w:sz w:val="16"/>
          <w:szCs w:val="16"/>
          <w:lang w:val="es-MX"/>
        </w:rPr>
        <w:fldChar w:fldCharType="end"/>
      </w:r>
      <w:r w:rsidRPr="001167CB">
        <w:rPr>
          <w:rFonts w:asciiTheme="majorHAnsi" w:hAnsiTheme="majorHAnsi" w:cstheme="majorHAnsi"/>
          <w:color w:val="808080" w:themeColor="background1" w:themeShade="80"/>
          <w:sz w:val="16"/>
          <w:szCs w:val="16"/>
          <w:lang w:val="es-US"/>
        </w:rPr>
        <w:t>.</w:t>
      </w:r>
    </w:p>
  </w:footnote>
  <w:footnote w:id="628">
    <w:p w14:paraId="08CE2D30" w14:textId="73FF55C5"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s-US"/>
        </w:rPr>
        <w:t xml:space="preserve"> </w:t>
      </w:r>
      <w:r w:rsidRPr="001167CB">
        <w:rPr>
          <w:rFonts w:asciiTheme="majorHAnsi" w:hAnsiTheme="majorHAnsi" w:cstheme="majorHAnsi"/>
          <w:color w:val="808080" w:themeColor="background1" w:themeShade="80"/>
          <w:sz w:val="16"/>
          <w:szCs w:val="16"/>
          <w:lang w:val="es-US"/>
        </w:rPr>
        <w:tab/>
      </w:r>
      <w:proofErr w:type="spellStart"/>
      <w:r w:rsidRPr="001167CB">
        <w:rPr>
          <w:rFonts w:asciiTheme="majorHAnsi" w:hAnsiTheme="majorHAnsi" w:cstheme="majorHAnsi"/>
          <w:i/>
          <w:color w:val="808080" w:themeColor="background1" w:themeShade="80"/>
          <w:sz w:val="16"/>
          <w:szCs w:val="16"/>
          <w:lang w:val="es-US"/>
        </w:rPr>
        <w:t>See</w:t>
      </w:r>
      <w:proofErr w:type="spellEnd"/>
      <w:r w:rsidRPr="001167CB">
        <w:rPr>
          <w:rFonts w:asciiTheme="majorHAnsi" w:hAnsiTheme="majorHAnsi" w:cstheme="majorHAnsi"/>
          <w:i/>
          <w:color w:val="808080" w:themeColor="background1" w:themeShade="80"/>
          <w:sz w:val="16"/>
          <w:szCs w:val="16"/>
          <w:lang w:val="es-US"/>
        </w:rPr>
        <w:t xml:space="preserve"> supra</w:t>
      </w:r>
      <w:r w:rsidRPr="001167CB">
        <w:rPr>
          <w:rFonts w:asciiTheme="majorHAnsi" w:hAnsiTheme="majorHAnsi" w:cstheme="majorHAnsi"/>
          <w:color w:val="808080" w:themeColor="background1" w:themeShade="80"/>
          <w:sz w:val="16"/>
          <w:szCs w:val="16"/>
          <w:lang w:val="es-US"/>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lang w:val="es-US"/>
        </w:rPr>
        <w:instrText xml:space="preserve"> REF _Ref507431987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148</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629">
    <w:p w14:paraId="68A82E53" w14:textId="77777777" w:rsidR="005C2394" w:rsidRPr="001167CB" w:rsidRDefault="005C2394" w:rsidP="002C64F8">
      <w:pPr>
        <w:spacing w:after="40" w:line="240" w:lineRule="auto"/>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Report No. 50/16, </w:t>
      </w:r>
      <w:hyperlink r:id="rId672" w:history="1">
        <w:r w:rsidRPr="001167CB">
          <w:rPr>
            <w:rStyle w:val="Hyperlink"/>
            <w:rFonts w:asciiTheme="majorHAnsi" w:hAnsiTheme="majorHAnsi" w:cstheme="majorHAnsi"/>
            <w:i/>
            <w:color w:val="808080" w:themeColor="background1" w:themeShade="80"/>
            <w:sz w:val="16"/>
            <w:szCs w:val="16"/>
          </w:rPr>
          <w:t>Undocumented Workers</w:t>
        </w:r>
      </w:hyperlink>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(2016), paras. </w:t>
      </w:r>
      <w:r w:rsidRPr="001167CB">
        <w:rPr>
          <w:rFonts w:asciiTheme="majorHAnsi" w:hAnsiTheme="majorHAnsi" w:cstheme="majorHAnsi"/>
          <w:color w:val="808080" w:themeColor="background1" w:themeShade="80"/>
          <w:sz w:val="16"/>
          <w:szCs w:val="16"/>
          <w:lang w:val="es-US"/>
        </w:rPr>
        <w:t xml:space="preserve">71-92; </w:t>
      </w:r>
      <w:proofErr w:type="spellStart"/>
      <w:r w:rsidRPr="001167CB">
        <w:rPr>
          <w:rFonts w:asciiTheme="majorHAnsi" w:hAnsiTheme="majorHAnsi" w:cstheme="majorHAnsi"/>
          <w:color w:val="808080" w:themeColor="background1" w:themeShade="80"/>
          <w:sz w:val="16"/>
          <w:szCs w:val="16"/>
          <w:lang w:val="es-US"/>
        </w:rPr>
        <w:t>Report</w:t>
      </w:r>
      <w:proofErr w:type="spellEnd"/>
      <w:r w:rsidRPr="001167CB">
        <w:rPr>
          <w:rFonts w:asciiTheme="majorHAnsi" w:hAnsiTheme="majorHAnsi" w:cstheme="majorHAnsi"/>
          <w:color w:val="808080" w:themeColor="background1" w:themeShade="80"/>
          <w:sz w:val="16"/>
          <w:szCs w:val="16"/>
          <w:lang w:val="es-US"/>
        </w:rPr>
        <w:t xml:space="preserve"> No. 80/11, </w:t>
      </w:r>
      <w:hyperlink r:id="rId673" w:history="1">
        <w:r w:rsidRPr="001167CB">
          <w:rPr>
            <w:rStyle w:val="Hyperlink"/>
            <w:rFonts w:asciiTheme="majorHAnsi" w:hAnsiTheme="majorHAnsi" w:cstheme="majorHAnsi"/>
            <w:i/>
            <w:color w:val="808080" w:themeColor="background1" w:themeShade="80"/>
            <w:sz w:val="16"/>
            <w:szCs w:val="16"/>
            <w:lang w:val="es-US"/>
          </w:rPr>
          <w:t xml:space="preserve">Jessica </w:t>
        </w:r>
        <w:proofErr w:type="spellStart"/>
        <w:r w:rsidRPr="001167CB">
          <w:rPr>
            <w:rStyle w:val="Hyperlink"/>
            <w:rFonts w:asciiTheme="majorHAnsi" w:hAnsiTheme="majorHAnsi" w:cstheme="majorHAnsi"/>
            <w:i/>
            <w:color w:val="808080" w:themeColor="background1" w:themeShade="80"/>
            <w:sz w:val="16"/>
            <w:szCs w:val="16"/>
            <w:lang w:val="es-US"/>
          </w:rPr>
          <w:t>Lenahan</w:t>
        </w:r>
        <w:proofErr w:type="spellEnd"/>
      </w:hyperlink>
      <w:r w:rsidRPr="001167CB">
        <w:rPr>
          <w:rFonts w:asciiTheme="majorHAnsi" w:hAnsiTheme="majorHAnsi" w:cstheme="majorHAnsi"/>
          <w:color w:val="808080" w:themeColor="background1" w:themeShade="80"/>
          <w:sz w:val="16"/>
          <w:szCs w:val="16"/>
          <w:lang w:val="es-US"/>
        </w:rPr>
        <w:t xml:space="preserve"> (2011), para. 108; </w:t>
      </w:r>
      <w:proofErr w:type="spellStart"/>
      <w:r w:rsidRPr="001167CB">
        <w:rPr>
          <w:rFonts w:asciiTheme="majorHAnsi" w:hAnsiTheme="majorHAnsi" w:cstheme="majorHAnsi"/>
          <w:color w:val="808080" w:themeColor="background1" w:themeShade="80"/>
          <w:sz w:val="16"/>
          <w:szCs w:val="16"/>
          <w:lang w:val="es-US"/>
        </w:rPr>
        <w:t>Report</w:t>
      </w:r>
      <w:proofErr w:type="spellEnd"/>
      <w:r w:rsidRPr="001167CB">
        <w:rPr>
          <w:rFonts w:asciiTheme="majorHAnsi" w:hAnsiTheme="majorHAnsi" w:cstheme="majorHAnsi"/>
          <w:color w:val="808080" w:themeColor="background1" w:themeShade="80"/>
          <w:sz w:val="16"/>
          <w:szCs w:val="16"/>
          <w:lang w:val="es-US"/>
        </w:rPr>
        <w:t xml:space="preserve"> 40/04, </w:t>
      </w:r>
      <w:hyperlink r:id="rId674" w:history="1">
        <w:r w:rsidRPr="001167CB">
          <w:rPr>
            <w:rStyle w:val="Hyperlink"/>
            <w:rFonts w:asciiTheme="majorHAnsi" w:hAnsiTheme="majorHAnsi" w:cstheme="majorHAnsi"/>
            <w:i/>
            <w:color w:val="808080" w:themeColor="background1" w:themeShade="80"/>
            <w:sz w:val="16"/>
            <w:szCs w:val="16"/>
            <w:lang w:val="es-US"/>
          </w:rPr>
          <w:t xml:space="preserve">Maya </w:t>
        </w:r>
        <w:proofErr w:type="spellStart"/>
        <w:r w:rsidRPr="001167CB">
          <w:rPr>
            <w:rStyle w:val="Hyperlink"/>
            <w:rFonts w:asciiTheme="majorHAnsi" w:hAnsiTheme="majorHAnsi" w:cstheme="majorHAnsi"/>
            <w:i/>
            <w:color w:val="808080" w:themeColor="background1" w:themeShade="80"/>
            <w:sz w:val="16"/>
            <w:szCs w:val="16"/>
            <w:lang w:val="es-US"/>
          </w:rPr>
          <w:t>Indigenous</w:t>
        </w:r>
        <w:proofErr w:type="spellEnd"/>
        <w:r w:rsidRPr="001167CB">
          <w:rPr>
            <w:rStyle w:val="Hyperlink"/>
            <w:rFonts w:asciiTheme="majorHAnsi" w:hAnsiTheme="majorHAnsi" w:cstheme="majorHAnsi"/>
            <w:i/>
            <w:color w:val="808080" w:themeColor="background1" w:themeShade="80"/>
            <w:sz w:val="16"/>
            <w:szCs w:val="16"/>
            <w:lang w:val="es-US"/>
          </w:rPr>
          <w:t xml:space="preserve"> </w:t>
        </w:r>
        <w:proofErr w:type="spellStart"/>
        <w:r w:rsidRPr="001167CB">
          <w:rPr>
            <w:rStyle w:val="Hyperlink"/>
            <w:rFonts w:asciiTheme="majorHAnsi" w:hAnsiTheme="majorHAnsi" w:cstheme="majorHAnsi"/>
            <w:i/>
            <w:color w:val="808080" w:themeColor="background1" w:themeShade="80"/>
            <w:sz w:val="16"/>
            <w:szCs w:val="16"/>
            <w:lang w:val="es-US"/>
          </w:rPr>
          <w:t>Community</w:t>
        </w:r>
        <w:proofErr w:type="spellEnd"/>
      </w:hyperlink>
      <w:r w:rsidRPr="001167CB">
        <w:rPr>
          <w:rFonts w:asciiTheme="majorHAnsi" w:hAnsiTheme="majorHAnsi" w:cstheme="majorHAnsi"/>
          <w:color w:val="808080" w:themeColor="background1" w:themeShade="80"/>
          <w:sz w:val="16"/>
          <w:szCs w:val="16"/>
          <w:lang w:val="es-US"/>
        </w:rPr>
        <w:t xml:space="preserve"> (2004), para. 162; </w:t>
      </w:r>
      <w:proofErr w:type="spellStart"/>
      <w:r w:rsidRPr="001167CB">
        <w:rPr>
          <w:rFonts w:asciiTheme="majorHAnsi" w:hAnsiTheme="majorHAnsi" w:cstheme="majorHAnsi"/>
          <w:color w:val="808080" w:themeColor="background1" w:themeShade="80"/>
          <w:sz w:val="16"/>
          <w:szCs w:val="16"/>
          <w:lang w:val="es-US"/>
        </w:rPr>
        <w:t>Report</w:t>
      </w:r>
      <w:proofErr w:type="spellEnd"/>
      <w:r w:rsidRPr="001167CB">
        <w:rPr>
          <w:rFonts w:asciiTheme="majorHAnsi" w:hAnsiTheme="majorHAnsi" w:cstheme="majorHAnsi"/>
          <w:color w:val="808080" w:themeColor="background1" w:themeShade="80"/>
          <w:sz w:val="16"/>
          <w:szCs w:val="16"/>
          <w:lang w:val="es-US"/>
        </w:rPr>
        <w:t xml:space="preserve"> No. 67/06, </w:t>
      </w:r>
      <w:hyperlink r:id="rId675" w:history="1">
        <w:r w:rsidRPr="001167CB">
          <w:rPr>
            <w:rStyle w:val="Hyperlink"/>
            <w:rFonts w:asciiTheme="majorHAnsi" w:hAnsiTheme="majorHAnsi" w:cstheme="majorHAnsi"/>
            <w:i/>
            <w:color w:val="808080" w:themeColor="background1" w:themeShade="80"/>
            <w:sz w:val="16"/>
            <w:szCs w:val="16"/>
            <w:lang w:val="es-US"/>
          </w:rPr>
          <w:t xml:space="preserve">Oscar Elías </w:t>
        </w:r>
        <w:proofErr w:type="spellStart"/>
        <w:r w:rsidRPr="001167CB">
          <w:rPr>
            <w:rStyle w:val="Hyperlink"/>
            <w:rFonts w:asciiTheme="majorHAnsi" w:hAnsiTheme="majorHAnsi" w:cstheme="majorHAnsi"/>
            <w:i/>
            <w:color w:val="808080" w:themeColor="background1" w:themeShade="80"/>
            <w:sz w:val="16"/>
            <w:szCs w:val="16"/>
            <w:lang w:val="es-US"/>
          </w:rPr>
          <w:t>Bicet</w:t>
        </w:r>
        <w:proofErr w:type="spellEnd"/>
        <w:r w:rsidRPr="001167CB">
          <w:rPr>
            <w:rStyle w:val="Hyperlink"/>
            <w:rFonts w:asciiTheme="majorHAnsi" w:hAnsiTheme="majorHAnsi" w:cstheme="majorHAnsi"/>
            <w:i/>
            <w:color w:val="808080" w:themeColor="background1" w:themeShade="80"/>
            <w:sz w:val="16"/>
            <w:szCs w:val="16"/>
            <w:lang w:val="es-US"/>
          </w:rPr>
          <w:t xml:space="preserve"> et al.</w:t>
        </w:r>
      </w:hyperlink>
      <w:r w:rsidRPr="001167CB">
        <w:rPr>
          <w:rFonts w:asciiTheme="majorHAnsi" w:hAnsiTheme="majorHAnsi" w:cstheme="majorHAnsi"/>
          <w:color w:val="808080" w:themeColor="background1" w:themeShade="80"/>
          <w:sz w:val="16"/>
          <w:szCs w:val="16"/>
          <w:lang w:val="es-US"/>
        </w:rPr>
        <w:t xml:space="preserve"> (2006), para. </w:t>
      </w:r>
      <w:r w:rsidRPr="001167CB">
        <w:rPr>
          <w:rFonts w:asciiTheme="majorHAnsi" w:hAnsiTheme="majorHAnsi" w:cstheme="majorHAnsi"/>
          <w:color w:val="808080" w:themeColor="background1" w:themeShade="80"/>
          <w:sz w:val="16"/>
          <w:szCs w:val="16"/>
        </w:rPr>
        <w:t>228.</w:t>
      </w:r>
    </w:p>
  </w:footnote>
  <w:footnote w:id="630">
    <w:p w14:paraId="17062695"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s-US"/>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76" w:history="1">
        <w:r w:rsidRPr="001167CB">
          <w:rPr>
            <w:rStyle w:val="Hyperlink"/>
            <w:rFonts w:asciiTheme="majorHAnsi" w:hAnsiTheme="majorHAnsi" w:cstheme="majorHAnsi"/>
            <w:color w:val="808080" w:themeColor="background1" w:themeShade="80"/>
            <w:sz w:val="16"/>
            <w:szCs w:val="16"/>
          </w:rPr>
          <w:t>The Situation of Human Rights Defenders in the Americas</w:t>
        </w:r>
      </w:hyperlink>
      <w:r w:rsidRPr="001167CB">
        <w:rPr>
          <w:rFonts w:asciiTheme="majorHAnsi" w:hAnsiTheme="majorHAnsi" w:cstheme="majorHAnsi"/>
          <w:color w:val="808080" w:themeColor="background1" w:themeShade="80"/>
          <w:sz w:val="16"/>
          <w:szCs w:val="16"/>
        </w:rPr>
        <w:t>, OEA/</w:t>
      </w:r>
      <w:proofErr w:type="spellStart"/>
      <w:r w:rsidRPr="001167CB">
        <w:rPr>
          <w:rFonts w:asciiTheme="majorHAnsi" w:hAnsiTheme="majorHAnsi" w:cstheme="majorHAnsi"/>
          <w:color w:val="808080" w:themeColor="background1" w:themeShade="80"/>
          <w:sz w:val="16"/>
          <w:szCs w:val="16"/>
        </w:rPr>
        <w:t>Ser.L</w:t>
      </w:r>
      <w:proofErr w:type="spellEnd"/>
      <w:r w:rsidRPr="001167CB">
        <w:rPr>
          <w:rFonts w:asciiTheme="majorHAnsi" w:hAnsiTheme="majorHAnsi" w:cstheme="majorHAnsi"/>
          <w:color w:val="808080" w:themeColor="background1" w:themeShade="80"/>
          <w:sz w:val="16"/>
          <w:szCs w:val="16"/>
        </w:rPr>
        <w:t xml:space="preserve">/V/II.124 Doc. 5 rev.1 (2006), para. </w:t>
      </w:r>
      <w:r w:rsidRPr="001167CB">
        <w:rPr>
          <w:rFonts w:asciiTheme="majorHAnsi" w:hAnsiTheme="majorHAnsi" w:cstheme="majorHAnsi"/>
          <w:color w:val="808080" w:themeColor="background1" w:themeShade="80"/>
          <w:sz w:val="16"/>
          <w:szCs w:val="16"/>
          <w:lang w:val="es-US"/>
        </w:rPr>
        <w:t>349.</w:t>
      </w:r>
    </w:p>
  </w:footnote>
  <w:footnote w:id="631">
    <w:p w14:paraId="6202E25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s-US"/>
        </w:rPr>
        <w:t xml:space="preserve"> </w:t>
      </w:r>
      <w:r w:rsidRPr="001167CB">
        <w:rPr>
          <w:rFonts w:asciiTheme="majorHAnsi" w:hAnsiTheme="majorHAnsi" w:cstheme="majorHAnsi"/>
          <w:color w:val="808080" w:themeColor="background1" w:themeShade="80"/>
          <w:sz w:val="16"/>
          <w:szCs w:val="16"/>
          <w:lang w:val="es-US"/>
        </w:rPr>
        <w:tab/>
        <w:t xml:space="preserve">I/A </w:t>
      </w:r>
      <w:proofErr w:type="spellStart"/>
      <w:r w:rsidRPr="001167CB">
        <w:rPr>
          <w:rFonts w:asciiTheme="majorHAnsi" w:hAnsiTheme="majorHAnsi" w:cstheme="majorHAnsi"/>
          <w:color w:val="808080" w:themeColor="background1" w:themeShade="80"/>
          <w:sz w:val="16"/>
          <w:szCs w:val="16"/>
          <w:lang w:val="es-US"/>
        </w:rPr>
        <w:t>Ct</w:t>
      </w:r>
      <w:proofErr w:type="spellEnd"/>
      <w:r w:rsidRPr="001167CB">
        <w:rPr>
          <w:rFonts w:asciiTheme="majorHAnsi" w:hAnsiTheme="majorHAnsi" w:cstheme="majorHAnsi"/>
          <w:color w:val="808080" w:themeColor="background1" w:themeShade="80"/>
          <w:sz w:val="16"/>
          <w:szCs w:val="16"/>
          <w:lang w:val="es-US"/>
        </w:rPr>
        <w:t xml:space="preserve">. H.R., </w:t>
      </w:r>
      <w:r w:rsidRPr="001167CB">
        <w:rPr>
          <w:rFonts w:asciiTheme="majorHAnsi" w:hAnsiTheme="majorHAnsi" w:cstheme="majorHAnsi"/>
          <w:i/>
          <w:color w:val="808080" w:themeColor="background1" w:themeShade="80"/>
          <w:sz w:val="16"/>
          <w:szCs w:val="16"/>
          <w:lang w:val="es-US"/>
        </w:rPr>
        <w:t>Velásquez Rodríguez</w:t>
      </w:r>
      <w:r w:rsidRPr="001167CB">
        <w:rPr>
          <w:rFonts w:asciiTheme="majorHAnsi" w:hAnsiTheme="majorHAnsi" w:cstheme="majorHAnsi"/>
          <w:color w:val="808080" w:themeColor="background1" w:themeShade="80"/>
          <w:sz w:val="16"/>
          <w:szCs w:val="16"/>
          <w:lang w:val="es-US"/>
        </w:rPr>
        <w:t xml:space="preserve">, Ser. C No. 7 (1989), para. </w:t>
      </w:r>
      <w:r w:rsidRPr="001167CB">
        <w:rPr>
          <w:rFonts w:asciiTheme="majorHAnsi" w:hAnsiTheme="majorHAnsi" w:cstheme="majorHAnsi"/>
          <w:color w:val="808080" w:themeColor="background1" w:themeShade="80"/>
          <w:sz w:val="16"/>
          <w:szCs w:val="16"/>
        </w:rPr>
        <w:t>166.</w:t>
      </w:r>
    </w:p>
  </w:footnote>
  <w:footnote w:id="632">
    <w:p w14:paraId="23B216FF" w14:textId="73CF4440"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supra</w:t>
      </w:r>
      <w:r w:rsidRPr="001167CB">
        <w:rPr>
          <w:rFonts w:asciiTheme="majorHAnsi" w:hAnsiTheme="majorHAnsi" w:cstheme="majorHAnsi"/>
          <w:color w:val="808080" w:themeColor="background1" w:themeShade="80"/>
          <w:sz w:val="16"/>
          <w:szCs w:val="16"/>
        </w:rPr>
        <w:t xml:space="preserve"> paras. </w:t>
      </w:r>
      <w:r w:rsidRPr="001167CB">
        <w:rPr>
          <w:rFonts w:asciiTheme="majorHAnsi" w:hAnsiTheme="majorHAnsi" w:cstheme="majorHAnsi"/>
          <w:color w:val="808080" w:themeColor="background1" w:themeShade="80"/>
          <w:sz w:val="16"/>
          <w:szCs w:val="16"/>
          <w:lang w:val="es-MX"/>
        </w:rPr>
        <w:fldChar w:fldCharType="begin"/>
      </w:r>
      <w:r w:rsidRPr="001167CB">
        <w:rPr>
          <w:rFonts w:asciiTheme="majorHAnsi" w:hAnsiTheme="majorHAnsi" w:cstheme="majorHAnsi"/>
          <w:color w:val="808080" w:themeColor="background1" w:themeShade="80"/>
          <w:sz w:val="16"/>
          <w:szCs w:val="16"/>
        </w:rPr>
        <w:instrText xml:space="preserve"> REF _Ref507429070 \r \h  \* MERGEFORMAT </w:instrText>
      </w:r>
      <w:r w:rsidRPr="001167CB">
        <w:rPr>
          <w:rFonts w:asciiTheme="majorHAnsi" w:hAnsiTheme="majorHAnsi" w:cstheme="majorHAnsi"/>
          <w:color w:val="808080" w:themeColor="background1" w:themeShade="80"/>
          <w:sz w:val="16"/>
          <w:szCs w:val="16"/>
          <w:lang w:val="es-MX"/>
        </w:rPr>
      </w:r>
      <w:r w:rsidRPr="001167CB">
        <w:rPr>
          <w:rFonts w:asciiTheme="majorHAnsi" w:hAnsiTheme="majorHAnsi" w:cstheme="majorHAnsi"/>
          <w:color w:val="808080" w:themeColor="background1" w:themeShade="80"/>
          <w:sz w:val="16"/>
          <w:szCs w:val="16"/>
          <w:lang w:val="es-MX"/>
        </w:rPr>
        <w:fldChar w:fldCharType="separate"/>
      </w:r>
      <w:r w:rsidRPr="001167CB">
        <w:rPr>
          <w:rFonts w:asciiTheme="majorHAnsi" w:hAnsiTheme="majorHAnsi" w:cstheme="majorHAnsi"/>
          <w:color w:val="808080" w:themeColor="background1" w:themeShade="80"/>
          <w:sz w:val="16"/>
          <w:szCs w:val="16"/>
        </w:rPr>
        <w:t>111</w:t>
      </w:r>
      <w:r w:rsidRPr="001167CB">
        <w:rPr>
          <w:rFonts w:asciiTheme="majorHAnsi" w:hAnsiTheme="majorHAnsi" w:cstheme="majorHAnsi"/>
          <w:color w:val="808080" w:themeColor="background1" w:themeShade="80"/>
          <w:sz w:val="16"/>
          <w:szCs w:val="16"/>
          <w:lang w:val="es-MX"/>
        </w:rPr>
        <w:fldChar w:fldCharType="end"/>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lang w:val="es-MX"/>
        </w:rPr>
        <w:fldChar w:fldCharType="begin"/>
      </w:r>
      <w:r w:rsidRPr="001167CB">
        <w:rPr>
          <w:rFonts w:asciiTheme="majorHAnsi" w:hAnsiTheme="majorHAnsi" w:cstheme="majorHAnsi"/>
          <w:color w:val="808080" w:themeColor="background1" w:themeShade="80"/>
          <w:sz w:val="16"/>
          <w:szCs w:val="16"/>
        </w:rPr>
        <w:instrText xml:space="preserve"> REF _Ref507430107 \r \h  \* MERGEFORMAT </w:instrText>
      </w:r>
      <w:r w:rsidRPr="001167CB">
        <w:rPr>
          <w:rFonts w:asciiTheme="majorHAnsi" w:hAnsiTheme="majorHAnsi" w:cstheme="majorHAnsi"/>
          <w:color w:val="808080" w:themeColor="background1" w:themeShade="80"/>
          <w:sz w:val="16"/>
          <w:szCs w:val="16"/>
          <w:lang w:val="es-MX"/>
        </w:rPr>
      </w:r>
      <w:r w:rsidRPr="001167CB">
        <w:rPr>
          <w:rFonts w:asciiTheme="majorHAnsi" w:hAnsiTheme="majorHAnsi" w:cstheme="majorHAnsi"/>
          <w:color w:val="808080" w:themeColor="background1" w:themeShade="80"/>
          <w:sz w:val="16"/>
          <w:szCs w:val="16"/>
          <w:lang w:val="es-MX"/>
        </w:rPr>
        <w:fldChar w:fldCharType="separate"/>
      </w:r>
      <w:r w:rsidRPr="001167CB">
        <w:rPr>
          <w:rFonts w:asciiTheme="majorHAnsi" w:hAnsiTheme="majorHAnsi" w:cstheme="majorHAnsi"/>
          <w:color w:val="808080" w:themeColor="background1" w:themeShade="80"/>
          <w:sz w:val="16"/>
          <w:szCs w:val="16"/>
        </w:rPr>
        <w:t>116</w:t>
      </w:r>
      <w:r w:rsidRPr="001167CB">
        <w:rPr>
          <w:rFonts w:asciiTheme="majorHAnsi" w:hAnsiTheme="majorHAnsi" w:cstheme="majorHAnsi"/>
          <w:color w:val="808080" w:themeColor="background1" w:themeShade="80"/>
          <w:sz w:val="16"/>
          <w:szCs w:val="16"/>
          <w:lang w:val="es-MX"/>
        </w:rPr>
        <w:fldChar w:fldCharType="end"/>
      </w:r>
      <w:r w:rsidRPr="001167CB">
        <w:rPr>
          <w:rFonts w:asciiTheme="majorHAnsi" w:hAnsiTheme="majorHAnsi" w:cstheme="majorHAnsi"/>
          <w:color w:val="808080" w:themeColor="background1" w:themeShade="80"/>
          <w:sz w:val="16"/>
          <w:szCs w:val="16"/>
        </w:rPr>
        <w:t>.</w:t>
      </w:r>
    </w:p>
  </w:footnote>
  <w:footnote w:id="633">
    <w:p w14:paraId="022903F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Report No. 50/16, </w:t>
      </w:r>
      <w:hyperlink r:id="rId677" w:history="1">
        <w:r w:rsidRPr="001167CB">
          <w:rPr>
            <w:rStyle w:val="Hyperlink"/>
            <w:rFonts w:asciiTheme="majorHAnsi" w:hAnsiTheme="majorHAnsi" w:cstheme="majorHAnsi"/>
            <w:i/>
            <w:color w:val="808080" w:themeColor="background1" w:themeShade="80"/>
            <w:sz w:val="16"/>
            <w:szCs w:val="16"/>
          </w:rPr>
          <w:t>Undocumented Workers</w:t>
        </w:r>
      </w:hyperlink>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(2016), para. 102 (citing IACHR Access to Justice Report, paras. 19-20).</w:t>
      </w:r>
    </w:p>
  </w:footnote>
  <w:footnote w:id="634">
    <w:p w14:paraId="7A8AC218" w14:textId="3509A9BD" w:rsidR="005C2394" w:rsidRPr="001167CB" w:rsidRDefault="005C2394" w:rsidP="002C64F8">
      <w:pPr>
        <w:pStyle w:val="FootnoteText"/>
        <w:spacing w:after="40"/>
        <w:ind w:left="547" w:hanging="547"/>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supra</w:t>
      </w:r>
      <w:r w:rsidRPr="001167CB">
        <w:rPr>
          <w:rFonts w:asciiTheme="majorHAnsi" w:hAnsiTheme="majorHAnsi" w:cstheme="majorHAnsi"/>
          <w:color w:val="808080" w:themeColor="background1" w:themeShade="80"/>
          <w:sz w:val="16"/>
          <w:szCs w:val="16"/>
        </w:rPr>
        <w:t xml:space="preserve"> paras. </w:t>
      </w:r>
      <w:r w:rsidRPr="001167CB">
        <w:rPr>
          <w:rFonts w:asciiTheme="majorHAnsi" w:hAnsiTheme="majorHAnsi" w:cstheme="majorHAnsi"/>
          <w:color w:val="808080" w:themeColor="background1" w:themeShade="80"/>
          <w:sz w:val="16"/>
          <w:szCs w:val="16"/>
          <w:lang w:val="es-US"/>
        </w:rPr>
        <w:fldChar w:fldCharType="begin"/>
      </w:r>
      <w:r w:rsidRPr="001167CB">
        <w:rPr>
          <w:rFonts w:asciiTheme="majorHAnsi" w:hAnsiTheme="majorHAnsi" w:cstheme="majorHAnsi"/>
          <w:color w:val="808080" w:themeColor="background1" w:themeShade="80"/>
          <w:sz w:val="16"/>
          <w:szCs w:val="16"/>
        </w:rPr>
        <w:instrText xml:space="preserve"> REF _Ref511150058 \r \h  \* MERGEFORMAT </w:instrText>
      </w:r>
      <w:r w:rsidRPr="001167CB">
        <w:rPr>
          <w:rFonts w:asciiTheme="majorHAnsi" w:hAnsiTheme="majorHAnsi" w:cstheme="majorHAnsi"/>
          <w:color w:val="808080" w:themeColor="background1" w:themeShade="80"/>
          <w:sz w:val="16"/>
          <w:szCs w:val="16"/>
          <w:lang w:val="es-US"/>
        </w:rPr>
      </w:r>
      <w:r w:rsidRPr="001167CB">
        <w:rPr>
          <w:rFonts w:asciiTheme="majorHAnsi" w:hAnsiTheme="majorHAnsi" w:cstheme="majorHAnsi"/>
          <w:color w:val="808080" w:themeColor="background1" w:themeShade="80"/>
          <w:sz w:val="16"/>
          <w:szCs w:val="16"/>
          <w:lang w:val="es-US"/>
        </w:rPr>
        <w:fldChar w:fldCharType="separate"/>
      </w:r>
      <w:r w:rsidRPr="001167CB">
        <w:rPr>
          <w:rFonts w:asciiTheme="majorHAnsi" w:hAnsiTheme="majorHAnsi" w:cstheme="majorHAnsi"/>
          <w:color w:val="808080" w:themeColor="background1" w:themeShade="80"/>
          <w:sz w:val="16"/>
          <w:szCs w:val="16"/>
        </w:rPr>
        <w:t>133</w:t>
      </w:r>
      <w:r w:rsidRPr="001167CB">
        <w:rPr>
          <w:rFonts w:asciiTheme="majorHAnsi" w:hAnsiTheme="majorHAnsi" w:cstheme="majorHAnsi"/>
          <w:color w:val="808080" w:themeColor="background1" w:themeShade="80"/>
          <w:sz w:val="16"/>
          <w:szCs w:val="16"/>
          <w:lang w:val="es-US"/>
        </w:rPr>
        <w:fldChar w:fldCharType="end"/>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lang w:val="es-US"/>
        </w:rPr>
        <w:fldChar w:fldCharType="begin"/>
      </w:r>
      <w:r w:rsidRPr="001167CB">
        <w:rPr>
          <w:rFonts w:asciiTheme="majorHAnsi" w:hAnsiTheme="majorHAnsi" w:cstheme="majorHAnsi"/>
          <w:color w:val="808080" w:themeColor="background1" w:themeShade="80"/>
          <w:sz w:val="16"/>
          <w:szCs w:val="16"/>
        </w:rPr>
        <w:instrText xml:space="preserve"> REF _Ref511150077 \r \h  \* MERGEFORMAT </w:instrText>
      </w:r>
      <w:r w:rsidRPr="001167CB">
        <w:rPr>
          <w:rFonts w:asciiTheme="majorHAnsi" w:hAnsiTheme="majorHAnsi" w:cstheme="majorHAnsi"/>
          <w:color w:val="808080" w:themeColor="background1" w:themeShade="80"/>
          <w:sz w:val="16"/>
          <w:szCs w:val="16"/>
          <w:lang w:val="es-US"/>
        </w:rPr>
      </w:r>
      <w:r w:rsidRPr="001167CB">
        <w:rPr>
          <w:rFonts w:asciiTheme="majorHAnsi" w:hAnsiTheme="majorHAnsi" w:cstheme="majorHAnsi"/>
          <w:color w:val="808080" w:themeColor="background1" w:themeShade="80"/>
          <w:sz w:val="16"/>
          <w:szCs w:val="16"/>
          <w:lang w:val="es-US"/>
        </w:rPr>
        <w:fldChar w:fldCharType="separate"/>
      </w:r>
      <w:r w:rsidRPr="001167CB">
        <w:rPr>
          <w:rFonts w:asciiTheme="majorHAnsi" w:hAnsiTheme="majorHAnsi" w:cstheme="majorHAnsi"/>
          <w:color w:val="808080" w:themeColor="background1" w:themeShade="80"/>
          <w:sz w:val="16"/>
          <w:szCs w:val="16"/>
        </w:rPr>
        <w:t>166</w:t>
      </w:r>
      <w:r w:rsidRPr="001167CB">
        <w:rPr>
          <w:rFonts w:asciiTheme="majorHAnsi" w:hAnsiTheme="majorHAnsi" w:cstheme="majorHAnsi"/>
          <w:color w:val="808080" w:themeColor="background1" w:themeShade="80"/>
          <w:sz w:val="16"/>
          <w:szCs w:val="16"/>
          <w:lang w:val="es-US"/>
        </w:rPr>
        <w:fldChar w:fldCharType="end"/>
      </w:r>
      <w:r w:rsidRPr="001167CB">
        <w:rPr>
          <w:rFonts w:asciiTheme="majorHAnsi" w:hAnsiTheme="majorHAnsi" w:cstheme="majorHAnsi"/>
          <w:color w:val="808080" w:themeColor="background1" w:themeShade="80"/>
          <w:sz w:val="16"/>
          <w:szCs w:val="16"/>
        </w:rPr>
        <w:t>.</w:t>
      </w:r>
    </w:p>
  </w:footnote>
  <w:footnote w:id="635">
    <w:p w14:paraId="384513F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Id. at para. 103 (citing IACHR Access to Justice Report, para. 20).  </w:t>
      </w:r>
    </w:p>
  </w:footnote>
  <w:footnote w:id="636">
    <w:p w14:paraId="4D1C0E9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w:t>
      </w:r>
    </w:p>
  </w:footnote>
  <w:footnote w:id="637">
    <w:p w14:paraId="4868E6F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678"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hAnsiTheme="majorHAnsi" w:cstheme="majorHAnsi"/>
          <w:color w:val="808080" w:themeColor="background1" w:themeShade="80"/>
          <w:sz w:val="16"/>
          <w:szCs w:val="16"/>
        </w:rPr>
        <w:t>, para. 15.</w:t>
      </w:r>
    </w:p>
  </w:footnote>
  <w:footnote w:id="638">
    <w:p w14:paraId="7B70597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at para. 16.</w:t>
      </w:r>
    </w:p>
  </w:footnote>
  <w:footnote w:id="639">
    <w:p w14:paraId="2025AAC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679"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hAnsiTheme="majorHAnsi" w:cstheme="majorHAnsi"/>
          <w:color w:val="808080" w:themeColor="background1" w:themeShade="80"/>
          <w:sz w:val="16"/>
          <w:szCs w:val="16"/>
        </w:rPr>
        <w:t>, para. 128</w:t>
      </w:r>
    </w:p>
  </w:footnote>
  <w:footnote w:id="640">
    <w:p w14:paraId="6015B876" w14:textId="77777777" w:rsidR="005C2394" w:rsidRPr="001167CB" w:rsidRDefault="005C2394" w:rsidP="002C64F8">
      <w:pPr>
        <w:spacing w:after="40" w:line="240" w:lineRule="auto"/>
        <w:ind w:left="547" w:hanging="547"/>
        <w:jc w:val="both"/>
        <w:rPr>
          <w:rFonts w:asciiTheme="majorHAnsi" w:hAnsiTheme="majorHAnsi" w:cstheme="majorHAnsi"/>
          <w:iCs/>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i/>
          <w:color w:val="808080" w:themeColor="background1" w:themeShade="80"/>
          <w:sz w:val="16"/>
          <w:szCs w:val="16"/>
        </w:rPr>
        <w:tab/>
      </w:r>
      <w:r w:rsidRPr="001167CB">
        <w:rPr>
          <w:rFonts w:asciiTheme="majorHAnsi" w:hAnsiTheme="majorHAnsi" w:cstheme="majorHAnsi"/>
          <w:color w:val="808080" w:themeColor="background1" w:themeShade="80"/>
          <w:sz w:val="16"/>
          <w:szCs w:val="16"/>
        </w:rPr>
        <w:t xml:space="preserve">IACHR, </w:t>
      </w:r>
      <w:hyperlink r:id="rId680" w:history="1">
        <w:r w:rsidRPr="001167CB">
          <w:rPr>
            <w:rStyle w:val="Hyperlink"/>
            <w:rFonts w:asciiTheme="majorHAnsi" w:hAnsiTheme="majorHAnsi" w:cstheme="majorHAnsi"/>
            <w:color w:val="808080" w:themeColor="background1" w:themeShade="80"/>
            <w:sz w:val="16"/>
            <w:szCs w:val="16"/>
          </w:rPr>
          <w:t>The Right to Truth</w:t>
        </w:r>
      </w:hyperlink>
      <w:r w:rsidRPr="001167CB">
        <w:rPr>
          <w:rFonts w:asciiTheme="majorHAnsi" w:hAnsiTheme="majorHAnsi" w:cstheme="majorHAnsi"/>
          <w:color w:val="808080" w:themeColor="background1" w:themeShade="80"/>
          <w:sz w:val="16"/>
          <w:szCs w:val="16"/>
        </w:rPr>
        <w:t xml:space="preserve"> (2014), para. 122 (citing</w:t>
      </w:r>
      <w:r w:rsidRPr="001167CB">
        <w:rPr>
          <w:rFonts w:asciiTheme="majorHAnsi" w:hAnsiTheme="majorHAnsi" w:cstheme="majorHAnsi"/>
          <w:i/>
          <w:color w:val="808080" w:themeColor="background1" w:themeShade="80"/>
          <w:sz w:val="16"/>
          <w:szCs w:val="16"/>
        </w:rPr>
        <w:t xml:space="preserve"> </w:t>
      </w:r>
      <w:proofErr w:type="gramStart"/>
      <w:r w:rsidRPr="001167CB">
        <w:rPr>
          <w:rFonts w:asciiTheme="majorHAnsi" w:hAnsiTheme="majorHAnsi" w:cstheme="majorHAnsi"/>
          <w:color w:val="808080" w:themeColor="background1" w:themeShade="80"/>
          <w:sz w:val="16"/>
          <w:szCs w:val="16"/>
        </w:rPr>
        <w:t>I/A</w:t>
      </w:r>
      <w:proofErr w:type="gramEnd"/>
      <w:r w:rsidRPr="001167CB">
        <w:rPr>
          <w:rFonts w:asciiTheme="majorHAnsi" w:hAnsiTheme="majorHAnsi" w:cstheme="majorHAnsi"/>
          <w:color w:val="808080" w:themeColor="background1" w:themeShade="80"/>
          <w:sz w:val="16"/>
          <w:szCs w:val="16"/>
        </w:rPr>
        <w:t xml:space="preserve"> Ct. H.R., </w:t>
      </w:r>
      <w:proofErr w:type="spellStart"/>
      <w:r w:rsidRPr="001167CB">
        <w:rPr>
          <w:rFonts w:asciiTheme="majorHAnsi" w:hAnsiTheme="majorHAnsi" w:cstheme="majorHAnsi"/>
          <w:i/>
          <w:color w:val="808080" w:themeColor="background1" w:themeShade="80"/>
          <w:sz w:val="16"/>
          <w:szCs w:val="16"/>
        </w:rPr>
        <w:t>Velásquez</w:t>
      </w:r>
      <w:proofErr w:type="spellEnd"/>
      <w:r w:rsidRPr="001167CB">
        <w:rPr>
          <w:rFonts w:asciiTheme="majorHAnsi" w:hAnsiTheme="majorHAnsi" w:cstheme="majorHAnsi"/>
          <w:i/>
          <w:color w:val="808080" w:themeColor="background1" w:themeShade="80"/>
          <w:sz w:val="16"/>
          <w:szCs w:val="16"/>
        </w:rPr>
        <w:t xml:space="preserve"> Rodríguez</w:t>
      </w:r>
      <w:r w:rsidRPr="001167CB">
        <w:rPr>
          <w:rFonts w:asciiTheme="majorHAnsi" w:hAnsiTheme="majorHAnsi" w:cstheme="majorHAnsi"/>
          <w:color w:val="808080" w:themeColor="background1" w:themeShade="80"/>
          <w:sz w:val="16"/>
          <w:szCs w:val="16"/>
        </w:rPr>
        <w:t>, Ser. C No. 7 (1989), para. 25)</w:t>
      </w:r>
      <w:r w:rsidRPr="001167CB">
        <w:rPr>
          <w:rFonts w:asciiTheme="majorHAnsi" w:hAnsiTheme="majorHAnsi" w:cstheme="majorHAnsi"/>
          <w:iCs/>
          <w:color w:val="808080" w:themeColor="background1" w:themeShade="80"/>
          <w:sz w:val="16"/>
          <w:szCs w:val="16"/>
        </w:rPr>
        <w:t>.</w:t>
      </w:r>
    </w:p>
  </w:footnote>
  <w:footnote w:id="641">
    <w:p w14:paraId="3C525FB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81" w:history="1">
        <w:r w:rsidRPr="001167CB">
          <w:rPr>
            <w:rStyle w:val="Hyperlink"/>
            <w:rFonts w:asciiTheme="majorHAnsi" w:hAnsiTheme="majorHAnsi" w:cstheme="majorHAnsi"/>
            <w:color w:val="808080" w:themeColor="background1" w:themeShade="80"/>
            <w:sz w:val="16"/>
            <w:szCs w:val="16"/>
          </w:rPr>
          <w:t>The Right to Truth</w:t>
        </w:r>
      </w:hyperlink>
      <w:r w:rsidRPr="001167CB">
        <w:rPr>
          <w:rFonts w:asciiTheme="majorHAnsi" w:hAnsiTheme="majorHAnsi" w:cstheme="majorHAnsi"/>
          <w:color w:val="808080" w:themeColor="background1" w:themeShade="80"/>
          <w:sz w:val="16"/>
          <w:szCs w:val="16"/>
        </w:rPr>
        <w:t xml:space="preserve"> (2014), para. 122 (citation omitted).</w:t>
      </w:r>
    </w:p>
  </w:footnote>
  <w:footnote w:id="642">
    <w:p w14:paraId="3F2F731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Id. (citing IACHR, Principal Guidelines for a Comprehensive Reparations Policy, OEA/</w:t>
      </w:r>
      <w:proofErr w:type="spellStart"/>
      <w:r w:rsidRPr="001167CB">
        <w:rPr>
          <w:rFonts w:asciiTheme="majorHAnsi" w:hAnsiTheme="majorHAnsi" w:cstheme="majorHAnsi"/>
          <w:color w:val="808080" w:themeColor="background1" w:themeShade="80"/>
          <w:sz w:val="16"/>
          <w:szCs w:val="16"/>
        </w:rPr>
        <w:t>Ser</w:t>
      </w:r>
      <w:proofErr w:type="spellEnd"/>
      <w:r w:rsidRPr="001167CB">
        <w:rPr>
          <w:rFonts w:asciiTheme="majorHAnsi" w:hAnsiTheme="majorHAnsi" w:cstheme="majorHAnsi"/>
          <w:color w:val="808080" w:themeColor="background1" w:themeShade="80"/>
          <w:sz w:val="16"/>
          <w:szCs w:val="16"/>
        </w:rPr>
        <w:t>/L/V/II.131, Doc. 1, (2008)).</w:t>
      </w:r>
    </w:p>
  </w:footnote>
  <w:footnote w:id="643">
    <w:p w14:paraId="1A5FBB6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U.N., </w:t>
      </w:r>
      <w:hyperlink r:id="rId682" w:history="1">
        <w:r w:rsidRPr="001167CB">
          <w:rPr>
            <w:rStyle w:val="Hyperlink"/>
            <w:rFonts w:asciiTheme="majorHAnsi" w:hAnsiTheme="majorHAnsi" w:cstheme="majorHAnsi"/>
            <w:color w:val="808080" w:themeColor="background1" w:themeShade="80"/>
            <w:sz w:val="16"/>
            <w:szCs w:val="16"/>
          </w:rPr>
          <w:t>Basic Principles and Guidelines on the Right to a Remedy and Reparation for Victims of Gross Violations of International Human Rights Law and Serious Violations of International Humanitarian Law</w:t>
        </w:r>
      </w:hyperlink>
      <w:r w:rsidRPr="001167CB">
        <w:rPr>
          <w:rFonts w:asciiTheme="majorHAnsi" w:hAnsiTheme="majorHAnsi" w:cstheme="majorHAnsi"/>
          <w:color w:val="808080" w:themeColor="background1" w:themeShade="80"/>
          <w:sz w:val="16"/>
          <w:szCs w:val="16"/>
        </w:rPr>
        <w:t xml:space="preserve"> [hereinafter “UN Principles on the Right to a Remedy and Reparation”], adopted and proclaimed by General Assembly resolution 60/147 of 16 Dec. 2005, para. 11.</w:t>
      </w:r>
    </w:p>
  </w:footnote>
  <w:footnote w:id="644">
    <w:p w14:paraId="65A5747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83" w:history="1">
        <w:r w:rsidRPr="001167CB">
          <w:rPr>
            <w:rStyle w:val="Hyperlink"/>
            <w:rFonts w:asciiTheme="majorHAnsi" w:hAnsiTheme="majorHAnsi" w:cstheme="majorHAnsi"/>
            <w:color w:val="808080" w:themeColor="background1" w:themeShade="80"/>
            <w:sz w:val="16"/>
            <w:szCs w:val="16"/>
          </w:rPr>
          <w:t>UN Principles on the Right to a Remedy and Reparation</w:t>
        </w:r>
      </w:hyperlink>
      <w:r w:rsidRPr="001167CB">
        <w:rPr>
          <w:rFonts w:asciiTheme="majorHAnsi" w:hAnsiTheme="majorHAnsi" w:cstheme="majorHAnsi"/>
          <w:color w:val="808080" w:themeColor="background1" w:themeShade="80"/>
          <w:sz w:val="16"/>
          <w:szCs w:val="16"/>
        </w:rPr>
        <w:t>, para. 12.</w:t>
      </w:r>
    </w:p>
  </w:footnote>
  <w:footnote w:id="645">
    <w:p w14:paraId="177325A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84" w:history="1">
        <w:r w:rsidRPr="001167CB">
          <w:rPr>
            <w:rStyle w:val="Hyperlink"/>
            <w:rFonts w:asciiTheme="majorHAnsi" w:hAnsiTheme="majorHAnsi" w:cstheme="majorHAnsi"/>
            <w:color w:val="808080" w:themeColor="background1" w:themeShade="80"/>
            <w:sz w:val="16"/>
            <w:szCs w:val="16"/>
          </w:rPr>
          <w:t>UN Principles on the Right to a Remedy and Reparation</w:t>
        </w:r>
      </w:hyperlink>
      <w:r w:rsidRPr="001167CB">
        <w:rPr>
          <w:rFonts w:asciiTheme="majorHAnsi" w:hAnsiTheme="majorHAnsi" w:cstheme="majorHAnsi"/>
          <w:color w:val="808080" w:themeColor="background1" w:themeShade="80"/>
          <w:sz w:val="16"/>
          <w:szCs w:val="16"/>
        </w:rPr>
        <w:t>, para. 14.</w:t>
      </w:r>
    </w:p>
  </w:footnote>
  <w:footnote w:id="646">
    <w:p w14:paraId="377902C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 Ct. H.R., </w:t>
      </w:r>
      <w:r w:rsidRPr="001167CB">
        <w:rPr>
          <w:rFonts w:asciiTheme="majorHAnsi" w:hAnsiTheme="majorHAnsi" w:cstheme="majorHAnsi"/>
          <w:i/>
          <w:color w:val="808080" w:themeColor="background1" w:themeShade="80"/>
          <w:sz w:val="16"/>
          <w:szCs w:val="16"/>
        </w:rPr>
        <w:t>Cotton Field</w:t>
      </w:r>
      <w:r w:rsidRPr="001167CB">
        <w:rPr>
          <w:rFonts w:asciiTheme="majorHAnsi" w:hAnsiTheme="majorHAnsi" w:cstheme="majorHAnsi"/>
          <w:color w:val="808080" w:themeColor="background1" w:themeShade="80"/>
          <w:sz w:val="16"/>
          <w:szCs w:val="16"/>
        </w:rPr>
        <w:t>, Series C No. 205 (2009), para. 450</w:t>
      </w:r>
    </w:p>
  </w:footnote>
  <w:footnote w:id="647">
    <w:p w14:paraId="386CC7E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85" w:history="1">
        <w:r w:rsidRPr="001167CB">
          <w:rPr>
            <w:rStyle w:val="Hyperlink"/>
            <w:rFonts w:asciiTheme="majorHAnsi" w:hAnsiTheme="majorHAnsi" w:cstheme="majorHAnsi"/>
            <w:color w:val="808080" w:themeColor="background1" w:themeShade="80"/>
            <w:sz w:val="16"/>
            <w:szCs w:val="16"/>
          </w:rPr>
          <w:t>UN Principles on the Right to a Remedy and Reparation</w:t>
        </w:r>
      </w:hyperlink>
      <w:r w:rsidRPr="001167CB">
        <w:rPr>
          <w:rFonts w:asciiTheme="majorHAnsi" w:hAnsiTheme="majorHAnsi" w:cstheme="majorHAnsi"/>
          <w:color w:val="808080" w:themeColor="background1" w:themeShade="80"/>
          <w:sz w:val="16"/>
          <w:szCs w:val="16"/>
        </w:rPr>
        <w:t>, para. 15.</w:t>
      </w:r>
    </w:p>
  </w:footnote>
  <w:footnote w:id="648">
    <w:p w14:paraId="403E2F4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86" w:history="1">
        <w:r w:rsidRPr="001167CB">
          <w:rPr>
            <w:rStyle w:val="Hyperlink"/>
            <w:rFonts w:asciiTheme="majorHAnsi" w:hAnsiTheme="majorHAnsi" w:cstheme="majorHAnsi"/>
            <w:color w:val="808080" w:themeColor="background1" w:themeShade="80"/>
            <w:sz w:val="16"/>
            <w:szCs w:val="16"/>
          </w:rPr>
          <w:t>The Right to Truth</w:t>
        </w:r>
      </w:hyperlink>
      <w:r w:rsidRPr="001167CB">
        <w:rPr>
          <w:rFonts w:asciiTheme="majorHAnsi" w:hAnsiTheme="majorHAnsi" w:cstheme="majorHAnsi"/>
          <w:color w:val="808080" w:themeColor="background1" w:themeShade="80"/>
          <w:sz w:val="16"/>
          <w:szCs w:val="16"/>
        </w:rPr>
        <w:t xml:space="preserve"> (2014), para. 123 (citing IACHR, Principal Guidelines for a Comprehensive Reparations Policy, OEA/</w:t>
      </w:r>
      <w:proofErr w:type="spellStart"/>
      <w:r w:rsidRPr="001167CB">
        <w:rPr>
          <w:rFonts w:asciiTheme="majorHAnsi" w:hAnsiTheme="majorHAnsi" w:cstheme="majorHAnsi"/>
          <w:color w:val="808080" w:themeColor="background1" w:themeShade="80"/>
          <w:sz w:val="16"/>
          <w:szCs w:val="16"/>
        </w:rPr>
        <w:t>Ser</w:t>
      </w:r>
      <w:proofErr w:type="spellEnd"/>
      <w:r w:rsidRPr="001167CB">
        <w:rPr>
          <w:rFonts w:asciiTheme="majorHAnsi" w:hAnsiTheme="majorHAnsi" w:cstheme="majorHAnsi"/>
          <w:color w:val="808080" w:themeColor="background1" w:themeShade="80"/>
          <w:sz w:val="16"/>
          <w:szCs w:val="16"/>
        </w:rPr>
        <w:t xml:space="preserve">/L/V/II.131, Doc. 1, Feb. 19, 2008; I/A Ct. H.R., Myrna Mack Chang v. Guatemala. </w:t>
      </w:r>
      <w:proofErr w:type="spellStart"/>
      <w:r w:rsidRPr="001167CB">
        <w:rPr>
          <w:rFonts w:asciiTheme="majorHAnsi" w:hAnsiTheme="majorHAnsi" w:cstheme="majorHAnsi"/>
          <w:color w:val="808080" w:themeColor="background1" w:themeShade="80"/>
          <w:sz w:val="16"/>
          <w:szCs w:val="16"/>
          <w:lang w:val="es-ES"/>
        </w:rPr>
        <w:t>Judgment</w:t>
      </w:r>
      <w:proofErr w:type="spellEnd"/>
      <w:r w:rsidRPr="001167CB">
        <w:rPr>
          <w:rFonts w:asciiTheme="majorHAnsi" w:hAnsiTheme="majorHAnsi" w:cstheme="majorHAnsi"/>
          <w:color w:val="808080" w:themeColor="background1" w:themeShade="80"/>
          <w:sz w:val="16"/>
          <w:szCs w:val="16"/>
          <w:lang w:val="es-ES"/>
        </w:rPr>
        <w:t xml:space="preserve"> of Nov. 25, 2003. Series C No. 101, paras. 236-237; El Caracazo v. Venezuela. </w:t>
      </w:r>
      <w:r w:rsidRPr="001167CB">
        <w:rPr>
          <w:rFonts w:asciiTheme="majorHAnsi" w:hAnsiTheme="majorHAnsi" w:cstheme="majorHAnsi"/>
          <w:color w:val="808080" w:themeColor="background1" w:themeShade="80"/>
          <w:sz w:val="16"/>
          <w:szCs w:val="16"/>
        </w:rPr>
        <w:t xml:space="preserve">Reparations. Judgment of Aug. 29, 2002. Series C No. 95, paras. 77-78; Blake v. Guatemala. Reparations. Judgment of Jan. 22, 1999. Series C No. 48, paras. 31-32). </w:t>
      </w:r>
    </w:p>
  </w:footnote>
  <w:footnote w:id="649">
    <w:p w14:paraId="2CA7A2E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 Ct. H.R., </w:t>
      </w:r>
      <w:r w:rsidRPr="001167CB">
        <w:rPr>
          <w:rFonts w:asciiTheme="majorHAnsi" w:hAnsiTheme="majorHAnsi" w:cstheme="majorHAnsi"/>
          <w:i/>
          <w:color w:val="808080" w:themeColor="background1" w:themeShade="80"/>
          <w:sz w:val="16"/>
          <w:szCs w:val="16"/>
        </w:rPr>
        <w:t>Cotton Field</w:t>
      </w:r>
      <w:r w:rsidRPr="001167CB">
        <w:rPr>
          <w:rFonts w:asciiTheme="majorHAnsi" w:hAnsiTheme="majorHAnsi" w:cstheme="majorHAnsi"/>
          <w:color w:val="808080" w:themeColor="background1" w:themeShade="80"/>
          <w:sz w:val="16"/>
          <w:szCs w:val="16"/>
        </w:rPr>
        <w:t>, Series C No. 205 (2009), para. 450.</w:t>
      </w:r>
    </w:p>
  </w:footnote>
  <w:footnote w:id="650">
    <w:p w14:paraId="3620A2E0"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87" w:history="1">
        <w:r w:rsidRPr="001167CB">
          <w:rPr>
            <w:rStyle w:val="Hyperlink"/>
            <w:rFonts w:asciiTheme="majorHAnsi" w:hAnsiTheme="majorHAnsi" w:cstheme="majorHAnsi"/>
            <w:color w:val="808080" w:themeColor="background1" w:themeShade="80"/>
            <w:sz w:val="16"/>
            <w:szCs w:val="16"/>
          </w:rPr>
          <w:t>UN Principles on the Right to a Remedy and Reparation</w:t>
        </w:r>
      </w:hyperlink>
      <w:r w:rsidRPr="001167CB">
        <w:rPr>
          <w:rFonts w:asciiTheme="majorHAnsi" w:hAnsiTheme="majorHAnsi" w:cstheme="majorHAnsi"/>
          <w:color w:val="808080" w:themeColor="background1" w:themeShade="80"/>
          <w:sz w:val="16"/>
          <w:szCs w:val="16"/>
        </w:rPr>
        <w:t>, para. 15.</w:t>
      </w:r>
    </w:p>
  </w:footnote>
  <w:footnote w:id="651">
    <w:p w14:paraId="1D153EF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88" w:history="1">
        <w:r w:rsidRPr="001167CB">
          <w:rPr>
            <w:rStyle w:val="Hyperlink"/>
            <w:rFonts w:asciiTheme="majorHAnsi" w:hAnsiTheme="majorHAnsi" w:cstheme="majorHAnsi"/>
            <w:color w:val="808080" w:themeColor="background1" w:themeShade="80"/>
            <w:sz w:val="16"/>
            <w:szCs w:val="16"/>
          </w:rPr>
          <w:t>UN Principles on the Right to a Remedy and Reparation</w:t>
        </w:r>
      </w:hyperlink>
      <w:r w:rsidRPr="001167CB">
        <w:rPr>
          <w:rFonts w:asciiTheme="majorHAnsi" w:hAnsiTheme="majorHAnsi" w:cstheme="majorHAnsi"/>
          <w:color w:val="808080" w:themeColor="background1" w:themeShade="80"/>
          <w:sz w:val="16"/>
          <w:szCs w:val="16"/>
        </w:rPr>
        <w:t>, para. 16.</w:t>
      </w:r>
    </w:p>
  </w:footnote>
  <w:footnote w:id="652">
    <w:p w14:paraId="531E8B6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89" w:history="1">
        <w:r w:rsidRPr="001167CB">
          <w:rPr>
            <w:rStyle w:val="Hyperlink"/>
            <w:rFonts w:asciiTheme="majorHAnsi" w:hAnsiTheme="majorHAnsi" w:cstheme="majorHAnsi"/>
            <w:color w:val="808080" w:themeColor="background1" w:themeShade="80"/>
            <w:sz w:val="16"/>
            <w:szCs w:val="16"/>
          </w:rPr>
          <w:t>The Right to Truth</w:t>
        </w:r>
      </w:hyperlink>
      <w:r w:rsidRPr="001167CB">
        <w:rPr>
          <w:rFonts w:asciiTheme="majorHAnsi" w:hAnsiTheme="majorHAnsi" w:cstheme="majorHAnsi"/>
          <w:color w:val="808080" w:themeColor="background1" w:themeShade="80"/>
          <w:sz w:val="16"/>
          <w:szCs w:val="16"/>
        </w:rPr>
        <w:t xml:space="preserve"> (2014), para. 123 (citing </w:t>
      </w:r>
      <w:proofErr w:type="gramStart"/>
      <w:r w:rsidRPr="001167CB">
        <w:rPr>
          <w:rFonts w:asciiTheme="majorHAnsi" w:hAnsiTheme="majorHAnsi" w:cstheme="majorHAnsi"/>
          <w:color w:val="808080" w:themeColor="background1" w:themeShade="80"/>
          <w:sz w:val="16"/>
          <w:szCs w:val="16"/>
        </w:rPr>
        <w:t>I/A</w:t>
      </w:r>
      <w:proofErr w:type="gramEnd"/>
      <w:r w:rsidRPr="001167CB">
        <w:rPr>
          <w:rFonts w:asciiTheme="majorHAnsi" w:hAnsiTheme="majorHAnsi" w:cstheme="majorHAnsi"/>
          <w:color w:val="808080" w:themeColor="background1" w:themeShade="80"/>
          <w:sz w:val="16"/>
          <w:szCs w:val="16"/>
        </w:rPr>
        <w:t xml:space="preserve"> Ct. H.R., “</w:t>
      </w:r>
      <w:proofErr w:type="spellStart"/>
      <w:r w:rsidRPr="001167CB">
        <w:rPr>
          <w:rFonts w:asciiTheme="majorHAnsi" w:hAnsiTheme="majorHAnsi" w:cstheme="majorHAnsi"/>
          <w:color w:val="808080" w:themeColor="background1" w:themeShade="80"/>
          <w:sz w:val="16"/>
          <w:szCs w:val="16"/>
        </w:rPr>
        <w:t>Rochela</w:t>
      </w:r>
      <w:proofErr w:type="spellEnd"/>
      <w:r w:rsidRPr="001167CB">
        <w:rPr>
          <w:rFonts w:asciiTheme="majorHAnsi" w:hAnsiTheme="majorHAnsi" w:cstheme="majorHAnsi"/>
          <w:color w:val="808080" w:themeColor="background1" w:themeShade="80"/>
          <w:sz w:val="16"/>
          <w:szCs w:val="16"/>
        </w:rPr>
        <w:t xml:space="preserve"> Massacre” v. Colombia. Merits and Reparations. Judgment of May 11, 2007. Series C No. 163, para. 220.)</w:t>
      </w:r>
    </w:p>
  </w:footnote>
  <w:footnote w:id="653">
    <w:p w14:paraId="55D62B2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90" w:history="1">
        <w:r w:rsidRPr="001167CB">
          <w:rPr>
            <w:rStyle w:val="Hyperlink"/>
            <w:rFonts w:asciiTheme="majorHAnsi" w:hAnsiTheme="majorHAnsi" w:cstheme="majorHAnsi"/>
            <w:color w:val="808080" w:themeColor="background1" w:themeShade="80"/>
            <w:sz w:val="16"/>
            <w:szCs w:val="16"/>
          </w:rPr>
          <w:t>UN Principles on the Right to a Remedy and Reparation</w:t>
        </w:r>
      </w:hyperlink>
      <w:r w:rsidRPr="001167CB">
        <w:rPr>
          <w:rFonts w:asciiTheme="majorHAnsi" w:hAnsiTheme="majorHAnsi" w:cstheme="majorHAnsi"/>
          <w:color w:val="808080" w:themeColor="background1" w:themeShade="80"/>
          <w:sz w:val="16"/>
          <w:szCs w:val="16"/>
        </w:rPr>
        <w:t>, para. 15.</w:t>
      </w:r>
    </w:p>
  </w:footnote>
  <w:footnote w:id="654">
    <w:p w14:paraId="14418CD9"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91" w:history="1">
        <w:r w:rsidRPr="001167CB">
          <w:rPr>
            <w:rStyle w:val="Hyperlink"/>
            <w:rFonts w:asciiTheme="majorHAnsi" w:hAnsiTheme="majorHAnsi" w:cstheme="majorHAnsi"/>
            <w:color w:val="808080" w:themeColor="background1" w:themeShade="80"/>
            <w:sz w:val="16"/>
            <w:szCs w:val="16"/>
          </w:rPr>
          <w:t>UN Principles on the Right to a Remedy and Reparation</w:t>
        </w:r>
      </w:hyperlink>
      <w:r w:rsidRPr="001167CB">
        <w:rPr>
          <w:rFonts w:asciiTheme="majorHAnsi" w:hAnsiTheme="majorHAnsi" w:cstheme="majorHAnsi"/>
          <w:color w:val="808080" w:themeColor="background1" w:themeShade="80"/>
          <w:sz w:val="16"/>
          <w:szCs w:val="16"/>
        </w:rPr>
        <w:t>, para. 16.</w:t>
      </w:r>
    </w:p>
  </w:footnote>
  <w:footnote w:id="655">
    <w:p w14:paraId="31C51DF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92" w:history="1">
        <w:r w:rsidRPr="001167CB">
          <w:rPr>
            <w:rStyle w:val="Hyperlink"/>
            <w:rFonts w:asciiTheme="majorHAnsi" w:hAnsiTheme="majorHAnsi" w:cstheme="majorHAnsi"/>
            <w:color w:val="808080" w:themeColor="background1" w:themeShade="80"/>
            <w:sz w:val="16"/>
            <w:szCs w:val="16"/>
          </w:rPr>
          <w:t>UN Principles on the Right to a Remedy and Reparation</w:t>
        </w:r>
      </w:hyperlink>
      <w:r w:rsidRPr="001167CB">
        <w:rPr>
          <w:rFonts w:asciiTheme="majorHAnsi" w:hAnsiTheme="majorHAnsi" w:cstheme="majorHAnsi"/>
          <w:color w:val="808080" w:themeColor="background1" w:themeShade="80"/>
          <w:sz w:val="16"/>
          <w:szCs w:val="16"/>
        </w:rPr>
        <w:t>, para. 15.</w:t>
      </w:r>
    </w:p>
  </w:footnote>
  <w:footnote w:id="656">
    <w:p w14:paraId="721BBBAF"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 Ct. H.R., </w:t>
      </w:r>
      <w:r w:rsidRPr="001167CB">
        <w:rPr>
          <w:rFonts w:asciiTheme="majorHAnsi" w:hAnsiTheme="majorHAnsi" w:cstheme="majorHAnsi"/>
          <w:i/>
          <w:color w:val="808080" w:themeColor="background1" w:themeShade="80"/>
          <w:sz w:val="16"/>
          <w:szCs w:val="16"/>
        </w:rPr>
        <w:t>Cotton Field</w:t>
      </w:r>
      <w:r w:rsidRPr="001167CB">
        <w:rPr>
          <w:rFonts w:asciiTheme="majorHAnsi" w:hAnsiTheme="majorHAnsi" w:cstheme="majorHAnsi"/>
          <w:color w:val="808080" w:themeColor="background1" w:themeShade="80"/>
          <w:sz w:val="16"/>
          <w:szCs w:val="16"/>
        </w:rPr>
        <w:t>, Series C No. 205 (2009), para. 450</w:t>
      </w:r>
    </w:p>
  </w:footnote>
  <w:footnote w:id="657">
    <w:p w14:paraId="2CFC2DC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93" w:history="1">
        <w:r w:rsidRPr="001167CB">
          <w:rPr>
            <w:rStyle w:val="Hyperlink"/>
            <w:rFonts w:asciiTheme="majorHAnsi" w:hAnsiTheme="majorHAnsi" w:cstheme="majorHAnsi"/>
            <w:color w:val="808080" w:themeColor="background1" w:themeShade="80"/>
            <w:sz w:val="16"/>
            <w:szCs w:val="16"/>
          </w:rPr>
          <w:t>UN Principles on the Right to a Remedy and Reparation</w:t>
        </w:r>
      </w:hyperlink>
      <w:r w:rsidRPr="001167CB">
        <w:rPr>
          <w:rFonts w:asciiTheme="majorHAnsi" w:hAnsiTheme="majorHAnsi" w:cstheme="majorHAnsi"/>
          <w:color w:val="808080" w:themeColor="background1" w:themeShade="80"/>
          <w:sz w:val="16"/>
          <w:szCs w:val="16"/>
        </w:rPr>
        <w:t>, para. 15.</w:t>
      </w:r>
    </w:p>
  </w:footnote>
  <w:footnote w:id="658">
    <w:p w14:paraId="6175C37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94" w:history="1">
        <w:r w:rsidRPr="001167CB">
          <w:rPr>
            <w:rStyle w:val="Hyperlink"/>
            <w:rFonts w:asciiTheme="majorHAnsi" w:hAnsiTheme="majorHAnsi" w:cstheme="majorHAnsi"/>
            <w:color w:val="808080" w:themeColor="background1" w:themeShade="80"/>
            <w:sz w:val="16"/>
            <w:szCs w:val="16"/>
          </w:rPr>
          <w:t>UN Principles on the Right to a Remedy and Reparation</w:t>
        </w:r>
      </w:hyperlink>
      <w:r w:rsidRPr="001167CB">
        <w:rPr>
          <w:rFonts w:asciiTheme="majorHAnsi" w:hAnsiTheme="majorHAnsi" w:cstheme="majorHAnsi"/>
          <w:color w:val="808080" w:themeColor="background1" w:themeShade="80"/>
          <w:sz w:val="16"/>
          <w:szCs w:val="16"/>
        </w:rPr>
        <w:t>, para. 17.</w:t>
      </w:r>
    </w:p>
  </w:footnote>
  <w:footnote w:id="659">
    <w:p w14:paraId="7DD7F288"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695" w:history="1">
        <w:r w:rsidRPr="001167CB">
          <w:rPr>
            <w:rStyle w:val="Hyperlink"/>
            <w:rFonts w:asciiTheme="majorHAnsi" w:hAnsiTheme="majorHAnsi" w:cstheme="majorHAnsi"/>
            <w:color w:val="808080" w:themeColor="background1" w:themeShade="80"/>
            <w:sz w:val="16"/>
            <w:szCs w:val="16"/>
          </w:rPr>
          <w:t>The Right to Truth</w:t>
        </w:r>
      </w:hyperlink>
      <w:r w:rsidRPr="001167CB">
        <w:rPr>
          <w:rFonts w:asciiTheme="majorHAnsi" w:hAnsiTheme="majorHAnsi" w:cstheme="majorHAnsi"/>
          <w:color w:val="808080" w:themeColor="background1" w:themeShade="80"/>
          <w:sz w:val="16"/>
          <w:szCs w:val="16"/>
        </w:rPr>
        <w:t xml:space="preserve"> (2014), para. 123 (citing </w:t>
      </w:r>
      <w:proofErr w:type="gramStart"/>
      <w:r w:rsidRPr="001167CB">
        <w:rPr>
          <w:rFonts w:asciiTheme="majorHAnsi" w:hAnsiTheme="majorHAnsi" w:cstheme="majorHAnsi"/>
          <w:color w:val="808080" w:themeColor="background1" w:themeShade="80"/>
          <w:sz w:val="16"/>
          <w:szCs w:val="16"/>
        </w:rPr>
        <w:t>I/A</w:t>
      </w:r>
      <w:proofErr w:type="gramEnd"/>
      <w:r w:rsidRPr="001167CB">
        <w:rPr>
          <w:rFonts w:asciiTheme="majorHAnsi" w:hAnsiTheme="majorHAnsi" w:cstheme="majorHAnsi"/>
          <w:color w:val="808080" w:themeColor="background1" w:themeShade="80"/>
          <w:sz w:val="16"/>
          <w:szCs w:val="16"/>
        </w:rPr>
        <w:t xml:space="preserve"> Ct. H.R., </w:t>
      </w:r>
      <w:r w:rsidRPr="001167CB">
        <w:rPr>
          <w:rFonts w:asciiTheme="majorHAnsi" w:hAnsiTheme="majorHAnsi" w:cstheme="majorHAnsi"/>
          <w:i/>
          <w:color w:val="808080" w:themeColor="background1" w:themeShade="80"/>
          <w:sz w:val="16"/>
          <w:szCs w:val="16"/>
        </w:rPr>
        <w:t>Cotton Field</w:t>
      </w:r>
      <w:r w:rsidRPr="001167CB">
        <w:rPr>
          <w:rFonts w:asciiTheme="majorHAnsi" w:hAnsiTheme="majorHAnsi" w:cstheme="majorHAnsi"/>
          <w:color w:val="808080" w:themeColor="background1" w:themeShade="80"/>
          <w:sz w:val="16"/>
          <w:szCs w:val="16"/>
        </w:rPr>
        <w:t>, Series C No. 205 (2009), para. 450).</w:t>
      </w:r>
    </w:p>
  </w:footnote>
  <w:footnote w:id="660">
    <w:p w14:paraId="608050D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 Ct. H.R., </w:t>
      </w:r>
      <w:r w:rsidRPr="001167CB">
        <w:rPr>
          <w:rFonts w:asciiTheme="majorHAnsi" w:hAnsiTheme="majorHAnsi" w:cstheme="majorHAnsi"/>
          <w:i/>
          <w:color w:val="808080" w:themeColor="background1" w:themeShade="80"/>
          <w:sz w:val="16"/>
          <w:szCs w:val="16"/>
        </w:rPr>
        <w:t>Cotton Field</w:t>
      </w:r>
      <w:r w:rsidRPr="001167CB">
        <w:rPr>
          <w:rFonts w:asciiTheme="majorHAnsi" w:hAnsiTheme="majorHAnsi" w:cstheme="majorHAnsi"/>
          <w:color w:val="808080" w:themeColor="background1" w:themeShade="80"/>
          <w:sz w:val="16"/>
          <w:szCs w:val="16"/>
        </w:rPr>
        <w:t>, Series C No. 205 (2009), para. 450</w:t>
      </w:r>
    </w:p>
  </w:footnote>
  <w:footnote w:id="661">
    <w:p w14:paraId="35AAA85E" w14:textId="7E669BB4"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also supra</w:t>
      </w:r>
      <w:r w:rsidRPr="001167CB">
        <w:rPr>
          <w:rFonts w:asciiTheme="majorHAnsi" w:hAnsiTheme="majorHAnsi" w:cstheme="majorHAnsi"/>
          <w:color w:val="808080" w:themeColor="background1" w:themeShade="80"/>
          <w:sz w:val="16"/>
          <w:szCs w:val="16"/>
        </w:rPr>
        <w:t xml:space="preserve"> paras.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_Ref507497216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253</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rPr>
        <w:instrText xml:space="preserve"> REF _Ref507497229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255</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662">
    <w:p w14:paraId="6F09EA93"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See generally</w:t>
      </w:r>
      <w:r w:rsidRPr="001167CB">
        <w:rPr>
          <w:rFonts w:asciiTheme="majorHAnsi" w:hAnsiTheme="majorHAnsi" w:cstheme="majorHAnsi"/>
          <w:color w:val="808080" w:themeColor="background1" w:themeShade="80"/>
          <w:sz w:val="16"/>
          <w:szCs w:val="16"/>
        </w:rPr>
        <w:t xml:space="preserve"> </w:t>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696"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hAnsiTheme="majorHAnsi" w:cstheme="majorHAnsi"/>
          <w:color w:val="808080" w:themeColor="background1" w:themeShade="80"/>
          <w:sz w:val="16"/>
          <w:szCs w:val="16"/>
        </w:rPr>
        <w:t>;</w:t>
      </w:r>
      <w:r w:rsidRPr="001167CB">
        <w:rPr>
          <w:rFonts w:asciiTheme="majorHAnsi" w:hAnsiTheme="majorHAnsi" w:cstheme="majorHAnsi"/>
          <w:bCs/>
          <w:color w:val="808080" w:themeColor="background1" w:themeShade="80"/>
          <w:sz w:val="16"/>
          <w:szCs w:val="16"/>
        </w:rPr>
        <w:t xml:space="preserve"> </w:t>
      </w:r>
      <w:hyperlink r:id="rId697" w:history="1">
        <w:r w:rsidRPr="001167CB">
          <w:rPr>
            <w:rStyle w:val="Hyperlink"/>
            <w:rFonts w:asciiTheme="majorHAnsi" w:hAnsiTheme="majorHAnsi" w:cstheme="majorHAnsi"/>
            <w:bCs/>
            <w:color w:val="808080" w:themeColor="background1" w:themeShade="80"/>
            <w:sz w:val="16"/>
            <w:szCs w:val="16"/>
          </w:rPr>
          <w:t>Investigation of Police Killings Press Release</w:t>
        </w:r>
      </w:hyperlink>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 xml:space="preserve">Aug. </w:t>
      </w:r>
      <w:r w:rsidRPr="001167CB">
        <w:rPr>
          <w:rFonts w:asciiTheme="majorHAnsi" w:hAnsiTheme="majorHAnsi" w:cstheme="majorHAnsi"/>
          <w:bCs/>
          <w:color w:val="808080" w:themeColor="background1" w:themeShade="80"/>
          <w:sz w:val="16"/>
          <w:szCs w:val="16"/>
        </w:rPr>
        <w:t>23, 2016.</w:t>
      </w:r>
    </w:p>
  </w:footnote>
  <w:footnote w:id="663">
    <w:p w14:paraId="6A78EDBB"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98" w:history="1">
        <w:r w:rsidRPr="001167CB">
          <w:rPr>
            <w:rStyle w:val="Hyperlink"/>
            <w:rFonts w:asciiTheme="majorHAnsi" w:hAnsiTheme="majorHAnsi" w:cstheme="majorHAnsi"/>
            <w:color w:val="808080" w:themeColor="background1" w:themeShade="80"/>
            <w:sz w:val="16"/>
            <w:szCs w:val="16"/>
          </w:rPr>
          <w:t>UN Principles on the Right to a Remedy and Reparation</w:t>
        </w:r>
      </w:hyperlink>
      <w:r w:rsidRPr="001167CB">
        <w:rPr>
          <w:rFonts w:asciiTheme="majorHAnsi" w:hAnsiTheme="majorHAnsi" w:cstheme="majorHAnsi"/>
          <w:color w:val="808080" w:themeColor="background1" w:themeShade="80"/>
          <w:sz w:val="16"/>
          <w:szCs w:val="16"/>
        </w:rPr>
        <w:t>, para. 19.</w:t>
      </w:r>
    </w:p>
  </w:footnote>
  <w:footnote w:id="664">
    <w:p w14:paraId="3C45012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699" w:history="1">
        <w:r w:rsidRPr="001167CB">
          <w:rPr>
            <w:rStyle w:val="Hyperlink"/>
            <w:rFonts w:asciiTheme="majorHAnsi" w:hAnsiTheme="majorHAnsi" w:cstheme="majorHAnsi"/>
            <w:color w:val="808080" w:themeColor="background1" w:themeShade="80"/>
            <w:sz w:val="16"/>
            <w:szCs w:val="16"/>
          </w:rPr>
          <w:t>UN Principles on the Right to a Remedy and Reparation</w:t>
        </w:r>
      </w:hyperlink>
      <w:r w:rsidRPr="001167CB">
        <w:rPr>
          <w:rFonts w:asciiTheme="majorHAnsi" w:hAnsiTheme="majorHAnsi" w:cstheme="majorHAnsi"/>
          <w:color w:val="808080" w:themeColor="background1" w:themeShade="80"/>
          <w:sz w:val="16"/>
          <w:szCs w:val="16"/>
        </w:rPr>
        <w:t>, para. 20.</w:t>
      </w:r>
    </w:p>
  </w:footnote>
  <w:footnote w:id="665">
    <w:p w14:paraId="3E4A871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 Ct. H.R., </w:t>
      </w:r>
      <w:r w:rsidRPr="001167CB">
        <w:rPr>
          <w:rFonts w:asciiTheme="majorHAnsi" w:hAnsiTheme="majorHAnsi" w:cstheme="majorHAnsi"/>
          <w:i/>
          <w:color w:val="808080" w:themeColor="background1" w:themeShade="80"/>
          <w:sz w:val="16"/>
          <w:szCs w:val="16"/>
        </w:rPr>
        <w:t>Cotton Field</w:t>
      </w:r>
      <w:r w:rsidRPr="001167CB">
        <w:rPr>
          <w:rFonts w:asciiTheme="majorHAnsi" w:hAnsiTheme="majorHAnsi" w:cstheme="majorHAnsi"/>
          <w:color w:val="808080" w:themeColor="background1" w:themeShade="80"/>
          <w:sz w:val="16"/>
          <w:szCs w:val="16"/>
        </w:rPr>
        <w:t xml:space="preserve">, Series C No. 205 (2009), fn. 547 (citing </w:t>
      </w:r>
      <w:proofErr w:type="spellStart"/>
      <w:r w:rsidRPr="001167CB">
        <w:rPr>
          <w:rFonts w:asciiTheme="majorHAnsi" w:hAnsiTheme="majorHAnsi" w:cstheme="majorHAnsi"/>
          <w:i/>
          <w:iCs/>
          <w:color w:val="808080" w:themeColor="background1" w:themeShade="80"/>
          <w:sz w:val="16"/>
          <w:szCs w:val="16"/>
        </w:rPr>
        <w:t>Anzualdo</w:t>
      </w:r>
      <w:proofErr w:type="spellEnd"/>
      <w:r w:rsidRPr="001167CB">
        <w:rPr>
          <w:rFonts w:asciiTheme="majorHAnsi" w:hAnsiTheme="majorHAnsi" w:cstheme="majorHAnsi"/>
          <w:i/>
          <w:iCs/>
          <w:color w:val="808080" w:themeColor="background1" w:themeShade="80"/>
          <w:sz w:val="16"/>
          <w:szCs w:val="16"/>
        </w:rPr>
        <w:t xml:space="preserve"> Castro v. Peru</w:t>
      </w:r>
      <w:r w:rsidRPr="001167CB">
        <w:rPr>
          <w:rFonts w:asciiTheme="majorHAnsi" w:hAnsiTheme="majorHAnsi" w:cstheme="majorHAnsi"/>
          <w:i/>
          <w:color w:val="808080" w:themeColor="background1" w:themeShade="80"/>
          <w:sz w:val="16"/>
          <w:szCs w:val="16"/>
        </w:rPr>
        <w:t xml:space="preserve">, </w:t>
      </w:r>
      <w:r w:rsidRPr="001167CB">
        <w:rPr>
          <w:rFonts w:asciiTheme="majorHAnsi" w:hAnsiTheme="majorHAnsi" w:cstheme="majorHAnsi"/>
          <w:iCs/>
          <w:color w:val="808080" w:themeColor="background1" w:themeShade="80"/>
          <w:sz w:val="16"/>
          <w:szCs w:val="16"/>
        </w:rPr>
        <w:t xml:space="preserve">para. 218, and </w:t>
      </w:r>
      <w:proofErr w:type="spellStart"/>
      <w:r w:rsidRPr="001167CB">
        <w:rPr>
          <w:rFonts w:asciiTheme="majorHAnsi" w:hAnsiTheme="majorHAnsi" w:cstheme="majorHAnsi"/>
          <w:i/>
          <w:iCs/>
          <w:color w:val="808080" w:themeColor="background1" w:themeShade="80"/>
          <w:sz w:val="16"/>
          <w:szCs w:val="16"/>
        </w:rPr>
        <w:t>Dacosta</w:t>
      </w:r>
      <w:proofErr w:type="spellEnd"/>
      <w:r w:rsidRPr="001167CB">
        <w:rPr>
          <w:rFonts w:asciiTheme="majorHAnsi" w:hAnsiTheme="majorHAnsi" w:cstheme="majorHAnsi"/>
          <w:i/>
          <w:iCs/>
          <w:color w:val="808080" w:themeColor="background1" w:themeShade="80"/>
          <w:sz w:val="16"/>
          <w:szCs w:val="16"/>
        </w:rPr>
        <w:t xml:space="preserve"> </w:t>
      </w:r>
      <w:proofErr w:type="spellStart"/>
      <w:r w:rsidRPr="001167CB">
        <w:rPr>
          <w:rFonts w:asciiTheme="majorHAnsi" w:hAnsiTheme="majorHAnsi" w:cstheme="majorHAnsi"/>
          <w:i/>
          <w:iCs/>
          <w:color w:val="808080" w:themeColor="background1" w:themeShade="80"/>
          <w:sz w:val="16"/>
          <w:szCs w:val="16"/>
        </w:rPr>
        <w:t>Cadogan</w:t>
      </w:r>
      <w:proofErr w:type="spellEnd"/>
      <w:r w:rsidRPr="001167CB">
        <w:rPr>
          <w:rFonts w:asciiTheme="majorHAnsi" w:hAnsiTheme="majorHAnsi" w:cstheme="majorHAnsi"/>
          <w:i/>
          <w:iCs/>
          <w:color w:val="808080" w:themeColor="background1" w:themeShade="80"/>
          <w:sz w:val="16"/>
          <w:szCs w:val="16"/>
        </w:rPr>
        <w:t xml:space="preserve"> v. Barbados, </w:t>
      </w:r>
      <w:r w:rsidRPr="001167CB">
        <w:rPr>
          <w:rFonts w:asciiTheme="majorHAnsi" w:hAnsiTheme="majorHAnsi" w:cstheme="majorHAnsi"/>
          <w:iCs/>
          <w:color w:val="808080" w:themeColor="background1" w:themeShade="80"/>
          <w:sz w:val="16"/>
          <w:szCs w:val="16"/>
        </w:rPr>
        <w:t>para. 111).</w:t>
      </w:r>
    </w:p>
  </w:footnote>
  <w:footnote w:id="666">
    <w:p w14:paraId="4C2E6217"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 Ct. H.R., </w:t>
      </w:r>
      <w:r w:rsidRPr="001167CB">
        <w:rPr>
          <w:rFonts w:asciiTheme="majorHAnsi" w:hAnsiTheme="majorHAnsi" w:cstheme="majorHAnsi"/>
          <w:i/>
          <w:color w:val="808080" w:themeColor="background1" w:themeShade="80"/>
          <w:sz w:val="16"/>
          <w:szCs w:val="16"/>
        </w:rPr>
        <w:t>Cotton Field</w:t>
      </w:r>
      <w:r w:rsidRPr="001167CB">
        <w:rPr>
          <w:rFonts w:asciiTheme="majorHAnsi" w:hAnsiTheme="majorHAnsi" w:cstheme="majorHAnsi"/>
          <w:color w:val="808080" w:themeColor="background1" w:themeShade="80"/>
          <w:sz w:val="16"/>
          <w:szCs w:val="16"/>
        </w:rPr>
        <w:t xml:space="preserve">, Series C No. 205 (2009), para. 549; </w:t>
      </w:r>
      <w:hyperlink r:id="rId700" w:history="1">
        <w:r w:rsidRPr="001167CB">
          <w:rPr>
            <w:rStyle w:val="Hyperlink"/>
            <w:rFonts w:asciiTheme="majorHAnsi" w:hAnsiTheme="majorHAnsi" w:cstheme="majorHAnsi"/>
            <w:color w:val="808080" w:themeColor="background1" w:themeShade="80"/>
            <w:sz w:val="16"/>
            <w:szCs w:val="16"/>
          </w:rPr>
          <w:t>UN Principles on the Right to a Remedy and Reparation</w:t>
        </w:r>
      </w:hyperlink>
      <w:r w:rsidRPr="001167CB">
        <w:rPr>
          <w:rFonts w:asciiTheme="majorHAnsi" w:hAnsiTheme="majorHAnsi" w:cstheme="majorHAnsi"/>
          <w:color w:val="808080" w:themeColor="background1" w:themeShade="80"/>
          <w:sz w:val="16"/>
          <w:szCs w:val="16"/>
        </w:rPr>
        <w:t xml:space="preserve">, para. </w:t>
      </w:r>
      <w:r w:rsidRPr="001167CB">
        <w:rPr>
          <w:rFonts w:asciiTheme="majorHAnsi" w:hAnsiTheme="majorHAnsi" w:cstheme="majorHAnsi"/>
          <w:color w:val="808080" w:themeColor="background1" w:themeShade="80"/>
          <w:sz w:val="16"/>
          <w:szCs w:val="16"/>
          <w:lang w:val="es-US"/>
        </w:rPr>
        <w:t xml:space="preserve">21; cf. </w:t>
      </w:r>
      <w:proofErr w:type="spellStart"/>
      <w:r w:rsidRPr="001167CB">
        <w:rPr>
          <w:rFonts w:asciiTheme="majorHAnsi" w:hAnsiTheme="majorHAnsi" w:cstheme="majorHAnsi"/>
          <w:i/>
          <w:color w:val="808080" w:themeColor="background1" w:themeShade="80"/>
          <w:sz w:val="16"/>
          <w:szCs w:val="16"/>
          <w:lang w:val="es-US"/>
        </w:rPr>
        <w:t>Kawas</w:t>
      </w:r>
      <w:proofErr w:type="spellEnd"/>
      <w:r w:rsidRPr="001167CB">
        <w:rPr>
          <w:rFonts w:asciiTheme="majorHAnsi" w:hAnsiTheme="majorHAnsi" w:cstheme="majorHAnsi"/>
          <w:i/>
          <w:color w:val="808080" w:themeColor="background1" w:themeShade="80"/>
          <w:sz w:val="16"/>
          <w:szCs w:val="16"/>
          <w:lang w:val="es-US"/>
        </w:rPr>
        <w:t xml:space="preserve"> Fernández v. Honduras</w:t>
      </w:r>
      <w:r w:rsidRPr="001167CB">
        <w:rPr>
          <w:rFonts w:asciiTheme="majorHAnsi" w:hAnsiTheme="majorHAnsi" w:cstheme="majorHAnsi"/>
          <w:color w:val="808080" w:themeColor="background1" w:themeShade="80"/>
          <w:sz w:val="16"/>
          <w:szCs w:val="16"/>
          <w:lang w:val="es-US"/>
        </w:rPr>
        <w:t xml:space="preserve">, para. 209; </w:t>
      </w:r>
      <w:proofErr w:type="spellStart"/>
      <w:r w:rsidRPr="001167CB">
        <w:rPr>
          <w:rFonts w:asciiTheme="majorHAnsi" w:hAnsiTheme="majorHAnsi" w:cstheme="majorHAnsi"/>
          <w:i/>
          <w:color w:val="808080" w:themeColor="background1" w:themeShade="80"/>
          <w:sz w:val="16"/>
          <w:szCs w:val="16"/>
          <w:lang w:val="es-US"/>
        </w:rPr>
        <w:t>Anzualdo</w:t>
      </w:r>
      <w:proofErr w:type="spellEnd"/>
      <w:r w:rsidRPr="001167CB">
        <w:rPr>
          <w:rFonts w:asciiTheme="majorHAnsi" w:hAnsiTheme="majorHAnsi" w:cstheme="majorHAnsi"/>
          <w:i/>
          <w:color w:val="808080" w:themeColor="background1" w:themeShade="80"/>
          <w:sz w:val="16"/>
          <w:szCs w:val="16"/>
          <w:lang w:val="es-US"/>
        </w:rPr>
        <w:t xml:space="preserve"> Castro v. </w:t>
      </w:r>
      <w:proofErr w:type="spellStart"/>
      <w:r w:rsidRPr="001167CB">
        <w:rPr>
          <w:rFonts w:asciiTheme="majorHAnsi" w:hAnsiTheme="majorHAnsi" w:cstheme="majorHAnsi"/>
          <w:i/>
          <w:color w:val="808080" w:themeColor="background1" w:themeShade="80"/>
          <w:sz w:val="16"/>
          <w:szCs w:val="16"/>
          <w:lang w:val="es-US"/>
        </w:rPr>
        <w:t>Peru</w:t>
      </w:r>
      <w:proofErr w:type="spellEnd"/>
      <w:r w:rsidRPr="001167CB">
        <w:rPr>
          <w:rFonts w:asciiTheme="majorHAnsi" w:hAnsiTheme="majorHAnsi" w:cstheme="majorHAnsi"/>
          <w:color w:val="808080" w:themeColor="background1" w:themeShade="80"/>
          <w:sz w:val="16"/>
          <w:szCs w:val="16"/>
          <w:lang w:val="es-US"/>
        </w:rPr>
        <w:t xml:space="preserve">, para. </w:t>
      </w:r>
      <w:r w:rsidRPr="001167CB">
        <w:rPr>
          <w:rFonts w:asciiTheme="majorHAnsi" w:hAnsiTheme="majorHAnsi" w:cstheme="majorHAnsi"/>
          <w:color w:val="808080" w:themeColor="background1" w:themeShade="80"/>
          <w:sz w:val="16"/>
          <w:szCs w:val="16"/>
        </w:rPr>
        <w:t>203.</w:t>
      </w:r>
    </w:p>
  </w:footnote>
  <w:footnote w:id="667">
    <w:p w14:paraId="2A75DE2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 Ct. H.R., </w:t>
      </w:r>
      <w:r w:rsidRPr="001167CB">
        <w:rPr>
          <w:rFonts w:asciiTheme="majorHAnsi" w:hAnsiTheme="majorHAnsi" w:cstheme="majorHAnsi"/>
          <w:i/>
          <w:color w:val="808080" w:themeColor="background1" w:themeShade="80"/>
          <w:sz w:val="16"/>
          <w:szCs w:val="16"/>
        </w:rPr>
        <w:t>Cotton Field</w:t>
      </w:r>
      <w:r w:rsidRPr="001167CB">
        <w:rPr>
          <w:rFonts w:asciiTheme="majorHAnsi" w:hAnsiTheme="majorHAnsi" w:cstheme="majorHAnsi"/>
          <w:color w:val="808080" w:themeColor="background1" w:themeShade="80"/>
          <w:sz w:val="16"/>
          <w:szCs w:val="16"/>
        </w:rPr>
        <w:t>, Series C No. 205 (2009), para. 549</w:t>
      </w:r>
    </w:p>
  </w:footnote>
  <w:footnote w:id="668">
    <w:p w14:paraId="06D94BAD"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i/>
          <w:color w:val="808080" w:themeColor="background1" w:themeShade="80"/>
          <w:sz w:val="16"/>
          <w:szCs w:val="16"/>
        </w:rPr>
        <w:t xml:space="preserve">See, e.g., </w:t>
      </w:r>
      <w:r w:rsidRPr="001167CB">
        <w:rPr>
          <w:rFonts w:asciiTheme="majorHAnsi" w:hAnsiTheme="majorHAnsi" w:cstheme="majorHAnsi"/>
          <w:color w:val="808080" w:themeColor="background1" w:themeShade="80"/>
          <w:sz w:val="16"/>
          <w:szCs w:val="16"/>
        </w:rPr>
        <w:t xml:space="preserve">I/A Ct. H.R., </w:t>
      </w:r>
      <w:r w:rsidRPr="001167CB">
        <w:rPr>
          <w:rFonts w:asciiTheme="majorHAnsi" w:hAnsiTheme="majorHAnsi" w:cstheme="majorHAnsi"/>
          <w:i/>
          <w:color w:val="808080" w:themeColor="background1" w:themeShade="80"/>
          <w:sz w:val="16"/>
          <w:szCs w:val="16"/>
        </w:rPr>
        <w:t>Cotton Field</w:t>
      </w:r>
      <w:r w:rsidRPr="001167CB">
        <w:rPr>
          <w:rFonts w:asciiTheme="majorHAnsi" w:hAnsiTheme="majorHAnsi" w:cstheme="majorHAnsi"/>
          <w:color w:val="808080" w:themeColor="background1" w:themeShade="80"/>
          <w:sz w:val="16"/>
          <w:szCs w:val="16"/>
        </w:rPr>
        <w:t xml:space="preserve">, Series C No. 205 (2009), para. </w:t>
      </w:r>
      <w:r w:rsidRPr="001167CB">
        <w:rPr>
          <w:rFonts w:asciiTheme="majorHAnsi" w:hAnsiTheme="majorHAnsi" w:cstheme="majorHAnsi"/>
          <w:color w:val="808080" w:themeColor="background1" w:themeShade="80"/>
          <w:sz w:val="16"/>
          <w:szCs w:val="16"/>
          <w:lang w:val="es-US"/>
        </w:rPr>
        <w:t xml:space="preserve">468; </w:t>
      </w:r>
      <w:r w:rsidRPr="001167CB">
        <w:rPr>
          <w:rFonts w:asciiTheme="majorHAnsi" w:hAnsiTheme="majorHAnsi" w:cstheme="majorHAnsi"/>
          <w:i/>
          <w:color w:val="808080" w:themeColor="background1" w:themeShade="80"/>
          <w:sz w:val="16"/>
          <w:szCs w:val="16"/>
          <w:lang w:val="es-US"/>
        </w:rPr>
        <w:t xml:space="preserve">Garibaldi v. </w:t>
      </w:r>
      <w:proofErr w:type="spellStart"/>
      <w:r w:rsidRPr="001167CB">
        <w:rPr>
          <w:rFonts w:asciiTheme="majorHAnsi" w:hAnsiTheme="majorHAnsi" w:cstheme="majorHAnsi"/>
          <w:i/>
          <w:color w:val="808080" w:themeColor="background1" w:themeShade="80"/>
          <w:sz w:val="16"/>
          <w:szCs w:val="16"/>
          <w:lang w:val="es-US"/>
        </w:rPr>
        <w:t>Brazil</w:t>
      </w:r>
      <w:proofErr w:type="spellEnd"/>
      <w:r w:rsidRPr="001167CB">
        <w:rPr>
          <w:rFonts w:asciiTheme="majorHAnsi" w:hAnsiTheme="majorHAnsi" w:cstheme="majorHAnsi"/>
          <w:color w:val="808080" w:themeColor="background1" w:themeShade="80"/>
          <w:sz w:val="16"/>
          <w:szCs w:val="16"/>
          <w:lang w:val="es-US"/>
        </w:rPr>
        <w:t xml:space="preserve">, para. 157; </w:t>
      </w:r>
      <w:proofErr w:type="spellStart"/>
      <w:r w:rsidRPr="001167CB">
        <w:rPr>
          <w:rFonts w:asciiTheme="majorHAnsi" w:hAnsiTheme="majorHAnsi" w:cstheme="majorHAnsi"/>
          <w:i/>
          <w:color w:val="808080" w:themeColor="background1" w:themeShade="80"/>
          <w:sz w:val="16"/>
          <w:szCs w:val="16"/>
          <w:lang w:val="es-US"/>
        </w:rPr>
        <w:t>Kawas</w:t>
      </w:r>
      <w:proofErr w:type="spellEnd"/>
      <w:r w:rsidRPr="001167CB">
        <w:rPr>
          <w:rFonts w:asciiTheme="majorHAnsi" w:hAnsiTheme="majorHAnsi" w:cstheme="majorHAnsi"/>
          <w:i/>
          <w:color w:val="808080" w:themeColor="background1" w:themeShade="80"/>
          <w:sz w:val="16"/>
          <w:szCs w:val="16"/>
          <w:lang w:val="es-US"/>
        </w:rPr>
        <w:t xml:space="preserve"> Fernández v. Honduras</w:t>
      </w:r>
      <w:r w:rsidRPr="001167CB">
        <w:rPr>
          <w:rFonts w:asciiTheme="majorHAnsi" w:hAnsiTheme="majorHAnsi" w:cstheme="majorHAnsi"/>
          <w:color w:val="808080" w:themeColor="background1" w:themeShade="80"/>
          <w:sz w:val="16"/>
          <w:szCs w:val="16"/>
          <w:lang w:val="es-US"/>
        </w:rPr>
        <w:t xml:space="preserve">, para. 199; </w:t>
      </w:r>
      <w:proofErr w:type="spellStart"/>
      <w:r w:rsidRPr="001167CB">
        <w:rPr>
          <w:rFonts w:asciiTheme="majorHAnsi" w:hAnsiTheme="majorHAnsi" w:cstheme="majorHAnsi"/>
          <w:i/>
          <w:color w:val="808080" w:themeColor="background1" w:themeShade="80"/>
          <w:sz w:val="16"/>
          <w:szCs w:val="16"/>
          <w:lang w:val="es-US"/>
        </w:rPr>
        <w:t>Escher</w:t>
      </w:r>
      <w:proofErr w:type="spellEnd"/>
      <w:r w:rsidRPr="001167CB">
        <w:rPr>
          <w:rFonts w:asciiTheme="majorHAnsi" w:hAnsiTheme="majorHAnsi" w:cstheme="majorHAnsi"/>
          <w:i/>
          <w:color w:val="808080" w:themeColor="background1" w:themeShade="80"/>
          <w:sz w:val="16"/>
          <w:szCs w:val="16"/>
          <w:lang w:val="es-US"/>
        </w:rPr>
        <w:t xml:space="preserve"> et al. v. </w:t>
      </w:r>
      <w:proofErr w:type="spellStart"/>
      <w:r w:rsidRPr="001167CB">
        <w:rPr>
          <w:rFonts w:asciiTheme="majorHAnsi" w:hAnsiTheme="majorHAnsi" w:cstheme="majorHAnsi"/>
          <w:i/>
          <w:color w:val="808080" w:themeColor="background1" w:themeShade="80"/>
          <w:sz w:val="16"/>
          <w:szCs w:val="16"/>
          <w:lang w:val="es-US"/>
        </w:rPr>
        <w:t>Brazil</w:t>
      </w:r>
      <w:proofErr w:type="spellEnd"/>
      <w:r w:rsidRPr="001167CB">
        <w:rPr>
          <w:rFonts w:asciiTheme="majorHAnsi" w:hAnsiTheme="majorHAnsi" w:cstheme="majorHAnsi"/>
          <w:color w:val="808080" w:themeColor="background1" w:themeShade="80"/>
          <w:sz w:val="16"/>
          <w:szCs w:val="16"/>
          <w:lang w:val="es-US"/>
        </w:rPr>
        <w:t xml:space="preserve">, para. </w:t>
      </w:r>
      <w:r w:rsidRPr="001167CB">
        <w:rPr>
          <w:rFonts w:asciiTheme="majorHAnsi" w:hAnsiTheme="majorHAnsi" w:cstheme="majorHAnsi"/>
          <w:color w:val="808080" w:themeColor="background1" w:themeShade="80"/>
          <w:sz w:val="16"/>
          <w:szCs w:val="16"/>
        </w:rPr>
        <w:t xml:space="preserve">239; </w:t>
      </w:r>
      <w:r w:rsidRPr="001167CB">
        <w:rPr>
          <w:rFonts w:asciiTheme="majorHAnsi" w:hAnsiTheme="majorHAnsi" w:cstheme="majorHAnsi"/>
          <w:i/>
          <w:color w:val="808080" w:themeColor="background1" w:themeShade="80"/>
          <w:sz w:val="16"/>
          <w:szCs w:val="16"/>
        </w:rPr>
        <w:t>Serrano Cruz Sisters v. El Salvador</w:t>
      </w:r>
      <w:r w:rsidRPr="001167CB">
        <w:rPr>
          <w:rFonts w:asciiTheme="majorHAnsi" w:hAnsiTheme="majorHAnsi" w:cstheme="majorHAnsi"/>
          <w:color w:val="808080" w:themeColor="background1" w:themeShade="80"/>
          <w:sz w:val="16"/>
          <w:szCs w:val="16"/>
        </w:rPr>
        <w:t>, para. 195.</w:t>
      </w:r>
    </w:p>
  </w:footnote>
  <w:footnote w:id="669">
    <w:p w14:paraId="5938F1D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701" w:history="1">
        <w:r w:rsidRPr="001167CB">
          <w:rPr>
            <w:rStyle w:val="Hyperlink"/>
            <w:rFonts w:asciiTheme="majorHAnsi" w:hAnsiTheme="majorHAnsi" w:cstheme="majorHAnsi"/>
            <w:color w:val="808080" w:themeColor="background1" w:themeShade="80"/>
            <w:sz w:val="16"/>
            <w:szCs w:val="16"/>
          </w:rPr>
          <w:t>UN Principles on the Right to a Remedy and Reparation</w:t>
        </w:r>
      </w:hyperlink>
      <w:r w:rsidRPr="001167CB">
        <w:rPr>
          <w:rFonts w:asciiTheme="majorHAnsi" w:hAnsiTheme="majorHAnsi" w:cstheme="majorHAnsi"/>
          <w:color w:val="808080" w:themeColor="background1" w:themeShade="80"/>
          <w:sz w:val="16"/>
          <w:szCs w:val="16"/>
        </w:rPr>
        <w:t>, para. 22.</w:t>
      </w:r>
    </w:p>
  </w:footnote>
  <w:footnote w:id="670">
    <w:p w14:paraId="78A244E1"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hyperlink r:id="rId702" w:history="1">
        <w:r w:rsidRPr="001167CB">
          <w:rPr>
            <w:rStyle w:val="Hyperlink"/>
            <w:rFonts w:asciiTheme="majorHAnsi" w:hAnsiTheme="majorHAnsi" w:cstheme="majorHAnsi"/>
            <w:color w:val="808080" w:themeColor="background1" w:themeShade="80"/>
            <w:sz w:val="16"/>
            <w:szCs w:val="16"/>
          </w:rPr>
          <w:t>UN Principles on the Right to a Remedy and Reparation</w:t>
        </w:r>
      </w:hyperlink>
      <w:r w:rsidRPr="001167CB">
        <w:rPr>
          <w:rFonts w:asciiTheme="majorHAnsi" w:hAnsiTheme="majorHAnsi" w:cstheme="majorHAnsi"/>
          <w:color w:val="808080" w:themeColor="background1" w:themeShade="80"/>
          <w:sz w:val="16"/>
          <w:szCs w:val="16"/>
        </w:rPr>
        <w:t>, para. 23.</w:t>
      </w:r>
    </w:p>
  </w:footnote>
  <w:footnote w:id="671">
    <w:p w14:paraId="0439570A"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s-MX"/>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t xml:space="preserve">IACHR, </w:t>
      </w:r>
      <w:hyperlink r:id="rId703" w:history="1">
        <w:r w:rsidRPr="001167CB">
          <w:rPr>
            <w:rStyle w:val="Hyperlink"/>
            <w:rFonts w:asciiTheme="majorHAnsi" w:hAnsiTheme="majorHAnsi" w:cstheme="majorHAnsi"/>
            <w:color w:val="808080" w:themeColor="background1" w:themeShade="80"/>
            <w:sz w:val="16"/>
            <w:szCs w:val="16"/>
          </w:rPr>
          <w:t>The Right to Truth</w:t>
        </w:r>
      </w:hyperlink>
      <w:r w:rsidRPr="001167CB">
        <w:rPr>
          <w:rFonts w:asciiTheme="majorHAnsi" w:hAnsiTheme="majorHAnsi" w:cstheme="majorHAnsi"/>
          <w:color w:val="808080" w:themeColor="background1" w:themeShade="80"/>
          <w:sz w:val="16"/>
          <w:szCs w:val="16"/>
        </w:rPr>
        <w:t xml:space="preserve"> (2014), para. 124 (citing UN, Human Rights Council, Report of the Special Rapporteur on the promotion of truth, justice, reparation and guarantees of non-recurrence, Pablo de </w:t>
      </w:r>
      <w:proofErr w:type="spellStart"/>
      <w:r w:rsidRPr="001167CB">
        <w:rPr>
          <w:rFonts w:asciiTheme="majorHAnsi" w:hAnsiTheme="majorHAnsi" w:cstheme="majorHAnsi"/>
          <w:color w:val="808080" w:themeColor="background1" w:themeShade="80"/>
          <w:sz w:val="16"/>
          <w:szCs w:val="16"/>
        </w:rPr>
        <w:t>Greiff</w:t>
      </w:r>
      <w:proofErr w:type="spellEnd"/>
      <w:r w:rsidRPr="001167CB">
        <w:rPr>
          <w:rFonts w:asciiTheme="majorHAnsi" w:hAnsiTheme="majorHAnsi" w:cstheme="majorHAnsi"/>
          <w:color w:val="808080" w:themeColor="background1" w:themeShade="80"/>
          <w:sz w:val="16"/>
          <w:szCs w:val="16"/>
        </w:rPr>
        <w:t xml:space="preserve">, A/HRC/21/46, Aug. 9, 2012, para. </w:t>
      </w:r>
      <w:r w:rsidRPr="001167CB">
        <w:rPr>
          <w:rFonts w:asciiTheme="majorHAnsi" w:hAnsiTheme="majorHAnsi" w:cstheme="majorHAnsi"/>
          <w:color w:val="808080" w:themeColor="background1" w:themeShade="80"/>
          <w:sz w:val="16"/>
          <w:szCs w:val="16"/>
          <w:lang w:val="es-MX"/>
        </w:rPr>
        <w:t>30).</w:t>
      </w:r>
    </w:p>
  </w:footnote>
  <w:footnote w:id="672">
    <w:p w14:paraId="26CCD24E"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s-MX"/>
        </w:rPr>
        <w:t xml:space="preserve"> </w:t>
      </w:r>
      <w:r w:rsidRPr="001167CB">
        <w:rPr>
          <w:rFonts w:asciiTheme="majorHAnsi" w:hAnsiTheme="majorHAnsi" w:cstheme="majorHAnsi"/>
          <w:color w:val="808080" w:themeColor="background1" w:themeShade="80"/>
          <w:sz w:val="16"/>
          <w:szCs w:val="16"/>
          <w:lang w:val="es-MX"/>
        </w:rPr>
        <w:tab/>
        <w:t xml:space="preserve">IACHR, </w:t>
      </w:r>
      <w:proofErr w:type="spellStart"/>
      <w:r w:rsidRPr="001167CB">
        <w:rPr>
          <w:rFonts w:asciiTheme="majorHAnsi" w:hAnsiTheme="majorHAnsi" w:cstheme="majorHAnsi"/>
          <w:color w:val="808080" w:themeColor="background1" w:themeShade="80"/>
          <w:sz w:val="16"/>
          <w:szCs w:val="16"/>
          <w:lang w:val="es-MX"/>
        </w:rPr>
        <w:t>Report</w:t>
      </w:r>
      <w:proofErr w:type="spellEnd"/>
      <w:r w:rsidRPr="001167CB">
        <w:rPr>
          <w:rFonts w:asciiTheme="majorHAnsi" w:hAnsiTheme="majorHAnsi" w:cstheme="majorHAnsi"/>
          <w:color w:val="808080" w:themeColor="background1" w:themeShade="80"/>
          <w:sz w:val="16"/>
          <w:szCs w:val="16"/>
          <w:lang w:val="es-MX"/>
        </w:rPr>
        <w:t xml:space="preserve"> No. 37/00, Case 11.481, </w:t>
      </w:r>
      <w:proofErr w:type="spellStart"/>
      <w:r w:rsidRPr="001167CB">
        <w:rPr>
          <w:rFonts w:asciiTheme="majorHAnsi" w:hAnsiTheme="majorHAnsi" w:cstheme="majorHAnsi"/>
          <w:i/>
          <w:color w:val="808080" w:themeColor="background1" w:themeShade="80"/>
          <w:sz w:val="16"/>
          <w:szCs w:val="16"/>
          <w:lang w:val="es-MX"/>
        </w:rPr>
        <w:t>Monsignor</w:t>
      </w:r>
      <w:proofErr w:type="spellEnd"/>
      <w:r w:rsidRPr="001167CB">
        <w:rPr>
          <w:rFonts w:asciiTheme="majorHAnsi" w:hAnsiTheme="majorHAnsi" w:cstheme="majorHAnsi"/>
          <w:i/>
          <w:color w:val="808080" w:themeColor="background1" w:themeShade="80"/>
          <w:sz w:val="16"/>
          <w:szCs w:val="16"/>
          <w:lang w:val="es-MX"/>
        </w:rPr>
        <w:t xml:space="preserve"> Oscar Arnulfo Romero y Galdámez</w:t>
      </w:r>
      <w:r w:rsidRPr="001167CB">
        <w:rPr>
          <w:rFonts w:asciiTheme="majorHAnsi" w:hAnsiTheme="majorHAnsi" w:cstheme="majorHAnsi"/>
          <w:color w:val="808080" w:themeColor="background1" w:themeShade="80"/>
          <w:sz w:val="16"/>
          <w:szCs w:val="16"/>
          <w:lang w:val="es-MX"/>
        </w:rPr>
        <w:t xml:space="preserve"> (El Salvador), </w:t>
      </w:r>
      <w:proofErr w:type="spellStart"/>
      <w:r w:rsidRPr="001167CB">
        <w:rPr>
          <w:rFonts w:asciiTheme="majorHAnsi" w:hAnsiTheme="majorHAnsi" w:cstheme="majorHAnsi"/>
          <w:color w:val="808080" w:themeColor="background1" w:themeShade="80"/>
          <w:sz w:val="16"/>
          <w:szCs w:val="16"/>
          <w:lang w:val="es-US"/>
        </w:rPr>
        <w:t>Apr</w:t>
      </w:r>
      <w:proofErr w:type="spellEnd"/>
      <w:r w:rsidRPr="001167CB">
        <w:rPr>
          <w:rFonts w:asciiTheme="majorHAnsi" w:hAnsiTheme="majorHAnsi" w:cstheme="majorHAnsi"/>
          <w:color w:val="808080" w:themeColor="background1" w:themeShade="80"/>
          <w:sz w:val="16"/>
          <w:szCs w:val="16"/>
          <w:lang w:val="es-US"/>
        </w:rPr>
        <w:t xml:space="preserve">. </w:t>
      </w:r>
      <w:r w:rsidRPr="001167CB">
        <w:rPr>
          <w:rFonts w:asciiTheme="majorHAnsi" w:hAnsiTheme="majorHAnsi" w:cstheme="majorHAnsi"/>
          <w:color w:val="808080" w:themeColor="background1" w:themeShade="80"/>
          <w:sz w:val="16"/>
          <w:szCs w:val="16"/>
          <w:lang w:val="es-MX"/>
        </w:rPr>
        <w:t xml:space="preserve">13, 2000, para. </w:t>
      </w:r>
      <w:r w:rsidRPr="001167CB">
        <w:rPr>
          <w:rFonts w:asciiTheme="majorHAnsi" w:hAnsiTheme="majorHAnsi" w:cstheme="majorHAnsi"/>
          <w:color w:val="808080" w:themeColor="background1" w:themeShade="80"/>
          <w:sz w:val="16"/>
          <w:szCs w:val="16"/>
        </w:rPr>
        <w:t>148.</w:t>
      </w:r>
    </w:p>
    <w:p w14:paraId="1AACD29B" w14:textId="77777777" w:rsidR="005C2394" w:rsidRPr="001167CB" w:rsidRDefault="005C2394" w:rsidP="001167CB">
      <w:pPr>
        <w:pStyle w:val="FootnoteText"/>
        <w:spacing w:after="40"/>
        <w:ind w:left="547"/>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 xml:space="preserve">The Commission has previously defined some measures of reparation designed to guarantee the right to truth ordered by the Inter-American Court, including, </w:t>
      </w:r>
      <w:r w:rsidRPr="001167CB">
        <w:rPr>
          <w:rFonts w:asciiTheme="majorHAnsi" w:hAnsiTheme="majorHAnsi" w:cstheme="majorHAnsi"/>
          <w:i/>
          <w:color w:val="808080" w:themeColor="background1" w:themeShade="80"/>
          <w:sz w:val="16"/>
          <w:szCs w:val="16"/>
        </w:rPr>
        <w:t>inter alia</w:t>
      </w:r>
      <w:r w:rsidRPr="001167CB">
        <w:rPr>
          <w:rFonts w:asciiTheme="majorHAnsi" w:hAnsiTheme="majorHAnsi" w:cstheme="majorHAnsi"/>
          <w:color w:val="808080" w:themeColor="background1" w:themeShade="80"/>
          <w:sz w:val="16"/>
          <w:szCs w:val="16"/>
        </w:rPr>
        <w:t>:</w:t>
      </w:r>
    </w:p>
    <w:p w14:paraId="731836BC" w14:textId="77777777" w:rsidR="005C2394" w:rsidRPr="001167CB" w:rsidRDefault="005C2394" w:rsidP="001167CB">
      <w:pPr>
        <w:pStyle w:val="FootnoteText"/>
        <w:numPr>
          <w:ilvl w:val="0"/>
          <w:numId w:val="27"/>
        </w:numPr>
        <w:tabs>
          <w:tab w:val="left" w:pos="450"/>
        </w:tabs>
        <w:spacing w:after="40"/>
        <w:ind w:left="900" w:hanging="450"/>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 xml:space="preserve">“initiate, expedite, re-open, supervise, continue and conclude, as appropriate, the investigations into all the facts with the greatest diligence and within a reasonable time, […] in order to identify, prosecute and, as appropriate, punish those responsible, and remove all de facto and legal mechanisms and obstacles that maintain impunity”; </w:t>
      </w:r>
    </w:p>
    <w:p w14:paraId="02F8AD82" w14:textId="77777777" w:rsidR="005C2394" w:rsidRPr="001167CB" w:rsidRDefault="005C2394" w:rsidP="001167CB">
      <w:pPr>
        <w:pStyle w:val="FootnoteText"/>
        <w:numPr>
          <w:ilvl w:val="0"/>
          <w:numId w:val="27"/>
        </w:numPr>
        <w:tabs>
          <w:tab w:val="left" w:pos="450"/>
        </w:tabs>
        <w:spacing w:after="40"/>
        <w:ind w:left="900" w:hanging="450"/>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 xml:space="preserve">“take into account the systematic pattern of human rights violations […] so that the pertinent investigations and proceedings are conducted, bearing in mind the complexity of the events and the context in which they occurred, avoiding omissions in the collection of evidence and in following logical lines of investigation based on a correct assessment of the systematic patterns that gave rise to the events under investigation”; </w:t>
      </w:r>
    </w:p>
    <w:p w14:paraId="1924F439" w14:textId="77777777" w:rsidR="005C2394" w:rsidRPr="001167CB" w:rsidRDefault="005C2394" w:rsidP="001167CB">
      <w:pPr>
        <w:pStyle w:val="FootnoteText"/>
        <w:numPr>
          <w:ilvl w:val="0"/>
          <w:numId w:val="27"/>
        </w:numPr>
        <w:tabs>
          <w:tab w:val="left" w:pos="450"/>
        </w:tabs>
        <w:spacing w:after="40"/>
        <w:ind w:left="900" w:hanging="450"/>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w:t>
      </w:r>
      <w:proofErr w:type="gramStart"/>
      <w:r w:rsidRPr="001167CB">
        <w:rPr>
          <w:rFonts w:asciiTheme="majorHAnsi" w:hAnsiTheme="majorHAnsi" w:cstheme="majorHAnsi"/>
          <w:color w:val="808080" w:themeColor="background1" w:themeShade="80"/>
          <w:sz w:val="16"/>
          <w:szCs w:val="16"/>
        </w:rPr>
        <w:t>determine</w:t>
      </w:r>
      <w:proofErr w:type="gramEnd"/>
      <w:r w:rsidRPr="001167CB">
        <w:rPr>
          <w:rFonts w:asciiTheme="majorHAnsi" w:hAnsiTheme="majorHAnsi" w:cstheme="majorHAnsi"/>
          <w:color w:val="808080" w:themeColor="background1" w:themeShade="80"/>
          <w:sz w:val="16"/>
          <w:szCs w:val="16"/>
        </w:rPr>
        <w:t xml:space="preserve"> the identity of all the alleged masterminds and perpetrators […]. Due diligence in the investigation means that all the State authorities are obliged to collaborate in the gathering of evidence; thus they must provide the judge, prosecutor or other judicial authority in the case with all the information that he requests and abstain from acts that obstruct the investigative process”; </w:t>
      </w:r>
    </w:p>
    <w:p w14:paraId="39B9F7B1" w14:textId="77777777" w:rsidR="005C2394" w:rsidRPr="001167CB" w:rsidRDefault="005C2394" w:rsidP="001167CB">
      <w:pPr>
        <w:pStyle w:val="FootnoteText"/>
        <w:numPr>
          <w:ilvl w:val="0"/>
          <w:numId w:val="27"/>
        </w:numPr>
        <w:tabs>
          <w:tab w:val="left" w:pos="450"/>
        </w:tabs>
        <w:spacing w:after="40"/>
        <w:ind w:left="900" w:hanging="450"/>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“ensure that the competent authorities conduct the corresponding investigations ex officio and, to this end, that they have and use all necessary logistical and scientific resources for gathering and processing evidence and, in particular, have the authority to access the pertinent documentation and information to investigate the facts denounced and to conduct promptly all essential actions and inquiries to clarify what happened”;</w:t>
      </w:r>
    </w:p>
    <w:p w14:paraId="2E6008A2" w14:textId="77777777" w:rsidR="005C2394" w:rsidRPr="001167CB" w:rsidRDefault="005C2394" w:rsidP="001167CB">
      <w:pPr>
        <w:pStyle w:val="FootnoteText"/>
        <w:numPr>
          <w:ilvl w:val="0"/>
          <w:numId w:val="27"/>
        </w:numPr>
        <w:tabs>
          <w:tab w:val="left" w:pos="450"/>
        </w:tabs>
        <w:spacing w:after="40"/>
        <w:ind w:left="900" w:hanging="450"/>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 xml:space="preserve">“guarantee that the investigations into the events […] remain, at all times, in the courts of ordinary jurisdiction”; </w:t>
      </w:r>
    </w:p>
    <w:p w14:paraId="353805B2" w14:textId="77777777" w:rsidR="005C2394" w:rsidRPr="001167CB" w:rsidRDefault="005C2394" w:rsidP="001167CB">
      <w:pPr>
        <w:pStyle w:val="FootnoteText"/>
        <w:numPr>
          <w:ilvl w:val="0"/>
          <w:numId w:val="27"/>
        </w:numPr>
        <w:tabs>
          <w:tab w:val="left" w:pos="450"/>
        </w:tabs>
        <w:spacing w:after="40"/>
        <w:ind w:left="900" w:hanging="450"/>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 xml:space="preserve">“ensure that the different organs of the justice system involved in the case have the necessary human, financial, logistic, scientific or any other type of resources necessary to perform their tasks adequately, independently and impartially”; </w:t>
      </w:r>
    </w:p>
    <w:p w14:paraId="413F4525" w14:textId="77777777" w:rsidR="005C2394" w:rsidRPr="001167CB" w:rsidRDefault="005C2394" w:rsidP="001167CB">
      <w:pPr>
        <w:pStyle w:val="FootnoteText"/>
        <w:numPr>
          <w:ilvl w:val="0"/>
          <w:numId w:val="27"/>
        </w:numPr>
        <w:tabs>
          <w:tab w:val="left" w:pos="450"/>
        </w:tabs>
        <w:spacing w:after="40"/>
        <w:ind w:left="900" w:hanging="450"/>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 xml:space="preserve">“ensure that victims or their next of kin have full access and legal standing at all the stages of the investigation and prosecution”; </w:t>
      </w:r>
    </w:p>
    <w:p w14:paraId="334C8139" w14:textId="77777777" w:rsidR="005C2394" w:rsidRPr="001167CB" w:rsidRDefault="005C2394" w:rsidP="001167CB">
      <w:pPr>
        <w:pStyle w:val="FootnoteText"/>
        <w:numPr>
          <w:ilvl w:val="0"/>
          <w:numId w:val="27"/>
        </w:numPr>
        <w:tabs>
          <w:tab w:val="left" w:pos="450"/>
        </w:tabs>
        <w:spacing w:after="40"/>
        <w:ind w:left="900" w:hanging="450"/>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 xml:space="preserve">“guarantee to agents of justice, and also society, public, technical and systematized access to archives that contain relevant and useful information for the ongoing investigations in cases concerning human rights violations”; </w:t>
      </w:r>
    </w:p>
    <w:p w14:paraId="190626F3" w14:textId="77777777" w:rsidR="005C2394" w:rsidRPr="001167CB" w:rsidRDefault="005C2394" w:rsidP="001167CB">
      <w:pPr>
        <w:pStyle w:val="FootnoteText"/>
        <w:numPr>
          <w:ilvl w:val="0"/>
          <w:numId w:val="27"/>
        </w:numPr>
        <w:tabs>
          <w:tab w:val="left" w:pos="450"/>
        </w:tabs>
        <w:spacing w:after="40"/>
        <w:ind w:left="900" w:hanging="450"/>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 xml:space="preserve">“establish coordination mechanisms between the different State bodies and institutions with the authority to investigate, and mechanisms to monitor the cases being processed”; </w:t>
      </w:r>
    </w:p>
    <w:p w14:paraId="1C10F772" w14:textId="77777777" w:rsidR="005C2394" w:rsidRPr="001167CB" w:rsidRDefault="005C2394" w:rsidP="001167CB">
      <w:pPr>
        <w:pStyle w:val="FootnoteText"/>
        <w:numPr>
          <w:ilvl w:val="0"/>
          <w:numId w:val="27"/>
        </w:numPr>
        <w:tabs>
          <w:tab w:val="left" w:pos="450"/>
        </w:tabs>
        <w:spacing w:after="40"/>
        <w:ind w:left="900" w:hanging="450"/>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 xml:space="preserve">“develop protocols for procedures in the matter with an interdisciplinary approach and train the officials involved in investigation of serious human rights violations”; </w:t>
      </w:r>
    </w:p>
    <w:p w14:paraId="51F1889C" w14:textId="77777777" w:rsidR="005C2394" w:rsidRPr="001167CB" w:rsidRDefault="005C2394" w:rsidP="001167CB">
      <w:pPr>
        <w:pStyle w:val="FootnoteText"/>
        <w:numPr>
          <w:ilvl w:val="0"/>
          <w:numId w:val="27"/>
        </w:numPr>
        <w:tabs>
          <w:tab w:val="left" w:pos="450"/>
        </w:tabs>
        <w:spacing w:after="40"/>
        <w:ind w:left="900" w:hanging="450"/>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“take differentiated impacts into account”;</w:t>
      </w:r>
    </w:p>
    <w:p w14:paraId="3A12AB5A" w14:textId="77777777" w:rsidR="005C2394" w:rsidRPr="001167CB" w:rsidRDefault="005C2394" w:rsidP="001167CB">
      <w:pPr>
        <w:pStyle w:val="FootnoteText"/>
        <w:numPr>
          <w:ilvl w:val="0"/>
          <w:numId w:val="27"/>
        </w:numPr>
        <w:tabs>
          <w:tab w:val="left" w:pos="450"/>
        </w:tabs>
        <w:spacing w:after="40"/>
        <w:ind w:left="900" w:hanging="450"/>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 xml:space="preserve">“execute the pending arrest warrants […] and issue any that are pertinent in order to prosecute all those responsible”; and </w:t>
      </w:r>
    </w:p>
    <w:p w14:paraId="79447E00" w14:textId="77777777" w:rsidR="005C2394" w:rsidRPr="001167CB" w:rsidRDefault="005C2394" w:rsidP="001167CB">
      <w:pPr>
        <w:pStyle w:val="FootnoteText"/>
        <w:numPr>
          <w:ilvl w:val="0"/>
          <w:numId w:val="27"/>
        </w:numPr>
        <w:tabs>
          <w:tab w:val="left" w:pos="450"/>
        </w:tabs>
        <w:spacing w:after="40"/>
        <w:ind w:left="900" w:hanging="450"/>
        <w:jc w:val="both"/>
        <w:rPr>
          <w:rFonts w:asciiTheme="majorHAnsi" w:hAnsiTheme="majorHAnsi" w:cstheme="majorHAnsi"/>
          <w:color w:val="808080" w:themeColor="background1" w:themeShade="80"/>
          <w:sz w:val="16"/>
          <w:szCs w:val="16"/>
        </w:rPr>
      </w:pPr>
      <w:r w:rsidRPr="001167CB">
        <w:rPr>
          <w:rFonts w:asciiTheme="majorHAnsi" w:hAnsiTheme="majorHAnsi" w:cstheme="majorHAnsi"/>
          <w:color w:val="808080" w:themeColor="background1" w:themeShade="80"/>
          <w:sz w:val="16"/>
          <w:szCs w:val="16"/>
        </w:rPr>
        <w:t>“</w:t>
      </w:r>
      <w:proofErr w:type="gramStart"/>
      <w:r w:rsidRPr="001167CB">
        <w:rPr>
          <w:rFonts w:asciiTheme="majorHAnsi" w:hAnsiTheme="majorHAnsi" w:cstheme="majorHAnsi"/>
          <w:color w:val="808080" w:themeColor="background1" w:themeShade="80"/>
          <w:sz w:val="16"/>
          <w:szCs w:val="16"/>
        </w:rPr>
        <w:t>initiate</w:t>
      </w:r>
      <w:proofErr w:type="gramEnd"/>
      <w:r w:rsidRPr="001167CB">
        <w:rPr>
          <w:rFonts w:asciiTheme="majorHAnsi" w:hAnsiTheme="majorHAnsi" w:cstheme="majorHAnsi"/>
          <w:color w:val="808080" w:themeColor="background1" w:themeShade="80"/>
          <w:sz w:val="16"/>
          <w:szCs w:val="16"/>
        </w:rPr>
        <w:t xml:space="preserve"> disciplinary, administrative, or criminal actions, in conformity with domestic legislation, against the State authorities who may have thwarted or prevented an adequate investigation of the facts, as well as those responsible for the different procedural irregularities.” IACHR, </w:t>
      </w:r>
      <w:hyperlink r:id="rId704" w:history="1">
        <w:r w:rsidRPr="001167CB">
          <w:rPr>
            <w:rStyle w:val="Hyperlink"/>
            <w:rFonts w:asciiTheme="majorHAnsi" w:hAnsiTheme="majorHAnsi" w:cstheme="majorHAnsi"/>
            <w:color w:val="808080" w:themeColor="background1" w:themeShade="80"/>
            <w:sz w:val="16"/>
            <w:szCs w:val="16"/>
          </w:rPr>
          <w:t>The Right to Truth</w:t>
        </w:r>
      </w:hyperlink>
      <w:r w:rsidRPr="001167CB">
        <w:rPr>
          <w:rFonts w:asciiTheme="majorHAnsi" w:hAnsiTheme="majorHAnsi" w:cstheme="majorHAnsi"/>
          <w:color w:val="808080" w:themeColor="background1" w:themeShade="80"/>
          <w:sz w:val="16"/>
          <w:szCs w:val="16"/>
        </w:rPr>
        <w:t xml:space="preserve"> (2014), para. 126 (citation omitted).</w:t>
      </w:r>
    </w:p>
  </w:footnote>
  <w:footnote w:id="673">
    <w:p w14:paraId="53A2ABD4"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hAnsiTheme="majorHAnsi" w:cstheme="majorHAnsi"/>
          <w:bCs/>
          <w:color w:val="808080" w:themeColor="background1" w:themeShade="80"/>
          <w:sz w:val="16"/>
          <w:szCs w:val="16"/>
        </w:rPr>
        <w:t xml:space="preserve">IACHR, </w:t>
      </w:r>
      <w:hyperlink r:id="rId705"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Oct. 16, 2015.</w:t>
      </w:r>
    </w:p>
  </w:footnote>
  <w:footnote w:id="674">
    <w:p w14:paraId="22A6B82A" w14:textId="453F46EB"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lang w:val="es-US"/>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s-US"/>
        </w:rPr>
        <w:t xml:space="preserve"> </w:t>
      </w:r>
      <w:r w:rsidRPr="001167CB">
        <w:rPr>
          <w:rFonts w:asciiTheme="majorHAnsi" w:hAnsiTheme="majorHAnsi" w:cstheme="majorHAnsi"/>
          <w:color w:val="808080" w:themeColor="background1" w:themeShade="80"/>
          <w:sz w:val="16"/>
          <w:szCs w:val="16"/>
          <w:lang w:val="es-US"/>
        </w:rPr>
        <w:tab/>
      </w:r>
      <w:proofErr w:type="spellStart"/>
      <w:r w:rsidRPr="001167CB">
        <w:rPr>
          <w:rFonts w:asciiTheme="majorHAnsi" w:hAnsiTheme="majorHAnsi" w:cstheme="majorHAnsi"/>
          <w:i/>
          <w:color w:val="808080" w:themeColor="background1" w:themeShade="80"/>
          <w:sz w:val="16"/>
          <w:szCs w:val="16"/>
          <w:lang w:val="es-US"/>
        </w:rPr>
        <w:t>See</w:t>
      </w:r>
      <w:proofErr w:type="spellEnd"/>
      <w:r w:rsidRPr="001167CB">
        <w:rPr>
          <w:rFonts w:asciiTheme="majorHAnsi" w:hAnsiTheme="majorHAnsi" w:cstheme="majorHAnsi"/>
          <w:i/>
          <w:color w:val="808080" w:themeColor="background1" w:themeShade="80"/>
          <w:sz w:val="16"/>
          <w:szCs w:val="16"/>
          <w:lang w:val="es-US"/>
        </w:rPr>
        <w:t xml:space="preserve"> supra</w:t>
      </w:r>
      <w:r w:rsidRPr="001167CB">
        <w:rPr>
          <w:rFonts w:asciiTheme="majorHAnsi" w:hAnsiTheme="majorHAnsi" w:cstheme="majorHAnsi"/>
          <w:color w:val="808080" w:themeColor="background1" w:themeShade="80"/>
          <w:sz w:val="16"/>
          <w:szCs w:val="16"/>
          <w:lang w:val="es-US"/>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lang w:val="es-US"/>
        </w:rPr>
        <w:instrText xml:space="preserve"> REF _Ref507506137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lang w:val="es-US"/>
        </w:rPr>
        <w:t>115</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lang w:val="es-US"/>
        </w:rPr>
        <w:t>.</w:t>
      </w:r>
    </w:p>
  </w:footnote>
  <w:footnote w:id="675">
    <w:p w14:paraId="70F3D60E" w14:textId="6D89CAFE"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lang w:val="es-US"/>
        </w:rPr>
        <w:t xml:space="preserve"> </w:t>
      </w:r>
      <w:r w:rsidRPr="001167CB">
        <w:rPr>
          <w:rFonts w:asciiTheme="majorHAnsi" w:hAnsiTheme="majorHAnsi" w:cstheme="majorHAnsi"/>
          <w:color w:val="808080" w:themeColor="background1" w:themeShade="80"/>
          <w:sz w:val="16"/>
          <w:szCs w:val="16"/>
          <w:lang w:val="es-US"/>
        </w:rPr>
        <w:tab/>
      </w:r>
      <w:proofErr w:type="spellStart"/>
      <w:r w:rsidRPr="001167CB">
        <w:rPr>
          <w:rFonts w:asciiTheme="majorHAnsi" w:hAnsiTheme="majorHAnsi" w:cstheme="majorHAnsi"/>
          <w:i/>
          <w:color w:val="808080" w:themeColor="background1" w:themeShade="80"/>
          <w:sz w:val="16"/>
          <w:szCs w:val="16"/>
          <w:lang w:val="es-US"/>
        </w:rPr>
        <w:t>See</w:t>
      </w:r>
      <w:proofErr w:type="spellEnd"/>
      <w:r w:rsidRPr="001167CB">
        <w:rPr>
          <w:rFonts w:asciiTheme="majorHAnsi" w:hAnsiTheme="majorHAnsi" w:cstheme="majorHAnsi"/>
          <w:i/>
          <w:color w:val="808080" w:themeColor="background1" w:themeShade="80"/>
          <w:sz w:val="16"/>
          <w:szCs w:val="16"/>
          <w:lang w:val="es-US"/>
        </w:rPr>
        <w:t xml:space="preserve"> supra</w:t>
      </w:r>
      <w:r w:rsidRPr="001167CB">
        <w:rPr>
          <w:rFonts w:asciiTheme="majorHAnsi" w:hAnsiTheme="majorHAnsi" w:cstheme="majorHAnsi"/>
          <w:color w:val="808080" w:themeColor="background1" w:themeShade="80"/>
          <w:sz w:val="16"/>
          <w:szCs w:val="16"/>
          <w:lang w:val="es-US"/>
        </w:rPr>
        <w:t xml:space="preserve"> para. </w:t>
      </w:r>
      <w:r w:rsidRPr="001167CB">
        <w:rPr>
          <w:rFonts w:asciiTheme="majorHAnsi" w:hAnsiTheme="majorHAnsi" w:cstheme="majorHAnsi"/>
          <w:color w:val="808080" w:themeColor="background1" w:themeShade="80"/>
          <w:sz w:val="16"/>
          <w:szCs w:val="16"/>
        </w:rPr>
        <w:fldChar w:fldCharType="begin"/>
      </w:r>
      <w:r w:rsidRPr="001167CB">
        <w:rPr>
          <w:rFonts w:asciiTheme="majorHAnsi" w:hAnsiTheme="majorHAnsi" w:cstheme="majorHAnsi"/>
          <w:color w:val="808080" w:themeColor="background1" w:themeShade="80"/>
          <w:sz w:val="16"/>
          <w:szCs w:val="16"/>
          <w:lang w:val="es-US"/>
        </w:rPr>
        <w:instrText xml:space="preserve"> REF _Ref507430107 \r \h  \* MERGEFORMAT </w:instrText>
      </w:r>
      <w:r w:rsidRPr="001167CB">
        <w:rPr>
          <w:rFonts w:asciiTheme="majorHAnsi" w:hAnsiTheme="majorHAnsi" w:cstheme="majorHAnsi"/>
          <w:color w:val="808080" w:themeColor="background1" w:themeShade="80"/>
          <w:sz w:val="16"/>
          <w:szCs w:val="16"/>
        </w:rPr>
      </w:r>
      <w:r w:rsidRPr="001167CB">
        <w:rPr>
          <w:rFonts w:asciiTheme="majorHAnsi" w:hAnsiTheme="majorHAnsi" w:cstheme="majorHAnsi"/>
          <w:color w:val="808080" w:themeColor="background1" w:themeShade="80"/>
          <w:sz w:val="16"/>
          <w:szCs w:val="16"/>
        </w:rPr>
        <w:fldChar w:fldCharType="separate"/>
      </w:r>
      <w:r w:rsidRPr="001167CB">
        <w:rPr>
          <w:rFonts w:asciiTheme="majorHAnsi" w:hAnsiTheme="majorHAnsi" w:cstheme="majorHAnsi"/>
          <w:color w:val="808080" w:themeColor="background1" w:themeShade="80"/>
          <w:sz w:val="16"/>
          <w:szCs w:val="16"/>
        </w:rPr>
        <w:t>116</w:t>
      </w:r>
      <w:r w:rsidRPr="001167CB">
        <w:rPr>
          <w:rFonts w:asciiTheme="majorHAnsi" w:hAnsiTheme="majorHAnsi" w:cstheme="majorHAnsi"/>
          <w:color w:val="808080" w:themeColor="background1" w:themeShade="80"/>
          <w:sz w:val="16"/>
          <w:szCs w:val="16"/>
        </w:rPr>
        <w:fldChar w:fldCharType="end"/>
      </w:r>
      <w:r w:rsidRPr="001167CB">
        <w:rPr>
          <w:rFonts w:asciiTheme="majorHAnsi" w:hAnsiTheme="majorHAnsi" w:cstheme="majorHAnsi"/>
          <w:color w:val="808080" w:themeColor="background1" w:themeShade="80"/>
          <w:sz w:val="16"/>
          <w:szCs w:val="16"/>
        </w:rPr>
        <w:t>.</w:t>
      </w:r>
    </w:p>
  </w:footnote>
  <w:footnote w:id="676">
    <w:p w14:paraId="5567DD22"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bCs/>
          <w:color w:val="808080" w:themeColor="background1" w:themeShade="80"/>
          <w:sz w:val="16"/>
          <w:szCs w:val="16"/>
        </w:rPr>
        <w:t xml:space="preserve"> </w:t>
      </w:r>
      <w:r w:rsidRPr="001167CB">
        <w:rPr>
          <w:rFonts w:asciiTheme="majorHAnsi" w:hAnsiTheme="majorHAnsi" w:cstheme="majorHAnsi"/>
          <w:bCs/>
          <w:color w:val="808080" w:themeColor="background1" w:themeShade="80"/>
          <w:sz w:val="16"/>
          <w:szCs w:val="16"/>
        </w:rPr>
        <w:tab/>
        <w:t xml:space="preserve">IACHR, </w:t>
      </w:r>
      <w:hyperlink r:id="rId706" w:history="1">
        <w:r w:rsidRPr="001167CB">
          <w:rPr>
            <w:rStyle w:val="Hyperlink"/>
            <w:rFonts w:asciiTheme="majorHAnsi" w:hAnsiTheme="majorHAnsi" w:cstheme="majorHAnsi"/>
            <w:bCs/>
            <w:color w:val="808080" w:themeColor="background1" w:themeShade="80"/>
            <w:sz w:val="16"/>
            <w:szCs w:val="16"/>
          </w:rPr>
          <w:t>On-Site Visit Press Release</w:t>
        </w:r>
      </w:hyperlink>
      <w:r w:rsidRPr="001167CB">
        <w:rPr>
          <w:rFonts w:asciiTheme="majorHAnsi" w:hAnsiTheme="majorHAnsi" w:cstheme="majorHAnsi"/>
          <w:bCs/>
          <w:color w:val="808080" w:themeColor="background1" w:themeShade="80"/>
          <w:sz w:val="16"/>
          <w:szCs w:val="16"/>
        </w:rPr>
        <w:t>, Oct. 16, 2015.</w:t>
      </w:r>
    </w:p>
  </w:footnote>
  <w:footnote w:id="677">
    <w:p w14:paraId="0C9B398C" w14:textId="77777777" w:rsidR="005C2394" w:rsidRPr="001167CB" w:rsidRDefault="005C2394" w:rsidP="002C64F8">
      <w:pPr>
        <w:pStyle w:val="FootnoteText"/>
        <w:spacing w:after="40"/>
        <w:ind w:left="547" w:hanging="547"/>
        <w:jc w:val="both"/>
        <w:rPr>
          <w:rFonts w:asciiTheme="majorHAnsi" w:hAnsiTheme="majorHAnsi" w:cstheme="majorHAnsi"/>
          <w:color w:val="808080" w:themeColor="background1" w:themeShade="80"/>
          <w:sz w:val="16"/>
          <w:szCs w:val="16"/>
        </w:rPr>
      </w:pPr>
      <w:r w:rsidRPr="001167CB">
        <w:rPr>
          <w:rStyle w:val="FootnoteReference"/>
          <w:rFonts w:asciiTheme="majorHAnsi" w:hAnsiTheme="majorHAnsi" w:cstheme="majorHAnsi"/>
          <w:color w:val="808080" w:themeColor="background1" w:themeShade="80"/>
          <w:sz w:val="16"/>
          <w:szCs w:val="16"/>
        </w:rPr>
        <w:footnoteRef/>
      </w:r>
      <w:r w:rsidRPr="001167CB">
        <w:rPr>
          <w:rFonts w:asciiTheme="majorHAnsi" w:hAnsiTheme="majorHAnsi" w:cstheme="majorHAnsi"/>
          <w:color w:val="808080" w:themeColor="background1" w:themeShade="80"/>
          <w:sz w:val="16"/>
          <w:szCs w:val="16"/>
        </w:rPr>
        <w:t xml:space="preserve"> </w:t>
      </w:r>
      <w:r w:rsidRPr="001167CB">
        <w:rPr>
          <w:rFonts w:asciiTheme="majorHAnsi" w:hAnsiTheme="majorHAnsi" w:cstheme="majorHAnsi"/>
          <w:color w:val="808080" w:themeColor="background1" w:themeShade="80"/>
          <w:sz w:val="16"/>
          <w:szCs w:val="16"/>
        </w:rPr>
        <w:tab/>
      </w:r>
      <w:r w:rsidRPr="001167CB">
        <w:rPr>
          <w:rFonts w:asciiTheme="majorHAnsi" w:eastAsia="Times New Roman" w:hAnsiTheme="majorHAnsi" w:cstheme="majorHAnsi"/>
          <w:bCs/>
          <w:color w:val="808080" w:themeColor="background1" w:themeShade="80"/>
          <w:sz w:val="16"/>
          <w:szCs w:val="16"/>
          <w:lang w:eastAsia="es-ES"/>
        </w:rPr>
        <w:t xml:space="preserve">IACHR, </w:t>
      </w:r>
      <w:hyperlink r:id="rId707" w:history="1">
        <w:r w:rsidRPr="001167CB">
          <w:rPr>
            <w:rStyle w:val="Hyperlink"/>
            <w:rFonts w:asciiTheme="majorHAnsi" w:eastAsia="Times New Roman" w:hAnsiTheme="majorHAnsi" w:cstheme="majorHAnsi"/>
            <w:bCs/>
            <w:color w:val="808080" w:themeColor="background1" w:themeShade="80"/>
            <w:sz w:val="16"/>
            <w:szCs w:val="16"/>
            <w:lang w:eastAsia="es-ES"/>
          </w:rPr>
          <w:t>People of African Descent in the Americas</w:t>
        </w:r>
      </w:hyperlink>
      <w:r w:rsidRPr="001167CB">
        <w:rPr>
          <w:rFonts w:asciiTheme="majorHAnsi" w:eastAsia="Times New Roman" w:hAnsiTheme="majorHAnsi" w:cstheme="majorHAnsi"/>
          <w:bCs/>
          <w:color w:val="808080" w:themeColor="background1" w:themeShade="80"/>
          <w:sz w:val="16"/>
          <w:szCs w:val="16"/>
          <w:lang w:eastAsia="es-ES"/>
        </w:rPr>
        <w:t xml:space="preserve"> (2011)</w:t>
      </w:r>
      <w:r w:rsidRPr="001167CB">
        <w:rPr>
          <w:rFonts w:asciiTheme="majorHAnsi" w:hAnsiTheme="majorHAnsi" w:cstheme="majorHAnsi"/>
          <w:color w:val="808080" w:themeColor="background1" w:themeShade="80"/>
          <w:sz w:val="16"/>
          <w:szCs w:val="16"/>
        </w:rPr>
        <w:t xml:space="preserve">, para. 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olor w:val="4A442A" w:themeColor="background2" w:themeShade="40"/>
        <w:sz w:val="16"/>
        <w:szCs w:val="16"/>
      </w:rPr>
      <w:id w:val="-1545829092"/>
      <w:docPartObj>
        <w:docPartGallery w:val="Page Numbers (Top of Page)"/>
        <w:docPartUnique/>
      </w:docPartObj>
    </w:sdtPr>
    <w:sdtEndPr>
      <w:rPr>
        <w:noProof/>
      </w:rPr>
    </w:sdtEndPr>
    <w:sdtContent>
      <w:p w14:paraId="626C1F37" w14:textId="77777777" w:rsidR="005C2394" w:rsidRPr="00D91D6A" w:rsidRDefault="005C2394" w:rsidP="00D91D6A">
        <w:pPr>
          <w:pStyle w:val="Header"/>
          <w:spacing w:after="420"/>
          <w:rPr>
            <w:rFonts w:asciiTheme="majorHAnsi" w:hAnsiTheme="majorHAnsi"/>
            <w:color w:val="4A442A" w:themeColor="background2" w:themeShade="40"/>
            <w:sz w:val="16"/>
            <w:szCs w:val="16"/>
          </w:rPr>
        </w:pPr>
        <w:r w:rsidRPr="00D91D6A">
          <w:rPr>
            <w:rFonts w:asciiTheme="majorHAnsi" w:hAnsiTheme="majorHAnsi"/>
            <w:color w:val="4A442A" w:themeColor="background2" w:themeShade="40"/>
            <w:sz w:val="16"/>
            <w:szCs w:val="16"/>
          </w:rPr>
          <w:fldChar w:fldCharType="begin"/>
        </w:r>
        <w:r w:rsidRPr="00D91D6A">
          <w:rPr>
            <w:rFonts w:asciiTheme="majorHAnsi" w:hAnsiTheme="majorHAnsi"/>
            <w:color w:val="4A442A" w:themeColor="background2" w:themeShade="40"/>
            <w:sz w:val="16"/>
            <w:szCs w:val="16"/>
          </w:rPr>
          <w:instrText xml:space="preserve"> PAGE   \* MERGEFORMAT </w:instrText>
        </w:r>
        <w:r w:rsidRPr="00D91D6A">
          <w:rPr>
            <w:rFonts w:asciiTheme="majorHAnsi" w:hAnsiTheme="majorHAnsi"/>
            <w:color w:val="4A442A" w:themeColor="background2" w:themeShade="40"/>
            <w:sz w:val="16"/>
            <w:szCs w:val="16"/>
          </w:rPr>
          <w:fldChar w:fldCharType="separate"/>
        </w:r>
        <w:r w:rsidR="0004388D">
          <w:rPr>
            <w:rFonts w:asciiTheme="majorHAnsi" w:hAnsiTheme="majorHAnsi"/>
            <w:noProof/>
            <w:color w:val="4A442A" w:themeColor="background2" w:themeShade="40"/>
            <w:sz w:val="16"/>
            <w:szCs w:val="16"/>
          </w:rPr>
          <w:t>8</w:t>
        </w:r>
        <w:r w:rsidRPr="00D91D6A">
          <w:rPr>
            <w:rFonts w:asciiTheme="majorHAnsi" w:hAnsiTheme="majorHAnsi"/>
            <w:noProof/>
            <w:color w:val="4A442A" w:themeColor="background2" w:themeShade="40"/>
            <w:sz w:val="16"/>
            <w:szCs w:val="16"/>
          </w:rPr>
          <w:fldChar w:fldCharType="end"/>
        </w:r>
        <w:r w:rsidRPr="00D91D6A">
          <w:rPr>
            <w:rFonts w:asciiTheme="majorHAnsi" w:hAnsiTheme="majorHAnsi"/>
            <w:noProof/>
            <w:color w:val="4A442A" w:themeColor="background2" w:themeShade="40"/>
            <w:sz w:val="16"/>
            <w:szCs w:val="16"/>
          </w:rPr>
          <w:t xml:space="preserve"> | </w:t>
        </w:r>
        <w:r>
          <w:rPr>
            <w:rFonts w:asciiTheme="majorHAnsi" w:hAnsiTheme="majorHAnsi"/>
            <w:noProof/>
            <w:color w:val="4A442A" w:themeColor="background2" w:themeShade="40"/>
            <w:sz w:val="16"/>
            <w:szCs w:val="16"/>
          </w:rPr>
          <w:t xml:space="preserve">Draft - </w:t>
        </w:r>
        <w:r w:rsidRPr="00307771">
          <w:rPr>
            <w:rFonts w:asciiTheme="majorHAnsi" w:hAnsiTheme="majorHAnsi"/>
            <w:noProof/>
            <w:color w:val="4A442A" w:themeColor="background2" w:themeShade="40"/>
            <w:sz w:val="16"/>
            <w:szCs w:val="16"/>
          </w:rPr>
          <w:t>African Americans, Police Use of Force, and Human Rights in the United States</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269F1" w14:textId="77777777" w:rsidR="005C2394" w:rsidRPr="00D034F3" w:rsidRDefault="005C2394" w:rsidP="00A9013E">
    <w:pPr>
      <w:pStyle w:val="Header"/>
      <w:spacing w:after="420"/>
      <w:jc w:val="right"/>
      <w:rPr>
        <w:rFonts w:asciiTheme="majorHAnsi" w:hAnsiTheme="majorHAnsi"/>
        <w:color w:val="4A442A" w:themeColor="background2" w:themeShade="40"/>
        <w:sz w:val="16"/>
        <w:szCs w:val="16"/>
      </w:rPr>
    </w:pPr>
    <w:r>
      <w:rPr>
        <w:rFonts w:asciiTheme="majorHAnsi" w:hAnsiTheme="majorHAnsi"/>
        <w:color w:val="4A442A" w:themeColor="background2" w:themeShade="40"/>
        <w:sz w:val="16"/>
        <w:szCs w:val="16"/>
      </w:rPr>
      <w:t xml:space="preserve">Structural Discrimination and </w:t>
    </w:r>
    <w:proofErr w:type="spellStart"/>
    <w:r>
      <w:rPr>
        <w:rFonts w:asciiTheme="majorHAnsi" w:hAnsiTheme="majorHAnsi"/>
        <w:color w:val="4A442A" w:themeColor="background2" w:themeShade="40"/>
        <w:sz w:val="16"/>
        <w:szCs w:val="16"/>
      </w:rPr>
      <w:t>Execssive</w:t>
    </w:r>
    <w:proofErr w:type="spellEnd"/>
    <w:r>
      <w:rPr>
        <w:rFonts w:asciiTheme="majorHAnsi" w:hAnsiTheme="majorHAnsi"/>
        <w:color w:val="4A442A" w:themeColor="background2" w:themeShade="40"/>
        <w:sz w:val="16"/>
        <w:szCs w:val="16"/>
      </w:rPr>
      <w:t xml:space="preserve"> use of Force in the U.S.</w:t>
    </w:r>
    <w:r w:rsidRPr="00D034F3">
      <w:rPr>
        <w:rFonts w:asciiTheme="majorHAnsi" w:hAnsiTheme="majorHAnsi"/>
        <w:color w:val="4A442A" w:themeColor="background2" w:themeShade="40"/>
        <w:sz w:val="16"/>
        <w:szCs w:val="16"/>
      </w:rPr>
      <w:t xml:space="preserve"> | </w:t>
    </w:r>
    <w:sdt>
      <w:sdtPr>
        <w:rPr>
          <w:rFonts w:asciiTheme="majorHAnsi" w:hAnsiTheme="majorHAnsi"/>
          <w:color w:val="4A442A" w:themeColor="background2" w:themeShade="40"/>
          <w:sz w:val="16"/>
          <w:szCs w:val="16"/>
        </w:rPr>
        <w:id w:val="1773669744"/>
        <w:docPartObj>
          <w:docPartGallery w:val="Page Numbers (Top of Page)"/>
          <w:docPartUnique/>
        </w:docPartObj>
      </w:sdtPr>
      <w:sdtEndPr>
        <w:rPr>
          <w:noProof/>
        </w:rPr>
      </w:sdtEndPr>
      <w:sdtContent>
        <w:r w:rsidRPr="00D034F3">
          <w:rPr>
            <w:rFonts w:asciiTheme="majorHAnsi" w:hAnsiTheme="majorHAnsi"/>
            <w:color w:val="4A442A" w:themeColor="background2" w:themeShade="40"/>
            <w:sz w:val="16"/>
            <w:szCs w:val="16"/>
          </w:rPr>
          <w:fldChar w:fldCharType="begin"/>
        </w:r>
        <w:r w:rsidRPr="00D034F3">
          <w:rPr>
            <w:rFonts w:asciiTheme="majorHAnsi" w:hAnsiTheme="majorHAnsi"/>
            <w:color w:val="4A442A" w:themeColor="background2" w:themeShade="40"/>
            <w:sz w:val="16"/>
            <w:szCs w:val="16"/>
          </w:rPr>
          <w:instrText xml:space="preserve"> PAGE   \* MERGEFORMAT </w:instrText>
        </w:r>
        <w:r w:rsidRPr="00D034F3">
          <w:rPr>
            <w:rFonts w:asciiTheme="majorHAnsi" w:hAnsiTheme="majorHAnsi"/>
            <w:color w:val="4A442A" w:themeColor="background2" w:themeShade="40"/>
            <w:sz w:val="16"/>
            <w:szCs w:val="16"/>
          </w:rPr>
          <w:fldChar w:fldCharType="separate"/>
        </w:r>
        <w:r>
          <w:rPr>
            <w:rFonts w:asciiTheme="majorHAnsi" w:hAnsiTheme="majorHAnsi"/>
            <w:noProof/>
            <w:color w:val="4A442A" w:themeColor="background2" w:themeShade="40"/>
            <w:sz w:val="16"/>
            <w:szCs w:val="16"/>
          </w:rPr>
          <w:t>63</w:t>
        </w:r>
        <w:r w:rsidRPr="00D034F3">
          <w:rPr>
            <w:rFonts w:asciiTheme="majorHAnsi" w:hAnsiTheme="majorHAnsi"/>
            <w:noProof/>
            <w:color w:val="4A442A" w:themeColor="background2" w:themeShade="40"/>
            <w:sz w:val="16"/>
            <w:szCs w:val="16"/>
          </w:rPr>
          <w:fldChar w:fldCharType="end"/>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C7EA" w14:textId="049ACD48" w:rsidR="005C2394" w:rsidRPr="00D034F3" w:rsidRDefault="005C2394" w:rsidP="00D034F3">
    <w:pPr>
      <w:pStyle w:val="Header"/>
      <w:spacing w:after="420"/>
      <w:jc w:val="right"/>
      <w:rPr>
        <w:rFonts w:asciiTheme="majorHAnsi" w:hAnsiTheme="majorHAnsi"/>
        <w:color w:val="4A442A" w:themeColor="background2" w:themeShade="40"/>
        <w:sz w:val="16"/>
        <w:szCs w:val="16"/>
      </w:rPr>
    </w:pPr>
    <w:r>
      <w:rPr>
        <w:rFonts w:asciiTheme="majorHAnsi" w:hAnsiTheme="majorHAnsi"/>
        <w:color w:val="4A442A" w:themeColor="background2" w:themeShade="40"/>
        <w:sz w:val="16"/>
        <w:szCs w:val="16"/>
      </w:rPr>
      <w:t>Chapter 2: Structural Discrimination and Excessive Use of Force in the U.S.</w:t>
    </w:r>
    <w:r w:rsidRPr="00D034F3">
      <w:rPr>
        <w:rFonts w:asciiTheme="majorHAnsi" w:hAnsiTheme="majorHAnsi"/>
        <w:color w:val="4A442A" w:themeColor="background2" w:themeShade="40"/>
        <w:sz w:val="16"/>
        <w:szCs w:val="16"/>
      </w:rPr>
      <w:t xml:space="preserve"> | </w:t>
    </w:r>
    <w:sdt>
      <w:sdtPr>
        <w:rPr>
          <w:rFonts w:asciiTheme="majorHAnsi" w:hAnsiTheme="majorHAnsi"/>
          <w:color w:val="4A442A" w:themeColor="background2" w:themeShade="40"/>
          <w:sz w:val="16"/>
          <w:szCs w:val="16"/>
        </w:rPr>
        <w:id w:val="1305748321"/>
        <w:docPartObj>
          <w:docPartGallery w:val="Page Numbers (Top of Page)"/>
          <w:docPartUnique/>
        </w:docPartObj>
      </w:sdtPr>
      <w:sdtEndPr>
        <w:rPr>
          <w:noProof/>
        </w:rPr>
      </w:sdtEndPr>
      <w:sdtContent>
        <w:r w:rsidRPr="00D034F3">
          <w:rPr>
            <w:rFonts w:asciiTheme="majorHAnsi" w:hAnsiTheme="majorHAnsi"/>
            <w:color w:val="4A442A" w:themeColor="background2" w:themeShade="40"/>
            <w:sz w:val="16"/>
            <w:szCs w:val="16"/>
          </w:rPr>
          <w:fldChar w:fldCharType="begin"/>
        </w:r>
        <w:r w:rsidRPr="00D034F3">
          <w:rPr>
            <w:rFonts w:asciiTheme="majorHAnsi" w:hAnsiTheme="majorHAnsi"/>
            <w:color w:val="4A442A" w:themeColor="background2" w:themeShade="40"/>
            <w:sz w:val="16"/>
            <w:szCs w:val="16"/>
          </w:rPr>
          <w:instrText xml:space="preserve"> PAGE   \* MERGEFORMAT </w:instrText>
        </w:r>
        <w:r w:rsidRPr="00D034F3">
          <w:rPr>
            <w:rFonts w:asciiTheme="majorHAnsi" w:hAnsiTheme="majorHAnsi"/>
            <w:color w:val="4A442A" w:themeColor="background2" w:themeShade="40"/>
            <w:sz w:val="16"/>
            <w:szCs w:val="16"/>
          </w:rPr>
          <w:fldChar w:fldCharType="separate"/>
        </w:r>
        <w:r w:rsidR="0004388D">
          <w:rPr>
            <w:rFonts w:asciiTheme="majorHAnsi" w:hAnsiTheme="majorHAnsi"/>
            <w:noProof/>
            <w:color w:val="4A442A" w:themeColor="background2" w:themeShade="40"/>
            <w:sz w:val="16"/>
            <w:szCs w:val="16"/>
          </w:rPr>
          <w:t>99</w:t>
        </w:r>
        <w:r w:rsidRPr="00D034F3">
          <w:rPr>
            <w:rFonts w:asciiTheme="majorHAnsi" w:hAnsiTheme="majorHAnsi"/>
            <w:noProof/>
            <w:color w:val="4A442A" w:themeColor="background2" w:themeShade="40"/>
            <w:sz w:val="16"/>
            <w:szCs w:val="16"/>
          </w:rPr>
          <w:fldChar w:fldCharType="end"/>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B5817" w14:textId="5A6F22B3" w:rsidR="005C2394" w:rsidRPr="003F5BAC" w:rsidRDefault="005C2394" w:rsidP="003F5B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E3736" w14:textId="3BD27C14" w:rsidR="005C2394" w:rsidRPr="00D034F3" w:rsidRDefault="005C2394" w:rsidP="00A9013E">
    <w:pPr>
      <w:pStyle w:val="Header"/>
      <w:spacing w:after="420"/>
      <w:jc w:val="right"/>
      <w:rPr>
        <w:rFonts w:asciiTheme="majorHAnsi" w:hAnsiTheme="majorHAnsi"/>
        <w:color w:val="4A442A" w:themeColor="background2" w:themeShade="40"/>
        <w:sz w:val="16"/>
        <w:szCs w:val="16"/>
      </w:rPr>
    </w:pPr>
    <w:r>
      <w:rPr>
        <w:rFonts w:asciiTheme="majorHAnsi" w:hAnsiTheme="majorHAnsi"/>
        <w:color w:val="4A442A" w:themeColor="background2" w:themeShade="40"/>
        <w:sz w:val="16"/>
        <w:szCs w:val="16"/>
      </w:rPr>
      <w:t>Chapter 3: Inter-American and International Obligations of t</w:t>
    </w:r>
    <w:r w:rsidRPr="0013717A">
      <w:rPr>
        <w:rFonts w:asciiTheme="majorHAnsi" w:hAnsiTheme="majorHAnsi"/>
        <w:color w:val="4A442A" w:themeColor="background2" w:themeShade="40"/>
        <w:sz w:val="16"/>
        <w:szCs w:val="16"/>
      </w:rPr>
      <w:t xml:space="preserve">he </w:t>
    </w:r>
    <w:proofErr w:type="spellStart"/>
    <w:r>
      <w:rPr>
        <w:rFonts w:asciiTheme="majorHAnsi" w:hAnsiTheme="majorHAnsi"/>
        <w:color w:val="4A442A" w:themeColor="background2" w:themeShade="40"/>
        <w:sz w:val="16"/>
        <w:szCs w:val="16"/>
      </w:rPr>
      <w:t>U.S.r</w:t>
    </w:r>
    <w:r w:rsidRPr="0013717A">
      <w:rPr>
        <w:rFonts w:asciiTheme="majorHAnsi" w:hAnsiTheme="majorHAnsi"/>
        <w:color w:val="4A442A" w:themeColor="background2" w:themeShade="40"/>
        <w:sz w:val="16"/>
        <w:szCs w:val="16"/>
      </w:rPr>
      <w:t>egarding</w:t>
    </w:r>
    <w:proofErr w:type="spellEnd"/>
    <w:r w:rsidRPr="0013717A">
      <w:rPr>
        <w:rFonts w:asciiTheme="majorHAnsi" w:hAnsiTheme="majorHAnsi"/>
        <w:color w:val="4A442A" w:themeColor="background2" w:themeShade="40"/>
        <w:sz w:val="16"/>
        <w:szCs w:val="16"/>
      </w:rPr>
      <w:t xml:space="preserve"> Non-Discrimination, Use </w:t>
    </w:r>
    <w:r>
      <w:rPr>
        <w:rFonts w:asciiTheme="majorHAnsi" w:hAnsiTheme="majorHAnsi"/>
        <w:color w:val="4A442A" w:themeColor="background2" w:themeShade="40"/>
        <w:sz w:val="16"/>
        <w:szCs w:val="16"/>
      </w:rPr>
      <w:t>o</w:t>
    </w:r>
    <w:r w:rsidRPr="0013717A">
      <w:rPr>
        <w:rFonts w:asciiTheme="majorHAnsi" w:hAnsiTheme="majorHAnsi"/>
        <w:color w:val="4A442A" w:themeColor="background2" w:themeShade="40"/>
        <w:sz w:val="16"/>
        <w:szCs w:val="16"/>
      </w:rPr>
      <w:t xml:space="preserve">f Force, </w:t>
    </w:r>
    <w:r>
      <w:rPr>
        <w:rFonts w:asciiTheme="majorHAnsi" w:hAnsiTheme="majorHAnsi"/>
        <w:color w:val="4A442A" w:themeColor="background2" w:themeShade="40"/>
        <w:sz w:val="16"/>
        <w:szCs w:val="16"/>
      </w:rPr>
      <w:t>a</w:t>
    </w:r>
    <w:r w:rsidRPr="0013717A">
      <w:rPr>
        <w:rFonts w:asciiTheme="majorHAnsi" w:hAnsiTheme="majorHAnsi"/>
        <w:color w:val="4A442A" w:themeColor="background2" w:themeShade="40"/>
        <w:sz w:val="16"/>
        <w:szCs w:val="16"/>
      </w:rPr>
      <w:t xml:space="preserve">nd Access </w:t>
    </w:r>
    <w:r>
      <w:rPr>
        <w:rFonts w:asciiTheme="majorHAnsi" w:hAnsiTheme="majorHAnsi"/>
        <w:color w:val="4A442A" w:themeColor="background2" w:themeShade="40"/>
        <w:sz w:val="16"/>
        <w:szCs w:val="16"/>
      </w:rPr>
      <w:t>t</w:t>
    </w:r>
    <w:r w:rsidRPr="0013717A">
      <w:rPr>
        <w:rFonts w:asciiTheme="majorHAnsi" w:hAnsiTheme="majorHAnsi"/>
        <w:color w:val="4A442A" w:themeColor="background2" w:themeShade="40"/>
        <w:sz w:val="16"/>
        <w:szCs w:val="16"/>
      </w:rPr>
      <w:t xml:space="preserve">o Justice </w:t>
    </w:r>
    <w:r w:rsidRPr="00D034F3">
      <w:rPr>
        <w:rFonts w:asciiTheme="majorHAnsi" w:hAnsiTheme="majorHAnsi"/>
        <w:color w:val="4A442A" w:themeColor="background2" w:themeShade="40"/>
        <w:sz w:val="16"/>
        <w:szCs w:val="16"/>
      </w:rPr>
      <w:t xml:space="preserve">| </w:t>
    </w:r>
    <w:sdt>
      <w:sdtPr>
        <w:rPr>
          <w:rFonts w:asciiTheme="majorHAnsi" w:hAnsiTheme="majorHAnsi"/>
          <w:color w:val="4A442A" w:themeColor="background2" w:themeShade="40"/>
          <w:sz w:val="16"/>
          <w:szCs w:val="16"/>
        </w:rPr>
        <w:id w:val="-332061211"/>
        <w:docPartObj>
          <w:docPartGallery w:val="Page Numbers (Top of Page)"/>
          <w:docPartUnique/>
        </w:docPartObj>
      </w:sdtPr>
      <w:sdtEndPr>
        <w:rPr>
          <w:noProof/>
        </w:rPr>
      </w:sdtEndPr>
      <w:sdtContent>
        <w:r w:rsidRPr="00D034F3">
          <w:rPr>
            <w:rFonts w:asciiTheme="majorHAnsi" w:hAnsiTheme="majorHAnsi"/>
            <w:color w:val="4A442A" w:themeColor="background2" w:themeShade="40"/>
            <w:sz w:val="16"/>
            <w:szCs w:val="16"/>
          </w:rPr>
          <w:fldChar w:fldCharType="begin"/>
        </w:r>
        <w:r w:rsidRPr="00D034F3">
          <w:rPr>
            <w:rFonts w:asciiTheme="majorHAnsi" w:hAnsiTheme="majorHAnsi"/>
            <w:color w:val="4A442A" w:themeColor="background2" w:themeShade="40"/>
            <w:sz w:val="16"/>
            <w:szCs w:val="16"/>
          </w:rPr>
          <w:instrText xml:space="preserve"> PAGE   \* MERGEFORMAT </w:instrText>
        </w:r>
        <w:r w:rsidRPr="00D034F3">
          <w:rPr>
            <w:rFonts w:asciiTheme="majorHAnsi" w:hAnsiTheme="majorHAnsi"/>
            <w:color w:val="4A442A" w:themeColor="background2" w:themeShade="40"/>
            <w:sz w:val="16"/>
            <w:szCs w:val="16"/>
          </w:rPr>
          <w:fldChar w:fldCharType="separate"/>
        </w:r>
        <w:r>
          <w:rPr>
            <w:rFonts w:asciiTheme="majorHAnsi" w:hAnsiTheme="majorHAnsi"/>
            <w:noProof/>
            <w:color w:val="4A442A" w:themeColor="background2" w:themeShade="40"/>
            <w:sz w:val="16"/>
            <w:szCs w:val="16"/>
          </w:rPr>
          <w:t>93</w:t>
        </w:r>
        <w:r w:rsidRPr="00D034F3">
          <w:rPr>
            <w:rFonts w:asciiTheme="majorHAnsi" w:hAnsiTheme="majorHAnsi"/>
            <w:noProof/>
            <w:color w:val="4A442A" w:themeColor="background2" w:themeShade="40"/>
            <w:sz w:val="16"/>
            <w:szCs w:val="16"/>
          </w:rPr>
          <w:fldChar w:fldCharType="end"/>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630"/>
    </w:tblGrid>
    <w:tr w:rsidR="005C2394" w14:paraId="5134F5E4" w14:textId="77777777" w:rsidTr="006E3350">
      <w:tc>
        <w:tcPr>
          <w:tcW w:w="7218" w:type="dxa"/>
        </w:tcPr>
        <w:p w14:paraId="47820810" w14:textId="206D9A1C" w:rsidR="005C2394" w:rsidRDefault="005C2394" w:rsidP="0004388D">
          <w:pPr>
            <w:pStyle w:val="Header"/>
            <w:spacing w:after="420"/>
            <w:jc w:val="right"/>
            <w:rPr>
              <w:rFonts w:asciiTheme="majorHAnsi" w:hAnsiTheme="majorHAnsi"/>
              <w:color w:val="4A442A" w:themeColor="background2" w:themeShade="40"/>
              <w:sz w:val="16"/>
              <w:szCs w:val="16"/>
            </w:rPr>
          </w:pPr>
          <w:r>
            <w:rPr>
              <w:rFonts w:asciiTheme="majorHAnsi" w:hAnsiTheme="majorHAnsi"/>
              <w:color w:val="4A442A" w:themeColor="background2" w:themeShade="40"/>
              <w:sz w:val="16"/>
              <w:szCs w:val="16"/>
            </w:rPr>
            <w:t xml:space="preserve">Chapter 3: </w:t>
          </w:r>
          <w:r w:rsidRPr="003F5BAC">
            <w:rPr>
              <w:rFonts w:asciiTheme="majorHAnsi" w:hAnsiTheme="majorHAnsi"/>
              <w:color w:val="4A442A" w:themeColor="background2" w:themeShade="40"/>
              <w:sz w:val="16"/>
              <w:szCs w:val="16"/>
            </w:rPr>
            <w:t>I</w:t>
          </w:r>
          <w:r>
            <w:rPr>
              <w:rFonts w:asciiTheme="majorHAnsi" w:hAnsiTheme="majorHAnsi"/>
              <w:color w:val="4A442A" w:themeColor="background2" w:themeShade="40"/>
              <w:sz w:val="16"/>
              <w:szCs w:val="16"/>
            </w:rPr>
            <w:t>nter-American and International Obligations o</w:t>
          </w:r>
          <w:r w:rsidRPr="003F5BAC">
            <w:rPr>
              <w:rFonts w:asciiTheme="majorHAnsi" w:hAnsiTheme="majorHAnsi"/>
              <w:color w:val="4A442A" w:themeColor="background2" w:themeShade="40"/>
              <w:sz w:val="16"/>
              <w:szCs w:val="16"/>
            </w:rPr>
            <w:t xml:space="preserve">f </w:t>
          </w:r>
          <w:r>
            <w:rPr>
              <w:rFonts w:asciiTheme="majorHAnsi" w:hAnsiTheme="majorHAnsi"/>
              <w:color w:val="4A442A" w:themeColor="background2" w:themeShade="40"/>
              <w:sz w:val="16"/>
              <w:szCs w:val="16"/>
            </w:rPr>
            <w:t>t</w:t>
          </w:r>
          <w:r w:rsidR="00226E45">
            <w:rPr>
              <w:rFonts w:asciiTheme="majorHAnsi" w:hAnsiTheme="majorHAnsi"/>
              <w:color w:val="4A442A" w:themeColor="background2" w:themeShade="40"/>
              <w:sz w:val="16"/>
              <w:szCs w:val="16"/>
            </w:rPr>
            <w:t xml:space="preserve">he United States </w:t>
          </w:r>
          <w:r w:rsidR="0004388D">
            <w:rPr>
              <w:rFonts w:asciiTheme="majorHAnsi" w:hAnsiTheme="majorHAnsi"/>
              <w:color w:val="4A442A" w:themeColor="background2" w:themeShade="40"/>
              <w:sz w:val="16"/>
              <w:szCs w:val="16"/>
            </w:rPr>
            <w:br/>
          </w:r>
          <w:r w:rsidR="00226E45">
            <w:rPr>
              <w:rFonts w:asciiTheme="majorHAnsi" w:hAnsiTheme="majorHAnsi"/>
              <w:color w:val="4A442A" w:themeColor="background2" w:themeShade="40"/>
              <w:sz w:val="16"/>
              <w:szCs w:val="16"/>
            </w:rPr>
            <w:t>r</w:t>
          </w:r>
          <w:r w:rsidRPr="003F5BAC">
            <w:rPr>
              <w:rFonts w:asciiTheme="majorHAnsi" w:hAnsiTheme="majorHAnsi"/>
              <w:color w:val="4A442A" w:themeColor="background2" w:themeShade="40"/>
              <w:sz w:val="16"/>
              <w:szCs w:val="16"/>
            </w:rPr>
            <w:t>eg</w:t>
          </w:r>
          <w:r>
            <w:rPr>
              <w:rFonts w:asciiTheme="majorHAnsi" w:hAnsiTheme="majorHAnsi"/>
              <w:color w:val="4A442A" w:themeColor="background2" w:themeShade="40"/>
              <w:sz w:val="16"/>
              <w:szCs w:val="16"/>
            </w:rPr>
            <w:t>arding Non-Discrimination,</w:t>
          </w:r>
          <w:r w:rsidR="0004388D">
            <w:rPr>
              <w:rFonts w:asciiTheme="majorHAnsi" w:hAnsiTheme="majorHAnsi"/>
              <w:color w:val="4A442A" w:themeColor="background2" w:themeShade="40"/>
              <w:sz w:val="16"/>
              <w:szCs w:val="16"/>
            </w:rPr>
            <w:t xml:space="preserve"> </w:t>
          </w:r>
          <w:r>
            <w:rPr>
              <w:rFonts w:asciiTheme="majorHAnsi" w:hAnsiTheme="majorHAnsi"/>
              <w:color w:val="4A442A" w:themeColor="background2" w:themeShade="40"/>
              <w:sz w:val="16"/>
              <w:szCs w:val="16"/>
            </w:rPr>
            <w:t>Use of Force, and Access t</w:t>
          </w:r>
          <w:r w:rsidRPr="003F5BAC">
            <w:rPr>
              <w:rFonts w:asciiTheme="majorHAnsi" w:hAnsiTheme="majorHAnsi"/>
              <w:color w:val="4A442A" w:themeColor="background2" w:themeShade="40"/>
              <w:sz w:val="16"/>
              <w:szCs w:val="16"/>
            </w:rPr>
            <w:t>o Justice</w:t>
          </w:r>
        </w:p>
      </w:tc>
      <w:tc>
        <w:tcPr>
          <w:tcW w:w="630" w:type="dxa"/>
        </w:tcPr>
        <w:p w14:paraId="627C2F71" w14:textId="1B04BBAB" w:rsidR="005C2394" w:rsidRDefault="005C2394" w:rsidP="00D034F3">
          <w:pPr>
            <w:pStyle w:val="Header"/>
            <w:spacing w:after="420"/>
            <w:jc w:val="right"/>
            <w:rPr>
              <w:rFonts w:asciiTheme="majorHAnsi" w:hAnsiTheme="majorHAnsi"/>
              <w:color w:val="4A442A" w:themeColor="background2" w:themeShade="40"/>
              <w:sz w:val="16"/>
              <w:szCs w:val="16"/>
            </w:rPr>
          </w:pPr>
          <w:r w:rsidRPr="00D034F3">
            <w:rPr>
              <w:rFonts w:asciiTheme="majorHAnsi" w:hAnsiTheme="majorHAnsi"/>
              <w:color w:val="4A442A" w:themeColor="background2" w:themeShade="40"/>
              <w:sz w:val="16"/>
              <w:szCs w:val="16"/>
            </w:rPr>
            <w:t xml:space="preserve">| </w:t>
          </w:r>
          <w:sdt>
            <w:sdtPr>
              <w:rPr>
                <w:rFonts w:asciiTheme="majorHAnsi" w:hAnsiTheme="majorHAnsi"/>
                <w:color w:val="4A442A" w:themeColor="background2" w:themeShade="40"/>
                <w:sz w:val="16"/>
                <w:szCs w:val="16"/>
              </w:rPr>
              <w:id w:val="-65724287"/>
              <w:docPartObj>
                <w:docPartGallery w:val="Page Numbers (Top of Page)"/>
                <w:docPartUnique/>
              </w:docPartObj>
            </w:sdtPr>
            <w:sdtEndPr>
              <w:rPr>
                <w:noProof/>
              </w:rPr>
            </w:sdtEndPr>
            <w:sdtContent>
              <w:r w:rsidRPr="00D034F3">
                <w:rPr>
                  <w:rFonts w:asciiTheme="majorHAnsi" w:hAnsiTheme="majorHAnsi"/>
                  <w:color w:val="4A442A" w:themeColor="background2" w:themeShade="40"/>
                  <w:sz w:val="16"/>
                  <w:szCs w:val="16"/>
                </w:rPr>
                <w:fldChar w:fldCharType="begin"/>
              </w:r>
              <w:r w:rsidRPr="00D034F3">
                <w:rPr>
                  <w:rFonts w:asciiTheme="majorHAnsi" w:hAnsiTheme="majorHAnsi"/>
                  <w:color w:val="4A442A" w:themeColor="background2" w:themeShade="40"/>
                  <w:sz w:val="16"/>
                  <w:szCs w:val="16"/>
                </w:rPr>
                <w:instrText xml:space="preserve"> PAGE   \* MERGEFORMAT </w:instrText>
              </w:r>
              <w:r w:rsidRPr="00D034F3">
                <w:rPr>
                  <w:rFonts w:asciiTheme="majorHAnsi" w:hAnsiTheme="majorHAnsi"/>
                  <w:color w:val="4A442A" w:themeColor="background2" w:themeShade="40"/>
                  <w:sz w:val="16"/>
                  <w:szCs w:val="16"/>
                </w:rPr>
                <w:fldChar w:fldCharType="separate"/>
              </w:r>
              <w:r w:rsidR="00A769FF">
                <w:rPr>
                  <w:rFonts w:asciiTheme="majorHAnsi" w:hAnsiTheme="majorHAnsi"/>
                  <w:noProof/>
                  <w:color w:val="4A442A" w:themeColor="background2" w:themeShade="40"/>
                  <w:sz w:val="16"/>
                  <w:szCs w:val="16"/>
                </w:rPr>
                <w:t>151</w:t>
              </w:r>
              <w:r w:rsidRPr="00D034F3">
                <w:rPr>
                  <w:rFonts w:asciiTheme="majorHAnsi" w:hAnsiTheme="majorHAnsi"/>
                  <w:noProof/>
                  <w:color w:val="4A442A" w:themeColor="background2" w:themeShade="40"/>
                  <w:sz w:val="16"/>
                  <w:szCs w:val="16"/>
                </w:rPr>
                <w:fldChar w:fldCharType="end"/>
              </w:r>
            </w:sdtContent>
          </w:sdt>
        </w:p>
      </w:tc>
    </w:tr>
  </w:tbl>
  <w:p w14:paraId="26758A9D" w14:textId="0EDEF90A" w:rsidR="005C2394" w:rsidRPr="006E3350" w:rsidRDefault="005C2394" w:rsidP="006E3350">
    <w:pPr>
      <w:pStyle w:val="Header"/>
      <w:jc w:val="right"/>
      <w:rPr>
        <w:rFonts w:asciiTheme="majorHAnsi" w:hAnsiTheme="majorHAnsi"/>
        <w:color w:val="4A442A" w:themeColor="background2" w:themeShade="40"/>
        <w:sz w:val="4"/>
        <w:szCs w:val="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A6145" w14:textId="66626211" w:rsidR="005C2394" w:rsidRPr="00E027D0" w:rsidRDefault="005C2394" w:rsidP="00E027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3019" w14:textId="1C0A1ECE" w:rsidR="005C2394" w:rsidRPr="00BB0D79" w:rsidRDefault="005C2394" w:rsidP="00A9013E">
    <w:pPr>
      <w:pStyle w:val="Header"/>
      <w:spacing w:after="420"/>
      <w:jc w:val="right"/>
      <w:rPr>
        <w:rFonts w:asciiTheme="majorHAnsi" w:hAnsiTheme="majorHAnsi"/>
        <w:color w:val="4A442A" w:themeColor="background2" w:themeShade="40"/>
        <w:sz w:val="16"/>
        <w:szCs w:val="16"/>
      </w:rPr>
    </w:pPr>
    <w:r>
      <w:rPr>
        <w:rFonts w:asciiTheme="majorHAnsi" w:hAnsiTheme="majorHAnsi"/>
        <w:color w:val="4A442A" w:themeColor="background2" w:themeShade="40"/>
        <w:sz w:val="16"/>
        <w:szCs w:val="16"/>
      </w:rPr>
      <w:t xml:space="preserve">Chapter 4: </w:t>
    </w:r>
    <w:r w:rsidRPr="00BB0D79">
      <w:rPr>
        <w:rFonts w:asciiTheme="majorHAnsi" w:hAnsiTheme="majorHAnsi"/>
        <w:color w:val="4A442A" w:themeColor="background2" w:themeShade="40"/>
        <w:sz w:val="16"/>
        <w:szCs w:val="16"/>
      </w:rPr>
      <w:t xml:space="preserve">Conclusion and Recommendations | </w:t>
    </w:r>
    <w:sdt>
      <w:sdtPr>
        <w:rPr>
          <w:rFonts w:asciiTheme="majorHAnsi" w:hAnsiTheme="majorHAnsi"/>
          <w:color w:val="4A442A" w:themeColor="background2" w:themeShade="40"/>
          <w:sz w:val="16"/>
          <w:szCs w:val="16"/>
        </w:rPr>
        <w:id w:val="-1240634568"/>
        <w:docPartObj>
          <w:docPartGallery w:val="Page Numbers (Top of Page)"/>
          <w:docPartUnique/>
        </w:docPartObj>
      </w:sdtPr>
      <w:sdtEndPr>
        <w:rPr>
          <w:noProof/>
        </w:rPr>
      </w:sdtEndPr>
      <w:sdtContent>
        <w:r w:rsidRPr="00BB0D79">
          <w:rPr>
            <w:rFonts w:asciiTheme="majorHAnsi" w:hAnsiTheme="majorHAnsi"/>
            <w:color w:val="4A442A" w:themeColor="background2" w:themeShade="40"/>
            <w:sz w:val="16"/>
            <w:szCs w:val="16"/>
          </w:rPr>
          <w:fldChar w:fldCharType="begin"/>
        </w:r>
        <w:r w:rsidRPr="00BB0D79">
          <w:rPr>
            <w:rFonts w:asciiTheme="majorHAnsi" w:hAnsiTheme="majorHAnsi"/>
            <w:color w:val="4A442A" w:themeColor="background2" w:themeShade="40"/>
            <w:sz w:val="16"/>
            <w:szCs w:val="16"/>
          </w:rPr>
          <w:instrText xml:space="preserve"> PAGE   \* MERGEFORMAT </w:instrText>
        </w:r>
        <w:r w:rsidRPr="00BB0D79">
          <w:rPr>
            <w:rFonts w:asciiTheme="majorHAnsi" w:hAnsiTheme="majorHAnsi"/>
            <w:color w:val="4A442A" w:themeColor="background2" w:themeShade="40"/>
            <w:sz w:val="16"/>
            <w:szCs w:val="16"/>
          </w:rPr>
          <w:fldChar w:fldCharType="separate"/>
        </w:r>
        <w:r>
          <w:rPr>
            <w:rFonts w:asciiTheme="majorHAnsi" w:hAnsiTheme="majorHAnsi"/>
            <w:noProof/>
            <w:color w:val="4A442A" w:themeColor="background2" w:themeShade="40"/>
            <w:sz w:val="16"/>
            <w:szCs w:val="16"/>
          </w:rPr>
          <w:t>143</w:t>
        </w:r>
        <w:r w:rsidRPr="00BB0D79">
          <w:rPr>
            <w:rFonts w:asciiTheme="majorHAnsi" w:hAnsiTheme="majorHAnsi"/>
            <w:noProof/>
            <w:color w:val="4A442A" w:themeColor="background2" w:themeShade="40"/>
            <w:sz w:val="16"/>
            <w:szCs w:val="16"/>
          </w:rPr>
          <w:fldChar w:fldCharType="end"/>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58D50" w14:textId="1D17703B" w:rsidR="005C2394" w:rsidRPr="00D034F3" w:rsidRDefault="005C2394" w:rsidP="00D034F3">
    <w:pPr>
      <w:pStyle w:val="Header"/>
      <w:spacing w:after="420"/>
      <w:jc w:val="right"/>
      <w:rPr>
        <w:rFonts w:asciiTheme="majorHAnsi" w:hAnsiTheme="majorHAnsi"/>
        <w:color w:val="4A442A" w:themeColor="background2" w:themeShade="40"/>
        <w:sz w:val="16"/>
        <w:szCs w:val="16"/>
      </w:rPr>
    </w:pPr>
    <w:r>
      <w:rPr>
        <w:rFonts w:asciiTheme="majorHAnsi" w:hAnsiTheme="majorHAnsi"/>
        <w:color w:val="4A442A" w:themeColor="background2" w:themeShade="40"/>
        <w:sz w:val="16"/>
        <w:szCs w:val="16"/>
      </w:rPr>
      <w:t xml:space="preserve">Chapter 4: Conclusions and Recommendations </w:t>
    </w:r>
    <w:r>
      <w:rPr>
        <w:rFonts w:asciiTheme="majorHAnsi" w:hAnsiTheme="majorHAnsi" w:cstheme="majorHAnsi"/>
        <w:color w:val="4A442A" w:themeColor="background2" w:themeShade="40"/>
        <w:sz w:val="16"/>
        <w:szCs w:val="16"/>
      </w:rPr>
      <w:t>|</w:t>
    </w:r>
    <w:r w:rsidRPr="00D034F3">
      <w:rPr>
        <w:rFonts w:asciiTheme="majorHAnsi" w:hAnsiTheme="majorHAnsi"/>
        <w:color w:val="4A442A" w:themeColor="background2" w:themeShade="40"/>
        <w:sz w:val="16"/>
        <w:szCs w:val="16"/>
      </w:rPr>
      <w:t xml:space="preserve"> </w:t>
    </w:r>
    <w:sdt>
      <w:sdtPr>
        <w:rPr>
          <w:rFonts w:asciiTheme="majorHAnsi" w:hAnsiTheme="majorHAnsi"/>
          <w:color w:val="4A442A" w:themeColor="background2" w:themeShade="40"/>
          <w:sz w:val="16"/>
          <w:szCs w:val="16"/>
        </w:rPr>
        <w:id w:val="-1212340470"/>
        <w:docPartObj>
          <w:docPartGallery w:val="Page Numbers (Top of Page)"/>
          <w:docPartUnique/>
        </w:docPartObj>
      </w:sdtPr>
      <w:sdtEndPr>
        <w:rPr>
          <w:noProof/>
        </w:rPr>
      </w:sdtEndPr>
      <w:sdtContent>
        <w:r w:rsidRPr="00D034F3">
          <w:rPr>
            <w:rFonts w:asciiTheme="majorHAnsi" w:hAnsiTheme="majorHAnsi"/>
            <w:color w:val="4A442A" w:themeColor="background2" w:themeShade="40"/>
            <w:sz w:val="16"/>
            <w:szCs w:val="16"/>
          </w:rPr>
          <w:fldChar w:fldCharType="begin"/>
        </w:r>
        <w:r w:rsidRPr="00D034F3">
          <w:rPr>
            <w:rFonts w:asciiTheme="majorHAnsi" w:hAnsiTheme="majorHAnsi"/>
            <w:color w:val="4A442A" w:themeColor="background2" w:themeShade="40"/>
            <w:sz w:val="16"/>
            <w:szCs w:val="16"/>
          </w:rPr>
          <w:instrText xml:space="preserve"> PAGE   \* MERGEFORMAT </w:instrText>
        </w:r>
        <w:r w:rsidRPr="00D034F3">
          <w:rPr>
            <w:rFonts w:asciiTheme="majorHAnsi" w:hAnsiTheme="majorHAnsi"/>
            <w:color w:val="4A442A" w:themeColor="background2" w:themeShade="40"/>
            <w:sz w:val="16"/>
            <w:szCs w:val="16"/>
          </w:rPr>
          <w:fldChar w:fldCharType="separate"/>
        </w:r>
        <w:r w:rsidR="006800F1">
          <w:rPr>
            <w:rFonts w:asciiTheme="majorHAnsi" w:hAnsiTheme="majorHAnsi"/>
            <w:noProof/>
            <w:color w:val="4A442A" w:themeColor="background2" w:themeShade="40"/>
            <w:sz w:val="16"/>
            <w:szCs w:val="16"/>
          </w:rPr>
          <w:t>163</w:t>
        </w:r>
        <w:r w:rsidRPr="00D034F3">
          <w:rPr>
            <w:rFonts w:asciiTheme="majorHAnsi" w:hAnsiTheme="majorHAnsi"/>
            <w:noProof/>
            <w:color w:val="4A442A" w:themeColor="background2" w:themeShade="40"/>
            <w:sz w:val="16"/>
            <w:szCs w:val="16"/>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321D" w14:textId="3DE3AB06" w:rsidR="005C2394" w:rsidRPr="00A0401B" w:rsidRDefault="005C2394" w:rsidP="00A04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F5064" w14:textId="77777777" w:rsidR="005C2394" w:rsidRPr="00D034F3" w:rsidRDefault="005C2394" w:rsidP="00A9013E">
    <w:pPr>
      <w:pStyle w:val="Header"/>
      <w:spacing w:after="420"/>
      <w:jc w:val="right"/>
      <w:rPr>
        <w:rFonts w:asciiTheme="majorHAnsi" w:hAnsiTheme="majorHAnsi"/>
        <w:sz w:val="16"/>
        <w:szCs w:val="16"/>
      </w:rPr>
    </w:pPr>
    <w:r w:rsidRPr="00D034F3">
      <w:rPr>
        <w:rFonts w:asciiTheme="majorHAnsi" w:hAnsiTheme="majorHAnsi"/>
        <w:sz w:val="16"/>
        <w:szCs w:val="16"/>
      </w:rPr>
      <w:t xml:space="preserve">Executive Summary | </w:t>
    </w:r>
    <w:sdt>
      <w:sdtPr>
        <w:rPr>
          <w:rFonts w:asciiTheme="majorHAnsi" w:hAnsiTheme="majorHAnsi"/>
          <w:sz w:val="16"/>
          <w:szCs w:val="16"/>
        </w:rPr>
        <w:id w:val="1581335537"/>
        <w:docPartObj>
          <w:docPartGallery w:val="Page Numbers (Top of Page)"/>
          <w:docPartUnique/>
        </w:docPartObj>
      </w:sdtPr>
      <w:sdtEndPr>
        <w:rPr>
          <w:noProof/>
        </w:rPr>
      </w:sdtEndPr>
      <w:sdtContent>
        <w:r w:rsidRPr="00D034F3">
          <w:rPr>
            <w:rFonts w:asciiTheme="majorHAnsi" w:hAnsiTheme="majorHAnsi"/>
            <w:sz w:val="16"/>
            <w:szCs w:val="16"/>
          </w:rPr>
          <w:fldChar w:fldCharType="begin"/>
        </w:r>
        <w:r w:rsidRPr="00D034F3">
          <w:rPr>
            <w:rFonts w:asciiTheme="majorHAnsi" w:hAnsiTheme="majorHAnsi"/>
            <w:sz w:val="16"/>
            <w:szCs w:val="16"/>
          </w:rPr>
          <w:instrText xml:space="preserve"> PAGE   \* MERGEFORMAT </w:instrText>
        </w:r>
        <w:r w:rsidRPr="00D034F3">
          <w:rPr>
            <w:rFonts w:asciiTheme="majorHAnsi" w:hAnsiTheme="majorHAnsi"/>
            <w:sz w:val="16"/>
            <w:szCs w:val="16"/>
          </w:rPr>
          <w:fldChar w:fldCharType="separate"/>
        </w:r>
        <w:r>
          <w:rPr>
            <w:rFonts w:asciiTheme="majorHAnsi" w:hAnsiTheme="majorHAnsi"/>
            <w:noProof/>
            <w:sz w:val="16"/>
            <w:szCs w:val="16"/>
          </w:rPr>
          <w:t>3</w:t>
        </w:r>
        <w:r w:rsidRPr="00D034F3">
          <w:rPr>
            <w:rFonts w:asciiTheme="majorHAnsi" w:hAnsiTheme="majorHAnsi"/>
            <w:noProof/>
            <w:sz w:val="16"/>
            <w:szCs w:val="16"/>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olor w:val="4A442A" w:themeColor="background2" w:themeShade="40"/>
        <w:sz w:val="16"/>
        <w:szCs w:val="16"/>
      </w:rPr>
      <w:id w:val="-706494752"/>
      <w:docPartObj>
        <w:docPartGallery w:val="Page Numbers (Top of Page)"/>
        <w:docPartUnique/>
      </w:docPartObj>
    </w:sdtPr>
    <w:sdtEndPr>
      <w:rPr>
        <w:noProof/>
      </w:rPr>
    </w:sdtEndPr>
    <w:sdtContent>
      <w:p w14:paraId="00F8EC22" w14:textId="73D3B4F8" w:rsidR="005C2394" w:rsidRPr="00D91D6A" w:rsidRDefault="005C2394" w:rsidP="00D91D6A">
        <w:pPr>
          <w:pStyle w:val="Header"/>
          <w:spacing w:after="420"/>
          <w:rPr>
            <w:rFonts w:asciiTheme="majorHAnsi" w:hAnsiTheme="majorHAnsi"/>
            <w:color w:val="4A442A" w:themeColor="background2" w:themeShade="40"/>
            <w:sz w:val="16"/>
            <w:szCs w:val="16"/>
          </w:rPr>
        </w:pPr>
        <w:r w:rsidRPr="00D91D6A">
          <w:rPr>
            <w:rFonts w:asciiTheme="majorHAnsi" w:hAnsiTheme="majorHAnsi"/>
            <w:color w:val="4A442A" w:themeColor="background2" w:themeShade="40"/>
            <w:sz w:val="16"/>
            <w:szCs w:val="16"/>
          </w:rPr>
          <w:fldChar w:fldCharType="begin"/>
        </w:r>
        <w:r w:rsidRPr="00D91D6A">
          <w:rPr>
            <w:rFonts w:asciiTheme="majorHAnsi" w:hAnsiTheme="majorHAnsi"/>
            <w:color w:val="4A442A" w:themeColor="background2" w:themeShade="40"/>
            <w:sz w:val="16"/>
            <w:szCs w:val="16"/>
          </w:rPr>
          <w:instrText xml:space="preserve"> PAGE   \* MERGEFORMAT </w:instrText>
        </w:r>
        <w:r w:rsidRPr="00D91D6A">
          <w:rPr>
            <w:rFonts w:asciiTheme="majorHAnsi" w:hAnsiTheme="majorHAnsi"/>
            <w:color w:val="4A442A" w:themeColor="background2" w:themeShade="40"/>
            <w:sz w:val="16"/>
            <w:szCs w:val="16"/>
          </w:rPr>
          <w:fldChar w:fldCharType="separate"/>
        </w:r>
        <w:r w:rsidR="002D27D9">
          <w:rPr>
            <w:rFonts w:asciiTheme="majorHAnsi" w:hAnsiTheme="majorHAnsi"/>
            <w:noProof/>
            <w:color w:val="4A442A" w:themeColor="background2" w:themeShade="40"/>
            <w:sz w:val="16"/>
            <w:szCs w:val="16"/>
          </w:rPr>
          <w:t>24</w:t>
        </w:r>
        <w:r w:rsidRPr="00D91D6A">
          <w:rPr>
            <w:rFonts w:asciiTheme="majorHAnsi" w:hAnsiTheme="majorHAnsi"/>
            <w:noProof/>
            <w:color w:val="4A442A" w:themeColor="background2" w:themeShade="40"/>
            <w:sz w:val="16"/>
            <w:szCs w:val="16"/>
          </w:rPr>
          <w:fldChar w:fldCharType="end"/>
        </w:r>
        <w:r w:rsidRPr="00D91D6A">
          <w:rPr>
            <w:rFonts w:asciiTheme="majorHAnsi" w:hAnsiTheme="majorHAnsi"/>
            <w:noProof/>
            <w:color w:val="4A442A" w:themeColor="background2" w:themeShade="40"/>
            <w:sz w:val="16"/>
            <w:szCs w:val="16"/>
          </w:rPr>
          <w:t xml:space="preserve"> | </w:t>
        </w:r>
        <w:r>
          <w:rPr>
            <w:rFonts w:asciiTheme="majorHAnsi" w:hAnsiTheme="majorHAnsi"/>
            <w:noProof/>
            <w:color w:val="4A442A" w:themeColor="background2" w:themeShade="40"/>
            <w:sz w:val="16"/>
            <w:szCs w:val="16"/>
          </w:rPr>
          <w:t>A</w:t>
        </w:r>
        <w:r w:rsidRPr="00307771">
          <w:rPr>
            <w:rFonts w:asciiTheme="majorHAnsi" w:hAnsiTheme="majorHAnsi"/>
            <w:noProof/>
            <w:color w:val="4A442A" w:themeColor="background2" w:themeShade="40"/>
            <w:sz w:val="16"/>
            <w:szCs w:val="16"/>
          </w:rPr>
          <w:t>frican Americans, Police Use of Force, and Human Rights in the United States</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20D45" w14:textId="6BBDF21D" w:rsidR="005C2394" w:rsidRPr="00D034F3" w:rsidRDefault="005C2394" w:rsidP="00D034F3">
    <w:pPr>
      <w:pStyle w:val="Header"/>
      <w:spacing w:after="420"/>
      <w:jc w:val="right"/>
      <w:rPr>
        <w:rFonts w:asciiTheme="majorHAnsi" w:hAnsiTheme="majorHAnsi"/>
        <w:color w:val="4A442A" w:themeColor="background2" w:themeShade="40"/>
        <w:sz w:val="16"/>
        <w:szCs w:val="16"/>
      </w:rPr>
    </w:pPr>
    <w:r>
      <w:rPr>
        <w:rFonts w:asciiTheme="majorHAnsi" w:hAnsiTheme="majorHAnsi"/>
        <w:color w:val="4A442A" w:themeColor="background2" w:themeShade="40"/>
        <w:sz w:val="16"/>
        <w:szCs w:val="16"/>
      </w:rPr>
      <w:t>Executive Summa</w:t>
    </w:r>
    <w:r w:rsidRPr="00D034F3">
      <w:rPr>
        <w:rFonts w:asciiTheme="majorHAnsi" w:hAnsiTheme="majorHAnsi"/>
        <w:color w:val="4A442A" w:themeColor="background2" w:themeShade="40"/>
        <w:sz w:val="16"/>
        <w:szCs w:val="16"/>
      </w:rPr>
      <w:t>ry</w:t>
    </w:r>
    <w:r>
      <w:rPr>
        <w:rFonts w:asciiTheme="majorHAnsi" w:hAnsiTheme="majorHAnsi"/>
        <w:color w:val="4A442A" w:themeColor="background2" w:themeShade="40"/>
        <w:sz w:val="16"/>
        <w:szCs w:val="16"/>
      </w:rPr>
      <w:t xml:space="preserve"> </w:t>
    </w:r>
    <w:r w:rsidRPr="00D034F3">
      <w:rPr>
        <w:rFonts w:asciiTheme="majorHAnsi" w:hAnsiTheme="majorHAnsi"/>
        <w:color w:val="4A442A" w:themeColor="background2" w:themeShade="40"/>
        <w:sz w:val="16"/>
        <w:szCs w:val="16"/>
      </w:rPr>
      <w:t xml:space="preserve">| </w:t>
    </w:r>
    <w:sdt>
      <w:sdtPr>
        <w:rPr>
          <w:rFonts w:asciiTheme="majorHAnsi" w:hAnsiTheme="majorHAnsi"/>
          <w:color w:val="4A442A" w:themeColor="background2" w:themeShade="40"/>
          <w:sz w:val="16"/>
          <w:szCs w:val="16"/>
        </w:rPr>
        <w:id w:val="796726473"/>
        <w:docPartObj>
          <w:docPartGallery w:val="Page Numbers (Top of Page)"/>
          <w:docPartUnique/>
        </w:docPartObj>
      </w:sdtPr>
      <w:sdtEndPr>
        <w:rPr>
          <w:noProof/>
        </w:rPr>
      </w:sdtEndPr>
      <w:sdtContent>
        <w:r w:rsidRPr="00D034F3">
          <w:rPr>
            <w:rFonts w:asciiTheme="majorHAnsi" w:hAnsiTheme="majorHAnsi"/>
            <w:color w:val="4A442A" w:themeColor="background2" w:themeShade="40"/>
            <w:sz w:val="16"/>
            <w:szCs w:val="16"/>
          </w:rPr>
          <w:fldChar w:fldCharType="begin"/>
        </w:r>
        <w:r w:rsidRPr="00D034F3">
          <w:rPr>
            <w:rFonts w:asciiTheme="majorHAnsi" w:hAnsiTheme="majorHAnsi"/>
            <w:color w:val="4A442A" w:themeColor="background2" w:themeShade="40"/>
            <w:sz w:val="16"/>
            <w:szCs w:val="16"/>
          </w:rPr>
          <w:instrText xml:space="preserve"> PAGE   \* MERGEFORMAT </w:instrText>
        </w:r>
        <w:r w:rsidRPr="00D034F3">
          <w:rPr>
            <w:rFonts w:asciiTheme="majorHAnsi" w:hAnsiTheme="majorHAnsi"/>
            <w:color w:val="4A442A" w:themeColor="background2" w:themeShade="40"/>
            <w:sz w:val="16"/>
            <w:szCs w:val="16"/>
          </w:rPr>
          <w:fldChar w:fldCharType="separate"/>
        </w:r>
        <w:r w:rsidR="002D27D9">
          <w:rPr>
            <w:rFonts w:asciiTheme="majorHAnsi" w:hAnsiTheme="majorHAnsi"/>
            <w:noProof/>
            <w:color w:val="4A442A" w:themeColor="background2" w:themeShade="40"/>
            <w:sz w:val="16"/>
            <w:szCs w:val="16"/>
          </w:rPr>
          <w:t>15</w:t>
        </w:r>
        <w:r w:rsidRPr="00D034F3">
          <w:rPr>
            <w:rFonts w:asciiTheme="majorHAnsi" w:hAnsiTheme="majorHAnsi"/>
            <w:noProof/>
            <w:color w:val="4A442A" w:themeColor="background2" w:themeShade="40"/>
            <w:sz w:val="16"/>
            <w:szCs w:val="16"/>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A9814" w14:textId="3B18B7EA" w:rsidR="005C2394" w:rsidRPr="00A0401B" w:rsidRDefault="005C2394" w:rsidP="00A040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A4FA" w14:textId="77777777" w:rsidR="005C2394" w:rsidRPr="00D034F3" w:rsidRDefault="005C2394" w:rsidP="00A9013E">
    <w:pPr>
      <w:pStyle w:val="Header"/>
      <w:spacing w:after="420"/>
      <w:jc w:val="right"/>
      <w:rPr>
        <w:rFonts w:asciiTheme="majorHAnsi" w:hAnsiTheme="majorHAnsi"/>
        <w:color w:val="4A442A" w:themeColor="background2" w:themeShade="40"/>
        <w:sz w:val="16"/>
        <w:szCs w:val="16"/>
      </w:rPr>
    </w:pPr>
    <w:r w:rsidRPr="00D034F3">
      <w:rPr>
        <w:rFonts w:asciiTheme="majorHAnsi" w:hAnsiTheme="majorHAnsi"/>
        <w:color w:val="4A442A" w:themeColor="background2" w:themeShade="40"/>
        <w:sz w:val="16"/>
        <w:szCs w:val="16"/>
      </w:rPr>
      <w:t xml:space="preserve">Introduction | </w:t>
    </w:r>
    <w:sdt>
      <w:sdtPr>
        <w:rPr>
          <w:rFonts w:asciiTheme="majorHAnsi" w:hAnsiTheme="majorHAnsi"/>
          <w:color w:val="4A442A" w:themeColor="background2" w:themeShade="40"/>
          <w:sz w:val="16"/>
          <w:szCs w:val="16"/>
        </w:rPr>
        <w:id w:val="1758485190"/>
        <w:docPartObj>
          <w:docPartGallery w:val="Page Numbers (Top of Page)"/>
          <w:docPartUnique/>
        </w:docPartObj>
      </w:sdtPr>
      <w:sdtEndPr>
        <w:rPr>
          <w:noProof/>
        </w:rPr>
      </w:sdtEndPr>
      <w:sdtContent>
        <w:r w:rsidRPr="00D034F3">
          <w:rPr>
            <w:rFonts w:asciiTheme="majorHAnsi" w:hAnsiTheme="majorHAnsi"/>
            <w:color w:val="4A442A" w:themeColor="background2" w:themeShade="40"/>
            <w:sz w:val="16"/>
            <w:szCs w:val="16"/>
          </w:rPr>
          <w:fldChar w:fldCharType="begin"/>
        </w:r>
        <w:r w:rsidRPr="00D034F3">
          <w:rPr>
            <w:rFonts w:asciiTheme="majorHAnsi" w:hAnsiTheme="majorHAnsi"/>
            <w:color w:val="4A442A" w:themeColor="background2" w:themeShade="40"/>
            <w:sz w:val="16"/>
            <w:szCs w:val="16"/>
          </w:rPr>
          <w:instrText xml:space="preserve"> PAGE   \* MERGEFORMAT </w:instrText>
        </w:r>
        <w:r w:rsidRPr="00D034F3">
          <w:rPr>
            <w:rFonts w:asciiTheme="majorHAnsi" w:hAnsiTheme="majorHAnsi"/>
            <w:color w:val="4A442A" w:themeColor="background2" w:themeShade="40"/>
            <w:sz w:val="16"/>
            <w:szCs w:val="16"/>
          </w:rPr>
          <w:fldChar w:fldCharType="separate"/>
        </w:r>
        <w:r>
          <w:rPr>
            <w:rFonts w:asciiTheme="majorHAnsi" w:hAnsiTheme="majorHAnsi"/>
            <w:noProof/>
            <w:color w:val="4A442A" w:themeColor="background2" w:themeShade="40"/>
            <w:sz w:val="16"/>
            <w:szCs w:val="16"/>
          </w:rPr>
          <w:t>15</w:t>
        </w:r>
        <w:r w:rsidRPr="00D034F3">
          <w:rPr>
            <w:rFonts w:asciiTheme="majorHAnsi" w:hAnsiTheme="majorHAnsi"/>
            <w:noProof/>
            <w:color w:val="4A442A" w:themeColor="background2" w:themeShade="40"/>
            <w:sz w:val="16"/>
            <w:szCs w:val="16"/>
          </w:rPr>
          <w:fldChar w:fldCharType="end"/>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6CCE" w14:textId="77777777" w:rsidR="005C2394" w:rsidRPr="00D034F3" w:rsidRDefault="005C2394" w:rsidP="00D034F3">
    <w:pPr>
      <w:pStyle w:val="Header"/>
      <w:spacing w:after="420"/>
      <w:jc w:val="right"/>
      <w:rPr>
        <w:rFonts w:asciiTheme="majorHAnsi" w:hAnsiTheme="majorHAnsi"/>
        <w:color w:val="4A442A" w:themeColor="background2" w:themeShade="40"/>
        <w:sz w:val="16"/>
        <w:szCs w:val="16"/>
      </w:rPr>
    </w:pPr>
    <w:r>
      <w:rPr>
        <w:rFonts w:asciiTheme="majorHAnsi" w:hAnsiTheme="majorHAnsi"/>
        <w:color w:val="4A442A" w:themeColor="background2" w:themeShade="40"/>
        <w:sz w:val="16"/>
        <w:szCs w:val="16"/>
      </w:rPr>
      <w:t>Chapter 1: Introduction</w:t>
    </w:r>
    <w:r w:rsidRPr="00D034F3">
      <w:rPr>
        <w:rFonts w:asciiTheme="majorHAnsi" w:hAnsiTheme="majorHAnsi"/>
        <w:color w:val="4A442A" w:themeColor="background2" w:themeShade="40"/>
        <w:sz w:val="16"/>
        <w:szCs w:val="16"/>
      </w:rPr>
      <w:t xml:space="preserve">| </w:t>
    </w:r>
    <w:sdt>
      <w:sdtPr>
        <w:rPr>
          <w:rFonts w:asciiTheme="majorHAnsi" w:hAnsiTheme="majorHAnsi"/>
          <w:color w:val="4A442A" w:themeColor="background2" w:themeShade="40"/>
          <w:sz w:val="16"/>
          <w:szCs w:val="16"/>
        </w:rPr>
        <w:id w:val="2117248866"/>
        <w:docPartObj>
          <w:docPartGallery w:val="Page Numbers (Top of Page)"/>
          <w:docPartUnique/>
        </w:docPartObj>
      </w:sdtPr>
      <w:sdtEndPr>
        <w:rPr>
          <w:noProof/>
        </w:rPr>
      </w:sdtEndPr>
      <w:sdtContent>
        <w:r w:rsidRPr="00D034F3">
          <w:rPr>
            <w:rFonts w:asciiTheme="majorHAnsi" w:hAnsiTheme="majorHAnsi"/>
            <w:color w:val="4A442A" w:themeColor="background2" w:themeShade="40"/>
            <w:sz w:val="16"/>
            <w:szCs w:val="16"/>
          </w:rPr>
          <w:fldChar w:fldCharType="begin"/>
        </w:r>
        <w:r w:rsidRPr="00D034F3">
          <w:rPr>
            <w:rFonts w:asciiTheme="majorHAnsi" w:hAnsiTheme="majorHAnsi"/>
            <w:color w:val="4A442A" w:themeColor="background2" w:themeShade="40"/>
            <w:sz w:val="16"/>
            <w:szCs w:val="16"/>
          </w:rPr>
          <w:instrText xml:space="preserve"> PAGE   \* MERGEFORMAT </w:instrText>
        </w:r>
        <w:r w:rsidRPr="00D034F3">
          <w:rPr>
            <w:rFonts w:asciiTheme="majorHAnsi" w:hAnsiTheme="majorHAnsi"/>
            <w:color w:val="4A442A" w:themeColor="background2" w:themeShade="40"/>
            <w:sz w:val="16"/>
            <w:szCs w:val="16"/>
          </w:rPr>
          <w:fldChar w:fldCharType="separate"/>
        </w:r>
        <w:r w:rsidR="002D27D9">
          <w:rPr>
            <w:rFonts w:asciiTheme="majorHAnsi" w:hAnsiTheme="majorHAnsi"/>
            <w:noProof/>
            <w:color w:val="4A442A" w:themeColor="background2" w:themeShade="40"/>
            <w:sz w:val="16"/>
            <w:szCs w:val="16"/>
          </w:rPr>
          <w:t>23</w:t>
        </w:r>
        <w:r w:rsidRPr="00D034F3">
          <w:rPr>
            <w:rFonts w:asciiTheme="majorHAnsi" w:hAnsiTheme="majorHAnsi"/>
            <w:noProof/>
            <w:color w:val="4A442A" w:themeColor="background2" w:themeShade="40"/>
            <w:sz w:val="16"/>
            <w:szCs w:val="16"/>
          </w:rPr>
          <w:fldChar w:fldCharType="end"/>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B83ED" w14:textId="1B512FFC" w:rsidR="005C2394" w:rsidRPr="005340FA" w:rsidRDefault="005C2394" w:rsidP="00534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AED"/>
    <w:multiLevelType w:val="hybridMultilevel"/>
    <w:tmpl w:val="78EC7A70"/>
    <w:lvl w:ilvl="0" w:tplc="B252AA9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541288"/>
    <w:multiLevelType w:val="hybridMultilevel"/>
    <w:tmpl w:val="D136B176"/>
    <w:lvl w:ilvl="0" w:tplc="F1B2D7C2">
      <w:start w:val="1"/>
      <w:numFmt w:val="lowerRoman"/>
      <w:lvlText w:val="(%1)"/>
      <w:lvlJc w:val="left"/>
      <w:pPr>
        <w:ind w:left="1050" w:hanging="9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3928EC"/>
    <w:multiLevelType w:val="hybridMultilevel"/>
    <w:tmpl w:val="2D381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5312"/>
    <w:multiLevelType w:val="hybridMultilevel"/>
    <w:tmpl w:val="40F2002C"/>
    <w:lvl w:ilvl="0" w:tplc="FE8C0A3C">
      <w:start w:val="3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75695"/>
    <w:multiLevelType w:val="hybridMultilevel"/>
    <w:tmpl w:val="D4F09FF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C0DB4"/>
    <w:multiLevelType w:val="hybridMultilevel"/>
    <w:tmpl w:val="B3F2C734"/>
    <w:lvl w:ilvl="0" w:tplc="715AEC9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72C7A"/>
    <w:multiLevelType w:val="hybridMultilevel"/>
    <w:tmpl w:val="E51CF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77D84"/>
    <w:multiLevelType w:val="hybridMultilevel"/>
    <w:tmpl w:val="2768482E"/>
    <w:lvl w:ilvl="0" w:tplc="9E70C254">
      <w:start w:val="1"/>
      <w:numFmt w:val="decimal"/>
      <w:lvlText w:val="%1."/>
      <w:lvlJc w:val="left"/>
      <w:pPr>
        <w:ind w:left="720" w:hanging="360"/>
      </w:pPr>
      <w:rPr>
        <w:rFonts w:ascii="Cambria" w:hAnsi="Cambria" w:hint="default"/>
        <w:b w:val="0"/>
        <w:i w:val="0"/>
        <w:color w:val="808080" w:themeColor="background1" w:themeShade="8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46963"/>
    <w:multiLevelType w:val="hybridMultilevel"/>
    <w:tmpl w:val="90FE0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15FF8"/>
    <w:multiLevelType w:val="hybridMultilevel"/>
    <w:tmpl w:val="D822384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00863"/>
    <w:multiLevelType w:val="hybridMultilevel"/>
    <w:tmpl w:val="3A7C1488"/>
    <w:lvl w:ilvl="0" w:tplc="0E4CD72C">
      <w:start w:val="1"/>
      <w:numFmt w:val="decimal"/>
      <w:pStyle w:val="Heading3"/>
      <w:lvlText w:val="%1."/>
      <w:lvlJc w:val="left"/>
      <w:pPr>
        <w:ind w:left="1170" w:hanging="720"/>
      </w:pPr>
      <w:rPr>
        <w:rFonts w:ascii="Cambria" w:hAnsi="Cambria" w:hint="default"/>
        <w:b/>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A884B80"/>
    <w:multiLevelType w:val="hybridMultilevel"/>
    <w:tmpl w:val="D64A8A6A"/>
    <w:lvl w:ilvl="0" w:tplc="66CE7BDE">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12A23"/>
    <w:multiLevelType w:val="hybridMultilevel"/>
    <w:tmpl w:val="5254C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C54EEC"/>
    <w:multiLevelType w:val="hybridMultilevel"/>
    <w:tmpl w:val="FDFEBF24"/>
    <w:lvl w:ilvl="0" w:tplc="9E0A5A1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C259F"/>
    <w:multiLevelType w:val="hybridMultilevel"/>
    <w:tmpl w:val="BBB47FC0"/>
    <w:lvl w:ilvl="0" w:tplc="8D78977A">
      <w:start w:val="1"/>
      <w:numFmt w:val="upperLetter"/>
      <w:pStyle w:val="Heading2"/>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A6D56"/>
    <w:multiLevelType w:val="hybridMultilevel"/>
    <w:tmpl w:val="EFA2B8B2"/>
    <w:lvl w:ilvl="0" w:tplc="37F4FB76">
      <w:start w:val="1"/>
      <w:numFmt w:val="upp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A1678"/>
    <w:multiLevelType w:val="hybridMultilevel"/>
    <w:tmpl w:val="EE606916"/>
    <w:lvl w:ilvl="0" w:tplc="EC2A8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A4D86"/>
    <w:multiLevelType w:val="hybridMultilevel"/>
    <w:tmpl w:val="C30E7C02"/>
    <w:lvl w:ilvl="0" w:tplc="C25E243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DD54DE"/>
    <w:multiLevelType w:val="hybridMultilevel"/>
    <w:tmpl w:val="B8B6BC1C"/>
    <w:lvl w:ilvl="0" w:tplc="A946883E">
      <w:start w:val="1"/>
      <w:numFmt w:val="decimal"/>
      <w:lvlText w:val="%1."/>
      <w:lvlJc w:val="left"/>
      <w:pPr>
        <w:tabs>
          <w:tab w:val="num" w:pos="1500"/>
        </w:tabs>
        <w:ind w:left="1500" w:hanging="765"/>
      </w:pPr>
      <w:rPr>
        <w:rFonts w:ascii="Cambria" w:hAnsi="Cambria" w:cs="Arial" w:hint="default"/>
        <w:b w:val="0"/>
        <w:vanish w:val="0"/>
        <w:color w:val="auto"/>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9" w15:restartNumberingAfterBreak="0">
    <w:nsid w:val="5C13118E"/>
    <w:multiLevelType w:val="hybridMultilevel"/>
    <w:tmpl w:val="6A082DFE"/>
    <w:lvl w:ilvl="0" w:tplc="B29EED16">
      <w:start w:val="1"/>
      <w:numFmt w:val="decimal"/>
      <w:lvlText w:val="%1."/>
      <w:lvlJc w:val="left"/>
      <w:pPr>
        <w:ind w:left="720" w:hanging="360"/>
      </w:pPr>
      <w:rPr>
        <w:rFonts w:asciiTheme="minorHAnsi" w:hAnsiTheme="minorHAnsi"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87C0E"/>
    <w:multiLevelType w:val="hybridMultilevel"/>
    <w:tmpl w:val="67606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F312FC"/>
    <w:multiLevelType w:val="hybridMultilevel"/>
    <w:tmpl w:val="45125288"/>
    <w:lvl w:ilvl="0" w:tplc="A3824D46">
      <w:start w:val="1"/>
      <w:numFmt w:val="decimal"/>
      <w:lvlText w:val="%1."/>
      <w:lvlJc w:val="left"/>
      <w:pPr>
        <w:ind w:left="360" w:hanging="360"/>
      </w:pPr>
      <w:rPr>
        <w:rFonts w:asciiTheme="minorHAnsi" w:hAnsiTheme="minorHAnsi" w:hint="default"/>
        <w:b w:val="0"/>
        <w:color w:val="808080" w:themeColor="background1" w:themeShade="80"/>
        <w:sz w:val="22"/>
        <w:szCs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5BE06BE"/>
    <w:multiLevelType w:val="hybridMultilevel"/>
    <w:tmpl w:val="74AECDAA"/>
    <w:lvl w:ilvl="0" w:tplc="83A85A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64C29"/>
    <w:multiLevelType w:val="hybridMultilevel"/>
    <w:tmpl w:val="FAE23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96B2D"/>
    <w:multiLevelType w:val="hybridMultilevel"/>
    <w:tmpl w:val="BFF0E8E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11354"/>
    <w:multiLevelType w:val="hybridMultilevel"/>
    <w:tmpl w:val="17A8F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D12C9"/>
    <w:multiLevelType w:val="hybridMultilevel"/>
    <w:tmpl w:val="9F784A60"/>
    <w:lvl w:ilvl="0" w:tplc="9DC04AD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D0066"/>
    <w:multiLevelType w:val="hybridMultilevel"/>
    <w:tmpl w:val="DDB88BE0"/>
    <w:lvl w:ilvl="0" w:tplc="629A09A2">
      <w:start w:val="3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F1A93"/>
    <w:multiLevelType w:val="hybridMultilevel"/>
    <w:tmpl w:val="45508336"/>
    <w:lvl w:ilvl="0" w:tplc="D2AC900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81C3F"/>
    <w:multiLevelType w:val="hybridMultilevel"/>
    <w:tmpl w:val="9E2ED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432CC"/>
    <w:multiLevelType w:val="hybridMultilevel"/>
    <w:tmpl w:val="401E130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9283C"/>
    <w:multiLevelType w:val="hybridMultilevel"/>
    <w:tmpl w:val="98487A1E"/>
    <w:lvl w:ilvl="0" w:tplc="3E7444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F062A3"/>
    <w:multiLevelType w:val="hybridMultilevel"/>
    <w:tmpl w:val="87788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6"/>
  </w:num>
  <w:num w:numId="4">
    <w:abstractNumId w:val="8"/>
  </w:num>
  <w:num w:numId="5">
    <w:abstractNumId w:val="25"/>
  </w:num>
  <w:num w:numId="6">
    <w:abstractNumId w:val="14"/>
  </w:num>
  <w:num w:numId="7">
    <w:abstractNumId w:val="0"/>
  </w:num>
  <w:num w:numId="8">
    <w:abstractNumId w:val="15"/>
  </w:num>
  <w:num w:numId="9">
    <w:abstractNumId w:val="21"/>
  </w:num>
  <w:num w:numId="10">
    <w:abstractNumId w:val="16"/>
  </w:num>
  <w:num w:numId="11">
    <w:abstractNumId w:val="4"/>
  </w:num>
  <w:num w:numId="12">
    <w:abstractNumId w:val="30"/>
  </w:num>
  <w:num w:numId="13">
    <w:abstractNumId w:val="26"/>
  </w:num>
  <w:num w:numId="14">
    <w:abstractNumId w:val="23"/>
  </w:num>
  <w:num w:numId="15">
    <w:abstractNumId w:val="9"/>
  </w:num>
  <w:num w:numId="16">
    <w:abstractNumId w:val="3"/>
  </w:num>
  <w:num w:numId="17">
    <w:abstractNumId w:val="5"/>
  </w:num>
  <w:num w:numId="18">
    <w:abstractNumId w:val="24"/>
  </w:num>
  <w:num w:numId="19">
    <w:abstractNumId w:val="27"/>
  </w:num>
  <w:num w:numId="20">
    <w:abstractNumId w:val="13"/>
  </w:num>
  <w:num w:numId="21">
    <w:abstractNumId w:val="31"/>
  </w:num>
  <w:num w:numId="22">
    <w:abstractNumId w:val="28"/>
  </w:num>
  <w:num w:numId="23">
    <w:abstractNumId w:val="29"/>
  </w:num>
  <w:num w:numId="24">
    <w:abstractNumId w:val="1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
  </w:num>
  <w:num w:numId="28">
    <w:abstractNumId w:val="17"/>
  </w:num>
  <w:num w:numId="29">
    <w:abstractNumId w:val="2"/>
  </w:num>
  <w:num w:numId="30">
    <w:abstractNumId w:val="10"/>
  </w:num>
  <w:num w:numId="31">
    <w:abstractNumId w:val="14"/>
    <w:lvlOverride w:ilvl="0">
      <w:startOverride w:val="1"/>
    </w:lvlOverride>
  </w:num>
  <w:num w:numId="32">
    <w:abstractNumId w:val="10"/>
    <w:lvlOverride w:ilvl="0">
      <w:startOverride w:val="1"/>
    </w:lvlOverride>
  </w:num>
  <w:num w:numId="33">
    <w:abstractNumId w:val="11"/>
  </w:num>
  <w:num w:numId="34">
    <w:abstractNumId w:val="11"/>
    <w:lvlOverride w:ilvl="0">
      <w:startOverride w:val="1"/>
    </w:lvlOverride>
  </w:num>
  <w:num w:numId="35">
    <w:abstractNumId w:val="11"/>
    <w:lvlOverride w:ilvl="0">
      <w:startOverride w:val="1"/>
    </w:lvlOverride>
  </w:num>
  <w:num w:numId="36">
    <w:abstractNumId w:val="10"/>
    <w:lvlOverride w:ilvl="0">
      <w:startOverride w:val="1"/>
    </w:lvlOverride>
  </w:num>
  <w:num w:numId="37">
    <w:abstractNumId w:val="11"/>
    <w:lvlOverride w:ilvl="0">
      <w:startOverride w:val="1"/>
    </w:lvlOverride>
  </w:num>
  <w:num w:numId="38">
    <w:abstractNumId w:val="14"/>
    <w:lvlOverride w:ilvl="0">
      <w:startOverride w:val="1"/>
    </w:lvlOverride>
  </w:num>
  <w:num w:numId="39">
    <w:abstractNumId w:val="7"/>
  </w:num>
  <w:num w:numId="40">
    <w:abstractNumId w:val="10"/>
    <w:lvlOverride w:ilvl="0">
      <w:startOverride w:val="1"/>
    </w:lvlOverride>
  </w:num>
  <w:num w:numId="41">
    <w:abstractNumId w:val="10"/>
    <w:lvlOverride w:ilvl="0">
      <w:startOverride w:val="1"/>
    </w:lvlOverride>
  </w:num>
  <w:num w:numId="42">
    <w:abstractNumId w:val="11"/>
    <w:lvlOverride w:ilvl="0">
      <w:startOverride w:val="1"/>
    </w:lvlOverride>
  </w:num>
  <w:num w:numId="43">
    <w:abstractNumId w:val="18"/>
  </w:num>
  <w:num w:numId="44">
    <w:abstractNumId w:val="10"/>
    <w:lvlOverride w:ilvl="0">
      <w:startOverride w:val="1"/>
    </w:lvlOverride>
  </w:num>
  <w:num w:numId="4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62"/>
    <w:rsid w:val="000001A9"/>
    <w:rsid w:val="000004B7"/>
    <w:rsid w:val="00002F47"/>
    <w:rsid w:val="00003995"/>
    <w:rsid w:val="000047EF"/>
    <w:rsid w:val="00004BB6"/>
    <w:rsid w:val="00005F46"/>
    <w:rsid w:val="0000634E"/>
    <w:rsid w:val="00007819"/>
    <w:rsid w:val="00007A36"/>
    <w:rsid w:val="00010AB0"/>
    <w:rsid w:val="0001121A"/>
    <w:rsid w:val="00011594"/>
    <w:rsid w:val="0001179A"/>
    <w:rsid w:val="0001260F"/>
    <w:rsid w:val="00012CB8"/>
    <w:rsid w:val="00013132"/>
    <w:rsid w:val="000143A3"/>
    <w:rsid w:val="00014B8F"/>
    <w:rsid w:val="000156FB"/>
    <w:rsid w:val="00015975"/>
    <w:rsid w:val="00015DB4"/>
    <w:rsid w:val="00015E52"/>
    <w:rsid w:val="00017F61"/>
    <w:rsid w:val="0002072B"/>
    <w:rsid w:val="00021EDB"/>
    <w:rsid w:val="0002252F"/>
    <w:rsid w:val="00022CAF"/>
    <w:rsid w:val="00023574"/>
    <w:rsid w:val="00023C35"/>
    <w:rsid w:val="00024D46"/>
    <w:rsid w:val="00026093"/>
    <w:rsid w:val="00026133"/>
    <w:rsid w:val="0002688B"/>
    <w:rsid w:val="00027602"/>
    <w:rsid w:val="00027A8C"/>
    <w:rsid w:val="00030B80"/>
    <w:rsid w:val="000310BD"/>
    <w:rsid w:val="00032480"/>
    <w:rsid w:val="0003292B"/>
    <w:rsid w:val="00033D09"/>
    <w:rsid w:val="000342EA"/>
    <w:rsid w:val="00035A87"/>
    <w:rsid w:val="00036E1B"/>
    <w:rsid w:val="00036F7D"/>
    <w:rsid w:val="00037774"/>
    <w:rsid w:val="0003795E"/>
    <w:rsid w:val="00037AC7"/>
    <w:rsid w:val="00037E5E"/>
    <w:rsid w:val="00037FDA"/>
    <w:rsid w:val="000402BA"/>
    <w:rsid w:val="00040379"/>
    <w:rsid w:val="000407C7"/>
    <w:rsid w:val="00040950"/>
    <w:rsid w:val="000422CE"/>
    <w:rsid w:val="00042F26"/>
    <w:rsid w:val="00043418"/>
    <w:rsid w:val="0004388D"/>
    <w:rsid w:val="00044406"/>
    <w:rsid w:val="0004447D"/>
    <w:rsid w:val="0004541B"/>
    <w:rsid w:val="000463FD"/>
    <w:rsid w:val="00046463"/>
    <w:rsid w:val="00046663"/>
    <w:rsid w:val="000467F7"/>
    <w:rsid w:val="00046E48"/>
    <w:rsid w:val="00046EB1"/>
    <w:rsid w:val="00051B4E"/>
    <w:rsid w:val="000546BE"/>
    <w:rsid w:val="00054BE2"/>
    <w:rsid w:val="000556A7"/>
    <w:rsid w:val="00055A84"/>
    <w:rsid w:val="000561DB"/>
    <w:rsid w:val="000563DA"/>
    <w:rsid w:val="00056B93"/>
    <w:rsid w:val="00057E93"/>
    <w:rsid w:val="000604D9"/>
    <w:rsid w:val="00061A9D"/>
    <w:rsid w:val="0006240D"/>
    <w:rsid w:val="00062644"/>
    <w:rsid w:val="000637E1"/>
    <w:rsid w:val="0006440A"/>
    <w:rsid w:val="00064585"/>
    <w:rsid w:val="000659C2"/>
    <w:rsid w:val="000663B4"/>
    <w:rsid w:val="000665B5"/>
    <w:rsid w:val="00066ED4"/>
    <w:rsid w:val="000708D2"/>
    <w:rsid w:val="000718E1"/>
    <w:rsid w:val="00071962"/>
    <w:rsid w:val="00071A26"/>
    <w:rsid w:val="000723AE"/>
    <w:rsid w:val="0007328A"/>
    <w:rsid w:val="000734B1"/>
    <w:rsid w:val="00073614"/>
    <w:rsid w:val="00073AE6"/>
    <w:rsid w:val="00074257"/>
    <w:rsid w:val="000742E5"/>
    <w:rsid w:val="00074D33"/>
    <w:rsid w:val="00076270"/>
    <w:rsid w:val="0007658D"/>
    <w:rsid w:val="0007670B"/>
    <w:rsid w:val="00076D3C"/>
    <w:rsid w:val="000776DC"/>
    <w:rsid w:val="00077A6B"/>
    <w:rsid w:val="0008241C"/>
    <w:rsid w:val="000829AD"/>
    <w:rsid w:val="00083981"/>
    <w:rsid w:val="00084ECF"/>
    <w:rsid w:val="00084FD5"/>
    <w:rsid w:val="0008532A"/>
    <w:rsid w:val="00085370"/>
    <w:rsid w:val="000856F5"/>
    <w:rsid w:val="00085A24"/>
    <w:rsid w:val="0008621D"/>
    <w:rsid w:val="00086ABA"/>
    <w:rsid w:val="000873BA"/>
    <w:rsid w:val="000879AC"/>
    <w:rsid w:val="00087AA2"/>
    <w:rsid w:val="0009009B"/>
    <w:rsid w:val="00090501"/>
    <w:rsid w:val="00090A2E"/>
    <w:rsid w:val="00090FAD"/>
    <w:rsid w:val="00091638"/>
    <w:rsid w:val="00092FF4"/>
    <w:rsid w:val="00093DF7"/>
    <w:rsid w:val="00094ECF"/>
    <w:rsid w:val="00095775"/>
    <w:rsid w:val="0009680A"/>
    <w:rsid w:val="00096E79"/>
    <w:rsid w:val="0009737D"/>
    <w:rsid w:val="00097731"/>
    <w:rsid w:val="000A028A"/>
    <w:rsid w:val="000A13D7"/>
    <w:rsid w:val="000A1E39"/>
    <w:rsid w:val="000A2F64"/>
    <w:rsid w:val="000A31C4"/>
    <w:rsid w:val="000A3E69"/>
    <w:rsid w:val="000A40CC"/>
    <w:rsid w:val="000A54F5"/>
    <w:rsid w:val="000A59E5"/>
    <w:rsid w:val="000A736A"/>
    <w:rsid w:val="000A7909"/>
    <w:rsid w:val="000A7B1C"/>
    <w:rsid w:val="000B0823"/>
    <w:rsid w:val="000B1549"/>
    <w:rsid w:val="000B1F66"/>
    <w:rsid w:val="000B3776"/>
    <w:rsid w:val="000B37B5"/>
    <w:rsid w:val="000B3A9E"/>
    <w:rsid w:val="000B416C"/>
    <w:rsid w:val="000B45AC"/>
    <w:rsid w:val="000B4690"/>
    <w:rsid w:val="000B4D78"/>
    <w:rsid w:val="000B51F4"/>
    <w:rsid w:val="000B5B06"/>
    <w:rsid w:val="000B66CF"/>
    <w:rsid w:val="000B6F19"/>
    <w:rsid w:val="000B7579"/>
    <w:rsid w:val="000C0A24"/>
    <w:rsid w:val="000C0BA8"/>
    <w:rsid w:val="000C1170"/>
    <w:rsid w:val="000C23EE"/>
    <w:rsid w:val="000C365A"/>
    <w:rsid w:val="000C369C"/>
    <w:rsid w:val="000C404E"/>
    <w:rsid w:val="000C5E1F"/>
    <w:rsid w:val="000D111D"/>
    <w:rsid w:val="000D175D"/>
    <w:rsid w:val="000D2E6C"/>
    <w:rsid w:val="000D39CC"/>
    <w:rsid w:val="000D4082"/>
    <w:rsid w:val="000D68E1"/>
    <w:rsid w:val="000D6DE0"/>
    <w:rsid w:val="000D706A"/>
    <w:rsid w:val="000D71FC"/>
    <w:rsid w:val="000D7442"/>
    <w:rsid w:val="000D7954"/>
    <w:rsid w:val="000D79B6"/>
    <w:rsid w:val="000D7DD2"/>
    <w:rsid w:val="000E0437"/>
    <w:rsid w:val="000E2658"/>
    <w:rsid w:val="000E2DE5"/>
    <w:rsid w:val="000E3EA3"/>
    <w:rsid w:val="000E441B"/>
    <w:rsid w:val="000E4A08"/>
    <w:rsid w:val="000E60CA"/>
    <w:rsid w:val="000E6B5B"/>
    <w:rsid w:val="000E6E0F"/>
    <w:rsid w:val="000E74CA"/>
    <w:rsid w:val="000E7B9C"/>
    <w:rsid w:val="000E7EDA"/>
    <w:rsid w:val="000F21F2"/>
    <w:rsid w:val="000F27F7"/>
    <w:rsid w:val="000F2A44"/>
    <w:rsid w:val="000F3907"/>
    <w:rsid w:val="000F3AB6"/>
    <w:rsid w:val="000F3CBB"/>
    <w:rsid w:val="000F429A"/>
    <w:rsid w:val="000F471F"/>
    <w:rsid w:val="000F4AB5"/>
    <w:rsid w:val="000F6BA0"/>
    <w:rsid w:val="000F6CA9"/>
    <w:rsid w:val="000F71F5"/>
    <w:rsid w:val="000F77DE"/>
    <w:rsid w:val="00100080"/>
    <w:rsid w:val="00100386"/>
    <w:rsid w:val="00100884"/>
    <w:rsid w:val="00101D7E"/>
    <w:rsid w:val="00101EE9"/>
    <w:rsid w:val="0010248A"/>
    <w:rsid w:val="0010264B"/>
    <w:rsid w:val="001033A0"/>
    <w:rsid w:val="00103D52"/>
    <w:rsid w:val="00104DF9"/>
    <w:rsid w:val="00106931"/>
    <w:rsid w:val="001073A8"/>
    <w:rsid w:val="00107D37"/>
    <w:rsid w:val="00110ED4"/>
    <w:rsid w:val="00111CF2"/>
    <w:rsid w:val="00112835"/>
    <w:rsid w:val="001130EE"/>
    <w:rsid w:val="001134B6"/>
    <w:rsid w:val="0011360B"/>
    <w:rsid w:val="00113F86"/>
    <w:rsid w:val="001147B7"/>
    <w:rsid w:val="00116575"/>
    <w:rsid w:val="001167CB"/>
    <w:rsid w:val="00116BC2"/>
    <w:rsid w:val="001179EB"/>
    <w:rsid w:val="001229B1"/>
    <w:rsid w:val="001238D1"/>
    <w:rsid w:val="001240DC"/>
    <w:rsid w:val="00125C81"/>
    <w:rsid w:val="001265BD"/>
    <w:rsid w:val="00127676"/>
    <w:rsid w:val="00130504"/>
    <w:rsid w:val="00130EF8"/>
    <w:rsid w:val="00131693"/>
    <w:rsid w:val="001320DC"/>
    <w:rsid w:val="001361C7"/>
    <w:rsid w:val="00136445"/>
    <w:rsid w:val="001365E4"/>
    <w:rsid w:val="00136722"/>
    <w:rsid w:val="00136764"/>
    <w:rsid w:val="00136B0D"/>
    <w:rsid w:val="0013717A"/>
    <w:rsid w:val="0013723C"/>
    <w:rsid w:val="001379A9"/>
    <w:rsid w:val="00137F54"/>
    <w:rsid w:val="00137FBC"/>
    <w:rsid w:val="001406F9"/>
    <w:rsid w:val="00140E88"/>
    <w:rsid w:val="00140E95"/>
    <w:rsid w:val="00140FE5"/>
    <w:rsid w:val="00141874"/>
    <w:rsid w:val="00142ACE"/>
    <w:rsid w:val="0014598D"/>
    <w:rsid w:val="00146055"/>
    <w:rsid w:val="001464CB"/>
    <w:rsid w:val="00146902"/>
    <w:rsid w:val="00146C57"/>
    <w:rsid w:val="00146D0B"/>
    <w:rsid w:val="00146D1C"/>
    <w:rsid w:val="0014737A"/>
    <w:rsid w:val="0015181D"/>
    <w:rsid w:val="00151E34"/>
    <w:rsid w:val="001520FD"/>
    <w:rsid w:val="001523EB"/>
    <w:rsid w:val="00152998"/>
    <w:rsid w:val="00152AB1"/>
    <w:rsid w:val="00153089"/>
    <w:rsid w:val="001549D0"/>
    <w:rsid w:val="00156B5E"/>
    <w:rsid w:val="0015750E"/>
    <w:rsid w:val="00157859"/>
    <w:rsid w:val="001600AA"/>
    <w:rsid w:val="0016018E"/>
    <w:rsid w:val="00160213"/>
    <w:rsid w:val="0016030A"/>
    <w:rsid w:val="00160E97"/>
    <w:rsid w:val="00160EC4"/>
    <w:rsid w:val="00161E8B"/>
    <w:rsid w:val="00162BEC"/>
    <w:rsid w:val="00163B41"/>
    <w:rsid w:val="00163D2F"/>
    <w:rsid w:val="00163D35"/>
    <w:rsid w:val="00165419"/>
    <w:rsid w:val="0016547D"/>
    <w:rsid w:val="00165625"/>
    <w:rsid w:val="001658D0"/>
    <w:rsid w:val="00165A7D"/>
    <w:rsid w:val="0016685A"/>
    <w:rsid w:val="00166960"/>
    <w:rsid w:val="00167343"/>
    <w:rsid w:val="00167623"/>
    <w:rsid w:val="00167ADE"/>
    <w:rsid w:val="00170D44"/>
    <w:rsid w:val="00171B13"/>
    <w:rsid w:val="00171E77"/>
    <w:rsid w:val="0017335C"/>
    <w:rsid w:val="0017383F"/>
    <w:rsid w:val="00174776"/>
    <w:rsid w:val="001748AD"/>
    <w:rsid w:val="00174C7C"/>
    <w:rsid w:val="00174CE4"/>
    <w:rsid w:val="0017556C"/>
    <w:rsid w:val="00175959"/>
    <w:rsid w:val="001763F9"/>
    <w:rsid w:val="001767CD"/>
    <w:rsid w:val="00176D16"/>
    <w:rsid w:val="0017727D"/>
    <w:rsid w:val="00180E33"/>
    <w:rsid w:val="001814C0"/>
    <w:rsid w:val="00181F07"/>
    <w:rsid w:val="0018245B"/>
    <w:rsid w:val="00182922"/>
    <w:rsid w:val="00182B53"/>
    <w:rsid w:val="001832F5"/>
    <w:rsid w:val="0018378B"/>
    <w:rsid w:val="001844F3"/>
    <w:rsid w:val="00184A35"/>
    <w:rsid w:val="00185AA3"/>
    <w:rsid w:val="001869CA"/>
    <w:rsid w:val="00187014"/>
    <w:rsid w:val="001871C2"/>
    <w:rsid w:val="0019212B"/>
    <w:rsid w:val="00192862"/>
    <w:rsid w:val="00192BFD"/>
    <w:rsid w:val="00193722"/>
    <w:rsid w:val="00193C15"/>
    <w:rsid w:val="00193FC3"/>
    <w:rsid w:val="00194300"/>
    <w:rsid w:val="001944EB"/>
    <w:rsid w:val="0019471C"/>
    <w:rsid w:val="00194DA6"/>
    <w:rsid w:val="001951ED"/>
    <w:rsid w:val="0019534B"/>
    <w:rsid w:val="00197D57"/>
    <w:rsid w:val="001A0E93"/>
    <w:rsid w:val="001A10D3"/>
    <w:rsid w:val="001A170E"/>
    <w:rsid w:val="001A21C1"/>
    <w:rsid w:val="001A22DB"/>
    <w:rsid w:val="001A3DC9"/>
    <w:rsid w:val="001A4153"/>
    <w:rsid w:val="001A6DB0"/>
    <w:rsid w:val="001A78B1"/>
    <w:rsid w:val="001A7B76"/>
    <w:rsid w:val="001B0875"/>
    <w:rsid w:val="001B1BFC"/>
    <w:rsid w:val="001B2547"/>
    <w:rsid w:val="001B2BE6"/>
    <w:rsid w:val="001B2F3E"/>
    <w:rsid w:val="001B3074"/>
    <w:rsid w:val="001B3BF3"/>
    <w:rsid w:val="001B56A1"/>
    <w:rsid w:val="001B5BAA"/>
    <w:rsid w:val="001B6FFD"/>
    <w:rsid w:val="001B7205"/>
    <w:rsid w:val="001C00F6"/>
    <w:rsid w:val="001C2EE0"/>
    <w:rsid w:val="001C39D2"/>
    <w:rsid w:val="001C39DE"/>
    <w:rsid w:val="001C3F50"/>
    <w:rsid w:val="001C4047"/>
    <w:rsid w:val="001C40B1"/>
    <w:rsid w:val="001C456F"/>
    <w:rsid w:val="001C5AAF"/>
    <w:rsid w:val="001C5D74"/>
    <w:rsid w:val="001C6362"/>
    <w:rsid w:val="001C7E6F"/>
    <w:rsid w:val="001D0018"/>
    <w:rsid w:val="001D1095"/>
    <w:rsid w:val="001D2FB8"/>
    <w:rsid w:val="001D38D4"/>
    <w:rsid w:val="001D41E3"/>
    <w:rsid w:val="001D49BD"/>
    <w:rsid w:val="001D6074"/>
    <w:rsid w:val="001D60B4"/>
    <w:rsid w:val="001D60FA"/>
    <w:rsid w:val="001D636D"/>
    <w:rsid w:val="001D6578"/>
    <w:rsid w:val="001D670E"/>
    <w:rsid w:val="001D71CA"/>
    <w:rsid w:val="001D788F"/>
    <w:rsid w:val="001E0695"/>
    <w:rsid w:val="001E1120"/>
    <w:rsid w:val="001E17A6"/>
    <w:rsid w:val="001E1FD3"/>
    <w:rsid w:val="001E248B"/>
    <w:rsid w:val="001E261B"/>
    <w:rsid w:val="001E271A"/>
    <w:rsid w:val="001E2B50"/>
    <w:rsid w:val="001E312E"/>
    <w:rsid w:val="001E3B68"/>
    <w:rsid w:val="001E3F5A"/>
    <w:rsid w:val="001E4021"/>
    <w:rsid w:val="001E466F"/>
    <w:rsid w:val="001E4747"/>
    <w:rsid w:val="001E5B34"/>
    <w:rsid w:val="001E5B65"/>
    <w:rsid w:val="001E639D"/>
    <w:rsid w:val="001E658D"/>
    <w:rsid w:val="001E6918"/>
    <w:rsid w:val="001E6FC6"/>
    <w:rsid w:val="001F1D81"/>
    <w:rsid w:val="001F2A1A"/>
    <w:rsid w:val="001F2FCD"/>
    <w:rsid w:val="001F3B90"/>
    <w:rsid w:val="001F3F19"/>
    <w:rsid w:val="001F57ED"/>
    <w:rsid w:val="001F60B3"/>
    <w:rsid w:val="001F62DB"/>
    <w:rsid w:val="001F6C66"/>
    <w:rsid w:val="001F753A"/>
    <w:rsid w:val="001F7C39"/>
    <w:rsid w:val="0020017E"/>
    <w:rsid w:val="00200783"/>
    <w:rsid w:val="00202DF1"/>
    <w:rsid w:val="002032D3"/>
    <w:rsid w:val="00203474"/>
    <w:rsid w:val="002038BC"/>
    <w:rsid w:val="0020523B"/>
    <w:rsid w:val="00205CCD"/>
    <w:rsid w:val="0020600C"/>
    <w:rsid w:val="00206055"/>
    <w:rsid w:val="00206D42"/>
    <w:rsid w:val="00207DD5"/>
    <w:rsid w:val="00210DB3"/>
    <w:rsid w:val="002112D3"/>
    <w:rsid w:val="00212435"/>
    <w:rsid w:val="00213012"/>
    <w:rsid w:val="0021308C"/>
    <w:rsid w:val="0021315A"/>
    <w:rsid w:val="0021415D"/>
    <w:rsid w:val="00215655"/>
    <w:rsid w:val="0021620C"/>
    <w:rsid w:val="00216DB4"/>
    <w:rsid w:val="00217857"/>
    <w:rsid w:val="002179A5"/>
    <w:rsid w:val="002204F7"/>
    <w:rsid w:val="00220F07"/>
    <w:rsid w:val="00221947"/>
    <w:rsid w:val="00221C3C"/>
    <w:rsid w:val="00222364"/>
    <w:rsid w:val="002223E4"/>
    <w:rsid w:val="00222926"/>
    <w:rsid w:val="00222D91"/>
    <w:rsid w:val="00224123"/>
    <w:rsid w:val="00224407"/>
    <w:rsid w:val="00224D66"/>
    <w:rsid w:val="00225E72"/>
    <w:rsid w:val="00226182"/>
    <w:rsid w:val="00226284"/>
    <w:rsid w:val="00226B8E"/>
    <w:rsid w:val="00226D1D"/>
    <w:rsid w:val="00226E45"/>
    <w:rsid w:val="00230232"/>
    <w:rsid w:val="00230978"/>
    <w:rsid w:val="002313BF"/>
    <w:rsid w:val="002314E4"/>
    <w:rsid w:val="002324A8"/>
    <w:rsid w:val="00232DEA"/>
    <w:rsid w:val="00233199"/>
    <w:rsid w:val="00234BD8"/>
    <w:rsid w:val="00234C1F"/>
    <w:rsid w:val="00235072"/>
    <w:rsid w:val="002355CD"/>
    <w:rsid w:val="002355DD"/>
    <w:rsid w:val="00235AE9"/>
    <w:rsid w:val="00236371"/>
    <w:rsid w:val="002370FA"/>
    <w:rsid w:val="00237627"/>
    <w:rsid w:val="00240F3F"/>
    <w:rsid w:val="00241741"/>
    <w:rsid w:val="00242949"/>
    <w:rsid w:val="00243298"/>
    <w:rsid w:val="00243BF1"/>
    <w:rsid w:val="00243D08"/>
    <w:rsid w:val="002442C5"/>
    <w:rsid w:val="00246FF3"/>
    <w:rsid w:val="002473CF"/>
    <w:rsid w:val="00247CE4"/>
    <w:rsid w:val="00253C0F"/>
    <w:rsid w:val="0025402C"/>
    <w:rsid w:val="00254620"/>
    <w:rsid w:val="0025468D"/>
    <w:rsid w:val="002549C6"/>
    <w:rsid w:val="00254A03"/>
    <w:rsid w:val="002571D0"/>
    <w:rsid w:val="0025724F"/>
    <w:rsid w:val="00257721"/>
    <w:rsid w:val="00257C18"/>
    <w:rsid w:val="00260121"/>
    <w:rsid w:val="00260825"/>
    <w:rsid w:val="00260D9A"/>
    <w:rsid w:val="0026170E"/>
    <w:rsid w:val="002624CC"/>
    <w:rsid w:val="00263AFF"/>
    <w:rsid w:val="00267077"/>
    <w:rsid w:val="00271DA7"/>
    <w:rsid w:val="00271ED5"/>
    <w:rsid w:val="00272BC4"/>
    <w:rsid w:val="00272C0A"/>
    <w:rsid w:val="00273544"/>
    <w:rsid w:val="00274AF7"/>
    <w:rsid w:val="00275213"/>
    <w:rsid w:val="002752E0"/>
    <w:rsid w:val="00276ADA"/>
    <w:rsid w:val="00277640"/>
    <w:rsid w:val="002776DB"/>
    <w:rsid w:val="0027785E"/>
    <w:rsid w:val="002800F9"/>
    <w:rsid w:val="00280E83"/>
    <w:rsid w:val="00281196"/>
    <w:rsid w:val="00283675"/>
    <w:rsid w:val="00285747"/>
    <w:rsid w:val="00286829"/>
    <w:rsid w:val="002873DC"/>
    <w:rsid w:val="002875A2"/>
    <w:rsid w:val="0028778C"/>
    <w:rsid w:val="002877DA"/>
    <w:rsid w:val="00287FA7"/>
    <w:rsid w:val="00290049"/>
    <w:rsid w:val="002903D8"/>
    <w:rsid w:val="002924FB"/>
    <w:rsid w:val="0029272D"/>
    <w:rsid w:val="00293334"/>
    <w:rsid w:val="00293C1C"/>
    <w:rsid w:val="00293FF7"/>
    <w:rsid w:val="00294257"/>
    <w:rsid w:val="00294396"/>
    <w:rsid w:val="00294551"/>
    <w:rsid w:val="002948B1"/>
    <w:rsid w:val="00294A0A"/>
    <w:rsid w:val="00294B12"/>
    <w:rsid w:val="0029585D"/>
    <w:rsid w:val="002963FF"/>
    <w:rsid w:val="00296A00"/>
    <w:rsid w:val="00296E14"/>
    <w:rsid w:val="002974A1"/>
    <w:rsid w:val="00297AB1"/>
    <w:rsid w:val="00297BBE"/>
    <w:rsid w:val="00297DCD"/>
    <w:rsid w:val="00297E19"/>
    <w:rsid w:val="002A0CD0"/>
    <w:rsid w:val="002A0CD1"/>
    <w:rsid w:val="002A2144"/>
    <w:rsid w:val="002A2FE1"/>
    <w:rsid w:val="002A3E9F"/>
    <w:rsid w:val="002A5284"/>
    <w:rsid w:val="002A5304"/>
    <w:rsid w:val="002A7083"/>
    <w:rsid w:val="002A7226"/>
    <w:rsid w:val="002A7252"/>
    <w:rsid w:val="002B1C7A"/>
    <w:rsid w:val="002B1F38"/>
    <w:rsid w:val="002B2038"/>
    <w:rsid w:val="002B2810"/>
    <w:rsid w:val="002B3E54"/>
    <w:rsid w:val="002B4344"/>
    <w:rsid w:val="002B43B4"/>
    <w:rsid w:val="002B4719"/>
    <w:rsid w:val="002B4E19"/>
    <w:rsid w:val="002B4F70"/>
    <w:rsid w:val="002B574C"/>
    <w:rsid w:val="002B5845"/>
    <w:rsid w:val="002B5DB0"/>
    <w:rsid w:val="002B6830"/>
    <w:rsid w:val="002B6DB2"/>
    <w:rsid w:val="002B6F65"/>
    <w:rsid w:val="002B786B"/>
    <w:rsid w:val="002B78E2"/>
    <w:rsid w:val="002C19B4"/>
    <w:rsid w:val="002C278C"/>
    <w:rsid w:val="002C367C"/>
    <w:rsid w:val="002C4575"/>
    <w:rsid w:val="002C476F"/>
    <w:rsid w:val="002C482C"/>
    <w:rsid w:val="002C4E56"/>
    <w:rsid w:val="002C524C"/>
    <w:rsid w:val="002C528D"/>
    <w:rsid w:val="002C64F8"/>
    <w:rsid w:val="002C70C0"/>
    <w:rsid w:val="002C7165"/>
    <w:rsid w:val="002C7910"/>
    <w:rsid w:val="002D033E"/>
    <w:rsid w:val="002D049C"/>
    <w:rsid w:val="002D0A7A"/>
    <w:rsid w:val="002D0D00"/>
    <w:rsid w:val="002D1513"/>
    <w:rsid w:val="002D2594"/>
    <w:rsid w:val="002D27D9"/>
    <w:rsid w:val="002D3161"/>
    <w:rsid w:val="002D4EC7"/>
    <w:rsid w:val="002D504F"/>
    <w:rsid w:val="002D541F"/>
    <w:rsid w:val="002D6E3D"/>
    <w:rsid w:val="002D76EB"/>
    <w:rsid w:val="002D7BB4"/>
    <w:rsid w:val="002E07A5"/>
    <w:rsid w:val="002E0BA4"/>
    <w:rsid w:val="002E1207"/>
    <w:rsid w:val="002E13A2"/>
    <w:rsid w:val="002E15C0"/>
    <w:rsid w:val="002E2513"/>
    <w:rsid w:val="002E2759"/>
    <w:rsid w:val="002E2C31"/>
    <w:rsid w:val="002E31F5"/>
    <w:rsid w:val="002E3A36"/>
    <w:rsid w:val="002E49DC"/>
    <w:rsid w:val="002E5EBF"/>
    <w:rsid w:val="002E72E0"/>
    <w:rsid w:val="002E7391"/>
    <w:rsid w:val="002E77D8"/>
    <w:rsid w:val="002E7A5A"/>
    <w:rsid w:val="002F06BF"/>
    <w:rsid w:val="002F0905"/>
    <w:rsid w:val="002F0B38"/>
    <w:rsid w:val="002F0DEC"/>
    <w:rsid w:val="002F12FD"/>
    <w:rsid w:val="002F3199"/>
    <w:rsid w:val="002F322D"/>
    <w:rsid w:val="002F3E61"/>
    <w:rsid w:val="002F3F29"/>
    <w:rsid w:val="002F48E5"/>
    <w:rsid w:val="002F4E05"/>
    <w:rsid w:val="002F7F93"/>
    <w:rsid w:val="00301309"/>
    <w:rsid w:val="00301E46"/>
    <w:rsid w:val="00301FDF"/>
    <w:rsid w:val="00302191"/>
    <w:rsid w:val="0030226E"/>
    <w:rsid w:val="00302A96"/>
    <w:rsid w:val="0030356C"/>
    <w:rsid w:val="003046A6"/>
    <w:rsid w:val="0030481E"/>
    <w:rsid w:val="00305383"/>
    <w:rsid w:val="00305744"/>
    <w:rsid w:val="00306984"/>
    <w:rsid w:val="00306A2F"/>
    <w:rsid w:val="00307659"/>
    <w:rsid w:val="00307771"/>
    <w:rsid w:val="003101F5"/>
    <w:rsid w:val="00310634"/>
    <w:rsid w:val="00310B9E"/>
    <w:rsid w:val="00311570"/>
    <w:rsid w:val="00311CD8"/>
    <w:rsid w:val="00311FAD"/>
    <w:rsid w:val="00312855"/>
    <w:rsid w:val="0031560A"/>
    <w:rsid w:val="00315F32"/>
    <w:rsid w:val="0031687E"/>
    <w:rsid w:val="00316E27"/>
    <w:rsid w:val="00317122"/>
    <w:rsid w:val="0031784C"/>
    <w:rsid w:val="00317879"/>
    <w:rsid w:val="0032073B"/>
    <w:rsid w:val="00320DEF"/>
    <w:rsid w:val="003213BE"/>
    <w:rsid w:val="00322648"/>
    <w:rsid w:val="003229AA"/>
    <w:rsid w:val="00323A10"/>
    <w:rsid w:val="003249DA"/>
    <w:rsid w:val="0032508B"/>
    <w:rsid w:val="00326144"/>
    <w:rsid w:val="003265CC"/>
    <w:rsid w:val="00327912"/>
    <w:rsid w:val="00327E11"/>
    <w:rsid w:val="003302FA"/>
    <w:rsid w:val="003309FE"/>
    <w:rsid w:val="00331A80"/>
    <w:rsid w:val="00334D89"/>
    <w:rsid w:val="0033543C"/>
    <w:rsid w:val="003357D2"/>
    <w:rsid w:val="00335CDD"/>
    <w:rsid w:val="00336647"/>
    <w:rsid w:val="0033681E"/>
    <w:rsid w:val="00336B3F"/>
    <w:rsid w:val="00336CB4"/>
    <w:rsid w:val="0033761C"/>
    <w:rsid w:val="00337CBC"/>
    <w:rsid w:val="00340D19"/>
    <w:rsid w:val="00341D93"/>
    <w:rsid w:val="00341F38"/>
    <w:rsid w:val="003422E5"/>
    <w:rsid w:val="003426B9"/>
    <w:rsid w:val="00342DE9"/>
    <w:rsid w:val="00343117"/>
    <w:rsid w:val="00343753"/>
    <w:rsid w:val="00343A08"/>
    <w:rsid w:val="00344360"/>
    <w:rsid w:val="003443D5"/>
    <w:rsid w:val="003444DA"/>
    <w:rsid w:val="003454D9"/>
    <w:rsid w:val="00345C6E"/>
    <w:rsid w:val="00345E27"/>
    <w:rsid w:val="0034713A"/>
    <w:rsid w:val="00347A94"/>
    <w:rsid w:val="0035052A"/>
    <w:rsid w:val="00350BEA"/>
    <w:rsid w:val="00350CBA"/>
    <w:rsid w:val="00350E2A"/>
    <w:rsid w:val="00350E8B"/>
    <w:rsid w:val="003513F6"/>
    <w:rsid w:val="00352158"/>
    <w:rsid w:val="00352483"/>
    <w:rsid w:val="003524EB"/>
    <w:rsid w:val="0035317D"/>
    <w:rsid w:val="00354C2F"/>
    <w:rsid w:val="003553C4"/>
    <w:rsid w:val="0035681F"/>
    <w:rsid w:val="00356B45"/>
    <w:rsid w:val="00357EB7"/>
    <w:rsid w:val="00357F3C"/>
    <w:rsid w:val="00360A8E"/>
    <w:rsid w:val="00360D59"/>
    <w:rsid w:val="00361368"/>
    <w:rsid w:val="00361881"/>
    <w:rsid w:val="003627B1"/>
    <w:rsid w:val="00362BEE"/>
    <w:rsid w:val="003639CE"/>
    <w:rsid w:val="0036528E"/>
    <w:rsid w:val="0036543D"/>
    <w:rsid w:val="00365773"/>
    <w:rsid w:val="003658C9"/>
    <w:rsid w:val="003669D4"/>
    <w:rsid w:val="00366CED"/>
    <w:rsid w:val="0036716C"/>
    <w:rsid w:val="003673DE"/>
    <w:rsid w:val="00370BBF"/>
    <w:rsid w:val="003713DF"/>
    <w:rsid w:val="003720DB"/>
    <w:rsid w:val="003731DE"/>
    <w:rsid w:val="00373C5D"/>
    <w:rsid w:val="0037436B"/>
    <w:rsid w:val="00374BB1"/>
    <w:rsid w:val="00374E59"/>
    <w:rsid w:val="00375426"/>
    <w:rsid w:val="0037593F"/>
    <w:rsid w:val="00375CB4"/>
    <w:rsid w:val="003761DC"/>
    <w:rsid w:val="0037650C"/>
    <w:rsid w:val="0037721D"/>
    <w:rsid w:val="00377BAD"/>
    <w:rsid w:val="00377EA1"/>
    <w:rsid w:val="00381470"/>
    <w:rsid w:val="00382670"/>
    <w:rsid w:val="00383F3C"/>
    <w:rsid w:val="00384574"/>
    <w:rsid w:val="0038546C"/>
    <w:rsid w:val="003854D5"/>
    <w:rsid w:val="00385CAC"/>
    <w:rsid w:val="00385E27"/>
    <w:rsid w:val="00386881"/>
    <w:rsid w:val="00390223"/>
    <w:rsid w:val="00390443"/>
    <w:rsid w:val="003904D6"/>
    <w:rsid w:val="00390794"/>
    <w:rsid w:val="00390BBA"/>
    <w:rsid w:val="00391E69"/>
    <w:rsid w:val="0039272B"/>
    <w:rsid w:val="00392A68"/>
    <w:rsid w:val="00392D4C"/>
    <w:rsid w:val="003934C2"/>
    <w:rsid w:val="00394165"/>
    <w:rsid w:val="00394B2D"/>
    <w:rsid w:val="00395531"/>
    <w:rsid w:val="00395B16"/>
    <w:rsid w:val="003962D0"/>
    <w:rsid w:val="00396D8F"/>
    <w:rsid w:val="0039779A"/>
    <w:rsid w:val="00397CF1"/>
    <w:rsid w:val="00397F08"/>
    <w:rsid w:val="003A0191"/>
    <w:rsid w:val="003A0A8F"/>
    <w:rsid w:val="003A10B7"/>
    <w:rsid w:val="003A1642"/>
    <w:rsid w:val="003A1785"/>
    <w:rsid w:val="003A22ED"/>
    <w:rsid w:val="003A2985"/>
    <w:rsid w:val="003A38C3"/>
    <w:rsid w:val="003A3E3A"/>
    <w:rsid w:val="003A4D27"/>
    <w:rsid w:val="003A5047"/>
    <w:rsid w:val="003A5980"/>
    <w:rsid w:val="003A6467"/>
    <w:rsid w:val="003A6706"/>
    <w:rsid w:val="003A7056"/>
    <w:rsid w:val="003A77B8"/>
    <w:rsid w:val="003A7AE0"/>
    <w:rsid w:val="003B272C"/>
    <w:rsid w:val="003B2BFB"/>
    <w:rsid w:val="003B3CCB"/>
    <w:rsid w:val="003B3FAC"/>
    <w:rsid w:val="003B4D7F"/>
    <w:rsid w:val="003B5181"/>
    <w:rsid w:val="003B5757"/>
    <w:rsid w:val="003B60B9"/>
    <w:rsid w:val="003B61B5"/>
    <w:rsid w:val="003B7CBA"/>
    <w:rsid w:val="003B7D37"/>
    <w:rsid w:val="003C252E"/>
    <w:rsid w:val="003C2583"/>
    <w:rsid w:val="003C2A2B"/>
    <w:rsid w:val="003C456A"/>
    <w:rsid w:val="003C4665"/>
    <w:rsid w:val="003C4AAD"/>
    <w:rsid w:val="003C4FB7"/>
    <w:rsid w:val="003C660B"/>
    <w:rsid w:val="003C6C15"/>
    <w:rsid w:val="003C7BE0"/>
    <w:rsid w:val="003D0A1F"/>
    <w:rsid w:val="003D1094"/>
    <w:rsid w:val="003D150E"/>
    <w:rsid w:val="003D1776"/>
    <w:rsid w:val="003D2919"/>
    <w:rsid w:val="003D2D63"/>
    <w:rsid w:val="003D314C"/>
    <w:rsid w:val="003D3437"/>
    <w:rsid w:val="003D4AC1"/>
    <w:rsid w:val="003D4D19"/>
    <w:rsid w:val="003D5CA9"/>
    <w:rsid w:val="003D6D7A"/>
    <w:rsid w:val="003D7958"/>
    <w:rsid w:val="003E1C3A"/>
    <w:rsid w:val="003E23C8"/>
    <w:rsid w:val="003E35F8"/>
    <w:rsid w:val="003E3E31"/>
    <w:rsid w:val="003E5ACA"/>
    <w:rsid w:val="003E603A"/>
    <w:rsid w:val="003E6677"/>
    <w:rsid w:val="003E68F6"/>
    <w:rsid w:val="003E7797"/>
    <w:rsid w:val="003F0BE1"/>
    <w:rsid w:val="003F24BF"/>
    <w:rsid w:val="003F2A03"/>
    <w:rsid w:val="003F5BAC"/>
    <w:rsid w:val="003F5C06"/>
    <w:rsid w:val="003F5E65"/>
    <w:rsid w:val="003F657E"/>
    <w:rsid w:val="003F664B"/>
    <w:rsid w:val="0040052F"/>
    <w:rsid w:val="004007E0"/>
    <w:rsid w:val="004009EF"/>
    <w:rsid w:val="00400B72"/>
    <w:rsid w:val="004013AD"/>
    <w:rsid w:val="004017B4"/>
    <w:rsid w:val="00401D2A"/>
    <w:rsid w:val="00401DF8"/>
    <w:rsid w:val="00401FF2"/>
    <w:rsid w:val="00402469"/>
    <w:rsid w:val="00402C78"/>
    <w:rsid w:val="00403200"/>
    <w:rsid w:val="00403286"/>
    <w:rsid w:val="004049C5"/>
    <w:rsid w:val="00404A00"/>
    <w:rsid w:val="00404C93"/>
    <w:rsid w:val="00404F68"/>
    <w:rsid w:val="00406A83"/>
    <w:rsid w:val="00410714"/>
    <w:rsid w:val="00410852"/>
    <w:rsid w:val="00411993"/>
    <w:rsid w:val="00412125"/>
    <w:rsid w:val="00412ECE"/>
    <w:rsid w:val="00413C74"/>
    <w:rsid w:val="0041409E"/>
    <w:rsid w:val="00414772"/>
    <w:rsid w:val="004166D0"/>
    <w:rsid w:val="00416B45"/>
    <w:rsid w:val="00420613"/>
    <w:rsid w:val="0042106D"/>
    <w:rsid w:val="00421979"/>
    <w:rsid w:val="00421C01"/>
    <w:rsid w:val="004220B5"/>
    <w:rsid w:val="00422618"/>
    <w:rsid w:val="00422A55"/>
    <w:rsid w:val="004238D7"/>
    <w:rsid w:val="00424268"/>
    <w:rsid w:val="0042488F"/>
    <w:rsid w:val="00424BEC"/>
    <w:rsid w:val="004251A4"/>
    <w:rsid w:val="00426016"/>
    <w:rsid w:val="004261CB"/>
    <w:rsid w:val="00426ED3"/>
    <w:rsid w:val="00427ADD"/>
    <w:rsid w:val="00427F11"/>
    <w:rsid w:val="00430F8C"/>
    <w:rsid w:val="0043130A"/>
    <w:rsid w:val="0043249A"/>
    <w:rsid w:val="00432BC9"/>
    <w:rsid w:val="00432CEC"/>
    <w:rsid w:val="004335ED"/>
    <w:rsid w:val="00434D73"/>
    <w:rsid w:val="00435022"/>
    <w:rsid w:val="0043644A"/>
    <w:rsid w:val="004373A8"/>
    <w:rsid w:val="00437B58"/>
    <w:rsid w:val="00437CFE"/>
    <w:rsid w:val="00440870"/>
    <w:rsid w:val="004415A1"/>
    <w:rsid w:val="004416B1"/>
    <w:rsid w:val="00441B7E"/>
    <w:rsid w:val="0044226C"/>
    <w:rsid w:val="00442729"/>
    <w:rsid w:val="004429AD"/>
    <w:rsid w:val="004437A7"/>
    <w:rsid w:val="00443C15"/>
    <w:rsid w:val="00445121"/>
    <w:rsid w:val="00445DD2"/>
    <w:rsid w:val="004462DB"/>
    <w:rsid w:val="00446937"/>
    <w:rsid w:val="00447297"/>
    <w:rsid w:val="00447CCB"/>
    <w:rsid w:val="0045005A"/>
    <w:rsid w:val="00450E55"/>
    <w:rsid w:val="00451053"/>
    <w:rsid w:val="004512B3"/>
    <w:rsid w:val="00451A5D"/>
    <w:rsid w:val="00452402"/>
    <w:rsid w:val="00452699"/>
    <w:rsid w:val="00452C81"/>
    <w:rsid w:val="00453AA5"/>
    <w:rsid w:val="00454092"/>
    <w:rsid w:val="00455859"/>
    <w:rsid w:val="00455BB4"/>
    <w:rsid w:val="00456458"/>
    <w:rsid w:val="00456BED"/>
    <w:rsid w:val="004570B4"/>
    <w:rsid w:val="00461C58"/>
    <w:rsid w:val="00462884"/>
    <w:rsid w:val="00462D2A"/>
    <w:rsid w:val="0046403F"/>
    <w:rsid w:val="00464236"/>
    <w:rsid w:val="00464244"/>
    <w:rsid w:val="0046453B"/>
    <w:rsid w:val="004645B6"/>
    <w:rsid w:val="00465413"/>
    <w:rsid w:val="0046596C"/>
    <w:rsid w:val="00465C0C"/>
    <w:rsid w:val="00466B11"/>
    <w:rsid w:val="0046735C"/>
    <w:rsid w:val="00467BF9"/>
    <w:rsid w:val="00467C8B"/>
    <w:rsid w:val="00470480"/>
    <w:rsid w:val="004704C3"/>
    <w:rsid w:val="004708CC"/>
    <w:rsid w:val="00471A01"/>
    <w:rsid w:val="00471CEE"/>
    <w:rsid w:val="00473041"/>
    <w:rsid w:val="004731D3"/>
    <w:rsid w:val="004736EA"/>
    <w:rsid w:val="00474F33"/>
    <w:rsid w:val="004755A9"/>
    <w:rsid w:val="004767FA"/>
    <w:rsid w:val="00477D79"/>
    <w:rsid w:val="00482D60"/>
    <w:rsid w:val="004848D1"/>
    <w:rsid w:val="00484AEA"/>
    <w:rsid w:val="00485252"/>
    <w:rsid w:val="00485A1D"/>
    <w:rsid w:val="00486700"/>
    <w:rsid w:val="00487BD5"/>
    <w:rsid w:val="00487E77"/>
    <w:rsid w:val="004905CF"/>
    <w:rsid w:val="00491F90"/>
    <w:rsid w:val="00492034"/>
    <w:rsid w:val="004920EB"/>
    <w:rsid w:val="004927C0"/>
    <w:rsid w:val="00492CE7"/>
    <w:rsid w:val="004936E2"/>
    <w:rsid w:val="00494E8F"/>
    <w:rsid w:val="0049524A"/>
    <w:rsid w:val="00495CA5"/>
    <w:rsid w:val="00495D9F"/>
    <w:rsid w:val="004966A0"/>
    <w:rsid w:val="0049779E"/>
    <w:rsid w:val="00497F0F"/>
    <w:rsid w:val="004A0068"/>
    <w:rsid w:val="004A15D1"/>
    <w:rsid w:val="004A1A75"/>
    <w:rsid w:val="004A3069"/>
    <w:rsid w:val="004A338F"/>
    <w:rsid w:val="004A437B"/>
    <w:rsid w:val="004A4C34"/>
    <w:rsid w:val="004A4D3B"/>
    <w:rsid w:val="004A50B5"/>
    <w:rsid w:val="004A5257"/>
    <w:rsid w:val="004A711D"/>
    <w:rsid w:val="004B083B"/>
    <w:rsid w:val="004B1ECA"/>
    <w:rsid w:val="004B279E"/>
    <w:rsid w:val="004B29A9"/>
    <w:rsid w:val="004B2A02"/>
    <w:rsid w:val="004B2CE1"/>
    <w:rsid w:val="004B4D4C"/>
    <w:rsid w:val="004B5B1E"/>
    <w:rsid w:val="004B6433"/>
    <w:rsid w:val="004B68D3"/>
    <w:rsid w:val="004B6B6E"/>
    <w:rsid w:val="004B6DB4"/>
    <w:rsid w:val="004B749F"/>
    <w:rsid w:val="004B784A"/>
    <w:rsid w:val="004B7B14"/>
    <w:rsid w:val="004B7C27"/>
    <w:rsid w:val="004C0821"/>
    <w:rsid w:val="004C15F5"/>
    <w:rsid w:val="004C189B"/>
    <w:rsid w:val="004C238D"/>
    <w:rsid w:val="004C36A0"/>
    <w:rsid w:val="004C3E1C"/>
    <w:rsid w:val="004C5588"/>
    <w:rsid w:val="004C5E70"/>
    <w:rsid w:val="004C5EDC"/>
    <w:rsid w:val="004C5FDE"/>
    <w:rsid w:val="004C6B5F"/>
    <w:rsid w:val="004C712D"/>
    <w:rsid w:val="004D03E8"/>
    <w:rsid w:val="004D07C5"/>
    <w:rsid w:val="004D0A7C"/>
    <w:rsid w:val="004D0B9D"/>
    <w:rsid w:val="004D23B2"/>
    <w:rsid w:val="004D4812"/>
    <w:rsid w:val="004D4A8B"/>
    <w:rsid w:val="004D5941"/>
    <w:rsid w:val="004D5953"/>
    <w:rsid w:val="004D60E8"/>
    <w:rsid w:val="004D6DE1"/>
    <w:rsid w:val="004E0F01"/>
    <w:rsid w:val="004E1277"/>
    <w:rsid w:val="004E1941"/>
    <w:rsid w:val="004E2C08"/>
    <w:rsid w:val="004E2F85"/>
    <w:rsid w:val="004E2F9D"/>
    <w:rsid w:val="004E31A7"/>
    <w:rsid w:val="004E3A65"/>
    <w:rsid w:val="004E3F29"/>
    <w:rsid w:val="004E4842"/>
    <w:rsid w:val="004E4886"/>
    <w:rsid w:val="004E4B55"/>
    <w:rsid w:val="004E4C19"/>
    <w:rsid w:val="004E5A9B"/>
    <w:rsid w:val="004E6928"/>
    <w:rsid w:val="004F08A7"/>
    <w:rsid w:val="004F108C"/>
    <w:rsid w:val="004F10E2"/>
    <w:rsid w:val="004F13E4"/>
    <w:rsid w:val="004F1A60"/>
    <w:rsid w:val="004F26C8"/>
    <w:rsid w:val="004F26DF"/>
    <w:rsid w:val="004F27C4"/>
    <w:rsid w:val="004F29DB"/>
    <w:rsid w:val="004F2B4A"/>
    <w:rsid w:val="004F2B83"/>
    <w:rsid w:val="004F37E2"/>
    <w:rsid w:val="004F38F8"/>
    <w:rsid w:val="004F3CBE"/>
    <w:rsid w:val="004F3F9C"/>
    <w:rsid w:val="004F4B12"/>
    <w:rsid w:val="004F5B13"/>
    <w:rsid w:val="004F659E"/>
    <w:rsid w:val="004F6DFC"/>
    <w:rsid w:val="004F79A3"/>
    <w:rsid w:val="0050086C"/>
    <w:rsid w:val="005017F8"/>
    <w:rsid w:val="00502230"/>
    <w:rsid w:val="00502585"/>
    <w:rsid w:val="00502F7E"/>
    <w:rsid w:val="00503213"/>
    <w:rsid w:val="00503408"/>
    <w:rsid w:val="00503969"/>
    <w:rsid w:val="00503E22"/>
    <w:rsid w:val="00504711"/>
    <w:rsid w:val="00504B56"/>
    <w:rsid w:val="005053DB"/>
    <w:rsid w:val="0050558F"/>
    <w:rsid w:val="0051004A"/>
    <w:rsid w:val="0051014D"/>
    <w:rsid w:val="0051109C"/>
    <w:rsid w:val="005112CF"/>
    <w:rsid w:val="0051308D"/>
    <w:rsid w:val="00513373"/>
    <w:rsid w:val="00513B72"/>
    <w:rsid w:val="00514853"/>
    <w:rsid w:val="00514AAB"/>
    <w:rsid w:val="005156C7"/>
    <w:rsid w:val="00515AE3"/>
    <w:rsid w:val="00515DF5"/>
    <w:rsid w:val="00516188"/>
    <w:rsid w:val="00516323"/>
    <w:rsid w:val="005164BE"/>
    <w:rsid w:val="00516515"/>
    <w:rsid w:val="00516F61"/>
    <w:rsid w:val="00517753"/>
    <w:rsid w:val="00517D07"/>
    <w:rsid w:val="0052150F"/>
    <w:rsid w:val="00521D15"/>
    <w:rsid w:val="00521FF0"/>
    <w:rsid w:val="00522210"/>
    <w:rsid w:val="00522A21"/>
    <w:rsid w:val="00522A53"/>
    <w:rsid w:val="005246B2"/>
    <w:rsid w:val="0052497B"/>
    <w:rsid w:val="0052509F"/>
    <w:rsid w:val="00526DD9"/>
    <w:rsid w:val="005274F9"/>
    <w:rsid w:val="00527890"/>
    <w:rsid w:val="00527D21"/>
    <w:rsid w:val="00530475"/>
    <w:rsid w:val="00530552"/>
    <w:rsid w:val="00530938"/>
    <w:rsid w:val="00532056"/>
    <w:rsid w:val="00532DEE"/>
    <w:rsid w:val="00533CEA"/>
    <w:rsid w:val="00533E48"/>
    <w:rsid w:val="005340FA"/>
    <w:rsid w:val="005342D1"/>
    <w:rsid w:val="005343F6"/>
    <w:rsid w:val="00534AD6"/>
    <w:rsid w:val="00534BDF"/>
    <w:rsid w:val="00535876"/>
    <w:rsid w:val="00535E22"/>
    <w:rsid w:val="005368A5"/>
    <w:rsid w:val="00537FCD"/>
    <w:rsid w:val="00540251"/>
    <w:rsid w:val="00540D1D"/>
    <w:rsid w:val="00541600"/>
    <w:rsid w:val="00541774"/>
    <w:rsid w:val="00542BB7"/>
    <w:rsid w:val="00543FF0"/>
    <w:rsid w:val="005440CB"/>
    <w:rsid w:val="00544327"/>
    <w:rsid w:val="00544E21"/>
    <w:rsid w:val="005462F7"/>
    <w:rsid w:val="0054675B"/>
    <w:rsid w:val="00546CC0"/>
    <w:rsid w:val="00547304"/>
    <w:rsid w:val="00547570"/>
    <w:rsid w:val="00547C3C"/>
    <w:rsid w:val="0055023E"/>
    <w:rsid w:val="00550CBD"/>
    <w:rsid w:val="00550D06"/>
    <w:rsid w:val="0055170E"/>
    <w:rsid w:val="00551EB5"/>
    <w:rsid w:val="005536A0"/>
    <w:rsid w:val="005538B3"/>
    <w:rsid w:val="00553D2A"/>
    <w:rsid w:val="00553DB1"/>
    <w:rsid w:val="00553DBE"/>
    <w:rsid w:val="00554A51"/>
    <w:rsid w:val="00554D14"/>
    <w:rsid w:val="00554F69"/>
    <w:rsid w:val="0055634E"/>
    <w:rsid w:val="0055649F"/>
    <w:rsid w:val="00556AEA"/>
    <w:rsid w:val="00557A16"/>
    <w:rsid w:val="00557B08"/>
    <w:rsid w:val="0056058E"/>
    <w:rsid w:val="00560EE3"/>
    <w:rsid w:val="005622AA"/>
    <w:rsid w:val="005623F3"/>
    <w:rsid w:val="00563AEA"/>
    <w:rsid w:val="005651D2"/>
    <w:rsid w:val="00567C3D"/>
    <w:rsid w:val="00567CB0"/>
    <w:rsid w:val="00570488"/>
    <w:rsid w:val="00570703"/>
    <w:rsid w:val="00571255"/>
    <w:rsid w:val="005713C0"/>
    <w:rsid w:val="005717BF"/>
    <w:rsid w:val="0057188F"/>
    <w:rsid w:val="005718A7"/>
    <w:rsid w:val="005718C8"/>
    <w:rsid w:val="005720B4"/>
    <w:rsid w:val="00572B90"/>
    <w:rsid w:val="00572BD7"/>
    <w:rsid w:val="005752AF"/>
    <w:rsid w:val="0057544E"/>
    <w:rsid w:val="00575CCC"/>
    <w:rsid w:val="00576657"/>
    <w:rsid w:val="00576957"/>
    <w:rsid w:val="00576A52"/>
    <w:rsid w:val="00577170"/>
    <w:rsid w:val="005771D3"/>
    <w:rsid w:val="00580148"/>
    <w:rsid w:val="00581A5E"/>
    <w:rsid w:val="00582028"/>
    <w:rsid w:val="00582DF4"/>
    <w:rsid w:val="00583617"/>
    <w:rsid w:val="00583AA0"/>
    <w:rsid w:val="005854BD"/>
    <w:rsid w:val="00585C0F"/>
    <w:rsid w:val="00585ED3"/>
    <w:rsid w:val="00586247"/>
    <w:rsid w:val="00586E8A"/>
    <w:rsid w:val="00590453"/>
    <w:rsid w:val="0059086B"/>
    <w:rsid w:val="005908F9"/>
    <w:rsid w:val="00590B58"/>
    <w:rsid w:val="00591102"/>
    <w:rsid w:val="00591E77"/>
    <w:rsid w:val="005922A2"/>
    <w:rsid w:val="0059301A"/>
    <w:rsid w:val="005932EF"/>
    <w:rsid w:val="00593380"/>
    <w:rsid w:val="005939F6"/>
    <w:rsid w:val="00594689"/>
    <w:rsid w:val="00595B7F"/>
    <w:rsid w:val="00595EA7"/>
    <w:rsid w:val="00596DE2"/>
    <w:rsid w:val="00597062"/>
    <w:rsid w:val="00597570"/>
    <w:rsid w:val="0059797A"/>
    <w:rsid w:val="005A142D"/>
    <w:rsid w:val="005A1A75"/>
    <w:rsid w:val="005A1CDA"/>
    <w:rsid w:val="005A2766"/>
    <w:rsid w:val="005A2C23"/>
    <w:rsid w:val="005A3C71"/>
    <w:rsid w:val="005A3D5C"/>
    <w:rsid w:val="005A3DF4"/>
    <w:rsid w:val="005A5268"/>
    <w:rsid w:val="005A5797"/>
    <w:rsid w:val="005A5B8F"/>
    <w:rsid w:val="005A60F1"/>
    <w:rsid w:val="005A6D17"/>
    <w:rsid w:val="005A7A50"/>
    <w:rsid w:val="005B014C"/>
    <w:rsid w:val="005B0768"/>
    <w:rsid w:val="005B0838"/>
    <w:rsid w:val="005B2402"/>
    <w:rsid w:val="005B24A2"/>
    <w:rsid w:val="005B4175"/>
    <w:rsid w:val="005B51D8"/>
    <w:rsid w:val="005B5C81"/>
    <w:rsid w:val="005B7043"/>
    <w:rsid w:val="005B7CE9"/>
    <w:rsid w:val="005B7F9E"/>
    <w:rsid w:val="005C0568"/>
    <w:rsid w:val="005C0724"/>
    <w:rsid w:val="005C08BC"/>
    <w:rsid w:val="005C0B6C"/>
    <w:rsid w:val="005C0B98"/>
    <w:rsid w:val="005C1223"/>
    <w:rsid w:val="005C1553"/>
    <w:rsid w:val="005C2394"/>
    <w:rsid w:val="005C39DF"/>
    <w:rsid w:val="005C3AC1"/>
    <w:rsid w:val="005C556A"/>
    <w:rsid w:val="005C5680"/>
    <w:rsid w:val="005C6676"/>
    <w:rsid w:val="005C71D8"/>
    <w:rsid w:val="005D041C"/>
    <w:rsid w:val="005D0900"/>
    <w:rsid w:val="005D11BE"/>
    <w:rsid w:val="005D11E8"/>
    <w:rsid w:val="005D1376"/>
    <w:rsid w:val="005D2145"/>
    <w:rsid w:val="005D279A"/>
    <w:rsid w:val="005D2BCD"/>
    <w:rsid w:val="005D391F"/>
    <w:rsid w:val="005D3EB6"/>
    <w:rsid w:val="005D4243"/>
    <w:rsid w:val="005D4641"/>
    <w:rsid w:val="005D4E6A"/>
    <w:rsid w:val="005D6B4E"/>
    <w:rsid w:val="005E04AA"/>
    <w:rsid w:val="005E0CEB"/>
    <w:rsid w:val="005E1399"/>
    <w:rsid w:val="005E1CF5"/>
    <w:rsid w:val="005E2FA1"/>
    <w:rsid w:val="005E484F"/>
    <w:rsid w:val="005E4885"/>
    <w:rsid w:val="005E4BB6"/>
    <w:rsid w:val="005E56FE"/>
    <w:rsid w:val="005E5723"/>
    <w:rsid w:val="005E5CCC"/>
    <w:rsid w:val="005E66E0"/>
    <w:rsid w:val="005E6ED1"/>
    <w:rsid w:val="005E7134"/>
    <w:rsid w:val="005F06F1"/>
    <w:rsid w:val="005F0FEA"/>
    <w:rsid w:val="005F16CE"/>
    <w:rsid w:val="005F1895"/>
    <w:rsid w:val="005F18B7"/>
    <w:rsid w:val="005F1901"/>
    <w:rsid w:val="005F1B4D"/>
    <w:rsid w:val="005F220B"/>
    <w:rsid w:val="005F224A"/>
    <w:rsid w:val="005F2AE3"/>
    <w:rsid w:val="005F2B17"/>
    <w:rsid w:val="005F2BC8"/>
    <w:rsid w:val="005F3152"/>
    <w:rsid w:val="005F3A77"/>
    <w:rsid w:val="005F402B"/>
    <w:rsid w:val="005F4599"/>
    <w:rsid w:val="005F482B"/>
    <w:rsid w:val="005F5FDC"/>
    <w:rsid w:val="005F60C6"/>
    <w:rsid w:val="006009DE"/>
    <w:rsid w:val="00600C43"/>
    <w:rsid w:val="006029AC"/>
    <w:rsid w:val="00602D10"/>
    <w:rsid w:val="00603028"/>
    <w:rsid w:val="006030BC"/>
    <w:rsid w:val="00606E7B"/>
    <w:rsid w:val="00610EA8"/>
    <w:rsid w:val="0061136A"/>
    <w:rsid w:val="00611484"/>
    <w:rsid w:val="0061168A"/>
    <w:rsid w:val="00611B4F"/>
    <w:rsid w:val="00612303"/>
    <w:rsid w:val="006138D4"/>
    <w:rsid w:val="00614D10"/>
    <w:rsid w:val="00615488"/>
    <w:rsid w:val="0061711E"/>
    <w:rsid w:val="00620290"/>
    <w:rsid w:val="00620372"/>
    <w:rsid w:val="00620D25"/>
    <w:rsid w:val="00620F90"/>
    <w:rsid w:val="0062177C"/>
    <w:rsid w:val="00621933"/>
    <w:rsid w:val="00622244"/>
    <w:rsid w:val="00622F56"/>
    <w:rsid w:val="00624409"/>
    <w:rsid w:val="0062483A"/>
    <w:rsid w:val="00624D9E"/>
    <w:rsid w:val="0062529F"/>
    <w:rsid w:val="006254E8"/>
    <w:rsid w:val="00625A23"/>
    <w:rsid w:val="00625D97"/>
    <w:rsid w:val="0063054C"/>
    <w:rsid w:val="00631976"/>
    <w:rsid w:val="006336EC"/>
    <w:rsid w:val="00635907"/>
    <w:rsid w:val="00635920"/>
    <w:rsid w:val="00636135"/>
    <w:rsid w:val="0063653F"/>
    <w:rsid w:val="00637088"/>
    <w:rsid w:val="00637A1A"/>
    <w:rsid w:val="00637B5A"/>
    <w:rsid w:val="00637E41"/>
    <w:rsid w:val="0064134E"/>
    <w:rsid w:val="006417E9"/>
    <w:rsid w:val="00641F9C"/>
    <w:rsid w:val="0064299F"/>
    <w:rsid w:val="00643D1F"/>
    <w:rsid w:val="00644C23"/>
    <w:rsid w:val="00644D03"/>
    <w:rsid w:val="0064619A"/>
    <w:rsid w:val="00646C8D"/>
    <w:rsid w:val="00647070"/>
    <w:rsid w:val="00647162"/>
    <w:rsid w:val="006506EE"/>
    <w:rsid w:val="006507DC"/>
    <w:rsid w:val="00650905"/>
    <w:rsid w:val="00651075"/>
    <w:rsid w:val="00651969"/>
    <w:rsid w:val="00651B51"/>
    <w:rsid w:val="00652705"/>
    <w:rsid w:val="006529B3"/>
    <w:rsid w:val="00653290"/>
    <w:rsid w:val="00653630"/>
    <w:rsid w:val="00654544"/>
    <w:rsid w:val="006546CE"/>
    <w:rsid w:val="00654BA9"/>
    <w:rsid w:val="0065599A"/>
    <w:rsid w:val="006567E3"/>
    <w:rsid w:val="00657A38"/>
    <w:rsid w:val="00657AA5"/>
    <w:rsid w:val="00657D90"/>
    <w:rsid w:val="00657E5C"/>
    <w:rsid w:val="00661306"/>
    <w:rsid w:val="00664030"/>
    <w:rsid w:val="00664354"/>
    <w:rsid w:val="00664C48"/>
    <w:rsid w:val="00664ED2"/>
    <w:rsid w:val="00665116"/>
    <w:rsid w:val="00665B07"/>
    <w:rsid w:val="00665D58"/>
    <w:rsid w:val="0066689F"/>
    <w:rsid w:val="006670D9"/>
    <w:rsid w:val="00667AF3"/>
    <w:rsid w:val="00672C86"/>
    <w:rsid w:val="00672CA3"/>
    <w:rsid w:val="006732CC"/>
    <w:rsid w:val="0067339A"/>
    <w:rsid w:val="00674394"/>
    <w:rsid w:val="006753A7"/>
    <w:rsid w:val="00676B00"/>
    <w:rsid w:val="00676F2B"/>
    <w:rsid w:val="006777DA"/>
    <w:rsid w:val="00677A57"/>
    <w:rsid w:val="006800F1"/>
    <w:rsid w:val="0068010D"/>
    <w:rsid w:val="00680620"/>
    <w:rsid w:val="006806F3"/>
    <w:rsid w:val="006813D7"/>
    <w:rsid w:val="00681675"/>
    <w:rsid w:val="00681D57"/>
    <w:rsid w:val="00682098"/>
    <w:rsid w:val="006821FA"/>
    <w:rsid w:val="0068291A"/>
    <w:rsid w:val="00682D45"/>
    <w:rsid w:val="00684DFD"/>
    <w:rsid w:val="00686944"/>
    <w:rsid w:val="00686D4F"/>
    <w:rsid w:val="006870D0"/>
    <w:rsid w:val="006872FA"/>
    <w:rsid w:val="00690095"/>
    <w:rsid w:val="00690A87"/>
    <w:rsid w:val="00691203"/>
    <w:rsid w:val="00691BB9"/>
    <w:rsid w:val="0069207D"/>
    <w:rsid w:val="006922AD"/>
    <w:rsid w:val="006936D1"/>
    <w:rsid w:val="006936F9"/>
    <w:rsid w:val="00693E7E"/>
    <w:rsid w:val="00693EDF"/>
    <w:rsid w:val="006940F3"/>
    <w:rsid w:val="00694411"/>
    <w:rsid w:val="0069524C"/>
    <w:rsid w:val="00695A43"/>
    <w:rsid w:val="00696510"/>
    <w:rsid w:val="00697021"/>
    <w:rsid w:val="00697836"/>
    <w:rsid w:val="00697C48"/>
    <w:rsid w:val="006A0627"/>
    <w:rsid w:val="006A0CEC"/>
    <w:rsid w:val="006A0F9D"/>
    <w:rsid w:val="006A1398"/>
    <w:rsid w:val="006A1B32"/>
    <w:rsid w:val="006A497D"/>
    <w:rsid w:val="006A4BA9"/>
    <w:rsid w:val="006A5911"/>
    <w:rsid w:val="006A5D8B"/>
    <w:rsid w:val="006A5F79"/>
    <w:rsid w:val="006A606A"/>
    <w:rsid w:val="006A763C"/>
    <w:rsid w:val="006B01DA"/>
    <w:rsid w:val="006B0A27"/>
    <w:rsid w:val="006B1420"/>
    <w:rsid w:val="006B1F0F"/>
    <w:rsid w:val="006B2061"/>
    <w:rsid w:val="006B2775"/>
    <w:rsid w:val="006B3542"/>
    <w:rsid w:val="006B3E71"/>
    <w:rsid w:val="006B4458"/>
    <w:rsid w:val="006B4539"/>
    <w:rsid w:val="006B5753"/>
    <w:rsid w:val="006B5E38"/>
    <w:rsid w:val="006B603C"/>
    <w:rsid w:val="006B6640"/>
    <w:rsid w:val="006B67B0"/>
    <w:rsid w:val="006B785F"/>
    <w:rsid w:val="006C07EB"/>
    <w:rsid w:val="006C1DA1"/>
    <w:rsid w:val="006C2641"/>
    <w:rsid w:val="006C280E"/>
    <w:rsid w:val="006C2926"/>
    <w:rsid w:val="006C2D70"/>
    <w:rsid w:val="006C347F"/>
    <w:rsid w:val="006C364A"/>
    <w:rsid w:val="006C3CF4"/>
    <w:rsid w:val="006C3D8C"/>
    <w:rsid w:val="006C439E"/>
    <w:rsid w:val="006C5703"/>
    <w:rsid w:val="006C6ACF"/>
    <w:rsid w:val="006C7266"/>
    <w:rsid w:val="006C76FC"/>
    <w:rsid w:val="006C78B2"/>
    <w:rsid w:val="006C7CD9"/>
    <w:rsid w:val="006C7DAF"/>
    <w:rsid w:val="006D019B"/>
    <w:rsid w:val="006D1560"/>
    <w:rsid w:val="006D184F"/>
    <w:rsid w:val="006D1CB5"/>
    <w:rsid w:val="006D2C1F"/>
    <w:rsid w:val="006D2D50"/>
    <w:rsid w:val="006D31B6"/>
    <w:rsid w:val="006D3272"/>
    <w:rsid w:val="006D3E31"/>
    <w:rsid w:val="006D44E8"/>
    <w:rsid w:val="006D4A9B"/>
    <w:rsid w:val="006D4FBE"/>
    <w:rsid w:val="006D56EC"/>
    <w:rsid w:val="006D5842"/>
    <w:rsid w:val="006D6D0A"/>
    <w:rsid w:val="006D7176"/>
    <w:rsid w:val="006D7248"/>
    <w:rsid w:val="006D7C99"/>
    <w:rsid w:val="006D7FC2"/>
    <w:rsid w:val="006E0572"/>
    <w:rsid w:val="006E0575"/>
    <w:rsid w:val="006E0A81"/>
    <w:rsid w:val="006E0C03"/>
    <w:rsid w:val="006E17F4"/>
    <w:rsid w:val="006E3350"/>
    <w:rsid w:val="006E3DD1"/>
    <w:rsid w:val="006E4275"/>
    <w:rsid w:val="006E4316"/>
    <w:rsid w:val="006E603A"/>
    <w:rsid w:val="006E6219"/>
    <w:rsid w:val="006E6552"/>
    <w:rsid w:val="006F1318"/>
    <w:rsid w:val="006F2F26"/>
    <w:rsid w:val="006F3DAA"/>
    <w:rsid w:val="006F498D"/>
    <w:rsid w:val="006F4C19"/>
    <w:rsid w:val="006F50BF"/>
    <w:rsid w:val="006F52FC"/>
    <w:rsid w:val="006F559D"/>
    <w:rsid w:val="006F5A3C"/>
    <w:rsid w:val="006F5B02"/>
    <w:rsid w:val="006F6081"/>
    <w:rsid w:val="006F6751"/>
    <w:rsid w:val="006F70A5"/>
    <w:rsid w:val="006F758A"/>
    <w:rsid w:val="007002D4"/>
    <w:rsid w:val="007002EB"/>
    <w:rsid w:val="00701B47"/>
    <w:rsid w:val="0070368F"/>
    <w:rsid w:val="00703896"/>
    <w:rsid w:val="00704151"/>
    <w:rsid w:val="00704559"/>
    <w:rsid w:val="007045FB"/>
    <w:rsid w:val="00704B88"/>
    <w:rsid w:val="00705314"/>
    <w:rsid w:val="0070555B"/>
    <w:rsid w:val="00706035"/>
    <w:rsid w:val="00710109"/>
    <w:rsid w:val="00710238"/>
    <w:rsid w:val="00711151"/>
    <w:rsid w:val="00711286"/>
    <w:rsid w:val="00711738"/>
    <w:rsid w:val="00711845"/>
    <w:rsid w:val="00711900"/>
    <w:rsid w:val="00712727"/>
    <w:rsid w:val="00713ECF"/>
    <w:rsid w:val="00713EFA"/>
    <w:rsid w:val="00714AA6"/>
    <w:rsid w:val="007151EF"/>
    <w:rsid w:val="007160FF"/>
    <w:rsid w:val="00716387"/>
    <w:rsid w:val="00716C8F"/>
    <w:rsid w:val="0071709C"/>
    <w:rsid w:val="007202BD"/>
    <w:rsid w:val="00720555"/>
    <w:rsid w:val="0072065E"/>
    <w:rsid w:val="007208D4"/>
    <w:rsid w:val="00720B2F"/>
    <w:rsid w:val="00720B55"/>
    <w:rsid w:val="00720D5C"/>
    <w:rsid w:val="00721465"/>
    <w:rsid w:val="00722549"/>
    <w:rsid w:val="00723DCD"/>
    <w:rsid w:val="00725876"/>
    <w:rsid w:val="007260FD"/>
    <w:rsid w:val="00727CD8"/>
    <w:rsid w:val="00730002"/>
    <w:rsid w:val="0073016F"/>
    <w:rsid w:val="00730E6C"/>
    <w:rsid w:val="00731C35"/>
    <w:rsid w:val="00731FA0"/>
    <w:rsid w:val="007325E4"/>
    <w:rsid w:val="007335F0"/>
    <w:rsid w:val="00733665"/>
    <w:rsid w:val="00733706"/>
    <w:rsid w:val="00733ED6"/>
    <w:rsid w:val="0073426B"/>
    <w:rsid w:val="007347F6"/>
    <w:rsid w:val="00734BEC"/>
    <w:rsid w:val="00734E46"/>
    <w:rsid w:val="00734F2C"/>
    <w:rsid w:val="00736EDD"/>
    <w:rsid w:val="007411EF"/>
    <w:rsid w:val="00741A35"/>
    <w:rsid w:val="007425E9"/>
    <w:rsid w:val="00742AE4"/>
    <w:rsid w:val="00742DAA"/>
    <w:rsid w:val="00743868"/>
    <w:rsid w:val="00743964"/>
    <w:rsid w:val="00744119"/>
    <w:rsid w:val="0074525D"/>
    <w:rsid w:val="007452B0"/>
    <w:rsid w:val="00745BF8"/>
    <w:rsid w:val="007471D4"/>
    <w:rsid w:val="00747B81"/>
    <w:rsid w:val="007502D1"/>
    <w:rsid w:val="00750708"/>
    <w:rsid w:val="00751B45"/>
    <w:rsid w:val="00751FEC"/>
    <w:rsid w:val="0075217A"/>
    <w:rsid w:val="007523D1"/>
    <w:rsid w:val="00752708"/>
    <w:rsid w:val="00752837"/>
    <w:rsid w:val="007528E2"/>
    <w:rsid w:val="00753713"/>
    <w:rsid w:val="00753DD5"/>
    <w:rsid w:val="00754338"/>
    <w:rsid w:val="007548BE"/>
    <w:rsid w:val="00755AB8"/>
    <w:rsid w:val="00755B0A"/>
    <w:rsid w:val="00756114"/>
    <w:rsid w:val="00756574"/>
    <w:rsid w:val="007569B4"/>
    <w:rsid w:val="00756C1A"/>
    <w:rsid w:val="00756FB1"/>
    <w:rsid w:val="007575DD"/>
    <w:rsid w:val="0076015F"/>
    <w:rsid w:val="00760365"/>
    <w:rsid w:val="00761FBF"/>
    <w:rsid w:val="00762508"/>
    <w:rsid w:val="007631C3"/>
    <w:rsid w:val="00764467"/>
    <w:rsid w:val="0076499D"/>
    <w:rsid w:val="007650E5"/>
    <w:rsid w:val="00765C31"/>
    <w:rsid w:val="00765C8B"/>
    <w:rsid w:val="007678C3"/>
    <w:rsid w:val="0076791C"/>
    <w:rsid w:val="00770625"/>
    <w:rsid w:val="00770A68"/>
    <w:rsid w:val="00770E83"/>
    <w:rsid w:val="00771FD1"/>
    <w:rsid w:val="0077273F"/>
    <w:rsid w:val="00772E4F"/>
    <w:rsid w:val="00773156"/>
    <w:rsid w:val="00773974"/>
    <w:rsid w:val="007739FB"/>
    <w:rsid w:val="0077479A"/>
    <w:rsid w:val="00774A0D"/>
    <w:rsid w:val="00775169"/>
    <w:rsid w:val="00775415"/>
    <w:rsid w:val="007770E4"/>
    <w:rsid w:val="0077727D"/>
    <w:rsid w:val="007774FA"/>
    <w:rsid w:val="007779E9"/>
    <w:rsid w:val="00777AE6"/>
    <w:rsid w:val="00777FAE"/>
    <w:rsid w:val="007803C2"/>
    <w:rsid w:val="0078084A"/>
    <w:rsid w:val="007828A8"/>
    <w:rsid w:val="00782BD3"/>
    <w:rsid w:val="00782BFE"/>
    <w:rsid w:val="007830C6"/>
    <w:rsid w:val="007833AB"/>
    <w:rsid w:val="007842ED"/>
    <w:rsid w:val="00784C72"/>
    <w:rsid w:val="007853B2"/>
    <w:rsid w:val="00785B5E"/>
    <w:rsid w:val="00786041"/>
    <w:rsid w:val="00786247"/>
    <w:rsid w:val="007865AF"/>
    <w:rsid w:val="007867C7"/>
    <w:rsid w:val="00786854"/>
    <w:rsid w:val="00786F6B"/>
    <w:rsid w:val="00787B21"/>
    <w:rsid w:val="007900DC"/>
    <w:rsid w:val="007905FB"/>
    <w:rsid w:val="00790F61"/>
    <w:rsid w:val="00791C48"/>
    <w:rsid w:val="00791D06"/>
    <w:rsid w:val="00791D5C"/>
    <w:rsid w:val="007931C7"/>
    <w:rsid w:val="00793D7E"/>
    <w:rsid w:val="007940E7"/>
    <w:rsid w:val="007944EA"/>
    <w:rsid w:val="00795650"/>
    <w:rsid w:val="00795813"/>
    <w:rsid w:val="00795F3B"/>
    <w:rsid w:val="007971CA"/>
    <w:rsid w:val="00797533"/>
    <w:rsid w:val="00797B9B"/>
    <w:rsid w:val="007A0B51"/>
    <w:rsid w:val="007A0C7F"/>
    <w:rsid w:val="007A1E26"/>
    <w:rsid w:val="007A1FD1"/>
    <w:rsid w:val="007A3623"/>
    <w:rsid w:val="007A4169"/>
    <w:rsid w:val="007A44C2"/>
    <w:rsid w:val="007A45D9"/>
    <w:rsid w:val="007A5155"/>
    <w:rsid w:val="007A5178"/>
    <w:rsid w:val="007A51DC"/>
    <w:rsid w:val="007A656C"/>
    <w:rsid w:val="007A6671"/>
    <w:rsid w:val="007A68DD"/>
    <w:rsid w:val="007A7741"/>
    <w:rsid w:val="007B00C7"/>
    <w:rsid w:val="007B08EE"/>
    <w:rsid w:val="007B0CF5"/>
    <w:rsid w:val="007B100A"/>
    <w:rsid w:val="007B106F"/>
    <w:rsid w:val="007B128F"/>
    <w:rsid w:val="007B1DCC"/>
    <w:rsid w:val="007B229E"/>
    <w:rsid w:val="007B248E"/>
    <w:rsid w:val="007B2849"/>
    <w:rsid w:val="007B2BA3"/>
    <w:rsid w:val="007B4333"/>
    <w:rsid w:val="007B4695"/>
    <w:rsid w:val="007B481A"/>
    <w:rsid w:val="007B549F"/>
    <w:rsid w:val="007B5AB8"/>
    <w:rsid w:val="007B6001"/>
    <w:rsid w:val="007B645D"/>
    <w:rsid w:val="007B6526"/>
    <w:rsid w:val="007B6A45"/>
    <w:rsid w:val="007B709B"/>
    <w:rsid w:val="007B7163"/>
    <w:rsid w:val="007B7CB9"/>
    <w:rsid w:val="007C0569"/>
    <w:rsid w:val="007C0B00"/>
    <w:rsid w:val="007C0E3E"/>
    <w:rsid w:val="007C1485"/>
    <w:rsid w:val="007C1CFE"/>
    <w:rsid w:val="007C2C1A"/>
    <w:rsid w:val="007C3132"/>
    <w:rsid w:val="007C444E"/>
    <w:rsid w:val="007C446D"/>
    <w:rsid w:val="007C4FA8"/>
    <w:rsid w:val="007C5281"/>
    <w:rsid w:val="007C56BA"/>
    <w:rsid w:val="007C6B9C"/>
    <w:rsid w:val="007C6C1D"/>
    <w:rsid w:val="007C7841"/>
    <w:rsid w:val="007D1BE0"/>
    <w:rsid w:val="007D20CC"/>
    <w:rsid w:val="007D2432"/>
    <w:rsid w:val="007D3A1C"/>
    <w:rsid w:val="007D5102"/>
    <w:rsid w:val="007D687F"/>
    <w:rsid w:val="007D6F52"/>
    <w:rsid w:val="007D7295"/>
    <w:rsid w:val="007D7E25"/>
    <w:rsid w:val="007E1046"/>
    <w:rsid w:val="007E1595"/>
    <w:rsid w:val="007E2092"/>
    <w:rsid w:val="007E2CDC"/>
    <w:rsid w:val="007E326B"/>
    <w:rsid w:val="007E3C35"/>
    <w:rsid w:val="007E4097"/>
    <w:rsid w:val="007E53C6"/>
    <w:rsid w:val="007E5EA5"/>
    <w:rsid w:val="007E6004"/>
    <w:rsid w:val="007E67C4"/>
    <w:rsid w:val="007E6FA7"/>
    <w:rsid w:val="007E7EDB"/>
    <w:rsid w:val="007F04D2"/>
    <w:rsid w:val="007F08C2"/>
    <w:rsid w:val="007F0B32"/>
    <w:rsid w:val="007F1B61"/>
    <w:rsid w:val="007F2B69"/>
    <w:rsid w:val="007F4AE0"/>
    <w:rsid w:val="007F62EC"/>
    <w:rsid w:val="007F68E0"/>
    <w:rsid w:val="007F7673"/>
    <w:rsid w:val="007F77A2"/>
    <w:rsid w:val="007F7E73"/>
    <w:rsid w:val="00801C6C"/>
    <w:rsid w:val="0080257C"/>
    <w:rsid w:val="008036B0"/>
    <w:rsid w:val="008036C3"/>
    <w:rsid w:val="00803F66"/>
    <w:rsid w:val="00804222"/>
    <w:rsid w:val="00804315"/>
    <w:rsid w:val="00804324"/>
    <w:rsid w:val="00804485"/>
    <w:rsid w:val="00804652"/>
    <w:rsid w:val="0080471D"/>
    <w:rsid w:val="00804DC4"/>
    <w:rsid w:val="008056F3"/>
    <w:rsid w:val="0080616A"/>
    <w:rsid w:val="008061D2"/>
    <w:rsid w:val="00806B34"/>
    <w:rsid w:val="00806C81"/>
    <w:rsid w:val="00806E5C"/>
    <w:rsid w:val="00807E26"/>
    <w:rsid w:val="0081104A"/>
    <w:rsid w:val="00814641"/>
    <w:rsid w:val="00815FCE"/>
    <w:rsid w:val="008168D5"/>
    <w:rsid w:val="0081691B"/>
    <w:rsid w:val="00817C03"/>
    <w:rsid w:val="00817E60"/>
    <w:rsid w:val="00820471"/>
    <w:rsid w:val="00821FCB"/>
    <w:rsid w:val="00822E14"/>
    <w:rsid w:val="00823258"/>
    <w:rsid w:val="008250DC"/>
    <w:rsid w:val="008257C9"/>
    <w:rsid w:val="00825956"/>
    <w:rsid w:val="00825CEF"/>
    <w:rsid w:val="00826102"/>
    <w:rsid w:val="008263AD"/>
    <w:rsid w:val="008263F5"/>
    <w:rsid w:val="0082655F"/>
    <w:rsid w:val="0082717D"/>
    <w:rsid w:val="00827630"/>
    <w:rsid w:val="00827804"/>
    <w:rsid w:val="00827A00"/>
    <w:rsid w:val="00830C95"/>
    <w:rsid w:val="00830E58"/>
    <w:rsid w:val="008311B0"/>
    <w:rsid w:val="00832001"/>
    <w:rsid w:val="00834821"/>
    <w:rsid w:val="00834A02"/>
    <w:rsid w:val="00834AF8"/>
    <w:rsid w:val="00834C9E"/>
    <w:rsid w:val="00836443"/>
    <w:rsid w:val="008374FF"/>
    <w:rsid w:val="00837676"/>
    <w:rsid w:val="00840ACF"/>
    <w:rsid w:val="00841617"/>
    <w:rsid w:val="00841F00"/>
    <w:rsid w:val="0084373C"/>
    <w:rsid w:val="008439BD"/>
    <w:rsid w:val="0084442B"/>
    <w:rsid w:val="008445C0"/>
    <w:rsid w:val="0084668A"/>
    <w:rsid w:val="00847DED"/>
    <w:rsid w:val="00851026"/>
    <w:rsid w:val="00851260"/>
    <w:rsid w:val="008513F0"/>
    <w:rsid w:val="00851BE8"/>
    <w:rsid w:val="0085252E"/>
    <w:rsid w:val="00852F70"/>
    <w:rsid w:val="008538B7"/>
    <w:rsid w:val="008539D0"/>
    <w:rsid w:val="00853A4F"/>
    <w:rsid w:val="00854FEC"/>
    <w:rsid w:val="008559CB"/>
    <w:rsid w:val="00855EBF"/>
    <w:rsid w:val="0085662E"/>
    <w:rsid w:val="0085670E"/>
    <w:rsid w:val="00857606"/>
    <w:rsid w:val="00860389"/>
    <w:rsid w:val="00861DAE"/>
    <w:rsid w:val="00861F1F"/>
    <w:rsid w:val="00862BA2"/>
    <w:rsid w:val="0086378B"/>
    <w:rsid w:val="0086478D"/>
    <w:rsid w:val="00864830"/>
    <w:rsid w:val="00864B85"/>
    <w:rsid w:val="00864BF1"/>
    <w:rsid w:val="00865633"/>
    <w:rsid w:val="00865AA9"/>
    <w:rsid w:val="00865B2C"/>
    <w:rsid w:val="00866BD2"/>
    <w:rsid w:val="0086740C"/>
    <w:rsid w:val="008704F0"/>
    <w:rsid w:val="00870858"/>
    <w:rsid w:val="00871E9E"/>
    <w:rsid w:val="00873C19"/>
    <w:rsid w:val="00873DD4"/>
    <w:rsid w:val="0087401D"/>
    <w:rsid w:val="0087401E"/>
    <w:rsid w:val="008742CB"/>
    <w:rsid w:val="008749EC"/>
    <w:rsid w:val="00874C45"/>
    <w:rsid w:val="008752BB"/>
    <w:rsid w:val="00875DF1"/>
    <w:rsid w:val="008767EF"/>
    <w:rsid w:val="008767F7"/>
    <w:rsid w:val="0087747F"/>
    <w:rsid w:val="008775EF"/>
    <w:rsid w:val="00880FFC"/>
    <w:rsid w:val="00881643"/>
    <w:rsid w:val="008819BD"/>
    <w:rsid w:val="0088307D"/>
    <w:rsid w:val="00883292"/>
    <w:rsid w:val="0088383F"/>
    <w:rsid w:val="00884DAD"/>
    <w:rsid w:val="008861E4"/>
    <w:rsid w:val="008904E6"/>
    <w:rsid w:val="00890AAC"/>
    <w:rsid w:val="00891011"/>
    <w:rsid w:val="008915F4"/>
    <w:rsid w:val="00892BDC"/>
    <w:rsid w:val="00893521"/>
    <w:rsid w:val="00893A6A"/>
    <w:rsid w:val="008940B9"/>
    <w:rsid w:val="008941FD"/>
    <w:rsid w:val="00894810"/>
    <w:rsid w:val="00894E5E"/>
    <w:rsid w:val="0089510B"/>
    <w:rsid w:val="00895A2E"/>
    <w:rsid w:val="00895E8C"/>
    <w:rsid w:val="00895F0A"/>
    <w:rsid w:val="00895F90"/>
    <w:rsid w:val="00897264"/>
    <w:rsid w:val="008976BF"/>
    <w:rsid w:val="008977F3"/>
    <w:rsid w:val="00897CF5"/>
    <w:rsid w:val="008A260F"/>
    <w:rsid w:val="008A2DF4"/>
    <w:rsid w:val="008A2F6F"/>
    <w:rsid w:val="008A3A0D"/>
    <w:rsid w:val="008A3CF1"/>
    <w:rsid w:val="008A4E1A"/>
    <w:rsid w:val="008A5A6E"/>
    <w:rsid w:val="008A67A5"/>
    <w:rsid w:val="008A7C97"/>
    <w:rsid w:val="008A7DA8"/>
    <w:rsid w:val="008B0006"/>
    <w:rsid w:val="008B27A9"/>
    <w:rsid w:val="008B2995"/>
    <w:rsid w:val="008B350E"/>
    <w:rsid w:val="008B4014"/>
    <w:rsid w:val="008B51D9"/>
    <w:rsid w:val="008B5240"/>
    <w:rsid w:val="008B55AF"/>
    <w:rsid w:val="008B55FA"/>
    <w:rsid w:val="008B63ED"/>
    <w:rsid w:val="008B7000"/>
    <w:rsid w:val="008B7671"/>
    <w:rsid w:val="008C0A3E"/>
    <w:rsid w:val="008C0F31"/>
    <w:rsid w:val="008C1138"/>
    <w:rsid w:val="008C167D"/>
    <w:rsid w:val="008C2208"/>
    <w:rsid w:val="008C22EA"/>
    <w:rsid w:val="008C2DB5"/>
    <w:rsid w:val="008C3072"/>
    <w:rsid w:val="008C3E32"/>
    <w:rsid w:val="008C48CB"/>
    <w:rsid w:val="008C508E"/>
    <w:rsid w:val="008C5B92"/>
    <w:rsid w:val="008C6E4A"/>
    <w:rsid w:val="008C6F73"/>
    <w:rsid w:val="008C7579"/>
    <w:rsid w:val="008C7950"/>
    <w:rsid w:val="008D0779"/>
    <w:rsid w:val="008D0907"/>
    <w:rsid w:val="008D0AD5"/>
    <w:rsid w:val="008D11E8"/>
    <w:rsid w:val="008D3226"/>
    <w:rsid w:val="008D335C"/>
    <w:rsid w:val="008D35F8"/>
    <w:rsid w:val="008D4915"/>
    <w:rsid w:val="008D4D55"/>
    <w:rsid w:val="008D4D81"/>
    <w:rsid w:val="008D65D5"/>
    <w:rsid w:val="008D6750"/>
    <w:rsid w:val="008D785E"/>
    <w:rsid w:val="008D79F0"/>
    <w:rsid w:val="008E0973"/>
    <w:rsid w:val="008E0B75"/>
    <w:rsid w:val="008E0C9F"/>
    <w:rsid w:val="008E0CD6"/>
    <w:rsid w:val="008E1C06"/>
    <w:rsid w:val="008E21A0"/>
    <w:rsid w:val="008E3496"/>
    <w:rsid w:val="008E3C49"/>
    <w:rsid w:val="008E41BD"/>
    <w:rsid w:val="008E47E5"/>
    <w:rsid w:val="008E48ED"/>
    <w:rsid w:val="008E62D9"/>
    <w:rsid w:val="008E6758"/>
    <w:rsid w:val="008E7538"/>
    <w:rsid w:val="008E7922"/>
    <w:rsid w:val="008F0AEA"/>
    <w:rsid w:val="008F1171"/>
    <w:rsid w:val="008F2BF7"/>
    <w:rsid w:val="008F36DF"/>
    <w:rsid w:val="008F4D43"/>
    <w:rsid w:val="008F4EF3"/>
    <w:rsid w:val="008F5279"/>
    <w:rsid w:val="008F5454"/>
    <w:rsid w:val="008F5BF7"/>
    <w:rsid w:val="008F61AF"/>
    <w:rsid w:val="008F624A"/>
    <w:rsid w:val="008F6DD1"/>
    <w:rsid w:val="008F6EBF"/>
    <w:rsid w:val="008F78F7"/>
    <w:rsid w:val="008F79AC"/>
    <w:rsid w:val="008F7AB1"/>
    <w:rsid w:val="009019FB"/>
    <w:rsid w:val="00903B37"/>
    <w:rsid w:val="009046D8"/>
    <w:rsid w:val="00904A46"/>
    <w:rsid w:val="00904CD6"/>
    <w:rsid w:val="00904DFC"/>
    <w:rsid w:val="00905E40"/>
    <w:rsid w:val="00905ED8"/>
    <w:rsid w:val="00906D2D"/>
    <w:rsid w:val="00906D44"/>
    <w:rsid w:val="00906E89"/>
    <w:rsid w:val="00907ABA"/>
    <w:rsid w:val="00907F77"/>
    <w:rsid w:val="009102A5"/>
    <w:rsid w:val="0091056D"/>
    <w:rsid w:val="00910DA6"/>
    <w:rsid w:val="009132DA"/>
    <w:rsid w:val="00913498"/>
    <w:rsid w:val="009136B1"/>
    <w:rsid w:val="00913CD1"/>
    <w:rsid w:val="0091412C"/>
    <w:rsid w:val="00914732"/>
    <w:rsid w:val="00914A83"/>
    <w:rsid w:val="00915FDA"/>
    <w:rsid w:val="00916775"/>
    <w:rsid w:val="009207C6"/>
    <w:rsid w:val="00920904"/>
    <w:rsid w:val="00920995"/>
    <w:rsid w:val="0092110A"/>
    <w:rsid w:val="00921282"/>
    <w:rsid w:val="0092134E"/>
    <w:rsid w:val="00921A4E"/>
    <w:rsid w:val="009232C3"/>
    <w:rsid w:val="0092419D"/>
    <w:rsid w:val="00925790"/>
    <w:rsid w:val="00926210"/>
    <w:rsid w:val="00926C4B"/>
    <w:rsid w:val="00927E3F"/>
    <w:rsid w:val="00930600"/>
    <w:rsid w:val="00931537"/>
    <w:rsid w:val="009317BE"/>
    <w:rsid w:val="00932FE3"/>
    <w:rsid w:val="0093426E"/>
    <w:rsid w:val="00934549"/>
    <w:rsid w:val="0093462E"/>
    <w:rsid w:val="00934E4D"/>
    <w:rsid w:val="0093523C"/>
    <w:rsid w:val="009355CE"/>
    <w:rsid w:val="00936AF5"/>
    <w:rsid w:val="00936C04"/>
    <w:rsid w:val="0094111E"/>
    <w:rsid w:val="0094204D"/>
    <w:rsid w:val="009423DC"/>
    <w:rsid w:val="00942B78"/>
    <w:rsid w:val="009439CD"/>
    <w:rsid w:val="00943FA9"/>
    <w:rsid w:val="0094585D"/>
    <w:rsid w:val="00946BC7"/>
    <w:rsid w:val="00946CDC"/>
    <w:rsid w:val="009479ED"/>
    <w:rsid w:val="00947CFC"/>
    <w:rsid w:val="00947EAE"/>
    <w:rsid w:val="00950430"/>
    <w:rsid w:val="00952933"/>
    <w:rsid w:val="00952B50"/>
    <w:rsid w:val="00953234"/>
    <w:rsid w:val="00953319"/>
    <w:rsid w:val="00954BCF"/>
    <w:rsid w:val="00954FA5"/>
    <w:rsid w:val="00955CA4"/>
    <w:rsid w:val="00956366"/>
    <w:rsid w:val="0095695C"/>
    <w:rsid w:val="00957F22"/>
    <w:rsid w:val="0096053D"/>
    <w:rsid w:val="00960B8B"/>
    <w:rsid w:val="00960DFD"/>
    <w:rsid w:val="00960FA4"/>
    <w:rsid w:val="00961962"/>
    <w:rsid w:val="0096231D"/>
    <w:rsid w:val="0096252D"/>
    <w:rsid w:val="009637FE"/>
    <w:rsid w:val="009639C5"/>
    <w:rsid w:val="00965472"/>
    <w:rsid w:val="009659C9"/>
    <w:rsid w:val="0096659A"/>
    <w:rsid w:val="00966B4A"/>
    <w:rsid w:val="00967016"/>
    <w:rsid w:val="00967B3A"/>
    <w:rsid w:val="009705A7"/>
    <w:rsid w:val="00970B76"/>
    <w:rsid w:val="0097300B"/>
    <w:rsid w:val="0097382D"/>
    <w:rsid w:val="00974288"/>
    <w:rsid w:val="009749F9"/>
    <w:rsid w:val="00974C9E"/>
    <w:rsid w:val="00975B17"/>
    <w:rsid w:val="009770A7"/>
    <w:rsid w:val="0097781F"/>
    <w:rsid w:val="009779C1"/>
    <w:rsid w:val="00977B80"/>
    <w:rsid w:val="00977EC6"/>
    <w:rsid w:val="0098031B"/>
    <w:rsid w:val="0098146B"/>
    <w:rsid w:val="009823F5"/>
    <w:rsid w:val="00982AF6"/>
    <w:rsid w:val="00982C12"/>
    <w:rsid w:val="00982F39"/>
    <w:rsid w:val="00983023"/>
    <w:rsid w:val="0098318F"/>
    <w:rsid w:val="0098320B"/>
    <w:rsid w:val="009836C1"/>
    <w:rsid w:val="00983883"/>
    <w:rsid w:val="00984B0E"/>
    <w:rsid w:val="0098507B"/>
    <w:rsid w:val="00985A93"/>
    <w:rsid w:val="00985AC7"/>
    <w:rsid w:val="00986146"/>
    <w:rsid w:val="00986D27"/>
    <w:rsid w:val="00987772"/>
    <w:rsid w:val="00987E08"/>
    <w:rsid w:val="0099011A"/>
    <w:rsid w:val="009906A6"/>
    <w:rsid w:val="00991206"/>
    <w:rsid w:val="00991681"/>
    <w:rsid w:val="00991BCB"/>
    <w:rsid w:val="00991C5F"/>
    <w:rsid w:val="00991EE1"/>
    <w:rsid w:val="0099266F"/>
    <w:rsid w:val="00994081"/>
    <w:rsid w:val="009946BB"/>
    <w:rsid w:val="00994D94"/>
    <w:rsid w:val="00995681"/>
    <w:rsid w:val="009961F9"/>
    <w:rsid w:val="00996673"/>
    <w:rsid w:val="009971DF"/>
    <w:rsid w:val="009975B9"/>
    <w:rsid w:val="009A1450"/>
    <w:rsid w:val="009A3EA2"/>
    <w:rsid w:val="009A4648"/>
    <w:rsid w:val="009A4A80"/>
    <w:rsid w:val="009A5BA4"/>
    <w:rsid w:val="009A6374"/>
    <w:rsid w:val="009A6ED1"/>
    <w:rsid w:val="009A74BC"/>
    <w:rsid w:val="009B040B"/>
    <w:rsid w:val="009B0C29"/>
    <w:rsid w:val="009B0FA3"/>
    <w:rsid w:val="009B10EC"/>
    <w:rsid w:val="009B11AD"/>
    <w:rsid w:val="009B1C8B"/>
    <w:rsid w:val="009B21FD"/>
    <w:rsid w:val="009B25E4"/>
    <w:rsid w:val="009B2D97"/>
    <w:rsid w:val="009B388D"/>
    <w:rsid w:val="009B3AF8"/>
    <w:rsid w:val="009B4EBE"/>
    <w:rsid w:val="009B59C7"/>
    <w:rsid w:val="009B6437"/>
    <w:rsid w:val="009B687C"/>
    <w:rsid w:val="009B7335"/>
    <w:rsid w:val="009B7D6D"/>
    <w:rsid w:val="009B7DFD"/>
    <w:rsid w:val="009B7EE9"/>
    <w:rsid w:val="009C185F"/>
    <w:rsid w:val="009C1F0A"/>
    <w:rsid w:val="009C2AF4"/>
    <w:rsid w:val="009C3C13"/>
    <w:rsid w:val="009C5A3F"/>
    <w:rsid w:val="009C7414"/>
    <w:rsid w:val="009C7D52"/>
    <w:rsid w:val="009C7EEA"/>
    <w:rsid w:val="009D00B8"/>
    <w:rsid w:val="009D0140"/>
    <w:rsid w:val="009D305C"/>
    <w:rsid w:val="009D3366"/>
    <w:rsid w:val="009D3618"/>
    <w:rsid w:val="009D481B"/>
    <w:rsid w:val="009D7118"/>
    <w:rsid w:val="009D7528"/>
    <w:rsid w:val="009D7595"/>
    <w:rsid w:val="009E0409"/>
    <w:rsid w:val="009E0CCC"/>
    <w:rsid w:val="009E4764"/>
    <w:rsid w:val="009E494E"/>
    <w:rsid w:val="009E5753"/>
    <w:rsid w:val="009E57D7"/>
    <w:rsid w:val="009E676F"/>
    <w:rsid w:val="009E703A"/>
    <w:rsid w:val="009E720B"/>
    <w:rsid w:val="009F099E"/>
    <w:rsid w:val="009F2211"/>
    <w:rsid w:val="009F3240"/>
    <w:rsid w:val="009F40FB"/>
    <w:rsid w:val="009F54B6"/>
    <w:rsid w:val="009F584F"/>
    <w:rsid w:val="009F5887"/>
    <w:rsid w:val="009F5B38"/>
    <w:rsid w:val="009F5BB2"/>
    <w:rsid w:val="009F5F5F"/>
    <w:rsid w:val="009F6610"/>
    <w:rsid w:val="009F793B"/>
    <w:rsid w:val="009F7C52"/>
    <w:rsid w:val="00A00DF4"/>
    <w:rsid w:val="00A00E87"/>
    <w:rsid w:val="00A01702"/>
    <w:rsid w:val="00A02253"/>
    <w:rsid w:val="00A02B96"/>
    <w:rsid w:val="00A0401B"/>
    <w:rsid w:val="00A040D8"/>
    <w:rsid w:val="00A051C4"/>
    <w:rsid w:val="00A0602C"/>
    <w:rsid w:val="00A06B95"/>
    <w:rsid w:val="00A06BBE"/>
    <w:rsid w:val="00A07183"/>
    <w:rsid w:val="00A104AE"/>
    <w:rsid w:val="00A10A9B"/>
    <w:rsid w:val="00A1221E"/>
    <w:rsid w:val="00A12E96"/>
    <w:rsid w:val="00A12EAD"/>
    <w:rsid w:val="00A1355D"/>
    <w:rsid w:val="00A13770"/>
    <w:rsid w:val="00A13C75"/>
    <w:rsid w:val="00A1611D"/>
    <w:rsid w:val="00A24443"/>
    <w:rsid w:val="00A254C8"/>
    <w:rsid w:val="00A265DE"/>
    <w:rsid w:val="00A27068"/>
    <w:rsid w:val="00A300C7"/>
    <w:rsid w:val="00A31344"/>
    <w:rsid w:val="00A315C9"/>
    <w:rsid w:val="00A3193E"/>
    <w:rsid w:val="00A32231"/>
    <w:rsid w:val="00A32EDF"/>
    <w:rsid w:val="00A330F8"/>
    <w:rsid w:val="00A335B3"/>
    <w:rsid w:val="00A3375F"/>
    <w:rsid w:val="00A33BFC"/>
    <w:rsid w:val="00A33C46"/>
    <w:rsid w:val="00A34075"/>
    <w:rsid w:val="00A345E3"/>
    <w:rsid w:val="00A35016"/>
    <w:rsid w:val="00A350FD"/>
    <w:rsid w:val="00A35D81"/>
    <w:rsid w:val="00A36323"/>
    <w:rsid w:val="00A36866"/>
    <w:rsid w:val="00A36907"/>
    <w:rsid w:val="00A36D70"/>
    <w:rsid w:val="00A36E72"/>
    <w:rsid w:val="00A37E64"/>
    <w:rsid w:val="00A40692"/>
    <w:rsid w:val="00A40AE1"/>
    <w:rsid w:val="00A40F8A"/>
    <w:rsid w:val="00A41915"/>
    <w:rsid w:val="00A42954"/>
    <w:rsid w:val="00A42CCD"/>
    <w:rsid w:val="00A43160"/>
    <w:rsid w:val="00A43575"/>
    <w:rsid w:val="00A43B7E"/>
    <w:rsid w:val="00A4515B"/>
    <w:rsid w:val="00A4642A"/>
    <w:rsid w:val="00A46827"/>
    <w:rsid w:val="00A46CAF"/>
    <w:rsid w:val="00A47B64"/>
    <w:rsid w:val="00A47BF9"/>
    <w:rsid w:val="00A52862"/>
    <w:rsid w:val="00A528DB"/>
    <w:rsid w:val="00A53190"/>
    <w:rsid w:val="00A539EA"/>
    <w:rsid w:val="00A53AB4"/>
    <w:rsid w:val="00A54708"/>
    <w:rsid w:val="00A54B5C"/>
    <w:rsid w:val="00A54E4B"/>
    <w:rsid w:val="00A575D4"/>
    <w:rsid w:val="00A60570"/>
    <w:rsid w:val="00A60699"/>
    <w:rsid w:val="00A60F43"/>
    <w:rsid w:val="00A613DF"/>
    <w:rsid w:val="00A61A98"/>
    <w:rsid w:val="00A61C74"/>
    <w:rsid w:val="00A6346C"/>
    <w:rsid w:val="00A63A9E"/>
    <w:rsid w:val="00A64147"/>
    <w:rsid w:val="00A647E4"/>
    <w:rsid w:val="00A65242"/>
    <w:rsid w:val="00A65472"/>
    <w:rsid w:val="00A66A40"/>
    <w:rsid w:val="00A66C8E"/>
    <w:rsid w:val="00A67907"/>
    <w:rsid w:val="00A67DEF"/>
    <w:rsid w:val="00A70856"/>
    <w:rsid w:val="00A70951"/>
    <w:rsid w:val="00A709C5"/>
    <w:rsid w:val="00A70C45"/>
    <w:rsid w:val="00A71120"/>
    <w:rsid w:val="00A7133D"/>
    <w:rsid w:val="00A72743"/>
    <w:rsid w:val="00A75070"/>
    <w:rsid w:val="00A756D5"/>
    <w:rsid w:val="00A769FF"/>
    <w:rsid w:val="00A772AF"/>
    <w:rsid w:val="00A77CF6"/>
    <w:rsid w:val="00A77F7C"/>
    <w:rsid w:val="00A804FE"/>
    <w:rsid w:val="00A80C34"/>
    <w:rsid w:val="00A81123"/>
    <w:rsid w:val="00A81D63"/>
    <w:rsid w:val="00A82EA6"/>
    <w:rsid w:val="00A83470"/>
    <w:rsid w:val="00A8363E"/>
    <w:rsid w:val="00A83E74"/>
    <w:rsid w:val="00A84A2D"/>
    <w:rsid w:val="00A85521"/>
    <w:rsid w:val="00A85971"/>
    <w:rsid w:val="00A85EA8"/>
    <w:rsid w:val="00A87554"/>
    <w:rsid w:val="00A87757"/>
    <w:rsid w:val="00A87C66"/>
    <w:rsid w:val="00A87DA5"/>
    <w:rsid w:val="00A87FCA"/>
    <w:rsid w:val="00A9013E"/>
    <w:rsid w:val="00A90E7F"/>
    <w:rsid w:val="00A913B1"/>
    <w:rsid w:val="00A91AA3"/>
    <w:rsid w:val="00A927C5"/>
    <w:rsid w:val="00A92BBB"/>
    <w:rsid w:val="00A92E22"/>
    <w:rsid w:val="00A93516"/>
    <w:rsid w:val="00A93FFC"/>
    <w:rsid w:val="00A97439"/>
    <w:rsid w:val="00AA09A6"/>
    <w:rsid w:val="00AA2EB6"/>
    <w:rsid w:val="00AA3116"/>
    <w:rsid w:val="00AA4310"/>
    <w:rsid w:val="00AA4B5C"/>
    <w:rsid w:val="00AA4E32"/>
    <w:rsid w:val="00AA50B0"/>
    <w:rsid w:val="00AA5A32"/>
    <w:rsid w:val="00AA6282"/>
    <w:rsid w:val="00AA6C59"/>
    <w:rsid w:val="00AA6E73"/>
    <w:rsid w:val="00AA74C5"/>
    <w:rsid w:val="00AA78C6"/>
    <w:rsid w:val="00AA7C27"/>
    <w:rsid w:val="00AB0244"/>
    <w:rsid w:val="00AB0DCA"/>
    <w:rsid w:val="00AB12AB"/>
    <w:rsid w:val="00AB13BA"/>
    <w:rsid w:val="00AB1650"/>
    <w:rsid w:val="00AB1C48"/>
    <w:rsid w:val="00AB26C5"/>
    <w:rsid w:val="00AB2C1B"/>
    <w:rsid w:val="00AB39C1"/>
    <w:rsid w:val="00AB4883"/>
    <w:rsid w:val="00AB51BE"/>
    <w:rsid w:val="00AB55B8"/>
    <w:rsid w:val="00AB5D62"/>
    <w:rsid w:val="00AB5E6E"/>
    <w:rsid w:val="00AB6BB7"/>
    <w:rsid w:val="00AB79F4"/>
    <w:rsid w:val="00AC123A"/>
    <w:rsid w:val="00AC1EBA"/>
    <w:rsid w:val="00AC2278"/>
    <w:rsid w:val="00AC33D7"/>
    <w:rsid w:val="00AC490D"/>
    <w:rsid w:val="00AC4F41"/>
    <w:rsid w:val="00AC4FD4"/>
    <w:rsid w:val="00AC527E"/>
    <w:rsid w:val="00AC57F7"/>
    <w:rsid w:val="00AC61E4"/>
    <w:rsid w:val="00AC7765"/>
    <w:rsid w:val="00AD156C"/>
    <w:rsid w:val="00AD18A9"/>
    <w:rsid w:val="00AD1EB8"/>
    <w:rsid w:val="00AD1FC5"/>
    <w:rsid w:val="00AD215B"/>
    <w:rsid w:val="00AD2A7C"/>
    <w:rsid w:val="00AD2CAE"/>
    <w:rsid w:val="00AD2D04"/>
    <w:rsid w:val="00AD37C2"/>
    <w:rsid w:val="00AD4426"/>
    <w:rsid w:val="00AD4AFA"/>
    <w:rsid w:val="00AD4DEB"/>
    <w:rsid w:val="00AD5FC0"/>
    <w:rsid w:val="00AD637C"/>
    <w:rsid w:val="00AD64A6"/>
    <w:rsid w:val="00AE039A"/>
    <w:rsid w:val="00AE130C"/>
    <w:rsid w:val="00AE1328"/>
    <w:rsid w:val="00AE1AC7"/>
    <w:rsid w:val="00AE1C40"/>
    <w:rsid w:val="00AE2823"/>
    <w:rsid w:val="00AE2E6C"/>
    <w:rsid w:val="00AE335E"/>
    <w:rsid w:val="00AE373C"/>
    <w:rsid w:val="00AE43C1"/>
    <w:rsid w:val="00AE48B3"/>
    <w:rsid w:val="00AE5038"/>
    <w:rsid w:val="00AE5172"/>
    <w:rsid w:val="00AE7879"/>
    <w:rsid w:val="00AE7890"/>
    <w:rsid w:val="00AE7A06"/>
    <w:rsid w:val="00AE7D6C"/>
    <w:rsid w:val="00AF0102"/>
    <w:rsid w:val="00AF0203"/>
    <w:rsid w:val="00AF0854"/>
    <w:rsid w:val="00AF0E04"/>
    <w:rsid w:val="00AF1A1B"/>
    <w:rsid w:val="00AF2BB9"/>
    <w:rsid w:val="00AF3511"/>
    <w:rsid w:val="00AF4C58"/>
    <w:rsid w:val="00AF5365"/>
    <w:rsid w:val="00AF5B3D"/>
    <w:rsid w:val="00AF61D8"/>
    <w:rsid w:val="00AF692F"/>
    <w:rsid w:val="00AF6A94"/>
    <w:rsid w:val="00AF6DA3"/>
    <w:rsid w:val="00AF6E84"/>
    <w:rsid w:val="00AF6F7D"/>
    <w:rsid w:val="00AF7ED3"/>
    <w:rsid w:val="00B00430"/>
    <w:rsid w:val="00B0046E"/>
    <w:rsid w:val="00B00A7E"/>
    <w:rsid w:val="00B00AA7"/>
    <w:rsid w:val="00B0160E"/>
    <w:rsid w:val="00B01D2F"/>
    <w:rsid w:val="00B01D68"/>
    <w:rsid w:val="00B02577"/>
    <w:rsid w:val="00B03BD7"/>
    <w:rsid w:val="00B03F5E"/>
    <w:rsid w:val="00B05A07"/>
    <w:rsid w:val="00B05D72"/>
    <w:rsid w:val="00B06A0A"/>
    <w:rsid w:val="00B07095"/>
    <w:rsid w:val="00B07A80"/>
    <w:rsid w:val="00B10736"/>
    <w:rsid w:val="00B10B29"/>
    <w:rsid w:val="00B114CD"/>
    <w:rsid w:val="00B1150B"/>
    <w:rsid w:val="00B1250E"/>
    <w:rsid w:val="00B12F5A"/>
    <w:rsid w:val="00B13231"/>
    <w:rsid w:val="00B137C4"/>
    <w:rsid w:val="00B13891"/>
    <w:rsid w:val="00B138E1"/>
    <w:rsid w:val="00B13AF3"/>
    <w:rsid w:val="00B14202"/>
    <w:rsid w:val="00B16ED2"/>
    <w:rsid w:val="00B17276"/>
    <w:rsid w:val="00B17B62"/>
    <w:rsid w:val="00B202E5"/>
    <w:rsid w:val="00B2221F"/>
    <w:rsid w:val="00B2230E"/>
    <w:rsid w:val="00B2330B"/>
    <w:rsid w:val="00B23A0B"/>
    <w:rsid w:val="00B24524"/>
    <w:rsid w:val="00B24BD8"/>
    <w:rsid w:val="00B24F92"/>
    <w:rsid w:val="00B24FEB"/>
    <w:rsid w:val="00B25CC1"/>
    <w:rsid w:val="00B25EC1"/>
    <w:rsid w:val="00B26271"/>
    <w:rsid w:val="00B26302"/>
    <w:rsid w:val="00B26F80"/>
    <w:rsid w:val="00B272C7"/>
    <w:rsid w:val="00B276C0"/>
    <w:rsid w:val="00B27CD3"/>
    <w:rsid w:val="00B27CDE"/>
    <w:rsid w:val="00B307B6"/>
    <w:rsid w:val="00B3088D"/>
    <w:rsid w:val="00B314B4"/>
    <w:rsid w:val="00B31D4A"/>
    <w:rsid w:val="00B3283F"/>
    <w:rsid w:val="00B32B0C"/>
    <w:rsid w:val="00B33A47"/>
    <w:rsid w:val="00B34201"/>
    <w:rsid w:val="00B3426A"/>
    <w:rsid w:val="00B3477E"/>
    <w:rsid w:val="00B34D9D"/>
    <w:rsid w:val="00B359A3"/>
    <w:rsid w:val="00B35D17"/>
    <w:rsid w:val="00B366D2"/>
    <w:rsid w:val="00B36DE9"/>
    <w:rsid w:val="00B37308"/>
    <w:rsid w:val="00B37944"/>
    <w:rsid w:val="00B409A4"/>
    <w:rsid w:val="00B40D8F"/>
    <w:rsid w:val="00B42D61"/>
    <w:rsid w:val="00B438D5"/>
    <w:rsid w:val="00B43A5E"/>
    <w:rsid w:val="00B4412C"/>
    <w:rsid w:val="00B4419A"/>
    <w:rsid w:val="00B44E81"/>
    <w:rsid w:val="00B452D3"/>
    <w:rsid w:val="00B4605E"/>
    <w:rsid w:val="00B46392"/>
    <w:rsid w:val="00B47756"/>
    <w:rsid w:val="00B47FC2"/>
    <w:rsid w:val="00B5081F"/>
    <w:rsid w:val="00B5110A"/>
    <w:rsid w:val="00B51AB7"/>
    <w:rsid w:val="00B52571"/>
    <w:rsid w:val="00B528AA"/>
    <w:rsid w:val="00B5334C"/>
    <w:rsid w:val="00B539B3"/>
    <w:rsid w:val="00B54495"/>
    <w:rsid w:val="00B54C7A"/>
    <w:rsid w:val="00B56671"/>
    <w:rsid w:val="00B567B4"/>
    <w:rsid w:val="00B56CF5"/>
    <w:rsid w:val="00B57BF8"/>
    <w:rsid w:val="00B603AD"/>
    <w:rsid w:val="00B608D1"/>
    <w:rsid w:val="00B60CA3"/>
    <w:rsid w:val="00B62090"/>
    <w:rsid w:val="00B63CDE"/>
    <w:rsid w:val="00B6450A"/>
    <w:rsid w:val="00B64625"/>
    <w:rsid w:val="00B64F49"/>
    <w:rsid w:val="00B6503A"/>
    <w:rsid w:val="00B662F5"/>
    <w:rsid w:val="00B67842"/>
    <w:rsid w:val="00B70D71"/>
    <w:rsid w:val="00B70F3B"/>
    <w:rsid w:val="00B71334"/>
    <w:rsid w:val="00B7246E"/>
    <w:rsid w:val="00B739C2"/>
    <w:rsid w:val="00B74EEE"/>
    <w:rsid w:val="00B751A9"/>
    <w:rsid w:val="00B751ED"/>
    <w:rsid w:val="00B75879"/>
    <w:rsid w:val="00B8082B"/>
    <w:rsid w:val="00B81284"/>
    <w:rsid w:val="00B81523"/>
    <w:rsid w:val="00B81C21"/>
    <w:rsid w:val="00B81CF7"/>
    <w:rsid w:val="00B82412"/>
    <w:rsid w:val="00B82BB8"/>
    <w:rsid w:val="00B830C7"/>
    <w:rsid w:val="00B83773"/>
    <w:rsid w:val="00B83842"/>
    <w:rsid w:val="00B84667"/>
    <w:rsid w:val="00B848E6"/>
    <w:rsid w:val="00B85190"/>
    <w:rsid w:val="00B85243"/>
    <w:rsid w:val="00B86733"/>
    <w:rsid w:val="00B87221"/>
    <w:rsid w:val="00B87560"/>
    <w:rsid w:val="00B87EA9"/>
    <w:rsid w:val="00B912E0"/>
    <w:rsid w:val="00B918DF"/>
    <w:rsid w:val="00B9198F"/>
    <w:rsid w:val="00B91FF8"/>
    <w:rsid w:val="00B922D3"/>
    <w:rsid w:val="00B92649"/>
    <w:rsid w:val="00B965CD"/>
    <w:rsid w:val="00B967A8"/>
    <w:rsid w:val="00B97657"/>
    <w:rsid w:val="00BA0172"/>
    <w:rsid w:val="00BA0288"/>
    <w:rsid w:val="00BA0D01"/>
    <w:rsid w:val="00BA1059"/>
    <w:rsid w:val="00BA1293"/>
    <w:rsid w:val="00BA1747"/>
    <w:rsid w:val="00BA17C5"/>
    <w:rsid w:val="00BA2FAA"/>
    <w:rsid w:val="00BA36BB"/>
    <w:rsid w:val="00BA406B"/>
    <w:rsid w:val="00BA4997"/>
    <w:rsid w:val="00BA4CE2"/>
    <w:rsid w:val="00BA5386"/>
    <w:rsid w:val="00BA5B01"/>
    <w:rsid w:val="00BA6771"/>
    <w:rsid w:val="00BA6EFC"/>
    <w:rsid w:val="00BA7307"/>
    <w:rsid w:val="00BB0D79"/>
    <w:rsid w:val="00BB184E"/>
    <w:rsid w:val="00BB1F50"/>
    <w:rsid w:val="00BB36E5"/>
    <w:rsid w:val="00BB461D"/>
    <w:rsid w:val="00BB4F84"/>
    <w:rsid w:val="00BB5106"/>
    <w:rsid w:val="00BB598C"/>
    <w:rsid w:val="00BB63B9"/>
    <w:rsid w:val="00BB63CF"/>
    <w:rsid w:val="00BB70E2"/>
    <w:rsid w:val="00BB7412"/>
    <w:rsid w:val="00BB7810"/>
    <w:rsid w:val="00BB7936"/>
    <w:rsid w:val="00BC05AD"/>
    <w:rsid w:val="00BC143C"/>
    <w:rsid w:val="00BC1F66"/>
    <w:rsid w:val="00BC27DA"/>
    <w:rsid w:val="00BC2D83"/>
    <w:rsid w:val="00BC3AB8"/>
    <w:rsid w:val="00BC4D94"/>
    <w:rsid w:val="00BC644B"/>
    <w:rsid w:val="00BC6865"/>
    <w:rsid w:val="00BC693D"/>
    <w:rsid w:val="00BC7093"/>
    <w:rsid w:val="00BD08E4"/>
    <w:rsid w:val="00BD11CA"/>
    <w:rsid w:val="00BD14BD"/>
    <w:rsid w:val="00BD18CE"/>
    <w:rsid w:val="00BD2759"/>
    <w:rsid w:val="00BD2C8D"/>
    <w:rsid w:val="00BD35D5"/>
    <w:rsid w:val="00BD478D"/>
    <w:rsid w:val="00BD6BA2"/>
    <w:rsid w:val="00BD7006"/>
    <w:rsid w:val="00BD789A"/>
    <w:rsid w:val="00BE0042"/>
    <w:rsid w:val="00BE04C4"/>
    <w:rsid w:val="00BE095B"/>
    <w:rsid w:val="00BE0EF5"/>
    <w:rsid w:val="00BE1E4E"/>
    <w:rsid w:val="00BE1ECE"/>
    <w:rsid w:val="00BE5451"/>
    <w:rsid w:val="00BE55BC"/>
    <w:rsid w:val="00BE59AB"/>
    <w:rsid w:val="00BE5B01"/>
    <w:rsid w:val="00BE66C1"/>
    <w:rsid w:val="00BE6966"/>
    <w:rsid w:val="00BE6ACB"/>
    <w:rsid w:val="00BE7101"/>
    <w:rsid w:val="00BF0468"/>
    <w:rsid w:val="00BF09CC"/>
    <w:rsid w:val="00BF0F8A"/>
    <w:rsid w:val="00BF12EF"/>
    <w:rsid w:val="00BF3A08"/>
    <w:rsid w:val="00BF4250"/>
    <w:rsid w:val="00BF499D"/>
    <w:rsid w:val="00BF4A26"/>
    <w:rsid w:val="00BF4EE1"/>
    <w:rsid w:val="00BF7872"/>
    <w:rsid w:val="00BF794D"/>
    <w:rsid w:val="00BF7CC5"/>
    <w:rsid w:val="00C01313"/>
    <w:rsid w:val="00C01DC9"/>
    <w:rsid w:val="00C02444"/>
    <w:rsid w:val="00C032F6"/>
    <w:rsid w:val="00C040C2"/>
    <w:rsid w:val="00C04258"/>
    <w:rsid w:val="00C04502"/>
    <w:rsid w:val="00C04C22"/>
    <w:rsid w:val="00C0601C"/>
    <w:rsid w:val="00C06390"/>
    <w:rsid w:val="00C06652"/>
    <w:rsid w:val="00C067E9"/>
    <w:rsid w:val="00C07875"/>
    <w:rsid w:val="00C1070E"/>
    <w:rsid w:val="00C10ABB"/>
    <w:rsid w:val="00C10EC5"/>
    <w:rsid w:val="00C11837"/>
    <w:rsid w:val="00C11EFB"/>
    <w:rsid w:val="00C1249E"/>
    <w:rsid w:val="00C12FC7"/>
    <w:rsid w:val="00C13594"/>
    <w:rsid w:val="00C13F6E"/>
    <w:rsid w:val="00C14755"/>
    <w:rsid w:val="00C147FF"/>
    <w:rsid w:val="00C14CB4"/>
    <w:rsid w:val="00C150F0"/>
    <w:rsid w:val="00C172B6"/>
    <w:rsid w:val="00C17916"/>
    <w:rsid w:val="00C218EF"/>
    <w:rsid w:val="00C21E3B"/>
    <w:rsid w:val="00C22463"/>
    <w:rsid w:val="00C22CF8"/>
    <w:rsid w:val="00C22DB3"/>
    <w:rsid w:val="00C23F21"/>
    <w:rsid w:val="00C24744"/>
    <w:rsid w:val="00C24B9C"/>
    <w:rsid w:val="00C25146"/>
    <w:rsid w:val="00C252AC"/>
    <w:rsid w:val="00C25A5B"/>
    <w:rsid w:val="00C26E9F"/>
    <w:rsid w:val="00C27D71"/>
    <w:rsid w:val="00C30EE4"/>
    <w:rsid w:val="00C31F46"/>
    <w:rsid w:val="00C31F92"/>
    <w:rsid w:val="00C31FA3"/>
    <w:rsid w:val="00C3235A"/>
    <w:rsid w:val="00C325C2"/>
    <w:rsid w:val="00C327FB"/>
    <w:rsid w:val="00C33D04"/>
    <w:rsid w:val="00C352D8"/>
    <w:rsid w:val="00C36904"/>
    <w:rsid w:val="00C36D7B"/>
    <w:rsid w:val="00C36E18"/>
    <w:rsid w:val="00C37A70"/>
    <w:rsid w:val="00C408A9"/>
    <w:rsid w:val="00C408F5"/>
    <w:rsid w:val="00C41FB5"/>
    <w:rsid w:val="00C42973"/>
    <w:rsid w:val="00C42B87"/>
    <w:rsid w:val="00C42ECC"/>
    <w:rsid w:val="00C44C51"/>
    <w:rsid w:val="00C45520"/>
    <w:rsid w:val="00C45605"/>
    <w:rsid w:val="00C45637"/>
    <w:rsid w:val="00C4593F"/>
    <w:rsid w:val="00C459FB"/>
    <w:rsid w:val="00C45A79"/>
    <w:rsid w:val="00C45EA2"/>
    <w:rsid w:val="00C46BFA"/>
    <w:rsid w:val="00C46C2B"/>
    <w:rsid w:val="00C47203"/>
    <w:rsid w:val="00C474D5"/>
    <w:rsid w:val="00C47738"/>
    <w:rsid w:val="00C47F6A"/>
    <w:rsid w:val="00C5005B"/>
    <w:rsid w:val="00C50F15"/>
    <w:rsid w:val="00C51BB5"/>
    <w:rsid w:val="00C52095"/>
    <w:rsid w:val="00C5219A"/>
    <w:rsid w:val="00C528B4"/>
    <w:rsid w:val="00C531D5"/>
    <w:rsid w:val="00C53862"/>
    <w:rsid w:val="00C544C3"/>
    <w:rsid w:val="00C54700"/>
    <w:rsid w:val="00C54776"/>
    <w:rsid w:val="00C54D16"/>
    <w:rsid w:val="00C55800"/>
    <w:rsid w:val="00C5669A"/>
    <w:rsid w:val="00C576B4"/>
    <w:rsid w:val="00C61959"/>
    <w:rsid w:val="00C61A79"/>
    <w:rsid w:val="00C61DAC"/>
    <w:rsid w:val="00C6286A"/>
    <w:rsid w:val="00C62F76"/>
    <w:rsid w:val="00C63176"/>
    <w:rsid w:val="00C63362"/>
    <w:rsid w:val="00C63972"/>
    <w:rsid w:val="00C65634"/>
    <w:rsid w:val="00C668AA"/>
    <w:rsid w:val="00C71DC0"/>
    <w:rsid w:val="00C724A6"/>
    <w:rsid w:val="00C73C74"/>
    <w:rsid w:val="00C74246"/>
    <w:rsid w:val="00C747F1"/>
    <w:rsid w:val="00C74CCA"/>
    <w:rsid w:val="00C74F36"/>
    <w:rsid w:val="00C7534A"/>
    <w:rsid w:val="00C76C2F"/>
    <w:rsid w:val="00C774DB"/>
    <w:rsid w:val="00C77741"/>
    <w:rsid w:val="00C77841"/>
    <w:rsid w:val="00C8070F"/>
    <w:rsid w:val="00C8166A"/>
    <w:rsid w:val="00C81DD1"/>
    <w:rsid w:val="00C81F9B"/>
    <w:rsid w:val="00C820B3"/>
    <w:rsid w:val="00C8664A"/>
    <w:rsid w:val="00C86DEC"/>
    <w:rsid w:val="00C86E0A"/>
    <w:rsid w:val="00C87C20"/>
    <w:rsid w:val="00C90CFF"/>
    <w:rsid w:val="00C91E4F"/>
    <w:rsid w:val="00C9256A"/>
    <w:rsid w:val="00C932A9"/>
    <w:rsid w:val="00C939B8"/>
    <w:rsid w:val="00C94051"/>
    <w:rsid w:val="00C94799"/>
    <w:rsid w:val="00C94ECD"/>
    <w:rsid w:val="00C950E0"/>
    <w:rsid w:val="00C96188"/>
    <w:rsid w:val="00CA0699"/>
    <w:rsid w:val="00CA1823"/>
    <w:rsid w:val="00CA1DEB"/>
    <w:rsid w:val="00CA2019"/>
    <w:rsid w:val="00CA22C2"/>
    <w:rsid w:val="00CA2AD2"/>
    <w:rsid w:val="00CA2F14"/>
    <w:rsid w:val="00CA38A6"/>
    <w:rsid w:val="00CA4010"/>
    <w:rsid w:val="00CA48BC"/>
    <w:rsid w:val="00CA5892"/>
    <w:rsid w:val="00CA6176"/>
    <w:rsid w:val="00CA648A"/>
    <w:rsid w:val="00CA6788"/>
    <w:rsid w:val="00CA76E6"/>
    <w:rsid w:val="00CA7D48"/>
    <w:rsid w:val="00CB01B9"/>
    <w:rsid w:val="00CB0A25"/>
    <w:rsid w:val="00CB165B"/>
    <w:rsid w:val="00CB2F24"/>
    <w:rsid w:val="00CB4785"/>
    <w:rsid w:val="00CB4EA5"/>
    <w:rsid w:val="00CB578D"/>
    <w:rsid w:val="00CB5E50"/>
    <w:rsid w:val="00CB7367"/>
    <w:rsid w:val="00CC0963"/>
    <w:rsid w:val="00CC1BC3"/>
    <w:rsid w:val="00CC2749"/>
    <w:rsid w:val="00CC395E"/>
    <w:rsid w:val="00CC3F19"/>
    <w:rsid w:val="00CC40AE"/>
    <w:rsid w:val="00CC4D41"/>
    <w:rsid w:val="00CC4FEC"/>
    <w:rsid w:val="00CC6643"/>
    <w:rsid w:val="00CC6763"/>
    <w:rsid w:val="00CC6935"/>
    <w:rsid w:val="00CC6A8B"/>
    <w:rsid w:val="00CC6F88"/>
    <w:rsid w:val="00CC7375"/>
    <w:rsid w:val="00CD0396"/>
    <w:rsid w:val="00CD178A"/>
    <w:rsid w:val="00CD1796"/>
    <w:rsid w:val="00CD1864"/>
    <w:rsid w:val="00CD3242"/>
    <w:rsid w:val="00CD4A34"/>
    <w:rsid w:val="00CD4F86"/>
    <w:rsid w:val="00CD55C7"/>
    <w:rsid w:val="00CD7AB6"/>
    <w:rsid w:val="00CE05A5"/>
    <w:rsid w:val="00CE0C26"/>
    <w:rsid w:val="00CE10A3"/>
    <w:rsid w:val="00CE2194"/>
    <w:rsid w:val="00CE2418"/>
    <w:rsid w:val="00CE26CE"/>
    <w:rsid w:val="00CE2FA5"/>
    <w:rsid w:val="00CE3A49"/>
    <w:rsid w:val="00CE3EBA"/>
    <w:rsid w:val="00CE4660"/>
    <w:rsid w:val="00CE46D7"/>
    <w:rsid w:val="00CE4CA9"/>
    <w:rsid w:val="00CE5096"/>
    <w:rsid w:val="00CE5FB7"/>
    <w:rsid w:val="00CE6332"/>
    <w:rsid w:val="00CE658F"/>
    <w:rsid w:val="00CE6DD7"/>
    <w:rsid w:val="00CE6E07"/>
    <w:rsid w:val="00CE796F"/>
    <w:rsid w:val="00CE7E9B"/>
    <w:rsid w:val="00CF0731"/>
    <w:rsid w:val="00CF20F5"/>
    <w:rsid w:val="00CF2E62"/>
    <w:rsid w:val="00CF30B3"/>
    <w:rsid w:val="00CF31D8"/>
    <w:rsid w:val="00CF3807"/>
    <w:rsid w:val="00CF4C4C"/>
    <w:rsid w:val="00CF4FAE"/>
    <w:rsid w:val="00CF562C"/>
    <w:rsid w:val="00CF5ABF"/>
    <w:rsid w:val="00CF7CFF"/>
    <w:rsid w:val="00D001ED"/>
    <w:rsid w:val="00D007A5"/>
    <w:rsid w:val="00D0153A"/>
    <w:rsid w:val="00D02CF7"/>
    <w:rsid w:val="00D033CB"/>
    <w:rsid w:val="00D034F3"/>
    <w:rsid w:val="00D03844"/>
    <w:rsid w:val="00D03849"/>
    <w:rsid w:val="00D0419E"/>
    <w:rsid w:val="00D04650"/>
    <w:rsid w:val="00D048CE"/>
    <w:rsid w:val="00D0491C"/>
    <w:rsid w:val="00D04B26"/>
    <w:rsid w:val="00D06809"/>
    <w:rsid w:val="00D06953"/>
    <w:rsid w:val="00D07ABF"/>
    <w:rsid w:val="00D10226"/>
    <w:rsid w:val="00D103BF"/>
    <w:rsid w:val="00D1132C"/>
    <w:rsid w:val="00D122B5"/>
    <w:rsid w:val="00D1382E"/>
    <w:rsid w:val="00D1452B"/>
    <w:rsid w:val="00D14955"/>
    <w:rsid w:val="00D15970"/>
    <w:rsid w:val="00D16388"/>
    <w:rsid w:val="00D167A9"/>
    <w:rsid w:val="00D1734A"/>
    <w:rsid w:val="00D177F4"/>
    <w:rsid w:val="00D20A3D"/>
    <w:rsid w:val="00D21101"/>
    <w:rsid w:val="00D2205C"/>
    <w:rsid w:val="00D24FA7"/>
    <w:rsid w:val="00D2531A"/>
    <w:rsid w:val="00D25A12"/>
    <w:rsid w:val="00D25A4F"/>
    <w:rsid w:val="00D262CF"/>
    <w:rsid w:val="00D26E79"/>
    <w:rsid w:val="00D3133D"/>
    <w:rsid w:val="00D31F7F"/>
    <w:rsid w:val="00D3259F"/>
    <w:rsid w:val="00D32A0D"/>
    <w:rsid w:val="00D32CB8"/>
    <w:rsid w:val="00D33D5D"/>
    <w:rsid w:val="00D34EB2"/>
    <w:rsid w:val="00D35521"/>
    <w:rsid w:val="00D360A9"/>
    <w:rsid w:val="00D36670"/>
    <w:rsid w:val="00D36735"/>
    <w:rsid w:val="00D36F26"/>
    <w:rsid w:val="00D379C0"/>
    <w:rsid w:val="00D407F6"/>
    <w:rsid w:val="00D41D7E"/>
    <w:rsid w:val="00D42D5E"/>
    <w:rsid w:val="00D42FA0"/>
    <w:rsid w:val="00D44603"/>
    <w:rsid w:val="00D450BF"/>
    <w:rsid w:val="00D45D94"/>
    <w:rsid w:val="00D47574"/>
    <w:rsid w:val="00D513D8"/>
    <w:rsid w:val="00D520D3"/>
    <w:rsid w:val="00D53B5E"/>
    <w:rsid w:val="00D54838"/>
    <w:rsid w:val="00D549D0"/>
    <w:rsid w:val="00D55025"/>
    <w:rsid w:val="00D55477"/>
    <w:rsid w:val="00D55FD6"/>
    <w:rsid w:val="00D5723F"/>
    <w:rsid w:val="00D57B4F"/>
    <w:rsid w:val="00D60E70"/>
    <w:rsid w:val="00D61537"/>
    <w:rsid w:val="00D62E5C"/>
    <w:rsid w:val="00D634EB"/>
    <w:rsid w:val="00D641EB"/>
    <w:rsid w:val="00D64A85"/>
    <w:rsid w:val="00D64FBC"/>
    <w:rsid w:val="00D65A48"/>
    <w:rsid w:val="00D66097"/>
    <w:rsid w:val="00D660BD"/>
    <w:rsid w:val="00D66AA8"/>
    <w:rsid w:val="00D6704D"/>
    <w:rsid w:val="00D670FC"/>
    <w:rsid w:val="00D67104"/>
    <w:rsid w:val="00D70F37"/>
    <w:rsid w:val="00D70FB5"/>
    <w:rsid w:val="00D71309"/>
    <w:rsid w:val="00D72DBB"/>
    <w:rsid w:val="00D734E6"/>
    <w:rsid w:val="00D7382A"/>
    <w:rsid w:val="00D744B4"/>
    <w:rsid w:val="00D748A0"/>
    <w:rsid w:val="00D7502C"/>
    <w:rsid w:val="00D75360"/>
    <w:rsid w:val="00D7583C"/>
    <w:rsid w:val="00D75C79"/>
    <w:rsid w:val="00D75CD6"/>
    <w:rsid w:val="00D767A5"/>
    <w:rsid w:val="00D76A84"/>
    <w:rsid w:val="00D776B0"/>
    <w:rsid w:val="00D77E5E"/>
    <w:rsid w:val="00D80A6B"/>
    <w:rsid w:val="00D82DE8"/>
    <w:rsid w:val="00D83539"/>
    <w:rsid w:val="00D838E3"/>
    <w:rsid w:val="00D84A69"/>
    <w:rsid w:val="00D8527D"/>
    <w:rsid w:val="00D8539B"/>
    <w:rsid w:val="00D85EFB"/>
    <w:rsid w:val="00D85F2B"/>
    <w:rsid w:val="00D86045"/>
    <w:rsid w:val="00D86092"/>
    <w:rsid w:val="00D86A5E"/>
    <w:rsid w:val="00D86ACF"/>
    <w:rsid w:val="00D87808"/>
    <w:rsid w:val="00D9010B"/>
    <w:rsid w:val="00D911F5"/>
    <w:rsid w:val="00D91515"/>
    <w:rsid w:val="00D9152E"/>
    <w:rsid w:val="00D91D6A"/>
    <w:rsid w:val="00D91F71"/>
    <w:rsid w:val="00D920C9"/>
    <w:rsid w:val="00D92274"/>
    <w:rsid w:val="00D92881"/>
    <w:rsid w:val="00D9293A"/>
    <w:rsid w:val="00D92AA3"/>
    <w:rsid w:val="00D93B82"/>
    <w:rsid w:val="00D94ACC"/>
    <w:rsid w:val="00D94FC3"/>
    <w:rsid w:val="00D95B20"/>
    <w:rsid w:val="00DA011E"/>
    <w:rsid w:val="00DA067E"/>
    <w:rsid w:val="00DA11CF"/>
    <w:rsid w:val="00DA14D9"/>
    <w:rsid w:val="00DA268F"/>
    <w:rsid w:val="00DA2949"/>
    <w:rsid w:val="00DA489F"/>
    <w:rsid w:val="00DA49F2"/>
    <w:rsid w:val="00DA5935"/>
    <w:rsid w:val="00DA5CB1"/>
    <w:rsid w:val="00DA5DA5"/>
    <w:rsid w:val="00DA6127"/>
    <w:rsid w:val="00DA69CF"/>
    <w:rsid w:val="00DA7134"/>
    <w:rsid w:val="00DB0288"/>
    <w:rsid w:val="00DB0A01"/>
    <w:rsid w:val="00DB154B"/>
    <w:rsid w:val="00DB1BC7"/>
    <w:rsid w:val="00DB3F5A"/>
    <w:rsid w:val="00DB42EF"/>
    <w:rsid w:val="00DB6E01"/>
    <w:rsid w:val="00DB7912"/>
    <w:rsid w:val="00DB7A4A"/>
    <w:rsid w:val="00DC0FE7"/>
    <w:rsid w:val="00DC17A4"/>
    <w:rsid w:val="00DC2377"/>
    <w:rsid w:val="00DC3C0A"/>
    <w:rsid w:val="00DC430D"/>
    <w:rsid w:val="00DC4CF0"/>
    <w:rsid w:val="00DC5947"/>
    <w:rsid w:val="00DC69E1"/>
    <w:rsid w:val="00DC746C"/>
    <w:rsid w:val="00DC766F"/>
    <w:rsid w:val="00DD01E3"/>
    <w:rsid w:val="00DD0CBD"/>
    <w:rsid w:val="00DD16D9"/>
    <w:rsid w:val="00DD18A2"/>
    <w:rsid w:val="00DD22B4"/>
    <w:rsid w:val="00DD24F0"/>
    <w:rsid w:val="00DD2B1C"/>
    <w:rsid w:val="00DD2FC9"/>
    <w:rsid w:val="00DD370A"/>
    <w:rsid w:val="00DD61C0"/>
    <w:rsid w:val="00DD6236"/>
    <w:rsid w:val="00DD6575"/>
    <w:rsid w:val="00DD6C2B"/>
    <w:rsid w:val="00DD76DA"/>
    <w:rsid w:val="00DD7F40"/>
    <w:rsid w:val="00DE128A"/>
    <w:rsid w:val="00DE12D3"/>
    <w:rsid w:val="00DE1C5A"/>
    <w:rsid w:val="00DE1C7C"/>
    <w:rsid w:val="00DE1EF3"/>
    <w:rsid w:val="00DE2EAE"/>
    <w:rsid w:val="00DE3609"/>
    <w:rsid w:val="00DE36D8"/>
    <w:rsid w:val="00DE44CE"/>
    <w:rsid w:val="00DE49F4"/>
    <w:rsid w:val="00DE5DBD"/>
    <w:rsid w:val="00DE5EED"/>
    <w:rsid w:val="00DE6555"/>
    <w:rsid w:val="00DE6ADF"/>
    <w:rsid w:val="00DE7215"/>
    <w:rsid w:val="00DF0B69"/>
    <w:rsid w:val="00DF2C2E"/>
    <w:rsid w:val="00DF33ED"/>
    <w:rsid w:val="00DF3CCA"/>
    <w:rsid w:val="00DF44F5"/>
    <w:rsid w:val="00DF4BDC"/>
    <w:rsid w:val="00DF565C"/>
    <w:rsid w:val="00DF6DD8"/>
    <w:rsid w:val="00E00584"/>
    <w:rsid w:val="00E00EB3"/>
    <w:rsid w:val="00E01A8B"/>
    <w:rsid w:val="00E01BEA"/>
    <w:rsid w:val="00E01CAE"/>
    <w:rsid w:val="00E01D2A"/>
    <w:rsid w:val="00E020AC"/>
    <w:rsid w:val="00E023D8"/>
    <w:rsid w:val="00E027D0"/>
    <w:rsid w:val="00E02E17"/>
    <w:rsid w:val="00E03D8F"/>
    <w:rsid w:val="00E04056"/>
    <w:rsid w:val="00E0552D"/>
    <w:rsid w:val="00E0568E"/>
    <w:rsid w:val="00E0611A"/>
    <w:rsid w:val="00E074C3"/>
    <w:rsid w:val="00E10369"/>
    <w:rsid w:val="00E10393"/>
    <w:rsid w:val="00E10C66"/>
    <w:rsid w:val="00E11164"/>
    <w:rsid w:val="00E121B8"/>
    <w:rsid w:val="00E12219"/>
    <w:rsid w:val="00E12732"/>
    <w:rsid w:val="00E13B0A"/>
    <w:rsid w:val="00E13B18"/>
    <w:rsid w:val="00E13B8E"/>
    <w:rsid w:val="00E14895"/>
    <w:rsid w:val="00E15B1A"/>
    <w:rsid w:val="00E15F73"/>
    <w:rsid w:val="00E161E3"/>
    <w:rsid w:val="00E1642A"/>
    <w:rsid w:val="00E16F3B"/>
    <w:rsid w:val="00E17F72"/>
    <w:rsid w:val="00E2025F"/>
    <w:rsid w:val="00E2081C"/>
    <w:rsid w:val="00E20993"/>
    <w:rsid w:val="00E20AFE"/>
    <w:rsid w:val="00E21E0A"/>
    <w:rsid w:val="00E23556"/>
    <w:rsid w:val="00E238A3"/>
    <w:rsid w:val="00E24772"/>
    <w:rsid w:val="00E270F2"/>
    <w:rsid w:val="00E27379"/>
    <w:rsid w:val="00E274F6"/>
    <w:rsid w:val="00E275F0"/>
    <w:rsid w:val="00E27A03"/>
    <w:rsid w:val="00E31585"/>
    <w:rsid w:val="00E327EA"/>
    <w:rsid w:val="00E3299D"/>
    <w:rsid w:val="00E334F7"/>
    <w:rsid w:val="00E34D76"/>
    <w:rsid w:val="00E34E6C"/>
    <w:rsid w:val="00E35067"/>
    <w:rsid w:val="00E354E4"/>
    <w:rsid w:val="00E3597E"/>
    <w:rsid w:val="00E370D8"/>
    <w:rsid w:val="00E37752"/>
    <w:rsid w:val="00E40AEE"/>
    <w:rsid w:val="00E415CF"/>
    <w:rsid w:val="00E41CCA"/>
    <w:rsid w:val="00E42BB1"/>
    <w:rsid w:val="00E4513C"/>
    <w:rsid w:val="00E46E1A"/>
    <w:rsid w:val="00E50ADE"/>
    <w:rsid w:val="00E5241A"/>
    <w:rsid w:val="00E5336C"/>
    <w:rsid w:val="00E5383E"/>
    <w:rsid w:val="00E53C93"/>
    <w:rsid w:val="00E53CBE"/>
    <w:rsid w:val="00E55ACF"/>
    <w:rsid w:val="00E5620E"/>
    <w:rsid w:val="00E567B9"/>
    <w:rsid w:val="00E56CC5"/>
    <w:rsid w:val="00E577A2"/>
    <w:rsid w:val="00E603B0"/>
    <w:rsid w:val="00E613D8"/>
    <w:rsid w:val="00E61BBC"/>
    <w:rsid w:val="00E63B8A"/>
    <w:rsid w:val="00E640A5"/>
    <w:rsid w:val="00E65238"/>
    <w:rsid w:val="00E65534"/>
    <w:rsid w:val="00E662E2"/>
    <w:rsid w:val="00E663E2"/>
    <w:rsid w:val="00E66A8D"/>
    <w:rsid w:val="00E70565"/>
    <w:rsid w:val="00E707A1"/>
    <w:rsid w:val="00E70B5A"/>
    <w:rsid w:val="00E7238D"/>
    <w:rsid w:val="00E72AC8"/>
    <w:rsid w:val="00E72E67"/>
    <w:rsid w:val="00E732E6"/>
    <w:rsid w:val="00E7336C"/>
    <w:rsid w:val="00E73966"/>
    <w:rsid w:val="00E7640C"/>
    <w:rsid w:val="00E7659C"/>
    <w:rsid w:val="00E77126"/>
    <w:rsid w:val="00E80FB1"/>
    <w:rsid w:val="00E82E6A"/>
    <w:rsid w:val="00E83859"/>
    <w:rsid w:val="00E83CC0"/>
    <w:rsid w:val="00E85447"/>
    <w:rsid w:val="00E86698"/>
    <w:rsid w:val="00E86B76"/>
    <w:rsid w:val="00E86E2E"/>
    <w:rsid w:val="00E87283"/>
    <w:rsid w:val="00E87802"/>
    <w:rsid w:val="00E90BBA"/>
    <w:rsid w:val="00E91CDE"/>
    <w:rsid w:val="00E91E1E"/>
    <w:rsid w:val="00E92130"/>
    <w:rsid w:val="00E92E69"/>
    <w:rsid w:val="00E931D2"/>
    <w:rsid w:val="00E9333D"/>
    <w:rsid w:val="00E94964"/>
    <w:rsid w:val="00E95AC7"/>
    <w:rsid w:val="00E9678A"/>
    <w:rsid w:val="00E972DB"/>
    <w:rsid w:val="00E97B02"/>
    <w:rsid w:val="00EA0E6B"/>
    <w:rsid w:val="00EA1368"/>
    <w:rsid w:val="00EA1AAB"/>
    <w:rsid w:val="00EA3EF6"/>
    <w:rsid w:val="00EA3F87"/>
    <w:rsid w:val="00EA483C"/>
    <w:rsid w:val="00EA4ACC"/>
    <w:rsid w:val="00EA4F7F"/>
    <w:rsid w:val="00EA5B81"/>
    <w:rsid w:val="00EA6D8A"/>
    <w:rsid w:val="00EA7848"/>
    <w:rsid w:val="00EA7C07"/>
    <w:rsid w:val="00EA7DBD"/>
    <w:rsid w:val="00EB260D"/>
    <w:rsid w:val="00EB275B"/>
    <w:rsid w:val="00EB2E04"/>
    <w:rsid w:val="00EB3E23"/>
    <w:rsid w:val="00EB52C8"/>
    <w:rsid w:val="00EB57E9"/>
    <w:rsid w:val="00EB639D"/>
    <w:rsid w:val="00EB68F4"/>
    <w:rsid w:val="00EB7FAF"/>
    <w:rsid w:val="00EC0A9F"/>
    <w:rsid w:val="00EC1675"/>
    <w:rsid w:val="00EC16BA"/>
    <w:rsid w:val="00EC2687"/>
    <w:rsid w:val="00EC2F91"/>
    <w:rsid w:val="00EC337D"/>
    <w:rsid w:val="00EC3AD1"/>
    <w:rsid w:val="00EC3DCD"/>
    <w:rsid w:val="00EC5191"/>
    <w:rsid w:val="00EC58C8"/>
    <w:rsid w:val="00EC5D13"/>
    <w:rsid w:val="00EC5F26"/>
    <w:rsid w:val="00EC6D3D"/>
    <w:rsid w:val="00EC7206"/>
    <w:rsid w:val="00EC7291"/>
    <w:rsid w:val="00EC7400"/>
    <w:rsid w:val="00EC75B0"/>
    <w:rsid w:val="00EC794C"/>
    <w:rsid w:val="00ED0AA8"/>
    <w:rsid w:val="00ED234C"/>
    <w:rsid w:val="00ED2E1F"/>
    <w:rsid w:val="00ED3311"/>
    <w:rsid w:val="00ED37DA"/>
    <w:rsid w:val="00ED4B80"/>
    <w:rsid w:val="00ED5B1D"/>
    <w:rsid w:val="00ED5CD3"/>
    <w:rsid w:val="00ED5E8D"/>
    <w:rsid w:val="00ED65C0"/>
    <w:rsid w:val="00ED6831"/>
    <w:rsid w:val="00ED6D8B"/>
    <w:rsid w:val="00EE040D"/>
    <w:rsid w:val="00EE0FC6"/>
    <w:rsid w:val="00EE1F6E"/>
    <w:rsid w:val="00EE2A9C"/>
    <w:rsid w:val="00EE32CD"/>
    <w:rsid w:val="00EE3810"/>
    <w:rsid w:val="00EE505C"/>
    <w:rsid w:val="00EE51C4"/>
    <w:rsid w:val="00EE57A9"/>
    <w:rsid w:val="00EE58E0"/>
    <w:rsid w:val="00EE593B"/>
    <w:rsid w:val="00EE6570"/>
    <w:rsid w:val="00EE6603"/>
    <w:rsid w:val="00EE6A51"/>
    <w:rsid w:val="00EE6D22"/>
    <w:rsid w:val="00EE78A3"/>
    <w:rsid w:val="00EE7DC7"/>
    <w:rsid w:val="00EF04EF"/>
    <w:rsid w:val="00EF0E62"/>
    <w:rsid w:val="00EF16B3"/>
    <w:rsid w:val="00EF2013"/>
    <w:rsid w:val="00EF240A"/>
    <w:rsid w:val="00EF31B4"/>
    <w:rsid w:val="00EF3797"/>
    <w:rsid w:val="00EF3E56"/>
    <w:rsid w:val="00EF6AA8"/>
    <w:rsid w:val="00EF6ABA"/>
    <w:rsid w:val="00EF7188"/>
    <w:rsid w:val="00F003CB"/>
    <w:rsid w:val="00F00660"/>
    <w:rsid w:val="00F00AEE"/>
    <w:rsid w:val="00F00DC4"/>
    <w:rsid w:val="00F00F5E"/>
    <w:rsid w:val="00F019AC"/>
    <w:rsid w:val="00F021FE"/>
    <w:rsid w:val="00F022B2"/>
    <w:rsid w:val="00F0283A"/>
    <w:rsid w:val="00F02FEB"/>
    <w:rsid w:val="00F036E0"/>
    <w:rsid w:val="00F0388F"/>
    <w:rsid w:val="00F03D4B"/>
    <w:rsid w:val="00F04E31"/>
    <w:rsid w:val="00F050C8"/>
    <w:rsid w:val="00F05B13"/>
    <w:rsid w:val="00F10074"/>
    <w:rsid w:val="00F13689"/>
    <w:rsid w:val="00F14D56"/>
    <w:rsid w:val="00F15232"/>
    <w:rsid w:val="00F15880"/>
    <w:rsid w:val="00F178C8"/>
    <w:rsid w:val="00F20C5E"/>
    <w:rsid w:val="00F20EE7"/>
    <w:rsid w:val="00F21012"/>
    <w:rsid w:val="00F2103D"/>
    <w:rsid w:val="00F225D3"/>
    <w:rsid w:val="00F233D9"/>
    <w:rsid w:val="00F23598"/>
    <w:rsid w:val="00F23ADD"/>
    <w:rsid w:val="00F247F3"/>
    <w:rsid w:val="00F24C67"/>
    <w:rsid w:val="00F2545F"/>
    <w:rsid w:val="00F2646C"/>
    <w:rsid w:val="00F26882"/>
    <w:rsid w:val="00F27CFB"/>
    <w:rsid w:val="00F305E0"/>
    <w:rsid w:val="00F307FA"/>
    <w:rsid w:val="00F30DBE"/>
    <w:rsid w:val="00F3167C"/>
    <w:rsid w:val="00F3205D"/>
    <w:rsid w:val="00F32700"/>
    <w:rsid w:val="00F33660"/>
    <w:rsid w:val="00F33D72"/>
    <w:rsid w:val="00F33ECF"/>
    <w:rsid w:val="00F34F5B"/>
    <w:rsid w:val="00F365A6"/>
    <w:rsid w:val="00F372B1"/>
    <w:rsid w:val="00F400A1"/>
    <w:rsid w:val="00F402E0"/>
    <w:rsid w:val="00F4118B"/>
    <w:rsid w:val="00F416EE"/>
    <w:rsid w:val="00F417B5"/>
    <w:rsid w:val="00F422AF"/>
    <w:rsid w:val="00F42648"/>
    <w:rsid w:val="00F4273C"/>
    <w:rsid w:val="00F43C5E"/>
    <w:rsid w:val="00F443B1"/>
    <w:rsid w:val="00F456A2"/>
    <w:rsid w:val="00F457DE"/>
    <w:rsid w:val="00F5037A"/>
    <w:rsid w:val="00F504E6"/>
    <w:rsid w:val="00F50C19"/>
    <w:rsid w:val="00F514FC"/>
    <w:rsid w:val="00F51BB6"/>
    <w:rsid w:val="00F51C44"/>
    <w:rsid w:val="00F539CD"/>
    <w:rsid w:val="00F53BA4"/>
    <w:rsid w:val="00F547F0"/>
    <w:rsid w:val="00F55411"/>
    <w:rsid w:val="00F55DA5"/>
    <w:rsid w:val="00F56BE6"/>
    <w:rsid w:val="00F56F74"/>
    <w:rsid w:val="00F5755B"/>
    <w:rsid w:val="00F579F7"/>
    <w:rsid w:val="00F57C84"/>
    <w:rsid w:val="00F6132E"/>
    <w:rsid w:val="00F6141F"/>
    <w:rsid w:val="00F61F7B"/>
    <w:rsid w:val="00F62B01"/>
    <w:rsid w:val="00F6354A"/>
    <w:rsid w:val="00F63816"/>
    <w:rsid w:val="00F63EB7"/>
    <w:rsid w:val="00F647FF"/>
    <w:rsid w:val="00F6487F"/>
    <w:rsid w:val="00F64E0D"/>
    <w:rsid w:val="00F65336"/>
    <w:rsid w:val="00F656A0"/>
    <w:rsid w:val="00F70A9B"/>
    <w:rsid w:val="00F71095"/>
    <w:rsid w:val="00F72000"/>
    <w:rsid w:val="00F7212C"/>
    <w:rsid w:val="00F72AD4"/>
    <w:rsid w:val="00F72D62"/>
    <w:rsid w:val="00F73292"/>
    <w:rsid w:val="00F73FE0"/>
    <w:rsid w:val="00F740D7"/>
    <w:rsid w:val="00F7433C"/>
    <w:rsid w:val="00F7476C"/>
    <w:rsid w:val="00F74A3F"/>
    <w:rsid w:val="00F75BDA"/>
    <w:rsid w:val="00F769DC"/>
    <w:rsid w:val="00F76EA0"/>
    <w:rsid w:val="00F77A69"/>
    <w:rsid w:val="00F77C68"/>
    <w:rsid w:val="00F77C9D"/>
    <w:rsid w:val="00F77DE0"/>
    <w:rsid w:val="00F77E5D"/>
    <w:rsid w:val="00F801A3"/>
    <w:rsid w:val="00F812C0"/>
    <w:rsid w:val="00F81677"/>
    <w:rsid w:val="00F817D6"/>
    <w:rsid w:val="00F82893"/>
    <w:rsid w:val="00F8313D"/>
    <w:rsid w:val="00F83CDD"/>
    <w:rsid w:val="00F84204"/>
    <w:rsid w:val="00F842E1"/>
    <w:rsid w:val="00F848C8"/>
    <w:rsid w:val="00F8576B"/>
    <w:rsid w:val="00F8597C"/>
    <w:rsid w:val="00F87294"/>
    <w:rsid w:val="00F90835"/>
    <w:rsid w:val="00F91102"/>
    <w:rsid w:val="00F91134"/>
    <w:rsid w:val="00F91655"/>
    <w:rsid w:val="00F92343"/>
    <w:rsid w:val="00F928E9"/>
    <w:rsid w:val="00F93626"/>
    <w:rsid w:val="00F94CE2"/>
    <w:rsid w:val="00F951B1"/>
    <w:rsid w:val="00F95620"/>
    <w:rsid w:val="00F959F1"/>
    <w:rsid w:val="00F96415"/>
    <w:rsid w:val="00F96BB1"/>
    <w:rsid w:val="00F96CAA"/>
    <w:rsid w:val="00F96FE9"/>
    <w:rsid w:val="00F97B50"/>
    <w:rsid w:val="00FA003D"/>
    <w:rsid w:val="00FA0CF7"/>
    <w:rsid w:val="00FA156A"/>
    <w:rsid w:val="00FA15C0"/>
    <w:rsid w:val="00FA171C"/>
    <w:rsid w:val="00FA1E78"/>
    <w:rsid w:val="00FA4C2D"/>
    <w:rsid w:val="00FA531E"/>
    <w:rsid w:val="00FA5967"/>
    <w:rsid w:val="00FA6B7E"/>
    <w:rsid w:val="00FA721D"/>
    <w:rsid w:val="00FA797C"/>
    <w:rsid w:val="00FA7E74"/>
    <w:rsid w:val="00FB04AB"/>
    <w:rsid w:val="00FB04E5"/>
    <w:rsid w:val="00FB0D6D"/>
    <w:rsid w:val="00FB1721"/>
    <w:rsid w:val="00FB176D"/>
    <w:rsid w:val="00FB1E14"/>
    <w:rsid w:val="00FB2B4A"/>
    <w:rsid w:val="00FB2C97"/>
    <w:rsid w:val="00FB4A19"/>
    <w:rsid w:val="00FB5DB6"/>
    <w:rsid w:val="00FB760A"/>
    <w:rsid w:val="00FB763E"/>
    <w:rsid w:val="00FB78B4"/>
    <w:rsid w:val="00FB7E57"/>
    <w:rsid w:val="00FB7FB7"/>
    <w:rsid w:val="00FC0368"/>
    <w:rsid w:val="00FC1912"/>
    <w:rsid w:val="00FC3B38"/>
    <w:rsid w:val="00FC4721"/>
    <w:rsid w:val="00FC5937"/>
    <w:rsid w:val="00FC5D4B"/>
    <w:rsid w:val="00FC6265"/>
    <w:rsid w:val="00FC6778"/>
    <w:rsid w:val="00FC6B29"/>
    <w:rsid w:val="00FD020D"/>
    <w:rsid w:val="00FD0306"/>
    <w:rsid w:val="00FD0784"/>
    <w:rsid w:val="00FD1113"/>
    <w:rsid w:val="00FD1E23"/>
    <w:rsid w:val="00FD24E7"/>
    <w:rsid w:val="00FD3669"/>
    <w:rsid w:val="00FD3844"/>
    <w:rsid w:val="00FD3CCA"/>
    <w:rsid w:val="00FD3DC0"/>
    <w:rsid w:val="00FD5C42"/>
    <w:rsid w:val="00FD5F10"/>
    <w:rsid w:val="00FD7769"/>
    <w:rsid w:val="00FE063B"/>
    <w:rsid w:val="00FE0818"/>
    <w:rsid w:val="00FE09A1"/>
    <w:rsid w:val="00FE0F68"/>
    <w:rsid w:val="00FE1249"/>
    <w:rsid w:val="00FE1605"/>
    <w:rsid w:val="00FE1DC2"/>
    <w:rsid w:val="00FE22C4"/>
    <w:rsid w:val="00FE2747"/>
    <w:rsid w:val="00FE4547"/>
    <w:rsid w:val="00FE4594"/>
    <w:rsid w:val="00FE4A90"/>
    <w:rsid w:val="00FE6223"/>
    <w:rsid w:val="00FE695C"/>
    <w:rsid w:val="00FE72B1"/>
    <w:rsid w:val="00FE72DC"/>
    <w:rsid w:val="00FF019C"/>
    <w:rsid w:val="00FF176C"/>
    <w:rsid w:val="00FF2FD5"/>
    <w:rsid w:val="00FF3C7A"/>
    <w:rsid w:val="00FF46FD"/>
    <w:rsid w:val="00FF53AA"/>
    <w:rsid w:val="00FF6A49"/>
    <w:rsid w:val="00FF7559"/>
    <w:rsid w:val="00FF7CC8"/>
    <w:rsid w:val="00FF7E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ED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62"/>
    <w:pPr>
      <w:spacing w:after="200" w:line="276" w:lineRule="auto"/>
    </w:pPr>
    <w:rPr>
      <w:rFonts w:ascii="Calibri" w:eastAsia="Calibri" w:hAnsi="Calibri" w:cs="Times New Roman"/>
      <w:sz w:val="22"/>
      <w:szCs w:val="22"/>
      <w:lang w:val="en-US" w:eastAsia="en-US"/>
    </w:rPr>
  </w:style>
  <w:style w:type="paragraph" w:styleId="Heading1">
    <w:name w:val="heading 1"/>
    <w:basedOn w:val="Normal"/>
    <w:next w:val="Normal"/>
    <w:link w:val="Heading1Char"/>
    <w:qFormat/>
    <w:rsid w:val="00007A36"/>
    <w:pPr>
      <w:keepNext/>
      <w:spacing w:before="960" w:after="640" w:line="240" w:lineRule="auto"/>
      <w:outlineLvl w:val="0"/>
    </w:pPr>
    <w:rPr>
      <w:rFonts w:asciiTheme="minorHAnsi" w:eastAsia="Times New Roman" w:hAnsiTheme="minorHAnsi"/>
      <w:b/>
      <w:bCs/>
      <w:color w:val="4A442A" w:themeColor="background2" w:themeShade="40"/>
      <w:kern w:val="32"/>
      <w:sz w:val="32"/>
      <w:szCs w:val="26"/>
    </w:rPr>
  </w:style>
  <w:style w:type="paragraph" w:styleId="Heading2">
    <w:name w:val="heading 2"/>
    <w:basedOn w:val="Normal"/>
    <w:next w:val="Normal"/>
    <w:link w:val="Heading2Char"/>
    <w:uiPriority w:val="9"/>
    <w:unhideWhenUsed/>
    <w:qFormat/>
    <w:rsid w:val="00EE32CD"/>
    <w:pPr>
      <w:keepNext/>
      <w:keepLines/>
      <w:numPr>
        <w:numId w:val="6"/>
      </w:numPr>
      <w:spacing w:before="480" w:after="360" w:line="240" w:lineRule="auto"/>
      <w:outlineLvl w:val="1"/>
    </w:pPr>
    <w:rPr>
      <w:rFonts w:asciiTheme="minorHAnsi" w:eastAsiaTheme="majorEastAsia" w:hAnsiTheme="minorHAnsi" w:cstheme="majorBidi"/>
      <w:b/>
      <w:i/>
      <w:sz w:val="28"/>
    </w:rPr>
  </w:style>
  <w:style w:type="paragraph" w:styleId="Heading3">
    <w:name w:val="heading 3"/>
    <w:basedOn w:val="Normal"/>
    <w:next w:val="Normal"/>
    <w:link w:val="Heading3Char"/>
    <w:uiPriority w:val="9"/>
    <w:unhideWhenUsed/>
    <w:qFormat/>
    <w:rsid w:val="001D6578"/>
    <w:pPr>
      <w:numPr>
        <w:numId w:val="30"/>
      </w:numPr>
      <w:spacing w:before="480" w:after="360" w:line="240" w:lineRule="auto"/>
      <w:ind w:left="0" w:firstLine="0"/>
      <w:outlineLvl w:val="2"/>
    </w:pPr>
    <w:rPr>
      <w:rFonts w:asciiTheme="minorHAnsi" w:hAnsiTheme="minorHAnsi"/>
      <w:b/>
      <w:sz w:val="24"/>
      <w:szCs w:val="20"/>
    </w:rPr>
  </w:style>
  <w:style w:type="paragraph" w:styleId="Heading4">
    <w:name w:val="heading 4"/>
    <w:basedOn w:val="Normal"/>
    <w:next w:val="Normal"/>
    <w:link w:val="Heading4Char"/>
    <w:uiPriority w:val="9"/>
    <w:unhideWhenUsed/>
    <w:qFormat/>
    <w:rsid w:val="001D6074"/>
    <w:pPr>
      <w:keepNext/>
      <w:keepLines/>
      <w:numPr>
        <w:numId w:val="33"/>
      </w:numPr>
      <w:spacing w:before="480" w:after="360" w:line="240" w:lineRule="auto"/>
      <w:ind w:hanging="720"/>
      <w:outlineLvl w:val="3"/>
    </w:pPr>
    <w:rPr>
      <w:rFonts w:asciiTheme="minorHAnsi" w:eastAsiaTheme="majorEastAsia" w:hAnsiTheme="minorHAnsi" w:cstheme="majorBidi"/>
      <w:b/>
      <w:iCs/>
      <w:sz w:val="24"/>
      <w:szCs w:val="20"/>
    </w:rPr>
  </w:style>
  <w:style w:type="paragraph" w:styleId="Heading8">
    <w:name w:val="heading 8"/>
    <w:basedOn w:val="Normal"/>
    <w:next w:val="Normal"/>
    <w:link w:val="Heading8Char"/>
    <w:uiPriority w:val="9"/>
    <w:semiHidden/>
    <w:unhideWhenUsed/>
    <w:qFormat/>
    <w:rsid w:val="0009163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A36"/>
    <w:rPr>
      <w:rFonts w:eastAsia="Times New Roman" w:cs="Times New Roman"/>
      <w:b/>
      <w:bCs/>
      <w:color w:val="4A442A" w:themeColor="background2" w:themeShade="40"/>
      <w:kern w:val="32"/>
      <w:sz w:val="32"/>
      <w:szCs w:val="26"/>
      <w:lang w:val="en-US" w:eastAsia="en-US"/>
    </w:rPr>
  </w:style>
  <w:style w:type="character" w:customStyle="1" w:styleId="Heading3Char">
    <w:name w:val="Heading 3 Char"/>
    <w:basedOn w:val="DefaultParagraphFont"/>
    <w:link w:val="Heading3"/>
    <w:uiPriority w:val="9"/>
    <w:rsid w:val="001D6578"/>
    <w:rPr>
      <w:rFonts w:eastAsia="Calibri" w:cs="Times New Roman"/>
      <w:b/>
      <w:szCs w:val="20"/>
      <w:lang w:val="en-US" w:eastAsia="en-US"/>
    </w:rPr>
  </w:style>
  <w:style w:type="numbering" w:customStyle="1" w:styleId="NoList1">
    <w:name w:val="No List1"/>
    <w:next w:val="NoList"/>
    <w:uiPriority w:val="99"/>
    <w:semiHidden/>
    <w:unhideWhenUsed/>
    <w:rsid w:val="00EF0E62"/>
  </w:style>
  <w:style w:type="numbering" w:customStyle="1" w:styleId="NoList11">
    <w:name w:val="No List11"/>
    <w:next w:val="NoList"/>
    <w:uiPriority w:val="99"/>
    <w:semiHidden/>
    <w:unhideWhenUsed/>
    <w:rsid w:val="00EF0E62"/>
  </w:style>
  <w:style w:type="numbering" w:customStyle="1" w:styleId="NoList111">
    <w:name w:val="No List111"/>
    <w:next w:val="NoList"/>
    <w:uiPriority w:val="99"/>
    <w:semiHidden/>
    <w:unhideWhenUsed/>
    <w:rsid w:val="00EF0E62"/>
  </w:style>
  <w:style w:type="numbering" w:customStyle="1" w:styleId="NoList1111">
    <w:name w:val="No List1111"/>
    <w:next w:val="NoList"/>
    <w:uiPriority w:val="99"/>
    <w:semiHidden/>
    <w:unhideWhenUsed/>
    <w:rsid w:val="00EF0E62"/>
  </w:style>
  <w:style w:type="paragraph" w:styleId="ListParagraph">
    <w:name w:val="List Paragraph"/>
    <w:basedOn w:val="Normal"/>
    <w:link w:val="ListParagraphChar"/>
    <w:qFormat/>
    <w:rsid w:val="00EF0E62"/>
    <w:pPr>
      <w:ind w:left="720"/>
      <w:contextualSpacing/>
    </w:pPr>
    <w:rPr>
      <w:rFonts w:ascii="Cambria" w:eastAsia="Cambria" w:hAnsi="Cambria"/>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ootnote text,Ca,f,FA Fu?notentext,Ref"/>
    <w:basedOn w:val="Normal"/>
    <w:link w:val="FootnoteTextChar"/>
    <w:unhideWhenUsed/>
    <w:qFormat/>
    <w:rsid w:val="00EF0E62"/>
    <w:pPr>
      <w:spacing w:after="0" w:line="240" w:lineRule="auto"/>
    </w:pPr>
    <w:rPr>
      <w:rFonts w:ascii="Cambria" w:eastAsia="Cambria" w:hAnsi="Cambria"/>
      <w:sz w:val="20"/>
      <w:szCs w:val="20"/>
    </w:rPr>
  </w:style>
  <w:style w:type="character" w:customStyle="1" w:styleId="TextonotapieCar">
    <w:name w:val="Texto nota pie Car"/>
    <w:aliases w:val="FA Fu?notentext Car"/>
    <w:basedOn w:val="DefaultParagraphFont"/>
    <w:uiPriority w:val="99"/>
    <w:rsid w:val="00EF0E62"/>
    <w:rPr>
      <w:rFonts w:ascii="Calibri" w:eastAsia="Calibri" w:hAnsi="Calibri" w:cs="Times New Roman"/>
      <w:lang w:val="en-US" w:eastAsia="en-U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f Char"/>
    <w:link w:val="FootnoteText"/>
    <w:rsid w:val="00EF0E62"/>
    <w:rPr>
      <w:rFonts w:ascii="Cambria" w:eastAsia="Cambria" w:hAnsi="Cambria" w:cs="Times New Roman"/>
      <w:sz w:val="20"/>
      <w:szCs w:val="20"/>
      <w:lang w:val="en-US" w:eastAsia="en-US"/>
    </w:rPr>
  </w:style>
  <w:style w:type="character" w:styleId="FootnoteReference">
    <w:name w:val="footnote reference"/>
    <w:aliases w:val="Footnotes refss,Texto de nota al pie,Appel note de bas de page,referencia nota al pie,BVI fnr,Footnote number,Ref. de nota al pie.,Footnote symbol,Footnote,4_G,16 Point,Superscript 6 Point,Texto nota al pie,Footnote Reference Char3,f1"/>
    <w:link w:val="BVIfnrCar1CarCarCarCar"/>
    <w:uiPriority w:val="99"/>
    <w:unhideWhenUsed/>
    <w:qFormat/>
    <w:rsid w:val="00EF0E62"/>
    <w:rPr>
      <w:vertAlign w:val="superscript"/>
    </w:rPr>
  </w:style>
  <w:style w:type="paragraph" w:styleId="BalloonText">
    <w:name w:val="Balloon Text"/>
    <w:basedOn w:val="Normal"/>
    <w:link w:val="BalloonTextChar"/>
    <w:uiPriority w:val="99"/>
    <w:semiHidden/>
    <w:unhideWhenUsed/>
    <w:rsid w:val="00EF0E62"/>
    <w:pPr>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EF0E62"/>
    <w:rPr>
      <w:rFonts w:ascii="Tahoma" w:eastAsia="Cambria" w:hAnsi="Tahoma" w:cs="Tahoma"/>
      <w:sz w:val="16"/>
      <w:szCs w:val="16"/>
      <w:lang w:val="en-US" w:eastAsia="en-US"/>
    </w:rPr>
  </w:style>
  <w:style w:type="character" w:customStyle="1" w:styleId="apple-converted-space">
    <w:name w:val="apple-converted-space"/>
    <w:rsid w:val="00EF0E62"/>
  </w:style>
  <w:style w:type="paragraph" w:styleId="NormalWeb">
    <w:name w:val="Normal (Web)"/>
    <w:basedOn w:val="Normal"/>
    <w:unhideWhenUsed/>
    <w:rsid w:val="00EF0E62"/>
    <w:pPr>
      <w:spacing w:before="100" w:beforeAutospacing="1" w:after="100" w:afterAutospacing="1" w:line="240" w:lineRule="auto"/>
    </w:pPr>
    <w:rPr>
      <w:rFonts w:ascii="Times" w:eastAsia="MS Mincho" w:hAnsi="Times"/>
      <w:sz w:val="20"/>
      <w:szCs w:val="20"/>
      <w:lang w:val="es-ES_tradnl" w:eastAsia="es-ES"/>
    </w:rPr>
  </w:style>
  <w:style w:type="character" w:customStyle="1" w:styleId="apple-style-span">
    <w:name w:val="apple-style-span"/>
    <w:rsid w:val="00EF0E62"/>
  </w:style>
  <w:style w:type="paragraph" w:customStyle="1" w:styleId="Default">
    <w:name w:val="Default"/>
    <w:rsid w:val="00EF0E62"/>
    <w:pPr>
      <w:autoSpaceDE w:val="0"/>
      <w:autoSpaceDN w:val="0"/>
      <w:adjustRightInd w:val="0"/>
    </w:pPr>
    <w:rPr>
      <w:rFonts w:ascii="Calibri" w:eastAsia="MS Mincho" w:hAnsi="Calibri" w:cs="Calibri"/>
      <w:color w:val="000000"/>
      <w:lang w:val="en-US"/>
    </w:rPr>
  </w:style>
  <w:style w:type="paragraph" w:styleId="Header">
    <w:name w:val="header"/>
    <w:basedOn w:val="Normal"/>
    <w:link w:val="HeaderChar"/>
    <w:uiPriority w:val="99"/>
    <w:unhideWhenUsed/>
    <w:rsid w:val="00EF0E62"/>
    <w:pPr>
      <w:tabs>
        <w:tab w:val="center" w:pos="4680"/>
        <w:tab w:val="right" w:pos="9360"/>
      </w:tabs>
      <w:spacing w:after="0" w:line="240" w:lineRule="auto"/>
    </w:pPr>
    <w:rPr>
      <w:rFonts w:ascii="Cambria" w:eastAsia="Cambria" w:hAnsi="Cambria"/>
    </w:rPr>
  </w:style>
  <w:style w:type="character" w:customStyle="1" w:styleId="HeaderChar">
    <w:name w:val="Header Char"/>
    <w:basedOn w:val="DefaultParagraphFont"/>
    <w:link w:val="Header"/>
    <w:uiPriority w:val="99"/>
    <w:rsid w:val="00EF0E62"/>
    <w:rPr>
      <w:rFonts w:ascii="Cambria" w:eastAsia="Cambria" w:hAnsi="Cambria" w:cs="Times New Roman"/>
      <w:sz w:val="22"/>
      <w:szCs w:val="22"/>
      <w:lang w:val="en-US" w:eastAsia="en-US"/>
    </w:rPr>
  </w:style>
  <w:style w:type="paragraph" w:styleId="Footer">
    <w:name w:val="footer"/>
    <w:basedOn w:val="Normal"/>
    <w:link w:val="FooterChar"/>
    <w:uiPriority w:val="99"/>
    <w:unhideWhenUsed/>
    <w:rsid w:val="00EF0E62"/>
    <w:pPr>
      <w:tabs>
        <w:tab w:val="center" w:pos="4680"/>
        <w:tab w:val="right" w:pos="9360"/>
      </w:tabs>
      <w:spacing w:after="0" w:line="240" w:lineRule="auto"/>
    </w:pPr>
    <w:rPr>
      <w:rFonts w:ascii="Cambria" w:eastAsia="Cambria" w:hAnsi="Cambria"/>
    </w:rPr>
  </w:style>
  <w:style w:type="character" w:customStyle="1" w:styleId="FooterChar">
    <w:name w:val="Footer Char"/>
    <w:basedOn w:val="DefaultParagraphFont"/>
    <w:link w:val="Footer"/>
    <w:uiPriority w:val="99"/>
    <w:rsid w:val="00EF0E62"/>
    <w:rPr>
      <w:rFonts w:ascii="Cambria" w:eastAsia="Cambria" w:hAnsi="Cambria" w:cs="Times New Roman"/>
      <w:sz w:val="22"/>
      <w:szCs w:val="22"/>
      <w:lang w:val="en-US" w:eastAsia="en-US"/>
    </w:rPr>
  </w:style>
  <w:style w:type="character" w:styleId="Hyperlink">
    <w:name w:val="Hyperlink"/>
    <w:uiPriority w:val="99"/>
    <w:unhideWhenUsed/>
    <w:rsid w:val="00EF0E62"/>
    <w:rPr>
      <w:color w:val="0000FF"/>
      <w:u w:val="single"/>
    </w:rPr>
  </w:style>
  <w:style w:type="character" w:customStyle="1" w:styleId="reference-text">
    <w:name w:val="reference-text"/>
    <w:rsid w:val="00EF0E62"/>
  </w:style>
  <w:style w:type="character" w:styleId="HTMLCite">
    <w:name w:val="HTML Cite"/>
    <w:uiPriority w:val="99"/>
    <w:semiHidden/>
    <w:unhideWhenUsed/>
    <w:rsid w:val="00EF0E62"/>
    <w:rPr>
      <w:i/>
      <w:iCs/>
    </w:rPr>
  </w:style>
  <w:style w:type="character" w:customStyle="1" w:styleId="reference-accessdate">
    <w:name w:val="reference-accessdate"/>
    <w:rsid w:val="00EF0E62"/>
  </w:style>
  <w:style w:type="character" w:styleId="CommentReference">
    <w:name w:val="annotation reference"/>
    <w:uiPriority w:val="99"/>
    <w:semiHidden/>
    <w:unhideWhenUsed/>
    <w:rsid w:val="00EF0E62"/>
    <w:rPr>
      <w:sz w:val="18"/>
      <w:szCs w:val="18"/>
    </w:rPr>
  </w:style>
  <w:style w:type="paragraph" w:styleId="CommentText">
    <w:name w:val="annotation text"/>
    <w:basedOn w:val="Normal"/>
    <w:link w:val="CommentTextChar"/>
    <w:unhideWhenUsed/>
    <w:rsid w:val="00EF0E62"/>
    <w:pPr>
      <w:spacing w:line="240" w:lineRule="auto"/>
    </w:pPr>
    <w:rPr>
      <w:rFonts w:ascii="Cambria" w:eastAsia="Cambria" w:hAnsi="Cambria"/>
      <w:sz w:val="24"/>
      <w:szCs w:val="24"/>
    </w:rPr>
  </w:style>
  <w:style w:type="character" w:customStyle="1" w:styleId="CommentTextChar">
    <w:name w:val="Comment Text Char"/>
    <w:basedOn w:val="DefaultParagraphFont"/>
    <w:link w:val="CommentText"/>
    <w:rsid w:val="00EF0E62"/>
    <w:rPr>
      <w:rFonts w:ascii="Cambria" w:eastAsia="Cambria" w:hAnsi="Cambria" w:cs="Times New Roman"/>
      <w:lang w:val="en-US" w:eastAsia="en-US"/>
    </w:rPr>
  </w:style>
  <w:style w:type="paragraph" w:styleId="NoSpacing">
    <w:name w:val="No Spacing"/>
    <w:uiPriority w:val="1"/>
    <w:qFormat/>
    <w:rsid w:val="00EF0E62"/>
    <w:rPr>
      <w:rFonts w:ascii="Calibri" w:eastAsia="Calibri" w:hAnsi="Calibri" w:cs="Times New Roman"/>
      <w:sz w:val="22"/>
      <w:szCs w:val="22"/>
      <w:lang w:val="en-US" w:eastAsia="en-US"/>
    </w:rPr>
  </w:style>
  <w:style w:type="paragraph" w:styleId="CommentSubject">
    <w:name w:val="annotation subject"/>
    <w:basedOn w:val="CommentText"/>
    <w:next w:val="CommentText"/>
    <w:link w:val="CommentSubjectChar"/>
    <w:uiPriority w:val="99"/>
    <w:semiHidden/>
    <w:unhideWhenUsed/>
    <w:rsid w:val="00EF0E62"/>
    <w:rPr>
      <w:b/>
      <w:bCs/>
      <w:sz w:val="20"/>
      <w:szCs w:val="20"/>
    </w:rPr>
  </w:style>
  <w:style w:type="character" w:customStyle="1" w:styleId="CommentSubjectChar">
    <w:name w:val="Comment Subject Char"/>
    <w:basedOn w:val="CommentTextChar"/>
    <w:link w:val="CommentSubject"/>
    <w:uiPriority w:val="99"/>
    <w:semiHidden/>
    <w:rsid w:val="00EF0E62"/>
    <w:rPr>
      <w:rFonts w:ascii="Cambria" w:eastAsia="Cambria" w:hAnsi="Cambria" w:cs="Times New Roman"/>
      <w:b/>
      <w:bCs/>
      <w:sz w:val="20"/>
      <w:szCs w:val="20"/>
      <w:lang w:val="en-US" w:eastAsia="en-US"/>
    </w:rPr>
  </w:style>
  <w:style w:type="character" w:customStyle="1" w:styleId="nowrap">
    <w:name w:val="nowrap"/>
    <w:rsid w:val="00EF0E62"/>
  </w:style>
  <w:style w:type="character" w:customStyle="1" w:styleId="hps">
    <w:name w:val="hps"/>
    <w:rsid w:val="00EF0E62"/>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EF0E62"/>
    <w:pPr>
      <w:spacing w:before="200" w:after="160" w:line="240" w:lineRule="exact"/>
    </w:pPr>
    <w:rPr>
      <w:rFonts w:asciiTheme="minorHAnsi" w:eastAsiaTheme="minorEastAsia" w:hAnsiTheme="minorHAnsi" w:cstheme="minorBidi"/>
      <w:sz w:val="24"/>
      <w:szCs w:val="24"/>
      <w:vertAlign w:val="superscript"/>
      <w:lang w:val="es-ES_tradnl" w:eastAsia="es-ES"/>
    </w:rPr>
  </w:style>
  <w:style w:type="character" w:styleId="FollowedHyperlink">
    <w:name w:val="FollowedHyperlink"/>
    <w:uiPriority w:val="99"/>
    <w:semiHidden/>
    <w:unhideWhenUsed/>
    <w:rsid w:val="00EF0E62"/>
    <w:rPr>
      <w:color w:val="800080"/>
      <w:u w:val="single"/>
    </w:rPr>
  </w:style>
  <w:style w:type="character" w:customStyle="1" w:styleId="nowrap1">
    <w:name w:val="nowrap1"/>
    <w:rsid w:val="00EF0E62"/>
  </w:style>
  <w:style w:type="character" w:styleId="Strong">
    <w:name w:val="Strong"/>
    <w:qFormat/>
    <w:rsid w:val="00EF0E62"/>
    <w:rPr>
      <w:b/>
      <w:bCs/>
    </w:rPr>
  </w:style>
  <w:style w:type="character" w:styleId="Emphasis">
    <w:name w:val="Emphasis"/>
    <w:uiPriority w:val="20"/>
    <w:qFormat/>
    <w:rsid w:val="00EF0E62"/>
    <w:rPr>
      <w:i/>
      <w:iCs/>
    </w:rPr>
  </w:style>
  <w:style w:type="character" w:customStyle="1" w:styleId="A5">
    <w:name w:val="A5"/>
    <w:uiPriority w:val="99"/>
    <w:rsid w:val="00EF0E62"/>
    <w:rPr>
      <w:rFonts w:cs="TradeGothic"/>
      <w:color w:val="000000"/>
      <w:sz w:val="22"/>
      <w:szCs w:val="22"/>
    </w:rPr>
  </w:style>
  <w:style w:type="character" w:customStyle="1" w:styleId="A6">
    <w:name w:val="A6"/>
    <w:uiPriority w:val="99"/>
    <w:rsid w:val="00EF0E62"/>
    <w:rPr>
      <w:rFonts w:cs="TradeGothic"/>
      <w:b/>
      <w:bCs/>
      <w:color w:val="000000"/>
      <w:sz w:val="12"/>
      <w:szCs w:val="12"/>
    </w:rPr>
  </w:style>
  <w:style w:type="paragraph" w:customStyle="1" w:styleId="Pa11">
    <w:name w:val="Pa1+1"/>
    <w:basedOn w:val="Default"/>
    <w:next w:val="Default"/>
    <w:uiPriority w:val="99"/>
    <w:rsid w:val="00EF0E62"/>
    <w:pPr>
      <w:spacing w:line="241" w:lineRule="atLeast"/>
    </w:pPr>
    <w:rPr>
      <w:rFonts w:ascii="TradeGothic Light" w:eastAsia="Calibri" w:hAnsi="TradeGothic Light" w:cs="Times New Roman"/>
      <w:color w:val="auto"/>
      <w:lang w:eastAsia="en-US"/>
    </w:rPr>
  </w:style>
  <w:style w:type="character" w:customStyle="1" w:styleId="A41">
    <w:name w:val="A4+1"/>
    <w:uiPriority w:val="99"/>
    <w:rsid w:val="00EF0E62"/>
    <w:rPr>
      <w:rFonts w:cs="TradeGothic Light"/>
      <w:b/>
      <w:bCs/>
      <w:color w:val="000000"/>
      <w:sz w:val="22"/>
      <w:szCs w:val="22"/>
    </w:rPr>
  </w:style>
  <w:style w:type="paragraph" w:customStyle="1" w:styleId="Pa21">
    <w:name w:val="Pa2+1"/>
    <w:basedOn w:val="Default"/>
    <w:next w:val="Default"/>
    <w:uiPriority w:val="99"/>
    <w:rsid w:val="00EF0E62"/>
    <w:pPr>
      <w:spacing w:line="241" w:lineRule="atLeast"/>
    </w:pPr>
    <w:rPr>
      <w:rFonts w:ascii="TradeGothic Light" w:eastAsia="Calibri" w:hAnsi="TradeGothic Light" w:cs="Times New Roman"/>
      <w:color w:val="auto"/>
      <w:lang w:eastAsia="en-US"/>
    </w:rPr>
  </w:style>
  <w:style w:type="paragraph" w:customStyle="1" w:styleId="Pa31">
    <w:name w:val="Pa3+1"/>
    <w:basedOn w:val="Default"/>
    <w:next w:val="Default"/>
    <w:uiPriority w:val="99"/>
    <w:rsid w:val="00EF0E62"/>
    <w:pPr>
      <w:spacing w:line="241" w:lineRule="atLeast"/>
    </w:pPr>
    <w:rPr>
      <w:rFonts w:ascii="TradeGothic Light" w:eastAsia="Calibri" w:hAnsi="TradeGothic Light" w:cs="Times New Roman"/>
      <w:color w:val="auto"/>
      <w:lang w:eastAsia="en-US"/>
    </w:rPr>
  </w:style>
  <w:style w:type="paragraph" w:customStyle="1" w:styleId="Pa71">
    <w:name w:val="Pa7+1"/>
    <w:basedOn w:val="Default"/>
    <w:next w:val="Default"/>
    <w:uiPriority w:val="99"/>
    <w:rsid w:val="00EF0E62"/>
    <w:pPr>
      <w:spacing w:line="241" w:lineRule="atLeast"/>
    </w:pPr>
    <w:rPr>
      <w:rFonts w:ascii="TradeGothic Light" w:eastAsia="Calibri" w:hAnsi="TradeGothic Light" w:cs="Times New Roman"/>
      <w:color w:val="auto"/>
      <w:lang w:eastAsia="en-US"/>
    </w:rPr>
  </w:style>
  <w:style w:type="character" w:customStyle="1" w:styleId="ListParagraphChar">
    <w:name w:val="List Paragraph Char"/>
    <w:link w:val="ListParagraph"/>
    <w:uiPriority w:val="34"/>
    <w:locked/>
    <w:rsid w:val="00EF0E62"/>
    <w:rPr>
      <w:rFonts w:ascii="Cambria" w:eastAsia="Cambria" w:hAnsi="Cambria" w:cs="Times New Roman"/>
      <w:sz w:val="22"/>
      <w:szCs w:val="22"/>
      <w:lang w:val="en-US" w:eastAsia="en-US"/>
    </w:rPr>
  </w:style>
  <w:style w:type="paragraph" w:styleId="List">
    <w:name w:val="List"/>
    <w:basedOn w:val="Normal"/>
    <w:uiPriority w:val="99"/>
    <w:unhideWhenUsed/>
    <w:rsid w:val="00EF0E62"/>
    <w:pPr>
      <w:ind w:left="360" w:hanging="360"/>
      <w:contextualSpacing/>
    </w:pPr>
    <w:rPr>
      <w:rFonts w:eastAsia="MS Mincho"/>
    </w:rPr>
  </w:style>
  <w:style w:type="paragraph" w:customStyle="1" w:styleId="SingleTxtG">
    <w:name w:val="_ Single Txt_G"/>
    <w:basedOn w:val="Normal"/>
    <w:link w:val="SingleTxtGChar"/>
    <w:rsid w:val="00EF0E62"/>
    <w:pPr>
      <w:spacing w:after="120" w:line="240" w:lineRule="atLeast"/>
      <w:ind w:left="1134" w:right="1134"/>
      <w:jc w:val="both"/>
    </w:pPr>
    <w:rPr>
      <w:rFonts w:ascii="Times New Roman" w:eastAsia="Times New Roman" w:hAnsi="Times New Roman"/>
      <w:sz w:val="20"/>
      <w:szCs w:val="20"/>
      <w:lang w:val="es-ES" w:eastAsia="es-ES"/>
    </w:rPr>
  </w:style>
  <w:style w:type="character" w:customStyle="1" w:styleId="atn">
    <w:name w:val="atn"/>
    <w:basedOn w:val="DefaultParagraphFont"/>
    <w:rsid w:val="007E1595"/>
  </w:style>
  <w:style w:type="paragraph" w:customStyle="1" w:styleId="Body">
    <w:name w:val="Body"/>
    <w:uiPriority w:val="99"/>
    <w:rsid w:val="00B43A5E"/>
    <w:pPr>
      <w:spacing w:after="200" w:line="276" w:lineRule="auto"/>
    </w:pPr>
    <w:rPr>
      <w:rFonts w:ascii="Calibri" w:eastAsia="Arial Unicode MS" w:hAnsi="Calibri" w:cs="Calibri"/>
      <w:color w:val="000000"/>
      <w:sz w:val="22"/>
      <w:szCs w:val="22"/>
      <w:u w:color="000000"/>
      <w:lang w:val="en-US" w:eastAsia="en-US"/>
    </w:rPr>
  </w:style>
  <w:style w:type="paragraph" w:customStyle="1" w:styleId="Normal1">
    <w:name w:val="Normal1"/>
    <w:rsid w:val="00217857"/>
    <w:pPr>
      <w:spacing w:line="276" w:lineRule="auto"/>
    </w:pPr>
    <w:rPr>
      <w:rFonts w:ascii="Arial" w:eastAsia="Arial" w:hAnsi="Arial" w:cs="Arial"/>
      <w:color w:val="000000"/>
      <w:sz w:val="22"/>
      <w:szCs w:val="22"/>
      <w:lang w:val="en-US" w:eastAsia="en-US"/>
    </w:rPr>
  </w:style>
  <w:style w:type="paragraph" w:styleId="TOCHeading">
    <w:name w:val="TOC Heading"/>
    <w:basedOn w:val="Heading1"/>
    <w:next w:val="Normal"/>
    <w:uiPriority w:val="39"/>
    <w:unhideWhenUsed/>
    <w:qFormat/>
    <w:rsid w:val="00AF6F7D"/>
    <w:pPr>
      <w:keepLines/>
      <w:spacing w:after="0" w:line="259" w:lineRule="auto"/>
      <w:outlineLvl w:val="9"/>
    </w:pPr>
    <w:rPr>
      <w:rFonts w:asciiTheme="majorHAnsi" w:eastAsiaTheme="majorEastAsia" w:hAnsiTheme="majorHAnsi" w:cstheme="majorBidi"/>
      <w:b w:val="0"/>
      <w:bCs w:val="0"/>
      <w:color w:val="122030" w:themeColor="accent1" w:themeShade="40"/>
      <w:kern w:val="0"/>
    </w:rPr>
  </w:style>
  <w:style w:type="paragraph" w:styleId="TOC2">
    <w:name w:val="toc 2"/>
    <w:basedOn w:val="Normal"/>
    <w:next w:val="Normal"/>
    <w:autoRedefine/>
    <w:uiPriority w:val="39"/>
    <w:unhideWhenUsed/>
    <w:rsid w:val="004F79A3"/>
    <w:pPr>
      <w:tabs>
        <w:tab w:val="left" w:pos="660"/>
        <w:tab w:val="right" w:pos="7560"/>
        <w:tab w:val="right" w:pos="9350"/>
      </w:tabs>
      <w:spacing w:line="20" w:lineRule="atLeast"/>
      <w:ind w:left="360" w:hanging="360"/>
    </w:pPr>
    <w:rPr>
      <w:rFonts w:asciiTheme="minorHAnsi" w:eastAsiaTheme="minorEastAsia" w:hAnsiTheme="minorHAnsi"/>
      <w:i/>
      <w:noProof/>
    </w:rPr>
  </w:style>
  <w:style w:type="paragraph" w:styleId="TOC1">
    <w:name w:val="toc 1"/>
    <w:basedOn w:val="Normal"/>
    <w:next w:val="Normal"/>
    <w:autoRedefine/>
    <w:uiPriority w:val="39"/>
    <w:unhideWhenUsed/>
    <w:rsid w:val="00141874"/>
    <w:pPr>
      <w:pBdr>
        <w:bottom w:val="single" w:sz="4" w:space="1" w:color="auto"/>
      </w:pBdr>
      <w:tabs>
        <w:tab w:val="left" w:pos="1440"/>
        <w:tab w:val="right" w:pos="7560"/>
        <w:tab w:val="right" w:pos="9350"/>
      </w:tabs>
      <w:spacing w:before="120" w:after="240"/>
      <w:ind w:left="1440" w:hanging="1440"/>
    </w:pPr>
    <w:rPr>
      <w:rFonts w:asciiTheme="minorHAnsi" w:eastAsiaTheme="minorEastAsia" w:hAnsiTheme="minorHAnsi"/>
      <w:sz w:val="20"/>
      <w:szCs w:val="20"/>
      <w:lang w:val="en-GB"/>
    </w:rPr>
  </w:style>
  <w:style w:type="paragraph" w:styleId="TOC3">
    <w:name w:val="toc 3"/>
    <w:basedOn w:val="Normal"/>
    <w:next w:val="Normal"/>
    <w:autoRedefine/>
    <w:uiPriority w:val="39"/>
    <w:unhideWhenUsed/>
    <w:rsid w:val="00C544C3"/>
    <w:pPr>
      <w:tabs>
        <w:tab w:val="left" w:pos="720"/>
        <w:tab w:val="right" w:pos="9350"/>
      </w:tabs>
      <w:spacing w:line="20" w:lineRule="atLeast"/>
      <w:ind w:firstLine="216"/>
      <w:contextualSpacing/>
    </w:pPr>
    <w:rPr>
      <w:rFonts w:asciiTheme="minorHAnsi" w:eastAsiaTheme="minorEastAsia" w:hAnsiTheme="minorHAnsi"/>
    </w:rPr>
  </w:style>
  <w:style w:type="paragraph" w:styleId="Title">
    <w:name w:val="Title"/>
    <w:basedOn w:val="Normal"/>
    <w:link w:val="TitleChar"/>
    <w:uiPriority w:val="10"/>
    <w:qFormat/>
    <w:rsid w:val="00EE0FC6"/>
    <w:pPr>
      <w:spacing w:before="100" w:beforeAutospacing="1" w:after="100" w:afterAutospacing="1" w:line="240" w:lineRule="auto"/>
    </w:pPr>
    <w:rPr>
      <w:rFonts w:ascii="Times New Roman" w:eastAsia="Times New Roman" w:hAnsi="Times New Roman"/>
      <w:sz w:val="24"/>
      <w:szCs w:val="24"/>
    </w:rPr>
  </w:style>
  <w:style w:type="character" w:customStyle="1" w:styleId="TitleChar">
    <w:name w:val="Title Char"/>
    <w:basedOn w:val="DefaultParagraphFont"/>
    <w:link w:val="Title"/>
    <w:uiPriority w:val="10"/>
    <w:rsid w:val="00EE0FC6"/>
    <w:rPr>
      <w:rFonts w:ascii="Times New Roman" w:eastAsia="Times New Roman" w:hAnsi="Times New Roman" w:cs="Times New Roman"/>
      <w:lang w:val="en-US" w:eastAsia="en-US"/>
    </w:rPr>
  </w:style>
  <w:style w:type="character" w:customStyle="1" w:styleId="Heading2Char">
    <w:name w:val="Heading 2 Char"/>
    <w:basedOn w:val="DefaultParagraphFont"/>
    <w:link w:val="Heading2"/>
    <w:uiPriority w:val="9"/>
    <w:rsid w:val="00EE32CD"/>
    <w:rPr>
      <w:rFonts w:eastAsiaTheme="majorEastAsia" w:cstheme="majorBidi"/>
      <w:b/>
      <w:i/>
      <w:sz w:val="28"/>
      <w:szCs w:val="22"/>
      <w:lang w:val="en-US" w:eastAsia="en-US"/>
    </w:rPr>
  </w:style>
  <w:style w:type="paragraph" w:styleId="EndnoteText">
    <w:name w:val="endnote text"/>
    <w:basedOn w:val="Normal"/>
    <w:link w:val="EndnoteTextChar"/>
    <w:uiPriority w:val="99"/>
    <w:semiHidden/>
    <w:unhideWhenUsed/>
    <w:rsid w:val="00D641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41EB"/>
    <w:rPr>
      <w:rFonts w:ascii="Calibri" w:eastAsia="Calibri" w:hAnsi="Calibri" w:cs="Times New Roman"/>
      <w:sz w:val="20"/>
      <w:szCs w:val="20"/>
      <w:lang w:val="en-US" w:eastAsia="en-US"/>
    </w:rPr>
  </w:style>
  <w:style w:type="character" w:styleId="EndnoteReference">
    <w:name w:val="endnote reference"/>
    <w:basedOn w:val="DefaultParagraphFont"/>
    <w:uiPriority w:val="99"/>
    <w:semiHidden/>
    <w:unhideWhenUsed/>
    <w:rsid w:val="00D641EB"/>
    <w:rPr>
      <w:vertAlign w:val="superscript"/>
    </w:rPr>
  </w:style>
  <w:style w:type="paragraph" w:styleId="HTMLPreformatted">
    <w:name w:val="HTML Preformatted"/>
    <w:basedOn w:val="Normal"/>
    <w:link w:val="HTMLPreformattedChar"/>
    <w:uiPriority w:val="99"/>
    <w:unhideWhenUsed/>
    <w:rsid w:val="00AE132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E1328"/>
    <w:rPr>
      <w:rFonts w:ascii="Consolas" w:eastAsia="Calibri" w:hAnsi="Consolas" w:cs="Times New Roman"/>
      <w:sz w:val="20"/>
      <w:szCs w:val="20"/>
      <w:lang w:val="en-US" w:eastAsia="en-US"/>
    </w:rPr>
  </w:style>
  <w:style w:type="character" w:customStyle="1" w:styleId="Heading4Char">
    <w:name w:val="Heading 4 Char"/>
    <w:basedOn w:val="DefaultParagraphFont"/>
    <w:link w:val="Heading4"/>
    <w:uiPriority w:val="9"/>
    <w:rsid w:val="001D6074"/>
    <w:rPr>
      <w:rFonts w:eastAsiaTheme="majorEastAsia" w:cstheme="majorBidi"/>
      <w:b/>
      <w:iCs/>
      <w:szCs w:val="20"/>
      <w:lang w:val="en-US" w:eastAsia="en-US"/>
    </w:rPr>
  </w:style>
  <w:style w:type="character" w:customStyle="1" w:styleId="contenttext">
    <w:name w:val="contenttext"/>
    <w:basedOn w:val="DefaultParagraphFont"/>
    <w:rsid w:val="0037593F"/>
  </w:style>
  <w:style w:type="character" w:customStyle="1" w:styleId="SingleTxtGChar">
    <w:name w:val="_ Single Txt_G Char"/>
    <w:link w:val="SingleTxtG"/>
    <w:rsid w:val="00DE6555"/>
    <w:rPr>
      <w:rFonts w:ascii="Times New Roman" w:eastAsia="Times New Roman" w:hAnsi="Times New Roman" w:cs="Times New Roman"/>
      <w:sz w:val="20"/>
      <w:szCs w:val="20"/>
      <w:lang w:val="es-ES"/>
    </w:rPr>
  </w:style>
  <w:style w:type="character" w:styleId="HTMLTypewriter">
    <w:name w:val="HTML Typewriter"/>
    <w:basedOn w:val="DefaultParagraphFont"/>
    <w:rsid w:val="008E1C06"/>
    <w:rPr>
      <w:rFonts w:ascii="Courier New" w:eastAsia="Times New Roman" w:hAnsi="Courier New" w:cs="Courier New"/>
      <w:sz w:val="20"/>
      <w:szCs w:val="20"/>
    </w:rPr>
  </w:style>
  <w:style w:type="paragraph" w:styleId="Revision">
    <w:name w:val="Revision"/>
    <w:hidden/>
    <w:uiPriority w:val="99"/>
    <w:semiHidden/>
    <w:rsid w:val="00033D09"/>
    <w:rPr>
      <w:rFonts w:ascii="Calibri" w:eastAsia="Calibri" w:hAnsi="Calibri" w:cs="Times New Roman"/>
      <w:sz w:val="22"/>
      <w:szCs w:val="22"/>
      <w:lang w:val="en-US" w:eastAsia="en-US"/>
    </w:rPr>
  </w:style>
  <w:style w:type="character" w:styleId="PageNumber">
    <w:name w:val="page number"/>
    <w:basedOn w:val="DefaultParagraphFont"/>
    <w:uiPriority w:val="99"/>
    <w:semiHidden/>
    <w:unhideWhenUsed/>
    <w:rsid w:val="00AF6E84"/>
  </w:style>
  <w:style w:type="character" w:customStyle="1" w:styleId="UnresolvedMention1">
    <w:name w:val="Unresolved Mention1"/>
    <w:basedOn w:val="DefaultParagraphFont"/>
    <w:uiPriority w:val="99"/>
    <w:semiHidden/>
    <w:unhideWhenUsed/>
    <w:rsid w:val="006D2D50"/>
    <w:rPr>
      <w:color w:val="808080"/>
      <w:shd w:val="clear" w:color="auto" w:fill="E6E6E6"/>
    </w:rPr>
  </w:style>
  <w:style w:type="paragraph" w:styleId="TOC4">
    <w:name w:val="toc 4"/>
    <w:basedOn w:val="Normal"/>
    <w:next w:val="Normal"/>
    <w:autoRedefine/>
    <w:uiPriority w:val="39"/>
    <w:unhideWhenUsed/>
    <w:rsid w:val="00A13770"/>
    <w:pPr>
      <w:spacing w:after="100"/>
      <w:ind w:left="660"/>
    </w:pPr>
  </w:style>
  <w:style w:type="character" w:customStyle="1" w:styleId="UnresolvedMention2">
    <w:name w:val="Unresolved Mention2"/>
    <w:basedOn w:val="DefaultParagraphFont"/>
    <w:uiPriority w:val="99"/>
    <w:semiHidden/>
    <w:unhideWhenUsed/>
    <w:rsid w:val="002F3F29"/>
    <w:rPr>
      <w:color w:val="808080"/>
      <w:shd w:val="clear" w:color="auto" w:fill="E6E6E6"/>
    </w:rPr>
  </w:style>
  <w:style w:type="character" w:customStyle="1" w:styleId="UnresolvedMention3">
    <w:name w:val="Unresolved Mention3"/>
    <w:basedOn w:val="DefaultParagraphFont"/>
    <w:uiPriority w:val="99"/>
    <w:semiHidden/>
    <w:unhideWhenUsed/>
    <w:rsid w:val="007E67C4"/>
    <w:rPr>
      <w:color w:val="808080"/>
      <w:shd w:val="clear" w:color="auto" w:fill="E6E6E6"/>
    </w:rPr>
  </w:style>
  <w:style w:type="character" w:customStyle="1" w:styleId="UnresolvedMention4">
    <w:name w:val="Unresolved Mention4"/>
    <w:basedOn w:val="DefaultParagraphFont"/>
    <w:uiPriority w:val="99"/>
    <w:semiHidden/>
    <w:unhideWhenUsed/>
    <w:rsid w:val="00E53CBE"/>
    <w:rPr>
      <w:color w:val="808080"/>
      <w:shd w:val="clear" w:color="auto" w:fill="E6E6E6"/>
    </w:rPr>
  </w:style>
  <w:style w:type="character" w:customStyle="1" w:styleId="UnresolvedMention5">
    <w:name w:val="Unresolved Mention5"/>
    <w:basedOn w:val="DefaultParagraphFont"/>
    <w:uiPriority w:val="99"/>
    <w:semiHidden/>
    <w:unhideWhenUsed/>
    <w:rsid w:val="007F08C2"/>
    <w:rPr>
      <w:color w:val="808080"/>
      <w:shd w:val="clear" w:color="auto" w:fill="E6E6E6"/>
    </w:rPr>
  </w:style>
  <w:style w:type="character" w:customStyle="1" w:styleId="UnresolvedMention6">
    <w:name w:val="Unresolved Mention6"/>
    <w:basedOn w:val="DefaultParagraphFont"/>
    <w:uiPriority w:val="99"/>
    <w:semiHidden/>
    <w:unhideWhenUsed/>
    <w:rsid w:val="00B85243"/>
    <w:rPr>
      <w:color w:val="808080"/>
      <w:shd w:val="clear" w:color="auto" w:fill="E6E6E6"/>
    </w:rPr>
  </w:style>
  <w:style w:type="character" w:customStyle="1" w:styleId="UnresolvedMention7">
    <w:name w:val="Unresolved Mention7"/>
    <w:basedOn w:val="DefaultParagraphFont"/>
    <w:uiPriority w:val="99"/>
    <w:semiHidden/>
    <w:unhideWhenUsed/>
    <w:rsid w:val="00704151"/>
    <w:rPr>
      <w:color w:val="808080"/>
      <w:shd w:val="clear" w:color="auto" w:fill="E6E6E6"/>
    </w:rPr>
  </w:style>
  <w:style w:type="character" w:customStyle="1" w:styleId="Heading8Char">
    <w:name w:val="Heading 8 Char"/>
    <w:basedOn w:val="DefaultParagraphFont"/>
    <w:link w:val="Heading8"/>
    <w:rsid w:val="00091638"/>
    <w:rPr>
      <w:rFonts w:asciiTheme="majorHAnsi" w:eastAsiaTheme="majorEastAsia" w:hAnsiTheme="majorHAnsi" w:cstheme="majorBidi"/>
      <w:color w:val="404040" w:themeColor="text1" w:themeTint="BF"/>
      <w:sz w:val="20"/>
      <w:szCs w:val="20"/>
      <w:lang w:val="en-US" w:eastAsia="en-US"/>
    </w:rPr>
  </w:style>
  <w:style w:type="character" w:customStyle="1" w:styleId="UnresolvedMention8">
    <w:name w:val="Unresolved Mention8"/>
    <w:basedOn w:val="DefaultParagraphFont"/>
    <w:uiPriority w:val="99"/>
    <w:semiHidden/>
    <w:unhideWhenUsed/>
    <w:rsid w:val="009F40FB"/>
    <w:rPr>
      <w:color w:val="808080"/>
      <w:shd w:val="clear" w:color="auto" w:fill="E6E6E6"/>
    </w:rPr>
  </w:style>
  <w:style w:type="character" w:customStyle="1" w:styleId="Hyperlink6">
    <w:name w:val="Hyperlink.6"/>
    <w:basedOn w:val="DefaultParagraphFont"/>
    <w:rsid w:val="000C369C"/>
    <w:rPr>
      <w:rFonts w:ascii="Cambria" w:eastAsia="Cambria" w:hAnsi="Cambria" w:cs="Cambria"/>
      <w:i/>
      <w:iCs/>
      <w:color w:val="0000FF"/>
      <w:sz w:val="16"/>
      <w:szCs w:val="16"/>
      <w:u w:val="single" w:color="0000FF"/>
    </w:rPr>
  </w:style>
  <w:style w:type="paragraph" w:customStyle="1" w:styleId="Footnotes">
    <w:name w:val="Footnotes"/>
    <w:basedOn w:val="FootnoteText"/>
    <w:qFormat/>
    <w:rsid w:val="00641F9C"/>
    <w:pPr>
      <w:spacing w:after="120"/>
      <w:ind w:firstLine="720"/>
      <w:jc w:val="both"/>
    </w:pPr>
    <w:rPr>
      <w:rFonts w:eastAsia="Calibri"/>
      <w:sz w:val="18"/>
      <w:szCs w:val="18"/>
      <w:u w:color="000000"/>
    </w:rPr>
  </w:style>
  <w:style w:type="table" w:styleId="TableGrid">
    <w:name w:val="Table Grid"/>
    <w:basedOn w:val="TableNormal"/>
    <w:uiPriority w:val="99"/>
    <w:rsid w:val="00E0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1">
    <w:name w:val="CAP 1"/>
    <w:basedOn w:val="Heading1"/>
    <w:link w:val="CAP1Char"/>
    <w:qFormat/>
    <w:rsid w:val="00A0401B"/>
    <w:pPr>
      <w:spacing w:before="0" w:after="0"/>
      <w:jc w:val="center"/>
    </w:pPr>
    <w:rPr>
      <w:b w:val="0"/>
      <w:color w:val="808080" w:themeColor="background1" w:themeShade="80"/>
      <w:sz w:val="44"/>
      <w:szCs w:val="44"/>
    </w:rPr>
  </w:style>
  <w:style w:type="paragraph" w:customStyle="1" w:styleId="CAP2">
    <w:name w:val="CAP 2"/>
    <w:basedOn w:val="Normal"/>
    <w:qFormat/>
    <w:rsid w:val="00A0401B"/>
    <w:pPr>
      <w:jc w:val="center"/>
    </w:pPr>
    <w:rPr>
      <w:rFonts w:asciiTheme="minorHAnsi" w:hAnsiTheme="minorHAnsi"/>
      <w:color w:val="4A442A" w:themeColor="background2" w:themeShade="40"/>
      <w:sz w:val="52"/>
      <w:szCs w:val="52"/>
    </w:rPr>
  </w:style>
  <w:style w:type="character" w:customStyle="1" w:styleId="CAP1Char">
    <w:name w:val="CAP 1 Char"/>
    <w:basedOn w:val="Heading1Char"/>
    <w:link w:val="CAP1"/>
    <w:rsid w:val="00A0401B"/>
    <w:rPr>
      <w:rFonts w:eastAsia="Times New Roman" w:cs="Times New Roman"/>
      <w:b w:val="0"/>
      <w:bCs/>
      <w:color w:val="808080" w:themeColor="background1" w:themeShade="80"/>
      <w:kern w:val="32"/>
      <w:sz w:val="44"/>
      <w:szCs w:val="4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708">
      <w:bodyDiv w:val="1"/>
      <w:marLeft w:val="0"/>
      <w:marRight w:val="0"/>
      <w:marTop w:val="0"/>
      <w:marBottom w:val="0"/>
      <w:divBdr>
        <w:top w:val="none" w:sz="0" w:space="0" w:color="auto"/>
        <w:left w:val="none" w:sz="0" w:space="0" w:color="auto"/>
        <w:bottom w:val="none" w:sz="0" w:space="0" w:color="auto"/>
        <w:right w:val="none" w:sz="0" w:space="0" w:color="auto"/>
      </w:divBdr>
    </w:div>
    <w:div w:id="14037100">
      <w:bodyDiv w:val="1"/>
      <w:marLeft w:val="0"/>
      <w:marRight w:val="0"/>
      <w:marTop w:val="0"/>
      <w:marBottom w:val="0"/>
      <w:divBdr>
        <w:top w:val="none" w:sz="0" w:space="0" w:color="auto"/>
        <w:left w:val="none" w:sz="0" w:space="0" w:color="auto"/>
        <w:bottom w:val="none" w:sz="0" w:space="0" w:color="auto"/>
        <w:right w:val="none" w:sz="0" w:space="0" w:color="auto"/>
      </w:divBdr>
    </w:div>
    <w:div w:id="15692111">
      <w:bodyDiv w:val="1"/>
      <w:marLeft w:val="0"/>
      <w:marRight w:val="0"/>
      <w:marTop w:val="0"/>
      <w:marBottom w:val="0"/>
      <w:divBdr>
        <w:top w:val="none" w:sz="0" w:space="0" w:color="auto"/>
        <w:left w:val="none" w:sz="0" w:space="0" w:color="auto"/>
        <w:bottom w:val="none" w:sz="0" w:space="0" w:color="auto"/>
        <w:right w:val="none" w:sz="0" w:space="0" w:color="auto"/>
      </w:divBdr>
    </w:div>
    <w:div w:id="31347980">
      <w:bodyDiv w:val="1"/>
      <w:marLeft w:val="0"/>
      <w:marRight w:val="0"/>
      <w:marTop w:val="0"/>
      <w:marBottom w:val="0"/>
      <w:divBdr>
        <w:top w:val="none" w:sz="0" w:space="0" w:color="auto"/>
        <w:left w:val="none" w:sz="0" w:space="0" w:color="auto"/>
        <w:bottom w:val="none" w:sz="0" w:space="0" w:color="auto"/>
        <w:right w:val="none" w:sz="0" w:space="0" w:color="auto"/>
      </w:divBdr>
    </w:div>
    <w:div w:id="36049362">
      <w:bodyDiv w:val="1"/>
      <w:marLeft w:val="0"/>
      <w:marRight w:val="0"/>
      <w:marTop w:val="0"/>
      <w:marBottom w:val="0"/>
      <w:divBdr>
        <w:top w:val="none" w:sz="0" w:space="0" w:color="auto"/>
        <w:left w:val="none" w:sz="0" w:space="0" w:color="auto"/>
        <w:bottom w:val="none" w:sz="0" w:space="0" w:color="auto"/>
        <w:right w:val="none" w:sz="0" w:space="0" w:color="auto"/>
      </w:divBdr>
    </w:div>
    <w:div w:id="53821914">
      <w:bodyDiv w:val="1"/>
      <w:marLeft w:val="0"/>
      <w:marRight w:val="0"/>
      <w:marTop w:val="0"/>
      <w:marBottom w:val="0"/>
      <w:divBdr>
        <w:top w:val="none" w:sz="0" w:space="0" w:color="auto"/>
        <w:left w:val="none" w:sz="0" w:space="0" w:color="auto"/>
        <w:bottom w:val="none" w:sz="0" w:space="0" w:color="auto"/>
        <w:right w:val="none" w:sz="0" w:space="0" w:color="auto"/>
      </w:divBdr>
    </w:div>
    <w:div w:id="72513871">
      <w:bodyDiv w:val="1"/>
      <w:marLeft w:val="0"/>
      <w:marRight w:val="0"/>
      <w:marTop w:val="0"/>
      <w:marBottom w:val="0"/>
      <w:divBdr>
        <w:top w:val="none" w:sz="0" w:space="0" w:color="auto"/>
        <w:left w:val="none" w:sz="0" w:space="0" w:color="auto"/>
        <w:bottom w:val="none" w:sz="0" w:space="0" w:color="auto"/>
        <w:right w:val="none" w:sz="0" w:space="0" w:color="auto"/>
      </w:divBdr>
    </w:div>
    <w:div w:id="75590054">
      <w:bodyDiv w:val="1"/>
      <w:marLeft w:val="0"/>
      <w:marRight w:val="0"/>
      <w:marTop w:val="0"/>
      <w:marBottom w:val="0"/>
      <w:divBdr>
        <w:top w:val="none" w:sz="0" w:space="0" w:color="auto"/>
        <w:left w:val="none" w:sz="0" w:space="0" w:color="auto"/>
        <w:bottom w:val="none" w:sz="0" w:space="0" w:color="auto"/>
        <w:right w:val="none" w:sz="0" w:space="0" w:color="auto"/>
      </w:divBdr>
    </w:div>
    <w:div w:id="82724161">
      <w:bodyDiv w:val="1"/>
      <w:marLeft w:val="0"/>
      <w:marRight w:val="0"/>
      <w:marTop w:val="0"/>
      <w:marBottom w:val="0"/>
      <w:divBdr>
        <w:top w:val="none" w:sz="0" w:space="0" w:color="auto"/>
        <w:left w:val="none" w:sz="0" w:space="0" w:color="auto"/>
        <w:bottom w:val="none" w:sz="0" w:space="0" w:color="auto"/>
        <w:right w:val="none" w:sz="0" w:space="0" w:color="auto"/>
      </w:divBdr>
    </w:div>
    <w:div w:id="89278206">
      <w:bodyDiv w:val="1"/>
      <w:marLeft w:val="0"/>
      <w:marRight w:val="0"/>
      <w:marTop w:val="0"/>
      <w:marBottom w:val="0"/>
      <w:divBdr>
        <w:top w:val="none" w:sz="0" w:space="0" w:color="auto"/>
        <w:left w:val="none" w:sz="0" w:space="0" w:color="auto"/>
        <w:bottom w:val="none" w:sz="0" w:space="0" w:color="auto"/>
        <w:right w:val="none" w:sz="0" w:space="0" w:color="auto"/>
      </w:divBdr>
    </w:div>
    <w:div w:id="92291133">
      <w:bodyDiv w:val="1"/>
      <w:marLeft w:val="0"/>
      <w:marRight w:val="0"/>
      <w:marTop w:val="0"/>
      <w:marBottom w:val="0"/>
      <w:divBdr>
        <w:top w:val="none" w:sz="0" w:space="0" w:color="auto"/>
        <w:left w:val="none" w:sz="0" w:space="0" w:color="auto"/>
        <w:bottom w:val="none" w:sz="0" w:space="0" w:color="auto"/>
        <w:right w:val="none" w:sz="0" w:space="0" w:color="auto"/>
      </w:divBdr>
    </w:div>
    <w:div w:id="93981696">
      <w:bodyDiv w:val="1"/>
      <w:marLeft w:val="0"/>
      <w:marRight w:val="0"/>
      <w:marTop w:val="0"/>
      <w:marBottom w:val="0"/>
      <w:divBdr>
        <w:top w:val="none" w:sz="0" w:space="0" w:color="auto"/>
        <w:left w:val="none" w:sz="0" w:space="0" w:color="auto"/>
        <w:bottom w:val="none" w:sz="0" w:space="0" w:color="auto"/>
        <w:right w:val="none" w:sz="0" w:space="0" w:color="auto"/>
      </w:divBdr>
    </w:div>
    <w:div w:id="103769115">
      <w:bodyDiv w:val="1"/>
      <w:marLeft w:val="0"/>
      <w:marRight w:val="0"/>
      <w:marTop w:val="0"/>
      <w:marBottom w:val="0"/>
      <w:divBdr>
        <w:top w:val="none" w:sz="0" w:space="0" w:color="auto"/>
        <w:left w:val="none" w:sz="0" w:space="0" w:color="auto"/>
        <w:bottom w:val="none" w:sz="0" w:space="0" w:color="auto"/>
        <w:right w:val="none" w:sz="0" w:space="0" w:color="auto"/>
      </w:divBdr>
    </w:div>
    <w:div w:id="109908284">
      <w:bodyDiv w:val="1"/>
      <w:marLeft w:val="0"/>
      <w:marRight w:val="0"/>
      <w:marTop w:val="0"/>
      <w:marBottom w:val="0"/>
      <w:divBdr>
        <w:top w:val="none" w:sz="0" w:space="0" w:color="auto"/>
        <w:left w:val="none" w:sz="0" w:space="0" w:color="auto"/>
        <w:bottom w:val="none" w:sz="0" w:space="0" w:color="auto"/>
        <w:right w:val="none" w:sz="0" w:space="0" w:color="auto"/>
      </w:divBdr>
      <w:divsChild>
        <w:div w:id="1536457883">
          <w:marLeft w:val="0"/>
          <w:marRight w:val="0"/>
          <w:marTop w:val="0"/>
          <w:marBottom w:val="0"/>
          <w:divBdr>
            <w:top w:val="none" w:sz="0" w:space="0" w:color="auto"/>
            <w:left w:val="none" w:sz="0" w:space="0" w:color="auto"/>
            <w:bottom w:val="none" w:sz="0" w:space="0" w:color="auto"/>
            <w:right w:val="none" w:sz="0" w:space="0" w:color="auto"/>
          </w:divBdr>
          <w:divsChild>
            <w:div w:id="346635220">
              <w:marLeft w:val="0"/>
              <w:marRight w:val="0"/>
              <w:marTop w:val="120"/>
              <w:marBottom w:val="0"/>
              <w:divBdr>
                <w:top w:val="none" w:sz="0" w:space="0" w:color="auto"/>
                <w:left w:val="none" w:sz="0" w:space="0" w:color="auto"/>
                <w:bottom w:val="single" w:sz="6" w:space="3" w:color="DBDBDB"/>
                <w:right w:val="none" w:sz="0" w:space="0" w:color="auto"/>
              </w:divBdr>
              <w:divsChild>
                <w:div w:id="649678364">
                  <w:marLeft w:val="0"/>
                  <w:marRight w:val="0"/>
                  <w:marTop w:val="0"/>
                  <w:marBottom w:val="0"/>
                  <w:divBdr>
                    <w:top w:val="none" w:sz="0" w:space="0" w:color="auto"/>
                    <w:left w:val="none" w:sz="0" w:space="0" w:color="auto"/>
                    <w:bottom w:val="none" w:sz="0" w:space="0" w:color="auto"/>
                    <w:right w:val="none" w:sz="0" w:space="0" w:color="auto"/>
                  </w:divBdr>
                  <w:divsChild>
                    <w:div w:id="14535938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1638">
      <w:bodyDiv w:val="1"/>
      <w:marLeft w:val="0"/>
      <w:marRight w:val="0"/>
      <w:marTop w:val="0"/>
      <w:marBottom w:val="0"/>
      <w:divBdr>
        <w:top w:val="none" w:sz="0" w:space="0" w:color="auto"/>
        <w:left w:val="none" w:sz="0" w:space="0" w:color="auto"/>
        <w:bottom w:val="none" w:sz="0" w:space="0" w:color="auto"/>
        <w:right w:val="none" w:sz="0" w:space="0" w:color="auto"/>
      </w:divBdr>
    </w:div>
    <w:div w:id="123429606">
      <w:bodyDiv w:val="1"/>
      <w:marLeft w:val="0"/>
      <w:marRight w:val="0"/>
      <w:marTop w:val="0"/>
      <w:marBottom w:val="0"/>
      <w:divBdr>
        <w:top w:val="none" w:sz="0" w:space="0" w:color="auto"/>
        <w:left w:val="none" w:sz="0" w:space="0" w:color="auto"/>
        <w:bottom w:val="none" w:sz="0" w:space="0" w:color="auto"/>
        <w:right w:val="none" w:sz="0" w:space="0" w:color="auto"/>
      </w:divBdr>
    </w:div>
    <w:div w:id="130947544">
      <w:bodyDiv w:val="1"/>
      <w:marLeft w:val="0"/>
      <w:marRight w:val="0"/>
      <w:marTop w:val="0"/>
      <w:marBottom w:val="0"/>
      <w:divBdr>
        <w:top w:val="none" w:sz="0" w:space="0" w:color="auto"/>
        <w:left w:val="none" w:sz="0" w:space="0" w:color="auto"/>
        <w:bottom w:val="none" w:sz="0" w:space="0" w:color="auto"/>
        <w:right w:val="none" w:sz="0" w:space="0" w:color="auto"/>
      </w:divBdr>
    </w:div>
    <w:div w:id="133110857">
      <w:bodyDiv w:val="1"/>
      <w:marLeft w:val="0"/>
      <w:marRight w:val="0"/>
      <w:marTop w:val="0"/>
      <w:marBottom w:val="0"/>
      <w:divBdr>
        <w:top w:val="none" w:sz="0" w:space="0" w:color="auto"/>
        <w:left w:val="none" w:sz="0" w:space="0" w:color="auto"/>
        <w:bottom w:val="none" w:sz="0" w:space="0" w:color="auto"/>
        <w:right w:val="none" w:sz="0" w:space="0" w:color="auto"/>
      </w:divBdr>
    </w:div>
    <w:div w:id="142233574">
      <w:bodyDiv w:val="1"/>
      <w:marLeft w:val="0"/>
      <w:marRight w:val="0"/>
      <w:marTop w:val="0"/>
      <w:marBottom w:val="0"/>
      <w:divBdr>
        <w:top w:val="none" w:sz="0" w:space="0" w:color="auto"/>
        <w:left w:val="none" w:sz="0" w:space="0" w:color="auto"/>
        <w:bottom w:val="none" w:sz="0" w:space="0" w:color="auto"/>
        <w:right w:val="none" w:sz="0" w:space="0" w:color="auto"/>
      </w:divBdr>
    </w:div>
    <w:div w:id="145368127">
      <w:bodyDiv w:val="1"/>
      <w:marLeft w:val="0"/>
      <w:marRight w:val="0"/>
      <w:marTop w:val="0"/>
      <w:marBottom w:val="0"/>
      <w:divBdr>
        <w:top w:val="none" w:sz="0" w:space="0" w:color="auto"/>
        <w:left w:val="none" w:sz="0" w:space="0" w:color="auto"/>
        <w:bottom w:val="none" w:sz="0" w:space="0" w:color="auto"/>
        <w:right w:val="none" w:sz="0" w:space="0" w:color="auto"/>
      </w:divBdr>
    </w:div>
    <w:div w:id="149564376">
      <w:bodyDiv w:val="1"/>
      <w:marLeft w:val="0"/>
      <w:marRight w:val="0"/>
      <w:marTop w:val="0"/>
      <w:marBottom w:val="0"/>
      <w:divBdr>
        <w:top w:val="none" w:sz="0" w:space="0" w:color="auto"/>
        <w:left w:val="none" w:sz="0" w:space="0" w:color="auto"/>
        <w:bottom w:val="none" w:sz="0" w:space="0" w:color="auto"/>
        <w:right w:val="none" w:sz="0" w:space="0" w:color="auto"/>
      </w:divBdr>
    </w:div>
    <w:div w:id="150684037">
      <w:bodyDiv w:val="1"/>
      <w:marLeft w:val="0"/>
      <w:marRight w:val="0"/>
      <w:marTop w:val="0"/>
      <w:marBottom w:val="0"/>
      <w:divBdr>
        <w:top w:val="none" w:sz="0" w:space="0" w:color="auto"/>
        <w:left w:val="none" w:sz="0" w:space="0" w:color="auto"/>
        <w:bottom w:val="none" w:sz="0" w:space="0" w:color="auto"/>
        <w:right w:val="none" w:sz="0" w:space="0" w:color="auto"/>
      </w:divBdr>
    </w:div>
    <w:div w:id="170923803">
      <w:bodyDiv w:val="1"/>
      <w:marLeft w:val="0"/>
      <w:marRight w:val="0"/>
      <w:marTop w:val="0"/>
      <w:marBottom w:val="0"/>
      <w:divBdr>
        <w:top w:val="none" w:sz="0" w:space="0" w:color="auto"/>
        <w:left w:val="none" w:sz="0" w:space="0" w:color="auto"/>
        <w:bottom w:val="none" w:sz="0" w:space="0" w:color="auto"/>
        <w:right w:val="none" w:sz="0" w:space="0" w:color="auto"/>
      </w:divBdr>
    </w:div>
    <w:div w:id="180244345">
      <w:bodyDiv w:val="1"/>
      <w:marLeft w:val="0"/>
      <w:marRight w:val="0"/>
      <w:marTop w:val="0"/>
      <w:marBottom w:val="0"/>
      <w:divBdr>
        <w:top w:val="none" w:sz="0" w:space="0" w:color="auto"/>
        <w:left w:val="none" w:sz="0" w:space="0" w:color="auto"/>
        <w:bottom w:val="none" w:sz="0" w:space="0" w:color="auto"/>
        <w:right w:val="none" w:sz="0" w:space="0" w:color="auto"/>
      </w:divBdr>
    </w:div>
    <w:div w:id="193612808">
      <w:bodyDiv w:val="1"/>
      <w:marLeft w:val="0"/>
      <w:marRight w:val="0"/>
      <w:marTop w:val="0"/>
      <w:marBottom w:val="0"/>
      <w:divBdr>
        <w:top w:val="none" w:sz="0" w:space="0" w:color="auto"/>
        <w:left w:val="none" w:sz="0" w:space="0" w:color="auto"/>
        <w:bottom w:val="none" w:sz="0" w:space="0" w:color="auto"/>
        <w:right w:val="none" w:sz="0" w:space="0" w:color="auto"/>
      </w:divBdr>
    </w:div>
    <w:div w:id="196503070">
      <w:bodyDiv w:val="1"/>
      <w:marLeft w:val="0"/>
      <w:marRight w:val="0"/>
      <w:marTop w:val="0"/>
      <w:marBottom w:val="0"/>
      <w:divBdr>
        <w:top w:val="none" w:sz="0" w:space="0" w:color="auto"/>
        <w:left w:val="none" w:sz="0" w:space="0" w:color="auto"/>
        <w:bottom w:val="none" w:sz="0" w:space="0" w:color="auto"/>
        <w:right w:val="none" w:sz="0" w:space="0" w:color="auto"/>
      </w:divBdr>
    </w:div>
    <w:div w:id="196547500">
      <w:bodyDiv w:val="1"/>
      <w:marLeft w:val="0"/>
      <w:marRight w:val="0"/>
      <w:marTop w:val="0"/>
      <w:marBottom w:val="0"/>
      <w:divBdr>
        <w:top w:val="none" w:sz="0" w:space="0" w:color="auto"/>
        <w:left w:val="none" w:sz="0" w:space="0" w:color="auto"/>
        <w:bottom w:val="none" w:sz="0" w:space="0" w:color="auto"/>
        <w:right w:val="none" w:sz="0" w:space="0" w:color="auto"/>
      </w:divBdr>
    </w:div>
    <w:div w:id="202983703">
      <w:bodyDiv w:val="1"/>
      <w:marLeft w:val="0"/>
      <w:marRight w:val="0"/>
      <w:marTop w:val="0"/>
      <w:marBottom w:val="0"/>
      <w:divBdr>
        <w:top w:val="none" w:sz="0" w:space="0" w:color="auto"/>
        <w:left w:val="none" w:sz="0" w:space="0" w:color="auto"/>
        <w:bottom w:val="none" w:sz="0" w:space="0" w:color="auto"/>
        <w:right w:val="none" w:sz="0" w:space="0" w:color="auto"/>
      </w:divBdr>
    </w:div>
    <w:div w:id="203174227">
      <w:bodyDiv w:val="1"/>
      <w:marLeft w:val="0"/>
      <w:marRight w:val="0"/>
      <w:marTop w:val="0"/>
      <w:marBottom w:val="0"/>
      <w:divBdr>
        <w:top w:val="none" w:sz="0" w:space="0" w:color="auto"/>
        <w:left w:val="none" w:sz="0" w:space="0" w:color="auto"/>
        <w:bottom w:val="none" w:sz="0" w:space="0" w:color="auto"/>
        <w:right w:val="none" w:sz="0" w:space="0" w:color="auto"/>
      </w:divBdr>
    </w:div>
    <w:div w:id="212735360">
      <w:bodyDiv w:val="1"/>
      <w:marLeft w:val="0"/>
      <w:marRight w:val="0"/>
      <w:marTop w:val="0"/>
      <w:marBottom w:val="0"/>
      <w:divBdr>
        <w:top w:val="none" w:sz="0" w:space="0" w:color="auto"/>
        <w:left w:val="none" w:sz="0" w:space="0" w:color="auto"/>
        <w:bottom w:val="none" w:sz="0" w:space="0" w:color="auto"/>
        <w:right w:val="none" w:sz="0" w:space="0" w:color="auto"/>
      </w:divBdr>
    </w:div>
    <w:div w:id="218368537">
      <w:bodyDiv w:val="1"/>
      <w:marLeft w:val="0"/>
      <w:marRight w:val="0"/>
      <w:marTop w:val="0"/>
      <w:marBottom w:val="0"/>
      <w:divBdr>
        <w:top w:val="none" w:sz="0" w:space="0" w:color="auto"/>
        <w:left w:val="none" w:sz="0" w:space="0" w:color="auto"/>
        <w:bottom w:val="none" w:sz="0" w:space="0" w:color="auto"/>
        <w:right w:val="none" w:sz="0" w:space="0" w:color="auto"/>
      </w:divBdr>
    </w:div>
    <w:div w:id="225384936">
      <w:bodyDiv w:val="1"/>
      <w:marLeft w:val="0"/>
      <w:marRight w:val="0"/>
      <w:marTop w:val="0"/>
      <w:marBottom w:val="0"/>
      <w:divBdr>
        <w:top w:val="none" w:sz="0" w:space="0" w:color="auto"/>
        <w:left w:val="none" w:sz="0" w:space="0" w:color="auto"/>
        <w:bottom w:val="none" w:sz="0" w:space="0" w:color="auto"/>
        <w:right w:val="none" w:sz="0" w:space="0" w:color="auto"/>
      </w:divBdr>
    </w:div>
    <w:div w:id="233206449">
      <w:bodyDiv w:val="1"/>
      <w:marLeft w:val="0"/>
      <w:marRight w:val="0"/>
      <w:marTop w:val="0"/>
      <w:marBottom w:val="0"/>
      <w:divBdr>
        <w:top w:val="none" w:sz="0" w:space="0" w:color="auto"/>
        <w:left w:val="none" w:sz="0" w:space="0" w:color="auto"/>
        <w:bottom w:val="none" w:sz="0" w:space="0" w:color="auto"/>
        <w:right w:val="none" w:sz="0" w:space="0" w:color="auto"/>
      </w:divBdr>
    </w:div>
    <w:div w:id="236131130">
      <w:bodyDiv w:val="1"/>
      <w:marLeft w:val="0"/>
      <w:marRight w:val="0"/>
      <w:marTop w:val="0"/>
      <w:marBottom w:val="0"/>
      <w:divBdr>
        <w:top w:val="none" w:sz="0" w:space="0" w:color="auto"/>
        <w:left w:val="none" w:sz="0" w:space="0" w:color="auto"/>
        <w:bottom w:val="none" w:sz="0" w:space="0" w:color="auto"/>
        <w:right w:val="none" w:sz="0" w:space="0" w:color="auto"/>
      </w:divBdr>
    </w:div>
    <w:div w:id="237597863">
      <w:bodyDiv w:val="1"/>
      <w:marLeft w:val="0"/>
      <w:marRight w:val="0"/>
      <w:marTop w:val="0"/>
      <w:marBottom w:val="0"/>
      <w:divBdr>
        <w:top w:val="none" w:sz="0" w:space="0" w:color="auto"/>
        <w:left w:val="none" w:sz="0" w:space="0" w:color="auto"/>
        <w:bottom w:val="none" w:sz="0" w:space="0" w:color="auto"/>
        <w:right w:val="none" w:sz="0" w:space="0" w:color="auto"/>
      </w:divBdr>
    </w:div>
    <w:div w:id="246816073">
      <w:bodyDiv w:val="1"/>
      <w:marLeft w:val="0"/>
      <w:marRight w:val="0"/>
      <w:marTop w:val="0"/>
      <w:marBottom w:val="0"/>
      <w:divBdr>
        <w:top w:val="none" w:sz="0" w:space="0" w:color="auto"/>
        <w:left w:val="none" w:sz="0" w:space="0" w:color="auto"/>
        <w:bottom w:val="none" w:sz="0" w:space="0" w:color="auto"/>
        <w:right w:val="none" w:sz="0" w:space="0" w:color="auto"/>
      </w:divBdr>
    </w:div>
    <w:div w:id="260070022">
      <w:bodyDiv w:val="1"/>
      <w:marLeft w:val="0"/>
      <w:marRight w:val="0"/>
      <w:marTop w:val="0"/>
      <w:marBottom w:val="0"/>
      <w:divBdr>
        <w:top w:val="none" w:sz="0" w:space="0" w:color="auto"/>
        <w:left w:val="none" w:sz="0" w:space="0" w:color="auto"/>
        <w:bottom w:val="none" w:sz="0" w:space="0" w:color="auto"/>
        <w:right w:val="none" w:sz="0" w:space="0" w:color="auto"/>
      </w:divBdr>
    </w:div>
    <w:div w:id="264389594">
      <w:bodyDiv w:val="1"/>
      <w:marLeft w:val="0"/>
      <w:marRight w:val="0"/>
      <w:marTop w:val="0"/>
      <w:marBottom w:val="0"/>
      <w:divBdr>
        <w:top w:val="none" w:sz="0" w:space="0" w:color="auto"/>
        <w:left w:val="none" w:sz="0" w:space="0" w:color="auto"/>
        <w:bottom w:val="none" w:sz="0" w:space="0" w:color="auto"/>
        <w:right w:val="none" w:sz="0" w:space="0" w:color="auto"/>
      </w:divBdr>
    </w:div>
    <w:div w:id="283587040">
      <w:bodyDiv w:val="1"/>
      <w:marLeft w:val="0"/>
      <w:marRight w:val="0"/>
      <w:marTop w:val="0"/>
      <w:marBottom w:val="0"/>
      <w:divBdr>
        <w:top w:val="none" w:sz="0" w:space="0" w:color="auto"/>
        <w:left w:val="none" w:sz="0" w:space="0" w:color="auto"/>
        <w:bottom w:val="none" w:sz="0" w:space="0" w:color="auto"/>
        <w:right w:val="none" w:sz="0" w:space="0" w:color="auto"/>
      </w:divBdr>
    </w:div>
    <w:div w:id="284627651">
      <w:bodyDiv w:val="1"/>
      <w:marLeft w:val="0"/>
      <w:marRight w:val="0"/>
      <w:marTop w:val="0"/>
      <w:marBottom w:val="0"/>
      <w:divBdr>
        <w:top w:val="none" w:sz="0" w:space="0" w:color="auto"/>
        <w:left w:val="none" w:sz="0" w:space="0" w:color="auto"/>
        <w:bottom w:val="none" w:sz="0" w:space="0" w:color="auto"/>
        <w:right w:val="none" w:sz="0" w:space="0" w:color="auto"/>
      </w:divBdr>
    </w:div>
    <w:div w:id="289559930">
      <w:bodyDiv w:val="1"/>
      <w:marLeft w:val="0"/>
      <w:marRight w:val="0"/>
      <w:marTop w:val="0"/>
      <w:marBottom w:val="0"/>
      <w:divBdr>
        <w:top w:val="none" w:sz="0" w:space="0" w:color="auto"/>
        <w:left w:val="none" w:sz="0" w:space="0" w:color="auto"/>
        <w:bottom w:val="none" w:sz="0" w:space="0" w:color="auto"/>
        <w:right w:val="none" w:sz="0" w:space="0" w:color="auto"/>
      </w:divBdr>
    </w:div>
    <w:div w:id="292834069">
      <w:bodyDiv w:val="1"/>
      <w:marLeft w:val="0"/>
      <w:marRight w:val="0"/>
      <w:marTop w:val="0"/>
      <w:marBottom w:val="0"/>
      <w:divBdr>
        <w:top w:val="none" w:sz="0" w:space="0" w:color="auto"/>
        <w:left w:val="none" w:sz="0" w:space="0" w:color="auto"/>
        <w:bottom w:val="none" w:sz="0" w:space="0" w:color="auto"/>
        <w:right w:val="none" w:sz="0" w:space="0" w:color="auto"/>
      </w:divBdr>
    </w:div>
    <w:div w:id="299463724">
      <w:bodyDiv w:val="1"/>
      <w:marLeft w:val="0"/>
      <w:marRight w:val="0"/>
      <w:marTop w:val="0"/>
      <w:marBottom w:val="0"/>
      <w:divBdr>
        <w:top w:val="none" w:sz="0" w:space="0" w:color="auto"/>
        <w:left w:val="none" w:sz="0" w:space="0" w:color="auto"/>
        <w:bottom w:val="none" w:sz="0" w:space="0" w:color="auto"/>
        <w:right w:val="none" w:sz="0" w:space="0" w:color="auto"/>
      </w:divBdr>
    </w:div>
    <w:div w:id="299767932">
      <w:bodyDiv w:val="1"/>
      <w:marLeft w:val="0"/>
      <w:marRight w:val="0"/>
      <w:marTop w:val="0"/>
      <w:marBottom w:val="0"/>
      <w:divBdr>
        <w:top w:val="none" w:sz="0" w:space="0" w:color="auto"/>
        <w:left w:val="none" w:sz="0" w:space="0" w:color="auto"/>
        <w:bottom w:val="none" w:sz="0" w:space="0" w:color="auto"/>
        <w:right w:val="none" w:sz="0" w:space="0" w:color="auto"/>
      </w:divBdr>
    </w:div>
    <w:div w:id="329649530">
      <w:bodyDiv w:val="1"/>
      <w:marLeft w:val="0"/>
      <w:marRight w:val="0"/>
      <w:marTop w:val="0"/>
      <w:marBottom w:val="0"/>
      <w:divBdr>
        <w:top w:val="none" w:sz="0" w:space="0" w:color="auto"/>
        <w:left w:val="none" w:sz="0" w:space="0" w:color="auto"/>
        <w:bottom w:val="none" w:sz="0" w:space="0" w:color="auto"/>
        <w:right w:val="none" w:sz="0" w:space="0" w:color="auto"/>
      </w:divBdr>
    </w:div>
    <w:div w:id="331183733">
      <w:bodyDiv w:val="1"/>
      <w:marLeft w:val="0"/>
      <w:marRight w:val="0"/>
      <w:marTop w:val="0"/>
      <w:marBottom w:val="0"/>
      <w:divBdr>
        <w:top w:val="none" w:sz="0" w:space="0" w:color="auto"/>
        <w:left w:val="none" w:sz="0" w:space="0" w:color="auto"/>
        <w:bottom w:val="none" w:sz="0" w:space="0" w:color="auto"/>
        <w:right w:val="none" w:sz="0" w:space="0" w:color="auto"/>
      </w:divBdr>
    </w:div>
    <w:div w:id="343942675">
      <w:bodyDiv w:val="1"/>
      <w:marLeft w:val="0"/>
      <w:marRight w:val="0"/>
      <w:marTop w:val="0"/>
      <w:marBottom w:val="0"/>
      <w:divBdr>
        <w:top w:val="none" w:sz="0" w:space="0" w:color="auto"/>
        <w:left w:val="none" w:sz="0" w:space="0" w:color="auto"/>
        <w:bottom w:val="none" w:sz="0" w:space="0" w:color="auto"/>
        <w:right w:val="none" w:sz="0" w:space="0" w:color="auto"/>
      </w:divBdr>
    </w:div>
    <w:div w:id="346564964">
      <w:bodyDiv w:val="1"/>
      <w:marLeft w:val="0"/>
      <w:marRight w:val="0"/>
      <w:marTop w:val="0"/>
      <w:marBottom w:val="0"/>
      <w:divBdr>
        <w:top w:val="none" w:sz="0" w:space="0" w:color="auto"/>
        <w:left w:val="none" w:sz="0" w:space="0" w:color="auto"/>
        <w:bottom w:val="none" w:sz="0" w:space="0" w:color="auto"/>
        <w:right w:val="none" w:sz="0" w:space="0" w:color="auto"/>
      </w:divBdr>
      <w:divsChild>
        <w:div w:id="1824194774">
          <w:marLeft w:val="0"/>
          <w:marRight w:val="0"/>
          <w:marTop w:val="300"/>
          <w:marBottom w:val="300"/>
          <w:divBdr>
            <w:top w:val="none" w:sz="0" w:space="0" w:color="auto"/>
            <w:left w:val="none" w:sz="0" w:space="0" w:color="auto"/>
            <w:bottom w:val="none" w:sz="0" w:space="0" w:color="auto"/>
            <w:right w:val="none" w:sz="0" w:space="0" w:color="auto"/>
          </w:divBdr>
        </w:div>
      </w:divsChild>
    </w:div>
    <w:div w:id="351340578">
      <w:bodyDiv w:val="1"/>
      <w:marLeft w:val="0"/>
      <w:marRight w:val="0"/>
      <w:marTop w:val="0"/>
      <w:marBottom w:val="0"/>
      <w:divBdr>
        <w:top w:val="none" w:sz="0" w:space="0" w:color="auto"/>
        <w:left w:val="none" w:sz="0" w:space="0" w:color="auto"/>
        <w:bottom w:val="none" w:sz="0" w:space="0" w:color="auto"/>
        <w:right w:val="none" w:sz="0" w:space="0" w:color="auto"/>
      </w:divBdr>
    </w:div>
    <w:div w:id="352190723">
      <w:bodyDiv w:val="1"/>
      <w:marLeft w:val="0"/>
      <w:marRight w:val="0"/>
      <w:marTop w:val="0"/>
      <w:marBottom w:val="0"/>
      <w:divBdr>
        <w:top w:val="none" w:sz="0" w:space="0" w:color="auto"/>
        <w:left w:val="none" w:sz="0" w:space="0" w:color="auto"/>
        <w:bottom w:val="none" w:sz="0" w:space="0" w:color="auto"/>
        <w:right w:val="none" w:sz="0" w:space="0" w:color="auto"/>
      </w:divBdr>
      <w:divsChild>
        <w:div w:id="676538211">
          <w:marLeft w:val="0"/>
          <w:marRight w:val="0"/>
          <w:marTop w:val="0"/>
          <w:marBottom w:val="0"/>
          <w:divBdr>
            <w:top w:val="none" w:sz="0" w:space="0" w:color="auto"/>
            <w:left w:val="none" w:sz="0" w:space="0" w:color="auto"/>
            <w:bottom w:val="none" w:sz="0" w:space="0" w:color="auto"/>
            <w:right w:val="none" w:sz="0" w:space="0" w:color="auto"/>
          </w:divBdr>
          <w:divsChild>
            <w:div w:id="440761077">
              <w:marLeft w:val="0"/>
              <w:marRight w:val="0"/>
              <w:marTop w:val="0"/>
              <w:marBottom w:val="0"/>
              <w:divBdr>
                <w:top w:val="none" w:sz="0" w:space="0" w:color="auto"/>
                <w:left w:val="none" w:sz="0" w:space="0" w:color="auto"/>
                <w:bottom w:val="none" w:sz="0" w:space="0" w:color="auto"/>
                <w:right w:val="none" w:sz="0" w:space="0" w:color="auto"/>
              </w:divBdr>
              <w:divsChild>
                <w:div w:id="1456176818">
                  <w:marLeft w:val="0"/>
                  <w:marRight w:val="0"/>
                  <w:marTop w:val="0"/>
                  <w:marBottom w:val="0"/>
                  <w:divBdr>
                    <w:top w:val="none" w:sz="0" w:space="0" w:color="auto"/>
                    <w:left w:val="none" w:sz="0" w:space="0" w:color="auto"/>
                    <w:bottom w:val="none" w:sz="0" w:space="0" w:color="auto"/>
                    <w:right w:val="none" w:sz="0" w:space="0" w:color="auto"/>
                  </w:divBdr>
                  <w:divsChild>
                    <w:div w:id="1502815447">
                      <w:marLeft w:val="0"/>
                      <w:marRight w:val="0"/>
                      <w:marTop w:val="0"/>
                      <w:marBottom w:val="0"/>
                      <w:divBdr>
                        <w:top w:val="none" w:sz="0" w:space="0" w:color="auto"/>
                        <w:left w:val="none" w:sz="0" w:space="0" w:color="auto"/>
                        <w:bottom w:val="none" w:sz="0" w:space="0" w:color="auto"/>
                        <w:right w:val="none" w:sz="0" w:space="0" w:color="auto"/>
                      </w:divBdr>
                      <w:divsChild>
                        <w:div w:id="60950564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2347719">
      <w:bodyDiv w:val="1"/>
      <w:marLeft w:val="0"/>
      <w:marRight w:val="0"/>
      <w:marTop w:val="0"/>
      <w:marBottom w:val="0"/>
      <w:divBdr>
        <w:top w:val="none" w:sz="0" w:space="0" w:color="auto"/>
        <w:left w:val="none" w:sz="0" w:space="0" w:color="auto"/>
        <w:bottom w:val="none" w:sz="0" w:space="0" w:color="auto"/>
        <w:right w:val="none" w:sz="0" w:space="0" w:color="auto"/>
      </w:divBdr>
    </w:div>
    <w:div w:id="353388106">
      <w:bodyDiv w:val="1"/>
      <w:marLeft w:val="0"/>
      <w:marRight w:val="0"/>
      <w:marTop w:val="0"/>
      <w:marBottom w:val="0"/>
      <w:divBdr>
        <w:top w:val="none" w:sz="0" w:space="0" w:color="auto"/>
        <w:left w:val="none" w:sz="0" w:space="0" w:color="auto"/>
        <w:bottom w:val="none" w:sz="0" w:space="0" w:color="auto"/>
        <w:right w:val="none" w:sz="0" w:space="0" w:color="auto"/>
      </w:divBdr>
    </w:div>
    <w:div w:id="366103876">
      <w:bodyDiv w:val="1"/>
      <w:marLeft w:val="0"/>
      <w:marRight w:val="0"/>
      <w:marTop w:val="0"/>
      <w:marBottom w:val="0"/>
      <w:divBdr>
        <w:top w:val="none" w:sz="0" w:space="0" w:color="auto"/>
        <w:left w:val="none" w:sz="0" w:space="0" w:color="auto"/>
        <w:bottom w:val="none" w:sz="0" w:space="0" w:color="auto"/>
        <w:right w:val="none" w:sz="0" w:space="0" w:color="auto"/>
      </w:divBdr>
    </w:div>
    <w:div w:id="369494293">
      <w:bodyDiv w:val="1"/>
      <w:marLeft w:val="0"/>
      <w:marRight w:val="0"/>
      <w:marTop w:val="0"/>
      <w:marBottom w:val="0"/>
      <w:divBdr>
        <w:top w:val="none" w:sz="0" w:space="0" w:color="auto"/>
        <w:left w:val="none" w:sz="0" w:space="0" w:color="auto"/>
        <w:bottom w:val="none" w:sz="0" w:space="0" w:color="auto"/>
        <w:right w:val="none" w:sz="0" w:space="0" w:color="auto"/>
      </w:divBdr>
    </w:div>
    <w:div w:id="372466344">
      <w:bodyDiv w:val="1"/>
      <w:marLeft w:val="0"/>
      <w:marRight w:val="0"/>
      <w:marTop w:val="0"/>
      <w:marBottom w:val="0"/>
      <w:divBdr>
        <w:top w:val="none" w:sz="0" w:space="0" w:color="auto"/>
        <w:left w:val="none" w:sz="0" w:space="0" w:color="auto"/>
        <w:bottom w:val="none" w:sz="0" w:space="0" w:color="auto"/>
        <w:right w:val="none" w:sz="0" w:space="0" w:color="auto"/>
      </w:divBdr>
    </w:div>
    <w:div w:id="374505124">
      <w:bodyDiv w:val="1"/>
      <w:marLeft w:val="0"/>
      <w:marRight w:val="0"/>
      <w:marTop w:val="0"/>
      <w:marBottom w:val="0"/>
      <w:divBdr>
        <w:top w:val="none" w:sz="0" w:space="0" w:color="auto"/>
        <w:left w:val="none" w:sz="0" w:space="0" w:color="auto"/>
        <w:bottom w:val="none" w:sz="0" w:space="0" w:color="auto"/>
        <w:right w:val="none" w:sz="0" w:space="0" w:color="auto"/>
      </w:divBdr>
    </w:div>
    <w:div w:id="378476133">
      <w:bodyDiv w:val="1"/>
      <w:marLeft w:val="0"/>
      <w:marRight w:val="0"/>
      <w:marTop w:val="0"/>
      <w:marBottom w:val="0"/>
      <w:divBdr>
        <w:top w:val="none" w:sz="0" w:space="0" w:color="auto"/>
        <w:left w:val="none" w:sz="0" w:space="0" w:color="auto"/>
        <w:bottom w:val="none" w:sz="0" w:space="0" w:color="auto"/>
        <w:right w:val="none" w:sz="0" w:space="0" w:color="auto"/>
      </w:divBdr>
    </w:div>
    <w:div w:id="387609141">
      <w:bodyDiv w:val="1"/>
      <w:marLeft w:val="0"/>
      <w:marRight w:val="0"/>
      <w:marTop w:val="0"/>
      <w:marBottom w:val="0"/>
      <w:divBdr>
        <w:top w:val="none" w:sz="0" w:space="0" w:color="auto"/>
        <w:left w:val="none" w:sz="0" w:space="0" w:color="auto"/>
        <w:bottom w:val="none" w:sz="0" w:space="0" w:color="auto"/>
        <w:right w:val="none" w:sz="0" w:space="0" w:color="auto"/>
      </w:divBdr>
      <w:divsChild>
        <w:div w:id="313339511">
          <w:marLeft w:val="0"/>
          <w:marRight w:val="0"/>
          <w:marTop w:val="0"/>
          <w:marBottom w:val="0"/>
          <w:divBdr>
            <w:top w:val="none" w:sz="0" w:space="0" w:color="auto"/>
            <w:left w:val="none" w:sz="0" w:space="0" w:color="auto"/>
            <w:bottom w:val="none" w:sz="0" w:space="0" w:color="auto"/>
            <w:right w:val="none" w:sz="0" w:space="0" w:color="auto"/>
          </w:divBdr>
          <w:divsChild>
            <w:div w:id="6389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502">
      <w:bodyDiv w:val="1"/>
      <w:marLeft w:val="0"/>
      <w:marRight w:val="0"/>
      <w:marTop w:val="0"/>
      <w:marBottom w:val="0"/>
      <w:divBdr>
        <w:top w:val="none" w:sz="0" w:space="0" w:color="auto"/>
        <w:left w:val="none" w:sz="0" w:space="0" w:color="auto"/>
        <w:bottom w:val="none" w:sz="0" w:space="0" w:color="auto"/>
        <w:right w:val="none" w:sz="0" w:space="0" w:color="auto"/>
      </w:divBdr>
    </w:div>
    <w:div w:id="395444927">
      <w:bodyDiv w:val="1"/>
      <w:marLeft w:val="0"/>
      <w:marRight w:val="0"/>
      <w:marTop w:val="0"/>
      <w:marBottom w:val="0"/>
      <w:divBdr>
        <w:top w:val="none" w:sz="0" w:space="0" w:color="auto"/>
        <w:left w:val="none" w:sz="0" w:space="0" w:color="auto"/>
        <w:bottom w:val="none" w:sz="0" w:space="0" w:color="auto"/>
        <w:right w:val="none" w:sz="0" w:space="0" w:color="auto"/>
      </w:divBdr>
    </w:div>
    <w:div w:id="405344108">
      <w:bodyDiv w:val="1"/>
      <w:marLeft w:val="0"/>
      <w:marRight w:val="0"/>
      <w:marTop w:val="0"/>
      <w:marBottom w:val="0"/>
      <w:divBdr>
        <w:top w:val="none" w:sz="0" w:space="0" w:color="auto"/>
        <w:left w:val="none" w:sz="0" w:space="0" w:color="auto"/>
        <w:bottom w:val="none" w:sz="0" w:space="0" w:color="auto"/>
        <w:right w:val="none" w:sz="0" w:space="0" w:color="auto"/>
      </w:divBdr>
      <w:divsChild>
        <w:div w:id="1395354472">
          <w:marLeft w:val="0"/>
          <w:marRight w:val="0"/>
          <w:marTop w:val="0"/>
          <w:marBottom w:val="0"/>
          <w:divBdr>
            <w:top w:val="none" w:sz="0" w:space="0" w:color="auto"/>
            <w:left w:val="none" w:sz="0" w:space="0" w:color="auto"/>
            <w:bottom w:val="none" w:sz="0" w:space="0" w:color="auto"/>
            <w:right w:val="none" w:sz="0" w:space="0" w:color="auto"/>
          </w:divBdr>
          <w:divsChild>
            <w:div w:id="1459108416">
              <w:marLeft w:val="0"/>
              <w:marRight w:val="0"/>
              <w:marTop w:val="0"/>
              <w:marBottom w:val="0"/>
              <w:divBdr>
                <w:top w:val="none" w:sz="0" w:space="0" w:color="auto"/>
                <w:left w:val="none" w:sz="0" w:space="0" w:color="auto"/>
                <w:bottom w:val="none" w:sz="0" w:space="0" w:color="auto"/>
                <w:right w:val="none" w:sz="0" w:space="0" w:color="auto"/>
              </w:divBdr>
              <w:divsChild>
                <w:div w:id="984553489">
                  <w:marLeft w:val="0"/>
                  <w:marRight w:val="0"/>
                  <w:marTop w:val="0"/>
                  <w:marBottom w:val="0"/>
                  <w:divBdr>
                    <w:top w:val="none" w:sz="0" w:space="0" w:color="auto"/>
                    <w:left w:val="none" w:sz="0" w:space="0" w:color="auto"/>
                    <w:bottom w:val="none" w:sz="0" w:space="0" w:color="auto"/>
                    <w:right w:val="none" w:sz="0" w:space="0" w:color="auto"/>
                  </w:divBdr>
                  <w:divsChild>
                    <w:div w:id="1035621253">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441614331">
                              <w:marLeft w:val="0"/>
                              <w:marRight w:val="0"/>
                              <w:marTop w:val="0"/>
                              <w:marBottom w:val="0"/>
                              <w:divBdr>
                                <w:top w:val="none" w:sz="0" w:space="0" w:color="auto"/>
                                <w:left w:val="none" w:sz="0" w:space="0" w:color="auto"/>
                                <w:bottom w:val="none" w:sz="0" w:space="0" w:color="auto"/>
                                <w:right w:val="none" w:sz="0" w:space="0" w:color="auto"/>
                              </w:divBdr>
                              <w:divsChild>
                                <w:div w:id="459417564">
                                  <w:marLeft w:val="0"/>
                                  <w:marRight w:val="0"/>
                                  <w:marTop w:val="0"/>
                                  <w:marBottom w:val="225"/>
                                  <w:divBdr>
                                    <w:top w:val="none" w:sz="0" w:space="0" w:color="auto"/>
                                    <w:left w:val="none" w:sz="0" w:space="0" w:color="auto"/>
                                    <w:bottom w:val="none" w:sz="0" w:space="0" w:color="auto"/>
                                    <w:right w:val="none" w:sz="0" w:space="0" w:color="auto"/>
                                  </w:divBdr>
                                </w:div>
                                <w:div w:id="7083426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730134">
      <w:bodyDiv w:val="1"/>
      <w:marLeft w:val="0"/>
      <w:marRight w:val="0"/>
      <w:marTop w:val="0"/>
      <w:marBottom w:val="0"/>
      <w:divBdr>
        <w:top w:val="none" w:sz="0" w:space="0" w:color="auto"/>
        <w:left w:val="none" w:sz="0" w:space="0" w:color="auto"/>
        <w:bottom w:val="none" w:sz="0" w:space="0" w:color="auto"/>
        <w:right w:val="none" w:sz="0" w:space="0" w:color="auto"/>
      </w:divBdr>
    </w:div>
    <w:div w:id="410588508">
      <w:bodyDiv w:val="1"/>
      <w:marLeft w:val="0"/>
      <w:marRight w:val="0"/>
      <w:marTop w:val="0"/>
      <w:marBottom w:val="0"/>
      <w:divBdr>
        <w:top w:val="none" w:sz="0" w:space="0" w:color="auto"/>
        <w:left w:val="none" w:sz="0" w:space="0" w:color="auto"/>
        <w:bottom w:val="none" w:sz="0" w:space="0" w:color="auto"/>
        <w:right w:val="none" w:sz="0" w:space="0" w:color="auto"/>
      </w:divBdr>
    </w:div>
    <w:div w:id="415054636">
      <w:bodyDiv w:val="1"/>
      <w:marLeft w:val="0"/>
      <w:marRight w:val="0"/>
      <w:marTop w:val="0"/>
      <w:marBottom w:val="0"/>
      <w:divBdr>
        <w:top w:val="none" w:sz="0" w:space="0" w:color="auto"/>
        <w:left w:val="none" w:sz="0" w:space="0" w:color="auto"/>
        <w:bottom w:val="none" w:sz="0" w:space="0" w:color="auto"/>
        <w:right w:val="none" w:sz="0" w:space="0" w:color="auto"/>
      </w:divBdr>
      <w:divsChild>
        <w:div w:id="9916692">
          <w:marLeft w:val="0"/>
          <w:marRight w:val="0"/>
          <w:marTop w:val="0"/>
          <w:marBottom w:val="0"/>
          <w:divBdr>
            <w:top w:val="none" w:sz="0" w:space="0" w:color="auto"/>
            <w:left w:val="none" w:sz="0" w:space="0" w:color="auto"/>
            <w:bottom w:val="none" w:sz="0" w:space="0" w:color="auto"/>
            <w:right w:val="none" w:sz="0" w:space="0" w:color="auto"/>
          </w:divBdr>
          <w:divsChild>
            <w:div w:id="4541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9332">
      <w:bodyDiv w:val="1"/>
      <w:marLeft w:val="0"/>
      <w:marRight w:val="0"/>
      <w:marTop w:val="0"/>
      <w:marBottom w:val="0"/>
      <w:divBdr>
        <w:top w:val="none" w:sz="0" w:space="0" w:color="auto"/>
        <w:left w:val="none" w:sz="0" w:space="0" w:color="auto"/>
        <w:bottom w:val="none" w:sz="0" w:space="0" w:color="auto"/>
        <w:right w:val="none" w:sz="0" w:space="0" w:color="auto"/>
      </w:divBdr>
    </w:div>
    <w:div w:id="432938417">
      <w:bodyDiv w:val="1"/>
      <w:marLeft w:val="0"/>
      <w:marRight w:val="0"/>
      <w:marTop w:val="0"/>
      <w:marBottom w:val="0"/>
      <w:divBdr>
        <w:top w:val="none" w:sz="0" w:space="0" w:color="auto"/>
        <w:left w:val="none" w:sz="0" w:space="0" w:color="auto"/>
        <w:bottom w:val="none" w:sz="0" w:space="0" w:color="auto"/>
        <w:right w:val="none" w:sz="0" w:space="0" w:color="auto"/>
      </w:divBdr>
    </w:div>
    <w:div w:id="435563401">
      <w:bodyDiv w:val="1"/>
      <w:marLeft w:val="0"/>
      <w:marRight w:val="0"/>
      <w:marTop w:val="0"/>
      <w:marBottom w:val="0"/>
      <w:divBdr>
        <w:top w:val="none" w:sz="0" w:space="0" w:color="auto"/>
        <w:left w:val="none" w:sz="0" w:space="0" w:color="auto"/>
        <w:bottom w:val="none" w:sz="0" w:space="0" w:color="auto"/>
        <w:right w:val="none" w:sz="0" w:space="0" w:color="auto"/>
      </w:divBdr>
    </w:div>
    <w:div w:id="436174059">
      <w:bodyDiv w:val="1"/>
      <w:marLeft w:val="0"/>
      <w:marRight w:val="0"/>
      <w:marTop w:val="0"/>
      <w:marBottom w:val="0"/>
      <w:divBdr>
        <w:top w:val="none" w:sz="0" w:space="0" w:color="auto"/>
        <w:left w:val="none" w:sz="0" w:space="0" w:color="auto"/>
        <w:bottom w:val="none" w:sz="0" w:space="0" w:color="auto"/>
        <w:right w:val="none" w:sz="0" w:space="0" w:color="auto"/>
      </w:divBdr>
    </w:div>
    <w:div w:id="437335752">
      <w:bodyDiv w:val="1"/>
      <w:marLeft w:val="0"/>
      <w:marRight w:val="0"/>
      <w:marTop w:val="0"/>
      <w:marBottom w:val="0"/>
      <w:divBdr>
        <w:top w:val="none" w:sz="0" w:space="0" w:color="auto"/>
        <w:left w:val="none" w:sz="0" w:space="0" w:color="auto"/>
        <w:bottom w:val="none" w:sz="0" w:space="0" w:color="auto"/>
        <w:right w:val="none" w:sz="0" w:space="0" w:color="auto"/>
      </w:divBdr>
      <w:divsChild>
        <w:div w:id="290285065">
          <w:marLeft w:val="0"/>
          <w:marRight w:val="0"/>
          <w:marTop w:val="0"/>
          <w:marBottom w:val="0"/>
          <w:divBdr>
            <w:top w:val="none" w:sz="0" w:space="0" w:color="auto"/>
            <w:left w:val="none" w:sz="0" w:space="0" w:color="auto"/>
            <w:bottom w:val="none" w:sz="0" w:space="0" w:color="auto"/>
            <w:right w:val="none" w:sz="0" w:space="0" w:color="auto"/>
          </w:divBdr>
        </w:div>
        <w:div w:id="1119714857">
          <w:marLeft w:val="0"/>
          <w:marRight w:val="0"/>
          <w:marTop w:val="0"/>
          <w:marBottom w:val="0"/>
          <w:divBdr>
            <w:top w:val="none" w:sz="0" w:space="0" w:color="auto"/>
            <w:left w:val="none" w:sz="0" w:space="0" w:color="auto"/>
            <w:bottom w:val="none" w:sz="0" w:space="0" w:color="auto"/>
            <w:right w:val="none" w:sz="0" w:space="0" w:color="auto"/>
          </w:divBdr>
        </w:div>
      </w:divsChild>
    </w:div>
    <w:div w:id="441730050">
      <w:bodyDiv w:val="1"/>
      <w:marLeft w:val="0"/>
      <w:marRight w:val="0"/>
      <w:marTop w:val="0"/>
      <w:marBottom w:val="0"/>
      <w:divBdr>
        <w:top w:val="none" w:sz="0" w:space="0" w:color="auto"/>
        <w:left w:val="none" w:sz="0" w:space="0" w:color="auto"/>
        <w:bottom w:val="none" w:sz="0" w:space="0" w:color="auto"/>
        <w:right w:val="none" w:sz="0" w:space="0" w:color="auto"/>
      </w:divBdr>
    </w:div>
    <w:div w:id="448745863">
      <w:bodyDiv w:val="1"/>
      <w:marLeft w:val="0"/>
      <w:marRight w:val="0"/>
      <w:marTop w:val="0"/>
      <w:marBottom w:val="0"/>
      <w:divBdr>
        <w:top w:val="none" w:sz="0" w:space="0" w:color="auto"/>
        <w:left w:val="none" w:sz="0" w:space="0" w:color="auto"/>
        <w:bottom w:val="none" w:sz="0" w:space="0" w:color="auto"/>
        <w:right w:val="none" w:sz="0" w:space="0" w:color="auto"/>
      </w:divBdr>
    </w:div>
    <w:div w:id="464154335">
      <w:bodyDiv w:val="1"/>
      <w:marLeft w:val="0"/>
      <w:marRight w:val="0"/>
      <w:marTop w:val="0"/>
      <w:marBottom w:val="0"/>
      <w:divBdr>
        <w:top w:val="none" w:sz="0" w:space="0" w:color="auto"/>
        <w:left w:val="none" w:sz="0" w:space="0" w:color="auto"/>
        <w:bottom w:val="none" w:sz="0" w:space="0" w:color="auto"/>
        <w:right w:val="none" w:sz="0" w:space="0" w:color="auto"/>
      </w:divBdr>
    </w:div>
    <w:div w:id="466436690">
      <w:bodyDiv w:val="1"/>
      <w:marLeft w:val="0"/>
      <w:marRight w:val="0"/>
      <w:marTop w:val="0"/>
      <w:marBottom w:val="0"/>
      <w:divBdr>
        <w:top w:val="none" w:sz="0" w:space="0" w:color="auto"/>
        <w:left w:val="none" w:sz="0" w:space="0" w:color="auto"/>
        <w:bottom w:val="none" w:sz="0" w:space="0" w:color="auto"/>
        <w:right w:val="none" w:sz="0" w:space="0" w:color="auto"/>
      </w:divBdr>
    </w:div>
    <w:div w:id="470252592">
      <w:bodyDiv w:val="1"/>
      <w:marLeft w:val="0"/>
      <w:marRight w:val="0"/>
      <w:marTop w:val="0"/>
      <w:marBottom w:val="0"/>
      <w:divBdr>
        <w:top w:val="none" w:sz="0" w:space="0" w:color="auto"/>
        <w:left w:val="none" w:sz="0" w:space="0" w:color="auto"/>
        <w:bottom w:val="none" w:sz="0" w:space="0" w:color="auto"/>
        <w:right w:val="none" w:sz="0" w:space="0" w:color="auto"/>
      </w:divBdr>
    </w:div>
    <w:div w:id="479930584">
      <w:bodyDiv w:val="1"/>
      <w:marLeft w:val="0"/>
      <w:marRight w:val="0"/>
      <w:marTop w:val="0"/>
      <w:marBottom w:val="0"/>
      <w:divBdr>
        <w:top w:val="none" w:sz="0" w:space="0" w:color="auto"/>
        <w:left w:val="none" w:sz="0" w:space="0" w:color="auto"/>
        <w:bottom w:val="none" w:sz="0" w:space="0" w:color="auto"/>
        <w:right w:val="none" w:sz="0" w:space="0" w:color="auto"/>
      </w:divBdr>
    </w:div>
    <w:div w:id="489371571">
      <w:bodyDiv w:val="1"/>
      <w:marLeft w:val="0"/>
      <w:marRight w:val="0"/>
      <w:marTop w:val="0"/>
      <w:marBottom w:val="0"/>
      <w:divBdr>
        <w:top w:val="none" w:sz="0" w:space="0" w:color="auto"/>
        <w:left w:val="none" w:sz="0" w:space="0" w:color="auto"/>
        <w:bottom w:val="none" w:sz="0" w:space="0" w:color="auto"/>
        <w:right w:val="none" w:sz="0" w:space="0" w:color="auto"/>
      </w:divBdr>
    </w:div>
    <w:div w:id="497690539">
      <w:bodyDiv w:val="1"/>
      <w:marLeft w:val="0"/>
      <w:marRight w:val="0"/>
      <w:marTop w:val="0"/>
      <w:marBottom w:val="0"/>
      <w:divBdr>
        <w:top w:val="none" w:sz="0" w:space="0" w:color="auto"/>
        <w:left w:val="none" w:sz="0" w:space="0" w:color="auto"/>
        <w:bottom w:val="none" w:sz="0" w:space="0" w:color="auto"/>
        <w:right w:val="none" w:sz="0" w:space="0" w:color="auto"/>
      </w:divBdr>
    </w:div>
    <w:div w:id="507404486">
      <w:bodyDiv w:val="1"/>
      <w:marLeft w:val="0"/>
      <w:marRight w:val="0"/>
      <w:marTop w:val="0"/>
      <w:marBottom w:val="0"/>
      <w:divBdr>
        <w:top w:val="none" w:sz="0" w:space="0" w:color="auto"/>
        <w:left w:val="none" w:sz="0" w:space="0" w:color="auto"/>
        <w:bottom w:val="none" w:sz="0" w:space="0" w:color="auto"/>
        <w:right w:val="none" w:sz="0" w:space="0" w:color="auto"/>
      </w:divBdr>
    </w:div>
    <w:div w:id="514612775">
      <w:bodyDiv w:val="1"/>
      <w:marLeft w:val="0"/>
      <w:marRight w:val="0"/>
      <w:marTop w:val="0"/>
      <w:marBottom w:val="0"/>
      <w:divBdr>
        <w:top w:val="none" w:sz="0" w:space="0" w:color="auto"/>
        <w:left w:val="none" w:sz="0" w:space="0" w:color="auto"/>
        <w:bottom w:val="none" w:sz="0" w:space="0" w:color="auto"/>
        <w:right w:val="none" w:sz="0" w:space="0" w:color="auto"/>
      </w:divBdr>
    </w:div>
    <w:div w:id="519396417">
      <w:bodyDiv w:val="1"/>
      <w:marLeft w:val="0"/>
      <w:marRight w:val="0"/>
      <w:marTop w:val="0"/>
      <w:marBottom w:val="0"/>
      <w:divBdr>
        <w:top w:val="none" w:sz="0" w:space="0" w:color="auto"/>
        <w:left w:val="none" w:sz="0" w:space="0" w:color="auto"/>
        <w:bottom w:val="none" w:sz="0" w:space="0" w:color="auto"/>
        <w:right w:val="none" w:sz="0" w:space="0" w:color="auto"/>
      </w:divBdr>
    </w:div>
    <w:div w:id="524172447">
      <w:bodyDiv w:val="1"/>
      <w:marLeft w:val="0"/>
      <w:marRight w:val="0"/>
      <w:marTop w:val="0"/>
      <w:marBottom w:val="0"/>
      <w:divBdr>
        <w:top w:val="none" w:sz="0" w:space="0" w:color="auto"/>
        <w:left w:val="none" w:sz="0" w:space="0" w:color="auto"/>
        <w:bottom w:val="none" w:sz="0" w:space="0" w:color="auto"/>
        <w:right w:val="none" w:sz="0" w:space="0" w:color="auto"/>
      </w:divBdr>
    </w:div>
    <w:div w:id="534584182">
      <w:bodyDiv w:val="1"/>
      <w:marLeft w:val="0"/>
      <w:marRight w:val="0"/>
      <w:marTop w:val="0"/>
      <w:marBottom w:val="0"/>
      <w:divBdr>
        <w:top w:val="none" w:sz="0" w:space="0" w:color="auto"/>
        <w:left w:val="none" w:sz="0" w:space="0" w:color="auto"/>
        <w:bottom w:val="none" w:sz="0" w:space="0" w:color="auto"/>
        <w:right w:val="none" w:sz="0" w:space="0" w:color="auto"/>
      </w:divBdr>
    </w:div>
    <w:div w:id="540019916">
      <w:bodyDiv w:val="1"/>
      <w:marLeft w:val="0"/>
      <w:marRight w:val="0"/>
      <w:marTop w:val="0"/>
      <w:marBottom w:val="0"/>
      <w:divBdr>
        <w:top w:val="none" w:sz="0" w:space="0" w:color="auto"/>
        <w:left w:val="none" w:sz="0" w:space="0" w:color="auto"/>
        <w:bottom w:val="none" w:sz="0" w:space="0" w:color="auto"/>
        <w:right w:val="none" w:sz="0" w:space="0" w:color="auto"/>
      </w:divBdr>
    </w:div>
    <w:div w:id="540678093">
      <w:bodyDiv w:val="1"/>
      <w:marLeft w:val="0"/>
      <w:marRight w:val="0"/>
      <w:marTop w:val="0"/>
      <w:marBottom w:val="0"/>
      <w:divBdr>
        <w:top w:val="none" w:sz="0" w:space="0" w:color="auto"/>
        <w:left w:val="none" w:sz="0" w:space="0" w:color="auto"/>
        <w:bottom w:val="none" w:sz="0" w:space="0" w:color="auto"/>
        <w:right w:val="none" w:sz="0" w:space="0" w:color="auto"/>
      </w:divBdr>
    </w:div>
    <w:div w:id="545142794">
      <w:bodyDiv w:val="1"/>
      <w:marLeft w:val="0"/>
      <w:marRight w:val="0"/>
      <w:marTop w:val="0"/>
      <w:marBottom w:val="0"/>
      <w:divBdr>
        <w:top w:val="none" w:sz="0" w:space="0" w:color="auto"/>
        <w:left w:val="none" w:sz="0" w:space="0" w:color="auto"/>
        <w:bottom w:val="none" w:sz="0" w:space="0" w:color="auto"/>
        <w:right w:val="none" w:sz="0" w:space="0" w:color="auto"/>
      </w:divBdr>
    </w:div>
    <w:div w:id="545607341">
      <w:bodyDiv w:val="1"/>
      <w:marLeft w:val="0"/>
      <w:marRight w:val="0"/>
      <w:marTop w:val="0"/>
      <w:marBottom w:val="0"/>
      <w:divBdr>
        <w:top w:val="none" w:sz="0" w:space="0" w:color="auto"/>
        <w:left w:val="none" w:sz="0" w:space="0" w:color="auto"/>
        <w:bottom w:val="none" w:sz="0" w:space="0" w:color="auto"/>
        <w:right w:val="none" w:sz="0" w:space="0" w:color="auto"/>
      </w:divBdr>
    </w:div>
    <w:div w:id="549805649">
      <w:bodyDiv w:val="1"/>
      <w:marLeft w:val="0"/>
      <w:marRight w:val="0"/>
      <w:marTop w:val="0"/>
      <w:marBottom w:val="0"/>
      <w:divBdr>
        <w:top w:val="none" w:sz="0" w:space="0" w:color="auto"/>
        <w:left w:val="none" w:sz="0" w:space="0" w:color="auto"/>
        <w:bottom w:val="none" w:sz="0" w:space="0" w:color="auto"/>
        <w:right w:val="none" w:sz="0" w:space="0" w:color="auto"/>
      </w:divBdr>
    </w:div>
    <w:div w:id="558170644">
      <w:bodyDiv w:val="1"/>
      <w:marLeft w:val="0"/>
      <w:marRight w:val="0"/>
      <w:marTop w:val="0"/>
      <w:marBottom w:val="0"/>
      <w:divBdr>
        <w:top w:val="none" w:sz="0" w:space="0" w:color="auto"/>
        <w:left w:val="none" w:sz="0" w:space="0" w:color="auto"/>
        <w:bottom w:val="none" w:sz="0" w:space="0" w:color="auto"/>
        <w:right w:val="none" w:sz="0" w:space="0" w:color="auto"/>
      </w:divBdr>
    </w:div>
    <w:div w:id="564024283">
      <w:bodyDiv w:val="1"/>
      <w:marLeft w:val="0"/>
      <w:marRight w:val="0"/>
      <w:marTop w:val="0"/>
      <w:marBottom w:val="0"/>
      <w:divBdr>
        <w:top w:val="none" w:sz="0" w:space="0" w:color="auto"/>
        <w:left w:val="none" w:sz="0" w:space="0" w:color="auto"/>
        <w:bottom w:val="none" w:sz="0" w:space="0" w:color="auto"/>
        <w:right w:val="none" w:sz="0" w:space="0" w:color="auto"/>
      </w:divBdr>
    </w:div>
    <w:div w:id="577327676">
      <w:bodyDiv w:val="1"/>
      <w:marLeft w:val="0"/>
      <w:marRight w:val="0"/>
      <w:marTop w:val="0"/>
      <w:marBottom w:val="0"/>
      <w:divBdr>
        <w:top w:val="none" w:sz="0" w:space="0" w:color="auto"/>
        <w:left w:val="none" w:sz="0" w:space="0" w:color="auto"/>
        <w:bottom w:val="none" w:sz="0" w:space="0" w:color="auto"/>
        <w:right w:val="none" w:sz="0" w:space="0" w:color="auto"/>
      </w:divBdr>
    </w:div>
    <w:div w:id="587466917">
      <w:bodyDiv w:val="1"/>
      <w:marLeft w:val="0"/>
      <w:marRight w:val="0"/>
      <w:marTop w:val="0"/>
      <w:marBottom w:val="0"/>
      <w:divBdr>
        <w:top w:val="none" w:sz="0" w:space="0" w:color="auto"/>
        <w:left w:val="none" w:sz="0" w:space="0" w:color="auto"/>
        <w:bottom w:val="none" w:sz="0" w:space="0" w:color="auto"/>
        <w:right w:val="none" w:sz="0" w:space="0" w:color="auto"/>
      </w:divBdr>
    </w:div>
    <w:div w:id="590240107">
      <w:bodyDiv w:val="1"/>
      <w:marLeft w:val="0"/>
      <w:marRight w:val="0"/>
      <w:marTop w:val="0"/>
      <w:marBottom w:val="0"/>
      <w:divBdr>
        <w:top w:val="none" w:sz="0" w:space="0" w:color="auto"/>
        <w:left w:val="none" w:sz="0" w:space="0" w:color="auto"/>
        <w:bottom w:val="none" w:sz="0" w:space="0" w:color="auto"/>
        <w:right w:val="none" w:sz="0" w:space="0" w:color="auto"/>
      </w:divBdr>
    </w:div>
    <w:div w:id="605382156">
      <w:bodyDiv w:val="1"/>
      <w:marLeft w:val="0"/>
      <w:marRight w:val="0"/>
      <w:marTop w:val="0"/>
      <w:marBottom w:val="0"/>
      <w:divBdr>
        <w:top w:val="none" w:sz="0" w:space="0" w:color="auto"/>
        <w:left w:val="none" w:sz="0" w:space="0" w:color="auto"/>
        <w:bottom w:val="none" w:sz="0" w:space="0" w:color="auto"/>
        <w:right w:val="none" w:sz="0" w:space="0" w:color="auto"/>
      </w:divBdr>
    </w:div>
    <w:div w:id="616328936">
      <w:bodyDiv w:val="1"/>
      <w:marLeft w:val="0"/>
      <w:marRight w:val="0"/>
      <w:marTop w:val="0"/>
      <w:marBottom w:val="0"/>
      <w:divBdr>
        <w:top w:val="none" w:sz="0" w:space="0" w:color="auto"/>
        <w:left w:val="none" w:sz="0" w:space="0" w:color="auto"/>
        <w:bottom w:val="none" w:sz="0" w:space="0" w:color="auto"/>
        <w:right w:val="none" w:sz="0" w:space="0" w:color="auto"/>
      </w:divBdr>
    </w:div>
    <w:div w:id="617218181">
      <w:bodyDiv w:val="1"/>
      <w:marLeft w:val="0"/>
      <w:marRight w:val="0"/>
      <w:marTop w:val="0"/>
      <w:marBottom w:val="0"/>
      <w:divBdr>
        <w:top w:val="none" w:sz="0" w:space="0" w:color="auto"/>
        <w:left w:val="none" w:sz="0" w:space="0" w:color="auto"/>
        <w:bottom w:val="none" w:sz="0" w:space="0" w:color="auto"/>
        <w:right w:val="none" w:sz="0" w:space="0" w:color="auto"/>
      </w:divBdr>
    </w:div>
    <w:div w:id="618949889">
      <w:bodyDiv w:val="1"/>
      <w:marLeft w:val="0"/>
      <w:marRight w:val="0"/>
      <w:marTop w:val="0"/>
      <w:marBottom w:val="0"/>
      <w:divBdr>
        <w:top w:val="none" w:sz="0" w:space="0" w:color="auto"/>
        <w:left w:val="none" w:sz="0" w:space="0" w:color="auto"/>
        <w:bottom w:val="none" w:sz="0" w:space="0" w:color="auto"/>
        <w:right w:val="none" w:sz="0" w:space="0" w:color="auto"/>
      </w:divBdr>
      <w:divsChild>
        <w:div w:id="609556986">
          <w:marLeft w:val="1924"/>
          <w:marRight w:val="0"/>
          <w:marTop w:val="0"/>
          <w:marBottom w:val="0"/>
          <w:divBdr>
            <w:top w:val="none" w:sz="0" w:space="0" w:color="auto"/>
            <w:left w:val="none" w:sz="0" w:space="0" w:color="auto"/>
            <w:bottom w:val="none" w:sz="0" w:space="0" w:color="auto"/>
            <w:right w:val="none" w:sz="0" w:space="0" w:color="auto"/>
          </w:divBdr>
        </w:div>
        <w:div w:id="1589466082">
          <w:marLeft w:val="1924"/>
          <w:marRight w:val="0"/>
          <w:marTop w:val="0"/>
          <w:marBottom w:val="0"/>
          <w:divBdr>
            <w:top w:val="none" w:sz="0" w:space="0" w:color="auto"/>
            <w:left w:val="none" w:sz="0" w:space="0" w:color="auto"/>
            <w:bottom w:val="none" w:sz="0" w:space="0" w:color="auto"/>
            <w:right w:val="none" w:sz="0" w:space="0" w:color="auto"/>
          </w:divBdr>
          <w:divsChild>
            <w:div w:id="1699551933">
              <w:marLeft w:val="0"/>
              <w:marRight w:val="0"/>
              <w:marTop w:val="0"/>
              <w:marBottom w:val="300"/>
              <w:divBdr>
                <w:top w:val="none" w:sz="0" w:space="0" w:color="auto"/>
                <w:left w:val="none" w:sz="0" w:space="0" w:color="auto"/>
                <w:bottom w:val="none" w:sz="0" w:space="0" w:color="auto"/>
                <w:right w:val="none" w:sz="0" w:space="0" w:color="auto"/>
              </w:divBdr>
              <w:divsChild>
                <w:div w:id="17391605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4744364">
          <w:marLeft w:val="0"/>
          <w:marRight w:val="0"/>
          <w:marTop w:val="0"/>
          <w:marBottom w:val="0"/>
          <w:divBdr>
            <w:top w:val="none" w:sz="0" w:space="0" w:color="auto"/>
            <w:left w:val="none" w:sz="0" w:space="0" w:color="auto"/>
            <w:bottom w:val="none" w:sz="0" w:space="0" w:color="auto"/>
            <w:right w:val="none" w:sz="0" w:space="0" w:color="auto"/>
          </w:divBdr>
          <w:divsChild>
            <w:div w:id="920722325">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150"/>
                  <w:divBdr>
                    <w:top w:val="none" w:sz="0" w:space="0" w:color="auto"/>
                    <w:left w:val="none" w:sz="0" w:space="0" w:color="auto"/>
                    <w:bottom w:val="none" w:sz="0" w:space="0" w:color="auto"/>
                    <w:right w:val="none" w:sz="0" w:space="0" w:color="auto"/>
                  </w:divBdr>
                  <w:divsChild>
                    <w:div w:id="1395276568">
                      <w:marLeft w:val="0"/>
                      <w:marRight w:val="0"/>
                      <w:marTop w:val="0"/>
                      <w:marBottom w:val="0"/>
                      <w:divBdr>
                        <w:top w:val="none" w:sz="0" w:space="0" w:color="auto"/>
                        <w:left w:val="none" w:sz="0" w:space="0" w:color="auto"/>
                        <w:bottom w:val="none" w:sz="0" w:space="0" w:color="auto"/>
                        <w:right w:val="none" w:sz="0" w:space="0" w:color="auto"/>
                      </w:divBdr>
                      <w:divsChild>
                        <w:div w:id="292640586">
                          <w:marLeft w:val="0"/>
                          <w:marRight w:val="0"/>
                          <w:marTop w:val="0"/>
                          <w:marBottom w:val="0"/>
                          <w:divBdr>
                            <w:top w:val="none" w:sz="0" w:space="0" w:color="auto"/>
                            <w:left w:val="none" w:sz="0" w:space="0" w:color="auto"/>
                            <w:bottom w:val="none" w:sz="0" w:space="0" w:color="auto"/>
                            <w:right w:val="none" w:sz="0" w:space="0" w:color="auto"/>
                          </w:divBdr>
                        </w:div>
                      </w:divsChild>
                    </w:div>
                    <w:div w:id="1846046866">
                      <w:marLeft w:val="0"/>
                      <w:marRight w:val="0"/>
                      <w:marTop w:val="0"/>
                      <w:marBottom w:val="0"/>
                      <w:divBdr>
                        <w:top w:val="none" w:sz="0" w:space="0" w:color="auto"/>
                        <w:left w:val="none" w:sz="0" w:space="0" w:color="auto"/>
                        <w:bottom w:val="none" w:sz="0" w:space="0" w:color="auto"/>
                        <w:right w:val="none" w:sz="0" w:space="0" w:color="auto"/>
                      </w:divBdr>
                      <w:divsChild>
                        <w:div w:id="3437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068">
      <w:bodyDiv w:val="1"/>
      <w:marLeft w:val="0"/>
      <w:marRight w:val="0"/>
      <w:marTop w:val="0"/>
      <w:marBottom w:val="0"/>
      <w:divBdr>
        <w:top w:val="none" w:sz="0" w:space="0" w:color="auto"/>
        <w:left w:val="none" w:sz="0" w:space="0" w:color="auto"/>
        <w:bottom w:val="none" w:sz="0" w:space="0" w:color="auto"/>
        <w:right w:val="none" w:sz="0" w:space="0" w:color="auto"/>
      </w:divBdr>
      <w:divsChild>
        <w:div w:id="218983143">
          <w:marLeft w:val="0"/>
          <w:marRight w:val="0"/>
          <w:marTop w:val="0"/>
          <w:marBottom w:val="0"/>
          <w:divBdr>
            <w:top w:val="none" w:sz="0" w:space="0" w:color="auto"/>
            <w:left w:val="none" w:sz="0" w:space="0" w:color="auto"/>
            <w:bottom w:val="none" w:sz="0" w:space="0" w:color="auto"/>
            <w:right w:val="none" w:sz="0" w:space="0" w:color="auto"/>
          </w:divBdr>
          <w:divsChild>
            <w:div w:id="236599029">
              <w:marLeft w:val="0"/>
              <w:marRight w:val="0"/>
              <w:marTop w:val="0"/>
              <w:marBottom w:val="0"/>
              <w:divBdr>
                <w:top w:val="none" w:sz="0" w:space="0" w:color="auto"/>
                <w:left w:val="none" w:sz="0" w:space="0" w:color="auto"/>
                <w:bottom w:val="none" w:sz="0" w:space="0" w:color="auto"/>
                <w:right w:val="none" w:sz="0" w:space="0" w:color="auto"/>
              </w:divBdr>
              <w:divsChild>
                <w:div w:id="695274380">
                  <w:marLeft w:val="0"/>
                  <w:marRight w:val="0"/>
                  <w:marTop w:val="0"/>
                  <w:marBottom w:val="150"/>
                  <w:divBdr>
                    <w:top w:val="none" w:sz="0" w:space="0" w:color="auto"/>
                    <w:left w:val="none" w:sz="0" w:space="0" w:color="auto"/>
                    <w:bottom w:val="none" w:sz="0" w:space="0" w:color="auto"/>
                    <w:right w:val="none" w:sz="0" w:space="0" w:color="auto"/>
                  </w:divBdr>
                  <w:divsChild>
                    <w:div w:id="586772724">
                      <w:marLeft w:val="0"/>
                      <w:marRight w:val="0"/>
                      <w:marTop w:val="0"/>
                      <w:marBottom w:val="0"/>
                      <w:divBdr>
                        <w:top w:val="none" w:sz="0" w:space="0" w:color="auto"/>
                        <w:left w:val="none" w:sz="0" w:space="0" w:color="auto"/>
                        <w:bottom w:val="none" w:sz="0" w:space="0" w:color="auto"/>
                        <w:right w:val="none" w:sz="0" w:space="0" w:color="auto"/>
                      </w:divBdr>
                      <w:divsChild>
                        <w:div w:id="1590578039">
                          <w:marLeft w:val="0"/>
                          <w:marRight w:val="0"/>
                          <w:marTop w:val="0"/>
                          <w:marBottom w:val="0"/>
                          <w:divBdr>
                            <w:top w:val="none" w:sz="0" w:space="0" w:color="auto"/>
                            <w:left w:val="none" w:sz="0" w:space="0" w:color="auto"/>
                            <w:bottom w:val="none" w:sz="0" w:space="0" w:color="auto"/>
                            <w:right w:val="none" w:sz="0" w:space="0" w:color="auto"/>
                          </w:divBdr>
                        </w:div>
                      </w:divsChild>
                    </w:div>
                    <w:div w:id="1055082802">
                      <w:marLeft w:val="0"/>
                      <w:marRight w:val="0"/>
                      <w:marTop w:val="0"/>
                      <w:marBottom w:val="0"/>
                      <w:divBdr>
                        <w:top w:val="none" w:sz="0" w:space="0" w:color="auto"/>
                        <w:left w:val="none" w:sz="0" w:space="0" w:color="auto"/>
                        <w:bottom w:val="none" w:sz="0" w:space="0" w:color="auto"/>
                        <w:right w:val="none" w:sz="0" w:space="0" w:color="auto"/>
                      </w:divBdr>
                      <w:divsChild>
                        <w:div w:id="19676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3966">
              <w:marLeft w:val="0"/>
              <w:marRight w:val="0"/>
              <w:marTop w:val="0"/>
              <w:marBottom w:val="0"/>
              <w:divBdr>
                <w:top w:val="none" w:sz="0" w:space="0" w:color="auto"/>
                <w:left w:val="none" w:sz="0" w:space="0" w:color="auto"/>
                <w:bottom w:val="none" w:sz="0" w:space="0" w:color="auto"/>
                <w:right w:val="none" w:sz="0" w:space="0" w:color="auto"/>
              </w:divBdr>
            </w:div>
          </w:divsChild>
        </w:div>
        <w:div w:id="1596015051">
          <w:marLeft w:val="1924"/>
          <w:marRight w:val="0"/>
          <w:marTop w:val="0"/>
          <w:marBottom w:val="0"/>
          <w:divBdr>
            <w:top w:val="none" w:sz="0" w:space="0" w:color="auto"/>
            <w:left w:val="none" w:sz="0" w:space="0" w:color="auto"/>
            <w:bottom w:val="none" w:sz="0" w:space="0" w:color="auto"/>
            <w:right w:val="none" w:sz="0" w:space="0" w:color="auto"/>
          </w:divBdr>
          <w:divsChild>
            <w:div w:id="1834292631">
              <w:marLeft w:val="0"/>
              <w:marRight w:val="0"/>
              <w:marTop w:val="0"/>
              <w:marBottom w:val="450"/>
              <w:divBdr>
                <w:top w:val="none" w:sz="0" w:space="0" w:color="auto"/>
                <w:left w:val="none" w:sz="0" w:space="0" w:color="auto"/>
                <w:bottom w:val="none" w:sz="0" w:space="0" w:color="auto"/>
                <w:right w:val="none" w:sz="0" w:space="0" w:color="auto"/>
              </w:divBdr>
              <w:divsChild>
                <w:div w:id="14223397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61828485">
          <w:marLeft w:val="1924"/>
          <w:marRight w:val="0"/>
          <w:marTop w:val="0"/>
          <w:marBottom w:val="0"/>
          <w:divBdr>
            <w:top w:val="none" w:sz="0" w:space="0" w:color="auto"/>
            <w:left w:val="none" w:sz="0" w:space="0" w:color="auto"/>
            <w:bottom w:val="none" w:sz="0" w:space="0" w:color="auto"/>
            <w:right w:val="none" w:sz="0" w:space="0" w:color="auto"/>
          </w:divBdr>
        </w:div>
      </w:divsChild>
    </w:div>
    <w:div w:id="627323421">
      <w:bodyDiv w:val="1"/>
      <w:marLeft w:val="0"/>
      <w:marRight w:val="0"/>
      <w:marTop w:val="0"/>
      <w:marBottom w:val="0"/>
      <w:divBdr>
        <w:top w:val="none" w:sz="0" w:space="0" w:color="auto"/>
        <w:left w:val="none" w:sz="0" w:space="0" w:color="auto"/>
        <w:bottom w:val="none" w:sz="0" w:space="0" w:color="auto"/>
        <w:right w:val="none" w:sz="0" w:space="0" w:color="auto"/>
      </w:divBdr>
    </w:div>
    <w:div w:id="639723799">
      <w:bodyDiv w:val="1"/>
      <w:marLeft w:val="0"/>
      <w:marRight w:val="0"/>
      <w:marTop w:val="0"/>
      <w:marBottom w:val="0"/>
      <w:divBdr>
        <w:top w:val="none" w:sz="0" w:space="0" w:color="auto"/>
        <w:left w:val="none" w:sz="0" w:space="0" w:color="auto"/>
        <w:bottom w:val="none" w:sz="0" w:space="0" w:color="auto"/>
        <w:right w:val="none" w:sz="0" w:space="0" w:color="auto"/>
      </w:divBdr>
    </w:div>
    <w:div w:id="645743509">
      <w:bodyDiv w:val="1"/>
      <w:marLeft w:val="0"/>
      <w:marRight w:val="0"/>
      <w:marTop w:val="0"/>
      <w:marBottom w:val="0"/>
      <w:divBdr>
        <w:top w:val="none" w:sz="0" w:space="0" w:color="auto"/>
        <w:left w:val="none" w:sz="0" w:space="0" w:color="auto"/>
        <w:bottom w:val="none" w:sz="0" w:space="0" w:color="auto"/>
        <w:right w:val="none" w:sz="0" w:space="0" w:color="auto"/>
      </w:divBdr>
      <w:divsChild>
        <w:div w:id="52504568">
          <w:marLeft w:val="0"/>
          <w:marRight w:val="0"/>
          <w:marTop w:val="0"/>
          <w:marBottom w:val="0"/>
          <w:divBdr>
            <w:top w:val="none" w:sz="0" w:space="0" w:color="auto"/>
            <w:left w:val="none" w:sz="0" w:space="0" w:color="auto"/>
            <w:bottom w:val="none" w:sz="0" w:space="0" w:color="auto"/>
            <w:right w:val="none" w:sz="0" w:space="0" w:color="auto"/>
          </w:divBdr>
        </w:div>
        <w:div w:id="1883059201">
          <w:marLeft w:val="0"/>
          <w:marRight w:val="0"/>
          <w:marTop w:val="0"/>
          <w:marBottom w:val="0"/>
          <w:divBdr>
            <w:top w:val="none" w:sz="0" w:space="0" w:color="auto"/>
            <w:left w:val="none" w:sz="0" w:space="0" w:color="auto"/>
            <w:bottom w:val="none" w:sz="0" w:space="0" w:color="auto"/>
            <w:right w:val="none" w:sz="0" w:space="0" w:color="auto"/>
          </w:divBdr>
          <w:divsChild>
            <w:div w:id="157889991">
              <w:marLeft w:val="0"/>
              <w:marRight w:val="0"/>
              <w:marTop w:val="0"/>
              <w:marBottom w:val="0"/>
              <w:divBdr>
                <w:top w:val="none" w:sz="0" w:space="0" w:color="auto"/>
                <w:left w:val="none" w:sz="0" w:space="0" w:color="auto"/>
                <w:bottom w:val="none" w:sz="0" w:space="0" w:color="auto"/>
                <w:right w:val="none" w:sz="0" w:space="0" w:color="auto"/>
              </w:divBdr>
            </w:div>
            <w:div w:id="788940204">
              <w:marLeft w:val="0"/>
              <w:marRight w:val="0"/>
              <w:marTop w:val="0"/>
              <w:marBottom w:val="0"/>
              <w:divBdr>
                <w:top w:val="none" w:sz="0" w:space="0" w:color="auto"/>
                <w:left w:val="none" w:sz="0" w:space="0" w:color="auto"/>
                <w:bottom w:val="none" w:sz="0" w:space="0" w:color="auto"/>
                <w:right w:val="none" w:sz="0" w:space="0" w:color="auto"/>
              </w:divBdr>
            </w:div>
            <w:div w:id="17828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4859">
      <w:bodyDiv w:val="1"/>
      <w:marLeft w:val="0"/>
      <w:marRight w:val="0"/>
      <w:marTop w:val="0"/>
      <w:marBottom w:val="0"/>
      <w:divBdr>
        <w:top w:val="none" w:sz="0" w:space="0" w:color="auto"/>
        <w:left w:val="none" w:sz="0" w:space="0" w:color="auto"/>
        <w:bottom w:val="none" w:sz="0" w:space="0" w:color="auto"/>
        <w:right w:val="none" w:sz="0" w:space="0" w:color="auto"/>
      </w:divBdr>
    </w:div>
    <w:div w:id="652366821">
      <w:bodyDiv w:val="1"/>
      <w:marLeft w:val="0"/>
      <w:marRight w:val="0"/>
      <w:marTop w:val="0"/>
      <w:marBottom w:val="0"/>
      <w:divBdr>
        <w:top w:val="none" w:sz="0" w:space="0" w:color="auto"/>
        <w:left w:val="none" w:sz="0" w:space="0" w:color="auto"/>
        <w:bottom w:val="none" w:sz="0" w:space="0" w:color="auto"/>
        <w:right w:val="none" w:sz="0" w:space="0" w:color="auto"/>
      </w:divBdr>
    </w:div>
    <w:div w:id="658726138">
      <w:bodyDiv w:val="1"/>
      <w:marLeft w:val="0"/>
      <w:marRight w:val="0"/>
      <w:marTop w:val="0"/>
      <w:marBottom w:val="0"/>
      <w:divBdr>
        <w:top w:val="none" w:sz="0" w:space="0" w:color="auto"/>
        <w:left w:val="none" w:sz="0" w:space="0" w:color="auto"/>
        <w:bottom w:val="none" w:sz="0" w:space="0" w:color="auto"/>
        <w:right w:val="none" w:sz="0" w:space="0" w:color="auto"/>
      </w:divBdr>
    </w:div>
    <w:div w:id="666252331">
      <w:bodyDiv w:val="1"/>
      <w:marLeft w:val="0"/>
      <w:marRight w:val="0"/>
      <w:marTop w:val="0"/>
      <w:marBottom w:val="0"/>
      <w:divBdr>
        <w:top w:val="none" w:sz="0" w:space="0" w:color="auto"/>
        <w:left w:val="none" w:sz="0" w:space="0" w:color="auto"/>
        <w:bottom w:val="none" w:sz="0" w:space="0" w:color="auto"/>
        <w:right w:val="none" w:sz="0" w:space="0" w:color="auto"/>
      </w:divBdr>
    </w:div>
    <w:div w:id="683284878">
      <w:bodyDiv w:val="1"/>
      <w:marLeft w:val="0"/>
      <w:marRight w:val="0"/>
      <w:marTop w:val="0"/>
      <w:marBottom w:val="0"/>
      <w:divBdr>
        <w:top w:val="none" w:sz="0" w:space="0" w:color="auto"/>
        <w:left w:val="none" w:sz="0" w:space="0" w:color="auto"/>
        <w:bottom w:val="none" w:sz="0" w:space="0" w:color="auto"/>
        <w:right w:val="none" w:sz="0" w:space="0" w:color="auto"/>
      </w:divBdr>
    </w:div>
    <w:div w:id="695426816">
      <w:bodyDiv w:val="1"/>
      <w:marLeft w:val="0"/>
      <w:marRight w:val="0"/>
      <w:marTop w:val="0"/>
      <w:marBottom w:val="0"/>
      <w:divBdr>
        <w:top w:val="none" w:sz="0" w:space="0" w:color="auto"/>
        <w:left w:val="none" w:sz="0" w:space="0" w:color="auto"/>
        <w:bottom w:val="none" w:sz="0" w:space="0" w:color="auto"/>
        <w:right w:val="none" w:sz="0" w:space="0" w:color="auto"/>
      </w:divBdr>
    </w:div>
    <w:div w:id="696545697">
      <w:bodyDiv w:val="1"/>
      <w:marLeft w:val="0"/>
      <w:marRight w:val="0"/>
      <w:marTop w:val="0"/>
      <w:marBottom w:val="0"/>
      <w:divBdr>
        <w:top w:val="none" w:sz="0" w:space="0" w:color="auto"/>
        <w:left w:val="none" w:sz="0" w:space="0" w:color="auto"/>
        <w:bottom w:val="none" w:sz="0" w:space="0" w:color="auto"/>
        <w:right w:val="none" w:sz="0" w:space="0" w:color="auto"/>
      </w:divBdr>
    </w:div>
    <w:div w:id="696583629">
      <w:bodyDiv w:val="1"/>
      <w:marLeft w:val="0"/>
      <w:marRight w:val="0"/>
      <w:marTop w:val="0"/>
      <w:marBottom w:val="0"/>
      <w:divBdr>
        <w:top w:val="none" w:sz="0" w:space="0" w:color="auto"/>
        <w:left w:val="none" w:sz="0" w:space="0" w:color="auto"/>
        <w:bottom w:val="none" w:sz="0" w:space="0" w:color="auto"/>
        <w:right w:val="none" w:sz="0" w:space="0" w:color="auto"/>
      </w:divBdr>
    </w:div>
    <w:div w:id="699354942">
      <w:bodyDiv w:val="1"/>
      <w:marLeft w:val="0"/>
      <w:marRight w:val="0"/>
      <w:marTop w:val="0"/>
      <w:marBottom w:val="0"/>
      <w:divBdr>
        <w:top w:val="none" w:sz="0" w:space="0" w:color="auto"/>
        <w:left w:val="none" w:sz="0" w:space="0" w:color="auto"/>
        <w:bottom w:val="none" w:sz="0" w:space="0" w:color="auto"/>
        <w:right w:val="none" w:sz="0" w:space="0" w:color="auto"/>
      </w:divBdr>
    </w:div>
    <w:div w:id="720789428">
      <w:bodyDiv w:val="1"/>
      <w:marLeft w:val="0"/>
      <w:marRight w:val="0"/>
      <w:marTop w:val="0"/>
      <w:marBottom w:val="0"/>
      <w:divBdr>
        <w:top w:val="none" w:sz="0" w:space="0" w:color="auto"/>
        <w:left w:val="none" w:sz="0" w:space="0" w:color="auto"/>
        <w:bottom w:val="none" w:sz="0" w:space="0" w:color="auto"/>
        <w:right w:val="none" w:sz="0" w:space="0" w:color="auto"/>
      </w:divBdr>
      <w:divsChild>
        <w:div w:id="232814574">
          <w:marLeft w:val="0"/>
          <w:marRight w:val="0"/>
          <w:marTop w:val="0"/>
          <w:marBottom w:val="0"/>
          <w:divBdr>
            <w:top w:val="none" w:sz="0" w:space="0" w:color="auto"/>
            <w:left w:val="none" w:sz="0" w:space="0" w:color="auto"/>
            <w:bottom w:val="none" w:sz="0" w:space="0" w:color="auto"/>
            <w:right w:val="none" w:sz="0" w:space="0" w:color="auto"/>
          </w:divBdr>
          <w:divsChild>
            <w:div w:id="804153111">
              <w:marLeft w:val="0"/>
              <w:marRight w:val="0"/>
              <w:marTop w:val="0"/>
              <w:marBottom w:val="0"/>
              <w:divBdr>
                <w:top w:val="none" w:sz="0" w:space="0" w:color="auto"/>
                <w:left w:val="none" w:sz="0" w:space="0" w:color="auto"/>
                <w:bottom w:val="none" w:sz="0" w:space="0" w:color="auto"/>
                <w:right w:val="none" w:sz="0" w:space="0" w:color="auto"/>
              </w:divBdr>
              <w:divsChild>
                <w:div w:id="7614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5982">
          <w:marLeft w:val="0"/>
          <w:marRight w:val="0"/>
          <w:marTop w:val="0"/>
          <w:marBottom w:val="0"/>
          <w:divBdr>
            <w:top w:val="none" w:sz="0" w:space="0" w:color="auto"/>
            <w:left w:val="none" w:sz="0" w:space="0" w:color="auto"/>
            <w:bottom w:val="none" w:sz="0" w:space="0" w:color="auto"/>
            <w:right w:val="none" w:sz="0" w:space="0" w:color="auto"/>
          </w:divBdr>
          <w:divsChild>
            <w:div w:id="406853488">
              <w:marLeft w:val="0"/>
              <w:marRight w:val="0"/>
              <w:marTop w:val="0"/>
              <w:marBottom w:val="0"/>
              <w:divBdr>
                <w:top w:val="none" w:sz="0" w:space="0" w:color="auto"/>
                <w:left w:val="none" w:sz="0" w:space="0" w:color="auto"/>
                <w:bottom w:val="none" w:sz="0" w:space="0" w:color="auto"/>
                <w:right w:val="none" w:sz="0" w:space="0" w:color="auto"/>
              </w:divBdr>
              <w:divsChild>
                <w:div w:id="3851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0508">
      <w:bodyDiv w:val="1"/>
      <w:marLeft w:val="0"/>
      <w:marRight w:val="0"/>
      <w:marTop w:val="0"/>
      <w:marBottom w:val="0"/>
      <w:divBdr>
        <w:top w:val="none" w:sz="0" w:space="0" w:color="auto"/>
        <w:left w:val="none" w:sz="0" w:space="0" w:color="auto"/>
        <w:bottom w:val="none" w:sz="0" w:space="0" w:color="auto"/>
        <w:right w:val="none" w:sz="0" w:space="0" w:color="auto"/>
      </w:divBdr>
      <w:divsChild>
        <w:div w:id="1818061215">
          <w:marLeft w:val="0"/>
          <w:marRight w:val="0"/>
          <w:marTop w:val="0"/>
          <w:marBottom w:val="225"/>
          <w:divBdr>
            <w:top w:val="none" w:sz="0" w:space="0" w:color="auto"/>
            <w:left w:val="none" w:sz="0" w:space="0" w:color="auto"/>
            <w:bottom w:val="none" w:sz="0" w:space="0" w:color="auto"/>
            <w:right w:val="none" w:sz="0" w:space="0" w:color="auto"/>
          </w:divBdr>
        </w:div>
      </w:divsChild>
    </w:div>
    <w:div w:id="728377911">
      <w:bodyDiv w:val="1"/>
      <w:marLeft w:val="0"/>
      <w:marRight w:val="0"/>
      <w:marTop w:val="0"/>
      <w:marBottom w:val="0"/>
      <w:divBdr>
        <w:top w:val="none" w:sz="0" w:space="0" w:color="auto"/>
        <w:left w:val="none" w:sz="0" w:space="0" w:color="auto"/>
        <w:bottom w:val="none" w:sz="0" w:space="0" w:color="auto"/>
        <w:right w:val="none" w:sz="0" w:space="0" w:color="auto"/>
      </w:divBdr>
    </w:div>
    <w:div w:id="740445619">
      <w:bodyDiv w:val="1"/>
      <w:marLeft w:val="0"/>
      <w:marRight w:val="0"/>
      <w:marTop w:val="0"/>
      <w:marBottom w:val="0"/>
      <w:divBdr>
        <w:top w:val="none" w:sz="0" w:space="0" w:color="auto"/>
        <w:left w:val="none" w:sz="0" w:space="0" w:color="auto"/>
        <w:bottom w:val="none" w:sz="0" w:space="0" w:color="auto"/>
        <w:right w:val="none" w:sz="0" w:space="0" w:color="auto"/>
      </w:divBdr>
    </w:div>
    <w:div w:id="745306473">
      <w:bodyDiv w:val="1"/>
      <w:marLeft w:val="0"/>
      <w:marRight w:val="0"/>
      <w:marTop w:val="0"/>
      <w:marBottom w:val="0"/>
      <w:divBdr>
        <w:top w:val="none" w:sz="0" w:space="0" w:color="auto"/>
        <w:left w:val="none" w:sz="0" w:space="0" w:color="auto"/>
        <w:bottom w:val="none" w:sz="0" w:space="0" w:color="auto"/>
        <w:right w:val="none" w:sz="0" w:space="0" w:color="auto"/>
      </w:divBdr>
    </w:div>
    <w:div w:id="748576548">
      <w:bodyDiv w:val="1"/>
      <w:marLeft w:val="0"/>
      <w:marRight w:val="0"/>
      <w:marTop w:val="0"/>
      <w:marBottom w:val="0"/>
      <w:divBdr>
        <w:top w:val="none" w:sz="0" w:space="0" w:color="auto"/>
        <w:left w:val="none" w:sz="0" w:space="0" w:color="auto"/>
        <w:bottom w:val="none" w:sz="0" w:space="0" w:color="auto"/>
        <w:right w:val="none" w:sz="0" w:space="0" w:color="auto"/>
      </w:divBdr>
    </w:div>
    <w:div w:id="759133949">
      <w:bodyDiv w:val="1"/>
      <w:marLeft w:val="0"/>
      <w:marRight w:val="0"/>
      <w:marTop w:val="0"/>
      <w:marBottom w:val="0"/>
      <w:divBdr>
        <w:top w:val="none" w:sz="0" w:space="0" w:color="auto"/>
        <w:left w:val="none" w:sz="0" w:space="0" w:color="auto"/>
        <w:bottom w:val="none" w:sz="0" w:space="0" w:color="auto"/>
        <w:right w:val="none" w:sz="0" w:space="0" w:color="auto"/>
      </w:divBdr>
    </w:div>
    <w:div w:id="765885272">
      <w:bodyDiv w:val="1"/>
      <w:marLeft w:val="0"/>
      <w:marRight w:val="0"/>
      <w:marTop w:val="0"/>
      <w:marBottom w:val="0"/>
      <w:divBdr>
        <w:top w:val="none" w:sz="0" w:space="0" w:color="auto"/>
        <w:left w:val="none" w:sz="0" w:space="0" w:color="auto"/>
        <w:bottom w:val="none" w:sz="0" w:space="0" w:color="auto"/>
        <w:right w:val="none" w:sz="0" w:space="0" w:color="auto"/>
      </w:divBdr>
    </w:div>
    <w:div w:id="770786505">
      <w:bodyDiv w:val="1"/>
      <w:marLeft w:val="0"/>
      <w:marRight w:val="0"/>
      <w:marTop w:val="0"/>
      <w:marBottom w:val="0"/>
      <w:divBdr>
        <w:top w:val="none" w:sz="0" w:space="0" w:color="auto"/>
        <w:left w:val="none" w:sz="0" w:space="0" w:color="auto"/>
        <w:bottom w:val="none" w:sz="0" w:space="0" w:color="auto"/>
        <w:right w:val="none" w:sz="0" w:space="0" w:color="auto"/>
      </w:divBdr>
    </w:div>
    <w:div w:id="772818819">
      <w:bodyDiv w:val="1"/>
      <w:marLeft w:val="0"/>
      <w:marRight w:val="0"/>
      <w:marTop w:val="0"/>
      <w:marBottom w:val="0"/>
      <w:divBdr>
        <w:top w:val="none" w:sz="0" w:space="0" w:color="auto"/>
        <w:left w:val="none" w:sz="0" w:space="0" w:color="auto"/>
        <w:bottom w:val="none" w:sz="0" w:space="0" w:color="auto"/>
        <w:right w:val="none" w:sz="0" w:space="0" w:color="auto"/>
      </w:divBdr>
    </w:div>
    <w:div w:id="773748241">
      <w:bodyDiv w:val="1"/>
      <w:marLeft w:val="0"/>
      <w:marRight w:val="0"/>
      <w:marTop w:val="0"/>
      <w:marBottom w:val="0"/>
      <w:divBdr>
        <w:top w:val="none" w:sz="0" w:space="0" w:color="auto"/>
        <w:left w:val="none" w:sz="0" w:space="0" w:color="auto"/>
        <w:bottom w:val="none" w:sz="0" w:space="0" w:color="auto"/>
        <w:right w:val="none" w:sz="0" w:space="0" w:color="auto"/>
      </w:divBdr>
    </w:div>
    <w:div w:id="773748987">
      <w:bodyDiv w:val="1"/>
      <w:marLeft w:val="0"/>
      <w:marRight w:val="0"/>
      <w:marTop w:val="0"/>
      <w:marBottom w:val="0"/>
      <w:divBdr>
        <w:top w:val="none" w:sz="0" w:space="0" w:color="auto"/>
        <w:left w:val="none" w:sz="0" w:space="0" w:color="auto"/>
        <w:bottom w:val="none" w:sz="0" w:space="0" w:color="auto"/>
        <w:right w:val="none" w:sz="0" w:space="0" w:color="auto"/>
      </w:divBdr>
    </w:div>
    <w:div w:id="773939753">
      <w:bodyDiv w:val="1"/>
      <w:marLeft w:val="0"/>
      <w:marRight w:val="0"/>
      <w:marTop w:val="0"/>
      <w:marBottom w:val="0"/>
      <w:divBdr>
        <w:top w:val="none" w:sz="0" w:space="0" w:color="auto"/>
        <w:left w:val="none" w:sz="0" w:space="0" w:color="auto"/>
        <w:bottom w:val="none" w:sz="0" w:space="0" w:color="auto"/>
        <w:right w:val="none" w:sz="0" w:space="0" w:color="auto"/>
      </w:divBdr>
    </w:div>
    <w:div w:id="775297699">
      <w:bodyDiv w:val="1"/>
      <w:marLeft w:val="0"/>
      <w:marRight w:val="0"/>
      <w:marTop w:val="0"/>
      <w:marBottom w:val="0"/>
      <w:divBdr>
        <w:top w:val="none" w:sz="0" w:space="0" w:color="auto"/>
        <w:left w:val="none" w:sz="0" w:space="0" w:color="auto"/>
        <w:bottom w:val="none" w:sz="0" w:space="0" w:color="auto"/>
        <w:right w:val="none" w:sz="0" w:space="0" w:color="auto"/>
      </w:divBdr>
    </w:div>
    <w:div w:id="782726510">
      <w:bodyDiv w:val="1"/>
      <w:marLeft w:val="0"/>
      <w:marRight w:val="0"/>
      <w:marTop w:val="0"/>
      <w:marBottom w:val="0"/>
      <w:divBdr>
        <w:top w:val="none" w:sz="0" w:space="0" w:color="auto"/>
        <w:left w:val="none" w:sz="0" w:space="0" w:color="auto"/>
        <w:bottom w:val="none" w:sz="0" w:space="0" w:color="auto"/>
        <w:right w:val="none" w:sz="0" w:space="0" w:color="auto"/>
      </w:divBdr>
    </w:div>
    <w:div w:id="796800053">
      <w:bodyDiv w:val="1"/>
      <w:marLeft w:val="0"/>
      <w:marRight w:val="0"/>
      <w:marTop w:val="0"/>
      <w:marBottom w:val="0"/>
      <w:divBdr>
        <w:top w:val="none" w:sz="0" w:space="0" w:color="auto"/>
        <w:left w:val="none" w:sz="0" w:space="0" w:color="auto"/>
        <w:bottom w:val="none" w:sz="0" w:space="0" w:color="auto"/>
        <w:right w:val="none" w:sz="0" w:space="0" w:color="auto"/>
      </w:divBdr>
    </w:div>
    <w:div w:id="840850578">
      <w:bodyDiv w:val="1"/>
      <w:marLeft w:val="0"/>
      <w:marRight w:val="0"/>
      <w:marTop w:val="0"/>
      <w:marBottom w:val="0"/>
      <w:divBdr>
        <w:top w:val="none" w:sz="0" w:space="0" w:color="auto"/>
        <w:left w:val="none" w:sz="0" w:space="0" w:color="auto"/>
        <w:bottom w:val="none" w:sz="0" w:space="0" w:color="auto"/>
        <w:right w:val="none" w:sz="0" w:space="0" w:color="auto"/>
      </w:divBdr>
    </w:div>
    <w:div w:id="844629261">
      <w:bodyDiv w:val="1"/>
      <w:marLeft w:val="0"/>
      <w:marRight w:val="0"/>
      <w:marTop w:val="0"/>
      <w:marBottom w:val="0"/>
      <w:divBdr>
        <w:top w:val="none" w:sz="0" w:space="0" w:color="auto"/>
        <w:left w:val="none" w:sz="0" w:space="0" w:color="auto"/>
        <w:bottom w:val="none" w:sz="0" w:space="0" w:color="auto"/>
        <w:right w:val="none" w:sz="0" w:space="0" w:color="auto"/>
      </w:divBdr>
    </w:div>
    <w:div w:id="849874804">
      <w:bodyDiv w:val="1"/>
      <w:marLeft w:val="0"/>
      <w:marRight w:val="0"/>
      <w:marTop w:val="0"/>
      <w:marBottom w:val="0"/>
      <w:divBdr>
        <w:top w:val="none" w:sz="0" w:space="0" w:color="auto"/>
        <w:left w:val="none" w:sz="0" w:space="0" w:color="auto"/>
        <w:bottom w:val="none" w:sz="0" w:space="0" w:color="auto"/>
        <w:right w:val="none" w:sz="0" w:space="0" w:color="auto"/>
      </w:divBdr>
    </w:div>
    <w:div w:id="852258773">
      <w:bodyDiv w:val="1"/>
      <w:marLeft w:val="0"/>
      <w:marRight w:val="0"/>
      <w:marTop w:val="0"/>
      <w:marBottom w:val="0"/>
      <w:divBdr>
        <w:top w:val="none" w:sz="0" w:space="0" w:color="auto"/>
        <w:left w:val="none" w:sz="0" w:space="0" w:color="auto"/>
        <w:bottom w:val="none" w:sz="0" w:space="0" w:color="auto"/>
        <w:right w:val="none" w:sz="0" w:space="0" w:color="auto"/>
      </w:divBdr>
    </w:div>
    <w:div w:id="868031187">
      <w:bodyDiv w:val="1"/>
      <w:marLeft w:val="0"/>
      <w:marRight w:val="0"/>
      <w:marTop w:val="0"/>
      <w:marBottom w:val="0"/>
      <w:divBdr>
        <w:top w:val="none" w:sz="0" w:space="0" w:color="auto"/>
        <w:left w:val="none" w:sz="0" w:space="0" w:color="auto"/>
        <w:bottom w:val="none" w:sz="0" w:space="0" w:color="auto"/>
        <w:right w:val="none" w:sz="0" w:space="0" w:color="auto"/>
      </w:divBdr>
    </w:div>
    <w:div w:id="873269871">
      <w:bodyDiv w:val="1"/>
      <w:marLeft w:val="0"/>
      <w:marRight w:val="0"/>
      <w:marTop w:val="0"/>
      <w:marBottom w:val="0"/>
      <w:divBdr>
        <w:top w:val="none" w:sz="0" w:space="0" w:color="auto"/>
        <w:left w:val="none" w:sz="0" w:space="0" w:color="auto"/>
        <w:bottom w:val="none" w:sz="0" w:space="0" w:color="auto"/>
        <w:right w:val="none" w:sz="0" w:space="0" w:color="auto"/>
      </w:divBdr>
    </w:div>
    <w:div w:id="879828873">
      <w:bodyDiv w:val="1"/>
      <w:marLeft w:val="0"/>
      <w:marRight w:val="0"/>
      <w:marTop w:val="0"/>
      <w:marBottom w:val="0"/>
      <w:divBdr>
        <w:top w:val="none" w:sz="0" w:space="0" w:color="auto"/>
        <w:left w:val="none" w:sz="0" w:space="0" w:color="auto"/>
        <w:bottom w:val="none" w:sz="0" w:space="0" w:color="auto"/>
        <w:right w:val="none" w:sz="0" w:space="0" w:color="auto"/>
      </w:divBdr>
    </w:div>
    <w:div w:id="881937136">
      <w:bodyDiv w:val="1"/>
      <w:marLeft w:val="0"/>
      <w:marRight w:val="0"/>
      <w:marTop w:val="0"/>
      <w:marBottom w:val="0"/>
      <w:divBdr>
        <w:top w:val="none" w:sz="0" w:space="0" w:color="auto"/>
        <w:left w:val="none" w:sz="0" w:space="0" w:color="auto"/>
        <w:bottom w:val="none" w:sz="0" w:space="0" w:color="auto"/>
        <w:right w:val="none" w:sz="0" w:space="0" w:color="auto"/>
      </w:divBdr>
    </w:div>
    <w:div w:id="887835387">
      <w:bodyDiv w:val="1"/>
      <w:marLeft w:val="0"/>
      <w:marRight w:val="0"/>
      <w:marTop w:val="0"/>
      <w:marBottom w:val="0"/>
      <w:divBdr>
        <w:top w:val="none" w:sz="0" w:space="0" w:color="auto"/>
        <w:left w:val="none" w:sz="0" w:space="0" w:color="auto"/>
        <w:bottom w:val="none" w:sz="0" w:space="0" w:color="auto"/>
        <w:right w:val="none" w:sz="0" w:space="0" w:color="auto"/>
      </w:divBdr>
    </w:div>
    <w:div w:id="893197170">
      <w:bodyDiv w:val="1"/>
      <w:marLeft w:val="0"/>
      <w:marRight w:val="0"/>
      <w:marTop w:val="0"/>
      <w:marBottom w:val="0"/>
      <w:divBdr>
        <w:top w:val="none" w:sz="0" w:space="0" w:color="auto"/>
        <w:left w:val="none" w:sz="0" w:space="0" w:color="auto"/>
        <w:bottom w:val="none" w:sz="0" w:space="0" w:color="auto"/>
        <w:right w:val="none" w:sz="0" w:space="0" w:color="auto"/>
      </w:divBdr>
    </w:div>
    <w:div w:id="894774879">
      <w:bodyDiv w:val="1"/>
      <w:marLeft w:val="0"/>
      <w:marRight w:val="0"/>
      <w:marTop w:val="0"/>
      <w:marBottom w:val="0"/>
      <w:divBdr>
        <w:top w:val="none" w:sz="0" w:space="0" w:color="auto"/>
        <w:left w:val="none" w:sz="0" w:space="0" w:color="auto"/>
        <w:bottom w:val="none" w:sz="0" w:space="0" w:color="auto"/>
        <w:right w:val="none" w:sz="0" w:space="0" w:color="auto"/>
      </w:divBdr>
      <w:divsChild>
        <w:div w:id="609896371">
          <w:marLeft w:val="0"/>
          <w:marRight w:val="0"/>
          <w:marTop w:val="0"/>
          <w:marBottom w:val="0"/>
          <w:divBdr>
            <w:top w:val="single" w:sz="6" w:space="11" w:color="E2E2E2"/>
            <w:left w:val="none" w:sz="0" w:space="0" w:color="auto"/>
            <w:bottom w:val="single" w:sz="6" w:space="12" w:color="E2E2E2"/>
            <w:right w:val="none" w:sz="0" w:space="0" w:color="auto"/>
          </w:divBdr>
          <w:divsChild>
            <w:div w:id="345979465">
              <w:marLeft w:val="0"/>
              <w:marRight w:val="0"/>
              <w:marTop w:val="0"/>
              <w:marBottom w:val="0"/>
              <w:divBdr>
                <w:top w:val="none" w:sz="0" w:space="0" w:color="auto"/>
                <w:left w:val="none" w:sz="0" w:space="0" w:color="auto"/>
                <w:bottom w:val="none" w:sz="0" w:space="0" w:color="auto"/>
                <w:right w:val="none" w:sz="0" w:space="0" w:color="auto"/>
              </w:divBdr>
              <w:divsChild>
                <w:div w:id="459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28658">
      <w:bodyDiv w:val="1"/>
      <w:marLeft w:val="0"/>
      <w:marRight w:val="0"/>
      <w:marTop w:val="0"/>
      <w:marBottom w:val="0"/>
      <w:divBdr>
        <w:top w:val="none" w:sz="0" w:space="0" w:color="auto"/>
        <w:left w:val="none" w:sz="0" w:space="0" w:color="auto"/>
        <w:bottom w:val="none" w:sz="0" w:space="0" w:color="auto"/>
        <w:right w:val="none" w:sz="0" w:space="0" w:color="auto"/>
      </w:divBdr>
    </w:div>
    <w:div w:id="906771060">
      <w:bodyDiv w:val="1"/>
      <w:marLeft w:val="0"/>
      <w:marRight w:val="0"/>
      <w:marTop w:val="0"/>
      <w:marBottom w:val="0"/>
      <w:divBdr>
        <w:top w:val="none" w:sz="0" w:space="0" w:color="auto"/>
        <w:left w:val="none" w:sz="0" w:space="0" w:color="auto"/>
        <w:bottom w:val="none" w:sz="0" w:space="0" w:color="auto"/>
        <w:right w:val="none" w:sz="0" w:space="0" w:color="auto"/>
      </w:divBdr>
    </w:div>
    <w:div w:id="928151826">
      <w:bodyDiv w:val="1"/>
      <w:marLeft w:val="0"/>
      <w:marRight w:val="0"/>
      <w:marTop w:val="0"/>
      <w:marBottom w:val="0"/>
      <w:divBdr>
        <w:top w:val="none" w:sz="0" w:space="0" w:color="auto"/>
        <w:left w:val="none" w:sz="0" w:space="0" w:color="auto"/>
        <w:bottom w:val="none" w:sz="0" w:space="0" w:color="auto"/>
        <w:right w:val="none" w:sz="0" w:space="0" w:color="auto"/>
      </w:divBdr>
    </w:div>
    <w:div w:id="938874621">
      <w:bodyDiv w:val="1"/>
      <w:marLeft w:val="0"/>
      <w:marRight w:val="0"/>
      <w:marTop w:val="0"/>
      <w:marBottom w:val="0"/>
      <w:divBdr>
        <w:top w:val="none" w:sz="0" w:space="0" w:color="auto"/>
        <w:left w:val="none" w:sz="0" w:space="0" w:color="auto"/>
        <w:bottom w:val="none" w:sz="0" w:space="0" w:color="auto"/>
        <w:right w:val="none" w:sz="0" w:space="0" w:color="auto"/>
      </w:divBdr>
    </w:div>
    <w:div w:id="942106983">
      <w:bodyDiv w:val="1"/>
      <w:marLeft w:val="0"/>
      <w:marRight w:val="0"/>
      <w:marTop w:val="0"/>
      <w:marBottom w:val="0"/>
      <w:divBdr>
        <w:top w:val="none" w:sz="0" w:space="0" w:color="auto"/>
        <w:left w:val="none" w:sz="0" w:space="0" w:color="auto"/>
        <w:bottom w:val="none" w:sz="0" w:space="0" w:color="auto"/>
        <w:right w:val="none" w:sz="0" w:space="0" w:color="auto"/>
      </w:divBdr>
    </w:div>
    <w:div w:id="953630158">
      <w:bodyDiv w:val="1"/>
      <w:marLeft w:val="0"/>
      <w:marRight w:val="0"/>
      <w:marTop w:val="0"/>
      <w:marBottom w:val="0"/>
      <w:divBdr>
        <w:top w:val="none" w:sz="0" w:space="0" w:color="auto"/>
        <w:left w:val="none" w:sz="0" w:space="0" w:color="auto"/>
        <w:bottom w:val="none" w:sz="0" w:space="0" w:color="auto"/>
        <w:right w:val="none" w:sz="0" w:space="0" w:color="auto"/>
      </w:divBdr>
    </w:div>
    <w:div w:id="957180862">
      <w:bodyDiv w:val="1"/>
      <w:marLeft w:val="0"/>
      <w:marRight w:val="0"/>
      <w:marTop w:val="0"/>
      <w:marBottom w:val="0"/>
      <w:divBdr>
        <w:top w:val="none" w:sz="0" w:space="0" w:color="auto"/>
        <w:left w:val="none" w:sz="0" w:space="0" w:color="auto"/>
        <w:bottom w:val="none" w:sz="0" w:space="0" w:color="auto"/>
        <w:right w:val="none" w:sz="0" w:space="0" w:color="auto"/>
      </w:divBdr>
    </w:div>
    <w:div w:id="958029460">
      <w:bodyDiv w:val="1"/>
      <w:marLeft w:val="0"/>
      <w:marRight w:val="0"/>
      <w:marTop w:val="0"/>
      <w:marBottom w:val="0"/>
      <w:divBdr>
        <w:top w:val="none" w:sz="0" w:space="0" w:color="auto"/>
        <w:left w:val="none" w:sz="0" w:space="0" w:color="auto"/>
        <w:bottom w:val="none" w:sz="0" w:space="0" w:color="auto"/>
        <w:right w:val="none" w:sz="0" w:space="0" w:color="auto"/>
      </w:divBdr>
    </w:div>
    <w:div w:id="967778852">
      <w:bodyDiv w:val="1"/>
      <w:marLeft w:val="0"/>
      <w:marRight w:val="0"/>
      <w:marTop w:val="0"/>
      <w:marBottom w:val="0"/>
      <w:divBdr>
        <w:top w:val="none" w:sz="0" w:space="0" w:color="auto"/>
        <w:left w:val="none" w:sz="0" w:space="0" w:color="auto"/>
        <w:bottom w:val="none" w:sz="0" w:space="0" w:color="auto"/>
        <w:right w:val="none" w:sz="0" w:space="0" w:color="auto"/>
      </w:divBdr>
    </w:div>
    <w:div w:id="975372302">
      <w:bodyDiv w:val="1"/>
      <w:marLeft w:val="0"/>
      <w:marRight w:val="0"/>
      <w:marTop w:val="0"/>
      <w:marBottom w:val="0"/>
      <w:divBdr>
        <w:top w:val="none" w:sz="0" w:space="0" w:color="auto"/>
        <w:left w:val="none" w:sz="0" w:space="0" w:color="auto"/>
        <w:bottom w:val="none" w:sz="0" w:space="0" w:color="auto"/>
        <w:right w:val="none" w:sz="0" w:space="0" w:color="auto"/>
      </w:divBdr>
    </w:div>
    <w:div w:id="979922140">
      <w:bodyDiv w:val="1"/>
      <w:marLeft w:val="0"/>
      <w:marRight w:val="0"/>
      <w:marTop w:val="0"/>
      <w:marBottom w:val="0"/>
      <w:divBdr>
        <w:top w:val="none" w:sz="0" w:space="0" w:color="auto"/>
        <w:left w:val="none" w:sz="0" w:space="0" w:color="auto"/>
        <w:bottom w:val="none" w:sz="0" w:space="0" w:color="auto"/>
        <w:right w:val="none" w:sz="0" w:space="0" w:color="auto"/>
      </w:divBdr>
    </w:div>
    <w:div w:id="998311641">
      <w:bodyDiv w:val="1"/>
      <w:marLeft w:val="0"/>
      <w:marRight w:val="0"/>
      <w:marTop w:val="0"/>
      <w:marBottom w:val="0"/>
      <w:divBdr>
        <w:top w:val="none" w:sz="0" w:space="0" w:color="auto"/>
        <w:left w:val="none" w:sz="0" w:space="0" w:color="auto"/>
        <w:bottom w:val="none" w:sz="0" w:space="0" w:color="auto"/>
        <w:right w:val="none" w:sz="0" w:space="0" w:color="auto"/>
      </w:divBdr>
    </w:div>
    <w:div w:id="1001155523">
      <w:bodyDiv w:val="1"/>
      <w:marLeft w:val="0"/>
      <w:marRight w:val="0"/>
      <w:marTop w:val="0"/>
      <w:marBottom w:val="0"/>
      <w:divBdr>
        <w:top w:val="none" w:sz="0" w:space="0" w:color="auto"/>
        <w:left w:val="none" w:sz="0" w:space="0" w:color="auto"/>
        <w:bottom w:val="none" w:sz="0" w:space="0" w:color="auto"/>
        <w:right w:val="none" w:sz="0" w:space="0" w:color="auto"/>
      </w:divBdr>
    </w:div>
    <w:div w:id="1012878728">
      <w:bodyDiv w:val="1"/>
      <w:marLeft w:val="0"/>
      <w:marRight w:val="0"/>
      <w:marTop w:val="0"/>
      <w:marBottom w:val="0"/>
      <w:divBdr>
        <w:top w:val="none" w:sz="0" w:space="0" w:color="auto"/>
        <w:left w:val="none" w:sz="0" w:space="0" w:color="auto"/>
        <w:bottom w:val="none" w:sz="0" w:space="0" w:color="auto"/>
        <w:right w:val="none" w:sz="0" w:space="0" w:color="auto"/>
      </w:divBdr>
    </w:div>
    <w:div w:id="1021319562">
      <w:bodyDiv w:val="1"/>
      <w:marLeft w:val="0"/>
      <w:marRight w:val="0"/>
      <w:marTop w:val="0"/>
      <w:marBottom w:val="0"/>
      <w:divBdr>
        <w:top w:val="none" w:sz="0" w:space="0" w:color="auto"/>
        <w:left w:val="none" w:sz="0" w:space="0" w:color="auto"/>
        <w:bottom w:val="none" w:sz="0" w:space="0" w:color="auto"/>
        <w:right w:val="none" w:sz="0" w:space="0" w:color="auto"/>
      </w:divBdr>
    </w:div>
    <w:div w:id="1049918416">
      <w:bodyDiv w:val="1"/>
      <w:marLeft w:val="0"/>
      <w:marRight w:val="0"/>
      <w:marTop w:val="0"/>
      <w:marBottom w:val="0"/>
      <w:divBdr>
        <w:top w:val="none" w:sz="0" w:space="0" w:color="auto"/>
        <w:left w:val="none" w:sz="0" w:space="0" w:color="auto"/>
        <w:bottom w:val="none" w:sz="0" w:space="0" w:color="auto"/>
        <w:right w:val="none" w:sz="0" w:space="0" w:color="auto"/>
      </w:divBdr>
    </w:div>
    <w:div w:id="1061515876">
      <w:bodyDiv w:val="1"/>
      <w:marLeft w:val="0"/>
      <w:marRight w:val="0"/>
      <w:marTop w:val="0"/>
      <w:marBottom w:val="0"/>
      <w:divBdr>
        <w:top w:val="none" w:sz="0" w:space="0" w:color="auto"/>
        <w:left w:val="none" w:sz="0" w:space="0" w:color="auto"/>
        <w:bottom w:val="none" w:sz="0" w:space="0" w:color="auto"/>
        <w:right w:val="none" w:sz="0" w:space="0" w:color="auto"/>
      </w:divBdr>
    </w:div>
    <w:div w:id="1066147958">
      <w:bodyDiv w:val="1"/>
      <w:marLeft w:val="0"/>
      <w:marRight w:val="0"/>
      <w:marTop w:val="0"/>
      <w:marBottom w:val="0"/>
      <w:divBdr>
        <w:top w:val="none" w:sz="0" w:space="0" w:color="auto"/>
        <w:left w:val="none" w:sz="0" w:space="0" w:color="auto"/>
        <w:bottom w:val="none" w:sz="0" w:space="0" w:color="auto"/>
        <w:right w:val="none" w:sz="0" w:space="0" w:color="auto"/>
      </w:divBdr>
    </w:div>
    <w:div w:id="1068385168">
      <w:bodyDiv w:val="1"/>
      <w:marLeft w:val="0"/>
      <w:marRight w:val="0"/>
      <w:marTop w:val="0"/>
      <w:marBottom w:val="0"/>
      <w:divBdr>
        <w:top w:val="none" w:sz="0" w:space="0" w:color="auto"/>
        <w:left w:val="none" w:sz="0" w:space="0" w:color="auto"/>
        <w:bottom w:val="none" w:sz="0" w:space="0" w:color="auto"/>
        <w:right w:val="none" w:sz="0" w:space="0" w:color="auto"/>
      </w:divBdr>
    </w:div>
    <w:div w:id="1077484431">
      <w:bodyDiv w:val="1"/>
      <w:marLeft w:val="0"/>
      <w:marRight w:val="0"/>
      <w:marTop w:val="0"/>
      <w:marBottom w:val="0"/>
      <w:divBdr>
        <w:top w:val="none" w:sz="0" w:space="0" w:color="auto"/>
        <w:left w:val="none" w:sz="0" w:space="0" w:color="auto"/>
        <w:bottom w:val="none" w:sz="0" w:space="0" w:color="auto"/>
        <w:right w:val="none" w:sz="0" w:space="0" w:color="auto"/>
      </w:divBdr>
    </w:div>
    <w:div w:id="1080713651">
      <w:bodyDiv w:val="1"/>
      <w:marLeft w:val="0"/>
      <w:marRight w:val="0"/>
      <w:marTop w:val="0"/>
      <w:marBottom w:val="0"/>
      <w:divBdr>
        <w:top w:val="none" w:sz="0" w:space="0" w:color="auto"/>
        <w:left w:val="none" w:sz="0" w:space="0" w:color="auto"/>
        <w:bottom w:val="none" w:sz="0" w:space="0" w:color="auto"/>
        <w:right w:val="none" w:sz="0" w:space="0" w:color="auto"/>
      </w:divBdr>
    </w:div>
    <w:div w:id="1089540600">
      <w:bodyDiv w:val="1"/>
      <w:marLeft w:val="0"/>
      <w:marRight w:val="0"/>
      <w:marTop w:val="0"/>
      <w:marBottom w:val="0"/>
      <w:divBdr>
        <w:top w:val="none" w:sz="0" w:space="0" w:color="auto"/>
        <w:left w:val="none" w:sz="0" w:space="0" w:color="auto"/>
        <w:bottom w:val="none" w:sz="0" w:space="0" w:color="auto"/>
        <w:right w:val="none" w:sz="0" w:space="0" w:color="auto"/>
      </w:divBdr>
    </w:div>
    <w:div w:id="1102915695">
      <w:bodyDiv w:val="1"/>
      <w:marLeft w:val="0"/>
      <w:marRight w:val="0"/>
      <w:marTop w:val="0"/>
      <w:marBottom w:val="0"/>
      <w:divBdr>
        <w:top w:val="none" w:sz="0" w:space="0" w:color="auto"/>
        <w:left w:val="none" w:sz="0" w:space="0" w:color="auto"/>
        <w:bottom w:val="none" w:sz="0" w:space="0" w:color="auto"/>
        <w:right w:val="none" w:sz="0" w:space="0" w:color="auto"/>
      </w:divBdr>
    </w:div>
    <w:div w:id="1105347113">
      <w:bodyDiv w:val="1"/>
      <w:marLeft w:val="0"/>
      <w:marRight w:val="0"/>
      <w:marTop w:val="0"/>
      <w:marBottom w:val="0"/>
      <w:divBdr>
        <w:top w:val="none" w:sz="0" w:space="0" w:color="auto"/>
        <w:left w:val="none" w:sz="0" w:space="0" w:color="auto"/>
        <w:bottom w:val="none" w:sz="0" w:space="0" w:color="auto"/>
        <w:right w:val="none" w:sz="0" w:space="0" w:color="auto"/>
      </w:divBdr>
    </w:div>
    <w:div w:id="1122967167">
      <w:bodyDiv w:val="1"/>
      <w:marLeft w:val="0"/>
      <w:marRight w:val="0"/>
      <w:marTop w:val="0"/>
      <w:marBottom w:val="0"/>
      <w:divBdr>
        <w:top w:val="none" w:sz="0" w:space="0" w:color="auto"/>
        <w:left w:val="none" w:sz="0" w:space="0" w:color="auto"/>
        <w:bottom w:val="none" w:sz="0" w:space="0" w:color="auto"/>
        <w:right w:val="none" w:sz="0" w:space="0" w:color="auto"/>
      </w:divBdr>
      <w:divsChild>
        <w:div w:id="872232020">
          <w:marLeft w:val="1924"/>
          <w:marRight w:val="0"/>
          <w:marTop w:val="0"/>
          <w:marBottom w:val="0"/>
          <w:divBdr>
            <w:top w:val="none" w:sz="0" w:space="0" w:color="auto"/>
            <w:left w:val="none" w:sz="0" w:space="0" w:color="auto"/>
            <w:bottom w:val="none" w:sz="0" w:space="0" w:color="auto"/>
            <w:right w:val="none" w:sz="0" w:space="0" w:color="auto"/>
          </w:divBdr>
        </w:div>
        <w:div w:id="1581253362">
          <w:marLeft w:val="0"/>
          <w:marRight w:val="0"/>
          <w:marTop w:val="0"/>
          <w:marBottom w:val="0"/>
          <w:divBdr>
            <w:top w:val="none" w:sz="0" w:space="0" w:color="auto"/>
            <w:left w:val="none" w:sz="0" w:space="0" w:color="auto"/>
            <w:bottom w:val="none" w:sz="0" w:space="0" w:color="auto"/>
            <w:right w:val="none" w:sz="0" w:space="0" w:color="auto"/>
          </w:divBdr>
          <w:divsChild>
            <w:div w:id="2144619211">
              <w:marLeft w:val="0"/>
              <w:marRight w:val="0"/>
              <w:marTop w:val="0"/>
              <w:marBottom w:val="0"/>
              <w:divBdr>
                <w:top w:val="none" w:sz="0" w:space="0" w:color="auto"/>
                <w:left w:val="none" w:sz="0" w:space="0" w:color="auto"/>
                <w:bottom w:val="none" w:sz="0" w:space="0" w:color="auto"/>
                <w:right w:val="none" w:sz="0" w:space="0" w:color="auto"/>
              </w:divBdr>
            </w:div>
          </w:divsChild>
        </w:div>
        <w:div w:id="1686521212">
          <w:marLeft w:val="1924"/>
          <w:marRight w:val="0"/>
          <w:marTop w:val="0"/>
          <w:marBottom w:val="0"/>
          <w:divBdr>
            <w:top w:val="none" w:sz="0" w:space="0" w:color="auto"/>
            <w:left w:val="none" w:sz="0" w:space="0" w:color="auto"/>
            <w:bottom w:val="none" w:sz="0" w:space="0" w:color="auto"/>
            <w:right w:val="none" w:sz="0" w:space="0" w:color="auto"/>
          </w:divBdr>
          <w:divsChild>
            <w:div w:id="1399596230">
              <w:marLeft w:val="0"/>
              <w:marRight w:val="0"/>
              <w:marTop w:val="0"/>
              <w:marBottom w:val="300"/>
              <w:divBdr>
                <w:top w:val="none" w:sz="0" w:space="0" w:color="auto"/>
                <w:left w:val="none" w:sz="0" w:space="0" w:color="auto"/>
                <w:bottom w:val="none" w:sz="0" w:space="0" w:color="auto"/>
                <w:right w:val="none" w:sz="0" w:space="0" w:color="auto"/>
              </w:divBdr>
              <w:divsChild>
                <w:div w:id="20074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52068">
      <w:bodyDiv w:val="1"/>
      <w:marLeft w:val="0"/>
      <w:marRight w:val="0"/>
      <w:marTop w:val="0"/>
      <w:marBottom w:val="0"/>
      <w:divBdr>
        <w:top w:val="none" w:sz="0" w:space="0" w:color="auto"/>
        <w:left w:val="none" w:sz="0" w:space="0" w:color="auto"/>
        <w:bottom w:val="none" w:sz="0" w:space="0" w:color="auto"/>
        <w:right w:val="none" w:sz="0" w:space="0" w:color="auto"/>
      </w:divBdr>
    </w:div>
    <w:div w:id="1124619306">
      <w:bodyDiv w:val="1"/>
      <w:marLeft w:val="0"/>
      <w:marRight w:val="0"/>
      <w:marTop w:val="0"/>
      <w:marBottom w:val="0"/>
      <w:divBdr>
        <w:top w:val="none" w:sz="0" w:space="0" w:color="auto"/>
        <w:left w:val="none" w:sz="0" w:space="0" w:color="auto"/>
        <w:bottom w:val="none" w:sz="0" w:space="0" w:color="auto"/>
        <w:right w:val="none" w:sz="0" w:space="0" w:color="auto"/>
      </w:divBdr>
    </w:div>
    <w:div w:id="1149635142">
      <w:bodyDiv w:val="1"/>
      <w:marLeft w:val="0"/>
      <w:marRight w:val="0"/>
      <w:marTop w:val="0"/>
      <w:marBottom w:val="0"/>
      <w:divBdr>
        <w:top w:val="none" w:sz="0" w:space="0" w:color="auto"/>
        <w:left w:val="none" w:sz="0" w:space="0" w:color="auto"/>
        <w:bottom w:val="none" w:sz="0" w:space="0" w:color="auto"/>
        <w:right w:val="none" w:sz="0" w:space="0" w:color="auto"/>
      </w:divBdr>
      <w:divsChild>
        <w:div w:id="390033301">
          <w:marLeft w:val="0"/>
          <w:marRight w:val="0"/>
          <w:marTop w:val="0"/>
          <w:marBottom w:val="0"/>
          <w:divBdr>
            <w:top w:val="single" w:sz="6" w:space="11" w:color="E2E2E2"/>
            <w:left w:val="none" w:sz="0" w:space="0" w:color="auto"/>
            <w:bottom w:val="single" w:sz="6" w:space="12" w:color="E2E2E2"/>
            <w:right w:val="none" w:sz="0" w:space="0" w:color="auto"/>
          </w:divBdr>
          <w:divsChild>
            <w:div w:id="1940797301">
              <w:marLeft w:val="0"/>
              <w:marRight w:val="0"/>
              <w:marTop w:val="0"/>
              <w:marBottom w:val="0"/>
              <w:divBdr>
                <w:top w:val="none" w:sz="0" w:space="0" w:color="auto"/>
                <w:left w:val="none" w:sz="0" w:space="0" w:color="auto"/>
                <w:bottom w:val="none" w:sz="0" w:space="0" w:color="auto"/>
                <w:right w:val="none" w:sz="0" w:space="0" w:color="auto"/>
              </w:divBdr>
              <w:divsChild>
                <w:div w:id="13519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8306">
      <w:bodyDiv w:val="1"/>
      <w:marLeft w:val="0"/>
      <w:marRight w:val="0"/>
      <w:marTop w:val="0"/>
      <w:marBottom w:val="0"/>
      <w:divBdr>
        <w:top w:val="none" w:sz="0" w:space="0" w:color="auto"/>
        <w:left w:val="none" w:sz="0" w:space="0" w:color="auto"/>
        <w:bottom w:val="none" w:sz="0" w:space="0" w:color="auto"/>
        <w:right w:val="none" w:sz="0" w:space="0" w:color="auto"/>
      </w:divBdr>
      <w:divsChild>
        <w:div w:id="1375230914">
          <w:marLeft w:val="0"/>
          <w:marRight w:val="0"/>
          <w:marTop w:val="0"/>
          <w:marBottom w:val="0"/>
          <w:divBdr>
            <w:top w:val="none" w:sz="0" w:space="0" w:color="auto"/>
            <w:left w:val="none" w:sz="0" w:space="0" w:color="auto"/>
            <w:bottom w:val="none" w:sz="0" w:space="0" w:color="auto"/>
            <w:right w:val="none" w:sz="0" w:space="0" w:color="auto"/>
          </w:divBdr>
          <w:divsChild>
            <w:div w:id="1558392377">
              <w:marLeft w:val="0"/>
              <w:marRight w:val="0"/>
              <w:marTop w:val="0"/>
              <w:marBottom w:val="0"/>
              <w:divBdr>
                <w:top w:val="none" w:sz="0" w:space="0" w:color="auto"/>
                <w:left w:val="none" w:sz="0" w:space="0" w:color="auto"/>
                <w:bottom w:val="none" w:sz="0" w:space="0" w:color="auto"/>
                <w:right w:val="none" w:sz="0" w:space="0" w:color="auto"/>
              </w:divBdr>
              <w:divsChild>
                <w:div w:id="1740252909">
                  <w:marLeft w:val="0"/>
                  <w:marRight w:val="0"/>
                  <w:marTop w:val="0"/>
                  <w:marBottom w:val="0"/>
                  <w:divBdr>
                    <w:top w:val="none" w:sz="0" w:space="0" w:color="auto"/>
                    <w:left w:val="none" w:sz="0" w:space="0" w:color="auto"/>
                    <w:bottom w:val="none" w:sz="0" w:space="0" w:color="auto"/>
                    <w:right w:val="none" w:sz="0" w:space="0" w:color="auto"/>
                  </w:divBdr>
                  <w:divsChild>
                    <w:div w:id="582955811">
                      <w:marLeft w:val="0"/>
                      <w:marRight w:val="0"/>
                      <w:marTop w:val="0"/>
                      <w:marBottom w:val="0"/>
                      <w:divBdr>
                        <w:top w:val="none" w:sz="0" w:space="0" w:color="auto"/>
                        <w:left w:val="none" w:sz="0" w:space="0" w:color="auto"/>
                        <w:bottom w:val="none" w:sz="0" w:space="0" w:color="auto"/>
                        <w:right w:val="none" w:sz="0" w:space="0" w:color="auto"/>
                      </w:divBdr>
                      <w:divsChild>
                        <w:div w:id="839464668">
                          <w:marLeft w:val="0"/>
                          <w:marRight w:val="0"/>
                          <w:marTop w:val="0"/>
                          <w:marBottom w:val="0"/>
                          <w:divBdr>
                            <w:top w:val="none" w:sz="0" w:space="0" w:color="auto"/>
                            <w:left w:val="none" w:sz="0" w:space="0" w:color="auto"/>
                            <w:bottom w:val="none" w:sz="0" w:space="0" w:color="auto"/>
                            <w:right w:val="none" w:sz="0" w:space="0" w:color="auto"/>
                          </w:divBdr>
                          <w:divsChild>
                            <w:div w:id="2080210364">
                              <w:marLeft w:val="0"/>
                              <w:marRight w:val="0"/>
                              <w:marTop w:val="0"/>
                              <w:marBottom w:val="0"/>
                              <w:divBdr>
                                <w:top w:val="none" w:sz="0" w:space="0" w:color="auto"/>
                                <w:left w:val="none" w:sz="0" w:space="0" w:color="auto"/>
                                <w:bottom w:val="none" w:sz="0" w:space="0" w:color="auto"/>
                                <w:right w:val="none" w:sz="0" w:space="0" w:color="auto"/>
                              </w:divBdr>
                              <w:divsChild>
                                <w:div w:id="392654879">
                                  <w:marLeft w:val="0"/>
                                  <w:marRight w:val="0"/>
                                  <w:marTop w:val="0"/>
                                  <w:marBottom w:val="225"/>
                                  <w:divBdr>
                                    <w:top w:val="none" w:sz="0" w:space="0" w:color="auto"/>
                                    <w:left w:val="none" w:sz="0" w:space="0" w:color="auto"/>
                                    <w:bottom w:val="none" w:sz="0" w:space="0" w:color="auto"/>
                                    <w:right w:val="none" w:sz="0" w:space="0" w:color="auto"/>
                                  </w:divBdr>
                                </w:div>
                                <w:div w:id="13602799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412846">
      <w:bodyDiv w:val="1"/>
      <w:marLeft w:val="0"/>
      <w:marRight w:val="0"/>
      <w:marTop w:val="0"/>
      <w:marBottom w:val="0"/>
      <w:divBdr>
        <w:top w:val="none" w:sz="0" w:space="0" w:color="auto"/>
        <w:left w:val="none" w:sz="0" w:space="0" w:color="auto"/>
        <w:bottom w:val="none" w:sz="0" w:space="0" w:color="auto"/>
        <w:right w:val="none" w:sz="0" w:space="0" w:color="auto"/>
      </w:divBdr>
    </w:div>
    <w:div w:id="1160119791">
      <w:bodyDiv w:val="1"/>
      <w:marLeft w:val="0"/>
      <w:marRight w:val="0"/>
      <w:marTop w:val="0"/>
      <w:marBottom w:val="0"/>
      <w:divBdr>
        <w:top w:val="none" w:sz="0" w:space="0" w:color="auto"/>
        <w:left w:val="none" w:sz="0" w:space="0" w:color="auto"/>
        <w:bottom w:val="none" w:sz="0" w:space="0" w:color="auto"/>
        <w:right w:val="none" w:sz="0" w:space="0" w:color="auto"/>
      </w:divBdr>
    </w:div>
    <w:div w:id="1160654217">
      <w:bodyDiv w:val="1"/>
      <w:marLeft w:val="0"/>
      <w:marRight w:val="0"/>
      <w:marTop w:val="0"/>
      <w:marBottom w:val="0"/>
      <w:divBdr>
        <w:top w:val="none" w:sz="0" w:space="0" w:color="auto"/>
        <w:left w:val="none" w:sz="0" w:space="0" w:color="auto"/>
        <w:bottom w:val="none" w:sz="0" w:space="0" w:color="auto"/>
        <w:right w:val="none" w:sz="0" w:space="0" w:color="auto"/>
      </w:divBdr>
    </w:div>
    <w:div w:id="1176461345">
      <w:bodyDiv w:val="1"/>
      <w:marLeft w:val="0"/>
      <w:marRight w:val="0"/>
      <w:marTop w:val="0"/>
      <w:marBottom w:val="0"/>
      <w:divBdr>
        <w:top w:val="none" w:sz="0" w:space="0" w:color="auto"/>
        <w:left w:val="none" w:sz="0" w:space="0" w:color="auto"/>
        <w:bottom w:val="none" w:sz="0" w:space="0" w:color="auto"/>
        <w:right w:val="none" w:sz="0" w:space="0" w:color="auto"/>
      </w:divBdr>
    </w:div>
    <w:div w:id="1178807421">
      <w:bodyDiv w:val="1"/>
      <w:marLeft w:val="0"/>
      <w:marRight w:val="0"/>
      <w:marTop w:val="0"/>
      <w:marBottom w:val="0"/>
      <w:divBdr>
        <w:top w:val="none" w:sz="0" w:space="0" w:color="auto"/>
        <w:left w:val="none" w:sz="0" w:space="0" w:color="auto"/>
        <w:bottom w:val="none" w:sz="0" w:space="0" w:color="auto"/>
        <w:right w:val="none" w:sz="0" w:space="0" w:color="auto"/>
      </w:divBdr>
    </w:div>
    <w:div w:id="1179808828">
      <w:bodyDiv w:val="1"/>
      <w:marLeft w:val="0"/>
      <w:marRight w:val="0"/>
      <w:marTop w:val="0"/>
      <w:marBottom w:val="0"/>
      <w:divBdr>
        <w:top w:val="none" w:sz="0" w:space="0" w:color="auto"/>
        <w:left w:val="none" w:sz="0" w:space="0" w:color="auto"/>
        <w:bottom w:val="none" w:sz="0" w:space="0" w:color="auto"/>
        <w:right w:val="none" w:sz="0" w:space="0" w:color="auto"/>
      </w:divBdr>
    </w:div>
    <w:div w:id="1193568420">
      <w:bodyDiv w:val="1"/>
      <w:marLeft w:val="0"/>
      <w:marRight w:val="0"/>
      <w:marTop w:val="0"/>
      <w:marBottom w:val="0"/>
      <w:divBdr>
        <w:top w:val="none" w:sz="0" w:space="0" w:color="auto"/>
        <w:left w:val="none" w:sz="0" w:space="0" w:color="auto"/>
        <w:bottom w:val="none" w:sz="0" w:space="0" w:color="auto"/>
        <w:right w:val="none" w:sz="0" w:space="0" w:color="auto"/>
      </w:divBdr>
    </w:div>
    <w:div w:id="1207402392">
      <w:bodyDiv w:val="1"/>
      <w:marLeft w:val="0"/>
      <w:marRight w:val="0"/>
      <w:marTop w:val="0"/>
      <w:marBottom w:val="0"/>
      <w:divBdr>
        <w:top w:val="none" w:sz="0" w:space="0" w:color="auto"/>
        <w:left w:val="none" w:sz="0" w:space="0" w:color="auto"/>
        <w:bottom w:val="none" w:sz="0" w:space="0" w:color="auto"/>
        <w:right w:val="none" w:sz="0" w:space="0" w:color="auto"/>
      </w:divBdr>
    </w:div>
    <w:div w:id="1208302243">
      <w:bodyDiv w:val="1"/>
      <w:marLeft w:val="0"/>
      <w:marRight w:val="0"/>
      <w:marTop w:val="0"/>
      <w:marBottom w:val="0"/>
      <w:divBdr>
        <w:top w:val="none" w:sz="0" w:space="0" w:color="auto"/>
        <w:left w:val="none" w:sz="0" w:space="0" w:color="auto"/>
        <w:bottom w:val="none" w:sz="0" w:space="0" w:color="auto"/>
        <w:right w:val="none" w:sz="0" w:space="0" w:color="auto"/>
      </w:divBdr>
    </w:div>
    <w:div w:id="1210996494">
      <w:bodyDiv w:val="1"/>
      <w:marLeft w:val="0"/>
      <w:marRight w:val="0"/>
      <w:marTop w:val="0"/>
      <w:marBottom w:val="0"/>
      <w:divBdr>
        <w:top w:val="none" w:sz="0" w:space="0" w:color="auto"/>
        <w:left w:val="none" w:sz="0" w:space="0" w:color="auto"/>
        <w:bottom w:val="none" w:sz="0" w:space="0" w:color="auto"/>
        <w:right w:val="none" w:sz="0" w:space="0" w:color="auto"/>
      </w:divBdr>
    </w:div>
    <w:div w:id="1216087116">
      <w:bodyDiv w:val="1"/>
      <w:marLeft w:val="0"/>
      <w:marRight w:val="0"/>
      <w:marTop w:val="0"/>
      <w:marBottom w:val="0"/>
      <w:divBdr>
        <w:top w:val="none" w:sz="0" w:space="0" w:color="auto"/>
        <w:left w:val="none" w:sz="0" w:space="0" w:color="auto"/>
        <w:bottom w:val="none" w:sz="0" w:space="0" w:color="auto"/>
        <w:right w:val="none" w:sz="0" w:space="0" w:color="auto"/>
      </w:divBdr>
    </w:div>
    <w:div w:id="1225682603">
      <w:bodyDiv w:val="1"/>
      <w:marLeft w:val="0"/>
      <w:marRight w:val="0"/>
      <w:marTop w:val="0"/>
      <w:marBottom w:val="0"/>
      <w:divBdr>
        <w:top w:val="none" w:sz="0" w:space="0" w:color="auto"/>
        <w:left w:val="none" w:sz="0" w:space="0" w:color="auto"/>
        <w:bottom w:val="none" w:sz="0" w:space="0" w:color="auto"/>
        <w:right w:val="none" w:sz="0" w:space="0" w:color="auto"/>
      </w:divBdr>
    </w:div>
    <w:div w:id="1227913105">
      <w:bodyDiv w:val="1"/>
      <w:marLeft w:val="0"/>
      <w:marRight w:val="0"/>
      <w:marTop w:val="0"/>
      <w:marBottom w:val="0"/>
      <w:divBdr>
        <w:top w:val="none" w:sz="0" w:space="0" w:color="auto"/>
        <w:left w:val="none" w:sz="0" w:space="0" w:color="auto"/>
        <w:bottom w:val="none" w:sz="0" w:space="0" w:color="auto"/>
        <w:right w:val="none" w:sz="0" w:space="0" w:color="auto"/>
      </w:divBdr>
    </w:div>
    <w:div w:id="1234046038">
      <w:bodyDiv w:val="1"/>
      <w:marLeft w:val="0"/>
      <w:marRight w:val="0"/>
      <w:marTop w:val="0"/>
      <w:marBottom w:val="0"/>
      <w:divBdr>
        <w:top w:val="none" w:sz="0" w:space="0" w:color="auto"/>
        <w:left w:val="none" w:sz="0" w:space="0" w:color="auto"/>
        <w:bottom w:val="none" w:sz="0" w:space="0" w:color="auto"/>
        <w:right w:val="none" w:sz="0" w:space="0" w:color="auto"/>
      </w:divBdr>
      <w:divsChild>
        <w:div w:id="1137142957">
          <w:marLeft w:val="0"/>
          <w:marRight w:val="0"/>
          <w:marTop w:val="0"/>
          <w:marBottom w:val="0"/>
          <w:divBdr>
            <w:top w:val="none" w:sz="0" w:space="0" w:color="auto"/>
            <w:left w:val="none" w:sz="0" w:space="0" w:color="auto"/>
            <w:bottom w:val="none" w:sz="0" w:space="0" w:color="auto"/>
            <w:right w:val="none" w:sz="0" w:space="0" w:color="auto"/>
          </w:divBdr>
          <w:divsChild>
            <w:div w:id="1736584510">
              <w:marLeft w:val="0"/>
              <w:marRight w:val="0"/>
              <w:marTop w:val="0"/>
              <w:marBottom w:val="0"/>
              <w:divBdr>
                <w:top w:val="none" w:sz="0" w:space="0" w:color="auto"/>
                <w:left w:val="none" w:sz="0" w:space="0" w:color="auto"/>
                <w:bottom w:val="none" w:sz="0" w:space="0" w:color="auto"/>
                <w:right w:val="none" w:sz="0" w:space="0" w:color="auto"/>
              </w:divBdr>
              <w:divsChild>
                <w:div w:id="1624187288">
                  <w:marLeft w:val="0"/>
                  <w:marRight w:val="0"/>
                  <w:marTop w:val="0"/>
                  <w:marBottom w:val="0"/>
                  <w:divBdr>
                    <w:top w:val="none" w:sz="0" w:space="0" w:color="auto"/>
                    <w:left w:val="none" w:sz="0" w:space="0" w:color="auto"/>
                    <w:bottom w:val="none" w:sz="0" w:space="0" w:color="auto"/>
                    <w:right w:val="none" w:sz="0" w:space="0" w:color="auto"/>
                  </w:divBdr>
                  <w:divsChild>
                    <w:div w:id="3333831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35311049">
      <w:bodyDiv w:val="1"/>
      <w:marLeft w:val="0"/>
      <w:marRight w:val="0"/>
      <w:marTop w:val="0"/>
      <w:marBottom w:val="0"/>
      <w:divBdr>
        <w:top w:val="none" w:sz="0" w:space="0" w:color="auto"/>
        <w:left w:val="none" w:sz="0" w:space="0" w:color="auto"/>
        <w:bottom w:val="none" w:sz="0" w:space="0" w:color="auto"/>
        <w:right w:val="none" w:sz="0" w:space="0" w:color="auto"/>
      </w:divBdr>
    </w:div>
    <w:div w:id="1241984750">
      <w:bodyDiv w:val="1"/>
      <w:marLeft w:val="0"/>
      <w:marRight w:val="0"/>
      <w:marTop w:val="0"/>
      <w:marBottom w:val="0"/>
      <w:divBdr>
        <w:top w:val="none" w:sz="0" w:space="0" w:color="auto"/>
        <w:left w:val="none" w:sz="0" w:space="0" w:color="auto"/>
        <w:bottom w:val="none" w:sz="0" w:space="0" w:color="auto"/>
        <w:right w:val="none" w:sz="0" w:space="0" w:color="auto"/>
      </w:divBdr>
    </w:div>
    <w:div w:id="1242179811">
      <w:bodyDiv w:val="1"/>
      <w:marLeft w:val="0"/>
      <w:marRight w:val="0"/>
      <w:marTop w:val="0"/>
      <w:marBottom w:val="0"/>
      <w:divBdr>
        <w:top w:val="none" w:sz="0" w:space="0" w:color="auto"/>
        <w:left w:val="none" w:sz="0" w:space="0" w:color="auto"/>
        <w:bottom w:val="none" w:sz="0" w:space="0" w:color="auto"/>
        <w:right w:val="none" w:sz="0" w:space="0" w:color="auto"/>
      </w:divBdr>
    </w:div>
    <w:div w:id="1275208599">
      <w:bodyDiv w:val="1"/>
      <w:marLeft w:val="0"/>
      <w:marRight w:val="0"/>
      <w:marTop w:val="0"/>
      <w:marBottom w:val="0"/>
      <w:divBdr>
        <w:top w:val="none" w:sz="0" w:space="0" w:color="auto"/>
        <w:left w:val="none" w:sz="0" w:space="0" w:color="auto"/>
        <w:bottom w:val="none" w:sz="0" w:space="0" w:color="auto"/>
        <w:right w:val="none" w:sz="0" w:space="0" w:color="auto"/>
      </w:divBdr>
    </w:div>
    <w:div w:id="1277298996">
      <w:bodyDiv w:val="1"/>
      <w:marLeft w:val="0"/>
      <w:marRight w:val="0"/>
      <w:marTop w:val="0"/>
      <w:marBottom w:val="0"/>
      <w:divBdr>
        <w:top w:val="none" w:sz="0" w:space="0" w:color="auto"/>
        <w:left w:val="none" w:sz="0" w:space="0" w:color="auto"/>
        <w:bottom w:val="none" w:sz="0" w:space="0" w:color="auto"/>
        <w:right w:val="none" w:sz="0" w:space="0" w:color="auto"/>
      </w:divBdr>
    </w:div>
    <w:div w:id="1285304771">
      <w:bodyDiv w:val="1"/>
      <w:marLeft w:val="0"/>
      <w:marRight w:val="0"/>
      <w:marTop w:val="0"/>
      <w:marBottom w:val="0"/>
      <w:divBdr>
        <w:top w:val="none" w:sz="0" w:space="0" w:color="auto"/>
        <w:left w:val="none" w:sz="0" w:space="0" w:color="auto"/>
        <w:bottom w:val="none" w:sz="0" w:space="0" w:color="auto"/>
        <w:right w:val="none" w:sz="0" w:space="0" w:color="auto"/>
      </w:divBdr>
    </w:div>
    <w:div w:id="1288241689">
      <w:bodyDiv w:val="1"/>
      <w:marLeft w:val="0"/>
      <w:marRight w:val="0"/>
      <w:marTop w:val="0"/>
      <w:marBottom w:val="0"/>
      <w:divBdr>
        <w:top w:val="none" w:sz="0" w:space="0" w:color="auto"/>
        <w:left w:val="none" w:sz="0" w:space="0" w:color="auto"/>
        <w:bottom w:val="none" w:sz="0" w:space="0" w:color="auto"/>
        <w:right w:val="none" w:sz="0" w:space="0" w:color="auto"/>
      </w:divBdr>
    </w:div>
    <w:div w:id="1293440045">
      <w:bodyDiv w:val="1"/>
      <w:marLeft w:val="0"/>
      <w:marRight w:val="0"/>
      <w:marTop w:val="0"/>
      <w:marBottom w:val="0"/>
      <w:divBdr>
        <w:top w:val="none" w:sz="0" w:space="0" w:color="auto"/>
        <w:left w:val="none" w:sz="0" w:space="0" w:color="auto"/>
        <w:bottom w:val="none" w:sz="0" w:space="0" w:color="auto"/>
        <w:right w:val="none" w:sz="0" w:space="0" w:color="auto"/>
      </w:divBdr>
    </w:div>
    <w:div w:id="1311792255">
      <w:bodyDiv w:val="1"/>
      <w:marLeft w:val="0"/>
      <w:marRight w:val="0"/>
      <w:marTop w:val="0"/>
      <w:marBottom w:val="0"/>
      <w:divBdr>
        <w:top w:val="none" w:sz="0" w:space="0" w:color="auto"/>
        <w:left w:val="none" w:sz="0" w:space="0" w:color="auto"/>
        <w:bottom w:val="none" w:sz="0" w:space="0" w:color="auto"/>
        <w:right w:val="none" w:sz="0" w:space="0" w:color="auto"/>
      </w:divBdr>
    </w:div>
    <w:div w:id="1313751832">
      <w:bodyDiv w:val="1"/>
      <w:marLeft w:val="0"/>
      <w:marRight w:val="0"/>
      <w:marTop w:val="0"/>
      <w:marBottom w:val="0"/>
      <w:divBdr>
        <w:top w:val="none" w:sz="0" w:space="0" w:color="auto"/>
        <w:left w:val="none" w:sz="0" w:space="0" w:color="auto"/>
        <w:bottom w:val="none" w:sz="0" w:space="0" w:color="auto"/>
        <w:right w:val="none" w:sz="0" w:space="0" w:color="auto"/>
      </w:divBdr>
    </w:div>
    <w:div w:id="1318993641">
      <w:bodyDiv w:val="1"/>
      <w:marLeft w:val="0"/>
      <w:marRight w:val="0"/>
      <w:marTop w:val="0"/>
      <w:marBottom w:val="0"/>
      <w:divBdr>
        <w:top w:val="none" w:sz="0" w:space="0" w:color="auto"/>
        <w:left w:val="none" w:sz="0" w:space="0" w:color="auto"/>
        <w:bottom w:val="none" w:sz="0" w:space="0" w:color="auto"/>
        <w:right w:val="none" w:sz="0" w:space="0" w:color="auto"/>
      </w:divBdr>
    </w:div>
    <w:div w:id="1321276783">
      <w:bodyDiv w:val="1"/>
      <w:marLeft w:val="0"/>
      <w:marRight w:val="0"/>
      <w:marTop w:val="0"/>
      <w:marBottom w:val="0"/>
      <w:divBdr>
        <w:top w:val="none" w:sz="0" w:space="0" w:color="auto"/>
        <w:left w:val="none" w:sz="0" w:space="0" w:color="auto"/>
        <w:bottom w:val="none" w:sz="0" w:space="0" w:color="auto"/>
        <w:right w:val="none" w:sz="0" w:space="0" w:color="auto"/>
      </w:divBdr>
    </w:div>
    <w:div w:id="1324771156">
      <w:bodyDiv w:val="1"/>
      <w:marLeft w:val="0"/>
      <w:marRight w:val="0"/>
      <w:marTop w:val="0"/>
      <w:marBottom w:val="0"/>
      <w:divBdr>
        <w:top w:val="none" w:sz="0" w:space="0" w:color="auto"/>
        <w:left w:val="none" w:sz="0" w:space="0" w:color="auto"/>
        <w:bottom w:val="none" w:sz="0" w:space="0" w:color="auto"/>
        <w:right w:val="none" w:sz="0" w:space="0" w:color="auto"/>
      </w:divBdr>
    </w:div>
    <w:div w:id="1325360109">
      <w:bodyDiv w:val="1"/>
      <w:marLeft w:val="0"/>
      <w:marRight w:val="0"/>
      <w:marTop w:val="0"/>
      <w:marBottom w:val="0"/>
      <w:divBdr>
        <w:top w:val="none" w:sz="0" w:space="0" w:color="auto"/>
        <w:left w:val="none" w:sz="0" w:space="0" w:color="auto"/>
        <w:bottom w:val="none" w:sz="0" w:space="0" w:color="auto"/>
        <w:right w:val="none" w:sz="0" w:space="0" w:color="auto"/>
      </w:divBdr>
    </w:div>
    <w:div w:id="1330140323">
      <w:bodyDiv w:val="1"/>
      <w:marLeft w:val="0"/>
      <w:marRight w:val="0"/>
      <w:marTop w:val="0"/>
      <w:marBottom w:val="0"/>
      <w:divBdr>
        <w:top w:val="none" w:sz="0" w:space="0" w:color="auto"/>
        <w:left w:val="none" w:sz="0" w:space="0" w:color="auto"/>
        <w:bottom w:val="none" w:sz="0" w:space="0" w:color="auto"/>
        <w:right w:val="none" w:sz="0" w:space="0" w:color="auto"/>
      </w:divBdr>
    </w:div>
    <w:div w:id="1331450576">
      <w:bodyDiv w:val="1"/>
      <w:marLeft w:val="0"/>
      <w:marRight w:val="0"/>
      <w:marTop w:val="0"/>
      <w:marBottom w:val="0"/>
      <w:divBdr>
        <w:top w:val="none" w:sz="0" w:space="0" w:color="auto"/>
        <w:left w:val="none" w:sz="0" w:space="0" w:color="auto"/>
        <w:bottom w:val="none" w:sz="0" w:space="0" w:color="auto"/>
        <w:right w:val="none" w:sz="0" w:space="0" w:color="auto"/>
      </w:divBdr>
    </w:div>
    <w:div w:id="1351566213">
      <w:bodyDiv w:val="1"/>
      <w:marLeft w:val="0"/>
      <w:marRight w:val="0"/>
      <w:marTop w:val="0"/>
      <w:marBottom w:val="0"/>
      <w:divBdr>
        <w:top w:val="none" w:sz="0" w:space="0" w:color="auto"/>
        <w:left w:val="none" w:sz="0" w:space="0" w:color="auto"/>
        <w:bottom w:val="none" w:sz="0" w:space="0" w:color="auto"/>
        <w:right w:val="none" w:sz="0" w:space="0" w:color="auto"/>
      </w:divBdr>
    </w:div>
    <w:div w:id="1356270487">
      <w:bodyDiv w:val="1"/>
      <w:marLeft w:val="0"/>
      <w:marRight w:val="0"/>
      <w:marTop w:val="0"/>
      <w:marBottom w:val="0"/>
      <w:divBdr>
        <w:top w:val="none" w:sz="0" w:space="0" w:color="auto"/>
        <w:left w:val="none" w:sz="0" w:space="0" w:color="auto"/>
        <w:bottom w:val="none" w:sz="0" w:space="0" w:color="auto"/>
        <w:right w:val="none" w:sz="0" w:space="0" w:color="auto"/>
      </w:divBdr>
    </w:div>
    <w:div w:id="1358196310">
      <w:bodyDiv w:val="1"/>
      <w:marLeft w:val="0"/>
      <w:marRight w:val="0"/>
      <w:marTop w:val="0"/>
      <w:marBottom w:val="0"/>
      <w:divBdr>
        <w:top w:val="none" w:sz="0" w:space="0" w:color="auto"/>
        <w:left w:val="none" w:sz="0" w:space="0" w:color="auto"/>
        <w:bottom w:val="none" w:sz="0" w:space="0" w:color="auto"/>
        <w:right w:val="none" w:sz="0" w:space="0" w:color="auto"/>
      </w:divBdr>
    </w:div>
    <w:div w:id="1364475430">
      <w:bodyDiv w:val="1"/>
      <w:marLeft w:val="0"/>
      <w:marRight w:val="0"/>
      <w:marTop w:val="0"/>
      <w:marBottom w:val="0"/>
      <w:divBdr>
        <w:top w:val="none" w:sz="0" w:space="0" w:color="auto"/>
        <w:left w:val="none" w:sz="0" w:space="0" w:color="auto"/>
        <w:bottom w:val="none" w:sz="0" w:space="0" w:color="auto"/>
        <w:right w:val="none" w:sz="0" w:space="0" w:color="auto"/>
      </w:divBdr>
    </w:div>
    <w:div w:id="1365130440">
      <w:bodyDiv w:val="1"/>
      <w:marLeft w:val="0"/>
      <w:marRight w:val="0"/>
      <w:marTop w:val="0"/>
      <w:marBottom w:val="0"/>
      <w:divBdr>
        <w:top w:val="none" w:sz="0" w:space="0" w:color="auto"/>
        <w:left w:val="none" w:sz="0" w:space="0" w:color="auto"/>
        <w:bottom w:val="none" w:sz="0" w:space="0" w:color="auto"/>
        <w:right w:val="none" w:sz="0" w:space="0" w:color="auto"/>
      </w:divBdr>
    </w:div>
    <w:div w:id="1370102911">
      <w:bodyDiv w:val="1"/>
      <w:marLeft w:val="0"/>
      <w:marRight w:val="0"/>
      <w:marTop w:val="0"/>
      <w:marBottom w:val="0"/>
      <w:divBdr>
        <w:top w:val="none" w:sz="0" w:space="0" w:color="auto"/>
        <w:left w:val="none" w:sz="0" w:space="0" w:color="auto"/>
        <w:bottom w:val="none" w:sz="0" w:space="0" w:color="auto"/>
        <w:right w:val="none" w:sz="0" w:space="0" w:color="auto"/>
      </w:divBdr>
    </w:div>
    <w:div w:id="1374578127">
      <w:bodyDiv w:val="1"/>
      <w:marLeft w:val="0"/>
      <w:marRight w:val="0"/>
      <w:marTop w:val="0"/>
      <w:marBottom w:val="0"/>
      <w:divBdr>
        <w:top w:val="none" w:sz="0" w:space="0" w:color="auto"/>
        <w:left w:val="none" w:sz="0" w:space="0" w:color="auto"/>
        <w:bottom w:val="none" w:sz="0" w:space="0" w:color="auto"/>
        <w:right w:val="none" w:sz="0" w:space="0" w:color="auto"/>
      </w:divBdr>
    </w:div>
    <w:div w:id="1375808584">
      <w:bodyDiv w:val="1"/>
      <w:marLeft w:val="0"/>
      <w:marRight w:val="0"/>
      <w:marTop w:val="0"/>
      <w:marBottom w:val="0"/>
      <w:divBdr>
        <w:top w:val="none" w:sz="0" w:space="0" w:color="auto"/>
        <w:left w:val="none" w:sz="0" w:space="0" w:color="auto"/>
        <w:bottom w:val="none" w:sz="0" w:space="0" w:color="auto"/>
        <w:right w:val="none" w:sz="0" w:space="0" w:color="auto"/>
      </w:divBdr>
    </w:div>
    <w:div w:id="1387101793">
      <w:bodyDiv w:val="1"/>
      <w:marLeft w:val="0"/>
      <w:marRight w:val="0"/>
      <w:marTop w:val="0"/>
      <w:marBottom w:val="0"/>
      <w:divBdr>
        <w:top w:val="none" w:sz="0" w:space="0" w:color="auto"/>
        <w:left w:val="none" w:sz="0" w:space="0" w:color="auto"/>
        <w:bottom w:val="none" w:sz="0" w:space="0" w:color="auto"/>
        <w:right w:val="none" w:sz="0" w:space="0" w:color="auto"/>
      </w:divBdr>
    </w:div>
    <w:div w:id="1389691563">
      <w:bodyDiv w:val="1"/>
      <w:marLeft w:val="0"/>
      <w:marRight w:val="0"/>
      <w:marTop w:val="0"/>
      <w:marBottom w:val="0"/>
      <w:divBdr>
        <w:top w:val="none" w:sz="0" w:space="0" w:color="auto"/>
        <w:left w:val="none" w:sz="0" w:space="0" w:color="auto"/>
        <w:bottom w:val="none" w:sz="0" w:space="0" w:color="auto"/>
        <w:right w:val="none" w:sz="0" w:space="0" w:color="auto"/>
      </w:divBdr>
    </w:div>
    <w:div w:id="1398435685">
      <w:bodyDiv w:val="1"/>
      <w:marLeft w:val="0"/>
      <w:marRight w:val="0"/>
      <w:marTop w:val="0"/>
      <w:marBottom w:val="0"/>
      <w:divBdr>
        <w:top w:val="none" w:sz="0" w:space="0" w:color="auto"/>
        <w:left w:val="none" w:sz="0" w:space="0" w:color="auto"/>
        <w:bottom w:val="none" w:sz="0" w:space="0" w:color="auto"/>
        <w:right w:val="none" w:sz="0" w:space="0" w:color="auto"/>
      </w:divBdr>
    </w:div>
    <w:div w:id="1432319731">
      <w:bodyDiv w:val="1"/>
      <w:marLeft w:val="0"/>
      <w:marRight w:val="0"/>
      <w:marTop w:val="0"/>
      <w:marBottom w:val="0"/>
      <w:divBdr>
        <w:top w:val="none" w:sz="0" w:space="0" w:color="auto"/>
        <w:left w:val="none" w:sz="0" w:space="0" w:color="auto"/>
        <w:bottom w:val="none" w:sz="0" w:space="0" w:color="auto"/>
        <w:right w:val="none" w:sz="0" w:space="0" w:color="auto"/>
      </w:divBdr>
      <w:divsChild>
        <w:div w:id="720328609">
          <w:marLeft w:val="0"/>
          <w:marRight w:val="0"/>
          <w:marTop w:val="0"/>
          <w:marBottom w:val="0"/>
          <w:divBdr>
            <w:top w:val="single" w:sz="6" w:space="11" w:color="E2E2E2"/>
            <w:left w:val="none" w:sz="0" w:space="0" w:color="auto"/>
            <w:bottom w:val="single" w:sz="6" w:space="12" w:color="E2E2E2"/>
            <w:right w:val="none" w:sz="0" w:space="0" w:color="auto"/>
          </w:divBdr>
          <w:divsChild>
            <w:div w:id="1300111663">
              <w:marLeft w:val="0"/>
              <w:marRight w:val="0"/>
              <w:marTop w:val="0"/>
              <w:marBottom w:val="0"/>
              <w:divBdr>
                <w:top w:val="none" w:sz="0" w:space="0" w:color="auto"/>
                <w:left w:val="none" w:sz="0" w:space="0" w:color="auto"/>
                <w:bottom w:val="none" w:sz="0" w:space="0" w:color="auto"/>
                <w:right w:val="none" w:sz="0" w:space="0" w:color="auto"/>
              </w:divBdr>
              <w:divsChild>
                <w:div w:id="18968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48515">
      <w:bodyDiv w:val="1"/>
      <w:marLeft w:val="0"/>
      <w:marRight w:val="0"/>
      <w:marTop w:val="0"/>
      <w:marBottom w:val="0"/>
      <w:divBdr>
        <w:top w:val="none" w:sz="0" w:space="0" w:color="auto"/>
        <w:left w:val="none" w:sz="0" w:space="0" w:color="auto"/>
        <w:bottom w:val="none" w:sz="0" w:space="0" w:color="auto"/>
        <w:right w:val="none" w:sz="0" w:space="0" w:color="auto"/>
      </w:divBdr>
    </w:div>
    <w:div w:id="1451557266">
      <w:bodyDiv w:val="1"/>
      <w:marLeft w:val="0"/>
      <w:marRight w:val="0"/>
      <w:marTop w:val="0"/>
      <w:marBottom w:val="0"/>
      <w:divBdr>
        <w:top w:val="none" w:sz="0" w:space="0" w:color="auto"/>
        <w:left w:val="none" w:sz="0" w:space="0" w:color="auto"/>
        <w:bottom w:val="none" w:sz="0" w:space="0" w:color="auto"/>
        <w:right w:val="none" w:sz="0" w:space="0" w:color="auto"/>
      </w:divBdr>
    </w:div>
    <w:div w:id="1463841434">
      <w:bodyDiv w:val="1"/>
      <w:marLeft w:val="0"/>
      <w:marRight w:val="0"/>
      <w:marTop w:val="0"/>
      <w:marBottom w:val="0"/>
      <w:divBdr>
        <w:top w:val="none" w:sz="0" w:space="0" w:color="auto"/>
        <w:left w:val="none" w:sz="0" w:space="0" w:color="auto"/>
        <w:bottom w:val="none" w:sz="0" w:space="0" w:color="auto"/>
        <w:right w:val="none" w:sz="0" w:space="0" w:color="auto"/>
      </w:divBdr>
    </w:div>
    <w:div w:id="1484933864">
      <w:bodyDiv w:val="1"/>
      <w:marLeft w:val="0"/>
      <w:marRight w:val="0"/>
      <w:marTop w:val="0"/>
      <w:marBottom w:val="0"/>
      <w:divBdr>
        <w:top w:val="none" w:sz="0" w:space="0" w:color="auto"/>
        <w:left w:val="none" w:sz="0" w:space="0" w:color="auto"/>
        <w:bottom w:val="none" w:sz="0" w:space="0" w:color="auto"/>
        <w:right w:val="none" w:sz="0" w:space="0" w:color="auto"/>
      </w:divBdr>
    </w:div>
    <w:div w:id="1489907328">
      <w:bodyDiv w:val="1"/>
      <w:marLeft w:val="0"/>
      <w:marRight w:val="0"/>
      <w:marTop w:val="0"/>
      <w:marBottom w:val="0"/>
      <w:divBdr>
        <w:top w:val="none" w:sz="0" w:space="0" w:color="auto"/>
        <w:left w:val="none" w:sz="0" w:space="0" w:color="auto"/>
        <w:bottom w:val="none" w:sz="0" w:space="0" w:color="auto"/>
        <w:right w:val="none" w:sz="0" w:space="0" w:color="auto"/>
      </w:divBdr>
    </w:div>
    <w:div w:id="1491365699">
      <w:bodyDiv w:val="1"/>
      <w:marLeft w:val="0"/>
      <w:marRight w:val="0"/>
      <w:marTop w:val="0"/>
      <w:marBottom w:val="0"/>
      <w:divBdr>
        <w:top w:val="none" w:sz="0" w:space="0" w:color="auto"/>
        <w:left w:val="none" w:sz="0" w:space="0" w:color="auto"/>
        <w:bottom w:val="none" w:sz="0" w:space="0" w:color="auto"/>
        <w:right w:val="none" w:sz="0" w:space="0" w:color="auto"/>
      </w:divBdr>
    </w:div>
    <w:div w:id="1493329953">
      <w:bodyDiv w:val="1"/>
      <w:marLeft w:val="0"/>
      <w:marRight w:val="0"/>
      <w:marTop w:val="0"/>
      <w:marBottom w:val="0"/>
      <w:divBdr>
        <w:top w:val="none" w:sz="0" w:space="0" w:color="auto"/>
        <w:left w:val="none" w:sz="0" w:space="0" w:color="auto"/>
        <w:bottom w:val="none" w:sz="0" w:space="0" w:color="auto"/>
        <w:right w:val="none" w:sz="0" w:space="0" w:color="auto"/>
      </w:divBdr>
    </w:div>
    <w:div w:id="1496263729">
      <w:bodyDiv w:val="1"/>
      <w:marLeft w:val="0"/>
      <w:marRight w:val="0"/>
      <w:marTop w:val="0"/>
      <w:marBottom w:val="0"/>
      <w:divBdr>
        <w:top w:val="none" w:sz="0" w:space="0" w:color="auto"/>
        <w:left w:val="none" w:sz="0" w:space="0" w:color="auto"/>
        <w:bottom w:val="none" w:sz="0" w:space="0" w:color="auto"/>
        <w:right w:val="none" w:sz="0" w:space="0" w:color="auto"/>
      </w:divBdr>
    </w:div>
    <w:div w:id="1500273874">
      <w:bodyDiv w:val="1"/>
      <w:marLeft w:val="0"/>
      <w:marRight w:val="0"/>
      <w:marTop w:val="0"/>
      <w:marBottom w:val="0"/>
      <w:divBdr>
        <w:top w:val="none" w:sz="0" w:space="0" w:color="auto"/>
        <w:left w:val="none" w:sz="0" w:space="0" w:color="auto"/>
        <w:bottom w:val="none" w:sz="0" w:space="0" w:color="auto"/>
        <w:right w:val="none" w:sz="0" w:space="0" w:color="auto"/>
      </w:divBdr>
    </w:div>
    <w:div w:id="1511140330">
      <w:bodyDiv w:val="1"/>
      <w:marLeft w:val="0"/>
      <w:marRight w:val="0"/>
      <w:marTop w:val="0"/>
      <w:marBottom w:val="0"/>
      <w:divBdr>
        <w:top w:val="none" w:sz="0" w:space="0" w:color="auto"/>
        <w:left w:val="none" w:sz="0" w:space="0" w:color="auto"/>
        <w:bottom w:val="none" w:sz="0" w:space="0" w:color="auto"/>
        <w:right w:val="none" w:sz="0" w:space="0" w:color="auto"/>
      </w:divBdr>
    </w:div>
    <w:div w:id="1536235713">
      <w:bodyDiv w:val="1"/>
      <w:marLeft w:val="0"/>
      <w:marRight w:val="0"/>
      <w:marTop w:val="0"/>
      <w:marBottom w:val="0"/>
      <w:divBdr>
        <w:top w:val="none" w:sz="0" w:space="0" w:color="auto"/>
        <w:left w:val="none" w:sz="0" w:space="0" w:color="auto"/>
        <w:bottom w:val="none" w:sz="0" w:space="0" w:color="auto"/>
        <w:right w:val="none" w:sz="0" w:space="0" w:color="auto"/>
      </w:divBdr>
      <w:divsChild>
        <w:div w:id="260918233">
          <w:marLeft w:val="0"/>
          <w:marRight w:val="0"/>
          <w:marTop w:val="0"/>
          <w:marBottom w:val="0"/>
          <w:divBdr>
            <w:top w:val="none" w:sz="0" w:space="0" w:color="auto"/>
            <w:left w:val="none" w:sz="0" w:space="0" w:color="auto"/>
            <w:bottom w:val="none" w:sz="0" w:space="0" w:color="auto"/>
            <w:right w:val="none" w:sz="0" w:space="0" w:color="auto"/>
          </w:divBdr>
        </w:div>
      </w:divsChild>
    </w:div>
    <w:div w:id="1546789557">
      <w:bodyDiv w:val="1"/>
      <w:marLeft w:val="0"/>
      <w:marRight w:val="0"/>
      <w:marTop w:val="0"/>
      <w:marBottom w:val="0"/>
      <w:divBdr>
        <w:top w:val="none" w:sz="0" w:space="0" w:color="auto"/>
        <w:left w:val="none" w:sz="0" w:space="0" w:color="auto"/>
        <w:bottom w:val="none" w:sz="0" w:space="0" w:color="auto"/>
        <w:right w:val="none" w:sz="0" w:space="0" w:color="auto"/>
      </w:divBdr>
    </w:div>
    <w:div w:id="1556090309">
      <w:bodyDiv w:val="1"/>
      <w:marLeft w:val="0"/>
      <w:marRight w:val="0"/>
      <w:marTop w:val="0"/>
      <w:marBottom w:val="0"/>
      <w:divBdr>
        <w:top w:val="none" w:sz="0" w:space="0" w:color="auto"/>
        <w:left w:val="none" w:sz="0" w:space="0" w:color="auto"/>
        <w:bottom w:val="none" w:sz="0" w:space="0" w:color="auto"/>
        <w:right w:val="none" w:sz="0" w:space="0" w:color="auto"/>
      </w:divBdr>
    </w:div>
    <w:div w:id="1561163077">
      <w:bodyDiv w:val="1"/>
      <w:marLeft w:val="0"/>
      <w:marRight w:val="0"/>
      <w:marTop w:val="0"/>
      <w:marBottom w:val="0"/>
      <w:divBdr>
        <w:top w:val="none" w:sz="0" w:space="0" w:color="auto"/>
        <w:left w:val="none" w:sz="0" w:space="0" w:color="auto"/>
        <w:bottom w:val="none" w:sz="0" w:space="0" w:color="auto"/>
        <w:right w:val="none" w:sz="0" w:space="0" w:color="auto"/>
      </w:divBdr>
    </w:div>
    <w:div w:id="1567642484">
      <w:bodyDiv w:val="1"/>
      <w:marLeft w:val="0"/>
      <w:marRight w:val="0"/>
      <w:marTop w:val="0"/>
      <w:marBottom w:val="0"/>
      <w:divBdr>
        <w:top w:val="none" w:sz="0" w:space="0" w:color="auto"/>
        <w:left w:val="none" w:sz="0" w:space="0" w:color="auto"/>
        <w:bottom w:val="none" w:sz="0" w:space="0" w:color="auto"/>
        <w:right w:val="none" w:sz="0" w:space="0" w:color="auto"/>
      </w:divBdr>
    </w:div>
    <w:div w:id="1572278850">
      <w:bodyDiv w:val="1"/>
      <w:marLeft w:val="0"/>
      <w:marRight w:val="0"/>
      <w:marTop w:val="0"/>
      <w:marBottom w:val="0"/>
      <w:divBdr>
        <w:top w:val="none" w:sz="0" w:space="0" w:color="auto"/>
        <w:left w:val="none" w:sz="0" w:space="0" w:color="auto"/>
        <w:bottom w:val="none" w:sz="0" w:space="0" w:color="auto"/>
        <w:right w:val="none" w:sz="0" w:space="0" w:color="auto"/>
      </w:divBdr>
    </w:div>
    <w:div w:id="1577087772">
      <w:bodyDiv w:val="1"/>
      <w:marLeft w:val="0"/>
      <w:marRight w:val="0"/>
      <w:marTop w:val="0"/>
      <w:marBottom w:val="0"/>
      <w:divBdr>
        <w:top w:val="none" w:sz="0" w:space="0" w:color="auto"/>
        <w:left w:val="none" w:sz="0" w:space="0" w:color="auto"/>
        <w:bottom w:val="none" w:sz="0" w:space="0" w:color="auto"/>
        <w:right w:val="none" w:sz="0" w:space="0" w:color="auto"/>
      </w:divBdr>
      <w:divsChild>
        <w:div w:id="1795561805">
          <w:marLeft w:val="0"/>
          <w:marRight w:val="0"/>
          <w:marTop w:val="0"/>
          <w:marBottom w:val="0"/>
          <w:divBdr>
            <w:top w:val="none" w:sz="0" w:space="0" w:color="auto"/>
            <w:left w:val="none" w:sz="0" w:space="0" w:color="auto"/>
            <w:bottom w:val="none" w:sz="0" w:space="0" w:color="auto"/>
            <w:right w:val="none" w:sz="0" w:space="0" w:color="auto"/>
          </w:divBdr>
          <w:divsChild>
            <w:div w:id="6197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6235">
      <w:bodyDiv w:val="1"/>
      <w:marLeft w:val="0"/>
      <w:marRight w:val="0"/>
      <w:marTop w:val="0"/>
      <w:marBottom w:val="0"/>
      <w:divBdr>
        <w:top w:val="none" w:sz="0" w:space="0" w:color="auto"/>
        <w:left w:val="none" w:sz="0" w:space="0" w:color="auto"/>
        <w:bottom w:val="none" w:sz="0" w:space="0" w:color="auto"/>
        <w:right w:val="none" w:sz="0" w:space="0" w:color="auto"/>
      </w:divBdr>
    </w:div>
    <w:div w:id="1578972702">
      <w:bodyDiv w:val="1"/>
      <w:marLeft w:val="0"/>
      <w:marRight w:val="0"/>
      <w:marTop w:val="0"/>
      <w:marBottom w:val="0"/>
      <w:divBdr>
        <w:top w:val="none" w:sz="0" w:space="0" w:color="auto"/>
        <w:left w:val="none" w:sz="0" w:space="0" w:color="auto"/>
        <w:bottom w:val="none" w:sz="0" w:space="0" w:color="auto"/>
        <w:right w:val="none" w:sz="0" w:space="0" w:color="auto"/>
      </w:divBdr>
      <w:divsChild>
        <w:div w:id="2091000386">
          <w:marLeft w:val="0"/>
          <w:marRight w:val="0"/>
          <w:marTop w:val="0"/>
          <w:marBottom w:val="0"/>
          <w:divBdr>
            <w:top w:val="none" w:sz="0" w:space="0" w:color="auto"/>
            <w:left w:val="none" w:sz="0" w:space="0" w:color="auto"/>
            <w:bottom w:val="none" w:sz="0" w:space="0" w:color="auto"/>
            <w:right w:val="none" w:sz="0" w:space="0" w:color="auto"/>
          </w:divBdr>
          <w:divsChild>
            <w:div w:id="1540824226">
              <w:marLeft w:val="0"/>
              <w:marRight w:val="0"/>
              <w:marTop w:val="0"/>
              <w:marBottom w:val="0"/>
              <w:divBdr>
                <w:top w:val="none" w:sz="0" w:space="0" w:color="auto"/>
                <w:left w:val="none" w:sz="0" w:space="0" w:color="auto"/>
                <w:bottom w:val="none" w:sz="0" w:space="0" w:color="auto"/>
                <w:right w:val="none" w:sz="0" w:space="0" w:color="auto"/>
              </w:divBdr>
              <w:divsChild>
                <w:div w:id="971597897">
                  <w:marLeft w:val="0"/>
                  <w:marRight w:val="0"/>
                  <w:marTop w:val="0"/>
                  <w:marBottom w:val="0"/>
                  <w:divBdr>
                    <w:top w:val="none" w:sz="0" w:space="0" w:color="auto"/>
                    <w:left w:val="none" w:sz="0" w:space="0" w:color="auto"/>
                    <w:bottom w:val="none" w:sz="0" w:space="0" w:color="auto"/>
                    <w:right w:val="none" w:sz="0" w:space="0" w:color="auto"/>
                  </w:divBdr>
                  <w:divsChild>
                    <w:div w:id="1128738600">
                      <w:marLeft w:val="0"/>
                      <w:marRight w:val="0"/>
                      <w:marTop w:val="0"/>
                      <w:marBottom w:val="0"/>
                      <w:divBdr>
                        <w:top w:val="none" w:sz="0" w:space="0" w:color="auto"/>
                        <w:left w:val="none" w:sz="0" w:space="0" w:color="auto"/>
                        <w:bottom w:val="none" w:sz="0" w:space="0" w:color="auto"/>
                        <w:right w:val="none" w:sz="0" w:space="0" w:color="auto"/>
                      </w:divBdr>
                      <w:divsChild>
                        <w:div w:id="378937064">
                          <w:marLeft w:val="0"/>
                          <w:marRight w:val="0"/>
                          <w:marTop w:val="0"/>
                          <w:marBottom w:val="0"/>
                          <w:divBdr>
                            <w:top w:val="none" w:sz="0" w:space="0" w:color="auto"/>
                            <w:left w:val="none" w:sz="0" w:space="0" w:color="auto"/>
                            <w:bottom w:val="none" w:sz="0" w:space="0" w:color="auto"/>
                            <w:right w:val="none" w:sz="0" w:space="0" w:color="auto"/>
                          </w:divBdr>
                          <w:divsChild>
                            <w:div w:id="248778980">
                              <w:marLeft w:val="0"/>
                              <w:marRight w:val="0"/>
                              <w:marTop w:val="0"/>
                              <w:marBottom w:val="0"/>
                              <w:divBdr>
                                <w:top w:val="none" w:sz="0" w:space="0" w:color="auto"/>
                                <w:left w:val="none" w:sz="0" w:space="0" w:color="auto"/>
                                <w:bottom w:val="none" w:sz="0" w:space="0" w:color="auto"/>
                                <w:right w:val="none" w:sz="0" w:space="0" w:color="auto"/>
                              </w:divBdr>
                              <w:divsChild>
                                <w:div w:id="973291802">
                                  <w:marLeft w:val="0"/>
                                  <w:marRight w:val="0"/>
                                  <w:marTop w:val="0"/>
                                  <w:marBottom w:val="0"/>
                                  <w:divBdr>
                                    <w:top w:val="none" w:sz="0" w:space="0" w:color="auto"/>
                                    <w:left w:val="none" w:sz="0" w:space="0" w:color="auto"/>
                                    <w:bottom w:val="none" w:sz="0" w:space="0" w:color="auto"/>
                                    <w:right w:val="none" w:sz="0" w:space="0" w:color="auto"/>
                                  </w:divBdr>
                                  <w:divsChild>
                                    <w:div w:id="763767259">
                                      <w:marLeft w:val="0"/>
                                      <w:marRight w:val="0"/>
                                      <w:marTop w:val="0"/>
                                      <w:marBottom w:val="0"/>
                                      <w:divBdr>
                                        <w:top w:val="none" w:sz="0" w:space="0" w:color="auto"/>
                                        <w:left w:val="none" w:sz="0" w:space="0" w:color="auto"/>
                                        <w:bottom w:val="none" w:sz="0" w:space="0" w:color="auto"/>
                                        <w:right w:val="none" w:sz="0" w:space="0" w:color="auto"/>
                                      </w:divBdr>
                                      <w:divsChild>
                                        <w:div w:id="20944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554159">
      <w:bodyDiv w:val="1"/>
      <w:marLeft w:val="0"/>
      <w:marRight w:val="0"/>
      <w:marTop w:val="0"/>
      <w:marBottom w:val="0"/>
      <w:divBdr>
        <w:top w:val="none" w:sz="0" w:space="0" w:color="auto"/>
        <w:left w:val="none" w:sz="0" w:space="0" w:color="auto"/>
        <w:bottom w:val="none" w:sz="0" w:space="0" w:color="auto"/>
        <w:right w:val="none" w:sz="0" w:space="0" w:color="auto"/>
      </w:divBdr>
    </w:div>
    <w:div w:id="1580093013">
      <w:bodyDiv w:val="1"/>
      <w:marLeft w:val="0"/>
      <w:marRight w:val="0"/>
      <w:marTop w:val="0"/>
      <w:marBottom w:val="0"/>
      <w:divBdr>
        <w:top w:val="none" w:sz="0" w:space="0" w:color="auto"/>
        <w:left w:val="none" w:sz="0" w:space="0" w:color="auto"/>
        <w:bottom w:val="none" w:sz="0" w:space="0" w:color="auto"/>
        <w:right w:val="none" w:sz="0" w:space="0" w:color="auto"/>
      </w:divBdr>
      <w:divsChild>
        <w:div w:id="1361929272">
          <w:marLeft w:val="0"/>
          <w:marRight w:val="0"/>
          <w:marTop w:val="0"/>
          <w:marBottom w:val="0"/>
          <w:divBdr>
            <w:top w:val="none" w:sz="0" w:space="0" w:color="auto"/>
            <w:left w:val="none" w:sz="0" w:space="0" w:color="auto"/>
            <w:bottom w:val="none" w:sz="0" w:space="0" w:color="auto"/>
            <w:right w:val="none" w:sz="0" w:space="0" w:color="auto"/>
          </w:divBdr>
        </w:div>
        <w:div w:id="1568757508">
          <w:marLeft w:val="0"/>
          <w:marRight w:val="0"/>
          <w:marTop w:val="0"/>
          <w:marBottom w:val="0"/>
          <w:divBdr>
            <w:top w:val="none" w:sz="0" w:space="0" w:color="auto"/>
            <w:left w:val="none" w:sz="0" w:space="0" w:color="auto"/>
            <w:bottom w:val="none" w:sz="0" w:space="0" w:color="auto"/>
            <w:right w:val="none" w:sz="0" w:space="0" w:color="auto"/>
          </w:divBdr>
        </w:div>
        <w:div w:id="1639799290">
          <w:marLeft w:val="0"/>
          <w:marRight w:val="0"/>
          <w:marTop w:val="0"/>
          <w:marBottom w:val="0"/>
          <w:divBdr>
            <w:top w:val="none" w:sz="0" w:space="0" w:color="auto"/>
            <w:left w:val="none" w:sz="0" w:space="0" w:color="auto"/>
            <w:bottom w:val="none" w:sz="0" w:space="0" w:color="auto"/>
            <w:right w:val="none" w:sz="0" w:space="0" w:color="auto"/>
          </w:divBdr>
        </w:div>
      </w:divsChild>
    </w:div>
    <w:div w:id="1580677756">
      <w:bodyDiv w:val="1"/>
      <w:marLeft w:val="0"/>
      <w:marRight w:val="0"/>
      <w:marTop w:val="0"/>
      <w:marBottom w:val="0"/>
      <w:divBdr>
        <w:top w:val="none" w:sz="0" w:space="0" w:color="auto"/>
        <w:left w:val="none" w:sz="0" w:space="0" w:color="auto"/>
        <w:bottom w:val="none" w:sz="0" w:space="0" w:color="auto"/>
        <w:right w:val="none" w:sz="0" w:space="0" w:color="auto"/>
      </w:divBdr>
    </w:div>
    <w:div w:id="1583296184">
      <w:bodyDiv w:val="1"/>
      <w:marLeft w:val="0"/>
      <w:marRight w:val="0"/>
      <w:marTop w:val="0"/>
      <w:marBottom w:val="0"/>
      <w:divBdr>
        <w:top w:val="none" w:sz="0" w:space="0" w:color="auto"/>
        <w:left w:val="none" w:sz="0" w:space="0" w:color="auto"/>
        <w:bottom w:val="none" w:sz="0" w:space="0" w:color="auto"/>
        <w:right w:val="none" w:sz="0" w:space="0" w:color="auto"/>
      </w:divBdr>
    </w:div>
    <w:div w:id="1583643406">
      <w:bodyDiv w:val="1"/>
      <w:marLeft w:val="0"/>
      <w:marRight w:val="0"/>
      <w:marTop w:val="0"/>
      <w:marBottom w:val="0"/>
      <w:divBdr>
        <w:top w:val="none" w:sz="0" w:space="0" w:color="auto"/>
        <w:left w:val="none" w:sz="0" w:space="0" w:color="auto"/>
        <w:bottom w:val="none" w:sz="0" w:space="0" w:color="auto"/>
        <w:right w:val="none" w:sz="0" w:space="0" w:color="auto"/>
      </w:divBdr>
    </w:div>
    <w:div w:id="1589273418">
      <w:bodyDiv w:val="1"/>
      <w:marLeft w:val="0"/>
      <w:marRight w:val="0"/>
      <w:marTop w:val="0"/>
      <w:marBottom w:val="0"/>
      <w:divBdr>
        <w:top w:val="none" w:sz="0" w:space="0" w:color="auto"/>
        <w:left w:val="none" w:sz="0" w:space="0" w:color="auto"/>
        <w:bottom w:val="none" w:sz="0" w:space="0" w:color="auto"/>
        <w:right w:val="none" w:sz="0" w:space="0" w:color="auto"/>
      </w:divBdr>
    </w:div>
    <w:div w:id="1605915235">
      <w:bodyDiv w:val="1"/>
      <w:marLeft w:val="0"/>
      <w:marRight w:val="0"/>
      <w:marTop w:val="0"/>
      <w:marBottom w:val="0"/>
      <w:divBdr>
        <w:top w:val="none" w:sz="0" w:space="0" w:color="auto"/>
        <w:left w:val="none" w:sz="0" w:space="0" w:color="auto"/>
        <w:bottom w:val="none" w:sz="0" w:space="0" w:color="auto"/>
        <w:right w:val="none" w:sz="0" w:space="0" w:color="auto"/>
      </w:divBdr>
    </w:div>
    <w:div w:id="1605917375">
      <w:bodyDiv w:val="1"/>
      <w:marLeft w:val="0"/>
      <w:marRight w:val="0"/>
      <w:marTop w:val="0"/>
      <w:marBottom w:val="0"/>
      <w:divBdr>
        <w:top w:val="none" w:sz="0" w:space="0" w:color="auto"/>
        <w:left w:val="none" w:sz="0" w:space="0" w:color="auto"/>
        <w:bottom w:val="none" w:sz="0" w:space="0" w:color="auto"/>
        <w:right w:val="none" w:sz="0" w:space="0" w:color="auto"/>
      </w:divBdr>
    </w:div>
    <w:div w:id="1608659282">
      <w:bodyDiv w:val="1"/>
      <w:marLeft w:val="0"/>
      <w:marRight w:val="0"/>
      <w:marTop w:val="0"/>
      <w:marBottom w:val="0"/>
      <w:divBdr>
        <w:top w:val="none" w:sz="0" w:space="0" w:color="auto"/>
        <w:left w:val="none" w:sz="0" w:space="0" w:color="auto"/>
        <w:bottom w:val="none" w:sz="0" w:space="0" w:color="auto"/>
        <w:right w:val="none" w:sz="0" w:space="0" w:color="auto"/>
      </w:divBdr>
    </w:div>
    <w:div w:id="1610776351">
      <w:bodyDiv w:val="1"/>
      <w:marLeft w:val="0"/>
      <w:marRight w:val="0"/>
      <w:marTop w:val="0"/>
      <w:marBottom w:val="0"/>
      <w:divBdr>
        <w:top w:val="none" w:sz="0" w:space="0" w:color="auto"/>
        <w:left w:val="none" w:sz="0" w:space="0" w:color="auto"/>
        <w:bottom w:val="none" w:sz="0" w:space="0" w:color="auto"/>
        <w:right w:val="none" w:sz="0" w:space="0" w:color="auto"/>
      </w:divBdr>
    </w:div>
    <w:div w:id="1615861610">
      <w:bodyDiv w:val="1"/>
      <w:marLeft w:val="0"/>
      <w:marRight w:val="0"/>
      <w:marTop w:val="0"/>
      <w:marBottom w:val="0"/>
      <w:divBdr>
        <w:top w:val="none" w:sz="0" w:space="0" w:color="auto"/>
        <w:left w:val="none" w:sz="0" w:space="0" w:color="auto"/>
        <w:bottom w:val="none" w:sz="0" w:space="0" w:color="auto"/>
        <w:right w:val="none" w:sz="0" w:space="0" w:color="auto"/>
      </w:divBdr>
    </w:div>
    <w:div w:id="1617443634">
      <w:bodyDiv w:val="1"/>
      <w:marLeft w:val="0"/>
      <w:marRight w:val="0"/>
      <w:marTop w:val="0"/>
      <w:marBottom w:val="0"/>
      <w:divBdr>
        <w:top w:val="none" w:sz="0" w:space="0" w:color="auto"/>
        <w:left w:val="none" w:sz="0" w:space="0" w:color="auto"/>
        <w:bottom w:val="none" w:sz="0" w:space="0" w:color="auto"/>
        <w:right w:val="none" w:sz="0" w:space="0" w:color="auto"/>
      </w:divBdr>
    </w:div>
    <w:div w:id="1618828211">
      <w:bodyDiv w:val="1"/>
      <w:marLeft w:val="0"/>
      <w:marRight w:val="0"/>
      <w:marTop w:val="0"/>
      <w:marBottom w:val="0"/>
      <w:divBdr>
        <w:top w:val="none" w:sz="0" w:space="0" w:color="auto"/>
        <w:left w:val="none" w:sz="0" w:space="0" w:color="auto"/>
        <w:bottom w:val="none" w:sz="0" w:space="0" w:color="auto"/>
        <w:right w:val="none" w:sz="0" w:space="0" w:color="auto"/>
      </w:divBdr>
    </w:div>
    <w:div w:id="1628077804">
      <w:bodyDiv w:val="1"/>
      <w:marLeft w:val="0"/>
      <w:marRight w:val="0"/>
      <w:marTop w:val="0"/>
      <w:marBottom w:val="0"/>
      <w:divBdr>
        <w:top w:val="none" w:sz="0" w:space="0" w:color="auto"/>
        <w:left w:val="none" w:sz="0" w:space="0" w:color="auto"/>
        <w:bottom w:val="none" w:sz="0" w:space="0" w:color="auto"/>
        <w:right w:val="none" w:sz="0" w:space="0" w:color="auto"/>
      </w:divBdr>
      <w:divsChild>
        <w:div w:id="725178292">
          <w:marLeft w:val="0"/>
          <w:marRight w:val="0"/>
          <w:marTop w:val="0"/>
          <w:marBottom w:val="0"/>
          <w:divBdr>
            <w:top w:val="none" w:sz="0" w:space="0" w:color="auto"/>
            <w:left w:val="none" w:sz="0" w:space="0" w:color="auto"/>
            <w:bottom w:val="none" w:sz="0" w:space="0" w:color="auto"/>
            <w:right w:val="none" w:sz="0" w:space="0" w:color="auto"/>
          </w:divBdr>
        </w:div>
        <w:div w:id="1632976235">
          <w:marLeft w:val="0"/>
          <w:marRight w:val="0"/>
          <w:marTop w:val="0"/>
          <w:marBottom w:val="0"/>
          <w:divBdr>
            <w:top w:val="none" w:sz="0" w:space="0" w:color="auto"/>
            <w:left w:val="none" w:sz="0" w:space="0" w:color="auto"/>
            <w:bottom w:val="none" w:sz="0" w:space="0" w:color="auto"/>
            <w:right w:val="none" w:sz="0" w:space="0" w:color="auto"/>
          </w:divBdr>
          <w:divsChild>
            <w:div w:id="599148311">
              <w:marLeft w:val="0"/>
              <w:marRight w:val="0"/>
              <w:marTop w:val="0"/>
              <w:marBottom w:val="0"/>
              <w:divBdr>
                <w:top w:val="none" w:sz="0" w:space="0" w:color="auto"/>
                <w:left w:val="none" w:sz="0" w:space="0" w:color="auto"/>
                <w:bottom w:val="none" w:sz="0" w:space="0" w:color="auto"/>
                <w:right w:val="none" w:sz="0" w:space="0" w:color="auto"/>
              </w:divBdr>
              <w:divsChild>
                <w:div w:id="159197908">
                  <w:marLeft w:val="0"/>
                  <w:marRight w:val="0"/>
                  <w:marTop w:val="0"/>
                  <w:marBottom w:val="0"/>
                  <w:divBdr>
                    <w:top w:val="none" w:sz="0" w:space="0" w:color="auto"/>
                    <w:left w:val="none" w:sz="0" w:space="0" w:color="auto"/>
                    <w:bottom w:val="none" w:sz="0" w:space="0" w:color="auto"/>
                    <w:right w:val="none" w:sz="0" w:space="0" w:color="auto"/>
                  </w:divBdr>
                </w:div>
                <w:div w:id="17520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4172">
      <w:bodyDiv w:val="1"/>
      <w:marLeft w:val="0"/>
      <w:marRight w:val="0"/>
      <w:marTop w:val="0"/>
      <w:marBottom w:val="0"/>
      <w:divBdr>
        <w:top w:val="none" w:sz="0" w:space="0" w:color="auto"/>
        <w:left w:val="none" w:sz="0" w:space="0" w:color="auto"/>
        <w:bottom w:val="none" w:sz="0" w:space="0" w:color="auto"/>
        <w:right w:val="none" w:sz="0" w:space="0" w:color="auto"/>
      </w:divBdr>
    </w:div>
    <w:div w:id="1631204496">
      <w:bodyDiv w:val="1"/>
      <w:marLeft w:val="0"/>
      <w:marRight w:val="0"/>
      <w:marTop w:val="0"/>
      <w:marBottom w:val="0"/>
      <w:divBdr>
        <w:top w:val="none" w:sz="0" w:space="0" w:color="auto"/>
        <w:left w:val="none" w:sz="0" w:space="0" w:color="auto"/>
        <w:bottom w:val="none" w:sz="0" w:space="0" w:color="auto"/>
        <w:right w:val="none" w:sz="0" w:space="0" w:color="auto"/>
      </w:divBdr>
    </w:div>
    <w:div w:id="1640259000">
      <w:bodyDiv w:val="1"/>
      <w:marLeft w:val="0"/>
      <w:marRight w:val="0"/>
      <w:marTop w:val="0"/>
      <w:marBottom w:val="0"/>
      <w:divBdr>
        <w:top w:val="none" w:sz="0" w:space="0" w:color="auto"/>
        <w:left w:val="none" w:sz="0" w:space="0" w:color="auto"/>
        <w:bottom w:val="none" w:sz="0" w:space="0" w:color="auto"/>
        <w:right w:val="none" w:sz="0" w:space="0" w:color="auto"/>
      </w:divBdr>
    </w:div>
    <w:div w:id="1641228714">
      <w:bodyDiv w:val="1"/>
      <w:marLeft w:val="0"/>
      <w:marRight w:val="0"/>
      <w:marTop w:val="0"/>
      <w:marBottom w:val="0"/>
      <w:divBdr>
        <w:top w:val="none" w:sz="0" w:space="0" w:color="auto"/>
        <w:left w:val="none" w:sz="0" w:space="0" w:color="auto"/>
        <w:bottom w:val="none" w:sz="0" w:space="0" w:color="auto"/>
        <w:right w:val="none" w:sz="0" w:space="0" w:color="auto"/>
      </w:divBdr>
    </w:div>
    <w:div w:id="1648320456">
      <w:bodyDiv w:val="1"/>
      <w:marLeft w:val="0"/>
      <w:marRight w:val="0"/>
      <w:marTop w:val="0"/>
      <w:marBottom w:val="0"/>
      <w:divBdr>
        <w:top w:val="none" w:sz="0" w:space="0" w:color="auto"/>
        <w:left w:val="none" w:sz="0" w:space="0" w:color="auto"/>
        <w:bottom w:val="none" w:sz="0" w:space="0" w:color="auto"/>
        <w:right w:val="none" w:sz="0" w:space="0" w:color="auto"/>
      </w:divBdr>
    </w:div>
    <w:div w:id="1649283092">
      <w:bodyDiv w:val="1"/>
      <w:marLeft w:val="0"/>
      <w:marRight w:val="0"/>
      <w:marTop w:val="0"/>
      <w:marBottom w:val="0"/>
      <w:divBdr>
        <w:top w:val="none" w:sz="0" w:space="0" w:color="auto"/>
        <w:left w:val="none" w:sz="0" w:space="0" w:color="auto"/>
        <w:bottom w:val="none" w:sz="0" w:space="0" w:color="auto"/>
        <w:right w:val="none" w:sz="0" w:space="0" w:color="auto"/>
      </w:divBdr>
    </w:div>
    <w:div w:id="1654677881">
      <w:bodyDiv w:val="1"/>
      <w:marLeft w:val="0"/>
      <w:marRight w:val="0"/>
      <w:marTop w:val="0"/>
      <w:marBottom w:val="0"/>
      <w:divBdr>
        <w:top w:val="none" w:sz="0" w:space="0" w:color="auto"/>
        <w:left w:val="none" w:sz="0" w:space="0" w:color="auto"/>
        <w:bottom w:val="none" w:sz="0" w:space="0" w:color="auto"/>
        <w:right w:val="none" w:sz="0" w:space="0" w:color="auto"/>
      </w:divBdr>
    </w:div>
    <w:div w:id="1657803775">
      <w:bodyDiv w:val="1"/>
      <w:marLeft w:val="0"/>
      <w:marRight w:val="0"/>
      <w:marTop w:val="0"/>
      <w:marBottom w:val="0"/>
      <w:divBdr>
        <w:top w:val="none" w:sz="0" w:space="0" w:color="auto"/>
        <w:left w:val="none" w:sz="0" w:space="0" w:color="auto"/>
        <w:bottom w:val="none" w:sz="0" w:space="0" w:color="auto"/>
        <w:right w:val="none" w:sz="0" w:space="0" w:color="auto"/>
      </w:divBdr>
    </w:div>
    <w:div w:id="1665933772">
      <w:bodyDiv w:val="1"/>
      <w:marLeft w:val="0"/>
      <w:marRight w:val="0"/>
      <w:marTop w:val="0"/>
      <w:marBottom w:val="0"/>
      <w:divBdr>
        <w:top w:val="none" w:sz="0" w:space="0" w:color="auto"/>
        <w:left w:val="none" w:sz="0" w:space="0" w:color="auto"/>
        <w:bottom w:val="none" w:sz="0" w:space="0" w:color="auto"/>
        <w:right w:val="none" w:sz="0" w:space="0" w:color="auto"/>
      </w:divBdr>
    </w:div>
    <w:div w:id="1679431529">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
    <w:div w:id="1693871445">
      <w:bodyDiv w:val="1"/>
      <w:marLeft w:val="0"/>
      <w:marRight w:val="0"/>
      <w:marTop w:val="0"/>
      <w:marBottom w:val="0"/>
      <w:divBdr>
        <w:top w:val="none" w:sz="0" w:space="0" w:color="auto"/>
        <w:left w:val="none" w:sz="0" w:space="0" w:color="auto"/>
        <w:bottom w:val="none" w:sz="0" w:space="0" w:color="auto"/>
        <w:right w:val="none" w:sz="0" w:space="0" w:color="auto"/>
      </w:divBdr>
    </w:div>
    <w:div w:id="1699508665">
      <w:bodyDiv w:val="1"/>
      <w:marLeft w:val="0"/>
      <w:marRight w:val="0"/>
      <w:marTop w:val="0"/>
      <w:marBottom w:val="0"/>
      <w:divBdr>
        <w:top w:val="none" w:sz="0" w:space="0" w:color="auto"/>
        <w:left w:val="none" w:sz="0" w:space="0" w:color="auto"/>
        <w:bottom w:val="none" w:sz="0" w:space="0" w:color="auto"/>
        <w:right w:val="none" w:sz="0" w:space="0" w:color="auto"/>
      </w:divBdr>
    </w:div>
    <w:div w:id="1701012044">
      <w:bodyDiv w:val="1"/>
      <w:marLeft w:val="0"/>
      <w:marRight w:val="0"/>
      <w:marTop w:val="0"/>
      <w:marBottom w:val="0"/>
      <w:divBdr>
        <w:top w:val="none" w:sz="0" w:space="0" w:color="auto"/>
        <w:left w:val="none" w:sz="0" w:space="0" w:color="auto"/>
        <w:bottom w:val="none" w:sz="0" w:space="0" w:color="auto"/>
        <w:right w:val="none" w:sz="0" w:space="0" w:color="auto"/>
      </w:divBdr>
      <w:divsChild>
        <w:div w:id="1630015171">
          <w:marLeft w:val="0"/>
          <w:marRight w:val="0"/>
          <w:marTop w:val="0"/>
          <w:marBottom w:val="300"/>
          <w:divBdr>
            <w:top w:val="none" w:sz="0" w:space="0" w:color="auto"/>
            <w:left w:val="none" w:sz="0" w:space="0" w:color="auto"/>
            <w:bottom w:val="none" w:sz="0" w:space="0" w:color="auto"/>
            <w:right w:val="none" w:sz="0" w:space="0" w:color="auto"/>
          </w:divBdr>
          <w:divsChild>
            <w:div w:id="1812744390">
              <w:marLeft w:val="0"/>
              <w:marRight w:val="0"/>
              <w:marTop w:val="0"/>
              <w:marBottom w:val="300"/>
              <w:divBdr>
                <w:top w:val="none" w:sz="0" w:space="0" w:color="auto"/>
                <w:left w:val="none" w:sz="0" w:space="0" w:color="auto"/>
                <w:bottom w:val="none" w:sz="0" w:space="0" w:color="auto"/>
                <w:right w:val="none" w:sz="0" w:space="0" w:color="auto"/>
              </w:divBdr>
              <w:divsChild>
                <w:div w:id="4771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5565">
          <w:marLeft w:val="0"/>
          <w:marRight w:val="0"/>
          <w:marTop w:val="0"/>
          <w:marBottom w:val="0"/>
          <w:divBdr>
            <w:top w:val="none" w:sz="0" w:space="0" w:color="auto"/>
            <w:left w:val="none" w:sz="0" w:space="0" w:color="auto"/>
            <w:bottom w:val="none" w:sz="0" w:space="0" w:color="auto"/>
            <w:right w:val="none" w:sz="0" w:space="0" w:color="auto"/>
          </w:divBdr>
        </w:div>
      </w:divsChild>
    </w:div>
    <w:div w:id="1710952045">
      <w:bodyDiv w:val="1"/>
      <w:marLeft w:val="0"/>
      <w:marRight w:val="0"/>
      <w:marTop w:val="0"/>
      <w:marBottom w:val="0"/>
      <w:divBdr>
        <w:top w:val="none" w:sz="0" w:space="0" w:color="auto"/>
        <w:left w:val="none" w:sz="0" w:space="0" w:color="auto"/>
        <w:bottom w:val="none" w:sz="0" w:space="0" w:color="auto"/>
        <w:right w:val="none" w:sz="0" w:space="0" w:color="auto"/>
      </w:divBdr>
    </w:div>
    <w:div w:id="1717966628">
      <w:bodyDiv w:val="1"/>
      <w:marLeft w:val="0"/>
      <w:marRight w:val="0"/>
      <w:marTop w:val="0"/>
      <w:marBottom w:val="0"/>
      <w:divBdr>
        <w:top w:val="none" w:sz="0" w:space="0" w:color="auto"/>
        <w:left w:val="none" w:sz="0" w:space="0" w:color="auto"/>
        <w:bottom w:val="none" w:sz="0" w:space="0" w:color="auto"/>
        <w:right w:val="none" w:sz="0" w:space="0" w:color="auto"/>
      </w:divBdr>
      <w:divsChild>
        <w:div w:id="1218854832">
          <w:marLeft w:val="0"/>
          <w:marRight w:val="0"/>
          <w:marTop w:val="0"/>
          <w:marBottom w:val="225"/>
          <w:divBdr>
            <w:top w:val="none" w:sz="0" w:space="0" w:color="auto"/>
            <w:left w:val="none" w:sz="0" w:space="0" w:color="auto"/>
            <w:bottom w:val="none" w:sz="0" w:space="0" w:color="auto"/>
            <w:right w:val="none" w:sz="0" w:space="0" w:color="auto"/>
          </w:divBdr>
        </w:div>
      </w:divsChild>
    </w:div>
    <w:div w:id="1726024063">
      <w:bodyDiv w:val="1"/>
      <w:marLeft w:val="0"/>
      <w:marRight w:val="0"/>
      <w:marTop w:val="0"/>
      <w:marBottom w:val="0"/>
      <w:divBdr>
        <w:top w:val="none" w:sz="0" w:space="0" w:color="auto"/>
        <w:left w:val="none" w:sz="0" w:space="0" w:color="auto"/>
        <w:bottom w:val="none" w:sz="0" w:space="0" w:color="auto"/>
        <w:right w:val="none" w:sz="0" w:space="0" w:color="auto"/>
      </w:divBdr>
    </w:div>
    <w:div w:id="1726636966">
      <w:bodyDiv w:val="1"/>
      <w:marLeft w:val="0"/>
      <w:marRight w:val="0"/>
      <w:marTop w:val="0"/>
      <w:marBottom w:val="0"/>
      <w:divBdr>
        <w:top w:val="none" w:sz="0" w:space="0" w:color="auto"/>
        <w:left w:val="none" w:sz="0" w:space="0" w:color="auto"/>
        <w:bottom w:val="none" w:sz="0" w:space="0" w:color="auto"/>
        <w:right w:val="none" w:sz="0" w:space="0" w:color="auto"/>
      </w:divBdr>
    </w:div>
    <w:div w:id="1731882249">
      <w:bodyDiv w:val="1"/>
      <w:marLeft w:val="0"/>
      <w:marRight w:val="0"/>
      <w:marTop w:val="0"/>
      <w:marBottom w:val="0"/>
      <w:divBdr>
        <w:top w:val="none" w:sz="0" w:space="0" w:color="auto"/>
        <w:left w:val="none" w:sz="0" w:space="0" w:color="auto"/>
        <w:bottom w:val="none" w:sz="0" w:space="0" w:color="auto"/>
        <w:right w:val="none" w:sz="0" w:space="0" w:color="auto"/>
      </w:divBdr>
      <w:divsChild>
        <w:div w:id="82192710">
          <w:marLeft w:val="0"/>
          <w:marRight w:val="0"/>
          <w:marTop w:val="300"/>
          <w:marBottom w:val="300"/>
          <w:divBdr>
            <w:top w:val="none" w:sz="0" w:space="0" w:color="auto"/>
            <w:left w:val="none" w:sz="0" w:space="0" w:color="auto"/>
            <w:bottom w:val="none" w:sz="0" w:space="0" w:color="auto"/>
            <w:right w:val="none" w:sz="0" w:space="0" w:color="auto"/>
          </w:divBdr>
        </w:div>
      </w:divsChild>
    </w:div>
    <w:div w:id="1734811775">
      <w:bodyDiv w:val="1"/>
      <w:marLeft w:val="0"/>
      <w:marRight w:val="0"/>
      <w:marTop w:val="0"/>
      <w:marBottom w:val="0"/>
      <w:divBdr>
        <w:top w:val="none" w:sz="0" w:space="0" w:color="auto"/>
        <w:left w:val="none" w:sz="0" w:space="0" w:color="auto"/>
        <w:bottom w:val="none" w:sz="0" w:space="0" w:color="auto"/>
        <w:right w:val="none" w:sz="0" w:space="0" w:color="auto"/>
      </w:divBdr>
    </w:div>
    <w:div w:id="1735008418">
      <w:bodyDiv w:val="1"/>
      <w:marLeft w:val="0"/>
      <w:marRight w:val="0"/>
      <w:marTop w:val="0"/>
      <w:marBottom w:val="0"/>
      <w:divBdr>
        <w:top w:val="none" w:sz="0" w:space="0" w:color="auto"/>
        <w:left w:val="none" w:sz="0" w:space="0" w:color="auto"/>
        <w:bottom w:val="none" w:sz="0" w:space="0" w:color="auto"/>
        <w:right w:val="none" w:sz="0" w:space="0" w:color="auto"/>
      </w:divBdr>
      <w:divsChild>
        <w:div w:id="521672825">
          <w:marLeft w:val="0"/>
          <w:marRight w:val="0"/>
          <w:marTop w:val="277"/>
          <w:marBottom w:val="277"/>
          <w:divBdr>
            <w:top w:val="none" w:sz="0" w:space="0" w:color="auto"/>
            <w:left w:val="none" w:sz="0" w:space="0" w:color="auto"/>
            <w:bottom w:val="none" w:sz="0" w:space="0" w:color="auto"/>
            <w:right w:val="none" w:sz="0" w:space="0" w:color="auto"/>
          </w:divBdr>
        </w:div>
      </w:divsChild>
    </w:div>
    <w:div w:id="1737506466">
      <w:bodyDiv w:val="1"/>
      <w:marLeft w:val="0"/>
      <w:marRight w:val="0"/>
      <w:marTop w:val="0"/>
      <w:marBottom w:val="0"/>
      <w:divBdr>
        <w:top w:val="none" w:sz="0" w:space="0" w:color="auto"/>
        <w:left w:val="none" w:sz="0" w:space="0" w:color="auto"/>
        <w:bottom w:val="none" w:sz="0" w:space="0" w:color="auto"/>
        <w:right w:val="none" w:sz="0" w:space="0" w:color="auto"/>
      </w:divBdr>
      <w:divsChild>
        <w:div w:id="1897887652">
          <w:marLeft w:val="0"/>
          <w:marRight w:val="0"/>
          <w:marTop w:val="0"/>
          <w:marBottom w:val="0"/>
          <w:divBdr>
            <w:top w:val="none" w:sz="0" w:space="0" w:color="auto"/>
            <w:left w:val="none" w:sz="0" w:space="0" w:color="auto"/>
            <w:bottom w:val="none" w:sz="0" w:space="0" w:color="auto"/>
            <w:right w:val="none" w:sz="0" w:space="0" w:color="auto"/>
          </w:divBdr>
          <w:divsChild>
            <w:div w:id="147671885">
              <w:marLeft w:val="0"/>
              <w:marRight w:val="0"/>
              <w:marTop w:val="0"/>
              <w:marBottom w:val="0"/>
              <w:divBdr>
                <w:top w:val="none" w:sz="0" w:space="0" w:color="auto"/>
                <w:left w:val="none" w:sz="0" w:space="0" w:color="auto"/>
                <w:bottom w:val="none" w:sz="0" w:space="0" w:color="auto"/>
                <w:right w:val="none" w:sz="0" w:space="0" w:color="auto"/>
              </w:divBdr>
              <w:divsChild>
                <w:div w:id="4849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6116">
      <w:bodyDiv w:val="1"/>
      <w:marLeft w:val="0"/>
      <w:marRight w:val="0"/>
      <w:marTop w:val="0"/>
      <w:marBottom w:val="0"/>
      <w:divBdr>
        <w:top w:val="none" w:sz="0" w:space="0" w:color="auto"/>
        <w:left w:val="none" w:sz="0" w:space="0" w:color="auto"/>
        <w:bottom w:val="none" w:sz="0" w:space="0" w:color="auto"/>
        <w:right w:val="none" w:sz="0" w:space="0" w:color="auto"/>
      </w:divBdr>
    </w:div>
    <w:div w:id="1744571374">
      <w:bodyDiv w:val="1"/>
      <w:marLeft w:val="0"/>
      <w:marRight w:val="0"/>
      <w:marTop w:val="0"/>
      <w:marBottom w:val="0"/>
      <w:divBdr>
        <w:top w:val="none" w:sz="0" w:space="0" w:color="auto"/>
        <w:left w:val="none" w:sz="0" w:space="0" w:color="auto"/>
        <w:bottom w:val="none" w:sz="0" w:space="0" w:color="auto"/>
        <w:right w:val="none" w:sz="0" w:space="0" w:color="auto"/>
      </w:divBdr>
    </w:div>
    <w:div w:id="1747798044">
      <w:bodyDiv w:val="1"/>
      <w:marLeft w:val="0"/>
      <w:marRight w:val="0"/>
      <w:marTop w:val="0"/>
      <w:marBottom w:val="0"/>
      <w:divBdr>
        <w:top w:val="none" w:sz="0" w:space="0" w:color="auto"/>
        <w:left w:val="none" w:sz="0" w:space="0" w:color="auto"/>
        <w:bottom w:val="none" w:sz="0" w:space="0" w:color="auto"/>
        <w:right w:val="none" w:sz="0" w:space="0" w:color="auto"/>
      </w:divBdr>
    </w:div>
    <w:div w:id="1763839700">
      <w:bodyDiv w:val="1"/>
      <w:marLeft w:val="0"/>
      <w:marRight w:val="0"/>
      <w:marTop w:val="0"/>
      <w:marBottom w:val="0"/>
      <w:divBdr>
        <w:top w:val="none" w:sz="0" w:space="0" w:color="auto"/>
        <w:left w:val="none" w:sz="0" w:space="0" w:color="auto"/>
        <w:bottom w:val="none" w:sz="0" w:space="0" w:color="auto"/>
        <w:right w:val="none" w:sz="0" w:space="0" w:color="auto"/>
      </w:divBdr>
    </w:div>
    <w:div w:id="1764107754">
      <w:bodyDiv w:val="1"/>
      <w:marLeft w:val="0"/>
      <w:marRight w:val="0"/>
      <w:marTop w:val="0"/>
      <w:marBottom w:val="0"/>
      <w:divBdr>
        <w:top w:val="none" w:sz="0" w:space="0" w:color="auto"/>
        <w:left w:val="none" w:sz="0" w:space="0" w:color="auto"/>
        <w:bottom w:val="none" w:sz="0" w:space="0" w:color="auto"/>
        <w:right w:val="none" w:sz="0" w:space="0" w:color="auto"/>
      </w:divBdr>
    </w:div>
    <w:div w:id="1768841128">
      <w:bodyDiv w:val="1"/>
      <w:marLeft w:val="0"/>
      <w:marRight w:val="0"/>
      <w:marTop w:val="0"/>
      <w:marBottom w:val="0"/>
      <w:divBdr>
        <w:top w:val="none" w:sz="0" w:space="0" w:color="auto"/>
        <w:left w:val="none" w:sz="0" w:space="0" w:color="auto"/>
        <w:bottom w:val="none" w:sz="0" w:space="0" w:color="auto"/>
        <w:right w:val="none" w:sz="0" w:space="0" w:color="auto"/>
      </w:divBdr>
    </w:div>
    <w:div w:id="1771584963">
      <w:bodyDiv w:val="1"/>
      <w:marLeft w:val="0"/>
      <w:marRight w:val="0"/>
      <w:marTop w:val="0"/>
      <w:marBottom w:val="0"/>
      <w:divBdr>
        <w:top w:val="none" w:sz="0" w:space="0" w:color="auto"/>
        <w:left w:val="none" w:sz="0" w:space="0" w:color="auto"/>
        <w:bottom w:val="none" w:sz="0" w:space="0" w:color="auto"/>
        <w:right w:val="none" w:sz="0" w:space="0" w:color="auto"/>
      </w:divBdr>
    </w:div>
    <w:div w:id="1791706630">
      <w:bodyDiv w:val="1"/>
      <w:marLeft w:val="0"/>
      <w:marRight w:val="0"/>
      <w:marTop w:val="0"/>
      <w:marBottom w:val="0"/>
      <w:divBdr>
        <w:top w:val="none" w:sz="0" w:space="0" w:color="auto"/>
        <w:left w:val="none" w:sz="0" w:space="0" w:color="auto"/>
        <w:bottom w:val="none" w:sz="0" w:space="0" w:color="auto"/>
        <w:right w:val="none" w:sz="0" w:space="0" w:color="auto"/>
      </w:divBdr>
    </w:div>
    <w:div w:id="1794472524">
      <w:bodyDiv w:val="1"/>
      <w:marLeft w:val="0"/>
      <w:marRight w:val="0"/>
      <w:marTop w:val="0"/>
      <w:marBottom w:val="0"/>
      <w:divBdr>
        <w:top w:val="none" w:sz="0" w:space="0" w:color="auto"/>
        <w:left w:val="none" w:sz="0" w:space="0" w:color="auto"/>
        <w:bottom w:val="none" w:sz="0" w:space="0" w:color="auto"/>
        <w:right w:val="none" w:sz="0" w:space="0" w:color="auto"/>
      </w:divBdr>
    </w:div>
    <w:div w:id="179721609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sChild>
            <w:div w:id="365839561">
              <w:marLeft w:val="0"/>
              <w:marRight w:val="0"/>
              <w:marTop w:val="0"/>
              <w:marBottom w:val="0"/>
              <w:divBdr>
                <w:top w:val="none" w:sz="0" w:space="0" w:color="auto"/>
                <w:left w:val="none" w:sz="0" w:space="0" w:color="auto"/>
                <w:bottom w:val="none" w:sz="0" w:space="0" w:color="auto"/>
                <w:right w:val="none" w:sz="0" w:space="0" w:color="auto"/>
              </w:divBdr>
            </w:div>
          </w:divsChild>
        </w:div>
        <w:div w:id="1869100079">
          <w:marLeft w:val="0"/>
          <w:marRight w:val="0"/>
          <w:marTop w:val="0"/>
          <w:marBottom w:val="45"/>
          <w:divBdr>
            <w:top w:val="none" w:sz="0" w:space="0" w:color="auto"/>
            <w:left w:val="none" w:sz="0" w:space="0" w:color="auto"/>
            <w:bottom w:val="none" w:sz="0" w:space="0" w:color="auto"/>
            <w:right w:val="none" w:sz="0" w:space="0" w:color="auto"/>
          </w:divBdr>
        </w:div>
      </w:divsChild>
    </w:div>
    <w:div w:id="1797724058">
      <w:bodyDiv w:val="1"/>
      <w:marLeft w:val="0"/>
      <w:marRight w:val="0"/>
      <w:marTop w:val="0"/>
      <w:marBottom w:val="0"/>
      <w:divBdr>
        <w:top w:val="none" w:sz="0" w:space="0" w:color="auto"/>
        <w:left w:val="none" w:sz="0" w:space="0" w:color="auto"/>
        <w:bottom w:val="none" w:sz="0" w:space="0" w:color="auto"/>
        <w:right w:val="none" w:sz="0" w:space="0" w:color="auto"/>
      </w:divBdr>
    </w:div>
    <w:div w:id="1804615067">
      <w:bodyDiv w:val="1"/>
      <w:marLeft w:val="0"/>
      <w:marRight w:val="0"/>
      <w:marTop w:val="0"/>
      <w:marBottom w:val="0"/>
      <w:divBdr>
        <w:top w:val="none" w:sz="0" w:space="0" w:color="auto"/>
        <w:left w:val="none" w:sz="0" w:space="0" w:color="auto"/>
        <w:bottom w:val="none" w:sz="0" w:space="0" w:color="auto"/>
        <w:right w:val="none" w:sz="0" w:space="0" w:color="auto"/>
      </w:divBdr>
    </w:div>
    <w:div w:id="1808739585">
      <w:bodyDiv w:val="1"/>
      <w:marLeft w:val="0"/>
      <w:marRight w:val="0"/>
      <w:marTop w:val="0"/>
      <w:marBottom w:val="0"/>
      <w:divBdr>
        <w:top w:val="none" w:sz="0" w:space="0" w:color="auto"/>
        <w:left w:val="none" w:sz="0" w:space="0" w:color="auto"/>
        <w:bottom w:val="none" w:sz="0" w:space="0" w:color="auto"/>
        <w:right w:val="none" w:sz="0" w:space="0" w:color="auto"/>
      </w:divBdr>
    </w:div>
    <w:div w:id="1818910463">
      <w:bodyDiv w:val="1"/>
      <w:marLeft w:val="0"/>
      <w:marRight w:val="0"/>
      <w:marTop w:val="0"/>
      <w:marBottom w:val="0"/>
      <w:divBdr>
        <w:top w:val="none" w:sz="0" w:space="0" w:color="auto"/>
        <w:left w:val="none" w:sz="0" w:space="0" w:color="auto"/>
        <w:bottom w:val="none" w:sz="0" w:space="0" w:color="auto"/>
        <w:right w:val="none" w:sz="0" w:space="0" w:color="auto"/>
      </w:divBdr>
    </w:div>
    <w:div w:id="1821383167">
      <w:bodyDiv w:val="1"/>
      <w:marLeft w:val="0"/>
      <w:marRight w:val="0"/>
      <w:marTop w:val="0"/>
      <w:marBottom w:val="0"/>
      <w:divBdr>
        <w:top w:val="none" w:sz="0" w:space="0" w:color="auto"/>
        <w:left w:val="none" w:sz="0" w:space="0" w:color="auto"/>
        <w:bottom w:val="none" w:sz="0" w:space="0" w:color="auto"/>
        <w:right w:val="none" w:sz="0" w:space="0" w:color="auto"/>
      </w:divBdr>
    </w:div>
    <w:div w:id="1826241377">
      <w:bodyDiv w:val="1"/>
      <w:marLeft w:val="0"/>
      <w:marRight w:val="0"/>
      <w:marTop w:val="0"/>
      <w:marBottom w:val="0"/>
      <w:divBdr>
        <w:top w:val="none" w:sz="0" w:space="0" w:color="auto"/>
        <w:left w:val="none" w:sz="0" w:space="0" w:color="auto"/>
        <w:bottom w:val="none" w:sz="0" w:space="0" w:color="auto"/>
        <w:right w:val="none" w:sz="0" w:space="0" w:color="auto"/>
      </w:divBdr>
    </w:div>
    <w:div w:id="1827286509">
      <w:bodyDiv w:val="1"/>
      <w:marLeft w:val="0"/>
      <w:marRight w:val="0"/>
      <w:marTop w:val="0"/>
      <w:marBottom w:val="0"/>
      <w:divBdr>
        <w:top w:val="none" w:sz="0" w:space="0" w:color="auto"/>
        <w:left w:val="none" w:sz="0" w:space="0" w:color="auto"/>
        <w:bottom w:val="none" w:sz="0" w:space="0" w:color="auto"/>
        <w:right w:val="none" w:sz="0" w:space="0" w:color="auto"/>
      </w:divBdr>
    </w:div>
    <w:div w:id="1831099221">
      <w:bodyDiv w:val="1"/>
      <w:marLeft w:val="0"/>
      <w:marRight w:val="0"/>
      <w:marTop w:val="0"/>
      <w:marBottom w:val="0"/>
      <w:divBdr>
        <w:top w:val="none" w:sz="0" w:space="0" w:color="auto"/>
        <w:left w:val="none" w:sz="0" w:space="0" w:color="auto"/>
        <w:bottom w:val="none" w:sz="0" w:space="0" w:color="auto"/>
        <w:right w:val="none" w:sz="0" w:space="0" w:color="auto"/>
      </w:divBdr>
    </w:div>
    <w:div w:id="1841892164">
      <w:bodyDiv w:val="1"/>
      <w:marLeft w:val="0"/>
      <w:marRight w:val="0"/>
      <w:marTop w:val="0"/>
      <w:marBottom w:val="0"/>
      <w:divBdr>
        <w:top w:val="none" w:sz="0" w:space="0" w:color="auto"/>
        <w:left w:val="none" w:sz="0" w:space="0" w:color="auto"/>
        <w:bottom w:val="none" w:sz="0" w:space="0" w:color="auto"/>
        <w:right w:val="none" w:sz="0" w:space="0" w:color="auto"/>
      </w:divBdr>
    </w:div>
    <w:div w:id="1845169709">
      <w:bodyDiv w:val="1"/>
      <w:marLeft w:val="0"/>
      <w:marRight w:val="0"/>
      <w:marTop w:val="0"/>
      <w:marBottom w:val="0"/>
      <w:divBdr>
        <w:top w:val="none" w:sz="0" w:space="0" w:color="auto"/>
        <w:left w:val="none" w:sz="0" w:space="0" w:color="auto"/>
        <w:bottom w:val="none" w:sz="0" w:space="0" w:color="auto"/>
        <w:right w:val="none" w:sz="0" w:space="0" w:color="auto"/>
      </w:divBdr>
      <w:divsChild>
        <w:div w:id="28996012">
          <w:marLeft w:val="0"/>
          <w:marRight w:val="0"/>
          <w:marTop w:val="0"/>
          <w:marBottom w:val="0"/>
          <w:divBdr>
            <w:top w:val="none" w:sz="0" w:space="0" w:color="auto"/>
            <w:left w:val="none" w:sz="0" w:space="0" w:color="auto"/>
            <w:bottom w:val="none" w:sz="0" w:space="0" w:color="auto"/>
            <w:right w:val="none" w:sz="0" w:space="0" w:color="auto"/>
          </w:divBdr>
          <w:divsChild>
            <w:div w:id="963542538">
              <w:marLeft w:val="0"/>
              <w:marRight w:val="0"/>
              <w:marTop w:val="0"/>
              <w:marBottom w:val="0"/>
              <w:divBdr>
                <w:top w:val="none" w:sz="0" w:space="0" w:color="auto"/>
                <w:left w:val="none" w:sz="0" w:space="0" w:color="auto"/>
                <w:bottom w:val="none" w:sz="0" w:space="0" w:color="auto"/>
                <w:right w:val="none" w:sz="0" w:space="0" w:color="auto"/>
              </w:divBdr>
            </w:div>
          </w:divsChild>
        </w:div>
        <w:div w:id="1604217676">
          <w:marLeft w:val="1924"/>
          <w:marRight w:val="0"/>
          <w:marTop w:val="0"/>
          <w:marBottom w:val="0"/>
          <w:divBdr>
            <w:top w:val="none" w:sz="0" w:space="0" w:color="auto"/>
            <w:left w:val="none" w:sz="0" w:space="0" w:color="auto"/>
            <w:bottom w:val="none" w:sz="0" w:space="0" w:color="auto"/>
            <w:right w:val="none" w:sz="0" w:space="0" w:color="auto"/>
          </w:divBdr>
          <w:divsChild>
            <w:div w:id="1530339453">
              <w:marLeft w:val="0"/>
              <w:marRight w:val="0"/>
              <w:marTop w:val="0"/>
              <w:marBottom w:val="300"/>
              <w:divBdr>
                <w:top w:val="none" w:sz="0" w:space="0" w:color="auto"/>
                <w:left w:val="none" w:sz="0" w:space="0" w:color="auto"/>
                <w:bottom w:val="none" w:sz="0" w:space="0" w:color="auto"/>
                <w:right w:val="none" w:sz="0" w:space="0" w:color="auto"/>
              </w:divBdr>
              <w:divsChild>
                <w:div w:id="1875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8609">
          <w:marLeft w:val="1924"/>
          <w:marRight w:val="0"/>
          <w:marTop w:val="0"/>
          <w:marBottom w:val="0"/>
          <w:divBdr>
            <w:top w:val="none" w:sz="0" w:space="0" w:color="auto"/>
            <w:left w:val="none" w:sz="0" w:space="0" w:color="auto"/>
            <w:bottom w:val="none" w:sz="0" w:space="0" w:color="auto"/>
            <w:right w:val="none" w:sz="0" w:space="0" w:color="auto"/>
          </w:divBdr>
        </w:div>
      </w:divsChild>
    </w:div>
    <w:div w:id="1845240956">
      <w:bodyDiv w:val="1"/>
      <w:marLeft w:val="0"/>
      <w:marRight w:val="0"/>
      <w:marTop w:val="0"/>
      <w:marBottom w:val="0"/>
      <w:divBdr>
        <w:top w:val="none" w:sz="0" w:space="0" w:color="auto"/>
        <w:left w:val="none" w:sz="0" w:space="0" w:color="auto"/>
        <w:bottom w:val="none" w:sz="0" w:space="0" w:color="auto"/>
        <w:right w:val="none" w:sz="0" w:space="0" w:color="auto"/>
      </w:divBdr>
    </w:div>
    <w:div w:id="1846095948">
      <w:bodyDiv w:val="1"/>
      <w:marLeft w:val="0"/>
      <w:marRight w:val="0"/>
      <w:marTop w:val="0"/>
      <w:marBottom w:val="0"/>
      <w:divBdr>
        <w:top w:val="none" w:sz="0" w:space="0" w:color="auto"/>
        <w:left w:val="none" w:sz="0" w:space="0" w:color="auto"/>
        <w:bottom w:val="none" w:sz="0" w:space="0" w:color="auto"/>
        <w:right w:val="none" w:sz="0" w:space="0" w:color="auto"/>
      </w:divBdr>
    </w:div>
    <w:div w:id="1853571518">
      <w:bodyDiv w:val="1"/>
      <w:marLeft w:val="0"/>
      <w:marRight w:val="0"/>
      <w:marTop w:val="0"/>
      <w:marBottom w:val="0"/>
      <w:divBdr>
        <w:top w:val="none" w:sz="0" w:space="0" w:color="auto"/>
        <w:left w:val="none" w:sz="0" w:space="0" w:color="auto"/>
        <w:bottom w:val="none" w:sz="0" w:space="0" w:color="auto"/>
        <w:right w:val="none" w:sz="0" w:space="0" w:color="auto"/>
      </w:divBdr>
    </w:div>
    <w:div w:id="1860509519">
      <w:bodyDiv w:val="1"/>
      <w:marLeft w:val="0"/>
      <w:marRight w:val="0"/>
      <w:marTop w:val="0"/>
      <w:marBottom w:val="0"/>
      <w:divBdr>
        <w:top w:val="none" w:sz="0" w:space="0" w:color="auto"/>
        <w:left w:val="none" w:sz="0" w:space="0" w:color="auto"/>
        <w:bottom w:val="none" w:sz="0" w:space="0" w:color="auto"/>
        <w:right w:val="none" w:sz="0" w:space="0" w:color="auto"/>
      </w:divBdr>
      <w:divsChild>
        <w:div w:id="1046179273">
          <w:marLeft w:val="0"/>
          <w:marRight w:val="0"/>
          <w:marTop w:val="0"/>
          <w:marBottom w:val="0"/>
          <w:divBdr>
            <w:top w:val="none" w:sz="0" w:space="0" w:color="auto"/>
            <w:left w:val="none" w:sz="0" w:space="0" w:color="auto"/>
            <w:bottom w:val="none" w:sz="0" w:space="0" w:color="auto"/>
            <w:right w:val="none" w:sz="0" w:space="0" w:color="auto"/>
          </w:divBdr>
          <w:divsChild>
            <w:div w:id="450633101">
              <w:marLeft w:val="0"/>
              <w:marRight w:val="0"/>
              <w:marTop w:val="0"/>
              <w:marBottom w:val="0"/>
              <w:divBdr>
                <w:top w:val="none" w:sz="0" w:space="0" w:color="auto"/>
                <w:left w:val="none" w:sz="0" w:space="0" w:color="auto"/>
                <w:bottom w:val="none" w:sz="0" w:space="0" w:color="auto"/>
                <w:right w:val="none" w:sz="0" w:space="0" w:color="auto"/>
              </w:divBdr>
              <w:divsChild>
                <w:div w:id="1120994558">
                  <w:marLeft w:val="0"/>
                  <w:marRight w:val="0"/>
                  <w:marTop w:val="0"/>
                  <w:marBottom w:val="0"/>
                  <w:divBdr>
                    <w:top w:val="none" w:sz="0" w:space="0" w:color="auto"/>
                    <w:left w:val="none" w:sz="0" w:space="0" w:color="auto"/>
                    <w:bottom w:val="none" w:sz="0" w:space="0" w:color="auto"/>
                    <w:right w:val="none" w:sz="0" w:space="0" w:color="auto"/>
                  </w:divBdr>
                  <w:divsChild>
                    <w:div w:id="2077435385">
                      <w:marLeft w:val="0"/>
                      <w:marRight w:val="0"/>
                      <w:marTop w:val="0"/>
                      <w:marBottom w:val="0"/>
                      <w:divBdr>
                        <w:top w:val="none" w:sz="0" w:space="0" w:color="auto"/>
                        <w:left w:val="none" w:sz="0" w:space="0" w:color="auto"/>
                        <w:bottom w:val="none" w:sz="0" w:space="0" w:color="auto"/>
                        <w:right w:val="none" w:sz="0" w:space="0" w:color="auto"/>
                      </w:divBdr>
                      <w:divsChild>
                        <w:div w:id="77752364">
                          <w:marLeft w:val="0"/>
                          <w:marRight w:val="0"/>
                          <w:marTop w:val="0"/>
                          <w:marBottom w:val="0"/>
                          <w:divBdr>
                            <w:top w:val="none" w:sz="0" w:space="0" w:color="auto"/>
                            <w:left w:val="none" w:sz="0" w:space="0" w:color="auto"/>
                            <w:bottom w:val="none" w:sz="0" w:space="0" w:color="auto"/>
                            <w:right w:val="none" w:sz="0" w:space="0" w:color="auto"/>
                          </w:divBdr>
                          <w:divsChild>
                            <w:div w:id="806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234088">
      <w:bodyDiv w:val="1"/>
      <w:marLeft w:val="0"/>
      <w:marRight w:val="0"/>
      <w:marTop w:val="0"/>
      <w:marBottom w:val="0"/>
      <w:divBdr>
        <w:top w:val="none" w:sz="0" w:space="0" w:color="auto"/>
        <w:left w:val="none" w:sz="0" w:space="0" w:color="auto"/>
        <w:bottom w:val="none" w:sz="0" w:space="0" w:color="auto"/>
        <w:right w:val="none" w:sz="0" w:space="0" w:color="auto"/>
      </w:divBdr>
      <w:divsChild>
        <w:div w:id="813327994">
          <w:marLeft w:val="0"/>
          <w:marRight w:val="0"/>
          <w:marTop w:val="0"/>
          <w:marBottom w:val="0"/>
          <w:divBdr>
            <w:top w:val="none" w:sz="0" w:space="0" w:color="auto"/>
            <w:left w:val="none" w:sz="0" w:space="0" w:color="auto"/>
            <w:bottom w:val="none" w:sz="0" w:space="0" w:color="auto"/>
            <w:right w:val="none" w:sz="0" w:space="0" w:color="auto"/>
          </w:divBdr>
          <w:divsChild>
            <w:div w:id="1370182860">
              <w:marLeft w:val="0"/>
              <w:marRight w:val="0"/>
              <w:marTop w:val="0"/>
              <w:marBottom w:val="0"/>
              <w:divBdr>
                <w:top w:val="none" w:sz="0" w:space="0" w:color="auto"/>
                <w:left w:val="none" w:sz="0" w:space="0" w:color="auto"/>
                <w:bottom w:val="none" w:sz="0" w:space="0" w:color="auto"/>
                <w:right w:val="none" w:sz="0" w:space="0" w:color="auto"/>
              </w:divBdr>
              <w:divsChild>
                <w:div w:id="2076656320">
                  <w:marLeft w:val="0"/>
                  <w:marRight w:val="0"/>
                  <w:marTop w:val="0"/>
                  <w:marBottom w:val="0"/>
                  <w:divBdr>
                    <w:top w:val="none" w:sz="0" w:space="0" w:color="auto"/>
                    <w:left w:val="none" w:sz="0" w:space="0" w:color="auto"/>
                    <w:bottom w:val="none" w:sz="0" w:space="0" w:color="auto"/>
                    <w:right w:val="none" w:sz="0" w:space="0" w:color="auto"/>
                  </w:divBdr>
                  <w:divsChild>
                    <w:div w:id="10179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6359">
      <w:bodyDiv w:val="1"/>
      <w:marLeft w:val="0"/>
      <w:marRight w:val="0"/>
      <w:marTop w:val="0"/>
      <w:marBottom w:val="0"/>
      <w:divBdr>
        <w:top w:val="none" w:sz="0" w:space="0" w:color="auto"/>
        <w:left w:val="none" w:sz="0" w:space="0" w:color="auto"/>
        <w:bottom w:val="none" w:sz="0" w:space="0" w:color="auto"/>
        <w:right w:val="none" w:sz="0" w:space="0" w:color="auto"/>
      </w:divBdr>
    </w:div>
    <w:div w:id="1866091179">
      <w:bodyDiv w:val="1"/>
      <w:marLeft w:val="0"/>
      <w:marRight w:val="0"/>
      <w:marTop w:val="0"/>
      <w:marBottom w:val="0"/>
      <w:divBdr>
        <w:top w:val="none" w:sz="0" w:space="0" w:color="auto"/>
        <w:left w:val="none" w:sz="0" w:space="0" w:color="auto"/>
        <w:bottom w:val="none" w:sz="0" w:space="0" w:color="auto"/>
        <w:right w:val="none" w:sz="0" w:space="0" w:color="auto"/>
      </w:divBdr>
    </w:div>
    <w:div w:id="1870096361">
      <w:bodyDiv w:val="1"/>
      <w:marLeft w:val="0"/>
      <w:marRight w:val="0"/>
      <w:marTop w:val="0"/>
      <w:marBottom w:val="0"/>
      <w:divBdr>
        <w:top w:val="none" w:sz="0" w:space="0" w:color="auto"/>
        <w:left w:val="none" w:sz="0" w:space="0" w:color="auto"/>
        <w:bottom w:val="none" w:sz="0" w:space="0" w:color="auto"/>
        <w:right w:val="none" w:sz="0" w:space="0" w:color="auto"/>
      </w:divBdr>
    </w:div>
    <w:div w:id="1873030971">
      <w:bodyDiv w:val="1"/>
      <w:marLeft w:val="0"/>
      <w:marRight w:val="0"/>
      <w:marTop w:val="0"/>
      <w:marBottom w:val="0"/>
      <w:divBdr>
        <w:top w:val="none" w:sz="0" w:space="0" w:color="auto"/>
        <w:left w:val="none" w:sz="0" w:space="0" w:color="auto"/>
        <w:bottom w:val="none" w:sz="0" w:space="0" w:color="auto"/>
        <w:right w:val="none" w:sz="0" w:space="0" w:color="auto"/>
      </w:divBdr>
      <w:divsChild>
        <w:div w:id="818886007">
          <w:marLeft w:val="0"/>
          <w:marRight w:val="0"/>
          <w:marTop w:val="0"/>
          <w:marBottom w:val="0"/>
          <w:divBdr>
            <w:top w:val="none" w:sz="0" w:space="0" w:color="auto"/>
            <w:left w:val="none" w:sz="0" w:space="0" w:color="auto"/>
            <w:bottom w:val="none" w:sz="0" w:space="0" w:color="auto"/>
            <w:right w:val="none" w:sz="0" w:space="0" w:color="auto"/>
          </w:divBdr>
        </w:div>
      </w:divsChild>
    </w:div>
    <w:div w:id="1873229034">
      <w:bodyDiv w:val="1"/>
      <w:marLeft w:val="0"/>
      <w:marRight w:val="0"/>
      <w:marTop w:val="0"/>
      <w:marBottom w:val="0"/>
      <w:divBdr>
        <w:top w:val="none" w:sz="0" w:space="0" w:color="auto"/>
        <w:left w:val="none" w:sz="0" w:space="0" w:color="auto"/>
        <w:bottom w:val="none" w:sz="0" w:space="0" w:color="auto"/>
        <w:right w:val="none" w:sz="0" w:space="0" w:color="auto"/>
      </w:divBdr>
    </w:div>
    <w:div w:id="1878933713">
      <w:bodyDiv w:val="1"/>
      <w:marLeft w:val="0"/>
      <w:marRight w:val="0"/>
      <w:marTop w:val="0"/>
      <w:marBottom w:val="0"/>
      <w:divBdr>
        <w:top w:val="none" w:sz="0" w:space="0" w:color="auto"/>
        <w:left w:val="none" w:sz="0" w:space="0" w:color="auto"/>
        <w:bottom w:val="none" w:sz="0" w:space="0" w:color="auto"/>
        <w:right w:val="none" w:sz="0" w:space="0" w:color="auto"/>
      </w:divBdr>
    </w:div>
    <w:div w:id="1884707845">
      <w:bodyDiv w:val="1"/>
      <w:marLeft w:val="0"/>
      <w:marRight w:val="0"/>
      <w:marTop w:val="0"/>
      <w:marBottom w:val="0"/>
      <w:divBdr>
        <w:top w:val="none" w:sz="0" w:space="0" w:color="auto"/>
        <w:left w:val="none" w:sz="0" w:space="0" w:color="auto"/>
        <w:bottom w:val="none" w:sz="0" w:space="0" w:color="auto"/>
        <w:right w:val="none" w:sz="0" w:space="0" w:color="auto"/>
      </w:divBdr>
    </w:div>
    <w:div w:id="1888567403">
      <w:bodyDiv w:val="1"/>
      <w:marLeft w:val="0"/>
      <w:marRight w:val="0"/>
      <w:marTop w:val="0"/>
      <w:marBottom w:val="0"/>
      <w:divBdr>
        <w:top w:val="none" w:sz="0" w:space="0" w:color="auto"/>
        <w:left w:val="none" w:sz="0" w:space="0" w:color="auto"/>
        <w:bottom w:val="none" w:sz="0" w:space="0" w:color="auto"/>
        <w:right w:val="none" w:sz="0" w:space="0" w:color="auto"/>
      </w:divBdr>
    </w:div>
    <w:div w:id="1892032711">
      <w:bodyDiv w:val="1"/>
      <w:marLeft w:val="0"/>
      <w:marRight w:val="0"/>
      <w:marTop w:val="0"/>
      <w:marBottom w:val="0"/>
      <w:divBdr>
        <w:top w:val="none" w:sz="0" w:space="0" w:color="auto"/>
        <w:left w:val="none" w:sz="0" w:space="0" w:color="auto"/>
        <w:bottom w:val="none" w:sz="0" w:space="0" w:color="auto"/>
        <w:right w:val="none" w:sz="0" w:space="0" w:color="auto"/>
      </w:divBdr>
    </w:div>
    <w:div w:id="1904169927">
      <w:bodyDiv w:val="1"/>
      <w:marLeft w:val="0"/>
      <w:marRight w:val="0"/>
      <w:marTop w:val="0"/>
      <w:marBottom w:val="0"/>
      <w:divBdr>
        <w:top w:val="none" w:sz="0" w:space="0" w:color="auto"/>
        <w:left w:val="none" w:sz="0" w:space="0" w:color="auto"/>
        <w:bottom w:val="none" w:sz="0" w:space="0" w:color="auto"/>
        <w:right w:val="none" w:sz="0" w:space="0" w:color="auto"/>
      </w:divBdr>
    </w:div>
    <w:div w:id="1909729169">
      <w:bodyDiv w:val="1"/>
      <w:marLeft w:val="0"/>
      <w:marRight w:val="0"/>
      <w:marTop w:val="0"/>
      <w:marBottom w:val="0"/>
      <w:divBdr>
        <w:top w:val="none" w:sz="0" w:space="0" w:color="auto"/>
        <w:left w:val="none" w:sz="0" w:space="0" w:color="auto"/>
        <w:bottom w:val="none" w:sz="0" w:space="0" w:color="auto"/>
        <w:right w:val="none" w:sz="0" w:space="0" w:color="auto"/>
      </w:divBdr>
    </w:div>
    <w:div w:id="1930190686">
      <w:bodyDiv w:val="1"/>
      <w:marLeft w:val="0"/>
      <w:marRight w:val="0"/>
      <w:marTop w:val="0"/>
      <w:marBottom w:val="0"/>
      <w:divBdr>
        <w:top w:val="none" w:sz="0" w:space="0" w:color="auto"/>
        <w:left w:val="none" w:sz="0" w:space="0" w:color="auto"/>
        <w:bottom w:val="none" w:sz="0" w:space="0" w:color="auto"/>
        <w:right w:val="none" w:sz="0" w:space="0" w:color="auto"/>
      </w:divBdr>
    </w:div>
    <w:div w:id="1933975240">
      <w:bodyDiv w:val="1"/>
      <w:marLeft w:val="0"/>
      <w:marRight w:val="0"/>
      <w:marTop w:val="0"/>
      <w:marBottom w:val="0"/>
      <w:divBdr>
        <w:top w:val="none" w:sz="0" w:space="0" w:color="auto"/>
        <w:left w:val="none" w:sz="0" w:space="0" w:color="auto"/>
        <w:bottom w:val="none" w:sz="0" w:space="0" w:color="auto"/>
        <w:right w:val="none" w:sz="0" w:space="0" w:color="auto"/>
      </w:divBdr>
    </w:div>
    <w:div w:id="1938513462">
      <w:bodyDiv w:val="1"/>
      <w:marLeft w:val="0"/>
      <w:marRight w:val="0"/>
      <w:marTop w:val="0"/>
      <w:marBottom w:val="0"/>
      <w:divBdr>
        <w:top w:val="none" w:sz="0" w:space="0" w:color="auto"/>
        <w:left w:val="none" w:sz="0" w:space="0" w:color="auto"/>
        <w:bottom w:val="none" w:sz="0" w:space="0" w:color="auto"/>
        <w:right w:val="none" w:sz="0" w:space="0" w:color="auto"/>
      </w:divBdr>
    </w:div>
    <w:div w:id="1941138167">
      <w:bodyDiv w:val="1"/>
      <w:marLeft w:val="0"/>
      <w:marRight w:val="0"/>
      <w:marTop w:val="0"/>
      <w:marBottom w:val="0"/>
      <w:divBdr>
        <w:top w:val="none" w:sz="0" w:space="0" w:color="auto"/>
        <w:left w:val="none" w:sz="0" w:space="0" w:color="auto"/>
        <w:bottom w:val="none" w:sz="0" w:space="0" w:color="auto"/>
        <w:right w:val="none" w:sz="0" w:space="0" w:color="auto"/>
      </w:divBdr>
    </w:div>
    <w:div w:id="1944268550">
      <w:bodyDiv w:val="1"/>
      <w:marLeft w:val="0"/>
      <w:marRight w:val="0"/>
      <w:marTop w:val="0"/>
      <w:marBottom w:val="0"/>
      <w:divBdr>
        <w:top w:val="none" w:sz="0" w:space="0" w:color="auto"/>
        <w:left w:val="none" w:sz="0" w:space="0" w:color="auto"/>
        <w:bottom w:val="none" w:sz="0" w:space="0" w:color="auto"/>
        <w:right w:val="none" w:sz="0" w:space="0" w:color="auto"/>
      </w:divBdr>
    </w:div>
    <w:div w:id="1950237370">
      <w:bodyDiv w:val="1"/>
      <w:marLeft w:val="0"/>
      <w:marRight w:val="0"/>
      <w:marTop w:val="0"/>
      <w:marBottom w:val="0"/>
      <w:divBdr>
        <w:top w:val="none" w:sz="0" w:space="0" w:color="auto"/>
        <w:left w:val="none" w:sz="0" w:space="0" w:color="auto"/>
        <w:bottom w:val="none" w:sz="0" w:space="0" w:color="auto"/>
        <w:right w:val="none" w:sz="0" w:space="0" w:color="auto"/>
      </w:divBdr>
    </w:div>
    <w:div w:id="1952514401">
      <w:bodyDiv w:val="1"/>
      <w:marLeft w:val="0"/>
      <w:marRight w:val="0"/>
      <w:marTop w:val="0"/>
      <w:marBottom w:val="0"/>
      <w:divBdr>
        <w:top w:val="none" w:sz="0" w:space="0" w:color="auto"/>
        <w:left w:val="none" w:sz="0" w:space="0" w:color="auto"/>
        <w:bottom w:val="none" w:sz="0" w:space="0" w:color="auto"/>
        <w:right w:val="none" w:sz="0" w:space="0" w:color="auto"/>
      </w:divBdr>
    </w:div>
    <w:div w:id="1960792550">
      <w:bodyDiv w:val="1"/>
      <w:marLeft w:val="0"/>
      <w:marRight w:val="0"/>
      <w:marTop w:val="0"/>
      <w:marBottom w:val="0"/>
      <w:divBdr>
        <w:top w:val="none" w:sz="0" w:space="0" w:color="auto"/>
        <w:left w:val="none" w:sz="0" w:space="0" w:color="auto"/>
        <w:bottom w:val="none" w:sz="0" w:space="0" w:color="auto"/>
        <w:right w:val="none" w:sz="0" w:space="0" w:color="auto"/>
      </w:divBdr>
    </w:div>
    <w:div w:id="1963269804">
      <w:bodyDiv w:val="1"/>
      <w:marLeft w:val="0"/>
      <w:marRight w:val="0"/>
      <w:marTop w:val="0"/>
      <w:marBottom w:val="0"/>
      <w:divBdr>
        <w:top w:val="none" w:sz="0" w:space="0" w:color="auto"/>
        <w:left w:val="none" w:sz="0" w:space="0" w:color="auto"/>
        <w:bottom w:val="none" w:sz="0" w:space="0" w:color="auto"/>
        <w:right w:val="none" w:sz="0" w:space="0" w:color="auto"/>
      </w:divBdr>
    </w:div>
    <w:div w:id="1967467882">
      <w:bodyDiv w:val="1"/>
      <w:marLeft w:val="0"/>
      <w:marRight w:val="0"/>
      <w:marTop w:val="0"/>
      <w:marBottom w:val="0"/>
      <w:divBdr>
        <w:top w:val="none" w:sz="0" w:space="0" w:color="auto"/>
        <w:left w:val="none" w:sz="0" w:space="0" w:color="auto"/>
        <w:bottom w:val="none" w:sz="0" w:space="0" w:color="auto"/>
        <w:right w:val="none" w:sz="0" w:space="0" w:color="auto"/>
      </w:divBdr>
    </w:div>
    <w:div w:id="1974745763">
      <w:bodyDiv w:val="1"/>
      <w:marLeft w:val="0"/>
      <w:marRight w:val="0"/>
      <w:marTop w:val="0"/>
      <w:marBottom w:val="0"/>
      <w:divBdr>
        <w:top w:val="none" w:sz="0" w:space="0" w:color="auto"/>
        <w:left w:val="none" w:sz="0" w:space="0" w:color="auto"/>
        <w:bottom w:val="none" w:sz="0" w:space="0" w:color="auto"/>
        <w:right w:val="none" w:sz="0" w:space="0" w:color="auto"/>
      </w:divBdr>
    </w:div>
    <w:div w:id="1977493488">
      <w:bodyDiv w:val="1"/>
      <w:marLeft w:val="0"/>
      <w:marRight w:val="0"/>
      <w:marTop w:val="0"/>
      <w:marBottom w:val="0"/>
      <w:divBdr>
        <w:top w:val="none" w:sz="0" w:space="0" w:color="auto"/>
        <w:left w:val="none" w:sz="0" w:space="0" w:color="auto"/>
        <w:bottom w:val="none" w:sz="0" w:space="0" w:color="auto"/>
        <w:right w:val="none" w:sz="0" w:space="0" w:color="auto"/>
      </w:divBdr>
    </w:div>
    <w:div w:id="1980380917">
      <w:bodyDiv w:val="1"/>
      <w:marLeft w:val="0"/>
      <w:marRight w:val="0"/>
      <w:marTop w:val="0"/>
      <w:marBottom w:val="0"/>
      <w:divBdr>
        <w:top w:val="none" w:sz="0" w:space="0" w:color="auto"/>
        <w:left w:val="none" w:sz="0" w:space="0" w:color="auto"/>
        <w:bottom w:val="none" w:sz="0" w:space="0" w:color="auto"/>
        <w:right w:val="none" w:sz="0" w:space="0" w:color="auto"/>
      </w:divBdr>
    </w:div>
    <w:div w:id="1982299808">
      <w:bodyDiv w:val="1"/>
      <w:marLeft w:val="0"/>
      <w:marRight w:val="0"/>
      <w:marTop w:val="0"/>
      <w:marBottom w:val="0"/>
      <w:divBdr>
        <w:top w:val="none" w:sz="0" w:space="0" w:color="auto"/>
        <w:left w:val="none" w:sz="0" w:space="0" w:color="auto"/>
        <w:bottom w:val="none" w:sz="0" w:space="0" w:color="auto"/>
        <w:right w:val="none" w:sz="0" w:space="0" w:color="auto"/>
      </w:divBdr>
    </w:div>
    <w:div w:id="1983535184">
      <w:bodyDiv w:val="1"/>
      <w:marLeft w:val="0"/>
      <w:marRight w:val="0"/>
      <w:marTop w:val="0"/>
      <w:marBottom w:val="0"/>
      <w:divBdr>
        <w:top w:val="none" w:sz="0" w:space="0" w:color="auto"/>
        <w:left w:val="none" w:sz="0" w:space="0" w:color="auto"/>
        <w:bottom w:val="none" w:sz="0" w:space="0" w:color="auto"/>
        <w:right w:val="none" w:sz="0" w:space="0" w:color="auto"/>
      </w:divBdr>
    </w:div>
    <w:div w:id="1984390011">
      <w:bodyDiv w:val="1"/>
      <w:marLeft w:val="0"/>
      <w:marRight w:val="0"/>
      <w:marTop w:val="0"/>
      <w:marBottom w:val="0"/>
      <w:divBdr>
        <w:top w:val="none" w:sz="0" w:space="0" w:color="auto"/>
        <w:left w:val="none" w:sz="0" w:space="0" w:color="auto"/>
        <w:bottom w:val="none" w:sz="0" w:space="0" w:color="auto"/>
        <w:right w:val="none" w:sz="0" w:space="0" w:color="auto"/>
      </w:divBdr>
    </w:div>
    <w:div w:id="1984768831">
      <w:bodyDiv w:val="1"/>
      <w:marLeft w:val="0"/>
      <w:marRight w:val="0"/>
      <w:marTop w:val="0"/>
      <w:marBottom w:val="0"/>
      <w:divBdr>
        <w:top w:val="none" w:sz="0" w:space="0" w:color="auto"/>
        <w:left w:val="none" w:sz="0" w:space="0" w:color="auto"/>
        <w:bottom w:val="none" w:sz="0" w:space="0" w:color="auto"/>
        <w:right w:val="none" w:sz="0" w:space="0" w:color="auto"/>
      </w:divBdr>
    </w:div>
    <w:div w:id="1986620812">
      <w:bodyDiv w:val="1"/>
      <w:marLeft w:val="0"/>
      <w:marRight w:val="0"/>
      <w:marTop w:val="0"/>
      <w:marBottom w:val="0"/>
      <w:divBdr>
        <w:top w:val="none" w:sz="0" w:space="0" w:color="auto"/>
        <w:left w:val="none" w:sz="0" w:space="0" w:color="auto"/>
        <w:bottom w:val="none" w:sz="0" w:space="0" w:color="auto"/>
        <w:right w:val="none" w:sz="0" w:space="0" w:color="auto"/>
      </w:divBdr>
    </w:div>
    <w:div w:id="1993828308">
      <w:bodyDiv w:val="1"/>
      <w:marLeft w:val="0"/>
      <w:marRight w:val="0"/>
      <w:marTop w:val="0"/>
      <w:marBottom w:val="0"/>
      <w:divBdr>
        <w:top w:val="none" w:sz="0" w:space="0" w:color="auto"/>
        <w:left w:val="none" w:sz="0" w:space="0" w:color="auto"/>
        <w:bottom w:val="none" w:sz="0" w:space="0" w:color="auto"/>
        <w:right w:val="none" w:sz="0" w:space="0" w:color="auto"/>
      </w:divBdr>
    </w:div>
    <w:div w:id="1997225384">
      <w:bodyDiv w:val="1"/>
      <w:marLeft w:val="0"/>
      <w:marRight w:val="0"/>
      <w:marTop w:val="0"/>
      <w:marBottom w:val="0"/>
      <w:divBdr>
        <w:top w:val="none" w:sz="0" w:space="0" w:color="auto"/>
        <w:left w:val="none" w:sz="0" w:space="0" w:color="auto"/>
        <w:bottom w:val="none" w:sz="0" w:space="0" w:color="auto"/>
        <w:right w:val="none" w:sz="0" w:space="0" w:color="auto"/>
      </w:divBdr>
    </w:div>
    <w:div w:id="1997688834">
      <w:bodyDiv w:val="1"/>
      <w:marLeft w:val="0"/>
      <w:marRight w:val="0"/>
      <w:marTop w:val="0"/>
      <w:marBottom w:val="0"/>
      <w:divBdr>
        <w:top w:val="none" w:sz="0" w:space="0" w:color="auto"/>
        <w:left w:val="none" w:sz="0" w:space="0" w:color="auto"/>
        <w:bottom w:val="none" w:sz="0" w:space="0" w:color="auto"/>
        <w:right w:val="none" w:sz="0" w:space="0" w:color="auto"/>
      </w:divBdr>
    </w:div>
    <w:div w:id="2002342885">
      <w:bodyDiv w:val="1"/>
      <w:marLeft w:val="0"/>
      <w:marRight w:val="0"/>
      <w:marTop w:val="0"/>
      <w:marBottom w:val="0"/>
      <w:divBdr>
        <w:top w:val="none" w:sz="0" w:space="0" w:color="auto"/>
        <w:left w:val="none" w:sz="0" w:space="0" w:color="auto"/>
        <w:bottom w:val="none" w:sz="0" w:space="0" w:color="auto"/>
        <w:right w:val="none" w:sz="0" w:space="0" w:color="auto"/>
      </w:divBdr>
    </w:div>
    <w:div w:id="2007053677">
      <w:bodyDiv w:val="1"/>
      <w:marLeft w:val="0"/>
      <w:marRight w:val="0"/>
      <w:marTop w:val="0"/>
      <w:marBottom w:val="0"/>
      <w:divBdr>
        <w:top w:val="none" w:sz="0" w:space="0" w:color="auto"/>
        <w:left w:val="none" w:sz="0" w:space="0" w:color="auto"/>
        <w:bottom w:val="none" w:sz="0" w:space="0" w:color="auto"/>
        <w:right w:val="none" w:sz="0" w:space="0" w:color="auto"/>
      </w:divBdr>
    </w:div>
    <w:div w:id="2013949468">
      <w:bodyDiv w:val="1"/>
      <w:marLeft w:val="0"/>
      <w:marRight w:val="0"/>
      <w:marTop w:val="0"/>
      <w:marBottom w:val="0"/>
      <w:divBdr>
        <w:top w:val="none" w:sz="0" w:space="0" w:color="auto"/>
        <w:left w:val="none" w:sz="0" w:space="0" w:color="auto"/>
        <w:bottom w:val="none" w:sz="0" w:space="0" w:color="auto"/>
        <w:right w:val="none" w:sz="0" w:space="0" w:color="auto"/>
      </w:divBdr>
    </w:div>
    <w:div w:id="2017950712">
      <w:bodyDiv w:val="1"/>
      <w:marLeft w:val="0"/>
      <w:marRight w:val="0"/>
      <w:marTop w:val="0"/>
      <w:marBottom w:val="0"/>
      <w:divBdr>
        <w:top w:val="none" w:sz="0" w:space="0" w:color="auto"/>
        <w:left w:val="none" w:sz="0" w:space="0" w:color="auto"/>
        <w:bottom w:val="none" w:sz="0" w:space="0" w:color="auto"/>
        <w:right w:val="none" w:sz="0" w:space="0" w:color="auto"/>
      </w:divBdr>
    </w:div>
    <w:div w:id="2020621075">
      <w:bodyDiv w:val="1"/>
      <w:marLeft w:val="0"/>
      <w:marRight w:val="0"/>
      <w:marTop w:val="0"/>
      <w:marBottom w:val="0"/>
      <w:divBdr>
        <w:top w:val="none" w:sz="0" w:space="0" w:color="auto"/>
        <w:left w:val="none" w:sz="0" w:space="0" w:color="auto"/>
        <w:bottom w:val="none" w:sz="0" w:space="0" w:color="auto"/>
        <w:right w:val="none" w:sz="0" w:space="0" w:color="auto"/>
      </w:divBdr>
    </w:div>
    <w:div w:id="2022928330">
      <w:bodyDiv w:val="1"/>
      <w:marLeft w:val="0"/>
      <w:marRight w:val="0"/>
      <w:marTop w:val="0"/>
      <w:marBottom w:val="0"/>
      <w:divBdr>
        <w:top w:val="none" w:sz="0" w:space="0" w:color="auto"/>
        <w:left w:val="none" w:sz="0" w:space="0" w:color="auto"/>
        <w:bottom w:val="none" w:sz="0" w:space="0" w:color="auto"/>
        <w:right w:val="none" w:sz="0" w:space="0" w:color="auto"/>
      </w:divBdr>
      <w:divsChild>
        <w:div w:id="363214043">
          <w:marLeft w:val="1924"/>
          <w:marRight w:val="0"/>
          <w:marTop w:val="0"/>
          <w:marBottom w:val="0"/>
          <w:divBdr>
            <w:top w:val="none" w:sz="0" w:space="0" w:color="auto"/>
            <w:left w:val="none" w:sz="0" w:space="0" w:color="auto"/>
            <w:bottom w:val="none" w:sz="0" w:space="0" w:color="auto"/>
            <w:right w:val="none" w:sz="0" w:space="0" w:color="auto"/>
          </w:divBdr>
        </w:div>
        <w:div w:id="1110273496">
          <w:marLeft w:val="0"/>
          <w:marRight w:val="0"/>
          <w:marTop w:val="0"/>
          <w:marBottom w:val="0"/>
          <w:divBdr>
            <w:top w:val="none" w:sz="0" w:space="0" w:color="auto"/>
            <w:left w:val="none" w:sz="0" w:space="0" w:color="auto"/>
            <w:bottom w:val="none" w:sz="0" w:space="0" w:color="auto"/>
            <w:right w:val="none" w:sz="0" w:space="0" w:color="auto"/>
          </w:divBdr>
          <w:divsChild>
            <w:div w:id="1886678189">
              <w:marLeft w:val="0"/>
              <w:marRight w:val="0"/>
              <w:marTop w:val="0"/>
              <w:marBottom w:val="0"/>
              <w:divBdr>
                <w:top w:val="none" w:sz="0" w:space="0" w:color="auto"/>
                <w:left w:val="none" w:sz="0" w:space="0" w:color="auto"/>
                <w:bottom w:val="none" w:sz="0" w:space="0" w:color="auto"/>
                <w:right w:val="none" w:sz="0" w:space="0" w:color="auto"/>
              </w:divBdr>
            </w:div>
          </w:divsChild>
        </w:div>
        <w:div w:id="1674917945">
          <w:marLeft w:val="1924"/>
          <w:marRight w:val="0"/>
          <w:marTop w:val="0"/>
          <w:marBottom w:val="0"/>
          <w:divBdr>
            <w:top w:val="none" w:sz="0" w:space="0" w:color="auto"/>
            <w:left w:val="none" w:sz="0" w:space="0" w:color="auto"/>
            <w:bottom w:val="none" w:sz="0" w:space="0" w:color="auto"/>
            <w:right w:val="none" w:sz="0" w:space="0" w:color="auto"/>
          </w:divBdr>
          <w:divsChild>
            <w:div w:id="1732147074">
              <w:marLeft w:val="0"/>
              <w:marRight w:val="0"/>
              <w:marTop w:val="0"/>
              <w:marBottom w:val="300"/>
              <w:divBdr>
                <w:top w:val="none" w:sz="0" w:space="0" w:color="auto"/>
                <w:left w:val="none" w:sz="0" w:space="0" w:color="auto"/>
                <w:bottom w:val="none" w:sz="0" w:space="0" w:color="auto"/>
                <w:right w:val="none" w:sz="0" w:space="0" w:color="auto"/>
              </w:divBdr>
              <w:divsChild>
                <w:div w:id="6886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4419">
      <w:bodyDiv w:val="1"/>
      <w:marLeft w:val="0"/>
      <w:marRight w:val="0"/>
      <w:marTop w:val="0"/>
      <w:marBottom w:val="0"/>
      <w:divBdr>
        <w:top w:val="none" w:sz="0" w:space="0" w:color="auto"/>
        <w:left w:val="none" w:sz="0" w:space="0" w:color="auto"/>
        <w:bottom w:val="none" w:sz="0" w:space="0" w:color="auto"/>
        <w:right w:val="none" w:sz="0" w:space="0" w:color="auto"/>
      </w:divBdr>
    </w:div>
    <w:div w:id="2033264418">
      <w:bodyDiv w:val="1"/>
      <w:marLeft w:val="0"/>
      <w:marRight w:val="0"/>
      <w:marTop w:val="0"/>
      <w:marBottom w:val="0"/>
      <w:divBdr>
        <w:top w:val="none" w:sz="0" w:space="0" w:color="auto"/>
        <w:left w:val="none" w:sz="0" w:space="0" w:color="auto"/>
        <w:bottom w:val="none" w:sz="0" w:space="0" w:color="auto"/>
        <w:right w:val="none" w:sz="0" w:space="0" w:color="auto"/>
      </w:divBdr>
    </w:div>
    <w:div w:id="2050496837">
      <w:bodyDiv w:val="1"/>
      <w:marLeft w:val="0"/>
      <w:marRight w:val="0"/>
      <w:marTop w:val="0"/>
      <w:marBottom w:val="0"/>
      <w:divBdr>
        <w:top w:val="none" w:sz="0" w:space="0" w:color="auto"/>
        <w:left w:val="none" w:sz="0" w:space="0" w:color="auto"/>
        <w:bottom w:val="none" w:sz="0" w:space="0" w:color="auto"/>
        <w:right w:val="none" w:sz="0" w:space="0" w:color="auto"/>
      </w:divBdr>
    </w:div>
    <w:div w:id="2053187058">
      <w:bodyDiv w:val="1"/>
      <w:marLeft w:val="0"/>
      <w:marRight w:val="0"/>
      <w:marTop w:val="0"/>
      <w:marBottom w:val="0"/>
      <w:divBdr>
        <w:top w:val="none" w:sz="0" w:space="0" w:color="auto"/>
        <w:left w:val="none" w:sz="0" w:space="0" w:color="auto"/>
        <w:bottom w:val="none" w:sz="0" w:space="0" w:color="auto"/>
        <w:right w:val="none" w:sz="0" w:space="0" w:color="auto"/>
      </w:divBdr>
    </w:div>
    <w:div w:id="2057853871">
      <w:bodyDiv w:val="1"/>
      <w:marLeft w:val="0"/>
      <w:marRight w:val="0"/>
      <w:marTop w:val="0"/>
      <w:marBottom w:val="0"/>
      <w:divBdr>
        <w:top w:val="none" w:sz="0" w:space="0" w:color="auto"/>
        <w:left w:val="none" w:sz="0" w:space="0" w:color="auto"/>
        <w:bottom w:val="none" w:sz="0" w:space="0" w:color="auto"/>
        <w:right w:val="none" w:sz="0" w:space="0" w:color="auto"/>
      </w:divBdr>
    </w:div>
    <w:div w:id="2061392133">
      <w:bodyDiv w:val="1"/>
      <w:marLeft w:val="0"/>
      <w:marRight w:val="0"/>
      <w:marTop w:val="0"/>
      <w:marBottom w:val="0"/>
      <w:divBdr>
        <w:top w:val="none" w:sz="0" w:space="0" w:color="auto"/>
        <w:left w:val="none" w:sz="0" w:space="0" w:color="auto"/>
        <w:bottom w:val="none" w:sz="0" w:space="0" w:color="auto"/>
        <w:right w:val="none" w:sz="0" w:space="0" w:color="auto"/>
      </w:divBdr>
    </w:div>
    <w:div w:id="2065829750">
      <w:bodyDiv w:val="1"/>
      <w:marLeft w:val="0"/>
      <w:marRight w:val="0"/>
      <w:marTop w:val="0"/>
      <w:marBottom w:val="0"/>
      <w:divBdr>
        <w:top w:val="none" w:sz="0" w:space="0" w:color="auto"/>
        <w:left w:val="none" w:sz="0" w:space="0" w:color="auto"/>
        <w:bottom w:val="none" w:sz="0" w:space="0" w:color="auto"/>
        <w:right w:val="none" w:sz="0" w:space="0" w:color="auto"/>
      </w:divBdr>
    </w:div>
    <w:div w:id="2078898531">
      <w:bodyDiv w:val="1"/>
      <w:marLeft w:val="0"/>
      <w:marRight w:val="0"/>
      <w:marTop w:val="0"/>
      <w:marBottom w:val="0"/>
      <w:divBdr>
        <w:top w:val="none" w:sz="0" w:space="0" w:color="auto"/>
        <w:left w:val="none" w:sz="0" w:space="0" w:color="auto"/>
        <w:bottom w:val="none" w:sz="0" w:space="0" w:color="auto"/>
        <w:right w:val="none" w:sz="0" w:space="0" w:color="auto"/>
      </w:divBdr>
      <w:divsChild>
        <w:div w:id="510727690">
          <w:marLeft w:val="0"/>
          <w:marRight w:val="0"/>
          <w:marTop w:val="0"/>
          <w:marBottom w:val="0"/>
          <w:divBdr>
            <w:top w:val="none" w:sz="0" w:space="0" w:color="auto"/>
            <w:left w:val="none" w:sz="0" w:space="0" w:color="auto"/>
            <w:bottom w:val="none" w:sz="0" w:space="0" w:color="auto"/>
            <w:right w:val="none" w:sz="0" w:space="0" w:color="auto"/>
          </w:divBdr>
          <w:divsChild>
            <w:div w:id="709836942">
              <w:marLeft w:val="0"/>
              <w:marRight w:val="0"/>
              <w:marTop w:val="0"/>
              <w:marBottom w:val="0"/>
              <w:divBdr>
                <w:top w:val="none" w:sz="0" w:space="0" w:color="auto"/>
                <w:left w:val="none" w:sz="0" w:space="0" w:color="auto"/>
                <w:bottom w:val="none" w:sz="0" w:space="0" w:color="auto"/>
                <w:right w:val="none" w:sz="0" w:space="0" w:color="auto"/>
              </w:divBdr>
              <w:divsChild>
                <w:div w:id="1313832066">
                  <w:marLeft w:val="0"/>
                  <w:marRight w:val="300"/>
                  <w:marTop w:val="0"/>
                  <w:marBottom w:val="0"/>
                  <w:divBdr>
                    <w:top w:val="none" w:sz="0" w:space="0" w:color="auto"/>
                    <w:left w:val="none" w:sz="0" w:space="0" w:color="auto"/>
                    <w:bottom w:val="none" w:sz="0" w:space="0" w:color="auto"/>
                    <w:right w:val="none" w:sz="0" w:space="0" w:color="auto"/>
                  </w:divBdr>
                  <w:divsChild>
                    <w:div w:id="172885364">
                      <w:marLeft w:val="0"/>
                      <w:marRight w:val="0"/>
                      <w:marTop w:val="0"/>
                      <w:marBottom w:val="0"/>
                      <w:divBdr>
                        <w:top w:val="none" w:sz="0" w:space="0" w:color="auto"/>
                        <w:left w:val="none" w:sz="0" w:space="0" w:color="auto"/>
                        <w:bottom w:val="none" w:sz="0" w:space="0" w:color="auto"/>
                        <w:right w:val="none" w:sz="0" w:space="0" w:color="auto"/>
                      </w:divBdr>
                      <w:divsChild>
                        <w:div w:id="1903321712">
                          <w:marLeft w:val="0"/>
                          <w:marRight w:val="0"/>
                          <w:marTop w:val="0"/>
                          <w:marBottom w:val="0"/>
                          <w:divBdr>
                            <w:top w:val="none" w:sz="0" w:space="0" w:color="auto"/>
                            <w:left w:val="none" w:sz="0" w:space="0" w:color="auto"/>
                            <w:bottom w:val="none" w:sz="0" w:space="0" w:color="auto"/>
                            <w:right w:val="none" w:sz="0" w:space="0" w:color="auto"/>
                          </w:divBdr>
                        </w:div>
                      </w:divsChild>
                    </w:div>
                    <w:div w:id="19409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8213">
          <w:marLeft w:val="0"/>
          <w:marRight w:val="0"/>
          <w:marTop w:val="0"/>
          <w:marBottom w:val="0"/>
          <w:divBdr>
            <w:top w:val="none" w:sz="0" w:space="0" w:color="auto"/>
            <w:left w:val="none" w:sz="0" w:space="0" w:color="auto"/>
            <w:bottom w:val="none" w:sz="0" w:space="0" w:color="auto"/>
            <w:right w:val="none" w:sz="0" w:space="0" w:color="auto"/>
          </w:divBdr>
          <w:divsChild>
            <w:div w:id="1848203218">
              <w:marLeft w:val="0"/>
              <w:marRight w:val="0"/>
              <w:marTop w:val="0"/>
              <w:marBottom w:val="0"/>
              <w:divBdr>
                <w:top w:val="none" w:sz="0" w:space="0" w:color="auto"/>
                <w:left w:val="none" w:sz="0" w:space="0" w:color="auto"/>
                <w:bottom w:val="none" w:sz="0" w:space="0" w:color="auto"/>
                <w:right w:val="none" w:sz="0" w:space="0" w:color="auto"/>
              </w:divBdr>
              <w:divsChild>
                <w:div w:id="10025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316">
          <w:marLeft w:val="0"/>
          <w:marRight w:val="0"/>
          <w:marTop w:val="0"/>
          <w:marBottom w:val="0"/>
          <w:divBdr>
            <w:top w:val="none" w:sz="0" w:space="0" w:color="auto"/>
            <w:left w:val="none" w:sz="0" w:space="0" w:color="auto"/>
            <w:bottom w:val="none" w:sz="0" w:space="0" w:color="auto"/>
            <w:right w:val="none" w:sz="0" w:space="0" w:color="auto"/>
          </w:divBdr>
          <w:divsChild>
            <w:div w:id="1893494103">
              <w:marLeft w:val="0"/>
              <w:marRight w:val="0"/>
              <w:marTop w:val="0"/>
              <w:marBottom w:val="0"/>
              <w:divBdr>
                <w:top w:val="none" w:sz="0" w:space="0" w:color="auto"/>
                <w:left w:val="none" w:sz="0" w:space="0" w:color="auto"/>
                <w:bottom w:val="none" w:sz="0" w:space="0" w:color="auto"/>
                <w:right w:val="none" w:sz="0" w:space="0" w:color="auto"/>
              </w:divBdr>
              <w:divsChild>
                <w:div w:id="12683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06265">
      <w:bodyDiv w:val="1"/>
      <w:marLeft w:val="0"/>
      <w:marRight w:val="0"/>
      <w:marTop w:val="0"/>
      <w:marBottom w:val="0"/>
      <w:divBdr>
        <w:top w:val="none" w:sz="0" w:space="0" w:color="auto"/>
        <w:left w:val="none" w:sz="0" w:space="0" w:color="auto"/>
        <w:bottom w:val="none" w:sz="0" w:space="0" w:color="auto"/>
        <w:right w:val="none" w:sz="0" w:space="0" w:color="auto"/>
      </w:divBdr>
    </w:div>
    <w:div w:id="2102724784">
      <w:bodyDiv w:val="1"/>
      <w:marLeft w:val="0"/>
      <w:marRight w:val="0"/>
      <w:marTop w:val="0"/>
      <w:marBottom w:val="0"/>
      <w:divBdr>
        <w:top w:val="none" w:sz="0" w:space="0" w:color="auto"/>
        <w:left w:val="none" w:sz="0" w:space="0" w:color="auto"/>
        <w:bottom w:val="none" w:sz="0" w:space="0" w:color="auto"/>
        <w:right w:val="none" w:sz="0" w:space="0" w:color="auto"/>
      </w:divBdr>
    </w:div>
    <w:div w:id="2113478533">
      <w:bodyDiv w:val="1"/>
      <w:marLeft w:val="0"/>
      <w:marRight w:val="0"/>
      <w:marTop w:val="0"/>
      <w:marBottom w:val="0"/>
      <w:divBdr>
        <w:top w:val="none" w:sz="0" w:space="0" w:color="auto"/>
        <w:left w:val="none" w:sz="0" w:space="0" w:color="auto"/>
        <w:bottom w:val="none" w:sz="0" w:space="0" w:color="auto"/>
        <w:right w:val="none" w:sz="0" w:space="0" w:color="auto"/>
      </w:divBdr>
    </w:div>
    <w:div w:id="2120177152">
      <w:bodyDiv w:val="1"/>
      <w:marLeft w:val="0"/>
      <w:marRight w:val="0"/>
      <w:marTop w:val="0"/>
      <w:marBottom w:val="0"/>
      <w:divBdr>
        <w:top w:val="none" w:sz="0" w:space="0" w:color="auto"/>
        <w:left w:val="none" w:sz="0" w:space="0" w:color="auto"/>
        <w:bottom w:val="none" w:sz="0" w:space="0" w:color="auto"/>
        <w:right w:val="none" w:sz="0" w:space="0" w:color="auto"/>
      </w:divBdr>
    </w:div>
    <w:div w:id="2132820323">
      <w:bodyDiv w:val="1"/>
      <w:marLeft w:val="0"/>
      <w:marRight w:val="0"/>
      <w:marTop w:val="0"/>
      <w:marBottom w:val="0"/>
      <w:divBdr>
        <w:top w:val="none" w:sz="0" w:space="0" w:color="auto"/>
        <w:left w:val="none" w:sz="0" w:space="0" w:color="auto"/>
        <w:bottom w:val="none" w:sz="0" w:space="0" w:color="auto"/>
        <w:right w:val="none" w:sz="0" w:space="0" w:color="auto"/>
      </w:divBdr>
    </w:div>
    <w:div w:id="2135440551">
      <w:bodyDiv w:val="1"/>
      <w:marLeft w:val="0"/>
      <w:marRight w:val="0"/>
      <w:marTop w:val="0"/>
      <w:marBottom w:val="0"/>
      <w:divBdr>
        <w:top w:val="none" w:sz="0" w:space="0" w:color="auto"/>
        <w:left w:val="none" w:sz="0" w:space="0" w:color="auto"/>
        <w:bottom w:val="none" w:sz="0" w:space="0" w:color="auto"/>
        <w:right w:val="none" w:sz="0" w:space="0" w:color="auto"/>
      </w:divBdr>
    </w:div>
    <w:div w:id="2140299318">
      <w:bodyDiv w:val="1"/>
      <w:marLeft w:val="0"/>
      <w:marRight w:val="0"/>
      <w:marTop w:val="0"/>
      <w:marBottom w:val="0"/>
      <w:divBdr>
        <w:top w:val="none" w:sz="0" w:space="0" w:color="auto"/>
        <w:left w:val="none" w:sz="0" w:space="0" w:color="auto"/>
        <w:bottom w:val="none" w:sz="0" w:space="0" w:color="auto"/>
        <w:right w:val="none" w:sz="0" w:space="0" w:color="auto"/>
      </w:divBdr>
    </w:div>
    <w:div w:id="2140754492">
      <w:bodyDiv w:val="1"/>
      <w:marLeft w:val="0"/>
      <w:marRight w:val="0"/>
      <w:marTop w:val="0"/>
      <w:marBottom w:val="0"/>
      <w:divBdr>
        <w:top w:val="none" w:sz="0" w:space="0" w:color="auto"/>
        <w:left w:val="none" w:sz="0" w:space="0" w:color="auto"/>
        <w:bottom w:val="none" w:sz="0" w:space="0" w:color="auto"/>
        <w:right w:val="none" w:sz="0" w:space="0" w:color="auto"/>
      </w:divBdr>
    </w:div>
    <w:div w:id="2143383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s>
</file>

<file path=word/_rels/footnotes.xml.rels><?xml version="1.0" encoding="UTF-8" standalone="yes"?>
<Relationships xmlns="http://schemas.openxmlformats.org/package/2006/relationships"><Relationship Id="rId117" Type="http://schemas.openxmlformats.org/officeDocument/2006/relationships/hyperlink" Target="https://lynchinginamerica.eji.org/report/" TargetMode="External"/><Relationship Id="rId299" Type="http://schemas.openxmlformats.org/officeDocument/2006/relationships/hyperlink" Target="https://www.policemisconduct.net/the-truth-about-police-misconduct-litigation/" TargetMode="External"/><Relationship Id="rId671" Type="http://schemas.openxmlformats.org/officeDocument/2006/relationships/hyperlink" Target="http://www.oas.org/en/iachr/decisions/2011/uspu12626en.doc" TargetMode="External"/><Relationship Id="rId21" Type="http://schemas.openxmlformats.org/officeDocument/2006/relationships/hyperlink" Target="http://www.cidh.org/annualrep/86.87eng/EUU9647.htm" TargetMode="External"/><Relationship Id="rId63" Type="http://schemas.openxmlformats.org/officeDocument/2006/relationships/hyperlink" Target="http://www.nationalpartnership.org/research-library/workplace-fairness/fair-pay/african-american-women-wage-gap.pdf" TargetMode="External"/><Relationship Id="rId159" Type="http://schemas.openxmlformats.org/officeDocument/2006/relationships/hyperlink" Target="http://www.oas.org/en/iachr/reports/pdfs/violencechildren2016.pdf" TargetMode="External"/><Relationship Id="rId324" Type="http://schemas.openxmlformats.org/officeDocument/2006/relationships/hyperlink" Target="https://www.washingtonpost.com/news/wonk/wp/2014/08/14/the-pentagon-gave-nearly-half-a-billion-dollars-of-military-gear-to-local-law-enforcement-last-year/" TargetMode="External"/><Relationship Id="rId366" Type="http://schemas.openxmlformats.org/officeDocument/2006/relationships/hyperlink" Target="https://www.themarshallproject.org/2014/12/26/plea-bargaining-and-the-innocent" TargetMode="External"/><Relationship Id="rId531" Type="http://schemas.openxmlformats.org/officeDocument/2006/relationships/hyperlink" Target="https://www.cnn.com/2013/06/20/justice/north-carolina-death-penalty/index.html" TargetMode="External"/><Relationship Id="rId573" Type="http://schemas.openxmlformats.org/officeDocument/2006/relationships/hyperlink" Target="https://www.state.gov/documents/organization/235641.pdf" TargetMode="External"/><Relationship Id="rId629" Type="http://schemas.openxmlformats.org/officeDocument/2006/relationships/hyperlink" Target="http://www.oas.org/en/iachr/media_center/PReleases/2017/124.asp" TargetMode="External"/><Relationship Id="rId170" Type="http://schemas.openxmlformats.org/officeDocument/2006/relationships/hyperlink" Target="http://archives.civilrights.org/publications/reports/racial-profiling2011/racial_profiling2011.pdf" TargetMode="External"/><Relationship Id="rId226" Type="http://schemas.openxmlformats.org/officeDocument/2006/relationships/hyperlink" Target="http://www.fatalencounters.org/" TargetMode="External"/><Relationship Id="rId433" Type="http://schemas.openxmlformats.org/officeDocument/2006/relationships/hyperlink" Target="https://www.americanbar.org/content/dam/aba/images/diversity/SYG_Report_Book.pdf" TargetMode="External"/><Relationship Id="rId268" Type="http://schemas.openxmlformats.org/officeDocument/2006/relationships/hyperlink" Target="https://www.nytimes.com/interactive/2016/07/12/us/looking-for-accountability-in-police-involved-deaths-of-blacks.html" TargetMode="External"/><Relationship Id="rId475" Type="http://schemas.openxmlformats.org/officeDocument/2006/relationships/hyperlink" Target="https://le.utah.gov/~2016/bills/static/HB0355.html" TargetMode="External"/><Relationship Id="rId640" Type="http://schemas.openxmlformats.org/officeDocument/2006/relationships/hyperlink" Target="http://www.oas.org/en/iachr/docs/pdf/citizensec.pdf" TargetMode="External"/><Relationship Id="rId682" Type="http://schemas.openxmlformats.org/officeDocument/2006/relationships/hyperlink" Target="http://www.ohchr.org/EN/ProfessionalInterest/Pages/RemedyAndReparation.aspx" TargetMode="External"/><Relationship Id="rId32" Type="http://schemas.openxmlformats.org/officeDocument/2006/relationships/hyperlink" Target="http://www.oas.org/en/iachr/media_center/preleases/2016/117.asp" TargetMode="External"/><Relationship Id="rId74" Type="http://schemas.openxmlformats.org/officeDocument/2006/relationships/hyperlink" Target="http://www.oas.org/en/iachr/reports/pdfs/extractiveindustries2016.pdf" TargetMode="External"/><Relationship Id="rId128" Type="http://schemas.openxmlformats.org/officeDocument/2006/relationships/hyperlink" Target="https://documents-dds-ny.un.org/doc/UNDOC/GEN/G16/183/30/PDF/G1618330.pdf?OpenElement" TargetMode="External"/><Relationship Id="rId335" Type="http://schemas.openxmlformats.org/officeDocument/2006/relationships/hyperlink" Target="http://foreignpolicy.com/2017/10/06/the-fbi-has-identified-a-new-domestic-terrorist-threat-and-its-black-identity-extremists/" TargetMode="External"/><Relationship Id="rId377" Type="http://schemas.openxmlformats.org/officeDocument/2006/relationships/hyperlink" Target="https://deathpenaltyinfo.org/race-death-row-inmates-executed-1976" TargetMode="External"/><Relationship Id="rId500" Type="http://schemas.openxmlformats.org/officeDocument/2006/relationships/hyperlink" Target="https://www.whitehouse.gov/the-press-office/2017/08/28/presidential-executive-order-restoring-state-tribal-and-local-law" TargetMode="External"/><Relationship Id="rId542" Type="http://schemas.openxmlformats.org/officeDocument/2006/relationships/hyperlink" Target="http://www.cidh.oas.org/annualrep/2008eng/Colombia12.009eng.htm" TargetMode="External"/><Relationship Id="rId584" Type="http://schemas.openxmlformats.org/officeDocument/2006/relationships/hyperlink" Target="http://www.oas.org/en/iachr/docs/pdf/citizensec.pdf" TargetMode="External"/><Relationship Id="rId5" Type="http://schemas.openxmlformats.org/officeDocument/2006/relationships/hyperlink" Target="https://www.youtube.com/watch?v=c_ZLnaWeXCk" TargetMode="External"/><Relationship Id="rId181" Type="http://schemas.openxmlformats.org/officeDocument/2006/relationships/hyperlink" Target="http://www.nyclu.org/files/publications/NYCLU_2011_Stop-and-Frisk_Report.pdf" TargetMode="External"/><Relationship Id="rId237" Type="http://schemas.openxmlformats.org/officeDocument/2006/relationships/hyperlink" Target="https://www.youtube.com/watch?v=c_ZLnaWeXCk" TargetMode="External"/><Relationship Id="rId402" Type="http://schemas.openxmlformats.org/officeDocument/2006/relationships/hyperlink" Target="https://www.npr.org/sections/thetwo-way/2016/04/04/472878724/denying-housing-over-criminal-record-may-be-discrimination-feds-say" TargetMode="External"/><Relationship Id="rId279" Type="http://schemas.openxmlformats.org/officeDocument/2006/relationships/hyperlink" Target="https://www.theguardian.com/us-news/video/2015/jan/08/new-video-tamir-rice-shooting-sister-video" TargetMode="External"/><Relationship Id="rId444" Type="http://schemas.openxmlformats.org/officeDocument/2006/relationships/hyperlink" Target="http://www.oas.org/en/iachr/media_center/preleases/2015/118.asp" TargetMode="External"/><Relationship Id="rId486" Type="http://schemas.openxmlformats.org/officeDocument/2006/relationships/hyperlink" Target="https://www.vox.com/policy-and-politics/2017/5/4/15537952/jeff-sessions-police-justice-department-trump" TargetMode="External"/><Relationship Id="rId651" Type="http://schemas.openxmlformats.org/officeDocument/2006/relationships/hyperlink" Target="https://fivethirtyeight.com/features/allegations-of-police-misconduct-rarely-result-in-charges/" TargetMode="External"/><Relationship Id="rId693" Type="http://schemas.openxmlformats.org/officeDocument/2006/relationships/hyperlink" Target="http://www.ohchr.org/EN/ProfessionalInterest/Pages/RemedyAndReparation.aspx" TargetMode="External"/><Relationship Id="rId707" Type="http://schemas.openxmlformats.org/officeDocument/2006/relationships/hyperlink" Target="http://www.oas.org/en/iachr/afro-descendants/docs/pdf/AFROS_2011_ENG.pdf" TargetMode="External"/><Relationship Id="rId43" Type="http://schemas.openxmlformats.org/officeDocument/2006/relationships/hyperlink" Target="file:///C:\Users\cidhbec10\Downloads\,%20Report%20N&#186;%2081\10,%20Case%2012.562,%20Wayne%20Smith,%20Hugo%20Armendariz,%20et%20al" TargetMode="External"/><Relationship Id="rId139" Type="http://schemas.openxmlformats.org/officeDocument/2006/relationships/hyperlink" Target="https://lynchinginamerica.eji.org/report/" TargetMode="External"/><Relationship Id="rId290" Type="http://schemas.openxmlformats.org/officeDocument/2006/relationships/hyperlink" Target="https://www.aclu-nj.org/files/3413/6059/3876/ACLU_NJ_Internal_Affairs.pdf" TargetMode="External"/><Relationship Id="rId304" Type="http://schemas.openxmlformats.org/officeDocument/2006/relationships/hyperlink" Target="http://www.slate.com/articles/news_and_politics/jurisprudence/2014/11/will_justice_department_charge_darren_wilson_supreme%20_court_gutted_civil.html" TargetMode="External"/><Relationship Id="rId346" Type="http://schemas.openxmlformats.org/officeDocument/2006/relationships/hyperlink" Target="http://www.oas.org/en/iachr/reports/pdfs/PretrialDetention.pdf" TargetMode="External"/><Relationship Id="rId388" Type="http://schemas.openxmlformats.org/officeDocument/2006/relationships/hyperlink" Target="https://www.nytimes.com/2017/11/17/opinion/jay-z-meek-mill-probation.html?_r=0" TargetMode="External"/><Relationship Id="rId511" Type="http://schemas.openxmlformats.org/officeDocument/2006/relationships/hyperlink" Target="http://www.oas.org/en/iachr/decisions/2011/uspu12626en.doc" TargetMode="External"/><Relationship Id="rId553" Type="http://schemas.openxmlformats.org/officeDocument/2006/relationships/hyperlink" Target="http://www.oas.org/en/iachr/docs/annual/2015/doc-en/informeanual2015-cap4a-fuerza-en.pdf" TargetMode="External"/><Relationship Id="rId609" Type="http://schemas.openxmlformats.org/officeDocument/2006/relationships/hyperlink" Target="http://www.amnesty.nl/sites/default/files/public/amnesty_use_of_force_final_web_0.pdf" TargetMode="External"/><Relationship Id="rId85" Type="http://schemas.openxmlformats.org/officeDocument/2006/relationships/hyperlink" Target="https://www.brookings.edu/blog/brown-center-chalkboard/2016/06/06/7-findings-that-illustrate-racial-disparities-in-education/" TargetMode="External"/><Relationship Id="rId150" Type="http://schemas.openxmlformats.org/officeDocument/2006/relationships/hyperlink" Target="https://www.google.com/url?sa=t&amp;rct=j&amp;q=&amp;esrc=s&amp;source=web&amp;cd=3&amp;cad=rja&amp;uact=8&amp;ved=0ahUKEwjDq6-ms8nXAhVX1WMKHSWvCCYQFggyMAI&amp;url=https%3A%2F%2Fwww.aclu.org%2Fsites%2Fdefault%2Ffiles%2Fassets%2Fjus14-warcomeshome-report-web-rel1.pdf&amp;usg=AOvVaw3fhNaAmqvLJFi7p5LwHkuv" TargetMode="External"/><Relationship Id="rId192" Type="http://schemas.openxmlformats.org/officeDocument/2006/relationships/hyperlink" Target="https://www.justice.gov/sites/default/files/opa/press-releases/attachments/2015/03/04/ferguson_police_department_report_1.pdf" TargetMode="External"/><Relationship Id="rId206" Type="http://schemas.openxmlformats.org/officeDocument/2006/relationships/hyperlink" Target="https://www.aclu.org/report/war-comes-home-excessive-militarization-american-police" TargetMode="External"/><Relationship Id="rId413" Type="http://schemas.openxmlformats.org/officeDocument/2006/relationships/hyperlink" Target="http://www.cnn.com/2017/01/10/us/dylann-roof-trial/index.html" TargetMode="External"/><Relationship Id="rId595" Type="http://schemas.openxmlformats.org/officeDocument/2006/relationships/hyperlink" Target="https://www.aclu.org/sites/default/files/field_document/lethal_in_disguise_inclo_single_page.pdf" TargetMode="External"/><Relationship Id="rId248" Type="http://schemas.openxmlformats.org/officeDocument/2006/relationships/hyperlink" Target="https://storage.googleapis.com/vera-web-assets/downloads/Publications/protect-and-serve-policing-trends-2015-2016/legacy_downloads/041417-PolicingTrendsReport-web.pdf" TargetMode="External"/><Relationship Id="rId455" Type="http://schemas.openxmlformats.org/officeDocument/2006/relationships/hyperlink" Target="http://www.miamiherald.com/news/local/crime/article17882108.html" TargetMode="External"/><Relationship Id="rId497" Type="http://schemas.openxmlformats.org/officeDocument/2006/relationships/hyperlink" Target="http://www.chicagotribune.com/news/local/breaking/ct-chicago-police-independent-monitor-met-20170602-story.html" TargetMode="External"/><Relationship Id="rId620" Type="http://schemas.openxmlformats.org/officeDocument/2006/relationships/hyperlink" Target="http://cidh.org/annualrep/2004eng/Belize.12053eng.htm" TargetMode="External"/><Relationship Id="rId662" Type="http://schemas.openxmlformats.org/officeDocument/2006/relationships/hyperlink" Target="http://www.oas.org/en/iachr/media_center/PReleases/2016/120.asp" TargetMode="External"/><Relationship Id="rId12" Type="http://schemas.openxmlformats.org/officeDocument/2006/relationships/hyperlink" Target="http://www.oas.org/en/iachr/media_center/PReleases/2015/037.asp" TargetMode="External"/><Relationship Id="rId108" Type="http://schemas.openxmlformats.org/officeDocument/2006/relationships/hyperlink" Target="https://www.splcenter.org/sites/default/files/Ku-Klux-Klan-A-History-of-Racism.pdf" TargetMode="External"/><Relationship Id="rId315" Type="http://schemas.openxmlformats.org/officeDocument/2006/relationships/hyperlink" Target="http://www.oas.org/en/iachr/media_center/preleases/2015/118.asp" TargetMode="External"/><Relationship Id="rId357" Type="http://schemas.openxmlformats.org/officeDocument/2006/relationships/hyperlink" Target="http://www.oas.org/en/iachr/media_center/PReleases/2014/104.asp" TargetMode="External"/><Relationship Id="rId522" Type="http://schemas.openxmlformats.org/officeDocument/2006/relationships/hyperlink" Target="http://www.oas.org/en/iachr/decisions/2011/uspu12626en.doc" TargetMode="External"/><Relationship Id="rId54" Type="http://schemas.openxmlformats.org/officeDocument/2006/relationships/hyperlink" Target="http://www.oas.org/en/iachr/afro-descendants/docs/pdf/AFROS_2011_ENG.pdf" TargetMode="External"/><Relationship Id="rId96" Type="http://schemas.openxmlformats.org/officeDocument/2006/relationships/hyperlink" Target="https://www.seattletimes.com/opinion/segregation-worse-in-schools-60-years-after-brown-v-board-of-education/" TargetMode="External"/><Relationship Id="rId161" Type="http://schemas.openxmlformats.org/officeDocument/2006/relationships/hyperlink" Target="http://www.oas.org/en/iachr/afro-descendants/docs/pdf/AFROS_2011_ENG.pdf" TargetMode="External"/><Relationship Id="rId217" Type="http://schemas.openxmlformats.org/officeDocument/2006/relationships/hyperlink" Target="http://www.oas.org/en/iachr/media_center/preleases/2015/040.asp" TargetMode="External"/><Relationship Id="rId399" Type="http://schemas.openxmlformats.org/officeDocument/2006/relationships/hyperlink" Target="https://www.youtube.com/watch?v=j_OIkzDAaxA" TargetMode="External"/><Relationship Id="rId564" Type="http://schemas.openxmlformats.org/officeDocument/2006/relationships/hyperlink" Target="http://www.ohchr.org/EN/ProfessionalInterest/Pages/UseOfForceAndFirearms.aspx" TargetMode="External"/><Relationship Id="rId259" Type="http://schemas.openxmlformats.org/officeDocument/2006/relationships/hyperlink" Target="https://www.youtube.com/watch?v=c_ZLnaWeXCk" TargetMode="External"/><Relationship Id="rId424" Type="http://schemas.openxmlformats.org/officeDocument/2006/relationships/hyperlink" Target="http://www.cnn.com/2017/10/12/us/charlottesville-deandre-harris-arrest/index.html" TargetMode="External"/><Relationship Id="rId466" Type="http://schemas.openxmlformats.org/officeDocument/2006/relationships/hyperlink" Target="http://www.transequality.org/sites/default/files/docs/resources/NCTE%20Federal%20Blueprint%20Chapter%206%20Police%20and%20Ending%20Violence.pdf" TargetMode="External"/><Relationship Id="rId631" Type="http://schemas.openxmlformats.org/officeDocument/2006/relationships/hyperlink" Target="http://www.oas.org/en/iachr/media_center/preleases/2015/118.asp" TargetMode="External"/><Relationship Id="rId673" Type="http://schemas.openxmlformats.org/officeDocument/2006/relationships/hyperlink" Target="http://www.oas.org/en/iachr/decisions/2011/uspu12626en.doc" TargetMode="External"/><Relationship Id="rId23" Type="http://schemas.openxmlformats.org/officeDocument/2006/relationships/hyperlink" Target="http://www.oas.org/en/iachr/decisions/2016/USAD419-08EN.pdf" TargetMode="External"/><Relationship Id="rId119" Type="http://schemas.openxmlformats.org/officeDocument/2006/relationships/hyperlink" Target="http://www.history.com/topics/american-civil-war/black-leaders-during-reconstruction" TargetMode="External"/><Relationship Id="rId270" Type="http://schemas.openxmlformats.org/officeDocument/2006/relationships/hyperlink" Target="http://www.oas.org/en/iachr/media_center/PReleases/2016/120.asp" TargetMode="External"/><Relationship Id="rId326" Type="http://schemas.openxmlformats.org/officeDocument/2006/relationships/hyperlink" Target="https://www.amnestyusa.org/files/onthestreetsofamericaamnestyinternational.pdf" TargetMode="External"/><Relationship Id="rId533" Type="http://schemas.openxmlformats.org/officeDocument/2006/relationships/hyperlink" Target="https://www.oas.org/en/iachr/decisions/2016/USPU12834EN.pdf" TargetMode="External"/><Relationship Id="rId65" Type="http://schemas.openxmlformats.org/officeDocument/2006/relationships/hyperlink" Target="http://tbinternet.ohchr.org/_layouts/treatybodyexternal/Download.aspx?symbolno=CERD%2fC%2fUSA%2fCO%2f7-9&amp;Lang=en" TargetMode="External"/><Relationship Id="rId130" Type="http://schemas.openxmlformats.org/officeDocument/2006/relationships/hyperlink" Target="https://www.splcenter.org/sites/default/files/Ku-Klux-Klan-A-History-of-Racism.pdf" TargetMode="External"/><Relationship Id="rId368" Type="http://schemas.openxmlformats.org/officeDocument/2006/relationships/hyperlink" Target="http://www.sentencingproject.org/doc/publications/rd_sentencing_review.pdf" TargetMode="External"/><Relationship Id="rId575" Type="http://schemas.openxmlformats.org/officeDocument/2006/relationships/hyperlink" Target="https://www.thenation.com/article/why-its-impossible-indictcop/" TargetMode="External"/><Relationship Id="rId172" Type="http://schemas.openxmlformats.org/officeDocument/2006/relationships/hyperlink" Target="https://www.nytimes.com/2018/01/07/opinion/stop-and-frisk-celebrate.html" TargetMode="External"/><Relationship Id="rId228" Type="http://schemas.openxmlformats.org/officeDocument/2006/relationships/hyperlink" Target="https://www.nytimes.com/2017/08/11/opinion/sunday/traffic-stop-police-accident.html" TargetMode="External"/><Relationship Id="rId435" Type="http://schemas.openxmlformats.org/officeDocument/2006/relationships/hyperlink" Target="http://www.usccr.gov/calendar/trnscrpt/CommissionBriefingTranscript_Part1_10-17-2014_Final.pdf" TargetMode="External"/><Relationship Id="rId477" Type="http://schemas.openxmlformats.org/officeDocument/2006/relationships/hyperlink" Target="https://www.cga.ct.gov/2015/TOB/H/2015HB-07103-R00-HB.htm" TargetMode="External"/><Relationship Id="rId600" Type="http://schemas.openxmlformats.org/officeDocument/2006/relationships/hyperlink" Target="http://www.oas.org/en/iachr/docs/annual/2015/doc-en/informeanual2015-cap4a-fuerza-en.pdf" TargetMode="External"/><Relationship Id="rId642" Type="http://schemas.openxmlformats.org/officeDocument/2006/relationships/hyperlink" Target="http://www.oas.org/en/iachr/docs/pdf/citizensec.pdf" TargetMode="External"/><Relationship Id="rId684" Type="http://schemas.openxmlformats.org/officeDocument/2006/relationships/hyperlink" Target="http://www.ohchr.org/EN/ProfessionalInterest/Pages/RemedyAndReparation.aspx" TargetMode="External"/><Relationship Id="rId281" Type="http://schemas.openxmlformats.org/officeDocument/2006/relationships/hyperlink" Target="https://www.nytimes.com/2017/12/30/nyregion/erica-garner-dead.html" TargetMode="External"/><Relationship Id="rId337" Type="http://schemas.openxmlformats.org/officeDocument/2006/relationships/hyperlink" Target="https://www.nytimes.com/2017/11/15/opinion/black-identity-extremism-fbi-trump.html" TargetMode="External"/><Relationship Id="rId502" Type="http://schemas.openxmlformats.org/officeDocument/2006/relationships/hyperlink" Target="https://www.justice.gov/sites/default/files/ag/pages/attachments/2014/12/08/use-of-race-policy.pdf" TargetMode="External"/><Relationship Id="rId34" Type="http://schemas.openxmlformats.org/officeDocument/2006/relationships/hyperlink" Target="http://www.oas.org/en/iachr/media_center/preleases/2016/187.asp" TargetMode="External"/><Relationship Id="rId76" Type="http://schemas.openxmlformats.org/officeDocument/2006/relationships/hyperlink" Target="http://www.oas.org/en/iachr/afro-descendants/docs/pdf/AFROS_2011_ENG.pdf" TargetMode="External"/><Relationship Id="rId141" Type="http://schemas.openxmlformats.org/officeDocument/2006/relationships/hyperlink" Target="http://www.oas.org/en/iachr/reports/pdfs/PretrialDetention.pdf" TargetMode="External"/><Relationship Id="rId379" Type="http://schemas.openxmlformats.org/officeDocument/2006/relationships/hyperlink" Target="http://www.sentencingproject.org/publications/color-of-justice-racial-and-ethnic-disparity-in-state-prisons/" TargetMode="External"/><Relationship Id="rId544" Type="http://schemas.openxmlformats.org/officeDocument/2006/relationships/hyperlink" Target="http://www.oas.org/en/iachr/docs/annual/2015/doc-en/informeanual2015-cap4a-fuerza-en.pdf" TargetMode="External"/><Relationship Id="rId586" Type="http://schemas.openxmlformats.org/officeDocument/2006/relationships/hyperlink" Target="http://www.ohchr.org/EN/ProfessionalInterest/Pages/UseOfForceAndFirearms.aspx" TargetMode="External"/><Relationship Id="rId7" Type="http://schemas.openxmlformats.org/officeDocument/2006/relationships/hyperlink" Target="https://www.youtube.com/watch?v=U5SvLoYX71M" TargetMode="External"/><Relationship Id="rId183" Type="http://schemas.openxmlformats.org/officeDocument/2006/relationships/hyperlink" Target="https://www.nyclu.org/en/stop-and-frisk-data" TargetMode="External"/><Relationship Id="rId239" Type="http://schemas.openxmlformats.org/officeDocument/2006/relationships/hyperlink" Target="http://www.latimes.com/opinion/op-ed/la-oe-stinson-cop-shootings-20161215-story.html" TargetMode="External"/><Relationship Id="rId390" Type="http://schemas.openxmlformats.org/officeDocument/2006/relationships/hyperlink" Target="http://www.oas.org/en/iachr/media_center/PReleases/2015/037.asp" TargetMode="External"/><Relationship Id="rId404" Type="http://schemas.openxmlformats.org/officeDocument/2006/relationships/hyperlink" Target="https://ucr.fbi.gov/hate-crime/2016/topic-pages/incidentsandoffenses.pdf" TargetMode="External"/><Relationship Id="rId446" Type="http://schemas.openxmlformats.org/officeDocument/2006/relationships/hyperlink" Target="http://tbinternet.ohchr.org/_layouts/treatybodyexternal/Download.aspx?symbolno=CERD%2fC%2fUSA%2fCO%2f7-9&amp;Lang=en" TargetMode="External"/><Relationship Id="rId611" Type="http://schemas.openxmlformats.org/officeDocument/2006/relationships/hyperlink" Target="http://www.oas.org/en/iachr/docs/annual/2015/doc-en/InformeAnual2015-cap4A-fuerza-EN.pdf" TargetMode="External"/><Relationship Id="rId653" Type="http://schemas.openxmlformats.org/officeDocument/2006/relationships/hyperlink" Target="https://www.houstonchronicle.com/local/item/Bulletproof-Part-3-Hard-to-charge-24421.php" TargetMode="External"/><Relationship Id="rId250" Type="http://schemas.openxmlformats.org/officeDocument/2006/relationships/hyperlink" Target="http://www.oas.org/en/iachr/media_center/preleases/2014/090.asp" TargetMode="External"/><Relationship Id="rId292" Type="http://schemas.openxmlformats.org/officeDocument/2006/relationships/hyperlink" Target="http://www.newyorker.com/magazine/2015/12/21/badcops-good-cops" TargetMode="External"/><Relationship Id="rId306" Type="http://schemas.openxmlformats.org/officeDocument/2006/relationships/hyperlink" Target="http://rfkhumanrights.org/media/filer_public/7d/84/7d8409c1-588f-4163-b552-1f6428e685db/iachr_thematic_hearing_submission_-_excessive_use_of_force_by_police_against_black_americans.pdf" TargetMode="External"/><Relationship Id="rId488" Type="http://schemas.openxmlformats.org/officeDocument/2006/relationships/hyperlink" Target="https://www.nytimes.com/2017/02/12/us/police-chiefs-trump-law-enforcement-priorities.html?mcubz=1" TargetMode="External"/><Relationship Id="rId695" Type="http://schemas.openxmlformats.org/officeDocument/2006/relationships/hyperlink" Target="http://www.oas.org/en/iachr/reports/pdfs/right-to-truth-en.pdf" TargetMode="External"/><Relationship Id="rId45" Type="http://schemas.openxmlformats.org/officeDocument/2006/relationships/hyperlink" Target="http://cidh.org/annualrep/2002eng/USA.11140.htm" TargetMode="External"/><Relationship Id="rId87" Type="http://schemas.openxmlformats.org/officeDocument/2006/relationships/hyperlink" Target="http://tbinternet.ohchr.org/_layouts/treatybodyexternal/Download.aspx?symbolno=CERD%2fC%2fUSA%2fCO%2f7-9&amp;Lang=en" TargetMode="External"/><Relationship Id="rId110" Type="http://schemas.openxmlformats.org/officeDocument/2006/relationships/hyperlink" Target="https://www.bostonglobe.com/arts/2016/06/22/slave-trade-helped-build-early-new-england-economy/GqMvV4Al8Yjmf8YjP6Ot4N/story.html" TargetMode="External"/><Relationship Id="rId348" Type="http://schemas.openxmlformats.org/officeDocument/2006/relationships/hyperlink" Target="https://eji.org/news/people-of-color-disproportionately-detained-pretrial" TargetMode="External"/><Relationship Id="rId513" Type="http://schemas.openxmlformats.org/officeDocument/2006/relationships/hyperlink" Target="http://cidh.org/annualrep/2004eng/Belize.12053eng.htm" TargetMode="External"/><Relationship Id="rId555" Type="http://schemas.openxmlformats.org/officeDocument/2006/relationships/hyperlink" Target="http://www.oas.org/en/iachr/docs/annual/2015/doc-en/informeanual2015-cap4a-fuerza-en.pdf" TargetMode="External"/><Relationship Id="rId597" Type="http://schemas.openxmlformats.org/officeDocument/2006/relationships/hyperlink" Target="http://www.oas.org/en/iachr/docs/annual/2015/doc-en/informeanual2015-cap4a-fuerza-en.pdf" TargetMode="External"/><Relationship Id="rId152" Type="http://schemas.openxmlformats.org/officeDocument/2006/relationships/hyperlink" Target="https://www.youtube.com/watch?v=c_ZLnaWeXCk" TargetMode="External"/><Relationship Id="rId194" Type="http://schemas.openxmlformats.org/officeDocument/2006/relationships/hyperlink" Target="https://harvardlawreview.org/2015/04/policing-and-profit/" TargetMode="External"/><Relationship Id="rId208" Type="http://schemas.openxmlformats.org/officeDocument/2006/relationships/hyperlink" Target="https://www.reuters.com/article/us-usa-race-obama/obama-sets-new-limits-on-police-use-of-military-equipment-idUSKBN0O30UQ20150518" TargetMode="External"/><Relationship Id="rId415" Type="http://schemas.openxmlformats.org/officeDocument/2006/relationships/hyperlink" Target="https://www.nbcnews.com/storyline/charleston-church-shooting/charlotte-church-shooting-renews-debate-over-removing-confederate-flag-n378651" TargetMode="External"/><Relationship Id="rId457" Type="http://schemas.openxmlformats.org/officeDocument/2006/relationships/hyperlink" Target="https://www.youtube.com/watch?v=U5SvLoYX71M" TargetMode="External"/><Relationship Id="rId622" Type="http://schemas.openxmlformats.org/officeDocument/2006/relationships/hyperlink" Target="https://www.oas.org/en/iachr/decisions/2016/USPU12834EN.pdf" TargetMode="External"/><Relationship Id="rId261" Type="http://schemas.openxmlformats.org/officeDocument/2006/relationships/hyperlink" Target="http://www.oas.org/en/iachr/media_center/preleases/2015/040.asp" TargetMode="External"/><Relationship Id="rId499" Type="http://schemas.openxmlformats.org/officeDocument/2006/relationships/hyperlink" Target="https://www.justice.gov/crt/file/883296/download" TargetMode="External"/><Relationship Id="rId664" Type="http://schemas.openxmlformats.org/officeDocument/2006/relationships/hyperlink" Target="http://www.oas.org/en/iachr/media_center/preleases/2014/090.asp" TargetMode="External"/><Relationship Id="rId14" Type="http://schemas.openxmlformats.org/officeDocument/2006/relationships/hyperlink" Target="http://www.oas.org/en/iachr/media_center/PReleases/2016/120.asp" TargetMode="External"/><Relationship Id="rId56" Type="http://schemas.openxmlformats.org/officeDocument/2006/relationships/hyperlink" Target="http://www.oas.org/en/iachr/afro-descendants/docs/pdf/AFROS_2011_ENG.pdf" TargetMode="External"/><Relationship Id="rId317" Type="http://schemas.openxmlformats.org/officeDocument/2006/relationships/hyperlink" Target="https://s3.amazonaws.com/s3.document%20cloud.org/documents/1310115/5-second-rule-injunction.pdf" TargetMode="External"/><Relationship Id="rId359" Type="http://schemas.openxmlformats.org/officeDocument/2006/relationships/hyperlink" Target="https://www.state.gov/documents/organization/235641.pdf" TargetMode="External"/><Relationship Id="rId524" Type="http://schemas.openxmlformats.org/officeDocument/2006/relationships/hyperlink" Target="https://www.oas.org/en/iachr/decisions/2016/USPU12834EN.pdf" TargetMode="External"/><Relationship Id="rId566" Type="http://schemas.openxmlformats.org/officeDocument/2006/relationships/hyperlink" Target="https://www.youtube.com/watch?v=_NF0K33bkLI" TargetMode="External"/><Relationship Id="rId98" Type="http://schemas.openxmlformats.org/officeDocument/2006/relationships/hyperlink" Target="https://www.propublica.org/article/segregation-now-the-resegregation-of-americas-schools/" TargetMode="External"/><Relationship Id="rId121" Type="http://schemas.openxmlformats.org/officeDocument/2006/relationships/hyperlink" Target="https://www.smithsonianmag.com/smart-news/1873-colfax-massacre-crippled-reconstruction-180958746/" TargetMode="External"/><Relationship Id="rId163" Type="http://schemas.openxmlformats.org/officeDocument/2006/relationships/hyperlink" Target="https://www.aclu.org/report/war-comes-home-excessive-militarization-american-police" TargetMode="External"/><Relationship Id="rId219" Type="http://schemas.openxmlformats.org/officeDocument/2006/relationships/hyperlink" Target="https://documents-dds-ny.un.org/doc/UNDOC/GEN/G16/183/30/PDF/G1618330.pdf?OpenElement" TargetMode="External"/><Relationship Id="rId370" Type="http://schemas.openxmlformats.org/officeDocument/2006/relationships/hyperlink" Target="http://www.justicestudies.com/pubs/livelink3-1.pdf" TargetMode="External"/><Relationship Id="rId426" Type="http://schemas.openxmlformats.org/officeDocument/2006/relationships/hyperlink" Target="http://www.baltimoresun.com/news/maryland/crime/bs-md-charlottesville-arrest-0827-story.html" TargetMode="External"/><Relationship Id="rId633" Type="http://schemas.openxmlformats.org/officeDocument/2006/relationships/hyperlink" Target="http://www.oas.org/en/iachr/decisions/2011/uspu12626en.doc" TargetMode="External"/><Relationship Id="rId230" Type="http://schemas.openxmlformats.org/officeDocument/2006/relationships/hyperlink" Target="https://www.washingtonpost.com/investigations/nationwide-police-shot-and-killed-nearly-1000-people-in-2017/2018/01/04/4eed5f34-e4e9-11e7-ab50-621fe0588340_story.html?utm_term=.3161bdeaacce" TargetMode="External"/><Relationship Id="rId468" Type="http://schemas.openxmlformats.org/officeDocument/2006/relationships/hyperlink" Target="http://www.washingtonpost.com/wp-dyn/content/article/2010/06/30/AR2010063001356.html" TargetMode="External"/><Relationship Id="rId675" Type="http://schemas.openxmlformats.org/officeDocument/2006/relationships/hyperlink" Target="http://www.cidh.oas.org/annualrep/2006eng/CUBA.12476eng.htm" TargetMode="External"/><Relationship Id="rId25" Type="http://schemas.openxmlformats.org/officeDocument/2006/relationships/hyperlink" Target="http://www.oas.org/en/iachr/decisions/2015/USAD1752-09EN.pdf" TargetMode="External"/><Relationship Id="rId67" Type="http://schemas.openxmlformats.org/officeDocument/2006/relationships/hyperlink" Target="http://www.feedingamerica.org/assets/pdfs/fact-sheets/african-american-hunger-fact-sheet.pdf" TargetMode="External"/><Relationship Id="rId272" Type="http://schemas.openxmlformats.org/officeDocument/2006/relationships/hyperlink" Target="https://www.nytimes.com/interactive/2017/05/17/us/nfl-kneeling-national-anthem.html" TargetMode="External"/><Relationship Id="rId328" Type="http://schemas.openxmlformats.org/officeDocument/2006/relationships/hyperlink" Target="https://www.nbcnews.com/storyline/baltimore-unrest/baltimore-protests-100-arrested-new-york-rally-over-freddie-gray-n350951" TargetMode="External"/><Relationship Id="rId535" Type="http://schemas.openxmlformats.org/officeDocument/2006/relationships/hyperlink" Target="http://cidh.org/annualrep/2004eng/Belize.12053eng.htm" TargetMode="External"/><Relationship Id="rId577" Type="http://schemas.openxmlformats.org/officeDocument/2006/relationships/hyperlink" Target="http://www.ohchr.org/EN/ProfessionalInterest/Pages/UseOfForceAndFirearms.aspx" TargetMode="External"/><Relationship Id="rId700" Type="http://schemas.openxmlformats.org/officeDocument/2006/relationships/hyperlink" Target="http://www.ohchr.org/EN/ProfessionalInterest/Pages/RemedyAndReparation.aspx" TargetMode="External"/><Relationship Id="rId132" Type="http://schemas.openxmlformats.org/officeDocument/2006/relationships/hyperlink" Target="https://documents-dds-ny.un.org/doc/UNDOC/GEN/G16/183/30/PDF/G1618330.pdf?OpenElement" TargetMode="External"/><Relationship Id="rId174" Type="http://schemas.openxmlformats.org/officeDocument/2006/relationships/hyperlink" Target="https://www.youtube.com/watch?v=j_OIkzDAaxA" TargetMode="External"/><Relationship Id="rId381" Type="http://schemas.openxmlformats.org/officeDocument/2006/relationships/hyperlink" Target="http://www.oas.org/en/iachr/media_center/preleases/2012/120.asp" TargetMode="External"/><Relationship Id="rId602" Type="http://schemas.openxmlformats.org/officeDocument/2006/relationships/hyperlink" Target="https://www.aclu.org/report/war-comes-home-excessive-militarization-american-police" TargetMode="External"/><Relationship Id="rId241" Type="http://schemas.openxmlformats.org/officeDocument/2006/relationships/hyperlink" Target="http://www.oas.org/en/iachr/docs/pdf/citizensec.pdf" TargetMode="External"/><Relationship Id="rId437" Type="http://schemas.openxmlformats.org/officeDocument/2006/relationships/hyperlink" Target="http://www.orlandosentinel.com/news/breaking-news/os-florida-stand-your-ground-civil-rights-20141017-story.html" TargetMode="External"/><Relationship Id="rId479" Type="http://schemas.openxmlformats.org/officeDocument/2006/relationships/hyperlink" Target="https://www.youtube.com/watch?v=j_OIkzDAaxA" TargetMode="External"/><Relationship Id="rId644" Type="http://schemas.openxmlformats.org/officeDocument/2006/relationships/hyperlink" Target="http://www.ohchr.org/Documents/Publications/training8Rev1en.pdf" TargetMode="External"/><Relationship Id="rId686" Type="http://schemas.openxmlformats.org/officeDocument/2006/relationships/hyperlink" Target="http://www.oas.org/en/iachr/reports/pdfs/right-to-truth-en.pdf" TargetMode="External"/><Relationship Id="rId36" Type="http://schemas.openxmlformats.org/officeDocument/2006/relationships/hyperlink" Target="http://www.oas.org/en/iachr/media_center/PReleases/2015/031.asp" TargetMode="External"/><Relationship Id="rId283" Type="http://schemas.openxmlformats.org/officeDocument/2006/relationships/hyperlink" Target="https://www.nytimes.com/2014/12/08/nyregion/grand-juries-seldom-charge-police-officers-in-fatal-actions.html?_r=0" TargetMode="External"/><Relationship Id="rId339" Type="http://schemas.openxmlformats.org/officeDocument/2006/relationships/hyperlink" Target="http://www.oas.org/en/iachr/media_center/preleases/2015/118.asp" TargetMode="External"/><Relationship Id="rId490" Type="http://schemas.openxmlformats.org/officeDocument/2006/relationships/hyperlink" Target="http://www.slate.com/blogs/the_slatest/2017/04/06/trump_and_sessions_are_undermining_the_baltimore_consent_decree.html" TargetMode="External"/><Relationship Id="rId504" Type="http://schemas.openxmlformats.org/officeDocument/2006/relationships/hyperlink" Target="https://www.youtube.com/watch?v=ieGOtPqlHLM&amp;feature=youtu.be" TargetMode="External"/><Relationship Id="rId546" Type="http://schemas.openxmlformats.org/officeDocument/2006/relationships/hyperlink" Target="http://www.oas.org/en/iachr/docs/pdf/citizensec.pdf" TargetMode="External"/><Relationship Id="rId78" Type="http://schemas.openxmlformats.org/officeDocument/2006/relationships/hyperlink" Target="http://www.latimes.com/world/global-development/la-na-texas-black-maternal-mortality-2017-htmlstory.html" TargetMode="External"/><Relationship Id="rId101" Type="http://schemas.openxmlformats.org/officeDocument/2006/relationships/hyperlink" Target="http://www.law.columbia.edu/news/2017/06/kimberle-crenshaw-intersectionality" TargetMode="External"/><Relationship Id="rId143" Type="http://schemas.openxmlformats.org/officeDocument/2006/relationships/hyperlink" Target="http://www.ohchr.org/EN/HRBodies/HRC/RegularSessions/Session35/Documents/A_HRC_35_28_Add.2_AEV.docx" TargetMode="External"/><Relationship Id="rId185" Type="http://schemas.openxmlformats.org/officeDocument/2006/relationships/hyperlink" Target="https://www.aclu-il.org/en/campaigns/stop-and-frisk" TargetMode="External"/><Relationship Id="rId350" Type="http://schemas.openxmlformats.org/officeDocument/2006/relationships/hyperlink" Target="http://www.pretrial.org/download/research/Give%20Us%20Free-Addressing%20Racial%20Disparities%20in%20bail%20Determinations%20-%20Jones%202014.pdf" TargetMode="External"/><Relationship Id="rId406" Type="http://schemas.openxmlformats.org/officeDocument/2006/relationships/hyperlink" Target="https://www.splcenter.org/hatewatch/2017/11/13/fbi-hate-crimes-reach-5-year-high-2016-jumped-trump-rolled-toward-presidency-0" TargetMode="External"/><Relationship Id="rId588" Type="http://schemas.openxmlformats.org/officeDocument/2006/relationships/hyperlink" Target="http://www.ohchr.org/EN/ProfessionalInterest/Pages/UseOfForceAndFirearms.aspx" TargetMode="External"/><Relationship Id="rId9" Type="http://schemas.openxmlformats.org/officeDocument/2006/relationships/hyperlink" Target="http://www.oas.org/es/cidh/desc/docs/Pobreza-DDHH-InformePreliminar-2016-en.pdf" TargetMode="External"/><Relationship Id="rId210" Type="http://schemas.openxmlformats.org/officeDocument/2006/relationships/hyperlink" Target="https://www.washingtonpost.com/news/the-watch/wp/2015/05/18/obama-moves-to-demilitarize-americas-police/?utm_term=.b659b1e140ec" TargetMode="External"/><Relationship Id="rId392" Type="http://schemas.openxmlformats.org/officeDocument/2006/relationships/hyperlink" Target="http://www.oas.org/en/iachr/media_center/preleases/2015/118.asp" TargetMode="External"/><Relationship Id="rId448" Type="http://schemas.openxmlformats.org/officeDocument/2006/relationships/hyperlink" Target="https://www.washingtonpost.com/news/post-nation/wp/2016/01/21/disgraced-ex-officer-daniel-holtzclaw-to-be-sentenced-after-sex-crimes-conviction/?utm_term=.d690235e4eb3" TargetMode="External"/><Relationship Id="rId613" Type="http://schemas.openxmlformats.org/officeDocument/2006/relationships/hyperlink" Target="http://www.oas.org/en/iachr/docs/pdf/citizensec.pdf" TargetMode="External"/><Relationship Id="rId655" Type="http://schemas.openxmlformats.org/officeDocument/2006/relationships/hyperlink" Target="https://www.phillypolice.com/assets/forms-reports/TaskForce_FinalReport.pdf" TargetMode="External"/><Relationship Id="rId697" Type="http://schemas.openxmlformats.org/officeDocument/2006/relationships/hyperlink" Target="http://www.oas.org/en/iachr/media_center/PReleases/2016/120.asp" TargetMode="External"/><Relationship Id="rId252" Type="http://schemas.openxmlformats.org/officeDocument/2006/relationships/hyperlink" Target="http://www.oas.org/en/iachr/media_center/PReleases/2016/120.asp" TargetMode="External"/><Relationship Id="rId294" Type="http://schemas.openxmlformats.org/officeDocument/2006/relationships/hyperlink" Target="https://www.nytimes.com/roomfordebate/2015/04/29/baltimore-and-bolstering-a-police-officers-right-to-remain-silent/the-police-officers-bill-of-rights-creates-a-double-standard" TargetMode="External"/><Relationship Id="rId308" Type="http://schemas.openxmlformats.org/officeDocument/2006/relationships/hyperlink" Target="http://www.oas.org/en/iachr/media_center/preleases/2015/118.asp" TargetMode="External"/><Relationship Id="rId515" Type="http://schemas.openxmlformats.org/officeDocument/2006/relationships/hyperlink" Target="http://www.cidh.org/terrorism/eng/toc.htm" TargetMode="External"/><Relationship Id="rId47" Type="http://schemas.openxmlformats.org/officeDocument/2006/relationships/hyperlink" Target="http://www.refworld.org/cases,IACHR,502ccca62.html" TargetMode="External"/><Relationship Id="rId89" Type="http://schemas.openxmlformats.org/officeDocument/2006/relationships/hyperlink" Target="https://www.chronicle.com/article/Racial-Disparities-in-Higher/234129" TargetMode="External"/><Relationship Id="rId112" Type="http://schemas.openxmlformats.org/officeDocument/2006/relationships/hyperlink" Target="https://www.theatlantic.com/politics/archive/2014/10/the-old-jim-crow/381473/" TargetMode="External"/><Relationship Id="rId154" Type="http://schemas.openxmlformats.org/officeDocument/2006/relationships/hyperlink" Target="http://www.nytimes.com/1999/02/05/nyregion/officers-in-bronx-fire-41-shots-and-an-unarmed-man-is-killed.html" TargetMode="External"/><Relationship Id="rId361" Type="http://schemas.openxmlformats.org/officeDocument/2006/relationships/hyperlink" Target="https://documents-dds-ny.un.org/doc/UNDOC/GEN/G16/183/30/PDF/G1618330.pdf?OpenElement" TargetMode="External"/><Relationship Id="rId557" Type="http://schemas.openxmlformats.org/officeDocument/2006/relationships/hyperlink" Target="http://www.ohchr.org/EN/ProfessionalInterest/Pages/UseOfForceAndFirearms.aspx" TargetMode="External"/><Relationship Id="rId599" Type="http://schemas.openxmlformats.org/officeDocument/2006/relationships/hyperlink" Target="http://www.ohchr.org/EN/ProfessionalInterest/Pages/UseOfForceAndFirearms.aspx" TargetMode="External"/><Relationship Id="rId196" Type="http://schemas.openxmlformats.org/officeDocument/2006/relationships/hyperlink" Target="https://www.justice.gov/sites/default/files/opa/press-releases/attachments/2015/03/04/ferguson_police_department_report_1.pdf" TargetMode="External"/><Relationship Id="rId417" Type="http://schemas.openxmlformats.org/officeDocument/2006/relationships/hyperlink" Target="https://www.nytimes.com/2017/08/12/us/charlottesville-protest-white-nationalist.html?mcubz=1" TargetMode="External"/><Relationship Id="rId459" Type="http://schemas.openxmlformats.org/officeDocument/2006/relationships/hyperlink" Target="https://www.nbcnews.com/news/us-news/newly-released-interview-footage-reveal-shifting-stories-officers-who-shot-n751401" TargetMode="External"/><Relationship Id="rId624" Type="http://schemas.openxmlformats.org/officeDocument/2006/relationships/hyperlink" Target="http://www.oas.org/en/iachr/reports/pdfs/Refugees-Migrants-US.pdf" TargetMode="External"/><Relationship Id="rId666" Type="http://schemas.openxmlformats.org/officeDocument/2006/relationships/hyperlink" Target="http://www.oas.org/en/iachr/media_center/PReleases/2016/120.asp" TargetMode="External"/><Relationship Id="rId16" Type="http://schemas.openxmlformats.org/officeDocument/2006/relationships/hyperlink" Target="http://scm.oas.org/pdfs/agres/ag03791E01.PDF" TargetMode="External"/><Relationship Id="rId221" Type="http://schemas.openxmlformats.org/officeDocument/2006/relationships/hyperlink" Target="http://www.oas.org/en/iachr/media_center/preleases/2015/040.asp" TargetMode="External"/><Relationship Id="rId263" Type="http://schemas.openxmlformats.org/officeDocument/2006/relationships/hyperlink" Target="http://www.washingtonpost.com/sf/investigative/2015/04/11/thousands-dead-few-prosecuted/?utm_term=.43b0b694a26e" TargetMode="External"/><Relationship Id="rId319" Type="http://schemas.openxmlformats.org/officeDocument/2006/relationships/hyperlink" Target="http://www.oas.org/en/iachr/docs/annual/2015/doc-en/InformeAnual2015-cap4A-fuerza-EN.pdf" TargetMode="External"/><Relationship Id="rId470" Type="http://schemas.openxmlformats.org/officeDocument/2006/relationships/hyperlink" Target="http://www.oas.org/en/iachr/reports/pdfs/PretrialDetention.pdf" TargetMode="External"/><Relationship Id="rId526" Type="http://schemas.openxmlformats.org/officeDocument/2006/relationships/hyperlink" Target="https://www.oas.org/en/iachr/decisions/2017/USAD1105-06EN.pdf" TargetMode="External"/><Relationship Id="rId58" Type="http://schemas.openxmlformats.org/officeDocument/2006/relationships/hyperlink" Target="http://tbinternet.ohchr.org/_layouts/treatybodyexternal/Download.aspx?symbolno=CERD%2fC%2fUSA%2fCO%2f7-9&amp;Lang=en" TargetMode="External"/><Relationship Id="rId123" Type="http://schemas.openxmlformats.org/officeDocument/2006/relationships/hyperlink" Target="https://lynchinginamerica.eji.org/report/" TargetMode="External"/><Relationship Id="rId330" Type="http://schemas.openxmlformats.org/officeDocument/2006/relationships/hyperlink" Target="http://www.oas.org/en/iachr/docs/annual/2015/doc-en/InformeAnual2015-cap4A-fuerza-EN.pdf" TargetMode="External"/><Relationship Id="rId568" Type="http://schemas.openxmlformats.org/officeDocument/2006/relationships/hyperlink" Target="http://www.oas.org/en/iachr/migrants/docs/pdf/Report-Migrants-Mexico-2013.pdf" TargetMode="External"/><Relationship Id="rId165" Type="http://schemas.openxmlformats.org/officeDocument/2006/relationships/hyperlink" Target="https://www.youtube.com/watch?v=j_OIkzDAaxA" TargetMode="External"/><Relationship Id="rId372" Type="http://schemas.openxmlformats.org/officeDocument/2006/relationships/hyperlink" Target="https://www.prisonpolicy.org/global/" TargetMode="External"/><Relationship Id="rId428" Type="http://schemas.openxmlformats.org/officeDocument/2006/relationships/hyperlink" Target="https://www.npr.org/sections/thetwo-way/2018/02/28/589451855/shrouds-pulled-from-charlottesville-confederate-statues-following-ruling" TargetMode="External"/><Relationship Id="rId635" Type="http://schemas.openxmlformats.org/officeDocument/2006/relationships/hyperlink" Target="http://www.oas.org/en/iachr/docs/annual/2015/doc-en/InformeAnual2015-cap4A-fuerza-EN.pdf" TargetMode="External"/><Relationship Id="rId677" Type="http://schemas.openxmlformats.org/officeDocument/2006/relationships/hyperlink" Target="https://www.oas.org/en/iachr/decisions/2016/USPU12834EN.pdf" TargetMode="External"/><Relationship Id="rId232" Type="http://schemas.openxmlformats.org/officeDocument/2006/relationships/hyperlink" Target="https://www.washingtonpost.com/graphics/national/police-shootings-2017/" TargetMode="External"/><Relationship Id="rId274" Type="http://schemas.openxmlformats.org/officeDocument/2006/relationships/hyperlink" Target="http://abcnews.go.com/US/tulsa-police-officer-acquitted-death-unarmed-african-american/story?id=47480144" TargetMode="External"/><Relationship Id="rId481" Type="http://schemas.openxmlformats.org/officeDocument/2006/relationships/hyperlink" Target="https://www.phillypolice.com/assets/forms-reports/TaskForce_FinalReport.pdf" TargetMode="External"/><Relationship Id="rId702" Type="http://schemas.openxmlformats.org/officeDocument/2006/relationships/hyperlink" Target="http://www.ohchr.org/EN/ProfessionalInterest/Pages/RemedyAndReparation.aspx" TargetMode="External"/><Relationship Id="rId27" Type="http://schemas.openxmlformats.org/officeDocument/2006/relationships/hyperlink" Target="http://www.oas.org/en/sla/dil/docs/inter_american_treaties_A-41_charter_OAS.pdf" TargetMode="External"/><Relationship Id="rId69" Type="http://schemas.openxmlformats.org/officeDocument/2006/relationships/hyperlink" Target="http://www.detroitnews.com/story/news/michigan/flint-water-crisis/2017/03/07/flint-water-conference/98862674/" TargetMode="External"/><Relationship Id="rId134" Type="http://schemas.openxmlformats.org/officeDocument/2006/relationships/hyperlink" Target="https://www.theatlantic.com/magazine/archive/2014/06/the-case-for-reparations/361631/" TargetMode="External"/><Relationship Id="rId537" Type="http://schemas.openxmlformats.org/officeDocument/2006/relationships/hyperlink" Target="http://www.oas.org/en/iachr/afro-descendants/docs/pdf/AFROS_2011_ENG.pdf" TargetMode="External"/><Relationship Id="rId579" Type="http://schemas.openxmlformats.org/officeDocument/2006/relationships/hyperlink" Target="https://storage.googleapis.com/vera-web-assets/downloads/Publications/protect-and-serve-policing-trends-2015-2016/legacy_downloads/041417-PolicingTrendsReport-web.pdf" TargetMode="External"/><Relationship Id="rId80" Type="http://schemas.openxmlformats.org/officeDocument/2006/relationships/hyperlink" Target="http://tbinternet.ohchr.org/_layouts/treatybodyexternal/Download.aspx?symbolno=CERD%2fC%2fUSA%2fCO%2f7-9&amp;Lang=en" TargetMode="External"/><Relationship Id="rId176" Type="http://schemas.openxmlformats.org/officeDocument/2006/relationships/hyperlink" Target="http://www1.nyc.gov/assets/oignypd/downloads/pdf/Quality-of-Life-Report-2010-2015.pdf" TargetMode="External"/><Relationship Id="rId341" Type="http://schemas.openxmlformats.org/officeDocument/2006/relationships/hyperlink" Target="https://www.usatoday.com/story/news/nation/2014/11/18/ferguson-black-arrest-rates/19043207/" TargetMode="External"/><Relationship Id="rId383" Type="http://schemas.openxmlformats.org/officeDocument/2006/relationships/hyperlink" Target="http://www.oas.org/en/iachr/media_center/preleases/2015/118.asp" TargetMode="External"/><Relationship Id="rId439" Type="http://schemas.openxmlformats.org/officeDocument/2006/relationships/hyperlink" Target="https://www.theguardian.com/us-news/2014/oct/17/michael-dunn-sentenced-life-without-parole-florida" TargetMode="External"/><Relationship Id="rId590" Type="http://schemas.openxmlformats.org/officeDocument/2006/relationships/hyperlink" Target="https://www.phillypolice.com/assets/forms-reports/TaskForce_FinalReport.pdf" TargetMode="External"/><Relationship Id="rId604" Type="http://schemas.openxmlformats.org/officeDocument/2006/relationships/hyperlink" Target="http://www.oas.org/en/iachr/docs/annual/2015/doc-en/InformeAnual2015-cap4A-fuerza-EN.pdf" TargetMode="External"/><Relationship Id="rId646" Type="http://schemas.openxmlformats.org/officeDocument/2006/relationships/hyperlink" Target="http://www.oas.org/en/iachr/docs/annual/2015/doc-en/InformeAnual2015-cap4A-fuerza-EN.pdf" TargetMode="External"/><Relationship Id="rId201" Type="http://schemas.openxmlformats.org/officeDocument/2006/relationships/hyperlink" Target="https://harvardlawreview.org/2015/04/policing-and-profit/" TargetMode="External"/><Relationship Id="rId243" Type="http://schemas.openxmlformats.org/officeDocument/2006/relationships/hyperlink" Target="http://tbinternet.ohchr.org/_layouts/treatybodyexternal/Download.aspx?symbolno=CERD%2fC%2fUSA%2fCO%2f7-9&amp;Lang=en" TargetMode="External"/><Relationship Id="rId285" Type="http://schemas.openxmlformats.org/officeDocument/2006/relationships/hyperlink" Target="https://fivethirtyeight.com/features/allegations-of-police-misconduct-rarely-result-in-charges/" TargetMode="External"/><Relationship Id="rId450" Type="http://schemas.openxmlformats.org/officeDocument/2006/relationships/hyperlink" Target="http://rudermanfoundation.org/wp-content/uploads/2017/08/MediaStudy-PoliceDisability_final-final.pdf" TargetMode="External"/><Relationship Id="rId506" Type="http://schemas.openxmlformats.org/officeDocument/2006/relationships/hyperlink" Target="https://www.state.gov/documents/organization/235641.pdf" TargetMode="External"/><Relationship Id="rId688" Type="http://schemas.openxmlformats.org/officeDocument/2006/relationships/hyperlink" Target="http://www.ohchr.org/EN/ProfessionalInterest/Pages/RemedyAndReparation.aspx" TargetMode="External"/><Relationship Id="rId38" Type="http://schemas.openxmlformats.org/officeDocument/2006/relationships/hyperlink" Target="http://cidh.org/annualrep/2004eng/Belize.12053eng.htm" TargetMode="External"/><Relationship Id="rId103" Type="http://schemas.openxmlformats.org/officeDocument/2006/relationships/hyperlink" Target="http://www.oas.org/en/iachr/reports/pdfs/IndigenousWomen.pdf" TargetMode="External"/><Relationship Id="rId310" Type="http://schemas.openxmlformats.org/officeDocument/2006/relationships/hyperlink" Target="https://www.youtube.com/watch?v=yft7VCzxXUg" TargetMode="External"/><Relationship Id="rId492" Type="http://schemas.openxmlformats.org/officeDocument/2006/relationships/hyperlink" Target="https://www.youtube.com/watch?v=U5SvLoYX71M" TargetMode="External"/><Relationship Id="rId548" Type="http://schemas.openxmlformats.org/officeDocument/2006/relationships/hyperlink" Target="http://www.oas.org/en/iachr/afro-descendants/docs/pdf/AFROS_2011_ENG.pdf" TargetMode="External"/><Relationship Id="rId91" Type="http://schemas.openxmlformats.org/officeDocument/2006/relationships/hyperlink" Target="https://www.politico.com/magazine/story/2016/10/the-real-voting-problem-in-the-2016-election-214386" TargetMode="External"/><Relationship Id="rId145" Type="http://schemas.openxmlformats.org/officeDocument/2006/relationships/hyperlink" Target="https://www.bjs.gov/content/pub/pdf/p2581.pdf" TargetMode="External"/><Relationship Id="rId187" Type="http://schemas.openxmlformats.org/officeDocument/2006/relationships/hyperlink" Target="http://www.washlaw.org/pdf/wlc_report_racial_disparities.PDF" TargetMode="External"/><Relationship Id="rId352" Type="http://schemas.openxmlformats.org/officeDocument/2006/relationships/hyperlink" Target="https://www.huffingtonpost.com/cynthia-jones/pretrial-detention-blacks-and-latinos_b_8537602.html" TargetMode="External"/><Relationship Id="rId394" Type="http://schemas.openxmlformats.org/officeDocument/2006/relationships/hyperlink" Target="https://www.youtube.com/watch?v=ieGOtPqlHLM&amp;feature=youtu.be" TargetMode="External"/><Relationship Id="rId408" Type="http://schemas.openxmlformats.org/officeDocument/2006/relationships/hyperlink" Target="https://ucr.fbi.gov/hate-crime/2016/topic-pages/incidentsandoffenses.pdf" TargetMode="External"/><Relationship Id="rId615" Type="http://schemas.openxmlformats.org/officeDocument/2006/relationships/hyperlink" Target="http://www.oas.org/en/iachr/decisions/2011/uspu12626en.doc" TargetMode="External"/><Relationship Id="rId212" Type="http://schemas.openxmlformats.org/officeDocument/2006/relationships/hyperlink" Target="http://www.oas.org/en/iachr/expression/docs/reports/annual/AnnualReport2016RELE.pdf" TargetMode="External"/><Relationship Id="rId254" Type="http://schemas.openxmlformats.org/officeDocument/2006/relationships/hyperlink" Target="https://www.youtube.com/watch?v=U5SvLoYX71M" TargetMode="External"/><Relationship Id="rId657" Type="http://schemas.openxmlformats.org/officeDocument/2006/relationships/hyperlink" Target="http://www.ohchr.org/EN/ProfessionalInterest/Pages/UseOfForceAndFirearms.aspx" TargetMode="External"/><Relationship Id="rId699" Type="http://schemas.openxmlformats.org/officeDocument/2006/relationships/hyperlink" Target="http://www.ohchr.org/EN/ProfessionalInterest/Pages/RemedyAndReparation.aspx" TargetMode="External"/><Relationship Id="rId49" Type="http://schemas.openxmlformats.org/officeDocument/2006/relationships/hyperlink" Target="http://cidh.org/annualrep/2004eng/Belize.12053eng.htm" TargetMode="External"/><Relationship Id="rId114" Type="http://schemas.openxmlformats.org/officeDocument/2006/relationships/hyperlink" Target="https://www.theatlantic.com/business/archive/2014/06/slavery-made-america/373288/" TargetMode="External"/><Relationship Id="rId296" Type="http://schemas.openxmlformats.org/officeDocument/2006/relationships/hyperlink" Target="http://rfkhumanrights.org/media/filer_public/7d/84/7d8409c1-588f-4163-b552-1f6428e685db/iachr_thematic_%20hearing_submission_-_excessive_use_of_force_by_police_against_black_americans.pdf" TargetMode="External"/><Relationship Id="rId461" Type="http://schemas.openxmlformats.org/officeDocument/2006/relationships/hyperlink" Target="http://www.oas.org/en/iachr/media_center/preleases/2015/118.asp" TargetMode="External"/><Relationship Id="rId517" Type="http://schemas.openxmlformats.org/officeDocument/2006/relationships/hyperlink" Target="http://www.corteidh.or.cr/docs/opiniones/seriea_18_ing.pdf" TargetMode="External"/><Relationship Id="rId559" Type="http://schemas.openxmlformats.org/officeDocument/2006/relationships/hyperlink" Target="http://www.ohchr.org/EN/ProfessionalInterest/Pages/UseOfForceAndFirearms.aspx" TargetMode="External"/><Relationship Id="rId60" Type="http://schemas.openxmlformats.org/officeDocument/2006/relationships/hyperlink" Target="https://www.theatlantic.com/business/archive/2015/12/black-white-unemployment-gap/421497/" TargetMode="External"/><Relationship Id="rId156" Type="http://schemas.openxmlformats.org/officeDocument/2006/relationships/hyperlink" Target="http://blacklivesmatter.com/" TargetMode="External"/><Relationship Id="rId198" Type="http://schemas.openxmlformats.org/officeDocument/2006/relationships/hyperlink" Target="https://www.justice.gov/sites/default/files/opa/press-releases/attachments/2015/03/04/ferguson_police_department_report_1.pdf" TargetMode="External"/><Relationship Id="rId321" Type="http://schemas.openxmlformats.org/officeDocument/2006/relationships/hyperlink" Target="http://www.latimes.com/local/lanow/la-me-ln-arrests-oakland-los-angeles-michael-brown-protests-20141125-story.html" TargetMode="External"/><Relationship Id="rId363" Type="http://schemas.openxmlformats.org/officeDocument/2006/relationships/hyperlink" Target="http://www.oas.org/en/iachr/media_center/preleases/2015/118.asp" TargetMode="External"/><Relationship Id="rId419" Type="http://schemas.openxmlformats.org/officeDocument/2006/relationships/hyperlink" Target="https://www.washingtonpost.com/local/black-man-beaten-in-charlottesville-found-not-guilty-of-assaulting-white-supremacist/2018/03/16/92160a88-288f-11e8-b79d-f3d931db7f68_story.html?utm_term=.dc3f4332f340" TargetMode="External"/><Relationship Id="rId570" Type="http://schemas.openxmlformats.org/officeDocument/2006/relationships/hyperlink" Target="http://www.oas.org/en/iachr/decisions/2011/uspu12626en.doc" TargetMode="External"/><Relationship Id="rId626" Type="http://schemas.openxmlformats.org/officeDocument/2006/relationships/hyperlink" Target="http://www.oas.org/en/iachr/media_center/preleases/2014/090.asp" TargetMode="External"/><Relationship Id="rId223" Type="http://schemas.openxmlformats.org/officeDocument/2006/relationships/hyperlink" Target="https://www.washingtonpost.com/national/fbi-director-calls-lack-of-data-on-police-shootings-ridiculous-embarrassing/2015/10/07/c0ebaf7a-6d16-11e5-b31c-d80d62b53e28_story.html?utm_term=.49ff17ab78d0" TargetMode="External"/><Relationship Id="rId430" Type="http://schemas.openxmlformats.org/officeDocument/2006/relationships/hyperlink" Target="https://www.theatlantic.com/politics/archive/2017/08/take-the-statues-down/536727/" TargetMode="External"/><Relationship Id="rId668" Type="http://schemas.openxmlformats.org/officeDocument/2006/relationships/hyperlink" Target="http://www.oas.org/en/iachr/decisions/2011/uspu12626en.doc" TargetMode="External"/><Relationship Id="rId18" Type="http://schemas.openxmlformats.org/officeDocument/2006/relationships/hyperlink" Target="http://www.oas.org/en/sla/docs/ag03792E01.pdf" TargetMode="External"/><Relationship Id="rId265" Type="http://schemas.openxmlformats.org/officeDocument/2006/relationships/hyperlink" Target="https://www.wsj.com/articles/more-police-go-to-trial-in-killings-but-convictions-remain-rare-1443044871?cb=logged0.7918145186267793&amp;cb=logged0.3802703696374774" TargetMode="External"/><Relationship Id="rId472" Type="http://schemas.openxmlformats.org/officeDocument/2006/relationships/hyperlink" Target="https://www.dhs.gov/sites/default/files/publications/use-of-race-policy_0.pdf" TargetMode="External"/><Relationship Id="rId528" Type="http://schemas.openxmlformats.org/officeDocument/2006/relationships/hyperlink" Target="http://www.oas.org/en/iachr/decisions/2011/uspu12626en.doc" TargetMode="External"/><Relationship Id="rId125" Type="http://schemas.openxmlformats.org/officeDocument/2006/relationships/hyperlink" Target="https://lynchinginamerica.eji.org/report/" TargetMode="External"/><Relationship Id="rId167" Type="http://schemas.openxmlformats.org/officeDocument/2006/relationships/hyperlink" Target="https://www.youtube.com/watch?v=ieGOtPqlHLM&amp;feature=youtu.be" TargetMode="External"/><Relationship Id="rId332" Type="http://schemas.openxmlformats.org/officeDocument/2006/relationships/hyperlink" Target="https://www.theguardian.com/us-news/2017/sep/22/st-louis-missouri-ferguson-protests-black-lives-matter" TargetMode="External"/><Relationship Id="rId374" Type="http://schemas.openxmlformats.org/officeDocument/2006/relationships/hyperlink" Target="https://www.prisonpolicy.org/reports/pie2017.html" TargetMode="External"/><Relationship Id="rId581" Type="http://schemas.openxmlformats.org/officeDocument/2006/relationships/hyperlink" Target="http://www.corteidh.or.cr/docs/opiniones/seriea_14_ing.pdf" TargetMode="External"/><Relationship Id="rId71" Type="http://schemas.openxmlformats.org/officeDocument/2006/relationships/hyperlink" Target="https://www.nrdc.org/media/2017/170502" TargetMode="External"/><Relationship Id="rId234" Type="http://schemas.openxmlformats.org/officeDocument/2006/relationships/hyperlink" Target="https://www.washingtonpost.com/graphics/national/police-shootings/" TargetMode="External"/><Relationship Id="rId637" Type="http://schemas.openxmlformats.org/officeDocument/2006/relationships/hyperlink" Target="http://www.oas.org/en/iachr/docs/annual/2015/doc-en/InformeAnual2015-cap4A-fuerza-EN.pdf" TargetMode="External"/><Relationship Id="rId679" Type="http://schemas.openxmlformats.org/officeDocument/2006/relationships/hyperlink" Target="http://www.oas.org/en/iachr/afro-descendants/docs/pdf/AFROS_2011_ENG.pdf" TargetMode="External"/><Relationship Id="rId2" Type="http://schemas.openxmlformats.org/officeDocument/2006/relationships/hyperlink" Target="https://www.youtube.com/watch?v=ieGOtPqlHLM&amp;feature=youtu.be" TargetMode="External"/><Relationship Id="rId29" Type="http://schemas.openxmlformats.org/officeDocument/2006/relationships/hyperlink" Target="http://www.oas.org/en/iachr/reports/pdfs/Refugees-Migrants-US.pdf" TargetMode="External"/><Relationship Id="rId276" Type="http://schemas.openxmlformats.org/officeDocument/2006/relationships/hyperlink" Target="http://www.cnn.com/2017/09/15/us/jason-stockley-officer-shooting-verdict/index.html" TargetMode="External"/><Relationship Id="rId441" Type="http://schemas.openxmlformats.org/officeDocument/2006/relationships/hyperlink" Target="https://www.washingtonpost.com/news/morning-mix/wp/2016/05/12/george-zimmermans-many-many-controversies-since-the-trayvon-martin-case/?utm_term=.f4c045ad78e1" TargetMode="External"/><Relationship Id="rId483" Type="http://schemas.openxmlformats.org/officeDocument/2006/relationships/hyperlink" Target="https://www.justice.gov/opa/pr/department-justice-announces-changes-collaborative-reform-initiative" TargetMode="External"/><Relationship Id="rId539" Type="http://schemas.openxmlformats.org/officeDocument/2006/relationships/hyperlink" Target="http://www.oas.org/en/iachr/docs/annual/2015/doc-en/informeanual2015-cap4a-fuerza-en.pdf" TargetMode="External"/><Relationship Id="rId690" Type="http://schemas.openxmlformats.org/officeDocument/2006/relationships/hyperlink" Target="http://www.ohchr.org/EN/ProfessionalInterest/Pages/RemedyAndReparation.aspx" TargetMode="External"/><Relationship Id="rId704" Type="http://schemas.openxmlformats.org/officeDocument/2006/relationships/hyperlink" Target="http://www.oas.org/en/iachr/reports/pdfs/right-to-truth-en.pdf" TargetMode="External"/><Relationship Id="rId40" Type="http://schemas.openxmlformats.org/officeDocument/2006/relationships/hyperlink" Target="http://www.cidh.oas.org/annualrep/2006eng/CUBA.12476eng.htm" TargetMode="External"/><Relationship Id="rId136" Type="http://schemas.openxmlformats.org/officeDocument/2006/relationships/hyperlink" Target="https://www.forbes.com/sites/laurashin/2015/03/26/the-racial-wealth-gap-why-a-typical-white-household-has-16-times-the-wealth-of-a-black-one/" TargetMode="External"/><Relationship Id="rId178" Type="http://schemas.openxmlformats.org/officeDocument/2006/relationships/hyperlink" Target="http://chicagounbound.uchicago.edu/cgi/viewcontent.cgi?article=1250&amp;context=public_law_and_legal_theory" TargetMode="External"/><Relationship Id="rId301" Type="http://schemas.openxmlformats.org/officeDocument/2006/relationships/hyperlink" Target="http://fsrn.org/2015/06/civil-suits-against-police-cost-taxpayers-millions-but-rarely-result-in-reforms" TargetMode="External"/><Relationship Id="rId343" Type="http://schemas.openxmlformats.org/officeDocument/2006/relationships/hyperlink" Target="http://archives.civilrights.org/publications/reports/racial-profiling2011/racial_profiling2011.pdf" TargetMode="External"/><Relationship Id="rId550" Type="http://schemas.openxmlformats.org/officeDocument/2006/relationships/hyperlink" Target="http://www.ohchr.org/EN/ProfessionalInterest/Pages/UseOfForceAndFirearms.aspx" TargetMode="External"/><Relationship Id="rId82" Type="http://schemas.openxmlformats.org/officeDocument/2006/relationships/hyperlink" Target="http://www.cnn.com/2016/10/26/health/doctors-discrimination-racism/index.html" TargetMode="External"/><Relationship Id="rId203" Type="http://schemas.openxmlformats.org/officeDocument/2006/relationships/hyperlink" Target="http://www.oas.org/en/iachr/docs/pdf/citizensec.pdf" TargetMode="External"/><Relationship Id="rId385" Type="http://schemas.openxmlformats.org/officeDocument/2006/relationships/hyperlink" Target="http://solitarywatch.com/2013/11/02/prison-segregation-racial-disparities/" TargetMode="External"/><Relationship Id="rId592" Type="http://schemas.openxmlformats.org/officeDocument/2006/relationships/hyperlink" Target="http://rfkhumanrights.org/media/filer_public/7d/84/7d8409c1-588f-4163-b552-1f6428e685db/iachr_thematic_hearing_submission_-_excessive_use_of_force_by_police_against_black_americans.pdf" TargetMode="External"/><Relationship Id="rId606" Type="http://schemas.openxmlformats.org/officeDocument/2006/relationships/hyperlink" Target="http://www.oas.org/en/iachr/docs/pdf/citizensec.pdf" TargetMode="External"/><Relationship Id="rId648" Type="http://schemas.openxmlformats.org/officeDocument/2006/relationships/hyperlink" Target="http://www.ohchr.org/EN/ProfessionalInterest/Pages/UseOfForceAndFirearms.aspx" TargetMode="External"/><Relationship Id="rId19" Type="http://schemas.openxmlformats.org/officeDocument/2006/relationships/hyperlink" Target="http://www.oas.org/en/sla/docs/ag03796E01.pdf" TargetMode="External"/><Relationship Id="rId224" Type="http://schemas.openxmlformats.org/officeDocument/2006/relationships/hyperlink" Target="https://www.theguardian.com/us-news/ng-interactive/2015/jun/01/the-counted-police-killings-us-database" TargetMode="External"/><Relationship Id="rId245" Type="http://schemas.openxmlformats.org/officeDocument/2006/relationships/hyperlink" Target="https://www.npr.org/sections/thetwo-way/2017/06/26/533968647/supreme-court-sends-cross-border-shooting-case-back-to-lower-court" TargetMode="External"/><Relationship Id="rId266" Type="http://schemas.openxmlformats.org/officeDocument/2006/relationships/hyperlink" Target="https://mappingpoliceviolence.org" TargetMode="External"/><Relationship Id="rId287" Type="http://schemas.openxmlformats.org/officeDocument/2006/relationships/hyperlink" Target="http://www.houstonchronicle.com/local/investigations/item/Bulletproof-Part-3-Hard-to-charge-24421.php" TargetMode="External"/><Relationship Id="rId410" Type="http://schemas.openxmlformats.org/officeDocument/2006/relationships/hyperlink" Target="http://www.bbc.com/news/world-us-canada-33179019" TargetMode="External"/><Relationship Id="rId431" Type="http://schemas.openxmlformats.org/officeDocument/2006/relationships/hyperlink" Target="http://www.oas.org/en/iachr/reports/pdfs/right-to-truth-en.pdf" TargetMode="External"/><Relationship Id="rId452" Type="http://schemas.openxmlformats.org/officeDocument/2006/relationships/hyperlink" Target="https://www.washingtonpost.com/graphics/national/police-shootings-2017/" TargetMode="External"/><Relationship Id="rId473" Type="http://schemas.openxmlformats.org/officeDocument/2006/relationships/hyperlink" Target="https://www.phillypolice.com/assets/forms-reports/TaskForce_FinalReport.pdf" TargetMode="External"/><Relationship Id="rId494" Type="http://schemas.openxmlformats.org/officeDocument/2006/relationships/hyperlink" Target="https://www.documentcloud.org/documents/3535148-Consentdecreebaltimore.html" TargetMode="External"/><Relationship Id="rId508" Type="http://schemas.openxmlformats.org/officeDocument/2006/relationships/hyperlink" Target="http://www.oas.org/en/iachr/docs/pdf/citizensec.pdf" TargetMode="External"/><Relationship Id="rId529" Type="http://schemas.openxmlformats.org/officeDocument/2006/relationships/hyperlink" Target="http://cidh.org/annualrep/2004eng/Belize.12053eng.htm" TargetMode="External"/><Relationship Id="rId680" Type="http://schemas.openxmlformats.org/officeDocument/2006/relationships/hyperlink" Target="http://www.oas.org/en/iachr/reports/pdfs/right-to-truth-en.pdf" TargetMode="External"/><Relationship Id="rId30" Type="http://schemas.openxmlformats.org/officeDocument/2006/relationships/hyperlink" Target="http://www.oas.org/en/iachr/migrants/docs/pdf/Migrants2011.pdf" TargetMode="External"/><Relationship Id="rId105" Type="http://schemas.openxmlformats.org/officeDocument/2006/relationships/hyperlink" Target="http://www.oas.org/en/iachr/reports/pdfs/DominicanRepublic-2015.pdf" TargetMode="External"/><Relationship Id="rId126" Type="http://schemas.openxmlformats.org/officeDocument/2006/relationships/hyperlink" Target="https://www.wsj.com/articles/SB120674340028272915" TargetMode="External"/><Relationship Id="rId147" Type="http://schemas.openxmlformats.org/officeDocument/2006/relationships/hyperlink" Target="https://www.theatlantic.com/magazine/archive/1982/03/broken-windows/304465/" TargetMode="External"/><Relationship Id="rId168" Type="http://schemas.openxmlformats.org/officeDocument/2006/relationships/hyperlink" Target="http://www.nyclu.org/content/testimony-city-council-public-safety-courts-and-legal-services-committees-summons-court-oper" TargetMode="External"/><Relationship Id="rId312" Type="http://schemas.openxmlformats.org/officeDocument/2006/relationships/hyperlink" Target="http://www.oas.org/en/iachr/media_center/preleases/2015/118.asp" TargetMode="External"/><Relationship Id="rId333" Type="http://schemas.openxmlformats.org/officeDocument/2006/relationships/hyperlink" Target="http://www.chicagotribune.com/news/nationworld/sns-tns-bc-stlouis-police-20171120-story.html" TargetMode="External"/><Relationship Id="rId354" Type="http://schemas.openxmlformats.org/officeDocument/2006/relationships/hyperlink" Target="https://www.newyorker.com/magazine/2014/10/06/before-the-law" TargetMode="External"/><Relationship Id="rId540" Type="http://schemas.openxmlformats.org/officeDocument/2006/relationships/hyperlink" Target="http://www.oas.org/en/iachr/docs/annual/2015/doc-en/informeanual2015-cap4a-fuerza-en.pdf" TargetMode="External"/><Relationship Id="rId51" Type="http://schemas.openxmlformats.org/officeDocument/2006/relationships/hyperlink" Target="http://cidh.org/annualrep/2002eng/USA.12285.htm" TargetMode="External"/><Relationship Id="rId72" Type="http://schemas.openxmlformats.org/officeDocument/2006/relationships/hyperlink" Target="http://tbinternet.ohchr.org/_layouts/treatybodyexternal/Download.aspx?symbolno=CERD%2fC%2fUSA%2fCO%2f7-9&amp;Lang=en" TargetMode="External"/><Relationship Id="rId93" Type="http://schemas.openxmlformats.org/officeDocument/2006/relationships/hyperlink" Target="http://www.oas.org/en/iachr/afro-descendants/docs/pdf/AFROS_2011_ENG.pdf" TargetMode="External"/><Relationship Id="rId189" Type="http://schemas.openxmlformats.org/officeDocument/2006/relationships/hyperlink" Target="https://features.propublica.org/walking-while-black/jacksonville-pedestrian-violations-racial-profiling/" TargetMode="External"/><Relationship Id="rId375" Type="http://schemas.openxmlformats.org/officeDocument/2006/relationships/hyperlink" Target="http://www.pewtrusts.org/en/research-and-analysis/issue-briefs/2017/03/state-reforms-reverse-decades-of-incarceration-growth" TargetMode="External"/><Relationship Id="rId396" Type="http://schemas.openxmlformats.org/officeDocument/2006/relationships/hyperlink" Target="https://www.state.gov/documents/organization/235641.pdf" TargetMode="External"/><Relationship Id="rId561" Type="http://schemas.openxmlformats.org/officeDocument/2006/relationships/hyperlink" Target="http://www.oas.org/en/iachr/docs/annual/2015/doc-en/informeanual2015-cap4a-fuerza-en.pdf" TargetMode="External"/><Relationship Id="rId582" Type="http://schemas.openxmlformats.org/officeDocument/2006/relationships/hyperlink" Target="https://documents-dds-ny.un.org/doc/UNDOC/GEN/G10/179/54/PDF/G1017954.pdf?OpenElement" TargetMode="External"/><Relationship Id="rId617" Type="http://schemas.openxmlformats.org/officeDocument/2006/relationships/hyperlink" Target="http://www.oas.org/en/iachr/decisions/2011/uspu12626en.doc" TargetMode="External"/><Relationship Id="rId638" Type="http://schemas.openxmlformats.org/officeDocument/2006/relationships/hyperlink" Target="http://www.oas.org/en/iachr/docs/annual/2015/doc-en/InformeAnual2015-cap4A-fuerza-EN.pdf" TargetMode="External"/><Relationship Id="rId659" Type="http://schemas.openxmlformats.org/officeDocument/2006/relationships/hyperlink" Target="http://www.oas.org/en/iachr/docs/annual/2015/doc-en/InformeAnual2015-cap4A-fuerza-EN.pdf" TargetMode="External"/><Relationship Id="rId3" Type="http://schemas.openxmlformats.org/officeDocument/2006/relationships/hyperlink" Target="https://www.youtube.com/watch?v=j_OIkzDAaxA" TargetMode="External"/><Relationship Id="rId214" Type="http://schemas.openxmlformats.org/officeDocument/2006/relationships/hyperlink" Target="https://www.gao.gov/assets/690/685915.pdf" TargetMode="External"/><Relationship Id="rId235" Type="http://schemas.openxmlformats.org/officeDocument/2006/relationships/hyperlink" Target="https://www.youtube.com/watch?v=c_ZLnaWeXCk" TargetMode="External"/><Relationship Id="rId256" Type="http://schemas.openxmlformats.org/officeDocument/2006/relationships/hyperlink" Target="http://www.oas.org/en/iachr/media_center/preleases/2015/118.asp" TargetMode="External"/><Relationship Id="rId277" Type="http://schemas.openxmlformats.org/officeDocument/2006/relationships/hyperlink" Target="https://www.cbsnews.com/news/terence-crutcher-shooting-ignites-debate/" TargetMode="External"/><Relationship Id="rId298" Type="http://schemas.openxmlformats.org/officeDocument/2006/relationships/hyperlink" Target="http://rfkhumanrights.org/media/filer_public/7d/84/7d8409c1-588f-4163-b552-1f6428e685db/iachr_thematic_hearing_submission_-_excessive_use_of_force_by_police_against_black_americans.pdf" TargetMode="External"/><Relationship Id="rId400" Type="http://schemas.openxmlformats.org/officeDocument/2006/relationships/hyperlink" Target="https://lawyerscommittee.org/publication/best-practice-standards-the-proper-use-of-criminal-records-in-hiring/" TargetMode="External"/><Relationship Id="rId421" Type="http://schemas.openxmlformats.org/officeDocument/2006/relationships/hyperlink" Target="http://time.com/5009452/charlottesville-white-supremacy-dennis-mothersbaugh/" TargetMode="External"/><Relationship Id="rId442" Type="http://schemas.openxmlformats.org/officeDocument/2006/relationships/hyperlink" Target="https://www.youtube.com/watch?v=X0EV8Rbpg2s" TargetMode="External"/><Relationship Id="rId463" Type="http://schemas.openxmlformats.org/officeDocument/2006/relationships/hyperlink" Target="http://www.oas.org/en/iachr/media_center/PReleases/2014/044.asp" TargetMode="External"/><Relationship Id="rId484" Type="http://schemas.openxmlformats.org/officeDocument/2006/relationships/hyperlink" Target="http://www.stltoday.com/news/local/govt-and-politics/doj-shifts-from-collaborative-reform-doctrine-toward-trump-s-law/article_c3b1daa7-7dbb-5607-82d8-55ff0660460d.html" TargetMode="External"/><Relationship Id="rId519" Type="http://schemas.openxmlformats.org/officeDocument/2006/relationships/hyperlink" Target="http://www.oas.org/en/iachr/decisions/2011/uspu12626en.doc" TargetMode="External"/><Relationship Id="rId670" Type="http://schemas.openxmlformats.org/officeDocument/2006/relationships/hyperlink" Target="https://www.oas.org/en/iachr/decisions/2016/USPU12834EN.pdf" TargetMode="External"/><Relationship Id="rId705" Type="http://schemas.openxmlformats.org/officeDocument/2006/relationships/hyperlink" Target="http://www.oas.org/en/iachr/media_center/preleases/2015/118.asp" TargetMode="External"/><Relationship Id="rId116" Type="http://schemas.openxmlformats.org/officeDocument/2006/relationships/hyperlink" Target="https://eh.net/encyclopedia/the-economics-of-the-civil-war/" TargetMode="External"/><Relationship Id="rId137" Type="http://schemas.openxmlformats.org/officeDocument/2006/relationships/hyperlink" Target="http://www.chicagotribune.com/business/ct-black-homeownership-plunges-0723-biz-20170720-story.html" TargetMode="External"/><Relationship Id="rId158" Type="http://schemas.openxmlformats.org/officeDocument/2006/relationships/hyperlink" Target="http://www.oas.org/en/iachr/media_center/preleases/2015/040.asp" TargetMode="External"/><Relationship Id="rId302" Type="http://schemas.openxmlformats.org/officeDocument/2006/relationships/hyperlink" Target="http://www.wsj.com/articles/cost-of-police-misconduct-cases-soars-in-big-u-s-cities-1437013834" TargetMode="External"/><Relationship Id="rId323" Type="http://schemas.openxmlformats.org/officeDocument/2006/relationships/hyperlink" Target="https://www.washingtonpost.com/politics/obama-orders-review-of-military-equipment-supplied-to-police/2014/08/23/6316b8aa-2b03-11e4-8593-da634b334390_story.html" TargetMode="External"/><Relationship Id="rId344" Type="http://schemas.openxmlformats.org/officeDocument/2006/relationships/hyperlink" Target="https://www.hrw.org/report/2009/03/02/decades-disparity/drug-arrests-and-race-united-states" TargetMode="External"/><Relationship Id="rId530" Type="http://schemas.openxmlformats.org/officeDocument/2006/relationships/hyperlink" Target="https://www.aclu.org/north-carolina-racial-justice-act" TargetMode="External"/><Relationship Id="rId691" Type="http://schemas.openxmlformats.org/officeDocument/2006/relationships/hyperlink" Target="http://www.ohchr.org/EN/ProfessionalInterest/Pages/RemedyAndReparation.aspx" TargetMode="External"/><Relationship Id="rId20" Type="http://schemas.openxmlformats.org/officeDocument/2006/relationships/hyperlink" Target="http://www.corteidh.or.cr/docs/opiniones/seriea_10_ing1.pdf" TargetMode="External"/><Relationship Id="rId41" Type="http://schemas.openxmlformats.org/officeDocument/2006/relationships/hyperlink" Target="http://www.cidh.oas.org/annualrep/2008eng/USA12534eng.htm" TargetMode="External"/><Relationship Id="rId62" Type="http://schemas.openxmlformats.org/officeDocument/2006/relationships/hyperlink" Target="http://money.cnn.com/2016/09/20/news/economy/black-white-wage-gap/index.html" TargetMode="External"/><Relationship Id="rId83" Type="http://schemas.openxmlformats.org/officeDocument/2006/relationships/hyperlink" Target="https://health.usnews.com/health-news/patient-advice/articles/2016-02-11/racial-bias-in-medicine-leads-to-worse-care-for-minorities" TargetMode="External"/><Relationship Id="rId179" Type="http://schemas.openxmlformats.org/officeDocument/2006/relationships/hyperlink" Target="https://www.nyclu.org/en/press-releases/nyc-must-reform-aggressive-policing-low-level-offenses-and-summons-court-operations" TargetMode="External"/><Relationship Id="rId365" Type="http://schemas.openxmlformats.org/officeDocument/2006/relationships/hyperlink" Target="https://www.yalelawjournal.org/pdf/1181_phnpdw1u.pdf" TargetMode="External"/><Relationship Id="rId386" Type="http://schemas.openxmlformats.org/officeDocument/2006/relationships/hyperlink" Target="https://documents-dds-ny.un.org/doc/UNDOC/GEN/G16/183/30/PDF/G1618330.pdf?OpenElement" TargetMode="External"/><Relationship Id="rId551" Type="http://schemas.openxmlformats.org/officeDocument/2006/relationships/hyperlink" Target="http://www.ohchr.org/EN/ProfessionalInterest/Pages/UseOfForceAndFirearms.aspx" TargetMode="External"/><Relationship Id="rId572" Type="http://schemas.openxmlformats.org/officeDocument/2006/relationships/hyperlink" Target="http://www.refworld.org/docid/5374afcd4.html" TargetMode="External"/><Relationship Id="rId593" Type="http://schemas.openxmlformats.org/officeDocument/2006/relationships/hyperlink" Target="http://www.oas.org/en/iachr/docs/annual/2015/doc-en/informeanual2015-cap4a-fuerza-en.pdf" TargetMode="External"/><Relationship Id="rId607" Type="http://schemas.openxmlformats.org/officeDocument/2006/relationships/hyperlink" Target="http://www.oas.org/en/iachr/docs/annual/2015/doc-en/InformeAnual2015-cap4A-fuerza-EN.pdf" TargetMode="External"/><Relationship Id="rId628" Type="http://schemas.openxmlformats.org/officeDocument/2006/relationships/hyperlink" Target="http://www.oas.org/en/iachr/media_center/PReleases/2016/120.asp" TargetMode="External"/><Relationship Id="rId649" Type="http://schemas.openxmlformats.org/officeDocument/2006/relationships/hyperlink" Target="http://www.ohchr.org/EN/ProfessionalInterest/Pages/UseOfForceAndFirearms.aspx" TargetMode="External"/><Relationship Id="rId190" Type="http://schemas.openxmlformats.org/officeDocument/2006/relationships/hyperlink" Target="https://www.vox.com/cards/police-brutality-shootings-us/police-abuse-cases" TargetMode="External"/><Relationship Id="rId204" Type="http://schemas.openxmlformats.org/officeDocument/2006/relationships/hyperlink" Target="https://www.state.gov/documents/organization/235641.pdf" TargetMode="External"/><Relationship Id="rId225" Type="http://schemas.openxmlformats.org/officeDocument/2006/relationships/hyperlink" Target="https://www.washingtonpost.com/graphics/national/police-shootings-2017/" TargetMode="External"/><Relationship Id="rId246" Type="http://schemas.openxmlformats.org/officeDocument/2006/relationships/hyperlink" Target="https://documents-dds-ny.un.org/doc/UNDOC/GEN/G16/183/30/PDF/G1618330.pdf?OpenElement" TargetMode="External"/><Relationship Id="rId267" Type="http://schemas.openxmlformats.org/officeDocument/2006/relationships/hyperlink" Target="http://www.latimes.com/opinion/op-ed/la-oe-stinson-cop-shootings-20161215-story.html" TargetMode="External"/><Relationship Id="rId288" Type="http://schemas.openxmlformats.org/officeDocument/2006/relationships/hyperlink" Target="http://www.bjs.gov/content/pub/pdf/fjs10st.pdf" TargetMode="External"/><Relationship Id="rId411" Type="http://schemas.openxmlformats.org/officeDocument/2006/relationships/hyperlink" Target="http://www.chicagotribune.com/news/nationworld/ct-fbi-dylann-roof-sentencing-trial-20170106-story.html" TargetMode="External"/><Relationship Id="rId432" Type="http://schemas.openxmlformats.org/officeDocument/2006/relationships/hyperlink" Target="https://static1.squarespace.com/static/54179ca4e4b0b0c7bc710d3d/t/54223af0e4b07fc30d1ea182/1411529456971/SYG_Shadow_Report_ICCPR.pdf" TargetMode="External"/><Relationship Id="rId453" Type="http://schemas.openxmlformats.org/officeDocument/2006/relationships/hyperlink" Target="https://www.washingtonpost.com/graphics/national/police-shootings-2016/" TargetMode="External"/><Relationship Id="rId474" Type="http://schemas.openxmlformats.org/officeDocument/2006/relationships/hyperlink" Target="http://lawfilesext.leg.wa.gov/biennium/2015-16/Pdf/Bills/House%20Passed%20Legislature/2908-S.PL.pdf" TargetMode="External"/><Relationship Id="rId509" Type="http://schemas.openxmlformats.org/officeDocument/2006/relationships/hyperlink" Target="https://www.oas.org/en/iachr/decisions/2016/USPU12834EN.pdf" TargetMode="External"/><Relationship Id="rId660" Type="http://schemas.openxmlformats.org/officeDocument/2006/relationships/hyperlink" Target="http://www.ohchr.org/EN/ProfessionalInterest/Pages/UseOfForceAndFirearms.aspx" TargetMode="External"/><Relationship Id="rId106" Type="http://schemas.openxmlformats.org/officeDocument/2006/relationships/hyperlink" Target="http://www.slate.com/articles/life/reconstruction/2017/11/how_freed_people_in_alabama_took_over_the_plantation_they_were_formerly.html" TargetMode="External"/><Relationship Id="rId127" Type="http://schemas.openxmlformats.org/officeDocument/2006/relationships/hyperlink" Target="https://www.wsj.com/articles/SB995228253461746936" TargetMode="External"/><Relationship Id="rId313" Type="http://schemas.openxmlformats.org/officeDocument/2006/relationships/hyperlink" Target="http://www.cnn.com/2014/08/22/us/ferguson-arrests/" TargetMode="External"/><Relationship Id="rId495" Type="http://schemas.openxmlformats.org/officeDocument/2006/relationships/hyperlink" Target="https://www.theguardian.com/us-news/2017/apr/04/jeff-sessions-review-police-reforms-high-profile-shootings" TargetMode="External"/><Relationship Id="rId681" Type="http://schemas.openxmlformats.org/officeDocument/2006/relationships/hyperlink" Target="http://www.oas.org/en/iachr/reports/pdfs/right-to-truth-en.pdf" TargetMode="External"/><Relationship Id="rId10" Type="http://schemas.openxmlformats.org/officeDocument/2006/relationships/hyperlink" Target="http://www.oas.org/en/iachr/media_center/preleases/2014/090.asp" TargetMode="External"/><Relationship Id="rId31" Type="http://schemas.openxmlformats.org/officeDocument/2006/relationships/hyperlink" Target="https://www.oas.org/en/iachr/reports/pdfs/Universalization-InterAmerican-System.docx" TargetMode="External"/><Relationship Id="rId52" Type="http://schemas.openxmlformats.org/officeDocument/2006/relationships/hyperlink" Target="http://www.oas.org/en/iachr/reports/pdfs/DominicanRepublic-2015.pdf" TargetMode="External"/><Relationship Id="rId73" Type="http://schemas.openxmlformats.org/officeDocument/2006/relationships/hyperlink" Target="https://www.washingtonpost.com/local/freddie-grays-life-a-study-in-the-sad-effects-of-lead-paint-on-poor-blacks/2015/04/29/0be898e6-eea8-11e4-8abc-d6aa3bad79dd_story.html?utm_term=.55c13c731e4f" TargetMode="External"/><Relationship Id="rId94" Type="http://schemas.openxmlformats.org/officeDocument/2006/relationships/hyperlink" Target="http://www.slate.com/articles/business/metropolis/2017/07/why_even_diverse_neighborhoods_remain_segregated_by_race.html" TargetMode="External"/><Relationship Id="rId148" Type="http://schemas.openxmlformats.org/officeDocument/2006/relationships/hyperlink" Target="https://www.theatlantic.com/magazine/archive/1982/03/broken-windows/304465/" TargetMode="External"/><Relationship Id="rId169" Type="http://schemas.openxmlformats.org/officeDocument/2006/relationships/hyperlink" Target="https://www.pbs.org/wgbh/frontline/article/the-problem-with-broken-windows-policing/" TargetMode="External"/><Relationship Id="rId334" Type="http://schemas.openxmlformats.org/officeDocument/2006/relationships/hyperlink" Target="https://theintercept.com/2015/07/24/documents-show-department-homeland-security-monitoring-black-lives-matter-since-ferguson/" TargetMode="External"/><Relationship Id="rId355" Type="http://schemas.openxmlformats.org/officeDocument/2006/relationships/hyperlink" Target="https://www.newyorker.com/news/news-desk/kalief-browder-1993-2015" TargetMode="External"/><Relationship Id="rId376" Type="http://schemas.openxmlformats.org/officeDocument/2006/relationships/hyperlink" Target="http://www.sentencingproject.org/publications/color-of-justice-racial-and-ethnic-disparity-in-state-prisons/" TargetMode="External"/><Relationship Id="rId397" Type="http://schemas.openxmlformats.org/officeDocument/2006/relationships/hyperlink" Target="http://tbinternet.ohchr.org/_layouts/treatybodyexternal/Download.aspx?symbolno=CERD%2fC%2fUSA%2fCO%2f7-9&amp;Lang=en" TargetMode="External"/><Relationship Id="rId520" Type="http://schemas.openxmlformats.org/officeDocument/2006/relationships/hyperlink" Target="http://www.cidh.oas.org/annualrep/2006eng/CUBA.12476eng.htm" TargetMode="External"/><Relationship Id="rId541" Type="http://schemas.openxmlformats.org/officeDocument/2006/relationships/hyperlink" Target="http://www.cidh.org/annualrep/2009eng/Brazil12440eng.htm" TargetMode="External"/><Relationship Id="rId562" Type="http://schemas.openxmlformats.org/officeDocument/2006/relationships/hyperlink" Target="http://www.oas.org/en/iachr/docs/pdf/citizensec.pdf" TargetMode="External"/><Relationship Id="rId583" Type="http://schemas.openxmlformats.org/officeDocument/2006/relationships/hyperlink" Target="http://www.oas.org/en/iachr/docs/annual/2015/doc-en/informeanual2015-cap4a-fuerza-en.pdf" TargetMode="External"/><Relationship Id="rId618" Type="http://schemas.openxmlformats.org/officeDocument/2006/relationships/hyperlink" Target="https://www.oas.org/en/iachr/decisions/2016/USPU12834EN.pdf" TargetMode="External"/><Relationship Id="rId639" Type="http://schemas.openxmlformats.org/officeDocument/2006/relationships/hyperlink" Target="https://www.phillypolice.com/assets/forms-reports/TaskForce_FinalReport.pdf" TargetMode="External"/><Relationship Id="rId4" Type="http://schemas.openxmlformats.org/officeDocument/2006/relationships/hyperlink" Target="http://www.oas.org/en/iachr/media_center/PReleases/2015/037.asp" TargetMode="External"/><Relationship Id="rId180" Type="http://schemas.openxmlformats.org/officeDocument/2006/relationships/hyperlink" Target="https://www.nyclu.org/en/stop-and-frisk-data" TargetMode="External"/><Relationship Id="rId215" Type="http://schemas.openxmlformats.org/officeDocument/2006/relationships/hyperlink" Target="https://www.youtube.com/watch?v=c_ZLnaWeXCk" TargetMode="External"/><Relationship Id="rId236" Type="http://schemas.openxmlformats.org/officeDocument/2006/relationships/hyperlink" Target="http://ajph.aphapublications.org/doi/abs/10.2105/AJPH.2016.303575" TargetMode="External"/><Relationship Id="rId257" Type="http://schemas.openxmlformats.org/officeDocument/2006/relationships/hyperlink" Target="https://www.youtube.com/watch?v=c_ZLnaWeXCk" TargetMode="External"/><Relationship Id="rId278" Type="http://schemas.openxmlformats.org/officeDocument/2006/relationships/hyperlink" Target="https://www.nytimes.com/interactive/2016/07/12/us/looking-for-accountability-in-police-involved-deaths-of-blacks.html?_r=0" TargetMode="External"/><Relationship Id="rId401" Type="http://schemas.openxmlformats.org/officeDocument/2006/relationships/hyperlink" Target="https://csgjusticecenter.org/reentry/posts/researchers-examine-effects-of-a-criminal-record-on-prospects-for-employment/" TargetMode="External"/><Relationship Id="rId422" Type="http://schemas.openxmlformats.org/officeDocument/2006/relationships/hyperlink" Target="http://wric.com/2017/08/14/court-documents-6-out-of-8-arrested-in-charlottesville-protests-from-out-of-state/" TargetMode="External"/><Relationship Id="rId443" Type="http://schemas.openxmlformats.org/officeDocument/2006/relationships/hyperlink" Target="https://www.nytimes.com/2017/02/07/us/marissa-alexander-released-stand-your-ground.html" TargetMode="External"/><Relationship Id="rId464" Type="http://schemas.openxmlformats.org/officeDocument/2006/relationships/hyperlink" Target="http://www.oas.org/en/iachr/reports/pdfs/violencechildren2016.pdf" TargetMode="External"/><Relationship Id="rId650" Type="http://schemas.openxmlformats.org/officeDocument/2006/relationships/hyperlink" Target="http://www.msnbc.com/msnbc/prosecutors-police-inherent-conflict-our-courts" TargetMode="External"/><Relationship Id="rId303" Type="http://schemas.openxmlformats.org/officeDocument/2006/relationships/hyperlink" Target="https://www.law.cornell.edu/uscode/text/18/242" TargetMode="External"/><Relationship Id="rId485" Type="http://schemas.openxmlformats.org/officeDocument/2006/relationships/hyperlink" Target="https://www.justice.gov/opa/pr/department-justice-announces-changes-collaborative-reform-initiative" TargetMode="External"/><Relationship Id="rId692" Type="http://schemas.openxmlformats.org/officeDocument/2006/relationships/hyperlink" Target="http://www.ohchr.org/EN/ProfessionalInterest/Pages/RemedyAndReparation.aspx" TargetMode="External"/><Relationship Id="rId706" Type="http://schemas.openxmlformats.org/officeDocument/2006/relationships/hyperlink" Target="http://www.oas.org/en/iachr/media_center/preleases/2015/118.asp" TargetMode="External"/><Relationship Id="rId42" Type="http://schemas.openxmlformats.org/officeDocument/2006/relationships/hyperlink" Target="http://cidh.org/annualrep/2002eng/USA.12285.htm" TargetMode="External"/><Relationship Id="rId84" Type="http://schemas.openxmlformats.org/officeDocument/2006/relationships/hyperlink" Target="http://cepa.stanford.edu/sites/default/files/reardon%20robinson-cimpian%20weathers%20HREFP%20chapter%20april2014.pdf" TargetMode="External"/><Relationship Id="rId138" Type="http://schemas.openxmlformats.org/officeDocument/2006/relationships/hyperlink" Target="https://www.nytimes.com/2017/05/09/magazine/how-homeownership-became-the-engine-of-american-inequality.html?_r=0" TargetMode="External"/><Relationship Id="rId345" Type="http://schemas.openxmlformats.org/officeDocument/2006/relationships/hyperlink" Target="http://projects.heraldtribune.com/bias/sentencing/" TargetMode="External"/><Relationship Id="rId387" Type="http://schemas.openxmlformats.org/officeDocument/2006/relationships/hyperlink" Target="https://www.oas.org/en/iachr/media_center/preleases/2013/051.asp" TargetMode="External"/><Relationship Id="rId510" Type="http://schemas.openxmlformats.org/officeDocument/2006/relationships/hyperlink" Target="https://www.oas.org/en/iachr/decisions/2016/USPU12834EN.pdf" TargetMode="External"/><Relationship Id="rId552" Type="http://schemas.openxmlformats.org/officeDocument/2006/relationships/hyperlink" Target="http://www.oas.org/en/iachr/docs/annual/2015/doc-en/informeanual2015-cap4a-fuerza-en.pdf" TargetMode="External"/><Relationship Id="rId594" Type="http://schemas.openxmlformats.org/officeDocument/2006/relationships/hyperlink" Target="http://www.oas.org/en/iachr/docs/annual/2015/doc-en/informeanual2015-cap4a-fuerza-en.pdf" TargetMode="External"/><Relationship Id="rId608" Type="http://schemas.openxmlformats.org/officeDocument/2006/relationships/hyperlink" Target="http://www.oas.org/en/iachr/docs/annual/2015/doc-en/informeanual2015-cap4a-fuerza-en.pdf" TargetMode="External"/><Relationship Id="rId191" Type="http://schemas.openxmlformats.org/officeDocument/2006/relationships/hyperlink" Target="https://www.justice.gov/opa/pr/justice-department-announces-findings-two-civil-rights-investigations-ferguson-missouri" TargetMode="External"/><Relationship Id="rId205" Type="http://schemas.openxmlformats.org/officeDocument/2006/relationships/hyperlink" Target="http://tbinternet.ohchr.org/_layouts/treatybodyexternal/Download.aspx?symbolno=CERD%2fC%2fUSA%2fCO%2f7-9&amp;Lang=en" TargetMode="External"/><Relationship Id="rId247" Type="http://schemas.openxmlformats.org/officeDocument/2006/relationships/hyperlink" Target="http://www.amnestyusa.org/research/reports/deadly-force-police-use-of-lethal-force-in-the-united-states" TargetMode="External"/><Relationship Id="rId412" Type="http://schemas.openxmlformats.org/officeDocument/2006/relationships/hyperlink" Target="https://www.washingtonpost.com/world/national-security/charleston-church-shooter-i-would-like-to-make-it-crystal-clear-i-do-not-regret-what-i-did/2017/01/04/05b0061e-d1da-11e6-a783-cd3fa950f2fd_story.html?utm_term=.038494112939" TargetMode="External"/><Relationship Id="rId107" Type="http://schemas.openxmlformats.org/officeDocument/2006/relationships/hyperlink" Target="http://plsonline.eku.edu/insidelook/brief-history-slavery-and-origins-american-policing" TargetMode="External"/><Relationship Id="rId289" Type="http://schemas.openxmlformats.org/officeDocument/2006/relationships/hyperlink" Target="https://www.bjs.gov/content/pub/pdf/ccpuf.pdf" TargetMode="External"/><Relationship Id="rId454" Type="http://schemas.openxmlformats.org/officeDocument/2006/relationships/hyperlink" Target="https://www.washingtonpost.com/graphics/national/police-shootings/" TargetMode="External"/><Relationship Id="rId496" Type="http://schemas.openxmlformats.org/officeDocument/2006/relationships/hyperlink" Target="https://www.usnews.com/news/national-news/articles/2017-04-07/attorney-general-jeff-sessions-slams-baltimore-consent-decree" TargetMode="External"/><Relationship Id="rId661" Type="http://schemas.openxmlformats.org/officeDocument/2006/relationships/hyperlink" Target="http://www.ohchr.org/EN/ProfessionalInterest/Pages/UseOfForceAndFirearms.aspx" TargetMode="External"/><Relationship Id="rId11" Type="http://schemas.openxmlformats.org/officeDocument/2006/relationships/hyperlink" Target="http://www.oas.org/en/iachr/media_center/PReleases/2015/031.asp" TargetMode="External"/><Relationship Id="rId53" Type="http://schemas.openxmlformats.org/officeDocument/2006/relationships/hyperlink" Target="https://www.yalelawjournal.org/forum/the-first-amendment-freedom-of-assembly-as-a-racial-project" TargetMode="External"/><Relationship Id="rId149" Type="http://schemas.openxmlformats.org/officeDocument/2006/relationships/hyperlink" Target="http://articles.latimes.com/2006/apr/20/opinion/oe-harcourt20" TargetMode="External"/><Relationship Id="rId314" Type="http://schemas.openxmlformats.org/officeDocument/2006/relationships/hyperlink" Target="http://i2.cdn.turner.com/cnn/2014/images/08/22/arrest.data.from.8-10.to.8-22.pdf" TargetMode="External"/><Relationship Id="rId356" Type="http://schemas.openxmlformats.org/officeDocument/2006/relationships/hyperlink" Target="https://www.citylab.com/equity/2017/03/browder-family-keeps-fighting/518520/" TargetMode="External"/><Relationship Id="rId398" Type="http://schemas.openxmlformats.org/officeDocument/2006/relationships/hyperlink" Target="https://www.brennancenter.org/blog/judge-sotomayor-good-company-restoring-voting-rights" TargetMode="External"/><Relationship Id="rId521" Type="http://schemas.openxmlformats.org/officeDocument/2006/relationships/hyperlink" Target="http://cidh.org/annualrep/2004eng/Belize.12053eng.htm" TargetMode="External"/><Relationship Id="rId563" Type="http://schemas.openxmlformats.org/officeDocument/2006/relationships/hyperlink" Target="http://www.ohchr.org/EN/ProfessionalInterest/Pages/UseOfForceAndFirearms.aspx" TargetMode="External"/><Relationship Id="rId619" Type="http://schemas.openxmlformats.org/officeDocument/2006/relationships/hyperlink" Target="http://www.oas.org/en/iachr/decisions/2011/uspu12626en.doc" TargetMode="External"/><Relationship Id="rId95" Type="http://schemas.openxmlformats.org/officeDocument/2006/relationships/hyperlink" Target="https://www.nytimes.com/2016/08/21/us/milwaukee-segregation-wealthy-black-families.html" TargetMode="External"/><Relationship Id="rId160" Type="http://schemas.openxmlformats.org/officeDocument/2006/relationships/hyperlink" Target="http://www.oas.org/en/iachr/afro-descendants/docs/pdf/AFROS_2011_ENG.pdf" TargetMode="External"/><Relationship Id="rId216" Type="http://schemas.openxmlformats.org/officeDocument/2006/relationships/hyperlink" Target="http://www.oas.org/en/iachr/media_center/PReleases/2015/120.asp" TargetMode="External"/><Relationship Id="rId423" Type="http://schemas.openxmlformats.org/officeDocument/2006/relationships/hyperlink" Target="https://thinkprogress.org/charlottesville-protest-arrests-9484856f4489/" TargetMode="External"/><Relationship Id="rId258" Type="http://schemas.openxmlformats.org/officeDocument/2006/relationships/hyperlink" Target="http://www.oas.org/en/iachr/docs/annual/2015/doc-en/informeanual2015-cap4a-fuerza-en.pdf" TargetMode="External"/><Relationship Id="rId465" Type="http://schemas.openxmlformats.org/officeDocument/2006/relationships/hyperlink" Target="http://endtransdiscrimination.org/PDDs/NTDS_Exec_Summary.pdf" TargetMode="External"/><Relationship Id="rId630" Type="http://schemas.openxmlformats.org/officeDocument/2006/relationships/hyperlink" Target="http://www.oas.org/en/iachr/decisions/2011/uspu12626en.doc" TargetMode="External"/><Relationship Id="rId672" Type="http://schemas.openxmlformats.org/officeDocument/2006/relationships/hyperlink" Target="https://www.oas.org/en/iachr/decisions/2016/USPU12834EN.pdf" TargetMode="External"/><Relationship Id="rId22" Type="http://schemas.openxmlformats.org/officeDocument/2006/relationships/hyperlink" Target="http://cidh.org/annualrep/86.87eng/toc.htm" TargetMode="External"/><Relationship Id="rId64" Type="http://schemas.openxmlformats.org/officeDocument/2006/relationships/hyperlink" Target="http://tbinternet.ohchr.org/_layouts/treatybodyexternal/Download.aspx?symbolno=CERD%2fC%2fUSA%2fCO%2f7-9&amp;Lang=en" TargetMode="External"/><Relationship Id="rId118" Type="http://schemas.openxmlformats.org/officeDocument/2006/relationships/hyperlink" Target="https://documents-dds-ny.un.org/doc/UNDOC/GEN/G16/183/30/PDF/G1618330.pdf?OpenElement" TargetMode="External"/><Relationship Id="rId325" Type="http://schemas.openxmlformats.org/officeDocument/2006/relationships/hyperlink" Target="https://www.aclu.org/blog/speak-freely/365-days-and-605-armored-military-vehicles-later-police-militarization-year-after" TargetMode="External"/><Relationship Id="rId367" Type="http://schemas.openxmlformats.org/officeDocument/2006/relationships/hyperlink" Target="http://www.nybooks.com/articles/2014/11/20/why-innocent-people-plead-guilty/?insrc=whc" TargetMode="External"/><Relationship Id="rId532" Type="http://schemas.openxmlformats.org/officeDocument/2006/relationships/hyperlink" Target="http://tbinternet.ohchr.org/_layouts/treatybodyexternal/Download.aspx?symbolno=CERD%2fC%2fUSA%2fCO%2f7-9&amp;Lang=en" TargetMode="External"/><Relationship Id="rId574" Type="http://schemas.openxmlformats.org/officeDocument/2006/relationships/hyperlink" Target="http://tbinternet.ohchr.org/_layouts/treatybodyexternal/Download.aspx?symbolno=CERD%2fC%2fUSA%2fCO%2f7-9&amp;Lang=en" TargetMode="External"/><Relationship Id="rId171" Type="http://schemas.openxmlformats.org/officeDocument/2006/relationships/hyperlink" Target="http://www.oas.org/en/iachr/media_center/preleases/2015/118.asp" TargetMode="External"/><Relationship Id="rId227" Type="http://schemas.openxmlformats.org/officeDocument/2006/relationships/hyperlink" Target="http://killedbypolice.net/" TargetMode="External"/><Relationship Id="rId269" Type="http://schemas.openxmlformats.org/officeDocument/2006/relationships/hyperlink" Target="http://www.oas.org/en/iachr/media_center/preleases/2014/090.asp" TargetMode="External"/><Relationship Id="rId434" Type="http://schemas.openxmlformats.org/officeDocument/2006/relationships/hyperlink" Target="https://www.npr.org/2013/01/02/167984117/-stand-your-ground-linked-to-increase-in-homicide" TargetMode="External"/><Relationship Id="rId476" Type="http://schemas.openxmlformats.org/officeDocument/2006/relationships/hyperlink" Target="https://leg.colorado.gov/sites/default/files/documents/2016a/bills/2016A_1264_signed.pdf" TargetMode="External"/><Relationship Id="rId641" Type="http://schemas.openxmlformats.org/officeDocument/2006/relationships/hyperlink" Target="http://www.oas.org/en/iachr/docs/annual/2015/doc-en/InformeAnual2015-cap4A-fuerza-EN.pdf" TargetMode="External"/><Relationship Id="rId683" Type="http://schemas.openxmlformats.org/officeDocument/2006/relationships/hyperlink" Target="http://www.ohchr.org/EN/ProfessionalInterest/Pages/RemedyAndReparation.aspx" TargetMode="External"/><Relationship Id="rId33" Type="http://schemas.openxmlformats.org/officeDocument/2006/relationships/hyperlink" Target="http://www.oas.org/en/iachr/media_center/preleases/2016/082.asp" TargetMode="External"/><Relationship Id="rId129" Type="http://schemas.openxmlformats.org/officeDocument/2006/relationships/hyperlink" Target="https://lynchinginamerica.eji.org/report/" TargetMode="External"/><Relationship Id="rId280" Type="http://schemas.openxmlformats.org/officeDocument/2006/relationships/hyperlink" Target="https://www.youtube.com/watch?v=c_ZLnaWeXCk" TargetMode="External"/><Relationship Id="rId336" Type="http://schemas.openxmlformats.org/officeDocument/2006/relationships/hyperlink" Target="https://www.nytimes.com/2017/10/19/opinion/columnists/fbi-blacks-civil-rights.html" TargetMode="External"/><Relationship Id="rId501" Type="http://schemas.openxmlformats.org/officeDocument/2006/relationships/hyperlink" Target="https://www.nytimes.com/2017/08/28/us/politics/trump-police-military-surplus-equipment.html?mcubz=1" TargetMode="External"/><Relationship Id="rId543" Type="http://schemas.openxmlformats.org/officeDocument/2006/relationships/hyperlink" Target="http://cidh.org/annualrep/2005eng/Jamaica.12418eng.htm" TargetMode="External"/><Relationship Id="rId75" Type="http://schemas.openxmlformats.org/officeDocument/2006/relationships/hyperlink" Target="https://publichealthreviews.biomedcentral.com/articles/10.1186/s40985-016-0025-4" TargetMode="External"/><Relationship Id="rId140" Type="http://schemas.openxmlformats.org/officeDocument/2006/relationships/hyperlink" Target="https://harpers.org/archive/2016/04/legalize-it-all/" TargetMode="External"/><Relationship Id="rId182" Type="http://schemas.openxmlformats.org/officeDocument/2006/relationships/hyperlink" Target="https://www.census.gov/quickfacts/fact/table/US/RHI725216" TargetMode="External"/><Relationship Id="rId378" Type="http://schemas.openxmlformats.org/officeDocument/2006/relationships/hyperlink" Target="https://www.prisonpolicy.org/reports/rates.html" TargetMode="External"/><Relationship Id="rId403" Type="http://schemas.openxmlformats.org/officeDocument/2006/relationships/hyperlink" Target="https://www.sentencingproject.org/news/state-advocacy-update-ban-ban-efforts-address-federal-drug-felony-ban-public-benefits/" TargetMode="External"/><Relationship Id="rId585" Type="http://schemas.openxmlformats.org/officeDocument/2006/relationships/hyperlink" Target="http://www.ohchr.org/EN/ProfessionalInterest/Pages/UseOfForceAndFirearms.aspx" TargetMode="External"/><Relationship Id="rId6" Type="http://schemas.openxmlformats.org/officeDocument/2006/relationships/hyperlink" Target="http://www.oas.org/en/iachr/media_center/PReleases/2015/120.asp" TargetMode="External"/><Relationship Id="rId238" Type="http://schemas.openxmlformats.org/officeDocument/2006/relationships/hyperlink" Target="http://www.nytimes.com/1999/02/05/nyregion/officers-in-bronx-fire-41-shots-and-an-unarmed-man-is-killed.html" TargetMode="External"/><Relationship Id="rId445" Type="http://schemas.openxmlformats.org/officeDocument/2006/relationships/hyperlink" Target="https://www.state.gov/documents/organization/235641.pdf" TargetMode="External"/><Relationship Id="rId487" Type="http://schemas.openxmlformats.org/officeDocument/2006/relationships/hyperlink" Target="http://www.npr.org/sections/thetwo-way/2017/04/03/522309537/justice-department-to-review-all-civil-rights-agreements-on-police-conduct" TargetMode="External"/><Relationship Id="rId610" Type="http://schemas.openxmlformats.org/officeDocument/2006/relationships/hyperlink" Target="http://www.oas.org/en/iachr/expression/showarticle.asp?artID=931&amp;lID=1" TargetMode="External"/><Relationship Id="rId652" Type="http://schemas.openxmlformats.org/officeDocument/2006/relationships/hyperlink" Target="http://www.washingtonpost.com/sf/investigative/2015/04/11/thousands-dead-few-prosecuted/?utm_term=.05d5e58e187d" TargetMode="External"/><Relationship Id="rId694" Type="http://schemas.openxmlformats.org/officeDocument/2006/relationships/hyperlink" Target="http://www.ohchr.org/EN/ProfessionalInterest/Pages/RemedyAndReparation.aspx" TargetMode="External"/><Relationship Id="rId291" Type="http://schemas.openxmlformats.org/officeDocument/2006/relationships/hyperlink" Target="http://www.latimes.com/local/lanow/la-me-ln-lapd-biased-policing-report-20151215-story.html" TargetMode="External"/><Relationship Id="rId305" Type="http://schemas.openxmlformats.org/officeDocument/2006/relationships/hyperlink" Target="https://www.politico.com/story/2015/02/eric-holder-civil-rights-interview-mike-allen-115575" TargetMode="External"/><Relationship Id="rId347" Type="http://schemas.openxmlformats.org/officeDocument/2006/relationships/hyperlink" Target="https://www.huffingtonpost.com/cynthia-jones/pretrial-detention-blacks-and-latinos_b_8537602.html" TargetMode="External"/><Relationship Id="rId512" Type="http://schemas.openxmlformats.org/officeDocument/2006/relationships/hyperlink" Target="http://www.oas.org/en/iachr/decisions/2011/uspu12626en.doc" TargetMode="External"/><Relationship Id="rId44" Type="http://schemas.openxmlformats.org/officeDocument/2006/relationships/hyperlink" Target="http://cidh.org/annualrep/2004eng/Belize.12053eng.htm" TargetMode="External"/><Relationship Id="rId86" Type="http://schemas.openxmlformats.org/officeDocument/2006/relationships/hyperlink" Target="http://www.oas.org/en/iachr/afro-descendants/docs/pdf/AFROS_2011_ENG.pdf" TargetMode="External"/><Relationship Id="rId151" Type="http://schemas.openxmlformats.org/officeDocument/2006/relationships/hyperlink" Target="http://www.oas.org/en/iachr/media_center/preleases/2015/040.asp" TargetMode="External"/><Relationship Id="rId389" Type="http://schemas.openxmlformats.org/officeDocument/2006/relationships/hyperlink" Target="https://www.youtube.com/watch?v=j_OIkzDAaxA" TargetMode="External"/><Relationship Id="rId554" Type="http://schemas.openxmlformats.org/officeDocument/2006/relationships/hyperlink" Target="http://www.oas.org/en/iachr/afro-descendants/docs/pdf/AFROS_2011_ENG.pdf" TargetMode="External"/><Relationship Id="rId596" Type="http://schemas.openxmlformats.org/officeDocument/2006/relationships/hyperlink" Target="http://www.oas.org/en/iachr/docs/annual/2015/doc-en/informeanual2015-cap4a-fuerza-en.pdf" TargetMode="External"/><Relationship Id="rId193" Type="http://schemas.openxmlformats.org/officeDocument/2006/relationships/hyperlink" Target="https://www.youtube.com/watch?v=j_OIkzDAaxA" TargetMode="External"/><Relationship Id="rId207" Type="http://schemas.openxmlformats.org/officeDocument/2006/relationships/hyperlink" Target="https://www.aclu.org/report/war-comes-home-excessive-militarization-american-police" TargetMode="External"/><Relationship Id="rId249" Type="http://schemas.openxmlformats.org/officeDocument/2006/relationships/hyperlink" Target="https://www.washingtonpost.com/news/post-nation/wp/2018/02/12/an-officer-who-was-fired-after-refusing-to-shoot-an-armed-man-just-won-175000-in-a-settlement/?utm_term=.6ac635a671cf" TargetMode="External"/><Relationship Id="rId414" Type="http://schemas.openxmlformats.org/officeDocument/2006/relationships/hyperlink" Target="https://www.nbcnews.com/news/us-news/dylann-roof-charleston-church-shooter-pleads-guilty-state-charges-n744746" TargetMode="External"/><Relationship Id="rId456" Type="http://schemas.openxmlformats.org/officeDocument/2006/relationships/hyperlink" Target="https://www.npr.org/2015/07/04/420019849/paper-finds-one-quarter-of-those-killed-by-police-are-mentally-ill" TargetMode="External"/><Relationship Id="rId498" Type="http://schemas.openxmlformats.org/officeDocument/2006/relationships/hyperlink" Target="https://www.justice.gov/crt/case-document/file/925771/download" TargetMode="External"/><Relationship Id="rId621" Type="http://schemas.openxmlformats.org/officeDocument/2006/relationships/hyperlink" Target="http://www.cidh.oas.org/annualrep/2006eng/CUBA.12476eng.htm" TargetMode="External"/><Relationship Id="rId663" Type="http://schemas.openxmlformats.org/officeDocument/2006/relationships/hyperlink" Target="http://www.oas.org/en/iachr/afro-descendants/docs/pdf/AFROS_2011_ENG.pdf" TargetMode="External"/><Relationship Id="rId13" Type="http://schemas.openxmlformats.org/officeDocument/2006/relationships/hyperlink" Target="http://www.oas.org/en/iachr/media_center/preleases/2015/040.asp" TargetMode="External"/><Relationship Id="rId109" Type="http://schemas.openxmlformats.org/officeDocument/2006/relationships/hyperlink" Target="https://opinionator.blogs.nytimes.com/2015/04/03/how-the-slave-trade-built-america/" TargetMode="External"/><Relationship Id="rId260" Type="http://schemas.openxmlformats.org/officeDocument/2006/relationships/hyperlink" Target="http://www.oas.org/en/iachr/media_center/preleases/2014/090.asp" TargetMode="External"/><Relationship Id="rId316" Type="http://schemas.openxmlformats.org/officeDocument/2006/relationships/hyperlink" Target="https://www.amnestyusa.org/files/onthestreetsofamericaamnestyinternational.pdf" TargetMode="External"/><Relationship Id="rId523" Type="http://schemas.openxmlformats.org/officeDocument/2006/relationships/hyperlink" Target="http://www.oas.org/en/iachr/afro-descendants/docs/pdf/AFROS_2011_ENG.pdf" TargetMode="External"/><Relationship Id="rId55" Type="http://schemas.openxmlformats.org/officeDocument/2006/relationships/hyperlink" Target="http://www.oas.org/en/iachr/reports/pdfs/DominicanRepublic-2015.pdf" TargetMode="External"/><Relationship Id="rId97" Type="http://schemas.openxmlformats.org/officeDocument/2006/relationships/hyperlink" Target="https://www.theatlantic.com/magazine/archive/2014/05/segregation-now/359813/" TargetMode="External"/><Relationship Id="rId120" Type="http://schemas.openxmlformats.org/officeDocument/2006/relationships/hyperlink" Target="https://lynchinginamerica.eji.org/report/" TargetMode="External"/><Relationship Id="rId358" Type="http://schemas.openxmlformats.org/officeDocument/2006/relationships/hyperlink" Target="https://www.oas.org/en/iachr/media_center/preleases/2013/051.asp" TargetMode="External"/><Relationship Id="rId565" Type="http://schemas.openxmlformats.org/officeDocument/2006/relationships/hyperlink" Target="http://www2.ohchr.org/english/bodies/hrcouncil/docs/14session/A.HRC.14.24.Add6.pdf" TargetMode="External"/><Relationship Id="rId162" Type="http://schemas.openxmlformats.org/officeDocument/2006/relationships/hyperlink" Target="https://www.smithsonianmag.com/smart-news/study-shows-little-change-segregation-and-poverty-over-last-fifty-years-180968317/" TargetMode="External"/><Relationship Id="rId218" Type="http://schemas.openxmlformats.org/officeDocument/2006/relationships/hyperlink" Target="http://tbinternet.ohchr.org/_layouts/treatybodyexternal/Download.aspx?symbolno=CERD%2fC%2fUSA%2fCO%2f7-9&amp;Lang=en" TargetMode="External"/><Relationship Id="rId425" Type="http://schemas.openxmlformats.org/officeDocument/2006/relationships/hyperlink" Target="http://www.cnn.com/2017/08/18/us/charlottesville-james-alex-fields-charges/index.html" TargetMode="External"/><Relationship Id="rId467" Type="http://schemas.openxmlformats.org/officeDocument/2006/relationships/hyperlink" Target="http://www.oas.org/en/iachr/media_center/preleases/2015/118.asp" TargetMode="External"/><Relationship Id="rId632" Type="http://schemas.openxmlformats.org/officeDocument/2006/relationships/hyperlink" Target="http://www.oas.org/en/iachr/afro-descendants/docs/pdf/AFROS_2011_ENG.pdf" TargetMode="External"/><Relationship Id="rId271" Type="http://schemas.openxmlformats.org/officeDocument/2006/relationships/hyperlink" Target="http://www.oas.org/en/iachr/media_center/PReleases/2016/120.asp" TargetMode="External"/><Relationship Id="rId674" Type="http://schemas.openxmlformats.org/officeDocument/2006/relationships/hyperlink" Target="http://cidh.org/annualrep/2004eng/Belize.12053eng.htm" TargetMode="External"/><Relationship Id="rId24" Type="http://schemas.openxmlformats.org/officeDocument/2006/relationships/hyperlink" Target="http://www.oas.org/en/iachr/decisions/2017/USAD1105-06EN.pdf" TargetMode="External"/><Relationship Id="rId66" Type="http://schemas.openxmlformats.org/officeDocument/2006/relationships/hyperlink" Target="https://www.propublica.org/article/living-apart-how-the-government-betrayed-a-landmark-civil-rights-law" TargetMode="External"/><Relationship Id="rId131" Type="http://schemas.openxmlformats.org/officeDocument/2006/relationships/hyperlink" Target="https://lynchinginamerica.eji.org/report/" TargetMode="External"/><Relationship Id="rId327" Type="http://schemas.openxmlformats.org/officeDocument/2006/relationships/hyperlink" Target="https://www.washingtonpost.com/local/crime/high-number-of-arrests-in-baltimore-leads-to-confusion-in-charging/2015/05/04/d71ad79c-f28e-11e4-bcc4-e8141e5eb0c9_story.html?utm_term=.9b3ecd9b3dc7" TargetMode="External"/><Relationship Id="rId369" Type="http://schemas.openxmlformats.org/officeDocument/2006/relationships/hyperlink" Target="http://www.ussc.gov/news/congressional-testimony-and-reports/booker-reports/report-continuing-impact-united-states-v-bookerfederal-sentencing" TargetMode="External"/><Relationship Id="rId534" Type="http://schemas.openxmlformats.org/officeDocument/2006/relationships/hyperlink" Target="http://www.cidh.oas.org/annualrep/2006eng/CUBA.12476eng.htm" TargetMode="External"/><Relationship Id="rId576" Type="http://schemas.openxmlformats.org/officeDocument/2006/relationships/hyperlink" Target="http://www.ohchr.org/EN/ProfessionalInterest/Pages/UseOfForceAndFirearms.aspx" TargetMode="External"/><Relationship Id="rId173" Type="http://schemas.openxmlformats.org/officeDocument/2006/relationships/hyperlink" Target="https://convention2.allacademic.com/one/asc/asc17/index.php?program_focus=view_paper&amp;selected_paper_id=1276548&amp;cmd=online_program_direct_link&amp;sub_action=online_program" TargetMode="External"/><Relationship Id="rId229" Type="http://schemas.openxmlformats.org/officeDocument/2006/relationships/hyperlink" Target="https://www.washingtonpost.com/graphics/national/police-shootings-2017/" TargetMode="External"/><Relationship Id="rId380" Type="http://schemas.openxmlformats.org/officeDocument/2006/relationships/hyperlink" Target="http://www.oas.org/en/iachr/reports/pdfs/PretrialDetention.pdf" TargetMode="External"/><Relationship Id="rId436" Type="http://schemas.openxmlformats.org/officeDocument/2006/relationships/hyperlink" Target="http://www.foxnews.com/world/2014/10/18/experts-tell-us-commission-stand-your-ground-law-is-discriminatory.html" TargetMode="External"/><Relationship Id="rId601" Type="http://schemas.openxmlformats.org/officeDocument/2006/relationships/hyperlink" Target="file:///C:\Users\AAlmeida\AppData\Local\Microsoft\Windows\INetCache\Content.Outlook\EYNCVJAP\The%20War%20on%20Marijuana%20in%20Black%20and%20White" TargetMode="External"/><Relationship Id="rId643" Type="http://schemas.openxmlformats.org/officeDocument/2006/relationships/hyperlink" Target="http://www.oas.org/en/iachr/docs/annual/2015/doc-en/InformeAnual2015-cap4A-fuerza-EN.pdf" TargetMode="External"/><Relationship Id="rId240" Type="http://schemas.openxmlformats.org/officeDocument/2006/relationships/hyperlink" Target="https://www.youtube.com/watch?v=U5SvLoYX71M" TargetMode="External"/><Relationship Id="rId478" Type="http://schemas.openxmlformats.org/officeDocument/2006/relationships/hyperlink" Target="http://www.ilga.gov/legislation/99/SB/PDF/09900SB1304enr.pdf" TargetMode="External"/><Relationship Id="rId685" Type="http://schemas.openxmlformats.org/officeDocument/2006/relationships/hyperlink" Target="http://www.ohchr.org/EN/ProfessionalInterest/Pages/RemedyAndReparation.aspx" TargetMode="External"/><Relationship Id="rId35" Type="http://schemas.openxmlformats.org/officeDocument/2006/relationships/hyperlink" Target="https://www.oas.org/en/iachr/media_center/Preleases/2012/117.asp" TargetMode="External"/><Relationship Id="rId77" Type="http://schemas.openxmlformats.org/officeDocument/2006/relationships/hyperlink" Target="http://tbinternet.ohchr.org/_layouts/treatybodyexternal/Download.aspx?symbolno=CERD%2fC%2fUSA%2fCO%2f7-9&amp;Lang=en" TargetMode="External"/><Relationship Id="rId100" Type="http://schemas.openxmlformats.org/officeDocument/2006/relationships/hyperlink" Target="https://chicagounbound.uchicago.edu/cgi/viewcontent.cgi?referer=http://www.law.columbia.edu/news/2017/06/kimberle-crenshaw-intersectionality&amp;httpsredir=1&amp;article=1052&amp;context=uclf" TargetMode="External"/><Relationship Id="rId282" Type="http://schemas.openxmlformats.org/officeDocument/2006/relationships/hyperlink" Target="http://www.houstonchronicle.com/local/investigations/item/Bulletproof-Part-3-Hard-to-charge-24421.php" TargetMode="External"/><Relationship Id="rId338" Type="http://schemas.openxmlformats.org/officeDocument/2006/relationships/hyperlink" Target="https://www.state.gov/documents/organization/235641.pdf" TargetMode="External"/><Relationship Id="rId503" Type="http://schemas.openxmlformats.org/officeDocument/2006/relationships/hyperlink" Target="https://www.washingtonpost.com/world/national-security/justice-dept-to-announce-new-rules-to-curb-racial-profiling-by-federal-law-enforcement/2014/12/07/e00eca18-7e79-11e4-9f38-95a187e4c1f7_story.html?utm_term=.ef5e86ff32a5" TargetMode="External"/><Relationship Id="rId545" Type="http://schemas.openxmlformats.org/officeDocument/2006/relationships/hyperlink" Target="http://www.cidh.org/Terrorism/Span/indice.htm" TargetMode="External"/><Relationship Id="rId587" Type="http://schemas.openxmlformats.org/officeDocument/2006/relationships/hyperlink" Target="http://www.ohchr.org/EN/Issues/Education/Training/Compilation/Pages/b)GeneralRecommendationXIIIonthetrainingoflawenforcementofficialsintheprotectionofhumanrights(1993).aspx" TargetMode="External"/><Relationship Id="rId8" Type="http://schemas.openxmlformats.org/officeDocument/2006/relationships/hyperlink" Target="http://www.oas.org/en/iachr/media_center/preleases/2015/118.asp" TargetMode="External"/><Relationship Id="rId142" Type="http://schemas.openxmlformats.org/officeDocument/2006/relationships/hyperlink" Target="https://www.youtube.com/watch?v=YqsAddPVcMI" TargetMode="External"/><Relationship Id="rId184" Type="http://schemas.openxmlformats.org/officeDocument/2006/relationships/hyperlink" Target="http://www.oas.org/en/iachr/media_center/preleases/2015/118.asp" TargetMode="External"/><Relationship Id="rId391" Type="http://schemas.openxmlformats.org/officeDocument/2006/relationships/hyperlink" Target="https://www.youtube.com/watch?v=ieGOtPqlHLM&amp;feature=youtu.be" TargetMode="External"/><Relationship Id="rId405" Type="http://schemas.openxmlformats.org/officeDocument/2006/relationships/hyperlink" Target="https://www.bjs.gov/index.cfm?ty=pbdetail&amp;iid=5967" TargetMode="External"/><Relationship Id="rId447" Type="http://schemas.openxmlformats.org/officeDocument/2006/relationships/hyperlink" Target="http://static1.squarespace.com/static/53f20d90e4b0b80451158d8c/t/560c068ee4b0af26f72741df/1443628686535/AAPF_SMN_Brief_Full_singles-min.pdf" TargetMode="External"/><Relationship Id="rId612" Type="http://schemas.openxmlformats.org/officeDocument/2006/relationships/hyperlink" Target="http://www.oas.org/en/iachr/afro-descendants/docs/pdf/AFROS_2011_ENG.pdf" TargetMode="External"/><Relationship Id="rId251" Type="http://schemas.openxmlformats.org/officeDocument/2006/relationships/hyperlink" Target="http://www.oas.org/en/iachr/media_center/preleases/2015/040.asp" TargetMode="External"/><Relationship Id="rId489" Type="http://schemas.openxmlformats.org/officeDocument/2006/relationships/hyperlink" Target="https://www.nytimes.com/2017/07/29/nyregion/trump-police-too-nice.html" TargetMode="External"/><Relationship Id="rId654" Type="http://schemas.openxmlformats.org/officeDocument/2006/relationships/hyperlink" Target="https://www.bjs.gov/index.cfm?ty=pbdetail&amp;iid=4862" TargetMode="External"/><Relationship Id="rId696" Type="http://schemas.openxmlformats.org/officeDocument/2006/relationships/hyperlink" Target="http://www.oas.org/en/iachr/afro-descendants/docs/pdf/AFROS_2011_ENG.pdf" TargetMode="External"/><Relationship Id="rId46" Type="http://schemas.openxmlformats.org/officeDocument/2006/relationships/hyperlink" Target="https://www.oas.org/en/iachr/reports/pdfs/Universalization-InterAmerican-System.docx" TargetMode="External"/><Relationship Id="rId293" Type="http://schemas.openxmlformats.org/officeDocument/2006/relationships/hyperlink" Target="https://www.themarshallproject.org/2015/04/27/blue-shield" TargetMode="External"/><Relationship Id="rId307" Type="http://schemas.openxmlformats.org/officeDocument/2006/relationships/hyperlink" Target="https://www.youtube.com/watch?v=c_ZLnaWeXCk" TargetMode="External"/><Relationship Id="rId349" Type="http://schemas.openxmlformats.org/officeDocument/2006/relationships/hyperlink" Target="https://www.huffingtonpost.com/cynthia-jones/pretrial-detention-blacks-and-latinos_b_8537602.html" TargetMode="External"/><Relationship Id="rId514" Type="http://schemas.openxmlformats.org/officeDocument/2006/relationships/hyperlink" Target="http://www.cidh.oas.org/annualrep/2006eng/CUBA.12476eng.htm" TargetMode="External"/><Relationship Id="rId556" Type="http://schemas.openxmlformats.org/officeDocument/2006/relationships/hyperlink" Target="http://www.oas.org/en/iachr/docs/annual/2015/doc-en/informeanual2015-cap4a-fuerza-en.pdf" TargetMode="External"/><Relationship Id="rId88" Type="http://schemas.openxmlformats.org/officeDocument/2006/relationships/hyperlink" Target="http://college.usatoday.com/2017/03/07/report-the-race-gap-in-higher-education-is-very-real/" TargetMode="External"/><Relationship Id="rId111" Type="http://schemas.openxmlformats.org/officeDocument/2006/relationships/hyperlink" Target="https://www.theatlantic.com/politics/archive/2014/10/the-old-jim-crow/381473/" TargetMode="External"/><Relationship Id="rId153" Type="http://schemas.openxmlformats.org/officeDocument/2006/relationships/hyperlink" Target="https://www.npr.org/2017/04/26/524744989/when-la-erupted-in-anger-a-look-back-at-the-rodney-king-riots" TargetMode="External"/><Relationship Id="rId195" Type="http://schemas.openxmlformats.org/officeDocument/2006/relationships/hyperlink" Target="https://www.justice.gov/opa/pr/justice-department-announces-findings-two-civil-rights-investigations-ferguson-missouri" TargetMode="External"/><Relationship Id="rId209" Type="http://schemas.openxmlformats.org/officeDocument/2006/relationships/hyperlink" Target="https://www.bja.gov/publications/LEEWG_Report_Final.pdf" TargetMode="External"/><Relationship Id="rId360" Type="http://schemas.openxmlformats.org/officeDocument/2006/relationships/hyperlink" Target="http://tbinternet.ohchr.org/_layouts/treatybodyexternal/Download.aspx?symbolno=CERD%2fC%2fUSA%2fCO%2f7-9&amp;Lang=en" TargetMode="External"/><Relationship Id="rId416" Type="http://schemas.openxmlformats.org/officeDocument/2006/relationships/hyperlink" Target="http://www.oas.org/en/iachr/media_center/PReleases/2017/124.asp" TargetMode="External"/><Relationship Id="rId598" Type="http://schemas.openxmlformats.org/officeDocument/2006/relationships/hyperlink" Target="http://www.oas.org/en/iachr/docs/annual/2015/doc-en/informeanual2015-cap4a-fuerza-en.pdf" TargetMode="External"/><Relationship Id="rId220" Type="http://schemas.openxmlformats.org/officeDocument/2006/relationships/hyperlink" Target="http://www.oas.org/en/iachr/media_center/preleases/2014/090.asp" TargetMode="External"/><Relationship Id="rId458" Type="http://schemas.openxmlformats.org/officeDocument/2006/relationships/hyperlink" Target="https://www.youtube.com/watch?v=ieGOtPqlHLM&amp;feature=youtu.be" TargetMode="External"/><Relationship Id="rId623" Type="http://schemas.openxmlformats.org/officeDocument/2006/relationships/hyperlink" Target="http://www.oas.org/en/iachr/decisions/2011/uspu12626en.doc" TargetMode="External"/><Relationship Id="rId665" Type="http://schemas.openxmlformats.org/officeDocument/2006/relationships/hyperlink" Target="http://www.oas.org/en/iachr/media_center/preleases/2015/040.asp" TargetMode="External"/><Relationship Id="rId15" Type="http://schemas.openxmlformats.org/officeDocument/2006/relationships/hyperlink" Target="http://www.oas.org/en/iachr/media_center/PReleases/2017/124.asp" TargetMode="External"/><Relationship Id="rId57" Type="http://schemas.openxmlformats.org/officeDocument/2006/relationships/hyperlink" Target="http://www.ohchr.org/EN/HRBodies/HRC/RegularSessions/Session35/Documents/A_HRC_35_28_Add.2_AEV.docx" TargetMode="External"/><Relationship Id="rId262" Type="http://schemas.openxmlformats.org/officeDocument/2006/relationships/hyperlink" Target="https://documents-dds-ny.un.org/doc/UNDOC/GEN/G16/183/30/PDF/G1618330.pdf?OpenElement" TargetMode="External"/><Relationship Id="rId318" Type="http://schemas.openxmlformats.org/officeDocument/2006/relationships/hyperlink" Target="https://www.washingtonpost.com/news/post-nation/wp/2014/10/06/federal-judges-tosses-5-second-rule-being-used-to-police-ferguson-protests/" TargetMode="External"/><Relationship Id="rId525" Type="http://schemas.openxmlformats.org/officeDocument/2006/relationships/hyperlink" Target="https://www.cidh.oas.org/women/access07/Report%20Access%20to%20Justice%20Report%20English%20020507.pdf" TargetMode="External"/><Relationship Id="rId567" Type="http://schemas.openxmlformats.org/officeDocument/2006/relationships/hyperlink" Target="http://www.oas.org/en/iachr/docs/annual/2015/doc-en/informeanual2015-cap4a-fuerza-en.pdf" TargetMode="External"/><Relationship Id="rId99" Type="http://schemas.openxmlformats.org/officeDocument/2006/relationships/hyperlink" Target="https://www.washingtonpost.com/blogs/govbeat/wp/2014/05/15/the-most-segregated-schools-may-not-be-in-the-states-youd-expect-2/?utm_term=.55d8808fcd7a" TargetMode="External"/><Relationship Id="rId122" Type="http://schemas.openxmlformats.org/officeDocument/2006/relationships/hyperlink" Target="https://lynchinginamerica.eji.org/report/" TargetMode="External"/><Relationship Id="rId164" Type="http://schemas.openxmlformats.org/officeDocument/2006/relationships/hyperlink" Target="https://documents-dds-ny.un.org/doc/UNDOC/GEN/G16/183/30/PDF/G1618330.pdf?OpenElement" TargetMode="External"/><Relationship Id="rId371" Type="http://schemas.openxmlformats.org/officeDocument/2006/relationships/hyperlink" Target="http://projects.heraldtribune.com/bias/sentencing/" TargetMode="External"/><Relationship Id="rId427" Type="http://schemas.openxmlformats.org/officeDocument/2006/relationships/hyperlink" Target="https://www.nytimes.com/2017/08/13/us/charlottesville-rally-protest-statue.html" TargetMode="External"/><Relationship Id="rId469" Type="http://schemas.openxmlformats.org/officeDocument/2006/relationships/hyperlink" Target="https://www.theguardian.com/society/2017/dec/15/america-extreme-poverty-un-special-rapporteur" TargetMode="External"/><Relationship Id="rId634" Type="http://schemas.openxmlformats.org/officeDocument/2006/relationships/hyperlink" Target="http://www.oas.org/en/iachr/docs/annual/2015/doc-en/InformeAnual2015-cap4A-fuerza-EN.pdf" TargetMode="External"/><Relationship Id="rId676" Type="http://schemas.openxmlformats.org/officeDocument/2006/relationships/hyperlink" Target="http://www.cidh.org/countryrep/Defenders/defenderstoc.htm" TargetMode="External"/><Relationship Id="rId26" Type="http://schemas.openxmlformats.org/officeDocument/2006/relationships/hyperlink" Target="http://www.oas.org/dil/access_to_information_human_right_American_Declaration_of_the_Rights_and_Duties_of_Man.pdf" TargetMode="External"/><Relationship Id="rId231" Type="http://schemas.openxmlformats.org/officeDocument/2006/relationships/hyperlink" Target="https://www.pri.org/stories/2016-07-12/when-it-comes-police-shootings-us-doesnt-look-developed-nation" TargetMode="External"/><Relationship Id="rId273" Type="http://schemas.openxmlformats.org/officeDocument/2006/relationships/hyperlink" Target="https://www.nytimes.com/2017/06/16/us/police-shooting-trial-philando-castile.html" TargetMode="External"/><Relationship Id="rId329" Type="http://schemas.openxmlformats.org/officeDocument/2006/relationships/hyperlink" Target="http://www.oas.org/en/iachr/docs/annual/2015/doc-en/InformeAnual2015-cap4A-fuerza-EN.pdf" TargetMode="External"/><Relationship Id="rId480" Type="http://schemas.openxmlformats.org/officeDocument/2006/relationships/hyperlink" Target="https://www.phillypolice.com/assets/forms-reports/TaskForce_FinalReport.pdf" TargetMode="External"/><Relationship Id="rId536" Type="http://schemas.openxmlformats.org/officeDocument/2006/relationships/hyperlink" Target="http://www.refworld.org/docid/48abd56dd.html" TargetMode="External"/><Relationship Id="rId701" Type="http://schemas.openxmlformats.org/officeDocument/2006/relationships/hyperlink" Target="http://www.ohchr.org/EN/ProfessionalInterest/Pages/RemedyAndReparation.aspx" TargetMode="External"/><Relationship Id="rId68" Type="http://schemas.openxmlformats.org/officeDocument/2006/relationships/hyperlink" Target="https://www.usnews.com/news/best-states/michigan/articles/2017-09-15/expert-declares-qualified-end-to-water-crisis-in-flint" TargetMode="External"/><Relationship Id="rId133" Type="http://schemas.openxmlformats.org/officeDocument/2006/relationships/hyperlink" Target="https://lynchinginamerica.eji.org/report/" TargetMode="External"/><Relationship Id="rId175" Type="http://schemas.openxmlformats.org/officeDocument/2006/relationships/hyperlink" Target="http://oag.state.ny.us/sites/default/files/pdfs/bureaus/civil_rights/stp_frsk.pdf" TargetMode="External"/><Relationship Id="rId340" Type="http://schemas.openxmlformats.org/officeDocument/2006/relationships/hyperlink" Target="http://archives.civilrights.org/publications/reports/racial-profiling2011/racial_profiling2011.pdf" TargetMode="External"/><Relationship Id="rId578" Type="http://schemas.openxmlformats.org/officeDocument/2006/relationships/hyperlink" Target="http://www.amnestyusa.org/research/reports/deadly-force-police-use-of-lethal-force-in-the-united-states" TargetMode="External"/><Relationship Id="rId200" Type="http://schemas.openxmlformats.org/officeDocument/2006/relationships/hyperlink" Target="https://www.justice.gov/sites/default/files/opa/press-releases/attachments/2015/03/04/ferguson_police_department_report_1.pdf" TargetMode="External"/><Relationship Id="rId382" Type="http://schemas.openxmlformats.org/officeDocument/2006/relationships/hyperlink" Target="http://www.oas.org/en/iachr/media_center/PReleases/2014/104.asp" TargetMode="External"/><Relationship Id="rId438" Type="http://schemas.openxmlformats.org/officeDocument/2006/relationships/hyperlink" Target="https://www.youtube.com/watch?v=X0EV8Rbpg2s" TargetMode="External"/><Relationship Id="rId603" Type="http://schemas.openxmlformats.org/officeDocument/2006/relationships/hyperlink" Target="https://www.aclu.org/report/war-comes-home-excessive-militarization-american-police" TargetMode="External"/><Relationship Id="rId645" Type="http://schemas.openxmlformats.org/officeDocument/2006/relationships/hyperlink" Target="http://www.ohchr.org/Documents/Publications/MinnesotaProtocol.pdf" TargetMode="External"/><Relationship Id="rId687" Type="http://schemas.openxmlformats.org/officeDocument/2006/relationships/hyperlink" Target="http://www.ohchr.org/EN/ProfessionalInterest/Pages/RemedyAndReparation.aspx" TargetMode="External"/><Relationship Id="rId242" Type="http://schemas.openxmlformats.org/officeDocument/2006/relationships/hyperlink" Target="https://www.state.gov/documents/organization/235641.pdf" TargetMode="External"/><Relationship Id="rId284" Type="http://schemas.openxmlformats.org/officeDocument/2006/relationships/hyperlink" Target="http://www.msnbc.com/msnbc/prosecutors-police-inherent-conflict-our-courts" TargetMode="External"/><Relationship Id="rId491" Type="http://schemas.openxmlformats.org/officeDocument/2006/relationships/hyperlink" Target="https://www.usatoday.com/story/opinion/2017/04/17/jeff-sessions-avoid-harmful-federal-intrusion-editorials-debates/100579848/" TargetMode="External"/><Relationship Id="rId505" Type="http://schemas.openxmlformats.org/officeDocument/2006/relationships/hyperlink" Target="http://tbinternet.ohchr.org/_layouts/treatybodyexternal/Download.aspx?symbolno=CERD%2fC%2fUSA%2fCO%2f7-9&amp;Lang=en" TargetMode="External"/><Relationship Id="rId37" Type="http://schemas.openxmlformats.org/officeDocument/2006/relationships/hyperlink" Target="http://cidh.org/annualrep/2004eng/Belize.12053eng.htm" TargetMode="External"/><Relationship Id="rId79" Type="http://schemas.openxmlformats.org/officeDocument/2006/relationships/hyperlink" Target="http://blackrj.org/wp-content/uploads/2017/06/http:/blackrj.org/wp-content/uploads/2017/06/FINAL-InOurVoices_Report_final.pdfFINAL-InOurVoices_Report_final.pdf" TargetMode="External"/><Relationship Id="rId102" Type="http://schemas.openxmlformats.org/officeDocument/2006/relationships/hyperlink" Target="http://www.oas.org/en/iachr/afro-descendants/docs/pdf/AFROS_2011_ENG.pdf" TargetMode="External"/><Relationship Id="rId144" Type="http://schemas.openxmlformats.org/officeDocument/2006/relationships/hyperlink" Target="https://documents-dds-ny.un.org/doc/UNDOC/GEN/G16/183/30/PDF/G1618330.pdf?OpenElement" TargetMode="External"/><Relationship Id="rId547" Type="http://schemas.openxmlformats.org/officeDocument/2006/relationships/hyperlink" Target="http://www.oas.org/en/iachr/expression/docs/reports/annual/AnnualReport2015RELE.pdf" TargetMode="External"/><Relationship Id="rId589" Type="http://schemas.openxmlformats.org/officeDocument/2006/relationships/hyperlink" Target="http://www.oas.org/en/iachr/docs/annual/2015/doc-en/informeanual2015-cap4a-fuerza-en.pdf" TargetMode="External"/><Relationship Id="rId90" Type="http://schemas.openxmlformats.org/officeDocument/2006/relationships/hyperlink" Target="https://www.washingtonpost.com/news/monkey-cage/wp/2017/02/15/do-voter-identification-laws-suppress-minority-voting-yes-we-did-the-research/?utm_term=.d330504d6a8e" TargetMode="External"/><Relationship Id="rId186" Type="http://schemas.openxmlformats.org/officeDocument/2006/relationships/hyperlink" Target="https://www.aclu.org/news/aclu-finds-severe-racial-disparities-low-level-arrests-minneapolis-police" TargetMode="External"/><Relationship Id="rId351" Type="http://schemas.openxmlformats.org/officeDocument/2006/relationships/hyperlink" Target="http://www.arnoldfoundation.org/wp-content/uploads/2014/02/LJAF-Pretrial-CJ-Research-brief_FNL.pdf" TargetMode="External"/><Relationship Id="rId393" Type="http://schemas.openxmlformats.org/officeDocument/2006/relationships/hyperlink" Target="http://ohchr.org/EN/NewsEvents/Pages/DisplayNews.aspx?NewsID=22533&amp;LangID=E" TargetMode="External"/><Relationship Id="rId407" Type="http://schemas.openxmlformats.org/officeDocument/2006/relationships/hyperlink" Target="https://elpais.com/internacional/2017/11/13/estados_unidos/1510598646_373966.html" TargetMode="External"/><Relationship Id="rId449" Type="http://schemas.openxmlformats.org/officeDocument/2006/relationships/hyperlink" Target="http://www.oas.org/en/iachr/media_center/preleases/2015/118.asp" TargetMode="External"/><Relationship Id="rId614" Type="http://schemas.openxmlformats.org/officeDocument/2006/relationships/hyperlink" Target="http://www.oas.org/en/iachr/docs/annual/2015/doc-en/InformeAnual2015-cap4A-fuerza-EN.pdf" TargetMode="External"/><Relationship Id="rId656" Type="http://schemas.openxmlformats.org/officeDocument/2006/relationships/hyperlink" Target="http://www.ohchr.org/EN/ProfessionalInterest/Pages/UseOfForceAndFirearms.aspx" TargetMode="External"/><Relationship Id="rId211" Type="http://schemas.openxmlformats.org/officeDocument/2006/relationships/hyperlink" Target="https://www.whitehouse.gov/the-press-office/2017/08/28/presidential-executive-order-restoring-state-tribal-and-local-law" TargetMode="External"/><Relationship Id="rId253" Type="http://schemas.openxmlformats.org/officeDocument/2006/relationships/hyperlink" Target="https://www.youtube.com/watch?v=c_ZLnaWeXCk" TargetMode="External"/><Relationship Id="rId295" Type="http://schemas.openxmlformats.org/officeDocument/2006/relationships/hyperlink" Target="http://www.ohchr.org/EN/HRBodies/HRC/RegularSessions/Session35/Documents/A_HRC_35_28_Add.2_AEV.docx" TargetMode="External"/><Relationship Id="rId309" Type="http://schemas.openxmlformats.org/officeDocument/2006/relationships/hyperlink" Target="https://www.yalelawjournal.org/forum/the-first-amendment-freedom-of-assembly-as-a-racial-project" TargetMode="External"/><Relationship Id="rId460" Type="http://schemas.openxmlformats.org/officeDocument/2006/relationships/hyperlink" Target="https://www.washingtonpost.com/news/morning-mix/wp/2014/11/25/why-darren-wilson-said-he-killed-michael-brown/?utm_term=.44e8a2cf20aa" TargetMode="External"/><Relationship Id="rId516" Type="http://schemas.openxmlformats.org/officeDocument/2006/relationships/hyperlink" Target="http://www.oas.org/dil/international_convention_on_the_elimination_of_all_forms_of_racial_discrimination_bahamas.pdf" TargetMode="External"/><Relationship Id="rId698" Type="http://schemas.openxmlformats.org/officeDocument/2006/relationships/hyperlink" Target="http://www.ohchr.org/EN/ProfessionalInterest/Pages/RemedyAndReparation.aspx" TargetMode="External"/><Relationship Id="rId48" Type="http://schemas.openxmlformats.org/officeDocument/2006/relationships/hyperlink" Target="https://www.cidh.oas.org/annualrep/2008eng/USA12534eng.htm" TargetMode="External"/><Relationship Id="rId113" Type="http://schemas.openxmlformats.org/officeDocument/2006/relationships/hyperlink" Target="http://plsonline.eku.edu/insidelook/brief-history-slavery-and-origins-american-policing" TargetMode="External"/><Relationship Id="rId320" Type="http://schemas.openxmlformats.org/officeDocument/2006/relationships/hyperlink" Target="https://www.youtube.com/watch?v=ieGOtPqlHLM&amp;feature=youtu.be" TargetMode="External"/><Relationship Id="rId558" Type="http://schemas.openxmlformats.org/officeDocument/2006/relationships/hyperlink" Target="http://www.oas.org/en/iachr/docs/annual/2015/doc-en/informeanual2015-cap4a-fuerza-en.pdf" TargetMode="External"/><Relationship Id="rId155" Type="http://schemas.openxmlformats.org/officeDocument/2006/relationships/hyperlink" Target="https://www.youtube.com/watch?v=X0EV8Rbpg2s" TargetMode="External"/><Relationship Id="rId197" Type="http://schemas.openxmlformats.org/officeDocument/2006/relationships/hyperlink" Target="https://www.youtube.com/watch?v=j_OIkzDAaxA" TargetMode="External"/><Relationship Id="rId362" Type="http://schemas.openxmlformats.org/officeDocument/2006/relationships/hyperlink" Target="http://tbinternet.ohchr.org/_layouts/treatybodyexternal/Download.aspx?symbolno=CERD%2fC%2fUSA%2fCO%2f7-9&amp;Lang=en" TargetMode="External"/><Relationship Id="rId418" Type="http://schemas.openxmlformats.org/officeDocument/2006/relationships/hyperlink" Target="https://www.washingtonpost.com/local/the-brutal-beating-of-black-man-by-white-supremacists-still-roils-charlottesville/2017/10/10/e5994132-a515-11e7-8cfe-d5b912fabc99_story.html?utm_term=.20cf12e91304" TargetMode="External"/><Relationship Id="rId625" Type="http://schemas.openxmlformats.org/officeDocument/2006/relationships/hyperlink" Target="http://www.oas.org/en/iachr/migrants/docs/pdf/Migrants2011.pdf" TargetMode="External"/><Relationship Id="rId222" Type="http://schemas.openxmlformats.org/officeDocument/2006/relationships/hyperlink" Target="http://www.oas.org/en/iachr/media_center/PReleases/2016/120.asp" TargetMode="External"/><Relationship Id="rId264" Type="http://schemas.openxmlformats.org/officeDocument/2006/relationships/hyperlink" Target="file:///C:\Users\AAlmeida\AppData\Local\Microsoft\Windows\INetCache\Content.Outlook\EYNCVJAP\Dozens%20of%20killings%20by%20US%20police%20ruled%20justified%20without%20public%20being%20notified" TargetMode="External"/><Relationship Id="rId471" Type="http://schemas.openxmlformats.org/officeDocument/2006/relationships/hyperlink" Target="https://www.justice.gov/opa/pr/justice-department-releases-report-civil-rights-division-s-pattern-and-practice-police-reform" TargetMode="External"/><Relationship Id="rId667" Type="http://schemas.openxmlformats.org/officeDocument/2006/relationships/hyperlink" Target="https://www.oas.org/en/iachr/decisions/2016/USPU12834EN.pdf" TargetMode="External"/><Relationship Id="rId17" Type="http://schemas.openxmlformats.org/officeDocument/2006/relationships/hyperlink" Target="https://www.oas.org/en/iachr/reports/pdfs/indigenous-women-bc-canada-en.pdf" TargetMode="External"/><Relationship Id="rId59" Type="http://schemas.openxmlformats.org/officeDocument/2006/relationships/hyperlink" Target="https://documents-dds-ny.un.org/doc/UNDOC/GEN/G16/183/30/PDF/G1618330.pdf?OpenElement" TargetMode="External"/><Relationship Id="rId124" Type="http://schemas.openxmlformats.org/officeDocument/2006/relationships/hyperlink" Target="https://lynchinginamerica.eji.org/report/" TargetMode="External"/><Relationship Id="rId527" Type="http://schemas.openxmlformats.org/officeDocument/2006/relationships/hyperlink" Target="https://www.oas.org/en/iachr/decisions/2016/USPU12834EN.pdf" TargetMode="External"/><Relationship Id="rId569" Type="http://schemas.openxmlformats.org/officeDocument/2006/relationships/hyperlink" Target="http://www.oas.org/en/iachr/docs/pdf/citizensec.pdf" TargetMode="External"/><Relationship Id="rId70" Type="http://schemas.openxmlformats.org/officeDocument/2006/relationships/hyperlink" Target="http://www.cnn.com/2016/01/26/us/flint-michigan-water-crisis-race-poverty/index.html" TargetMode="External"/><Relationship Id="rId166" Type="http://schemas.openxmlformats.org/officeDocument/2006/relationships/hyperlink" Target="http://tbinternet.ohchr.org/_layouts/treatybodyexternal/Download.aspx?symbolno=CERD%2fC%2fUSA%2fCO%2f7-9&amp;Lang=en" TargetMode="External"/><Relationship Id="rId331" Type="http://schemas.openxmlformats.org/officeDocument/2006/relationships/hyperlink" Target="https://www.theguardian.com/us-news/2017/sep/18/militaristic-and-intimidating-st-louis-police-criticized-as-protests-stretch-on" TargetMode="External"/><Relationship Id="rId373" Type="http://schemas.openxmlformats.org/officeDocument/2006/relationships/hyperlink" Target="https://www.prisonpolicy.org/global/2016.html" TargetMode="External"/><Relationship Id="rId429" Type="http://schemas.openxmlformats.org/officeDocument/2006/relationships/hyperlink" Target="https://www.cnn.com/2017/08/15/us/confederate-memorial-removal-us-trnd/index.html" TargetMode="External"/><Relationship Id="rId580" Type="http://schemas.openxmlformats.org/officeDocument/2006/relationships/hyperlink" Target="http://www.oas.org/en/iachr/media_center/PReleases/2016/120.asp" TargetMode="External"/><Relationship Id="rId636" Type="http://schemas.openxmlformats.org/officeDocument/2006/relationships/hyperlink" Target="https://www.washingtonpost.com/national/fbi-director-calls-lack-of-data-on-police-shootings-ridiculous-embarrassing/2015/10/07/c0ebaf7a-6d16-11e5-b31c-d80d62b53e28_story.html" TargetMode="External"/><Relationship Id="rId1" Type="http://schemas.openxmlformats.org/officeDocument/2006/relationships/hyperlink" Target="https://www.youtube.com/watch?v=X0EV8Rbpg2s" TargetMode="External"/><Relationship Id="rId233" Type="http://schemas.openxmlformats.org/officeDocument/2006/relationships/hyperlink" Target="https://www.washingtonpost.com/graphics/national/police-shootings-2016/" TargetMode="External"/><Relationship Id="rId440" Type="http://schemas.openxmlformats.org/officeDocument/2006/relationships/hyperlink" Target="https://www.youtube.com/watch?v=X0EV8Rbpg2s" TargetMode="External"/><Relationship Id="rId678" Type="http://schemas.openxmlformats.org/officeDocument/2006/relationships/hyperlink" Target="http://www.oas.org/en/iachr/afro-descendants/docs/pdf/AFROS_2011_ENG.pdf" TargetMode="External"/><Relationship Id="rId28" Type="http://schemas.openxmlformats.org/officeDocument/2006/relationships/hyperlink" Target="http://www.oas.org/en/iachr/reports/pdfs/Towards-Closure-Guantanamo.pdf" TargetMode="External"/><Relationship Id="rId275" Type="http://schemas.openxmlformats.org/officeDocument/2006/relationships/hyperlink" Target="http://www.cnn.com/2017/05/03/us/alton-sterling-doj-death-investigation/index.html" TargetMode="External"/><Relationship Id="rId300" Type="http://schemas.openxmlformats.org/officeDocument/2006/relationships/hyperlink" Target="http://rfkhumanrights.org/media/filer_public/7d/84/7d8409c1-588f-4163-b552-1f6428e685db/iachr_thematic_hearing_submission_-_excessive_use_of_force_by_police_against_black_americans.pdf" TargetMode="External"/><Relationship Id="rId482" Type="http://schemas.openxmlformats.org/officeDocument/2006/relationships/hyperlink" Target="https://www.youtube.com/watch?v=ieGOtPqlHLM&amp;feature=youtu.be" TargetMode="External"/><Relationship Id="rId538" Type="http://schemas.openxmlformats.org/officeDocument/2006/relationships/hyperlink" Target="https://www.cidh.oas.org/annualrep/2006sp/cap4d.2006.sp.htm" TargetMode="External"/><Relationship Id="rId703" Type="http://schemas.openxmlformats.org/officeDocument/2006/relationships/hyperlink" Target="http://www.oas.org/en/iachr/reports/pdfs/right-to-truth-en.pdf" TargetMode="External"/><Relationship Id="rId81" Type="http://schemas.openxmlformats.org/officeDocument/2006/relationships/hyperlink" Target="http://www.oas.org/en/iachr/afro-descendants/docs/pdf/AFROS_2011_ENG.pdf" TargetMode="External"/><Relationship Id="rId135" Type="http://schemas.openxmlformats.org/officeDocument/2006/relationships/hyperlink" Target="https://www.newyorker.com/magazine/2016/10/10/the-widening-racial-wealth-divide" TargetMode="External"/><Relationship Id="rId177" Type="http://schemas.openxmlformats.org/officeDocument/2006/relationships/hyperlink" Target="https://ssrn.com/abstract=743284" TargetMode="External"/><Relationship Id="rId342" Type="http://schemas.openxmlformats.org/officeDocument/2006/relationships/hyperlink" Target="http://www.app.com/story/news/investigations/2014/11/18/racial-arrest-disparity-nj/19247461/" TargetMode="External"/><Relationship Id="rId384" Type="http://schemas.openxmlformats.org/officeDocument/2006/relationships/hyperlink" Target="https://documents-dds-ny.un.org/doc/UNDOC/GEN/G16/183/30/PDF/G1618330.pdf?OpenElement" TargetMode="External"/><Relationship Id="rId591" Type="http://schemas.openxmlformats.org/officeDocument/2006/relationships/hyperlink" Target="https://www.bjs.gov/content/pub/pdf/csllea08.pdf" TargetMode="External"/><Relationship Id="rId605" Type="http://schemas.openxmlformats.org/officeDocument/2006/relationships/hyperlink" Target="http://www.oas.org/en/iachr/docs/annual/2015/doc-en/InformeAnual2015-cap4A-fuerza-EN.pdf" TargetMode="External"/><Relationship Id="rId202" Type="http://schemas.openxmlformats.org/officeDocument/2006/relationships/hyperlink" Target="http://ohchr.org/EN/NewsEvents/Pages/DisplayNews.aspx?NewsID=22533&amp;LangID=E" TargetMode="External"/><Relationship Id="rId244" Type="http://schemas.openxmlformats.org/officeDocument/2006/relationships/hyperlink" Target="http://www.slate.com/articles/news_and_politics/jurisprudence/2017/02/an_interview_with_deepak_gupta_the_attorney_in_hernandez_v_mesa.html" TargetMode="External"/><Relationship Id="rId647" Type="http://schemas.openxmlformats.org/officeDocument/2006/relationships/hyperlink" Target="http://www.oas.org/en/iachr/media_center/preleases/2015/118.asp" TargetMode="External"/><Relationship Id="rId689" Type="http://schemas.openxmlformats.org/officeDocument/2006/relationships/hyperlink" Target="http://www.oas.org/en/iachr/reports/pdfs/right-to-truth-en.pdf" TargetMode="External"/><Relationship Id="rId39" Type="http://schemas.openxmlformats.org/officeDocument/2006/relationships/hyperlink" Target="http://www.cidh.oas.org/annualrep/2006eng/CUBA.12476eng.htm" TargetMode="External"/><Relationship Id="rId286" Type="http://schemas.openxmlformats.org/officeDocument/2006/relationships/hyperlink" Target="http://www.washingtonpost.com/sf/investigative/2015/04/11/thousands-dead-fewprosecuted/?utm_term=.90c3d610122a" TargetMode="External"/><Relationship Id="rId451" Type="http://schemas.openxmlformats.org/officeDocument/2006/relationships/hyperlink" Target="http://www.treatmentadvocacycenter.org/overlooked-in-the-undercounted" TargetMode="External"/><Relationship Id="rId493" Type="http://schemas.openxmlformats.org/officeDocument/2006/relationships/hyperlink" Target="https://www.nytimes.com/2017/11/21/us/trump-justice-department-police.html" TargetMode="External"/><Relationship Id="rId507" Type="http://schemas.openxmlformats.org/officeDocument/2006/relationships/hyperlink" Target="https://www.washingtonpost.com/world/national-security/justice-dept-to-announce-new-rules-to-curb-racial-profiling-by-federal-law-enforcement/2014/12/07/e00eca18-7e79-11e4-9f38-95a187e4c1f7_story.html?utm_term=.ef5e86ff32a5" TargetMode="External"/><Relationship Id="rId549" Type="http://schemas.openxmlformats.org/officeDocument/2006/relationships/hyperlink" Target="http://www.ohchr.org/EN/ProfessionalInterest/Pages/LawEnforcementOfficials.aspx" TargetMode="External"/><Relationship Id="rId50" Type="http://schemas.openxmlformats.org/officeDocument/2006/relationships/hyperlink" Target="http://cidh.org/annualrep/2002eng/USA.11140.htm" TargetMode="External"/><Relationship Id="rId104" Type="http://schemas.openxmlformats.org/officeDocument/2006/relationships/hyperlink" Target="http://www.oas.org/en/iachr/afro-descendants/docs/pdf/AFROS_2011_ENG.pdf" TargetMode="External"/><Relationship Id="rId146" Type="http://schemas.openxmlformats.org/officeDocument/2006/relationships/hyperlink" Target="https://www.bjs.gov/index.cfm?ty=pbdetail&amp;iid=6187" TargetMode="External"/><Relationship Id="rId188" Type="http://schemas.openxmlformats.org/officeDocument/2006/relationships/hyperlink" Target="https://www.npr.org/sections/thetwo-way/2016/11/15/502193667/lapd-report-finds-racial-disparity-in-approval-and-trust-of-police" TargetMode="External"/><Relationship Id="rId311" Type="http://schemas.openxmlformats.org/officeDocument/2006/relationships/hyperlink" Target="http://www.ohchr.org/EN/HRBodies/HRC/RegularSessions/Session35/Documents/A_HRC_35_28_Add.2_AEV.docx" TargetMode="External"/><Relationship Id="rId353" Type="http://schemas.openxmlformats.org/officeDocument/2006/relationships/hyperlink" Target="https://www.state.gov/documents/organization/235641.pdf" TargetMode="External"/><Relationship Id="rId395" Type="http://schemas.openxmlformats.org/officeDocument/2006/relationships/hyperlink" Target="http://www.oas.org/en/iachr/media_center/PReleases/2016/077.asp" TargetMode="External"/><Relationship Id="rId409" Type="http://schemas.openxmlformats.org/officeDocument/2006/relationships/hyperlink" Target="https://www.vox.com/identities/2017/4/10/15183902/hate-crime-trump-law" TargetMode="External"/><Relationship Id="rId560" Type="http://schemas.openxmlformats.org/officeDocument/2006/relationships/hyperlink" Target="http://www.oas.org/en/iachr/docs/pdf/citizensec.pdf" TargetMode="External"/><Relationship Id="rId92" Type="http://schemas.openxmlformats.org/officeDocument/2006/relationships/hyperlink" Target="https://www.state.gov/documents/organization/235641.pdf" TargetMode="External"/><Relationship Id="rId213" Type="http://schemas.openxmlformats.org/officeDocument/2006/relationships/hyperlink" Target="https://www.aclu.org/blog/criminal-law-reform/reforming-police-practices/trump-just-gave-thousands-bayonets-and-hundreds" TargetMode="External"/><Relationship Id="rId420" Type="http://schemas.openxmlformats.org/officeDocument/2006/relationships/hyperlink" Target="https://www.nytimes.com/2017/08/25/us/charlottesville-protest-police.html" TargetMode="External"/><Relationship Id="rId616" Type="http://schemas.openxmlformats.org/officeDocument/2006/relationships/hyperlink" Target="http://www.oas.org/en/iachr/migrants/docs/pdf/Report-Migrants-Mexico-2013.pdf" TargetMode="External"/><Relationship Id="rId658" Type="http://schemas.openxmlformats.org/officeDocument/2006/relationships/hyperlink" Target="http://www.oas.org/en/iachr/docs/annual/2015/doc-en/InformeAnual2015-cap4A-fuerza-EN.pdf" TargetMode="External"/><Relationship Id="rId255" Type="http://schemas.openxmlformats.org/officeDocument/2006/relationships/hyperlink" Target="https://www.nytimes.com/2018/03/30/us/stephon-clark-independent-autopsy.html" TargetMode="External"/><Relationship Id="rId297" Type="http://schemas.openxmlformats.org/officeDocument/2006/relationships/hyperlink" Target="https://storage.googleapis.com/vera-web-assets/downloads/Publications/civilian-oversight-of-policing-lessons-from-the-literature/legacy_downloads/Civilian_oversight.pdf" TargetMode="External"/><Relationship Id="rId462" Type="http://schemas.openxmlformats.org/officeDocument/2006/relationships/hyperlink" Target="http://www.oas.org/en/iachr/media_center/PReleases/2014/134.asp" TargetMode="External"/><Relationship Id="rId518" Type="http://schemas.openxmlformats.org/officeDocument/2006/relationships/hyperlink" Target="http://www.oas.org/en/iachr/afro-descendants/docs/pdf/AFROS_2011_ENG.pdf" TargetMode="External"/><Relationship Id="rId115" Type="http://schemas.openxmlformats.org/officeDocument/2006/relationships/hyperlink" Target="http://oyc.yale.edu/history/hist-119" TargetMode="External"/><Relationship Id="rId157" Type="http://schemas.openxmlformats.org/officeDocument/2006/relationships/hyperlink" Target="http://www.oas.org/en/iachr/media_center/preleases/2014/090.asp" TargetMode="External"/><Relationship Id="rId322" Type="http://schemas.openxmlformats.org/officeDocument/2006/relationships/hyperlink" Target="http://www.oas.org/en/iachr/docs/annual/2015/doc-en/InformeAnual2015-cap4A-fuerza-EN.pdf" TargetMode="External"/><Relationship Id="rId364" Type="http://schemas.openxmlformats.org/officeDocument/2006/relationships/hyperlink" Target="http://tbinternet.ohchr.org/_layouts/treatybodyexternal/Download.aspx?symbolno=CERD%2fC%2fUSA%2fCO%2f7-9&amp;Lang=en" TargetMode="External"/><Relationship Id="rId61" Type="http://schemas.openxmlformats.org/officeDocument/2006/relationships/hyperlink" Target="http://www.oas.org/en/iachr/afro-descendants/docs/pdf/AFROS_2011_ENG.pdf" TargetMode="External"/><Relationship Id="rId199" Type="http://schemas.openxmlformats.org/officeDocument/2006/relationships/hyperlink" Target="https://www.justice.gov/opa/pr/justice-department-announces-findings-two-civil-rights-investigations-ferguson-missouri" TargetMode="External"/><Relationship Id="rId571" Type="http://schemas.openxmlformats.org/officeDocument/2006/relationships/hyperlink" Target="http://www.un.org/documents/ga/docs/50/plenary/a50-40.htm" TargetMode="External"/><Relationship Id="rId627" Type="http://schemas.openxmlformats.org/officeDocument/2006/relationships/hyperlink" Target="http://www.oas.org/en/iachr/media_center/preleases/2015/040.asp" TargetMode="External"/><Relationship Id="rId669" Type="http://schemas.openxmlformats.org/officeDocument/2006/relationships/hyperlink" Target="http://cidh.org/annualrep/2004eng/Belize.12053eng.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6E09-67F3-460D-8C73-133A4BB2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45373</Words>
  <Characters>243200</Characters>
  <Application>Microsoft Office Word</Application>
  <DocSecurity>0</DocSecurity>
  <Lines>5286</Lines>
  <Paragraphs>2137</Paragraphs>
  <ScaleCrop>false</ScaleCrop>
  <HeadingPairs>
    <vt:vector size="2" baseType="variant">
      <vt:variant>
        <vt:lpstr>Title</vt:lpstr>
      </vt:variant>
      <vt:variant>
        <vt:i4>1</vt:i4>
      </vt:variant>
    </vt:vector>
  </HeadingPairs>
  <TitlesOfParts>
    <vt:vector size="1" baseType="lpstr">
      <vt:lpstr>African Americans, Police Use of Force, and Human Rights in the United States</vt:lpstr>
    </vt:vector>
  </TitlesOfParts>
  <LinksUpToDate>false</LinksUpToDate>
  <CharactersWithSpaces>286436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Americans, Police Use of Force, and Human Rights in the United States</dc:title>
  <dc:creator/>
  <cp:lastModifiedBy/>
  <cp:revision>1</cp:revision>
  <dcterms:created xsi:type="dcterms:W3CDTF">2018-06-25T15:09:00Z</dcterms:created>
  <dcterms:modified xsi:type="dcterms:W3CDTF">2018-12-18T13:26:00Z</dcterms:modified>
</cp:coreProperties>
</file>