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458B" w:rsidRDefault="0031458B">
      <w:pPr>
        <w:rPr>
          <w:lang w:val="es-ES"/>
        </w:rPr>
      </w:pPr>
      <w:r>
        <w:rPr>
          <w:lang w:val="es-ES"/>
        </w:rPr>
        <w:t xml:space="preserve">Buenos días, </w:t>
      </w:r>
    </w:p>
    <w:p w:rsidR="0031458B" w:rsidRDefault="00CF3421" w:rsidP="004F1048">
      <w:pPr>
        <w:jc w:val="both"/>
        <w:rPr>
          <w:lang w:val="es-ES"/>
        </w:rPr>
      </w:pPr>
      <w:r>
        <w:rPr>
          <w:lang w:val="es-ES"/>
        </w:rPr>
        <w:t>Para situar esta presentación, empezaré por decirles que</w:t>
      </w:r>
      <w:r w:rsidR="0031458B">
        <w:rPr>
          <w:lang w:val="es-ES"/>
        </w:rPr>
        <w:t xml:space="preserve"> la Ley Modelo sobre Paridad se </w:t>
      </w:r>
      <w:r w:rsidR="004F1048">
        <w:rPr>
          <w:lang w:val="es-ES"/>
        </w:rPr>
        <w:t>enmarca en dos acuerdos del Comité Directivo de la CIM, uno sobre la ley modelo de paridad y otro sobre la ley modelo de violencia política. En estos acuerd</w:t>
      </w:r>
      <w:r>
        <w:rPr>
          <w:lang w:val="es-ES"/>
        </w:rPr>
        <w:t>os</w:t>
      </w:r>
      <w:r w:rsidR="004F1048">
        <w:rPr>
          <w:lang w:val="es-ES"/>
        </w:rPr>
        <w:t>, el de paridad tomado en el 2014 y el de violencia política en el 2015, el Comité encargó a la Secretaria de la CIM avanzar en estos trabajos y representar los resultados en el marco de esta Asamblea.</w:t>
      </w:r>
      <w:r w:rsidR="00F0532E">
        <w:rPr>
          <w:lang w:val="es-ES"/>
        </w:rPr>
        <w:t xml:space="preserve"> El tema de la violencia política es el ámbito en el que más hemos avanzado, y en ese sentido, es importante resaltar que tambié</w:t>
      </w:r>
      <w:r w:rsidR="00CF4DBB">
        <w:rPr>
          <w:lang w:val="es-ES"/>
        </w:rPr>
        <w:t>n la VII Conferencia de Est</w:t>
      </w:r>
      <w:r w:rsidR="00F0532E">
        <w:rPr>
          <w:lang w:val="es-ES"/>
        </w:rPr>
        <w:t>ados Parte de la Convención de B</w:t>
      </w:r>
      <w:r w:rsidR="00CF4DBB">
        <w:rPr>
          <w:lang w:val="es-ES"/>
        </w:rPr>
        <w:t>elem do Para, celebrada aquí en Lima en octubre pasado acordó avanzar en la elaboración de la ley modelo de violencia política, entonces los avances que se han hecho en este ámbito han sido fruto de un esfuerzo conjunto de</w:t>
      </w:r>
      <w:r w:rsidR="00F0532E">
        <w:rPr>
          <w:lang w:val="es-ES"/>
        </w:rPr>
        <w:t>l MESECVI y del</w:t>
      </w:r>
      <w:r w:rsidR="00CF4DBB">
        <w:rPr>
          <w:lang w:val="es-ES"/>
        </w:rPr>
        <w:t xml:space="preserve"> área de participación política de la C</w:t>
      </w:r>
      <w:r w:rsidR="00F0532E">
        <w:rPr>
          <w:lang w:val="es-ES"/>
        </w:rPr>
        <w:t>IM.</w:t>
      </w:r>
    </w:p>
    <w:p w:rsidR="00F0532E" w:rsidRDefault="00F0532E" w:rsidP="004F1048">
      <w:pPr>
        <w:jc w:val="both"/>
        <w:rPr>
          <w:lang w:val="es-ES"/>
        </w:rPr>
      </w:pPr>
      <w:r>
        <w:rPr>
          <w:lang w:val="es-ES"/>
        </w:rPr>
        <w:t>En la presentación me voy a referir a 4 aspectos:</w:t>
      </w:r>
    </w:p>
    <w:p w:rsidR="00F0532E" w:rsidRDefault="00F0532E" w:rsidP="004F1048">
      <w:pPr>
        <w:jc w:val="both"/>
        <w:rPr>
          <w:lang w:val="es-ES"/>
        </w:rPr>
      </w:pPr>
      <w:r>
        <w:rPr>
          <w:lang w:val="es-ES"/>
        </w:rPr>
        <w:t>En primer lugar, me voy a referir al marco en el que se encuadra la elaboración de esta iniciativa</w:t>
      </w:r>
    </w:p>
    <w:p w:rsidR="00F0532E" w:rsidRDefault="00F0532E" w:rsidP="004F1048">
      <w:pPr>
        <w:jc w:val="both"/>
        <w:rPr>
          <w:lang w:val="es-ES"/>
        </w:rPr>
      </w:pPr>
      <w:r>
        <w:rPr>
          <w:lang w:val="es-ES"/>
        </w:rPr>
        <w:t>En segundo lugar, voy a presentar los principales elementos del diagnóstico que hemos elaborado en el marco de esta iniciativa</w:t>
      </w:r>
    </w:p>
    <w:p w:rsidR="00F0532E" w:rsidRDefault="00F0532E" w:rsidP="004F1048">
      <w:pPr>
        <w:jc w:val="both"/>
        <w:rPr>
          <w:lang w:val="es-ES"/>
        </w:rPr>
      </w:pPr>
      <w:r>
        <w:rPr>
          <w:lang w:val="es-ES"/>
        </w:rPr>
        <w:t>En tercer lugar, voy a presentarles cual es la visión que estamos proponiendo sobre paridad</w:t>
      </w:r>
    </w:p>
    <w:p w:rsidR="00F0532E" w:rsidRDefault="00F0532E" w:rsidP="004F1048">
      <w:pPr>
        <w:jc w:val="both"/>
        <w:rPr>
          <w:lang w:val="es-ES"/>
        </w:rPr>
      </w:pPr>
      <w:r>
        <w:rPr>
          <w:lang w:val="es-ES"/>
        </w:rPr>
        <w:t>En cuarto lugar, me referiré a los temas que va a incluir la ley modelo sobre paridad</w:t>
      </w:r>
    </w:p>
    <w:p w:rsidR="00F0532E" w:rsidRDefault="00F0532E" w:rsidP="004F1048">
      <w:pPr>
        <w:jc w:val="both"/>
        <w:rPr>
          <w:lang w:val="es-ES"/>
        </w:rPr>
      </w:pPr>
      <w:r>
        <w:rPr>
          <w:lang w:val="es-ES"/>
        </w:rPr>
        <w:t>Y para finalizar, mencionaré los pasos más importantes que seguirá el proceso de elaboración y aprobación de la Ley Modelo.</w:t>
      </w:r>
    </w:p>
    <w:p w:rsidR="00274693" w:rsidRDefault="00274693" w:rsidP="00274693">
      <w:pPr>
        <w:jc w:val="both"/>
        <w:rPr>
          <w:lang w:val="es-ES"/>
        </w:rPr>
      </w:pPr>
      <w:r>
        <w:rPr>
          <w:lang w:val="es-ES"/>
        </w:rPr>
        <w:t xml:space="preserve">Empezamos entonces por los antecedentes.  En primer lugar, debemos referirnos al marco jurídico internacional e interamericano que ampara este trabajo, principalmente nos referimos a la CEDAW y a la Convención Belem do Para, y a los trabajos que desarrolla tanto el Comité CEDAW como el MESECVI y el CEVI, el Comité de expertas, que hemos tenido en cuenta para este trabajo. Asimismo, </w:t>
      </w:r>
      <w:r w:rsidR="00CE5D3D">
        <w:rPr>
          <w:lang w:val="es-ES"/>
        </w:rPr>
        <w:t xml:space="preserve">en el plano de los acuerdos políticos, </w:t>
      </w:r>
      <w:r>
        <w:rPr>
          <w:lang w:val="es-ES"/>
        </w:rPr>
        <w:t xml:space="preserve">es importante también </w:t>
      </w:r>
      <w:r w:rsidR="00CE5D3D">
        <w:rPr>
          <w:lang w:val="es-ES"/>
        </w:rPr>
        <w:t xml:space="preserve">tener en cuenta </w:t>
      </w:r>
      <w:r>
        <w:rPr>
          <w:lang w:val="es-ES"/>
        </w:rPr>
        <w:t xml:space="preserve">el referente de los Consensos Regionales de la CEPAL, y los esfuerzos de ONU Mujeres que recientemente promovió la adopción por el </w:t>
      </w:r>
      <w:proofErr w:type="spellStart"/>
      <w:r>
        <w:rPr>
          <w:lang w:val="es-ES"/>
        </w:rPr>
        <w:t>Parlatino</w:t>
      </w:r>
      <w:proofErr w:type="spellEnd"/>
      <w:r>
        <w:rPr>
          <w:lang w:val="es-ES"/>
        </w:rPr>
        <w:t xml:space="preserve"> de una norma marco sobre paridad. </w:t>
      </w:r>
      <w:r w:rsidR="00B176F4">
        <w:rPr>
          <w:lang w:val="es-ES"/>
        </w:rPr>
        <w:t>Los avances en las legislaciones nacionales son una referencia también igualmente importante en este trabajo, después me referiré a algunos de ellos.</w:t>
      </w:r>
    </w:p>
    <w:p w:rsidR="00E96AA8" w:rsidRDefault="00B176F4" w:rsidP="00274693">
      <w:pPr>
        <w:jc w:val="both"/>
        <w:rPr>
          <w:lang w:val="es-ES"/>
        </w:rPr>
      </w:pPr>
      <w:r>
        <w:rPr>
          <w:lang w:val="es-ES"/>
        </w:rPr>
        <w:t xml:space="preserve">Tal y como mencionaban ayer tanto la Ministra Alejandra Mora, como la Ministra Marcela </w:t>
      </w:r>
      <w:proofErr w:type="spellStart"/>
      <w:r>
        <w:rPr>
          <w:lang w:val="es-ES"/>
        </w:rPr>
        <w:t>Huaita</w:t>
      </w:r>
      <w:proofErr w:type="spellEnd"/>
      <w:r>
        <w:rPr>
          <w:lang w:val="es-ES"/>
        </w:rPr>
        <w:t xml:space="preserve">, </w:t>
      </w:r>
    </w:p>
    <w:p w:rsidR="00E96AA8" w:rsidRDefault="00076CE8" w:rsidP="00E96AA8">
      <w:pPr>
        <w:pStyle w:val="ListParagraph"/>
        <w:numPr>
          <w:ilvl w:val="0"/>
          <w:numId w:val="1"/>
        </w:numPr>
        <w:jc w:val="both"/>
        <w:rPr>
          <w:lang w:val="es-ES"/>
        </w:rPr>
      </w:pPr>
      <w:r>
        <w:rPr>
          <w:lang w:val="es-ES"/>
        </w:rPr>
        <w:t>H</w:t>
      </w:r>
      <w:r w:rsidR="00B176F4" w:rsidRPr="00E96AA8">
        <w:rPr>
          <w:lang w:val="es-ES"/>
        </w:rPr>
        <w:t>istóricamente la CIM ha tenido un papel</w:t>
      </w:r>
      <w:r w:rsidR="00E96AA8" w:rsidRPr="00E96AA8">
        <w:rPr>
          <w:lang w:val="es-ES"/>
        </w:rPr>
        <w:t xml:space="preserve"> crucial en el reconocimiento jurídico de</w:t>
      </w:r>
      <w:r w:rsidR="00B176F4" w:rsidRPr="00E96AA8">
        <w:rPr>
          <w:lang w:val="es-ES"/>
        </w:rPr>
        <w:t xml:space="preserve"> los derechos políticos de las mujeres. Esto es importante además en un momento en que todas las organizaciones están buscando cuáles son sus ventajas comparativas, entonces en ese sentido es importante tener en cuenta este rol histórico de la CIM y </w:t>
      </w:r>
    </w:p>
    <w:p w:rsidR="00E96AA8" w:rsidRDefault="00076CE8" w:rsidP="00E96AA8">
      <w:pPr>
        <w:pStyle w:val="ListParagraph"/>
        <w:numPr>
          <w:ilvl w:val="0"/>
          <w:numId w:val="1"/>
        </w:numPr>
        <w:jc w:val="both"/>
        <w:rPr>
          <w:lang w:val="es-ES"/>
        </w:rPr>
      </w:pPr>
      <w:r>
        <w:rPr>
          <w:lang w:val="es-ES"/>
        </w:rPr>
        <w:t>T</w:t>
      </w:r>
      <w:r w:rsidR="00B176F4" w:rsidRPr="00E96AA8">
        <w:rPr>
          <w:lang w:val="es-ES"/>
        </w:rPr>
        <w:t>ambién que uno de los 4 pilares que estructura el trabajo de la OEA es el pilar de la democracia</w:t>
      </w:r>
      <w:r w:rsidR="00E96AA8" w:rsidRPr="00E96AA8">
        <w:rPr>
          <w:lang w:val="es-ES"/>
        </w:rPr>
        <w:t>.</w:t>
      </w:r>
    </w:p>
    <w:p w:rsidR="00C34139" w:rsidRPr="00E96AA8" w:rsidRDefault="00E96AA8" w:rsidP="00291C98">
      <w:pPr>
        <w:pStyle w:val="ListParagraph"/>
        <w:numPr>
          <w:ilvl w:val="0"/>
          <w:numId w:val="1"/>
        </w:numPr>
        <w:jc w:val="both"/>
        <w:rPr>
          <w:lang w:val="es-ES"/>
        </w:rPr>
      </w:pPr>
      <w:r w:rsidRPr="00E96AA8">
        <w:rPr>
          <w:lang w:val="es-ES"/>
        </w:rPr>
        <w:t xml:space="preserve">Además, </w:t>
      </w:r>
      <w:r w:rsidR="00274693" w:rsidRPr="00E96AA8">
        <w:rPr>
          <w:lang w:val="es-ES"/>
        </w:rPr>
        <w:t xml:space="preserve">tal y como </w:t>
      </w:r>
      <w:r w:rsidR="00A242F2" w:rsidRPr="00E96AA8">
        <w:rPr>
          <w:lang w:val="es-ES"/>
        </w:rPr>
        <w:t xml:space="preserve">resaltaba ayer </w:t>
      </w:r>
      <w:r w:rsidR="00274693" w:rsidRPr="00E96AA8">
        <w:rPr>
          <w:lang w:val="es-ES"/>
        </w:rPr>
        <w:t xml:space="preserve">la Ministra </w:t>
      </w:r>
      <w:r w:rsidR="00A242F2" w:rsidRPr="00E96AA8">
        <w:rPr>
          <w:lang w:val="es-ES"/>
        </w:rPr>
        <w:t xml:space="preserve">Alejandra </w:t>
      </w:r>
      <w:r w:rsidR="00274693" w:rsidRPr="00E96AA8">
        <w:rPr>
          <w:lang w:val="es-ES"/>
        </w:rPr>
        <w:t>M</w:t>
      </w:r>
      <w:r w:rsidR="00A242F2" w:rsidRPr="00E96AA8">
        <w:rPr>
          <w:lang w:val="es-ES"/>
        </w:rPr>
        <w:t>ora el d</w:t>
      </w:r>
      <w:r w:rsidR="0095213B" w:rsidRPr="00E96AA8">
        <w:rPr>
          <w:lang w:val="es-ES"/>
        </w:rPr>
        <w:t>erecho internacional de los derechos humanos como motor de cambio, para avanzar con menos ataduras que en el nivel nacional</w:t>
      </w:r>
      <w:r w:rsidR="003F7D2C" w:rsidRPr="00E96AA8">
        <w:rPr>
          <w:lang w:val="es-ES"/>
        </w:rPr>
        <w:t>.</w:t>
      </w:r>
      <w:r w:rsidR="00A242F2" w:rsidRPr="00E96AA8">
        <w:rPr>
          <w:lang w:val="es-ES"/>
        </w:rPr>
        <w:t xml:space="preserve"> Las leyes modelo son un instrumento de trabajo que la OEA ha venido utilizando</w:t>
      </w:r>
      <w:r w:rsidR="000E7B00">
        <w:rPr>
          <w:lang w:val="es-ES"/>
        </w:rPr>
        <w:t xml:space="preserve"> la OEA </w:t>
      </w:r>
      <w:r w:rsidR="0038010A">
        <w:rPr>
          <w:lang w:val="es-ES"/>
        </w:rPr>
        <w:t xml:space="preserve">y que ha aplicado a </w:t>
      </w:r>
      <w:r w:rsidR="000E7B00">
        <w:rPr>
          <w:lang w:val="es-ES"/>
        </w:rPr>
        <w:t xml:space="preserve">diferentes temáticas, </w:t>
      </w:r>
      <w:r w:rsidR="00A242F2" w:rsidRPr="00E96AA8">
        <w:rPr>
          <w:lang w:val="es-ES"/>
        </w:rPr>
        <w:t>y cuya característica principal es una herramienta técnica que reúne los estándares más altos en el tema que se aborda.</w:t>
      </w:r>
    </w:p>
    <w:p w:rsidR="003F7D2C" w:rsidRDefault="003F0D40" w:rsidP="003F0D40">
      <w:pPr>
        <w:jc w:val="both"/>
        <w:rPr>
          <w:lang w:val="es-ES"/>
        </w:rPr>
      </w:pPr>
      <w:r>
        <w:rPr>
          <w:lang w:val="es-ES"/>
        </w:rPr>
        <w:lastRenderedPageBreak/>
        <w:t xml:space="preserve">Ya en el marco de los trabajos más recientes de la CIM, esta iniciativa se enmarca en el proceso que se inició para revisar y reelaborar una propuesta hemisférica sobre democracia a partir de los trabajos que desarrollaron conjuntamente OEA y PNUD sobre democracia y en el que no habían considerado los derechos de las mujeres. Como seguramente recuerdan, entre otras actuaciones, se impulsó la creación de un Grupo de Trabajo del que formaron parte más de 15 expertas de la región, </w:t>
      </w:r>
      <w:r w:rsidR="00AC1798">
        <w:rPr>
          <w:lang w:val="es-ES"/>
        </w:rPr>
        <w:t xml:space="preserve">y cuyo trabajo culminó en la elaboración del informe “La ciudadanía de las mujeres para la democracia de las Américas”. Hoy nos acompaña aquí Line </w:t>
      </w:r>
      <w:proofErr w:type="spellStart"/>
      <w:r w:rsidR="00AC1798">
        <w:rPr>
          <w:lang w:val="es-ES"/>
        </w:rPr>
        <w:t>Bareiro</w:t>
      </w:r>
      <w:proofErr w:type="spellEnd"/>
      <w:r w:rsidR="00AC1798">
        <w:rPr>
          <w:lang w:val="es-ES"/>
        </w:rPr>
        <w:t xml:space="preserve">, que es una de las integrantes del grupo y </w:t>
      </w:r>
      <w:proofErr w:type="spellStart"/>
      <w:r w:rsidR="00AC1798">
        <w:rPr>
          <w:lang w:val="es-ES"/>
        </w:rPr>
        <w:t>co</w:t>
      </w:r>
      <w:proofErr w:type="spellEnd"/>
      <w:r w:rsidR="00AC1798">
        <w:rPr>
          <w:lang w:val="es-ES"/>
        </w:rPr>
        <w:t>-autora del informe.</w:t>
      </w:r>
    </w:p>
    <w:p w:rsidR="00992259" w:rsidRDefault="00992259" w:rsidP="003F0D40">
      <w:pPr>
        <w:jc w:val="both"/>
        <w:rPr>
          <w:lang w:val="es-ES"/>
        </w:rPr>
      </w:pPr>
      <w:r>
        <w:rPr>
          <w:lang w:val="es-ES"/>
        </w:rPr>
        <w:t>Esos esfuerzos desembocan la propuesta para elaborar una Ley Modelo Interamericana sobre paridad y violencia política que se formalizan en los acuerdos del Comité Directivo de la CIM y de la Conferencia de Estados Parte, en 2014 y 2015, como antes he mencionado.</w:t>
      </w:r>
    </w:p>
    <w:p w:rsidR="00992259" w:rsidRPr="00C53380" w:rsidRDefault="00992259" w:rsidP="003F0D40">
      <w:pPr>
        <w:jc w:val="both"/>
        <w:rPr>
          <w:b/>
          <w:lang w:val="es-ES"/>
        </w:rPr>
      </w:pPr>
      <w:r w:rsidRPr="00C53380">
        <w:rPr>
          <w:b/>
          <w:lang w:val="es-ES"/>
        </w:rPr>
        <w:t xml:space="preserve">DIAPO </w:t>
      </w:r>
      <w:r w:rsidR="004D1C13" w:rsidRPr="00C53380">
        <w:rPr>
          <w:b/>
          <w:lang w:val="es-ES"/>
        </w:rPr>
        <w:t>3</w:t>
      </w:r>
    </w:p>
    <w:p w:rsidR="004D1C13" w:rsidRDefault="004D1C13" w:rsidP="003F0D40">
      <w:pPr>
        <w:jc w:val="both"/>
        <w:rPr>
          <w:lang w:val="es-ES"/>
        </w:rPr>
      </w:pPr>
      <w:r>
        <w:rPr>
          <w:lang w:val="es-ES"/>
        </w:rPr>
        <w:t>¿Cuáles son los elementos de diagnóstico que queremos resaltar aquí?</w:t>
      </w:r>
      <w:r w:rsidR="00B77C2C">
        <w:rPr>
          <w:lang w:val="es-ES"/>
        </w:rPr>
        <w:t xml:space="preserve"> En primer lugar, la constatación de que </w:t>
      </w:r>
      <w:r w:rsidR="008451FF">
        <w:rPr>
          <w:lang w:val="es-ES"/>
        </w:rPr>
        <w:t>persiste la exclusión de las mujeres en todos los ámbitos de la vida pública. El indicador que tomamos en cuenta es que las mujeres son el 50% de la población</w:t>
      </w:r>
      <w:r w:rsidR="005A60E1">
        <w:rPr>
          <w:lang w:val="es-ES"/>
        </w:rPr>
        <w:t xml:space="preserve"> y del padrón electoral</w:t>
      </w:r>
      <w:r w:rsidR="008451FF">
        <w:rPr>
          <w:lang w:val="es-ES"/>
        </w:rPr>
        <w:t>. Y aunque, por ejemplo</w:t>
      </w:r>
      <w:r w:rsidR="00766F9B">
        <w:rPr>
          <w:lang w:val="es-ES"/>
        </w:rPr>
        <w:t>,</w:t>
      </w:r>
      <w:r w:rsidR="008451FF">
        <w:rPr>
          <w:lang w:val="es-ES"/>
        </w:rPr>
        <w:t xml:space="preserve"> la presencia de mujeres en los parlamentos </w:t>
      </w:r>
      <w:r w:rsidR="005A60E1">
        <w:rPr>
          <w:lang w:val="es-ES"/>
        </w:rPr>
        <w:t xml:space="preserve">se ha incrementado significativamente en los últimos anos, y según los últimos datos de la IPU el promedio de mujeres en las cámaras bajas es del 27,7%, todavía está lejos de lograr ese 50% que debe ser la meta. </w:t>
      </w:r>
      <w:r w:rsidR="004D6413">
        <w:rPr>
          <w:lang w:val="es-ES"/>
        </w:rPr>
        <w:t xml:space="preserve">El promedio de mujeres en los gabinetes ministeriales en </w:t>
      </w:r>
      <w:r w:rsidR="00766F9B">
        <w:rPr>
          <w:lang w:val="es-ES"/>
        </w:rPr>
        <w:t>América</w:t>
      </w:r>
      <w:r w:rsidR="004D6413">
        <w:rPr>
          <w:lang w:val="es-ES"/>
        </w:rPr>
        <w:t xml:space="preserve"> Latina fue en 2015 del 21,90%, de acuerdo a datos de la IPU y ONU Mujeres. En el ámbito local, lo decía ayer la Ministra </w:t>
      </w:r>
      <w:proofErr w:type="spellStart"/>
      <w:r w:rsidR="004D6413">
        <w:rPr>
          <w:lang w:val="es-ES"/>
        </w:rPr>
        <w:t>Huaita</w:t>
      </w:r>
      <w:proofErr w:type="spellEnd"/>
      <w:r w:rsidR="004D6413">
        <w:rPr>
          <w:lang w:val="es-ES"/>
        </w:rPr>
        <w:t xml:space="preserve">, es muy bajo, al entorno de un 12%. </w:t>
      </w:r>
      <w:r w:rsidR="00C53380">
        <w:rPr>
          <w:lang w:val="es-ES"/>
        </w:rPr>
        <w:t>Hemos mirado otros datos también dentro del ejecutivo, por ejemplo, la presencia de mujeres en las empresas públicas</w:t>
      </w:r>
      <w:r w:rsidR="004D0AD7">
        <w:rPr>
          <w:lang w:val="es-ES"/>
        </w:rPr>
        <w:t>,</w:t>
      </w:r>
      <w:r w:rsidR="00C53380">
        <w:rPr>
          <w:lang w:val="es-ES"/>
        </w:rPr>
        <w:t xml:space="preserve"> que Latinoamérica tiene muchas. Dimos un vistazo a esos números (por encima) pero lo que nos encontramos fue un panorama muy neg</w:t>
      </w:r>
      <w:r w:rsidR="000D487B">
        <w:rPr>
          <w:lang w:val="es-ES"/>
        </w:rPr>
        <w:t>ativo en cuanto a la presencia de mujeres, entonces es necesario ampliar la mirada sobre la participación de las mujeres en todos los espacios de la vida pública y política.</w:t>
      </w:r>
      <w:r w:rsidR="004D0AD7">
        <w:rPr>
          <w:lang w:val="es-ES"/>
        </w:rPr>
        <w:t xml:space="preserve"> Finalmente, en el poder judicial, datos del Observatorio de Igualdad de la CEPAL de 2014 dicen que el promedio</w:t>
      </w:r>
      <w:r w:rsidR="005E04BC">
        <w:rPr>
          <w:lang w:val="es-ES"/>
        </w:rPr>
        <w:t xml:space="preserve"> regional de mujeres en las altas instancias de las corte</w:t>
      </w:r>
      <w:r w:rsidR="00F008A4">
        <w:rPr>
          <w:lang w:val="es-ES"/>
        </w:rPr>
        <w:t>s</w:t>
      </w:r>
      <w:r w:rsidR="005E04BC">
        <w:rPr>
          <w:lang w:val="es-ES"/>
        </w:rPr>
        <w:t xml:space="preserve"> judiciales es de 24</w:t>
      </w:r>
      <w:r w:rsidR="004D0AD7">
        <w:rPr>
          <w:lang w:val="es-ES"/>
        </w:rPr>
        <w:t xml:space="preserve">,94%. </w:t>
      </w:r>
    </w:p>
    <w:p w:rsidR="000D487B" w:rsidRDefault="002D18E6" w:rsidP="003F0D40">
      <w:pPr>
        <w:jc w:val="both"/>
        <w:rPr>
          <w:lang w:val="es-ES"/>
        </w:rPr>
      </w:pPr>
      <w:r>
        <w:rPr>
          <w:lang w:val="es-ES"/>
        </w:rPr>
        <w:t>Los esfuerzos de los estados para promover políticas publicas efectivas para incrementar la presencia de las mujeres en los espacios públicos han sido limitadas. Esto se ve muy claro, por ejemplo, en que solamente se ha legislado para promover la presencia de las mujeres en las candidaturas a cargos de elección popular, es decir, para reforzar la presencia de las mujeres en los legislativos, pero no en los ejecutivos ni en los poderes judiciales. Otro aspecto importante si hablamos de políticas públicas</w:t>
      </w:r>
      <w:r w:rsidR="00F008A4">
        <w:rPr>
          <w:lang w:val="es-ES"/>
        </w:rPr>
        <w:t xml:space="preserve"> </w:t>
      </w:r>
      <w:r>
        <w:rPr>
          <w:lang w:val="es-ES"/>
        </w:rPr>
        <w:t>que promuevan los derechos políticos de las mujeres es que hasta la llegada en algunos países de la región de leyes que establecen la obligatoriedad de que los partidos políticos destinen p</w:t>
      </w:r>
      <w:r w:rsidR="00F008A4">
        <w:rPr>
          <w:lang w:val="es-ES"/>
        </w:rPr>
        <w:t xml:space="preserve">arte del financiamiento público, creo que no existían políticas con lo que se conoce como financiamiento etiquetado de género, y esto genera la ilusión de que el logro de los derechos políticos de las mujeres no cuesta dinero, que es gratis. Yo participe como especialista de género en la misión de observación electoral de la OEA en México, el pasado junio. México tiene una de las legislaciones más avanzadas en la región en este tema, y establece que los partidos políticos destinaran el 3% al fortalecimiento del liderazgo político de las mujeres. EN las entrevistas con las secretarias de la mujer de los partidos, las mujeres nos decían: si las candidaturas deben estar conformadas por un 50% de mujeres, porque solamente nos otorgan el 3% del financiamiento para fortalecer su participación? Y creo que es una buena pregunta. </w:t>
      </w:r>
    </w:p>
    <w:p w:rsidR="00EE112C" w:rsidRDefault="00EE112C" w:rsidP="00EE112C">
      <w:pPr>
        <w:jc w:val="both"/>
        <w:rPr>
          <w:lang w:val="es-ES"/>
        </w:rPr>
      </w:pPr>
      <w:r w:rsidRPr="00B45AA1">
        <w:rPr>
          <w:lang w:val="es-ES"/>
        </w:rPr>
        <w:t xml:space="preserve">Persistencia de estereotipos, roles de género y normas sociales que encasillan a las mujeres; Discriminación en los partidos </w:t>
      </w:r>
      <w:proofErr w:type="spellStart"/>
      <w:r w:rsidRPr="00B45AA1">
        <w:rPr>
          <w:lang w:val="es-ES"/>
        </w:rPr>
        <w:t>politicos</w:t>
      </w:r>
      <w:proofErr w:type="spellEnd"/>
      <w:r w:rsidRPr="00B45AA1">
        <w:rPr>
          <w:lang w:val="es-ES"/>
        </w:rPr>
        <w:t xml:space="preserve">; Discriminación en función de otros ejes de desigualdad: raza, </w:t>
      </w:r>
      <w:r w:rsidRPr="00B45AA1">
        <w:rPr>
          <w:lang w:val="es-ES"/>
        </w:rPr>
        <w:lastRenderedPageBreak/>
        <w:t xml:space="preserve">etnia, edad, clase social; Violencia política contra las mujeres; Ausencia de políticas públicas dirigidas a compatibilizar la vida pública y la vida privada; Desigual acceso y cobertura a los medios de comunicación; Deficiencias en la regulación y en la aplicación efectiva de las acciones afirmativas como las cuotas; Desigual distribución del poder dentro de las instituciones del Estado (vertical y horizontal); Desigual acceso al financiamiento para campañas y otras políticas electorales; Debilidad de las secretarías de la mujer de los partidos </w:t>
      </w:r>
      <w:r w:rsidR="006C6913" w:rsidRPr="00B45AA1">
        <w:rPr>
          <w:lang w:val="es-ES"/>
        </w:rPr>
        <w:t>políticos</w:t>
      </w:r>
      <w:r w:rsidRPr="00B45AA1">
        <w:rPr>
          <w:lang w:val="es-ES"/>
        </w:rPr>
        <w:t>; Ausencia de programas electorales en materia de igualdad de género y derechos de las mujeres; Falta de empoderamiento político de determinados sectores de la población de mujeres; Interferencias entre la legislación en la materia y los sistemas de usos y costumbres indígenas; entre otros.</w:t>
      </w:r>
    </w:p>
    <w:p w:rsidR="006C6913" w:rsidRPr="00B45AA1" w:rsidRDefault="006C6913" w:rsidP="00EE112C">
      <w:pPr>
        <w:jc w:val="both"/>
        <w:rPr>
          <w:lang w:val="es-ES"/>
        </w:rPr>
      </w:pPr>
      <w:r w:rsidRPr="00B45AA1">
        <w:rPr>
          <w:lang w:val="es-ES"/>
        </w:rPr>
        <w:t xml:space="preserve">La compatibilización de la vida privada y la vida pública </w:t>
      </w:r>
      <w:r w:rsidR="00FA2E45" w:rsidRPr="00B45AA1">
        <w:rPr>
          <w:lang w:val="es-ES"/>
        </w:rPr>
        <w:t>continúa</w:t>
      </w:r>
      <w:r w:rsidRPr="00B45AA1">
        <w:rPr>
          <w:lang w:val="es-ES"/>
        </w:rPr>
        <w:t xml:space="preserve"> siendo un gran desafío para la participación política efectiva de las mujeres, y la ausencia de regulación frente a este problema es una muestra clara de que la incorporación de las mujeres a la esfera pública es reciente. Por ejemplo, los reglamentos de los parlamentos no incluyen las licencias por maternidad/paternidad establecidas en las leyes nacionales, de modo que las madres y padres, a diferencia del resto de la ciudadanía, no están habilitadas/os para disfrutar ese derecho en su calidad de parlamentarias/os. Todo indica que esta problemática está fuera de la agenda legislativa de los países, a pesar de que ya ha sido identificado como un obstáculo crítico para el avance de la participación política de las mujeres en igualdad de condiciones con los hombres.</w:t>
      </w:r>
    </w:p>
    <w:p w:rsidR="00F008A4" w:rsidRDefault="00F008A4" w:rsidP="003F0D40">
      <w:pPr>
        <w:jc w:val="both"/>
        <w:rPr>
          <w:lang w:val="es-ES"/>
        </w:rPr>
      </w:pPr>
      <w:r>
        <w:rPr>
          <w:lang w:val="es-ES"/>
        </w:rPr>
        <w:t>Por otro lado, ante esta mirada, llegamos a la conclusión de que es necesaria una visión,</w:t>
      </w:r>
      <w:r w:rsidR="002C47EF">
        <w:rPr>
          <w:lang w:val="es-ES"/>
        </w:rPr>
        <w:t xml:space="preserve"> </w:t>
      </w:r>
      <w:r>
        <w:rPr>
          <w:lang w:val="es-ES"/>
        </w:rPr>
        <w:t>un abordaje integral del problema de la exclusión política de las mujeres, y después volveré sobre esta idea.</w:t>
      </w:r>
    </w:p>
    <w:p w:rsidR="00FA2E45" w:rsidRDefault="00FA2E45" w:rsidP="003F0D40">
      <w:pPr>
        <w:jc w:val="both"/>
        <w:rPr>
          <w:lang w:val="es-ES"/>
        </w:rPr>
      </w:pPr>
      <w:r>
        <w:rPr>
          <w:lang w:val="es-ES"/>
        </w:rPr>
        <w:t>DIAPO 4</w:t>
      </w:r>
    </w:p>
    <w:p w:rsidR="00F008A4" w:rsidRDefault="00F008A4" w:rsidP="003F0D40">
      <w:pPr>
        <w:jc w:val="both"/>
        <w:rPr>
          <w:lang w:val="es-ES"/>
        </w:rPr>
      </w:pPr>
      <w:r>
        <w:rPr>
          <w:lang w:val="es-ES"/>
        </w:rPr>
        <w:t xml:space="preserve">¿Qué tenemos como elementos positivos en este diagnóstico? En primer lugar, que 7 </w:t>
      </w:r>
      <w:r w:rsidR="002C47EF">
        <w:rPr>
          <w:lang w:val="es-ES"/>
        </w:rPr>
        <w:t>países</w:t>
      </w:r>
      <w:r>
        <w:rPr>
          <w:lang w:val="es-ES"/>
        </w:rPr>
        <w:t xml:space="preserve"> en la región han adoptado la paridad: 5 lo han hecho en las candidaturas a cargos de elección popular: Ecuador, Bolivia, Costa Rica, Nicaragua y México. Y Panamá y Honduras en las candidaturas internas. </w:t>
      </w:r>
      <w:r w:rsidR="002C47EF">
        <w:rPr>
          <w:lang w:val="es-ES"/>
        </w:rPr>
        <w:t>Además</w:t>
      </w:r>
      <w:r>
        <w:rPr>
          <w:lang w:val="es-ES"/>
        </w:rPr>
        <w:t xml:space="preserve">, la muchas de estas legislaciones y también en otros países, han venido acompañadas de otras normas que regulan las condiciones del ejercicio de los derechos políticos, como es el caso del financiamiento etiquetado que existe en 6 países de la región; </w:t>
      </w:r>
      <w:r w:rsidR="002C47EF">
        <w:rPr>
          <w:lang w:val="es-ES"/>
        </w:rPr>
        <w:t xml:space="preserve">las disposiciones que obligan a los partidos políticos a tener ejecutivas con paridad; Bolivia aprobó la ley de violencia y acoso político y en otros países de la región se han presentado iniciativas; recientemente Costa Rica se doto de una norma que establece la paridad en las directivas de los sindicatos; en </w:t>
      </w:r>
      <w:r w:rsidR="00890C93">
        <w:rPr>
          <w:lang w:val="es-ES"/>
        </w:rPr>
        <w:t>México</w:t>
      </w:r>
      <w:r w:rsidR="002C47EF">
        <w:rPr>
          <w:lang w:val="es-ES"/>
        </w:rPr>
        <w:t xml:space="preserve"> se </w:t>
      </w:r>
      <w:r w:rsidR="00890C93">
        <w:rPr>
          <w:lang w:val="es-ES"/>
        </w:rPr>
        <w:t>presentó</w:t>
      </w:r>
      <w:r w:rsidR="002C47EF">
        <w:rPr>
          <w:lang w:val="es-ES"/>
        </w:rPr>
        <w:t xml:space="preserve"> una propuesta de ley sobre paridad ampliada y otras. En definitiva, se está ampliando el foco y caminando hacia un abordaje </w:t>
      </w:r>
      <w:r w:rsidR="00890C93">
        <w:rPr>
          <w:lang w:val="es-ES"/>
        </w:rPr>
        <w:t>más</w:t>
      </w:r>
      <w:r w:rsidR="002C47EF">
        <w:rPr>
          <w:lang w:val="es-ES"/>
        </w:rPr>
        <w:t xml:space="preserve"> integral sobre la participación de las mujeres en la vida </w:t>
      </w:r>
      <w:r w:rsidR="00890C93">
        <w:rPr>
          <w:lang w:val="es-ES"/>
        </w:rPr>
        <w:t>pública</w:t>
      </w:r>
      <w:r w:rsidR="002C47EF">
        <w:rPr>
          <w:lang w:val="es-ES"/>
        </w:rPr>
        <w:t xml:space="preserve"> y política. </w:t>
      </w:r>
      <w:r w:rsidR="00890C93">
        <w:rPr>
          <w:lang w:val="es-ES"/>
        </w:rPr>
        <w:t>¿Y bueno, lo más importante, qué está señalando la evidencia empírica? La evidencia empírica nos dice que la paridad funciona para incrementar la presencia de mujeres en los legislativos: a día de hoy 4 de los 5 países que han adoptado la paridad en las candidaturas están entre los 15 primeros países del mundo con más mujeres parlamentarias, todos ellos con porcentajes superiores al 40%.</w:t>
      </w:r>
    </w:p>
    <w:p w:rsidR="00890C93" w:rsidRPr="00EE112C" w:rsidRDefault="00FA2E45" w:rsidP="003F0D40">
      <w:pPr>
        <w:jc w:val="both"/>
        <w:rPr>
          <w:b/>
          <w:lang w:val="es-ES"/>
        </w:rPr>
      </w:pPr>
      <w:r>
        <w:rPr>
          <w:b/>
          <w:lang w:val="es-ES"/>
        </w:rPr>
        <w:t>DIAPO 5</w:t>
      </w:r>
    </w:p>
    <w:p w:rsidR="00890C93" w:rsidRDefault="00BC231C" w:rsidP="003F0D40">
      <w:pPr>
        <w:jc w:val="both"/>
        <w:rPr>
          <w:lang w:val="es-ES"/>
        </w:rPr>
      </w:pPr>
      <w:r>
        <w:rPr>
          <w:lang w:val="es-ES"/>
        </w:rPr>
        <w:t xml:space="preserve">Resultado de este diagnóstico elaboramos un marco teórico, una visión </w:t>
      </w:r>
      <w:r w:rsidR="00036267">
        <w:rPr>
          <w:lang w:val="es-ES"/>
        </w:rPr>
        <w:t xml:space="preserve">integral </w:t>
      </w:r>
      <w:r>
        <w:rPr>
          <w:lang w:val="es-ES"/>
        </w:rPr>
        <w:t xml:space="preserve">de la paridad, que se construye a partir de dos elementos principales (y este es el mensaje más importante de esta presentación): </w:t>
      </w:r>
    </w:p>
    <w:p w:rsidR="00BC231C" w:rsidRDefault="00BC231C" w:rsidP="003F0D40">
      <w:pPr>
        <w:jc w:val="both"/>
        <w:rPr>
          <w:lang w:val="es-ES"/>
        </w:rPr>
      </w:pPr>
      <w:r>
        <w:rPr>
          <w:lang w:val="es-ES"/>
        </w:rPr>
        <w:lastRenderedPageBreak/>
        <w:t xml:space="preserve">Que la paridad se compone de dos elementos: </w:t>
      </w:r>
    </w:p>
    <w:p w:rsidR="00BC231C" w:rsidRDefault="00BC231C" w:rsidP="003F0D40">
      <w:pPr>
        <w:jc w:val="both"/>
        <w:rPr>
          <w:lang w:val="es-ES"/>
        </w:rPr>
      </w:pPr>
      <w:r>
        <w:rPr>
          <w:lang w:val="es-ES"/>
        </w:rPr>
        <w:t>el primero se ocupa del acceso paritario de las mujeres a todas las instituciones del estado, desde lo internacional a lo local, y a todos los espacios de la vida pública y política, incluyendo los partidos políticos, sindicatos, empresas, etc.</w:t>
      </w:r>
    </w:p>
    <w:p w:rsidR="00BC231C" w:rsidRDefault="00BC231C" w:rsidP="003F0D40">
      <w:pPr>
        <w:jc w:val="both"/>
        <w:rPr>
          <w:lang w:val="es-ES"/>
        </w:rPr>
      </w:pPr>
      <w:r>
        <w:rPr>
          <w:lang w:val="es-ES"/>
        </w:rPr>
        <w:t xml:space="preserve">El segundo se ocupa de que las condiciones para el ejercicio de los derechos políticos de las mujeres estén libres de discriminación y violencia política. </w:t>
      </w:r>
      <w:r w:rsidR="00036267">
        <w:rPr>
          <w:lang w:val="es-ES"/>
        </w:rPr>
        <w:t xml:space="preserve">Y particularmente, prestando especial atención a las mujeres que han sido tradicionalmente excluidas. Nancy </w:t>
      </w:r>
      <w:proofErr w:type="spellStart"/>
      <w:r w:rsidR="00036267">
        <w:rPr>
          <w:lang w:val="es-ES"/>
        </w:rPr>
        <w:t>Fraser</w:t>
      </w:r>
      <w:proofErr w:type="spellEnd"/>
      <w:r w:rsidR="00036267">
        <w:rPr>
          <w:lang w:val="es-ES"/>
        </w:rPr>
        <w:t>, una reconocida académica feminista, decía recientemente con motivo de la candidatura de Hilary Clinton</w:t>
      </w:r>
      <w:r w:rsidR="00EE112C">
        <w:rPr>
          <w:lang w:val="es-ES"/>
        </w:rPr>
        <w:t>,</w:t>
      </w:r>
      <w:r w:rsidR="00036267">
        <w:rPr>
          <w:lang w:val="es-ES"/>
        </w:rPr>
        <w:t xml:space="preserve"> que la lucha por el techo de cristal es una lucha elitista porque, en realidad, solo las mujeres de la elite llegan hasta esos niveles de poder. Entonces debemos trabajar para generar condiciones adecuadas para las mujeres que tradicionalmente no han estado en estos espacios, hay que ver cómo logramos concretar estos aspectos. </w:t>
      </w:r>
    </w:p>
    <w:p w:rsidR="00BC231C" w:rsidRDefault="00BC231C" w:rsidP="003F0D40">
      <w:pPr>
        <w:jc w:val="both"/>
        <w:rPr>
          <w:lang w:val="es-ES"/>
        </w:rPr>
      </w:pPr>
      <w:r>
        <w:rPr>
          <w:lang w:val="es-ES"/>
        </w:rPr>
        <w:t xml:space="preserve">¿Esto con que horizonte? Esta visión se marca como horizonte la trasformación de las estructuras políticas, del logro de la igualdad sustantiva para conseguir democracias completas, inclusivas y justas. </w:t>
      </w:r>
    </w:p>
    <w:p w:rsidR="006C6913" w:rsidRPr="00FA2E45" w:rsidRDefault="006C6913" w:rsidP="003F0D40">
      <w:pPr>
        <w:jc w:val="both"/>
        <w:rPr>
          <w:b/>
          <w:u w:val="single"/>
          <w:lang w:val="es-ES"/>
        </w:rPr>
      </w:pPr>
      <w:r w:rsidRPr="00FA2E45">
        <w:rPr>
          <w:b/>
          <w:u w:val="single"/>
          <w:lang w:val="es-ES"/>
        </w:rPr>
        <w:t>DIAPO 6</w:t>
      </w:r>
    </w:p>
    <w:p w:rsidR="00F008A4" w:rsidRDefault="00FA2E45" w:rsidP="003F0D40">
      <w:pPr>
        <w:jc w:val="both"/>
        <w:rPr>
          <w:lang w:val="es-ES"/>
        </w:rPr>
      </w:pPr>
      <w:r>
        <w:rPr>
          <w:lang w:val="es-ES"/>
        </w:rPr>
        <w:t>¿Qué temas va a incluir esta ley modelo?</w:t>
      </w:r>
    </w:p>
    <w:p w:rsidR="00000000" w:rsidRPr="00FA2E45" w:rsidRDefault="008434BD" w:rsidP="00FA2E45">
      <w:pPr>
        <w:numPr>
          <w:ilvl w:val="0"/>
          <w:numId w:val="2"/>
        </w:numPr>
        <w:jc w:val="both"/>
        <w:rPr>
          <w:lang w:val="es-ES"/>
        </w:rPr>
      </w:pPr>
      <w:r w:rsidRPr="00FA2E45">
        <w:rPr>
          <w:lang w:val="es-ES"/>
        </w:rPr>
        <w:t>Acceso paritario en todas las instituciones del Estado (legislativo, ejecutivo y judicial); desde lo internacional a lo local, en todos los espacios de la vida pública.</w:t>
      </w:r>
    </w:p>
    <w:p w:rsidR="00000000" w:rsidRPr="00FA2E45" w:rsidRDefault="008434BD" w:rsidP="00FA2E45">
      <w:pPr>
        <w:numPr>
          <w:ilvl w:val="0"/>
          <w:numId w:val="2"/>
        </w:numPr>
        <w:jc w:val="both"/>
      </w:pPr>
      <w:r w:rsidRPr="00FA2E45">
        <w:rPr>
          <w:lang w:val="es-ES"/>
        </w:rPr>
        <w:t>Condiciones en el ejercicio:</w:t>
      </w:r>
    </w:p>
    <w:p w:rsidR="00000000" w:rsidRPr="00FA2E45" w:rsidRDefault="008434BD" w:rsidP="00FA2E45">
      <w:pPr>
        <w:numPr>
          <w:ilvl w:val="1"/>
          <w:numId w:val="2"/>
        </w:numPr>
        <w:jc w:val="both"/>
        <w:rPr>
          <w:lang w:val="es-ES"/>
        </w:rPr>
      </w:pPr>
      <w:r w:rsidRPr="00FA2E45">
        <w:rPr>
          <w:lang w:val="es-ES"/>
        </w:rPr>
        <w:t>Violencia política contra las mujeres</w:t>
      </w:r>
      <w:r w:rsidR="00FA2E45">
        <w:rPr>
          <w:lang w:val="es-ES"/>
        </w:rPr>
        <w:t xml:space="preserve"> (esta es la parte que más hemos avanzado conjuntamente con el MESECVI, tenemos la segunda reunión de expertas la semana que viene en Bolivia).</w:t>
      </w:r>
    </w:p>
    <w:p w:rsidR="00000000" w:rsidRPr="00FA2E45" w:rsidRDefault="008434BD" w:rsidP="00FA2E45">
      <w:pPr>
        <w:numPr>
          <w:ilvl w:val="1"/>
          <w:numId w:val="2"/>
        </w:numPr>
        <w:jc w:val="both"/>
        <w:rPr>
          <w:lang w:val="es-ES"/>
        </w:rPr>
      </w:pPr>
      <w:r w:rsidRPr="00FA2E45">
        <w:rPr>
          <w:lang w:val="es-ES"/>
        </w:rPr>
        <w:t>Estereotipos de género y división sexual de la</w:t>
      </w:r>
      <w:r w:rsidRPr="00FA2E45">
        <w:rPr>
          <w:lang w:val="es-ES"/>
        </w:rPr>
        <w:t xml:space="preserve"> política</w:t>
      </w:r>
    </w:p>
    <w:p w:rsidR="00000000" w:rsidRPr="00FA2E45" w:rsidRDefault="008434BD" w:rsidP="00FA2E45">
      <w:pPr>
        <w:numPr>
          <w:ilvl w:val="1"/>
          <w:numId w:val="2"/>
        </w:numPr>
        <w:jc w:val="both"/>
        <w:rPr>
          <w:lang w:val="es-ES"/>
        </w:rPr>
      </w:pPr>
      <w:r w:rsidRPr="00FA2E45">
        <w:rPr>
          <w:lang w:val="es-ES"/>
        </w:rPr>
        <w:t>Ejes de desigualdad: raza, etnia, clase social, nivel educativo edad, entre otras.</w:t>
      </w:r>
    </w:p>
    <w:p w:rsidR="00000000" w:rsidRPr="00FA2E45" w:rsidRDefault="008434BD" w:rsidP="00FA2E45">
      <w:pPr>
        <w:numPr>
          <w:ilvl w:val="1"/>
          <w:numId w:val="2"/>
        </w:numPr>
        <w:jc w:val="both"/>
      </w:pPr>
      <w:r w:rsidRPr="00FA2E45">
        <w:rPr>
          <w:lang w:val="es-ES"/>
        </w:rPr>
        <w:t>Financiamiento político</w:t>
      </w:r>
    </w:p>
    <w:p w:rsidR="00000000" w:rsidRPr="00FA2E45" w:rsidRDefault="008434BD" w:rsidP="00FA2E45">
      <w:pPr>
        <w:numPr>
          <w:ilvl w:val="1"/>
          <w:numId w:val="2"/>
        </w:numPr>
        <w:jc w:val="both"/>
      </w:pPr>
      <w:r w:rsidRPr="00FA2E45">
        <w:rPr>
          <w:lang w:val="es-ES"/>
        </w:rPr>
        <w:t>Acceso a medios de comunicación</w:t>
      </w:r>
    </w:p>
    <w:p w:rsidR="00000000" w:rsidRPr="00FA2E45" w:rsidRDefault="008434BD" w:rsidP="00FA2E45">
      <w:pPr>
        <w:numPr>
          <w:ilvl w:val="1"/>
          <w:numId w:val="2"/>
        </w:numPr>
        <w:jc w:val="both"/>
        <w:rPr>
          <w:lang w:val="es-ES"/>
        </w:rPr>
      </w:pPr>
      <w:r w:rsidRPr="00FA2E45">
        <w:rPr>
          <w:lang w:val="es-ES"/>
        </w:rPr>
        <w:t>Corresponsabilidad y compatibilidad vida pública y vida privada y familiar</w:t>
      </w:r>
    </w:p>
    <w:p w:rsidR="00000000" w:rsidRPr="00FA2E45" w:rsidRDefault="008434BD" w:rsidP="00FA2E45">
      <w:pPr>
        <w:numPr>
          <w:ilvl w:val="1"/>
          <w:numId w:val="2"/>
        </w:numPr>
        <w:jc w:val="both"/>
        <w:rPr>
          <w:lang w:val="es-ES"/>
        </w:rPr>
      </w:pPr>
      <w:r w:rsidRPr="00FA2E45">
        <w:rPr>
          <w:lang w:val="es-ES"/>
        </w:rPr>
        <w:t xml:space="preserve">Políticas electorales y de </w:t>
      </w:r>
      <w:r w:rsidRPr="00FA2E45">
        <w:rPr>
          <w:lang w:val="es-ES"/>
        </w:rPr>
        <w:t>partidos políticos (secretarías mujer)</w:t>
      </w:r>
    </w:p>
    <w:p w:rsidR="00000000" w:rsidRPr="00FA2E45" w:rsidRDefault="008434BD" w:rsidP="00FA2E45">
      <w:pPr>
        <w:numPr>
          <w:ilvl w:val="1"/>
          <w:numId w:val="2"/>
        </w:numPr>
        <w:jc w:val="both"/>
        <w:rPr>
          <w:lang w:val="es-ES"/>
        </w:rPr>
      </w:pPr>
      <w:r w:rsidRPr="00FA2E45">
        <w:rPr>
          <w:lang w:val="es-ES"/>
        </w:rPr>
        <w:t>Protección</w:t>
      </w:r>
      <w:r w:rsidR="00FA2E45">
        <w:rPr>
          <w:lang w:val="es-ES"/>
        </w:rPr>
        <w:t xml:space="preserve"> de las</w:t>
      </w:r>
      <w:r w:rsidRPr="00FA2E45">
        <w:rPr>
          <w:lang w:val="es-ES"/>
        </w:rPr>
        <w:t xml:space="preserve"> defensoras DDHH</w:t>
      </w:r>
    </w:p>
    <w:p w:rsidR="00000000" w:rsidRPr="00FA2E45" w:rsidRDefault="008434BD" w:rsidP="00FA2E45">
      <w:pPr>
        <w:numPr>
          <w:ilvl w:val="1"/>
          <w:numId w:val="2"/>
        </w:numPr>
        <w:jc w:val="both"/>
      </w:pPr>
      <w:r w:rsidRPr="00FA2E45">
        <w:rPr>
          <w:lang w:val="es-ES"/>
        </w:rPr>
        <w:t>Alcance al ámbito local</w:t>
      </w:r>
    </w:p>
    <w:p w:rsidR="00FA2E45" w:rsidRPr="00FA2E45" w:rsidRDefault="00FA2E45" w:rsidP="00FA2E45">
      <w:pPr>
        <w:jc w:val="both"/>
        <w:rPr>
          <w:lang w:val="es-ES"/>
        </w:rPr>
      </w:pPr>
      <w:r>
        <w:rPr>
          <w:lang w:val="es-ES"/>
        </w:rPr>
        <w:t xml:space="preserve">¿En </w:t>
      </w:r>
      <w:proofErr w:type="spellStart"/>
      <w:r>
        <w:rPr>
          <w:lang w:val="es-ES"/>
        </w:rPr>
        <w:t>que</w:t>
      </w:r>
      <w:proofErr w:type="spellEnd"/>
      <w:r>
        <w:rPr>
          <w:lang w:val="es-ES"/>
        </w:rPr>
        <w:t xml:space="preserve"> vamos a basar este trabajo? En primer lugar en los avances nacionales: los países que han adoptado la paridad nos han mostrado el camino, ya he citado algunos, y además de otras buenas practicas legislativas, por ejemplo Canadá dentro de los gastos electorales que son elegibles, figuran los gastos del cuidado de las personas, de manera que un candidato o candidata que demuestre que con motivo de la campaña electoral deja de atender personas que hasta ese momento estaban a su cargo, puede solicitar que los gastos de contratar esos servicios de cuidado se acepten como gastos electorales. </w:t>
      </w:r>
      <w:proofErr w:type="spellStart"/>
      <w:r>
        <w:rPr>
          <w:lang w:val="es-ES"/>
        </w:rPr>
        <w:lastRenderedPageBreak/>
        <w:t>Ademas</w:t>
      </w:r>
      <w:proofErr w:type="spellEnd"/>
      <w:r>
        <w:rPr>
          <w:lang w:val="es-ES"/>
        </w:rPr>
        <w:t xml:space="preserve"> vamos a incorporar las recomendaciones de los últimos informes en el tema, de la CIM, de ONU Mujeres, de IDEA Internacional, de PNUD y otros.</w:t>
      </w:r>
    </w:p>
    <w:p w:rsidR="00FA2E45" w:rsidRPr="00360E1B" w:rsidRDefault="00FA2E45" w:rsidP="00FA2E45">
      <w:pPr>
        <w:jc w:val="both"/>
        <w:rPr>
          <w:b/>
          <w:lang w:val="es-ES"/>
        </w:rPr>
      </w:pPr>
      <w:r w:rsidRPr="00360E1B">
        <w:rPr>
          <w:b/>
          <w:lang w:val="es-ES"/>
        </w:rPr>
        <w:t>DIAPO 7</w:t>
      </w:r>
    </w:p>
    <w:p w:rsidR="00FA2E45" w:rsidRDefault="00FA2E45" w:rsidP="00FA2E45">
      <w:pPr>
        <w:jc w:val="both"/>
        <w:rPr>
          <w:lang w:val="es-ES"/>
        </w:rPr>
      </w:pPr>
      <w:r w:rsidRPr="00FA2E45">
        <w:rPr>
          <w:lang w:val="es-ES"/>
        </w:rPr>
        <w:t>Y ya para acabar, muy b</w:t>
      </w:r>
      <w:bookmarkStart w:id="0" w:name="_GoBack"/>
      <w:bookmarkEnd w:id="0"/>
      <w:r w:rsidRPr="00FA2E45">
        <w:rPr>
          <w:lang w:val="es-ES"/>
        </w:rPr>
        <w:t>rev</w:t>
      </w:r>
      <w:r>
        <w:rPr>
          <w:lang w:val="es-ES"/>
        </w:rPr>
        <w:t>emente, el proceso</w:t>
      </w:r>
    </w:p>
    <w:p w:rsidR="00000000" w:rsidRPr="00FA2E45" w:rsidRDefault="008434BD" w:rsidP="00FA2E45">
      <w:pPr>
        <w:numPr>
          <w:ilvl w:val="0"/>
          <w:numId w:val="3"/>
        </w:numPr>
        <w:jc w:val="both"/>
        <w:rPr>
          <w:lang w:val="es-ES"/>
        </w:rPr>
      </w:pPr>
      <w:r w:rsidRPr="00FA2E45">
        <w:rPr>
          <w:lang w:val="es-ES"/>
        </w:rPr>
        <w:t>Presentación modelo Asamblea de Delegadas de la CIM (mayo, 2016).</w:t>
      </w:r>
    </w:p>
    <w:p w:rsidR="00000000" w:rsidRPr="00FA2E45" w:rsidRDefault="008434BD" w:rsidP="00FA2E45">
      <w:pPr>
        <w:numPr>
          <w:ilvl w:val="0"/>
          <w:numId w:val="3"/>
        </w:numPr>
        <w:jc w:val="both"/>
        <w:rPr>
          <w:lang w:val="es-ES"/>
        </w:rPr>
      </w:pPr>
      <w:r w:rsidRPr="00FA2E45">
        <w:rPr>
          <w:lang w:val="es-ES"/>
        </w:rPr>
        <w:t>Proceso de discusión y validac</w:t>
      </w:r>
      <w:r w:rsidRPr="00FA2E45">
        <w:rPr>
          <w:lang w:val="es-ES"/>
        </w:rPr>
        <w:t>ión:</w:t>
      </w:r>
    </w:p>
    <w:p w:rsidR="00000000" w:rsidRPr="00FA2E45" w:rsidRDefault="008434BD" w:rsidP="00FA2E45">
      <w:pPr>
        <w:numPr>
          <w:ilvl w:val="1"/>
          <w:numId w:val="3"/>
        </w:numPr>
        <w:jc w:val="both"/>
        <w:rPr>
          <w:lang w:val="es-ES"/>
        </w:rPr>
      </w:pPr>
      <w:r w:rsidRPr="00FA2E45">
        <w:rPr>
          <w:lang w:val="es-ES"/>
        </w:rPr>
        <w:t>Segunda reunión de expertas Ley Modelo Violencia Política (mayo, 2016)</w:t>
      </w:r>
    </w:p>
    <w:p w:rsidR="00000000" w:rsidRPr="00FA2E45" w:rsidRDefault="008434BD" w:rsidP="00FA2E45">
      <w:pPr>
        <w:numPr>
          <w:ilvl w:val="1"/>
          <w:numId w:val="3"/>
        </w:numPr>
        <w:jc w:val="both"/>
        <w:rPr>
          <w:lang w:val="es-ES"/>
        </w:rPr>
      </w:pPr>
      <w:r w:rsidRPr="00FA2E45">
        <w:rPr>
          <w:lang w:val="es-ES"/>
        </w:rPr>
        <w:t>IV Consulta con la Red de Mujeres Parlamentarias de las Américas (otoño, 2016)</w:t>
      </w:r>
    </w:p>
    <w:p w:rsidR="00000000" w:rsidRPr="00FA2E45" w:rsidRDefault="008434BD" w:rsidP="00FA2E45">
      <w:pPr>
        <w:numPr>
          <w:ilvl w:val="1"/>
          <w:numId w:val="3"/>
        </w:numPr>
        <w:jc w:val="both"/>
      </w:pPr>
      <w:proofErr w:type="spellStart"/>
      <w:r w:rsidRPr="00FA2E45">
        <w:t>Proceso</w:t>
      </w:r>
      <w:proofErr w:type="spellEnd"/>
      <w:r w:rsidRPr="00FA2E45">
        <w:t xml:space="preserve"> </w:t>
      </w:r>
      <w:proofErr w:type="spellStart"/>
      <w:r w:rsidRPr="00FA2E45">
        <w:t>consulta</w:t>
      </w:r>
      <w:proofErr w:type="spellEnd"/>
      <w:r w:rsidRPr="00FA2E45">
        <w:t xml:space="preserve"> virtual (</w:t>
      </w:r>
      <w:proofErr w:type="spellStart"/>
      <w:r w:rsidRPr="00FA2E45">
        <w:t>inviern</w:t>
      </w:r>
      <w:r w:rsidRPr="00FA2E45">
        <w:t>o</w:t>
      </w:r>
      <w:proofErr w:type="spellEnd"/>
      <w:r w:rsidRPr="00FA2E45">
        <w:t>, 2016)</w:t>
      </w:r>
    </w:p>
    <w:p w:rsidR="00000000" w:rsidRPr="00360E1B" w:rsidRDefault="008434BD" w:rsidP="00360E1B">
      <w:pPr>
        <w:pStyle w:val="ListParagraph"/>
        <w:numPr>
          <w:ilvl w:val="0"/>
          <w:numId w:val="4"/>
        </w:numPr>
        <w:jc w:val="both"/>
        <w:rPr>
          <w:lang w:val="es-ES"/>
        </w:rPr>
      </w:pPr>
      <w:r w:rsidRPr="00360E1B">
        <w:rPr>
          <w:lang w:val="es-ES"/>
        </w:rPr>
        <w:t>Aprobación de la CIM (primer semestre, 2017)</w:t>
      </w:r>
    </w:p>
    <w:p w:rsidR="00FA2E45" w:rsidRPr="00FA2E45" w:rsidRDefault="00FA2E45" w:rsidP="00FA2E45">
      <w:pPr>
        <w:jc w:val="both"/>
        <w:rPr>
          <w:lang w:val="es-ES"/>
        </w:rPr>
      </w:pPr>
    </w:p>
    <w:p w:rsidR="00FA2E45" w:rsidRDefault="00FA2E45" w:rsidP="003F0D40">
      <w:pPr>
        <w:jc w:val="both"/>
        <w:rPr>
          <w:lang w:val="es-ES"/>
        </w:rPr>
      </w:pPr>
    </w:p>
    <w:p w:rsidR="000D487B" w:rsidRDefault="000D487B" w:rsidP="003F0D40">
      <w:pPr>
        <w:jc w:val="both"/>
        <w:rPr>
          <w:lang w:val="es-ES"/>
        </w:rPr>
      </w:pPr>
    </w:p>
    <w:p w:rsidR="00992259" w:rsidRDefault="00992259" w:rsidP="003F0D40">
      <w:pPr>
        <w:jc w:val="both"/>
        <w:rPr>
          <w:lang w:val="es-ES"/>
        </w:rPr>
      </w:pPr>
    </w:p>
    <w:p w:rsidR="00992259" w:rsidRPr="0095213B" w:rsidRDefault="00992259" w:rsidP="003F0D40">
      <w:pPr>
        <w:jc w:val="both"/>
        <w:rPr>
          <w:lang w:val="es-ES"/>
        </w:rPr>
      </w:pPr>
    </w:p>
    <w:sectPr w:rsidR="00992259" w:rsidRPr="009521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755BE4"/>
    <w:multiLevelType w:val="hybridMultilevel"/>
    <w:tmpl w:val="985EC760"/>
    <w:lvl w:ilvl="0" w:tplc="E682B52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740100"/>
    <w:multiLevelType w:val="hybridMultilevel"/>
    <w:tmpl w:val="F1ECAFDC"/>
    <w:lvl w:ilvl="0" w:tplc="2E6C3EDC">
      <w:start w:val="1"/>
      <w:numFmt w:val="bullet"/>
      <w:lvlText w:val=""/>
      <w:lvlJc w:val="left"/>
      <w:pPr>
        <w:tabs>
          <w:tab w:val="num" w:pos="720"/>
        </w:tabs>
        <w:ind w:left="720" w:hanging="360"/>
      </w:pPr>
      <w:rPr>
        <w:rFonts w:ascii="Wingdings" w:hAnsi="Wingdings" w:hint="default"/>
      </w:rPr>
    </w:lvl>
    <w:lvl w:ilvl="1" w:tplc="D6A4DCB4">
      <w:start w:val="56"/>
      <w:numFmt w:val="bullet"/>
      <w:lvlText w:val="⁻"/>
      <w:lvlJc w:val="left"/>
      <w:pPr>
        <w:tabs>
          <w:tab w:val="num" w:pos="1440"/>
        </w:tabs>
        <w:ind w:left="1440" w:hanging="360"/>
      </w:pPr>
      <w:rPr>
        <w:rFonts w:ascii="Calibri" w:hAnsi="Calibri" w:hint="default"/>
      </w:rPr>
    </w:lvl>
    <w:lvl w:ilvl="2" w:tplc="805CEFB2" w:tentative="1">
      <w:start w:val="1"/>
      <w:numFmt w:val="bullet"/>
      <w:lvlText w:val=""/>
      <w:lvlJc w:val="left"/>
      <w:pPr>
        <w:tabs>
          <w:tab w:val="num" w:pos="2160"/>
        </w:tabs>
        <w:ind w:left="2160" w:hanging="360"/>
      </w:pPr>
      <w:rPr>
        <w:rFonts w:ascii="Wingdings" w:hAnsi="Wingdings" w:hint="default"/>
      </w:rPr>
    </w:lvl>
    <w:lvl w:ilvl="3" w:tplc="3D1AA2B8" w:tentative="1">
      <w:start w:val="1"/>
      <w:numFmt w:val="bullet"/>
      <w:lvlText w:val=""/>
      <w:lvlJc w:val="left"/>
      <w:pPr>
        <w:tabs>
          <w:tab w:val="num" w:pos="2880"/>
        </w:tabs>
        <w:ind w:left="2880" w:hanging="360"/>
      </w:pPr>
      <w:rPr>
        <w:rFonts w:ascii="Wingdings" w:hAnsi="Wingdings" w:hint="default"/>
      </w:rPr>
    </w:lvl>
    <w:lvl w:ilvl="4" w:tplc="FF3C4178" w:tentative="1">
      <w:start w:val="1"/>
      <w:numFmt w:val="bullet"/>
      <w:lvlText w:val=""/>
      <w:lvlJc w:val="left"/>
      <w:pPr>
        <w:tabs>
          <w:tab w:val="num" w:pos="3600"/>
        </w:tabs>
        <w:ind w:left="3600" w:hanging="360"/>
      </w:pPr>
      <w:rPr>
        <w:rFonts w:ascii="Wingdings" w:hAnsi="Wingdings" w:hint="default"/>
      </w:rPr>
    </w:lvl>
    <w:lvl w:ilvl="5" w:tplc="0128D8A8" w:tentative="1">
      <w:start w:val="1"/>
      <w:numFmt w:val="bullet"/>
      <w:lvlText w:val=""/>
      <w:lvlJc w:val="left"/>
      <w:pPr>
        <w:tabs>
          <w:tab w:val="num" w:pos="4320"/>
        </w:tabs>
        <w:ind w:left="4320" w:hanging="360"/>
      </w:pPr>
      <w:rPr>
        <w:rFonts w:ascii="Wingdings" w:hAnsi="Wingdings" w:hint="default"/>
      </w:rPr>
    </w:lvl>
    <w:lvl w:ilvl="6" w:tplc="2C8EAA3A" w:tentative="1">
      <w:start w:val="1"/>
      <w:numFmt w:val="bullet"/>
      <w:lvlText w:val=""/>
      <w:lvlJc w:val="left"/>
      <w:pPr>
        <w:tabs>
          <w:tab w:val="num" w:pos="5040"/>
        </w:tabs>
        <w:ind w:left="5040" w:hanging="360"/>
      </w:pPr>
      <w:rPr>
        <w:rFonts w:ascii="Wingdings" w:hAnsi="Wingdings" w:hint="default"/>
      </w:rPr>
    </w:lvl>
    <w:lvl w:ilvl="7" w:tplc="088AD490" w:tentative="1">
      <w:start w:val="1"/>
      <w:numFmt w:val="bullet"/>
      <w:lvlText w:val=""/>
      <w:lvlJc w:val="left"/>
      <w:pPr>
        <w:tabs>
          <w:tab w:val="num" w:pos="5760"/>
        </w:tabs>
        <w:ind w:left="5760" w:hanging="360"/>
      </w:pPr>
      <w:rPr>
        <w:rFonts w:ascii="Wingdings" w:hAnsi="Wingdings" w:hint="default"/>
      </w:rPr>
    </w:lvl>
    <w:lvl w:ilvl="8" w:tplc="20EEC16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425D61"/>
    <w:multiLevelType w:val="hybridMultilevel"/>
    <w:tmpl w:val="449688FA"/>
    <w:lvl w:ilvl="0" w:tplc="75E2C2F4">
      <w:start w:val="1"/>
      <w:numFmt w:val="decimal"/>
      <w:lvlText w:val="%1."/>
      <w:lvlJc w:val="left"/>
      <w:pPr>
        <w:tabs>
          <w:tab w:val="num" w:pos="720"/>
        </w:tabs>
        <w:ind w:left="720" w:hanging="360"/>
      </w:pPr>
    </w:lvl>
    <w:lvl w:ilvl="1" w:tplc="B440A16A">
      <w:start w:val="56"/>
      <w:numFmt w:val="bullet"/>
      <w:lvlText w:val="⁻"/>
      <w:lvlJc w:val="left"/>
      <w:pPr>
        <w:tabs>
          <w:tab w:val="num" w:pos="1440"/>
        </w:tabs>
        <w:ind w:left="1440" w:hanging="360"/>
      </w:pPr>
      <w:rPr>
        <w:rFonts w:ascii="Calibri" w:hAnsi="Calibri" w:hint="default"/>
      </w:rPr>
    </w:lvl>
    <w:lvl w:ilvl="2" w:tplc="F5961D24" w:tentative="1">
      <w:start w:val="1"/>
      <w:numFmt w:val="decimal"/>
      <w:lvlText w:val="%3."/>
      <w:lvlJc w:val="left"/>
      <w:pPr>
        <w:tabs>
          <w:tab w:val="num" w:pos="2160"/>
        </w:tabs>
        <w:ind w:left="2160" w:hanging="360"/>
      </w:pPr>
    </w:lvl>
    <w:lvl w:ilvl="3" w:tplc="77E0534C" w:tentative="1">
      <w:start w:val="1"/>
      <w:numFmt w:val="decimal"/>
      <w:lvlText w:val="%4."/>
      <w:lvlJc w:val="left"/>
      <w:pPr>
        <w:tabs>
          <w:tab w:val="num" w:pos="2880"/>
        </w:tabs>
        <w:ind w:left="2880" w:hanging="360"/>
      </w:pPr>
    </w:lvl>
    <w:lvl w:ilvl="4" w:tplc="F6F0DF64" w:tentative="1">
      <w:start w:val="1"/>
      <w:numFmt w:val="decimal"/>
      <w:lvlText w:val="%5."/>
      <w:lvlJc w:val="left"/>
      <w:pPr>
        <w:tabs>
          <w:tab w:val="num" w:pos="3600"/>
        </w:tabs>
        <w:ind w:left="3600" w:hanging="360"/>
      </w:pPr>
    </w:lvl>
    <w:lvl w:ilvl="5" w:tplc="C262AAAE" w:tentative="1">
      <w:start w:val="1"/>
      <w:numFmt w:val="decimal"/>
      <w:lvlText w:val="%6."/>
      <w:lvlJc w:val="left"/>
      <w:pPr>
        <w:tabs>
          <w:tab w:val="num" w:pos="4320"/>
        </w:tabs>
        <w:ind w:left="4320" w:hanging="360"/>
      </w:pPr>
    </w:lvl>
    <w:lvl w:ilvl="6" w:tplc="7FD6C056" w:tentative="1">
      <w:start w:val="1"/>
      <w:numFmt w:val="decimal"/>
      <w:lvlText w:val="%7."/>
      <w:lvlJc w:val="left"/>
      <w:pPr>
        <w:tabs>
          <w:tab w:val="num" w:pos="5040"/>
        </w:tabs>
        <w:ind w:left="5040" w:hanging="360"/>
      </w:pPr>
    </w:lvl>
    <w:lvl w:ilvl="7" w:tplc="53AA00A0" w:tentative="1">
      <w:start w:val="1"/>
      <w:numFmt w:val="decimal"/>
      <w:lvlText w:val="%8."/>
      <w:lvlJc w:val="left"/>
      <w:pPr>
        <w:tabs>
          <w:tab w:val="num" w:pos="5760"/>
        </w:tabs>
        <w:ind w:left="5760" w:hanging="360"/>
      </w:pPr>
    </w:lvl>
    <w:lvl w:ilvl="8" w:tplc="614AF0A2" w:tentative="1">
      <w:start w:val="1"/>
      <w:numFmt w:val="decimal"/>
      <w:lvlText w:val="%9."/>
      <w:lvlJc w:val="left"/>
      <w:pPr>
        <w:tabs>
          <w:tab w:val="num" w:pos="6480"/>
        </w:tabs>
        <w:ind w:left="6480" w:hanging="360"/>
      </w:pPr>
    </w:lvl>
  </w:abstractNum>
  <w:abstractNum w:abstractNumId="3" w15:restartNumberingAfterBreak="0">
    <w:nsid w:val="533732F4"/>
    <w:multiLevelType w:val="hybridMultilevel"/>
    <w:tmpl w:val="DF1A9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213B"/>
    <w:rsid w:val="00036267"/>
    <w:rsid w:val="00051A1D"/>
    <w:rsid w:val="00066827"/>
    <w:rsid w:val="00076CE8"/>
    <w:rsid w:val="00093DD0"/>
    <w:rsid w:val="000A64A5"/>
    <w:rsid w:val="000D487B"/>
    <w:rsid w:val="000E7B00"/>
    <w:rsid w:val="00274693"/>
    <w:rsid w:val="002C47EF"/>
    <w:rsid w:val="002D18E6"/>
    <w:rsid w:val="0031458B"/>
    <w:rsid w:val="00360E1B"/>
    <w:rsid w:val="0038010A"/>
    <w:rsid w:val="0038310B"/>
    <w:rsid w:val="003F0D40"/>
    <w:rsid w:val="003F7D2C"/>
    <w:rsid w:val="00491D76"/>
    <w:rsid w:val="004D0AD7"/>
    <w:rsid w:val="004D1C13"/>
    <w:rsid w:val="004D6413"/>
    <w:rsid w:val="004F1048"/>
    <w:rsid w:val="005473F9"/>
    <w:rsid w:val="005944BE"/>
    <w:rsid w:val="005A60E1"/>
    <w:rsid w:val="005E04BC"/>
    <w:rsid w:val="006C6913"/>
    <w:rsid w:val="00766F9B"/>
    <w:rsid w:val="007C1121"/>
    <w:rsid w:val="008451FF"/>
    <w:rsid w:val="00890C93"/>
    <w:rsid w:val="008B4214"/>
    <w:rsid w:val="0095213B"/>
    <w:rsid w:val="00992259"/>
    <w:rsid w:val="00A242F2"/>
    <w:rsid w:val="00AC1798"/>
    <w:rsid w:val="00B176F4"/>
    <w:rsid w:val="00B77C2C"/>
    <w:rsid w:val="00BA5974"/>
    <w:rsid w:val="00BC231C"/>
    <w:rsid w:val="00C53380"/>
    <w:rsid w:val="00CE5D3D"/>
    <w:rsid w:val="00CF3421"/>
    <w:rsid w:val="00CF4DBB"/>
    <w:rsid w:val="00D1087E"/>
    <w:rsid w:val="00E17E58"/>
    <w:rsid w:val="00E96AA8"/>
    <w:rsid w:val="00EE112C"/>
    <w:rsid w:val="00F008A4"/>
    <w:rsid w:val="00F0532E"/>
    <w:rsid w:val="00FA2E45"/>
    <w:rsid w:val="00FF27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E917B9"/>
  <w15:chartTrackingRefBased/>
  <w15:docId w15:val="{AA05479C-5873-4374-9567-8A1D4A6D7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6A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1533256">
      <w:bodyDiv w:val="1"/>
      <w:marLeft w:val="0"/>
      <w:marRight w:val="0"/>
      <w:marTop w:val="0"/>
      <w:marBottom w:val="0"/>
      <w:divBdr>
        <w:top w:val="none" w:sz="0" w:space="0" w:color="auto"/>
        <w:left w:val="none" w:sz="0" w:space="0" w:color="auto"/>
        <w:bottom w:val="none" w:sz="0" w:space="0" w:color="auto"/>
        <w:right w:val="none" w:sz="0" w:space="0" w:color="auto"/>
      </w:divBdr>
      <w:divsChild>
        <w:div w:id="1167596039">
          <w:marLeft w:val="806"/>
          <w:marRight w:val="0"/>
          <w:marTop w:val="0"/>
          <w:marBottom w:val="0"/>
          <w:divBdr>
            <w:top w:val="none" w:sz="0" w:space="0" w:color="auto"/>
            <w:left w:val="none" w:sz="0" w:space="0" w:color="auto"/>
            <w:bottom w:val="none" w:sz="0" w:space="0" w:color="auto"/>
            <w:right w:val="none" w:sz="0" w:space="0" w:color="auto"/>
          </w:divBdr>
        </w:div>
        <w:div w:id="491605200">
          <w:marLeft w:val="806"/>
          <w:marRight w:val="0"/>
          <w:marTop w:val="0"/>
          <w:marBottom w:val="0"/>
          <w:divBdr>
            <w:top w:val="none" w:sz="0" w:space="0" w:color="auto"/>
            <w:left w:val="none" w:sz="0" w:space="0" w:color="auto"/>
            <w:bottom w:val="none" w:sz="0" w:space="0" w:color="auto"/>
            <w:right w:val="none" w:sz="0" w:space="0" w:color="auto"/>
          </w:divBdr>
        </w:div>
        <w:div w:id="500199801">
          <w:marLeft w:val="720"/>
          <w:marRight w:val="0"/>
          <w:marTop w:val="0"/>
          <w:marBottom w:val="0"/>
          <w:divBdr>
            <w:top w:val="none" w:sz="0" w:space="0" w:color="auto"/>
            <w:left w:val="none" w:sz="0" w:space="0" w:color="auto"/>
            <w:bottom w:val="none" w:sz="0" w:space="0" w:color="auto"/>
            <w:right w:val="none" w:sz="0" w:space="0" w:color="auto"/>
          </w:divBdr>
        </w:div>
        <w:div w:id="1026828557">
          <w:marLeft w:val="720"/>
          <w:marRight w:val="0"/>
          <w:marTop w:val="0"/>
          <w:marBottom w:val="0"/>
          <w:divBdr>
            <w:top w:val="none" w:sz="0" w:space="0" w:color="auto"/>
            <w:left w:val="none" w:sz="0" w:space="0" w:color="auto"/>
            <w:bottom w:val="none" w:sz="0" w:space="0" w:color="auto"/>
            <w:right w:val="none" w:sz="0" w:space="0" w:color="auto"/>
          </w:divBdr>
        </w:div>
        <w:div w:id="1051926999">
          <w:marLeft w:val="720"/>
          <w:marRight w:val="0"/>
          <w:marTop w:val="0"/>
          <w:marBottom w:val="0"/>
          <w:divBdr>
            <w:top w:val="none" w:sz="0" w:space="0" w:color="auto"/>
            <w:left w:val="none" w:sz="0" w:space="0" w:color="auto"/>
            <w:bottom w:val="none" w:sz="0" w:space="0" w:color="auto"/>
            <w:right w:val="none" w:sz="0" w:space="0" w:color="auto"/>
          </w:divBdr>
        </w:div>
        <w:div w:id="1666474483">
          <w:marLeft w:val="720"/>
          <w:marRight w:val="0"/>
          <w:marTop w:val="0"/>
          <w:marBottom w:val="0"/>
          <w:divBdr>
            <w:top w:val="none" w:sz="0" w:space="0" w:color="auto"/>
            <w:left w:val="none" w:sz="0" w:space="0" w:color="auto"/>
            <w:bottom w:val="none" w:sz="0" w:space="0" w:color="auto"/>
            <w:right w:val="none" w:sz="0" w:space="0" w:color="auto"/>
          </w:divBdr>
        </w:div>
        <w:div w:id="623315576">
          <w:marLeft w:val="720"/>
          <w:marRight w:val="0"/>
          <w:marTop w:val="0"/>
          <w:marBottom w:val="0"/>
          <w:divBdr>
            <w:top w:val="none" w:sz="0" w:space="0" w:color="auto"/>
            <w:left w:val="none" w:sz="0" w:space="0" w:color="auto"/>
            <w:bottom w:val="none" w:sz="0" w:space="0" w:color="auto"/>
            <w:right w:val="none" w:sz="0" w:space="0" w:color="auto"/>
          </w:divBdr>
        </w:div>
        <w:div w:id="1580210980">
          <w:marLeft w:val="720"/>
          <w:marRight w:val="0"/>
          <w:marTop w:val="0"/>
          <w:marBottom w:val="0"/>
          <w:divBdr>
            <w:top w:val="none" w:sz="0" w:space="0" w:color="auto"/>
            <w:left w:val="none" w:sz="0" w:space="0" w:color="auto"/>
            <w:bottom w:val="none" w:sz="0" w:space="0" w:color="auto"/>
            <w:right w:val="none" w:sz="0" w:space="0" w:color="auto"/>
          </w:divBdr>
        </w:div>
        <w:div w:id="352269486">
          <w:marLeft w:val="720"/>
          <w:marRight w:val="0"/>
          <w:marTop w:val="0"/>
          <w:marBottom w:val="0"/>
          <w:divBdr>
            <w:top w:val="none" w:sz="0" w:space="0" w:color="auto"/>
            <w:left w:val="none" w:sz="0" w:space="0" w:color="auto"/>
            <w:bottom w:val="none" w:sz="0" w:space="0" w:color="auto"/>
            <w:right w:val="none" w:sz="0" w:space="0" w:color="auto"/>
          </w:divBdr>
        </w:div>
        <w:div w:id="112213437">
          <w:marLeft w:val="720"/>
          <w:marRight w:val="0"/>
          <w:marTop w:val="0"/>
          <w:marBottom w:val="0"/>
          <w:divBdr>
            <w:top w:val="none" w:sz="0" w:space="0" w:color="auto"/>
            <w:left w:val="none" w:sz="0" w:space="0" w:color="auto"/>
            <w:bottom w:val="none" w:sz="0" w:space="0" w:color="auto"/>
            <w:right w:val="none" w:sz="0" w:space="0" w:color="auto"/>
          </w:divBdr>
        </w:div>
        <w:div w:id="589198877">
          <w:marLeft w:val="720"/>
          <w:marRight w:val="0"/>
          <w:marTop w:val="0"/>
          <w:marBottom w:val="0"/>
          <w:divBdr>
            <w:top w:val="none" w:sz="0" w:space="0" w:color="auto"/>
            <w:left w:val="none" w:sz="0" w:space="0" w:color="auto"/>
            <w:bottom w:val="none" w:sz="0" w:space="0" w:color="auto"/>
            <w:right w:val="none" w:sz="0" w:space="0" w:color="auto"/>
          </w:divBdr>
        </w:div>
      </w:divsChild>
    </w:div>
    <w:div w:id="2080708676">
      <w:bodyDiv w:val="1"/>
      <w:marLeft w:val="0"/>
      <w:marRight w:val="0"/>
      <w:marTop w:val="0"/>
      <w:marBottom w:val="0"/>
      <w:divBdr>
        <w:top w:val="none" w:sz="0" w:space="0" w:color="auto"/>
        <w:left w:val="none" w:sz="0" w:space="0" w:color="auto"/>
        <w:bottom w:val="none" w:sz="0" w:space="0" w:color="auto"/>
        <w:right w:val="none" w:sz="0" w:space="0" w:color="auto"/>
      </w:divBdr>
      <w:divsChild>
        <w:div w:id="911045084">
          <w:marLeft w:val="720"/>
          <w:marRight w:val="0"/>
          <w:marTop w:val="0"/>
          <w:marBottom w:val="0"/>
          <w:divBdr>
            <w:top w:val="none" w:sz="0" w:space="0" w:color="auto"/>
            <w:left w:val="none" w:sz="0" w:space="0" w:color="auto"/>
            <w:bottom w:val="none" w:sz="0" w:space="0" w:color="auto"/>
            <w:right w:val="none" w:sz="0" w:space="0" w:color="auto"/>
          </w:divBdr>
        </w:div>
        <w:div w:id="1134444724">
          <w:marLeft w:val="720"/>
          <w:marRight w:val="0"/>
          <w:marTop w:val="0"/>
          <w:marBottom w:val="0"/>
          <w:divBdr>
            <w:top w:val="none" w:sz="0" w:space="0" w:color="auto"/>
            <w:left w:val="none" w:sz="0" w:space="0" w:color="auto"/>
            <w:bottom w:val="none" w:sz="0" w:space="0" w:color="auto"/>
            <w:right w:val="none" w:sz="0" w:space="0" w:color="auto"/>
          </w:divBdr>
        </w:div>
        <w:div w:id="1814981008">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5</Pages>
  <Words>2111</Words>
  <Characters>12033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Martinez</dc:creator>
  <cp:keywords/>
  <dc:description/>
  <cp:lastModifiedBy>Marta Martinez</cp:lastModifiedBy>
  <cp:revision>45</cp:revision>
  <dcterms:created xsi:type="dcterms:W3CDTF">2016-05-25T02:27:00Z</dcterms:created>
  <dcterms:modified xsi:type="dcterms:W3CDTF">2016-05-25T04:18:00Z</dcterms:modified>
</cp:coreProperties>
</file>