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FE" w:rsidRPr="00C47E14" w:rsidRDefault="00105CFE" w:rsidP="00321FF7">
      <w:pPr>
        <w:jc w:val="center"/>
        <w:rPr>
          <w:rFonts w:ascii="Calibri" w:hAnsi="Calibri"/>
          <w:sz w:val="22"/>
          <w:szCs w:val="22"/>
          <w:lang w:val="es-ES"/>
        </w:rPr>
      </w:pPr>
      <w:bookmarkStart w:id="0" w:name="_GoBack"/>
      <w:bookmarkEnd w:id="0"/>
      <w:r w:rsidRPr="00C47E14">
        <w:rPr>
          <w:rFonts w:ascii="Calibri" w:hAnsi="Calibri"/>
          <w:b/>
          <w:sz w:val="22"/>
          <w:szCs w:val="22"/>
          <w:lang w:val="es-ES"/>
        </w:rPr>
        <w:t xml:space="preserve">INFORME No. </w:t>
      </w:r>
      <w:r>
        <w:rPr>
          <w:rFonts w:ascii="Calibri" w:hAnsi="Calibri"/>
          <w:b/>
          <w:sz w:val="22"/>
          <w:szCs w:val="22"/>
          <w:lang w:val="es-ES"/>
        </w:rPr>
        <w:t>98</w:t>
      </w:r>
      <w:r w:rsidRPr="00C47E14">
        <w:rPr>
          <w:rFonts w:ascii="Calibri" w:hAnsi="Calibri"/>
          <w:b/>
          <w:sz w:val="22"/>
          <w:szCs w:val="22"/>
          <w:lang w:val="es-ES"/>
        </w:rPr>
        <w:t>/13</w:t>
      </w:r>
    </w:p>
    <w:p w:rsidR="00105CFE" w:rsidRPr="00C47E14" w:rsidRDefault="00105CFE" w:rsidP="00321FF7">
      <w:pPr>
        <w:jc w:val="center"/>
        <w:rPr>
          <w:rFonts w:ascii="Calibri" w:hAnsi="Calibri"/>
          <w:sz w:val="22"/>
          <w:szCs w:val="22"/>
          <w:lang w:val="es-ES"/>
        </w:rPr>
      </w:pPr>
      <w:r w:rsidRPr="00C47E14">
        <w:rPr>
          <w:rFonts w:ascii="Calibri" w:hAnsi="Calibri"/>
          <w:sz w:val="22"/>
          <w:szCs w:val="22"/>
          <w:lang w:val="es-ES"/>
        </w:rPr>
        <w:t>DECISIÓN DE ARCHIVO</w:t>
      </w:r>
    </w:p>
    <w:p w:rsidR="00105CFE" w:rsidRPr="00C47E14" w:rsidRDefault="00105CFE" w:rsidP="00321FF7">
      <w:pPr>
        <w:jc w:val="center"/>
        <w:rPr>
          <w:rFonts w:ascii="Calibri" w:hAnsi="Calibri"/>
          <w:sz w:val="22"/>
          <w:szCs w:val="22"/>
          <w:lang w:val="es-ES"/>
        </w:rPr>
      </w:pPr>
      <w:r w:rsidRPr="00C47E14">
        <w:rPr>
          <w:rFonts w:ascii="Calibri" w:hAnsi="Calibri"/>
          <w:sz w:val="22"/>
          <w:szCs w:val="22"/>
          <w:lang w:val="es-ES"/>
        </w:rPr>
        <w:t>PETICIÓN 585-01</w:t>
      </w:r>
    </w:p>
    <w:p w:rsidR="00105CFE" w:rsidRPr="00C47E14" w:rsidRDefault="00105CFE" w:rsidP="00321FF7">
      <w:pPr>
        <w:jc w:val="center"/>
        <w:rPr>
          <w:rFonts w:ascii="Calibri" w:hAnsi="Calibri"/>
          <w:sz w:val="22"/>
          <w:szCs w:val="22"/>
          <w:lang w:val="es-ES"/>
        </w:rPr>
      </w:pPr>
      <w:r w:rsidRPr="00C47E14">
        <w:rPr>
          <w:rFonts w:ascii="Calibri" w:hAnsi="Calibri"/>
          <w:sz w:val="22"/>
          <w:szCs w:val="22"/>
          <w:lang w:val="es-ES"/>
        </w:rPr>
        <w:t>PANAM</w:t>
      </w:r>
      <w:r w:rsidRPr="00C47E14">
        <w:rPr>
          <w:rFonts w:ascii="Calibri" w:hAnsi="Calibri"/>
          <w:sz w:val="22"/>
          <w:szCs w:val="22"/>
          <w:lang w:val="es-MX"/>
        </w:rPr>
        <w:t>Á</w:t>
      </w:r>
    </w:p>
    <w:p w:rsidR="00105CFE" w:rsidRPr="00C47E14" w:rsidRDefault="00105CFE" w:rsidP="00321FF7">
      <w:pPr>
        <w:jc w:val="center"/>
        <w:rPr>
          <w:rFonts w:ascii="Calibri" w:hAnsi="Calibri"/>
          <w:sz w:val="22"/>
          <w:szCs w:val="22"/>
          <w:lang w:val="es-ES"/>
        </w:rPr>
      </w:pPr>
      <w:r>
        <w:rPr>
          <w:rFonts w:ascii="Calibri" w:hAnsi="Calibri"/>
          <w:sz w:val="22"/>
          <w:szCs w:val="22"/>
          <w:lang w:val="es-ES"/>
        </w:rPr>
        <w:t>4</w:t>
      </w:r>
      <w:r w:rsidRPr="00C47E14">
        <w:rPr>
          <w:rFonts w:ascii="Calibri" w:hAnsi="Calibri"/>
          <w:sz w:val="22"/>
          <w:szCs w:val="22"/>
          <w:lang w:val="es-ES"/>
        </w:rPr>
        <w:t xml:space="preserve"> de noviembre de 2013 </w:t>
      </w:r>
    </w:p>
    <w:p w:rsidR="00105CFE" w:rsidRPr="00C47E14" w:rsidRDefault="00105CFE" w:rsidP="00321FF7">
      <w:pPr>
        <w:jc w:val="center"/>
        <w:rPr>
          <w:rFonts w:ascii="Calibri" w:hAnsi="Calibri"/>
          <w:sz w:val="22"/>
          <w:szCs w:val="22"/>
          <w:lang w:val="es-ES"/>
        </w:rPr>
      </w:pPr>
    </w:p>
    <w:p w:rsidR="00105CFE" w:rsidRPr="00C47E14" w:rsidRDefault="00105CFE" w:rsidP="00321FF7">
      <w:pPr>
        <w:jc w:val="center"/>
        <w:rPr>
          <w:rFonts w:ascii="Calibri" w:hAnsi="Calibri"/>
          <w:sz w:val="22"/>
          <w:szCs w:val="22"/>
          <w:lang w:val="es-ES"/>
        </w:rPr>
      </w:pPr>
    </w:p>
    <w:p w:rsidR="00105CFE" w:rsidRPr="00C47E14" w:rsidRDefault="00105CFE" w:rsidP="00321FF7">
      <w:pPr>
        <w:ind w:left="3600" w:hanging="3600"/>
        <w:jc w:val="both"/>
        <w:rPr>
          <w:rFonts w:ascii="Calibri" w:hAnsi="Calibri"/>
          <w:sz w:val="22"/>
          <w:szCs w:val="22"/>
          <w:lang w:val="es-ES"/>
        </w:rPr>
      </w:pPr>
      <w:r w:rsidRPr="00C47E14">
        <w:rPr>
          <w:rFonts w:ascii="Calibri" w:hAnsi="Calibri"/>
          <w:b/>
          <w:sz w:val="22"/>
          <w:szCs w:val="22"/>
          <w:lang w:val="es-MX"/>
        </w:rPr>
        <w:t xml:space="preserve">PRESUNTAS </w:t>
      </w:r>
      <w:r w:rsidRPr="00C47E14">
        <w:rPr>
          <w:rFonts w:ascii="Calibri" w:hAnsi="Calibri"/>
          <w:b/>
          <w:sz w:val="22"/>
          <w:szCs w:val="22"/>
          <w:lang w:val="es-ES"/>
        </w:rPr>
        <w:t>VÍCTIMAS:</w:t>
      </w:r>
      <w:r w:rsidRPr="00C47E14">
        <w:rPr>
          <w:rFonts w:ascii="Calibri" w:hAnsi="Calibri"/>
          <w:b/>
          <w:sz w:val="22"/>
          <w:szCs w:val="22"/>
          <w:lang w:val="es-ES"/>
        </w:rPr>
        <w:tab/>
      </w:r>
      <w:r w:rsidRPr="00C47E14">
        <w:rPr>
          <w:rFonts w:ascii="Calibri" w:hAnsi="Calibri"/>
          <w:sz w:val="22"/>
          <w:szCs w:val="22"/>
          <w:lang w:val="es-MX"/>
        </w:rPr>
        <w:t>Jorge Eli</w:t>
      </w:r>
      <w:r w:rsidRPr="00C47E14">
        <w:rPr>
          <w:rFonts w:ascii="Calibri" w:hAnsi="Calibri"/>
          <w:sz w:val="22"/>
          <w:szCs w:val="22"/>
          <w:lang w:val="es-ES"/>
        </w:rPr>
        <w:t>é</w:t>
      </w:r>
      <w:proofErr w:type="spellStart"/>
      <w:r w:rsidRPr="00C47E14">
        <w:rPr>
          <w:rFonts w:ascii="Calibri" w:hAnsi="Calibri"/>
          <w:sz w:val="22"/>
          <w:szCs w:val="22"/>
          <w:lang w:val="es-MX"/>
        </w:rPr>
        <w:t>cer</w:t>
      </w:r>
      <w:proofErr w:type="spellEnd"/>
      <w:r w:rsidRPr="00C47E14">
        <w:rPr>
          <w:rFonts w:ascii="Calibri" w:hAnsi="Calibri"/>
          <w:sz w:val="22"/>
          <w:szCs w:val="22"/>
          <w:lang w:val="es-MX"/>
        </w:rPr>
        <w:t xml:space="preserve"> Bernal Guzmán y otros</w:t>
      </w:r>
    </w:p>
    <w:p w:rsidR="00105CFE" w:rsidRPr="00C47E14" w:rsidRDefault="00105CFE" w:rsidP="00321FF7">
      <w:pPr>
        <w:ind w:left="720" w:hanging="720"/>
        <w:jc w:val="both"/>
        <w:rPr>
          <w:rFonts w:ascii="Calibri" w:hAnsi="Calibri"/>
          <w:b/>
          <w:sz w:val="22"/>
          <w:szCs w:val="22"/>
          <w:lang w:val="es-ES"/>
        </w:rPr>
      </w:pPr>
    </w:p>
    <w:p w:rsidR="00105CFE" w:rsidRPr="00C47E14" w:rsidRDefault="00105CFE" w:rsidP="00321FF7">
      <w:pPr>
        <w:ind w:left="3600" w:hanging="3600"/>
        <w:jc w:val="both"/>
        <w:rPr>
          <w:rFonts w:ascii="Calibri" w:hAnsi="Calibri"/>
          <w:sz w:val="22"/>
          <w:szCs w:val="22"/>
          <w:lang w:val="es-MX"/>
        </w:rPr>
      </w:pPr>
      <w:r w:rsidRPr="00C47E14">
        <w:rPr>
          <w:rFonts w:ascii="Calibri" w:hAnsi="Calibri"/>
          <w:b/>
          <w:sz w:val="22"/>
          <w:szCs w:val="22"/>
          <w:lang w:val="es-ES"/>
        </w:rPr>
        <w:t xml:space="preserve">PETICIONARIOS: </w:t>
      </w:r>
      <w:r w:rsidRPr="00C47E14">
        <w:rPr>
          <w:rFonts w:ascii="Calibri" w:hAnsi="Calibri"/>
          <w:b/>
          <w:sz w:val="22"/>
          <w:szCs w:val="22"/>
          <w:lang w:val="es-ES"/>
        </w:rPr>
        <w:tab/>
      </w:r>
      <w:r w:rsidRPr="00C47E14">
        <w:rPr>
          <w:rFonts w:ascii="Calibri" w:hAnsi="Calibri"/>
          <w:sz w:val="22"/>
          <w:szCs w:val="22"/>
          <w:lang w:val="es-MX"/>
        </w:rPr>
        <w:t xml:space="preserve">Rosa </w:t>
      </w:r>
      <w:proofErr w:type="spellStart"/>
      <w:r w:rsidRPr="00C47E14">
        <w:rPr>
          <w:rFonts w:ascii="Calibri" w:hAnsi="Calibri"/>
          <w:sz w:val="22"/>
          <w:szCs w:val="22"/>
          <w:lang w:val="es-MX"/>
        </w:rPr>
        <w:t>Chitrit</w:t>
      </w:r>
      <w:proofErr w:type="spellEnd"/>
      <w:r w:rsidRPr="00C47E14">
        <w:rPr>
          <w:rFonts w:ascii="Calibri" w:hAnsi="Calibri"/>
          <w:sz w:val="22"/>
          <w:szCs w:val="22"/>
          <w:lang w:val="es-MX"/>
        </w:rPr>
        <w:t xml:space="preserve"> de Bernal, Comisión para la Defensa de los Derechos Humanos en Centroamérica (CODEHUCA). </w:t>
      </w:r>
    </w:p>
    <w:p w:rsidR="00105CFE" w:rsidRPr="00C47E14" w:rsidRDefault="00105CFE" w:rsidP="00321FF7">
      <w:pPr>
        <w:ind w:left="3600" w:hanging="3600"/>
        <w:jc w:val="both"/>
        <w:rPr>
          <w:rFonts w:ascii="Calibri" w:hAnsi="Calibri"/>
          <w:b/>
          <w:sz w:val="22"/>
          <w:szCs w:val="22"/>
          <w:lang w:val="es-ES"/>
        </w:rPr>
      </w:pPr>
    </w:p>
    <w:p w:rsidR="00105CFE" w:rsidRPr="00C47E14" w:rsidRDefault="00105CFE" w:rsidP="00321FF7">
      <w:pPr>
        <w:ind w:left="720" w:hanging="720"/>
        <w:jc w:val="both"/>
        <w:rPr>
          <w:rFonts w:ascii="Calibri" w:hAnsi="Calibri"/>
          <w:b/>
          <w:sz w:val="22"/>
          <w:szCs w:val="22"/>
          <w:lang w:val="es-ES"/>
        </w:rPr>
      </w:pPr>
    </w:p>
    <w:p w:rsidR="00105CFE" w:rsidRPr="00C47E14" w:rsidRDefault="00105CFE" w:rsidP="00321FF7">
      <w:pPr>
        <w:ind w:left="3600" w:hanging="3600"/>
        <w:jc w:val="both"/>
        <w:rPr>
          <w:rFonts w:ascii="Calibri" w:hAnsi="Calibri"/>
          <w:sz w:val="22"/>
          <w:szCs w:val="22"/>
          <w:lang w:val="es-ES"/>
        </w:rPr>
      </w:pPr>
      <w:r w:rsidRPr="00C47E14">
        <w:rPr>
          <w:rFonts w:ascii="Calibri" w:hAnsi="Calibri"/>
          <w:b/>
          <w:sz w:val="22"/>
          <w:szCs w:val="22"/>
          <w:lang w:val="es-ES"/>
        </w:rPr>
        <w:t>VIOLACIONES ALEGADAS:</w:t>
      </w:r>
      <w:r w:rsidRPr="00C47E14">
        <w:rPr>
          <w:rFonts w:ascii="Calibri" w:hAnsi="Calibri"/>
          <w:b/>
          <w:sz w:val="22"/>
          <w:szCs w:val="22"/>
          <w:lang w:val="es-ES"/>
        </w:rPr>
        <w:tab/>
      </w:r>
      <w:r w:rsidRPr="00C47E14">
        <w:rPr>
          <w:rFonts w:ascii="Calibri" w:hAnsi="Calibri"/>
          <w:sz w:val="22"/>
          <w:szCs w:val="22"/>
          <w:lang w:val="es-ES"/>
        </w:rPr>
        <w:t xml:space="preserve">Artículos 5, 8 y 24 de la Convención Americana sobre Derechos Humanos </w:t>
      </w:r>
    </w:p>
    <w:p w:rsidR="00105CFE" w:rsidRPr="00C47E14" w:rsidRDefault="00105CFE" w:rsidP="00321FF7">
      <w:pPr>
        <w:ind w:left="720" w:hanging="720"/>
        <w:jc w:val="both"/>
        <w:rPr>
          <w:rFonts w:ascii="Calibri" w:hAnsi="Calibri"/>
          <w:b/>
          <w:sz w:val="22"/>
          <w:szCs w:val="22"/>
          <w:lang w:val="es-ES"/>
        </w:rPr>
      </w:pPr>
    </w:p>
    <w:p w:rsidR="00105CFE" w:rsidRPr="00C47E14" w:rsidRDefault="00105CFE" w:rsidP="00321FF7">
      <w:pPr>
        <w:ind w:left="720" w:hanging="720"/>
        <w:jc w:val="both"/>
        <w:rPr>
          <w:rFonts w:ascii="Calibri" w:hAnsi="Calibri"/>
          <w:b/>
          <w:sz w:val="22"/>
          <w:szCs w:val="22"/>
          <w:lang w:val="es-ES"/>
        </w:rPr>
      </w:pPr>
    </w:p>
    <w:p w:rsidR="00105CFE" w:rsidRPr="00C47E14" w:rsidRDefault="00105CFE" w:rsidP="00F021FB">
      <w:pPr>
        <w:ind w:left="720" w:hanging="720"/>
        <w:jc w:val="both"/>
        <w:rPr>
          <w:rFonts w:ascii="Calibri" w:hAnsi="Calibri"/>
          <w:sz w:val="22"/>
          <w:szCs w:val="22"/>
          <w:lang w:val="es-ES"/>
        </w:rPr>
      </w:pPr>
      <w:r w:rsidRPr="00C47E14">
        <w:rPr>
          <w:rFonts w:ascii="Calibri" w:hAnsi="Calibri"/>
          <w:b/>
          <w:sz w:val="22"/>
          <w:szCs w:val="22"/>
          <w:lang w:val="es-ES"/>
        </w:rPr>
        <w:t>FECHA DE INICIO DE TRÁMITE:</w:t>
      </w:r>
      <w:r w:rsidRPr="00C47E14">
        <w:rPr>
          <w:rFonts w:ascii="Calibri" w:hAnsi="Calibri"/>
          <w:b/>
          <w:sz w:val="22"/>
          <w:szCs w:val="22"/>
          <w:lang w:val="es-ES"/>
        </w:rPr>
        <w:tab/>
      </w:r>
      <w:r w:rsidRPr="00C47E14">
        <w:rPr>
          <w:rFonts w:ascii="Calibri" w:hAnsi="Calibri"/>
          <w:b/>
          <w:sz w:val="22"/>
          <w:szCs w:val="22"/>
          <w:lang w:val="es-ES"/>
        </w:rPr>
        <w:tab/>
      </w:r>
      <w:r w:rsidRPr="00C47E14">
        <w:rPr>
          <w:rFonts w:ascii="Calibri" w:hAnsi="Calibri"/>
          <w:sz w:val="22"/>
          <w:szCs w:val="22"/>
          <w:lang w:val="es-ES"/>
        </w:rPr>
        <w:t xml:space="preserve">24 de agosto de 2001. </w:t>
      </w:r>
    </w:p>
    <w:p w:rsidR="00105CFE" w:rsidRPr="00C47E14" w:rsidRDefault="00105CFE" w:rsidP="00321FF7">
      <w:pPr>
        <w:ind w:left="720" w:hanging="720"/>
        <w:jc w:val="both"/>
        <w:rPr>
          <w:rFonts w:ascii="Calibri" w:hAnsi="Calibri"/>
          <w:sz w:val="22"/>
          <w:szCs w:val="22"/>
          <w:lang w:val="es-ES"/>
        </w:rPr>
      </w:pPr>
    </w:p>
    <w:p w:rsidR="00105CFE" w:rsidRPr="00C47E14" w:rsidRDefault="00105CFE" w:rsidP="00321FF7">
      <w:pPr>
        <w:ind w:left="720" w:hanging="720"/>
        <w:jc w:val="both"/>
        <w:rPr>
          <w:rFonts w:ascii="Calibri" w:hAnsi="Calibri"/>
          <w:sz w:val="22"/>
          <w:szCs w:val="22"/>
          <w:lang w:val="es-ES"/>
        </w:rPr>
      </w:pPr>
    </w:p>
    <w:p w:rsidR="00105CFE" w:rsidRPr="00C47E14" w:rsidRDefault="00105CFE" w:rsidP="00321FF7">
      <w:pPr>
        <w:pStyle w:val="Heading1"/>
        <w:numPr>
          <w:ilvl w:val="0"/>
          <w:numId w:val="1"/>
        </w:numPr>
        <w:spacing w:before="0" w:after="0"/>
        <w:ind w:left="0" w:firstLine="720"/>
        <w:rPr>
          <w:rFonts w:ascii="Calibri" w:hAnsi="Calibri"/>
          <w:sz w:val="22"/>
          <w:szCs w:val="22"/>
        </w:rPr>
      </w:pPr>
      <w:r w:rsidRPr="00C47E14">
        <w:rPr>
          <w:rFonts w:ascii="Calibri" w:hAnsi="Calibri"/>
          <w:sz w:val="22"/>
          <w:szCs w:val="22"/>
        </w:rPr>
        <w:t>I.</w:t>
      </w:r>
      <w:r w:rsidRPr="00C47E14">
        <w:rPr>
          <w:rFonts w:ascii="Calibri" w:hAnsi="Calibri"/>
          <w:sz w:val="22"/>
          <w:szCs w:val="22"/>
        </w:rPr>
        <w:tab/>
        <w:t>POSICIÓN DE LOS PETICIONARIOS</w:t>
      </w:r>
    </w:p>
    <w:p w:rsidR="00105CFE" w:rsidRPr="00C47E14" w:rsidRDefault="00105CFE" w:rsidP="0060412F">
      <w:pPr>
        <w:rPr>
          <w:rFonts w:ascii="Calibri" w:hAnsi="Calibri"/>
          <w:sz w:val="22"/>
          <w:szCs w:val="22"/>
          <w:lang w:val="es-ES"/>
        </w:rPr>
      </w:pPr>
    </w:p>
    <w:p w:rsidR="00105CFE" w:rsidRPr="00C47E14" w:rsidRDefault="00105CFE" w:rsidP="00F021FB">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BO"/>
        </w:rPr>
        <w:t>El 24 de agosto de 2001 la Comisión Interamericana de Derechos Humanos (en adelante “la</w:t>
      </w:r>
      <w:r w:rsidRPr="00C47E14">
        <w:rPr>
          <w:rFonts w:ascii="Calibri" w:hAnsi="Calibri"/>
          <w:sz w:val="22"/>
          <w:szCs w:val="22"/>
          <w:lang w:val="es-ES"/>
        </w:rPr>
        <w:t xml:space="preserve"> CIDH” o “la Comisión”) recibió una denuncia en la que se alegaban violaciones a las garantías judiciales de Jorge Eliécer Bernal Guzmán, en el proceso penal iniciado en su contra por la presunta comisión del delito de homicidio. De acuerdo a lo indicado, el señor Bernal habría sido miembro de las fuerzas armadas panameñas desde 1970 hasta marzo de 1987. </w:t>
      </w:r>
    </w:p>
    <w:p w:rsidR="00105CFE" w:rsidRPr="00C47E14" w:rsidRDefault="00105CFE" w:rsidP="00321FF7">
      <w:pPr>
        <w:ind w:firstLine="720"/>
        <w:jc w:val="both"/>
        <w:rPr>
          <w:rFonts w:ascii="Calibri" w:hAnsi="Calibri"/>
          <w:sz w:val="22"/>
          <w:szCs w:val="22"/>
          <w:lang w:val="es-ES"/>
        </w:rPr>
      </w:pPr>
    </w:p>
    <w:p w:rsidR="00105CFE" w:rsidRPr="00C47E14" w:rsidRDefault="00105CFE" w:rsidP="00F021FB">
      <w:pPr>
        <w:pStyle w:val="BodyText"/>
        <w:numPr>
          <w:ilvl w:val="0"/>
          <w:numId w:val="2"/>
        </w:numPr>
        <w:spacing w:before="0" w:after="0"/>
        <w:ind w:left="0" w:firstLine="720"/>
        <w:jc w:val="both"/>
        <w:rPr>
          <w:rFonts w:ascii="Calibri" w:hAnsi="Calibri"/>
          <w:sz w:val="22"/>
          <w:szCs w:val="22"/>
          <w:lang w:val="es-CL"/>
        </w:rPr>
      </w:pPr>
      <w:r w:rsidRPr="00C47E14">
        <w:rPr>
          <w:rFonts w:ascii="Calibri" w:hAnsi="Calibri"/>
          <w:sz w:val="22"/>
          <w:szCs w:val="22"/>
          <w:lang w:val="es-BO"/>
        </w:rPr>
        <w:t>A</w:t>
      </w:r>
      <w:r w:rsidRPr="00C47E14">
        <w:rPr>
          <w:rFonts w:ascii="Calibri" w:hAnsi="Calibri"/>
          <w:sz w:val="22"/>
          <w:szCs w:val="22"/>
          <w:lang w:val="es-ES"/>
        </w:rPr>
        <w:t>legaron que las autoridades panameñas habrían iniciado una causa penal en contra de varios funcionarios militares, entre éstos el señor Jorge Bernal, por su presunta participación en el asesinato de Manuel Vásquez López, ocurrido el 13 de febrero de 1987 en Panamá. Expresaron que la causa habría sido resuelta en primera instancia por el Segundo Tribunal Superior de Justicia el 6 de julio de 1988 declarando la responsabilidad penal de un militar involucrado, y el sobreseimiento definitivo de Jorge Bernal por no existir “méritos suficientes para su encausamiento”. Indicaron que el señor Bernal habría permanecido en detención preventiva del 10 de marzo de 1987 hasta que fue dictado el sobreseimiento. Indicaron que la Corte Suprema de Justicia el 20 de junio de 1989 confirmó el sobreseimiento; y por certificación del Segundo Tribunal Superior de Justicia del 19 de enero de 1990, se habría acreditado que el sobreseimiento se encontraba ejecutoriado y había adquirido el carácter de cosa juzgada.</w:t>
      </w:r>
      <w:r w:rsidRPr="00C47E14">
        <w:rPr>
          <w:rFonts w:ascii="Calibri" w:hAnsi="Calibri"/>
          <w:sz w:val="22"/>
          <w:szCs w:val="22"/>
          <w:lang w:val="es-CL"/>
        </w:rPr>
        <w:t xml:space="preserve"> </w:t>
      </w:r>
    </w:p>
    <w:p w:rsidR="00105CFE" w:rsidRPr="00C47E14" w:rsidRDefault="00105CFE" w:rsidP="00321FF7">
      <w:pPr>
        <w:ind w:firstLine="720"/>
        <w:jc w:val="both"/>
        <w:rPr>
          <w:rFonts w:ascii="Calibri" w:hAnsi="Calibri"/>
          <w:sz w:val="22"/>
          <w:szCs w:val="22"/>
          <w:lang w:val="es-ES"/>
        </w:rPr>
      </w:pPr>
    </w:p>
    <w:p w:rsidR="00105CFE" w:rsidRPr="00C47E14" w:rsidRDefault="00105CFE" w:rsidP="00F021FB">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Según los peticionarios, después de la decisión de la Corte Suprema, el Ministerio Público habría presentado una solicitud ante el Segundo Tribunal Superior de Justicia del Primer Distrito Judicial, para que se elevara una petición de consulta ante la Corte Suprema respecto a la decisión de sobreseimiento definitivo a favor de la presunta víctima. Indican que la revisión se fundamentaba en el carácter de funcionario público del señor Bernal. El Segundo Tribunal Superior de Justicia habría </w:t>
      </w:r>
      <w:r w:rsidRPr="00C47E14">
        <w:rPr>
          <w:rFonts w:ascii="Calibri" w:hAnsi="Calibri"/>
          <w:sz w:val="22"/>
          <w:szCs w:val="22"/>
          <w:lang w:val="es-ES"/>
        </w:rPr>
        <w:lastRenderedPageBreak/>
        <w:t xml:space="preserve">acordado la solicitud del Ministerio el 5 de abril de 1991. En virtud de ello, la Sala de lo Penal de la Corte Suprema habría revocado la decisión de sobreseimiento a favor de la presunta víctima, el 24 de febrero de 1992. Contra dicha decisión, se habría presentado un incidente de nulidad que fue negado el 26 de abril de 1993. En virtud de ello, se habría iniciado un nuevo proceso en contra del señor Bernal, en el cual, según los peticionarios, se habrían cometido una serie de irregularidades que habrían afectado su derecho a la defensa y a ser juzgado con las debidas garantías. </w:t>
      </w:r>
    </w:p>
    <w:p w:rsidR="00105CFE" w:rsidRPr="00C47E14" w:rsidRDefault="00105CFE" w:rsidP="000A29A1">
      <w:pPr>
        <w:pStyle w:val="BodyText"/>
        <w:spacing w:before="0" w:after="0"/>
        <w:jc w:val="both"/>
        <w:rPr>
          <w:rFonts w:ascii="Calibri" w:hAnsi="Calibri"/>
          <w:sz w:val="22"/>
          <w:szCs w:val="22"/>
          <w:lang w:val="es-ES"/>
        </w:rPr>
      </w:pPr>
    </w:p>
    <w:p w:rsidR="00105CFE" w:rsidRPr="00C47E14" w:rsidRDefault="00105CFE" w:rsidP="004444EC">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Según la petición, se habría presentado un recurso de inconstitucionalidad ante la Corte Suprema de Justicia, contra la decisión de 5 de abril de 1991, alegando que el mismo violentaba el principio del </w:t>
      </w:r>
      <w:r w:rsidRPr="00C47E14">
        <w:rPr>
          <w:rFonts w:ascii="Calibri" w:hAnsi="Calibri"/>
          <w:i/>
          <w:sz w:val="22"/>
          <w:szCs w:val="22"/>
          <w:lang w:val="es-ES"/>
        </w:rPr>
        <w:t>non bis in ídem</w:t>
      </w:r>
      <w:r w:rsidRPr="00C47E14">
        <w:rPr>
          <w:rFonts w:ascii="Calibri" w:hAnsi="Calibri"/>
          <w:sz w:val="22"/>
          <w:szCs w:val="22"/>
          <w:lang w:val="es-ES"/>
        </w:rPr>
        <w:t xml:space="preserve"> y el principio de cosa juzgada, consagrados en la Constitución Política de Panamá. Asimismo, indicaron que se habría presentado una acción de amparo de garantías constitucionales a raíz de una orden de detención dictada en contra del señor Bernal con ocasión de este nuevo proceso, alegando que no habría sido emitida por una autoridad competente.  Los peticionarios indicaron que estas acciones habrían sido desestimadas y se habría continuado con el proceso penal en contra del señor Bernal, quien habría decidido salir del país, por lo que habría sido juzgado en ausencia. </w:t>
      </w:r>
    </w:p>
    <w:p w:rsidR="00105CFE" w:rsidRPr="00C47E14" w:rsidRDefault="00105CFE" w:rsidP="00B10BF0">
      <w:pPr>
        <w:jc w:val="both"/>
        <w:rPr>
          <w:rFonts w:ascii="Calibri" w:hAnsi="Calibri"/>
          <w:sz w:val="22"/>
          <w:szCs w:val="22"/>
          <w:lang w:val="es-ES"/>
        </w:rPr>
      </w:pPr>
    </w:p>
    <w:p w:rsidR="00105CFE" w:rsidRPr="00C47E14" w:rsidRDefault="00105CFE" w:rsidP="004444EC">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Los peticionarios indicaron que el 4 de febrero de 1997, el Segundo Tribunal Superior de Justicia habría dictado una condena de 20 años de prisión en contra del señor Bernal, y que la misma no le habría sido oportunamente notificada. Alegaron que se habrían cometido ciertas irregularidades durante la celebración del juicio y se habría rechazado la presentación de pruebas por parte de la defensa del señor Bernal. Al respecto, indicaron que se habría presentado un recurso de apelación en contra de la referida decisión, pero que el mismo no tenía la naturaleza de permitir la revisión del fondo del asunto, sino solamente lo relativo a la duración de la condena impuesta. Dicho recurso habría sido resuelto por la Corte Suprema de Justicia mediante decisión de 15 de mayo de 1998, confirmando en todos sus términos la decisión de 4 de febrero de 1997. </w:t>
      </w:r>
    </w:p>
    <w:p w:rsidR="00105CFE" w:rsidRPr="00C47E14" w:rsidRDefault="00105CFE" w:rsidP="00B10BF0">
      <w:pPr>
        <w:jc w:val="both"/>
        <w:rPr>
          <w:rFonts w:ascii="Calibri" w:hAnsi="Calibri"/>
          <w:sz w:val="22"/>
          <w:szCs w:val="22"/>
          <w:lang w:val="es-ES"/>
        </w:rPr>
      </w:pPr>
      <w:r w:rsidRPr="00C47E14">
        <w:rPr>
          <w:rFonts w:ascii="Calibri" w:hAnsi="Calibri"/>
          <w:sz w:val="22"/>
          <w:szCs w:val="22"/>
          <w:lang w:val="es-ES"/>
        </w:rPr>
        <w:tab/>
      </w:r>
    </w:p>
    <w:p w:rsidR="00105CFE" w:rsidRPr="00C47E14" w:rsidRDefault="00105CFE" w:rsidP="004444EC">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Al momento de presentación de la petición ante la CIDH, se alegó que la presunta víctima junto a su esposa e hijos, habrían tenido que desplazarse fuera de Panamá porque habrían sido objeto de “persecución política” por parte de las autoridades panameñas. Se indicó, que el señor Bernal habría obtenido asilo político en Guatemala, y luego se habría ubicado en </w:t>
      </w:r>
      <w:smartTag w:uri="urn:schemas-microsoft-com:office:smarttags" w:element="PersonName">
        <w:r w:rsidRPr="00C47E14">
          <w:rPr>
            <w:rFonts w:ascii="Calibri" w:hAnsi="Calibri"/>
            <w:sz w:val="22"/>
            <w:szCs w:val="22"/>
            <w:lang w:val="es-ES"/>
          </w:rPr>
          <w:t>Costa Rica</w:t>
        </w:r>
      </w:smartTag>
      <w:r w:rsidRPr="00C47E14">
        <w:rPr>
          <w:rFonts w:ascii="Calibri" w:hAnsi="Calibri"/>
          <w:sz w:val="22"/>
          <w:szCs w:val="22"/>
          <w:lang w:val="es-ES"/>
        </w:rPr>
        <w:t>, por lo que las autoridades panameñas habrían solicitado a ese país su extradición. Alegaron que si bien se encontraba “prófugo de la justicia”, esto se debía a que consideraba que no existían las condiciones necesarias para ser juzgado en Panamá con las debidas garantías. Sostuvieron que esta situación habría hecho que el señor Bernal permaneciera separado de su familia y fuera de su país.</w:t>
      </w:r>
    </w:p>
    <w:p w:rsidR="00105CFE" w:rsidRPr="00C47E14" w:rsidRDefault="00105CFE" w:rsidP="00B10BF0">
      <w:pPr>
        <w:jc w:val="both"/>
        <w:rPr>
          <w:rFonts w:ascii="Calibri" w:hAnsi="Calibri"/>
          <w:noProof/>
          <w:sz w:val="22"/>
          <w:szCs w:val="22"/>
          <w:lang w:val="es-CL"/>
        </w:rPr>
      </w:pPr>
    </w:p>
    <w:p w:rsidR="00105CFE" w:rsidRPr="00C47E14" w:rsidRDefault="00105CFE" w:rsidP="0062279D">
      <w:pPr>
        <w:ind w:firstLine="720"/>
        <w:rPr>
          <w:rFonts w:ascii="Calibri" w:hAnsi="Calibri"/>
          <w:b/>
          <w:bCs/>
          <w:kern w:val="2"/>
          <w:sz w:val="22"/>
          <w:szCs w:val="22"/>
          <w:lang w:val="es-ES"/>
        </w:rPr>
      </w:pPr>
      <w:r w:rsidRPr="00C47E14">
        <w:rPr>
          <w:rFonts w:ascii="Calibri" w:hAnsi="Calibri"/>
          <w:b/>
          <w:bCs/>
          <w:kern w:val="2"/>
          <w:sz w:val="22"/>
          <w:szCs w:val="22"/>
          <w:lang w:val="es-ES"/>
        </w:rPr>
        <w:t>II.</w:t>
      </w:r>
      <w:r w:rsidRPr="00C47E14">
        <w:rPr>
          <w:rFonts w:ascii="Calibri" w:hAnsi="Calibri"/>
          <w:b/>
          <w:bCs/>
          <w:kern w:val="2"/>
          <w:sz w:val="22"/>
          <w:szCs w:val="22"/>
          <w:lang w:val="es-ES"/>
        </w:rPr>
        <w:tab/>
        <w:t>POSICIÓN DEL ESTADO</w:t>
      </w:r>
    </w:p>
    <w:p w:rsidR="00105CFE" w:rsidRPr="00C47E14" w:rsidRDefault="00105CFE">
      <w:pPr>
        <w:rPr>
          <w:rFonts w:ascii="Calibri" w:hAnsi="Calibri" w:cs="Times New Roman"/>
          <w:sz w:val="22"/>
          <w:szCs w:val="22"/>
          <w:lang w:val="es-ES"/>
        </w:rPr>
      </w:pPr>
    </w:p>
    <w:p w:rsidR="00105CFE" w:rsidRPr="00C47E14" w:rsidRDefault="00105CFE" w:rsidP="004444EC">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El Estado alegó que la petición debía ser declarada inadmisible porque no se habían acreditado violaciones a la Convención Americana y porque no se habían agotado los recursos internos. Sostuvo que en el proceso penal contra el señor Bernal se respetaron las garantías del debido proceso, por lo que consideró que no había incurrido en responsabilidad internacional de conformidad con lo denunciado en la petición. </w:t>
      </w:r>
    </w:p>
    <w:p w:rsidR="00105CFE" w:rsidRPr="00C47E14" w:rsidRDefault="00105CFE" w:rsidP="00236E25">
      <w:pPr>
        <w:jc w:val="both"/>
        <w:rPr>
          <w:rFonts w:ascii="Calibri" w:hAnsi="Calibri"/>
          <w:sz w:val="22"/>
          <w:szCs w:val="22"/>
          <w:lang w:val="es-ES"/>
        </w:rPr>
      </w:pPr>
    </w:p>
    <w:p w:rsidR="00105CFE" w:rsidRPr="00C47E14" w:rsidRDefault="00105CFE" w:rsidP="004444EC">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Sobre los hechos que se alegan como violatorios, sostuvo que la decisión de revocación del sobreseimiento inicialmente dictado a favor del señor Bernal, estuvo fundamentada en el ordenamiento jurídico panameño. En este sentido, adujo que el Código Judicial vigente para la época, establecía que las decisiones dictadas en los procesos contra funcionarios públicos, debían ser </w:t>
      </w:r>
      <w:r w:rsidRPr="00C47E14">
        <w:rPr>
          <w:rFonts w:ascii="Calibri" w:hAnsi="Calibri"/>
          <w:sz w:val="22"/>
          <w:szCs w:val="22"/>
          <w:lang w:val="es-ES"/>
        </w:rPr>
        <w:lastRenderedPageBreak/>
        <w:t xml:space="preserve">consultadas con el superior jerárquico, requisito necesario para que la misma pudiera ser ejecutoriada. En virtud de ello, sostuvo que la decisión de 24 de febrero de 1992 se habría dictado conforme a derecho debido a que los hechos por los cuales fue juzgado el señor Bernal, habrían ocurrido cuando éste era miembro de las Fuerzas de Defensa de Panamá, con el rango de Capitán. De igual forma, sostuvo que la decisión de juzgamiento en ausencia, también se encontraba acorde con la legislación panameña, teniendo en cuenta además que se había asegurado la debida intervención de la defensa legal de la presunta víctima en el desarrollo del juicio. </w:t>
      </w:r>
    </w:p>
    <w:p w:rsidR="00105CFE" w:rsidRPr="00C47E14" w:rsidRDefault="00105CFE" w:rsidP="00236E25">
      <w:pPr>
        <w:jc w:val="both"/>
        <w:rPr>
          <w:rFonts w:ascii="Calibri" w:hAnsi="Calibri"/>
          <w:noProof/>
          <w:sz w:val="22"/>
          <w:szCs w:val="22"/>
          <w:lang w:val="es-ES"/>
        </w:rPr>
      </w:pPr>
    </w:p>
    <w:p w:rsidR="00105CFE" w:rsidRPr="00C47E14" w:rsidRDefault="00105CFE" w:rsidP="00DD1464">
      <w:pPr>
        <w:pStyle w:val="BodyText"/>
        <w:numPr>
          <w:ilvl w:val="0"/>
          <w:numId w:val="2"/>
        </w:numPr>
        <w:spacing w:before="0" w:after="0"/>
        <w:ind w:left="0" w:firstLine="720"/>
        <w:jc w:val="both"/>
        <w:rPr>
          <w:rFonts w:ascii="Calibri" w:hAnsi="Calibri"/>
          <w:noProof/>
          <w:sz w:val="22"/>
          <w:szCs w:val="22"/>
          <w:lang w:val="es-CL"/>
        </w:rPr>
      </w:pPr>
      <w:r w:rsidRPr="00C47E14">
        <w:rPr>
          <w:rFonts w:ascii="Calibri" w:hAnsi="Calibri"/>
          <w:noProof/>
          <w:sz w:val="22"/>
          <w:szCs w:val="22"/>
          <w:lang w:val="es-CL"/>
        </w:rPr>
        <w:t>Agregó que la petición no expon</w:t>
      </w:r>
      <w:r w:rsidRPr="00C47E14">
        <w:rPr>
          <w:rFonts w:ascii="Calibri" w:hAnsi="Calibri"/>
          <w:sz w:val="22"/>
          <w:szCs w:val="22"/>
          <w:lang w:val="es-ES"/>
        </w:rPr>
        <w:t>í</w:t>
      </w:r>
      <w:r w:rsidRPr="00C47E14">
        <w:rPr>
          <w:rFonts w:ascii="Calibri" w:hAnsi="Calibri"/>
          <w:noProof/>
          <w:sz w:val="22"/>
          <w:szCs w:val="22"/>
          <w:lang w:val="es-CL"/>
        </w:rPr>
        <w:t xml:space="preserve">a hechos violatorios a los derechos establecidos en los articulos 5 y 24 de la Convencion Americana y </w:t>
      </w:r>
      <w:r w:rsidRPr="00C47E14">
        <w:rPr>
          <w:rFonts w:ascii="Calibri" w:hAnsi="Calibri"/>
          <w:sz w:val="22"/>
          <w:szCs w:val="22"/>
          <w:lang w:val="es-ES"/>
        </w:rPr>
        <w:t xml:space="preserve">que debido a que la presunta víctima se encontraba prófuga de la justicia, no estaba sometida a detención ni se encontraba bajo disposición de autoridades estatales o bajo circunstancias que pudieran acreditar una posible afectación a su derecho a la integridad personal, que fuera imputable al Estado. Asimismo, negó que haya incurrido en un trato diferenciado en perjuicio del señor Bernal durante el proceso penal seguido en su contra. </w:t>
      </w:r>
    </w:p>
    <w:p w:rsidR="00105CFE" w:rsidRPr="00C47E14" w:rsidRDefault="00105CFE" w:rsidP="00236E25">
      <w:pPr>
        <w:rPr>
          <w:rFonts w:ascii="Calibri" w:hAnsi="Calibri"/>
          <w:noProof/>
          <w:sz w:val="22"/>
          <w:szCs w:val="22"/>
          <w:lang w:val="es-CL"/>
        </w:rPr>
      </w:pPr>
    </w:p>
    <w:p w:rsidR="00105CFE" w:rsidRPr="00C47E14" w:rsidRDefault="00105CFE" w:rsidP="001F5126">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noProof/>
          <w:sz w:val="22"/>
          <w:szCs w:val="22"/>
          <w:lang w:val="es-CL"/>
        </w:rPr>
        <w:t>Sobre el agotamiento de los recursos internos, se</w:t>
      </w:r>
      <w:r w:rsidRPr="00C47E14">
        <w:rPr>
          <w:rFonts w:ascii="Calibri" w:hAnsi="Calibri"/>
          <w:sz w:val="22"/>
          <w:szCs w:val="22"/>
          <w:lang w:val="es-ES"/>
        </w:rPr>
        <w:t>ñ</w:t>
      </w:r>
      <w:r w:rsidRPr="00C47E14">
        <w:rPr>
          <w:rFonts w:ascii="Calibri" w:hAnsi="Calibri"/>
          <w:noProof/>
          <w:sz w:val="22"/>
          <w:szCs w:val="22"/>
          <w:lang w:val="es-CL"/>
        </w:rPr>
        <w:t>al</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 xml:space="preserve"> que se hab</w:t>
      </w:r>
      <w:r w:rsidRPr="00C47E14">
        <w:rPr>
          <w:rFonts w:ascii="Calibri" w:hAnsi="Calibri"/>
          <w:sz w:val="22"/>
          <w:szCs w:val="22"/>
          <w:lang w:val="es-ES"/>
        </w:rPr>
        <w:t>í</w:t>
      </w:r>
      <w:r w:rsidRPr="00C47E14">
        <w:rPr>
          <w:rFonts w:ascii="Calibri" w:hAnsi="Calibri"/>
          <w:noProof/>
          <w:sz w:val="22"/>
          <w:szCs w:val="22"/>
          <w:lang w:val="es-CL"/>
        </w:rPr>
        <w:t>an expedido dos solicitudes de extradici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en contra del se</w:t>
      </w:r>
      <w:r w:rsidRPr="00C47E14">
        <w:rPr>
          <w:rFonts w:ascii="Calibri" w:hAnsi="Calibri"/>
          <w:sz w:val="22"/>
          <w:szCs w:val="22"/>
          <w:lang w:val="es-ES"/>
        </w:rPr>
        <w:t>ñ</w:t>
      </w:r>
      <w:r w:rsidRPr="00C47E14">
        <w:rPr>
          <w:rFonts w:ascii="Calibri" w:hAnsi="Calibri"/>
          <w:noProof/>
          <w:sz w:val="22"/>
          <w:szCs w:val="22"/>
          <w:lang w:val="es-CL"/>
        </w:rPr>
        <w:t>or Bernal en la causa relacionada con los hechos objeto de la presente petici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y en otra causa penal iniciada en su contra. Se</w:t>
      </w:r>
      <w:r w:rsidRPr="00C47E14">
        <w:rPr>
          <w:rFonts w:ascii="Calibri" w:hAnsi="Calibri"/>
          <w:sz w:val="22"/>
          <w:szCs w:val="22"/>
          <w:lang w:val="es-ES"/>
        </w:rPr>
        <w:t>ñ</w:t>
      </w:r>
      <w:r w:rsidRPr="00C47E14">
        <w:rPr>
          <w:rFonts w:ascii="Calibri" w:hAnsi="Calibri"/>
          <w:noProof/>
          <w:sz w:val="22"/>
          <w:szCs w:val="22"/>
          <w:lang w:val="es-CL"/>
        </w:rPr>
        <w:t>al</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 xml:space="preserve"> que debido a que el se</w:t>
      </w:r>
      <w:r w:rsidRPr="00C47E14">
        <w:rPr>
          <w:rFonts w:ascii="Calibri" w:hAnsi="Calibri"/>
          <w:sz w:val="22"/>
          <w:szCs w:val="22"/>
          <w:lang w:val="es-ES"/>
        </w:rPr>
        <w:t>ñ</w:t>
      </w:r>
      <w:r w:rsidRPr="00C47E14">
        <w:rPr>
          <w:rFonts w:ascii="Calibri" w:hAnsi="Calibri"/>
          <w:noProof/>
          <w:sz w:val="22"/>
          <w:szCs w:val="22"/>
          <w:lang w:val="es-CL"/>
        </w:rPr>
        <w:t>or Bernal se encontraba pr</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fugo de la justicia, las autoridades paname</w:t>
      </w:r>
      <w:r w:rsidRPr="00C47E14">
        <w:rPr>
          <w:rFonts w:ascii="Calibri" w:hAnsi="Calibri"/>
          <w:sz w:val="22"/>
          <w:szCs w:val="22"/>
          <w:lang w:val="es-ES"/>
        </w:rPr>
        <w:t>ñ</w:t>
      </w:r>
      <w:r w:rsidRPr="00C47E14">
        <w:rPr>
          <w:rFonts w:ascii="Calibri" w:hAnsi="Calibri"/>
          <w:noProof/>
          <w:sz w:val="22"/>
          <w:szCs w:val="22"/>
          <w:lang w:val="es-CL"/>
        </w:rPr>
        <w:t>as no habr</w:t>
      </w:r>
      <w:r w:rsidRPr="00C47E14">
        <w:rPr>
          <w:rFonts w:ascii="Calibri" w:hAnsi="Calibri"/>
          <w:sz w:val="22"/>
          <w:szCs w:val="22"/>
          <w:lang w:val="es-ES"/>
        </w:rPr>
        <w:t>í</w:t>
      </w:r>
      <w:r w:rsidRPr="00C47E14">
        <w:rPr>
          <w:rFonts w:ascii="Calibri" w:hAnsi="Calibri"/>
          <w:noProof/>
          <w:sz w:val="22"/>
          <w:szCs w:val="22"/>
          <w:lang w:val="es-CL"/>
        </w:rPr>
        <w:t>an podido notificarle formalmente la decisi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definitiva en el proceso seguido en su contra. No obstante, adujo que de acuerdo a la informaci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contenida en el expediente ante la Comisi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se pod</w:t>
      </w:r>
      <w:r w:rsidRPr="00C47E14">
        <w:rPr>
          <w:rFonts w:ascii="Calibri" w:hAnsi="Calibri"/>
          <w:sz w:val="22"/>
          <w:szCs w:val="22"/>
          <w:lang w:val="es-ES"/>
        </w:rPr>
        <w:t>í</w:t>
      </w:r>
      <w:r w:rsidRPr="00C47E14">
        <w:rPr>
          <w:rFonts w:ascii="Calibri" w:hAnsi="Calibri"/>
          <w:noProof/>
          <w:sz w:val="22"/>
          <w:szCs w:val="22"/>
          <w:lang w:val="es-CL"/>
        </w:rPr>
        <w:t>a establecer que este ten</w:t>
      </w:r>
      <w:r w:rsidRPr="00C47E14">
        <w:rPr>
          <w:rFonts w:ascii="Calibri" w:hAnsi="Calibri"/>
          <w:sz w:val="22"/>
          <w:szCs w:val="22"/>
          <w:lang w:val="es-ES"/>
        </w:rPr>
        <w:t>í</w:t>
      </w:r>
      <w:r w:rsidRPr="00C47E14">
        <w:rPr>
          <w:rFonts w:ascii="Calibri" w:hAnsi="Calibri"/>
          <w:noProof/>
          <w:sz w:val="22"/>
          <w:szCs w:val="22"/>
          <w:lang w:val="es-CL"/>
        </w:rPr>
        <w:t>a conocimiento de la condena que reca</w:t>
      </w:r>
      <w:r w:rsidRPr="00C47E14">
        <w:rPr>
          <w:rFonts w:ascii="Calibri" w:hAnsi="Calibri"/>
          <w:sz w:val="22"/>
          <w:szCs w:val="22"/>
          <w:lang w:val="es-ES"/>
        </w:rPr>
        <w:t>í</w:t>
      </w:r>
      <w:r w:rsidRPr="00C47E14">
        <w:rPr>
          <w:rFonts w:ascii="Calibri" w:hAnsi="Calibri"/>
          <w:noProof/>
          <w:sz w:val="22"/>
          <w:szCs w:val="22"/>
          <w:lang w:val="es-CL"/>
        </w:rPr>
        <w:t>a en su contra. Asimismo, indic</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 xml:space="preserve"> que exist</w:t>
      </w:r>
      <w:r w:rsidRPr="00C47E14">
        <w:rPr>
          <w:rFonts w:ascii="Calibri" w:hAnsi="Calibri"/>
          <w:sz w:val="22"/>
          <w:szCs w:val="22"/>
          <w:lang w:val="es-ES"/>
        </w:rPr>
        <w:t>í</w:t>
      </w:r>
      <w:r w:rsidRPr="00C47E14">
        <w:rPr>
          <w:rFonts w:ascii="Calibri" w:hAnsi="Calibri"/>
          <w:noProof/>
          <w:sz w:val="22"/>
          <w:szCs w:val="22"/>
          <w:lang w:val="es-CL"/>
        </w:rPr>
        <w:t>an otros recursos disponibles en la legislaci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interna para impugnar los efectos de la decisi</w:t>
      </w:r>
      <w:proofErr w:type="spellStart"/>
      <w:r w:rsidRPr="00C47E14">
        <w:rPr>
          <w:rFonts w:ascii="Calibri" w:hAnsi="Calibri"/>
          <w:sz w:val="22"/>
          <w:szCs w:val="22"/>
          <w:lang w:val="es-ES"/>
        </w:rPr>
        <w:t>ó</w:t>
      </w:r>
      <w:proofErr w:type="spellEnd"/>
      <w:r w:rsidRPr="00C47E14">
        <w:rPr>
          <w:rFonts w:ascii="Calibri" w:hAnsi="Calibri"/>
          <w:noProof/>
          <w:sz w:val="22"/>
          <w:szCs w:val="22"/>
          <w:lang w:val="es-CL"/>
        </w:rPr>
        <w:t>n de 4 defebrero de 1997, tales como el recurso de apelación, el recurso de casación, de revisión y el trámite obligatorio de consulta.</w:t>
      </w:r>
    </w:p>
    <w:p w:rsidR="00105CFE" w:rsidRPr="00C47E14" w:rsidRDefault="00105CFE">
      <w:pPr>
        <w:rPr>
          <w:rFonts w:ascii="Calibri" w:hAnsi="Calibri" w:cs="Times New Roman"/>
          <w:sz w:val="22"/>
          <w:szCs w:val="22"/>
          <w:lang w:val="es-ES"/>
        </w:rPr>
      </w:pPr>
    </w:p>
    <w:p w:rsidR="00105CFE" w:rsidRPr="00C47E14" w:rsidRDefault="00105CFE" w:rsidP="00321FF7">
      <w:pPr>
        <w:pStyle w:val="Heading1"/>
        <w:numPr>
          <w:ilvl w:val="0"/>
          <w:numId w:val="1"/>
        </w:numPr>
        <w:spacing w:before="0" w:after="0"/>
        <w:ind w:left="0" w:firstLine="720"/>
        <w:rPr>
          <w:rFonts w:ascii="Calibri" w:hAnsi="Calibri"/>
          <w:sz w:val="22"/>
          <w:szCs w:val="22"/>
        </w:rPr>
      </w:pPr>
      <w:r w:rsidRPr="00C47E14">
        <w:rPr>
          <w:rFonts w:ascii="Calibri" w:hAnsi="Calibri"/>
          <w:sz w:val="22"/>
          <w:szCs w:val="22"/>
        </w:rPr>
        <w:t>III.</w:t>
      </w:r>
      <w:r w:rsidRPr="00C47E14">
        <w:rPr>
          <w:rFonts w:ascii="Calibri" w:hAnsi="Calibri"/>
          <w:sz w:val="22"/>
          <w:szCs w:val="22"/>
        </w:rPr>
        <w:tab/>
        <w:t>TRÁMITE ANTE LA CIDH</w:t>
      </w:r>
    </w:p>
    <w:p w:rsidR="00105CFE" w:rsidRPr="00C47E14" w:rsidRDefault="00105CFE" w:rsidP="00321FF7">
      <w:pPr>
        <w:pStyle w:val="BodyText"/>
        <w:spacing w:before="0" w:after="0"/>
        <w:jc w:val="both"/>
        <w:rPr>
          <w:rFonts w:ascii="Calibri" w:hAnsi="Calibri"/>
          <w:sz w:val="22"/>
          <w:szCs w:val="22"/>
          <w:lang w:val="es-ES"/>
        </w:rPr>
      </w:pPr>
    </w:p>
    <w:p w:rsidR="00105CFE" w:rsidRPr="00C47E14" w:rsidRDefault="00105CFE" w:rsidP="006561A9">
      <w:pPr>
        <w:pStyle w:val="BodyText"/>
        <w:numPr>
          <w:ilvl w:val="0"/>
          <w:numId w:val="2"/>
        </w:numPr>
        <w:spacing w:before="0" w:after="0"/>
        <w:ind w:left="0" w:firstLine="720"/>
        <w:jc w:val="both"/>
        <w:rPr>
          <w:rFonts w:ascii="Calibri" w:hAnsi="Calibri"/>
          <w:sz w:val="22"/>
          <w:szCs w:val="22"/>
          <w:lang w:val="es-BO"/>
        </w:rPr>
      </w:pPr>
      <w:r w:rsidRPr="00C47E14">
        <w:rPr>
          <w:rFonts w:ascii="Calibri" w:hAnsi="Calibri"/>
          <w:sz w:val="22"/>
          <w:szCs w:val="22"/>
          <w:lang w:val="es-ES"/>
        </w:rPr>
        <w:t xml:space="preserve">El 24 de agosto de 2001, la CIDH recibió la petición y la registró bajo el número </w:t>
      </w:r>
      <w:r w:rsidRPr="00C47E14">
        <w:rPr>
          <w:rFonts w:ascii="Calibri" w:hAnsi="Calibri"/>
          <w:sz w:val="22"/>
          <w:szCs w:val="22"/>
          <w:lang w:val="es-BO"/>
        </w:rPr>
        <w:t xml:space="preserve">585-01. Los peticionarios presentaron información adicional el 26 de septiembre de 2001, 28 de mayo de 2002 y 28 de junio de 2005. </w:t>
      </w:r>
    </w:p>
    <w:p w:rsidR="00105CFE" w:rsidRPr="00C47E14" w:rsidRDefault="00105CFE" w:rsidP="00B91143">
      <w:pPr>
        <w:pStyle w:val="BodyText"/>
        <w:spacing w:before="0" w:after="0"/>
        <w:ind w:firstLine="720"/>
        <w:jc w:val="both"/>
        <w:rPr>
          <w:rFonts w:ascii="Calibri" w:hAnsi="Calibri"/>
          <w:sz w:val="22"/>
          <w:szCs w:val="22"/>
          <w:lang w:val="es-BO"/>
        </w:rPr>
      </w:pPr>
    </w:p>
    <w:p w:rsidR="00105CFE" w:rsidRPr="00C47E14" w:rsidRDefault="00105CFE" w:rsidP="006561A9">
      <w:pPr>
        <w:pStyle w:val="BodyText"/>
        <w:numPr>
          <w:ilvl w:val="0"/>
          <w:numId w:val="2"/>
        </w:numPr>
        <w:spacing w:before="0" w:after="0"/>
        <w:ind w:left="0" w:firstLine="720"/>
        <w:jc w:val="both"/>
        <w:rPr>
          <w:rFonts w:ascii="Calibri" w:hAnsi="Calibri"/>
          <w:sz w:val="22"/>
          <w:szCs w:val="22"/>
          <w:lang w:val="es-BO"/>
        </w:rPr>
      </w:pPr>
      <w:r w:rsidRPr="00C47E14">
        <w:rPr>
          <w:rFonts w:ascii="Calibri" w:hAnsi="Calibri"/>
          <w:sz w:val="22"/>
          <w:szCs w:val="22"/>
          <w:lang w:val="es-BO"/>
        </w:rPr>
        <w:t xml:space="preserve">El 6 de diciembre de 2007, la Comisión transmitió las partes pertinentes de la petición al Estado de Panamá otorgándole un plazo de dos meses para presentar sus observaciones, de conformidad con el artículo 30 del Reglamento de la CIDH. El Estado presentó su respuesta el 25 de abril de 2008. El 1 de mayo de 2008, la </w:t>
      </w:r>
      <w:r w:rsidRPr="00C47E14">
        <w:rPr>
          <w:rFonts w:ascii="Calibri" w:hAnsi="Calibri"/>
          <w:sz w:val="22"/>
          <w:szCs w:val="22"/>
          <w:lang w:val="es-CL"/>
        </w:rPr>
        <w:t>Comisión</w:t>
      </w:r>
      <w:r w:rsidRPr="00C47E14">
        <w:rPr>
          <w:rFonts w:ascii="Calibri" w:hAnsi="Calibri"/>
          <w:sz w:val="22"/>
          <w:szCs w:val="22"/>
          <w:lang w:val="es-BO"/>
        </w:rPr>
        <w:t xml:space="preserve"> trasmitió</w:t>
      </w:r>
      <w:r w:rsidRPr="00C47E14">
        <w:rPr>
          <w:rFonts w:ascii="Calibri" w:hAnsi="Calibri"/>
          <w:sz w:val="22"/>
          <w:szCs w:val="22"/>
          <w:lang w:val="es-ES"/>
        </w:rPr>
        <w:t xml:space="preserve"> dicha información a los peticionarios solicitando sus observaciones. Mediante comunicación de 17 de abril de 2009, la Comisión reiteró a los peticionarios la solicitud de información. </w:t>
      </w:r>
      <w:r w:rsidRPr="00C47E14">
        <w:rPr>
          <w:rFonts w:ascii="Calibri" w:hAnsi="Calibri"/>
          <w:sz w:val="22"/>
          <w:szCs w:val="22"/>
          <w:lang w:val="es-BO"/>
        </w:rPr>
        <w:t xml:space="preserve"> El 14 de marzo y 21 de diciembre de 2010, la Comisión </w:t>
      </w:r>
      <w:proofErr w:type="spellStart"/>
      <w:r w:rsidRPr="00C47E14">
        <w:rPr>
          <w:rFonts w:ascii="Calibri" w:hAnsi="Calibri"/>
          <w:sz w:val="22"/>
          <w:szCs w:val="22"/>
          <w:lang w:val="es-BO"/>
        </w:rPr>
        <w:t>solicit</w:t>
      </w:r>
      <w:r w:rsidRPr="00C47E14">
        <w:rPr>
          <w:rFonts w:ascii="Calibri" w:hAnsi="Calibri"/>
          <w:sz w:val="22"/>
          <w:szCs w:val="22"/>
          <w:lang w:val="es-ES"/>
        </w:rPr>
        <w:t>ó</w:t>
      </w:r>
      <w:proofErr w:type="spellEnd"/>
      <w:r w:rsidRPr="00C47E14">
        <w:rPr>
          <w:rFonts w:ascii="Calibri" w:hAnsi="Calibri"/>
          <w:sz w:val="22"/>
          <w:szCs w:val="22"/>
          <w:lang w:val="es-BO"/>
        </w:rPr>
        <w:t xml:space="preserve"> nuevamente a los peticionarios presentar sus observaciones a la información aportada por el Estado, y les informó que de no recibirse la información dentro del plazo de un mes, la CIDH podría archivar la petición. </w:t>
      </w:r>
    </w:p>
    <w:p w:rsidR="00105CFE" w:rsidRPr="00C47E14" w:rsidRDefault="00105CFE" w:rsidP="00B91143">
      <w:pPr>
        <w:pStyle w:val="BodyText"/>
        <w:spacing w:before="0" w:after="0"/>
        <w:ind w:firstLine="720"/>
        <w:jc w:val="both"/>
        <w:rPr>
          <w:rFonts w:ascii="Calibri" w:hAnsi="Calibri"/>
          <w:sz w:val="22"/>
          <w:szCs w:val="22"/>
          <w:lang w:val="es-BO"/>
        </w:rPr>
      </w:pPr>
    </w:p>
    <w:p w:rsidR="00105CFE" w:rsidRPr="00C47E14" w:rsidRDefault="00105CFE" w:rsidP="00321FF7">
      <w:pPr>
        <w:pStyle w:val="Heading1"/>
        <w:numPr>
          <w:ilvl w:val="0"/>
          <w:numId w:val="1"/>
        </w:numPr>
        <w:spacing w:before="0" w:after="0"/>
        <w:ind w:left="0" w:firstLine="720"/>
        <w:rPr>
          <w:rFonts w:ascii="Calibri" w:hAnsi="Calibri"/>
          <w:bCs w:val="0"/>
          <w:sz w:val="22"/>
          <w:szCs w:val="22"/>
          <w:lang w:val="es-PE"/>
        </w:rPr>
      </w:pPr>
      <w:r w:rsidRPr="00C47E14">
        <w:rPr>
          <w:rFonts w:ascii="Calibri" w:hAnsi="Calibri"/>
          <w:bCs w:val="0"/>
          <w:sz w:val="22"/>
          <w:szCs w:val="22"/>
          <w:lang w:val="es-PE"/>
        </w:rPr>
        <w:t>IV.</w:t>
      </w:r>
      <w:r w:rsidRPr="00C47E14">
        <w:rPr>
          <w:rFonts w:ascii="Calibri" w:hAnsi="Calibri"/>
          <w:bCs w:val="0"/>
          <w:sz w:val="22"/>
          <w:szCs w:val="22"/>
          <w:lang w:val="es-PE"/>
        </w:rPr>
        <w:tab/>
        <w:t>FUNDAMENTO PARA LA DECISIÓN DE ARCHIVO</w:t>
      </w:r>
    </w:p>
    <w:p w:rsidR="00105CFE" w:rsidRPr="00C47E14" w:rsidRDefault="00105CFE">
      <w:pPr>
        <w:rPr>
          <w:rFonts w:ascii="Calibri" w:hAnsi="Calibri"/>
          <w:sz w:val="22"/>
          <w:szCs w:val="22"/>
          <w:lang w:val="es-CL"/>
        </w:rPr>
      </w:pPr>
    </w:p>
    <w:p w:rsidR="00105CFE" w:rsidRPr="00C47E14" w:rsidRDefault="00105CFE" w:rsidP="006561A9">
      <w:pPr>
        <w:pStyle w:val="BodyText"/>
        <w:numPr>
          <w:ilvl w:val="0"/>
          <w:numId w:val="2"/>
        </w:numPr>
        <w:spacing w:before="0" w:after="0"/>
        <w:ind w:left="0" w:firstLine="720"/>
        <w:jc w:val="both"/>
        <w:rPr>
          <w:rFonts w:ascii="Calibri" w:hAnsi="Calibri"/>
          <w:sz w:val="22"/>
          <w:szCs w:val="22"/>
          <w:lang w:val="es-ES"/>
        </w:rPr>
      </w:pPr>
      <w:r w:rsidRPr="00C47E14">
        <w:rPr>
          <w:rFonts w:ascii="Calibri" w:hAnsi="Calibri"/>
          <w:sz w:val="22"/>
          <w:szCs w:val="22"/>
          <w:lang w:val="es-ES"/>
        </w:rPr>
        <w:t xml:space="preserve">Tanto el artículo 48.1.b de la Convención Americana sobre Derechos Humanos como el artículo 42.1 del Reglamento de la CIDH establecen que, dentro del proceso de trámite de una petición, recibidas las informaciones o transcurrido el plazo fijado sin que sean recibidas, la CIDH verificará si </w:t>
      </w:r>
      <w:r w:rsidRPr="00C47E14">
        <w:rPr>
          <w:rFonts w:ascii="Calibri" w:hAnsi="Calibri"/>
          <w:sz w:val="22"/>
          <w:szCs w:val="22"/>
          <w:lang w:val="es-ES"/>
        </w:rPr>
        <w:lastRenderedPageBreak/>
        <w:t>existen o subsisten los motivos de la petición y en caso de no existir o subsistir ordenará el archivo del expediente.</w:t>
      </w:r>
    </w:p>
    <w:p w:rsidR="00105CFE" w:rsidRPr="00C47E14" w:rsidRDefault="00105CFE" w:rsidP="006561A9">
      <w:pPr>
        <w:pStyle w:val="BodyText"/>
        <w:spacing w:before="0" w:after="0"/>
        <w:jc w:val="both"/>
        <w:rPr>
          <w:rFonts w:ascii="Calibri" w:hAnsi="Calibri"/>
          <w:sz w:val="22"/>
          <w:szCs w:val="22"/>
          <w:lang w:val="es-ES"/>
        </w:rPr>
      </w:pPr>
    </w:p>
    <w:p w:rsidR="00105CFE" w:rsidRPr="00C47E14" w:rsidRDefault="00105CFE" w:rsidP="006561A9">
      <w:pPr>
        <w:pStyle w:val="BodyText"/>
        <w:numPr>
          <w:ilvl w:val="0"/>
          <w:numId w:val="2"/>
        </w:numPr>
        <w:spacing w:before="0" w:after="0"/>
        <w:ind w:left="0" w:firstLine="720"/>
        <w:jc w:val="both"/>
        <w:rPr>
          <w:rFonts w:ascii="Calibri" w:hAnsi="Calibri"/>
          <w:sz w:val="22"/>
          <w:szCs w:val="22"/>
          <w:lang w:val="es-ES_tradnl"/>
        </w:rPr>
      </w:pPr>
      <w:r w:rsidRPr="00C47E14">
        <w:rPr>
          <w:rFonts w:ascii="Calibri" w:hAnsi="Calibri"/>
          <w:sz w:val="22"/>
          <w:szCs w:val="22"/>
          <w:lang w:val="es-ES"/>
        </w:rPr>
        <w:t>En el presente caso han pasado más de 7 años desde la última comunicación de los peticionarios y, a pesar de las solicitudes de información formuladas el 1 de mayo de 2008, 17 de abril de 2009, y 14 de marzo y 21 de diciembre de 2010, a la fecha, la CIDH no ha recibido la información necesaria para actualizar la tramitación de la petición, como fue solicitado.</w:t>
      </w:r>
    </w:p>
    <w:p w:rsidR="00105CFE" w:rsidRPr="00C47E14" w:rsidRDefault="00105CFE" w:rsidP="006561A9">
      <w:pPr>
        <w:widowControl w:val="0"/>
        <w:jc w:val="both"/>
        <w:outlineLvl w:val="0"/>
        <w:rPr>
          <w:rFonts w:ascii="Calibri" w:hAnsi="Calibri"/>
          <w:sz w:val="22"/>
          <w:szCs w:val="22"/>
          <w:lang w:val="es-ES_tradnl"/>
        </w:rPr>
      </w:pPr>
    </w:p>
    <w:p w:rsidR="00105CFE" w:rsidRPr="00C47E14" w:rsidRDefault="00105CFE" w:rsidP="006561A9">
      <w:pPr>
        <w:widowControl w:val="0"/>
        <w:numPr>
          <w:ilvl w:val="0"/>
          <w:numId w:val="2"/>
        </w:numPr>
        <w:tabs>
          <w:tab w:val="num" w:pos="0"/>
        </w:tabs>
        <w:ind w:left="0" w:firstLine="720"/>
        <w:jc w:val="both"/>
        <w:outlineLvl w:val="0"/>
        <w:rPr>
          <w:rFonts w:ascii="Calibri" w:hAnsi="Calibri"/>
          <w:sz w:val="22"/>
          <w:szCs w:val="22"/>
          <w:lang w:val="es-ES"/>
        </w:rPr>
      </w:pPr>
      <w:r w:rsidRPr="00C47E14">
        <w:rPr>
          <w:rFonts w:ascii="Calibri" w:hAnsi="Calibri"/>
          <w:sz w:val="22"/>
          <w:szCs w:val="22"/>
          <w:lang w:val="es-ES_tradnl"/>
        </w:rPr>
        <w:t>E</w:t>
      </w:r>
      <w:r w:rsidRPr="00C47E14">
        <w:rPr>
          <w:rFonts w:ascii="Calibri" w:hAnsi="Calibri"/>
          <w:sz w:val="22"/>
          <w:szCs w:val="22"/>
          <w:lang w:val="es-ES"/>
        </w:rPr>
        <w:t>n consecuencia, la Comisión no cuenta con los elementos necesarios para determinar si subsisten los motivos que sustentaron la denuncia original ni para formular una decisión final sobre la violación de derechos humanos alegados, por lo que, de conformidad con el artículo 48.1.b de la Convención y el artículo 42 de su Reglamento, decide archivar la presente petición.</w:t>
      </w:r>
    </w:p>
    <w:p w:rsidR="00105CFE" w:rsidRPr="00C47E14" w:rsidRDefault="00105CFE" w:rsidP="000359D0">
      <w:pPr>
        <w:pStyle w:val="ListParagraph"/>
        <w:rPr>
          <w:rFonts w:ascii="Calibri" w:hAnsi="Calibri"/>
          <w:sz w:val="22"/>
          <w:szCs w:val="22"/>
          <w:lang w:val="es-ES"/>
        </w:rPr>
      </w:pPr>
    </w:p>
    <w:p w:rsidR="00105CFE" w:rsidRDefault="00105CFE" w:rsidP="006561A9">
      <w:pPr>
        <w:widowControl w:val="0"/>
        <w:numPr>
          <w:ilvl w:val="0"/>
          <w:numId w:val="2"/>
        </w:numPr>
        <w:tabs>
          <w:tab w:val="num" w:pos="0"/>
        </w:tabs>
        <w:ind w:left="0" w:firstLine="720"/>
        <w:jc w:val="both"/>
        <w:outlineLvl w:val="0"/>
        <w:rPr>
          <w:rFonts w:ascii="Calibri" w:hAnsi="Calibri"/>
          <w:sz w:val="22"/>
          <w:szCs w:val="22"/>
          <w:lang w:val="es-ES"/>
        </w:rPr>
      </w:pPr>
      <w:r w:rsidRPr="00C47E14">
        <w:rPr>
          <w:rFonts w:ascii="Calibri" w:hAnsi="Calibri"/>
          <w:sz w:val="22"/>
          <w:szCs w:val="22"/>
          <w:lang w:val="es-ES"/>
        </w:rPr>
        <w:t xml:space="preserve">En estas circunstancias, y en vista de que la información disponible no es suficiente para adoptar una decisión sobre admisibilidad o inadmisibilidad de la petición, la CIDH decide archivarla de conformidad con los artículos 48.1.b de la Convención Americana y 42.1 de su Reglamento. </w:t>
      </w:r>
    </w:p>
    <w:p w:rsidR="00105CFE" w:rsidRDefault="00105CFE" w:rsidP="00B430CF">
      <w:pPr>
        <w:widowControl w:val="0"/>
        <w:jc w:val="both"/>
        <w:outlineLvl w:val="0"/>
        <w:rPr>
          <w:rFonts w:ascii="Calibri" w:hAnsi="Calibri"/>
          <w:sz w:val="22"/>
          <w:szCs w:val="22"/>
          <w:lang w:val="es-ES"/>
        </w:rPr>
      </w:pPr>
    </w:p>
    <w:p w:rsidR="006D1CD5" w:rsidRPr="006D1CD5" w:rsidRDefault="00105CFE" w:rsidP="006D1CD5">
      <w:pPr>
        <w:ind w:firstLine="720"/>
        <w:jc w:val="both"/>
        <w:rPr>
          <w:rFonts w:ascii="Calibri" w:hAnsi="Calibri"/>
          <w:spacing w:val="-2"/>
          <w:lang w:val="es-ES"/>
        </w:rPr>
      </w:pPr>
      <w:r w:rsidRPr="00B430CF">
        <w:rPr>
          <w:rFonts w:ascii="Calibri" w:hAnsi="Calibri"/>
          <w:noProof/>
          <w:spacing w:val="-2"/>
          <w:sz w:val="22"/>
          <w:szCs w:val="22"/>
          <w:lang w:val="es-CL"/>
        </w:rPr>
        <w:t>Dado y firmado en la ciudad de Washington, D.C., a los 4 días del mes de noviembre de 2013.</w:t>
      </w:r>
      <w:r w:rsidR="006D1CD5">
        <w:rPr>
          <w:rFonts w:ascii="Calibri" w:hAnsi="Calibri"/>
          <w:noProof/>
          <w:spacing w:val="-2"/>
          <w:sz w:val="22"/>
          <w:szCs w:val="22"/>
          <w:lang w:val="es-CL"/>
        </w:rPr>
        <w:t xml:space="preserve"> (Firmado)</w:t>
      </w:r>
      <w:proofErr w:type="gramStart"/>
      <w:r w:rsidR="006D1CD5">
        <w:rPr>
          <w:rFonts w:ascii="Calibri" w:hAnsi="Calibri"/>
          <w:noProof/>
          <w:spacing w:val="-2"/>
          <w:sz w:val="22"/>
          <w:szCs w:val="22"/>
          <w:lang w:val="es-CL"/>
        </w:rPr>
        <w:t xml:space="preserve">:  </w:t>
      </w:r>
      <w:r w:rsidR="006D1CD5" w:rsidRPr="002117B9">
        <w:rPr>
          <w:rFonts w:ascii="Calibri" w:hAnsi="Calibri"/>
          <w:spacing w:val="-2"/>
          <w:sz w:val="22"/>
          <w:szCs w:val="22"/>
          <w:lang w:val="es-ES_tradnl"/>
        </w:rPr>
        <w:t>José</w:t>
      </w:r>
      <w:proofErr w:type="gramEnd"/>
      <w:r w:rsidR="006D1CD5" w:rsidRPr="002117B9">
        <w:rPr>
          <w:rFonts w:ascii="Calibri" w:hAnsi="Calibri"/>
          <w:spacing w:val="-2"/>
          <w:sz w:val="22"/>
          <w:szCs w:val="22"/>
          <w:lang w:val="es-ES_tradnl"/>
        </w:rPr>
        <w:t xml:space="preserve"> de Jesús Orozco Henríquez</w:t>
      </w:r>
      <w:r w:rsidR="006D1CD5" w:rsidRPr="006D1CD5">
        <w:rPr>
          <w:rFonts w:ascii="Calibri" w:hAnsi="Calibri"/>
          <w:spacing w:val="-2"/>
          <w:sz w:val="22"/>
          <w:szCs w:val="22"/>
          <w:lang w:val="es-ES"/>
        </w:rPr>
        <w:t xml:space="preserve"> </w:t>
      </w:r>
      <w:r w:rsidR="006D1CD5">
        <w:rPr>
          <w:rFonts w:ascii="Calibri" w:hAnsi="Calibri"/>
          <w:spacing w:val="-2"/>
          <w:sz w:val="22"/>
          <w:szCs w:val="22"/>
          <w:lang w:val="es-ES"/>
        </w:rPr>
        <w:t xml:space="preserve">, </w:t>
      </w:r>
      <w:r w:rsidR="006D1CD5" w:rsidRPr="002117B9">
        <w:rPr>
          <w:rFonts w:ascii="Calibri" w:hAnsi="Calibri"/>
          <w:spacing w:val="-2"/>
          <w:sz w:val="22"/>
          <w:szCs w:val="22"/>
          <w:lang w:val="es-ES_tradnl"/>
        </w:rPr>
        <w:t>Presidente</w:t>
      </w:r>
      <w:r w:rsidR="006D1CD5">
        <w:rPr>
          <w:rFonts w:ascii="Calibri" w:hAnsi="Calibri"/>
          <w:spacing w:val="-2"/>
          <w:sz w:val="22"/>
          <w:szCs w:val="22"/>
          <w:lang w:val="es-ES_tradnl"/>
        </w:rPr>
        <w:t xml:space="preserve">; </w:t>
      </w:r>
      <w:r w:rsidR="006D1CD5" w:rsidRPr="002117B9">
        <w:rPr>
          <w:rFonts w:ascii="Calibri" w:hAnsi="Calibri"/>
          <w:spacing w:val="-2"/>
          <w:sz w:val="22"/>
          <w:szCs w:val="22"/>
          <w:lang w:val="es-ES_tradnl"/>
        </w:rPr>
        <w:t>Tracy Robinson</w:t>
      </w:r>
      <w:r w:rsidR="006D1CD5">
        <w:rPr>
          <w:rFonts w:ascii="Calibri" w:hAnsi="Calibri"/>
          <w:spacing w:val="-2"/>
          <w:sz w:val="22"/>
          <w:szCs w:val="22"/>
          <w:lang w:val="es-ES_tradnl"/>
        </w:rPr>
        <w:t xml:space="preserve">, </w:t>
      </w:r>
      <w:r w:rsidR="006D1CD5" w:rsidRPr="006D1CD5">
        <w:rPr>
          <w:rFonts w:ascii="Calibri" w:hAnsi="Calibri"/>
          <w:spacing w:val="-2"/>
          <w:sz w:val="22"/>
          <w:szCs w:val="22"/>
          <w:lang w:val="es-ES"/>
        </w:rPr>
        <w:t>Primera Vicepresidenta</w:t>
      </w:r>
      <w:r w:rsidR="006D1CD5">
        <w:rPr>
          <w:rFonts w:ascii="Calibri" w:hAnsi="Calibri"/>
          <w:spacing w:val="-2"/>
          <w:sz w:val="22"/>
          <w:szCs w:val="22"/>
          <w:lang w:val="es-ES"/>
        </w:rPr>
        <w:t xml:space="preserve">; </w:t>
      </w:r>
      <w:r w:rsidR="006D1CD5">
        <w:rPr>
          <w:rFonts w:ascii="Calibri" w:hAnsi="Calibri"/>
          <w:spacing w:val="-2"/>
          <w:sz w:val="22"/>
          <w:szCs w:val="22"/>
          <w:lang w:val="es-ES_tradnl"/>
        </w:rPr>
        <w:t xml:space="preserve">Felipe González, </w:t>
      </w:r>
      <w:proofErr w:type="spellStart"/>
      <w:r w:rsidR="006D1CD5">
        <w:rPr>
          <w:rFonts w:ascii="Calibri" w:hAnsi="Calibri"/>
          <w:spacing w:val="-2"/>
          <w:sz w:val="22"/>
          <w:szCs w:val="22"/>
          <w:lang w:val="es-ES_tradnl"/>
        </w:rPr>
        <w:t>D</w:t>
      </w:r>
      <w:r w:rsidR="006D1CD5" w:rsidRPr="002117B9">
        <w:rPr>
          <w:rFonts w:ascii="Calibri" w:hAnsi="Calibri"/>
          <w:spacing w:val="-2"/>
          <w:sz w:val="22"/>
          <w:szCs w:val="22"/>
          <w:lang w:val="es-ES_tradnl"/>
        </w:rPr>
        <w:t>inah</w:t>
      </w:r>
      <w:proofErr w:type="spellEnd"/>
      <w:r w:rsidR="006D1CD5" w:rsidRPr="002117B9">
        <w:rPr>
          <w:rFonts w:ascii="Calibri" w:hAnsi="Calibri"/>
          <w:spacing w:val="-2"/>
          <w:sz w:val="22"/>
          <w:szCs w:val="22"/>
          <w:lang w:val="es-ES_tradnl"/>
        </w:rPr>
        <w:t xml:space="preserve"> </w:t>
      </w:r>
      <w:proofErr w:type="spellStart"/>
      <w:r w:rsidR="006D1CD5" w:rsidRPr="002117B9">
        <w:rPr>
          <w:rFonts w:ascii="Calibri" w:hAnsi="Calibri"/>
          <w:spacing w:val="-2"/>
          <w:sz w:val="22"/>
          <w:szCs w:val="22"/>
          <w:lang w:val="es-ES_tradnl"/>
        </w:rPr>
        <w:t>Shelton</w:t>
      </w:r>
      <w:proofErr w:type="spellEnd"/>
      <w:r w:rsidR="006D1CD5">
        <w:rPr>
          <w:rFonts w:ascii="Calibri" w:hAnsi="Calibri"/>
          <w:spacing w:val="-2"/>
          <w:sz w:val="22"/>
          <w:szCs w:val="22"/>
          <w:lang w:val="es-ES_tradnl"/>
        </w:rPr>
        <w:t xml:space="preserve">, </w:t>
      </w:r>
      <w:r w:rsidR="006D1CD5" w:rsidRPr="002117B9">
        <w:rPr>
          <w:rFonts w:ascii="Calibri" w:hAnsi="Calibri"/>
          <w:spacing w:val="-2"/>
          <w:sz w:val="22"/>
          <w:szCs w:val="22"/>
          <w:lang w:val="es-ES_tradnl"/>
        </w:rPr>
        <w:t>Rodrigo Escobar Gil</w:t>
      </w:r>
      <w:r w:rsidR="006D1CD5">
        <w:rPr>
          <w:rFonts w:ascii="Calibri" w:hAnsi="Calibri"/>
          <w:spacing w:val="-2"/>
          <w:sz w:val="22"/>
          <w:szCs w:val="22"/>
          <w:lang w:val="es-ES_tradnl"/>
        </w:rPr>
        <w:t xml:space="preserve">, y </w:t>
      </w:r>
      <w:r w:rsidR="006D1CD5" w:rsidRPr="006D1CD5">
        <w:rPr>
          <w:rFonts w:ascii="Calibri" w:hAnsi="Calibri"/>
          <w:sz w:val="22"/>
          <w:szCs w:val="22"/>
          <w:lang w:val="es-ES"/>
        </w:rPr>
        <w:t xml:space="preserve">Rose-Marie Belle </w:t>
      </w:r>
      <w:proofErr w:type="spellStart"/>
      <w:r w:rsidR="006D1CD5" w:rsidRPr="006D1CD5">
        <w:rPr>
          <w:rFonts w:ascii="Calibri" w:hAnsi="Calibri"/>
          <w:sz w:val="22"/>
          <w:szCs w:val="22"/>
          <w:lang w:val="es-ES"/>
        </w:rPr>
        <w:t>Antoine</w:t>
      </w:r>
      <w:proofErr w:type="spellEnd"/>
      <w:r w:rsidR="006D1CD5">
        <w:rPr>
          <w:rFonts w:ascii="Calibri" w:hAnsi="Calibri"/>
          <w:sz w:val="22"/>
          <w:szCs w:val="22"/>
          <w:lang w:val="es-ES"/>
        </w:rPr>
        <w:t>, Miembros de la Comisión.</w:t>
      </w:r>
    </w:p>
    <w:p w:rsidR="00105CFE" w:rsidRPr="006D1CD5" w:rsidRDefault="00105CFE" w:rsidP="006D1CD5">
      <w:pPr>
        <w:jc w:val="both"/>
        <w:rPr>
          <w:rFonts w:ascii="Calibri" w:hAnsi="Calibri"/>
          <w:sz w:val="22"/>
          <w:szCs w:val="22"/>
          <w:lang w:val="es-ES"/>
        </w:rPr>
      </w:pPr>
    </w:p>
    <w:sectPr w:rsidR="00105CFE" w:rsidRPr="006D1CD5" w:rsidSect="00946D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27" w:rsidRDefault="00775327" w:rsidP="00321FF7">
      <w:r>
        <w:separator/>
      </w:r>
    </w:p>
  </w:endnote>
  <w:endnote w:type="continuationSeparator" w:id="0">
    <w:p w:rsidR="00775327" w:rsidRDefault="00775327" w:rsidP="0032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DE" w:rsidRDefault="00837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DE" w:rsidRDefault="00837F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DE" w:rsidRDefault="00837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27" w:rsidRDefault="00775327" w:rsidP="00321FF7">
      <w:r>
        <w:separator/>
      </w:r>
    </w:p>
  </w:footnote>
  <w:footnote w:type="continuationSeparator" w:id="0">
    <w:p w:rsidR="00775327" w:rsidRDefault="00775327" w:rsidP="00321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DE" w:rsidRDefault="00837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FE" w:rsidRPr="00C47E14" w:rsidRDefault="00105CFE">
    <w:pPr>
      <w:pStyle w:val="Header"/>
      <w:jc w:val="center"/>
      <w:rPr>
        <w:rFonts w:ascii="Calibri" w:hAnsi="Calibri"/>
        <w:sz w:val="22"/>
        <w:szCs w:val="22"/>
      </w:rPr>
    </w:pPr>
    <w:r w:rsidRPr="00C47E14">
      <w:rPr>
        <w:rFonts w:ascii="Calibri" w:hAnsi="Calibri"/>
        <w:sz w:val="22"/>
        <w:szCs w:val="22"/>
      </w:rPr>
      <w:fldChar w:fldCharType="begin"/>
    </w:r>
    <w:r w:rsidRPr="00C47E14">
      <w:rPr>
        <w:rFonts w:ascii="Calibri" w:hAnsi="Calibri"/>
        <w:sz w:val="22"/>
        <w:szCs w:val="22"/>
      </w:rPr>
      <w:instrText xml:space="preserve"> PAGE   \* MERGEFORMAT </w:instrText>
    </w:r>
    <w:r w:rsidRPr="00C47E14">
      <w:rPr>
        <w:rFonts w:ascii="Calibri" w:hAnsi="Calibri"/>
        <w:sz w:val="22"/>
        <w:szCs w:val="22"/>
      </w:rPr>
      <w:fldChar w:fldCharType="separate"/>
    </w:r>
    <w:r w:rsidR="00837FDE">
      <w:rPr>
        <w:rFonts w:ascii="Calibri" w:hAnsi="Calibri"/>
        <w:noProof/>
        <w:sz w:val="22"/>
        <w:szCs w:val="22"/>
      </w:rPr>
      <w:t>4</w:t>
    </w:r>
    <w:r w:rsidRPr="00C47E14">
      <w:rPr>
        <w:rFonts w:ascii="Calibri" w:hAnsi="Calibri"/>
        <w:sz w:val="22"/>
        <w:szCs w:val="22"/>
      </w:rPr>
      <w:fldChar w:fldCharType="end"/>
    </w:r>
  </w:p>
  <w:p w:rsidR="00105CFE" w:rsidRDefault="00105C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D5" w:rsidRDefault="006D1CD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7.25pt">
          <v:imagedata r:id="rId1" o:title="banner_cid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20A82A6"/>
    <w:name w:val="WW8Num3"/>
    <w:lvl w:ilvl="0">
      <w:start w:val="1"/>
      <w:numFmt w:val="decimal"/>
      <w:pStyle w:val="Heading1"/>
      <w:lvlText w:val="%1."/>
      <w:lvlJc w:val="left"/>
      <w:pPr>
        <w:tabs>
          <w:tab w:val="num" w:pos="1440"/>
        </w:tabs>
        <w:ind w:left="1440" w:hanging="360"/>
      </w:pPr>
      <w:rPr>
        <w:rFonts w:ascii="Calibri" w:hAnsi="Calibri" w:cs="Times New Roman" w:hint="default"/>
        <w:sz w:val="22"/>
        <w:szCs w:val="22"/>
      </w:rPr>
    </w:lvl>
  </w:abstractNum>
  <w:abstractNum w:abstractNumId="2">
    <w:nsid w:val="0927503F"/>
    <w:multiLevelType w:val="singleLevel"/>
    <w:tmpl w:val="00000002"/>
    <w:lvl w:ilvl="0">
      <w:start w:val="1"/>
      <w:numFmt w:val="decimal"/>
      <w:lvlText w:val="%1."/>
      <w:lvlJc w:val="left"/>
      <w:pPr>
        <w:tabs>
          <w:tab w:val="num" w:pos="1440"/>
        </w:tabs>
        <w:ind w:left="1440" w:hanging="360"/>
      </w:pPr>
      <w:rPr>
        <w:rFonts w:cs="Times New Roman"/>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454"/>
    <w:rsid w:val="000264DC"/>
    <w:rsid w:val="000359D0"/>
    <w:rsid w:val="000806F7"/>
    <w:rsid w:val="00093383"/>
    <w:rsid w:val="000A29A1"/>
    <w:rsid w:val="000E088D"/>
    <w:rsid w:val="000F720B"/>
    <w:rsid w:val="00100C5D"/>
    <w:rsid w:val="00105CFE"/>
    <w:rsid w:val="0010641F"/>
    <w:rsid w:val="00127452"/>
    <w:rsid w:val="001303C1"/>
    <w:rsid w:val="00145BB8"/>
    <w:rsid w:val="001E0868"/>
    <w:rsid w:val="001F5126"/>
    <w:rsid w:val="002117B9"/>
    <w:rsid w:val="00212CEC"/>
    <w:rsid w:val="00236E25"/>
    <w:rsid w:val="002579B1"/>
    <w:rsid w:val="00275D54"/>
    <w:rsid w:val="002775E4"/>
    <w:rsid w:val="00277973"/>
    <w:rsid w:val="002B2B24"/>
    <w:rsid w:val="002E08F9"/>
    <w:rsid w:val="00321FF7"/>
    <w:rsid w:val="003820B3"/>
    <w:rsid w:val="003A5880"/>
    <w:rsid w:val="003B22B1"/>
    <w:rsid w:val="003C0FD0"/>
    <w:rsid w:val="003C1151"/>
    <w:rsid w:val="003C7806"/>
    <w:rsid w:val="004444EC"/>
    <w:rsid w:val="004516FA"/>
    <w:rsid w:val="00475C09"/>
    <w:rsid w:val="00477B91"/>
    <w:rsid w:val="00483297"/>
    <w:rsid w:val="004A7282"/>
    <w:rsid w:val="004C2F43"/>
    <w:rsid w:val="004C3B59"/>
    <w:rsid w:val="004D11A8"/>
    <w:rsid w:val="004D3D34"/>
    <w:rsid w:val="0051078B"/>
    <w:rsid w:val="00527D36"/>
    <w:rsid w:val="00547789"/>
    <w:rsid w:val="005725D8"/>
    <w:rsid w:val="005A4F56"/>
    <w:rsid w:val="0060412F"/>
    <w:rsid w:val="00604CBC"/>
    <w:rsid w:val="0062279D"/>
    <w:rsid w:val="006431CE"/>
    <w:rsid w:val="006561A9"/>
    <w:rsid w:val="00673618"/>
    <w:rsid w:val="006A6E19"/>
    <w:rsid w:val="006D1CD5"/>
    <w:rsid w:val="006D254E"/>
    <w:rsid w:val="006D3CBE"/>
    <w:rsid w:val="006D5A9A"/>
    <w:rsid w:val="006E7C48"/>
    <w:rsid w:val="007160EC"/>
    <w:rsid w:val="007718CB"/>
    <w:rsid w:val="00775327"/>
    <w:rsid w:val="007828E6"/>
    <w:rsid w:val="0078679C"/>
    <w:rsid w:val="007A2F89"/>
    <w:rsid w:val="007E0E6A"/>
    <w:rsid w:val="007F3454"/>
    <w:rsid w:val="007F604D"/>
    <w:rsid w:val="007F6CC5"/>
    <w:rsid w:val="00802E94"/>
    <w:rsid w:val="008151A1"/>
    <w:rsid w:val="00837FDE"/>
    <w:rsid w:val="00873B83"/>
    <w:rsid w:val="00875F55"/>
    <w:rsid w:val="009242C6"/>
    <w:rsid w:val="009358B2"/>
    <w:rsid w:val="00946DE5"/>
    <w:rsid w:val="00954B3F"/>
    <w:rsid w:val="0096605F"/>
    <w:rsid w:val="00971111"/>
    <w:rsid w:val="00974472"/>
    <w:rsid w:val="009D3252"/>
    <w:rsid w:val="009F23B7"/>
    <w:rsid w:val="009F55F3"/>
    <w:rsid w:val="00A015BC"/>
    <w:rsid w:val="00A128B5"/>
    <w:rsid w:val="00A51CDC"/>
    <w:rsid w:val="00A753A7"/>
    <w:rsid w:val="00A8076C"/>
    <w:rsid w:val="00AA0C1C"/>
    <w:rsid w:val="00B10BF0"/>
    <w:rsid w:val="00B22144"/>
    <w:rsid w:val="00B30C9B"/>
    <w:rsid w:val="00B430CF"/>
    <w:rsid w:val="00B85237"/>
    <w:rsid w:val="00B91143"/>
    <w:rsid w:val="00BA535D"/>
    <w:rsid w:val="00BB69AC"/>
    <w:rsid w:val="00C42941"/>
    <w:rsid w:val="00C47E14"/>
    <w:rsid w:val="00CC4BEB"/>
    <w:rsid w:val="00CE529F"/>
    <w:rsid w:val="00D124AF"/>
    <w:rsid w:val="00D24D62"/>
    <w:rsid w:val="00D665D5"/>
    <w:rsid w:val="00D67198"/>
    <w:rsid w:val="00D7319C"/>
    <w:rsid w:val="00D777FE"/>
    <w:rsid w:val="00DC7D3A"/>
    <w:rsid w:val="00DD1464"/>
    <w:rsid w:val="00E30BEF"/>
    <w:rsid w:val="00E85232"/>
    <w:rsid w:val="00F021FB"/>
    <w:rsid w:val="00F22A39"/>
    <w:rsid w:val="00F36382"/>
    <w:rsid w:val="00F43215"/>
    <w:rsid w:val="00F4598A"/>
    <w:rsid w:val="00F946AC"/>
    <w:rsid w:val="00FB0561"/>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F7"/>
    <w:pPr>
      <w:suppressAutoHyphens/>
    </w:pPr>
    <w:rPr>
      <w:rFonts w:ascii="Arial" w:eastAsia="Times New Roman" w:hAnsi="Arial" w:cs="Arial"/>
      <w:sz w:val="24"/>
      <w:szCs w:val="24"/>
      <w:lang w:eastAsia="ar-SA"/>
    </w:rPr>
  </w:style>
  <w:style w:type="paragraph" w:styleId="Heading1">
    <w:name w:val="heading 1"/>
    <w:basedOn w:val="Normal"/>
    <w:next w:val="Normal"/>
    <w:link w:val="Heading1Char"/>
    <w:uiPriority w:val="99"/>
    <w:qFormat/>
    <w:rsid w:val="00321FF7"/>
    <w:pPr>
      <w:keepNext/>
      <w:numPr>
        <w:numId w:val="2"/>
      </w:numPr>
      <w:spacing w:before="240" w:after="60"/>
      <w:outlineLvl w:val="0"/>
    </w:pPr>
    <w:rPr>
      <w:rFonts w:eastAsia="Calibri"/>
      <w:b/>
      <w:bCs/>
      <w:kern w:val="2"/>
      <w:sz w:val="32"/>
      <w:szCs w:val="3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1FF7"/>
    <w:rPr>
      <w:rFonts w:ascii="Arial" w:hAnsi="Arial" w:cs="Times New Roman"/>
      <w:b/>
      <w:kern w:val="2"/>
      <w:sz w:val="32"/>
      <w:lang w:val="es-ES" w:eastAsia="ar-SA" w:bidi="ar-SA"/>
    </w:rPr>
  </w:style>
  <w:style w:type="paragraph" w:styleId="BalloonText">
    <w:name w:val="Balloon Text"/>
    <w:basedOn w:val="Normal"/>
    <w:link w:val="BalloonTextChar"/>
    <w:uiPriority w:val="99"/>
    <w:semiHidden/>
    <w:rsid w:val="0062279D"/>
    <w:rPr>
      <w:rFonts w:ascii="Tahoma" w:eastAsia="Calibri" w:hAnsi="Tahoma" w:cs="Tahoma"/>
      <w:sz w:val="16"/>
      <w:szCs w:val="16"/>
    </w:rPr>
  </w:style>
  <w:style w:type="character" w:customStyle="1" w:styleId="BalloonTextChar">
    <w:name w:val="Balloon Text Char"/>
    <w:link w:val="BalloonText"/>
    <w:uiPriority w:val="99"/>
    <w:semiHidden/>
    <w:locked/>
    <w:rsid w:val="0062279D"/>
    <w:rPr>
      <w:rFonts w:ascii="Tahoma" w:hAnsi="Tahoma" w:cs="Times New Roman"/>
      <w:sz w:val="16"/>
      <w:lang w:eastAsia="ar-SA" w:bidi="ar-SA"/>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
    <w:uiPriority w:val="99"/>
    <w:semiHidden/>
    <w:locked/>
    <w:rsid w:val="00321FF7"/>
    <w:rPr>
      <w:lang w:eastAsia="ar-SA" w:bidi="ar-SA"/>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
    <w:basedOn w:val="Normal"/>
    <w:link w:val="FootnoteTextChar1"/>
    <w:uiPriority w:val="99"/>
    <w:semiHidden/>
    <w:rsid w:val="00321FF7"/>
    <w:rPr>
      <w:rFonts w:ascii="Calibri" w:eastAsia="Calibri" w:hAnsi="Calibri" w:cs="Times New Roman"/>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
    <w:link w:val="FootnoteText"/>
    <w:uiPriority w:val="99"/>
    <w:semiHidden/>
    <w:locked/>
    <w:rsid w:val="00321FF7"/>
    <w:rPr>
      <w:rFonts w:ascii="Arial" w:hAnsi="Arial" w:cs="Times New Roman"/>
      <w:sz w:val="20"/>
      <w:lang w:eastAsia="ar-SA" w:bidi="ar-SA"/>
    </w:rPr>
  </w:style>
  <w:style w:type="character" w:styleId="FootnoteReference">
    <w:name w:val="footnote reference"/>
    <w:aliases w:val="Footnotes refss,Texto de nota al pie,Appel note de bas de page,referencia nota al pie,BVI fnr,Footnote number,f"/>
    <w:uiPriority w:val="99"/>
    <w:semiHidden/>
    <w:rsid w:val="00321FF7"/>
    <w:rPr>
      <w:rFonts w:cs="Times New Roman"/>
      <w:vertAlign w:val="superscript"/>
    </w:rPr>
  </w:style>
  <w:style w:type="paragraph" w:styleId="BodyText">
    <w:name w:val="Body Text"/>
    <w:basedOn w:val="Normal"/>
    <w:link w:val="BodyTextChar"/>
    <w:uiPriority w:val="99"/>
    <w:semiHidden/>
    <w:rsid w:val="00321FF7"/>
    <w:pPr>
      <w:spacing w:before="280" w:after="280"/>
    </w:pPr>
    <w:rPr>
      <w:rFonts w:ascii="Times New Roman" w:eastAsia="Calibri" w:hAnsi="Times New Roman" w:cs="Times New Roman"/>
    </w:rPr>
  </w:style>
  <w:style w:type="character" w:customStyle="1" w:styleId="BodyTextChar">
    <w:name w:val="Body Text Char"/>
    <w:link w:val="BodyText"/>
    <w:uiPriority w:val="99"/>
    <w:semiHidden/>
    <w:locked/>
    <w:rsid w:val="00321FF7"/>
    <w:rPr>
      <w:rFonts w:ascii="Times New Roman" w:hAnsi="Times New Roman" w:cs="Times New Roman"/>
      <w:sz w:val="24"/>
      <w:lang w:eastAsia="ar-SA" w:bidi="ar-SA"/>
    </w:rPr>
  </w:style>
  <w:style w:type="character" w:styleId="CommentReference">
    <w:name w:val="annotation reference"/>
    <w:uiPriority w:val="99"/>
    <w:semiHidden/>
    <w:rsid w:val="00F021FB"/>
    <w:rPr>
      <w:rFonts w:cs="Times New Roman"/>
      <w:sz w:val="16"/>
    </w:rPr>
  </w:style>
  <w:style w:type="paragraph" w:styleId="CommentText">
    <w:name w:val="annotation text"/>
    <w:basedOn w:val="Normal"/>
    <w:link w:val="CommentTextChar"/>
    <w:uiPriority w:val="99"/>
    <w:semiHidden/>
    <w:rsid w:val="00F021FB"/>
    <w:rPr>
      <w:rFonts w:eastAsia="Calibri"/>
      <w:sz w:val="20"/>
      <w:szCs w:val="20"/>
    </w:rPr>
  </w:style>
  <w:style w:type="character" w:customStyle="1" w:styleId="CommentTextChar">
    <w:name w:val="Comment Text Char"/>
    <w:link w:val="CommentText"/>
    <w:uiPriority w:val="99"/>
    <w:semiHidden/>
    <w:locked/>
    <w:rsid w:val="00F021FB"/>
    <w:rPr>
      <w:rFonts w:ascii="Arial" w:hAnsi="Arial" w:cs="Times New Roman"/>
      <w:sz w:val="20"/>
      <w:lang w:eastAsia="ar-SA" w:bidi="ar-SA"/>
    </w:rPr>
  </w:style>
  <w:style w:type="paragraph" w:styleId="CommentSubject">
    <w:name w:val="annotation subject"/>
    <w:basedOn w:val="CommentText"/>
    <w:next w:val="CommentText"/>
    <w:link w:val="CommentSubjectChar"/>
    <w:uiPriority w:val="99"/>
    <w:semiHidden/>
    <w:rsid w:val="00F021FB"/>
    <w:rPr>
      <w:b/>
      <w:bCs/>
    </w:rPr>
  </w:style>
  <w:style w:type="character" w:customStyle="1" w:styleId="CommentSubjectChar">
    <w:name w:val="Comment Subject Char"/>
    <w:link w:val="CommentSubject"/>
    <w:uiPriority w:val="99"/>
    <w:semiHidden/>
    <w:locked/>
    <w:rsid w:val="00F021FB"/>
    <w:rPr>
      <w:rFonts w:ascii="Arial" w:hAnsi="Arial" w:cs="Times New Roman"/>
      <w:b/>
      <w:sz w:val="20"/>
      <w:lang w:eastAsia="ar-SA" w:bidi="ar-SA"/>
    </w:rPr>
  </w:style>
  <w:style w:type="paragraph" w:styleId="ListParagraph">
    <w:name w:val="List Paragraph"/>
    <w:basedOn w:val="Normal"/>
    <w:uiPriority w:val="99"/>
    <w:qFormat/>
    <w:rsid w:val="000359D0"/>
    <w:pPr>
      <w:ind w:left="720"/>
      <w:contextualSpacing/>
    </w:pPr>
  </w:style>
  <w:style w:type="paragraph" w:styleId="Header">
    <w:name w:val="header"/>
    <w:basedOn w:val="Normal"/>
    <w:link w:val="HeaderChar"/>
    <w:uiPriority w:val="99"/>
    <w:rsid w:val="00946DE5"/>
    <w:pPr>
      <w:tabs>
        <w:tab w:val="center" w:pos="4680"/>
        <w:tab w:val="right" w:pos="9360"/>
      </w:tabs>
    </w:pPr>
    <w:rPr>
      <w:rFonts w:eastAsia="Calibri"/>
    </w:rPr>
  </w:style>
  <w:style w:type="character" w:customStyle="1" w:styleId="HeaderChar">
    <w:name w:val="Header Char"/>
    <w:link w:val="Header"/>
    <w:uiPriority w:val="99"/>
    <w:locked/>
    <w:rsid w:val="00946DE5"/>
    <w:rPr>
      <w:rFonts w:ascii="Arial" w:hAnsi="Arial" w:cs="Times New Roman"/>
      <w:sz w:val="24"/>
      <w:lang w:eastAsia="ar-SA" w:bidi="ar-SA"/>
    </w:rPr>
  </w:style>
  <w:style w:type="paragraph" w:styleId="Footer">
    <w:name w:val="footer"/>
    <w:basedOn w:val="Normal"/>
    <w:link w:val="FooterChar"/>
    <w:uiPriority w:val="99"/>
    <w:rsid w:val="00946DE5"/>
    <w:pPr>
      <w:tabs>
        <w:tab w:val="center" w:pos="4680"/>
        <w:tab w:val="right" w:pos="9360"/>
      </w:tabs>
    </w:pPr>
    <w:rPr>
      <w:rFonts w:eastAsia="Calibri"/>
    </w:rPr>
  </w:style>
  <w:style w:type="character" w:customStyle="1" w:styleId="FooterChar">
    <w:name w:val="Footer Char"/>
    <w:link w:val="Footer"/>
    <w:uiPriority w:val="99"/>
    <w:locked/>
    <w:rsid w:val="00946DE5"/>
    <w:rPr>
      <w:rFonts w:ascii="Arial" w:hAnsi="Arial" w:cs="Times New Roman"/>
      <w:sz w:val="24"/>
      <w:lang w:eastAsia="ar-SA" w:bidi="ar-SA"/>
    </w:rPr>
  </w:style>
  <w:style w:type="table" w:styleId="TableGrid">
    <w:name w:val="Table Grid"/>
    <w:basedOn w:val="TableNormal"/>
    <w:uiPriority w:val="99"/>
    <w:locked/>
    <w:rsid w:val="00B430C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08705">
      <w:marLeft w:val="0"/>
      <w:marRight w:val="0"/>
      <w:marTop w:val="0"/>
      <w:marBottom w:val="0"/>
      <w:divBdr>
        <w:top w:val="none" w:sz="0" w:space="0" w:color="auto"/>
        <w:left w:val="none" w:sz="0" w:space="0" w:color="auto"/>
        <w:bottom w:val="none" w:sz="0" w:space="0" w:color="auto"/>
        <w:right w:val="none" w:sz="0" w:space="0" w:color="auto"/>
      </w:divBdr>
    </w:div>
    <w:div w:id="1073308706">
      <w:marLeft w:val="0"/>
      <w:marRight w:val="0"/>
      <w:marTop w:val="0"/>
      <w:marBottom w:val="0"/>
      <w:divBdr>
        <w:top w:val="none" w:sz="0" w:space="0" w:color="auto"/>
        <w:left w:val="none" w:sz="0" w:space="0" w:color="auto"/>
        <w:bottom w:val="none" w:sz="0" w:space="0" w:color="auto"/>
        <w:right w:val="none" w:sz="0" w:space="0" w:color="auto"/>
      </w:divBdr>
    </w:div>
    <w:div w:id="1073308707">
      <w:marLeft w:val="0"/>
      <w:marRight w:val="0"/>
      <w:marTop w:val="0"/>
      <w:marBottom w:val="0"/>
      <w:divBdr>
        <w:top w:val="none" w:sz="0" w:space="0" w:color="auto"/>
        <w:left w:val="none" w:sz="0" w:space="0" w:color="auto"/>
        <w:bottom w:val="none" w:sz="0" w:space="0" w:color="auto"/>
        <w:right w:val="none" w:sz="0" w:space="0" w:color="auto"/>
      </w:divBdr>
    </w:div>
    <w:div w:id="1073308708">
      <w:marLeft w:val="0"/>
      <w:marRight w:val="0"/>
      <w:marTop w:val="0"/>
      <w:marBottom w:val="0"/>
      <w:divBdr>
        <w:top w:val="none" w:sz="0" w:space="0" w:color="auto"/>
        <w:left w:val="none" w:sz="0" w:space="0" w:color="auto"/>
        <w:bottom w:val="none" w:sz="0" w:space="0" w:color="auto"/>
        <w:right w:val="none" w:sz="0" w:space="0" w:color="auto"/>
      </w:divBdr>
    </w:div>
    <w:div w:id="1073308709">
      <w:marLeft w:val="0"/>
      <w:marRight w:val="0"/>
      <w:marTop w:val="0"/>
      <w:marBottom w:val="0"/>
      <w:divBdr>
        <w:top w:val="none" w:sz="0" w:space="0" w:color="auto"/>
        <w:left w:val="none" w:sz="0" w:space="0" w:color="auto"/>
        <w:bottom w:val="none" w:sz="0" w:space="0" w:color="auto"/>
        <w:right w:val="none" w:sz="0" w:space="0" w:color="auto"/>
      </w:divBdr>
    </w:div>
    <w:div w:id="1073308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98/13</dc:title>
  <dc:subject/>
  <dc:creator/>
  <cp:keywords/>
  <dc:description/>
  <cp:lastModifiedBy/>
  <cp:revision>1</cp:revision>
  <dcterms:created xsi:type="dcterms:W3CDTF">2014-02-03T19:41:00Z</dcterms:created>
  <dcterms:modified xsi:type="dcterms:W3CDTF">2014-02-03T19:41:00Z</dcterms:modified>
</cp:coreProperties>
</file>