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4791422" wp14:editId="7406293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6715A15" wp14:editId="6599AE0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431D62B" wp14:editId="26F1F21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475F"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3F4928">
                              <w:rPr>
                                <w:rFonts w:asciiTheme="majorHAnsi" w:hAnsiTheme="majorHAnsi" w:cs="Arial"/>
                                <w:b/>
                                <w:bCs/>
                                <w:color w:val="0D0D0D" w:themeColor="text1" w:themeTint="F2"/>
                                <w:sz w:val="36"/>
                                <w:szCs w:val="22"/>
                                <w:lang w:val="es-ES_tradnl"/>
                              </w:rPr>
                              <w:t xml:space="preserve"> 68</w:t>
                            </w:r>
                            <w:r w:rsidRPr="004E2649">
                              <w:rPr>
                                <w:rFonts w:asciiTheme="majorHAnsi" w:hAnsiTheme="majorHAnsi" w:cs="Arial"/>
                                <w:b/>
                                <w:bCs/>
                                <w:color w:val="0D0D0D" w:themeColor="text1" w:themeTint="F2"/>
                                <w:sz w:val="36"/>
                                <w:szCs w:val="22"/>
                                <w:lang w:val="es-ES_tradnl"/>
                              </w:rPr>
                              <w:t>/14</w:t>
                            </w:r>
                          </w:p>
                          <w:p w:rsidR="005B52B0" w:rsidRPr="00FB475F" w:rsidRDefault="00FB475F" w:rsidP="00997BC5">
                            <w:pPr>
                              <w:spacing w:line="276" w:lineRule="auto"/>
                              <w:rPr>
                                <w:rFonts w:asciiTheme="majorHAnsi" w:hAnsiTheme="majorHAnsi" w:cs="Arial"/>
                                <w:b/>
                                <w:bCs/>
                                <w:color w:val="0D0D0D" w:themeColor="text1" w:themeTint="F2"/>
                                <w:sz w:val="36"/>
                                <w:szCs w:val="22"/>
                                <w:lang w:val="es-ES_tradnl"/>
                              </w:rPr>
                            </w:pPr>
                            <w:r>
                              <w:rPr>
                                <w:rFonts w:asciiTheme="majorHAnsi" w:hAnsiTheme="majorHAnsi" w:cs="Arial"/>
                                <w:b/>
                                <w:bCs/>
                                <w:color w:val="0D0D0D" w:themeColor="text1" w:themeTint="F2"/>
                                <w:sz w:val="36"/>
                                <w:szCs w:val="22"/>
                                <w:lang w:val="es-ES_tradnl"/>
                              </w:rPr>
                              <w:t>PETICIÓN</w:t>
                            </w:r>
                            <w:r w:rsidR="005B52B0" w:rsidRPr="004E2649">
                              <w:rPr>
                                <w:rFonts w:asciiTheme="majorHAnsi" w:hAnsiTheme="majorHAnsi" w:cs="Arial"/>
                                <w:b/>
                                <w:color w:val="0D0D0D" w:themeColor="text1" w:themeTint="F2"/>
                                <w:sz w:val="36"/>
                                <w:szCs w:val="22"/>
                                <w:lang w:val="es-ES_tradnl"/>
                              </w:rPr>
                              <w:t xml:space="preserve"> </w:t>
                            </w:r>
                            <w:r w:rsidR="003F4928">
                              <w:rPr>
                                <w:rFonts w:asciiTheme="majorHAnsi" w:hAnsiTheme="majorHAnsi" w:cs="Arial"/>
                                <w:b/>
                                <w:color w:val="0D0D0D" w:themeColor="text1" w:themeTint="F2"/>
                                <w:sz w:val="36"/>
                                <w:szCs w:val="22"/>
                                <w:lang w:val="es-ES_tradnl"/>
                              </w:rPr>
                              <w:t>10.237</w:t>
                            </w:r>
                          </w:p>
                          <w:p w:rsidR="005B52B0" w:rsidRPr="0010736F" w:rsidRDefault="003F492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00107131" w:rsidRPr="0010736F">
                              <w:rPr>
                                <w:rFonts w:asciiTheme="majorHAnsi" w:hAnsiTheme="majorHAnsi" w:cs="Arial"/>
                                <w:color w:val="0D0D0D" w:themeColor="text1" w:themeTint="F2"/>
                                <w:szCs w:val="22"/>
                                <w:lang w:val="es-ES_tradnl"/>
                              </w:rPr>
                              <w:t>ARCHIVO</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rsidR="005B52B0" w:rsidRPr="0010736F" w:rsidRDefault="00D12EA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
                              </w:rPr>
                              <w:t>MANUEL</w:t>
                            </w:r>
                            <w:r w:rsidR="003F4928">
                              <w:rPr>
                                <w:rFonts w:asciiTheme="majorHAnsi" w:hAnsiTheme="majorHAnsi" w:cs="Arial"/>
                                <w:color w:val="0D0D0D" w:themeColor="text1" w:themeTint="F2"/>
                                <w:szCs w:val="22"/>
                                <w:lang w:val="es-ES"/>
                              </w:rPr>
                              <w:t xml:space="preserve"> DE JESÚS ARAUJO SÁNCHEZ</w:t>
                            </w:r>
                          </w:p>
                          <w:bookmarkEnd w:id="0"/>
                          <w:p w:rsidR="005B52B0" w:rsidRPr="0010736F" w:rsidRDefault="003F492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EL SALVADOR</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FB475F"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3F4928">
                        <w:rPr>
                          <w:rFonts w:asciiTheme="majorHAnsi" w:hAnsiTheme="majorHAnsi" w:cs="Arial"/>
                          <w:b/>
                          <w:bCs/>
                          <w:color w:val="0D0D0D" w:themeColor="text1" w:themeTint="F2"/>
                          <w:sz w:val="36"/>
                          <w:szCs w:val="22"/>
                          <w:lang w:val="es-ES_tradnl"/>
                        </w:rPr>
                        <w:t xml:space="preserve"> 68</w:t>
                      </w:r>
                      <w:r w:rsidRPr="004E2649">
                        <w:rPr>
                          <w:rFonts w:asciiTheme="majorHAnsi" w:hAnsiTheme="majorHAnsi" w:cs="Arial"/>
                          <w:b/>
                          <w:bCs/>
                          <w:color w:val="0D0D0D" w:themeColor="text1" w:themeTint="F2"/>
                          <w:sz w:val="36"/>
                          <w:szCs w:val="22"/>
                          <w:lang w:val="es-ES_tradnl"/>
                        </w:rPr>
                        <w:t>/14</w:t>
                      </w:r>
                    </w:p>
                    <w:p w:rsidR="005B52B0" w:rsidRPr="00FB475F" w:rsidRDefault="00FB475F" w:rsidP="00997BC5">
                      <w:pPr>
                        <w:spacing w:line="276" w:lineRule="auto"/>
                        <w:rPr>
                          <w:rFonts w:asciiTheme="majorHAnsi" w:hAnsiTheme="majorHAnsi" w:cs="Arial"/>
                          <w:b/>
                          <w:bCs/>
                          <w:color w:val="0D0D0D" w:themeColor="text1" w:themeTint="F2"/>
                          <w:sz w:val="36"/>
                          <w:szCs w:val="22"/>
                          <w:lang w:val="es-ES_tradnl"/>
                        </w:rPr>
                      </w:pPr>
                      <w:r>
                        <w:rPr>
                          <w:rFonts w:asciiTheme="majorHAnsi" w:hAnsiTheme="majorHAnsi" w:cs="Arial"/>
                          <w:b/>
                          <w:bCs/>
                          <w:color w:val="0D0D0D" w:themeColor="text1" w:themeTint="F2"/>
                          <w:sz w:val="36"/>
                          <w:szCs w:val="22"/>
                          <w:lang w:val="es-ES_tradnl"/>
                        </w:rPr>
                        <w:t>PETICIÓN</w:t>
                      </w:r>
                      <w:r w:rsidR="005B52B0" w:rsidRPr="004E2649">
                        <w:rPr>
                          <w:rFonts w:asciiTheme="majorHAnsi" w:hAnsiTheme="majorHAnsi" w:cs="Arial"/>
                          <w:b/>
                          <w:color w:val="0D0D0D" w:themeColor="text1" w:themeTint="F2"/>
                          <w:sz w:val="36"/>
                          <w:szCs w:val="22"/>
                          <w:lang w:val="es-ES_tradnl"/>
                        </w:rPr>
                        <w:t xml:space="preserve"> </w:t>
                      </w:r>
                      <w:r w:rsidR="003F4928">
                        <w:rPr>
                          <w:rFonts w:asciiTheme="majorHAnsi" w:hAnsiTheme="majorHAnsi" w:cs="Arial"/>
                          <w:b/>
                          <w:color w:val="0D0D0D" w:themeColor="text1" w:themeTint="F2"/>
                          <w:sz w:val="36"/>
                          <w:szCs w:val="22"/>
                          <w:lang w:val="es-ES_tradnl"/>
                        </w:rPr>
                        <w:t>10.237</w:t>
                      </w:r>
                    </w:p>
                    <w:p w:rsidR="005B52B0" w:rsidRPr="0010736F" w:rsidRDefault="003F492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00107131" w:rsidRPr="0010736F">
                        <w:rPr>
                          <w:rFonts w:asciiTheme="majorHAnsi" w:hAnsiTheme="majorHAnsi" w:cs="Arial"/>
                          <w:color w:val="0D0D0D" w:themeColor="text1" w:themeTint="F2"/>
                          <w:szCs w:val="22"/>
                          <w:lang w:val="es-ES_tradnl"/>
                        </w:rPr>
                        <w:t>ARCHIVO</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D12EA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
                        </w:rPr>
                        <w:t>MANUEL</w:t>
                      </w:r>
                      <w:r w:rsidR="003F4928">
                        <w:rPr>
                          <w:rFonts w:asciiTheme="majorHAnsi" w:hAnsiTheme="majorHAnsi" w:cs="Arial"/>
                          <w:color w:val="0D0D0D" w:themeColor="text1" w:themeTint="F2"/>
                          <w:szCs w:val="22"/>
                          <w:lang w:val="es-ES"/>
                        </w:rPr>
                        <w:t xml:space="preserve"> DE JESÚS ARAUJO SÁNCHEZ</w:t>
                      </w:r>
                    </w:p>
                    <w:bookmarkEnd w:id="1"/>
                    <w:p w:rsidR="005B52B0" w:rsidRPr="0010736F" w:rsidRDefault="003F492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EL SALVADOR</w:t>
                      </w:r>
                    </w:p>
                    <w:p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AE0EDE4" wp14:editId="12130AA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E2649" w:rsidRDefault="00E0774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OEA/Ser.L/V/II.151</w:t>
                            </w:r>
                          </w:p>
                          <w:p w:rsidR="00627C9F" w:rsidRPr="004E2649" w:rsidRDefault="003F492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33</w:t>
                            </w:r>
                          </w:p>
                          <w:p w:rsidR="00627C9F" w:rsidRPr="004E2649" w:rsidRDefault="003F4928"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25</w:t>
                            </w:r>
                            <w:r w:rsidR="00E07741">
                              <w:rPr>
                                <w:rFonts w:asciiTheme="minorHAnsi" w:hAnsiTheme="minorHAnsi"/>
                                <w:color w:val="FFFFFF" w:themeColor="background1"/>
                                <w:sz w:val="22"/>
                              </w:rPr>
                              <w:t xml:space="preserve"> </w:t>
                            </w:r>
                            <w:proofErr w:type="spellStart"/>
                            <w:proofErr w:type="gramStart"/>
                            <w:r w:rsidR="00E07741">
                              <w:rPr>
                                <w:rFonts w:asciiTheme="minorHAnsi" w:hAnsiTheme="minorHAnsi"/>
                                <w:color w:val="FFFFFF" w:themeColor="background1"/>
                                <w:sz w:val="22"/>
                              </w:rPr>
                              <w:t>julio</w:t>
                            </w:r>
                            <w:proofErr w:type="spellEnd"/>
                            <w:proofErr w:type="gramEnd"/>
                            <w:r w:rsidR="00627C9F" w:rsidRPr="004E2649">
                              <w:rPr>
                                <w:rFonts w:asciiTheme="minorHAnsi" w:hAnsiTheme="minorHAnsi"/>
                                <w:color w:val="FFFFFF" w:themeColor="background1"/>
                                <w:sz w:val="22"/>
                              </w:rPr>
                              <w:t xml:space="preserve"> 2014</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4E2649" w:rsidRDefault="00E0774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OEA/Ser.L/V/II.151</w:t>
                      </w:r>
                    </w:p>
                    <w:p w:rsidR="00627C9F" w:rsidRPr="004E2649" w:rsidRDefault="003F492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33</w:t>
                      </w:r>
                    </w:p>
                    <w:p w:rsidR="00627C9F" w:rsidRPr="004E2649" w:rsidRDefault="003F4928"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25</w:t>
                      </w:r>
                      <w:r w:rsidR="00E07741">
                        <w:rPr>
                          <w:rFonts w:asciiTheme="minorHAnsi" w:hAnsiTheme="minorHAnsi"/>
                          <w:color w:val="FFFFFF" w:themeColor="background1"/>
                          <w:sz w:val="22"/>
                        </w:rPr>
                        <w:t xml:space="preserve"> </w:t>
                      </w:r>
                      <w:proofErr w:type="spellStart"/>
                      <w:proofErr w:type="gramStart"/>
                      <w:r w:rsidR="00E07741">
                        <w:rPr>
                          <w:rFonts w:asciiTheme="minorHAnsi" w:hAnsiTheme="minorHAnsi"/>
                          <w:color w:val="FFFFFF" w:themeColor="background1"/>
                          <w:sz w:val="22"/>
                        </w:rPr>
                        <w:t>julio</w:t>
                      </w:r>
                      <w:proofErr w:type="spellEnd"/>
                      <w:proofErr w:type="gramEnd"/>
                      <w:r w:rsidR="00627C9F" w:rsidRPr="004E2649">
                        <w:rPr>
                          <w:rFonts w:asciiTheme="minorHAnsi" w:hAnsiTheme="minorHAnsi"/>
                          <w:color w:val="FFFFFF" w:themeColor="background1"/>
                          <w:sz w:val="22"/>
                        </w:rPr>
                        <w:t xml:space="preserve"> 2014</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82E39A9" wp14:editId="7066B79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00D12EAD">
                              <w:rPr>
                                <w:rFonts w:asciiTheme="majorHAnsi" w:hAnsiTheme="majorHAnsi"/>
                                <w:color w:val="0D0D0D" w:themeColor="text1" w:themeTint="F2"/>
                                <w:sz w:val="18"/>
                                <w:szCs w:val="20"/>
                                <w:lang w:val="es-ES"/>
                              </w:rPr>
                              <w:t xml:space="preserve"> 1995</w:t>
                            </w:r>
                            <w:r w:rsidR="005F0DAD" w:rsidRPr="00890650">
                              <w:rPr>
                                <w:rFonts w:asciiTheme="majorHAnsi" w:hAnsiTheme="majorHAnsi"/>
                                <w:color w:val="0D0D0D" w:themeColor="text1" w:themeTint="F2"/>
                                <w:sz w:val="18"/>
                                <w:szCs w:val="20"/>
                                <w:lang w:val="es-ES"/>
                              </w:rPr>
                              <w:t xml:space="preserve"> c</w:t>
                            </w:r>
                            <w:r w:rsidR="00D12EAD">
                              <w:rPr>
                                <w:rFonts w:asciiTheme="majorHAnsi" w:hAnsiTheme="majorHAnsi"/>
                                <w:color w:val="0D0D0D" w:themeColor="text1" w:themeTint="F2"/>
                                <w:sz w:val="18"/>
                                <w:szCs w:val="20"/>
                                <w:lang w:val="es-ES"/>
                              </w:rPr>
                              <w:t>elebrada el 25 de julio</w:t>
                            </w:r>
                            <w:r w:rsidRPr="00890650">
                              <w:rPr>
                                <w:rFonts w:asciiTheme="majorHAnsi" w:hAnsiTheme="majorHAnsi"/>
                                <w:color w:val="0D0D0D" w:themeColor="text1" w:themeTint="F2"/>
                                <w:sz w:val="18"/>
                                <w:szCs w:val="20"/>
                                <w:lang w:val="es-ES"/>
                              </w:rPr>
                              <w:t xml:space="preserve"> de 2014</w:t>
                            </w:r>
                            <w:r w:rsidR="00E461CE" w:rsidRPr="00890650">
                              <w:rPr>
                                <w:rFonts w:asciiTheme="majorHAnsi" w:hAnsiTheme="majorHAnsi"/>
                                <w:color w:val="0D0D0D" w:themeColor="text1" w:themeTint="F2"/>
                                <w:sz w:val="18"/>
                                <w:szCs w:val="20"/>
                                <w:lang w:val="es-ES"/>
                              </w:rPr>
                              <w:br/>
                            </w:r>
                            <w:r w:rsidR="00E07741">
                              <w:rPr>
                                <w:rFonts w:asciiTheme="majorHAnsi" w:hAnsiTheme="majorHAnsi" w:cs="Univers"/>
                                <w:color w:val="0D0D0D" w:themeColor="text1" w:themeTint="F2"/>
                                <w:sz w:val="18"/>
                                <w:szCs w:val="20"/>
                                <w:lang w:val="es-ES_tradnl"/>
                              </w:rPr>
                              <w:t>151</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p>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00D12EAD">
                        <w:rPr>
                          <w:rFonts w:asciiTheme="majorHAnsi" w:hAnsiTheme="majorHAnsi"/>
                          <w:color w:val="0D0D0D" w:themeColor="text1" w:themeTint="F2"/>
                          <w:sz w:val="18"/>
                          <w:szCs w:val="20"/>
                          <w:lang w:val="es-ES"/>
                        </w:rPr>
                        <w:t xml:space="preserve"> 1995</w:t>
                      </w:r>
                      <w:r w:rsidR="005F0DAD" w:rsidRPr="00890650">
                        <w:rPr>
                          <w:rFonts w:asciiTheme="majorHAnsi" w:hAnsiTheme="majorHAnsi"/>
                          <w:color w:val="0D0D0D" w:themeColor="text1" w:themeTint="F2"/>
                          <w:sz w:val="18"/>
                          <w:szCs w:val="20"/>
                          <w:lang w:val="es-ES"/>
                        </w:rPr>
                        <w:t xml:space="preserve"> c</w:t>
                      </w:r>
                      <w:r w:rsidR="00D12EAD">
                        <w:rPr>
                          <w:rFonts w:asciiTheme="majorHAnsi" w:hAnsiTheme="majorHAnsi"/>
                          <w:color w:val="0D0D0D" w:themeColor="text1" w:themeTint="F2"/>
                          <w:sz w:val="18"/>
                          <w:szCs w:val="20"/>
                          <w:lang w:val="es-ES"/>
                        </w:rPr>
                        <w:t>elebrada el 25 de julio</w:t>
                      </w:r>
                      <w:r w:rsidRPr="00890650">
                        <w:rPr>
                          <w:rFonts w:asciiTheme="majorHAnsi" w:hAnsiTheme="majorHAnsi"/>
                          <w:color w:val="0D0D0D" w:themeColor="text1" w:themeTint="F2"/>
                          <w:sz w:val="18"/>
                          <w:szCs w:val="20"/>
                          <w:lang w:val="es-ES"/>
                        </w:rPr>
                        <w:t xml:space="preserve"> de 2014</w:t>
                      </w:r>
                      <w:r w:rsidR="00E461CE" w:rsidRPr="00890650">
                        <w:rPr>
                          <w:rFonts w:asciiTheme="majorHAnsi" w:hAnsiTheme="majorHAnsi"/>
                          <w:color w:val="0D0D0D" w:themeColor="text1" w:themeTint="F2"/>
                          <w:sz w:val="18"/>
                          <w:szCs w:val="20"/>
                          <w:lang w:val="es-ES"/>
                        </w:rPr>
                        <w:br/>
                      </w:r>
                      <w:r w:rsidR="00E07741">
                        <w:rPr>
                          <w:rFonts w:asciiTheme="majorHAnsi" w:hAnsiTheme="majorHAnsi" w:cs="Univers"/>
                          <w:color w:val="0D0D0D" w:themeColor="text1" w:themeTint="F2"/>
                          <w:sz w:val="18"/>
                          <w:szCs w:val="20"/>
                          <w:lang w:val="es-ES_tradnl"/>
                        </w:rPr>
                        <w:t>151</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p>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F9E530E" wp14:editId="67E51E4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C5102"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C5102" w:rsidRPr="007C5102">
                              <w:rPr>
                                <w:rFonts w:asciiTheme="majorHAnsi" w:hAnsiTheme="majorHAnsi"/>
                                <w:color w:val="595959" w:themeColor="text1" w:themeTint="A6"/>
                                <w:sz w:val="18"/>
                                <w:szCs w:val="18"/>
                                <w:lang w:val="pt-BR"/>
                              </w:rPr>
                              <w:t>68/14</w:t>
                            </w:r>
                            <w:r w:rsidRPr="007C5102">
                              <w:rPr>
                                <w:rFonts w:asciiTheme="majorHAnsi" w:hAnsiTheme="majorHAnsi"/>
                                <w:color w:val="595959" w:themeColor="text1" w:themeTint="A6"/>
                                <w:sz w:val="18"/>
                                <w:szCs w:val="18"/>
                                <w:lang w:val="pt-BR"/>
                              </w:rPr>
                              <w:t>,</w:t>
                            </w:r>
                            <w:r w:rsidR="00721C78">
                              <w:rPr>
                                <w:rFonts w:asciiTheme="majorHAnsi" w:hAnsiTheme="majorHAnsi"/>
                                <w:color w:val="595959" w:themeColor="text1" w:themeTint="A6"/>
                                <w:sz w:val="18"/>
                                <w:szCs w:val="18"/>
                                <w:lang w:val="pt-BR"/>
                              </w:rPr>
                              <w:t xml:space="preserve"> Petición </w:t>
                            </w:r>
                            <w:r w:rsidR="007C5102" w:rsidRPr="007C5102">
                              <w:rPr>
                                <w:rFonts w:asciiTheme="majorHAnsi" w:hAnsiTheme="majorHAnsi"/>
                                <w:color w:val="595959" w:themeColor="text1" w:themeTint="A6"/>
                                <w:sz w:val="18"/>
                                <w:szCs w:val="18"/>
                                <w:lang w:val="pt-BR"/>
                              </w:rPr>
                              <w:t>10.237</w:t>
                            </w:r>
                            <w:r w:rsidR="007C5102">
                              <w:rPr>
                                <w:rFonts w:asciiTheme="majorHAnsi" w:hAnsiTheme="majorHAnsi"/>
                                <w:color w:val="595959" w:themeColor="text1" w:themeTint="A6"/>
                                <w:sz w:val="18"/>
                                <w:szCs w:val="18"/>
                                <w:lang w:val="pt-BR"/>
                              </w:rPr>
                              <w:t xml:space="preserve">. </w:t>
                            </w:r>
                            <w:r w:rsidR="007C5102" w:rsidRPr="007C5102">
                              <w:rPr>
                                <w:rFonts w:asciiTheme="majorHAnsi" w:hAnsiTheme="majorHAnsi"/>
                                <w:color w:val="595959" w:themeColor="text1" w:themeTint="A6"/>
                                <w:sz w:val="18"/>
                                <w:szCs w:val="18"/>
                                <w:lang w:val="pt-BR"/>
                              </w:rPr>
                              <w:t>Archivo. Manuel De Jesús Araujo Sánchez</w:t>
                            </w:r>
                            <w:r w:rsidRPr="007C5102">
                              <w:rPr>
                                <w:rFonts w:asciiTheme="majorHAnsi" w:hAnsiTheme="majorHAnsi"/>
                                <w:color w:val="595959" w:themeColor="text1" w:themeTint="A6"/>
                                <w:sz w:val="18"/>
                                <w:szCs w:val="18"/>
                                <w:lang w:val="pt-BR"/>
                              </w:rPr>
                              <w:t xml:space="preserve">. </w:t>
                            </w:r>
                            <w:r w:rsidR="007C5102" w:rsidRPr="007C5102">
                              <w:rPr>
                                <w:rFonts w:asciiTheme="majorHAnsi" w:hAnsiTheme="majorHAnsi"/>
                                <w:color w:val="595959" w:themeColor="text1" w:themeTint="A6"/>
                                <w:sz w:val="18"/>
                                <w:szCs w:val="18"/>
                                <w:lang w:val="pt-BR"/>
                              </w:rPr>
                              <w:t>E</w:t>
                            </w:r>
                            <w:r w:rsidR="007C5102">
                              <w:rPr>
                                <w:rFonts w:asciiTheme="majorHAnsi" w:hAnsiTheme="majorHAnsi"/>
                                <w:color w:val="595959" w:themeColor="text1" w:themeTint="A6"/>
                                <w:sz w:val="18"/>
                                <w:szCs w:val="18"/>
                                <w:lang w:val="pt-BR"/>
                              </w:rPr>
                              <w:t>l Salvador</w:t>
                            </w:r>
                            <w:r w:rsidRPr="00890650">
                              <w:rPr>
                                <w:rFonts w:asciiTheme="majorHAnsi" w:hAnsiTheme="majorHAnsi"/>
                                <w:color w:val="595959" w:themeColor="text1" w:themeTint="A6"/>
                                <w:sz w:val="18"/>
                                <w:szCs w:val="18"/>
                                <w:lang w:val="es-ES_tradnl"/>
                              </w:rPr>
                              <w:t xml:space="preserve">. </w:t>
                            </w:r>
                            <w:r w:rsidR="007C5102">
                              <w:rPr>
                                <w:rFonts w:asciiTheme="majorHAnsi" w:hAnsiTheme="majorHAnsi"/>
                                <w:color w:val="595959" w:themeColor="text1" w:themeTint="A6"/>
                                <w:sz w:val="18"/>
                                <w:szCs w:val="18"/>
                                <w:lang w:val="es-ES"/>
                              </w:rPr>
                              <w:t>25 de julio de 2014</w:t>
                            </w:r>
                            <w:r w:rsidRPr="007C5102">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C5102"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C5102" w:rsidRPr="007C5102">
                        <w:rPr>
                          <w:rFonts w:asciiTheme="majorHAnsi" w:hAnsiTheme="majorHAnsi"/>
                          <w:color w:val="595959" w:themeColor="text1" w:themeTint="A6"/>
                          <w:sz w:val="18"/>
                          <w:szCs w:val="18"/>
                          <w:lang w:val="pt-BR"/>
                        </w:rPr>
                        <w:t>68/14</w:t>
                      </w:r>
                      <w:r w:rsidRPr="007C5102">
                        <w:rPr>
                          <w:rFonts w:asciiTheme="majorHAnsi" w:hAnsiTheme="majorHAnsi"/>
                          <w:color w:val="595959" w:themeColor="text1" w:themeTint="A6"/>
                          <w:sz w:val="18"/>
                          <w:szCs w:val="18"/>
                          <w:lang w:val="pt-BR"/>
                        </w:rPr>
                        <w:t>,</w:t>
                      </w:r>
                      <w:r w:rsidR="00721C78">
                        <w:rPr>
                          <w:rFonts w:asciiTheme="majorHAnsi" w:hAnsiTheme="majorHAnsi"/>
                          <w:color w:val="595959" w:themeColor="text1" w:themeTint="A6"/>
                          <w:sz w:val="18"/>
                          <w:szCs w:val="18"/>
                          <w:lang w:val="pt-BR"/>
                        </w:rPr>
                        <w:t xml:space="preserve"> Petición </w:t>
                      </w:r>
                      <w:bookmarkStart w:id="3" w:name="_GoBack"/>
                      <w:bookmarkEnd w:id="3"/>
                      <w:r w:rsidR="007C5102" w:rsidRPr="007C5102">
                        <w:rPr>
                          <w:rFonts w:asciiTheme="majorHAnsi" w:hAnsiTheme="majorHAnsi"/>
                          <w:color w:val="595959" w:themeColor="text1" w:themeTint="A6"/>
                          <w:sz w:val="18"/>
                          <w:szCs w:val="18"/>
                          <w:lang w:val="pt-BR"/>
                        </w:rPr>
                        <w:t>10.237</w:t>
                      </w:r>
                      <w:r w:rsidR="007C5102">
                        <w:rPr>
                          <w:rFonts w:asciiTheme="majorHAnsi" w:hAnsiTheme="majorHAnsi"/>
                          <w:color w:val="595959" w:themeColor="text1" w:themeTint="A6"/>
                          <w:sz w:val="18"/>
                          <w:szCs w:val="18"/>
                          <w:lang w:val="pt-BR"/>
                        </w:rPr>
                        <w:t xml:space="preserve">. </w:t>
                      </w:r>
                      <w:r w:rsidR="007C5102" w:rsidRPr="007C5102">
                        <w:rPr>
                          <w:rFonts w:asciiTheme="majorHAnsi" w:hAnsiTheme="majorHAnsi"/>
                          <w:color w:val="595959" w:themeColor="text1" w:themeTint="A6"/>
                          <w:sz w:val="18"/>
                          <w:szCs w:val="18"/>
                          <w:lang w:val="pt-BR"/>
                        </w:rPr>
                        <w:t>Archivo. Manuel De Jesús Araujo Sánchez</w:t>
                      </w:r>
                      <w:r w:rsidRPr="007C5102">
                        <w:rPr>
                          <w:rFonts w:asciiTheme="majorHAnsi" w:hAnsiTheme="majorHAnsi"/>
                          <w:color w:val="595959" w:themeColor="text1" w:themeTint="A6"/>
                          <w:sz w:val="18"/>
                          <w:szCs w:val="18"/>
                          <w:lang w:val="pt-BR"/>
                        </w:rPr>
                        <w:t xml:space="preserve">. </w:t>
                      </w:r>
                      <w:r w:rsidR="007C5102" w:rsidRPr="007C5102">
                        <w:rPr>
                          <w:rFonts w:asciiTheme="majorHAnsi" w:hAnsiTheme="majorHAnsi"/>
                          <w:color w:val="595959" w:themeColor="text1" w:themeTint="A6"/>
                          <w:sz w:val="18"/>
                          <w:szCs w:val="18"/>
                          <w:lang w:val="pt-BR"/>
                        </w:rPr>
                        <w:t>E</w:t>
                      </w:r>
                      <w:r w:rsidR="007C5102">
                        <w:rPr>
                          <w:rFonts w:asciiTheme="majorHAnsi" w:hAnsiTheme="majorHAnsi"/>
                          <w:color w:val="595959" w:themeColor="text1" w:themeTint="A6"/>
                          <w:sz w:val="18"/>
                          <w:szCs w:val="18"/>
                          <w:lang w:val="pt-BR"/>
                        </w:rPr>
                        <w:t>l Salvador</w:t>
                      </w:r>
                      <w:r w:rsidRPr="00890650">
                        <w:rPr>
                          <w:rFonts w:asciiTheme="majorHAnsi" w:hAnsiTheme="majorHAnsi"/>
                          <w:color w:val="595959" w:themeColor="text1" w:themeTint="A6"/>
                          <w:sz w:val="18"/>
                          <w:szCs w:val="18"/>
                          <w:lang w:val="es-ES_tradnl"/>
                        </w:rPr>
                        <w:t xml:space="preserve">. </w:t>
                      </w:r>
                      <w:r w:rsidR="007C5102">
                        <w:rPr>
                          <w:rFonts w:asciiTheme="majorHAnsi" w:hAnsiTheme="majorHAnsi"/>
                          <w:color w:val="595959" w:themeColor="text1" w:themeTint="A6"/>
                          <w:sz w:val="18"/>
                          <w:szCs w:val="18"/>
                          <w:lang w:val="es-ES"/>
                        </w:rPr>
                        <w:t>25 de julio de 2014</w:t>
                      </w:r>
                      <w:r w:rsidRPr="007C5102">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B2EBCFF" wp14:editId="5B15716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0E92519" wp14:editId="3B41177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rsidR="00722C9F" w:rsidRPr="00853F00" w:rsidRDefault="007C5102" w:rsidP="007C5102">
      <w:pPr>
        <w:jc w:val="center"/>
        <w:rPr>
          <w:rFonts w:ascii="Cambria" w:hAnsi="Cambria" w:cs="Calibri"/>
          <w:sz w:val="20"/>
          <w:szCs w:val="20"/>
          <w:lang w:val="es-ES"/>
        </w:rPr>
      </w:pPr>
      <w:r w:rsidRPr="00853F00">
        <w:rPr>
          <w:rFonts w:asciiTheme="majorHAnsi" w:hAnsiTheme="majorHAnsi"/>
          <w:b/>
          <w:sz w:val="18"/>
          <w:szCs w:val="20"/>
          <w:lang w:val="es-ES"/>
        </w:rPr>
        <w:lastRenderedPageBreak/>
        <w:t>INFORME No. 68</w:t>
      </w:r>
      <w:r w:rsidR="00722C9F" w:rsidRPr="00853F00">
        <w:rPr>
          <w:rFonts w:asciiTheme="majorHAnsi" w:hAnsiTheme="majorHAnsi"/>
          <w:b/>
          <w:sz w:val="18"/>
          <w:szCs w:val="20"/>
          <w:lang w:val="es-ES"/>
        </w:rPr>
        <w:t>/14</w:t>
      </w:r>
    </w:p>
    <w:p w:rsidR="00722C9F" w:rsidRPr="00853F00" w:rsidRDefault="00FB475F" w:rsidP="00722C9F">
      <w:pPr>
        <w:tabs>
          <w:tab w:val="center" w:pos="5400"/>
        </w:tabs>
        <w:suppressAutoHyphens/>
        <w:spacing w:line="276" w:lineRule="auto"/>
        <w:jc w:val="center"/>
        <w:rPr>
          <w:rFonts w:asciiTheme="majorHAnsi" w:hAnsiTheme="majorHAnsi"/>
          <w:b/>
          <w:sz w:val="18"/>
          <w:szCs w:val="20"/>
          <w:lang w:val="es-ES"/>
        </w:rPr>
      </w:pPr>
      <w:r w:rsidRPr="00853F00">
        <w:rPr>
          <w:rFonts w:asciiTheme="majorHAnsi" w:hAnsiTheme="majorHAnsi"/>
          <w:b/>
          <w:sz w:val="18"/>
          <w:szCs w:val="20"/>
          <w:lang w:val="es-ES"/>
        </w:rPr>
        <w:t>PETICIÓN</w:t>
      </w:r>
      <w:r w:rsidR="007C5102" w:rsidRPr="00853F00">
        <w:rPr>
          <w:rFonts w:asciiTheme="majorHAnsi" w:hAnsiTheme="majorHAnsi"/>
          <w:b/>
          <w:sz w:val="18"/>
          <w:szCs w:val="20"/>
          <w:lang w:val="es-ES"/>
        </w:rPr>
        <w:t xml:space="preserve"> 10.237</w:t>
      </w:r>
    </w:p>
    <w:p w:rsidR="00722C9F" w:rsidRPr="00853F00" w:rsidRDefault="007C5102" w:rsidP="00722C9F">
      <w:pPr>
        <w:tabs>
          <w:tab w:val="center" w:pos="5400"/>
        </w:tabs>
        <w:suppressAutoHyphens/>
        <w:spacing w:line="276" w:lineRule="auto"/>
        <w:jc w:val="center"/>
        <w:rPr>
          <w:rFonts w:asciiTheme="majorHAnsi" w:hAnsiTheme="majorHAnsi"/>
          <w:sz w:val="18"/>
          <w:szCs w:val="20"/>
          <w:lang w:val="es-ES"/>
        </w:rPr>
      </w:pPr>
      <w:r w:rsidRPr="00853F00">
        <w:rPr>
          <w:rFonts w:asciiTheme="majorHAnsi" w:hAnsiTheme="majorHAnsi"/>
          <w:sz w:val="18"/>
          <w:szCs w:val="20"/>
          <w:lang w:val="es-ES"/>
        </w:rPr>
        <w:t xml:space="preserve">INFORME DE </w:t>
      </w:r>
      <w:r w:rsidR="00722C9F" w:rsidRPr="00853F00">
        <w:rPr>
          <w:rFonts w:asciiTheme="majorHAnsi" w:hAnsiTheme="majorHAnsi"/>
          <w:sz w:val="18"/>
          <w:szCs w:val="20"/>
          <w:lang w:val="es-ES"/>
        </w:rPr>
        <w:t>ARCHIVO</w:t>
      </w:r>
    </w:p>
    <w:p w:rsidR="00722C9F" w:rsidRPr="007C5102" w:rsidRDefault="007C5102" w:rsidP="00722C9F">
      <w:pPr>
        <w:tabs>
          <w:tab w:val="center" w:pos="5400"/>
        </w:tabs>
        <w:suppressAutoHyphens/>
        <w:spacing w:line="276" w:lineRule="auto"/>
        <w:jc w:val="center"/>
        <w:rPr>
          <w:rFonts w:asciiTheme="majorHAnsi" w:hAnsiTheme="majorHAnsi"/>
          <w:sz w:val="18"/>
          <w:szCs w:val="20"/>
          <w:lang w:val="pt-BR"/>
        </w:rPr>
      </w:pPr>
      <w:r w:rsidRPr="007C5102">
        <w:rPr>
          <w:rFonts w:asciiTheme="majorHAnsi" w:hAnsiTheme="majorHAnsi"/>
          <w:sz w:val="18"/>
          <w:szCs w:val="20"/>
          <w:lang w:val="pt-BR"/>
        </w:rPr>
        <w:t>MANUEL DE JESÚS ARAUJO S</w:t>
      </w:r>
      <w:r>
        <w:rPr>
          <w:rFonts w:asciiTheme="majorHAnsi" w:hAnsiTheme="majorHAnsi"/>
          <w:sz w:val="18"/>
          <w:szCs w:val="20"/>
          <w:lang w:val="pt-BR"/>
        </w:rPr>
        <w:t>ÁNCHEZ</w:t>
      </w:r>
    </w:p>
    <w:p w:rsidR="00722C9F" w:rsidRDefault="007C5102"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EL SALVADOR</w:t>
      </w:r>
    </w:p>
    <w:p w:rsidR="00722C9F" w:rsidRDefault="007C5102"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25 DE JULIO DE 2014</w:t>
      </w:r>
    </w:p>
    <w:p w:rsidR="00DF1EC4" w:rsidRDefault="00DF1EC4" w:rsidP="00DF1EC4">
      <w:pPr>
        <w:tabs>
          <w:tab w:val="center" w:pos="4680"/>
          <w:tab w:val="left" w:pos="6511"/>
        </w:tabs>
        <w:jc w:val="center"/>
        <w:rPr>
          <w:rFonts w:ascii="Cambria" w:hAnsi="Cambria" w:cs="Calibri"/>
          <w:sz w:val="20"/>
          <w:szCs w:val="20"/>
          <w:lang w:val="es-ES_tradnl"/>
        </w:rPr>
      </w:pPr>
    </w:p>
    <w:p w:rsidR="007C5102" w:rsidRDefault="007C5102" w:rsidP="00DF1EC4">
      <w:pPr>
        <w:tabs>
          <w:tab w:val="center" w:pos="4680"/>
          <w:tab w:val="left" w:pos="6511"/>
        </w:tabs>
        <w:jc w:val="center"/>
        <w:rPr>
          <w:rFonts w:ascii="Cambria" w:hAnsi="Cambria" w:cs="Calibri"/>
          <w:sz w:val="20"/>
          <w:szCs w:val="20"/>
          <w:lang w:val="es-ES_tradnl"/>
        </w:rPr>
      </w:pPr>
    </w:p>
    <w:p w:rsidR="007C5102" w:rsidRDefault="007C5102" w:rsidP="00DF1EC4">
      <w:pPr>
        <w:tabs>
          <w:tab w:val="center" w:pos="4680"/>
          <w:tab w:val="left" w:pos="6511"/>
        </w:tabs>
        <w:jc w:val="center"/>
        <w:rPr>
          <w:rFonts w:ascii="Cambria" w:hAnsi="Cambria" w:cs="Calibri"/>
          <w:sz w:val="20"/>
          <w:szCs w:val="20"/>
          <w:lang w:val="es-ES_tradnl"/>
        </w:rPr>
      </w:pPr>
    </w:p>
    <w:p w:rsidR="007C5102" w:rsidRPr="007C5102" w:rsidRDefault="007C5102" w:rsidP="007C5102">
      <w:pPr>
        <w:numPr>
          <w:ilvl w:val="0"/>
          <w:numId w:val="109"/>
        </w:numPr>
        <w:ind w:left="785" w:hanging="65"/>
        <w:jc w:val="both"/>
        <w:rPr>
          <w:rFonts w:ascii="Cambria" w:eastAsia="Arial Bold" w:hAnsi="Cambria" w:cs="Arial Bold"/>
          <w:b/>
          <w:color w:val="000000"/>
          <w:sz w:val="20"/>
          <w:szCs w:val="20"/>
          <w:u w:color="000000"/>
        </w:rPr>
      </w:pPr>
      <w:r>
        <w:rPr>
          <w:rFonts w:ascii="Cambria" w:hAnsi="Cambria" w:cs="Arial Unicode MS"/>
          <w:b/>
          <w:color w:val="000000"/>
          <w:sz w:val="20"/>
          <w:szCs w:val="20"/>
          <w:u w:color="000000"/>
          <w:lang w:val="es-ES_tradnl"/>
        </w:rPr>
        <w:t xml:space="preserve">POSICIÓN DE LAS </w:t>
      </w:r>
      <w:r w:rsidRPr="007C5102">
        <w:rPr>
          <w:rFonts w:ascii="Cambria" w:hAnsi="Cambria" w:cs="Arial Unicode MS"/>
          <w:b/>
          <w:color w:val="000000"/>
          <w:sz w:val="20"/>
          <w:szCs w:val="20"/>
          <w:u w:color="000000"/>
          <w:lang w:val="es-ES_tradnl"/>
        </w:rPr>
        <w:t>PARTES</w:t>
      </w:r>
    </w:p>
    <w:p w:rsidR="007C5102" w:rsidRPr="007C5102" w:rsidRDefault="007C5102" w:rsidP="007C5102">
      <w:pPr>
        <w:jc w:val="both"/>
        <w:rPr>
          <w:rFonts w:ascii="Cambria" w:eastAsia="Arial Bold" w:hAnsi="Cambria" w:cs="Arial Bold"/>
          <w:b/>
          <w:color w:val="000000"/>
          <w:sz w:val="20"/>
          <w:szCs w:val="20"/>
          <w:u w:color="000000"/>
          <w:lang w:val="es-ES_tradnl"/>
        </w:rPr>
      </w:pPr>
    </w:p>
    <w:p w:rsidR="007C5102" w:rsidRPr="007C5102" w:rsidRDefault="007C5102" w:rsidP="007C5102">
      <w:pPr>
        <w:ind w:left="720"/>
        <w:jc w:val="both"/>
        <w:rPr>
          <w:rFonts w:ascii="Cambria" w:eastAsia="Arial Bold" w:hAnsi="Cambria" w:cs="Arial Bold"/>
          <w:b/>
          <w:color w:val="000000"/>
          <w:sz w:val="20"/>
          <w:szCs w:val="20"/>
          <w:u w:color="000000"/>
          <w:lang w:val="es-ES_tradnl"/>
        </w:rPr>
      </w:pPr>
      <w:r w:rsidRPr="007C5102">
        <w:rPr>
          <w:rFonts w:ascii="Cambria" w:hAnsi="Cambria" w:cs="Arial Unicode MS"/>
          <w:b/>
          <w:color w:val="000000"/>
          <w:sz w:val="20"/>
          <w:szCs w:val="20"/>
          <w:u w:color="000000"/>
          <w:lang w:val="es-ES"/>
        </w:rPr>
        <w:t xml:space="preserve">A. </w:t>
      </w:r>
      <w:r w:rsidRPr="007C5102">
        <w:rPr>
          <w:rFonts w:ascii="Cambria" w:hAnsi="Cambria" w:cs="Arial Unicode MS"/>
          <w:b/>
          <w:color w:val="000000"/>
          <w:sz w:val="20"/>
          <w:szCs w:val="20"/>
          <w:u w:color="000000"/>
          <w:lang w:val="es-ES"/>
        </w:rPr>
        <w:tab/>
        <w:t>POSICIÓN DE LAS PETICIONARIAS</w:t>
      </w:r>
    </w:p>
    <w:p w:rsidR="007C5102" w:rsidRPr="007C5102" w:rsidRDefault="007C5102" w:rsidP="007C5102">
      <w:pPr>
        <w:ind w:left="360"/>
        <w:jc w:val="both"/>
        <w:rPr>
          <w:rFonts w:ascii="Cambria" w:eastAsia="Arial Bold" w:hAnsi="Cambria" w:cs="Arial Bold"/>
          <w:color w:val="000000"/>
          <w:sz w:val="20"/>
          <w:szCs w:val="20"/>
          <w:u w:color="000000"/>
          <w:lang w:val="es-ES_tradnl"/>
        </w:rPr>
      </w:pPr>
    </w:p>
    <w:p w:rsidR="007C5102" w:rsidRPr="007C5102" w:rsidRDefault="007C5102" w:rsidP="007C5102">
      <w:pPr>
        <w:ind w:firstLine="720"/>
        <w:jc w:val="both"/>
        <w:rPr>
          <w:rFonts w:ascii="Cambria" w:hAnsi="Cambria" w:cs="Arial Unicode MS"/>
          <w:color w:val="000000"/>
          <w:sz w:val="20"/>
          <w:szCs w:val="20"/>
          <w:u w:color="000000"/>
          <w:lang w:val="es-ES_tradnl"/>
        </w:rPr>
      </w:pPr>
      <w:r w:rsidRPr="007C5102">
        <w:rPr>
          <w:rFonts w:ascii="Cambria" w:hAnsi="Cambria" w:cs="Arial Unicode MS"/>
          <w:color w:val="000000"/>
          <w:sz w:val="20"/>
          <w:szCs w:val="20"/>
          <w:u w:color="000000"/>
          <w:lang w:val="es-ES_tradnl"/>
        </w:rPr>
        <w:t>1.</w:t>
      </w:r>
      <w:r w:rsidRPr="007C5102">
        <w:rPr>
          <w:rFonts w:ascii="Cambria" w:hAnsi="Cambria" w:cs="Arial Unicode MS"/>
          <w:color w:val="000000"/>
          <w:sz w:val="20"/>
          <w:szCs w:val="20"/>
          <w:u w:color="000000"/>
          <w:lang w:val="es-ES_tradnl"/>
        </w:rPr>
        <w:tab/>
        <w:t xml:space="preserve">El 27 de septiembre de 1988 la Comisión Interamericana de Derechos Humanos (de ahora en adelante "CIDH"), recibió una petición por parte de la </w:t>
      </w:r>
      <w:r w:rsidRPr="007C5102">
        <w:rPr>
          <w:rFonts w:ascii="Cambria" w:hAnsi="Cambria" w:cs="Arial Unicode MS"/>
          <w:color w:val="000000"/>
          <w:sz w:val="20"/>
          <w:szCs w:val="20"/>
          <w:u w:color="000000"/>
          <w:lang w:val="es-ES"/>
        </w:rPr>
        <w:t xml:space="preserve">Comisión para la Defensa de los Derechos Humanos en Centroamérica (CODEHUCA), en adelante “los peticionarios” en contra del Estado salvadoreño. En la denuncia se alegó </w:t>
      </w:r>
      <w:r w:rsidRPr="007C5102">
        <w:rPr>
          <w:rFonts w:ascii="Cambria" w:hAnsi="Cambria" w:cs="Arial Unicode MS"/>
          <w:color w:val="000000"/>
          <w:sz w:val="20"/>
          <w:szCs w:val="20"/>
          <w:u w:color="000000"/>
          <w:lang w:val="es-ES_tradnl"/>
        </w:rPr>
        <w:t>la ejecución extrajudicial, tortura y violación al debido proceso, denegación de justicia y violación al derecho de propiedad de Manuel de Jesús Araujo Sánchez que se encontraba recluido en el Penal La Esperanza en San Salvador.</w:t>
      </w:r>
    </w:p>
    <w:p w:rsidR="007C5102" w:rsidRPr="007C5102" w:rsidRDefault="007C5102" w:rsidP="007C5102">
      <w:pPr>
        <w:ind w:firstLine="720"/>
        <w:jc w:val="both"/>
        <w:rPr>
          <w:rFonts w:ascii="Cambria" w:hAnsi="Cambria" w:cs="Arial Unicode MS"/>
          <w:color w:val="000000"/>
          <w:sz w:val="20"/>
          <w:szCs w:val="20"/>
          <w:u w:color="000000"/>
          <w:lang w:val="es-ES_tradnl"/>
        </w:rPr>
      </w:pPr>
    </w:p>
    <w:p w:rsidR="007C5102" w:rsidRPr="007C5102" w:rsidRDefault="007C5102" w:rsidP="007C5102">
      <w:pPr>
        <w:ind w:firstLine="720"/>
        <w:jc w:val="both"/>
        <w:rPr>
          <w:rFonts w:ascii="Cambria" w:eastAsia="Arial Bold" w:hAnsi="Cambria" w:cs="Arial Bold"/>
          <w:color w:val="000000"/>
          <w:sz w:val="20"/>
          <w:szCs w:val="20"/>
          <w:u w:color="000000"/>
          <w:lang w:val="es-ES_tradnl"/>
        </w:rPr>
      </w:pPr>
      <w:r w:rsidRPr="007C5102">
        <w:rPr>
          <w:rFonts w:ascii="Cambria" w:hAnsi="Cambria" w:cs="Arial Unicode MS"/>
          <w:color w:val="000000"/>
          <w:sz w:val="20"/>
          <w:szCs w:val="20"/>
          <w:u w:color="000000"/>
          <w:lang w:val="es-ES_tradnl"/>
        </w:rPr>
        <w:t>2.</w:t>
      </w:r>
      <w:r w:rsidRPr="007C5102">
        <w:rPr>
          <w:rFonts w:ascii="Cambria" w:hAnsi="Cambria" w:cs="Arial Unicode MS"/>
          <w:color w:val="000000"/>
          <w:sz w:val="20"/>
          <w:szCs w:val="20"/>
          <w:u w:color="000000"/>
          <w:lang w:val="es-ES_tradnl"/>
        </w:rPr>
        <w:tab/>
        <w:t xml:space="preserve">En la petición se detalló que el 19 de diciembre de 1987  la presunta víctima se encontraba en el área de internos políticos del centro penal La Esperanza, quienes protestaban por las condiciones carcelarias. Ese día ingresaron miembros de la fuerza militar, lanzando bombas lacrimógenas y bombas explosivas, disparos y golpeando a los reclusos con puños, garrotes y armas. Después de varios supuestos golpes por parte de los militares hacia Manuel de Jesús Araujo Sánchez, éste fue aventado desde la terraza del centro en el que se encontraba. </w:t>
      </w:r>
    </w:p>
    <w:p w:rsidR="007C5102" w:rsidRPr="007C5102" w:rsidRDefault="007C5102" w:rsidP="007C5102">
      <w:pPr>
        <w:ind w:firstLine="720"/>
        <w:jc w:val="both"/>
        <w:rPr>
          <w:rFonts w:ascii="Cambria" w:eastAsia="Arial Bold" w:hAnsi="Cambria" w:cs="Arial Bold"/>
          <w:b/>
          <w:color w:val="000000"/>
          <w:sz w:val="20"/>
          <w:szCs w:val="20"/>
          <w:u w:color="000000"/>
          <w:lang w:val="es-ES_tradnl"/>
        </w:rPr>
      </w:pPr>
    </w:p>
    <w:p w:rsidR="007C5102" w:rsidRPr="007C5102" w:rsidRDefault="007C5102" w:rsidP="007C5102">
      <w:pPr>
        <w:ind w:firstLine="720"/>
        <w:jc w:val="both"/>
        <w:rPr>
          <w:rFonts w:ascii="Cambria" w:eastAsia="Arial Bold" w:hAnsi="Cambria" w:cs="Arial Bold"/>
          <w:b/>
          <w:color w:val="000000"/>
          <w:sz w:val="20"/>
          <w:szCs w:val="20"/>
          <w:u w:color="000000"/>
          <w:lang w:val="es-ES_tradnl"/>
        </w:rPr>
      </w:pPr>
      <w:r w:rsidRPr="007C5102">
        <w:rPr>
          <w:rFonts w:ascii="Cambria" w:hAnsi="Cambria" w:cs="Arial Unicode MS"/>
          <w:b/>
          <w:color w:val="000000"/>
          <w:sz w:val="20"/>
          <w:szCs w:val="20"/>
          <w:u w:color="000000"/>
          <w:lang w:val="es-ES"/>
        </w:rPr>
        <w:t xml:space="preserve">B. </w:t>
      </w:r>
      <w:r w:rsidRPr="007C5102">
        <w:rPr>
          <w:rFonts w:ascii="Cambria" w:hAnsi="Cambria" w:cs="Arial Unicode MS"/>
          <w:b/>
          <w:color w:val="000000"/>
          <w:sz w:val="20"/>
          <w:szCs w:val="20"/>
          <w:u w:color="000000"/>
          <w:lang w:val="es-ES"/>
        </w:rPr>
        <w:tab/>
        <w:t>POSICIÓN DEL ESTADO</w:t>
      </w:r>
    </w:p>
    <w:p w:rsidR="007C5102" w:rsidRPr="007C5102" w:rsidRDefault="007C5102" w:rsidP="007C5102">
      <w:pPr>
        <w:ind w:firstLine="720"/>
        <w:jc w:val="both"/>
        <w:rPr>
          <w:rFonts w:ascii="Cambria" w:eastAsia="Arial Bold" w:hAnsi="Cambria" w:cs="Arial Bold"/>
          <w:color w:val="000000"/>
          <w:sz w:val="20"/>
          <w:szCs w:val="20"/>
          <w:u w:color="000000"/>
          <w:lang w:val="es-ES_tradnl"/>
        </w:rPr>
      </w:pPr>
    </w:p>
    <w:p w:rsidR="007C5102" w:rsidRPr="007C5102" w:rsidRDefault="007C5102" w:rsidP="007C5102">
      <w:pPr>
        <w:ind w:firstLine="720"/>
        <w:jc w:val="both"/>
        <w:rPr>
          <w:rFonts w:ascii="Cambria" w:hAnsi="Cambria" w:cs="Arial"/>
          <w:color w:val="000000"/>
          <w:sz w:val="20"/>
          <w:szCs w:val="20"/>
          <w:u w:color="000000"/>
          <w:lang w:val="es-ES"/>
        </w:rPr>
      </w:pPr>
      <w:r w:rsidRPr="007C5102">
        <w:rPr>
          <w:rFonts w:ascii="Cambria" w:hAnsi="Cambria" w:cs="Arial Unicode MS"/>
          <w:color w:val="000000"/>
          <w:sz w:val="20"/>
          <w:szCs w:val="20"/>
          <w:u w:color="000000"/>
          <w:lang w:val="es-ES"/>
        </w:rPr>
        <w:t xml:space="preserve">5. </w:t>
      </w:r>
      <w:r w:rsidRPr="007C5102">
        <w:rPr>
          <w:rFonts w:ascii="Cambria" w:hAnsi="Cambria" w:cs="Arial Unicode MS"/>
          <w:color w:val="000000"/>
          <w:sz w:val="20"/>
          <w:szCs w:val="20"/>
          <w:u w:color="000000"/>
          <w:lang w:val="es-ES"/>
        </w:rPr>
        <w:tab/>
        <w:t xml:space="preserve">El Estado solicitó que se archive la causa en razón de que se realizaron las investigaciones correspondientes. Alegó que la investigación acerca de la muerte del señor Manuel de Jesús </w:t>
      </w:r>
      <w:proofErr w:type="spellStart"/>
      <w:r w:rsidRPr="007C5102">
        <w:rPr>
          <w:rFonts w:ascii="Cambria" w:hAnsi="Cambria" w:cs="Arial Unicode MS"/>
          <w:color w:val="000000"/>
          <w:sz w:val="20"/>
          <w:szCs w:val="20"/>
          <w:u w:color="000000"/>
          <w:lang w:val="es-ES"/>
        </w:rPr>
        <w:t>Araújo</w:t>
      </w:r>
      <w:proofErr w:type="spellEnd"/>
      <w:r w:rsidRPr="007C5102">
        <w:rPr>
          <w:rFonts w:ascii="Cambria" w:hAnsi="Cambria" w:cs="Arial Unicode MS"/>
          <w:color w:val="000000"/>
          <w:sz w:val="20"/>
          <w:szCs w:val="20"/>
          <w:u w:color="000000"/>
          <w:lang w:val="es-ES"/>
        </w:rPr>
        <w:t xml:space="preserve"> Sánchez estuvo a cargo del Juzgado de Paz de </w:t>
      </w:r>
      <w:proofErr w:type="spellStart"/>
      <w:r w:rsidRPr="007C5102">
        <w:rPr>
          <w:rFonts w:ascii="Cambria" w:hAnsi="Cambria" w:cs="Arial Unicode MS"/>
          <w:color w:val="000000"/>
          <w:sz w:val="20"/>
          <w:szCs w:val="20"/>
          <w:u w:color="000000"/>
          <w:lang w:val="es-ES"/>
        </w:rPr>
        <w:t>Ayutuxtepeque</w:t>
      </w:r>
      <w:proofErr w:type="spellEnd"/>
      <w:r w:rsidRPr="007C5102">
        <w:rPr>
          <w:rFonts w:ascii="Cambria" w:hAnsi="Cambria" w:cs="Arial Unicode MS"/>
          <w:color w:val="000000"/>
          <w:sz w:val="20"/>
          <w:szCs w:val="20"/>
          <w:u w:color="000000"/>
          <w:lang w:val="es-ES"/>
        </w:rPr>
        <w:t xml:space="preserve">. Las investigaciones arrojaron que la causa de la muerte de </w:t>
      </w:r>
      <w:proofErr w:type="spellStart"/>
      <w:r w:rsidRPr="007C5102">
        <w:rPr>
          <w:rFonts w:ascii="Cambria" w:hAnsi="Cambria" w:cs="Arial Unicode MS"/>
          <w:color w:val="000000"/>
          <w:sz w:val="20"/>
          <w:szCs w:val="20"/>
          <w:u w:color="000000"/>
          <w:lang w:val="es-ES"/>
        </w:rPr>
        <w:t>Araújo</w:t>
      </w:r>
      <w:proofErr w:type="spellEnd"/>
      <w:r w:rsidRPr="007C5102">
        <w:rPr>
          <w:rFonts w:ascii="Cambria" w:hAnsi="Cambria" w:cs="Arial Unicode MS"/>
          <w:color w:val="000000"/>
          <w:sz w:val="20"/>
          <w:szCs w:val="20"/>
          <w:u w:color="000000"/>
          <w:lang w:val="es-ES"/>
        </w:rPr>
        <w:t xml:space="preserve"> Sánchez  habría sido un traumatismo craneano producto de una caída, la cual habría sido ocasionada por la propia presunta víctima, hecho que, según alega el Estado, habría sido constatada por numerosos testigos. Por ende según el Estado la muerte del señor Manuel de Jesús </w:t>
      </w:r>
      <w:proofErr w:type="spellStart"/>
      <w:r w:rsidRPr="007C5102">
        <w:rPr>
          <w:rFonts w:ascii="Cambria" w:hAnsi="Cambria" w:cs="Arial Unicode MS"/>
          <w:color w:val="000000"/>
          <w:sz w:val="20"/>
          <w:szCs w:val="20"/>
          <w:u w:color="000000"/>
          <w:lang w:val="es-ES"/>
        </w:rPr>
        <w:t>Araújo</w:t>
      </w:r>
      <w:proofErr w:type="spellEnd"/>
      <w:r w:rsidRPr="007C5102">
        <w:rPr>
          <w:rFonts w:ascii="Cambria" w:hAnsi="Cambria" w:cs="Arial Unicode MS"/>
          <w:color w:val="000000"/>
          <w:sz w:val="20"/>
          <w:szCs w:val="20"/>
          <w:u w:color="000000"/>
          <w:lang w:val="es-ES"/>
        </w:rPr>
        <w:t xml:space="preserve"> Sánchez “o fue un suicidio, o probablemente […] perdió el equilibrio y cayó al vacío”. </w:t>
      </w:r>
    </w:p>
    <w:p w:rsidR="007C5102" w:rsidRPr="007C5102" w:rsidRDefault="007C5102" w:rsidP="007C5102">
      <w:pPr>
        <w:ind w:firstLine="720"/>
        <w:jc w:val="both"/>
        <w:rPr>
          <w:rFonts w:ascii="Cambria" w:eastAsia="Arial Bold" w:hAnsi="Cambria" w:cs="Arial Bold"/>
          <w:color w:val="000000"/>
          <w:sz w:val="20"/>
          <w:szCs w:val="20"/>
          <w:u w:color="000000"/>
          <w:lang w:val="es-ES_tradnl"/>
        </w:rPr>
      </w:pPr>
    </w:p>
    <w:p w:rsidR="007C5102" w:rsidRPr="007C5102" w:rsidRDefault="007C5102" w:rsidP="007C5102">
      <w:pPr>
        <w:ind w:firstLine="720"/>
        <w:rPr>
          <w:rFonts w:ascii="Cambria" w:eastAsia="Arial Bold" w:hAnsi="Cambria" w:cs="Arial Bold"/>
          <w:b/>
          <w:color w:val="000000"/>
          <w:sz w:val="20"/>
          <w:szCs w:val="20"/>
          <w:u w:color="000000"/>
          <w:lang w:val="es-ES_tradnl"/>
        </w:rPr>
      </w:pPr>
      <w:r w:rsidRPr="007C5102">
        <w:rPr>
          <w:rFonts w:ascii="Cambria" w:hAnsi="Cambria" w:cs="Arial Unicode MS"/>
          <w:b/>
          <w:color w:val="000000"/>
          <w:sz w:val="20"/>
          <w:szCs w:val="20"/>
          <w:u w:color="000000"/>
          <w:lang w:val="es-ES"/>
        </w:rPr>
        <w:t>II.</w:t>
      </w:r>
      <w:r w:rsidRPr="007C5102">
        <w:rPr>
          <w:rFonts w:ascii="Cambria" w:hAnsi="Cambria" w:cs="Arial Unicode MS"/>
          <w:b/>
          <w:color w:val="000000"/>
          <w:sz w:val="20"/>
          <w:szCs w:val="20"/>
          <w:u w:color="000000"/>
          <w:lang w:val="es-ES"/>
        </w:rPr>
        <w:tab/>
        <w:t>TRÁMITE ANTE LA CIDH</w:t>
      </w:r>
      <w:r w:rsidRPr="007C5102">
        <w:rPr>
          <w:rFonts w:ascii="Cambria" w:hAnsi="Cambria" w:cs="Arial Unicode MS"/>
          <w:b/>
          <w:color w:val="000000"/>
          <w:sz w:val="20"/>
          <w:szCs w:val="20"/>
          <w:u w:color="000000"/>
          <w:lang w:val="es-ES"/>
        </w:rPr>
        <w:br/>
      </w:r>
    </w:p>
    <w:p w:rsidR="007C5102" w:rsidRPr="007C5102" w:rsidRDefault="007C5102" w:rsidP="007C5102">
      <w:pPr>
        <w:tabs>
          <w:tab w:val="center" w:pos="720"/>
          <w:tab w:val="left" w:pos="1440"/>
        </w:tabs>
        <w:rPr>
          <w:rFonts w:ascii="Cambria" w:hAnsi="Cambria" w:cs="Calibri"/>
          <w:color w:val="808080" w:themeColor="background1" w:themeShade="80"/>
          <w:sz w:val="20"/>
          <w:szCs w:val="20"/>
          <w:lang w:val="es-ES_tradnl"/>
        </w:rPr>
      </w:pPr>
      <w:r w:rsidRPr="007C5102">
        <w:rPr>
          <w:rFonts w:ascii="Cambria" w:eastAsia="Arial Bold" w:hAnsi="Cambria" w:cs="Arial Bold"/>
          <w:sz w:val="20"/>
          <w:szCs w:val="20"/>
          <w:u w:color="000000"/>
          <w:lang w:val="es-ES_tradnl"/>
        </w:rPr>
        <w:tab/>
      </w:r>
      <w:r w:rsidRPr="007C5102">
        <w:rPr>
          <w:rFonts w:ascii="Cambria" w:hAnsi="Cambria"/>
          <w:sz w:val="20"/>
          <w:szCs w:val="20"/>
          <w:u w:color="000000"/>
          <w:lang w:val="es-ES"/>
        </w:rPr>
        <w:t>7.</w:t>
      </w:r>
      <w:r w:rsidRPr="007C5102">
        <w:rPr>
          <w:rFonts w:ascii="Cambria" w:eastAsia="Arial Bold" w:hAnsi="Cambria" w:cs="Arial Bold"/>
          <w:sz w:val="20"/>
          <w:szCs w:val="20"/>
          <w:u w:color="000000"/>
          <w:lang w:val="es-ES"/>
        </w:rPr>
        <w:tab/>
        <w:t xml:space="preserve"> </w:t>
      </w:r>
      <w:r w:rsidRPr="007C5102">
        <w:rPr>
          <w:rFonts w:ascii="Cambria" w:hAnsi="Cambria"/>
          <w:sz w:val="20"/>
          <w:szCs w:val="20"/>
          <w:u w:color="000000"/>
          <w:lang w:val="es-ES"/>
        </w:rPr>
        <w:t xml:space="preserve">La CIDH recibió el caso el 27 de septiembre de 1988 y se le asignó el número 10.237. El 11 de octubre de 1988 transmitió las partes pertinente al Estado solicitándole que dentro del plazo de noventa días presentara sus observaciones. </w:t>
      </w:r>
      <w:r w:rsidRPr="007C5102">
        <w:rPr>
          <w:rFonts w:ascii="Cambria" w:hAnsi="Cambria"/>
          <w:sz w:val="20"/>
          <w:szCs w:val="20"/>
          <w:lang w:val="es-ES"/>
        </w:rPr>
        <w:t>El 9 de noviembre de 1990, el 3 de junio de 1992, el 10 de noviembre de</w:t>
      </w:r>
      <w:r w:rsidRPr="007C5102">
        <w:rPr>
          <w:rFonts w:ascii="Cambria" w:hAnsi="Cambria" w:cs="Calibri"/>
          <w:color w:val="808080" w:themeColor="background1" w:themeShade="80"/>
          <w:sz w:val="20"/>
          <w:szCs w:val="20"/>
          <w:lang w:val="es-ES_tradnl"/>
        </w:rPr>
        <w:t xml:space="preserve"> </w:t>
      </w:r>
      <w:r w:rsidRPr="007C5102">
        <w:rPr>
          <w:rFonts w:ascii="Cambria" w:hAnsi="Cambria" w:cs="Arial Unicode MS"/>
          <w:color w:val="000000"/>
          <w:sz w:val="20"/>
          <w:szCs w:val="20"/>
          <w:lang w:val="es-ES"/>
        </w:rPr>
        <w:t>1992 y el 28 de julio de 1993 la CIDH reiteró al Gobierno Salvadoreño la solicitud de observaciones acerca del caso. La respuesta del Estado fue recibida el 30 de septiembre de 1993 que fue remitida a las peticionarias el 20 de septiembre de 1994.</w:t>
      </w:r>
      <w:r w:rsidRPr="007C5102">
        <w:rPr>
          <w:rFonts w:ascii="Cambria" w:hAnsi="Cambria" w:cs="Arial Unicode MS"/>
          <w:color w:val="000000"/>
          <w:sz w:val="20"/>
          <w:szCs w:val="20"/>
          <w:lang w:val="es-ES"/>
        </w:rPr>
        <w:tab/>
      </w:r>
    </w:p>
    <w:p w:rsidR="007C5102" w:rsidRPr="007C5102" w:rsidRDefault="007C5102" w:rsidP="007C5102">
      <w:pPr>
        <w:jc w:val="both"/>
        <w:rPr>
          <w:rFonts w:ascii="Cambria" w:hAnsi="Cambria" w:cs="Arial Unicode MS"/>
          <w:color w:val="000000"/>
          <w:sz w:val="20"/>
          <w:szCs w:val="20"/>
          <w:lang w:val="es-ES"/>
        </w:rPr>
      </w:pPr>
    </w:p>
    <w:p w:rsidR="007C5102" w:rsidRPr="007C5102" w:rsidRDefault="007C5102" w:rsidP="007C5102">
      <w:pPr>
        <w:ind w:firstLine="720"/>
        <w:jc w:val="both"/>
        <w:rPr>
          <w:rFonts w:ascii="Cambria" w:hAnsi="Cambria" w:cs="Arial Unicode MS"/>
          <w:color w:val="000000"/>
          <w:sz w:val="20"/>
          <w:szCs w:val="20"/>
          <w:u w:color="000000"/>
          <w:lang w:val="es-ES"/>
        </w:rPr>
      </w:pPr>
      <w:r w:rsidRPr="007C5102">
        <w:rPr>
          <w:rFonts w:ascii="Cambria" w:hAnsi="Cambria" w:cs="Arial Unicode MS"/>
          <w:color w:val="000000"/>
          <w:sz w:val="20"/>
          <w:szCs w:val="20"/>
          <w:u w:color="000000"/>
          <w:lang w:val="es-ES"/>
        </w:rPr>
        <w:t>8.</w:t>
      </w:r>
      <w:r w:rsidRPr="007C5102">
        <w:rPr>
          <w:rFonts w:ascii="Cambria" w:hAnsi="Cambria" w:cs="Arial Unicode MS"/>
          <w:color w:val="000000"/>
          <w:sz w:val="20"/>
          <w:szCs w:val="20"/>
          <w:u w:color="000000"/>
          <w:lang w:val="es-ES"/>
        </w:rPr>
        <w:tab/>
        <w:t>El 11 de enero de 1995 y el 19 de abril de 1995 la CIDH reiteró a los peticionarios el pedido de respuesta a las observaciones emitidas por el Estado. La CIDH recibió información de los peticionarios el 27 de junio de 1995. Dicha comunicación fue debidamente transmitida al Estado. El 13 de febrero de 1996 y el 24 de septiembre de 1997 la CIDH reiteró el pedido de respuesta al Estado. El 2 de mayo de 1996 la CIDH se puso a disposición de las partes para encontrar una solución amistosa. No hubo respuesta.</w:t>
      </w:r>
    </w:p>
    <w:p w:rsidR="007C5102" w:rsidRPr="007C5102" w:rsidRDefault="007C5102" w:rsidP="007C5102">
      <w:pPr>
        <w:ind w:firstLine="720"/>
        <w:jc w:val="both"/>
        <w:rPr>
          <w:rFonts w:ascii="Cambria" w:hAnsi="Cambria" w:cs="Arial Unicode MS"/>
          <w:color w:val="000000"/>
          <w:sz w:val="20"/>
          <w:szCs w:val="20"/>
          <w:u w:color="000000"/>
          <w:lang w:val="es-ES"/>
        </w:rPr>
      </w:pPr>
    </w:p>
    <w:p w:rsidR="007C5102" w:rsidRPr="007C5102" w:rsidRDefault="007C5102" w:rsidP="007C5102">
      <w:pPr>
        <w:ind w:firstLine="720"/>
        <w:jc w:val="both"/>
        <w:rPr>
          <w:rFonts w:ascii="Cambria" w:hAnsi="Cambria" w:cs="Arial Unicode MS"/>
          <w:color w:val="000000"/>
          <w:sz w:val="20"/>
          <w:szCs w:val="20"/>
          <w:u w:color="000000"/>
          <w:lang w:val="es-ES"/>
        </w:rPr>
      </w:pPr>
      <w:r w:rsidRPr="007C5102">
        <w:rPr>
          <w:rFonts w:ascii="Cambria" w:hAnsi="Cambria" w:cs="Arial Unicode MS"/>
          <w:color w:val="000000"/>
          <w:sz w:val="20"/>
          <w:szCs w:val="20"/>
          <w:u w:color="000000"/>
          <w:lang w:val="es-ES"/>
        </w:rPr>
        <w:t>9.</w:t>
      </w:r>
      <w:r w:rsidRPr="007C5102">
        <w:rPr>
          <w:rFonts w:ascii="Cambria" w:hAnsi="Cambria" w:cs="Arial Unicode MS"/>
          <w:color w:val="000000"/>
          <w:sz w:val="20"/>
          <w:szCs w:val="20"/>
          <w:u w:color="000000"/>
          <w:lang w:val="es-ES"/>
        </w:rPr>
        <w:tab/>
        <w:t xml:space="preserve">El 22 de abril de 2010 y el 22 de febrero de 2011 la CIDH solicitó a los peticionarios información actualizada acerca del caso, con la finalidad de comprobar si subsistían los motivos; e indicó que de no recibirse la información en el plazo indicado, la CIDH procedería a archivar la petición, conforme al </w:t>
      </w:r>
      <w:r w:rsidRPr="007C5102">
        <w:rPr>
          <w:rFonts w:ascii="Cambria" w:hAnsi="Cambria" w:cs="Arial Unicode MS"/>
          <w:color w:val="000000"/>
          <w:sz w:val="20"/>
          <w:szCs w:val="20"/>
          <w:u w:color="000000"/>
          <w:lang w:val="es-ES"/>
        </w:rPr>
        <w:lastRenderedPageBreak/>
        <w:t>artículo 48.1.b de la Convención Americana sobre Derechos Humanos y el artículo 42 de su Reglamento. No hubo respuesta de las peticionarias.</w:t>
      </w:r>
    </w:p>
    <w:p w:rsidR="007C5102" w:rsidRPr="007C5102" w:rsidRDefault="007C5102" w:rsidP="007C5102">
      <w:pPr>
        <w:ind w:firstLine="720"/>
        <w:jc w:val="both"/>
        <w:rPr>
          <w:rFonts w:ascii="Cambria" w:hAnsi="Cambria" w:cs="Arial Unicode MS"/>
          <w:color w:val="000000"/>
          <w:sz w:val="20"/>
          <w:szCs w:val="20"/>
          <w:u w:color="000000"/>
          <w:lang w:val="es-ES"/>
        </w:rPr>
      </w:pPr>
    </w:p>
    <w:p w:rsidR="007C5102" w:rsidRPr="007C5102" w:rsidRDefault="007C5102" w:rsidP="007C5102">
      <w:pPr>
        <w:tabs>
          <w:tab w:val="left" w:pos="360"/>
        </w:tabs>
        <w:ind w:firstLine="720"/>
        <w:jc w:val="both"/>
        <w:rPr>
          <w:rFonts w:ascii="Cambria" w:eastAsia="Arial Bold" w:hAnsi="Cambria" w:cs="Arial Bold"/>
          <w:b/>
          <w:color w:val="000000"/>
          <w:sz w:val="20"/>
          <w:szCs w:val="20"/>
          <w:u w:color="000000"/>
          <w:lang w:val="es-ES_tradnl"/>
        </w:rPr>
      </w:pPr>
      <w:r w:rsidRPr="007C5102">
        <w:rPr>
          <w:rFonts w:ascii="Cambria" w:hAnsi="Cambria" w:cs="Arial Unicode MS"/>
          <w:b/>
          <w:color w:val="000000"/>
          <w:sz w:val="20"/>
          <w:szCs w:val="20"/>
          <w:u w:color="000000"/>
          <w:lang w:val="es-ES"/>
        </w:rPr>
        <w:t>III.</w:t>
      </w:r>
      <w:r w:rsidRPr="007C5102">
        <w:rPr>
          <w:rFonts w:ascii="Cambria" w:hAnsi="Cambria" w:cs="Arial Unicode MS"/>
          <w:b/>
          <w:color w:val="000000"/>
          <w:sz w:val="20"/>
          <w:szCs w:val="20"/>
          <w:u w:color="000000"/>
          <w:lang w:val="es-ES"/>
        </w:rPr>
        <w:tab/>
        <w:t>FUNDAMENTOS PARA LA DECISIÓN DE ARCHIVO</w:t>
      </w:r>
    </w:p>
    <w:p w:rsidR="007C5102" w:rsidRPr="007C5102" w:rsidRDefault="007C5102" w:rsidP="007C5102">
      <w:pPr>
        <w:tabs>
          <w:tab w:val="left" w:pos="360"/>
        </w:tabs>
        <w:ind w:firstLine="720"/>
        <w:jc w:val="both"/>
        <w:rPr>
          <w:rFonts w:ascii="Cambria" w:eastAsia="Arial Bold" w:hAnsi="Cambria" w:cs="Arial Bold"/>
          <w:color w:val="000000"/>
          <w:sz w:val="20"/>
          <w:szCs w:val="20"/>
          <w:u w:color="000000"/>
          <w:lang w:val="es-ES_tradnl"/>
        </w:rPr>
      </w:pPr>
    </w:p>
    <w:p w:rsidR="007C5102" w:rsidRPr="007C5102" w:rsidRDefault="007C5102" w:rsidP="007C5102">
      <w:pPr>
        <w:ind w:firstLine="720"/>
        <w:jc w:val="both"/>
        <w:rPr>
          <w:rFonts w:ascii="Cambria" w:hAnsi="Cambria" w:cs="Arial Unicode MS"/>
          <w:color w:val="000000"/>
          <w:sz w:val="20"/>
          <w:szCs w:val="20"/>
          <w:u w:color="000000"/>
          <w:lang w:val="es-ES"/>
        </w:rPr>
      </w:pPr>
      <w:r w:rsidRPr="007C5102">
        <w:rPr>
          <w:rFonts w:ascii="Cambria" w:hAnsi="Cambria" w:cs="Arial Unicode MS"/>
          <w:color w:val="000000"/>
          <w:sz w:val="20"/>
          <w:szCs w:val="20"/>
          <w:u w:color="000000"/>
          <w:lang w:val="es-ES"/>
        </w:rPr>
        <w:t xml:space="preserve">10. </w:t>
      </w:r>
      <w:r w:rsidRPr="007C5102">
        <w:rPr>
          <w:rFonts w:ascii="Cambria" w:hAnsi="Cambria" w:cs="Arial Unicode MS"/>
          <w:color w:val="000000"/>
          <w:sz w:val="20"/>
          <w:szCs w:val="20"/>
          <w:u w:color="000000"/>
          <w:lang w:val="es-ES"/>
        </w:rPr>
        <w:tab/>
      </w:r>
      <w:r w:rsidRPr="007C5102">
        <w:rPr>
          <w:rFonts w:ascii="Cambria" w:hAnsi="Cambria" w:cs="Arial Unicode MS"/>
          <w:color w:val="000000"/>
          <w:sz w:val="20"/>
          <w:szCs w:val="20"/>
          <w:lang w:val="es-ES"/>
        </w:rPr>
        <w:t>El artículo 48.1 de la Convención Americana sobre Derechos Humanos y el artículo 42 del Reglamento de la CIDH establecen que, en cualquier momento del procedimiento, la Comisión deberá verificar si los fundamentos para la petición aún existen o subsisten y si considera que no, ordenará el archivo del caso. De igual modo, el artículo 42.1.b de su Reglamento establece que la CIDH podrá decidir archivar un caso cuando no se dispone la información necesaria para tomar una decisión</w:t>
      </w:r>
      <w:r w:rsidRPr="007C5102">
        <w:rPr>
          <w:rFonts w:ascii="Cambria" w:hAnsi="Cambria" w:cs="Arial Unicode MS"/>
          <w:color w:val="000000"/>
          <w:sz w:val="20"/>
          <w:szCs w:val="20"/>
          <w:lang w:val="es-ES_tradnl"/>
        </w:rPr>
        <w:t>.</w:t>
      </w:r>
    </w:p>
    <w:p w:rsidR="007C5102" w:rsidRPr="007C5102" w:rsidRDefault="007C5102" w:rsidP="007C5102">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Cambria" w:eastAsia="Arial Bold" w:hAnsi="Cambria" w:cs="Arial Bold"/>
          <w:color w:val="000000"/>
          <w:sz w:val="20"/>
          <w:szCs w:val="20"/>
          <w:u w:color="000000"/>
          <w:lang w:val="es-ES_tradnl"/>
        </w:rPr>
      </w:pPr>
    </w:p>
    <w:p w:rsidR="007C5102" w:rsidRPr="007C5102" w:rsidRDefault="007C5102" w:rsidP="007C5102">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ind w:firstLine="720"/>
        <w:jc w:val="both"/>
        <w:rPr>
          <w:rFonts w:ascii="Cambria" w:hAnsi="Cambria"/>
          <w:sz w:val="20"/>
          <w:szCs w:val="20"/>
          <w:lang w:val="es-ES"/>
        </w:rPr>
      </w:pPr>
      <w:r w:rsidRPr="007C5102">
        <w:rPr>
          <w:rFonts w:ascii="Cambria" w:hAnsi="Cambria"/>
          <w:sz w:val="20"/>
          <w:szCs w:val="20"/>
          <w:lang w:val="es-ES_tradnl"/>
        </w:rPr>
        <w:t>11.</w:t>
      </w:r>
      <w:r w:rsidRPr="007C5102">
        <w:rPr>
          <w:rFonts w:ascii="Cambria" w:hAnsi="Cambria"/>
          <w:sz w:val="20"/>
          <w:szCs w:val="20"/>
          <w:lang w:val="es-ES_tradnl"/>
        </w:rPr>
        <w:tab/>
        <w:t>La CIDH observa que desde junio de 1995 los peticionarios no han ampliado o actualizado la información sobre sus reclamos. En el 2010 y 2011 la CIDH solicitó</w:t>
      </w:r>
      <w:r w:rsidRPr="007C5102">
        <w:rPr>
          <w:rFonts w:ascii="Cambria" w:hAnsi="Cambria"/>
          <w:sz w:val="20"/>
          <w:szCs w:val="20"/>
          <w:lang w:val="es-ES"/>
        </w:rPr>
        <w:t xml:space="preserve"> información actualizada a los peticionarios bajo advertencia de archivo y no obtuvo respuesta. </w:t>
      </w:r>
    </w:p>
    <w:p w:rsidR="007C5102" w:rsidRDefault="007C5102" w:rsidP="00722C9F">
      <w:pPr>
        <w:tabs>
          <w:tab w:val="center" w:pos="4680"/>
          <w:tab w:val="left" w:pos="6511"/>
        </w:tabs>
        <w:rPr>
          <w:rFonts w:ascii="Cambria" w:hAnsi="Cambria" w:cs="Calibri"/>
          <w:color w:val="808080" w:themeColor="background1" w:themeShade="80"/>
          <w:sz w:val="20"/>
          <w:szCs w:val="20"/>
          <w:lang w:val="es-ES"/>
        </w:rPr>
      </w:pPr>
    </w:p>
    <w:p w:rsidR="00973A24" w:rsidRPr="00DB1515" w:rsidRDefault="007D2A6E" w:rsidP="00973A24">
      <w:pPr>
        <w:ind w:firstLine="720"/>
        <w:jc w:val="both"/>
        <w:rPr>
          <w:rFonts w:ascii="Cambria" w:hAnsi="Cambria"/>
          <w:spacing w:val="-2"/>
          <w:sz w:val="20"/>
          <w:szCs w:val="20"/>
          <w:lang w:val="es-ES_tradnl"/>
        </w:rPr>
      </w:pPr>
      <w:r w:rsidRPr="00DB1515">
        <w:rPr>
          <w:rFonts w:ascii="Cambria" w:hAnsi="Cambria" w:cs="Arial"/>
          <w:noProof/>
          <w:spacing w:val="-2"/>
          <w:sz w:val="20"/>
          <w:szCs w:val="20"/>
          <w:lang w:val="es-CL"/>
        </w:rPr>
        <w:t>Dado y firmado en la ciud</w:t>
      </w:r>
      <w:r>
        <w:rPr>
          <w:rFonts w:ascii="Cambria" w:hAnsi="Cambria" w:cs="Arial"/>
          <w:noProof/>
          <w:spacing w:val="-2"/>
          <w:sz w:val="20"/>
          <w:szCs w:val="20"/>
          <w:lang w:val="es-CL"/>
        </w:rPr>
        <w:t>ad de Washington, D.C., a los 25</w:t>
      </w:r>
      <w:r w:rsidRPr="00DB1515">
        <w:rPr>
          <w:rFonts w:ascii="Cambria" w:hAnsi="Cambria" w:cs="Arial"/>
          <w:noProof/>
          <w:spacing w:val="-2"/>
          <w:sz w:val="20"/>
          <w:szCs w:val="20"/>
          <w:lang w:val="es-CL"/>
        </w:rPr>
        <w:t xml:space="preserve"> días del mes de julio de 2014.</w:t>
      </w:r>
      <w:r w:rsidR="00973A24">
        <w:rPr>
          <w:rFonts w:ascii="Cambria" w:hAnsi="Cambria" w:cs="Arial"/>
          <w:noProof/>
          <w:spacing w:val="-2"/>
          <w:sz w:val="20"/>
          <w:szCs w:val="20"/>
          <w:lang w:val="es-CL"/>
        </w:rPr>
        <w:t xml:space="preserve"> (Firmado): </w:t>
      </w:r>
      <w:r w:rsidR="00973A24">
        <w:rPr>
          <w:rFonts w:ascii="Cambria" w:hAnsi="Cambria"/>
          <w:spacing w:val="-2"/>
          <w:sz w:val="20"/>
          <w:szCs w:val="20"/>
          <w:lang w:val="es-ES_tradnl"/>
        </w:rPr>
        <w:t xml:space="preserve">Tracy Robinson, </w:t>
      </w:r>
      <w:r w:rsidR="00973A24" w:rsidRPr="00DB1515">
        <w:rPr>
          <w:rFonts w:ascii="Cambria" w:hAnsi="Cambria"/>
          <w:spacing w:val="-2"/>
          <w:sz w:val="20"/>
          <w:szCs w:val="20"/>
          <w:lang w:val="es-ES_tradnl"/>
        </w:rPr>
        <w:t>Presidenta</w:t>
      </w:r>
      <w:r w:rsidR="00973A24">
        <w:rPr>
          <w:rFonts w:ascii="Cambria" w:hAnsi="Cambria"/>
          <w:spacing w:val="-2"/>
          <w:sz w:val="20"/>
          <w:szCs w:val="20"/>
          <w:lang w:val="es-ES_tradnl"/>
        </w:rPr>
        <w:t xml:space="preserve">; </w:t>
      </w:r>
      <w:r w:rsidR="00973A24" w:rsidRPr="00973A24">
        <w:rPr>
          <w:rFonts w:ascii="Cambria" w:hAnsi="Cambria"/>
          <w:sz w:val="20"/>
          <w:szCs w:val="20"/>
          <w:lang w:val="es-ES"/>
        </w:rPr>
        <w:t xml:space="preserve">Rose-Marie Belle Antoine, </w:t>
      </w:r>
      <w:r w:rsidR="00973A24" w:rsidRPr="00DB1515">
        <w:rPr>
          <w:rFonts w:ascii="Cambria" w:hAnsi="Cambria"/>
          <w:spacing w:val="-2"/>
          <w:sz w:val="20"/>
          <w:szCs w:val="20"/>
          <w:lang w:val="es-ES"/>
        </w:rPr>
        <w:t>Primera Vicepresidenta</w:t>
      </w:r>
      <w:r w:rsidR="00973A24">
        <w:rPr>
          <w:rFonts w:ascii="Cambria" w:hAnsi="Cambria"/>
          <w:spacing w:val="-2"/>
          <w:sz w:val="20"/>
          <w:szCs w:val="20"/>
          <w:lang w:val="es-ES"/>
        </w:rPr>
        <w:t xml:space="preserve">; </w:t>
      </w:r>
      <w:r w:rsidR="00973A24" w:rsidRPr="00DB1515">
        <w:rPr>
          <w:rFonts w:ascii="Cambria" w:hAnsi="Cambria"/>
          <w:spacing w:val="-2"/>
          <w:sz w:val="20"/>
          <w:szCs w:val="20"/>
          <w:lang w:val="es-ES_tradnl"/>
        </w:rPr>
        <w:t>Felipe González</w:t>
      </w:r>
      <w:r w:rsidR="00973A24">
        <w:rPr>
          <w:rFonts w:ascii="Cambria" w:hAnsi="Cambria"/>
          <w:spacing w:val="-2"/>
          <w:sz w:val="20"/>
          <w:szCs w:val="20"/>
          <w:lang w:val="es-ES_tradnl"/>
        </w:rPr>
        <w:t xml:space="preserve">, </w:t>
      </w:r>
      <w:r w:rsidR="00973A24" w:rsidRPr="00DB1515">
        <w:rPr>
          <w:rFonts w:ascii="Cambria" w:hAnsi="Cambria"/>
          <w:spacing w:val="-2"/>
          <w:sz w:val="20"/>
          <w:szCs w:val="20"/>
          <w:lang w:val="es-ES"/>
        </w:rPr>
        <w:t>Segundo Vicepresidente</w:t>
      </w:r>
      <w:r w:rsidR="00973A24">
        <w:rPr>
          <w:rFonts w:ascii="Cambria" w:hAnsi="Cambria"/>
          <w:spacing w:val="-2"/>
          <w:sz w:val="20"/>
          <w:szCs w:val="20"/>
          <w:lang w:val="es-ES"/>
        </w:rPr>
        <w:t xml:space="preserve">;  </w:t>
      </w:r>
      <w:r w:rsidR="00973A24" w:rsidRPr="00875B36">
        <w:rPr>
          <w:rFonts w:ascii="Cambria" w:hAnsi="Cambria"/>
          <w:spacing w:val="-2"/>
          <w:sz w:val="20"/>
          <w:szCs w:val="20"/>
          <w:lang w:val="es-ES_tradnl"/>
        </w:rPr>
        <w:t xml:space="preserve">Paulo </w:t>
      </w:r>
      <w:proofErr w:type="spellStart"/>
      <w:r w:rsidR="00973A24" w:rsidRPr="00875B36">
        <w:rPr>
          <w:rFonts w:ascii="Cambria" w:hAnsi="Cambria"/>
          <w:spacing w:val="-2"/>
          <w:sz w:val="20"/>
          <w:szCs w:val="20"/>
          <w:lang w:val="es-ES_tradnl"/>
        </w:rPr>
        <w:t>Vannuchi</w:t>
      </w:r>
      <w:proofErr w:type="spellEnd"/>
      <w:r w:rsidR="00973A24">
        <w:rPr>
          <w:rFonts w:ascii="Cambria" w:hAnsi="Cambria"/>
          <w:spacing w:val="-2"/>
          <w:sz w:val="20"/>
          <w:szCs w:val="20"/>
          <w:lang w:val="es-ES_tradnl"/>
        </w:rPr>
        <w:t>, R</w:t>
      </w:r>
      <w:r w:rsidR="00973A24" w:rsidRPr="00DB18C9">
        <w:rPr>
          <w:rFonts w:ascii="Cambria" w:hAnsi="Cambria"/>
          <w:spacing w:val="-2"/>
          <w:sz w:val="20"/>
          <w:szCs w:val="20"/>
          <w:lang w:val="es-ES_tradnl"/>
        </w:rPr>
        <w:t>osa María Ortiz</w:t>
      </w:r>
      <w:r w:rsidR="00973A24">
        <w:rPr>
          <w:rFonts w:ascii="Cambria" w:hAnsi="Cambria"/>
          <w:spacing w:val="-2"/>
          <w:sz w:val="20"/>
          <w:szCs w:val="20"/>
          <w:lang w:val="es-ES_tradnl"/>
        </w:rPr>
        <w:t xml:space="preserve"> (en contra) y</w:t>
      </w:r>
      <w:bookmarkStart w:id="1" w:name="_GoBack"/>
      <w:bookmarkEnd w:id="1"/>
      <w:r w:rsidR="00973A24">
        <w:rPr>
          <w:rFonts w:ascii="Cambria" w:hAnsi="Cambria"/>
          <w:spacing w:val="-2"/>
          <w:sz w:val="20"/>
          <w:szCs w:val="20"/>
          <w:lang w:val="es-ES_tradnl"/>
        </w:rPr>
        <w:t xml:space="preserve"> </w:t>
      </w:r>
      <w:r w:rsidR="00973A24" w:rsidRPr="00875B36">
        <w:rPr>
          <w:rFonts w:ascii="Cambria" w:hAnsi="Cambria"/>
          <w:spacing w:val="-2"/>
          <w:sz w:val="20"/>
          <w:szCs w:val="20"/>
          <w:lang w:val="es-ES"/>
        </w:rPr>
        <w:t xml:space="preserve">James L. </w:t>
      </w:r>
      <w:proofErr w:type="spellStart"/>
      <w:r w:rsidR="00973A24" w:rsidRPr="00875B36">
        <w:rPr>
          <w:rFonts w:ascii="Cambria" w:hAnsi="Cambria"/>
          <w:spacing w:val="-2"/>
          <w:sz w:val="20"/>
          <w:szCs w:val="20"/>
          <w:lang w:val="es-ES"/>
        </w:rPr>
        <w:t>Cavallaro</w:t>
      </w:r>
      <w:proofErr w:type="spellEnd"/>
      <w:r w:rsidR="00973A24">
        <w:rPr>
          <w:rFonts w:ascii="Cambria" w:hAnsi="Cambria"/>
          <w:spacing w:val="-2"/>
          <w:sz w:val="20"/>
          <w:szCs w:val="20"/>
          <w:lang w:val="es-ES"/>
        </w:rPr>
        <w:t xml:space="preserve">, Miembros de la Comisión. </w:t>
      </w:r>
      <w:r w:rsidR="00973A24" w:rsidRPr="00875B36">
        <w:rPr>
          <w:rFonts w:ascii="Cambria" w:hAnsi="Cambria"/>
          <w:spacing w:val="-2"/>
          <w:sz w:val="20"/>
          <w:szCs w:val="20"/>
          <w:lang w:val="es-ES"/>
        </w:rPr>
        <w:t>Comisionado</w:t>
      </w:r>
    </w:p>
    <w:sectPr w:rsidR="00973A24" w:rsidRPr="00DB151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292" w:rsidRDefault="001B2292">
      <w:r>
        <w:separator/>
      </w:r>
    </w:p>
  </w:endnote>
  <w:endnote w:type="continuationSeparator" w:id="0">
    <w:p w:rsidR="001B2292" w:rsidRDefault="001B2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Arial Bold">
    <w:panose1 w:val="020B07040202020202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73A24">
          <w:rPr>
            <w:noProof/>
            <w:sz w:val="16"/>
            <w:szCs w:val="22"/>
          </w:rPr>
          <w:t>2</w:t>
        </w:r>
        <w:r w:rsidRPr="00934A2C">
          <w:rPr>
            <w:noProof/>
            <w:sz w:val="16"/>
            <w:szCs w:val="22"/>
          </w:rPr>
          <w:fldChar w:fldCharType="end"/>
        </w:r>
      </w:p>
    </w:sdtContent>
  </w:sdt>
  <w:p w:rsidR="0070697F" w:rsidRDefault="007069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292" w:rsidRPr="000F35ED" w:rsidRDefault="001B2292">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1B2292" w:rsidRPr="000F35ED" w:rsidRDefault="001B2292" w:rsidP="000F35ED">
      <w:pPr>
        <w:rPr>
          <w:rFonts w:asciiTheme="majorHAnsi" w:hAnsiTheme="majorHAnsi"/>
          <w:sz w:val="16"/>
          <w:szCs w:val="16"/>
        </w:rPr>
      </w:pPr>
      <w:r w:rsidRPr="000F35ED">
        <w:rPr>
          <w:rFonts w:asciiTheme="majorHAnsi" w:hAnsiTheme="majorHAnsi"/>
          <w:sz w:val="16"/>
          <w:szCs w:val="16"/>
        </w:rPr>
        <w:separator/>
      </w:r>
    </w:p>
    <w:p w:rsidR="001B2292" w:rsidRPr="000F35ED" w:rsidRDefault="001B2292"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1B2292" w:rsidRPr="000F35ED" w:rsidRDefault="001B2292"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603B506E" wp14:editId="5E897EA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1B2292"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4">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03F7239"/>
    <w:multiLevelType w:val="multilevel"/>
    <w:tmpl w:val="59AEEFD2"/>
    <w:styleLink w:val="List01"/>
    <w:lvl w:ilvl="0">
      <w:start w:val="1"/>
      <w:numFmt w:val="upperRoman"/>
      <w:lvlText w:val="%1."/>
      <w:lvlJc w:val="left"/>
      <w:pPr>
        <w:tabs>
          <w:tab w:val="num" w:pos="720"/>
        </w:tabs>
        <w:ind w:left="720" w:hanging="720"/>
      </w:pPr>
      <w:rPr>
        <w:position w:val="0"/>
        <w:sz w:val="24"/>
        <w:szCs w:val="24"/>
        <w:lang w:val="en-US"/>
      </w:rPr>
    </w:lvl>
    <w:lvl w:ilvl="1">
      <w:start w:val="1"/>
      <w:numFmt w:val="upperLetter"/>
      <w:lvlText w:val="%2."/>
      <w:lvlJc w:val="left"/>
      <w:pPr>
        <w:tabs>
          <w:tab w:val="num" w:pos="1410"/>
        </w:tabs>
        <w:ind w:left="1410" w:hanging="330"/>
      </w:pPr>
      <w:rPr>
        <w:position w:val="0"/>
        <w:sz w:val="22"/>
        <w:szCs w:val="22"/>
        <w:lang w:val="es-ES_tradnl"/>
      </w:rPr>
    </w:lvl>
    <w:lvl w:ilvl="2">
      <w:start w:val="1"/>
      <w:numFmt w:val="lowerRoman"/>
      <w:lvlText w:val="%3."/>
      <w:lvlJc w:val="left"/>
      <w:pPr>
        <w:tabs>
          <w:tab w:val="num" w:pos="2135"/>
        </w:tabs>
        <w:ind w:left="2135" w:hanging="271"/>
      </w:pPr>
      <w:rPr>
        <w:position w:val="0"/>
        <w:sz w:val="22"/>
        <w:szCs w:val="22"/>
        <w:lang w:val="es-ES_tradnl"/>
      </w:rPr>
    </w:lvl>
    <w:lvl w:ilvl="3">
      <w:start w:val="1"/>
      <w:numFmt w:val="decimal"/>
      <w:lvlText w:val="%4."/>
      <w:lvlJc w:val="left"/>
      <w:pPr>
        <w:tabs>
          <w:tab w:val="num" w:pos="2850"/>
        </w:tabs>
        <w:ind w:left="2850" w:hanging="330"/>
      </w:pPr>
      <w:rPr>
        <w:position w:val="0"/>
        <w:sz w:val="22"/>
        <w:szCs w:val="22"/>
        <w:lang w:val="es-ES_tradnl"/>
      </w:rPr>
    </w:lvl>
    <w:lvl w:ilvl="4">
      <w:start w:val="1"/>
      <w:numFmt w:val="lowerLetter"/>
      <w:lvlText w:val="%5."/>
      <w:lvlJc w:val="left"/>
      <w:pPr>
        <w:tabs>
          <w:tab w:val="num" w:pos="3570"/>
        </w:tabs>
        <w:ind w:left="3570" w:hanging="330"/>
      </w:pPr>
      <w:rPr>
        <w:position w:val="0"/>
        <w:sz w:val="22"/>
        <w:szCs w:val="22"/>
        <w:lang w:val="es-ES_tradnl"/>
      </w:rPr>
    </w:lvl>
    <w:lvl w:ilvl="5">
      <w:start w:val="1"/>
      <w:numFmt w:val="lowerRoman"/>
      <w:lvlText w:val="%6."/>
      <w:lvlJc w:val="left"/>
      <w:pPr>
        <w:tabs>
          <w:tab w:val="num" w:pos="4295"/>
        </w:tabs>
        <w:ind w:left="4295" w:hanging="271"/>
      </w:pPr>
      <w:rPr>
        <w:position w:val="0"/>
        <w:sz w:val="22"/>
        <w:szCs w:val="22"/>
        <w:lang w:val="es-ES_tradnl"/>
      </w:rPr>
    </w:lvl>
    <w:lvl w:ilvl="6">
      <w:start w:val="1"/>
      <w:numFmt w:val="decimal"/>
      <w:lvlText w:val="%7."/>
      <w:lvlJc w:val="left"/>
      <w:pPr>
        <w:tabs>
          <w:tab w:val="num" w:pos="5010"/>
        </w:tabs>
        <w:ind w:left="5010" w:hanging="330"/>
      </w:pPr>
      <w:rPr>
        <w:position w:val="0"/>
        <w:sz w:val="22"/>
        <w:szCs w:val="22"/>
        <w:lang w:val="es-ES_tradnl"/>
      </w:rPr>
    </w:lvl>
    <w:lvl w:ilvl="7">
      <w:start w:val="1"/>
      <w:numFmt w:val="lowerLetter"/>
      <w:lvlText w:val="%8."/>
      <w:lvlJc w:val="left"/>
      <w:pPr>
        <w:tabs>
          <w:tab w:val="num" w:pos="5730"/>
        </w:tabs>
        <w:ind w:left="5730" w:hanging="330"/>
      </w:pPr>
      <w:rPr>
        <w:position w:val="0"/>
        <w:sz w:val="22"/>
        <w:szCs w:val="22"/>
        <w:lang w:val="es-ES_tradnl"/>
      </w:rPr>
    </w:lvl>
    <w:lvl w:ilvl="8">
      <w:start w:val="1"/>
      <w:numFmt w:val="lowerRoman"/>
      <w:lvlText w:val="%9."/>
      <w:lvlJc w:val="left"/>
      <w:pPr>
        <w:tabs>
          <w:tab w:val="num" w:pos="6455"/>
        </w:tabs>
        <w:ind w:left="6455" w:hanging="271"/>
      </w:pPr>
      <w:rPr>
        <w:position w:val="0"/>
        <w:sz w:val="22"/>
        <w:szCs w:val="22"/>
        <w:lang w:val="es-ES_tradnl"/>
      </w:r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0"/>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6"/>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8"/>
  </w:num>
  <w:num w:numId="85">
    <w:abstractNumId w:val="51"/>
  </w:num>
  <w:num w:numId="86">
    <w:abstractNumId w:val="54"/>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2"/>
  </w:num>
  <w:num w:numId="98">
    <w:abstractNumId w:val="47"/>
  </w:num>
  <w:num w:numId="99">
    <w:abstractNumId w:val="39"/>
  </w:num>
  <w:num w:numId="100">
    <w:abstractNumId w:val="3"/>
  </w:num>
  <w:num w:numId="101">
    <w:abstractNumId w:val="27"/>
  </w:num>
  <w:num w:numId="102">
    <w:abstractNumId w:val="49"/>
  </w:num>
  <w:num w:numId="103">
    <w:abstractNumId w:val="6"/>
  </w:num>
  <w:num w:numId="104">
    <w:abstractNumId w:val="65"/>
  </w:num>
  <w:num w:numId="105">
    <w:abstractNumId w:val="53"/>
  </w:num>
  <w:num w:numId="106">
    <w:abstractNumId w:val="4"/>
  </w:num>
  <w:num w:numId="107">
    <w:abstractNumId w:val="31"/>
  </w:num>
  <w:num w:numId="108">
    <w:abstractNumId w:val="14"/>
  </w:num>
  <w:num w:numId="109">
    <w:abstractNumId w:val="55"/>
    <w:lvlOverride w:ilvl="0">
      <w:lvl w:ilvl="0">
        <w:start w:val="1"/>
        <w:numFmt w:val="upperRoman"/>
        <w:lvlText w:val="%1."/>
        <w:lvlJc w:val="left"/>
        <w:pPr>
          <w:tabs>
            <w:tab w:val="num" w:pos="720"/>
          </w:tabs>
          <w:ind w:left="720" w:hanging="720"/>
        </w:pPr>
        <w:rPr>
          <w:position w:val="0"/>
          <w:sz w:val="20"/>
          <w:szCs w:val="20"/>
          <w:lang w:val="en-US"/>
        </w:rPr>
      </w:lvl>
    </w:lvlOverride>
  </w:num>
  <w:num w:numId="110">
    <w:abstractNumId w:val="5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788C"/>
    <w:rsid w:val="00040C3A"/>
    <w:rsid w:val="000716C5"/>
    <w:rsid w:val="00075E23"/>
    <w:rsid w:val="0009344A"/>
    <w:rsid w:val="000A392E"/>
    <w:rsid w:val="000A575F"/>
    <w:rsid w:val="000D10DB"/>
    <w:rsid w:val="000E5EB5"/>
    <w:rsid w:val="000F35ED"/>
    <w:rsid w:val="00107131"/>
    <w:rsid w:val="0010736F"/>
    <w:rsid w:val="00113F73"/>
    <w:rsid w:val="00121CC2"/>
    <w:rsid w:val="00133EE5"/>
    <w:rsid w:val="00167A34"/>
    <w:rsid w:val="001A7870"/>
    <w:rsid w:val="001B2292"/>
    <w:rsid w:val="001C1B41"/>
    <w:rsid w:val="001D65EF"/>
    <w:rsid w:val="002250A3"/>
    <w:rsid w:val="00235217"/>
    <w:rsid w:val="00246D1F"/>
    <w:rsid w:val="00247403"/>
    <w:rsid w:val="00247542"/>
    <w:rsid w:val="00266B61"/>
    <w:rsid w:val="0026712A"/>
    <w:rsid w:val="002704DB"/>
    <w:rsid w:val="002A0AAE"/>
    <w:rsid w:val="002A5820"/>
    <w:rsid w:val="002D2B26"/>
    <w:rsid w:val="002D7EA2"/>
    <w:rsid w:val="002E187C"/>
    <w:rsid w:val="00302733"/>
    <w:rsid w:val="00314078"/>
    <w:rsid w:val="0031535D"/>
    <w:rsid w:val="0033169F"/>
    <w:rsid w:val="00346C95"/>
    <w:rsid w:val="00356185"/>
    <w:rsid w:val="00360380"/>
    <w:rsid w:val="0037519E"/>
    <w:rsid w:val="00386CF0"/>
    <w:rsid w:val="003C676B"/>
    <w:rsid w:val="003D3BC2"/>
    <w:rsid w:val="003E6CA1"/>
    <w:rsid w:val="003F4928"/>
    <w:rsid w:val="004165C2"/>
    <w:rsid w:val="00441ECB"/>
    <w:rsid w:val="00467B7E"/>
    <w:rsid w:val="00477592"/>
    <w:rsid w:val="00486F1C"/>
    <w:rsid w:val="0049419D"/>
    <w:rsid w:val="004C20D2"/>
    <w:rsid w:val="004C4B62"/>
    <w:rsid w:val="004C54C9"/>
    <w:rsid w:val="004D1995"/>
    <w:rsid w:val="004D6025"/>
    <w:rsid w:val="004E2649"/>
    <w:rsid w:val="00501399"/>
    <w:rsid w:val="0050633D"/>
    <w:rsid w:val="00507BC4"/>
    <w:rsid w:val="005128E4"/>
    <w:rsid w:val="005133DB"/>
    <w:rsid w:val="00525560"/>
    <w:rsid w:val="00544C49"/>
    <w:rsid w:val="005516A1"/>
    <w:rsid w:val="005548CA"/>
    <w:rsid w:val="0057402A"/>
    <w:rsid w:val="005771D0"/>
    <w:rsid w:val="0059191A"/>
    <w:rsid w:val="005921FF"/>
    <w:rsid w:val="005A6D0E"/>
    <w:rsid w:val="005B52B0"/>
    <w:rsid w:val="005B6806"/>
    <w:rsid w:val="005C4225"/>
    <w:rsid w:val="005F0DAD"/>
    <w:rsid w:val="005F0F33"/>
    <w:rsid w:val="00600DEB"/>
    <w:rsid w:val="00627C9F"/>
    <w:rsid w:val="006311E9"/>
    <w:rsid w:val="00632354"/>
    <w:rsid w:val="00642810"/>
    <w:rsid w:val="00652333"/>
    <w:rsid w:val="0068009E"/>
    <w:rsid w:val="00686633"/>
    <w:rsid w:val="00692219"/>
    <w:rsid w:val="006A17D2"/>
    <w:rsid w:val="006A73E6"/>
    <w:rsid w:val="006B2D5C"/>
    <w:rsid w:val="006C4EB1"/>
    <w:rsid w:val="006E0166"/>
    <w:rsid w:val="006E7B34"/>
    <w:rsid w:val="0070697F"/>
    <w:rsid w:val="0072199C"/>
    <w:rsid w:val="00721C78"/>
    <w:rsid w:val="00722C9F"/>
    <w:rsid w:val="007253B8"/>
    <w:rsid w:val="0073741F"/>
    <w:rsid w:val="0076643F"/>
    <w:rsid w:val="00777F63"/>
    <w:rsid w:val="007A5817"/>
    <w:rsid w:val="007B60E9"/>
    <w:rsid w:val="007B6CC3"/>
    <w:rsid w:val="007C3334"/>
    <w:rsid w:val="007C5102"/>
    <w:rsid w:val="007D2A6E"/>
    <w:rsid w:val="007D2B98"/>
    <w:rsid w:val="007E21BC"/>
    <w:rsid w:val="00803F1C"/>
    <w:rsid w:val="0080600E"/>
    <w:rsid w:val="00817612"/>
    <w:rsid w:val="008338A4"/>
    <w:rsid w:val="00837C45"/>
    <w:rsid w:val="00844730"/>
    <w:rsid w:val="008457C2"/>
    <w:rsid w:val="00853F00"/>
    <w:rsid w:val="00857A82"/>
    <w:rsid w:val="00873836"/>
    <w:rsid w:val="00875B36"/>
    <w:rsid w:val="00885737"/>
    <w:rsid w:val="00890650"/>
    <w:rsid w:val="00897E12"/>
    <w:rsid w:val="008A7E0F"/>
    <w:rsid w:val="008B12F5"/>
    <w:rsid w:val="008D768D"/>
    <w:rsid w:val="008E3759"/>
    <w:rsid w:val="008F1912"/>
    <w:rsid w:val="0090270B"/>
    <w:rsid w:val="009041DC"/>
    <w:rsid w:val="009047AD"/>
    <w:rsid w:val="00917B5A"/>
    <w:rsid w:val="00920A58"/>
    <w:rsid w:val="00920A8C"/>
    <w:rsid w:val="00934A2C"/>
    <w:rsid w:val="0096706E"/>
    <w:rsid w:val="00973A24"/>
    <w:rsid w:val="00975C4E"/>
    <w:rsid w:val="00981FBA"/>
    <w:rsid w:val="00997BC5"/>
    <w:rsid w:val="009A4F41"/>
    <w:rsid w:val="009B381B"/>
    <w:rsid w:val="009D1753"/>
    <w:rsid w:val="009D7611"/>
    <w:rsid w:val="009E0B61"/>
    <w:rsid w:val="009E53DE"/>
    <w:rsid w:val="00A328B3"/>
    <w:rsid w:val="00A50FCF"/>
    <w:rsid w:val="00A528D1"/>
    <w:rsid w:val="00A610CD"/>
    <w:rsid w:val="00AA09A2"/>
    <w:rsid w:val="00AA7996"/>
    <w:rsid w:val="00AC19CB"/>
    <w:rsid w:val="00AE5488"/>
    <w:rsid w:val="00AE6F91"/>
    <w:rsid w:val="00AF5571"/>
    <w:rsid w:val="00B07341"/>
    <w:rsid w:val="00B30539"/>
    <w:rsid w:val="00B314DB"/>
    <w:rsid w:val="00B361F2"/>
    <w:rsid w:val="00B3718B"/>
    <w:rsid w:val="00B4632A"/>
    <w:rsid w:val="00B530F1"/>
    <w:rsid w:val="00BA276C"/>
    <w:rsid w:val="00BB306F"/>
    <w:rsid w:val="00BD4B89"/>
    <w:rsid w:val="00BF6FD8"/>
    <w:rsid w:val="00C03680"/>
    <w:rsid w:val="00C054DF"/>
    <w:rsid w:val="00C21762"/>
    <w:rsid w:val="00C24543"/>
    <w:rsid w:val="00C256A2"/>
    <w:rsid w:val="00C51515"/>
    <w:rsid w:val="00C5660B"/>
    <w:rsid w:val="00C66B72"/>
    <w:rsid w:val="00C93599"/>
    <w:rsid w:val="00C9567A"/>
    <w:rsid w:val="00CB212D"/>
    <w:rsid w:val="00CB2660"/>
    <w:rsid w:val="00CC4EA1"/>
    <w:rsid w:val="00CC5E90"/>
    <w:rsid w:val="00CD046C"/>
    <w:rsid w:val="00CE076C"/>
    <w:rsid w:val="00CE5199"/>
    <w:rsid w:val="00CE66D5"/>
    <w:rsid w:val="00CF637A"/>
    <w:rsid w:val="00D059DE"/>
    <w:rsid w:val="00D12EAD"/>
    <w:rsid w:val="00D13FCE"/>
    <w:rsid w:val="00D306D1"/>
    <w:rsid w:val="00D34786"/>
    <w:rsid w:val="00D37BFC"/>
    <w:rsid w:val="00D47A8E"/>
    <w:rsid w:val="00D52D14"/>
    <w:rsid w:val="00D712D3"/>
    <w:rsid w:val="00D71422"/>
    <w:rsid w:val="00D72DC6"/>
    <w:rsid w:val="00D7558D"/>
    <w:rsid w:val="00D81D92"/>
    <w:rsid w:val="00DA7B5F"/>
    <w:rsid w:val="00DC11E7"/>
    <w:rsid w:val="00DC7023"/>
    <w:rsid w:val="00DC769A"/>
    <w:rsid w:val="00DD3D86"/>
    <w:rsid w:val="00DF1EC4"/>
    <w:rsid w:val="00E0340B"/>
    <w:rsid w:val="00E04A90"/>
    <w:rsid w:val="00E07741"/>
    <w:rsid w:val="00E219C7"/>
    <w:rsid w:val="00E43157"/>
    <w:rsid w:val="00E461CE"/>
    <w:rsid w:val="00E720CA"/>
    <w:rsid w:val="00E84EB5"/>
    <w:rsid w:val="00E85662"/>
    <w:rsid w:val="00E8789F"/>
    <w:rsid w:val="00E97B71"/>
    <w:rsid w:val="00EA3D34"/>
    <w:rsid w:val="00EB454D"/>
    <w:rsid w:val="00ED76BE"/>
    <w:rsid w:val="00EF619B"/>
    <w:rsid w:val="00F00B55"/>
    <w:rsid w:val="00F02AD1"/>
    <w:rsid w:val="00F253CC"/>
    <w:rsid w:val="00F37106"/>
    <w:rsid w:val="00F519CF"/>
    <w:rsid w:val="00F56BA5"/>
    <w:rsid w:val="00F60E22"/>
    <w:rsid w:val="00F81395"/>
    <w:rsid w:val="00F917D1"/>
    <w:rsid w:val="00F9653B"/>
    <w:rsid w:val="00FB475F"/>
    <w:rsid w:val="00FB62CF"/>
    <w:rsid w:val="00FD3C3B"/>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numbering" w:customStyle="1" w:styleId="List01">
    <w:name w:val="List 01"/>
    <w:basedOn w:val="Estiloimportado1"/>
    <w:rsid w:val="007C5102"/>
    <w:pPr>
      <w:numPr>
        <w:numId w:val="11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numbering" w:customStyle="1" w:styleId="List01">
    <w:name w:val="List 01"/>
    <w:basedOn w:val="Estiloimportado1"/>
    <w:rsid w:val="007C5102"/>
    <w:pPr>
      <w:numPr>
        <w:numId w:val="1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25AE5-937F-43B7-8387-805733DC4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CIDH</dc:creator>
  <cp:lastModifiedBy>%OAS%</cp:lastModifiedBy>
  <cp:revision>11</cp:revision>
  <cp:lastPrinted>2014-08-04T16:41:00Z</cp:lastPrinted>
  <dcterms:created xsi:type="dcterms:W3CDTF">2014-07-31T20:23:00Z</dcterms:created>
  <dcterms:modified xsi:type="dcterms:W3CDTF">2015-02-20T19:35:00Z</dcterms:modified>
</cp:coreProperties>
</file>