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1F7B3B" w:rsidRDefault="00D306D1" w:rsidP="00627C9F">
      <w:pPr>
        <w:jc w:val="both"/>
        <w:rPr>
          <w:rFonts w:asciiTheme="majorHAnsi" w:hAnsiTheme="majorHAnsi" w:cs="Univers"/>
          <w:b/>
          <w:bCs/>
          <w:sz w:val="22"/>
          <w:szCs w:val="22"/>
          <w:lang w:val="es-ES_tradnl"/>
        </w:rPr>
      </w:pPr>
      <w:r w:rsidRPr="001F7B3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E98DC1B" wp14:editId="7940F01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F7B3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B46AA8B" wp14:editId="710985C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F2C" w:rsidRDefault="005B4F2C" w:rsidP="00AE5488">
                            <w:r>
                              <w:rPr>
                                <w:noProof/>
                              </w:rPr>
                              <w:drawing>
                                <wp:inline distT="0" distB="0" distL="0" distR="0" wp14:anchorId="0DCA9792" wp14:editId="30256FE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B4F2C" w:rsidRDefault="005B4F2C" w:rsidP="00AE5488">
                      <w:r>
                        <w:rPr>
                          <w:noProof/>
                          <w:lang w:val="es-ES" w:eastAsia="es-ES"/>
                        </w:rPr>
                        <w:drawing>
                          <wp:inline distT="0" distB="0" distL="0" distR="0" wp14:anchorId="0DCA9792" wp14:editId="30256FE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F7B3B" w:rsidRDefault="00040C3A" w:rsidP="00040C3A">
      <w:pPr>
        <w:tabs>
          <w:tab w:val="center" w:pos="5400"/>
        </w:tabs>
        <w:suppressAutoHyphens/>
        <w:jc w:val="both"/>
        <w:rPr>
          <w:rFonts w:asciiTheme="majorHAnsi" w:hAnsiTheme="majorHAnsi"/>
          <w:sz w:val="22"/>
          <w:szCs w:val="22"/>
          <w:lang w:val="es-ES"/>
        </w:rPr>
      </w:pPr>
    </w:p>
    <w:p w:rsidR="00040C3A" w:rsidRPr="001F7B3B" w:rsidRDefault="00040C3A" w:rsidP="00040C3A">
      <w:pPr>
        <w:tabs>
          <w:tab w:val="center" w:pos="5400"/>
        </w:tabs>
        <w:suppressAutoHyphens/>
        <w:jc w:val="both"/>
        <w:rPr>
          <w:rFonts w:asciiTheme="majorHAnsi" w:hAnsiTheme="majorHAnsi"/>
          <w:sz w:val="22"/>
          <w:szCs w:val="22"/>
          <w:lang w:val="es-ES"/>
        </w:rPr>
      </w:pPr>
    </w:p>
    <w:p w:rsidR="005128E4" w:rsidRPr="001F7B3B" w:rsidRDefault="005128E4" w:rsidP="00040C3A">
      <w:pPr>
        <w:tabs>
          <w:tab w:val="center" w:pos="5400"/>
        </w:tabs>
        <w:suppressAutoHyphens/>
        <w:rPr>
          <w:rFonts w:asciiTheme="majorHAnsi" w:hAnsiTheme="majorHAnsi"/>
          <w:sz w:val="22"/>
          <w:szCs w:val="22"/>
          <w:lang w:val="es-ES_tradnl"/>
        </w:rPr>
      </w:pPr>
    </w:p>
    <w:p w:rsidR="005128E4" w:rsidRPr="001F7B3B" w:rsidRDefault="005128E4" w:rsidP="00040C3A">
      <w:pPr>
        <w:tabs>
          <w:tab w:val="center" w:pos="5400"/>
        </w:tabs>
        <w:suppressAutoHyphens/>
        <w:rPr>
          <w:rFonts w:asciiTheme="majorHAnsi" w:hAnsiTheme="majorHAnsi"/>
          <w:sz w:val="22"/>
          <w:szCs w:val="22"/>
          <w:lang w:val="es-ES_tradnl"/>
        </w:rPr>
      </w:pPr>
    </w:p>
    <w:p w:rsidR="005128E4" w:rsidRPr="001F7B3B" w:rsidRDefault="005128E4" w:rsidP="00040C3A">
      <w:pPr>
        <w:tabs>
          <w:tab w:val="center" w:pos="5400"/>
        </w:tabs>
        <w:suppressAutoHyphens/>
        <w:rPr>
          <w:rFonts w:asciiTheme="majorHAnsi" w:hAnsiTheme="majorHAnsi"/>
          <w:sz w:val="22"/>
          <w:szCs w:val="22"/>
          <w:lang w:val="es-ES_tradnl"/>
        </w:rPr>
      </w:pPr>
    </w:p>
    <w:p w:rsidR="00040C3A" w:rsidRPr="001F7B3B" w:rsidRDefault="00040C3A" w:rsidP="005128E4">
      <w:pPr>
        <w:tabs>
          <w:tab w:val="center" w:pos="5400"/>
        </w:tabs>
        <w:suppressAutoHyphens/>
        <w:jc w:val="center"/>
        <w:rPr>
          <w:rFonts w:asciiTheme="majorHAnsi" w:hAnsiTheme="majorHAnsi"/>
          <w:sz w:val="22"/>
          <w:szCs w:val="22"/>
          <w:lang w:val="es-ES_tradnl"/>
        </w:rPr>
      </w:pPr>
    </w:p>
    <w:p w:rsidR="00040C3A" w:rsidRPr="001F7B3B" w:rsidRDefault="00040C3A" w:rsidP="005128E4">
      <w:pPr>
        <w:tabs>
          <w:tab w:val="center" w:pos="5400"/>
        </w:tabs>
        <w:suppressAutoHyphens/>
        <w:jc w:val="center"/>
        <w:rPr>
          <w:rFonts w:asciiTheme="majorHAnsi" w:hAnsiTheme="majorHAnsi"/>
          <w:sz w:val="22"/>
          <w:szCs w:val="22"/>
          <w:lang w:val="es-ES_tradnl"/>
        </w:rPr>
      </w:pPr>
    </w:p>
    <w:p w:rsidR="005B52B0" w:rsidRPr="001F7B3B" w:rsidRDefault="005B52B0" w:rsidP="005128E4">
      <w:pPr>
        <w:tabs>
          <w:tab w:val="center" w:pos="5400"/>
        </w:tabs>
        <w:suppressAutoHyphens/>
        <w:jc w:val="center"/>
        <w:rPr>
          <w:rFonts w:asciiTheme="majorHAnsi" w:hAnsiTheme="majorHAnsi"/>
          <w:sz w:val="22"/>
          <w:szCs w:val="22"/>
          <w:lang w:val="es-ES_tradnl"/>
        </w:rPr>
      </w:pPr>
    </w:p>
    <w:p w:rsidR="005B52B0" w:rsidRPr="001F7B3B" w:rsidRDefault="005B52B0" w:rsidP="005128E4">
      <w:pPr>
        <w:tabs>
          <w:tab w:val="center" w:pos="5400"/>
        </w:tabs>
        <w:suppressAutoHyphens/>
        <w:jc w:val="center"/>
        <w:rPr>
          <w:rFonts w:asciiTheme="majorHAnsi" w:hAnsiTheme="majorHAnsi"/>
          <w:sz w:val="22"/>
          <w:szCs w:val="22"/>
          <w:lang w:val="es-ES_tradnl"/>
        </w:rPr>
      </w:pPr>
    </w:p>
    <w:p w:rsidR="005B52B0" w:rsidRPr="001F7B3B" w:rsidRDefault="005B52B0" w:rsidP="005128E4">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3D3BC2" w:rsidP="00040C3A">
      <w:pPr>
        <w:tabs>
          <w:tab w:val="center" w:pos="5400"/>
        </w:tabs>
        <w:suppressAutoHyphens/>
        <w:jc w:val="center"/>
        <w:rPr>
          <w:rFonts w:asciiTheme="majorHAnsi" w:hAnsiTheme="majorHAnsi"/>
          <w:sz w:val="22"/>
          <w:szCs w:val="22"/>
          <w:lang w:val="es-ES_tradnl"/>
        </w:rPr>
      </w:pPr>
      <w:r w:rsidRPr="001F7B3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55D7FEE" wp14:editId="3F018B2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F2C" w:rsidRPr="004E2649" w:rsidRDefault="005B4F2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373C24" w:rsidRPr="00DD6204">
                              <w:rPr>
                                <w:rFonts w:asciiTheme="majorHAnsi" w:hAnsiTheme="majorHAnsi" w:cs="Arial"/>
                                <w:b/>
                                <w:bCs/>
                                <w:sz w:val="36"/>
                                <w:szCs w:val="22"/>
                                <w:lang w:val="es-ES_tradnl"/>
                              </w:rPr>
                              <w:t>99</w:t>
                            </w:r>
                            <w:r w:rsidRPr="004E2649">
                              <w:rPr>
                                <w:rFonts w:asciiTheme="majorHAnsi" w:hAnsiTheme="majorHAnsi" w:cs="Arial"/>
                                <w:b/>
                                <w:bCs/>
                                <w:color w:val="0D0D0D" w:themeColor="text1" w:themeTint="F2"/>
                                <w:sz w:val="36"/>
                                <w:szCs w:val="22"/>
                                <w:lang w:val="es-ES_tradnl"/>
                              </w:rPr>
                              <w:t>/14</w:t>
                            </w:r>
                          </w:p>
                          <w:p w:rsidR="005B4F2C" w:rsidRPr="004E2649" w:rsidRDefault="005B4F2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446-09</w:t>
                            </w:r>
                          </w:p>
                          <w:p w:rsidR="005B4F2C" w:rsidRPr="0010736F" w:rsidRDefault="005B4F2C" w:rsidP="007E26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5B4F2C" w:rsidRPr="0010736F" w:rsidRDefault="005B4F2C" w:rsidP="00997BC5">
                            <w:pPr>
                              <w:spacing w:line="276" w:lineRule="auto"/>
                              <w:rPr>
                                <w:rFonts w:asciiTheme="majorHAnsi" w:hAnsiTheme="majorHAnsi" w:cs="Arial"/>
                                <w:color w:val="0D0D0D" w:themeColor="text1" w:themeTint="F2"/>
                                <w:szCs w:val="22"/>
                                <w:lang w:val="es-ES_tradnl"/>
                              </w:rPr>
                            </w:pPr>
                            <w:bookmarkStart w:id="0" w:name="_ftnref1"/>
                          </w:p>
                          <w:bookmarkEnd w:id="0"/>
                          <w:p w:rsidR="005B4F2C" w:rsidRDefault="005B4F2C" w:rsidP="00997BC5">
                            <w:pPr>
                              <w:spacing w:line="276" w:lineRule="auto"/>
                              <w:rPr>
                                <w:rFonts w:asciiTheme="majorHAnsi" w:hAnsiTheme="majorHAnsi" w:cs="Arial"/>
                                <w:color w:val="0D0D0D" w:themeColor="text1" w:themeTint="F2"/>
                                <w:szCs w:val="22"/>
                                <w:lang w:val="es-ES_tradnl"/>
                              </w:rPr>
                            </w:pPr>
                            <w:r w:rsidRPr="007E26C5">
                              <w:rPr>
                                <w:rFonts w:asciiTheme="majorHAnsi" w:hAnsiTheme="majorHAnsi" w:cs="Arial"/>
                                <w:color w:val="0D0D0D" w:themeColor="text1" w:themeTint="F2"/>
                                <w:szCs w:val="22"/>
                                <w:lang w:val="es-ES_tradnl"/>
                              </w:rPr>
                              <w:t xml:space="preserve">LUIS ALBERTO ROJAS </w:t>
                            </w:r>
                            <w:r w:rsidRPr="00301A68">
                              <w:rPr>
                                <w:rFonts w:asciiTheme="majorHAnsi" w:hAnsiTheme="majorHAnsi" w:cs="Arial"/>
                                <w:color w:val="0D0D0D" w:themeColor="text1" w:themeTint="F2"/>
                                <w:szCs w:val="22"/>
                                <w:lang w:val="es-ES_tradnl"/>
                              </w:rPr>
                              <w:t>MARÍN</w:t>
                            </w:r>
                          </w:p>
                          <w:p w:rsidR="005B4F2C" w:rsidRPr="0010736F" w:rsidRDefault="005B4F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4F2C" w:rsidRPr="00AE5488" w:rsidRDefault="005B4F2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4F2C" w:rsidRPr="004E2649" w:rsidRDefault="005B4F2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373C24" w:rsidRPr="00DD6204">
                        <w:rPr>
                          <w:rFonts w:asciiTheme="majorHAnsi" w:hAnsiTheme="majorHAnsi" w:cs="Arial"/>
                          <w:b/>
                          <w:bCs/>
                          <w:sz w:val="36"/>
                          <w:szCs w:val="22"/>
                          <w:lang w:val="es-ES_tradnl"/>
                        </w:rPr>
                        <w:t>99</w:t>
                      </w:r>
                      <w:r w:rsidRPr="004E2649">
                        <w:rPr>
                          <w:rFonts w:asciiTheme="majorHAnsi" w:hAnsiTheme="majorHAnsi" w:cs="Arial"/>
                          <w:b/>
                          <w:bCs/>
                          <w:color w:val="0D0D0D" w:themeColor="text1" w:themeTint="F2"/>
                          <w:sz w:val="36"/>
                          <w:szCs w:val="22"/>
                          <w:lang w:val="es-ES_tradnl"/>
                        </w:rPr>
                        <w:t>/14</w:t>
                      </w:r>
                    </w:p>
                    <w:p w:rsidR="005B4F2C" w:rsidRPr="004E2649" w:rsidRDefault="005B4F2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446-09</w:t>
                      </w:r>
                    </w:p>
                    <w:p w:rsidR="005B4F2C" w:rsidRPr="0010736F" w:rsidRDefault="005B4F2C" w:rsidP="007E26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5B4F2C" w:rsidRPr="0010736F" w:rsidRDefault="005B4F2C" w:rsidP="00997BC5">
                      <w:pPr>
                        <w:spacing w:line="276" w:lineRule="auto"/>
                        <w:rPr>
                          <w:rFonts w:asciiTheme="majorHAnsi" w:hAnsiTheme="majorHAnsi" w:cs="Arial"/>
                          <w:color w:val="0D0D0D" w:themeColor="text1" w:themeTint="F2"/>
                          <w:szCs w:val="22"/>
                          <w:lang w:val="es-ES_tradnl"/>
                        </w:rPr>
                      </w:pPr>
                      <w:bookmarkStart w:id="1" w:name="_ftnref1"/>
                    </w:p>
                    <w:bookmarkEnd w:id="1"/>
                    <w:p w:rsidR="005B4F2C" w:rsidRDefault="005B4F2C" w:rsidP="00997BC5">
                      <w:pPr>
                        <w:spacing w:line="276" w:lineRule="auto"/>
                        <w:rPr>
                          <w:rFonts w:asciiTheme="majorHAnsi" w:hAnsiTheme="majorHAnsi" w:cs="Arial"/>
                          <w:color w:val="0D0D0D" w:themeColor="text1" w:themeTint="F2"/>
                          <w:szCs w:val="22"/>
                          <w:lang w:val="es-ES_tradnl"/>
                        </w:rPr>
                      </w:pPr>
                      <w:r w:rsidRPr="007E26C5">
                        <w:rPr>
                          <w:rFonts w:asciiTheme="majorHAnsi" w:hAnsiTheme="majorHAnsi" w:cs="Arial"/>
                          <w:color w:val="0D0D0D" w:themeColor="text1" w:themeTint="F2"/>
                          <w:szCs w:val="22"/>
                          <w:lang w:val="es-ES_tradnl"/>
                        </w:rPr>
                        <w:t xml:space="preserve">LUIS ALBERTO ROJAS </w:t>
                      </w:r>
                      <w:r w:rsidRPr="00301A68">
                        <w:rPr>
                          <w:rFonts w:asciiTheme="majorHAnsi" w:hAnsiTheme="majorHAnsi" w:cs="Arial"/>
                          <w:color w:val="0D0D0D" w:themeColor="text1" w:themeTint="F2"/>
                          <w:szCs w:val="22"/>
                          <w:lang w:val="es-ES_tradnl"/>
                        </w:rPr>
                        <w:t>MARÍN</w:t>
                      </w:r>
                    </w:p>
                    <w:p w:rsidR="005B4F2C" w:rsidRPr="0010736F" w:rsidRDefault="005B4F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4F2C" w:rsidRPr="00AE5488" w:rsidRDefault="005B4F2C" w:rsidP="007A5817">
                      <w:pPr>
                        <w:rPr>
                          <w:color w:val="0D0D0D" w:themeColor="text1" w:themeTint="F2"/>
                          <w:lang w:val="es-ES_tradnl"/>
                        </w:rPr>
                      </w:pPr>
                    </w:p>
                  </w:txbxContent>
                </v:textbox>
              </v:shape>
            </w:pict>
          </mc:Fallback>
        </mc:AlternateContent>
      </w:r>
      <w:r w:rsidR="004E2649" w:rsidRPr="001F7B3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9433746" wp14:editId="62AC3A7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F2C" w:rsidRPr="00373C24" w:rsidRDefault="005B4F2C"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OEA/</w:t>
                            </w:r>
                            <w:proofErr w:type="spellStart"/>
                            <w:r w:rsidRPr="00373C24">
                              <w:rPr>
                                <w:rFonts w:asciiTheme="minorHAnsi" w:hAnsiTheme="minorHAnsi"/>
                                <w:color w:val="FFFFFF" w:themeColor="background1"/>
                                <w:sz w:val="22"/>
                                <w:lang w:val="es-ES"/>
                              </w:rPr>
                              <w:t>Ser.L</w:t>
                            </w:r>
                            <w:proofErr w:type="spellEnd"/>
                            <w:r w:rsidRPr="00373C24">
                              <w:rPr>
                                <w:rFonts w:asciiTheme="minorHAnsi" w:hAnsiTheme="minorHAnsi"/>
                                <w:color w:val="FFFFFF" w:themeColor="background1"/>
                                <w:sz w:val="22"/>
                                <w:lang w:val="es-ES"/>
                              </w:rPr>
                              <w:t>/V/II.153</w:t>
                            </w:r>
                          </w:p>
                          <w:p w:rsidR="005B4F2C" w:rsidRPr="00373C24" w:rsidRDefault="005B4F2C"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Doc</w:t>
                            </w:r>
                            <w:r w:rsidRPr="00DD6204">
                              <w:rPr>
                                <w:rFonts w:asciiTheme="minorHAnsi" w:hAnsiTheme="minorHAnsi"/>
                                <w:color w:val="FFFFFF" w:themeColor="background1"/>
                                <w:sz w:val="22"/>
                                <w:lang w:val="es-ES"/>
                              </w:rPr>
                              <w:t xml:space="preserve">. </w:t>
                            </w:r>
                            <w:r w:rsidR="00373C24" w:rsidRPr="00DD6204">
                              <w:rPr>
                                <w:rFonts w:asciiTheme="minorHAnsi" w:hAnsiTheme="minorHAnsi"/>
                                <w:color w:val="FFFFFF" w:themeColor="background1"/>
                                <w:sz w:val="22"/>
                                <w:lang w:val="es-ES"/>
                              </w:rPr>
                              <w:t>15</w:t>
                            </w:r>
                          </w:p>
                          <w:p w:rsidR="005B4F2C" w:rsidRPr="00373C24" w:rsidRDefault="0011382F"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6</w:t>
                            </w:r>
                            <w:r w:rsidR="005B4F2C" w:rsidRPr="00373C24">
                              <w:rPr>
                                <w:rFonts w:asciiTheme="minorHAnsi" w:hAnsiTheme="minorHAnsi"/>
                                <w:color w:val="FFFFFF" w:themeColor="background1"/>
                                <w:sz w:val="22"/>
                                <w:lang w:val="es-ES"/>
                              </w:rPr>
                              <w:t xml:space="preserve"> noviembre 2014</w:t>
                            </w:r>
                          </w:p>
                          <w:p w:rsidR="005B4F2C" w:rsidRPr="00373C24" w:rsidRDefault="005B4F2C"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B4F2C" w:rsidRPr="00373C24" w:rsidRDefault="005B4F2C"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OEA/</w:t>
                      </w:r>
                      <w:proofErr w:type="spellStart"/>
                      <w:r w:rsidRPr="00373C24">
                        <w:rPr>
                          <w:rFonts w:asciiTheme="minorHAnsi" w:hAnsiTheme="minorHAnsi"/>
                          <w:color w:val="FFFFFF" w:themeColor="background1"/>
                          <w:sz w:val="22"/>
                          <w:lang w:val="es-ES"/>
                        </w:rPr>
                        <w:t>Ser.L</w:t>
                      </w:r>
                      <w:proofErr w:type="spellEnd"/>
                      <w:r w:rsidRPr="00373C24">
                        <w:rPr>
                          <w:rFonts w:asciiTheme="minorHAnsi" w:hAnsiTheme="minorHAnsi"/>
                          <w:color w:val="FFFFFF" w:themeColor="background1"/>
                          <w:sz w:val="22"/>
                          <w:lang w:val="es-ES"/>
                        </w:rPr>
                        <w:t>/V/II.153</w:t>
                      </w:r>
                    </w:p>
                    <w:p w:rsidR="005B4F2C" w:rsidRPr="00373C24" w:rsidRDefault="005B4F2C"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Doc</w:t>
                      </w:r>
                      <w:r w:rsidRPr="00DD6204">
                        <w:rPr>
                          <w:rFonts w:asciiTheme="minorHAnsi" w:hAnsiTheme="minorHAnsi"/>
                          <w:color w:val="FFFFFF" w:themeColor="background1"/>
                          <w:sz w:val="22"/>
                          <w:lang w:val="es-ES"/>
                        </w:rPr>
                        <w:t xml:space="preserve">. </w:t>
                      </w:r>
                      <w:r w:rsidR="00373C24" w:rsidRPr="00DD6204">
                        <w:rPr>
                          <w:rFonts w:asciiTheme="minorHAnsi" w:hAnsiTheme="minorHAnsi"/>
                          <w:color w:val="FFFFFF" w:themeColor="background1"/>
                          <w:sz w:val="22"/>
                          <w:lang w:val="es-ES"/>
                        </w:rPr>
                        <w:t>15</w:t>
                      </w:r>
                    </w:p>
                    <w:p w:rsidR="005B4F2C" w:rsidRPr="00373C24" w:rsidRDefault="0011382F"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6</w:t>
                      </w:r>
                      <w:r w:rsidR="005B4F2C" w:rsidRPr="00373C24">
                        <w:rPr>
                          <w:rFonts w:asciiTheme="minorHAnsi" w:hAnsiTheme="minorHAnsi"/>
                          <w:color w:val="FFFFFF" w:themeColor="background1"/>
                          <w:sz w:val="22"/>
                          <w:lang w:val="es-ES"/>
                        </w:rPr>
                        <w:t xml:space="preserve"> noviembre 2014</w:t>
                      </w:r>
                    </w:p>
                    <w:p w:rsidR="005B4F2C" w:rsidRPr="00373C24" w:rsidRDefault="005B4F2C" w:rsidP="007A5817">
                      <w:pPr>
                        <w:spacing w:line="276" w:lineRule="auto"/>
                        <w:jc w:val="right"/>
                        <w:rPr>
                          <w:rFonts w:asciiTheme="minorHAnsi" w:hAnsiTheme="minorHAnsi"/>
                          <w:color w:val="FFFFFF" w:themeColor="background1"/>
                          <w:sz w:val="22"/>
                          <w:lang w:val="es-ES"/>
                        </w:rPr>
                      </w:pPr>
                      <w:r w:rsidRPr="00373C24">
                        <w:rPr>
                          <w:rFonts w:asciiTheme="minorHAnsi" w:hAnsiTheme="minorHAnsi"/>
                          <w:color w:val="FFFFFF" w:themeColor="background1"/>
                          <w:sz w:val="22"/>
                          <w:lang w:val="es-ES"/>
                        </w:rPr>
                        <w:t>Original: español</w:t>
                      </w:r>
                    </w:p>
                  </w:txbxContent>
                </v:textbox>
              </v:shape>
            </w:pict>
          </mc:Fallback>
        </mc:AlternateContent>
      </w: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cs="Arial"/>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5128E4" w:rsidRPr="001F7B3B" w:rsidRDefault="005128E4"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5128E4" w:rsidRPr="001F7B3B" w:rsidRDefault="005128E4" w:rsidP="00040C3A">
      <w:pPr>
        <w:tabs>
          <w:tab w:val="center" w:pos="5400"/>
        </w:tabs>
        <w:suppressAutoHyphens/>
        <w:jc w:val="center"/>
        <w:rPr>
          <w:rFonts w:asciiTheme="majorHAnsi" w:hAnsiTheme="majorHAnsi"/>
          <w:sz w:val="22"/>
          <w:szCs w:val="22"/>
          <w:lang w:val="es-ES_tradnl"/>
        </w:rPr>
      </w:pPr>
    </w:p>
    <w:p w:rsidR="005128E4" w:rsidRPr="001F7B3B" w:rsidRDefault="005128E4" w:rsidP="00040C3A">
      <w:pPr>
        <w:tabs>
          <w:tab w:val="center" w:pos="5400"/>
        </w:tabs>
        <w:suppressAutoHyphens/>
        <w:jc w:val="center"/>
        <w:rPr>
          <w:rFonts w:asciiTheme="majorHAnsi" w:hAnsiTheme="majorHAnsi"/>
          <w:sz w:val="22"/>
          <w:szCs w:val="22"/>
          <w:lang w:val="es-ES_tradnl"/>
        </w:rPr>
      </w:pPr>
    </w:p>
    <w:p w:rsidR="005128E4" w:rsidRPr="001F7B3B" w:rsidRDefault="005128E4"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040C3A" w:rsidRPr="001F7B3B" w:rsidRDefault="00040C3A" w:rsidP="00040C3A">
      <w:pPr>
        <w:tabs>
          <w:tab w:val="center" w:pos="5400"/>
        </w:tabs>
        <w:suppressAutoHyphens/>
        <w:jc w:val="center"/>
        <w:rPr>
          <w:rFonts w:asciiTheme="majorHAnsi" w:hAnsiTheme="majorHAnsi"/>
          <w:sz w:val="22"/>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A50FCF" w:rsidRPr="00DD6204" w:rsidRDefault="00A50FCF" w:rsidP="00040C3A">
      <w:pPr>
        <w:tabs>
          <w:tab w:val="center" w:pos="5400"/>
        </w:tabs>
        <w:suppressAutoHyphens/>
        <w:jc w:val="center"/>
        <w:rPr>
          <w:rFonts w:asciiTheme="majorHAnsi" w:hAnsiTheme="majorHAnsi"/>
          <w:sz w:val="18"/>
          <w:szCs w:val="22"/>
          <w:lang w:val="es-ES_tradnl"/>
        </w:rPr>
      </w:pPr>
    </w:p>
    <w:p w:rsidR="00A50FCF" w:rsidRPr="00DD6204" w:rsidRDefault="0090270B" w:rsidP="00040C3A">
      <w:pPr>
        <w:tabs>
          <w:tab w:val="center" w:pos="5400"/>
        </w:tabs>
        <w:suppressAutoHyphens/>
        <w:jc w:val="center"/>
        <w:rPr>
          <w:rFonts w:asciiTheme="majorHAnsi" w:hAnsiTheme="majorHAnsi"/>
          <w:sz w:val="18"/>
          <w:szCs w:val="22"/>
          <w:lang w:val="es-ES_tradnl"/>
        </w:rPr>
      </w:pPr>
      <w:r w:rsidRPr="00DD620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87D9D64" wp14:editId="760BCDC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F2C" w:rsidRPr="00890650" w:rsidRDefault="005B4F2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73C24" w:rsidRPr="00DD6204">
                              <w:rPr>
                                <w:rFonts w:asciiTheme="majorHAnsi" w:hAnsiTheme="majorHAnsi"/>
                                <w:sz w:val="18"/>
                                <w:szCs w:val="20"/>
                                <w:lang w:val="es-ES"/>
                              </w:rPr>
                              <w:t>2013</w:t>
                            </w:r>
                            <w:r w:rsidRPr="00DD6204">
                              <w:rPr>
                                <w:rFonts w:asciiTheme="majorHAnsi" w:hAnsiTheme="majorHAnsi"/>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11382F">
                              <w:rPr>
                                <w:rFonts w:asciiTheme="majorHAnsi" w:hAnsiTheme="majorHAnsi"/>
                                <w:color w:val="0D0D0D" w:themeColor="text1" w:themeTint="F2"/>
                                <w:sz w:val="18"/>
                                <w:szCs w:val="20"/>
                                <w:lang w:val="es-ES"/>
                              </w:rPr>
                              <w:t>6</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 xml:space="preserve">noviembre </w:t>
                            </w:r>
                            <w:r w:rsidRPr="00890650">
                              <w:rPr>
                                <w:rFonts w:asciiTheme="majorHAnsi" w:hAnsiTheme="majorHAnsi"/>
                                <w:color w:val="0D0D0D" w:themeColor="text1" w:themeTint="F2"/>
                                <w:sz w:val="18"/>
                                <w:szCs w:val="20"/>
                                <w:lang w:val="es-ES"/>
                              </w:rPr>
                              <w:t>de 2014</w:t>
                            </w:r>
                            <w:r w:rsidR="007248BD">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153</w:t>
                            </w:r>
                            <w:r w:rsidRPr="00890650">
                              <w:rPr>
                                <w:rFonts w:asciiTheme="majorHAnsi" w:hAnsiTheme="majorHAnsi" w:cs="Univers"/>
                                <w:color w:val="0D0D0D" w:themeColor="text1" w:themeTint="F2"/>
                                <w:sz w:val="18"/>
                                <w:szCs w:val="20"/>
                                <w:lang w:val="es-ES_tradnl"/>
                              </w:rPr>
                              <w:t xml:space="preserve"> período ordinario de sesiones</w:t>
                            </w:r>
                          </w:p>
                          <w:p w:rsidR="005B4F2C" w:rsidRPr="00890650" w:rsidRDefault="005B4F2C" w:rsidP="00DD3D86">
                            <w:pPr>
                              <w:tabs>
                                <w:tab w:val="center" w:pos="5400"/>
                              </w:tabs>
                              <w:suppressAutoHyphens/>
                              <w:spacing w:before="60"/>
                              <w:rPr>
                                <w:rFonts w:asciiTheme="majorHAnsi" w:hAnsiTheme="majorHAnsi"/>
                                <w:color w:val="0D0D0D" w:themeColor="text1" w:themeTint="F2"/>
                                <w:sz w:val="18"/>
                                <w:szCs w:val="22"/>
                                <w:lang w:val="es-ES"/>
                              </w:rPr>
                            </w:pPr>
                          </w:p>
                          <w:p w:rsidR="005B4F2C" w:rsidRPr="007A5817" w:rsidRDefault="005B4F2C" w:rsidP="00247403">
                            <w:pPr>
                              <w:tabs>
                                <w:tab w:val="center" w:pos="5400"/>
                              </w:tabs>
                              <w:suppressAutoHyphens/>
                              <w:spacing w:before="60"/>
                              <w:rPr>
                                <w:rFonts w:asciiTheme="minorHAnsi" w:hAnsiTheme="minorHAnsi" w:cs="Univers"/>
                                <w:color w:val="0D0D0D" w:themeColor="text1" w:themeTint="F2"/>
                                <w:sz w:val="20"/>
                                <w:szCs w:val="20"/>
                                <w:lang w:val="es-ES"/>
                              </w:rPr>
                            </w:pPr>
                          </w:p>
                          <w:p w:rsidR="005B4F2C" w:rsidRPr="00167A34" w:rsidRDefault="005B4F2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4F2C" w:rsidRPr="00890650" w:rsidRDefault="005B4F2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73C24" w:rsidRPr="00DD6204">
                        <w:rPr>
                          <w:rFonts w:asciiTheme="majorHAnsi" w:hAnsiTheme="majorHAnsi"/>
                          <w:sz w:val="18"/>
                          <w:szCs w:val="20"/>
                          <w:lang w:val="es-ES"/>
                        </w:rPr>
                        <w:t>2013</w:t>
                      </w:r>
                      <w:r w:rsidRPr="00DD6204">
                        <w:rPr>
                          <w:rFonts w:asciiTheme="majorHAnsi" w:hAnsiTheme="majorHAnsi"/>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11382F">
                        <w:rPr>
                          <w:rFonts w:asciiTheme="majorHAnsi" w:hAnsiTheme="majorHAnsi"/>
                          <w:color w:val="0D0D0D" w:themeColor="text1" w:themeTint="F2"/>
                          <w:sz w:val="18"/>
                          <w:szCs w:val="20"/>
                          <w:lang w:val="es-ES"/>
                        </w:rPr>
                        <w:t>6</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 xml:space="preserve">noviembre </w:t>
                      </w:r>
                      <w:r w:rsidRPr="00890650">
                        <w:rPr>
                          <w:rFonts w:asciiTheme="majorHAnsi" w:hAnsiTheme="majorHAnsi"/>
                          <w:color w:val="0D0D0D" w:themeColor="text1" w:themeTint="F2"/>
                          <w:sz w:val="18"/>
                          <w:szCs w:val="20"/>
                          <w:lang w:val="es-ES"/>
                        </w:rPr>
                        <w:t>de 2014</w:t>
                      </w:r>
                      <w:r w:rsidR="007248BD">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153</w:t>
                      </w:r>
                      <w:r w:rsidRPr="00890650">
                        <w:rPr>
                          <w:rFonts w:asciiTheme="majorHAnsi" w:hAnsiTheme="majorHAnsi" w:cs="Univers"/>
                          <w:color w:val="0D0D0D" w:themeColor="text1" w:themeTint="F2"/>
                          <w:sz w:val="18"/>
                          <w:szCs w:val="20"/>
                          <w:lang w:val="es-ES_tradnl"/>
                        </w:rPr>
                        <w:t xml:space="preserve"> período ordinario de sesiones</w:t>
                      </w:r>
                    </w:p>
                    <w:p w:rsidR="005B4F2C" w:rsidRPr="00890650" w:rsidRDefault="005B4F2C" w:rsidP="00DD3D86">
                      <w:pPr>
                        <w:tabs>
                          <w:tab w:val="center" w:pos="5400"/>
                        </w:tabs>
                        <w:suppressAutoHyphens/>
                        <w:spacing w:before="60"/>
                        <w:rPr>
                          <w:rFonts w:asciiTheme="majorHAnsi" w:hAnsiTheme="majorHAnsi"/>
                          <w:color w:val="0D0D0D" w:themeColor="text1" w:themeTint="F2"/>
                          <w:sz w:val="18"/>
                          <w:szCs w:val="22"/>
                          <w:lang w:val="es-ES"/>
                        </w:rPr>
                      </w:pPr>
                    </w:p>
                    <w:p w:rsidR="005B4F2C" w:rsidRPr="007A5817" w:rsidRDefault="005B4F2C" w:rsidP="00247403">
                      <w:pPr>
                        <w:tabs>
                          <w:tab w:val="center" w:pos="5400"/>
                        </w:tabs>
                        <w:suppressAutoHyphens/>
                        <w:spacing w:before="60"/>
                        <w:rPr>
                          <w:rFonts w:asciiTheme="minorHAnsi" w:hAnsiTheme="minorHAnsi" w:cs="Univers"/>
                          <w:color w:val="0D0D0D" w:themeColor="text1" w:themeTint="F2"/>
                          <w:sz w:val="20"/>
                          <w:szCs w:val="20"/>
                          <w:lang w:val="es-ES"/>
                        </w:rPr>
                      </w:pPr>
                    </w:p>
                    <w:p w:rsidR="005B4F2C" w:rsidRPr="00167A34" w:rsidRDefault="005B4F2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D6204" w:rsidRDefault="00A50FCF" w:rsidP="00040C3A">
      <w:pPr>
        <w:tabs>
          <w:tab w:val="center" w:pos="5400"/>
        </w:tabs>
        <w:suppressAutoHyphens/>
        <w:jc w:val="center"/>
        <w:rPr>
          <w:rFonts w:asciiTheme="majorHAnsi" w:hAnsiTheme="majorHAnsi"/>
          <w:sz w:val="18"/>
          <w:szCs w:val="22"/>
          <w:lang w:val="es-ES_tradnl"/>
        </w:rPr>
      </w:pPr>
    </w:p>
    <w:p w:rsidR="00A50FCF" w:rsidRPr="00DD6204" w:rsidRDefault="00A50FCF" w:rsidP="00040C3A">
      <w:pPr>
        <w:tabs>
          <w:tab w:val="center" w:pos="5400"/>
        </w:tabs>
        <w:suppressAutoHyphens/>
        <w:jc w:val="center"/>
        <w:rPr>
          <w:rFonts w:asciiTheme="majorHAnsi" w:hAnsiTheme="majorHAnsi"/>
          <w:sz w:val="18"/>
          <w:szCs w:val="22"/>
          <w:lang w:val="es-ES_tradnl"/>
        </w:rPr>
      </w:pPr>
    </w:p>
    <w:p w:rsidR="00A50FCF" w:rsidRPr="00DD6204" w:rsidRDefault="00A50FCF" w:rsidP="00040C3A">
      <w:pPr>
        <w:tabs>
          <w:tab w:val="center" w:pos="5400"/>
        </w:tabs>
        <w:suppressAutoHyphens/>
        <w:jc w:val="center"/>
        <w:rPr>
          <w:rFonts w:asciiTheme="majorHAnsi" w:hAnsiTheme="majorHAnsi"/>
          <w:sz w:val="18"/>
          <w:szCs w:val="22"/>
          <w:lang w:val="es-ES_tradnl"/>
        </w:rPr>
      </w:pPr>
    </w:p>
    <w:p w:rsidR="00A50FCF" w:rsidRPr="00DD6204" w:rsidRDefault="00A50FCF" w:rsidP="00040C3A">
      <w:pPr>
        <w:tabs>
          <w:tab w:val="center" w:pos="5400"/>
        </w:tabs>
        <w:suppressAutoHyphens/>
        <w:jc w:val="center"/>
        <w:rPr>
          <w:rFonts w:asciiTheme="majorHAnsi" w:hAnsiTheme="majorHAnsi"/>
          <w:sz w:val="18"/>
          <w:szCs w:val="22"/>
          <w:lang w:val="es-ES_tradnl"/>
        </w:rPr>
      </w:pPr>
    </w:p>
    <w:p w:rsidR="00A50FCF" w:rsidRPr="00DD6204" w:rsidRDefault="0090270B" w:rsidP="00040C3A">
      <w:pPr>
        <w:tabs>
          <w:tab w:val="center" w:pos="5400"/>
        </w:tabs>
        <w:suppressAutoHyphens/>
        <w:jc w:val="center"/>
        <w:rPr>
          <w:rFonts w:asciiTheme="majorHAnsi" w:hAnsiTheme="majorHAnsi"/>
          <w:sz w:val="18"/>
          <w:szCs w:val="22"/>
          <w:lang w:val="es-ES_tradnl"/>
        </w:rPr>
      </w:pPr>
      <w:r w:rsidRPr="00DD620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9539D61" wp14:editId="47C9735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F2C" w:rsidRPr="00A82130" w:rsidRDefault="005B4F2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DD6204">
                              <w:rPr>
                                <w:rFonts w:asciiTheme="majorHAnsi" w:hAnsiTheme="majorHAnsi"/>
                                <w:sz w:val="18"/>
                                <w:szCs w:val="18"/>
                                <w:lang w:val="pt-BR"/>
                              </w:rPr>
                              <w:t xml:space="preserve">. </w:t>
                            </w:r>
                            <w:r w:rsidR="00373C24" w:rsidRPr="00DD6204">
                              <w:rPr>
                                <w:rFonts w:asciiTheme="majorHAnsi" w:hAnsiTheme="majorHAnsi"/>
                                <w:sz w:val="18"/>
                                <w:szCs w:val="18"/>
                                <w:lang w:val="es-ES_tradnl"/>
                              </w:rPr>
                              <w:t>99</w:t>
                            </w:r>
                            <w:r w:rsidR="00A82130">
                              <w:rPr>
                                <w:rFonts w:asciiTheme="majorHAnsi" w:hAnsiTheme="majorHAnsi"/>
                                <w:color w:val="595959" w:themeColor="text1" w:themeTint="A6"/>
                                <w:sz w:val="18"/>
                                <w:szCs w:val="18"/>
                                <w:lang w:val="es-ES_tradnl"/>
                              </w:rPr>
                              <w:t>/14</w:t>
                            </w:r>
                            <w:r w:rsidRPr="00890650">
                              <w:rPr>
                                <w:rFonts w:asciiTheme="majorHAnsi" w:hAnsiTheme="majorHAnsi"/>
                                <w:color w:val="595959" w:themeColor="text1" w:themeTint="A6"/>
                                <w:sz w:val="18"/>
                                <w:szCs w:val="18"/>
                                <w:lang w:val="es-ES_tradnl"/>
                              </w:rPr>
                              <w:t xml:space="preserve">, Petición </w:t>
                            </w:r>
                            <w:r w:rsidR="00A82130">
                              <w:rPr>
                                <w:rFonts w:asciiTheme="majorHAnsi" w:hAnsiTheme="majorHAnsi"/>
                                <w:color w:val="595959" w:themeColor="text1" w:themeTint="A6"/>
                                <w:sz w:val="18"/>
                                <w:szCs w:val="18"/>
                                <w:lang w:val="es-ES_tradnl"/>
                              </w:rPr>
                              <w:t xml:space="preserve">446-09. </w:t>
                            </w:r>
                            <w:r w:rsidRPr="00890650">
                              <w:rPr>
                                <w:rFonts w:asciiTheme="majorHAnsi" w:hAnsiTheme="majorHAnsi"/>
                                <w:color w:val="595959" w:themeColor="text1" w:themeTint="A6"/>
                                <w:sz w:val="18"/>
                                <w:szCs w:val="18"/>
                                <w:lang w:val="es-ES_tradnl"/>
                              </w:rPr>
                              <w:t xml:space="preserve">Admisibilidad. </w:t>
                            </w:r>
                            <w:r w:rsidR="00A82130">
                              <w:rPr>
                                <w:rFonts w:asciiTheme="majorHAnsi" w:hAnsiTheme="majorHAnsi"/>
                                <w:color w:val="595959" w:themeColor="text1" w:themeTint="A6"/>
                                <w:sz w:val="18"/>
                                <w:szCs w:val="18"/>
                                <w:lang w:val="es-ES_tradnl"/>
                              </w:rPr>
                              <w:t>Luis Alberto Rojas Marín</w:t>
                            </w:r>
                            <w:r w:rsidRPr="00890650">
                              <w:rPr>
                                <w:rFonts w:asciiTheme="majorHAnsi" w:hAnsiTheme="majorHAnsi"/>
                                <w:color w:val="595959" w:themeColor="text1" w:themeTint="A6"/>
                                <w:sz w:val="18"/>
                                <w:szCs w:val="18"/>
                                <w:lang w:val="es-ES_tradnl"/>
                              </w:rPr>
                              <w:t xml:space="preserve">. </w:t>
                            </w:r>
                            <w:r w:rsidR="00A82130">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A82130">
                              <w:rPr>
                                <w:rFonts w:asciiTheme="majorHAnsi" w:hAnsiTheme="majorHAnsi"/>
                                <w:color w:val="595959" w:themeColor="text1" w:themeTint="A6"/>
                                <w:sz w:val="18"/>
                                <w:szCs w:val="18"/>
                                <w:lang w:val="es-ES"/>
                              </w:rPr>
                              <w:t>6 de noviembre de 2014</w:t>
                            </w:r>
                            <w:r w:rsidRPr="00A8213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B4F2C" w:rsidRPr="00A82130" w:rsidRDefault="005B4F2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DD6204">
                        <w:rPr>
                          <w:rFonts w:asciiTheme="majorHAnsi" w:hAnsiTheme="majorHAnsi"/>
                          <w:sz w:val="18"/>
                          <w:szCs w:val="18"/>
                          <w:lang w:val="pt-BR"/>
                        </w:rPr>
                        <w:t xml:space="preserve">. </w:t>
                      </w:r>
                      <w:r w:rsidR="00373C24" w:rsidRPr="00DD6204">
                        <w:rPr>
                          <w:rFonts w:asciiTheme="majorHAnsi" w:hAnsiTheme="majorHAnsi"/>
                          <w:sz w:val="18"/>
                          <w:szCs w:val="18"/>
                          <w:lang w:val="es-ES_tradnl"/>
                        </w:rPr>
                        <w:t>99</w:t>
                      </w:r>
                      <w:r w:rsidR="00A82130">
                        <w:rPr>
                          <w:rFonts w:asciiTheme="majorHAnsi" w:hAnsiTheme="majorHAnsi"/>
                          <w:color w:val="595959" w:themeColor="text1" w:themeTint="A6"/>
                          <w:sz w:val="18"/>
                          <w:szCs w:val="18"/>
                          <w:lang w:val="es-ES_tradnl"/>
                        </w:rPr>
                        <w:t>/14</w:t>
                      </w:r>
                      <w:r w:rsidRPr="00890650">
                        <w:rPr>
                          <w:rFonts w:asciiTheme="majorHAnsi" w:hAnsiTheme="majorHAnsi"/>
                          <w:color w:val="595959" w:themeColor="text1" w:themeTint="A6"/>
                          <w:sz w:val="18"/>
                          <w:szCs w:val="18"/>
                          <w:lang w:val="es-ES_tradnl"/>
                        </w:rPr>
                        <w:t xml:space="preserve">, Petición </w:t>
                      </w:r>
                      <w:r w:rsidR="00A82130">
                        <w:rPr>
                          <w:rFonts w:asciiTheme="majorHAnsi" w:hAnsiTheme="majorHAnsi"/>
                          <w:color w:val="595959" w:themeColor="text1" w:themeTint="A6"/>
                          <w:sz w:val="18"/>
                          <w:szCs w:val="18"/>
                          <w:lang w:val="es-ES_tradnl"/>
                        </w:rPr>
                        <w:t xml:space="preserve">446-09. </w:t>
                      </w:r>
                      <w:r w:rsidRPr="00890650">
                        <w:rPr>
                          <w:rFonts w:asciiTheme="majorHAnsi" w:hAnsiTheme="majorHAnsi"/>
                          <w:color w:val="595959" w:themeColor="text1" w:themeTint="A6"/>
                          <w:sz w:val="18"/>
                          <w:szCs w:val="18"/>
                          <w:lang w:val="es-ES_tradnl"/>
                        </w:rPr>
                        <w:t xml:space="preserve">Admisibilidad. </w:t>
                      </w:r>
                      <w:r w:rsidR="00A82130">
                        <w:rPr>
                          <w:rFonts w:asciiTheme="majorHAnsi" w:hAnsiTheme="majorHAnsi"/>
                          <w:color w:val="595959" w:themeColor="text1" w:themeTint="A6"/>
                          <w:sz w:val="18"/>
                          <w:szCs w:val="18"/>
                          <w:lang w:val="es-ES_tradnl"/>
                        </w:rPr>
                        <w:t>Luis Alberto Rojas Marín</w:t>
                      </w:r>
                      <w:r w:rsidRPr="00890650">
                        <w:rPr>
                          <w:rFonts w:asciiTheme="majorHAnsi" w:hAnsiTheme="majorHAnsi"/>
                          <w:color w:val="595959" w:themeColor="text1" w:themeTint="A6"/>
                          <w:sz w:val="18"/>
                          <w:szCs w:val="18"/>
                          <w:lang w:val="es-ES_tradnl"/>
                        </w:rPr>
                        <w:t xml:space="preserve">. </w:t>
                      </w:r>
                      <w:r w:rsidR="00A82130">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A82130">
                        <w:rPr>
                          <w:rFonts w:asciiTheme="majorHAnsi" w:hAnsiTheme="majorHAnsi"/>
                          <w:color w:val="595959" w:themeColor="text1" w:themeTint="A6"/>
                          <w:sz w:val="18"/>
                          <w:szCs w:val="18"/>
                          <w:lang w:val="es-ES"/>
                        </w:rPr>
                        <w:t>6 de noviembre de 2014</w:t>
                      </w:r>
                      <w:r w:rsidRPr="00A82130">
                        <w:rPr>
                          <w:rFonts w:asciiTheme="majorHAnsi" w:hAnsiTheme="majorHAnsi"/>
                          <w:color w:val="595959" w:themeColor="text1" w:themeTint="A6"/>
                          <w:sz w:val="18"/>
                          <w:szCs w:val="18"/>
                          <w:lang w:val="es-ES"/>
                        </w:rPr>
                        <w:t>.</w:t>
                      </w:r>
                    </w:p>
                  </w:txbxContent>
                </v:textbox>
              </v:shape>
            </w:pict>
          </mc:Fallback>
        </mc:AlternateContent>
      </w:r>
    </w:p>
    <w:p w:rsidR="00A50FCF" w:rsidRPr="001F7B3B" w:rsidRDefault="00A50FCF" w:rsidP="00040C3A">
      <w:pPr>
        <w:tabs>
          <w:tab w:val="center" w:pos="5400"/>
        </w:tabs>
        <w:suppressAutoHyphens/>
        <w:jc w:val="center"/>
        <w:rPr>
          <w:rFonts w:asciiTheme="majorHAnsi" w:hAnsiTheme="majorHAnsi"/>
          <w:sz w:val="18"/>
          <w:szCs w:val="22"/>
          <w:lang w:val="es-ES_tradnl"/>
        </w:rPr>
      </w:pPr>
    </w:p>
    <w:p w:rsidR="0090270B" w:rsidRPr="001F7B3B" w:rsidRDefault="00D306D1" w:rsidP="005516A1">
      <w:pPr>
        <w:tabs>
          <w:tab w:val="center" w:pos="5400"/>
        </w:tabs>
        <w:suppressAutoHyphens/>
        <w:jc w:val="center"/>
        <w:rPr>
          <w:rFonts w:asciiTheme="majorHAnsi" w:hAnsiTheme="majorHAnsi"/>
          <w:b/>
          <w:sz w:val="20"/>
          <w:lang w:val="es-ES_tradnl"/>
        </w:rPr>
      </w:pPr>
      <w:r w:rsidRPr="001F7B3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42DAEA3" wp14:editId="27916FD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F2C" w:rsidRPr="00D72DC6" w:rsidRDefault="005B4F2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D5D0FBC" wp14:editId="06317E8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B4F2C" w:rsidRPr="00D72DC6" w:rsidRDefault="005B4F2C"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4D5D0FBC" wp14:editId="06317E8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F7B3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17D6A86" wp14:editId="136C461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F2C" w:rsidRPr="004B7EB6" w:rsidRDefault="005B4F2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B4F2C" w:rsidRPr="004B7EB6" w:rsidRDefault="005B4F2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F7B3B" w:rsidRDefault="0070697F" w:rsidP="005516A1">
      <w:pPr>
        <w:tabs>
          <w:tab w:val="center" w:pos="5400"/>
        </w:tabs>
        <w:suppressAutoHyphens/>
        <w:jc w:val="center"/>
        <w:rPr>
          <w:rFonts w:asciiTheme="majorHAnsi" w:hAnsiTheme="majorHAnsi"/>
          <w:b/>
          <w:sz w:val="20"/>
          <w:lang w:val="es-ES_tradnl"/>
        </w:rPr>
        <w:sectPr w:rsidR="0070697F" w:rsidRPr="001F7B3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373C24" w:rsidRDefault="003673A9" w:rsidP="003673A9">
      <w:pPr>
        <w:tabs>
          <w:tab w:val="center" w:pos="5400"/>
        </w:tabs>
        <w:suppressAutoHyphens/>
        <w:jc w:val="center"/>
        <w:rPr>
          <w:rFonts w:asciiTheme="majorHAnsi" w:hAnsiTheme="majorHAnsi"/>
          <w:b/>
          <w:sz w:val="18"/>
          <w:szCs w:val="18"/>
          <w:lang w:val="es-ES_tradnl"/>
        </w:rPr>
      </w:pPr>
      <w:r w:rsidRPr="00373C24">
        <w:rPr>
          <w:rFonts w:asciiTheme="majorHAnsi" w:hAnsiTheme="majorHAnsi"/>
          <w:b/>
          <w:sz w:val="18"/>
          <w:szCs w:val="18"/>
          <w:lang w:val="es-ES_tradnl"/>
        </w:rPr>
        <w:lastRenderedPageBreak/>
        <w:t xml:space="preserve">INFORME NO. </w:t>
      </w:r>
      <w:r w:rsidR="00373C24" w:rsidRPr="00DD6204">
        <w:rPr>
          <w:rFonts w:asciiTheme="majorHAnsi" w:hAnsiTheme="majorHAnsi"/>
          <w:b/>
          <w:sz w:val="18"/>
          <w:szCs w:val="18"/>
          <w:lang w:val="es-ES_tradnl"/>
        </w:rPr>
        <w:t>99</w:t>
      </w:r>
      <w:r w:rsidRPr="00373C24">
        <w:rPr>
          <w:rFonts w:asciiTheme="majorHAnsi" w:hAnsiTheme="majorHAnsi"/>
          <w:b/>
          <w:sz w:val="18"/>
          <w:szCs w:val="18"/>
          <w:lang w:val="es-ES_tradnl"/>
        </w:rPr>
        <w:t>/14</w:t>
      </w:r>
    </w:p>
    <w:p w:rsidR="00722C9F" w:rsidRPr="00373C24" w:rsidRDefault="003673A9" w:rsidP="003673A9">
      <w:pPr>
        <w:tabs>
          <w:tab w:val="center" w:pos="5400"/>
        </w:tabs>
        <w:suppressAutoHyphens/>
        <w:jc w:val="center"/>
        <w:rPr>
          <w:rFonts w:asciiTheme="majorHAnsi" w:hAnsiTheme="majorHAnsi"/>
          <w:b/>
          <w:sz w:val="18"/>
          <w:szCs w:val="18"/>
          <w:lang w:val="es-ES_tradnl"/>
        </w:rPr>
      </w:pPr>
      <w:r w:rsidRPr="00373C24">
        <w:rPr>
          <w:rFonts w:asciiTheme="majorHAnsi" w:hAnsiTheme="majorHAnsi"/>
          <w:b/>
          <w:sz w:val="18"/>
          <w:szCs w:val="18"/>
          <w:lang w:val="es-ES_tradnl"/>
        </w:rPr>
        <w:t>PETICIÓN 446-09</w:t>
      </w:r>
    </w:p>
    <w:p w:rsidR="00722C9F" w:rsidRPr="00373C24" w:rsidRDefault="003673A9" w:rsidP="003673A9">
      <w:pPr>
        <w:tabs>
          <w:tab w:val="center" w:pos="5400"/>
        </w:tabs>
        <w:suppressAutoHyphens/>
        <w:jc w:val="center"/>
        <w:rPr>
          <w:rFonts w:asciiTheme="majorHAnsi" w:hAnsiTheme="majorHAnsi"/>
          <w:sz w:val="18"/>
          <w:szCs w:val="18"/>
          <w:lang w:val="es-ES_tradnl"/>
        </w:rPr>
      </w:pPr>
      <w:r w:rsidRPr="00373C24">
        <w:rPr>
          <w:rFonts w:asciiTheme="majorHAnsi" w:hAnsiTheme="majorHAnsi"/>
          <w:sz w:val="18"/>
          <w:szCs w:val="18"/>
          <w:lang w:val="es-ES_tradnl"/>
        </w:rPr>
        <w:t xml:space="preserve">ADMISIBILIDAD </w:t>
      </w:r>
    </w:p>
    <w:p w:rsidR="00A82BAB" w:rsidRPr="00373C24" w:rsidRDefault="003673A9" w:rsidP="003673A9">
      <w:pPr>
        <w:tabs>
          <w:tab w:val="center" w:pos="5400"/>
        </w:tabs>
        <w:suppressAutoHyphens/>
        <w:jc w:val="center"/>
        <w:rPr>
          <w:rFonts w:asciiTheme="majorHAnsi" w:hAnsiTheme="majorHAnsi"/>
          <w:sz w:val="18"/>
          <w:szCs w:val="18"/>
          <w:lang w:val="es-ES_tradnl"/>
        </w:rPr>
      </w:pPr>
      <w:r w:rsidRPr="00373C24">
        <w:rPr>
          <w:rFonts w:asciiTheme="majorHAnsi" w:hAnsiTheme="majorHAnsi"/>
          <w:sz w:val="18"/>
          <w:szCs w:val="18"/>
          <w:lang w:val="es-ES_tradnl"/>
        </w:rPr>
        <w:t>LUIS ALBERTO ROJAS MARÍN</w:t>
      </w:r>
    </w:p>
    <w:p w:rsidR="00722C9F" w:rsidRPr="00373C24" w:rsidRDefault="003673A9" w:rsidP="003673A9">
      <w:pPr>
        <w:tabs>
          <w:tab w:val="center" w:pos="5400"/>
        </w:tabs>
        <w:suppressAutoHyphens/>
        <w:jc w:val="center"/>
        <w:rPr>
          <w:rFonts w:asciiTheme="majorHAnsi" w:hAnsiTheme="majorHAnsi"/>
          <w:sz w:val="18"/>
          <w:szCs w:val="18"/>
          <w:lang w:val="es-ES_tradnl"/>
        </w:rPr>
      </w:pPr>
      <w:r w:rsidRPr="00373C24">
        <w:rPr>
          <w:rFonts w:asciiTheme="majorHAnsi" w:hAnsiTheme="majorHAnsi"/>
          <w:sz w:val="18"/>
          <w:szCs w:val="18"/>
          <w:lang w:val="es-ES_tradnl"/>
        </w:rPr>
        <w:t>PER</w:t>
      </w:r>
      <w:r w:rsidRPr="00373C24">
        <w:rPr>
          <w:rFonts w:asciiTheme="majorHAnsi" w:hAnsiTheme="majorHAnsi"/>
          <w:sz w:val="18"/>
          <w:szCs w:val="18"/>
          <w:lang w:val="es-AR"/>
        </w:rPr>
        <w:t>Ú</w:t>
      </w:r>
    </w:p>
    <w:p w:rsidR="007D692F" w:rsidRPr="00373C24" w:rsidRDefault="0011382F" w:rsidP="003673A9">
      <w:pPr>
        <w:tabs>
          <w:tab w:val="center" w:pos="5400"/>
        </w:tabs>
        <w:suppressAutoHyphens/>
        <w:jc w:val="center"/>
        <w:rPr>
          <w:rFonts w:asciiTheme="majorHAnsi" w:hAnsiTheme="majorHAnsi"/>
          <w:sz w:val="18"/>
          <w:szCs w:val="18"/>
          <w:lang w:val="es-ES_tradnl"/>
        </w:rPr>
      </w:pPr>
      <w:r w:rsidRPr="00373C24">
        <w:rPr>
          <w:rFonts w:asciiTheme="majorHAnsi" w:hAnsiTheme="majorHAnsi"/>
          <w:sz w:val="18"/>
          <w:szCs w:val="18"/>
          <w:lang w:val="es-ES_tradnl"/>
        </w:rPr>
        <w:t>6</w:t>
      </w:r>
      <w:r w:rsidR="003673A9" w:rsidRPr="00373C24">
        <w:rPr>
          <w:rFonts w:asciiTheme="majorHAnsi" w:hAnsiTheme="majorHAnsi"/>
          <w:sz w:val="18"/>
          <w:szCs w:val="18"/>
          <w:lang w:val="es-ES_tradnl"/>
        </w:rPr>
        <w:t xml:space="preserve"> DE NOVIEMBRE DE 2014</w:t>
      </w:r>
    </w:p>
    <w:p w:rsidR="003673A9" w:rsidRPr="00FF7843" w:rsidRDefault="003673A9" w:rsidP="003673A9">
      <w:pPr>
        <w:pStyle w:val="Heading1"/>
        <w:rPr>
          <w:lang w:val="es-ES"/>
        </w:rPr>
      </w:pPr>
    </w:p>
    <w:p w:rsidR="003673A9" w:rsidRPr="00FF7843" w:rsidRDefault="003673A9" w:rsidP="003673A9">
      <w:pPr>
        <w:pStyle w:val="Heading1"/>
        <w:rPr>
          <w:lang w:val="es-ES"/>
        </w:rPr>
      </w:pPr>
    </w:p>
    <w:p w:rsidR="007D692F" w:rsidRPr="00373C24" w:rsidRDefault="007D692F" w:rsidP="003673A9">
      <w:pPr>
        <w:pStyle w:val="Heading1"/>
        <w:rPr>
          <w:color w:val="auto"/>
          <w:lang w:val="es-ES"/>
        </w:rPr>
      </w:pPr>
      <w:r w:rsidRPr="00373C24">
        <w:rPr>
          <w:color w:val="auto"/>
          <w:lang w:val="es-ES"/>
        </w:rPr>
        <w:t>I.</w:t>
      </w:r>
      <w:r w:rsidRPr="00373C24">
        <w:rPr>
          <w:color w:val="auto"/>
          <w:lang w:val="es-ES"/>
        </w:rPr>
        <w:tab/>
        <w:t>RESUMEN</w:t>
      </w:r>
    </w:p>
    <w:p w:rsidR="007D692F" w:rsidRPr="00D46533" w:rsidRDefault="007D692F" w:rsidP="003673A9">
      <w:pPr>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lang w:val="es-AR"/>
        </w:rPr>
      </w:pPr>
      <w:r w:rsidRPr="003673A9">
        <w:rPr>
          <w:rFonts w:asciiTheme="majorHAnsi" w:hAnsiTheme="majorHAnsi"/>
          <w:sz w:val="20"/>
          <w:szCs w:val="20"/>
          <w:lang w:val="es-AR"/>
        </w:rPr>
        <w:t>El 1</w:t>
      </w:r>
      <w:r w:rsidR="000C65A9" w:rsidRPr="003673A9">
        <w:rPr>
          <w:rFonts w:asciiTheme="majorHAnsi" w:hAnsiTheme="majorHAnsi"/>
          <w:sz w:val="20"/>
          <w:szCs w:val="20"/>
          <w:lang w:val="es-AR"/>
        </w:rPr>
        <w:t>4</w:t>
      </w:r>
      <w:r w:rsidRPr="003673A9">
        <w:rPr>
          <w:rFonts w:asciiTheme="majorHAnsi" w:hAnsiTheme="majorHAnsi"/>
          <w:sz w:val="20"/>
          <w:szCs w:val="20"/>
          <w:lang w:val="es-AR"/>
        </w:rPr>
        <w:t xml:space="preserve"> de abril de 2009</w:t>
      </w:r>
      <w:r w:rsidR="00EB1560" w:rsidRPr="003673A9">
        <w:rPr>
          <w:rFonts w:asciiTheme="majorHAnsi" w:hAnsiTheme="majorHAnsi"/>
          <w:sz w:val="20"/>
          <w:szCs w:val="20"/>
          <w:lang w:val="es-AR"/>
        </w:rPr>
        <w:t>,</w:t>
      </w:r>
      <w:r w:rsidRPr="003673A9">
        <w:rPr>
          <w:rFonts w:asciiTheme="majorHAnsi" w:hAnsiTheme="majorHAnsi"/>
          <w:sz w:val="20"/>
          <w:szCs w:val="20"/>
          <w:lang w:val="es-AR"/>
        </w:rPr>
        <w:t xml:space="preserve"> la Comisión Interamericana de Derechos Humanos (en adelante también </w:t>
      </w:r>
      <w:r w:rsidRPr="003673A9">
        <w:rPr>
          <w:rFonts w:asciiTheme="majorHAnsi" w:hAnsiTheme="majorHAnsi" w:cs="Arial"/>
          <w:sz w:val="20"/>
          <w:szCs w:val="20"/>
          <w:lang w:val="es-AR"/>
        </w:rPr>
        <w:t>“</w:t>
      </w:r>
      <w:r w:rsidRPr="003673A9">
        <w:rPr>
          <w:rFonts w:asciiTheme="majorHAnsi" w:hAnsiTheme="majorHAnsi"/>
          <w:sz w:val="20"/>
          <w:szCs w:val="20"/>
          <w:lang w:val="es-AR"/>
        </w:rPr>
        <w:t>la Comisión Interamericana</w:t>
      </w:r>
      <w:r w:rsidRPr="003673A9">
        <w:rPr>
          <w:rFonts w:asciiTheme="majorHAnsi" w:hAnsiTheme="majorHAnsi" w:cs="Arial"/>
          <w:sz w:val="20"/>
          <w:szCs w:val="20"/>
          <w:lang w:val="es-AR"/>
        </w:rPr>
        <w:t>”</w:t>
      </w:r>
      <w:r w:rsidRPr="003673A9">
        <w:rPr>
          <w:rFonts w:asciiTheme="majorHAnsi" w:hAnsiTheme="majorHAnsi"/>
          <w:sz w:val="20"/>
          <w:szCs w:val="20"/>
          <w:lang w:val="es-AR"/>
        </w:rPr>
        <w:t xml:space="preserve">, </w:t>
      </w:r>
      <w:r w:rsidRPr="003673A9">
        <w:rPr>
          <w:rFonts w:asciiTheme="majorHAnsi" w:hAnsiTheme="majorHAnsi" w:cs="Arial"/>
          <w:sz w:val="20"/>
          <w:szCs w:val="20"/>
          <w:lang w:val="es-AR"/>
        </w:rPr>
        <w:t>“</w:t>
      </w:r>
      <w:r w:rsidRPr="003673A9">
        <w:rPr>
          <w:rFonts w:asciiTheme="majorHAnsi" w:hAnsiTheme="majorHAnsi"/>
          <w:sz w:val="20"/>
          <w:szCs w:val="20"/>
          <w:lang w:val="es-AR"/>
        </w:rPr>
        <w:t>la Comisión</w:t>
      </w:r>
      <w:r w:rsidRPr="003673A9">
        <w:rPr>
          <w:rFonts w:asciiTheme="majorHAnsi" w:hAnsiTheme="majorHAnsi" w:cs="Arial"/>
          <w:sz w:val="20"/>
          <w:szCs w:val="20"/>
          <w:lang w:val="es-AR"/>
        </w:rPr>
        <w:t>”</w:t>
      </w:r>
      <w:r w:rsidRPr="003673A9">
        <w:rPr>
          <w:rFonts w:asciiTheme="majorHAnsi" w:hAnsiTheme="majorHAnsi"/>
          <w:sz w:val="20"/>
          <w:szCs w:val="20"/>
          <w:lang w:val="es-AR"/>
        </w:rPr>
        <w:t xml:space="preserve"> o </w:t>
      </w:r>
      <w:r w:rsidRPr="003673A9">
        <w:rPr>
          <w:rFonts w:asciiTheme="majorHAnsi" w:hAnsiTheme="majorHAnsi" w:cs="Arial"/>
          <w:sz w:val="20"/>
          <w:szCs w:val="20"/>
          <w:lang w:val="es-AR"/>
        </w:rPr>
        <w:t>“</w:t>
      </w:r>
      <w:r w:rsidRPr="003673A9">
        <w:rPr>
          <w:rFonts w:asciiTheme="majorHAnsi" w:hAnsiTheme="majorHAnsi"/>
          <w:sz w:val="20"/>
          <w:szCs w:val="20"/>
          <w:lang w:val="es-AR"/>
        </w:rPr>
        <w:t>la CIDH</w:t>
      </w:r>
      <w:r w:rsidRPr="003673A9">
        <w:rPr>
          <w:rFonts w:asciiTheme="majorHAnsi" w:hAnsiTheme="majorHAnsi" w:cs="Arial"/>
          <w:sz w:val="20"/>
          <w:szCs w:val="20"/>
          <w:lang w:val="es-AR"/>
        </w:rPr>
        <w:t>”</w:t>
      </w:r>
      <w:r w:rsidRPr="003673A9">
        <w:rPr>
          <w:rFonts w:asciiTheme="majorHAnsi" w:hAnsiTheme="majorHAnsi"/>
          <w:sz w:val="20"/>
          <w:szCs w:val="20"/>
          <w:lang w:val="es-AR"/>
        </w:rPr>
        <w:t>) recibió una petición presentada por la Coordinadora Nacional de Derechos Humanos, el Centro de Promoción y Defensa de los Derechos S</w:t>
      </w:r>
      <w:r w:rsidR="00866C05" w:rsidRPr="003673A9">
        <w:rPr>
          <w:rFonts w:asciiTheme="majorHAnsi" w:hAnsiTheme="majorHAnsi"/>
          <w:sz w:val="20"/>
          <w:szCs w:val="20"/>
          <w:lang w:val="es-AR"/>
        </w:rPr>
        <w:t>exuales</w:t>
      </w:r>
      <w:r w:rsidRPr="003673A9">
        <w:rPr>
          <w:rFonts w:asciiTheme="majorHAnsi" w:hAnsiTheme="majorHAnsi"/>
          <w:sz w:val="20"/>
          <w:szCs w:val="20"/>
          <w:lang w:val="es-AR"/>
        </w:rPr>
        <w:t xml:space="preserve"> y Reproductivos</w:t>
      </w:r>
      <w:r w:rsidR="00866C05" w:rsidRPr="003673A9">
        <w:rPr>
          <w:rFonts w:asciiTheme="majorHAnsi" w:hAnsiTheme="majorHAnsi"/>
          <w:sz w:val="20"/>
          <w:szCs w:val="20"/>
          <w:lang w:val="es-AR"/>
        </w:rPr>
        <w:t xml:space="preserve"> (PROMSEX)</w:t>
      </w:r>
      <w:r w:rsidRPr="003673A9">
        <w:rPr>
          <w:rFonts w:asciiTheme="majorHAnsi" w:hAnsiTheme="majorHAnsi"/>
          <w:sz w:val="20"/>
          <w:szCs w:val="20"/>
          <w:lang w:val="es-AR"/>
        </w:rPr>
        <w:t xml:space="preserve"> y </w:t>
      </w:r>
      <w:proofErr w:type="spellStart"/>
      <w:r w:rsidRPr="003673A9">
        <w:rPr>
          <w:rFonts w:asciiTheme="majorHAnsi" w:hAnsiTheme="majorHAnsi"/>
          <w:i/>
          <w:sz w:val="20"/>
          <w:szCs w:val="20"/>
          <w:lang w:val="es-AR"/>
        </w:rPr>
        <w:t>Redress</w:t>
      </w:r>
      <w:proofErr w:type="spellEnd"/>
      <w:r w:rsidRPr="003673A9">
        <w:rPr>
          <w:rFonts w:asciiTheme="majorHAnsi" w:hAnsiTheme="majorHAnsi"/>
          <w:i/>
          <w:sz w:val="20"/>
          <w:szCs w:val="20"/>
          <w:lang w:val="es-AR"/>
        </w:rPr>
        <w:t xml:space="preserve"> Trust: </w:t>
      </w:r>
      <w:proofErr w:type="spellStart"/>
      <w:r w:rsidRPr="003673A9">
        <w:rPr>
          <w:rFonts w:asciiTheme="majorHAnsi" w:hAnsiTheme="majorHAnsi"/>
          <w:i/>
          <w:sz w:val="20"/>
          <w:szCs w:val="20"/>
          <w:lang w:val="es-AR"/>
        </w:rPr>
        <w:t>Seeking</w:t>
      </w:r>
      <w:proofErr w:type="spellEnd"/>
      <w:r w:rsidRPr="003673A9">
        <w:rPr>
          <w:rFonts w:asciiTheme="majorHAnsi" w:hAnsiTheme="majorHAnsi"/>
          <w:i/>
          <w:sz w:val="20"/>
          <w:szCs w:val="20"/>
          <w:lang w:val="es-AR"/>
        </w:rPr>
        <w:t xml:space="preserve"> </w:t>
      </w:r>
      <w:proofErr w:type="spellStart"/>
      <w:r w:rsidRPr="003673A9">
        <w:rPr>
          <w:rFonts w:asciiTheme="majorHAnsi" w:hAnsiTheme="majorHAnsi"/>
          <w:i/>
          <w:sz w:val="20"/>
          <w:szCs w:val="20"/>
          <w:lang w:val="es-AR"/>
        </w:rPr>
        <w:t>Reparations</w:t>
      </w:r>
      <w:proofErr w:type="spellEnd"/>
      <w:r w:rsidRPr="003673A9">
        <w:rPr>
          <w:rFonts w:asciiTheme="majorHAnsi" w:hAnsiTheme="majorHAnsi"/>
          <w:i/>
          <w:sz w:val="20"/>
          <w:szCs w:val="20"/>
          <w:lang w:val="es-AR"/>
        </w:rPr>
        <w:t xml:space="preserve"> </w:t>
      </w:r>
      <w:proofErr w:type="spellStart"/>
      <w:r w:rsidRPr="003673A9">
        <w:rPr>
          <w:rFonts w:asciiTheme="majorHAnsi" w:hAnsiTheme="majorHAnsi"/>
          <w:i/>
          <w:sz w:val="20"/>
          <w:szCs w:val="20"/>
          <w:lang w:val="es-AR"/>
        </w:rPr>
        <w:t>for</w:t>
      </w:r>
      <w:proofErr w:type="spellEnd"/>
      <w:r w:rsidRPr="003673A9">
        <w:rPr>
          <w:rFonts w:asciiTheme="majorHAnsi" w:hAnsiTheme="majorHAnsi"/>
          <w:i/>
          <w:sz w:val="20"/>
          <w:szCs w:val="20"/>
          <w:lang w:val="es-AR"/>
        </w:rPr>
        <w:t xml:space="preserve"> Torture </w:t>
      </w:r>
      <w:proofErr w:type="spellStart"/>
      <w:r w:rsidRPr="003673A9">
        <w:rPr>
          <w:rFonts w:asciiTheme="majorHAnsi" w:hAnsiTheme="majorHAnsi"/>
          <w:i/>
          <w:sz w:val="20"/>
          <w:szCs w:val="20"/>
          <w:lang w:val="es-AR"/>
        </w:rPr>
        <w:t>Survivors</w:t>
      </w:r>
      <w:proofErr w:type="spellEnd"/>
      <w:r w:rsidRPr="003673A9">
        <w:rPr>
          <w:rFonts w:asciiTheme="majorHAnsi" w:hAnsiTheme="majorHAnsi"/>
          <w:sz w:val="20"/>
          <w:szCs w:val="20"/>
          <w:lang w:val="es-AR"/>
        </w:rPr>
        <w:t xml:space="preserve"> (en adelante “los peticionarios”) en representación de Luis Alberto Rojas Marín (en adelante </w:t>
      </w:r>
      <w:r w:rsidR="00EB1560" w:rsidRPr="003673A9">
        <w:rPr>
          <w:rFonts w:asciiTheme="majorHAnsi" w:hAnsiTheme="majorHAnsi"/>
          <w:sz w:val="20"/>
          <w:szCs w:val="20"/>
          <w:lang w:val="es-AR"/>
        </w:rPr>
        <w:t xml:space="preserve">también, </w:t>
      </w:r>
      <w:r w:rsidR="000A1A2E" w:rsidRPr="003673A9">
        <w:rPr>
          <w:rFonts w:asciiTheme="majorHAnsi" w:hAnsiTheme="majorHAnsi"/>
          <w:sz w:val="20"/>
          <w:szCs w:val="20"/>
          <w:lang w:val="es-AR"/>
        </w:rPr>
        <w:t xml:space="preserve">“señor Rojas Marín” o </w:t>
      </w:r>
      <w:r w:rsidRPr="003673A9">
        <w:rPr>
          <w:rFonts w:asciiTheme="majorHAnsi" w:hAnsiTheme="majorHAnsi"/>
          <w:sz w:val="20"/>
          <w:szCs w:val="20"/>
          <w:lang w:val="es-AR"/>
        </w:rPr>
        <w:t xml:space="preserve">“la presunta víctima”), en la cual se alega la responsabilidad de la República del Perú (en adelante </w:t>
      </w:r>
      <w:r w:rsidRPr="003673A9">
        <w:rPr>
          <w:rFonts w:asciiTheme="majorHAnsi" w:hAnsiTheme="majorHAnsi" w:cs="Arial"/>
          <w:sz w:val="20"/>
          <w:szCs w:val="20"/>
          <w:lang w:val="es-AR"/>
        </w:rPr>
        <w:t>“Perú”</w:t>
      </w:r>
      <w:r w:rsidRPr="003673A9">
        <w:rPr>
          <w:rFonts w:asciiTheme="majorHAnsi" w:hAnsiTheme="majorHAnsi"/>
          <w:sz w:val="20"/>
          <w:szCs w:val="20"/>
          <w:lang w:val="es-AR"/>
        </w:rPr>
        <w:t xml:space="preserve">, </w:t>
      </w:r>
      <w:r w:rsidRPr="003673A9">
        <w:rPr>
          <w:rFonts w:asciiTheme="majorHAnsi" w:hAnsiTheme="majorHAnsi" w:cs="Arial"/>
          <w:sz w:val="20"/>
          <w:szCs w:val="20"/>
          <w:lang w:val="es-AR"/>
        </w:rPr>
        <w:t>“</w:t>
      </w:r>
      <w:r w:rsidRPr="003673A9">
        <w:rPr>
          <w:rFonts w:asciiTheme="majorHAnsi" w:hAnsiTheme="majorHAnsi"/>
          <w:sz w:val="20"/>
          <w:szCs w:val="20"/>
          <w:lang w:val="es-AR"/>
        </w:rPr>
        <w:t>el Estado</w:t>
      </w:r>
      <w:r w:rsidRPr="003673A9">
        <w:rPr>
          <w:rFonts w:asciiTheme="majorHAnsi" w:hAnsiTheme="majorHAnsi" w:cs="Arial"/>
          <w:sz w:val="20"/>
          <w:szCs w:val="20"/>
          <w:lang w:val="es-AR"/>
        </w:rPr>
        <w:t>”</w:t>
      </w:r>
      <w:r w:rsidRPr="003673A9">
        <w:rPr>
          <w:rFonts w:asciiTheme="majorHAnsi" w:hAnsiTheme="majorHAnsi"/>
          <w:sz w:val="20"/>
          <w:szCs w:val="20"/>
          <w:lang w:val="es-AR"/>
        </w:rPr>
        <w:t xml:space="preserve"> o </w:t>
      </w:r>
      <w:r w:rsidRPr="003673A9">
        <w:rPr>
          <w:rFonts w:asciiTheme="majorHAnsi" w:hAnsiTheme="majorHAnsi" w:cs="Arial"/>
          <w:sz w:val="20"/>
          <w:szCs w:val="20"/>
          <w:lang w:val="es-AR"/>
        </w:rPr>
        <w:t>“</w:t>
      </w:r>
      <w:r w:rsidRPr="003673A9">
        <w:rPr>
          <w:rFonts w:asciiTheme="majorHAnsi" w:hAnsiTheme="majorHAnsi"/>
          <w:sz w:val="20"/>
          <w:szCs w:val="20"/>
          <w:lang w:val="es-AR"/>
        </w:rPr>
        <w:t>el Estado peruano</w:t>
      </w:r>
      <w:r w:rsidRPr="003673A9">
        <w:rPr>
          <w:rFonts w:asciiTheme="majorHAnsi" w:hAnsiTheme="majorHAnsi" w:cs="Arial"/>
          <w:sz w:val="20"/>
          <w:szCs w:val="20"/>
          <w:lang w:val="es-AR"/>
        </w:rPr>
        <w:t>”</w:t>
      </w:r>
      <w:r w:rsidRPr="003673A9">
        <w:rPr>
          <w:rFonts w:asciiTheme="majorHAnsi" w:hAnsiTheme="majorHAnsi"/>
          <w:sz w:val="20"/>
          <w:szCs w:val="20"/>
          <w:lang w:val="es-AR"/>
        </w:rPr>
        <w:t xml:space="preserve">) </w:t>
      </w:r>
      <w:r w:rsidR="00EB1560" w:rsidRPr="003673A9">
        <w:rPr>
          <w:rFonts w:asciiTheme="majorHAnsi" w:hAnsiTheme="majorHAnsi"/>
          <w:sz w:val="20"/>
          <w:szCs w:val="20"/>
          <w:lang w:val="es-AR"/>
        </w:rPr>
        <w:t xml:space="preserve">por </w:t>
      </w:r>
      <w:r w:rsidRPr="003673A9">
        <w:rPr>
          <w:rFonts w:asciiTheme="majorHAnsi" w:hAnsiTheme="majorHAnsi"/>
          <w:sz w:val="20"/>
          <w:szCs w:val="20"/>
          <w:lang w:val="es-AR"/>
        </w:rPr>
        <w:t>su detención ilegal y arbitraria</w:t>
      </w:r>
      <w:r w:rsidR="00EB1560" w:rsidRPr="003673A9">
        <w:rPr>
          <w:rFonts w:asciiTheme="majorHAnsi" w:hAnsiTheme="majorHAnsi"/>
          <w:sz w:val="20"/>
          <w:szCs w:val="20"/>
          <w:lang w:val="es-AR"/>
        </w:rPr>
        <w:t xml:space="preserve">, el haber sido víctima de </w:t>
      </w:r>
      <w:r w:rsidRPr="003673A9">
        <w:rPr>
          <w:rFonts w:asciiTheme="majorHAnsi" w:hAnsiTheme="majorHAnsi"/>
          <w:sz w:val="20"/>
          <w:szCs w:val="20"/>
          <w:lang w:val="es-AR"/>
        </w:rPr>
        <w:t xml:space="preserve">actos de violencia sexual mientras se encontraba bajo custodia policial, </w:t>
      </w:r>
      <w:r w:rsidR="00EB1560" w:rsidRPr="003673A9">
        <w:rPr>
          <w:rFonts w:asciiTheme="majorHAnsi" w:hAnsiTheme="majorHAnsi"/>
          <w:sz w:val="20"/>
          <w:szCs w:val="20"/>
          <w:lang w:val="es-AR"/>
        </w:rPr>
        <w:t xml:space="preserve">así </w:t>
      </w:r>
      <w:r w:rsidRPr="003673A9">
        <w:rPr>
          <w:rFonts w:asciiTheme="majorHAnsi" w:hAnsiTheme="majorHAnsi"/>
          <w:sz w:val="20"/>
          <w:szCs w:val="20"/>
          <w:lang w:val="es-AR"/>
        </w:rPr>
        <w:t xml:space="preserve">como </w:t>
      </w:r>
      <w:r w:rsidR="00EB1560" w:rsidRPr="003673A9">
        <w:rPr>
          <w:rFonts w:asciiTheme="majorHAnsi" w:hAnsiTheme="majorHAnsi"/>
          <w:sz w:val="20"/>
          <w:szCs w:val="20"/>
          <w:lang w:val="es-AR"/>
        </w:rPr>
        <w:t xml:space="preserve">actos </w:t>
      </w:r>
      <w:r w:rsidRPr="003673A9">
        <w:rPr>
          <w:rFonts w:asciiTheme="majorHAnsi" w:hAnsiTheme="majorHAnsi"/>
          <w:sz w:val="20"/>
          <w:szCs w:val="20"/>
          <w:lang w:val="es-AR"/>
        </w:rPr>
        <w:t xml:space="preserve">de tortura, </w:t>
      </w:r>
      <w:r w:rsidR="00EB1560" w:rsidRPr="003673A9">
        <w:rPr>
          <w:rFonts w:asciiTheme="majorHAnsi" w:hAnsiTheme="majorHAnsi"/>
          <w:sz w:val="20"/>
          <w:szCs w:val="20"/>
          <w:lang w:val="es-AR"/>
        </w:rPr>
        <w:t xml:space="preserve">todos ellos </w:t>
      </w:r>
      <w:r w:rsidRPr="003673A9">
        <w:rPr>
          <w:rFonts w:asciiTheme="majorHAnsi" w:hAnsiTheme="majorHAnsi"/>
          <w:sz w:val="20"/>
          <w:szCs w:val="20"/>
          <w:lang w:val="es-AR"/>
        </w:rPr>
        <w:t>motivados por su orientación sexual</w:t>
      </w:r>
      <w:r w:rsidR="00EB1560" w:rsidRPr="003673A9">
        <w:rPr>
          <w:rFonts w:asciiTheme="majorHAnsi" w:hAnsiTheme="majorHAnsi"/>
          <w:sz w:val="20"/>
          <w:szCs w:val="20"/>
          <w:lang w:val="es-AR"/>
        </w:rPr>
        <w:t>,</w:t>
      </w:r>
      <w:r w:rsidRPr="003673A9">
        <w:rPr>
          <w:rFonts w:asciiTheme="majorHAnsi" w:hAnsiTheme="majorHAnsi"/>
          <w:sz w:val="20"/>
          <w:szCs w:val="20"/>
          <w:lang w:val="es-AR"/>
        </w:rPr>
        <w:t xml:space="preserve"> y el incumplimiento del deber de investigar y esclarecer judicialmente estos hechos, conforme a las normas del debido proceso y </w:t>
      </w:r>
      <w:r w:rsidR="00EB1560" w:rsidRPr="003673A9">
        <w:rPr>
          <w:rFonts w:asciiTheme="majorHAnsi" w:hAnsiTheme="majorHAnsi"/>
          <w:sz w:val="20"/>
          <w:szCs w:val="20"/>
          <w:lang w:val="es-AR"/>
        </w:rPr>
        <w:t xml:space="preserve">al principio de no </w:t>
      </w:r>
      <w:r w:rsidRPr="003673A9">
        <w:rPr>
          <w:rFonts w:asciiTheme="majorHAnsi" w:hAnsiTheme="majorHAnsi"/>
          <w:sz w:val="20"/>
          <w:szCs w:val="20"/>
          <w:lang w:val="es-AR"/>
        </w:rPr>
        <w:t>discriminación.</w:t>
      </w:r>
    </w:p>
    <w:p w:rsidR="007D692F" w:rsidRPr="003673A9" w:rsidRDefault="007D692F" w:rsidP="003673A9">
      <w:pPr>
        <w:rPr>
          <w:rFonts w:asciiTheme="majorHAnsi" w:hAnsiTheme="majorHAnsi" w:cs="Arial"/>
          <w:iCs/>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lang w:val="es-AR"/>
        </w:rPr>
      </w:pPr>
      <w:r w:rsidRPr="003673A9">
        <w:rPr>
          <w:rFonts w:asciiTheme="majorHAnsi" w:hAnsiTheme="majorHAnsi"/>
          <w:sz w:val="20"/>
          <w:szCs w:val="20"/>
          <w:lang w:val="es-AR"/>
        </w:rPr>
        <w:t xml:space="preserve">En </w:t>
      </w:r>
      <w:r w:rsidR="00537605" w:rsidRPr="003673A9">
        <w:rPr>
          <w:rFonts w:asciiTheme="majorHAnsi" w:hAnsiTheme="majorHAnsi"/>
          <w:sz w:val="20"/>
          <w:szCs w:val="20"/>
          <w:lang w:val="es-AR"/>
        </w:rPr>
        <w:t xml:space="preserve">su </w:t>
      </w:r>
      <w:r w:rsidRPr="003673A9">
        <w:rPr>
          <w:rFonts w:asciiTheme="majorHAnsi" w:hAnsiTheme="majorHAnsi"/>
          <w:sz w:val="20"/>
          <w:szCs w:val="20"/>
          <w:lang w:val="es-AR"/>
        </w:rPr>
        <w:t xml:space="preserve">petición inicial y en </w:t>
      </w:r>
      <w:r w:rsidR="00537605" w:rsidRPr="003673A9">
        <w:rPr>
          <w:rFonts w:asciiTheme="majorHAnsi" w:hAnsiTheme="majorHAnsi"/>
          <w:sz w:val="20"/>
          <w:szCs w:val="20"/>
          <w:lang w:val="es-AR"/>
        </w:rPr>
        <w:t>sus observaciones adicionales</w:t>
      </w:r>
      <w:r w:rsidRPr="003673A9">
        <w:rPr>
          <w:rFonts w:asciiTheme="majorHAnsi" w:hAnsiTheme="majorHAnsi"/>
          <w:sz w:val="20"/>
          <w:szCs w:val="20"/>
          <w:lang w:val="es-AR"/>
        </w:rPr>
        <w:t>, los peticionarios alegaron que los hechos materia del reclamo constituyen violaciones a los derechos consagrados en los artículos 5, 7(2)</w:t>
      </w:r>
      <w:r w:rsidR="00537605" w:rsidRPr="003673A9">
        <w:rPr>
          <w:rFonts w:asciiTheme="majorHAnsi" w:hAnsiTheme="majorHAnsi"/>
          <w:sz w:val="20"/>
          <w:szCs w:val="20"/>
          <w:lang w:val="es-AR"/>
        </w:rPr>
        <w:t>, 7</w:t>
      </w:r>
      <w:r w:rsidRPr="003673A9">
        <w:rPr>
          <w:rFonts w:asciiTheme="majorHAnsi" w:hAnsiTheme="majorHAnsi"/>
          <w:sz w:val="20"/>
          <w:szCs w:val="20"/>
          <w:lang w:val="es-AR"/>
        </w:rPr>
        <w:t>(3)</w:t>
      </w:r>
      <w:r w:rsidR="00537605" w:rsidRPr="003673A9">
        <w:rPr>
          <w:rFonts w:asciiTheme="majorHAnsi" w:hAnsiTheme="majorHAnsi"/>
          <w:sz w:val="20"/>
          <w:szCs w:val="20"/>
          <w:lang w:val="es-AR"/>
        </w:rPr>
        <w:t xml:space="preserve">, </w:t>
      </w:r>
      <w:r w:rsidR="0011382F">
        <w:rPr>
          <w:rFonts w:asciiTheme="majorHAnsi" w:hAnsiTheme="majorHAnsi"/>
          <w:sz w:val="20"/>
          <w:szCs w:val="20"/>
          <w:lang w:val="es-AR"/>
        </w:rPr>
        <w:t xml:space="preserve">7(4), </w:t>
      </w:r>
      <w:r w:rsidR="00537605" w:rsidRPr="003673A9">
        <w:rPr>
          <w:rFonts w:asciiTheme="majorHAnsi" w:hAnsiTheme="majorHAnsi"/>
          <w:sz w:val="20"/>
          <w:szCs w:val="20"/>
          <w:lang w:val="es-AR"/>
        </w:rPr>
        <w:t>7</w:t>
      </w:r>
      <w:r w:rsidRPr="003673A9">
        <w:rPr>
          <w:rFonts w:asciiTheme="majorHAnsi" w:hAnsiTheme="majorHAnsi"/>
          <w:sz w:val="20"/>
          <w:szCs w:val="20"/>
          <w:lang w:val="es-AR"/>
        </w:rPr>
        <w:t>(5), 8, 11(1) y 25 de la Convención Americana sobre Derechos Humanos (en adelante también “la Convención Americana” o “la C</w:t>
      </w:r>
      <w:r w:rsidR="00BB1098" w:rsidRPr="003673A9">
        <w:rPr>
          <w:rFonts w:asciiTheme="majorHAnsi" w:hAnsiTheme="majorHAnsi"/>
          <w:sz w:val="20"/>
          <w:szCs w:val="20"/>
          <w:lang w:val="es-AR"/>
        </w:rPr>
        <w:t>onvención”) en conjunción con las obligaciones contenidas en los</w:t>
      </w:r>
      <w:r w:rsidRPr="003673A9">
        <w:rPr>
          <w:rFonts w:asciiTheme="majorHAnsi" w:hAnsiTheme="majorHAnsi"/>
          <w:sz w:val="20"/>
          <w:szCs w:val="20"/>
          <w:lang w:val="es-AR"/>
        </w:rPr>
        <w:t xml:space="preserve"> artículo</w:t>
      </w:r>
      <w:r w:rsidR="00BB1098" w:rsidRPr="003673A9">
        <w:rPr>
          <w:rFonts w:asciiTheme="majorHAnsi" w:hAnsiTheme="majorHAnsi"/>
          <w:sz w:val="20"/>
          <w:szCs w:val="20"/>
          <w:lang w:val="es-AR"/>
        </w:rPr>
        <w:t>s</w:t>
      </w:r>
      <w:r w:rsidRPr="003673A9">
        <w:rPr>
          <w:rFonts w:asciiTheme="majorHAnsi" w:hAnsiTheme="majorHAnsi"/>
          <w:sz w:val="20"/>
          <w:szCs w:val="20"/>
          <w:lang w:val="es-AR"/>
        </w:rPr>
        <w:t xml:space="preserve"> 1(1)</w:t>
      </w:r>
      <w:r w:rsidR="00BB1098" w:rsidRPr="003673A9">
        <w:rPr>
          <w:rFonts w:asciiTheme="majorHAnsi" w:hAnsiTheme="majorHAnsi"/>
          <w:sz w:val="20"/>
          <w:szCs w:val="20"/>
          <w:lang w:val="es-AR"/>
        </w:rPr>
        <w:t xml:space="preserve"> y 2 de dicho instrumento,</w:t>
      </w:r>
      <w:r w:rsidRPr="003673A9">
        <w:rPr>
          <w:rFonts w:asciiTheme="majorHAnsi" w:hAnsiTheme="majorHAnsi"/>
          <w:sz w:val="20"/>
          <w:szCs w:val="20"/>
          <w:lang w:val="es-AR"/>
        </w:rPr>
        <w:t xml:space="preserve"> y de los artículos 1, 6 y 8 de la Convención Interamericana para Prevenir y Sancionar la Tortura, en perjuicio de Luis Alberto Rojas Marín.  Asimismo, alegan la violación del derecho a la integridad personal en perjuicio de su madre, Juana Rosa Tanta Marín, cuya salud se habría visto afectada a causa de la </w:t>
      </w:r>
      <w:r w:rsidR="00FF7843">
        <w:rPr>
          <w:rFonts w:asciiTheme="majorHAnsi" w:hAnsiTheme="majorHAnsi"/>
          <w:sz w:val="20"/>
          <w:szCs w:val="20"/>
          <w:lang w:val="es-AR"/>
        </w:rPr>
        <w:t>angustia</w:t>
      </w:r>
      <w:r w:rsidRPr="003673A9">
        <w:rPr>
          <w:rFonts w:asciiTheme="majorHAnsi" w:hAnsiTheme="majorHAnsi"/>
          <w:sz w:val="20"/>
          <w:szCs w:val="20"/>
          <w:lang w:val="es-AR"/>
        </w:rPr>
        <w:t xml:space="preserve"> y temor a represalias generados por los hechos materia del reclamo. Por su parte, el Estado </w:t>
      </w:r>
      <w:r w:rsidR="00866C05" w:rsidRPr="003673A9">
        <w:rPr>
          <w:rFonts w:asciiTheme="majorHAnsi" w:hAnsiTheme="majorHAnsi"/>
          <w:sz w:val="20"/>
          <w:szCs w:val="20"/>
          <w:lang w:val="es-AR"/>
        </w:rPr>
        <w:t xml:space="preserve">alega que los peticionarios no agotaron los recursos judiciales de la </w:t>
      </w:r>
      <w:r w:rsidR="0011382F" w:rsidRPr="003673A9">
        <w:rPr>
          <w:rFonts w:asciiTheme="majorHAnsi" w:hAnsiTheme="majorHAnsi"/>
          <w:sz w:val="20"/>
          <w:szCs w:val="20"/>
          <w:lang w:val="es-AR"/>
        </w:rPr>
        <w:t>jurisdicción</w:t>
      </w:r>
      <w:r w:rsidR="00866C05" w:rsidRPr="003673A9">
        <w:rPr>
          <w:rFonts w:asciiTheme="majorHAnsi" w:hAnsiTheme="majorHAnsi"/>
          <w:sz w:val="20"/>
          <w:szCs w:val="20"/>
          <w:lang w:val="es-ES_tradnl"/>
        </w:rPr>
        <w:t xml:space="preserve"> interna y que</w:t>
      </w:r>
      <w:r w:rsidR="00CA412B" w:rsidRPr="003673A9">
        <w:rPr>
          <w:rFonts w:asciiTheme="majorHAnsi" w:hAnsiTheme="majorHAnsi"/>
          <w:sz w:val="20"/>
          <w:szCs w:val="20"/>
          <w:lang w:val="es-ES_tradnl"/>
        </w:rPr>
        <w:t xml:space="preserve"> tampoco han cumplido con el requisito de exponer hechos que puedan configurar una posible violación de los derechos alegados,</w:t>
      </w:r>
      <w:r w:rsidR="00866C05" w:rsidRPr="003673A9">
        <w:rPr>
          <w:rFonts w:asciiTheme="majorHAnsi" w:hAnsiTheme="majorHAnsi"/>
          <w:sz w:val="20"/>
          <w:szCs w:val="20"/>
          <w:lang w:val="es-ES_tradnl"/>
        </w:rPr>
        <w:t xml:space="preserve"> </w:t>
      </w:r>
      <w:r w:rsidR="00CA412B" w:rsidRPr="003673A9">
        <w:rPr>
          <w:rFonts w:asciiTheme="majorHAnsi" w:hAnsiTheme="majorHAnsi"/>
          <w:sz w:val="20"/>
          <w:szCs w:val="20"/>
          <w:lang w:val="es-ES_tradnl"/>
        </w:rPr>
        <w:t xml:space="preserve">y que, en este sentido, los peticionarios pretenden que la CIDH actúe como un tribunal </w:t>
      </w:r>
      <w:r w:rsidR="00537605" w:rsidRPr="003673A9">
        <w:rPr>
          <w:rFonts w:asciiTheme="majorHAnsi" w:hAnsiTheme="majorHAnsi"/>
          <w:sz w:val="20"/>
          <w:szCs w:val="20"/>
          <w:lang w:val="es-ES_tradnl"/>
        </w:rPr>
        <w:t>“</w:t>
      </w:r>
      <w:r w:rsidR="00CA412B" w:rsidRPr="003673A9">
        <w:rPr>
          <w:rFonts w:asciiTheme="majorHAnsi" w:hAnsiTheme="majorHAnsi"/>
          <w:sz w:val="20"/>
          <w:szCs w:val="20"/>
          <w:lang w:val="es-ES_tradnl"/>
        </w:rPr>
        <w:t>de cuarta instancia</w:t>
      </w:r>
      <w:r w:rsidR="00537605" w:rsidRPr="003673A9">
        <w:rPr>
          <w:rFonts w:asciiTheme="majorHAnsi" w:hAnsiTheme="majorHAnsi"/>
          <w:sz w:val="20"/>
          <w:szCs w:val="20"/>
          <w:lang w:val="es-ES_tradnl"/>
        </w:rPr>
        <w:t>”</w:t>
      </w:r>
      <w:r w:rsidR="00CA412B" w:rsidRPr="003673A9">
        <w:rPr>
          <w:rFonts w:asciiTheme="majorHAnsi" w:hAnsiTheme="majorHAnsi"/>
          <w:sz w:val="20"/>
          <w:szCs w:val="20"/>
          <w:lang w:val="es-ES_tradnl"/>
        </w:rPr>
        <w:t>. Así</w:t>
      </w:r>
      <w:r w:rsidR="00537605" w:rsidRPr="003673A9">
        <w:rPr>
          <w:rFonts w:asciiTheme="majorHAnsi" w:hAnsiTheme="majorHAnsi"/>
          <w:sz w:val="20"/>
          <w:szCs w:val="20"/>
          <w:lang w:val="es-ES_tradnl"/>
        </w:rPr>
        <w:t>,</w:t>
      </w:r>
      <w:r w:rsidR="00CA412B" w:rsidRPr="003673A9">
        <w:rPr>
          <w:rFonts w:asciiTheme="majorHAnsi" w:hAnsiTheme="majorHAnsi"/>
          <w:sz w:val="20"/>
          <w:szCs w:val="20"/>
          <w:lang w:val="es-ES_tradnl"/>
        </w:rPr>
        <w:t xml:space="preserve"> </w:t>
      </w:r>
      <w:r w:rsidR="00866C05" w:rsidRPr="003673A9">
        <w:rPr>
          <w:rFonts w:asciiTheme="majorHAnsi" w:hAnsiTheme="majorHAnsi"/>
          <w:sz w:val="20"/>
          <w:szCs w:val="20"/>
          <w:lang w:val="es-ES_tradnl"/>
        </w:rPr>
        <w:t xml:space="preserve">el Estado </w:t>
      </w:r>
      <w:r w:rsidR="00CA412B" w:rsidRPr="003673A9">
        <w:rPr>
          <w:rFonts w:asciiTheme="majorHAnsi" w:hAnsiTheme="majorHAnsi"/>
          <w:sz w:val="20"/>
          <w:szCs w:val="20"/>
          <w:lang w:val="es-ES_tradnl"/>
        </w:rPr>
        <w:t xml:space="preserve">peruano alega que </w:t>
      </w:r>
      <w:r w:rsidR="00866C05" w:rsidRPr="003673A9">
        <w:rPr>
          <w:rFonts w:asciiTheme="majorHAnsi" w:hAnsiTheme="majorHAnsi"/>
          <w:sz w:val="20"/>
          <w:szCs w:val="20"/>
          <w:lang w:val="es-ES_tradnl"/>
        </w:rPr>
        <w:t>no violó los derechos humanos de la presunta v</w:t>
      </w:r>
      <w:r w:rsidR="00CA412B" w:rsidRPr="003673A9">
        <w:rPr>
          <w:rFonts w:asciiTheme="majorHAnsi" w:hAnsiTheme="majorHAnsi"/>
          <w:sz w:val="20"/>
          <w:szCs w:val="20"/>
          <w:lang w:val="es-ES_tradnl"/>
        </w:rPr>
        <w:t xml:space="preserve">íctima, y solicita a la CIDH disponga el archivo de la petición. </w:t>
      </w:r>
      <w:r w:rsidR="00866C05" w:rsidRPr="003673A9">
        <w:rPr>
          <w:rFonts w:asciiTheme="majorHAnsi" w:hAnsiTheme="majorHAnsi"/>
          <w:sz w:val="20"/>
          <w:szCs w:val="20"/>
          <w:lang w:val="es-ES_tradnl"/>
        </w:rPr>
        <w:t xml:space="preserve"> </w:t>
      </w:r>
    </w:p>
    <w:p w:rsidR="007D692F" w:rsidRPr="003673A9" w:rsidRDefault="007D692F" w:rsidP="003673A9">
      <w:pPr>
        <w:rPr>
          <w:rFonts w:asciiTheme="majorHAnsi" w:hAnsiTheme="majorHAnsi" w:cs="Arial"/>
          <w:iCs/>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Tras examinar el reclamo a la luz de los requisitos de admisibilidad previstos en los artículos 46 y 47 de la Convención, la Comisión concluyó que es competente para conocer los reclamos presentados sobre la presunta violación de los derechos consagrados en los artículos 5</w:t>
      </w:r>
      <w:r w:rsidR="006B657C" w:rsidRPr="003673A9">
        <w:rPr>
          <w:rFonts w:asciiTheme="majorHAnsi" w:hAnsiTheme="majorHAnsi"/>
          <w:sz w:val="20"/>
          <w:szCs w:val="20"/>
          <w:lang w:val="es-AR"/>
        </w:rPr>
        <w:t xml:space="preserve"> (derecho a la integridad personal)</w:t>
      </w:r>
      <w:r w:rsidRPr="003673A9">
        <w:rPr>
          <w:rFonts w:asciiTheme="majorHAnsi" w:hAnsiTheme="majorHAnsi"/>
          <w:sz w:val="20"/>
          <w:szCs w:val="20"/>
          <w:lang w:val="es-AR"/>
        </w:rPr>
        <w:t>, 7</w:t>
      </w:r>
      <w:r w:rsidR="006B657C" w:rsidRPr="003673A9">
        <w:rPr>
          <w:rFonts w:asciiTheme="majorHAnsi" w:hAnsiTheme="majorHAnsi"/>
          <w:sz w:val="20"/>
          <w:szCs w:val="20"/>
          <w:lang w:val="es-AR"/>
        </w:rPr>
        <w:t xml:space="preserve"> (derecho a la libertad personal)</w:t>
      </w:r>
      <w:r w:rsidRPr="003673A9">
        <w:rPr>
          <w:rFonts w:asciiTheme="majorHAnsi" w:hAnsiTheme="majorHAnsi"/>
          <w:sz w:val="20"/>
          <w:szCs w:val="20"/>
          <w:lang w:val="es-AR"/>
        </w:rPr>
        <w:t>, 8</w:t>
      </w:r>
      <w:r w:rsidR="006B657C" w:rsidRPr="003673A9">
        <w:rPr>
          <w:rFonts w:asciiTheme="majorHAnsi" w:hAnsiTheme="majorHAnsi"/>
          <w:sz w:val="20"/>
          <w:szCs w:val="20"/>
          <w:lang w:val="es-AR"/>
        </w:rPr>
        <w:t xml:space="preserve"> (garantías judiciales)</w:t>
      </w:r>
      <w:r w:rsidRPr="003673A9">
        <w:rPr>
          <w:rFonts w:asciiTheme="majorHAnsi" w:hAnsiTheme="majorHAnsi"/>
          <w:sz w:val="20"/>
          <w:szCs w:val="20"/>
          <w:lang w:val="es-AR"/>
        </w:rPr>
        <w:t>, 11</w:t>
      </w:r>
      <w:r w:rsidR="006B657C" w:rsidRPr="003673A9">
        <w:rPr>
          <w:rFonts w:asciiTheme="majorHAnsi" w:hAnsiTheme="majorHAnsi"/>
          <w:sz w:val="20"/>
          <w:szCs w:val="20"/>
          <w:lang w:val="es-AR"/>
        </w:rPr>
        <w:t xml:space="preserve"> (</w:t>
      </w:r>
      <w:r w:rsidR="006B657C" w:rsidRPr="003673A9">
        <w:rPr>
          <w:rFonts w:asciiTheme="majorHAnsi" w:hAnsiTheme="majorHAnsi"/>
          <w:iCs/>
          <w:sz w:val="20"/>
          <w:szCs w:val="20"/>
          <w:lang w:val="es-AR"/>
        </w:rPr>
        <w:t>derecho al respeto a la honra y la dignidad)</w:t>
      </w:r>
      <w:r w:rsidRPr="003673A9">
        <w:rPr>
          <w:rFonts w:asciiTheme="majorHAnsi" w:hAnsiTheme="majorHAnsi"/>
          <w:sz w:val="20"/>
          <w:szCs w:val="20"/>
          <w:lang w:val="es-AR"/>
        </w:rPr>
        <w:t>, 24</w:t>
      </w:r>
      <w:r w:rsidR="006B657C" w:rsidRPr="003673A9">
        <w:rPr>
          <w:rFonts w:asciiTheme="majorHAnsi" w:hAnsiTheme="majorHAnsi"/>
          <w:sz w:val="20"/>
          <w:szCs w:val="20"/>
          <w:lang w:val="es-AR"/>
        </w:rPr>
        <w:t xml:space="preserve"> (derecho a la igualdad ante la ley)</w:t>
      </w:r>
      <w:r w:rsidRPr="003673A9">
        <w:rPr>
          <w:rFonts w:asciiTheme="majorHAnsi" w:hAnsiTheme="majorHAnsi"/>
          <w:sz w:val="20"/>
          <w:szCs w:val="20"/>
          <w:lang w:val="es-AR"/>
        </w:rPr>
        <w:t xml:space="preserve"> y 25</w:t>
      </w:r>
      <w:r w:rsidR="006B657C" w:rsidRPr="003673A9">
        <w:rPr>
          <w:rFonts w:asciiTheme="majorHAnsi" w:hAnsiTheme="majorHAnsi"/>
          <w:sz w:val="20"/>
          <w:szCs w:val="20"/>
          <w:lang w:val="es-AR"/>
        </w:rPr>
        <w:t xml:space="preserve"> (protección judicial)</w:t>
      </w:r>
      <w:r w:rsidRPr="003673A9">
        <w:rPr>
          <w:rFonts w:asciiTheme="majorHAnsi" w:hAnsiTheme="majorHAnsi"/>
          <w:sz w:val="20"/>
          <w:szCs w:val="20"/>
          <w:lang w:val="es-AR"/>
        </w:rPr>
        <w:t xml:space="preserve"> de la Convención Americana, en relación con </w:t>
      </w:r>
      <w:r w:rsidR="001659E1" w:rsidRPr="003673A9">
        <w:rPr>
          <w:rFonts w:asciiTheme="majorHAnsi" w:hAnsiTheme="majorHAnsi"/>
          <w:sz w:val="20"/>
          <w:szCs w:val="20"/>
          <w:lang w:val="es-AR"/>
        </w:rPr>
        <w:t>los</w:t>
      </w:r>
      <w:r w:rsidRPr="003673A9">
        <w:rPr>
          <w:rFonts w:asciiTheme="majorHAnsi" w:hAnsiTheme="majorHAnsi"/>
          <w:sz w:val="20"/>
          <w:szCs w:val="20"/>
          <w:lang w:val="es-AR"/>
        </w:rPr>
        <w:t xml:space="preserve"> artículo</w:t>
      </w:r>
      <w:r w:rsidR="001659E1" w:rsidRPr="003673A9">
        <w:rPr>
          <w:rFonts w:asciiTheme="majorHAnsi" w:hAnsiTheme="majorHAnsi"/>
          <w:sz w:val="20"/>
          <w:szCs w:val="20"/>
          <w:lang w:val="es-AR"/>
        </w:rPr>
        <w:t>s</w:t>
      </w:r>
      <w:r w:rsidRPr="003673A9">
        <w:rPr>
          <w:rFonts w:asciiTheme="majorHAnsi" w:hAnsiTheme="majorHAnsi"/>
          <w:sz w:val="20"/>
          <w:szCs w:val="20"/>
          <w:lang w:val="es-AR"/>
        </w:rPr>
        <w:t xml:space="preserve"> </w:t>
      </w:r>
      <w:r w:rsidR="003673A9">
        <w:rPr>
          <w:rFonts w:asciiTheme="majorHAnsi" w:hAnsiTheme="majorHAnsi"/>
          <w:iCs/>
          <w:sz w:val="20"/>
          <w:szCs w:val="20"/>
          <w:lang w:val="es-AR"/>
        </w:rPr>
        <w:t>1(</w:t>
      </w:r>
      <w:r w:rsidR="006B657C" w:rsidRPr="003673A9">
        <w:rPr>
          <w:rFonts w:asciiTheme="majorHAnsi" w:hAnsiTheme="majorHAnsi"/>
          <w:iCs/>
          <w:sz w:val="20"/>
          <w:szCs w:val="20"/>
          <w:lang w:val="es-AR"/>
        </w:rPr>
        <w:t>1</w:t>
      </w:r>
      <w:r w:rsidR="003673A9">
        <w:rPr>
          <w:rFonts w:asciiTheme="majorHAnsi" w:hAnsiTheme="majorHAnsi"/>
          <w:iCs/>
          <w:sz w:val="20"/>
          <w:szCs w:val="20"/>
          <w:lang w:val="es-AR"/>
        </w:rPr>
        <w:t>)</w:t>
      </w:r>
      <w:r w:rsidR="006B657C" w:rsidRPr="003673A9">
        <w:rPr>
          <w:rFonts w:asciiTheme="majorHAnsi" w:hAnsiTheme="majorHAnsi"/>
          <w:iCs/>
          <w:sz w:val="20"/>
          <w:szCs w:val="20"/>
          <w:lang w:val="es-AR"/>
        </w:rPr>
        <w:t xml:space="preserve"> (obligación de respeto y garantía) y 2 (obligación de adoptar disposiciones de derecho interno) </w:t>
      </w:r>
      <w:r w:rsidRPr="003673A9">
        <w:rPr>
          <w:rFonts w:asciiTheme="majorHAnsi" w:hAnsiTheme="majorHAnsi"/>
          <w:sz w:val="20"/>
          <w:szCs w:val="20"/>
          <w:lang w:val="es-AR"/>
        </w:rPr>
        <w:t>del mismo instr</w:t>
      </w:r>
      <w:r w:rsidR="006B657C" w:rsidRPr="003673A9">
        <w:rPr>
          <w:rFonts w:asciiTheme="majorHAnsi" w:hAnsiTheme="majorHAnsi"/>
          <w:sz w:val="20"/>
          <w:szCs w:val="20"/>
          <w:lang w:val="es-AR"/>
        </w:rPr>
        <w:t xml:space="preserve">umento, y </w:t>
      </w:r>
      <w:r w:rsidR="006B657C" w:rsidRPr="003673A9">
        <w:rPr>
          <w:rFonts w:asciiTheme="majorHAnsi" w:hAnsiTheme="majorHAnsi"/>
          <w:iCs/>
          <w:sz w:val="20"/>
          <w:szCs w:val="20"/>
          <w:lang w:val="es-AR"/>
        </w:rPr>
        <w:t xml:space="preserve">de las obligaciones </w:t>
      </w:r>
      <w:r w:rsidR="00FF7843">
        <w:rPr>
          <w:rFonts w:asciiTheme="majorHAnsi" w:hAnsiTheme="majorHAnsi"/>
          <w:iCs/>
          <w:sz w:val="20"/>
          <w:szCs w:val="20"/>
          <w:lang w:val="es-AR"/>
        </w:rPr>
        <w:t xml:space="preserve">de prevenir y sancionar la tortura </w:t>
      </w:r>
      <w:r w:rsidR="006B657C" w:rsidRPr="003673A9">
        <w:rPr>
          <w:rFonts w:asciiTheme="majorHAnsi" w:hAnsiTheme="majorHAnsi"/>
          <w:iCs/>
          <w:sz w:val="20"/>
          <w:szCs w:val="20"/>
          <w:lang w:val="es-AR"/>
        </w:rPr>
        <w:t xml:space="preserve">establecidas en los artículos 1, 6 </w:t>
      </w:r>
      <w:r w:rsidR="00FF7843">
        <w:rPr>
          <w:rFonts w:asciiTheme="majorHAnsi" w:hAnsiTheme="majorHAnsi"/>
          <w:iCs/>
          <w:sz w:val="20"/>
          <w:szCs w:val="20"/>
          <w:lang w:val="es-AR"/>
        </w:rPr>
        <w:t>y 8</w:t>
      </w:r>
      <w:r w:rsidR="006B657C" w:rsidRPr="003673A9">
        <w:rPr>
          <w:rFonts w:asciiTheme="majorHAnsi" w:hAnsiTheme="majorHAnsi"/>
          <w:iCs/>
          <w:sz w:val="20"/>
          <w:szCs w:val="20"/>
          <w:lang w:val="es-AR"/>
        </w:rPr>
        <w:t xml:space="preserve"> de la Convención Interamericana para Prevenir y Sancionar la Tortura</w:t>
      </w:r>
      <w:r w:rsidRPr="003673A9">
        <w:rPr>
          <w:rFonts w:asciiTheme="majorHAnsi" w:hAnsiTheme="majorHAnsi"/>
          <w:sz w:val="20"/>
          <w:szCs w:val="20"/>
          <w:lang w:val="es-AR"/>
        </w:rPr>
        <w:t xml:space="preserve">. Asimismo, la Comisión decidió notificar el presente Informe de Admisibilidad a las partes, hacerlo público e incluirlo en su Informe Anual a la Asamblea General de la </w:t>
      </w:r>
      <w:r w:rsidR="00F34A95">
        <w:rPr>
          <w:rFonts w:asciiTheme="majorHAnsi" w:hAnsiTheme="majorHAnsi"/>
          <w:sz w:val="20"/>
          <w:szCs w:val="20"/>
          <w:lang w:val="es-AR"/>
        </w:rPr>
        <w:t>Organización de los Estados Americanos</w:t>
      </w:r>
      <w:r w:rsidR="001B6D64">
        <w:rPr>
          <w:rFonts w:asciiTheme="majorHAnsi" w:hAnsiTheme="majorHAnsi"/>
          <w:sz w:val="20"/>
          <w:szCs w:val="20"/>
          <w:lang w:val="es-AR"/>
        </w:rPr>
        <w:t xml:space="preserve"> (OEA)</w:t>
      </w:r>
      <w:r w:rsidRPr="003673A9">
        <w:rPr>
          <w:rFonts w:asciiTheme="majorHAnsi" w:hAnsiTheme="majorHAnsi"/>
          <w:sz w:val="20"/>
          <w:szCs w:val="20"/>
          <w:lang w:val="es-AR"/>
        </w:rPr>
        <w:t xml:space="preserve">. </w:t>
      </w:r>
    </w:p>
    <w:p w:rsidR="003673A9" w:rsidRDefault="003673A9" w:rsidP="003673A9">
      <w:pPr>
        <w:pStyle w:val="Heading1"/>
        <w:rPr>
          <w:lang w:val="es-AR"/>
        </w:rPr>
      </w:pPr>
    </w:p>
    <w:p w:rsidR="007D692F" w:rsidRPr="00373C24" w:rsidRDefault="007D692F" w:rsidP="003673A9">
      <w:pPr>
        <w:pStyle w:val="Heading1"/>
        <w:rPr>
          <w:color w:val="auto"/>
          <w:lang w:val="es-AR"/>
        </w:rPr>
      </w:pPr>
      <w:r w:rsidRPr="00373C24">
        <w:rPr>
          <w:color w:val="auto"/>
          <w:lang w:val="es-AR"/>
        </w:rPr>
        <w:t>II.</w:t>
      </w:r>
      <w:r w:rsidRPr="00373C24">
        <w:rPr>
          <w:color w:val="auto"/>
          <w:lang w:val="es-AR"/>
        </w:rPr>
        <w:tab/>
        <w:t>TRÁMITE ANTE LA COMISIÓN</w:t>
      </w:r>
    </w:p>
    <w:p w:rsidR="007D692F" w:rsidRPr="003673A9" w:rsidRDefault="007D692F" w:rsidP="003673A9">
      <w:pPr>
        <w:rPr>
          <w:rFonts w:asciiTheme="majorHAnsi" w:hAnsiTheme="majorHAnsi" w:cs="Arial"/>
          <w:iCs/>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El  1</w:t>
      </w:r>
      <w:r w:rsidR="00EA2C02" w:rsidRPr="003673A9">
        <w:rPr>
          <w:rFonts w:asciiTheme="majorHAnsi" w:hAnsiTheme="majorHAnsi"/>
          <w:sz w:val="20"/>
          <w:szCs w:val="20"/>
          <w:lang w:val="es-AR"/>
        </w:rPr>
        <w:t>4</w:t>
      </w:r>
      <w:r w:rsidRPr="003673A9">
        <w:rPr>
          <w:rFonts w:asciiTheme="majorHAnsi" w:hAnsiTheme="majorHAnsi"/>
          <w:sz w:val="20"/>
          <w:szCs w:val="20"/>
          <w:lang w:val="es-AR"/>
        </w:rPr>
        <w:t xml:space="preserve"> de abril de 2009 la Comisión recibió la petición inicial</w:t>
      </w:r>
      <w:r w:rsidR="00EA2C02" w:rsidRPr="003673A9">
        <w:rPr>
          <w:rFonts w:asciiTheme="majorHAnsi" w:hAnsiTheme="majorHAnsi"/>
          <w:sz w:val="20"/>
          <w:szCs w:val="20"/>
          <w:lang w:val="es-AR"/>
        </w:rPr>
        <w:t xml:space="preserve"> vía correo electrónico</w:t>
      </w:r>
      <w:r w:rsidRPr="003673A9">
        <w:rPr>
          <w:rFonts w:asciiTheme="majorHAnsi" w:hAnsiTheme="majorHAnsi"/>
          <w:sz w:val="20"/>
          <w:szCs w:val="20"/>
          <w:lang w:val="es-AR"/>
        </w:rPr>
        <w:t>, la cual fue registrada bajo el número P</w:t>
      </w:r>
      <w:r w:rsidR="00537605" w:rsidRPr="003673A9">
        <w:rPr>
          <w:rFonts w:asciiTheme="majorHAnsi" w:hAnsiTheme="majorHAnsi"/>
          <w:sz w:val="20"/>
          <w:szCs w:val="20"/>
          <w:lang w:val="es-AR"/>
        </w:rPr>
        <w:t>-</w:t>
      </w:r>
      <w:r w:rsidRPr="003673A9">
        <w:rPr>
          <w:rFonts w:asciiTheme="majorHAnsi" w:hAnsiTheme="majorHAnsi"/>
          <w:sz w:val="20"/>
          <w:szCs w:val="20"/>
          <w:lang w:val="es-AR"/>
        </w:rPr>
        <w:t>446-09.</w:t>
      </w:r>
      <w:r w:rsidR="00EA2C02" w:rsidRPr="003673A9">
        <w:rPr>
          <w:rFonts w:asciiTheme="majorHAnsi" w:hAnsiTheme="majorHAnsi"/>
          <w:sz w:val="20"/>
          <w:szCs w:val="20"/>
          <w:lang w:val="es-AR"/>
        </w:rPr>
        <w:t xml:space="preserve"> El 22 de abril de 2009, la Comisión recibió el original de la petición con sus anexos.</w:t>
      </w:r>
      <w:r w:rsidRPr="003673A9">
        <w:rPr>
          <w:rFonts w:asciiTheme="majorHAnsi" w:hAnsiTheme="majorHAnsi"/>
          <w:sz w:val="20"/>
          <w:szCs w:val="20"/>
          <w:lang w:val="es-AR"/>
        </w:rPr>
        <w:t xml:space="preserve">  El 4 de junio de 2010, el 2</w:t>
      </w:r>
      <w:r w:rsidR="00EA2C02" w:rsidRPr="003673A9">
        <w:rPr>
          <w:rFonts w:asciiTheme="majorHAnsi" w:hAnsiTheme="majorHAnsi"/>
          <w:sz w:val="20"/>
          <w:szCs w:val="20"/>
          <w:lang w:val="es-AR"/>
        </w:rPr>
        <w:t>5</w:t>
      </w:r>
      <w:r w:rsidRPr="003673A9">
        <w:rPr>
          <w:rFonts w:asciiTheme="majorHAnsi" w:hAnsiTheme="majorHAnsi"/>
          <w:sz w:val="20"/>
          <w:szCs w:val="20"/>
          <w:lang w:val="es-AR"/>
        </w:rPr>
        <w:t xml:space="preserve"> de octubre de</w:t>
      </w:r>
      <w:r w:rsidR="00054A5F" w:rsidRPr="003673A9">
        <w:rPr>
          <w:rFonts w:asciiTheme="majorHAnsi" w:hAnsiTheme="majorHAnsi"/>
          <w:sz w:val="20"/>
          <w:szCs w:val="20"/>
          <w:lang w:val="es-AR"/>
        </w:rPr>
        <w:t xml:space="preserve"> 2011, el 30 de enero de 2012, </w:t>
      </w:r>
      <w:r w:rsidRPr="003673A9">
        <w:rPr>
          <w:rFonts w:asciiTheme="majorHAnsi" w:hAnsiTheme="majorHAnsi"/>
          <w:sz w:val="20"/>
          <w:szCs w:val="20"/>
          <w:lang w:val="es-AR"/>
        </w:rPr>
        <w:t>el 7 de febrero de 2013</w:t>
      </w:r>
      <w:r w:rsidR="00F34A95">
        <w:rPr>
          <w:rFonts w:asciiTheme="majorHAnsi" w:hAnsiTheme="majorHAnsi"/>
          <w:sz w:val="20"/>
          <w:szCs w:val="20"/>
          <w:lang w:val="es-AR"/>
        </w:rPr>
        <w:t xml:space="preserve"> y </w:t>
      </w:r>
      <w:r w:rsidR="00054A5F" w:rsidRPr="003673A9">
        <w:rPr>
          <w:rFonts w:asciiTheme="majorHAnsi" w:hAnsiTheme="majorHAnsi"/>
          <w:sz w:val="20"/>
          <w:szCs w:val="20"/>
          <w:lang w:val="es-AR"/>
        </w:rPr>
        <w:t>el 1 de marzo de 2013,</w:t>
      </w:r>
      <w:r w:rsidRPr="003673A9">
        <w:rPr>
          <w:rFonts w:asciiTheme="majorHAnsi" w:hAnsiTheme="majorHAnsi"/>
          <w:sz w:val="20"/>
          <w:szCs w:val="20"/>
          <w:lang w:val="es-AR"/>
        </w:rPr>
        <w:t xml:space="preserve"> los peticionarios presentaron información adicional, la cual fue debidamente incorporada al expediente.  </w:t>
      </w:r>
    </w:p>
    <w:p w:rsidR="007D692F" w:rsidRPr="003673A9" w:rsidRDefault="007D692F" w:rsidP="003673A9">
      <w:pPr>
        <w:rPr>
          <w:rFonts w:asciiTheme="majorHAnsi" w:hAnsiTheme="majorHAnsi"/>
          <w:sz w:val="20"/>
          <w:szCs w:val="20"/>
          <w:lang w:val="es-AR"/>
        </w:rPr>
      </w:pPr>
    </w:p>
    <w:p w:rsidR="00DC7057"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lastRenderedPageBreak/>
        <w:t>El 5 de junio de 2013, tras completar el estudio preliminar de la petición, la Comisión procedió a transmitir las partes pertinentes de la petición al Estado peruano, con un plazo de dos meses para presentar sus observac</w:t>
      </w:r>
      <w:r w:rsidR="00054A5F" w:rsidRPr="003673A9">
        <w:rPr>
          <w:rFonts w:asciiTheme="majorHAnsi" w:hAnsiTheme="majorHAnsi"/>
          <w:sz w:val="20"/>
          <w:szCs w:val="20"/>
          <w:lang w:val="es-AR"/>
        </w:rPr>
        <w:t>iones, conforme al artículo 30(3</w:t>
      </w:r>
      <w:r w:rsidRPr="003673A9">
        <w:rPr>
          <w:rFonts w:asciiTheme="majorHAnsi" w:hAnsiTheme="majorHAnsi"/>
          <w:sz w:val="20"/>
          <w:szCs w:val="20"/>
          <w:lang w:val="es-AR"/>
        </w:rPr>
        <w:t>) del Reglamento de la Comisión entonces vigente.  Con fecha 12 de agosto de 2013</w:t>
      </w:r>
      <w:r w:rsidR="00942A0A" w:rsidRPr="003673A9">
        <w:rPr>
          <w:rFonts w:asciiTheme="majorHAnsi" w:hAnsiTheme="majorHAnsi"/>
          <w:sz w:val="20"/>
          <w:szCs w:val="20"/>
          <w:lang w:val="es-AR"/>
        </w:rPr>
        <w:t>,</w:t>
      </w:r>
      <w:r w:rsidRPr="003673A9">
        <w:rPr>
          <w:rFonts w:asciiTheme="majorHAnsi" w:hAnsiTheme="majorHAnsi"/>
          <w:sz w:val="20"/>
          <w:szCs w:val="20"/>
          <w:lang w:val="es-AR"/>
        </w:rPr>
        <w:t xml:space="preserve"> el Estado solicitó</w:t>
      </w:r>
      <w:r w:rsidR="006B657C" w:rsidRPr="003673A9">
        <w:rPr>
          <w:rFonts w:asciiTheme="majorHAnsi" w:hAnsiTheme="majorHAnsi"/>
          <w:sz w:val="20"/>
          <w:szCs w:val="20"/>
          <w:lang w:val="es-AR"/>
        </w:rPr>
        <w:t xml:space="preserve"> una prórroga, la cual fue concedida </w:t>
      </w:r>
      <w:r w:rsidRPr="003673A9">
        <w:rPr>
          <w:rFonts w:asciiTheme="majorHAnsi" w:hAnsiTheme="majorHAnsi"/>
          <w:sz w:val="20"/>
          <w:szCs w:val="20"/>
          <w:lang w:val="es-AR"/>
        </w:rPr>
        <w:t xml:space="preserve">hasta el 10 de octubre de 2013, de conformidad con lo dispuesto en el artículo 30(3) del Reglamento de la Comisión. </w:t>
      </w:r>
      <w:r w:rsidR="00FB6CB5" w:rsidRPr="003673A9">
        <w:rPr>
          <w:rFonts w:asciiTheme="majorHAnsi" w:hAnsiTheme="majorHAnsi"/>
          <w:sz w:val="20"/>
          <w:szCs w:val="20"/>
          <w:lang w:val="es-AR"/>
        </w:rPr>
        <w:t xml:space="preserve">El 10 de octubre de 2013, el Estado solicitó una segunda prórroga, la cual fue rechazada por la CIDH con base en el artículo 30(3) de su Reglamento, mediante comunicación del </w:t>
      </w:r>
      <w:r w:rsidR="00960232" w:rsidRPr="003673A9">
        <w:rPr>
          <w:rFonts w:asciiTheme="majorHAnsi" w:hAnsiTheme="majorHAnsi"/>
          <w:sz w:val="20"/>
          <w:szCs w:val="20"/>
          <w:lang w:val="es-AR"/>
        </w:rPr>
        <w:t>13</w:t>
      </w:r>
      <w:r w:rsidR="00FB6CB5" w:rsidRPr="003673A9">
        <w:rPr>
          <w:rFonts w:asciiTheme="majorHAnsi" w:hAnsiTheme="majorHAnsi"/>
          <w:sz w:val="20"/>
          <w:szCs w:val="20"/>
          <w:lang w:val="es-AR"/>
        </w:rPr>
        <w:t xml:space="preserve"> de </w:t>
      </w:r>
      <w:r w:rsidR="00960232" w:rsidRPr="003673A9">
        <w:rPr>
          <w:rFonts w:asciiTheme="majorHAnsi" w:hAnsiTheme="majorHAnsi"/>
          <w:sz w:val="20"/>
          <w:szCs w:val="20"/>
          <w:lang w:val="es-AR"/>
        </w:rPr>
        <w:t>noviembre</w:t>
      </w:r>
      <w:r w:rsidR="00FB6CB5" w:rsidRPr="003673A9">
        <w:rPr>
          <w:rFonts w:asciiTheme="majorHAnsi" w:hAnsiTheme="majorHAnsi"/>
          <w:sz w:val="20"/>
          <w:szCs w:val="20"/>
          <w:lang w:val="es-AR"/>
        </w:rPr>
        <w:t xml:space="preserve"> de 2013.  </w:t>
      </w:r>
      <w:r w:rsidR="00DC7057" w:rsidRPr="003673A9">
        <w:rPr>
          <w:rFonts w:asciiTheme="majorHAnsi" w:hAnsiTheme="majorHAnsi"/>
          <w:sz w:val="20"/>
          <w:szCs w:val="20"/>
          <w:lang w:val="es-AR"/>
        </w:rPr>
        <w:t>El 4 de noviembre de 2013</w:t>
      </w:r>
      <w:r w:rsidR="00F70BEA" w:rsidRPr="003673A9">
        <w:rPr>
          <w:rFonts w:asciiTheme="majorHAnsi" w:hAnsiTheme="majorHAnsi"/>
          <w:sz w:val="20"/>
          <w:szCs w:val="20"/>
          <w:lang w:val="es-AR"/>
        </w:rPr>
        <w:t xml:space="preserve"> y 29 de enero de 2014</w:t>
      </w:r>
      <w:r w:rsidR="00DC7057" w:rsidRPr="003673A9">
        <w:rPr>
          <w:rFonts w:asciiTheme="majorHAnsi" w:hAnsiTheme="majorHAnsi"/>
          <w:sz w:val="20"/>
          <w:szCs w:val="20"/>
          <w:lang w:val="es-AR"/>
        </w:rPr>
        <w:t>, los peticionarios solicita</w:t>
      </w:r>
      <w:r w:rsidR="00942A0A" w:rsidRPr="003673A9">
        <w:rPr>
          <w:rFonts w:asciiTheme="majorHAnsi" w:hAnsiTheme="majorHAnsi"/>
          <w:sz w:val="20"/>
          <w:szCs w:val="20"/>
          <w:lang w:val="es-AR"/>
        </w:rPr>
        <w:t>ro</w:t>
      </w:r>
      <w:r w:rsidR="00DC7057" w:rsidRPr="003673A9">
        <w:rPr>
          <w:rFonts w:asciiTheme="majorHAnsi" w:hAnsiTheme="majorHAnsi"/>
          <w:sz w:val="20"/>
          <w:szCs w:val="20"/>
          <w:lang w:val="es-AR"/>
        </w:rPr>
        <w:t xml:space="preserve">n a la CIDH un pronunciamiento sobre la admisibilidad. </w:t>
      </w:r>
    </w:p>
    <w:p w:rsidR="00DC7057" w:rsidRPr="003673A9" w:rsidRDefault="00DC7057" w:rsidP="003673A9">
      <w:pPr>
        <w:pStyle w:val="ListParagraph"/>
        <w:rPr>
          <w:rFonts w:asciiTheme="majorHAnsi" w:hAnsiTheme="majorHAnsi"/>
          <w:sz w:val="20"/>
          <w:szCs w:val="20"/>
          <w:lang w:val="es-AR"/>
        </w:rPr>
      </w:pPr>
    </w:p>
    <w:p w:rsidR="007D692F" w:rsidRPr="003673A9" w:rsidRDefault="00794B70"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E</w:t>
      </w:r>
      <w:r w:rsidR="007D692F" w:rsidRPr="003673A9">
        <w:rPr>
          <w:rFonts w:asciiTheme="majorHAnsi" w:hAnsiTheme="majorHAnsi"/>
          <w:sz w:val="20"/>
          <w:szCs w:val="20"/>
          <w:lang w:val="es-AR"/>
        </w:rPr>
        <w:t xml:space="preserve">l Estado presentó </w:t>
      </w:r>
      <w:r w:rsidR="00AA6C1C" w:rsidRPr="003673A9">
        <w:rPr>
          <w:rFonts w:asciiTheme="majorHAnsi" w:hAnsiTheme="majorHAnsi"/>
          <w:sz w:val="20"/>
          <w:szCs w:val="20"/>
          <w:lang w:val="es-AR"/>
        </w:rPr>
        <w:t>su respuesta</w:t>
      </w:r>
      <w:r w:rsidRPr="003673A9">
        <w:rPr>
          <w:rFonts w:asciiTheme="majorHAnsi" w:hAnsiTheme="majorHAnsi"/>
          <w:sz w:val="20"/>
          <w:szCs w:val="20"/>
          <w:lang w:val="es-AR"/>
        </w:rPr>
        <w:t xml:space="preserve"> </w:t>
      </w:r>
      <w:r w:rsidR="00AA6C1C" w:rsidRPr="003673A9">
        <w:rPr>
          <w:rFonts w:asciiTheme="majorHAnsi" w:hAnsiTheme="majorHAnsi"/>
          <w:sz w:val="20"/>
          <w:szCs w:val="20"/>
          <w:lang w:val="es-AR"/>
        </w:rPr>
        <w:t xml:space="preserve">el 24 de marzo de 2014, la cual fue enviada a los peticionarios el 15 de abril de 2014, solicitándole sus observaciones con el plazo de un mes. El 13 de mayo de 2014 se recibió una comunicación </w:t>
      </w:r>
      <w:r w:rsidR="00A60DCC" w:rsidRPr="003673A9">
        <w:rPr>
          <w:rFonts w:asciiTheme="majorHAnsi" w:hAnsiTheme="majorHAnsi"/>
          <w:sz w:val="20"/>
          <w:szCs w:val="20"/>
          <w:lang w:val="es-AR"/>
        </w:rPr>
        <w:t>de los peticionarios en la cual solicitan una prórroga. El 26 de junio de 2014 la CIDH recibió las obse</w:t>
      </w:r>
      <w:r w:rsidR="00B9089F" w:rsidRPr="003673A9">
        <w:rPr>
          <w:rFonts w:asciiTheme="majorHAnsi" w:hAnsiTheme="majorHAnsi"/>
          <w:sz w:val="20"/>
          <w:szCs w:val="20"/>
          <w:lang w:val="es-AR"/>
        </w:rPr>
        <w:t xml:space="preserve">rvaciones de los peticionarios, las cuales fueron trasladadas al Estado el 25 de julio de 2014, otorgándosele plazo de un mes para que presentara sus observaciones. El 12 de septiembre de 2014 se recibieron observaciones adicionales del Estado, las cuales fueron trasladadas a los peticionarios para su conocimiento. </w:t>
      </w:r>
    </w:p>
    <w:p w:rsidR="003673A9" w:rsidRPr="00373C24" w:rsidRDefault="003673A9" w:rsidP="003673A9">
      <w:pPr>
        <w:pStyle w:val="Heading1"/>
        <w:rPr>
          <w:color w:val="auto"/>
          <w:lang w:val="es-AR"/>
        </w:rPr>
      </w:pPr>
    </w:p>
    <w:p w:rsidR="007D692F" w:rsidRPr="00373C24" w:rsidRDefault="007D692F" w:rsidP="003673A9">
      <w:pPr>
        <w:pStyle w:val="Heading1"/>
        <w:rPr>
          <w:color w:val="auto"/>
          <w:lang w:val="es-AR"/>
        </w:rPr>
      </w:pPr>
      <w:r w:rsidRPr="00373C24">
        <w:rPr>
          <w:color w:val="auto"/>
          <w:lang w:val="es-AR"/>
        </w:rPr>
        <w:t>III.</w:t>
      </w:r>
      <w:r w:rsidRPr="00373C24">
        <w:rPr>
          <w:color w:val="auto"/>
          <w:lang w:val="es-AR"/>
        </w:rPr>
        <w:tab/>
        <w:t>POSICIÓN DE LAS PARTES</w:t>
      </w:r>
    </w:p>
    <w:p w:rsidR="007D692F" w:rsidRPr="00373C24" w:rsidRDefault="007D692F" w:rsidP="003673A9">
      <w:pPr>
        <w:rPr>
          <w:rFonts w:asciiTheme="majorHAnsi" w:hAnsiTheme="majorHAnsi" w:cs="Arial"/>
          <w:iCs/>
          <w:sz w:val="20"/>
          <w:szCs w:val="20"/>
          <w:lang w:val="es-AR"/>
        </w:rPr>
      </w:pPr>
    </w:p>
    <w:p w:rsidR="007D692F" w:rsidRPr="00373C24" w:rsidRDefault="007D692F" w:rsidP="003673A9">
      <w:pPr>
        <w:pStyle w:val="Heading1"/>
        <w:numPr>
          <w:ilvl w:val="0"/>
          <w:numId w:val="110"/>
        </w:numPr>
        <w:rPr>
          <w:color w:val="auto"/>
        </w:rPr>
      </w:pPr>
      <w:proofErr w:type="spellStart"/>
      <w:r w:rsidRPr="00373C24">
        <w:rPr>
          <w:color w:val="auto"/>
        </w:rPr>
        <w:t>Posición</w:t>
      </w:r>
      <w:proofErr w:type="spellEnd"/>
      <w:r w:rsidRPr="00373C24">
        <w:rPr>
          <w:color w:val="auto"/>
        </w:rPr>
        <w:t xml:space="preserve"> de los </w:t>
      </w:r>
      <w:proofErr w:type="spellStart"/>
      <w:r w:rsidRPr="00373C24">
        <w:rPr>
          <w:color w:val="auto"/>
        </w:rPr>
        <w:t>peticionarios</w:t>
      </w:r>
      <w:proofErr w:type="spellEnd"/>
    </w:p>
    <w:p w:rsidR="00916FBA" w:rsidRPr="003673A9" w:rsidRDefault="00916FBA" w:rsidP="003673A9">
      <w:pPr>
        <w:rPr>
          <w:rFonts w:asciiTheme="majorHAnsi" w:hAnsiTheme="majorHAnsi"/>
          <w:sz w:val="20"/>
          <w:szCs w:val="20"/>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Los peticionarios alegan que Luis Alberto Rojas Marín es un joven </w:t>
      </w:r>
      <w:r w:rsidR="00942A0A" w:rsidRPr="003673A9">
        <w:rPr>
          <w:rFonts w:asciiTheme="majorHAnsi" w:hAnsiTheme="majorHAnsi"/>
          <w:sz w:val="20"/>
          <w:szCs w:val="20"/>
          <w:lang w:val="es-ES"/>
        </w:rPr>
        <w:t xml:space="preserve">gay </w:t>
      </w:r>
      <w:r w:rsidRPr="003673A9">
        <w:rPr>
          <w:rFonts w:asciiTheme="majorHAnsi" w:hAnsiTheme="majorHAnsi"/>
          <w:sz w:val="20"/>
          <w:szCs w:val="20"/>
          <w:lang w:val="es-ES"/>
        </w:rPr>
        <w:t xml:space="preserve">de escasos recursos económicos, oriundo de la Provincia de </w:t>
      </w:r>
      <w:proofErr w:type="spellStart"/>
      <w:r w:rsidRPr="003673A9">
        <w:rPr>
          <w:rFonts w:asciiTheme="majorHAnsi" w:hAnsiTheme="majorHAnsi"/>
          <w:sz w:val="20"/>
          <w:szCs w:val="20"/>
          <w:lang w:val="es-ES"/>
        </w:rPr>
        <w:t>Ascope</w:t>
      </w:r>
      <w:proofErr w:type="spellEnd"/>
      <w:r w:rsidRPr="003673A9">
        <w:rPr>
          <w:rFonts w:asciiTheme="majorHAnsi" w:hAnsiTheme="majorHAnsi"/>
          <w:sz w:val="20"/>
          <w:szCs w:val="20"/>
          <w:lang w:val="es-ES"/>
        </w:rPr>
        <w:t xml:space="preserve">, Departamento de </w:t>
      </w:r>
      <w:r w:rsidR="000730B7" w:rsidRPr="003673A9">
        <w:rPr>
          <w:rFonts w:asciiTheme="majorHAnsi" w:hAnsiTheme="majorHAnsi"/>
          <w:sz w:val="20"/>
          <w:szCs w:val="20"/>
          <w:lang w:val="es-ES"/>
        </w:rPr>
        <w:t xml:space="preserve">la </w:t>
      </w:r>
      <w:r w:rsidRPr="003673A9">
        <w:rPr>
          <w:rFonts w:asciiTheme="majorHAnsi" w:hAnsiTheme="majorHAnsi"/>
          <w:sz w:val="20"/>
          <w:szCs w:val="20"/>
          <w:lang w:val="es-ES"/>
        </w:rPr>
        <w:t>Libertad, que al momento de los hechos tenía 26 años de edad.</w:t>
      </w:r>
      <w:r w:rsidR="00511501" w:rsidRPr="003673A9">
        <w:rPr>
          <w:rFonts w:asciiTheme="majorHAnsi" w:hAnsiTheme="majorHAnsi"/>
          <w:sz w:val="20"/>
          <w:szCs w:val="20"/>
          <w:lang w:val="es-ES"/>
        </w:rPr>
        <w:t xml:space="preserve"> </w:t>
      </w:r>
    </w:p>
    <w:p w:rsidR="007D692F" w:rsidRPr="003673A9" w:rsidRDefault="007D692F" w:rsidP="003673A9">
      <w:pPr>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Alegan que el 25 de febrero de 2008, </w:t>
      </w:r>
      <w:r w:rsidR="00214A79" w:rsidRPr="003673A9">
        <w:rPr>
          <w:rFonts w:asciiTheme="majorHAnsi" w:hAnsiTheme="majorHAnsi"/>
          <w:sz w:val="20"/>
          <w:szCs w:val="20"/>
          <w:lang w:val="es-ES"/>
        </w:rPr>
        <w:t xml:space="preserve">siendo aproximadamente las 12:30 </w:t>
      </w:r>
      <w:r w:rsidR="00FB3C42">
        <w:rPr>
          <w:rFonts w:asciiTheme="majorHAnsi" w:hAnsiTheme="majorHAnsi"/>
          <w:sz w:val="20"/>
          <w:szCs w:val="20"/>
          <w:lang w:val="es-ES"/>
        </w:rPr>
        <w:t>a.m.</w:t>
      </w:r>
      <w:r w:rsidRPr="003673A9">
        <w:rPr>
          <w:rFonts w:asciiTheme="majorHAnsi" w:hAnsiTheme="majorHAnsi"/>
          <w:sz w:val="20"/>
          <w:szCs w:val="20"/>
          <w:lang w:val="es-ES"/>
        </w:rPr>
        <w:t xml:space="preserve">, Luis Alberto Rojas Marín </w:t>
      </w:r>
      <w:r w:rsidR="000730B7" w:rsidRPr="003673A9">
        <w:rPr>
          <w:rFonts w:asciiTheme="majorHAnsi" w:hAnsiTheme="majorHAnsi"/>
          <w:sz w:val="20"/>
          <w:szCs w:val="20"/>
          <w:lang w:val="es-ES"/>
        </w:rPr>
        <w:t xml:space="preserve">se dirigía a su domicilio, cuando </w:t>
      </w:r>
      <w:r w:rsidR="00942A0A"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 xml:space="preserve">detenido por personal de </w:t>
      </w:r>
      <w:proofErr w:type="spellStart"/>
      <w:r w:rsidRPr="003673A9">
        <w:rPr>
          <w:rFonts w:asciiTheme="majorHAnsi" w:hAnsiTheme="majorHAnsi"/>
          <w:sz w:val="20"/>
          <w:szCs w:val="20"/>
          <w:lang w:val="es-ES"/>
        </w:rPr>
        <w:t>serenazgo</w:t>
      </w:r>
      <w:proofErr w:type="spellEnd"/>
      <w:r w:rsidRPr="003673A9">
        <w:rPr>
          <w:rFonts w:asciiTheme="majorHAnsi" w:hAnsiTheme="majorHAnsi"/>
          <w:sz w:val="20"/>
          <w:szCs w:val="20"/>
          <w:lang w:val="es-ES"/>
        </w:rPr>
        <w:t xml:space="preserve"> (fuerza de seguridad de</w:t>
      </w:r>
      <w:r w:rsidR="000730B7" w:rsidRPr="003673A9">
        <w:rPr>
          <w:rFonts w:asciiTheme="majorHAnsi" w:hAnsiTheme="majorHAnsi"/>
          <w:sz w:val="20"/>
          <w:szCs w:val="20"/>
          <w:lang w:val="es-ES"/>
        </w:rPr>
        <w:t>l</w:t>
      </w:r>
      <w:r w:rsidRPr="003673A9">
        <w:rPr>
          <w:rFonts w:asciiTheme="majorHAnsi" w:hAnsiTheme="majorHAnsi"/>
          <w:sz w:val="20"/>
          <w:szCs w:val="20"/>
          <w:lang w:val="es-ES"/>
        </w:rPr>
        <w:t xml:space="preserve"> </w:t>
      </w:r>
      <w:r w:rsidR="000730B7" w:rsidRPr="003673A9">
        <w:rPr>
          <w:rFonts w:asciiTheme="majorHAnsi" w:hAnsiTheme="majorHAnsi"/>
          <w:sz w:val="20"/>
          <w:szCs w:val="20"/>
          <w:lang w:val="es-ES"/>
        </w:rPr>
        <w:t>gobierno local</w:t>
      </w:r>
      <w:r w:rsidRPr="003673A9">
        <w:rPr>
          <w:rFonts w:asciiTheme="majorHAnsi" w:hAnsiTheme="majorHAnsi"/>
          <w:sz w:val="20"/>
          <w:szCs w:val="20"/>
          <w:lang w:val="es-ES"/>
        </w:rPr>
        <w:t xml:space="preserve">) y por un agente de policía por encontrarse en “actitud sospechosa”. </w:t>
      </w:r>
      <w:r w:rsidR="000730B7" w:rsidRPr="003673A9">
        <w:rPr>
          <w:rFonts w:asciiTheme="majorHAnsi" w:hAnsiTheme="majorHAnsi"/>
          <w:sz w:val="20"/>
          <w:szCs w:val="20"/>
          <w:lang w:val="es-ES"/>
        </w:rPr>
        <w:t>Se sostiene que a</w:t>
      </w:r>
      <w:r w:rsidRPr="003673A9">
        <w:rPr>
          <w:rFonts w:asciiTheme="majorHAnsi" w:hAnsiTheme="majorHAnsi"/>
          <w:sz w:val="20"/>
          <w:szCs w:val="20"/>
          <w:lang w:val="es-ES"/>
        </w:rPr>
        <w:t xml:space="preserve"> efectos de su plena identificación </w:t>
      </w:r>
      <w:r w:rsidR="00942A0A" w:rsidRPr="003673A9">
        <w:rPr>
          <w:rFonts w:asciiTheme="majorHAnsi" w:hAnsiTheme="majorHAnsi"/>
          <w:sz w:val="20"/>
          <w:szCs w:val="20"/>
          <w:lang w:val="es-ES"/>
        </w:rPr>
        <w:t>—</w:t>
      </w:r>
      <w:r w:rsidRPr="003673A9">
        <w:rPr>
          <w:rFonts w:asciiTheme="majorHAnsi" w:hAnsiTheme="majorHAnsi"/>
          <w:sz w:val="20"/>
          <w:szCs w:val="20"/>
          <w:lang w:val="es-ES"/>
        </w:rPr>
        <w:t xml:space="preserve">no portaba documentos de identidad— fue conducido a la Delegación Policial del Distrito de Casagrande, Provincia de Trujillo, Departamento de la Libertad, donde fue privado de </w:t>
      </w:r>
      <w:r w:rsidR="00942A0A" w:rsidRPr="003673A9">
        <w:rPr>
          <w:rFonts w:asciiTheme="majorHAnsi" w:hAnsiTheme="majorHAnsi"/>
          <w:sz w:val="20"/>
          <w:szCs w:val="20"/>
          <w:lang w:val="es-ES"/>
        </w:rPr>
        <w:t xml:space="preserve">su </w:t>
      </w:r>
      <w:r w:rsidRPr="003673A9">
        <w:rPr>
          <w:rFonts w:asciiTheme="majorHAnsi" w:hAnsiTheme="majorHAnsi"/>
          <w:sz w:val="20"/>
          <w:szCs w:val="20"/>
          <w:lang w:val="es-ES"/>
        </w:rPr>
        <w:t xml:space="preserve">libertad hasta su liberación a las </w:t>
      </w:r>
      <w:r w:rsidR="00942A0A" w:rsidRPr="003673A9">
        <w:rPr>
          <w:rFonts w:asciiTheme="majorHAnsi" w:hAnsiTheme="majorHAnsi"/>
          <w:sz w:val="20"/>
          <w:szCs w:val="20"/>
          <w:lang w:val="es-ES"/>
        </w:rPr>
        <w:t>6 de la mañana</w:t>
      </w:r>
      <w:r w:rsidRPr="003673A9">
        <w:rPr>
          <w:rFonts w:asciiTheme="majorHAnsi" w:hAnsiTheme="majorHAnsi"/>
          <w:sz w:val="20"/>
          <w:szCs w:val="20"/>
          <w:lang w:val="es-ES"/>
        </w:rPr>
        <w:t>.</w:t>
      </w:r>
    </w:p>
    <w:p w:rsidR="007D692F" w:rsidRPr="003673A9" w:rsidRDefault="007D692F" w:rsidP="003673A9">
      <w:pPr>
        <w:rPr>
          <w:rFonts w:asciiTheme="majorHAnsi" w:hAnsiTheme="majorHAnsi"/>
          <w:sz w:val="20"/>
          <w:szCs w:val="20"/>
          <w:lang w:val="es-ES"/>
        </w:rPr>
      </w:pPr>
    </w:p>
    <w:p w:rsidR="00795E9B"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Alegan que durante la detención, Luis Alberto Rojas Marín </w:t>
      </w:r>
      <w:r w:rsidR="00942A0A"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 xml:space="preserve">agredido física y verbalmente por </w:t>
      </w:r>
      <w:r w:rsidR="00B430B2" w:rsidRPr="003673A9">
        <w:rPr>
          <w:rFonts w:asciiTheme="majorHAnsi" w:hAnsiTheme="majorHAnsi"/>
          <w:sz w:val="20"/>
          <w:szCs w:val="20"/>
          <w:lang w:val="es-ES"/>
        </w:rPr>
        <w:t xml:space="preserve">tres </w:t>
      </w:r>
      <w:r w:rsidRPr="003673A9">
        <w:rPr>
          <w:rFonts w:asciiTheme="majorHAnsi" w:hAnsiTheme="majorHAnsi"/>
          <w:sz w:val="20"/>
          <w:szCs w:val="20"/>
          <w:lang w:val="es-ES"/>
        </w:rPr>
        <w:t xml:space="preserve">agentes de la </w:t>
      </w:r>
      <w:r w:rsidR="00F34A95">
        <w:rPr>
          <w:rFonts w:asciiTheme="majorHAnsi" w:hAnsiTheme="majorHAnsi"/>
          <w:sz w:val="20"/>
          <w:szCs w:val="20"/>
          <w:lang w:val="es-ES"/>
        </w:rPr>
        <w:t>p</w:t>
      </w:r>
      <w:r w:rsidRPr="003673A9">
        <w:rPr>
          <w:rFonts w:asciiTheme="majorHAnsi" w:hAnsiTheme="majorHAnsi"/>
          <w:sz w:val="20"/>
          <w:szCs w:val="20"/>
          <w:lang w:val="es-ES"/>
        </w:rPr>
        <w:t>olicía</w:t>
      </w:r>
      <w:r w:rsidR="00B430B2" w:rsidRPr="003673A9">
        <w:rPr>
          <w:rFonts w:asciiTheme="majorHAnsi" w:hAnsiTheme="majorHAnsi"/>
          <w:sz w:val="20"/>
          <w:szCs w:val="20"/>
          <w:lang w:val="es-ES"/>
        </w:rPr>
        <w:t xml:space="preserve">, a quienes </w:t>
      </w:r>
      <w:r w:rsidR="00942A0A" w:rsidRPr="003673A9">
        <w:rPr>
          <w:rFonts w:asciiTheme="majorHAnsi" w:hAnsiTheme="majorHAnsi"/>
          <w:sz w:val="20"/>
          <w:szCs w:val="20"/>
          <w:lang w:val="es-ES"/>
        </w:rPr>
        <w:t xml:space="preserve">podría </w:t>
      </w:r>
      <w:r w:rsidR="00B430B2" w:rsidRPr="003673A9">
        <w:rPr>
          <w:rFonts w:asciiTheme="majorHAnsi" w:hAnsiTheme="majorHAnsi"/>
          <w:sz w:val="20"/>
          <w:szCs w:val="20"/>
          <w:lang w:val="es-ES"/>
        </w:rPr>
        <w:t>identifica</w:t>
      </w:r>
      <w:r w:rsidR="00942A0A" w:rsidRPr="003673A9">
        <w:rPr>
          <w:rFonts w:asciiTheme="majorHAnsi" w:hAnsiTheme="majorHAnsi"/>
          <w:sz w:val="20"/>
          <w:szCs w:val="20"/>
          <w:lang w:val="es-ES"/>
        </w:rPr>
        <w:t>r</w:t>
      </w:r>
      <w:r w:rsidR="00B430B2" w:rsidRPr="003673A9">
        <w:rPr>
          <w:rFonts w:asciiTheme="majorHAnsi" w:hAnsiTheme="majorHAnsi"/>
          <w:sz w:val="20"/>
          <w:szCs w:val="20"/>
          <w:lang w:val="es-ES"/>
        </w:rPr>
        <w:t xml:space="preserve"> plenamente</w:t>
      </w:r>
      <w:r w:rsidRPr="003673A9">
        <w:rPr>
          <w:rFonts w:asciiTheme="majorHAnsi" w:hAnsiTheme="majorHAnsi"/>
          <w:sz w:val="20"/>
          <w:szCs w:val="20"/>
          <w:lang w:val="es-ES"/>
        </w:rPr>
        <w:t xml:space="preserve">; </w:t>
      </w:r>
      <w:r w:rsidR="00942A0A"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interrogado en forma soez e insultado con frases alusivas a su orientación sexual</w:t>
      </w:r>
      <w:r w:rsidR="00044DE0" w:rsidRPr="003673A9">
        <w:rPr>
          <w:rFonts w:asciiTheme="majorHAnsi" w:hAnsiTheme="majorHAnsi"/>
          <w:sz w:val="20"/>
          <w:szCs w:val="20"/>
          <w:lang w:val="es-ES"/>
        </w:rPr>
        <w:t xml:space="preserve"> (por ejemplo, </w:t>
      </w:r>
      <w:r w:rsidR="00214A79" w:rsidRPr="003673A9">
        <w:rPr>
          <w:rFonts w:asciiTheme="majorHAnsi" w:hAnsiTheme="majorHAnsi"/>
          <w:sz w:val="20"/>
          <w:szCs w:val="20"/>
          <w:lang w:val="es-ES"/>
        </w:rPr>
        <w:t xml:space="preserve">a decir de los peticionarios, </w:t>
      </w:r>
      <w:r w:rsidR="00521DA9" w:rsidRPr="003673A9">
        <w:rPr>
          <w:rFonts w:asciiTheme="majorHAnsi" w:hAnsiTheme="majorHAnsi"/>
          <w:sz w:val="20"/>
          <w:szCs w:val="20"/>
          <w:lang w:val="es-ES"/>
        </w:rPr>
        <w:t>“</w:t>
      </w:r>
      <w:r w:rsidR="00044DE0" w:rsidRPr="003673A9">
        <w:rPr>
          <w:rFonts w:asciiTheme="majorHAnsi" w:hAnsiTheme="majorHAnsi"/>
          <w:sz w:val="20"/>
          <w:szCs w:val="20"/>
          <w:lang w:val="es-ES"/>
        </w:rPr>
        <w:t>si le gustaba el órgano sexual masculino</w:t>
      </w:r>
      <w:r w:rsidR="00521DA9" w:rsidRPr="003673A9">
        <w:rPr>
          <w:rFonts w:asciiTheme="majorHAnsi" w:hAnsiTheme="majorHAnsi"/>
          <w:sz w:val="20"/>
          <w:szCs w:val="20"/>
          <w:lang w:val="es-ES"/>
        </w:rPr>
        <w:t>”</w:t>
      </w:r>
      <w:r w:rsidR="00044DE0" w:rsidRPr="003673A9">
        <w:rPr>
          <w:rFonts w:asciiTheme="majorHAnsi" w:hAnsiTheme="majorHAnsi"/>
          <w:sz w:val="20"/>
          <w:szCs w:val="20"/>
          <w:lang w:val="es-ES"/>
        </w:rPr>
        <w:t>)</w:t>
      </w:r>
      <w:r w:rsidRPr="003673A9">
        <w:rPr>
          <w:rFonts w:asciiTheme="majorHAnsi" w:hAnsiTheme="majorHAnsi"/>
          <w:sz w:val="20"/>
          <w:szCs w:val="20"/>
          <w:lang w:val="es-ES"/>
        </w:rPr>
        <w:t xml:space="preserve">; </w:t>
      </w:r>
      <w:r w:rsidR="00942A0A"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 xml:space="preserve">desnudado a la fuerza y mantenido en ese estado hasta su liberación; su cuerpo </w:t>
      </w:r>
      <w:r w:rsidR="00942A0A"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 xml:space="preserve">manoseado; y </w:t>
      </w:r>
      <w:r w:rsidR="00942A0A"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torturado mediante la introducción de una vara</w:t>
      </w:r>
      <w:r w:rsidR="00214A79" w:rsidRPr="003673A9">
        <w:rPr>
          <w:rFonts w:asciiTheme="majorHAnsi" w:hAnsiTheme="majorHAnsi"/>
          <w:sz w:val="20"/>
          <w:szCs w:val="20"/>
          <w:lang w:val="es-ES"/>
        </w:rPr>
        <w:t xml:space="preserve"> policial</w:t>
      </w:r>
      <w:r w:rsidRPr="003673A9">
        <w:rPr>
          <w:rFonts w:asciiTheme="majorHAnsi" w:hAnsiTheme="majorHAnsi"/>
          <w:sz w:val="20"/>
          <w:szCs w:val="20"/>
          <w:lang w:val="es-ES"/>
        </w:rPr>
        <w:t xml:space="preserve"> de goma en el </w:t>
      </w:r>
      <w:r w:rsidR="00942A0A" w:rsidRPr="003673A9">
        <w:rPr>
          <w:rFonts w:asciiTheme="majorHAnsi" w:hAnsiTheme="majorHAnsi"/>
          <w:sz w:val="20"/>
          <w:szCs w:val="20"/>
          <w:lang w:val="es-ES"/>
        </w:rPr>
        <w:t>ano</w:t>
      </w:r>
      <w:r w:rsidRPr="003673A9">
        <w:rPr>
          <w:rFonts w:asciiTheme="majorHAnsi" w:hAnsiTheme="majorHAnsi"/>
          <w:sz w:val="20"/>
          <w:szCs w:val="20"/>
          <w:lang w:val="es-ES"/>
        </w:rPr>
        <w:t xml:space="preserve">, </w:t>
      </w:r>
      <w:r w:rsidR="00942A0A" w:rsidRPr="003673A9">
        <w:rPr>
          <w:rFonts w:asciiTheme="majorHAnsi" w:hAnsiTheme="majorHAnsi"/>
          <w:sz w:val="20"/>
          <w:szCs w:val="20"/>
          <w:lang w:val="es-ES"/>
        </w:rPr>
        <w:t xml:space="preserve">en dos oportunidades, </w:t>
      </w:r>
      <w:r w:rsidRPr="003673A9">
        <w:rPr>
          <w:rFonts w:asciiTheme="majorHAnsi" w:hAnsiTheme="majorHAnsi"/>
          <w:sz w:val="20"/>
          <w:szCs w:val="20"/>
          <w:lang w:val="es-ES"/>
        </w:rPr>
        <w:t>lo cual le ocasionó lesiones sangrantes.</w:t>
      </w:r>
      <w:r w:rsidR="00FB3C42">
        <w:rPr>
          <w:rFonts w:asciiTheme="majorHAnsi" w:hAnsiTheme="majorHAnsi"/>
          <w:sz w:val="20"/>
          <w:szCs w:val="20"/>
          <w:lang w:val="es-ES"/>
        </w:rPr>
        <w:t xml:space="preserve"> Al respecto, los peticionarios alegan que los insultos, tocamientos y violación sexual perpetrada en su contra reflejan como la violencia y discriminación contra las personas </w:t>
      </w:r>
      <w:proofErr w:type="spellStart"/>
      <w:r w:rsidR="00FB3C42">
        <w:rPr>
          <w:rFonts w:asciiTheme="majorHAnsi" w:hAnsiTheme="majorHAnsi"/>
          <w:sz w:val="20"/>
          <w:szCs w:val="20"/>
          <w:lang w:val="es-ES"/>
        </w:rPr>
        <w:t>gays</w:t>
      </w:r>
      <w:proofErr w:type="spellEnd"/>
      <w:r w:rsidR="00FB3C42">
        <w:rPr>
          <w:rFonts w:asciiTheme="majorHAnsi" w:hAnsiTheme="majorHAnsi"/>
          <w:sz w:val="20"/>
          <w:szCs w:val="20"/>
          <w:lang w:val="es-ES"/>
        </w:rPr>
        <w:t xml:space="preserve"> reviste grados de violencia exacerbados. </w:t>
      </w:r>
    </w:p>
    <w:p w:rsidR="00795E9B" w:rsidRPr="003673A9" w:rsidRDefault="00795E9B" w:rsidP="003673A9">
      <w:pPr>
        <w:pStyle w:val="ListParagraph"/>
        <w:rPr>
          <w:rFonts w:asciiTheme="majorHAnsi" w:hAnsiTheme="majorHAnsi"/>
          <w:sz w:val="20"/>
          <w:szCs w:val="20"/>
          <w:lang w:val="es-ES"/>
        </w:rPr>
      </w:pPr>
    </w:p>
    <w:p w:rsidR="00524A92" w:rsidRPr="003673A9" w:rsidRDefault="00B430B2"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Sostienen </w:t>
      </w:r>
      <w:r w:rsidR="008631C1" w:rsidRPr="003673A9">
        <w:rPr>
          <w:rFonts w:asciiTheme="majorHAnsi" w:hAnsiTheme="majorHAnsi"/>
          <w:sz w:val="20"/>
          <w:szCs w:val="20"/>
          <w:lang w:val="es-ES"/>
        </w:rPr>
        <w:t xml:space="preserve">los peticionarios </w:t>
      </w:r>
      <w:r w:rsidRPr="003673A9">
        <w:rPr>
          <w:rFonts w:asciiTheme="majorHAnsi" w:hAnsiTheme="majorHAnsi"/>
          <w:sz w:val="20"/>
          <w:szCs w:val="20"/>
          <w:lang w:val="es-ES"/>
        </w:rPr>
        <w:t xml:space="preserve">que la presunta víctima </w:t>
      </w:r>
      <w:r w:rsidR="008631C1" w:rsidRPr="003673A9">
        <w:rPr>
          <w:rFonts w:asciiTheme="majorHAnsi" w:hAnsiTheme="majorHAnsi"/>
          <w:sz w:val="20"/>
          <w:szCs w:val="20"/>
          <w:lang w:val="es-ES"/>
        </w:rPr>
        <w:t xml:space="preserve">habría </w:t>
      </w:r>
      <w:r w:rsidRPr="003673A9">
        <w:rPr>
          <w:rFonts w:asciiTheme="majorHAnsi" w:hAnsiTheme="majorHAnsi"/>
          <w:sz w:val="20"/>
          <w:szCs w:val="20"/>
          <w:lang w:val="es-ES"/>
        </w:rPr>
        <w:t>acudi</w:t>
      </w:r>
      <w:r w:rsidR="008631C1" w:rsidRPr="003673A9">
        <w:rPr>
          <w:rFonts w:asciiTheme="majorHAnsi" w:hAnsiTheme="majorHAnsi"/>
          <w:sz w:val="20"/>
          <w:szCs w:val="20"/>
          <w:lang w:val="es-ES"/>
        </w:rPr>
        <w:t>do</w:t>
      </w:r>
      <w:r w:rsidRPr="003673A9">
        <w:rPr>
          <w:rFonts w:asciiTheme="majorHAnsi" w:hAnsiTheme="majorHAnsi"/>
          <w:sz w:val="20"/>
          <w:szCs w:val="20"/>
          <w:lang w:val="es-ES"/>
        </w:rPr>
        <w:t xml:space="preserve"> a denunciar los hechos ante la propia Comisaría de Casagrande, lugar al que estaban adscri</w:t>
      </w:r>
      <w:r w:rsidR="008631C1" w:rsidRPr="003673A9">
        <w:rPr>
          <w:rFonts w:asciiTheme="majorHAnsi" w:hAnsiTheme="majorHAnsi"/>
          <w:sz w:val="20"/>
          <w:szCs w:val="20"/>
          <w:lang w:val="es-ES"/>
        </w:rPr>
        <w:t>p</w:t>
      </w:r>
      <w:r w:rsidRPr="003673A9">
        <w:rPr>
          <w:rFonts w:asciiTheme="majorHAnsi" w:hAnsiTheme="majorHAnsi"/>
          <w:sz w:val="20"/>
          <w:szCs w:val="20"/>
          <w:lang w:val="es-ES"/>
        </w:rPr>
        <w:t xml:space="preserve">tos los efectivos policiales que lo </w:t>
      </w:r>
      <w:r w:rsidR="008631C1" w:rsidRPr="003673A9">
        <w:rPr>
          <w:rFonts w:asciiTheme="majorHAnsi" w:hAnsiTheme="majorHAnsi"/>
          <w:sz w:val="20"/>
          <w:szCs w:val="20"/>
          <w:lang w:val="es-ES"/>
        </w:rPr>
        <w:t xml:space="preserve">habrían </w:t>
      </w:r>
      <w:r w:rsidRPr="003673A9">
        <w:rPr>
          <w:rFonts w:asciiTheme="majorHAnsi" w:hAnsiTheme="majorHAnsi"/>
          <w:sz w:val="20"/>
          <w:szCs w:val="20"/>
          <w:lang w:val="es-ES"/>
        </w:rPr>
        <w:t>ataca</w:t>
      </w:r>
      <w:r w:rsidR="008631C1" w:rsidRPr="003673A9">
        <w:rPr>
          <w:rFonts w:asciiTheme="majorHAnsi" w:hAnsiTheme="majorHAnsi"/>
          <w:sz w:val="20"/>
          <w:szCs w:val="20"/>
          <w:lang w:val="es-ES"/>
        </w:rPr>
        <w:t xml:space="preserve">do, por </w:t>
      </w:r>
      <w:r w:rsidRPr="003673A9">
        <w:rPr>
          <w:rFonts w:asciiTheme="majorHAnsi" w:hAnsiTheme="majorHAnsi"/>
          <w:sz w:val="20"/>
          <w:szCs w:val="20"/>
          <w:lang w:val="es-ES"/>
        </w:rPr>
        <w:t xml:space="preserve">lo que no </w:t>
      </w:r>
      <w:r w:rsidR="008631C1"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 xml:space="preserve">atendido y se </w:t>
      </w:r>
      <w:r w:rsidR="008631C1" w:rsidRPr="003673A9">
        <w:rPr>
          <w:rFonts w:asciiTheme="majorHAnsi" w:hAnsiTheme="majorHAnsi"/>
          <w:sz w:val="20"/>
          <w:szCs w:val="20"/>
          <w:lang w:val="es-ES"/>
        </w:rPr>
        <w:t xml:space="preserve">habría rechazado </w:t>
      </w:r>
      <w:r w:rsidRPr="003673A9">
        <w:rPr>
          <w:rFonts w:asciiTheme="majorHAnsi" w:hAnsiTheme="majorHAnsi"/>
          <w:sz w:val="20"/>
          <w:szCs w:val="20"/>
          <w:lang w:val="es-ES"/>
        </w:rPr>
        <w:t xml:space="preserve">su pedido, aduciendo los oficiales policiales a cargo que el jefe de </w:t>
      </w:r>
      <w:r w:rsidRPr="002D2B68">
        <w:rPr>
          <w:rFonts w:asciiTheme="majorHAnsi" w:hAnsiTheme="majorHAnsi"/>
          <w:sz w:val="20"/>
          <w:szCs w:val="20"/>
          <w:lang w:val="es-ES"/>
        </w:rPr>
        <w:t>la dependencia policial no se encontraba presente.</w:t>
      </w:r>
      <w:r w:rsidR="00795E9B" w:rsidRPr="002D2B68">
        <w:rPr>
          <w:rFonts w:asciiTheme="majorHAnsi" w:hAnsiTheme="majorHAnsi"/>
          <w:sz w:val="20"/>
          <w:szCs w:val="20"/>
          <w:lang w:val="es-ES"/>
        </w:rPr>
        <w:t xml:space="preserve"> </w:t>
      </w:r>
      <w:r w:rsidR="007D692F" w:rsidRPr="002D2B68">
        <w:rPr>
          <w:rFonts w:asciiTheme="majorHAnsi" w:hAnsiTheme="majorHAnsi"/>
          <w:sz w:val="20"/>
          <w:szCs w:val="20"/>
          <w:lang w:val="es-ES"/>
        </w:rPr>
        <w:t>Los peticionarios alegan que</w:t>
      </w:r>
      <w:r w:rsidR="000730B7" w:rsidRPr="002D2B68">
        <w:rPr>
          <w:rFonts w:asciiTheme="majorHAnsi" w:hAnsiTheme="majorHAnsi"/>
          <w:sz w:val="20"/>
          <w:szCs w:val="20"/>
          <w:lang w:val="es-ES"/>
        </w:rPr>
        <w:t xml:space="preserve"> </w:t>
      </w:r>
      <w:r w:rsidR="00CC56C6" w:rsidRPr="002D2B68">
        <w:rPr>
          <w:rFonts w:asciiTheme="majorHAnsi" w:hAnsiTheme="majorHAnsi"/>
          <w:sz w:val="20"/>
          <w:szCs w:val="20"/>
          <w:lang w:val="es-ES"/>
        </w:rPr>
        <w:t xml:space="preserve">Luis Alberto Rojas Marín </w:t>
      </w:r>
      <w:r w:rsidR="00F47688" w:rsidRPr="002D2B68">
        <w:rPr>
          <w:rFonts w:asciiTheme="majorHAnsi" w:hAnsiTheme="majorHAnsi"/>
          <w:sz w:val="20"/>
          <w:szCs w:val="20"/>
          <w:lang w:val="es-ES"/>
        </w:rPr>
        <w:t>“</w:t>
      </w:r>
      <w:r w:rsidR="00E97AF8" w:rsidRPr="002D2B68">
        <w:rPr>
          <w:rFonts w:asciiTheme="majorHAnsi" w:hAnsiTheme="majorHAnsi"/>
          <w:sz w:val="20"/>
          <w:szCs w:val="20"/>
          <w:lang w:val="es-ES"/>
        </w:rPr>
        <w:t xml:space="preserve">recién </w:t>
      </w:r>
      <w:r w:rsidR="00F47688" w:rsidRPr="002D2B68">
        <w:rPr>
          <w:rFonts w:asciiTheme="majorHAnsi" w:hAnsiTheme="majorHAnsi"/>
          <w:sz w:val="20"/>
          <w:szCs w:val="20"/>
          <w:lang w:val="es-ES"/>
        </w:rPr>
        <w:t>pudo</w:t>
      </w:r>
      <w:r w:rsidR="008631C1" w:rsidRPr="002D2B68">
        <w:rPr>
          <w:rFonts w:asciiTheme="majorHAnsi" w:hAnsiTheme="majorHAnsi"/>
          <w:sz w:val="20"/>
          <w:szCs w:val="20"/>
          <w:lang w:val="es-ES"/>
        </w:rPr>
        <w:t xml:space="preserve"> </w:t>
      </w:r>
      <w:r w:rsidR="00E97AF8" w:rsidRPr="002D2B68">
        <w:rPr>
          <w:rFonts w:asciiTheme="majorHAnsi" w:hAnsiTheme="majorHAnsi"/>
          <w:sz w:val="20"/>
          <w:szCs w:val="20"/>
          <w:lang w:val="es-ES"/>
        </w:rPr>
        <w:t>denunciar los hechos</w:t>
      </w:r>
      <w:r w:rsidR="00F47688" w:rsidRPr="002D2B68">
        <w:rPr>
          <w:rFonts w:asciiTheme="majorHAnsi" w:hAnsiTheme="majorHAnsi"/>
          <w:sz w:val="20"/>
          <w:szCs w:val="20"/>
          <w:lang w:val="es-ES"/>
        </w:rPr>
        <w:t>”</w:t>
      </w:r>
      <w:r w:rsidR="00524A92" w:rsidRPr="002D2B68">
        <w:rPr>
          <w:rFonts w:asciiTheme="majorHAnsi" w:hAnsiTheme="majorHAnsi"/>
          <w:sz w:val="20"/>
          <w:szCs w:val="20"/>
          <w:lang w:val="es-ES"/>
        </w:rPr>
        <w:t xml:space="preserve"> </w:t>
      </w:r>
      <w:r w:rsidR="00CC56C6" w:rsidRPr="002D2B68">
        <w:rPr>
          <w:rFonts w:asciiTheme="majorHAnsi" w:hAnsiTheme="majorHAnsi"/>
          <w:sz w:val="20"/>
          <w:szCs w:val="20"/>
          <w:lang w:val="es-ES"/>
        </w:rPr>
        <w:t xml:space="preserve">el 27 de febrero de 2008, </w:t>
      </w:r>
      <w:r w:rsidR="008631C1" w:rsidRPr="002D2B68">
        <w:rPr>
          <w:rFonts w:asciiTheme="majorHAnsi" w:hAnsiTheme="majorHAnsi"/>
          <w:sz w:val="20"/>
          <w:szCs w:val="20"/>
          <w:lang w:val="es-ES"/>
        </w:rPr>
        <w:t>interponiendo</w:t>
      </w:r>
      <w:r w:rsidR="00524A92" w:rsidRPr="002D2B68">
        <w:rPr>
          <w:rFonts w:asciiTheme="majorHAnsi" w:hAnsiTheme="majorHAnsi"/>
          <w:sz w:val="20"/>
          <w:szCs w:val="20"/>
          <w:lang w:val="es-ES"/>
        </w:rPr>
        <w:t xml:space="preserve"> </w:t>
      </w:r>
      <w:r w:rsidR="008631C1" w:rsidRPr="002D2B68">
        <w:rPr>
          <w:rFonts w:asciiTheme="majorHAnsi" w:hAnsiTheme="majorHAnsi"/>
          <w:sz w:val="20"/>
          <w:szCs w:val="20"/>
          <w:lang w:val="es-ES"/>
        </w:rPr>
        <w:t xml:space="preserve">la </w:t>
      </w:r>
      <w:r w:rsidR="007D692F" w:rsidRPr="002D2B68">
        <w:rPr>
          <w:rFonts w:asciiTheme="majorHAnsi" w:hAnsiTheme="majorHAnsi"/>
          <w:sz w:val="20"/>
          <w:szCs w:val="20"/>
          <w:lang w:val="es-ES"/>
        </w:rPr>
        <w:t>denuncia ante la Comisaría de Casagrande</w:t>
      </w:r>
      <w:r w:rsidR="00524A92" w:rsidRPr="002D2B68">
        <w:rPr>
          <w:rFonts w:asciiTheme="majorHAnsi" w:hAnsiTheme="majorHAnsi"/>
          <w:sz w:val="20"/>
          <w:szCs w:val="20"/>
          <w:lang w:val="es-ES"/>
        </w:rPr>
        <w:t xml:space="preserve">. </w:t>
      </w:r>
      <w:r w:rsidR="000C27D9" w:rsidRPr="002D2B68">
        <w:rPr>
          <w:rFonts w:asciiTheme="majorHAnsi" w:hAnsiTheme="majorHAnsi"/>
          <w:sz w:val="20"/>
          <w:szCs w:val="20"/>
          <w:lang w:val="es-ES"/>
        </w:rPr>
        <w:t>Sostienen que si bien e</w:t>
      </w:r>
      <w:r w:rsidR="00524A92" w:rsidRPr="002D2B68">
        <w:rPr>
          <w:rFonts w:asciiTheme="majorHAnsi" w:hAnsiTheme="majorHAnsi"/>
          <w:sz w:val="20"/>
          <w:szCs w:val="20"/>
          <w:lang w:val="es-ES"/>
        </w:rPr>
        <w:t xml:space="preserve">l </w:t>
      </w:r>
      <w:r w:rsidR="007D692F" w:rsidRPr="002D2B68">
        <w:rPr>
          <w:rFonts w:asciiTheme="majorHAnsi" w:hAnsiTheme="majorHAnsi"/>
          <w:sz w:val="20"/>
          <w:szCs w:val="20"/>
          <w:lang w:val="es-ES"/>
        </w:rPr>
        <w:t>Ministerio Público ordenó la práctica del reconocimiento médico legal</w:t>
      </w:r>
      <w:r w:rsidR="008631C1" w:rsidRPr="002D2B68">
        <w:rPr>
          <w:rFonts w:asciiTheme="majorHAnsi" w:hAnsiTheme="majorHAnsi"/>
          <w:sz w:val="20"/>
          <w:szCs w:val="20"/>
          <w:lang w:val="es-ES"/>
        </w:rPr>
        <w:t xml:space="preserve">, </w:t>
      </w:r>
      <w:r w:rsidR="00F47688" w:rsidRPr="002D2B68">
        <w:rPr>
          <w:rFonts w:asciiTheme="majorHAnsi" w:hAnsiTheme="majorHAnsi"/>
          <w:sz w:val="20"/>
          <w:szCs w:val="20"/>
          <w:lang w:val="es-ES"/>
        </w:rPr>
        <w:t>la fiscal a cargo “demoró la atención a Luis Alberto [Rojas Mar</w:t>
      </w:r>
      <w:proofErr w:type="spellStart"/>
      <w:r w:rsidR="00F47688" w:rsidRPr="002D2B68">
        <w:rPr>
          <w:rFonts w:asciiTheme="majorHAnsi" w:hAnsiTheme="majorHAnsi"/>
          <w:sz w:val="20"/>
          <w:szCs w:val="20"/>
          <w:lang w:val="es-ES_tradnl"/>
        </w:rPr>
        <w:t>ín</w:t>
      </w:r>
      <w:proofErr w:type="spellEnd"/>
      <w:r w:rsidR="00F47688" w:rsidRPr="002D2B68">
        <w:rPr>
          <w:rFonts w:asciiTheme="majorHAnsi" w:hAnsiTheme="majorHAnsi"/>
          <w:sz w:val="20"/>
          <w:szCs w:val="20"/>
          <w:lang w:val="es-ES"/>
        </w:rPr>
        <w:t>], lo que motiv</w:t>
      </w:r>
      <w:r w:rsidR="00EA4D99" w:rsidRPr="002D2B68">
        <w:rPr>
          <w:rFonts w:asciiTheme="majorHAnsi" w:hAnsiTheme="majorHAnsi"/>
          <w:sz w:val="20"/>
          <w:szCs w:val="20"/>
          <w:lang w:val="es-ES"/>
        </w:rPr>
        <w:t>ó</w:t>
      </w:r>
      <w:r w:rsidR="00F47688" w:rsidRPr="002D2B68">
        <w:rPr>
          <w:rFonts w:asciiTheme="majorHAnsi" w:hAnsiTheme="majorHAnsi"/>
          <w:sz w:val="20"/>
          <w:szCs w:val="20"/>
          <w:lang w:val="es-ES"/>
        </w:rPr>
        <w:t xml:space="preserve"> que </w:t>
      </w:r>
      <w:r w:rsidR="00F47688" w:rsidRPr="002D2B68">
        <w:rPr>
          <w:rFonts w:asciiTheme="majorHAnsi" w:hAnsiTheme="majorHAnsi"/>
          <w:sz w:val="20"/>
          <w:szCs w:val="20"/>
          <w:lang w:val="es-ES_tradnl"/>
        </w:rPr>
        <w:t xml:space="preserve">éste no pudiera pasar el examen </w:t>
      </w:r>
      <w:r w:rsidR="00EA4D99" w:rsidRPr="002D2B68">
        <w:rPr>
          <w:rFonts w:asciiTheme="majorHAnsi" w:hAnsiTheme="majorHAnsi"/>
          <w:sz w:val="20"/>
          <w:szCs w:val="20"/>
          <w:lang w:val="es-ES_tradnl"/>
        </w:rPr>
        <w:t>legal ese</w:t>
      </w:r>
      <w:r w:rsidR="00EA4D99" w:rsidRPr="003673A9">
        <w:rPr>
          <w:rFonts w:asciiTheme="majorHAnsi" w:hAnsiTheme="majorHAnsi"/>
          <w:sz w:val="20"/>
          <w:szCs w:val="20"/>
          <w:lang w:val="es-ES_tradnl"/>
        </w:rPr>
        <w:t xml:space="preserve"> mismo día”, sino </w:t>
      </w:r>
      <w:r w:rsidR="008631C1" w:rsidRPr="003673A9">
        <w:rPr>
          <w:rFonts w:asciiTheme="majorHAnsi" w:hAnsiTheme="majorHAnsi"/>
          <w:sz w:val="20"/>
          <w:szCs w:val="20"/>
          <w:lang w:val="es-ES"/>
        </w:rPr>
        <w:t xml:space="preserve">el </w:t>
      </w:r>
      <w:r w:rsidR="00EA4D99" w:rsidRPr="003673A9">
        <w:rPr>
          <w:rFonts w:asciiTheme="majorHAnsi" w:hAnsiTheme="majorHAnsi"/>
          <w:sz w:val="20"/>
          <w:szCs w:val="20"/>
          <w:lang w:val="es-ES"/>
        </w:rPr>
        <w:t xml:space="preserve">29 de febrero de 2008; oportunidad en la cual hizo también entrega de las prendas de vestir que usó el día de los hechos con la finalidad que se practiquen los exámenes correspondientes. </w:t>
      </w:r>
      <w:r w:rsidR="007D692F" w:rsidRPr="003673A9">
        <w:rPr>
          <w:rFonts w:asciiTheme="majorHAnsi" w:hAnsiTheme="majorHAnsi"/>
          <w:sz w:val="20"/>
          <w:szCs w:val="20"/>
          <w:lang w:val="es-ES"/>
        </w:rPr>
        <w:t xml:space="preserve"> </w:t>
      </w:r>
    </w:p>
    <w:p w:rsidR="00524A92" w:rsidRPr="003673A9" w:rsidRDefault="00524A92" w:rsidP="003673A9">
      <w:pPr>
        <w:pStyle w:val="ListParagraph"/>
        <w:rPr>
          <w:rFonts w:asciiTheme="majorHAnsi" w:hAnsiTheme="majorHAnsi"/>
          <w:sz w:val="20"/>
          <w:szCs w:val="20"/>
          <w:lang w:val="es-ES"/>
        </w:rPr>
      </w:pPr>
    </w:p>
    <w:p w:rsidR="007D692F" w:rsidRPr="003673A9" w:rsidRDefault="00E97AF8"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lastRenderedPageBreak/>
        <w:t xml:space="preserve">Sostienen que el Estado </w:t>
      </w:r>
      <w:r w:rsidR="000B60FF" w:rsidRPr="003673A9">
        <w:rPr>
          <w:rFonts w:asciiTheme="majorHAnsi" w:hAnsiTheme="majorHAnsi"/>
          <w:sz w:val="20"/>
          <w:szCs w:val="20"/>
          <w:lang w:val="es-ES"/>
        </w:rPr>
        <w:t xml:space="preserve">habría incumplido </w:t>
      </w:r>
      <w:r w:rsidRPr="003673A9">
        <w:rPr>
          <w:rFonts w:asciiTheme="majorHAnsi" w:hAnsiTheme="majorHAnsi"/>
          <w:sz w:val="20"/>
          <w:szCs w:val="20"/>
          <w:lang w:val="es-ES"/>
        </w:rPr>
        <w:t xml:space="preserve">con su deber de investigar los hechos, juzgar y sancionar a los responsables, conforme a los estándares del debido proceso y </w:t>
      </w:r>
      <w:r w:rsidR="000B60FF" w:rsidRPr="003673A9">
        <w:rPr>
          <w:rFonts w:asciiTheme="majorHAnsi" w:hAnsiTheme="majorHAnsi"/>
          <w:sz w:val="20"/>
          <w:szCs w:val="20"/>
          <w:lang w:val="es-ES"/>
        </w:rPr>
        <w:t xml:space="preserve">el principio de no </w:t>
      </w:r>
      <w:r w:rsidRPr="003673A9">
        <w:rPr>
          <w:rFonts w:asciiTheme="majorHAnsi" w:hAnsiTheme="majorHAnsi"/>
          <w:sz w:val="20"/>
          <w:szCs w:val="20"/>
          <w:lang w:val="es-ES"/>
        </w:rPr>
        <w:t xml:space="preserve">discriminación. </w:t>
      </w:r>
      <w:r w:rsidR="007D692F" w:rsidRPr="003673A9">
        <w:rPr>
          <w:rFonts w:asciiTheme="majorHAnsi" w:hAnsiTheme="majorHAnsi"/>
          <w:sz w:val="20"/>
          <w:szCs w:val="20"/>
          <w:lang w:val="es-ES"/>
        </w:rPr>
        <w:t xml:space="preserve">Con relación a la investigación de los hechos, alegan que se </w:t>
      </w:r>
      <w:r w:rsidR="000B60FF" w:rsidRPr="003673A9">
        <w:rPr>
          <w:rFonts w:asciiTheme="majorHAnsi" w:hAnsiTheme="majorHAnsi"/>
          <w:sz w:val="20"/>
          <w:szCs w:val="20"/>
          <w:lang w:val="es-ES"/>
        </w:rPr>
        <w:t xml:space="preserve">habrían cometido </w:t>
      </w:r>
      <w:r w:rsidR="007D692F" w:rsidRPr="003673A9">
        <w:rPr>
          <w:rFonts w:asciiTheme="majorHAnsi" w:hAnsiTheme="majorHAnsi"/>
          <w:sz w:val="20"/>
          <w:szCs w:val="20"/>
          <w:lang w:val="es-ES"/>
        </w:rPr>
        <w:t>irregularidades en el reconocimiento médico legal de la presunta víctima</w:t>
      </w:r>
      <w:r w:rsidR="000B60FF" w:rsidRPr="003673A9">
        <w:rPr>
          <w:rFonts w:asciiTheme="majorHAnsi" w:hAnsiTheme="majorHAnsi"/>
          <w:sz w:val="20"/>
          <w:szCs w:val="20"/>
          <w:lang w:val="es-ES"/>
        </w:rPr>
        <w:t>.</w:t>
      </w:r>
      <w:r w:rsidR="007D692F" w:rsidRPr="003673A9">
        <w:rPr>
          <w:rFonts w:asciiTheme="majorHAnsi" w:hAnsiTheme="majorHAnsi"/>
          <w:sz w:val="20"/>
          <w:szCs w:val="20"/>
          <w:lang w:val="es-ES"/>
        </w:rPr>
        <w:t xml:space="preserve"> </w:t>
      </w:r>
      <w:r w:rsidR="000B60FF" w:rsidRPr="003673A9">
        <w:rPr>
          <w:rFonts w:asciiTheme="majorHAnsi" w:hAnsiTheme="majorHAnsi"/>
          <w:sz w:val="20"/>
          <w:szCs w:val="20"/>
          <w:lang w:val="es-ES"/>
        </w:rPr>
        <w:t xml:space="preserve">En </w:t>
      </w:r>
      <w:r w:rsidR="000C27D9" w:rsidRPr="003673A9">
        <w:rPr>
          <w:rFonts w:asciiTheme="majorHAnsi" w:hAnsiTheme="majorHAnsi"/>
          <w:sz w:val="20"/>
          <w:szCs w:val="20"/>
          <w:lang w:val="es-ES"/>
        </w:rPr>
        <w:t>particular</w:t>
      </w:r>
      <w:r w:rsidR="000B60FF" w:rsidRPr="003673A9">
        <w:rPr>
          <w:rFonts w:asciiTheme="majorHAnsi" w:hAnsiTheme="majorHAnsi"/>
          <w:sz w:val="20"/>
          <w:szCs w:val="20"/>
          <w:lang w:val="es-ES"/>
        </w:rPr>
        <w:t xml:space="preserve"> indican</w:t>
      </w:r>
      <w:r w:rsidR="000C27D9" w:rsidRPr="003673A9">
        <w:rPr>
          <w:rFonts w:asciiTheme="majorHAnsi" w:hAnsiTheme="majorHAnsi"/>
          <w:sz w:val="20"/>
          <w:szCs w:val="20"/>
          <w:lang w:val="es-ES"/>
        </w:rPr>
        <w:t xml:space="preserve"> que el fiscal adjunto </w:t>
      </w:r>
      <w:r w:rsidR="000B60FF" w:rsidRPr="003673A9">
        <w:rPr>
          <w:rFonts w:asciiTheme="majorHAnsi" w:hAnsiTheme="majorHAnsi"/>
          <w:sz w:val="20"/>
          <w:szCs w:val="20"/>
          <w:lang w:val="es-ES"/>
        </w:rPr>
        <w:t xml:space="preserve">habría ingresado </w:t>
      </w:r>
      <w:r w:rsidR="000C27D9" w:rsidRPr="003673A9">
        <w:rPr>
          <w:rFonts w:asciiTheme="majorHAnsi" w:hAnsiTheme="majorHAnsi"/>
          <w:sz w:val="20"/>
          <w:szCs w:val="20"/>
          <w:lang w:val="es-ES"/>
        </w:rPr>
        <w:t xml:space="preserve">al consultorio médico cuestionando que las heridas fueran producto de la violación, </w:t>
      </w:r>
      <w:r w:rsidR="007D692F" w:rsidRPr="003673A9">
        <w:rPr>
          <w:rFonts w:asciiTheme="majorHAnsi" w:hAnsiTheme="majorHAnsi"/>
          <w:sz w:val="20"/>
          <w:szCs w:val="20"/>
          <w:lang w:val="es-ES"/>
        </w:rPr>
        <w:t xml:space="preserve">situación que más tarde fue esgrimida por la propia Fiscalía como fundamento para cuestionar </w:t>
      </w:r>
      <w:r w:rsidR="00FF7843">
        <w:rPr>
          <w:rFonts w:asciiTheme="majorHAnsi" w:hAnsiTheme="majorHAnsi"/>
          <w:sz w:val="20"/>
          <w:szCs w:val="20"/>
          <w:lang w:val="es-ES"/>
        </w:rPr>
        <w:t>el alegato de Luis Alberto Rojas Mar</w:t>
      </w:r>
      <w:proofErr w:type="spellStart"/>
      <w:r w:rsidR="00FF7843">
        <w:rPr>
          <w:rFonts w:asciiTheme="majorHAnsi" w:hAnsiTheme="majorHAnsi"/>
          <w:sz w:val="20"/>
          <w:szCs w:val="20"/>
          <w:lang w:val="es-ES_tradnl"/>
        </w:rPr>
        <w:t>ín</w:t>
      </w:r>
      <w:proofErr w:type="spellEnd"/>
      <w:r w:rsidR="00FF7843">
        <w:rPr>
          <w:rFonts w:asciiTheme="majorHAnsi" w:hAnsiTheme="majorHAnsi"/>
          <w:sz w:val="20"/>
          <w:szCs w:val="20"/>
          <w:lang w:val="es-ES_tradnl"/>
        </w:rPr>
        <w:t xml:space="preserve"> de que </w:t>
      </w:r>
      <w:r w:rsidR="00FF7843">
        <w:rPr>
          <w:rFonts w:asciiTheme="majorHAnsi" w:hAnsiTheme="majorHAnsi"/>
          <w:sz w:val="20"/>
          <w:szCs w:val="20"/>
          <w:lang w:val="es-ES"/>
        </w:rPr>
        <w:t xml:space="preserve">las lesiones habrían sido infligidas por los policías. </w:t>
      </w:r>
      <w:r w:rsidR="007D692F" w:rsidRPr="003673A9">
        <w:rPr>
          <w:rFonts w:asciiTheme="majorHAnsi" w:hAnsiTheme="majorHAnsi"/>
          <w:sz w:val="20"/>
          <w:szCs w:val="20"/>
          <w:lang w:val="es-ES"/>
        </w:rPr>
        <w:t xml:space="preserve"> </w:t>
      </w:r>
    </w:p>
    <w:p w:rsidR="007D692F" w:rsidRPr="003673A9" w:rsidRDefault="007D692F" w:rsidP="003673A9">
      <w:pPr>
        <w:pStyle w:val="ListParagraph"/>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Alegan asimismo que</w:t>
      </w:r>
      <w:r w:rsidR="000B60FF" w:rsidRPr="003673A9">
        <w:rPr>
          <w:rFonts w:asciiTheme="majorHAnsi" w:hAnsiTheme="majorHAnsi"/>
          <w:sz w:val="20"/>
          <w:szCs w:val="20"/>
          <w:lang w:val="es-ES"/>
        </w:rPr>
        <w:t>,</w:t>
      </w:r>
      <w:r w:rsidRPr="003673A9">
        <w:rPr>
          <w:rFonts w:asciiTheme="majorHAnsi" w:hAnsiTheme="majorHAnsi"/>
          <w:sz w:val="20"/>
          <w:szCs w:val="20"/>
          <w:lang w:val="es-ES"/>
        </w:rPr>
        <w:t xml:space="preserve"> al momento de rendir declaración ante el Ministerio Público, Luis Alberto Rojas Marín </w:t>
      </w:r>
      <w:r w:rsidR="000B60FF"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 xml:space="preserve">objeto de presiones, intimidación y cuestionamientos </w:t>
      </w:r>
      <w:r w:rsidR="00614AC1" w:rsidRPr="003673A9">
        <w:rPr>
          <w:rFonts w:asciiTheme="majorHAnsi" w:hAnsiTheme="majorHAnsi"/>
          <w:sz w:val="20"/>
          <w:szCs w:val="20"/>
          <w:lang w:val="es-ES"/>
        </w:rPr>
        <w:t xml:space="preserve">relacionados con su orientación </w:t>
      </w:r>
      <w:r w:rsidRPr="003673A9">
        <w:rPr>
          <w:rFonts w:asciiTheme="majorHAnsi" w:hAnsiTheme="majorHAnsi"/>
          <w:sz w:val="20"/>
          <w:szCs w:val="20"/>
          <w:lang w:val="es-ES"/>
        </w:rPr>
        <w:t xml:space="preserve"> sexual.  Señalan que la Fiscalía </w:t>
      </w:r>
      <w:r w:rsidR="000B60FF"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explícita en el sentido de que los dichos de la presunta víctima sobre los actos de violencia sexual padecidos no le resultaban creíbles y que</w:t>
      </w:r>
      <w:r w:rsidR="000B60FF" w:rsidRPr="003673A9">
        <w:rPr>
          <w:rFonts w:asciiTheme="majorHAnsi" w:hAnsiTheme="majorHAnsi"/>
          <w:sz w:val="20"/>
          <w:szCs w:val="20"/>
          <w:lang w:val="es-ES"/>
        </w:rPr>
        <w:t>,</w:t>
      </w:r>
      <w:r w:rsidRPr="003673A9">
        <w:rPr>
          <w:rFonts w:asciiTheme="majorHAnsi" w:hAnsiTheme="majorHAnsi"/>
          <w:sz w:val="20"/>
          <w:szCs w:val="20"/>
          <w:lang w:val="es-ES"/>
        </w:rPr>
        <w:t xml:space="preserve"> dada su orientación sexual</w:t>
      </w:r>
      <w:r w:rsidR="000B60FF" w:rsidRPr="003673A9">
        <w:rPr>
          <w:rFonts w:asciiTheme="majorHAnsi" w:hAnsiTheme="majorHAnsi"/>
          <w:sz w:val="20"/>
          <w:szCs w:val="20"/>
          <w:lang w:val="es-ES"/>
        </w:rPr>
        <w:t>,</w:t>
      </w:r>
      <w:r w:rsidRPr="003673A9">
        <w:rPr>
          <w:rFonts w:asciiTheme="majorHAnsi" w:hAnsiTheme="majorHAnsi"/>
          <w:sz w:val="20"/>
          <w:szCs w:val="20"/>
          <w:lang w:val="es-ES"/>
        </w:rPr>
        <w:t xml:space="preserve"> podría haber tenido relaciones con otras personas y luego culpar a los agentes de policía.</w:t>
      </w:r>
    </w:p>
    <w:p w:rsidR="007D692F" w:rsidRPr="003673A9" w:rsidRDefault="007D692F" w:rsidP="003673A9">
      <w:pPr>
        <w:rPr>
          <w:rFonts w:asciiTheme="majorHAnsi" w:hAnsiTheme="majorHAnsi"/>
          <w:sz w:val="20"/>
          <w:szCs w:val="20"/>
          <w:lang w:val="es-ES"/>
        </w:rPr>
      </w:pPr>
    </w:p>
    <w:p w:rsidR="00F5251E"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Alegan que el Estado </w:t>
      </w:r>
      <w:r w:rsidR="000B60FF" w:rsidRPr="003673A9">
        <w:rPr>
          <w:rFonts w:asciiTheme="majorHAnsi" w:hAnsiTheme="majorHAnsi"/>
          <w:sz w:val="20"/>
          <w:szCs w:val="20"/>
          <w:lang w:val="es-ES"/>
        </w:rPr>
        <w:t xml:space="preserve">habría incumplido </w:t>
      </w:r>
      <w:r w:rsidRPr="003673A9">
        <w:rPr>
          <w:rFonts w:asciiTheme="majorHAnsi" w:hAnsiTheme="majorHAnsi"/>
          <w:sz w:val="20"/>
          <w:szCs w:val="20"/>
          <w:lang w:val="es-ES"/>
        </w:rPr>
        <w:t xml:space="preserve">su deber de implementar medidas tendientes a instaurar un proceso para el esclarecimiento judicial de todas las conductas denunciadas. La Fiscalía </w:t>
      </w:r>
      <w:r w:rsidR="000B60FF" w:rsidRPr="003673A9">
        <w:rPr>
          <w:rFonts w:asciiTheme="majorHAnsi" w:hAnsiTheme="majorHAnsi"/>
          <w:sz w:val="20"/>
          <w:szCs w:val="20"/>
          <w:lang w:val="es-ES"/>
        </w:rPr>
        <w:t xml:space="preserve">habría decidido </w:t>
      </w:r>
      <w:r w:rsidRPr="003673A9">
        <w:rPr>
          <w:rFonts w:asciiTheme="majorHAnsi" w:hAnsiTheme="majorHAnsi"/>
          <w:sz w:val="20"/>
          <w:szCs w:val="20"/>
          <w:lang w:val="es-ES"/>
        </w:rPr>
        <w:t xml:space="preserve">no hacer lugar a la solicitud de investigar a los responsables </w:t>
      </w:r>
      <w:r w:rsidR="000B60FF" w:rsidRPr="003673A9">
        <w:rPr>
          <w:rFonts w:asciiTheme="majorHAnsi" w:hAnsiTheme="majorHAnsi"/>
          <w:sz w:val="20"/>
          <w:szCs w:val="20"/>
          <w:lang w:val="es-ES"/>
        </w:rPr>
        <w:t xml:space="preserve">ni </w:t>
      </w:r>
      <w:r w:rsidRPr="003673A9">
        <w:rPr>
          <w:rFonts w:asciiTheme="majorHAnsi" w:hAnsiTheme="majorHAnsi"/>
          <w:sz w:val="20"/>
          <w:szCs w:val="20"/>
          <w:lang w:val="es-ES"/>
        </w:rPr>
        <w:t xml:space="preserve">formular cargos por la comisión del delito de tortura, </w:t>
      </w:r>
      <w:r w:rsidR="000B60FF" w:rsidRPr="003673A9">
        <w:rPr>
          <w:rFonts w:asciiTheme="majorHAnsi" w:hAnsiTheme="majorHAnsi"/>
          <w:sz w:val="20"/>
          <w:szCs w:val="20"/>
          <w:lang w:val="es-ES"/>
        </w:rPr>
        <w:t xml:space="preserve">todo ello </w:t>
      </w:r>
      <w:r w:rsidRPr="003673A9">
        <w:rPr>
          <w:rFonts w:asciiTheme="majorHAnsi" w:hAnsiTheme="majorHAnsi"/>
          <w:sz w:val="20"/>
          <w:szCs w:val="20"/>
          <w:lang w:val="es-ES"/>
        </w:rPr>
        <w:t xml:space="preserve">a pesar de la prueba producida. </w:t>
      </w:r>
      <w:r w:rsidR="000B60FF" w:rsidRPr="003673A9">
        <w:rPr>
          <w:rFonts w:asciiTheme="majorHAnsi" w:hAnsiTheme="majorHAnsi"/>
          <w:sz w:val="20"/>
          <w:szCs w:val="20"/>
          <w:lang w:val="es-ES"/>
        </w:rPr>
        <w:t xml:space="preserve">Según manifiestan los peticionarios, </w:t>
      </w:r>
      <w:r w:rsidRPr="003673A9">
        <w:rPr>
          <w:rFonts w:asciiTheme="majorHAnsi" w:hAnsiTheme="majorHAnsi"/>
          <w:sz w:val="20"/>
          <w:szCs w:val="20"/>
          <w:lang w:val="es-ES"/>
        </w:rPr>
        <w:t xml:space="preserve">la Fiscalía </w:t>
      </w:r>
      <w:r w:rsidR="000B60FF" w:rsidRPr="003673A9">
        <w:rPr>
          <w:rFonts w:asciiTheme="majorHAnsi" w:hAnsiTheme="majorHAnsi"/>
          <w:sz w:val="20"/>
          <w:szCs w:val="20"/>
          <w:lang w:val="es-ES"/>
        </w:rPr>
        <w:t xml:space="preserve">habría considerado </w:t>
      </w:r>
      <w:r w:rsidRPr="003673A9">
        <w:rPr>
          <w:rFonts w:asciiTheme="majorHAnsi" w:hAnsiTheme="majorHAnsi"/>
          <w:sz w:val="20"/>
          <w:szCs w:val="20"/>
          <w:lang w:val="es-ES"/>
        </w:rPr>
        <w:t>que los hechos denunciados no habrían sido cometidos con dolo, ni con el elemento subjetivo de especial intención</w:t>
      </w:r>
      <w:r w:rsidR="000C27D9" w:rsidRPr="003673A9">
        <w:rPr>
          <w:rFonts w:asciiTheme="majorHAnsi" w:hAnsiTheme="majorHAnsi"/>
          <w:sz w:val="20"/>
          <w:szCs w:val="20"/>
          <w:lang w:val="es-ES"/>
        </w:rPr>
        <w:t xml:space="preserve"> </w:t>
      </w:r>
      <w:r w:rsidR="002601D4" w:rsidRPr="003673A9">
        <w:rPr>
          <w:rFonts w:asciiTheme="majorHAnsi" w:hAnsiTheme="majorHAnsi"/>
          <w:sz w:val="20"/>
          <w:szCs w:val="20"/>
          <w:lang w:val="es-ES"/>
        </w:rPr>
        <w:t>para obtener confesión o información, castigar</w:t>
      </w:r>
      <w:r w:rsidR="006820B2" w:rsidRPr="003673A9">
        <w:rPr>
          <w:rFonts w:asciiTheme="majorHAnsi" w:hAnsiTheme="majorHAnsi"/>
          <w:sz w:val="20"/>
          <w:szCs w:val="20"/>
          <w:lang w:val="es-ES"/>
        </w:rPr>
        <w:t>, intimidar, o coaccionar a alguna persona</w:t>
      </w:r>
      <w:r w:rsidRPr="003673A9">
        <w:rPr>
          <w:rFonts w:asciiTheme="majorHAnsi" w:hAnsiTheme="majorHAnsi"/>
          <w:sz w:val="20"/>
          <w:szCs w:val="20"/>
          <w:lang w:val="es-ES"/>
        </w:rPr>
        <w:t>, presuntamente requerido por el artículo 321 del Código Penal vigente en el Perú</w:t>
      </w:r>
      <w:r w:rsidR="006B657C" w:rsidRPr="003673A9">
        <w:rPr>
          <w:rFonts w:asciiTheme="majorHAnsi" w:hAnsiTheme="majorHAnsi"/>
          <w:sz w:val="20"/>
          <w:szCs w:val="20"/>
          <w:lang w:val="es-ES"/>
        </w:rPr>
        <w:t xml:space="preserve"> para el procesamiento por comisión de actos de tortura</w:t>
      </w:r>
      <w:r w:rsidRPr="003673A9">
        <w:rPr>
          <w:rFonts w:asciiTheme="majorHAnsi" w:hAnsiTheme="majorHAnsi"/>
          <w:sz w:val="20"/>
          <w:szCs w:val="20"/>
          <w:lang w:val="es-ES"/>
        </w:rPr>
        <w:t xml:space="preserve">. </w:t>
      </w:r>
      <w:r w:rsidR="00F5251E" w:rsidRPr="003673A9">
        <w:rPr>
          <w:rFonts w:asciiTheme="majorHAnsi" w:hAnsiTheme="majorHAnsi"/>
          <w:sz w:val="20"/>
          <w:szCs w:val="20"/>
          <w:lang w:val="es-ES"/>
        </w:rPr>
        <w:t xml:space="preserve">Sin embargo, los peticionarios sostienen que los policías que </w:t>
      </w:r>
      <w:r w:rsidR="00900BBD" w:rsidRPr="003673A9">
        <w:rPr>
          <w:rFonts w:asciiTheme="majorHAnsi" w:hAnsiTheme="majorHAnsi"/>
          <w:sz w:val="20"/>
          <w:szCs w:val="20"/>
          <w:lang w:val="es-ES"/>
        </w:rPr>
        <w:t xml:space="preserve">habrían detenido </w:t>
      </w:r>
      <w:r w:rsidR="00F5251E" w:rsidRPr="003673A9">
        <w:rPr>
          <w:rFonts w:asciiTheme="majorHAnsi" w:hAnsiTheme="majorHAnsi"/>
          <w:sz w:val="20"/>
          <w:szCs w:val="20"/>
          <w:lang w:val="es-ES"/>
        </w:rPr>
        <w:t>y tortura</w:t>
      </w:r>
      <w:r w:rsidR="00900BBD" w:rsidRPr="003673A9">
        <w:rPr>
          <w:rFonts w:asciiTheme="majorHAnsi" w:hAnsiTheme="majorHAnsi"/>
          <w:sz w:val="20"/>
          <w:szCs w:val="20"/>
          <w:lang w:val="es-ES"/>
        </w:rPr>
        <w:t>do</w:t>
      </w:r>
      <w:r w:rsidR="00F5251E" w:rsidRPr="003673A9">
        <w:rPr>
          <w:rFonts w:asciiTheme="majorHAnsi" w:hAnsiTheme="majorHAnsi"/>
          <w:sz w:val="20"/>
          <w:szCs w:val="20"/>
          <w:lang w:val="es-ES"/>
        </w:rPr>
        <w:t xml:space="preserve"> a la presunta víctima, le </w:t>
      </w:r>
      <w:r w:rsidR="00900BBD" w:rsidRPr="003673A9">
        <w:rPr>
          <w:rFonts w:asciiTheme="majorHAnsi" w:hAnsiTheme="majorHAnsi"/>
          <w:sz w:val="20"/>
          <w:szCs w:val="20"/>
          <w:lang w:val="es-ES"/>
        </w:rPr>
        <w:t xml:space="preserve">habrían continuamente preguntado </w:t>
      </w:r>
      <w:r w:rsidR="00F5251E" w:rsidRPr="003673A9">
        <w:rPr>
          <w:rFonts w:asciiTheme="majorHAnsi" w:hAnsiTheme="majorHAnsi"/>
          <w:sz w:val="20"/>
          <w:szCs w:val="20"/>
          <w:lang w:val="es-ES"/>
        </w:rPr>
        <w:t>sobre el paradero de su hermano</w:t>
      </w:r>
      <w:r w:rsidR="00900BBD" w:rsidRPr="003673A9">
        <w:rPr>
          <w:rFonts w:asciiTheme="majorHAnsi" w:hAnsiTheme="majorHAnsi"/>
          <w:sz w:val="20"/>
          <w:szCs w:val="20"/>
          <w:lang w:val="es-ES"/>
        </w:rPr>
        <w:t xml:space="preserve">, </w:t>
      </w:r>
      <w:r w:rsidR="00F5251E" w:rsidRPr="003673A9">
        <w:rPr>
          <w:rFonts w:asciiTheme="majorHAnsi" w:hAnsiTheme="majorHAnsi"/>
          <w:sz w:val="20"/>
          <w:szCs w:val="20"/>
          <w:lang w:val="es-ES"/>
        </w:rPr>
        <w:t>quien te</w:t>
      </w:r>
      <w:r w:rsidR="00900BBD" w:rsidRPr="003673A9">
        <w:rPr>
          <w:rFonts w:asciiTheme="majorHAnsi" w:hAnsiTheme="majorHAnsi"/>
          <w:sz w:val="20"/>
          <w:szCs w:val="20"/>
          <w:lang w:val="es-ES"/>
        </w:rPr>
        <w:t>ndría</w:t>
      </w:r>
      <w:r w:rsidR="00F5251E" w:rsidRPr="003673A9">
        <w:rPr>
          <w:rFonts w:asciiTheme="majorHAnsi" w:hAnsiTheme="majorHAnsi"/>
          <w:sz w:val="20"/>
          <w:szCs w:val="20"/>
          <w:lang w:val="es-ES"/>
        </w:rPr>
        <w:t xml:space="preserve"> una orden de captura por el delito de homicidio</w:t>
      </w:r>
      <w:r w:rsidR="00900BBD" w:rsidRPr="003673A9">
        <w:rPr>
          <w:rFonts w:asciiTheme="majorHAnsi" w:hAnsiTheme="majorHAnsi"/>
          <w:sz w:val="20"/>
          <w:szCs w:val="20"/>
          <w:lang w:val="es-ES"/>
        </w:rPr>
        <w:t>.</w:t>
      </w:r>
      <w:r w:rsidR="00795E9B" w:rsidRPr="003673A9">
        <w:rPr>
          <w:rFonts w:asciiTheme="majorHAnsi" w:hAnsiTheme="majorHAnsi"/>
          <w:sz w:val="20"/>
          <w:szCs w:val="20"/>
          <w:lang w:val="es-ES"/>
        </w:rPr>
        <w:t xml:space="preserve"> </w:t>
      </w:r>
      <w:r w:rsidR="00900BBD" w:rsidRPr="003673A9">
        <w:rPr>
          <w:rFonts w:asciiTheme="majorHAnsi" w:hAnsiTheme="majorHAnsi"/>
          <w:sz w:val="20"/>
          <w:szCs w:val="20"/>
          <w:lang w:val="es-ES"/>
        </w:rPr>
        <w:t>A</w:t>
      </w:r>
      <w:r w:rsidR="00F5251E" w:rsidRPr="003673A9">
        <w:rPr>
          <w:rFonts w:asciiTheme="majorHAnsi" w:hAnsiTheme="majorHAnsi"/>
          <w:sz w:val="20"/>
          <w:szCs w:val="20"/>
          <w:lang w:val="es-ES"/>
        </w:rPr>
        <w:t xml:space="preserve">simismo, </w:t>
      </w:r>
      <w:r w:rsidR="00900BBD" w:rsidRPr="003673A9">
        <w:rPr>
          <w:rFonts w:asciiTheme="majorHAnsi" w:hAnsiTheme="majorHAnsi"/>
          <w:sz w:val="20"/>
          <w:szCs w:val="20"/>
          <w:lang w:val="es-ES"/>
        </w:rPr>
        <w:t xml:space="preserve">agregan que </w:t>
      </w:r>
      <w:r w:rsidR="00F5251E" w:rsidRPr="003673A9">
        <w:rPr>
          <w:rFonts w:asciiTheme="majorHAnsi" w:hAnsiTheme="majorHAnsi"/>
          <w:sz w:val="20"/>
          <w:szCs w:val="20"/>
          <w:lang w:val="es-ES"/>
        </w:rPr>
        <w:t xml:space="preserve">los abusos </w:t>
      </w:r>
      <w:r w:rsidR="00900BBD" w:rsidRPr="003673A9">
        <w:rPr>
          <w:rFonts w:asciiTheme="majorHAnsi" w:hAnsiTheme="majorHAnsi"/>
          <w:sz w:val="20"/>
          <w:szCs w:val="20"/>
          <w:lang w:val="es-ES"/>
        </w:rPr>
        <w:t xml:space="preserve">habrían sido </w:t>
      </w:r>
      <w:r w:rsidR="00F5251E" w:rsidRPr="003673A9">
        <w:rPr>
          <w:rFonts w:asciiTheme="majorHAnsi" w:hAnsiTheme="majorHAnsi"/>
          <w:sz w:val="20"/>
          <w:szCs w:val="20"/>
          <w:lang w:val="es-ES"/>
        </w:rPr>
        <w:t>cometidos con la intención de castigar a la presunta víctima por su orientación sexual.</w:t>
      </w:r>
      <w:r w:rsidRPr="003673A9">
        <w:rPr>
          <w:rFonts w:asciiTheme="majorHAnsi" w:hAnsiTheme="majorHAnsi"/>
          <w:sz w:val="20"/>
          <w:szCs w:val="20"/>
          <w:lang w:val="es-ES"/>
        </w:rPr>
        <w:t xml:space="preserve"> </w:t>
      </w:r>
    </w:p>
    <w:p w:rsidR="00F5251E" w:rsidRPr="003673A9" w:rsidRDefault="00F5251E" w:rsidP="003673A9">
      <w:pPr>
        <w:pStyle w:val="ListParagraph"/>
        <w:rPr>
          <w:rFonts w:asciiTheme="majorHAnsi" w:hAnsiTheme="majorHAnsi"/>
          <w:sz w:val="20"/>
          <w:szCs w:val="20"/>
          <w:lang w:val="es-ES"/>
        </w:rPr>
      </w:pPr>
    </w:p>
    <w:p w:rsidR="007D692F" w:rsidRPr="003673A9" w:rsidRDefault="006B657C"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E</w:t>
      </w:r>
      <w:r w:rsidR="007D692F" w:rsidRPr="003673A9">
        <w:rPr>
          <w:rFonts w:asciiTheme="majorHAnsi" w:hAnsiTheme="majorHAnsi"/>
          <w:sz w:val="20"/>
          <w:szCs w:val="20"/>
          <w:lang w:val="es-ES"/>
        </w:rPr>
        <w:t xml:space="preserve">l 24 de marzo de 2008, el Ministerio Público </w:t>
      </w:r>
      <w:r w:rsidR="00900BBD" w:rsidRPr="003673A9">
        <w:rPr>
          <w:rFonts w:asciiTheme="majorHAnsi" w:hAnsiTheme="majorHAnsi"/>
          <w:sz w:val="20"/>
          <w:szCs w:val="20"/>
          <w:lang w:val="es-ES"/>
        </w:rPr>
        <w:t xml:space="preserve">habría ordenado </w:t>
      </w:r>
      <w:r w:rsidR="007D692F" w:rsidRPr="003673A9">
        <w:rPr>
          <w:rFonts w:asciiTheme="majorHAnsi" w:hAnsiTheme="majorHAnsi"/>
          <w:sz w:val="20"/>
          <w:szCs w:val="20"/>
          <w:lang w:val="es-ES"/>
        </w:rPr>
        <w:t xml:space="preserve">el inicio de una investigación destinada </w:t>
      </w:r>
      <w:r w:rsidR="00900BBD" w:rsidRPr="003673A9">
        <w:rPr>
          <w:rFonts w:asciiTheme="majorHAnsi" w:hAnsiTheme="majorHAnsi"/>
          <w:sz w:val="20"/>
          <w:szCs w:val="20"/>
          <w:lang w:val="es-ES"/>
        </w:rPr>
        <w:t xml:space="preserve">únicamente </w:t>
      </w:r>
      <w:r w:rsidR="007D692F" w:rsidRPr="003673A9">
        <w:rPr>
          <w:rFonts w:asciiTheme="majorHAnsi" w:hAnsiTheme="majorHAnsi"/>
          <w:sz w:val="20"/>
          <w:szCs w:val="20"/>
          <w:lang w:val="es-ES"/>
        </w:rPr>
        <w:t xml:space="preserve">a esclarecer la presunta comisión de los delitos de violación sexual agravada y abuso de autoridad. El 23 de julio de 2008, la Fiscalía Segunda Provincial Penal </w:t>
      </w:r>
      <w:r w:rsidR="000C27D9" w:rsidRPr="003673A9">
        <w:rPr>
          <w:rFonts w:asciiTheme="majorHAnsi" w:hAnsiTheme="majorHAnsi"/>
          <w:sz w:val="20"/>
          <w:szCs w:val="20"/>
          <w:lang w:val="es-ES"/>
        </w:rPr>
        <w:t xml:space="preserve">de la Provincia de </w:t>
      </w:r>
      <w:proofErr w:type="spellStart"/>
      <w:r w:rsidR="000C27D9" w:rsidRPr="003673A9">
        <w:rPr>
          <w:rFonts w:asciiTheme="majorHAnsi" w:hAnsiTheme="majorHAnsi"/>
          <w:sz w:val="20"/>
          <w:szCs w:val="20"/>
          <w:lang w:val="es-ES"/>
        </w:rPr>
        <w:t>Ascope</w:t>
      </w:r>
      <w:proofErr w:type="spellEnd"/>
      <w:r w:rsidR="000C27D9" w:rsidRPr="003673A9">
        <w:rPr>
          <w:rFonts w:asciiTheme="majorHAnsi" w:hAnsiTheme="majorHAnsi"/>
          <w:sz w:val="20"/>
          <w:szCs w:val="20"/>
          <w:lang w:val="es-ES"/>
        </w:rPr>
        <w:t xml:space="preserve"> habría denegado</w:t>
      </w:r>
      <w:r w:rsidR="007D692F" w:rsidRPr="003673A9">
        <w:rPr>
          <w:rFonts w:asciiTheme="majorHAnsi" w:hAnsiTheme="majorHAnsi"/>
          <w:sz w:val="20"/>
          <w:szCs w:val="20"/>
          <w:lang w:val="es-ES"/>
        </w:rPr>
        <w:t xml:space="preserve"> la solicitud de ampliar la investigación </w:t>
      </w:r>
      <w:r w:rsidR="00E459A3" w:rsidRPr="003673A9">
        <w:rPr>
          <w:rFonts w:asciiTheme="majorHAnsi" w:hAnsiTheme="majorHAnsi"/>
          <w:sz w:val="20"/>
          <w:szCs w:val="20"/>
          <w:lang w:val="es-ES"/>
        </w:rPr>
        <w:t xml:space="preserve">sobre </w:t>
      </w:r>
      <w:r w:rsidR="007D692F" w:rsidRPr="003673A9">
        <w:rPr>
          <w:rFonts w:asciiTheme="majorHAnsi" w:hAnsiTheme="majorHAnsi"/>
          <w:sz w:val="20"/>
          <w:szCs w:val="20"/>
          <w:lang w:val="es-ES"/>
        </w:rPr>
        <w:t xml:space="preserve">presuntos actos de tortura </w:t>
      </w:r>
      <w:r w:rsidR="00E459A3" w:rsidRPr="003673A9">
        <w:rPr>
          <w:rFonts w:asciiTheme="majorHAnsi" w:hAnsiTheme="majorHAnsi"/>
          <w:sz w:val="20"/>
          <w:szCs w:val="20"/>
          <w:lang w:val="es-ES"/>
        </w:rPr>
        <w:t xml:space="preserve">cometidos </w:t>
      </w:r>
      <w:r w:rsidR="007D692F" w:rsidRPr="003673A9">
        <w:rPr>
          <w:rFonts w:asciiTheme="majorHAnsi" w:hAnsiTheme="majorHAnsi"/>
          <w:sz w:val="20"/>
          <w:szCs w:val="20"/>
          <w:lang w:val="es-ES"/>
        </w:rPr>
        <w:t xml:space="preserve">contra Luis Alberto Rojas Marín.  Esta decisión </w:t>
      </w:r>
      <w:r w:rsidR="00E459A3" w:rsidRPr="003673A9">
        <w:rPr>
          <w:rFonts w:asciiTheme="majorHAnsi" w:hAnsiTheme="majorHAnsi"/>
          <w:sz w:val="20"/>
          <w:szCs w:val="20"/>
          <w:lang w:val="es-ES"/>
        </w:rPr>
        <w:t xml:space="preserve">habría sido </w:t>
      </w:r>
      <w:r w:rsidR="007D692F" w:rsidRPr="003673A9">
        <w:rPr>
          <w:rFonts w:asciiTheme="majorHAnsi" w:hAnsiTheme="majorHAnsi"/>
          <w:sz w:val="20"/>
          <w:szCs w:val="20"/>
          <w:lang w:val="es-ES"/>
        </w:rPr>
        <w:t xml:space="preserve">confirmada el 28 de agosto de 2008 por la Primera Fiscalía Superior de lo Penal del Distrito Judicial de la Libertad. </w:t>
      </w:r>
      <w:r w:rsidR="00E459A3" w:rsidRPr="003673A9">
        <w:rPr>
          <w:rFonts w:asciiTheme="majorHAnsi" w:hAnsiTheme="majorHAnsi"/>
          <w:sz w:val="20"/>
          <w:szCs w:val="20"/>
          <w:lang w:val="es-ES"/>
        </w:rPr>
        <w:t>Asimismo, e</w:t>
      </w:r>
      <w:r w:rsidR="007D692F" w:rsidRPr="003673A9">
        <w:rPr>
          <w:rFonts w:asciiTheme="majorHAnsi" w:hAnsiTheme="majorHAnsi"/>
          <w:sz w:val="20"/>
          <w:szCs w:val="20"/>
          <w:lang w:val="es-ES"/>
        </w:rPr>
        <w:t xml:space="preserve">l recurso de nulidad interpuesto contra esta decisión </w:t>
      </w:r>
      <w:r w:rsidR="00E459A3" w:rsidRPr="003673A9">
        <w:rPr>
          <w:rFonts w:asciiTheme="majorHAnsi" w:hAnsiTheme="majorHAnsi"/>
          <w:sz w:val="20"/>
          <w:szCs w:val="20"/>
          <w:lang w:val="es-ES"/>
        </w:rPr>
        <w:t xml:space="preserve">habría sido </w:t>
      </w:r>
      <w:r w:rsidR="007D692F" w:rsidRPr="003673A9">
        <w:rPr>
          <w:rFonts w:asciiTheme="majorHAnsi" w:hAnsiTheme="majorHAnsi"/>
          <w:sz w:val="20"/>
          <w:szCs w:val="20"/>
          <w:lang w:val="es-ES"/>
        </w:rPr>
        <w:t>declarado improcedente el 15 de octubre de 2008.</w:t>
      </w:r>
    </w:p>
    <w:p w:rsidR="007D692F" w:rsidRPr="003673A9" w:rsidRDefault="007D692F" w:rsidP="003673A9">
      <w:pPr>
        <w:ind w:left="720"/>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Con respecto a esto, agregan que los fiscales y jueces frecuentemente califica</w:t>
      </w:r>
      <w:r w:rsidR="00E459A3" w:rsidRPr="003673A9">
        <w:rPr>
          <w:rFonts w:asciiTheme="majorHAnsi" w:hAnsiTheme="majorHAnsi"/>
          <w:sz w:val="20"/>
          <w:szCs w:val="20"/>
          <w:lang w:val="es-ES"/>
        </w:rPr>
        <w:t>ría</w:t>
      </w:r>
      <w:r w:rsidRPr="003673A9">
        <w:rPr>
          <w:rFonts w:asciiTheme="majorHAnsi" w:hAnsiTheme="majorHAnsi"/>
          <w:sz w:val="20"/>
          <w:szCs w:val="20"/>
          <w:lang w:val="es-ES"/>
        </w:rPr>
        <w:t xml:space="preserve">n los actos que constituyen tortura como un delito de abuso de autoridad. </w:t>
      </w:r>
      <w:r w:rsidR="00E459A3" w:rsidRPr="003673A9">
        <w:rPr>
          <w:rFonts w:asciiTheme="majorHAnsi" w:hAnsiTheme="majorHAnsi"/>
          <w:sz w:val="20"/>
          <w:szCs w:val="20"/>
          <w:lang w:val="es-ES"/>
        </w:rPr>
        <w:t xml:space="preserve">Indican </w:t>
      </w:r>
      <w:r w:rsidRPr="003673A9">
        <w:rPr>
          <w:rFonts w:asciiTheme="majorHAnsi" w:hAnsiTheme="majorHAnsi"/>
          <w:sz w:val="20"/>
          <w:szCs w:val="20"/>
          <w:lang w:val="es-ES"/>
        </w:rPr>
        <w:t xml:space="preserve">que el mencionado artículo 321 del Código Penal </w:t>
      </w:r>
      <w:r w:rsidR="00E459A3" w:rsidRPr="003673A9">
        <w:rPr>
          <w:rFonts w:asciiTheme="majorHAnsi" w:hAnsiTheme="majorHAnsi"/>
          <w:sz w:val="20"/>
          <w:szCs w:val="20"/>
          <w:lang w:val="es-ES"/>
        </w:rPr>
        <w:t xml:space="preserve">sería </w:t>
      </w:r>
      <w:r w:rsidRPr="003673A9">
        <w:rPr>
          <w:rFonts w:asciiTheme="majorHAnsi" w:hAnsiTheme="majorHAnsi"/>
          <w:sz w:val="20"/>
          <w:szCs w:val="20"/>
          <w:lang w:val="es-ES"/>
        </w:rPr>
        <w:t xml:space="preserve">demasiado </w:t>
      </w:r>
      <w:r w:rsidR="006B657C" w:rsidRPr="003673A9">
        <w:rPr>
          <w:rFonts w:asciiTheme="majorHAnsi" w:hAnsiTheme="majorHAnsi"/>
          <w:sz w:val="20"/>
          <w:szCs w:val="20"/>
          <w:lang w:val="es-ES"/>
        </w:rPr>
        <w:t>restrictivo</w:t>
      </w:r>
      <w:r w:rsidR="00E459A3" w:rsidRPr="003673A9">
        <w:rPr>
          <w:rFonts w:asciiTheme="majorHAnsi" w:hAnsiTheme="majorHAnsi"/>
          <w:sz w:val="20"/>
          <w:szCs w:val="20"/>
          <w:lang w:val="es-ES"/>
        </w:rPr>
        <w:t xml:space="preserve"> </w:t>
      </w:r>
      <w:r w:rsidRPr="003673A9">
        <w:rPr>
          <w:rFonts w:asciiTheme="majorHAnsi" w:hAnsiTheme="majorHAnsi"/>
          <w:sz w:val="20"/>
          <w:szCs w:val="20"/>
          <w:lang w:val="es-ES"/>
        </w:rPr>
        <w:t xml:space="preserve">respecto del elemento subjetivo y </w:t>
      </w:r>
      <w:r w:rsidR="00E459A3" w:rsidRPr="003673A9">
        <w:rPr>
          <w:rFonts w:asciiTheme="majorHAnsi" w:hAnsiTheme="majorHAnsi"/>
          <w:sz w:val="20"/>
          <w:szCs w:val="20"/>
          <w:lang w:val="es-ES"/>
        </w:rPr>
        <w:t xml:space="preserve">estaría </w:t>
      </w:r>
      <w:r w:rsidRPr="003673A9">
        <w:rPr>
          <w:rFonts w:asciiTheme="majorHAnsi" w:hAnsiTheme="majorHAnsi"/>
          <w:sz w:val="20"/>
          <w:szCs w:val="20"/>
          <w:lang w:val="es-ES"/>
        </w:rPr>
        <w:t xml:space="preserve">en clara discrepancia con lo establecido por el artículo 2 de la Convención Interamericana para Prevenir y Sancionar la </w:t>
      </w:r>
      <w:r w:rsidR="000730B7" w:rsidRPr="003673A9">
        <w:rPr>
          <w:rFonts w:asciiTheme="majorHAnsi" w:hAnsiTheme="majorHAnsi"/>
          <w:sz w:val="20"/>
          <w:szCs w:val="20"/>
          <w:lang w:val="es-ES"/>
        </w:rPr>
        <w:t>Tortura, ratificada por Perú, el cual establece</w:t>
      </w:r>
      <w:r w:rsidRPr="003673A9">
        <w:rPr>
          <w:rFonts w:asciiTheme="majorHAnsi" w:hAnsiTheme="majorHAnsi"/>
          <w:sz w:val="20"/>
          <w:szCs w:val="20"/>
          <w:lang w:val="es-ES"/>
        </w:rPr>
        <w:t xml:space="preserve"> que, entre otros motivos, la tortura puede ser cometida “con cualquier ot</w:t>
      </w:r>
      <w:r w:rsidR="000730B7" w:rsidRPr="003673A9">
        <w:rPr>
          <w:rFonts w:asciiTheme="majorHAnsi" w:hAnsiTheme="majorHAnsi"/>
          <w:sz w:val="20"/>
          <w:szCs w:val="20"/>
          <w:lang w:val="es-ES"/>
        </w:rPr>
        <w:t>ro fin”. En este sentido</w:t>
      </w:r>
      <w:r w:rsidRPr="003673A9">
        <w:rPr>
          <w:rFonts w:asciiTheme="majorHAnsi" w:hAnsiTheme="majorHAnsi"/>
          <w:sz w:val="20"/>
          <w:szCs w:val="20"/>
          <w:lang w:val="es-ES"/>
        </w:rPr>
        <w:t xml:space="preserve">, alegan que los motivos de discriminación por orientación sexual no </w:t>
      </w:r>
      <w:r w:rsidR="00E459A3" w:rsidRPr="003673A9">
        <w:rPr>
          <w:rFonts w:asciiTheme="majorHAnsi" w:hAnsiTheme="majorHAnsi"/>
          <w:sz w:val="20"/>
          <w:szCs w:val="20"/>
          <w:lang w:val="es-ES"/>
        </w:rPr>
        <w:t xml:space="preserve">habrían </w:t>
      </w:r>
      <w:r w:rsidRPr="003673A9">
        <w:rPr>
          <w:rFonts w:asciiTheme="majorHAnsi" w:hAnsiTheme="majorHAnsi"/>
          <w:sz w:val="20"/>
          <w:szCs w:val="20"/>
          <w:lang w:val="es-ES"/>
        </w:rPr>
        <w:t xml:space="preserve">sido considerados como motivos de actos de tortura en el sistema judicial peruano.   </w:t>
      </w:r>
    </w:p>
    <w:p w:rsidR="007D692F" w:rsidRPr="003673A9" w:rsidRDefault="007D692F" w:rsidP="003673A9">
      <w:pPr>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Además, alegan que el Estado </w:t>
      </w:r>
      <w:r w:rsidR="00E459A3" w:rsidRPr="003673A9">
        <w:rPr>
          <w:rFonts w:asciiTheme="majorHAnsi" w:hAnsiTheme="majorHAnsi"/>
          <w:sz w:val="20"/>
          <w:szCs w:val="20"/>
          <w:lang w:val="es-ES"/>
        </w:rPr>
        <w:t xml:space="preserve">habría incumplido </w:t>
      </w:r>
      <w:r w:rsidRPr="003673A9">
        <w:rPr>
          <w:rFonts w:asciiTheme="majorHAnsi" w:hAnsiTheme="majorHAnsi"/>
          <w:sz w:val="20"/>
          <w:szCs w:val="20"/>
          <w:lang w:val="es-ES"/>
        </w:rPr>
        <w:t xml:space="preserve">con su deber de administrar justicia con relación a los hechos denunciados, dado que el proceso </w:t>
      </w:r>
      <w:r w:rsidR="00896730" w:rsidRPr="003673A9">
        <w:rPr>
          <w:rFonts w:asciiTheme="majorHAnsi" w:hAnsiTheme="majorHAnsi"/>
          <w:sz w:val="20"/>
          <w:szCs w:val="20"/>
          <w:lang w:val="es-ES"/>
        </w:rPr>
        <w:t xml:space="preserve">habría culminado </w:t>
      </w:r>
      <w:r w:rsidRPr="003673A9">
        <w:rPr>
          <w:rFonts w:asciiTheme="majorHAnsi" w:hAnsiTheme="majorHAnsi"/>
          <w:sz w:val="20"/>
          <w:szCs w:val="20"/>
          <w:lang w:val="es-ES"/>
        </w:rPr>
        <w:t xml:space="preserve">con un auto de sobreseimiento de fecha 9 de enero de 2009, en respuesta a la solicitud del Segundo Despacho de la Fiscalía Provincial Penal de </w:t>
      </w:r>
      <w:proofErr w:type="spellStart"/>
      <w:r w:rsidRPr="003673A9">
        <w:rPr>
          <w:rFonts w:asciiTheme="majorHAnsi" w:hAnsiTheme="majorHAnsi"/>
          <w:sz w:val="20"/>
          <w:szCs w:val="20"/>
          <w:lang w:val="es-ES"/>
        </w:rPr>
        <w:t>Ascope</w:t>
      </w:r>
      <w:proofErr w:type="spellEnd"/>
      <w:r w:rsidRPr="003673A9">
        <w:rPr>
          <w:rFonts w:asciiTheme="majorHAnsi" w:hAnsiTheme="majorHAnsi"/>
          <w:sz w:val="20"/>
          <w:szCs w:val="20"/>
          <w:lang w:val="es-ES"/>
        </w:rPr>
        <w:t xml:space="preserve">, de fecha 20 de octubre de 2008. Alegan que el sobreseimiento </w:t>
      </w:r>
      <w:r w:rsidR="00896730" w:rsidRPr="003673A9">
        <w:rPr>
          <w:rFonts w:asciiTheme="majorHAnsi" w:hAnsiTheme="majorHAnsi"/>
          <w:sz w:val="20"/>
          <w:szCs w:val="20"/>
          <w:lang w:val="es-ES"/>
        </w:rPr>
        <w:t xml:space="preserve">habría desestimado </w:t>
      </w:r>
      <w:r w:rsidRPr="003673A9">
        <w:rPr>
          <w:rFonts w:asciiTheme="majorHAnsi" w:hAnsiTheme="majorHAnsi"/>
          <w:sz w:val="20"/>
          <w:szCs w:val="20"/>
          <w:lang w:val="es-ES"/>
        </w:rPr>
        <w:t xml:space="preserve">la presunta comisión del delito de abuso de autoridad, con base en la norma que autoriza </w:t>
      </w:r>
      <w:r w:rsidR="00896730" w:rsidRPr="003673A9">
        <w:rPr>
          <w:rFonts w:asciiTheme="majorHAnsi" w:hAnsiTheme="majorHAnsi"/>
          <w:sz w:val="20"/>
          <w:szCs w:val="20"/>
          <w:lang w:val="es-ES"/>
        </w:rPr>
        <w:t xml:space="preserve">a </w:t>
      </w:r>
      <w:r w:rsidRPr="003673A9">
        <w:rPr>
          <w:rFonts w:asciiTheme="majorHAnsi" w:hAnsiTheme="majorHAnsi"/>
          <w:sz w:val="20"/>
          <w:szCs w:val="20"/>
          <w:lang w:val="es-ES"/>
        </w:rPr>
        <w:t xml:space="preserve">conducir a cualquier persona sin documentos a una dependencia policial a efectos de lograr su plena identificación; y </w:t>
      </w:r>
      <w:r w:rsidR="00896730" w:rsidRPr="003673A9">
        <w:rPr>
          <w:rFonts w:asciiTheme="majorHAnsi" w:hAnsiTheme="majorHAnsi"/>
          <w:sz w:val="20"/>
          <w:szCs w:val="20"/>
          <w:lang w:val="es-ES"/>
        </w:rPr>
        <w:t xml:space="preserve">habría cuestionado </w:t>
      </w:r>
      <w:r w:rsidRPr="003673A9">
        <w:rPr>
          <w:rFonts w:asciiTheme="majorHAnsi" w:hAnsiTheme="majorHAnsi"/>
          <w:sz w:val="20"/>
          <w:szCs w:val="20"/>
          <w:lang w:val="es-ES"/>
        </w:rPr>
        <w:t>la veracidad de las declaraciones de la presunta víctima</w:t>
      </w:r>
      <w:r w:rsidR="00896730" w:rsidRPr="003673A9">
        <w:rPr>
          <w:rFonts w:asciiTheme="majorHAnsi" w:hAnsiTheme="majorHAnsi"/>
          <w:sz w:val="20"/>
          <w:szCs w:val="20"/>
          <w:lang w:val="es-ES"/>
        </w:rPr>
        <w:t xml:space="preserve">, </w:t>
      </w:r>
      <w:r w:rsidR="00FF7843">
        <w:rPr>
          <w:rFonts w:asciiTheme="majorHAnsi" w:hAnsiTheme="majorHAnsi"/>
          <w:sz w:val="20"/>
          <w:szCs w:val="20"/>
          <w:lang w:val="es-ES"/>
        </w:rPr>
        <w:t xml:space="preserve">y </w:t>
      </w:r>
      <w:r w:rsidR="00896730" w:rsidRPr="003673A9">
        <w:rPr>
          <w:rFonts w:asciiTheme="majorHAnsi" w:hAnsiTheme="majorHAnsi"/>
          <w:sz w:val="20"/>
          <w:szCs w:val="20"/>
          <w:lang w:val="es-ES"/>
        </w:rPr>
        <w:t>desestimado</w:t>
      </w:r>
      <w:r w:rsidRPr="003673A9">
        <w:rPr>
          <w:rFonts w:asciiTheme="majorHAnsi" w:hAnsiTheme="majorHAnsi"/>
          <w:sz w:val="20"/>
          <w:szCs w:val="20"/>
          <w:lang w:val="es-ES"/>
        </w:rPr>
        <w:t xml:space="preserve"> las alegaciones </w:t>
      </w:r>
      <w:r w:rsidR="00896730" w:rsidRPr="003673A9">
        <w:rPr>
          <w:rFonts w:asciiTheme="majorHAnsi" w:hAnsiTheme="majorHAnsi"/>
          <w:sz w:val="20"/>
          <w:szCs w:val="20"/>
          <w:lang w:val="es-ES"/>
        </w:rPr>
        <w:t xml:space="preserve">respecto de la </w:t>
      </w:r>
      <w:r w:rsidRPr="003673A9">
        <w:rPr>
          <w:rFonts w:asciiTheme="majorHAnsi" w:hAnsiTheme="majorHAnsi"/>
          <w:sz w:val="20"/>
          <w:szCs w:val="20"/>
          <w:lang w:val="es-ES"/>
        </w:rPr>
        <w:t xml:space="preserve">violación sexual agravada.  Alegan que esta decisión </w:t>
      </w:r>
      <w:r w:rsidR="00896730"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apelada por la presunta víctima</w:t>
      </w:r>
      <w:r w:rsidR="00896730" w:rsidRPr="003673A9">
        <w:rPr>
          <w:rFonts w:asciiTheme="majorHAnsi" w:hAnsiTheme="majorHAnsi"/>
          <w:sz w:val="20"/>
          <w:szCs w:val="20"/>
          <w:lang w:val="es-ES"/>
        </w:rPr>
        <w:t>,</w:t>
      </w:r>
      <w:r w:rsidRPr="003673A9">
        <w:rPr>
          <w:rFonts w:asciiTheme="majorHAnsi" w:hAnsiTheme="majorHAnsi"/>
          <w:sz w:val="20"/>
          <w:szCs w:val="20"/>
          <w:lang w:val="es-ES"/>
        </w:rPr>
        <w:t xml:space="preserve"> pero el recurso </w:t>
      </w:r>
      <w:r w:rsidR="00896730" w:rsidRPr="003673A9">
        <w:rPr>
          <w:rFonts w:asciiTheme="majorHAnsi" w:hAnsiTheme="majorHAnsi"/>
          <w:sz w:val="20"/>
          <w:szCs w:val="20"/>
          <w:lang w:val="es-ES"/>
        </w:rPr>
        <w:t xml:space="preserve">habría sido </w:t>
      </w:r>
      <w:r w:rsidRPr="003673A9">
        <w:rPr>
          <w:rFonts w:asciiTheme="majorHAnsi" w:hAnsiTheme="majorHAnsi"/>
          <w:sz w:val="20"/>
          <w:szCs w:val="20"/>
          <w:lang w:val="es-ES"/>
        </w:rPr>
        <w:t>desestimado por razones de forma</w:t>
      </w:r>
      <w:r w:rsidR="00896730" w:rsidRPr="003673A9">
        <w:rPr>
          <w:rFonts w:asciiTheme="majorHAnsi" w:hAnsiTheme="majorHAnsi"/>
          <w:sz w:val="20"/>
          <w:szCs w:val="20"/>
          <w:lang w:val="es-ES"/>
        </w:rPr>
        <w:t xml:space="preserve">. Aun así, sostienen que, </w:t>
      </w:r>
      <w:r w:rsidRPr="003673A9">
        <w:rPr>
          <w:rFonts w:asciiTheme="majorHAnsi" w:hAnsiTheme="majorHAnsi"/>
          <w:sz w:val="20"/>
          <w:szCs w:val="20"/>
          <w:lang w:val="es-ES"/>
        </w:rPr>
        <w:t xml:space="preserve">de cualquier forma, este recurso no era adecuado </w:t>
      </w:r>
      <w:r w:rsidR="00896730" w:rsidRPr="003673A9">
        <w:rPr>
          <w:rFonts w:asciiTheme="majorHAnsi" w:hAnsiTheme="majorHAnsi"/>
          <w:sz w:val="20"/>
          <w:szCs w:val="20"/>
          <w:lang w:val="es-ES"/>
        </w:rPr>
        <w:t xml:space="preserve">ni </w:t>
      </w:r>
      <w:r w:rsidRPr="003673A9">
        <w:rPr>
          <w:rFonts w:asciiTheme="majorHAnsi" w:hAnsiTheme="majorHAnsi"/>
          <w:sz w:val="20"/>
          <w:szCs w:val="20"/>
          <w:lang w:val="es-ES"/>
        </w:rPr>
        <w:t xml:space="preserve">efectivo para considerar </w:t>
      </w:r>
      <w:r w:rsidR="009F43E9" w:rsidRPr="003673A9">
        <w:rPr>
          <w:rFonts w:asciiTheme="majorHAnsi" w:hAnsiTheme="majorHAnsi"/>
          <w:sz w:val="20"/>
          <w:szCs w:val="20"/>
          <w:lang w:val="es-ES"/>
        </w:rPr>
        <w:t>el alegato</w:t>
      </w:r>
      <w:r w:rsidRPr="003673A9">
        <w:rPr>
          <w:rFonts w:asciiTheme="majorHAnsi" w:hAnsiTheme="majorHAnsi"/>
          <w:sz w:val="20"/>
          <w:szCs w:val="20"/>
          <w:lang w:val="es-ES"/>
        </w:rPr>
        <w:t xml:space="preserve"> de tortura y</w:t>
      </w:r>
      <w:r w:rsidR="00896730" w:rsidRPr="003673A9">
        <w:rPr>
          <w:rFonts w:asciiTheme="majorHAnsi" w:hAnsiTheme="majorHAnsi"/>
          <w:sz w:val="20"/>
          <w:szCs w:val="20"/>
          <w:lang w:val="es-ES"/>
        </w:rPr>
        <w:t>,</w:t>
      </w:r>
      <w:r w:rsidRPr="003673A9">
        <w:rPr>
          <w:rFonts w:asciiTheme="majorHAnsi" w:hAnsiTheme="majorHAnsi"/>
          <w:sz w:val="20"/>
          <w:szCs w:val="20"/>
          <w:lang w:val="es-ES"/>
        </w:rPr>
        <w:t xml:space="preserve"> por </w:t>
      </w:r>
      <w:r w:rsidR="00896730" w:rsidRPr="003673A9">
        <w:rPr>
          <w:rFonts w:asciiTheme="majorHAnsi" w:hAnsiTheme="majorHAnsi"/>
          <w:sz w:val="20"/>
          <w:szCs w:val="20"/>
          <w:lang w:val="es-ES"/>
        </w:rPr>
        <w:t xml:space="preserve">lo </w:t>
      </w:r>
      <w:r w:rsidRPr="003673A9">
        <w:rPr>
          <w:rFonts w:asciiTheme="majorHAnsi" w:hAnsiTheme="majorHAnsi"/>
          <w:sz w:val="20"/>
          <w:szCs w:val="20"/>
          <w:lang w:val="es-ES"/>
        </w:rPr>
        <w:t>tanto</w:t>
      </w:r>
      <w:r w:rsidR="00896730" w:rsidRPr="003673A9">
        <w:rPr>
          <w:rFonts w:asciiTheme="majorHAnsi" w:hAnsiTheme="majorHAnsi"/>
          <w:sz w:val="20"/>
          <w:szCs w:val="20"/>
          <w:lang w:val="es-ES"/>
        </w:rPr>
        <w:t>,</w:t>
      </w:r>
      <w:r w:rsidRPr="003673A9">
        <w:rPr>
          <w:rFonts w:asciiTheme="majorHAnsi" w:hAnsiTheme="majorHAnsi"/>
          <w:sz w:val="20"/>
          <w:szCs w:val="20"/>
          <w:lang w:val="es-ES"/>
        </w:rPr>
        <w:t xml:space="preserve"> no </w:t>
      </w:r>
      <w:r w:rsidR="00896730" w:rsidRPr="003673A9">
        <w:rPr>
          <w:rFonts w:asciiTheme="majorHAnsi" w:hAnsiTheme="majorHAnsi"/>
          <w:sz w:val="20"/>
          <w:szCs w:val="20"/>
          <w:lang w:val="es-ES"/>
        </w:rPr>
        <w:t xml:space="preserve">estarían obligados a </w:t>
      </w:r>
      <w:r w:rsidRPr="003673A9">
        <w:rPr>
          <w:rFonts w:asciiTheme="majorHAnsi" w:hAnsiTheme="majorHAnsi"/>
          <w:sz w:val="20"/>
          <w:szCs w:val="20"/>
          <w:lang w:val="es-ES"/>
        </w:rPr>
        <w:t>agotarlo.</w:t>
      </w:r>
    </w:p>
    <w:p w:rsidR="007D692F" w:rsidRPr="003673A9" w:rsidRDefault="007D692F" w:rsidP="003673A9">
      <w:pPr>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Los peticionarios invocaron, además, recursos destinados a esclarecer la conducta irregular de </w:t>
      </w:r>
      <w:r w:rsidR="00D76A01" w:rsidRPr="003673A9">
        <w:rPr>
          <w:rFonts w:asciiTheme="majorHAnsi" w:hAnsiTheme="majorHAnsi"/>
          <w:sz w:val="20"/>
          <w:szCs w:val="20"/>
          <w:lang w:val="es-ES"/>
        </w:rPr>
        <w:t>d</w:t>
      </w:r>
      <w:r w:rsidRPr="003673A9">
        <w:rPr>
          <w:rFonts w:asciiTheme="majorHAnsi" w:hAnsiTheme="majorHAnsi"/>
          <w:sz w:val="20"/>
          <w:szCs w:val="20"/>
          <w:lang w:val="es-ES"/>
        </w:rPr>
        <w:t xml:space="preserve">os </w:t>
      </w:r>
      <w:r w:rsidR="00D76A01" w:rsidRPr="003673A9">
        <w:rPr>
          <w:rFonts w:asciiTheme="majorHAnsi" w:hAnsiTheme="majorHAnsi"/>
          <w:sz w:val="20"/>
          <w:szCs w:val="20"/>
          <w:lang w:val="es-ES"/>
        </w:rPr>
        <w:t>fiscales en el caso</w:t>
      </w:r>
      <w:r w:rsidR="000A3EF2">
        <w:rPr>
          <w:rFonts w:asciiTheme="majorHAnsi" w:hAnsiTheme="majorHAnsi"/>
          <w:sz w:val="20"/>
          <w:szCs w:val="20"/>
          <w:lang w:val="es-ES"/>
        </w:rPr>
        <w:t>, quienes habrían discriminado a la presunta víctima por su orientación sexual</w:t>
      </w:r>
      <w:r w:rsidR="00D76A01" w:rsidRPr="003673A9">
        <w:rPr>
          <w:rFonts w:asciiTheme="majorHAnsi" w:hAnsiTheme="majorHAnsi"/>
          <w:sz w:val="20"/>
          <w:szCs w:val="20"/>
          <w:lang w:val="es-ES"/>
        </w:rPr>
        <w:t>.</w:t>
      </w:r>
      <w:r w:rsidR="00A458B3" w:rsidRPr="003673A9">
        <w:rPr>
          <w:rFonts w:asciiTheme="majorHAnsi" w:hAnsiTheme="majorHAnsi"/>
          <w:sz w:val="20"/>
          <w:szCs w:val="20"/>
          <w:lang w:val="es-ES"/>
        </w:rPr>
        <w:t xml:space="preserve"> </w:t>
      </w:r>
      <w:r w:rsidR="00D76A01" w:rsidRPr="003673A9">
        <w:rPr>
          <w:rFonts w:asciiTheme="majorHAnsi" w:hAnsiTheme="majorHAnsi"/>
          <w:sz w:val="20"/>
          <w:szCs w:val="20"/>
          <w:lang w:val="es-ES"/>
        </w:rPr>
        <w:lastRenderedPageBreak/>
        <w:t>Sostiene</w:t>
      </w:r>
      <w:r w:rsidR="00FF7843">
        <w:rPr>
          <w:rFonts w:asciiTheme="majorHAnsi" w:hAnsiTheme="majorHAnsi"/>
          <w:sz w:val="20"/>
          <w:szCs w:val="20"/>
          <w:lang w:val="es-ES"/>
        </w:rPr>
        <w:t>n</w:t>
      </w:r>
      <w:r w:rsidR="00D76A01" w:rsidRPr="003673A9">
        <w:rPr>
          <w:rFonts w:asciiTheme="majorHAnsi" w:hAnsiTheme="majorHAnsi"/>
          <w:sz w:val="20"/>
          <w:szCs w:val="20"/>
          <w:lang w:val="es-ES"/>
        </w:rPr>
        <w:t xml:space="preserve"> que e</w:t>
      </w:r>
      <w:r w:rsidRPr="003673A9">
        <w:rPr>
          <w:rFonts w:asciiTheme="majorHAnsi" w:hAnsiTheme="majorHAnsi"/>
          <w:sz w:val="20"/>
          <w:szCs w:val="20"/>
          <w:lang w:val="es-ES"/>
        </w:rPr>
        <w:t xml:space="preserve">l 28 de marzo de 2008 se </w:t>
      </w:r>
      <w:r w:rsidR="008045ED" w:rsidRPr="003673A9">
        <w:rPr>
          <w:rFonts w:asciiTheme="majorHAnsi" w:hAnsiTheme="majorHAnsi"/>
          <w:sz w:val="20"/>
          <w:szCs w:val="20"/>
          <w:lang w:val="es-ES"/>
        </w:rPr>
        <w:t xml:space="preserve">habría interpuesto </w:t>
      </w:r>
      <w:r w:rsidRPr="003673A9">
        <w:rPr>
          <w:rFonts w:asciiTheme="majorHAnsi" w:hAnsiTheme="majorHAnsi"/>
          <w:sz w:val="20"/>
          <w:szCs w:val="20"/>
          <w:lang w:val="es-ES"/>
        </w:rPr>
        <w:t>una queja contra los funcionarios fiscales vinculados a la investigación ante la Oficina Desconcentrada de Control Interno del Ministerio Público de la Libertad y Santa, por los delitos de abuso de autoridad, coacción y denegación de la administración de justicia.</w:t>
      </w:r>
      <w:r w:rsidR="00D76A01" w:rsidRPr="003673A9">
        <w:rPr>
          <w:rFonts w:asciiTheme="majorHAnsi" w:hAnsiTheme="majorHAnsi"/>
          <w:sz w:val="20"/>
          <w:szCs w:val="20"/>
          <w:lang w:val="es-ES"/>
        </w:rPr>
        <w:t xml:space="preserve"> Concretamente que se habría interpuesto denuncia contra la fiscal que recibió su declaración, quien habría intimidado a la presunta víctima y le habría presionado para que minimizara los hechos; y contra el fiscal adjunto que habría ingresado al consultorio médico y en todo momento habría cuestionado que las heridas fueran producto de violación.</w:t>
      </w:r>
      <w:r w:rsidRPr="003673A9">
        <w:rPr>
          <w:rFonts w:asciiTheme="majorHAnsi" w:hAnsiTheme="majorHAnsi"/>
          <w:sz w:val="20"/>
          <w:szCs w:val="20"/>
          <w:lang w:val="es-ES"/>
        </w:rPr>
        <w:t xml:space="preserve"> El 24 de julio de 2009, el Fiscal Superior a cargo del </w:t>
      </w:r>
      <w:r w:rsidR="00A458B3" w:rsidRPr="003673A9">
        <w:rPr>
          <w:rFonts w:asciiTheme="majorHAnsi" w:hAnsiTheme="majorHAnsi"/>
          <w:sz w:val="20"/>
          <w:szCs w:val="20"/>
          <w:lang w:val="es-ES"/>
        </w:rPr>
        <w:t>p</w:t>
      </w:r>
      <w:r w:rsidRPr="003673A9">
        <w:rPr>
          <w:rFonts w:asciiTheme="majorHAnsi" w:hAnsiTheme="majorHAnsi"/>
          <w:sz w:val="20"/>
          <w:szCs w:val="20"/>
          <w:lang w:val="es-ES"/>
        </w:rPr>
        <w:t xml:space="preserve">roceso </w:t>
      </w:r>
      <w:r w:rsidR="008045ED" w:rsidRPr="003673A9">
        <w:rPr>
          <w:rFonts w:asciiTheme="majorHAnsi" w:hAnsiTheme="majorHAnsi"/>
          <w:sz w:val="20"/>
          <w:szCs w:val="20"/>
          <w:lang w:val="es-ES"/>
        </w:rPr>
        <w:t xml:space="preserve">habría considerado </w:t>
      </w:r>
      <w:r w:rsidRPr="003673A9">
        <w:rPr>
          <w:rFonts w:asciiTheme="majorHAnsi" w:hAnsiTheme="majorHAnsi"/>
          <w:sz w:val="20"/>
          <w:szCs w:val="20"/>
          <w:lang w:val="es-ES"/>
        </w:rPr>
        <w:t xml:space="preserve">fundada la denuncia con relación al abuso de autoridad. </w:t>
      </w:r>
      <w:r w:rsidR="007303CC">
        <w:rPr>
          <w:rFonts w:asciiTheme="majorHAnsi" w:hAnsiTheme="majorHAnsi"/>
          <w:sz w:val="20"/>
          <w:szCs w:val="20"/>
          <w:lang w:val="es-ES"/>
        </w:rPr>
        <w:t>Sin embargo, e</w:t>
      </w:r>
      <w:r w:rsidRPr="003673A9">
        <w:rPr>
          <w:rFonts w:asciiTheme="majorHAnsi" w:hAnsiTheme="majorHAnsi"/>
          <w:sz w:val="20"/>
          <w:szCs w:val="20"/>
          <w:lang w:val="es-ES"/>
        </w:rPr>
        <w:t xml:space="preserve">l 19 de noviembre de 2010, la Fiscalía General de la Nación </w:t>
      </w:r>
      <w:r w:rsidR="008045ED" w:rsidRPr="003673A9">
        <w:rPr>
          <w:rFonts w:asciiTheme="majorHAnsi" w:hAnsiTheme="majorHAnsi"/>
          <w:sz w:val="20"/>
          <w:szCs w:val="20"/>
          <w:lang w:val="es-ES"/>
        </w:rPr>
        <w:t xml:space="preserve">habría desestimado </w:t>
      </w:r>
      <w:r w:rsidRPr="003673A9">
        <w:rPr>
          <w:rFonts w:asciiTheme="majorHAnsi" w:hAnsiTheme="majorHAnsi"/>
          <w:sz w:val="20"/>
          <w:szCs w:val="20"/>
          <w:lang w:val="es-ES"/>
        </w:rPr>
        <w:t xml:space="preserve">la </w:t>
      </w:r>
      <w:r w:rsidR="003679D6">
        <w:rPr>
          <w:rFonts w:asciiTheme="majorHAnsi" w:hAnsiTheme="majorHAnsi"/>
          <w:sz w:val="20"/>
          <w:szCs w:val="20"/>
          <w:lang w:val="es-ES"/>
        </w:rPr>
        <w:t>queja</w:t>
      </w:r>
      <w:r w:rsidRPr="003673A9">
        <w:rPr>
          <w:rFonts w:asciiTheme="majorHAnsi" w:hAnsiTheme="majorHAnsi"/>
          <w:sz w:val="20"/>
          <w:szCs w:val="20"/>
          <w:lang w:val="es-ES"/>
        </w:rPr>
        <w:t>, por falta de mérito</w:t>
      </w:r>
      <w:r w:rsidR="009C1CD4" w:rsidRPr="003673A9">
        <w:rPr>
          <w:rFonts w:asciiTheme="majorHAnsi" w:hAnsiTheme="majorHAnsi"/>
          <w:sz w:val="20"/>
          <w:szCs w:val="20"/>
          <w:lang w:val="es-ES"/>
        </w:rPr>
        <w:t xml:space="preserve"> </w:t>
      </w:r>
      <w:r w:rsidRPr="003673A9">
        <w:rPr>
          <w:rFonts w:asciiTheme="majorHAnsi" w:hAnsiTheme="majorHAnsi"/>
          <w:sz w:val="20"/>
          <w:szCs w:val="20"/>
          <w:lang w:val="es-ES"/>
        </w:rPr>
        <w:t>y ordenó el archivo de la causa.</w:t>
      </w:r>
      <w:r w:rsidR="003679D6">
        <w:rPr>
          <w:rFonts w:asciiTheme="majorHAnsi" w:hAnsiTheme="majorHAnsi"/>
          <w:sz w:val="20"/>
          <w:szCs w:val="20"/>
          <w:lang w:val="es-ES"/>
        </w:rPr>
        <w:t xml:space="preserve"> </w:t>
      </w:r>
      <w:r w:rsidR="007303CC">
        <w:rPr>
          <w:rFonts w:asciiTheme="majorHAnsi" w:hAnsiTheme="majorHAnsi"/>
          <w:sz w:val="20"/>
          <w:szCs w:val="20"/>
          <w:lang w:val="es-ES"/>
        </w:rPr>
        <w:t xml:space="preserve">Los peticionarios alegan que esta decisión no se encuentra debidamente fundada, manifiesta parcialización en la justificación de hechos arbitrarios e ilegales cometidos por los fiscales en el caso, y es contraria a la ley que establece la debida autorización de personas distintas al médico practicante en la realización del examen médico legal.  </w:t>
      </w:r>
      <w:r w:rsidR="003679D6">
        <w:rPr>
          <w:rFonts w:asciiTheme="majorHAnsi" w:hAnsiTheme="majorHAnsi"/>
          <w:sz w:val="20"/>
          <w:szCs w:val="20"/>
          <w:lang w:val="es-ES"/>
        </w:rPr>
        <w:t xml:space="preserve"> </w:t>
      </w:r>
    </w:p>
    <w:p w:rsidR="007D692F" w:rsidRPr="003673A9" w:rsidRDefault="007D692F" w:rsidP="003673A9">
      <w:pPr>
        <w:pStyle w:val="ListParagraph"/>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AR"/>
        </w:rPr>
        <w:t>En cuanto a los alegatos de derecho, los peticionarios alegan</w:t>
      </w:r>
      <w:r w:rsidR="008045ED" w:rsidRPr="003673A9">
        <w:rPr>
          <w:rFonts w:asciiTheme="majorHAnsi" w:hAnsiTheme="majorHAnsi"/>
          <w:sz w:val="20"/>
          <w:szCs w:val="20"/>
          <w:lang w:val="es-AR"/>
        </w:rPr>
        <w:t>,</w:t>
      </w:r>
      <w:r w:rsidRPr="003673A9">
        <w:rPr>
          <w:rFonts w:asciiTheme="majorHAnsi" w:hAnsiTheme="majorHAnsi"/>
          <w:sz w:val="20"/>
          <w:szCs w:val="20"/>
          <w:lang w:val="es-AR"/>
        </w:rPr>
        <w:t xml:space="preserve"> en primer lugar</w:t>
      </w:r>
      <w:r w:rsidR="008045ED" w:rsidRPr="003673A9">
        <w:rPr>
          <w:rFonts w:asciiTheme="majorHAnsi" w:hAnsiTheme="majorHAnsi"/>
          <w:sz w:val="20"/>
          <w:szCs w:val="20"/>
          <w:lang w:val="es-AR"/>
        </w:rPr>
        <w:t>,</w:t>
      </w:r>
      <w:r w:rsidRPr="003673A9">
        <w:rPr>
          <w:rFonts w:asciiTheme="majorHAnsi" w:hAnsiTheme="majorHAnsi"/>
          <w:sz w:val="20"/>
          <w:szCs w:val="20"/>
          <w:lang w:val="es-AR"/>
        </w:rPr>
        <w:t xml:space="preserve"> que el tratamiento dispensado a Luis Alberto Rojas Marín mientras se encontraba bajo custodia policial y los actos de violencia sexual en su contra constituyen violaciones al derecho a la integridad personal y la prohibición de la tortura y los tratos crueles e inhumanos, conforme al artículo 5 de la Convención Americana y los artículos 1 y 2 de la Convención Interamericana para Prevenir y Sancionar la Tortura.  </w:t>
      </w:r>
    </w:p>
    <w:p w:rsidR="007D692F" w:rsidRPr="003673A9" w:rsidRDefault="007D692F" w:rsidP="003673A9">
      <w:pPr>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En segundo lugar, los peticionarios alegan que los actos de tortura se habrían producido en el contexto de una detención ilegal, arbitraria y sin control judicial, en violación a las disposiciones de</w:t>
      </w:r>
      <w:r w:rsidR="008045ED" w:rsidRPr="003673A9">
        <w:rPr>
          <w:rFonts w:asciiTheme="majorHAnsi" w:hAnsiTheme="majorHAnsi"/>
          <w:sz w:val="20"/>
          <w:szCs w:val="20"/>
          <w:lang w:val="es-ES"/>
        </w:rPr>
        <w:t xml:space="preserve"> </w:t>
      </w:r>
      <w:r w:rsidRPr="003673A9">
        <w:rPr>
          <w:rFonts w:asciiTheme="majorHAnsi" w:hAnsiTheme="majorHAnsi"/>
          <w:sz w:val="20"/>
          <w:szCs w:val="20"/>
          <w:lang w:val="es-ES"/>
        </w:rPr>
        <w:t>l</w:t>
      </w:r>
      <w:r w:rsidR="008045ED" w:rsidRPr="003673A9">
        <w:rPr>
          <w:rFonts w:asciiTheme="majorHAnsi" w:hAnsiTheme="majorHAnsi"/>
          <w:sz w:val="20"/>
          <w:szCs w:val="20"/>
          <w:lang w:val="es-ES"/>
        </w:rPr>
        <w:t>os</w:t>
      </w:r>
      <w:r w:rsidRPr="003673A9">
        <w:rPr>
          <w:rFonts w:asciiTheme="majorHAnsi" w:hAnsiTheme="majorHAnsi"/>
          <w:sz w:val="20"/>
          <w:szCs w:val="20"/>
          <w:lang w:val="es-ES"/>
        </w:rPr>
        <w:t xml:space="preserve"> artículo</w:t>
      </w:r>
      <w:r w:rsidR="008045ED" w:rsidRPr="003673A9">
        <w:rPr>
          <w:rFonts w:asciiTheme="majorHAnsi" w:hAnsiTheme="majorHAnsi"/>
          <w:sz w:val="20"/>
          <w:szCs w:val="20"/>
          <w:lang w:val="es-ES"/>
        </w:rPr>
        <w:t>s</w:t>
      </w:r>
      <w:r w:rsidRPr="003673A9">
        <w:rPr>
          <w:rFonts w:asciiTheme="majorHAnsi" w:hAnsiTheme="majorHAnsi"/>
          <w:sz w:val="20"/>
          <w:szCs w:val="20"/>
          <w:lang w:val="es-ES"/>
        </w:rPr>
        <w:t xml:space="preserve"> 7(2)</w:t>
      </w:r>
      <w:r w:rsidR="008045ED" w:rsidRPr="003673A9">
        <w:rPr>
          <w:rFonts w:asciiTheme="majorHAnsi" w:hAnsiTheme="majorHAnsi"/>
          <w:sz w:val="20"/>
          <w:szCs w:val="20"/>
          <w:lang w:val="es-ES"/>
        </w:rPr>
        <w:t>, 7</w:t>
      </w:r>
      <w:r w:rsidRPr="003673A9">
        <w:rPr>
          <w:rFonts w:asciiTheme="majorHAnsi" w:hAnsiTheme="majorHAnsi"/>
          <w:sz w:val="20"/>
          <w:szCs w:val="20"/>
          <w:lang w:val="es-ES"/>
        </w:rPr>
        <w:t>(3)</w:t>
      </w:r>
      <w:r w:rsidR="008045ED" w:rsidRPr="003673A9">
        <w:rPr>
          <w:rFonts w:asciiTheme="majorHAnsi" w:hAnsiTheme="majorHAnsi"/>
          <w:sz w:val="20"/>
          <w:szCs w:val="20"/>
          <w:lang w:val="es-ES"/>
        </w:rPr>
        <w:t xml:space="preserve"> y 7</w:t>
      </w:r>
      <w:r w:rsidRPr="003673A9">
        <w:rPr>
          <w:rFonts w:asciiTheme="majorHAnsi" w:hAnsiTheme="majorHAnsi"/>
          <w:sz w:val="20"/>
          <w:szCs w:val="20"/>
          <w:lang w:val="es-ES"/>
        </w:rPr>
        <w:t xml:space="preserve">(5) de la Convención Americana. </w:t>
      </w:r>
      <w:r w:rsidR="00A745FF" w:rsidRPr="003673A9">
        <w:rPr>
          <w:rFonts w:asciiTheme="majorHAnsi" w:hAnsiTheme="majorHAnsi"/>
          <w:sz w:val="20"/>
          <w:szCs w:val="20"/>
          <w:lang w:val="es-ES"/>
        </w:rPr>
        <w:t>Al respecto</w:t>
      </w:r>
      <w:r w:rsidR="008045ED" w:rsidRPr="003673A9">
        <w:rPr>
          <w:rFonts w:asciiTheme="majorHAnsi" w:hAnsiTheme="majorHAnsi"/>
          <w:sz w:val="20"/>
          <w:szCs w:val="20"/>
          <w:lang w:val="es-ES"/>
        </w:rPr>
        <w:t>,</w:t>
      </w:r>
      <w:r w:rsidR="00A745FF" w:rsidRPr="003673A9">
        <w:rPr>
          <w:rFonts w:asciiTheme="majorHAnsi" w:hAnsiTheme="majorHAnsi"/>
          <w:sz w:val="20"/>
          <w:szCs w:val="20"/>
          <w:lang w:val="es-ES"/>
        </w:rPr>
        <w:t xml:space="preserve"> alegan que los efectivos policiales violaron</w:t>
      </w:r>
      <w:r w:rsidR="008045ED" w:rsidRPr="003673A9">
        <w:rPr>
          <w:rFonts w:asciiTheme="majorHAnsi" w:hAnsiTheme="majorHAnsi"/>
          <w:sz w:val="20"/>
          <w:szCs w:val="20"/>
          <w:lang w:val="es-ES"/>
        </w:rPr>
        <w:t>,</w:t>
      </w:r>
      <w:r w:rsidR="00A745FF" w:rsidRPr="003673A9">
        <w:rPr>
          <w:rFonts w:asciiTheme="majorHAnsi" w:hAnsiTheme="majorHAnsi"/>
          <w:sz w:val="20"/>
          <w:szCs w:val="20"/>
          <w:lang w:val="es-ES"/>
        </w:rPr>
        <w:t xml:space="preserve"> en perjuicio de la presunta víctima</w:t>
      </w:r>
      <w:r w:rsidR="008045ED" w:rsidRPr="003673A9">
        <w:rPr>
          <w:rFonts w:asciiTheme="majorHAnsi" w:hAnsiTheme="majorHAnsi"/>
          <w:sz w:val="20"/>
          <w:szCs w:val="20"/>
          <w:lang w:val="es-ES"/>
        </w:rPr>
        <w:t>,</w:t>
      </w:r>
      <w:r w:rsidR="00A745FF" w:rsidRPr="003673A9">
        <w:rPr>
          <w:rFonts w:asciiTheme="majorHAnsi" w:hAnsiTheme="majorHAnsi"/>
          <w:sz w:val="20"/>
          <w:szCs w:val="20"/>
          <w:lang w:val="es-ES"/>
        </w:rPr>
        <w:t xml:space="preserve"> la legislación interna en relación con la detención a los fines de identificación </w:t>
      </w:r>
      <w:r w:rsidR="008045ED" w:rsidRPr="003673A9">
        <w:rPr>
          <w:rFonts w:asciiTheme="majorHAnsi" w:hAnsiTheme="majorHAnsi"/>
          <w:sz w:val="20"/>
          <w:szCs w:val="20"/>
          <w:lang w:val="es-ES"/>
        </w:rPr>
        <w:t>—</w:t>
      </w:r>
      <w:r w:rsidR="00407CDB" w:rsidRPr="003673A9">
        <w:rPr>
          <w:rFonts w:asciiTheme="majorHAnsi" w:hAnsiTheme="majorHAnsi"/>
          <w:sz w:val="20"/>
          <w:szCs w:val="20"/>
          <w:lang w:val="es-AR"/>
        </w:rPr>
        <w:t xml:space="preserve">artículo 205 del Nuevo </w:t>
      </w:r>
      <w:r w:rsidR="00A745FF" w:rsidRPr="003673A9">
        <w:rPr>
          <w:rFonts w:asciiTheme="majorHAnsi" w:hAnsiTheme="majorHAnsi"/>
          <w:sz w:val="20"/>
          <w:szCs w:val="20"/>
          <w:lang w:val="es-AR"/>
        </w:rPr>
        <w:t xml:space="preserve">Código </w:t>
      </w:r>
      <w:r w:rsidR="00407CDB" w:rsidRPr="003673A9">
        <w:rPr>
          <w:rFonts w:asciiTheme="majorHAnsi" w:hAnsiTheme="majorHAnsi"/>
          <w:sz w:val="20"/>
          <w:szCs w:val="20"/>
          <w:lang w:val="es-AR"/>
        </w:rPr>
        <w:t xml:space="preserve">Procesal </w:t>
      </w:r>
      <w:r w:rsidR="00A745FF" w:rsidRPr="003673A9">
        <w:rPr>
          <w:rFonts w:asciiTheme="majorHAnsi" w:hAnsiTheme="majorHAnsi"/>
          <w:sz w:val="20"/>
          <w:szCs w:val="20"/>
          <w:lang w:val="es-AR"/>
        </w:rPr>
        <w:t>Penal</w:t>
      </w:r>
      <w:r w:rsidR="008045ED" w:rsidRPr="003673A9">
        <w:rPr>
          <w:rFonts w:asciiTheme="majorHAnsi" w:hAnsiTheme="majorHAnsi"/>
          <w:sz w:val="20"/>
          <w:szCs w:val="20"/>
          <w:lang w:val="es-AR"/>
        </w:rPr>
        <w:t>—</w:t>
      </w:r>
      <w:r w:rsidR="008045ED" w:rsidRPr="003673A9">
        <w:rPr>
          <w:rFonts w:asciiTheme="majorHAnsi" w:hAnsiTheme="majorHAnsi"/>
          <w:sz w:val="20"/>
          <w:szCs w:val="20"/>
          <w:lang w:val="es-ES"/>
        </w:rPr>
        <w:t xml:space="preserve">, </w:t>
      </w:r>
      <w:r w:rsidR="00A745FF" w:rsidRPr="003673A9">
        <w:rPr>
          <w:rFonts w:asciiTheme="majorHAnsi" w:hAnsiTheme="majorHAnsi"/>
          <w:sz w:val="20"/>
          <w:szCs w:val="20"/>
          <w:lang w:val="es-ES"/>
        </w:rPr>
        <w:t xml:space="preserve">ya que en su caso, el </w:t>
      </w:r>
      <w:r w:rsidR="008045ED" w:rsidRPr="003673A9">
        <w:rPr>
          <w:rFonts w:asciiTheme="majorHAnsi" w:hAnsiTheme="majorHAnsi"/>
          <w:sz w:val="20"/>
          <w:szCs w:val="20"/>
          <w:lang w:val="es-ES"/>
        </w:rPr>
        <w:t xml:space="preserve">agente policial que lo habría detenido </w:t>
      </w:r>
      <w:r w:rsidR="009C1CD4" w:rsidRPr="003673A9">
        <w:rPr>
          <w:rFonts w:asciiTheme="majorHAnsi" w:hAnsiTheme="majorHAnsi"/>
          <w:sz w:val="20"/>
          <w:szCs w:val="20"/>
          <w:lang w:val="es-ES"/>
        </w:rPr>
        <w:t xml:space="preserve">(i) </w:t>
      </w:r>
      <w:r w:rsidR="00A745FF" w:rsidRPr="003673A9">
        <w:rPr>
          <w:rFonts w:asciiTheme="majorHAnsi" w:hAnsiTheme="majorHAnsi"/>
          <w:sz w:val="20"/>
          <w:szCs w:val="20"/>
          <w:lang w:val="es-ES"/>
        </w:rPr>
        <w:t xml:space="preserve">no se </w:t>
      </w:r>
      <w:r w:rsidR="008045ED" w:rsidRPr="003673A9">
        <w:rPr>
          <w:rFonts w:asciiTheme="majorHAnsi" w:hAnsiTheme="majorHAnsi"/>
          <w:sz w:val="20"/>
          <w:szCs w:val="20"/>
          <w:lang w:val="es-ES"/>
        </w:rPr>
        <w:t>habría identi</w:t>
      </w:r>
      <w:r w:rsidR="009510BA" w:rsidRPr="003673A9">
        <w:rPr>
          <w:rFonts w:asciiTheme="majorHAnsi" w:hAnsiTheme="majorHAnsi"/>
          <w:sz w:val="20"/>
          <w:szCs w:val="20"/>
          <w:lang w:val="es-ES"/>
        </w:rPr>
        <w:t>fi</w:t>
      </w:r>
      <w:r w:rsidR="008045ED" w:rsidRPr="003673A9">
        <w:rPr>
          <w:rFonts w:asciiTheme="majorHAnsi" w:hAnsiTheme="majorHAnsi"/>
          <w:sz w:val="20"/>
          <w:szCs w:val="20"/>
          <w:lang w:val="es-ES"/>
        </w:rPr>
        <w:t xml:space="preserve">cado </w:t>
      </w:r>
      <w:r w:rsidR="00407CDB" w:rsidRPr="003673A9">
        <w:rPr>
          <w:rFonts w:asciiTheme="majorHAnsi" w:hAnsiTheme="majorHAnsi"/>
          <w:sz w:val="20"/>
          <w:szCs w:val="20"/>
          <w:lang w:val="es-ES"/>
        </w:rPr>
        <w:t>al momento de la detención</w:t>
      </w:r>
      <w:r w:rsidR="00A745FF" w:rsidRPr="003673A9">
        <w:rPr>
          <w:rFonts w:asciiTheme="majorHAnsi" w:hAnsiTheme="majorHAnsi"/>
          <w:sz w:val="20"/>
          <w:szCs w:val="20"/>
          <w:lang w:val="es-ES"/>
        </w:rPr>
        <w:t xml:space="preserve">; </w:t>
      </w:r>
      <w:r w:rsidR="009C1CD4" w:rsidRPr="003673A9">
        <w:rPr>
          <w:rFonts w:asciiTheme="majorHAnsi" w:hAnsiTheme="majorHAnsi"/>
          <w:sz w:val="20"/>
          <w:szCs w:val="20"/>
          <w:lang w:val="es-ES"/>
        </w:rPr>
        <w:t xml:space="preserve">(ii) </w:t>
      </w:r>
      <w:r w:rsidR="00A745FF" w:rsidRPr="003673A9">
        <w:rPr>
          <w:rFonts w:asciiTheme="majorHAnsi" w:hAnsiTheme="majorHAnsi"/>
          <w:sz w:val="20"/>
          <w:szCs w:val="20"/>
          <w:lang w:val="es-ES"/>
        </w:rPr>
        <w:t xml:space="preserve">no le </w:t>
      </w:r>
      <w:r w:rsidR="008045ED" w:rsidRPr="003673A9">
        <w:rPr>
          <w:rFonts w:asciiTheme="majorHAnsi" w:hAnsiTheme="majorHAnsi"/>
          <w:sz w:val="20"/>
          <w:szCs w:val="20"/>
          <w:lang w:val="es-ES"/>
        </w:rPr>
        <w:t xml:space="preserve">habrían permitido </w:t>
      </w:r>
      <w:r w:rsidR="00A745FF" w:rsidRPr="003673A9">
        <w:rPr>
          <w:rFonts w:asciiTheme="majorHAnsi" w:hAnsiTheme="majorHAnsi"/>
          <w:sz w:val="20"/>
          <w:szCs w:val="20"/>
          <w:lang w:val="es-ES"/>
        </w:rPr>
        <w:t xml:space="preserve">ir a su domicilio </w:t>
      </w:r>
      <w:r w:rsidR="00407CDB" w:rsidRPr="003673A9">
        <w:rPr>
          <w:rFonts w:asciiTheme="majorHAnsi" w:hAnsiTheme="majorHAnsi"/>
          <w:sz w:val="20"/>
          <w:szCs w:val="20"/>
          <w:lang w:val="es-ES"/>
        </w:rPr>
        <w:t>para</w:t>
      </w:r>
      <w:r w:rsidR="00A745FF" w:rsidRPr="003673A9">
        <w:rPr>
          <w:rFonts w:asciiTheme="majorHAnsi" w:hAnsiTheme="majorHAnsi"/>
          <w:sz w:val="20"/>
          <w:szCs w:val="20"/>
          <w:lang w:val="es-ES"/>
        </w:rPr>
        <w:t xml:space="preserve"> enseñarles su documento de identidad; </w:t>
      </w:r>
      <w:r w:rsidR="009C1CD4" w:rsidRPr="003673A9">
        <w:rPr>
          <w:rFonts w:asciiTheme="majorHAnsi" w:hAnsiTheme="majorHAnsi"/>
          <w:sz w:val="20"/>
          <w:szCs w:val="20"/>
          <w:lang w:val="es-ES"/>
        </w:rPr>
        <w:t xml:space="preserve">(iii) </w:t>
      </w:r>
      <w:r w:rsidR="00A745FF" w:rsidRPr="003673A9">
        <w:rPr>
          <w:rFonts w:asciiTheme="majorHAnsi" w:hAnsiTheme="majorHAnsi"/>
          <w:sz w:val="20"/>
          <w:szCs w:val="20"/>
          <w:lang w:val="es-ES"/>
        </w:rPr>
        <w:t>la presunta víctima no se encontraba realizando actos de gravedad que ameritaran que lo llevasen detenido por no portar identificaci</w:t>
      </w:r>
      <w:r w:rsidR="00407CDB" w:rsidRPr="003673A9">
        <w:rPr>
          <w:rFonts w:asciiTheme="majorHAnsi" w:hAnsiTheme="majorHAnsi"/>
          <w:sz w:val="20"/>
          <w:szCs w:val="20"/>
          <w:lang w:val="es-ES"/>
        </w:rPr>
        <w:t>ón;</w:t>
      </w:r>
      <w:r w:rsidR="00A745FF" w:rsidRPr="003673A9">
        <w:rPr>
          <w:rFonts w:asciiTheme="majorHAnsi" w:hAnsiTheme="majorHAnsi"/>
          <w:sz w:val="20"/>
          <w:szCs w:val="20"/>
          <w:lang w:val="es-ES"/>
        </w:rPr>
        <w:t xml:space="preserve"> </w:t>
      </w:r>
      <w:r w:rsidR="009C1CD4" w:rsidRPr="003673A9">
        <w:rPr>
          <w:rFonts w:asciiTheme="majorHAnsi" w:hAnsiTheme="majorHAnsi"/>
          <w:sz w:val="20"/>
          <w:szCs w:val="20"/>
          <w:lang w:val="es-ES"/>
        </w:rPr>
        <w:t xml:space="preserve">(iv) </w:t>
      </w:r>
      <w:r w:rsidR="00A745FF" w:rsidRPr="003673A9">
        <w:rPr>
          <w:rFonts w:asciiTheme="majorHAnsi" w:hAnsiTheme="majorHAnsi"/>
          <w:sz w:val="20"/>
          <w:szCs w:val="20"/>
          <w:lang w:val="es-ES"/>
        </w:rPr>
        <w:t xml:space="preserve">su detención duró más de cuatro horas </w:t>
      </w:r>
      <w:r w:rsidR="0083793A" w:rsidRPr="003673A9">
        <w:rPr>
          <w:rFonts w:asciiTheme="majorHAnsi" w:hAnsiTheme="majorHAnsi"/>
          <w:sz w:val="20"/>
          <w:szCs w:val="20"/>
          <w:lang w:val="es-ES"/>
        </w:rPr>
        <w:t>—</w:t>
      </w:r>
      <w:r w:rsidR="00A745FF" w:rsidRPr="003673A9">
        <w:rPr>
          <w:rFonts w:asciiTheme="majorHAnsi" w:hAnsiTheme="majorHAnsi"/>
          <w:sz w:val="20"/>
          <w:szCs w:val="20"/>
          <w:lang w:val="es-ES"/>
        </w:rPr>
        <w:t>límite legalmente establecido</w:t>
      </w:r>
      <w:r w:rsidR="0083793A" w:rsidRPr="003673A9">
        <w:rPr>
          <w:rFonts w:asciiTheme="majorHAnsi" w:hAnsiTheme="majorHAnsi"/>
          <w:sz w:val="20"/>
          <w:szCs w:val="20"/>
          <w:lang w:val="es-ES"/>
        </w:rPr>
        <w:t xml:space="preserve">—; </w:t>
      </w:r>
      <w:r w:rsidR="009C1CD4" w:rsidRPr="003673A9">
        <w:rPr>
          <w:rFonts w:asciiTheme="majorHAnsi" w:hAnsiTheme="majorHAnsi"/>
          <w:sz w:val="20"/>
          <w:szCs w:val="20"/>
          <w:lang w:val="es-ES"/>
        </w:rPr>
        <w:t xml:space="preserve">(v) </w:t>
      </w:r>
      <w:r w:rsidR="00A745FF" w:rsidRPr="003673A9">
        <w:rPr>
          <w:rFonts w:asciiTheme="majorHAnsi" w:hAnsiTheme="majorHAnsi"/>
          <w:sz w:val="20"/>
          <w:szCs w:val="20"/>
          <w:lang w:val="es-ES"/>
        </w:rPr>
        <w:t xml:space="preserve">no se le permitió comunicarse con un familiar; </w:t>
      </w:r>
      <w:r w:rsidR="00407CDB" w:rsidRPr="003673A9">
        <w:rPr>
          <w:rFonts w:asciiTheme="majorHAnsi" w:hAnsiTheme="majorHAnsi"/>
          <w:sz w:val="20"/>
          <w:szCs w:val="20"/>
          <w:lang w:val="es-ES"/>
        </w:rPr>
        <w:t xml:space="preserve">y </w:t>
      </w:r>
      <w:r w:rsidR="009C1CD4" w:rsidRPr="003673A9">
        <w:rPr>
          <w:rFonts w:asciiTheme="majorHAnsi" w:hAnsiTheme="majorHAnsi"/>
          <w:sz w:val="20"/>
          <w:szCs w:val="20"/>
          <w:lang w:val="es-ES"/>
        </w:rPr>
        <w:t xml:space="preserve">(vi) </w:t>
      </w:r>
      <w:r w:rsidR="00407CDB" w:rsidRPr="003673A9">
        <w:rPr>
          <w:rFonts w:asciiTheme="majorHAnsi" w:hAnsiTheme="majorHAnsi"/>
          <w:sz w:val="20"/>
          <w:szCs w:val="20"/>
          <w:lang w:val="es-ES"/>
        </w:rPr>
        <w:t>las autoridades no cumplieron con documentar la detención e ingreso de la presunta víctima en el Libro-Registro.</w:t>
      </w:r>
      <w:r w:rsidR="00A745FF" w:rsidRPr="003673A9">
        <w:rPr>
          <w:rFonts w:asciiTheme="majorHAnsi" w:hAnsiTheme="majorHAnsi"/>
          <w:sz w:val="20"/>
          <w:szCs w:val="20"/>
          <w:lang w:val="es-ES"/>
        </w:rPr>
        <w:t xml:space="preserve"> </w:t>
      </w:r>
      <w:r w:rsidR="00407CDB" w:rsidRPr="003673A9">
        <w:rPr>
          <w:rFonts w:asciiTheme="majorHAnsi" w:hAnsiTheme="majorHAnsi"/>
          <w:sz w:val="20"/>
          <w:szCs w:val="20"/>
          <w:lang w:val="es-ES"/>
        </w:rPr>
        <w:t xml:space="preserve">Adicionalmente, sostienen los peticionarios </w:t>
      </w:r>
      <w:r w:rsidR="00511501" w:rsidRPr="003673A9">
        <w:rPr>
          <w:rFonts w:asciiTheme="majorHAnsi" w:hAnsiTheme="majorHAnsi"/>
          <w:sz w:val="20"/>
          <w:szCs w:val="20"/>
          <w:lang w:val="es-ES"/>
        </w:rPr>
        <w:t>que</w:t>
      </w:r>
      <w:r w:rsidR="00044DE0" w:rsidRPr="003673A9">
        <w:rPr>
          <w:rFonts w:asciiTheme="majorHAnsi" w:hAnsiTheme="majorHAnsi"/>
          <w:sz w:val="20"/>
          <w:szCs w:val="20"/>
          <w:lang w:val="es-ES"/>
        </w:rPr>
        <w:t xml:space="preserve"> la presunta víctima no </w:t>
      </w:r>
      <w:r w:rsidR="0083793A" w:rsidRPr="003673A9">
        <w:rPr>
          <w:rFonts w:asciiTheme="majorHAnsi" w:hAnsiTheme="majorHAnsi"/>
          <w:sz w:val="20"/>
          <w:szCs w:val="20"/>
          <w:lang w:val="es-ES"/>
        </w:rPr>
        <w:t xml:space="preserve">habría sido </w:t>
      </w:r>
      <w:r w:rsidR="00044DE0" w:rsidRPr="003673A9">
        <w:rPr>
          <w:rFonts w:asciiTheme="majorHAnsi" w:hAnsiTheme="majorHAnsi"/>
          <w:sz w:val="20"/>
          <w:szCs w:val="20"/>
          <w:lang w:val="es-ES"/>
        </w:rPr>
        <w:t xml:space="preserve">llevada sin </w:t>
      </w:r>
      <w:r w:rsidR="0083793A" w:rsidRPr="003673A9">
        <w:rPr>
          <w:rFonts w:asciiTheme="majorHAnsi" w:hAnsiTheme="majorHAnsi"/>
          <w:sz w:val="20"/>
          <w:szCs w:val="20"/>
          <w:lang w:val="es-ES"/>
        </w:rPr>
        <w:t xml:space="preserve">demora </w:t>
      </w:r>
      <w:r w:rsidR="00044DE0" w:rsidRPr="003673A9">
        <w:rPr>
          <w:rFonts w:asciiTheme="majorHAnsi" w:hAnsiTheme="majorHAnsi"/>
          <w:sz w:val="20"/>
          <w:szCs w:val="20"/>
          <w:lang w:val="es-ES"/>
        </w:rPr>
        <w:t xml:space="preserve">ante un juez, no </w:t>
      </w:r>
      <w:r w:rsidR="0083793A" w:rsidRPr="003673A9">
        <w:rPr>
          <w:rFonts w:asciiTheme="majorHAnsi" w:hAnsiTheme="majorHAnsi"/>
          <w:sz w:val="20"/>
          <w:szCs w:val="20"/>
          <w:lang w:val="es-ES"/>
        </w:rPr>
        <w:t xml:space="preserve">habría tenido </w:t>
      </w:r>
      <w:r w:rsidR="00044DE0" w:rsidRPr="003673A9">
        <w:rPr>
          <w:rFonts w:asciiTheme="majorHAnsi" w:hAnsiTheme="majorHAnsi"/>
          <w:sz w:val="20"/>
          <w:szCs w:val="20"/>
          <w:lang w:val="es-ES"/>
        </w:rPr>
        <w:t xml:space="preserve">acceso a un abogado para su defensa, y no </w:t>
      </w:r>
      <w:r w:rsidR="0083793A" w:rsidRPr="003673A9">
        <w:rPr>
          <w:rFonts w:asciiTheme="majorHAnsi" w:hAnsiTheme="majorHAnsi"/>
          <w:sz w:val="20"/>
          <w:szCs w:val="20"/>
          <w:lang w:val="es-ES"/>
        </w:rPr>
        <w:t xml:space="preserve">habría sido </w:t>
      </w:r>
      <w:r w:rsidR="00044DE0" w:rsidRPr="003673A9">
        <w:rPr>
          <w:rFonts w:asciiTheme="majorHAnsi" w:hAnsiTheme="majorHAnsi"/>
          <w:sz w:val="20"/>
          <w:szCs w:val="20"/>
          <w:lang w:val="es-ES"/>
        </w:rPr>
        <w:t xml:space="preserve">examinado por un médico al momento de entrar y salir del centro de detención, de manera de </w:t>
      </w:r>
      <w:r w:rsidR="0083793A" w:rsidRPr="003673A9">
        <w:rPr>
          <w:rFonts w:asciiTheme="majorHAnsi" w:hAnsiTheme="majorHAnsi"/>
          <w:sz w:val="20"/>
          <w:szCs w:val="20"/>
          <w:lang w:val="es-ES"/>
        </w:rPr>
        <w:t>que se pudiera constatar</w:t>
      </w:r>
      <w:r w:rsidR="00044DE0" w:rsidRPr="003673A9">
        <w:rPr>
          <w:rFonts w:asciiTheme="majorHAnsi" w:hAnsiTheme="majorHAnsi"/>
          <w:sz w:val="20"/>
          <w:szCs w:val="20"/>
          <w:lang w:val="es-ES"/>
        </w:rPr>
        <w:t xml:space="preserve"> su estado de salud antes y después de su detención.</w:t>
      </w:r>
      <w:r w:rsidR="00511501" w:rsidRPr="003673A9">
        <w:rPr>
          <w:rFonts w:asciiTheme="majorHAnsi" w:hAnsiTheme="majorHAnsi"/>
          <w:sz w:val="20"/>
          <w:szCs w:val="20"/>
          <w:lang w:val="es-ES"/>
        </w:rPr>
        <w:t xml:space="preserve"> </w:t>
      </w:r>
      <w:r w:rsidR="00B11897" w:rsidRPr="003673A9">
        <w:rPr>
          <w:rFonts w:asciiTheme="majorHAnsi" w:hAnsiTheme="majorHAnsi"/>
          <w:sz w:val="20"/>
          <w:szCs w:val="20"/>
          <w:lang w:val="es-ES"/>
        </w:rPr>
        <w:t xml:space="preserve">Asimismo, en relación con la detención de la presunta víctima, alegan que la misma no se fundamentó en los supuestos contemplados en la norma fundamental de Perú, sino </w:t>
      </w:r>
      <w:r w:rsidR="00F34A95">
        <w:rPr>
          <w:rFonts w:asciiTheme="majorHAnsi" w:hAnsiTheme="majorHAnsi"/>
          <w:sz w:val="20"/>
          <w:szCs w:val="20"/>
          <w:lang w:val="es-ES"/>
        </w:rPr>
        <w:t>en</w:t>
      </w:r>
      <w:r w:rsidR="00B11897" w:rsidRPr="003673A9">
        <w:rPr>
          <w:rFonts w:asciiTheme="majorHAnsi" w:hAnsiTheme="majorHAnsi"/>
          <w:sz w:val="20"/>
          <w:szCs w:val="20"/>
          <w:lang w:val="es-ES"/>
        </w:rPr>
        <w:t xml:space="preserve"> una norma de menor jerarquía.</w:t>
      </w:r>
    </w:p>
    <w:p w:rsidR="007D692F" w:rsidRPr="003673A9" w:rsidRDefault="007D692F" w:rsidP="003673A9">
      <w:pPr>
        <w:pStyle w:val="ListParagraph"/>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En tercer lugar, los peticionarios alegan que la detención arbitraria y los actos de tortura y tratos crueles e inhumanos </w:t>
      </w:r>
      <w:r w:rsidR="0083793A" w:rsidRPr="003673A9">
        <w:rPr>
          <w:rFonts w:asciiTheme="majorHAnsi" w:hAnsiTheme="majorHAnsi"/>
          <w:sz w:val="20"/>
          <w:szCs w:val="20"/>
          <w:lang w:val="es-ES"/>
        </w:rPr>
        <w:t xml:space="preserve">cometidos </w:t>
      </w:r>
      <w:r w:rsidRPr="003673A9">
        <w:rPr>
          <w:rFonts w:asciiTheme="majorHAnsi" w:hAnsiTheme="majorHAnsi"/>
          <w:sz w:val="20"/>
          <w:szCs w:val="20"/>
          <w:lang w:val="es-ES"/>
        </w:rPr>
        <w:t xml:space="preserve">contra Luis Alberto Rojas Marín mientras se encontraba bajo la custodia del Estado, </w:t>
      </w:r>
      <w:r w:rsidR="0083793A" w:rsidRPr="003673A9">
        <w:rPr>
          <w:rFonts w:asciiTheme="majorHAnsi" w:hAnsiTheme="majorHAnsi"/>
          <w:sz w:val="20"/>
          <w:szCs w:val="20"/>
          <w:lang w:val="es-ES"/>
        </w:rPr>
        <w:t xml:space="preserve">permanecerían </w:t>
      </w:r>
      <w:r w:rsidRPr="003673A9">
        <w:rPr>
          <w:rFonts w:asciiTheme="majorHAnsi" w:hAnsiTheme="majorHAnsi"/>
          <w:sz w:val="20"/>
          <w:szCs w:val="20"/>
          <w:lang w:val="es-ES"/>
        </w:rPr>
        <w:t xml:space="preserve">en la impunidad.  Por lo tanto, consideran que el Estado incumplió con su deber de investigar y esclarecer judicialmente las denuncias sobre actos de tortura y tratos crueles e inhumanos, conforme a los estándares del debido proceso y la protección judicial de los artículos 8 y 25 de la Convención Americana, y los estándares de prevención y sanción efectiva de la tortura, y de investigación imparcial, conforme a los artículos 6 y 8 de la </w:t>
      </w:r>
      <w:r w:rsidRPr="003673A9">
        <w:rPr>
          <w:rFonts w:asciiTheme="majorHAnsi" w:hAnsiTheme="majorHAnsi"/>
          <w:sz w:val="20"/>
          <w:szCs w:val="20"/>
          <w:lang w:val="es-AR"/>
        </w:rPr>
        <w:t>Convención Interamericana para Prevenir y Sancionar la Tortura.</w:t>
      </w:r>
    </w:p>
    <w:p w:rsidR="007D692F" w:rsidRPr="003673A9" w:rsidRDefault="007D692F" w:rsidP="003673A9">
      <w:pPr>
        <w:pStyle w:val="ListParagraph"/>
        <w:ind w:left="0"/>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En cuarto lugar, los peticionarios alegan que los actos de violencia y discriminación materia del reclamo y su impunidad constituyen </w:t>
      </w:r>
      <w:r w:rsidR="0083793A" w:rsidRPr="003673A9">
        <w:rPr>
          <w:rFonts w:asciiTheme="majorHAnsi" w:hAnsiTheme="majorHAnsi"/>
          <w:sz w:val="20"/>
          <w:szCs w:val="20"/>
          <w:lang w:val="es-ES"/>
        </w:rPr>
        <w:t>injeren</w:t>
      </w:r>
      <w:r w:rsidR="00795E9B" w:rsidRPr="003673A9">
        <w:rPr>
          <w:rFonts w:asciiTheme="majorHAnsi" w:hAnsiTheme="majorHAnsi"/>
          <w:sz w:val="20"/>
          <w:szCs w:val="20"/>
          <w:lang w:val="es-ES"/>
        </w:rPr>
        <w:t>c</w:t>
      </w:r>
      <w:r w:rsidR="0083793A" w:rsidRPr="003673A9">
        <w:rPr>
          <w:rFonts w:asciiTheme="majorHAnsi" w:hAnsiTheme="majorHAnsi"/>
          <w:sz w:val="20"/>
          <w:szCs w:val="20"/>
          <w:lang w:val="es-ES"/>
        </w:rPr>
        <w:t xml:space="preserve">ias </w:t>
      </w:r>
      <w:r w:rsidRPr="003673A9">
        <w:rPr>
          <w:rFonts w:asciiTheme="majorHAnsi" w:hAnsiTheme="majorHAnsi"/>
          <w:sz w:val="20"/>
          <w:szCs w:val="20"/>
          <w:lang w:val="es-ES"/>
        </w:rPr>
        <w:t xml:space="preserve">arbitrarias y abusivas </w:t>
      </w:r>
      <w:r w:rsidR="0083793A" w:rsidRPr="003673A9">
        <w:rPr>
          <w:rFonts w:asciiTheme="majorHAnsi" w:hAnsiTheme="majorHAnsi"/>
          <w:sz w:val="20"/>
          <w:szCs w:val="20"/>
          <w:lang w:val="es-ES"/>
        </w:rPr>
        <w:t xml:space="preserve">en </w:t>
      </w:r>
      <w:r w:rsidRPr="003673A9">
        <w:rPr>
          <w:rFonts w:asciiTheme="majorHAnsi" w:hAnsiTheme="majorHAnsi"/>
          <w:sz w:val="20"/>
          <w:szCs w:val="20"/>
          <w:lang w:val="es-ES"/>
        </w:rPr>
        <w:t>la persona de Luis Alberto Rojas Marín y han afectado su forma de pensar sobre sí mismo y su reputación, en violación del derecho a la protección de la honra y la dignidad, consagrado en el artículo 11(1) de la Convención Americana.</w:t>
      </w:r>
    </w:p>
    <w:p w:rsidR="007D692F" w:rsidRPr="003673A9" w:rsidRDefault="007D692F" w:rsidP="003673A9">
      <w:pPr>
        <w:pStyle w:val="ListParagraph"/>
        <w:rPr>
          <w:rFonts w:asciiTheme="majorHAnsi" w:hAnsiTheme="majorHAnsi"/>
          <w:sz w:val="20"/>
          <w:szCs w:val="20"/>
          <w:lang w:val="es-ES"/>
        </w:rPr>
      </w:pPr>
    </w:p>
    <w:p w:rsidR="00D76A01" w:rsidRPr="003673A9" w:rsidRDefault="00D76A01"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 xml:space="preserve">Asimismo, los peticionarios sostienen que la impunidad en Perú es inclusive más grave cuando se trata de personas pobres y campesinas como la presunta víctima, debido a su “situación de vulnerabilidad social”, la cual se ve acentuada </w:t>
      </w:r>
      <w:r w:rsidR="00614AC1" w:rsidRPr="003673A9">
        <w:rPr>
          <w:rFonts w:asciiTheme="majorHAnsi" w:hAnsiTheme="majorHAnsi"/>
          <w:sz w:val="20"/>
          <w:szCs w:val="20"/>
          <w:lang w:val="es-ES"/>
        </w:rPr>
        <w:t xml:space="preserve">cuando se trata de una persona gay, considerando el rechazo </w:t>
      </w:r>
      <w:r w:rsidR="00614AC1" w:rsidRPr="003673A9">
        <w:rPr>
          <w:rFonts w:asciiTheme="majorHAnsi" w:hAnsiTheme="majorHAnsi"/>
          <w:sz w:val="20"/>
          <w:szCs w:val="20"/>
          <w:lang w:val="es-ES"/>
        </w:rPr>
        <w:lastRenderedPageBreak/>
        <w:t xml:space="preserve">social que existe en Perú respecto de dicha orientación sexual, particularmente en la zona rural del país donde vive la presunta víctima. </w:t>
      </w:r>
    </w:p>
    <w:p w:rsidR="00D76A01" w:rsidRPr="003673A9" w:rsidRDefault="00D76A01" w:rsidP="003673A9">
      <w:pPr>
        <w:pStyle w:val="ListParagraph"/>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Por último, los peticionarios alegan que los hechos materia del reclamo demuestran que Luis Alberto Rojas Marín fue objeto de actos de discriminación por causa de su orientación sexual</w:t>
      </w:r>
      <w:r w:rsidR="0083793A" w:rsidRPr="003673A9">
        <w:rPr>
          <w:rFonts w:asciiTheme="majorHAnsi" w:hAnsiTheme="majorHAnsi"/>
          <w:sz w:val="20"/>
          <w:szCs w:val="20"/>
          <w:lang w:val="es-ES"/>
        </w:rPr>
        <w:t>,</w:t>
      </w:r>
      <w:r w:rsidRPr="003673A9">
        <w:rPr>
          <w:rFonts w:asciiTheme="majorHAnsi" w:hAnsiTheme="majorHAnsi"/>
          <w:sz w:val="20"/>
          <w:szCs w:val="20"/>
          <w:lang w:val="es-ES"/>
        </w:rPr>
        <w:t xml:space="preserve"> tanto por parte de los agentes policiales involucrados en la comisión de tortura mediante violencia sexual</w:t>
      </w:r>
      <w:r w:rsidR="0083793A" w:rsidRPr="003673A9">
        <w:rPr>
          <w:rFonts w:asciiTheme="majorHAnsi" w:hAnsiTheme="majorHAnsi"/>
          <w:sz w:val="20"/>
          <w:szCs w:val="20"/>
          <w:lang w:val="es-ES"/>
        </w:rPr>
        <w:t>,</w:t>
      </w:r>
      <w:r w:rsidRPr="003673A9">
        <w:rPr>
          <w:rFonts w:asciiTheme="majorHAnsi" w:hAnsiTheme="majorHAnsi"/>
          <w:sz w:val="20"/>
          <w:szCs w:val="20"/>
          <w:lang w:val="es-ES"/>
        </w:rPr>
        <w:t xml:space="preserve"> como por parte de los operadores de justicia que descalificaron las denuncias y declaraciones de la presunta víctima, interfirieron con la producción de prueba, y banalizaron la gravedad del caso. </w:t>
      </w:r>
      <w:r w:rsidR="00DB562B">
        <w:rPr>
          <w:rFonts w:asciiTheme="majorHAnsi" w:hAnsiTheme="majorHAnsi"/>
          <w:sz w:val="20"/>
          <w:szCs w:val="20"/>
          <w:lang w:val="es-ES"/>
        </w:rPr>
        <w:t xml:space="preserve">Los peticionarios alegan que las percepciones negativas de los agentes estatales en relación con la orientación sexual de la presunta víctima conllevaron a que el caso no fuera visto como prioritario, que la gravedad de los hechos fuese banalizada, la investigación preliminar estuviera cargada de irregularidades, no hubiera una denuncia inmediata de la violación sexual ante la Comisaría de Casagrande, y que la fiscalía obstaculizara la realización del examen médico legal, entre otros. </w:t>
      </w:r>
      <w:r w:rsidRPr="003673A9">
        <w:rPr>
          <w:rFonts w:asciiTheme="majorHAnsi" w:hAnsiTheme="majorHAnsi"/>
          <w:sz w:val="20"/>
          <w:szCs w:val="20"/>
          <w:lang w:val="es-ES"/>
        </w:rPr>
        <w:t xml:space="preserve">Consideran que lo anterior vulnera el deber de no discriminación y de respeto y garantía de los derechos consagrados en la Convención Americana, conforme </w:t>
      </w:r>
      <w:r w:rsidR="000C65A9" w:rsidRPr="003673A9">
        <w:rPr>
          <w:rFonts w:asciiTheme="majorHAnsi" w:hAnsiTheme="majorHAnsi"/>
          <w:sz w:val="20"/>
          <w:szCs w:val="20"/>
          <w:lang w:val="es-ES"/>
        </w:rPr>
        <w:t>a los artículos</w:t>
      </w:r>
      <w:r w:rsidRPr="003673A9">
        <w:rPr>
          <w:rFonts w:asciiTheme="majorHAnsi" w:hAnsiTheme="majorHAnsi"/>
          <w:sz w:val="20"/>
          <w:szCs w:val="20"/>
          <w:lang w:val="es-ES"/>
        </w:rPr>
        <w:t xml:space="preserve"> 1</w:t>
      </w:r>
      <w:r w:rsidR="003673A9">
        <w:rPr>
          <w:rFonts w:asciiTheme="majorHAnsi" w:hAnsiTheme="majorHAnsi"/>
          <w:sz w:val="20"/>
          <w:szCs w:val="20"/>
          <w:lang w:val="es-ES"/>
        </w:rPr>
        <w:t>(</w:t>
      </w:r>
      <w:r w:rsidRPr="003673A9">
        <w:rPr>
          <w:rFonts w:asciiTheme="majorHAnsi" w:hAnsiTheme="majorHAnsi"/>
          <w:sz w:val="20"/>
          <w:szCs w:val="20"/>
          <w:lang w:val="es-ES"/>
        </w:rPr>
        <w:t>1</w:t>
      </w:r>
      <w:r w:rsidR="003673A9">
        <w:rPr>
          <w:rFonts w:asciiTheme="majorHAnsi" w:hAnsiTheme="majorHAnsi"/>
          <w:sz w:val="20"/>
          <w:szCs w:val="20"/>
          <w:lang w:val="es-ES"/>
        </w:rPr>
        <w:t>)</w:t>
      </w:r>
      <w:r w:rsidR="000C65A9" w:rsidRPr="003673A9">
        <w:rPr>
          <w:rFonts w:asciiTheme="majorHAnsi" w:hAnsiTheme="majorHAnsi"/>
          <w:sz w:val="20"/>
          <w:szCs w:val="20"/>
          <w:lang w:val="es-ES"/>
        </w:rPr>
        <w:t xml:space="preserve"> y 2</w:t>
      </w:r>
      <w:r w:rsidRPr="003673A9">
        <w:rPr>
          <w:rFonts w:asciiTheme="majorHAnsi" w:hAnsiTheme="majorHAnsi"/>
          <w:sz w:val="20"/>
          <w:szCs w:val="20"/>
          <w:lang w:val="es-ES"/>
        </w:rPr>
        <w:t xml:space="preserve"> de dicho Tratado y en relación con sus artículos 5, 7, 8, 11</w:t>
      </w:r>
      <w:r w:rsidR="00F34A95">
        <w:rPr>
          <w:rFonts w:asciiTheme="majorHAnsi" w:hAnsiTheme="majorHAnsi"/>
          <w:sz w:val="20"/>
          <w:szCs w:val="20"/>
          <w:lang w:val="es-ES"/>
        </w:rPr>
        <w:t>, 24</w:t>
      </w:r>
      <w:r w:rsidRPr="003673A9">
        <w:rPr>
          <w:rFonts w:asciiTheme="majorHAnsi" w:hAnsiTheme="majorHAnsi"/>
          <w:sz w:val="20"/>
          <w:szCs w:val="20"/>
          <w:lang w:val="es-ES"/>
        </w:rPr>
        <w:t xml:space="preserve"> y 25.</w:t>
      </w:r>
    </w:p>
    <w:p w:rsidR="007D692F" w:rsidRPr="003673A9" w:rsidRDefault="007D692F" w:rsidP="003673A9">
      <w:pPr>
        <w:pStyle w:val="ListParagraph"/>
        <w:ind w:left="0"/>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ES"/>
        </w:rPr>
        <w:t>En cuanto al agotamiento de los recursos de la jurisdicción interna, alegan que con la decisión de improcedencia de la impugnación presentada contra la decisión de no abrir investigaci</w:t>
      </w:r>
      <w:r w:rsidR="00F34A95">
        <w:rPr>
          <w:rFonts w:asciiTheme="majorHAnsi" w:hAnsiTheme="majorHAnsi"/>
          <w:sz w:val="20"/>
          <w:szCs w:val="20"/>
          <w:lang w:val="es-ES"/>
        </w:rPr>
        <w:t>ón por la presunta comisión del</w:t>
      </w:r>
      <w:r w:rsidR="00EA0E29" w:rsidRPr="003673A9">
        <w:rPr>
          <w:rFonts w:asciiTheme="majorHAnsi" w:hAnsiTheme="majorHAnsi"/>
          <w:sz w:val="20"/>
          <w:szCs w:val="20"/>
          <w:lang w:val="es-ES"/>
        </w:rPr>
        <w:t xml:space="preserve"> </w:t>
      </w:r>
      <w:r w:rsidRPr="003673A9">
        <w:rPr>
          <w:rFonts w:asciiTheme="majorHAnsi" w:hAnsiTheme="majorHAnsi"/>
          <w:sz w:val="20"/>
          <w:szCs w:val="20"/>
          <w:lang w:val="es-ES"/>
        </w:rPr>
        <w:t>delito de tortura, de fecha 15 de octubre de 2008, se cerró la posibilidad de investigar la comisión del delito de tortura y por lo tanto se agotaron los recursos de la jurisdicción interna.</w:t>
      </w:r>
      <w:r w:rsidR="000C65A9" w:rsidRPr="003673A9">
        <w:rPr>
          <w:rFonts w:asciiTheme="majorHAnsi" w:hAnsiTheme="majorHAnsi"/>
          <w:sz w:val="20"/>
          <w:szCs w:val="20"/>
          <w:lang w:val="es-ES"/>
        </w:rPr>
        <w:t xml:space="preserve"> Asimismo sostiene</w:t>
      </w:r>
      <w:r w:rsidR="00AF3B51" w:rsidRPr="003673A9">
        <w:rPr>
          <w:rFonts w:asciiTheme="majorHAnsi" w:hAnsiTheme="majorHAnsi"/>
          <w:sz w:val="20"/>
          <w:szCs w:val="20"/>
          <w:lang w:val="es-ES"/>
        </w:rPr>
        <w:t>n</w:t>
      </w:r>
      <w:r w:rsidR="000C65A9" w:rsidRPr="003673A9">
        <w:rPr>
          <w:rFonts w:asciiTheme="majorHAnsi" w:hAnsiTheme="majorHAnsi"/>
          <w:sz w:val="20"/>
          <w:szCs w:val="20"/>
          <w:lang w:val="es-ES"/>
        </w:rPr>
        <w:t xml:space="preserve"> que</w:t>
      </w:r>
      <w:r w:rsidR="00AF3B51" w:rsidRPr="003673A9">
        <w:rPr>
          <w:rFonts w:asciiTheme="majorHAnsi" w:hAnsiTheme="majorHAnsi"/>
          <w:sz w:val="20"/>
          <w:szCs w:val="20"/>
          <w:lang w:val="es-ES"/>
        </w:rPr>
        <w:t>,</w:t>
      </w:r>
      <w:r w:rsidR="000C65A9" w:rsidRPr="003673A9">
        <w:rPr>
          <w:rFonts w:asciiTheme="majorHAnsi" w:hAnsiTheme="majorHAnsi"/>
          <w:sz w:val="20"/>
          <w:szCs w:val="20"/>
          <w:lang w:val="es-ES"/>
        </w:rPr>
        <w:t xml:space="preserve"> en caso que la CIDH considere que no están agotados los recursos internos, debe</w:t>
      </w:r>
      <w:r w:rsidR="00AF3B51" w:rsidRPr="003673A9">
        <w:rPr>
          <w:rFonts w:asciiTheme="majorHAnsi" w:hAnsiTheme="majorHAnsi"/>
          <w:sz w:val="20"/>
          <w:szCs w:val="20"/>
          <w:lang w:val="es-ES"/>
        </w:rPr>
        <w:t>ría</w:t>
      </w:r>
      <w:r w:rsidR="000C65A9" w:rsidRPr="003673A9">
        <w:rPr>
          <w:rFonts w:asciiTheme="majorHAnsi" w:hAnsiTheme="majorHAnsi"/>
          <w:sz w:val="20"/>
          <w:szCs w:val="20"/>
          <w:lang w:val="es-ES"/>
        </w:rPr>
        <w:t xml:space="preserve"> aplicarse una excepción al agotamiento </w:t>
      </w:r>
      <w:r w:rsidR="00AF3B51" w:rsidRPr="003673A9">
        <w:rPr>
          <w:rFonts w:asciiTheme="majorHAnsi" w:hAnsiTheme="majorHAnsi"/>
          <w:sz w:val="20"/>
          <w:szCs w:val="20"/>
          <w:lang w:val="es-ES"/>
        </w:rPr>
        <w:t xml:space="preserve">con base en la </w:t>
      </w:r>
      <w:r w:rsidR="000C65A9" w:rsidRPr="003673A9">
        <w:rPr>
          <w:rFonts w:asciiTheme="majorHAnsi" w:hAnsiTheme="majorHAnsi"/>
          <w:sz w:val="20"/>
          <w:szCs w:val="20"/>
          <w:lang w:val="es-ES"/>
        </w:rPr>
        <w:t xml:space="preserve">inefectividad del proceso penal caratulado bajo violación sexual y abuso de autoridad para investigar los hechos por el delito de tortura. </w:t>
      </w:r>
    </w:p>
    <w:p w:rsidR="00530B71" w:rsidRPr="003673A9" w:rsidRDefault="00530B71" w:rsidP="003673A9">
      <w:pPr>
        <w:pStyle w:val="ListParagraph"/>
        <w:rPr>
          <w:rFonts w:asciiTheme="majorHAnsi" w:hAnsiTheme="majorHAnsi"/>
          <w:sz w:val="20"/>
          <w:szCs w:val="20"/>
          <w:lang w:val="es-ES"/>
        </w:rPr>
      </w:pPr>
    </w:p>
    <w:p w:rsidR="007D692F" w:rsidRPr="003673A9" w:rsidRDefault="00530B71"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AR"/>
        </w:rPr>
        <w:t xml:space="preserve">Finalmente, alegan que en vista de los hechos materia del reclamo, la madre de Luis Alberto Rojas Marín, Juana Rosa Tanta Marín, </w:t>
      </w:r>
      <w:r w:rsidR="00AF3B51" w:rsidRPr="003673A9">
        <w:rPr>
          <w:rFonts w:asciiTheme="majorHAnsi" w:hAnsiTheme="majorHAnsi"/>
          <w:sz w:val="20"/>
          <w:szCs w:val="20"/>
          <w:lang w:val="es-AR"/>
        </w:rPr>
        <w:t xml:space="preserve">habría visto </w:t>
      </w:r>
      <w:r w:rsidRPr="003673A9">
        <w:rPr>
          <w:rFonts w:asciiTheme="majorHAnsi" w:hAnsiTheme="majorHAnsi"/>
          <w:sz w:val="20"/>
          <w:szCs w:val="20"/>
          <w:lang w:val="es-AR"/>
        </w:rPr>
        <w:t xml:space="preserve">afectada en forma continua </w:t>
      </w:r>
      <w:r w:rsidR="00AF3B51" w:rsidRPr="003673A9">
        <w:rPr>
          <w:rFonts w:asciiTheme="majorHAnsi" w:hAnsiTheme="majorHAnsi"/>
          <w:sz w:val="20"/>
          <w:szCs w:val="20"/>
          <w:lang w:val="es-AR"/>
        </w:rPr>
        <w:t xml:space="preserve">su </w:t>
      </w:r>
      <w:r w:rsidRPr="003673A9">
        <w:rPr>
          <w:rFonts w:asciiTheme="majorHAnsi" w:hAnsiTheme="majorHAnsi"/>
          <w:sz w:val="20"/>
          <w:szCs w:val="20"/>
          <w:lang w:val="es-AR"/>
        </w:rPr>
        <w:t xml:space="preserve">salud a causa de la </w:t>
      </w:r>
      <w:r w:rsidR="00CF0720">
        <w:rPr>
          <w:rFonts w:asciiTheme="majorHAnsi" w:hAnsiTheme="majorHAnsi"/>
          <w:sz w:val="20"/>
          <w:szCs w:val="20"/>
          <w:lang w:val="es-AR"/>
        </w:rPr>
        <w:t xml:space="preserve">angustia y depresión </w:t>
      </w:r>
      <w:r w:rsidR="0033420C">
        <w:rPr>
          <w:rFonts w:asciiTheme="majorHAnsi" w:hAnsiTheme="majorHAnsi"/>
          <w:sz w:val="20"/>
          <w:szCs w:val="20"/>
          <w:lang w:val="es-AR"/>
        </w:rPr>
        <w:t>por</w:t>
      </w:r>
      <w:r w:rsidR="00CF0720">
        <w:rPr>
          <w:rFonts w:asciiTheme="majorHAnsi" w:hAnsiTheme="majorHAnsi"/>
          <w:sz w:val="20"/>
          <w:szCs w:val="20"/>
          <w:lang w:val="es-AR"/>
        </w:rPr>
        <w:t xml:space="preserve"> los daños infligidos a su hijo,</w:t>
      </w:r>
      <w:r w:rsidRPr="003673A9">
        <w:rPr>
          <w:rFonts w:asciiTheme="majorHAnsi" w:hAnsiTheme="majorHAnsi"/>
          <w:sz w:val="20"/>
          <w:szCs w:val="20"/>
          <w:lang w:val="es-AR"/>
        </w:rPr>
        <w:t xml:space="preserve"> </w:t>
      </w:r>
      <w:r w:rsidR="00B22A63">
        <w:rPr>
          <w:rFonts w:asciiTheme="majorHAnsi" w:hAnsiTheme="majorHAnsi"/>
          <w:sz w:val="20"/>
          <w:szCs w:val="20"/>
          <w:lang w:val="es-AR"/>
        </w:rPr>
        <w:t xml:space="preserve">la impunidad relacionada con el caso y </w:t>
      </w:r>
      <w:r w:rsidR="0033420C">
        <w:rPr>
          <w:rFonts w:asciiTheme="majorHAnsi" w:hAnsiTheme="majorHAnsi"/>
          <w:sz w:val="20"/>
          <w:szCs w:val="20"/>
          <w:lang w:val="es-AR"/>
        </w:rPr>
        <w:t xml:space="preserve">el </w:t>
      </w:r>
      <w:r w:rsidRPr="003673A9">
        <w:rPr>
          <w:rFonts w:asciiTheme="majorHAnsi" w:hAnsiTheme="majorHAnsi"/>
          <w:sz w:val="20"/>
          <w:szCs w:val="20"/>
          <w:lang w:val="es-AR"/>
        </w:rPr>
        <w:t xml:space="preserve">temor a represalias, por lo que solicitan </w:t>
      </w:r>
      <w:r w:rsidR="00AF3B51" w:rsidRPr="003673A9">
        <w:rPr>
          <w:rFonts w:asciiTheme="majorHAnsi" w:hAnsiTheme="majorHAnsi"/>
          <w:sz w:val="20"/>
          <w:szCs w:val="20"/>
          <w:lang w:val="es-AR"/>
        </w:rPr>
        <w:t xml:space="preserve">que </w:t>
      </w:r>
      <w:r w:rsidRPr="003673A9">
        <w:rPr>
          <w:rFonts w:asciiTheme="majorHAnsi" w:hAnsiTheme="majorHAnsi"/>
          <w:sz w:val="20"/>
          <w:szCs w:val="20"/>
          <w:lang w:val="es-AR"/>
        </w:rPr>
        <w:t xml:space="preserve">se </w:t>
      </w:r>
      <w:r w:rsidR="00AF3B51" w:rsidRPr="003673A9">
        <w:rPr>
          <w:rFonts w:asciiTheme="majorHAnsi" w:hAnsiTheme="majorHAnsi"/>
          <w:sz w:val="20"/>
          <w:szCs w:val="20"/>
          <w:lang w:val="es-AR"/>
        </w:rPr>
        <w:t xml:space="preserve">declare </w:t>
      </w:r>
      <w:r w:rsidRPr="003673A9">
        <w:rPr>
          <w:rFonts w:asciiTheme="majorHAnsi" w:hAnsiTheme="majorHAnsi"/>
          <w:sz w:val="20"/>
          <w:szCs w:val="20"/>
          <w:lang w:val="es-AR"/>
        </w:rPr>
        <w:t>la violación del derecho a la integridad personal</w:t>
      </w:r>
      <w:r w:rsidR="00AF3B51" w:rsidRPr="003673A9">
        <w:rPr>
          <w:rFonts w:asciiTheme="majorHAnsi" w:hAnsiTheme="majorHAnsi"/>
          <w:sz w:val="20"/>
          <w:szCs w:val="20"/>
          <w:lang w:val="es-AR"/>
        </w:rPr>
        <w:t>, consagrada en el artículo 5 de la Convención,</w:t>
      </w:r>
      <w:r w:rsidRPr="003673A9">
        <w:rPr>
          <w:rFonts w:asciiTheme="majorHAnsi" w:hAnsiTheme="majorHAnsi"/>
          <w:sz w:val="20"/>
          <w:szCs w:val="20"/>
          <w:lang w:val="es-AR"/>
        </w:rPr>
        <w:t xml:space="preserve"> en su perjuicio.</w:t>
      </w:r>
    </w:p>
    <w:p w:rsidR="003673A9" w:rsidRPr="00FF7843" w:rsidRDefault="003673A9" w:rsidP="003673A9">
      <w:pPr>
        <w:pStyle w:val="Heading1"/>
        <w:rPr>
          <w:lang w:val="es-ES"/>
        </w:rPr>
      </w:pPr>
    </w:p>
    <w:p w:rsidR="007D692F" w:rsidRPr="00373C24" w:rsidRDefault="007D692F" w:rsidP="003673A9">
      <w:pPr>
        <w:pStyle w:val="Heading1"/>
        <w:rPr>
          <w:color w:val="auto"/>
        </w:rPr>
      </w:pPr>
      <w:r w:rsidRPr="00373C24">
        <w:rPr>
          <w:color w:val="auto"/>
        </w:rPr>
        <w:t>B.</w:t>
      </w:r>
      <w:r w:rsidRPr="00373C24">
        <w:rPr>
          <w:color w:val="auto"/>
        </w:rPr>
        <w:tab/>
      </w:r>
      <w:proofErr w:type="spellStart"/>
      <w:r w:rsidRPr="00373C24">
        <w:rPr>
          <w:color w:val="auto"/>
        </w:rPr>
        <w:t>Posición</w:t>
      </w:r>
      <w:proofErr w:type="spellEnd"/>
      <w:r w:rsidRPr="00373C24">
        <w:rPr>
          <w:color w:val="auto"/>
        </w:rPr>
        <w:t xml:space="preserve"> </w:t>
      </w:r>
      <w:proofErr w:type="gramStart"/>
      <w:r w:rsidRPr="00373C24">
        <w:rPr>
          <w:color w:val="auto"/>
        </w:rPr>
        <w:t>del</w:t>
      </w:r>
      <w:proofErr w:type="gramEnd"/>
      <w:r w:rsidRPr="00373C24">
        <w:rPr>
          <w:color w:val="auto"/>
        </w:rPr>
        <w:t xml:space="preserve"> Estado</w:t>
      </w:r>
    </w:p>
    <w:p w:rsidR="007D692F" w:rsidRPr="003673A9" w:rsidRDefault="007D692F" w:rsidP="003673A9">
      <w:pPr>
        <w:rPr>
          <w:rFonts w:asciiTheme="majorHAnsi" w:hAnsiTheme="majorHAnsi"/>
          <w:sz w:val="20"/>
          <w:szCs w:val="20"/>
        </w:rPr>
      </w:pPr>
    </w:p>
    <w:p w:rsidR="007D692F" w:rsidRPr="003673A9" w:rsidRDefault="002736C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ES"/>
        </w:rPr>
        <w:t xml:space="preserve">Por su parte, el </w:t>
      </w:r>
      <w:r w:rsidR="00D24170" w:rsidRPr="003673A9">
        <w:rPr>
          <w:rFonts w:asciiTheme="majorHAnsi" w:hAnsiTheme="majorHAnsi"/>
          <w:sz w:val="20"/>
          <w:szCs w:val="20"/>
          <w:lang w:val="es-ES"/>
        </w:rPr>
        <w:t xml:space="preserve">Estado </w:t>
      </w:r>
      <w:r w:rsidR="00067F31" w:rsidRPr="003673A9">
        <w:rPr>
          <w:rFonts w:asciiTheme="majorHAnsi" w:hAnsiTheme="majorHAnsi"/>
          <w:sz w:val="20"/>
          <w:szCs w:val="20"/>
          <w:lang w:val="es-ES"/>
        </w:rPr>
        <w:t xml:space="preserve">solicita a la CIDH declare la petición inadmisible, al considerar que los peticionarios </w:t>
      </w:r>
      <w:r w:rsidR="00795E9B" w:rsidRPr="003673A9">
        <w:rPr>
          <w:rFonts w:asciiTheme="majorHAnsi" w:hAnsiTheme="majorHAnsi"/>
          <w:sz w:val="20"/>
          <w:szCs w:val="20"/>
          <w:lang w:val="es-AR"/>
        </w:rPr>
        <w:t xml:space="preserve">no </w:t>
      </w:r>
      <w:r w:rsidR="00067F31" w:rsidRPr="003673A9">
        <w:rPr>
          <w:rFonts w:asciiTheme="majorHAnsi" w:hAnsiTheme="majorHAnsi"/>
          <w:sz w:val="20"/>
          <w:szCs w:val="20"/>
          <w:lang w:val="es-AR"/>
        </w:rPr>
        <w:t>cumplieron con el requisito de agotamiento previo de</w:t>
      </w:r>
      <w:r w:rsidR="00795E9B" w:rsidRPr="003673A9">
        <w:rPr>
          <w:rFonts w:asciiTheme="majorHAnsi" w:hAnsiTheme="majorHAnsi"/>
          <w:sz w:val="20"/>
          <w:szCs w:val="20"/>
          <w:lang w:val="es-AR"/>
        </w:rPr>
        <w:t xml:space="preserve"> los recursos de la jurisdicción </w:t>
      </w:r>
      <w:r w:rsidR="00067F31" w:rsidRPr="003673A9">
        <w:rPr>
          <w:rFonts w:asciiTheme="majorHAnsi" w:hAnsiTheme="majorHAnsi"/>
          <w:sz w:val="20"/>
          <w:szCs w:val="20"/>
          <w:lang w:val="es-AR"/>
        </w:rPr>
        <w:t xml:space="preserve">interna, al haber impugnado extemporáneamente el auto judicial que ordenó el sobreseimiento </w:t>
      </w:r>
      <w:r w:rsidR="001659E1" w:rsidRPr="003673A9">
        <w:rPr>
          <w:rFonts w:asciiTheme="majorHAnsi" w:hAnsiTheme="majorHAnsi"/>
          <w:sz w:val="20"/>
          <w:szCs w:val="20"/>
          <w:lang w:val="es-AR"/>
        </w:rPr>
        <w:t xml:space="preserve">y que tampoco </w:t>
      </w:r>
      <w:r w:rsidR="00067F31" w:rsidRPr="003673A9">
        <w:rPr>
          <w:rFonts w:asciiTheme="majorHAnsi" w:hAnsiTheme="majorHAnsi"/>
          <w:sz w:val="20"/>
          <w:szCs w:val="20"/>
          <w:lang w:val="es-AR"/>
        </w:rPr>
        <w:t xml:space="preserve">expusieron hechos que puedan configurar una posible violación de los derechos alegados. </w:t>
      </w:r>
      <w:r w:rsidR="006B657C" w:rsidRPr="003673A9">
        <w:rPr>
          <w:rFonts w:asciiTheme="majorHAnsi" w:hAnsiTheme="majorHAnsi"/>
          <w:sz w:val="20"/>
          <w:szCs w:val="20"/>
          <w:lang w:val="es-AR"/>
        </w:rPr>
        <w:t>Espec</w:t>
      </w:r>
      <w:r w:rsidR="009C1CD4" w:rsidRPr="003673A9">
        <w:rPr>
          <w:rFonts w:asciiTheme="majorHAnsi" w:hAnsiTheme="majorHAnsi"/>
          <w:sz w:val="20"/>
          <w:szCs w:val="20"/>
          <w:lang w:val="es-AR"/>
        </w:rPr>
        <w:t xml:space="preserve">íficamente en relación con los hechos, el Estado </w:t>
      </w:r>
      <w:r w:rsidR="006B657C" w:rsidRPr="003673A9">
        <w:rPr>
          <w:rFonts w:asciiTheme="majorHAnsi" w:hAnsiTheme="majorHAnsi"/>
          <w:sz w:val="20"/>
          <w:szCs w:val="20"/>
          <w:lang w:val="es-AR"/>
        </w:rPr>
        <w:t xml:space="preserve">alega que </w:t>
      </w:r>
      <w:r w:rsidR="009C1CD4" w:rsidRPr="003673A9">
        <w:rPr>
          <w:rFonts w:asciiTheme="majorHAnsi" w:hAnsiTheme="majorHAnsi"/>
          <w:sz w:val="20"/>
          <w:szCs w:val="20"/>
          <w:lang w:val="es-AR"/>
        </w:rPr>
        <w:t xml:space="preserve">aproximadamente a la 1:25 am del 25 de febrero de 2008, una camioneta de </w:t>
      </w:r>
      <w:proofErr w:type="spellStart"/>
      <w:r w:rsidR="009C1CD4" w:rsidRPr="003673A9">
        <w:rPr>
          <w:rFonts w:asciiTheme="majorHAnsi" w:hAnsiTheme="majorHAnsi"/>
          <w:sz w:val="20"/>
          <w:szCs w:val="20"/>
          <w:lang w:val="es-AR"/>
        </w:rPr>
        <w:t>serenazgo</w:t>
      </w:r>
      <w:proofErr w:type="spellEnd"/>
      <w:r w:rsidR="009C1CD4" w:rsidRPr="003673A9">
        <w:rPr>
          <w:rFonts w:asciiTheme="majorHAnsi" w:hAnsiTheme="majorHAnsi"/>
          <w:sz w:val="20"/>
          <w:szCs w:val="20"/>
          <w:lang w:val="es-AR"/>
        </w:rPr>
        <w:t xml:space="preserve"> acudió a la Carretera Industrial-Casa Grande </w:t>
      </w:r>
      <w:r w:rsidR="00987593" w:rsidRPr="003673A9">
        <w:rPr>
          <w:rFonts w:asciiTheme="majorHAnsi" w:hAnsiTheme="majorHAnsi"/>
          <w:sz w:val="20"/>
          <w:szCs w:val="20"/>
          <w:lang w:val="es-AR"/>
        </w:rPr>
        <w:t xml:space="preserve">en respuesta </w:t>
      </w:r>
      <w:r w:rsidR="007D692F" w:rsidRPr="003673A9">
        <w:rPr>
          <w:rFonts w:asciiTheme="majorHAnsi" w:hAnsiTheme="majorHAnsi"/>
          <w:sz w:val="20"/>
          <w:szCs w:val="20"/>
          <w:lang w:val="es-AR"/>
        </w:rPr>
        <w:t>a llamadas de vecino</w:t>
      </w:r>
      <w:r w:rsidR="009F43E9" w:rsidRPr="003673A9">
        <w:rPr>
          <w:rFonts w:asciiTheme="majorHAnsi" w:hAnsiTheme="majorHAnsi"/>
          <w:sz w:val="20"/>
          <w:szCs w:val="20"/>
          <w:lang w:val="es-AR"/>
        </w:rPr>
        <w:t>s</w:t>
      </w:r>
      <w:r w:rsidR="007D692F" w:rsidRPr="003673A9">
        <w:rPr>
          <w:rFonts w:asciiTheme="majorHAnsi" w:hAnsiTheme="majorHAnsi"/>
          <w:sz w:val="20"/>
          <w:szCs w:val="20"/>
          <w:lang w:val="es-AR"/>
        </w:rPr>
        <w:t xml:space="preserve"> </w:t>
      </w:r>
      <w:r w:rsidR="00AF3B51" w:rsidRPr="003673A9">
        <w:rPr>
          <w:rFonts w:asciiTheme="majorHAnsi" w:hAnsiTheme="majorHAnsi"/>
          <w:sz w:val="20"/>
          <w:szCs w:val="20"/>
          <w:lang w:val="es-AR"/>
        </w:rPr>
        <w:t xml:space="preserve">que habrían reportado </w:t>
      </w:r>
      <w:r w:rsidR="007D692F" w:rsidRPr="003673A9">
        <w:rPr>
          <w:rFonts w:asciiTheme="majorHAnsi" w:hAnsiTheme="majorHAnsi"/>
          <w:sz w:val="20"/>
          <w:szCs w:val="20"/>
          <w:lang w:val="es-AR"/>
        </w:rPr>
        <w:t xml:space="preserve">la presencia de personas extrañas en los alrededores </w:t>
      </w:r>
      <w:r w:rsidR="009C1CD4" w:rsidRPr="003673A9">
        <w:rPr>
          <w:rFonts w:asciiTheme="majorHAnsi" w:hAnsiTheme="majorHAnsi"/>
          <w:sz w:val="20"/>
          <w:szCs w:val="20"/>
          <w:lang w:val="es-AR"/>
        </w:rPr>
        <w:t>de la carretera</w:t>
      </w:r>
      <w:r w:rsidR="00987593" w:rsidRPr="003673A9">
        <w:rPr>
          <w:rFonts w:asciiTheme="majorHAnsi" w:hAnsiTheme="majorHAnsi"/>
          <w:sz w:val="20"/>
          <w:szCs w:val="20"/>
          <w:lang w:val="es-AR"/>
        </w:rPr>
        <w:t xml:space="preserve">. </w:t>
      </w:r>
      <w:r w:rsidR="00141FCF" w:rsidRPr="003673A9">
        <w:rPr>
          <w:rFonts w:asciiTheme="majorHAnsi" w:hAnsiTheme="majorHAnsi"/>
          <w:sz w:val="20"/>
          <w:szCs w:val="20"/>
          <w:lang w:val="es-AR"/>
        </w:rPr>
        <w:t>Una vez ahí</w:t>
      </w:r>
      <w:r w:rsidR="007D692F" w:rsidRPr="003673A9">
        <w:rPr>
          <w:rFonts w:asciiTheme="majorHAnsi" w:hAnsiTheme="majorHAnsi"/>
          <w:sz w:val="20"/>
          <w:szCs w:val="20"/>
          <w:lang w:val="es-AR"/>
        </w:rPr>
        <w:t xml:space="preserve"> vieron que corrían tres personas, logrando intervenir s</w:t>
      </w:r>
      <w:r w:rsidR="009F43E9" w:rsidRPr="003673A9">
        <w:rPr>
          <w:rFonts w:asciiTheme="majorHAnsi" w:hAnsiTheme="majorHAnsi"/>
          <w:sz w:val="20"/>
          <w:szCs w:val="20"/>
          <w:lang w:val="es-AR"/>
        </w:rPr>
        <w:t>ó</w:t>
      </w:r>
      <w:r w:rsidR="007D692F" w:rsidRPr="003673A9">
        <w:rPr>
          <w:rFonts w:asciiTheme="majorHAnsi" w:hAnsiTheme="majorHAnsi"/>
          <w:sz w:val="20"/>
          <w:szCs w:val="20"/>
          <w:lang w:val="es-AR"/>
        </w:rPr>
        <w:t xml:space="preserve">lo </w:t>
      </w:r>
      <w:r w:rsidR="00141FCF" w:rsidRPr="003673A9">
        <w:rPr>
          <w:rFonts w:asciiTheme="majorHAnsi" w:hAnsiTheme="majorHAnsi"/>
          <w:sz w:val="20"/>
          <w:szCs w:val="20"/>
          <w:lang w:val="es-AR"/>
        </w:rPr>
        <w:t xml:space="preserve">a </w:t>
      </w:r>
      <w:r w:rsidR="007D692F" w:rsidRPr="003673A9">
        <w:rPr>
          <w:rFonts w:asciiTheme="majorHAnsi" w:hAnsiTheme="majorHAnsi"/>
          <w:sz w:val="20"/>
          <w:szCs w:val="20"/>
          <w:lang w:val="es-AR"/>
        </w:rPr>
        <w:t>la presunta víctima</w:t>
      </w:r>
      <w:r w:rsidR="000F500D" w:rsidRPr="003673A9">
        <w:rPr>
          <w:rFonts w:asciiTheme="majorHAnsi" w:hAnsiTheme="majorHAnsi"/>
          <w:sz w:val="20"/>
          <w:szCs w:val="20"/>
          <w:lang w:val="es-AR"/>
        </w:rPr>
        <w:t>, quien habría opuesto resistencia</w:t>
      </w:r>
      <w:r w:rsidR="007D692F" w:rsidRPr="003673A9">
        <w:rPr>
          <w:rFonts w:asciiTheme="majorHAnsi" w:hAnsiTheme="majorHAnsi"/>
          <w:sz w:val="20"/>
          <w:szCs w:val="20"/>
          <w:lang w:val="es-AR"/>
        </w:rPr>
        <w:t xml:space="preserve">. Informa que, </w:t>
      </w:r>
      <w:r w:rsidR="00AB62D5" w:rsidRPr="003673A9">
        <w:rPr>
          <w:rFonts w:asciiTheme="majorHAnsi" w:hAnsiTheme="majorHAnsi"/>
          <w:sz w:val="20"/>
          <w:szCs w:val="20"/>
          <w:lang w:val="es-AR"/>
        </w:rPr>
        <w:t>“</w:t>
      </w:r>
      <w:r w:rsidR="007D692F" w:rsidRPr="003673A9">
        <w:rPr>
          <w:rFonts w:asciiTheme="majorHAnsi" w:hAnsiTheme="majorHAnsi"/>
          <w:sz w:val="20"/>
          <w:szCs w:val="20"/>
          <w:lang w:val="es-AR"/>
        </w:rPr>
        <w:t>debido a las circunstancias en</w:t>
      </w:r>
      <w:r w:rsidR="009F43E9" w:rsidRPr="003673A9">
        <w:rPr>
          <w:rFonts w:asciiTheme="majorHAnsi" w:hAnsiTheme="majorHAnsi"/>
          <w:sz w:val="20"/>
          <w:szCs w:val="20"/>
          <w:lang w:val="es-AR"/>
        </w:rPr>
        <w:t xml:space="preserve"> las que fue intervenido</w:t>
      </w:r>
      <w:r w:rsidR="00AB62D5" w:rsidRPr="003673A9">
        <w:rPr>
          <w:rFonts w:asciiTheme="majorHAnsi" w:hAnsiTheme="majorHAnsi"/>
          <w:sz w:val="20"/>
          <w:szCs w:val="20"/>
          <w:lang w:val="es-AR"/>
        </w:rPr>
        <w:t>”</w:t>
      </w:r>
      <w:r w:rsidR="009F43E9" w:rsidRPr="003673A9">
        <w:rPr>
          <w:rFonts w:asciiTheme="majorHAnsi" w:hAnsiTheme="majorHAnsi"/>
          <w:sz w:val="20"/>
          <w:szCs w:val="20"/>
          <w:lang w:val="es-AR"/>
        </w:rPr>
        <w:t xml:space="preserve">, a la </w:t>
      </w:r>
      <w:r w:rsidR="007D692F" w:rsidRPr="003673A9">
        <w:rPr>
          <w:rFonts w:asciiTheme="majorHAnsi" w:hAnsiTheme="majorHAnsi"/>
          <w:sz w:val="20"/>
          <w:szCs w:val="20"/>
          <w:lang w:val="es-AR"/>
        </w:rPr>
        <w:t xml:space="preserve">falta de identificación y al presunto estado de ebriedad en el que se encontraba, </w:t>
      </w:r>
      <w:r w:rsidR="00987593" w:rsidRPr="003673A9">
        <w:rPr>
          <w:rFonts w:asciiTheme="majorHAnsi" w:hAnsiTheme="majorHAnsi"/>
          <w:sz w:val="20"/>
          <w:szCs w:val="20"/>
          <w:lang w:val="es-AR"/>
        </w:rPr>
        <w:t>los agentes</w:t>
      </w:r>
      <w:r w:rsidR="007D692F" w:rsidRPr="003673A9">
        <w:rPr>
          <w:rFonts w:asciiTheme="majorHAnsi" w:hAnsiTheme="majorHAnsi"/>
          <w:sz w:val="20"/>
          <w:szCs w:val="20"/>
          <w:lang w:val="es-AR"/>
        </w:rPr>
        <w:t xml:space="preserve"> </w:t>
      </w:r>
      <w:r w:rsidR="00987593" w:rsidRPr="003673A9">
        <w:rPr>
          <w:rFonts w:asciiTheme="majorHAnsi" w:hAnsiTheme="majorHAnsi"/>
          <w:sz w:val="20"/>
          <w:szCs w:val="20"/>
          <w:lang w:val="es-AR"/>
        </w:rPr>
        <w:t xml:space="preserve">habrían conducido </w:t>
      </w:r>
      <w:r w:rsidR="00AB62D5" w:rsidRPr="003673A9">
        <w:rPr>
          <w:rFonts w:asciiTheme="majorHAnsi" w:hAnsiTheme="majorHAnsi"/>
          <w:sz w:val="20"/>
          <w:szCs w:val="20"/>
          <w:lang w:val="es-AR"/>
        </w:rPr>
        <w:t xml:space="preserve">a Luis Alberto Rojas Marín </w:t>
      </w:r>
      <w:r w:rsidR="007D692F" w:rsidRPr="003673A9">
        <w:rPr>
          <w:rFonts w:asciiTheme="majorHAnsi" w:hAnsiTheme="majorHAnsi"/>
          <w:sz w:val="20"/>
          <w:szCs w:val="20"/>
          <w:lang w:val="es-AR"/>
        </w:rPr>
        <w:t xml:space="preserve">a la Comisaría de Casa Grande, con la finalidad de </w:t>
      </w:r>
      <w:r w:rsidR="00987593" w:rsidRPr="003673A9">
        <w:rPr>
          <w:rFonts w:asciiTheme="majorHAnsi" w:hAnsiTheme="majorHAnsi"/>
          <w:sz w:val="20"/>
          <w:szCs w:val="20"/>
          <w:lang w:val="es-AR"/>
        </w:rPr>
        <w:t>identificarlo</w:t>
      </w:r>
      <w:r w:rsidR="007D692F" w:rsidRPr="003673A9">
        <w:rPr>
          <w:rFonts w:asciiTheme="majorHAnsi" w:hAnsiTheme="majorHAnsi"/>
          <w:sz w:val="20"/>
          <w:szCs w:val="20"/>
          <w:lang w:val="es-AR"/>
        </w:rPr>
        <w:t xml:space="preserve">. </w:t>
      </w:r>
      <w:r w:rsidR="00987593" w:rsidRPr="003673A9">
        <w:rPr>
          <w:rFonts w:asciiTheme="majorHAnsi" w:hAnsiTheme="majorHAnsi"/>
          <w:sz w:val="20"/>
          <w:szCs w:val="20"/>
          <w:lang w:val="es-AR"/>
        </w:rPr>
        <w:t xml:space="preserve">Señala el Estado </w:t>
      </w:r>
      <w:r w:rsidR="007D692F" w:rsidRPr="003673A9">
        <w:rPr>
          <w:rFonts w:asciiTheme="majorHAnsi" w:hAnsiTheme="majorHAnsi"/>
          <w:sz w:val="20"/>
          <w:szCs w:val="20"/>
          <w:lang w:val="es-AR"/>
        </w:rPr>
        <w:t>que los tres</w:t>
      </w:r>
      <w:r w:rsidR="00987593" w:rsidRPr="003673A9">
        <w:rPr>
          <w:rFonts w:asciiTheme="majorHAnsi" w:hAnsiTheme="majorHAnsi"/>
          <w:sz w:val="20"/>
          <w:szCs w:val="20"/>
          <w:lang w:val="es-AR"/>
        </w:rPr>
        <w:t xml:space="preserve"> agentes de</w:t>
      </w:r>
      <w:r w:rsidR="007D692F" w:rsidRPr="003673A9">
        <w:rPr>
          <w:rFonts w:asciiTheme="majorHAnsi" w:hAnsiTheme="majorHAnsi"/>
          <w:sz w:val="20"/>
          <w:szCs w:val="20"/>
          <w:lang w:val="es-AR"/>
        </w:rPr>
        <w:t xml:space="preserve"> policía imputados </w:t>
      </w:r>
      <w:r w:rsidR="00987593" w:rsidRPr="003673A9">
        <w:rPr>
          <w:rFonts w:asciiTheme="majorHAnsi" w:hAnsiTheme="majorHAnsi"/>
          <w:sz w:val="20"/>
          <w:szCs w:val="20"/>
          <w:lang w:val="es-AR"/>
        </w:rPr>
        <w:t xml:space="preserve">habrían </w:t>
      </w:r>
      <w:r w:rsidR="007D692F" w:rsidRPr="003673A9">
        <w:rPr>
          <w:rFonts w:asciiTheme="majorHAnsi" w:hAnsiTheme="majorHAnsi"/>
          <w:sz w:val="20"/>
          <w:szCs w:val="20"/>
          <w:lang w:val="es-AR"/>
        </w:rPr>
        <w:t>señalado que</w:t>
      </w:r>
      <w:r w:rsidR="000F500D" w:rsidRPr="003673A9">
        <w:rPr>
          <w:rFonts w:asciiTheme="majorHAnsi" w:hAnsiTheme="majorHAnsi"/>
          <w:sz w:val="20"/>
          <w:szCs w:val="20"/>
          <w:lang w:val="es-AR"/>
        </w:rPr>
        <w:t xml:space="preserve"> nada de lo dicho por Luis Alberto Rojas Marín “se ajusta a la verdad”,</w:t>
      </w:r>
      <w:r w:rsidR="007D692F" w:rsidRPr="003673A9">
        <w:rPr>
          <w:rFonts w:asciiTheme="majorHAnsi" w:hAnsiTheme="majorHAnsi"/>
          <w:sz w:val="20"/>
          <w:szCs w:val="20"/>
          <w:lang w:val="es-AR"/>
        </w:rPr>
        <w:t xml:space="preserve"> no </w:t>
      </w:r>
      <w:r w:rsidR="00987593" w:rsidRPr="003673A9">
        <w:rPr>
          <w:rFonts w:asciiTheme="majorHAnsi" w:hAnsiTheme="majorHAnsi"/>
          <w:sz w:val="20"/>
          <w:szCs w:val="20"/>
          <w:lang w:val="es-AR"/>
        </w:rPr>
        <w:t xml:space="preserve">le habrían hecho </w:t>
      </w:r>
      <w:r w:rsidR="007D692F" w:rsidRPr="003673A9">
        <w:rPr>
          <w:rFonts w:asciiTheme="majorHAnsi" w:hAnsiTheme="majorHAnsi"/>
          <w:sz w:val="20"/>
          <w:szCs w:val="20"/>
          <w:lang w:val="es-AR"/>
        </w:rPr>
        <w:t xml:space="preserve">ninguna pregunta sobre </w:t>
      </w:r>
      <w:r w:rsidR="00987593" w:rsidRPr="003673A9">
        <w:rPr>
          <w:rFonts w:asciiTheme="majorHAnsi" w:hAnsiTheme="majorHAnsi"/>
          <w:sz w:val="20"/>
          <w:szCs w:val="20"/>
          <w:lang w:val="es-AR"/>
        </w:rPr>
        <w:t xml:space="preserve">su </w:t>
      </w:r>
      <w:r w:rsidR="007D692F" w:rsidRPr="003673A9">
        <w:rPr>
          <w:rFonts w:asciiTheme="majorHAnsi" w:hAnsiTheme="majorHAnsi"/>
          <w:sz w:val="20"/>
          <w:szCs w:val="20"/>
          <w:lang w:val="es-AR"/>
        </w:rPr>
        <w:t xml:space="preserve">hermano y que tampoco </w:t>
      </w:r>
      <w:r w:rsidR="00987593" w:rsidRPr="003673A9">
        <w:rPr>
          <w:rFonts w:asciiTheme="majorHAnsi" w:hAnsiTheme="majorHAnsi"/>
          <w:sz w:val="20"/>
          <w:szCs w:val="20"/>
          <w:lang w:val="es-AR"/>
        </w:rPr>
        <w:t xml:space="preserve">habrían ejercido </w:t>
      </w:r>
      <w:r w:rsidR="009F43E9" w:rsidRPr="003673A9">
        <w:rPr>
          <w:rFonts w:asciiTheme="majorHAnsi" w:hAnsiTheme="majorHAnsi"/>
          <w:sz w:val="20"/>
          <w:szCs w:val="20"/>
          <w:lang w:val="es-AR"/>
        </w:rPr>
        <w:t>acto</w:t>
      </w:r>
      <w:r w:rsidR="00987593" w:rsidRPr="003673A9">
        <w:rPr>
          <w:rFonts w:asciiTheme="majorHAnsi" w:hAnsiTheme="majorHAnsi"/>
          <w:sz w:val="20"/>
          <w:szCs w:val="20"/>
          <w:lang w:val="es-AR"/>
        </w:rPr>
        <w:t>s</w:t>
      </w:r>
      <w:r w:rsidR="000F500D" w:rsidRPr="003673A9">
        <w:rPr>
          <w:rFonts w:asciiTheme="majorHAnsi" w:hAnsiTheme="majorHAnsi"/>
          <w:sz w:val="20"/>
          <w:szCs w:val="20"/>
          <w:lang w:val="es-AR"/>
        </w:rPr>
        <w:t xml:space="preserve"> de violencia sexual en su contra y que más bien, él habría tenido una actitud agresiva profiriendo frases ofensivas contra el personal policial</w:t>
      </w:r>
      <w:r w:rsidR="007D692F" w:rsidRPr="003673A9">
        <w:rPr>
          <w:rFonts w:asciiTheme="majorHAnsi" w:hAnsiTheme="majorHAnsi"/>
          <w:sz w:val="20"/>
          <w:szCs w:val="20"/>
          <w:lang w:val="es-AR"/>
        </w:rPr>
        <w:t xml:space="preserve">.         </w:t>
      </w:r>
    </w:p>
    <w:p w:rsidR="007D692F" w:rsidRPr="003673A9" w:rsidRDefault="007D692F" w:rsidP="003673A9">
      <w:pPr>
        <w:ind w:left="720"/>
        <w:rPr>
          <w:rFonts w:asciiTheme="majorHAnsi" w:hAnsiTheme="majorHAnsi"/>
          <w:sz w:val="20"/>
          <w:szCs w:val="20"/>
          <w:lang w:val="es-AR"/>
        </w:rPr>
      </w:pPr>
    </w:p>
    <w:p w:rsidR="001A4FE0"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Con relación a la denuncia de violación sexual y abuso de </w:t>
      </w:r>
      <w:r w:rsidR="000F500D" w:rsidRPr="003673A9">
        <w:rPr>
          <w:rFonts w:asciiTheme="majorHAnsi" w:hAnsiTheme="majorHAnsi"/>
          <w:sz w:val="20"/>
          <w:szCs w:val="20"/>
          <w:lang w:val="es-AR"/>
        </w:rPr>
        <w:t>autoridad</w:t>
      </w:r>
      <w:r w:rsidRPr="003673A9">
        <w:rPr>
          <w:rFonts w:asciiTheme="majorHAnsi" w:hAnsiTheme="majorHAnsi"/>
          <w:sz w:val="20"/>
          <w:szCs w:val="20"/>
          <w:lang w:val="es-AR"/>
        </w:rPr>
        <w:t>, el 2 de abril de 2008</w:t>
      </w:r>
      <w:r w:rsidR="0054642C" w:rsidRPr="003673A9">
        <w:rPr>
          <w:rFonts w:asciiTheme="majorHAnsi" w:hAnsiTheme="majorHAnsi"/>
          <w:sz w:val="20"/>
          <w:szCs w:val="20"/>
          <w:lang w:val="es-AR"/>
        </w:rPr>
        <w:t>,</w:t>
      </w:r>
      <w:r w:rsidRPr="003673A9">
        <w:rPr>
          <w:rFonts w:asciiTheme="majorHAnsi" w:hAnsiTheme="majorHAnsi"/>
          <w:sz w:val="20"/>
          <w:szCs w:val="20"/>
          <w:lang w:val="es-AR"/>
        </w:rPr>
        <w:t xml:space="preserve"> la Segunda Fiscalía Provincial Penal Corporativa de </w:t>
      </w:r>
      <w:proofErr w:type="spellStart"/>
      <w:r w:rsidRPr="003673A9">
        <w:rPr>
          <w:rFonts w:asciiTheme="majorHAnsi" w:hAnsiTheme="majorHAnsi"/>
          <w:sz w:val="20"/>
          <w:szCs w:val="20"/>
          <w:lang w:val="es-AR"/>
        </w:rPr>
        <w:t>Ascope</w:t>
      </w:r>
      <w:proofErr w:type="spellEnd"/>
      <w:r w:rsidRPr="003673A9">
        <w:rPr>
          <w:rFonts w:asciiTheme="majorHAnsi" w:hAnsiTheme="majorHAnsi"/>
          <w:sz w:val="20"/>
          <w:szCs w:val="20"/>
          <w:lang w:val="es-AR"/>
        </w:rPr>
        <w:t xml:space="preserve"> </w:t>
      </w:r>
      <w:r w:rsidR="0054642C" w:rsidRPr="003673A9">
        <w:rPr>
          <w:rFonts w:asciiTheme="majorHAnsi" w:hAnsiTheme="majorHAnsi"/>
          <w:sz w:val="20"/>
          <w:szCs w:val="20"/>
          <w:lang w:val="es-AR"/>
        </w:rPr>
        <w:t xml:space="preserve">habría requerido </w:t>
      </w:r>
      <w:r w:rsidRPr="003673A9">
        <w:rPr>
          <w:rFonts w:asciiTheme="majorHAnsi" w:hAnsiTheme="majorHAnsi"/>
          <w:sz w:val="20"/>
          <w:szCs w:val="20"/>
          <w:lang w:val="es-AR"/>
        </w:rPr>
        <w:t>la prisión preventiva de los policías</w:t>
      </w:r>
      <w:r w:rsidR="00F34A95">
        <w:rPr>
          <w:rFonts w:asciiTheme="majorHAnsi" w:hAnsiTheme="majorHAnsi"/>
          <w:sz w:val="20"/>
          <w:szCs w:val="20"/>
          <w:lang w:val="es-AR"/>
        </w:rPr>
        <w:t xml:space="preserve"> involucrados</w:t>
      </w:r>
      <w:r w:rsidRPr="003673A9">
        <w:rPr>
          <w:rFonts w:asciiTheme="majorHAnsi" w:hAnsiTheme="majorHAnsi"/>
          <w:sz w:val="20"/>
          <w:szCs w:val="20"/>
          <w:lang w:val="es-AR"/>
        </w:rPr>
        <w:t xml:space="preserve">. Sin embargo, el 21 de octubre de 2008 la misma Fiscalía </w:t>
      </w:r>
      <w:r w:rsidR="0054642C" w:rsidRPr="003673A9">
        <w:rPr>
          <w:rFonts w:asciiTheme="majorHAnsi" w:hAnsiTheme="majorHAnsi"/>
          <w:sz w:val="20"/>
          <w:szCs w:val="20"/>
          <w:lang w:val="es-AR"/>
        </w:rPr>
        <w:t xml:space="preserve">habría presentado </w:t>
      </w:r>
      <w:r w:rsidRPr="003673A9">
        <w:rPr>
          <w:rFonts w:asciiTheme="majorHAnsi" w:hAnsiTheme="majorHAnsi"/>
          <w:sz w:val="20"/>
          <w:szCs w:val="20"/>
          <w:lang w:val="es-AR"/>
        </w:rPr>
        <w:t>ante el juez de investigación preparatoria un requerimiento de sobreseimiento</w:t>
      </w:r>
      <w:r w:rsidR="0054642C" w:rsidRPr="003673A9">
        <w:rPr>
          <w:rFonts w:asciiTheme="majorHAnsi" w:hAnsiTheme="majorHAnsi"/>
          <w:sz w:val="20"/>
          <w:szCs w:val="20"/>
          <w:lang w:val="es-AR"/>
        </w:rPr>
        <w:t>,</w:t>
      </w:r>
      <w:r w:rsidRPr="003673A9">
        <w:rPr>
          <w:rFonts w:asciiTheme="majorHAnsi" w:hAnsiTheme="majorHAnsi"/>
          <w:sz w:val="20"/>
          <w:szCs w:val="20"/>
          <w:lang w:val="es-AR"/>
        </w:rPr>
        <w:t xml:space="preserve"> por resultar insuficientes los elementos de convicción recabados para solicitar fundadamente el enjuiciamiento de los imputados. La presunta víctima </w:t>
      </w:r>
      <w:r w:rsidR="0054642C" w:rsidRPr="003673A9">
        <w:rPr>
          <w:rFonts w:asciiTheme="majorHAnsi" w:hAnsiTheme="majorHAnsi"/>
          <w:sz w:val="20"/>
          <w:szCs w:val="20"/>
          <w:lang w:val="es-AR"/>
        </w:rPr>
        <w:t xml:space="preserve">habría formulado </w:t>
      </w:r>
      <w:r w:rsidRPr="003673A9">
        <w:rPr>
          <w:rFonts w:asciiTheme="majorHAnsi" w:hAnsiTheme="majorHAnsi"/>
          <w:sz w:val="20"/>
          <w:szCs w:val="20"/>
          <w:lang w:val="es-AR"/>
        </w:rPr>
        <w:t xml:space="preserve">oposición a dicho requerimiento, pero el 9 de enero de 2009 el Juez Penal de Investigación </w:t>
      </w:r>
      <w:r w:rsidRPr="003673A9">
        <w:rPr>
          <w:rFonts w:asciiTheme="majorHAnsi" w:hAnsiTheme="majorHAnsi"/>
          <w:sz w:val="20"/>
          <w:szCs w:val="20"/>
          <w:lang w:val="es-AR"/>
        </w:rPr>
        <w:lastRenderedPageBreak/>
        <w:t xml:space="preserve">Penal Preparatoria de </w:t>
      </w:r>
      <w:proofErr w:type="spellStart"/>
      <w:r w:rsidRPr="003673A9">
        <w:rPr>
          <w:rFonts w:asciiTheme="majorHAnsi" w:hAnsiTheme="majorHAnsi"/>
          <w:sz w:val="20"/>
          <w:szCs w:val="20"/>
          <w:lang w:val="es-AR"/>
        </w:rPr>
        <w:t>Ascope</w:t>
      </w:r>
      <w:proofErr w:type="spellEnd"/>
      <w:r w:rsidRPr="003673A9">
        <w:rPr>
          <w:rFonts w:asciiTheme="majorHAnsi" w:hAnsiTheme="majorHAnsi"/>
          <w:sz w:val="20"/>
          <w:szCs w:val="20"/>
          <w:lang w:val="es-AR"/>
        </w:rPr>
        <w:t xml:space="preserve"> </w:t>
      </w:r>
      <w:r w:rsidR="0054642C" w:rsidRPr="003673A9">
        <w:rPr>
          <w:rFonts w:asciiTheme="majorHAnsi" w:hAnsiTheme="majorHAnsi"/>
          <w:sz w:val="20"/>
          <w:szCs w:val="20"/>
          <w:lang w:val="es-AR"/>
        </w:rPr>
        <w:t xml:space="preserve">habría declarado </w:t>
      </w:r>
      <w:r w:rsidRPr="003673A9">
        <w:rPr>
          <w:rFonts w:asciiTheme="majorHAnsi" w:hAnsiTheme="majorHAnsi"/>
          <w:sz w:val="20"/>
          <w:szCs w:val="20"/>
          <w:lang w:val="es-AR"/>
        </w:rPr>
        <w:t xml:space="preserve">fundado el requerimiento del Ministerio Público y </w:t>
      </w:r>
      <w:r w:rsidR="0054642C" w:rsidRPr="003673A9">
        <w:rPr>
          <w:rFonts w:asciiTheme="majorHAnsi" w:hAnsiTheme="majorHAnsi"/>
          <w:sz w:val="20"/>
          <w:szCs w:val="20"/>
          <w:lang w:val="es-AR"/>
        </w:rPr>
        <w:t>habría dictado el sobreseimiento</w:t>
      </w:r>
      <w:r w:rsidRPr="003673A9">
        <w:rPr>
          <w:rFonts w:asciiTheme="majorHAnsi" w:hAnsiTheme="majorHAnsi"/>
          <w:sz w:val="20"/>
          <w:szCs w:val="20"/>
          <w:lang w:val="es-AR"/>
        </w:rPr>
        <w:t xml:space="preserve">. </w:t>
      </w:r>
    </w:p>
    <w:p w:rsidR="001A4FE0" w:rsidRPr="003673A9" w:rsidRDefault="001A4FE0" w:rsidP="003673A9">
      <w:pPr>
        <w:pStyle w:val="ListParagraph"/>
        <w:rPr>
          <w:rFonts w:asciiTheme="majorHAnsi" w:hAnsiTheme="majorHAnsi"/>
          <w:sz w:val="20"/>
          <w:szCs w:val="20"/>
          <w:lang w:val="es-AR"/>
        </w:rPr>
      </w:pPr>
    </w:p>
    <w:p w:rsidR="001B1724"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El Estado sostiene que ha existido una investigación seria y exhaustiva por parte de las autoridades peruanas respecto de la violencia sexual, con análisis de las pruebas actuadas durante el proceso, entre ellas, certificado médico legal, los dictámenes periciales de biología forense y las prendas de vestir. </w:t>
      </w:r>
      <w:r w:rsidR="001B1724" w:rsidRPr="003673A9">
        <w:rPr>
          <w:rFonts w:asciiTheme="majorHAnsi" w:hAnsiTheme="majorHAnsi"/>
          <w:sz w:val="20"/>
          <w:szCs w:val="20"/>
          <w:lang w:val="es-AR"/>
        </w:rPr>
        <w:t xml:space="preserve">El Estado hace referencia al análisis fiscal y judicial del caso, </w:t>
      </w:r>
      <w:r w:rsidR="00BD2D99" w:rsidRPr="003673A9">
        <w:rPr>
          <w:rFonts w:asciiTheme="majorHAnsi" w:hAnsiTheme="majorHAnsi"/>
          <w:sz w:val="20"/>
          <w:szCs w:val="20"/>
          <w:lang w:val="es-AR"/>
        </w:rPr>
        <w:t xml:space="preserve">al indicar </w:t>
      </w:r>
      <w:r w:rsidR="001B1724" w:rsidRPr="003673A9">
        <w:rPr>
          <w:rFonts w:asciiTheme="majorHAnsi" w:hAnsiTheme="majorHAnsi"/>
          <w:sz w:val="20"/>
          <w:szCs w:val="20"/>
          <w:lang w:val="es-AR"/>
        </w:rPr>
        <w:t>que la presunta víctima no había sido uniforme en su declaración de los hechos</w:t>
      </w:r>
      <w:r w:rsidR="00BD2D99" w:rsidRPr="003673A9">
        <w:rPr>
          <w:rFonts w:asciiTheme="majorHAnsi" w:hAnsiTheme="majorHAnsi"/>
          <w:sz w:val="20"/>
          <w:szCs w:val="20"/>
          <w:lang w:val="es-AR"/>
        </w:rPr>
        <w:t>, evidenciándose contradicciones. Así</w:t>
      </w:r>
      <w:r w:rsidRPr="003673A9">
        <w:rPr>
          <w:rFonts w:asciiTheme="majorHAnsi" w:hAnsiTheme="majorHAnsi"/>
          <w:sz w:val="20"/>
          <w:szCs w:val="20"/>
          <w:lang w:val="es-AR"/>
        </w:rPr>
        <w:t xml:space="preserve"> en su</w:t>
      </w:r>
      <w:r w:rsidR="00AF6AD6" w:rsidRPr="003673A9">
        <w:rPr>
          <w:rFonts w:asciiTheme="majorHAnsi" w:hAnsiTheme="majorHAnsi"/>
          <w:sz w:val="20"/>
          <w:szCs w:val="20"/>
          <w:lang w:val="es-AR"/>
        </w:rPr>
        <w:t>s dos primeras</w:t>
      </w:r>
      <w:r w:rsidRPr="003673A9">
        <w:rPr>
          <w:rFonts w:asciiTheme="majorHAnsi" w:hAnsiTheme="majorHAnsi"/>
          <w:sz w:val="20"/>
          <w:szCs w:val="20"/>
          <w:lang w:val="es-AR"/>
        </w:rPr>
        <w:t xml:space="preserve"> de</w:t>
      </w:r>
      <w:r w:rsidR="001B771E" w:rsidRPr="003673A9">
        <w:rPr>
          <w:rFonts w:asciiTheme="majorHAnsi" w:hAnsiTheme="majorHAnsi"/>
          <w:sz w:val="20"/>
          <w:szCs w:val="20"/>
          <w:lang w:val="es-AR"/>
        </w:rPr>
        <w:t>claraciones</w:t>
      </w:r>
      <w:r w:rsidR="00AF6AD6" w:rsidRPr="003673A9">
        <w:rPr>
          <w:rFonts w:asciiTheme="majorHAnsi" w:hAnsiTheme="majorHAnsi"/>
          <w:sz w:val="20"/>
          <w:szCs w:val="20"/>
          <w:lang w:val="es-AR"/>
        </w:rPr>
        <w:t xml:space="preserve"> </w:t>
      </w:r>
      <w:r w:rsidR="007911D1" w:rsidRPr="003673A9">
        <w:rPr>
          <w:rFonts w:asciiTheme="majorHAnsi" w:hAnsiTheme="majorHAnsi"/>
          <w:sz w:val="20"/>
          <w:szCs w:val="20"/>
          <w:lang w:val="es-AR"/>
        </w:rPr>
        <w:t>d</w:t>
      </w:r>
      <w:r w:rsidR="00AF6AD6" w:rsidRPr="003673A9">
        <w:rPr>
          <w:rFonts w:asciiTheme="majorHAnsi" w:hAnsiTheme="majorHAnsi"/>
          <w:sz w:val="20"/>
          <w:szCs w:val="20"/>
          <w:lang w:val="es-AR"/>
        </w:rPr>
        <w:t xml:space="preserve">el 27 y 28 de febrero de 2008, </w:t>
      </w:r>
      <w:r w:rsidR="00C151EB" w:rsidRPr="003673A9">
        <w:rPr>
          <w:rFonts w:asciiTheme="majorHAnsi" w:hAnsiTheme="majorHAnsi"/>
          <w:sz w:val="20"/>
          <w:szCs w:val="20"/>
          <w:lang w:val="es-AR"/>
        </w:rPr>
        <w:t xml:space="preserve">y contrario a lo informado por los peticionarios, </w:t>
      </w:r>
      <w:r w:rsidR="00AF6AD6" w:rsidRPr="003673A9">
        <w:rPr>
          <w:rFonts w:asciiTheme="majorHAnsi" w:hAnsiTheme="majorHAnsi"/>
          <w:sz w:val="20"/>
          <w:szCs w:val="20"/>
          <w:lang w:val="es-AR"/>
        </w:rPr>
        <w:t>la presunta víctima no</w:t>
      </w:r>
      <w:r w:rsidR="00A06284" w:rsidRPr="003673A9">
        <w:rPr>
          <w:rFonts w:asciiTheme="majorHAnsi" w:hAnsiTheme="majorHAnsi"/>
          <w:sz w:val="20"/>
          <w:szCs w:val="20"/>
          <w:lang w:val="es-AR"/>
        </w:rPr>
        <w:t xml:space="preserve"> habría </w:t>
      </w:r>
      <w:r w:rsidR="00AF6AD6" w:rsidRPr="003673A9">
        <w:rPr>
          <w:rFonts w:asciiTheme="majorHAnsi" w:hAnsiTheme="majorHAnsi"/>
          <w:sz w:val="20"/>
          <w:szCs w:val="20"/>
          <w:lang w:val="es-AR"/>
        </w:rPr>
        <w:t>denunci</w:t>
      </w:r>
      <w:r w:rsidR="00A06284" w:rsidRPr="003673A9">
        <w:rPr>
          <w:rFonts w:asciiTheme="majorHAnsi" w:hAnsiTheme="majorHAnsi"/>
          <w:sz w:val="20"/>
          <w:szCs w:val="20"/>
          <w:lang w:val="es-AR"/>
        </w:rPr>
        <w:t>ado</w:t>
      </w:r>
      <w:r w:rsidR="00AF6AD6" w:rsidRPr="003673A9">
        <w:rPr>
          <w:rFonts w:asciiTheme="majorHAnsi" w:hAnsiTheme="majorHAnsi"/>
          <w:sz w:val="20"/>
          <w:szCs w:val="20"/>
          <w:lang w:val="es-AR"/>
        </w:rPr>
        <w:t xml:space="preserve"> </w:t>
      </w:r>
      <w:r w:rsidR="000F500D" w:rsidRPr="003673A9">
        <w:rPr>
          <w:rFonts w:asciiTheme="majorHAnsi" w:hAnsiTheme="majorHAnsi"/>
          <w:sz w:val="20"/>
          <w:szCs w:val="20"/>
          <w:lang w:val="es-AR"/>
        </w:rPr>
        <w:t>que había sido víctima de</w:t>
      </w:r>
      <w:r w:rsidR="00C151EB" w:rsidRPr="003673A9">
        <w:rPr>
          <w:rFonts w:asciiTheme="majorHAnsi" w:hAnsiTheme="majorHAnsi"/>
          <w:sz w:val="20"/>
          <w:szCs w:val="20"/>
          <w:lang w:val="es-AR"/>
        </w:rPr>
        <w:t xml:space="preserve"> violación sexual</w:t>
      </w:r>
      <w:r w:rsidR="007911D1" w:rsidRPr="003673A9">
        <w:rPr>
          <w:rFonts w:asciiTheme="majorHAnsi" w:hAnsiTheme="majorHAnsi"/>
          <w:sz w:val="20"/>
          <w:szCs w:val="20"/>
          <w:lang w:val="es-AR"/>
        </w:rPr>
        <w:t xml:space="preserve">; y que </w:t>
      </w:r>
      <w:r w:rsidR="0054642C" w:rsidRPr="003673A9">
        <w:rPr>
          <w:rFonts w:asciiTheme="majorHAnsi" w:hAnsiTheme="majorHAnsi"/>
          <w:sz w:val="20"/>
          <w:szCs w:val="20"/>
          <w:lang w:val="es-AR"/>
        </w:rPr>
        <w:t xml:space="preserve">recién </w:t>
      </w:r>
      <w:r w:rsidR="007911D1" w:rsidRPr="003673A9">
        <w:rPr>
          <w:rFonts w:asciiTheme="majorHAnsi" w:hAnsiTheme="majorHAnsi"/>
          <w:sz w:val="20"/>
          <w:szCs w:val="20"/>
          <w:lang w:val="es-AR"/>
        </w:rPr>
        <w:t xml:space="preserve">lo </w:t>
      </w:r>
      <w:r w:rsidR="0054642C" w:rsidRPr="003673A9">
        <w:rPr>
          <w:rFonts w:asciiTheme="majorHAnsi" w:hAnsiTheme="majorHAnsi"/>
          <w:sz w:val="20"/>
          <w:szCs w:val="20"/>
          <w:lang w:val="es-AR"/>
        </w:rPr>
        <w:t xml:space="preserve">habría denunciado </w:t>
      </w:r>
      <w:r w:rsidR="007911D1" w:rsidRPr="003673A9">
        <w:rPr>
          <w:rFonts w:asciiTheme="majorHAnsi" w:hAnsiTheme="majorHAnsi"/>
          <w:sz w:val="20"/>
          <w:szCs w:val="20"/>
          <w:lang w:val="es-AR"/>
        </w:rPr>
        <w:t>en su</w:t>
      </w:r>
      <w:r w:rsidR="001B771E" w:rsidRPr="003673A9">
        <w:rPr>
          <w:rFonts w:asciiTheme="majorHAnsi" w:hAnsiTheme="majorHAnsi"/>
          <w:sz w:val="20"/>
          <w:szCs w:val="20"/>
          <w:lang w:val="es-AR"/>
        </w:rPr>
        <w:t xml:space="preserve"> declaración d</w:t>
      </w:r>
      <w:r w:rsidR="00C151EB" w:rsidRPr="003673A9">
        <w:rPr>
          <w:rFonts w:asciiTheme="majorHAnsi" w:hAnsiTheme="majorHAnsi"/>
          <w:sz w:val="20"/>
          <w:szCs w:val="20"/>
          <w:lang w:val="es-AR"/>
        </w:rPr>
        <w:t>el 6 de marzo de 2008</w:t>
      </w:r>
      <w:r w:rsidR="00AF6AD6" w:rsidRPr="003673A9">
        <w:rPr>
          <w:rFonts w:asciiTheme="majorHAnsi" w:hAnsiTheme="majorHAnsi"/>
          <w:sz w:val="20"/>
          <w:szCs w:val="20"/>
          <w:lang w:val="es-AR"/>
        </w:rPr>
        <w:t>.</w:t>
      </w:r>
      <w:r w:rsidRPr="003673A9">
        <w:rPr>
          <w:rFonts w:asciiTheme="majorHAnsi" w:hAnsiTheme="majorHAnsi"/>
          <w:sz w:val="20"/>
          <w:szCs w:val="20"/>
          <w:lang w:val="es-AR"/>
        </w:rPr>
        <w:t xml:space="preserve"> </w:t>
      </w:r>
      <w:r w:rsidR="00AF6AD6" w:rsidRPr="003673A9">
        <w:rPr>
          <w:rFonts w:asciiTheme="majorHAnsi" w:hAnsiTheme="majorHAnsi"/>
          <w:sz w:val="20"/>
          <w:szCs w:val="20"/>
          <w:lang w:val="es-AR"/>
        </w:rPr>
        <w:t xml:space="preserve">Además, informan que </w:t>
      </w:r>
      <w:r w:rsidRPr="003673A9">
        <w:rPr>
          <w:rFonts w:asciiTheme="majorHAnsi" w:hAnsiTheme="majorHAnsi"/>
          <w:sz w:val="20"/>
          <w:szCs w:val="20"/>
          <w:lang w:val="es-AR"/>
        </w:rPr>
        <w:t>la prensa local</w:t>
      </w:r>
      <w:r w:rsidR="00BD2D99" w:rsidRPr="003673A9">
        <w:rPr>
          <w:rFonts w:asciiTheme="majorHAnsi" w:hAnsiTheme="majorHAnsi"/>
          <w:sz w:val="20"/>
          <w:szCs w:val="20"/>
          <w:lang w:val="es-AR"/>
        </w:rPr>
        <w:t xml:space="preserve"> -con base en las declaraciones que hiciera la presunta víctima justo después de los hechos alegados-</w:t>
      </w:r>
      <w:r w:rsidRPr="003673A9">
        <w:rPr>
          <w:rFonts w:asciiTheme="majorHAnsi" w:hAnsiTheme="majorHAnsi"/>
          <w:sz w:val="20"/>
          <w:szCs w:val="20"/>
          <w:lang w:val="es-AR"/>
        </w:rPr>
        <w:t xml:space="preserve"> no </w:t>
      </w:r>
      <w:r w:rsidR="00F34A95">
        <w:rPr>
          <w:rFonts w:asciiTheme="majorHAnsi" w:hAnsiTheme="majorHAnsi"/>
          <w:sz w:val="20"/>
          <w:szCs w:val="20"/>
          <w:lang w:val="es-AR"/>
        </w:rPr>
        <w:t>hace referencia</w:t>
      </w:r>
      <w:r w:rsidRPr="003673A9">
        <w:rPr>
          <w:rFonts w:asciiTheme="majorHAnsi" w:hAnsiTheme="majorHAnsi"/>
          <w:sz w:val="20"/>
          <w:szCs w:val="20"/>
          <w:lang w:val="es-AR"/>
        </w:rPr>
        <w:t xml:space="preserve"> en ningún momento a violación sexual y que el reconocimiento médico legal que se practicó al agraviado ocurrió tres días después del supuesto hecho y, por eso, se generó “una duda razonable que las fisuras anales antiguas con signos de actos contra</w:t>
      </w:r>
      <w:r w:rsidR="00F34A95">
        <w:rPr>
          <w:rFonts w:asciiTheme="majorHAnsi" w:hAnsiTheme="majorHAnsi"/>
          <w:sz w:val="20"/>
          <w:szCs w:val="20"/>
          <w:lang w:val="es-AR"/>
        </w:rPr>
        <w:t xml:space="preserve"> </w:t>
      </w:r>
      <w:r w:rsidRPr="003673A9">
        <w:rPr>
          <w:rFonts w:asciiTheme="majorHAnsi" w:hAnsiTheme="majorHAnsi"/>
          <w:sz w:val="20"/>
          <w:szCs w:val="20"/>
          <w:lang w:val="es-AR"/>
        </w:rPr>
        <w:t>natura reciente (…) hayan sido ocasionadas el día de los hechos y por los imputados.”</w:t>
      </w:r>
      <w:r w:rsidRPr="003673A9">
        <w:rPr>
          <w:rStyle w:val="FootnoteReference"/>
          <w:rFonts w:asciiTheme="majorHAnsi" w:hAnsiTheme="majorHAnsi"/>
          <w:sz w:val="20"/>
          <w:szCs w:val="20"/>
          <w:lang w:val="es-AR"/>
        </w:rPr>
        <w:footnoteReference w:id="2"/>
      </w:r>
      <w:r w:rsidRPr="003673A9">
        <w:rPr>
          <w:rFonts w:asciiTheme="majorHAnsi" w:hAnsiTheme="majorHAnsi"/>
          <w:sz w:val="20"/>
          <w:szCs w:val="20"/>
          <w:lang w:val="es-AR"/>
        </w:rPr>
        <w:t xml:space="preserve">  </w:t>
      </w:r>
      <w:r w:rsidR="00BD2D99" w:rsidRPr="003673A9">
        <w:rPr>
          <w:rFonts w:asciiTheme="majorHAnsi" w:hAnsiTheme="majorHAnsi"/>
          <w:sz w:val="20"/>
          <w:szCs w:val="20"/>
          <w:lang w:val="es-AR"/>
        </w:rPr>
        <w:t xml:space="preserve">Adicionalmente, indica que si bien en su primera sindicación la presunta víctima menciona a tres agresores, en su escrito de queja indica que son cuatro “sus violadores”. </w:t>
      </w:r>
    </w:p>
    <w:p w:rsidR="001B1724" w:rsidRPr="003673A9" w:rsidRDefault="001B1724" w:rsidP="003673A9">
      <w:pPr>
        <w:pStyle w:val="ListParagraph"/>
        <w:rPr>
          <w:rFonts w:asciiTheme="majorHAnsi" w:hAnsiTheme="majorHAnsi"/>
          <w:sz w:val="20"/>
          <w:szCs w:val="20"/>
          <w:lang w:val="es-AR"/>
        </w:rPr>
      </w:pPr>
    </w:p>
    <w:p w:rsidR="001B1724" w:rsidRPr="003673A9" w:rsidRDefault="00022C1B"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Asimismo, </w:t>
      </w:r>
      <w:r w:rsidR="001B1724" w:rsidRPr="003673A9">
        <w:rPr>
          <w:rFonts w:asciiTheme="majorHAnsi" w:hAnsiTheme="majorHAnsi"/>
          <w:sz w:val="20"/>
          <w:szCs w:val="20"/>
          <w:lang w:val="es-AR"/>
        </w:rPr>
        <w:t>el Estado alega que la fiscalía valoró que la presunta víctima realizó actividades físicas después del supuesto ataque y que lo alegado por el señor Rojas Marín era contradictorio con otros elementos de prueba en el proceso. Por otro lado, el Estado indica que uno de los policías denunciados habría sido testigo clave en el proceso por homicidio seguido contra uno de los hermanos de la presunta víctima, en el cual fue condenado con pena privativa de libertad de 10 años. Adicionalmente, el Estado sostiene</w:t>
      </w:r>
      <w:r w:rsidRPr="003673A9">
        <w:rPr>
          <w:rFonts w:asciiTheme="majorHAnsi" w:hAnsiTheme="majorHAnsi"/>
          <w:sz w:val="20"/>
          <w:szCs w:val="20"/>
          <w:lang w:val="es-AR"/>
        </w:rPr>
        <w:t xml:space="preserve"> que a contrario de lo que indican los peticionarios, las resoluciones emitidas en el marco de la investigación a nivel interno estuvieron debidamente motivadas, y que </w:t>
      </w:r>
      <w:r w:rsidR="00F34A95">
        <w:rPr>
          <w:rFonts w:asciiTheme="majorHAnsi" w:hAnsiTheme="majorHAnsi"/>
          <w:sz w:val="20"/>
          <w:szCs w:val="20"/>
          <w:lang w:val="es-AR"/>
        </w:rPr>
        <w:t>no había prueba</w:t>
      </w:r>
      <w:r w:rsidRPr="003673A9">
        <w:rPr>
          <w:rFonts w:asciiTheme="majorHAnsi" w:hAnsiTheme="majorHAnsi"/>
          <w:sz w:val="20"/>
          <w:szCs w:val="20"/>
          <w:lang w:val="es-AR"/>
        </w:rPr>
        <w:t xml:space="preserve"> de la ocurrencia de los hechos. </w:t>
      </w:r>
    </w:p>
    <w:p w:rsidR="007D692F" w:rsidRPr="003673A9" w:rsidRDefault="007D692F" w:rsidP="003673A9">
      <w:pPr>
        <w:pStyle w:val="ListParagraph"/>
        <w:rPr>
          <w:rFonts w:asciiTheme="majorHAnsi" w:hAnsiTheme="majorHAnsi"/>
          <w:sz w:val="20"/>
          <w:szCs w:val="20"/>
          <w:lang w:val="es-AR"/>
        </w:rPr>
      </w:pPr>
    </w:p>
    <w:p w:rsidR="007D692F" w:rsidRPr="003673A9" w:rsidRDefault="00563347"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C</w:t>
      </w:r>
      <w:r w:rsidR="007D692F" w:rsidRPr="003673A9">
        <w:rPr>
          <w:rFonts w:asciiTheme="majorHAnsi" w:hAnsiTheme="majorHAnsi"/>
          <w:sz w:val="20"/>
          <w:szCs w:val="20"/>
          <w:lang w:val="es-AR"/>
        </w:rPr>
        <w:t xml:space="preserve">on respecto </w:t>
      </w:r>
      <w:r w:rsidR="007C6370" w:rsidRPr="003673A9">
        <w:rPr>
          <w:rFonts w:asciiTheme="majorHAnsi" w:hAnsiTheme="majorHAnsi"/>
          <w:sz w:val="20"/>
          <w:szCs w:val="20"/>
          <w:lang w:val="es-AR"/>
        </w:rPr>
        <w:t>a</w:t>
      </w:r>
      <w:r w:rsidR="007911D1" w:rsidRPr="003673A9">
        <w:rPr>
          <w:rFonts w:asciiTheme="majorHAnsi" w:hAnsiTheme="majorHAnsi"/>
          <w:sz w:val="20"/>
          <w:szCs w:val="20"/>
          <w:lang w:val="es-AR"/>
        </w:rPr>
        <w:t xml:space="preserve">l abuso de </w:t>
      </w:r>
      <w:r w:rsidR="001A4FE0" w:rsidRPr="003673A9">
        <w:rPr>
          <w:rFonts w:asciiTheme="majorHAnsi" w:hAnsiTheme="majorHAnsi"/>
          <w:sz w:val="20"/>
          <w:szCs w:val="20"/>
          <w:lang w:val="es-AR"/>
        </w:rPr>
        <w:t>autoridad</w:t>
      </w:r>
      <w:r w:rsidR="007911D1" w:rsidRPr="003673A9">
        <w:rPr>
          <w:rFonts w:asciiTheme="majorHAnsi" w:hAnsiTheme="majorHAnsi"/>
          <w:sz w:val="20"/>
          <w:szCs w:val="20"/>
          <w:lang w:val="es-AR"/>
        </w:rPr>
        <w:t>, el Estado sostiene</w:t>
      </w:r>
      <w:r w:rsidR="007D692F" w:rsidRPr="003673A9">
        <w:rPr>
          <w:rFonts w:asciiTheme="majorHAnsi" w:hAnsiTheme="majorHAnsi"/>
          <w:sz w:val="20"/>
          <w:szCs w:val="20"/>
          <w:lang w:val="es-AR"/>
        </w:rPr>
        <w:t xml:space="preserve"> que el artículo 205 del Nuevo Código Procesal Penal otorga facultad a la Policía Nacional del Perú para realizar intervenciones para el control de identidad, sin necesidad de contar</w:t>
      </w:r>
      <w:r w:rsidR="007911D1" w:rsidRPr="003673A9">
        <w:rPr>
          <w:rFonts w:asciiTheme="majorHAnsi" w:hAnsiTheme="majorHAnsi"/>
          <w:sz w:val="20"/>
          <w:szCs w:val="20"/>
          <w:lang w:val="es-AR"/>
        </w:rPr>
        <w:t xml:space="preserve"> con la orden </w:t>
      </w:r>
      <w:r w:rsidR="00F34A95">
        <w:rPr>
          <w:rFonts w:asciiTheme="majorHAnsi" w:hAnsiTheme="majorHAnsi"/>
          <w:sz w:val="20"/>
          <w:szCs w:val="20"/>
          <w:lang w:val="es-AR"/>
        </w:rPr>
        <w:t>de un</w:t>
      </w:r>
      <w:r w:rsidR="007911D1" w:rsidRPr="003673A9">
        <w:rPr>
          <w:rFonts w:asciiTheme="majorHAnsi" w:hAnsiTheme="majorHAnsi"/>
          <w:sz w:val="20"/>
          <w:szCs w:val="20"/>
          <w:lang w:val="es-AR"/>
        </w:rPr>
        <w:t xml:space="preserve"> fiscal o juez</w:t>
      </w:r>
      <w:r w:rsidR="007911D1" w:rsidRPr="003673A9">
        <w:rPr>
          <w:rFonts w:asciiTheme="majorHAnsi" w:hAnsiTheme="majorHAnsi"/>
          <w:sz w:val="20"/>
          <w:szCs w:val="20"/>
          <w:lang w:val="es-ES"/>
        </w:rPr>
        <w:t>.</w:t>
      </w:r>
      <w:r w:rsidR="007D692F" w:rsidRPr="003673A9">
        <w:rPr>
          <w:rFonts w:asciiTheme="majorHAnsi" w:hAnsiTheme="majorHAnsi"/>
          <w:sz w:val="20"/>
          <w:szCs w:val="20"/>
          <w:lang w:val="es-AR"/>
        </w:rPr>
        <w:t xml:space="preserve"> Además, informa que </w:t>
      </w:r>
      <w:r w:rsidR="00B11897" w:rsidRPr="003673A9">
        <w:rPr>
          <w:rFonts w:asciiTheme="majorHAnsi" w:hAnsiTheme="majorHAnsi"/>
          <w:sz w:val="20"/>
          <w:szCs w:val="20"/>
          <w:lang w:val="es-AR"/>
        </w:rPr>
        <w:t xml:space="preserve">no ha quedado acreditado que el </w:t>
      </w:r>
      <w:r w:rsidR="001B1724" w:rsidRPr="003673A9">
        <w:rPr>
          <w:rFonts w:asciiTheme="majorHAnsi" w:hAnsiTheme="majorHAnsi"/>
          <w:sz w:val="20"/>
          <w:szCs w:val="20"/>
          <w:lang w:val="es-AR"/>
        </w:rPr>
        <w:t>señor</w:t>
      </w:r>
      <w:r w:rsidR="00B11897" w:rsidRPr="003673A9">
        <w:rPr>
          <w:rFonts w:asciiTheme="majorHAnsi" w:hAnsiTheme="majorHAnsi"/>
          <w:sz w:val="20"/>
          <w:szCs w:val="20"/>
          <w:lang w:val="es-AR"/>
        </w:rPr>
        <w:t xml:space="preserve"> Rojas Marín estuvo detenido </w:t>
      </w:r>
      <w:r w:rsidR="001851D5" w:rsidRPr="003673A9">
        <w:rPr>
          <w:rFonts w:asciiTheme="majorHAnsi" w:hAnsiTheme="majorHAnsi"/>
          <w:sz w:val="20"/>
          <w:szCs w:val="20"/>
          <w:lang w:val="es-AR"/>
        </w:rPr>
        <w:t xml:space="preserve">hasta las 6 </w:t>
      </w:r>
      <w:r w:rsidR="00A779A4" w:rsidRPr="003673A9">
        <w:rPr>
          <w:rFonts w:asciiTheme="majorHAnsi" w:hAnsiTheme="majorHAnsi"/>
          <w:sz w:val="20"/>
          <w:szCs w:val="20"/>
          <w:lang w:val="es-AR"/>
        </w:rPr>
        <w:t>de la mañana</w:t>
      </w:r>
      <w:r w:rsidR="001851D5" w:rsidRPr="003673A9">
        <w:rPr>
          <w:rFonts w:asciiTheme="majorHAnsi" w:hAnsiTheme="majorHAnsi"/>
          <w:sz w:val="20"/>
          <w:szCs w:val="20"/>
          <w:lang w:val="es-AR"/>
        </w:rPr>
        <w:t>,</w:t>
      </w:r>
      <w:r w:rsidR="007D692F" w:rsidRPr="003673A9">
        <w:rPr>
          <w:rFonts w:asciiTheme="majorHAnsi" w:hAnsiTheme="majorHAnsi"/>
          <w:sz w:val="20"/>
          <w:szCs w:val="20"/>
          <w:lang w:val="es-AR"/>
        </w:rPr>
        <w:t xml:space="preserve"> </w:t>
      </w:r>
      <w:r w:rsidR="00A779A4" w:rsidRPr="003673A9">
        <w:rPr>
          <w:rFonts w:asciiTheme="majorHAnsi" w:hAnsiTheme="majorHAnsi"/>
          <w:sz w:val="20"/>
          <w:szCs w:val="20"/>
          <w:lang w:val="es-AR"/>
        </w:rPr>
        <w:t xml:space="preserve">sino </w:t>
      </w:r>
      <w:r w:rsidR="007D692F" w:rsidRPr="003673A9">
        <w:rPr>
          <w:rFonts w:asciiTheme="majorHAnsi" w:hAnsiTheme="majorHAnsi"/>
          <w:sz w:val="20"/>
          <w:szCs w:val="20"/>
          <w:lang w:val="es-AR"/>
        </w:rPr>
        <w:t xml:space="preserve">que </w:t>
      </w:r>
      <w:r w:rsidR="00A779A4" w:rsidRPr="003673A9">
        <w:rPr>
          <w:rFonts w:asciiTheme="majorHAnsi" w:hAnsiTheme="majorHAnsi"/>
          <w:sz w:val="20"/>
          <w:szCs w:val="20"/>
          <w:lang w:val="es-AR"/>
        </w:rPr>
        <w:t xml:space="preserve">habría sido </w:t>
      </w:r>
      <w:r w:rsidR="007D692F" w:rsidRPr="003673A9">
        <w:rPr>
          <w:rFonts w:asciiTheme="majorHAnsi" w:hAnsiTheme="majorHAnsi"/>
          <w:sz w:val="20"/>
          <w:szCs w:val="20"/>
          <w:lang w:val="es-AR"/>
        </w:rPr>
        <w:t>liberad</w:t>
      </w:r>
      <w:r w:rsidR="00DD54C5" w:rsidRPr="003673A9">
        <w:rPr>
          <w:rFonts w:asciiTheme="majorHAnsi" w:hAnsiTheme="majorHAnsi"/>
          <w:sz w:val="20"/>
          <w:szCs w:val="20"/>
          <w:lang w:val="es-AR"/>
        </w:rPr>
        <w:t>o</w:t>
      </w:r>
      <w:r w:rsidR="007D692F" w:rsidRPr="003673A9">
        <w:rPr>
          <w:rFonts w:asciiTheme="majorHAnsi" w:hAnsiTheme="majorHAnsi"/>
          <w:sz w:val="20"/>
          <w:szCs w:val="20"/>
          <w:lang w:val="es-AR"/>
        </w:rPr>
        <w:t xml:space="preserve"> respetándose el plazo dispuesto legalmente</w:t>
      </w:r>
      <w:r w:rsidR="001851D5" w:rsidRPr="003673A9">
        <w:rPr>
          <w:rFonts w:asciiTheme="majorHAnsi" w:hAnsiTheme="majorHAnsi"/>
          <w:sz w:val="20"/>
          <w:szCs w:val="20"/>
          <w:lang w:val="es-AR"/>
        </w:rPr>
        <w:t xml:space="preserve"> y</w:t>
      </w:r>
      <w:r w:rsidR="007911D1" w:rsidRPr="003673A9">
        <w:rPr>
          <w:rFonts w:asciiTheme="majorHAnsi" w:hAnsiTheme="majorHAnsi"/>
          <w:sz w:val="20"/>
          <w:szCs w:val="20"/>
          <w:lang w:val="es-AR"/>
        </w:rPr>
        <w:t xml:space="preserve"> que</w:t>
      </w:r>
      <w:r w:rsidR="001851D5" w:rsidRPr="003673A9">
        <w:rPr>
          <w:rFonts w:asciiTheme="majorHAnsi" w:hAnsiTheme="majorHAnsi"/>
          <w:sz w:val="20"/>
          <w:szCs w:val="20"/>
          <w:lang w:val="es-AR"/>
        </w:rPr>
        <w:t>, en sus declaraciones, no habría indicado que desconocía los motivos de su detención</w:t>
      </w:r>
      <w:r w:rsidR="007D692F" w:rsidRPr="003673A9">
        <w:rPr>
          <w:rFonts w:asciiTheme="majorHAnsi" w:hAnsiTheme="majorHAnsi"/>
          <w:sz w:val="20"/>
          <w:szCs w:val="20"/>
          <w:lang w:val="es-AR"/>
        </w:rPr>
        <w:t>.</w:t>
      </w:r>
      <w:r w:rsidR="00B11897" w:rsidRPr="003673A9">
        <w:rPr>
          <w:rFonts w:asciiTheme="majorHAnsi" w:hAnsiTheme="majorHAnsi"/>
          <w:sz w:val="20"/>
          <w:szCs w:val="20"/>
          <w:lang w:val="es-AR"/>
        </w:rPr>
        <w:t xml:space="preserve">  En este punto, el Estado señala que el juez de investigación preparatoria encontró que a partir de las pruebas recabadas la intervención policial “se encontraba plenamente justificada y dentro del marco de la ley”</w:t>
      </w:r>
      <w:r w:rsidR="00DD54C5" w:rsidRPr="003673A9">
        <w:rPr>
          <w:rFonts w:asciiTheme="majorHAnsi" w:hAnsiTheme="majorHAnsi"/>
          <w:sz w:val="20"/>
          <w:szCs w:val="20"/>
          <w:lang w:val="es-AR"/>
        </w:rPr>
        <w:t xml:space="preserve">. Por lo tanto, no se estaría frente a una detención ilegal y arbitraria como han señalado los peticionarios. Asimismo, el Estado señala que el alegato de los peticionarios en el sentido de indicar que el Sr. Rojas Marín habría estado en “supuesta incomunicación”, no pudiendo ni él ni su familia presentar alguna acción de garantía para su liberación, no es un alegato que haya sido puesto en conocimiento de las autoridades en ninguna de sus manifestaciones, denuncia y escritos presentados durante el proceso penal. </w:t>
      </w:r>
      <w:r w:rsidR="00A86592" w:rsidRPr="003673A9">
        <w:rPr>
          <w:rFonts w:asciiTheme="majorHAnsi" w:hAnsiTheme="majorHAnsi"/>
          <w:sz w:val="20"/>
          <w:szCs w:val="20"/>
          <w:lang w:val="es-AR"/>
        </w:rPr>
        <w:t xml:space="preserve"> </w:t>
      </w:r>
    </w:p>
    <w:p w:rsidR="007D692F" w:rsidRPr="003673A9" w:rsidRDefault="007D692F" w:rsidP="003673A9">
      <w:pPr>
        <w:pStyle w:val="ListParagraph"/>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El Estado informa que el 22 de enero de 2009 la presunta víctima </w:t>
      </w:r>
      <w:r w:rsidR="00A779A4" w:rsidRPr="003673A9">
        <w:rPr>
          <w:rFonts w:asciiTheme="majorHAnsi" w:hAnsiTheme="majorHAnsi"/>
          <w:sz w:val="20"/>
          <w:szCs w:val="20"/>
          <w:lang w:val="es-AR"/>
        </w:rPr>
        <w:t xml:space="preserve">habría presentado </w:t>
      </w:r>
      <w:r w:rsidRPr="003673A9">
        <w:rPr>
          <w:rFonts w:asciiTheme="majorHAnsi" w:hAnsiTheme="majorHAnsi"/>
          <w:sz w:val="20"/>
          <w:szCs w:val="20"/>
          <w:lang w:val="es-AR"/>
        </w:rPr>
        <w:t xml:space="preserve">recurso de apelación ante el referido juzgado, pero </w:t>
      </w:r>
      <w:r w:rsidR="00A779A4" w:rsidRPr="003673A9">
        <w:rPr>
          <w:rFonts w:asciiTheme="majorHAnsi" w:hAnsiTheme="majorHAnsi"/>
          <w:sz w:val="20"/>
          <w:szCs w:val="20"/>
          <w:lang w:val="es-AR"/>
        </w:rPr>
        <w:t xml:space="preserve">que el mismo habría sido </w:t>
      </w:r>
      <w:r w:rsidRPr="003673A9">
        <w:rPr>
          <w:rFonts w:asciiTheme="majorHAnsi" w:hAnsiTheme="majorHAnsi"/>
          <w:sz w:val="20"/>
          <w:szCs w:val="20"/>
          <w:lang w:val="es-AR"/>
        </w:rPr>
        <w:t xml:space="preserve">declarado improcedente, por haberse superado el plazo dispuesto por la legislación procesal penal para la presentación del </w:t>
      </w:r>
      <w:r w:rsidR="00A779A4" w:rsidRPr="003673A9">
        <w:rPr>
          <w:rFonts w:asciiTheme="majorHAnsi" w:hAnsiTheme="majorHAnsi"/>
          <w:sz w:val="20"/>
          <w:szCs w:val="20"/>
          <w:lang w:val="es-AR"/>
        </w:rPr>
        <w:t xml:space="preserve">mencionado </w:t>
      </w:r>
      <w:r w:rsidR="001A4FE0" w:rsidRPr="003673A9">
        <w:rPr>
          <w:rFonts w:asciiTheme="majorHAnsi" w:hAnsiTheme="majorHAnsi"/>
          <w:sz w:val="20"/>
          <w:szCs w:val="20"/>
          <w:lang w:val="es-AR"/>
        </w:rPr>
        <w:t xml:space="preserve">recurso (tres días hábiles desde el día siguiente de la notificación de la resolución). Así, el Estado peruano considera que no se le puede atribuir responsabilidad internacional sustentada en el uso inadecuado o negligente </w:t>
      </w:r>
      <w:r w:rsidR="00B11897" w:rsidRPr="003673A9">
        <w:rPr>
          <w:rFonts w:asciiTheme="majorHAnsi" w:hAnsiTheme="majorHAnsi"/>
          <w:sz w:val="20"/>
          <w:szCs w:val="20"/>
          <w:lang w:val="es-AR"/>
        </w:rPr>
        <w:t>de los recursos que el ordenamiento interno prevé.</w:t>
      </w:r>
      <w:r w:rsidRPr="003673A9">
        <w:rPr>
          <w:rFonts w:asciiTheme="majorHAnsi" w:hAnsiTheme="majorHAnsi"/>
          <w:sz w:val="20"/>
          <w:szCs w:val="20"/>
          <w:lang w:val="es-AR"/>
        </w:rPr>
        <w:t xml:space="preserve"> Por lo tanto, alega que esta negligencia en el uso del recurso deviene en la falta de agotamiento del recurso interno idóneo y eficaz por parte </w:t>
      </w:r>
      <w:r w:rsidR="00F34A95">
        <w:rPr>
          <w:rFonts w:asciiTheme="majorHAnsi" w:hAnsiTheme="majorHAnsi"/>
          <w:sz w:val="20"/>
          <w:szCs w:val="20"/>
          <w:lang w:val="es-AR"/>
        </w:rPr>
        <w:t>de la presunta víctima</w:t>
      </w:r>
      <w:r w:rsidRPr="003673A9">
        <w:rPr>
          <w:rFonts w:asciiTheme="majorHAnsi" w:hAnsiTheme="majorHAnsi"/>
          <w:sz w:val="20"/>
          <w:szCs w:val="20"/>
          <w:lang w:val="es-AR"/>
        </w:rPr>
        <w:t xml:space="preserve">.  </w:t>
      </w:r>
    </w:p>
    <w:p w:rsidR="007D692F" w:rsidRPr="003673A9" w:rsidRDefault="007D692F" w:rsidP="003673A9">
      <w:pPr>
        <w:pStyle w:val="ListParagraph"/>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Por otra parte, con relación a la </w:t>
      </w:r>
      <w:r w:rsidR="006550DF" w:rsidRPr="003673A9">
        <w:rPr>
          <w:rFonts w:asciiTheme="majorHAnsi" w:hAnsiTheme="majorHAnsi"/>
          <w:sz w:val="20"/>
          <w:szCs w:val="20"/>
          <w:lang w:val="es-AR"/>
        </w:rPr>
        <w:t>solicitud</w:t>
      </w:r>
      <w:r w:rsidRPr="003673A9">
        <w:rPr>
          <w:rFonts w:asciiTheme="majorHAnsi" w:hAnsiTheme="majorHAnsi"/>
          <w:sz w:val="20"/>
          <w:szCs w:val="20"/>
          <w:lang w:val="es-AR"/>
        </w:rPr>
        <w:t xml:space="preserve"> de la presunta víctima el 5 de mayo de 2008 de que se ampliara la investigación preparatoria al delito de tortura, el Estado alega que la Segunda Fiscalía Provincial Penal Corporativa de </w:t>
      </w:r>
      <w:proofErr w:type="spellStart"/>
      <w:r w:rsidRPr="003673A9">
        <w:rPr>
          <w:rFonts w:asciiTheme="majorHAnsi" w:hAnsiTheme="majorHAnsi"/>
          <w:sz w:val="20"/>
          <w:szCs w:val="20"/>
          <w:lang w:val="es-AR"/>
        </w:rPr>
        <w:t>Ascope</w:t>
      </w:r>
      <w:proofErr w:type="spellEnd"/>
      <w:r w:rsidRPr="003673A9">
        <w:rPr>
          <w:rFonts w:asciiTheme="majorHAnsi" w:hAnsiTheme="majorHAnsi"/>
          <w:sz w:val="20"/>
          <w:szCs w:val="20"/>
          <w:lang w:val="es-AR"/>
        </w:rPr>
        <w:t xml:space="preserve"> </w:t>
      </w:r>
      <w:r w:rsidR="00A779A4" w:rsidRPr="003673A9">
        <w:rPr>
          <w:rFonts w:asciiTheme="majorHAnsi" w:hAnsiTheme="majorHAnsi"/>
          <w:sz w:val="20"/>
          <w:szCs w:val="20"/>
          <w:lang w:val="es-AR"/>
        </w:rPr>
        <w:t xml:space="preserve">habría dispuesto </w:t>
      </w:r>
      <w:r w:rsidRPr="003673A9">
        <w:rPr>
          <w:rFonts w:asciiTheme="majorHAnsi" w:hAnsiTheme="majorHAnsi"/>
          <w:sz w:val="20"/>
          <w:szCs w:val="20"/>
          <w:lang w:val="es-AR"/>
        </w:rPr>
        <w:t xml:space="preserve">que no procedía ampliar ni continuar la investigación por el delito de tortura, pues se </w:t>
      </w:r>
      <w:r w:rsidR="00A779A4" w:rsidRPr="003673A9">
        <w:rPr>
          <w:rFonts w:asciiTheme="majorHAnsi" w:hAnsiTheme="majorHAnsi"/>
          <w:sz w:val="20"/>
          <w:szCs w:val="20"/>
          <w:lang w:val="es-AR"/>
        </w:rPr>
        <w:t xml:space="preserve">habría considerado </w:t>
      </w:r>
      <w:r w:rsidRPr="003673A9">
        <w:rPr>
          <w:rFonts w:asciiTheme="majorHAnsi" w:hAnsiTheme="majorHAnsi"/>
          <w:sz w:val="20"/>
          <w:szCs w:val="20"/>
          <w:lang w:val="es-AR"/>
        </w:rPr>
        <w:t xml:space="preserve">que no se cumplía </w:t>
      </w:r>
      <w:r w:rsidR="00F34A95">
        <w:rPr>
          <w:rFonts w:asciiTheme="majorHAnsi" w:hAnsiTheme="majorHAnsi"/>
          <w:sz w:val="20"/>
          <w:szCs w:val="20"/>
          <w:lang w:val="es-AR"/>
        </w:rPr>
        <w:t xml:space="preserve">con </w:t>
      </w:r>
      <w:r w:rsidRPr="003673A9">
        <w:rPr>
          <w:rFonts w:asciiTheme="majorHAnsi" w:hAnsiTheme="majorHAnsi"/>
          <w:sz w:val="20"/>
          <w:szCs w:val="20"/>
          <w:lang w:val="es-AR"/>
        </w:rPr>
        <w:t xml:space="preserve">el elemento subjetivo </w:t>
      </w:r>
      <w:r w:rsidRPr="003673A9">
        <w:rPr>
          <w:rFonts w:asciiTheme="majorHAnsi" w:hAnsiTheme="majorHAnsi"/>
          <w:sz w:val="20"/>
          <w:szCs w:val="20"/>
          <w:lang w:val="es-AR"/>
        </w:rPr>
        <w:lastRenderedPageBreak/>
        <w:t>especial, esto es</w:t>
      </w:r>
      <w:r w:rsidR="006550DF" w:rsidRPr="003673A9">
        <w:rPr>
          <w:rFonts w:asciiTheme="majorHAnsi" w:hAnsiTheme="majorHAnsi"/>
          <w:sz w:val="20"/>
          <w:szCs w:val="20"/>
          <w:lang w:val="es-AR"/>
        </w:rPr>
        <w:t>,</w:t>
      </w:r>
      <w:r w:rsidRPr="003673A9">
        <w:rPr>
          <w:rFonts w:asciiTheme="majorHAnsi" w:hAnsiTheme="majorHAnsi"/>
          <w:sz w:val="20"/>
          <w:szCs w:val="20"/>
          <w:lang w:val="es-AR"/>
        </w:rPr>
        <w:t xml:space="preserve"> la especial intención para obtener información o confesión del presunto agraviado o castigarlo por algún hecho cometido o que se presume cometió. </w:t>
      </w:r>
      <w:r w:rsidR="00416618" w:rsidRPr="003673A9">
        <w:rPr>
          <w:rFonts w:asciiTheme="majorHAnsi" w:hAnsiTheme="majorHAnsi"/>
          <w:sz w:val="20"/>
          <w:szCs w:val="20"/>
          <w:lang w:val="es-AR"/>
        </w:rPr>
        <w:t xml:space="preserve"> En este sentido, sostiene que la calificación jurídica de un determinado hecho ilícito queda a cargo del Ministerio P</w:t>
      </w:r>
      <w:r w:rsidR="001851D5" w:rsidRPr="003673A9">
        <w:rPr>
          <w:rFonts w:asciiTheme="majorHAnsi" w:hAnsiTheme="majorHAnsi"/>
          <w:sz w:val="20"/>
          <w:szCs w:val="20"/>
          <w:lang w:val="es-AR"/>
        </w:rPr>
        <w:t>úblico y la presunta víctima no tiene facultades para sustituir la potestad de calificación de los hechos.</w:t>
      </w:r>
      <w:r w:rsidR="00416618" w:rsidRPr="003673A9">
        <w:rPr>
          <w:rFonts w:asciiTheme="majorHAnsi" w:hAnsiTheme="majorHAnsi"/>
          <w:sz w:val="20"/>
          <w:szCs w:val="20"/>
          <w:lang w:val="es-AR"/>
        </w:rPr>
        <w:t xml:space="preserve"> </w:t>
      </w:r>
    </w:p>
    <w:p w:rsidR="007D692F" w:rsidRPr="003673A9" w:rsidRDefault="007D692F" w:rsidP="003673A9">
      <w:pPr>
        <w:rPr>
          <w:rFonts w:asciiTheme="majorHAnsi" w:hAnsiTheme="majorHAnsi"/>
          <w:sz w:val="20"/>
          <w:szCs w:val="20"/>
          <w:lang w:val="es-AR"/>
        </w:rPr>
      </w:pPr>
    </w:p>
    <w:p w:rsidR="00563347" w:rsidRPr="003673A9" w:rsidRDefault="006550D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Asimismo, alega</w:t>
      </w:r>
      <w:r w:rsidR="007D692F" w:rsidRPr="003673A9">
        <w:rPr>
          <w:rFonts w:asciiTheme="majorHAnsi" w:hAnsiTheme="majorHAnsi"/>
          <w:sz w:val="20"/>
          <w:szCs w:val="20"/>
          <w:lang w:val="es-AR"/>
        </w:rPr>
        <w:t xml:space="preserve"> el Estado que la presunta víctima </w:t>
      </w:r>
      <w:r w:rsidR="00A779A4" w:rsidRPr="003673A9">
        <w:rPr>
          <w:rFonts w:asciiTheme="majorHAnsi" w:hAnsiTheme="majorHAnsi"/>
          <w:sz w:val="20"/>
          <w:szCs w:val="20"/>
          <w:lang w:val="es-AR"/>
        </w:rPr>
        <w:t xml:space="preserve">habría solicitado con </w:t>
      </w:r>
      <w:r w:rsidR="001A4FE0" w:rsidRPr="003673A9">
        <w:rPr>
          <w:rFonts w:asciiTheme="majorHAnsi" w:hAnsiTheme="majorHAnsi"/>
          <w:sz w:val="20"/>
          <w:szCs w:val="20"/>
          <w:lang w:val="es-AR"/>
        </w:rPr>
        <w:t>éxito</w:t>
      </w:r>
      <w:r w:rsidR="007D692F" w:rsidRPr="003673A9">
        <w:rPr>
          <w:rFonts w:asciiTheme="majorHAnsi" w:hAnsiTheme="majorHAnsi"/>
          <w:sz w:val="20"/>
          <w:szCs w:val="20"/>
          <w:lang w:val="es-AR"/>
        </w:rPr>
        <w:t xml:space="preserve"> vía recurso de queja que se elevara lo actuado al Fiscal Superior. Sin embargo, dicha Fiscalía </w:t>
      </w:r>
      <w:r w:rsidR="00A779A4" w:rsidRPr="003673A9">
        <w:rPr>
          <w:rFonts w:asciiTheme="majorHAnsi" w:hAnsiTheme="majorHAnsi"/>
          <w:sz w:val="20"/>
          <w:szCs w:val="20"/>
          <w:lang w:val="es-AR"/>
        </w:rPr>
        <w:t xml:space="preserve">habría declarado </w:t>
      </w:r>
      <w:r w:rsidR="007D692F" w:rsidRPr="003673A9">
        <w:rPr>
          <w:rFonts w:asciiTheme="majorHAnsi" w:hAnsiTheme="majorHAnsi"/>
          <w:sz w:val="20"/>
          <w:szCs w:val="20"/>
          <w:lang w:val="es-AR"/>
        </w:rPr>
        <w:t xml:space="preserve">infundado el recurso y por ende </w:t>
      </w:r>
      <w:r w:rsidR="00A779A4" w:rsidRPr="003673A9">
        <w:rPr>
          <w:rFonts w:asciiTheme="majorHAnsi" w:hAnsiTheme="majorHAnsi"/>
          <w:sz w:val="20"/>
          <w:szCs w:val="20"/>
          <w:lang w:val="es-AR"/>
        </w:rPr>
        <w:t xml:space="preserve">habría confirmado </w:t>
      </w:r>
      <w:r w:rsidR="007D692F" w:rsidRPr="003673A9">
        <w:rPr>
          <w:rFonts w:asciiTheme="majorHAnsi" w:hAnsiTheme="majorHAnsi"/>
          <w:sz w:val="20"/>
          <w:szCs w:val="20"/>
          <w:lang w:val="es-AR"/>
        </w:rPr>
        <w:t xml:space="preserve">lo dispuesto por el Fiscal Provincial. </w:t>
      </w:r>
      <w:r w:rsidR="00563347" w:rsidRPr="003673A9">
        <w:rPr>
          <w:rFonts w:asciiTheme="majorHAnsi" w:hAnsiTheme="majorHAnsi"/>
          <w:sz w:val="20"/>
          <w:szCs w:val="20"/>
          <w:lang w:val="es-AR"/>
        </w:rPr>
        <w:t xml:space="preserve">Además, informa que, para efectos del juzgamiento y eventual sanción de los presuntos responsables, la calificación como delito de tortura no hubiera generado un impacto considerable en la decisión judicial, máxime si el delito de violación sexual (tipo agravado) establece una sanción penal </w:t>
      </w:r>
      <w:r w:rsidRPr="003673A9">
        <w:rPr>
          <w:rFonts w:asciiTheme="majorHAnsi" w:hAnsiTheme="majorHAnsi"/>
          <w:sz w:val="20"/>
          <w:szCs w:val="20"/>
          <w:lang w:val="es-AR"/>
        </w:rPr>
        <w:t>mayor al delito de</w:t>
      </w:r>
      <w:r w:rsidR="00563347" w:rsidRPr="003673A9">
        <w:rPr>
          <w:rFonts w:asciiTheme="majorHAnsi" w:hAnsiTheme="majorHAnsi"/>
          <w:sz w:val="20"/>
          <w:szCs w:val="20"/>
          <w:lang w:val="es-AR"/>
        </w:rPr>
        <w:t xml:space="preserve"> tortura.</w:t>
      </w:r>
    </w:p>
    <w:p w:rsidR="00D86D12" w:rsidRPr="003673A9" w:rsidRDefault="00D86D12" w:rsidP="003673A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AR"/>
        </w:rPr>
      </w:pPr>
    </w:p>
    <w:p w:rsidR="009E5A5D" w:rsidRPr="003673A9" w:rsidRDefault="00D86D12"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El Estado señala que </w:t>
      </w:r>
      <w:r w:rsidR="005B01F8" w:rsidRPr="003673A9">
        <w:rPr>
          <w:rFonts w:asciiTheme="majorHAnsi" w:hAnsiTheme="majorHAnsi"/>
          <w:sz w:val="20"/>
          <w:szCs w:val="20"/>
          <w:lang w:val="es-AR"/>
        </w:rPr>
        <w:t>los peticionarios se contradicen respecto de decisiones y momentos procesales que sustentarían el agotamiento de recursos internos. Informa que, en su primer escrito, los peticionarios consideran</w:t>
      </w:r>
      <w:r w:rsidR="00F83EB1" w:rsidRPr="003673A9">
        <w:rPr>
          <w:rFonts w:asciiTheme="majorHAnsi" w:hAnsiTheme="majorHAnsi"/>
          <w:sz w:val="20"/>
          <w:szCs w:val="20"/>
          <w:lang w:val="es-AR"/>
        </w:rPr>
        <w:t xml:space="preserve"> la resolución fiscal que declaró improcedente el recurso de queja interpuesto extemporáneamente como e</w:t>
      </w:r>
      <w:r w:rsidR="005B01F8" w:rsidRPr="003673A9">
        <w:rPr>
          <w:rFonts w:asciiTheme="majorHAnsi" w:hAnsiTheme="majorHAnsi"/>
          <w:sz w:val="20"/>
          <w:szCs w:val="20"/>
          <w:lang w:val="es-AR"/>
        </w:rPr>
        <w:t>l punto referente para alegar el agotamiento</w:t>
      </w:r>
      <w:r w:rsidR="00F83EB1" w:rsidRPr="003673A9">
        <w:rPr>
          <w:rFonts w:asciiTheme="majorHAnsi" w:hAnsiTheme="majorHAnsi"/>
          <w:sz w:val="20"/>
          <w:szCs w:val="20"/>
          <w:lang w:val="es-AR"/>
        </w:rPr>
        <w:t xml:space="preserve">. Sin embargo, en su segundo escrito, </w:t>
      </w:r>
      <w:r w:rsidR="006550DF" w:rsidRPr="003673A9">
        <w:rPr>
          <w:rFonts w:asciiTheme="majorHAnsi" w:hAnsiTheme="majorHAnsi"/>
          <w:sz w:val="20"/>
          <w:szCs w:val="20"/>
          <w:lang w:val="es-AR"/>
        </w:rPr>
        <w:t xml:space="preserve">los peticionarios indicaron que agotaron los recursos judiciales con </w:t>
      </w:r>
      <w:r w:rsidR="00F83EB1" w:rsidRPr="003673A9">
        <w:rPr>
          <w:rFonts w:asciiTheme="majorHAnsi" w:hAnsiTheme="majorHAnsi"/>
          <w:sz w:val="20"/>
          <w:szCs w:val="20"/>
          <w:lang w:val="es-AR"/>
        </w:rPr>
        <w:t>la resolución fiscal que declar</w:t>
      </w:r>
      <w:r w:rsidR="00967BA9" w:rsidRPr="003673A9">
        <w:rPr>
          <w:rFonts w:asciiTheme="majorHAnsi" w:hAnsiTheme="majorHAnsi"/>
          <w:sz w:val="20"/>
          <w:szCs w:val="20"/>
          <w:lang w:val="es-AR"/>
        </w:rPr>
        <w:t>ó</w:t>
      </w:r>
      <w:r w:rsidR="00F83EB1" w:rsidRPr="003673A9">
        <w:rPr>
          <w:rFonts w:asciiTheme="majorHAnsi" w:hAnsiTheme="majorHAnsi"/>
          <w:sz w:val="20"/>
          <w:szCs w:val="20"/>
          <w:lang w:val="es-AR"/>
        </w:rPr>
        <w:t xml:space="preserve"> improcedente el recurso de nulidad</w:t>
      </w:r>
      <w:r w:rsidR="005B01F8" w:rsidRPr="003673A9">
        <w:rPr>
          <w:rFonts w:asciiTheme="majorHAnsi" w:hAnsiTheme="majorHAnsi"/>
          <w:sz w:val="20"/>
          <w:szCs w:val="20"/>
          <w:lang w:val="es-AR"/>
        </w:rPr>
        <w:t xml:space="preserve"> </w:t>
      </w:r>
      <w:r w:rsidR="00F83EB1" w:rsidRPr="003673A9">
        <w:rPr>
          <w:rFonts w:asciiTheme="majorHAnsi" w:hAnsiTheme="majorHAnsi"/>
          <w:sz w:val="20"/>
          <w:szCs w:val="20"/>
          <w:lang w:val="es-AR"/>
        </w:rPr>
        <w:t xml:space="preserve">interpuesto </w:t>
      </w:r>
      <w:r w:rsidR="006550DF" w:rsidRPr="003673A9">
        <w:rPr>
          <w:rFonts w:asciiTheme="majorHAnsi" w:hAnsiTheme="majorHAnsi"/>
          <w:sz w:val="20"/>
          <w:szCs w:val="20"/>
          <w:lang w:val="es-AR"/>
        </w:rPr>
        <w:t>ante la calificación jurídica del delito como violencia sexual y no como tortura.</w:t>
      </w:r>
      <w:r w:rsidR="00F83EB1" w:rsidRPr="003673A9">
        <w:rPr>
          <w:rFonts w:asciiTheme="majorHAnsi" w:hAnsiTheme="majorHAnsi"/>
          <w:sz w:val="20"/>
          <w:szCs w:val="20"/>
          <w:lang w:val="es-AR"/>
        </w:rPr>
        <w:t xml:space="preserve"> </w:t>
      </w:r>
    </w:p>
    <w:p w:rsidR="009E5A5D" w:rsidRPr="003673A9" w:rsidRDefault="009E5A5D" w:rsidP="003673A9">
      <w:pPr>
        <w:pStyle w:val="ListParagraph"/>
        <w:rPr>
          <w:rFonts w:asciiTheme="majorHAnsi" w:hAnsiTheme="majorHAnsi"/>
          <w:sz w:val="20"/>
          <w:szCs w:val="20"/>
          <w:lang w:val="es-AR"/>
        </w:rPr>
      </w:pPr>
    </w:p>
    <w:p w:rsidR="00D86D12" w:rsidRPr="003673A9" w:rsidRDefault="009E5A5D"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En este sentido, el Estado sostiene que el </w:t>
      </w:r>
      <w:r w:rsidR="006550DF" w:rsidRPr="003673A9">
        <w:rPr>
          <w:rFonts w:asciiTheme="majorHAnsi" w:hAnsiTheme="majorHAnsi"/>
          <w:sz w:val="20"/>
          <w:szCs w:val="20"/>
          <w:lang w:val="es-AR"/>
        </w:rPr>
        <w:t xml:space="preserve">análisis del </w:t>
      </w:r>
      <w:r w:rsidRPr="003673A9">
        <w:rPr>
          <w:rFonts w:asciiTheme="majorHAnsi" w:hAnsiTheme="majorHAnsi"/>
          <w:sz w:val="20"/>
          <w:szCs w:val="20"/>
          <w:lang w:val="es-AR"/>
        </w:rPr>
        <w:t xml:space="preserve">agotamiento </w:t>
      </w:r>
      <w:r w:rsidR="006550DF" w:rsidRPr="003673A9">
        <w:rPr>
          <w:rFonts w:asciiTheme="majorHAnsi" w:hAnsiTheme="majorHAnsi"/>
          <w:sz w:val="20"/>
          <w:szCs w:val="20"/>
          <w:lang w:val="es-AR"/>
        </w:rPr>
        <w:t xml:space="preserve">de los recursos internos </w:t>
      </w:r>
      <w:r w:rsidRPr="003673A9">
        <w:rPr>
          <w:rFonts w:asciiTheme="majorHAnsi" w:hAnsiTheme="majorHAnsi"/>
          <w:sz w:val="20"/>
          <w:szCs w:val="20"/>
          <w:lang w:val="es-AR"/>
        </w:rPr>
        <w:t>no debe ser la decisión fiscal</w:t>
      </w:r>
      <w:r w:rsidR="006550DF" w:rsidRPr="003673A9">
        <w:rPr>
          <w:rFonts w:asciiTheme="majorHAnsi" w:hAnsiTheme="majorHAnsi"/>
          <w:sz w:val="20"/>
          <w:szCs w:val="20"/>
          <w:lang w:val="es-AR"/>
        </w:rPr>
        <w:t xml:space="preserve"> respecto del delito de tortura</w:t>
      </w:r>
      <w:r w:rsidRPr="003673A9">
        <w:rPr>
          <w:rFonts w:asciiTheme="majorHAnsi" w:hAnsiTheme="majorHAnsi"/>
          <w:sz w:val="20"/>
          <w:szCs w:val="20"/>
          <w:lang w:val="es-AR"/>
        </w:rPr>
        <w:t xml:space="preserve"> porque la</w:t>
      </w:r>
      <w:r w:rsidR="00EB34C2" w:rsidRPr="003673A9">
        <w:rPr>
          <w:rFonts w:asciiTheme="majorHAnsi" w:hAnsiTheme="majorHAnsi"/>
          <w:sz w:val="20"/>
          <w:szCs w:val="20"/>
          <w:lang w:val="es-AR"/>
        </w:rPr>
        <w:t xml:space="preserve">s autoridades encuadraron los hechos denunciados como violación sexual y abuso de autoridad. </w:t>
      </w:r>
      <w:r w:rsidR="009D4629" w:rsidRPr="003673A9">
        <w:rPr>
          <w:rFonts w:asciiTheme="majorHAnsi" w:hAnsiTheme="majorHAnsi"/>
          <w:sz w:val="20"/>
          <w:szCs w:val="20"/>
          <w:lang w:val="es-AR"/>
        </w:rPr>
        <w:t>A</w:t>
      </w:r>
      <w:r w:rsidR="00F34A95">
        <w:rPr>
          <w:rFonts w:asciiTheme="majorHAnsi" w:hAnsiTheme="majorHAnsi"/>
          <w:sz w:val="20"/>
          <w:szCs w:val="20"/>
          <w:lang w:val="es-AR"/>
        </w:rPr>
        <w:t>simismo</w:t>
      </w:r>
      <w:r w:rsidR="009D4629" w:rsidRPr="003673A9">
        <w:rPr>
          <w:rFonts w:asciiTheme="majorHAnsi" w:hAnsiTheme="majorHAnsi"/>
          <w:sz w:val="20"/>
          <w:szCs w:val="20"/>
          <w:lang w:val="es-AR"/>
        </w:rPr>
        <w:t xml:space="preserve">, informan que la legislación interna penal </w:t>
      </w:r>
      <w:r w:rsidR="00F34A95">
        <w:rPr>
          <w:rFonts w:asciiTheme="majorHAnsi" w:hAnsiTheme="majorHAnsi"/>
          <w:sz w:val="20"/>
          <w:szCs w:val="20"/>
          <w:lang w:val="es-AR"/>
        </w:rPr>
        <w:t xml:space="preserve">además del </w:t>
      </w:r>
      <w:r w:rsidR="009D4629" w:rsidRPr="003673A9">
        <w:rPr>
          <w:rFonts w:asciiTheme="majorHAnsi" w:hAnsiTheme="majorHAnsi"/>
          <w:sz w:val="20"/>
          <w:szCs w:val="20"/>
          <w:lang w:val="es-AR"/>
        </w:rPr>
        <w:t>recurso de apelación que fue rechazado por extemporáneo, prevé el recurso de casación</w:t>
      </w:r>
      <w:r w:rsidR="00A11005" w:rsidRPr="003673A9">
        <w:rPr>
          <w:rFonts w:asciiTheme="majorHAnsi" w:hAnsiTheme="majorHAnsi"/>
          <w:sz w:val="20"/>
          <w:szCs w:val="20"/>
          <w:lang w:val="es-AR"/>
        </w:rPr>
        <w:t>, que tampoco fue agotado por la presunta víctima</w:t>
      </w:r>
      <w:r w:rsidR="00181C40" w:rsidRPr="003673A9">
        <w:rPr>
          <w:rFonts w:asciiTheme="majorHAnsi" w:hAnsiTheme="majorHAnsi"/>
          <w:sz w:val="20"/>
          <w:szCs w:val="20"/>
          <w:lang w:val="es-AR"/>
        </w:rPr>
        <w:t>. Es decir, que incluso en el supuesto que la presunta víctima hubiese presentado la apelación dentro del pla</w:t>
      </w:r>
      <w:r w:rsidR="00967BA9" w:rsidRPr="003673A9">
        <w:rPr>
          <w:rFonts w:asciiTheme="majorHAnsi" w:hAnsiTheme="majorHAnsi"/>
          <w:sz w:val="20"/>
          <w:szCs w:val="20"/>
          <w:lang w:val="es-AR"/>
        </w:rPr>
        <w:t>z</w:t>
      </w:r>
      <w:r w:rsidR="00181C40" w:rsidRPr="003673A9">
        <w:rPr>
          <w:rFonts w:asciiTheme="majorHAnsi" w:hAnsiTheme="majorHAnsi"/>
          <w:sz w:val="20"/>
          <w:szCs w:val="20"/>
          <w:lang w:val="es-AR"/>
        </w:rPr>
        <w:t>o legal</w:t>
      </w:r>
      <w:r w:rsidR="00A779A4" w:rsidRPr="003673A9">
        <w:rPr>
          <w:rFonts w:asciiTheme="majorHAnsi" w:hAnsiTheme="majorHAnsi"/>
          <w:sz w:val="20"/>
          <w:szCs w:val="20"/>
          <w:lang w:val="es-AR"/>
        </w:rPr>
        <w:t>,</w:t>
      </w:r>
      <w:r w:rsidR="00181C40" w:rsidRPr="003673A9">
        <w:rPr>
          <w:rFonts w:asciiTheme="majorHAnsi" w:hAnsiTheme="majorHAnsi"/>
          <w:sz w:val="20"/>
          <w:szCs w:val="20"/>
          <w:lang w:val="es-AR"/>
        </w:rPr>
        <w:t xml:space="preserve"> y </w:t>
      </w:r>
      <w:r w:rsidR="00A779A4" w:rsidRPr="003673A9">
        <w:rPr>
          <w:rFonts w:asciiTheme="majorHAnsi" w:hAnsiTheme="majorHAnsi"/>
          <w:sz w:val="20"/>
          <w:szCs w:val="20"/>
          <w:lang w:val="es-AR"/>
        </w:rPr>
        <w:t xml:space="preserve">aún </w:t>
      </w:r>
      <w:r w:rsidR="00181C40" w:rsidRPr="003673A9">
        <w:rPr>
          <w:rFonts w:asciiTheme="majorHAnsi" w:hAnsiTheme="majorHAnsi"/>
          <w:sz w:val="20"/>
          <w:szCs w:val="20"/>
          <w:lang w:val="es-AR"/>
        </w:rPr>
        <w:t xml:space="preserve">hubiese sido declarado infundado, dicha decisión de segunda instancia también </w:t>
      </w:r>
      <w:r w:rsidR="00A779A4" w:rsidRPr="003673A9">
        <w:rPr>
          <w:rFonts w:asciiTheme="majorHAnsi" w:hAnsiTheme="majorHAnsi"/>
          <w:sz w:val="20"/>
          <w:szCs w:val="20"/>
          <w:lang w:val="es-AR"/>
        </w:rPr>
        <w:t xml:space="preserve">hubiera sido </w:t>
      </w:r>
      <w:r w:rsidR="00181C40" w:rsidRPr="003673A9">
        <w:rPr>
          <w:rFonts w:asciiTheme="majorHAnsi" w:hAnsiTheme="majorHAnsi"/>
          <w:sz w:val="20"/>
          <w:szCs w:val="20"/>
          <w:lang w:val="es-AR"/>
        </w:rPr>
        <w:t xml:space="preserve">pasible de ser cuestionada en la Corte Suprema por medio del recurso de casación. </w:t>
      </w:r>
      <w:r w:rsidR="009D4629" w:rsidRPr="003673A9">
        <w:rPr>
          <w:rFonts w:asciiTheme="majorHAnsi" w:hAnsiTheme="majorHAnsi"/>
          <w:sz w:val="20"/>
          <w:szCs w:val="20"/>
          <w:lang w:val="es-AR"/>
        </w:rPr>
        <w:t xml:space="preserve">   </w:t>
      </w:r>
      <w:r w:rsidRPr="003673A9">
        <w:rPr>
          <w:rFonts w:asciiTheme="majorHAnsi" w:hAnsiTheme="majorHAnsi"/>
          <w:sz w:val="20"/>
          <w:szCs w:val="20"/>
          <w:lang w:val="es-AR"/>
        </w:rPr>
        <w:t xml:space="preserve">  </w:t>
      </w:r>
      <w:r w:rsidR="00F83EB1" w:rsidRPr="003673A9">
        <w:rPr>
          <w:rFonts w:asciiTheme="majorHAnsi" w:hAnsiTheme="majorHAnsi"/>
          <w:sz w:val="20"/>
          <w:szCs w:val="20"/>
          <w:lang w:val="es-AR"/>
        </w:rPr>
        <w:t xml:space="preserve"> </w:t>
      </w:r>
    </w:p>
    <w:p w:rsidR="00563347" w:rsidRPr="003673A9" w:rsidRDefault="00563347" w:rsidP="003673A9">
      <w:pPr>
        <w:pStyle w:val="ListParagraph"/>
        <w:rPr>
          <w:rFonts w:asciiTheme="majorHAnsi" w:hAnsiTheme="majorHAnsi"/>
          <w:sz w:val="20"/>
          <w:szCs w:val="20"/>
          <w:lang w:val="es-AR"/>
        </w:rPr>
      </w:pPr>
    </w:p>
    <w:p w:rsidR="00431B2B" w:rsidRPr="003673A9" w:rsidRDefault="00431B2B"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Asimismo, el Estado observa que en relación con el alegato de los peticionarios de la presunta intimidación contra el señor Luis Alberto Rojas Marín por los dos fiscales, la presunta víctima habría presentado una queja en contra de </w:t>
      </w:r>
      <w:r w:rsidR="00F34A95">
        <w:rPr>
          <w:rFonts w:asciiTheme="majorHAnsi" w:hAnsiTheme="majorHAnsi"/>
          <w:sz w:val="20"/>
          <w:szCs w:val="20"/>
          <w:lang w:val="es-AR"/>
        </w:rPr>
        <w:t>éstos</w:t>
      </w:r>
      <w:r w:rsidRPr="003673A9">
        <w:rPr>
          <w:rFonts w:asciiTheme="majorHAnsi" w:hAnsiTheme="majorHAnsi"/>
          <w:sz w:val="20"/>
          <w:szCs w:val="20"/>
          <w:lang w:val="es-AR"/>
        </w:rPr>
        <w:t xml:space="preserve"> ante la Oficina Descentralizada de Control Interno de La Libertad. Al respecto sostiene que las actuaciones fiscales expedidas a lo largo del proceso penal no fueron emitidas por los fiscales cuestionados, sino por otro fiscal que fue asignado al caso, razón por la cual indica que las alegadas actuaciones de estos fiscales no afectaron el correcto desarrollo del proceso interno. </w:t>
      </w:r>
    </w:p>
    <w:p w:rsidR="00431B2B" w:rsidRPr="003673A9" w:rsidRDefault="00431B2B" w:rsidP="003673A9">
      <w:pPr>
        <w:pStyle w:val="ListParagraph"/>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Finalmente, el Estado </w:t>
      </w:r>
      <w:r w:rsidR="00D86D12" w:rsidRPr="003673A9">
        <w:rPr>
          <w:rFonts w:asciiTheme="majorHAnsi" w:hAnsiTheme="majorHAnsi"/>
          <w:sz w:val="20"/>
          <w:szCs w:val="20"/>
          <w:lang w:val="es-AR"/>
        </w:rPr>
        <w:t>sostiene que los p</w:t>
      </w:r>
      <w:r w:rsidR="006550DF" w:rsidRPr="003673A9">
        <w:rPr>
          <w:rFonts w:asciiTheme="majorHAnsi" w:hAnsiTheme="majorHAnsi"/>
          <w:sz w:val="20"/>
          <w:szCs w:val="20"/>
          <w:lang w:val="es-AR"/>
        </w:rPr>
        <w:t>eticionarios exceden el marco fá</w:t>
      </w:r>
      <w:r w:rsidR="00D86D12" w:rsidRPr="003673A9">
        <w:rPr>
          <w:rFonts w:asciiTheme="majorHAnsi" w:hAnsiTheme="majorHAnsi"/>
          <w:sz w:val="20"/>
          <w:szCs w:val="20"/>
          <w:lang w:val="es-AR"/>
        </w:rPr>
        <w:t>ctico del presente caso porque no alega</w:t>
      </w:r>
      <w:r w:rsidR="0033420C">
        <w:rPr>
          <w:rFonts w:asciiTheme="majorHAnsi" w:hAnsiTheme="majorHAnsi"/>
          <w:sz w:val="20"/>
          <w:szCs w:val="20"/>
          <w:lang w:val="es-AR"/>
        </w:rPr>
        <w:t>ron</w:t>
      </w:r>
      <w:r w:rsidR="00D86D12" w:rsidRPr="003673A9">
        <w:rPr>
          <w:rFonts w:asciiTheme="majorHAnsi" w:hAnsiTheme="majorHAnsi"/>
          <w:sz w:val="20"/>
          <w:szCs w:val="20"/>
          <w:lang w:val="es-AR"/>
        </w:rPr>
        <w:t xml:space="preserve"> en la petición original, ni en sede interna, los aspectos sobre la regulación del delito de tortura en el Código Pernal peruano, la debida diligencia en las investigaciones en general y la ausencia de un registro nacional de denuncias por tortura. Además, </w:t>
      </w:r>
      <w:r w:rsidR="00F34A95">
        <w:rPr>
          <w:rFonts w:asciiTheme="majorHAnsi" w:hAnsiTheme="majorHAnsi"/>
          <w:sz w:val="20"/>
          <w:szCs w:val="20"/>
          <w:lang w:val="es-AR"/>
        </w:rPr>
        <w:t xml:space="preserve">el Estado </w:t>
      </w:r>
      <w:r w:rsidRPr="003673A9">
        <w:rPr>
          <w:rFonts w:asciiTheme="majorHAnsi" w:hAnsiTheme="majorHAnsi"/>
          <w:sz w:val="20"/>
          <w:szCs w:val="20"/>
          <w:lang w:val="es-AR"/>
        </w:rPr>
        <w:t>alega que lo</w:t>
      </w:r>
      <w:r w:rsidR="00F34A95">
        <w:rPr>
          <w:rFonts w:asciiTheme="majorHAnsi" w:hAnsiTheme="majorHAnsi"/>
          <w:sz w:val="20"/>
          <w:szCs w:val="20"/>
          <w:lang w:val="es-AR"/>
        </w:rPr>
        <w:t>s</w:t>
      </w:r>
      <w:r w:rsidRPr="003673A9">
        <w:rPr>
          <w:rFonts w:asciiTheme="majorHAnsi" w:hAnsiTheme="majorHAnsi"/>
          <w:sz w:val="20"/>
          <w:szCs w:val="20"/>
          <w:lang w:val="es-AR"/>
        </w:rPr>
        <w:t xml:space="preserve"> peticionarios pretenden es la revisión de fallos internos por no compartir los criterios empleados por los magistrados en las instancias y recalca que la Comisión no es una cuarta instancia.</w:t>
      </w:r>
    </w:p>
    <w:p w:rsidR="007D692F" w:rsidRPr="003673A9" w:rsidRDefault="007D692F" w:rsidP="003673A9">
      <w:pPr>
        <w:pStyle w:val="ListParagraph"/>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Por lo expuesto, el Estado solicita la inadmisibilidad de la peti</w:t>
      </w:r>
      <w:r w:rsidR="003673A9">
        <w:rPr>
          <w:rFonts w:asciiTheme="majorHAnsi" w:hAnsiTheme="majorHAnsi"/>
          <w:sz w:val="20"/>
          <w:szCs w:val="20"/>
          <w:lang w:val="es-AR"/>
        </w:rPr>
        <w:t xml:space="preserve">ción </w:t>
      </w:r>
      <w:r w:rsidR="00A260A6">
        <w:rPr>
          <w:rFonts w:asciiTheme="majorHAnsi" w:hAnsiTheme="majorHAnsi"/>
          <w:sz w:val="20"/>
          <w:szCs w:val="20"/>
          <w:lang w:val="es-AR"/>
        </w:rPr>
        <w:t xml:space="preserve">con base </w:t>
      </w:r>
      <w:r w:rsidR="003673A9">
        <w:rPr>
          <w:rFonts w:asciiTheme="majorHAnsi" w:hAnsiTheme="majorHAnsi"/>
          <w:sz w:val="20"/>
          <w:szCs w:val="20"/>
          <w:lang w:val="es-AR"/>
        </w:rPr>
        <w:t>en los artículos 46(</w:t>
      </w:r>
      <w:r w:rsidRPr="003673A9">
        <w:rPr>
          <w:rFonts w:asciiTheme="majorHAnsi" w:hAnsiTheme="majorHAnsi"/>
          <w:sz w:val="20"/>
          <w:szCs w:val="20"/>
          <w:lang w:val="es-AR"/>
        </w:rPr>
        <w:t>1</w:t>
      </w:r>
      <w:proofErr w:type="gramStart"/>
      <w:r w:rsidR="003673A9">
        <w:rPr>
          <w:rFonts w:asciiTheme="majorHAnsi" w:hAnsiTheme="majorHAnsi"/>
          <w:sz w:val="20"/>
          <w:szCs w:val="20"/>
          <w:lang w:val="es-AR"/>
        </w:rPr>
        <w:t>)(</w:t>
      </w:r>
      <w:proofErr w:type="gramEnd"/>
      <w:r w:rsidR="003673A9">
        <w:rPr>
          <w:rFonts w:asciiTheme="majorHAnsi" w:hAnsiTheme="majorHAnsi"/>
          <w:sz w:val="20"/>
          <w:szCs w:val="20"/>
          <w:lang w:val="es-AR"/>
        </w:rPr>
        <w:t>a) y 47(</w:t>
      </w:r>
      <w:r w:rsidRPr="003673A9">
        <w:rPr>
          <w:rFonts w:asciiTheme="majorHAnsi" w:hAnsiTheme="majorHAnsi"/>
          <w:sz w:val="20"/>
          <w:szCs w:val="20"/>
          <w:lang w:val="es-AR"/>
        </w:rPr>
        <w:t xml:space="preserve">b) de la </w:t>
      </w:r>
      <w:r w:rsidR="00B22A63" w:rsidRPr="003673A9">
        <w:rPr>
          <w:rFonts w:asciiTheme="majorHAnsi" w:hAnsiTheme="majorHAnsi"/>
          <w:sz w:val="20"/>
          <w:szCs w:val="20"/>
          <w:lang w:val="es-AR"/>
        </w:rPr>
        <w:t>Convención</w:t>
      </w:r>
      <w:r w:rsidR="00A779A4" w:rsidRPr="003673A9">
        <w:rPr>
          <w:rFonts w:asciiTheme="majorHAnsi" w:hAnsiTheme="majorHAnsi"/>
          <w:sz w:val="20"/>
          <w:szCs w:val="20"/>
          <w:lang w:val="es-AR"/>
        </w:rPr>
        <w:t xml:space="preserve"> Americana sobre Derechos Humanos</w:t>
      </w:r>
      <w:r w:rsidRPr="003673A9">
        <w:rPr>
          <w:rFonts w:asciiTheme="majorHAnsi" w:hAnsiTheme="majorHAnsi"/>
          <w:sz w:val="20"/>
          <w:szCs w:val="20"/>
          <w:lang w:val="es-AR"/>
        </w:rPr>
        <w:t>.</w:t>
      </w:r>
    </w:p>
    <w:p w:rsidR="003673A9" w:rsidRDefault="003673A9" w:rsidP="003673A9">
      <w:pPr>
        <w:pStyle w:val="Heading1"/>
        <w:rPr>
          <w:lang w:val="es-AR"/>
        </w:rPr>
      </w:pPr>
    </w:p>
    <w:p w:rsidR="007D692F" w:rsidRPr="00373C24" w:rsidRDefault="007D692F" w:rsidP="003673A9">
      <w:pPr>
        <w:pStyle w:val="Heading1"/>
        <w:rPr>
          <w:color w:val="auto"/>
          <w:lang w:val="es-AR"/>
        </w:rPr>
      </w:pPr>
      <w:r w:rsidRPr="00373C24">
        <w:rPr>
          <w:color w:val="auto"/>
          <w:lang w:val="es-AR"/>
        </w:rPr>
        <w:t>IV.</w:t>
      </w:r>
      <w:r w:rsidRPr="00373C24">
        <w:rPr>
          <w:color w:val="auto"/>
          <w:lang w:val="es-AR"/>
        </w:rPr>
        <w:tab/>
        <w:t xml:space="preserve">ANÁLISIS DE COMPETENCIA Y ADMISIBILIDAD </w:t>
      </w:r>
    </w:p>
    <w:p w:rsidR="003673A9" w:rsidRPr="00373C24" w:rsidRDefault="003673A9" w:rsidP="003673A9">
      <w:pPr>
        <w:pStyle w:val="Heading1"/>
        <w:rPr>
          <w:color w:val="auto"/>
          <w:lang w:val="es-AR"/>
        </w:rPr>
      </w:pPr>
    </w:p>
    <w:p w:rsidR="007D692F" w:rsidRPr="00373C24" w:rsidRDefault="007D692F" w:rsidP="003673A9">
      <w:pPr>
        <w:pStyle w:val="Heading1"/>
        <w:rPr>
          <w:color w:val="auto"/>
          <w:lang w:val="es-ES"/>
        </w:rPr>
      </w:pPr>
      <w:r w:rsidRPr="00373C24">
        <w:rPr>
          <w:color w:val="auto"/>
          <w:lang w:val="es-ES"/>
        </w:rPr>
        <w:t>A.</w:t>
      </w:r>
      <w:r w:rsidRPr="00373C24">
        <w:rPr>
          <w:color w:val="auto"/>
          <w:lang w:val="es-ES"/>
        </w:rPr>
        <w:tab/>
        <w:t xml:space="preserve">Competencia </w:t>
      </w:r>
      <w:proofErr w:type="spellStart"/>
      <w:r w:rsidRPr="00373C24">
        <w:rPr>
          <w:color w:val="auto"/>
          <w:lang w:val="es-ES"/>
        </w:rPr>
        <w:t>ratione</w:t>
      </w:r>
      <w:proofErr w:type="spellEnd"/>
      <w:r w:rsidRPr="00373C24">
        <w:rPr>
          <w:color w:val="auto"/>
          <w:lang w:val="es-ES"/>
        </w:rPr>
        <w:t xml:space="preserve"> </w:t>
      </w:r>
      <w:proofErr w:type="spellStart"/>
      <w:r w:rsidRPr="00373C24">
        <w:rPr>
          <w:color w:val="auto"/>
          <w:lang w:val="es-ES"/>
        </w:rPr>
        <w:t>personae</w:t>
      </w:r>
      <w:proofErr w:type="spellEnd"/>
      <w:r w:rsidRPr="00373C24">
        <w:rPr>
          <w:color w:val="auto"/>
          <w:lang w:val="es-ES"/>
        </w:rPr>
        <w:t xml:space="preserve">, </w:t>
      </w:r>
      <w:proofErr w:type="spellStart"/>
      <w:r w:rsidRPr="00373C24">
        <w:rPr>
          <w:color w:val="auto"/>
          <w:lang w:val="es-ES"/>
        </w:rPr>
        <w:t>ratione</w:t>
      </w:r>
      <w:proofErr w:type="spellEnd"/>
      <w:r w:rsidRPr="00373C24">
        <w:rPr>
          <w:color w:val="auto"/>
          <w:lang w:val="es-ES"/>
        </w:rPr>
        <w:t xml:space="preserve"> </w:t>
      </w:r>
      <w:proofErr w:type="spellStart"/>
      <w:r w:rsidRPr="00373C24">
        <w:rPr>
          <w:color w:val="auto"/>
          <w:lang w:val="es-ES"/>
        </w:rPr>
        <w:t>loci</w:t>
      </w:r>
      <w:proofErr w:type="spellEnd"/>
      <w:r w:rsidRPr="00373C24">
        <w:rPr>
          <w:color w:val="auto"/>
          <w:lang w:val="es-ES"/>
        </w:rPr>
        <w:t xml:space="preserve">, </w:t>
      </w:r>
      <w:proofErr w:type="spellStart"/>
      <w:r w:rsidRPr="00373C24">
        <w:rPr>
          <w:color w:val="auto"/>
          <w:lang w:val="es-ES"/>
        </w:rPr>
        <w:t>ratione</w:t>
      </w:r>
      <w:proofErr w:type="spellEnd"/>
      <w:r w:rsidRPr="00373C24">
        <w:rPr>
          <w:color w:val="auto"/>
          <w:lang w:val="es-ES"/>
        </w:rPr>
        <w:t xml:space="preserve"> </w:t>
      </w:r>
      <w:proofErr w:type="spellStart"/>
      <w:r w:rsidRPr="00373C24">
        <w:rPr>
          <w:color w:val="auto"/>
          <w:lang w:val="es-ES"/>
        </w:rPr>
        <w:t>temporis</w:t>
      </w:r>
      <w:proofErr w:type="spellEnd"/>
      <w:r w:rsidRPr="00373C24">
        <w:rPr>
          <w:color w:val="auto"/>
          <w:lang w:val="es-ES"/>
        </w:rPr>
        <w:t xml:space="preserve"> y </w:t>
      </w:r>
      <w:proofErr w:type="spellStart"/>
      <w:r w:rsidRPr="00373C24">
        <w:rPr>
          <w:color w:val="auto"/>
          <w:lang w:val="es-ES"/>
        </w:rPr>
        <w:t>ratione</w:t>
      </w:r>
      <w:proofErr w:type="spellEnd"/>
      <w:r w:rsidRPr="00373C24">
        <w:rPr>
          <w:color w:val="auto"/>
          <w:lang w:val="es-ES"/>
        </w:rPr>
        <w:t xml:space="preserve"> </w:t>
      </w:r>
      <w:proofErr w:type="spellStart"/>
      <w:r w:rsidRPr="00373C24">
        <w:rPr>
          <w:color w:val="auto"/>
          <w:lang w:val="es-ES"/>
        </w:rPr>
        <w:t>materiae</w:t>
      </w:r>
      <w:proofErr w:type="spellEnd"/>
      <w:r w:rsidRPr="00373C24">
        <w:rPr>
          <w:color w:val="auto"/>
          <w:lang w:val="es-ES"/>
        </w:rPr>
        <w:t xml:space="preserve"> de la C</w:t>
      </w:r>
      <w:r w:rsidR="001659E1" w:rsidRPr="00373C24">
        <w:rPr>
          <w:color w:val="auto"/>
          <w:lang w:val="es-ES"/>
        </w:rPr>
        <w:t>IDH</w:t>
      </w:r>
    </w:p>
    <w:p w:rsidR="007D692F" w:rsidRPr="003673A9" w:rsidRDefault="007D692F" w:rsidP="003673A9">
      <w:pPr>
        <w:rPr>
          <w:rFonts w:asciiTheme="majorHAnsi" w:hAnsiTheme="majorHAnsi" w:cs="Arial"/>
          <w:iCs/>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lang w:val="es-AR"/>
        </w:rPr>
      </w:pPr>
      <w:r w:rsidRPr="003673A9">
        <w:rPr>
          <w:rFonts w:asciiTheme="majorHAnsi" w:hAnsiTheme="majorHAnsi"/>
          <w:sz w:val="20"/>
          <w:szCs w:val="20"/>
          <w:lang w:val="es-AR"/>
        </w:rPr>
        <w:t xml:space="preserve">Los peticionarios se encuentran facultados por el artículo 44 de la Convención para presentar denuncias.  La presunta víctima es una persona </w:t>
      </w:r>
      <w:r w:rsidR="00311D6E" w:rsidRPr="003673A9">
        <w:rPr>
          <w:rFonts w:asciiTheme="majorHAnsi" w:hAnsiTheme="majorHAnsi"/>
          <w:sz w:val="20"/>
          <w:szCs w:val="20"/>
          <w:lang w:val="es-AR"/>
        </w:rPr>
        <w:t xml:space="preserve">individual </w:t>
      </w:r>
      <w:r w:rsidRPr="003673A9">
        <w:rPr>
          <w:rFonts w:asciiTheme="majorHAnsi" w:hAnsiTheme="majorHAnsi"/>
          <w:sz w:val="20"/>
          <w:szCs w:val="20"/>
          <w:lang w:val="es-AR"/>
        </w:rPr>
        <w:t>que se encontraba bajo la jurisdicción del Estado peruano a la fecha de los hec</w:t>
      </w:r>
      <w:r w:rsidR="000F583A" w:rsidRPr="003673A9">
        <w:rPr>
          <w:rFonts w:asciiTheme="majorHAnsi" w:hAnsiTheme="majorHAnsi"/>
          <w:sz w:val="20"/>
          <w:szCs w:val="20"/>
          <w:lang w:val="es-AR"/>
        </w:rPr>
        <w:t xml:space="preserve">hos. Por su parte, Perú depositó el instrumento de ratificación de la Convención Americana </w:t>
      </w:r>
      <w:r w:rsidRPr="003673A9">
        <w:rPr>
          <w:rFonts w:asciiTheme="majorHAnsi" w:hAnsiTheme="majorHAnsi"/>
          <w:sz w:val="20"/>
          <w:szCs w:val="20"/>
          <w:lang w:val="es-AR"/>
        </w:rPr>
        <w:t xml:space="preserve">el 28 de julio de 1978 y </w:t>
      </w:r>
      <w:r w:rsidR="000F583A" w:rsidRPr="003673A9">
        <w:rPr>
          <w:rFonts w:asciiTheme="majorHAnsi" w:hAnsiTheme="majorHAnsi"/>
          <w:sz w:val="20"/>
          <w:szCs w:val="20"/>
          <w:lang w:val="es-AR"/>
        </w:rPr>
        <w:t xml:space="preserve">de </w:t>
      </w:r>
      <w:r w:rsidRPr="003673A9">
        <w:rPr>
          <w:rFonts w:asciiTheme="majorHAnsi" w:hAnsiTheme="majorHAnsi"/>
          <w:sz w:val="20"/>
          <w:szCs w:val="20"/>
          <w:lang w:val="es-AR"/>
        </w:rPr>
        <w:t xml:space="preserve">la Convención Interamericana para </w:t>
      </w:r>
      <w:r w:rsidR="000F583A" w:rsidRPr="003673A9">
        <w:rPr>
          <w:rFonts w:asciiTheme="majorHAnsi" w:hAnsiTheme="majorHAnsi"/>
          <w:sz w:val="20"/>
          <w:szCs w:val="20"/>
          <w:lang w:val="es-AR"/>
        </w:rPr>
        <w:t xml:space="preserve">Prevenir y Sancionar la </w:t>
      </w:r>
      <w:r w:rsidR="000F583A" w:rsidRPr="003673A9">
        <w:rPr>
          <w:rFonts w:asciiTheme="majorHAnsi" w:hAnsiTheme="majorHAnsi"/>
          <w:sz w:val="20"/>
          <w:szCs w:val="20"/>
          <w:lang w:val="es-AR"/>
        </w:rPr>
        <w:lastRenderedPageBreak/>
        <w:t>Tortura</w:t>
      </w:r>
      <w:r w:rsidRPr="003673A9">
        <w:rPr>
          <w:rFonts w:asciiTheme="majorHAnsi" w:hAnsiTheme="majorHAnsi"/>
          <w:sz w:val="20"/>
          <w:szCs w:val="20"/>
          <w:lang w:val="es-AR"/>
        </w:rPr>
        <w:t xml:space="preserve"> el 28 de marzo de 1991.  En consecuencia, la Comisión tiene competencia </w:t>
      </w:r>
      <w:proofErr w:type="spellStart"/>
      <w:r w:rsidRPr="003673A9">
        <w:rPr>
          <w:rFonts w:asciiTheme="majorHAnsi" w:hAnsiTheme="majorHAnsi"/>
          <w:i/>
          <w:sz w:val="20"/>
          <w:szCs w:val="20"/>
          <w:lang w:val="es-AR"/>
        </w:rPr>
        <w:t>ratione</w:t>
      </w:r>
      <w:proofErr w:type="spellEnd"/>
      <w:r w:rsidRPr="003673A9">
        <w:rPr>
          <w:rFonts w:asciiTheme="majorHAnsi" w:hAnsiTheme="majorHAnsi"/>
          <w:i/>
          <w:sz w:val="20"/>
          <w:szCs w:val="20"/>
          <w:lang w:val="es-AR"/>
        </w:rPr>
        <w:t xml:space="preserve"> </w:t>
      </w:r>
      <w:proofErr w:type="spellStart"/>
      <w:r w:rsidRPr="003673A9">
        <w:rPr>
          <w:rFonts w:asciiTheme="majorHAnsi" w:hAnsiTheme="majorHAnsi"/>
          <w:i/>
          <w:sz w:val="20"/>
          <w:szCs w:val="20"/>
          <w:lang w:val="es-AR"/>
        </w:rPr>
        <w:t>personae</w:t>
      </w:r>
      <w:proofErr w:type="spellEnd"/>
      <w:r w:rsidRPr="003673A9">
        <w:rPr>
          <w:rFonts w:asciiTheme="majorHAnsi" w:hAnsiTheme="majorHAnsi"/>
          <w:sz w:val="20"/>
          <w:szCs w:val="20"/>
          <w:lang w:val="es-AR"/>
        </w:rPr>
        <w:t xml:space="preserve"> para examinar la petición.</w:t>
      </w:r>
    </w:p>
    <w:p w:rsidR="007D692F" w:rsidRPr="003673A9" w:rsidRDefault="007D692F" w:rsidP="003673A9">
      <w:pPr>
        <w:rPr>
          <w:rFonts w:asciiTheme="majorHAnsi" w:hAnsiTheme="majorHAnsi"/>
          <w:sz w:val="20"/>
          <w:szCs w:val="20"/>
          <w:lang w:val="es-AR"/>
        </w:rPr>
      </w:pPr>
    </w:p>
    <w:p w:rsidR="00311D6E"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lang w:val="es-AR"/>
        </w:rPr>
      </w:pPr>
      <w:r w:rsidRPr="003673A9">
        <w:rPr>
          <w:rFonts w:asciiTheme="majorHAnsi" w:hAnsiTheme="majorHAnsi"/>
          <w:sz w:val="20"/>
          <w:szCs w:val="20"/>
          <w:lang w:val="es-AR"/>
        </w:rPr>
        <w:t xml:space="preserve">La Comisión tiene competencia </w:t>
      </w:r>
      <w:proofErr w:type="spellStart"/>
      <w:r w:rsidRPr="003673A9">
        <w:rPr>
          <w:rFonts w:asciiTheme="majorHAnsi" w:hAnsiTheme="majorHAnsi"/>
          <w:i/>
          <w:sz w:val="20"/>
          <w:szCs w:val="20"/>
          <w:lang w:val="es-AR"/>
        </w:rPr>
        <w:t>ratione</w:t>
      </w:r>
      <w:proofErr w:type="spellEnd"/>
      <w:r w:rsidRPr="003673A9">
        <w:rPr>
          <w:rFonts w:asciiTheme="majorHAnsi" w:hAnsiTheme="majorHAnsi"/>
          <w:i/>
          <w:sz w:val="20"/>
          <w:szCs w:val="20"/>
          <w:lang w:val="es-AR"/>
        </w:rPr>
        <w:t xml:space="preserve"> </w:t>
      </w:r>
      <w:proofErr w:type="spellStart"/>
      <w:r w:rsidRPr="003673A9">
        <w:rPr>
          <w:rFonts w:asciiTheme="majorHAnsi" w:hAnsiTheme="majorHAnsi"/>
          <w:i/>
          <w:sz w:val="20"/>
          <w:szCs w:val="20"/>
          <w:lang w:val="es-AR"/>
        </w:rPr>
        <w:t>loci</w:t>
      </w:r>
      <w:proofErr w:type="spellEnd"/>
      <w:r w:rsidRPr="003673A9">
        <w:rPr>
          <w:rFonts w:asciiTheme="majorHAnsi" w:hAnsiTheme="majorHAnsi"/>
          <w:sz w:val="20"/>
          <w:szCs w:val="20"/>
          <w:lang w:val="es-AR"/>
        </w:rPr>
        <w:t xml:space="preserve"> para conocer la petición, por cuanto en ella se alegan violaciones de derechos protegidos por la Convención Americana que habrían tenido lugar </w:t>
      </w:r>
      <w:r w:rsidR="00311D6E" w:rsidRPr="003673A9">
        <w:rPr>
          <w:rFonts w:asciiTheme="majorHAnsi" w:hAnsiTheme="majorHAnsi"/>
          <w:sz w:val="20"/>
          <w:szCs w:val="20"/>
          <w:lang w:val="es-AR"/>
        </w:rPr>
        <w:t xml:space="preserve">bajo la jurisdicción </w:t>
      </w:r>
      <w:r w:rsidRPr="003673A9">
        <w:rPr>
          <w:rFonts w:asciiTheme="majorHAnsi" w:hAnsiTheme="majorHAnsi"/>
          <w:sz w:val="20"/>
          <w:szCs w:val="20"/>
          <w:lang w:val="es-AR"/>
        </w:rPr>
        <w:t xml:space="preserve">de un Estado parte de dicho tratado. </w:t>
      </w:r>
    </w:p>
    <w:p w:rsidR="00311D6E" w:rsidRPr="003673A9" w:rsidRDefault="00311D6E" w:rsidP="003673A9">
      <w:pPr>
        <w:pStyle w:val="ListParagraph"/>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lang w:val="es-AR"/>
        </w:rPr>
      </w:pPr>
      <w:r w:rsidRPr="003673A9">
        <w:rPr>
          <w:rFonts w:asciiTheme="majorHAnsi" w:hAnsiTheme="majorHAnsi"/>
          <w:sz w:val="20"/>
          <w:szCs w:val="20"/>
          <w:lang w:val="es-AR"/>
        </w:rPr>
        <w:t xml:space="preserve">La Comisión tiene competencia </w:t>
      </w:r>
      <w:proofErr w:type="spellStart"/>
      <w:r w:rsidRPr="003673A9">
        <w:rPr>
          <w:rFonts w:asciiTheme="majorHAnsi" w:hAnsiTheme="majorHAnsi"/>
          <w:i/>
          <w:sz w:val="20"/>
          <w:szCs w:val="20"/>
          <w:lang w:val="es-AR"/>
        </w:rPr>
        <w:t>ratione</w:t>
      </w:r>
      <w:proofErr w:type="spellEnd"/>
      <w:r w:rsidRPr="003673A9">
        <w:rPr>
          <w:rFonts w:asciiTheme="majorHAnsi" w:hAnsiTheme="majorHAnsi"/>
          <w:i/>
          <w:sz w:val="20"/>
          <w:szCs w:val="20"/>
          <w:lang w:val="es-AR"/>
        </w:rPr>
        <w:t xml:space="preserve"> </w:t>
      </w:r>
      <w:proofErr w:type="spellStart"/>
      <w:r w:rsidRPr="003673A9">
        <w:rPr>
          <w:rFonts w:asciiTheme="majorHAnsi" w:hAnsiTheme="majorHAnsi"/>
          <w:i/>
          <w:sz w:val="20"/>
          <w:szCs w:val="20"/>
          <w:lang w:val="es-AR"/>
        </w:rPr>
        <w:t>materiae</w:t>
      </w:r>
      <w:proofErr w:type="spellEnd"/>
      <w:r w:rsidRPr="003673A9">
        <w:rPr>
          <w:rFonts w:asciiTheme="majorHAnsi" w:hAnsiTheme="majorHAnsi"/>
          <w:sz w:val="20"/>
          <w:szCs w:val="20"/>
          <w:lang w:val="es-AR"/>
        </w:rPr>
        <w:t xml:space="preserve">, </w:t>
      </w:r>
      <w:r w:rsidR="00311D6E" w:rsidRPr="003673A9">
        <w:rPr>
          <w:rFonts w:asciiTheme="majorHAnsi" w:hAnsiTheme="majorHAnsi"/>
          <w:sz w:val="20"/>
          <w:szCs w:val="20"/>
          <w:lang w:val="es-AR"/>
        </w:rPr>
        <w:t xml:space="preserve">en atención a que </w:t>
      </w:r>
      <w:r w:rsidRPr="003673A9">
        <w:rPr>
          <w:rFonts w:asciiTheme="majorHAnsi" w:hAnsiTheme="majorHAnsi"/>
          <w:sz w:val="20"/>
          <w:szCs w:val="20"/>
          <w:lang w:val="es-AR"/>
        </w:rPr>
        <w:t>en la petición se alegan hechos que podrían caracterizar la violación a derechos protegidos por la Convención Americana</w:t>
      </w:r>
      <w:r w:rsidR="004940C0">
        <w:rPr>
          <w:rFonts w:asciiTheme="majorHAnsi" w:hAnsiTheme="majorHAnsi"/>
          <w:sz w:val="20"/>
          <w:szCs w:val="20"/>
          <w:lang w:val="es-AR"/>
        </w:rPr>
        <w:t xml:space="preserve"> </w:t>
      </w:r>
      <w:r w:rsidR="004940C0" w:rsidRPr="003673A9">
        <w:rPr>
          <w:rFonts w:asciiTheme="majorHAnsi" w:hAnsiTheme="majorHAnsi"/>
          <w:sz w:val="20"/>
          <w:szCs w:val="20"/>
          <w:lang w:val="es-AR"/>
        </w:rPr>
        <w:t>y la Convención Interamericana para Prevenir y Sancionar la Tortura</w:t>
      </w:r>
      <w:r w:rsidR="004940C0">
        <w:rPr>
          <w:rFonts w:asciiTheme="majorHAnsi" w:hAnsiTheme="majorHAnsi"/>
          <w:sz w:val="20"/>
          <w:szCs w:val="20"/>
          <w:lang w:val="es-AR"/>
        </w:rPr>
        <w:t>.</w:t>
      </w:r>
      <w:r w:rsidRPr="003673A9">
        <w:rPr>
          <w:rFonts w:asciiTheme="majorHAnsi" w:hAnsiTheme="majorHAnsi"/>
          <w:sz w:val="20"/>
          <w:szCs w:val="20"/>
          <w:lang w:val="es-AR"/>
        </w:rPr>
        <w:t xml:space="preserve"> </w:t>
      </w:r>
    </w:p>
    <w:p w:rsidR="007D692F" w:rsidRPr="003673A9" w:rsidRDefault="007D692F" w:rsidP="003673A9">
      <w:pPr>
        <w:rPr>
          <w:rFonts w:asciiTheme="majorHAnsi" w:hAnsiTheme="majorHAnsi"/>
          <w:sz w:val="20"/>
          <w:szCs w:val="20"/>
          <w:lang w:val="es-AR"/>
        </w:rPr>
      </w:pPr>
    </w:p>
    <w:p w:rsidR="007D692F" w:rsidRPr="00373C24"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Theme="majorHAnsi" w:hAnsiTheme="majorHAnsi"/>
          <w:sz w:val="20"/>
          <w:szCs w:val="20"/>
          <w:lang w:val="es-AR"/>
        </w:rPr>
      </w:pPr>
      <w:r w:rsidRPr="003673A9">
        <w:rPr>
          <w:rFonts w:asciiTheme="majorHAnsi" w:hAnsiTheme="majorHAnsi"/>
          <w:sz w:val="20"/>
          <w:szCs w:val="20"/>
          <w:lang w:val="es-AR"/>
        </w:rPr>
        <w:t xml:space="preserve">Finalmente, la Comisión tiene competencia </w:t>
      </w:r>
      <w:proofErr w:type="spellStart"/>
      <w:r w:rsidRPr="003673A9">
        <w:rPr>
          <w:rFonts w:asciiTheme="majorHAnsi" w:hAnsiTheme="majorHAnsi"/>
          <w:i/>
          <w:sz w:val="20"/>
          <w:szCs w:val="20"/>
          <w:lang w:val="es-AR"/>
        </w:rPr>
        <w:t>ratione</w:t>
      </w:r>
      <w:proofErr w:type="spellEnd"/>
      <w:r w:rsidRPr="003673A9">
        <w:rPr>
          <w:rFonts w:asciiTheme="majorHAnsi" w:hAnsiTheme="majorHAnsi"/>
          <w:i/>
          <w:sz w:val="20"/>
          <w:szCs w:val="20"/>
          <w:lang w:val="es-AR"/>
        </w:rPr>
        <w:t xml:space="preserve"> </w:t>
      </w:r>
      <w:proofErr w:type="spellStart"/>
      <w:r w:rsidRPr="003673A9">
        <w:rPr>
          <w:rFonts w:asciiTheme="majorHAnsi" w:hAnsiTheme="majorHAnsi"/>
          <w:i/>
          <w:sz w:val="20"/>
          <w:szCs w:val="20"/>
          <w:lang w:val="es-AR"/>
        </w:rPr>
        <w:t>temporis</w:t>
      </w:r>
      <w:proofErr w:type="spellEnd"/>
      <w:r w:rsidRPr="003673A9">
        <w:rPr>
          <w:rFonts w:asciiTheme="majorHAnsi" w:hAnsiTheme="majorHAnsi"/>
          <w:sz w:val="20"/>
          <w:szCs w:val="20"/>
          <w:lang w:val="es-AR"/>
        </w:rPr>
        <w:t xml:space="preserve"> pues la obligación de respetar y garantizar los derechos protegidos por la Convención Americana y la Convención Interamericana para Prevenir y Sancionar la Tortura ya se encontraba en vigor para el Estado en la fecha en que habrían ocurrido los hechos alegados en la petición.</w:t>
      </w:r>
    </w:p>
    <w:p w:rsidR="003673A9" w:rsidRPr="00373C24" w:rsidRDefault="003673A9" w:rsidP="003673A9">
      <w:pPr>
        <w:pStyle w:val="Heading1"/>
        <w:rPr>
          <w:color w:val="auto"/>
          <w:lang w:val="es-AR"/>
        </w:rPr>
      </w:pPr>
    </w:p>
    <w:p w:rsidR="007D692F" w:rsidRPr="00373C24" w:rsidRDefault="007D692F" w:rsidP="003673A9">
      <w:pPr>
        <w:pStyle w:val="Heading1"/>
        <w:rPr>
          <w:color w:val="auto"/>
          <w:lang w:val="es-AR"/>
        </w:rPr>
      </w:pPr>
      <w:r w:rsidRPr="00373C24">
        <w:rPr>
          <w:color w:val="auto"/>
          <w:lang w:val="es-AR"/>
        </w:rPr>
        <w:t>B.</w:t>
      </w:r>
      <w:r w:rsidRPr="00373C24">
        <w:rPr>
          <w:color w:val="auto"/>
          <w:lang w:val="es-AR"/>
        </w:rPr>
        <w:tab/>
        <w:t>Agotamiento de los recursos internos</w:t>
      </w:r>
    </w:p>
    <w:p w:rsidR="007D692F" w:rsidRPr="003673A9" w:rsidRDefault="007D692F" w:rsidP="003673A9">
      <w:pPr>
        <w:rPr>
          <w:rFonts w:asciiTheme="majorHAnsi" w:hAnsiTheme="majorHAnsi" w:cs="Arial"/>
          <w:iCs/>
          <w:sz w:val="20"/>
          <w:szCs w:val="20"/>
          <w:lang w:val="es-AR"/>
        </w:rPr>
      </w:pPr>
    </w:p>
    <w:p w:rsidR="007D692F"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bookmarkStart w:id="1" w:name="HIT22"/>
      <w:bookmarkStart w:id="2" w:name="HIT23"/>
      <w:bookmarkStart w:id="3" w:name="HIT24"/>
      <w:bookmarkEnd w:id="1"/>
      <w:bookmarkEnd w:id="2"/>
      <w:bookmarkEnd w:id="3"/>
      <w:r w:rsidRPr="003673A9">
        <w:rPr>
          <w:rFonts w:asciiTheme="majorHAnsi" w:hAnsiTheme="majorHAnsi"/>
          <w:sz w:val="20"/>
          <w:szCs w:val="20"/>
          <w:lang w:val="es-AR"/>
        </w:rPr>
        <w:t xml:space="preserve">  El requisito de agotamiento previo se aplica cuando en el sistema nacional están efectivamente disponibles recursos que son adecuados y eficaces para remediar la presunta violación a derechos humanos.  En este sentido, el artículo 46.2 especifica que el requisito no se aplica cuando </w:t>
      </w:r>
      <w:r w:rsidR="00C910E5" w:rsidRPr="003673A9">
        <w:rPr>
          <w:rFonts w:asciiTheme="majorHAnsi" w:hAnsiTheme="majorHAnsi"/>
          <w:sz w:val="20"/>
          <w:szCs w:val="20"/>
          <w:lang w:val="es-AR"/>
        </w:rPr>
        <w:t xml:space="preserve">(a) </w:t>
      </w:r>
      <w:r w:rsidRPr="003673A9">
        <w:rPr>
          <w:rFonts w:asciiTheme="majorHAnsi" w:hAnsiTheme="majorHAnsi"/>
          <w:sz w:val="20"/>
          <w:szCs w:val="20"/>
          <w:lang w:val="es-AR"/>
        </w:rPr>
        <w:t>no exista en la legislación interna el debido proceso legal para la protec</w:t>
      </w:r>
      <w:r w:rsidR="00A260A6">
        <w:rPr>
          <w:rFonts w:asciiTheme="majorHAnsi" w:hAnsiTheme="majorHAnsi"/>
          <w:sz w:val="20"/>
          <w:szCs w:val="20"/>
          <w:lang w:val="es-AR"/>
        </w:rPr>
        <w:t xml:space="preserve">ción del derecho en cuestión; </w:t>
      </w:r>
      <w:r w:rsidR="00C910E5" w:rsidRPr="003673A9">
        <w:rPr>
          <w:rFonts w:asciiTheme="majorHAnsi" w:hAnsiTheme="majorHAnsi"/>
          <w:sz w:val="20"/>
          <w:szCs w:val="20"/>
          <w:lang w:val="es-AR"/>
        </w:rPr>
        <w:t xml:space="preserve">(b) </w:t>
      </w:r>
      <w:r w:rsidRPr="003673A9">
        <w:rPr>
          <w:rFonts w:asciiTheme="majorHAnsi" w:hAnsiTheme="majorHAnsi"/>
          <w:sz w:val="20"/>
          <w:szCs w:val="20"/>
          <w:lang w:val="es-AR"/>
        </w:rPr>
        <w:t xml:space="preserve">si la presunta víctima no tuvo acceso a los recursos de la jurisdicción interna; o </w:t>
      </w:r>
      <w:r w:rsidR="00C910E5" w:rsidRPr="003673A9">
        <w:rPr>
          <w:rFonts w:asciiTheme="majorHAnsi" w:hAnsiTheme="majorHAnsi"/>
          <w:sz w:val="20"/>
          <w:szCs w:val="20"/>
          <w:lang w:val="es-AR"/>
        </w:rPr>
        <w:t xml:space="preserve">(c) </w:t>
      </w:r>
      <w:r w:rsidRPr="003673A9">
        <w:rPr>
          <w:rFonts w:asciiTheme="majorHAnsi" w:hAnsiTheme="majorHAnsi"/>
          <w:sz w:val="20"/>
          <w:szCs w:val="20"/>
          <w:lang w:val="es-AR"/>
        </w:rPr>
        <w:t>si hay retardo injustificado en la decisión sobre dichos recursos.</w:t>
      </w:r>
    </w:p>
    <w:p w:rsidR="004B71F2" w:rsidRDefault="004B71F2" w:rsidP="004B71F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AR"/>
        </w:rPr>
      </w:pPr>
    </w:p>
    <w:p w:rsidR="004B71F2" w:rsidRPr="003673A9" w:rsidRDefault="004B71F2"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Pr>
          <w:rFonts w:asciiTheme="majorHAnsi" w:hAnsiTheme="majorHAnsi"/>
          <w:sz w:val="20"/>
          <w:szCs w:val="20"/>
          <w:lang w:val="es-AR"/>
        </w:rPr>
        <w:t>De manera preliminar, la CIDH observa que l</w:t>
      </w:r>
      <w:r w:rsidRPr="003673A9">
        <w:rPr>
          <w:rFonts w:asciiTheme="majorHAnsi" w:hAnsiTheme="majorHAnsi"/>
          <w:sz w:val="20"/>
          <w:szCs w:val="20"/>
          <w:lang w:val="es-AR"/>
        </w:rPr>
        <w:t xml:space="preserve">os precedentes establecidos por la </w:t>
      </w:r>
      <w:r w:rsidR="00A260A6">
        <w:rPr>
          <w:rFonts w:asciiTheme="majorHAnsi" w:hAnsiTheme="majorHAnsi"/>
          <w:sz w:val="20"/>
          <w:szCs w:val="20"/>
          <w:lang w:val="es-AR"/>
        </w:rPr>
        <w:t>CIDH y por la Corte Interamericana de Derechos Humanos</w:t>
      </w:r>
      <w:r w:rsidRPr="003673A9">
        <w:rPr>
          <w:rFonts w:asciiTheme="majorHAnsi" w:hAnsiTheme="majorHAnsi"/>
          <w:sz w:val="20"/>
          <w:szCs w:val="20"/>
          <w:lang w:val="es-AR"/>
        </w:rPr>
        <w:t xml:space="preserve"> señalan que toda vez que se cometa un delito perseguible de oficio, el Estado tiene la obligación de promover e impulsar el proceso penal y que, en esos casos, éste constituye la vía idónea para esclarecer los hechos, juzgar a los responsables </w:t>
      </w:r>
      <w:r w:rsidR="007C6854">
        <w:rPr>
          <w:rFonts w:asciiTheme="majorHAnsi" w:hAnsiTheme="majorHAnsi"/>
          <w:sz w:val="20"/>
          <w:szCs w:val="20"/>
          <w:lang w:val="es-AR"/>
        </w:rPr>
        <w:t>y</w:t>
      </w:r>
      <w:r w:rsidRPr="003673A9">
        <w:rPr>
          <w:rFonts w:asciiTheme="majorHAnsi" w:hAnsiTheme="majorHAnsi"/>
          <w:sz w:val="20"/>
          <w:szCs w:val="20"/>
          <w:lang w:val="es-AR"/>
        </w:rPr>
        <w:t xml:space="preserve"> posibilitar otros modos de reparación.</w:t>
      </w:r>
      <w:r>
        <w:rPr>
          <w:rFonts w:asciiTheme="majorHAnsi" w:hAnsiTheme="majorHAnsi"/>
          <w:sz w:val="20"/>
          <w:szCs w:val="20"/>
          <w:lang w:val="es-AR"/>
        </w:rPr>
        <w:t xml:space="preserve"> En el presente caso, l</w:t>
      </w:r>
      <w:r w:rsidRPr="003673A9">
        <w:rPr>
          <w:rFonts w:asciiTheme="majorHAnsi" w:hAnsiTheme="majorHAnsi"/>
          <w:sz w:val="20"/>
          <w:szCs w:val="20"/>
          <w:lang w:val="es-AR"/>
        </w:rPr>
        <w:t xml:space="preserve">a CIDH toma nota </w:t>
      </w:r>
      <w:r>
        <w:rPr>
          <w:rFonts w:asciiTheme="majorHAnsi" w:hAnsiTheme="majorHAnsi"/>
          <w:sz w:val="20"/>
          <w:szCs w:val="20"/>
          <w:lang w:val="es-AR"/>
        </w:rPr>
        <w:t xml:space="preserve">de manera preliminar </w:t>
      </w:r>
      <w:r w:rsidRPr="003673A9">
        <w:rPr>
          <w:rFonts w:asciiTheme="majorHAnsi" w:hAnsiTheme="majorHAnsi"/>
          <w:sz w:val="20"/>
          <w:szCs w:val="20"/>
          <w:lang w:val="es-AR"/>
        </w:rPr>
        <w:t>que, aunque la legislación interna facult</w:t>
      </w:r>
      <w:r>
        <w:rPr>
          <w:rFonts w:asciiTheme="majorHAnsi" w:hAnsiTheme="majorHAnsi"/>
          <w:sz w:val="20"/>
          <w:szCs w:val="20"/>
          <w:lang w:val="es-AR"/>
        </w:rPr>
        <w:t>e</w:t>
      </w:r>
      <w:r w:rsidRPr="003673A9">
        <w:rPr>
          <w:rFonts w:asciiTheme="majorHAnsi" w:hAnsiTheme="majorHAnsi"/>
          <w:sz w:val="20"/>
          <w:szCs w:val="20"/>
          <w:lang w:val="es-AR"/>
        </w:rPr>
        <w:t xml:space="preserve"> a la persona agraviada como “actor civil” </w:t>
      </w:r>
      <w:r w:rsidR="007244AB">
        <w:rPr>
          <w:rFonts w:asciiTheme="majorHAnsi" w:hAnsiTheme="majorHAnsi"/>
          <w:sz w:val="20"/>
          <w:szCs w:val="20"/>
          <w:lang w:val="es-AR"/>
        </w:rPr>
        <w:t>para</w:t>
      </w:r>
      <w:r w:rsidRPr="003673A9">
        <w:rPr>
          <w:rFonts w:asciiTheme="majorHAnsi" w:hAnsiTheme="majorHAnsi"/>
          <w:sz w:val="20"/>
          <w:szCs w:val="20"/>
          <w:lang w:val="es-AR"/>
        </w:rPr>
        <w:t xml:space="preserve"> presentar recursos en el marco de la investigación penal, esto no releva al Estado de su responsabilidad de impulsar la investigación penal en casos perseguib</w:t>
      </w:r>
      <w:r w:rsidR="007244AB">
        <w:rPr>
          <w:rFonts w:asciiTheme="majorHAnsi" w:hAnsiTheme="majorHAnsi"/>
          <w:sz w:val="20"/>
          <w:szCs w:val="20"/>
          <w:lang w:val="es-AR"/>
        </w:rPr>
        <w:t>les de oficio, como el presente</w:t>
      </w:r>
      <w:r w:rsidRPr="003673A9">
        <w:rPr>
          <w:rFonts w:asciiTheme="majorHAnsi" w:hAnsiTheme="majorHAnsi"/>
          <w:sz w:val="20"/>
          <w:szCs w:val="20"/>
          <w:lang w:val="es-AR"/>
        </w:rPr>
        <w:t>.</w:t>
      </w:r>
    </w:p>
    <w:p w:rsidR="007D692F" w:rsidRPr="003673A9" w:rsidRDefault="007D692F" w:rsidP="003673A9">
      <w:pPr>
        <w:rPr>
          <w:rFonts w:asciiTheme="majorHAnsi" w:hAnsiTheme="majorHAnsi"/>
          <w:sz w:val="20"/>
          <w:szCs w:val="20"/>
          <w:lang w:val="es-AR"/>
        </w:rPr>
      </w:pPr>
    </w:p>
    <w:p w:rsidR="00F8334B" w:rsidRPr="007244AB" w:rsidRDefault="007D692F" w:rsidP="007244A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sz w:val="20"/>
          <w:szCs w:val="20"/>
          <w:lang w:val="es-AR"/>
        </w:rPr>
        <w:t xml:space="preserve">Según surge del expediente, </w:t>
      </w:r>
      <w:r w:rsidRPr="003673A9">
        <w:rPr>
          <w:rFonts w:asciiTheme="majorHAnsi" w:hAnsiTheme="majorHAnsi"/>
          <w:sz w:val="20"/>
          <w:szCs w:val="20"/>
          <w:lang w:val="es-ES"/>
        </w:rPr>
        <w:t>el 27 de febrero de 2008 Luis Alberto Rojas M</w:t>
      </w:r>
      <w:r w:rsidR="0089133A" w:rsidRPr="003673A9">
        <w:rPr>
          <w:rFonts w:asciiTheme="majorHAnsi" w:hAnsiTheme="majorHAnsi"/>
          <w:sz w:val="20"/>
          <w:szCs w:val="20"/>
          <w:lang w:val="es-ES"/>
        </w:rPr>
        <w:t>arín presentó la denuncia por los</w:t>
      </w:r>
      <w:r w:rsidR="005D3EF6">
        <w:rPr>
          <w:rFonts w:asciiTheme="majorHAnsi" w:hAnsiTheme="majorHAnsi"/>
          <w:sz w:val="20"/>
          <w:szCs w:val="20"/>
          <w:lang w:val="es-ES"/>
        </w:rPr>
        <w:t xml:space="preserve"> presuntos</w:t>
      </w:r>
      <w:r w:rsidR="0089133A" w:rsidRPr="003673A9">
        <w:rPr>
          <w:rFonts w:asciiTheme="majorHAnsi" w:hAnsiTheme="majorHAnsi"/>
          <w:sz w:val="20"/>
          <w:szCs w:val="20"/>
          <w:lang w:val="es-ES"/>
        </w:rPr>
        <w:t xml:space="preserve"> hechos ocurridos </w:t>
      </w:r>
      <w:r w:rsidRPr="003673A9">
        <w:rPr>
          <w:rFonts w:asciiTheme="majorHAnsi" w:hAnsiTheme="majorHAnsi"/>
          <w:sz w:val="20"/>
          <w:szCs w:val="20"/>
          <w:lang w:val="es-ES"/>
        </w:rPr>
        <w:t xml:space="preserve">ante la Comisaría de Casagrande.  </w:t>
      </w:r>
      <w:r w:rsidR="00FD6151" w:rsidRPr="003673A9">
        <w:rPr>
          <w:rFonts w:asciiTheme="majorHAnsi" w:hAnsiTheme="majorHAnsi"/>
          <w:sz w:val="20"/>
          <w:szCs w:val="20"/>
          <w:lang w:val="es-ES"/>
        </w:rPr>
        <w:t>Dos días</w:t>
      </w:r>
      <w:r w:rsidR="00FD6151" w:rsidRPr="003673A9">
        <w:rPr>
          <w:rFonts w:asciiTheme="majorHAnsi" w:hAnsiTheme="majorHAnsi"/>
          <w:sz w:val="20"/>
          <w:szCs w:val="20"/>
          <w:lang w:val="es-ES_tradnl"/>
        </w:rPr>
        <w:t xml:space="preserve"> después se realiz</w:t>
      </w:r>
      <w:r w:rsidR="007244AB">
        <w:rPr>
          <w:rFonts w:asciiTheme="majorHAnsi" w:hAnsiTheme="majorHAnsi"/>
          <w:sz w:val="20"/>
          <w:szCs w:val="20"/>
          <w:lang w:val="es-ES_tradnl"/>
        </w:rPr>
        <w:t>ó</w:t>
      </w:r>
      <w:r w:rsidR="00FD6151" w:rsidRPr="003673A9">
        <w:rPr>
          <w:rFonts w:asciiTheme="majorHAnsi" w:hAnsiTheme="majorHAnsi"/>
          <w:sz w:val="20"/>
          <w:szCs w:val="20"/>
          <w:lang w:val="es-ES_tradnl"/>
        </w:rPr>
        <w:t xml:space="preserve"> el examen médico legal para determinar </w:t>
      </w:r>
      <w:r w:rsidR="00FD6151" w:rsidRPr="001B6D64">
        <w:rPr>
          <w:rFonts w:asciiTheme="majorHAnsi" w:hAnsiTheme="majorHAnsi"/>
          <w:sz w:val="20"/>
          <w:szCs w:val="20"/>
          <w:lang w:val="es-ES_tradnl"/>
        </w:rPr>
        <w:t xml:space="preserve">el estado físico de la presunta víctima. El 24 de marzo de 2008 el Ministerio Público ordena la apertura de la investigación por violencia sexual agravada y abuso de autoridad. El 5 de mayo de 2008 la presunta víctima solicita </w:t>
      </w:r>
      <w:r w:rsidR="00FD6151" w:rsidRPr="001B6D64">
        <w:rPr>
          <w:rFonts w:asciiTheme="majorHAnsi" w:hAnsiTheme="majorHAnsi"/>
          <w:sz w:val="20"/>
          <w:szCs w:val="20"/>
          <w:lang w:val="es-AR"/>
        </w:rPr>
        <w:t>la ampliación de la investigación a tortura, lo cual fue negado por la fiscalía el 16 de junio de 2008</w:t>
      </w:r>
      <w:r w:rsidR="00F8334B" w:rsidRPr="001B6D64">
        <w:rPr>
          <w:rFonts w:asciiTheme="majorHAnsi" w:hAnsiTheme="majorHAnsi"/>
          <w:sz w:val="20"/>
          <w:szCs w:val="20"/>
          <w:lang w:val="es-AR"/>
        </w:rPr>
        <w:t>, indicando que</w:t>
      </w:r>
      <w:r w:rsidR="00F502AF" w:rsidRPr="001B6D64">
        <w:rPr>
          <w:rFonts w:asciiTheme="majorHAnsi" w:hAnsiTheme="majorHAnsi"/>
          <w:sz w:val="20"/>
          <w:szCs w:val="20"/>
          <w:lang w:val="es-AR"/>
        </w:rPr>
        <w:t xml:space="preserve"> no había habido dolo o </w:t>
      </w:r>
      <w:r w:rsidR="001B6D64">
        <w:rPr>
          <w:rFonts w:asciiTheme="majorHAnsi" w:hAnsiTheme="majorHAnsi"/>
          <w:sz w:val="20"/>
          <w:szCs w:val="20"/>
          <w:lang w:val="es-AR"/>
        </w:rPr>
        <w:t xml:space="preserve">prueba </w:t>
      </w:r>
      <w:r w:rsidR="00F502AF" w:rsidRPr="001B6D64">
        <w:rPr>
          <w:rFonts w:asciiTheme="majorHAnsi" w:hAnsiTheme="majorHAnsi"/>
          <w:sz w:val="20"/>
          <w:szCs w:val="20"/>
          <w:lang w:val="es-AR"/>
        </w:rPr>
        <w:t>que</w:t>
      </w:r>
      <w:r w:rsidR="001B6D64">
        <w:rPr>
          <w:rFonts w:asciiTheme="majorHAnsi" w:hAnsiTheme="majorHAnsi"/>
          <w:sz w:val="20"/>
          <w:szCs w:val="20"/>
          <w:lang w:val="es-AR"/>
        </w:rPr>
        <w:t xml:space="preserve"> el acto</w:t>
      </w:r>
      <w:r w:rsidR="00F502AF" w:rsidRPr="001B6D64">
        <w:rPr>
          <w:rFonts w:asciiTheme="majorHAnsi" w:hAnsiTheme="majorHAnsi"/>
          <w:sz w:val="20"/>
          <w:szCs w:val="20"/>
          <w:lang w:val="es-AR"/>
        </w:rPr>
        <w:t xml:space="preserve"> se haya realizado con una finalidad de las descritas en el artículo 321 del Código Penal relativo a los elementos constitutivos de la tortura. Así, la fiscalía so</w:t>
      </w:r>
      <w:r w:rsidR="005A4DE7" w:rsidRPr="001B6D64">
        <w:rPr>
          <w:rFonts w:asciiTheme="majorHAnsi" w:hAnsiTheme="majorHAnsi"/>
          <w:sz w:val="20"/>
          <w:szCs w:val="20"/>
          <w:lang w:val="es-AR"/>
        </w:rPr>
        <w:t xml:space="preserve">stuvo que </w:t>
      </w:r>
      <w:r w:rsidR="007244AB" w:rsidRPr="001B6D64">
        <w:rPr>
          <w:rFonts w:asciiTheme="majorHAnsi" w:hAnsiTheme="majorHAnsi"/>
          <w:sz w:val="20"/>
          <w:szCs w:val="20"/>
          <w:lang w:val="es-ES"/>
        </w:rPr>
        <w:t>“</w:t>
      </w:r>
      <w:r w:rsidR="005A4DE7" w:rsidRPr="001B6D64">
        <w:rPr>
          <w:rFonts w:asciiTheme="majorHAnsi" w:hAnsiTheme="majorHAnsi"/>
          <w:sz w:val="20"/>
          <w:szCs w:val="20"/>
          <w:lang w:val="es-AR"/>
        </w:rPr>
        <w:t xml:space="preserve">si bien </w:t>
      </w:r>
      <w:r w:rsidR="00F8334B" w:rsidRPr="001B6D64">
        <w:rPr>
          <w:rFonts w:asciiTheme="majorHAnsi" w:hAnsiTheme="majorHAnsi"/>
          <w:sz w:val="20"/>
          <w:szCs w:val="20"/>
          <w:lang w:val="es-AR"/>
        </w:rPr>
        <w:t xml:space="preserve">existen indicios suficientes y razonables que los denunciados </w:t>
      </w:r>
      <w:r w:rsidR="00F8334B" w:rsidRPr="001B6D64">
        <w:rPr>
          <w:rFonts w:asciiTheme="majorHAnsi" w:hAnsiTheme="majorHAnsi"/>
          <w:sz w:val="20"/>
          <w:szCs w:val="20"/>
          <w:lang w:val="es-ES"/>
        </w:rPr>
        <w:t>han causado lesion</w:t>
      </w:r>
      <w:r w:rsidR="00F502AF" w:rsidRPr="001B6D64">
        <w:rPr>
          <w:rFonts w:asciiTheme="majorHAnsi" w:hAnsiTheme="majorHAnsi"/>
          <w:sz w:val="20"/>
          <w:szCs w:val="20"/>
          <w:lang w:val="es-ES"/>
        </w:rPr>
        <w:t>e</w:t>
      </w:r>
      <w:r w:rsidR="00F8334B" w:rsidRPr="001B6D64">
        <w:rPr>
          <w:rFonts w:asciiTheme="majorHAnsi" w:hAnsiTheme="majorHAnsi"/>
          <w:sz w:val="20"/>
          <w:szCs w:val="20"/>
          <w:lang w:val="es-ES"/>
        </w:rPr>
        <w:t>s al agraviado Luis Alberto Rojas Mar</w:t>
      </w:r>
      <w:proofErr w:type="spellStart"/>
      <w:r w:rsidR="00F8334B" w:rsidRPr="001B6D64">
        <w:rPr>
          <w:rFonts w:asciiTheme="majorHAnsi" w:hAnsiTheme="majorHAnsi"/>
          <w:sz w:val="20"/>
          <w:szCs w:val="20"/>
          <w:lang w:val="es-ES_tradnl"/>
        </w:rPr>
        <w:t>ín</w:t>
      </w:r>
      <w:proofErr w:type="spellEnd"/>
      <w:r w:rsidR="00F8334B" w:rsidRPr="001B6D64">
        <w:rPr>
          <w:rFonts w:asciiTheme="majorHAnsi" w:hAnsiTheme="majorHAnsi"/>
          <w:sz w:val="20"/>
          <w:szCs w:val="20"/>
          <w:lang w:val="es-ES_tradnl"/>
        </w:rPr>
        <w:t xml:space="preserve"> y el </w:t>
      </w:r>
      <w:r w:rsidR="00F8334B" w:rsidRPr="001B6D64">
        <w:rPr>
          <w:rFonts w:asciiTheme="majorHAnsi" w:hAnsiTheme="majorHAnsi"/>
          <w:sz w:val="20"/>
          <w:szCs w:val="20"/>
          <w:lang w:val="es-ES"/>
        </w:rPr>
        <w:t>[</w:t>
      </w:r>
      <w:r w:rsidR="00311D6E" w:rsidRPr="001B6D64">
        <w:rPr>
          <w:rFonts w:asciiTheme="majorHAnsi" w:hAnsiTheme="majorHAnsi"/>
          <w:sz w:val="20"/>
          <w:szCs w:val="20"/>
          <w:lang w:val="es-ES"/>
        </w:rPr>
        <w:t xml:space="preserve">agente de </w:t>
      </w:r>
      <w:r w:rsidR="00F8334B" w:rsidRPr="001B6D64">
        <w:rPr>
          <w:rFonts w:asciiTheme="majorHAnsi" w:hAnsiTheme="majorHAnsi"/>
          <w:sz w:val="20"/>
          <w:szCs w:val="20"/>
          <w:lang w:val="es-ES"/>
        </w:rPr>
        <w:t xml:space="preserve">policía] le ha introducido una vara de goma de uso policial por el recto con ayuda de sus </w:t>
      </w:r>
      <w:proofErr w:type="spellStart"/>
      <w:r w:rsidR="00F8334B" w:rsidRPr="001B6D64">
        <w:rPr>
          <w:rFonts w:asciiTheme="majorHAnsi" w:hAnsiTheme="majorHAnsi"/>
          <w:sz w:val="20"/>
          <w:szCs w:val="20"/>
          <w:lang w:val="es-ES"/>
        </w:rPr>
        <w:t>codenunciados</w:t>
      </w:r>
      <w:proofErr w:type="spellEnd"/>
      <w:r w:rsidR="00F8334B" w:rsidRPr="001B6D64">
        <w:rPr>
          <w:rFonts w:asciiTheme="majorHAnsi" w:hAnsiTheme="majorHAnsi"/>
          <w:sz w:val="20"/>
          <w:szCs w:val="20"/>
          <w:lang w:val="es-ES"/>
        </w:rPr>
        <w:t xml:space="preserve"> … </w:t>
      </w:r>
      <w:proofErr w:type="spellStart"/>
      <w:r w:rsidR="00F8334B" w:rsidRPr="001B6D64">
        <w:rPr>
          <w:rFonts w:asciiTheme="majorHAnsi" w:hAnsiTheme="majorHAnsi"/>
          <w:sz w:val="20"/>
          <w:szCs w:val="20"/>
          <w:lang w:val="es-ES"/>
        </w:rPr>
        <w:t>tambi</w:t>
      </w:r>
      <w:r w:rsidR="00F8334B" w:rsidRPr="001B6D64">
        <w:rPr>
          <w:rFonts w:asciiTheme="majorHAnsi" w:hAnsiTheme="majorHAnsi"/>
          <w:sz w:val="20"/>
          <w:szCs w:val="20"/>
          <w:lang w:val="es-ES_tradnl"/>
        </w:rPr>
        <w:t>én</w:t>
      </w:r>
      <w:proofErr w:type="spellEnd"/>
      <w:r w:rsidR="00F8334B" w:rsidRPr="001B6D64">
        <w:rPr>
          <w:rFonts w:asciiTheme="majorHAnsi" w:hAnsiTheme="majorHAnsi"/>
          <w:sz w:val="20"/>
          <w:szCs w:val="20"/>
          <w:lang w:val="es-ES_tradnl"/>
        </w:rPr>
        <w:t xml:space="preserve"> es verdad que no se evidencia que </w:t>
      </w:r>
      <w:r w:rsidR="008B7C8F" w:rsidRPr="001B6D64">
        <w:rPr>
          <w:rFonts w:asciiTheme="majorHAnsi" w:hAnsiTheme="majorHAnsi"/>
          <w:sz w:val="20"/>
          <w:szCs w:val="20"/>
          <w:lang w:val="es-ES_tradnl"/>
        </w:rPr>
        <w:t>…</w:t>
      </w:r>
      <w:r w:rsidR="00F8334B" w:rsidRPr="001B6D64">
        <w:rPr>
          <w:rFonts w:asciiTheme="majorHAnsi" w:hAnsiTheme="majorHAnsi"/>
          <w:sz w:val="20"/>
          <w:szCs w:val="20"/>
          <w:lang w:val="es-ES_tradnl"/>
        </w:rPr>
        <w:t xml:space="preserve"> hayan actuado con dolo, esto es con el</w:t>
      </w:r>
      <w:r w:rsidR="00F8334B" w:rsidRPr="007244AB">
        <w:rPr>
          <w:rFonts w:asciiTheme="majorHAnsi" w:hAnsiTheme="majorHAnsi"/>
          <w:sz w:val="20"/>
          <w:szCs w:val="20"/>
          <w:lang w:val="es-ES_tradnl"/>
        </w:rPr>
        <w:t xml:space="preserve"> conocimiento y voluntad de cometer </w:t>
      </w:r>
      <w:r w:rsidR="00F8334B" w:rsidRPr="007244AB">
        <w:rPr>
          <w:rFonts w:asciiTheme="majorHAnsi" w:hAnsiTheme="majorHAnsi"/>
          <w:sz w:val="20"/>
          <w:szCs w:val="20"/>
          <w:lang w:val="es-ES_tradnl"/>
        </w:rPr>
        <w:lastRenderedPageBreak/>
        <w:t>el delito investigado</w:t>
      </w:r>
      <w:r w:rsidR="00F502AF" w:rsidRPr="007244AB">
        <w:rPr>
          <w:rFonts w:asciiTheme="majorHAnsi" w:hAnsiTheme="majorHAnsi"/>
          <w:sz w:val="20"/>
          <w:szCs w:val="20"/>
          <w:lang w:val="es-AR"/>
        </w:rPr>
        <w:t xml:space="preserve"> … y, mucho menos, que hayan causado dichas lesiones con la intención de obtener de la víctima una confesión o información o castigarl</w:t>
      </w:r>
      <w:r w:rsidR="005A4DE7" w:rsidRPr="007244AB">
        <w:rPr>
          <w:rFonts w:asciiTheme="majorHAnsi" w:hAnsiTheme="majorHAnsi"/>
          <w:sz w:val="20"/>
          <w:szCs w:val="20"/>
          <w:lang w:val="es-AR"/>
        </w:rPr>
        <w:t>a … intimidarla o coaccionarla..</w:t>
      </w:r>
      <w:r w:rsidR="004B71F2" w:rsidRPr="007244AB">
        <w:rPr>
          <w:rFonts w:asciiTheme="majorHAnsi" w:hAnsiTheme="majorHAnsi"/>
          <w:sz w:val="20"/>
          <w:szCs w:val="20"/>
          <w:lang w:val="es-AR"/>
        </w:rPr>
        <w:t>.</w:t>
      </w:r>
      <w:r w:rsidR="007244AB">
        <w:rPr>
          <w:rFonts w:asciiTheme="majorHAnsi" w:hAnsiTheme="majorHAnsi"/>
          <w:sz w:val="20"/>
          <w:szCs w:val="20"/>
          <w:lang w:val="es-AR"/>
        </w:rPr>
        <w:t>”</w:t>
      </w:r>
      <w:r w:rsidR="00F502AF" w:rsidRPr="003673A9">
        <w:rPr>
          <w:rStyle w:val="FootnoteReference"/>
          <w:rFonts w:asciiTheme="majorHAnsi" w:hAnsiTheme="majorHAnsi"/>
          <w:sz w:val="20"/>
          <w:szCs w:val="20"/>
          <w:lang w:val="es-AR"/>
        </w:rPr>
        <w:footnoteReference w:id="3"/>
      </w:r>
      <w:r w:rsidR="007244AB">
        <w:rPr>
          <w:rFonts w:asciiTheme="majorHAnsi" w:hAnsiTheme="majorHAnsi"/>
          <w:sz w:val="20"/>
          <w:szCs w:val="20"/>
          <w:lang w:val="es-AR"/>
        </w:rPr>
        <w:t>.</w:t>
      </w:r>
    </w:p>
    <w:p w:rsidR="00F8334B" w:rsidRPr="007244AB" w:rsidRDefault="00F8334B" w:rsidP="003673A9">
      <w:pPr>
        <w:pStyle w:val="ListParagraph"/>
        <w:rPr>
          <w:rFonts w:asciiTheme="majorHAnsi" w:hAnsiTheme="majorHAnsi"/>
          <w:sz w:val="20"/>
          <w:szCs w:val="20"/>
          <w:lang w:val="es-ES"/>
        </w:rPr>
      </w:pPr>
    </w:p>
    <w:p w:rsidR="00FD6151" w:rsidRPr="003673A9" w:rsidRDefault="00FD6151"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La presunta víctima recurre esta decisión, alegando que la </w:t>
      </w:r>
      <w:r w:rsidR="000E245C">
        <w:rPr>
          <w:rFonts w:asciiTheme="majorHAnsi" w:hAnsiTheme="majorHAnsi"/>
          <w:sz w:val="20"/>
          <w:szCs w:val="20"/>
          <w:lang w:val="es-AR"/>
        </w:rPr>
        <w:t>presunta</w:t>
      </w:r>
      <w:r w:rsidRPr="003673A9">
        <w:rPr>
          <w:rFonts w:asciiTheme="majorHAnsi" w:hAnsiTheme="majorHAnsi"/>
          <w:sz w:val="20"/>
          <w:szCs w:val="20"/>
          <w:lang w:val="es-AR"/>
        </w:rPr>
        <w:t xml:space="preserve"> tortura </w:t>
      </w:r>
      <w:r w:rsidR="008B7C8F">
        <w:rPr>
          <w:rFonts w:asciiTheme="majorHAnsi" w:hAnsiTheme="majorHAnsi"/>
          <w:sz w:val="20"/>
          <w:szCs w:val="20"/>
          <w:lang w:val="es-AR"/>
        </w:rPr>
        <w:t>se habría cometido</w:t>
      </w:r>
      <w:r w:rsidR="00966A6C" w:rsidRPr="003673A9">
        <w:rPr>
          <w:rFonts w:asciiTheme="majorHAnsi" w:hAnsiTheme="majorHAnsi"/>
          <w:sz w:val="20"/>
          <w:szCs w:val="20"/>
          <w:lang w:val="es-AR"/>
        </w:rPr>
        <w:t xml:space="preserve"> </w:t>
      </w:r>
      <w:r w:rsidRPr="003673A9">
        <w:rPr>
          <w:rFonts w:asciiTheme="majorHAnsi" w:hAnsiTheme="majorHAnsi"/>
          <w:sz w:val="20"/>
          <w:szCs w:val="20"/>
          <w:lang w:val="es-AR"/>
        </w:rPr>
        <w:t>para castigar</w:t>
      </w:r>
      <w:r w:rsidR="000E245C">
        <w:rPr>
          <w:rFonts w:asciiTheme="majorHAnsi" w:hAnsiTheme="majorHAnsi"/>
          <w:sz w:val="20"/>
          <w:szCs w:val="20"/>
          <w:lang w:val="es-AR"/>
        </w:rPr>
        <w:t>le</w:t>
      </w:r>
      <w:r w:rsidRPr="003673A9">
        <w:rPr>
          <w:rFonts w:asciiTheme="majorHAnsi" w:hAnsiTheme="majorHAnsi"/>
          <w:sz w:val="20"/>
          <w:szCs w:val="20"/>
          <w:lang w:val="es-AR"/>
        </w:rPr>
        <w:t xml:space="preserve"> por </w:t>
      </w:r>
      <w:r w:rsidR="001B6D64">
        <w:rPr>
          <w:rFonts w:asciiTheme="majorHAnsi" w:hAnsiTheme="majorHAnsi"/>
          <w:sz w:val="20"/>
          <w:szCs w:val="20"/>
          <w:lang w:val="es-AR"/>
        </w:rPr>
        <w:t>su orientación sexual</w:t>
      </w:r>
      <w:r w:rsidRPr="003673A9">
        <w:rPr>
          <w:rFonts w:asciiTheme="majorHAnsi" w:hAnsiTheme="majorHAnsi"/>
          <w:sz w:val="20"/>
          <w:szCs w:val="20"/>
          <w:lang w:val="es-AR"/>
        </w:rPr>
        <w:t xml:space="preserve">. </w:t>
      </w:r>
      <w:r w:rsidR="007244AB">
        <w:rPr>
          <w:rFonts w:asciiTheme="majorHAnsi" w:hAnsiTheme="majorHAnsi"/>
          <w:sz w:val="20"/>
          <w:szCs w:val="20"/>
          <w:lang w:val="es-AR"/>
        </w:rPr>
        <w:t>L</w:t>
      </w:r>
      <w:r w:rsidR="007244AB" w:rsidRPr="003673A9">
        <w:rPr>
          <w:rFonts w:asciiTheme="majorHAnsi" w:hAnsiTheme="majorHAnsi"/>
          <w:sz w:val="20"/>
          <w:szCs w:val="20"/>
          <w:lang w:val="es-AR"/>
        </w:rPr>
        <w:t xml:space="preserve">a presunta víctima solicitó a la fiscalía que se investigaran los hechos alegados bajo </w:t>
      </w:r>
      <w:r w:rsidR="00EE3C54">
        <w:rPr>
          <w:rFonts w:asciiTheme="majorHAnsi" w:hAnsiTheme="majorHAnsi"/>
          <w:sz w:val="20"/>
          <w:szCs w:val="20"/>
          <w:lang w:val="es-AR"/>
        </w:rPr>
        <w:t>la figura o tipificación</w:t>
      </w:r>
      <w:r w:rsidR="00EE3C54">
        <w:rPr>
          <w:rFonts w:asciiTheme="majorHAnsi" w:hAnsiTheme="majorHAnsi"/>
          <w:sz w:val="20"/>
          <w:szCs w:val="20"/>
          <w:lang w:val="es-ES_tradnl"/>
        </w:rPr>
        <w:t xml:space="preserve"> de </w:t>
      </w:r>
      <w:r w:rsidR="007244AB" w:rsidRPr="003673A9">
        <w:rPr>
          <w:rFonts w:asciiTheme="majorHAnsi" w:hAnsiTheme="majorHAnsi"/>
          <w:sz w:val="20"/>
          <w:szCs w:val="20"/>
          <w:lang w:val="es-AR"/>
        </w:rPr>
        <w:t xml:space="preserve">tortura, indicando, a la luz de estándares internacionales, que no había sido </w:t>
      </w:r>
      <w:r w:rsidR="00EE3C54">
        <w:rPr>
          <w:rFonts w:asciiTheme="majorHAnsi" w:hAnsiTheme="majorHAnsi"/>
          <w:sz w:val="20"/>
          <w:szCs w:val="20"/>
          <w:lang w:val="es-AR"/>
        </w:rPr>
        <w:t>sola</w:t>
      </w:r>
      <w:r w:rsidR="007244AB" w:rsidRPr="003673A9">
        <w:rPr>
          <w:rFonts w:asciiTheme="majorHAnsi" w:hAnsiTheme="majorHAnsi"/>
          <w:sz w:val="20"/>
          <w:szCs w:val="20"/>
          <w:lang w:val="es-AR"/>
        </w:rPr>
        <w:t xml:space="preserve">mente una situación de abuso de autoridad y violencia sexual. </w:t>
      </w:r>
      <w:r w:rsidRPr="003673A9">
        <w:rPr>
          <w:rFonts w:asciiTheme="majorHAnsi" w:hAnsiTheme="majorHAnsi"/>
          <w:sz w:val="20"/>
          <w:szCs w:val="20"/>
          <w:lang w:val="es-AR"/>
        </w:rPr>
        <w:t xml:space="preserve">Este recurso </w:t>
      </w:r>
      <w:r w:rsidR="008B7C8F">
        <w:rPr>
          <w:rFonts w:asciiTheme="majorHAnsi" w:hAnsiTheme="majorHAnsi"/>
          <w:sz w:val="20"/>
          <w:szCs w:val="20"/>
          <w:lang w:val="es-AR"/>
        </w:rPr>
        <w:t>fue</w:t>
      </w:r>
      <w:r w:rsidR="00966A6C" w:rsidRPr="003673A9">
        <w:rPr>
          <w:rFonts w:asciiTheme="majorHAnsi" w:hAnsiTheme="majorHAnsi"/>
          <w:sz w:val="20"/>
          <w:szCs w:val="20"/>
          <w:lang w:val="es-AR"/>
        </w:rPr>
        <w:t xml:space="preserve"> </w:t>
      </w:r>
      <w:r w:rsidRPr="003673A9">
        <w:rPr>
          <w:rFonts w:asciiTheme="majorHAnsi" w:hAnsiTheme="majorHAnsi"/>
          <w:sz w:val="20"/>
          <w:szCs w:val="20"/>
          <w:lang w:val="es-AR"/>
        </w:rPr>
        <w:t>declarado infundado por la fi</w:t>
      </w:r>
      <w:r w:rsidR="005A4DE7">
        <w:rPr>
          <w:rFonts w:asciiTheme="majorHAnsi" w:hAnsiTheme="majorHAnsi"/>
          <w:sz w:val="20"/>
          <w:szCs w:val="20"/>
          <w:lang w:val="es-AR"/>
        </w:rPr>
        <w:t xml:space="preserve">scalía el 28 de agosto de 2008, y confirmado por </w:t>
      </w:r>
      <w:r w:rsidRPr="003673A9">
        <w:rPr>
          <w:rFonts w:asciiTheme="majorHAnsi" w:hAnsiTheme="majorHAnsi"/>
          <w:sz w:val="20"/>
          <w:szCs w:val="20"/>
          <w:lang w:val="es-AR"/>
        </w:rPr>
        <w:t xml:space="preserve">la fiscalía superior el 15 de octubre de 2008. </w:t>
      </w:r>
      <w:r w:rsidR="008B7C8F">
        <w:rPr>
          <w:rFonts w:asciiTheme="majorHAnsi" w:hAnsiTheme="majorHAnsi"/>
          <w:sz w:val="20"/>
          <w:szCs w:val="20"/>
          <w:lang w:val="es-AR"/>
        </w:rPr>
        <w:t xml:space="preserve">Los peticionarios alegan la inefectividad de la investigación </w:t>
      </w:r>
      <w:r w:rsidR="00067F31" w:rsidRPr="003673A9">
        <w:rPr>
          <w:rFonts w:asciiTheme="majorHAnsi" w:hAnsiTheme="majorHAnsi"/>
          <w:sz w:val="20"/>
          <w:szCs w:val="20"/>
          <w:lang w:val="es-AR"/>
        </w:rPr>
        <w:t xml:space="preserve">en estos términos. </w:t>
      </w:r>
    </w:p>
    <w:p w:rsidR="00FD6151" w:rsidRPr="003673A9" w:rsidRDefault="00FD6151" w:rsidP="003673A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491AB4" w:rsidRPr="005A4DE7" w:rsidRDefault="007D692F" w:rsidP="005A4DE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E</w:t>
      </w:r>
      <w:r w:rsidR="002A7EA6" w:rsidRPr="003673A9">
        <w:rPr>
          <w:rFonts w:asciiTheme="majorHAnsi" w:hAnsiTheme="majorHAnsi"/>
          <w:sz w:val="20"/>
          <w:szCs w:val="20"/>
          <w:lang w:val="es-AR"/>
        </w:rPr>
        <w:t xml:space="preserve">n relación con la investigación por violencia sexual agravada y abuso de autoridad, el 21 de octubre de 2008 la fiscalía solicita al juez cerrar la investigación por declaratoria de sobreseimiento, </w:t>
      </w:r>
      <w:r w:rsidR="001B6D64">
        <w:rPr>
          <w:rFonts w:asciiTheme="majorHAnsi" w:hAnsiTheme="majorHAnsi"/>
          <w:sz w:val="20"/>
          <w:szCs w:val="20"/>
          <w:lang w:val="es-AR"/>
        </w:rPr>
        <w:t>acto contra el</w:t>
      </w:r>
      <w:r w:rsidR="00EB6787">
        <w:rPr>
          <w:rFonts w:asciiTheme="majorHAnsi" w:hAnsiTheme="majorHAnsi"/>
          <w:sz w:val="20"/>
          <w:szCs w:val="20"/>
          <w:lang w:val="es-AR"/>
        </w:rPr>
        <w:t xml:space="preserve"> </w:t>
      </w:r>
      <w:r w:rsidR="00966A6C" w:rsidRPr="003673A9">
        <w:rPr>
          <w:rFonts w:asciiTheme="majorHAnsi" w:hAnsiTheme="majorHAnsi"/>
          <w:sz w:val="20"/>
          <w:szCs w:val="20"/>
          <w:lang w:val="es-AR"/>
        </w:rPr>
        <w:t>cual</w:t>
      </w:r>
      <w:r w:rsidR="002A7EA6" w:rsidRPr="003673A9">
        <w:rPr>
          <w:rFonts w:asciiTheme="majorHAnsi" w:hAnsiTheme="majorHAnsi"/>
          <w:sz w:val="20"/>
          <w:szCs w:val="20"/>
          <w:lang w:val="es-AR"/>
        </w:rPr>
        <w:t xml:space="preserve"> Luis Alberto Rojas Marín formula oposición. El 9 de enero de 2009 el Juez Penal de Investigación Preparatoria de </w:t>
      </w:r>
      <w:proofErr w:type="spellStart"/>
      <w:r w:rsidR="002A7EA6" w:rsidRPr="003673A9">
        <w:rPr>
          <w:rFonts w:asciiTheme="majorHAnsi" w:hAnsiTheme="majorHAnsi"/>
          <w:sz w:val="20"/>
          <w:szCs w:val="20"/>
          <w:lang w:val="es-AR"/>
        </w:rPr>
        <w:t>Ascope</w:t>
      </w:r>
      <w:proofErr w:type="spellEnd"/>
      <w:r w:rsidR="002A7EA6" w:rsidRPr="003673A9">
        <w:rPr>
          <w:rFonts w:asciiTheme="majorHAnsi" w:hAnsiTheme="majorHAnsi"/>
          <w:sz w:val="20"/>
          <w:szCs w:val="20"/>
          <w:lang w:val="es-AR"/>
        </w:rPr>
        <w:t>, Corte Superior de Justicia de la Libert</w:t>
      </w:r>
      <w:r w:rsidR="00614ED8" w:rsidRPr="003673A9">
        <w:rPr>
          <w:rFonts w:asciiTheme="majorHAnsi" w:hAnsiTheme="majorHAnsi"/>
          <w:sz w:val="20"/>
          <w:szCs w:val="20"/>
          <w:lang w:val="es-AR"/>
        </w:rPr>
        <w:t xml:space="preserve">ad dicta auto de sobreseimiento, al considerar que se aplican los supuestos contemplados en los literales a) y d) del artículo 344(2) del Código Procesal Penal, es decir, que el hecho no puede atribuírsele a los </w:t>
      </w:r>
      <w:r w:rsidR="00965520">
        <w:rPr>
          <w:rFonts w:asciiTheme="majorHAnsi" w:hAnsiTheme="majorHAnsi"/>
          <w:sz w:val="20"/>
          <w:szCs w:val="20"/>
          <w:lang w:val="es-AR"/>
        </w:rPr>
        <w:t xml:space="preserve">policías, </w:t>
      </w:r>
      <w:r w:rsidR="00614ED8" w:rsidRPr="003673A9">
        <w:rPr>
          <w:rFonts w:asciiTheme="majorHAnsi" w:hAnsiTheme="majorHAnsi"/>
          <w:sz w:val="20"/>
          <w:szCs w:val="20"/>
          <w:lang w:val="es-AR"/>
        </w:rPr>
        <w:t xml:space="preserve">que no existe razonablemente la posibilidad de incorporar nuevos datos a la investigación y </w:t>
      </w:r>
      <w:r w:rsidR="00965520">
        <w:rPr>
          <w:rFonts w:asciiTheme="majorHAnsi" w:hAnsiTheme="majorHAnsi"/>
          <w:sz w:val="20"/>
          <w:szCs w:val="20"/>
          <w:lang w:val="es-AR"/>
        </w:rPr>
        <w:t xml:space="preserve">que </w:t>
      </w:r>
      <w:r w:rsidR="00614ED8" w:rsidRPr="003673A9">
        <w:rPr>
          <w:rFonts w:asciiTheme="majorHAnsi" w:hAnsiTheme="majorHAnsi"/>
          <w:sz w:val="20"/>
          <w:szCs w:val="20"/>
          <w:lang w:val="es-AR"/>
        </w:rPr>
        <w:t xml:space="preserve">no hay elementos de convicción suficientes para solicitar fundadamente el enjuiciamiento con relación a los tres imputados y los delitos instruidos. </w:t>
      </w:r>
      <w:r w:rsidR="00CC6831" w:rsidRPr="003673A9">
        <w:rPr>
          <w:rFonts w:asciiTheme="majorHAnsi" w:hAnsiTheme="majorHAnsi"/>
          <w:sz w:val="20"/>
          <w:szCs w:val="20"/>
          <w:lang w:val="es-AR"/>
        </w:rPr>
        <w:t xml:space="preserve">La presunta víctima, constituida como “actor civil” en el proceso penal apela esta decisión, la cual es rechazada </w:t>
      </w:r>
      <w:r w:rsidR="008B4156" w:rsidRPr="003673A9">
        <w:rPr>
          <w:rFonts w:asciiTheme="majorHAnsi" w:hAnsiTheme="majorHAnsi"/>
          <w:sz w:val="20"/>
          <w:szCs w:val="20"/>
          <w:lang w:val="es-AR"/>
        </w:rPr>
        <w:t>al</w:t>
      </w:r>
      <w:r w:rsidR="00CC6831" w:rsidRPr="003673A9">
        <w:rPr>
          <w:rFonts w:asciiTheme="majorHAnsi" w:hAnsiTheme="majorHAnsi"/>
          <w:sz w:val="20"/>
          <w:szCs w:val="20"/>
          <w:lang w:val="es-AR"/>
        </w:rPr>
        <w:t xml:space="preserve"> haberse </w:t>
      </w:r>
      <w:r w:rsidR="008B4156" w:rsidRPr="003673A9">
        <w:rPr>
          <w:rFonts w:asciiTheme="majorHAnsi" w:hAnsiTheme="majorHAnsi"/>
          <w:sz w:val="20"/>
          <w:szCs w:val="20"/>
          <w:lang w:val="es-AR"/>
        </w:rPr>
        <w:t xml:space="preserve">interpuesto </w:t>
      </w:r>
      <w:r w:rsidR="00965520">
        <w:rPr>
          <w:rFonts w:asciiTheme="majorHAnsi" w:hAnsiTheme="majorHAnsi"/>
          <w:sz w:val="20"/>
          <w:szCs w:val="20"/>
          <w:lang w:val="es-AR"/>
        </w:rPr>
        <w:t>cuatro días más tarde del plazo que establece</w:t>
      </w:r>
      <w:r w:rsidR="008B4156" w:rsidRPr="003673A9">
        <w:rPr>
          <w:rFonts w:asciiTheme="majorHAnsi" w:hAnsiTheme="majorHAnsi"/>
          <w:sz w:val="20"/>
          <w:szCs w:val="20"/>
          <w:lang w:val="es-AR"/>
        </w:rPr>
        <w:t xml:space="preserve"> la normativa interna. </w:t>
      </w:r>
    </w:p>
    <w:p w:rsidR="008B4156" w:rsidRPr="003673A9" w:rsidRDefault="008B4156" w:rsidP="003673A9">
      <w:pPr>
        <w:pStyle w:val="ListParagraph"/>
        <w:rPr>
          <w:rFonts w:asciiTheme="majorHAnsi" w:hAnsiTheme="majorHAnsi"/>
          <w:sz w:val="20"/>
          <w:szCs w:val="20"/>
          <w:lang w:val="es-AR"/>
        </w:rPr>
      </w:pPr>
    </w:p>
    <w:p w:rsidR="006D61A9" w:rsidRPr="002D2B68" w:rsidRDefault="000E245C"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Pr>
          <w:rFonts w:asciiTheme="majorHAnsi" w:hAnsiTheme="majorHAnsi"/>
          <w:sz w:val="20"/>
          <w:szCs w:val="20"/>
          <w:lang w:val="es-AR"/>
        </w:rPr>
        <w:t>Por otra parte</w:t>
      </w:r>
      <w:r w:rsidR="006D61A9" w:rsidRPr="00ED4BB4">
        <w:rPr>
          <w:rFonts w:asciiTheme="majorHAnsi" w:hAnsiTheme="majorHAnsi"/>
          <w:sz w:val="20"/>
          <w:szCs w:val="20"/>
          <w:lang w:val="es-AR"/>
        </w:rPr>
        <w:t xml:space="preserve">, la CIDH observa que el 28 de marzo de 2008 la </w:t>
      </w:r>
      <w:r w:rsidR="006D61A9" w:rsidRPr="00DB562B">
        <w:rPr>
          <w:rFonts w:asciiTheme="majorHAnsi" w:hAnsiTheme="majorHAnsi"/>
          <w:sz w:val="20"/>
          <w:szCs w:val="20"/>
          <w:lang w:val="es-AR"/>
        </w:rPr>
        <w:t xml:space="preserve">presunta víctima interpuso una </w:t>
      </w:r>
      <w:r w:rsidR="006D61A9" w:rsidRPr="002D2B68">
        <w:rPr>
          <w:rFonts w:asciiTheme="majorHAnsi" w:hAnsiTheme="majorHAnsi"/>
          <w:sz w:val="20"/>
          <w:szCs w:val="20"/>
          <w:lang w:val="es-AR"/>
        </w:rPr>
        <w:t xml:space="preserve">queja ante el Fiscal Superior, Jefe de la Oficina </w:t>
      </w:r>
      <w:r w:rsidR="00ED4BB4" w:rsidRPr="002D2B68">
        <w:rPr>
          <w:rFonts w:asciiTheme="majorHAnsi" w:hAnsiTheme="majorHAnsi"/>
          <w:sz w:val="20"/>
          <w:szCs w:val="20"/>
          <w:lang w:val="es-AR"/>
        </w:rPr>
        <w:t xml:space="preserve">Descentralizada del Control Interno de la Libertad, </w:t>
      </w:r>
      <w:r w:rsidR="00D04AD9">
        <w:rPr>
          <w:rFonts w:asciiTheme="majorHAnsi" w:hAnsiTheme="majorHAnsi"/>
          <w:sz w:val="20"/>
          <w:szCs w:val="20"/>
          <w:lang w:val="es-AR"/>
        </w:rPr>
        <w:t>para que se iniciara una investigaci</w:t>
      </w:r>
      <w:r w:rsidR="001F20BB">
        <w:rPr>
          <w:rFonts w:asciiTheme="majorHAnsi" w:hAnsiTheme="majorHAnsi"/>
          <w:sz w:val="20"/>
          <w:szCs w:val="20"/>
          <w:lang w:val="es-AR"/>
        </w:rPr>
        <w:t xml:space="preserve">ón </w:t>
      </w:r>
      <w:r w:rsidR="00ED4BB4" w:rsidRPr="002D2B68">
        <w:rPr>
          <w:rFonts w:asciiTheme="majorHAnsi" w:hAnsiTheme="majorHAnsi"/>
          <w:sz w:val="20"/>
          <w:szCs w:val="20"/>
          <w:lang w:val="es-AR"/>
        </w:rPr>
        <w:t>por</w:t>
      </w:r>
      <w:r w:rsidR="001F20BB">
        <w:rPr>
          <w:rFonts w:asciiTheme="majorHAnsi" w:hAnsiTheme="majorHAnsi"/>
          <w:sz w:val="20"/>
          <w:szCs w:val="20"/>
          <w:lang w:val="es-AR"/>
        </w:rPr>
        <w:t xml:space="preserve"> los delitos de</w:t>
      </w:r>
      <w:r w:rsidR="00ED4BB4" w:rsidRPr="002D2B68">
        <w:rPr>
          <w:rFonts w:asciiTheme="majorHAnsi" w:hAnsiTheme="majorHAnsi"/>
          <w:sz w:val="20"/>
          <w:szCs w:val="20"/>
          <w:lang w:val="es-AR"/>
        </w:rPr>
        <w:t xml:space="preserve"> abuso de autoridad, coacción y retardo en la administración de justicia</w:t>
      </w:r>
      <w:r w:rsidR="00D04AD9">
        <w:rPr>
          <w:rFonts w:asciiTheme="majorHAnsi" w:hAnsiTheme="majorHAnsi"/>
          <w:sz w:val="20"/>
          <w:szCs w:val="20"/>
          <w:lang w:val="es-AR"/>
        </w:rPr>
        <w:t xml:space="preserve"> en contra de dos fiscales que intervinieron en su caso</w:t>
      </w:r>
      <w:r w:rsidR="00ED4BB4" w:rsidRPr="002D2B68">
        <w:rPr>
          <w:rFonts w:asciiTheme="majorHAnsi" w:hAnsiTheme="majorHAnsi"/>
          <w:sz w:val="20"/>
          <w:szCs w:val="20"/>
          <w:lang w:val="es-AR"/>
        </w:rPr>
        <w:t xml:space="preserve">. </w:t>
      </w:r>
      <w:r w:rsidR="002D2B68">
        <w:rPr>
          <w:rFonts w:asciiTheme="majorHAnsi" w:hAnsiTheme="majorHAnsi"/>
          <w:sz w:val="20"/>
          <w:szCs w:val="20"/>
          <w:lang w:val="es-AR"/>
        </w:rPr>
        <w:t>La presunta víctima alegó que habría sido víctima de hostigamiento y discriminación por parte de una fiscal provincial penal, ocasionando además demoras para que pudiera pasar su examen m</w:t>
      </w:r>
      <w:r w:rsidR="00D04AD9">
        <w:rPr>
          <w:rFonts w:asciiTheme="majorHAnsi" w:hAnsiTheme="majorHAnsi"/>
          <w:sz w:val="20"/>
          <w:szCs w:val="20"/>
          <w:lang w:val="es-AR"/>
        </w:rPr>
        <w:t>édico legal con inmediatez, y de un fiscal adjunto quien habría intervenido durante el examen médico legal para cuestionar la ocurrencia de la violación sexual. El Fiscal Superior mediante informe del 24 de julio de 2009, declaró fundada la queja por abuso de autoridad, indicando que la fiscal había demora</w:t>
      </w:r>
      <w:r w:rsidR="00D04AD9" w:rsidRPr="0019176D">
        <w:rPr>
          <w:rFonts w:asciiTheme="majorHAnsi" w:hAnsiTheme="majorHAnsi"/>
          <w:sz w:val="20"/>
          <w:szCs w:val="20"/>
          <w:lang w:val="es-AR"/>
        </w:rPr>
        <w:t xml:space="preserve">do la realización del examen médico y que el fiscal adjunto había estado presente cuando se realizaba el examen médico, sin previo consentimiento del agraviado, como lo establece el </w:t>
      </w:r>
      <w:r w:rsidR="003679D6" w:rsidRPr="0019176D">
        <w:rPr>
          <w:rFonts w:asciiTheme="majorHAnsi" w:hAnsiTheme="majorHAnsi"/>
          <w:sz w:val="20"/>
          <w:szCs w:val="20"/>
          <w:lang w:val="es-AR"/>
        </w:rPr>
        <w:t>C</w:t>
      </w:r>
      <w:r w:rsidR="00D04AD9" w:rsidRPr="0019176D">
        <w:rPr>
          <w:rFonts w:asciiTheme="majorHAnsi" w:hAnsiTheme="majorHAnsi"/>
          <w:sz w:val="20"/>
          <w:szCs w:val="20"/>
          <w:lang w:val="es-AR"/>
        </w:rPr>
        <w:t>ódigo</w:t>
      </w:r>
      <w:r w:rsidR="003679D6" w:rsidRPr="0019176D">
        <w:rPr>
          <w:rFonts w:asciiTheme="majorHAnsi" w:hAnsiTheme="majorHAnsi"/>
          <w:sz w:val="20"/>
          <w:szCs w:val="20"/>
          <w:lang w:val="es-AR"/>
        </w:rPr>
        <w:t xml:space="preserve"> Procesal Penal</w:t>
      </w:r>
      <w:r w:rsidR="00D04AD9" w:rsidRPr="0019176D">
        <w:rPr>
          <w:rFonts w:asciiTheme="majorHAnsi" w:hAnsiTheme="majorHAnsi"/>
          <w:sz w:val="20"/>
          <w:szCs w:val="20"/>
          <w:lang w:val="es-AR"/>
        </w:rPr>
        <w:t>.</w:t>
      </w:r>
      <w:r w:rsidR="00D04AD9">
        <w:rPr>
          <w:rFonts w:asciiTheme="majorHAnsi" w:hAnsiTheme="majorHAnsi"/>
          <w:sz w:val="20"/>
          <w:szCs w:val="20"/>
          <w:lang w:val="es-AR"/>
        </w:rPr>
        <w:t xml:space="preserve"> </w:t>
      </w:r>
      <w:r w:rsidR="0019176D">
        <w:rPr>
          <w:rFonts w:asciiTheme="majorHAnsi" w:hAnsiTheme="majorHAnsi"/>
          <w:sz w:val="20"/>
          <w:szCs w:val="20"/>
          <w:lang w:val="es-AR"/>
        </w:rPr>
        <w:t>La Fiscalía Gene</w:t>
      </w:r>
      <w:r w:rsidR="005A4DE7">
        <w:rPr>
          <w:rFonts w:asciiTheme="majorHAnsi" w:hAnsiTheme="majorHAnsi"/>
          <w:sz w:val="20"/>
          <w:szCs w:val="20"/>
          <w:lang w:val="es-AR"/>
        </w:rPr>
        <w:t xml:space="preserve">ral de la Nación, por su parte, </w:t>
      </w:r>
      <w:r w:rsidR="001F20BB">
        <w:rPr>
          <w:rFonts w:asciiTheme="majorHAnsi" w:hAnsiTheme="majorHAnsi"/>
          <w:sz w:val="20"/>
          <w:szCs w:val="20"/>
          <w:lang w:val="es-AR"/>
        </w:rPr>
        <w:t xml:space="preserve">declaró sin mérito la queja </w:t>
      </w:r>
      <w:r w:rsidR="005A4DE7">
        <w:rPr>
          <w:rFonts w:asciiTheme="majorHAnsi" w:hAnsiTheme="majorHAnsi"/>
          <w:sz w:val="20"/>
          <w:szCs w:val="20"/>
          <w:lang w:val="es-AR"/>
        </w:rPr>
        <w:t>y la archivó</w:t>
      </w:r>
      <w:r w:rsidR="001F20BB">
        <w:rPr>
          <w:rFonts w:asciiTheme="majorHAnsi" w:hAnsiTheme="majorHAnsi"/>
          <w:sz w:val="20"/>
          <w:szCs w:val="20"/>
          <w:lang w:val="es-AR"/>
        </w:rPr>
        <w:t xml:space="preserve">. </w:t>
      </w:r>
      <w:r w:rsidR="009D4CFC">
        <w:rPr>
          <w:rFonts w:asciiTheme="majorHAnsi" w:hAnsiTheme="majorHAnsi"/>
          <w:sz w:val="20"/>
          <w:szCs w:val="20"/>
          <w:lang w:val="es-AR"/>
        </w:rPr>
        <w:t xml:space="preserve">  </w:t>
      </w:r>
      <w:r w:rsidR="003679D6">
        <w:rPr>
          <w:rFonts w:asciiTheme="majorHAnsi" w:hAnsiTheme="majorHAnsi"/>
          <w:sz w:val="20"/>
          <w:szCs w:val="20"/>
          <w:lang w:val="es-AR"/>
        </w:rPr>
        <w:t xml:space="preserve">  </w:t>
      </w:r>
    </w:p>
    <w:p w:rsidR="006D61A9" w:rsidRDefault="006D61A9" w:rsidP="006D61A9">
      <w:pPr>
        <w:pStyle w:val="ListParagraph"/>
        <w:rPr>
          <w:rFonts w:asciiTheme="majorHAnsi" w:hAnsiTheme="majorHAnsi"/>
          <w:sz w:val="20"/>
          <w:szCs w:val="20"/>
          <w:lang w:val="es-AR"/>
        </w:rPr>
      </w:pPr>
    </w:p>
    <w:p w:rsidR="008E6854" w:rsidRPr="00A82130" w:rsidRDefault="007C6854" w:rsidP="005A4DE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Pr>
          <w:rFonts w:asciiTheme="majorHAnsi" w:hAnsiTheme="majorHAnsi"/>
          <w:sz w:val="20"/>
          <w:szCs w:val="20"/>
          <w:lang w:val="es-AR"/>
        </w:rPr>
        <w:t xml:space="preserve">La CIDH toma nota del alegato de los peticionarios que la presunta víctima habría sido discriminada por su orientación sexual, desde su </w:t>
      </w:r>
      <w:r w:rsidR="00373C24">
        <w:rPr>
          <w:rFonts w:asciiTheme="majorHAnsi" w:hAnsiTheme="majorHAnsi"/>
          <w:sz w:val="20"/>
          <w:szCs w:val="20"/>
          <w:lang w:val="es-AR"/>
        </w:rPr>
        <w:t>detención</w:t>
      </w:r>
      <w:r>
        <w:rPr>
          <w:rFonts w:asciiTheme="majorHAnsi" w:hAnsiTheme="majorHAnsi"/>
          <w:sz w:val="20"/>
          <w:szCs w:val="20"/>
          <w:lang w:val="es-ES_tradnl"/>
        </w:rPr>
        <w:t xml:space="preserve"> y durante la investigación de los hechos</w:t>
      </w:r>
      <w:r>
        <w:rPr>
          <w:rFonts w:asciiTheme="majorHAnsi" w:hAnsiTheme="majorHAnsi"/>
          <w:sz w:val="20"/>
          <w:szCs w:val="20"/>
          <w:lang w:val="es-AR"/>
        </w:rPr>
        <w:t>. Asimismo, l</w:t>
      </w:r>
      <w:r w:rsidR="00491AB4" w:rsidRPr="003673A9">
        <w:rPr>
          <w:rFonts w:asciiTheme="majorHAnsi" w:hAnsiTheme="majorHAnsi"/>
          <w:sz w:val="20"/>
          <w:szCs w:val="20"/>
          <w:lang w:val="es-AR"/>
        </w:rPr>
        <w:t xml:space="preserve">a Comisión toma nota que la presunta víctima presentó </w:t>
      </w:r>
      <w:r w:rsidR="005A4DE7" w:rsidRPr="003673A9">
        <w:rPr>
          <w:rFonts w:asciiTheme="majorHAnsi" w:hAnsiTheme="majorHAnsi"/>
          <w:sz w:val="20"/>
          <w:szCs w:val="20"/>
          <w:lang w:val="es-AR"/>
        </w:rPr>
        <w:t xml:space="preserve">alegatos </w:t>
      </w:r>
      <w:r w:rsidR="00491AB4" w:rsidRPr="003673A9">
        <w:rPr>
          <w:rFonts w:asciiTheme="majorHAnsi" w:hAnsiTheme="majorHAnsi"/>
          <w:sz w:val="20"/>
          <w:szCs w:val="20"/>
          <w:lang w:val="es-AR"/>
        </w:rPr>
        <w:t>ante la fiscalía en relación con irregularidades en la investigación pr</w:t>
      </w:r>
      <w:r>
        <w:rPr>
          <w:rFonts w:asciiTheme="majorHAnsi" w:hAnsiTheme="majorHAnsi"/>
          <w:sz w:val="20"/>
          <w:szCs w:val="20"/>
          <w:lang w:val="es-AR"/>
        </w:rPr>
        <w:t xml:space="preserve">eliminar, </w:t>
      </w:r>
      <w:r w:rsidRPr="005A4DE7">
        <w:rPr>
          <w:rFonts w:asciiTheme="majorHAnsi" w:hAnsiTheme="majorHAnsi"/>
          <w:sz w:val="20"/>
          <w:szCs w:val="20"/>
          <w:lang w:val="es-AR"/>
        </w:rPr>
        <w:t xml:space="preserve">relacionadas con alegadas actuaciones retardatorias e intimidatorias por parte de fiscales, presuntamente motivadas por </w:t>
      </w:r>
      <w:r w:rsidR="007244AB">
        <w:rPr>
          <w:rFonts w:asciiTheme="majorHAnsi" w:hAnsiTheme="majorHAnsi"/>
          <w:sz w:val="20"/>
          <w:szCs w:val="20"/>
          <w:lang w:val="es-AR"/>
        </w:rPr>
        <w:t>su</w:t>
      </w:r>
      <w:r w:rsidRPr="005A4DE7">
        <w:rPr>
          <w:rFonts w:asciiTheme="majorHAnsi" w:hAnsiTheme="majorHAnsi"/>
          <w:sz w:val="20"/>
          <w:szCs w:val="20"/>
          <w:lang w:val="es-AR"/>
        </w:rPr>
        <w:t xml:space="preserve"> orientación sexual</w:t>
      </w:r>
      <w:r w:rsidR="00650B3C" w:rsidRPr="003673A9">
        <w:rPr>
          <w:rFonts w:asciiTheme="majorHAnsi" w:hAnsiTheme="majorHAnsi"/>
          <w:sz w:val="20"/>
          <w:szCs w:val="20"/>
          <w:lang w:val="es-AR"/>
        </w:rPr>
        <w:t xml:space="preserve">. </w:t>
      </w:r>
      <w:r w:rsidR="00963DE0" w:rsidRPr="00A82130">
        <w:rPr>
          <w:rFonts w:ascii="Cambria" w:hAnsi="Cambria"/>
          <w:sz w:val="20"/>
          <w:szCs w:val="20"/>
          <w:lang w:val="es-AR"/>
        </w:rPr>
        <w:t xml:space="preserve">En este sentido, la obligación de llevar a cabo una investigación con la debida diligencia </w:t>
      </w:r>
      <w:r w:rsidR="00C23812" w:rsidRPr="00A82130">
        <w:rPr>
          <w:rFonts w:ascii="Cambria" w:hAnsi="Cambria"/>
          <w:sz w:val="20"/>
          <w:szCs w:val="20"/>
          <w:lang w:val="es-AR"/>
        </w:rPr>
        <w:t>adquiere una connotación</w:t>
      </w:r>
      <w:r w:rsidR="00C23812" w:rsidRPr="00A82130">
        <w:rPr>
          <w:rFonts w:ascii="Cambria" w:hAnsi="Cambria"/>
          <w:sz w:val="20"/>
          <w:szCs w:val="20"/>
          <w:lang w:val="es-ES_tradnl"/>
        </w:rPr>
        <w:t xml:space="preserve"> especial </w:t>
      </w:r>
      <w:r w:rsidR="00963DE0" w:rsidRPr="00A82130">
        <w:rPr>
          <w:rFonts w:ascii="Cambria" w:hAnsi="Cambria"/>
          <w:sz w:val="20"/>
          <w:szCs w:val="20"/>
          <w:lang w:val="es-AR"/>
        </w:rPr>
        <w:t>cuando la presunta víctima ha alegado que habría sido discriminada por su orientación sexual -categoría sospechosa de dis</w:t>
      </w:r>
      <w:r w:rsidR="00C23812" w:rsidRPr="00A82130">
        <w:rPr>
          <w:rFonts w:ascii="Cambria" w:hAnsi="Cambria"/>
          <w:sz w:val="20"/>
          <w:szCs w:val="20"/>
          <w:lang w:val="es-AR"/>
        </w:rPr>
        <w:t>tinción</w:t>
      </w:r>
      <w:r w:rsidR="00963DE0" w:rsidRPr="00A82130">
        <w:rPr>
          <w:rFonts w:ascii="Cambria" w:hAnsi="Cambria"/>
          <w:sz w:val="20"/>
          <w:szCs w:val="20"/>
          <w:lang w:val="es-AR"/>
        </w:rPr>
        <w:t xml:space="preserve"> bajo el artículo 1(1) de la Convención Americana-</w:t>
      </w:r>
      <w:r w:rsidR="00C23812" w:rsidRPr="00A82130">
        <w:rPr>
          <w:rStyle w:val="FootnoteReference"/>
          <w:rFonts w:ascii="Cambria" w:hAnsi="Cambria"/>
          <w:sz w:val="20"/>
          <w:szCs w:val="20"/>
          <w:lang w:val="es-AR"/>
        </w:rPr>
        <w:footnoteReference w:id="4"/>
      </w:r>
      <w:r w:rsidR="00963DE0" w:rsidRPr="00A82130">
        <w:rPr>
          <w:rFonts w:ascii="Cambria" w:hAnsi="Cambria"/>
          <w:sz w:val="20"/>
          <w:szCs w:val="20"/>
          <w:lang w:val="es-AR"/>
        </w:rPr>
        <w:t>, tomando en consideración la situación de marginación y exclusión histórica a la cual han estado sometidas las personas por su orientación sexual</w:t>
      </w:r>
      <w:r w:rsidR="00963DE0" w:rsidRPr="00A82130">
        <w:rPr>
          <w:rStyle w:val="FootnoteReference"/>
          <w:rFonts w:ascii="Cambria" w:hAnsi="Cambria"/>
          <w:sz w:val="20"/>
          <w:szCs w:val="20"/>
          <w:lang w:val="es-AR"/>
        </w:rPr>
        <w:footnoteReference w:id="5"/>
      </w:r>
      <w:r w:rsidR="00963DE0" w:rsidRPr="00A82130">
        <w:rPr>
          <w:rFonts w:ascii="Cambria" w:hAnsi="Cambria"/>
          <w:sz w:val="20"/>
          <w:szCs w:val="20"/>
          <w:lang w:val="es-AR"/>
        </w:rPr>
        <w:t xml:space="preserve"> no heterosexual, máxime si se trata de una persona que se encuentra bajo custodia estatal.  </w:t>
      </w:r>
    </w:p>
    <w:p w:rsidR="008E6854" w:rsidRDefault="008E6854" w:rsidP="008E6854">
      <w:pPr>
        <w:pStyle w:val="ListParagraph"/>
        <w:rPr>
          <w:rFonts w:asciiTheme="majorHAnsi" w:hAnsiTheme="majorHAnsi"/>
          <w:sz w:val="20"/>
          <w:szCs w:val="20"/>
          <w:lang w:val="es-AR"/>
        </w:rPr>
      </w:pPr>
    </w:p>
    <w:p w:rsidR="00007045" w:rsidRDefault="007C6854" w:rsidP="008E68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Pr>
          <w:rFonts w:asciiTheme="majorHAnsi" w:hAnsiTheme="majorHAnsi"/>
          <w:sz w:val="20"/>
          <w:szCs w:val="20"/>
          <w:lang w:val="es-AR"/>
        </w:rPr>
        <w:t>En conclusión, la CIDH observa que los procesos iniciados a nivel interno, tanto para determinar la responsabilidad en relación con los alegatos actos de violencia</w:t>
      </w:r>
      <w:r w:rsidR="00D46533">
        <w:rPr>
          <w:rFonts w:asciiTheme="majorHAnsi" w:hAnsiTheme="majorHAnsi"/>
          <w:sz w:val="20"/>
          <w:szCs w:val="20"/>
          <w:lang w:val="es-AR"/>
        </w:rPr>
        <w:t xml:space="preserve"> y discriminación</w:t>
      </w:r>
      <w:r>
        <w:rPr>
          <w:rFonts w:asciiTheme="majorHAnsi" w:hAnsiTheme="majorHAnsi"/>
          <w:sz w:val="20"/>
          <w:szCs w:val="20"/>
          <w:lang w:val="es-AR"/>
        </w:rPr>
        <w:t xml:space="preserve"> en perjuici</w:t>
      </w:r>
      <w:r w:rsidR="00D46533">
        <w:rPr>
          <w:rFonts w:asciiTheme="majorHAnsi" w:hAnsiTheme="majorHAnsi"/>
          <w:sz w:val="20"/>
          <w:szCs w:val="20"/>
          <w:lang w:val="es-AR"/>
        </w:rPr>
        <w:t xml:space="preserve">o de </w:t>
      </w:r>
      <w:r w:rsidR="00D46533">
        <w:rPr>
          <w:rFonts w:asciiTheme="majorHAnsi" w:hAnsiTheme="majorHAnsi"/>
          <w:sz w:val="20"/>
          <w:szCs w:val="20"/>
          <w:lang w:val="es-AR"/>
        </w:rPr>
        <w:lastRenderedPageBreak/>
        <w:t xml:space="preserve">Luis Alberto Rojas Marín, </w:t>
      </w:r>
      <w:r w:rsidR="007244AB">
        <w:rPr>
          <w:rFonts w:asciiTheme="majorHAnsi" w:hAnsiTheme="majorHAnsi"/>
          <w:sz w:val="20"/>
          <w:szCs w:val="20"/>
          <w:lang w:val="es-AR"/>
        </w:rPr>
        <w:t xml:space="preserve">como </w:t>
      </w:r>
      <w:r>
        <w:rPr>
          <w:rFonts w:asciiTheme="majorHAnsi" w:hAnsiTheme="majorHAnsi"/>
          <w:sz w:val="20"/>
          <w:szCs w:val="20"/>
          <w:lang w:val="es-AR"/>
        </w:rPr>
        <w:t>en relación con la alegada discriminación por parte de los fiscales del caso, fueron cerrad</w:t>
      </w:r>
      <w:r w:rsidR="007244AB">
        <w:rPr>
          <w:rFonts w:asciiTheme="majorHAnsi" w:hAnsiTheme="majorHAnsi"/>
          <w:sz w:val="20"/>
          <w:szCs w:val="20"/>
          <w:lang w:val="es-AR"/>
        </w:rPr>
        <w:t>o</w:t>
      </w:r>
      <w:r>
        <w:rPr>
          <w:rFonts w:asciiTheme="majorHAnsi" w:hAnsiTheme="majorHAnsi"/>
          <w:sz w:val="20"/>
          <w:szCs w:val="20"/>
          <w:lang w:val="es-AR"/>
        </w:rPr>
        <w:t>s en la etapa de investigación. En este sentido, los peticionarios alegan que la presunta víctima no tuvo acceso efectivo a la justicia</w:t>
      </w:r>
      <w:r w:rsidR="007244AB">
        <w:rPr>
          <w:rFonts w:asciiTheme="majorHAnsi" w:hAnsiTheme="majorHAnsi"/>
          <w:sz w:val="20"/>
          <w:szCs w:val="20"/>
          <w:lang w:val="es-AR"/>
        </w:rPr>
        <w:t>, al haber sido discriminado por su orientación sexual.</w:t>
      </w:r>
    </w:p>
    <w:p w:rsidR="00007045" w:rsidRDefault="00007045" w:rsidP="00007045">
      <w:pPr>
        <w:pStyle w:val="ListParagraph"/>
        <w:rPr>
          <w:rFonts w:asciiTheme="majorHAnsi" w:hAnsiTheme="majorHAnsi"/>
          <w:sz w:val="20"/>
          <w:szCs w:val="20"/>
          <w:lang w:val="es-AR"/>
        </w:rPr>
      </w:pPr>
    </w:p>
    <w:p w:rsidR="007D692F" w:rsidRPr="008E6854" w:rsidRDefault="00546803" w:rsidP="008E68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Pr>
          <w:rFonts w:asciiTheme="majorHAnsi" w:hAnsiTheme="majorHAnsi"/>
          <w:sz w:val="20"/>
          <w:szCs w:val="20"/>
          <w:lang w:val="es-AR"/>
        </w:rPr>
        <w:t xml:space="preserve">Tomando en cuenta la información presentada, </w:t>
      </w:r>
      <w:r w:rsidR="00EE3C54">
        <w:rPr>
          <w:rFonts w:asciiTheme="majorHAnsi" w:hAnsiTheme="majorHAnsi"/>
          <w:sz w:val="20"/>
          <w:szCs w:val="20"/>
          <w:lang w:val="es-AR"/>
        </w:rPr>
        <w:t xml:space="preserve">y a efectos del análisis preliminar de admisibilidad, </w:t>
      </w:r>
      <w:r>
        <w:rPr>
          <w:rFonts w:asciiTheme="majorHAnsi" w:hAnsiTheme="majorHAnsi"/>
          <w:sz w:val="20"/>
          <w:szCs w:val="20"/>
          <w:lang w:val="es-AR"/>
        </w:rPr>
        <w:t xml:space="preserve">la CIDH </w:t>
      </w:r>
      <w:r w:rsidRPr="00D46533">
        <w:rPr>
          <w:rFonts w:asciiTheme="majorHAnsi" w:hAnsiTheme="majorHAnsi"/>
          <w:sz w:val="20"/>
          <w:szCs w:val="20"/>
          <w:lang w:val="es-AR"/>
        </w:rPr>
        <w:t>c</w:t>
      </w:r>
      <w:r w:rsidR="001A73AD" w:rsidRPr="00D46533">
        <w:rPr>
          <w:rFonts w:asciiTheme="majorHAnsi" w:hAnsiTheme="majorHAnsi"/>
          <w:sz w:val="20"/>
          <w:szCs w:val="20"/>
          <w:lang w:val="es-AR"/>
        </w:rPr>
        <w:t xml:space="preserve">onsidera que la presunta víctima se encuentra exceptuada de agotar los recursos de la jurisdicción interna, de conformidad con el </w:t>
      </w:r>
      <w:r w:rsidR="001659E1" w:rsidRPr="00D46533">
        <w:rPr>
          <w:rFonts w:asciiTheme="majorHAnsi" w:hAnsiTheme="majorHAnsi"/>
          <w:sz w:val="20"/>
          <w:szCs w:val="20"/>
          <w:lang w:val="es-AR"/>
        </w:rPr>
        <w:t>artículo 46(2</w:t>
      </w:r>
      <w:proofErr w:type="gramStart"/>
      <w:r w:rsidR="001659E1" w:rsidRPr="00D46533">
        <w:rPr>
          <w:rFonts w:asciiTheme="majorHAnsi" w:hAnsiTheme="majorHAnsi"/>
          <w:sz w:val="20"/>
          <w:szCs w:val="20"/>
          <w:lang w:val="es-AR"/>
        </w:rPr>
        <w:t>)(</w:t>
      </w:r>
      <w:proofErr w:type="gramEnd"/>
      <w:r w:rsidR="0011382F" w:rsidRPr="00D46533">
        <w:rPr>
          <w:rFonts w:asciiTheme="majorHAnsi" w:hAnsiTheme="majorHAnsi"/>
          <w:sz w:val="20"/>
          <w:szCs w:val="20"/>
          <w:lang w:val="es-AR"/>
        </w:rPr>
        <w:t>a</w:t>
      </w:r>
      <w:r w:rsidR="001659E1" w:rsidRPr="00D46533">
        <w:rPr>
          <w:rFonts w:asciiTheme="majorHAnsi" w:hAnsiTheme="majorHAnsi"/>
          <w:sz w:val="20"/>
          <w:szCs w:val="20"/>
          <w:lang w:val="es-AR"/>
        </w:rPr>
        <w:t>)</w:t>
      </w:r>
      <w:r w:rsidR="0011382F" w:rsidRPr="00D46533">
        <w:rPr>
          <w:rFonts w:asciiTheme="majorHAnsi" w:hAnsiTheme="majorHAnsi"/>
          <w:sz w:val="20"/>
          <w:szCs w:val="20"/>
          <w:lang w:val="es-AR"/>
        </w:rPr>
        <w:t xml:space="preserve"> y (b)</w:t>
      </w:r>
      <w:r w:rsidR="004E3E69" w:rsidRPr="00D46533">
        <w:rPr>
          <w:rFonts w:asciiTheme="majorHAnsi" w:hAnsiTheme="majorHAnsi"/>
          <w:sz w:val="20"/>
          <w:szCs w:val="20"/>
          <w:lang w:val="es-AR"/>
        </w:rPr>
        <w:t xml:space="preserve"> de la Convención Americana</w:t>
      </w:r>
      <w:r w:rsidR="00E955CA" w:rsidRPr="00D46533">
        <w:rPr>
          <w:rFonts w:asciiTheme="majorHAnsi" w:hAnsiTheme="majorHAnsi"/>
          <w:sz w:val="20"/>
          <w:szCs w:val="20"/>
          <w:lang w:val="es-AR"/>
        </w:rPr>
        <w:t xml:space="preserve">. La Comisión desea recalcar que esta decisión sobre la admisibilidad es </w:t>
      </w:r>
      <w:r w:rsidR="00E955CA" w:rsidRPr="00D46533">
        <w:rPr>
          <w:rFonts w:asciiTheme="majorHAnsi" w:hAnsiTheme="majorHAnsi"/>
          <w:i/>
          <w:sz w:val="20"/>
          <w:szCs w:val="20"/>
          <w:lang w:val="es-AR"/>
        </w:rPr>
        <w:t>prima facie</w:t>
      </w:r>
      <w:r w:rsidR="00E955CA" w:rsidRPr="00D46533">
        <w:rPr>
          <w:rFonts w:asciiTheme="majorHAnsi" w:hAnsiTheme="majorHAnsi"/>
          <w:sz w:val="20"/>
          <w:szCs w:val="20"/>
          <w:lang w:val="es-AR"/>
        </w:rPr>
        <w:t>, a los efectos de determinar el cumplimiento con los requisitos de admisibilidad</w:t>
      </w:r>
      <w:r w:rsidR="00E955CA" w:rsidRPr="008E6854">
        <w:rPr>
          <w:rFonts w:asciiTheme="majorHAnsi" w:hAnsiTheme="majorHAnsi"/>
          <w:sz w:val="20"/>
          <w:szCs w:val="20"/>
          <w:lang w:val="es-AR"/>
        </w:rPr>
        <w:t xml:space="preserve">  y no prejuzga sobre el fondo de la controversia. </w:t>
      </w:r>
      <w:r w:rsidR="009F7D35">
        <w:rPr>
          <w:rFonts w:asciiTheme="majorHAnsi" w:hAnsiTheme="majorHAnsi"/>
          <w:sz w:val="20"/>
          <w:szCs w:val="20"/>
          <w:lang w:val="es-AR"/>
        </w:rPr>
        <w:t xml:space="preserve">La CIDH considera que estos alegatos requieren un análisis a profundidad en la etapa sobre el fondo. </w:t>
      </w:r>
    </w:p>
    <w:p w:rsidR="003673A9" w:rsidRPr="00373C24" w:rsidRDefault="003673A9">
      <w:pPr>
        <w:rPr>
          <w:rFonts w:asciiTheme="majorHAnsi" w:eastAsiaTheme="majorEastAsia" w:hAnsiTheme="majorHAnsi" w:cstheme="majorBidi"/>
          <w:b/>
          <w:bCs/>
          <w:sz w:val="20"/>
          <w:szCs w:val="20"/>
          <w:lang w:val="es-AR"/>
        </w:rPr>
      </w:pPr>
    </w:p>
    <w:p w:rsidR="007D692F" w:rsidRPr="00373C24" w:rsidRDefault="007D692F" w:rsidP="003673A9">
      <w:pPr>
        <w:pStyle w:val="Heading1"/>
        <w:rPr>
          <w:color w:val="auto"/>
          <w:lang w:val="es-AR"/>
        </w:rPr>
      </w:pPr>
      <w:r w:rsidRPr="00373C24">
        <w:rPr>
          <w:color w:val="auto"/>
          <w:lang w:val="es-AR"/>
        </w:rPr>
        <w:t>C.</w:t>
      </w:r>
      <w:r w:rsidRPr="00373C24">
        <w:rPr>
          <w:color w:val="auto"/>
          <w:lang w:val="es-AR"/>
        </w:rPr>
        <w:tab/>
        <w:t>Plazo de presentación de la petición</w:t>
      </w:r>
    </w:p>
    <w:p w:rsidR="007D692F" w:rsidRPr="003673A9" w:rsidRDefault="007D692F" w:rsidP="003673A9">
      <w:pPr>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El artículo 46(1</w:t>
      </w:r>
      <w:proofErr w:type="gramStart"/>
      <w:r w:rsidRPr="003673A9">
        <w:rPr>
          <w:rFonts w:asciiTheme="majorHAnsi" w:hAnsiTheme="majorHAnsi"/>
          <w:sz w:val="20"/>
          <w:szCs w:val="20"/>
          <w:lang w:val="es-AR"/>
        </w:rPr>
        <w:t>)(</w:t>
      </w:r>
      <w:proofErr w:type="gramEnd"/>
      <w:r w:rsidRPr="003673A9">
        <w:rPr>
          <w:rFonts w:asciiTheme="majorHAnsi" w:hAnsiTheme="majorHAnsi"/>
          <w:sz w:val="20"/>
          <w:szCs w:val="20"/>
          <w:lang w:val="es-AR"/>
        </w:rPr>
        <w:t>b) d</w:t>
      </w:r>
      <w:r w:rsidRPr="003673A9">
        <w:rPr>
          <w:rFonts w:asciiTheme="majorHAnsi" w:hAnsiTheme="majorHAnsi"/>
          <w:bCs/>
          <w:iCs/>
          <w:sz w:val="20"/>
          <w:szCs w:val="20"/>
          <w:lang w:val="es-AR"/>
        </w:rPr>
        <w:t>e la Convención Americana establece que para que la petición pueda ser declarada admisible, es necesario</w:t>
      </w:r>
      <w:r w:rsidRPr="003673A9">
        <w:rPr>
          <w:rFonts w:asciiTheme="majorHAnsi" w:hAnsiTheme="majorHAnsi"/>
          <w:sz w:val="20"/>
          <w:szCs w:val="20"/>
          <w:lang w:val="es-AR"/>
        </w:rPr>
        <w:t xml:space="preserve"> que se haya presentado dentro del plazo de seis meses contados a partir de la fecha en que el interesado fue notificado de la decisión final que agotó la jurisdicción interna.</w:t>
      </w:r>
      <w:r w:rsidR="00C910E5" w:rsidRPr="003673A9">
        <w:rPr>
          <w:rFonts w:asciiTheme="majorHAnsi" w:hAnsiTheme="majorHAnsi"/>
          <w:sz w:val="20"/>
          <w:szCs w:val="20"/>
          <w:lang w:val="es-AR"/>
        </w:rPr>
        <w:t xml:space="preserve"> </w:t>
      </w:r>
      <w:r w:rsidR="00C910E5" w:rsidRPr="003673A9">
        <w:rPr>
          <w:rFonts w:asciiTheme="majorHAnsi" w:hAnsiTheme="majorHAnsi"/>
          <w:bCs/>
          <w:sz w:val="20"/>
          <w:szCs w:val="20"/>
          <w:lang w:val="es-ES_tradnl"/>
        </w:rPr>
        <w:t> Esta regla no tiene aplicación cuando la Comisión encuentra que se ha configurado alguna de las excepciones al agotamiento de los recursos internos consagradas en el artículo 46</w:t>
      </w:r>
      <w:r w:rsidR="003673A9">
        <w:rPr>
          <w:rFonts w:asciiTheme="majorHAnsi" w:hAnsiTheme="majorHAnsi"/>
          <w:bCs/>
          <w:sz w:val="20"/>
          <w:szCs w:val="20"/>
          <w:lang w:val="es-ES_tradnl"/>
        </w:rPr>
        <w:t>(</w:t>
      </w:r>
      <w:r w:rsidR="00C910E5" w:rsidRPr="003673A9">
        <w:rPr>
          <w:rFonts w:asciiTheme="majorHAnsi" w:hAnsiTheme="majorHAnsi"/>
          <w:bCs/>
          <w:sz w:val="20"/>
          <w:szCs w:val="20"/>
          <w:lang w:val="es-ES_tradnl"/>
        </w:rPr>
        <w:t>2</w:t>
      </w:r>
      <w:r w:rsidR="003673A9">
        <w:rPr>
          <w:rFonts w:asciiTheme="majorHAnsi" w:hAnsiTheme="majorHAnsi"/>
          <w:bCs/>
          <w:sz w:val="20"/>
          <w:szCs w:val="20"/>
          <w:lang w:val="es-ES_tradnl"/>
        </w:rPr>
        <w:t>)</w:t>
      </w:r>
      <w:r w:rsidR="00C910E5" w:rsidRPr="003673A9">
        <w:rPr>
          <w:rFonts w:asciiTheme="majorHAnsi" w:hAnsiTheme="majorHAnsi"/>
          <w:bCs/>
          <w:sz w:val="20"/>
          <w:szCs w:val="20"/>
          <w:lang w:val="es-ES_tradnl"/>
        </w:rPr>
        <w:t xml:space="preserve"> de la Convención.  En tales casos, la Comisión debe determinar si la petición fue presentada en un tiempo razonable de conformidad con el artículo 32 de su Reglamento.</w:t>
      </w:r>
    </w:p>
    <w:p w:rsidR="007D692F" w:rsidRPr="003673A9" w:rsidRDefault="007D692F" w:rsidP="003673A9">
      <w:pPr>
        <w:rPr>
          <w:rFonts w:asciiTheme="majorHAnsi" w:hAnsiTheme="majorHAnsi"/>
          <w:sz w:val="20"/>
          <w:szCs w:val="20"/>
          <w:lang w:val="es-AR"/>
        </w:rPr>
      </w:pPr>
    </w:p>
    <w:p w:rsidR="00BB1098"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Con relación al presente reclamo, </w:t>
      </w:r>
      <w:r w:rsidRPr="00125B51">
        <w:rPr>
          <w:rFonts w:asciiTheme="majorHAnsi" w:hAnsiTheme="majorHAnsi"/>
          <w:sz w:val="20"/>
          <w:szCs w:val="20"/>
          <w:lang w:val="es-AR"/>
        </w:rPr>
        <w:t xml:space="preserve">la Comisión ya ha establecido </w:t>
      </w:r>
      <w:r w:rsidR="00C910E5" w:rsidRPr="00125B51">
        <w:rPr>
          <w:rFonts w:asciiTheme="majorHAnsi" w:hAnsiTheme="majorHAnsi"/>
          <w:sz w:val="20"/>
          <w:szCs w:val="20"/>
          <w:lang w:val="es-AR"/>
        </w:rPr>
        <w:t xml:space="preserve">que en el presente caso </w:t>
      </w:r>
      <w:r w:rsidR="00EE3C54" w:rsidRPr="00125B51">
        <w:rPr>
          <w:rFonts w:asciiTheme="majorHAnsi" w:hAnsiTheme="majorHAnsi"/>
          <w:sz w:val="20"/>
          <w:szCs w:val="20"/>
          <w:lang w:val="es-AR"/>
        </w:rPr>
        <w:t>se encuentra exceptuada de agotar los recursos de la jurisdicción interna</w:t>
      </w:r>
      <w:r w:rsidR="00C910E5" w:rsidRPr="00125B51">
        <w:rPr>
          <w:rFonts w:asciiTheme="majorHAnsi" w:hAnsiTheme="majorHAnsi"/>
          <w:sz w:val="20"/>
          <w:szCs w:val="20"/>
          <w:lang w:val="es-AR"/>
        </w:rPr>
        <w:t>.</w:t>
      </w:r>
      <w:r w:rsidR="00C910E5" w:rsidRPr="003673A9">
        <w:rPr>
          <w:rFonts w:asciiTheme="majorHAnsi" w:hAnsiTheme="majorHAnsi"/>
          <w:sz w:val="20"/>
          <w:szCs w:val="20"/>
          <w:lang w:val="es-AR"/>
        </w:rPr>
        <w:t xml:space="preserve"> Así, corresponde determinar si la petición fue presentada en un tiempo razonable después de ocurridos los hechos. </w:t>
      </w:r>
      <w:r w:rsidRPr="003673A9">
        <w:rPr>
          <w:rFonts w:asciiTheme="majorHAnsi" w:hAnsiTheme="majorHAnsi"/>
          <w:sz w:val="20"/>
          <w:szCs w:val="20"/>
          <w:lang w:val="es-AR"/>
        </w:rPr>
        <w:t xml:space="preserve"> </w:t>
      </w:r>
    </w:p>
    <w:p w:rsidR="00BB1098" w:rsidRPr="003673A9" w:rsidRDefault="00BB1098" w:rsidP="003673A9">
      <w:pPr>
        <w:pStyle w:val="ListParagraph"/>
        <w:rPr>
          <w:rFonts w:asciiTheme="majorHAnsi" w:hAnsiTheme="majorHAnsi"/>
          <w:sz w:val="20"/>
          <w:szCs w:val="20"/>
          <w:lang w:val="es-AR"/>
        </w:rPr>
      </w:pPr>
    </w:p>
    <w:p w:rsidR="007D692F" w:rsidRPr="00373C24" w:rsidRDefault="0011245B"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 xml:space="preserve">Se toma nota que los hechos alegados habrían incurrido el 25 de febrero de 2008, y que la petición fue presentada ante la CIDH el 14 de abril de 2009. </w:t>
      </w:r>
      <w:r w:rsidR="00C910E5" w:rsidRPr="003673A9">
        <w:rPr>
          <w:rFonts w:asciiTheme="majorHAnsi" w:hAnsiTheme="majorHAnsi"/>
          <w:bCs/>
          <w:iCs/>
          <w:sz w:val="20"/>
          <w:szCs w:val="20"/>
          <w:lang w:val="es-AR"/>
        </w:rPr>
        <w:t xml:space="preserve">En razón de </w:t>
      </w:r>
      <w:r w:rsidR="001B6D64">
        <w:rPr>
          <w:rFonts w:asciiTheme="majorHAnsi" w:hAnsiTheme="majorHAnsi"/>
          <w:bCs/>
          <w:iCs/>
          <w:sz w:val="20"/>
          <w:szCs w:val="20"/>
          <w:lang w:val="es-AR"/>
        </w:rPr>
        <w:t>ello</w:t>
      </w:r>
      <w:r w:rsidR="00C910E5" w:rsidRPr="003673A9">
        <w:rPr>
          <w:rFonts w:asciiTheme="majorHAnsi" w:hAnsiTheme="majorHAnsi"/>
          <w:bCs/>
          <w:iCs/>
          <w:sz w:val="20"/>
          <w:szCs w:val="20"/>
          <w:lang w:val="es-AR"/>
        </w:rPr>
        <w:t xml:space="preserve">, la CIDH considera que la petición fue </w:t>
      </w:r>
      <w:r w:rsidR="00C910E5" w:rsidRPr="00373C24">
        <w:rPr>
          <w:rFonts w:asciiTheme="majorHAnsi" w:hAnsiTheme="majorHAnsi"/>
          <w:bCs/>
          <w:iCs/>
          <w:sz w:val="20"/>
          <w:szCs w:val="20"/>
          <w:lang w:val="es-AR"/>
        </w:rPr>
        <w:t xml:space="preserve">presentada dentro de un plazo razonable. </w:t>
      </w:r>
    </w:p>
    <w:p w:rsidR="003673A9" w:rsidRPr="00373C24" w:rsidRDefault="003673A9" w:rsidP="003673A9">
      <w:pPr>
        <w:pStyle w:val="Heading1"/>
        <w:rPr>
          <w:color w:val="auto"/>
          <w:lang w:val="es-AR"/>
        </w:rPr>
      </w:pPr>
    </w:p>
    <w:p w:rsidR="007D692F" w:rsidRPr="00373C24" w:rsidRDefault="007D692F" w:rsidP="003673A9">
      <w:pPr>
        <w:pStyle w:val="Heading1"/>
        <w:rPr>
          <w:color w:val="auto"/>
          <w:lang w:val="es-AR"/>
        </w:rPr>
      </w:pPr>
      <w:r w:rsidRPr="00373C24">
        <w:rPr>
          <w:color w:val="auto"/>
          <w:lang w:val="es-AR"/>
        </w:rPr>
        <w:t>D.</w:t>
      </w:r>
      <w:r w:rsidRPr="00373C24">
        <w:rPr>
          <w:color w:val="auto"/>
          <w:lang w:val="es-AR"/>
        </w:rPr>
        <w:tab/>
        <w:t>Duplicación de procedimientos y cosa juzgada internacional</w:t>
      </w:r>
    </w:p>
    <w:p w:rsidR="007D692F" w:rsidRPr="003673A9" w:rsidRDefault="007D692F" w:rsidP="003673A9">
      <w:pPr>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bCs/>
          <w:sz w:val="20"/>
          <w:szCs w:val="20"/>
          <w:lang w:val="es-AR"/>
        </w:rPr>
        <w:t>El artículo 46</w:t>
      </w:r>
      <w:r w:rsidR="003673A9">
        <w:rPr>
          <w:rFonts w:asciiTheme="majorHAnsi" w:hAnsiTheme="majorHAnsi"/>
          <w:bCs/>
          <w:sz w:val="20"/>
          <w:szCs w:val="20"/>
          <w:lang w:val="es-AR"/>
        </w:rPr>
        <w:t>(</w:t>
      </w:r>
      <w:r w:rsidRPr="003673A9">
        <w:rPr>
          <w:rFonts w:asciiTheme="majorHAnsi" w:hAnsiTheme="majorHAnsi"/>
          <w:bCs/>
          <w:sz w:val="20"/>
          <w:szCs w:val="20"/>
          <w:lang w:val="es-AR"/>
        </w:rPr>
        <w:t>1</w:t>
      </w:r>
      <w:proofErr w:type="gramStart"/>
      <w:r w:rsidR="003673A9">
        <w:rPr>
          <w:rFonts w:asciiTheme="majorHAnsi" w:hAnsiTheme="majorHAnsi"/>
          <w:bCs/>
          <w:sz w:val="20"/>
          <w:szCs w:val="20"/>
          <w:lang w:val="es-AR"/>
        </w:rPr>
        <w:t>)(</w:t>
      </w:r>
      <w:proofErr w:type="gramEnd"/>
      <w:r w:rsidRPr="003673A9">
        <w:rPr>
          <w:rFonts w:asciiTheme="majorHAnsi" w:hAnsiTheme="majorHAnsi"/>
          <w:bCs/>
          <w:sz w:val="20"/>
          <w:szCs w:val="20"/>
          <w:lang w:val="es-AR"/>
        </w:rPr>
        <w:t xml:space="preserve">c) de la Convención dispone que la admisión de las peticiones está sujeta al requisito respecto a que la materia </w:t>
      </w:r>
      <w:r w:rsidRPr="003673A9">
        <w:rPr>
          <w:rFonts w:asciiTheme="majorHAnsi" w:hAnsiTheme="majorHAnsi" w:cs="Arial"/>
          <w:sz w:val="20"/>
          <w:szCs w:val="20"/>
          <w:lang w:val="es-AR"/>
        </w:rPr>
        <w:t>"</w:t>
      </w:r>
      <w:r w:rsidRPr="003673A9">
        <w:rPr>
          <w:rFonts w:asciiTheme="majorHAnsi" w:hAnsiTheme="majorHAnsi"/>
          <w:bCs/>
          <w:sz w:val="20"/>
          <w:szCs w:val="20"/>
          <w:lang w:val="es-AR"/>
        </w:rPr>
        <w:t>no esté pendiente de otro procedimiento de arreglo internacional</w:t>
      </w:r>
      <w:r w:rsidRPr="003673A9">
        <w:rPr>
          <w:rFonts w:asciiTheme="majorHAnsi" w:hAnsiTheme="majorHAnsi" w:cs="Arial"/>
          <w:sz w:val="20"/>
          <w:szCs w:val="20"/>
          <w:lang w:val="es-AR"/>
        </w:rPr>
        <w:t>"</w:t>
      </w:r>
      <w:r w:rsidR="00AC167C">
        <w:rPr>
          <w:rFonts w:asciiTheme="majorHAnsi" w:hAnsiTheme="majorHAnsi"/>
          <w:bCs/>
          <w:sz w:val="20"/>
          <w:szCs w:val="20"/>
          <w:lang w:val="es-AR"/>
        </w:rPr>
        <w:t xml:space="preserve"> y en el artículo 47(</w:t>
      </w:r>
      <w:r w:rsidRPr="003673A9">
        <w:rPr>
          <w:rFonts w:asciiTheme="majorHAnsi" w:hAnsiTheme="majorHAnsi"/>
          <w:bCs/>
          <w:sz w:val="20"/>
          <w:szCs w:val="20"/>
          <w:lang w:val="es-AR"/>
        </w:rPr>
        <w:t>d) de la Convención se estipula que la Comisión no admitirá la petición que sea sustancialmente la reproducción de petición o comunicación anterior ya examinada por la Comisión o por otro organismo internacional.</w:t>
      </w:r>
    </w:p>
    <w:p w:rsidR="007D692F" w:rsidRPr="003673A9" w:rsidRDefault="007D692F" w:rsidP="003673A9">
      <w:pPr>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73A9">
        <w:rPr>
          <w:rFonts w:asciiTheme="majorHAnsi" w:hAnsiTheme="majorHAnsi"/>
          <w:sz w:val="20"/>
          <w:szCs w:val="20"/>
          <w:lang w:val="es-AR"/>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w:t>
      </w:r>
      <w:proofErr w:type="gramStart"/>
      <w:r w:rsidRPr="003673A9">
        <w:rPr>
          <w:rFonts w:asciiTheme="majorHAnsi" w:hAnsiTheme="majorHAnsi"/>
          <w:sz w:val="20"/>
          <w:szCs w:val="20"/>
          <w:lang w:val="es-AR"/>
        </w:rPr>
        <w:t>)(</w:t>
      </w:r>
      <w:proofErr w:type="gramEnd"/>
      <w:r w:rsidRPr="003673A9">
        <w:rPr>
          <w:rFonts w:asciiTheme="majorHAnsi" w:hAnsiTheme="majorHAnsi"/>
          <w:sz w:val="20"/>
          <w:szCs w:val="20"/>
          <w:lang w:val="es-AR"/>
        </w:rPr>
        <w:t>c) y 47(d) de la Convención.</w:t>
      </w:r>
    </w:p>
    <w:p w:rsidR="003673A9" w:rsidRPr="00373C24" w:rsidRDefault="003673A9" w:rsidP="003673A9">
      <w:pPr>
        <w:pStyle w:val="Heading1"/>
        <w:rPr>
          <w:color w:val="auto"/>
          <w:lang w:val="es-AR"/>
        </w:rPr>
      </w:pPr>
    </w:p>
    <w:p w:rsidR="007D692F" w:rsidRPr="00373C24" w:rsidRDefault="007D692F" w:rsidP="003673A9">
      <w:pPr>
        <w:pStyle w:val="Heading1"/>
        <w:rPr>
          <w:color w:val="auto"/>
          <w:lang w:val="es-AR"/>
        </w:rPr>
      </w:pPr>
      <w:r w:rsidRPr="00373C24">
        <w:rPr>
          <w:color w:val="auto"/>
          <w:lang w:val="es-AR"/>
        </w:rPr>
        <w:t>E.</w:t>
      </w:r>
      <w:r w:rsidRPr="00373C24">
        <w:rPr>
          <w:color w:val="auto"/>
          <w:lang w:val="es-AR"/>
        </w:rPr>
        <w:tab/>
        <w:t>Caracterización de los hechos alegados</w:t>
      </w:r>
    </w:p>
    <w:p w:rsidR="007D692F" w:rsidRPr="003673A9" w:rsidRDefault="007D692F" w:rsidP="003673A9">
      <w:pPr>
        <w:rPr>
          <w:rFonts w:asciiTheme="majorHAnsi" w:hAnsiTheme="majorHAnsi"/>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lang w:val="es-AR"/>
        </w:rPr>
      </w:pPr>
      <w:r w:rsidRPr="003673A9">
        <w:rPr>
          <w:rFonts w:asciiTheme="majorHAnsi" w:hAnsiTheme="majorHAnsi"/>
          <w:sz w:val="20"/>
          <w:szCs w:val="20"/>
          <w:lang w:val="es-AR"/>
        </w:rPr>
        <w:t xml:space="preserve">A los fines de admisibilidad, la Comisión debe decidir si en la petición se exponen hechos que podrían caracterizar una violación, como estipula el artículo 47(b) de la Convención Americana, si la petición es </w:t>
      </w:r>
      <w:r w:rsidRPr="003673A9">
        <w:rPr>
          <w:rFonts w:asciiTheme="majorHAnsi" w:hAnsiTheme="majorHAnsi" w:cs="Arial"/>
          <w:sz w:val="20"/>
          <w:szCs w:val="20"/>
          <w:lang w:val="es-AR"/>
        </w:rPr>
        <w:t>“</w:t>
      </w:r>
      <w:r w:rsidRPr="003673A9">
        <w:rPr>
          <w:rFonts w:asciiTheme="majorHAnsi" w:hAnsiTheme="majorHAnsi"/>
          <w:sz w:val="20"/>
          <w:szCs w:val="20"/>
          <w:lang w:val="es-AR"/>
        </w:rPr>
        <w:t>manifiestamente infundada</w:t>
      </w:r>
      <w:r w:rsidRPr="003673A9">
        <w:rPr>
          <w:rFonts w:asciiTheme="majorHAnsi" w:hAnsiTheme="majorHAnsi" w:cs="Arial"/>
          <w:sz w:val="20"/>
          <w:szCs w:val="20"/>
          <w:lang w:val="es-AR"/>
        </w:rPr>
        <w:t>”</w:t>
      </w:r>
      <w:r w:rsidRPr="003673A9">
        <w:rPr>
          <w:rFonts w:asciiTheme="majorHAnsi" w:hAnsiTheme="majorHAnsi"/>
          <w:sz w:val="20"/>
          <w:szCs w:val="20"/>
          <w:lang w:val="es-AR"/>
        </w:rPr>
        <w:t xml:space="preserve"> o si es </w:t>
      </w:r>
      <w:r w:rsidRPr="003673A9">
        <w:rPr>
          <w:rFonts w:asciiTheme="majorHAnsi" w:hAnsiTheme="majorHAnsi" w:cs="Arial"/>
          <w:sz w:val="20"/>
          <w:szCs w:val="20"/>
          <w:lang w:val="es-AR"/>
        </w:rPr>
        <w:t>"</w:t>
      </w:r>
      <w:r w:rsidRPr="003673A9">
        <w:rPr>
          <w:rFonts w:asciiTheme="majorHAnsi" w:hAnsiTheme="majorHAnsi"/>
          <w:sz w:val="20"/>
          <w:szCs w:val="20"/>
          <w:lang w:val="es-AR"/>
        </w:rPr>
        <w:t>evidente su total improcedencia</w:t>
      </w:r>
      <w:r w:rsidRPr="003673A9">
        <w:rPr>
          <w:rFonts w:asciiTheme="majorHAnsi" w:hAnsiTheme="majorHAnsi" w:cs="Arial"/>
          <w:sz w:val="20"/>
          <w:szCs w:val="20"/>
          <w:lang w:val="es-AR"/>
        </w:rPr>
        <w:t>"</w:t>
      </w:r>
      <w:r w:rsidRPr="003673A9">
        <w:rPr>
          <w:rFonts w:asciiTheme="majorHAnsi" w:hAnsiTheme="majorHAnsi"/>
          <w:sz w:val="20"/>
          <w:szCs w:val="20"/>
          <w:lang w:val="es-AR"/>
        </w:rPr>
        <w:t xml:space="preserve">, según el inciso (c) del mismo artículo. El estándar de apreciación de estos extremos es diferente del requerido para decidir sobre los méritos de una denuncia. La Comisión debe realizar una evaluación </w:t>
      </w:r>
      <w:r w:rsidRPr="003673A9">
        <w:rPr>
          <w:rFonts w:asciiTheme="majorHAnsi" w:hAnsiTheme="majorHAnsi"/>
          <w:i/>
          <w:sz w:val="20"/>
          <w:szCs w:val="20"/>
          <w:lang w:val="es-AR"/>
        </w:rPr>
        <w:t>prima facie</w:t>
      </w:r>
      <w:r w:rsidRPr="003673A9">
        <w:rPr>
          <w:rFonts w:asciiTheme="majorHAnsi" w:hAnsiTheme="majorHAnsi"/>
          <w:sz w:val="20"/>
          <w:szCs w:val="20"/>
          <w:lang w:val="es-AR"/>
        </w:rPr>
        <w:t xml:space="preserv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7D692F" w:rsidRPr="003673A9" w:rsidRDefault="007D692F" w:rsidP="003673A9">
      <w:pPr>
        <w:rPr>
          <w:rFonts w:asciiTheme="majorHAnsi" w:hAnsiTheme="majorHAnsi" w:cs="Arial"/>
          <w:iCs/>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lang w:val="es-AR"/>
        </w:rPr>
      </w:pPr>
      <w:r w:rsidRPr="003673A9">
        <w:rPr>
          <w:rFonts w:asciiTheme="majorHAnsi" w:eastAsia="Times New Roman" w:hAnsiTheme="majorHAnsi"/>
          <w:iCs/>
          <w:sz w:val="20"/>
          <w:szCs w:val="20"/>
          <w:lang w:val="es-AR"/>
        </w:rPr>
        <w:t xml:space="preserve">La Convención Americana y el Reglamento de la CIDH no exigen al peticionario identificar los derechos específicos que se alegan violados por parte del Estado en el asunto sometido a la Comisión, </w:t>
      </w:r>
      <w:r w:rsidRPr="003673A9">
        <w:rPr>
          <w:rFonts w:asciiTheme="majorHAnsi" w:eastAsia="Times New Roman" w:hAnsiTheme="majorHAnsi"/>
          <w:iCs/>
          <w:sz w:val="20"/>
          <w:szCs w:val="20"/>
          <w:lang w:val="es-AR"/>
        </w:rPr>
        <w:lastRenderedPageBreak/>
        <w:t>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7D692F" w:rsidRPr="003673A9" w:rsidRDefault="007D692F" w:rsidP="003673A9">
      <w:pPr>
        <w:rPr>
          <w:rFonts w:asciiTheme="majorHAnsi" w:hAnsiTheme="majorHAnsi" w:cs="Arial"/>
          <w:iCs/>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673A9">
        <w:rPr>
          <w:rFonts w:asciiTheme="majorHAnsi" w:hAnsiTheme="majorHAnsi"/>
          <w:iCs/>
          <w:sz w:val="20"/>
          <w:szCs w:val="20"/>
          <w:lang w:val="es-AR"/>
        </w:rPr>
        <w:t xml:space="preserve">En vista de los elementos presentados en la etapa de admisibilidad, la CIDH considera que los hechos materia del reclamo sobre la presunta detención ilegal y arbitraria de Luis Alberto Rojas Marín y la </w:t>
      </w:r>
      <w:r w:rsidR="00BB1098" w:rsidRPr="003673A9">
        <w:rPr>
          <w:rFonts w:asciiTheme="majorHAnsi" w:hAnsiTheme="majorHAnsi"/>
          <w:iCs/>
          <w:sz w:val="20"/>
          <w:szCs w:val="20"/>
          <w:lang w:val="es-AR"/>
        </w:rPr>
        <w:t xml:space="preserve">alegada </w:t>
      </w:r>
      <w:r w:rsidRPr="003673A9">
        <w:rPr>
          <w:rFonts w:asciiTheme="majorHAnsi" w:hAnsiTheme="majorHAnsi"/>
          <w:iCs/>
          <w:sz w:val="20"/>
          <w:szCs w:val="20"/>
          <w:lang w:val="es-AR"/>
        </w:rPr>
        <w:t>comisión de actos de tortura y otros tratos crueles y degradantes en su contra, así como su falta de esclarecimiento judicial, podrían caracterizar violaciones de los derechos consagrados en los artículos 5</w:t>
      </w:r>
      <w:r w:rsidR="00383858" w:rsidRPr="003673A9">
        <w:rPr>
          <w:rFonts w:asciiTheme="majorHAnsi" w:hAnsiTheme="majorHAnsi"/>
          <w:iCs/>
          <w:sz w:val="20"/>
          <w:szCs w:val="20"/>
          <w:lang w:val="es-AR"/>
        </w:rPr>
        <w:t xml:space="preserve"> (derecho a la integridad personal)</w:t>
      </w:r>
      <w:r w:rsidRPr="003673A9">
        <w:rPr>
          <w:rFonts w:asciiTheme="majorHAnsi" w:hAnsiTheme="majorHAnsi"/>
          <w:iCs/>
          <w:sz w:val="20"/>
          <w:szCs w:val="20"/>
          <w:lang w:val="es-AR"/>
        </w:rPr>
        <w:t>, 7</w:t>
      </w:r>
      <w:r w:rsidR="00383858" w:rsidRPr="003673A9">
        <w:rPr>
          <w:rFonts w:asciiTheme="majorHAnsi" w:hAnsiTheme="majorHAnsi"/>
          <w:iCs/>
          <w:sz w:val="20"/>
          <w:szCs w:val="20"/>
          <w:lang w:val="es-AR"/>
        </w:rPr>
        <w:t xml:space="preserve"> (derecho a la libertad persona</w:t>
      </w:r>
      <w:r w:rsidR="000F583A" w:rsidRPr="003673A9">
        <w:rPr>
          <w:rFonts w:asciiTheme="majorHAnsi" w:hAnsiTheme="majorHAnsi"/>
          <w:iCs/>
          <w:sz w:val="20"/>
          <w:szCs w:val="20"/>
          <w:lang w:val="es-AR"/>
        </w:rPr>
        <w:t>l</w:t>
      </w:r>
      <w:r w:rsidR="00383858" w:rsidRPr="003673A9">
        <w:rPr>
          <w:rFonts w:asciiTheme="majorHAnsi" w:hAnsiTheme="majorHAnsi"/>
          <w:iCs/>
          <w:sz w:val="20"/>
          <w:szCs w:val="20"/>
          <w:lang w:val="es-AR"/>
        </w:rPr>
        <w:t>)</w:t>
      </w:r>
      <w:r w:rsidRPr="003673A9">
        <w:rPr>
          <w:rFonts w:asciiTheme="majorHAnsi" w:hAnsiTheme="majorHAnsi"/>
          <w:iCs/>
          <w:sz w:val="20"/>
          <w:szCs w:val="20"/>
          <w:lang w:val="es-AR"/>
        </w:rPr>
        <w:t>, 11</w:t>
      </w:r>
      <w:r w:rsidR="00383858" w:rsidRPr="003673A9">
        <w:rPr>
          <w:rFonts w:asciiTheme="majorHAnsi" w:hAnsiTheme="majorHAnsi"/>
          <w:iCs/>
          <w:sz w:val="20"/>
          <w:szCs w:val="20"/>
          <w:lang w:val="es-AR"/>
        </w:rPr>
        <w:t xml:space="preserve"> (</w:t>
      </w:r>
      <w:r w:rsidR="000F583A" w:rsidRPr="003673A9">
        <w:rPr>
          <w:rFonts w:asciiTheme="majorHAnsi" w:hAnsiTheme="majorHAnsi"/>
          <w:iCs/>
          <w:sz w:val="20"/>
          <w:szCs w:val="20"/>
          <w:lang w:val="es-AR"/>
        </w:rPr>
        <w:t>derecho al respeto a</w:t>
      </w:r>
      <w:r w:rsidR="00383858" w:rsidRPr="003673A9">
        <w:rPr>
          <w:rFonts w:asciiTheme="majorHAnsi" w:hAnsiTheme="majorHAnsi"/>
          <w:iCs/>
          <w:sz w:val="20"/>
          <w:szCs w:val="20"/>
          <w:lang w:val="es-AR"/>
        </w:rPr>
        <w:t xml:space="preserve"> la honra y la dignidad)</w:t>
      </w:r>
      <w:r w:rsidRPr="003673A9">
        <w:rPr>
          <w:rFonts w:asciiTheme="majorHAnsi" w:hAnsiTheme="majorHAnsi"/>
          <w:iCs/>
          <w:sz w:val="20"/>
          <w:szCs w:val="20"/>
          <w:lang w:val="es-AR"/>
        </w:rPr>
        <w:t xml:space="preserve">, 8 </w:t>
      </w:r>
      <w:r w:rsidR="00383858" w:rsidRPr="003673A9">
        <w:rPr>
          <w:rFonts w:asciiTheme="majorHAnsi" w:hAnsiTheme="majorHAnsi"/>
          <w:iCs/>
          <w:sz w:val="20"/>
          <w:szCs w:val="20"/>
          <w:lang w:val="es-AR"/>
        </w:rPr>
        <w:t xml:space="preserve">(garantías judiciales) </w:t>
      </w:r>
      <w:r w:rsidRPr="003673A9">
        <w:rPr>
          <w:rFonts w:asciiTheme="majorHAnsi" w:hAnsiTheme="majorHAnsi"/>
          <w:iCs/>
          <w:sz w:val="20"/>
          <w:szCs w:val="20"/>
          <w:lang w:val="es-AR"/>
        </w:rPr>
        <w:t xml:space="preserve">y 25 </w:t>
      </w:r>
      <w:r w:rsidR="00383858" w:rsidRPr="003673A9">
        <w:rPr>
          <w:rFonts w:asciiTheme="majorHAnsi" w:hAnsiTheme="majorHAnsi"/>
          <w:iCs/>
          <w:sz w:val="20"/>
          <w:szCs w:val="20"/>
          <w:lang w:val="es-AR"/>
        </w:rPr>
        <w:t xml:space="preserve">(protección judicial) </w:t>
      </w:r>
      <w:r w:rsidRPr="003673A9">
        <w:rPr>
          <w:rFonts w:asciiTheme="majorHAnsi" w:hAnsiTheme="majorHAnsi"/>
          <w:iCs/>
          <w:sz w:val="20"/>
          <w:szCs w:val="20"/>
          <w:lang w:val="es-AR"/>
        </w:rPr>
        <w:t xml:space="preserve">de la Convención Americana, en relación con las obligaciones establecidas en </w:t>
      </w:r>
      <w:r w:rsidR="00BB1098" w:rsidRPr="003673A9">
        <w:rPr>
          <w:rFonts w:asciiTheme="majorHAnsi" w:hAnsiTheme="majorHAnsi"/>
          <w:iCs/>
          <w:sz w:val="20"/>
          <w:szCs w:val="20"/>
          <w:lang w:val="es-AR"/>
        </w:rPr>
        <w:t>los artículos</w:t>
      </w:r>
      <w:r w:rsidRPr="003673A9">
        <w:rPr>
          <w:rFonts w:asciiTheme="majorHAnsi" w:hAnsiTheme="majorHAnsi"/>
          <w:iCs/>
          <w:sz w:val="20"/>
          <w:szCs w:val="20"/>
          <w:lang w:val="es-AR"/>
        </w:rPr>
        <w:t xml:space="preserve"> 1</w:t>
      </w:r>
      <w:r w:rsidR="00AC167C">
        <w:rPr>
          <w:rFonts w:asciiTheme="majorHAnsi" w:hAnsiTheme="majorHAnsi"/>
          <w:iCs/>
          <w:sz w:val="20"/>
          <w:szCs w:val="20"/>
          <w:lang w:val="es-AR"/>
        </w:rPr>
        <w:t>(</w:t>
      </w:r>
      <w:r w:rsidRPr="003673A9">
        <w:rPr>
          <w:rFonts w:asciiTheme="majorHAnsi" w:hAnsiTheme="majorHAnsi"/>
          <w:iCs/>
          <w:sz w:val="20"/>
          <w:szCs w:val="20"/>
          <w:lang w:val="es-AR"/>
        </w:rPr>
        <w:t>1</w:t>
      </w:r>
      <w:r w:rsidR="00AC167C">
        <w:rPr>
          <w:rFonts w:asciiTheme="majorHAnsi" w:hAnsiTheme="majorHAnsi"/>
          <w:iCs/>
          <w:sz w:val="20"/>
          <w:szCs w:val="20"/>
          <w:lang w:val="es-AR"/>
        </w:rPr>
        <w:t>)</w:t>
      </w:r>
      <w:r w:rsidR="000F583A" w:rsidRPr="003673A9">
        <w:rPr>
          <w:rFonts w:asciiTheme="majorHAnsi" w:hAnsiTheme="majorHAnsi"/>
          <w:iCs/>
          <w:sz w:val="20"/>
          <w:szCs w:val="20"/>
          <w:lang w:val="es-AR"/>
        </w:rPr>
        <w:t xml:space="preserve"> (obligación de respeto y garantía)</w:t>
      </w:r>
      <w:r w:rsidR="00BB1098" w:rsidRPr="003673A9">
        <w:rPr>
          <w:rFonts w:asciiTheme="majorHAnsi" w:hAnsiTheme="majorHAnsi"/>
          <w:iCs/>
          <w:sz w:val="20"/>
          <w:szCs w:val="20"/>
          <w:lang w:val="es-AR"/>
        </w:rPr>
        <w:t xml:space="preserve"> y 2</w:t>
      </w:r>
      <w:r w:rsidRPr="003673A9">
        <w:rPr>
          <w:rFonts w:asciiTheme="majorHAnsi" w:hAnsiTheme="majorHAnsi"/>
          <w:iCs/>
          <w:sz w:val="20"/>
          <w:szCs w:val="20"/>
          <w:lang w:val="es-AR"/>
        </w:rPr>
        <w:t xml:space="preserve"> </w:t>
      </w:r>
      <w:r w:rsidR="000F583A" w:rsidRPr="003673A9">
        <w:rPr>
          <w:rFonts w:asciiTheme="majorHAnsi" w:hAnsiTheme="majorHAnsi"/>
          <w:iCs/>
          <w:sz w:val="20"/>
          <w:szCs w:val="20"/>
          <w:lang w:val="es-AR"/>
        </w:rPr>
        <w:t xml:space="preserve">(obligación de adoptar disposiciones de derecho interno) </w:t>
      </w:r>
      <w:r w:rsidRPr="003673A9">
        <w:rPr>
          <w:rFonts w:asciiTheme="majorHAnsi" w:hAnsiTheme="majorHAnsi"/>
          <w:iCs/>
          <w:sz w:val="20"/>
          <w:szCs w:val="20"/>
          <w:lang w:val="es-AR"/>
        </w:rPr>
        <w:t xml:space="preserve">de dicho instrumento y de las obligaciones </w:t>
      </w:r>
      <w:r w:rsidR="005D3EF6">
        <w:rPr>
          <w:rFonts w:asciiTheme="majorHAnsi" w:hAnsiTheme="majorHAnsi"/>
          <w:iCs/>
          <w:sz w:val="20"/>
          <w:szCs w:val="20"/>
          <w:lang w:val="es-AR"/>
        </w:rPr>
        <w:t xml:space="preserve">de prevenir y sancionar la tortura </w:t>
      </w:r>
      <w:r w:rsidRPr="003673A9">
        <w:rPr>
          <w:rFonts w:asciiTheme="majorHAnsi" w:hAnsiTheme="majorHAnsi"/>
          <w:iCs/>
          <w:sz w:val="20"/>
          <w:szCs w:val="20"/>
          <w:lang w:val="es-AR"/>
        </w:rPr>
        <w:t>establecidas en los artículos 1</w:t>
      </w:r>
      <w:r w:rsidR="00122E99" w:rsidRPr="003673A9">
        <w:rPr>
          <w:rFonts w:asciiTheme="majorHAnsi" w:hAnsiTheme="majorHAnsi"/>
          <w:iCs/>
          <w:sz w:val="20"/>
          <w:szCs w:val="20"/>
          <w:lang w:val="es-AR"/>
        </w:rPr>
        <w:t>,</w:t>
      </w:r>
      <w:r w:rsidRPr="003673A9">
        <w:rPr>
          <w:rFonts w:asciiTheme="majorHAnsi" w:hAnsiTheme="majorHAnsi"/>
          <w:iCs/>
          <w:sz w:val="20"/>
          <w:szCs w:val="20"/>
          <w:lang w:val="es-AR"/>
        </w:rPr>
        <w:t xml:space="preserve"> 6 y 8 de la Convención Interamericana para</w:t>
      </w:r>
      <w:r w:rsidR="000F583A" w:rsidRPr="003673A9">
        <w:rPr>
          <w:rFonts w:asciiTheme="majorHAnsi" w:hAnsiTheme="majorHAnsi"/>
          <w:iCs/>
          <w:sz w:val="20"/>
          <w:szCs w:val="20"/>
          <w:lang w:val="es-AR"/>
        </w:rPr>
        <w:t xml:space="preserve"> Prevenir y</w:t>
      </w:r>
      <w:r w:rsidRPr="003673A9">
        <w:rPr>
          <w:rFonts w:asciiTheme="majorHAnsi" w:hAnsiTheme="majorHAnsi"/>
          <w:iCs/>
          <w:sz w:val="20"/>
          <w:szCs w:val="20"/>
          <w:lang w:val="es-AR"/>
        </w:rPr>
        <w:t xml:space="preserve"> Sancionar la Tortura. Asimismo, la Comisión considera que los hechos materia del reclamo podrían caracterizar la violación del </w:t>
      </w:r>
      <w:r w:rsidR="00BB1098" w:rsidRPr="003673A9">
        <w:rPr>
          <w:rFonts w:asciiTheme="majorHAnsi" w:hAnsiTheme="majorHAnsi"/>
          <w:iCs/>
          <w:sz w:val="20"/>
          <w:szCs w:val="20"/>
          <w:lang w:val="es-AR"/>
        </w:rPr>
        <w:t>artículo 5 (</w:t>
      </w:r>
      <w:r w:rsidRPr="003673A9">
        <w:rPr>
          <w:rFonts w:asciiTheme="majorHAnsi" w:hAnsiTheme="majorHAnsi"/>
          <w:iCs/>
          <w:sz w:val="20"/>
          <w:szCs w:val="20"/>
          <w:lang w:val="es-AR"/>
        </w:rPr>
        <w:t>derecho a la integridad personal</w:t>
      </w:r>
      <w:r w:rsidR="00BB1098" w:rsidRPr="003673A9">
        <w:rPr>
          <w:rFonts w:asciiTheme="majorHAnsi" w:hAnsiTheme="majorHAnsi"/>
          <w:iCs/>
          <w:sz w:val="20"/>
          <w:szCs w:val="20"/>
          <w:lang w:val="es-AR"/>
        </w:rPr>
        <w:t>)</w:t>
      </w:r>
      <w:r w:rsidRPr="003673A9">
        <w:rPr>
          <w:rFonts w:asciiTheme="majorHAnsi" w:hAnsiTheme="majorHAnsi"/>
          <w:iCs/>
          <w:sz w:val="20"/>
          <w:szCs w:val="20"/>
          <w:lang w:val="es-AR"/>
        </w:rPr>
        <w:t xml:space="preserve"> </w:t>
      </w:r>
      <w:r w:rsidR="00383858" w:rsidRPr="003673A9">
        <w:rPr>
          <w:rFonts w:asciiTheme="majorHAnsi" w:hAnsiTheme="majorHAnsi"/>
          <w:iCs/>
          <w:sz w:val="20"/>
          <w:szCs w:val="20"/>
          <w:lang w:val="es-AR"/>
        </w:rPr>
        <w:t xml:space="preserve">de la Convención Americana </w:t>
      </w:r>
      <w:r w:rsidRPr="003673A9">
        <w:rPr>
          <w:rFonts w:asciiTheme="majorHAnsi" w:hAnsiTheme="majorHAnsi"/>
          <w:iCs/>
          <w:sz w:val="20"/>
          <w:szCs w:val="20"/>
          <w:lang w:val="es-AR"/>
        </w:rPr>
        <w:t xml:space="preserve">en perjuicio de </w:t>
      </w:r>
      <w:r w:rsidRPr="003673A9">
        <w:rPr>
          <w:rFonts w:asciiTheme="majorHAnsi" w:hAnsiTheme="majorHAnsi"/>
          <w:sz w:val="20"/>
          <w:szCs w:val="20"/>
          <w:lang w:val="es-AR"/>
        </w:rPr>
        <w:t>la madre de Luis Alberto Rojas Marín, Juana Rosa Tanta Marín.</w:t>
      </w:r>
    </w:p>
    <w:p w:rsidR="007D692F" w:rsidRPr="003673A9" w:rsidRDefault="007D692F" w:rsidP="003673A9">
      <w:pPr>
        <w:pStyle w:val="ListParagraph"/>
        <w:ind w:left="0"/>
        <w:rPr>
          <w:rFonts w:asciiTheme="majorHAnsi" w:hAnsiTheme="majorHAnsi"/>
          <w:sz w:val="20"/>
          <w:szCs w:val="20"/>
          <w:lang w:val="es-ES"/>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lang w:val="es-AR"/>
        </w:rPr>
      </w:pPr>
      <w:r w:rsidRPr="003673A9">
        <w:rPr>
          <w:rFonts w:asciiTheme="majorHAnsi" w:hAnsiTheme="majorHAnsi"/>
          <w:sz w:val="20"/>
          <w:szCs w:val="20"/>
          <w:lang w:val="es-ES"/>
        </w:rPr>
        <w:t xml:space="preserve">Con relación a la presunta comisión de actos de discriminación en </w:t>
      </w:r>
      <w:r w:rsidR="001A73AD">
        <w:rPr>
          <w:rFonts w:asciiTheme="majorHAnsi" w:hAnsiTheme="majorHAnsi"/>
          <w:sz w:val="20"/>
          <w:szCs w:val="20"/>
          <w:lang w:val="es-ES"/>
        </w:rPr>
        <w:t xml:space="preserve">perjuicio de Luis Alberto Marín, </w:t>
      </w:r>
      <w:r w:rsidRPr="003673A9">
        <w:rPr>
          <w:rFonts w:asciiTheme="majorHAnsi" w:hAnsiTheme="majorHAnsi"/>
          <w:sz w:val="20"/>
          <w:szCs w:val="20"/>
          <w:lang w:val="es-ES"/>
        </w:rPr>
        <w:t xml:space="preserve">la Comisión </w:t>
      </w:r>
      <w:r w:rsidR="001A73AD">
        <w:rPr>
          <w:rFonts w:asciiTheme="majorHAnsi" w:hAnsiTheme="majorHAnsi"/>
          <w:sz w:val="20"/>
          <w:szCs w:val="20"/>
          <w:lang w:val="es-ES"/>
        </w:rPr>
        <w:t>observa que</w:t>
      </w:r>
      <w:r w:rsidRPr="003673A9">
        <w:rPr>
          <w:rFonts w:asciiTheme="majorHAnsi" w:hAnsiTheme="majorHAnsi"/>
          <w:sz w:val="20"/>
          <w:szCs w:val="20"/>
          <w:lang w:val="es-AR"/>
        </w:rPr>
        <w:t xml:space="preserve"> dados los alegatos formulados </w:t>
      </w:r>
      <w:r w:rsidR="001A73AD">
        <w:rPr>
          <w:rFonts w:asciiTheme="majorHAnsi" w:hAnsiTheme="majorHAnsi"/>
          <w:sz w:val="20"/>
          <w:szCs w:val="20"/>
          <w:lang w:val="es-AR"/>
        </w:rPr>
        <w:t>en relación con tratos discriminatorios por parte de distintos agentes estatales –en el marco de la detención y evacuación de pruebas, como la declaración y el examen médico legal-</w:t>
      </w:r>
      <w:r w:rsidRPr="003673A9">
        <w:rPr>
          <w:rFonts w:asciiTheme="majorHAnsi" w:hAnsiTheme="majorHAnsi"/>
          <w:sz w:val="20"/>
          <w:szCs w:val="20"/>
          <w:lang w:val="es-AR"/>
        </w:rPr>
        <w:t xml:space="preserve"> corresponderá determinar en la etapa de fondo la posible responsabilidad del Estado por la presunta violación del </w:t>
      </w:r>
      <w:r w:rsidR="0064752A" w:rsidRPr="003673A9">
        <w:rPr>
          <w:rFonts w:asciiTheme="majorHAnsi" w:hAnsiTheme="majorHAnsi"/>
          <w:sz w:val="20"/>
          <w:szCs w:val="20"/>
          <w:lang w:val="es-AR"/>
        </w:rPr>
        <w:t>derecho establecido en el</w:t>
      </w:r>
      <w:r w:rsidRPr="003673A9">
        <w:rPr>
          <w:rFonts w:asciiTheme="majorHAnsi" w:hAnsiTheme="majorHAnsi"/>
          <w:sz w:val="20"/>
          <w:szCs w:val="20"/>
          <w:lang w:val="es-AR"/>
        </w:rPr>
        <w:t xml:space="preserve"> artículo 24</w:t>
      </w:r>
      <w:r w:rsidR="0064752A" w:rsidRPr="003673A9">
        <w:rPr>
          <w:rFonts w:asciiTheme="majorHAnsi" w:hAnsiTheme="majorHAnsi"/>
          <w:sz w:val="20"/>
          <w:szCs w:val="20"/>
          <w:lang w:val="es-AR"/>
        </w:rPr>
        <w:t xml:space="preserve"> (</w:t>
      </w:r>
      <w:r w:rsidR="006B657C" w:rsidRPr="003673A9">
        <w:rPr>
          <w:rFonts w:asciiTheme="majorHAnsi" w:hAnsiTheme="majorHAnsi"/>
          <w:sz w:val="20"/>
          <w:szCs w:val="20"/>
          <w:lang w:val="es-AR"/>
        </w:rPr>
        <w:t>igualdad ante la ley)</w:t>
      </w:r>
      <w:r w:rsidRPr="003673A9">
        <w:rPr>
          <w:rFonts w:asciiTheme="majorHAnsi" w:hAnsiTheme="majorHAnsi"/>
          <w:sz w:val="20"/>
          <w:szCs w:val="20"/>
          <w:lang w:val="es-AR"/>
        </w:rPr>
        <w:t xml:space="preserve"> de la Convención Americana, en conexión </w:t>
      </w:r>
      <w:r w:rsidR="00BB1098" w:rsidRPr="003673A9">
        <w:rPr>
          <w:rFonts w:asciiTheme="majorHAnsi" w:hAnsiTheme="majorHAnsi"/>
          <w:sz w:val="20"/>
          <w:szCs w:val="20"/>
          <w:lang w:val="es-AR"/>
        </w:rPr>
        <w:t>con el artículo 1(1) del mismo t</w:t>
      </w:r>
      <w:r w:rsidRPr="003673A9">
        <w:rPr>
          <w:rFonts w:asciiTheme="majorHAnsi" w:hAnsiTheme="majorHAnsi"/>
          <w:sz w:val="20"/>
          <w:szCs w:val="20"/>
          <w:lang w:val="es-AR"/>
        </w:rPr>
        <w:t>ratado.</w:t>
      </w:r>
    </w:p>
    <w:p w:rsidR="007D692F" w:rsidRPr="003673A9" w:rsidRDefault="007D692F" w:rsidP="003673A9">
      <w:pPr>
        <w:rPr>
          <w:rFonts w:asciiTheme="majorHAnsi" w:hAnsiTheme="majorHAnsi"/>
          <w:iCs/>
          <w:sz w:val="20"/>
          <w:szCs w:val="20"/>
          <w:lang w:val="es-AR"/>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lang w:val="es-AR"/>
        </w:rPr>
      </w:pPr>
      <w:r w:rsidRPr="003673A9">
        <w:rPr>
          <w:rFonts w:asciiTheme="majorHAnsi" w:hAnsiTheme="majorHAnsi"/>
          <w:sz w:val="20"/>
          <w:szCs w:val="20"/>
          <w:lang w:val="es-AR"/>
        </w:rPr>
        <w:t xml:space="preserve">Finalmente, por cuanto la falta de fundamento o la improcedencia de </w:t>
      </w:r>
      <w:r w:rsidR="001B6D64">
        <w:rPr>
          <w:rFonts w:asciiTheme="majorHAnsi" w:hAnsiTheme="majorHAnsi"/>
          <w:sz w:val="20"/>
          <w:szCs w:val="20"/>
          <w:lang w:val="es-AR"/>
        </w:rPr>
        <w:t>los alegatos</w:t>
      </w:r>
      <w:r w:rsidRPr="003673A9">
        <w:rPr>
          <w:rFonts w:asciiTheme="majorHAnsi" w:hAnsiTheme="majorHAnsi"/>
          <w:sz w:val="20"/>
          <w:szCs w:val="20"/>
          <w:lang w:val="es-AR"/>
        </w:rPr>
        <w:t xml:space="preserve"> de los peticionarios no resultan evidentes, la Comisión concluye que la petición satisface los requisitos e</w:t>
      </w:r>
      <w:r w:rsidR="00AC167C">
        <w:rPr>
          <w:rFonts w:asciiTheme="majorHAnsi" w:hAnsiTheme="majorHAnsi"/>
          <w:sz w:val="20"/>
          <w:szCs w:val="20"/>
          <w:lang w:val="es-AR"/>
        </w:rPr>
        <w:t>stablecidos en los artículos 47(</w:t>
      </w:r>
      <w:r w:rsidRPr="003673A9">
        <w:rPr>
          <w:rFonts w:asciiTheme="majorHAnsi" w:hAnsiTheme="majorHAnsi"/>
          <w:sz w:val="20"/>
          <w:szCs w:val="20"/>
          <w:lang w:val="es-AR"/>
        </w:rPr>
        <w:t xml:space="preserve">b) y </w:t>
      </w:r>
      <w:r w:rsidR="001B6D64">
        <w:rPr>
          <w:rFonts w:asciiTheme="majorHAnsi" w:hAnsiTheme="majorHAnsi"/>
          <w:sz w:val="20"/>
          <w:szCs w:val="20"/>
          <w:lang w:val="es-AR"/>
        </w:rPr>
        <w:t>(</w:t>
      </w:r>
      <w:r w:rsidRPr="003673A9">
        <w:rPr>
          <w:rFonts w:asciiTheme="majorHAnsi" w:hAnsiTheme="majorHAnsi"/>
          <w:sz w:val="20"/>
          <w:szCs w:val="20"/>
          <w:lang w:val="es-AR"/>
        </w:rPr>
        <w:t>c) de la Convención Americana.</w:t>
      </w:r>
    </w:p>
    <w:p w:rsidR="003673A9" w:rsidRPr="00373C24" w:rsidRDefault="003673A9" w:rsidP="003673A9">
      <w:pPr>
        <w:pStyle w:val="Heading1"/>
        <w:rPr>
          <w:color w:val="auto"/>
          <w:lang w:val="es-ES"/>
        </w:rPr>
      </w:pPr>
    </w:p>
    <w:p w:rsidR="007D692F" w:rsidRPr="00373C24" w:rsidRDefault="007D692F" w:rsidP="003673A9">
      <w:pPr>
        <w:pStyle w:val="Heading1"/>
        <w:rPr>
          <w:color w:val="auto"/>
        </w:rPr>
      </w:pPr>
      <w:r w:rsidRPr="00373C24">
        <w:rPr>
          <w:color w:val="auto"/>
        </w:rPr>
        <w:t>V.</w:t>
      </w:r>
      <w:r w:rsidRPr="00373C24">
        <w:rPr>
          <w:color w:val="auto"/>
        </w:rPr>
        <w:tab/>
        <w:t>CONCLUSIONES</w:t>
      </w:r>
    </w:p>
    <w:p w:rsidR="007D692F" w:rsidRPr="003673A9" w:rsidRDefault="007D692F" w:rsidP="003673A9">
      <w:pPr>
        <w:rPr>
          <w:rFonts w:asciiTheme="majorHAnsi" w:hAnsiTheme="majorHAnsi" w:cs="Arial"/>
          <w:iCs/>
          <w:sz w:val="20"/>
          <w:szCs w:val="20"/>
        </w:rPr>
      </w:pPr>
    </w:p>
    <w:p w:rsidR="007D692F" w:rsidRPr="003673A9" w:rsidRDefault="007D692F" w:rsidP="003673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iCs/>
          <w:sz w:val="20"/>
          <w:szCs w:val="20"/>
          <w:lang w:val="es-AR"/>
        </w:rPr>
      </w:pPr>
      <w:r w:rsidRPr="003673A9">
        <w:rPr>
          <w:rFonts w:asciiTheme="majorHAnsi" w:hAnsiTheme="majorHAnsi"/>
          <w:sz w:val="20"/>
          <w:szCs w:val="20"/>
          <w:lang w:val="es-AR"/>
        </w:rPr>
        <w:t>Con fundamento en las consideraciones de hecho y de derecho expuestas, y sin prejuzgar sobre el fondo de la cuestión, la Comisión Interamericana concluye que el presente reclamo satisface los requisitos de admisibilidad enunciados en los artículos 46 y 47 de la Convención Americana y en consecuencia</w:t>
      </w:r>
    </w:p>
    <w:p w:rsidR="007D692F" w:rsidRPr="003673A9" w:rsidRDefault="007D692F" w:rsidP="003673A9">
      <w:pPr>
        <w:rPr>
          <w:rFonts w:asciiTheme="majorHAnsi" w:hAnsiTheme="majorHAnsi"/>
          <w:i/>
          <w:sz w:val="20"/>
          <w:szCs w:val="20"/>
          <w:lang w:val="es-AR"/>
        </w:rPr>
      </w:pPr>
    </w:p>
    <w:p w:rsidR="007D692F" w:rsidRPr="003673A9" w:rsidRDefault="007D692F" w:rsidP="003673A9">
      <w:pPr>
        <w:jc w:val="center"/>
        <w:rPr>
          <w:rFonts w:asciiTheme="majorHAnsi" w:hAnsiTheme="majorHAnsi"/>
          <w:b/>
          <w:sz w:val="20"/>
          <w:szCs w:val="20"/>
          <w:lang w:val="es-AR"/>
        </w:rPr>
      </w:pPr>
      <w:r w:rsidRPr="003673A9">
        <w:rPr>
          <w:rFonts w:asciiTheme="majorHAnsi" w:hAnsiTheme="majorHAnsi"/>
          <w:b/>
          <w:sz w:val="20"/>
          <w:szCs w:val="20"/>
          <w:lang w:val="es-AR"/>
        </w:rPr>
        <w:t>LA COMISIÓN INTERAMERICANA DE DERECHOS HUMANOS,</w:t>
      </w:r>
    </w:p>
    <w:p w:rsidR="007D692F" w:rsidRPr="003673A9" w:rsidRDefault="007D692F" w:rsidP="003673A9">
      <w:pPr>
        <w:rPr>
          <w:rFonts w:asciiTheme="majorHAnsi" w:hAnsiTheme="majorHAnsi"/>
          <w:b/>
          <w:sz w:val="20"/>
          <w:szCs w:val="20"/>
        </w:rPr>
      </w:pPr>
      <w:r w:rsidRPr="003673A9">
        <w:rPr>
          <w:rFonts w:asciiTheme="majorHAnsi" w:hAnsiTheme="majorHAnsi"/>
          <w:b/>
          <w:sz w:val="20"/>
          <w:szCs w:val="20"/>
        </w:rPr>
        <w:t>DECIDE:</w:t>
      </w:r>
    </w:p>
    <w:p w:rsidR="007D692F" w:rsidRPr="003673A9" w:rsidRDefault="007D692F" w:rsidP="003673A9">
      <w:pPr>
        <w:tabs>
          <w:tab w:val="left" w:pos="1440"/>
        </w:tabs>
        <w:ind w:firstLine="720"/>
        <w:rPr>
          <w:rFonts w:asciiTheme="majorHAnsi" w:hAnsiTheme="majorHAnsi"/>
          <w:b/>
          <w:sz w:val="20"/>
          <w:szCs w:val="20"/>
        </w:rPr>
      </w:pPr>
    </w:p>
    <w:p w:rsidR="007D692F" w:rsidRPr="003673A9" w:rsidRDefault="007D692F" w:rsidP="003673A9">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AR"/>
        </w:rPr>
      </w:pPr>
      <w:r w:rsidRPr="003673A9">
        <w:rPr>
          <w:rFonts w:asciiTheme="majorHAnsi" w:hAnsiTheme="majorHAnsi"/>
          <w:sz w:val="20"/>
          <w:szCs w:val="20"/>
          <w:lang w:val="es-AR"/>
        </w:rPr>
        <w:t xml:space="preserve">Declarar admisible la petición con relación a los artículos 5, 7, 8, 11, 24 y 25 de la Convención Americana en conexión con las obligaciones </w:t>
      </w:r>
      <w:r w:rsidR="00AC167C">
        <w:rPr>
          <w:rFonts w:asciiTheme="majorHAnsi" w:hAnsiTheme="majorHAnsi"/>
          <w:sz w:val="20"/>
          <w:szCs w:val="20"/>
          <w:lang w:val="es-AR"/>
        </w:rPr>
        <w:t>establecidas en los artículos 1(</w:t>
      </w:r>
      <w:r w:rsidRPr="003673A9">
        <w:rPr>
          <w:rFonts w:asciiTheme="majorHAnsi" w:hAnsiTheme="majorHAnsi"/>
          <w:sz w:val="20"/>
          <w:szCs w:val="20"/>
          <w:lang w:val="es-AR"/>
        </w:rPr>
        <w:t>1</w:t>
      </w:r>
      <w:r w:rsidR="00AC167C">
        <w:rPr>
          <w:rFonts w:asciiTheme="majorHAnsi" w:hAnsiTheme="majorHAnsi"/>
          <w:sz w:val="20"/>
          <w:szCs w:val="20"/>
          <w:lang w:val="es-AR"/>
        </w:rPr>
        <w:t>)</w:t>
      </w:r>
      <w:r w:rsidRPr="003673A9">
        <w:rPr>
          <w:rFonts w:asciiTheme="majorHAnsi" w:hAnsiTheme="majorHAnsi"/>
          <w:sz w:val="20"/>
          <w:szCs w:val="20"/>
          <w:lang w:val="es-AR"/>
        </w:rPr>
        <w:t xml:space="preserve"> </w:t>
      </w:r>
      <w:r w:rsidR="00BB1098" w:rsidRPr="003673A9">
        <w:rPr>
          <w:rFonts w:asciiTheme="majorHAnsi" w:hAnsiTheme="majorHAnsi"/>
          <w:sz w:val="20"/>
          <w:szCs w:val="20"/>
          <w:lang w:val="es-AR"/>
        </w:rPr>
        <w:t>y 2</w:t>
      </w:r>
      <w:r w:rsidRPr="003673A9">
        <w:rPr>
          <w:rFonts w:asciiTheme="majorHAnsi" w:hAnsiTheme="majorHAnsi"/>
          <w:sz w:val="20"/>
          <w:szCs w:val="20"/>
          <w:lang w:val="es-AR"/>
        </w:rPr>
        <w:t xml:space="preserve"> del mismo instrumento; y co</w:t>
      </w:r>
      <w:r w:rsidR="00122E99" w:rsidRPr="003673A9">
        <w:rPr>
          <w:rFonts w:asciiTheme="majorHAnsi" w:hAnsiTheme="majorHAnsi"/>
          <w:sz w:val="20"/>
          <w:szCs w:val="20"/>
          <w:lang w:val="es-AR"/>
        </w:rPr>
        <w:t xml:space="preserve">n relación a los artículos 1, </w:t>
      </w:r>
      <w:r w:rsidRPr="003673A9">
        <w:rPr>
          <w:rFonts w:asciiTheme="majorHAnsi" w:hAnsiTheme="majorHAnsi"/>
          <w:sz w:val="20"/>
          <w:szCs w:val="20"/>
          <w:lang w:val="es-AR"/>
        </w:rPr>
        <w:t xml:space="preserve">6 y 8 de la Convención Interamericana para Prevenir y Sancionar la Tortura. </w:t>
      </w:r>
    </w:p>
    <w:p w:rsidR="007D692F" w:rsidRPr="003673A9" w:rsidRDefault="007D692F" w:rsidP="003673A9">
      <w:pPr>
        <w:tabs>
          <w:tab w:val="left" w:pos="1440"/>
        </w:tabs>
        <w:rPr>
          <w:rFonts w:asciiTheme="majorHAnsi" w:hAnsiTheme="majorHAnsi"/>
          <w:sz w:val="20"/>
          <w:szCs w:val="20"/>
          <w:lang w:val="es-AR"/>
        </w:rPr>
      </w:pPr>
      <w:r w:rsidRPr="003673A9">
        <w:rPr>
          <w:rFonts w:asciiTheme="majorHAnsi" w:hAnsiTheme="majorHAnsi"/>
          <w:sz w:val="20"/>
          <w:szCs w:val="20"/>
          <w:lang w:val="es-AR"/>
        </w:rPr>
        <w:t xml:space="preserve"> </w:t>
      </w:r>
    </w:p>
    <w:p w:rsidR="007D692F" w:rsidRPr="003673A9" w:rsidRDefault="007D692F" w:rsidP="003673A9">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AR"/>
        </w:rPr>
      </w:pPr>
      <w:r w:rsidRPr="003673A9">
        <w:rPr>
          <w:rFonts w:asciiTheme="majorHAnsi" w:hAnsiTheme="majorHAnsi"/>
          <w:sz w:val="20"/>
          <w:szCs w:val="20"/>
          <w:lang w:val="es-AR"/>
        </w:rPr>
        <w:t>Notificar esta decisión al Estado y a los peticionarios.</w:t>
      </w:r>
    </w:p>
    <w:p w:rsidR="007D692F" w:rsidRPr="003673A9" w:rsidRDefault="007D692F" w:rsidP="003673A9">
      <w:pPr>
        <w:tabs>
          <w:tab w:val="left" w:pos="1440"/>
        </w:tabs>
        <w:rPr>
          <w:rFonts w:asciiTheme="majorHAnsi" w:hAnsiTheme="majorHAnsi"/>
          <w:sz w:val="20"/>
          <w:szCs w:val="20"/>
          <w:lang w:val="es-AR"/>
        </w:rPr>
      </w:pPr>
    </w:p>
    <w:p w:rsidR="007D692F" w:rsidRPr="003673A9" w:rsidRDefault="007D692F" w:rsidP="003673A9">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AR"/>
        </w:rPr>
      </w:pPr>
      <w:r w:rsidRPr="003673A9">
        <w:rPr>
          <w:rFonts w:asciiTheme="majorHAnsi" w:hAnsiTheme="majorHAnsi"/>
          <w:sz w:val="20"/>
          <w:szCs w:val="20"/>
          <w:lang w:val="es-AR"/>
        </w:rPr>
        <w:t>Iniciar el trámite sobre el fondo de la cuestión.</w:t>
      </w:r>
    </w:p>
    <w:p w:rsidR="007D692F" w:rsidRPr="003673A9" w:rsidRDefault="007D692F" w:rsidP="003673A9">
      <w:pPr>
        <w:tabs>
          <w:tab w:val="left" w:pos="1440"/>
        </w:tabs>
        <w:rPr>
          <w:rFonts w:asciiTheme="majorHAnsi" w:hAnsiTheme="majorHAnsi"/>
          <w:sz w:val="20"/>
          <w:szCs w:val="20"/>
          <w:lang w:val="es-AR"/>
        </w:rPr>
      </w:pPr>
    </w:p>
    <w:p w:rsidR="007D692F" w:rsidRPr="003673A9" w:rsidRDefault="007D692F" w:rsidP="003673A9">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AR"/>
        </w:rPr>
      </w:pPr>
      <w:r w:rsidRPr="003673A9">
        <w:rPr>
          <w:rFonts w:asciiTheme="majorHAnsi" w:hAnsiTheme="majorHAnsi"/>
          <w:sz w:val="20"/>
          <w:szCs w:val="20"/>
          <w:lang w:val="es-AR"/>
        </w:rPr>
        <w:t>Publicar esta decisión e incluirla en el Informe Anual, a ser presentado a la Asamblea General de la OEA.</w:t>
      </w:r>
    </w:p>
    <w:p w:rsidR="007D692F" w:rsidRDefault="007D692F" w:rsidP="003673A9">
      <w:pPr>
        <w:tabs>
          <w:tab w:val="left" w:pos="1440"/>
        </w:tabs>
        <w:rPr>
          <w:rFonts w:asciiTheme="majorHAnsi" w:hAnsiTheme="majorHAnsi"/>
          <w:sz w:val="20"/>
          <w:szCs w:val="20"/>
          <w:lang w:val="es-AR"/>
        </w:rPr>
      </w:pPr>
    </w:p>
    <w:p w:rsidR="000079A1" w:rsidRPr="000079A1" w:rsidRDefault="000079A1" w:rsidP="000079A1">
      <w:pPr>
        <w:ind w:firstLine="720"/>
        <w:jc w:val="both"/>
        <w:rPr>
          <w:rFonts w:ascii="Cambria" w:hAnsi="Cambria" w:cs="Arial"/>
          <w:noProof/>
          <w:spacing w:val="-2"/>
          <w:sz w:val="20"/>
          <w:szCs w:val="20"/>
          <w:lang w:val="es-CL"/>
        </w:rPr>
      </w:pPr>
      <w:r w:rsidRPr="000079A1">
        <w:rPr>
          <w:rFonts w:ascii="Cambria" w:hAnsi="Cambria" w:cs="Arial"/>
          <w:noProof/>
          <w:spacing w:val="-2"/>
          <w:sz w:val="20"/>
          <w:szCs w:val="20"/>
          <w:lang w:val="es-CL"/>
        </w:rPr>
        <w:t>Dado y firmado en la ciudad de Washington, D.C., a los 6 días del mes de noviembre de 2014.  (Firmado): Tracy Robinson, Presidenta; Rose-Marie Belle Antoine, Primera Vicepresidenta; Felipe González, Segundo Vicepresidente; José de Jesús Orozco Henríquez, Paulo Vannuchi y James L. Cavallaro, Miembros de la Comisión.</w:t>
      </w:r>
      <w:r w:rsidRPr="000079A1">
        <w:rPr>
          <w:rFonts w:ascii="Cambria" w:hAnsi="Cambria" w:cs="Arial"/>
          <w:noProof/>
          <w:sz w:val="20"/>
          <w:szCs w:val="20"/>
          <w:lang w:val="es-CL"/>
        </w:rPr>
        <w:t xml:space="preserve"> </w:t>
      </w:r>
      <w:bookmarkStart w:id="4" w:name="_GoBack"/>
      <w:bookmarkEnd w:id="4"/>
    </w:p>
    <w:sectPr w:rsidR="000079A1" w:rsidRPr="000079A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66" w:rsidRDefault="004E7366">
      <w:r>
        <w:separator/>
      </w:r>
    </w:p>
  </w:endnote>
  <w:endnote w:type="continuationSeparator" w:id="0">
    <w:p w:rsidR="004E7366" w:rsidRDefault="004E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5B4F2C" w:rsidRPr="00934A2C" w:rsidRDefault="005B4F2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D4A8D">
          <w:rPr>
            <w:noProof/>
            <w:sz w:val="16"/>
            <w:szCs w:val="22"/>
          </w:rPr>
          <w:t>11</w:t>
        </w:r>
        <w:r w:rsidRPr="00934A2C">
          <w:rPr>
            <w:noProof/>
            <w:sz w:val="16"/>
            <w:szCs w:val="22"/>
          </w:rPr>
          <w:fldChar w:fldCharType="end"/>
        </w:r>
      </w:p>
    </w:sdtContent>
  </w:sdt>
  <w:p w:rsidR="005B4F2C" w:rsidRDefault="005B4F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2C" w:rsidRPr="00934A2C" w:rsidRDefault="005B4F2C">
    <w:pPr>
      <w:pStyle w:val="Footer"/>
      <w:jc w:val="center"/>
      <w:rPr>
        <w:sz w:val="16"/>
        <w:szCs w:val="22"/>
      </w:rPr>
    </w:pPr>
  </w:p>
  <w:p w:rsidR="005B4F2C" w:rsidRDefault="005B4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66" w:rsidRPr="000F35ED" w:rsidRDefault="004E736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E7366" w:rsidRPr="000F35ED" w:rsidRDefault="004E7366" w:rsidP="000F35ED">
      <w:pPr>
        <w:rPr>
          <w:rFonts w:asciiTheme="majorHAnsi" w:hAnsiTheme="majorHAnsi"/>
          <w:sz w:val="16"/>
          <w:szCs w:val="16"/>
        </w:rPr>
      </w:pPr>
      <w:r w:rsidRPr="000F35ED">
        <w:rPr>
          <w:rFonts w:asciiTheme="majorHAnsi" w:hAnsiTheme="majorHAnsi"/>
          <w:sz w:val="16"/>
          <w:szCs w:val="16"/>
        </w:rPr>
        <w:separator/>
      </w:r>
    </w:p>
    <w:p w:rsidR="004E7366" w:rsidRPr="000F35ED" w:rsidRDefault="004E736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E7366" w:rsidRPr="000F35ED" w:rsidRDefault="004E736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B4F2C" w:rsidRPr="00373C24" w:rsidRDefault="005B4F2C" w:rsidP="00A82130">
      <w:pPr>
        <w:pStyle w:val="FootnoteText"/>
        <w:jc w:val="both"/>
        <w:rPr>
          <w:rFonts w:asciiTheme="majorHAnsi" w:hAnsiTheme="majorHAnsi"/>
          <w:sz w:val="18"/>
          <w:szCs w:val="18"/>
          <w:lang w:val="es-AR"/>
        </w:rPr>
      </w:pPr>
      <w:r w:rsidRPr="00373C24">
        <w:rPr>
          <w:rStyle w:val="FootnoteReference"/>
          <w:rFonts w:asciiTheme="majorHAnsi" w:hAnsiTheme="majorHAnsi"/>
          <w:sz w:val="18"/>
          <w:szCs w:val="18"/>
        </w:rPr>
        <w:footnoteRef/>
      </w:r>
      <w:r w:rsidRPr="00373C24">
        <w:rPr>
          <w:rFonts w:asciiTheme="majorHAnsi" w:hAnsiTheme="majorHAnsi"/>
          <w:sz w:val="18"/>
          <w:szCs w:val="18"/>
          <w:lang w:val="es-AR"/>
        </w:rPr>
        <w:t xml:space="preserve"> Auto de sobreseimiento Nº6 del 9 de enero de 2009 concedido por el Juez Penal de Investigación Preparatoria.</w:t>
      </w:r>
    </w:p>
  </w:footnote>
  <w:footnote w:id="3">
    <w:p w:rsidR="005B4F2C" w:rsidRPr="00A82130" w:rsidRDefault="005B4F2C" w:rsidP="00A82130">
      <w:pPr>
        <w:pStyle w:val="FootnoteText"/>
        <w:jc w:val="both"/>
        <w:rPr>
          <w:rFonts w:asciiTheme="majorHAnsi" w:hAnsiTheme="majorHAnsi"/>
          <w:sz w:val="18"/>
          <w:szCs w:val="18"/>
          <w:lang w:val="es-ES"/>
        </w:rPr>
      </w:pPr>
      <w:r w:rsidRPr="00A82130">
        <w:rPr>
          <w:rStyle w:val="FootnoteReference"/>
          <w:rFonts w:asciiTheme="majorHAnsi" w:hAnsiTheme="majorHAnsi"/>
          <w:sz w:val="18"/>
          <w:szCs w:val="18"/>
        </w:rPr>
        <w:footnoteRef/>
      </w:r>
      <w:r w:rsidRPr="00A82130">
        <w:rPr>
          <w:rFonts w:asciiTheme="majorHAnsi" w:hAnsiTheme="majorHAnsi"/>
          <w:sz w:val="18"/>
          <w:szCs w:val="18"/>
          <w:lang w:val="es-ES"/>
        </w:rPr>
        <w:t xml:space="preserve"> Ministerio Público, Segundo Despacho de la Fiscalía Provincial Penal Corporativa de </w:t>
      </w:r>
      <w:proofErr w:type="spellStart"/>
      <w:r w:rsidRPr="00A82130">
        <w:rPr>
          <w:rFonts w:asciiTheme="majorHAnsi" w:hAnsiTheme="majorHAnsi"/>
          <w:sz w:val="18"/>
          <w:szCs w:val="18"/>
          <w:lang w:val="es-ES"/>
        </w:rPr>
        <w:t>Ascope</w:t>
      </w:r>
      <w:proofErr w:type="spellEnd"/>
      <w:r w:rsidRPr="00A82130">
        <w:rPr>
          <w:rFonts w:asciiTheme="majorHAnsi" w:hAnsiTheme="majorHAnsi"/>
          <w:sz w:val="18"/>
          <w:szCs w:val="18"/>
          <w:lang w:val="es-ES"/>
        </w:rPr>
        <w:t xml:space="preserve">, “Disposición de No Ha Lugar Ampliación Investigación Preparatoria”, Caso No. 113-2008-MP/2º DFPPC-A, 16 de junio de 2008, </w:t>
      </w:r>
      <w:proofErr w:type="spellStart"/>
      <w:r w:rsidRPr="00A82130">
        <w:rPr>
          <w:rFonts w:asciiTheme="majorHAnsi" w:hAnsiTheme="majorHAnsi"/>
          <w:sz w:val="18"/>
          <w:szCs w:val="18"/>
          <w:lang w:val="es-ES"/>
        </w:rPr>
        <w:t>Ascope</w:t>
      </w:r>
      <w:proofErr w:type="spellEnd"/>
      <w:r w:rsidRPr="00A82130">
        <w:rPr>
          <w:rFonts w:asciiTheme="majorHAnsi" w:hAnsiTheme="majorHAnsi"/>
          <w:sz w:val="18"/>
          <w:szCs w:val="18"/>
          <w:lang w:val="es-ES"/>
        </w:rPr>
        <w:t xml:space="preserve">. Anexo al escrito de los peticionarios, recibido el 22 de abril de 2009. </w:t>
      </w:r>
    </w:p>
  </w:footnote>
  <w:footnote w:id="4">
    <w:p w:rsidR="00C23812" w:rsidRPr="00A82130" w:rsidRDefault="00C23812" w:rsidP="00A82130">
      <w:pPr>
        <w:pStyle w:val="FootnoteText"/>
        <w:jc w:val="both"/>
        <w:rPr>
          <w:rFonts w:asciiTheme="majorHAnsi" w:hAnsiTheme="majorHAnsi"/>
          <w:sz w:val="18"/>
          <w:szCs w:val="18"/>
          <w:lang w:val="es-ES_tradnl"/>
        </w:rPr>
      </w:pPr>
      <w:r w:rsidRPr="00A82130">
        <w:rPr>
          <w:rStyle w:val="FootnoteReference"/>
          <w:rFonts w:asciiTheme="majorHAnsi" w:hAnsiTheme="majorHAnsi"/>
          <w:sz w:val="18"/>
          <w:szCs w:val="18"/>
        </w:rPr>
        <w:footnoteRef/>
      </w:r>
      <w:r w:rsidRPr="00A82130">
        <w:rPr>
          <w:rFonts w:asciiTheme="majorHAnsi" w:hAnsiTheme="majorHAnsi"/>
          <w:sz w:val="18"/>
          <w:szCs w:val="18"/>
          <w:lang w:val="es-ES"/>
        </w:rPr>
        <w:t xml:space="preserve"> </w:t>
      </w:r>
      <w:r w:rsidRPr="00A82130">
        <w:rPr>
          <w:rFonts w:asciiTheme="majorHAnsi" w:hAnsiTheme="majorHAnsi"/>
          <w:sz w:val="18"/>
          <w:szCs w:val="18"/>
          <w:lang w:val="es-ES_tradnl"/>
        </w:rPr>
        <w:t>CIDH, Demanda ante la Corte Interamericana de Derechos Humanos, Caso 12.502,</w:t>
      </w:r>
      <w:r w:rsidR="00A82130" w:rsidRPr="00A82130">
        <w:rPr>
          <w:rFonts w:asciiTheme="majorHAnsi" w:hAnsiTheme="majorHAnsi"/>
          <w:sz w:val="18"/>
          <w:szCs w:val="18"/>
          <w:lang w:val="es-ES_tradnl"/>
        </w:rPr>
        <w:t xml:space="preserve"> Karen Atala e Hijas,</w:t>
      </w:r>
      <w:r w:rsidRPr="00A82130">
        <w:rPr>
          <w:rFonts w:asciiTheme="majorHAnsi" w:hAnsiTheme="majorHAnsi"/>
          <w:sz w:val="18"/>
          <w:szCs w:val="18"/>
          <w:lang w:val="es-ES_tradnl"/>
        </w:rPr>
        <w:t xml:space="preserve"> Chile, 17 de septiembre de 2010, párr. 95.</w:t>
      </w:r>
    </w:p>
  </w:footnote>
  <w:footnote w:id="5">
    <w:p w:rsidR="00963DE0" w:rsidRPr="00A82130" w:rsidRDefault="00963DE0" w:rsidP="00A82130">
      <w:pPr>
        <w:pStyle w:val="FootnoteText"/>
        <w:jc w:val="both"/>
        <w:rPr>
          <w:rFonts w:asciiTheme="majorHAnsi" w:hAnsiTheme="majorHAnsi"/>
          <w:sz w:val="18"/>
          <w:szCs w:val="18"/>
          <w:lang w:val="es-ES_tradnl"/>
        </w:rPr>
      </w:pPr>
      <w:r w:rsidRPr="00A82130">
        <w:rPr>
          <w:rStyle w:val="FootnoteReference"/>
          <w:rFonts w:asciiTheme="majorHAnsi" w:hAnsiTheme="majorHAnsi"/>
          <w:sz w:val="18"/>
          <w:szCs w:val="18"/>
        </w:rPr>
        <w:footnoteRef/>
      </w:r>
      <w:r w:rsidRPr="00A82130">
        <w:rPr>
          <w:rFonts w:asciiTheme="majorHAnsi" w:hAnsiTheme="majorHAnsi"/>
          <w:sz w:val="18"/>
          <w:szCs w:val="18"/>
          <w:lang w:val="es-ES_tradnl"/>
        </w:rPr>
        <w:t xml:space="preserve"> </w:t>
      </w:r>
      <w:r w:rsidR="00A82130" w:rsidRPr="00A82130">
        <w:rPr>
          <w:rFonts w:asciiTheme="majorHAnsi" w:hAnsiTheme="majorHAnsi"/>
          <w:sz w:val="18"/>
          <w:szCs w:val="18"/>
          <w:lang w:val="es-ES_tradnl"/>
        </w:rPr>
        <w:t>CIDH, Demanda ante la Corte Interamericana de Derechos Humanos, Caso 12.502, Karen Atala e Hijas, Chile, 17 de septiembre de 2010, párr.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2C" w:rsidRDefault="005B4F2C" w:rsidP="008379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B4F2C" w:rsidRDefault="005B4F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2C" w:rsidRDefault="005B4F2C" w:rsidP="00A50FCF">
    <w:pPr>
      <w:pStyle w:val="Header"/>
      <w:tabs>
        <w:tab w:val="clear" w:pos="4320"/>
        <w:tab w:val="clear" w:pos="8640"/>
      </w:tabs>
      <w:jc w:val="center"/>
      <w:rPr>
        <w:sz w:val="22"/>
        <w:szCs w:val="22"/>
      </w:rPr>
    </w:pPr>
    <w:r>
      <w:rPr>
        <w:noProof/>
        <w:sz w:val="22"/>
        <w:szCs w:val="22"/>
      </w:rPr>
      <w:drawing>
        <wp:inline distT="0" distB="0" distL="0" distR="0" wp14:anchorId="6330EB25" wp14:editId="66B9C39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B4F2C" w:rsidRPr="00EC7D62" w:rsidRDefault="004E736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FF131A"/>
    <w:multiLevelType w:val="hybridMultilevel"/>
    <w:tmpl w:val="F0EE591A"/>
    <w:lvl w:ilvl="0" w:tplc="0B3C374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D983EE9"/>
    <w:multiLevelType w:val="hybridMultilevel"/>
    <w:tmpl w:val="CBB45316"/>
    <w:lvl w:ilvl="0" w:tplc="DED6566A">
      <w:start w:val="1"/>
      <w:numFmt w:val="decimal"/>
      <w:lvlText w:val="%1."/>
      <w:lvlJc w:val="left"/>
      <w:pPr>
        <w:tabs>
          <w:tab w:val="num" w:pos="720"/>
        </w:tabs>
        <w:ind w:left="0" w:firstLine="720"/>
      </w:pPr>
      <w:rPr>
        <w:rFonts w:asciiTheme="majorHAnsi" w:hAnsiTheme="majorHAnsi" w:hint="default"/>
        <w:b w:val="0"/>
        <w:i w:val="0"/>
        <w:sz w:val="20"/>
        <w:szCs w:val="20"/>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ED7988"/>
    <w:multiLevelType w:val="hybridMultilevel"/>
    <w:tmpl w:val="80C0AEA2"/>
    <w:lvl w:ilvl="0" w:tplc="73F637A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7"/>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4"/>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0"/>
  </w:num>
  <w:num w:numId="54">
    <w:abstractNumId w:val="43"/>
  </w:num>
  <w:num w:numId="55">
    <w:abstractNumId w:val="44"/>
  </w:num>
  <w:num w:numId="56">
    <w:abstractNumId w:val="49"/>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5"/>
  </w:num>
  <w:num w:numId="76">
    <w:abstractNumId w:val="36"/>
  </w:num>
  <w:num w:numId="77">
    <w:abstractNumId w:val="37"/>
  </w:num>
  <w:num w:numId="78">
    <w:abstractNumId w:val="38"/>
  </w:num>
  <w:num w:numId="79">
    <w:abstractNumId w:val="39"/>
  </w:num>
  <w:num w:numId="80">
    <w:abstractNumId w:val="40"/>
  </w:num>
  <w:num w:numId="81">
    <w:abstractNumId w:val="41"/>
  </w:num>
  <w:num w:numId="82">
    <w:abstractNumId w:val="45"/>
  </w:num>
  <w:num w:numId="83">
    <w:abstractNumId w:val="46"/>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7"/>
  </w:num>
  <w:num w:numId="96">
    <w:abstractNumId w:val="58"/>
  </w:num>
  <w:num w:numId="97">
    <w:abstractNumId w:val="55"/>
  </w:num>
  <w:num w:numId="98">
    <w:abstractNumId w:val="50"/>
  </w:num>
  <w:num w:numId="99">
    <w:abstractNumId w:val="42"/>
  </w:num>
  <w:num w:numId="100">
    <w:abstractNumId w:val="4"/>
  </w:num>
  <w:num w:numId="101">
    <w:abstractNumId w:val="28"/>
  </w:num>
  <w:num w:numId="102">
    <w:abstractNumId w:val="52"/>
  </w:num>
  <w:num w:numId="103">
    <w:abstractNumId w:val="7"/>
  </w:num>
  <w:num w:numId="104">
    <w:abstractNumId w:val="67"/>
  </w:num>
  <w:num w:numId="105">
    <w:abstractNumId w:val="56"/>
  </w:num>
  <w:num w:numId="106">
    <w:abstractNumId w:val="5"/>
  </w:num>
  <w:num w:numId="107">
    <w:abstractNumId w:val="32"/>
  </w:num>
  <w:num w:numId="108">
    <w:abstractNumId w:val="15"/>
  </w:num>
  <w:num w:numId="109">
    <w:abstractNumId w:val="33"/>
  </w:num>
  <w:num w:numId="110">
    <w:abstractNumId w:val="2"/>
  </w:num>
  <w:num w:numId="111">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EC9"/>
    <w:rsid w:val="00006E1F"/>
    <w:rsid w:val="00007045"/>
    <w:rsid w:val="000070D7"/>
    <w:rsid w:val="000079A1"/>
    <w:rsid w:val="00011553"/>
    <w:rsid w:val="0001788C"/>
    <w:rsid w:val="00022C1B"/>
    <w:rsid w:val="00040C3A"/>
    <w:rsid w:val="00044DE0"/>
    <w:rsid w:val="00045A85"/>
    <w:rsid w:val="00054A5F"/>
    <w:rsid w:val="00067F31"/>
    <w:rsid w:val="000716C5"/>
    <w:rsid w:val="000730B7"/>
    <w:rsid w:val="00075E23"/>
    <w:rsid w:val="0009344A"/>
    <w:rsid w:val="000A1A2E"/>
    <w:rsid w:val="000A392E"/>
    <w:rsid w:val="000A3EF2"/>
    <w:rsid w:val="000A575F"/>
    <w:rsid w:val="000B60FF"/>
    <w:rsid w:val="000C27D9"/>
    <w:rsid w:val="000C65A9"/>
    <w:rsid w:val="000D10DB"/>
    <w:rsid w:val="000D5490"/>
    <w:rsid w:val="000E245C"/>
    <w:rsid w:val="000E5EB5"/>
    <w:rsid w:val="000F35ED"/>
    <w:rsid w:val="000F500D"/>
    <w:rsid w:val="000F583A"/>
    <w:rsid w:val="00107131"/>
    <w:rsid w:val="0010736F"/>
    <w:rsid w:val="0011245B"/>
    <w:rsid w:val="0011382F"/>
    <w:rsid w:val="00113F73"/>
    <w:rsid w:val="00121CC2"/>
    <w:rsid w:val="00122E99"/>
    <w:rsid w:val="00125B51"/>
    <w:rsid w:val="00133EE5"/>
    <w:rsid w:val="001340CB"/>
    <w:rsid w:val="00141FCF"/>
    <w:rsid w:val="001449C6"/>
    <w:rsid w:val="001659E1"/>
    <w:rsid w:val="00167A34"/>
    <w:rsid w:val="00181C40"/>
    <w:rsid w:val="001833FD"/>
    <w:rsid w:val="001851D5"/>
    <w:rsid w:val="0019176D"/>
    <w:rsid w:val="001962CF"/>
    <w:rsid w:val="001A4FE0"/>
    <w:rsid w:val="001A73AD"/>
    <w:rsid w:val="001A7870"/>
    <w:rsid w:val="001B1724"/>
    <w:rsid w:val="001B6D64"/>
    <w:rsid w:val="001B771E"/>
    <w:rsid w:val="001C1B41"/>
    <w:rsid w:val="001D65EF"/>
    <w:rsid w:val="001F20BB"/>
    <w:rsid w:val="001F7B3B"/>
    <w:rsid w:val="00214A79"/>
    <w:rsid w:val="002250A3"/>
    <w:rsid w:val="00234368"/>
    <w:rsid w:val="00235217"/>
    <w:rsid w:val="00246D1F"/>
    <w:rsid w:val="00247403"/>
    <w:rsid w:val="00247542"/>
    <w:rsid w:val="002601D4"/>
    <w:rsid w:val="00266AFA"/>
    <w:rsid w:val="00266B61"/>
    <w:rsid w:val="0026712A"/>
    <w:rsid w:val="002704DB"/>
    <w:rsid w:val="002736CF"/>
    <w:rsid w:val="002A0AAE"/>
    <w:rsid w:val="002A5820"/>
    <w:rsid w:val="002A7EA6"/>
    <w:rsid w:val="002C7737"/>
    <w:rsid w:val="002D2B26"/>
    <w:rsid w:val="002D2B68"/>
    <w:rsid w:val="002D7EA2"/>
    <w:rsid w:val="002E187C"/>
    <w:rsid w:val="002F1F45"/>
    <w:rsid w:val="002F662D"/>
    <w:rsid w:val="00301A68"/>
    <w:rsid w:val="00302733"/>
    <w:rsid w:val="003043E7"/>
    <w:rsid w:val="00311D6E"/>
    <w:rsid w:val="00314078"/>
    <w:rsid w:val="0031535D"/>
    <w:rsid w:val="003259DC"/>
    <w:rsid w:val="0033101F"/>
    <w:rsid w:val="0033169F"/>
    <w:rsid w:val="0033420C"/>
    <w:rsid w:val="00346C95"/>
    <w:rsid w:val="00356185"/>
    <w:rsid w:val="00360380"/>
    <w:rsid w:val="00363569"/>
    <w:rsid w:val="003673A9"/>
    <w:rsid w:val="003679D6"/>
    <w:rsid w:val="00367FA6"/>
    <w:rsid w:val="00373C24"/>
    <w:rsid w:val="0037519E"/>
    <w:rsid w:val="00383858"/>
    <w:rsid w:val="00386CF0"/>
    <w:rsid w:val="00390559"/>
    <w:rsid w:val="003A7EB6"/>
    <w:rsid w:val="003C676B"/>
    <w:rsid w:val="003C6F56"/>
    <w:rsid w:val="003D3BC2"/>
    <w:rsid w:val="003E6C2D"/>
    <w:rsid w:val="003E6CA1"/>
    <w:rsid w:val="00407CDB"/>
    <w:rsid w:val="004165C2"/>
    <w:rsid w:val="00416618"/>
    <w:rsid w:val="00431B2B"/>
    <w:rsid w:val="00433DF6"/>
    <w:rsid w:val="00441ECB"/>
    <w:rsid w:val="00467B7E"/>
    <w:rsid w:val="00477592"/>
    <w:rsid w:val="00481803"/>
    <w:rsid w:val="00485496"/>
    <w:rsid w:val="00486F1C"/>
    <w:rsid w:val="00491AB4"/>
    <w:rsid w:val="004932F3"/>
    <w:rsid w:val="004940C0"/>
    <w:rsid w:val="0049419D"/>
    <w:rsid w:val="004B71F2"/>
    <w:rsid w:val="004C20D2"/>
    <w:rsid w:val="004C4B62"/>
    <w:rsid w:val="004C54C9"/>
    <w:rsid w:val="004C57B1"/>
    <w:rsid w:val="004D4A8D"/>
    <w:rsid w:val="004D6025"/>
    <w:rsid w:val="004E2649"/>
    <w:rsid w:val="004E3E69"/>
    <w:rsid w:val="004E7366"/>
    <w:rsid w:val="004F02AC"/>
    <w:rsid w:val="00501399"/>
    <w:rsid w:val="0050633D"/>
    <w:rsid w:val="00507BC4"/>
    <w:rsid w:val="00511501"/>
    <w:rsid w:val="005128E4"/>
    <w:rsid w:val="005133DB"/>
    <w:rsid w:val="00521DA9"/>
    <w:rsid w:val="00524A92"/>
    <w:rsid w:val="00525560"/>
    <w:rsid w:val="00530B71"/>
    <w:rsid w:val="00537605"/>
    <w:rsid w:val="00544C49"/>
    <w:rsid w:val="00545C15"/>
    <w:rsid w:val="0054642C"/>
    <w:rsid w:val="00546803"/>
    <w:rsid w:val="005516A1"/>
    <w:rsid w:val="005611E7"/>
    <w:rsid w:val="00563347"/>
    <w:rsid w:val="00571A77"/>
    <w:rsid w:val="0057402A"/>
    <w:rsid w:val="005771D0"/>
    <w:rsid w:val="00581F62"/>
    <w:rsid w:val="0059191A"/>
    <w:rsid w:val="005921FF"/>
    <w:rsid w:val="005A4DE7"/>
    <w:rsid w:val="005A6D0E"/>
    <w:rsid w:val="005B01F8"/>
    <w:rsid w:val="005B4F2C"/>
    <w:rsid w:val="005B52B0"/>
    <w:rsid w:val="005B6806"/>
    <w:rsid w:val="005C4225"/>
    <w:rsid w:val="005D0D97"/>
    <w:rsid w:val="005D3EF6"/>
    <w:rsid w:val="005D4002"/>
    <w:rsid w:val="005F0DAD"/>
    <w:rsid w:val="005F0F33"/>
    <w:rsid w:val="005F5054"/>
    <w:rsid w:val="00600DEB"/>
    <w:rsid w:val="00614AC1"/>
    <w:rsid w:val="00614ED8"/>
    <w:rsid w:val="00627C9F"/>
    <w:rsid w:val="006311E9"/>
    <w:rsid w:val="00632354"/>
    <w:rsid w:val="00642810"/>
    <w:rsid w:val="0064752A"/>
    <w:rsid w:val="00650B3C"/>
    <w:rsid w:val="00652333"/>
    <w:rsid w:val="00654B6A"/>
    <w:rsid w:val="006550DF"/>
    <w:rsid w:val="0068009E"/>
    <w:rsid w:val="006820B2"/>
    <w:rsid w:val="00692219"/>
    <w:rsid w:val="00692DCD"/>
    <w:rsid w:val="006A17D2"/>
    <w:rsid w:val="006A6E60"/>
    <w:rsid w:val="006A73E6"/>
    <w:rsid w:val="006B2D5C"/>
    <w:rsid w:val="006B657C"/>
    <w:rsid w:val="006C1FEC"/>
    <w:rsid w:val="006C4EB1"/>
    <w:rsid w:val="006D61A9"/>
    <w:rsid w:val="006E0166"/>
    <w:rsid w:val="006E7B34"/>
    <w:rsid w:val="007018F4"/>
    <w:rsid w:val="0070697F"/>
    <w:rsid w:val="007166B4"/>
    <w:rsid w:val="0072199C"/>
    <w:rsid w:val="00722C9F"/>
    <w:rsid w:val="007244AB"/>
    <w:rsid w:val="007248BD"/>
    <w:rsid w:val="007253B8"/>
    <w:rsid w:val="00725F0C"/>
    <w:rsid w:val="007303CC"/>
    <w:rsid w:val="00734AE9"/>
    <w:rsid w:val="0073741F"/>
    <w:rsid w:val="00741B27"/>
    <w:rsid w:val="0076643F"/>
    <w:rsid w:val="00777F63"/>
    <w:rsid w:val="007908CE"/>
    <w:rsid w:val="007911D1"/>
    <w:rsid w:val="00794B70"/>
    <w:rsid w:val="00795E9B"/>
    <w:rsid w:val="007A5817"/>
    <w:rsid w:val="007B60E9"/>
    <w:rsid w:val="007B6CC3"/>
    <w:rsid w:val="007C3334"/>
    <w:rsid w:val="007C6370"/>
    <w:rsid w:val="007C6854"/>
    <w:rsid w:val="007D2064"/>
    <w:rsid w:val="007D2B98"/>
    <w:rsid w:val="007D692F"/>
    <w:rsid w:val="007E21BC"/>
    <w:rsid w:val="007E26C5"/>
    <w:rsid w:val="00803F1C"/>
    <w:rsid w:val="008045ED"/>
    <w:rsid w:val="00805E10"/>
    <w:rsid w:val="0080600E"/>
    <w:rsid w:val="008111AC"/>
    <w:rsid w:val="00817612"/>
    <w:rsid w:val="00831307"/>
    <w:rsid w:val="008338A4"/>
    <w:rsid w:val="0083793A"/>
    <w:rsid w:val="00837C45"/>
    <w:rsid w:val="0084417A"/>
    <w:rsid w:val="00844730"/>
    <w:rsid w:val="008457C2"/>
    <w:rsid w:val="008509CE"/>
    <w:rsid w:val="00857A82"/>
    <w:rsid w:val="008631C1"/>
    <w:rsid w:val="00866C05"/>
    <w:rsid w:val="00873836"/>
    <w:rsid w:val="00885737"/>
    <w:rsid w:val="00890650"/>
    <w:rsid w:val="0089133A"/>
    <w:rsid w:val="008964E9"/>
    <w:rsid w:val="00896730"/>
    <w:rsid w:val="00897E12"/>
    <w:rsid w:val="008A2B74"/>
    <w:rsid w:val="008A7E0F"/>
    <w:rsid w:val="008B12F5"/>
    <w:rsid w:val="008B4156"/>
    <w:rsid w:val="008B7C8F"/>
    <w:rsid w:val="008D768D"/>
    <w:rsid w:val="008E3759"/>
    <w:rsid w:val="008E6854"/>
    <w:rsid w:val="008F1912"/>
    <w:rsid w:val="00900BBD"/>
    <w:rsid w:val="00901CD6"/>
    <w:rsid w:val="0090270B"/>
    <w:rsid w:val="009041DC"/>
    <w:rsid w:val="00916FBA"/>
    <w:rsid w:val="00917B5A"/>
    <w:rsid w:val="0092096B"/>
    <w:rsid w:val="00920A58"/>
    <w:rsid w:val="00920A8C"/>
    <w:rsid w:val="00934A2C"/>
    <w:rsid w:val="00935BB5"/>
    <w:rsid w:val="00942A0A"/>
    <w:rsid w:val="009510BA"/>
    <w:rsid w:val="00960232"/>
    <w:rsid w:val="00963DE0"/>
    <w:rsid w:val="00965520"/>
    <w:rsid w:val="00966A6C"/>
    <w:rsid w:val="0096706E"/>
    <w:rsid w:val="00967BA9"/>
    <w:rsid w:val="00975C4E"/>
    <w:rsid w:val="00981FBA"/>
    <w:rsid w:val="00987593"/>
    <w:rsid w:val="00997BC5"/>
    <w:rsid w:val="009A0104"/>
    <w:rsid w:val="009A4F41"/>
    <w:rsid w:val="009B381B"/>
    <w:rsid w:val="009C1CD4"/>
    <w:rsid w:val="009D1753"/>
    <w:rsid w:val="009D4629"/>
    <w:rsid w:val="009D4CFC"/>
    <w:rsid w:val="009D7611"/>
    <w:rsid w:val="009E0B61"/>
    <w:rsid w:val="009E53DE"/>
    <w:rsid w:val="009E5A5D"/>
    <w:rsid w:val="009F43E9"/>
    <w:rsid w:val="009F7D35"/>
    <w:rsid w:val="00A03295"/>
    <w:rsid w:val="00A06284"/>
    <w:rsid w:val="00A11005"/>
    <w:rsid w:val="00A260A6"/>
    <w:rsid w:val="00A30AE3"/>
    <w:rsid w:val="00A328B3"/>
    <w:rsid w:val="00A458B3"/>
    <w:rsid w:val="00A50FCF"/>
    <w:rsid w:val="00A528D1"/>
    <w:rsid w:val="00A60DCC"/>
    <w:rsid w:val="00A610CD"/>
    <w:rsid w:val="00A65F1E"/>
    <w:rsid w:val="00A745FF"/>
    <w:rsid w:val="00A779A4"/>
    <w:rsid w:val="00A77F15"/>
    <w:rsid w:val="00A82130"/>
    <w:rsid w:val="00A82BAB"/>
    <w:rsid w:val="00A86592"/>
    <w:rsid w:val="00AA09A2"/>
    <w:rsid w:val="00AA6C1C"/>
    <w:rsid w:val="00AA7996"/>
    <w:rsid w:val="00AB62D5"/>
    <w:rsid w:val="00AC167C"/>
    <w:rsid w:val="00AC19CB"/>
    <w:rsid w:val="00AD6D17"/>
    <w:rsid w:val="00AE3968"/>
    <w:rsid w:val="00AE5488"/>
    <w:rsid w:val="00AE6F91"/>
    <w:rsid w:val="00AF3B51"/>
    <w:rsid w:val="00AF5571"/>
    <w:rsid w:val="00AF6AD6"/>
    <w:rsid w:val="00B07341"/>
    <w:rsid w:val="00B11897"/>
    <w:rsid w:val="00B22A63"/>
    <w:rsid w:val="00B30539"/>
    <w:rsid w:val="00B314DB"/>
    <w:rsid w:val="00B361F2"/>
    <w:rsid w:val="00B3718B"/>
    <w:rsid w:val="00B430B2"/>
    <w:rsid w:val="00B4632A"/>
    <w:rsid w:val="00B530F1"/>
    <w:rsid w:val="00B833E9"/>
    <w:rsid w:val="00B877DD"/>
    <w:rsid w:val="00B9089F"/>
    <w:rsid w:val="00BA276C"/>
    <w:rsid w:val="00BB1098"/>
    <w:rsid w:val="00BB306F"/>
    <w:rsid w:val="00BC3A8E"/>
    <w:rsid w:val="00BD2D99"/>
    <w:rsid w:val="00BD4B89"/>
    <w:rsid w:val="00BE0DB6"/>
    <w:rsid w:val="00BF6FD8"/>
    <w:rsid w:val="00C03680"/>
    <w:rsid w:val="00C054DF"/>
    <w:rsid w:val="00C145C7"/>
    <w:rsid w:val="00C151EB"/>
    <w:rsid w:val="00C21762"/>
    <w:rsid w:val="00C23812"/>
    <w:rsid w:val="00C24543"/>
    <w:rsid w:val="00C256A2"/>
    <w:rsid w:val="00C51515"/>
    <w:rsid w:val="00C5660B"/>
    <w:rsid w:val="00C66B72"/>
    <w:rsid w:val="00C8725B"/>
    <w:rsid w:val="00C910E5"/>
    <w:rsid w:val="00C9567A"/>
    <w:rsid w:val="00CA412B"/>
    <w:rsid w:val="00CB212D"/>
    <w:rsid w:val="00CB2660"/>
    <w:rsid w:val="00CB2D0C"/>
    <w:rsid w:val="00CC56C6"/>
    <w:rsid w:val="00CC5E90"/>
    <w:rsid w:val="00CC6831"/>
    <w:rsid w:val="00CD046C"/>
    <w:rsid w:val="00CE076C"/>
    <w:rsid w:val="00CE5199"/>
    <w:rsid w:val="00CE66D5"/>
    <w:rsid w:val="00CF0720"/>
    <w:rsid w:val="00CF637A"/>
    <w:rsid w:val="00D04AD9"/>
    <w:rsid w:val="00D059DE"/>
    <w:rsid w:val="00D13FCE"/>
    <w:rsid w:val="00D15D7A"/>
    <w:rsid w:val="00D24170"/>
    <w:rsid w:val="00D306D1"/>
    <w:rsid w:val="00D34786"/>
    <w:rsid w:val="00D3607E"/>
    <w:rsid w:val="00D37BFC"/>
    <w:rsid w:val="00D4143F"/>
    <w:rsid w:val="00D46533"/>
    <w:rsid w:val="00D47A8E"/>
    <w:rsid w:val="00D52D14"/>
    <w:rsid w:val="00D712D3"/>
    <w:rsid w:val="00D71422"/>
    <w:rsid w:val="00D72DC6"/>
    <w:rsid w:val="00D7558D"/>
    <w:rsid w:val="00D76A01"/>
    <w:rsid w:val="00D81D92"/>
    <w:rsid w:val="00D86D12"/>
    <w:rsid w:val="00DA60AD"/>
    <w:rsid w:val="00DA7B5F"/>
    <w:rsid w:val="00DB4FD4"/>
    <w:rsid w:val="00DB562B"/>
    <w:rsid w:val="00DB7359"/>
    <w:rsid w:val="00DC11E7"/>
    <w:rsid w:val="00DC7023"/>
    <w:rsid w:val="00DC7057"/>
    <w:rsid w:val="00DC769A"/>
    <w:rsid w:val="00DD3D86"/>
    <w:rsid w:val="00DD54C5"/>
    <w:rsid w:val="00DD6204"/>
    <w:rsid w:val="00DF1EC4"/>
    <w:rsid w:val="00E0340B"/>
    <w:rsid w:val="00E04A90"/>
    <w:rsid w:val="00E17795"/>
    <w:rsid w:val="00E219C7"/>
    <w:rsid w:val="00E3213C"/>
    <w:rsid w:val="00E43157"/>
    <w:rsid w:val="00E459A3"/>
    <w:rsid w:val="00E461CE"/>
    <w:rsid w:val="00E71CF6"/>
    <w:rsid w:val="00E720CA"/>
    <w:rsid w:val="00E84050"/>
    <w:rsid w:val="00E84EB5"/>
    <w:rsid w:val="00E85662"/>
    <w:rsid w:val="00E8789F"/>
    <w:rsid w:val="00E955CA"/>
    <w:rsid w:val="00E97AF8"/>
    <w:rsid w:val="00E97B71"/>
    <w:rsid w:val="00EA0E29"/>
    <w:rsid w:val="00EA2C02"/>
    <w:rsid w:val="00EA3D34"/>
    <w:rsid w:val="00EA4D99"/>
    <w:rsid w:val="00EB1560"/>
    <w:rsid w:val="00EB34C2"/>
    <w:rsid w:val="00EB454D"/>
    <w:rsid w:val="00EB6787"/>
    <w:rsid w:val="00ED4BB4"/>
    <w:rsid w:val="00ED76BE"/>
    <w:rsid w:val="00EE3C54"/>
    <w:rsid w:val="00EF619B"/>
    <w:rsid w:val="00F00B55"/>
    <w:rsid w:val="00F02AD1"/>
    <w:rsid w:val="00F06ABC"/>
    <w:rsid w:val="00F253CC"/>
    <w:rsid w:val="00F34A95"/>
    <w:rsid w:val="00F37106"/>
    <w:rsid w:val="00F37812"/>
    <w:rsid w:val="00F47688"/>
    <w:rsid w:val="00F502AF"/>
    <w:rsid w:val="00F5059C"/>
    <w:rsid w:val="00F519CF"/>
    <w:rsid w:val="00F5251E"/>
    <w:rsid w:val="00F56BA5"/>
    <w:rsid w:val="00F60E22"/>
    <w:rsid w:val="00F70BEA"/>
    <w:rsid w:val="00F81395"/>
    <w:rsid w:val="00F83192"/>
    <w:rsid w:val="00F83296"/>
    <w:rsid w:val="00F8334B"/>
    <w:rsid w:val="00F83EB1"/>
    <w:rsid w:val="00F878EF"/>
    <w:rsid w:val="00F917D1"/>
    <w:rsid w:val="00F9653B"/>
    <w:rsid w:val="00FB3C42"/>
    <w:rsid w:val="00FB62CF"/>
    <w:rsid w:val="00FB6CB5"/>
    <w:rsid w:val="00FD3C3B"/>
    <w:rsid w:val="00FD6151"/>
    <w:rsid w:val="00FE6B45"/>
    <w:rsid w:val="00FF55F3"/>
    <w:rsid w:val="00FF5851"/>
    <w:rsid w:val="00FF784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673A9"/>
    <w:pPr>
      <w:keepNext/>
      <w:keepLines/>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673A9"/>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521DA9"/>
    <w:rPr>
      <w:sz w:val="16"/>
      <w:szCs w:val="16"/>
    </w:rPr>
  </w:style>
  <w:style w:type="paragraph" w:styleId="CommentText">
    <w:name w:val="annotation text"/>
    <w:basedOn w:val="Normal"/>
    <w:link w:val="CommentTextChar"/>
    <w:uiPriority w:val="99"/>
    <w:semiHidden/>
    <w:unhideWhenUsed/>
    <w:rsid w:val="00521DA9"/>
    <w:rPr>
      <w:sz w:val="20"/>
      <w:szCs w:val="20"/>
    </w:rPr>
  </w:style>
  <w:style w:type="character" w:customStyle="1" w:styleId="CommentTextChar">
    <w:name w:val="Comment Text Char"/>
    <w:basedOn w:val="DefaultParagraphFont"/>
    <w:link w:val="CommentText"/>
    <w:uiPriority w:val="99"/>
    <w:semiHidden/>
    <w:rsid w:val="00521DA9"/>
    <w:rPr>
      <w:lang w:val="en-US" w:eastAsia="en-US"/>
    </w:rPr>
  </w:style>
  <w:style w:type="paragraph" w:styleId="CommentSubject">
    <w:name w:val="annotation subject"/>
    <w:basedOn w:val="CommentText"/>
    <w:next w:val="CommentText"/>
    <w:link w:val="CommentSubjectChar"/>
    <w:uiPriority w:val="99"/>
    <w:semiHidden/>
    <w:unhideWhenUsed/>
    <w:rsid w:val="00521DA9"/>
    <w:rPr>
      <w:b/>
      <w:bCs/>
    </w:rPr>
  </w:style>
  <w:style w:type="character" w:customStyle="1" w:styleId="CommentSubjectChar">
    <w:name w:val="Comment Subject Char"/>
    <w:basedOn w:val="CommentTextChar"/>
    <w:link w:val="CommentSubject"/>
    <w:uiPriority w:val="99"/>
    <w:semiHidden/>
    <w:rsid w:val="00521DA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673A9"/>
    <w:pPr>
      <w:keepNext/>
      <w:keepLines/>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673A9"/>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521DA9"/>
    <w:rPr>
      <w:sz w:val="16"/>
      <w:szCs w:val="16"/>
    </w:rPr>
  </w:style>
  <w:style w:type="paragraph" w:styleId="CommentText">
    <w:name w:val="annotation text"/>
    <w:basedOn w:val="Normal"/>
    <w:link w:val="CommentTextChar"/>
    <w:uiPriority w:val="99"/>
    <w:semiHidden/>
    <w:unhideWhenUsed/>
    <w:rsid w:val="00521DA9"/>
    <w:rPr>
      <w:sz w:val="20"/>
      <w:szCs w:val="20"/>
    </w:rPr>
  </w:style>
  <w:style w:type="character" w:customStyle="1" w:styleId="CommentTextChar">
    <w:name w:val="Comment Text Char"/>
    <w:basedOn w:val="DefaultParagraphFont"/>
    <w:link w:val="CommentText"/>
    <w:uiPriority w:val="99"/>
    <w:semiHidden/>
    <w:rsid w:val="00521DA9"/>
    <w:rPr>
      <w:lang w:val="en-US" w:eastAsia="en-US"/>
    </w:rPr>
  </w:style>
  <w:style w:type="paragraph" w:styleId="CommentSubject">
    <w:name w:val="annotation subject"/>
    <w:basedOn w:val="CommentText"/>
    <w:next w:val="CommentText"/>
    <w:link w:val="CommentSubjectChar"/>
    <w:uiPriority w:val="99"/>
    <w:semiHidden/>
    <w:unhideWhenUsed/>
    <w:rsid w:val="00521DA9"/>
    <w:rPr>
      <w:b/>
      <w:bCs/>
    </w:rPr>
  </w:style>
  <w:style w:type="character" w:customStyle="1" w:styleId="CommentSubjectChar">
    <w:name w:val="Comment Subject Char"/>
    <w:basedOn w:val="CommentTextChar"/>
    <w:link w:val="CommentSubject"/>
    <w:uiPriority w:val="99"/>
    <w:semiHidden/>
    <w:rsid w:val="00521DA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901B-9002-4D09-8A2A-A10C9B0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4</cp:revision>
  <cp:lastPrinted>2014-11-25T16:04:00Z</cp:lastPrinted>
  <dcterms:created xsi:type="dcterms:W3CDTF">2014-11-25T20:02:00Z</dcterms:created>
  <dcterms:modified xsi:type="dcterms:W3CDTF">2015-02-20T17:21:00Z</dcterms:modified>
</cp:coreProperties>
</file>