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A4000" w:rsidRDefault="008F77FA" w:rsidP="005237B3">
      <w:pPr>
        <w:tabs>
          <w:tab w:val="left" w:pos="0"/>
        </w:tabs>
        <w:spacing w:after="200"/>
        <w:ind w:firstLine="720"/>
        <w:jc w:val="both"/>
        <w:rPr>
          <w:rFonts w:asciiTheme="majorHAnsi" w:hAnsiTheme="majorHAnsi" w:cs="Univers"/>
          <w:b/>
          <w:bCs/>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25984" behindDoc="0" locked="0" layoutInCell="1" allowOverlap="1" wp14:anchorId="6D1FE649" wp14:editId="7BD2622C">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A4000">
        <w:rPr>
          <w:rFonts w:asciiTheme="majorHAnsi" w:hAnsiTheme="majorHAnsi"/>
          <w:noProof/>
          <w:sz w:val="20"/>
          <w:szCs w:val="20"/>
        </w:rPr>
        <mc:AlternateContent>
          <mc:Choice Requires="wps">
            <w:drawing>
              <wp:anchor distT="0" distB="0" distL="114300" distR="114300" simplePos="0" relativeHeight="251655680" behindDoc="0" locked="0" layoutInCell="1" allowOverlap="1" wp14:anchorId="47D90937" wp14:editId="6C4370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76A" w:rsidRDefault="008B676A" w:rsidP="00AE5488">
                            <w:r>
                              <w:rPr>
                                <w:noProof/>
                              </w:rPr>
                              <w:drawing>
                                <wp:inline distT="0" distB="0" distL="0" distR="0" wp14:anchorId="725826D0" wp14:editId="3AD5F5F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EC1C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B676A" w:rsidRDefault="008B676A" w:rsidP="00AE5488">
                      <w:r>
                        <w:rPr>
                          <w:noProof/>
                        </w:rPr>
                        <w:drawing>
                          <wp:inline distT="0" distB="0" distL="0" distR="0" wp14:anchorId="725826D0" wp14:editId="3AD5F5F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EC1CF2">
                        <w:t xml:space="preserve">    </w:t>
                      </w:r>
                    </w:p>
                  </w:txbxContent>
                </v:textbox>
              </v:shape>
            </w:pict>
          </mc:Fallback>
        </mc:AlternateContent>
      </w:r>
    </w:p>
    <w:p w:rsidR="00040C3A" w:rsidRPr="004A4000" w:rsidRDefault="00040C3A" w:rsidP="005237B3">
      <w:pPr>
        <w:tabs>
          <w:tab w:val="left" w:pos="0"/>
          <w:tab w:val="center" w:pos="5400"/>
        </w:tabs>
        <w:suppressAutoHyphens/>
        <w:spacing w:after="200"/>
        <w:ind w:firstLine="720"/>
        <w:jc w:val="both"/>
        <w:rPr>
          <w:rFonts w:asciiTheme="majorHAnsi" w:hAnsiTheme="majorHAnsi"/>
          <w:sz w:val="20"/>
          <w:szCs w:val="20"/>
          <w:lang w:val="es-ES"/>
        </w:rPr>
      </w:pPr>
    </w:p>
    <w:p w:rsidR="00040C3A" w:rsidRPr="004A4000" w:rsidRDefault="00040C3A" w:rsidP="005237B3">
      <w:pPr>
        <w:tabs>
          <w:tab w:val="left" w:pos="0"/>
          <w:tab w:val="center" w:pos="5400"/>
        </w:tabs>
        <w:suppressAutoHyphens/>
        <w:spacing w:after="200"/>
        <w:ind w:firstLine="720"/>
        <w:jc w:val="both"/>
        <w:rPr>
          <w:rFonts w:asciiTheme="majorHAnsi" w:hAnsiTheme="majorHAnsi"/>
          <w:sz w:val="20"/>
          <w:szCs w:val="20"/>
          <w:lang w:val="es-ES"/>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B52B0" w:rsidRPr="004A4000" w:rsidRDefault="005B52B0"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B52B0" w:rsidRPr="004A4000" w:rsidRDefault="005B52B0"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B52B0" w:rsidRPr="004A4000" w:rsidRDefault="005B52B0"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3D3BC2" w:rsidP="005237B3">
      <w:pPr>
        <w:tabs>
          <w:tab w:val="left" w:pos="0"/>
          <w:tab w:val="center" w:pos="5400"/>
        </w:tabs>
        <w:suppressAutoHyphens/>
        <w:spacing w:after="200"/>
        <w:ind w:firstLine="720"/>
        <w:jc w:val="center"/>
        <w:rPr>
          <w:rFonts w:asciiTheme="majorHAnsi" w:hAnsiTheme="majorHAnsi"/>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35200" behindDoc="0" locked="0" layoutInCell="1" allowOverlap="1" wp14:anchorId="7249538F" wp14:editId="02177EA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76A" w:rsidRPr="004E2649" w:rsidRDefault="008B676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A7431">
                              <w:rPr>
                                <w:rFonts w:asciiTheme="majorHAnsi" w:hAnsiTheme="majorHAnsi" w:cs="Arial"/>
                                <w:b/>
                                <w:bCs/>
                                <w:color w:val="0D0D0D" w:themeColor="text1" w:themeTint="F2"/>
                                <w:sz w:val="36"/>
                                <w:szCs w:val="22"/>
                                <w:lang w:val="es-ES_tradnl"/>
                              </w:rPr>
                              <w:t>46</w:t>
                            </w:r>
                            <w:r w:rsidRPr="00FD4F59">
                              <w:rPr>
                                <w:rFonts w:asciiTheme="majorHAnsi" w:hAnsiTheme="majorHAnsi" w:cs="Arial"/>
                                <w:b/>
                                <w:bCs/>
                                <w:color w:val="0D0D0D" w:themeColor="text1" w:themeTint="F2"/>
                                <w:sz w:val="36"/>
                                <w:szCs w:val="22"/>
                                <w:lang w:val="es-ES_tradnl"/>
                              </w:rPr>
                              <w:t>/15</w:t>
                            </w:r>
                          </w:p>
                          <w:p w:rsidR="008B676A" w:rsidRPr="004E2649" w:rsidRDefault="008B676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315-01</w:t>
                            </w:r>
                          </w:p>
                          <w:p w:rsidR="008B676A" w:rsidRPr="0010736F" w:rsidRDefault="008B676A" w:rsidP="00F66DE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B676A" w:rsidRPr="0010736F" w:rsidRDefault="008B676A" w:rsidP="00997BC5">
                            <w:pPr>
                              <w:spacing w:line="276" w:lineRule="auto"/>
                              <w:rPr>
                                <w:rFonts w:asciiTheme="majorHAnsi" w:hAnsiTheme="majorHAnsi" w:cs="Arial"/>
                                <w:color w:val="0D0D0D" w:themeColor="text1" w:themeTint="F2"/>
                                <w:szCs w:val="22"/>
                                <w:lang w:val="es-ES_tradnl"/>
                              </w:rPr>
                            </w:pPr>
                          </w:p>
                          <w:p w:rsidR="008B676A" w:rsidRPr="0010736F" w:rsidRDefault="008B676A" w:rsidP="00997BC5">
                            <w:pPr>
                              <w:spacing w:line="276" w:lineRule="auto"/>
                              <w:rPr>
                                <w:rFonts w:asciiTheme="majorHAnsi" w:hAnsiTheme="majorHAnsi" w:cs="Arial"/>
                                <w:color w:val="0D0D0D" w:themeColor="text1" w:themeTint="F2"/>
                                <w:szCs w:val="22"/>
                                <w:lang w:val="es-ES_tradnl"/>
                              </w:rPr>
                            </w:pPr>
                            <w:bookmarkStart w:id="1" w:name="_ftnref1"/>
                          </w:p>
                          <w:bookmarkEnd w:id="1"/>
                          <w:p w:rsidR="008B676A" w:rsidRDefault="008B676A" w:rsidP="00997BC5">
                            <w:pPr>
                              <w:spacing w:line="276" w:lineRule="auto"/>
                              <w:rPr>
                                <w:rFonts w:asciiTheme="majorHAnsi" w:hAnsiTheme="majorHAnsi" w:cs="Arial"/>
                                <w:color w:val="0D0D0D" w:themeColor="text1" w:themeTint="F2"/>
                                <w:szCs w:val="22"/>
                                <w:lang w:val="es-ES_tradnl"/>
                              </w:rPr>
                            </w:pPr>
                            <w:r w:rsidRPr="00F66DEE">
                              <w:rPr>
                                <w:rFonts w:asciiTheme="majorHAnsi" w:hAnsiTheme="majorHAnsi" w:cs="Arial"/>
                                <w:color w:val="0D0D0D" w:themeColor="text1" w:themeTint="F2"/>
                                <w:szCs w:val="22"/>
                                <w:lang w:val="es-ES_tradnl"/>
                              </w:rPr>
                              <w:t xml:space="preserve">CRISTINA BRITEZ ARCE </w:t>
                            </w:r>
                          </w:p>
                          <w:p w:rsidR="008B676A" w:rsidRPr="0010736F" w:rsidRDefault="008B676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8B676A" w:rsidRPr="00AE5488" w:rsidRDefault="008B676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B676A" w:rsidRPr="004E2649" w:rsidRDefault="008B676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A7431">
                        <w:rPr>
                          <w:rFonts w:asciiTheme="majorHAnsi" w:hAnsiTheme="majorHAnsi" w:cs="Arial"/>
                          <w:b/>
                          <w:bCs/>
                          <w:color w:val="0D0D0D" w:themeColor="text1" w:themeTint="F2"/>
                          <w:sz w:val="36"/>
                          <w:szCs w:val="22"/>
                          <w:lang w:val="es-ES_tradnl"/>
                        </w:rPr>
                        <w:t>46</w:t>
                      </w:r>
                      <w:r w:rsidRPr="00FD4F59">
                        <w:rPr>
                          <w:rFonts w:asciiTheme="majorHAnsi" w:hAnsiTheme="majorHAnsi" w:cs="Arial"/>
                          <w:b/>
                          <w:bCs/>
                          <w:color w:val="0D0D0D" w:themeColor="text1" w:themeTint="F2"/>
                          <w:sz w:val="36"/>
                          <w:szCs w:val="22"/>
                          <w:lang w:val="es-ES_tradnl"/>
                        </w:rPr>
                        <w:t>/15</w:t>
                      </w:r>
                    </w:p>
                    <w:p w:rsidR="008B676A" w:rsidRPr="004E2649" w:rsidRDefault="008B676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315-01</w:t>
                      </w:r>
                    </w:p>
                    <w:p w:rsidR="008B676A" w:rsidRPr="0010736F" w:rsidRDefault="008B676A" w:rsidP="00F66DE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B676A" w:rsidRPr="0010736F" w:rsidRDefault="008B676A" w:rsidP="00997BC5">
                      <w:pPr>
                        <w:spacing w:line="276" w:lineRule="auto"/>
                        <w:rPr>
                          <w:rFonts w:asciiTheme="majorHAnsi" w:hAnsiTheme="majorHAnsi" w:cs="Arial"/>
                          <w:color w:val="0D0D0D" w:themeColor="text1" w:themeTint="F2"/>
                          <w:szCs w:val="22"/>
                          <w:lang w:val="es-ES_tradnl"/>
                        </w:rPr>
                      </w:pPr>
                    </w:p>
                    <w:p w:rsidR="008B676A" w:rsidRPr="0010736F" w:rsidRDefault="008B676A" w:rsidP="00997BC5">
                      <w:pPr>
                        <w:spacing w:line="276" w:lineRule="auto"/>
                        <w:rPr>
                          <w:rFonts w:asciiTheme="majorHAnsi" w:hAnsiTheme="majorHAnsi" w:cs="Arial"/>
                          <w:color w:val="0D0D0D" w:themeColor="text1" w:themeTint="F2"/>
                          <w:szCs w:val="22"/>
                          <w:lang w:val="es-ES_tradnl"/>
                        </w:rPr>
                      </w:pPr>
                      <w:bookmarkStart w:id="1" w:name="_ftnref1"/>
                    </w:p>
                    <w:bookmarkEnd w:id="1"/>
                    <w:p w:rsidR="008B676A" w:rsidRDefault="008B676A" w:rsidP="00997BC5">
                      <w:pPr>
                        <w:spacing w:line="276" w:lineRule="auto"/>
                        <w:rPr>
                          <w:rFonts w:asciiTheme="majorHAnsi" w:hAnsiTheme="majorHAnsi" w:cs="Arial"/>
                          <w:color w:val="0D0D0D" w:themeColor="text1" w:themeTint="F2"/>
                          <w:szCs w:val="22"/>
                          <w:lang w:val="es-ES_tradnl"/>
                        </w:rPr>
                      </w:pPr>
                      <w:r w:rsidRPr="00F66DEE">
                        <w:rPr>
                          <w:rFonts w:asciiTheme="majorHAnsi" w:hAnsiTheme="majorHAnsi" w:cs="Arial"/>
                          <w:color w:val="0D0D0D" w:themeColor="text1" w:themeTint="F2"/>
                          <w:szCs w:val="22"/>
                          <w:lang w:val="es-ES_tradnl"/>
                        </w:rPr>
                        <w:t xml:space="preserve">CRISTINA BRITEZ ARCE </w:t>
                      </w:r>
                    </w:p>
                    <w:p w:rsidR="008B676A" w:rsidRPr="0010736F" w:rsidRDefault="008B676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8B676A" w:rsidRPr="00AE5488" w:rsidRDefault="008B676A" w:rsidP="007A5817">
                      <w:pPr>
                        <w:rPr>
                          <w:color w:val="0D0D0D" w:themeColor="text1" w:themeTint="F2"/>
                          <w:lang w:val="es-ES_tradnl"/>
                        </w:rPr>
                      </w:pPr>
                    </w:p>
                  </w:txbxContent>
                </v:textbox>
              </v:shape>
            </w:pict>
          </mc:Fallback>
        </mc:AlternateContent>
      </w:r>
      <w:r w:rsidR="004E2649" w:rsidRPr="004A4000">
        <w:rPr>
          <w:rFonts w:asciiTheme="majorHAnsi" w:hAnsiTheme="majorHAnsi"/>
          <w:noProof/>
          <w:sz w:val="20"/>
          <w:szCs w:val="20"/>
        </w:rPr>
        <mc:AlternateContent>
          <mc:Choice Requires="wps">
            <w:drawing>
              <wp:anchor distT="0" distB="0" distL="114300" distR="114300" simplePos="0" relativeHeight="251653632" behindDoc="0" locked="0" layoutInCell="1" allowOverlap="1" wp14:anchorId="5A6371B6" wp14:editId="340E3C2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76A" w:rsidRPr="00107126" w:rsidRDefault="008B676A" w:rsidP="007A5817">
                            <w:pPr>
                              <w:spacing w:line="276" w:lineRule="auto"/>
                              <w:jc w:val="right"/>
                              <w:rPr>
                                <w:rFonts w:asciiTheme="minorHAnsi" w:hAnsiTheme="minorHAnsi"/>
                                <w:color w:val="FFFFFF" w:themeColor="background1"/>
                                <w:sz w:val="22"/>
                                <w:lang w:val="pt-BR"/>
                              </w:rPr>
                            </w:pPr>
                            <w:r w:rsidRPr="00107126">
                              <w:rPr>
                                <w:rFonts w:asciiTheme="minorHAnsi" w:hAnsiTheme="minorHAnsi"/>
                                <w:color w:val="FFFFFF" w:themeColor="background1"/>
                                <w:sz w:val="22"/>
                                <w:lang w:val="pt-BR"/>
                              </w:rPr>
                              <w:t>OEA/Ser.L/V/II.15</w:t>
                            </w:r>
                            <w:r w:rsidR="00FD4F59" w:rsidRPr="00107126">
                              <w:rPr>
                                <w:rFonts w:asciiTheme="minorHAnsi" w:hAnsiTheme="minorHAnsi"/>
                                <w:color w:val="FFFFFF" w:themeColor="background1"/>
                                <w:sz w:val="22"/>
                                <w:lang w:val="pt-BR"/>
                              </w:rPr>
                              <w:t>5</w:t>
                            </w:r>
                          </w:p>
                          <w:p w:rsidR="008B676A" w:rsidRPr="00107126" w:rsidRDefault="008B676A" w:rsidP="007A5817">
                            <w:pPr>
                              <w:spacing w:line="276" w:lineRule="auto"/>
                              <w:jc w:val="right"/>
                              <w:rPr>
                                <w:rFonts w:asciiTheme="minorHAnsi" w:hAnsiTheme="minorHAnsi"/>
                                <w:color w:val="FFFFFF" w:themeColor="background1"/>
                                <w:sz w:val="22"/>
                                <w:lang w:val="pt-BR"/>
                              </w:rPr>
                            </w:pPr>
                            <w:r w:rsidRPr="00107126">
                              <w:rPr>
                                <w:rFonts w:asciiTheme="minorHAnsi" w:hAnsiTheme="minorHAnsi"/>
                                <w:color w:val="FFFFFF" w:themeColor="background1"/>
                                <w:sz w:val="22"/>
                                <w:lang w:val="pt-BR"/>
                              </w:rPr>
                              <w:t xml:space="preserve">Doc. </w:t>
                            </w:r>
                            <w:r w:rsidR="002A7431" w:rsidRPr="00107126">
                              <w:rPr>
                                <w:rFonts w:asciiTheme="minorHAnsi" w:hAnsiTheme="minorHAnsi"/>
                                <w:color w:val="FFFFFF" w:themeColor="background1"/>
                                <w:sz w:val="22"/>
                                <w:lang w:val="pt-BR"/>
                              </w:rPr>
                              <w:t>26</w:t>
                            </w:r>
                          </w:p>
                          <w:p w:rsidR="008B676A" w:rsidRPr="002A7431" w:rsidRDefault="00107126"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28 julio</w:t>
                            </w:r>
                            <w:r w:rsidR="008B676A" w:rsidRPr="002A7431">
                              <w:rPr>
                                <w:rFonts w:asciiTheme="minorHAnsi" w:hAnsiTheme="minorHAnsi"/>
                                <w:color w:val="FFFFFF" w:themeColor="background1"/>
                                <w:sz w:val="22"/>
                                <w:lang w:val="es-AR"/>
                              </w:rPr>
                              <w:t xml:space="preserve"> 2015</w:t>
                            </w:r>
                          </w:p>
                          <w:p w:rsidR="008B676A" w:rsidRPr="00F66DEE" w:rsidRDefault="008B676A" w:rsidP="007A5817">
                            <w:pPr>
                              <w:spacing w:line="276" w:lineRule="auto"/>
                              <w:jc w:val="right"/>
                              <w:rPr>
                                <w:rFonts w:asciiTheme="minorHAnsi" w:hAnsiTheme="minorHAnsi"/>
                                <w:color w:val="FFFFFF" w:themeColor="background1"/>
                                <w:sz w:val="22"/>
                                <w:lang w:val="es-ES"/>
                              </w:rPr>
                            </w:pPr>
                            <w:r w:rsidRPr="00F66DE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B676A" w:rsidRPr="00107126" w:rsidRDefault="008B676A" w:rsidP="007A5817">
                      <w:pPr>
                        <w:spacing w:line="276" w:lineRule="auto"/>
                        <w:jc w:val="right"/>
                        <w:rPr>
                          <w:rFonts w:asciiTheme="minorHAnsi" w:hAnsiTheme="minorHAnsi"/>
                          <w:color w:val="FFFFFF" w:themeColor="background1"/>
                          <w:sz w:val="22"/>
                          <w:lang w:val="pt-BR"/>
                        </w:rPr>
                      </w:pPr>
                      <w:r w:rsidRPr="00107126">
                        <w:rPr>
                          <w:rFonts w:asciiTheme="minorHAnsi" w:hAnsiTheme="minorHAnsi"/>
                          <w:color w:val="FFFFFF" w:themeColor="background1"/>
                          <w:sz w:val="22"/>
                          <w:lang w:val="pt-BR"/>
                        </w:rPr>
                        <w:t>OEA/Ser.L/V/II.15</w:t>
                      </w:r>
                      <w:r w:rsidR="00FD4F59" w:rsidRPr="00107126">
                        <w:rPr>
                          <w:rFonts w:asciiTheme="minorHAnsi" w:hAnsiTheme="minorHAnsi"/>
                          <w:color w:val="FFFFFF" w:themeColor="background1"/>
                          <w:sz w:val="22"/>
                          <w:lang w:val="pt-BR"/>
                        </w:rPr>
                        <w:t>5</w:t>
                      </w:r>
                    </w:p>
                    <w:p w:rsidR="008B676A" w:rsidRPr="00107126" w:rsidRDefault="008B676A" w:rsidP="007A5817">
                      <w:pPr>
                        <w:spacing w:line="276" w:lineRule="auto"/>
                        <w:jc w:val="right"/>
                        <w:rPr>
                          <w:rFonts w:asciiTheme="minorHAnsi" w:hAnsiTheme="minorHAnsi"/>
                          <w:color w:val="FFFFFF" w:themeColor="background1"/>
                          <w:sz w:val="22"/>
                          <w:lang w:val="pt-BR"/>
                        </w:rPr>
                      </w:pPr>
                      <w:r w:rsidRPr="00107126">
                        <w:rPr>
                          <w:rFonts w:asciiTheme="minorHAnsi" w:hAnsiTheme="minorHAnsi"/>
                          <w:color w:val="FFFFFF" w:themeColor="background1"/>
                          <w:sz w:val="22"/>
                          <w:lang w:val="pt-BR"/>
                        </w:rPr>
                        <w:t xml:space="preserve">Doc. </w:t>
                      </w:r>
                      <w:r w:rsidR="002A7431" w:rsidRPr="00107126">
                        <w:rPr>
                          <w:rFonts w:asciiTheme="minorHAnsi" w:hAnsiTheme="minorHAnsi"/>
                          <w:color w:val="FFFFFF" w:themeColor="background1"/>
                          <w:sz w:val="22"/>
                          <w:lang w:val="pt-BR"/>
                        </w:rPr>
                        <w:t>26</w:t>
                      </w:r>
                    </w:p>
                    <w:p w:rsidR="008B676A" w:rsidRPr="002A7431" w:rsidRDefault="00107126"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28 julio</w:t>
                      </w:r>
                      <w:r w:rsidR="008B676A" w:rsidRPr="002A7431">
                        <w:rPr>
                          <w:rFonts w:asciiTheme="minorHAnsi" w:hAnsiTheme="minorHAnsi"/>
                          <w:color w:val="FFFFFF" w:themeColor="background1"/>
                          <w:sz w:val="22"/>
                          <w:lang w:val="es-AR"/>
                        </w:rPr>
                        <w:t xml:space="preserve"> 2015</w:t>
                      </w:r>
                    </w:p>
                    <w:p w:rsidR="008B676A" w:rsidRPr="00F66DEE" w:rsidRDefault="008B676A" w:rsidP="007A5817">
                      <w:pPr>
                        <w:spacing w:line="276" w:lineRule="auto"/>
                        <w:jc w:val="right"/>
                        <w:rPr>
                          <w:rFonts w:asciiTheme="minorHAnsi" w:hAnsiTheme="minorHAnsi"/>
                          <w:color w:val="FFFFFF" w:themeColor="background1"/>
                          <w:sz w:val="22"/>
                          <w:lang w:val="es-ES"/>
                        </w:rPr>
                      </w:pPr>
                      <w:r w:rsidRPr="00F66DEE">
                        <w:rPr>
                          <w:rFonts w:asciiTheme="minorHAnsi" w:hAnsiTheme="minorHAnsi"/>
                          <w:color w:val="FFFFFF" w:themeColor="background1"/>
                          <w:sz w:val="22"/>
                          <w:lang w:val="es-ES"/>
                        </w:rPr>
                        <w:t>Original: español</w:t>
                      </w:r>
                    </w:p>
                  </w:txbxContent>
                </v:textbox>
              </v:shape>
            </w:pict>
          </mc:Fallback>
        </mc:AlternateContent>
      </w: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cs="Arial"/>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040C3A" w:rsidRPr="004A4000" w:rsidRDefault="00040C3A"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128E4" w:rsidRPr="004A4000" w:rsidRDefault="005128E4"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237B3" w:rsidRDefault="005237B3"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97D62" w:rsidRDefault="00597D62"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97D62" w:rsidRDefault="00597D62"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97D62" w:rsidRPr="004A4000" w:rsidRDefault="00597D62"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237B3" w:rsidRPr="004A4000" w:rsidRDefault="005237B3" w:rsidP="005237B3">
      <w:pPr>
        <w:tabs>
          <w:tab w:val="left" w:pos="0"/>
          <w:tab w:val="center" w:pos="5400"/>
        </w:tabs>
        <w:suppressAutoHyphens/>
        <w:spacing w:after="200"/>
        <w:ind w:firstLine="720"/>
        <w:jc w:val="center"/>
        <w:rPr>
          <w:rFonts w:asciiTheme="majorHAnsi" w:hAnsiTheme="majorHAnsi"/>
          <w:sz w:val="20"/>
          <w:szCs w:val="20"/>
          <w:lang w:val="es-ES_tradnl"/>
        </w:rPr>
      </w:pPr>
    </w:p>
    <w:p w:rsidR="005237B3" w:rsidRPr="004A4000" w:rsidRDefault="005237B3" w:rsidP="005237B3">
      <w:pPr>
        <w:tabs>
          <w:tab w:val="left" w:pos="0"/>
          <w:tab w:val="center" w:pos="5400"/>
        </w:tabs>
        <w:suppressAutoHyphens/>
        <w:spacing w:after="200"/>
        <w:ind w:firstLine="720"/>
        <w:jc w:val="center"/>
        <w:rPr>
          <w:rFonts w:asciiTheme="majorHAnsi" w:hAnsiTheme="majorHAnsi"/>
          <w:sz w:val="20"/>
          <w:szCs w:val="20"/>
          <w:lang w:val="es-ES_tradnl"/>
        </w:rPr>
      </w:pPr>
    </w:p>
    <w:p w:rsidR="00A50FCF" w:rsidRPr="004A4000" w:rsidRDefault="0090270B" w:rsidP="005237B3">
      <w:pPr>
        <w:tabs>
          <w:tab w:val="left" w:pos="0"/>
          <w:tab w:val="center" w:pos="5400"/>
        </w:tabs>
        <w:suppressAutoHyphens/>
        <w:spacing w:after="200"/>
        <w:ind w:firstLine="720"/>
        <w:jc w:val="center"/>
        <w:rPr>
          <w:rFonts w:asciiTheme="majorHAnsi" w:hAnsiTheme="majorHAnsi"/>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44416" behindDoc="0" locked="0" layoutInCell="1" allowOverlap="1" wp14:anchorId="2127216E" wp14:editId="753A2A5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76A" w:rsidRPr="007A5817" w:rsidRDefault="008B676A"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A7431">
                              <w:rPr>
                                <w:rFonts w:asciiTheme="majorHAnsi" w:hAnsiTheme="majorHAnsi"/>
                                <w:color w:val="0D0D0D" w:themeColor="text1" w:themeTint="F2"/>
                                <w:sz w:val="18"/>
                                <w:szCs w:val="20"/>
                                <w:lang w:val="es-ES"/>
                              </w:rPr>
                              <w:t>2044</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2A7431">
                              <w:rPr>
                                <w:rFonts w:asciiTheme="majorHAnsi" w:hAnsiTheme="majorHAnsi"/>
                                <w:color w:val="0D0D0D" w:themeColor="text1" w:themeTint="F2"/>
                                <w:sz w:val="18"/>
                                <w:szCs w:val="20"/>
                                <w:lang w:val="es-ES"/>
                              </w:rPr>
                              <w:t>28</w:t>
                            </w:r>
                            <w:r>
                              <w:rPr>
                                <w:rFonts w:asciiTheme="majorHAnsi" w:hAnsiTheme="majorHAnsi"/>
                                <w:color w:val="0D0D0D" w:themeColor="text1" w:themeTint="F2"/>
                                <w:sz w:val="18"/>
                                <w:szCs w:val="20"/>
                                <w:lang w:val="es-ES"/>
                              </w:rPr>
                              <w:t xml:space="preserve"> de </w:t>
                            </w:r>
                            <w:r w:rsidR="002A7431">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w:t>
                            </w:r>
                            <w:r w:rsidR="002A7431">
                              <w:rPr>
                                <w:rFonts w:asciiTheme="majorHAnsi" w:hAnsiTheme="majorHAnsi" w:cs="Univers"/>
                                <w:color w:val="0D0D0D" w:themeColor="text1" w:themeTint="F2"/>
                                <w:sz w:val="18"/>
                                <w:szCs w:val="20"/>
                                <w:lang w:val="es-ES_tradnl"/>
                              </w:rPr>
                              <w:t>5</w:t>
                            </w:r>
                            <w:r w:rsidRPr="00890650">
                              <w:rPr>
                                <w:rFonts w:asciiTheme="majorHAnsi" w:hAnsiTheme="majorHAnsi" w:cs="Univers"/>
                                <w:color w:val="0D0D0D" w:themeColor="text1" w:themeTint="F2"/>
                                <w:sz w:val="18"/>
                                <w:szCs w:val="20"/>
                                <w:lang w:val="es-ES_tradnl"/>
                              </w:rPr>
                              <w:t xml:space="preserve"> período ordinario de sesiones</w:t>
                            </w:r>
                            <w:r w:rsidR="006F0B37">
                              <w:rPr>
                                <w:rFonts w:asciiTheme="majorHAnsi" w:hAnsiTheme="majorHAnsi" w:cs="Univers"/>
                                <w:color w:val="0D0D0D" w:themeColor="text1" w:themeTint="F2"/>
                                <w:sz w:val="18"/>
                                <w:szCs w:val="20"/>
                                <w:lang w:val="es-ES_tradnl"/>
                              </w:rPr>
                              <w:t>.</w:t>
                            </w:r>
                          </w:p>
                          <w:p w:rsidR="008B676A" w:rsidRPr="00167A34" w:rsidRDefault="008B676A" w:rsidP="0059191A">
                            <w:pPr>
                              <w:tabs>
                                <w:tab w:val="center" w:pos="5400"/>
                              </w:tabs>
                              <w:suppressAutoHyphens/>
                              <w:spacing w:before="60"/>
                              <w:rPr>
                                <w:rFonts w:ascii="Calibri" w:hAnsi="Calibri"/>
                                <w:color w:val="FFFFFF" w:themeColor="background1"/>
                                <w:spacing w:val="-2"/>
                                <w:sz w:val="16"/>
                                <w:lang w:val="es-ES"/>
                              </w:rPr>
                            </w:pPr>
                          </w:p>
                          <w:p w:rsidR="008B676A" w:rsidRPr="00FE1DB0" w:rsidRDefault="008B676A">
                            <w:pPr>
                              <w:rPr>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B676A" w:rsidRPr="007A5817" w:rsidRDefault="008B676A"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A7431">
                        <w:rPr>
                          <w:rFonts w:asciiTheme="majorHAnsi" w:hAnsiTheme="majorHAnsi"/>
                          <w:color w:val="0D0D0D" w:themeColor="text1" w:themeTint="F2"/>
                          <w:sz w:val="18"/>
                          <w:szCs w:val="20"/>
                          <w:lang w:val="es-ES"/>
                        </w:rPr>
                        <w:t>2044</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2A7431">
                        <w:rPr>
                          <w:rFonts w:asciiTheme="majorHAnsi" w:hAnsiTheme="majorHAnsi"/>
                          <w:color w:val="0D0D0D" w:themeColor="text1" w:themeTint="F2"/>
                          <w:sz w:val="18"/>
                          <w:szCs w:val="20"/>
                          <w:lang w:val="es-ES"/>
                        </w:rPr>
                        <w:t>28</w:t>
                      </w:r>
                      <w:r>
                        <w:rPr>
                          <w:rFonts w:asciiTheme="majorHAnsi" w:hAnsiTheme="majorHAnsi"/>
                          <w:color w:val="0D0D0D" w:themeColor="text1" w:themeTint="F2"/>
                          <w:sz w:val="18"/>
                          <w:szCs w:val="20"/>
                          <w:lang w:val="es-ES"/>
                        </w:rPr>
                        <w:t xml:space="preserve"> de </w:t>
                      </w:r>
                      <w:r w:rsidR="002A7431">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w:t>
                      </w:r>
                      <w:r w:rsidR="002A7431">
                        <w:rPr>
                          <w:rFonts w:asciiTheme="majorHAnsi" w:hAnsiTheme="majorHAnsi" w:cs="Univers"/>
                          <w:color w:val="0D0D0D" w:themeColor="text1" w:themeTint="F2"/>
                          <w:sz w:val="18"/>
                          <w:szCs w:val="20"/>
                          <w:lang w:val="es-ES_tradnl"/>
                        </w:rPr>
                        <w:t>5</w:t>
                      </w:r>
                      <w:r w:rsidRPr="00890650">
                        <w:rPr>
                          <w:rFonts w:asciiTheme="majorHAnsi" w:hAnsiTheme="majorHAnsi" w:cs="Univers"/>
                          <w:color w:val="0D0D0D" w:themeColor="text1" w:themeTint="F2"/>
                          <w:sz w:val="18"/>
                          <w:szCs w:val="20"/>
                          <w:lang w:val="es-ES_tradnl"/>
                        </w:rPr>
                        <w:t xml:space="preserve"> período ordinario de sesiones</w:t>
                      </w:r>
                      <w:r w:rsidR="006F0B37">
                        <w:rPr>
                          <w:rFonts w:asciiTheme="majorHAnsi" w:hAnsiTheme="majorHAnsi" w:cs="Univers"/>
                          <w:color w:val="0D0D0D" w:themeColor="text1" w:themeTint="F2"/>
                          <w:sz w:val="18"/>
                          <w:szCs w:val="20"/>
                          <w:lang w:val="es-ES_tradnl"/>
                        </w:rPr>
                        <w:t>.</w:t>
                      </w:r>
                    </w:p>
                    <w:p w:rsidR="008B676A" w:rsidRPr="00167A34" w:rsidRDefault="008B676A" w:rsidP="0059191A">
                      <w:pPr>
                        <w:tabs>
                          <w:tab w:val="center" w:pos="5400"/>
                        </w:tabs>
                        <w:suppressAutoHyphens/>
                        <w:spacing w:before="60"/>
                        <w:rPr>
                          <w:rFonts w:ascii="Calibri" w:hAnsi="Calibri"/>
                          <w:color w:val="FFFFFF" w:themeColor="background1"/>
                          <w:spacing w:val="-2"/>
                          <w:sz w:val="16"/>
                          <w:lang w:val="es-ES"/>
                        </w:rPr>
                      </w:pPr>
                    </w:p>
                    <w:p w:rsidR="008B676A" w:rsidRPr="00FE1DB0" w:rsidRDefault="008B676A">
                      <w:pPr>
                        <w:rPr>
                          <w:lang w:val="es-AR"/>
                        </w:rPr>
                      </w:pPr>
                    </w:p>
                  </w:txbxContent>
                </v:textbox>
              </v:shape>
            </w:pict>
          </mc:Fallback>
        </mc:AlternateContent>
      </w:r>
    </w:p>
    <w:p w:rsidR="00A50FCF" w:rsidRPr="004A4000" w:rsidRDefault="00A50FCF" w:rsidP="005237B3">
      <w:pPr>
        <w:tabs>
          <w:tab w:val="left" w:pos="0"/>
          <w:tab w:val="center" w:pos="5400"/>
        </w:tabs>
        <w:suppressAutoHyphens/>
        <w:spacing w:after="200"/>
        <w:ind w:firstLine="720"/>
        <w:jc w:val="center"/>
        <w:rPr>
          <w:rFonts w:asciiTheme="majorHAnsi" w:hAnsiTheme="majorHAnsi"/>
          <w:sz w:val="20"/>
          <w:szCs w:val="20"/>
          <w:lang w:val="es-ES_tradnl"/>
        </w:rPr>
      </w:pPr>
    </w:p>
    <w:p w:rsidR="0090270B" w:rsidRPr="004A4000" w:rsidRDefault="0090270B" w:rsidP="005237B3">
      <w:pPr>
        <w:tabs>
          <w:tab w:val="left" w:pos="0"/>
          <w:tab w:val="center" w:pos="5400"/>
        </w:tabs>
        <w:suppressAutoHyphens/>
        <w:spacing w:after="200"/>
        <w:ind w:firstLine="720"/>
        <w:jc w:val="center"/>
        <w:rPr>
          <w:rFonts w:asciiTheme="majorHAnsi" w:hAnsiTheme="majorHAnsi"/>
          <w:sz w:val="20"/>
          <w:szCs w:val="20"/>
          <w:lang w:val="es-ES_tradnl"/>
        </w:rPr>
      </w:pPr>
      <w:r w:rsidRPr="004A4000">
        <w:rPr>
          <w:rFonts w:asciiTheme="majorHAnsi" w:hAnsiTheme="majorHAnsi"/>
          <w:noProof/>
          <w:sz w:val="20"/>
          <w:szCs w:val="20"/>
        </w:rPr>
        <mc:AlternateContent>
          <mc:Choice Requires="wps">
            <w:drawing>
              <wp:anchor distT="0" distB="0" distL="114300" distR="114300" simplePos="0" relativeHeight="251665920" behindDoc="0" locked="0" layoutInCell="1" allowOverlap="1" wp14:anchorId="537719FB" wp14:editId="1B2C8BE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76A" w:rsidRPr="00F66DEE" w:rsidRDefault="008B676A" w:rsidP="00113F73">
                            <w:pPr>
                              <w:spacing w:line="276" w:lineRule="auto"/>
                              <w:rPr>
                                <w:rFonts w:asciiTheme="majorHAnsi" w:hAnsiTheme="majorHAnsi"/>
                                <w:color w:val="595959" w:themeColor="text1" w:themeTint="A6"/>
                                <w:sz w:val="18"/>
                                <w:szCs w:val="18"/>
                                <w:lang w:val="es-ES"/>
                              </w:rPr>
                            </w:pPr>
                            <w:r w:rsidRPr="002A7431">
                              <w:rPr>
                                <w:rFonts w:asciiTheme="majorHAnsi" w:hAnsiTheme="majorHAnsi"/>
                                <w:b/>
                                <w:color w:val="595959" w:themeColor="text1" w:themeTint="A6"/>
                                <w:sz w:val="18"/>
                                <w:szCs w:val="18"/>
                                <w:lang w:val="es-AR"/>
                              </w:rPr>
                              <w:t>Citar como:</w:t>
                            </w:r>
                            <w:r w:rsidRPr="002A7431">
                              <w:rPr>
                                <w:rFonts w:asciiTheme="majorHAnsi" w:hAnsiTheme="majorHAnsi"/>
                                <w:color w:val="595959" w:themeColor="text1" w:themeTint="A6"/>
                                <w:sz w:val="18"/>
                                <w:szCs w:val="18"/>
                                <w:lang w:val="es-AR"/>
                              </w:rPr>
                              <w:t xml:space="preserve"> CIDH, Informe No. </w:t>
                            </w:r>
                            <w:r w:rsidR="002A7431" w:rsidRPr="002A7431">
                              <w:rPr>
                                <w:rFonts w:asciiTheme="majorHAnsi" w:hAnsiTheme="majorHAnsi"/>
                                <w:color w:val="595959" w:themeColor="text1" w:themeTint="A6"/>
                                <w:sz w:val="18"/>
                                <w:szCs w:val="18"/>
                                <w:lang w:val="es-AR"/>
                              </w:rPr>
                              <w:t>46/15,</w:t>
                            </w:r>
                            <w:r w:rsidRPr="00890650">
                              <w:rPr>
                                <w:rFonts w:asciiTheme="majorHAnsi" w:hAnsiTheme="majorHAnsi"/>
                                <w:color w:val="595959" w:themeColor="text1" w:themeTint="A6"/>
                                <w:sz w:val="18"/>
                                <w:szCs w:val="18"/>
                                <w:lang w:val="es-ES_tradnl"/>
                              </w:rPr>
                              <w:t xml:space="preserve"> Petición</w:t>
                            </w:r>
                            <w:r>
                              <w:rPr>
                                <w:rFonts w:asciiTheme="majorHAnsi" w:hAnsiTheme="majorHAnsi"/>
                                <w:color w:val="595959" w:themeColor="text1" w:themeTint="A6"/>
                                <w:sz w:val="18"/>
                                <w:szCs w:val="18"/>
                                <w:lang w:val="es-ES_tradnl"/>
                              </w:rPr>
                              <w:t xml:space="preserve"> 315-01. 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Cristina Britez Arce</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2A7431">
                              <w:rPr>
                                <w:rFonts w:asciiTheme="majorHAnsi" w:hAnsiTheme="majorHAnsi"/>
                                <w:color w:val="595959" w:themeColor="text1" w:themeTint="A6"/>
                                <w:sz w:val="18"/>
                                <w:szCs w:val="18"/>
                                <w:lang w:val="es-ES"/>
                              </w:rPr>
                              <w:t>28 de julio de 2015</w:t>
                            </w:r>
                            <w:r w:rsidRPr="00F66DE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B676A" w:rsidRPr="00F66DEE" w:rsidRDefault="008B676A" w:rsidP="00113F73">
                      <w:pPr>
                        <w:spacing w:line="276" w:lineRule="auto"/>
                        <w:rPr>
                          <w:rFonts w:asciiTheme="majorHAnsi" w:hAnsiTheme="majorHAnsi"/>
                          <w:color w:val="595959" w:themeColor="text1" w:themeTint="A6"/>
                          <w:sz w:val="18"/>
                          <w:szCs w:val="18"/>
                          <w:lang w:val="es-ES"/>
                        </w:rPr>
                      </w:pPr>
                      <w:r w:rsidRPr="002A7431">
                        <w:rPr>
                          <w:rFonts w:asciiTheme="majorHAnsi" w:hAnsiTheme="majorHAnsi"/>
                          <w:b/>
                          <w:color w:val="595959" w:themeColor="text1" w:themeTint="A6"/>
                          <w:sz w:val="18"/>
                          <w:szCs w:val="18"/>
                          <w:lang w:val="es-AR"/>
                        </w:rPr>
                        <w:t>Citar como:</w:t>
                      </w:r>
                      <w:r w:rsidRPr="002A7431">
                        <w:rPr>
                          <w:rFonts w:asciiTheme="majorHAnsi" w:hAnsiTheme="majorHAnsi"/>
                          <w:color w:val="595959" w:themeColor="text1" w:themeTint="A6"/>
                          <w:sz w:val="18"/>
                          <w:szCs w:val="18"/>
                          <w:lang w:val="es-AR"/>
                        </w:rPr>
                        <w:t xml:space="preserve"> CIDH, Informe No. </w:t>
                      </w:r>
                      <w:r w:rsidR="002A7431" w:rsidRPr="002A7431">
                        <w:rPr>
                          <w:rFonts w:asciiTheme="majorHAnsi" w:hAnsiTheme="majorHAnsi"/>
                          <w:color w:val="595959" w:themeColor="text1" w:themeTint="A6"/>
                          <w:sz w:val="18"/>
                          <w:szCs w:val="18"/>
                          <w:lang w:val="es-AR"/>
                        </w:rPr>
                        <w:t>46/15,</w:t>
                      </w:r>
                      <w:r w:rsidRPr="00890650">
                        <w:rPr>
                          <w:rFonts w:asciiTheme="majorHAnsi" w:hAnsiTheme="majorHAnsi"/>
                          <w:color w:val="595959" w:themeColor="text1" w:themeTint="A6"/>
                          <w:sz w:val="18"/>
                          <w:szCs w:val="18"/>
                          <w:lang w:val="es-ES_tradnl"/>
                        </w:rPr>
                        <w:t xml:space="preserve"> Petición</w:t>
                      </w:r>
                      <w:r>
                        <w:rPr>
                          <w:rFonts w:asciiTheme="majorHAnsi" w:hAnsiTheme="majorHAnsi"/>
                          <w:color w:val="595959" w:themeColor="text1" w:themeTint="A6"/>
                          <w:sz w:val="18"/>
                          <w:szCs w:val="18"/>
                          <w:lang w:val="es-ES_tradnl"/>
                        </w:rPr>
                        <w:t xml:space="preserve"> 315-01. 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Cristina </w:t>
                      </w:r>
                      <w:proofErr w:type="spellStart"/>
                      <w:r>
                        <w:rPr>
                          <w:rFonts w:asciiTheme="majorHAnsi" w:hAnsiTheme="majorHAnsi"/>
                          <w:color w:val="595959" w:themeColor="text1" w:themeTint="A6"/>
                          <w:sz w:val="18"/>
                          <w:szCs w:val="18"/>
                          <w:lang w:val="es-ES_tradnl"/>
                        </w:rPr>
                        <w:t>Britez</w:t>
                      </w:r>
                      <w:proofErr w:type="spellEnd"/>
                      <w:r>
                        <w:rPr>
                          <w:rFonts w:asciiTheme="majorHAnsi" w:hAnsiTheme="majorHAnsi"/>
                          <w:color w:val="595959" w:themeColor="text1" w:themeTint="A6"/>
                          <w:sz w:val="18"/>
                          <w:szCs w:val="18"/>
                          <w:lang w:val="es-ES_tradnl"/>
                        </w:rPr>
                        <w:t xml:space="preserve"> Arce</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2A7431">
                        <w:rPr>
                          <w:rFonts w:asciiTheme="majorHAnsi" w:hAnsiTheme="majorHAnsi"/>
                          <w:color w:val="595959" w:themeColor="text1" w:themeTint="A6"/>
                          <w:sz w:val="18"/>
                          <w:szCs w:val="18"/>
                          <w:lang w:val="es-ES"/>
                        </w:rPr>
                        <w:t>28 de julio de 2015</w:t>
                      </w:r>
                      <w:r w:rsidRPr="00F66DEE">
                        <w:rPr>
                          <w:rFonts w:asciiTheme="majorHAnsi" w:hAnsiTheme="majorHAnsi"/>
                          <w:color w:val="595959" w:themeColor="text1" w:themeTint="A6"/>
                          <w:sz w:val="18"/>
                          <w:szCs w:val="18"/>
                          <w:lang w:val="es-ES"/>
                        </w:rPr>
                        <w:t>.</w:t>
                      </w:r>
                    </w:p>
                  </w:txbxContent>
                </v:textbox>
              </v:shape>
            </w:pict>
          </mc:Fallback>
        </mc:AlternateContent>
      </w:r>
      <w:r w:rsidR="00D306D1" w:rsidRPr="004A4000">
        <w:rPr>
          <w:rFonts w:asciiTheme="majorHAnsi" w:hAnsiTheme="majorHAnsi"/>
          <w:noProof/>
          <w:sz w:val="20"/>
          <w:szCs w:val="20"/>
        </w:rPr>
        <mc:AlternateContent>
          <mc:Choice Requires="wps">
            <w:drawing>
              <wp:anchor distT="0" distB="0" distL="114300" distR="114300" simplePos="0" relativeHeight="251678208" behindDoc="0" locked="0" layoutInCell="1" allowOverlap="1" wp14:anchorId="16FED41D" wp14:editId="491C17C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76A" w:rsidRPr="00D72DC6" w:rsidRDefault="008B676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CD36DE" wp14:editId="0EBECA6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B676A" w:rsidRPr="00D72DC6" w:rsidRDefault="008B676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CD36DE" wp14:editId="0EBECA6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00D306D1" w:rsidRPr="004A4000">
        <w:rPr>
          <w:rFonts w:asciiTheme="majorHAnsi" w:hAnsiTheme="majorHAnsi"/>
          <w:noProof/>
          <w:sz w:val="20"/>
          <w:szCs w:val="20"/>
        </w:rPr>
        <mc:AlternateContent>
          <mc:Choice Requires="wps">
            <w:drawing>
              <wp:anchor distT="0" distB="0" distL="114300" distR="114300" simplePos="0" relativeHeight="251690496" behindDoc="0" locked="0" layoutInCell="1" allowOverlap="1" wp14:anchorId="55CA0750" wp14:editId="42875AD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76A" w:rsidRPr="004B7EB6" w:rsidRDefault="008B676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B676A" w:rsidRPr="004B7EB6" w:rsidRDefault="008B676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A4000" w:rsidRDefault="0070697F" w:rsidP="005237B3">
      <w:pPr>
        <w:tabs>
          <w:tab w:val="left" w:pos="0"/>
          <w:tab w:val="center" w:pos="5400"/>
        </w:tabs>
        <w:suppressAutoHyphens/>
        <w:spacing w:after="200"/>
        <w:ind w:firstLine="720"/>
        <w:jc w:val="center"/>
        <w:rPr>
          <w:rFonts w:asciiTheme="majorHAnsi" w:hAnsiTheme="majorHAnsi"/>
          <w:b/>
          <w:sz w:val="20"/>
          <w:szCs w:val="20"/>
          <w:lang w:val="es-ES_tradnl"/>
        </w:rPr>
        <w:sectPr w:rsidR="0070697F" w:rsidRPr="004A400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FD4F59" w:rsidRDefault="00722C9F" w:rsidP="00BC66B5">
      <w:pPr>
        <w:tabs>
          <w:tab w:val="left" w:pos="0"/>
          <w:tab w:val="center" w:pos="5400"/>
        </w:tabs>
        <w:suppressAutoHyphens/>
        <w:jc w:val="center"/>
        <w:rPr>
          <w:rFonts w:asciiTheme="majorHAnsi" w:hAnsiTheme="majorHAnsi"/>
          <w:b/>
          <w:sz w:val="18"/>
          <w:szCs w:val="18"/>
          <w:lang w:val="es-ES_tradnl"/>
        </w:rPr>
      </w:pPr>
      <w:r w:rsidRPr="00FD4F59">
        <w:rPr>
          <w:rFonts w:asciiTheme="majorHAnsi" w:hAnsiTheme="majorHAnsi"/>
          <w:b/>
          <w:sz w:val="18"/>
          <w:szCs w:val="18"/>
          <w:lang w:val="es-ES_tradnl"/>
        </w:rPr>
        <w:lastRenderedPageBreak/>
        <w:t xml:space="preserve">INFORME No. </w:t>
      </w:r>
      <w:r w:rsidR="002A7431">
        <w:rPr>
          <w:rFonts w:asciiTheme="majorHAnsi" w:hAnsiTheme="majorHAnsi"/>
          <w:b/>
          <w:sz w:val="18"/>
          <w:szCs w:val="18"/>
          <w:lang w:val="es-ES_tradnl"/>
        </w:rPr>
        <w:t>46</w:t>
      </w:r>
      <w:r w:rsidRPr="00FD4F59">
        <w:rPr>
          <w:rFonts w:asciiTheme="majorHAnsi" w:hAnsiTheme="majorHAnsi"/>
          <w:b/>
          <w:sz w:val="18"/>
          <w:szCs w:val="18"/>
          <w:lang w:val="es-ES_tradnl"/>
        </w:rPr>
        <w:t>/1</w:t>
      </w:r>
      <w:r w:rsidR="00F66DEE" w:rsidRPr="00FD4F59">
        <w:rPr>
          <w:rFonts w:asciiTheme="majorHAnsi" w:hAnsiTheme="majorHAnsi"/>
          <w:b/>
          <w:sz w:val="18"/>
          <w:szCs w:val="18"/>
          <w:lang w:val="es-ES_tradnl"/>
        </w:rPr>
        <w:t>5</w:t>
      </w:r>
    </w:p>
    <w:p w:rsidR="00722C9F" w:rsidRPr="00FD4F59" w:rsidRDefault="00722C9F" w:rsidP="00BC66B5">
      <w:pPr>
        <w:tabs>
          <w:tab w:val="left" w:pos="0"/>
          <w:tab w:val="center" w:pos="5400"/>
        </w:tabs>
        <w:suppressAutoHyphens/>
        <w:jc w:val="center"/>
        <w:rPr>
          <w:rFonts w:asciiTheme="majorHAnsi" w:hAnsiTheme="majorHAnsi"/>
          <w:b/>
          <w:sz w:val="18"/>
          <w:szCs w:val="18"/>
          <w:lang w:val="es-ES_tradnl"/>
        </w:rPr>
      </w:pPr>
      <w:r w:rsidRPr="00FD4F59">
        <w:rPr>
          <w:rFonts w:asciiTheme="majorHAnsi" w:hAnsiTheme="majorHAnsi"/>
          <w:b/>
          <w:sz w:val="18"/>
          <w:szCs w:val="18"/>
          <w:lang w:val="es-ES_tradnl"/>
        </w:rPr>
        <w:t xml:space="preserve">PETICIÓN </w:t>
      </w:r>
      <w:r w:rsidR="00F66DEE" w:rsidRPr="00FD4F59">
        <w:rPr>
          <w:rFonts w:asciiTheme="majorHAnsi" w:hAnsiTheme="majorHAnsi"/>
          <w:b/>
          <w:sz w:val="18"/>
          <w:szCs w:val="18"/>
          <w:lang w:val="es-ES_tradnl"/>
        </w:rPr>
        <w:t>315-01</w:t>
      </w:r>
    </w:p>
    <w:p w:rsidR="00722C9F" w:rsidRPr="00FD4F59" w:rsidRDefault="00722C9F" w:rsidP="00BC66B5">
      <w:pPr>
        <w:tabs>
          <w:tab w:val="left" w:pos="0"/>
          <w:tab w:val="center" w:pos="5400"/>
        </w:tabs>
        <w:suppressAutoHyphens/>
        <w:jc w:val="center"/>
        <w:rPr>
          <w:rFonts w:asciiTheme="majorHAnsi" w:hAnsiTheme="majorHAnsi"/>
          <w:sz w:val="18"/>
          <w:szCs w:val="18"/>
          <w:lang w:val="es-ES_tradnl"/>
        </w:rPr>
      </w:pPr>
      <w:r w:rsidRPr="00FD4F59">
        <w:rPr>
          <w:rFonts w:asciiTheme="majorHAnsi" w:hAnsiTheme="majorHAnsi"/>
          <w:sz w:val="18"/>
          <w:szCs w:val="18"/>
          <w:lang w:val="es-ES_tradnl"/>
        </w:rPr>
        <w:t xml:space="preserve">INFORME DE ADMISIBILIDAD </w:t>
      </w:r>
    </w:p>
    <w:p w:rsidR="00722C9F" w:rsidRPr="00FD4F59" w:rsidRDefault="00F66DEE" w:rsidP="00BC66B5">
      <w:pPr>
        <w:tabs>
          <w:tab w:val="left" w:pos="0"/>
          <w:tab w:val="center" w:pos="5400"/>
        </w:tabs>
        <w:suppressAutoHyphens/>
        <w:jc w:val="center"/>
        <w:rPr>
          <w:rFonts w:asciiTheme="majorHAnsi" w:hAnsiTheme="majorHAnsi"/>
          <w:sz w:val="18"/>
          <w:szCs w:val="18"/>
          <w:lang w:val="es-ES_tradnl"/>
        </w:rPr>
      </w:pPr>
      <w:r w:rsidRPr="00FD4F59">
        <w:rPr>
          <w:rFonts w:asciiTheme="majorHAnsi" w:hAnsiTheme="majorHAnsi"/>
          <w:sz w:val="18"/>
          <w:szCs w:val="18"/>
          <w:lang w:val="es-ES_tradnl"/>
        </w:rPr>
        <w:t>CRISTINA BRITEZ ARCE</w:t>
      </w:r>
    </w:p>
    <w:p w:rsidR="00722C9F" w:rsidRPr="00FD4F59" w:rsidRDefault="00F66DEE" w:rsidP="00BC66B5">
      <w:pPr>
        <w:tabs>
          <w:tab w:val="left" w:pos="0"/>
          <w:tab w:val="center" w:pos="5400"/>
        </w:tabs>
        <w:suppressAutoHyphens/>
        <w:jc w:val="center"/>
        <w:rPr>
          <w:rFonts w:asciiTheme="majorHAnsi" w:hAnsiTheme="majorHAnsi"/>
          <w:sz w:val="18"/>
          <w:szCs w:val="18"/>
          <w:lang w:val="es-ES_tradnl"/>
        </w:rPr>
      </w:pPr>
      <w:r w:rsidRPr="00FD4F59">
        <w:rPr>
          <w:rFonts w:asciiTheme="majorHAnsi" w:hAnsiTheme="majorHAnsi"/>
          <w:sz w:val="18"/>
          <w:szCs w:val="18"/>
          <w:lang w:val="es-ES_tradnl"/>
        </w:rPr>
        <w:t>ARGENTINA</w:t>
      </w:r>
    </w:p>
    <w:p w:rsidR="00722C9F" w:rsidRPr="00FD4F59" w:rsidRDefault="002A7431" w:rsidP="00BC66B5">
      <w:pPr>
        <w:tabs>
          <w:tab w:val="left" w:pos="0"/>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28 DE JULIO DE 2015</w:t>
      </w:r>
    </w:p>
    <w:p w:rsidR="00DF1EC4" w:rsidRPr="00FD4F59" w:rsidRDefault="00DF1EC4" w:rsidP="00FD4F59">
      <w:pPr>
        <w:tabs>
          <w:tab w:val="left" w:pos="0"/>
          <w:tab w:val="center" w:pos="4680"/>
          <w:tab w:val="left" w:pos="6511"/>
        </w:tabs>
        <w:ind w:firstLine="720"/>
        <w:rPr>
          <w:rFonts w:asciiTheme="majorHAnsi" w:hAnsiTheme="majorHAnsi" w:cs="Calibri"/>
          <w:sz w:val="20"/>
          <w:szCs w:val="20"/>
          <w:lang w:val="es-ES_tradnl"/>
        </w:rPr>
      </w:pPr>
    </w:p>
    <w:p w:rsidR="00FD4F59" w:rsidRPr="00FD4F59" w:rsidRDefault="00FD4F59" w:rsidP="00FD4F59">
      <w:pPr>
        <w:tabs>
          <w:tab w:val="left" w:pos="0"/>
          <w:tab w:val="center" w:pos="4680"/>
          <w:tab w:val="left" w:pos="6511"/>
        </w:tabs>
        <w:ind w:firstLine="720"/>
        <w:rPr>
          <w:rFonts w:asciiTheme="majorHAnsi" w:hAnsiTheme="majorHAnsi" w:cs="Calibri"/>
          <w:sz w:val="20"/>
          <w:szCs w:val="20"/>
          <w:lang w:val="es-ES_tradnl"/>
        </w:rPr>
      </w:pPr>
    </w:p>
    <w:p w:rsidR="00E21857" w:rsidRDefault="00F66DEE" w:rsidP="007D4D73">
      <w:pPr>
        <w:pStyle w:val="Heading1"/>
      </w:pPr>
      <w:r w:rsidRPr="00FD4F59">
        <w:t>RESUMEN</w:t>
      </w:r>
    </w:p>
    <w:p w:rsidR="00FD4F59" w:rsidRPr="00FD4F59" w:rsidRDefault="00FD4F59" w:rsidP="00FD4F59">
      <w:pPr>
        <w:rPr>
          <w:lang w:val="es-ES_tradnl"/>
        </w:rPr>
      </w:pPr>
    </w:p>
    <w:p w:rsidR="005162FD" w:rsidRDefault="00E21857" w:rsidP="005162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El 20 de abril de 2001, Ezequiel Mar</w:t>
      </w:r>
      <w:r w:rsidR="003458B7" w:rsidRPr="00FD4F59">
        <w:rPr>
          <w:rFonts w:asciiTheme="majorHAnsi" w:hAnsiTheme="majorHAnsi"/>
          <w:color w:val="000000"/>
          <w:sz w:val="20"/>
          <w:szCs w:val="20"/>
          <w:lang w:val="es-ES"/>
        </w:rPr>
        <w:t>tí</w:t>
      </w:r>
      <w:r w:rsidRPr="00FD4F59">
        <w:rPr>
          <w:rFonts w:asciiTheme="majorHAnsi" w:hAnsiTheme="majorHAnsi"/>
          <w:color w:val="000000"/>
          <w:sz w:val="20"/>
          <w:szCs w:val="20"/>
          <w:lang w:val="es-ES"/>
        </w:rPr>
        <w:t>n y Vanina Verónica Avaro (en adelante</w:t>
      </w:r>
      <w:r w:rsidR="00E71F9F"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w:t>
      </w:r>
      <w:r w:rsidR="00E71F9F"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los peticionarios”), pre</w:t>
      </w:r>
      <w:r w:rsidR="006C1DFB" w:rsidRPr="00FD4F59">
        <w:rPr>
          <w:rFonts w:asciiTheme="majorHAnsi" w:hAnsiTheme="majorHAnsi"/>
          <w:color w:val="000000"/>
          <w:sz w:val="20"/>
          <w:szCs w:val="20"/>
          <w:lang w:val="es-ES"/>
        </w:rPr>
        <w:t>sentaron una petición en la oficina</w:t>
      </w:r>
      <w:r w:rsidRPr="00FD4F59">
        <w:rPr>
          <w:rFonts w:asciiTheme="majorHAnsi" w:hAnsiTheme="majorHAnsi"/>
          <w:color w:val="000000"/>
          <w:sz w:val="20"/>
          <w:szCs w:val="20"/>
          <w:lang w:val="es-ES"/>
        </w:rPr>
        <w:t xml:space="preserve"> de la Organización de Estado</w:t>
      </w:r>
      <w:r w:rsidR="00C53D72" w:rsidRPr="00FD4F59">
        <w:rPr>
          <w:rFonts w:asciiTheme="majorHAnsi" w:hAnsiTheme="majorHAnsi"/>
          <w:color w:val="000000"/>
          <w:sz w:val="20"/>
          <w:szCs w:val="20"/>
          <w:lang w:val="es-ES"/>
        </w:rPr>
        <w:t>s</w:t>
      </w:r>
      <w:r w:rsidRPr="00FD4F59">
        <w:rPr>
          <w:rFonts w:asciiTheme="majorHAnsi" w:hAnsiTheme="majorHAnsi"/>
          <w:color w:val="000000"/>
          <w:sz w:val="20"/>
          <w:szCs w:val="20"/>
          <w:lang w:val="es-ES"/>
        </w:rPr>
        <w:t xml:space="preserve"> Americanos (en adelante “OEA”) en </w:t>
      </w:r>
      <w:r w:rsidR="00FE1DB0" w:rsidRPr="00FD4F59">
        <w:rPr>
          <w:rFonts w:asciiTheme="majorHAnsi" w:hAnsiTheme="majorHAnsi"/>
          <w:color w:val="000000"/>
          <w:sz w:val="20"/>
          <w:szCs w:val="20"/>
          <w:lang w:val="es-ES"/>
        </w:rPr>
        <w:t xml:space="preserve">Buenos Aires, </w:t>
      </w:r>
      <w:r w:rsidRPr="00FD4F59">
        <w:rPr>
          <w:rFonts w:asciiTheme="majorHAnsi" w:hAnsiTheme="majorHAnsi"/>
          <w:color w:val="000000"/>
          <w:sz w:val="20"/>
          <w:szCs w:val="20"/>
          <w:lang w:val="es-ES"/>
        </w:rPr>
        <w:t>Argentina, la cual fue recibida por la Comisión Interamericana de Derechos Humanos (en adelante</w:t>
      </w:r>
      <w:r w:rsidR="00E71F9F" w:rsidRPr="00FD4F59">
        <w:rPr>
          <w:rFonts w:asciiTheme="majorHAnsi" w:hAnsiTheme="majorHAnsi"/>
          <w:color w:val="000000"/>
          <w:sz w:val="20"/>
          <w:szCs w:val="20"/>
          <w:lang w:val="es-ES"/>
        </w:rPr>
        <w:t xml:space="preserve"> también, “la Comisión” o</w:t>
      </w:r>
      <w:r w:rsidRPr="00FD4F59">
        <w:rPr>
          <w:rFonts w:asciiTheme="majorHAnsi" w:hAnsiTheme="majorHAnsi"/>
          <w:color w:val="000000"/>
          <w:sz w:val="20"/>
          <w:szCs w:val="20"/>
          <w:lang w:val="es-ES"/>
        </w:rPr>
        <w:t xml:space="preserve"> “CIDH”) el 10 de mayo de 2001</w:t>
      </w:r>
      <w:r w:rsidR="00597D62" w:rsidRPr="00FD4F59">
        <w:rPr>
          <w:rFonts w:asciiTheme="majorHAnsi" w:hAnsiTheme="majorHAnsi"/>
          <w:color w:val="000000"/>
          <w:sz w:val="20"/>
          <w:szCs w:val="20"/>
          <w:lang w:val="es-ES"/>
        </w:rPr>
        <w:t xml:space="preserve">. </w:t>
      </w:r>
      <w:r w:rsidR="00FE1DB0" w:rsidRPr="00FD4F59">
        <w:rPr>
          <w:rFonts w:asciiTheme="majorHAnsi" w:hAnsiTheme="majorHAnsi"/>
          <w:color w:val="000000"/>
          <w:sz w:val="20"/>
          <w:szCs w:val="20"/>
          <w:lang w:val="es-ES"/>
        </w:rPr>
        <w:t>L</w:t>
      </w:r>
      <w:r w:rsidR="00597D62" w:rsidRPr="00FD4F59">
        <w:rPr>
          <w:rFonts w:asciiTheme="majorHAnsi" w:hAnsiTheme="majorHAnsi"/>
          <w:color w:val="000000"/>
          <w:sz w:val="20"/>
          <w:szCs w:val="20"/>
          <w:lang w:val="es-ES"/>
        </w:rPr>
        <w:t xml:space="preserve">os peticionarios </w:t>
      </w:r>
      <w:r w:rsidRPr="00FD4F59">
        <w:rPr>
          <w:rFonts w:asciiTheme="majorHAnsi" w:hAnsiTheme="majorHAnsi"/>
          <w:color w:val="000000"/>
          <w:sz w:val="20"/>
          <w:szCs w:val="20"/>
          <w:lang w:val="es-ES"/>
        </w:rPr>
        <w:t xml:space="preserve">alegaron la responsabilidad internacional de la República de Argentina (en adelante “el Estado”), por </w:t>
      </w:r>
      <w:r w:rsidR="008E5E6C" w:rsidRPr="00FD4F59">
        <w:rPr>
          <w:rFonts w:asciiTheme="majorHAnsi" w:hAnsiTheme="majorHAnsi"/>
          <w:color w:val="000000"/>
          <w:sz w:val="20"/>
          <w:szCs w:val="20"/>
          <w:lang w:val="es-ES"/>
        </w:rPr>
        <w:t xml:space="preserve">la </w:t>
      </w:r>
      <w:r w:rsidR="005941AA">
        <w:rPr>
          <w:rFonts w:asciiTheme="majorHAnsi" w:hAnsiTheme="majorHAnsi"/>
          <w:color w:val="000000"/>
          <w:sz w:val="20"/>
          <w:szCs w:val="20"/>
          <w:lang w:val="es-ES"/>
        </w:rPr>
        <w:t xml:space="preserve">presunta </w:t>
      </w:r>
      <w:r w:rsidR="008E5E6C" w:rsidRPr="00FD4F59">
        <w:rPr>
          <w:rFonts w:asciiTheme="majorHAnsi" w:hAnsiTheme="majorHAnsi"/>
          <w:color w:val="000000"/>
          <w:sz w:val="20"/>
          <w:szCs w:val="20"/>
          <w:lang w:val="es-ES"/>
        </w:rPr>
        <w:t xml:space="preserve">violación de </w:t>
      </w:r>
      <w:r w:rsidR="005941AA">
        <w:rPr>
          <w:rFonts w:asciiTheme="majorHAnsi" w:hAnsiTheme="majorHAnsi"/>
          <w:color w:val="000000"/>
          <w:sz w:val="20"/>
          <w:szCs w:val="20"/>
          <w:lang w:val="es-ES"/>
        </w:rPr>
        <w:t xml:space="preserve">los </w:t>
      </w:r>
      <w:r w:rsidR="00597D62" w:rsidRPr="00FD4F59">
        <w:rPr>
          <w:rFonts w:asciiTheme="majorHAnsi" w:hAnsiTheme="majorHAnsi"/>
          <w:color w:val="000000"/>
          <w:sz w:val="20"/>
          <w:szCs w:val="20"/>
          <w:lang w:val="es-ES"/>
        </w:rPr>
        <w:t xml:space="preserve">derechos </w:t>
      </w:r>
      <w:r w:rsidR="00772561" w:rsidRPr="00FD4F59">
        <w:rPr>
          <w:rFonts w:asciiTheme="majorHAnsi" w:hAnsiTheme="majorHAnsi"/>
          <w:color w:val="000000"/>
          <w:sz w:val="20"/>
          <w:szCs w:val="20"/>
          <w:lang w:val="es-ES"/>
        </w:rPr>
        <w:t xml:space="preserve">consagrados en </w:t>
      </w:r>
      <w:r w:rsidR="005941AA">
        <w:rPr>
          <w:rFonts w:asciiTheme="majorHAnsi" w:hAnsiTheme="majorHAnsi"/>
          <w:color w:val="000000"/>
          <w:sz w:val="20"/>
          <w:szCs w:val="20"/>
          <w:lang w:val="es-ES"/>
        </w:rPr>
        <w:t xml:space="preserve">los artículos </w:t>
      </w:r>
      <w:r w:rsidR="005941AA" w:rsidRPr="005162FD">
        <w:rPr>
          <w:rFonts w:asciiTheme="majorHAnsi" w:hAnsiTheme="majorHAnsi"/>
          <w:color w:val="000000"/>
          <w:sz w:val="20"/>
          <w:szCs w:val="20"/>
          <w:lang w:val="es-ES"/>
        </w:rPr>
        <w:t>8 y 25</w:t>
      </w:r>
      <w:r w:rsidR="005941AA">
        <w:rPr>
          <w:rFonts w:asciiTheme="majorHAnsi" w:hAnsiTheme="majorHAnsi"/>
          <w:color w:val="000000"/>
          <w:sz w:val="20"/>
          <w:szCs w:val="20"/>
          <w:lang w:val="es-ES"/>
        </w:rPr>
        <w:t xml:space="preserve"> de </w:t>
      </w:r>
      <w:r w:rsidR="008E5E6C" w:rsidRPr="00FD4F59">
        <w:rPr>
          <w:rFonts w:asciiTheme="majorHAnsi" w:hAnsiTheme="majorHAnsi"/>
          <w:color w:val="000000"/>
          <w:sz w:val="20"/>
          <w:szCs w:val="20"/>
          <w:lang w:val="es-ES"/>
        </w:rPr>
        <w:t xml:space="preserve">la Convención Americana de Derechos Humanos (en adelante también, “la Convención” o “la Convención Americana”) </w:t>
      </w:r>
      <w:r w:rsidR="005162FD" w:rsidRPr="00FD4F59">
        <w:rPr>
          <w:rFonts w:asciiTheme="majorHAnsi" w:hAnsiTheme="majorHAnsi"/>
          <w:color w:val="000000"/>
          <w:sz w:val="20"/>
          <w:szCs w:val="20"/>
          <w:lang w:val="es-ES"/>
        </w:rPr>
        <w:t>por las irregularidades que habrían tenido lugar en los procesos judiciales que se sustanciaron en sede interna</w:t>
      </w:r>
      <w:r w:rsidR="005162FD">
        <w:rPr>
          <w:rFonts w:asciiTheme="majorHAnsi" w:hAnsiTheme="majorHAnsi"/>
          <w:color w:val="000000"/>
          <w:sz w:val="20"/>
          <w:szCs w:val="20"/>
          <w:lang w:val="es-ES"/>
        </w:rPr>
        <w:t xml:space="preserve"> </w:t>
      </w:r>
      <w:r w:rsidR="005162FD" w:rsidRPr="00FD4F59">
        <w:rPr>
          <w:rFonts w:asciiTheme="majorHAnsi" w:hAnsiTheme="majorHAnsi"/>
          <w:color w:val="000000"/>
          <w:sz w:val="20"/>
          <w:szCs w:val="20"/>
          <w:lang w:val="es-ES"/>
        </w:rPr>
        <w:t>como consecuencia de la muerte de su madre, Cristina Britez Arce (en adelante también, “la presunta víctima”), quien se encontraba en estado de gravidez, en el hospital público Materno Infantil “Ramón Sarda” de la Ciudad de Buenos Aires</w:t>
      </w:r>
      <w:r w:rsidR="005162FD">
        <w:rPr>
          <w:rFonts w:asciiTheme="majorHAnsi" w:hAnsiTheme="majorHAnsi"/>
          <w:color w:val="000000"/>
          <w:sz w:val="20"/>
          <w:szCs w:val="20"/>
          <w:lang w:val="es-ES"/>
        </w:rPr>
        <w:t>.</w:t>
      </w:r>
    </w:p>
    <w:p w:rsidR="00FD4F59" w:rsidRPr="00FD4F59" w:rsidRDefault="005162FD" w:rsidP="00516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 </w:t>
      </w:r>
    </w:p>
    <w:p w:rsidR="00E21857"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El Estado alega que la petición </w:t>
      </w:r>
      <w:r w:rsidR="00597D62" w:rsidRPr="00FD4F59">
        <w:rPr>
          <w:rFonts w:asciiTheme="majorHAnsi" w:hAnsiTheme="majorHAnsi"/>
          <w:color w:val="000000"/>
          <w:sz w:val="20"/>
          <w:szCs w:val="20"/>
          <w:lang w:val="es-ES"/>
        </w:rPr>
        <w:t xml:space="preserve">debe ser inadmitida, </w:t>
      </w:r>
      <w:r w:rsidR="00520200" w:rsidRPr="00FD4F59">
        <w:rPr>
          <w:rFonts w:asciiTheme="majorHAnsi" w:hAnsiTheme="majorHAnsi"/>
          <w:color w:val="000000"/>
          <w:sz w:val="20"/>
          <w:szCs w:val="20"/>
          <w:lang w:val="es-ES"/>
        </w:rPr>
        <w:t xml:space="preserve">puesto que </w:t>
      </w:r>
      <w:r w:rsidRPr="00FD4F59">
        <w:rPr>
          <w:rFonts w:asciiTheme="majorHAnsi" w:hAnsiTheme="majorHAnsi"/>
          <w:color w:val="000000"/>
          <w:sz w:val="20"/>
          <w:szCs w:val="20"/>
          <w:lang w:val="es-ES"/>
        </w:rPr>
        <w:t>no</w:t>
      </w:r>
      <w:r w:rsidR="003D0484" w:rsidRPr="00FD4F59">
        <w:rPr>
          <w:rFonts w:asciiTheme="majorHAnsi" w:hAnsiTheme="majorHAnsi"/>
          <w:color w:val="000000"/>
          <w:sz w:val="20"/>
          <w:szCs w:val="20"/>
          <w:lang w:val="es-ES"/>
        </w:rPr>
        <w:t xml:space="preserve"> expone hechos que </w:t>
      </w:r>
      <w:r w:rsidRPr="00FD4F59">
        <w:rPr>
          <w:rFonts w:asciiTheme="majorHAnsi" w:hAnsiTheme="majorHAnsi"/>
          <w:color w:val="000000"/>
          <w:sz w:val="20"/>
          <w:szCs w:val="20"/>
          <w:lang w:val="es-ES"/>
        </w:rPr>
        <w:t>caracteri</w:t>
      </w:r>
      <w:r w:rsidR="003D0484" w:rsidRPr="00FD4F59">
        <w:rPr>
          <w:rFonts w:asciiTheme="majorHAnsi" w:hAnsiTheme="majorHAnsi"/>
          <w:color w:val="000000"/>
          <w:sz w:val="20"/>
          <w:szCs w:val="20"/>
          <w:lang w:val="es-ES"/>
        </w:rPr>
        <w:t>cen</w:t>
      </w:r>
      <w:r w:rsidRPr="00FD4F59">
        <w:rPr>
          <w:rFonts w:asciiTheme="majorHAnsi" w:hAnsiTheme="majorHAnsi"/>
          <w:color w:val="000000"/>
          <w:sz w:val="20"/>
          <w:szCs w:val="20"/>
          <w:lang w:val="es-ES"/>
        </w:rPr>
        <w:t xml:space="preserve"> violaci</w:t>
      </w:r>
      <w:r w:rsidR="003D0484" w:rsidRPr="00FD4F59">
        <w:rPr>
          <w:rFonts w:asciiTheme="majorHAnsi" w:hAnsiTheme="majorHAnsi"/>
          <w:color w:val="000000"/>
          <w:sz w:val="20"/>
          <w:szCs w:val="20"/>
          <w:lang w:val="es-ES"/>
        </w:rPr>
        <w:t>o</w:t>
      </w:r>
      <w:r w:rsidRPr="00FD4F59">
        <w:rPr>
          <w:rFonts w:asciiTheme="majorHAnsi" w:hAnsiTheme="majorHAnsi"/>
          <w:color w:val="000000"/>
          <w:sz w:val="20"/>
          <w:szCs w:val="20"/>
          <w:lang w:val="es-ES"/>
        </w:rPr>
        <w:t>n</w:t>
      </w:r>
      <w:r w:rsidR="003D0484" w:rsidRPr="00FD4F59">
        <w:rPr>
          <w:rFonts w:asciiTheme="majorHAnsi" w:hAnsiTheme="majorHAnsi"/>
          <w:color w:val="000000"/>
          <w:sz w:val="20"/>
          <w:szCs w:val="20"/>
          <w:lang w:val="es-ES"/>
        </w:rPr>
        <w:t>es</w:t>
      </w:r>
      <w:r w:rsidRPr="00FD4F59">
        <w:rPr>
          <w:rFonts w:asciiTheme="majorHAnsi" w:hAnsiTheme="majorHAnsi"/>
          <w:color w:val="000000"/>
          <w:sz w:val="20"/>
          <w:szCs w:val="20"/>
          <w:lang w:val="es-ES"/>
        </w:rPr>
        <w:t xml:space="preserve"> a la Co</w:t>
      </w:r>
      <w:r w:rsidR="00155B1B" w:rsidRPr="00FD4F59">
        <w:rPr>
          <w:rFonts w:asciiTheme="majorHAnsi" w:hAnsiTheme="majorHAnsi"/>
          <w:color w:val="000000"/>
          <w:sz w:val="20"/>
          <w:szCs w:val="20"/>
          <w:lang w:val="es-ES"/>
        </w:rPr>
        <w:t xml:space="preserve">nvención Americana. Adicionalmente, alegó que </w:t>
      </w:r>
      <w:r w:rsidRPr="00FD4F59">
        <w:rPr>
          <w:rFonts w:asciiTheme="majorHAnsi" w:hAnsiTheme="majorHAnsi"/>
          <w:color w:val="000000"/>
          <w:sz w:val="20"/>
          <w:szCs w:val="20"/>
          <w:lang w:val="es-ES"/>
        </w:rPr>
        <w:t xml:space="preserve">los recursos internos </w:t>
      </w:r>
      <w:r w:rsidR="00155B1B" w:rsidRPr="00FD4F59">
        <w:rPr>
          <w:rFonts w:asciiTheme="majorHAnsi" w:hAnsiTheme="majorHAnsi"/>
          <w:color w:val="000000"/>
          <w:sz w:val="20"/>
          <w:szCs w:val="20"/>
          <w:lang w:val="es-ES"/>
        </w:rPr>
        <w:t xml:space="preserve">no </w:t>
      </w:r>
      <w:r w:rsidR="00520200" w:rsidRPr="00FD4F59">
        <w:rPr>
          <w:rFonts w:asciiTheme="majorHAnsi" w:hAnsiTheme="majorHAnsi"/>
          <w:color w:val="000000"/>
          <w:sz w:val="20"/>
          <w:szCs w:val="20"/>
          <w:lang w:val="es-ES"/>
        </w:rPr>
        <w:t xml:space="preserve">fueron </w:t>
      </w:r>
      <w:r w:rsidR="00155B1B" w:rsidRPr="00FD4F59">
        <w:rPr>
          <w:rFonts w:asciiTheme="majorHAnsi" w:hAnsiTheme="majorHAnsi"/>
          <w:color w:val="000000"/>
          <w:sz w:val="20"/>
          <w:szCs w:val="20"/>
          <w:lang w:val="es-ES"/>
        </w:rPr>
        <w:t>agotado</w:t>
      </w:r>
      <w:r w:rsidR="00520200" w:rsidRPr="00FD4F59">
        <w:rPr>
          <w:rFonts w:asciiTheme="majorHAnsi" w:hAnsiTheme="majorHAnsi"/>
          <w:color w:val="000000"/>
          <w:sz w:val="20"/>
          <w:szCs w:val="20"/>
          <w:lang w:val="es-ES"/>
        </w:rPr>
        <w:t>s</w:t>
      </w:r>
      <w:r w:rsidR="00155B1B"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y </w:t>
      </w:r>
      <w:r w:rsidR="00155B1B" w:rsidRPr="00FD4F59">
        <w:rPr>
          <w:rFonts w:asciiTheme="majorHAnsi" w:hAnsiTheme="majorHAnsi"/>
          <w:color w:val="000000"/>
          <w:sz w:val="20"/>
          <w:szCs w:val="20"/>
          <w:lang w:val="es-ES"/>
        </w:rPr>
        <w:t xml:space="preserve">que los peticionarios pretenden </w:t>
      </w:r>
      <w:r w:rsidRPr="00FD4F59">
        <w:rPr>
          <w:rFonts w:asciiTheme="majorHAnsi" w:hAnsiTheme="majorHAnsi"/>
          <w:color w:val="000000"/>
          <w:sz w:val="20"/>
          <w:szCs w:val="20"/>
          <w:lang w:val="es-ES"/>
        </w:rPr>
        <w:t xml:space="preserve">hacer uso de la CIDH como </w:t>
      </w:r>
      <w:r w:rsidR="004F1816">
        <w:rPr>
          <w:rFonts w:asciiTheme="majorHAnsi" w:hAnsiTheme="majorHAnsi"/>
          <w:color w:val="000000"/>
          <w:sz w:val="20"/>
          <w:szCs w:val="20"/>
          <w:lang w:val="es-ES"/>
        </w:rPr>
        <w:t>“</w:t>
      </w:r>
      <w:r w:rsidRPr="00FD4F59">
        <w:rPr>
          <w:rFonts w:asciiTheme="majorHAnsi" w:hAnsiTheme="majorHAnsi"/>
          <w:color w:val="000000"/>
          <w:sz w:val="20"/>
          <w:szCs w:val="20"/>
          <w:lang w:val="es-ES"/>
        </w:rPr>
        <w:t>tribunal de alzada</w:t>
      </w:r>
      <w:r w:rsidR="004F1816">
        <w:rPr>
          <w:rFonts w:asciiTheme="majorHAnsi" w:hAnsiTheme="majorHAnsi"/>
          <w:color w:val="000000"/>
          <w:sz w:val="20"/>
          <w:szCs w:val="20"/>
          <w:lang w:val="es-ES"/>
        </w:rPr>
        <w:t>”</w:t>
      </w:r>
      <w:r w:rsidRPr="00FD4F59">
        <w:rPr>
          <w:rFonts w:asciiTheme="majorHAnsi" w:hAnsiTheme="majorHAnsi"/>
          <w:color w:val="000000"/>
          <w:sz w:val="20"/>
          <w:szCs w:val="20"/>
          <w:lang w:val="es-ES"/>
        </w:rPr>
        <w:t>.</w:t>
      </w:r>
      <w:r w:rsidR="00057850" w:rsidRPr="00FD4F59">
        <w:rPr>
          <w:rFonts w:asciiTheme="majorHAnsi" w:hAnsiTheme="majorHAnsi"/>
          <w:color w:val="000000"/>
          <w:sz w:val="20"/>
          <w:szCs w:val="20"/>
          <w:lang w:val="es-ES"/>
        </w:rPr>
        <w:t xml:space="preserve"> Ello, por cuanto las sentencias de las causas tramitadas a nivel </w:t>
      </w:r>
      <w:r w:rsidR="00597D62" w:rsidRPr="00FD4F59">
        <w:rPr>
          <w:rFonts w:asciiTheme="majorHAnsi" w:hAnsiTheme="majorHAnsi"/>
          <w:color w:val="000000"/>
          <w:sz w:val="20"/>
          <w:szCs w:val="20"/>
          <w:lang w:val="es-ES"/>
        </w:rPr>
        <w:t>interno</w:t>
      </w:r>
      <w:r w:rsidR="00057850" w:rsidRPr="00FD4F59">
        <w:rPr>
          <w:rFonts w:asciiTheme="majorHAnsi" w:hAnsiTheme="majorHAnsi"/>
          <w:color w:val="000000"/>
          <w:sz w:val="20"/>
          <w:szCs w:val="20"/>
          <w:lang w:val="es-ES"/>
        </w:rPr>
        <w:t xml:space="preserve"> fueron dictadas por tribunales que actuaron en la esfera de su competencia y aplicando las debidas garantías judiciales.</w:t>
      </w:r>
    </w:p>
    <w:p w:rsidR="00FD4F59" w:rsidRPr="00FD4F59" w:rsidRDefault="00FD4F59"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722C9F" w:rsidRDefault="00342DED"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eastAsia="Cambria" w:hAnsiTheme="majorHAnsi" w:cs="Cambria"/>
          <w:sz w:val="20"/>
          <w:szCs w:val="20"/>
          <w:lang w:val="es-ES"/>
        </w:rPr>
      </w:pPr>
      <w:r w:rsidRPr="00FD4F59">
        <w:rPr>
          <w:rFonts w:asciiTheme="majorHAnsi" w:eastAsia="Cambria" w:hAnsiTheme="majorHAnsi" w:cs="Cambria"/>
          <w:sz w:val="20"/>
          <w:szCs w:val="20"/>
          <w:lang w:val="es-ES"/>
        </w:rPr>
        <w:t xml:space="preserve">Tras analizar las posiciones de las partes y el cumplimiento con los requisitos previstos en los artículos 46 y 47 de la Convención Americana, la Comisión decide declarar la </w:t>
      </w:r>
      <w:r w:rsidR="008B676A" w:rsidRPr="00FD4F59">
        <w:rPr>
          <w:rFonts w:asciiTheme="majorHAnsi" w:eastAsia="Cambria" w:hAnsiTheme="majorHAnsi" w:cs="Cambria"/>
          <w:sz w:val="20"/>
          <w:szCs w:val="20"/>
          <w:lang w:val="es-ES"/>
        </w:rPr>
        <w:t xml:space="preserve">presente </w:t>
      </w:r>
      <w:r w:rsidRPr="00FD4F59">
        <w:rPr>
          <w:rFonts w:asciiTheme="majorHAnsi" w:eastAsia="Cambria" w:hAnsiTheme="majorHAnsi" w:cs="Cambria"/>
          <w:sz w:val="20"/>
          <w:szCs w:val="20"/>
          <w:lang w:val="es-ES"/>
        </w:rPr>
        <w:t xml:space="preserve">petición admisible a efecto del examen sobre la presunta violación de los artículos </w:t>
      </w:r>
      <w:r w:rsidR="00CF7334" w:rsidRPr="00FD4F59">
        <w:rPr>
          <w:rFonts w:asciiTheme="majorHAnsi" w:eastAsia="Cambria" w:hAnsiTheme="majorHAnsi" w:cs="Cambria"/>
          <w:sz w:val="20"/>
          <w:szCs w:val="20"/>
          <w:lang w:val="es-ES"/>
        </w:rPr>
        <w:t xml:space="preserve">4, </w:t>
      </w:r>
      <w:r w:rsidRPr="00FD4F59">
        <w:rPr>
          <w:rFonts w:asciiTheme="majorHAnsi" w:eastAsia="Cambria" w:hAnsiTheme="majorHAnsi" w:cs="Cambria"/>
          <w:sz w:val="20"/>
          <w:szCs w:val="20"/>
          <w:lang w:val="es-ES"/>
        </w:rPr>
        <w:t xml:space="preserve">8 y 25 de la Convención Americana, en </w:t>
      </w:r>
      <w:r w:rsidR="00597D62" w:rsidRPr="00FD4F59">
        <w:rPr>
          <w:rFonts w:asciiTheme="majorHAnsi" w:eastAsia="Cambria" w:hAnsiTheme="majorHAnsi" w:cs="Cambria"/>
          <w:sz w:val="20"/>
          <w:szCs w:val="20"/>
          <w:lang w:val="es-ES"/>
        </w:rPr>
        <w:t>relación</w:t>
      </w:r>
      <w:r w:rsidRPr="00FD4F59">
        <w:rPr>
          <w:rFonts w:asciiTheme="majorHAnsi" w:eastAsia="Cambria" w:hAnsiTheme="majorHAnsi" w:cs="Cambria"/>
          <w:sz w:val="20"/>
          <w:szCs w:val="20"/>
          <w:lang w:val="es-ES"/>
        </w:rPr>
        <w:t xml:space="preserve"> con </w:t>
      </w:r>
      <w:r w:rsidR="00597D62" w:rsidRPr="00FD4F59">
        <w:rPr>
          <w:rFonts w:asciiTheme="majorHAnsi" w:eastAsia="Cambria" w:hAnsiTheme="majorHAnsi" w:cs="Cambria"/>
          <w:sz w:val="20"/>
          <w:szCs w:val="20"/>
          <w:lang w:val="es-ES"/>
        </w:rPr>
        <w:t xml:space="preserve">el </w:t>
      </w:r>
      <w:r w:rsidRPr="00FD4F59">
        <w:rPr>
          <w:rFonts w:asciiTheme="majorHAnsi" w:eastAsia="Cambria" w:hAnsiTheme="majorHAnsi" w:cs="Cambria"/>
          <w:sz w:val="20"/>
          <w:szCs w:val="20"/>
          <w:lang w:val="es-ES"/>
        </w:rPr>
        <w:t>artículo 1.1</w:t>
      </w:r>
      <w:r w:rsidR="00597D62" w:rsidRPr="00FD4F59">
        <w:rPr>
          <w:rFonts w:asciiTheme="majorHAnsi" w:eastAsia="Cambria" w:hAnsiTheme="majorHAnsi" w:cs="Cambria"/>
          <w:sz w:val="20"/>
          <w:szCs w:val="20"/>
          <w:lang w:val="es-ES"/>
        </w:rPr>
        <w:t xml:space="preserve"> del mismo instrumento</w:t>
      </w:r>
      <w:r w:rsidRPr="00FD4F59">
        <w:rPr>
          <w:rFonts w:asciiTheme="majorHAnsi" w:eastAsia="Cambria" w:hAnsiTheme="majorHAnsi" w:cs="Cambria"/>
          <w:sz w:val="20"/>
          <w:szCs w:val="20"/>
          <w:lang w:val="es-ES"/>
        </w:rPr>
        <w:t>.</w:t>
      </w:r>
      <w:r w:rsidR="004E14C6" w:rsidRPr="00FD4F59">
        <w:rPr>
          <w:rFonts w:asciiTheme="majorHAnsi" w:eastAsia="Cambria" w:hAnsiTheme="majorHAnsi" w:cs="Cambria"/>
          <w:sz w:val="20"/>
          <w:szCs w:val="20"/>
          <w:lang w:val="es-ES"/>
        </w:rPr>
        <w:t xml:space="preserve"> </w:t>
      </w:r>
      <w:r w:rsidRPr="00FD4F59">
        <w:rPr>
          <w:rFonts w:asciiTheme="majorHAnsi" w:eastAsia="Cambria" w:hAnsiTheme="majorHAnsi" w:cs="Cambria"/>
          <w:sz w:val="20"/>
          <w:szCs w:val="20"/>
          <w:lang w:val="es-ES"/>
        </w:rPr>
        <w:t>Asimismo, decidió notificar esta decisión a las partes, publicarla e incluirla en su Informe Anual para la Asamblea General de la OEA.</w:t>
      </w:r>
    </w:p>
    <w:p w:rsidR="00FD4F59" w:rsidRPr="00FD4F59" w:rsidRDefault="00FD4F59"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Cambria" w:hAnsiTheme="majorHAnsi" w:cs="Cambria"/>
          <w:sz w:val="20"/>
          <w:szCs w:val="20"/>
          <w:lang w:val="es-ES"/>
        </w:rPr>
      </w:pPr>
    </w:p>
    <w:p w:rsidR="00E21857" w:rsidRDefault="00F66DEE" w:rsidP="007D4D73">
      <w:pPr>
        <w:pStyle w:val="Heading1"/>
      </w:pPr>
      <w:r w:rsidRPr="00FD4F59">
        <w:t>TRAMITE ANTE LA CIDH</w:t>
      </w:r>
    </w:p>
    <w:p w:rsidR="00FD4F59" w:rsidRPr="00FD4F59" w:rsidRDefault="00FD4F59" w:rsidP="00FD4F59">
      <w:pPr>
        <w:rPr>
          <w:lang w:val="es-ES_tradnl"/>
        </w:rPr>
      </w:pPr>
    </w:p>
    <w:p w:rsidR="001A5E09" w:rsidRDefault="00F473AE"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El 20 de abril de 2001, los peticionarios presentaron la petición en la oficina de la OEA en Buenos Aires, la cual fue recibida por la </w:t>
      </w:r>
      <w:r w:rsidR="00906913" w:rsidRPr="00FD4F59">
        <w:rPr>
          <w:rFonts w:asciiTheme="majorHAnsi" w:hAnsiTheme="majorHAnsi"/>
          <w:color w:val="000000"/>
          <w:sz w:val="20"/>
          <w:szCs w:val="20"/>
          <w:lang w:val="es-ES"/>
        </w:rPr>
        <w:t>CIDH</w:t>
      </w:r>
      <w:r w:rsidRPr="00FD4F59">
        <w:rPr>
          <w:rFonts w:asciiTheme="majorHAnsi" w:hAnsiTheme="majorHAnsi"/>
          <w:color w:val="000000"/>
          <w:sz w:val="20"/>
          <w:szCs w:val="20"/>
          <w:lang w:val="es-ES"/>
        </w:rPr>
        <w:t xml:space="preserve"> el 10 de mayo de 2001</w:t>
      </w:r>
      <w:r w:rsidR="005941AA">
        <w:rPr>
          <w:rFonts w:asciiTheme="majorHAnsi" w:hAnsiTheme="majorHAnsi"/>
          <w:color w:val="000000"/>
          <w:sz w:val="20"/>
          <w:szCs w:val="20"/>
          <w:lang w:val="es-ES"/>
        </w:rPr>
        <w:t xml:space="preserve"> y </w:t>
      </w:r>
      <w:r w:rsidR="005941AA" w:rsidRPr="00FD4F59">
        <w:rPr>
          <w:rFonts w:asciiTheme="majorHAnsi" w:hAnsiTheme="majorHAnsi"/>
          <w:color w:val="000000"/>
          <w:sz w:val="20"/>
          <w:szCs w:val="20"/>
          <w:lang w:val="es-ES"/>
        </w:rPr>
        <w:t>fue registrada bajo el número 315-01</w:t>
      </w:r>
      <w:r w:rsidR="00906913"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w:t>
      </w:r>
      <w:r w:rsidR="00906913" w:rsidRPr="00FD4F59">
        <w:rPr>
          <w:rFonts w:asciiTheme="majorHAnsi" w:hAnsiTheme="majorHAnsi"/>
          <w:color w:val="000000"/>
          <w:sz w:val="20"/>
          <w:szCs w:val="20"/>
          <w:lang w:val="es-ES"/>
        </w:rPr>
        <w:t>El 11 de agosto de 2003</w:t>
      </w:r>
      <w:r w:rsidR="00A76C2A" w:rsidRPr="00FD4F59">
        <w:rPr>
          <w:rFonts w:asciiTheme="majorHAnsi" w:hAnsiTheme="majorHAnsi"/>
          <w:color w:val="000000"/>
          <w:sz w:val="20"/>
          <w:szCs w:val="20"/>
          <w:lang w:val="es-ES"/>
        </w:rPr>
        <w:t>,</w:t>
      </w:r>
      <w:r w:rsidR="00906913" w:rsidRPr="00FD4F59">
        <w:rPr>
          <w:rFonts w:asciiTheme="majorHAnsi" w:hAnsiTheme="majorHAnsi"/>
          <w:color w:val="000000"/>
          <w:sz w:val="20"/>
          <w:szCs w:val="20"/>
          <w:lang w:val="es-ES"/>
        </w:rPr>
        <w:t xml:space="preserve"> los peticionarios remitieron información adicional a la CIDH</w:t>
      </w:r>
      <w:r w:rsidR="005941AA">
        <w:rPr>
          <w:rFonts w:asciiTheme="majorHAnsi" w:hAnsiTheme="majorHAnsi"/>
          <w:color w:val="000000"/>
          <w:sz w:val="20"/>
          <w:szCs w:val="20"/>
          <w:lang w:val="es-ES"/>
        </w:rPr>
        <w:t>. El</w:t>
      </w:r>
      <w:r w:rsidR="00E21857" w:rsidRPr="00FD4F59">
        <w:rPr>
          <w:rFonts w:asciiTheme="majorHAnsi" w:hAnsiTheme="majorHAnsi"/>
          <w:color w:val="000000"/>
          <w:sz w:val="20"/>
          <w:szCs w:val="20"/>
          <w:lang w:val="es-ES"/>
        </w:rPr>
        <w:t xml:space="preserve"> 3 de enero de 2005, se trasladaron las partes pertinentes al Estado, para sus observaciones.</w:t>
      </w:r>
      <w:r w:rsidR="004E14C6" w:rsidRPr="00FD4F59">
        <w:rPr>
          <w:rFonts w:asciiTheme="majorHAnsi" w:hAnsiTheme="majorHAnsi"/>
          <w:color w:val="000000"/>
          <w:sz w:val="20"/>
          <w:szCs w:val="20"/>
          <w:lang w:val="es-ES"/>
        </w:rPr>
        <w:t xml:space="preserve"> </w:t>
      </w:r>
    </w:p>
    <w:p w:rsidR="00FD4F59" w:rsidRPr="00FD4F59" w:rsidRDefault="00FD4F59"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El Estado presentó su respuesta el 19 de julio de 2005, </w:t>
      </w:r>
      <w:r w:rsidR="004C64BE" w:rsidRPr="00FD4F59">
        <w:rPr>
          <w:rFonts w:asciiTheme="majorHAnsi" w:hAnsiTheme="majorHAnsi"/>
          <w:color w:val="000000"/>
          <w:sz w:val="20"/>
          <w:szCs w:val="20"/>
          <w:lang w:val="es-ES"/>
        </w:rPr>
        <w:t>la que fue trasladada</w:t>
      </w:r>
      <w:r w:rsidR="001A5E09"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a los petici</w:t>
      </w:r>
      <w:r w:rsidR="008B676A" w:rsidRPr="00FD4F59">
        <w:rPr>
          <w:rFonts w:asciiTheme="majorHAnsi" w:hAnsiTheme="majorHAnsi"/>
          <w:color w:val="000000"/>
          <w:sz w:val="20"/>
          <w:szCs w:val="20"/>
          <w:lang w:val="es-ES"/>
        </w:rPr>
        <w:t xml:space="preserve">onarios para sus observaciones. Estas, a su vez, </w:t>
      </w:r>
      <w:r w:rsidR="001A5E09" w:rsidRPr="00FD4F59">
        <w:rPr>
          <w:rFonts w:asciiTheme="majorHAnsi" w:hAnsiTheme="majorHAnsi"/>
          <w:color w:val="000000"/>
          <w:sz w:val="20"/>
          <w:szCs w:val="20"/>
          <w:lang w:val="es-ES"/>
        </w:rPr>
        <w:t xml:space="preserve">fueron remitidas </w:t>
      </w:r>
      <w:r w:rsidR="008B676A" w:rsidRPr="00FD4F59">
        <w:rPr>
          <w:rFonts w:asciiTheme="majorHAnsi" w:hAnsiTheme="majorHAnsi"/>
          <w:color w:val="000000"/>
          <w:sz w:val="20"/>
          <w:szCs w:val="20"/>
          <w:lang w:val="es-ES"/>
        </w:rPr>
        <w:t xml:space="preserve">a la CIDH </w:t>
      </w:r>
      <w:r w:rsidR="001A5E09" w:rsidRPr="00FD4F59">
        <w:rPr>
          <w:rFonts w:asciiTheme="majorHAnsi" w:hAnsiTheme="majorHAnsi"/>
          <w:color w:val="000000"/>
          <w:sz w:val="20"/>
          <w:szCs w:val="20"/>
          <w:lang w:val="es-ES"/>
        </w:rPr>
        <w:t>e</w:t>
      </w:r>
      <w:r w:rsidRPr="00FD4F59">
        <w:rPr>
          <w:rFonts w:asciiTheme="majorHAnsi" w:hAnsiTheme="majorHAnsi"/>
          <w:color w:val="000000"/>
          <w:sz w:val="20"/>
          <w:szCs w:val="20"/>
          <w:lang w:val="es-ES"/>
        </w:rPr>
        <w:t>l 30 de marzo de 2009</w:t>
      </w:r>
      <w:r w:rsidR="001A5E09"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El Estado presentó observaciones </w:t>
      </w:r>
      <w:r w:rsidR="001A5E09" w:rsidRPr="00FD4F59">
        <w:rPr>
          <w:rFonts w:asciiTheme="majorHAnsi" w:hAnsiTheme="majorHAnsi"/>
          <w:color w:val="000000"/>
          <w:sz w:val="20"/>
          <w:szCs w:val="20"/>
          <w:lang w:val="es-ES"/>
        </w:rPr>
        <w:t xml:space="preserve">adicionales </w:t>
      </w:r>
      <w:r w:rsidRPr="00FD4F59">
        <w:rPr>
          <w:rFonts w:asciiTheme="majorHAnsi" w:hAnsiTheme="majorHAnsi"/>
          <w:color w:val="000000"/>
          <w:sz w:val="20"/>
          <w:szCs w:val="20"/>
          <w:lang w:val="es-ES"/>
        </w:rPr>
        <w:t>el 22 de septiembre de 20</w:t>
      </w:r>
      <w:r w:rsidR="001A5E09" w:rsidRPr="00FD4F59">
        <w:rPr>
          <w:rFonts w:asciiTheme="majorHAnsi" w:hAnsiTheme="majorHAnsi"/>
          <w:color w:val="000000"/>
          <w:sz w:val="20"/>
          <w:szCs w:val="20"/>
          <w:lang w:val="es-ES"/>
        </w:rPr>
        <w:t xml:space="preserve">09, en las que </w:t>
      </w:r>
      <w:r w:rsidRPr="00FD4F59">
        <w:rPr>
          <w:rFonts w:asciiTheme="majorHAnsi" w:hAnsiTheme="majorHAnsi"/>
          <w:color w:val="000000"/>
          <w:sz w:val="20"/>
          <w:szCs w:val="20"/>
          <w:lang w:val="es-ES"/>
        </w:rPr>
        <w:t>solicitó que se d</w:t>
      </w:r>
      <w:r w:rsidR="00C60D22" w:rsidRPr="00FD4F59">
        <w:rPr>
          <w:rFonts w:asciiTheme="majorHAnsi" w:hAnsiTheme="majorHAnsi"/>
          <w:color w:val="000000"/>
          <w:sz w:val="20"/>
          <w:szCs w:val="20"/>
          <w:lang w:val="es-ES"/>
        </w:rPr>
        <w:t>iera</w:t>
      </w:r>
      <w:r w:rsidRPr="00FD4F59">
        <w:rPr>
          <w:rFonts w:asciiTheme="majorHAnsi" w:hAnsiTheme="majorHAnsi"/>
          <w:color w:val="000000"/>
          <w:sz w:val="20"/>
          <w:szCs w:val="20"/>
          <w:lang w:val="es-ES"/>
        </w:rPr>
        <w:t xml:space="preserve"> por concluido el trámite y se proced</w:t>
      </w:r>
      <w:r w:rsidR="00C60D22" w:rsidRPr="00FD4F59">
        <w:rPr>
          <w:rFonts w:asciiTheme="majorHAnsi" w:hAnsiTheme="majorHAnsi"/>
          <w:color w:val="000000"/>
          <w:sz w:val="20"/>
          <w:szCs w:val="20"/>
          <w:lang w:val="es-ES"/>
        </w:rPr>
        <w:t>ier</w:t>
      </w:r>
      <w:r w:rsidR="001A5E09" w:rsidRPr="00FD4F59">
        <w:rPr>
          <w:rFonts w:asciiTheme="majorHAnsi" w:hAnsiTheme="majorHAnsi"/>
          <w:color w:val="000000"/>
          <w:sz w:val="20"/>
          <w:szCs w:val="20"/>
          <w:lang w:val="es-ES"/>
        </w:rPr>
        <w:t xml:space="preserve">a al archivo de la </w:t>
      </w:r>
      <w:r w:rsidR="00F121B4" w:rsidRPr="00FD4F59">
        <w:rPr>
          <w:rFonts w:asciiTheme="majorHAnsi" w:hAnsiTheme="majorHAnsi"/>
          <w:color w:val="000000"/>
          <w:sz w:val="20"/>
          <w:szCs w:val="20"/>
          <w:lang w:val="es-ES"/>
        </w:rPr>
        <w:t xml:space="preserve">presente </w:t>
      </w:r>
      <w:r w:rsidR="001A5E09" w:rsidRPr="00FD4F59">
        <w:rPr>
          <w:rFonts w:asciiTheme="majorHAnsi" w:hAnsiTheme="majorHAnsi"/>
          <w:color w:val="000000"/>
          <w:sz w:val="20"/>
          <w:szCs w:val="20"/>
          <w:lang w:val="es-ES"/>
        </w:rPr>
        <w:t xml:space="preserve">petición. Dicha </w:t>
      </w:r>
      <w:r w:rsidRPr="00FD4F59">
        <w:rPr>
          <w:rFonts w:asciiTheme="majorHAnsi" w:hAnsiTheme="majorHAnsi"/>
          <w:color w:val="000000"/>
          <w:sz w:val="20"/>
          <w:szCs w:val="20"/>
          <w:lang w:val="es-ES"/>
        </w:rPr>
        <w:t>comunicación fue trasladada a los peticionarios el 3 de diciembre de 2009, para su conocimiento.</w:t>
      </w:r>
      <w:r w:rsidR="004E14C6" w:rsidRPr="00FD4F59">
        <w:rPr>
          <w:rFonts w:asciiTheme="majorHAnsi" w:hAnsiTheme="majorHAnsi"/>
          <w:color w:val="000000"/>
          <w:sz w:val="20"/>
          <w:szCs w:val="20"/>
          <w:lang w:val="es-ES"/>
        </w:rPr>
        <w:t xml:space="preserve"> </w:t>
      </w:r>
    </w:p>
    <w:p w:rsidR="00FD4F59" w:rsidRPr="00FD4F59" w:rsidRDefault="00FD4F59"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F66DEE" w:rsidRDefault="00F66DEE" w:rsidP="007D4D73">
      <w:pPr>
        <w:pStyle w:val="Heading1"/>
      </w:pPr>
      <w:r w:rsidRPr="00FD4F59">
        <w:t>POSICIONES DE LAS PARTES</w:t>
      </w:r>
    </w:p>
    <w:p w:rsidR="00FD4F59" w:rsidRPr="00FD4F59" w:rsidRDefault="00FD4F59" w:rsidP="00FD4F59">
      <w:pPr>
        <w:rPr>
          <w:lang w:val="es-ES_tradnl"/>
        </w:rPr>
      </w:pPr>
    </w:p>
    <w:p w:rsidR="00F66DEE" w:rsidRDefault="00F66DEE" w:rsidP="00FD4F59">
      <w:pPr>
        <w:pStyle w:val="Heading2"/>
        <w:tabs>
          <w:tab w:val="left" w:pos="0"/>
        </w:tabs>
        <w:ind w:left="0" w:firstLine="720"/>
        <w:rPr>
          <w:rFonts w:asciiTheme="majorHAnsi" w:hAnsiTheme="majorHAnsi"/>
          <w:b/>
        </w:rPr>
      </w:pPr>
      <w:r w:rsidRPr="00FD4F59">
        <w:rPr>
          <w:rFonts w:asciiTheme="majorHAnsi" w:hAnsiTheme="majorHAnsi"/>
          <w:b/>
        </w:rPr>
        <w:t>Posición de los peticionarios</w:t>
      </w:r>
    </w:p>
    <w:p w:rsidR="00FD4F59" w:rsidRPr="00FD4F59" w:rsidRDefault="00FD4F59" w:rsidP="00FD4F59">
      <w:pPr>
        <w:rPr>
          <w:lang w:val="es-ES_tradnl" w:eastAsia="es-ES"/>
        </w:rPr>
      </w:pPr>
    </w:p>
    <w:p w:rsidR="00FE5EE5"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Los peticionarios alegan que el 1˚ de junio de 1992, </w:t>
      </w:r>
      <w:r w:rsidR="00E84700" w:rsidRPr="00FD4F59">
        <w:rPr>
          <w:rFonts w:asciiTheme="majorHAnsi" w:hAnsiTheme="majorHAnsi"/>
          <w:color w:val="000000"/>
          <w:sz w:val="20"/>
          <w:szCs w:val="20"/>
          <w:lang w:val="es-ES"/>
        </w:rPr>
        <w:t xml:space="preserve">una mala praxis médica por parte del personal médico del hospital público Materno Infantil “Ramón Sarda” de la Ciudad de Buenos Aires habría ocasionado la muerte Cristina Britez Arce, quien se encontraba en estado de gravidez. </w:t>
      </w:r>
      <w:r w:rsidR="0025737F" w:rsidRPr="00FD4F59">
        <w:rPr>
          <w:rFonts w:asciiTheme="majorHAnsi" w:hAnsiTheme="majorHAnsi"/>
          <w:color w:val="000000"/>
          <w:sz w:val="20"/>
          <w:szCs w:val="20"/>
          <w:lang w:val="es-ES"/>
        </w:rPr>
        <w:t xml:space="preserve">La presunta víctima habría fallecido como consecuencia </w:t>
      </w:r>
      <w:r w:rsidRPr="00FD4F59">
        <w:rPr>
          <w:rFonts w:asciiTheme="majorHAnsi" w:hAnsiTheme="majorHAnsi"/>
          <w:color w:val="000000"/>
          <w:sz w:val="20"/>
          <w:szCs w:val="20"/>
          <w:lang w:val="es-ES"/>
        </w:rPr>
        <w:t xml:space="preserve">de </w:t>
      </w:r>
      <w:r w:rsidR="0025737F" w:rsidRPr="00FD4F59">
        <w:rPr>
          <w:rFonts w:asciiTheme="majorHAnsi" w:hAnsiTheme="majorHAnsi"/>
          <w:color w:val="000000"/>
          <w:sz w:val="20"/>
          <w:szCs w:val="20"/>
          <w:lang w:val="es-ES"/>
        </w:rPr>
        <w:t xml:space="preserve">la </w:t>
      </w:r>
      <w:r w:rsidRPr="00FD4F59">
        <w:rPr>
          <w:rFonts w:asciiTheme="majorHAnsi" w:hAnsiTheme="majorHAnsi"/>
          <w:color w:val="000000"/>
          <w:sz w:val="20"/>
          <w:szCs w:val="20"/>
          <w:lang w:val="es-ES"/>
        </w:rPr>
        <w:t>patología pre</w:t>
      </w:r>
      <w:r w:rsidR="001E5E5D" w:rsidRPr="00FD4F59">
        <w:rPr>
          <w:rFonts w:asciiTheme="majorHAnsi" w:hAnsiTheme="majorHAnsi"/>
          <w:color w:val="000000"/>
          <w:sz w:val="20"/>
          <w:szCs w:val="20"/>
          <w:lang w:val="es-ES"/>
        </w:rPr>
        <w:t>e</w:t>
      </w:r>
      <w:r w:rsidRPr="00FD4F59">
        <w:rPr>
          <w:rFonts w:asciiTheme="majorHAnsi" w:hAnsiTheme="majorHAnsi"/>
          <w:color w:val="000000"/>
          <w:sz w:val="20"/>
          <w:szCs w:val="20"/>
          <w:lang w:val="es-ES"/>
        </w:rPr>
        <w:t>clampsia-eclampsia</w:t>
      </w:r>
      <w:r w:rsidR="0025737F" w:rsidRPr="00FD4F59">
        <w:rPr>
          <w:rFonts w:asciiTheme="majorHAnsi" w:hAnsiTheme="majorHAnsi"/>
          <w:color w:val="000000"/>
          <w:sz w:val="20"/>
          <w:szCs w:val="20"/>
          <w:lang w:val="es-ES"/>
        </w:rPr>
        <w:t>, lo cual derivó además</w:t>
      </w:r>
      <w:r w:rsidR="00F4030A" w:rsidRPr="00FD4F59">
        <w:rPr>
          <w:rFonts w:asciiTheme="majorHAnsi" w:hAnsiTheme="majorHAnsi"/>
          <w:color w:val="000000"/>
          <w:sz w:val="20"/>
          <w:szCs w:val="20"/>
          <w:lang w:val="es-ES"/>
        </w:rPr>
        <w:t xml:space="preserve"> </w:t>
      </w:r>
      <w:r w:rsidR="0025737F" w:rsidRPr="00FD4F59">
        <w:rPr>
          <w:rFonts w:asciiTheme="majorHAnsi" w:hAnsiTheme="majorHAnsi"/>
          <w:color w:val="000000"/>
          <w:sz w:val="20"/>
          <w:szCs w:val="20"/>
          <w:lang w:val="es-ES"/>
        </w:rPr>
        <w:t>en</w:t>
      </w:r>
      <w:r w:rsidR="00F4030A" w:rsidRPr="00FD4F59">
        <w:rPr>
          <w:rFonts w:asciiTheme="majorHAnsi" w:hAnsiTheme="majorHAnsi"/>
          <w:color w:val="000000"/>
          <w:sz w:val="20"/>
          <w:szCs w:val="20"/>
          <w:lang w:val="es-ES"/>
        </w:rPr>
        <w:t xml:space="preserve"> la pérdida del feto por </w:t>
      </w:r>
      <w:r w:rsidRPr="00FD4F59">
        <w:rPr>
          <w:rFonts w:asciiTheme="majorHAnsi" w:hAnsiTheme="majorHAnsi"/>
          <w:color w:val="000000"/>
          <w:sz w:val="20"/>
          <w:szCs w:val="20"/>
          <w:lang w:val="es-ES"/>
        </w:rPr>
        <w:t>hipoxia intrauterina.</w:t>
      </w:r>
      <w:r w:rsidR="004E14C6" w:rsidRPr="00FD4F59">
        <w:rPr>
          <w:rFonts w:asciiTheme="majorHAnsi" w:hAnsiTheme="majorHAnsi"/>
          <w:color w:val="000000"/>
          <w:sz w:val="20"/>
          <w:szCs w:val="20"/>
          <w:lang w:val="es-ES"/>
        </w:rPr>
        <w:t xml:space="preserve"> </w:t>
      </w:r>
      <w:r w:rsidR="00FE5EE5" w:rsidRPr="00FD4F59">
        <w:rPr>
          <w:rFonts w:asciiTheme="majorHAnsi" w:hAnsiTheme="majorHAnsi"/>
          <w:color w:val="000000"/>
          <w:sz w:val="20"/>
          <w:szCs w:val="20"/>
          <w:lang w:val="es-ES"/>
        </w:rPr>
        <w:t xml:space="preserve">A raíz de estos hechos, explican los peticionarios, se sustanciaron </w:t>
      </w:r>
      <w:r w:rsidR="00FE5EE5" w:rsidRPr="00FD4F59">
        <w:rPr>
          <w:rFonts w:asciiTheme="majorHAnsi" w:hAnsiTheme="majorHAnsi"/>
          <w:color w:val="000000"/>
          <w:sz w:val="20"/>
          <w:szCs w:val="20"/>
          <w:lang w:val="es-ES"/>
        </w:rPr>
        <w:lastRenderedPageBreak/>
        <w:t>una serie de procesos</w:t>
      </w:r>
      <w:r w:rsidR="00AC4CC3" w:rsidRPr="00FD4F59">
        <w:rPr>
          <w:rFonts w:asciiTheme="majorHAnsi" w:hAnsiTheme="majorHAnsi"/>
          <w:color w:val="000000"/>
          <w:sz w:val="20"/>
          <w:szCs w:val="20"/>
          <w:lang w:val="es-ES"/>
        </w:rPr>
        <w:t xml:space="preserve"> penales</w:t>
      </w:r>
      <w:r w:rsidR="005D76FB" w:rsidRPr="00FD4F59">
        <w:rPr>
          <w:rFonts w:asciiTheme="majorHAnsi" w:hAnsiTheme="majorHAnsi"/>
          <w:color w:val="000000"/>
          <w:sz w:val="20"/>
          <w:szCs w:val="20"/>
          <w:lang w:val="es-ES"/>
        </w:rPr>
        <w:t>, todos ellos</w:t>
      </w:r>
      <w:r w:rsidR="00FE5EE5" w:rsidRPr="00FD4F59">
        <w:rPr>
          <w:rFonts w:asciiTheme="majorHAnsi" w:hAnsiTheme="majorHAnsi"/>
          <w:color w:val="000000"/>
          <w:sz w:val="20"/>
          <w:szCs w:val="20"/>
          <w:lang w:val="es-ES"/>
        </w:rPr>
        <w:t xml:space="preserve"> relacionados entre s</w:t>
      </w:r>
      <w:r w:rsidR="005D76FB" w:rsidRPr="00FD4F59">
        <w:rPr>
          <w:rFonts w:asciiTheme="majorHAnsi" w:hAnsiTheme="majorHAnsi"/>
          <w:color w:val="000000"/>
          <w:sz w:val="20"/>
          <w:szCs w:val="20"/>
          <w:lang w:val="es-ES"/>
        </w:rPr>
        <w:t xml:space="preserve">í, en los que alegan no haber tenido acceso a un tribunal independiente e imparcial, ni a una decisión debidamente fundada, </w:t>
      </w:r>
      <w:r w:rsidR="00FE5EE5" w:rsidRPr="00FD4F59">
        <w:rPr>
          <w:rFonts w:asciiTheme="majorHAnsi" w:hAnsiTheme="majorHAnsi"/>
          <w:color w:val="000000"/>
          <w:sz w:val="20"/>
          <w:szCs w:val="20"/>
          <w:lang w:val="es-ES"/>
        </w:rPr>
        <w:t>conforme se detalla a continuación.</w:t>
      </w:r>
      <w:r w:rsidR="0070078A" w:rsidRPr="00FD4F59">
        <w:rPr>
          <w:rFonts w:asciiTheme="majorHAnsi" w:hAnsiTheme="majorHAnsi"/>
          <w:color w:val="000000"/>
          <w:sz w:val="20"/>
          <w:szCs w:val="20"/>
          <w:lang w:val="es-ES"/>
        </w:rPr>
        <w:t xml:space="preserve"> </w:t>
      </w:r>
    </w:p>
    <w:p w:rsidR="00FD4F59" w:rsidRPr="00FD4F59" w:rsidRDefault="00FD4F59"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FE5EE5" w:rsidRPr="00FD4F59" w:rsidRDefault="00FE5EE5" w:rsidP="001433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i/>
          <w:sz w:val="20"/>
          <w:szCs w:val="20"/>
          <w:lang w:val="es-ES"/>
        </w:rPr>
      </w:pPr>
      <w:r w:rsidRPr="00FD4F59">
        <w:rPr>
          <w:rFonts w:asciiTheme="majorHAnsi" w:hAnsiTheme="majorHAnsi"/>
          <w:i/>
          <w:sz w:val="20"/>
          <w:szCs w:val="20"/>
          <w:lang w:val="es-ES"/>
        </w:rPr>
        <w:t>Proceso penal por homicidio culposo</w:t>
      </w:r>
      <w:r w:rsidRPr="00FD4F59">
        <w:rPr>
          <w:rFonts w:asciiTheme="majorHAnsi" w:hAnsiTheme="majorHAnsi"/>
          <w:sz w:val="20"/>
          <w:szCs w:val="20"/>
          <w:lang w:val="es-ES"/>
        </w:rPr>
        <w:t xml:space="preserve"> </w:t>
      </w:r>
      <w:r w:rsidRPr="00FD4F59">
        <w:rPr>
          <w:rFonts w:asciiTheme="majorHAnsi" w:hAnsiTheme="majorHAnsi"/>
          <w:i/>
          <w:sz w:val="20"/>
          <w:szCs w:val="20"/>
          <w:lang w:val="es-ES"/>
        </w:rPr>
        <w:t xml:space="preserve">(Expte. </w:t>
      </w:r>
      <w:r w:rsidR="002440B2" w:rsidRPr="00FD4F59">
        <w:rPr>
          <w:rFonts w:asciiTheme="majorHAnsi" w:hAnsiTheme="majorHAnsi"/>
          <w:i/>
          <w:sz w:val="20"/>
          <w:szCs w:val="20"/>
          <w:lang w:val="es-ES"/>
        </w:rPr>
        <w:t xml:space="preserve">No. </w:t>
      </w:r>
      <w:r w:rsidRPr="00FD4F59">
        <w:rPr>
          <w:rFonts w:asciiTheme="majorHAnsi" w:hAnsiTheme="majorHAnsi"/>
          <w:i/>
          <w:sz w:val="20"/>
          <w:szCs w:val="20"/>
          <w:lang w:val="es-ES"/>
        </w:rPr>
        <w:t>2.391)</w:t>
      </w:r>
      <w:r w:rsidRPr="00FD4F59">
        <w:rPr>
          <w:rStyle w:val="FootnoteReference"/>
          <w:rFonts w:asciiTheme="majorHAnsi" w:hAnsiTheme="majorHAnsi"/>
          <w:sz w:val="20"/>
          <w:szCs w:val="20"/>
          <w:lang w:val="es-ES"/>
        </w:rPr>
        <w:footnoteReference w:id="2"/>
      </w:r>
    </w:p>
    <w:p w:rsidR="00FD4F59" w:rsidRPr="00FD4F59" w:rsidRDefault="00FD4F59"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lang w:val="es-ES"/>
        </w:rPr>
      </w:pPr>
    </w:p>
    <w:p w:rsidR="0055091F"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Indican</w:t>
      </w:r>
      <w:r w:rsidR="002C7EEE" w:rsidRPr="00FD4F59">
        <w:rPr>
          <w:rFonts w:asciiTheme="majorHAnsi" w:hAnsiTheme="majorHAnsi"/>
          <w:color w:val="000000"/>
          <w:sz w:val="20"/>
          <w:szCs w:val="20"/>
          <w:lang w:val="es-ES"/>
        </w:rPr>
        <w:t xml:space="preserve"> los peticionarios</w:t>
      </w:r>
      <w:r w:rsidRPr="00FD4F59">
        <w:rPr>
          <w:rFonts w:asciiTheme="majorHAnsi" w:hAnsiTheme="majorHAnsi"/>
          <w:color w:val="000000"/>
          <w:sz w:val="20"/>
          <w:szCs w:val="20"/>
          <w:lang w:val="es-ES"/>
        </w:rPr>
        <w:t xml:space="preserve"> que</w:t>
      </w:r>
      <w:r w:rsidR="002C7EEE"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w:t>
      </w:r>
      <w:r w:rsidR="002C7EEE" w:rsidRPr="00FD4F59">
        <w:rPr>
          <w:rFonts w:asciiTheme="majorHAnsi" w:hAnsiTheme="majorHAnsi"/>
          <w:color w:val="000000"/>
          <w:sz w:val="20"/>
          <w:szCs w:val="20"/>
          <w:lang w:val="es-ES"/>
        </w:rPr>
        <w:t xml:space="preserve">a raíz del fallecimiento de la presunta víctima, </w:t>
      </w:r>
      <w:r w:rsidR="00260CC6" w:rsidRPr="00FD4F59">
        <w:rPr>
          <w:rFonts w:asciiTheme="majorHAnsi" w:hAnsiTheme="majorHAnsi"/>
          <w:color w:val="000000"/>
          <w:sz w:val="20"/>
          <w:szCs w:val="20"/>
          <w:lang w:val="es-ES"/>
        </w:rPr>
        <w:t>se</w:t>
      </w:r>
      <w:r w:rsidRPr="00FD4F59">
        <w:rPr>
          <w:rFonts w:asciiTheme="majorHAnsi" w:hAnsiTheme="majorHAnsi"/>
          <w:color w:val="000000"/>
          <w:sz w:val="20"/>
          <w:szCs w:val="20"/>
          <w:lang w:val="es-ES"/>
        </w:rPr>
        <w:t xml:space="preserve"> </w:t>
      </w:r>
      <w:r w:rsidR="009A04EF" w:rsidRPr="00FD4F59">
        <w:rPr>
          <w:rFonts w:asciiTheme="majorHAnsi" w:hAnsiTheme="majorHAnsi"/>
          <w:color w:val="000000"/>
          <w:sz w:val="20"/>
          <w:szCs w:val="20"/>
          <w:lang w:val="es-ES"/>
        </w:rPr>
        <w:t xml:space="preserve">habría </w:t>
      </w:r>
      <w:r w:rsidRPr="00FD4F59">
        <w:rPr>
          <w:rFonts w:asciiTheme="majorHAnsi" w:hAnsiTheme="majorHAnsi"/>
          <w:color w:val="000000"/>
          <w:sz w:val="20"/>
          <w:szCs w:val="20"/>
          <w:lang w:val="es-ES"/>
        </w:rPr>
        <w:t>interpu</w:t>
      </w:r>
      <w:r w:rsidR="009A04EF" w:rsidRPr="00FD4F59">
        <w:rPr>
          <w:rFonts w:asciiTheme="majorHAnsi" w:hAnsiTheme="majorHAnsi"/>
          <w:color w:val="000000"/>
          <w:sz w:val="20"/>
          <w:szCs w:val="20"/>
          <w:lang w:val="es-ES"/>
        </w:rPr>
        <w:t>e</w:t>
      </w:r>
      <w:r w:rsidRPr="00FD4F59">
        <w:rPr>
          <w:rFonts w:asciiTheme="majorHAnsi" w:hAnsiTheme="majorHAnsi"/>
          <w:color w:val="000000"/>
          <w:sz w:val="20"/>
          <w:szCs w:val="20"/>
          <w:lang w:val="es-ES"/>
        </w:rPr>
        <w:t>s</w:t>
      </w:r>
      <w:r w:rsidR="009A04EF" w:rsidRPr="00FD4F59">
        <w:rPr>
          <w:rFonts w:asciiTheme="majorHAnsi" w:hAnsiTheme="majorHAnsi"/>
          <w:color w:val="000000"/>
          <w:sz w:val="20"/>
          <w:szCs w:val="20"/>
          <w:lang w:val="es-ES"/>
        </w:rPr>
        <w:t>t</w:t>
      </w:r>
      <w:r w:rsidRPr="00FD4F59">
        <w:rPr>
          <w:rFonts w:asciiTheme="majorHAnsi" w:hAnsiTheme="majorHAnsi"/>
          <w:color w:val="000000"/>
          <w:sz w:val="20"/>
          <w:szCs w:val="20"/>
          <w:lang w:val="es-ES"/>
        </w:rPr>
        <w:t>o una denuncia por el delito de homicidio culposo</w:t>
      </w:r>
      <w:r w:rsidR="002C7EEE" w:rsidRPr="00FD4F59">
        <w:rPr>
          <w:rFonts w:asciiTheme="majorHAnsi" w:hAnsiTheme="majorHAnsi"/>
          <w:color w:val="000000"/>
          <w:sz w:val="20"/>
          <w:szCs w:val="20"/>
          <w:lang w:val="es-ES"/>
        </w:rPr>
        <w:t xml:space="preserve"> contra la médica Patricia Carmen Anido y </w:t>
      </w:r>
      <w:r w:rsidR="003E69A9" w:rsidRPr="00FD4F59">
        <w:rPr>
          <w:rFonts w:asciiTheme="majorHAnsi" w:hAnsiTheme="majorHAnsi"/>
          <w:color w:val="000000"/>
          <w:sz w:val="20"/>
          <w:szCs w:val="20"/>
          <w:lang w:val="es-ES"/>
        </w:rPr>
        <w:t>e</w:t>
      </w:r>
      <w:r w:rsidR="002C7EEE" w:rsidRPr="00FD4F59">
        <w:rPr>
          <w:rFonts w:asciiTheme="majorHAnsi" w:hAnsiTheme="majorHAnsi"/>
          <w:color w:val="000000"/>
          <w:sz w:val="20"/>
          <w:szCs w:val="20"/>
          <w:lang w:val="es-ES"/>
        </w:rPr>
        <w:t xml:space="preserve">l médico Eduardo Mario Negri, profesionales que atendían a Cristina </w:t>
      </w:r>
      <w:r w:rsidR="00BC643C">
        <w:rPr>
          <w:rFonts w:asciiTheme="majorHAnsi" w:hAnsiTheme="majorHAnsi"/>
          <w:color w:val="000000"/>
          <w:sz w:val="20"/>
          <w:szCs w:val="20"/>
          <w:lang w:val="es-ES"/>
        </w:rPr>
        <w:t>Britez</w:t>
      </w:r>
      <w:r w:rsidR="002C7EEE" w:rsidRPr="00FD4F59">
        <w:rPr>
          <w:rFonts w:asciiTheme="majorHAnsi" w:hAnsiTheme="majorHAnsi"/>
          <w:color w:val="000000"/>
          <w:sz w:val="20"/>
          <w:szCs w:val="20"/>
          <w:lang w:val="es-ES"/>
        </w:rPr>
        <w:t xml:space="preserve"> Arce</w:t>
      </w:r>
      <w:r w:rsidR="003E69A9" w:rsidRPr="00FD4F59">
        <w:rPr>
          <w:rFonts w:asciiTheme="majorHAnsi" w:hAnsiTheme="majorHAnsi"/>
          <w:color w:val="000000"/>
          <w:sz w:val="20"/>
          <w:szCs w:val="20"/>
          <w:lang w:val="es-ES"/>
        </w:rPr>
        <w:t xml:space="preserve"> en el hospital público Materno Infantil “Ramón Sarda”.</w:t>
      </w:r>
      <w:r w:rsidR="009A04EF" w:rsidRPr="00FD4F59">
        <w:rPr>
          <w:rFonts w:asciiTheme="majorHAnsi" w:hAnsiTheme="majorHAnsi"/>
          <w:color w:val="000000"/>
          <w:sz w:val="20"/>
          <w:szCs w:val="20"/>
          <w:lang w:val="es-ES"/>
        </w:rPr>
        <w:t xml:space="preserve"> Los peticionarios habrían sido tenidos como parte querellante en el proceso.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260CC6" w:rsidRDefault="009A04EF"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E</w:t>
      </w:r>
      <w:r w:rsidR="00363A7D" w:rsidRPr="00FD4F59">
        <w:rPr>
          <w:rFonts w:asciiTheme="majorHAnsi" w:hAnsiTheme="majorHAnsi"/>
          <w:color w:val="000000"/>
          <w:sz w:val="20"/>
          <w:szCs w:val="20"/>
          <w:lang w:val="es-ES"/>
        </w:rPr>
        <w:t>l 30 de junio de 1992</w:t>
      </w:r>
      <w:r w:rsidR="001B57B4" w:rsidRPr="00FD4F59">
        <w:rPr>
          <w:rFonts w:asciiTheme="majorHAnsi" w:hAnsiTheme="majorHAnsi"/>
          <w:color w:val="000000"/>
          <w:sz w:val="20"/>
          <w:szCs w:val="20"/>
          <w:lang w:val="es-ES"/>
        </w:rPr>
        <w:t>,</w:t>
      </w:r>
      <w:r w:rsidR="00363A7D" w:rsidRPr="00FD4F59">
        <w:rPr>
          <w:rFonts w:asciiTheme="majorHAnsi" w:hAnsiTheme="majorHAnsi"/>
          <w:color w:val="000000"/>
          <w:sz w:val="20"/>
          <w:szCs w:val="20"/>
          <w:lang w:val="es-ES"/>
        </w:rPr>
        <w:t xml:space="preserve"> se habría </w:t>
      </w:r>
      <w:r w:rsidR="00BA4509" w:rsidRPr="00FD4F59">
        <w:rPr>
          <w:rFonts w:asciiTheme="majorHAnsi" w:hAnsiTheme="majorHAnsi"/>
          <w:color w:val="000000"/>
          <w:sz w:val="20"/>
          <w:szCs w:val="20"/>
          <w:lang w:val="es-ES"/>
        </w:rPr>
        <w:t>requerido</w:t>
      </w:r>
      <w:r w:rsidR="00363A7D"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la práctica de </w:t>
      </w:r>
      <w:r w:rsidR="00363A7D" w:rsidRPr="00FD4F59">
        <w:rPr>
          <w:rFonts w:asciiTheme="majorHAnsi" w:hAnsiTheme="majorHAnsi"/>
          <w:color w:val="000000"/>
          <w:sz w:val="20"/>
          <w:szCs w:val="20"/>
          <w:lang w:val="es-ES"/>
        </w:rPr>
        <w:t xml:space="preserve">una pericia </w:t>
      </w:r>
      <w:r w:rsidRPr="00FD4F59">
        <w:rPr>
          <w:rFonts w:asciiTheme="majorHAnsi" w:hAnsiTheme="majorHAnsi"/>
          <w:color w:val="000000"/>
          <w:sz w:val="20"/>
          <w:szCs w:val="20"/>
          <w:lang w:val="es-ES"/>
        </w:rPr>
        <w:t>médica</w:t>
      </w:r>
      <w:r w:rsidR="00363A7D" w:rsidRPr="00FD4F59">
        <w:rPr>
          <w:rFonts w:asciiTheme="majorHAnsi" w:hAnsiTheme="majorHAnsi"/>
          <w:color w:val="000000"/>
          <w:sz w:val="20"/>
          <w:szCs w:val="20"/>
          <w:lang w:val="es-ES"/>
        </w:rPr>
        <w:t>, la cual fue aportada al expediente</w:t>
      </w:r>
      <w:r w:rsidRPr="00FD4F59">
        <w:rPr>
          <w:rFonts w:asciiTheme="majorHAnsi" w:hAnsiTheme="majorHAnsi"/>
          <w:color w:val="000000"/>
          <w:sz w:val="20"/>
          <w:szCs w:val="20"/>
          <w:lang w:val="es-ES"/>
        </w:rPr>
        <w:t xml:space="preserve"> un año más tarde,</w:t>
      </w:r>
      <w:r w:rsidR="00363A7D" w:rsidRPr="00FD4F59">
        <w:rPr>
          <w:rFonts w:asciiTheme="majorHAnsi" w:hAnsiTheme="majorHAnsi"/>
          <w:color w:val="000000"/>
          <w:sz w:val="20"/>
          <w:szCs w:val="20"/>
          <w:lang w:val="es-ES"/>
        </w:rPr>
        <w:t xml:space="preserve"> </w:t>
      </w:r>
      <w:r w:rsidR="00260CC6" w:rsidRPr="00FD4F59">
        <w:rPr>
          <w:rFonts w:asciiTheme="majorHAnsi" w:hAnsiTheme="majorHAnsi"/>
          <w:color w:val="000000"/>
          <w:sz w:val="20"/>
          <w:szCs w:val="20"/>
          <w:lang w:val="es-ES"/>
        </w:rPr>
        <w:t xml:space="preserve">el </w:t>
      </w:r>
      <w:r w:rsidRPr="00FD4F59">
        <w:rPr>
          <w:rFonts w:asciiTheme="majorHAnsi" w:hAnsiTheme="majorHAnsi"/>
          <w:color w:val="000000"/>
          <w:sz w:val="20"/>
          <w:szCs w:val="20"/>
          <w:lang w:val="es-ES"/>
        </w:rPr>
        <w:t>24 de junio de 1993,</w:t>
      </w:r>
      <w:r w:rsidR="00260C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por </w:t>
      </w:r>
      <w:r w:rsidR="00260CC6" w:rsidRPr="00FD4F59">
        <w:rPr>
          <w:rFonts w:asciiTheme="majorHAnsi" w:hAnsiTheme="majorHAnsi"/>
          <w:color w:val="000000"/>
          <w:sz w:val="20"/>
          <w:szCs w:val="20"/>
          <w:lang w:val="es-ES"/>
        </w:rPr>
        <w:t xml:space="preserve">los peritos </w:t>
      </w:r>
      <w:r w:rsidR="00AB2A7D" w:rsidRPr="00FD4F59">
        <w:rPr>
          <w:rFonts w:asciiTheme="majorHAnsi" w:hAnsiTheme="majorHAnsi"/>
          <w:color w:val="000000"/>
          <w:sz w:val="20"/>
          <w:szCs w:val="20"/>
          <w:lang w:val="es-ES"/>
        </w:rPr>
        <w:t xml:space="preserve">forenses </w:t>
      </w:r>
      <w:r w:rsidR="00260CC6" w:rsidRPr="00FD4F59">
        <w:rPr>
          <w:rFonts w:asciiTheme="majorHAnsi" w:hAnsiTheme="majorHAnsi"/>
          <w:color w:val="000000"/>
          <w:sz w:val="20"/>
          <w:szCs w:val="20"/>
          <w:lang w:val="es-ES"/>
        </w:rPr>
        <w:t xml:space="preserve">Florencio Casavilla </w:t>
      </w:r>
      <w:r w:rsidRPr="00FD4F59">
        <w:rPr>
          <w:rFonts w:asciiTheme="majorHAnsi" w:hAnsiTheme="majorHAnsi"/>
          <w:color w:val="000000"/>
          <w:sz w:val="20"/>
          <w:szCs w:val="20"/>
          <w:lang w:val="es-ES"/>
        </w:rPr>
        <w:t>y Carlos Fernando Leoncio Poggi. Según alegan los peticionarios, los peritos habrían</w:t>
      </w:r>
      <w:r w:rsidR="00260C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elaborado </w:t>
      </w:r>
      <w:r w:rsidR="00260CC6" w:rsidRPr="00FD4F59">
        <w:rPr>
          <w:rFonts w:asciiTheme="majorHAnsi" w:hAnsiTheme="majorHAnsi"/>
          <w:color w:val="000000"/>
          <w:sz w:val="20"/>
          <w:szCs w:val="20"/>
          <w:lang w:val="es-ES"/>
        </w:rPr>
        <w:t>una pericia</w:t>
      </w:r>
      <w:r w:rsidR="0055091F" w:rsidRPr="00FD4F59">
        <w:rPr>
          <w:rFonts w:asciiTheme="majorHAnsi" w:hAnsiTheme="majorHAnsi"/>
          <w:color w:val="000000"/>
          <w:sz w:val="20"/>
          <w:szCs w:val="20"/>
          <w:lang w:val="es-ES"/>
        </w:rPr>
        <w:t xml:space="preserve"> </w:t>
      </w:r>
      <w:r w:rsidR="008B676A" w:rsidRPr="00FD4F59">
        <w:rPr>
          <w:rFonts w:asciiTheme="majorHAnsi" w:hAnsiTheme="majorHAnsi"/>
          <w:color w:val="000000"/>
          <w:sz w:val="20"/>
          <w:szCs w:val="20"/>
          <w:lang w:val="es-ES"/>
        </w:rPr>
        <w:t>“</w:t>
      </w:r>
      <w:r w:rsidR="0055091F" w:rsidRPr="00FD4F59">
        <w:rPr>
          <w:rFonts w:asciiTheme="majorHAnsi" w:hAnsiTheme="majorHAnsi"/>
          <w:color w:val="000000"/>
          <w:sz w:val="20"/>
          <w:szCs w:val="20"/>
          <w:lang w:val="es-ES"/>
        </w:rPr>
        <w:t>falsa</w:t>
      </w:r>
      <w:r w:rsidR="008B676A" w:rsidRPr="00FD4F59">
        <w:rPr>
          <w:rFonts w:asciiTheme="majorHAnsi" w:hAnsiTheme="majorHAnsi"/>
          <w:color w:val="000000"/>
          <w:sz w:val="20"/>
          <w:szCs w:val="20"/>
          <w:lang w:val="es-ES"/>
        </w:rPr>
        <w:t>”,</w:t>
      </w:r>
      <w:r w:rsidR="0055091F" w:rsidRPr="00FD4F59">
        <w:rPr>
          <w:rFonts w:asciiTheme="majorHAnsi" w:hAnsiTheme="majorHAnsi"/>
          <w:color w:val="000000"/>
          <w:sz w:val="20"/>
          <w:szCs w:val="20"/>
          <w:lang w:val="es-ES"/>
        </w:rPr>
        <w:t xml:space="preserve"> preparada </w:t>
      </w:r>
      <w:r w:rsidR="00A508B7" w:rsidRPr="00FD4F59">
        <w:rPr>
          <w:rFonts w:asciiTheme="majorHAnsi" w:hAnsiTheme="majorHAnsi"/>
          <w:color w:val="000000"/>
          <w:sz w:val="20"/>
          <w:szCs w:val="20"/>
          <w:lang w:val="es-ES"/>
        </w:rPr>
        <w:t xml:space="preserve">especialmente </w:t>
      </w:r>
      <w:r w:rsidRPr="00FD4F59">
        <w:rPr>
          <w:rFonts w:asciiTheme="majorHAnsi" w:hAnsiTheme="majorHAnsi"/>
          <w:color w:val="000000"/>
          <w:sz w:val="20"/>
          <w:szCs w:val="20"/>
          <w:lang w:val="es-ES"/>
        </w:rPr>
        <w:t xml:space="preserve">al efecto </w:t>
      </w:r>
      <w:r w:rsidR="0055091F" w:rsidRPr="00FD4F59">
        <w:rPr>
          <w:rFonts w:asciiTheme="majorHAnsi" w:hAnsiTheme="majorHAnsi"/>
          <w:color w:val="000000"/>
          <w:sz w:val="20"/>
          <w:szCs w:val="20"/>
          <w:lang w:val="es-ES"/>
        </w:rPr>
        <w:t xml:space="preserve">de </w:t>
      </w:r>
      <w:r w:rsidR="00260CC6" w:rsidRPr="00FD4F59">
        <w:rPr>
          <w:rFonts w:asciiTheme="majorHAnsi" w:hAnsiTheme="majorHAnsi"/>
          <w:color w:val="000000"/>
          <w:sz w:val="20"/>
          <w:szCs w:val="20"/>
          <w:lang w:val="es-ES"/>
        </w:rPr>
        <w:t>encubrir el delito de homicidio</w:t>
      </w:r>
      <w:r w:rsidR="0055091F" w:rsidRPr="00FD4F59">
        <w:rPr>
          <w:rFonts w:asciiTheme="majorHAnsi" w:hAnsiTheme="majorHAnsi"/>
          <w:color w:val="000000"/>
          <w:sz w:val="20"/>
          <w:szCs w:val="20"/>
          <w:lang w:val="es-ES"/>
        </w:rPr>
        <w:t xml:space="preserve"> que se investigaba</w:t>
      </w:r>
      <w:r w:rsidR="00260CC6" w:rsidRPr="00FD4F59">
        <w:rPr>
          <w:rFonts w:asciiTheme="majorHAnsi" w:hAnsiTheme="majorHAnsi"/>
          <w:color w:val="000000"/>
          <w:sz w:val="20"/>
          <w:szCs w:val="20"/>
          <w:lang w:val="es-ES"/>
        </w:rPr>
        <w:t xml:space="preserve">. </w:t>
      </w:r>
      <w:r w:rsidR="003E69A9" w:rsidRPr="00FD4F59">
        <w:rPr>
          <w:rFonts w:asciiTheme="majorHAnsi" w:hAnsiTheme="majorHAnsi"/>
          <w:color w:val="000000"/>
          <w:sz w:val="20"/>
          <w:szCs w:val="20"/>
          <w:lang w:val="es-ES"/>
        </w:rPr>
        <w:t>L</w:t>
      </w:r>
      <w:r w:rsidR="00AB2A7D" w:rsidRPr="00FD4F59">
        <w:rPr>
          <w:rFonts w:asciiTheme="majorHAnsi" w:hAnsiTheme="majorHAnsi"/>
          <w:color w:val="000000"/>
          <w:sz w:val="20"/>
          <w:szCs w:val="20"/>
          <w:lang w:val="es-ES"/>
        </w:rPr>
        <w:t>a jueza interviniente habría declarad</w:t>
      </w:r>
      <w:r w:rsidR="003E69A9" w:rsidRPr="00FD4F59">
        <w:rPr>
          <w:rFonts w:asciiTheme="majorHAnsi" w:hAnsiTheme="majorHAnsi"/>
          <w:color w:val="000000"/>
          <w:sz w:val="20"/>
          <w:szCs w:val="20"/>
          <w:lang w:val="es-ES"/>
        </w:rPr>
        <w:t>o</w:t>
      </w:r>
      <w:r w:rsidR="00AB2A7D" w:rsidRPr="00FD4F59">
        <w:rPr>
          <w:rFonts w:asciiTheme="majorHAnsi" w:hAnsiTheme="majorHAnsi"/>
          <w:color w:val="000000"/>
          <w:sz w:val="20"/>
          <w:szCs w:val="20"/>
          <w:lang w:val="es-ES"/>
        </w:rPr>
        <w:t xml:space="preserve"> nula dicha pericia y habría formulado denuncia de oficio por f</w:t>
      </w:r>
      <w:r w:rsidR="0055091F" w:rsidRPr="00FD4F59">
        <w:rPr>
          <w:rFonts w:asciiTheme="majorHAnsi" w:hAnsiTheme="majorHAnsi"/>
          <w:color w:val="000000"/>
          <w:sz w:val="20"/>
          <w:szCs w:val="20"/>
          <w:lang w:val="es-ES"/>
        </w:rPr>
        <w:t>alsedad de instrumento público</w:t>
      </w:r>
      <w:r w:rsidR="002440B2" w:rsidRPr="00FD4F59">
        <w:rPr>
          <w:rFonts w:asciiTheme="majorHAnsi" w:hAnsiTheme="majorHAnsi"/>
          <w:color w:val="000000"/>
          <w:sz w:val="20"/>
          <w:szCs w:val="20"/>
          <w:lang w:val="es-ES"/>
        </w:rPr>
        <w:t>. D</w:t>
      </w:r>
      <w:r w:rsidR="0055091F" w:rsidRPr="00FD4F59">
        <w:rPr>
          <w:rFonts w:asciiTheme="majorHAnsi" w:hAnsiTheme="majorHAnsi"/>
          <w:color w:val="000000"/>
          <w:sz w:val="20"/>
          <w:szCs w:val="20"/>
          <w:lang w:val="es-ES"/>
        </w:rPr>
        <w:t xml:space="preserve">icha denuncia dio origen a </w:t>
      </w:r>
      <w:r w:rsidR="00AB2A7D" w:rsidRPr="00FD4F59">
        <w:rPr>
          <w:rFonts w:asciiTheme="majorHAnsi" w:hAnsiTheme="majorHAnsi"/>
          <w:color w:val="000000"/>
          <w:sz w:val="20"/>
          <w:szCs w:val="20"/>
          <w:lang w:val="es-ES"/>
        </w:rPr>
        <w:t>la causa radicada bajo el expediente No. 21.375/96</w:t>
      </w:r>
      <w:r w:rsidR="0055091F" w:rsidRPr="00FD4F59">
        <w:rPr>
          <w:rFonts w:asciiTheme="majorHAnsi" w:hAnsiTheme="majorHAnsi"/>
          <w:color w:val="000000"/>
          <w:sz w:val="20"/>
          <w:szCs w:val="20"/>
          <w:lang w:val="es-ES"/>
        </w:rPr>
        <w:t>, tal como se reseñará más abajo</w:t>
      </w:r>
      <w:r w:rsidR="00AB2A7D"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F121B4" w:rsidRDefault="00BA4509"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Posteriormente, habría sido requerida una nueva pericia, la cual habría sido rendida por los peritos Héctor Papagani y </w:t>
      </w:r>
      <w:r w:rsidR="009902B5" w:rsidRPr="00FD4F59">
        <w:rPr>
          <w:rFonts w:asciiTheme="majorHAnsi" w:hAnsiTheme="majorHAnsi"/>
          <w:color w:val="000000"/>
          <w:sz w:val="20"/>
          <w:szCs w:val="20"/>
          <w:lang w:val="es-ES"/>
        </w:rPr>
        <w:t>Horacio Schiavo</w:t>
      </w:r>
      <w:r w:rsidR="008B676A" w:rsidRPr="00FD4F59">
        <w:rPr>
          <w:rFonts w:asciiTheme="majorHAnsi" w:hAnsiTheme="majorHAnsi"/>
          <w:color w:val="000000"/>
          <w:sz w:val="20"/>
          <w:szCs w:val="20"/>
          <w:lang w:val="es-ES"/>
        </w:rPr>
        <w:t>,</w:t>
      </w:r>
      <w:r w:rsidR="009902B5" w:rsidRPr="00FD4F59">
        <w:rPr>
          <w:rFonts w:asciiTheme="majorHAnsi" w:hAnsiTheme="majorHAnsi"/>
          <w:color w:val="000000"/>
          <w:sz w:val="20"/>
          <w:szCs w:val="20"/>
          <w:lang w:val="es-ES"/>
        </w:rPr>
        <w:t xml:space="preserve"> el 25 de abril de 1995</w:t>
      </w:r>
      <w:r w:rsidR="00EA22C4" w:rsidRPr="00FD4F59">
        <w:rPr>
          <w:rFonts w:asciiTheme="majorHAnsi" w:hAnsiTheme="majorHAnsi"/>
          <w:color w:val="000000"/>
          <w:sz w:val="20"/>
          <w:szCs w:val="20"/>
          <w:lang w:val="es-ES"/>
        </w:rPr>
        <w:t>,</w:t>
      </w:r>
      <w:r w:rsidR="009902B5" w:rsidRPr="00FD4F59">
        <w:rPr>
          <w:rFonts w:asciiTheme="majorHAnsi" w:hAnsiTheme="majorHAnsi"/>
          <w:color w:val="000000"/>
          <w:sz w:val="20"/>
          <w:szCs w:val="20"/>
          <w:lang w:val="es-ES"/>
        </w:rPr>
        <w:t xml:space="preserve"> </w:t>
      </w:r>
      <w:r w:rsidR="00EA22C4" w:rsidRPr="00FD4F59">
        <w:rPr>
          <w:rFonts w:asciiTheme="majorHAnsi" w:hAnsiTheme="majorHAnsi"/>
          <w:color w:val="000000"/>
          <w:sz w:val="20"/>
          <w:szCs w:val="20"/>
          <w:lang w:val="es-ES"/>
        </w:rPr>
        <w:t xml:space="preserve">un día antes de que la acción penal prescribiera. En esta pericia </w:t>
      </w:r>
      <w:r w:rsidR="009902B5" w:rsidRPr="00FD4F59">
        <w:rPr>
          <w:rFonts w:asciiTheme="majorHAnsi" w:hAnsiTheme="majorHAnsi"/>
          <w:color w:val="000000"/>
          <w:sz w:val="20"/>
          <w:szCs w:val="20"/>
          <w:lang w:val="es-ES"/>
        </w:rPr>
        <w:t xml:space="preserve">se habría desmentido lo </w:t>
      </w:r>
      <w:r w:rsidR="00EA22C4" w:rsidRPr="00FD4F59">
        <w:rPr>
          <w:rFonts w:asciiTheme="majorHAnsi" w:hAnsiTheme="majorHAnsi"/>
          <w:color w:val="000000"/>
          <w:sz w:val="20"/>
          <w:szCs w:val="20"/>
          <w:lang w:val="es-ES"/>
        </w:rPr>
        <w:t>afirmado</w:t>
      </w:r>
      <w:r w:rsidR="009902B5" w:rsidRPr="00FD4F59">
        <w:rPr>
          <w:rFonts w:asciiTheme="majorHAnsi" w:hAnsiTheme="majorHAnsi"/>
          <w:color w:val="000000"/>
          <w:sz w:val="20"/>
          <w:szCs w:val="20"/>
          <w:lang w:val="es-ES"/>
        </w:rPr>
        <w:t xml:space="preserve"> por la </w:t>
      </w:r>
      <w:r w:rsidR="00EA22C4" w:rsidRPr="00FD4F59">
        <w:rPr>
          <w:rFonts w:asciiTheme="majorHAnsi" w:hAnsiTheme="majorHAnsi"/>
          <w:color w:val="000000"/>
          <w:sz w:val="20"/>
          <w:szCs w:val="20"/>
          <w:lang w:val="es-ES"/>
        </w:rPr>
        <w:t xml:space="preserve">primera pericia y </w:t>
      </w:r>
      <w:r w:rsidR="00AC4CC3" w:rsidRPr="00FD4F59">
        <w:rPr>
          <w:rFonts w:asciiTheme="majorHAnsi" w:hAnsiTheme="majorHAnsi"/>
          <w:color w:val="000000"/>
          <w:sz w:val="20"/>
          <w:szCs w:val="20"/>
          <w:lang w:val="es-ES"/>
        </w:rPr>
        <w:t xml:space="preserve">se </w:t>
      </w:r>
      <w:r w:rsidR="00EA22C4" w:rsidRPr="00FD4F59">
        <w:rPr>
          <w:rFonts w:asciiTheme="majorHAnsi" w:hAnsiTheme="majorHAnsi"/>
          <w:color w:val="000000"/>
          <w:sz w:val="20"/>
          <w:szCs w:val="20"/>
          <w:lang w:val="es-ES"/>
        </w:rPr>
        <w:t xml:space="preserve">habría corroborado </w:t>
      </w:r>
      <w:r w:rsidR="009902B5" w:rsidRPr="00FD4F59">
        <w:rPr>
          <w:rFonts w:asciiTheme="majorHAnsi" w:hAnsiTheme="majorHAnsi"/>
          <w:color w:val="000000"/>
          <w:sz w:val="20"/>
          <w:szCs w:val="20"/>
          <w:lang w:val="es-ES"/>
        </w:rPr>
        <w:t xml:space="preserve">que la presunta víctima era una </w:t>
      </w:r>
      <w:r w:rsidR="00EA22C4" w:rsidRPr="00FD4F59">
        <w:rPr>
          <w:rFonts w:asciiTheme="majorHAnsi" w:hAnsiTheme="majorHAnsi"/>
          <w:color w:val="000000"/>
          <w:sz w:val="20"/>
          <w:szCs w:val="20"/>
          <w:lang w:val="es-ES"/>
        </w:rPr>
        <w:t>“</w:t>
      </w:r>
      <w:r w:rsidR="009902B5" w:rsidRPr="00FD4F59">
        <w:rPr>
          <w:rFonts w:asciiTheme="majorHAnsi" w:hAnsiTheme="majorHAnsi"/>
          <w:color w:val="000000"/>
          <w:sz w:val="20"/>
          <w:szCs w:val="20"/>
          <w:lang w:val="es-ES"/>
        </w:rPr>
        <w:t>paciente de alto riesgo</w:t>
      </w:r>
      <w:r w:rsidR="00EA22C4" w:rsidRPr="00FD4F59">
        <w:rPr>
          <w:rFonts w:asciiTheme="majorHAnsi" w:hAnsiTheme="majorHAnsi"/>
          <w:color w:val="000000"/>
          <w:sz w:val="20"/>
          <w:szCs w:val="20"/>
          <w:lang w:val="es-ES"/>
        </w:rPr>
        <w:t>”</w:t>
      </w:r>
      <w:r w:rsidR="009902B5" w:rsidRPr="00FD4F59">
        <w:rPr>
          <w:rFonts w:asciiTheme="majorHAnsi" w:hAnsiTheme="majorHAnsi"/>
          <w:color w:val="000000"/>
          <w:sz w:val="20"/>
          <w:szCs w:val="20"/>
          <w:lang w:val="es-ES"/>
        </w:rPr>
        <w:t xml:space="preserve"> y que había sido mal atendida</w:t>
      </w:r>
      <w:r w:rsidR="00EA22C4" w:rsidRPr="00FD4F59">
        <w:rPr>
          <w:rFonts w:asciiTheme="majorHAnsi" w:hAnsiTheme="majorHAnsi"/>
          <w:color w:val="000000"/>
          <w:sz w:val="20"/>
          <w:szCs w:val="20"/>
          <w:lang w:val="es-ES"/>
        </w:rPr>
        <w:t xml:space="preserve">, por lo </w:t>
      </w:r>
      <w:r w:rsidR="003E18EC" w:rsidRPr="00FD4F59">
        <w:rPr>
          <w:rFonts w:asciiTheme="majorHAnsi" w:hAnsiTheme="majorHAnsi"/>
          <w:color w:val="000000"/>
          <w:sz w:val="20"/>
          <w:szCs w:val="20"/>
          <w:lang w:val="es-ES"/>
        </w:rPr>
        <w:t>que había debido ser internada, falleciendo</w:t>
      </w:r>
      <w:r w:rsidR="00EA22C4" w:rsidRPr="00FD4F59">
        <w:rPr>
          <w:rFonts w:asciiTheme="majorHAnsi" w:hAnsiTheme="majorHAnsi"/>
          <w:color w:val="000000"/>
          <w:sz w:val="20"/>
          <w:szCs w:val="20"/>
          <w:lang w:val="es-ES"/>
        </w:rPr>
        <w:t xml:space="preserve"> </w:t>
      </w:r>
      <w:r w:rsidR="003E18EC" w:rsidRPr="00FD4F59">
        <w:rPr>
          <w:rFonts w:asciiTheme="majorHAnsi" w:hAnsiTheme="majorHAnsi"/>
          <w:color w:val="000000"/>
          <w:sz w:val="20"/>
          <w:szCs w:val="20"/>
          <w:lang w:val="es-ES"/>
        </w:rPr>
        <w:t>posteriormente</w:t>
      </w:r>
      <w:r w:rsidR="009902B5" w:rsidRPr="00FD4F59">
        <w:rPr>
          <w:rFonts w:asciiTheme="majorHAnsi" w:hAnsiTheme="majorHAnsi"/>
          <w:color w:val="000000"/>
          <w:sz w:val="20"/>
          <w:szCs w:val="20"/>
          <w:lang w:val="es-ES"/>
        </w:rPr>
        <w:t>. Con base en esta nueva pericia</w:t>
      </w:r>
      <w:r w:rsidR="003E18EC" w:rsidRPr="00FD4F59">
        <w:rPr>
          <w:rFonts w:asciiTheme="majorHAnsi" w:hAnsiTheme="majorHAnsi"/>
          <w:color w:val="000000"/>
          <w:sz w:val="20"/>
          <w:szCs w:val="20"/>
          <w:lang w:val="es-ES"/>
        </w:rPr>
        <w:t>,</w:t>
      </w:r>
      <w:r w:rsidR="009902B5" w:rsidRPr="00FD4F59">
        <w:rPr>
          <w:rFonts w:asciiTheme="majorHAnsi" w:hAnsiTheme="majorHAnsi"/>
          <w:color w:val="000000"/>
          <w:sz w:val="20"/>
          <w:szCs w:val="20"/>
          <w:lang w:val="es-ES"/>
        </w:rPr>
        <w:t xml:space="preserve"> se habr</w:t>
      </w:r>
      <w:r w:rsidR="00EA22C4" w:rsidRPr="00FD4F59">
        <w:rPr>
          <w:rFonts w:asciiTheme="majorHAnsi" w:hAnsiTheme="majorHAnsi"/>
          <w:color w:val="000000"/>
          <w:sz w:val="20"/>
          <w:szCs w:val="20"/>
          <w:lang w:val="es-ES"/>
        </w:rPr>
        <w:t xml:space="preserve">ía determinado el procesamiento de </w:t>
      </w:r>
      <w:r w:rsidR="003E18EC" w:rsidRPr="00FD4F59">
        <w:rPr>
          <w:rFonts w:asciiTheme="majorHAnsi" w:hAnsiTheme="majorHAnsi"/>
          <w:color w:val="000000"/>
          <w:sz w:val="20"/>
          <w:szCs w:val="20"/>
          <w:lang w:val="es-ES"/>
        </w:rPr>
        <w:t xml:space="preserve">los </w:t>
      </w:r>
      <w:r w:rsidR="00EA22C4" w:rsidRPr="00FD4F59">
        <w:rPr>
          <w:rFonts w:asciiTheme="majorHAnsi" w:hAnsiTheme="majorHAnsi"/>
          <w:color w:val="000000"/>
          <w:sz w:val="20"/>
          <w:szCs w:val="20"/>
          <w:lang w:val="es-ES"/>
        </w:rPr>
        <w:t>médicos por homicidio. Adicionalmente</w:t>
      </w:r>
      <w:r w:rsidR="00CE34E4" w:rsidRPr="00FD4F59">
        <w:rPr>
          <w:rFonts w:asciiTheme="majorHAnsi" w:hAnsiTheme="majorHAnsi"/>
          <w:color w:val="000000"/>
          <w:sz w:val="20"/>
          <w:szCs w:val="20"/>
          <w:lang w:val="es-ES"/>
        </w:rPr>
        <w:t xml:space="preserve">, </w:t>
      </w:r>
      <w:r w:rsidR="00EA22C4" w:rsidRPr="00FD4F59">
        <w:rPr>
          <w:rFonts w:asciiTheme="majorHAnsi" w:hAnsiTheme="majorHAnsi"/>
          <w:color w:val="000000"/>
          <w:sz w:val="20"/>
          <w:szCs w:val="20"/>
          <w:lang w:val="es-ES"/>
        </w:rPr>
        <w:t xml:space="preserve">los peticionarios </w:t>
      </w:r>
      <w:r w:rsidR="00CE34E4" w:rsidRPr="00FD4F59">
        <w:rPr>
          <w:rFonts w:asciiTheme="majorHAnsi" w:hAnsiTheme="majorHAnsi"/>
          <w:color w:val="000000"/>
          <w:sz w:val="20"/>
          <w:szCs w:val="20"/>
          <w:lang w:val="es-ES"/>
        </w:rPr>
        <w:t>acompañan copias de una presentación en la que denunciaron que</w:t>
      </w:r>
      <w:r w:rsidR="00117DD4" w:rsidRPr="00FD4F59">
        <w:rPr>
          <w:rFonts w:asciiTheme="majorHAnsi" w:hAnsiTheme="majorHAnsi"/>
          <w:color w:val="000000"/>
          <w:sz w:val="20"/>
          <w:szCs w:val="20"/>
          <w:lang w:val="es-ES"/>
        </w:rPr>
        <w:t>,</w:t>
      </w:r>
      <w:r w:rsidR="00CE34E4" w:rsidRPr="00FD4F59">
        <w:rPr>
          <w:rFonts w:asciiTheme="majorHAnsi" w:hAnsiTheme="majorHAnsi"/>
          <w:color w:val="000000"/>
          <w:sz w:val="20"/>
          <w:szCs w:val="20"/>
          <w:lang w:val="es-ES"/>
        </w:rPr>
        <w:t xml:space="preserve"> </w:t>
      </w:r>
      <w:r w:rsidR="00EA22C4" w:rsidRPr="00FD4F59">
        <w:rPr>
          <w:rFonts w:asciiTheme="majorHAnsi" w:hAnsiTheme="majorHAnsi"/>
          <w:color w:val="000000"/>
          <w:sz w:val="20"/>
          <w:szCs w:val="20"/>
          <w:lang w:val="es-ES"/>
        </w:rPr>
        <w:t xml:space="preserve">durante la tramitación de la investigación, </w:t>
      </w:r>
      <w:r w:rsidR="00CE34E4" w:rsidRPr="00FD4F59">
        <w:rPr>
          <w:rFonts w:asciiTheme="majorHAnsi" w:hAnsiTheme="majorHAnsi"/>
          <w:color w:val="000000"/>
          <w:sz w:val="20"/>
          <w:szCs w:val="20"/>
          <w:lang w:val="es-ES"/>
        </w:rPr>
        <w:t xml:space="preserve">la historia clínica de la presunta víctima habría sido alterada y que habrían desaparecido varias de sus piezas, incluyendo </w:t>
      </w:r>
      <w:r w:rsidR="00117DD4" w:rsidRPr="00FD4F59">
        <w:rPr>
          <w:rFonts w:asciiTheme="majorHAnsi" w:hAnsiTheme="majorHAnsi"/>
          <w:color w:val="000000"/>
          <w:sz w:val="20"/>
          <w:szCs w:val="20"/>
          <w:lang w:val="es-ES"/>
        </w:rPr>
        <w:t xml:space="preserve">el original de </w:t>
      </w:r>
      <w:r w:rsidR="00CE34E4" w:rsidRPr="00FD4F59">
        <w:rPr>
          <w:rFonts w:asciiTheme="majorHAnsi" w:hAnsiTheme="majorHAnsi"/>
          <w:color w:val="000000"/>
          <w:sz w:val="20"/>
          <w:szCs w:val="20"/>
          <w:lang w:val="es-ES"/>
        </w:rPr>
        <w:t xml:space="preserve">un electrocardiograma que probaría </w:t>
      </w:r>
      <w:r w:rsidR="003E18EC" w:rsidRPr="00FD4F59">
        <w:rPr>
          <w:rFonts w:asciiTheme="majorHAnsi" w:hAnsiTheme="majorHAnsi"/>
          <w:color w:val="000000"/>
          <w:sz w:val="20"/>
          <w:szCs w:val="20"/>
          <w:lang w:val="es-ES"/>
        </w:rPr>
        <w:t xml:space="preserve">la </w:t>
      </w:r>
      <w:r w:rsidR="00CE34E4" w:rsidRPr="00FD4F59">
        <w:rPr>
          <w:rFonts w:asciiTheme="majorHAnsi" w:hAnsiTheme="majorHAnsi"/>
          <w:color w:val="000000"/>
          <w:sz w:val="20"/>
          <w:szCs w:val="20"/>
          <w:lang w:val="es-ES"/>
        </w:rPr>
        <w:t>deficiencia cardíaca</w:t>
      </w:r>
      <w:r w:rsidR="003E18EC" w:rsidRPr="00FD4F59">
        <w:rPr>
          <w:rFonts w:asciiTheme="majorHAnsi" w:hAnsiTheme="majorHAnsi"/>
          <w:color w:val="000000"/>
          <w:sz w:val="20"/>
          <w:szCs w:val="20"/>
          <w:lang w:val="es-ES"/>
        </w:rPr>
        <w:t xml:space="preserve"> de la presunta víctima</w:t>
      </w:r>
      <w:r w:rsidR="00CE34E4" w:rsidRPr="00FD4F59">
        <w:rPr>
          <w:rFonts w:asciiTheme="majorHAnsi" w:hAnsiTheme="majorHAnsi"/>
          <w:color w:val="000000"/>
          <w:sz w:val="20"/>
          <w:szCs w:val="20"/>
          <w:lang w:val="es-ES"/>
        </w:rPr>
        <w:t>.</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9B376F" w:rsidRDefault="00A508B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E</w:t>
      </w:r>
      <w:r w:rsidR="00CE34E4" w:rsidRPr="00FD4F59">
        <w:rPr>
          <w:rFonts w:asciiTheme="majorHAnsi" w:hAnsiTheme="majorHAnsi"/>
          <w:color w:val="000000"/>
          <w:sz w:val="20"/>
          <w:szCs w:val="20"/>
          <w:lang w:val="es-ES"/>
        </w:rPr>
        <w:t>l 16 de diciembre de</w:t>
      </w:r>
      <w:r w:rsidR="00870D4C" w:rsidRPr="00FD4F59">
        <w:rPr>
          <w:rFonts w:asciiTheme="majorHAnsi" w:hAnsiTheme="majorHAnsi"/>
          <w:color w:val="000000"/>
          <w:sz w:val="20"/>
          <w:szCs w:val="20"/>
          <w:lang w:val="es-ES"/>
        </w:rPr>
        <w:t xml:space="preserve"> 1998, el </w:t>
      </w:r>
      <w:r w:rsidR="00F121B4" w:rsidRPr="00FD4F59">
        <w:rPr>
          <w:rFonts w:asciiTheme="majorHAnsi" w:hAnsiTheme="majorHAnsi"/>
          <w:color w:val="000000"/>
          <w:sz w:val="20"/>
          <w:szCs w:val="20"/>
          <w:lang w:val="es-ES"/>
        </w:rPr>
        <w:t>f</w:t>
      </w:r>
      <w:r w:rsidR="00870D4C" w:rsidRPr="00FD4F59">
        <w:rPr>
          <w:rFonts w:asciiTheme="majorHAnsi" w:hAnsiTheme="majorHAnsi"/>
          <w:color w:val="000000"/>
          <w:sz w:val="20"/>
          <w:szCs w:val="20"/>
          <w:lang w:val="es-ES"/>
        </w:rPr>
        <w:t xml:space="preserve">iscal </w:t>
      </w:r>
      <w:r w:rsidR="00F121B4" w:rsidRPr="00FD4F59">
        <w:rPr>
          <w:rFonts w:asciiTheme="majorHAnsi" w:hAnsiTheme="majorHAnsi"/>
          <w:color w:val="000000"/>
          <w:sz w:val="20"/>
          <w:szCs w:val="20"/>
          <w:lang w:val="es-ES"/>
        </w:rPr>
        <w:t xml:space="preserve">interviniente habría </w:t>
      </w:r>
      <w:r w:rsidR="00870D4C" w:rsidRPr="00FD4F59">
        <w:rPr>
          <w:rFonts w:asciiTheme="majorHAnsi" w:hAnsiTheme="majorHAnsi"/>
          <w:color w:val="000000"/>
          <w:sz w:val="20"/>
          <w:szCs w:val="20"/>
          <w:lang w:val="es-ES"/>
        </w:rPr>
        <w:t>acus</w:t>
      </w:r>
      <w:r w:rsidR="00F121B4" w:rsidRPr="00FD4F59">
        <w:rPr>
          <w:rFonts w:asciiTheme="majorHAnsi" w:hAnsiTheme="majorHAnsi"/>
          <w:color w:val="000000"/>
          <w:sz w:val="20"/>
          <w:szCs w:val="20"/>
          <w:lang w:val="es-ES"/>
        </w:rPr>
        <w:t>ado</w:t>
      </w:r>
      <w:r w:rsidR="00117DD4" w:rsidRPr="00FD4F59">
        <w:rPr>
          <w:rFonts w:asciiTheme="majorHAnsi" w:hAnsiTheme="majorHAnsi"/>
          <w:color w:val="000000"/>
          <w:sz w:val="20"/>
          <w:szCs w:val="20"/>
          <w:lang w:val="es-ES"/>
        </w:rPr>
        <w:t xml:space="preserve"> a </w:t>
      </w:r>
      <w:r w:rsidR="00870D4C" w:rsidRPr="00FD4F59">
        <w:rPr>
          <w:rFonts w:asciiTheme="majorHAnsi" w:hAnsiTheme="majorHAnsi"/>
          <w:color w:val="000000"/>
          <w:sz w:val="20"/>
          <w:szCs w:val="20"/>
          <w:lang w:val="es-ES"/>
        </w:rPr>
        <w:t>l</w:t>
      </w:r>
      <w:r w:rsidR="00117DD4" w:rsidRPr="00FD4F59">
        <w:rPr>
          <w:rFonts w:asciiTheme="majorHAnsi" w:hAnsiTheme="majorHAnsi"/>
          <w:color w:val="000000"/>
          <w:sz w:val="20"/>
          <w:szCs w:val="20"/>
          <w:lang w:val="es-ES"/>
        </w:rPr>
        <w:t xml:space="preserve">a médica y al médico </w:t>
      </w:r>
      <w:r w:rsidR="00870D4C" w:rsidRPr="00FD4F59">
        <w:rPr>
          <w:rFonts w:asciiTheme="majorHAnsi" w:hAnsiTheme="majorHAnsi"/>
          <w:color w:val="000000"/>
          <w:sz w:val="20"/>
          <w:szCs w:val="20"/>
          <w:lang w:val="es-ES"/>
        </w:rPr>
        <w:t xml:space="preserve">imputados, solicitando penas de 3 años de prisión y 9 </w:t>
      </w:r>
      <w:r w:rsidR="00117DD4" w:rsidRPr="00FD4F59">
        <w:rPr>
          <w:rFonts w:asciiTheme="majorHAnsi" w:hAnsiTheme="majorHAnsi"/>
          <w:color w:val="000000"/>
          <w:sz w:val="20"/>
          <w:szCs w:val="20"/>
          <w:lang w:val="es-ES"/>
        </w:rPr>
        <w:t xml:space="preserve">años </w:t>
      </w:r>
      <w:r w:rsidR="00870D4C" w:rsidRPr="00FD4F59">
        <w:rPr>
          <w:rFonts w:asciiTheme="majorHAnsi" w:hAnsiTheme="majorHAnsi"/>
          <w:color w:val="000000"/>
          <w:sz w:val="20"/>
          <w:szCs w:val="20"/>
          <w:lang w:val="es-ES"/>
        </w:rPr>
        <w:t xml:space="preserve">de inhabilitación para ejercer </w:t>
      </w:r>
      <w:r w:rsidR="00117DD4" w:rsidRPr="00FD4F59">
        <w:rPr>
          <w:rFonts w:asciiTheme="majorHAnsi" w:hAnsiTheme="majorHAnsi"/>
          <w:color w:val="000000"/>
          <w:sz w:val="20"/>
          <w:szCs w:val="20"/>
          <w:lang w:val="es-ES"/>
        </w:rPr>
        <w:t xml:space="preserve">la </w:t>
      </w:r>
      <w:r w:rsidR="00870D4C" w:rsidRPr="00FD4F59">
        <w:rPr>
          <w:rFonts w:asciiTheme="majorHAnsi" w:hAnsiTheme="majorHAnsi"/>
          <w:color w:val="000000"/>
          <w:sz w:val="20"/>
          <w:szCs w:val="20"/>
          <w:lang w:val="es-ES"/>
        </w:rPr>
        <w:t>medicina.</w:t>
      </w:r>
      <w:r w:rsidR="0047708B" w:rsidRPr="00FD4F59">
        <w:rPr>
          <w:rFonts w:asciiTheme="majorHAnsi" w:hAnsiTheme="majorHAnsi"/>
          <w:color w:val="000000"/>
          <w:sz w:val="20"/>
          <w:szCs w:val="20"/>
          <w:lang w:val="es-ES"/>
        </w:rPr>
        <w:t xml:space="preserve"> Sin embargo, el 18 de julio de 2003, el juzgado habría dictado sentencia</w:t>
      </w:r>
      <w:r w:rsidR="00117DD4" w:rsidRPr="00FD4F59">
        <w:rPr>
          <w:rFonts w:asciiTheme="majorHAnsi" w:hAnsiTheme="majorHAnsi"/>
          <w:color w:val="000000"/>
          <w:sz w:val="20"/>
          <w:szCs w:val="20"/>
          <w:lang w:val="es-ES"/>
        </w:rPr>
        <w:t>,</w:t>
      </w:r>
      <w:r w:rsidR="0047708B" w:rsidRPr="00FD4F59">
        <w:rPr>
          <w:rFonts w:asciiTheme="majorHAnsi" w:hAnsiTheme="majorHAnsi"/>
          <w:color w:val="000000"/>
          <w:sz w:val="20"/>
          <w:szCs w:val="20"/>
          <w:lang w:val="es-ES"/>
        </w:rPr>
        <w:t xml:space="preserve"> absolviendo de culpa y cargo a la médica Patricia Carmen Anido y al médico Eduardo Mario Negri.</w:t>
      </w:r>
      <w:r w:rsidR="00AC4CC3" w:rsidRPr="00FD4F59">
        <w:rPr>
          <w:rFonts w:asciiTheme="majorHAnsi" w:hAnsiTheme="majorHAnsi"/>
          <w:color w:val="000000"/>
          <w:sz w:val="20"/>
          <w:szCs w:val="20"/>
          <w:lang w:val="es-ES"/>
        </w:rPr>
        <w:t xml:space="preserve"> Dicha decisión habría sido confirmada en segunda instancia.</w:t>
      </w:r>
      <w:r w:rsidR="00AB1796" w:rsidRPr="00FD4F59">
        <w:rPr>
          <w:rFonts w:asciiTheme="majorHAnsi" w:hAnsiTheme="majorHAnsi"/>
          <w:color w:val="000000"/>
          <w:sz w:val="20"/>
          <w:szCs w:val="20"/>
          <w:lang w:val="es-ES"/>
        </w:rPr>
        <w:t xml:space="preserve"> Seguidamente, s</w:t>
      </w:r>
      <w:r w:rsidR="009B376F" w:rsidRPr="00FD4F59">
        <w:rPr>
          <w:rFonts w:asciiTheme="majorHAnsi" w:hAnsiTheme="majorHAnsi"/>
          <w:color w:val="000000"/>
          <w:sz w:val="20"/>
          <w:szCs w:val="20"/>
          <w:lang w:val="es-ES"/>
        </w:rPr>
        <w:t>eñalan los peticionarios que</w:t>
      </w:r>
      <w:r w:rsidR="00870D4C" w:rsidRPr="00FD4F59">
        <w:rPr>
          <w:rFonts w:asciiTheme="majorHAnsi" w:hAnsiTheme="majorHAnsi"/>
          <w:color w:val="000000"/>
          <w:sz w:val="20"/>
          <w:szCs w:val="20"/>
          <w:lang w:val="es-ES"/>
        </w:rPr>
        <w:t>,</w:t>
      </w:r>
      <w:r w:rsidR="009B376F" w:rsidRPr="00FD4F59">
        <w:rPr>
          <w:rFonts w:asciiTheme="majorHAnsi" w:hAnsiTheme="majorHAnsi"/>
          <w:color w:val="000000"/>
          <w:sz w:val="20"/>
          <w:szCs w:val="20"/>
          <w:lang w:val="es-ES"/>
        </w:rPr>
        <w:t xml:space="preserve"> el 23 de diciembre de 2003</w:t>
      </w:r>
      <w:r w:rsidR="00F31103" w:rsidRPr="00FD4F59">
        <w:rPr>
          <w:rFonts w:asciiTheme="majorHAnsi" w:hAnsiTheme="majorHAnsi"/>
          <w:color w:val="000000"/>
          <w:sz w:val="20"/>
          <w:szCs w:val="20"/>
          <w:lang w:val="es-ES"/>
        </w:rPr>
        <w:t xml:space="preserve">, fecha en que </w:t>
      </w:r>
      <w:r w:rsidR="00117DD4" w:rsidRPr="00FD4F59">
        <w:rPr>
          <w:rFonts w:asciiTheme="majorHAnsi" w:hAnsiTheme="majorHAnsi"/>
          <w:color w:val="000000"/>
          <w:sz w:val="20"/>
          <w:szCs w:val="20"/>
          <w:lang w:val="es-ES"/>
        </w:rPr>
        <w:t xml:space="preserve">interpusieron un </w:t>
      </w:r>
      <w:r w:rsidR="00F31103" w:rsidRPr="00FD4F59">
        <w:rPr>
          <w:rFonts w:asciiTheme="majorHAnsi" w:hAnsiTheme="majorHAnsi"/>
          <w:color w:val="000000"/>
          <w:sz w:val="20"/>
          <w:szCs w:val="20"/>
          <w:lang w:val="es-ES"/>
        </w:rPr>
        <w:t>recurso extraordinario federal, una “mani</w:t>
      </w:r>
      <w:r w:rsidR="00117DD4" w:rsidRPr="00FD4F59">
        <w:rPr>
          <w:rFonts w:asciiTheme="majorHAnsi" w:hAnsiTheme="majorHAnsi"/>
          <w:color w:val="000000"/>
          <w:sz w:val="20"/>
          <w:szCs w:val="20"/>
          <w:lang w:val="es-ES"/>
        </w:rPr>
        <w:t>obra” por parte del personal de</w:t>
      </w:r>
      <w:r w:rsidR="00F31103" w:rsidRPr="00FD4F59">
        <w:rPr>
          <w:rFonts w:asciiTheme="majorHAnsi" w:hAnsiTheme="majorHAnsi"/>
          <w:color w:val="000000"/>
          <w:sz w:val="20"/>
          <w:szCs w:val="20"/>
          <w:lang w:val="es-ES"/>
        </w:rPr>
        <w:t xml:space="preserve">l </w:t>
      </w:r>
      <w:r w:rsidR="00117DD4" w:rsidRPr="00FD4F59">
        <w:rPr>
          <w:rFonts w:asciiTheme="majorHAnsi" w:hAnsiTheme="majorHAnsi"/>
          <w:color w:val="000000"/>
          <w:sz w:val="20"/>
          <w:szCs w:val="20"/>
          <w:lang w:val="es-ES"/>
        </w:rPr>
        <w:t>tribunal</w:t>
      </w:r>
      <w:r w:rsidR="00F31103" w:rsidRPr="00FD4F59">
        <w:rPr>
          <w:rFonts w:asciiTheme="majorHAnsi" w:hAnsiTheme="majorHAnsi"/>
          <w:color w:val="000000"/>
          <w:sz w:val="20"/>
          <w:szCs w:val="20"/>
          <w:lang w:val="es-ES"/>
        </w:rPr>
        <w:t xml:space="preserve"> al momento de la recepción del escrito</w:t>
      </w:r>
      <w:r w:rsidR="00117DD4" w:rsidRPr="00FD4F59">
        <w:rPr>
          <w:rFonts w:asciiTheme="majorHAnsi" w:hAnsiTheme="majorHAnsi"/>
          <w:color w:val="000000"/>
          <w:sz w:val="20"/>
          <w:szCs w:val="20"/>
          <w:lang w:val="es-ES"/>
        </w:rPr>
        <w:t>,</w:t>
      </w:r>
      <w:r w:rsidR="00F31103" w:rsidRPr="00FD4F59">
        <w:rPr>
          <w:rFonts w:asciiTheme="majorHAnsi" w:hAnsiTheme="majorHAnsi"/>
          <w:color w:val="000000"/>
          <w:sz w:val="20"/>
          <w:szCs w:val="20"/>
          <w:lang w:val="es-ES"/>
        </w:rPr>
        <w:t xml:space="preserve"> les habría denegado el acceso en tiempo al recurso, el cual fue finalmente inadmitido por “extemporáneo” </w:t>
      </w:r>
      <w:r w:rsidR="005D7AA4" w:rsidRPr="00FD4F59">
        <w:rPr>
          <w:rFonts w:asciiTheme="majorHAnsi" w:hAnsiTheme="majorHAnsi"/>
          <w:color w:val="000000"/>
          <w:sz w:val="20"/>
          <w:szCs w:val="20"/>
          <w:lang w:val="es-ES"/>
        </w:rPr>
        <w:t>el 15 de marzo de 2004.</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2440B2" w:rsidRPr="007D4D73" w:rsidRDefault="002440B2" w:rsidP="001433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i/>
          <w:sz w:val="20"/>
          <w:szCs w:val="20"/>
          <w:lang w:val="es-ES"/>
        </w:rPr>
      </w:pPr>
      <w:r w:rsidRPr="007D4D73">
        <w:rPr>
          <w:rFonts w:asciiTheme="majorHAnsi" w:hAnsiTheme="majorHAnsi"/>
          <w:i/>
          <w:sz w:val="20"/>
          <w:szCs w:val="20"/>
          <w:lang w:val="es-ES"/>
        </w:rPr>
        <w:t>Proceso penal por falsificación de instrumento público (Expte. No. 21.375/96)</w:t>
      </w:r>
      <w:r w:rsidRPr="007D4D73">
        <w:rPr>
          <w:rStyle w:val="FootnoteReference"/>
          <w:rFonts w:asciiTheme="majorHAnsi" w:hAnsiTheme="majorHAnsi"/>
          <w:sz w:val="20"/>
          <w:szCs w:val="20"/>
          <w:lang w:val="es-ES"/>
        </w:rPr>
        <w:footnoteReference w:id="3"/>
      </w:r>
    </w:p>
    <w:p w:rsidR="007D4D73" w:rsidRPr="007D4D73"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i/>
          <w:sz w:val="20"/>
          <w:szCs w:val="20"/>
          <w:highlight w:val="yellow"/>
          <w:lang w:val="es-ES"/>
        </w:rPr>
      </w:pPr>
    </w:p>
    <w:p w:rsidR="00BA4509" w:rsidRDefault="00DF151B"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La denuncia de oficio </w:t>
      </w:r>
      <w:r w:rsidR="003E69A9" w:rsidRPr="00FD4F59">
        <w:rPr>
          <w:rFonts w:asciiTheme="majorHAnsi" w:hAnsiTheme="majorHAnsi"/>
          <w:color w:val="000000"/>
          <w:sz w:val="20"/>
          <w:szCs w:val="20"/>
          <w:lang w:val="es-ES"/>
        </w:rPr>
        <w:t>formulada</w:t>
      </w:r>
      <w:r w:rsidRPr="00FD4F59">
        <w:rPr>
          <w:rFonts w:asciiTheme="majorHAnsi" w:hAnsiTheme="majorHAnsi"/>
          <w:color w:val="000000"/>
          <w:sz w:val="20"/>
          <w:szCs w:val="20"/>
          <w:lang w:val="es-ES"/>
        </w:rPr>
        <w:t xml:space="preserve"> por la jueza interviniente en la investigación por homicidio culposo dio origen a esta causa</w:t>
      </w:r>
      <w:r w:rsidR="007C301E" w:rsidRPr="00FD4F59">
        <w:rPr>
          <w:rFonts w:asciiTheme="majorHAnsi" w:hAnsiTheme="majorHAnsi"/>
          <w:color w:val="000000"/>
          <w:sz w:val="20"/>
          <w:szCs w:val="20"/>
          <w:lang w:val="es-ES"/>
        </w:rPr>
        <w:t xml:space="preserve"> el 4 de octubre de 1993</w:t>
      </w:r>
      <w:r w:rsidRPr="00FD4F59">
        <w:rPr>
          <w:rFonts w:asciiTheme="majorHAnsi" w:hAnsiTheme="majorHAnsi"/>
          <w:color w:val="000000"/>
          <w:sz w:val="20"/>
          <w:szCs w:val="20"/>
          <w:lang w:val="es-ES"/>
        </w:rPr>
        <w:t xml:space="preserve">. </w:t>
      </w:r>
      <w:r w:rsidR="009A04EF" w:rsidRPr="00FD4F59">
        <w:rPr>
          <w:rFonts w:asciiTheme="majorHAnsi" w:hAnsiTheme="majorHAnsi"/>
          <w:color w:val="000000"/>
          <w:sz w:val="20"/>
          <w:szCs w:val="20"/>
          <w:lang w:val="es-ES"/>
        </w:rPr>
        <w:t>En dicha causa, los peticionarios también habría</w:t>
      </w:r>
      <w:r w:rsidR="00BA4509" w:rsidRPr="00FD4F59">
        <w:rPr>
          <w:rFonts w:asciiTheme="majorHAnsi" w:hAnsiTheme="majorHAnsi"/>
          <w:color w:val="000000"/>
          <w:sz w:val="20"/>
          <w:szCs w:val="20"/>
          <w:lang w:val="es-ES"/>
        </w:rPr>
        <w:t>n</w:t>
      </w:r>
      <w:r w:rsidR="009A04EF" w:rsidRPr="00FD4F59">
        <w:rPr>
          <w:rFonts w:asciiTheme="majorHAnsi" w:hAnsiTheme="majorHAnsi"/>
          <w:color w:val="000000"/>
          <w:sz w:val="20"/>
          <w:szCs w:val="20"/>
          <w:lang w:val="es-ES"/>
        </w:rPr>
        <w:t xml:space="preserve"> sido tenidos como parte querellante.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3D2B17" w:rsidRDefault="004358CC"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Conforme alegan los peticionarios, la etapa de instrucción de este proceso se habría extendido por más de cuatro años, a lo largo de los cuales el juez a cargo habría sobreseído a los peritos imputados en cinco oportunidades distintas y </w:t>
      </w:r>
      <w:r w:rsidR="006E6171" w:rsidRPr="00FD4F59">
        <w:rPr>
          <w:rFonts w:asciiTheme="majorHAnsi" w:hAnsiTheme="majorHAnsi"/>
          <w:color w:val="000000"/>
          <w:sz w:val="20"/>
          <w:szCs w:val="20"/>
          <w:lang w:val="es-ES"/>
        </w:rPr>
        <w:t xml:space="preserve">en cada una de ellas, la Sala Cuarta de la Cámara de Apelaciones habría </w:t>
      </w:r>
      <w:r w:rsidRPr="00FD4F59">
        <w:rPr>
          <w:rFonts w:asciiTheme="majorHAnsi" w:hAnsiTheme="majorHAnsi"/>
          <w:color w:val="000000"/>
          <w:sz w:val="20"/>
          <w:szCs w:val="20"/>
          <w:lang w:val="es-ES"/>
        </w:rPr>
        <w:t>revocado</w:t>
      </w:r>
      <w:r w:rsidR="003F4823" w:rsidRPr="00FD4F59">
        <w:rPr>
          <w:rFonts w:asciiTheme="majorHAnsi" w:hAnsiTheme="majorHAnsi"/>
          <w:color w:val="000000"/>
          <w:sz w:val="20"/>
          <w:szCs w:val="20"/>
          <w:lang w:val="es-ES"/>
        </w:rPr>
        <w:t xml:space="preserve"> la decisión de sobreseimiento</w:t>
      </w:r>
      <w:r w:rsidRPr="00FD4F59">
        <w:rPr>
          <w:rFonts w:asciiTheme="majorHAnsi" w:hAnsiTheme="majorHAnsi"/>
          <w:color w:val="000000"/>
          <w:sz w:val="20"/>
          <w:szCs w:val="20"/>
          <w:lang w:val="es-ES"/>
        </w:rPr>
        <w:t xml:space="preserve">. </w:t>
      </w:r>
      <w:r w:rsidR="00FA325F" w:rsidRPr="00FD4F59">
        <w:rPr>
          <w:rFonts w:asciiTheme="majorHAnsi" w:hAnsiTheme="majorHAnsi"/>
          <w:color w:val="000000"/>
          <w:sz w:val="20"/>
          <w:szCs w:val="20"/>
          <w:lang w:val="es-ES"/>
        </w:rPr>
        <w:t xml:space="preserve">Luego del cuarto sobreseimiento revocado, </w:t>
      </w:r>
      <w:r w:rsidR="00784A53" w:rsidRPr="00FD4F59">
        <w:rPr>
          <w:rFonts w:asciiTheme="majorHAnsi" w:hAnsiTheme="majorHAnsi"/>
          <w:color w:val="000000"/>
          <w:sz w:val="20"/>
          <w:szCs w:val="20"/>
          <w:lang w:val="es-ES"/>
        </w:rPr>
        <w:t xml:space="preserve">el juez de la causa </w:t>
      </w:r>
      <w:r w:rsidR="00784A53" w:rsidRPr="00FD4F59">
        <w:rPr>
          <w:rFonts w:asciiTheme="majorHAnsi" w:hAnsiTheme="majorHAnsi"/>
          <w:color w:val="000000"/>
          <w:sz w:val="20"/>
          <w:szCs w:val="20"/>
          <w:lang w:val="es-ES"/>
        </w:rPr>
        <w:lastRenderedPageBreak/>
        <w:t>decidió</w:t>
      </w:r>
      <w:r w:rsidR="00FA325F" w:rsidRPr="00FD4F59">
        <w:rPr>
          <w:rFonts w:asciiTheme="majorHAnsi" w:hAnsiTheme="majorHAnsi"/>
          <w:color w:val="000000"/>
          <w:sz w:val="20"/>
          <w:szCs w:val="20"/>
          <w:lang w:val="es-ES"/>
        </w:rPr>
        <w:t xml:space="preserve">, el 26 de febrero de 1997, </w:t>
      </w:r>
      <w:r w:rsidR="00784A53" w:rsidRPr="00FD4F59">
        <w:rPr>
          <w:rFonts w:asciiTheme="majorHAnsi" w:hAnsiTheme="majorHAnsi"/>
          <w:color w:val="000000"/>
          <w:sz w:val="20"/>
          <w:szCs w:val="20"/>
          <w:lang w:val="es-ES"/>
        </w:rPr>
        <w:t>requerir la realización de una pericia a cargo del plenario d</w:t>
      </w:r>
      <w:r w:rsidR="006E6171" w:rsidRPr="00FD4F59">
        <w:rPr>
          <w:rFonts w:asciiTheme="majorHAnsi" w:hAnsiTheme="majorHAnsi"/>
          <w:color w:val="000000"/>
          <w:sz w:val="20"/>
          <w:szCs w:val="20"/>
          <w:lang w:val="es-ES"/>
        </w:rPr>
        <w:t xml:space="preserve">el Cuerpo Médico Forense de la Corte Suprema de Justicia de la Nación </w:t>
      </w:r>
      <w:r w:rsidR="00117DD4" w:rsidRPr="00FD4F59">
        <w:rPr>
          <w:rFonts w:asciiTheme="majorHAnsi" w:hAnsiTheme="majorHAnsi"/>
          <w:color w:val="000000"/>
          <w:sz w:val="20"/>
          <w:szCs w:val="20"/>
          <w:lang w:val="es-ES"/>
        </w:rPr>
        <w:t>(en adelante</w:t>
      </w:r>
      <w:r w:rsidR="003F4823" w:rsidRPr="00FD4F59">
        <w:rPr>
          <w:rFonts w:asciiTheme="majorHAnsi" w:hAnsiTheme="majorHAnsi"/>
          <w:color w:val="000000"/>
          <w:sz w:val="20"/>
          <w:szCs w:val="20"/>
          <w:lang w:val="es-ES"/>
        </w:rPr>
        <w:t xml:space="preserve"> también</w:t>
      </w:r>
      <w:r w:rsidR="00117DD4" w:rsidRPr="00FD4F59">
        <w:rPr>
          <w:rFonts w:asciiTheme="majorHAnsi" w:hAnsiTheme="majorHAnsi"/>
          <w:color w:val="000000"/>
          <w:sz w:val="20"/>
          <w:szCs w:val="20"/>
          <w:lang w:val="es-ES"/>
        </w:rPr>
        <w:t>, “Cuerpo Médico Forense”)</w:t>
      </w:r>
      <w:r w:rsidR="00784A53" w:rsidRPr="00FD4F59">
        <w:rPr>
          <w:rFonts w:asciiTheme="majorHAnsi" w:hAnsiTheme="majorHAnsi"/>
          <w:color w:val="000000"/>
          <w:sz w:val="20"/>
          <w:szCs w:val="20"/>
          <w:lang w:val="es-ES"/>
        </w:rPr>
        <w:t xml:space="preserve">. </w:t>
      </w:r>
      <w:r w:rsidR="00962D9A" w:rsidRPr="00FD4F59">
        <w:rPr>
          <w:rFonts w:asciiTheme="majorHAnsi" w:hAnsiTheme="majorHAnsi"/>
          <w:color w:val="000000"/>
          <w:sz w:val="20"/>
          <w:szCs w:val="20"/>
          <w:lang w:val="es-ES"/>
        </w:rPr>
        <w:t>En efecto, e</w:t>
      </w:r>
      <w:r w:rsidR="00262937" w:rsidRPr="00FD4F59">
        <w:rPr>
          <w:rFonts w:asciiTheme="majorHAnsi" w:hAnsiTheme="majorHAnsi"/>
          <w:color w:val="000000"/>
          <w:sz w:val="20"/>
          <w:szCs w:val="20"/>
          <w:lang w:val="es-ES"/>
        </w:rPr>
        <w:t xml:space="preserve">l 21 de mayo de 1997, el plenario </w:t>
      </w:r>
      <w:r w:rsidR="00962D9A" w:rsidRPr="00FD4F59">
        <w:rPr>
          <w:rFonts w:asciiTheme="majorHAnsi" w:hAnsiTheme="majorHAnsi"/>
          <w:color w:val="000000"/>
          <w:sz w:val="20"/>
          <w:szCs w:val="20"/>
          <w:lang w:val="es-ES"/>
        </w:rPr>
        <w:t xml:space="preserve">integrado por </w:t>
      </w:r>
      <w:r w:rsidR="002844B5" w:rsidRPr="00FD4F59">
        <w:rPr>
          <w:rFonts w:asciiTheme="majorHAnsi" w:hAnsiTheme="majorHAnsi"/>
          <w:color w:val="000000"/>
          <w:sz w:val="20"/>
          <w:szCs w:val="20"/>
          <w:lang w:val="es-ES"/>
        </w:rPr>
        <w:t xml:space="preserve">31 profesionales </w:t>
      </w:r>
      <w:r w:rsidR="00262937" w:rsidRPr="00FD4F59">
        <w:rPr>
          <w:rFonts w:asciiTheme="majorHAnsi" w:hAnsiTheme="majorHAnsi"/>
          <w:color w:val="000000"/>
          <w:sz w:val="20"/>
          <w:szCs w:val="20"/>
          <w:lang w:val="es-ES"/>
        </w:rPr>
        <w:t>se expidió</w:t>
      </w:r>
      <w:r w:rsidR="002844B5" w:rsidRPr="00FD4F59">
        <w:rPr>
          <w:rFonts w:asciiTheme="majorHAnsi" w:hAnsiTheme="majorHAnsi"/>
          <w:color w:val="000000"/>
          <w:sz w:val="20"/>
          <w:szCs w:val="20"/>
          <w:lang w:val="es-ES"/>
        </w:rPr>
        <w:t xml:space="preserve">, por mayoría de 22 votos contra 9, en el sentido de </w:t>
      </w:r>
      <w:r w:rsidR="00262937" w:rsidRPr="00FD4F59">
        <w:rPr>
          <w:rFonts w:asciiTheme="majorHAnsi" w:hAnsiTheme="majorHAnsi"/>
          <w:color w:val="000000"/>
          <w:sz w:val="20"/>
          <w:szCs w:val="20"/>
          <w:lang w:val="es-ES"/>
        </w:rPr>
        <w:t xml:space="preserve">que la pericia practicada por los peritos Florencio Casavilla y Carlos Fernando Leoncio Poggi “había sido correcta”, descartando que se hubiera cometido una mala praxis médica. </w:t>
      </w:r>
      <w:r w:rsidR="002844B5" w:rsidRPr="00FD4F59">
        <w:rPr>
          <w:rFonts w:asciiTheme="majorHAnsi" w:hAnsiTheme="majorHAnsi"/>
          <w:color w:val="000000"/>
          <w:sz w:val="20"/>
          <w:szCs w:val="20"/>
          <w:lang w:val="es-ES"/>
        </w:rPr>
        <w:t>La</w:t>
      </w:r>
      <w:r w:rsidR="00262937" w:rsidRPr="00FD4F59">
        <w:rPr>
          <w:rFonts w:asciiTheme="majorHAnsi" w:hAnsiTheme="majorHAnsi"/>
          <w:color w:val="000000"/>
          <w:sz w:val="20"/>
          <w:szCs w:val="20"/>
          <w:lang w:val="es-ES"/>
        </w:rPr>
        <w:t xml:space="preserve"> disidencia</w:t>
      </w:r>
      <w:r w:rsidR="002844B5" w:rsidRPr="00FD4F59">
        <w:rPr>
          <w:rFonts w:asciiTheme="majorHAnsi" w:hAnsiTheme="majorHAnsi"/>
          <w:color w:val="000000"/>
          <w:sz w:val="20"/>
          <w:szCs w:val="20"/>
          <w:lang w:val="es-ES"/>
        </w:rPr>
        <w:t xml:space="preserve"> dictaminó </w:t>
      </w:r>
      <w:r w:rsidR="00962D9A" w:rsidRPr="00FD4F59">
        <w:rPr>
          <w:rFonts w:asciiTheme="majorHAnsi" w:hAnsiTheme="majorHAnsi"/>
          <w:color w:val="000000"/>
          <w:sz w:val="20"/>
          <w:szCs w:val="20"/>
          <w:lang w:val="es-ES"/>
        </w:rPr>
        <w:t xml:space="preserve">por </w:t>
      </w:r>
      <w:r w:rsidR="002844B5" w:rsidRPr="00FD4F59">
        <w:rPr>
          <w:rFonts w:asciiTheme="majorHAnsi" w:hAnsiTheme="majorHAnsi"/>
          <w:color w:val="000000"/>
          <w:sz w:val="20"/>
          <w:szCs w:val="20"/>
          <w:lang w:val="es-ES"/>
        </w:rPr>
        <w:t xml:space="preserve">la </w:t>
      </w:r>
      <w:r w:rsidR="00262937" w:rsidRPr="00FD4F59">
        <w:rPr>
          <w:rFonts w:asciiTheme="majorHAnsi" w:hAnsiTheme="majorHAnsi"/>
          <w:color w:val="000000"/>
          <w:sz w:val="20"/>
          <w:szCs w:val="20"/>
          <w:lang w:val="es-ES"/>
        </w:rPr>
        <w:t>falsedad de la pericia</w:t>
      </w:r>
      <w:r w:rsidR="008968DC">
        <w:rPr>
          <w:rFonts w:asciiTheme="majorHAnsi" w:hAnsiTheme="majorHAnsi"/>
          <w:color w:val="000000"/>
          <w:sz w:val="20"/>
          <w:szCs w:val="20"/>
          <w:lang w:val="es-ES"/>
        </w:rPr>
        <w:t xml:space="preserve"> bajo estudio</w:t>
      </w:r>
      <w:r w:rsidR="00262937" w:rsidRPr="00FD4F59">
        <w:rPr>
          <w:rFonts w:asciiTheme="majorHAnsi" w:hAnsiTheme="majorHAnsi"/>
          <w:color w:val="000000"/>
          <w:sz w:val="20"/>
          <w:szCs w:val="20"/>
          <w:lang w:val="es-ES"/>
        </w:rPr>
        <w:t xml:space="preserve">. </w:t>
      </w:r>
      <w:r w:rsidR="00FA325F" w:rsidRPr="00FD4F59">
        <w:rPr>
          <w:rFonts w:asciiTheme="majorHAnsi" w:hAnsiTheme="majorHAnsi"/>
          <w:color w:val="000000"/>
          <w:sz w:val="20"/>
          <w:szCs w:val="20"/>
          <w:lang w:val="es-ES"/>
        </w:rPr>
        <w:t>Esta pericia plenaria habría determinado el quinto s</w:t>
      </w:r>
      <w:r w:rsidR="00117DD4" w:rsidRPr="00FD4F59">
        <w:rPr>
          <w:rFonts w:asciiTheme="majorHAnsi" w:hAnsiTheme="majorHAnsi"/>
          <w:color w:val="000000"/>
          <w:sz w:val="20"/>
          <w:szCs w:val="20"/>
          <w:lang w:val="es-ES"/>
        </w:rPr>
        <w:t>obreseimiento a los inculpados, el cual habría sido también posteriormente revocado</w:t>
      </w:r>
      <w:r w:rsidR="00FA325F" w:rsidRPr="00FD4F59">
        <w:rPr>
          <w:rFonts w:asciiTheme="majorHAnsi" w:hAnsiTheme="majorHAnsi"/>
          <w:color w:val="000000"/>
          <w:sz w:val="20"/>
          <w:szCs w:val="20"/>
          <w:lang w:val="es-ES"/>
        </w:rPr>
        <w:t>.</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93E94" w:rsidRDefault="00962D9A"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Según los peticionarios, en el marco de la elaboración de esta pericia plenaria tuvo lugar un serio he</w:t>
      </w:r>
      <w:r w:rsidR="003D2B17" w:rsidRPr="00FD4F59">
        <w:rPr>
          <w:rFonts w:asciiTheme="majorHAnsi" w:hAnsiTheme="majorHAnsi"/>
          <w:color w:val="000000"/>
          <w:sz w:val="20"/>
          <w:szCs w:val="20"/>
          <w:lang w:val="es-ES"/>
        </w:rPr>
        <w:t>cho de corrupción institucional que comprometió al Cuerpo Médico Forense —al cual califican como un “hecho gravísimo de insospechadas derivaciones institucionales”— mediante el cual se habría elaborado una pericia plenaria falsa con fines de encubrir las responsabilidades de los profesionales implicados</w:t>
      </w:r>
      <w:r w:rsidR="0005647B" w:rsidRPr="00FD4F59">
        <w:rPr>
          <w:rFonts w:asciiTheme="majorHAnsi" w:hAnsiTheme="majorHAnsi"/>
          <w:color w:val="000000"/>
          <w:sz w:val="20"/>
          <w:szCs w:val="20"/>
          <w:lang w:val="es-ES"/>
        </w:rPr>
        <w:t xml:space="preserve"> en el homicidio y en la elaboración de </w:t>
      </w:r>
      <w:r w:rsidR="00117DD4" w:rsidRPr="00FD4F59">
        <w:rPr>
          <w:rFonts w:asciiTheme="majorHAnsi" w:hAnsiTheme="majorHAnsi"/>
          <w:color w:val="000000"/>
          <w:sz w:val="20"/>
          <w:szCs w:val="20"/>
          <w:lang w:val="es-ES"/>
        </w:rPr>
        <w:t xml:space="preserve">las anteriores </w:t>
      </w:r>
      <w:r w:rsidR="0005647B" w:rsidRPr="00FD4F59">
        <w:rPr>
          <w:rFonts w:asciiTheme="majorHAnsi" w:hAnsiTheme="majorHAnsi"/>
          <w:color w:val="000000"/>
          <w:sz w:val="20"/>
          <w:szCs w:val="20"/>
          <w:lang w:val="es-ES"/>
        </w:rPr>
        <w:t>pericias falsas</w:t>
      </w:r>
      <w:r w:rsidR="003D2B17" w:rsidRPr="00FD4F59">
        <w:rPr>
          <w:rFonts w:asciiTheme="majorHAnsi" w:hAnsiTheme="majorHAnsi"/>
          <w:color w:val="000000"/>
          <w:sz w:val="20"/>
          <w:szCs w:val="20"/>
          <w:lang w:val="es-ES"/>
        </w:rPr>
        <w:t xml:space="preserve">. </w:t>
      </w:r>
      <w:r w:rsidR="00117DD4" w:rsidRPr="00FD4F59">
        <w:rPr>
          <w:rFonts w:asciiTheme="majorHAnsi" w:hAnsiTheme="majorHAnsi"/>
          <w:color w:val="000000"/>
          <w:sz w:val="20"/>
          <w:szCs w:val="20"/>
          <w:lang w:val="es-ES"/>
        </w:rPr>
        <w:t>De hecho</w:t>
      </w:r>
      <w:r w:rsidR="00033630" w:rsidRPr="00FD4F59">
        <w:rPr>
          <w:rFonts w:asciiTheme="majorHAnsi" w:hAnsiTheme="majorHAnsi"/>
          <w:color w:val="000000"/>
          <w:sz w:val="20"/>
          <w:szCs w:val="20"/>
          <w:lang w:val="es-ES"/>
        </w:rPr>
        <w:t>, según i</w:t>
      </w:r>
      <w:r w:rsidR="00E93E94" w:rsidRPr="00FD4F59">
        <w:rPr>
          <w:rFonts w:asciiTheme="majorHAnsi" w:hAnsiTheme="majorHAnsi"/>
          <w:color w:val="000000"/>
          <w:sz w:val="20"/>
          <w:szCs w:val="20"/>
          <w:lang w:val="es-ES"/>
        </w:rPr>
        <w:t>ndican los peticionarios</w:t>
      </w:r>
      <w:r w:rsidR="00033630" w:rsidRPr="00FD4F59">
        <w:rPr>
          <w:rFonts w:asciiTheme="majorHAnsi" w:hAnsiTheme="majorHAnsi"/>
          <w:color w:val="000000"/>
          <w:sz w:val="20"/>
          <w:szCs w:val="20"/>
          <w:lang w:val="es-ES"/>
        </w:rPr>
        <w:t>,</w:t>
      </w:r>
      <w:r w:rsidR="00E93E94" w:rsidRPr="00FD4F59">
        <w:rPr>
          <w:rFonts w:asciiTheme="majorHAnsi" w:hAnsiTheme="majorHAnsi"/>
          <w:color w:val="000000"/>
          <w:sz w:val="20"/>
          <w:szCs w:val="20"/>
          <w:lang w:val="es-ES"/>
        </w:rPr>
        <w:t xml:space="preserve"> </w:t>
      </w:r>
      <w:r w:rsidR="00B91500" w:rsidRPr="00FD4F59">
        <w:rPr>
          <w:rFonts w:asciiTheme="majorHAnsi" w:hAnsiTheme="majorHAnsi"/>
          <w:color w:val="000000"/>
          <w:sz w:val="20"/>
          <w:szCs w:val="20"/>
          <w:lang w:val="es-ES"/>
        </w:rPr>
        <w:t xml:space="preserve">el 23 de septiembre de 1997, </w:t>
      </w:r>
      <w:r w:rsidR="00E93E94" w:rsidRPr="00FD4F59">
        <w:rPr>
          <w:rFonts w:asciiTheme="majorHAnsi" w:hAnsiTheme="majorHAnsi"/>
          <w:color w:val="000000"/>
          <w:sz w:val="20"/>
          <w:szCs w:val="20"/>
          <w:lang w:val="es-ES"/>
        </w:rPr>
        <w:t xml:space="preserve">la Sala </w:t>
      </w:r>
      <w:r w:rsidR="003D2B17" w:rsidRPr="00FD4F59">
        <w:rPr>
          <w:rFonts w:asciiTheme="majorHAnsi" w:hAnsiTheme="majorHAnsi"/>
          <w:color w:val="000000"/>
          <w:sz w:val="20"/>
          <w:szCs w:val="20"/>
          <w:lang w:val="es-ES"/>
        </w:rPr>
        <w:t>Cuarta</w:t>
      </w:r>
      <w:r w:rsidR="00E93E94" w:rsidRPr="00FD4F59">
        <w:rPr>
          <w:rFonts w:asciiTheme="majorHAnsi" w:hAnsiTheme="majorHAnsi"/>
          <w:color w:val="000000"/>
          <w:sz w:val="20"/>
          <w:szCs w:val="20"/>
          <w:lang w:val="es-ES"/>
        </w:rPr>
        <w:t xml:space="preserve"> de la Cámara del Crimen</w:t>
      </w:r>
      <w:r w:rsidR="00033630" w:rsidRPr="00FD4F59">
        <w:rPr>
          <w:rFonts w:asciiTheme="majorHAnsi" w:hAnsiTheme="majorHAnsi"/>
          <w:color w:val="000000"/>
          <w:sz w:val="20"/>
          <w:szCs w:val="20"/>
          <w:lang w:val="es-ES"/>
        </w:rPr>
        <w:t xml:space="preserve">, </w:t>
      </w:r>
      <w:r w:rsidR="00B91500" w:rsidRPr="00FD4F59">
        <w:rPr>
          <w:rFonts w:asciiTheme="majorHAnsi" w:hAnsiTheme="majorHAnsi"/>
          <w:color w:val="000000"/>
          <w:sz w:val="20"/>
          <w:szCs w:val="20"/>
          <w:lang w:val="es-ES"/>
        </w:rPr>
        <w:t xml:space="preserve">habría dejado </w:t>
      </w:r>
      <w:r w:rsidR="00E93E94" w:rsidRPr="00FD4F59">
        <w:rPr>
          <w:rFonts w:asciiTheme="majorHAnsi" w:hAnsiTheme="majorHAnsi"/>
          <w:color w:val="000000"/>
          <w:sz w:val="20"/>
          <w:szCs w:val="20"/>
          <w:lang w:val="es-ES"/>
        </w:rPr>
        <w:t xml:space="preserve">sin efecto el plenario de los 31 integrantes del Cuerpo Médico Forense. Los peticionarios apuntan a la gravedad institucional que implica dicha decisión, por cuanto la justicia argentina debió prescindir de todo el Cuerpo Médico Forense, dependiente de la Corte Suprema de Justicia, por el comportamiento </w:t>
      </w:r>
      <w:r w:rsidR="00033630" w:rsidRPr="00FD4F59">
        <w:rPr>
          <w:rFonts w:asciiTheme="majorHAnsi" w:hAnsiTheme="majorHAnsi"/>
          <w:color w:val="000000"/>
          <w:sz w:val="20"/>
          <w:szCs w:val="20"/>
          <w:lang w:val="es-ES"/>
        </w:rPr>
        <w:t>“</w:t>
      </w:r>
      <w:r w:rsidR="00E93E94" w:rsidRPr="00FD4F59">
        <w:rPr>
          <w:rFonts w:asciiTheme="majorHAnsi" w:hAnsiTheme="majorHAnsi"/>
          <w:color w:val="000000"/>
          <w:sz w:val="20"/>
          <w:szCs w:val="20"/>
          <w:lang w:val="es-ES"/>
        </w:rPr>
        <w:t>corrupto</w:t>
      </w:r>
      <w:r w:rsidR="00033630" w:rsidRPr="00FD4F59">
        <w:rPr>
          <w:rFonts w:asciiTheme="majorHAnsi" w:hAnsiTheme="majorHAnsi"/>
          <w:color w:val="000000"/>
          <w:sz w:val="20"/>
          <w:szCs w:val="20"/>
          <w:lang w:val="es-ES"/>
        </w:rPr>
        <w:t>”</w:t>
      </w:r>
      <w:r w:rsidR="00E93E94" w:rsidRPr="00FD4F59">
        <w:rPr>
          <w:rFonts w:asciiTheme="majorHAnsi" w:hAnsiTheme="majorHAnsi"/>
          <w:color w:val="000000"/>
          <w:sz w:val="20"/>
          <w:szCs w:val="20"/>
          <w:lang w:val="es-ES"/>
        </w:rPr>
        <w:t xml:space="preserve"> y </w:t>
      </w:r>
      <w:r w:rsidR="00033630" w:rsidRPr="00FD4F59">
        <w:rPr>
          <w:rFonts w:asciiTheme="majorHAnsi" w:hAnsiTheme="majorHAnsi"/>
          <w:color w:val="000000"/>
          <w:sz w:val="20"/>
          <w:szCs w:val="20"/>
          <w:lang w:val="es-ES"/>
        </w:rPr>
        <w:t>“</w:t>
      </w:r>
      <w:r w:rsidR="00E93E94" w:rsidRPr="00FD4F59">
        <w:rPr>
          <w:rFonts w:asciiTheme="majorHAnsi" w:hAnsiTheme="majorHAnsi"/>
          <w:color w:val="000000"/>
          <w:sz w:val="20"/>
          <w:szCs w:val="20"/>
          <w:lang w:val="es-ES"/>
        </w:rPr>
        <w:t>corporativo</w:t>
      </w:r>
      <w:r w:rsidR="00033630" w:rsidRPr="00FD4F59">
        <w:rPr>
          <w:rFonts w:asciiTheme="majorHAnsi" w:hAnsiTheme="majorHAnsi"/>
          <w:color w:val="000000"/>
          <w:sz w:val="20"/>
          <w:szCs w:val="20"/>
          <w:lang w:val="es-ES"/>
        </w:rPr>
        <w:t>”</w:t>
      </w:r>
      <w:r w:rsidR="00E93E94" w:rsidRPr="00FD4F59">
        <w:rPr>
          <w:rFonts w:asciiTheme="majorHAnsi" w:hAnsiTheme="majorHAnsi"/>
          <w:color w:val="000000"/>
          <w:sz w:val="20"/>
          <w:szCs w:val="20"/>
          <w:lang w:val="es-ES"/>
        </w:rPr>
        <w:t xml:space="preserve"> de sus miembros con el fin de encubrir a </w:t>
      </w:r>
      <w:r w:rsidR="00117DD4" w:rsidRPr="00FD4F59">
        <w:rPr>
          <w:rFonts w:asciiTheme="majorHAnsi" w:hAnsiTheme="majorHAnsi"/>
          <w:color w:val="000000"/>
          <w:sz w:val="20"/>
          <w:szCs w:val="20"/>
          <w:lang w:val="es-ES"/>
        </w:rPr>
        <w:t>sus</w:t>
      </w:r>
      <w:r w:rsidR="00E93E94" w:rsidRPr="00FD4F59">
        <w:rPr>
          <w:rFonts w:asciiTheme="majorHAnsi" w:hAnsiTheme="majorHAnsi"/>
          <w:color w:val="000000"/>
          <w:sz w:val="20"/>
          <w:szCs w:val="20"/>
          <w:lang w:val="es-ES"/>
        </w:rPr>
        <w:t xml:space="preserve"> </w:t>
      </w:r>
      <w:r w:rsidR="000D53A9" w:rsidRPr="00FD4F59">
        <w:rPr>
          <w:rFonts w:asciiTheme="majorHAnsi" w:hAnsiTheme="majorHAnsi"/>
          <w:color w:val="000000"/>
          <w:sz w:val="20"/>
          <w:szCs w:val="20"/>
          <w:lang w:val="es-ES"/>
        </w:rPr>
        <w:t>colegas</w:t>
      </w:r>
      <w:r w:rsidR="00E93E94" w:rsidRPr="00FD4F59">
        <w:rPr>
          <w:rFonts w:asciiTheme="majorHAnsi" w:hAnsiTheme="majorHAnsi"/>
          <w:color w:val="000000"/>
          <w:sz w:val="20"/>
          <w:szCs w:val="20"/>
          <w:lang w:val="es-ES"/>
        </w:rPr>
        <w:t>.</w:t>
      </w:r>
      <w:r w:rsidR="004A4000"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033630" w:rsidRDefault="00033630"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El 10 de noviembre de 1997, el juez ordenó la realización de otra pericia, esta vez encomendada a la Universidad Católica de la Provincia de Córdoba. Dicha institución habría rendido su pericia en marzo de 1998, dando por acreditado que la presunta víctima había muerto de la patología preeclapmsia-eclampsia. Dicho peritaje, incorporado al expediente como pieza probatoria, habría indicado, entre otras cosas, que la preeclampsia no había sido debidamente diagnosticada, que no se había instituido ningún tratamiento, que no se habrían ofrecido recomendaciones mínimas</w:t>
      </w:r>
      <w:r w:rsidR="00117DD4" w:rsidRPr="00FD4F59">
        <w:rPr>
          <w:rFonts w:asciiTheme="majorHAnsi" w:hAnsiTheme="majorHAnsi"/>
          <w:color w:val="000000"/>
          <w:sz w:val="20"/>
          <w:szCs w:val="20"/>
          <w:lang w:val="es-ES"/>
        </w:rPr>
        <w:t xml:space="preserve"> a la presunta víctima</w:t>
      </w:r>
      <w:r w:rsidRPr="00FD4F59">
        <w:rPr>
          <w:rFonts w:asciiTheme="majorHAnsi" w:hAnsiTheme="majorHAnsi"/>
          <w:color w:val="000000"/>
          <w:sz w:val="20"/>
          <w:szCs w:val="20"/>
          <w:lang w:val="es-ES"/>
        </w:rPr>
        <w:t>, que no se</w:t>
      </w:r>
      <w:r w:rsidR="00117DD4" w:rsidRPr="00FD4F59">
        <w:rPr>
          <w:rFonts w:asciiTheme="majorHAnsi" w:hAnsiTheme="majorHAnsi"/>
          <w:color w:val="000000"/>
          <w:sz w:val="20"/>
          <w:szCs w:val="20"/>
          <w:lang w:val="es-ES"/>
        </w:rPr>
        <w:t xml:space="preserve"> la </w:t>
      </w:r>
      <w:r w:rsidRPr="00FD4F59">
        <w:rPr>
          <w:rFonts w:asciiTheme="majorHAnsi" w:hAnsiTheme="majorHAnsi"/>
          <w:color w:val="000000"/>
          <w:sz w:val="20"/>
          <w:szCs w:val="20"/>
          <w:lang w:val="es-ES"/>
        </w:rPr>
        <w:t xml:space="preserve">había evaluado correctamente en las visitas de control y que no se le había medicado correctamente. Es por ello que los peticionarios señalan que “llama la atención” que el “lapidario informe” remitido por la Universidad Católica </w:t>
      </w:r>
      <w:r w:rsidR="00117DD4" w:rsidRPr="00FD4F59">
        <w:rPr>
          <w:rFonts w:asciiTheme="majorHAnsi" w:hAnsiTheme="majorHAnsi"/>
          <w:color w:val="000000"/>
          <w:sz w:val="20"/>
          <w:szCs w:val="20"/>
          <w:lang w:val="es-ES"/>
        </w:rPr>
        <w:t xml:space="preserve">de Córdoba </w:t>
      </w:r>
      <w:r w:rsidRPr="00FD4F59">
        <w:rPr>
          <w:rFonts w:asciiTheme="majorHAnsi" w:hAnsiTheme="majorHAnsi"/>
          <w:color w:val="000000"/>
          <w:sz w:val="20"/>
          <w:szCs w:val="20"/>
          <w:lang w:val="es-ES"/>
        </w:rPr>
        <w:t xml:space="preserve">fuera utilizado como fundamento para sobreseer a los peritos forenses Florencio Casavilla y Carlos Fernando Leoncio Poggi. </w:t>
      </w:r>
      <w:r w:rsidR="000955C3" w:rsidRPr="00FD4F59">
        <w:rPr>
          <w:rFonts w:asciiTheme="majorHAnsi" w:hAnsiTheme="majorHAnsi"/>
          <w:color w:val="000000"/>
          <w:sz w:val="20"/>
          <w:szCs w:val="20"/>
          <w:lang w:val="es-ES"/>
        </w:rPr>
        <w:t>Indican que dicho decisorio habría sido confirmado por la Cámara de Apelaciones en lo Criminal, el 21 de octubre de 2002.</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DF151B" w:rsidRDefault="007A5283"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Los peticionarios puntualizaron que, contrario a lo que había afirmado el Estado en una de sus observaciones adicionales</w:t>
      </w:r>
      <w:r w:rsidR="008D29C1" w:rsidRPr="00FD4F59">
        <w:rPr>
          <w:rFonts w:asciiTheme="majorHAnsi" w:hAnsiTheme="majorHAnsi"/>
          <w:color w:val="000000"/>
          <w:sz w:val="20"/>
          <w:szCs w:val="20"/>
          <w:lang w:val="es-ES"/>
        </w:rPr>
        <w:t xml:space="preserve"> ante la CIDH</w:t>
      </w:r>
      <w:r w:rsidRPr="00FD4F59">
        <w:rPr>
          <w:rFonts w:asciiTheme="majorHAnsi" w:hAnsiTheme="majorHAnsi"/>
          <w:color w:val="000000"/>
          <w:sz w:val="20"/>
          <w:szCs w:val="20"/>
          <w:lang w:val="es-ES"/>
        </w:rPr>
        <w:t xml:space="preserve">, sí </w:t>
      </w:r>
      <w:r w:rsidR="008D29C1" w:rsidRPr="00FD4F59">
        <w:rPr>
          <w:rFonts w:asciiTheme="majorHAnsi" w:hAnsiTheme="majorHAnsi"/>
          <w:color w:val="000000"/>
          <w:sz w:val="20"/>
          <w:szCs w:val="20"/>
          <w:lang w:val="es-ES"/>
        </w:rPr>
        <w:t xml:space="preserve">habrían </w:t>
      </w:r>
      <w:r w:rsidR="00117DD4" w:rsidRPr="00FD4F59">
        <w:rPr>
          <w:rFonts w:asciiTheme="majorHAnsi" w:hAnsiTheme="majorHAnsi"/>
          <w:color w:val="000000"/>
          <w:sz w:val="20"/>
          <w:szCs w:val="20"/>
          <w:lang w:val="es-ES"/>
        </w:rPr>
        <w:t>r</w:t>
      </w:r>
      <w:r w:rsidR="008D29C1" w:rsidRPr="00FD4F59">
        <w:rPr>
          <w:rFonts w:asciiTheme="majorHAnsi" w:hAnsiTheme="majorHAnsi"/>
          <w:color w:val="000000"/>
          <w:sz w:val="20"/>
          <w:szCs w:val="20"/>
          <w:lang w:val="es-ES"/>
        </w:rPr>
        <w:t>ecusa</w:t>
      </w:r>
      <w:r w:rsidR="00117DD4" w:rsidRPr="00FD4F59">
        <w:rPr>
          <w:rFonts w:asciiTheme="majorHAnsi" w:hAnsiTheme="majorHAnsi"/>
          <w:color w:val="000000"/>
          <w:sz w:val="20"/>
          <w:szCs w:val="20"/>
          <w:lang w:val="es-ES"/>
        </w:rPr>
        <w:t>do</w:t>
      </w:r>
      <w:r w:rsidR="008D29C1"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al juez a cargo de la causa. Dicha recusación habría sido </w:t>
      </w:r>
      <w:r w:rsidR="008D29C1" w:rsidRPr="00FD4F59">
        <w:rPr>
          <w:rFonts w:asciiTheme="majorHAnsi" w:hAnsiTheme="majorHAnsi"/>
          <w:color w:val="000000"/>
          <w:sz w:val="20"/>
          <w:szCs w:val="20"/>
          <w:lang w:val="es-ES"/>
        </w:rPr>
        <w:t xml:space="preserve">interpuesta </w:t>
      </w:r>
      <w:r w:rsidRPr="00FD4F59">
        <w:rPr>
          <w:rFonts w:asciiTheme="majorHAnsi" w:hAnsiTheme="majorHAnsi"/>
          <w:color w:val="000000"/>
          <w:sz w:val="20"/>
          <w:szCs w:val="20"/>
          <w:lang w:val="es-ES"/>
        </w:rPr>
        <w:t>e</w:t>
      </w:r>
      <w:r w:rsidR="00117DD4" w:rsidRPr="00FD4F59">
        <w:rPr>
          <w:rFonts w:asciiTheme="majorHAnsi" w:hAnsiTheme="majorHAnsi"/>
          <w:color w:val="000000"/>
          <w:sz w:val="20"/>
          <w:szCs w:val="20"/>
          <w:lang w:val="es-ES"/>
        </w:rPr>
        <w:t>l</w:t>
      </w:r>
      <w:r w:rsidRPr="00FD4F59">
        <w:rPr>
          <w:rFonts w:asciiTheme="majorHAnsi" w:hAnsiTheme="majorHAnsi"/>
          <w:color w:val="000000"/>
          <w:sz w:val="20"/>
          <w:szCs w:val="20"/>
          <w:lang w:val="es-ES"/>
        </w:rPr>
        <w:t xml:space="preserve"> </w:t>
      </w:r>
      <w:r w:rsidR="00786EB7" w:rsidRPr="00FD4F59">
        <w:rPr>
          <w:rFonts w:asciiTheme="majorHAnsi" w:hAnsiTheme="majorHAnsi"/>
          <w:color w:val="000000"/>
          <w:sz w:val="20"/>
          <w:szCs w:val="20"/>
          <w:lang w:val="es-ES"/>
        </w:rPr>
        <w:t xml:space="preserve">30 de abril </w:t>
      </w:r>
      <w:r w:rsidRPr="00FD4F59">
        <w:rPr>
          <w:rFonts w:asciiTheme="majorHAnsi" w:hAnsiTheme="majorHAnsi"/>
          <w:color w:val="000000"/>
          <w:sz w:val="20"/>
          <w:szCs w:val="20"/>
          <w:lang w:val="es-ES"/>
        </w:rPr>
        <w:t xml:space="preserve">de </w:t>
      </w:r>
      <w:r w:rsidR="00DF151B" w:rsidRPr="00FD4F59">
        <w:rPr>
          <w:rFonts w:asciiTheme="majorHAnsi" w:hAnsiTheme="majorHAnsi"/>
          <w:color w:val="000000"/>
          <w:sz w:val="20"/>
          <w:szCs w:val="20"/>
          <w:lang w:val="es-ES"/>
        </w:rPr>
        <w:t>1998</w:t>
      </w:r>
      <w:r w:rsidR="005B1D22" w:rsidRPr="00FD4F59">
        <w:rPr>
          <w:rFonts w:asciiTheme="majorHAnsi" w:hAnsiTheme="majorHAnsi"/>
          <w:color w:val="000000"/>
          <w:sz w:val="20"/>
          <w:szCs w:val="20"/>
          <w:lang w:val="es-ES"/>
        </w:rPr>
        <w:t xml:space="preserve">, </w:t>
      </w:r>
      <w:r w:rsidR="00DF151B" w:rsidRPr="00FD4F59">
        <w:rPr>
          <w:rFonts w:asciiTheme="majorHAnsi" w:hAnsiTheme="majorHAnsi"/>
          <w:color w:val="000000"/>
          <w:sz w:val="20"/>
          <w:szCs w:val="20"/>
          <w:lang w:val="es-ES"/>
        </w:rPr>
        <w:t xml:space="preserve">por </w:t>
      </w:r>
      <w:r w:rsidR="00786EB7" w:rsidRPr="00FD4F59">
        <w:rPr>
          <w:rFonts w:asciiTheme="majorHAnsi" w:hAnsiTheme="majorHAnsi"/>
          <w:color w:val="000000"/>
          <w:sz w:val="20"/>
          <w:szCs w:val="20"/>
          <w:lang w:val="es-ES"/>
        </w:rPr>
        <w:t>“</w:t>
      </w:r>
      <w:r w:rsidR="00DF151B" w:rsidRPr="00FD4F59">
        <w:rPr>
          <w:rFonts w:asciiTheme="majorHAnsi" w:hAnsiTheme="majorHAnsi"/>
          <w:color w:val="000000"/>
          <w:sz w:val="20"/>
          <w:szCs w:val="20"/>
          <w:lang w:val="es-ES"/>
        </w:rPr>
        <w:t>dilaciones injustificadas</w:t>
      </w:r>
      <w:r w:rsidRPr="00FD4F59">
        <w:rPr>
          <w:rFonts w:asciiTheme="majorHAnsi" w:hAnsiTheme="majorHAnsi"/>
          <w:color w:val="000000"/>
          <w:sz w:val="20"/>
          <w:szCs w:val="20"/>
          <w:lang w:val="es-ES"/>
        </w:rPr>
        <w:t>”</w:t>
      </w:r>
      <w:r w:rsidR="00DF151B" w:rsidRPr="00FD4F59">
        <w:rPr>
          <w:rFonts w:asciiTheme="majorHAnsi" w:hAnsiTheme="majorHAnsi"/>
          <w:color w:val="000000"/>
          <w:sz w:val="20"/>
          <w:szCs w:val="20"/>
          <w:lang w:val="es-ES"/>
        </w:rPr>
        <w:t xml:space="preserve"> </w:t>
      </w:r>
      <w:r w:rsidR="00786EB7" w:rsidRPr="00FD4F59">
        <w:rPr>
          <w:rFonts w:asciiTheme="majorHAnsi" w:hAnsiTheme="majorHAnsi"/>
          <w:color w:val="000000"/>
          <w:sz w:val="20"/>
          <w:szCs w:val="20"/>
          <w:lang w:val="es-ES"/>
        </w:rPr>
        <w:t>que podían dejar prescribir la causa</w:t>
      </w:r>
      <w:r w:rsidR="002D6048" w:rsidRPr="00FD4F59">
        <w:rPr>
          <w:rFonts w:asciiTheme="majorHAnsi" w:hAnsiTheme="majorHAnsi"/>
          <w:color w:val="000000"/>
          <w:sz w:val="20"/>
          <w:szCs w:val="20"/>
          <w:lang w:val="es-ES"/>
        </w:rPr>
        <w:t>, puntualizando que durante cuarenta y un (41) meses el juez no habría dirigido el sumario a su terminación;</w:t>
      </w:r>
      <w:r w:rsidR="00786EB7" w:rsidRPr="00FD4F59">
        <w:rPr>
          <w:rFonts w:asciiTheme="majorHAnsi" w:hAnsiTheme="majorHAnsi"/>
          <w:color w:val="000000"/>
          <w:sz w:val="20"/>
          <w:szCs w:val="20"/>
          <w:lang w:val="es-ES"/>
        </w:rPr>
        <w:t xml:space="preserve"> por el “interés del magistrado en el proceso”</w:t>
      </w:r>
      <w:r w:rsidR="002D6048" w:rsidRPr="00FD4F59">
        <w:rPr>
          <w:rFonts w:asciiTheme="majorHAnsi" w:hAnsiTheme="majorHAnsi"/>
          <w:color w:val="000000"/>
          <w:sz w:val="20"/>
          <w:szCs w:val="20"/>
          <w:lang w:val="es-ES"/>
        </w:rPr>
        <w:t>;</w:t>
      </w:r>
      <w:r w:rsidR="00786EB7" w:rsidRPr="00FD4F59">
        <w:rPr>
          <w:rFonts w:asciiTheme="majorHAnsi" w:hAnsiTheme="majorHAnsi"/>
          <w:color w:val="000000"/>
          <w:sz w:val="20"/>
          <w:szCs w:val="20"/>
          <w:lang w:val="es-ES"/>
        </w:rPr>
        <w:t xml:space="preserve"> </w:t>
      </w:r>
      <w:r w:rsidR="00DF151B" w:rsidRPr="00FD4F59">
        <w:rPr>
          <w:rFonts w:asciiTheme="majorHAnsi" w:hAnsiTheme="majorHAnsi"/>
          <w:color w:val="000000"/>
          <w:sz w:val="20"/>
          <w:szCs w:val="20"/>
          <w:lang w:val="es-ES"/>
        </w:rPr>
        <w:t>y</w:t>
      </w:r>
      <w:r w:rsidR="002D6048" w:rsidRPr="00FD4F59">
        <w:rPr>
          <w:rFonts w:asciiTheme="majorHAnsi" w:hAnsiTheme="majorHAnsi"/>
          <w:color w:val="000000"/>
          <w:sz w:val="20"/>
          <w:szCs w:val="20"/>
          <w:lang w:val="es-ES"/>
        </w:rPr>
        <w:t xml:space="preserve"> por </w:t>
      </w:r>
      <w:r w:rsidRPr="00FD4F59">
        <w:rPr>
          <w:rFonts w:asciiTheme="majorHAnsi" w:hAnsiTheme="majorHAnsi"/>
          <w:color w:val="000000"/>
          <w:sz w:val="20"/>
          <w:szCs w:val="20"/>
          <w:lang w:val="es-ES"/>
        </w:rPr>
        <w:t>“</w:t>
      </w:r>
      <w:r w:rsidR="00DF151B" w:rsidRPr="00FD4F59">
        <w:rPr>
          <w:rFonts w:asciiTheme="majorHAnsi" w:hAnsiTheme="majorHAnsi"/>
          <w:color w:val="000000"/>
          <w:sz w:val="20"/>
          <w:szCs w:val="20"/>
          <w:lang w:val="es-ES"/>
        </w:rPr>
        <w:t>prejuzgamiento</w:t>
      </w:r>
      <w:r w:rsidRPr="00FD4F59">
        <w:rPr>
          <w:rFonts w:asciiTheme="majorHAnsi" w:hAnsiTheme="majorHAnsi"/>
          <w:color w:val="000000"/>
          <w:sz w:val="20"/>
          <w:szCs w:val="20"/>
          <w:lang w:val="es-ES"/>
        </w:rPr>
        <w:t>”</w:t>
      </w:r>
      <w:r w:rsidR="00E93E94" w:rsidRPr="00FD4F59">
        <w:rPr>
          <w:rFonts w:asciiTheme="majorHAnsi" w:hAnsiTheme="majorHAnsi"/>
          <w:color w:val="000000"/>
          <w:sz w:val="20"/>
          <w:szCs w:val="20"/>
          <w:lang w:val="es-ES"/>
        </w:rPr>
        <w:t xml:space="preserve">. </w:t>
      </w:r>
      <w:r w:rsidR="00DF151B" w:rsidRPr="00FD4F59">
        <w:rPr>
          <w:rFonts w:asciiTheme="majorHAnsi" w:hAnsiTheme="majorHAnsi"/>
          <w:color w:val="000000"/>
          <w:sz w:val="20"/>
          <w:szCs w:val="20"/>
          <w:lang w:val="es-ES"/>
        </w:rPr>
        <w:t>Indica</w:t>
      </w:r>
      <w:r w:rsidR="000C7CE6" w:rsidRPr="00FD4F59">
        <w:rPr>
          <w:rFonts w:asciiTheme="majorHAnsi" w:hAnsiTheme="majorHAnsi"/>
          <w:color w:val="000000"/>
          <w:sz w:val="20"/>
          <w:szCs w:val="20"/>
          <w:lang w:val="es-ES"/>
        </w:rPr>
        <w:t>ro</w:t>
      </w:r>
      <w:r w:rsidR="00DF151B" w:rsidRPr="00FD4F59">
        <w:rPr>
          <w:rFonts w:asciiTheme="majorHAnsi" w:hAnsiTheme="majorHAnsi"/>
          <w:color w:val="000000"/>
          <w:sz w:val="20"/>
          <w:szCs w:val="20"/>
          <w:lang w:val="es-ES"/>
        </w:rPr>
        <w:t xml:space="preserve">n que dicha recusación </w:t>
      </w:r>
      <w:r w:rsidR="00CC182A" w:rsidRPr="00FD4F59">
        <w:rPr>
          <w:rFonts w:asciiTheme="majorHAnsi" w:hAnsiTheme="majorHAnsi"/>
          <w:color w:val="000000"/>
          <w:sz w:val="20"/>
          <w:szCs w:val="20"/>
          <w:lang w:val="es-ES"/>
        </w:rPr>
        <w:t>habría sido rechazada el 18 de junio de 1998.</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662B8" w:rsidRPr="006A7F4E" w:rsidRDefault="00B65E59"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6A7F4E">
        <w:rPr>
          <w:rFonts w:asciiTheme="majorHAnsi" w:hAnsiTheme="majorHAnsi"/>
          <w:color w:val="000000"/>
          <w:sz w:val="20"/>
          <w:szCs w:val="20"/>
          <w:lang w:val="es-ES"/>
        </w:rPr>
        <w:t>En tal sentido, alegaron que en la Argentina exist</w:t>
      </w:r>
      <w:r w:rsidR="00A3170C" w:rsidRPr="006A7F4E">
        <w:rPr>
          <w:rFonts w:asciiTheme="majorHAnsi" w:hAnsiTheme="majorHAnsi"/>
          <w:color w:val="000000"/>
          <w:sz w:val="20"/>
          <w:szCs w:val="20"/>
          <w:lang w:val="es-ES"/>
        </w:rPr>
        <w:t>ían</w:t>
      </w:r>
      <w:r w:rsidRPr="006A7F4E">
        <w:rPr>
          <w:rFonts w:asciiTheme="majorHAnsi" w:hAnsiTheme="majorHAnsi"/>
          <w:color w:val="000000"/>
          <w:sz w:val="20"/>
          <w:szCs w:val="20"/>
          <w:lang w:val="es-ES"/>
        </w:rPr>
        <w:t xml:space="preserve"> mecanismos corporativos</w:t>
      </w:r>
      <w:r w:rsidR="00A3170C" w:rsidRPr="006A7F4E">
        <w:rPr>
          <w:rFonts w:asciiTheme="majorHAnsi" w:hAnsiTheme="majorHAnsi"/>
          <w:color w:val="000000"/>
          <w:sz w:val="20"/>
          <w:szCs w:val="20"/>
          <w:lang w:val="es-ES"/>
        </w:rPr>
        <w:t>,</w:t>
      </w:r>
      <w:r w:rsidRPr="006A7F4E">
        <w:rPr>
          <w:rFonts w:asciiTheme="majorHAnsi" w:hAnsiTheme="majorHAnsi"/>
          <w:color w:val="000000"/>
          <w:sz w:val="20"/>
          <w:szCs w:val="20"/>
          <w:lang w:val="es-ES"/>
        </w:rPr>
        <w:t xml:space="preserve"> que involucra</w:t>
      </w:r>
      <w:r w:rsidR="00A3170C" w:rsidRPr="006A7F4E">
        <w:rPr>
          <w:rFonts w:asciiTheme="majorHAnsi" w:hAnsiTheme="majorHAnsi"/>
          <w:color w:val="000000"/>
          <w:sz w:val="20"/>
          <w:szCs w:val="20"/>
          <w:lang w:val="es-ES"/>
        </w:rPr>
        <w:t>ba</w:t>
      </w:r>
      <w:r w:rsidRPr="006A7F4E">
        <w:rPr>
          <w:rFonts w:asciiTheme="majorHAnsi" w:hAnsiTheme="majorHAnsi"/>
          <w:color w:val="000000"/>
          <w:sz w:val="20"/>
          <w:szCs w:val="20"/>
          <w:lang w:val="es-ES"/>
        </w:rPr>
        <w:t>n al Cuerpo Médico Forense</w:t>
      </w:r>
      <w:r w:rsidR="00A3170C" w:rsidRPr="006A7F4E">
        <w:rPr>
          <w:rFonts w:asciiTheme="majorHAnsi" w:hAnsiTheme="majorHAnsi"/>
          <w:color w:val="000000"/>
          <w:sz w:val="20"/>
          <w:szCs w:val="20"/>
          <w:lang w:val="es-ES"/>
        </w:rPr>
        <w:t>,</w:t>
      </w:r>
      <w:r w:rsidRPr="006A7F4E">
        <w:rPr>
          <w:rFonts w:asciiTheme="majorHAnsi" w:hAnsiTheme="majorHAnsi"/>
          <w:color w:val="000000"/>
          <w:sz w:val="20"/>
          <w:szCs w:val="20"/>
          <w:lang w:val="es-ES"/>
        </w:rPr>
        <w:t xml:space="preserve"> </w:t>
      </w:r>
      <w:r w:rsidR="003F4823" w:rsidRPr="006A7F4E">
        <w:rPr>
          <w:rFonts w:asciiTheme="majorHAnsi" w:hAnsiTheme="majorHAnsi"/>
          <w:color w:val="000000"/>
          <w:sz w:val="20"/>
          <w:szCs w:val="20"/>
          <w:lang w:val="es-ES"/>
        </w:rPr>
        <w:t>los cuales</w:t>
      </w:r>
      <w:r w:rsidRPr="006A7F4E">
        <w:rPr>
          <w:rFonts w:asciiTheme="majorHAnsi" w:hAnsiTheme="majorHAnsi"/>
          <w:color w:val="000000"/>
          <w:sz w:val="20"/>
          <w:szCs w:val="20"/>
          <w:lang w:val="es-ES"/>
        </w:rPr>
        <w:t xml:space="preserve"> garantiza</w:t>
      </w:r>
      <w:r w:rsidR="00A3170C" w:rsidRPr="006A7F4E">
        <w:rPr>
          <w:rFonts w:asciiTheme="majorHAnsi" w:hAnsiTheme="majorHAnsi"/>
          <w:color w:val="000000"/>
          <w:sz w:val="20"/>
          <w:szCs w:val="20"/>
          <w:lang w:val="es-ES"/>
        </w:rPr>
        <w:t>ba</w:t>
      </w:r>
      <w:r w:rsidRPr="006A7F4E">
        <w:rPr>
          <w:rFonts w:asciiTheme="majorHAnsi" w:hAnsiTheme="majorHAnsi"/>
          <w:color w:val="000000"/>
          <w:sz w:val="20"/>
          <w:szCs w:val="20"/>
          <w:lang w:val="es-ES"/>
        </w:rPr>
        <w:t xml:space="preserve">n la impunidad del personal médico </w:t>
      </w:r>
      <w:r w:rsidR="00A3170C" w:rsidRPr="006A7F4E">
        <w:rPr>
          <w:rFonts w:asciiTheme="majorHAnsi" w:hAnsiTheme="majorHAnsi"/>
          <w:color w:val="000000"/>
          <w:sz w:val="20"/>
          <w:szCs w:val="20"/>
          <w:lang w:val="es-ES"/>
        </w:rPr>
        <w:t xml:space="preserve">cuando alguno de sus miembros se encontraba </w:t>
      </w:r>
      <w:r w:rsidRPr="006A7F4E">
        <w:rPr>
          <w:rFonts w:asciiTheme="majorHAnsi" w:hAnsiTheme="majorHAnsi"/>
          <w:color w:val="000000"/>
          <w:sz w:val="20"/>
          <w:szCs w:val="20"/>
          <w:lang w:val="es-ES"/>
        </w:rPr>
        <w:t>i</w:t>
      </w:r>
      <w:r w:rsidR="00A3170C" w:rsidRPr="006A7F4E">
        <w:rPr>
          <w:rFonts w:asciiTheme="majorHAnsi" w:hAnsiTheme="majorHAnsi"/>
          <w:color w:val="000000"/>
          <w:sz w:val="20"/>
          <w:szCs w:val="20"/>
          <w:lang w:val="es-ES"/>
        </w:rPr>
        <w:t>nvolucrado en casos como este. Dichos mecanismos de corrupción habrían</w:t>
      </w:r>
      <w:r w:rsidRPr="006A7F4E">
        <w:rPr>
          <w:rFonts w:asciiTheme="majorHAnsi" w:hAnsiTheme="majorHAnsi"/>
          <w:color w:val="000000"/>
          <w:sz w:val="20"/>
          <w:szCs w:val="20"/>
          <w:lang w:val="es-ES"/>
        </w:rPr>
        <w:t xml:space="preserve"> </w:t>
      </w:r>
      <w:r w:rsidR="00A3170C" w:rsidRPr="006A7F4E">
        <w:rPr>
          <w:rFonts w:asciiTheme="majorHAnsi" w:hAnsiTheme="majorHAnsi"/>
          <w:color w:val="000000"/>
          <w:sz w:val="20"/>
          <w:szCs w:val="20"/>
          <w:lang w:val="es-ES"/>
        </w:rPr>
        <w:t xml:space="preserve">impedido a los peticionarios </w:t>
      </w:r>
      <w:r w:rsidRPr="006A7F4E">
        <w:rPr>
          <w:rFonts w:asciiTheme="majorHAnsi" w:hAnsiTheme="majorHAnsi"/>
          <w:color w:val="000000"/>
          <w:sz w:val="20"/>
          <w:szCs w:val="20"/>
          <w:lang w:val="es-ES"/>
        </w:rPr>
        <w:t>el acceso a la justicia mediante una decisión imparcial y debidamente fundada.</w:t>
      </w:r>
      <w:r w:rsidR="00E662B8" w:rsidRPr="006A7F4E">
        <w:rPr>
          <w:rFonts w:asciiTheme="majorHAnsi" w:hAnsiTheme="majorHAnsi"/>
          <w:color w:val="000000"/>
          <w:sz w:val="20"/>
          <w:szCs w:val="20"/>
          <w:lang w:val="es-ES"/>
        </w:rPr>
        <w:t xml:space="preserve"> </w:t>
      </w:r>
      <w:r w:rsidR="00B04543" w:rsidRPr="006A7F4E">
        <w:rPr>
          <w:rFonts w:asciiTheme="majorHAnsi" w:hAnsiTheme="majorHAnsi"/>
          <w:color w:val="000000"/>
          <w:sz w:val="20"/>
          <w:szCs w:val="20"/>
          <w:lang w:val="es-ES"/>
        </w:rPr>
        <w:t>En este mismo sentido, a</w:t>
      </w:r>
      <w:r w:rsidR="00E662B8" w:rsidRPr="006A7F4E">
        <w:rPr>
          <w:rFonts w:asciiTheme="majorHAnsi" w:hAnsiTheme="majorHAnsi"/>
          <w:color w:val="000000"/>
          <w:sz w:val="20"/>
          <w:szCs w:val="20"/>
          <w:lang w:val="es-ES"/>
        </w:rPr>
        <w:t>gregaron los peticionarios que</w:t>
      </w:r>
      <w:r w:rsidR="00B04543" w:rsidRPr="006A7F4E">
        <w:rPr>
          <w:rFonts w:asciiTheme="majorHAnsi" w:hAnsiTheme="majorHAnsi"/>
          <w:color w:val="000000"/>
          <w:sz w:val="20"/>
          <w:szCs w:val="20"/>
          <w:lang w:val="es-ES"/>
        </w:rPr>
        <w:t xml:space="preserve"> </w:t>
      </w:r>
      <w:r w:rsidR="00A3170C" w:rsidRPr="006A7F4E">
        <w:rPr>
          <w:rFonts w:asciiTheme="majorHAnsi" w:hAnsiTheme="majorHAnsi"/>
          <w:color w:val="000000"/>
          <w:sz w:val="20"/>
          <w:szCs w:val="20"/>
          <w:lang w:val="es-ES"/>
        </w:rPr>
        <w:t>e</w:t>
      </w:r>
      <w:r w:rsidR="00C60DED" w:rsidRPr="006A7F4E">
        <w:rPr>
          <w:rFonts w:asciiTheme="majorHAnsi" w:hAnsiTheme="majorHAnsi"/>
          <w:color w:val="000000"/>
          <w:sz w:val="20"/>
          <w:szCs w:val="20"/>
          <w:lang w:val="es-ES"/>
        </w:rPr>
        <w:t>llo constituía</w:t>
      </w:r>
      <w:r w:rsidR="00A3170C" w:rsidRPr="006A7F4E">
        <w:rPr>
          <w:rFonts w:asciiTheme="majorHAnsi" w:hAnsiTheme="majorHAnsi"/>
          <w:color w:val="000000"/>
          <w:sz w:val="20"/>
          <w:szCs w:val="20"/>
          <w:lang w:val="es-ES"/>
        </w:rPr>
        <w:t xml:space="preserve"> </w:t>
      </w:r>
      <w:r w:rsidR="00B04543" w:rsidRPr="006A7F4E">
        <w:rPr>
          <w:rFonts w:asciiTheme="majorHAnsi" w:hAnsiTheme="majorHAnsi"/>
          <w:color w:val="000000"/>
          <w:sz w:val="20"/>
          <w:szCs w:val="20"/>
          <w:lang w:val="es-ES"/>
        </w:rPr>
        <w:t>prueba de que</w:t>
      </w:r>
      <w:r w:rsidR="00C60DED" w:rsidRPr="006A7F4E">
        <w:rPr>
          <w:rFonts w:asciiTheme="majorHAnsi" w:hAnsiTheme="majorHAnsi"/>
          <w:color w:val="000000"/>
          <w:sz w:val="20"/>
          <w:szCs w:val="20"/>
          <w:lang w:val="es-ES"/>
        </w:rPr>
        <w:t>, en efecto,</w:t>
      </w:r>
      <w:r w:rsidR="00B04543" w:rsidRPr="006A7F4E">
        <w:rPr>
          <w:rFonts w:asciiTheme="majorHAnsi" w:hAnsiTheme="majorHAnsi"/>
          <w:color w:val="000000"/>
          <w:sz w:val="20"/>
          <w:szCs w:val="20"/>
          <w:lang w:val="es-ES"/>
        </w:rPr>
        <w:t xml:space="preserve"> existieron presiones externas sobre los jueces y falta de imparcialidad.</w:t>
      </w:r>
      <w:r w:rsidR="00A3170C" w:rsidRPr="006A7F4E">
        <w:rPr>
          <w:rFonts w:asciiTheme="majorHAnsi" w:hAnsiTheme="majorHAnsi"/>
          <w:color w:val="000000"/>
          <w:sz w:val="20"/>
          <w:szCs w:val="20"/>
          <w:lang w:val="es-ES"/>
        </w:rPr>
        <w:t xml:space="preserve"> De igual manera, manifestaron que las particularidades del presente caso involucraban directamente</w:t>
      </w:r>
      <w:r w:rsidR="00C60DED" w:rsidRPr="006A7F4E">
        <w:rPr>
          <w:rFonts w:asciiTheme="majorHAnsi" w:hAnsiTheme="majorHAnsi"/>
          <w:color w:val="000000"/>
          <w:sz w:val="20"/>
          <w:szCs w:val="20"/>
          <w:lang w:val="es-ES"/>
        </w:rPr>
        <w:t xml:space="preserve"> a la misma Corte Suprema, </w:t>
      </w:r>
      <w:r w:rsidR="00181555" w:rsidRPr="006A7F4E">
        <w:rPr>
          <w:rFonts w:asciiTheme="majorHAnsi" w:hAnsiTheme="majorHAnsi"/>
          <w:color w:val="000000"/>
          <w:sz w:val="20"/>
          <w:szCs w:val="20"/>
          <w:lang w:val="es-ES"/>
        </w:rPr>
        <w:t xml:space="preserve">por cuanto en el marco de dicha investigación </w:t>
      </w:r>
      <w:r w:rsidR="00C60DED" w:rsidRPr="006A7F4E">
        <w:rPr>
          <w:rFonts w:asciiTheme="majorHAnsi" w:hAnsiTheme="majorHAnsi"/>
          <w:color w:val="000000"/>
          <w:sz w:val="20"/>
          <w:szCs w:val="20"/>
          <w:lang w:val="es-ES"/>
        </w:rPr>
        <w:t xml:space="preserve">se habría producido el “hecho histórico” de que por primera vez en la historia judicial argentina era revocada una pericia plenaria del cuerpo forense </w:t>
      </w:r>
      <w:r w:rsidR="00181555" w:rsidRPr="006A7F4E">
        <w:rPr>
          <w:rFonts w:asciiTheme="majorHAnsi" w:hAnsiTheme="majorHAnsi"/>
          <w:color w:val="000000"/>
          <w:sz w:val="20"/>
          <w:szCs w:val="20"/>
          <w:lang w:val="es-ES"/>
        </w:rPr>
        <w:t xml:space="preserve">del más alto tribunal del país. </w:t>
      </w:r>
    </w:p>
    <w:p w:rsidR="007D4D73" w:rsidRPr="006A7F4E"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3102BD" w:rsidRPr="00FD4F59" w:rsidRDefault="003102BD"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themeColor="text1"/>
          <w:sz w:val="20"/>
          <w:szCs w:val="20"/>
          <w:lang w:val="es-ES"/>
        </w:rPr>
      </w:pPr>
      <w:r w:rsidRPr="006A7F4E">
        <w:rPr>
          <w:rFonts w:asciiTheme="majorHAnsi" w:hAnsiTheme="majorHAnsi"/>
          <w:color w:val="000000" w:themeColor="text1"/>
          <w:sz w:val="20"/>
          <w:szCs w:val="20"/>
          <w:lang w:val="es-ES"/>
        </w:rPr>
        <w:t xml:space="preserve">Por último, los peticionarios señalan que, si bien la pericia practicada por el pleno del Cuerpo Médico Forense fue dejada sin efecto por corrupción de sus miembros, </w:t>
      </w:r>
      <w:r w:rsidR="008E0C6C" w:rsidRPr="006A7F4E">
        <w:rPr>
          <w:rFonts w:asciiTheme="majorHAnsi" w:hAnsiTheme="majorHAnsi"/>
          <w:color w:val="000000" w:themeColor="text1"/>
          <w:sz w:val="20"/>
          <w:szCs w:val="20"/>
          <w:lang w:val="es-ES"/>
        </w:rPr>
        <w:t xml:space="preserve">existieron actos procesales y decisiones que tomaron esa prueba </w:t>
      </w:r>
      <w:r w:rsidR="005652DB" w:rsidRPr="006A7F4E">
        <w:rPr>
          <w:rFonts w:asciiTheme="majorHAnsi" w:hAnsiTheme="majorHAnsi"/>
          <w:color w:val="000000" w:themeColor="text1"/>
          <w:sz w:val="20"/>
          <w:szCs w:val="20"/>
          <w:lang w:val="es-ES"/>
        </w:rPr>
        <w:t xml:space="preserve">—y otras piezas también impugnadas— </w:t>
      </w:r>
      <w:r w:rsidR="008E0C6C" w:rsidRPr="006A7F4E">
        <w:rPr>
          <w:rFonts w:asciiTheme="majorHAnsi" w:hAnsiTheme="majorHAnsi"/>
          <w:color w:val="000000" w:themeColor="text1"/>
          <w:sz w:val="20"/>
          <w:szCs w:val="20"/>
          <w:lang w:val="es-ES"/>
        </w:rPr>
        <w:t>como antecedente</w:t>
      </w:r>
      <w:r w:rsidR="005652DB" w:rsidRPr="006A7F4E">
        <w:rPr>
          <w:rFonts w:asciiTheme="majorHAnsi" w:hAnsiTheme="majorHAnsi"/>
          <w:color w:val="000000" w:themeColor="text1"/>
          <w:sz w:val="20"/>
          <w:szCs w:val="20"/>
          <w:lang w:val="es-ES"/>
        </w:rPr>
        <w:t xml:space="preserve">, lo cual configuraría uso de prueba ilegalmente obtenida. Además, señalan que </w:t>
      </w:r>
      <w:r w:rsidRPr="006A7F4E">
        <w:rPr>
          <w:rFonts w:asciiTheme="majorHAnsi" w:hAnsiTheme="majorHAnsi"/>
          <w:color w:val="000000" w:themeColor="text1"/>
          <w:sz w:val="20"/>
          <w:szCs w:val="20"/>
          <w:lang w:val="es-ES"/>
        </w:rPr>
        <w:t>todas las resoluciones judiciales que tuvieron relación con dicho plenario en las causas conexas fueron influenciadas para conseguir sobreseimientos y absoluciones de los miembros del Cuerpo Médico</w:t>
      </w:r>
      <w:r w:rsidRPr="00FD4F59">
        <w:rPr>
          <w:rFonts w:asciiTheme="majorHAnsi" w:hAnsiTheme="majorHAnsi"/>
          <w:color w:val="000000" w:themeColor="text1"/>
          <w:sz w:val="20"/>
          <w:szCs w:val="20"/>
          <w:lang w:val="es-ES"/>
        </w:rPr>
        <w:t xml:space="preserve"> Forense.</w:t>
      </w:r>
    </w:p>
    <w:p w:rsidR="00AB1796" w:rsidRPr="00FD4F59" w:rsidRDefault="00AB1796"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themeColor="text1"/>
          <w:sz w:val="20"/>
          <w:szCs w:val="20"/>
          <w:lang w:val="es-ES"/>
        </w:rPr>
      </w:pPr>
    </w:p>
    <w:p w:rsidR="00AB1796" w:rsidRPr="00FD4F59" w:rsidRDefault="00AB1796"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themeColor="text1"/>
          <w:sz w:val="20"/>
          <w:szCs w:val="20"/>
          <w:lang w:val="es-ES"/>
        </w:rPr>
      </w:pPr>
    </w:p>
    <w:p w:rsidR="00DF151B" w:rsidRPr="00EA5BD3" w:rsidRDefault="00326F64" w:rsidP="001433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i/>
          <w:sz w:val="20"/>
          <w:szCs w:val="20"/>
          <w:lang w:val="es-ES"/>
        </w:rPr>
      </w:pPr>
      <w:r w:rsidRPr="00EA5BD3">
        <w:rPr>
          <w:rFonts w:asciiTheme="majorHAnsi" w:hAnsiTheme="majorHAnsi"/>
          <w:i/>
          <w:sz w:val="20"/>
          <w:szCs w:val="20"/>
          <w:lang w:val="es-ES"/>
        </w:rPr>
        <w:t xml:space="preserve">Proceso penal por encubrimiento (Expte. </w:t>
      </w:r>
      <w:r w:rsidR="007A3B7B" w:rsidRPr="00EA5BD3">
        <w:rPr>
          <w:rFonts w:asciiTheme="majorHAnsi" w:hAnsiTheme="majorHAnsi"/>
          <w:i/>
          <w:sz w:val="20"/>
          <w:szCs w:val="20"/>
          <w:lang w:val="es-ES"/>
        </w:rPr>
        <w:t xml:space="preserve">No. </w:t>
      </w:r>
      <w:r w:rsidRPr="00EA5BD3">
        <w:rPr>
          <w:rFonts w:asciiTheme="majorHAnsi" w:hAnsiTheme="majorHAnsi"/>
          <w:i/>
          <w:sz w:val="20"/>
          <w:szCs w:val="20"/>
          <w:lang w:val="es-ES"/>
        </w:rPr>
        <w:t>43.321</w:t>
      </w:r>
      <w:r w:rsidR="00AF38FF" w:rsidRPr="00EA5BD3">
        <w:rPr>
          <w:rFonts w:asciiTheme="majorHAnsi" w:hAnsiTheme="majorHAnsi"/>
          <w:i/>
          <w:sz w:val="20"/>
          <w:szCs w:val="20"/>
          <w:lang w:val="es-ES"/>
        </w:rPr>
        <w:t>/97</w:t>
      </w:r>
      <w:r w:rsidRPr="00EA5BD3">
        <w:rPr>
          <w:rFonts w:asciiTheme="majorHAnsi" w:hAnsiTheme="majorHAnsi"/>
          <w:i/>
          <w:sz w:val="20"/>
          <w:szCs w:val="20"/>
          <w:lang w:val="es-ES"/>
        </w:rPr>
        <w:t>)</w:t>
      </w:r>
    </w:p>
    <w:p w:rsidR="007D4D73" w:rsidRPr="007D4D73"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lang w:val="es-ES"/>
        </w:rPr>
      </w:pPr>
    </w:p>
    <w:p w:rsidR="007A3B7B" w:rsidRDefault="00900F9F"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Los peticionarios sostienen que sus abogados </w:t>
      </w:r>
      <w:r w:rsidR="00DC03B8" w:rsidRPr="00FD4F59">
        <w:rPr>
          <w:rFonts w:asciiTheme="majorHAnsi" w:hAnsiTheme="majorHAnsi"/>
          <w:color w:val="000000"/>
          <w:sz w:val="20"/>
          <w:szCs w:val="20"/>
          <w:lang w:val="es-ES"/>
        </w:rPr>
        <w:t xml:space="preserve">patrocinantes habrían </w:t>
      </w:r>
      <w:r w:rsidR="00D308F3" w:rsidRPr="00FD4F59">
        <w:rPr>
          <w:rFonts w:asciiTheme="majorHAnsi" w:hAnsiTheme="majorHAnsi"/>
          <w:color w:val="000000"/>
          <w:sz w:val="20"/>
          <w:szCs w:val="20"/>
          <w:lang w:val="es-ES"/>
        </w:rPr>
        <w:t>recibido</w:t>
      </w:r>
      <w:r w:rsidRPr="00FD4F59">
        <w:rPr>
          <w:rFonts w:asciiTheme="majorHAnsi" w:hAnsiTheme="majorHAnsi"/>
          <w:color w:val="000000"/>
          <w:sz w:val="20"/>
          <w:szCs w:val="20"/>
          <w:lang w:val="es-ES"/>
        </w:rPr>
        <w:t xml:space="preserve"> un mensaje anónimo que fue llevado a la justicia, </w:t>
      </w:r>
      <w:r w:rsidR="005F0ABA" w:rsidRPr="00FD4F59">
        <w:rPr>
          <w:rFonts w:asciiTheme="majorHAnsi" w:hAnsiTheme="majorHAnsi"/>
          <w:color w:val="000000"/>
          <w:sz w:val="20"/>
          <w:szCs w:val="20"/>
          <w:lang w:val="es-ES"/>
        </w:rPr>
        <w:t>fruto de lo cual</w:t>
      </w:r>
      <w:r w:rsidR="00DC03B8" w:rsidRPr="00FD4F59">
        <w:rPr>
          <w:rFonts w:asciiTheme="majorHAnsi" w:hAnsiTheme="majorHAnsi"/>
          <w:color w:val="000000"/>
          <w:sz w:val="20"/>
          <w:szCs w:val="20"/>
          <w:lang w:val="es-ES"/>
        </w:rPr>
        <w:t>, el 23 de mayo de 1997,</w:t>
      </w:r>
      <w:r w:rsidR="005F0ABA"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se </w:t>
      </w:r>
      <w:r w:rsidR="007A3B7B" w:rsidRPr="00FD4F59">
        <w:rPr>
          <w:rFonts w:asciiTheme="majorHAnsi" w:hAnsiTheme="majorHAnsi"/>
          <w:color w:val="000000"/>
          <w:sz w:val="20"/>
          <w:szCs w:val="20"/>
          <w:lang w:val="es-ES"/>
        </w:rPr>
        <w:t>habría iniciado</w:t>
      </w:r>
      <w:r w:rsidRPr="00FD4F59">
        <w:rPr>
          <w:rFonts w:asciiTheme="majorHAnsi" w:hAnsiTheme="majorHAnsi"/>
          <w:color w:val="000000"/>
          <w:sz w:val="20"/>
          <w:szCs w:val="20"/>
          <w:lang w:val="es-ES"/>
        </w:rPr>
        <w:t xml:space="preserve"> una investigación por </w:t>
      </w:r>
      <w:r w:rsidR="005F0ABA" w:rsidRPr="00FD4F59">
        <w:rPr>
          <w:rFonts w:asciiTheme="majorHAnsi" w:hAnsiTheme="majorHAnsi"/>
          <w:color w:val="000000"/>
          <w:sz w:val="20"/>
          <w:szCs w:val="20"/>
          <w:lang w:val="es-ES"/>
        </w:rPr>
        <w:t>encubrimiento</w:t>
      </w:r>
      <w:r w:rsidR="00DC03B8" w:rsidRPr="00FD4F59">
        <w:rPr>
          <w:rFonts w:asciiTheme="majorHAnsi" w:hAnsiTheme="majorHAnsi"/>
          <w:color w:val="000000"/>
          <w:sz w:val="20"/>
          <w:szCs w:val="20"/>
          <w:lang w:val="es-ES"/>
        </w:rPr>
        <w:t xml:space="preserve">. </w:t>
      </w:r>
      <w:r w:rsidR="003C6EBE" w:rsidRPr="00FD4F59">
        <w:rPr>
          <w:rFonts w:asciiTheme="majorHAnsi" w:hAnsiTheme="majorHAnsi"/>
          <w:color w:val="000000"/>
          <w:sz w:val="20"/>
          <w:szCs w:val="20"/>
          <w:lang w:val="es-ES"/>
        </w:rPr>
        <w:t>Sostienen los peticionarios que</w:t>
      </w:r>
      <w:r w:rsidR="00D308F3" w:rsidRPr="00FD4F59">
        <w:rPr>
          <w:rFonts w:asciiTheme="majorHAnsi" w:hAnsiTheme="majorHAnsi"/>
          <w:color w:val="000000"/>
          <w:sz w:val="20"/>
          <w:szCs w:val="20"/>
          <w:lang w:val="es-ES"/>
        </w:rPr>
        <w:t>,</w:t>
      </w:r>
      <w:r w:rsidR="003C6EBE" w:rsidRPr="00FD4F59">
        <w:rPr>
          <w:rFonts w:asciiTheme="majorHAnsi" w:hAnsiTheme="majorHAnsi"/>
          <w:color w:val="000000"/>
          <w:sz w:val="20"/>
          <w:szCs w:val="20"/>
          <w:lang w:val="es-ES"/>
        </w:rPr>
        <w:t xml:space="preserve"> e</w:t>
      </w:r>
      <w:r w:rsidR="00DC03B8" w:rsidRPr="00FD4F59">
        <w:rPr>
          <w:rFonts w:asciiTheme="majorHAnsi" w:hAnsiTheme="majorHAnsi"/>
          <w:color w:val="000000"/>
          <w:sz w:val="20"/>
          <w:szCs w:val="20"/>
          <w:lang w:val="es-ES"/>
        </w:rPr>
        <w:t>n el marco de dicha investigación</w:t>
      </w:r>
      <w:r w:rsidR="00D308F3" w:rsidRPr="00FD4F59">
        <w:rPr>
          <w:rFonts w:asciiTheme="majorHAnsi" w:hAnsiTheme="majorHAnsi"/>
          <w:color w:val="000000"/>
          <w:sz w:val="20"/>
          <w:szCs w:val="20"/>
          <w:lang w:val="es-ES"/>
        </w:rPr>
        <w:t>,</w:t>
      </w:r>
      <w:r w:rsidR="00DC03B8" w:rsidRPr="00FD4F59">
        <w:rPr>
          <w:rFonts w:asciiTheme="majorHAnsi" w:hAnsiTheme="majorHAnsi"/>
          <w:color w:val="000000"/>
          <w:sz w:val="20"/>
          <w:szCs w:val="20"/>
          <w:lang w:val="es-ES"/>
        </w:rPr>
        <w:t xml:space="preserve"> se habría recibido testimonio de uno los médicos disidentes en el plenario de la causa 21.375/96</w:t>
      </w:r>
      <w:r w:rsidR="003C6EBE" w:rsidRPr="00FD4F59">
        <w:rPr>
          <w:rFonts w:asciiTheme="majorHAnsi" w:hAnsiTheme="majorHAnsi"/>
          <w:color w:val="000000"/>
          <w:sz w:val="20"/>
          <w:szCs w:val="20"/>
          <w:lang w:val="es-ES"/>
        </w:rPr>
        <w:t xml:space="preserve">, quien habría declarado que no había habido deliberación alguna para elaborar la </w:t>
      </w:r>
      <w:r w:rsidR="00D308F3" w:rsidRPr="00FD4F59">
        <w:rPr>
          <w:rFonts w:asciiTheme="majorHAnsi" w:hAnsiTheme="majorHAnsi"/>
          <w:color w:val="000000"/>
          <w:sz w:val="20"/>
          <w:szCs w:val="20"/>
          <w:lang w:val="es-ES"/>
        </w:rPr>
        <w:t xml:space="preserve">mencionada </w:t>
      </w:r>
      <w:r w:rsidR="003C6EBE" w:rsidRPr="00FD4F59">
        <w:rPr>
          <w:rFonts w:asciiTheme="majorHAnsi" w:hAnsiTheme="majorHAnsi"/>
          <w:color w:val="000000"/>
          <w:sz w:val="20"/>
          <w:szCs w:val="20"/>
          <w:lang w:val="es-ES"/>
        </w:rPr>
        <w:t xml:space="preserve">pericia plenaria, que la misma había sido hecha </w:t>
      </w:r>
      <w:r w:rsidRPr="00FD4F59">
        <w:rPr>
          <w:rFonts w:asciiTheme="majorHAnsi" w:hAnsiTheme="majorHAnsi"/>
          <w:color w:val="000000"/>
          <w:sz w:val="20"/>
          <w:szCs w:val="20"/>
          <w:lang w:val="es-ES"/>
        </w:rPr>
        <w:t xml:space="preserve">con las respuestas contestadas y </w:t>
      </w:r>
      <w:r w:rsidR="003C6EBE" w:rsidRPr="00FD4F59">
        <w:rPr>
          <w:rFonts w:asciiTheme="majorHAnsi" w:hAnsiTheme="majorHAnsi"/>
          <w:color w:val="000000"/>
          <w:sz w:val="20"/>
          <w:szCs w:val="20"/>
          <w:lang w:val="es-ES"/>
        </w:rPr>
        <w:t xml:space="preserve">que </w:t>
      </w:r>
      <w:r w:rsidR="007A3B7B" w:rsidRPr="00FD4F59">
        <w:rPr>
          <w:rFonts w:asciiTheme="majorHAnsi" w:hAnsiTheme="majorHAnsi"/>
          <w:color w:val="000000"/>
          <w:sz w:val="20"/>
          <w:szCs w:val="20"/>
          <w:lang w:val="es-ES"/>
        </w:rPr>
        <w:t xml:space="preserve">habían existido presiones </w:t>
      </w:r>
      <w:r w:rsidRPr="00FD4F59">
        <w:rPr>
          <w:rFonts w:asciiTheme="majorHAnsi" w:hAnsiTheme="majorHAnsi"/>
          <w:color w:val="000000"/>
          <w:sz w:val="20"/>
          <w:szCs w:val="20"/>
          <w:lang w:val="es-ES"/>
        </w:rPr>
        <w:t xml:space="preserve">a otros forenses </w:t>
      </w:r>
      <w:r w:rsidR="007A3B7B" w:rsidRPr="00FD4F59">
        <w:rPr>
          <w:rFonts w:asciiTheme="majorHAnsi" w:hAnsiTheme="majorHAnsi"/>
          <w:color w:val="000000"/>
          <w:sz w:val="20"/>
          <w:szCs w:val="20"/>
          <w:lang w:val="es-ES"/>
        </w:rPr>
        <w:t>para</w:t>
      </w:r>
      <w:r w:rsidRPr="00FD4F59">
        <w:rPr>
          <w:rFonts w:asciiTheme="majorHAnsi" w:hAnsiTheme="majorHAnsi"/>
          <w:color w:val="000000"/>
          <w:sz w:val="20"/>
          <w:szCs w:val="20"/>
          <w:lang w:val="es-ES"/>
        </w:rPr>
        <w:t xml:space="preserve"> que firmaran las respuestas encubridoras.</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900F9F" w:rsidRDefault="007A3B7B"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Según </w:t>
      </w:r>
      <w:r w:rsidR="00A939C8" w:rsidRPr="00FD4F59">
        <w:rPr>
          <w:rFonts w:asciiTheme="majorHAnsi" w:hAnsiTheme="majorHAnsi"/>
          <w:color w:val="000000"/>
          <w:sz w:val="20"/>
          <w:szCs w:val="20"/>
          <w:lang w:val="es-ES"/>
        </w:rPr>
        <w:t xml:space="preserve">informan los peticionarios, esta </w:t>
      </w:r>
      <w:r w:rsidR="00900F9F" w:rsidRPr="00FD4F59">
        <w:rPr>
          <w:rFonts w:asciiTheme="majorHAnsi" w:hAnsiTheme="majorHAnsi"/>
          <w:color w:val="000000"/>
          <w:sz w:val="20"/>
          <w:szCs w:val="20"/>
          <w:lang w:val="es-ES"/>
        </w:rPr>
        <w:t>investigación habría sido desestimada po</w:t>
      </w:r>
      <w:r w:rsidR="00D308F3" w:rsidRPr="00FD4F59">
        <w:rPr>
          <w:rFonts w:asciiTheme="majorHAnsi" w:hAnsiTheme="majorHAnsi"/>
          <w:color w:val="000000"/>
          <w:sz w:val="20"/>
          <w:szCs w:val="20"/>
          <w:lang w:val="es-ES"/>
        </w:rPr>
        <w:t>r falta de requerimiento fiscal, lo cual habría sido confirmado</w:t>
      </w:r>
      <w:r w:rsidR="00900F9F" w:rsidRPr="00FD4F59">
        <w:rPr>
          <w:rFonts w:asciiTheme="majorHAnsi" w:hAnsiTheme="majorHAnsi"/>
          <w:color w:val="000000"/>
          <w:sz w:val="20"/>
          <w:szCs w:val="20"/>
          <w:lang w:val="es-ES"/>
        </w:rPr>
        <w:t xml:space="preserve"> por la Sala I de la </w:t>
      </w:r>
      <w:r w:rsidR="00B11313" w:rsidRPr="00FD4F59">
        <w:rPr>
          <w:rFonts w:asciiTheme="majorHAnsi" w:hAnsiTheme="majorHAnsi"/>
          <w:color w:val="000000"/>
          <w:sz w:val="20"/>
          <w:szCs w:val="20"/>
          <w:lang w:val="es-ES"/>
        </w:rPr>
        <w:t>Cámara de Apelaciones en lo Criminal</w:t>
      </w:r>
      <w:r w:rsidR="00D14D28" w:rsidRPr="00FD4F59">
        <w:rPr>
          <w:rFonts w:asciiTheme="majorHAnsi" w:hAnsiTheme="majorHAnsi"/>
          <w:color w:val="000000"/>
          <w:sz w:val="20"/>
          <w:szCs w:val="20"/>
          <w:lang w:val="es-ES"/>
        </w:rPr>
        <w:t>, el 17 de noviembre de 1997</w:t>
      </w:r>
      <w:r w:rsidR="00900F9F" w:rsidRPr="00FD4F59">
        <w:rPr>
          <w:rFonts w:asciiTheme="majorHAnsi" w:hAnsiTheme="majorHAnsi"/>
          <w:color w:val="000000"/>
          <w:sz w:val="20"/>
          <w:szCs w:val="20"/>
          <w:lang w:val="es-ES"/>
        </w:rPr>
        <w:t>.</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393ADF" w:rsidRPr="00EA5BD3" w:rsidRDefault="00900F9F" w:rsidP="0014333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i/>
          <w:sz w:val="20"/>
          <w:szCs w:val="20"/>
          <w:lang w:val="es-ES"/>
        </w:rPr>
      </w:pPr>
      <w:r w:rsidRPr="00EA5BD3">
        <w:rPr>
          <w:rFonts w:asciiTheme="majorHAnsi" w:hAnsiTheme="majorHAnsi"/>
          <w:i/>
          <w:sz w:val="20"/>
          <w:szCs w:val="20"/>
          <w:lang w:val="es-ES"/>
        </w:rPr>
        <w:t>Proceso penal por falso testimonio (Expte. No. 27.985</w:t>
      </w:r>
      <w:r w:rsidR="004D78A5" w:rsidRPr="00EA5BD3">
        <w:rPr>
          <w:rFonts w:asciiTheme="majorHAnsi" w:hAnsiTheme="majorHAnsi"/>
          <w:i/>
          <w:sz w:val="20"/>
          <w:szCs w:val="20"/>
          <w:lang w:val="es-ES"/>
        </w:rPr>
        <w:t>/98</w:t>
      </w:r>
      <w:r w:rsidRPr="00EA5BD3">
        <w:rPr>
          <w:rFonts w:asciiTheme="majorHAnsi" w:hAnsiTheme="majorHAnsi"/>
          <w:i/>
          <w:sz w:val="20"/>
          <w:szCs w:val="20"/>
          <w:lang w:val="es-ES"/>
        </w:rPr>
        <w:t>)</w:t>
      </w:r>
      <w:r w:rsidR="00A939C8" w:rsidRPr="00EA5BD3">
        <w:rPr>
          <w:rStyle w:val="FootnoteReference"/>
          <w:rFonts w:asciiTheme="majorHAnsi" w:hAnsiTheme="majorHAnsi"/>
          <w:sz w:val="20"/>
          <w:szCs w:val="20"/>
          <w:lang w:val="es-ES"/>
        </w:rPr>
        <w:footnoteReference w:id="4"/>
      </w:r>
    </w:p>
    <w:p w:rsidR="007D4D73" w:rsidRPr="007D4D73"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i/>
          <w:sz w:val="20"/>
          <w:szCs w:val="20"/>
          <w:lang w:val="es-ES"/>
        </w:rPr>
      </w:pPr>
    </w:p>
    <w:p w:rsidR="00F403B0" w:rsidRDefault="0070078A"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Los peticionarios in</w:t>
      </w:r>
      <w:r w:rsidR="00E21857" w:rsidRPr="00FD4F59">
        <w:rPr>
          <w:rFonts w:asciiTheme="majorHAnsi" w:hAnsiTheme="majorHAnsi"/>
          <w:color w:val="000000"/>
          <w:sz w:val="20"/>
          <w:szCs w:val="20"/>
          <w:lang w:val="es-ES"/>
        </w:rPr>
        <w:t>dican que</w:t>
      </w:r>
      <w:r w:rsidR="000C7CE6"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el 1˚ de abril de 1998</w:t>
      </w:r>
      <w:r w:rsidR="003F7051"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w:t>
      </w:r>
      <w:r w:rsidR="003F7051" w:rsidRPr="00FD4F59">
        <w:rPr>
          <w:rFonts w:asciiTheme="majorHAnsi" w:hAnsiTheme="majorHAnsi"/>
          <w:color w:val="000000"/>
          <w:sz w:val="20"/>
          <w:szCs w:val="20"/>
          <w:lang w:val="es-ES"/>
        </w:rPr>
        <w:t>habría</w:t>
      </w:r>
      <w:r w:rsidR="000C7CE6" w:rsidRPr="00FD4F59">
        <w:rPr>
          <w:rFonts w:asciiTheme="majorHAnsi" w:hAnsiTheme="majorHAnsi"/>
          <w:color w:val="000000"/>
          <w:sz w:val="20"/>
          <w:szCs w:val="20"/>
          <w:lang w:val="es-ES"/>
        </w:rPr>
        <w:t>n</w:t>
      </w:r>
      <w:r w:rsidR="003F7051" w:rsidRPr="00FD4F59">
        <w:rPr>
          <w:rFonts w:asciiTheme="majorHAnsi" w:hAnsiTheme="majorHAnsi"/>
          <w:color w:val="000000"/>
          <w:sz w:val="20"/>
          <w:szCs w:val="20"/>
          <w:lang w:val="es-ES"/>
        </w:rPr>
        <w:t xml:space="preserve"> </w:t>
      </w:r>
      <w:r w:rsidR="0019686B" w:rsidRPr="00FD4F59">
        <w:rPr>
          <w:rFonts w:asciiTheme="majorHAnsi" w:hAnsiTheme="majorHAnsi"/>
          <w:color w:val="000000"/>
          <w:sz w:val="20"/>
          <w:szCs w:val="20"/>
          <w:lang w:val="es-ES"/>
        </w:rPr>
        <w:t>interpuesto una querella</w:t>
      </w:r>
      <w:r w:rsidR="000C7CE6" w:rsidRPr="00FD4F59">
        <w:rPr>
          <w:rStyle w:val="FootnoteReference"/>
          <w:rFonts w:asciiTheme="majorHAnsi" w:hAnsiTheme="majorHAnsi"/>
          <w:color w:val="000000"/>
          <w:sz w:val="20"/>
          <w:szCs w:val="20"/>
          <w:lang w:val="es-ES"/>
        </w:rPr>
        <w:footnoteReference w:id="5"/>
      </w:r>
      <w:r w:rsidR="003F7051" w:rsidRPr="00FD4F59">
        <w:rPr>
          <w:rFonts w:asciiTheme="majorHAnsi" w:hAnsiTheme="majorHAnsi"/>
          <w:color w:val="000000"/>
          <w:sz w:val="20"/>
          <w:szCs w:val="20"/>
          <w:lang w:val="es-ES"/>
        </w:rPr>
        <w:t xml:space="preserve"> por falso testimonio </w:t>
      </w:r>
      <w:r w:rsidR="0019686B" w:rsidRPr="00FD4F59">
        <w:rPr>
          <w:rFonts w:asciiTheme="majorHAnsi" w:hAnsiTheme="majorHAnsi"/>
          <w:color w:val="000000"/>
          <w:sz w:val="20"/>
          <w:szCs w:val="20"/>
          <w:lang w:val="es-ES"/>
        </w:rPr>
        <w:t>contra</w:t>
      </w:r>
      <w:r w:rsidR="003F7051" w:rsidRPr="00FD4F59">
        <w:rPr>
          <w:rFonts w:asciiTheme="majorHAnsi" w:hAnsiTheme="majorHAnsi"/>
          <w:color w:val="000000"/>
          <w:sz w:val="20"/>
          <w:szCs w:val="20"/>
          <w:lang w:val="es-ES"/>
        </w:rPr>
        <w:t xml:space="preserve"> los 31 integrantes del Cuerpo Médico</w:t>
      </w:r>
      <w:r w:rsidR="0019686B" w:rsidRPr="00FD4F59">
        <w:rPr>
          <w:rFonts w:asciiTheme="majorHAnsi" w:hAnsiTheme="majorHAnsi"/>
          <w:color w:val="000000"/>
          <w:sz w:val="20"/>
          <w:szCs w:val="20"/>
          <w:lang w:val="es-ES"/>
        </w:rPr>
        <w:t xml:space="preserve">. En dicha causa se habría investigado el supuesto </w:t>
      </w:r>
      <w:r w:rsidRPr="00FD4F59">
        <w:rPr>
          <w:rFonts w:asciiTheme="majorHAnsi" w:hAnsiTheme="majorHAnsi"/>
          <w:color w:val="000000"/>
          <w:sz w:val="20"/>
          <w:szCs w:val="20"/>
          <w:lang w:val="es-ES"/>
        </w:rPr>
        <w:t xml:space="preserve">comportamiento </w:t>
      </w:r>
      <w:r w:rsidR="00312FAE" w:rsidRPr="00FD4F59">
        <w:rPr>
          <w:rFonts w:asciiTheme="majorHAnsi" w:hAnsiTheme="majorHAnsi"/>
          <w:color w:val="000000"/>
          <w:sz w:val="20"/>
          <w:szCs w:val="20"/>
          <w:lang w:val="es-ES"/>
        </w:rPr>
        <w:t>c</w:t>
      </w:r>
      <w:r w:rsidRPr="00FD4F59">
        <w:rPr>
          <w:rFonts w:asciiTheme="majorHAnsi" w:hAnsiTheme="majorHAnsi"/>
          <w:color w:val="000000"/>
          <w:sz w:val="20"/>
          <w:szCs w:val="20"/>
          <w:lang w:val="es-ES"/>
        </w:rPr>
        <w:t>orrupto y corporativo del Cuerpo Médico Forense para</w:t>
      </w:r>
      <w:r w:rsidR="004A4000" w:rsidRPr="00FD4F59">
        <w:rPr>
          <w:rFonts w:asciiTheme="majorHAnsi" w:hAnsiTheme="majorHAnsi"/>
          <w:color w:val="000000"/>
          <w:sz w:val="20"/>
          <w:szCs w:val="20"/>
          <w:lang w:val="es-ES"/>
        </w:rPr>
        <w:t xml:space="preserve"> </w:t>
      </w:r>
      <w:r w:rsidR="000C7CE6" w:rsidRPr="00FD4F59">
        <w:rPr>
          <w:rFonts w:asciiTheme="majorHAnsi" w:hAnsiTheme="majorHAnsi"/>
          <w:color w:val="000000"/>
          <w:sz w:val="20"/>
          <w:szCs w:val="20"/>
          <w:lang w:val="es-ES"/>
        </w:rPr>
        <w:t>fraguar la pericia plenaria</w:t>
      </w:r>
      <w:r w:rsidR="00C259DC" w:rsidRPr="00FD4F59">
        <w:rPr>
          <w:rFonts w:asciiTheme="majorHAnsi" w:hAnsiTheme="majorHAnsi"/>
          <w:color w:val="000000"/>
          <w:sz w:val="20"/>
          <w:szCs w:val="20"/>
          <w:lang w:val="es-ES"/>
        </w:rPr>
        <w:t xml:space="preserve"> </w:t>
      </w:r>
      <w:r w:rsidR="00F403B0" w:rsidRPr="00FD4F59">
        <w:rPr>
          <w:rFonts w:asciiTheme="majorHAnsi" w:hAnsiTheme="majorHAnsi"/>
          <w:color w:val="000000"/>
          <w:sz w:val="20"/>
          <w:szCs w:val="20"/>
          <w:lang w:val="es-ES"/>
        </w:rPr>
        <w:t xml:space="preserve">y </w:t>
      </w:r>
      <w:r w:rsidRPr="00FD4F59">
        <w:rPr>
          <w:rFonts w:asciiTheme="majorHAnsi" w:hAnsiTheme="majorHAnsi"/>
          <w:color w:val="000000"/>
          <w:sz w:val="20"/>
          <w:szCs w:val="20"/>
          <w:lang w:val="es-ES"/>
        </w:rPr>
        <w:t>encubrir a sus colegas.</w:t>
      </w:r>
      <w:r w:rsidR="006B74C8" w:rsidRPr="00FD4F59">
        <w:rPr>
          <w:rFonts w:asciiTheme="majorHAnsi" w:hAnsiTheme="majorHAnsi"/>
          <w:color w:val="000000"/>
          <w:sz w:val="20"/>
          <w:szCs w:val="20"/>
          <w:lang w:val="es-ES"/>
        </w:rPr>
        <w:t xml:space="preserve"> </w:t>
      </w:r>
      <w:r w:rsidR="00312FAE" w:rsidRPr="00FD4F59">
        <w:rPr>
          <w:rFonts w:asciiTheme="majorHAnsi" w:hAnsiTheme="majorHAnsi"/>
          <w:color w:val="000000"/>
          <w:sz w:val="20"/>
          <w:szCs w:val="20"/>
          <w:lang w:val="es-ES"/>
        </w:rPr>
        <w:t>L</w:t>
      </w:r>
      <w:r w:rsidR="00E21857" w:rsidRPr="00FD4F59">
        <w:rPr>
          <w:rFonts w:asciiTheme="majorHAnsi" w:hAnsiTheme="majorHAnsi"/>
          <w:color w:val="000000"/>
          <w:sz w:val="20"/>
          <w:szCs w:val="20"/>
          <w:lang w:val="es-ES"/>
        </w:rPr>
        <w:t xml:space="preserve">os </w:t>
      </w:r>
      <w:r w:rsidR="00F403B0" w:rsidRPr="00FD4F59">
        <w:rPr>
          <w:rFonts w:asciiTheme="majorHAnsi" w:hAnsiTheme="majorHAnsi"/>
          <w:color w:val="000000"/>
          <w:sz w:val="20"/>
          <w:szCs w:val="20"/>
          <w:lang w:val="es-ES"/>
        </w:rPr>
        <w:t xml:space="preserve">peticionarios informaron que, </w:t>
      </w:r>
      <w:r w:rsidR="006B74C8" w:rsidRPr="00FD4F59">
        <w:rPr>
          <w:rFonts w:asciiTheme="majorHAnsi" w:hAnsiTheme="majorHAnsi"/>
          <w:color w:val="000000"/>
          <w:sz w:val="20"/>
          <w:szCs w:val="20"/>
          <w:lang w:val="es-ES"/>
        </w:rPr>
        <w:t xml:space="preserve">el 12 de abril de 1999, el juez a cargo habría </w:t>
      </w:r>
      <w:r w:rsidR="00C259DC" w:rsidRPr="00FD4F59">
        <w:rPr>
          <w:rFonts w:asciiTheme="majorHAnsi" w:hAnsiTheme="majorHAnsi"/>
          <w:color w:val="000000"/>
          <w:sz w:val="20"/>
          <w:szCs w:val="20"/>
          <w:lang w:val="es-ES"/>
        </w:rPr>
        <w:t xml:space="preserve">decidido </w:t>
      </w:r>
      <w:r w:rsidR="006B74C8" w:rsidRPr="00FD4F59">
        <w:rPr>
          <w:rFonts w:asciiTheme="majorHAnsi" w:hAnsiTheme="majorHAnsi"/>
          <w:color w:val="000000"/>
          <w:sz w:val="20"/>
          <w:szCs w:val="20"/>
          <w:lang w:val="es-ES"/>
        </w:rPr>
        <w:t>sobrese</w:t>
      </w:r>
      <w:r w:rsidR="00C259DC" w:rsidRPr="00FD4F59">
        <w:rPr>
          <w:rFonts w:asciiTheme="majorHAnsi" w:hAnsiTheme="majorHAnsi"/>
          <w:color w:val="000000"/>
          <w:sz w:val="20"/>
          <w:szCs w:val="20"/>
          <w:lang w:val="es-ES"/>
        </w:rPr>
        <w:t>er</w:t>
      </w:r>
      <w:r w:rsidR="006B74C8" w:rsidRPr="00FD4F59">
        <w:rPr>
          <w:rFonts w:asciiTheme="majorHAnsi" w:hAnsiTheme="majorHAnsi"/>
          <w:color w:val="000000"/>
          <w:sz w:val="20"/>
          <w:szCs w:val="20"/>
          <w:lang w:val="es-ES"/>
        </w:rPr>
        <w:t xml:space="preserve"> a los </w:t>
      </w:r>
      <w:r w:rsidR="00E21857" w:rsidRPr="00FD4F59">
        <w:rPr>
          <w:rFonts w:asciiTheme="majorHAnsi" w:hAnsiTheme="majorHAnsi"/>
          <w:color w:val="000000"/>
          <w:sz w:val="20"/>
          <w:szCs w:val="20"/>
          <w:lang w:val="es-ES"/>
        </w:rPr>
        <w:t xml:space="preserve">31 médicos </w:t>
      </w:r>
      <w:r w:rsidR="00C259DC" w:rsidRPr="00FD4F59">
        <w:rPr>
          <w:rFonts w:asciiTheme="majorHAnsi" w:hAnsiTheme="majorHAnsi"/>
          <w:color w:val="000000"/>
          <w:sz w:val="20"/>
          <w:szCs w:val="20"/>
          <w:lang w:val="es-ES"/>
        </w:rPr>
        <w:t>implicados en la causa</w:t>
      </w:r>
      <w:r w:rsidR="00E21857" w:rsidRPr="00FD4F59">
        <w:rPr>
          <w:rFonts w:asciiTheme="majorHAnsi" w:hAnsiTheme="majorHAnsi"/>
          <w:color w:val="000000"/>
          <w:sz w:val="20"/>
          <w:szCs w:val="20"/>
          <w:lang w:val="es-ES"/>
        </w:rPr>
        <w:t>.</w:t>
      </w:r>
      <w:r w:rsidR="004E14C6"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F403B0" w:rsidRDefault="00A8682D"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Al momento de apelar esta decisión, los peticionarios habrían señalado que se les habría privado de la consideración de pruebas</w:t>
      </w:r>
      <w:r w:rsidR="00607DEC" w:rsidRPr="00FD4F59">
        <w:rPr>
          <w:rFonts w:asciiTheme="majorHAnsi" w:hAnsiTheme="majorHAnsi"/>
          <w:color w:val="000000"/>
          <w:sz w:val="20"/>
          <w:szCs w:val="20"/>
          <w:lang w:val="es-ES"/>
        </w:rPr>
        <w:t xml:space="preserve"> y que se habrían tergiversado los hechos</w:t>
      </w:r>
      <w:r w:rsidRPr="00FD4F59">
        <w:rPr>
          <w:rFonts w:asciiTheme="majorHAnsi" w:hAnsiTheme="majorHAnsi"/>
          <w:color w:val="000000"/>
          <w:sz w:val="20"/>
          <w:szCs w:val="20"/>
          <w:lang w:val="es-ES"/>
        </w:rPr>
        <w:t xml:space="preserve"> </w:t>
      </w:r>
      <w:r w:rsidR="00607DEC" w:rsidRPr="00FD4F59">
        <w:rPr>
          <w:rFonts w:asciiTheme="majorHAnsi" w:hAnsiTheme="majorHAnsi"/>
          <w:color w:val="000000"/>
          <w:sz w:val="20"/>
          <w:szCs w:val="20"/>
          <w:lang w:val="es-ES"/>
        </w:rPr>
        <w:t xml:space="preserve">objeto de la causa. Asimismo, </w:t>
      </w:r>
      <w:r w:rsidRPr="00FD4F59">
        <w:rPr>
          <w:rFonts w:asciiTheme="majorHAnsi" w:hAnsiTheme="majorHAnsi"/>
          <w:color w:val="000000"/>
          <w:sz w:val="20"/>
          <w:szCs w:val="20"/>
          <w:lang w:val="es-ES"/>
        </w:rPr>
        <w:t>habrían hecho referencia a defectos graves en la argumentación y el razonamiento del fallo adoptado, lo cual, según alegan, les habría privado de un fallo debidamente razonado. L</w:t>
      </w:r>
      <w:r w:rsidR="00E21857" w:rsidRPr="00FD4F59">
        <w:rPr>
          <w:rFonts w:asciiTheme="majorHAnsi" w:hAnsiTheme="majorHAnsi"/>
          <w:color w:val="000000"/>
          <w:sz w:val="20"/>
          <w:szCs w:val="20"/>
          <w:lang w:val="es-ES"/>
        </w:rPr>
        <w:t xml:space="preserve">a Sala </w:t>
      </w:r>
      <w:r w:rsidRPr="00FD4F59">
        <w:rPr>
          <w:rFonts w:asciiTheme="majorHAnsi" w:hAnsiTheme="majorHAnsi"/>
          <w:color w:val="000000"/>
          <w:sz w:val="20"/>
          <w:szCs w:val="20"/>
          <w:lang w:val="es-ES"/>
        </w:rPr>
        <w:t xml:space="preserve">Primera </w:t>
      </w:r>
      <w:r w:rsidR="00E21857" w:rsidRPr="00FD4F59">
        <w:rPr>
          <w:rFonts w:asciiTheme="majorHAnsi" w:hAnsiTheme="majorHAnsi"/>
          <w:color w:val="000000"/>
          <w:sz w:val="20"/>
          <w:szCs w:val="20"/>
          <w:lang w:val="es-ES"/>
        </w:rPr>
        <w:t xml:space="preserve">de la Cámara del Crimen </w:t>
      </w:r>
      <w:r w:rsidRPr="00FD4F59">
        <w:rPr>
          <w:rFonts w:asciiTheme="majorHAnsi" w:hAnsiTheme="majorHAnsi"/>
          <w:color w:val="000000"/>
          <w:sz w:val="20"/>
          <w:szCs w:val="20"/>
          <w:lang w:val="es-ES"/>
        </w:rPr>
        <w:t xml:space="preserve">habría confirmado la decisión del juez de primera instancia el </w:t>
      </w:r>
      <w:r w:rsidR="00E21857" w:rsidRPr="00FD4F59">
        <w:rPr>
          <w:rFonts w:asciiTheme="majorHAnsi" w:hAnsiTheme="majorHAnsi"/>
          <w:color w:val="000000"/>
          <w:sz w:val="20"/>
          <w:szCs w:val="20"/>
          <w:lang w:val="es-ES"/>
        </w:rPr>
        <w:t>6 de agosto de 1999</w:t>
      </w:r>
      <w:r w:rsidR="00607DEC"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9B376F" w:rsidRDefault="00F403B0"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Contra dicho decisorio</w:t>
      </w:r>
      <w:r w:rsidR="00E21857"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los peticionarios </w:t>
      </w:r>
      <w:r w:rsidR="00E21857" w:rsidRPr="00FD4F59">
        <w:rPr>
          <w:rFonts w:asciiTheme="majorHAnsi" w:hAnsiTheme="majorHAnsi"/>
          <w:color w:val="000000"/>
          <w:sz w:val="20"/>
          <w:szCs w:val="20"/>
          <w:lang w:val="es-ES"/>
        </w:rPr>
        <w:t>interpusieron recurso de casación, el cual fue denegado el 20 de octubre de 1999</w:t>
      </w:r>
      <w:r w:rsidRPr="00FD4F59">
        <w:rPr>
          <w:rFonts w:asciiTheme="majorHAnsi" w:hAnsiTheme="majorHAnsi"/>
          <w:color w:val="000000"/>
          <w:sz w:val="20"/>
          <w:szCs w:val="20"/>
          <w:lang w:val="es-ES"/>
        </w:rPr>
        <w:t xml:space="preserve">. </w:t>
      </w:r>
      <w:r w:rsidR="001B7ACF" w:rsidRPr="00FD4F59">
        <w:rPr>
          <w:rFonts w:asciiTheme="majorHAnsi" w:hAnsiTheme="majorHAnsi"/>
          <w:color w:val="000000"/>
          <w:sz w:val="20"/>
          <w:szCs w:val="20"/>
          <w:lang w:val="es-ES"/>
        </w:rPr>
        <w:t>Seguidamente, i</w:t>
      </w:r>
      <w:r w:rsidRPr="00FD4F59">
        <w:rPr>
          <w:rFonts w:asciiTheme="majorHAnsi" w:hAnsiTheme="majorHAnsi"/>
          <w:color w:val="000000"/>
          <w:sz w:val="20"/>
          <w:szCs w:val="20"/>
          <w:lang w:val="es-ES"/>
        </w:rPr>
        <w:t>nterpus</w:t>
      </w:r>
      <w:r w:rsidR="001B7ACF" w:rsidRPr="00FD4F59">
        <w:rPr>
          <w:rFonts w:asciiTheme="majorHAnsi" w:hAnsiTheme="majorHAnsi"/>
          <w:color w:val="000000"/>
          <w:sz w:val="20"/>
          <w:szCs w:val="20"/>
          <w:lang w:val="es-ES"/>
        </w:rPr>
        <w:t>ieron</w:t>
      </w:r>
      <w:r w:rsidRPr="00FD4F59">
        <w:rPr>
          <w:rFonts w:asciiTheme="majorHAnsi" w:hAnsiTheme="majorHAnsi"/>
          <w:color w:val="000000"/>
          <w:sz w:val="20"/>
          <w:szCs w:val="20"/>
          <w:lang w:val="es-ES"/>
        </w:rPr>
        <w:t xml:space="preserve"> </w:t>
      </w:r>
      <w:r w:rsidR="00E21857" w:rsidRPr="00FD4F59">
        <w:rPr>
          <w:rFonts w:asciiTheme="majorHAnsi" w:hAnsiTheme="majorHAnsi"/>
          <w:color w:val="000000"/>
          <w:sz w:val="20"/>
          <w:szCs w:val="20"/>
          <w:lang w:val="es-ES"/>
        </w:rPr>
        <w:t xml:space="preserve">recurso de queja por casación denegada, </w:t>
      </w:r>
      <w:r w:rsidRPr="00FD4F59">
        <w:rPr>
          <w:rFonts w:asciiTheme="majorHAnsi" w:hAnsiTheme="majorHAnsi"/>
          <w:color w:val="000000"/>
          <w:sz w:val="20"/>
          <w:szCs w:val="20"/>
          <w:lang w:val="es-ES"/>
        </w:rPr>
        <w:t xml:space="preserve">el </w:t>
      </w:r>
      <w:r w:rsidR="001B7ACF" w:rsidRPr="00FD4F59">
        <w:rPr>
          <w:rFonts w:asciiTheme="majorHAnsi" w:hAnsiTheme="majorHAnsi"/>
          <w:color w:val="000000"/>
          <w:sz w:val="20"/>
          <w:szCs w:val="20"/>
          <w:lang w:val="es-ES"/>
        </w:rPr>
        <w:t xml:space="preserve">cual fue </w:t>
      </w:r>
      <w:r w:rsidR="00E21857" w:rsidRPr="00FD4F59">
        <w:rPr>
          <w:rFonts w:asciiTheme="majorHAnsi" w:hAnsiTheme="majorHAnsi"/>
          <w:color w:val="000000"/>
          <w:sz w:val="20"/>
          <w:szCs w:val="20"/>
          <w:lang w:val="es-ES"/>
        </w:rPr>
        <w:t>desestimado el 30 de marzo de 2000.</w:t>
      </w:r>
      <w:r w:rsidR="004E14C6" w:rsidRPr="00FD4F59">
        <w:rPr>
          <w:rFonts w:asciiTheme="majorHAnsi" w:hAnsiTheme="majorHAnsi"/>
          <w:color w:val="000000"/>
          <w:sz w:val="20"/>
          <w:szCs w:val="20"/>
          <w:lang w:val="es-ES"/>
        </w:rPr>
        <w:t xml:space="preserve"> </w:t>
      </w:r>
      <w:r w:rsidR="009B376F" w:rsidRPr="00FD4F59">
        <w:rPr>
          <w:rFonts w:asciiTheme="majorHAnsi" w:hAnsiTheme="majorHAnsi"/>
          <w:color w:val="000000"/>
          <w:sz w:val="20"/>
          <w:szCs w:val="20"/>
          <w:lang w:val="es-ES"/>
        </w:rPr>
        <w:t>Al respecto, los peticionarios alegaron que no habrían podido acceder a una revisión integral del fallo en los términos del artículo 8.2.h de la Convención.</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Indican que</w:t>
      </w:r>
      <w:r w:rsidR="00C3684C"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w:t>
      </w:r>
      <w:r w:rsidR="001B7ACF" w:rsidRPr="00FD4F59">
        <w:rPr>
          <w:rFonts w:asciiTheme="majorHAnsi" w:hAnsiTheme="majorHAnsi"/>
          <w:color w:val="000000"/>
          <w:sz w:val="20"/>
          <w:szCs w:val="20"/>
          <w:lang w:val="es-ES"/>
        </w:rPr>
        <w:t>subsiguientemente</w:t>
      </w:r>
      <w:r w:rsidR="00C3684C" w:rsidRPr="00FD4F59">
        <w:rPr>
          <w:rFonts w:asciiTheme="majorHAnsi" w:hAnsiTheme="majorHAnsi"/>
          <w:color w:val="000000"/>
          <w:sz w:val="20"/>
          <w:szCs w:val="20"/>
          <w:lang w:val="es-ES"/>
        </w:rPr>
        <w:t>,</w:t>
      </w:r>
      <w:r w:rsidR="001B7ACF"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presentaron </w:t>
      </w:r>
      <w:r w:rsidR="001B7ACF" w:rsidRPr="00FD4F59">
        <w:rPr>
          <w:rFonts w:asciiTheme="majorHAnsi" w:hAnsiTheme="majorHAnsi"/>
          <w:color w:val="000000"/>
          <w:sz w:val="20"/>
          <w:szCs w:val="20"/>
          <w:lang w:val="es-ES"/>
        </w:rPr>
        <w:t xml:space="preserve">un </w:t>
      </w:r>
      <w:r w:rsidRPr="00FD4F59">
        <w:rPr>
          <w:rFonts w:asciiTheme="majorHAnsi" w:hAnsiTheme="majorHAnsi"/>
          <w:color w:val="000000"/>
          <w:sz w:val="20"/>
          <w:szCs w:val="20"/>
          <w:lang w:val="es-ES"/>
        </w:rPr>
        <w:t xml:space="preserve">recurso extraordinario </w:t>
      </w:r>
      <w:r w:rsidR="001B7ACF" w:rsidRPr="00FD4F59">
        <w:rPr>
          <w:rFonts w:asciiTheme="majorHAnsi" w:hAnsiTheme="majorHAnsi"/>
          <w:color w:val="000000"/>
          <w:sz w:val="20"/>
          <w:szCs w:val="20"/>
          <w:lang w:val="es-ES"/>
        </w:rPr>
        <w:t xml:space="preserve">federal </w:t>
      </w:r>
      <w:r w:rsidRPr="00FD4F59">
        <w:rPr>
          <w:rFonts w:asciiTheme="majorHAnsi" w:hAnsiTheme="majorHAnsi"/>
          <w:color w:val="000000"/>
          <w:sz w:val="20"/>
          <w:szCs w:val="20"/>
          <w:lang w:val="es-ES"/>
        </w:rPr>
        <w:t>por arbitra</w:t>
      </w:r>
      <w:r w:rsidR="001B7ACF" w:rsidRPr="00FD4F59">
        <w:rPr>
          <w:rFonts w:asciiTheme="majorHAnsi" w:hAnsiTheme="majorHAnsi"/>
          <w:color w:val="000000"/>
          <w:sz w:val="20"/>
          <w:szCs w:val="20"/>
          <w:lang w:val="es-ES"/>
        </w:rPr>
        <w:t>riedad y gravedad institucional</w:t>
      </w:r>
      <w:r w:rsidRPr="00FD4F59">
        <w:rPr>
          <w:rFonts w:asciiTheme="majorHAnsi" w:hAnsiTheme="majorHAnsi"/>
          <w:color w:val="000000"/>
          <w:sz w:val="20"/>
          <w:szCs w:val="20"/>
          <w:lang w:val="es-ES"/>
        </w:rPr>
        <w:t xml:space="preserve"> ante la </w:t>
      </w:r>
      <w:r w:rsidR="001B7ACF" w:rsidRPr="00FD4F59">
        <w:rPr>
          <w:rFonts w:asciiTheme="majorHAnsi" w:hAnsiTheme="majorHAnsi"/>
          <w:color w:val="000000"/>
          <w:sz w:val="20"/>
          <w:szCs w:val="20"/>
          <w:lang w:val="es-ES"/>
        </w:rPr>
        <w:t>Corte Suprema de Justicia de la Nación</w:t>
      </w:r>
      <w:r w:rsidR="000955C3" w:rsidRPr="00FD4F59">
        <w:rPr>
          <w:rFonts w:asciiTheme="majorHAnsi" w:hAnsiTheme="majorHAnsi"/>
          <w:color w:val="000000"/>
          <w:sz w:val="20"/>
          <w:szCs w:val="20"/>
          <w:lang w:val="es-ES"/>
        </w:rPr>
        <w:t>,</w:t>
      </w:r>
      <w:r w:rsidR="001B7ACF"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el 8 de mayo 2000</w:t>
      </w:r>
      <w:r w:rsidR="000955C3" w:rsidRPr="00FD4F59">
        <w:rPr>
          <w:rFonts w:asciiTheme="majorHAnsi" w:hAnsiTheme="majorHAnsi"/>
          <w:color w:val="000000"/>
          <w:sz w:val="20"/>
          <w:szCs w:val="20"/>
          <w:lang w:val="es-ES"/>
        </w:rPr>
        <w:t>. En dicho escrito</w:t>
      </w:r>
      <w:r w:rsidRPr="00FD4F59">
        <w:rPr>
          <w:rFonts w:asciiTheme="majorHAnsi" w:hAnsiTheme="majorHAnsi"/>
          <w:color w:val="000000"/>
          <w:sz w:val="20"/>
          <w:szCs w:val="20"/>
          <w:lang w:val="es-ES"/>
        </w:rPr>
        <w:t xml:space="preserve"> </w:t>
      </w:r>
      <w:r w:rsidR="001B7ACF" w:rsidRPr="00FD4F59">
        <w:rPr>
          <w:rFonts w:asciiTheme="majorHAnsi" w:hAnsiTheme="majorHAnsi"/>
          <w:color w:val="000000"/>
          <w:sz w:val="20"/>
          <w:szCs w:val="20"/>
          <w:lang w:val="es-ES"/>
        </w:rPr>
        <w:t>habrían alegado</w:t>
      </w:r>
      <w:r w:rsidRPr="00FD4F59">
        <w:rPr>
          <w:rFonts w:asciiTheme="majorHAnsi" w:hAnsiTheme="majorHAnsi"/>
          <w:color w:val="000000"/>
          <w:sz w:val="20"/>
          <w:szCs w:val="20"/>
          <w:lang w:val="es-ES"/>
        </w:rPr>
        <w:t xml:space="preserve"> que se </w:t>
      </w:r>
      <w:r w:rsidR="001B7ACF" w:rsidRPr="00FD4F59">
        <w:rPr>
          <w:rFonts w:asciiTheme="majorHAnsi" w:hAnsiTheme="majorHAnsi"/>
          <w:color w:val="000000"/>
          <w:sz w:val="20"/>
          <w:szCs w:val="20"/>
          <w:lang w:val="es-ES"/>
        </w:rPr>
        <w:t xml:space="preserve">había </w:t>
      </w:r>
      <w:r w:rsidRPr="00FD4F59">
        <w:rPr>
          <w:rFonts w:asciiTheme="majorHAnsi" w:hAnsiTheme="majorHAnsi"/>
          <w:color w:val="000000"/>
          <w:sz w:val="20"/>
          <w:szCs w:val="20"/>
          <w:lang w:val="es-ES"/>
        </w:rPr>
        <w:t>sustitu</w:t>
      </w:r>
      <w:r w:rsidR="001B7ACF" w:rsidRPr="00FD4F59">
        <w:rPr>
          <w:rFonts w:asciiTheme="majorHAnsi" w:hAnsiTheme="majorHAnsi"/>
          <w:color w:val="000000"/>
          <w:sz w:val="20"/>
          <w:szCs w:val="20"/>
          <w:lang w:val="es-ES"/>
        </w:rPr>
        <w:t>ido</w:t>
      </w:r>
      <w:r w:rsidRPr="00FD4F59">
        <w:rPr>
          <w:rFonts w:asciiTheme="majorHAnsi" w:hAnsiTheme="majorHAnsi"/>
          <w:color w:val="000000"/>
          <w:sz w:val="20"/>
          <w:szCs w:val="20"/>
          <w:lang w:val="es-ES"/>
        </w:rPr>
        <w:t xml:space="preserve"> la plataforma procesal, se </w:t>
      </w:r>
      <w:r w:rsidR="00901672" w:rsidRPr="00FD4F59">
        <w:rPr>
          <w:rFonts w:asciiTheme="majorHAnsi" w:hAnsiTheme="majorHAnsi"/>
          <w:color w:val="000000"/>
          <w:sz w:val="20"/>
          <w:szCs w:val="20"/>
          <w:lang w:val="es-ES"/>
        </w:rPr>
        <w:t>hab</w:t>
      </w:r>
      <w:r w:rsidR="001B7ACF" w:rsidRPr="00FD4F59">
        <w:rPr>
          <w:rFonts w:asciiTheme="majorHAnsi" w:hAnsiTheme="majorHAnsi"/>
          <w:color w:val="000000"/>
          <w:sz w:val="20"/>
          <w:szCs w:val="20"/>
          <w:lang w:val="es-ES"/>
        </w:rPr>
        <w:t xml:space="preserve">ía </w:t>
      </w:r>
      <w:r w:rsidRPr="00FD4F59">
        <w:rPr>
          <w:rFonts w:asciiTheme="majorHAnsi" w:hAnsiTheme="majorHAnsi"/>
          <w:color w:val="000000"/>
          <w:sz w:val="20"/>
          <w:szCs w:val="20"/>
          <w:lang w:val="es-ES"/>
        </w:rPr>
        <w:t>prescindi</w:t>
      </w:r>
      <w:r w:rsidR="001B7ACF" w:rsidRPr="00FD4F59">
        <w:rPr>
          <w:rFonts w:asciiTheme="majorHAnsi" w:hAnsiTheme="majorHAnsi"/>
          <w:color w:val="000000"/>
          <w:sz w:val="20"/>
          <w:szCs w:val="20"/>
          <w:lang w:val="es-ES"/>
        </w:rPr>
        <w:t>do</w:t>
      </w:r>
      <w:r w:rsidRPr="00FD4F59">
        <w:rPr>
          <w:rFonts w:asciiTheme="majorHAnsi" w:hAnsiTheme="majorHAnsi"/>
          <w:color w:val="000000"/>
          <w:sz w:val="20"/>
          <w:szCs w:val="20"/>
          <w:lang w:val="es-ES"/>
        </w:rPr>
        <w:t xml:space="preserve"> de pruebas decisivas y hasta se </w:t>
      </w:r>
      <w:r w:rsidR="001B7ACF" w:rsidRPr="00FD4F59">
        <w:rPr>
          <w:rFonts w:asciiTheme="majorHAnsi" w:hAnsiTheme="majorHAnsi"/>
          <w:color w:val="000000"/>
          <w:sz w:val="20"/>
          <w:szCs w:val="20"/>
          <w:lang w:val="es-ES"/>
        </w:rPr>
        <w:t xml:space="preserve">habrían </w:t>
      </w:r>
      <w:r w:rsidRPr="00FD4F59">
        <w:rPr>
          <w:rFonts w:asciiTheme="majorHAnsi" w:hAnsiTheme="majorHAnsi"/>
          <w:color w:val="000000"/>
          <w:sz w:val="20"/>
          <w:szCs w:val="20"/>
          <w:lang w:val="es-ES"/>
        </w:rPr>
        <w:t>altera</w:t>
      </w:r>
      <w:r w:rsidR="001B7ACF" w:rsidRPr="00FD4F59">
        <w:rPr>
          <w:rFonts w:asciiTheme="majorHAnsi" w:hAnsiTheme="majorHAnsi"/>
          <w:color w:val="000000"/>
          <w:sz w:val="20"/>
          <w:szCs w:val="20"/>
          <w:lang w:val="es-ES"/>
        </w:rPr>
        <w:t>do</w:t>
      </w:r>
      <w:r w:rsidRPr="00FD4F59">
        <w:rPr>
          <w:rFonts w:asciiTheme="majorHAnsi" w:hAnsiTheme="majorHAnsi"/>
          <w:color w:val="000000"/>
          <w:sz w:val="20"/>
          <w:szCs w:val="20"/>
          <w:lang w:val="es-ES"/>
        </w:rPr>
        <w:t xml:space="preserve"> las mismas.</w:t>
      </w:r>
      <w:r w:rsidR="004E14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Sostienen que este recurso </w:t>
      </w:r>
      <w:r w:rsidR="00A65393" w:rsidRPr="00FD4F59">
        <w:rPr>
          <w:rFonts w:asciiTheme="majorHAnsi" w:hAnsiTheme="majorHAnsi"/>
          <w:color w:val="000000"/>
          <w:sz w:val="20"/>
          <w:szCs w:val="20"/>
          <w:lang w:val="es-ES"/>
        </w:rPr>
        <w:t xml:space="preserve">también </w:t>
      </w:r>
      <w:r w:rsidR="00C3684C" w:rsidRPr="00FD4F59">
        <w:rPr>
          <w:rFonts w:asciiTheme="majorHAnsi" w:hAnsiTheme="majorHAnsi"/>
          <w:color w:val="000000"/>
          <w:sz w:val="20"/>
          <w:szCs w:val="20"/>
          <w:lang w:val="es-ES"/>
        </w:rPr>
        <w:t>habría sido rechazado</w:t>
      </w:r>
      <w:r w:rsidR="00A65393" w:rsidRPr="00FD4F59">
        <w:rPr>
          <w:rFonts w:asciiTheme="majorHAnsi" w:hAnsiTheme="majorHAnsi"/>
          <w:color w:val="000000"/>
          <w:sz w:val="20"/>
          <w:szCs w:val="20"/>
          <w:lang w:val="es-ES"/>
        </w:rPr>
        <w:t xml:space="preserve">, lo cual les fue </w:t>
      </w:r>
      <w:r w:rsidRPr="00FD4F59">
        <w:rPr>
          <w:rFonts w:asciiTheme="majorHAnsi" w:hAnsiTheme="majorHAnsi"/>
          <w:color w:val="000000"/>
          <w:sz w:val="20"/>
          <w:szCs w:val="20"/>
          <w:lang w:val="es-ES"/>
        </w:rPr>
        <w:t>notificado el 19 de octubre de 2000</w:t>
      </w:r>
      <w:r w:rsidR="00A65393" w:rsidRPr="00FD4F59">
        <w:rPr>
          <w:rFonts w:asciiTheme="majorHAnsi" w:hAnsiTheme="majorHAnsi"/>
          <w:color w:val="000000"/>
          <w:sz w:val="20"/>
          <w:szCs w:val="20"/>
          <w:lang w:val="es-ES"/>
        </w:rPr>
        <w:t>.</w:t>
      </w:r>
      <w:r w:rsidR="004E14C6"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F66DEE" w:rsidP="00FD4F59">
      <w:pPr>
        <w:pStyle w:val="Heading2"/>
        <w:numPr>
          <w:ilvl w:val="0"/>
          <w:numId w:val="0"/>
        </w:numPr>
        <w:tabs>
          <w:tab w:val="left" w:pos="0"/>
        </w:tabs>
        <w:ind w:firstLine="720"/>
        <w:rPr>
          <w:rFonts w:asciiTheme="majorHAnsi" w:hAnsiTheme="majorHAnsi"/>
          <w:b/>
        </w:rPr>
      </w:pPr>
      <w:r w:rsidRPr="00FD4F59">
        <w:rPr>
          <w:rFonts w:asciiTheme="majorHAnsi" w:hAnsiTheme="majorHAnsi"/>
          <w:b/>
        </w:rPr>
        <w:t>B.</w:t>
      </w:r>
      <w:r w:rsidRPr="00FD4F59">
        <w:rPr>
          <w:rFonts w:asciiTheme="majorHAnsi" w:hAnsiTheme="majorHAnsi"/>
          <w:b/>
        </w:rPr>
        <w:tab/>
        <w:t>Posición del Estado</w:t>
      </w:r>
    </w:p>
    <w:p w:rsidR="007D4D73" w:rsidRPr="007D4D73" w:rsidRDefault="007D4D73" w:rsidP="007D4D73">
      <w:pPr>
        <w:rPr>
          <w:lang w:val="es-ES_tradnl" w:eastAsia="es-ES"/>
        </w:rPr>
      </w:pPr>
    </w:p>
    <w:p w:rsidR="00E21857"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El Estado sostiene que la petición es inadmisible dado que en ninguna de las causas fueron agotados </w:t>
      </w:r>
      <w:r w:rsidR="00C3684C" w:rsidRPr="00FD4F59">
        <w:rPr>
          <w:rFonts w:asciiTheme="majorHAnsi" w:hAnsiTheme="majorHAnsi"/>
          <w:color w:val="000000"/>
          <w:sz w:val="20"/>
          <w:szCs w:val="20"/>
          <w:lang w:val="es-ES"/>
        </w:rPr>
        <w:t xml:space="preserve">en buena y debida forma </w:t>
      </w:r>
      <w:r w:rsidRPr="00FD4F59">
        <w:rPr>
          <w:rFonts w:asciiTheme="majorHAnsi" w:hAnsiTheme="majorHAnsi"/>
          <w:color w:val="000000"/>
          <w:sz w:val="20"/>
          <w:szCs w:val="20"/>
          <w:lang w:val="es-ES"/>
        </w:rPr>
        <w:t>los recursos disponibles en el ámbito interno.</w:t>
      </w:r>
      <w:r w:rsidR="004E14C6" w:rsidRPr="00FD4F59">
        <w:rPr>
          <w:rFonts w:asciiTheme="majorHAnsi" w:hAnsiTheme="majorHAnsi"/>
          <w:color w:val="000000"/>
          <w:sz w:val="20"/>
          <w:szCs w:val="20"/>
          <w:lang w:val="es-ES"/>
        </w:rPr>
        <w:t xml:space="preserve"> </w:t>
      </w:r>
      <w:r w:rsidR="00BA2020" w:rsidRPr="00FD4F59">
        <w:rPr>
          <w:rFonts w:asciiTheme="majorHAnsi" w:hAnsiTheme="majorHAnsi"/>
          <w:color w:val="000000"/>
          <w:sz w:val="20"/>
          <w:szCs w:val="20"/>
          <w:lang w:val="es-ES"/>
        </w:rPr>
        <w:t>Asimismo, a</w:t>
      </w:r>
      <w:r w:rsidRPr="00FD4F59">
        <w:rPr>
          <w:rFonts w:asciiTheme="majorHAnsi" w:hAnsiTheme="majorHAnsi"/>
          <w:color w:val="000000"/>
          <w:sz w:val="20"/>
          <w:szCs w:val="20"/>
          <w:lang w:val="es-ES"/>
        </w:rPr>
        <w:t>lega que la petición no expone hechos que caractericen una violación de derecho</w:t>
      </w:r>
      <w:r w:rsidR="00901672" w:rsidRPr="00FD4F59">
        <w:rPr>
          <w:rFonts w:asciiTheme="majorHAnsi" w:hAnsiTheme="majorHAnsi"/>
          <w:color w:val="000000"/>
          <w:sz w:val="20"/>
          <w:szCs w:val="20"/>
          <w:lang w:val="es-ES"/>
        </w:rPr>
        <w:t>s</w:t>
      </w:r>
      <w:r w:rsidRPr="00FD4F59">
        <w:rPr>
          <w:rFonts w:asciiTheme="majorHAnsi" w:hAnsiTheme="majorHAnsi"/>
          <w:color w:val="000000"/>
          <w:sz w:val="20"/>
          <w:szCs w:val="20"/>
          <w:lang w:val="es-ES"/>
        </w:rPr>
        <w:t xml:space="preserve"> garantizado</w:t>
      </w:r>
      <w:r w:rsidR="00901672" w:rsidRPr="00FD4F59">
        <w:rPr>
          <w:rFonts w:asciiTheme="majorHAnsi" w:hAnsiTheme="majorHAnsi"/>
          <w:color w:val="000000"/>
          <w:sz w:val="20"/>
          <w:szCs w:val="20"/>
          <w:lang w:val="es-ES"/>
        </w:rPr>
        <w:t>s</w:t>
      </w:r>
      <w:r w:rsidRPr="00FD4F59">
        <w:rPr>
          <w:rFonts w:asciiTheme="majorHAnsi" w:hAnsiTheme="majorHAnsi"/>
          <w:color w:val="000000"/>
          <w:sz w:val="20"/>
          <w:szCs w:val="20"/>
          <w:lang w:val="es-ES"/>
        </w:rPr>
        <w:t xml:space="preserve"> por la Convención Americana y que se pretende hacer uso de la CIDH como una </w:t>
      </w:r>
      <w:r w:rsidR="00287638"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cuarta instancia</w:t>
      </w:r>
      <w:r w:rsidR="00287638"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w:t>
      </w:r>
      <w:r w:rsidR="00901672" w:rsidRPr="00FD4F59">
        <w:rPr>
          <w:rFonts w:asciiTheme="majorHAnsi" w:hAnsiTheme="majorHAnsi"/>
          <w:color w:val="000000"/>
          <w:sz w:val="20"/>
          <w:szCs w:val="20"/>
          <w:lang w:val="es-ES"/>
        </w:rPr>
        <w:t>para que</w:t>
      </w:r>
      <w:r w:rsidRPr="00FD4F59">
        <w:rPr>
          <w:rFonts w:asciiTheme="majorHAnsi" w:hAnsiTheme="majorHAnsi"/>
          <w:color w:val="000000"/>
          <w:sz w:val="20"/>
          <w:szCs w:val="20"/>
          <w:lang w:val="es-ES"/>
        </w:rPr>
        <w:t xml:space="preserve"> revise las valoraciones de hecho y de derecho efectuadas por los jueces y tribunales internos.</w:t>
      </w:r>
    </w:p>
    <w:p w:rsidR="003F6C0B" w:rsidRPr="00FD4F59" w:rsidRDefault="003F6C0B" w:rsidP="003F6C0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287638"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lastRenderedPageBreak/>
        <w:t>El Estado a</w:t>
      </w:r>
      <w:r w:rsidR="00E21857" w:rsidRPr="00FD4F59">
        <w:rPr>
          <w:rFonts w:asciiTheme="majorHAnsi" w:hAnsiTheme="majorHAnsi"/>
          <w:color w:val="000000"/>
          <w:sz w:val="20"/>
          <w:szCs w:val="20"/>
          <w:lang w:val="es-ES"/>
        </w:rPr>
        <w:t>lega que</w:t>
      </w:r>
      <w:r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en </w:t>
      </w:r>
      <w:r w:rsidRPr="00FD4F59">
        <w:rPr>
          <w:rFonts w:asciiTheme="majorHAnsi" w:hAnsiTheme="majorHAnsi"/>
          <w:color w:val="000000"/>
          <w:sz w:val="20"/>
          <w:szCs w:val="20"/>
          <w:lang w:val="es-ES"/>
        </w:rPr>
        <w:t xml:space="preserve">el marco de </w:t>
      </w:r>
      <w:r w:rsidR="00E21857" w:rsidRPr="00FD4F59">
        <w:rPr>
          <w:rFonts w:asciiTheme="majorHAnsi" w:hAnsiTheme="majorHAnsi"/>
          <w:color w:val="000000"/>
          <w:sz w:val="20"/>
          <w:szCs w:val="20"/>
          <w:lang w:val="es-ES"/>
        </w:rPr>
        <w:t xml:space="preserve">la causa </w:t>
      </w:r>
      <w:r w:rsidR="0063164C" w:rsidRPr="00FD4F59">
        <w:rPr>
          <w:rFonts w:asciiTheme="majorHAnsi" w:hAnsiTheme="majorHAnsi"/>
          <w:color w:val="000000"/>
          <w:sz w:val="20"/>
          <w:szCs w:val="20"/>
          <w:lang w:val="es-ES"/>
        </w:rPr>
        <w:t>por homicidio culposo</w:t>
      </w:r>
      <w:r w:rsidR="00222D22" w:rsidRPr="00FD4F59">
        <w:rPr>
          <w:rStyle w:val="FootnoteReference"/>
          <w:rFonts w:asciiTheme="majorHAnsi" w:hAnsiTheme="majorHAnsi"/>
          <w:color w:val="000000"/>
          <w:sz w:val="20"/>
          <w:szCs w:val="20"/>
          <w:lang w:val="es-ES"/>
        </w:rPr>
        <w:footnoteReference w:id="6"/>
      </w:r>
      <w:r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se investigó la presunta responsabilidad penal de</w:t>
      </w:r>
      <w:r w:rsidRPr="00FD4F59">
        <w:rPr>
          <w:rFonts w:asciiTheme="majorHAnsi" w:hAnsiTheme="majorHAnsi"/>
          <w:color w:val="000000"/>
          <w:sz w:val="20"/>
          <w:szCs w:val="20"/>
          <w:lang w:val="es-ES"/>
        </w:rPr>
        <w:t>l personal médico</w:t>
      </w:r>
      <w:r w:rsidR="00E21857" w:rsidRPr="00FD4F59">
        <w:rPr>
          <w:rFonts w:asciiTheme="majorHAnsi" w:hAnsiTheme="majorHAnsi"/>
          <w:color w:val="000000"/>
          <w:sz w:val="20"/>
          <w:szCs w:val="20"/>
          <w:lang w:val="es-ES"/>
        </w:rPr>
        <w:t xml:space="preserve"> que atendi</w:t>
      </w:r>
      <w:r w:rsidRPr="00FD4F59">
        <w:rPr>
          <w:rFonts w:asciiTheme="majorHAnsi" w:hAnsiTheme="majorHAnsi"/>
          <w:color w:val="000000"/>
          <w:sz w:val="20"/>
          <w:szCs w:val="20"/>
          <w:lang w:val="es-ES"/>
        </w:rPr>
        <w:t>ó</w:t>
      </w:r>
      <w:r w:rsidR="00C3684C" w:rsidRPr="00FD4F59">
        <w:rPr>
          <w:rFonts w:asciiTheme="majorHAnsi" w:hAnsiTheme="majorHAnsi"/>
          <w:color w:val="000000"/>
          <w:sz w:val="20"/>
          <w:szCs w:val="20"/>
          <w:lang w:val="es-ES"/>
        </w:rPr>
        <w:t xml:space="preserve"> a la presunta víctima</w:t>
      </w:r>
      <w:r w:rsidR="00E21857" w:rsidRPr="00FD4F59">
        <w:rPr>
          <w:rFonts w:asciiTheme="majorHAnsi" w:hAnsiTheme="majorHAnsi"/>
          <w:color w:val="000000"/>
          <w:sz w:val="20"/>
          <w:szCs w:val="20"/>
          <w:lang w:val="es-ES"/>
        </w:rPr>
        <w:t>.</w:t>
      </w:r>
      <w:r w:rsidR="004E14C6" w:rsidRPr="00FD4F59">
        <w:rPr>
          <w:rFonts w:asciiTheme="majorHAnsi" w:hAnsiTheme="majorHAnsi"/>
          <w:color w:val="000000"/>
          <w:sz w:val="20"/>
          <w:szCs w:val="20"/>
          <w:lang w:val="es-ES"/>
        </w:rPr>
        <w:t xml:space="preserve"> </w:t>
      </w:r>
      <w:r w:rsidR="00E21857" w:rsidRPr="00FD4F59">
        <w:rPr>
          <w:rFonts w:asciiTheme="majorHAnsi" w:hAnsiTheme="majorHAnsi"/>
          <w:color w:val="000000"/>
          <w:sz w:val="20"/>
          <w:szCs w:val="20"/>
          <w:lang w:val="es-ES"/>
        </w:rPr>
        <w:t xml:space="preserve">Indica </w:t>
      </w:r>
      <w:r w:rsidR="0063164C" w:rsidRPr="00FD4F59">
        <w:rPr>
          <w:rFonts w:asciiTheme="majorHAnsi" w:hAnsiTheme="majorHAnsi"/>
          <w:color w:val="000000"/>
          <w:sz w:val="20"/>
          <w:szCs w:val="20"/>
          <w:lang w:val="es-ES"/>
        </w:rPr>
        <w:t xml:space="preserve">el Estado </w:t>
      </w:r>
      <w:r w:rsidR="00E21857" w:rsidRPr="00FD4F59">
        <w:rPr>
          <w:rFonts w:asciiTheme="majorHAnsi" w:hAnsiTheme="majorHAnsi"/>
          <w:color w:val="000000"/>
          <w:sz w:val="20"/>
          <w:szCs w:val="20"/>
          <w:lang w:val="es-ES"/>
        </w:rPr>
        <w:t xml:space="preserve">que, el 18 de julio de 2003, </w:t>
      </w:r>
      <w:r w:rsidR="0063164C" w:rsidRPr="00FD4F59">
        <w:rPr>
          <w:rFonts w:asciiTheme="majorHAnsi" w:hAnsiTheme="majorHAnsi"/>
          <w:color w:val="000000"/>
          <w:sz w:val="20"/>
          <w:szCs w:val="20"/>
          <w:lang w:val="es-ES"/>
        </w:rPr>
        <w:t xml:space="preserve">el juzgado </w:t>
      </w:r>
      <w:r w:rsidRPr="00FD4F59">
        <w:rPr>
          <w:rFonts w:asciiTheme="majorHAnsi" w:hAnsiTheme="majorHAnsi"/>
          <w:color w:val="000000"/>
          <w:sz w:val="20"/>
          <w:szCs w:val="20"/>
          <w:lang w:val="es-ES"/>
        </w:rPr>
        <w:t xml:space="preserve">habría </w:t>
      </w:r>
      <w:r w:rsidR="00E21857" w:rsidRPr="00FD4F59">
        <w:rPr>
          <w:rFonts w:asciiTheme="majorHAnsi" w:hAnsiTheme="majorHAnsi"/>
          <w:color w:val="000000"/>
          <w:sz w:val="20"/>
          <w:szCs w:val="20"/>
          <w:lang w:val="es-ES"/>
        </w:rPr>
        <w:t>dict</w:t>
      </w:r>
      <w:r w:rsidRPr="00FD4F59">
        <w:rPr>
          <w:rFonts w:asciiTheme="majorHAnsi" w:hAnsiTheme="majorHAnsi"/>
          <w:color w:val="000000"/>
          <w:sz w:val="20"/>
          <w:szCs w:val="20"/>
          <w:lang w:val="es-ES"/>
        </w:rPr>
        <w:t xml:space="preserve">ado </w:t>
      </w:r>
      <w:r w:rsidR="00E21857" w:rsidRPr="00FD4F59">
        <w:rPr>
          <w:rFonts w:asciiTheme="majorHAnsi" w:hAnsiTheme="majorHAnsi"/>
          <w:color w:val="000000"/>
          <w:sz w:val="20"/>
          <w:szCs w:val="20"/>
          <w:lang w:val="es-ES"/>
        </w:rPr>
        <w:t xml:space="preserve">sentencia </w:t>
      </w:r>
      <w:r w:rsidR="0063164C" w:rsidRPr="00FD4F59">
        <w:rPr>
          <w:rFonts w:asciiTheme="majorHAnsi" w:hAnsiTheme="majorHAnsi"/>
          <w:color w:val="000000"/>
          <w:sz w:val="20"/>
          <w:szCs w:val="20"/>
          <w:lang w:val="es-ES"/>
        </w:rPr>
        <w:t>absolviendo</w:t>
      </w:r>
      <w:r w:rsidR="00E21857" w:rsidRPr="00FD4F59">
        <w:rPr>
          <w:rFonts w:asciiTheme="majorHAnsi" w:hAnsiTheme="majorHAnsi"/>
          <w:color w:val="000000"/>
          <w:sz w:val="20"/>
          <w:szCs w:val="20"/>
          <w:lang w:val="es-ES"/>
        </w:rPr>
        <w:t xml:space="preserve"> de culpa y cargo </w:t>
      </w:r>
      <w:r w:rsidR="005301A8" w:rsidRPr="00FD4F59">
        <w:rPr>
          <w:rFonts w:asciiTheme="majorHAnsi" w:hAnsiTheme="majorHAnsi"/>
          <w:color w:val="000000"/>
          <w:sz w:val="20"/>
          <w:szCs w:val="20"/>
          <w:lang w:val="es-ES"/>
        </w:rPr>
        <w:t>a la médica Patricia Carmen Anido y al médico Eduardo Mario Negri, ambos sindicados en la causa. D</w:t>
      </w:r>
      <w:r w:rsidRPr="00FD4F59">
        <w:rPr>
          <w:rFonts w:asciiTheme="majorHAnsi" w:hAnsiTheme="majorHAnsi"/>
          <w:color w:val="000000"/>
          <w:sz w:val="20"/>
          <w:szCs w:val="20"/>
          <w:lang w:val="es-ES"/>
        </w:rPr>
        <w:t xml:space="preserve">icha </w:t>
      </w:r>
      <w:r w:rsidR="00E21857" w:rsidRPr="00FD4F59">
        <w:rPr>
          <w:rFonts w:asciiTheme="majorHAnsi" w:hAnsiTheme="majorHAnsi"/>
          <w:color w:val="000000"/>
          <w:sz w:val="20"/>
          <w:szCs w:val="20"/>
          <w:lang w:val="es-ES"/>
        </w:rPr>
        <w:t xml:space="preserve">sentencia </w:t>
      </w:r>
      <w:r w:rsidRPr="00FD4F59">
        <w:rPr>
          <w:rFonts w:asciiTheme="majorHAnsi" w:hAnsiTheme="majorHAnsi"/>
          <w:color w:val="000000"/>
          <w:sz w:val="20"/>
          <w:szCs w:val="20"/>
          <w:lang w:val="es-ES"/>
        </w:rPr>
        <w:t>habría sido</w:t>
      </w:r>
      <w:r w:rsidR="00E21857" w:rsidRPr="00FD4F59">
        <w:rPr>
          <w:rFonts w:asciiTheme="majorHAnsi" w:hAnsiTheme="majorHAnsi"/>
          <w:color w:val="000000"/>
          <w:sz w:val="20"/>
          <w:szCs w:val="20"/>
          <w:lang w:val="es-ES"/>
        </w:rPr>
        <w:t xml:space="preserve"> apelada por </w:t>
      </w:r>
      <w:r w:rsidR="00033C21" w:rsidRPr="00FD4F59">
        <w:rPr>
          <w:rFonts w:asciiTheme="majorHAnsi" w:hAnsiTheme="majorHAnsi"/>
          <w:color w:val="000000"/>
          <w:sz w:val="20"/>
          <w:szCs w:val="20"/>
          <w:lang w:val="es-ES"/>
        </w:rPr>
        <w:t xml:space="preserve">la fiscalía interviniente </w:t>
      </w:r>
      <w:r w:rsidR="00E21857" w:rsidRPr="00FD4F59">
        <w:rPr>
          <w:rFonts w:asciiTheme="majorHAnsi" w:hAnsiTheme="majorHAnsi"/>
          <w:color w:val="000000"/>
          <w:sz w:val="20"/>
          <w:szCs w:val="20"/>
          <w:lang w:val="es-ES"/>
        </w:rPr>
        <w:t xml:space="preserve">y confirmada </w:t>
      </w:r>
      <w:r w:rsidR="00033C21" w:rsidRPr="00FD4F59">
        <w:rPr>
          <w:rFonts w:asciiTheme="majorHAnsi" w:hAnsiTheme="majorHAnsi"/>
          <w:color w:val="000000"/>
          <w:sz w:val="20"/>
          <w:szCs w:val="20"/>
          <w:lang w:val="es-ES"/>
        </w:rPr>
        <w:t xml:space="preserve">en segunda instancia </w:t>
      </w:r>
      <w:r w:rsidR="00E21857" w:rsidRPr="00FD4F59">
        <w:rPr>
          <w:rFonts w:asciiTheme="majorHAnsi" w:hAnsiTheme="majorHAnsi"/>
          <w:color w:val="000000"/>
          <w:sz w:val="20"/>
          <w:szCs w:val="20"/>
          <w:lang w:val="es-ES"/>
        </w:rPr>
        <w:t xml:space="preserve">por la </w:t>
      </w:r>
      <w:r w:rsidR="00033C21" w:rsidRPr="00FD4F59">
        <w:rPr>
          <w:rFonts w:asciiTheme="majorHAnsi" w:hAnsiTheme="majorHAnsi"/>
          <w:bCs/>
          <w:color w:val="000000"/>
          <w:sz w:val="20"/>
          <w:szCs w:val="20"/>
          <w:lang w:val="es-AR"/>
        </w:rPr>
        <w:t>Cámara Nacional de Apelaciones en lo Criminal y Correccional</w:t>
      </w:r>
      <w:r w:rsidRPr="00FD4F59">
        <w:rPr>
          <w:rFonts w:asciiTheme="majorHAnsi" w:hAnsiTheme="majorHAnsi"/>
          <w:color w:val="000000"/>
          <w:sz w:val="20"/>
          <w:szCs w:val="20"/>
          <w:lang w:val="es-ES"/>
        </w:rPr>
        <w:t xml:space="preserve">, </w:t>
      </w:r>
      <w:r w:rsidR="00E21857" w:rsidRPr="00FD4F59">
        <w:rPr>
          <w:rFonts w:asciiTheme="majorHAnsi" w:hAnsiTheme="majorHAnsi"/>
          <w:color w:val="000000"/>
          <w:sz w:val="20"/>
          <w:szCs w:val="20"/>
          <w:lang w:val="es-ES"/>
        </w:rPr>
        <w:t>el 27 de noviembre de 2003</w:t>
      </w:r>
      <w:r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Asimismo, señala el Estado que</w:t>
      </w:r>
      <w:r w:rsidR="00C3684C" w:rsidRPr="00FD4F59">
        <w:rPr>
          <w:rFonts w:asciiTheme="majorHAnsi" w:hAnsiTheme="majorHAnsi"/>
          <w:color w:val="000000"/>
          <w:sz w:val="20"/>
          <w:szCs w:val="20"/>
          <w:lang w:val="es-ES"/>
        </w:rPr>
        <w:t xml:space="preserve"> </w:t>
      </w:r>
      <w:r w:rsidR="00E21857" w:rsidRPr="00FD4F59">
        <w:rPr>
          <w:rFonts w:asciiTheme="majorHAnsi" w:hAnsiTheme="majorHAnsi"/>
          <w:color w:val="000000"/>
          <w:sz w:val="20"/>
          <w:szCs w:val="20"/>
          <w:lang w:val="es-ES"/>
        </w:rPr>
        <w:t>los peticionarios interpusieron un recurso extraordinario federal</w:t>
      </w:r>
      <w:r w:rsidR="00BA2020" w:rsidRPr="00FD4F59">
        <w:rPr>
          <w:rFonts w:asciiTheme="majorHAnsi" w:hAnsiTheme="majorHAnsi"/>
          <w:color w:val="000000"/>
          <w:sz w:val="20"/>
          <w:szCs w:val="20"/>
          <w:lang w:val="es-ES"/>
        </w:rPr>
        <w:t xml:space="preserve"> que</w:t>
      </w:r>
      <w:r w:rsidR="00E21857" w:rsidRPr="00FD4F59">
        <w:rPr>
          <w:rFonts w:asciiTheme="majorHAnsi" w:hAnsiTheme="majorHAnsi"/>
          <w:color w:val="000000"/>
          <w:sz w:val="20"/>
          <w:szCs w:val="20"/>
          <w:lang w:val="es-ES"/>
        </w:rPr>
        <w:t xml:space="preserve"> fue rechazado </w:t>
      </w:r>
      <w:r w:rsidR="00FE1DB0" w:rsidRPr="00FD4F59">
        <w:rPr>
          <w:rFonts w:asciiTheme="majorHAnsi" w:hAnsiTheme="majorHAnsi"/>
          <w:color w:val="000000"/>
          <w:sz w:val="20"/>
          <w:szCs w:val="20"/>
          <w:lang w:val="es-ES"/>
        </w:rPr>
        <w:t xml:space="preserve">por extemporáneo por la Cámara de Apelaciones, </w:t>
      </w:r>
      <w:r w:rsidR="00C3684C" w:rsidRPr="00FD4F59">
        <w:rPr>
          <w:rFonts w:asciiTheme="majorHAnsi" w:hAnsiTheme="majorHAnsi"/>
          <w:color w:val="000000"/>
          <w:sz w:val="20"/>
          <w:szCs w:val="20"/>
          <w:lang w:val="es-ES"/>
        </w:rPr>
        <w:t>el 15 de marzo de 2004</w:t>
      </w:r>
      <w:r w:rsidR="00E21857" w:rsidRPr="00FD4F59">
        <w:rPr>
          <w:rFonts w:asciiTheme="majorHAnsi" w:hAnsiTheme="majorHAnsi"/>
          <w:color w:val="000000"/>
          <w:sz w:val="20"/>
          <w:szCs w:val="20"/>
          <w:lang w:val="es-ES"/>
        </w:rPr>
        <w:t>.</w:t>
      </w:r>
      <w:r w:rsidR="004E14C6"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Por otro lado, indica </w:t>
      </w:r>
      <w:r w:rsidR="00547A5C" w:rsidRPr="00FD4F59">
        <w:rPr>
          <w:rFonts w:asciiTheme="majorHAnsi" w:hAnsiTheme="majorHAnsi"/>
          <w:color w:val="000000"/>
          <w:sz w:val="20"/>
          <w:szCs w:val="20"/>
          <w:lang w:val="es-ES"/>
        </w:rPr>
        <w:t xml:space="preserve">el Estado </w:t>
      </w:r>
      <w:r w:rsidRPr="00FD4F59">
        <w:rPr>
          <w:rFonts w:asciiTheme="majorHAnsi" w:hAnsiTheme="majorHAnsi"/>
          <w:color w:val="000000"/>
          <w:sz w:val="20"/>
          <w:szCs w:val="20"/>
          <w:lang w:val="es-ES"/>
        </w:rPr>
        <w:t>que</w:t>
      </w:r>
      <w:r w:rsidR="00A06730"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en la causa</w:t>
      </w:r>
      <w:r w:rsidR="00547A5C" w:rsidRPr="00FD4F59">
        <w:rPr>
          <w:rFonts w:asciiTheme="majorHAnsi" w:hAnsiTheme="majorHAnsi"/>
          <w:color w:val="000000"/>
          <w:sz w:val="20"/>
          <w:szCs w:val="20"/>
          <w:lang w:val="es-ES"/>
        </w:rPr>
        <w:t xml:space="preserve"> iniciada de oficio por falsificación de instrumento público</w:t>
      </w:r>
      <w:r w:rsidR="00547A5C" w:rsidRPr="00FD4F59">
        <w:rPr>
          <w:rStyle w:val="FootnoteReference"/>
          <w:rFonts w:asciiTheme="majorHAnsi" w:hAnsiTheme="majorHAnsi"/>
          <w:color w:val="000000"/>
          <w:sz w:val="20"/>
          <w:szCs w:val="20"/>
          <w:lang w:val="es-ES"/>
        </w:rPr>
        <w:footnoteReference w:id="7"/>
      </w:r>
      <w:r w:rsidR="00547A5C"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el </w:t>
      </w:r>
      <w:r w:rsidR="00033C21" w:rsidRPr="00FD4F59">
        <w:rPr>
          <w:rFonts w:asciiTheme="majorHAnsi" w:hAnsiTheme="majorHAnsi"/>
          <w:color w:val="000000"/>
          <w:sz w:val="20"/>
          <w:szCs w:val="20"/>
          <w:lang w:val="es-ES"/>
        </w:rPr>
        <w:t>j</w:t>
      </w:r>
      <w:r w:rsidRPr="00FD4F59">
        <w:rPr>
          <w:rFonts w:asciiTheme="majorHAnsi" w:hAnsiTheme="majorHAnsi"/>
          <w:color w:val="000000"/>
          <w:sz w:val="20"/>
          <w:szCs w:val="20"/>
          <w:lang w:val="es-ES"/>
        </w:rPr>
        <w:t xml:space="preserve">uzgado </w:t>
      </w:r>
      <w:r w:rsidR="00033C21" w:rsidRPr="00FD4F59">
        <w:rPr>
          <w:rFonts w:asciiTheme="majorHAnsi" w:hAnsiTheme="majorHAnsi"/>
          <w:color w:val="000000"/>
          <w:sz w:val="20"/>
          <w:szCs w:val="20"/>
          <w:lang w:val="es-ES"/>
        </w:rPr>
        <w:t>interviniente</w:t>
      </w:r>
      <w:r w:rsidRPr="00FD4F59">
        <w:rPr>
          <w:rFonts w:asciiTheme="majorHAnsi" w:hAnsiTheme="majorHAnsi"/>
          <w:color w:val="000000"/>
          <w:sz w:val="20"/>
          <w:szCs w:val="20"/>
          <w:lang w:val="es-ES"/>
        </w:rPr>
        <w:t xml:space="preserve"> </w:t>
      </w:r>
      <w:r w:rsidR="00547A5C" w:rsidRPr="00FD4F59">
        <w:rPr>
          <w:rFonts w:asciiTheme="majorHAnsi" w:hAnsiTheme="majorHAnsi"/>
          <w:color w:val="000000"/>
          <w:sz w:val="20"/>
          <w:szCs w:val="20"/>
          <w:lang w:val="es-ES"/>
        </w:rPr>
        <w:t xml:space="preserve">investigó </w:t>
      </w:r>
      <w:r w:rsidR="00A06730" w:rsidRPr="00FD4F59">
        <w:rPr>
          <w:rFonts w:asciiTheme="majorHAnsi" w:hAnsiTheme="majorHAnsi"/>
          <w:color w:val="000000"/>
          <w:sz w:val="20"/>
          <w:szCs w:val="20"/>
          <w:lang w:val="es-ES"/>
        </w:rPr>
        <w:t xml:space="preserve">la </w:t>
      </w:r>
      <w:r w:rsidRPr="00FD4F59">
        <w:rPr>
          <w:rFonts w:asciiTheme="majorHAnsi" w:hAnsiTheme="majorHAnsi"/>
          <w:color w:val="000000"/>
          <w:sz w:val="20"/>
          <w:szCs w:val="20"/>
          <w:lang w:val="es-ES"/>
        </w:rPr>
        <w:t xml:space="preserve">presunta responsabilidad penal </w:t>
      </w:r>
      <w:r w:rsidR="00A06730" w:rsidRPr="00FD4F59">
        <w:rPr>
          <w:rFonts w:asciiTheme="majorHAnsi" w:hAnsiTheme="majorHAnsi"/>
          <w:color w:val="000000"/>
          <w:sz w:val="20"/>
          <w:szCs w:val="20"/>
          <w:lang w:val="es-ES"/>
        </w:rPr>
        <w:t xml:space="preserve">de los peritos forenses Florencio Casavilla y Carlos Fernando Leoncio Poggi, </w:t>
      </w:r>
      <w:r w:rsidRPr="00FD4F59">
        <w:rPr>
          <w:rFonts w:asciiTheme="majorHAnsi" w:hAnsiTheme="majorHAnsi"/>
          <w:color w:val="000000"/>
          <w:sz w:val="20"/>
          <w:szCs w:val="20"/>
          <w:lang w:val="es-ES"/>
        </w:rPr>
        <w:t xml:space="preserve">por la </w:t>
      </w:r>
      <w:r w:rsidR="00A06730" w:rsidRPr="00FD4F59">
        <w:rPr>
          <w:rFonts w:asciiTheme="majorHAnsi" w:hAnsiTheme="majorHAnsi"/>
          <w:color w:val="000000"/>
          <w:sz w:val="20"/>
          <w:szCs w:val="20"/>
          <w:lang w:val="es-ES"/>
        </w:rPr>
        <w:t xml:space="preserve">alegada </w:t>
      </w:r>
      <w:r w:rsidRPr="00FD4F59">
        <w:rPr>
          <w:rFonts w:asciiTheme="majorHAnsi" w:hAnsiTheme="majorHAnsi"/>
          <w:color w:val="000000"/>
          <w:sz w:val="20"/>
          <w:szCs w:val="20"/>
          <w:lang w:val="es-ES"/>
        </w:rPr>
        <w:t xml:space="preserve">falsificación de una pericia con el propósito de encubrir la responsabilidad </w:t>
      </w:r>
      <w:r w:rsidR="00A06730" w:rsidRPr="00FD4F59">
        <w:rPr>
          <w:rFonts w:asciiTheme="majorHAnsi" w:hAnsiTheme="majorHAnsi"/>
          <w:color w:val="000000"/>
          <w:sz w:val="20"/>
          <w:szCs w:val="20"/>
          <w:lang w:val="es-ES"/>
        </w:rPr>
        <w:t xml:space="preserve">penal </w:t>
      </w:r>
      <w:r w:rsidRPr="00FD4F59">
        <w:rPr>
          <w:rFonts w:asciiTheme="majorHAnsi" w:hAnsiTheme="majorHAnsi"/>
          <w:color w:val="000000"/>
          <w:sz w:val="20"/>
          <w:szCs w:val="20"/>
          <w:lang w:val="es-ES"/>
        </w:rPr>
        <w:t>de l</w:t>
      </w:r>
      <w:r w:rsidR="00A06730" w:rsidRPr="00FD4F59">
        <w:rPr>
          <w:rFonts w:asciiTheme="majorHAnsi" w:hAnsiTheme="majorHAnsi"/>
          <w:color w:val="000000"/>
          <w:sz w:val="20"/>
          <w:szCs w:val="20"/>
          <w:lang w:val="es-ES"/>
        </w:rPr>
        <w:t xml:space="preserve">a médica </w:t>
      </w:r>
      <w:r w:rsidR="005301A8" w:rsidRPr="00FD4F59">
        <w:rPr>
          <w:rFonts w:asciiTheme="majorHAnsi" w:hAnsiTheme="majorHAnsi"/>
          <w:color w:val="000000"/>
          <w:sz w:val="20"/>
          <w:szCs w:val="20"/>
          <w:lang w:val="es-ES"/>
        </w:rPr>
        <w:t xml:space="preserve">Patricia Carmen </w:t>
      </w:r>
      <w:r w:rsidRPr="00FD4F59">
        <w:rPr>
          <w:rFonts w:asciiTheme="majorHAnsi" w:hAnsiTheme="majorHAnsi"/>
          <w:color w:val="000000"/>
          <w:sz w:val="20"/>
          <w:szCs w:val="20"/>
          <w:lang w:val="es-ES"/>
        </w:rPr>
        <w:t xml:space="preserve">Anido y </w:t>
      </w:r>
      <w:r w:rsidR="00A06730" w:rsidRPr="00FD4F59">
        <w:rPr>
          <w:rFonts w:asciiTheme="majorHAnsi" w:hAnsiTheme="majorHAnsi"/>
          <w:color w:val="000000"/>
          <w:sz w:val="20"/>
          <w:szCs w:val="20"/>
          <w:lang w:val="es-ES"/>
        </w:rPr>
        <w:t xml:space="preserve">el médico </w:t>
      </w:r>
      <w:r w:rsidR="005301A8" w:rsidRPr="00FD4F59">
        <w:rPr>
          <w:rFonts w:asciiTheme="majorHAnsi" w:hAnsiTheme="majorHAnsi"/>
          <w:color w:val="000000"/>
          <w:sz w:val="20"/>
          <w:szCs w:val="20"/>
          <w:lang w:val="es-ES"/>
        </w:rPr>
        <w:t xml:space="preserve">Eduardo Mario </w:t>
      </w:r>
      <w:r w:rsidRPr="00FD4F59">
        <w:rPr>
          <w:rFonts w:asciiTheme="majorHAnsi" w:hAnsiTheme="majorHAnsi"/>
          <w:color w:val="000000"/>
          <w:sz w:val="20"/>
          <w:szCs w:val="20"/>
          <w:lang w:val="es-ES"/>
        </w:rPr>
        <w:t xml:space="preserve">Negri </w:t>
      </w:r>
      <w:r w:rsidR="00A06730" w:rsidRPr="00FD4F59">
        <w:rPr>
          <w:rFonts w:asciiTheme="majorHAnsi" w:hAnsiTheme="majorHAnsi"/>
          <w:color w:val="000000"/>
          <w:sz w:val="20"/>
          <w:szCs w:val="20"/>
          <w:lang w:val="es-ES"/>
        </w:rPr>
        <w:t>por</w:t>
      </w:r>
      <w:r w:rsidRPr="00FD4F59">
        <w:rPr>
          <w:rFonts w:asciiTheme="majorHAnsi" w:hAnsiTheme="majorHAnsi"/>
          <w:color w:val="000000"/>
          <w:sz w:val="20"/>
          <w:szCs w:val="20"/>
          <w:lang w:val="es-ES"/>
        </w:rPr>
        <w:t xml:space="preserve"> la muerte de Cristina Britez Arce. </w:t>
      </w:r>
      <w:r w:rsidR="00901672" w:rsidRPr="00FD4F59">
        <w:rPr>
          <w:rFonts w:asciiTheme="majorHAnsi" w:hAnsiTheme="majorHAnsi"/>
          <w:color w:val="000000"/>
          <w:sz w:val="20"/>
          <w:szCs w:val="20"/>
          <w:lang w:val="es-ES"/>
        </w:rPr>
        <w:t>Al efecto,</w:t>
      </w:r>
      <w:r w:rsidR="00412A64" w:rsidRPr="00FD4F59">
        <w:rPr>
          <w:rFonts w:asciiTheme="majorHAnsi" w:hAnsiTheme="majorHAnsi"/>
          <w:color w:val="000000"/>
          <w:sz w:val="20"/>
          <w:szCs w:val="20"/>
          <w:lang w:val="es-ES"/>
        </w:rPr>
        <w:t xml:space="preserve"> se convoc</w:t>
      </w:r>
      <w:r w:rsidR="00A73B77" w:rsidRPr="00FD4F59">
        <w:rPr>
          <w:rFonts w:asciiTheme="majorHAnsi" w:hAnsiTheme="majorHAnsi"/>
          <w:color w:val="000000"/>
          <w:sz w:val="20"/>
          <w:szCs w:val="20"/>
          <w:lang w:val="es-ES"/>
        </w:rPr>
        <w:t>ó</w:t>
      </w:r>
      <w:r w:rsidR="00412A64" w:rsidRPr="00FD4F59">
        <w:rPr>
          <w:rFonts w:asciiTheme="majorHAnsi" w:hAnsiTheme="majorHAnsi"/>
          <w:color w:val="000000"/>
          <w:sz w:val="20"/>
          <w:szCs w:val="20"/>
          <w:lang w:val="es-ES"/>
        </w:rPr>
        <w:t xml:space="preserve"> </w:t>
      </w:r>
      <w:r w:rsidR="00AE59EE" w:rsidRPr="00FD4F59">
        <w:rPr>
          <w:rFonts w:asciiTheme="majorHAnsi" w:hAnsiTheme="majorHAnsi"/>
          <w:color w:val="000000"/>
          <w:sz w:val="20"/>
          <w:szCs w:val="20"/>
          <w:lang w:val="es-ES"/>
        </w:rPr>
        <w:t>a un plenario de</w:t>
      </w:r>
      <w:r w:rsidR="00E56933" w:rsidRPr="00FD4F59">
        <w:rPr>
          <w:rFonts w:asciiTheme="majorHAnsi" w:hAnsiTheme="majorHAnsi"/>
          <w:color w:val="000000"/>
          <w:sz w:val="20"/>
          <w:szCs w:val="20"/>
          <w:lang w:val="es-ES"/>
        </w:rPr>
        <w:t xml:space="preserve">l </w:t>
      </w:r>
      <w:r w:rsidR="00AE59EE" w:rsidRPr="00FD4F59">
        <w:rPr>
          <w:rFonts w:asciiTheme="majorHAnsi" w:hAnsiTheme="majorHAnsi"/>
          <w:color w:val="000000"/>
          <w:sz w:val="20"/>
          <w:szCs w:val="20"/>
          <w:lang w:val="es-ES"/>
        </w:rPr>
        <w:t xml:space="preserve">Cuerpo </w:t>
      </w:r>
      <w:r w:rsidR="00E56933" w:rsidRPr="00FD4F59">
        <w:rPr>
          <w:rFonts w:asciiTheme="majorHAnsi" w:hAnsiTheme="majorHAnsi"/>
          <w:color w:val="000000"/>
          <w:sz w:val="20"/>
          <w:szCs w:val="20"/>
          <w:lang w:val="es-ES"/>
        </w:rPr>
        <w:t>Médico Forense, el cual</w:t>
      </w:r>
      <w:r w:rsidR="00AE59EE" w:rsidRPr="00FD4F59">
        <w:rPr>
          <w:rFonts w:asciiTheme="majorHAnsi" w:hAnsiTheme="majorHAnsi"/>
          <w:color w:val="000000"/>
          <w:sz w:val="20"/>
          <w:szCs w:val="20"/>
          <w:lang w:val="es-ES"/>
        </w:rPr>
        <w:t xml:space="preserve"> se expidió el 21 de mayo de 1997. </w:t>
      </w:r>
      <w:r w:rsidR="00E56933" w:rsidRPr="00FD4F59">
        <w:rPr>
          <w:rFonts w:asciiTheme="majorHAnsi" w:hAnsiTheme="majorHAnsi"/>
          <w:color w:val="000000"/>
          <w:sz w:val="20"/>
          <w:szCs w:val="20"/>
          <w:lang w:val="es-ES"/>
        </w:rPr>
        <w:t>Según el Estado, e</w:t>
      </w:r>
      <w:r w:rsidR="00AE59EE" w:rsidRPr="00FD4F59">
        <w:rPr>
          <w:rFonts w:asciiTheme="majorHAnsi" w:hAnsiTheme="majorHAnsi"/>
          <w:color w:val="000000"/>
          <w:sz w:val="20"/>
          <w:szCs w:val="20"/>
          <w:lang w:val="es-ES"/>
        </w:rPr>
        <w:t xml:space="preserve">ste plenario </w:t>
      </w:r>
      <w:r w:rsidR="00E56933" w:rsidRPr="00FD4F59">
        <w:rPr>
          <w:rFonts w:asciiTheme="majorHAnsi" w:hAnsiTheme="majorHAnsi"/>
          <w:color w:val="000000"/>
          <w:sz w:val="20"/>
          <w:szCs w:val="20"/>
          <w:lang w:val="es-ES"/>
        </w:rPr>
        <w:t>“</w:t>
      </w:r>
      <w:r w:rsidR="00AE59EE" w:rsidRPr="00FD4F59">
        <w:rPr>
          <w:rFonts w:asciiTheme="majorHAnsi" w:hAnsiTheme="majorHAnsi"/>
          <w:color w:val="000000"/>
          <w:sz w:val="20"/>
          <w:szCs w:val="20"/>
          <w:lang w:val="es-ES"/>
        </w:rPr>
        <w:t>fue dejado sin efecto</w:t>
      </w:r>
      <w:r w:rsidR="00E56933" w:rsidRPr="00FD4F59">
        <w:rPr>
          <w:rFonts w:asciiTheme="majorHAnsi" w:hAnsiTheme="majorHAnsi"/>
          <w:color w:val="000000"/>
          <w:sz w:val="20"/>
          <w:szCs w:val="20"/>
          <w:lang w:val="es-ES"/>
        </w:rPr>
        <w:t>”</w:t>
      </w:r>
      <w:r w:rsidR="00AE59EE" w:rsidRPr="00FD4F59">
        <w:rPr>
          <w:rFonts w:asciiTheme="majorHAnsi" w:hAnsiTheme="majorHAnsi"/>
          <w:color w:val="000000"/>
          <w:sz w:val="20"/>
          <w:szCs w:val="20"/>
          <w:lang w:val="es-ES"/>
        </w:rPr>
        <w:t xml:space="preserve"> por la Sala </w:t>
      </w:r>
      <w:r w:rsidR="006000CB" w:rsidRPr="00FD4F59">
        <w:rPr>
          <w:rFonts w:asciiTheme="majorHAnsi" w:hAnsiTheme="majorHAnsi"/>
          <w:color w:val="000000"/>
          <w:sz w:val="20"/>
          <w:szCs w:val="20"/>
          <w:lang w:val="es-ES"/>
        </w:rPr>
        <w:t>Cuarta</w:t>
      </w:r>
      <w:r w:rsidR="00AE59EE" w:rsidRPr="00FD4F59">
        <w:rPr>
          <w:rFonts w:asciiTheme="majorHAnsi" w:hAnsiTheme="majorHAnsi"/>
          <w:color w:val="000000"/>
          <w:sz w:val="20"/>
          <w:szCs w:val="20"/>
          <w:lang w:val="es-ES"/>
        </w:rPr>
        <w:t xml:space="preserve"> de la Cámara de Crimen</w:t>
      </w:r>
      <w:r w:rsidR="00E56933" w:rsidRPr="00FD4F59">
        <w:rPr>
          <w:rFonts w:asciiTheme="majorHAnsi" w:hAnsiTheme="majorHAnsi"/>
          <w:color w:val="000000"/>
          <w:sz w:val="20"/>
          <w:szCs w:val="20"/>
          <w:lang w:val="es-ES"/>
        </w:rPr>
        <w:t>, motivo por el cual</w:t>
      </w:r>
      <w:r w:rsidR="00AE59EE" w:rsidRPr="00FD4F59">
        <w:rPr>
          <w:rFonts w:asciiTheme="majorHAnsi" w:hAnsiTheme="majorHAnsi"/>
          <w:color w:val="000000"/>
          <w:sz w:val="20"/>
          <w:szCs w:val="20"/>
          <w:lang w:val="es-ES"/>
        </w:rPr>
        <w:t xml:space="preserve"> se ordenó otra pericia</w:t>
      </w:r>
      <w:r w:rsidR="00EA4EB4" w:rsidRPr="00FD4F59">
        <w:rPr>
          <w:rFonts w:asciiTheme="majorHAnsi" w:hAnsiTheme="majorHAnsi"/>
          <w:color w:val="000000"/>
          <w:sz w:val="20"/>
          <w:szCs w:val="20"/>
          <w:lang w:val="es-ES"/>
        </w:rPr>
        <w:t>,</w:t>
      </w:r>
      <w:r w:rsidR="00AE59EE" w:rsidRPr="00FD4F59">
        <w:rPr>
          <w:rFonts w:asciiTheme="majorHAnsi" w:hAnsiTheme="majorHAnsi"/>
          <w:color w:val="000000"/>
          <w:sz w:val="20"/>
          <w:szCs w:val="20"/>
          <w:lang w:val="es-ES"/>
        </w:rPr>
        <w:t xml:space="preserve"> </w:t>
      </w:r>
      <w:r w:rsidR="00EA4EB4" w:rsidRPr="00FD4F59">
        <w:rPr>
          <w:rFonts w:asciiTheme="majorHAnsi" w:hAnsiTheme="majorHAnsi"/>
          <w:color w:val="000000"/>
          <w:sz w:val="20"/>
          <w:szCs w:val="20"/>
          <w:lang w:val="es-ES"/>
        </w:rPr>
        <w:t xml:space="preserve">la cual </w:t>
      </w:r>
      <w:r w:rsidR="00AE59EE" w:rsidRPr="00FD4F59">
        <w:rPr>
          <w:rFonts w:asciiTheme="majorHAnsi" w:hAnsiTheme="majorHAnsi"/>
          <w:color w:val="000000"/>
          <w:sz w:val="20"/>
          <w:szCs w:val="20"/>
          <w:lang w:val="es-ES"/>
        </w:rPr>
        <w:t>se realizó en la Universidad Católica de la Provincia de Córdoba. S</w:t>
      </w:r>
      <w:r w:rsidR="00CF69B4" w:rsidRPr="00FD4F59">
        <w:rPr>
          <w:rFonts w:asciiTheme="majorHAnsi" w:hAnsiTheme="majorHAnsi"/>
          <w:color w:val="000000"/>
          <w:sz w:val="20"/>
          <w:szCs w:val="20"/>
          <w:lang w:val="es-ES"/>
        </w:rPr>
        <w:t xml:space="preserve">ostiene </w:t>
      </w:r>
      <w:r w:rsidR="00AE59EE" w:rsidRPr="00FD4F59">
        <w:rPr>
          <w:rFonts w:asciiTheme="majorHAnsi" w:hAnsiTheme="majorHAnsi"/>
          <w:color w:val="000000"/>
          <w:sz w:val="20"/>
          <w:szCs w:val="20"/>
          <w:lang w:val="es-ES"/>
        </w:rPr>
        <w:t xml:space="preserve">el Estado </w:t>
      </w:r>
      <w:r w:rsidR="00CF69B4" w:rsidRPr="00FD4F59">
        <w:rPr>
          <w:rFonts w:asciiTheme="majorHAnsi" w:hAnsiTheme="majorHAnsi"/>
          <w:color w:val="000000"/>
          <w:sz w:val="20"/>
          <w:szCs w:val="20"/>
          <w:lang w:val="es-ES"/>
        </w:rPr>
        <w:t>que el juzgado sobreseyó a ambos peritos forenses, decisión que fue confirmada por la</w:t>
      </w:r>
      <w:r w:rsidRPr="00FD4F59">
        <w:rPr>
          <w:rFonts w:asciiTheme="majorHAnsi" w:hAnsiTheme="majorHAnsi"/>
          <w:color w:val="000000"/>
          <w:sz w:val="20"/>
          <w:szCs w:val="20"/>
          <w:lang w:val="es-ES"/>
        </w:rPr>
        <w:t xml:space="preserve"> </w:t>
      </w:r>
      <w:r w:rsidR="00CF69B4" w:rsidRPr="00FD4F59">
        <w:rPr>
          <w:rFonts w:asciiTheme="majorHAnsi" w:hAnsiTheme="majorHAnsi"/>
          <w:bCs/>
          <w:color w:val="000000"/>
          <w:sz w:val="20"/>
          <w:szCs w:val="20"/>
          <w:lang w:val="es-AR"/>
        </w:rPr>
        <w:t>Cámara Nacional de Apelaciones en lo Criminal y Correccional</w:t>
      </w:r>
      <w:r w:rsidR="00FE1DB0" w:rsidRPr="00FD4F59">
        <w:rPr>
          <w:rFonts w:asciiTheme="majorHAnsi" w:hAnsiTheme="majorHAnsi"/>
          <w:bCs/>
          <w:color w:val="000000"/>
          <w:sz w:val="20"/>
          <w:szCs w:val="20"/>
          <w:lang w:val="es-AR"/>
        </w:rPr>
        <w:t>,</w:t>
      </w:r>
      <w:r w:rsidRPr="00FD4F59">
        <w:rPr>
          <w:rFonts w:asciiTheme="majorHAnsi" w:hAnsiTheme="majorHAnsi"/>
          <w:color w:val="000000"/>
          <w:sz w:val="20"/>
          <w:szCs w:val="20"/>
          <w:lang w:val="es-ES"/>
        </w:rPr>
        <w:t xml:space="preserve"> </w:t>
      </w:r>
      <w:r w:rsidR="00CF69B4" w:rsidRPr="00FD4F59">
        <w:rPr>
          <w:rFonts w:asciiTheme="majorHAnsi" w:hAnsiTheme="majorHAnsi"/>
          <w:color w:val="000000"/>
          <w:sz w:val="20"/>
          <w:szCs w:val="20"/>
          <w:lang w:val="es-ES"/>
        </w:rPr>
        <w:t xml:space="preserve">el 21 de octubre de 2002.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9B0EB6"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Adicionalmente, s</w:t>
      </w:r>
      <w:r w:rsidR="00E21857" w:rsidRPr="00FD4F59">
        <w:rPr>
          <w:rFonts w:asciiTheme="majorHAnsi" w:hAnsiTheme="majorHAnsi"/>
          <w:color w:val="000000"/>
          <w:sz w:val="20"/>
          <w:szCs w:val="20"/>
          <w:lang w:val="es-ES"/>
        </w:rPr>
        <w:t>eñal</w:t>
      </w:r>
      <w:r w:rsidRPr="00FD4F59">
        <w:rPr>
          <w:rFonts w:asciiTheme="majorHAnsi" w:hAnsiTheme="majorHAnsi"/>
          <w:color w:val="000000"/>
          <w:sz w:val="20"/>
          <w:szCs w:val="20"/>
          <w:lang w:val="es-ES"/>
        </w:rPr>
        <w:t xml:space="preserve">ó el Estado </w:t>
      </w:r>
      <w:r w:rsidR="002A1295" w:rsidRPr="00FD4F59">
        <w:rPr>
          <w:rFonts w:asciiTheme="majorHAnsi" w:hAnsiTheme="majorHAnsi"/>
          <w:color w:val="000000"/>
          <w:sz w:val="20"/>
          <w:szCs w:val="20"/>
          <w:lang w:val="es-ES"/>
        </w:rPr>
        <w:t>que</w:t>
      </w:r>
      <w:r w:rsidR="009D025C" w:rsidRPr="00FD4F59">
        <w:rPr>
          <w:rFonts w:asciiTheme="majorHAnsi" w:hAnsiTheme="majorHAnsi"/>
          <w:color w:val="000000"/>
          <w:sz w:val="20"/>
          <w:szCs w:val="20"/>
          <w:lang w:val="es-ES"/>
        </w:rPr>
        <w:t>,</w:t>
      </w:r>
      <w:r w:rsidR="002A1295"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a partir de la denuncia interpuesta por</w:t>
      </w:r>
      <w:r w:rsidR="006E0CCF" w:rsidRPr="00FD4F59">
        <w:rPr>
          <w:rFonts w:asciiTheme="majorHAnsi" w:hAnsiTheme="majorHAnsi"/>
          <w:color w:val="000000"/>
          <w:sz w:val="20"/>
          <w:szCs w:val="20"/>
          <w:lang w:val="es-ES"/>
        </w:rPr>
        <w:t xml:space="preserve"> el padre de los peticionarios</w:t>
      </w:r>
      <w:r w:rsidR="009D025C" w:rsidRPr="00FD4F59">
        <w:rPr>
          <w:rFonts w:asciiTheme="majorHAnsi" w:hAnsiTheme="majorHAnsi"/>
          <w:color w:val="000000"/>
          <w:sz w:val="20"/>
          <w:szCs w:val="20"/>
          <w:lang w:val="es-ES"/>
        </w:rPr>
        <w:t>,</w:t>
      </w:r>
      <w:r w:rsidR="006E0CCF" w:rsidRPr="00FD4F59">
        <w:rPr>
          <w:rFonts w:asciiTheme="majorHAnsi" w:hAnsiTheme="majorHAnsi"/>
          <w:color w:val="000000"/>
          <w:sz w:val="20"/>
          <w:szCs w:val="20"/>
          <w:lang w:val="es-ES"/>
        </w:rPr>
        <w:t xml:space="preserve"> </w:t>
      </w:r>
      <w:r w:rsidR="006000CB" w:rsidRPr="00FD4F59">
        <w:rPr>
          <w:rFonts w:asciiTheme="majorHAnsi" w:hAnsiTheme="majorHAnsi"/>
          <w:color w:val="000000"/>
          <w:sz w:val="20"/>
          <w:szCs w:val="20"/>
          <w:lang w:val="es-ES"/>
        </w:rPr>
        <w:t>se hab</w:t>
      </w:r>
      <w:r w:rsidR="002A1295" w:rsidRPr="00FD4F59">
        <w:rPr>
          <w:rFonts w:asciiTheme="majorHAnsi" w:hAnsiTheme="majorHAnsi"/>
          <w:color w:val="000000"/>
          <w:sz w:val="20"/>
          <w:szCs w:val="20"/>
          <w:lang w:val="es-ES"/>
        </w:rPr>
        <w:t xml:space="preserve">ía investigado </w:t>
      </w:r>
      <w:r w:rsidRPr="00FD4F59">
        <w:rPr>
          <w:rFonts w:asciiTheme="majorHAnsi" w:hAnsiTheme="majorHAnsi"/>
          <w:color w:val="000000"/>
          <w:sz w:val="20"/>
          <w:szCs w:val="20"/>
          <w:lang w:val="es-ES"/>
        </w:rPr>
        <w:t xml:space="preserve">la presunta responsabilidad de 31 médicos del </w:t>
      </w:r>
      <w:r w:rsidR="00E21857" w:rsidRPr="00FD4F59">
        <w:rPr>
          <w:rFonts w:asciiTheme="majorHAnsi" w:hAnsiTheme="majorHAnsi"/>
          <w:color w:val="000000"/>
          <w:sz w:val="20"/>
          <w:szCs w:val="20"/>
          <w:lang w:val="es-ES"/>
        </w:rPr>
        <w:t>Cuerpo Médico Forense</w:t>
      </w:r>
      <w:r w:rsidR="002A1295" w:rsidRPr="00FD4F59">
        <w:rPr>
          <w:rStyle w:val="FootnoteReference"/>
          <w:rFonts w:asciiTheme="majorHAnsi" w:hAnsiTheme="majorHAnsi"/>
          <w:color w:val="000000"/>
          <w:sz w:val="20"/>
          <w:szCs w:val="20"/>
          <w:lang w:val="es-ES"/>
        </w:rPr>
        <w:footnoteReference w:id="8"/>
      </w:r>
      <w:r w:rsidRPr="00FD4F59">
        <w:rPr>
          <w:rFonts w:asciiTheme="majorHAnsi" w:hAnsiTheme="majorHAnsi"/>
          <w:color w:val="000000"/>
          <w:sz w:val="20"/>
          <w:szCs w:val="20"/>
          <w:lang w:val="es-ES"/>
        </w:rPr>
        <w:t>, quienes habrían falsificado la pericia plenaria pra</w:t>
      </w:r>
      <w:r w:rsidR="002A1295" w:rsidRPr="00FD4F59">
        <w:rPr>
          <w:rFonts w:asciiTheme="majorHAnsi" w:hAnsiTheme="majorHAnsi"/>
          <w:color w:val="000000"/>
          <w:sz w:val="20"/>
          <w:szCs w:val="20"/>
          <w:lang w:val="es-ES"/>
        </w:rPr>
        <w:t xml:space="preserve">cticada en el marco de la causa por falsificación de instrumento público (Expte. No. </w:t>
      </w:r>
      <w:r w:rsidR="002A1295" w:rsidRPr="00FD4F59">
        <w:rPr>
          <w:rFonts w:asciiTheme="majorHAnsi" w:hAnsiTheme="majorHAnsi"/>
          <w:color w:val="000000"/>
          <w:sz w:val="20"/>
          <w:szCs w:val="20"/>
          <w:lang w:val="es-AR"/>
        </w:rPr>
        <w:t>21.375/96)</w:t>
      </w:r>
      <w:r w:rsidR="006000CB" w:rsidRPr="00FD4F59">
        <w:rPr>
          <w:rFonts w:asciiTheme="majorHAnsi" w:hAnsiTheme="majorHAnsi"/>
          <w:color w:val="000000"/>
          <w:sz w:val="20"/>
          <w:szCs w:val="20"/>
          <w:lang w:val="es-ES"/>
        </w:rPr>
        <w:t xml:space="preserve">. </w:t>
      </w:r>
      <w:r w:rsidR="00FA4C1C" w:rsidRPr="00FD4F59">
        <w:rPr>
          <w:rFonts w:asciiTheme="majorHAnsi" w:hAnsiTheme="majorHAnsi"/>
          <w:color w:val="000000"/>
          <w:sz w:val="20"/>
          <w:szCs w:val="20"/>
          <w:lang w:val="es-ES"/>
        </w:rPr>
        <w:t>Explica el Estado que</w:t>
      </w:r>
      <w:r w:rsidR="006000CB"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el 12 de abril de 1999</w:t>
      </w:r>
      <w:r w:rsidR="006000CB"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w:t>
      </w:r>
      <w:r w:rsidR="006000CB" w:rsidRPr="00FD4F59">
        <w:rPr>
          <w:rFonts w:asciiTheme="majorHAnsi" w:hAnsiTheme="majorHAnsi"/>
          <w:color w:val="000000"/>
          <w:sz w:val="20"/>
          <w:szCs w:val="20"/>
          <w:lang w:val="es-ES"/>
        </w:rPr>
        <w:t xml:space="preserve">el juzgado </w:t>
      </w:r>
      <w:r w:rsidR="00E21857" w:rsidRPr="00FD4F59">
        <w:rPr>
          <w:rFonts w:asciiTheme="majorHAnsi" w:hAnsiTheme="majorHAnsi"/>
          <w:color w:val="000000"/>
          <w:sz w:val="20"/>
          <w:szCs w:val="20"/>
          <w:lang w:val="es-ES"/>
        </w:rPr>
        <w:t xml:space="preserve">resolvió sobreseer a los 31 </w:t>
      </w:r>
      <w:r w:rsidR="00FA4C1C" w:rsidRPr="00FD4F59">
        <w:rPr>
          <w:rFonts w:asciiTheme="majorHAnsi" w:hAnsiTheme="majorHAnsi"/>
          <w:color w:val="000000"/>
          <w:sz w:val="20"/>
          <w:szCs w:val="20"/>
          <w:lang w:val="es-ES"/>
        </w:rPr>
        <w:t>médicos imputados</w:t>
      </w:r>
      <w:r w:rsidR="006000CB" w:rsidRPr="00FD4F59">
        <w:rPr>
          <w:rFonts w:asciiTheme="majorHAnsi" w:hAnsiTheme="majorHAnsi"/>
          <w:color w:val="000000"/>
          <w:sz w:val="20"/>
          <w:szCs w:val="20"/>
          <w:lang w:val="es-ES"/>
        </w:rPr>
        <w:t xml:space="preserve">, decisión que fue </w:t>
      </w:r>
      <w:r w:rsidR="00E21857" w:rsidRPr="00FD4F59">
        <w:rPr>
          <w:rFonts w:asciiTheme="majorHAnsi" w:hAnsiTheme="majorHAnsi"/>
          <w:color w:val="000000"/>
          <w:sz w:val="20"/>
          <w:szCs w:val="20"/>
          <w:lang w:val="es-ES"/>
        </w:rPr>
        <w:t>apelada por los peticionarios y confirmada por la Cámara de Apelaciones, el 6 de agosto de 1999.</w:t>
      </w:r>
      <w:r w:rsidR="004E14C6" w:rsidRPr="00FD4F59">
        <w:rPr>
          <w:rFonts w:asciiTheme="majorHAnsi" w:hAnsiTheme="majorHAnsi"/>
          <w:color w:val="000000"/>
          <w:sz w:val="20"/>
          <w:szCs w:val="20"/>
          <w:lang w:val="es-ES"/>
        </w:rPr>
        <w:t xml:space="preserve"> </w:t>
      </w:r>
      <w:r w:rsidR="00FA4C1C" w:rsidRPr="00FD4F59">
        <w:rPr>
          <w:rFonts w:asciiTheme="majorHAnsi" w:hAnsiTheme="majorHAnsi"/>
          <w:color w:val="000000"/>
          <w:sz w:val="20"/>
          <w:szCs w:val="20"/>
          <w:lang w:val="es-ES"/>
        </w:rPr>
        <w:t xml:space="preserve">Contra dicha decisión, </w:t>
      </w:r>
      <w:r w:rsidR="00573202" w:rsidRPr="00FD4F59">
        <w:rPr>
          <w:rFonts w:asciiTheme="majorHAnsi" w:hAnsiTheme="majorHAnsi"/>
          <w:color w:val="000000"/>
          <w:sz w:val="20"/>
          <w:szCs w:val="20"/>
          <w:lang w:val="es-ES"/>
        </w:rPr>
        <w:t>los peticionarios interpusieron</w:t>
      </w:r>
      <w:r w:rsidR="00E21857" w:rsidRPr="00FD4F59">
        <w:rPr>
          <w:rFonts w:asciiTheme="majorHAnsi" w:hAnsiTheme="majorHAnsi"/>
          <w:color w:val="000000"/>
          <w:sz w:val="20"/>
          <w:szCs w:val="20"/>
          <w:lang w:val="es-ES"/>
        </w:rPr>
        <w:t xml:space="preserve"> recurso de casación, el cual fue rec</w:t>
      </w:r>
      <w:r w:rsidR="00573202" w:rsidRPr="00FD4F59">
        <w:rPr>
          <w:rFonts w:asciiTheme="majorHAnsi" w:hAnsiTheme="majorHAnsi"/>
          <w:color w:val="000000"/>
          <w:sz w:val="20"/>
          <w:szCs w:val="20"/>
          <w:lang w:val="es-ES"/>
        </w:rPr>
        <w:t>hazado el 20 de octubre de 1999. Interpuesto el re</w:t>
      </w:r>
      <w:r w:rsidR="00E21857" w:rsidRPr="00FD4F59">
        <w:rPr>
          <w:rFonts w:asciiTheme="majorHAnsi" w:hAnsiTheme="majorHAnsi"/>
          <w:color w:val="000000"/>
          <w:sz w:val="20"/>
          <w:szCs w:val="20"/>
          <w:lang w:val="es-ES"/>
        </w:rPr>
        <w:t xml:space="preserve">curso de queja </w:t>
      </w:r>
      <w:r w:rsidR="00573202" w:rsidRPr="00FD4F59">
        <w:rPr>
          <w:rFonts w:asciiTheme="majorHAnsi" w:hAnsiTheme="majorHAnsi"/>
          <w:color w:val="000000"/>
          <w:sz w:val="20"/>
          <w:szCs w:val="20"/>
          <w:lang w:val="es-ES"/>
        </w:rPr>
        <w:t xml:space="preserve">por casación denegada, </w:t>
      </w:r>
      <w:r w:rsidR="00C219B2" w:rsidRPr="00FD4F59">
        <w:rPr>
          <w:rFonts w:asciiTheme="majorHAnsi" w:hAnsiTheme="majorHAnsi"/>
          <w:color w:val="000000"/>
          <w:sz w:val="20"/>
          <w:szCs w:val="20"/>
          <w:lang w:val="es-ES"/>
        </w:rPr>
        <w:t xml:space="preserve">la Cámara Nacional de Casación Penal resolvió </w:t>
      </w:r>
      <w:r w:rsidR="00E21857" w:rsidRPr="00FD4F59">
        <w:rPr>
          <w:rFonts w:asciiTheme="majorHAnsi" w:hAnsiTheme="majorHAnsi"/>
          <w:color w:val="000000"/>
          <w:sz w:val="20"/>
          <w:szCs w:val="20"/>
          <w:lang w:val="es-ES"/>
        </w:rPr>
        <w:t>desestima</w:t>
      </w:r>
      <w:r w:rsidR="00C219B2" w:rsidRPr="00FD4F59">
        <w:rPr>
          <w:rFonts w:asciiTheme="majorHAnsi" w:hAnsiTheme="majorHAnsi"/>
          <w:color w:val="000000"/>
          <w:sz w:val="20"/>
          <w:szCs w:val="20"/>
          <w:lang w:val="es-ES"/>
        </w:rPr>
        <w:t xml:space="preserve">rlo </w:t>
      </w:r>
      <w:r w:rsidR="00E21857" w:rsidRPr="00FD4F59">
        <w:rPr>
          <w:rFonts w:asciiTheme="majorHAnsi" w:hAnsiTheme="majorHAnsi"/>
          <w:color w:val="000000"/>
          <w:sz w:val="20"/>
          <w:szCs w:val="20"/>
          <w:lang w:val="es-ES"/>
        </w:rPr>
        <w:t>el 30 de marzo de 2000</w:t>
      </w:r>
      <w:r w:rsidR="00FA4C1C" w:rsidRPr="00FD4F59">
        <w:rPr>
          <w:rFonts w:asciiTheme="majorHAnsi" w:hAnsiTheme="majorHAnsi"/>
          <w:color w:val="000000"/>
          <w:sz w:val="20"/>
          <w:szCs w:val="20"/>
          <w:lang w:val="es-ES"/>
        </w:rPr>
        <w:t>.</w:t>
      </w:r>
      <w:r w:rsidR="00E21857" w:rsidRPr="00FD4F59">
        <w:rPr>
          <w:rFonts w:asciiTheme="majorHAnsi" w:hAnsiTheme="majorHAnsi"/>
          <w:color w:val="000000"/>
          <w:sz w:val="20"/>
          <w:szCs w:val="20"/>
          <w:lang w:val="es-ES"/>
        </w:rPr>
        <w:t xml:space="preserve"> </w:t>
      </w:r>
      <w:r w:rsidR="00FA4C1C" w:rsidRPr="00FD4F59">
        <w:rPr>
          <w:rFonts w:asciiTheme="majorHAnsi" w:hAnsiTheme="majorHAnsi"/>
          <w:color w:val="000000"/>
          <w:sz w:val="20"/>
          <w:szCs w:val="20"/>
          <w:lang w:val="es-ES"/>
        </w:rPr>
        <w:t xml:space="preserve">Contra dicha decisión, los peticionarios habrían </w:t>
      </w:r>
      <w:r w:rsidR="00FF5FCF" w:rsidRPr="00FD4F59">
        <w:rPr>
          <w:rFonts w:asciiTheme="majorHAnsi" w:hAnsiTheme="majorHAnsi"/>
          <w:color w:val="000000"/>
          <w:sz w:val="20"/>
          <w:szCs w:val="20"/>
          <w:lang w:val="es-ES"/>
        </w:rPr>
        <w:t>interpuesto</w:t>
      </w:r>
      <w:r w:rsidR="00FA4C1C" w:rsidRPr="00FD4F59">
        <w:rPr>
          <w:rFonts w:asciiTheme="majorHAnsi" w:hAnsiTheme="majorHAnsi"/>
          <w:color w:val="000000"/>
          <w:sz w:val="20"/>
          <w:szCs w:val="20"/>
          <w:lang w:val="es-ES"/>
        </w:rPr>
        <w:t xml:space="preserve"> </w:t>
      </w:r>
      <w:r w:rsidR="00E21857" w:rsidRPr="00FD4F59">
        <w:rPr>
          <w:rFonts w:asciiTheme="majorHAnsi" w:hAnsiTheme="majorHAnsi"/>
          <w:color w:val="000000"/>
          <w:sz w:val="20"/>
          <w:szCs w:val="20"/>
          <w:lang w:val="es-ES"/>
        </w:rPr>
        <w:t>recurso extraordinario federal</w:t>
      </w:r>
      <w:r w:rsidR="00FF5FCF" w:rsidRPr="00FD4F59">
        <w:rPr>
          <w:rFonts w:asciiTheme="majorHAnsi" w:hAnsiTheme="majorHAnsi"/>
          <w:color w:val="000000"/>
          <w:sz w:val="20"/>
          <w:szCs w:val="20"/>
          <w:lang w:val="es-ES"/>
        </w:rPr>
        <w:t>, el cual</w:t>
      </w:r>
      <w:r w:rsidR="00E21857" w:rsidRPr="00FD4F59">
        <w:rPr>
          <w:rFonts w:asciiTheme="majorHAnsi" w:hAnsiTheme="majorHAnsi"/>
          <w:color w:val="000000"/>
          <w:sz w:val="20"/>
          <w:szCs w:val="20"/>
          <w:lang w:val="es-ES"/>
        </w:rPr>
        <w:t xml:space="preserve"> fue </w:t>
      </w:r>
      <w:r w:rsidR="00FE1DB0" w:rsidRPr="00FD4F59">
        <w:rPr>
          <w:rFonts w:asciiTheme="majorHAnsi" w:hAnsiTheme="majorHAnsi"/>
          <w:color w:val="000000"/>
          <w:sz w:val="20"/>
          <w:szCs w:val="20"/>
          <w:lang w:val="es-ES"/>
        </w:rPr>
        <w:t>declarado inadmisible</w:t>
      </w:r>
      <w:r w:rsidR="00E21857" w:rsidRPr="00FD4F59">
        <w:rPr>
          <w:rFonts w:asciiTheme="majorHAnsi" w:hAnsiTheme="majorHAnsi"/>
          <w:color w:val="000000"/>
          <w:sz w:val="20"/>
          <w:szCs w:val="20"/>
          <w:lang w:val="es-ES"/>
        </w:rPr>
        <w:t xml:space="preserve"> </w:t>
      </w:r>
      <w:r w:rsidR="00FF5FCF" w:rsidRPr="00FD4F59">
        <w:rPr>
          <w:rFonts w:asciiTheme="majorHAnsi" w:hAnsiTheme="majorHAnsi"/>
          <w:color w:val="000000"/>
          <w:sz w:val="20"/>
          <w:szCs w:val="20"/>
          <w:lang w:val="es-ES"/>
        </w:rPr>
        <w:t xml:space="preserve">el </w:t>
      </w:r>
      <w:r w:rsidR="00E21857" w:rsidRPr="00FD4F59">
        <w:rPr>
          <w:rFonts w:asciiTheme="majorHAnsi" w:hAnsiTheme="majorHAnsi"/>
          <w:color w:val="000000"/>
          <w:sz w:val="20"/>
          <w:szCs w:val="20"/>
          <w:lang w:val="es-ES"/>
        </w:rPr>
        <w:t>17 de octubre de 2000</w:t>
      </w:r>
      <w:r w:rsidR="00EA4EB4" w:rsidRPr="00FD4F59">
        <w:rPr>
          <w:rFonts w:asciiTheme="majorHAnsi" w:hAnsiTheme="majorHAnsi"/>
          <w:color w:val="000000"/>
          <w:sz w:val="20"/>
          <w:szCs w:val="20"/>
          <w:lang w:val="es-ES"/>
        </w:rPr>
        <w:t xml:space="preserve">, notificándose </w:t>
      </w:r>
      <w:r w:rsidR="00FF5FCF" w:rsidRPr="00FD4F59">
        <w:rPr>
          <w:rFonts w:asciiTheme="majorHAnsi" w:hAnsiTheme="majorHAnsi"/>
          <w:color w:val="000000"/>
          <w:sz w:val="20"/>
          <w:szCs w:val="20"/>
          <w:lang w:val="es-ES"/>
        </w:rPr>
        <w:t xml:space="preserve">a los peticionarios </w:t>
      </w:r>
      <w:r w:rsidR="00E21857" w:rsidRPr="00FD4F59">
        <w:rPr>
          <w:rFonts w:asciiTheme="majorHAnsi" w:hAnsiTheme="majorHAnsi"/>
          <w:color w:val="000000"/>
          <w:sz w:val="20"/>
          <w:szCs w:val="20"/>
          <w:lang w:val="es-ES"/>
        </w:rPr>
        <w:t>el 19 de octubre del mismo año.</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C0AD4" w:rsidRDefault="00EC0AD4"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De manera subsidiaria</w:t>
      </w:r>
      <w:r w:rsidR="003A66ED" w:rsidRPr="00FD4F59">
        <w:rPr>
          <w:rFonts w:asciiTheme="majorHAnsi" w:hAnsiTheme="majorHAnsi"/>
          <w:color w:val="000000"/>
          <w:sz w:val="20"/>
          <w:szCs w:val="20"/>
          <w:lang w:val="es-ES"/>
        </w:rPr>
        <w:t xml:space="preserve">, el Estado </w:t>
      </w:r>
      <w:r w:rsidR="008C4FE1" w:rsidRPr="00FD4F59">
        <w:rPr>
          <w:rFonts w:asciiTheme="majorHAnsi" w:hAnsiTheme="majorHAnsi"/>
          <w:color w:val="000000"/>
          <w:sz w:val="20"/>
          <w:szCs w:val="20"/>
          <w:lang w:val="es-ES"/>
        </w:rPr>
        <w:t>alega que, del análisis detenido de las causas internas</w:t>
      </w:r>
      <w:r w:rsidRPr="00FD4F59">
        <w:rPr>
          <w:rFonts w:asciiTheme="majorHAnsi" w:hAnsiTheme="majorHAnsi"/>
          <w:color w:val="000000"/>
          <w:sz w:val="20"/>
          <w:szCs w:val="20"/>
          <w:lang w:val="es-ES"/>
        </w:rPr>
        <w:t>,</w:t>
      </w:r>
      <w:r w:rsidR="008C4FE1" w:rsidRPr="00FD4F59">
        <w:rPr>
          <w:rFonts w:asciiTheme="majorHAnsi" w:hAnsiTheme="majorHAnsi"/>
          <w:color w:val="000000"/>
          <w:sz w:val="20"/>
          <w:szCs w:val="20"/>
          <w:lang w:val="es-ES"/>
        </w:rPr>
        <w:t xml:space="preserve"> surge claramente que los procesos seguidos en contra de los médicos imputados se ajustaron a las garantías del debido proceso legal conforme los estándares exigidos por el derecho internacional de los derechos humanos y el artículo 8.1</w:t>
      </w:r>
      <w:r w:rsidRPr="00FD4F59">
        <w:rPr>
          <w:rFonts w:asciiTheme="majorHAnsi" w:hAnsiTheme="majorHAnsi"/>
          <w:color w:val="000000"/>
          <w:sz w:val="20"/>
          <w:szCs w:val="20"/>
          <w:lang w:val="es-ES"/>
        </w:rPr>
        <w:t xml:space="preserve"> de la Convención Americana. En tal sentido, puntualizó que no consta en los expedientes ningún elemento que permita sostener la inexistencia de independencia e imparcialidad de los jueces o los tribunales que absolvieron a los médicos imputados. Asevera el Estado que, los peticionarios, en su carácter de querellantes, nunca recusa</w:t>
      </w:r>
      <w:r w:rsidR="009D025C" w:rsidRPr="00FD4F59">
        <w:rPr>
          <w:rFonts w:asciiTheme="majorHAnsi" w:hAnsiTheme="majorHAnsi"/>
          <w:color w:val="000000"/>
          <w:sz w:val="20"/>
          <w:szCs w:val="20"/>
          <w:lang w:val="es-ES"/>
        </w:rPr>
        <w:t>ron</w:t>
      </w:r>
      <w:r w:rsidRPr="00FD4F59">
        <w:rPr>
          <w:rFonts w:asciiTheme="majorHAnsi" w:hAnsiTheme="majorHAnsi"/>
          <w:color w:val="000000"/>
          <w:sz w:val="20"/>
          <w:szCs w:val="20"/>
          <w:lang w:val="es-ES"/>
        </w:rPr>
        <w:t xml:space="preserve"> a los jueces intervinientes, siempre goza</w:t>
      </w:r>
      <w:r w:rsidR="009D025C" w:rsidRPr="00FD4F59">
        <w:rPr>
          <w:rFonts w:asciiTheme="majorHAnsi" w:hAnsiTheme="majorHAnsi"/>
          <w:color w:val="000000"/>
          <w:sz w:val="20"/>
          <w:szCs w:val="20"/>
          <w:lang w:val="es-ES"/>
        </w:rPr>
        <w:t>ron</w:t>
      </w:r>
      <w:r w:rsidRPr="00FD4F59">
        <w:rPr>
          <w:rFonts w:asciiTheme="majorHAnsi" w:hAnsiTheme="majorHAnsi"/>
          <w:color w:val="000000"/>
          <w:sz w:val="20"/>
          <w:szCs w:val="20"/>
          <w:lang w:val="es-ES"/>
        </w:rPr>
        <w:t xml:space="preserve"> plenamente de la posibilidad de efectuar todas las presentaciones que han considerado pertinentes, proponiendo las medidas tendientes a determinar la presunta responsabilidad de los médicos imputados y presenta</w:t>
      </w:r>
      <w:r w:rsidR="009D025C" w:rsidRPr="00FD4F59">
        <w:rPr>
          <w:rFonts w:asciiTheme="majorHAnsi" w:hAnsiTheme="majorHAnsi"/>
          <w:color w:val="000000"/>
          <w:sz w:val="20"/>
          <w:szCs w:val="20"/>
          <w:lang w:val="es-ES"/>
        </w:rPr>
        <w:t>ron</w:t>
      </w:r>
      <w:r w:rsidRPr="00FD4F59">
        <w:rPr>
          <w:rFonts w:asciiTheme="majorHAnsi" w:hAnsiTheme="majorHAnsi"/>
          <w:color w:val="000000"/>
          <w:sz w:val="20"/>
          <w:szCs w:val="20"/>
          <w:lang w:val="es-ES"/>
        </w:rPr>
        <w:t xml:space="preserve"> todas las impugnaciones que estimaron convenientes mediante los recursos procesales previstos por el derecho interno.</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C0AD4" w:rsidRDefault="00EC0AD4"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Adicionalmente, alega el Estado que los peticionarios no aportan pruebas que demuestren la existencia de presiones externas sobre los jueces y tribunales intervinientes que generen dudas serias sobre su independencia, no ofrecen elementos probatorios ciertos que demuestren </w:t>
      </w:r>
      <w:r w:rsidR="000F41DC" w:rsidRPr="00FD4F59">
        <w:rPr>
          <w:rFonts w:asciiTheme="majorHAnsi" w:hAnsiTheme="majorHAnsi"/>
          <w:color w:val="000000"/>
          <w:sz w:val="20"/>
          <w:szCs w:val="20"/>
          <w:lang w:val="es-ES"/>
        </w:rPr>
        <w:t>su</w:t>
      </w:r>
      <w:r w:rsidRPr="00FD4F59">
        <w:rPr>
          <w:rFonts w:asciiTheme="majorHAnsi" w:hAnsiTheme="majorHAnsi"/>
          <w:color w:val="000000"/>
          <w:sz w:val="20"/>
          <w:szCs w:val="20"/>
          <w:lang w:val="es-ES"/>
        </w:rPr>
        <w:t xml:space="preserve"> parcialidad subjetiva ni objetiva. Afirma que los peticionarios se refieren en términos generales a la </w:t>
      </w:r>
      <w:r w:rsidR="00FC0549">
        <w:rPr>
          <w:rFonts w:asciiTheme="majorHAnsi" w:hAnsiTheme="majorHAnsi"/>
          <w:color w:val="000000"/>
          <w:sz w:val="20"/>
          <w:szCs w:val="20"/>
          <w:lang w:val="es-ES"/>
        </w:rPr>
        <w:t>“</w:t>
      </w:r>
      <w:r w:rsidRPr="00FD4F59">
        <w:rPr>
          <w:rFonts w:asciiTheme="majorHAnsi" w:hAnsiTheme="majorHAnsi"/>
          <w:color w:val="000000"/>
          <w:sz w:val="20"/>
          <w:szCs w:val="20"/>
          <w:lang w:val="es-ES"/>
        </w:rPr>
        <w:t>falta de independencia</w:t>
      </w:r>
      <w:r w:rsidR="00FC054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pero no precisan ni demuestran concretamente la existencia de presiones externas concretas que hayan afectado la </w:t>
      </w:r>
      <w:r w:rsidRPr="00FD4F59">
        <w:rPr>
          <w:rFonts w:asciiTheme="majorHAnsi" w:hAnsiTheme="majorHAnsi"/>
          <w:color w:val="000000"/>
          <w:sz w:val="20"/>
          <w:szCs w:val="20"/>
          <w:lang w:val="es-ES"/>
        </w:rPr>
        <w:lastRenderedPageBreak/>
        <w:t xml:space="preserve">independencia de los jueces y tribunales que intervinieron en el ámbito interno. En tal sentido, según el Estado, puede concluirse que </w:t>
      </w:r>
      <w:r w:rsidR="00411423" w:rsidRPr="00FD4F59">
        <w:rPr>
          <w:rFonts w:asciiTheme="majorHAnsi" w:hAnsiTheme="majorHAnsi"/>
          <w:color w:val="000000"/>
          <w:sz w:val="20"/>
          <w:szCs w:val="20"/>
          <w:lang w:val="es-ES"/>
        </w:rPr>
        <w:t xml:space="preserve">las sentencias de las causas tramitadas a nivel doméstico fueron dictadas por tribunales internos </w:t>
      </w:r>
      <w:r w:rsidR="00057850" w:rsidRPr="00FD4F59">
        <w:rPr>
          <w:rFonts w:asciiTheme="majorHAnsi" w:hAnsiTheme="majorHAnsi"/>
          <w:color w:val="000000"/>
          <w:sz w:val="20"/>
          <w:szCs w:val="20"/>
          <w:lang w:val="es-ES"/>
        </w:rPr>
        <w:t>que actuaron en la esfera de su competencia y aplicando las debidas garantías judiciales.</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3A66ED" w:rsidRDefault="00EC0AD4"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Agrega </w:t>
      </w:r>
      <w:r w:rsidR="00FE705C" w:rsidRPr="00FD4F59">
        <w:rPr>
          <w:rFonts w:asciiTheme="majorHAnsi" w:hAnsiTheme="majorHAnsi"/>
          <w:color w:val="000000"/>
          <w:sz w:val="20"/>
          <w:szCs w:val="20"/>
          <w:lang w:val="es-ES"/>
        </w:rPr>
        <w:t xml:space="preserve">el Estado </w:t>
      </w:r>
      <w:r w:rsidRPr="00FD4F59">
        <w:rPr>
          <w:rFonts w:asciiTheme="majorHAnsi" w:hAnsiTheme="majorHAnsi"/>
          <w:color w:val="000000"/>
          <w:sz w:val="20"/>
          <w:szCs w:val="20"/>
          <w:lang w:val="es-ES"/>
        </w:rPr>
        <w:t xml:space="preserve">que las alegaciones de los peticionarios respecto de la vulneración a su derecho a ser oídos, </w:t>
      </w:r>
      <w:r w:rsidR="00FE705C" w:rsidRPr="00FD4F59">
        <w:rPr>
          <w:rFonts w:asciiTheme="majorHAnsi" w:hAnsiTheme="majorHAnsi"/>
          <w:color w:val="000000"/>
          <w:sz w:val="20"/>
          <w:szCs w:val="20"/>
          <w:lang w:val="es-ES"/>
        </w:rPr>
        <w:t xml:space="preserve">la falta de garantías procesales mínimas y tribunales independientes e imparciales, así como la ausencia de sentencias fundadas, son genéricas y no cuentan con prueba que respalde su alegato. Según afirma, los peticionarios se limitan a mencionar que los fallos emitidos por las distintas instancias judiciales fueron “equivocados en sus razonamientos” y que no tomaron en cuenta hechos y pruebas esenciales para demostrar la responsabilidad penal de los imputados. </w:t>
      </w:r>
      <w:r w:rsidR="008C4FE1" w:rsidRPr="00FD4F59">
        <w:rPr>
          <w:rFonts w:asciiTheme="majorHAnsi" w:hAnsiTheme="majorHAnsi"/>
          <w:color w:val="000000"/>
          <w:sz w:val="20"/>
          <w:szCs w:val="20"/>
          <w:lang w:val="es-ES"/>
        </w:rPr>
        <w:t>En vista de ello, entiende el Estado que si la CIDH admitiera la presente petición estaría incurriendo en un supuesto de cuarta instancia.</w:t>
      </w:r>
    </w:p>
    <w:p w:rsidR="007D4D73" w:rsidRDefault="007D4D73" w:rsidP="007D4D73">
      <w:pPr>
        <w:pStyle w:val="ListParagraph"/>
        <w:rPr>
          <w:rFonts w:asciiTheme="majorHAnsi" w:hAnsiTheme="majorHAnsi"/>
          <w:sz w:val="20"/>
          <w:szCs w:val="20"/>
          <w:lang w:val="es-ES"/>
        </w:rPr>
      </w:pPr>
    </w:p>
    <w:p w:rsidR="00FE705C" w:rsidRDefault="002656BC"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En carácter de “</w:t>
      </w:r>
      <w:r w:rsidR="00FE705C" w:rsidRPr="00FD4F59">
        <w:rPr>
          <w:rFonts w:asciiTheme="majorHAnsi" w:hAnsiTheme="majorHAnsi"/>
          <w:color w:val="000000"/>
          <w:sz w:val="20"/>
          <w:szCs w:val="20"/>
          <w:lang w:val="es-ES"/>
        </w:rPr>
        <w:t>reflexi</w:t>
      </w:r>
      <w:r w:rsidRPr="00FD4F59">
        <w:rPr>
          <w:rFonts w:asciiTheme="majorHAnsi" w:hAnsiTheme="majorHAnsi"/>
          <w:color w:val="000000"/>
          <w:sz w:val="20"/>
          <w:szCs w:val="20"/>
          <w:lang w:val="es-ES"/>
        </w:rPr>
        <w:t>o</w:t>
      </w:r>
      <w:r w:rsidR="00FE705C" w:rsidRPr="00FD4F59">
        <w:rPr>
          <w:rFonts w:asciiTheme="majorHAnsi" w:hAnsiTheme="majorHAnsi"/>
          <w:color w:val="000000"/>
          <w:sz w:val="20"/>
          <w:szCs w:val="20"/>
          <w:lang w:val="es-ES"/>
        </w:rPr>
        <w:t>n</w:t>
      </w:r>
      <w:r w:rsidRPr="00FD4F59">
        <w:rPr>
          <w:rFonts w:asciiTheme="majorHAnsi" w:hAnsiTheme="majorHAnsi"/>
          <w:color w:val="000000"/>
          <w:sz w:val="20"/>
          <w:szCs w:val="20"/>
          <w:lang w:val="es-ES"/>
        </w:rPr>
        <w:t>es</w:t>
      </w:r>
      <w:r w:rsidR="00FE705C" w:rsidRPr="00FD4F59">
        <w:rPr>
          <w:rFonts w:asciiTheme="majorHAnsi" w:hAnsiTheme="majorHAnsi"/>
          <w:color w:val="000000"/>
          <w:sz w:val="20"/>
          <w:szCs w:val="20"/>
          <w:lang w:val="es-ES"/>
        </w:rPr>
        <w:t xml:space="preserve"> final</w:t>
      </w:r>
      <w:r w:rsidRPr="00FD4F59">
        <w:rPr>
          <w:rFonts w:asciiTheme="majorHAnsi" w:hAnsiTheme="majorHAnsi"/>
          <w:color w:val="000000"/>
          <w:sz w:val="20"/>
          <w:szCs w:val="20"/>
          <w:lang w:val="es-ES"/>
        </w:rPr>
        <w:t>es”</w:t>
      </w:r>
      <w:r w:rsidR="00FE705C" w:rsidRPr="00FD4F59">
        <w:rPr>
          <w:rFonts w:asciiTheme="majorHAnsi" w:hAnsiTheme="majorHAnsi"/>
          <w:color w:val="000000"/>
          <w:sz w:val="20"/>
          <w:szCs w:val="20"/>
          <w:lang w:val="es-ES"/>
        </w:rPr>
        <w:t xml:space="preserve">, el Estado señala que la cadena de pericias, que los peticionarios alegan </w:t>
      </w:r>
      <w:r w:rsidR="00EC1CF2">
        <w:rPr>
          <w:rFonts w:asciiTheme="majorHAnsi" w:hAnsiTheme="majorHAnsi"/>
          <w:color w:val="000000"/>
          <w:sz w:val="20"/>
          <w:szCs w:val="20"/>
          <w:lang w:val="es-ES"/>
        </w:rPr>
        <w:t xml:space="preserve">fueron </w:t>
      </w:r>
      <w:r w:rsidR="00FE705C" w:rsidRPr="00FD4F59">
        <w:rPr>
          <w:rFonts w:asciiTheme="majorHAnsi" w:hAnsiTheme="majorHAnsi"/>
          <w:color w:val="000000"/>
          <w:sz w:val="20"/>
          <w:szCs w:val="20"/>
          <w:lang w:val="es-ES"/>
        </w:rPr>
        <w:t xml:space="preserve">falsificadas </w:t>
      </w:r>
      <w:r w:rsidR="00EC1CF2">
        <w:rPr>
          <w:rFonts w:asciiTheme="majorHAnsi" w:hAnsiTheme="majorHAnsi"/>
          <w:color w:val="000000"/>
          <w:sz w:val="20"/>
          <w:szCs w:val="20"/>
          <w:lang w:val="es-ES"/>
        </w:rPr>
        <w:t xml:space="preserve">al efecto </w:t>
      </w:r>
      <w:r w:rsidR="00FE705C" w:rsidRPr="00FD4F59">
        <w:rPr>
          <w:rFonts w:asciiTheme="majorHAnsi" w:hAnsiTheme="majorHAnsi"/>
          <w:color w:val="000000"/>
          <w:sz w:val="20"/>
          <w:szCs w:val="20"/>
          <w:lang w:val="es-ES"/>
        </w:rPr>
        <w:t>de encubrir a personal médico, han sido dejadas sin efecto en el ámbito interno. La última de ellas</w:t>
      </w:r>
      <w:r w:rsidRPr="00FD4F59">
        <w:rPr>
          <w:rFonts w:asciiTheme="majorHAnsi" w:hAnsiTheme="majorHAnsi"/>
          <w:color w:val="000000"/>
          <w:sz w:val="20"/>
          <w:szCs w:val="20"/>
          <w:lang w:val="es-ES"/>
        </w:rPr>
        <w:t xml:space="preserve"> —</w:t>
      </w:r>
      <w:r w:rsidR="00FE705C" w:rsidRPr="00FD4F59">
        <w:rPr>
          <w:rFonts w:asciiTheme="majorHAnsi" w:hAnsiTheme="majorHAnsi"/>
          <w:color w:val="000000"/>
          <w:sz w:val="20"/>
          <w:szCs w:val="20"/>
          <w:lang w:val="es-ES"/>
        </w:rPr>
        <w:t>la realizada por el plenario del Cuerpo Médico Forense</w:t>
      </w:r>
      <w:r w:rsidRPr="00FD4F59">
        <w:rPr>
          <w:rFonts w:asciiTheme="majorHAnsi" w:hAnsiTheme="majorHAnsi"/>
          <w:color w:val="000000"/>
          <w:sz w:val="20"/>
          <w:szCs w:val="20"/>
          <w:lang w:val="es-ES"/>
        </w:rPr>
        <w:t>—</w:t>
      </w:r>
      <w:r w:rsidR="00FE705C" w:rsidRPr="00FD4F59">
        <w:rPr>
          <w:rFonts w:asciiTheme="majorHAnsi" w:hAnsiTheme="majorHAnsi"/>
          <w:color w:val="000000"/>
          <w:sz w:val="20"/>
          <w:szCs w:val="20"/>
          <w:lang w:val="es-ES"/>
        </w:rPr>
        <w:t xml:space="preserve"> fue descalificada por la Cámara del </w:t>
      </w:r>
      <w:r w:rsidR="008B676A" w:rsidRPr="00FD4F59">
        <w:rPr>
          <w:rFonts w:asciiTheme="majorHAnsi" w:hAnsiTheme="majorHAnsi"/>
          <w:color w:val="000000"/>
          <w:sz w:val="20"/>
          <w:szCs w:val="20"/>
          <w:lang w:val="es-ES"/>
        </w:rPr>
        <w:t>Crimen</w:t>
      </w:r>
      <w:r w:rsidRPr="00FD4F59">
        <w:rPr>
          <w:rFonts w:asciiTheme="majorHAnsi" w:hAnsiTheme="majorHAnsi"/>
          <w:color w:val="000000"/>
          <w:sz w:val="20"/>
          <w:szCs w:val="20"/>
          <w:lang w:val="es-ES"/>
        </w:rPr>
        <w:t xml:space="preserve"> y luego fue ordenada una nueva pericia, respecto de la cual no luce cuestionamiento alguno por parte de los denunciantes, al menos en los actuados. Por último, agregó que el mero hecho de que el personal médico que ha sido objeto de denuncia por parte de los peticionarios no haya sido condenado por los delitos que estos les atribuyen, no supone </w:t>
      </w:r>
      <w:r w:rsidRPr="00FD4F59">
        <w:rPr>
          <w:rFonts w:asciiTheme="majorHAnsi" w:hAnsiTheme="majorHAnsi"/>
          <w:i/>
          <w:color w:val="000000"/>
          <w:sz w:val="20"/>
          <w:szCs w:val="20"/>
          <w:lang w:val="es-ES"/>
        </w:rPr>
        <w:t>per se</w:t>
      </w:r>
      <w:r w:rsidRPr="00FD4F59">
        <w:rPr>
          <w:rFonts w:asciiTheme="majorHAnsi" w:hAnsiTheme="majorHAnsi"/>
          <w:color w:val="000000"/>
          <w:sz w:val="20"/>
          <w:szCs w:val="20"/>
          <w:lang w:val="es-ES"/>
        </w:rPr>
        <w:t xml:space="preserve"> que se hubieran configurado violaciones a las garantías judiciales, en tanto y en cuanto los magistrados intervinientes “han entendido que no existían elementos suficientes para que los citados forenses sean sometidos a juicio”.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8F6D64" w:rsidRPr="007D4D73" w:rsidRDefault="008F6D64" w:rsidP="007D4D73">
      <w:pPr>
        <w:pStyle w:val="Heading1"/>
      </w:pPr>
      <w:r w:rsidRPr="007D4D73">
        <w:t>ANÁLISIS</w:t>
      </w:r>
    </w:p>
    <w:p w:rsidR="007D4D73" w:rsidRPr="007D4D73" w:rsidRDefault="007D4D73" w:rsidP="007D4D73">
      <w:pPr>
        <w:rPr>
          <w:lang w:val="es-ES_tradnl"/>
        </w:rPr>
      </w:pPr>
    </w:p>
    <w:p w:rsidR="00E21857" w:rsidRDefault="008F6D64" w:rsidP="00FD4F59">
      <w:pPr>
        <w:pStyle w:val="Heading2"/>
        <w:tabs>
          <w:tab w:val="left" w:pos="0"/>
        </w:tabs>
        <w:ind w:left="0" w:firstLine="720"/>
        <w:rPr>
          <w:rFonts w:asciiTheme="majorHAnsi" w:hAnsiTheme="majorHAnsi"/>
          <w:b/>
        </w:rPr>
      </w:pPr>
      <w:r w:rsidRPr="00FD4F59">
        <w:rPr>
          <w:rFonts w:asciiTheme="majorHAnsi" w:hAnsiTheme="majorHAnsi"/>
          <w:b/>
        </w:rPr>
        <w:t xml:space="preserve">Competencia </w:t>
      </w:r>
    </w:p>
    <w:p w:rsidR="007D4D73" w:rsidRPr="007D4D73" w:rsidRDefault="007D4D73" w:rsidP="007D4D73">
      <w:pPr>
        <w:rPr>
          <w:lang w:val="es-ES_tradnl" w:eastAsia="es-ES"/>
        </w:rPr>
      </w:pPr>
    </w:p>
    <w:p w:rsidR="00E21857"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Los peticionarios están legitimados para presentar una petición ante la Comisión conforme a lo previsto en el artículo 44 de la Convención Americana y 23 de su Reglamento.</w:t>
      </w:r>
      <w:r w:rsidR="004E14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La petición señala como presunta víctima a una persona respecto del cual el Estado ha asumido el compromiso de respetar y garantizar los derechos reconocidos por la Convención Americana a partir del 5 de septiembre de 1984, fecha de depósito del instrumento de ratificación de Argentina.</w:t>
      </w:r>
      <w:r w:rsidR="004E14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Por lo tanto, la Comisión posee competencia </w:t>
      </w:r>
      <w:r w:rsidRPr="00FD4F59">
        <w:rPr>
          <w:rFonts w:asciiTheme="majorHAnsi" w:hAnsiTheme="majorHAnsi"/>
          <w:i/>
          <w:color w:val="000000"/>
          <w:sz w:val="20"/>
          <w:szCs w:val="20"/>
          <w:lang w:val="es-ES"/>
        </w:rPr>
        <w:t>ratione personae</w:t>
      </w:r>
      <w:r w:rsidRPr="00FD4F59">
        <w:rPr>
          <w:rFonts w:asciiTheme="majorHAnsi" w:hAnsiTheme="majorHAnsi"/>
          <w:color w:val="000000"/>
          <w:sz w:val="20"/>
          <w:szCs w:val="20"/>
          <w:lang w:val="es-ES"/>
        </w:rPr>
        <w:t xml:space="preserve"> para examinar la petición.</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La Comisión posee competencia </w:t>
      </w:r>
      <w:r w:rsidRPr="00FD4F59">
        <w:rPr>
          <w:rFonts w:asciiTheme="majorHAnsi" w:hAnsiTheme="majorHAnsi"/>
          <w:i/>
          <w:color w:val="000000"/>
          <w:sz w:val="20"/>
          <w:szCs w:val="20"/>
          <w:lang w:val="es-ES"/>
        </w:rPr>
        <w:t>ratione loci</w:t>
      </w:r>
      <w:r w:rsidRPr="00FD4F59">
        <w:rPr>
          <w:rFonts w:asciiTheme="majorHAnsi" w:hAnsiTheme="majorHAnsi"/>
          <w:color w:val="000000"/>
          <w:sz w:val="20"/>
          <w:szCs w:val="20"/>
          <w:lang w:val="es-ES"/>
        </w:rPr>
        <w:t xml:space="preserve"> para considerar la petición por hechos que se alegan como ocurridos </w:t>
      </w:r>
      <w:r w:rsidR="00612D38" w:rsidRPr="00FD4F59">
        <w:rPr>
          <w:rFonts w:asciiTheme="majorHAnsi" w:hAnsiTheme="majorHAnsi"/>
          <w:color w:val="000000"/>
          <w:sz w:val="20"/>
          <w:szCs w:val="20"/>
          <w:lang w:val="es-ES"/>
        </w:rPr>
        <w:t>bajo la jurisdicción de</w:t>
      </w:r>
      <w:r w:rsidRPr="00FD4F59">
        <w:rPr>
          <w:rFonts w:asciiTheme="majorHAnsi" w:hAnsiTheme="majorHAnsi"/>
          <w:color w:val="000000"/>
          <w:sz w:val="20"/>
          <w:szCs w:val="20"/>
          <w:lang w:val="es-ES"/>
        </w:rPr>
        <w:t xml:space="preserve"> un Estado parte de la Convención Americana.</w:t>
      </w:r>
      <w:r w:rsidR="004E14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La Comisión también cuenta con competencia </w:t>
      </w:r>
      <w:r w:rsidRPr="00FD4F59">
        <w:rPr>
          <w:rFonts w:asciiTheme="majorHAnsi" w:hAnsiTheme="majorHAnsi"/>
          <w:i/>
          <w:color w:val="000000"/>
          <w:sz w:val="20"/>
          <w:szCs w:val="20"/>
          <w:lang w:val="es-ES"/>
        </w:rPr>
        <w:t>ratione temporis</w:t>
      </w:r>
      <w:r w:rsidRPr="00FD4F59">
        <w:rPr>
          <w:rFonts w:asciiTheme="majorHAnsi" w:hAnsiTheme="majorHAnsi"/>
          <w:color w:val="000000"/>
          <w:sz w:val="20"/>
          <w:szCs w:val="20"/>
          <w:lang w:val="es-ES"/>
        </w:rPr>
        <w:t xml:space="preserve"> para examinar esta petición bajo la Convención Americana por los hechos ocurridos con posterioridad a la ratificación de la Convención Americana.</w:t>
      </w:r>
      <w:r w:rsidR="004E14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Finalmente, la Comisión posee competencia </w:t>
      </w:r>
      <w:r w:rsidRPr="00FD4F59">
        <w:rPr>
          <w:rFonts w:asciiTheme="majorHAnsi" w:hAnsiTheme="majorHAnsi"/>
          <w:i/>
          <w:color w:val="000000"/>
          <w:sz w:val="20"/>
          <w:szCs w:val="20"/>
          <w:lang w:val="es-ES"/>
        </w:rPr>
        <w:t>ratione materiae</w:t>
      </w:r>
      <w:r w:rsidRPr="00FD4F59">
        <w:rPr>
          <w:rFonts w:asciiTheme="majorHAnsi" w:hAnsiTheme="majorHAnsi"/>
          <w:color w:val="000000"/>
          <w:sz w:val="20"/>
          <w:szCs w:val="20"/>
          <w:lang w:val="es-ES"/>
        </w:rPr>
        <w:t xml:space="preserve"> porque de los hechos alegados se desprenden posibles violaciones a los derechos protegidos por la Convención Americana.</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E21857" w:rsidRDefault="0023306D" w:rsidP="00FD4F59">
      <w:pPr>
        <w:pStyle w:val="Heading2"/>
        <w:numPr>
          <w:ilvl w:val="0"/>
          <w:numId w:val="0"/>
        </w:numPr>
        <w:tabs>
          <w:tab w:val="left" w:pos="0"/>
        </w:tabs>
        <w:ind w:firstLine="720"/>
        <w:rPr>
          <w:rFonts w:asciiTheme="majorHAnsi" w:hAnsiTheme="majorHAnsi"/>
          <w:b/>
        </w:rPr>
      </w:pPr>
      <w:r w:rsidRPr="00FD4F59">
        <w:rPr>
          <w:rFonts w:asciiTheme="majorHAnsi" w:hAnsiTheme="majorHAnsi"/>
          <w:b/>
        </w:rPr>
        <w:t>B.</w:t>
      </w:r>
      <w:r w:rsidRPr="00FD4F59">
        <w:rPr>
          <w:rFonts w:asciiTheme="majorHAnsi" w:hAnsiTheme="majorHAnsi"/>
          <w:b/>
        </w:rPr>
        <w:tab/>
        <w:t>Requisititos de admisibilida</w:t>
      </w:r>
      <w:r w:rsidR="009D3666" w:rsidRPr="00FD4F59">
        <w:rPr>
          <w:rFonts w:asciiTheme="majorHAnsi" w:hAnsiTheme="majorHAnsi"/>
          <w:b/>
        </w:rPr>
        <w:t>d</w:t>
      </w:r>
    </w:p>
    <w:p w:rsidR="007D4D73" w:rsidRPr="007D4D73" w:rsidRDefault="007D4D73" w:rsidP="007D4D73">
      <w:pPr>
        <w:rPr>
          <w:lang w:val="es-ES_tradnl" w:eastAsia="es-ES"/>
        </w:rPr>
      </w:pPr>
    </w:p>
    <w:p w:rsidR="0023306D" w:rsidRDefault="0023306D" w:rsidP="00FD4F59">
      <w:pPr>
        <w:pStyle w:val="Heading3"/>
        <w:tabs>
          <w:tab w:val="clear" w:pos="720"/>
          <w:tab w:val="left" w:pos="0"/>
        </w:tabs>
        <w:ind w:left="0" w:firstLine="720"/>
        <w:rPr>
          <w:rFonts w:asciiTheme="majorHAnsi" w:hAnsiTheme="majorHAnsi"/>
          <w:b/>
        </w:rPr>
      </w:pPr>
      <w:r w:rsidRPr="00FD4F59">
        <w:rPr>
          <w:rFonts w:asciiTheme="majorHAnsi" w:hAnsiTheme="majorHAnsi"/>
          <w:b/>
        </w:rPr>
        <w:t>Agotamiento de los recursos internos</w:t>
      </w:r>
    </w:p>
    <w:p w:rsidR="007D4D73" w:rsidRPr="007D4D73" w:rsidRDefault="007D4D73" w:rsidP="007D4D73">
      <w:pPr>
        <w:rPr>
          <w:lang w:val="es-ES" w:eastAsia="es-ES"/>
        </w:rPr>
      </w:pPr>
    </w:p>
    <w:p w:rsidR="00E21857" w:rsidRDefault="00FF5FCF"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80"/>
          <w:tab w:val="num" w:pos="1440"/>
        </w:tabs>
        <w:ind w:left="0" w:firstLine="720"/>
        <w:jc w:val="both"/>
        <w:rPr>
          <w:rFonts w:asciiTheme="majorHAnsi" w:hAnsiTheme="majorHAnsi"/>
          <w:color w:val="000000"/>
          <w:sz w:val="20"/>
          <w:szCs w:val="20"/>
          <w:lang w:val="es-AR"/>
        </w:rPr>
      </w:pPr>
      <w:r w:rsidRPr="00FD4F59">
        <w:rPr>
          <w:rFonts w:asciiTheme="majorHAnsi" w:hAnsiTheme="majorHAnsi"/>
          <w:color w:val="000000"/>
          <w:sz w:val="20"/>
          <w:szCs w:val="20"/>
          <w:lang w:val="es-ES"/>
        </w:rPr>
        <w:t>El artículo 46.1.a</w:t>
      </w:r>
      <w:r w:rsidR="00E21857" w:rsidRPr="00FD4F59">
        <w:rPr>
          <w:rFonts w:asciiTheme="majorHAnsi" w:hAnsiTheme="majorHAnsi"/>
          <w:color w:val="000000"/>
          <w:sz w:val="20"/>
          <w:szCs w:val="20"/>
          <w:lang w:val="es-ES"/>
        </w:rPr>
        <w:t xml:space="preserve"> de la Convención Americana</w:t>
      </w:r>
      <w:r w:rsidRPr="00FD4F59">
        <w:rPr>
          <w:rFonts w:asciiTheme="majorHAnsi" w:hAnsiTheme="majorHAnsi"/>
          <w:color w:val="000000"/>
          <w:sz w:val="20"/>
          <w:szCs w:val="20"/>
          <w:lang w:val="es-ES"/>
        </w:rPr>
        <w:t xml:space="preserve"> establece que, p</w:t>
      </w:r>
      <w:r w:rsidRPr="00FD4F59">
        <w:rPr>
          <w:rFonts w:asciiTheme="majorHAnsi" w:hAnsiTheme="majorHAnsi"/>
          <w:color w:val="000000"/>
          <w:sz w:val="20"/>
          <w:szCs w:val="20"/>
          <w:lang w:val="es-AR"/>
        </w:rPr>
        <w:t>ara que una petición sea admitida por la Comisión, se requerirá que se hayan interpuesto y agotado los recursos de jurisdicción interna, conforme a los principios del Derecho Internacional generalmente reconocidos.</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both"/>
        <w:rPr>
          <w:rFonts w:asciiTheme="majorHAnsi" w:hAnsiTheme="majorHAnsi"/>
          <w:color w:val="000000"/>
          <w:sz w:val="20"/>
          <w:szCs w:val="20"/>
          <w:lang w:val="es-AR"/>
        </w:rPr>
      </w:pPr>
    </w:p>
    <w:p w:rsidR="00FF5FCF" w:rsidRPr="007D4D73" w:rsidRDefault="006E0CCF"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ind w:left="0" w:firstLine="720"/>
        <w:jc w:val="both"/>
        <w:rPr>
          <w:rFonts w:asciiTheme="majorHAnsi" w:hAnsiTheme="majorHAnsi" w:cs="Calibri"/>
          <w:snapToGrid w:val="0"/>
          <w:sz w:val="20"/>
          <w:szCs w:val="20"/>
          <w:lang w:val="es-ES"/>
        </w:rPr>
      </w:pPr>
      <w:r w:rsidRPr="00FD4F59">
        <w:rPr>
          <w:rFonts w:asciiTheme="majorHAnsi" w:hAnsiTheme="majorHAnsi" w:cs="Calibri"/>
          <w:sz w:val="20"/>
          <w:szCs w:val="20"/>
          <w:lang w:val="es-ES"/>
        </w:rPr>
        <w:t>En atención a ello</w:t>
      </w:r>
      <w:r w:rsidR="00D44F02" w:rsidRPr="00FD4F59">
        <w:rPr>
          <w:rFonts w:asciiTheme="majorHAnsi" w:hAnsiTheme="majorHAnsi" w:cs="Calibri"/>
          <w:sz w:val="20"/>
          <w:szCs w:val="20"/>
          <w:lang w:val="es-ES"/>
        </w:rPr>
        <w:t>,</w:t>
      </w:r>
      <w:r w:rsidRPr="00FD4F59">
        <w:rPr>
          <w:rFonts w:asciiTheme="majorHAnsi" w:hAnsiTheme="majorHAnsi" w:cs="Calibri"/>
          <w:sz w:val="20"/>
          <w:szCs w:val="20"/>
          <w:lang w:val="es-ES"/>
        </w:rPr>
        <w:t xml:space="preserve"> c</w:t>
      </w:r>
      <w:r w:rsidR="00FF5FCF" w:rsidRPr="00FD4F59">
        <w:rPr>
          <w:rFonts w:asciiTheme="majorHAnsi" w:hAnsiTheme="majorHAnsi" w:cs="Calibri"/>
          <w:sz w:val="20"/>
          <w:szCs w:val="20"/>
          <w:lang w:val="es-ES"/>
        </w:rPr>
        <w:t>orresponde</w:t>
      </w:r>
      <w:r w:rsidR="00F92680" w:rsidRPr="00FD4F59">
        <w:rPr>
          <w:rFonts w:asciiTheme="majorHAnsi" w:hAnsiTheme="majorHAnsi" w:cs="Calibri"/>
          <w:sz w:val="20"/>
          <w:szCs w:val="20"/>
          <w:lang w:val="es-ES"/>
        </w:rPr>
        <w:t>,</w:t>
      </w:r>
      <w:r w:rsidR="00FF5FCF" w:rsidRPr="00FD4F59">
        <w:rPr>
          <w:rFonts w:asciiTheme="majorHAnsi" w:hAnsiTheme="majorHAnsi" w:cs="Calibri"/>
          <w:sz w:val="20"/>
          <w:szCs w:val="20"/>
          <w:lang w:val="es-ES"/>
        </w:rPr>
        <w:t xml:space="preserve"> en primer término</w:t>
      </w:r>
      <w:r w:rsidR="00F92680" w:rsidRPr="00FD4F59">
        <w:rPr>
          <w:rFonts w:asciiTheme="majorHAnsi" w:hAnsiTheme="majorHAnsi" w:cs="Calibri"/>
          <w:sz w:val="20"/>
          <w:szCs w:val="20"/>
          <w:lang w:val="es-ES"/>
        </w:rPr>
        <w:t>,</w:t>
      </w:r>
      <w:r w:rsidR="00FF5FCF" w:rsidRPr="00FD4F59">
        <w:rPr>
          <w:rFonts w:asciiTheme="majorHAnsi" w:hAnsiTheme="majorHAnsi" w:cs="Calibri"/>
          <w:sz w:val="20"/>
          <w:szCs w:val="20"/>
          <w:lang w:val="es-ES"/>
        </w:rPr>
        <w:t xml:space="preserve"> aclarar cuáles son los recursos internos que deben ser agotados</w:t>
      </w:r>
      <w:r w:rsidR="00D44F02" w:rsidRPr="00FD4F59">
        <w:rPr>
          <w:rFonts w:asciiTheme="majorHAnsi" w:hAnsiTheme="majorHAnsi" w:cs="Calibri"/>
          <w:sz w:val="20"/>
          <w:szCs w:val="20"/>
          <w:lang w:val="es-ES"/>
        </w:rPr>
        <w:t xml:space="preserve"> para que la presente petición sea admisible</w:t>
      </w:r>
      <w:r w:rsidR="00FF5FCF" w:rsidRPr="00FD4F59">
        <w:rPr>
          <w:rFonts w:asciiTheme="majorHAnsi" w:hAnsiTheme="majorHAnsi" w:cs="Calibri"/>
          <w:sz w:val="20"/>
          <w:szCs w:val="20"/>
          <w:lang w:val="es-ES"/>
        </w:rPr>
        <w:t xml:space="preserve">. La Comisión observa que el objeto de la presente petición se refiere a </w:t>
      </w:r>
      <w:r w:rsidR="006A1B81" w:rsidRPr="00FD4F59">
        <w:rPr>
          <w:rFonts w:asciiTheme="majorHAnsi" w:hAnsiTheme="majorHAnsi" w:cs="Calibri"/>
          <w:sz w:val="20"/>
          <w:szCs w:val="20"/>
          <w:lang w:val="es-ES"/>
        </w:rPr>
        <w:t xml:space="preserve">la alegada negligencia de personal médico del </w:t>
      </w:r>
      <w:r w:rsidR="006A1B81" w:rsidRPr="00FD4F59">
        <w:rPr>
          <w:rFonts w:asciiTheme="majorHAnsi" w:hAnsiTheme="majorHAnsi"/>
          <w:color w:val="000000"/>
          <w:sz w:val="20"/>
          <w:szCs w:val="20"/>
          <w:lang w:val="es-ES"/>
        </w:rPr>
        <w:t xml:space="preserve">hospital público </w:t>
      </w:r>
      <w:r w:rsidR="000F41DC" w:rsidRPr="00FD4F59">
        <w:rPr>
          <w:rFonts w:asciiTheme="majorHAnsi" w:hAnsiTheme="majorHAnsi"/>
          <w:color w:val="000000"/>
          <w:sz w:val="20"/>
          <w:szCs w:val="20"/>
          <w:lang w:val="es-ES"/>
        </w:rPr>
        <w:t xml:space="preserve">Materno Infantil </w:t>
      </w:r>
      <w:r w:rsidR="006A1B81" w:rsidRPr="00FD4F59">
        <w:rPr>
          <w:rFonts w:asciiTheme="majorHAnsi" w:hAnsiTheme="majorHAnsi"/>
          <w:color w:val="000000"/>
          <w:sz w:val="20"/>
          <w:szCs w:val="20"/>
          <w:lang w:val="es-ES"/>
        </w:rPr>
        <w:t>“Ramón Sarda” de la Ciudad de Buenos Aires</w:t>
      </w:r>
      <w:r w:rsidR="00605089" w:rsidRPr="00FD4F59">
        <w:rPr>
          <w:rFonts w:asciiTheme="majorHAnsi" w:hAnsiTheme="majorHAnsi"/>
          <w:color w:val="000000"/>
          <w:sz w:val="20"/>
          <w:szCs w:val="20"/>
          <w:lang w:val="es-ES"/>
        </w:rPr>
        <w:t xml:space="preserve">, la cual habría ocasionado la muerte a </w:t>
      </w:r>
      <w:r w:rsidR="00605089" w:rsidRPr="00FD4F59">
        <w:rPr>
          <w:rFonts w:asciiTheme="majorHAnsi" w:hAnsiTheme="majorHAnsi"/>
          <w:color w:val="000000"/>
          <w:sz w:val="20"/>
          <w:szCs w:val="20"/>
          <w:lang w:val="es-ES_tradnl"/>
        </w:rPr>
        <w:t xml:space="preserve">Cristina Britez Arce, así como </w:t>
      </w:r>
      <w:r w:rsidR="006A1B81" w:rsidRPr="00FD4F59">
        <w:rPr>
          <w:rFonts w:asciiTheme="majorHAnsi" w:hAnsiTheme="majorHAnsi"/>
          <w:color w:val="000000"/>
          <w:sz w:val="20"/>
          <w:szCs w:val="20"/>
          <w:lang w:val="es-ES"/>
        </w:rPr>
        <w:t>las alegadas violaciones a las gar</w:t>
      </w:r>
      <w:r w:rsidR="00605089" w:rsidRPr="00FD4F59">
        <w:rPr>
          <w:rFonts w:asciiTheme="majorHAnsi" w:hAnsiTheme="majorHAnsi"/>
          <w:color w:val="000000"/>
          <w:sz w:val="20"/>
          <w:szCs w:val="20"/>
          <w:lang w:val="es-ES"/>
        </w:rPr>
        <w:t xml:space="preserve">antías judiciales y </w:t>
      </w:r>
      <w:r w:rsidR="00691969" w:rsidRPr="00FD4F59">
        <w:rPr>
          <w:rFonts w:asciiTheme="majorHAnsi" w:hAnsiTheme="majorHAnsi"/>
          <w:color w:val="000000"/>
          <w:sz w:val="20"/>
          <w:szCs w:val="20"/>
          <w:lang w:val="es-ES"/>
        </w:rPr>
        <w:t>la</w:t>
      </w:r>
      <w:r w:rsidR="00131F4B" w:rsidRPr="00FD4F59">
        <w:rPr>
          <w:rFonts w:asciiTheme="majorHAnsi" w:hAnsiTheme="majorHAnsi"/>
          <w:color w:val="000000"/>
          <w:sz w:val="20"/>
          <w:szCs w:val="20"/>
          <w:lang w:val="es-ES"/>
        </w:rPr>
        <w:t xml:space="preserve"> </w:t>
      </w:r>
      <w:r w:rsidR="00605089" w:rsidRPr="00FD4F59">
        <w:rPr>
          <w:rFonts w:asciiTheme="majorHAnsi" w:hAnsiTheme="majorHAnsi"/>
          <w:color w:val="000000"/>
          <w:sz w:val="20"/>
          <w:szCs w:val="20"/>
          <w:lang w:val="es-ES"/>
        </w:rPr>
        <w:t xml:space="preserve">protección judicial que habrían tenido lugar durante la sustanciación de los procesos judiciales llevados a cabo con el fin de esclarecer las razones de su </w:t>
      </w:r>
      <w:r w:rsidR="00605089" w:rsidRPr="00FD4F59">
        <w:rPr>
          <w:rFonts w:asciiTheme="majorHAnsi" w:hAnsiTheme="majorHAnsi"/>
          <w:color w:val="000000"/>
          <w:sz w:val="20"/>
          <w:szCs w:val="20"/>
          <w:lang w:val="es-ES"/>
        </w:rPr>
        <w:lastRenderedPageBreak/>
        <w:t>fallecimiento.</w:t>
      </w:r>
      <w:r w:rsidR="00FF5FCF" w:rsidRPr="00FD4F59">
        <w:rPr>
          <w:rFonts w:asciiTheme="majorHAnsi" w:hAnsiTheme="majorHAnsi" w:cs="Calibri"/>
          <w:sz w:val="20"/>
          <w:szCs w:val="20"/>
          <w:lang w:val="es-ES"/>
        </w:rPr>
        <w:t xml:space="preserve"> </w:t>
      </w:r>
      <w:r w:rsidR="00D371F0" w:rsidRPr="00FD4F59">
        <w:rPr>
          <w:rFonts w:asciiTheme="majorHAnsi" w:hAnsiTheme="majorHAnsi" w:cs="Calibri"/>
          <w:sz w:val="20"/>
          <w:szCs w:val="20"/>
          <w:lang w:val="es-ES"/>
        </w:rPr>
        <w:t>Al respecto, l</w:t>
      </w:r>
      <w:r w:rsidR="00FF5FCF" w:rsidRPr="00FD4F59">
        <w:rPr>
          <w:rFonts w:asciiTheme="majorHAnsi" w:hAnsiTheme="majorHAnsi" w:cs="Calibri"/>
          <w:sz w:val="20"/>
          <w:szCs w:val="20"/>
          <w:lang w:val="es-ES"/>
        </w:rPr>
        <w:t xml:space="preserve">os precedentes establecidos por la Comisión señalan que, toda vez que se cometa un presunto delito perseguible de oficio, el Estado tiene la obligación de promover e impulsar el proceso penal </w:t>
      </w:r>
      <w:r w:rsidR="00E36589" w:rsidRPr="00FD4F59">
        <w:rPr>
          <w:rFonts w:asciiTheme="majorHAnsi" w:hAnsiTheme="majorHAnsi" w:cs="Calibri"/>
          <w:sz w:val="20"/>
          <w:szCs w:val="20"/>
          <w:lang w:val="es-ES"/>
        </w:rPr>
        <w:t>hasta sus últimas consecuencias</w:t>
      </w:r>
      <w:r w:rsidR="00D44F02" w:rsidRPr="00FD4F59">
        <w:rPr>
          <w:rStyle w:val="FootnoteReference"/>
          <w:rFonts w:asciiTheme="majorHAnsi" w:hAnsiTheme="majorHAnsi" w:cs="Calibri"/>
          <w:sz w:val="20"/>
          <w:szCs w:val="20"/>
          <w:lang w:val="es-ES"/>
        </w:rPr>
        <w:footnoteReference w:id="9"/>
      </w:r>
      <w:r w:rsidR="00E36589" w:rsidRPr="00FD4F59">
        <w:rPr>
          <w:rFonts w:asciiTheme="majorHAnsi" w:hAnsiTheme="majorHAnsi" w:cs="Calibri"/>
          <w:sz w:val="20"/>
          <w:szCs w:val="20"/>
          <w:lang w:val="es-ES"/>
        </w:rPr>
        <w:t xml:space="preserve"> </w:t>
      </w:r>
      <w:r w:rsidR="00FF5FCF" w:rsidRPr="00FD4F59">
        <w:rPr>
          <w:rFonts w:asciiTheme="majorHAnsi" w:hAnsiTheme="majorHAnsi" w:cs="Calibri"/>
          <w:sz w:val="20"/>
          <w:szCs w:val="20"/>
          <w:lang w:val="es-ES"/>
        </w:rPr>
        <w:t>y éste</w:t>
      </w:r>
      <w:r w:rsidR="00D44F02" w:rsidRPr="00FD4F59">
        <w:rPr>
          <w:rFonts w:asciiTheme="majorHAnsi" w:hAnsiTheme="majorHAnsi" w:cs="Calibri"/>
          <w:sz w:val="20"/>
          <w:szCs w:val="20"/>
          <w:lang w:val="es-ES"/>
        </w:rPr>
        <w:t>, a su vez,</w:t>
      </w:r>
      <w:r w:rsidR="00FF5FCF" w:rsidRPr="00FD4F59">
        <w:rPr>
          <w:rFonts w:asciiTheme="majorHAnsi" w:hAnsiTheme="majorHAnsi" w:cs="Calibri"/>
          <w:sz w:val="20"/>
          <w:szCs w:val="20"/>
          <w:lang w:val="es-ES"/>
        </w:rPr>
        <w:t xml:space="preserve"> constituye la vía idónea para esclarecer los hechos, juzgar a los responsables y establecer las sanciones penales correspondientes, además de posibilitar otros modos de reparación de tipo pecuniario</w:t>
      </w:r>
      <w:r w:rsidR="00FF5FCF" w:rsidRPr="00FD4F59">
        <w:rPr>
          <w:rStyle w:val="FootnoteReference"/>
          <w:rFonts w:asciiTheme="majorHAnsi" w:hAnsiTheme="majorHAnsi" w:cs="Calibri"/>
          <w:sz w:val="20"/>
          <w:szCs w:val="20"/>
          <w:lang w:val="es-ES"/>
        </w:rPr>
        <w:footnoteReference w:id="10"/>
      </w:r>
      <w:r w:rsidR="00FF5FCF" w:rsidRPr="00FD4F59">
        <w:rPr>
          <w:rFonts w:asciiTheme="majorHAnsi" w:hAnsiTheme="majorHAnsi" w:cs="Calibri"/>
          <w:sz w:val="20"/>
          <w:szCs w:val="20"/>
          <w:lang w:val="es-ES"/>
        </w:rPr>
        <w:t xml:space="preserve">. </w:t>
      </w:r>
      <w:r w:rsidR="00FF5FCF" w:rsidRPr="00FD4F59">
        <w:rPr>
          <w:rFonts w:asciiTheme="majorHAnsi" w:hAnsiTheme="majorHAnsi"/>
          <w:color w:val="000000"/>
          <w:sz w:val="20"/>
          <w:szCs w:val="20"/>
          <w:lang w:val="es-ES"/>
        </w:rPr>
        <w:t xml:space="preserve">En vista de que los </w:t>
      </w:r>
      <w:r w:rsidR="007214D6" w:rsidRPr="00FD4F59">
        <w:rPr>
          <w:rFonts w:asciiTheme="majorHAnsi" w:hAnsiTheme="majorHAnsi"/>
          <w:color w:val="000000"/>
          <w:sz w:val="20"/>
          <w:szCs w:val="20"/>
          <w:lang w:val="es-ES"/>
        </w:rPr>
        <w:t xml:space="preserve">peticionarios alegan la comisión de una conducta tipificada </w:t>
      </w:r>
      <w:r w:rsidR="00EC1CF2">
        <w:rPr>
          <w:rFonts w:asciiTheme="majorHAnsi" w:hAnsiTheme="majorHAnsi"/>
          <w:color w:val="000000"/>
          <w:sz w:val="20"/>
          <w:szCs w:val="20"/>
          <w:lang w:val="es-ES"/>
        </w:rPr>
        <w:t xml:space="preserve">en el ordenamiento jurídico interno </w:t>
      </w:r>
      <w:r w:rsidR="007214D6" w:rsidRPr="00FD4F59">
        <w:rPr>
          <w:rFonts w:asciiTheme="majorHAnsi" w:hAnsiTheme="majorHAnsi"/>
          <w:color w:val="000000"/>
          <w:sz w:val="20"/>
          <w:szCs w:val="20"/>
          <w:lang w:val="es-ES"/>
        </w:rPr>
        <w:t xml:space="preserve">como </w:t>
      </w:r>
      <w:r w:rsidR="006F176C" w:rsidRPr="00FD4F59">
        <w:rPr>
          <w:rFonts w:asciiTheme="majorHAnsi" w:hAnsiTheme="majorHAnsi"/>
          <w:color w:val="000000"/>
          <w:sz w:val="20"/>
          <w:szCs w:val="20"/>
          <w:lang w:val="es-ES"/>
        </w:rPr>
        <w:t xml:space="preserve">homicidio culposo, el cual </w:t>
      </w:r>
      <w:r w:rsidR="00FF5FCF" w:rsidRPr="00FD4F59">
        <w:rPr>
          <w:rFonts w:asciiTheme="majorHAnsi" w:hAnsiTheme="majorHAnsi"/>
          <w:color w:val="000000"/>
          <w:sz w:val="20"/>
          <w:szCs w:val="20"/>
          <w:lang w:val="es-ES"/>
        </w:rPr>
        <w:t>constituye</w:t>
      </w:r>
      <w:r w:rsidR="006F176C" w:rsidRPr="00FD4F59">
        <w:rPr>
          <w:rFonts w:asciiTheme="majorHAnsi" w:hAnsiTheme="majorHAnsi"/>
          <w:color w:val="000000"/>
          <w:sz w:val="20"/>
          <w:szCs w:val="20"/>
          <w:lang w:val="es-ES"/>
        </w:rPr>
        <w:t xml:space="preserve"> una figura delictiva perseguible de oficio, el proceso interno que debe ser agotado </w:t>
      </w:r>
      <w:r w:rsidR="00425D78" w:rsidRPr="00FD4F59">
        <w:rPr>
          <w:rFonts w:asciiTheme="majorHAnsi" w:hAnsiTheme="majorHAnsi"/>
          <w:color w:val="000000"/>
          <w:sz w:val="20"/>
          <w:szCs w:val="20"/>
          <w:lang w:val="es-ES"/>
        </w:rPr>
        <w:t xml:space="preserve">en el presente caso </w:t>
      </w:r>
      <w:r w:rsidR="006F176C" w:rsidRPr="00FD4F59">
        <w:rPr>
          <w:rFonts w:asciiTheme="majorHAnsi" w:hAnsiTheme="majorHAnsi"/>
          <w:color w:val="000000"/>
          <w:sz w:val="20"/>
          <w:szCs w:val="20"/>
          <w:lang w:val="es-ES"/>
        </w:rPr>
        <w:t xml:space="preserve">es </w:t>
      </w:r>
      <w:r w:rsidR="00FF5FCF" w:rsidRPr="00FD4F59">
        <w:rPr>
          <w:rFonts w:asciiTheme="majorHAnsi" w:hAnsiTheme="majorHAnsi"/>
          <w:color w:val="000000"/>
          <w:sz w:val="20"/>
          <w:szCs w:val="20"/>
          <w:lang w:val="es-ES"/>
        </w:rPr>
        <w:t>la investigación en sede penal</w:t>
      </w:r>
      <w:r w:rsidR="006F176C" w:rsidRPr="00FD4F59">
        <w:rPr>
          <w:rFonts w:asciiTheme="majorHAnsi" w:hAnsiTheme="majorHAnsi"/>
          <w:color w:val="000000"/>
          <w:sz w:val="20"/>
          <w:szCs w:val="20"/>
          <w:lang w:val="es-ES"/>
        </w:rPr>
        <w:t xml:space="preserve">, la cual </w:t>
      </w:r>
      <w:r w:rsidR="00FF5FCF" w:rsidRPr="00FD4F59">
        <w:rPr>
          <w:rFonts w:asciiTheme="majorHAnsi" w:hAnsiTheme="majorHAnsi"/>
          <w:color w:val="000000"/>
          <w:sz w:val="20"/>
          <w:szCs w:val="20"/>
          <w:lang w:val="es-ES"/>
        </w:rPr>
        <w:t>debe</w:t>
      </w:r>
      <w:r w:rsidR="00F92680" w:rsidRPr="00FD4F59">
        <w:rPr>
          <w:rFonts w:asciiTheme="majorHAnsi" w:hAnsiTheme="majorHAnsi"/>
          <w:color w:val="000000"/>
          <w:sz w:val="20"/>
          <w:szCs w:val="20"/>
          <w:lang w:val="es-ES"/>
        </w:rPr>
        <w:t xml:space="preserve"> ser</w:t>
      </w:r>
      <w:r w:rsidR="00FF5FCF" w:rsidRPr="00FD4F59">
        <w:rPr>
          <w:rFonts w:asciiTheme="majorHAnsi" w:hAnsiTheme="majorHAnsi"/>
          <w:color w:val="000000"/>
          <w:sz w:val="20"/>
          <w:szCs w:val="20"/>
          <w:lang w:val="es-ES"/>
        </w:rPr>
        <w:t xml:space="preserve"> </w:t>
      </w:r>
      <w:r w:rsidR="006F176C" w:rsidRPr="00FD4F59">
        <w:rPr>
          <w:rFonts w:asciiTheme="majorHAnsi" w:hAnsiTheme="majorHAnsi"/>
          <w:color w:val="000000"/>
          <w:sz w:val="20"/>
          <w:szCs w:val="20"/>
          <w:lang w:val="es-ES"/>
        </w:rPr>
        <w:t>asumida e impulsada</w:t>
      </w:r>
      <w:r w:rsidR="00FF5FCF" w:rsidRPr="00FD4F59">
        <w:rPr>
          <w:rFonts w:asciiTheme="majorHAnsi" w:hAnsiTheme="majorHAnsi"/>
          <w:color w:val="000000"/>
          <w:sz w:val="20"/>
          <w:szCs w:val="20"/>
          <w:lang w:val="es-ES"/>
        </w:rPr>
        <w:t xml:space="preserve"> por el Estado mismo.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jc w:val="both"/>
        <w:rPr>
          <w:rFonts w:asciiTheme="majorHAnsi" w:hAnsiTheme="majorHAnsi" w:cs="Calibri"/>
          <w:snapToGrid w:val="0"/>
          <w:sz w:val="20"/>
          <w:szCs w:val="20"/>
          <w:lang w:val="es-ES"/>
        </w:rPr>
      </w:pPr>
    </w:p>
    <w:p w:rsidR="00612D38" w:rsidRPr="007D4D73" w:rsidRDefault="00612D38"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AR"/>
        </w:rPr>
        <w:t xml:space="preserve">De manera preliminar, cabe destacar que al momento de la interposición de la petición ante la Comisión Interamericana, el 20 de abril de 2001, habían ya transcurrido casi nueve años sin que hubiera recaído sentencia de primera instancia en la causa por homicidio culposo, causa que tramitaba desde el 15 de junio de 1992. La Comisión entiende que el hecho de que la investigación se encontrara aún pendiente de resolución de primera instancia para ese entonces configura </w:t>
      </w:r>
      <w:r w:rsidRPr="00FD4F59">
        <w:rPr>
          <w:rFonts w:asciiTheme="majorHAnsi" w:hAnsiTheme="majorHAnsi"/>
          <w:i/>
          <w:color w:val="000000"/>
          <w:sz w:val="20"/>
          <w:szCs w:val="20"/>
          <w:lang w:val="es-AR"/>
        </w:rPr>
        <w:t>prima facie</w:t>
      </w:r>
      <w:r w:rsidRPr="00FD4F59">
        <w:rPr>
          <w:rFonts w:asciiTheme="majorHAnsi" w:hAnsiTheme="majorHAnsi"/>
          <w:color w:val="000000"/>
          <w:sz w:val="20"/>
          <w:szCs w:val="20"/>
          <w:lang w:val="es-AR"/>
        </w:rPr>
        <w:t>, en los términos del artículo 46.2.c de la Convención, un retardo injustificado y</w:t>
      </w:r>
      <w:r w:rsidR="000F41DC" w:rsidRPr="00FD4F59">
        <w:rPr>
          <w:rFonts w:asciiTheme="majorHAnsi" w:hAnsiTheme="majorHAnsi"/>
          <w:color w:val="000000"/>
          <w:sz w:val="20"/>
          <w:szCs w:val="20"/>
          <w:lang w:val="es-AR"/>
        </w:rPr>
        <w:t>,</w:t>
      </w:r>
      <w:r w:rsidRPr="00FD4F59">
        <w:rPr>
          <w:rFonts w:asciiTheme="majorHAnsi" w:hAnsiTheme="majorHAnsi"/>
          <w:color w:val="000000"/>
          <w:sz w:val="20"/>
          <w:szCs w:val="20"/>
          <w:lang w:val="es-AR"/>
        </w:rPr>
        <w:t xml:space="preserve"> por ende, una excepción a la regla del previo agotamiento de los recursos internos. Sin embargo, la Comisión nota que, con posterioridad a la interposición de la petición, la causa se siguió sustanciando</w:t>
      </w:r>
      <w:r w:rsidR="00F67C81" w:rsidRPr="00FD4F59">
        <w:rPr>
          <w:rFonts w:asciiTheme="majorHAnsi" w:hAnsiTheme="majorHAnsi"/>
          <w:color w:val="000000"/>
          <w:sz w:val="20"/>
          <w:szCs w:val="20"/>
          <w:lang w:val="es-AR"/>
        </w:rPr>
        <w:t>,</w:t>
      </w:r>
      <w:r w:rsidRPr="00FD4F59">
        <w:rPr>
          <w:rFonts w:asciiTheme="majorHAnsi" w:hAnsiTheme="majorHAnsi"/>
          <w:color w:val="000000"/>
          <w:sz w:val="20"/>
          <w:szCs w:val="20"/>
          <w:lang w:val="es-AR"/>
        </w:rPr>
        <w:t xml:space="preserve"> tal como pasa a detallarse a continuación.</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845296" w:rsidRDefault="00E21857"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De la información presentada por las partes, la Comisión nota que </w:t>
      </w:r>
      <w:r w:rsidR="00E91BF6" w:rsidRPr="00FD4F59">
        <w:rPr>
          <w:rFonts w:asciiTheme="majorHAnsi" w:hAnsiTheme="majorHAnsi"/>
          <w:color w:val="000000"/>
          <w:sz w:val="20"/>
          <w:szCs w:val="20"/>
          <w:lang w:val="es-ES"/>
        </w:rPr>
        <w:t>la denuncia presentada por los peticionarios</w:t>
      </w:r>
      <w:r w:rsidR="001D3A48" w:rsidRPr="00FD4F59">
        <w:rPr>
          <w:rFonts w:asciiTheme="majorHAnsi" w:hAnsiTheme="majorHAnsi"/>
          <w:color w:val="000000"/>
          <w:sz w:val="20"/>
          <w:szCs w:val="20"/>
          <w:lang w:val="es-ES"/>
        </w:rPr>
        <w:t>,</w:t>
      </w:r>
      <w:r w:rsidR="00E91BF6" w:rsidRPr="00FD4F59">
        <w:rPr>
          <w:rFonts w:asciiTheme="majorHAnsi" w:hAnsiTheme="majorHAnsi"/>
          <w:color w:val="000000"/>
          <w:sz w:val="20"/>
          <w:szCs w:val="20"/>
          <w:lang w:val="es-ES"/>
        </w:rPr>
        <w:t xml:space="preserve"> </w:t>
      </w:r>
      <w:r w:rsidR="004601AE" w:rsidRPr="00FD4F59">
        <w:rPr>
          <w:rFonts w:asciiTheme="majorHAnsi" w:hAnsiTheme="majorHAnsi"/>
          <w:color w:val="000000"/>
          <w:sz w:val="20"/>
          <w:szCs w:val="20"/>
          <w:lang w:val="es-ES"/>
        </w:rPr>
        <w:t>el día 1° de junio de 1992</w:t>
      </w:r>
      <w:r w:rsidR="001D3A48" w:rsidRPr="00FD4F59">
        <w:rPr>
          <w:rFonts w:asciiTheme="majorHAnsi" w:hAnsiTheme="majorHAnsi"/>
          <w:color w:val="000000"/>
          <w:sz w:val="20"/>
          <w:szCs w:val="20"/>
          <w:lang w:val="es-ES"/>
        </w:rPr>
        <w:t>,</w:t>
      </w:r>
      <w:r w:rsidR="00E91BF6" w:rsidRPr="00FD4F59">
        <w:rPr>
          <w:rFonts w:asciiTheme="majorHAnsi" w:hAnsiTheme="majorHAnsi"/>
          <w:color w:val="000000"/>
          <w:sz w:val="20"/>
          <w:szCs w:val="20"/>
          <w:lang w:val="es-ES"/>
        </w:rPr>
        <w:t xml:space="preserve"> dio inicio a un</w:t>
      </w:r>
      <w:r w:rsidRPr="00FD4F59">
        <w:rPr>
          <w:rFonts w:asciiTheme="majorHAnsi" w:hAnsiTheme="majorHAnsi"/>
          <w:color w:val="000000"/>
          <w:sz w:val="20"/>
          <w:szCs w:val="20"/>
          <w:lang w:val="es-ES"/>
        </w:rPr>
        <w:t xml:space="preserve"> proceso penal por homicidio culposo</w:t>
      </w:r>
      <w:r w:rsidR="00104706" w:rsidRPr="00FD4F59">
        <w:rPr>
          <w:rStyle w:val="FootnoteReference"/>
          <w:rFonts w:asciiTheme="majorHAnsi" w:hAnsiTheme="majorHAnsi"/>
          <w:color w:val="000000"/>
          <w:sz w:val="20"/>
          <w:szCs w:val="20"/>
          <w:lang w:val="es-ES"/>
        </w:rPr>
        <w:footnoteReference w:id="11"/>
      </w:r>
      <w:r w:rsidR="004601AE" w:rsidRPr="00FD4F59">
        <w:rPr>
          <w:rFonts w:asciiTheme="majorHAnsi" w:hAnsiTheme="majorHAnsi"/>
          <w:color w:val="000000"/>
          <w:sz w:val="20"/>
          <w:szCs w:val="20"/>
          <w:lang w:val="es-ES"/>
        </w:rPr>
        <w:t>.</w:t>
      </w:r>
      <w:r w:rsidRPr="00FD4F59">
        <w:rPr>
          <w:rFonts w:asciiTheme="majorHAnsi" w:hAnsiTheme="majorHAnsi"/>
          <w:color w:val="000000"/>
          <w:sz w:val="20"/>
          <w:szCs w:val="20"/>
          <w:lang w:val="es-ES"/>
        </w:rPr>
        <w:t xml:space="preserve"> </w:t>
      </w:r>
      <w:r w:rsidR="00EC1CF2">
        <w:rPr>
          <w:rFonts w:asciiTheme="majorHAnsi" w:hAnsiTheme="majorHAnsi"/>
          <w:color w:val="000000"/>
          <w:sz w:val="20"/>
          <w:szCs w:val="20"/>
          <w:lang w:val="es-ES"/>
        </w:rPr>
        <w:t>O</w:t>
      </w:r>
      <w:r w:rsidR="004601AE" w:rsidRPr="00FD4F59">
        <w:rPr>
          <w:rFonts w:asciiTheme="majorHAnsi" w:hAnsiTheme="majorHAnsi"/>
          <w:color w:val="000000"/>
          <w:sz w:val="20"/>
          <w:szCs w:val="20"/>
          <w:lang w:val="es-ES"/>
        </w:rPr>
        <w:t>nce años más tarde</w:t>
      </w:r>
      <w:r w:rsidR="0076082B" w:rsidRPr="00FD4F59">
        <w:rPr>
          <w:rFonts w:asciiTheme="majorHAnsi" w:hAnsiTheme="majorHAnsi"/>
          <w:color w:val="000000"/>
          <w:sz w:val="20"/>
          <w:szCs w:val="20"/>
          <w:lang w:val="es-ES"/>
        </w:rPr>
        <w:t>, el 18 de julio de 2003, el juzgado de primera instancia</w:t>
      </w:r>
      <w:r w:rsidR="007214D6" w:rsidRPr="00FD4F59">
        <w:rPr>
          <w:rFonts w:asciiTheme="majorHAnsi" w:hAnsiTheme="majorHAnsi"/>
          <w:color w:val="000000"/>
          <w:sz w:val="20"/>
          <w:szCs w:val="20"/>
          <w:lang w:val="es-ES"/>
        </w:rPr>
        <w:t xml:space="preserve"> interviniente</w:t>
      </w:r>
      <w:r w:rsidR="0076082B" w:rsidRPr="00FD4F59">
        <w:rPr>
          <w:rFonts w:asciiTheme="majorHAnsi" w:hAnsiTheme="majorHAnsi"/>
          <w:color w:val="000000"/>
          <w:sz w:val="20"/>
          <w:szCs w:val="20"/>
          <w:lang w:val="es-ES"/>
        </w:rPr>
        <w:t xml:space="preserve"> habría </w:t>
      </w:r>
      <w:r w:rsidR="005A0FFB" w:rsidRPr="00FD4F59">
        <w:rPr>
          <w:rFonts w:asciiTheme="majorHAnsi" w:hAnsiTheme="majorHAnsi"/>
          <w:color w:val="000000"/>
          <w:sz w:val="20"/>
          <w:szCs w:val="20"/>
          <w:lang w:val="es-ES"/>
        </w:rPr>
        <w:t>dictado sentencia absolutoria,</w:t>
      </w:r>
      <w:r w:rsidR="007214D6" w:rsidRPr="00FD4F59">
        <w:rPr>
          <w:rFonts w:asciiTheme="majorHAnsi" w:hAnsiTheme="majorHAnsi"/>
          <w:color w:val="000000"/>
          <w:sz w:val="20"/>
          <w:szCs w:val="20"/>
          <w:lang w:val="es-ES"/>
        </w:rPr>
        <w:t xml:space="preserve"> </w:t>
      </w:r>
      <w:r w:rsidR="004601AE" w:rsidRPr="00FD4F59">
        <w:rPr>
          <w:rFonts w:asciiTheme="majorHAnsi" w:hAnsiTheme="majorHAnsi"/>
          <w:color w:val="000000"/>
          <w:sz w:val="20"/>
          <w:szCs w:val="20"/>
          <w:lang w:val="es-ES"/>
        </w:rPr>
        <w:t>liberando de culpa y cargo a quienes se encontraban imputados</w:t>
      </w:r>
      <w:r w:rsidR="007214D6" w:rsidRPr="00FD4F59">
        <w:rPr>
          <w:rFonts w:asciiTheme="majorHAnsi" w:hAnsiTheme="majorHAnsi"/>
          <w:color w:val="000000"/>
          <w:sz w:val="20"/>
          <w:szCs w:val="20"/>
          <w:lang w:val="es-ES"/>
        </w:rPr>
        <w:t xml:space="preserve"> en la causa</w:t>
      </w:r>
      <w:r w:rsidRPr="00FD4F59">
        <w:rPr>
          <w:rFonts w:asciiTheme="majorHAnsi" w:hAnsiTheme="majorHAnsi"/>
          <w:color w:val="000000"/>
          <w:sz w:val="20"/>
          <w:szCs w:val="20"/>
          <w:lang w:val="es-ES"/>
        </w:rPr>
        <w:t>.</w:t>
      </w:r>
      <w:r w:rsidR="004E14C6" w:rsidRPr="00FD4F59">
        <w:rPr>
          <w:rFonts w:asciiTheme="majorHAnsi" w:hAnsiTheme="majorHAnsi"/>
          <w:color w:val="000000"/>
          <w:sz w:val="20"/>
          <w:szCs w:val="20"/>
          <w:lang w:val="es-ES"/>
        </w:rPr>
        <w:t xml:space="preserve"> </w:t>
      </w:r>
      <w:r w:rsidRPr="00FD4F59">
        <w:rPr>
          <w:rFonts w:asciiTheme="majorHAnsi" w:hAnsiTheme="majorHAnsi"/>
          <w:color w:val="000000"/>
          <w:sz w:val="20"/>
          <w:szCs w:val="20"/>
          <w:lang w:val="es-ES"/>
        </w:rPr>
        <w:t xml:space="preserve">Dicha sentencia habría sido </w:t>
      </w:r>
      <w:r w:rsidR="00BF0BD8" w:rsidRPr="00FD4F59">
        <w:rPr>
          <w:rFonts w:asciiTheme="majorHAnsi" w:hAnsiTheme="majorHAnsi"/>
          <w:color w:val="000000"/>
          <w:sz w:val="20"/>
          <w:szCs w:val="20"/>
          <w:lang w:val="es-ES"/>
        </w:rPr>
        <w:t>recurrida</w:t>
      </w:r>
      <w:r w:rsidRPr="00FD4F59">
        <w:rPr>
          <w:rFonts w:asciiTheme="majorHAnsi" w:hAnsiTheme="majorHAnsi"/>
          <w:color w:val="000000"/>
          <w:sz w:val="20"/>
          <w:szCs w:val="20"/>
          <w:lang w:val="es-ES"/>
        </w:rPr>
        <w:t xml:space="preserve"> por el </w:t>
      </w:r>
      <w:r w:rsidR="00BF0BD8" w:rsidRPr="00FD4F59">
        <w:rPr>
          <w:rFonts w:asciiTheme="majorHAnsi" w:hAnsiTheme="majorHAnsi"/>
          <w:color w:val="000000"/>
          <w:sz w:val="20"/>
          <w:szCs w:val="20"/>
          <w:lang w:val="es-ES"/>
        </w:rPr>
        <w:t>f</w:t>
      </w:r>
      <w:r w:rsidRPr="00FD4F59">
        <w:rPr>
          <w:rFonts w:asciiTheme="majorHAnsi" w:hAnsiTheme="majorHAnsi"/>
          <w:color w:val="000000"/>
          <w:sz w:val="20"/>
          <w:szCs w:val="20"/>
          <w:lang w:val="es-ES"/>
        </w:rPr>
        <w:t xml:space="preserve">iscal </w:t>
      </w:r>
      <w:r w:rsidR="00A82B0B" w:rsidRPr="00FD4F59">
        <w:rPr>
          <w:rFonts w:asciiTheme="majorHAnsi" w:hAnsiTheme="majorHAnsi"/>
          <w:color w:val="000000"/>
          <w:sz w:val="20"/>
          <w:szCs w:val="20"/>
          <w:lang w:val="es-ES"/>
        </w:rPr>
        <w:t xml:space="preserve">actuante </w:t>
      </w:r>
      <w:r w:rsidRPr="00FD4F59">
        <w:rPr>
          <w:rFonts w:asciiTheme="majorHAnsi" w:hAnsiTheme="majorHAnsi"/>
          <w:color w:val="000000"/>
          <w:sz w:val="20"/>
          <w:szCs w:val="20"/>
          <w:lang w:val="es-ES"/>
        </w:rPr>
        <w:t>y</w:t>
      </w:r>
      <w:r w:rsidR="007214D6" w:rsidRPr="00FD4F59">
        <w:rPr>
          <w:rFonts w:asciiTheme="majorHAnsi" w:hAnsiTheme="majorHAnsi"/>
          <w:color w:val="000000"/>
          <w:sz w:val="20"/>
          <w:szCs w:val="20"/>
          <w:lang w:val="es-ES"/>
        </w:rPr>
        <w:t xml:space="preserve"> posteriormente</w:t>
      </w:r>
      <w:r w:rsidRPr="00FD4F59">
        <w:rPr>
          <w:rFonts w:asciiTheme="majorHAnsi" w:hAnsiTheme="majorHAnsi"/>
          <w:color w:val="000000"/>
          <w:sz w:val="20"/>
          <w:szCs w:val="20"/>
          <w:lang w:val="es-ES"/>
        </w:rPr>
        <w:t xml:space="preserve"> confirmada</w:t>
      </w:r>
      <w:r w:rsidR="00104706" w:rsidRPr="00FD4F59">
        <w:rPr>
          <w:rFonts w:asciiTheme="majorHAnsi" w:hAnsiTheme="majorHAnsi"/>
          <w:color w:val="000000"/>
          <w:sz w:val="20"/>
          <w:szCs w:val="20"/>
          <w:lang w:val="es-ES"/>
        </w:rPr>
        <w:t xml:space="preserve"> en sus términos </w:t>
      </w:r>
      <w:r w:rsidRPr="00FD4F59">
        <w:rPr>
          <w:rFonts w:asciiTheme="majorHAnsi" w:hAnsiTheme="majorHAnsi"/>
          <w:color w:val="000000"/>
          <w:sz w:val="20"/>
          <w:szCs w:val="20"/>
          <w:lang w:val="es-ES"/>
        </w:rPr>
        <w:t xml:space="preserve">por la </w:t>
      </w:r>
      <w:r w:rsidR="00BF0BD8" w:rsidRPr="00FD4F59">
        <w:rPr>
          <w:rFonts w:asciiTheme="majorHAnsi" w:hAnsiTheme="majorHAnsi"/>
          <w:bCs/>
          <w:color w:val="000000"/>
          <w:sz w:val="20"/>
          <w:szCs w:val="20"/>
          <w:lang w:val="es-AR"/>
        </w:rPr>
        <w:t>Cámara Nacional de Apelaciones en lo Criminal y Correccional</w:t>
      </w:r>
      <w:r w:rsidR="00A82B0B" w:rsidRPr="00FD4F59">
        <w:rPr>
          <w:rFonts w:asciiTheme="majorHAnsi" w:hAnsiTheme="majorHAnsi"/>
          <w:bCs/>
          <w:color w:val="000000"/>
          <w:sz w:val="20"/>
          <w:szCs w:val="20"/>
          <w:lang w:val="es-AR"/>
        </w:rPr>
        <w:t>, e</w:t>
      </w:r>
      <w:r w:rsidR="00A82B0B" w:rsidRPr="00FD4F59">
        <w:rPr>
          <w:rFonts w:asciiTheme="majorHAnsi" w:hAnsiTheme="majorHAnsi"/>
          <w:color w:val="000000"/>
          <w:sz w:val="20"/>
          <w:szCs w:val="20"/>
          <w:lang w:val="es-ES"/>
        </w:rPr>
        <w:t>l 27 de noviembre de 2003</w:t>
      </w:r>
      <w:r w:rsidR="00BF0BD8" w:rsidRPr="00FD4F59">
        <w:rPr>
          <w:rFonts w:asciiTheme="majorHAnsi" w:hAnsiTheme="majorHAnsi"/>
          <w:color w:val="000000"/>
          <w:sz w:val="20"/>
          <w:szCs w:val="20"/>
          <w:lang w:val="es-ES"/>
        </w:rPr>
        <w:t xml:space="preserve">. Contra dicha decisión </w:t>
      </w:r>
      <w:r w:rsidRPr="00FD4F59">
        <w:rPr>
          <w:rFonts w:asciiTheme="majorHAnsi" w:hAnsiTheme="majorHAnsi"/>
          <w:color w:val="000000"/>
          <w:sz w:val="20"/>
          <w:szCs w:val="20"/>
          <w:lang w:val="es-ES"/>
        </w:rPr>
        <w:t xml:space="preserve">los peticionarios habrían interpuesto un recurso extraordinario federal, </w:t>
      </w:r>
      <w:r w:rsidR="00BF0BD8" w:rsidRPr="00FD4F59">
        <w:rPr>
          <w:rFonts w:asciiTheme="majorHAnsi" w:hAnsiTheme="majorHAnsi"/>
          <w:color w:val="000000"/>
          <w:sz w:val="20"/>
          <w:szCs w:val="20"/>
          <w:lang w:val="es-ES"/>
        </w:rPr>
        <w:t xml:space="preserve">el cual </w:t>
      </w:r>
      <w:r w:rsidRPr="00FD4F59">
        <w:rPr>
          <w:rFonts w:asciiTheme="majorHAnsi" w:hAnsiTheme="majorHAnsi"/>
          <w:color w:val="000000"/>
          <w:sz w:val="20"/>
          <w:szCs w:val="20"/>
          <w:lang w:val="es-ES"/>
        </w:rPr>
        <w:t xml:space="preserve">habría sido rechazado por la </w:t>
      </w:r>
      <w:r w:rsidR="00BF0BD8" w:rsidRPr="00FD4F59">
        <w:rPr>
          <w:rFonts w:asciiTheme="majorHAnsi" w:hAnsiTheme="majorHAnsi"/>
          <w:color w:val="000000"/>
          <w:sz w:val="20"/>
          <w:szCs w:val="20"/>
          <w:lang w:val="es-ES"/>
        </w:rPr>
        <w:t xml:space="preserve">misma </w:t>
      </w:r>
      <w:r w:rsidRPr="00FD4F59">
        <w:rPr>
          <w:rFonts w:asciiTheme="majorHAnsi" w:hAnsiTheme="majorHAnsi"/>
          <w:color w:val="000000"/>
          <w:sz w:val="20"/>
          <w:szCs w:val="20"/>
          <w:lang w:val="es-ES"/>
        </w:rPr>
        <w:t>Cámara</w:t>
      </w:r>
      <w:r w:rsidR="00104706" w:rsidRPr="00FD4F59">
        <w:rPr>
          <w:rFonts w:asciiTheme="majorHAnsi" w:hAnsiTheme="majorHAnsi"/>
          <w:color w:val="000000"/>
          <w:sz w:val="20"/>
          <w:szCs w:val="20"/>
          <w:lang w:val="es-ES"/>
        </w:rPr>
        <w:t xml:space="preserve"> de Apelaciones,</w:t>
      </w:r>
      <w:r w:rsidRPr="00FD4F59">
        <w:rPr>
          <w:rFonts w:asciiTheme="majorHAnsi" w:hAnsiTheme="majorHAnsi"/>
          <w:color w:val="000000"/>
          <w:sz w:val="20"/>
          <w:szCs w:val="20"/>
          <w:lang w:val="es-ES"/>
        </w:rPr>
        <w:t xml:space="preserve"> </w:t>
      </w:r>
      <w:r w:rsidR="00104706" w:rsidRPr="00FD4F59">
        <w:rPr>
          <w:rFonts w:asciiTheme="majorHAnsi" w:hAnsiTheme="majorHAnsi"/>
          <w:color w:val="000000"/>
          <w:sz w:val="20"/>
          <w:szCs w:val="20"/>
          <w:lang w:val="es-ES"/>
        </w:rPr>
        <w:t xml:space="preserve">por considerarlo “extemporáneo”, </w:t>
      </w:r>
      <w:r w:rsidRPr="00FD4F59">
        <w:rPr>
          <w:rFonts w:asciiTheme="majorHAnsi" w:hAnsiTheme="majorHAnsi"/>
          <w:color w:val="000000"/>
          <w:sz w:val="20"/>
          <w:szCs w:val="20"/>
          <w:lang w:val="es-ES"/>
        </w:rPr>
        <w:t>el 15 de marzo de 2004</w:t>
      </w:r>
      <w:r w:rsidR="00BF0BD8" w:rsidRPr="00FD4F59">
        <w:rPr>
          <w:rFonts w:asciiTheme="majorHAnsi" w:hAnsiTheme="majorHAnsi"/>
          <w:color w:val="000000"/>
          <w:sz w:val="20"/>
          <w:szCs w:val="20"/>
          <w:lang w:val="es-ES"/>
        </w:rPr>
        <w:t>.</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691969" w:rsidRDefault="008D25CD"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AR"/>
        </w:rPr>
        <w:t xml:space="preserve">Por su parte, </w:t>
      </w:r>
      <w:r w:rsidR="00A83B56" w:rsidRPr="00FD4F59">
        <w:rPr>
          <w:rFonts w:asciiTheme="majorHAnsi" w:hAnsiTheme="majorHAnsi"/>
          <w:color w:val="000000"/>
          <w:sz w:val="20"/>
          <w:szCs w:val="20"/>
          <w:lang w:val="es-ES"/>
        </w:rPr>
        <w:t xml:space="preserve">el Estado alegó </w:t>
      </w:r>
      <w:r w:rsidRPr="00FD4F59">
        <w:rPr>
          <w:rFonts w:asciiTheme="majorHAnsi" w:hAnsiTheme="majorHAnsi"/>
          <w:color w:val="000000"/>
          <w:sz w:val="20"/>
          <w:szCs w:val="20"/>
          <w:lang w:val="es-ES"/>
        </w:rPr>
        <w:t xml:space="preserve">que </w:t>
      </w:r>
      <w:r w:rsidR="00F92680" w:rsidRPr="00FD4F59">
        <w:rPr>
          <w:rFonts w:asciiTheme="majorHAnsi" w:hAnsiTheme="majorHAnsi"/>
          <w:color w:val="000000"/>
          <w:sz w:val="20"/>
          <w:szCs w:val="20"/>
          <w:lang w:val="es-ES"/>
        </w:rPr>
        <w:t xml:space="preserve">los peticionarios </w:t>
      </w:r>
      <w:r w:rsidRPr="00FD4F59">
        <w:rPr>
          <w:rFonts w:asciiTheme="majorHAnsi" w:hAnsiTheme="majorHAnsi"/>
          <w:color w:val="000000"/>
          <w:sz w:val="20"/>
          <w:szCs w:val="20"/>
          <w:lang w:val="es-ES"/>
        </w:rPr>
        <w:t xml:space="preserve">no habían agotado los recursos internos debidamente por cuanto </w:t>
      </w:r>
      <w:r w:rsidR="00A83B56" w:rsidRPr="00FD4F59">
        <w:rPr>
          <w:rFonts w:asciiTheme="majorHAnsi" w:hAnsiTheme="majorHAnsi"/>
          <w:color w:val="000000"/>
          <w:sz w:val="20"/>
          <w:szCs w:val="20"/>
          <w:lang w:val="es-ES"/>
        </w:rPr>
        <w:t xml:space="preserve">la extemporaneidad del recurso </w:t>
      </w:r>
      <w:r w:rsidRPr="00FD4F59">
        <w:rPr>
          <w:rFonts w:asciiTheme="majorHAnsi" w:hAnsiTheme="majorHAnsi"/>
          <w:color w:val="000000"/>
          <w:sz w:val="20"/>
          <w:szCs w:val="20"/>
          <w:lang w:val="es-ES"/>
        </w:rPr>
        <w:t xml:space="preserve">extraordinario </w:t>
      </w:r>
      <w:r w:rsidR="00A83B56" w:rsidRPr="00FD4F59">
        <w:rPr>
          <w:rFonts w:asciiTheme="majorHAnsi" w:hAnsiTheme="majorHAnsi"/>
          <w:color w:val="000000"/>
          <w:sz w:val="20"/>
          <w:szCs w:val="20"/>
          <w:lang w:val="es-ES"/>
        </w:rPr>
        <w:t xml:space="preserve">interpuesto por </w:t>
      </w:r>
      <w:r w:rsidR="00095A18" w:rsidRPr="00FD4F59">
        <w:rPr>
          <w:rFonts w:asciiTheme="majorHAnsi" w:hAnsiTheme="majorHAnsi"/>
          <w:color w:val="000000"/>
          <w:sz w:val="20"/>
          <w:szCs w:val="20"/>
          <w:lang w:val="es-ES"/>
        </w:rPr>
        <w:t>ellos</w:t>
      </w:r>
      <w:r w:rsidR="00A83B56" w:rsidRPr="00FD4F59">
        <w:rPr>
          <w:rFonts w:asciiTheme="majorHAnsi" w:hAnsiTheme="majorHAnsi"/>
          <w:color w:val="000000"/>
          <w:sz w:val="20"/>
          <w:szCs w:val="20"/>
          <w:lang w:val="es-ES"/>
        </w:rPr>
        <w:t xml:space="preserve"> impidió que la causa </w:t>
      </w:r>
      <w:r w:rsidR="00F67C81" w:rsidRPr="00FD4F59">
        <w:rPr>
          <w:rFonts w:asciiTheme="majorHAnsi" w:hAnsiTheme="majorHAnsi"/>
          <w:color w:val="000000"/>
          <w:sz w:val="20"/>
          <w:szCs w:val="20"/>
          <w:lang w:val="es-ES"/>
        </w:rPr>
        <w:t>fuera</w:t>
      </w:r>
      <w:r w:rsidR="00A83B56" w:rsidRPr="00FD4F59">
        <w:rPr>
          <w:rFonts w:asciiTheme="majorHAnsi" w:hAnsiTheme="majorHAnsi"/>
          <w:color w:val="000000"/>
          <w:sz w:val="20"/>
          <w:szCs w:val="20"/>
          <w:lang w:val="es-ES"/>
        </w:rPr>
        <w:t xml:space="preserve"> objeto de tratamiento </w:t>
      </w:r>
      <w:r w:rsidRPr="00FD4F59">
        <w:rPr>
          <w:rFonts w:asciiTheme="majorHAnsi" w:hAnsiTheme="majorHAnsi"/>
          <w:color w:val="000000"/>
          <w:sz w:val="20"/>
          <w:szCs w:val="20"/>
          <w:lang w:val="es-ES"/>
        </w:rPr>
        <w:t xml:space="preserve">por parte </w:t>
      </w:r>
      <w:r w:rsidR="00A83B56" w:rsidRPr="00FD4F59">
        <w:rPr>
          <w:rFonts w:asciiTheme="majorHAnsi" w:hAnsiTheme="majorHAnsi"/>
          <w:color w:val="000000"/>
          <w:sz w:val="20"/>
          <w:szCs w:val="20"/>
          <w:lang w:val="es-ES"/>
        </w:rPr>
        <w:t xml:space="preserve">de la Corte Suprema de Justicia de la Nación. </w:t>
      </w:r>
      <w:r w:rsidR="00691969" w:rsidRPr="00FD4F59">
        <w:rPr>
          <w:rFonts w:asciiTheme="majorHAnsi" w:hAnsiTheme="majorHAnsi"/>
          <w:color w:val="000000"/>
          <w:sz w:val="20"/>
          <w:szCs w:val="20"/>
          <w:lang w:val="es-ES"/>
        </w:rPr>
        <w:t>Por ello</w:t>
      </w:r>
      <w:r w:rsidRPr="00FD4F59">
        <w:rPr>
          <w:rFonts w:asciiTheme="majorHAnsi" w:hAnsiTheme="majorHAnsi"/>
          <w:color w:val="000000"/>
          <w:sz w:val="20"/>
          <w:szCs w:val="20"/>
          <w:lang w:val="es-ES"/>
        </w:rPr>
        <w:t xml:space="preserve">, </w:t>
      </w:r>
      <w:r w:rsidR="00691969" w:rsidRPr="00FD4F59">
        <w:rPr>
          <w:rFonts w:asciiTheme="majorHAnsi" w:hAnsiTheme="majorHAnsi"/>
          <w:color w:val="000000"/>
          <w:sz w:val="20"/>
          <w:szCs w:val="20"/>
          <w:lang w:val="es-ES"/>
        </w:rPr>
        <w:t>indicó que “tal circunstancia, hace aplicable lo resuelto por la CIDH en el caso 10.382”, en el que afirmó que:</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691969" w:rsidRPr="006F0B37" w:rsidRDefault="00691969"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810"/>
        <w:jc w:val="both"/>
        <w:rPr>
          <w:rFonts w:asciiTheme="majorHAnsi" w:hAnsiTheme="majorHAnsi"/>
          <w:color w:val="000000"/>
          <w:sz w:val="20"/>
          <w:szCs w:val="20"/>
          <w:lang w:val="es-AR"/>
        </w:rPr>
      </w:pPr>
      <w:r w:rsidRPr="006F0B37">
        <w:rPr>
          <w:rFonts w:asciiTheme="majorHAnsi" w:hAnsiTheme="majorHAnsi"/>
          <w:color w:val="000000"/>
          <w:sz w:val="20"/>
          <w:szCs w:val="20"/>
          <w:lang w:val="es-AR"/>
        </w:rPr>
        <w:t>(…) si la Corte Suprema manifestó que una falta de pericia procesal por parte del peticionario condujo a eliminar las posibilidades de revisión de la sanción a él impuesta, este criterio no puede ser cuestionado por la Comisión.</w:t>
      </w:r>
      <w:r w:rsidR="004A4000" w:rsidRPr="006F0B37">
        <w:rPr>
          <w:rFonts w:asciiTheme="majorHAnsi" w:hAnsiTheme="majorHAnsi"/>
          <w:color w:val="000000"/>
          <w:sz w:val="20"/>
          <w:szCs w:val="20"/>
          <w:lang w:val="es-AR"/>
        </w:rPr>
        <w:t xml:space="preserve"> </w:t>
      </w:r>
      <w:r w:rsidRPr="006F0B37">
        <w:rPr>
          <w:rFonts w:asciiTheme="majorHAnsi" w:hAnsiTheme="majorHAnsi"/>
          <w:color w:val="000000"/>
          <w:sz w:val="20"/>
          <w:szCs w:val="20"/>
          <w:lang w:val="es-AR"/>
        </w:rPr>
        <w:t>Las normas fijadas en el campo del derecho procesal, cuya aplicación corresponde a los magistrados, obedecen a criterios metodológicos orientados a ordenar la utilización de las acciones y hacer más efectivo el trabajo judicial</w:t>
      </w:r>
      <w:r w:rsidRPr="006F0B37">
        <w:rPr>
          <w:rStyle w:val="FootnoteReference"/>
          <w:rFonts w:asciiTheme="majorHAnsi" w:hAnsiTheme="majorHAnsi"/>
          <w:color w:val="000000"/>
          <w:sz w:val="20"/>
          <w:szCs w:val="20"/>
          <w:lang w:val="es-ES"/>
        </w:rPr>
        <w:footnoteReference w:id="12"/>
      </w:r>
      <w:r w:rsidRPr="006F0B37">
        <w:rPr>
          <w:rFonts w:asciiTheme="majorHAnsi" w:hAnsiTheme="majorHAnsi"/>
          <w:color w:val="000000"/>
          <w:sz w:val="20"/>
          <w:szCs w:val="20"/>
          <w:lang w:val="es-AR"/>
        </w:rPr>
        <w:t>.</w:t>
      </w:r>
    </w:p>
    <w:p w:rsidR="003F6C0B" w:rsidRPr="00FD4F59" w:rsidRDefault="003F6C0B" w:rsidP="00FD4F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810"/>
        <w:jc w:val="both"/>
        <w:rPr>
          <w:rFonts w:asciiTheme="majorHAnsi" w:hAnsiTheme="majorHAnsi"/>
          <w:color w:val="000000"/>
          <w:sz w:val="20"/>
          <w:szCs w:val="20"/>
          <w:lang w:val="es-ES"/>
        </w:rPr>
      </w:pPr>
    </w:p>
    <w:p w:rsidR="00691969" w:rsidRDefault="00095A18"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AR"/>
        </w:rPr>
        <w:lastRenderedPageBreak/>
        <w:t>Al respecto</w:t>
      </w:r>
      <w:r w:rsidR="005167A9" w:rsidRPr="00FD4F59">
        <w:rPr>
          <w:rFonts w:asciiTheme="majorHAnsi" w:hAnsiTheme="majorHAnsi"/>
          <w:color w:val="000000"/>
          <w:sz w:val="20"/>
          <w:szCs w:val="20"/>
          <w:lang w:val="es-ES"/>
        </w:rPr>
        <w:t xml:space="preserve">, los peticionarios </w:t>
      </w:r>
      <w:r w:rsidR="00A33BCC" w:rsidRPr="00FD4F59">
        <w:rPr>
          <w:rFonts w:asciiTheme="majorHAnsi" w:hAnsiTheme="majorHAnsi"/>
          <w:color w:val="000000"/>
          <w:sz w:val="20"/>
          <w:szCs w:val="20"/>
          <w:lang w:val="es-ES"/>
        </w:rPr>
        <w:t xml:space="preserve">ofrecieron dos argumentos </w:t>
      </w:r>
      <w:r w:rsidR="0015103B" w:rsidRPr="00FD4F59">
        <w:rPr>
          <w:rFonts w:asciiTheme="majorHAnsi" w:hAnsiTheme="majorHAnsi"/>
          <w:color w:val="000000"/>
          <w:sz w:val="20"/>
          <w:szCs w:val="20"/>
          <w:lang w:val="es-ES"/>
        </w:rPr>
        <w:t>diferentes</w:t>
      </w:r>
      <w:r w:rsidR="00A33BCC" w:rsidRPr="00FD4F59">
        <w:rPr>
          <w:rFonts w:asciiTheme="majorHAnsi" w:hAnsiTheme="majorHAnsi"/>
          <w:color w:val="000000"/>
          <w:sz w:val="20"/>
          <w:szCs w:val="20"/>
          <w:lang w:val="es-ES"/>
        </w:rPr>
        <w:t>. Por un lado</w:t>
      </w:r>
      <w:r w:rsidR="0015103B" w:rsidRPr="00FD4F59">
        <w:rPr>
          <w:rFonts w:asciiTheme="majorHAnsi" w:hAnsiTheme="majorHAnsi"/>
          <w:color w:val="000000"/>
          <w:sz w:val="20"/>
          <w:szCs w:val="20"/>
          <w:lang w:val="es-ES"/>
        </w:rPr>
        <w:t xml:space="preserve">, </w:t>
      </w:r>
      <w:r w:rsidR="0079560C" w:rsidRPr="00FD4F59">
        <w:rPr>
          <w:rFonts w:asciiTheme="majorHAnsi" w:hAnsiTheme="majorHAnsi"/>
          <w:color w:val="000000"/>
          <w:sz w:val="20"/>
          <w:szCs w:val="20"/>
          <w:lang w:val="es-ES"/>
        </w:rPr>
        <w:t xml:space="preserve">puntualizaron sobre </w:t>
      </w:r>
      <w:r w:rsidR="00EF73FA" w:rsidRPr="00FD4F59">
        <w:rPr>
          <w:rFonts w:asciiTheme="majorHAnsi" w:hAnsiTheme="majorHAnsi"/>
          <w:color w:val="000000"/>
          <w:sz w:val="20"/>
          <w:szCs w:val="20"/>
          <w:lang w:val="es-ES"/>
        </w:rPr>
        <w:t>la existencia de una “maniobra” que les habría impedido la interposición del recurso en</w:t>
      </w:r>
      <w:r w:rsidRPr="00FD4F59">
        <w:rPr>
          <w:rFonts w:asciiTheme="majorHAnsi" w:hAnsiTheme="majorHAnsi"/>
          <w:color w:val="000000"/>
          <w:sz w:val="20"/>
          <w:szCs w:val="20"/>
          <w:lang w:val="es-ES"/>
        </w:rPr>
        <w:t xml:space="preserve"> debido tiempo</w:t>
      </w:r>
      <w:r w:rsidR="00EF73FA" w:rsidRPr="00FD4F59">
        <w:rPr>
          <w:rFonts w:asciiTheme="majorHAnsi" w:hAnsiTheme="majorHAnsi"/>
          <w:color w:val="000000"/>
          <w:sz w:val="20"/>
          <w:szCs w:val="20"/>
          <w:lang w:val="es-ES"/>
        </w:rPr>
        <w:t xml:space="preserve">. Según alegan, </w:t>
      </w:r>
      <w:r w:rsidR="005167A9" w:rsidRPr="00FD4F59">
        <w:rPr>
          <w:rFonts w:asciiTheme="majorHAnsi" w:hAnsiTheme="majorHAnsi"/>
          <w:color w:val="000000"/>
          <w:sz w:val="20"/>
          <w:szCs w:val="20"/>
          <w:lang w:val="es-ES"/>
        </w:rPr>
        <w:t>el plazo para la presentación del recurso fenecía el día 23 de diciembre de 2003, a las 9:30 horas</w:t>
      </w:r>
      <w:r w:rsidR="005167A9" w:rsidRPr="00FD4F59">
        <w:rPr>
          <w:rStyle w:val="FootnoteReference"/>
          <w:rFonts w:asciiTheme="majorHAnsi" w:hAnsiTheme="majorHAnsi"/>
          <w:color w:val="000000"/>
          <w:sz w:val="20"/>
          <w:szCs w:val="20"/>
          <w:lang w:val="es-ES"/>
        </w:rPr>
        <w:footnoteReference w:id="13"/>
      </w:r>
      <w:r w:rsidR="005167A9" w:rsidRPr="00FD4F59">
        <w:rPr>
          <w:rFonts w:asciiTheme="majorHAnsi" w:hAnsiTheme="majorHAnsi"/>
          <w:color w:val="000000"/>
          <w:sz w:val="20"/>
          <w:szCs w:val="20"/>
          <w:lang w:val="es-ES"/>
        </w:rPr>
        <w:t>,</w:t>
      </w:r>
      <w:r w:rsidR="00BA1EE1" w:rsidRPr="00FD4F59">
        <w:rPr>
          <w:rFonts w:asciiTheme="majorHAnsi" w:hAnsiTheme="majorHAnsi"/>
          <w:color w:val="000000"/>
          <w:sz w:val="20"/>
          <w:szCs w:val="20"/>
          <w:lang w:val="es-ES"/>
        </w:rPr>
        <w:t xml:space="preserve"> y que al momento de interponerlo,</w:t>
      </w:r>
      <w:r w:rsidR="005167A9" w:rsidRPr="00FD4F59">
        <w:rPr>
          <w:rFonts w:asciiTheme="majorHAnsi" w:hAnsiTheme="majorHAnsi"/>
          <w:color w:val="000000"/>
          <w:sz w:val="20"/>
          <w:szCs w:val="20"/>
          <w:lang w:val="es-ES"/>
        </w:rPr>
        <w:t xml:space="preserve"> en lugar de colocar</w:t>
      </w:r>
      <w:r w:rsidR="00177D09" w:rsidRPr="00FD4F59">
        <w:rPr>
          <w:rFonts w:asciiTheme="majorHAnsi" w:hAnsiTheme="majorHAnsi"/>
          <w:color w:val="000000"/>
          <w:sz w:val="20"/>
          <w:szCs w:val="20"/>
          <w:lang w:val="es-ES"/>
        </w:rPr>
        <w:t>,</w:t>
      </w:r>
      <w:r w:rsidR="005167A9" w:rsidRPr="00FD4F59">
        <w:rPr>
          <w:rFonts w:asciiTheme="majorHAnsi" w:hAnsiTheme="majorHAnsi"/>
          <w:color w:val="000000"/>
          <w:sz w:val="20"/>
          <w:szCs w:val="20"/>
          <w:lang w:val="es-ES"/>
        </w:rPr>
        <w:t xml:space="preserve"> </w:t>
      </w:r>
      <w:r w:rsidR="00177D09" w:rsidRPr="00FD4F59">
        <w:rPr>
          <w:rFonts w:asciiTheme="majorHAnsi" w:hAnsiTheme="majorHAnsi"/>
          <w:color w:val="000000"/>
          <w:sz w:val="20"/>
          <w:szCs w:val="20"/>
          <w:lang w:val="es-ES"/>
        </w:rPr>
        <w:t xml:space="preserve">con el sello fechador oficial, </w:t>
      </w:r>
      <w:r w:rsidR="005167A9" w:rsidRPr="00FD4F59">
        <w:rPr>
          <w:rFonts w:asciiTheme="majorHAnsi" w:hAnsiTheme="majorHAnsi"/>
          <w:color w:val="000000"/>
          <w:sz w:val="20"/>
          <w:szCs w:val="20"/>
          <w:lang w:val="es-ES"/>
        </w:rPr>
        <w:t xml:space="preserve">la hora real </w:t>
      </w:r>
      <w:r w:rsidR="00BA1EE1" w:rsidRPr="00FD4F59">
        <w:rPr>
          <w:rFonts w:asciiTheme="majorHAnsi" w:hAnsiTheme="majorHAnsi"/>
          <w:color w:val="000000"/>
          <w:sz w:val="20"/>
          <w:szCs w:val="20"/>
          <w:lang w:val="es-ES"/>
        </w:rPr>
        <w:t>en la que estaba siendo presentado</w:t>
      </w:r>
      <w:r w:rsidR="005167A9" w:rsidRPr="00FD4F59">
        <w:rPr>
          <w:rFonts w:asciiTheme="majorHAnsi" w:hAnsiTheme="majorHAnsi"/>
          <w:color w:val="000000"/>
          <w:sz w:val="20"/>
          <w:szCs w:val="20"/>
          <w:lang w:val="es-ES"/>
        </w:rPr>
        <w:t xml:space="preserve"> (9:29 horas), el personal de la Sala Quinta de la Cámara colocó de forma manuscrita “9:32”</w:t>
      </w:r>
      <w:r w:rsidR="00177D09" w:rsidRPr="00FD4F59">
        <w:rPr>
          <w:rFonts w:asciiTheme="majorHAnsi" w:hAnsiTheme="majorHAnsi"/>
          <w:color w:val="000000"/>
          <w:sz w:val="20"/>
          <w:szCs w:val="20"/>
          <w:lang w:val="es-ES"/>
        </w:rPr>
        <w:t>,</w:t>
      </w:r>
      <w:r w:rsidR="005167A9" w:rsidRPr="00FD4F59">
        <w:rPr>
          <w:rFonts w:asciiTheme="majorHAnsi" w:hAnsiTheme="majorHAnsi"/>
          <w:color w:val="000000"/>
          <w:sz w:val="20"/>
          <w:szCs w:val="20"/>
          <w:lang w:val="es-ES"/>
        </w:rPr>
        <w:t xml:space="preserve"> y con dicha “maniobra” se habría impedido el acceso a la </w:t>
      </w:r>
      <w:r w:rsidR="0079560C" w:rsidRPr="00FD4F59">
        <w:rPr>
          <w:rFonts w:asciiTheme="majorHAnsi" w:hAnsiTheme="majorHAnsi"/>
          <w:color w:val="000000"/>
          <w:sz w:val="20"/>
          <w:szCs w:val="20"/>
          <w:lang w:val="es-ES"/>
        </w:rPr>
        <w:t xml:space="preserve">Corte Suprema </w:t>
      </w:r>
      <w:r w:rsidR="00EF73FA" w:rsidRPr="00FD4F59">
        <w:rPr>
          <w:rFonts w:asciiTheme="majorHAnsi" w:hAnsiTheme="majorHAnsi"/>
          <w:color w:val="000000"/>
          <w:sz w:val="20"/>
          <w:szCs w:val="20"/>
          <w:lang w:val="es-ES"/>
        </w:rPr>
        <w:t>“</w:t>
      </w:r>
      <w:r w:rsidR="005167A9" w:rsidRPr="00FD4F59">
        <w:rPr>
          <w:rFonts w:asciiTheme="majorHAnsi" w:hAnsiTheme="majorHAnsi"/>
          <w:color w:val="000000"/>
          <w:sz w:val="20"/>
          <w:szCs w:val="20"/>
          <w:lang w:val="es-ES"/>
        </w:rPr>
        <w:t>por dos minutos</w:t>
      </w:r>
      <w:r w:rsidR="00EF73FA" w:rsidRPr="00FD4F59">
        <w:rPr>
          <w:rFonts w:asciiTheme="majorHAnsi" w:hAnsiTheme="majorHAnsi"/>
          <w:color w:val="000000"/>
          <w:sz w:val="20"/>
          <w:szCs w:val="20"/>
          <w:lang w:val="es-ES"/>
        </w:rPr>
        <w:t>”</w:t>
      </w:r>
      <w:r w:rsidR="005167A9" w:rsidRPr="00FD4F59">
        <w:rPr>
          <w:rFonts w:asciiTheme="majorHAnsi" w:hAnsiTheme="majorHAnsi"/>
          <w:color w:val="000000"/>
          <w:sz w:val="20"/>
          <w:szCs w:val="20"/>
          <w:lang w:val="es-ES"/>
        </w:rPr>
        <w:t>.</w:t>
      </w:r>
      <w:r w:rsidR="0015103B" w:rsidRPr="00FD4F59">
        <w:rPr>
          <w:rFonts w:asciiTheme="majorHAnsi" w:hAnsiTheme="majorHAnsi"/>
          <w:color w:val="000000"/>
          <w:sz w:val="20"/>
          <w:szCs w:val="20"/>
          <w:lang w:val="es-ES"/>
        </w:rPr>
        <w:t xml:space="preserve"> </w:t>
      </w:r>
      <w:r w:rsidR="00EF73FA" w:rsidRPr="00FD4F59">
        <w:rPr>
          <w:rFonts w:asciiTheme="majorHAnsi" w:hAnsiTheme="majorHAnsi"/>
          <w:color w:val="000000"/>
          <w:sz w:val="20"/>
          <w:szCs w:val="20"/>
          <w:lang w:val="es-ES"/>
        </w:rPr>
        <w:t>Por otro lado</w:t>
      </w:r>
      <w:r w:rsidR="0015103B" w:rsidRPr="00FD4F59">
        <w:rPr>
          <w:rFonts w:asciiTheme="majorHAnsi" w:hAnsiTheme="majorHAnsi"/>
          <w:color w:val="000000"/>
          <w:sz w:val="20"/>
          <w:szCs w:val="20"/>
          <w:lang w:val="es-ES"/>
        </w:rPr>
        <w:t xml:space="preserve">, </w:t>
      </w:r>
      <w:r w:rsidR="00EF73FA" w:rsidRPr="00FD4F59">
        <w:rPr>
          <w:rFonts w:asciiTheme="majorHAnsi" w:hAnsiTheme="majorHAnsi"/>
          <w:color w:val="000000"/>
          <w:sz w:val="20"/>
          <w:szCs w:val="20"/>
          <w:lang w:val="es-ES"/>
        </w:rPr>
        <w:t xml:space="preserve">los peticionarios </w:t>
      </w:r>
      <w:r w:rsidR="0015103B" w:rsidRPr="00FD4F59">
        <w:rPr>
          <w:rFonts w:asciiTheme="majorHAnsi" w:hAnsiTheme="majorHAnsi"/>
          <w:color w:val="000000"/>
          <w:sz w:val="20"/>
          <w:szCs w:val="20"/>
          <w:lang w:val="es-ES"/>
        </w:rPr>
        <w:t xml:space="preserve">adelantaron un argumento de futilidad </w:t>
      </w:r>
      <w:r w:rsidR="00B226A7" w:rsidRPr="00FD4F59">
        <w:rPr>
          <w:rFonts w:asciiTheme="majorHAnsi" w:hAnsiTheme="majorHAnsi"/>
          <w:color w:val="000000"/>
          <w:sz w:val="20"/>
          <w:szCs w:val="20"/>
          <w:lang w:val="es-ES"/>
        </w:rPr>
        <w:t>en relación con el</w:t>
      </w:r>
      <w:r w:rsidR="0015103B" w:rsidRPr="00FD4F59">
        <w:rPr>
          <w:rFonts w:asciiTheme="majorHAnsi" w:hAnsiTheme="majorHAnsi"/>
          <w:color w:val="000000"/>
          <w:sz w:val="20"/>
          <w:szCs w:val="20"/>
          <w:lang w:val="es-ES"/>
        </w:rPr>
        <w:t xml:space="preserve"> recurso extraordinario</w:t>
      </w:r>
      <w:r w:rsidR="00EF73FA" w:rsidRPr="00FD4F59">
        <w:rPr>
          <w:rFonts w:asciiTheme="majorHAnsi" w:hAnsiTheme="majorHAnsi"/>
          <w:color w:val="000000"/>
          <w:sz w:val="20"/>
          <w:szCs w:val="20"/>
          <w:lang w:val="es-ES"/>
        </w:rPr>
        <w:t xml:space="preserve"> federal</w:t>
      </w:r>
      <w:r w:rsidR="00F64CF9">
        <w:rPr>
          <w:rFonts w:asciiTheme="majorHAnsi" w:hAnsiTheme="majorHAnsi"/>
          <w:color w:val="000000"/>
          <w:sz w:val="20"/>
          <w:szCs w:val="20"/>
          <w:lang w:val="es-ES"/>
        </w:rPr>
        <w:t xml:space="preserve"> en este caso concreto</w:t>
      </w:r>
      <w:r w:rsidR="00EF73FA" w:rsidRPr="00FD4F59">
        <w:rPr>
          <w:rFonts w:asciiTheme="majorHAnsi" w:hAnsiTheme="majorHAnsi"/>
          <w:color w:val="000000"/>
          <w:sz w:val="20"/>
          <w:szCs w:val="20"/>
          <w:lang w:val="es-ES"/>
        </w:rPr>
        <w:t xml:space="preserve">, arguyendo que nunca </w:t>
      </w:r>
      <w:r w:rsidR="001F61C1" w:rsidRPr="00FD4F59">
        <w:rPr>
          <w:rFonts w:asciiTheme="majorHAnsi" w:hAnsiTheme="majorHAnsi"/>
          <w:color w:val="000000"/>
          <w:sz w:val="20"/>
          <w:szCs w:val="20"/>
          <w:lang w:val="es-ES"/>
        </w:rPr>
        <w:t xml:space="preserve">hubiera prosperado </w:t>
      </w:r>
      <w:r w:rsidR="00EF73FA" w:rsidRPr="00FD4F59">
        <w:rPr>
          <w:rFonts w:asciiTheme="majorHAnsi" w:hAnsiTheme="majorHAnsi"/>
          <w:color w:val="000000"/>
          <w:sz w:val="20"/>
          <w:szCs w:val="20"/>
          <w:lang w:val="es-ES"/>
        </w:rPr>
        <w:t>una queja ante la Corte Suprema</w:t>
      </w:r>
      <w:r w:rsidR="001F61C1" w:rsidRPr="00FD4F59">
        <w:rPr>
          <w:rFonts w:asciiTheme="majorHAnsi" w:hAnsiTheme="majorHAnsi"/>
          <w:color w:val="000000"/>
          <w:sz w:val="20"/>
          <w:szCs w:val="20"/>
          <w:lang w:val="es-ES"/>
        </w:rPr>
        <w:t xml:space="preserve"> de Justicia en la que se e</w:t>
      </w:r>
      <w:r w:rsidR="00B226A7" w:rsidRPr="00FD4F59">
        <w:rPr>
          <w:rFonts w:asciiTheme="majorHAnsi" w:hAnsiTheme="majorHAnsi"/>
          <w:color w:val="000000"/>
          <w:sz w:val="20"/>
          <w:szCs w:val="20"/>
          <w:lang w:val="es-ES"/>
        </w:rPr>
        <w:t>ncontraba involucrado</w:t>
      </w:r>
      <w:r w:rsidR="001F61C1" w:rsidRPr="00FD4F59">
        <w:rPr>
          <w:rFonts w:asciiTheme="majorHAnsi" w:hAnsiTheme="majorHAnsi"/>
          <w:color w:val="000000"/>
          <w:sz w:val="20"/>
          <w:szCs w:val="20"/>
          <w:lang w:val="es-ES"/>
        </w:rPr>
        <w:t xml:space="preserve"> el cuerpo pericial dependiente de la misma</w:t>
      </w:r>
      <w:r w:rsidR="00B226A7" w:rsidRPr="00FD4F59">
        <w:rPr>
          <w:rFonts w:asciiTheme="majorHAnsi" w:hAnsiTheme="majorHAnsi"/>
          <w:color w:val="000000"/>
          <w:sz w:val="20"/>
          <w:szCs w:val="20"/>
          <w:lang w:val="es-ES"/>
        </w:rPr>
        <w:t>, así como altos funcionarios del poder judicial, lo cual explica “la razonabilidad de acudir a la Comisión Interamericana de Derechos Humanos”.</w:t>
      </w:r>
      <w:r w:rsidR="001617D6"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AF03B4" w:rsidRDefault="004D42E4"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Respecto de este punto, la Comisión formulará las siguientes observaciones. En primer lugar, respecto del argumento del Estado sobre la aplicación del antecedente establecido del caso 10.382, la Comisión desea señalar que el marco fáctico y el tipo de proceso adelantado en el ámbito interno en aquel caso difiere de los del caso bajo estudio. Concretamente, el caso 10.382 versó sobre alegadas violaciones a la Convención Americana a raíz de la decisión de un órgano judicial de ordenar el pago de una suma de dinero que “no t[enía] carácter punitivo”</w:t>
      </w:r>
      <w:r w:rsidRPr="00FD4F59">
        <w:rPr>
          <w:rStyle w:val="FootnoteReference"/>
          <w:rFonts w:asciiTheme="majorHAnsi" w:hAnsiTheme="majorHAnsi"/>
          <w:color w:val="000000"/>
          <w:sz w:val="20"/>
          <w:szCs w:val="20"/>
          <w:lang w:val="es-ES"/>
        </w:rPr>
        <w:footnoteReference w:id="14"/>
      </w:r>
      <w:r w:rsidRPr="00FD4F59">
        <w:rPr>
          <w:rFonts w:asciiTheme="majorHAnsi" w:hAnsiTheme="majorHAnsi"/>
          <w:color w:val="000000"/>
          <w:sz w:val="20"/>
          <w:szCs w:val="20"/>
          <w:lang w:val="es-ES"/>
        </w:rPr>
        <w:t xml:space="preserve">, sino que se trataba de una indemnización complementaria en favor de la contraparte en un proceso de ejecución hipotecaria, un proceso regido por el principio dispositivo y el interés de las partes. La presente petición, en cambio, involucra un proceso de índole penal que tuvo su origen en la denuncia radicada por un delito perseguible de oficio, cuya responsabilidad de investigación recae, en los términos ya reseñados, en el Estado.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6C5008" w:rsidRDefault="004D42E4"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Cabe por ello hacer notar el estándar diferenciado de agotamiento de los recursos internos que</w:t>
      </w:r>
      <w:r w:rsidR="00AF03B4" w:rsidRPr="00FD4F59">
        <w:rPr>
          <w:rFonts w:asciiTheme="majorHAnsi" w:hAnsiTheme="majorHAnsi"/>
          <w:color w:val="000000"/>
          <w:sz w:val="20"/>
          <w:szCs w:val="20"/>
          <w:lang w:val="es-ES"/>
        </w:rPr>
        <w:t xml:space="preserve">, conforme la línea de precedentes establecidos por esta Comisión, </w:t>
      </w:r>
      <w:r w:rsidR="00E376F8" w:rsidRPr="00FD4F59">
        <w:rPr>
          <w:rFonts w:asciiTheme="majorHAnsi" w:hAnsiTheme="majorHAnsi"/>
          <w:color w:val="000000"/>
          <w:sz w:val="20"/>
          <w:szCs w:val="20"/>
          <w:lang w:val="es-ES"/>
        </w:rPr>
        <w:t xml:space="preserve">es </w:t>
      </w:r>
      <w:r w:rsidRPr="00FD4F59">
        <w:rPr>
          <w:rFonts w:asciiTheme="majorHAnsi" w:hAnsiTheme="majorHAnsi"/>
          <w:color w:val="000000"/>
          <w:sz w:val="20"/>
          <w:szCs w:val="20"/>
          <w:lang w:val="es-ES"/>
        </w:rPr>
        <w:t>aplica</w:t>
      </w:r>
      <w:r w:rsidR="00E376F8" w:rsidRPr="00FD4F59">
        <w:rPr>
          <w:rFonts w:asciiTheme="majorHAnsi" w:hAnsiTheme="majorHAnsi"/>
          <w:color w:val="000000"/>
          <w:sz w:val="20"/>
          <w:szCs w:val="20"/>
          <w:lang w:val="es-ES"/>
        </w:rPr>
        <w:t>ble</w:t>
      </w:r>
      <w:r w:rsidRPr="00FD4F59">
        <w:rPr>
          <w:rFonts w:asciiTheme="majorHAnsi" w:hAnsiTheme="majorHAnsi"/>
          <w:color w:val="000000"/>
          <w:sz w:val="20"/>
          <w:szCs w:val="20"/>
          <w:lang w:val="es-ES"/>
        </w:rPr>
        <w:t xml:space="preserve"> en casos en los que el impulso procesal es un deber del específico del Estado</w:t>
      </w:r>
      <w:r w:rsidR="00E376F8" w:rsidRPr="00FD4F59">
        <w:rPr>
          <w:rFonts w:asciiTheme="majorHAnsi" w:hAnsiTheme="majorHAnsi"/>
          <w:color w:val="000000"/>
          <w:sz w:val="20"/>
          <w:szCs w:val="20"/>
          <w:lang w:val="es-ES"/>
        </w:rPr>
        <w:t xml:space="preserve">, así como </w:t>
      </w:r>
      <w:r w:rsidRPr="00FD4F59">
        <w:rPr>
          <w:rFonts w:asciiTheme="majorHAnsi" w:hAnsiTheme="majorHAnsi"/>
          <w:color w:val="000000"/>
          <w:sz w:val="20"/>
          <w:szCs w:val="20"/>
          <w:lang w:val="es-ES"/>
        </w:rPr>
        <w:t>el grado de responsabilidad que tienen las personas individuales en el avance de las investigaciones</w:t>
      </w:r>
      <w:r w:rsidR="00AF03B4" w:rsidRPr="00FD4F59">
        <w:rPr>
          <w:rFonts w:asciiTheme="majorHAnsi" w:hAnsiTheme="majorHAnsi"/>
          <w:color w:val="000000"/>
          <w:sz w:val="20"/>
          <w:szCs w:val="20"/>
          <w:lang w:val="es-ES"/>
        </w:rPr>
        <w:t xml:space="preserve"> penales</w:t>
      </w:r>
      <w:r w:rsidRPr="00FD4F59">
        <w:rPr>
          <w:rFonts w:asciiTheme="majorHAnsi" w:hAnsiTheme="majorHAnsi"/>
          <w:color w:val="000000"/>
          <w:sz w:val="20"/>
          <w:szCs w:val="20"/>
          <w:lang w:val="es-ES"/>
        </w:rPr>
        <w:t xml:space="preserve">. </w:t>
      </w:r>
      <w:r w:rsidR="00E376F8" w:rsidRPr="00FD4F59">
        <w:rPr>
          <w:rFonts w:asciiTheme="majorHAnsi" w:hAnsiTheme="majorHAnsi"/>
          <w:color w:val="000000"/>
          <w:sz w:val="20"/>
          <w:szCs w:val="20"/>
          <w:lang w:val="es-ES"/>
        </w:rPr>
        <w:t>En efecto</w:t>
      </w:r>
      <w:r w:rsidRPr="00FD4F59">
        <w:rPr>
          <w:rFonts w:asciiTheme="majorHAnsi" w:hAnsiTheme="majorHAnsi"/>
          <w:color w:val="000000"/>
          <w:sz w:val="20"/>
          <w:szCs w:val="20"/>
          <w:lang w:val="es-ES"/>
        </w:rPr>
        <w:t xml:space="preserve">, la CIDH ya tiene dicho que, </w:t>
      </w:r>
      <w:r w:rsidRPr="00FD4F59">
        <w:rPr>
          <w:rFonts w:asciiTheme="majorHAnsi" w:hAnsiTheme="majorHAnsi" w:cs="Calibri"/>
          <w:sz w:val="20"/>
          <w:szCs w:val="20"/>
          <w:lang w:val="es-AR"/>
        </w:rPr>
        <w:t>en los regímenes procesales en los que las víctimas o sus familiares pudieren tener legitimación para intervenir en procesos penales, su ejercicio no es obligatorio sino optativo y no sustituye en modo alguno a la actividad estatal</w:t>
      </w:r>
      <w:r w:rsidRPr="00FD4F59">
        <w:rPr>
          <w:rStyle w:val="FootnoteReference"/>
          <w:rFonts w:asciiTheme="majorHAnsi" w:hAnsiTheme="majorHAnsi" w:cs="Calibri"/>
          <w:sz w:val="20"/>
          <w:szCs w:val="20"/>
          <w:lang w:val="es-AR"/>
        </w:rPr>
        <w:footnoteReference w:id="15"/>
      </w:r>
      <w:r w:rsidRPr="00FD4F59">
        <w:rPr>
          <w:rFonts w:asciiTheme="majorHAnsi" w:hAnsiTheme="majorHAnsi"/>
          <w:color w:val="000000"/>
          <w:sz w:val="20"/>
          <w:szCs w:val="20"/>
          <w:lang w:val="es-ES"/>
        </w:rPr>
        <w:t xml:space="preserve">. </w:t>
      </w:r>
      <w:r w:rsidR="00E376F8" w:rsidRPr="00FD4F59">
        <w:rPr>
          <w:rFonts w:asciiTheme="majorHAnsi" w:hAnsiTheme="majorHAnsi" w:cs="Calibri"/>
          <w:sz w:val="20"/>
          <w:szCs w:val="20"/>
          <w:lang w:val="es-ES"/>
        </w:rPr>
        <w:t>En otras palabras</w:t>
      </w:r>
      <w:r w:rsidR="00F027A8" w:rsidRPr="00FD4F59">
        <w:rPr>
          <w:rFonts w:asciiTheme="majorHAnsi" w:hAnsiTheme="majorHAnsi" w:cs="Calibri"/>
          <w:sz w:val="20"/>
          <w:szCs w:val="20"/>
          <w:lang w:val="es-AR"/>
        </w:rPr>
        <w:t>,</w:t>
      </w:r>
      <w:r w:rsidR="00E376F8" w:rsidRPr="00FD4F59">
        <w:rPr>
          <w:rFonts w:asciiTheme="majorHAnsi" w:hAnsiTheme="majorHAnsi" w:cs="Calibri"/>
          <w:sz w:val="20"/>
          <w:szCs w:val="20"/>
          <w:lang w:val="es-AR"/>
        </w:rPr>
        <w:t xml:space="preserve"> y </w:t>
      </w:r>
      <w:r w:rsidR="00DD5598" w:rsidRPr="00FD4F59">
        <w:rPr>
          <w:rFonts w:asciiTheme="majorHAnsi" w:hAnsiTheme="majorHAnsi" w:cs="Calibri"/>
          <w:sz w:val="20"/>
          <w:szCs w:val="20"/>
          <w:lang w:val="es-AR"/>
        </w:rPr>
        <w:t xml:space="preserve">tal como </w:t>
      </w:r>
      <w:r w:rsidR="00F027A8" w:rsidRPr="00FD4F59">
        <w:rPr>
          <w:rFonts w:asciiTheme="majorHAnsi" w:hAnsiTheme="majorHAnsi" w:cs="Calibri"/>
          <w:sz w:val="20"/>
          <w:szCs w:val="20"/>
          <w:lang w:val="es-AR"/>
        </w:rPr>
        <w:t>ha concluido la Comisión, no puede exigirse a las víctimas o sus familiares que asuman la tarea de agotar los recursos internos cuando esta obligación le corresponde al Estado</w:t>
      </w:r>
      <w:r w:rsidR="00F027A8" w:rsidRPr="00FD4F59">
        <w:rPr>
          <w:rStyle w:val="FootnoteReference"/>
          <w:rFonts w:asciiTheme="majorHAnsi" w:hAnsiTheme="majorHAnsi" w:cs="Calibri"/>
          <w:sz w:val="20"/>
          <w:szCs w:val="20"/>
          <w:lang w:val="es-AR"/>
        </w:rPr>
        <w:footnoteReference w:id="16"/>
      </w:r>
      <w:r w:rsidR="00F027A8" w:rsidRPr="00FD4F59">
        <w:rPr>
          <w:rFonts w:asciiTheme="majorHAnsi" w:hAnsiTheme="majorHAnsi" w:cs="Calibri"/>
          <w:sz w:val="20"/>
          <w:szCs w:val="20"/>
          <w:lang w:val="es-AR"/>
        </w:rPr>
        <w:t>.</w:t>
      </w:r>
      <w:r w:rsidR="006C5008" w:rsidRPr="00FD4F59">
        <w:rPr>
          <w:rFonts w:asciiTheme="majorHAnsi" w:hAnsiTheme="majorHAnsi" w:cs="Calibri"/>
          <w:sz w:val="20"/>
          <w:szCs w:val="20"/>
          <w:lang w:val="es-AR"/>
        </w:rPr>
        <w:t xml:space="preserve"> </w:t>
      </w:r>
      <w:r w:rsidR="006C5008" w:rsidRPr="00FD4F59">
        <w:rPr>
          <w:rFonts w:asciiTheme="majorHAnsi" w:hAnsiTheme="majorHAnsi"/>
          <w:color w:val="000000"/>
          <w:sz w:val="20"/>
          <w:szCs w:val="20"/>
          <w:lang w:val="es-AR"/>
        </w:rPr>
        <w:t xml:space="preserve">Sin perjuicio de lo anterior, la CIDH nota la persistencia de los familiares de Cristina Britez Arce </w:t>
      </w:r>
      <w:r w:rsidR="00A03566" w:rsidRPr="00FD4F59">
        <w:rPr>
          <w:rFonts w:asciiTheme="majorHAnsi" w:hAnsiTheme="majorHAnsi"/>
          <w:color w:val="000000"/>
          <w:sz w:val="20"/>
          <w:szCs w:val="20"/>
          <w:lang w:val="es-AR"/>
        </w:rPr>
        <w:t>por</w:t>
      </w:r>
      <w:r w:rsidR="006C5008" w:rsidRPr="00FD4F59">
        <w:rPr>
          <w:rFonts w:asciiTheme="majorHAnsi" w:hAnsiTheme="majorHAnsi"/>
          <w:color w:val="000000"/>
          <w:sz w:val="20"/>
          <w:szCs w:val="20"/>
          <w:lang w:val="es-AR"/>
        </w:rPr>
        <w:t xml:space="preserve"> tratar de obtener el pleno esclarecimiento de los hechos</w:t>
      </w:r>
      <w:r w:rsidR="00B03F4B" w:rsidRPr="00FD4F59">
        <w:rPr>
          <w:rFonts w:asciiTheme="majorHAnsi" w:hAnsiTheme="majorHAnsi"/>
          <w:color w:val="000000"/>
          <w:sz w:val="20"/>
          <w:szCs w:val="20"/>
          <w:lang w:val="es-ES"/>
        </w:rPr>
        <w:t xml:space="preserve"> en la medida de sus posibilidades</w:t>
      </w:r>
      <w:r w:rsidR="006C5008" w:rsidRPr="00FD4F59">
        <w:rPr>
          <w:rFonts w:asciiTheme="majorHAnsi" w:hAnsiTheme="majorHAnsi"/>
          <w:color w:val="000000"/>
          <w:sz w:val="20"/>
          <w:szCs w:val="20"/>
          <w:lang w:val="es-AR"/>
        </w:rPr>
        <w:t xml:space="preserve">, a través </w:t>
      </w:r>
      <w:r w:rsidR="00A03566" w:rsidRPr="00FD4F59">
        <w:rPr>
          <w:rFonts w:asciiTheme="majorHAnsi" w:hAnsiTheme="majorHAnsi"/>
          <w:color w:val="000000"/>
          <w:sz w:val="20"/>
          <w:szCs w:val="20"/>
          <w:lang w:val="es-AR"/>
        </w:rPr>
        <w:t xml:space="preserve">de su participación </w:t>
      </w:r>
      <w:r w:rsidR="0010299D" w:rsidRPr="00FD4F59">
        <w:rPr>
          <w:rFonts w:asciiTheme="majorHAnsi" w:hAnsiTheme="majorHAnsi"/>
          <w:color w:val="000000"/>
          <w:sz w:val="20"/>
          <w:szCs w:val="20"/>
          <w:lang w:val="es-AR"/>
        </w:rPr>
        <w:t>e interposición de recursos</w:t>
      </w:r>
      <w:r w:rsidR="00B03F4B" w:rsidRPr="00FD4F59">
        <w:rPr>
          <w:rFonts w:asciiTheme="majorHAnsi" w:hAnsiTheme="majorHAnsi"/>
          <w:color w:val="000000"/>
          <w:sz w:val="20"/>
          <w:szCs w:val="20"/>
          <w:lang w:val="es-AR"/>
        </w:rPr>
        <w:t xml:space="preserve"> </w:t>
      </w:r>
      <w:r w:rsidR="00B03F4B" w:rsidRPr="00FD4F59">
        <w:rPr>
          <w:rFonts w:asciiTheme="majorHAnsi" w:hAnsiTheme="majorHAnsi"/>
          <w:color w:val="000000"/>
          <w:sz w:val="20"/>
          <w:szCs w:val="20"/>
          <w:lang w:val="es-ES"/>
        </w:rPr>
        <w:t xml:space="preserve">en el marco del proceso penal por homicidio culposo y </w:t>
      </w:r>
      <w:r w:rsidR="00A03566" w:rsidRPr="00FD4F59">
        <w:rPr>
          <w:rFonts w:asciiTheme="majorHAnsi" w:hAnsiTheme="majorHAnsi"/>
          <w:color w:val="000000"/>
          <w:sz w:val="20"/>
          <w:szCs w:val="20"/>
          <w:lang w:val="es-AR"/>
        </w:rPr>
        <w:t>en los diversos procesos penales que se iniciaron</w:t>
      </w:r>
      <w:r w:rsidR="00A03566" w:rsidRPr="00FD4F59">
        <w:rPr>
          <w:rFonts w:asciiTheme="majorHAnsi" w:hAnsiTheme="majorHAnsi"/>
          <w:color w:val="000000"/>
          <w:sz w:val="20"/>
          <w:szCs w:val="20"/>
          <w:lang w:val="es-ES"/>
        </w:rPr>
        <w:t xml:space="preserve"> con posterioridad</w:t>
      </w:r>
      <w:r w:rsidR="00B03F4B" w:rsidRPr="00FD4F59">
        <w:rPr>
          <w:rFonts w:asciiTheme="majorHAnsi" w:hAnsiTheme="majorHAnsi"/>
          <w:color w:val="000000"/>
          <w:sz w:val="20"/>
          <w:szCs w:val="20"/>
          <w:lang w:val="es-ES"/>
        </w:rPr>
        <w:t xml:space="preserve"> al mismo</w:t>
      </w:r>
      <w:r w:rsidR="00F1271B"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olor w:val="000000"/>
          <w:sz w:val="20"/>
          <w:szCs w:val="20"/>
          <w:lang w:val="es-ES"/>
        </w:rPr>
      </w:pPr>
    </w:p>
    <w:p w:rsidR="00DC265D" w:rsidRPr="007D4D73" w:rsidRDefault="004F2EAD"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 xml:space="preserve">En segundo lugar, </w:t>
      </w:r>
      <w:r w:rsidR="00B03F4B" w:rsidRPr="00FD4F59">
        <w:rPr>
          <w:rFonts w:asciiTheme="majorHAnsi" w:hAnsiTheme="majorHAnsi"/>
          <w:color w:val="000000"/>
          <w:sz w:val="20"/>
          <w:szCs w:val="20"/>
          <w:lang w:val="es-ES"/>
        </w:rPr>
        <w:t xml:space="preserve">debe </w:t>
      </w:r>
      <w:r w:rsidRPr="00FD4F59">
        <w:rPr>
          <w:rFonts w:asciiTheme="majorHAnsi" w:hAnsiTheme="majorHAnsi"/>
          <w:color w:val="000000"/>
          <w:sz w:val="20"/>
          <w:szCs w:val="20"/>
          <w:lang w:val="es-ES"/>
        </w:rPr>
        <w:t>tener</w:t>
      </w:r>
      <w:r w:rsidR="00B03F4B" w:rsidRPr="00FD4F59">
        <w:rPr>
          <w:rFonts w:asciiTheme="majorHAnsi" w:hAnsiTheme="majorHAnsi"/>
          <w:color w:val="000000"/>
          <w:sz w:val="20"/>
          <w:szCs w:val="20"/>
          <w:lang w:val="es-ES"/>
        </w:rPr>
        <w:t>se</w:t>
      </w:r>
      <w:r w:rsidRPr="00FD4F59">
        <w:rPr>
          <w:rFonts w:asciiTheme="majorHAnsi" w:hAnsiTheme="majorHAnsi"/>
          <w:color w:val="000000"/>
          <w:sz w:val="20"/>
          <w:szCs w:val="20"/>
          <w:lang w:val="es-ES"/>
        </w:rPr>
        <w:t xml:space="preserve"> presente que la Comisión ya ha determinado que </w:t>
      </w:r>
      <w:r w:rsidR="00465BB1" w:rsidRPr="00FD4F59">
        <w:rPr>
          <w:rFonts w:asciiTheme="majorHAnsi" w:hAnsiTheme="majorHAnsi"/>
          <w:color w:val="000000"/>
          <w:sz w:val="20"/>
          <w:szCs w:val="20"/>
          <w:lang w:val="es-ES"/>
        </w:rPr>
        <w:t>el recurso extraordinario federal</w:t>
      </w:r>
      <w:r w:rsidR="005A1CD1" w:rsidRPr="00FD4F59">
        <w:rPr>
          <w:rFonts w:asciiTheme="majorHAnsi" w:hAnsiTheme="majorHAnsi"/>
          <w:color w:val="000000"/>
          <w:sz w:val="20"/>
          <w:szCs w:val="20"/>
          <w:lang w:val="es-ES"/>
        </w:rPr>
        <w:t xml:space="preserve"> disponible en el ordenamiento jurídico argentino</w:t>
      </w:r>
      <w:r w:rsidR="00465BB1" w:rsidRPr="00FD4F59">
        <w:rPr>
          <w:rFonts w:asciiTheme="majorHAnsi" w:hAnsiTheme="majorHAnsi"/>
          <w:color w:val="000000"/>
          <w:sz w:val="20"/>
          <w:szCs w:val="20"/>
          <w:lang w:val="es-ES"/>
        </w:rPr>
        <w:t xml:space="preserve"> —recurso al que hace referencia el </w:t>
      </w:r>
      <w:r w:rsidR="00465BB1" w:rsidRPr="00FD4F59">
        <w:rPr>
          <w:rFonts w:asciiTheme="majorHAnsi" w:hAnsiTheme="majorHAnsi"/>
          <w:color w:val="000000"/>
          <w:sz w:val="20"/>
          <w:szCs w:val="20"/>
          <w:lang w:val="es-ES"/>
        </w:rPr>
        <w:lastRenderedPageBreak/>
        <w:t>Estado</w:t>
      </w:r>
      <w:r w:rsidR="00441D99" w:rsidRPr="00FD4F59">
        <w:rPr>
          <w:rFonts w:asciiTheme="majorHAnsi" w:hAnsiTheme="majorHAnsi"/>
          <w:color w:val="000000"/>
          <w:sz w:val="20"/>
          <w:szCs w:val="20"/>
          <w:lang w:val="es-ES"/>
        </w:rPr>
        <w:t xml:space="preserve">— es un recurso </w:t>
      </w:r>
      <w:r w:rsidR="00DD5598" w:rsidRPr="00FD4F59">
        <w:rPr>
          <w:rFonts w:asciiTheme="majorHAnsi" w:hAnsiTheme="majorHAnsi"/>
          <w:color w:val="000000"/>
          <w:sz w:val="20"/>
          <w:szCs w:val="20"/>
          <w:lang w:val="es-ES"/>
        </w:rPr>
        <w:t xml:space="preserve">de carácter </w:t>
      </w:r>
      <w:r w:rsidR="005A1CD1" w:rsidRPr="00FD4F59">
        <w:rPr>
          <w:rFonts w:asciiTheme="majorHAnsi" w:hAnsiTheme="majorHAnsi"/>
          <w:color w:val="000000"/>
          <w:sz w:val="20"/>
          <w:szCs w:val="20"/>
          <w:lang w:val="es-ES"/>
        </w:rPr>
        <w:t xml:space="preserve">extraordinario, </w:t>
      </w:r>
      <w:r w:rsidR="00DD5598" w:rsidRPr="00FD4F59">
        <w:rPr>
          <w:rFonts w:asciiTheme="majorHAnsi" w:hAnsiTheme="majorHAnsi"/>
          <w:color w:val="000000"/>
          <w:sz w:val="20"/>
          <w:szCs w:val="20"/>
          <w:lang w:val="es-ES"/>
        </w:rPr>
        <w:t>excepcional y discrecional</w:t>
      </w:r>
      <w:r w:rsidR="00DD5598" w:rsidRPr="00FD4F59">
        <w:rPr>
          <w:rStyle w:val="FootnoteReference"/>
          <w:rFonts w:asciiTheme="majorHAnsi" w:hAnsiTheme="majorHAnsi"/>
          <w:color w:val="000000"/>
          <w:sz w:val="20"/>
          <w:szCs w:val="20"/>
          <w:lang w:val="es-ES"/>
        </w:rPr>
        <w:footnoteReference w:id="17"/>
      </w:r>
      <w:r w:rsidR="000863B2" w:rsidRPr="00FD4F59">
        <w:rPr>
          <w:rFonts w:asciiTheme="majorHAnsi" w:hAnsiTheme="majorHAnsi"/>
          <w:color w:val="000000"/>
          <w:sz w:val="20"/>
          <w:szCs w:val="20"/>
          <w:lang w:val="es-ES"/>
        </w:rPr>
        <w:t xml:space="preserve"> y</w:t>
      </w:r>
      <w:r w:rsidR="00125111" w:rsidRPr="00FD4F59">
        <w:rPr>
          <w:rFonts w:asciiTheme="majorHAnsi" w:hAnsiTheme="majorHAnsi"/>
          <w:color w:val="000000"/>
          <w:sz w:val="20"/>
          <w:szCs w:val="20"/>
          <w:lang w:val="es-ES"/>
        </w:rPr>
        <w:t>,</w:t>
      </w:r>
      <w:r w:rsidR="000863B2" w:rsidRPr="00FD4F59">
        <w:rPr>
          <w:rFonts w:asciiTheme="majorHAnsi" w:hAnsiTheme="majorHAnsi"/>
          <w:color w:val="000000"/>
          <w:sz w:val="20"/>
          <w:szCs w:val="20"/>
          <w:lang w:val="es-ES"/>
        </w:rPr>
        <w:t xml:space="preserve"> como tal, no es una instancia que se añade a todos los juicios, sino que funciona como una instancia nueva pero reducida y parcial, que existe para asegurar la supremacía constitucional</w:t>
      </w:r>
      <w:r w:rsidR="00CE4F11" w:rsidRPr="00FD4F59">
        <w:rPr>
          <w:rFonts w:asciiTheme="majorHAnsi" w:hAnsiTheme="majorHAnsi"/>
          <w:color w:val="000000"/>
          <w:sz w:val="20"/>
          <w:szCs w:val="20"/>
          <w:lang w:val="es-ES"/>
        </w:rPr>
        <w:t xml:space="preserve"> y cuya procedencia es </w:t>
      </w:r>
      <w:r w:rsidR="000863B2" w:rsidRPr="00FD4F59">
        <w:rPr>
          <w:rFonts w:asciiTheme="majorHAnsi" w:hAnsiTheme="majorHAnsi"/>
          <w:color w:val="000000"/>
          <w:sz w:val="20"/>
          <w:szCs w:val="20"/>
          <w:lang w:val="es-ES"/>
        </w:rPr>
        <w:t>interpreta</w:t>
      </w:r>
      <w:r w:rsidR="00CE4F11" w:rsidRPr="00FD4F59">
        <w:rPr>
          <w:rFonts w:asciiTheme="majorHAnsi" w:hAnsiTheme="majorHAnsi"/>
          <w:color w:val="000000"/>
          <w:sz w:val="20"/>
          <w:szCs w:val="20"/>
          <w:lang w:val="es-ES"/>
        </w:rPr>
        <w:t>da</w:t>
      </w:r>
      <w:r w:rsidR="000863B2" w:rsidRPr="00FD4F59">
        <w:rPr>
          <w:rFonts w:asciiTheme="majorHAnsi" w:hAnsiTheme="majorHAnsi"/>
          <w:color w:val="000000"/>
          <w:sz w:val="20"/>
          <w:szCs w:val="20"/>
          <w:lang w:val="es-ES"/>
        </w:rPr>
        <w:t xml:space="preserve"> de manera restringida.</w:t>
      </w:r>
      <w:r w:rsidR="000863B2" w:rsidRPr="00FD4F59">
        <w:rPr>
          <w:rStyle w:val="FootnoteReference"/>
          <w:rFonts w:asciiTheme="majorHAnsi" w:hAnsiTheme="majorHAnsi"/>
          <w:color w:val="000000"/>
          <w:sz w:val="20"/>
          <w:szCs w:val="20"/>
          <w:lang w:val="es-ES"/>
        </w:rPr>
        <w:footnoteReference w:id="18"/>
      </w:r>
      <w:r w:rsidR="0078760B" w:rsidRPr="00FD4F59">
        <w:rPr>
          <w:rFonts w:asciiTheme="majorHAnsi" w:hAnsiTheme="majorHAnsi"/>
          <w:color w:val="000000"/>
          <w:sz w:val="20"/>
          <w:szCs w:val="20"/>
          <w:lang w:val="es-ES"/>
        </w:rPr>
        <w:t xml:space="preserve"> En atención a ello</w:t>
      </w:r>
      <w:r w:rsidR="00F1271B" w:rsidRPr="00FD4F59">
        <w:rPr>
          <w:rFonts w:asciiTheme="majorHAnsi" w:hAnsiTheme="majorHAnsi"/>
          <w:color w:val="000000"/>
          <w:sz w:val="20"/>
          <w:szCs w:val="20"/>
          <w:lang w:val="es-ES"/>
        </w:rPr>
        <w:t xml:space="preserve">, </w:t>
      </w:r>
      <w:r w:rsidR="00DC265D" w:rsidRPr="00FD4F59">
        <w:rPr>
          <w:rFonts w:asciiTheme="majorHAnsi" w:hAnsiTheme="majorHAnsi"/>
          <w:color w:val="000000"/>
          <w:sz w:val="20"/>
          <w:szCs w:val="20"/>
          <w:lang w:val="es-ES_tradnl"/>
        </w:rPr>
        <w:t>su agotamiento no es necesariamente requerido por la Comisión</w:t>
      </w:r>
      <w:r w:rsidR="00DC265D" w:rsidRPr="00FD4F59">
        <w:rPr>
          <w:rStyle w:val="FootnoteReference"/>
          <w:rFonts w:asciiTheme="majorHAnsi" w:hAnsiTheme="majorHAnsi"/>
          <w:color w:val="000000"/>
          <w:sz w:val="20"/>
          <w:szCs w:val="20"/>
          <w:lang w:val="es-AR"/>
        </w:rPr>
        <w:footnoteReference w:id="19"/>
      </w:r>
      <w:r w:rsidR="000863B2" w:rsidRPr="00FD4F59">
        <w:rPr>
          <w:rFonts w:asciiTheme="majorHAnsi" w:hAnsiTheme="majorHAnsi"/>
          <w:color w:val="000000"/>
          <w:sz w:val="20"/>
          <w:szCs w:val="20"/>
          <w:lang w:val="es-ES_tradnl"/>
        </w:rPr>
        <w:t xml:space="preserve"> y, en efecto, atendiendo a las circunstancias propias de cada uno, numeros</w:t>
      </w:r>
      <w:r w:rsidR="00C857BE" w:rsidRPr="00FD4F59">
        <w:rPr>
          <w:rFonts w:asciiTheme="majorHAnsi" w:hAnsiTheme="majorHAnsi"/>
          <w:color w:val="000000"/>
          <w:sz w:val="20"/>
          <w:szCs w:val="20"/>
          <w:lang w:val="es-ES_tradnl"/>
        </w:rPr>
        <w:t>a</w:t>
      </w:r>
      <w:r w:rsidR="000863B2" w:rsidRPr="00FD4F59">
        <w:rPr>
          <w:rFonts w:asciiTheme="majorHAnsi" w:hAnsiTheme="majorHAnsi"/>
          <w:color w:val="000000"/>
          <w:sz w:val="20"/>
          <w:szCs w:val="20"/>
          <w:lang w:val="es-ES_tradnl"/>
        </w:rPr>
        <w:t xml:space="preserve">s </w:t>
      </w:r>
      <w:r w:rsidR="00C857BE" w:rsidRPr="00FD4F59">
        <w:rPr>
          <w:rFonts w:asciiTheme="majorHAnsi" w:hAnsiTheme="majorHAnsi"/>
          <w:color w:val="000000"/>
          <w:sz w:val="20"/>
          <w:szCs w:val="20"/>
          <w:lang w:val="es-ES_tradnl"/>
        </w:rPr>
        <w:t xml:space="preserve">peticiones </w:t>
      </w:r>
      <w:r w:rsidR="000863B2" w:rsidRPr="00FD4F59">
        <w:rPr>
          <w:rFonts w:asciiTheme="majorHAnsi" w:hAnsiTheme="majorHAnsi"/>
          <w:color w:val="000000"/>
          <w:sz w:val="20"/>
          <w:szCs w:val="20"/>
          <w:lang w:val="es-ES_tradnl"/>
        </w:rPr>
        <w:t xml:space="preserve">han sido </w:t>
      </w:r>
      <w:r w:rsidR="00C857BE" w:rsidRPr="00FD4F59">
        <w:rPr>
          <w:rFonts w:asciiTheme="majorHAnsi" w:hAnsiTheme="majorHAnsi"/>
          <w:color w:val="000000"/>
          <w:sz w:val="20"/>
          <w:szCs w:val="20"/>
          <w:lang w:val="es-ES_tradnl"/>
        </w:rPr>
        <w:t xml:space="preserve">en el pasado </w:t>
      </w:r>
      <w:r w:rsidR="000863B2" w:rsidRPr="00FD4F59">
        <w:rPr>
          <w:rFonts w:asciiTheme="majorHAnsi" w:hAnsiTheme="majorHAnsi"/>
          <w:color w:val="000000"/>
          <w:sz w:val="20"/>
          <w:szCs w:val="20"/>
          <w:lang w:val="es-ES_tradnl"/>
        </w:rPr>
        <w:t>d</w:t>
      </w:r>
      <w:r w:rsidR="00C857BE" w:rsidRPr="00FD4F59">
        <w:rPr>
          <w:rFonts w:asciiTheme="majorHAnsi" w:hAnsiTheme="majorHAnsi"/>
          <w:color w:val="000000"/>
          <w:sz w:val="20"/>
          <w:szCs w:val="20"/>
          <w:lang w:val="es-ES_tradnl"/>
        </w:rPr>
        <w:t>eclarada</w:t>
      </w:r>
      <w:r w:rsidR="000863B2" w:rsidRPr="00FD4F59">
        <w:rPr>
          <w:rFonts w:asciiTheme="majorHAnsi" w:hAnsiTheme="majorHAnsi"/>
          <w:color w:val="000000"/>
          <w:sz w:val="20"/>
          <w:szCs w:val="20"/>
          <w:lang w:val="es-ES_tradnl"/>
        </w:rPr>
        <w:t>s admisibles sin que tal recurso hubiera sido interpuesto</w:t>
      </w:r>
      <w:r w:rsidR="000863B2" w:rsidRPr="00FD4F59">
        <w:rPr>
          <w:rStyle w:val="FootnoteReference"/>
          <w:rFonts w:asciiTheme="majorHAnsi" w:hAnsiTheme="majorHAnsi"/>
          <w:color w:val="000000"/>
          <w:sz w:val="20"/>
          <w:szCs w:val="20"/>
          <w:lang w:val="es-ES"/>
        </w:rPr>
        <w:footnoteReference w:id="20"/>
      </w:r>
      <w:r w:rsidR="000863B2" w:rsidRPr="00FD4F59">
        <w:rPr>
          <w:rFonts w:asciiTheme="majorHAnsi" w:hAnsiTheme="majorHAnsi"/>
          <w:color w:val="000000"/>
          <w:sz w:val="20"/>
          <w:szCs w:val="20"/>
          <w:lang w:val="es-ES_tradnl"/>
        </w:rPr>
        <w:t>.</w:t>
      </w:r>
      <w:r w:rsidR="005A1CD1" w:rsidRPr="00FD4F59">
        <w:rPr>
          <w:rFonts w:asciiTheme="majorHAnsi" w:hAnsiTheme="majorHAnsi"/>
          <w:color w:val="000000"/>
          <w:sz w:val="20"/>
          <w:szCs w:val="20"/>
          <w:lang w:val="es-ES_tradnl"/>
        </w:rPr>
        <w:t xml:space="preserve"> </w:t>
      </w:r>
      <w:r w:rsidR="005E2BBD">
        <w:rPr>
          <w:rFonts w:asciiTheme="majorHAnsi" w:hAnsiTheme="majorHAnsi"/>
          <w:color w:val="000000"/>
          <w:sz w:val="20"/>
          <w:szCs w:val="20"/>
          <w:lang w:val="es-ES_tradnl"/>
        </w:rPr>
        <w:t>En el presente caso, dicho recurso fue interpuesto, pero las alegadas circunstancias que habrían impedido su agotamiento forman parte de la sustancia de su denuncia.</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78760B" w:rsidRDefault="008119B3"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
          <w:tab w:val="num" w:pos="1440"/>
        </w:tabs>
        <w:ind w:left="0" w:firstLine="720"/>
        <w:jc w:val="both"/>
        <w:rPr>
          <w:rFonts w:asciiTheme="majorHAnsi" w:hAnsiTheme="majorHAnsi"/>
          <w:color w:val="000000"/>
          <w:sz w:val="20"/>
          <w:szCs w:val="20"/>
          <w:lang w:val="es-ES"/>
        </w:rPr>
      </w:pPr>
      <w:r>
        <w:rPr>
          <w:rFonts w:asciiTheme="majorHAnsi" w:hAnsiTheme="majorHAnsi"/>
          <w:color w:val="000000"/>
          <w:sz w:val="20"/>
          <w:szCs w:val="20"/>
          <w:lang w:val="es-ES"/>
        </w:rPr>
        <w:t xml:space="preserve">La Comisión recuerda que en un caso anterior, </w:t>
      </w:r>
      <w:r w:rsidR="00B5042F" w:rsidRPr="00FD4F59">
        <w:rPr>
          <w:rFonts w:asciiTheme="majorHAnsi" w:hAnsiTheme="majorHAnsi"/>
          <w:color w:val="000000"/>
          <w:sz w:val="20"/>
          <w:szCs w:val="20"/>
          <w:lang w:val="es-ES"/>
        </w:rPr>
        <w:t xml:space="preserve">al resolver </w:t>
      </w:r>
      <w:r w:rsidR="00EE20F3" w:rsidRPr="00FD4F59">
        <w:rPr>
          <w:rFonts w:asciiTheme="majorHAnsi" w:hAnsiTheme="majorHAnsi"/>
          <w:color w:val="000000"/>
          <w:sz w:val="20"/>
          <w:szCs w:val="20"/>
          <w:lang w:val="es-ES"/>
        </w:rPr>
        <w:t xml:space="preserve">sobre </w:t>
      </w:r>
      <w:r w:rsidR="00B5042F" w:rsidRPr="00FD4F59">
        <w:rPr>
          <w:rFonts w:asciiTheme="majorHAnsi" w:hAnsiTheme="majorHAnsi"/>
          <w:color w:val="000000"/>
          <w:sz w:val="20"/>
          <w:szCs w:val="20"/>
          <w:lang w:val="es-ES"/>
        </w:rPr>
        <w:t>la admisibilidad de la petic</w:t>
      </w:r>
      <w:r w:rsidR="00911CB3">
        <w:rPr>
          <w:rFonts w:asciiTheme="majorHAnsi" w:hAnsiTheme="majorHAnsi"/>
          <w:color w:val="000000"/>
          <w:sz w:val="20"/>
          <w:szCs w:val="20"/>
          <w:lang w:val="es-ES"/>
        </w:rPr>
        <w:t>ión 920-03</w:t>
      </w:r>
      <w:r w:rsidR="00B5042F" w:rsidRPr="00FD4F59">
        <w:rPr>
          <w:rFonts w:asciiTheme="majorHAnsi" w:hAnsiTheme="majorHAnsi"/>
          <w:color w:val="000000"/>
          <w:sz w:val="20"/>
          <w:szCs w:val="20"/>
          <w:lang w:val="es-ES"/>
        </w:rPr>
        <w:t xml:space="preserve"> </w:t>
      </w:r>
      <w:r w:rsidR="00911CB3">
        <w:rPr>
          <w:rFonts w:asciiTheme="majorHAnsi" w:hAnsiTheme="majorHAnsi"/>
          <w:color w:val="000000"/>
          <w:sz w:val="20"/>
          <w:szCs w:val="20"/>
          <w:lang w:val="es-ES"/>
        </w:rPr>
        <w:t>—</w:t>
      </w:r>
      <w:r w:rsidR="00B5042F" w:rsidRPr="00FD4F59">
        <w:rPr>
          <w:rFonts w:asciiTheme="majorHAnsi" w:hAnsiTheme="majorHAnsi"/>
          <w:color w:val="000000"/>
          <w:sz w:val="20"/>
          <w:szCs w:val="20"/>
          <w:lang w:val="es-ES"/>
        </w:rPr>
        <w:t>también contra Argentina</w:t>
      </w:r>
      <w:r w:rsidR="00911CB3">
        <w:rPr>
          <w:rFonts w:asciiTheme="majorHAnsi" w:hAnsiTheme="majorHAnsi"/>
          <w:color w:val="000000"/>
          <w:sz w:val="20"/>
          <w:szCs w:val="20"/>
          <w:lang w:val="es-ES"/>
        </w:rPr>
        <w:t>—</w:t>
      </w:r>
      <w:r w:rsidR="00B5042F" w:rsidRPr="00FD4F59">
        <w:rPr>
          <w:rFonts w:asciiTheme="majorHAnsi" w:hAnsiTheme="majorHAnsi"/>
          <w:color w:val="000000"/>
          <w:sz w:val="20"/>
          <w:szCs w:val="20"/>
          <w:lang w:val="es-ES"/>
        </w:rPr>
        <w:t xml:space="preserve"> la </w:t>
      </w:r>
      <w:r w:rsidR="00835367" w:rsidRPr="00FD4F59">
        <w:rPr>
          <w:rFonts w:asciiTheme="majorHAnsi" w:hAnsiTheme="majorHAnsi"/>
          <w:color w:val="000000"/>
          <w:sz w:val="20"/>
          <w:szCs w:val="20"/>
          <w:lang w:val="es-ES"/>
        </w:rPr>
        <w:t xml:space="preserve">CIDH </w:t>
      </w:r>
      <w:r w:rsidR="00EE20F3" w:rsidRPr="00FD4F59">
        <w:rPr>
          <w:rFonts w:asciiTheme="majorHAnsi" w:hAnsiTheme="majorHAnsi"/>
          <w:color w:val="000000"/>
          <w:sz w:val="20"/>
          <w:szCs w:val="20"/>
          <w:lang w:val="es-ES"/>
        </w:rPr>
        <w:t xml:space="preserve">debió resolver una situación </w:t>
      </w:r>
      <w:r w:rsidR="00796A0C" w:rsidRPr="00FD4F59">
        <w:rPr>
          <w:rFonts w:asciiTheme="majorHAnsi" w:hAnsiTheme="majorHAnsi"/>
          <w:color w:val="000000"/>
          <w:sz w:val="20"/>
          <w:szCs w:val="20"/>
          <w:lang w:val="es-ES"/>
        </w:rPr>
        <w:t xml:space="preserve">muy similar </w:t>
      </w:r>
      <w:r w:rsidR="00EE20F3" w:rsidRPr="00FD4F59">
        <w:rPr>
          <w:rFonts w:asciiTheme="majorHAnsi" w:hAnsiTheme="majorHAnsi"/>
          <w:color w:val="000000"/>
          <w:sz w:val="20"/>
          <w:szCs w:val="20"/>
          <w:lang w:val="es-ES"/>
        </w:rPr>
        <w:t xml:space="preserve">en relación con el agotamiento de los recursos internos. </w:t>
      </w:r>
      <w:r w:rsidR="00C857BE" w:rsidRPr="00FD4F59">
        <w:rPr>
          <w:rFonts w:asciiTheme="majorHAnsi" w:hAnsiTheme="majorHAnsi"/>
          <w:color w:val="000000"/>
          <w:sz w:val="20"/>
          <w:szCs w:val="20"/>
          <w:lang w:val="es-ES"/>
        </w:rPr>
        <w:t>Concretamente</w:t>
      </w:r>
      <w:r w:rsidR="00EE20F3" w:rsidRPr="00FD4F59">
        <w:rPr>
          <w:rFonts w:asciiTheme="majorHAnsi" w:hAnsiTheme="majorHAnsi"/>
          <w:color w:val="000000"/>
          <w:sz w:val="20"/>
          <w:szCs w:val="20"/>
          <w:lang w:val="es-ES"/>
        </w:rPr>
        <w:t xml:space="preserve">, en dicha petición, el recurso extraordinario interpuesto por los peticionarios había sido declarado extemporáneo por haber sido interpuesto 10 minutos en exceso del plazo previsto, por lo que alegaron </w:t>
      </w:r>
      <w:r w:rsidR="009461DA" w:rsidRPr="00FD4F59">
        <w:rPr>
          <w:rFonts w:asciiTheme="majorHAnsi" w:hAnsiTheme="majorHAnsi"/>
          <w:color w:val="000000"/>
          <w:sz w:val="20"/>
          <w:szCs w:val="20"/>
          <w:lang w:val="es-AR"/>
        </w:rPr>
        <w:t>que las autoridades hab</w:t>
      </w:r>
      <w:r w:rsidR="00EE20F3" w:rsidRPr="00FD4F59">
        <w:rPr>
          <w:rFonts w:asciiTheme="majorHAnsi" w:hAnsiTheme="majorHAnsi"/>
          <w:color w:val="000000"/>
          <w:sz w:val="20"/>
          <w:szCs w:val="20"/>
          <w:lang w:val="es-AR"/>
        </w:rPr>
        <w:t>ían incurrido en un “exceso ritual manifiesto”</w:t>
      </w:r>
      <w:r w:rsidR="00C857BE" w:rsidRPr="00FD4F59">
        <w:rPr>
          <w:rFonts w:asciiTheme="majorHAnsi" w:hAnsiTheme="majorHAnsi"/>
          <w:color w:val="000000"/>
          <w:sz w:val="20"/>
          <w:szCs w:val="20"/>
          <w:lang w:val="es-AR"/>
        </w:rPr>
        <w:t xml:space="preserve"> al declarar la extemporaneidad del recurso</w:t>
      </w:r>
      <w:r w:rsidR="00EE20F3" w:rsidRPr="00FD4F59">
        <w:rPr>
          <w:rStyle w:val="FootnoteReference"/>
          <w:rFonts w:asciiTheme="majorHAnsi" w:hAnsiTheme="majorHAnsi"/>
          <w:color w:val="000000"/>
          <w:sz w:val="20"/>
          <w:szCs w:val="20"/>
          <w:lang w:val="es-ES"/>
        </w:rPr>
        <w:t xml:space="preserve"> </w:t>
      </w:r>
      <w:r w:rsidR="00EE20F3" w:rsidRPr="00FD4F59">
        <w:rPr>
          <w:rStyle w:val="FootnoteReference"/>
          <w:rFonts w:asciiTheme="majorHAnsi" w:hAnsiTheme="majorHAnsi"/>
          <w:color w:val="000000"/>
          <w:sz w:val="20"/>
          <w:szCs w:val="20"/>
          <w:lang w:val="es-ES"/>
        </w:rPr>
        <w:footnoteReference w:id="21"/>
      </w:r>
      <w:r w:rsidR="00EE20F3" w:rsidRPr="00FD4F59">
        <w:rPr>
          <w:rFonts w:asciiTheme="majorHAnsi" w:hAnsiTheme="majorHAnsi"/>
          <w:color w:val="000000"/>
          <w:sz w:val="20"/>
          <w:szCs w:val="20"/>
          <w:lang w:val="es-AR"/>
        </w:rPr>
        <w:t>.</w:t>
      </w:r>
      <w:r w:rsidR="009461DA" w:rsidRPr="00FD4F59">
        <w:rPr>
          <w:rFonts w:asciiTheme="majorHAnsi" w:hAnsiTheme="majorHAnsi"/>
          <w:color w:val="000000"/>
          <w:sz w:val="20"/>
          <w:szCs w:val="20"/>
          <w:lang w:val="es-AR"/>
        </w:rPr>
        <w:t xml:space="preserve"> </w:t>
      </w:r>
      <w:r w:rsidR="00C857BE" w:rsidRPr="00FD4F59">
        <w:rPr>
          <w:rFonts w:asciiTheme="majorHAnsi" w:hAnsiTheme="majorHAnsi"/>
          <w:color w:val="000000"/>
          <w:sz w:val="20"/>
          <w:szCs w:val="20"/>
          <w:lang w:val="es-AR"/>
        </w:rPr>
        <w:t xml:space="preserve">En atención a </w:t>
      </w:r>
      <w:r w:rsidR="009461DA" w:rsidRPr="00FD4F59">
        <w:rPr>
          <w:rFonts w:asciiTheme="majorHAnsi" w:hAnsiTheme="majorHAnsi"/>
          <w:color w:val="000000"/>
          <w:sz w:val="20"/>
          <w:szCs w:val="20"/>
          <w:lang w:val="es-AR"/>
        </w:rPr>
        <w:t>que los peticionarios habían alegado que tal formalismo excesivo había violado sus garantías judiciales, la Comisión entendió que el estudio de dicha circunstancia correspondía a la etapa de fondo</w:t>
      </w:r>
      <w:r w:rsidR="00796A0C" w:rsidRPr="00FD4F59">
        <w:rPr>
          <w:rFonts w:asciiTheme="majorHAnsi" w:hAnsiTheme="majorHAnsi"/>
          <w:color w:val="000000"/>
          <w:sz w:val="20"/>
          <w:szCs w:val="20"/>
          <w:lang w:val="es-AR"/>
        </w:rPr>
        <w:t xml:space="preserve">, dando </w:t>
      </w:r>
      <w:r w:rsidR="00C857BE" w:rsidRPr="00FD4F59">
        <w:rPr>
          <w:rFonts w:asciiTheme="majorHAnsi" w:hAnsiTheme="majorHAnsi"/>
          <w:color w:val="000000"/>
          <w:sz w:val="20"/>
          <w:szCs w:val="20"/>
          <w:lang w:val="es-AR"/>
        </w:rPr>
        <w:t xml:space="preserve">pues </w:t>
      </w:r>
      <w:r w:rsidR="00796A0C" w:rsidRPr="00FD4F59">
        <w:rPr>
          <w:rFonts w:asciiTheme="majorHAnsi" w:hAnsiTheme="majorHAnsi"/>
          <w:color w:val="000000"/>
          <w:sz w:val="20"/>
          <w:szCs w:val="20"/>
          <w:lang w:val="es-AR"/>
        </w:rPr>
        <w:t>por agotados los recursos en sede interna</w:t>
      </w:r>
      <w:r w:rsidR="00796A0C" w:rsidRPr="00FD4F59">
        <w:rPr>
          <w:rStyle w:val="FootnoteReference"/>
          <w:rFonts w:asciiTheme="majorHAnsi" w:hAnsiTheme="majorHAnsi"/>
          <w:color w:val="000000"/>
          <w:sz w:val="20"/>
          <w:szCs w:val="20"/>
          <w:lang w:val="es-ES"/>
        </w:rPr>
        <w:footnoteReference w:id="22"/>
      </w:r>
      <w:r w:rsidR="009461DA" w:rsidRPr="00FD4F59">
        <w:rPr>
          <w:rFonts w:asciiTheme="majorHAnsi" w:hAnsiTheme="majorHAnsi"/>
          <w:color w:val="000000"/>
          <w:sz w:val="20"/>
          <w:szCs w:val="20"/>
          <w:lang w:val="es-AR"/>
        </w:rPr>
        <w:t>.</w:t>
      </w:r>
      <w:r w:rsidR="00EE20F3" w:rsidRPr="00FD4F59">
        <w:rPr>
          <w:rFonts w:asciiTheme="majorHAnsi" w:hAnsiTheme="majorHAnsi"/>
          <w:color w:val="000000"/>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olor w:val="000000"/>
          <w:sz w:val="20"/>
          <w:szCs w:val="20"/>
          <w:lang w:val="es-ES"/>
        </w:rPr>
      </w:pPr>
    </w:p>
    <w:p w:rsidR="00B03F4B" w:rsidRDefault="00C857BE"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ES"/>
        </w:rPr>
        <w:t>Bajo la misma lógica</w:t>
      </w:r>
      <w:r w:rsidR="0078760B" w:rsidRPr="00FD4F59">
        <w:rPr>
          <w:rFonts w:asciiTheme="majorHAnsi" w:hAnsiTheme="majorHAnsi"/>
          <w:color w:val="000000"/>
          <w:sz w:val="20"/>
          <w:szCs w:val="20"/>
          <w:lang w:val="es-ES"/>
        </w:rPr>
        <w:t xml:space="preserve">, </w:t>
      </w:r>
      <w:r w:rsidR="006C5008" w:rsidRPr="00FD4F59">
        <w:rPr>
          <w:rFonts w:asciiTheme="majorHAnsi" w:hAnsiTheme="majorHAnsi"/>
          <w:color w:val="000000"/>
          <w:sz w:val="20"/>
          <w:szCs w:val="20"/>
          <w:lang w:val="es-ES"/>
        </w:rPr>
        <w:t xml:space="preserve">la Comisión </w:t>
      </w:r>
      <w:r w:rsidR="00B03F4B" w:rsidRPr="00FD4F59">
        <w:rPr>
          <w:rFonts w:asciiTheme="majorHAnsi" w:hAnsiTheme="majorHAnsi"/>
          <w:color w:val="000000"/>
          <w:sz w:val="20"/>
          <w:szCs w:val="20"/>
          <w:lang w:val="es-ES"/>
        </w:rPr>
        <w:t>entiende</w:t>
      </w:r>
      <w:r w:rsidR="006C5008" w:rsidRPr="00FD4F59">
        <w:rPr>
          <w:rFonts w:asciiTheme="majorHAnsi" w:hAnsiTheme="majorHAnsi"/>
          <w:color w:val="000000"/>
          <w:sz w:val="20"/>
          <w:szCs w:val="20"/>
          <w:lang w:val="es-ES"/>
        </w:rPr>
        <w:t xml:space="preserve"> que </w:t>
      </w:r>
      <w:r w:rsidR="0078760B" w:rsidRPr="00FD4F59">
        <w:rPr>
          <w:rFonts w:asciiTheme="majorHAnsi" w:hAnsiTheme="majorHAnsi"/>
          <w:color w:val="000000"/>
          <w:sz w:val="20"/>
          <w:szCs w:val="20"/>
          <w:lang w:val="es-ES"/>
        </w:rPr>
        <w:t>las alegaciones respecto de la “maniobra”</w:t>
      </w:r>
      <w:r w:rsidRPr="00FD4F59">
        <w:rPr>
          <w:rFonts w:asciiTheme="majorHAnsi" w:hAnsiTheme="majorHAnsi"/>
          <w:color w:val="000000"/>
          <w:sz w:val="20"/>
          <w:szCs w:val="20"/>
          <w:lang w:val="es-ES"/>
        </w:rPr>
        <w:t xml:space="preserve"> mediante la cual se impidió a los peticionarios interponer el recurso extraordinario</w:t>
      </w:r>
      <w:r w:rsidR="0078760B" w:rsidRPr="00FD4F59">
        <w:rPr>
          <w:rFonts w:asciiTheme="majorHAnsi" w:hAnsiTheme="majorHAnsi"/>
          <w:color w:val="000000"/>
          <w:sz w:val="20"/>
          <w:szCs w:val="20"/>
          <w:lang w:val="es-ES"/>
        </w:rPr>
        <w:t xml:space="preserve"> podrán eventualmente ser objeto de análisis de la Comisión</w:t>
      </w:r>
      <w:r w:rsidR="00B03F4B" w:rsidRPr="00FD4F59">
        <w:rPr>
          <w:rFonts w:asciiTheme="majorHAnsi" w:hAnsiTheme="majorHAnsi"/>
          <w:color w:val="000000"/>
          <w:sz w:val="20"/>
          <w:szCs w:val="20"/>
          <w:lang w:val="es-ES"/>
        </w:rPr>
        <w:t xml:space="preserve"> en la etapa de fondo. Ello en atención a que dicha circunstancia forma parte de las alegaciones concretas de los peticionarios en el presente caso en relación con la presunta violación del artículo 8 de la Convención. Adentrarse en dicho estudio sería impropio de la etapa de admisibilidad.</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olor w:val="000000"/>
          <w:sz w:val="20"/>
          <w:szCs w:val="20"/>
          <w:lang w:val="es-ES"/>
        </w:rPr>
      </w:pPr>
    </w:p>
    <w:p w:rsidR="00E21857" w:rsidRDefault="008D4FEA"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270"/>
          <w:tab w:val="num" w:pos="1440"/>
        </w:tabs>
        <w:ind w:left="0" w:firstLine="720"/>
        <w:jc w:val="both"/>
        <w:rPr>
          <w:rFonts w:asciiTheme="majorHAnsi" w:hAnsiTheme="majorHAnsi"/>
          <w:color w:val="000000"/>
          <w:sz w:val="20"/>
          <w:szCs w:val="20"/>
          <w:lang w:val="es-ES"/>
        </w:rPr>
      </w:pPr>
      <w:r w:rsidRPr="00FD4F59">
        <w:rPr>
          <w:rFonts w:asciiTheme="majorHAnsi" w:hAnsiTheme="majorHAnsi"/>
          <w:color w:val="000000"/>
          <w:sz w:val="20"/>
          <w:szCs w:val="20"/>
          <w:lang w:val="es-AR"/>
        </w:rPr>
        <w:t xml:space="preserve">Por lo anterior, la CIDH considera que los recursos internos han sido agotados </w:t>
      </w:r>
      <w:r w:rsidR="008119B3" w:rsidRPr="00FD4F59">
        <w:rPr>
          <w:rFonts w:asciiTheme="majorHAnsi" w:hAnsiTheme="majorHAnsi"/>
          <w:color w:val="000000"/>
          <w:sz w:val="20"/>
          <w:szCs w:val="20"/>
          <w:lang w:val="es-AR"/>
        </w:rPr>
        <w:t>por los peticionarios</w:t>
      </w:r>
      <w:r w:rsidR="008119B3">
        <w:rPr>
          <w:rFonts w:asciiTheme="majorHAnsi" w:hAnsiTheme="majorHAnsi"/>
          <w:color w:val="000000"/>
          <w:sz w:val="20"/>
          <w:szCs w:val="20"/>
          <w:lang w:val="es-AR"/>
        </w:rPr>
        <w:t xml:space="preserve"> en forma suficiente a los efectos de esta etapa de admisibilidad</w:t>
      </w:r>
      <w:r w:rsidRPr="00FD4F59">
        <w:rPr>
          <w:rFonts w:asciiTheme="majorHAnsi" w:hAnsiTheme="majorHAnsi"/>
          <w:color w:val="000000"/>
          <w:sz w:val="20"/>
          <w:szCs w:val="20"/>
          <w:lang w:val="es-AR"/>
        </w:rPr>
        <w:t xml:space="preserve">, cumpliendo así con lo establecido por </w:t>
      </w:r>
      <w:r w:rsidR="00F54972" w:rsidRPr="00FD4F59">
        <w:rPr>
          <w:rFonts w:asciiTheme="majorHAnsi" w:hAnsiTheme="majorHAnsi"/>
          <w:color w:val="000000"/>
          <w:sz w:val="20"/>
          <w:szCs w:val="20"/>
          <w:lang w:val="es-ES"/>
        </w:rPr>
        <w:t>el artículo 46.1.a de la Convención.</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jc w:val="both"/>
        <w:rPr>
          <w:rFonts w:asciiTheme="majorHAnsi" w:hAnsiTheme="majorHAnsi"/>
          <w:color w:val="000000"/>
          <w:sz w:val="20"/>
          <w:szCs w:val="20"/>
          <w:lang w:val="es-ES"/>
        </w:rPr>
      </w:pPr>
    </w:p>
    <w:p w:rsidR="00E21857" w:rsidRDefault="0023306D" w:rsidP="00FD4F59">
      <w:pPr>
        <w:pStyle w:val="Heading3"/>
        <w:tabs>
          <w:tab w:val="clear" w:pos="720"/>
          <w:tab w:val="left" w:pos="270"/>
        </w:tabs>
        <w:ind w:left="0" w:firstLine="720"/>
        <w:rPr>
          <w:rFonts w:asciiTheme="majorHAnsi" w:hAnsiTheme="majorHAnsi"/>
          <w:b/>
        </w:rPr>
      </w:pPr>
      <w:r w:rsidRPr="00FD4F59">
        <w:rPr>
          <w:rFonts w:asciiTheme="majorHAnsi" w:hAnsiTheme="majorHAnsi"/>
          <w:b/>
        </w:rPr>
        <w:t>Plazo de presentación de la petición</w:t>
      </w:r>
    </w:p>
    <w:p w:rsidR="007D4D73" w:rsidRPr="007D4D73" w:rsidRDefault="007D4D73" w:rsidP="007D4D73">
      <w:pPr>
        <w:rPr>
          <w:lang w:val="es-ES" w:eastAsia="es-ES"/>
        </w:rPr>
      </w:pPr>
    </w:p>
    <w:p w:rsidR="0084245B" w:rsidRPr="007D4D73" w:rsidRDefault="00FD5A42"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270"/>
          <w:tab w:val="num" w:pos="1440"/>
        </w:tabs>
        <w:ind w:left="0" w:firstLine="720"/>
        <w:jc w:val="both"/>
        <w:rPr>
          <w:rFonts w:asciiTheme="majorHAnsi" w:hAnsiTheme="majorHAnsi"/>
          <w:sz w:val="20"/>
          <w:szCs w:val="20"/>
          <w:lang w:val="es-AR"/>
        </w:rPr>
      </w:pPr>
      <w:r w:rsidRPr="00FD4F59">
        <w:rPr>
          <w:rFonts w:asciiTheme="majorHAnsi" w:eastAsia="Cambria" w:hAnsiTheme="majorHAnsi" w:cs="Cambria"/>
          <w:sz w:val="20"/>
          <w:szCs w:val="20"/>
          <w:lang w:val="es-ES"/>
        </w:rPr>
        <w:t>El artículo 46.1.b de la Convención Americana establece que para que una petición resulte admisible por la Comisión se requerirá que sea presentada dentro del plazo de seis meses a partir de la fecha en que el presunto lesionado haya sido notificado de la decisión definitiva.</w:t>
      </w:r>
      <w:r w:rsidR="004E14C6" w:rsidRPr="00FD4F59">
        <w:rPr>
          <w:rFonts w:asciiTheme="majorHAnsi" w:eastAsia="Cambria" w:hAnsiTheme="majorHAnsi" w:cs="Cambria"/>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jc w:val="both"/>
        <w:rPr>
          <w:rFonts w:asciiTheme="majorHAnsi" w:hAnsiTheme="majorHAnsi"/>
          <w:sz w:val="20"/>
          <w:szCs w:val="20"/>
          <w:lang w:val="es-AR"/>
        </w:rPr>
      </w:pPr>
    </w:p>
    <w:p w:rsidR="00FD5A42" w:rsidRPr="00EA5BD3" w:rsidRDefault="0008304F"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270"/>
          <w:tab w:val="num" w:pos="1440"/>
        </w:tabs>
        <w:ind w:left="0" w:firstLine="720"/>
        <w:jc w:val="both"/>
        <w:rPr>
          <w:rFonts w:asciiTheme="majorHAnsi" w:eastAsia="Cambria" w:hAnsiTheme="majorHAnsi" w:cs="Cambria"/>
          <w:sz w:val="20"/>
          <w:szCs w:val="20"/>
          <w:lang w:val="es-ES"/>
        </w:rPr>
      </w:pPr>
      <w:r w:rsidRPr="00FD4F59">
        <w:rPr>
          <w:rFonts w:asciiTheme="majorHAnsi" w:hAnsiTheme="majorHAnsi"/>
          <w:sz w:val="20"/>
          <w:szCs w:val="20"/>
          <w:lang w:val="es-AR"/>
        </w:rPr>
        <w:t xml:space="preserve">Surge, pues, </w:t>
      </w:r>
      <w:r w:rsidR="00C52181" w:rsidRPr="00FD4F59">
        <w:rPr>
          <w:rFonts w:asciiTheme="majorHAnsi" w:hAnsiTheme="majorHAnsi"/>
          <w:sz w:val="20"/>
          <w:szCs w:val="20"/>
          <w:lang w:val="es-AR"/>
        </w:rPr>
        <w:t xml:space="preserve">de los elementos de hecho del presente caso </w:t>
      </w:r>
      <w:r w:rsidRPr="00FD4F59">
        <w:rPr>
          <w:rFonts w:asciiTheme="majorHAnsi" w:hAnsiTheme="majorHAnsi"/>
          <w:sz w:val="20"/>
          <w:szCs w:val="20"/>
          <w:lang w:val="es-AR"/>
        </w:rPr>
        <w:t xml:space="preserve">que el agotamiento de los recursos internos se dio mientras el caso se hallaba bajo estudio de admisibilidad. En estas circunstancias, ha sido criterio constante de la Comisión que el cumplimiento del requisito de presentación de la petición en plazo se </w:t>
      </w:r>
      <w:r w:rsidRPr="00FD4F59">
        <w:rPr>
          <w:rFonts w:asciiTheme="majorHAnsi" w:hAnsiTheme="majorHAnsi"/>
          <w:sz w:val="20"/>
          <w:szCs w:val="20"/>
          <w:lang w:val="es-AR"/>
        </w:rPr>
        <w:lastRenderedPageBreak/>
        <w:t>encuentra intrínsecamente ligado al agotamiento de los recursos internos y, por lo tanto, corresponde darlo por cumplido</w:t>
      </w:r>
      <w:r w:rsidRPr="00FD4F59">
        <w:rPr>
          <w:rStyle w:val="FootnoteReference"/>
          <w:rFonts w:asciiTheme="majorHAnsi" w:hAnsiTheme="majorHAnsi"/>
          <w:sz w:val="20"/>
          <w:szCs w:val="20"/>
          <w:lang w:val="es-AR"/>
        </w:rPr>
        <w:footnoteReference w:id="23"/>
      </w:r>
      <w:r w:rsidRPr="00FD4F59">
        <w:rPr>
          <w:rFonts w:asciiTheme="majorHAnsi" w:hAnsiTheme="majorHAnsi"/>
          <w:bCs/>
          <w:sz w:val="20"/>
          <w:szCs w:val="20"/>
          <w:lang w:val="es-AR"/>
        </w:rPr>
        <w:t>.</w:t>
      </w:r>
    </w:p>
    <w:p w:rsidR="00EA5BD3" w:rsidRPr="00FD4F59" w:rsidRDefault="00EA5BD3" w:rsidP="00EA5BD3">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jc w:val="both"/>
        <w:rPr>
          <w:rFonts w:asciiTheme="majorHAnsi" w:eastAsia="Cambria" w:hAnsiTheme="majorHAnsi" w:cs="Cambria"/>
          <w:sz w:val="20"/>
          <w:szCs w:val="20"/>
          <w:lang w:val="es-ES"/>
        </w:rPr>
      </w:pPr>
    </w:p>
    <w:p w:rsidR="00FD5A42" w:rsidRDefault="00FD5A42"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eastAsia="Cambria" w:hAnsiTheme="majorHAnsi" w:cs="Cambria"/>
          <w:sz w:val="20"/>
          <w:szCs w:val="20"/>
          <w:lang w:val="es-ES"/>
        </w:rPr>
      </w:pPr>
      <w:r w:rsidRPr="00FD4F59">
        <w:rPr>
          <w:rFonts w:asciiTheme="majorHAnsi" w:eastAsia="Cambria" w:hAnsiTheme="majorHAnsi" w:cs="Cambria"/>
          <w:sz w:val="20"/>
          <w:szCs w:val="20"/>
          <w:lang w:val="es-ES"/>
        </w:rPr>
        <w:t>Por lo tanto, en vista del contexto y las características de la presente petición, la Comisión considera que ésta fue presentada dentro de un plazo razonable y que debe darse por satisfecho el requisito de admisibilidad referente al plazo de presentación.</w:t>
      </w:r>
      <w:r w:rsidR="004E14C6" w:rsidRPr="00FD4F59">
        <w:rPr>
          <w:rFonts w:asciiTheme="majorHAnsi" w:eastAsia="Cambria" w:hAnsiTheme="majorHAnsi" w:cs="Cambria"/>
          <w:sz w:val="20"/>
          <w:szCs w:val="20"/>
          <w:lang w:val="es-ES"/>
        </w:rPr>
        <w:t xml:space="preserve">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Cambria" w:hAnsiTheme="majorHAnsi" w:cs="Cambria"/>
          <w:sz w:val="20"/>
          <w:szCs w:val="20"/>
          <w:lang w:val="es-ES"/>
        </w:rPr>
      </w:pPr>
    </w:p>
    <w:p w:rsidR="00FD5A42" w:rsidRDefault="00FD5A42" w:rsidP="00FD4F59">
      <w:pPr>
        <w:pStyle w:val="Heading3"/>
        <w:tabs>
          <w:tab w:val="clear" w:pos="720"/>
          <w:tab w:val="left" w:pos="0"/>
        </w:tabs>
        <w:ind w:left="0" w:firstLine="720"/>
        <w:rPr>
          <w:rFonts w:asciiTheme="majorHAnsi" w:hAnsiTheme="majorHAnsi"/>
          <w:b/>
        </w:rPr>
      </w:pPr>
      <w:r w:rsidRPr="00FD4F59">
        <w:rPr>
          <w:rFonts w:asciiTheme="majorHAnsi" w:hAnsiTheme="majorHAnsi"/>
          <w:b/>
        </w:rPr>
        <w:t>Duplicación de procedimiento internacional</w:t>
      </w:r>
    </w:p>
    <w:p w:rsidR="007D4D73" w:rsidRPr="007D4D73" w:rsidRDefault="007D4D73" w:rsidP="007D4D73">
      <w:pPr>
        <w:rPr>
          <w:lang w:val="es-ES" w:eastAsia="es-ES"/>
        </w:rPr>
      </w:pPr>
    </w:p>
    <w:p w:rsidR="00FD5A42" w:rsidRDefault="00FD5A42"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eastAsia="Cambria" w:hAnsiTheme="majorHAnsi" w:cs="Cambria"/>
          <w:sz w:val="20"/>
          <w:szCs w:val="20"/>
          <w:lang w:val="es-ES"/>
        </w:rPr>
      </w:pPr>
      <w:r w:rsidRPr="00FD4F59">
        <w:rPr>
          <w:rFonts w:asciiTheme="majorHAnsi" w:eastAsia="Cambria" w:hAnsiTheme="majorHAnsi" w:cs="Cambria"/>
          <w:sz w:val="20"/>
          <w:szCs w:val="20"/>
          <w:lang w:val="es-ES"/>
        </w:rPr>
        <w:t>El expediente de la petición no contiene información alguna que pudiera llevar a determinar que el presente asunto se hallase pendiente de otro procedimiento de arreglo internacional o que haya sido previamente decidido por la Comisión Interamericana.</w:t>
      </w:r>
      <w:r w:rsidR="004E14C6" w:rsidRPr="00FD4F59">
        <w:rPr>
          <w:rFonts w:asciiTheme="majorHAnsi" w:eastAsia="Cambria" w:hAnsiTheme="majorHAnsi" w:cs="Cambria"/>
          <w:sz w:val="20"/>
          <w:szCs w:val="20"/>
          <w:lang w:val="es-ES"/>
        </w:rPr>
        <w:t xml:space="preserve"> </w:t>
      </w:r>
      <w:r w:rsidRPr="00FD4F59">
        <w:rPr>
          <w:rFonts w:asciiTheme="majorHAnsi" w:eastAsia="Cambria" w:hAnsiTheme="majorHAnsi" w:cs="Cambria"/>
          <w:sz w:val="20"/>
          <w:szCs w:val="20"/>
          <w:lang w:val="es-ES"/>
        </w:rPr>
        <w:t xml:space="preserve">Por lo tanto, la CIDH concluye que no son aplicables las excepciones previstas en el artículo 46.1.d y en el artículo 47.d de la Convención Americana. </w:t>
      </w:r>
    </w:p>
    <w:p w:rsidR="007D4D73" w:rsidRPr="00FD4F59"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Cambria" w:hAnsiTheme="majorHAnsi" w:cs="Cambria"/>
          <w:sz w:val="20"/>
          <w:szCs w:val="20"/>
          <w:lang w:val="es-ES"/>
        </w:rPr>
      </w:pPr>
    </w:p>
    <w:p w:rsidR="00FD5A42" w:rsidRDefault="00FD5A42" w:rsidP="00FD4F59">
      <w:pPr>
        <w:pStyle w:val="Heading3"/>
        <w:tabs>
          <w:tab w:val="clear" w:pos="720"/>
          <w:tab w:val="left" w:pos="0"/>
        </w:tabs>
        <w:ind w:left="0" w:firstLine="720"/>
        <w:rPr>
          <w:rFonts w:asciiTheme="majorHAnsi" w:hAnsiTheme="majorHAnsi"/>
          <w:b/>
        </w:rPr>
      </w:pPr>
      <w:r w:rsidRPr="00FD4F59">
        <w:rPr>
          <w:rFonts w:asciiTheme="majorHAnsi" w:hAnsiTheme="majorHAnsi"/>
          <w:b/>
        </w:rPr>
        <w:t>Caracterización de los hechos alegados</w:t>
      </w:r>
    </w:p>
    <w:p w:rsidR="007D4D73" w:rsidRPr="007D4D73" w:rsidRDefault="007D4D73" w:rsidP="007D4D73">
      <w:pPr>
        <w:rPr>
          <w:lang w:val="es-ES" w:eastAsia="es-ES"/>
        </w:rPr>
      </w:pPr>
    </w:p>
    <w:p w:rsidR="004430B1" w:rsidRPr="006A7F4E" w:rsidRDefault="004430B1" w:rsidP="004430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eastAsia="Times New Roman" w:hAnsiTheme="majorHAnsi"/>
          <w:iCs/>
          <w:sz w:val="20"/>
          <w:szCs w:val="20"/>
          <w:bdr w:val="none" w:sz="0" w:space="0" w:color="auto"/>
          <w:lang w:val="es-AR"/>
        </w:rPr>
      </w:pPr>
      <w:r w:rsidRPr="006A7F4E">
        <w:rPr>
          <w:rFonts w:asciiTheme="majorHAnsi" w:eastAsia="Times New Roman" w:hAnsiTheme="majorHAnsi"/>
          <w:sz w:val="20"/>
          <w:szCs w:val="20"/>
          <w:bdr w:val="none" w:sz="0" w:space="0" w:color="auto"/>
          <w:lang w:val="es-AR"/>
        </w:rPr>
        <w:t xml:space="preserve">A los fines de la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6A7F4E">
        <w:rPr>
          <w:rFonts w:asciiTheme="majorHAnsi" w:eastAsia="Times New Roman" w:hAnsiTheme="majorHAnsi"/>
          <w:i/>
          <w:sz w:val="20"/>
          <w:szCs w:val="20"/>
          <w:bdr w:val="none" w:sz="0" w:space="0" w:color="auto"/>
          <w:lang w:val="es-AR"/>
        </w:rPr>
        <w:t>prima facie</w:t>
      </w:r>
      <w:r w:rsidRPr="006A7F4E">
        <w:rPr>
          <w:rFonts w:asciiTheme="majorHAnsi" w:eastAsia="Times New Roman" w:hAnsiTheme="majorHAnsi"/>
          <w:sz w:val="20"/>
          <w:szCs w:val="20"/>
          <w:bdr w:val="none" w:sz="0" w:space="0" w:color="auto"/>
          <w:lang w:val="es-AR"/>
        </w:rPr>
        <w:t xml:space="preserv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4430B1" w:rsidRPr="006A7F4E" w:rsidRDefault="00FD5A42" w:rsidP="004430B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Cambria" w:hAnsiTheme="majorHAnsi" w:cs="Cambria"/>
          <w:sz w:val="20"/>
          <w:szCs w:val="20"/>
          <w:lang w:val="es-ES"/>
        </w:rPr>
      </w:pPr>
      <w:r w:rsidRPr="006A7F4E">
        <w:rPr>
          <w:rFonts w:asciiTheme="majorHAnsi" w:eastAsia="Times New Roman" w:hAnsiTheme="majorHAnsi"/>
          <w:sz w:val="20"/>
          <w:szCs w:val="20"/>
          <w:bdr w:val="none" w:sz="0" w:space="0" w:color="auto"/>
          <w:lang w:val="es-ES"/>
        </w:rPr>
        <w:t xml:space="preserve"> </w:t>
      </w:r>
    </w:p>
    <w:p w:rsidR="00FD5A42" w:rsidRPr="006A7F4E" w:rsidRDefault="004430B1"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eastAsia="Cambria" w:hAnsiTheme="majorHAnsi" w:cs="Cambria"/>
          <w:sz w:val="20"/>
          <w:szCs w:val="20"/>
          <w:lang w:val="es-ES"/>
        </w:rPr>
      </w:pPr>
      <w:r w:rsidRPr="006A7F4E">
        <w:rPr>
          <w:rFonts w:asciiTheme="majorHAnsi" w:eastAsia="Times New Roman" w:hAnsiTheme="majorHAnsi"/>
          <w:sz w:val="20"/>
          <w:szCs w:val="20"/>
          <w:bdr w:val="none" w:sz="0" w:space="0" w:color="auto"/>
          <w:lang w:val="es-ES"/>
        </w:rPr>
        <w:t xml:space="preserve">Ni </w:t>
      </w:r>
      <w:r w:rsidR="00FD5A42" w:rsidRPr="006A7F4E">
        <w:rPr>
          <w:rFonts w:asciiTheme="majorHAnsi" w:eastAsia="Times New Roman" w:hAnsiTheme="majorHAnsi"/>
          <w:sz w:val="20"/>
          <w:szCs w:val="20"/>
          <w:bdr w:val="none" w:sz="0" w:space="0" w:color="auto"/>
          <w:lang w:val="es-ES"/>
        </w:rPr>
        <w:t>la Convención Americana ni el Reglamento de la CIDH exigen al peticionario identificar los derechos específicos que se alegan violados por parte del Estado en el asunto sometido a la Comisión, aunque los peticionarios pueden hacerlo.</w:t>
      </w:r>
      <w:r w:rsidR="004E14C6" w:rsidRPr="006A7F4E">
        <w:rPr>
          <w:rFonts w:asciiTheme="majorHAnsi" w:eastAsia="Times New Roman" w:hAnsiTheme="majorHAnsi"/>
          <w:sz w:val="20"/>
          <w:szCs w:val="20"/>
          <w:bdr w:val="none" w:sz="0" w:space="0" w:color="auto"/>
          <w:lang w:val="es-ES"/>
        </w:rPr>
        <w:t xml:space="preserve"> </w:t>
      </w:r>
      <w:r w:rsidR="00FD5A42" w:rsidRPr="006A7F4E">
        <w:rPr>
          <w:rFonts w:asciiTheme="majorHAnsi" w:eastAsia="Times New Roman" w:hAnsiTheme="majorHAnsi"/>
          <w:sz w:val="20"/>
          <w:szCs w:val="20"/>
          <w:bdr w:val="none" w:sz="0" w:space="0" w:color="auto"/>
          <w:lang w:val="es-ES"/>
        </w:rPr>
        <w:t>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004E14C6" w:rsidRPr="006A7F4E">
        <w:rPr>
          <w:rFonts w:asciiTheme="majorHAnsi" w:eastAsia="Times New Roman" w:hAnsiTheme="majorHAnsi"/>
          <w:sz w:val="20"/>
          <w:szCs w:val="20"/>
          <w:bdr w:val="none" w:sz="0" w:space="0" w:color="auto"/>
          <w:lang w:val="es-AR"/>
        </w:rPr>
        <w:t xml:space="preserve"> </w:t>
      </w:r>
    </w:p>
    <w:p w:rsidR="007D4D73" w:rsidRPr="006A7F4E"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Cambria" w:hAnsiTheme="majorHAnsi" w:cs="Cambria"/>
          <w:sz w:val="20"/>
          <w:szCs w:val="20"/>
          <w:lang w:val="es-ES"/>
        </w:rPr>
      </w:pPr>
    </w:p>
    <w:p w:rsidR="00FD5A42" w:rsidRPr="006A7F4E" w:rsidRDefault="00FD5A42"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eastAsia="Cambria" w:hAnsiTheme="majorHAnsi" w:cs="Cambria"/>
          <w:sz w:val="20"/>
          <w:szCs w:val="20"/>
          <w:lang w:val="es-ES"/>
        </w:rPr>
      </w:pPr>
      <w:r w:rsidRPr="006A7F4E">
        <w:rPr>
          <w:rFonts w:asciiTheme="majorHAnsi" w:eastAsia="Cambria" w:hAnsiTheme="majorHAnsi" w:cs="Cambria"/>
          <w:sz w:val="20"/>
          <w:szCs w:val="20"/>
          <w:lang w:val="es-ES"/>
        </w:rPr>
        <w:t>En vista de los elementos de hecho y de derecho presentados por las partes y la naturaleza del asunto puesto bajo su conocimiento, la CIDH considera que los alegatos de</w:t>
      </w:r>
      <w:r w:rsidR="00E141A0" w:rsidRPr="006A7F4E">
        <w:rPr>
          <w:rFonts w:asciiTheme="majorHAnsi" w:eastAsia="Cambria" w:hAnsiTheme="majorHAnsi" w:cs="Cambria"/>
          <w:sz w:val="20"/>
          <w:szCs w:val="20"/>
          <w:lang w:val="es-ES"/>
        </w:rPr>
        <w:t xml:space="preserve"> </w:t>
      </w:r>
      <w:r w:rsidRPr="006A7F4E">
        <w:rPr>
          <w:rFonts w:asciiTheme="majorHAnsi" w:eastAsia="Cambria" w:hAnsiTheme="majorHAnsi" w:cs="Cambria"/>
          <w:sz w:val="20"/>
          <w:szCs w:val="20"/>
          <w:lang w:val="es-ES"/>
        </w:rPr>
        <w:t>l</w:t>
      </w:r>
      <w:r w:rsidR="00E141A0" w:rsidRPr="006A7F4E">
        <w:rPr>
          <w:rFonts w:asciiTheme="majorHAnsi" w:eastAsia="Cambria" w:hAnsiTheme="majorHAnsi" w:cs="Cambria"/>
          <w:sz w:val="20"/>
          <w:szCs w:val="20"/>
          <w:lang w:val="es-ES"/>
        </w:rPr>
        <w:t>os</w:t>
      </w:r>
      <w:r w:rsidRPr="006A7F4E">
        <w:rPr>
          <w:rFonts w:asciiTheme="majorHAnsi" w:eastAsia="Cambria" w:hAnsiTheme="majorHAnsi" w:cs="Cambria"/>
          <w:sz w:val="20"/>
          <w:szCs w:val="20"/>
          <w:lang w:val="es-ES"/>
        </w:rPr>
        <w:t xml:space="preserve"> peticionario</w:t>
      </w:r>
      <w:r w:rsidR="00E141A0" w:rsidRPr="006A7F4E">
        <w:rPr>
          <w:rFonts w:asciiTheme="majorHAnsi" w:eastAsia="Cambria" w:hAnsiTheme="majorHAnsi" w:cs="Cambria"/>
          <w:sz w:val="20"/>
          <w:szCs w:val="20"/>
          <w:lang w:val="es-ES"/>
        </w:rPr>
        <w:t>s</w:t>
      </w:r>
      <w:r w:rsidRPr="006A7F4E">
        <w:rPr>
          <w:rFonts w:asciiTheme="majorHAnsi" w:eastAsia="Cambria" w:hAnsiTheme="majorHAnsi" w:cs="Cambria"/>
          <w:sz w:val="20"/>
          <w:szCs w:val="20"/>
          <w:lang w:val="es-ES"/>
        </w:rPr>
        <w:t xml:space="preserve"> relacionados </w:t>
      </w:r>
      <w:r w:rsidR="00C52181" w:rsidRPr="006A7F4E">
        <w:rPr>
          <w:rFonts w:asciiTheme="majorHAnsi" w:eastAsia="Cambria" w:hAnsiTheme="majorHAnsi" w:cs="Cambria"/>
          <w:sz w:val="20"/>
          <w:szCs w:val="20"/>
          <w:lang w:val="es-ES"/>
        </w:rPr>
        <w:t>con</w:t>
      </w:r>
      <w:r w:rsidR="004430B1" w:rsidRPr="006A7F4E">
        <w:rPr>
          <w:rFonts w:asciiTheme="majorHAnsi" w:eastAsia="Cambria" w:hAnsiTheme="majorHAnsi" w:cs="Cambria"/>
          <w:sz w:val="20"/>
          <w:szCs w:val="20"/>
          <w:lang w:val="es-ES"/>
        </w:rPr>
        <w:t xml:space="preserve"> la </w:t>
      </w:r>
      <w:r w:rsidR="00F00C1B" w:rsidRPr="006A7F4E">
        <w:rPr>
          <w:rFonts w:asciiTheme="majorHAnsi" w:eastAsia="Cambria" w:hAnsiTheme="majorHAnsi" w:cs="Cambria"/>
          <w:sz w:val="20"/>
          <w:szCs w:val="20"/>
          <w:lang w:val="es-ES"/>
        </w:rPr>
        <w:t xml:space="preserve">alegada duración del proceso; la alegada alteración, sustracción y/o eliminación de piezas probatorias clave en el expediente; la alegada utilización de prueba falsa e invalidada; la </w:t>
      </w:r>
      <w:r w:rsidR="004430B1" w:rsidRPr="006A7F4E">
        <w:rPr>
          <w:rFonts w:asciiTheme="majorHAnsi" w:eastAsia="Cambria" w:hAnsiTheme="majorHAnsi" w:cs="Cambria"/>
          <w:sz w:val="20"/>
          <w:szCs w:val="20"/>
          <w:lang w:val="es-ES"/>
        </w:rPr>
        <w:t xml:space="preserve">alegada falta de independencia </w:t>
      </w:r>
      <w:r w:rsidR="00420471" w:rsidRPr="006A7F4E">
        <w:rPr>
          <w:rFonts w:asciiTheme="majorHAnsi" w:eastAsia="Cambria" w:hAnsiTheme="majorHAnsi" w:cs="Cambria"/>
          <w:sz w:val="20"/>
          <w:szCs w:val="20"/>
          <w:lang w:val="es-ES"/>
        </w:rPr>
        <w:t xml:space="preserve">e imparcialidad </w:t>
      </w:r>
      <w:r w:rsidR="004430B1" w:rsidRPr="006A7F4E">
        <w:rPr>
          <w:rFonts w:asciiTheme="majorHAnsi" w:eastAsia="Cambria" w:hAnsiTheme="majorHAnsi" w:cs="Cambria"/>
          <w:sz w:val="20"/>
          <w:szCs w:val="20"/>
          <w:lang w:val="es-ES"/>
        </w:rPr>
        <w:t>de los jueces que estuvieron a cargo de los procesos adelantados en sede interna</w:t>
      </w:r>
      <w:r w:rsidR="00F00C1B" w:rsidRPr="006A7F4E">
        <w:rPr>
          <w:rFonts w:asciiTheme="majorHAnsi" w:eastAsia="Cambria" w:hAnsiTheme="majorHAnsi" w:cs="Cambria"/>
          <w:sz w:val="20"/>
          <w:szCs w:val="20"/>
          <w:lang w:val="es-ES"/>
        </w:rPr>
        <w:t>;</w:t>
      </w:r>
      <w:r w:rsidR="004430B1" w:rsidRPr="006A7F4E">
        <w:rPr>
          <w:rFonts w:asciiTheme="majorHAnsi" w:eastAsia="Cambria" w:hAnsiTheme="majorHAnsi" w:cs="Cambria"/>
          <w:sz w:val="20"/>
          <w:szCs w:val="20"/>
          <w:lang w:val="es-ES"/>
        </w:rPr>
        <w:t xml:space="preserve"> la alegada violación al derecho a obtener una sentencia debidamente fundam</w:t>
      </w:r>
      <w:r w:rsidR="00F00C1B" w:rsidRPr="006A7F4E">
        <w:rPr>
          <w:rFonts w:asciiTheme="majorHAnsi" w:eastAsia="Cambria" w:hAnsiTheme="majorHAnsi" w:cs="Cambria"/>
          <w:sz w:val="20"/>
          <w:szCs w:val="20"/>
          <w:lang w:val="es-ES"/>
        </w:rPr>
        <w:t xml:space="preserve">entada; </w:t>
      </w:r>
      <w:r w:rsidR="00E178C3" w:rsidRPr="006A7F4E">
        <w:rPr>
          <w:rFonts w:asciiTheme="majorHAnsi" w:eastAsia="Cambria" w:hAnsiTheme="majorHAnsi" w:cs="Cambria"/>
          <w:sz w:val="20"/>
          <w:szCs w:val="20"/>
          <w:lang w:val="es-ES"/>
        </w:rPr>
        <w:t>así como</w:t>
      </w:r>
      <w:r w:rsidR="00E23B07" w:rsidRPr="006A7F4E">
        <w:rPr>
          <w:rFonts w:asciiTheme="majorHAnsi" w:eastAsia="Cambria" w:hAnsiTheme="majorHAnsi" w:cs="Cambria"/>
          <w:sz w:val="20"/>
          <w:szCs w:val="20"/>
          <w:lang w:val="es-ES"/>
        </w:rPr>
        <w:t xml:space="preserve"> la alegada falta de revisión integral por parte de la Cámara de Casaci</w:t>
      </w:r>
      <w:r w:rsidR="00143336" w:rsidRPr="006A7F4E">
        <w:rPr>
          <w:rFonts w:asciiTheme="majorHAnsi" w:eastAsia="Cambria" w:hAnsiTheme="majorHAnsi" w:cs="Cambria"/>
          <w:sz w:val="20"/>
          <w:szCs w:val="20"/>
          <w:lang w:val="es-ES"/>
        </w:rPr>
        <w:t>ón</w:t>
      </w:r>
      <w:r w:rsidR="00E178C3" w:rsidRPr="006A7F4E">
        <w:rPr>
          <w:rFonts w:asciiTheme="majorHAnsi" w:eastAsia="Cambria" w:hAnsiTheme="majorHAnsi" w:cs="Cambria"/>
          <w:sz w:val="20"/>
          <w:szCs w:val="20"/>
          <w:lang w:val="es-ES"/>
        </w:rPr>
        <w:t>,</w:t>
      </w:r>
      <w:r w:rsidR="00143336" w:rsidRPr="006A7F4E">
        <w:rPr>
          <w:rFonts w:asciiTheme="majorHAnsi" w:eastAsia="Cambria" w:hAnsiTheme="majorHAnsi" w:cs="Cambria"/>
          <w:sz w:val="20"/>
          <w:szCs w:val="20"/>
          <w:lang w:val="es-ES"/>
        </w:rPr>
        <w:t xml:space="preserve"> podrían caracterizar violaciones </w:t>
      </w:r>
      <w:r w:rsidR="00EF74CF" w:rsidRPr="006A7F4E">
        <w:rPr>
          <w:rFonts w:asciiTheme="majorHAnsi" w:eastAsia="Cambria" w:hAnsiTheme="majorHAnsi" w:cs="Cambria"/>
          <w:sz w:val="20"/>
          <w:szCs w:val="20"/>
          <w:lang w:val="es-ES"/>
        </w:rPr>
        <w:t>a las garantías judici</w:t>
      </w:r>
      <w:r w:rsidR="00143336" w:rsidRPr="006A7F4E">
        <w:rPr>
          <w:rFonts w:asciiTheme="majorHAnsi" w:eastAsia="Cambria" w:hAnsiTheme="majorHAnsi" w:cs="Cambria"/>
          <w:sz w:val="20"/>
          <w:szCs w:val="20"/>
          <w:lang w:val="es-ES"/>
        </w:rPr>
        <w:t xml:space="preserve">ales y a la protección judicial, derechos respectivamente </w:t>
      </w:r>
      <w:r w:rsidRPr="006A7F4E">
        <w:rPr>
          <w:rFonts w:asciiTheme="majorHAnsi" w:eastAsia="Cambria" w:hAnsiTheme="majorHAnsi" w:cs="Cambria"/>
          <w:sz w:val="20"/>
          <w:szCs w:val="20"/>
          <w:lang w:val="es-ES"/>
        </w:rPr>
        <w:t>consagrados en lo</w:t>
      </w:r>
      <w:r w:rsidR="00EF74CF" w:rsidRPr="006A7F4E">
        <w:rPr>
          <w:rFonts w:asciiTheme="majorHAnsi" w:eastAsia="Cambria" w:hAnsiTheme="majorHAnsi" w:cs="Cambria"/>
          <w:sz w:val="20"/>
          <w:szCs w:val="20"/>
          <w:lang w:val="es-ES"/>
        </w:rPr>
        <w:t xml:space="preserve">s artículos </w:t>
      </w:r>
      <w:r w:rsidRPr="006A7F4E">
        <w:rPr>
          <w:rFonts w:asciiTheme="majorHAnsi" w:eastAsia="Cambria" w:hAnsiTheme="majorHAnsi" w:cs="Cambria"/>
          <w:sz w:val="20"/>
          <w:szCs w:val="20"/>
          <w:lang w:val="es-ES"/>
        </w:rPr>
        <w:t>8 y 25 de la Convención Americana</w:t>
      </w:r>
      <w:r w:rsidR="00143336" w:rsidRPr="006A7F4E">
        <w:rPr>
          <w:rFonts w:asciiTheme="majorHAnsi" w:eastAsia="Cambria" w:hAnsiTheme="majorHAnsi" w:cs="Cambria"/>
          <w:sz w:val="20"/>
          <w:szCs w:val="20"/>
          <w:lang w:val="es-ES"/>
        </w:rPr>
        <w:t xml:space="preserve">, </w:t>
      </w:r>
      <w:r w:rsidRPr="006A7F4E">
        <w:rPr>
          <w:rFonts w:asciiTheme="majorHAnsi" w:eastAsia="Cambria" w:hAnsiTheme="majorHAnsi" w:cs="Cambria"/>
          <w:sz w:val="20"/>
          <w:szCs w:val="20"/>
          <w:lang w:val="es-ES"/>
        </w:rPr>
        <w:t>en relación a su artículo 1.1</w:t>
      </w:r>
      <w:r w:rsidR="008B7CB8" w:rsidRPr="006A7F4E">
        <w:rPr>
          <w:rFonts w:asciiTheme="majorHAnsi" w:eastAsia="Cambria" w:hAnsiTheme="majorHAnsi" w:cs="Cambria"/>
          <w:sz w:val="20"/>
          <w:szCs w:val="20"/>
          <w:lang w:val="es-ES"/>
        </w:rPr>
        <w:t>,</w:t>
      </w:r>
      <w:r w:rsidR="00C52181" w:rsidRPr="006A7F4E">
        <w:rPr>
          <w:rFonts w:asciiTheme="majorHAnsi" w:eastAsia="Cambria" w:hAnsiTheme="majorHAnsi" w:cs="Cambria"/>
          <w:sz w:val="20"/>
          <w:szCs w:val="20"/>
          <w:lang w:val="es-ES"/>
        </w:rPr>
        <w:t xml:space="preserve"> en perjuicio de los </w:t>
      </w:r>
      <w:r w:rsidR="008119B3" w:rsidRPr="006A7F4E">
        <w:rPr>
          <w:rFonts w:asciiTheme="majorHAnsi" w:eastAsia="Cambria" w:hAnsiTheme="majorHAnsi" w:cs="Cambria"/>
          <w:sz w:val="20"/>
          <w:szCs w:val="20"/>
          <w:lang w:val="es-ES"/>
        </w:rPr>
        <w:t>familiares de Cristina Britez Arce</w:t>
      </w:r>
      <w:r w:rsidRPr="006A7F4E">
        <w:rPr>
          <w:rFonts w:asciiTheme="majorHAnsi" w:eastAsia="Cambria" w:hAnsiTheme="majorHAnsi" w:cs="Cambria"/>
          <w:sz w:val="20"/>
          <w:szCs w:val="20"/>
          <w:lang w:val="es-ES"/>
        </w:rPr>
        <w:t>.</w:t>
      </w:r>
      <w:r w:rsidR="00143336" w:rsidRPr="006A7F4E">
        <w:rPr>
          <w:rFonts w:asciiTheme="majorHAnsi" w:eastAsia="Cambria" w:hAnsiTheme="majorHAnsi" w:cs="Cambria"/>
          <w:sz w:val="20"/>
          <w:szCs w:val="20"/>
          <w:lang w:val="es-ES"/>
        </w:rPr>
        <w:t xml:space="preserve"> </w:t>
      </w:r>
      <w:r w:rsidR="009131BE" w:rsidRPr="006A7F4E">
        <w:rPr>
          <w:rFonts w:asciiTheme="majorHAnsi" w:eastAsia="Cambria" w:hAnsiTheme="majorHAnsi" w:cs="Cambria"/>
          <w:sz w:val="20"/>
          <w:szCs w:val="20"/>
          <w:lang w:val="es-ES"/>
        </w:rPr>
        <w:t xml:space="preserve">Asimismo, de corroborarse los </w:t>
      </w:r>
      <w:r w:rsidR="00185D13" w:rsidRPr="006A7F4E">
        <w:rPr>
          <w:rFonts w:asciiTheme="majorHAnsi" w:eastAsia="Cambria" w:hAnsiTheme="majorHAnsi" w:cs="Cambria"/>
          <w:sz w:val="20"/>
          <w:szCs w:val="20"/>
          <w:lang w:val="es-ES"/>
        </w:rPr>
        <w:t xml:space="preserve">alegaos presentados </w:t>
      </w:r>
      <w:r w:rsidR="00B46A3F" w:rsidRPr="006A7F4E">
        <w:rPr>
          <w:rFonts w:asciiTheme="majorHAnsi" w:eastAsia="Cambria" w:hAnsiTheme="majorHAnsi" w:cs="Cambria"/>
          <w:sz w:val="20"/>
          <w:szCs w:val="20"/>
          <w:lang w:val="es-ES"/>
        </w:rPr>
        <w:t xml:space="preserve">respecto al tratamiento médico proporcionado en un hospital público </w:t>
      </w:r>
      <w:r w:rsidR="009131BE" w:rsidRPr="006A7F4E">
        <w:rPr>
          <w:rFonts w:asciiTheme="majorHAnsi" w:eastAsia="Cambria" w:hAnsiTheme="majorHAnsi" w:cs="Cambria"/>
          <w:sz w:val="20"/>
          <w:szCs w:val="20"/>
          <w:lang w:val="es-ES"/>
        </w:rPr>
        <w:t xml:space="preserve">que forman parte del marco fáctico de la presente petición, podría existir una violación al artículo 4 de la Convención, también en relación con el artículo 1.1 del mismo </w:t>
      </w:r>
      <w:r w:rsidR="0098722E" w:rsidRPr="006A7F4E">
        <w:rPr>
          <w:rFonts w:asciiTheme="majorHAnsi" w:eastAsia="Cambria" w:hAnsiTheme="majorHAnsi" w:cs="Cambria"/>
          <w:sz w:val="20"/>
          <w:szCs w:val="20"/>
          <w:lang w:val="es-ES"/>
        </w:rPr>
        <w:t>instrumento</w:t>
      </w:r>
      <w:r w:rsidR="00C52181" w:rsidRPr="006A7F4E">
        <w:rPr>
          <w:rFonts w:asciiTheme="majorHAnsi" w:eastAsia="Cambria" w:hAnsiTheme="majorHAnsi" w:cs="Cambria"/>
          <w:sz w:val="20"/>
          <w:szCs w:val="20"/>
          <w:lang w:val="es-ES"/>
        </w:rPr>
        <w:t>, en perjuicio de Cristina Britez Arce</w:t>
      </w:r>
      <w:r w:rsidR="009131BE" w:rsidRPr="006A7F4E">
        <w:rPr>
          <w:rFonts w:asciiTheme="majorHAnsi" w:eastAsia="Cambria" w:hAnsiTheme="majorHAnsi" w:cs="Cambria"/>
          <w:sz w:val="20"/>
          <w:szCs w:val="20"/>
          <w:lang w:val="es-ES"/>
        </w:rPr>
        <w:t>.</w:t>
      </w:r>
    </w:p>
    <w:p w:rsidR="007D4D73" w:rsidRPr="006A7F4E" w:rsidRDefault="007D4D73" w:rsidP="007D4D7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Cambria" w:hAnsiTheme="majorHAnsi" w:cs="Cambria"/>
          <w:sz w:val="20"/>
          <w:szCs w:val="20"/>
          <w:lang w:val="es-ES"/>
        </w:rPr>
      </w:pPr>
    </w:p>
    <w:p w:rsidR="006F0B37" w:rsidRDefault="006F0B37">
      <w:pPr>
        <w:rPr>
          <w:rFonts w:asciiTheme="majorHAnsi" w:eastAsiaTheme="majorEastAsia" w:hAnsiTheme="majorHAnsi" w:cstheme="majorBidi"/>
          <w:b/>
          <w:bCs/>
          <w:sz w:val="20"/>
          <w:szCs w:val="20"/>
          <w:lang w:val="es-ES_tradnl"/>
        </w:rPr>
      </w:pPr>
      <w:r w:rsidRPr="006F0B37">
        <w:rPr>
          <w:lang w:val="es-ES"/>
        </w:rPr>
        <w:br w:type="page"/>
      </w:r>
    </w:p>
    <w:p w:rsidR="009131BE" w:rsidRPr="006A7F4E" w:rsidRDefault="00FD5A42" w:rsidP="007D4D73">
      <w:pPr>
        <w:pStyle w:val="Heading1"/>
      </w:pPr>
      <w:r w:rsidRPr="006A7F4E">
        <w:lastRenderedPageBreak/>
        <w:t>CONCLUSIONES</w:t>
      </w:r>
    </w:p>
    <w:p w:rsidR="007D4D73" w:rsidRPr="007D4D73" w:rsidRDefault="007D4D73" w:rsidP="007D4D73">
      <w:pPr>
        <w:rPr>
          <w:lang w:val="es-ES_tradnl"/>
        </w:rPr>
      </w:pPr>
    </w:p>
    <w:p w:rsidR="00107126" w:rsidRDefault="0098722E" w:rsidP="00FD4F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1440"/>
        </w:tabs>
        <w:ind w:left="0" w:firstLine="720"/>
        <w:jc w:val="both"/>
        <w:rPr>
          <w:rFonts w:asciiTheme="majorHAnsi" w:eastAsia="Cambria" w:hAnsiTheme="majorHAnsi" w:cs="Cambria"/>
          <w:sz w:val="20"/>
          <w:szCs w:val="20"/>
          <w:lang w:val="es-AR"/>
        </w:rPr>
      </w:pPr>
      <w:r w:rsidRPr="00FD4F59">
        <w:rPr>
          <w:rFonts w:asciiTheme="majorHAnsi" w:eastAsia="Cambria" w:hAnsiTheme="majorHAnsi" w:cs="Cambria"/>
          <w:sz w:val="20"/>
          <w:szCs w:val="20"/>
          <w:lang w:val="es-AR"/>
        </w:rPr>
        <w:t>Con fundamento en las consideraciones de hecho y de derecho expuestas, y sin prejuzgar sobre el fondo de la cuestión, la Comisión concluye que el presente caso satisface los requisitos de admisibilidad enunciados en los artículos 46 y 47 de la Convención Americana y en consecuencia,</w:t>
      </w:r>
    </w:p>
    <w:p w:rsidR="006F0B37" w:rsidRDefault="006F0B37" w:rsidP="006F0B37">
      <w:pPr>
        <w:rPr>
          <w:rFonts w:asciiTheme="majorHAnsi" w:eastAsia="Cambria" w:hAnsiTheme="majorHAnsi" w:cs="Cambria"/>
          <w:b/>
          <w:bCs/>
          <w:sz w:val="20"/>
          <w:szCs w:val="20"/>
          <w:lang w:val="es-ES"/>
        </w:rPr>
      </w:pPr>
    </w:p>
    <w:p w:rsidR="006F0B37" w:rsidRDefault="00FD5A42" w:rsidP="006F0B37">
      <w:pPr>
        <w:jc w:val="center"/>
        <w:rPr>
          <w:rFonts w:asciiTheme="majorHAnsi" w:eastAsia="Cambria" w:hAnsiTheme="majorHAnsi" w:cs="Cambria"/>
          <w:sz w:val="20"/>
          <w:szCs w:val="20"/>
          <w:lang w:val="es-ES"/>
        </w:rPr>
      </w:pPr>
      <w:r w:rsidRPr="00FD4F59">
        <w:rPr>
          <w:rFonts w:asciiTheme="majorHAnsi" w:eastAsia="Cambria" w:hAnsiTheme="majorHAnsi" w:cs="Cambria"/>
          <w:b/>
          <w:bCs/>
          <w:sz w:val="20"/>
          <w:szCs w:val="20"/>
          <w:lang w:val="es-ES"/>
        </w:rPr>
        <w:t>LA COMISIÓN INTERAMERICANA DE DERECHOS HUMANOS,</w:t>
      </w:r>
    </w:p>
    <w:p w:rsidR="00FD5A42" w:rsidRPr="00107126" w:rsidRDefault="00FD5A42" w:rsidP="006F0B37">
      <w:pPr>
        <w:rPr>
          <w:rFonts w:asciiTheme="majorHAnsi" w:eastAsia="Cambria" w:hAnsiTheme="majorHAnsi" w:cs="Cambria"/>
          <w:sz w:val="20"/>
          <w:szCs w:val="20"/>
          <w:lang w:val="es-ES"/>
        </w:rPr>
      </w:pPr>
      <w:r w:rsidRPr="00107126">
        <w:rPr>
          <w:rFonts w:asciiTheme="majorHAnsi" w:eastAsia="Cambria" w:hAnsiTheme="majorHAnsi" w:cs="Cambria"/>
          <w:b/>
          <w:bCs/>
          <w:sz w:val="20"/>
          <w:szCs w:val="20"/>
          <w:lang w:val="es-ES"/>
        </w:rPr>
        <w:t xml:space="preserve">DECIDE: </w:t>
      </w:r>
    </w:p>
    <w:p w:rsidR="007D4D73" w:rsidRPr="00107126" w:rsidRDefault="007D4D73" w:rsidP="00FD4F59">
      <w:pPr>
        <w:tabs>
          <w:tab w:val="left" w:pos="0"/>
        </w:tabs>
        <w:jc w:val="both"/>
        <w:rPr>
          <w:rFonts w:asciiTheme="majorHAnsi" w:eastAsia="Cambria" w:hAnsiTheme="majorHAnsi" w:cs="Cambria"/>
          <w:b/>
          <w:bCs/>
          <w:sz w:val="20"/>
          <w:szCs w:val="20"/>
          <w:lang w:val="es-ES"/>
        </w:rPr>
      </w:pPr>
    </w:p>
    <w:p w:rsidR="00FD5A42" w:rsidRDefault="00FD5A42" w:rsidP="00143336">
      <w:pPr>
        <w:pStyle w:val="ListParagraph"/>
        <w:numPr>
          <w:ilvl w:val="0"/>
          <w:numId w:val="57"/>
        </w:numPr>
        <w:tabs>
          <w:tab w:val="left" w:pos="0"/>
        </w:tabs>
        <w:ind w:left="0" w:firstLine="720"/>
        <w:jc w:val="both"/>
        <w:rPr>
          <w:rFonts w:asciiTheme="majorHAnsi" w:hAnsiTheme="majorHAnsi"/>
          <w:sz w:val="20"/>
          <w:szCs w:val="20"/>
          <w:lang w:val="es-ES"/>
        </w:rPr>
      </w:pPr>
      <w:r w:rsidRPr="00FD4F59">
        <w:rPr>
          <w:rFonts w:asciiTheme="majorHAnsi" w:hAnsiTheme="majorHAnsi"/>
          <w:sz w:val="20"/>
          <w:szCs w:val="20"/>
          <w:lang w:val="es-ES"/>
        </w:rPr>
        <w:t xml:space="preserve">Declarar admisible la presente petición </w:t>
      </w:r>
      <w:r w:rsidR="00EF74CF" w:rsidRPr="00FD4F59">
        <w:rPr>
          <w:rFonts w:asciiTheme="majorHAnsi" w:hAnsiTheme="majorHAnsi"/>
          <w:sz w:val="20"/>
          <w:szCs w:val="20"/>
          <w:lang w:val="es-ES"/>
        </w:rPr>
        <w:t xml:space="preserve">con relación a los artículos </w:t>
      </w:r>
      <w:r w:rsidR="009131BE" w:rsidRPr="00FD4F59">
        <w:rPr>
          <w:rFonts w:asciiTheme="majorHAnsi" w:hAnsiTheme="majorHAnsi"/>
          <w:sz w:val="20"/>
          <w:szCs w:val="20"/>
          <w:lang w:val="es-ES"/>
        </w:rPr>
        <w:t xml:space="preserve">4, </w:t>
      </w:r>
      <w:r w:rsidRPr="00FD4F59">
        <w:rPr>
          <w:rFonts w:asciiTheme="majorHAnsi" w:hAnsiTheme="majorHAnsi"/>
          <w:sz w:val="20"/>
          <w:szCs w:val="20"/>
          <w:lang w:val="es-ES"/>
        </w:rPr>
        <w:t>8 y 25 en conexión con el artículo 1.1 de la Convención Americana.</w:t>
      </w:r>
    </w:p>
    <w:p w:rsidR="007D4D73" w:rsidRPr="007D4D73" w:rsidRDefault="007D4D73" w:rsidP="007D4D73">
      <w:pPr>
        <w:tabs>
          <w:tab w:val="left" w:pos="0"/>
        </w:tabs>
        <w:jc w:val="both"/>
        <w:rPr>
          <w:rFonts w:asciiTheme="majorHAnsi" w:hAnsiTheme="majorHAnsi"/>
          <w:sz w:val="20"/>
          <w:szCs w:val="20"/>
          <w:lang w:val="es-ES"/>
        </w:rPr>
      </w:pPr>
    </w:p>
    <w:p w:rsidR="00FD5A42" w:rsidRDefault="00FD5A42" w:rsidP="00143336">
      <w:pPr>
        <w:pStyle w:val="ListParagraph"/>
        <w:numPr>
          <w:ilvl w:val="0"/>
          <w:numId w:val="57"/>
        </w:numPr>
        <w:tabs>
          <w:tab w:val="left" w:pos="0"/>
        </w:tabs>
        <w:ind w:left="0" w:firstLine="720"/>
        <w:jc w:val="both"/>
        <w:rPr>
          <w:rFonts w:asciiTheme="majorHAnsi" w:hAnsiTheme="majorHAnsi"/>
          <w:sz w:val="20"/>
          <w:szCs w:val="20"/>
          <w:lang w:val="es-ES"/>
        </w:rPr>
      </w:pPr>
      <w:r w:rsidRPr="00FD4F59">
        <w:rPr>
          <w:rFonts w:asciiTheme="majorHAnsi" w:hAnsiTheme="majorHAnsi"/>
          <w:sz w:val="20"/>
          <w:szCs w:val="20"/>
          <w:lang w:val="es-ES"/>
        </w:rPr>
        <w:t>Notificar esta decisión al Estado y al peticionario.</w:t>
      </w:r>
    </w:p>
    <w:p w:rsidR="007D4D73" w:rsidRPr="007D4D73" w:rsidRDefault="007D4D73" w:rsidP="007D4D73">
      <w:pPr>
        <w:tabs>
          <w:tab w:val="left" w:pos="0"/>
        </w:tabs>
        <w:jc w:val="both"/>
        <w:rPr>
          <w:rFonts w:asciiTheme="majorHAnsi" w:hAnsiTheme="majorHAnsi"/>
          <w:sz w:val="20"/>
          <w:szCs w:val="20"/>
          <w:lang w:val="es-ES"/>
        </w:rPr>
      </w:pPr>
    </w:p>
    <w:p w:rsidR="00FD5A42" w:rsidRDefault="00FD5A42" w:rsidP="00143336">
      <w:pPr>
        <w:pStyle w:val="ListParagraph"/>
        <w:numPr>
          <w:ilvl w:val="0"/>
          <w:numId w:val="57"/>
        </w:numPr>
        <w:tabs>
          <w:tab w:val="left" w:pos="0"/>
        </w:tabs>
        <w:ind w:left="0" w:firstLine="720"/>
        <w:jc w:val="both"/>
        <w:rPr>
          <w:rFonts w:asciiTheme="majorHAnsi" w:hAnsiTheme="majorHAnsi"/>
          <w:sz w:val="20"/>
          <w:szCs w:val="20"/>
          <w:lang w:val="es-ES"/>
        </w:rPr>
      </w:pPr>
      <w:r w:rsidRPr="00FD4F59">
        <w:rPr>
          <w:rFonts w:asciiTheme="majorHAnsi" w:hAnsiTheme="majorHAnsi"/>
          <w:sz w:val="20"/>
          <w:szCs w:val="20"/>
          <w:lang w:val="es-ES"/>
        </w:rPr>
        <w:t>Continuar con el análisis del fondo de la cuestión.</w:t>
      </w:r>
    </w:p>
    <w:p w:rsidR="007D4D73" w:rsidRPr="007D4D73" w:rsidRDefault="007D4D73" w:rsidP="007D4D73">
      <w:pPr>
        <w:tabs>
          <w:tab w:val="left" w:pos="0"/>
        </w:tabs>
        <w:jc w:val="both"/>
        <w:rPr>
          <w:rFonts w:asciiTheme="majorHAnsi" w:hAnsiTheme="majorHAnsi"/>
          <w:sz w:val="20"/>
          <w:szCs w:val="20"/>
          <w:lang w:val="es-ES"/>
        </w:rPr>
      </w:pPr>
    </w:p>
    <w:p w:rsidR="00A33BCC" w:rsidRDefault="00FD5A42" w:rsidP="00143336">
      <w:pPr>
        <w:pStyle w:val="ListParagraph"/>
        <w:numPr>
          <w:ilvl w:val="0"/>
          <w:numId w:val="57"/>
        </w:numPr>
        <w:tabs>
          <w:tab w:val="left" w:pos="0"/>
        </w:tabs>
        <w:ind w:left="0" w:firstLine="720"/>
        <w:jc w:val="both"/>
        <w:rPr>
          <w:rFonts w:asciiTheme="majorHAnsi" w:hAnsiTheme="majorHAnsi"/>
          <w:sz w:val="20"/>
          <w:szCs w:val="20"/>
          <w:lang w:val="es-ES"/>
        </w:rPr>
      </w:pPr>
      <w:r w:rsidRPr="00EA5BD3">
        <w:rPr>
          <w:rFonts w:asciiTheme="majorHAnsi" w:hAnsiTheme="majorHAnsi"/>
          <w:sz w:val="20"/>
          <w:szCs w:val="20"/>
          <w:lang w:val="es-ES"/>
        </w:rPr>
        <w:t>Publicar esta decisión e incluirla en su Informe Anual a la Asamblea General de la OEA.</w:t>
      </w:r>
    </w:p>
    <w:p w:rsidR="006C4E22" w:rsidRPr="006C4E22" w:rsidRDefault="006C4E22" w:rsidP="006C4E22">
      <w:pPr>
        <w:rPr>
          <w:rFonts w:asciiTheme="majorHAnsi" w:hAnsiTheme="majorHAnsi"/>
          <w:sz w:val="20"/>
          <w:szCs w:val="20"/>
          <w:lang w:val="es-ES"/>
        </w:rPr>
      </w:pPr>
    </w:p>
    <w:p w:rsidR="006C4E22" w:rsidRPr="00AE761D" w:rsidRDefault="006C4E22" w:rsidP="00AE761D">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28</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00E5455D">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Rosa María Ortiz</w:t>
      </w:r>
      <w:r>
        <w:rPr>
          <w:rFonts w:ascii="Cambria" w:hAnsi="Cambria" w:cs="Arial"/>
          <w:noProof/>
          <w:spacing w:val="-2"/>
          <w:sz w:val="20"/>
          <w:szCs w:val="20"/>
          <w:lang w:val="es-CL"/>
        </w:rPr>
        <w:t xml:space="preserve">, y Tracy Robinson </w:t>
      </w:r>
      <w:r w:rsidRPr="00804A84">
        <w:rPr>
          <w:rFonts w:ascii="Cambria" w:hAnsi="Cambria" w:cs="Arial"/>
          <w:noProof/>
          <w:spacing w:val="-2"/>
          <w:sz w:val="20"/>
          <w:szCs w:val="20"/>
          <w:lang w:val="es-CL"/>
        </w:rPr>
        <w:t>Miembros de la Comisión.</w:t>
      </w:r>
    </w:p>
    <w:p w:rsidR="006C4E22" w:rsidRPr="006C4E22" w:rsidRDefault="006C4E22" w:rsidP="00107126">
      <w:pPr>
        <w:pStyle w:val="ListParagraph"/>
        <w:rPr>
          <w:rFonts w:asciiTheme="majorHAnsi" w:hAnsiTheme="majorHAnsi"/>
          <w:sz w:val="20"/>
          <w:szCs w:val="20"/>
          <w:lang w:val="es-CL"/>
        </w:rPr>
      </w:pPr>
    </w:p>
    <w:sectPr w:rsidR="006C4E22" w:rsidRPr="006C4E2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15" w:rsidRDefault="002B0815">
      <w:r>
        <w:separator/>
      </w:r>
    </w:p>
  </w:endnote>
  <w:endnote w:type="continuationSeparator" w:id="0">
    <w:p w:rsidR="002B0815" w:rsidRDefault="002B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8B676A" w:rsidRPr="00934A2C" w:rsidRDefault="008B676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55C22">
          <w:rPr>
            <w:noProof/>
            <w:sz w:val="16"/>
            <w:szCs w:val="22"/>
          </w:rPr>
          <w:t>11</w:t>
        </w:r>
        <w:r w:rsidRPr="00934A2C">
          <w:rPr>
            <w:noProof/>
            <w:sz w:val="16"/>
            <w:szCs w:val="22"/>
          </w:rPr>
          <w:fldChar w:fldCharType="end"/>
        </w:r>
      </w:p>
    </w:sdtContent>
  </w:sdt>
  <w:p w:rsidR="008B676A" w:rsidRDefault="008B6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6A" w:rsidRPr="00934A2C" w:rsidRDefault="008B676A">
    <w:pPr>
      <w:pStyle w:val="Footer"/>
      <w:jc w:val="center"/>
      <w:rPr>
        <w:sz w:val="16"/>
        <w:szCs w:val="22"/>
      </w:rPr>
    </w:pPr>
  </w:p>
  <w:p w:rsidR="008B676A" w:rsidRDefault="008B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15" w:rsidRPr="000F35ED" w:rsidRDefault="002B081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B0815" w:rsidRPr="000F35ED" w:rsidRDefault="002B0815" w:rsidP="000F35ED">
      <w:pPr>
        <w:rPr>
          <w:rFonts w:asciiTheme="majorHAnsi" w:hAnsiTheme="majorHAnsi"/>
          <w:sz w:val="16"/>
          <w:szCs w:val="16"/>
        </w:rPr>
      </w:pPr>
      <w:r w:rsidRPr="000F35ED">
        <w:rPr>
          <w:rFonts w:asciiTheme="majorHAnsi" w:hAnsiTheme="majorHAnsi"/>
          <w:sz w:val="16"/>
          <w:szCs w:val="16"/>
        </w:rPr>
        <w:separator/>
      </w:r>
    </w:p>
    <w:p w:rsidR="002B0815" w:rsidRPr="000F35ED" w:rsidRDefault="002B081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B0815" w:rsidRPr="000F35ED" w:rsidRDefault="002B081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003F6C0B">
        <w:rPr>
          <w:rFonts w:asciiTheme="majorHAnsi" w:hAnsiTheme="majorHAnsi"/>
          <w:sz w:val="16"/>
          <w:szCs w:val="16"/>
          <w:lang w:val="es-AR"/>
        </w:rPr>
        <w:t xml:space="preserve"> </w:t>
      </w:r>
      <w:r w:rsidRPr="00B5042F">
        <w:rPr>
          <w:rFonts w:asciiTheme="majorHAnsi" w:hAnsiTheme="majorHAnsi"/>
          <w:sz w:val="16"/>
          <w:szCs w:val="16"/>
          <w:lang w:val="es-AR"/>
        </w:rPr>
        <w:t>Juzgado Correccional No. 8 (Secretaría 63), “</w:t>
      </w:r>
      <w:r w:rsidRPr="004061AE">
        <w:rPr>
          <w:rFonts w:asciiTheme="majorHAnsi" w:hAnsiTheme="majorHAnsi"/>
          <w:sz w:val="16"/>
          <w:szCs w:val="16"/>
          <w:lang w:val="es-AR"/>
        </w:rPr>
        <w:t>BRITEZ ARCE, Cristina s/homicidio culposo</w:t>
      </w:r>
      <w:r w:rsidRPr="00B5042F">
        <w:rPr>
          <w:rFonts w:asciiTheme="majorHAnsi" w:hAnsiTheme="majorHAnsi"/>
          <w:sz w:val="16"/>
          <w:szCs w:val="16"/>
          <w:lang w:val="es-AR"/>
        </w:rPr>
        <w:t>”. Expte. No. 2.391.</w:t>
      </w:r>
      <w:r>
        <w:rPr>
          <w:rFonts w:asciiTheme="majorHAnsi" w:hAnsiTheme="majorHAnsi"/>
          <w:sz w:val="16"/>
          <w:szCs w:val="16"/>
          <w:lang w:val="es-AR"/>
        </w:rPr>
        <w:t xml:space="preserve"> </w:t>
      </w:r>
      <w:r w:rsidRPr="00B5042F">
        <w:rPr>
          <w:rFonts w:asciiTheme="majorHAnsi" w:hAnsiTheme="majorHAnsi"/>
          <w:sz w:val="16"/>
          <w:szCs w:val="16"/>
          <w:lang w:val="es-AR"/>
        </w:rPr>
        <w:t>Los peticionarios también se refirieron a esta causa como</w:t>
      </w:r>
      <w:r>
        <w:rPr>
          <w:rFonts w:asciiTheme="majorHAnsi" w:hAnsiTheme="majorHAnsi"/>
          <w:sz w:val="16"/>
          <w:szCs w:val="16"/>
          <w:lang w:val="es-AR"/>
        </w:rPr>
        <w:t xml:space="preserve"> </w:t>
      </w:r>
      <w:r w:rsidRPr="00B5042F">
        <w:rPr>
          <w:rFonts w:asciiTheme="majorHAnsi" w:hAnsiTheme="majorHAnsi"/>
          <w:sz w:val="16"/>
          <w:szCs w:val="16"/>
          <w:lang w:val="es-AR"/>
        </w:rPr>
        <w:t xml:space="preserve">“BRITEZ ARCE, Cristina s/homicidio </w:t>
      </w:r>
      <w:r>
        <w:rPr>
          <w:rFonts w:asciiTheme="majorHAnsi" w:hAnsiTheme="majorHAnsi"/>
          <w:sz w:val="16"/>
          <w:szCs w:val="16"/>
          <w:lang w:val="es-AR"/>
        </w:rPr>
        <w:t>art. 84 C. Penal</w:t>
      </w:r>
      <w:r w:rsidRPr="00B5042F">
        <w:rPr>
          <w:rFonts w:asciiTheme="majorHAnsi" w:hAnsiTheme="majorHAnsi"/>
          <w:sz w:val="16"/>
          <w:szCs w:val="16"/>
          <w:lang w:val="es-AR"/>
        </w:rPr>
        <w:t>”.</w:t>
      </w:r>
    </w:p>
  </w:footnote>
  <w:footnote w:id="3">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Juzgado Criminal de Instrucción No. 3 (Secretaría 110), “CASAVILLA, Florencio y otro s/falsificación de documento público”. Expte. No. 21.375/96 (en la tramitación durante la segunda instancia ante la Cámara de Apelaciones, este expediente tuvo el número 18.668).</w:t>
      </w:r>
    </w:p>
  </w:footnote>
  <w:footnote w:id="4">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Juzgado Criminal de Instrucción No. 4 (Secretaría 113), “CUERPO MÉDICO FORENSE s/falso testimonio”. Expte. No. 27.985/98. Los peticionarios también se refirieron a esta causa como “CUERPO MÉDICO FORENSE s/falsa pericia”.</w:t>
      </w:r>
    </w:p>
  </w:footnote>
  <w:footnote w:id="5">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En su petición inicial, los peticionarios informaron a la CIDH que la querella fue incoada por su padre (y ex cónyuge de la presunta víctima), Miguel Ángel Avaro, en su representación, por cuanto ellos </w:t>
      </w:r>
      <w:r>
        <w:rPr>
          <w:rFonts w:asciiTheme="majorHAnsi" w:hAnsiTheme="majorHAnsi"/>
          <w:sz w:val="16"/>
          <w:szCs w:val="16"/>
          <w:lang w:val="es-AR"/>
        </w:rPr>
        <w:t xml:space="preserve">aún </w:t>
      </w:r>
      <w:r w:rsidRPr="00B5042F">
        <w:rPr>
          <w:rFonts w:asciiTheme="majorHAnsi" w:hAnsiTheme="majorHAnsi"/>
          <w:sz w:val="16"/>
          <w:szCs w:val="16"/>
          <w:lang w:val="es-AR"/>
        </w:rPr>
        <w:t>eran menores de edad</w:t>
      </w:r>
      <w:r>
        <w:rPr>
          <w:rFonts w:asciiTheme="majorHAnsi" w:hAnsiTheme="majorHAnsi"/>
          <w:sz w:val="16"/>
          <w:szCs w:val="16"/>
          <w:lang w:val="es-AR"/>
        </w:rPr>
        <w:t>,</w:t>
      </w:r>
      <w:r w:rsidRPr="00B5042F">
        <w:rPr>
          <w:rFonts w:asciiTheme="majorHAnsi" w:hAnsiTheme="majorHAnsi"/>
          <w:sz w:val="16"/>
          <w:szCs w:val="16"/>
          <w:lang w:val="es-AR"/>
        </w:rPr>
        <w:t xml:space="preserve"> conforme la legislación interna vigente en aquel entonces.</w:t>
      </w:r>
      <w:r>
        <w:rPr>
          <w:rFonts w:asciiTheme="majorHAnsi" w:hAnsiTheme="majorHAnsi"/>
          <w:sz w:val="16"/>
          <w:szCs w:val="16"/>
          <w:lang w:val="es-AR"/>
        </w:rPr>
        <w:t xml:space="preserve"> </w:t>
      </w:r>
    </w:p>
  </w:footnote>
  <w:footnote w:id="6">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Juzgado Correccional No. 8 (Secretaría 63), “BRITEZ ARCE, Cristina s/homicidio culposo”. Expte. No. 2.391.</w:t>
      </w:r>
    </w:p>
  </w:footnote>
  <w:footnote w:id="7">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Juzgado Criminal de Instrucción No. 3 (Secretaría 110), “CASAVILLA, Florencio y otro s/falsificación de documento público”. Expte. No. 21.375/96.</w:t>
      </w:r>
    </w:p>
  </w:footnote>
  <w:footnote w:id="8">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Juzgado Criminal de Instrucción No. 4 (Secretaría 113), “CUERPO MÉDICO FORENSE s/falso testimonio”. Expte. 27.985/98.</w:t>
      </w:r>
    </w:p>
  </w:footnote>
  <w:footnote w:id="9">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14/08, Petición 652-04, Admisibilidad, Hugo Humberto Ruiz Fuentes, Guatemala, 5 de marzo de 2008, párr. 64; CIDH, Informe N° 14/04, Petición 11.568, Admisibilidad, Luis Antonio Galindo Cárdenas, Perú, 27 de febrero de 2004, párr. 39;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83/03, Petición 12.358, Admisibilidad, Octavio Rubén González Acosta, Paraguay, 22 de Octubre de 2003, párr. 23; CIDH, Informe N°05/03, Petición 519-01, Admisibilidad, Jesús María Valle Jaramillo, Colombia, 20 de febrero de 2003, párr. 28;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42/02, Admisibilidad, Petición 11.995, Mariela Morales Caro y otros (Masacre de “La Rochela”), Colombia, 9 de octubre de 2002, </w:t>
      </w:r>
      <w:r w:rsidR="00D1596D">
        <w:rPr>
          <w:rFonts w:asciiTheme="majorHAnsi" w:hAnsiTheme="majorHAnsi"/>
          <w:sz w:val="16"/>
          <w:szCs w:val="16"/>
          <w:lang w:val="es-AR"/>
        </w:rPr>
        <w:t>párr.</w:t>
      </w:r>
      <w:r w:rsidRPr="00B5042F">
        <w:rPr>
          <w:rFonts w:asciiTheme="majorHAnsi" w:hAnsiTheme="majorHAnsi"/>
          <w:sz w:val="16"/>
          <w:szCs w:val="16"/>
          <w:lang w:val="es-AR"/>
        </w:rPr>
        <w:t xml:space="preserve"> 32. </w:t>
      </w:r>
    </w:p>
  </w:footnote>
  <w:footnote w:id="10">
    <w:p w:rsidR="008B676A" w:rsidRPr="00B5042F" w:rsidRDefault="008B676A" w:rsidP="007D4D73">
      <w:pPr>
        <w:spacing w:after="120"/>
        <w:ind w:firstLine="720"/>
        <w:jc w:val="both"/>
        <w:rPr>
          <w:rFonts w:asciiTheme="majorHAnsi" w:hAnsiTheme="majorHAnsi"/>
          <w:sz w:val="16"/>
          <w:szCs w:val="16"/>
          <w:lang w:val="es-AR"/>
        </w:rPr>
      </w:pPr>
      <w:r w:rsidRPr="00B5042F">
        <w:rPr>
          <w:rStyle w:val="FootnoteReference"/>
          <w:rFonts w:asciiTheme="majorHAnsi" w:hAnsiTheme="majorHAnsi" w:cs="Calibri"/>
          <w:sz w:val="16"/>
          <w:szCs w:val="16"/>
        </w:rPr>
        <w:footnoteRef/>
      </w:r>
      <w:r w:rsidRPr="00B5042F">
        <w:rPr>
          <w:rFonts w:asciiTheme="majorHAnsi" w:hAnsiTheme="majorHAnsi" w:cs="Calibri"/>
          <w:sz w:val="16"/>
          <w:szCs w:val="16"/>
          <w:lang w:val="es-AR"/>
        </w:rPr>
        <w:t xml:space="preserve"> </w:t>
      </w:r>
      <w:r w:rsidRPr="00B5042F">
        <w:rPr>
          <w:rFonts w:asciiTheme="majorHAnsi" w:hAnsiTheme="majorHAnsi"/>
          <w:sz w:val="16"/>
          <w:szCs w:val="16"/>
          <w:lang w:val="es-AR"/>
        </w:rPr>
        <w:t xml:space="preserve">CIDH, Informe No. </w:t>
      </w:r>
      <w:r w:rsidRPr="00B5042F">
        <w:rPr>
          <w:rFonts w:asciiTheme="majorHAnsi" w:hAnsiTheme="majorHAnsi"/>
          <w:sz w:val="16"/>
          <w:szCs w:val="16"/>
          <w:lang w:val="es-ES_tradnl"/>
        </w:rPr>
        <w:t xml:space="preserve">99/14, Petición 446-09. Admisibilidad. Luis Alberto Rojas Marín. Perú. </w:t>
      </w:r>
      <w:r w:rsidRPr="00B5042F">
        <w:rPr>
          <w:rFonts w:asciiTheme="majorHAnsi" w:hAnsiTheme="majorHAnsi"/>
          <w:sz w:val="16"/>
          <w:szCs w:val="16"/>
          <w:lang w:val="es-ES"/>
        </w:rPr>
        <w:t xml:space="preserve">6 de noviembre de 2014, </w:t>
      </w:r>
      <w:r w:rsidR="00D1596D">
        <w:rPr>
          <w:rFonts w:asciiTheme="majorHAnsi" w:hAnsiTheme="majorHAnsi"/>
          <w:sz w:val="16"/>
          <w:szCs w:val="16"/>
          <w:lang w:val="es-ES"/>
        </w:rPr>
        <w:t>párr.</w:t>
      </w:r>
      <w:r w:rsidRPr="00B5042F">
        <w:rPr>
          <w:rFonts w:asciiTheme="majorHAnsi" w:hAnsiTheme="majorHAnsi"/>
          <w:sz w:val="16"/>
          <w:szCs w:val="16"/>
          <w:lang w:val="es-ES"/>
        </w:rPr>
        <w:t xml:space="preserve"> </w:t>
      </w:r>
      <w:r w:rsidRPr="00B5042F">
        <w:rPr>
          <w:rFonts w:asciiTheme="majorHAnsi" w:hAnsiTheme="majorHAnsi"/>
          <w:sz w:val="16"/>
          <w:szCs w:val="16"/>
          <w:lang w:val="es-AR"/>
        </w:rPr>
        <w:t xml:space="preserve">44; </w:t>
      </w:r>
      <w:r w:rsidRPr="00B5042F">
        <w:rPr>
          <w:rFonts w:asciiTheme="majorHAnsi" w:hAnsiTheme="majorHAnsi"/>
          <w:sz w:val="16"/>
          <w:szCs w:val="16"/>
          <w:lang w:val="es-ES"/>
        </w:rPr>
        <w:t>CIDH, Informe No. 48/14</w:t>
      </w:r>
      <w:r w:rsidRPr="00B5042F">
        <w:rPr>
          <w:rFonts w:asciiTheme="majorHAnsi" w:hAnsiTheme="majorHAnsi"/>
          <w:sz w:val="16"/>
          <w:szCs w:val="16"/>
          <w:lang w:val="es-ES_tradnl"/>
        </w:rPr>
        <w:t xml:space="preserve">, Petición 11.641. Admisibilidad. Pedro Julio Movilla Galarcio. Colombia. </w:t>
      </w:r>
      <w:r w:rsidRPr="00B5042F">
        <w:rPr>
          <w:rFonts w:asciiTheme="majorHAnsi" w:hAnsiTheme="majorHAnsi"/>
          <w:sz w:val="16"/>
          <w:szCs w:val="16"/>
          <w:lang w:val="es-AR"/>
        </w:rPr>
        <w:t xml:space="preserve">21 de julio de 2014, párr. 31; CIDH, Informe No. 21/14. </w:t>
      </w:r>
      <w:r w:rsidRPr="00B5042F">
        <w:rPr>
          <w:rFonts w:asciiTheme="majorHAnsi" w:hAnsiTheme="majorHAnsi"/>
          <w:sz w:val="16"/>
          <w:szCs w:val="16"/>
          <w:lang w:val="es-ES_tradnl"/>
        </w:rPr>
        <w:t xml:space="preserve">Petición 525-07. Admisibilidad. Baptiste Willer y Frédo Guirant. </w:t>
      </w:r>
      <w:r w:rsidRPr="00B5042F">
        <w:rPr>
          <w:rFonts w:asciiTheme="majorHAnsi" w:hAnsiTheme="majorHAnsi"/>
          <w:sz w:val="16"/>
          <w:szCs w:val="16"/>
          <w:lang w:val="es-AR"/>
        </w:rPr>
        <w:t>Haiti. 4 de abril de 2014, párr. 20; CIDH, Informe No. 38/13; Petición 65-04, Admisibilidad, Jorge Adolfo Freytter Romero y otros, Colombia, 11 de julio de 2013, párr. 32; CIDH, Informe No. 144/10, Petición 1579-07, Admisibilidad, Vecinos de la Aldea de Chichupac y Caserío Xeabaj del Municipio de Rabinal, Guatemala, 1º de noviembre de 2010, párr. 50; CIDH, Informe No. 140/09, Petición 1470-05, Admisibilidad, Miembros del Sindicato de Trabajadores Oficiales y Empleados Públicos de Antioquia (</w:t>
      </w:r>
      <w:r w:rsidRPr="00B5042F">
        <w:rPr>
          <w:rFonts w:asciiTheme="majorHAnsi" w:hAnsiTheme="majorHAnsi"/>
          <w:smallCaps/>
          <w:sz w:val="16"/>
          <w:szCs w:val="16"/>
          <w:lang w:val="es-AR"/>
        </w:rPr>
        <w:t>sintraofan</w:t>
      </w:r>
      <w:r w:rsidRPr="00B5042F">
        <w:rPr>
          <w:rFonts w:asciiTheme="majorHAnsi" w:hAnsiTheme="majorHAnsi"/>
          <w:sz w:val="16"/>
          <w:szCs w:val="16"/>
          <w:lang w:val="es-AR"/>
        </w:rPr>
        <w:t>), Colombia, 30</w:t>
      </w:r>
      <w:r w:rsidR="00AB1796">
        <w:rPr>
          <w:rFonts w:asciiTheme="majorHAnsi" w:hAnsiTheme="majorHAnsi"/>
          <w:sz w:val="16"/>
          <w:szCs w:val="16"/>
          <w:lang w:val="es-AR"/>
        </w:rPr>
        <w:t xml:space="preserve"> de diciembre de 2009, párr. 60.</w:t>
      </w:r>
      <w:r w:rsidRPr="00B5042F">
        <w:rPr>
          <w:rFonts w:asciiTheme="majorHAnsi" w:hAnsiTheme="majorHAnsi"/>
          <w:sz w:val="16"/>
          <w:szCs w:val="16"/>
          <w:lang w:val="es-AR"/>
        </w:rPr>
        <w:t xml:space="preserve"> </w:t>
      </w:r>
    </w:p>
  </w:footnote>
  <w:footnote w:id="11">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Juzgado Correccional No. 8 (Secretaría 63), “BRITEZ ARCE, Cristina s/homicidio culposo”. Expte. No. 2.391.</w:t>
      </w:r>
    </w:p>
  </w:footnote>
  <w:footnote w:id="12">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003F6C0B">
        <w:rPr>
          <w:rFonts w:asciiTheme="majorHAnsi" w:hAnsiTheme="majorHAnsi"/>
          <w:sz w:val="16"/>
          <w:szCs w:val="16"/>
          <w:lang w:val="es-AR"/>
        </w:rPr>
        <w:t xml:space="preserve"> </w:t>
      </w:r>
      <w:r w:rsidRPr="00B5042F">
        <w:rPr>
          <w:rFonts w:asciiTheme="majorHAnsi" w:hAnsiTheme="majorHAnsi"/>
          <w:sz w:val="16"/>
          <w:szCs w:val="16"/>
          <w:lang w:val="es-AR"/>
        </w:rPr>
        <w:t xml:space="preserve">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6/98, Caso 10.382, Ernesto Máximo Rodríguez, Argentina, 21 de febrero de 1998, </w:t>
      </w:r>
      <w:r w:rsidR="00D1596D">
        <w:rPr>
          <w:rFonts w:asciiTheme="majorHAnsi" w:hAnsiTheme="majorHAnsi"/>
          <w:sz w:val="16"/>
          <w:szCs w:val="16"/>
          <w:lang w:val="es-AR"/>
        </w:rPr>
        <w:t>párr.</w:t>
      </w:r>
      <w:r w:rsidRPr="00B5042F">
        <w:rPr>
          <w:rFonts w:asciiTheme="majorHAnsi" w:hAnsiTheme="majorHAnsi"/>
          <w:sz w:val="16"/>
          <w:szCs w:val="16"/>
          <w:lang w:val="es-AR"/>
        </w:rPr>
        <w:t xml:space="preserve"> 62.</w:t>
      </w:r>
    </w:p>
  </w:footnote>
  <w:footnote w:id="13">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En virtud del artículo 124 del Código Procesal Penal de la Nación, los peticionarios se encontraban habilitados a la presentación del recurso hasta las dos primeras horas del día siguiente al vencimiento del plazo. Por cuanto la jornada hábil judicial reglamentaria inicia a las 7.30</w:t>
      </w:r>
      <w:r>
        <w:rPr>
          <w:rFonts w:asciiTheme="majorHAnsi" w:hAnsiTheme="majorHAnsi"/>
          <w:sz w:val="16"/>
          <w:szCs w:val="16"/>
          <w:lang w:val="es-AR"/>
        </w:rPr>
        <w:t xml:space="preserve"> </w:t>
      </w:r>
      <w:r w:rsidRPr="00B5042F">
        <w:rPr>
          <w:rFonts w:asciiTheme="majorHAnsi" w:hAnsiTheme="majorHAnsi"/>
          <w:sz w:val="16"/>
          <w:szCs w:val="16"/>
          <w:lang w:val="es-AR"/>
        </w:rPr>
        <w:t xml:space="preserve">horas del día, dicho plazo se extiende hasta las 9:30 horas del día siguiente al vencimiento del plazo. </w:t>
      </w:r>
      <w:r w:rsidRPr="004D42E4">
        <w:rPr>
          <w:rFonts w:asciiTheme="majorHAnsi" w:hAnsiTheme="majorHAnsi"/>
          <w:i/>
          <w:sz w:val="16"/>
          <w:szCs w:val="16"/>
          <w:lang w:val="es-AR"/>
        </w:rPr>
        <w:t>Cf</w:t>
      </w:r>
      <w:r w:rsidRPr="00B5042F">
        <w:rPr>
          <w:rFonts w:asciiTheme="majorHAnsi" w:hAnsiTheme="majorHAnsi"/>
          <w:sz w:val="16"/>
          <w:szCs w:val="16"/>
          <w:lang w:val="es-AR"/>
        </w:rPr>
        <w:t>. Código Procesal Penal de la Nación, Artículo 164.- “Si el término fijado venciere después de las horas de oficina, el acto que deba cumplirse en ella podrá ser realizado durante las dos primeras horas del día hábil siguiente</w:t>
      </w:r>
      <w:r>
        <w:rPr>
          <w:rFonts w:asciiTheme="majorHAnsi" w:hAnsiTheme="majorHAnsi"/>
          <w:sz w:val="16"/>
          <w:szCs w:val="16"/>
          <w:lang w:val="es-AR"/>
        </w:rPr>
        <w:t>”</w:t>
      </w:r>
      <w:r w:rsidRPr="00B5042F">
        <w:rPr>
          <w:rFonts w:asciiTheme="majorHAnsi" w:hAnsiTheme="majorHAnsi"/>
          <w:sz w:val="16"/>
          <w:szCs w:val="16"/>
          <w:lang w:val="es-AR"/>
        </w:rPr>
        <w:t>.</w:t>
      </w:r>
    </w:p>
  </w:footnote>
  <w:footnote w:id="14">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6/98, Caso 10.382, Ernesto Máximo Rodríguez, Argentina, 21 de febrero de 1998, </w:t>
      </w:r>
      <w:r w:rsidR="00D1596D">
        <w:rPr>
          <w:rFonts w:asciiTheme="majorHAnsi" w:hAnsiTheme="majorHAnsi"/>
          <w:sz w:val="16"/>
          <w:szCs w:val="16"/>
          <w:lang w:val="es-AR"/>
        </w:rPr>
        <w:t>párr.</w:t>
      </w:r>
      <w:r w:rsidRPr="00B5042F">
        <w:rPr>
          <w:rFonts w:asciiTheme="majorHAnsi" w:hAnsiTheme="majorHAnsi"/>
          <w:sz w:val="16"/>
          <w:szCs w:val="16"/>
          <w:lang w:val="es-AR"/>
        </w:rPr>
        <w:t xml:space="preserve"> 48.</w:t>
      </w:r>
    </w:p>
  </w:footnote>
  <w:footnote w:id="15">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No. 52/97, Caso 11.218. Fondo. Arges Sequeira Mangas, Nicaragua, Informe Anual de la CIDH 1997, párr. 97. </w:t>
      </w:r>
      <w:r w:rsidRPr="00B5042F">
        <w:rPr>
          <w:rFonts w:asciiTheme="majorHAnsi" w:hAnsiTheme="majorHAnsi"/>
          <w:i/>
          <w:sz w:val="16"/>
          <w:szCs w:val="16"/>
          <w:lang w:val="es-AR"/>
        </w:rPr>
        <w:t>Ver en igual sentido</w:t>
      </w:r>
      <w:r w:rsidRPr="00B5042F">
        <w:rPr>
          <w:rFonts w:asciiTheme="majorHAnsi" w:hAnsiTheme="majorHAnsi"/>
          <w:sz w:val="16"/>
          <w:szCs w:val="16"/>
          <w:lang w:val="es-AR"/>
        </w:rPr>
        <w:t xml:space="preserve">: CIDH, Informe No. </w:t>
      </w:r>
      <w:r w:rsidRPr="00B5042F">
        <w:rPr>
          <w:rFonts w:asciiTheme="majorHAnsi" w:hAnsiTheme="majorHAnsi"/>
          <w:sz w:val="16"/>
          <w:szCs w:val="16"/>
          <w:lang w:val="es-ES_tradnl"/>
        </w:rPr>
        <w:t xml:space="preserve">99/14, Petición 446-09. Admisibilidad. Luis Alberto Rojas Marín. Perú. </w:t>
      </w:r>
      <w:r w:rsidRPr="00B5042F">
        <w:rPr>
          <w:rFonts w:asciiTheme="majorHAnsi" w:hAnsiTheme="majorHAnsi"/>
          <w:sz w:val="16"/>
          <w:szCs w:val="16"/>
          <w:lang w:val="es-ES"/>
        </w:rPr>
        <w:t xml:space="preserve">6 de noviembre de 2014, </w:t>
      </w:r>
      <w:r w:rsidR="00D1596D">
        <w:rPr>
          <w:rFonts w:asciiTheme="majorHAnsi" w:hAnsiTheme="majorHAnsi"/>
          <w:sz w:val="16"/>
          <w:szCs w:val="16"/>
          <w:lang w:val="es-ES"/>
        </w:rPr>
        <w:t>párr.</w:t>
      </w:r>
      <w:r w:rsidRPr="00B5042F">
        <w:rPr>
          <w:rFonts w:asciiTheme="majorHAnsi" w:hAnsiTheme="majorHAnsi"/>
          <w:sz w:val="16"/>
          <w:szCs w:val="16"/>
          <w:lang w:val="es-ES"/>
        </w:rPr>
        <w:t xml:space="preserve"> </w:t>
      </w:r>
      <w:r w:rsidRPr="00B5042F">
        <w:rPr>
          <w:rFonts w:asciiTheme="majorHAnsi" w:hAnsiTheme="majorHAnsi"/>
          <w:sz w:val="16"/>
          <w:szCs w:val="16"/>
          <w:lang w:val="es-AR"/>
        </w:rPr>
        <w:t>44; CIDH, Informe No. 43/13. Petición 171-06. Admisibilidad. YGSA. Ecuador. 11 de julio de 2013, párr. 30; CIDH, Informe No. 1/11, Admisibilidad, Saúl Filormo Cañar Pauta. Ecuador. 4 de enero de 2011, párr. 30; CIDH, Informe No. 2/10. Petición 1011-03. Admisibilidad. Fredy Marcelo Núñez Naranjo y Otros. Ecuador. 15 de marzo de 2010, párr. 31.</w:t>
      </w:r>
    </w:p>
  </w:footnote>
  <w:footnote w:id="16">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42/02, Admisibilidad, Petición 11.995, Mariela Morales Caro y otros (Masacre de “La Rochela”), Colombia, 9 de octubre de 2002, </w:t>
      </w:r>
      <w:r w:rsidR="00D1596D">
        <w:rPr>
          <w:rFonts w:asciiTheme="majorHAnsi" w:hAnsiTheme="majorHAnsi"/>
          <w:sz w:val="16"/>
          <w:szCs w:val="16"/>
          <w:lang w:val="es-AR"/>
        </w:rPr>
        <w:t>párr.</w:t>
      </w:r>
      <w:r w:rsidRPr="00B5042F">
        <w:rPr>
          <w:rFonts w:asciiTheme="majorHAnsi" w:hAnsiTheme="majorHAnsi"/>
          <w:sz w:val="16"/>
          <w:szCs w:val="16"/>
          <w:lang w:val="es-AR"/>
        </w:rPr>
        <w:t xml:space="preserve"> 32; CIDH, Informe N° 62/00, Caso 11.727, Hernando Osorio Correa, Colombia, 3 de octubre de 2000, </w:t>
      </w:r>
      <w:r w:rsidR="00D1596D">
        <w:rPr>
          <w:rFonts w:asciiTheme="majorHAnsi" w:hAnsiTheme="majorHAnsi"/>
          <w:sz w:val="16"/>
          <w:szCs w:val="16"/>
          <w:lang w:val="es-AR"/>
        </w:rPr>
        <w:t>párr.</w:t>
      </w:r>
      <w:r w:rsidRPr="00B5042F">
        <w:rPr>
          <w:rFonts w:asciiTheme="majorHAnsi" w:hAnsiTheme="majorHAnsi"/>
          <w:sz w:val="16"/>
          <w:szCs w:val="16"/>
          <w:lang w:val="es-AR"/>
        </w:rPr>
        <w:t xml:space="preserve"> 24; CIDH, Informe N° 63/99, Caso 11.427, Víctor Rosario Congo, Ecuador, 13 de abril de 1999, párr. 93.</w:t>
      </w:r>
    </w:p>
  </w:footnote>
  <w:footnote w:id="17">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17/06, Petición 531-01, Admisibilidad, Sebastián Claus Furlan y Familia, Argentina, 2 de marzo de 2006, párr. 39; CIDH, Informe No. 69/08, Petición 681-00, Admisibilidad, Guillermo Patricio Lynn, Argentina, 16 de octubre de 2008, párr. 41.</w:t>
      </w:r>
    </w:p>
  </w:footnote>
  <w:footnote w:id="18">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55/97, Caso 11.137, Juan Carlos Abella, Argentina, 18 de noviembre de 1997, párrs. 264 y 265. </w:t>
      </w:r>
    </w:p>
  </w:footnote>
  <w:footnote w:id="19">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No. 26/08, Petición 270-02, Admisibilidad, César Alberto Mendoza y Otros, Argentina, 14 de marzo de 2008, párr. 72; CIDH, Informe No. 83/09, Caso 11.732, Fondo, Horacio Anibal Schillizzi Moreno, Argentina, 6 de agosto de 2009, párr. 62.</w:t>
      </w:r>
    </w:p>
  </w:footnote>
  <w:footnote w:id="20">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No. 12/10, Admisibilidad, Caso 12.106, Enrique Hermann Pfister Frías y Lucrecia Pfister Frías, Argentina, 16 de marzo de 2010, párr. 39; </w:t>
      </w:r>
      <w:r>
        <w:rPr>
          <w:rFonts w:asciiTheme="majorHAnsi" w:hAnsiTheme="majorHAnsi"/>
          <w:sz w:val="16"/>
          <w:szCs w:val="16"/>
          <w:lang w:val="es-AR"/>
        </w:rPr>
        <w:t xml:space="preserve">CIDH, Informe </w:t>
      </w:r>
      <w:r w:rsidR="00AB1796">
        <w:rPr>
          <w:rFonts w:asciiTheme="majorHAnsi" w:hAnsiTheme="majorHAnsi"/>
          <w:sz w:val="16"/>
          <w:szCs w:val="16"/>
          <w:lang w:val="es-AR"/>
        </w:rPr>
        <w:t>No.</w:t>
      </w:r>
      <w:r>
        <w:rPr>
          <w:rFonts w:asciiTheme="majorHAnsi" w:hAnsiTheme="majorHAnsi"/>
          <w:sz w:val="16"/>
          <w:szCs w:val="16"/>
          <w:lang w:val="es-AR"/>
        </w:rPr>
        <w:t xml:space="preserve"> 117/06, </w:t>
      </w:r>
      <w:r w:rsidRPr="007F48EA">
        <w:rPr>
          <w:rFonts w:asciiTheme="majorHAnsi" w:hAnsiTheme="majorHAnsi"/>
          <w:sz w:val="16"/>
          <w:szCs w:val="16"/>
          <w:lang w:val="es-AR"/>
        </w:rPr>
        <w:t>Petición 1070-04</w:t>
      </w:r>
      <w:r>
        <w:rPr>
          <w:rFonts w:asciiTheme="majorHAnsi" w:hAnsiTheme="majorHAnsi"/>
          <w:sz w:val="16"/>
          <w:szCs w:val="16"/>
          <w:lang w:val="es-AR"/>
        </w:rPr>
        <w:t xml:space="preserve">, </w:t>
      </w:r>
      <w:r w:rsidRPr="007F48EA">
        <w:rPr>
          <w:rFonts w:asciiTheme="majorHAnsi" w:hAnsiTheme="majorHAnsi"/>
          <w:sz w:val="16"/>
          <w:szCs w:val="16"/>
          <w:lang w:val="es-AR"/>
        </w:rPr>
        <w:t>Admisibilidad</w:t>
      </w:r>
      <w:r>
        <w:rPr>
          <w:rFonts w:asciiTheme="majorHAnsi" w:hAnsiTheme="majorHAnsi"/>
          <w:sz w:val="16"/>
          <w:szCs w:val="16"/>
          <w:lang w:val="es-AR"/>
        </w:rPr>
        <w:t xml:space="preserve">, </w:t>
      </w:r>
      <w:r w:rsidRPr="007F48EA">
        <w:rPr>
          <w:rFonts w:asciiTheme="majorHAnsi" w:hAnsiTheme="majorHAnsi"/>
          <w:sz w:val="16"/>
          <w:szCs w:val="16"/>
          <w:lang w:val="es-AR"/>
        </w:rPr>
        <w:t xml:space="preserve">Milagros Fornerón </w:t>
      </w:r>
      <w:r>
        <w:rPr>
          <w:rFonts w:asciiTheme="majorHAnsi" w:hAnsiTheme="majorHAnsi"/>
          <w:sz w:val="16"/>
          <w:szCs w:val="16"/>
          <w:lang w:val="es-AR"/>
        </w:rPr>
        <w:t xml:space="preserve">y </w:t>
      </w:r>
      <w:r w:rsidRPr="007F48EA">
        <w:rPr>
          <w:rFonts w:asciiTheme="majorHAnsi" w:hAnsiTheme="majorHAnsi"/>
          <w:sz w:val="16"/>
          <w:szCs w:val="16"/>
          <w:lang w:val="es-AR"/>
        </w:rPr>
        <w:t>Leonardo Aníbal Javier Fornerón</w:t>
      </w:r>
      <w:r>
        <w:rPr>
          <w:rFonts w:asciiTheme="majorHAnsi" w:hAnsiTheme="majorHAnsi"/>
          <w:sz w:val="16"/>
          <w:szCs w:val="16"/>
          <w:lang w:val="es-AR"/>
        </w:rPr>
        <w:t xml:space="preserve">, </w:t>
      </w:r>
      <w:r w:rsidRPr="007F48EA">
        <w:rPr>
          <w:rFonts w:asciiTheme="majorHAnsi" w:hAnsiTheme="majorHAnsi"/>
          <w:sz w:val="16"/>
          <w:szCs w:val="16"/>
          <w:lang w:val="es-AR"/>
        </w:rPr>
        <w:t>Argentina</w:t>
      </w:r>
      <w:r>
        <w:rPr>
          <w:rFonts w:asciiTheme="majorHAnsi" w:hAnsiTheme="majorHAnsi"/>
          <w:sz w:val="16"/>
          <w:szCs w:val="16"/>
          <w:lang w:val="es-AR"/>
        </w:rPr>
        <w:t xml:space="preserve">, </w:t>
      </w:r>
      <w:r w:rsidRPr="007F48EA">
        <w:rPr>
          <w:rFonts w:asciiTheme="majorHAnsi" w:hAnsiTheme="majorHAnsi"/>
          <w:sz w:val="16"/>
          <w:szCs w:val="16"/>
          <w:lang w:val="es-AR"/>
        </w:rPr>
        <w:t>26 de octubre de 2006</w:t>
      </w:r>
      <w:r>
        <w:rPr>
          <w:rFonts w:asciiTheme="majorHAnsi" w:hAnsiTheme="majorHAnsi"/>
          <w:sz w:val="16"/>
          <w:szCs w:val="16"/>
          <w:lang w:val="es-AR"/>
        </w:rPr>
        <w:t xml:space="preserve">, párr. 42; </w:t>
      </w:r>
      <w:r w:rsidRPr="00B5042F">
        <w:rPr>
          <w:rFonts w:asciiTheme="majorHAnsi" w:hAnsiTheme="majorHAnsi"/>
          <w:sz w:val="16"/>
          <w:szCs w:val="16"/>
          <w:lang w:val="es-AR"/>
        </w:rPr>
        <w:t xml:space="preserve">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17/06, Petición 531-01, Admisibilidad, Sebastián Claus Furlan y Familia, Argentina, 2 de marzo de 2006, párr. 40; CIDH, Informe </w:t>
      </w:r>
      <w:r w:rsidR="00AB1796">
        <w:rPr>
          <w:rFonts w:asciiTheme="majorHAnsi" w:hAnsiTheme="majorHAnsi"/>
          <w:sz w:val="16"/>
          <w:szCs w:val="16"/>
          <w:lang w:val="es-AR"/>
        </w:rPr>
        <w:t>No.</w:t>
      </w:r>
      <w:r w:rsidRPr="00B5042F">
        <w:rPr>
          <w:rFonts w:asciiTheme="majorHAnsi" w:hAnsiTheme="majorHAnsi"/>
          <w:sz w:val="16"/>
          <w:szCs w:val="16"/>
          <w:lang w:val="es-AR"/>
        </w:rPr>
        <w:t xml:space="preserve"> 104/99, Caso 11.400, Eolo Margaroli y Josefina Ghiringhelli de Margaroli, Argentina, </w:t>
      </w:r>
      <w:r>
        <w:rPr>
          <w:rFonts w:asciiTheme="majorHAnsi" w:hAnsiTheme="majorHAnsi"/>
          <w:sz w:val="16"/>
          <w:szCs w:val="16"/>
          <w:lang w:val="es-AR"/>
        </w:rPr>
        <w:t>27 de septiembre de 1</w:t>
      </w:r>
      <w:r w:rsidRPr="00B5042F">
        <w:rPr>
          <w:rFonts w:asciiTheme="majorHAnsi" w:hAnsiTheme="majorHAnsi"/>
          <w:sz w:val="16"/>
          <w:szCs w:val="16"/>
          <w:lang w:val="es-AR"/>
        </w:rPr>
        <w:t>999</w:t>
      </w:r>
      <w:r w:rsidR="00AB1796">
        <w:rPr>
          <w:rFonts w:asciiTheme="majorHAnsi" w:hAnsiTheme="majorHAnsi"/>
          <w:sz w:val="16"/>
          <w:szCs w:val="16"/>
          <w:lang w:val="es-AR"/>
        </w:rPr>
        <w:t>.</w:t>
      </w:r>
    </w:p>
  </w:footnote>
  <w:footnote w:id="21">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No. 66/09, Petición 920-03, Admisibilidad, Marcos Gilberto Chaves y Sandra Beatriz Chaves, Argentina, 4 de agosto de 2009, párr. </w:t>
      </w:r>
      <w:r>
        <w:rPr>
          <w:rFonts w:asciiTheme="majorHAnsi" w:hAnsiTheme="majorHAnsi"/>
          <w:sz w:val="16"/>
          <w:szCs w:val="16"/>
          <w:lang w:val="es-AR"/>
        </w:rPr>
        <w:t>8</w:t>
      </w:r>
      <w:r w:rsidRPr="00B5042F">
        <w:rPr>
          <w:rFonts w:asciiTheme="majorHAnsi" w:hAnsiTheme="majorHAnsi"/>
          <w:sz w:val="16"/>
          <w:szCs w:val="16"/>
          <w:lang w:val="es-AR"/>
        </w:rPr>
        <w:t>.</w:t>
      </w:r>
    </w:p>
  </w:footnote>
  <w:footnote w:id="22">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Pr="00B5042F">
        <w:rPr>
          <w:rFonts w:asciiTheme="majorHAnsi" w:hAnsiTheme="majorHAnsi"/>
          <w:sz w:val="16"/>
          <w:szCs w:val="16"/>
          <w:lang w:val="es-AR"/>
        </w:rPr>
        <w:t xml:space="preserve"> CIDH, Informe No. 66/09, Petición 920-03, Admisibilidad, Marcos Gilberto Chaves y Sandra Beatriz Chaves, Argentina, 4 de agosto de 2009, párr. 21.</w:t>
      </w:r>
    </w:p>
  </w:footnote>
  <w:footnote w:id="23">
    <w:p w:rsidR="008B676A" w:rsidRPr="00B5042F" w:rsidRDefault="008B676A" w:rsidP="007D4D73">
      <w:pPr>
        <w:pStyle w:val="FootnoteText"/>
        <w:spacing w:after="120"/>
        <w:ind w:firstLine="720"/>
        <w:jc w:val="both"/>
        <w:rPr>
          <w:rFonts w:asciiTheme="majorHAnsi" w:hAnsiTheme="majorHAnsi"/>
          <w:sz w:val="16"/>
          <w:szCs w:val="16"/>
          <w:lang w:val="es-AR"/>
        </w:rPr>
      </w:pPr>
      <w:r w:rsidRPr="00B5042F">
        <w:rPr>
          <w:rStyle w:val="FootnoteReference"/>
          <w:rFonts w:asciiTheme="majorHAnsi" w:hAnsiTheme="majorHAnsi"/>
          <w:sz w:val="16"/>
          <w:szCs w:val="16"/>
        </w:rPr>
        <w:footnoteRef/>
      </w:r>
      <w:r w:rsidR="00EA5BD3">
        <w:rPr>
          <w:rFonts w:asciiTheme="majorHAnsi" w:hAnsiTheme="majorHAnsi"/>
          <w:sz w:val="16"/>
          <w:szCs w:val="16"/>
          <w:lang w:val="es-AR"/>
        </w:rPr>
        <w:t xml:space="preserve"> </w:t>
      </w:r>
      <w:r w:rsidR="00AB1796">
        <w:rPr>
          <w:rFonts w:asciiTheme="majorHAnsi" w:hAnsiTheme="majorHAnsi"/>
          <w:i/>
          <w:sz w:val="16"/>
          <w:szCs w:val="16"/>
          <w:lang w:val="es-AR"/>
        </w:rPr>
        <w:t>Ver</w:t>
      </w:r>
      <w:r w:rsidRPr="00AB1796">
        <w:rPr>
          <w:rFonts w:asciiTheme="majorHAnsi" w:hAnsiTheme="majorHAnsi"/>
          <w:i/>
          <w:sz w:val="16"/>
          <w:szCs w:val="16"/>
          <w:lang w:val="es-AR"/>
        </w:rPr>
        <w:t xml:space="preserve"> entre otros</w:t>
      </w:r>
      <w:r w:rsidRPr="00B5042F">
        <w:rPr>
          <w:rFonts w:asciiTheme="majorHAnsi" w:hAnsiTheme="majorHAnsi"/>
          <w:sz w:val="16"/>
          <w:szCs w:val="16"/>
          <w:lang w:val="es-AR"/>
        </w:rPr>
        <w:t xml:space="preserve">: CIDH, Informe No. 92/14, Petición P-1196-03. Admisibilidad. Daniel Omar Camusso e hijo. Argentina. 4 de noviembre de 2014, </w:t>
      </w:r>
      <w:r w:rsidR="00D1596D">
        <w:rPr>
          <w:rFonts w:asciiTheme="majorHAnsi" w:hAnsiTheme="majorHAnsi"/>
          <w:sz w:val="16"/>
          <w:szCs w:val="16"/>
          <w:lang w:val="es-AR"/>
        </w:rPr>
        <w:t>párr.</w:t>
      </w:r>
      <w:r w:rsidRPr="00B5042F">
        <w:rPr>
          <w:rFonts w:asciiTheme="majorHAnsi" w:hAnsiTheme="majorHAnsi"/>
          <w:sz w:val="16"/>
          <w:szCs w:val="16"/>
          <w:lang w:val="es-AR"/>
        </w:rPr>
        <w:t xml:space="preserve"> 80; CIDH. Informe 8/10. Caso 12.374. Admisibilidad. Jorge Enrique Patiño Palacios y otros. Paraguay. 16 de marzo de 2010. </w:t>
      </w:r>
      <w:r w:rsidR="00AB1796">
        <w:rPr>
          <w:rFonts w:asciiTheme="majorHAnsi" w:hAnsiTheme="majorHAnsi"/>
          <w:sz w:val="16"/>
          <w:szCs w:val="16"/>
          <w:lang w:val="es-AR"/>
        </w:rPr>
        <w:t>párr</w:t>
      </w:r>
      <w:r w:rsidRPr="00B5042F">
        <w:rPr>
          <w:rFonts w:asciiTheme="majorHAnsi" w:hAnsiTheme="majorHAnsi"/>
          <w:sz w:val="16"/>
          <w:szCs w:val="16"/>
          <w:lang w:val="es-AR"/>
        </w:rPr>
        <w:t xml:space="preserve">. 31; CIDH. Informe 20/05. Petición 716/00. Admisibilidad. Rafael Correa Díaz. Perú. 25 de febrero de 2005. </w:t>
      </w:r>
      <w:r w:rsidR="00AB1796">
        <w:rPr>
          <w:rFonts w:asciiTheme="majorHAnsi" w:hAnsiTheme="majorHAnsi"/>
          <w:sz w:val="16"/>
          <w:szCs w:val="16"/>
          <w:lang w:val="es-AR"/>
        </w:rPr>
        <w:t>p</w:t>
      </w:r>
      <w:r w:rsidRPr="00B5042F">
        <w:rPr>
          <w:rFonts w:asciiTheme="majorHAnsi" w:hAnsiTheme="majorHAnsi"/>
          <w:sz w:val="16"/>
          <w:szCs w:val="16"/>
          <w:lang w:val="es-AR"/>
        </w:rPr>
        <w:t>árr.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6A" w:rsidRDefault="008B676A" w:rsidP="00E71FB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B676A" w:rsidRDefault="008B6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6A" w:rsidRDefault="008B676A" w:rsidP="00A50FCF">
    <w:pPr>
      <w:pStyle w:val="Header"/>
      <w:tabs>
        <w:tab w:val="clear" w:pos="4320"/>
        <w:tab w:val="clear" w:pos="8640"/>
      </w:tabs>
      <w:jc w:val="center"/>
      <w:rPr>
        <w:sz w:val="22"/>
        <w:szCs w:val="22"/>
      </w:rPr>
    </w:pPr>
    <w:r>
      <w:rPr>
        <w:noProof/>
        <w:sz w:val="22"/>
        <w:szCs w:val="22"/>
      </w:rPr>
      <w:drawing>
        <wp:inline distT="0" distB="0" distL="0" distR="0" wp14:anchorId="67F7611A" wp14:editId="18550A8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B676A" w:rsidRPr="00EC7D62" w:rsidRDefault="002B081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66536C7"/>
    <w:multiLevelType w:val="hybridMultilevel"/>
    <w:tmpl w:val="5DFE7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BFE6718"/>
    <w:multiLevelType w:val="hybridMultilevel"/>
    <w:tmpl w:val="D85A70D4"/>
    <w:lvl w:ilvl="0" w:tplc="C84EFCFC">
      <w:start w:val="1"/>
      <w:numFmt w:val="decimal"/>
      <w:lvlText w:val="%1."/>
      <w:lvlJc w:val="left"/>
      <w:pPr>
        <w:tabs>
          <w:tab w:val="num" w:pos="720"/>
        </w:tabs>
        <w:ind w:left="720" w:hanging="360"/>
      </w:pPr>
      <w:rPr>
        <w:rFonts w:hint="default"/>
      </w:rPr>
    </w:lvl>
    <w:lvl w:ilvl="1" w:tplc="5EC417BC">
      <w:start w:val="1"/>
      <w:numFmt w:val="upperLetter"/>
      <w:pStyle w:val="Heading2"/>
      <w:lvlText w:val="%2."/>
      <w:lvlJc w:val="left"/>
      <w:pPr>
        <w:ind w:left="1788" w:hanging="708"/>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5DA3681"/>
    <w:multiLevelType w:val="hybridMultilevel"/>
    <w:tmpl w:val="7CD0AFA2"/>
    <w:lvl w:ilvl="0" w:tplc="B4E2F916">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DF66C7C2"/>
    <w:lvl w:ilvl="0" w:tplc="153E5F4E">
      <w:start w:val="1"/>
      <w:numFmt w:val="upperRoman"/>
      <w:pStyle w:val="Heading1"/>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B9B2B96"/>
    <w:multiLevelType w:val="hybridMultilevel"/>
    <w:tmpl w:val="25A48DEA"/>
    <w:lvl w:ilvl="0" w:tplc="D44E3E08">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19"/>
  </w:num>
  <w:num w:numId="5">
    <w:abstractNumId w:val="45"/>
  </w:num>
  <w:num w:numId="6">
    <w:abstractNumId w:val="24"/>
  </w:num>
  <w:num w:numId="7">
    <w:abstractNumId w:val="5"/>
  </w:num>
  <w:num w:numId="8">
    <w:abstractNumId w:val="15"/>
  </w:num>
  <w:num w:numId="9">
    <w:abstractNumId w:val="38"/>
  </w:num>
  <w:num w:numId="10">
    <w:abstractNumId w:val="0"/>
  </w:num>
  <w:num w:numId="11">
    <w:abstractNumId w:val="33"/>
  </w:num>
  <w:num w:numId="12">
    <w:abstractNumId w:val="34"/>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5"/>
  </w:num>
  <w:num w:numId="40">
    <w:abstractNumId w:val="36"/>
  </w:num>
  <w:num w:numId="41">
    <w:abstractNumId w:val="43"/>
  </w:num>
  <w:num w:numId="42">
    <w:abstractNumId w:val="46"/>
  </w:num>
  <w:num w:numId="43">
    <w:abstractNumId w:val="47"/>
  </w:num>
  <w:num w:numId="44">
    <w:abstractNumId w:val="49"/>
  </w:num>
  <w:num w:numId="45">
    <w:abstractNumId w:val="50"/>
  </w:num>
  <w:num w:numId="46">
    <w:abstractNumId w:val="52"/>
  </w:num>
  <w:num w:numId="47">
    <w:abstractNumId w:val="54"/>
  </w:num>
  <w:num w:numId="48">
    <w:abstractNumId w:val="55"/>
  </w:num>
  <w:num w:numId="49">
    <w:abstractNumId w:val="56"/>
  </w:num>
  <w:num w:numId="50">
    <w:abstractNumId w:val="57"/>
  </w:num>
  <w:num w:numId="51">
    <w:abstractNumId w:val="18"/>
  </w:num>
  <w:num w:numId="52">
    <w:abstractNumId w:val="37"/>
  </w:num>
  <w:num w:numId="53">
    <w:abstractNumId w:val="48"/>
  </w:num>
  <w:num w:numId="54">
    <w:abstractNumId w:val="41"/>
  </w:num>
  <w:num w:numId="55">
    <w:abstractNumId w:val="42"/>
  </w:num>
  <w:num w:numId="56">
    <w:abstractNumId w:val="53"/>
  </w:num>
  <w:num w:numId="57">
    <w:abstractNumId w:val="39"/>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32E2"/>
    <w:rsid w:val="00033630"/>
    <w:rsid w:val="00033C21"/>
    <w:rsid w:val="00035858"/>
    <w:rsid w:val="00036362"/>
    <w:rsid w:val="00040C3A"/>
    <w:rsid w:val="0005647B"/>
    <w:rsid w:val="00056EB9"/>
    <w:rsid w:val="00057850"/>
    <w:rsid w:val="000716C5"/>
    <w:rsid w:val="00075E23"/>
    <w:rsid w:val="0008304F"/>
    <w:rsid w:val="0008332A"/>
    <w:rsid w:val="0008373D"/>
    <w:rsid w:val="000863B2"/>
    <w:rsid w:val="0009344A"/>
    <w:rsid w:val="000955C3"/>
    <w:rsid w:val="00095A18"/>
    <w:rsid w:val="000A392E"/>
    <w:rsid w:val="000A4327"/>
    <w:rsid w:val="000A44BC"/>
    <w:rsid w:val="000A575F"/>
    <w:rsid w:val="000B1525"/>
    <w:rsid w:val="000B2D2A"/>
    <w:rsid w:val="000C7CE6"/>
    <w:rsid w:val="000D10DB"/>
    <w:rsid w:val="000D53A9"/>
    <w:rsid w:val="000E27F6"/>
    <w:rsid w:val="000E5EB5"/>
    <w:rsid w:val="000F35ED"/>
    <w:rsid w:val="000F41DC"/>
    <w:rsid w:val="00102490"/>
    <w:rsid w:val="0010299D"/>
    <w:rsid w:val="00104706"/>
    <w:rsid w:val="00107126"/>
    <w:rsid w:val="00107131"/>
    <w:rsid w:val="0010736F"/>
    <w:rsid w:val="00113F73"/>
    <w:rsid w:val="00117DD4"/>
    <w:rsid w:val="00121CC2"/>
    <w:rsid w:val="00125111"/>
    <w:rsid w:val="00131F4B"/>
    <w:rsid w:val="00133EE5"/>
    <w:rsid w:val="00143336"/>
    <w:rsid w:val="0015103B"/>
    <w:rsid w:val="0015547F"/>
    <w:rsid w:val="00155B1B"/>
    <w:rsid w:val="001617D6"/>
    <w:rsid w:val="00167A34"/>
    <w:rsid w:val="00177D09"/>
    <w:rsid w:val="00181555"/>
    <w:rsid w:val="00181B9D"/>
    <w:rsid w:val="00185D13"/>
    <w:rsid w:val="0019686B"/>
    <w:rsid w:val="001A5E09"/>
    <w:rsid w:val="001A7870"/>
    <w:rsid w:val="001B57B4"/>
    <w:rsid w:val="001B7ACF"/>
    <w:rsid w:val="001C1B41"/>
    <w:rsid w:val="001D29AE"/>
    <w:rsid w:val="001D2ED1"/>
    <w:rsid w:val="001D3A48"/>
    <w:rsid w:val="001D65EF"/>
    <w:rsid w:val="001E5E5D"/>
    <w:rsid w:val="001F31F9"/>
    <w:rsid w:val="001F61C1"/>
    <w:rsid w:val="00214E96"/>
    <w:rsid w:val="00221D5A"/>
    <w:rsid w:val="00222D22"/>
    <w:rsid w:val="002250A3"/>
    <w:rsid w:val="0023306D"/>
    <w:rsid w:val="00235217"/>
    <w:rsid w:val="00237AD3"/>
    <w:rsid w:val="002440B2"/>
    <w:rsid w:val="00246D1F"/>
    <w:rsid w:val="00247403"/>
    <w:rsid w:val="00247542"/>
    <w:rsid w:val="0025737F"/>
    <w:rsid w:val="00260CC6"/>
    <w:rsid w:val="00260F8C"/>
    <w:rsid w:val="00262937"/>
    <w:rsid w:val="002656BC"/>
    <w:rsid w:val="0026646E"/>
    <w:rsid w:val="00266B61"/>
    <w:rsid w:val="0026712A"/>
    <w:rsid w:val="002704DB"/>
    <w:rsid w:val="002844B5"/>
    <w:rsid w:val="002868AD"/>
    <w:rsid w:val="00287638"/>
    <w:rsid w:val="002A0AAE"/>
    <w:rsid w:val="002A1295"/>
    <w:rsid w:val="002A38E1"/>
    <w:rsid w:val="002A53CC"/>
    <w:rsid w:val="002A5820"/>
    <w:rsid w:val="002A7431"/>
    <w:rsid w:val="002B0815"/>
    <w:rsid w:val="002C3E6E"/>
    <w:rsid w:val="002C7EEE"/>
    <w:rsid w:val="002D2B26"/>
    <w:rsid w:val="002D6048"/>
    <w:rsid w:val="002D7B82"/>
    <w:rsid w:val="002D7EA2"/>
    <w:rsid w:val="002E03F1"/>
    <w:rsid w:val="002E187C"/>
    <w:rsid w:val="002F5B51"/>
    <w:rsid w:val="00302733"/>
    <w:rsid w:val="00303242"/>
    <w:rsid w:val="003102BD"/>
    <w:rsid w:val="00312FAE"/>
    <w:rsid w:val="00313534"/>
    <w:rsid w:val="00314078"/>
    <w:rsid w:val="0031535D"/>
    <w:rsid w:val="00317EDB"/>
    <w:rsid w:val="003267CC"/>
    <w:rsid w:val="00326F64"/>
    <w:rsid w:val="003303B5"/>
    <w:rsid w:val="0033169F"/>
    <w:rsid w:val="0033627F"/>
    <w:rsid w:val="00342DED"/>
    <w:rsid w:val="00344A87"/>
    <w:rsid w:val="003458B7"/>
    <w:rsid w:val="00346C95"/>
    <w:rsid w:val="00352B76"/>
    <w:rsid w:val="00354513"/>
    <w:rsid w:val="00356185"/>
    <w:rsid w:val="00360380"/>
    <w:rsid w:val="00363A7D"/>
    <w:rsid w:val="0037519E"/>
    <w:rsid w:val="00380016"/>
    <w:rsid w:val="00382EB6"/>
    <w:rsid w:val="00383C69"/>
    <w:rsid w:val="00386CF0"/>
    <w:rsid w:val="00393ADF"/>
    <w:rsid w:val="003A5E90"/>
    <w:rsid w:val="003A66ED"/>
    <w:rsid w:val="003B5F25"/>
    <w:rsid w:val="003C676B"/>
    <w:rsid w:val="003C6EBE"/>
    <w:rsid w:val="003C7D09"/>
    <w:rsid w:val="003D0484"/>
    <w:rsid w:val="003D127E"/>
    <w:rsid w:val="003D2B17"/>
    <w:rsid w:val="003D3BC2"/>
    <w:rsid w:val="003D41E0"/>
    <w:rsid w:val="003E18EC"/>
    <w:rsid w:val="003E55C7"/>
    <w:rsid w:val="003E69A9"/>
    <w:rsid w:val="003E6CA1"/>
    <w:rsid w:val="003F4823"/>
    <w:rsid w:val="003F6C0B"/>
    <w:rsid w:val="003F7051"/>
    <w:rsid w:val="00404C49"/>
    <w:rsid w:val="004061AE"/>
    <w:rsid w:val="004113CF"/>
    <w:rsid w:val="00411423"/>
    <w:rsid w:val="00412A64"/>
    <w:rsid w:val="004165C2"/>
    <w:rsid w:val="004168ED"/>
    <w:rsid w:val="00420471"/>
    <w:rsid w:val="00425D78"/>
    <w:rsid w:val="00427DC0"/>
    <w:rsid w:val="004358CC"/>
    <w:rsid w:val="004404CF"/>
    <w:rsid w:val="00441D99"/>
    <w:rsid w:val="00441ECB"/>
    <w:rsid w:val="004430B1"/>
    <w:rsid w:val="00446FF8"/>
    <w:rsid w:val="004601AE"/>
    <w:rsid w:val="00462823"/>
    <w:rsid w:val="00465BB1"/>
    <w:rsid w:val="00467B7E"/>
    <w:rsid w:val="00470B94"/>
    <w:rsid w:val="0047708B"/>
    <w:rsid w:val="00477592"/>
    <w:rsid w:val="0048403A"/>
    <w:rsid w:val="00484E82"/>
    <w:rsid w:val="00486F1C"/>
    <w:rsid w:val="00491A0C"/>
    <w:rsid w:val="0049419D"/>
    <w:rsid w:val="004A0F36"/>
    <w:rsid w:val="004A3CD9"/>
    <w:rsid w:val="004A4000"/>
    <w:rsid w:val="004A62C0"/>
    <w:rsid w:val="004C20D2"/>
    <w:rsid w:val="004C4B62"/>
    <w:rsid w:val="004C54C9"/>
    <w:rsid w:val="004C64BE"/>
    <w:rsid w:val="004D08AA"/>
    <w:rsid w:val="004D42E4"/>
    <w:rsid w:val="004D6025"/>
    <w:rsid w:val="004D78A5"/>
    <w:rsid w:val="004E14C6"/>
    <w:rsid w:val="004E218D"/>
    <w:rsid w:val="004E2649"/>
    <w:rsid w:val="004E4AAD"/>
    <w:rsid w:val="004F1816"/>
    <w:rsid w:val="004F2EAD"/>
    <w:rsid w:val="004F5560"/>
    <w:rsid w:val="00501399"/>
    <w:rsid w:val="0050633D"/>
    <w:rsid w:val="00507BC4"/>
    <w:rsid w:val="005128E4"/>
    <w:rsid w:val="005133DB"/>
    <w:rsid w:val="005162FD"/>
    <w:rsid w:val="005167A9"/>
    <w:rsid w:val="00520200"/>
    <w:rsid w:val="005237B3"/>
    <w:rsid w:val="00524ADD"/>
    <w:rsid w:val="00525560"/>
    <w:rsid w:val="005301A8"/>
    <w:rsid w:val="005409CC"/>
    <w:rsid w:val="00544C49"/>
    <w:rsid w:val="00547A5C"/>
    <w:rsid w:val="0055091F"/>
    <w:rsid w:val="005516A1"/>
    <w:rsid w:val="00555F59"/>
    <w:rsid w:val="00557852"/>
    <w:rsid w:val="00560276"/>
    <w:rsid w:val="00561889"/>
    <w:rsid w:val="005652DB"/>
    <w:rsid w:val="00566F5F"/>
    <w:rsid w:val="00573202"/>
    <w:rsid w:val="0057402A"/>
    <w:rsid w:val="00574402"/>
    <w:rsid w:val="00575DC5"/>
    <w:rsid w:val="005771D0"/>
    <w:rsid w:val="00582FDE"/>
    <w:rsid w:val="0059191A"/>
    <w:rsid w:val="005921FF"/>
    <w:rsid w:val="005941AA"/>
    <w:rsid w:val="0059420D"/>
    <w:rsid w:val="0059653F"/>
    <w:rsid w:val="00597D62"/>
    <w:rsid w:val="005A0FFB"/>
    <w:rsid w:val="005A1CD1"/>
    <w:rsid w:val="005A6D0E"/>
    <w:rsid w:val="005A7748"/>
    <w:rsid w:val="005B1D22"/>
    <w:rsid w:val="005B52B0"/>
    <w:rsid w:val="005B6806"/>
    <w:rsid w:val="005C4225"/>
    <w:rsid w:val="005D00C3"/>
    <w:rsid w:val="005D76FB"/>
    <w:rsid w:val="005D7AA4"/>
    <w:rsid w:val="005E2BBD"/>
    <w:rsid w:val="005E78A9"/>
    <w:rsid w:val="005E7FCF"/>
    <w:rsid w:val="005F0ABA"/>
    <w:rsid w:val="005F0DAD"/>
    <w:rsid w:val="005F0F33"/>
    <w:rsid w:val="005F4FE5"/>
    <w:rsid w:val="006000CB"/>
    <w:rsid w:val="00600DEB"/>
    <w:rsid w:val="00605089"/>
    <w:rsid w:val="00607DEC"/>
    <w:rsid w:val="00612D38"/>
    <w:rsid w:val="00616349"/>
    <w:rsid w:val="00616825"/>
    <w:rsid w:val="00620214"/>
    <w:rsid w:val="00627594"/>
    <w:rsid w:val="00627C9F"/>
    <w:rsid w:val="006311E9"/>
    <w:rsid w:val="0063164C"/>
    <w:rsid w:val="0063168E"/>
    <w:rsid w:val="00632354"/>
    <w:rsid w:val="00637226"/>
    <w:rsid w:val="00642810"/>
    <w:rsid w:val="006450FE"/>
    <w:rsid w:val="006501DC"/>
    <w:rsid w:val="00652333"/>
    <w:rsid w:val="00652B7C"/>
    <w:rsid w:val="00655C22"/>
    <w:rsid w:val="0068009E"/>
    <w:rsid w:val="00684693"/>
    <w:rsid w:val="00684DA0"/>
    <w:rsid w:val="0068610D"/>
    <w:rsid w:val="00690C91"/>
    <w:rsid w:val="00691969"/>
    <w:rsid w:val="00692219"/>
    <w:rsid w:val="006A17D2"/>
    <w:rsid w:val="006A1B81"/>
    <w:rsid w:val="006A73E6"/>
    <w:rsid w:val="006A7F4E"/>
    <w:rsid w:val="006B10F2"/>
    <w:rsid w:val="006B2D5C"/>
    <w:rsid w:val="006B74C8"/>
    <w:rsid w:val="006C0C16"/>
    <w:rsid w:val="006C1DFB"/>
    <w:rsid w:val="006C4E22"/>
    <w:rsid w:val="006C4EB1"/>
    <w:rsid w:val="006C5008"/>
    <w:rsid w:val="006D5797"/>
    <w:rsid w:val="006E0166"/>
    <w:rsid w:val="006E0CCF"/>
    <w:rsid w:val="006E26A5"/>
    <w:rsid w:val="006E6171"/>
    <w:rsid w:val="006E6D85"/>
    <w:rsid w:val="006E7263"/>
    <w:rsid w:val="006E7B34"/>
    <w:rsid w:val="006F0B37"/>
    <w:rsid w:val="006F1663"/>
    <w:rsid w:val="006F176C"/>
    <w:rsid w:val="006F2E51"/>
    <w:rsid w:val="0070078A"/>
    <w:rsid w:val="0070697F"/>
    <w:rsid w:val="00714830"/>
    <w:rsid w:val="00714846"/>
    <w:rsid w:val="007214D6"/>
    <w:rsid w:val="0072199C"/>
    <w:rsid w:val="00722C9F"/>
    <w:rsid w:val="007253B8"/>
    <w:rsid w:val="007347A7"/>
    <w:rsid w:val="0073741F"/>
    <w:rsid w:val="00737568"/>
    <w:rsid w:val="0075114B"/>
    <w:rsid w:val="00757FF3"/>
    <w:rsid w:val="0076082B"/>
    <w:rsid w:val="0076643F"/>
    <w:rsid w:val="007674A5"/>
    <w:rsid w:val="00772561"/>
    <w:rsid w:val="00777026"/>
    <w:rsid w:val="00777113"/>
    <w:rsid w:val="00777F63"/>
    <w:rsid w:val="007817AD"/>
    <w:rsid w:val="00784A53"/>
    <w:rsid w:val="00786EB7"/>
    <w:rsid w:val="0078760B"/>
    <w:rsid w:val="0079560C"/>
    <w:rsid w:val="00796A0C"/>
    <w:rsid w:val="007A1E10"/>
    <w:rsid w:val="007A3B7B"/>
    <w:rsid w:val="007A5283"/>
    <w:rsid w:val="007A5817"/>
    <w:rsid w:val="007B0975"/>
    <w:rsid w:val="007B124A"/>
    <w:rsid w:val="007B60E9"/>
    <w:rsid w:val="007B6CC3"/>
    <w:rsid w:val="007C301E"/>
    <w:rsid w:val="007C3334"/>
    <w:rsid w:val="007C6716"/>
    <w:rsid w:val="007D2B98"/>
    <w:rsid w:val="007D497B"/>
    <w:rsid w:val="007D4D73"/>
    <w:rsid w:val="007D686E"/>
    <w:rsid w:val="007D7E3C"/>
    <w:rsid w:val="007E21BC"/>
    <w:rsid w:val="007E526D"/>
    <w:rsid w:val="007E57E1"/>
    <w:rsid w:val="007F48EA"/>
    <w:rsid w:val="0080154D"/>
    <w:rsid w:val="008032E5"/>
    <w:rsid w:val="00803F1C"/>
    <w:rsid w:val="00804063"/>
    <w:rsid w:val="00805C91"/>
    <w:rsid w:val="0080600E"/>
    <w:rsid w:val="008119B3"/>
    <w:rsid w:val="00817612"/>
    <w:rsid w:val="0082488D"/>
    <w:rsid w:val="00827796"/>
    <w:rsid w:val="008338A4"/>
    <w:rsid w:val="00835367"/>
    <w:rsid w:val="00835CFF"/>
    <w:rsid w:val="00837C45"/>
    <w:rsid w:val="00841144"/>
    <w:rsid w:val="0084245B"/>
    <w:rsid w:val="00844730"/>
    <w:rsid w:val="00845296"/>
    <w:rsid w:val="008457C2"/>
    <w:rsid w:val="00857A82"/>
    <w:rsid w:val="00860313"/>
    <w:rsid w:val="00870D4C"/>
    <w:rsid w:val="00873836"/>
    <w:rsid w:val="008810E3"/>
    <w:rsid w:val="00883016"/>
    <w:rsid w:val="00885737"/>
    <w:rsid w:val="008859D8"/>
    <w:rsid w:val="00890650"/>
    <w:rsid w:val="00894166"/>
    <w:rsid w:val="008968DC"/>
    <w:rsid w:val="00897E12"/>
    <w:rsid w:val="008A309B"/>
    <w:rsid w:val="008A7E0F"/>
    <w:rsid w:val="008B12F5"/>
    <w:rsid w:val="008B676A"/>
    <w:rsid w:val="008B7AFA"/>
    <w:rsid w:val="008B7CB8"/>
    <w:rsid w:val="008C4FE1"/>
    <w:rsid w:val="008C5B78"/>
    <w:rsid w:val="008D25CD"/>
    <w:rsid w:val="008D29C1"/>
    <w:rsid w:val="008D4FEA"/>
    <w:rsid w:val="008D768D"/>
    <w:rsid w:val="008E0C6C"/>
    <w:rsid w:val="008E113A"/>
    <w:rsid w:val="008E3759"/>
    <w:rsid w:val="008E4989"/>
    <w:rsid w:val="008E5E6C"/>
    <w:rsid w:val="008F1912"/>
    <w:rsid w:val="008F6D64"/>
    <w:rsid w:val="008F77FA"/>
    <w:rsid w:val="00900F9F"/>
    <w:rsid w:val="00901153"/>
    <w:rsid w:val="00901672"/>
    <w:rsid w:val="0090270B"/>
    <w:rsid w:val="00903D29"/>
    <w:rsid w:val="009041DC"/>
    <w:rsid w:val="0090563B"/>
    <w:rsid w:val="00906913"/>
    <w:rsid w:val="00907DF9"/>
    <w:rsid w:val="00911CB3"/>
    <w:rsid w:val="009131BE"/>
    <w:rsid w:val="00915B62"/>
    <w:rsid w:val="00915F85"/>
    <w:rsid w:val="00917B5A"/>
    <w:rsid w:val="00920A58"/>
    <w:rsid w:val="00920A8C"/>
    <w:rsid w:val="00922DE3"/>
    <w:rsid w:val="00934A2C"/>
    <w:rsid w:val="00937338"/>
    <w:rsid w:val="00940189"/>
    <w:rsid w:val="00940C20"/>
    <w:rsid w:val="009427FF"/>
    <w:rsid w:val="009461DA"/>
    <w:rsid w:val="00946EE2"/>
    <w:rsid w:val="00962D9A"/>
    <w:rsid w:val="0096706E"/>
    <w:rsid w:val="00967A74"/>
    <w:rsid w:val="00975C4E"/>
    <w:rsid w:val="00981FBA"/>
    <w:rsid w:val="0098722E"/>
    <w:rsid w:val="00987376"/>
    <w:rsid w:val="009902B5"/>
    <w:rsid w:val="00997BC5"/>
    <w:rsid w:val="009A04EF"/>
    <w:rsid w:val="009A14B2"/>
    <w:rsid w:val="009A4F41"/>
    <w:rsid w:val="009B0EB6"/>
    <w:rsid w:val="009B376F"/>
    <w:rsid w:val="009B381B"/>
    <w:rsid w:val="009B5460"/>
    <w:rsid w:val="009B55D3"/>
    <w:rsid w:val="009C1E05"/>
    <w:rsid w:val="009D025C"/>
    <w:rsid w:val="009D1753"/>
    <w:rsid w:val="009D3666"/>
    <w:rsid w:val="009D66EA"/>
    <w:rsid w:val="009D7611"/>
    <w:rsid w:val="009E0B61"/>
    <w:rsid w:val="009E53DE"/>
    <w:rsid w:val="00A014E6"/>
    <w:rsid w:val="00A03481"/>
    <w:rsid w:val="00A03566"/>
    <w:rsid w:val="00A06730"/>
    <w:rsid w:val="00A3170C"/>
    <w:rsid w:val="00A328B3"/>
    <w:rsid w:val="00A33BCC"/>
    <w:rsid w:val="00A40AA9"/>
    <w:rsid w:val="00A508B7"/>
    <w:rsid w:val="00A50FCF"/>
    <w:rsid w:val="00A525C4"/>
    <w:rsid w:val="00A528D1"/>
    <w:rsid w:val="00A610CD"/>
    <w:rsid w:val="00A65393"/>
    <w:rsid w:val="00A73B77"/>
    <w:rsid w:val="00A76566"/>
    <w:rsid w:val="00A76C2A"/>
    <w:rsid w:val="00A82B0B"/>
    <w:rsid w:val="00A83B56"/>
    <w:rsid w:val="00A8682D"/>
    <w:rsid w:val="00A939C8"/>
    <w:rsid w:val="00AA09A2"/>
    <w:rsid w:val="00AA59EB"/>
    <w:rsid w:val="00AA6292"/>
    <w:rsid w:val="00AA788F"/>
    <w:rsid w:val="00AA7996"/>
    <w:rsid w:val="00AB072C"/>
    <w:rsid w:val="00AB1796"/>
    <w:rsid w:val="00AB2A7D"/>
    <w:rsid w:val="00AC19CB"/>
    <w:rsid w:val="00AC1F35"/>
    <w:rsid w:val="00AC4CC3"/>
    <w:rsid w:val="00AC4D65"/>
    <w:rsid w:val="00AC77B7"/>
    <w:rsid w:val="00AC7AA3"/>
    <w:rsid w:val="00AD5853"/>
    <w:rsid w:val="00AE24D3"/>
    <w:rsid w:val="00AE5488"/>
    <w:rsid w:val="00AE59EE"/>
    <w:rsid w:val="00AE6F91"/>
    <w:rsid w:val="00AE761D"/>
    <w:rsid w:val="00AF03B4"/>
    <w:rsid w:val="00AF38FF"/>
    <w:rsid w:val="00AF5571"/>
    <w:rsid w:val="00B03F4B"/>
    <w:rsid w:val="00B04543"/>
    <w:rsid w:val="00B07341"/>
    <w:rsid w:val="00B074E5"/>
    <w:rsid w:val="00B11313"/>
    <w:rsid w:val="00B14E57"/>
    <w:rsid w:val="00B21BE7"/>
    <w:rsid w:val="00B21C50"/>
    <w:rsid w:val="00B226A7"/>
    <w:rsid w:val="00B23344"/>
    <w:rsid w:val="00B23A5A"/>
    <w:rsid w:val="00B24568"/>
    <w:rsid w:val="00B30539"/>
    <w:rsid w:val="00B314DB"/>
    <w:rsid w:val="00B361F2"/>
    <w:rsid w:val="00B3718B"/>
    <w:rsid w:val="00B40A24"/>
    <w:rsid w:val="00B4632A"/>
    <w:rsid w:val="00B46A3F"/>
    <w:rsid w:val="00B5042F"/>
    <w:rsid w:val="00B530F1"/>
    <w:rsid w:val="00B65E59"/>
    <w:rsid w:val="00B66602"/>
    <w:rsid w:val="00B803CB"/>
    <w:rsid w:val="00B91500"/>
    <w:rsid w:val="00B9489D"/>
    <w:rsid w:val="00BA0562"/>
    <w:rsid w:val="00BA1EE1"/>
    <w:rsid w:val="00BA2020"/>
    <w:rsid w:val="00BA276C"/>
    <w:rsid w:val="00BA4509"/>
    <w:rsid w:val="00BB05DF"/>
    <w:rsid w:val="00BB16F3"/>
    <w:rsid w:val="00BB306F"/>
    <w:rsid w:val="00BB6915"/>
    <w:rsid w:val="00BC110F"/>
    <w:rsid w:val="00BC643C"/>
    <w:rsid w:val="00BC66B5"/>
    <w:rsid w:val="00BD4B89"/>
    <w:rsid w:val="00BE0CDA"/>
    <w:rsid w:val="00BE1DD7"/>
    <w:rsid w:val="00BE2884"/>
    <w:rsid w:val="00BF0BD8"/>
    <w:rsid w:val="00BF5D04"/>
    <w:rsid w:val="00BF6862"/>
    <w:rsid w:val="00BF6FD8"/>
    <w:rsid w:val="00C02D45"/>
    <w:rsid w:val="00C03680"/>
    <w:rsid w:val="00C054DF"/>
    <w:rsid w:val="00C12B25"/>
    <w:rsid w:val="00C14E7D"/>
    <w:rsid w:val="00C21762"/>
    <w:rsid w:val="00C219B2"/>
    <w:rsid w:val="00C24543"/>
    <w:rsid w:val="00C256A2"/>
    <w:rsid w:val="00C259DC"/>
    <w:rsid w:val="00C27B33"/>
    <w:rsid w:val="00C3684C"/>
    <w:rsid w:val="00C47AF1"/>
    <w:rsid w:val="00C51515"/>
    <w:rsid w:val="00C51AF4"/>
    <w:rsid w:val="00C52181"/>
    <w:rsid w:val="00C53D72"/>
    <w:rsid w:val="00C5660B"/>
    <w:rsid w:val="00C605DE"/>
    <w:rsid w:val="00C60D22"/>
    <w:rsid w:val="00C60DED"/>
    <w:rsid w:val="00C62483"/>
    <w:rsid w:val="00C66B72"/>
    <w:rsid w:val="00C66FD4"/>
    <w:rsid w:val="00C742A6"/>
    <w:rsid w:val="00C81906"/>
    <w:rsid w:val="00C857BE"/>
    <w:rsid w:val="00C8756E"/>
    <w:rsid w:val="00C9567A"/>
    <w:rsid w:val="00CB212D"/>
    <w:rsid w:val="00CB2660"/>
    <w:rsid w:val="00CB2C27"/>
    <w:rsid w:val="00CB781C"/>
    <w:rsid w:val="00CC0A9D"/>
    <w:rsid w:val="00CC0C99"/>
    <w:rsid w:val="00CC182A"/>
    <w:rsid w:val="00CC38ED"/>
    <w:rsid w:val="00CC41C2"/>
    <w:rsid w:val="00CC5E90"/>
    <w:rsid w:val="00CC7999"/>
    <w:rsid w:val="00CD046C"/>
    <w:rsid w:val="00CE076C"/>
    <w:rsid w:val="00CE34E4"/>
    <w:rsid w:val="00CE4F11"/>
    <w:rsid w:val="00CE5199"/>
    <w:rsid w:val="00CE66D5"/>
    <w:rsid w:val="00CF0175"/>
    <w:rsid w:val="00CF637A"/>
    <w:rsid w:val="00CF69B4"/>
    <w:rsid w:val="00CF7334"/>
    <w:rsid w:val="00D027B8"/>
    <w:rsid w:val="00D059DE"/>
    <w:rsid w:val="00D13FCE"/>
    <w:rsid w:val="00D14D28"/>
    <w:rsid w:val="00D1596D"/>
    <w:rsid w:val="00D306D1"/>
    <w:rsid w:val="00D308F3"/>
    <w:rsid w:val="00D34786"/>
    <w:rsid w:val="00D371F0"/>
    <w:rsid w:val="00D37BFC"/>
    <w:rsid w:val="00D42938"/>
    <w:rsid w:val="00D44F02"/>
    <w:rsid w:val="00D47A8E"/>
    <w:rsid w:val="00D52D14"/>
    <w:rsid w:val="00D631D9"/>
    <w:rsid w:val="00D712D3"/>
    <w:rsid w:val="00D71422"/>
    <w:rsid w:val="00D72DC6"/>
    <w:rsid w:val="00D73E9D"/>
    <w:rsid w:val="00D7462A"/>
    <w:rsid w:val="00D7558D"/>
    <w:rsid w:val="00D81D92"/>
    <w:rsid w:val="00D95F4C"/>
    <w:rsid w:val="00DA1370"/>
    <w:rsid w:val="00DA7B5F"/>
    <w:rsid w:val="00DB09A9"/>
    <w:rsid w:val="00DB1A66"/>
    <w:rsid w:val="00DB6964"/>
    <w:rsid w:val="00DC03B8"/>
    <w:rsid w:val="00DC11E7"/>
    <w:rsid w:val="00DC265D"/>
    <w:rsid w:val="00DC7023"/>
    <w:rsid w:val="00DC769A"/>
    <w:rsid w:val="00DD3D86"/>
    <w:rsid w:val="00DD40F8"/>
    <w:rsid w:val="00DD5598"/>
    <w:rsid w:val="00DE0731"/>
    <w:rsid w:val="00DE2779"/>
    <w:rsid w:val="00DF151B"/>
    <w:rsid w:val="00DF1EC4"/>
    <w:rsid w:val="00DF25E5"/>
    <w:rsid w:val="00DF48DE"/>
    <w:rsid w:val="00E0340B"/>
    <w:rsid w:val="00E04A90"/>
    <w:rsid w:val="00E11E68"/>
    <w:rsid w:val="00E136F2"/>
    <w:rsid w:val="00E141A0"/>
    <w:rsid w:val="00E14224"/>
    <w:rsid w:val="00E178C3"/>
    <w:rsid w:val="00E21857"/>
    <w:rsid w:val="00E219C7"/>
    <w:rsid w:val="00E22D24"/>
    <w:rsid w:val="00E23B07"/>
    <w:rsid w:val="00E322F4"/>
    <w:rsid w:val="00E36589"/>
    <w:rsid w:val="00E3746C"/>
    <w:rsid w:val="00E376F8"/>
    <w:rsid w:val="00E43157"/>
    <w:rsid w:val="00E461CE"/>
    <w:rsid w:val="00E5455D"/>
    <w:rsid w:val="00E55E68"/>
    <w:rsid w:val="00E56933"/>
    <w:rsid w:val="00E662B8"/>
    <w:rsid w:val="00E71F9F"/>
    <w:rsid w:val="00E71FBF"/>
    <w:rsid w:val="00E720CA"/>
    <w:rsid w:val="00E84700"/>
    <w:rsid w:val="00E84EB5"/>
    <w:rsid w:val="00E85662"/>
    <w:rsid w:val="00E8789F"/>
    <w:rsid w:val="00E91BF6"/>
    <w:rsid w:val="00E93E94"/>
    <w:rsid w:val="00E97B71"/>
    <w:rsid w:val="00EA22C4"/>
    <w:rsid w:val="00EA3D34"/>
    <w:rsid w:val="00EA4EB4"/>
    <w:rsid w:val="00EA5BD3"/>
    <w:rsid w:val="00EB3C14"/>
    <w:rsid w:val="00EB454D"/>
    <w:rsid w:val="00EB45B0"/>
    <w:rsid w:val="00EC0AD4"/>
    <w:rsid w:val="00EC1CF2"/>
    <w:rsid w:val="00ED6E58"/>
    <w:rsid w:val="00ED76BE"/>
    <w:rsid w:val="00EE20F3"/>
    <w:rsid w:val="00EE6EB4"/>
    <w:rsid w:val="00EF382E"/>
    <w:rsid w:val="00EF4A89"/>
    <w:rsid w:val="00EF619B"/>
    <w:rsid w:val="00EF73FA"/>
    <w:rsid w:val="00EF74CF"/>
    <w:rsid w:val="00F00B55"/>
    <w:rsid w:val="00F00C1B"/>
    <w:rsid w:val="00F01240"/>
    <w:rsid w:val="00F027A8"/>
    <w:rsid w:val="00F02AD1"/>
    <w:rsid w:val="00F03BF3"/>
    <w:rsid w:val="00F11272"/>
    <w:rsid w:val="00F121B4"/>
    <w:rsid w:val="00F1271B"/>
    <w:rsid w:val="00F2233A"/>
    <w:rsid w:val="00F253B0"/>
    <w:rsid w:val="00F253CC"/>
    <w:rsid w:val="00F31103"/>
    <w:rsid w:val="00F32828"/>
    <w:rsid w:val="00F36CCE"/>
    <w:rsid w:val="00F37106"/>
    <w:rsid w:val="00F4030A"/>
    <w:rsid w:val="00F403B0"/>
    <w:rsid w:val="00F454BF"/>
    <w:rsid w:val="00F473AE"/>
    <w:rsid w:val="00F519CF"/>
    <w:rsid w:val="00F54972"/>
    <w:rsid w:val="00F56BA5"/>
    <w:rsid w:val="00F60E22"/>
    <w:rsid w:val="00F64CF9"/>
    <w:rsid w:val="00F66DEE"/>
    <w:rsid w:val="00F67C81"/>
    <w:rsid w:val="00F81395"/>
    <w:rsid w:val="00F85895"/>
    <w:rsid w:val="00F917D1"/>
    <w:rsid w:val="00F92680"/>
    <w:rsid w:val="00F9653B"/>
    <w:rsid w:val="00FA0AAD"/>
    <w:rsid w:val="00FA325F"/>
    <w:rsid w:val="00FA4C1C"/>
    <w:rsid w:val="00FB344E"/>
    <w:rsid w:val="00FB4531"/>
    <w:rsid w:val="00FB62CF"/>
    <w:rsid w:val="00FC0549"/>
    <w:rsid w:val="00FC2A3E"/>
    <w:rsid w:val="00FD320A"/>
    <w:rsid w:val="00FD3C3B"/>
    <w:rsid w:val="00FD4F59"/>
    <w:rsid w:val="00FD5A42"/>
    <w:rsid w:val="00FE0875"/>
    <w:rsid w:val="00FE1DB0"/>
    <w:rsid w:val="00FE5EE5"/>
    <w:rsid w:val="00FE6B45"/>
    <w:rsid w:val="00FE705C"/>
    <w:rsid w:val="00FE7DFE"/>
    <w:rsid w:val="00FF31AC"/>
    <w:rsid w:val="00FF55F3"/>
    <w:rsid w:val="00FF5851"/>
    <w:rsid w:val="00FF5FC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D4D73"/>
    <w:pPr>
      <w:keepNext/>
      <w:keepLines/>
      <w:numPr>
        <w:numId w:val="53"/>
      </w:numPr>
      <w:tabs>
        <w:tab w:val="left" w:pos="0"/>
      </w:tabs>
      <w:ind w:left="0" w:firstLine="720"/>
      <w:outlineLvl w:val="0"/>
    </w:pPr>
    <w:rPr>
      <w:rFonts w:asciiTheme="majorHAnsi" w:eastAsiaTheme="majorEastAsia" w:hAnsiTheme="majorHAnsi" w:cstheme="majorBidi"/>
      <w:b/>
      <w:bCs/>
      <w:sz w:val="20"/>
      <w:szCs w:val="20"/>
      <w:lang w:val="es-ES_tradnl"/>
    </w:rPr>
  </w:style>
  <w:style w:type="paragraph" w:styleId="Heading2">
    <w:name w:val="heading 2"/>
    <w:basedOn w:val="ListParagraph"/>
    <w:next w:val="Normal"/>
    <w:link w:val="Heading2Char"/>
    <w:qFormat/>
    <w:rsid w:val="00F66DEE"/>
    <w:pPr>
      <w:numPr>
        <w:ilvl w:val="1"/>
        <w:numId w:val="55"/>
      </w:numPr>
      <w:ind w:left="1440" w:hanging="720"/>
      <w:outlineLvl w:val="1"/>
    </w:pPr>
    <w:rPr>
      <w:sz w:val="20"/>
      <w:szCs w:val="20"/>
      <w:lang w:val="es-ES_tradnl"/>
    </w:rPr>
  </w:style>
  <w:style w:type="paragraph" w:styleId="Heading3">
    <w:name w:val="heading 3"/>
    <w:basedOn w:val="ListParagraph"/>
    <w:next w:val="Normal"/>
    <w:link w:val="Heading3Char"/>
    <w:qFormat/>
    <w:rsid w:val="0023306D"/>
    <w:pPr>
      <w:numPr>
        <w:numId w:val="56"/>
      </w:numPr>
      <w:tabs>
        <w:tab w:val="left" w:pos="720"/>
        <w:tab w:val="left" w:pos="1440"/>
        <w:tab w:val="center" w:pos="4680"/>
        <w:tab w:val="left" w:pos="6511"/>
      </w:tabs>
      <w:outlineLvl w:val="2"/>
    </w:pPr>
    <w:rPr>
      <w:rFonts w:cs="Calibri"/>
      <w:color w:val="auto"/>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D4D73"/>
    <w:rPr>
      <w:rFonts w:asciiTheme="majorHAnsi" w:eastAsiaTheme="majorEastAsia" w:hAnsiTheme="majorHAnsi" w:cstheme="majorBidi"/>
      <w:b/>
      <w:bCs/>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F66DEE"/>
    <w:rPr>
      <w:rFonts w:ascii="Cambria" w:eastAsia="Cambria" w:hAnsi="Cambria" w:cs="Cambria"/>
      <w:color w:val="000000"/>
      <w:u w:color="000000"/>
      <w:lang w:val="es-ES_tradnl"/>
    </w:rPr>
  </w:style>
  <w:style w:type="character" w:customStyle="1" w:styleId="Heading3Char">
    <w:name w:val="Heading 3 Char"/>
    <w:basedOn w:val="DefaultParagraphFont"/>
    <w:link w:val="Heading3"/>
    <w:rsid w:val="0023306D"/>
    <w:rPr>
      <w:rFonts w:ascii="Cambria" w:eastAsia="Cambria" w:hAnsi="Cambria" w:cs="Calibri"/>
      <w:u w:color="000000"/>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FF5FCF"/>
  </w:style>
  <w:style w:type="character" w:customStyle="1" w:styleId="apple-converted-space">
    <w:name w:val="apple-converted-space"/>
    <w:basedOn w:val="DefaultParagraphFont"/>
    <w:rsid w:val="00DC2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D4D73"/>
    <w:pPr>
      <w:keepNext/>
      <w:keepLines/>
      <w:numPr>
        <w:numId w:val="53"/>
      </w:numPr>
      <w:tabs>
        <w:tab w:val="left" w:pos="0"/>
      </w:tabs>
      <w:ind w:left="0" w:firstLine="720"/>
      <w:outlineLvl w:val="0"/>
    </w:pPr>
    <w:rPr>
      <w:rFonts w:asciiTheme="majorHAnsi" w:eastAsiaTheme="majorEastAsia" w:hAnsiTheme="majorHAnsi" w:cstheme="majorBidi"/>
      <w:b/>
      <w:bCs/>
      <w:sz w:val="20"/>
      <w:szCs w:val="20"/>
      <w:lang w:val="es-ES_tradnl"/>
    </w:rPr>
  </w:style>
  <w:style w:type="paragraph" w:styleId="Heading2">
    <w:name w:val="heading 2"/>
    <w:basedOn w:val="ListParagraph"/>
    <w:next w:val="Normal"/>
    <w:link w:val="Heading2Char"/>
    <w:qFormat/>
    <w:rsid w:val="00F66DEE"/>
    <w:pPr>
      <w:numPr>
        <w:ilvl w:val="1"/>
        <w:numId w:val="55"/>
      </w:numPr>
      <w:ind w:left="1440" w:hanging="720"/>
      <w:outlineLvl w:val="1"/>
    </w:pPr>
    <w:rPr>
      <w:sz w:val="20"/>
      <w:szCs w:val="20"/>
      <w:lang w:val="es-ES_tradnl"/>
    </w:rPr>
  </w:style>
  <w:style w:type="paragraph" w:styleId="Heading3">
    <w:name w:val="heading 3"/>
    <w:basedOn w:val="ListParagraph"/>
    <w:next w:val="Normal"/>
    <w:link w:val="Heading3Char"/>
    <w:qFormat/>
    <w:rsid w:val="0023306D"/>
    <w:pPr>
      <w:numPr>
        <w:numId w:val="56"/>
      </w:numPr>
      <w:tabs>
        <w:tab w:val="left" w:pos="720"/>
        <w:tab w:val="left" w:pos="1440"/>
        <w:tab w:val="center" w:pos="4680"/>
        <w:tab w:val="left" w:pos="6511"/>
      </w:tabs>
      <w:outlineLvl w:val="2"/>
    </w:pPr>
    <w:rPr>
      <w:rFonts w:cs="Calibri"/>
      <w:color w:val="auto"/>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D4D73"/>
    <w:rPr>
      <w:rFonts w:asciiTheme="majorHAnsi" w:eastAsiaTheme="majorEastAsia" w:hAnsiTheme="majorHAnsi" w:cstheme="majorBidi"/>
      <w:b/>
      <w:bCs/>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F66DEE"/>
    <w:rPr>
      <w:rFonts w:ascii="Cambria" w:eastAsia="Cambria" w:hAnsi="Cambria" w:cs="Cambria"/>
      <w:color w:val="000000"/>
      <w:u w:color="000000"/>
      <w:lang w:val="es-ES_tradnl"/>
    </w:rPr>
  </w:style>
  <w:style w:type="character" w:customStyle="1" w:styleId="Heading3Char">
    <w:name w:val="Heading 3 Char"/>
    <w:basedOn w:val="DefaultParagraphFont"/>
    <w:link w:val="Heading3"/>
    <w:rsid w:val="0023306D"/>
    <w:rPr>
      <w:rFonts w:ascii="Cambria" w:eastAsia="Cambria" w:hAnsi="Cambria" w:cs="Calibri"/>
      <w:u w:color="000000"/>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FF5FCF"/>
  </w:style>
  <w:style w:type="character" w:customStyle="1" w:styleId="apple-converted-space">
    <w:name w:val="apple-converted-space"/>
    <w:basedOn w:val="DefaultParagraphFont"/>
    <w:rsid w:val="00DC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716">
      <w:bodyDiv w:val="1"/>
      <w:marLeft w:val="0"/>
      <w:marRight w:val="0"/>
      <w:marTop w:val="0"/>
      <w:marBottom w:val="0"/>
      <w:divBdr>
        <w:top w:val="none" w:sz="0" w:space="0" w:color="auto"/>
        <w:left w:val="none" w:sz="0" w:space="0" w:color="auto"/>
        <w:bottom w:val="none" w:sz="0" w:space="0" w:color="auto"/>
        <w:right w:val="none" w:sz="0" w:space="0" w:color="auto"/>
      </w:divBdr>
    </w:div>
    <w:div w:id="296297312">
      <w:bodyDiv w:val="1"/>
      <w:marLeft w:val="0"/>
      <w:marRight w:val="0"/>
      <w:marTop w:val="0"/>
      <w:marBottom w:val="0"/>
      <w:divBdr>
        <w:top w:val="none" w:sz="0" w:space="0" w:color="auto"/>
        <w:left w:val="none" w:sz="0" w:space="0" w:color="auto"/>
        <w:bottom w:val="none" w:sz="0" w:space="0" w:color="auto"/>
        <w:right w:val="none" w:sz="0" w:space="0" w:color="auto"/>
      </w:divBdr>
    </w:div>
    <w:div w:id="534346407">
      <w:bodyDiv w:val="1"/>
      <w:marLeft w:val="0"/>
      <w:marRight w:val="0"/>
      <w:marTop w:val="0"/>
      <w:marBottom w:val="0"/>
      <w:divBdr>
        <w:top w:val="none" w:sz="0" w:space="0" w:color="auto"/>
        <w:left w:val="none" w:sz="0" w:space="0" w:color="auto"/>
        <w:bottom w:val="none" w:sz="0" w:space="0" w:color="auto"/>
        <w:right w:val="none" w:sz="0" w:space="0" w:color="auto"/>
      </w:divBdr>
    </w:div>
    <w:div w:id="554774452">
      <w:bodyDiv w:val="1"/>
      <w:marLeft w:val="0"/>
      <w:marRight w:val="0"/>
      <w:marTop w:val="0"/>
      <w:marBottom w:val="0"/>
      <w:divBdr>
        <w:top w:val="none" w:sz="0" w:space="0" w:color="auto"/>
        <w:left w:val="none" w:sz="0" w:space="0" w:color="auto"/>
        <w:bottom w:val="none" w:sz="0" w:space="0" w:color="auto"/>
        <w:right w:val="none" w:sz="0" w:space="0" w:color="auto"/>
      </w:divBdr>
    </w:div>
    <w:div w:id="569192982">
      <w:bodyDiv w:val="1"/>
      <w:marLeft w:val="0"/>
      <w:marRight w:val="0"/>
      <w:marTop w:val="0"/>
      <w:marBottom w:val="0"/>
      <w:divBdr>
        <w:top w:val="none" w:sz="0" w:space="0" w:color="auto"/>
        <w:left w:val="none" w:sz="0" w:space="0" w:color="auto"/>
        <w:bottom w:val="none" w:sz="0" w:space="0" w:color="auto"/>
        <w:right w:val="none" w:sz="0" w:space="0" w:color="auto"/>
      </w:divBdr>
    </w:div>
    <w:div w:id="608005800">
      <w:bodyDiv w:val="1"/>
      <w:marLeft w:val="0"/>
      <w:marRight w:val="0"/>
      <w:marTop w:val="0"/>
      <w:marBottom w:val="0"/>
      <w:divBdr>
        <w:top w:val="none" w:sz="0" w:space="0" w:color="auto"/>
        <w:left w:val="none" w:sz="0" w:space="0" w:color="auto"/>
        <w:bottom w:val="none" w:sz="0" w:space="0" w:color="auto"/>
        <w:right w:val="none" w:sz="0" w:space="0" w:color="auto"/>
      </w:divBdr>
    </w:div>
    <w:div w:id="768506901">
      <w:bodyDiv w:val="1"/>
      <w:marLeft w:val="0"/>
      <w:marRight w:val="0"/>
      <w:marTop w:val="0"/>
      <w:marBottom w:val="0"/>
      <w:divBdr>
        <w:top w:val="none" w:sz="0" w:space="0" w:color="auto"/>
        <w:left w:val="none" w:sz="0" w:space="0" w:color="auto"/>
        <w:bottom w:val="none" w:sz="0" w:space="0" w:color="auto"/>
        <w:right w:val="none" w:sz="0" w:space="0" w:color="auto"/>
      </w:divBdr>
    </w:div>
    <w:div w:id="854811747">
      <w:bodyDiv w:val="1"/>
      <w:marLeft w:val="0"/>
      <w:marRight w:val="0"/>
      <w:marTop w:val="0"/>
      <w:marBottom w:val="0"/>
      <w:divBdr>
        <w:top w:val="none" w:sz="0" w:space="0" w:color="auto"/>
        <w:left w:val="none" w:sz="0" w:space="0" w:color="auto"/>
        <w:bottom w:val="none" w:sz="0" w:space="0" w:color="auto"/>
        <w:right w:val="none" w:sz="0" w:space="0" w:color="auto"/>
      </w:divBdr>
    </w:div>
    <w:div w:id="1016923548">
      <w:bodyDiv w:val="1"/>
      <w:marLeft w:val="0"/>
      <w:marRight w:val="0"/>
      <w:marTop w:val="0"/>
      <w:marBottom w:val="0"/>
      <w:divBdr>
        <w:top w:val="none" w:sz="0" w:space="0" w:color="auto"/>
        <w:left w:val="none" w:sz="0" w:space="0" w:color="auto"/>
        <w:bottom w:val="none" w:sz="0" w:space="0" w:color="auto"/>
        <w:right w:val="none" w:sz="0" w:space="0" w:color="auto"/>
      </w:divBdr>
    </w:div>
    <w:div w:id="1029913903">
      <w:bodyDiv w:val="1"/>
      <w:marLeft w:val="0"/>
      <w:marRight w:val="0"/>
      <w:marTop w:val="0"/>
      <w:marBottom w:val="0"/>
      <w:divBdr>
        <w:top w:val="none" w:sz="0" w:space="0" w:color="auto"/>
        <w:left w:val="none" w:sz="0" w:space="0" w:color="auto"/>
        <w:bottom w:val="none" w:sz="0" w:space="0" w:color="auto"/>
        <w:right w:val="none" w:sz="0" w:space="0" w:color="auto"/>
      </w:divBdr>
    </w:div>
    <w:div w:id="1040744278">
      <w:bodyDiv w:val="1"/>
      <w:marLeft w:val="0"/>
      <w:marRight w:val="0"/>
      <w:marTop w:val="0"/>
      <w:marBottom w:val="0"/>
      <w:divBdr>
        <w:top w:val="none" w:sz="0" w:space="0" w:color="auto"/>
        <w:left w:val="none" w:sz="0" w:space="0" w:color="auto"/>
        <w:bottom w:val="none" w:sz="0" w:space="0" w:color="auto"/>
        <w:right w:val="none" w:sz="0" w:space="0" w:color="auto"/>
      </w:divBdr>
    </w:div>
    <w:div w:id="1080367161">
      <w:bodyDiv w:val="1"/>
      <w:marLeft w:val="0"/>
      <w:marRight w:val="0"/>
      <w:marTop w:val="0"/>
      <w:marBottom w:val="0"/>
      <w:divBdr>
        <w:top w:val="none" w:sz="0" w:space="0" w:color="auto"/>
        <w:left w:val="none" w:sz="0" w:space="0" w:color="auto"/>
        <w:bottom w:val="none" w:sz="0" w:space="0" w:color="auto"/>
        <w:right w:val="none" w:sz="0" w:space="0" w:color="auto"/>
      </w:divBdr>
    </w:div>
    <w:div w:id="163331882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6795082">
      <w:bodyDiv w:val="1"/>
      <w:marLeft w:val="0"/>
      <w:marRight w:val="0"/>
      <w:marTop w:val="0"/>
      <w:marBottom w:val="0"/>
      <w:divBdr>
        <w:top w:val="none" w:sz="0" w:space="0" w:color="auto"/>
        <w:left w:val="none" w:sz="0" w:space="0" w:color="auto"/>
        <w:bottom w:val="none" w:sz="0" w:space="0" w:color="auto"/>
        <w:right w:val="none" w:sz="0" w:space="0" w:color="auto"/>
      </w:divBdr>
    </w:div>
    <w:div w:id="2048868119">
      <w:bodyDiv w:val="1"/>
      <w:marLeft w:val="0"/>
      <w:marRight w:val="0"/>
      <w:marTop w:val="0"/>
      <w:marBottom w:val="0"/>
      <w:divBdr>
        <w:top w:val="none" w:sz="0" w:space="0" w:color="auto"/>
        <w:left w:val="none" w:sz="0" w:space="0" w:color="auto"/>
        <w:bottom w:val="none" w:sz="0" w:space="0" w:color="auto"/>
        <w:right w:val="none" w:sz="0" w:space="0" w:color="auto"/>
      </w:divBdr>
    </w:div>
    <w:div w:id="212067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15CC-C0D3-4CB6-B5B7-FA594FC3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6162</Words>
  <Characters>32232</Characters>
  <Application>Microsoft Office Word</Application>
  <DocSecurity>0</DocSecurity>
  <Lines>511</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46/15</dc:title>
  <dc:creator>CIDH</dc:creator>
  <cp:lastModifiedBy>%OAS%</cp:lastModifiedBy>
  <cp:revision>5</cp:revision>
  <cp:lastPrinted>2015-08-21T20:08:00Z</cp:lastPrinted>
  <dcterms:created xsi:type="dcterms:W3CDTF">2015-10-14T16:19:00Z</dcterms:created>
  <dcterms:modified xsi:type="dcterms:W3CDTF">2015-11-10T20:35:00Z</dcterms:modified>
</cp:coreProperties>
</file>