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76678A" w:rsidRDefault="00D306D1" w:rsidP="00627C9F">
      <w:pPr>
        <w:jc w:val="both"/>
        <w:rPr>
          <w:rFonts w:asciiTheme="majorHAnsi" w:hAnsiTheme="majorHAnsi" w:cs="Univers"/>
          <w:b/>
          <w:bCs/>
          <w:sz w:val="20"/>
          <w:szCs w:val="20"/>
          <w:lang w:val="es-ES_tradnl"/>
        </w:rPr>
      </w:pPr>
      <w:r w:rsidRPr="0076678A">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575B6C25" wp14:editId="6950A98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6678A">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56845611" wp14:editId="2DE6A29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59B7" w:rsidRDefault="004959B7" w:rsidP="00AE5488">
                            <w:r>
                              <w:rPr>
                                <w:noProof/>
                              </w:rPr>
                              <w:drawing>
                                <wp:inline distT="0" distB="0" distL="0" distR="0" wp14:anchorId="26B7CA8E" wp14:editId="73E2802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4959B7" w:rsidRDefault="004959B7" w:rsidP="00AE5488">
                      <w:r>
                        <w:rPr>
                          <w:noProof/>
                          <w:lang w:eastAsia="zh-CN"/>
                        </w:rPr>
                        <w:drawing>
                          <wp:inline distT="0" distB="0" distL="0" distR="0" wp14:anchorId="26B7CA8E" wp14:editId="73E2802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76678A" w:rsidRDefault="00040C3A" w:rsidP="00040C3A">
      <w:pPr>
        <w:tabs>
          <w:tab w:val="center" w:pos="5400"/>
        </w:tabs>
        <w:suppressAutoHyphens/>
        <w:jc w:val="both"/>
        <w:rPr>
          <w:rFonts w:asciiTheme="majorHAnsi" w:hAnsiTheme="majorHAnsi"/>
          <w:sz w:val="20"/>
          <w:szCs w:val="20"/>
          <w:lang w:val="es-ES"/>
        </w:rPr>
      </w:pPr>
    </w:p>
    <w:p w:rsidR="00040C3A" w:rsidRPr="0076678A" w:rsidRDefault="00040C3A" w:rsidP="00040C3A">
      <w:pPr>
        <w:tabs>
          <w:tab w:val="center" w:pos="5400"/>
        </w:tabs>
        <w:suppressAutoHyphens/>
        <w:jc w:val="both"/>
        <w:rPr>
          <w:rFonts w:asciiTheme="majorHAnsi" w:hAnsiTheme="majorHAnsi"/>
          <w:sz w:val="20"/>
          <w:szCs w:val="20"/>
          <w:lang w:val="es-ES"/>
        </w:rPr>
      </w:pPr>
    </w:p>
    <w:p w:rsidR="005128E4" w:rsidRPr="0076678A" w:rsidRDefault="005128E4" w:rsidP="00040C3A">
      <w:pPr>
        <w:tabs>
          <w:tab w:val="center" w:pos="5400"/>
        </w:tabs>
        <w:suppressAutoHyphens/>
        <w:rPr>
          <w:rFonts w:asciiTheme="majorHAnsi" w:hAnsiTheme="majorHAnsi"/>
          <w:sz w:val="20"/>
          <w:szCs w:val="20"/>
          <w:lang w:val="es-ES_tradnl"/>
        </w:rPr>
      </w:pPr>
    </w:p>
    <w:p w:rsidR="005128E4" w:rsidRPr="0076678A" w:rsidRDefault="005128E4" w:rsidP="00040C3A">
      <w:pPr>
        <w:tabs>
          <w:tab w:val="center" w:pos="5400"/>
        </w:tabs>
        <w:suppressAutoHyphens/>
        <w:rPr>
          <w:rFonts w:asciiTheme="majorHAnsi" w:hAnsiTheme="majorHAnsi"/>
          <w:sz w:val="20"/>
          <w:szCs w:val="20"/>
          <w:lang w:val="es-ES_tradnl"/>
        </w:rPr>
      </w:pPr>
    </w:p>
    <w:p w:rsidR="005128E4" w:rsidRPr="0076678A" w:rsidRDefault="005128E4" w:rsidP="00040C3A">
      <w:pPr>
        <w:tabs>
          <w:tab w:val="center" w:pos="5400"/>
        </w:tabs>
        <w:suppressAutoHyphens/>
        <w:rPr>
          <w:rFonts w:asciiTheme="majorHAnsi" w:hAnsiTheme="majorHAnsi"/>
          <w:sz w:val="20"/>
          <w:szCs w:val="20"/>
          <w:lang w:val="es-ES_tradnl"/>
        </w:rPr>
      </w:pPr>
    </w:p>
    <w:p w:rsidR="00040C3A" w:rsidRPr="0076678A" w:rsidRDefault="00040C3A" w:rsidP="005128E4">
      <w:pPr>
        <w:tabs>
          <w:tab w:val="center" w:pos="5400"/>
        </w:tabs>
        <w:suppressAutoHyphens/>
        <w:jc w:val="center"/>
        <w:rPr>
          <w:rFonts w:asciiTheme="majorHAnsi" w:hAnsiTheme="majorHAnsi"/>
          <w:sz w:val="20"/>
          <w:szCs w:val="20"/>
          <w:lang w:val="es-ES_tradnl"/>
        </w:rPr>
      </w:pPr>
    </w:p>
    <w:p w:rsidR="00040C3A" w:rsidRPr="0076678A" w:rsidRDefault="00040C3A" w:rsidP="005128E4">
      <w:pPr>
        <w:tabs>
          <w:tab w:val="center" w:pos="5400"/>
        </w:tabs>
        <w:suppressAutoHyphens/>
        <w:jc w:val="center"/>
        <w:rPr>
          <w:rFonts w:asciiTheme="majorHAnsi" w:hAnsiTheme="majorHAnsi"/>
          <w:sz w:val="20"/>
          <w:szCs w:val="20"/>
          <w:lang w:val="es-ES_tradnl"/>
        </w:rPr>
      </w:pPr>
    </w:p>
    <w:p w:rsidR="005B52B0" w:rsidRPr="0076678A" w:rsidRDefault="005B52B0" w:rsidP="005128E4">
      <w:pPr>
        <w:tabs>
          <w:tab w:val="center" w:pos="5400"/>
        </w:tabs>
        <w:suppressAutoHyphens/>
        <w:jc w:val="center"/>
        <w:rPr>
          <w:rFonts w:asciiTheme="majorHAnsi" w:hAnsiTheme="majorHAnsi"/>
          <w:sz w:val="20"/>
          <w:szCs w:val="20"/>
          <w:lang w:val="es-ES_tradnl"/>
        </w:rPr>
      </w:pPr>
    </w:p>
    <w:p w:rsidR="005B52B0" w:rsidRPr="0076678A" w:rsidRDefault="005B52B0" w:rsidP="005128E4">
      <w:pPr>
        <w:tabs>
          <w:tab w:val="center" w:pos="5400"/>
        </w:tabs>
        <w:suppressAutoHyphens/>
        <w:jc w:val="center"/>
        <w:rPr>
          <w:rFonts w:asciiTheme="majorHAnsi" w:hAnsiTheme="majorHAnsi"/>
          <w:sz w:val="20"/>
          <w:szCs w:val="20"/>
          <w:lang w:val="es-ES_tradnl"/>
        </w:rPr>
      </w:pPr>
    </w:p>
    <w:p w:rsidR="005B52B0" w:rsidRPr="0076678A" w:rsidRDefault="005B52B0" w:rsidP="005128E4">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040C3A" w:rsidRPr="0076678A" w:rsidRDefault="003D3BC2" w:rsidP="00040C3A">
      <w:pPr>
        <w:tabs>
          <w:tab w:val="center" w:pos="5400"/>
        </w:tabs>
        <w:suppressAutoHyphens/>
        <w:jc w:val="center"/>
        <w:rPr>
          <w:rFonts w:asciiTheme="majorHAnsi" w:hAnsiTheme="majorHAnsi"/>
          <w:sz w:val="20"/>
          <w:szCs w:val="20"/>
          <w:lang w:val="es-ES_tradnl"/>
        </w:rPr>
      </w:pPr>
      <w:r w:rsidRPr="0076678A">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3F86196" wp14:editId="6AC46C1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59B7" w:rsidRPr="004E2649" w:rsidRDefault="004959B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D6B05">
                              <w:rPr>
                                <w:rFonts w:asciiTheme="majorHAnsi" w:hAnsiTheme="majorHAnsi" w:cs="Arial"/>
                                <w:b/>
                                <w:bCs/>
                                <w:color w:val="0D0D0D" w:themeColor="text1" w:themeTint="F2"/>
                                <w:sz w:val="36"/>
                                <w:szCs w:val="22"/>
                                <w:lang w:val="es-ES_tradnl"/>
                              </w:rPr>
                              <w:t>53</w:t>
                            </w:r>
                            <w:r>
                              <w:rPr>
                                <w:rFonts w:asciiTheme="majorHAnsi" w:hAnsiTheme="majorHAnsi" w:cs="Arial"/>
                                <w:b/>
                                <w:bCs/>
                                <w:color w:val="0D0D0D" w:themeColor="text1" w:themeTint="F2"/>
                                <w:sz w:val="36"/>
                                <w:szCs w:val="22"/>
                                <w:lang w:val="es-ES_tradnl"/>
                              </w:rPr>
                              <w:t>/15</w:t>
                            </w:r>
                          </w:p>
                          <w:p w:rsidR="004959B7" w:rsidRPr="004E2649" w:rsidRDefault="004959B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706-04</w:t>
                            </w:r>
                            <w:r w:rsidRPr="004E2649">
                              <w:rPr>
                                <w:rFonts w:asciiTheme="majorHAnsi" w:hAnsiTheme="majorHAnsi" w:cs="Arial"/>
                                <w:b/>
                                <w:color w:val="0D0D0D" w:themeColor="text1" w:themeTint="F2"/>
                                <w:sz w:val="36"/>
                                <w:szCs w:val="22"/>
                                <w:lang w:val="es-ES_tradnl"/>
                              </w:rPr>
                              <w:t xml:space="preserve"> </w:t>
                            </w:r>
                          </w:p>
                          <w:p w:rsidR="004959B7" w:rsidRPr="0010736F" w:rsidRDefault="004959B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bookmarkStart w:id="0" w:name="_ftnref1"/>
                          </w:p>
                          <w:bookmarkEnd w:id="0"/>
                          <w:p w:rsidR="004959B7" w:rsidRDefault="004959B7" w:rsidP="00B3274C">
                            <w:pPr>
                              <w:tabs>
                                <w:tab w:val="center" w:pos="5400"/>
                              </w:tabs>
                              <w:suppressAutoHyphens/>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MARIO GALETOVIC SAPUNAR Y OTROS</w:t>
                            </w:r>
                          </w:p>
                          <w:p w:rsidR="00F453F1" w:rsidRPr="00B3274C" w:rsidRDefault="00F453F1" w:rsidP="00B3274C">
                            <w:pPr>
                              <w:tabs>
                                <w:tab w:val="center" w:pos="5400"/>
                              </w:tabs>
                              <w:suppressAutoHyphens/>
                              <w:spacing w:line="276" w:lineRule="auto"/>
                              <w:rPr>
                                <w:rFonts w:asciiTheme="majorHAnsi" w:hAnsiTheme="majorHAnsi" w:cs="Arial"/>
                                <w:color w:val="0D0D0D" w:themeColor="text1" w:themeTint="F2"/>
                                <w:szCs w:val="22"/>
                                <w:lang w:val="es-ES_tradnl"/>
                              </w:rPr>
                            </w:pPr>
                            <w:r w:rsidRPr="00A74727">
                              <w:rPr>
                                <w:rFonts w:asciiTheme="majorHAnsi" w:hAnsiTheme="majorHAnsi" w:cs="Arial"/>
                                <w:color w:val="0D0D0D" w:themeColor="text1" w:themeTint="F2"/>
                                <w:szCs w:val="22"/>
                                <w:lang w:val="es-ES_tradnl"/>
                              </w:rPr>
                              <w:t>CHILE</w:t>
                            </w:r>
                          </w:p>
                          <w:p w:rsidR="004959B7" w:rsidRPr="0010736F" w:rsidRDefault="004959B7" w:rsidP="00997BC5">
                            <w:pPr>
                              <w:spacing w:line="276" w:lineRule="auto"/>
                              <w:rPr>
                                <w:rFonts w:asciiTheme="majorHAnsi" w:hAnsiTheme="majorHAnsi" w:cs="Arial"/>
                                <w:color w:val="0D0D0D" w:themeColor="text1" w:themeTint="F2"/>
                                <w:szCs w:val="22"/>
                                <w:lang w:val="es-ES"/>
                              </w:rPr>
                            </w:pPr>
                          </w:p>
                          <w:p w:rsidR="004959B7" w:rsidRPr="00BC4E49" w:rsidRDefault="004959B7"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4959B7" w:rsidRPr="004E2649" w:rsidRDefault="004959B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D6B05">
                        <w:rPr>
                          <w:rFonts w:asciiTheme="majorHAnsi" w:hAnsiTheme="majorHAnsi" w:cs="Arial"/>
                          <w:b/>
                          <w:bCs/>
                          <w:color w:val="0D0D0D" w:themeColor="text1" w:themeTint="F2"/>
                          <w:sz w:val="36"/>
                          <w:szCs w:val="22"/>
                          <w:lang w:val="es-ES_tradnl"/>
                        </w:rPr>
                        <w:t>53</w:t>
                      </w:r>
                      <w:r>
                        <w:rPr>
                          <w:rFonts w:asciiTheme="majorHAnsi" w:hAnsiTheme="majorHAnsi" w:cs="Arial"/>
                          <w:b/>
                          <w:bCs/>
                          <w:color w:val="0D0D0D" w:themeColor="text1" w:themeTint="F2"/>
                          <w:sz w:val="36"/>
                          <w:szCs w:val="22"/>
                          <w:lang w:val="es-ES_tradnl"/>
                        </w:rPr>
                        <w:t>/15</w:t>
                      </w:r>
                    </w:p>
                    <w:p w:rsidR="004959B7" w:rsidRPr="004E2649" w:rsidRDefault="004959B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706-04</w:t>
                      </w:r>
                      <w:r w:rsidRPr="004E2649">
                        <w:rPr>
                          <w:rFonts w:asciiTheme="majorHAnsi" w:hAnsiTheme="majorHAnsi" w:cs="Arial"/>
                          <w:b/>
                          <w:color w:val="0D0D0D" w:themeColor="text1" w:themeTint="F2"/>
                          <w:sz w:val="36"/>
                          <w:szCs w:val="22"/>
                          <w:lang w:val="es-ES_tradnl"/>
                        </w:rPr>
                        <w:t xml:space="preserve"> </w:t>
                      </w:r>
                    </w:p>
                    <w:p w:rsidR="004959B7" w:rsidRPr="0010736F" w:rsidRDefault="004959B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bookmarkStart w:id="2" w:name="_ftnref1"/>
                    </w:p>
                    <w:bookmarkEnd w:id="2"/>
                    <w:p w:rsidR="004959B7" w:rsidRDefault="004959B7" w:rsidP="00B3274C">
                      <w:pPr>
                        <w:tabs>
                          <w:tab w:val="center" w:pos="5400"/>
                        </w:tabs>
                        <w:suppressAutoHyphens/>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MARIO GALETOVIC SAPUNAR Y OTROS</w:t>
                      </w:r>
                    </w:p>
                    <w:p w:rsidR="00F453F1" w:rsidRPr="00B3274C" w:rsidRDefault="00F453F1" w:rsidP="00B3274C">
                      <w:pPr>
                        <w:tabs>
                          <w:tab w:val="center" w:pos="5400"/>
                        </w:tabs>
                        <w:suppressAutoHyphens/>
                        <w:spacing w:line="276" w:lineRule="auto"/>
                        <w:rPr>
                          <w:rFonts w:asciiTheme="majorHAnsi" w:hAnsiTheme="majorHAnsi" w:cs="Arial"/>
                          <w:color w:val="0D0D0D" w:themeColor="text1" w:themeTint="F2"/>
                          <w:szCs w:val="22"/>
                          <w:lang w:val="es-ES_tradnl"/>
                        </w:rPr>
                      </w:pPr>
                      <w:r w:rsidRPr="00A74727">
                        <w:rPr>
                          <w:rFonts w:asciiTheme="majorHAnsi" w:hAnsiTheme="majorHAnsi" w:cs="Arial"/>
                          <w:color w:val="0D0D0D" w:themeColor="text1" w:themeTint="F2"/>
                          <w:szCs w:val="22"/>
                          <w:lang w:val="es-ES_tradnl"/>
                        </w:rPr>
                        <w:t>CHILE</w:t>
                      </w:r>
                    </w:p>
                    <w:p w:rsidR="004959B7" w:rsidRPr="0010736F" w:rsidRDefault="004959B7" w:rsidP="00997BC5">
                      <w:pPr>
                        <w:spacing w:line="276" w:lineRule="auto"/>
                        <w:rPr>
                          <w:rFonts w:asciiTheme="majorHAnsi" w:hAnsiTheme="majorHAnsi" w:cs="Arial"/>
                          <w:color w:val="0D0D0D" w:themeColor="text1" w:themeTint="F2"/>
                          <w:szCs w:val="22"/>
                          <w:lang w:val="es-ES"/>
                        </w:rPr>
                      </w:pPr>
                    </w:p>
                    <w:p w:rsidR="004959B7" w:rsidRPr="00BC4E49" w:rsidRDefault="004959B7" w:rsidP="007A5817">
                      <w:pPr>
                        <w:rPr>
                          <w:color w:val="0D0D0D" w:themeColor="text1" w:themeTint="F2"/>
                          <w:lang w:val="es-ES"/>
                        </w:rPr>
                      </w:pPr>
                    </w:p>
                  </w:txbxContent>
                </v:textbox>
              </v:shape>
            </w:pict>
          </mc:Fallback>
        </mc:AlternateContent>
      </w:r>
      <w:r w:rsidR="004E2649" w:rsidRPr="0076678A">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0C739BD4" wp14:editId="4A2DD60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59B7" w:rsidRPr="00AD6B05" w:rsidRDefault="004959B7" w:rsidP="007A5817">
                            <w:pPr>
                              <w:spacing w:line="276" w:lineRule="auto"/>
                              <w:jc w:val="right"/>
                              <w:rPr>
                                <w:rFonts w:asciiTheme="minorHAnsi" w:hAnsiTheme="minorHAnsi"/>
                                <w:color w:val="FFFFFF" w:themeColor="background1"/>
                                <w:sz w:val="22"/>
                                <w:lang w:val="pt-BR"/>
                              </w:rPr>
                            </w:pPr>
                            <w:r w:rsidRPr="00AD6B05">
                              <w:rPr>
                                <w:rFonts w:asciiTheme="minorHAnsi" w:hAnsiTheme="minorHAnsi"/>
                                <w:color w:val="FFFFFF" w:themeColor="background1"/>
                                <w:sz w:val="22"/>
                                <w:lang w:val="pt-BR"/>
                              </w:rPr>
                              <w:t>OEA/Ser.L/V/II.156</w:t>
                            </w:r>
                          </w:p>
                          <w:p w:rsidR="004959B7" w:rsidRPr="00291DE1" w:rsidRDefault="004959B7" w:rsidP="007A5817">
                            <w:pPr>
                              <w:spacing w:line="276" w:lineRule="auto"/>
                              <w:jc w:val="right"/>
                              <w:rPr>
                                <w:rFonts w:asciiTheme="minorHAnsi" w:hAnsiTheme="minorHAnsi"/>
                                <w:color w:val="FFFFFF" w:themeColor="background1"/>
                                <w:sz w:val="22"/>
                                <w:lang w:val="pt-BR"/>
                              </w:rPr>
                            </w:pPr>
                            <w:r w:rsidRPr="00291DE1">
                              <w:rPr>
                                <w:rFonts w:asciiTheme="minorHAnsi" w:hAnsiTheme="minorHAnsi"/>
                                <w:color w:val="FFFFFF" w:themeColor="background1"/>
                                <w:sz w:val="22"/>
                                <w:lang w:val="pt-BR"/>
                              </w:rPr>
                              <w:t xml:space="preserve">Doc. </w:t>
                            </w:r>
                            <w:r w:rsidR="00AD6B05">
                              <w:rPr>
                                <w:rFonts w:asciiTheme="minorHAnsi" w:hAnsiTheme="minorHAnsi"/>
                                <w:color w:val="FFFFFF" w:themeColor="background1"/>
                                <w:sz w:val="22"/>
                                <w:lang w:val="pt-BR"/>
                              </w:rPr>
                              <w:t>5</w:t>
                            </w:r>
                          </w:p>
                          <w:p w:rsidR="004959B7" w:rsidRPr="00291DE1" w:rsidRDefault="00AD6B0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17</w:t>
                            </w:r>
                            <w:r w:rsidR="004959B7" w:rsidRPr="00291DE1">
                              <w:rPr>
                                <w:rFonts w:asciiTheme="minorHAnsi" w:hAnsiTheme="minorHAnsi"/>
                                <w:color w:val="FFFFFF" w:themeColor="background1"/>
                                <w:sz w:val="22"/>
                              </w:rPr>
                              <w:t xml:space="preserve"> octubre 2015</w:t>
                            </w:r>
                          </w:p>
                          <w:p w:rsidR="004959B7" w:rsidRPr="004E2649" w:rsidRDefault="004959B7" w:rsidP="007A5817">
                            <w:pPr>
                              <w:spacing w:line="276" w:lineRule="auto"/>
                              <w:jc w:val="right"/>
                              <w:rPr>
                                <w:rFonts w:asciiTheme="minorHAnsi" w:hAnsiTheme="minorHAnsi"/>
                                <w:color w:val="FFFFFF" w:themeColor="background1"/>
                                <w:sz w:val="22"/>
                              </w:rPr>
                            </w:pPr>
                            <w:r w:rsidRPr="00291DE1">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4959B7" w:rsidRPr="00AD6B05" w:rsidRDefault="004959B7" w:rsidP="007A5817">
                      <w:pPr>
                        <w:spacing w:line="276" w:lineRule="auto"/>
                        <w:jc w:val="right"/>
                        <w:rPr>
                          <w:rFonts w:asciiTheme="minorHAnsi" w:hAnsiTheme="minorHAnsi"/>
                          <w:color w:val="FFFFFF" w:themeColor="background1"/>
                          <w:sz w:val="22"/>
                          <w:lang w:val="pt-BR"/>
                        </w:rPr>
                      </w:pPr>
                      <w:r w:rsidRPr="00AD6B05">
                        <w:rPr>
                          <w:rFonts w:asciiTheme="minorHAnsi" w:hAnsiTheme="minorHAnsi"/>
                          <w:color w:val="FFFFFF" w:themeColor="background1"/>
                          <w:sz w:val="22"/>
                          <w:lang w:val="pt-BR"/>
                        </w:rPr>
                        <w:t>OEA/Ser.L/V/II.156</w:t>
                      </w:r>
                    </w:p>
                    <w:p w:rsidR="004959B7" w:rsidRPr="00291DE1" w:rsidRDefault="004959B7" w:rsidP="007A5817">
                      <w:pPr>
                        <w:spacing w:line="276" w:lineRule="auto"/>
                        <w:jc w:val="right"/>
                        <w:rPr>
                          <w:rFonts w:asciiTheme="minorHAnsi" w:hAnsiTheme="minorHAnsi"/>
                          <w:color w:val="FFFFFF" w:themeColor="background1"/>
                          <w:sz w:val="22"/>
                          <w:lang w:val="pt-BR"/>
                        </w:rPr>
                      </w:pPr>
                      <w:r w:rsidRPr="00291DE1">
                        <w:rPr>
                          <w:rFonts w:asciiTheme="minorHAnsi" w:hAnsiTheme="minorHAnsi"/>
                          <w:color w:val="FFFFFF" w:themeColor="background1"/>
                          <w:sz w:val="22"/>
                          <w:lang w:val="pt-BR"/>
                        </w:rPr>
                        <w:t xml:space="preserve">Doc. </w:t>
                      </w:r>
                      <w:r w:rsidR="00AD6B05">
                        <w:rPr>
                          <w:rFonts w:asciiTheme="minorHAnsi" w:hAnsiTheme="minorHAnsi"/>
                          <w:color w:val="FFFFFF" w:themeColor="background1"/>
                          <w:sz w:val="22"/>
                          <w:lang w:val="pt-BR"/>
                        </w:rPr>
                        <w:t>5</w:t>
                      </w:r>
                    </w:p>
                    <w:p w:rsidR="004959B7" w:rsidRPr="00291DE1" w:rsidRDefault="00AD6B0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17</w:t>
                      </w:r>
                      <w:r w:rsidR="004959B7" w:rsidRPr="00291DE1">
                        <w:rPr>
                          <w:rFonts w:asciiTheme="minorHAnsi" w:hAnsiTheme="minorHAnsi"/>
                          <w:color w:val="FFFFFF" w:themeColor="background1"/>
                          <w:sz w:val="22"/>
                        </w:rPr>
                        <w:t xml:space="preserve"> octubre 2015</w:t>
                      </w:r>
                    </w:p>
                    <w:p w:rsidR="004959B7" w:rsidRPr="004E2649" w:rsidRDefault="004959B7" w:rsidP="007A5817">
                      <w:pPr>
                        <w:spacing w:line="276" w:lineRule="auto"/>
                        <w:jc w:val="right"/>
                        <w:rPr>
                          <w:rFonts w:asciiTheme="minorHAnsi" w:hAnsiTheme="minorHAnsi"/>
                          <w:color w:val="FFFFFF" w:themeColor="background1"/>
                          <w:sz w:val="22"/>
                        </w:rPr>
                      </w:pPr>
                      <w:r w:rsidRPr="00291DE1">
                        <w:rPr>
                          <w:rFonts w:asciiTheme="minorHAnsi" w:hAnsiTheme="minorHAnsi"/>
                          <w:color w:val="FFFFFF" w:themeColor="background1"/>
                          <w:sz w:val="22"/>
                        </w:rPr>
                        <w:t>Original: español</w:t>
                      </w:r>
                    </w:p>
                  </w:txbxContent>
                </v:textbox>
              </v:shape>
            </w:pict>
          </mc:Fallback>
        </mc:AlternateContent>
      </w: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cs="Arial"/>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5128E4" w:rsidRPr="0076678A" w:rsidRDefault="005128E4" w:rsidP="00040C3A">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5128E4" w:rsidRPr="0076678A" w:rsidRDefault="005128E4" w:rsidP="00040C3A">
      <w:pPr>
        <w:tabs>
          <w:tab w:val="center" w:pos="5400"/>
        </w:tabs>
        <w:suppressAutoHyphens/>
        <w:jc w:val="center"/>
        <w:rPr>
          <w:rFonts w:asciiTheme="majorHAnsi" w:hAnsiTheme="majorHAnsi"/>
          <w:sz w:val="20"/>
          <w:szCs w:val="20"/>
          <w:lang w:val="es-ES_tradnl"/>
        </w:rPr>
      </w:pPr>
    </w:p>
    <w:p w:rsidR="005128E4" w:rsidRPr="0076678A" w:rsidRDefault="005128E4" w:rsidP="00040C3A">
      <w:pPr>
        <w:tabs>
          <w:tab w:val="center" w:pos="5400"/>
        </w:tabs>
        <w:suppressAutoHyphens/>
        <w:jc w:val="center"/>
        <w:rPr>
          <w:rFonts w:asciiTheme="majorHAnsi" w:hAnsiTheme="majorHAnsi"/>
          <w:sz w:val="20"/>
          <w:szCs w:val="20"/>
          <w:lang w:val="es-ES_tradnl"/>
        </w:rPr>
      </w:pPr>
    </w:p>
    <w:p w:rsidR="005128E4" w:rsidRPr="0076678A" w:rsidRDefault="005128E4" w:rsidP="00040C3A">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90270B" w:rsidP="00040C3A">
      <w:pPr>
        <w:tabs>
          <w:tab w:val="center" w:pos="5400"/>
        </w:tabs>
        <w:suppressAutoHyphens/>
        <w:jc w:val="center"/>
        <w:rPr>
          <w:rFonts w:asciiTheme="majorHAnsi" w:hAnsiTheme="majorHAnsi"/>
          <w:sz w:val="20"/>
          <w:szCs w:val="20"/>
          <w:lang w:val="es-ES_tradnl"/>
        </w:rPr>
      </w:pPr>
      <w:r w:rsidRPr="0076678A">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B78A55B" wp14:editId="3E6C7398">
                <wp:simplePos x="0" y="0"/>
                <wp:positionH relativeFrom="column">
                  <wp:posOffset>1430489</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59B7" w:rsidRPr="00BB1D25" w:rsidRDefault="004959B7" w:rsidP="001E35A8">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BB1D25">
                              <w:rPr>
                                <w:rFonts w:asciiTheme="majorHAnsi" w:hAnsiTheme="majorHAnsi"/>
                                <w:color w:val="0D0D0D" w:themeColor="text1" w:themeTint="F2"/>
                                <w:sz w:val="18"/>
                                <w:szCs w:val="20"/>
                                <w:lang w:val="es-ES"/>
                              </w:rPr>
                              <w:t xml:space="preserve">Aprobado por la Comisión en su sesión No. </w:t>
                            </w:r>
                            <w:r w:rsidR="00AD6B05">
                              <w:rPr>
                                <w:rFonts w:asciiTheme="majorHAnsi" w:hAnsiTheme="majorHAnsi"/>
                                <w:color w:val="0D0D0D" w:themeColor="text1" w:themeTint="F2"/>
                                <w:sz w:val="18"/>
                                <w:szCs w:val="20"/>
                                <w:lang w:val="es-ES"/>
                              </w:rPr>
                              <w:t>2046</w:t>
                            </w:r>
                            <w:r w:rsidRPr="00BB1D25">
                              <w:rPr>
                                <w:rFonts w:asciiTheme="majorHAnsi" w:hAnsiTheme="majorHAnsi"/>
                                <w:color w:val="0D0D0D" w:themeColor="text1" w:themeTint="F2"/>
                                <w:sz w:val="18"/>
                                <w:szCs w:val="20"/>
                                <w:lang w:val="es-ES"/>
                              </w:rPr>
                              <w:t xml:space="preserve"> celebrada el </w:t>
                            </w:r>
                            <w:r w:rsidR="00AD6B05">
                              <w:rPr>
                                <w:rFonts w:asciiTheme="majorHAnsi" w:hAnsiTheme="majorHAnsi"/>
                                <w:color w:val="0D0D0D" w:themeColor="text1" w:themeTint="F2"/>
                                <w:sz w:val="18"/>
                                <w:szCs w:val="20"/>
                                <w:lang w:val="es-ES"/>
                              </w:rPr>
                              <w:t>17</w:t>
                            </w:r>
                            <w:r w:rsidRPr="00BB1D25">
                              <w:rPr>
                                <w:rFonts w:asciiTheme="majorHAnsi" w:hAnsiTheme="majorHAnsi"/>
                                <w:color w:val="0D0D0D" w:themeColor="text1" w:themeTint="F2"/>
                                <w:sz w:val="18"/>
                                <w:szCs w:val="20"/>
                                <w:lang w:val="es-ES"/>
                              </w:rPr>
                              <w:t xml:space="preserve"> de octubre de 2015</w:t>
                            </w:r>
                            <w:r w:rsidRPr="00BB1D25">
                              <w:rPr>
                                <w:rFonts w:asciiTheme="majorHAnsi" w:hAnsiTheme="majorHAnsi"/>
                                <w:color w:val="0D0D0D" w:themeColor="text1" w:themeTint="F2"/>
                                <w:sz w:val="18"/>
                                <w:szCs w:val="20"/>
                                <w:lang w:val="es-ES"/>
                              </w:rPr>
                              <w:br/>
                            </w:r>
                            <w:r w:rsidRPr="00BB1D25">
                              <w:rPr>
                                <w:rFonts w:asciiTheme="majorHAnsi" w:hAnsiTheme="majorHAnsi" w:cs="Univers"/>
                                <w:color w:val="0D0D0D" w:themeColor="text1" w:themeTint="F2"/>
                                <w:sz w:val="18"/>
                                <w:szCs w:val="20"/>
                                <w:lang w:val="es-ES_tradnl"/>
                              </w:rPr>
                              <w:t>156 período ordinario de sesiones</w:t>
                            </w:r>
                            <w:r w:rsidR="00291DE1">
                              <w:rPr>
                                <w:rFonts w:asciiTheme="majorHAnsi" w:hAnsiTheme="majorHAnsi" w:cs="Univers"/>
                                <w:color w:val="0D0D0D" w:themeColor="text1" w:themeTint="F2"/>
                                <w:sz w:val="18"/>
                                <w:szCs w:val="20"/>
                                <w:lang w:val="es-ES_tradnl"/>
                              </w:rPr>
                              <w:t>.</w:t>
                            </w:r>
                          </w:p>
                          <w:p w:rsidR="004959B7" w:rsidRPr="007A5817" w:rsidRDefault="004959B7" w:rsidP="00247403">
                            <w:pPr>
                              <w:tabs>
                                <w:tab w:val="center" w:pos="5400"/>
                              </w:tabs>
                              <w:suppressAutoHyphens/>
                              <w:spacing w:before="60"/>
                              <w:rPr>
                                <w:rFonts w:asciiTheme="minorHAnsi" w:hAnsiTheme="minorHAnsi" w:cs="Univers"/>
                                <w:color w:val="0D0D0D" w:themeColor="text1" w:themeTint="F2"/>
                                <w:sz w:val="20"/>
                                <w:szCs w:val="20"/>
                                <w:lang w:val="es-ES"/>
                              </w:rPr>
                            </w:pPr>
                          </w:p>
                          <w:p w:rsidR="004959B7" w:rsidRPr="00167A34" w:rsidRDefault="004959B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12.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" filled="f" stroked="f" strokeweight=".5pt">
                <v:textbox>
                  <w:txbxContent>
                    <w:p w:rsidR="004959B7" w:rsidRPr="00BB1D25" w:rsidRDefault="004959B7" w:rsidP="001E35A8">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BB1D25">
                        <w:rPr>
                          <w:rFonts w:asciiTheme="majorHAnsi" w:hAnsiTheme="majorHAnsi"/>
                          <w:color w:val="0D0D0D" w:themeColor="text1" w:themeTint="F2"/>
                          <w:sz w:val="18"/>
                          <w:szCs w:val="20"/>
                          <w:lang w:val="es-ES"/>
                        </w:rPr>
                        <w:t xml:space="preserve">Aprobado por la Comisión en su sesión No. </w:t>
                      </w:r>
                      <w:r w:rsidR="00AD6B05">
                        <w:rPr>
                          <w:rFonts w:asciiTheme="majorHAnsi" w:hAnsiTheme="majorHAnsi"/>
                          <w:color w:val="0D0D0D" w:themeColor="text1" w:themeTint="F2"/>
                          <w:sz w:val="18"/>
                          <w:szCs w:val="20"/>
                          <w:lang w:val="es-ES"/>
                        </w:rPr>
                        <w:t>2046</w:t>
                      </w:r>
                      <w:r w:rsidRPr="00BB1D25">
                        <w:rPr>
                          <w:rFonts w:asciiTheme="majorHAnsi" w:hAnsiTheme="majorHAnsi"/>
                          <w:color w:val="0D0D0D" w:themeColor="text1" w:themeTint="F2"/>
                          <w:sz w:val="18"/>
                          <w:szCs w:val="20"/>
                          <w:lang w:val="es-ES"/>
                        </w:rPr>
                        <w:t xml:space="preserve"> celebrada el </w:t>
                      </w:r>
                      <w:r w:rsidR="00AD6B05">
                        <w:rPr>
                          <w:rFonts w:asciiTheme="majorHAnsi" w:hAnsiTheme="majorHAnsi"/>
                          <w:color w:val="0D0D0D" w:themeColor="text1" w:themeTint="F2"/>
                          <w:sz w:val="18"/>
                          <w:szCs w:val="20"/>
                          <w:lang w:val="es-ES"/>
                        </w:rPr>
                        <w:t>17</w:t>
                      </w:r>
                      <w:r w:rsidRPr="00BB1D25">
                        <w:rPr>
                          <w:rFonts w:asciiTheme="majorHAnsi" w:hAnsiTheme="majorHAnsi"/>
                          <w:color w:val="0D0D0D" w:themeColor="text1" w:themeTint="F2"/>
                          <w:sz w:val="18"/>
                          <w:szCs w:val="20"/>
                          <w:lang w:val="es-ES"/>
                        </w:rPr>
                        <w:t xml:space="preserve"> de octubre de 2015</w:t>
                      </w:r>
                      <w:r w:rsidRPr="00BB1D25">
                        <w:rPr>
                          <w:rFonts w:asciiTheme="majorHAnsi" w:hAnsiTheme="majorHAnsi"/>
                          <w:color w:val="0D0D0D" w:themeColor="text1" w:themeTint="F2"/>
                          <w:sz w:val="18"/>
                          <w:szCs w:val="20"/>
                          <w:lang w:val="es-ES"/>
                        </w:rPr>
                        <w:br/>
                      </w:r>
                      <w:r w:rsidRPr="00BB1D25">
                        <w:rPr>
                          <w:rFonts w:asciiTheme="majorHAnsi" w:hAnsiTheme="majorHAnsi" w:cs="Univers"/>
                          <w:color w:val="0D0D0D" w:themeColor="text1" w:themeTint="F2"/>
                          <w:sz w:val="18"/>
                          <w:szCs w:val="20"/>
                          <w:lang w:val="es-ES_tradnl"/>
                        </w:rPr>
                        <w:t>156 período ordinario de sesiones</w:t>
                      </w:r>
                      <w:r w:rsidR="00291DE1">
                        <w:rPr>
                          <w:rFonts w:asciiTheme="majorHAnsi" w:hAnsiTheme="majorHAnsi" w:cs="Univers"/>
                          <w:color w:val="0D0D0D" w:themeColor="text1" w:themeTint="F2"/>
                          <w:sz w:val="18"/>
                          <w:szCs w:val="20"/>
                          <w:lang w:val="es-ES_tradnl"/>
                        </w:rPr>
                        <w:t>.</w:t>
                      </w:r>
                    </w:p>
                    <w:p w:rsidR="004959B7" w:rsidRPr="007A5817" w:rsidRDefault="004959B7" w:rsidP="00247403">
                      <w:pPr>
                        <w:tabs>
                          <w:tab w:val="center" w:pos="5400"/>
                        </w:tabs>
                        <w:suppressAutoHyphens/>
                        <w:spacing w:before="60"/>
                        <w:rPr>
                          <w:rFonts w:asciiTheme="minorHAnsi" w:hAnsiTheme="minorHAnsi" w:cs="Univers"/>
                          <w:color w:val="0D0D0D" w:themeColor="text1" w:themeTint="F2"/>
                          <w:sz w:val="20"/>
                          <w:szCs w:val="20"/>
                          <w:lang w:val="es-ES"/>
                        </w:rPr>
                      </w:pPr>
                    </w:p>
                    <w:p w:rsidR="004959B7" w:rsidRPr="00167A34" w:rsidRDefault="004959B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1E35A8" w:rsidP="00040C3A">
      <w:pPr>
        <w:tabs>
          <w:tab w:val="center" w:pos="5400"/>
        </w:tabs>
        <w:suppressAutoHyphens/>
        <w:jc w:val="center"/>
        <w:rPr>
          <w:rFonts w:asciiTheme="majorHAnsi" w:hAnsiTheme="majorHAnsi"/>
          <w:sz w:val="20"/>
          <w:szCs w:val="20"/>
          <w:lang w:val="es-ES_tradnl"/>
        </w:rPr>
      </w:pPr>
      <w:r w:rsidRPr="0076678A">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59E14ED5" wp14:editId="339A1E97">
                <wp:simplePos x="0" y="0"/>
                <wp:positionH relativeFrom="column">
                  <wp:posOffset>1421212</wp:posOffset>
                </wp:positionH>
                <wp:positionV relativeFrom="paragraph">
                  <wp:posOffset>138430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59B7" w:rsidRPr="004B33C9" w:rsidRDefault="004959B7" w:rsidP="001E35A8">
                            <w:pPr>
                              <w:spacing w:line="276" w:lineRule="auto"/>
                              <w:jc w:val="both"/>
                              <w:rPr>
                                <w:rFonts w:asciiTheme="majorHAnsi" w:hAnsiTheme="majorHAnsi"/>
                                <w:color w:val="595959" w:themeColor="text1" w:themeTint="A6"/>
                                <w:sz w:val="18"/>
                                <w:szCs w:val="18"/>
                                <w:lang w:val="es-ES"/>
                              </w:rPr>
                            </w:pPr>
                            <w:r w:rsidRPr="00DE0E5E">
                              <w:rPr>
                                <w:rFonts w:asciiTheme="majorHAnsi" w:hAnsiTheme="majorHAnsi"/>
                                <w:b/>
                                <w:color w:val="595959" w:themeColor="text1" w:themeTint="A6"/>
                                <w:sz w:val="18"/>
                                <w:szCs w:val="18"/>
                                <w:lang w:val="es-ES"/>
                              </w:rPr>
                              <w:t>Citar como:</w:t>
                            </w:r>
                            <w:r w:rsidRPr="00DE0E5E">
                              <w:rPr>
                                <w:rFonts w:asciiTheme="majorHAnsi" w:hAnsiTheme="majorHAnsi"/>
                                <w:color w:val="595959" w:themeColor="text1" w:themeTint="A6"/>
                                <w:sz w:val="18"/>
                                <w:szCs w:val="18"/>
                                <w:lang w:val="es-ES"/>
                              </w:rPr>
                              <w:t xml:space="preserve"> CIDH, Informe No. </w:t>
                            </w:r>
                            <w:r w:rsidR="00AD6B05">
                              <w:rPr>
                                <w:rFonts w:asciiTheme="majorHAnsi" w:hAnsiTheme="majorHAnsi"/>
                                <w:color w:val="595959" w:themeColor="text1" w:themeTint="A6"/>
                                <w:sz w:val="18"/>
                                <w:szCs w:val="18"/>
                                <w:lang w:val="es-ES"/>
                              </w:rPr>
                              <w:t>53</w:t>
                            </w:r>
                            <w:r w:rsidRPr="00261748">
                              <w:rPr>
                                <w:rFonts w:asciiTheme="majorHAnsi" w:hAnsiTheme="majorHAnsi"/>
                                <w:color w:val="595959" w:themeColor="text1" w:themeTint="A6"/>
                                <w:sz w:val="18"/>
                                <w:szCs w:val="18"/>
                                <w:lang w:val="es-ES"/>
                              </w:rPr>
                              <w:t xml:space="preserve">/15, </w:t>
                            </w:r>
                            <w:r w:rsidRPr="00890650">
                              <w:rPr>
                                <w:rFonts w:asciiTheme="majorHAnsi" w:hAnsiTheme="majorHAnsi"/>
                                <w:color w:val="595959" w:themeColor="text1" w:themeTint="A6"/>
                                <w:sz w:val="18"/>
                                <w:szCs w:val="18"/>
                                <w:lang w:val="es-ES_tradnl"/>
                              </w:rPr>
                              <w:t xml:space="preserve">Petición </w:t>
                            </w:r>
                            <w:r>
                              <w:rPr>
                                <w:rFonts w:asciiTheme="majorHAnsi" w:hAnsiTheme="majorHAnsi"/>
                                <w:color w:val="595959" w:themeColor="text1" w:themeTint="A6"/>
                                <w:sz w:val="18"/>
                                <w:szCs w:val="18"/>
                                <w:lang w:val="es-ES_tradnl"/>
                              </w:rPr>
                              <w:t>706-04</w:t>
                            </w:r>
                            <w:r w:rsidRPr="00890650">
                              <w:rPr>
                                <w:rFonts w:asciiTheme="majorHAnsi" w:hAnsiTheme="majorHAnsi"/>
                                <w:color w:val="595959" w:themeColor="text1" w:themeTint="A6"/>
                                <w:sz w:val="18"/>
                                <w:szCs w:val="18"/>
                                <w:lang w:val="es-ES_tradnl"/>
                              </w:rPr>
                              <w:t>. Admisibilidad</w:t>
                            </w:r>
                            <w:r>
                              <w:rPr>
                                <w:rFonts w:asciiTheme="majorHAnsi" w:hAnsiTheme="majorHAnsi"/>
                                <w:color w:val="595959" w:themeColor="text1" w:themeTint="A6"/>
                                <w:sz w:val="18"/>
                                <w:szCs w:val="18"/>
                                <w:lang w:val="es-ES_tradnl"/>
                              </w:rPr>
                              <w:t xml:space="preserve">. Mario Galetovic Sapunar y otros. Chile. </w:t>
                            </w:r>
                            <w:r w:rsidR="00AD6B05">
                              <w:rPr>
                                <w:rFonts w:asciiTheme="majorHAnsi" w:hAnsiTheme="majorHAnsi"/>
                                <w:color w:val="595959" w:themeColor="text1" w:themeTint="A6"/>
                                <w:sz w:val="18"/>
                                <w:szCs w:val="18"/>
                                <w:lang w:val="es-ES_tradnl"/>
                              </w:rPr>
                              <w:t>17</w:t>
                            </w:r>
                            <w:r>
                              <w:rPr>
                                <w:rFonts w:asciiTheme="majorHAnsi" w:hAnsiTheme="majorHAnsi"/>
                                <w:color w:val="595959" w:themeColor="text1" w:themeTint="A6"/>
                                <w:sz w:val="18"/>
                                <w:szCs w:val="18"/>
                                <w:lang w:val="es-ES_tradnl"/>
                              </w:rPr>
                              <w:t xml:space="preserve"> de octubre de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11.9pt;margin-top:10.9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" filled="f" stroked="f" strokeweight=".5pt">
                <v:textbox>
                  <w:txbxContent>
                    <w:p w:rsidR="004959B7" w:rsidRPr="004B33C9" w:rsidRDefault="004959B7" w:rsidP="001E35A8">
                      <w:pPr>
                        <w:spacing w:line="276" w:lineRule="auto"/>
                        <w:jc w:val="both"/>
                        <w:rPr>
                          <w:rFonts w:asciiTheme="majorHAnsi" w:hAnsiTheme="majorHAnsi"/>
                          <w:color w:val="595959" w:themeColor="text1" w:themeTint="A6"/>
                          <w:sz w:val="18"/>
                          <w:szCs w:val="18"/>
                          <w:lang w:val="es-ES"/>
                        </w:rPr>
                      </w:pPr>
                      <w:r w:rsidRPr="00AE097B">
                        <w:rPr>
                          <w:rFonts w:asciiTheme="majorHAnsi" w:hAnsiTheme="majorHAnsi"/>
                          <w:b/>
                          <w:color w:val="595959" w:themeColor="text1" w:themeTint="A6"/>
                          <w:sz w:val="18"/>
                          <w:szCs w:val="18"/>
                          <w:lang w:val="pt-BR"/>
                        </w:rPr>
                        <w:t>Citar como:</w:t>
                      </w:r>
                      <w:r w:rsidRPr="00AE097B">
                        <w:rPr>
                          <w:rFonts w:asciiTheme="majorHAnsi" w:hAnsiTheme="majorHAnsi"/>
                          <w:color w:val="595959" w:themeColor="text1" w:themeTint="A6"/>
                          <w:sz w:val="18"/>
                          <w:szCs w:val="18"/>
                          <w:lang w:val="pt-BR"/>
                        </w:rPr>
                        <w:t xml:space="preserve"> CIDH, Informe No. </w:t>
                      </w:r>
                      <w:r w:rsidR="00AD6B05">
                        <w:rPr>
                          <w:rFonts w:asciiTheme="majorHAnsi" w:hAnsiTheme="majorHAnsi"/>
                          <w:color w:val="595959" w:themeColor="text1" w:themeTint="A6"/>
                          <w:sz w:val="18"/>
                          <w:szCs w:val="18"/>
                          <w:lang w:val="es-ES"/>
                        </w:rPr>
                        <w:t>53</w:t>
                      </w:r>
                      <w:r w:rsidRPr="00261748">
                        <w:rPr>
                          <w:rFonts w:asciiTheme="majorHAnsi" w:hAnsiTheme="majorHAnsi"/>
                          <w:color w:val="595959" w:themeColor="text1" w:themeTint="A6"/>
                          <w:sz w:val="18"/>
                          <w:szCs w:val="18"/>
                          <w:lang w:val="es-ES"/>
                        </w:rPr>
                        <w:t xml:space="preserve">/15, </w:t>
                      </w:r>
                      <w:r w:rsidRPr="00890650">
                        <w:rPr>
                          <w:rFonts w:asciiTheme="majorHAnsi" w:hAnsiTheme="majorHAnsi"/>
                          <w:color w:val="595959" w:themeColor="text1" w:themeTint="A6"/>
                          <w:sz w:val="18"/>
                          <w:szCs w:val="18"/>
                          <w:lang w:val="es-ES_tradnl"/>
                        </w:rPr>
                        <w:t xml:space="preserve">Petición </w:t>
                      </w:r>
                      <w:r>
                        <w:rPr>
                          <w:rFonts w:asciiTheme="majorHAnsi" w:hAnsiTheme="majorHAnsi"/>
                          <w:color w:val="595959" w:themeColor="text1" w:themeTint="A6"/>
                          <w:sz w:val="18"/>
                          <w:szCs w:val="18"/>
                          <w:lang w:val="es-ES_tradnl"/>
                        </w:rPr>
                        <w:t>706-04</w:t>
                      </w:r>
                      <w:r w:rsidRPr="00890650">
                        <w:rPr>
                          <w:rFonts w:asciiTheme="majorHAnsi" w:hAnsiTheme="majorHAnsi"/>
                          <w:color w:val="595959" w:themeColor="text1" w:themeTint="A6"/>
                          <w:sz w:val="18"/>
                          <w:szCs w:val="18"/>
                          <w:lang w:val="es-ES_tradnl"/>
                        </w:rPr>
                        <w:t>. Admisibilidad</w:t>
                      </w:r>
                      <w:r>
                        <w:rPr>
                          <w:rFonts w:asciiTheme="majorHAnsi" w:hAnsiTheme="majorHAnsi"/>
                          <w:color w:val="595959" w:themeColor="text1" w:themeTint="A6"/>
                          <w:sz w:val="18"/>
                          <w:szCs w:val="18"/>
                          <w:lang w:val="es-ES_tradnl"/>
                        </w:rPr>
                        <w:t xml:space="preserve">. Mario Galetovic Sapunar y otros. Chile. </w:t>
                      </w:r>
                      <w:r w:rsidR="00AD6B05">
                        <w:rPr>
                          <w:rFonts w:asciiTheme="majorHAnsi" w:hAnsiTheme="majorHAnsi"/>
                          <w:color w:val="595959" w:themeColor="text1" w:themeTint="A6"/>
                          <w:sz w:val="18"/>
                          <w:szCs w:val="18"/>
                          <w:lang w:val="es-ES_tradnl"/>
                        </w:rPr>
                        <w:t>17</w:t>
                      </w:r>
                      <w:r>
                        <w:rPr>
                          <w:rFonts w:asciiTheme="majorHAnsi" w:hAnsiTheme="majorHAnsi"/>
                          <w:color w:val="595959" w:themeColor="text1" w:themeTint="A6"/>
                          <w:sz w:val="18"/>
                          <w:szCs w:val="18"/>
                          <w:lang w:val="es-ES_tradnl"/>
                        </w:rPr>
                        <w:t xml:space="preserve"> de octubre de 2015.</w:t>
                      </w:r>
                    </w:p>
                  </w:txbxContent>
                </v:textbox>
              </v:shape>
            </w:pict>
          </mc:Fallback>
        </mc:AlternateContent>
      </w: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70697F" w:rsidRPr="0076678A" w:rsidRDefault="00D306D1" w:rsidP="004B33C9">
      <w:pPr>
        <w:tabs>
          <w:tab w:val="center" w:pos="5400"/>
        </w:tabs>
        <w:suppressAutoHyphens/>
        <w:rPr>
          <w:rFonts w:asciiTheme="majorHAnsi" w:hAnsiTheme="majorHAnsi"/>
          <w:b/>
          <w:sz w:val="20"/>
          <w:szCs w:val="20"/>
          <w:lang w:val="es-ES_tradnl"/>
        </w:rPr>
        <w:sectPr w:rsidR="0070697F" w:rsidRPr="0076678A"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76678A">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24B3DCDD" wp14:editId="232CD7C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59B7" w:rsidRPr="00D72DC6" w:rsidRDefault="004959B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9E567D8" wp14:editId="60CDA13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4959B7" w:rsidRPr="00D72DC6" w:rsidRDefault="004959B7" w:rsidP="00F02AD1">
                      <w:pPr>
                        <w:rPr>
                          <w:color w:val="FFFFFF" w:themeColor="background1"/>
                          <w14:textFill>
                            <w14:noFill/>
                          </w14:textFill>
                        </w:rPr>
                      </w:pPr>
                      <w:r w:rsidRPr="00D72DC6">
                        <w:rPr>
                          <w:noProof/>
                          <w:color w:val="FFFFFF" w:themeColor="background1"/>
                          <w:lang w:eastAsia="zh-CN"/>
                          <w14:textFill>
                            <w14:noFill/>
                          </w14:textFill>
                        </w:rPr>
                        <w:drawing>
                          <wp:inline distT="0" distB="0" distL="0" distR="0" wp14:anchorId="29E567D8" wp14:editId="60CDA13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76678A">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A5E26A4" wp14:editId="58FD0A0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59B7" w:rsidRPr="004B7EB6" w:rsidRDefault="004959B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4959B7" w:rsidRPr="004B7EB6" w:rsidRDefault="004959B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0E1570" w:rsidRPr="00BB1D25" w:rsidRDefault="000E1570" w:rsidP="00B64BE7">
      <w:pPr>
        <w:tabs>
          <w:tab w:val="center" w:pos="5400"/>
        </w:tabs>
        <w:suppressAutoHyphens/>
        <w:jc w:val="center"/>
        <w:rPr>
          <w:rFonts w:ascii="Cambria" w:hAnsi="Cambria"/>
          <w:b/>
          <w:sz w:val="20"/>
          <w:szCs w:val="20"/>
          <w:lang w:val="es-ES_tradnl"/>
        </w:rPr>
      </w:pPr>
      <w:r w:rsidRPr="00BB1D25">
        <w:rPr>
          <w:rFonts w:ascii="Cambria" w:hAnsi="Cambria"/>
          <w:b/>
          <w:sz w:val="20"/>
          <w:szCs w:val="20"/>
          <w:lang w:val="es-ES_tradnl"/>
        </w:rPr>
        <w:lastRenderedPageBreak/>
        <w:t xml:space="preserve">INFORME No. </w:t>
      </w:r>
      <w:r w:rsidR="00AD6B05">
        <w:rPr>
          <w:rFonts w:ascii="Cambria" w:hAnsi="Cambria"/>
          <w:b/>
          <w:sz w:val="20"/>
          <w:szCs w:val="20"/>
          <w:lang w:val="es-ES_tradnl"/>
        </w:rPr>
        <w:t>53</w:t>
      </w:r>
      <w:r w:rsidRPr="00BB1D25">
        <w:rPr>
          <w:rFonts w:ascii="Cambria" w:hAnsi="Cambria"/>
          <w:b/>
          <w:sz w:val="20"/>
          <w:szCs w:val="20"/>
          <w:lang w:val="es-ES_tradnl"/>
        </w:rPr>
        <w:t>/1</w:t>
      </w:r>
      <w:r w:rsidR="00D649EE" w:rsidRPr="00BB1D25">
        <w:rPr>
          <w:rFonts w:ascii="Cambria" w:hAnsi="Cambria"/>
          <w:b/>
          <w:sz w:val="20"/>
          <w:szCs w:val="20"/>
          <w:lang w:val="es-ES_tradnl"/>
        </w:rPr>
        <w:t>5</w:t>
      </w:r>
      <w:r w:rsidR="004B33C9" w:rsidRPr="00BB1D25">
        <w:rPr>
          <w:rStyle w:val="FootnoteReference"/>
          <w:rFonts w:ascii="Cambria" w:hAnsi="Cambria"/>
          <w:b/>
          <w:sz w:val="20"/>
          <w:szCs w:val="20"/>
          <w:lang w:val="es-ES_tradnl"/>
        </w:rPr>
        <w:footnoteReference w:id="2"/>
      </w:r>
    </w:p>
    <w:p w:rsidR="000E1570" w:rsidRPr="00BB1D25" w:rsidRDefault="00F05D2A" w:rsidP="00B64BE7">
      <w:pPr>
        <w:tabs>
          <w:tab w:val="center" w:pos="5400"/>
        </w:tabs>
        <w:suppressAutoHyphens/>
        <w:jc w:val="center"/>
        <w:rPr>
          <w:rFonts w:ascii="Cambria" w:hAnsi="Cambria"/>
          <w:sz w:val="20"/>
          <w:szCs w:val="20"/>
          <w:lang w:val="es-ES_tradnl"/>
        </w:rPr>
      </w:pPr>
      <w:r w:rsidRPr="00BB1D25">
        <w:rPr>
          <w:rFonts w:ascii="Cambria" w:hAnsi="Cambria"/>
          <w:sz w:val="20"/>
          <w:szCs w:val="20"/>
          <w:lang w:val="es-ES_tradnl"/>
        </w:rPr>
        <w:t>PETICIÓN 706-04</w:t>
      </w:r>
    </w:p>
    <w:p w:rsidR="000E1570" w:rsidRPr="00BB1D25" w:rsidRDefault="000E1570" w:rsidP="00B64BE7">
      <w:pPr>
        <w:tabs>
          <w:tab w:val="center" w:pos="5400"/>
        </w:tabs>
        <w:suppressAutoHyphens/>
        <w:jc w:val="center"/>
        <w:rPr>
          <w:rFonts w:ascii="Cambria" w:hAnsi="Cambria"/>
          <w:sz w:val="20"/>
          <w:szCs w:val="20"/>
          <w:lang w:val="es-ES_tradnl"/>
        </w:rPr>
      </w:pPr>
      <w:r w:rsidRPr="00BB1D25">
        <w:rPr>
          <w:rFonts w:ascii="Cambria" w:hAnsi="Cambria"/>
          <w:sz w:val="20"/>
          <w:szCs w:val="20"/>
          <w:lang w:val="es-ES_tradnl"/>
        </w:rPr>
        <w:t>ADMISIBILIDAD</w:t>
      </w:r>
    </w:p>
    <w:p w:rsidR="00B3274C" w:rsidRPr="00BB1D25" w:rsidRDefault="00D649EE" w:rsidP="00B64BE7">
      <w:pPr>
        <w:tabs>
          <w:tab w:val="center" w:pos="5400"/>
        </w:tabs>
        <w:suppressAutoHyphens/>
        <w:jc w:val="center"/>
        <w:rPr>
          <w:rFonts w:ascii="Cambria" w:hAnsi="Cambria"/>
          <w:sz w:val="20"/>
          <w:szCs w:val="20"/>
          <w:lang w:val="es-ES_tradnl"/>
        </w:rPr>
      </w:pPr>
      <w:r w:rsidRPr="00BB1D25">
        <w:rPr>
          <w:rFonts w:ascii="Cambria" w:hAnsi="Cambria" w:cs="Arial"/>
          <w:spacing w:val="-2"/>
          <w:sz w:val="20"/>
          <w:szCs w:val="20"/>
          <w:lang w:val="es-ES"/>
        </w:rPr>
        <w:t>MARIO GALETOVIC SAPUNAR Y OTROS</w:t>
      </w:r>
    </w:p>
    <w:p w:rsidR="000E1570" w:rsidRPr="00BB1D25" w:rsidRDefault="00D649EE" w:rsidP="00B64BE7">
      <w:pPr>
        <w:tabs>
          <w:tab w:val="center" w:pos="5400"/>
        </w:tabs>
        <w:suppressAutoHyphens/>
        <w:jc w:val="center"/>
        <w:rPr>
          <w:rFonts w:ascii="Cambria" w:hAnsi="Cambria"/>
          <w:sz w:val="20"/>
          <w:szCs w:val="20"/>
          <w:lang w:val="es-ES_tradnl"/>
        </w:rPr>
      </w:pPr>
      <w:r w:rsidRPr="00BB1D25">
        <w:rPr>
          <w:rFonts w:ascii="Cambria" w:hAnsi="Cambria"/>
          <w:sz w:val="20"/>
          <w:szCs w:val="20"/>
          <w:lang w:val="es-ES_tradnl"/>
        </w:rPr>
        <w:t>CHILE</w:t>
      </w:r>
    </w:p>
    <w:p w:rsidR="000E1570" w:rsidRDefault="00DE0E5E" w:rsidP="00296D9C">
      <w:pPr>
        <w:tabs>
          <w:tab w:val="center" w:pos="5400"/>
        </w:tabs>
        <w:suppressAutoHyphens/>
        <w:jc w:val="center"/>
        <w:rPr>
          <w:rFonts w:ascii="Cambria" w:hAnsi="Cambria"/>
          <w:sz w:val="20"/>
          <w:szCs w:val="20"/>
          <w:lang w:val="es-ES_tradnl"/>
        </w:rPr>
      </w:pPr>
      <w:r>
        <w:rPr>
          <w:rFonts w:ascii="Cambria" w:hAnsi="Cambria"/>
          <w:sz w:val="20"/>
          <w:szCs w:val="20"/>
          <w:lang w:val="es-ES_tradnl"/>
        </w:rPr>
        <w:t>17</w:t>
      </w:r>
      <w:bookmarkStart w:id="1" w:name="_GoBack"/>
      <w:bookmarkEnd w:id="1"/>
      <w:r w:rsidR="000E1570" w:rsidRPr="00BB1D25">
        <w:rPr>
          <w:rFonts w:ascii="Cambria" w:hAnsi="Cambria"/>
          <w:sz w:val="20"/>
          <w:szCs w:val="20"/>
          <w:lang w:val="es-ES_tradnl"/>
        </w:rPr>
        <w:t xml:space="preserve"> DE </w:t>
      </w:r>
      <w:r w:rsidR="00D649EE" w:rsidRPr="00BB1D25">
        <w:rPr>
          <w:rFonts w:ascii="Cambria" w:hAnsi="Cambria"/>
          <w:sz w:val="20"/>
          <w:szCs w:val="20"/>
          <w:lang w:val="es-ES_tradnl"/>
        </w:rPr>
        <w:t>OCTUBRE</w:t>
      </w:r>
      <w:r w:rsidR="008D674B" w:rsidRPr="00BB1D25">
        <w:rPr>
          <w:rFonts w:ascii="Cambria" w:hAnsi="Cambria"/>
          <w:sz w:val="20"/>
          <w:szCs w:val="20"/>
          <w:lang w:val="es-ES_tradnl"/>
        </w:rPr>
        <w:t xml:space="preserve"> DE 2015</w:t>
      </w:r>
    </w:p>
    <w:p w:rsidR="00296D9C" w:rsidRPr="00296D9C" w:rsidRDefault="00296D9C" w:rsidP="00296D9C">
      <w:pPr>
        <w:tabs>
          <w:tab w:val="center" w:pos="5400"/>
        </w:tabs>
        <w:suppressAutoHyphens/>
        <w:jc w:val="center"/>
        <w:rPr>
          <w:rFonts w:ascii="Cambria" w:hAnsi="Cambria"/>
          <w:sz w:val="20"/>
          <w:szCs w:val="20"/>
          <w:lang w:val="es-ES_tradnl"/>
        </w:rPr>
      </w:pPr>
    </w:p>
    <w:p w:rsidR="000E1570" w:rsidRPr="00BB1D25" w:rsidRDefault="000E1570" w:rsidP="00BB1D2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ascii="Cambria" w:hAnsi="Cambria"/>
          <w:b/>
          <w:bCs/>
          <w:kern w:val="36"/>
          <w:sz w:val="20"/>
          <w:szCs w:val="20"/>
          <w:lang w:val="es-ES"/>
        </w:rPr>
      </w:pPr>
      <w:r w:rsidRPr="00BB1D25">
        <w:rPr>
          <w:rFonts w:ascii="Cambria" w:hAnsi="Cambria"/>
          <w:b/>
          <w:bCs/>
          <w:kern w:val="36"/>
          <w:sz w:val="20"/>
          <w:szCs w:val="20"/>
          <w:lang w:val="es-ES"/>
        </w:rPr>
        <w:t>RESUMEN</w:t>
      </w:r>
    </w:p>
    <w:p w:rsidR="000E1570" w:rsidRPr="00BB1D25" w:rsidRDefault="000E1570" w:rsidP="00BB1D25">
      <w:pPr>
        <w:jc w:val="both"/>
        <w:rPr>
          <w:rFonts w:ascii="Cambria" w:hAnsi="Cambria"/>
          <w:b/>
          <w:sz w:val="20"/>
          <w:szCs w:val="20"/>
        </w:rPr>
      </w:pPr>
    </w:p>
    <w:p w:rsidR="006D641E" w:rsidRPr="00B143B3" w:rsidRDefault="000E1570" w:rsidP="00BB1D2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BB1D25">
        <w:rPr>
          <w:rFonts w:ascii="Cambria" w:hAnsi="Cambria"/>
          <w:sz w:val="20"/>
          <w:szCs w:val="20"/>
          <w:lang w:val="es-ES"/>
        </w:rPr>
        <w:t>El</w:t>
      </w:r>
      <w:r w:rsidR="008779CC" w:rsidRPr="00BB1D25">
        <w:rPr>
          <w:rFonts w:ascii="Cambria" w:hAnsi="Cambria" w:cs="Arial"/>
          <w:spacing w:val="-2"/>
          <w:sz w:val="20"/>
          <w:szCs w:val="20"/>
          <w:lang w:val="es-ES"/>
        </w:rPr>
        <w:t xml:space="preserve"> 21</w:t>
      </w:r>
      <w:r w:rsidR="005670C9" w:rsidRPr="00BB1D25">
        <w:rPr>
          <w:rFonts w:ascii="Cambria" w:hAnsi="Cambria" w:cs="Arial"/>
          <w:spacing w:val="-2"/>
          <w:sz w:val="20"/>
          <w:szCs w:val="20"/>
          <w:lang w:val="es-ES"/>
        </w:rPr>
        <w:t xml:space="preserve"> de julio de 2004</w:t>
      </w:r>
      <w:r w:rsidRPr="00BB1D25">
        <w:rPr>
          <w:rFonts w:ascii="Cambria" w:hAnsi="Cambria" w:cs="Arial"/>
          <w:spacing w:val="-2"/>
          <w:sz w:val="20"/>
          <w:szCs w:val="20"/>
          <w:lang w:val="es-ES"/>
        </w:rPr>
        <w:t xml:space="preserve">, </w:t>
      </w:r>
      <w:r w:rsidR="006D641E" w:rsidRPr="00BB1D25">
        <w:rPr>
          <w:rFonts w:ascii="Cambria" w:hAnsi="Cambria" w:cs="Arial"/>
          <w:spacing w:val="-2"/>
          <w:sz w:val="20"/>
          <w:szCs w:val="20"/>
          <w:lang w:val="es-ES"/>
        </w:rPr>
        <w:t xml:space="preserve">la Comisión Interamericana de Derechos Humanos (en adelante “la Comisión” o la “CIDH”) recibió una petición presentada por </w:t>
      </w:r>
      <w:r w:rsidR="00E11545" w:rsidRPr="00BB1D25">
        <w:rPr>
          <w:rFonts w:ascii="Cambria" w:hAnsi="Cambria" w:cs="Arial"/>
          <w:spacing w:val="-2"/>
          <w:sz w:val="20"/>
          <w:szCs w:val="20"/>
          <w:lang w:val="es-ES"/>
        </w:rPr>
        <w:t>Mario Galetovic Sapunar</w:t>
      </w:r>
      <w:r w:rsidR="003B4BED" w:rsidRPr="00BB1D25">
        <w:rPr>
          <w:rFonts w:ascii="Cambria" w:hAnsi="Cambria" w:cs="Arial"/>
          <w:spacing w:val="-2"/>
          <w:sz w:val="20"/>
          <w:szCs w:val="20"/>
          <w:lang w:val="es-ES"/>
        </w:rPr>
        <w:t xml:space="preserve"> (en adelante “el peticionario”)</w:t>
      </w:r>
      <w:r w:rsidR="00014EE9" w:rsidRPr="00BB1D25">
        <w:rPr>
          <w:rFonts w:ascii="Cambria" w:hAnsi="Cambria" w:cs="Arial"/>
          <w:spacing w:val="-2"/>
          <w:sz w:val="20"/>
          <w:szCs w:val="20"/>
          <w:lang w:val="es-ES"/>
        </w:rPr>
        <w:t xml:space="preserve">, </w:t>
      </w:r>
      <w:r w:rsidR="00855675">
        <w:rPr>
          <w:rFonts w:ascii="Cambria" w:hAnsi="Cambria" w:cs="Arial"/>
          <w:spacing w:val="-2"/>
          <w:sz w:val="20"/>
          <w:szCs w:val="20"/>
          <w:lang w:val="es-ES"/>
        </w:rPr>
        <w:t>en la cual se alegó</w:t>
      </w:r>
      <w:r w:rsidR="006D641E" w:rsidRPr="00BB1D25">
        <w:rPr>
          <w:rFonts w:ascii="Cambria" w:hAnsi="Cambria" w:cs="Arial"/>
          <w:spacing w:val="-2"/>
          <w:sz w:val="20"/>
          <w:szCs w:val="20"/>
          <w:lang w:val="es-ES"/>
        </w:rPr>
        <w:t xml:space="preserve"> la responsabilidad internacional del Estado de Chile (en adelante “el Estado” o “Chile”) por la presunta violación de los artículos </w:t>
      </w:r>
      <w:r w:rsidR="006D641E" w:rsidRPr="00BB1D25">
        <w:rPr>
          <w:rFonts w:ascii="Cambria" w:hAnsi="Cambria"/>
          <w:sz w:val="20"/>
          <w:szCs w:val="20"/>
          <w:lang w:val="es-ES"/>
        </w:rPr>
        <w:t xml:space="preserve">13 (libertad de expresión), </w:t>
      </w:r>
      <w:r w:rsidR="006D641E" w:rsidRPr="00BB1D25">
        <w:rPr>
          <w:rFonts w:ascii="Cambria" w:hAnsi="Cambria" w:cs="Arial"/>
          <w:spacing w:val="-2"/>
          <w:sz w:val="20"/>
          <w:szCs w:val="20"/>
          <w:lang w:val="es-ES"/>
        </w:rPr>
        <w:t>21 (propiedad privada) y 25 (protección judicial</w:t>
      </w:r>
      <w:r w:rsidR="006D641E" w:rsidRPr="00BB1D25">
        <w:rPr>
          <w:rFonts w:ascii="Cambria" w:hAnsi="Cambria"/>
          <w:sz w:val="20"/>
          <w:szCs w:val="20"/>
          <w:lang w:val="es-ES"/>
        </w:rPr>
        <w:t xml:space="preserve">) de la </w:t>
      </w:r>
      <w:r w:rsidR="00C84F77" w:rsidRPr="00BB1D25">
        <w:rPr>
          <w:rFonts w:ascii="Cambria" w:hAnsi="Cambria"/>
          <w:sz w:val="20"/>
          <w:szCs w:val="20"/>
          <w:lang w:val="es-ES"/>
        </w:rPr>
        <w:t>Convención</w:t>
      </w:r>
      <w:r w:rsidR="006D641E" w:rsidRPr="00BB1D25">
        <w:rPr>
          <w:rFonts w:ascii="Cambria" w:hAnsi="Cambria"/>
          <w:sz w:val="20"/>
          <w:szCs w:val="20"/>
          <w:lang w:val="es-ES"/>
        </w:rPr>
        <w:t xml:space="preserve"> Americana sobre Derechos Humanos (en adelante la “</w:t>
      </w:r>
      <w:r w:rsidR="00C84F77" w:rsidRPr="00BB1D25">
        <w:rPr>
          <w:rFonts w:ascii="Cambria" w:hAnsi="Cambria"/>
          <w:sz w:val="20"/>
          <w:szCs w:val="20"/>
          <w:lang w:val="es-ES"/>
        </w:rPr>
        <w:t>Convención</w:t>
      </w:r>
      <w:r w:rsidR="006D641E" w:rsidRPr="00BB1D25">
        <w:rPr>
          <w:rFonts w:ascii="Cambria" w:hAnsi="Cambria"/>
          <w:sz w:val="20"/>
          <w:szCs w:val="20"/>
          <w:lang w:val="es-ES"/>
        </w:rPr>
        <w:t xml:space="preserve"> Americana” o la “</w:t>
      </w:r>
      <w:r w:rsidR="00C84F77" w:rsidRPr="00BB1D25">
        <w:rPr>
          <w:rFonts w:ascii="Cambria" w:hAnsi="Cambria"/>
          <w:sz w:val="20"/>
          <w:szCs w:val="20"/>
          <w:lang w:val="es-ES"/>
        </w:rPr>
        <w:t>Convención</w:t>
      </w:r>
      <w:r w:rsidR="006D641E" w:rsidRPr="00BB1D25">
        <w:rPr>
          <w:rFonts w:ascii="Cambria" w:hAnsi="Cambria"/>
          <w:sz w:val="20"/>
          <w:szCs w:val="20"/>
          <w:lang w:val="es-ES"/>
        </w:rPr>
        <w:t xml:space="preserve">”) en su perjuicio y en perjuicio </w:t>
      </w:r>
      <w:r w:rsidR="00E11545" w:rsidRPr="00BB1D25">
        <w:rPr>
          <w:rFonts w:ascii="Cambria" w:hAnsi="Cambria" w:cs="Arial"/>
          <w:spacing w:val="-2"/>
          <w:sz w:val="20"/>
          <w:szCs w:val="20"/>
          <w:lang w:val="es-ES"/>
        </w:rPr>
        <w:t>de</w:t>
      </w:r>
      <w:r w:rsidR="001E3FA4" w:rsidRPr="00BB1D25">
        <w:rPr>
          <w:rFonts w:ascii="Cambria" w:hAnsi="Cambria" w:cs="Arial"/>
          <w:spacing w:val="-2"/>
          <w:sz w:val="20"/>
          <w:szCs w:val="20"/>
          <w:lang w:val="es-ES"/>
        </w:rPr>
        <w:t xml:space="preserve"> Daniel Ruiz Oyarzo, Carlos González Jaksic, O</w:t>
      </w:r>
      <w:r w:rsidR="0052078E" w:rsidRPr="00BB1D25">
        <w:rPr>
          <w:rFonts w:ascii="Cambria" w:hAnsi="Cambria" w:cs="Arial"/>
          <w:spacing w:val="-2"/>
          <w:sz w:val="20"/>
          <w:szCs w:val="20"/>
          <w:lang w:val="es-ES"/>
        </w:rPr>
        <w:t xml:space="preserve">scar </w:t>
      </w:r>
      <w:r w:rsidR="001E3FA4" w:rsidRPr="00BB1D25">
        <w:rPr>
          <w:rFonts w:ascii="Cambria" w:hAnsi="Cambria" w:cs="Arial"/>
          <w:spacing w:val="-2"/>
          <w:sz w:val="20"/>
          <w:szCs w:val="20"/>
          <w:lang w:val="es-ES"/>
        </w:rPr>
        <w:t>Santiago Mayorga</w:t>
      </w:r>
      <w:r w:rsidR="00CC20B4" w:rsidRPr="00BB1D25">
        <w:rPr>
          <w:rFonts w:ascii="Cambria" w:hAnsi="Cambria" w:cs="Arial"/>
          <w:spacing w:val="-2"/>
          <w:sz w:val="20"/>
          <w:szCs w:val="20"/>
          <w:lang w:val="es-ES"/>
        </w:rPr>
        <w:t xml:space="preserve"> Paredes</w:t>
      </w:r>
      <w:r w:rsidR="0052078E" w:rsidRPr="00BB1D25">
        <w:rPr>
          <w:rFonts w:ascii="Cambria" w:hAnsi="Cambria" w:cs="Arial"/>
          <w:spacing w:val="-2"/>
          <w:sz w:val="20"/>
          <w:szCs w:val="20"/>
          <w:lang w:val="es-ES"/>
        </w:rPr>
        <w:t xml:space="preserve">, Hugo René </w:t>
      </w:r>
      <w:r w:rsidR="008779CC" w:rsidRPr="00BB1D25">
        <w:rPr>
          <w:rFonts w:ascii="Cambria" w:hAnsi="Cambria" w:cs="Arial"/>
          <w:spacing w:val="-2"/>
          <w:sz w:val="20"/>
          <w:szCs w:val="20"/>
          <w:lang w:val="es-ES"/>
        </w:rPr>
        <w:t>Formantel Díaz</w:t>
      </w:r>
      <w:r w:rsidR="0052078E" w:rsidRPr="00BB1D25">
        <w:rPr>
          <w:rFonts w:ascii="Cambria" w:hAnsi="Cambria" w:cs="Arial"/>
          <w:spacing w:val="-2"/>
          <w:sz w:val="20"/>
          <w:szCs w:val="20"/>
          <w:lang w:val="es-ES"/>
        </w:rPr>
        <w:t xml:space="preserve"> y Nestor Edmundo Navarro Alvarado</w:t>
      </w:r>
      <w:r w:rsidR="008E15E3" w:rsidRPr="00BB1D25">
        <w:rPr>
          <w:rFonts w:ascii="Cambria" w:hAnsi="Cambria" w:cs="Arial"/>
          <w:spacing w:val="-2"/>
          <w:sz w:val="20"/>
          <w:szCs w:val="20"/>
          <w:lang w:val="es-ES"/>
        </w:rPr>
        <w:t xml:space="preserve"> (</w:t>
      </w:r>
      <w:r w:rsidR="003B4BED" w:rsidRPr="00BB1D25">
        <w:rPr>
          <w:rFonts w:ascii="Cambria" w:hAnsi="Cambria"/>
          <w:sz w:val="20"/>
          <w:szCs w:val="20"/>
          <w:lang w:val="es-ES"/>
        </w:rPr>
        <w:t xml:space="preserve">en adelante  “las presuntas </w:t>
      </w:r>
      <w:r w:rsidR="003B4BED" w:rsidRPr="00B143B3">
        <w:rPr>
          <w:rFonts w:ascii="Cambria" w:hAnsi="Cambria"/>
          <w:sz w:val="20"/>
          <w:szCs w:val="20"/>
          <w:lang w:val="es-ES"/>
        </w:rPr>
        <w:t>víctimas</w:t>
      </w:r>
      <w:r w:rsidR="008E15E3" w:rsidRPr="00B143B3">
        <w:rPr>
          <w:rFonts w:ascii="Cambria" w:hAnsi="Cambria"/>
          <w:sz w:val="20"/>
          <w:szCs w:val="20"/>
          <w:lang w:val="es-ES"/>
        </w:rPr>
        <w:t>” )</w:t>
      </w:r>
      <w:r w:rsidR="006D641E" w:rsidRPr="00B143B3">
        <w:rPr>
          <w:rFonts w:ascii="Cambria" w:hAnsi="Cambria" w:cs="Arial"/>
          <w:spacing w:val="-2"/>
          <w:sz w:val="20"/>
          <w:szCs w:val="20"/>
          <w:lang w:val="es-ES"/>
        </w:rPr>
        <w:t>.</w:t>
      </w:r>
    </w:p>
    <w:p w:rsidR="00A34A1D" w:rsidRPr="00B143B3" w:rsidRDefault="00A34A1D" w:rsidP="00BB1D2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9160C7" w:rsidRPr="00B143B3" w:rsidRDefault="008A05FF" w:rsidP="0024362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B143B3">
        <w:rPr>
          <w:rFonts w:ascii="Cambria" w:hAnsi="Cambria"/>
          <w:sz w:val="20"/>
          <w:szCs w:val="20"/>
          <w:lang w:val="es-ES"/>
        </w:rPr>
        <w:t xml:space="preserve">La presente petición se relaciona con </w:t>
      </w:r>
      <w:r w:rsidR="00203B8C" w:rsidRPr="00B143B3">
        <w:rPr>
          <w:rFonts w:ascii="Cambria" w:hAnsi="Cambria"/>
          <w:sz w:val="20"/>
          <w:szCs w:val="20"/>
          <w:lang w:val="es-ES"/>
        </w:rPr>
        <w:t xml:space="preserve">la decisión </w:t>
      </w:r>
      <w:r w:rsidR="00891F1D" w:rsidRPr="00B143B3">
        <w:rPr>
          <w:rFonts w:ascii="Cambria" w:hAnsi="Cambria"/>
          <w:sz w:val="20"/>
          <w:szCs w:val="20"/>
          <w:lang w:val="es-ES"/>
        </w:rPr>
        <w:t xml:space="preserve">de 21 de enero de 2004, mediante la cual </w:t>
      </w:r>
      <w:r w:rsidR="00203B8C" w:rsidRPr="00B143B3">
        <w:rPr>
          <w:rFonts w:ascii="Cambria" w:hAnsi="Cambria"/>
          <w:sz w:val="20"/>
          <w:szCs w:val="20"/>
          <w:lang w:val="es-ES"/>
        </w:rPr>
        <w:t xml:space="preserve">la Corte Suprema de Justicia de Chile </w:t>
      </w:r>
      <w:r w:rsidR="00891F1D" w:rsidRPr="00B143B3">
        <w:rPr>
          <w:rFonts w:ascii="Cambria" w:hAnsi="Cambria"/>
          <w:sz w:val="20"/>
          <w:szCs w:val="20"/>
          <w:lang w:val="es-ES"/>
        </w:rPr>
        <w:t xml:space="preserve">negó </w:t>
      </w:r>
      <w:r w:rsidR="001511F0" w:rsidRPr="00B143B3">
        <w:rPr>
          <w:rFonts w:ascii="Cambria" w:hAnsi="Cambria"/>
          <w:sz w:val="20"/>
          <w:szCs w:val="20"/>
          <w:lang w:val="es-ES"/>
        </w:rPr>
        <w:t xml:space="preserve">a </w:t>
      </w:r>
      <w:r w:rsidR="006E7F29" w:rsidRPr="00B143B3">
        <w:rPr>
          <w:rFonts w:ascii="Cambria" w:hAnsi="Cambria"/>
          <w:sz w:val="20"/>
          <w:szCs w:val="20"/>
          <w:lang w:val="es-ES"/>
        </w:rPr>
        <w:t>las presuntas víctimas</w:t>
      </w:r>
      <w:r w:rsidR="00891F1D" w:rsidRPr="00B143B3">
        <w:rPr>
          <w:rFonts w:ascii="Cambria" w:hAnsi="Cambria"/>
          <w:sz w:val="20"/>
          <w:szCs w:val="20"/>
          <w:lang w:val="es-ES"/>
        </w:rPr>
        <w:t xml:space="preserve">– con base en la aplicación de </w:t>
      </w:r>
      <w:r w:rsidR="001511F0" w:rsidRPr="00B143B3">
        <w:rPr>
          <w:rFonts w:ascii="Cambria" w:hAnsi="Cambria"/>
          <w:sz w:val="20"/>
          <w:szCs w:val="20"/>
          <w:lang w:val="es-ES"/>
        </w:rPr>
        <w:t>la</w:t>
      </w:r>
      <w:r w:rsidR="00891F1D" w:rsidRPr="00B143B3">
        <w:rPr>
          <w:rFonts w:ascii="Cambria" w:hAnsi="Cambria"/>
          <w:sz w:val="20"/>
          <w:szCs w:val="20"/>
          <w:lang w:val="es-ES"/>
        </w:rPr>
        <w:t xml:space="preserve"> prescripción de la acción </w:t>
      </w:r>
      <w:r w:rsidR="001511F0" w:rsidRPr="00B143B3">
        <w:rPr>
          <w:rFonts w:ascii="Cambria" w:hAnsi="Cambria"/>
          <w:sz w:val="20"/>
          <w:szCs w:val="20"/>
          <w:lang w:val="es-ES"/>
        </w:rPr>
        <w:t>civil</w:t>
      </w:r>
      <w:r w:rsidR="00891F1D" w:rsidRPr="00B143B3">
        <w:rPr>
          <w:rFonts w:ascii="Cambria" w:hAnsi="Cambria"/>
          <w:sz w:val="20"/>
          <w:szCs w:val="20"/>
          <w:lang w:val="es-ES"/>
        </w:rPr>
        <w:t>-</w:t>
      </w:r>
      <w:r w:rsidR="00203B8C" w:rsidRPr="00B143B3">
        <w:rPr>
          <w:rFonts w:ascii="Cambria" w:hAnsi="Cambria"/>
          <w:sz w:val="20"/>
          <w:szCs w:val="20"/>
          <w:lang w:val="es-ES"/>
        </w:rPr>
        <w:t xml:space="preserve"> acceso a una reparación pecuniaria </w:t>
      </w:r>
      <w:r w:rsidR="00FC5AF1" w:rsidRPr="00B143B3">
        <w:rPr>
          <w:rFonts w:ascii="Cambria" w:hAnsi="Cambria"/>
          <w:sz w:val="20"/>
          <w:szCs w:val="20"/>
          <w:lang w:val="es-ES"/>
        </w:rPr>
        <w:t xml:space="preserve">que los indemnizara por </w:t>
      </w:r>
      <w:r w:rsidR="0034256A" w:rsidRPr="00B143B3">
        <w:rPr>
          <w:rFonts w:ascii="Cambria" w:hAnsi="Cambria"/>
          <w:sz w:val="20"/>
          <w:szCs w:val="20"/>
          <w:lang w:val="es-ES"/>
        </w:rPr>
        <w:t xml:space="preserve">acciones </w:t>
      </w:r>
      <w:r w:rsidR="00FC5AF1" w:rsidRPr="00B143B3">
        <w:rPr>
          <w:rFonts w:ascii="Cambria" w:hAnsi="Cambria"/>
          <w:sz w:val="20"/>
          <w:szCs w:val="20"/>
          <w:lang w:val="es-ES"/>
        </w:rPr>
        <w:t xml:space="preserve">emprendidas </w:t>
      </w:r>
      <w:r w:rsidR="00243621" w:rsidRPr="00B143B3">
        <w:rPr>
          <w:rFonts w:ascii="Cambria" w:hAnsi="Cambria"/>
          <w:sz w:val="20"/>
          <w:szCs w:val="20"/>
          <w:lang w:val="es-ES"/>
        </w:rPr>
        <w:t xml:space="preserve">en su contra </w:t>
      </w:r>
      <w:r w:rsidR="00D40E80" w:rsidRPr="00B143B3">
        <w:rPr>
          <w:rFonts w:ascii="Cambria" w:hAnsi="Cambria"/>
          <w:sz w:val="20"/>
          <w:szCs w:val="20"/>
          <w:lang w:val="es-ES"/>
        </w:rPr>
        <w:t xml:space="preserve">tras el golpe </w:t>
      </w:r>
      <w:r w:rsidR="0034256A" w:rsidRPr="00B143B3">
        <w:rPr>
          <w:rFonts w:ascii="Cambria" w:hAnsi="Cambria"/>
          <w:sz w:val="20"/>
          <w:szCs w:val="20"/>
          <w:lang w:val="es-ES"/>
        </w:rPr>
        <w:t>de</w:t>
      </w:r>
      <w:r w:rsidR="00D40E80" w:rsidRPr="00B143B3">
        <w:rPr>
          <w:rFonts w:ascii="Cambria" w:hAnsi="Cambria"/>
          <w:sz w:val="20"/>
          <w:szCs w:val="20"/>
          <w:lang w:val="es-ES"/>
        </w:rPr>
        <w:t xml:space="preserve"> 11 de septiembre de</w:t>
      </w:r>
      <w:r w:rsidR="0034256A" w:rsidRPr="00B143B3">
        <w:rPr>
          <w:rFonts w:ascii="Cambria" w:hAnsi="Cambria"/>
          <w:sz w:val="20"/>
          <w:szCs w:val="20"/>
          <w:lang w:val="es-ES"/>
        </w:rPr>
        <w:t xml:space="preserve"> 197</w:t>
      </w:r>
      <w:r w:rsidR="006904EE">
        <w:rPr>
          <w:rFonts w:ascii="Cambria" w:hAnsi="Cambria"/>
          <w:sz w:val="20"/>
          <w:szCs w:val="20"/>
          <w:lang w:val="es-ES"/>
        </w:rPr>
        <w:t>3</w:t>
      </w:r>
      <w:r w:rsidR="00243621" w:rsidRPr="00B143B3">
        <w:rPr>
          <w:rFonts w:ascii="Cambria" w:hAnsi="Cambria"/>
          <w:sz w:val="20"/>
          <w:szCs w:val="20"/>
          <w:lang w:val="es-ES"/>
        </w:rPr>
        <w:t xml:space="preserve">. Según el peticionario, la acción civil </w:t>
      </w:r>
      <w:r w:rsidR="004970E8" w:rsidRPr="00B143B3">
        <w:rPr>
          <w:rFonts w:ascii="Cambria" w:hAnsi="Cambria"/>
          <w:sz w:val="20"/>
          <w:szCs w:val="20"/>
          <w:lang w:val="es-ES"/>
        </w:rPr>
        <w:t xml:space="preserve">que interpuso en 1995 </w:t>
      </w:r>
      <w:r w:rsidR="00243621" w:rsidRPr="00B143B3">
        <w:rPr>
          <w:rFonts w:ascii="Cambria" w:hAnsi="Cambria"/>
          <w:sz w:val="20"/>
          <w:szCs w:val="20"/>
          <w:lang w:val="es-ES"/>
        </w:rPr>
        <w:t xml:space="preserve">buscaba revertir los efectos de decretos emitidos por el gobierno de facto en los que se resolvió </w:t>
      </w:r>
      <w:r w:rsidR="004970E8" w:rsidRPr="00B143B3">
        <w:rPr>
          <w:rFonts w:ascii="Cambria" w:hAnsi="Cambria"/>
          <w:sz w:val="20"/>
          <w:szCs w:val="20"/>
          <w:lang w:val="es-ES"/>
        </w:rPr>
        <w:t xml:space="preserve">“para acallar disidencias políticas” </w:t>
      </w:r>
      <w:r w:rsidR="001511F0" w:rsidRPr="00B143B3">
        <w:rPr>
          <w:rFonts w:ascii="Cambria" w:hAnsi="Cambria"/>
          <w:sz w:val="20"/>
          <w:szCs w:val="20"/>
          <w:lang w:val="es-ES"/>
        </w:rPr>
        <w:t xml:space="preserve">la disolución y cierre de la radio </w:t>
      </w:r>
      <w:r w:rsidR="001511F0" w:rsidRPr="00B143B3">
        <w:rPr>
          <w:rFonts w:ascii="Cambria" w:hAnsi="Cambria"/>
          <w:i/>
          <w:sz w:val="20"/>
          <w:szCs w:val="20"/>
          <w:lang w:val="es-ES"/>
        </w:rPr>
        <w:t>La Voz del Sur</w:t>
      </w:r>
      <w:r w:rsidR="001511F0" w:rsidRPr="00B143B3">
        <w:rPr>
          <w:rFonts w:ascii="Cambria" w:hAnsi="Cambria"/>
          <w:sz w:val="20"/>
          <w:szCs w:val="20"/>
          <w:lang w:val="es-ES"/>
        </w:rPr>
        <w:t xml:space="preserve">, </w:t>
      </w:r>
      <w:r w:rsidR="0034256A" w:rsidRPr="00B143B3">
        <w:rPr>
          <w:rFonts w:ascii="Cambria" w:hAnsi="Cambria"/>
          <w:sz w:val="20"/>
          <w:szCs w:val="20"/>
          <w:lang w:val="es-ES"/>
        </w:rPr>
        <w:t xml:space="preserve">de </w:t>
      </w:r>
      <w:r w:rsidR="00243621" w:rsidRPr="00B143B3">
        <w:rPr>
          <w:rFonts w:ascii="Cambria" w:hAnsi="Cambria"/>
          <w:sz w:val="20"/>
          <w:szCs w:val="20"/>
          <w:lang w:val="es-ES"/>
        </w:rPr>
        <w:t>su propiedad</w:t>
      </w:r>
      <w:r w:rsidR="0034256A" w:rsidRPr="00B143B3">
        <w:rPr>
          <w:rFonts w:ascii="Cambria" w:hAnsi="Cambria"/>
          <w:sz w:val="20"/>
          <w:szCs w:val="20"/>
          <w:lang w:val="es-ES"/>
        </w:rPr>
        <w:t xml:space="preserve">, </w:t>
      </w:r>
      <w:r w:rsidR="001511F0" w:rsidRPr="00B143B3">
        <w:rPr>
          <w:rFonts w:ascii="Cambria" w:hAnsi="Cambria"/>
          <w:sz w:val="20"/>
          <w:szCs w:val="20"/>
          <w:lang w:val="es-ES"/>
        </w:rPr>
        <w:t xml:space="preserve">así como la confiscación de los bienes e </w:t>
      </w:r>
      <w:r w:rsidR="00A74727" w:rsidRPr="00B143B3">
        <w:rPr>
          <w:rFonts w:ascii="Cambria" w:hAnsi="Cambria"/>
          <w:sz w:val="20"/>
          <w:szCs w:val="20"/>
          <w:lang w:val="es-ES"/>
        </w:rPr>
        <w:t>instalaciones</w:t>
      </w:r>
      <w:r w:rsidR="001511F0" w:rsidRPr="00B143B3">
        <w:rPr>
          <w:rFonts w:ascii="Cambria" w:hAnsi="Cambria"/>
          <w:sz w:val="20"/>
          <w:szCs w:val="20"/>
          <w:lang w:val="es-ES"/>
        </w:rPr>
        <w:t xml:space="preserve"> de la radio. </w:t>
      </w:r>
      <w:r w:rsidR="009160C7" w:rsidRPr="00B143B3">
        <w:rPr>
          <w:rFonts w:ascii="Cambria" w:hAnsi="Cambria"/>
          <w:sz w:val="20"/>
          <w:szCs w:val="20"/>
          <w:lang w:val="es-ES"/>
        </w:rPr>
        <w:t>El peticionario alegó que</w:t>
      </w:r>
      <w:r w:rsidR="00243621" w:rsidRPr="00B143B3">
        <w:rPr>
          <w:rFonts w:ascii="Cambria" w:hAnsi="Cambria"/>
          <w:sz w:val="20"/>
          <w:szCs w:val="20"/>
          <w:lang w:val="es-ES"/>
        </w:rPr>
        <w:t xml:space="preserve"> la decisión adoptada </w:t>
      </w:r>
      <w:r w:rsidR="004761B8" w:rsidRPr="00B143B3">
        <w:rPr>
          <w:rFonts w:ascii="Cambria" w:hAnsi="Cambria"/>
          <w:sz w:val="20"/>
          <w:szCs w:val="20"/>
          <w:lang w:val="es-ES"/>
        </w:rPr>
        <w:t xml:space="preserve"> por el poder judicial vulneró</w:t>
      </w:r>
      <w:r w:rsidR="00477C5C" w:rsidRPr="00B143B3">
        <w:rPr>
          <w:rFonts w:ascii="Cambria" w:hAnsi="Cambria"/>
          <w:sz w:val="20"/>
          <w:szCs w:val="20"/>
          <w:lang w:val="es-ES"/>
        </w:rPr>
        <w:t xml:space="preserve"> </w:t>
      </w:r>
      <w:r w:rsidR="004761B8" w:rsidRPr="00B143B3">
        <w:rPr>
          <w:rFonts w:ascii="Cambria" w:hAnsi="Cambria"/>
          <w:sz w:val="20"/>
          <w:szCs w:val="20"/>
          <w:lang w:val="es-ES"/>
        </w:rPr>
        <w:t xml:space="preserve">su derecho de acceso a una justicia efectiva, y </w:t>
      </w:r>
      <w:r w:rsidR="009160C7" w:rsidRPr="00B143B3">
        <w:rPr>
          <w:rFonts w:ascii="Cambria" w:hAnsi="Cambria"/>
          <w:sz w:val="20"/>
          <w:szCs w:val="20"/>
          <w:lang w:val="es-ES"/>
        </w:rPr>
        <w:t xml:space="preserve">no </w:t>
      </w:r>
      <w:r w:rsidR="004761B8" w:rsidRPr="00B143B3">
        <w:rPr>
          <w:rFonts w:ascii="Cambria" w:hAnsi="Cambria"/>
          <w:sz w:val="20"/>
          <w:szCs w:val="20"/>
          <w:lang w:val="es-ES"/>
        </w:rPr>
        <w:t>“</w:t>
      </w:r>
      <w:r w:rsidR="009160C7" w:rsidRPr="00B143B3">
        <w:rPr>
          <w:rFonts w:ascii="Cambria" w:hAnsi="Cambria"/>
          <w:sz w:val="20"/>
          <w:szCs w:val="20"/>
          <w:lang w:val="es-ES"/>
        </w:rPr>
        <w:t xml:space="preserve">solamente </w:t>
      </w:r>
      <w:r w:rsidR="00243621" w:rsidRPr="00B143B3">
        <w:rPr>
          <w:rFonts w:ascii="Cambria" w:hAnsi="Cambria"/>
          <w:sz w:val="20"/>
          <w:szCs w:val="20"/>
          <w:lang w:val="es-ES"/>
        </w:rPr>
        <w:t>les</w:t>
      </w:r>
      <w:r w:rsidR="009160C7" w:rsidRPr="00B143B3">
        <w:rPr>
          <w:rFonts w:ascii="Cambria" w:hAnsi="Cambria"/>
          <w:sz w:val="20"/>
          <w:szCs w:val="20"/>
          <w:lang w:val="es-ES"/>
        </w:rPr>
        <w:t xml:space="preserve"> habría privad</w:t>
      </w:r>
      <w:r w:rsidR="004761B8" w:rsidRPr="00B143B3">
        <w:rPr>
          <w:rFonts w:ascii="Cambria" w:hAnsi="Cambria"/>
          <w:sz w:val="20"/>
          <w:szCs w:val="20"/>
          <w:lang w:val="es-ES"/>
        </w:rPr>
        <w:t>o de su derecho a la propiedad”, sino que les ha impedido</w:t>
      </w:r>
      <w:r w:rsidR="009160C7" w:rsidRPr="00B143B3">
        <w:rPr>
          <w:rFonts w:ascii="Cambria" w:hAnsi="Cambria"/>
          <w:sz w:val="20"/>
          <w:szCs w:val="20"/>
          <w:lang w:val="es-ES"/>
        </w:rPr>
        <w:t xml:space="preserve"> que</w:t>
      </w:r>
      <w:r w:rsidR="004761B8" w:rsidRPr="00B143B3">
        <w:rPr>
          <w:rFonts w:ascii="Cambria" w:hAnsi="Cambria"/>
          <w:sz w:val="20"/>
          <w:szCs w:val="20"/>
          <w:lang w:val="es-ES"/>
        </w:rPr>
        <w:t>, a través de una justa reparación,</w:t>
      </w:r>
      <w:r w:rsidR="009160C7" w:rsidRPr="00B143B3">
        <w:rPr>
          <w:rFonts w:ascii="Cambria" w:hAnsi="Cambria"/>
          <w:sz w:val="20"/>
          <w:szCs w:val="20"/>
          <w:lang w:val="es-ES"/>
        </w:rPr>
        <w:t xml:space="preserve"> </w:t>
      </w:r>
      <w:r w:rsidR="004761B8" w:rsidRPr="00B143B3">
        <w:rPr>
          <w:rFonts w:ascii="Cambria" w:hAnsi="Cambria"/>
          <w:sz w:val="20"/>
          <w:szCs w:val="20"/>
          <w:lang w:val="es-ES"/>
        </w:rPr>
        <w:t>su</w:t>
      </w:r>
      <w:r w:rsidR="009160C7" w:rsidRPr="00B143B3">
        <w:rPr>
          <w:rFonts w:ascii="Cambria" w:hAnsi="Cambria"/>
          <w:sz w:val="20"/>
          <w:szCs w:val="20"/>
          <w:lang w:val="es-ES"/>
        </w:rPr>
        <w:t xml:space="preserve"> </w:t>
      </w:r>
      <w:r w:rsidR="004761B8" w:rsidRPr="00B143B3">
        <w:rPr>
          <w:rFonts w:ascii="Cambria" w:hAnsi="Cambria"/>
          <w:sz w:val="20"/>
          <w:szCs w:val="20"/>
          <w:lang w:val="es-ES"/>
        </w:rPr>
        <w:t>“</w:t>
      </w:r>
      <w:r w:rsidR="009160C7" w:rsidRPr="00B143B3">
        <w:rPr>
          <w:rFonts w:ascii="Cambria" w:hAnsi="Cambria"/>
          <w:sz w:val="20"/>
          <w:szCs w:val="20"/>
          <w:lang w:val="es-ES"/>
        </w:rPr>
        <w:t>opinión pueda volver a ser comunicada</w:t>
      </w:r>
      <w:r w:rsidR="00477C5C" w:rsidRPr="00B143B3">
        <w:rPr>
          <w:rFonts w:ascii="Cambria" w:hAnsi="Cambria"/>
          <w:sz w:val="20"/>
          <w:szCs w:val="20"/>
          <w:lang w:val="es-ES"/>
        </w:rPr>
        <w:t>” una vez restaurada la democracia en su país</w:t>
      </w:r>
      <w:r w:rsidR="009160C7" w:rsidRPr="00B143B3">
        <w:rPr>
          <w:rFonts w:ascii="Cambria" w:hAnsi="Cambria"/>
          <w:sz w:val="20"/>
          <w:szCs w:val="20"/>
          <w:lang w:val="es-ES"/>
        </w:rPr>
        <w:t>.</w:t>
      </w:r>
    </w:p>
    <w:p w:rsidR="008A05FF" w:rsidRDefault="008A05FF" w:rsidP="001C4C6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BE7B61" w:rsidRPr="00BB1D25" w:rsidRDefault="000E1570" w:rsidP="00BB1D2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BB1D25">
        <w:rPr>
          <w:rFonts w:ascii="Cambria" w:hAnsi="Cambria"/>
          <w:sz w:val="20"/>
          <w:szCs w:val="20"/>
          <w:lang w:val="es-ES"/>
        </w:rPr>
        <w:t xml:space="preserve">Por su parte, el Estado </w:t>
      </w:r>
      <w:r w:rsidR="00107A7E" w:rsidRPr="00BB1D25">
        <w:rPr>
          <w:rFonts w:ascii="Cambria" w:hAnsi="Cambria"/>
          <w:sz w:val="20"/>
          <w:szCs w:val="20"/>
          <w:lang w:val="es-ES"/>
        </w:rPr>
        <w:t>señaló que</w:t>
      </w:r>
      <w:r w:rsidR="00A15868" w:rsidRPr="00BB1D25">
        <w:rPr>
          <w:rFonts w:ascii="Cambria" w:hAnsi="Cambria"/>
          <w:sz w:val="20"/>
          <w:szCs w:val="20"/>
          <w:lang w:val="es-ES"/>
        </w:rPr>
        <w:t xml:space="preserve"> la presente petición debería ser declarada inadmisible pues trataría de hechos anteriores a la fecha del depósito del Instrumento de Ratificación y cuyo principio de ejecución fue anterior al 11 de marzo de 1990. </w:t>
      </w:r>
      <w:r w:rsidR="00BE7B61" w:rsidRPr="00BB1D25">
        <w:rPr>
          <w:rFonts w:ascii="Cambria" w:eastAsia="Calibri" w:hAnsi="Cambria"/>
          <w:sz w:val="20"/>
          <w:szCs w:val="20"/>
          <w:lang w:val="es-ES" w:eastAsia="ja-JP"/>
        </w:rPr>
        <w:t>De acuerdo con el Estado, el presente caso integraría una de las limitaciones impuestas por el Gobierno de Chile al reconocimiento de competencia, es decir, se trataría de una restricción temporal</w:t>
      </w:r>
      <w:r w:rsidR="003D3BA8" w:rsidRPr="00BB1D25">
        <w:rPr>
          <w:rFonts w:ascii="Cambria" w:eastAsia="Calibri" w:hAnsi="Cambria"/>
          <w:sz w:val="20"/>
          <w:szCs w:val="20"/>
          <w:lang w:val="es-ES" w:eastAsia="ja-JP"/>
        </w:rPr>
        <w:t xml:space="preserve">. </w:t>
      </w:r>
      <w:r w:rsidR="00BE7B61" w:rsidRPr="00BB1D25">
        <w:rPr>
          <w:rFonts w:ascii="Cambria" w:hAnsi="Cambria"/>
          <w:sz w:val="20"/>
          <w:szCs w:val="20"/>
          <w:lang w:val="es-ES"/>
        </w:rPr>
        <w:t xml:space="preserve">Igualmente </w:t>
      </w:r>
      <w:r w:rsidR="008A05FF">
        <w:rPr>
          <w:rFonts w:ascii="Cambria" w:hAnsi="Cambria"/>
          <w:sz w:val="20"/>
          <w:szCs w:val="20"/>
          <w:lang w:val="es-ES"/>
        </w:rPr>
        <w:t>sostiene</w:t>
      </w:r>
      <w:r w:rsidR="00BE7B61" w:rsidRPr="00BB1D25">
        <w:rPr>
          <w:rFonts w:ascii="Cambria" w:hAnsi="Cambria"/>
          <w:sz w:val="20"/>
          <w:szCs w:val="20"/>
          <w:lang w:val="es-ES"/>
        </w:rPr>
        <w:t xml:space="preserve"> que “al conferir la competencia a la Comisión y a la Corte Interamericana de Derechos Humanos, declara que estos órganos, al aplicar lo preceptuado en el párrafo segundo del artículo 21 de la Convención, no podrán pronunciarse acerca de las razones de utilidad pública o de interés social que se hayan tenido en consideración al privar de sus bienes a una persona”.</w:t>
      </w:r>
      <w:r w:rsidR="003D3BA8" w:rsidRPr="00BB1D25">
        <w:rPr>
          <w:rFonts w:ascii="Cambria" w:hAnsi="Cambria"/>
          <w:sz w:val="20"/>
          <w:szCs w:val="20"/>
          <w:lang w:val="es-ES"/>
        </w:rPr>
        <w:t xml:space="preserve"> </w:t>
      </w:r>
    </w:p>
    <w:p w:rsidR="00BE7B61" w:rsidRPr="00BB1D25" w:rsidRDefault="00BE7B61" w:rsidP="00BB1D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0E1570" w:rsidRPr="00BB1D25" w:rsidRDefault="00A34A1D" w:rsidP="00BB1D2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BB1D25">
        <w:rPr>
          <w:rFonts w:ascii="Cambria" w:eastAsia="Calibri" w:hAnsi="Cambria"/>
          <w:sz w:val="20"/>
          <w:szCs w:val="20"/>
          <w:lang w:val="es-ES" w:eastAsia="ja-JP"/>
        </w:rPr>
        <w:t> </w:t>
      </w:r>
      <w:r w:rsidR="000E1570" w:rsidRPr="00BB1D25">
        <w:rPr>
          <w:rFonts w:ascii="Cambria" w:hAnsi="Cambria"/>
          <w:sz w:val="20"/>
          <w:szCs w:val="20"/>
          <w:lang w:val="es-ES"/>
        </w:rPr>
        <w:t>Tras analizar las posiciones de las partes</w:t>
      </w:r>
      <w:r w:rsidR="004959B7" w:rsidRPr="00BB1D25">
        <w:rPr>
          <w:rFonts w:ascii="Cambria" w:hAnsi="Cambria"/>
          <w:sz w:val="20"/>
          <w:szCs w:val="20"/>
          <w:lang w:val="es-ES"/>
        </w:rPr>
        <w:t xml:space="preserve"> a la luz de los requisitos de admisibilidad establecidos en los artículos 46 y 47 de la </w:t>
      </w:r>
      <w:r w:rsidR="008D674B" w:rsidRPr="00BB1D25">
        <w:rPr>
          <w:rFonts w:ascii="Cambria" w:hAnsi="Cambria"/>
          <w:sz w:val="20"/>
          <w:szCs w:val="20"/>
          <w:lang w:val="es-ES"/>
        </w:rPr>
        <w:t>Convención</w:t>
      </w:r>
      <w:r w:rsidR="004959B7" w:rsidRPr="00BB1D25">
        <w:rPr>
          <w:rFonts w:ascii="Cambria" w:hAnsi="Cambria"/>
          <w:sz w:val="20"/>
          <w:szCs w:val="20"/>
          <w:lang w:val="es-ES"/>
        </w:rPr>
        <w:t xml:space="preserve"> Americana, así como en los artículos 30 y 36 del Reglamento de la CIDH, y sin prejuzgar sobre el fondo del asunto, la </w:t>
      </w:r>
      <w:r w:rsidR="008D674B" w:rsidRPr="00BB1D25">
        <w:rPr>
          <w:rFonts w:ascii="Cambria" w:hAnsi="Cambria"/>
          <w:sz w:val="20"/>
          <w:szCs w:val="20"/>
          <w:lang w:val="es-ES"/>
        </w:rPr>
        <w:t>Comisión</w:t>
      </w:r>
      <w:r w:rsidR="004959B7" w:rsidRPr="00BB1D25">
        <w:rPr>
          <w:rFonts w:ascii="Cambria" w:hAnsi="Cambria"/>
          <w:sz w:val="20"/>
          <w:szCs w:val="20"/>
          <w:lang w:val="es-ES"/>
        </w:rPr>
        <w:t xml:space="preserve"> Interamericana decide declarar la petición admisible respecto de la presunta violación de los </w:t>
      </w:r>
      <w:r w:rsidR="004959B7" w:rsidRPr="00CE7C75">
        <w:rPr>
          <w:rFonts w:ascii="Cambria" w:hAnsi="Cambria"/>
          <w:sz w:val="20"/>
          <w:szCs w:val="20"/>
          <w:lang w:val="es-ES"/>
        </w:rPr>
        <w:t xml:space="preserve">artículos </w:t>
      </w:r>
      <w:r w:rsidR="00A74727" w:rsidRPr="00CE7C75">
        <w:rPr>
          <w:rFonts w:ascii="Cambria" w:hAnsi="Cambria"/>
          <w:sz w:val="20"/>
          <w:szCs w:val="20"/>
          <w:lang w:val="es-ES"/>
        </w:rPr>
        <w:t xml:space="preserve">8 (garantías judiciales), 13 (libertad de expresión), </w:t>
      </w:r>
      <w:r w:rsidR="00A74727" w:rsidRPr="00CE7C75">
        <w:rPr>
          <w:rFonts w:ascii="Cambria" w:hAnsi="Cambria" w:cs="Arial"/>
          <w:spacing w:val="-2"/>
          <w:sz w:val="20"/>
          <w:szCs w:val="20"/>
          <w:lang w:val="es-ES"/>
        </w:rPr>
        <w:t>21 (propiedad privada) y 25 (protección judicial</w:t>
      </w:r>
      <w:r w:rsidR="00A74727" w:rsidRPr="00CE7C75">
        <w:rPr>
          <w:rFonts w:ascii="Cambria" w:hAnsi="Cambria"/>
          <w:sz w:val="20"/>
          <w:szCs w:val="20"/>
          <w:lang w:val="es-ES"/>
        </w:rPr>
        <w:t xml:space="preserve">) </w:t>
      </w:r>
      <w:r w:rsidR="000E1570" w:rsidRPr="00CE7C75">
        <w:rPr>
          <w:rFonts w:ascii="Cambria" w:hAnsi="Cambria"/>
          <w:sz w:val="20"/>
          <w:szCs w:val="20"/>
          <w:lang w:val="es-ES"/>
        </w:rPr>
        <w:t>de la Convención Americana</w:t>
      </w:r>
      <w:r w:rsidR="004959B7" w:rsidRPr="00CE7C75">
        <w:rPr>
          <w:rFonts w:ascii="Cambria" w:hAnsi="Cambria"/>
          <w:sz w:val="20"/>
          <w:szCs w:val="20"/>
          <w:lang w:val="es-ES"/>
        </w:rPr>
        <w:t xml:space="preserve">, a la luz de la obligación general consagrada en los artículos </w:t>
      </w:r>
      <w:r w:rsidR="000E1570" w:rsidRPr="00CE7C75">
        <w:rPr>
          <w:rFonts w:ascii="Cambria" w:hAnsi="Cambria"/>
          <w:sz w:val="20"/>
          <w:szCs w:val="20"/>
          <w:lang w:val="es-ES"/>
        </w:rPr>
        <w:t>1.1 y 2 del mismo instrumento</w:t>
      </w:r>
      <w:r w:rsidR="000E1570" w:rsidRPr="00BB1D25">
        <w:rPr>
          <w:rFonts w:ascii="Cambria" w:hAnsi="Cambria"/>
          <w:sz w:val="20"/>
          <w:szCs w:val="20"/>
          <w:lang w:val="es-ES"/>
        </w:rPr>
        <w:t>.</w:t>
      </w:r>
      <w:r w:rsidR="004959B7" w:rsidRPr="00BB1D25">
        <w:rPr>
          <w:rFonts w:ascii="Cambria" w:hAnsi="Cambria"/>
          <w:sz w:val="20"/>
          <w:szCs w:val="20"/>
          <w:lang w:val="es-ES"/>
        </w:rPr>
        <w:t xml:space="preserve"> Por último, la </w:t>
      </w:r>
      <w:r w:rsidR="008D674B" w:rsidRPr="00BB1D25">
        <w:rPr>
          <w:rFonts w:ascii="Cambria" w:hAnsi="Cambria"/>
          <w:sz w:val="20"/>
          <w:szCs w:val="20"/>
          <w:lang w:val="es-ES"/>
        </w:rPr>
        <w:t>Comisión</w:t>
      </w:r>
      <w:r w:rsidR="004959B7" w:rsidRPr="00BB1D25">
        <w:rPr>
          <w:rFonts w:ascii="Cambria" w:hAnsi="Cambria"/>
          <w:sz w:val="20"/>
          <w:szCs w:val="20"/>
          <w:lang w:val="es-ES"/>
        </w:rPr>
        <w:t xml:space="preserve"> decide notificar a las partes y publicar </w:t>
      </w:r>
      <w:r w:rsidR="008D674B" w:rsidRPr="00BB1D25">
        <w:rPr>
          <w:rFonts w:ascii="Cambria" w:hAnsi="Cambria"/>
          <w:sz w:val="20"/>
          <w:szCs w:val="20"/>
          <w:lang w:val="es-ES"/>
        </w:rPr>
        <w:t xml:space="preserve">el presente informe e incluirlo en su Informe Anual a la Asamblea General de la Organización de los Estados Americanos. </w:t>
      </w:r>
      <w:r w:rsidR="000E1570" w:rsidRPr="00BB1D25">
        <w:rPr>
          <w:rFonts w:ascii="Cambria" w:hAnsi="Cambria"/>
          <w:sz w:val="20"/>
          <w:szCs w:val="20"/>
          <w:lang w:val="es-ES"/>
        </w:rPr>
        <w:t xml:space="preserve"> </w:t>
      </w:r>
    </w:p>
    <w:p w:rsidR="000E1570" w:rsidRPr="00BB1D25" w:rsidRDefault="000E1570" w:rsidP="00BB1D25">
      <w:pPr>
        <w:ind w:left="1440"/>
        <w:jc w:val="both"/>
        <w:outlineLvl w:val="0"/>
        <w:rPr>
          <w:rFonts w:ascii="Cambria" w:hAnsi="Cambria"/>
          <w:b/>
          <w:bCs/>
          <w:kern w:val="36"/>
          <w:sz w:val="20"/>
          <w:szCs w:val="20"/>
          <w:lang w:val="es-ES"/>
        </w:rPr>
      </w:pPr>
    </w:p>
    <w:p w:rsidR="000E1570" w:rsidRPr="00BB1D25" w:rsidRDefault="000E1570" w:rsidP="00BB1D2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hAnsi="Cambria"/>
          <w:b/>
          <w:bCs/>
          <w:kern w:val="36"/>
          <w:sz w:val="20"/>
          <w:szCs w:val="20"/>
          <w:lang w:val="es-ES"/>
        </w:rPr>
      </w:pPr>
      <w:r w:rsidRPr="00BB1D25">
        <w:rPr>
          <w:rFonts w:ascii="Cambria" w:hAnsi="Cambria"/>
          <w:b/>
          <w:bCs/>
          <w:kern w:val="36"/>
          <w:sz w:val="20"/>
          <w:szCs w:val="20"/>
          <w:lang w:val="es-ES"/>
        </w:rPr>
        <w:t>TRÁMITE ANTE LA COMISIÓN</w:t>
      </w:r>
    </w:p>
    <w:p w:rsidR="000E1570" w:rsidRPr="00BB1D25" w:rsidRDefault="000E1570" w:rsidP="00BB1D25">
      <w:pPr>
        <w:ind w:left="720"/>
        <w:jc w:val="both"/>
        <w:rPr>
          <w:rFonts w:ascii="Cambria" w:hAnsi="Cambria"/>
          <w:sz w:val="20"/>
          <w:szCs w:val="20"/>
        </w:rPr>
      </w:pPr>
    </w:p>
    <w:p w:rsidR="009757B3" w:rsidRPr="00BB1D25" w:rsidRDefault="003B4BED" w:rsidP="00BB1D2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BB1D25">
        <w:rPr>
          <w:rFonts w:ascii="Cambria" w:hAnsi="Cambria"/>
          <w:sz w:val="20"/>
          <w:szCs w:val="20"/>
          <w:lang w:val="es-ES"/>
        </w:rPr>
        <w:t>La petición fue recibida por la CIDH e</w:t>
      </w:r>
      <w:r w:rsidR="00A97A7C" w:rsidRPr="00BB1D25">
        <w:rPr>
          <w:rFonts w:ascii="Cambria" w:hAnsi="Cambria"/>
          <w:sz w:val="20"/>
          <w:szCs w:val="20"/>
          <w:lang w:val="es-ES"/>
        </w:rPr>
        <w:t xml:space="preserve">l </w:t>
      </w:r>
      <w:r w:rsidRPr="00BB1D25">
        <w:rPr>
          <w:rFonts w:ascii="Cambria" w:hAnsi="Cambria"/>
          <w:sz w:val="20"/>
          <w:szCs w:val="20"/>
          <w:lang w:val="es-ES"/>
        </w:rPr>
        <w:t>21</w:t>
      </w:r>
      <w:r w:rsidR="005670C9" w:rsidRPr="00BB1D25">
        <w:rPr>
          <w:rFonts w:ascii="Cambria" w:hAnsi="Cambria"/>
          <w:sz w:val="20"/>
          <w:szCs w:val="20"/>
          <w:lang w:val="es-ES"/>
        </w:rPr>
        <w:t xml:space="preserve"> de julio</w:t>
      </w:r>
      <w:r w:rsidR="007F4A9B" w:rsidRPr="00BB1D25">
        <w:rPr>
          <w:rFonts w:ascii="Cambria" w:hAnsi="Cambria"/>
          <w:sz w:val="20"/>
          <w:szCs w:val="20"/>
          <w:lang w:val="es-ES"/>
        </w:rPr>
        <w:t xml:space="preserve"> de </w:t>
      </w:r>
      <w:r w:rsidR="002B6F15" w:rsidRPr="00BB1D25">
        <w:rPr>
          <w:rFonts w:ascii="Cambria" w:hAnsi="Cambria"/>
          <w:sz w:val="20"/>
          <w:szCs w:val="20"/>
          <w:lang w:val="es-ES"/>
        </w:rPr>
        <w:t>2004</w:t>
      </w:r>
      <w:r w:rsidRPr="00BB1D25">
        <w:rPr>
          <w:rFonts w:ascii="Cambria" w:hAnsi="Cambria"/>
          <w:sz w:val="20"/>
          <w:szCs w:val="20"/>
          <w:lang w:val="es-ES"/>
        </w:rPr>
        <w:t>. El 22 de diciembre de 2004, la</w:t>
      </w:r>
      <w:r w:rsidR="009054E0" w:rsidRPr="00BB1D25">
        <w:rPr>
          <w:rFonts w:ascii="Cambria" w:hAnsi="Cambria"/>
          <w:sz w:val="20"/>
          <w:szCs w:val="20"/>
          <w:lang w:val="es-ES"/>
        </w:rPr>
        <w:t xml:space="preserve"> CIDH transmitió al Estado </w:t>
      </w:r>
      <w:r w:rsidR="0099005C" w:rsidRPr="00BB1D25">
        <w:rPr>
          <w:rFonts w:ascii="Cambria" w:hAnsi="Cambria"/>
          <w:sz w:val="20"/>
          <w:szCs w:val="20"/>
          <w:lang w:val="es-ES"/>
        </w:rPr>
        <w:t xml:space="preserve">las </w:t>
      </w:r>
      <w:r w:rsidR="009054E0" w:rsidRPr="00BB1D25">
        <w:rPr>
          <w:rFonts w:ascii="Cambria" w:hAnsi="Cambria"/>
          <w:sz w:val="20"/>
          <w:szCs w:val="20"/>
          <w:lang w:val="es-ES"/>
        </w:rPr>
        <w:t>parte</w:t>
      </w:r>
      <w:r w:rsidR="0099005C" w:rsidRPr="00BB1D25">
        <w:rPr>
          <w:rFonts w:ascii="Cambria" w:hAnsi="Cambria"/>
          <w:sz w:val="20"/>
          <w:szCs w:val="20"/>
          <w:lang w:val="es-ES"/>
        </w:rPr>
        <w:t xml:space="preserve">s pertinentes de la misma, solicitándole que presentase su respuesta dentro del plazo de dos meses contados a partir de la transmisión de dicha comunicación. El 16 de febrero de </w:t>
      </w:r>
      <w:r w:rsidR="0099005C" w:rsidRPr="00BB1D25">
        <w:rPr>
          <w:rFonts w:ascii="Cambria" w:hAnsi="Cambria"/>
          <w:sz w:val="20"/>
          <w:szCs w:val="20"/>
          <w:lang w:val="es-ES"/>
        </w:rPr>
        <w:lastRenderedPageBreak/>
        <w:t>2005 el Estado presentó su respuesta a la presente petición, de cuyas partes pertinentes se dio traslado al peticionario el 15 de marzo de 2005.</w:t>
      </w:r>
      <w:r w:rsidR="009054E0" w:rsidRPr="00BB1D25">
        <w:rPr>
          <w:rFonts w:ascii="Cambria" w:hAnsi="Cambria"/>
          <w:sz w:val="20"/>
          <w:szCs w:val="20"/>
          <w:lang w:val="es-ES"/>
        </w:rPr>
        <w:t xml:space="preserve"> </w:t>
      </w:r>
    </w:p>
    <w:p w:rsidR="009757B3" w:rsidRPr="00BB1D25" w:rsidRDefault="009757B3" w:rsidP="00BB1D2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296D9C" w:rsidRDefault="00CD0A75" w:rsidP="00296D9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BB1D25">
        <w:rPr>
          <w:rFonts w:ascii="Cambria" w:hAnsi="Cambria"/>
          <w:sz w:val="20"/>
          <w:szCs w:val="20"/>
          <w:lang w:val="es-ES"/>
        </w:rPr>
        <w:t xml:space="preserve">El 22 </w:t>
      </w:r>
      <w:r w:rsidR="00FC3C9E" w:rsidRPr="00BB1D25">
        <w:rPr>
          <w:rFonts w:ascii="Cambria" w:hAnsi="Cambria"/>
          <w:sz w:val="20"/>
          <w:szCs w:val="20"/>
          <w:lang w:val="es-ES"/>
        </w:rPr>
        <w:t xml:space="preserve">de abril de 2005 el </w:t>
      </w:r>
      <w:r w:rsidRPr="00BB1D25">
        <w:rPr>
          <w:rFonts w:ascii="Cambria" w:hAnsi="Cambria"/>
          <w:sz w:val="20"/>
          <w:szCs w:val="20"/>
          <w:lang w:val="es-ES"/>
        </w:rPr>
        <w:t>peticionario presento sus observaciones al informe del Estado</w:t>
      </w:r>
      <w:r w:rsidR="00981F6A" w:rsidRPr="00BB1D25">
        <w:rPr>
          <w:rFonts w:ascii="Cambria" w:hAnsi="Cambria"/>
          <w:sz w:val="20"/>
          <w:szCs w:val="20"/>
          <w:lang w:val="es-ES"/>
        </w:rPr>
        <w:t>, cuyas partes pertinentes fueron trasladadas al Estado</w:t>
      </w:r>
      <w:r w:rsidR="001731D4" w:rsidRPr="00BB1D25">
        <w:rPr>
          <w:rFonts w:ascii="Cambria" w:hAnsi="Cambria"/>
          <w:sz w:val="20"/>
          <w:szCs w:val="20"/>
          <w:lang w:val="es-ES"/>
        </w:rPr>
        <w:t xml:space="preserve"> el 22 de junio de 2005</w:t>
      </w:r>
      <w:r w:rsidRPr="00BB1D25">
        <w:rPr>
          <w:rFonts w:ascii="Cambria" w:hAnsi="Cambria"/>
          <w:sz w:val="20"/>
          <w:szCs w:val="20"/>
          <w:lang w:val="es-ES"/>
        </w:rPr>
        <w:t xml:space="preserve">. </w:t>
      </w:r>
      <w:r w:rsidR="009757B3" w:rsidRPr="00BB1D25">
        <w:rPr>
          <w:rFonts w:ascii="Cambria" w:hAnsi="Cambria"/>
          <w:sz w:val="20"/>
          <w:szCs w:val="20"/>
          <w:lang w:val="es-ES"/>
        </w:rPr>
        <w:t>Adicionalmente</w:t>
      </w:r>
      <w:r w:rsidRPr="00BB1D25">
        <w:rPr>
          <w:rFonts w:ascii="Cambria" w:hAnsi="Cambria"/>
          <w:sz w:val="20"/>
          <w:szCs w:val="20"/>
          <w:lang w:val="es-ES"/>
        </w:rPr>
        <w:t xml:space="preserve">, el 18 de julio de 2005 </w:t>
      </w:r>
      <w:r w:rsidR="009757B3" w:rsidRPr="00BB1D25">
        <w:rPr>
          <w:rFonts w:ascii="Cambria" w:hAnsi="Cambria"/>
          <w:sz w:val="20"/>
          <w:szCs w:val="20"/>
          <w:lang w:val="es-ES"/>
        </w:rPr>
        <w:t>el peticionario presentó</w:t>
      </w:r>
      <w:r w:rsidRPr="00BB1D25">
        <w:rPr>
          <w:rFonts w:ascii="Cambria" w:hAnsi="Cambria"/>
          <w:sz w:val="20"/>
          <w:szCs w:val="20"/>
          <w:lang w:val="es-ES"/>
        </w:rPr>
        <w:t xml:space="preserve"> </w:t>
      </w:r>
      <w:r w:rsidR="007931A7" w:rsidRPr="00BB1D25">
        <w:rPr>
          <w:rFonts w:ascii="Cambria" w:hAnsi="Cambria"/>
          <w:sz w:val="20"/>
          <w:szCs w:val="20"/>
          <w:lang w:val="es-ES"/>
        </w:rPr>
        <w:t>información</w:t>
      </w:r>
      <w:r w:rsidRPr="00BB1D25">
        <w:rPr>
          <w:rFonts w:ascii="Cambria" w:hAnsi="Cambria"/>
          <w:sz w:val="20"/>
          <w:szCs w:val="20"/>
          <w:lang w:val="es-ES"/>
        </w:rPr>
        <w:t xml:space="preserve"> adicional. </w:t>
      </w:r>
      <w:r w:rsidR="001731D4" w:rsidRPr="00BB1D25">
        <w:rPr>
          <w:rFonts w:ascii="Cambria" w:hAnsi="Cambria"/>
          <w:sz w:val="20"/>
          <w:szCs w:val="20"/>
          <w:lang w:val="es-ES"/>
        </w:rPr>
        <w:t xml:space="preserve">El 18 de mayo de 2009 la </w:t>
      </w:r>
      <w:r w:rsidR="009757B3" w:rsidRPr="00BB1D25">
        <w:rPr>
          <w:rFonts w:ascii="Cambria" w:hAnsi="Cambria"/>
          <w:sz w:val="20"/>
          <w:szCs w:val="20"/>
          <w:lang w:val="es-ES"/>
        </w:rPr>
        <w:t>Comisión</w:t>
      </w:r>
      <w:r w:rsidR="001731D4" w:rsidRPr="00BB1D25">
        <w:rPr>
          <w:rFonts w:ascii="Cambria" w:hAnsi="Cambria"/>
          <w:sz w:val="20"/>
          <w:szCs w:val="20"/>
          <w:lang w:val="es-ES"/>
        </w:rPr>
        <w:t xml:space="preserve"> </w:t>
      </w:r>
      <w:r w:rsidR="009757B3" w:rsidRPr="00BB1D25">
        <w:rPr>
          <w:rFonts w:ascii="Cambria" w:hAnsi="Cambria"/>
          <w:sz w:val="20"/>
          <w:szCs w:val="20"/>
          <w:lang w:val="es-ES"/>
        </w:rPr>
        <w:t>solicitó</w:t>
      </w:r>
      <w:r w:rsidR="001731D4" w:rsidRPr="00BB1D25">
        <w:rPr>
          <w:rFonts w:ascii="Cambria" w:hAnsi="Cambria"/>
          <w:sz w:val="20"/>
          <w:szCs w:val="20"/>
          <w:lang w:val="es-ES"/>
        </w:rPr>
        <w:t xml:space="preserve"> </w:t>
      </w:r>
      <w:r w:rsidR="009757B3" w:rsidRPr="00BB1D25">
        <w:rPr>
          <w:rFonts w:ascii="Cambria" w:hAnsi="Cambria"/>
          <w:sz w:val="20"/>
          <w:szCs w:val="20"/>
          <w:lang w:val="es-ES"/>
        </w:rPr>
        <w:t xml:space="preserve">información </w:t>
      </w:r>
      <w:r w:rsidR="009757B3" w:rsidRPr="00DA37AB">
        <w:rPr>
          <w:rFonts w:ascii="Cambria" w:hAnsi="Cambria"/>
          <w:sz w:val="20"/>
          <w:szCs w:val="20"/>
          <w:lang w:val="es-ES"/>
        </w:rPr>
        <w:t>actualizada a las</w:t>
      </w:r>
      <w:r w:rsidR="001731D4" w:rsidRPr="00DA37AB">
        <w:rPr>
          <w:rFonts w:ascii="Cambria" w:hAnsi="Cambria"/>
          <w:sz w:val="20"/>
          <w:szCs w:val="20"/>
          <w:lang w:val="es-ES"/>
        </w:rPr>
        <w:t xml:space="preserve"> partes. </w:t>
      </w:r>
      <w:r w:rsidR="00A24DBE" w:rsidRPr="00DA37AB">
        <w:rPr>
          <w:rFonts w:ascii="Cambria" w:hAnsi="Cambria"/>
          <w:sz w:val="20"/>
          <w:szCs w:val="20"/>
          <w:lang w:val="es-ES"/>
        </w:rPr>
        <w:t xml:space="preserve">El 15 de marzo de 2011, la </w:t>
      </w:r>
      <w:r w:rsidR="009757B3" w:rsidRPr="00DA37AB">
        <w:rPr>
          <w:rFonts w:ascii="Cambria" w:hAnsi="Cambria"/>
          <w:sz w:val="20"/>
          <w:szCs w:val="20"/>
          <w:lang w:val="es-ES"/>
        </w:rPr>
        <w:t>Comisión reiteró</w:t>
      </w:r>
      <w:r w:rsidR="00A24DBE" w:rsidRPr="00DA37AB">
        <w:rPr>
          <w:rFonts w:ascii="Cambria" w:hAnsi="Cambria"/>
          <w:sz w:val="20"/>
          <w:szCs w:val="20"/>
          <w:lang w:val="es-ES"/>
        </w:rPr>
        <w:t xml:space="preserve"> la solicitud de </w:t>
      </w:r>
      <w:r w:rsidR="009757B3" w:rsidRPr="00DA37AB">
        <w:rPr>
          <w:rFonts w:ascii="Cambria" w:hAnsi="Cambria"/>
          <w:sz w:val="20"/>
          <w:szCs w:val="20"/>
          <w:lang w:val="es-ES"/>
        </w:rPr>
        <w:t>información</w:t>
      </w:r>
      <w:r w:rsidR="00A24DBE" w:rsidRPr="00DA37AB">
        <w:rPr>
          <w:rFonts w:ascii="Cambria" w:hAnsi="Cambria"/>
          <w:sz w:val="20"/>
          <w:szCs w:val="20"/>
          <w:lang w:val="es-ES"/>
        </w:rPr>
        <w:t xml:space="preserve"> al peticionario.</w:t>
      </w:r>
      <w:r w:rsidR="0098301E" w:rsidRPr="00DA37AB">
        <w:rPr>
          <w:rFonts w:ascii="Cambria" w:hAnsi="Cambria"/>
          <w:sz w:val="20"/>
          <w:szCs w:val="20"/>
          <w:lang w:val="es-ES"/>
        </w:rPr>
        <w:t xml:space="preserve"> El 22 de septiembre de 2013 el peticionario informó sobre el cambio de representación para la petición en referencia</w:t>
      </w:r>
      <w:r w:rsidR="001C4C62" w:rsidRPr="00DA37AB">
        <w:rPr>
          <w:rFonts w:ascii="Cambria" w:hAnsi="Cambria"/>
          <w:sz w:val="20"/>
          <w:szCs w:val="20"/>
          <w:lang w:val="es-ES"/>
        </w:rPr>
        <w:t>, señalando que la a</w:t>
      </w:r>
      <w:r w:rsidR="00203B8C" w:rsidRPr="00DA37AB">
        <w:rPr>
          <w:rFonts w:ascii="Cambria" w:hAnsi="Cambria"/>
          <w:sz w:val="20"/>
          <w:szCs w:val="20"/>
          <w:lang w:val="es-ES"/>
        </w:rPr>
        <w:t>bogada Macarena Sáez Torres hab</w:t>
      </w:r>
      <w:r w:rsidR="001C4C62" w:rsidRPr="00DA37AB">
        <w:rPr>
          <w:rFonts w:ascii="Cambria" w:hAnsi="Cambria"/>
          <w:sz w:val="20"/>
          <w:szCs w:val="20"/>
          <w:lang w:val="es-ES"/>
        </w:rPr>
        <w:t>ía asumido la representación</w:t>
      </w:r>
      <w:r w:rsidR="0098301E" w:rsidRPr="00DA37AB">
        <w:rPr>
          <w:rFonts w:ascii="Cambria" w:hAnsi="Cambria"/>
          <w:sz w:val="20"/>
          <w:szCs w:val="20"/>
          <w:lang w:val="es-ES"/>
        </w:rPr>
        <w:t>. Además,</w:t>
      </w:r>
      <w:r w:rsidR="00A24DBE" w:rsidRPr="00DA37AB">
        <w:rPr>
          <w:rFonts w:ascii="Cambria" w:hAnsi="Cambria"/>
          <w:sz w:val="20"/>
          <w:szCs w:val="20"/>
          <w:lang w:val="es-ES"/>
        </w:rPr>
        <w:t xml:space="preserve"> </w:t>
      </w:r>
      <w:r w:rsidR="0098301E" w:rsidRPr="00DA37AB">
        <w:rPr>
          <w:rFonts w:ascii="Cambria" w:hAnsi="Cambria"/>
          <w:sz w:val="20"/>
          <w:szCs w:val="20"/>
          <w:lang w:val="es-ES"/>
        </w:rPr>
        <w:t>e</w:t>
      </w:r>
      <w:r w:rsidR="00522215" w:rsidRPr="00DA37AB">
        <w:rPr>
          <w:rFonts w:ascii="Cambria" w:hAnsi="Cambria"/>
          <w:sz w:val="20"/>
          <w:szCs w:val="20"/>
          <w:lang w:val="es-ES"/>
        </w:rPr>
        <w:t>l 29 d</w:t>
      </w:r>
      <w:r w:rsidR="002C5163" w:rsidRPr="00DA37AB">
        <w:rPr>
          <w:rFonts w:ascii="Cambria" w:hAnsi="Cambria"/>
          <w:sz w:val="20"/>
          <w:szCs w:val="20"/>
          <w:lang w:val="es-ES"/>
        </w:rPr>
        <w:t xml:space="preserve">e enero de 2014 </w:t>
      </w:r>
      <w:r w:rsidR="00522215" w:rsidRPr="00DA37AB">
        <w:rPr>
          <w:rFonts w:ascii="Cambria" w:hAnsi="Cambria"/>
          <w:sz w:val="20"/>
          <w:szCs w:val="20"/>
          <w:lang w:val="es-ES"/>
        </w:rPr>
        <w:t>presentó información adicional.</w:t>
      </w:r>
      <w:r w:rsidR="00522215" w:rsidRPr="00BB1D25">
        <w:rPr>
          <w:rFonts w:ascii="Cambria" w:hAnsi="Cambria"/>
          <w:sz w:val="20"/>
          <w:szCs w:val="20"/>
          <w:lang w:val="es-ES"/>
        </w:rPr>
        <w:t xml:space="preserve"> </w:t>
      </w:r>
    </w:p>
    <w:p w:rsidR="00296D9C" w:rsidRDefault="00296D9C" w:rsidP="00296D9C">
      <w:pPr>
        <w:pStyle w:val="ListParagraph"/>
        <w:rPr>
          <w:sz w:val="20"/>
          <w:szCs w:val="20"/>
          <w:lang w:val="es-ES"/>
        </w:rPr>
      </w:pPr>
    </w:p>
    <w:p w:rsidR="00CD0A75" w:rsidRPr="00296D9C" w:rsidRDefault="0098301E" w:rsidP="00296D9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296D9C">
        <w:rPr>
          <w:rFonts w:ascii="Cambria" w:hAnsi="Cambria"/>
          <w:sz w:val="20"/>
          <w:szCs w:val="20"/>
          <w:lang w:val="es-ES"/>
        </w:rPr>
        <w:t>Con respecto al Estado, e</w:t>
      </w:r>
      <w:r w:rsidR="00A24DBE" w:rsidRPr="00296D9C">
        <w:rPr>
          <w:rFonts w:ascii="Cambria" w:hAnsi="Cambria"/>
          <w:sz w:val="20"/>
          <w:szCs w:val="20"/>
          <w:lang w:val="es-ES"/>
        </w:rPr>
        <w:t xml:space="preserve">l 11 de noviembre de 2011, </w:t>
      </w:r>
      <w:r w:rsidR="009757B3" w:rsidRPr="00296D9C">
        <w:rPr>
          <w:rFonts w:ascii="Cambria" w:hAnsi="Cambria"/>
          <w:sz w:val="20"/>
          <w:szCs w:val="20"/>
          <w:lang w:val="es-ES"/>
        </w:rPr>
        <w:t xml:space="preserve">el </w:t>
      </w:r>
      <w:r w:rsidR="00522215" w:rsidRPr="00296D9C">
        <w:rPr>
          <w:rFonts w:ascii="Cambria" w:hAnsi="Cambria"/>
          <w:sz w:val="20"/>
          <w:szCs w:val="20"/>
          <w:lang w:val="es-ES"/>
        </w:rPr>
        <w:t>27</w:t>
      </w:r>
      <w:r w:rsidR="00A24DBE" w:rsidRPr="00296D9C">
        <w:rPr>
          <w:rFonts w:ascii="Cambria" w:hAnsi="Cambria"/>
          <w:sz w:val="20"/>
          <w:szCs w:val="20"/>
          <w:lang w:val="es-ES"/>
        </w:rPr>
        <w:t xml:space="preserve"> de noviembre de 2013</w:t>
      </w:r>
      <w:r w:rsidRPr="00296D9C">
        <w:rPr>
          <w:rFonts w:ascii="Cambria" w:hAnsi="Cambria"/>
          <w:sz w:val="20"/>
          <w:szCs w:val="20"/>
          <w:lang w:val="es-ES"/>
        </w:rPr>
        <w:t xml:space="preserve">, el 21 de mayo de 2014 </w:t>
      </w:r>
      <w:r w:rsidR="00A24DBE" w:rsidRPr="00296D9C">
        <w:rPr>
          <w:rFonts w:ascii="Cambria" w:hAnsi="Cambria"/>
          <w:sz w:val="20"/>
          <w:szCs w:val="20"/>
          <w:lang w:val="es-ES"/>
        </w:rPr>
        <w:t xml:space="preserve"> y </w:t>
      </w:r>
      <w:r w:rsidR="009757B3" w:rsidRPr="00296D9C">
        <w:rPr>
          <w:rFonts w:ascii="Cambria" w:hAnsi="Cambria"/>
          <w:sz w:val="20"/>
          <w:szCs w:val="20"/>
          <w:lang w:val="es-ES"/>
        </w:rPr>
        <w:t xml:space="preserve">el </w:t>
      </w:r>
      <w:r w:rsidRPr="00296D9C">
        <w:rPr>
          <w:rFonts w:ascii="Cambria" w:hAnsi="Cambria"/>
          <w:sz w:val="20"/>
          <w:szCs w:val="20"/>
          <w:lang w:val="es-ES"/>
        </w:rPr>
        <w:t>6</w:t>
      </w:r>
      <w:r w:rsidR="009757B3" w:rsidRPr="00296D9C">
        <w:rPr>
          <w:rFonts w:ascii="Cambria" w:hAnsi="Cambria"/>
          <w:sz w:val="20"/>
          <w:szCs w:val="20"/>
          <w:lang w:val="es-ES"/>
        </w:rPr>
        <w:t xml:space="preserve"> de junio de 2014</w:t>
      </w:r>
      <w:r w:rsidR="00A24DBE" w:rsidRPr="00296D9C">
        <w:rPr>
          <w:rFonts w:ascii="Cambria" w:hAnsi="Cambria"/>
          <w:sz w:val="20"/>
          <w:szCs w:val="20"/>
          <w:lang w:val="es-ES"/>
        </w:rPr>
        <w:t xml:space="preserve"> se</w:t>
      </w:r>
      <w:r w:rsidR="002C5163" w:rsidRPr="00296D9C">
        <w:rPr>
          <w:rFonts w:ascii="Cambria" w:hAnsi="Cambria"/>
          <w:sz w:val="20"/>
          <w:szCs w:val="20"/>
          <w:lang w:val="es-ES"/>
        </w:rPr>
        <w:t xml:space="preserve"> le </w:t>
      </w:r>
      <w:r w:rsidR="009757B3" w:rsidRPr="00296D9C">
        <w:rPr>
          <w:rFonts w:ascii="Cambria" w:hAnsi="Cambria"/>
          <w:sz w:val="20"/>
          <w:szCs w:val="20"/>
          <w:lang w:val="es-ES"/>
        </w:rPr>
        <w:t>reiteró</w:t>
      </w:r>
      <w:r w:rsidR="00A24DBE" w:rsidRPr="00296D9C">
        <w:rPr>
          <w:rFonts w:ascii="Cambria" w:hAnsi="Cambria"/>
          <w:sz w:val="20"/>
          <w:szCs w:val="20"/>
          <w:lang w:val="es-ES"/>
        </w:rPr>
        <w:t xml:space="preserve"> la solicitud de </w:t>
      </w:r>
      <w:r w:rsidR="009757B3" w:rsidRPr="00296D9C">
        <w:rPr>
          <w:rFonts w:ascii="Cambria" w:hAnsi="Cambria"/>
          <w:sz w:val="20"/>
          <w:szCs w:val="20"/>
          <w:lang w:val="es-ES"/>
        </w:rPr>
        <w:t>información</w:t>
      </w:r>
      <w:r w:rsidR="002C5163" w:rsidRPr="00296D9C">
        <w:rPr>
          <w:rFonts w:ascii="Cambria" w:hAnsi="Cambria"/>
          <w:sz w:val="20"/>
          <w:szCs w:val="20"/>
          <w:lang w:val="es-ES"/>
        </w:rPr>
        <w:t xml:space="preserve"> de fecha 18 de mayo de 2009</w:t>
      </w:r>
      <w:r w:rsidR="00A24DBE" w:rsidRPr="00296D9C">
        <w:rPr>
          <w:rFonts w:ascii="Cambria" w:hAnsi="Cambria"/>
          <w:sz w:val="20"/>
          <w:szCs w:val="20"/>
          <w:lang w:val="es-ES"/>
        </w:rPr>
        <w:t xml:space="preserve">. </w:t>
      </w:r>
    </w:p>
    <w:p w:rsidR="000E1570" w:rsidRPr="00BB1D25" w:rsidRDefault="000E1570" w:rsidP="00BB1D25">
      <w:pPr>
        <w:ind w:left="720"/>
        <w:jc w:val="both"/>
        <w:rPr>
          <w:rFonts w:ascii="Cambria" w:hAnsi="Cambria"/>
          <w:sz w:val="20"/>
          <w:szCs w:val="20"/>
          <w:lang w:val="es-ES"/>
        </w:rPr>
      </w:pPr>
    </w:p>
    <w:p w:rsidR="000E1570" w:rsidRPr="00BB1D25" w:rsidRDefault="000E1570" w:rsidP="00BB1D2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hAnsi="Cambria"/>
          <w:b/>
          <w:bCs/>
          <w:kern w:val="36"/>
          <w:sz w:val="20"/>
          <w:szCs w:val="20"/>
          <w:lang w:val="es-ES"/>
        </w:rPr>
      </w:pPr>
      <w:r w:rsidRPr="00BB1D25">
        <w:rPr>
          <w:rFonts w:ascii="Cambria" w:hAnsi="Cambria"/>
          <w:b/>
          <w:bCs/>
          <w:kern w:val="36"/>
          <w:sz w:val="20"/>
          <w:szCs w:val="20"/>
          <w:lang w:val="es-ES"/>
        </w:rPr>
        <w:t>POSICIONES DE LAS PARTES</w:t>
      </w:r>
    </w:p>
    <w:p w:rsidR="000E1570" w:rsidRPr="00BB1D25" w:rsidRDefault="000E1570" w:rsidP="00BB1D25">
      <w:pPr>
        <w:keepNext/>
        <w:ind w:left="1440" w:hanging="720"/>
        <w:jc w:val="both"/>
        <w:outlineLvl w:val="1"/>
        <w:rPr>
          <w:rFonts w:ascii="Cambria" w:hAnsi="Cambria" w:cs="Arial"/>
          <w:b/>
          <w:bCs/>
          <w:sz w:val="20"/>
          <w:szCs w:val="20"/>
          <w:lang w:val="es-ES"/>
        </w:rPr>
      </w:pPr>
    </w:p>
    <w:p w:rsidR="000E1570" w:rsidRPr="00BB1D25" w:rsidRDefault="00270B9C" w:rsidP="00BB1D25">
      <w:pPr>
        <w:keepNext/>
        <w:ind w:left="1440" w:hanging="720"/>
        <w:jc w:val="both"/>
        <w:outlineLvl w:val="1"/>
        <w:rPr>
          <w:rFonts w:ascii="Cambria" w:hAnsi="Cambria" w:cs="Arial"/>
          <w:b/>
          <w:bCs/>
          <w:sz w:val="20"/>
          <w:szCs w:val="20"/>
          <w:lang w:val="es-ES"/>
        </w:rPr>
      </w:pPr>
      <w:r>
        <w:rPr>
          <w:rFonts w:ascii="Cambria" w:hAnsi="Cambria" w:cs="Arial"/>
          <w:b/>
          <w:bCs/>
          <w:sz w:val="20"/>
          <w:szCs w:val="20"/>
          <w:lang w:val="es-ES"/>
        </w:rPr>
        <w:t>A.</w:t>
      </w:r>
      <w:r>
        <w:rPr>
          <w:rFonts w:ascii="Cambria" w:hAnsi="Cambria" w:cs="Arial"/>
          <w:b/>
          <w:bCs/>
          <w:sz w:val="20"/>
          <w:szCs w:val="20"/>
          <w:lang w:val="es-ES"/>
        </w:rPr>
        <w:tab/>
        <w:t>Posición del peticionario</w:t>
      </w:r>
    </w:p>
    <w:p w:rsidR="000E1570" w:rsidRPr="00BB1D25" w:rsidRDefault="000E1570" w:rsidP="00BB1D25">
      <w:pPr>
        <w:ind w:left="720"/>
        <w:jc w:val="both"/>
        <w:rPr>
          <w:rFonts w:ascii="Cambria" w:hAnsi="Cambria"/>
          <w:sz w:val="20"/>
          <w:szCs w:val="20"/>
        </w:rPr>
      </w:pPr>
    </w:p>
    <w:p w:rsidR="00B168B1" w:rsidRPr="00BB1D25" w:rsidRDefault="00597D40" w:rsidP="00BB1D2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BB1D25">
        <w:rPr>
          <w:rFonts w:ascii="Cambria" w:hAnsi="Cambria"/>
          <w:sz w:val="20"/>
          <w:szCs w:val="20"/>
          <w:lang w:val="es-ES"/>
        </w:rPr>
        <w:t xml:space="preserve">De acuerdo con </w:t>
      </w:r>
      <w:r w:rsidR="00CB69FE">
        <w:rPr>
          <w:rFonts w:ascii="Cambria" w:hAnsi="Cambria"/>
          <w:sz w:val="20"/>
          <w:szCs w:val="20"/>
          <w:lang w:val="es-ES"/>
        </w:rPr>
        <w:t>la petición</w:t>
      </w:r>
      <w:r w:rsidRPr="00BB1D25">
        <w:rPr>
          <w:rFonts w:ascii="Cambria" w:hAnsi="Cambria"/>
          <w:sz w:val="20"/>
          <w:szCs w:val="20"/>
          <w:lang w:val="es-ES"/>
        </w:rPr>
        <w:t xml:space="preserve">, el </w:t>
      </w:r>
      <w:r w:rsidR="00F4495F" w:rsidRPr="00BB1D25">
        <w:rPr>
          <w:rFonts w:ascii="Cambria" w:hAnsi="Cambria"/>
          <w:sz w:val="20"/>
          <w:szCs w:val="20"/>
          <w:lang w:val="es-ES"/>
        </w:rPr>
        <w:t>señor Mario Galetovic Sapunar</w:t>
      </w:r>
      <w:r w:rsidR="00062EED">
        <w:rPr>
          <w:rFonts w:ascii="Cambria" w:hAnsi="Cambria"/>
          <w:sz w:val="20"/>
          <w:szCs w:val="20"/>
          <w:lang w:val="es-ES"/>
        </w:rPr>
        <w:t xml:space="preserve"> </w:t>
      </w:r>
      <w:r w:rsidR="00F4495F" w:rsidRPr="00BB1D25">
        <w:rPr>
          <w:rFonts w:ascii="Cambria" w:hAnsi="Cambria"/>
          <w:sz w:val="20"/>
          <w:szCs w:val="20"/>
          <w:lang w:val="es-ES"/>
        </w:rPr>
        <w:t xml:space="preserve">era administrador y socio </w:t>
      </w:r>
      <w:r w:rsidR="00D71C46" w:rsidRPr="00BB1D25">
        <w:rPr>
          <w:rFonts w:ascii="Cambria" w:hAnsi="Cambria"/>
          <w:sz w:val="20"/>
          <w:szCs w:val="20"/>
          <w:lang w:val="es-ES"/>
        </w:rPr>
        <w:t xml:space="preserve">de la radio </w:t>
      </w:r>
      <w:r w:rsidR="00404F73" w:rsidRPr="00BB1D25">
        <w:rPr>
          <w:rFonts w:ascii="Cambria" w:hAnsi="Cambria"/>
          <w:sz w:val="20"/>
          <w:szCs w:val="20"/>
          <w:lang w:val="es-ES"/>
        </w:rPr>
        <w:t>“La</w:t>
      </w:r>
      <w:r w:rsidR="00F4495F" w:rsidRPr="00BB1D25">
        <w:rPr>
          <w:rFonts w:ascii="Cambria" w:hAnsi="Cambria"/>
          <w:sz w:val="20"/>
          <w:szCs w:val="20"/>
          <w:lang w:val="es-ES"/>
        </w:rPr>
        <w:t xml:space="preserve"> Voz del Sur” conjuntamente con los señores </w:t>
      </w:r>
      <w:r w:rsidR="00D71C46" w:rsidRPr="00BB1D25">
        <w:rPr>
          <w:rFonts w:ascii="Cambria" w:hAnsi="Cambria" w:cs="Arial"/>
          <w:spacing w:val="-2"/>
          <w:sz w:val="20"/>
          <w:szCs w:val="20"/>
          <w:lang w:val="es-ES"/>
        </w:rPr>
        <w:t>Daniel Ruiz Oyarzo, Carlos González Jaksic, Oscar Santiago Mayorga Pa</w:t>
      </w:r>
      <w:r w:rsidR="00E94E5B" w:rsidRPr="00BB1D25">
        <w:rPr>
          <w:rFonts w:ascii="Cambria" w:hAnsi="Cambria" w:cs="Arial"/>
          <w:spacing w:val="-2"/>
          <w:sz w:val="20"/>
          <w:szCs w:val="20"/>
          <w:lang w:val="es-ES"/>
        </w:rPr>
        <w:t>redes, Hugo René Formantel Díaz</w:t>
      </w:r>
      <w:r w:rsidR="00D71C46" w:rsidRPr="00BB1D25">
        <w:rPr>
          <w:rFonts w:ascii="Cambria" w:hAnsi="Cambria" w:cs="Arial"/>
          <w:spacing w:val="-2"/>
          <w:sz w:val="20"/>
          <w:szCs w:val="20"/>
          <w:lang w:val="es-ES"/>
        </w:rPr>
        <w:t xml:space="preserve"> y Nestor Edmundo Navarro Alvarado.</w:t>
      </w:r>
      <w:r w:rsidRPr="00BB1D25">
        <w:rPr>
          <w:rFonts w:ascii="Cambria" w:hAnsi="Cambria" w:cs="Arial"/>
          <w:spacing w:val="-2"/>
          <w:sz w:val="20"/>
          <w:szCs w:val="20"/>
          <w:lang w:val="es-ES"/>
        </w:rPr>
        <w:t xml:space="preserve"> </w:t>
      </w:r>
      <w:r w:rsidR="00575B74" w:rsidRPr="00BB1D25">
        <w:rPr>
          <w:rFonts w:ascii="Cambria" w:hAnsi="Cambria" w:cs="Arial"/>
          <w:spacing w:val="-2"/>
          <w:sz w:val="20"/>
          <w:szCs w:val="20"/>
          <w:lang w:val="es-ES"/>
        </w:rPr>
        <w:t>Indica que l</w:t>
      </w:r>
      <w:r w:rsidR="00F4495F" w:rsidRPr="00BB1D25">
        <w:rPr>
          <w:rFonts w:ascii="Cambria" w:hAnsi="Cambria" w:cs="Arial"/>
          <w:spacing w:val="-2"/>
          <w:sz w:val="20"/>
          <w:szCs w:val="20"/>
          <w:lang w:val="es-ES"/>
        </w:rPr>
        <w:t>as presuntas víctimas</w:t>
      </w:r>
      <w:r w:rsidRPr="00BB1D25">
        <w:rPr>
          <w:rFonts w:ascii="Cambria" w:hAnsi="Cambria" w:cs="Arial"/>
          <w:spacing w:val="-2"/>
          <w:sz w:val="20"/>
          <w:szCs w:val="20"/>
          <w:lang w:val="es-ES"/>
        </w:rPr>
        <w:t xml:space="preserve"> ostentarían</w:t>
      </w:r>
      <w:r w:rsidR="00F4495F" w:rsidRPr="00BB1D25">
        <w:rPr>
          <w:rFonts w:ascii="Cambria" w:hAnsi="Cambria" w:cs="Arial"/>
          <w:spacing w:val="-2"/>
          <w:sz w:val="20"/>
          <w:szCs w:val="20"/>
          <w:lang w:val="es-ES"/>
        </w:rPr>
        <w:t xml:space="preserve"> </w:t>
      </w:r>
      <w:r w:rsidR="006E3249" w:rsidRPr="00BB1D25">
        <w:rPr>
          <w:rFonts w:ascii="Cambria" w:hAnsi="Cambria"/>
          <w:sz w:val="20"/>
          <w:szCs w:val="20"/>
          <w:lang w:val="es-ES"/>
        </w:rPr>
        <w:t>la propiedad de la Radio</w:t>
      </w:r>
      <w:r w:rsidR="00B168B1" w:rsidRPr="00BB1D25">
        <w:rPr>
          <w:rFonts w:ascii="Cambria" w:hAnsi="Cambria"/>
          <w:sz w:val="20"/>
          <w:szCs w:val="20"/>
          <w:lang w:val="es-ES"/>
        </w:rPr>
        <w:t xml:space="preserve"> </w:t>
      </w:r>
      <w:r w:rsidR="00F4495F" w:rsidRPr="00BB1D25">
        <w:rPr>
          <w:rFonts w:ascii="Cambria" w:hAnsi="Cambria"/>
          <w:sz w:val="20"/>
          <w:szCs w:val="20"/>
          <w:lang w:val="es-ES"/>
        </w:rPr>
        <w:t>a través de la sociedad “</w:t>
      </w:r>
      <w:r w:rsidR="006E3249" w:rsidRPr="00BB1D25">
        <w:rPr>
          <w:rFonts w:ascii="Cambria" w:hAnsi="Cambria"/>
          <w:sz w:val="20"/>
          <w:szCs w:val="20"/>
          <w:lang w:val="es-ES"/>
        </w:rPr>
        <w:t>Ruiz y Compañía Ltda</w:t>
      </w:r>
      <w:r w:rsidR="00F4495F" w:rsidRPr="00BB1D25">
        <w:rPr>
          <w:rFonts w:ascii="Cambria" w:hAnsi="Cambria"/>
          <w:sz w:val="20"/>
          <w:szCs w:val="20"/>
          <w:lang w:val="es-ES"/>
        </w:rPr>
        <w:t>”</w:t>
      </w:r>
      <w:r w:rsidR="006E3249" w:rsidRPr="00BB1D25">
        <w:rPr>
          <w:rFonts w:ascii="Cambria" w:hAnsi="Cambria"/>
          <w:sz w:val="20"/>
          <w:szCs w:val="20"/>
          <w:lang w:val="es-ES"/>
        </w:rPr>
        <w:t>.</w:t>
      </w:r>
      <w:r w:rsidR="007D31FF">
        <w:rPr>
          <w:rFonts w:ascii="Cambria" w:hAnsi="Cambria"/>
          <w:sz w:val="20"/>
          <w:szCs w:val="20"/>
          <w:lang w:val="es-ES"/>
        </w:rPr>
        <w:t xml:space="preserve"> La Radio operaba en Punta Arenas, Regi</w:t>
      </w:r>
      <w:r w:rsidR="00F83040">
        <w:rPr>
          <w:rFonts w:ascii="Cambria" w:hAnsi="Cambria"/>
          <w:sz w:val="20"/>
          <w:szCs w:val="20"/>
          <w:lang w:val="es-ES"/>
        </w:rPr>
        <w:t xml:space="preserve">ón de Magallanes, “la ciudad </w:t>
      </w:r>
      <w:r w:rsidR="009E5F07">
        <w:rPr>
          <w:rFonts w:ascii="Cambria" w:hAnsi="Cambria"/>
          <w:sz w:val="20"/>
          <w:szCs w:val="20"/>
          <w:lang w:val="es-ES"/>
        </w:rPr>
        <w:t>más</w:t>
      </w:r>
      <w:r w:rsidR="00F83040">
        <w:rPr>
          <w:rFonts w:ascii="Cambria" w:hAnsi="Cambria"/>
          <w:sz w:val="20"/>
          <w:szCs w:val="20"/>
          <w:lang w:val="es-ES"/>
        </w:rPr>
        <w:t xml:space="preserve"> austral de Chile”.</w:t>
      </w:r>
    </w:p>
    <w:p w:rsidR="000446A8" w:rsidRPr="00BB1D25" w:rsidRDefault="000446A8" w:rsidP="00BB1D2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0446A8" w:rsidRPr="00BB1D25" w:rsidRDefault="00062EED" w:rsidP="00BB1D2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Pr>
          <w:rFonts w:ascii="Cambria" w:hAnsi="Cambria"/>
          <w:sz w:val="20"/>
          <w:szCs w:val="20"/>
          <w:lang w:val="es-ES"/>
        </w:rPr>
        <w:t>El peticionario alegó que</w:t>
      </w:r>
      <w:r w:rsidR="0014547D" w:rsidRPr="00BB1D25">
        <w:rPr>
          <w:rFonts w:ascii="Cambria" w:hAnsi="Cambria"/>
          <w:sz w:val="20"/>
          <w:szCs w:val="20"/>
          <w:lang w:val="es-ES"/>
        </w:rPr>
        <w:t xml:space="preserve"> </w:t>
      </w:r>
      <w:r w:rsidRPr="00BB1D25">
        <w:rPr>
          <w:rFonts w:ascii="Cambria" w:hAnsi="Cambria"/>
          <w:sz w:val="20"/>
          <w:szCs w:val="20"/>
          <w:lang w:val="es-ES"/>
        </w:rPr>
        <w:t>el 11 de septiembre de 1973</w:t>
      </w:r>
      <w:r>
        <w:rPr>
          <w:rFonts w:ascii="Cambria" w:hAnsi="Cambria"/>
          <w:sz w:val="20"/>
          <w:szCs w:val="20"/>
          <w:lang w:val="es-ES"/>
        </w:rPr>
        <w:t xml:space="preserve"> </w:t>
      </w:r>
      <w:r w:rsidR="003D4430" w:rsidRPr="00BB1D25">
        <w:rPr>
          <w:rFonts w:ascii="Cambria" w:hAnsi="Cambria"/>
          <w:sz w:val="20"/>
          <w:szCs w:val="20"/>
          <w:lang w:val="es-ES"/>
        </w:rPr>
        <w:t>fuerzas dependientes del Ministerio de Defensa de la República de</w:t>
      </w:r>
      <w:r>
        <w:rPr>
          <w:rFonts w:ascii="Cambria" w:hAnsi="Cambria"/>
          <w:sz w:val="20"/>
          <w:szCs w:val="20"/>
          <w:lang w:val="es-ES"/>
        </w:rPr>
        <w:t xml:space="preserve"> Chile tomaron posesión de las i</w:t>
      </w:r>
      <w:r w:rsidR="003D4430" w:rsidRPr="00BB1D25">
        <w:rPr>
          <w:rFonts w:ascii="Cambria" w:hAnsi="Cambria"/>
          <w:sz w:val="20"/>
          <w:szCs w:val="20"/>
          <w:lang w:val="es-ES"/>
        </w:rPr>
        <w:t>nstalaciones de</w:t>
      </w:r>
      <w:r w:rsidR="00481ED1" w:rsidRPr="00BB1D25">
        <w:rPr>
          <w:rFonts w:ascii="Cambria" w:hAnsi="Cambria"/>
          <w:sz w:val="20"/>
          <w:szCs w:val="20"/>
          <w:lang w:val="es-ES"/>
        </w:rPr>
        <w:t xml:space="preserve"> la Radio</w:t>
      </w:r>
      <w:r w:rsidR="00D71C46" w:rsidRPr="00BB1D25">
        <w:rPr>
          <w:rFonts w:ascii="Cambria" w:hAnsi="Cambria"/>
          <w:sz w:val="20"/>
          <w:szCs w:val="20"/>
          <w:lang w:val="es-ES"/>
        </w:rPr>
        <w:t>.</w:t>
      </w:r>
      <w:r w:rsidR="00B168B1" w:rsidRPr="00BB1D25">
        <w:rPr>
          <w:rFonts w:ascii="Cambria" w:hAnsi="Cambria"/>
          <w:sz w:val="20"/>
          <w:szCs w:val="20"/>
          <w:lang w:val="es-ES"/>
        </w:rPr>
        <w:t xml:space="preserve"> </w:t>
      </w:r>
      <w:r w:rsidR="00597D40" w:rsidRPr="00BB1D25">
        <w:rPr>
          <w:rFonts w:ascii="Cambria" w:hAnsi="Cambria"/>
          <w:sz w:val="20"/>
          <w:szCs w:val="20"/>
          <w:lang w:val="es-ES"/>
        </w:rPr>
        <w:t xml:space="preserve"> </w:t>
      </w:r>
      <w:r w:rsidR="00E94E5B" w:rsidRPr="00BB1D25">
        <w:rPr>
          <w:rFonts w:ascii="Cambria" w:hAnsi="Cambria"/>
          <w:sz w:val="20"/>
          <w:szCs w:val="20"/>
          <w:lang w:val="es-ES"/>
        </w:rPr>
        <w:t xml:space="preserve">El peticionario </w:t>
      </w:r>
      <w:r>
        <w:rPr>
          <w:rFonts w:ascii="Cambria" w:hAnsi="Cambria"/>
          <w:sz w:val="20"/>
          <w:szCs w:val="20"/>
          <w:lang w:val="es-ES"/>
        </w:rPr>
        <w:t>indicó</w:t>
      </w:r>
      <w:r w:rsidR="00597D40" w:rsidRPr="00BB1D25">
        <w:rPr>
          <w:rFonts w:ascii="Cambria" w:hAnsi="Cambria"/>
          <w:sz w:val="20"/>
          <w:szCs w:val="20"/>
          <w:lang w:val="es-ES"/>
        </w:rPr>
        <w:t xml:space="preserve"> que </w:t>
      </w:r>
      <w:r w:rsidR="00B168B1" w:rsidRPr="00BB1D25">
        <w:rPr>
          <w:rFonts w:ascii="Cambria" w:hAnsi="Cambria"/>
          <w:sz w:val="20"/>
          <w:szCs w:val="20"/>
          <w:lang w:val="es-ES"/>
        </w:rPr>
        <w:t>dicha situación se mantuvo por algunos meses</w:t>
      </w:r>
      <w:r w:rsidR="00481ED1" w:rsidRPr="00BB1D25">
        <w:rPr>
          <w:rFonts w:ascii="Cambria" w:hAnsi="Cambria"/>
          <w:sz w:val="20"/>
          <w:szCs w:val="20"/>
          <w:lang w:val="es-ES"/>
        </w:rPr>
        <w:t>,</w:t>
      </w:r>
      <w:r w:rsidR="00097E8B" w:rsidRPr="00BB1D25">
        <w:rPr>
          <w:rFonts w:ascii="Cambria" w:hAnsi="Cambria"/>
          <w:sz w:val="20"/>
          <w:szCs w:val="20"/>
          <w:lang w:val="es-ES"/>
        </w:rPr>
        <w:t xml:space="preserve"> hasta que por d</w:t>
      </w:r>
      <w:r w:rsidR="00B168B1" w:rsidRPr="00BB1D25">
        <w:rPr>
          <w:rFonts w:ascii="Cambria" w:hAnsi="Cambria"/>
          <w:sz w:val="20"/>
          <w:szCs w:val="20"/>
          <w:lang w:val="es-ES"/>
        </w:rPr>
        <w:t xml:space="preserve">ecreto 473 del Ministerio del Interior </w:t>
      </w:r>
      <w:r w:rsidR="00873F92">
        <w:rPr>
          <w:rFonts w:ascii="Cambria" w:hAnsi="Cambria"/>
          <w:sz w:val="20"/>
          <w:szCs w:val="20"/>
          <w:lang w:val="es-ES"/>
        </w:rPr>
        <w:t>emitido en</w:t>
      </w:r>
      <w:r w:rsidR="00B168B1" w:rsidRPr="00BB1D25">
        <w:rPr>
          <w:rFonts w:ascii="Cambria" w:hAnsi="Cambria"/>
          <w:sz w:val="20"/>
          <w:szCs w:val="20"/>
          <w:lang w:val="es-ES"/>
        </w:rPr>
        <w:t xml:space="preserve"> 1974 se declaró </w:t>
      </w:r>
      <w:r w:rsidR="00873F92">
        <w:rPr>
          <w:rFonts w:ascii="Cambria" w:hAnsi="Cambria"/>
          <w:sz w:val="20"/>
          <w:szCs w:val="20"/>
          <w:lang w:val="es-ES"/>
        </w:rPr>
        <w:t>“</w:t>
      </w:r>
      <w:r w:rsidR="00B168B1" w:rsidRPr="00BB1D25">
        <w:rPr>
          <w:rFonts w:ascii="Cambria" w:hAnsi="Cambria"/>
          <w:sz w:val="20"/>
          <w:szCs w:val="20"/>
          <w:lang w:val="es-ES"/>
        </w:rPr>
        <w:t>en estudio la situación patrimonial de la sociedad</w:t>
      </w:r>
      <w:r w:rsidR="00873F92">
        <w:rPr>
          <w:rFonts w:ascii="Cambria" w:hAnsi="Cambria"/>
          <w:sz w:val="20"/>
          <w:szCs w:val="20"/>
          <w:lang w:val="es-ES"/>
        </w:rPr>
        <w:t>”</w:t>
      </w:r>
      <w:r w:rsidR="00F2672A" w:rsidRPr="00BB1D25">
        <w:rPr>
          <w:rFonts w:ascii="Cambria" w:hAnsi="Cambria"/>
          <w:sz w:val="20"/>
          <w:szCs w:val="20"/>
          <w:lang w:val="es-ES"/>
        </w:rPr>
        <w:t xml:space="preserve"> y se </w:t>
      </w:r>
      <w:r w:rsidR="00051903" w:rsidRPr="00BB1D25">
        <w:rPr>
          <w:rFonts w:ascii="Cambria" w:hAnsi="Cambria"/>
          <w:sz w:val="20"/>
          <w:szCs w:val="20"/>
          <w:lang w:val="es-ES"/>
        </w:rPr>
        <w:t xml:space="preserve">les </w:t>
      </w:r>
      <w:r w:rsidR="00F2672A" w:rsidRPr="00BB1D25">
        <w:rPr>
          <w:rFonts w:ascii="Cambria" w:hAnsi="Cambria"/>
          <w:sz w:val="20"/>
          <w:szCs w:val="20"/>
          <w:lang w:val="es-ES"/>
        </w:rPr>
        <w:t>dictó una prohibición de celebrar actos y contratos sobre los bienes de la misma.</w:t>
      </w:r>
      <w:r w:rsidR="0014547D" w:rsidRPr="00BB1D25">
        <w:rPr>
          <w:rFonts w:ascii="Cambria" w:hAnsi="Cambria"/>
          <w:sz w:val="20"/>
          <w:szCs w:val="20"/>
          <w:lang w:val="es-ES"/>
        </w:rPr>
        <w:t xml:space="preserve"> </w:t>
      </w:r>
      <w:r w:rsidR="0061179C" w:rsidRPr="00BB1D25">
        <w:rPr>
          <w:rFonts w:ascii="Cambria" w:hAnsi="Cambria"/>
          <w:sz w:val="20"/>
          <w:szCs w:val="20"/>
          <w:lang w:val="es-ES"/>
        </w:rPr>
        <w:t xml:space="preserve">Igualmente, </w:t>
      </w:r>
      <w:r w:rsidR="00873F92">
        <w:rPr>
          <w:rFonts w:ascii="Cambria" w:hAnsi="Cambria"/>
          <w:sz w:val="20"/>
          <w:szCs w:val="20"/>
          <w:lang w:val="es-ES"/>
        </w:rPr>
        <w:t>manifestó</w:t>
      </w:r>
      <w:r w:rsidR="0061179C" w:rsidRPr="00BB1D25">
        <w:rPr>
          <w:rFonts w:ascii="Cambria" w:hAnsi="Cambria"/>
          <w:sz w:val="20"/>
          <w:szCs w:val="20"/>
          <w:lang w:val="es-ES"/>
        </w:rPr>
        <w:t xml:space="preserve"> que dicho decreto </w:t>
      </w:r>
      <w:r w:rsidR="00873F92">
        <w:rPr>
          <w:rFonts w:ascii="Cambria" w:hAnsi="Cambria"/>
          <w:sz w:val="20"/>
          <w:szCs w:val="20"/>
          <w:lang w:val="es-ES"/>
        </w:rPr>
        <w:t xml:space="preserve">les </w:t>
      </w:r>
      <w:r w:rsidR="009F002D" w:rsidRPr="00BB1D25">
        <w:rPr>
          <w:rFonts w:ascii="Cambria" w:hAnsi="Cambria"/>
          <w:sz w:val="20"/>
          <w:szCs w:val="20"/>
          <w:lang w:val="es-ES"/>
        </w:rPr>
        <w:t>exigía</w:t>
      </w:r>
      <w:r w:rsidR="0061179C" w:rsidRPr="00BB1D25">
        <w:rPr>
          <w:rFonts w:ascii="Cambria" w:hAnsi="Cambria"/>
          <w:sz w:val="20"/>
          <w:szCs w:val="20"/>
          <w:lang w:val="es-ES"/>
        </w:rPr>
        <w:t xml:space="preserve"> justificar dentro del plazo de 10 días el origen de los </w:t>
      </w:r>
      <w:r w:rsidR="009F002D" w:rsidRPr="00BB1D25">
        <w:rPr>
          <w:rFonts w:ascii="Cambria" w:hAnsi="Cambria"/>
          <w:sz w:val="20"/>
          <w:szCs w:val="20"/>
          <w:lang w:val="es-ES"/>
        </w:rPr>
        <w:t>bienes</w:t>
      </w:r>
      <w:r w:rsidR="0061179C" w:rsidRPr="00BB1D25">
        <w:rPr>
          <w:rFonts w:ascii="Cambria" w:hAnsi="Cambria"/>
          <w:sz w:val="20"/>
          <w:szCs w:val="20"/>
          <w:lang w:val="es-ES"/>
        </w:rPr>
        <w:t xml:space="preserve"> que poseían, “bajo apercibimiento de tenerlos por pertenecientes a partidos políticos disueltos”. Afirm</w:t>
      </w:r>
      <w:r w:rsidR="00873F92">
        <w:rPr>
          <w:rFonts w:ascii="Cambria" w:hAnsi="Cambria"/>
          <w:sz w:val="20"/>
          <w:szCs w:val="20"/>
          <w:lang w:val="es-ES"/>
        </w:rPr>
        <w:t>ó</w:t>
      </w:r>
      <w:r w:rsidR="0061179C" w:rsidRPr="00BB1D25">
        <w:rPr>
          <w:rFonts w:ascii="Cambria" w:hAnsi="Cambria"/>
          <w:sz w:val="20"/>
          <w:szCs w:val="20"/>
          <w:lang w:val="es-ES"/>
        </w:rPr>
        <w:t xml:space="preserve"> que </w:t>
      </w:r>
      <w:r w:rsidR="00B34CDB" w:rsidRPr="00BB1D25">
        <w:rPr>
          <w:rFonts w:ascii="Cambria" w:hAnsi="Cambria"/>
          <w:sz w:val="20"/>
          <w:szCs w:val="20"/>
          <w:lang w:val="es-ES"/>
        </w:rPr>
        <w:t xml:space="preserve">por las circunstancias propias que vivía el país muchos de los citados a comparecer se encontrarían privados de libertad, desaparecidos, muertos, ocultos o exiliados </w:t>
      </w:r>
      <w:r w:rsidR="00B34CDB">
        <w:rPr>
          <w:rFonts w:ascii="Cambria" w:hAnsi="Cambria"/>
          <w:sz w:val="20"/>
          <w:szCs w:val="20"/>
          <w:lang w:val="es-ES"/>
        </w:rPr>
        <w:t>dicha exigencia, por lo que la exigencia era</w:t>
      </w:r>
      <w:r w:rsidR="0061179C" w:rsidRPr="00BB1D25">
        <w:rPr>
          <w:rFonts w:ascii="Cambria" w:hAnsi="Cambria"/>
          <w:sz w:val="20"/>
          <w:szCs w:val="20"/>
          <w:lang w:val="es-ES"/>
        </w:rPr>
        <w:t xml:space="preserve"> “ilegal” y “imposible de ser cumplida”. </w:t>
      </w:r>
      <w:r w:rsidR="00573FAC" w:rsidRPr="00BB1D25">
        <w:rPr>
          <w:rFonts w:ascii="Cambria" w:hAnsi="Cambria"/>
          <w:sz w:val="20"/>
          <w:szCs w:val="20"/>
          <w:lang w:val="es-ES"/>
        </w:rPr>
        <w:t>Adicionalmente, el peticionario s</w:t>
      </w:r>
      <w:r w:rsidR="00873F92">
        <w:rPr>
          <w:rFonts w:ascii="Cambria" w:hAnsi="Cambria"/>
          <w:sz w:val="20"/>
          <w:szCs w:val="20"/>
          <w:lang w:val="es-ES"/>
        </w:rPr>
        <w:t>eñaló</w:t>
      </w:r>
      <w:r w:rsidR="00F2672A" w:rsidRPr="00BB1D25">
        <w:rPr>
          <w:rFonts w:ascii="Cambria" w:hAnsi="Cambria"/>
          <w:sz w:val="20"/>
          <w:szCs w:val="20"/>
          <w:lang w:val="es-ES"/>
        </w:rPr>
        <w:t xml:space="preserve"> que en virtud</w:t>
      </w:r>
      <w:r w:rsidR="00191DE3" w:rsidRPr="00BB1D25">
        <w:rPr>
          <w:rFonts w:ascii="Cambria" w:hAnsi="Cambria"/>
          <w:sz w:val="20"/>
          <w:szCs w:val="20"/>
          <w:lang w:val="es-ES"/>
        </w:rPr>
        <w:t xml:space="preserve"> </w:t>
      </w:r>
      <w:r w:rsidR="00F2672A" w:rsidRPr="00BB1D25">
        <w:rPr>
          <w:rFonts w:ascii="Cambria" w:hAnsi="Cambria"/>
          <w:sz w:val="20"/>
          <w:szCs w:val="20"/>
          <w:lang w:val="es-ES"/>
        </w:rPr>
        <w:t xml:space="preserve">del decreto 1163 </w:t>
      </w:r>
      <w:r w:rsidR="00F33371" w:rsidRPr="00BB1D25">
        <w:rPr>
          <w:rFonts w:ascii="Cambria" w:hAnsi="Cambria"/>
          <w:sz w:val="20"/>
          <w:szCs w:val="20"/>
          <w:lang w:val="es-ES"/>
        </w:rPr>
        <w:t>de 1974</w:t>
      </w:r>
      <w:r w:rsidR="0014547D" w:rsidRPr="00BB1D25">
        <w:rPr>
          <w:rFonts w:ascii="Cambria" w:hAnsi="Cambria"/>
          <w:sz w:val="20"/>
          <w:szCs w:val="20"/>
          <w:lang w:val="es-ES"/>
        </w:rPr>
        <w:t xml:space="preserve"> del Ministerio del Interior, </w:t>
      </w:r>
      <w:r w:rsidR="00F2672A" w:rsidRPr="00BB1D25">
        <w:rPr>
          <w:rFonts w:ascii="Cambria" w:hAnsi="Cambria"/>
          <w:sz w:val="20"/>
          <w:szCs w:val="20"/>
          <w:lang w:val="es-ES"/>
        </w:rPr>
        <w:t>se declaró disuelta la sociedad y se ordenó pa</w:t>
      </w:r>
      <w:r w:rsidR="00597D40" w:rsidRPr="00BB1D25">
        <w:rPr>
          <w:rFonts w:ascii="Cambria" w:hAnsi="Cambria"/>
          <w:sz w:val="20"/>
          <w:szCs w:val="20"/>
          <w:lang w:val="es-ES"/>
        </w:rPr>
        <w:t>sar todos los bienes al Estado c</w:t>
      </w:r>
      <w:r w:rsidR="00F2672A" w:rsidRPr="00BB1D25">
        <w:rPr>
          <w:rFonts w:ascii="Cambria" w:hAnsi="Cambria"/>
          <w:sz w:val="20"/>
          <w:szCs w:val="20"/>
          <w:lang w:val="es-ES"/>
        </w:rPr>
        <w:t>hileno</w:t>
      </w:r>
      <w:r w:rsidR="00404F73" w:rsidRPr="00BB1D25">
        <w:rPr>
          <w:rFonts w:ascii="Cambria" w:hAnsi="Cambria"/>
          <w:sz w:val="20"/>
          <w:szCs w:val="20"/>
          <w:lang w:val="es-ES"/>
        </w:rPr>
        <w:t>, argumentado q</w:t>
      </w:r>
      <w:r w:rsidR="00573FAC" w:rsidRPr="00BB1D25">
        <w:rPr>
          <w:rFonts w:ascii="Cambria" w:hAnsi="Cambria"/>
          <w:sz w:val="20"/>
          <w:szCs w:val="20"/>
          <w:lang w:val="es-ES"/>
        </w:rPr>
        <w:t xml:space="preserve">ue el Fisco había pasado a ser </w:t>
      </w:r>
      <w:r w:rsidR="00404F73" w:rsidRPr="00BB1D25">
        <w:rPr>
          <w:rFonts w:ascii="Cambria" w:hAnsi="Cambria"/>
          <w:sz w:val="20"/>
          <w:szCs w:val="20"/>
          <w:lang w:val="es-ES"/>
        </w:rPr>
        <w:t>sucesor del patrimonio de la sociedad</w:t>
      </w:r>
      <w:r w:rsidR="00F2672A" w:rsidRPr="00BB1D25">
        <w:rPr>
          <w:rFonts w:ascii="Cambria" w:hAnsi="Cambria"/>
          <w:sz w:val="20"/>
          <w:szCs w:val="20"/>
          <w:lang w:val="es-ES"/>
        </w:rPr>
        <w:t xml:space="preserve">. </w:t>
      </w:r>
    </w:p>
    <w:p w:rsidR="0014547D" w:rsidRPr="00BB1D25" w:rsidRDefault="0014547D" w:rsidP="00BB1D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0446A8" w:rsidRPr="00DA37AB" w:rsidRDefault="00575B74" w:rsidP="00BB1D2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BB1D25">
        <w:rPr>
          <w:rFonts w:ascii="Cambria" w:hAnsi="Cambria"/>
          <w:sz w:val="20"/>
          <w:szCs w:val="20"/>
          <w:lang w:val="es-ES"/>
        </w:rPr>
        <w:t xml:space="preserve">El peticionario </w:t>
      </w:r>
      <w:r w:rsidR="00B34CDB">
        <w:rPr>
          <w:rFonts w:ascii="Cambria" w:hAnsi="Cambria"/>
          <w:sz w:val="20"/>
          <w:szCs w:val="20"/>
          <w:lang w:val="es-ES"/>
        </w:rPr>
        <w:t>sostuvo</w:t>
      </w:r>
      <w:r w:rsidRPr="00BB1D25">
        <w:rPr>
          <w:rFonts w:ascii="Cambria" w:hAnsi="Cambria"/>
          <w:sz w:val="20"/>
          <w:szCs w:val="20"/>
          <w:lang w:val="es-ES"/>
        </w:rPr>
        <w:t xml:space="preserve"> que una</w:t>
      </w:r>
      <w:r w:rsidR="00E02185" w:rsidRPr="00BB1D25">
        <w:rPr>
          <w:rFonts w:ascii="Cambria" w:hAnsi="Cambria"/>
          <w:sz w:val="20"/>
          <w:szCs w:val="20"/>
          <w:lang w:val="es-ES"/>
        </w:rPr>
        <w:t xml:space="preserve"> vez restaurad</w:t>
      </w:r>
      <w:r w:rsidR="00597D40" w:rsidRPr="00BB1D25">
        <w:rPr>
          <w:rFonts w:ascii="Cambria" w:hAnsi="Cambria"/>
          <w:sz w:val="20"/>
          <w:szCs w:val="20"/>
          <w:lang w:val="es-ES"/>
        </w:rPr>
        <w:t xml:space="preserve">a la Democracia en Chile </w:t>
      </w:r>
      <w:r w:rsidR="00E02185" w:rsidRPr="00BB1D25">
        <w:rPr>
          <w:rFonts w:ascii="Cambria" w:hAnsi="Cambria"/>
          <w:sz w:val="20"/>
          <w:szCs w:val="20"/>
          <w:lang w:val="es-ES"/>
        </w:rPr>
        <w:t xml:space="preserve">se inició un debate </w:t>
      </w:r>
      <w:r w:rsidR="00B34CDB">
        <w:rPr>
          <w:rFonts w:ascii="Cambria" w:hAnsi="Cambria"/>
          <w:sz w:val="20"/>
          <w:szCs w:val="20"/>
          <w:lang w:val="es-ES"/>
        </w:rPr>
        <w:t xml:space="preserve">nacional </w:t>
      </w:r>
      <w:r w:rsidR="00E02185" w:rsidRPr="00BB1D25">
        <w:rPr>
          <w:rFonts w:ascii="Cambria" w:hAnsi="Cambria"/>
          <w:sz w:val="20"/>
          <w:szCs w:val="20"/>
          <w:lang w:val="es-ES"/>
        </w:rPr>
        <w:t>para  la devolución de los bienes confiscados</w:t>
      </w:r>
      <w:r w:rsidR="002D037B" w:rsidRPr="00BB1D25">
        <w:rPr>
          <w:rFonts w:ascii="Cambria" w:hAnsi="Cambria"/>
          <w:sz w:val="20"/>
          <w:szCs w:val="20"/>
          <w:lang w:val="es-ES"/>
        </w:rPr>
        <w:t>.</w:t>
      </w:r>
      <w:r w:rsidR="00E02185" w:rsidRPr="00BB1D25">
        <w:rPr>
          <w:rFonts w:ascii="Cambria" w:hAnsi="Cambria"/>
          <w:sz w:val="20"/>
          <w:szCs w:val="20"/>
          <w:lang w:val="es-ES"/>
        </w:rPr>
        <w:t xml:space="preserve"> </w:t>
      </w:r>
      <w:r w:rsidR="00A86629" w:rsidRPr="00BB1D25">
        <w:rPr>
          <w:rFonts w:ascii="Cambria" w:hAnsi="Cambria"/>
          <w:sz w:val="20"/>
          <w:szCs w:val="20"/>
          <w:lang w:val="es-ES"/>
        </w:rPr>
        <w:t xml:space="preserve">Sin embargo, ante la </w:t>
      </w:r>
      <w:r w:rsidRPr="00BB1D25">
        <w:rPr>
          <w:rFonts w:ascii="Cambria" w:hAnsi="Cambria"/>
          <w:sz w:val="20"/>
          <w:szCs w:val="20"/>
          <w:lang w:val="es-ES"/>
        </w:rPr>
        <w:t xml:space="preserve">presunta </w:t>
      </w:r>
      <w:r w:rsidR="00A86629" w:rsidRPr="00BB1D25">
        <w:rPr>
          <w:rFonts w:ascii="Cambria" w:hAnsi="Cambria"/>
          <w:sz w:val="20"/>
          <w:szCs w:val="20"/>
          <w:lang w:val="es-ES"/>
        </w:rPr>
        <w:t xml:space="preserve">tardanza en el citado debate, </w:t>
      </w:r>
      <w:r w:rsidR="00597D40" w:rsidRPr="00BB1D25">
        <w:rPr>
          <w:rFonts w:ascii="Cambria" w:hAnsi="Cambria"/>
          <w:sz w:val="20"/>
          <w:szCs w:val="20"/>
          <w:lang w:val="es-ES"/>
        </w:rPr>
        <w:t>las presuntas víctimas</w:t>
      </w:r>
      <w:r w:rsidR="00A86629" w:rsidRPr="00BB1D25">
        <w:rPr>
          <w:rFonts w:ascii="Cambria" w:hAnsi="Cambria"/>
          <w:sz w:val="20"/>
          <w:szCs w:val="20"/>
          <w:lang w:val="es-ES"/>
        </w:rPr>
        <w:t xml:space="preserve"> </w:t>
      </w:r>
      <w:r w:rsidR="00B34CDB">
        <w:rPr>
          <w:rFonts w:ascii="Cambria" w:hAnsi="Cambria"/>
          <w:sz w:val="20"/>
          <w:szCs w:val="20"/>
          <w:lang w:val="es-ES"/>
        </w:rPr>
        <w:t xml:space="preserve">decidieron </w:t>
      </w:r>
      <w:r w:rsidR="00A86629" w:rsidRPr="00BB1D25">
        <w:rPr>
          <w:rFonts w:ascii="Cambria" w:hAnsi="Cambria"/>
          <w:sz w:val="20"/>
          <w:szCs w:val="20"/>
          <w:lang w:val="es-ES"/>
        </w:rPr>
        <w:t>interp</w:t>
      </w:r>
      <w:r w:rsidR="00B34CDB">
        <w:rPr>
          <w:rFonts w:ascii="Cambria" w:hAnsi="Cambria"/>
          <w:sz w:val="20"/>
          <w:szCs w:val="20"/>
          <w:lang w:val="es-ES"/>
        </w:rPr>
        <w:t>oner</w:t>
      </w:r>
      <w:r w:rsidR="00A86629" w:rsidRPr="00BB1D25">
        <w:rPr>
          <w:rFonts w:ascii="Cambria" w:hAnsi="Cambria"/>
          <w:sz w:val="20"/>
          <w:szCs w:val="20"/>
          <w:lang w:val="es-ES"/>
        </w:rPr>
        <w:t xml:space="preserve"> una </w:t>
      </w:r>
      <w:r w:rsidR="00DA37AB">
        <w:rPr>
          <w:rFonts w:ascii="Cambria" w:hAnsi="Cambria"/>
          <w:sz w:val="20"/>
          <w:szCs w:val="20"/>
          <w:lang w:val="es-ES"/>
        </w:rPr>
        <w:t>acción civil</w:t>
      </w:r>
      <w:r w:rsidR="00DC1217">
        <w:rPr>
          <w:rFonts w:ascii="Cambria" w:hAnsi="Cambria"/>
          <w:sz w:val="20"/>
          <w:szCs w:val="20"/>
          <w:lang w:val="es-ES"/>
        </w:rPr>
        <w:t xml:space="preserve"> en </w:t>
      </w:r>
      <w:r w:rsidR="009160C7">
        <w:rPr>
          <w:rFonts w:ascii="Cambria" w:hAnsi="Cambria"/>
          <w:sz w:val="20"/>
          <w:szCs w:val="20"/>
          <w:lang w:val="es-ES"/>
        </w:rPr>
        <w:t xml:space="preserve">septiembre </w:t>
      </w:r>
      <w:r w:rsidR="009160C7" w:rsidRPr="00DA37AB">
        <w:rPr>
          <w:rFonts w:ascii="Cambria" w:hAnsi="Cambria"/>
          <w:sz w:val="20"/>
          <w:szCs w:val="20"/>
          <w:lang w:val="es-ES"/>
        </w:rPr>
        <w:t xml:space="preserve">de </w:t>
      </w:r>
      <w:r w:rsidR="00DC1217" w:rsidRPr="00DA37AB">
        <w:rPr>
          <w:rFonts w:ascii="Cambria" w:hAnsi="Cambria"/>
          <w:sz w:val="20"/>
          <w:szCs w:val="20"/>
          <w:lang w:val="es-ES"/>
        </w:rPr>
        <w:t>1995</w:t>
      </w:r>
      <w:r w:rsidR="00E6385C" w:rsidRPr="00DA37AB">
        <w:rPr>
          <w:rFonts w:ascii="Cambria" w:hAnsi="Cambria"/>
          <w:sz w:val="20"/>
          <w:szCs w:val="20"/>
          <w:lang w:val="es-ES"/>
        </w:rPr>
        <w:t xml:space="preserve"> con el objeto de </w:t>
      </w:r>
      <w:r w:rsidR="009E5F07" w:rsidRPr="00DA37AB">
        <w:rPr>
          <w:rFonts w:ascii="Cambria" w:hAnsi="Cambria"/>
          <w:sz w:val="20"/>
          <w:szCs w:val="20"/>
          <w:lang w:val="es-ES"/>
        </w:rPr>
        <w:t xml:space="preserve">demandar la nulidad de derecho público de los </w:t>
      </w:r>
      <w:r w:rsidR="008500AA" w:rsidRPr="00DA37AB">
        <w:rPr>
          <w:rFonts w:ascii="Cambria" w:hAnsi="Cambria"/>
          <w:sz w:val="20"/>
          <w:szCs w:val="20"/>
          <w:lang w:val="es-ES"/>
        </w:rPr>
        <w:t xml:space="preserve">Decretos No. 473 y No. 1163 </w:t>
      </w:r>
      <w:r w:rsidR="00D94F6A" w:rsidRPr="00DA37AB">
        <w:rPr>
          <w:rFonts w:ascii="Cambria" w:hAnsi="Cambria"/>
          <w:sz w:val="20"/>
          <w:szCs w:val="20"/>
          <w:lang w:val="es-ES"/>
        </w:rPr>
        <w:t xml:space="preserve">ambos </w:t>
      </w:r>
      <w:r w:rsidR="008500AA" w:rsidRPr="00DA37AB">
        <w:rPr>
          <w:rFonts w:ascii="Cambria" w:hAnsi="Cambria"/>
          <w:sz w:val="20"/>
          <w:szCs w:val="20"/>
          <w:lang w:val="es-ES"/>
        </w:rPr>
        <w:t xml:space="preserve">de 1974, </w:t>
      </w:r>
      <w:r w:rsidR="009E5F07" w:rsidRPr="00DA37AB">
        <w:rPr>
          <w:rFonts w:ascii="Cambria" w:hAnsi="Cambria"/>
          <w:sz w:val="20"/>
          <w:szCs w:val="20"/>
          <w:lang w:val="es-ES"/>
        </w:rPr>
        <w:t>y en c</w:t>
      </w:r>
      <w:r w:rsidR="009160C7" w:rsidRPr="00DA37AB">
        <w:rPr>
          <w:rFonts w:ascii="Cambria" w:hAnsi="Cambria"/>
          <w:sz w:val="20"/>
          <w:szCs w:val="20"/>
          <w:lang w:val="es-ES"/>
        </w:rPr>
        <w:t xml:space="preserve">onsecuencia la </w:t>
      </w:r>
      <w:r w:rsidR="00DA37AB" w:rsidRPr="00DA37AB">
        <w:rPr>
          <w:rFonts w:ascii="Cambria" w:hAnsi="Cambria"/>
          <w:sz w:val="20"/>
          <w:szCs w:val="20"/>
          <w:lang w:val="es-ES"/>
        </w:rPr>
        <w:t xml:space="preserve">reparación y </w:t>
      </w:r>
      <w:r w:rsidR="009160C7" w:rsidRPr="00DA37AB">
        <w:rPr>
          <w:rFonts w:ascii="Cambria" w:hAnsi="Cambria"/>
          <w:sz w:val="20"/>
          <w:szCs w:val="20"/>
          <w:lang w:val="es-ES"/>
        </w:rPr>
        <w:t>devolución de sus</w:t>
      </w:r>
      <w:r w:rsidR="009E5F07" w:rsidRPr="00DA37AB">
        <w:rPr>
          <w:rFonts w:ascii="Cambria" w:hAnsi="Cambria"/>
          <w:sz w:val="20"/>
          <w:szCs w:val="20"/>
          <w:lang w:val="es-ES"/>
        </w:rPr>
        <w:t xml:space="preserve"> bienes</w:t>
      </w:r>
      <w:r w:rsidR="00DA37AB" w:rsidRPr="00DA37AB">
        <w:rPr>
          <w:rFonts w:ascii="Cambria" w:hAnsi="Cambria"/>
          <w:sz w:val="20"/>
          <w:szCs w:val="20"/>
          <w:lang w:val="es-ES"/>
        </w:rPr>
        <w:t xml:space="preserve">.  Indicó que la demanda </w:t>
      </w:r>
      <w:r w:rsidRPr="00DA37AB">
        <w:rPr>
          <w:rFonts w:ascii="Cambria" w:hAnsi="Cambria"/>
          <w:sz w:val="20"/>
          <w:szCs w:val="20"/>
          <w:lang w:val="es-ES"/>
        </w:rPr>
        <w:t xml:space="preserve"> </w:t>
      </w:r>
      <w:r w:rsidR="00B34CDB" w:rsidRPr="00DA37AB">
        <w:rPr>
          <w:rFonts w:ascii="Cambria" w:hAnsi="Cambria"/>
          <w:sz w:val="20"/>
          <w:szCs w:val="20"/>
          <w:lang w:val="es-ES"/>
        </w:rPr>
        <w:t xml:space="preserve">fue </w:t>
      </w:r>
      <w:r w:rsidR="00A86629" w:rsidRPr="00DA37AB">
        <w:rPr>
          <w:rFonts w:ascii="Cambria" w:hAnsi="Cambria"/>
          <w:sz w:val="20"/>
          <w:szCs w:val="20"/>
          <w:lang w:val="es-ES"/>
        </w:rPr>
        <w:t>conoc</w:t>
      </w:r>
      <w:r w:rsidR="00B34CDB" w:rsidRPr="00DA37AB">
        <w:rPr>
          <w:rFonts w:ascii="Cambria" w:hAnsi="Cambria"/>
          <w:sz w:val="20"/>
          <w:szCs w:val="20"/>
          <w:lang w:val="es-ES"/>
        </w:rPr>
        <w:t>ida por</w:t>
      </w:r>
      <w:r w:rsidR="00A86629" w:rsidRPr="00DA37AB">
        <w:rPr>
          <w:rFonts w:ascii="Cambria" w:hAnsi="Cambria"/>
          <w:sz w:val="20"/>
          <w:szCs w:val="20"/>
          <w:lang w:val="es-ES"/>
        </w:rPr>
        <w:t xml:space="preserve"> el Sép</w:t>
      </w:r>
      <w:r w:rsidRPr="00DA37AB">
        <w:rPr>
          <w:rFonts w:ascii="Cambria" w:hAnsi="Cambria"/>
          <w:sz w:val="20"/>
          <w:szCs w:val="20"/>
          <w:lang w:val="es-ES"/>
        </w:rPr>
        <w:t xml:space="preserve">timo </w:t>
      </w:r>
      <w:r w:rsidR="00A86629" w:rsidRPr="00DA37AB">
        <w:rPr>
          <w:rFonts w:ascii="Cambria" w:hAnsi="Cambria"/>
          <w:sz w:val="20"/>
          <w:szCs w:val="20"/>
          <w:lang w:val="es-ES"/>
        </w:rPr>
        <w:t xml:space="preserve">Juzgado </w:t>
      </w:r>
      <w:r w:rsidR="00127A32" w:rsidRPr="00DA37AB">
        <w:rPr>
          <w:rFonts w:ascii="Cambria" w:hAnsi="Cambria"/>
          <w:sz w:val="20"/>
          <w:szCs w:val="20"/>
          <w:lang w:val="es-ES"/>
        </w:rPr>
        <w:t>Civil de Santiago</w:t>
      </w:r>
      <w:r w:rsidRPr="00DA37AB">
        <w:rPr>
          <w:rFonts w:ascii="Cambria" w:hAnsi="Cambria"/>
          <w:sz w:val="20"/>
          <w:szCs w:val="20"/>
          <w:lang w:val="es-ES"/>
        </w:rPr>
        <w:t xml:space="preserve">. En dicho juicio, </w:t>
      </w:r>
      <w:r w:rsidR="00B34CDB" w:rsidRPr="00DA37AB">
        <w:rPr>
          <w:rFonts w:ascii="Cambria" w:hAnsi="Cambria"/>
          <w:sz w:val="20"/>
          <w:szCs w:val="20"/>
          <w:lang w:val="es-ES"/>
        </w:rPr>
        <w:t xml:space="preserve">según reseña el peticionario, </w:t>
      </w:r>
      <w:r w:rsidR="00D201D6" w:rsidRPr="00DA37AB">
        <w:rPr>
          <w:rFonts w:ascii="Cambria" w:hAnsi="Cambria"/>
          <w:sz w:val="20"/>
          <w:szCs w:val="20"/>
          <w:lang w:val="es-ES"/>
        </w:rPr>
        <w:t>el Fisco de Chile planteó como principal defensa</w:t>
      </w:r>
      <w:r w:rsidR="00231F7A" w:rsidRPr="00DA37AB">
        <w:rPr>
          <w:rFonts w:ascii="Cambria" w:hAnsi="Cambria"/>
          <w:sz w:val="20"/>
          <w:szCs w:val="20"/>
          <w:lang w:val="es-ES"/>
        </w:rPr>
        <w:t xml:space="preserve"> la legitimidad del actuar del Gobierno Militar y la prescripción de los derechos en beneficio del Estado. </w:t>
      </w:r>
      <w:r w:rsidR="00912883" w:rsidRPr="00DA37AB">
        <w:rPr>
          <w:rFonts w:ascii="Cambria" w:hAnsi="Cambria"/>
          <w:sz w:val="20"/>
          <w:szCs w:val="20"/>
          <w:lang w:val="es-ES"/>
        </w:rPr>
        <w:t>A</w:t>
      </w:r>
      <w:r w:rsidR="00937386" w:rsidRPr="00DA37AB">
        <w:rPr>
          <w:rFonts w:ascii="Cambria" w:hAnsi="Cambria"/>
          <w:sz w:val="20"/>
          <w:szCs w:val="20"/>
          <w:lang w:val="es-ES"/>
        </w:rPr>
        <w:t>leg</w:t>
      </w:r>
      <w:r w:rsidR="00B34CDB" w:rsidRPr="00DA37AB">
        <w:rPr>
          <w:rFonts w:ascii="Cambria" w:hAnsi="Cambria"/>
          <w:sz w:val="20"/>
          <w:szCs w:val="20"/>
          <w:lang w:val="es-ES"/>
        </w:rPr>
        <w:t>ó</w:t>
      </w:r>
      <w:r w:rsidR="00937386" w:rsidRPr="00DA37AB">
        <w:rPr>
          <w:rFonts w:ascii="Cambria" w:hAnsi="Cambria"/>
          <w:sz w:val="20"/>
          <w:szCs w:val="20"/>
          <w:lang w:val="es-ES"/>
        </w:rPr>
        <w:t xml:space="preserve"> que est</w:t>
      </w:r>
      <w:r w:rsidR="00231F7A" w:rsidRPr="00DA37AB">
        <w:rPr>
          <w:rFonts w:ascii="Cambria" w:hAnsi="Cambria"/>
          <w:sz w:val="20"/>
          <w:szCs w:val="20"/>
          <w:lang w:val="es-ES"/>
        </w:rPr>
        <w:t xml:space="preserve">a causa </w:t>
      </w:r>
      <w:r w:rsidR="003A2406" w:rsidRPr="00DA37AB">
        <w:rPr>
          <w:rFonts w:ascii="Cambria" w:hAnsi="Cambria"/>
          <w:sz w:val="20"/>
          <w:szCs w:val="20"/>
          <w:lang w:val="es-ES"/>
        </w:rPr>
        <w:t>“tardó</w:t>
      </w:r>
      <w:r w:rsidR="00937386" w:rsidRPr="00DA37AB">
        <w:rPr>
          <w:rFonts w:ascii="Cambria" w:hAnsi="Cambria"/>
          <w:sz w:val="20"/>
          <w:szCs w:val="20"/>
          <w:lang w:val="es-ES"/>
        </w:rPr>
        <w:t xml:space="preserve"> bastante” y </w:t>
      </w:r>
      <w:r w:rsidR="00231F7A" w:rsidRPr="00DA37AB">
        <w:rPr>
          <w:rFonts w:ascii="Cambria" w:hAnsi="Cambria"/>
          <w:sz w:val="20"/>
          <w:szCs w:val="20"/>
          <w:lang w:val="es-ES"/>
        </w:rPr>
        <w:t>fue fallada en noviembre de 1997 a favor de los deman</w:t>
      </w:r>
      <w:r w:rsidR="00B64BE7" w:rsidRPr="00DA37AB">
        <w:rPr>
          <w:rFonts w:ascii="Cambria" w:hAnsi="Cambria"/>
          <w:sz w:val="20"/>
          <w:szCs w:val="20"/>
          <w:lang w:val="es-ES"/>
        </w:rPr>
        <w:t>dantes</w:t>
      </w:r>
      <w:r w:rsidRPr="00DA37AB">
        <w:rPr>
          <w:rFonts w:ascii="Cambria" w:hAnsi="Cambria"/>
          <w:sz w:val="20"/>
          <w:szCs w:val="20"/>
          <w:lang w:val="es-ES"/>
        </w:rPr>
        <w:t xml:space="preserve"> y en contra del Estado c</w:t>
      </w:r>
      <w:r w:rsidR="00231F7A" w:rsidRPr="00DA37AB">
        <w:rPr>
          <w:rFonts w:ascii="Cambria" w:hAnsi="Cambria"/>
          <w:sz w:val="20"/>
          <w:szCs w:val="20"/>
          <w:lang w:val="es-ES"/>
        </w:rPr>
        <w:t>hileno.</w:t>
      </w:r>
      <w:r w:rsidRPr="00DA37AB">
        <w:rPr>
          <w:rFonts w:ascii="Cambria" w:hAnsi="Cambria"/>
          <w:sz w:val="20"/>
          <w:szCs w:val="20"/>
          <w:lang w:val="es-ES"/>
        </w:rPr>
        <w:t xml:space="preserve"> De acuerdo con el expediente, </w:t>
      </w:r>
      <w:r w:rsidR="00912883" w:rsidRPr="00DA37AB">
        <w:rPr>
          <w:rFonts w:ascii="Cambria" w:hAnsi="Cambria"/>
          <w:sz w:val="20"/>
          <w:szCs w:val="20"/>
          <w:lang w:val="es-ES"/>
        </w:rPr>
        <w:t xml:space="preserve">el </w:t>
      </w:r>
      <w:r w:rsidRPr="00DA37AB">
        <w:rPr>
          <w:rFonts w:ascii="Cambria" w:hAnsi="Cambria"/>
          <w:sz w:val="20"/>
          <w:szCs w:val="20"/>
          <w:lang w:val="es-ES"/>
        </w:rPr>
        <w:t xml:space="preserve">mencionado fallo </w:t>
      </w:r>
      <w:r w:rsidR="007D03A4" w:rsidRPr="00DA37AB">
        <w:rPr>
          <w:rFonts w:ascii="Cambria" w:hAnsi="Cambria"/>
          <w:sz w:val="20"/>
          <w:szCs w:val="20"/>
          <w:lang w:val="es-ES"/>
        </w:rPr>
        <w:t>fue</w:t>
      </w:r>
      <w:r w:rsidRPr="00DA37AB">
        <w:rPr>
          <w:rFonts w:ascii="Cambria" w:hAnsi="Cambria"/>
          <w:sz w:val="20"/>
          <w:szCs w:val="20"/>
          <w:lang w:val="es-ES"/>
        </w:rPr>
        <w:t xml:space="preserve"> impugnado por el Estado, pero la Corte de </w:t>
      </w:r>
      <w:r w:rsidR="00573FAC" w:rsidRPr="00DA37AB">
        <w:rPr>
          <w:rFonts w:ascii="Cambria" w:hAnsi="Cambria"/>
          <w:sz w:val="20"/>
          <w:szCs w:val="20"/>
          <w:lang w:val="es-ES"/>
        </w:rPr>
        <w:t>Apelaciones de Santiago ratificó</w:t>
      </w:r>
      <w:r w:rsidRPr="00DA37AB">
        <w:rPr>
          <w:rFonts w:ascii="Cambria" w:hAnsi="Cambria"/>
          <w:sz w:val="20"/>
          <w:szCs w:val="20"/>
          <w:lang w:val="es-ES"/>
        </w:rPr>
        <w:t xml:space="preserve"> </w:t>
      </w:r>
      <w:r w:rsidR="00B20A58" w:rsidRPr="00DA37AB">
        <w:rPr>
          <w:rFonts w:ascii="Cambria" w:hAnsi="Cambria"/>
          <w:sz w:val="20"/>
          <w:szCs w:val="20"/>
          <w:lang w:val="es-ES"/>
        </w:rPr>
        <w:t xml:space="preserve">el fallo de primera instancia. </w:t>
      </w:r>
    </w:p>
    <w:p w:rsidR="00912883" w:rsidRPr="00B64BE7" w:rsidRDefault="00912883" w:rsidP="009128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2D037B" w:rsidRPr="00BB1D25" w:rsidRDefault="00AD0FA4" w:rsidP="00BB1D2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Pr>
          <w:rFonts w:ascii="Cambria" w:hAnsi="Cambria"/>
          <w:sz w:val="20"/>
          <w:szCs w:val="20"/>
          <w:lang w:val="es-ES"/>
        </w:rPr>
        <w:t>En la petición se señaló que e</w:t>
      </w:r>
      <w:r w:rsidR="00130C0A" w:rsidRPr="00BB1D25">
        <w:rPr>
          <w:rFonts w:ascii="Cambria" w:hAnsi="Cambria"/>
          <w:sz w:val="20"/>
          <w:szCs w:val="20"/>
          <w:lang w:val="es-ES"/>
        </w:rPr>
        <w:t>n contra del fallo anteriormente citado</w:t>
      </w:r>
      <w:r w:rsidR="00573FAC" w:rsidRPr="00BB1D25">
        <w:rPr>
          <w:rFonts w:ascii="Cambria" w:hAnsi="Cambria"/>
          <w:sz w:val="20"/>
          <w:szCs w:val="20"/>
          <w:lang w:val="es-ES"/>
        </w:rPr>
        <w:t>,</w:t>
      </w:r>
      <w:r w:rsidR="00B20A58" w:rsidRPr="00BB1D25">
        <w:rPr>
          <w:rFonts w:ascii="Cambria" w:hAnsi="Cambria"/>
          <w:sz w:val="20"/>
          <w:szCs w:val="20"/>
          <w:lang w:val="es-ES"/>
        </w:rPr>
        <w:t xml:space="preserve"> </w:t>
      </w:r>
      <w:r w:rsidR="00B64BE7">
        <w:rPr>
          <w:rFonts w:ascii="Cambria" w:hAnsi="Cambria"/>
          <w:sz w:val="20"/>
          <w:szCs w:val="20"/>
          <w:lang w:val="es-ES"/>
        </w:rPr>
        <w:t xml:space="preserve">en 2003 </w:t>
      </w:r>
      <w:r w:rsidR="00B20A58" w:rsidRPr="00BB1D25">
        <w:rPr>
          <w:rFonts w:ascii="Cambria" w:hAnsi="Cambria"/>
          <w:sz w:val="20"/>
          <w:szCs w:val="20"/>
          <w:lang w:val="es-ES"/>
        </w:rPr>
        <w:t>el Fisco interpuso recurso de casación ante l</w:t>
      </w:r>
      <w:r w:rsidR="00575B74" w:rsidRPr="00BB1D25">
        <w:rPr>
          <w:rFonts w:ascii="Cambria" w:hAnsi="Cambria"/>
          <w:sz w:val="20"/>
          <w:szCs w:val="20"/>
          <w:lang w:val="es-ES"/>
        </w:rPr>
        <w:t>a Corte Suprema de</w:t>
      </w:r>
      <w:r w:rsidR="00693596">
        <w:rPr>
          <w:rFonts w:ascii="Cambria" w:hAnsi="Cambria"/>
          <w:sz w:val="20"/>
          <w:szCs w:val="20"/>
          <w:lang w:val="es-ES"/>
        </w:rPr>
        <w:t xml:space="preserve"> Justicia</w:t>
      </w:r>
      <w:r w:rsidR="00575B74" w:rsidRPr="00BB1D25">
        <w:rPr>
          <w:rFonts w:ascii="Cambria" w:hAnsi="Cambria"/>
          <w:sz w:val="20"/>
          <w:szCs w:val="20"/>
          <w:lang w:val="es-ES"/>
        </w:rPr>
        <w:t xml:space="preserve"> </w:t>
      </w:r>
      <w:r w:rsidR="002F2800">
        <w:rPr>
          <w:rFonts w:ascii="Cambria" w:hAnsi="Cambria"/>
          <w:sz w:val="20"/>
          <w:szCs w:val="20"/>
          <w:lang w:val="es-ES"/>
        </w:rPr>
        <w:t xml:space="preserve">de </w:t>
      </w:r>
      <w:r w:rsidR="00575B74" w:rsidRPr="00BB1D25">
        <w:rPr>
          <w:rFonts w:ascii="Cambria" w:hAnsi="Cambria"/>
          <w:sz w:val="20"/>
          <w:szCs w:val="20"/>
          <w:lang w:val="es-ES"/>
        </w:rPr>
        <w:t>Chile</w:t>
      </w:r>
      <w:r w:rsidR="00B20A58" w:rsidRPr="00BB1D25">
        <w:rPr>
          <w:rFonts w:ascii="Cambria" w:hAnsi="Cambria"/>
          <w:sz w:val="20"/>
          <w:szCs w:val="20"/>
          <w:lang w:val="es-ES"/>
        </w:rPr>
        <w:t xml:space="preserve">. </w:t>
      </w:r>
      <w:r w:rsidR="00693596">
        <w:rPr>
          <w:rFonts w:ascii="Cambria" w:hAnsi="Cambria"/>
          <w:sz w:val="20"/>
          <w:szCs w:val="20"/>
          <w:lang w:val="es-ES"/>
        </w:rPr>
        <w:t>De acuerdo con lo alegado,</w:t>
      </w:r>
      <w:r w:rsidR="00071D9A" w:rsidRPr="00BB1D25">
        <w:rPr>
          <w:rFonts w:ascii="Cambria" w:hAnsi="Cambria"/>
          <w:sz w:val="20"/>
          <w:szCs w:val="20"/>
          <w:lang w:val="es-ES"/>
        </w:rPr>
        <w:t xml:space="preserve"> durante ese periodo de tiempo</w:t>
      </w:r>
      <w:r w:rsidR="002D037B" w:rsidRPr="00BB1D25">
        <w:rPr>
          <w:rFonts w:ascii="Cambria" w:hAnsi="Cambria"/>
          <w:sz w:val="20"/>
          <w:szCs w:val="20"/>
          <w:lang w:val="es-ES"/>
        </w:rPr>
        <w:t xml:space="preserve"> el </w:t>
      </w:r>
      <w:r w:rsidR="00693596">
        <w:rPr>
          <w:rFonts w:ascii="Cambria" w:hAnsi="Cambria"/>
          <w:sz w:val="20"/>
          <w:szCs w:val="20"/>
          <w:lang w:val="es-ES"/>
        </w:rPr>
        <w:t>Congreso de la República</w:t>
      </w:r>
      <w:r w:rsidR="002D037B" w:rsidRPr="00BB1D25">
        <w:rPr>
          <w:rFonts w:ascii="Cambria" w:hAnsi="Cambria"/>
          <w:sz w:val="20"/>
          <w:szCs w:val="20"/>
          <w:lang w:val="es-ES"/>
        </w:rPr>
        <w:t xml:space="preserve"> despachó la Ley 19.568 de devolución</w:t>
      </w:r>
      <w:r w:rsidR="00127A32" w:rsidRPr="00BB1D25">
        <w:rPr>
          <w:rFonts w:ascii="Cambria" w:hAnsi="Cambria"/>
          <w:sz w:val="20"/>
          <w:szCs w:val="20"/>
          <w:lang w:val="es-ES"/>
        </w:rPr>
        <w:t xml:space="preserve"> de bienes</w:t>
      </w:r>
      <w:r w:rsidR="00573FAC" w:rsidRPr="00BB1D25">
        <w:rPr>
          <w:rFonts w:ascii="Cambria" w:hAnsi="Cambria"/>
          <w:sz w:val="20"/>
          <w:szCs w:val="20"/>
          <w:lang w:val="es-ES"/>
        </w:rPr>
        <w:t xml:space="preserve">, la cual </w:t>
      </w:r>
      <w:r w:rsidR="00127A32" w:rsidRPr="00BB1D25">
        <w:rPr>
          <w:rFonts w:ascii="Cambria" w:hAnsi="Cambria"/>
          <w:sz w:val="20"/>
          <w:szCs w:val="20"/>
          <w:lang w:val="es-ES"/>
        </w:rPr>
        <w:t xml:space="preserve">ordenaba </w:t>
      </w:r>
      <w:r w:rsidR="002D037B" w:rsidRPr="00BB1D25">
        <w:rPr>
          <w:rFonts w:ascii="Cambria" w:hAnsi="Cambria"/>
          <w:sz w:val="20"/>
          <w:szCs w:val="20"/>
          <w:lang w:val="es-ES"/>
        </w:rPr>
        <w:t>devolver, pero no indemnizar</w:t>
      </w:r>
      <w:r w:rsidR="003A2406">
        <w:rPr>
          <w:rFonts w:ascii="Cambria" w:hAnsi="Cambria"/>
          <w:sz w:val="20"/>
          <w:szCs w:val="20"/>
          <w:lang w:val="es-ES"/>
        </w:rPr>
        <w:t>,</w:t>
      </w:r>
      <w:r w:rsidR="002D037B" w:rsidRPr="00BB1D25">
        <w:rPr>
          <w:rFonts w:ascii="Cambria" w:hAnsi="Cambria"/>
          <w:sz w:val="20"/>
          <w:szCs w:val="20"/>
          <w:lang w:val="es-ES"/>
        </w:rPr>
        <w:t xml:space="preserve"> a los partidos, organizaci</w:t>
      </w:r>
      <w:r w:rsidR="00127A32" w:rsidRPr="00BB1D25">
        <w:rPr>
          <w:rFonts w:ascii="Cambria" w:hAnsi="Cambria"/>
          <w:sz w:val="20"/>
          <w:szCs w:val="20"/>
          <w:lang w:val="es-ES"/>
        </w:rPr>
        <w:t>ones y particulares afectados. A</w:t>
      </w:r>
      <w:r w:rsidR="00071D9A" w:rsidRPr="00BB1D25">
        <w:rPr>
          <w:rFonts w:ascii="Cambria" w:hAnsi="Cambria"/>
          <w:sz w:val="20"/>
          <w:szCs w:val="20"/>
          <w:lang w:val="es-ES"/>
        </w:rPr>
        <w:t>simismo</w:t>
      </w:r>
      <w:r w:rsidR="00127A32" w:rsidRPr="00BB1D25">
        <w:rPr>
          <w:rFonts w:ascii="Cambria" w:hAnsi="Cambria"/>
          <w:sz w:val="20"/>
          <w:szCs w:val="20"/>
          <w:lang w:val="es-ES"/>
        </w:rPr>
        <w:t>,</w:t>
      </w:r>
      <w:r w:rsidR="002D037B" w:rsidRPr="00BB1D25">
        <w:rPr>
          <w:rFonts w:ascii="Cambria" w:hAnsi="Cambria"/>
          <w:sz w:val="20"/>
          <w:szCs w:val="20"/>
          <w:lang w:val="es-ES"/>
        </w:rPr>
        <w:t xml:space="preserve"> </w:t>
      </w:r>
      <w:r w:rsidR="006078E5" w:rsidRPr="00BB1D25">
        <w:rPr>
          <w:rFonts w:ascii="Cambria" w:hAnsi="Cambria"/>
          <w:sz w:val="20"/>
          <w:szCs w:val="20"/>
          <w:lang w:val="es-ES"/>
        </w:rPr>
        <w:t>exigía</w:t>
      </w:r>
      <w:r w:rsidR="002D037B" w:rsidRPr="00BB1D25">
        <w:rPr>
          <w:rFonts w:ascii="Cambria" w:hAnsi="Cambria"/>
          <w:sz w:val="20"/>
          <w:szCs w:val="20"/>
          <w:lang w:val="es-ES"/>
        </w:rPr>
        <w:t xml:space="preserve"> a </w:t>
      </w:r>
      <w:r w:rsidR="006078E5" w:rsidRPr="00BB1D25">
        <w:rPr>
          <w:rFonts w:ascii="Cambria" w:hAnsi="Cambria"/>
          <w:sz w:val="20"/>
          <w:szCs w:val="20"/>
          <w:lang w:val="es-ES"/>
        </w:rPr>
        <w:t>quiene</w:t>
      </w:r>
      <w:r w:rsidR="00127A32" w:rsidRPr="00BB1D25">
        <w:rPr>
          <w:rFonts w:ascii="Cambria" w:hAnsi="Cambria"/>
          <w:sz w:val="20"/>
          <w:szCs w:val="20"/>
          <w:lang w:val="es-ES"/>
        </w:rPr>
        <w:t xml:space="preserve">s se acogieran a la devolución </w:t>
      </w:r>
      <w:r w:rsidR="006078E5" w:rsidRPr="00BB1D25">
        <w:rPr>
          <w:rFonts w:ascii="Cambria" w:hAnsi="Cambria"/>
          <w:sz w:val="20"/>
          <w:szCs w:val="20"/>
          <w:lang w:val="es-ES"/>
        </w:rPr>
        <w:t xml:space="preserve">desistirse de las acciones judiciales ejercidas brindando un plazo perentorio de un año para acudir al </w:t>
      </w:r>
      <w:r w:rsidR="00127A32" w:rsidRPr="00BB1D25">
        <w:rPr>
          <w:rFonts w:ascii="Cambria" w:hAnsi="Cambria"/>
          <w:sz w:val="20"/>
          <w:szCs w:val="20"/>
          <w:lang w:val="es-ES"/>
        </w:rPr>
        <w:t>Ministerio de Bienes Nacionales</w:t>
      </w:r>
      <w:r w:rsidR="00127A32" w:rsidRPr="00665C6A">
        <w:rPr>
          <w:rFonts w:ascii="Cambria" w:hAnsi="Cambria"/>
          <w:sz w:val="20"/>
          <w:szCs w:val="20"/>
          <w:lang w:val="es-ES"/>
        </w:rPr>
        <w:t xml:space="preserve">. </w:t>
      </w:r>
      <w:r w:rsidR="007D006A" w:rsidRPr="00665C6A">
        <w:rPr>
          <w:rFonts w:ascii="Cambria" w:hAnsi="Cambria"/>
          <w:sz w:val="20"/>
          <w:szCs w:val="20"/>
          <w:lang w:val="es-ES"/>
        </w:rPr>
        <w:t>El peticionario o</w:t>
      </w:r>
      <w:r w:rsidR="003A2406" w:rsidRPr="00665C6A">
        <w:rPr>
          <w:rFonts w:ascii="Cambria" w:hAnsi="Cambria"/>
          <w:sz w:val="20"/>
          <w:szCs w:val="20"/>
          <w:lang w:val="es-ES"/>
        </w:rPr>
        <w:t>bservó</w:t>
      </w:r>
      <w:r w:rsidR="00573FAC" w:rsidRPr="00665C6A">
        <w:rPr>
          <w:rFonts w:ascii="Cambria" w:hAnsi="Cambria"/>
          <w:sz w:val="20"/>
          <w:szCs w:val="20"/>
          <w:lang w:val="es-ES"/>
        </w:rPr>
        <w:t xml:space="preserve"> que</w:t>
      </w:r>
      <w:r w:rsidR="00127A32" w:rsidRPr="00BB1D25">
        <w:rPr>
          <w:rFonts w:ascii="Cambria" w:hAnsi="Cambria"/>
          <w:sz w:val="20"/>
          <w:szCs w:val="20"/>
          <w:lang w:val="es-ES"/>
        </w:rPr>
        <w:t xml:space="preserve"> </w:t>
      </w:r>
      <w:r w:rsidR="006078E5" w:rsidRPr="00BB1D25">
        <w:rPr>
          <w:rFonts w:ascii="Cambria" w:hAnsi="Cambria"/>
          <w:sz w:val="20"/>
          <w:szCs w:val="20"/>
          <w:lang w:val="es-ES"/>
        </w:rPr>
        <w:t xml:space="preserve">dicha Ley se dictó después de que la Corte Suprema </w:t>
      </w:r>
      <w:r w:rsidR="002F2800">
        <w:rPr>
          <w:rFonts w:ascii="Cambria" w:hAnsi="Cambria"/>
          <w:sz w:val="20"/>
          <w:szCs w:val="20"/>
          <w:lang w:val="es-ES"/>
        </w:rPr>
        <w:t xml:space="preserve">de Justicia </w:t>
      </w:r>
      <w:r w:rsidR="006078E5" w:rsidRPr="00BB1D25">
        <w:rPr>
          <w:rFonts w:ascii="Cambria" w:hAnsi="Cambria"/>
          <w:sz w:val="20"/>
          <w:szCs w:val="20"/>
          <w:lang w:val="es-ES"/>
        </w:rPr>
        <w:t xml:space="preserve">de Chile dispusiera </w:t>
      </w:r>
      <w:r w:rsidR="00573FAC" w:rsidRPr="00BB1D25">
        <w:rPr>
          <w:rFonts w:ascii="Cambria" w:hAnsi="Cambria"/>
          <w:sz w:val="20"/>
          <w:szCs w:val="20"/>
          <w:lang w:val="es-ES"/>
        </w:rPr>
        <w:t>“invariablemente”</w:t>
      </w:r>
      <w:r w:rsidR="006078E5" w:rsidRPr="00BB1D25">
        <w:rPr>
          <w:rFonts w:ascii="Cambria" w:hAnsi="Cambria"/>
          <w:sz w:val="20"/>
          <w:szCs w:val="20"/>
          <w:lang w:val="es-ES"/>
        </w:rPr>
        <w:t xml:space="preserve"> la tesis de que las </w:t>
      </w:r>
      <w:r w:rsidR="006078E5" w:rsidRPr="00BB1D25">
        <w:rPr>
          <w:rFonts w:ascii="Cambria" w:hAnsi="Cambria"/>
          <w:sz w:val="20"/>
          <w:szCs w:val="20"/>
          <w:lang w:val="es-ES"/>
        </w:rPr>
        <w:lastRenderedPageBreak/>
        <w:t>nulidades de derech</w:t>
      </w:r>
      <w:r w:rsidR="00B74DC8" w:rsidRPr="00BB1D25">
        <w:rPr>
          <w:rFonts w:ascii="Cambria" w:hAnsi="Cambria"/>
          <w:sz w:val="20"/>
          <w:szCs w:val="20"/>
          <w:lang w:val="es-ES"/>
        </w:rPr>
        <w:t xml:space="preserve">o público son imprescriptibles </w:t>
      </w:r>
      <w:r w:rsidR="006078E5" w:rsidRPr="00BB1D25">
        <w:rPr>
          <w:rFonts w:ascii="Cambria" w:hAnsi="Cambria"/>
          <w:sz w:val="20"/>
          <w:szCs w:val="20"/>
          <w:lang w:val="es-ES"/>
        </w:rPr>
        <w:t>y que por ello el Estado de Chile debía devolver los bienes e indemnizar</w:t>
      </w:r>
      <w:r w:rsidR="00B74DC8" w:rsidRPr="00BB1D25">
        <w:rPr>
          <w:rFonts w:ascii="Cambria" w:hAnsi="Cambria"/>
          <w:sz w:val="20"/>
          <w:szCs w:val="20"/>
          <w:lang w:val="es-ES"/>
        </w:rPr>
        <w:t xml:space="preserve"> </w:t>
      </w:r>
      <w:r w:rsidR="00994F24" w:rsidRPr="00BB1D25">
        <w:rPr>
          <w:rFonts w:ascii="Cambria" w:hAnsi="Cambria"/>
          <w:sz w:val="20"/>
          <w:szCs w:val="20"/>
          <w:lang w:val="es-ES"/>
        </w:rPr>
        <w:t>a los particulares afectados por los derechos.</w:t>
      </w:r>
    </w:p>
    <w:p w:rsidR="000446A8" w:rsidRPr="00BB1D25" w:rsidRDefault="000446A8" w:rsidP="00BB1D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0E1570" w:rsidRPr="00BB1D25" w:rsidRDefault="003A2406" w:rsidP="00BB1D2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Pr>
          <w:rFonts w:ascii="Cambria" w:hAnsi="Cambria"/>
          <w:sz w:val="20"/>
          <w:szCs w:val="20"/>
          <w:lang w:val="es-ES"/>
        </w:rPr>
        <w:t>El peticionario señaló</w:t>
      </w:r>
      <w:r w:rsidR="00B74DC8" w:rsidRPr="00BB1D25">
        <w:rPr>
          <w:rFonts w:ascii="Cambria" w:hAnsi="Cambria"/>
          <w:sz w:val="20"/>
          <w:szCs w:val="20"/>
          <w:lang w:val="es-ES"/>
        </w:rPr>
        <w:t xml:space="preserve"> que el 21 de enero de 2004</w:t>
      </w:r>
      <w:r w:rsidR="00994F24" w:rsidRPr="00BB1D25">
        <w:rPr>
          <w:rFonts w:ascii="Cambria" w:hAnsi="Cambria"/>
          <w:sz w:val="20"/>
          <w:szCs w:val="20"/>
          <w:lang w:val="es-ES"/>
        </w:rPr>
        <w:t xml:space="preserve"> l</w:t>
      </w:r>
      <w:r w:rsidR="00F72917" w:rsidRPr="00BB1D25">
        <w:rPr>
          <w:rFonts w:ascii="Cambria" w:hAnsi="Cambria"/>
          <w:sz w:val="20"/>
          <w:szCs w:val="20"/>
          <w:lang w:val="es-ES"/>
        </w:rPr>
        <w:t>a Corte Suprema</w:t>
      </w:r>
      <w:r w:rsidR="00071D9A" w:rsidRPr="00BB1D25">
        <w:rPr>
          <w:rFonts w:ascii="Cambria" w:hAnsi="Cambria"/>
          <w:sz w:val="20"/>
          <w:szCs w:val="20"/>
          <w:lang w:val="es-ES"/>
        </w:rPr>
        <w:t xml:space="preserve"> falló</w:t>
      </w:r>
      <w:r w:rsidR="00994F24" w:rsidRPr="00BB1D25">
        <w:rPr>
          <w:rFonts w:ascii="Cambria" w:hAnsi="Cambria"/>
          <w:sz w:val="20"/>
          <w:szCs w:val="20"/>
          <w:lang w:val="es-ES"/>
        </w:rPr>
        <w:t xml:space="preserve"> el citado recurso de casación</w:t>
      </w:r>
      <w:r w:rsidR="00B74DC8" w:rsidRPr="00BB1D25">
        <w:rPr>
          <w:rFonts w:ascii="Cambria" w:hAnsi="Cambria"/>
          <w:sz w:val="20"/>
          <w:szCs w:val="20"/>
          <w:lang w:val="es-ES"/>
        </w:rPr>
        <w:t xml:space="preserve"> interpuesto por el Fisco</w:t>
      </w:r>
      <w:r w:rsidR="009C4B2F" w:rsidRPr="00BB1D25">
        <w:rPr>
          <w:rFonts w:ascii="Cambria" w:hAnsi="Cambria"/>
          <w:sz w:val="20"/>
          <w:szCs w:val="20"/>
          <w:lang w:val="es-ES"/>
        </w:rPr>
        <w:t>, acogiendo parcialmente la presentación del Estado</w:t>
      </w:r>
      <w:r w:rsidR="00994F24" w:rsidRPr="00BB1D25">
        <w:rPr>
          <w:rFonts w:ascii="Cambria" w:hAnsi="Cambria"/>
          <w:sz w:val="20"/>
          <w:szCs w:val="20"/>
          <w:lang w:val="es-ES"/>
        </w:rPr>
        <w:t>. La Corte</w:t>
      </w:r>
      <w:r w:rsidR="00F72917" w:rsidRPr="00BB1D25">
        <w:rPr>
          <w:rFonts w:ascii="Cambria" w:hAnsi="Cambria"/>
          <w:sz w:val="20"/>
          <w:szCs w:val="20"/>
          <w:lang w:val="es-ES"/>
        </w:rPr>
        <w:t xml:space="preserve"> </w:t>
      </w:r>
      <w:r w:rsidR="00994F24" w:rsidRPr="00BB1D25">
        <w:rPr>
          <w:rFonts w:ascii="Cambria" w:hAnsi="Cambria"/>
          <w:sz w:val="20"/>
          <w:szCs w:val="20"/>
          <w:lang w:val="es-ES"/>
        </w:rPr>
        <w:t>determinó</w:t>
      </w:r>
      <w:r w:rsidR="00DD36FE" w:rsidRPr="00BB1D25">
        <w:rPr>
          <w:rFonts w:ascii="Cambria" w:hAnsi="Cambria"/>
          <w:sz w:val="20"/>
          <w:szCs w:val="20"/>
          <w:lang w:val="es-ES"/>
        </w:rPr>
        <w:t xml:space="preserve"> que si bien los decretos impugnados son nulos de pleno derecho</w:t>
      </w:r>
      <w:r w:rsidR="009479B9" w:rsidRPr="00BB1D25">
        <w:rPr>
          <w:rFonts w:ascii="Cambria" w:hAnsi="Cambria"/>
          <w:sz w:val="20"/>
          <w:szCs w:val="20"/>
          <w:lang w:val="es-ES"/>
        </w:rPr>
        <w:t>,</w:t>
      </w:r>
      <w:r w:rsidR="00DD36FE" w:rsidRPr="00BB1D25">
        <w:rPr>
          <w:rFonts w:ascii="Cambria" w:hAnsi="Cambria"/>
          <w:sz w:val="20"/>
          <w:szCs w:val="20"/>
          <w:lang w:val="es-ES"/>
        </w:rPr>
        <w:t xml:space="preserve"> las consecuencias patrimoniales de dic</w:t>
      </w:r>
      <w:r>
        <w:rPr>
          <w:rFonts w:ascii="Cambria" w:hAnsi="Cambria"/>
          <w:sz w:val="20"/>
          <w:szCs w:val="20"/>
          <w:lang w:val="es-ES"/>
        </w:rPr>
        <w:t>ha nulidad habrían prescrito</w:t>
      </w:r>
      <w:r w:rsidR="00DD36FE" w:rsidRPr="00BB1D25">
        <w:rPr>
          <w:rFonts w:ascii="Cambria" w:hAnsi="Cambria"/>
          <w:sz w:val="20"/>
          <w:szCs w:val="20"/>
          <w:lang w:val="es-ES"/>
        </w:rPr>
        <w:t xml:space="preserve">. </w:t>
      </w:r>
      <w:r w:rsidR="00B74DC8" w:rsidRPr="00BB1D25">
        <w:rPr>
          <w:rFonts w:ascii="Cambria" w:hAnsi="Cambria"/>
          <w:sz w:val="20"/>
          <w:szCs w:val="20"/>
          <w:lang w:val="es-ES"/>
        </w:rPr>
        <w:t xml:space="preserve">El peticionario </w:t>
      </w:r>
      <w:r>
        <w:rPr>
          <w:rFonts w:ascii="Cambria" w:hAnsi="Cambria"/>
          <w:sz w:val="20"/>
          <w:szCs w:val="20"/>
          <w:lang w:val="es-ES"/>
        </w:rPr>
        <w:t>indicó</w:t>
      </w:r>
      <w:r w:rsidR="00F831DF" w:rsidRPr="00BB1D25">
        <w:rPr>
          <w:rFonts w:ascii="Cambria" w:hAnsi="Cambria"/>
          <w:sz w:val="20"/>
          <w:szCs w:val="20"/>
          <w:lang w:val="es-ES"/>
        </w:rPr>
        <w:t xml:space="preserve"> que en la sentenc</w:t>
      </w:r>
      <w:r w:rsidR="00B74DC8" w:rsidRPr="00BB1D25">
        <w:rPr>
          <w:rFonts w:ascii="Cambria" w:hAnsi="Cambria"/>
          <w:sz w:val="20"/>
          <w:szCs w:val="20"/>
          <w:lang w:val="es-ES"/>
        </w:rPr>
        <w:t>ia de la Corte Suprema no existiría</w:t>
      </w:r>
      <w:r w:rsidR="00F831DF" w:rsidRPr="00BB1D25">
        <w:rPr>
          <w:rFonts w:ascii="Cambria" w:hAnsi="Cambria"/>
          <w:sz w:val="20"/>
          <w:szCs w:val="20"/>
          <w:lang w:val="es-ES"/>
        </w:rPr>
        <w:t xml:space="preserve"> ninguna referencia al reconocimiento que el Estado de Ch</w:t>
      </w:r>
      <w:r>
        <w:rPr>
          <w:rFonts w:ascii="Cambria" w:hAnsi="Cambria"/>
          <w:sz w:val="20"/>
          <w:szCs w:val="20"/>
          <w:lang w:val="es-ES"/>
        </w:rPr>
        <w:t>ile había hecho respecto de la L</w:t>
      </w:r>
      <w:r w:rsidR="00F831DF" w:rsidRPr="00BB1D25">
        <w:rPr>
          <w:rFonts w:ascii="Cambria" w:hAnsi="Cambria"/>
          <w:sz w:val="20"/>
          <w:szCs w:val="20"/>
          <w:lang w:val="es-ES"/>
        </w:rPr>
        <w:t>ey 19.568.</w:t>
      </w:r>
    </w:p>
    <w:p w:rsidR="000446A8" w:rsidRPr="00BB1D25" w:rsidRDefault="000446A8" w:rsidP="00BB1D2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061F16" w:rsidRPr="00BB1D25" w:rsidRDefault="00B74DC8" w:rsidP="00061F1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061F16">
        <w:rPr>
          <w:rFonts w:ascii="Cambria" w:hAnsi="Cambria"/>
          <w:sz w:val="20"/>
          <w:szCs w:val="20"/>
          <w:lang w:val="es-ES"/>
        </w:rPr>
        <w:t>De acuerdo con el peticionario, el Estado chileno</w:t>
      </w:r>
      <w:r w:rsidR="00180827" w:rsidRPr="00061F16">
        <w:rPr>
          <w:rFonts w:ascii="Cambria" w:hAnsi="Cambria"/>
          <w:sz w:val="20"/>
          <w:szCs w:val="20"/>
          <w:lang w:val="es-ES"/>
        </w:rPr>
        <w:t xml:space="preserve"> ha violado tanto el derecho interno de la República de Chile</w:t>
      </w:r>
      <w:r w:rsidRPr="00061F16">
        <w:rPr>
          <w:rFonts w:ascii="Cambria" w:hAnsi="Cambria"/>
          <w:sz w:val="20"/>
          <w:szCs w:val="20"/>
          <w:lang w:val="es-ES"/>
        </w:rPr>
        <w:t>,</w:t>
      </w:r>
      <w:r w:rsidR="003A2406" w:rsidRPr="00061F16">
        <w:rPr>
          <w:rFonts w:ascii="Cambria" w:hAnsi="Cambria"/>
          <w:sz w:val="20"/>
          <w:szCs w:val="20"/>
          <w:lang w:val="es-ES"/>
        </w:rPr>
        <w:t xml:space="preserve"> así como los derechos h</w:t>
      </w:r>
      <w:r w:rsidR="00180827" w:rsidRPr="00061F16">
        <w:rPr>
          <w:rFonts w:ascii="Cambria" w:hAnsi="Cambria"/>
          <w:sz w:val="20"/>
          <w:szCs w:val="20"/>
          <w:lang w:val="es-ES"/>
        </w:rPr>
        <w:t>umanos consagrados en la Convención Ameri</w:t>
      </w:r>
      <w:r w:rsidRPr="00061F16">
        <w:rPr>
          <w:rFonts w:ascii="Cambria" w:hAnsi="Cambria"/>
          <w:sz w:val="20"/>
          <w:szCs w:val="20"/>
          <w:lang w:val="es-ES"/>
        </w:rPr>
        <w:t>cana. Detall</w:t>
      </w:r>
      <w:r w:rsidR="003A2406" w:rsidRPr="00061F16">
        <w:rPr>
          <w:rFonts w:ascii="Cambria" w:hAnsi="Cambria"/>
          <w:sz w:val="20"/>
          <w:szCs w:val="20"/>
          <w:lang w:val="es-ES"/>
        </w:rPr>
        <w:t>ó</w:t>
      </w:r>
      <w:r w:rsidR="00180827" w:rsidRPr="00061F16">
        <w:rPr>
          <w:rFonts w:ascii="Cambria" w:hAnsi="Cambria"/>
          <w:sz w:val="20"/>
          <w:szCs w:val="20"/>
          <w:lang w:val="es-ES"/>
        </w:rPr>
        <w:t xml:space="preserve"> que durante la vigencia del rég</w:t>
      </w:r>
      <w:r w:rsidRPr="00061F16">
        <w:rPr>
          <w:rFonts w:ascii="Cambria" w:hAnsi="Cambria"/>
          <w:sz w:val="20"/>
          <w:szCs w:val="20"/>
          <w:lang w:val="es-ES"/>
        </w:rPr>
        <w:t>imen militar, el Estado privó a las presuntas víctimas</w:t>
      </w:r>
      <w:r w:rsidR="00180827" w:rsidRPr="00061F16">
        <w:rPr>
          <w:rFonts w:ascii="Cambria" w:hAnsi="Cambria"/>
          <w:sz w:val="20"/>
          <w:szCs w:val="20"/>
          <w:lang w:val="es-ES"/>
        </w:rPr>
        <w:t xml:space="preserve"> de sus bienes sin mediar indemnización y sin adecuarse a lo prescrito en las leyes vigentes de la época.  Asim</w:t>
      </w:r>
      <w:r w:rsidRPr="00061F16">
        <w:rPr>
          <w:rFonts w:ascii="Cambria" w:hAnsi="Cambria"/>
          <w:sz w:val="20"/>
          <w:szCs w:val="20"/>
          <w:lang w:val="es-ES"/>
        </w:rPr>
        <w:t xml:space="preserve">ismo, </w:t>
      </w:r>
      <w:r w:rsidR="003A2406" w:rsidRPr="00061F16">
        <w:rPr>
          <w:rFonts w:ascii="Cambria" w:hAnsi="Cambria"/>
          <w:sz w:val="20"/>
          <w:szCs w:val="20"/>
          <w:lang w:val="es-ES"/>
        </w:rPr>
        <w:t>alegó</w:t>
      </w:r>
      <w:r w:rsidR="00180827" w:rsidRPr="00061F16">
        <w:rPr>
          <w:rFonts w:ascii="Cambria" w:hAnsi="Cambria"/>
          <w:sz w:val="20"/>
          <w:szCs w:val="20"/>
          <w:lang w:val="es-ES"/>
        </w:rPr>
        <w:t xml:space="preserve"> que durante la Democracia</w:t>
      </w:r>
      <w:r w:rsidRPr="00061F16">
        <w:rPr>
          <w:rFonts w:ascii="Cambria" w:hAnsi="Cambria"/>
          <w:sz w:val="20"/>
          <w:szCs w:val="20"/>
          <w:lang w:val="es-ES"/>
        </w:rPr>
        <w:t>,</w:t>
      </w:r>
      <w:r w:rsidR="00180827" w:rsidRPr="00061F16">
        <w:rPr>
          <w:rFonts w:ascii="Cambria" w:hAnsi="Cambria"/>
          <w:sz w:val="20"/>
          <w:szCs w:val="20"/>
          <w:lang w:val="es-ES"/>
        </w:rPr>
        <w:t xml:space="preserve"> </w:t>
      </w:r>
      <w:r w:rsidR="003A2406" w:rsidRPr="00061F16">
        <w:rPr>
          <w:rFonts w:ascii="Cambria" w:hAnsi="Cambria"/>
          <w:sz w:val="20"/>
          <w:szCs w:val="20"/>
          <w:lang w:val="es-ES"/>
        </w:rPr>
        <w:t xml:space="preserve">si bien </w:t>
      </w:r>
      <w:r w:rsidR="00180827" w:rsidRPr="00061F16">
        <w:rPr>
          <w:rFonts w:ascii="Cambria" w:hAnsi="Cambria"/>
          <w:sz w:val="20"/>
          <w:szCs w:val="20"/>
          <w:lang w:val="es-ES"/>
        </w:rPr>
        <w:t>la Corte Suprema ratificó la nulidad de los Decreto</w:t>
      </w:r>
      <w:r w:rsidRPr="00061F16">
        <w:rPr>
          <w:rFonts w:ascii="Cambria" w:hAnsi="Cambria"/>
          <w:sz w:val="20"/>
          <w:szCs w:val="20"/>
          <w:lang w:val="es-ES"/>
        </w:rPr>
        <w:t>s</w:t>
      </w:r>
      <w:r w:rsidR="003A2406" w:rsidRPr="00061F16">
        <w:rPr>
          <w:rFonts w:ascii="Cambria" w:hAnsi="Cambria"/>
          <w:sz w:val="20"/>
          <w:szCs w:val="20"/>
          <w:lang w:val="es-ES"/>
        </w:rPr>
        <w:t xml:space="preserve"> que disolvieron a la radio y confiscaron sus bienes</w:t>
      </w:r>
      <w:r w:rsidR="00180827" w:rsidRPr="00061F16">
        <w:rPr>
          <w:rFonts w:ascii="Cambria" w:hAnsi="Cambria"/>
          <w:sz w:val="20"/>
          <w:szCs w:val="20"/>
          <w:lang w:val="es-ES"/>
        </w:rPr>
        <w:t xml:space="preserve">, </w:t>
      </w:r>
      <w:r w:rsidR="003A2406" w:rsidRPr="00061F16">
        <w:rPr>
          <w:rFonts w:ascii="Cambria" w:hAnsi="Cambria"/>
          <w:sz w:val="20"/>
          <w:szCs w:val="20"/>
          <w:lang w:val="es-ES"/>
        </w:rPr>
        <w:t>“</w:t>
      </w:r>
      <w:r w:rsidR="00180827" w:rsidRPr="00061F16">
        <w:rPr>
          <w:rFonts w:ascii="Cambria" w:hAnsi="Cambria"/>
          <w:sz w:val="20"/>
          <w:szCs w:val="20"/>
          <w:lang w:val="es-ES"/>
        </w:rPr>
        <w:t xml:space="preserve">negó a </w:t>
      </w:r>
      <w:r w:rsidRPr="00061F16">
        <w:rPr>
          <w:rFonts w:ascii="Cambria" w:hAnsi="Cambria"/>
          <w:sz w:val="20"/>
          <w:szCs w:val="20"/>
          <w:lang w:val="es-ES"/>
        </w:rPr>
        <w:t xml:space="preserve">las presuntas </w:t>
      </w:r>
      <w:r w:rsidR="004234B7" w:rsidRPr="00061F16">
        <w:rPr>
          <w:rFonts w:ascii="Cambria" w:hAnsi="Cambria"/>
          <w:sz w:val="20"/>
          <w:szCs w:val="20"/>
          <w:lang w:val="es-ES"/>
        </w:rPr>
        <w:t>víctimas</w:t>
      </w:r>
      <w:r w:rsidR="00180827" w:rsidRPr="00061F16">
        <w:rPr>
          <w:rFonts w:ascii="Cambria" w:hAnsi="Cambria"/>
          <w:sz w:val="20"/>
          <w:szCs w:val="20"/>
          <w:lang w:val="es-ES"/>
        </w:rPr>
        <w:t xml:space="preserve"> las consecuencias jurídicas de dicho fallo, es decir negó a los peticionarios su derecho a una justa reparación o indemnización</w:t>
      </w:r>
      <w:r w:rsidR="003A2406" w:rsidRPr="00061F16">
        <w:rPr>
          <w:rFonts w:ascii="Cambria" w:hAnsi="Cambria"/>
          <w:sz w:val="20"/>
          <w:szCs w:val="20"/>
          <w:lang w:val="es-ES"/>
        </w:rPr>
        <w:t>”</w:t>
      </w:r>
      <w:r w:rsidR="00180827" w:rsidRPr="00061F16">
        <w:rPr>
          <w:rFonts w:ascii="Cambria" w:hAnsi="Cambria"/>
          <w:sz w:val="20"/>
          <w:szCs w:val="20"/>
          <w:lang w:val="es-ES"/>
        </w:rPr>
        <w:t>.</w:t>
      </w:r>
      <w:r w:rsidR="00522215" w:rsidRPr="00061F16">
        <w:rPr>
          <w:rFonts w:ascii="Cambria" w:hAnsi="Cambria"/>
          <w:sz w:val="20"/>
          <w:szCs w:val="20"/>
          <w:lang w:val="es-ES"/>
        </w:rPr>
        <w:t xml:space="preserve"> </w:t>
      </w:r>
      <w:r w:rsidRPr="00061F16">
        <w:rPr>
          <w:rFonts w:ascii="Cambria" w:hAnsi="Cambria"/>
          <w:sz w:val="20"/>
          <w:szCs w:val="20"/>
          <w:lang w:val="es-ES"/>
        </w:rPr>
        <w:t>El peticionario aleg</w:t>
      </w:r>
      <w:r w:rsidR="006E593C" w:rsidRPr="00061F16">
        <w:rPr>
          <w:rFonts w:ascii="Cambria" w:hAnsi="Cambria"/>
          <w:sz w:val="20"/>
          <w:szCs w:val="20"/>
          <w:lang w:val="es-ES"/>
        </w:rPr>
        <w:t>ó</w:t>
      </w:r>
      <w:r w:rsidRPr="00061F16">
        <w:rPr>
          <w:rFonts w:ascii="Cambria" w:hAnsi="Cambria"/>
          <w:sz w:val="20"/>
          <w:szCs w:val="20"/>
          <w:lang w:val="es-ES"/>
        </w:rPr>
        <w:t xml:space="preserve"> que </w:t>
      </w:r>
      <w:r w:rsidR="00FD08D8" w:rsidRPr="00061F16">
        <w:rPr>
          <w:rFonts w:ascii="Cambria" w:hAnsi="Cambria"/>
          <w:sz w:val="20"/>
          <w:szCs w:val="20"/>
          <w:lang w:val="es-ES"/>
        </w:rPr>
        <w:t>no solamente se les</w:t>
      </w:r>
      <w:r w:rsidRPr="00061F16">
        <w:rPr>
          <w:rFonts w:ascii="Cambria" w:hAnsi="Cambria"/>
          <w:sz w:val="20"/>
          <w:szCs w:val="20"/>
          <w:lang w:val="es-ES"/>
        </w:rPr>
        <w:t xml:space="preserve"> habría privado </w:t>
      </w:r>
      <w:r w:rsidR="00FD08D8" w:rsidRPr="00061F16">
        <w:rPr>
          <w:rFonts w:ascii="Cambria" w:hAnsi="Cambria"/>
          <w:sz w:val="20"/>
          <w:szCs w:val="20"/>
          <w:lang w:val="es-ES"/>
        </w:rPr>
        <w:t>de su propiedad</w:t>
      </w:r>
      <w:r w:rsidRPr="00061F16">
        <w:rPr>
          <w:rFonts w:ascii="Cambria" w:hAnsi="Cambria"/>
          <w:sz w:val="20"/>
          <w:szCs w:val="20"/>
          <w:lang w:val="es-ES"/>
        </w:rPr>
        <w:t>,</w:t>
      </w:r>
      <w:r w:rsidR="00FD08D8" w:rsidRPr="00061F16">
        <w:rPr>
          <w:rFonts w:ascii="Cambria" w:hAnsi="Cambria"/>
          <w:sz w:val="20"/>
          <w:szCs w:val="20"/>
          <w:lang w:val="es-ES"/>
        </w:rPr>
        <w:t xml:space="preserve"> </w:t>
      </w:r>
      <w:r w:rsidR="00061F16" w:rsidRPr="00061F16">
        <w:rPr>
          <w:rFonts w:ascii="Cambria" w:hAnsi="Cambria"/>
          <w:sz w:val="20"/>
          <w:szCs w:val="20"/>
          <w:lang w:val="es-ES"/>
        </w:rPr>
        <w:t xml:space="preserve">sino que “se [le]s privó de la radio para acallar disidencias políticas, y ahora no se la devuelve, impidiendo que nuestra </w:t>
      </w:r>
      <w:r w:rsidR="009E5F07" w:rsidRPr="00061F16">
        <w:rPr>
          <w:rFonts w:ascii="Cambria" w:hAnsi="Cambria"/>
          <w:sz w:val="20"/>
          <w:szCs w:val="20"/>
          <w:lang w:val="es-ES"/>
        </w:rPr>
        <w:t>opinión</w:t>
      </w:r>
      <w:r w:rsidR="00061F16" w:rsidRPr="00061F16">
        <w:rPr>
          <w:rFonts w:ascii="Cambria" w:hAnsi="Cambria"/>
          <w:sz w:val="20"/>
          <w:szCs w:val="20"/>
          <w:lang w:val="es-ES"/>
        </w:rPr>
        <w:t xml:space="preserve"> pueda volver a ser comunicada”.</w:t>
      </w:r>
    </w:p>
    <w:p w:rsidR="000446A8" w:rsidRPr="00061F16" w:rsidRDefault="000446A8" w:rsidP="00061F1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522215" w:rsidRPr="00CE7C75" w:rsidRDefault="00573FAC" w:rsidP="00BB1D2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ES"/>
        </w:rPr>
      </w:pPr>
      <w:r w:rsidRPr="00CE7C75">
        <w:rPr>
          <w:rFonts w:ascii="Cambria" w:hAnsi="Cambria"/>
          <w:sz w:val="20"/>
          <w:szCs w:val="20"/>
          <w:lang w:val="es-ES"/>
        </w:rPr>
        <w:t>Adicionalmente</w:t>
      </w:r>
      <w:r w:rsidR="009C4B2F" w:rsidRPr="00CE7C75">
        <w:rPr>
          <w:rFonts w:ascii="Cambria" w:hAnsi="Cambria"/>
          <w:sz w:val="20"/>
          <w:szCs w:val="20"/>
          <w:lang w:val="es-ES"/>
        </w:rPr>
        <w:t xml:space="preserve">, en comunicación de fecha 15 de abril de 2005, el peticionario </w:t>
      </w:r>
      <w:r w:rsidR="009E5F07" w:rsidRPr="00CE7C75">
        <w:rPr>
          <w:rFonts w:ascii="Cambria" w:hAnsi="Cambria"/>
          <w:sz w:val="20"/>
          <w:szCs w:val="20"/>
          <w:lang w:val="es-ES"/>
        </w:rPr>
        <w:t>manifestó</w:t>
      </w:r>
      <w:r w:rsidR="006611E6" w:rsidRPr="00CE7C75">
        <w:rPr>
          <w:rFonts w:ascii="Cambria" w:hAnsi="Cambria"/>
          <w:sz w:val="20"/>
          <w:szCs w:val="20"/>
          <w:lang w:val="es-ES"/>
        </w:rPr>
        <w:t xml:space="preserve"> que aunque el antecedente remoto de los hechos puede situarse</w:t>
      </w:r>
      <w:r w:rsidR="00EB7BF5" w:rsidRPr="00CE7C75">
        <w:rPr>
          <w:rFonts w:ascii="Cambria" w:hAnsi="Cambria"/>
          <w:sz w:val="20"/>
          <w:szCs w:val="20"/>
          <w:lang w:val="es-ES"/>
        </w:rPr>
        <w:t xml:space="preserve"> entre 1973 y 1974</w:t>
      </w:r>
      <w:r w:rsidR="004234B7" w:rsidRPr="00CE7C75">
        <w:rPr>
          <w:rFonts w:ascii="Cambria" w:hAnsi="Cambria"/>
          <w:sz w:val="20"/>
          <w:szCs w:val="20"/>
          <w:lang w:val="es-ES"/>
        </w:rPr>
        <w:t>,</w:t>
      </w:r>
      <w:r w:rsidR="006453E5" w:rsidRPr="00CE7C75">
        <w:rPr>
          <w:rFonts w:ascii="Cambria" w:hAnsi="Cambria"/>
          <w:sz w:val="20"/>
          <w:szCs w:val="20"/>
          <w:lang w:val="es-ES"/>
        </w:rPr>
        <w:t xml:space="preserve"> la cuestión es </w:t>
      </w:r>
      <w:r w:rsidR="001D55FB" w:rsidRPr="00CE7C75">
        <w:rPr>
          <w:rFonts w:ascii="Cambria" w:hAnsi="Cambria"/>
          <w:sz w:val="20"/>
          <w:szCs w:val="20"/>
          <w:lang w:val="es-ES"/>
        </w:rPr>
        <w:t>que un órgano del Estado decretó</w:t>
      </w:r>
      <w:r w:rsidR="006453E5" w:rsidRPr="00CE7C75">
        <w:rPr>
          <w:rFonts w:ascii="Cambria" w:hAnsi="Cambria"/>
          <w:sz w:val="20"/>
          <w:szCs w:val="20"/>
          <w:lang w:val="es-ES"/>
        </w:rPr>
        <w:t xml:space="preserve"> la nulidad de derecho público de dichas actuaciones violatorias. </w:t>
      </w:r>
      <w:r w:rsidR="004832CD" w:rsidRPr="00CE7C75">
        <w:rPr>
          <w:rFonts w:ascii="Cambria" w:hAnsi="Cambria"/>
          <w:sz w:val="20"/>
          <w:szCs w:val="20"/>
          <w:lang w:val="es-ES"/>
        </w:rPr>
        <w:t>A</w:t>
      </w:r>
      <w:r w:rsidR="005351E4" w:rsidRPr="00CE7C75">
        <w:rPr>
          <w:rFonts w:ascii="Cambria" w:hAnsi="Cambria"/>
          <w:sz w:val="20"/>
          <w:szCs w:val="20"/>
          <w:lang w:val="es-ES"/>
        </w:rPr>
        <w:t xml:space="preserve"> pesar de </w:t>
      </w:r>
      <w:r w:rsidR="00156DB2" w:rsidRPr="00CE7C75">
        <w:rPr>
          <w:rFonts w:ascii="Cambria" w:hAnsi="Cambria"/>
          <w:sz w:val="20"/>
          <w:szCs w:val="20"/>
          <w:lang w:val="es-ES"/>
        </w:rPr>
        <w:t xml:space="preserve">la </w:t>
      </w:r>
      <w:r w:rsidR="006453E5" w:rsidRPr="00CE7C75">
        <w:rPr>
          <w:rFonts w:ascii="Cambria" w:hAnsi="Cambria"/>
          <w:sz w:val="20"/>
          <w:szCs w:val="20"/>
          <w:lang w:val="es-ES"/>
        </w:rPr>
        <w:t>nulidad</w:t>
      </w:r>
      <w:r w:rsidR="004234B7" w:rsidRPr="00CE7C75">
        <w:rPr>
          <w:rFonts w:ascii="Cambria" w:hAnsi="Cambria"/>
          <w:sz w:val="20"/>
          <w:szCs w:val="20"/>
          <w:lang w:val="es-ES"/>
        </w:rPr>
        <w:t xml:space="preserve"> </w:t>
      </w:r>
      <w:r w:rsidR="00156DB2" w:rsidRPr="00CE7C75">
        <w:rPr>
          <w:rFonts w:ascii="Cambria" w:hAnsi="Cambria"/>
          <w:sz w:val="20"/>
          <w:szCs w:val="20"/>
          <w:lang w:val="es-ES"/>
        </w:rPr>
        <w:t>decretada por la Corte Suprema d</w:t>
      </w:r>
      <w:r w:rsidR="005351E4" w:rsidRPr="00CE7C75">
        <w:rPr>
          <w:rFonts w:ascii="Cambria" w:hAnsi="Cambria"/>
          <w:sz w:val="20"/>
          <w:szCs w:val="20"/>
          <w:lang w:val="es-ES"/>
        </w:rPr>
        <w:t>e J</w:t>
      </w:r>
      <w:r w:rsidR="006453E5" w:rsidRPr="00CE7C75">
        <w:rPr>
          <w:rFonts w:ascii="Cambria" w:hAnsi="Cambria"/>
          <w:sz w:val="20"/>
          <w:szCs w:val="20"/>
          <w:lang w:val="es-ES"/>
        </w:rPr>
        <w:t>usticia de Chile</w:t>
      </w:r>
      <w:r w:rsidR="005351E4" w:rsidRPr="00CE7C75">
        <w:rPr>
          <w:rFonts w:ascii="Cambria" w:hAnsi="Cambria"/>
          <w:sz w:val="20"/>
          <w:szCs w:val="20"/>
          <w:lang w:val="es-ES"/>
        </w:rPr>
        <w:t>,</w:t>
      </w:r>
      <w:r w:rsidR="00156DB2" w:rsidRPr="00CE7C75">
        <w:rPr>
          <w:rFonts w:ascii="Cambria" w:hAnsi="Cambria"/>
          <w:sz w:val="20"/>
          <w:szCs w:val="20"/>
          <w:lang w:val="es-ES"/>
        </w:rPr>
        <w:t xml:space="preserve"> </w:t>
      </w:r>
      <w:r w:rsidR="006453E5" w:rsidRPr="00CE7C75">
        <w:rPr>
          <w:rFonts w:ascii="Cambria" w:hAnsi="Cambria"/>
          <w:sz w:val="20"/>
          <w:szCs w:val="20"/>
          <w:lang w:val="es-ES"/>
        </w:rPr>
        <w:t xml:space="preserve">no se </w:t>
      </w:r>
      <w:r w:rsidR="00BB1D25" w:rsidRPr="00CE7C75">
        <w:rPr>
          <w:rFonts w:ascii="Cambria" w:hAnsi="Cambria"/>
          <w:sz w:val="20"/>
          <w:szCs w:val="20"/>
          <w:lang w:val="es-ES"/>
        </w:rPr>
        <w:t>habría</w:t>
      </w:r>
      <w:r w:rsidR="004234B7" w:rsidRPr="00CE7C75">
        <w:rPr>
          <w:rFonts w:ascii="Cambria" w:hAnsi="Cambria"/>
          <w:sz w:val="20"/>
          <w:szCs w:val="20"/>
          <w:lang w:val="es-ES"/>
        </w:rPr>
        <w:t xml:space="preserve"> restit</w:t>
      </w:r>
      <w:r w:rsidR="005351E4" w:rsidRPr="00CE7C75">
        <w:rPr>
          <w:rFonts w:ascii="Cambria" w:hAnsi="Cambria"/>
          <w:sz w:val="20"/>
          <w:szCs w:val="20"/>
          <w:lang w:val="es-ES"/>
        </w:rPr>
        <w:t>uido a las presuntas víctimas la r</w:t>
      </w:r>
      <w:r w:rsidR="006453E5" w:rsidRPr="00CE7C75">
        <w:rPr>
          <w:rFonts w:ascii="Cambria" w:hAnsi="Cambria"/>
          <w:sz w:val="20"/>
          <w:szCs w:val="20"/>
          <w:lang w:val="es-ES"/>
        </w:rPr>
        <w:t xml:space="preserve">adioemisora que </w:t>
      </w:r>
      <w:r w:rsidR="005351E4" w:rsidRPr="00CE7C75">
        <w:rPr>
          <w:rFonts w:ascii="Cambria" w:hAnsi="Cambria"/>
          <w:sz w:val="20"/>
          <w:szCs w:val="20"/>
          <w:lang w:val="es-ES"/>
        </w:rPr>
        <w:t xml:space="preserve">se </w:t>
      </w:r>
      <w:r w:rsidR="006453E5" w:rsidRPr="00CE7C75">
        <w:rPr>
          <w:rFonts w:ascii="Cambria" w:hAnsi="Cambria"/>
          <w:sz w:val="20"/>
          <w:szCs w:val="20"/>
          <w:lang w:val="es-ES"/>
        </w:rPr>
        <w:t xml:space="preserve">les fue </w:t>
      </w:r>
      <w:r w:rsidR="00156DB2" w:rsidRPr="00CE7C75">
        <w:rPr>
          <w:rFonts w:ascii="Cambria" w:hAnsi="Cambria"/>
          <w:sz w:val="20"/>
          <w:szCs w:val="20"/>
          <w:lang w:val="es-ES"/>
        </w:rPr>
        <w:t>privada.</w:t>
      </w:r>
      <w:r w:rsidR="004832CD" w:rsidRPr="00CE7C75">
        <w:rPr>
          <w:rFonts w:ascii="Cambria" w:hAnsi="Cambria"/>
          <w:sz w:val="20"/>
          <w:szCs w:val="20"/>
          <w:lang w:val="es-ES"/>
        </w:rPr>
        <w:t xml:space="preserve"> Igualmente, afirmó</w:t>
      </w:r>
      <w:r w:rsidR="004234B7" w:rsidRPr="00CE7C75">
        <w:rPr>
          <w:rFonts w:ascii="Cambria" w:hAnsi="Cambria"/>
          <w:sz w:val="20"/>
          <w:szCs w:val="20"/>
          <w:lang w:val="es-ES"/>
        </w:rPr>
        <w:t xml:space="preserve"> que </w:t>
      </w:r>
      <w:r w:rsidR="006B2D35" w:rsidRPr="00CE7C75">
        <w:rPr>
          <w:rFonts w:ascii="Cambria" w:hAnsi="Cambria"/>
          <w:sz w:val="20"/>
          <w:szCs w:val="20"/>
          <w:lang w:val="es-ES"/>
        </w:rPr>
        <w:t>no es posible argumentar que los hechos tienen su origen en el periodo excluido de la competencia de la Comisi</w:t>
      </w:r>
      <w:r w:rsidR="004234B7" w:rsidRPr="00CE7C75">
        <w:rPr>
          <w:rFonts w:ascii="Cambria" w:hAnsi="Cambria"/>
          <w:sz w:val="20"/>
          <w:szCs w:val="20"/>
          <w:lang w:val="es-ES"/>
        </w:rPr>
        <w:t>ón, pues</w:t>
      </w:r>
      <w:r w:rsidR="006B2D35" w:rsidRPr="00CE7C75">
        <w:rPr>
          <w:rFonts w:ascii="Cambria" w:hAnsi="Cambria"/>
          <w:sz w:val="20"/>
          <w:szCs w:val="20"/>
          <w:lang w:val="es-ES"/>
        </w:rPr>
        <w:t xml:space="preserve"> las</w:t>
      </w:r>
      <w:r w:rsidR="004234B7" w:rsidRPr="00CE7C75">
        <w:rPr>
          <w:rFonts w:ascii="Cambria" w:hAnsi="Cambria"/>
          <w:sz w:val="20"/>
          <w:szCs w:val="20"/>
          <w:lang w:val="es-ES"/>
        </w:rPr>
        <w:t xml:space="preserve"> supuestas</w:t>
      </w:r>
      <w:r w:rsidR="006B2D35" w:rsidRPr="00CE7C75">
        <w:rPr>
          <w:rFonts w:ascii="Cambria" w:hAnsi="Cambria"/>
          <w:sz w:val="20"/>
          <w:szCs w:val="20"/>
          <w:lang w:val="es-ES"/>
        </w:rPr>
        <w:t xml:space="preserve"> violaciones </w:t>
      </w:r>
      <w:r w:rsidR="004234B7" w:rsidRPr="00CE7C75">
        <w:rPr>
          <w:rFonts w:ascii="Cambria" w:hAnsi="Cambria"/>
          <w:sz w:val="20"/>
          <w:szCs w:val="20"/>
          <w:lang w:val="es-ES"/>
        </w:rPr>
        <w:t>por parte del Estado chileno</w:t>
      </w:r>
      <w:r w:rsidR="008C20EC" w:rsidRPr="00CE7C75">
        <w:rPr>
          <w:rFonts w:ascii="Cambria" w:hAnsi="Cambria"/>
          <w:sz w:val="20"/>
          <w:szCs w:val="20"/>
          <w:lang w:val="es-ES"/>
        </w:rPr>
        <w:t xml:space="preserve">, </w:t>
      </w:r>
      <w:r w:rsidR="006B2D35" w:rsidRPr="00CE7C75">
        <w:rPr>
          <w:rFonts w:ascii="Cambria" w:hAnsi="Cambria"/>
          <w:sz w:val="20"/>
          <w:szCs w:val="20"/>
          <w:lang w:val="es-ES"/>
        </w:rPr>
        <w:t>en específico la sentencia que negó el derecho a la indemnización  y restitución</w:t>
      </w:r>
      <w:r w:rsidR="004234B7" w:rsidRPr="00CE7C75">
        <w:rPr>
          <w:rFonts w:ascii="Cambria" w:hAnsi="Cambria"/>
          <w:sz w:val="20"/>
          <w:szCs w:val="20"/>
          <w:lang w:val="es-ES"/>
        </w:rPr>
        <w:t>,</w:t>
      </w:r>
      <w:r w:rsidR="006B2D35" w:rsidRPr="00CE7C75">
        <w:rPr>
          <w:rFonts w:ascii="Cambria" w:hAnsi="Cambria"/>
          <w:sz w:val="20"/>
          <w:szCs w:val="20"/>
          <w:lang w:val="es-ES"/>
        </w:rPr>
        <w:t xml:space="preserve"> </w:t>
      </w:r>
      <w:r w:rsidR="00BB1D25" w:rsidRPr="00CE7C75">
        <w:rPr>
          <w:rFonts w:ascii="Cambria" w:hAnsi="Cambria"/>
          <w:sz w:val="20"/>
          <w:szCs w:val="20"/>
          <w:lang w:val="es-ES"/>
        </w:rPr>
        <w:t>se realizó por órganos el E</w:t>
      </w:r>
      <w:r w:rsidR="00856422" w:rsidRPr="00CE7C75">
        <w:rPr>
          <w:rFonts w:ascii="Cambria" w:hAnsi="Cambria"/>
          <w:sz w:val="20"/>
          <w:szCs w:val="20"/>
          <w:lang w:val="es-ES"/>
        </w:rPr>
        <w:t>stado con hechos posteriores a 1990.</w:t>
      </w:r>
      <w:r w:rsidR="005351E4" w:rsidRPr="00CE7C75">
        <w:rPr>
          <w:rFonts w:ascii="Cambria" w:hAnsi="Cambria"/>
          <w:sz w:val="20"/>
          <w:szCs w:val="20"/>
          <w:lang w:val="es-ES"/>
        </w:rPr>
        <w:t xml:space="preserve"> </w:t>
      </w:r>
    </w:p>
    <w:p w:rsidR="00CE7C75" w:rsidRPr="00CE7C75" w:rsidRDefault="00CE7C75" w:rsidP="00CE7C75">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p>
    <w:p w:rsidR="00522215" w:rsidRDefault="001C19C7" w:rsidP="00BB1D2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BB1D25">
        <w:rPr>
          <w:rFonts w:ascii="Cambria" w:hAnsi="Cambria"/>
          <w:sz w:val="20"/>
          <w:szCs w:val="20"/>
          <w:lang w:val="es-ES"/>
        </w:rPr>
        <w:t>Por último, e</w:t>
      </w:r>
      <w:r w:rsidR="00522215" w:rsidRPr="00BB1D25">
        <w:rPr>
          <w:rFonts w:ascii="Cambria" w:hAnsi="Cambria"/>
          <w:sz w:val="20"/>
          <w:szCs w:val="20"/>
          <w:lang w:val="es-ES"/>
        </w:rPr>
        <w:t>s pertinente mencionar que, en comunicación de fecha 30 de enero de 20</w:t>
      </w:r>
      <w:r w:rsidR="00DC1217">
        <w:rPr>
          <w:rFonts w:ascii="Cambria" w:hAnsi="Cambria"/>
          <w:sz w:val="20"/>
          <w:szCs w:val="20"/>
          <w:lang w:val="es-ES"/>
        </w:rPr>
        <w:t xml:space="preserve">14, </w:t>
      </w:r>
      <w:r w:rsidR="00522215" w:rsidRPr="00BB1D25">
        <w:rPr>
          <w:rFonts w:ascii="Cambria" w:hAnsi="Cambria"/>
          <w:sz w:val="20"/>
          <w:szCs w:val="20"/>
          <w:lang w:val="es-ES"/>
        </w:rPr>
        <w:t>informó que d</w:t>
      </w:r>
      <w:r w:rsidR="00522215" w:rsidRPr="00BB1D25">
        <w:rPr>
          <w:rFonts w:ascii="Cambria" w:hAnsi="Cambria"/>
          <w:sz w:val="20"/>
          <w:szCs w:val="20"/>
          <w:lang w:val="es-ES" w:eastAsia="es-ES"/>
        </w:rPr>
        <w:t xml:space="preserve">esde el momento en que se presentó la petición </w:t>
      </w:r>
      <w:r w:rsidR="00BB1D25" w:rsidRPr="00BB1D25">
        <w:rPr>
          <w:rFonts w:ascii="Cambria" w:hAnsi="Cambria"/>
          <w:sz w:val="20"/>
          <w:szCs w:val="20"/>
          <w:lang w:val="es-ES" w:eastAsia="es-ES"/>
        </w:rPr>
        <w:t>h</w:t>
      </w:r>
      <w:r w:rsidR="00522215" w:rsidRPr="00BB1D25">
        <w:rPr>
          <w:rFonts w:ascii="Cambria" w:hAnsi="Cambria"/>
          <w:sz w:val="20"/>
          <w:szCs w:val="20"/>
          <w:lang w:val="es-ES" w:eastAsia="es-ES"/>
        </w:rPr>
        <w:t>a</w:t>
      </w:r>
      <w:r w:rsidR="00BB1D25" w:rsidRPr="00BB1D25">
        <w:rPr>
          <w:rFonts w:ascii="Cambria" w:hAnsi="Cambria"/>
          <w:sz w:val="20"/>
          <w:szCs w:val="20"/>
          <w:lang w:val="es-ES" w:eastAsia="es-ES"/>
        </w:rPr>
        <w:t>sta</w:t>
      </w:r>
      <w:r w:rsidR="00522215" w:rsidRPr="00BB1D25">
        <w:rPr>
          <w:rFonts w:ascii="Cambria" w:hAnsi="Cambria"/>
          <w:sz w:val="20"/>
          <w:szCs w:val="20"/>
          <w:lang w:val="es-ES" w:eastAsia="es-ES"/>
        </w:rPr>
        <w:t xml:space="preserve"> la fecha, han fallecido ya los señores </w:t>
      </w:r>
      <w:r w:rsidR="0048327B" w:rsidRPr="00BB1D25">
        <w:rPr>
          <w:rFonts w:ascii="Cambria" w:hAnsi="Cambria" w:cs="Arial"/>
          <w:spacing w:val="-2"/>
          <w:sz w:val="20"/>
          <w:szCs w:val="20"/>
          <w:lang w:val="es-ES"/>
        </w:rPr>
        <w:t>Carlos González Jaksic</w:t>
      </w:r>
      <w:r w:rsidR="00522215" w:rsidRPr="00BB1D25">
        <w:rPr>
          <w:rFonts w:ascii="Cambria" w:hAnsi="Cambria"/>
          <w:sz w:val="20"/>
          <w:szCs w:val="20"/>
          <w:lang w:val="es-ES" w:eastAsia="es-ES"/>
        </w:rPr>
        <w:t xml:space="preserve">, </w:t>
      </w:r>
      <w:r w:rsidR="0048327B">
        <w:rPr>
          <w:rFonts w:ascii="Cambria" w:hAnsi="Cambria" w:cs="Arial"/>
          <w:spacing w:val="-2"/>
          <w:sz w:val="20"/>
          <w:szCs w:val="20"/>
          <w:lang w:val="es-ES"/>
        </w:rPr>
        <w:t>Daniel Ruiz Oyarzo</w:t>
      </w:r>
      <w:r w:rsidR="00522215" w:rsidRPr="00BB1D25">
        <w:rPr>
          <w:rFonts w:ascii="Cambria" w:hAnsi="Cambria"/>
          <w:sz w:val="20"/>
          <w:szCs w:val="20"/>
          <w:lang w:val="es-ES" w:eastAsia="es-ES"/>
        </w:rPr>
        <w:t xml:space="preserve">, </w:t>
      </w:r>
      <w:r w:rsidR="0048327B" w:rsidRPr="00BB1D25">
        <w:rPr>
          <w:rFonts w:ascii="Cambria" w:hAnsi="Cambria" w:cs="Arial"/>
          <w:spacing w:val="-2"/>
          <w:sz w:val="20"/>
          <w:szCs w:val="20"/>
          <w:lang w:val="es-ES"/>
        </w:rPr>
        <w:t>Hugo René Formantel Díaz</w:t>
      </w:r>
      <w:r w:rsidR="00522215" w:rsidRPr="00BB1D25">
        <w:rPr>
          <w:rFonts w:ascii="Cambria" w:hAnsi="Cambria"/>
          <w:sz w:val="20"/>
          <w:szCs w:val="20"/>
          <w:lang w:val="es-ES" w:eastAsia="es-ES"/>
        </w:rPr>
        <w:t xml:space="preserve"> y </w:t>
      </w:r>
      <w:r w:rsidR="0048327B" w:rsidRPr="00BB1D25">
        <w:rPr>
          <w:rFonts w:ascii="Cambria" w:hAnsi="Cambria" w:cs="Arial"/>
          <w:spacing w:val="-2"/>
          <w:sz w:val="20"/>
          <w:szCs w:val="20"/>
          <w:lang w:val="es-ES"/>
        </w:rPr>
        <w:t>Nestor Edmundo Navarro Alvarado</w:t>
      </w:r>
      <w:r w:rsidR="00522215" w:rsidRPr="00BB1D25">
        <w:rPr>
          <w:rFonts w:ascii="Cambria" w:hAnsi="Cambria"/>
          <w:sz w:val="20"/>
          <w:szCs w:val="20"/>
          <w:lang w:val="es-ES" w:eastAsia="es-ES"/>
        </w:rPr>
        <w:t>.</w:t>
      </w:r>
      <w:r w:rsidRPr="00BB1D25">
        <w:rPr>
          <w:rFonts w:ascii="Cambria" w:hAnsi="Cambria"/>
          <w:sz w:val="20"/>
          <w:szCs w:val="20"/>
          <w:lang w:val="es-ES" w:eastAsia="es-ES"/>
        </w:rPr>
        <w:t xml:space="preserve"> Asimismo, informó que el señor </w:t>
      </w:r>
      <w:r w:rsidR="0048327B" w:rsidRPr="00BB1D25">
        <w:rPr>
          <w:rFonts w:ascii="Cambria" w:hAnsi="Cambria" w:cs="Arial"/>
          <w:spacing w:val="-2"/>
          <w:sz w:val="20"/>
          <w:szCs w:val="20"/>
          <w:lang w:val="es-ES"/>
        </w:rPr>
        <w:t>Mario Galetovic Sapunar</w:t>
      </w:r>
      <w:r w:rsidRPr="00BB1D25">
        <w:rPr>
          <w:rFonts w:ascii="Cambria" w:hAnsi="Cambria"/>
          <w:sz w:val="20"/>
          <w:szCs w:val="20"/>
          <w:lang w:val="es-ES" w:eastAsia="es-ES"/>
        </w:rPr>
        <w:t xml:space="preserve"> tiene 83 años de edad. </w:t>
      </w:r>
    </w:p>
    <w:p w:rsidR="004A1BC5" w:rsidRPr="00BB1D25" w:rsidRDefault="004A1BC5" w:rsidP="00BB1D25">
      <w:pPr>
        <w:jc w:val="both"/>
        <w:rPr>
          <w:rFonts w:ascii="Cambria" w:hAnsi="Cambria"/>
          <w:sz w:val="20"/>
          <w:szCs w:val="20"/>
          <w:lang w:val="es-ES"/>
        </w:rPr>
      </w:pPr>
    </w:p>
    <w:p w:rsidR="004A1BC5" w:rsidRPr="00BB1D25" w:rsidRDefault="00876D70" w:rsidP="00270B9C">
      <w:pPr>
        <w:ind w:left="720"/>
        <w:jc w:val="both"/>
        <w:rPr>
          <w:rFonts w:ascii="Cambria" w:hAnsi="Cambria"/>
          <w:b/>
          <w:sz w:val="20"/>
          <w:szCs w:val="20"/>
          <w:lang w:val="es-ES"/>
        </w:rPr>
      </w:pPr>
      <w:r w:rsidRPr="00BB1D25">
        <w:rPr>
          <w:rFonts w:ascii="Cambria" w:hAnsi="Cambria"/>
          <w:b/>
          <w:sz w:val="20"/>
          <w:szCs w:val="20"/>
          <w:lang w:val="es-ES"/>
        </w:rPr>
        <w:t>B.</w:t>
      </w:r>
      <w:r w:rsidRPr="00BB1D25">
        <w:rPr>
          <w:rFonts w:ascii="Cambria" w:hAnsi="Cambria"/>
          <w:b/>
          <w:sz w:val="20"/>
          <w:szCs w:val="20"/>
          <w:lang w:val="es-ES"/>
        </w:rPr>
        <w:tab/>
        <w:t>Posición del Estado</w:t>
      </w:r>
    </w:p>
    <w:p w:rsidR="004A1BC5" w:rsidRPr="00BB1D25" w:rsidRDefault="004A1BC5" w:rsidP="00BB1D25">
      <w:pPr>
        <w:jc w:val="both"/>
        <w:rPr>
          <w:rFonts w:ascii="Cambria" w:hAnsi="Cambria"/>
          <w:b/>
          <w:sz w:val="20"/>
          <w:szCs w:val="20"/>
          <w:lang w:val="es-ES"/>
        </w:rPr>
      </w:pPr>
    </w:p>
    <w:p w:rsidR="009F0539" w:rsidRPr="00665C6A" w:rsidRDefault="00FE5ABB" w:rsidP="00B64BE7">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sz w:val="20"/>
          <w:szCs w:val="20"/>
          <w:lang w:val="es-ES"/>
        </w:rPr>
      </w:pPr>
      <w:r w:rsidRPr="00B64BE7">
        <w:rPr>
          <w:sz w:val="20"/>
          <w:szCs w:val="20"/>
          <w:lang w:val="es-ES"/>
        </w:rPr>
        <w:t xml:space="preserve">De acuerdo con el Estado, la presente denuncia se basaría </w:t>
      </w:r>
      <w:r w:rsidR="00525383" w:rsidRPr="00B64BE7">
        <w:rPr>
          <w:sz w:val="20"/>
          <w:szCs w:val="20"/>
          <w:lang w:val="es-ES"/>
        </w:rPr>
        <w:t>en hechos ocurridos durante el régimen militar imperante en Chile entre septiembre de 1973 y marzo de 1990.</w:t>
      </w:r>
      <w:r w:rsidR="009F16B5" w:rsidRPr="00B64BE7">
        <w:rPr>
          <w:sz w:val="20"/>
          <w:szCs w:val="20"/>
          <w:lang w:val="es-ES"/>
        </w:rPr>
        <w:t xml:space="preserve"> </w:t>
      </w:r>
      <w:r w:rsidR="009F0539" w:rsidRPr="00B64BE7">
        <w:rPr>
          <w:sz w:val="20"/>
          <w:szCs w:val="20"/>
          <w:lang w:val="es-ES"/>
        </w:rPr>
        <w:t xml:space="preserve">De este modo, </w:t>
      </w:r>
      <w:r w:rsidR="008D7BA9" w:rsidRPr="00B64BE7">
        <w:rPr>
          <w:sz w:val="20"/>
          <w:szCs w:val="20"/>
          <w:lang w:val="es-ES"/>
        </w:rPr>
        <w:t xml:space="preserve">Chile </w:t>
      </w:r>
      <w:r w:rsidR="009F0539" w:rsidRPr="00B64BE7">
        <w:rPr>
          <w:sz w:val="20"/>
          <w:szCs w:val="20"/>
          <w:lang w:val="es-ES"/>
        </w:rPr>
        <w:t>señal</w:t>
      </w:r>
      <w:r w:rsidR="001C710A">
        <w:rPr>
          <w:sz w:val="20"/>
          <w:szCs w:val="20"/>
          <w:lang w:val="es-ES"/>
        </w:rPr>
        <w:t>ó</w:t>
      </w:r>
      <w:r w:rsidR="009F0539" w:rsidRPr="00B64BE7">
        <w:rPr>
          <w:sz w:val="20"/>
          <w:szCs w:val="20"/>
          <w:lang w:val="es-ES"/>
        </w:rPr>
        <w:t xml:space="preserve"> que la presente petición sería inadmisible, de acuerdo con el artículo 47.c. de la Convención Americana, pues de la exposición de los hechos por parte del peticionario se evidenciaría su total “improcedencia” por tratarse de hechos cuyo principio de ejecución fue </w:t>
      </w:r>
      <w:r w:rsidR="007D006A">
        <w:rPr>
          <w:sz w:val="20"/>
          <w:szCs w:val="20"/>
          <w:lang w:val="es-ES"/>
        </w:rPr>
        <w:t xml:space="preserve">anterior al 11 de marzo de </w:t>
      </w:r>
      <w:r w:rsidR="007D006A" w:rsidRPr="00665C6A">
        <w:rPr>
          <w:sz w:val="20"/>
          <w:szCs w:val="20"/>
          <w:lang w:val="es-ES"/>
        </w:rPr>
        <w:t xml:space="preserve">1990, fecha de </w:t>
      </w:r>
      <w:r w:rsidR="00832C8E" w:rsidRPr="00665C6A">
        <w:rPr>
          <w:sz w:val="20"/>
          <w:szCs w:val="20"/>
          <w:lang w:val="es-ES"/>
        </w:rPr>
        <w:t>la ratificació</w:t>
      </w:r>
      <w:r w:rsidR="007D006A" w:rsidRPr="00665C6A">
        <w:rPr>
          <w:sz w:val="20"/>
          <w:szCs w:val="20"/>
          <w:lang w:val="es-ES"/>
        </w:rPr>
        <w:t xml:space="preserve">n </w:t>
      </w:r>
      <w:r w:rsidR="00832C8E" w:rsidRPr="00665C6A">
        <w:rPr>
          <w:sz w:val="20"/>
          <w:szCs w:val="20"/>
          <w:lang w:val="es-ES"/>
        </w:rPr>
        <w:t>de la Convención Americana por parte del Estado.</w:t>
      </w:r>
    </w:p>
    <w:p w:rsidR="009F0539" w:rsidRPr="00BB1D25" w:rsidRDefault="009F0539" w:rsidP="00BB1D25">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855665" w:rsidRPr="00BB1D25" w:rsidRDefault="00FE5ABB" w:rsidP="00B64BE7">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BB1D25">
        <w:rPr>
          <w:rFonts w:ascii="Cambria" w:hAnsi="Cambria"/>
          <w:sz w:val="20"/>
          <w:szCs w:val="20"/>
          <w:lang w:val="es-ES"/>
        </w:rPr>
        <w:t>Al respecto, el Estado observ</w:t>
      </w:r>
      <w:r w:rsidR="001C710A">
        <w:rPr>
          <w:rFonts w:ascii="Cambria" w:hAnsi="Cambria"/>
          <w:sz w:val="20"/>
          <w:szCs w:val="20"/>
          <w:lang w:val="es-ES"/>
        </w:rPr>
        <w:t>ó</w:t>
      </w:r>
      <w:r w:rsidR="00855665" w:rsidRPr="00BB1D25">
        <w:rPr>
          <w:rFonts w:ascii="Cambria" w:hAnsi="Cambria"/>
          <w:sz w:val="20"/>
          <w:szCs w:val="20"/>
          <w:lang w:val="es-ES"/>
        </w:rPr>
        <w:t xml:space="preserve"> que una vez instalado el gobierno democrático</w:t>
      </w:r>
      <w:r w:rsidR="009F0539" w:rsidRPr="00BB1D25">
        <w:rPr>
          <w:rFonts w:ascii="Cambria" w:hAnsi="Cambria"/>
          <w:sz w:val="20"/>
          <w:szCs w:val="20"/>
          <w:lang w:val="es-ES"/>
        </w:rPr>
        <w:t xml:space="preserve"> en el país</w:t>
      </w:r>
      <w:r w:rsidRPr="00BB1D25">
        <w:rPr>
          <w:rFonts w:ascii="Cambria" w:hAnsi="Cambria"/>
          <w:sz w:val="20"/>
          <w:szCs w:val="20"/>
          <w:lang w:val="es-ES"/>
        </w:rPr>
        <w:t>,</w:t>
      </w:r>
      <w:r w:rsidR="00855665" w:rsidRPr="00BB1D25">
        <w:rPr>
          <w:rFonts w:ascii="Cambria" w:hAnsi="Cambria"/>
          <w:sz w:val="20"/>
          <w:szCs w:val="20"/>
          <w:lang w:val="es-ES"/>
        </w:rPr>
        <w:t xml:space="preserve"> el Parlamento ratificó la Convención Americana </w:t>
      </w:r>
      <w:r w:rsidR="001C710A">
        <w:rPr>
          <w:rFonts w:ascii="Cambria" w:hAnsi="Cambria"/>
          <w:sz w:val="20"/>
          <w:szCs w:val="20"/>
          <w:lang w:val="es-ES"/>
        </w:rPr>
        <w:t>sobre</w:t>
      </w:r>
      <w:r w:rsidR="00855665" w:rsidRPr="00BB1D25">
        <w:rPr>
          <w:rFonts w:ascii="Cambria" w:hAnsi="Cambria"/>
          <w:sz w:val="20"/>
          <w:szCs w:val="20"/>
          <w:lang w:val="es-ES"/>
        </w:rPr>
        <w:t xml:space="preserve"> De</w:t>
      </w:r>
      <w:r w:rsidR="003B6D20" w:rsidRPr="00BB1D25">
        <w:rPr>
          <w:rFonts w:ascii="Cambria" w:hAnsi="Cambria"/>
          <w:sz w:val="20"/>
          <w:szCs w:val="20"/>
          <w:lang w:val="es-ES"/>
        </w:rPr>
        <w:t>rechos Humanos.</w:t>
      </w:r>
      <w:r w:rsidR="001B523D" w:rsidRPr="00BB1D25">
        <w:rPr>
          <w:rFonts w:ascii="Cambria" w:hAnsi="Cambria"/>
          <w:sz w:val="20"/>
          <w:szCs w:val="20"/>
          <w:lang w:val="es-ES"/>
        </w:rPr>
        <w:t xml:space="preserve"> </w:t>
      </w:r>
      <w:r w:rsidR="001C710A">
        <w:rPr>
          <w:rFonts w:ascii="Cambria" w:hAnsi="Cambria"/>
          <w:sz w:val="20"/>
          <w:szCs w:val="20"/>
          <w:lang w:val="es-ES"/>
        </w:rPr>
        <w:t>Indicó</w:t>
      </w:r>
      <w:r w:rsidR="00C05DEA" w:rsidRPr="00BB1D25">
        <w:rPr>
          <w:rFonts w:ascii="Cambria" w:hAnsi="Cambria"/>
          <w:sz w:val="20"/>
          <w:szCs w:val="20"/>
          <w:lang w:val="es-ES"/>
        </w:rPr>
        <w:t xml:space="preserve"> que el depósito</w:t>
      </w:r>
      <w:r w:rsidR="001B523D" w:rsidRPr="00BB1D25">
        <w:rPr>
          <w:rFonts w:ascii="Cambria" w:hAnsi="Cambria"/>
          <w:sz w:val="20"/>
          <w:szCs w:val="20"/>
          <w:lang w:val="es-ES"/>
        </w:rPr>
        <w:t xml:space="preserve"> del instrumento de ratificación fue hecho ante la </w:t>
      </w:r>
      <w:r w:rsidR="00855665" w:rsidRPr="00BB1D25">
        <w:rPr>
          <w:rFonts w:ascii="Cambria" w:hAnsi="Cambria"/>
          <w:sz w:val="20"/>
          <w:szCs w:val="20"/>
          <w:lang w:val="es-ES"/>
        </w:rPr>
        <w:t>Organización de los Estados Americanos</w:t>
      </w:r>
      <w:r w:rsidR="001B523D" w:rsidRPr="00BB1D25">
        <w:rPr>
          <w:rFonts w:ascii="Cambria" w:hAnsi="Cambria"/>
          <w:sz w:val="20"/>
          <w:szCs w:val="20"/>
          <w:lang w:val="es-ES"/>
        </w:rPr>
        <w:t xml:space="preserve"> con algunas declaraciones y reservas, como de que </w:t>
      </w:r>
      <w:r w:rsidR="00C05DEA" w:rsidRPr="00BB1D25">
        <w:rPr>
          <w:rFonts w:ascii="Cambria" w:hAnsi="Cambria"/>
          <w:sz w:val="20"/>
          <w:szCs w:val="20"/>
          <w:lang w:val="es-ES"/>
        </w:rPr>
        <w:t>“</w:t>
      </w:r>
      <w:r w:rsidR="00855665" w:rsidRPr="00BB1D25">
        <w:rPr>
          <w:rFonts w:ascii="Cambria" w:hAnsi="Cambria"/>
          <w:sz w:val="20"/>
          <w:szCs w:val="20"/>
          <w:lang w:val="es-ES"/>
        </w:rPr>
        <w:t>los reconocimientos</w:t>
      </w:r>
      <w:r w:rsidR="00C05DEA" w:rsidRPr="00BB1D25">
        <w:rPr>
          <w:rFonts w:ascii="Cambria" w:hAnsi="Cambria"/>
          <w:sz w:val="20"/>
          <w:szCs w:val="20"/>
          <w:lang w:val="es-ES"/>
        </w:rPr>
        <w:t xml:space="preserve"> de competencia que ha conferido</w:t>
      </w:r>
      <w:r w:rsidR="00855665" w:rsidRPr="00BB1D25">
        <w:rPr>
          <w:rFonts w:ascii="Cambria" w:hAnsi="Cambria"/>
          <w:sz w:val="20"/>
          <w:szCs w:val="20"/>
          <w:lang w:val="es-ES"/>
        </w:rPr>
        <w:t xml:space="preserve"> se refieren a hechos posteriores a la </w:t>
      </w:r>
      <w:r w:rsidR="003B6D20" w:rsidRPr="00BB1D25">
        <w:rPr>
          <w:rFonts w:ascii="Cambria" w:hAnsi="Cambria"/>
          <w:sz w:val="20"/>
          <w:szCs w:val="20"/>
          <w:lang w:val="es-ES"/>
        </w:rPr>
        <w:t xml:space="preserve">fecha de su depósito </w:t>
      </w:r>
      <w:r w:rsidR="00855665" w:rsidRPr="00BB1D25">
        <w:rPr>
          <w:rFonts w:ascii="Cambria" w:hAnsi="Cambria"/>
          <w:sz w:val="20"/>
          <w:szCs w:val="20"/>
          <w:lang w:val="es-ES"/>
        </w:rPr>
        <w:t>o, en todo caso, a hechos cuyo principio de ejecución sea pos</w:t>
      </w:r>
      <w:r w:rsidR="00C3752E" w:rsidRPr="00BB1D25">
        <w:rPr>
          <w:rFonts w:ascii="Cambria" w:hAnsi="Cambria"/>
          <w:sz w:val="20"/>
          <w:szCs w:val="20"/>
          <w:lang w:val="es-ES"/>
        </w:rPr>
        <w:t>terior al 11 de marzo de 1990</w:t>
      </w:r>
      <w:r w:rsidR="00C05DEA" w:rsidRPr="00BB1D25">
        <w:rPr>
          <w:rFonts w:ascii="Cambria" w:hAnsi="Cambria"/>
          <w:sz w:val="20"/>
          <w:szCs w:val="20"/>
          <w:lang w:val="es-ES"/>
        </w:rPr>
        <w:t>”</w:t>
      </w:r>
      <w:r w:rsidR="00C3752E" w:rsidRPr="00BB1D25">
        <w:rPr>
          <w:rFonts w:ascii="Cambria" w:hAnsi="Cambria"/>
          <w:sz w:val="20"/>
          <w:szCs w:val="20"/>
          <w:lang w:val="es-ES"/>
        </w:rPr>
        <w:t xml:space="preserve">. </w:t>
      </w:r>
      <w:r w:rsidR="00855665" w:rsidRPr="00BB1D25">
        <w:rPr>
          <w:rFonts w:ascii="Cambria" w:hAnsi="Cambria"/>
          <w:sz w:val="20"/>
          <w:szCs w:val="20"/>
          <w:lang w:val="es-ES"/>
        </w:rPr>
        <w:t>Igualmente</w:t>
      </w:r>
      <w:r w:rsidR="003B6D20" w:rsidRPr="00BB1D25">
        <w:rPr>
          <w:rFonts w:ascii="Cambria" w:hAnsi="Cambria"/>
          <w:sz w:val="20"/>
          <w:szCs w:val="20"/>
          <w:lang w:val="es-ES"/>
        </w:rPr>
        <w:t xml:space="preserve"> i</w:t>
      </w:r>
      <w:r w:rsidR="00C05DEA" w:rsidRPr="00BB1D25">
        <w:rPr>
          <w:rFonts w:ascii="Cambria" w:hAnsi="Cambria"/>
          <w:sz w:val="20"/>
          <w:szCs w:val="20"/>
          <w:lang w:val="es-ES"/>
        </w:rPr>
        <w:t>nform</w:t>
      </w:r>
      <w:r w:rsidR="001C710A">
        <w:rPr>
          <w:rFonts w:ascii="Cambria" w:hAnsi="Cambria"/>
          <w:sz w:val="20"/>
          <w:szCs w:val="20"/>
          <w:lang w:val="es-ES"/>
        </w:rPr>
        <w:t>ó</w:t>
      </w:r>
      <w:r w:rsidR="00C05DEA" w:rsidRPr="00BB1D25">
        <w:rPr>
          <w:rFonts w:ascii="Cambria" w:hAnsi="Cambria"/>
          <w:sz w:val="20"/>
          <w:szCs w:val="20"/>
          <w:lang w:val="es-ES"/>
        </w:rPr>
        <w:t xml:space="preserve"> que “</w:t>
      </w:r>
      <w:r w:rsidR="00855665" w:rsidRPr="00BB1D25">
        <w:rPr>
          <w:rFonts w:ascii="Cambria" w:hAnsi="Cambria"/>
          <w:sz w:val="20"/>
          <w:szCs w:val="20"/>
          <w:lang w:val="es-ES"/>
        </w:rPr>
        <w:t>al conferir la competencia a la Comisión y a la Corte Interameric</w:t>
      </w:r>
      <w:r w:rsidR="00C05DEA" w:rsidRPr="00BB1D25">
        <w:rPr>
          <w:rFonts w:ascii="Cambria" w:hAnsi="Cambria"/>
          <w:sz w:val="20"/>
          <w:szCs w:val="20"/>
          <w:lang w:val="es-ES"/>
        </w:rPr>
        <w:t>ana de Derechos Humanos, declara</w:t>
      </w:r>
      <w:r w:rsidR="00855665" w:rsidRPr="00BB1D25">
        <w:rPr>
          <w:rFonts w:ascii="Cambria" w:hAnsi="Cambria"/>
          <w:sz w:val="20"/>
          <w:szCs w:val="20"/>
          <w:lang w:val="es-ES"/>
        </w:rPr>
        <w:t xml:space="preserve"> que estos órganos, al aplicar lo preceptuado en el párrafo segundo del artícul</w:t>
      </w:r>
      <w:r w:rsidR="00C05DEA" w:rsidRPr="00BB1D25">
        <w:rPr>
          <w:rFonts w:ascii="Cambria" w:hAnsi="Cambria"/>
          <w:sz w:val="20"/>
          <w:szCs w:val="20"/>
          <w:lang w:val="es-ES"/>
        </w:rPr>
        <w:t>o 21 de la Convención, no podrán</w:t>
      </w:r>
      <w:r w:rsidR="00855665" w:rsidRPr="00BB1D25">
        <w:rPr>
          <w:rFonts w:ascii="Cambria" w:hAnsi="Cambria"/>
          <w:sz w:val="20"/>
          <w:szCs w:val="20"/>
          <w:lang w:val="es-ES"/>
        </w:rPr>
        <w:t xml:space="preserve"> pronunciarse acerca de las razones de utilidad pública o de interés social que se hayan tenido en consideración al privar de sus bienes a una persona</w:t>
      </w:r>
      <w:r w:rsidR="00C05DEA" w:rsidRPr="00BB1D25">
        <w:rPr>
          <w:rFonts w:ascii="Cambria" w:hAnsi="Cambria"/>
          <w:sz w:val="20"/>
          <w:szCs w:val="20"/>
          <w:lang w:val="es-ES"/>
        </w:rPr>
        <w:t>”</w:t>
      </w:r>
      <w:r w:rsidR="00855665" w:rsidRPr="00BB1D25">
        <w:rPr>
          <w:rFonts w:ascii="Cambria" w:hAnsi="Cambria"/>
          <w:sz w:val="20"/>
          <w:szCs w:val="20"/>
          <w:lang w:val="es-ES"/>
        </w:rPr>
        <w:t>.</w:t>
      </w:r>
    </w:p>
    <w:p w:rsidR="000446A8" w:rsidRPr="00BB1D25" w:rsidRDefault="000446A8" w:rsidP="00BB1D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55665" w:rsidRPr="00BB1D25" w:rsidRDefault="003A5F2F" w:rsidP="00B64BE7">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BB1D25">
        <w:rPr>
          <w:rFonts w:ascii="Cambria" w:hAnsi="Cambria"/>
          <w:sz w:val="20"/>
          <w:szCs w:val="20"/>
          <w:lang w:val="es-ES"/>
        </w:rPr>
        <w:t xml:space="preserve">Según el Estado chileno, el presente caso integraría una de las limitaciones impuestas por el Gobierno de Chile al reconocimiento de competencia, es decir, </w:t>
      </w:r>
      <w:r w:rsidRPr="00665C6A">
        <w:rPr>
          <w:rFonts w:ascii="Cambria" w:hAnsi="Cambria"/>
          <w:sz w:val="20"/>
          <w:szCs w:val="20"/>
          <w:lang w:val="es-ES"/>
        </w:rPr>
        <w:t xml:space="preserve">se trataría de una restricción </w:t>
      </w:r>
      <w:r w:rsidR="00583F7D" w:rsidRPr="00665C6A">
        <w:rPr>
          <w:rFonts w:ascii="Cambria" w:hAnsi="Cambria"/>
          <w:sz w:val="20"/>
          <w:szCs w:val="20"/>
          <w:lang w:val="es-ES"/>
        </w:rPr>
        <w:t xml:space="preserve">temporal, pues la causa del derecho a la reparación </w:t>
      </w:r>
      <w:r w:rsidR="00832C8E" w:rsidRPr="00665C6A">
        <w:rPr>
          <w:rFonts w:ascii="Cambria" w:hAnsi="Cambria"/>
          <w:sz w:val="20"/>
          <w:szCs w:val="20"/>
          <w:lang w:val="es-ES"/>
        </w:rPr>
        <w:t>que se alega conculcado</w:t>
      </w:r>
      <w:r w:rsidR="00583F7D" w:rsidRPr="00665C6A">
        <w:rPr>
          <w:rFonts w:ascii="Cambria" w:hAnsi="Cambria"/>
          <w:sz w:val="20"/>
          <w:szCs w:val="20"/>
          <w:lang w:val="es-ES"/>
        </w:rPr>
        <w:t xml:space="preserve"> </w:t>
      </w:r>
      <w:r w:rsidR="00832C8E" w:rsidRPr="00665C6A">
        <w:rPr>
          <w:rFonts w:ascii="Cambria" w:hAnsi="Cambria"/>
          <w:sz w:val="20"/>
          <w:szCs w:val="20"/>
          <w:lang w:val="es-ES"/>
        </w:rPr>
        <w:t>tiene</w:t>
      </w:r>
      <w:r w:rsidR="00583F7D" w:rsidRPr="00665C6A">
        <w:rPr>
          <w:rFonts w:ascii="Cambria" w:hAnsi="Cambria"/>
          <w:sz w:val="20"/>
          <w:szCs w:val="20"/>
          <w:lang w:val="es-ES"/>
        </w:rPr>
        <w:t xml:space="preserve"> su</w:t>
      </w:r>
      <w:r w:rsidR="00583F7D" w:rsidRPr="00BB1D25">
        <w:rPr>
          <w:rFonts w:ascii="Cambria" w:hAnsi="Cambria"/>
          <w:sz w:val="20"/>
          <w:szCs w:val="20"/>
          <w:lang w:val="es-ES"/>
        </w:rPr>
        <w:t xml:space="preserve"> origen en hechos ocurridos con </w:t>
      </w:r>
      <w:r w:rsidR="00583F7D" w:rsidRPr="00BB1D25">
        <w:rPr>
          <w:rFonts w:ascii="Cambria" w:hAnsi="Cambria"/>
          <w:sz w:val="20"/>
          <w:szCs w:val="20"/>
          <w:lang w:val="es-ES"/>
        </w:rPr>
        <w:lastRenderedPageBreak/>
        <w:t xml:space="preserve">anterioridad a la ratificación de la Convención. </w:t>
      </w:r>
      <w:r w:rsidRPr="00BB1D25">
        <w:rPr>
          <w:rFonts w:ascii="Cambria" w:hAnsi="Cambria"/>
          <w:sz w:val="20"/>
          <w:szCs w:val="20"/>
          <w:lang w:val="es-ES"/>
        </w:rPr>
        <w:t>Al respecto, aleg</w:t>
      </w:r>
      <w:r w:rsidR="001C710A">
        <w:rPr>
          <w:rFonts w:ascii="Cambria" w:hAnsi="Cambria"/>
          <w:sz w:val="20"/>
          <w:szCs w:val="20"/>
          <w:lang w:val="es-ES"/>
        </w:rPr>
        <w:t>ó</w:t>
      </w:r>
      <w:r w:rsidRPr="00BB1D25">
        <w:rPr>
          <w:rFonts w:ascii="Cambria" w:hAnsi="Cambria"/>
          <w:sz w:val="20"/>
          <w:szCs w:val="20"/>
          <w:lang w:val="es-ES"/>
        </w:rPr>
        <w:t xml:space="preserve"> que </w:t>
      </w:r>
      <w:r w:rsidR="00C3752E" w:rsidRPr="00BB1D25">
        <w:rPr>
          <w:rFonts w:ascii="Cambria" w:hAnsi="Cambria"/>
          <w:sz w:val="20"/>
          <w:szCs w:val="20"/>
          <w:lang w:val="es-ES"/>
        </w:rPr>
        <w:t>el reconocimiento de competenci</w:t>
      </w:r>
      <w:r w:rsidR="003B6D20" w:rsidRPr="00BB1D25">
        <w:rPr>
          <w:rFonts w:ascii="Cambria" w:hAnsi="Cambria"/>
          <w:sz w:val="20"/>
          <w:szCs w:val="20"/>
          <w:lang w:val="es-ES"/>
        </w:rPr>
        <w:t xml:space="preserve">a a los órganos de supervisión </w:t>
      </w:r>
      <w:r w:rsidR="00C3752E" w:rsidRPr="00BB1D25">
        <w:rPr>
          <w:rFonts w:ascii="Cambria" w:hAnsi="Cambria"/>
          <w:sz w:val="20"/>
          <w:szCs w:val="20"/>
          <w:lang w:val="es-ES"/>
        </w:rPr>
        <w:t xml:space="preserve">se </w:t>
      </w:r>
      <w:r w:rsidR="003B6D20" w:rsidRPr="00BB1D25">
        <w:rPr>
          <w:rFonts w:ascii="Cambria" w:hAnsi="Cambria"/>
          <w:sz w:val="20"/>
          <w:szCs w:val="20"/>
          <w:lang w:val="es-ES"/>
        </w:rPr>
        <w:t xml:space="preserve">realizaba desde el </w:t>
      </w:r>
      <w:r w:rsidR="009F0539" w:rsidRPr="00BB1D25">
        <w:rPr>
          <w:rFonts w:ascii="Cambria" w:hAnsi="Cambria"/>
          <w:sz w:val="20"/>
          <w:szCs w:val="20"/>
          <w:lang w:val="es-ES"/>
        </w:rPr>
        <w:t>depósito</w:t>
      </w:r>
      <w:r w:rsidR="003B6D20" w:rsidRPr="00BB1D25">
        <w:rPr>
          <w:rFonts w:ascii="Cambria" w:hAnsi="Cambria"/>
          <w:sz w:val="20"/>
          <w:szCs w:val="20"/>
          <w:lang w:val="es-ES"/>
        </w:rPr>
        <w:t xml:space="preserve"> </w:t>
      </w:r>
      <w:r w:rsidR="00832C8E">
        <w:rPr>
          <w:rFonts w:ascii="Cambria" w:hAnsi="Cambria"/>
          <w:sz w:val="20"/>
          <w:szCs w:val="20"/>
          <w:lang w:val="es-ES"/>
        </w:rPr>
        <w:t>del i</w:t>
      </w:r>
      <w:r w:rsidR="00C3752E" w:rsidRPr="00BB1D25">
        <w:rPr>
          <w:rFonts w:ascii="Cambria" w:hAnsi="Cambria"/>
          <w:sz w:val="20"/>
          <w:szCs w:val="20"/>
          <w:lang w:val="es-ES"/>
        </w:rPr>
        <w:t>nstrumento de ratificación hacia delante, c</w:t>
      </w:r>
      <w:r w:rsidR="004D1F45" w:rsidRPr="00BB1D25">
        <w:rPr>
          <w:rFonts w:ascii="Cambria" w:hAnsi="Cambria"/>
          <w:sz w:val="20"/>
          <w:szCs w:val="20"/>
          <w:lang w:val="es-ES"/>
        </w:rPr>
        <w:t>o</w:t>
      </w:r>
      <w:r w:rsidR="00C3752E" w:rsidRPr="00BB1D25">
        <w:rPr>
          <w:rFonts w:ascii="Cambria" w:hAnsi="Cambria"/>
          <w:sz w:val="20"/>
          <w:szCs w:val="20"/>
          <w:lang w:val="es-ES"/>
        </w:rPr>
        <w:t>n expresa exclusión de situaciones cuyo principio de ejecución datara de una fecha anterior al 11 de marzo de 1990.</w:t>
      </w:r>
    </w:p>
    <w:p w:rsidR="000446A8" w:rsidRPr="00BB1D25" w:rsidRDefault="000446A8" w:rsidP="00BB1D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0E1570" w:rsidRPr="00BB1D25" w:rsidRDefault="00CD15F9" w:rsidP="00B64BE7">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BB1D25">
        <w:rPr>
          <w:rFonts w:ascii="Cambria" w:hAnsi="Cambria"/>
          <w:sz w:val="20"/>
          <w:szCs w:val="20"/>
          <w:lang w:val="es-ES"/>
        </w:rPr>
        <w:t xml:space="preserve">Respecto a </w:t>
      </w:r>
      <w:r w:rsidR="006A68DF" w:rsidRPr="00BB1D25">
        <w:rPr>
          <w:rFonts w:ascii="Cambria" w:hAnsi="Cambria"/>
          <w:sz w:val="20"/>
          <w:szCs w:val="20"/>
          <w:lang w:val="es-ES"/>
        </w:rPr>
        <w:t>dicha reserva</w:t>
      </w:r>
      <w:r w:rsidRPr="00BB1D25">
        <w:rPr>
          <w:rFonts w:ascii="Cambria" w:hAnsi="Cambria"/>
          <w:sz w:val="20"/>
          <w:szCs w:val="20"/>
          <w:lang w:val="es-ES"/>
        </w:rPr>
        <w:t>, el Estado afirm</w:t>
      </w:r>
      <w:r w:rsidR="001C710A">
        <w:rPr>
          <w:rFonts w:ascii="Cambria" w:hAnsi="Cambria"/>
          <w:sz w:val="20"/>
          <w:szCs w:val="20"/>
          <w:lang w:val="es-ES"/>
        </w:rPr>
        <w:t>ó</w:t>
      </w:r>
      <w:r w:rsidRPr="00BB1D25">
        <w:rPr>
          <w:rFonts w:ascii="Cambria" w:hAnsi="Cambria"/>
          <w:sz w:val="20"/>
          <w:szCs w:val="20"/>
          <w:lang w:val="es-ES"/>
        </w:rPr>
        <w:t xml:space="preserve"> que</w:t>
      </w:r>
      <w:r w:rsidR="006A68DF" w:rsidRPr="00BB1D25">
        <w:rPr>
          <w:rFonts w:ascii="Cambria" w:hAnsi="Cambria"/>
          <w:sz w:val="20"/>
          <w:szCs w:val="20"/>
          <w:lang w:val="es-ES"/>
        </w:rPr>
        <w:t xml:space="preserve"> correspondió a la convicción de los gobiernos</w:t>
      </w:r>
      <w:r w:rsidR="00997176" w:rsidRPr="00BB1D25">
        <w:rPr>
          <w:rFonts w:ascii="Cambria" w:hAnsi="Cambria"/>
          <w:sz w:val="20"/>
          <w:szCs w:val="20"/>
          <w:lang w:val="es-ES"/>
        </w:rPr>
        <w:t xml:space="preserve"> </w:t>
      </w:r>
      <w:r w:rsidR="007A68C0" w:rsidRPr="00BB1D25">
        <w:rPr>
          <w:rFonts w:ascii="Cambria" w:hAnsi="Cambria"/>
          <w:sz w:val="20"/>
          <w:szCs w:val="20"/>
          <w:lang w:val="es-ES"/>
        </w:rPr>
        <w:t>democráticos</w:t>
      </w:r>
      <w:r w:rsidR="00997176" w:rsidRPr="00BB1D25">
        <w:rPr>
          <w:rFonts w:ascii="Cambria" w:hAnsi="Cambria"/>
          <w:sz w:val="20"/>
          <w:szCs w:val="20"/>
          <w:lang w:val="es-ES"/>
        </w:rPr>
        <w:t xml:space="preserve"> en orden a </w:t>
      </w:r>
      <w:r w:rsidR="007A68C0" w:rsidRPr="00BB1D25">
        <w:rPr>
          <w:rFonts w:ascii="Cambria" w:hAnsi="Cambria"/>
          <w:sz w:val="20"/>
          <w:szCs w:val="20"/>
          <w:lang w:val="es-ES"/>
        </w:rPr>
        <w:t>realizar</w:t>
      </w:r>
      <w:r w:rsidR="00997176" w:rsidRPr="00BB1D25">
        <w:rPr>
          <w:rFonts w:ascii="Cambria" w:hAnsi="Cambria"/>
          <w:sz w:val="20"/>
          <w:szCs w:val="20"/>
          <w:lang w:val="es-ES"/>
        </w:rPr>
        <w:t xml:space="preserve"> ingentes esfuerzos para resolver violaciones de los derechos humanos  del pasado reciente en el ámbito </w:t>
      </w:r>
      <w:r w:rsidR="007A68C0" w:rsidRPr="00BB1D25">
        <w:rPr>
          <w:rFonts w:ascii="Cambria" w:hAnsi="Cambria"/>
          <w:sz w:val="20"/>
          <w:szCs w:val="20"/>
          <w:lang w:val="es-ES"/>
        </w:rPr>
        <w:t>doméstico</w:t>
      </w:r>
      <w:r w:rsidRPr="00BB1D25">
        <w:rPr>
          <w:rFonts w:ascii="Cambria" w:hAnsi="Cambria"/>
          <w:sz w:val="20"/>
          <w:szCs w:val="20"/>
          <w:lang w:val="es-ES"/>
        </w:rPr>
        <w:t xml:space="preserve">, enumerando iniciativas adoptadas por el Estado, como </w:t>
      </w:r>
      <w:r w:rsidR="007A68C0" w:rsidRPr="00BB1D25">
        <w:rPr>
          <w:rFonts w:ascii="Cambria" w:hAnsi="Cambria"/>
          <w:sz w:val="20"/>
          <w:szCs w:val="20"/>
          <w:lang w:val="es-ES"/>
        </w:rPr>
        <w:t xml:space="preserve">la Comisión de Verdad y Reconciliación, </w:t>
      </w:r>
      <w:r w:rsidRPr="00BB1D25">
        <w:rPr>
          <w:rFonts w:ascii="Cambria" w:hAnsi="Cambria"/>
          <w:sz w:val="20"/>
          <w:szCs w:val="20"/>
          <w:lang w:val="es-ES"/>
        </w:rPr>
        <w:t>entre otras. Observ</w:t>
      </w:r>
      <w:r w:rsidR="001C710A">
        <w:rPr>
          <w:rFonts w:ascii="Cambria" w:hAnsi="Cambria"/>
          <w:sz w:val="20"/>
          <w:szCs w:val="20"/>
          <w:lang w:val="es-ES"/>
        </w:rPr>
        <w:t>ó</w:t>
      </w:r>
      <w:r w:rsidR="00FE154E" w:rsidRPr="00BB1D25">
        <w:rPr>
          <w:rFonts w:ascii="Cambria" w:hAnsi="Cambria"/>
          <w:sz w:val="20"/>
          <w:szCs w:val="20"/>
          <w:lang w:val="es-ES"/>
        </w:rPr>
        <w:t xml:space="preserve"> que con lo anterior no</w:t>
      </w:r>
      <w:r w:rsidR="00372E72" w:rsidRPr="00BB1D25">
        <w:rPr>
          <w:rFonts w:ascii="Cambria" w:hAnsi="Cambria"/>
          <w:sz w:val="20"/>
          <w:szCs w:val="20"/>
          <w:lang w:val="es-ES"/>
        </w:rPr>
        <w:t xml:space="preserve"> pretende desconocer </w:t>
      </w:r>
      <w:r w:rsidR="000D0205" w:rsidRPr="00BB1D25">
        <w:rPr>
          <w:rFonts w:ascii="Cambria" w:hAnsi="Cambria"/>
          <w:sz w:val="20"/>
          <w:szCs w:val="20"/>
          <w:lang w:val="es-ES"/>
        </w:rPr>
        <w:t>los mecanismos</w:t>
      </w:r>
      <w:r w:rsidR="004959B7" w:rsidRPr="00BB1D25">
        <w:rPr>
          <w:rFonts w:ascii="Cambria" w:hAnsi="Cambria"/>
          <w:sz w:val="20"/>
          <w:szCs w:val="20"/>
          <w:lang w:val="es-ES"/>
        </w:rPr>
        <w:t xml:space="preserve"> </w:t>
      </w:r>
      <w:r w:rsidR="00372E72" w:rsidRPr="00BB1D25">
        <w:rPr>
          <w:rFonts w:ascii="Cambria" w:hAnsi="Cambria"/>
          <w:sz w:val="20"/>
          <w:szCs w:val="20"/>
          <w:lang w:val="es-ES"/>
        </w:rPr>
        <w:t>de la Comunidad Internacional</w:t>
      </w:r>
      <w:r w:rsidRPr="00BB1D25">
        <w:rPr>
          <w:rFonts w:ascii="Cambria" w:hAnsi="Cambria"/>
          <w:sz w:val="20"/>
          <w:szCs w:val="20"/>
          <w:lang w:val="es-ES"/>
        </w:rPr>
        <w:t xml:space="preserve">, y </w:t>
      </w:r>
      <w:r w:rsidR="001C710A">
        <w:rPr>
          <w:rFonts w:ascii="Cambria" w:hAnsi="Cambria"/>
          <w:sz w:val="20"/>
          <w:szCs w:val="20"/>
          <w:lang w:val="es-ES"/>
        </w:rPr>
        <w:t>manifestó</w:t>
      </w:r>
      <w:r w:rsidR="00372E72" w:rsidRPr="00BB1D25">
        <w:rPr>
          <w:rFonts w:ascii="Cambria" w:hAnsi="Cambria"/>
          <w:sz w:val="20"/>
          <w:szCs w:val="20"/>
          <w:lang w:val="es-ES"/>
        </w:rPr>
        <w:t xml:space="preserve"> que la inclusión de la reserva no implica que los hechos anteriores a 1990 fueren inoponibles al Estado en cuanto entidad ininterrumpida.</w:t>
      </w:r>
    </w:p>
    <w:p w:rsidR="000446A8" w:rsidRPr="00BB1D25" w:rsidRDefault="000446A8" w:rsidP="00BB1D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0E1570" w:rsidRPr="00BB1D25" w:rsidRDefault="00654BE2" w:rsidP="00B64BE7">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BB1D25">
        <w:rPr>
          <w:rFonts w:ascii="Cambria" w:hAnsi="Cambria"/>
          <w:sz w:val="20"/>
          <w:szCs w:val="20"/>
          <w:lang w:val="es-ES"/>
        </w:rPr>
        <w:t>El Estado s</w:t>
      </w:r>
      <w:r w:rsidR="001C710A">
        <w:rPr>
          <w:rFonts w:ascii="Cambria" w:hAnsi="Cambria"/>
          <w:sz w:val="20"/>
          <w:szCs w:val="20"/>
          <w:lang w:val="es-ES"/>
        </w:rPr>
        <w:t>ostuvo</w:t>
      </w:r>
      <w:r w:rsidRPr="00BB1D25">
        <w:rPr>
          <w:rFonts w:ascii="Cambria" w:hAnsi="Cambria"/>
          <w:sz w:val="20"/>
          <w:szCs w:val="20"/>
          <w:lang w:val="es-ES"/>
        </w:rPr>
        <w:t xml:space="preserve"> </w:t>
      </w:r>
      <w:r w:rsidR="00583F7D" w:rsidRPr="00BB1D25">
        <w:rPr>
          <w:rFonts w:ascii="Cambria" w:hAnsi="Cambria"/>
          <w:sz w:val="20"/>
          <w:szCs w:val="20"/>
          <w:lang w:val="es-ES"/>
        </w:rPr>
        <w:t xml:space="preserve">que </w:t>
      </w:r>
      <w:r w:rsidR="001C710A">
        <w:rPr>
          <w:rFonts w:ascii="Cambria" w:hAnsi="Cambria"/>
          <w:sz w:val="20"/>
          <w:szCs w:val="20"/>
          <w:lang w:val="es-ES"/>
        </w:rPr>
        <w:t xml:space="preserve">la </w:t>
      </w:r>
      <w:r w:rsidR="00583F7D" w:rsidRPr="00BB1D25">
        <w:rPr>
          <w:rFonts w:ascii="Cambria" w:hAnsi="Cambria"/>
          <w:sz w:val="20"/>
          <w:szCs w:val="20"/>
          <w:lang w:val="es-ES"/>
        </w:rPr>
        <w:t>mencionada</w:t>
      </w:r>
      <w:r w:rsidR="00BB1DA1" w:rsidRPr="00BB1D25">
        <w:rPr>
          <w:rFonts w:ascii="Cambria" w:hAnsi="Cambria"/>
          <w:sz w:val="20"/>
          <w:szCs w:val="20"/>
          <w:lang w:val="es-ES"/>
        </w:rPr>
        <w:t xml:space="preserve"> restricción </w:t>
      </w:r>
      <w:r w:rsidR="00BB1DA1" w:rsidRPr="00BB1D25">
        <w:rPr>
          <w:rFonts w:ascii="Cambria" w:hAnsi="Cambria"/>
          <w:i/>
          <w:sz w:val="20"/>
          <w:szCs w:val="20"/>
          <w:lang w:val="es-ES"/>
        </w:rPr>
        <w:t>ex ratione temporis</w:t>
      </w:r>
      <w:r w:rsidR="00BB1DA1" w:rsidRPr="00BB1D25">
        <w:rPr>
          <w:rFonts w:ascii="Cambria" w:hAnsi="Cambria"/>
          <w:sz w:val="20"/>
          <w:szCs w:val="20"/>
          <w:lang w:val="es-ES"/>
        </w:rPr>
        <w:t xml:space="preserve">, bajo </w:t>
      </w:r>
      <w:r w:rsidR="00F62CA9" w:rsidRPr="00BB1D25">
        <w:rPr>
          <w:rFonts w:ascii="Cambria" w:hAnsi="Cambria"/>
          <w:sz w:val="20"/>
          <w:szCs w:val="20"/>
          <w:lang w:val="es-ES"/>
        </w:rPr>
        <w:t>ningún</w:t>
      </w:r>
      <w:r w:rsidR="00BB1DA1" w:rsidRPr="00BB1D25">
        <w:rPr>
          <w:rFonts w:ascii="Cambria" w:hAnsi="Cambria"/>
          <w:sz w:val="20"/>
          <w:szCs w:val="20"/>
          <w:lang w:val="es-ES"/>
        </w:rPr>
        <w:t xml:space="preserve"> respecto puede ser considerada contraria al objeto y fin</w:t>
      </w:r>
      <w:r w:rsidR="00651670" w:rsidRPr="00BB1D25">
        <w:rPr>
          <w:rFonts w:ascii="Cambria" w:hAnsi="Cambria"/>
          <w:sz w:val="20"/>
          <w:szCs w:val="20"/>
          <w:lang w:val="es-ES"/>
        </w:rPr>
        <w:t xml:space="preserve"> de </w:t>
      </w:r>
      <w:r w:rsidR="00583F7D" w:rsidRPr="00BB1D25">
        <w:rPr>
          <w:rFonts w:ascii="Cambria" w:hAnsi="Cambria"/>
          <w:sz w:val="20"/>
          <w:szCs w:val="20"/>
          <w:lang w:val="es-ES"/>
        </w:rPr>
        <w:t>la C</w:t>
      </w:r>
      <w:r w:rsidR="00CD15F9" w:rsidRPr="00BB1D25">
        <w:rPr>
          <w:rFonts w:ascii="Cambria" w:hAnsi="Cambria"/>
          <w:sz w:val="20"/>
          <w:szCs w:val="20"/>
          <w:lang w:val="es-ES"/>
        </w:rPr>
        <w:t>onvención</w:t>
      </w:r>
      <w:r w:rsidR="00583F7D" w:rsidRPr="00BB1D25">
        <w:rPr>
          <w:rFonts w:ascii="Cambria" w:hAnsi="Cambria"/>
          <w:sz w:val="20"/>
          <w:szCs w:val="20"/>
          <w:lang w:val="es-ES"/>
        </w:rPr>
        <w:t xml:space="preserve"> Americana</w:t>
      </w:r>
      <w:r w:rsidR="00CD15F9" w:rsidRPr="00BB1D25">
        <w:rPr>
          <w:rFonts w:ascii="Cambria" w:hAnsi="Cambria"/>
          <w:sz w:val="20"/>
          <w:szCs w:val="20"/>
          <w:lang w:val="es-ES"/>
        </w:rPr>
        <w:t xml:space="preserve">. </w:t>
      </w:r>
      <w:r w:rsidR="001C710A">
        <w:rPr>
          <w:rFonts w:ascii="Cambria" w:hAnsi="Cambria"/>
          <w:sz w:val="20"/>
          <w:szCs w:val="20"/>
          <w:lang w:val="es-ES"/>
        </w:rPr>
        <w:t>Indicó</w:t>
      </w:r>
      <w:r w:rsidR="00651670" w:rsidRPr="00BB1D25">
        <w:rPr>
          <w:rFonts w:ascii="Cambria" w:hAnsi="Cambria"/>
          <w:sz w:val="20"/>
          <w:szCs w:val="20"/>
          <w:lang w:val="es-ES"/>
        </w:rPr>
        <w:t xml:space="preserve"> que la misma deriva de una</w:t>
      </w:r>
      <w:r w:rsidR="00583F7D" w:rsidRPr="00BB1D25">
        <w:rPr>
          <w:rFonts w:ascii="Cambria" w:hAnsi="Cambria"/>
          <w:sz w:val="20"/>
          <w:szCs w:val="20"/>
          <w:lang w:val="es-ES"/>
        </w:rPr>
        <w:t xml:space="preserve"> regla de sentido común, es decir</w:t>
      </w:r>
      <w:r w:rsidR="00651670" w:rsidRPr="00BB1D25">
        <w:rPr>
          <w:rFonts w:ascii="Cambria" w:hAnsi="Cambria"/>
          <w:sz w:val="20"/>
          <w:szCs w:val="20"/>
          <w:lang w:val="es-ES"/>
        </w:rPr>
        <w:t xml:space="preserve">, el Estado se somete a la supervisión </w:t>
      </w:r>
      <w:r w:rsidR="004931A6" w:rsidRPr="00BB1D25">
        <w:rPr>
          <w:rFonts w:ascii="Cambria" w:hAnsi="Cambria"/>
          <w:sz w:val="20"/>
          <w:szCs w:val="20"/>
          <w:lang w:val="es-ES"/>
        </w:rPr>
        <w:t>sólo desde el momento de su ratificación, o mejor dicho, sólo desde que puede razonablemente responder por los hechos cometido</w:t>
      </w:r>
      <w:r w:rsidR="00583F7D" w:rsidRPr="00BB1D25">
        <w:rPr>
          <w:rFonts w:ascii="Cambria" w:hAnsi="Cambria"/>
          <w:sz w:val="20"/>
          <w:szCs w:val="20"/>
          <w:lang w:val="es-ES"/>
        </w:rPr>
        <w:t>s</w:t>
      </w:r>
      <w:r w:rsidR="004931A6" w:rsidRPr="00BB1D25">
        <w:rPr>
          <w:rFonts w:ascii="Cambria" w:hAnsi="Cambria"/>
          <w:sz w:val="20"/>
          <w:szCs w:val="20"/>
          <w:lang w:val="es-ES"/>
        </w:rPr>
        <w:t xml:space="preserve"> bajo su imperio. El Estado </w:t>
      </w:r>
      <w:r w:rsidR="001C710A">
        <w:rPr>
          <w:rFonts w:ascii="Cambria" w:hAnsi="Cambria"/>
          <w:sz w:val="20"/>
          <w:szCs w:val="20"/>
          <w:lang w:val="es-ES"/>
        </w:rPr>
        <w:t xml:space="preserve">argumentó </w:t>
      </w:r>
      <w:r w:rsidR="004931A6" w:rsidRPr="00BB1D25">
        <w:rPr>
          <w:rFonts w:ascii="Cambria" w:hAnsi="Cambria"/>
          <w:sz w:val="20"/>
          <w:szCs w:val="20"/>
          <w:lang w:val="es-ES"/>
        </w:rPr>
        <w:t xml:space="preserve">que ciertamente es soberano para resolver sobre las condiciones en que se someterá a la mencionada supervisión </w:t>
      </w:r>
      <w:r w:rsidR="008913B9" w:rsidRPr="00BB1D25">
        <w:rPr>
          <w:rFonts w:ascii="Cambria" w:hAnsi="Cambria"/>
          <w:sz w:val="20"/>
          <w:szCs w:val="20"/>
          <w:lang w:val="es-ES"/>
        </w:rPr>
        <w:t>internacional, razón por la cual se está ante un ejercicio responsable de soberanía.</w:t>
      </w:r>
    </w:p>
    <w:p w:rsidR="00BE0D00" w:rsidRPr="00BB1D25" w:rsidRDefault="00BE0D00" w:rsidP="00BB1D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6D4A73" w:rsidRPr="00BB1D25" w:rsidRDefault="000E1570" w:rsidP="00BB1D25">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hAnsi="Cambria"/>
          <w:b/>
          <w:bCs/>
          <w:kern w:val="36"/>
          <w:sz w:val="20"/>
          <w:szCs w:val="20"/>
          <w:lang w:val="es-ES"/>
        </w:rPr>
      </w:pPr>
      <w:r w:rsidRPr="00BB1D25">
        <w:rPr>
          <w:rFonts w:ascii="Cambria" w:hAnsi="Cambria"/>
          <w:b/>
          <w:bCs/>
          <w:kern w:val="36"/>
          <w:sz w:val="20"/>
          <w:szCs w:val="20"/>
          <w:lang w:val="es-ES"/>
        </w:rPr>
        <w:t>ANÁLISIS</w:t>
      </w:r>
      <w:r w:rsidR="004A1BC5" w:rsidRPr="00BB1D25">
        <w:rPr>
          <w:rFonts w:ascii="Cambria" w:hAnsi="Cambria"/>
          <w:b/>
          <w:bCs/>
          <w:kern w:val="36"/>
          <w:sz w:val="20"/>
          <w:szCs w:val="20"/>
          <w:lang w:val="es-ES"/>
        </w:rPr>
        <w:t xml:space="preserve"> DE COMPETENCIA Y ADMISIBILIDAD</w:t>
      </w:r>
    </w:p>
    <w:p w:rsidR="004A1BC5" w:rsidRPr="00BB1D25" w:rsidRDefault="004A1BC5" w:rsidP="00BB1D25">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0"/>
        <w:rPr>
          <w:rFonts w:ascii="Cambria" w:hAnsi="Cambria"/>
          <w:b/>
          <w:bCs/>
          <w:kern w:val="36"/>
          <w:sz w:val="20"/>
          <w:szCs w:val="20"/>
          <w:lang w:val="es-ES"/>
        </w:rPr>
      </w:pPr>
    </w:p>
    <w:p w:rsidR="000E1570" w:rsidRPr="00BB1D25" w:rsidRDefault="000E1570" w:rsidP="00AD6B05">
      <w:pPr>
        <w:pStyle w:val="ListParagraph"/>
        <w:widowControl w:val="0"/>
        <w:numPr>
          <w:ilvl w:val="0"/>
          <w:numId w:val="63"/>
        </w:numPr>
        <w:ind w:left="1440"/>
        <w:jc w:val="both"/>
        <w:outlineLvl w:val="1"/>
        <w:rPr>
          <w:rFonts w:cs="Arial"/>
          <w:b/>
          <w:bCs/>
          <w:sz w:val="20"/>
          <w:szCs w:val="20"/>
          <w:lang w:val="es-ES"/>
        </w:rPr>
      </w:pPr>
      <w:r w:rsidRPr="00BB1D25">
        <w:rPr>
          <w:rFonts w:cs="Arial"/>
          <w:b/>
          <w:bCs/>
          <w:sz w:val="20"/>
          <w:szCs w:val="20"/>
          <w:lang w:val="es-AR"/>
        </w:rPr>
        <w:t xml:space="preserve">Competencia </w:t>
      </w:r>
      <w:r w:rsidRPr="00BB1D25">
        <w:rPr>
          <w:rFonts w:cs="Arial"/>
          <w:b/>
          <w:bCs/>
          <w:i/>
          <w:sz w:val="20"/>
          <w:szCs w:val="20"/>
          <w:lang w:val="es-ES"/>
        </w:rPr>
        <w:t>ratione personae, ratione loci, ratione temporis</w:t>
      </w:r>
      <w:r w:rsidRPr="00BB1D25">
        <w:rPr>
          <w:rFonts w:cs="Arial"/>
          <w:b/>
          <w:bCs/>
          <w:sz w:val="20"/>
          <w:szCs w:val="20"/>
          <w:lang w:val="es-ES"/>
        </w:rPr>
        <w:t xml:space="preserve"> y </w:t>
      </w:r>
      <w:r w:rsidRPr="00BB1D25">
        <w:rPr>
          <w:rFonts w:cs="Arial"/>
          <w:b/>
          <w:bCs/>
          <w:i/>
          <w:sz w:val="20"/>
          <w:szCs w:val="20"/>
          <w:lang w:val="es-ES"/>
        </w:rPr>
        <w:t>ratione materiae</w:t>
      </w:r>
      <w:r w:rsidRPr="00BB1D25">
        <w:rPr>
          <w:rFonts w:cs="Arial"/>
          <w:b/>
          <w:bCs/>
          <w:sz w:val="20"/>
          <w:szCs w:val="20"/>
          <w:lang w:val="es-ES"/>
        </w:rPr>
        <w:t xml:space="preserve"> de la Comisión</w:t>
      </w:r>
    </w:p>
    <w:p w:rsidR="000E1570" w:rsidRPr="00BB1D25" w:rsidRDefault="000E1570" w:rsidP="00BB1D25">
      <w:pPr>
        <w:widowControl w:val="0"/>
        <w:ind w:left="1440" w:hanging="720"/>
        <w:jc w:val="both"/>
        <w:outlineLvl w:val="1"/>
        <w:rPr>
          <w:rFonts w:ascii="Cambria" w:hAnsi="Cambria" w:cs="Arial"/>
          <w:b/>
          <w:bCs/>
          <w:sz w:val="20"/>
          <w:szCs w:val="20"/>
          <w:lang w:val="es-ES"/>
        </w:rPr>
      </w:pPr>
    </w:p>
    <w:p w:rsidR="00FB7670" w:rsidRPr="00BB1D25" w:rsidRDefault="00A53766" w:rsidP="00B64BE7">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BB1D25">
        <w:rPr>
          <w:rFonts w:ascii="Cambria" w:hAnsi="Cambria"/>
          <w:sz w:val="20"/>
          <w:szCs w:val="20"/>
          <w:lang w:val="es-ES"/>
        </w:rPr>
        <w:t xml:space="preserve">De acuerdo con el artículo 44 de la </w:t>
      </w:r>
      <w:r w:rsidR="00FB7670" w:rsidRPr="00BB1D25">
        <w:rPr>
          <w:rFonts w:ascii="Cambria" w:hAnsi="Cambria"/>
          <w:sz w:val="20"/>
          <w:szCs w:val="20"/>
          <w:lang w:val="es-ES"/>
        </w:rPr>
        <w:t>Convención</w:t>
      </w:r>
      <w:r w:rsidRPr="00BB1D25">
        <w:rPr>
          <w:rFonts w:ascii="Cambria" w:hAnsi="Cambria"/>
          <w:sz w:val="20"/>
          <w:szCs w:val="20"/>
          <w:lang w:val="es-ES"/>
        </w:rPr>
        <w:t xml:space="preserve"> Americana y el artículo 23 del Reglamento de la CIDH, </w:t>
      </w:r>
      <w:r w:rsidR="00FB7670" w:rsidRPr="00BB1D25">
        <w:rPr>
          <w:rFonts w:ascii="Cambria" w:hAnsi="Cambria"/>
          <w:sz w:val="20"/>
          <w:szCs w:val="20"/>
          <w:lang w:val="es-ES"/>
        </w:rPr>
        <w:t xml:space="preserve">el peticionario tiene </w:t>
      </w:r>
      <w:r w:rsidR="00FB7670" w:rsidRPr="00BB1D25">
        <w:rPr>
          <w:rFonts w:ascii="Cambria" w:hAnsi="Cambria"/>
          <w:i/>
          <w:sz w:val="20"/>
          <w:szCs w:val="20"/>
          <w:lang w:val="es-ES"/>
        </w:rPr>
        <w:t>locus standi</w:t>
      </w:r>
      <w:r w:rsidR="00FB7670" w:rsidRPr="00BB1D25">
        <w:rPr>
          <w:rFonts w:ascii="Cambria" w:hAnsi="Cambria"/>
          <w:sz w:val="20"/>
          <w:szCs w:val="20"/>
          <w:lang w:val="es-ES"/>
        </w:rPr>
        <w:t xml:space="preserve"> para presentar peticiones ante la Comisión Interamericana. En cuanto al Estado, Chile es parte de la Convención Americana y, por tanto, responde en la esfera internacional por las violaciones a dicho instrumento. Las presuntas víctimas son personas naturales respecto de quienes el Estado se comprometió a garantizar los derechos consagrados en la Convención Americana, razón por la cual, la Comisión tiene competencia </w:t>
      </w:r>
      <w:r w:rsidR="00FB7670" w:rsidRPr="00BB1D25">
        <w:rPr>
          <w:rFonts w:ascii="Cambria" w:hAnsi="Cambria"/>
          <w:i/>
          <w:sz w:val="20"/>
          <w:szCs w:val="20"/>
          <w:lang w:val="es-ES"/>
        </w:rPr>
        <w:t>ratione personae</w:t>
      </w:r>
      <w:r w:rsidR="00FB7670" w:rsidRPr="00BB1D25">
        <w:rPr>
          <w:rFonts w:ascii="Cambria" w:hAnsi="Cambria"/>
          <w:sz w:val="20"/>
          <w:szCs w:val="20"/>
          <w:lang w:val="es-ES"/>
        </w:rPr>
        <w:t xml:space="preserve"> para examinar la petición. </w:t>
      </w:r>
    </w:p>
    <w:p w:rsidR="003632A7" w:rsidRPr="00BB1D25" w:rsidRDefault="003632A7" w:rsidP="00BB1D25">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9335B9" w:rsidRPr="00B143B3" w:rsidRDefault="00272DE7" w:rsidP="00B64BE7">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1"/>
        <w:rPr>
          <w:rFonts w:ascii="Cambria" w:hAnsi="Cambria" w:cs="Arial"/>
          <w:b/>
          <w:bCs/>
          <w:sz w:val="20"/>
          <w:szCs w:val="20"/>
          <w:lang w:val="es-AR"/>
        </w:rPr>
      </w:pPr>
      <w:r w:rsidRPr="00BB1D25">
        <w:rPr>
          <w:rFonts w:ascii="Cambria" w:hAnsi="Cambria" w:cs="Arial"/>
          <w:spacing w:val="-2"/>
          <w:sz w:val="20"/>
          <w:szCs w:val="20"/>
          <w:lang w:val="es-ES"/>
        </w:rPr>
        <w:t>Asimismo, l</w:t>
      </w:r>
      <w:r w:rsidR="005F5C77" w:rsidRPr="00BB1D25">
        <w:rPr>
          <w:rFonts w:ascii="Cambria" w:hAnsi="Cambria" w:cs="Arial"/>
          <w:spacing w:val="-2"/>
          <w:sz w:val="20"/>
          <w:szCs w:val="20"/>
          <w:lang w:val="es-ES"/>
        </w:rPr>
        <w:t xml:space="preserve">a </w:t>
      </w:r>
      <w:r w:rsidR="00FB7670" w:rsidRPr="00B143B3">
        <w:rPr>
          <w:rFonts w:ascii="Cambria" w:hAnsi="Cambria" w:cs="Arial"/>
          <w:spacing w:val="-2"/>
          <w:sz w:val="20"/>
          <w:szCs w:val="20"/>
          <w:lang w:val="es-ES"/>
        </w:rPr>
        <w:t xml:space="preserve">CIDH tiene competencia </w:t>
      </w:r>
      <w:r w:rsidR="00FB7670" w:rsidRPr="00B143B3">
        <w:rPr>
          <w:rFonts w:ascii="Cambria" w:hAnsi="Cambria" w:cs="Arial"/>
          <w:i/>
          <w:spacing w:val="-2"/>
          <w:sz w:val="20"/>
          <w:szCs w:val="20"/>
          <w:lang w:val="es-ES"/>
        </w:rPr>
        <w:t>ratione materiae</w:t>
      </w:r>
      <w:r w:rsidR="00FB7670" w:rsidRPr="00B143B3">
        <w:rPr>
          <w:rFonts w:ascii="Cambria" w:hAnsi="Cambria" w:cs="Arial"/>
          <w:spacing w:val="-2"/>
          <w:sz w:val="20"/>
          <w:szCs w:val="20"/>
          <w:lang w:val="es-ES"/>
        </w:rPr>
        <w:t xml:space="preserve"> debido a que la petición se refiere a presuntas violaciones de derechos humanos protegidos por la </w:t>
      </w:r>
      <w:r w:rsidR="009335B9" w:rsidRPr="00B143B3">
        <w:rPr>
          <w:rFonts w:ascii="Cambria" w:hAnsi="Cambria" w:cs="Arial"/>
          <w:spacing w:val="-2"/>
          <w:sz w:val="20"/>
          <w:szCs w:val="20"/>
          <w:lang w:val="es-ES"/>
        </w:rPr>
        <w:t>Convención</w:t>
      </w:r>
      <w:r w:rsidR="00FB7670" w:rsidRPr="00B143B3">
        <w:rPr>
          <w:rFonts w:ascii="Cambria" w:hAnsi="Cambria" w:cs="Arial"/>
          <w:spacing w:val="-2"/>
          <w:sz w:val="20"/>
          <w:szCs w:val="20"/>
          <w:lang w:val="es-ES"/>
        </w:rPr>
        <w:t xml:space="preserve"> Americana. </w:t>
      </w:r>
      <w:r w:rsidR="00304D2E" w:rsidRPr="00B143B3">
        <w:rPr>
          <w:rFonts w:ascii="Cambria" w:hAnsi="Cambria" w:cs="Arial"/>
          <w:spacing w:val="-2"/>
          <w:sz w:val="20"/>
          <w:szCs w:val="20"/>
          <w:lang w:val="es-ES"/>
        </w:rPr>
        <w:t xml:space="preserve">La </w:t>
      </w:r>
      <w:r w:rsidR="003B4BED" w:rsidRPr="00B143B3">
        <w:rPr>
          <w:rFonts w:ascii="Cambria" w:hAnsi="Cambria" w:cs="Arial"/>
          <w:spacing w:val="-2"/>
          <w:sz w:val="20"/>
          <w:szCs w:val="20"/>
          <w:lang w:val="es-ES"/>
        </w:rPr>
        <w:t>Comisión</w:t>
      </w:r>
      <w:r w:rsidR="00304D2E" w:rsidRPr="00B143B3">
        <w:rPr>
          <w:rFonts w:ascii="Cambria" w:hAnsi="Cambria" w:cs="Arial"/>
          <w:spacing w:val="-2"/>
          <w:sz w:val="20"/>
          <w:szCs w:val="20"/>
          <w:lang w:val="es-ES"/>
        </w:rPr>
        <w:t xml:space="preserve"> toma nota que el </w:t>
      </w:r>
      <w:r w:rsidR="009335B9" w:rsidRPr="00B143B3">
        <w:rPr>
          <w:rFonts w:ascii="Cambria" w:hAnsi="Cambria" w:cs="Arial"/>
          <w:spacing w:val="-2"/>
          <w:sz w:val="20"/>
          <w:szCs w:val="20"/>
          <w:lang w:val="es-ES"/>
        </w:rPr>
        <w:t>Estado</w:t>
      </w:r>
      <w:r w:rsidR="00304D2E" w:rsidRPr="00B143B3">
        <w:rPr>
          <w:rFonts w:ascii="Cambria" w:hAnsi="Cambria" w:cs="Arial"/>
          <w:spacing w:val="-2"/>
          <w:sz w:val="20"/>
          <w:szCs w:val="20"/>
          <w:lang w:val="es-ES"/>
        </w:rPr>
        <w:t xml:space="preserve"> chileno</w:t>
      </w:r>
      <w:r w:rsidR="009335B9" w:rsidRPr="00B143B3">
        <w:rPr>
          <w:rFonts w:ascii="Cambria" w:hAnsi="Cambria" w:cs="Arial"/>
          <w:spacing w:val="-2"/>
          <w:sz w:val="20"/>
          <w:szCs w:val="20"/>
          <w:lang w:val="es-ES"/>
        </w:rPr>
        <w:t xml:space="preserve"> señala que, de acuerdo co</w:t>
      </w:r>
      <w:r w:rsidR="00304D2E" w:rsidRPr="00B143B3">
        <w:rPr>
          <w:rFonts w:ascii="Cambria" w:hAnsi="Cambria" w:cs="Arial"/>
          <w:spacing w:val="-2"/>
          <w:sz w:val="20"/>
          <w:szCs w:val="20"/>
          <w:lang w:val="es-ES"/>
        </w:rPr>
        <w:t>n las reservas realizadas por mencionado Estado</w:t>
      </w:r>
      <w:r w:rsidR="009335B9" w:rsidRPr="00B143B3">
        <w:rPr>
          <w:rFonts w:ascii="Cambria" w:hAnsi="Cambria" w:cs="Arial"/>
          <w:spacing w:val="-2"/>
          <w:sz w:val="20"/>
          <w:szCs w:val="20"/>
          <w:lang w:val="es-ES"/>
        </w:rPr>
        <w:t xml:space="preserve">, al aplicar lo preceptuado en el artículo 21 de la Convención no se podrá pronunciarse respecto de las razones de utilidad pública o interés social que se </w:t>
      </w:r>
      <w:r w:rsidR="002870D3" w:rsidRPr="00B143B3">
        <w:rPr>
          <w:rFonts w:ascii="Cambria" w:hAnsi="Cambria" w:cs="Arial"/>
          <w:spacing w:val="-2"/>
          <w:sz w:val="20"/>
          <w:szCs w:val="20"/>
          <w:lang w:val="es-ES"/>
        </w:rPr>
        <w:t>hayan tenido en consideración al</w:t>
      </w:r>
      <w:r w:rsidR="009335B9" w:rsidRPr="00B143B3">
        <w:rPr>
          <w:rFonts w:ascii="Cambria" w:hAnsi="Cambria" w:cs="Arial"/>
          <w:spacing w:val="-2"/>
          <w:sz w:val="20"/>
          <w:szCs w:val="20"/>
          <w:lang w:val="es-ES"/>
        </w:rPr>
        <w:t xml:space="preserve"> privar a sus bienes a una persona. Al respecto, la Comisión establece que la presente controversia no gira en torno a  </w:t>
      </w:r>
      <w:r w:rsidR="00832C8E">
        <w:rPr>
          <w:rFonts w:ascii="Cambria" w:hAnsi="Cambria" w:cs="Arial"/>
          <w:spacing w:val="-2"/>
          <w:sz w:val="20"/>
          <w:szCs w:val="20"/>
          <w:lang w:val="es-ES"/>
        </w:rPr>
        <w:t xml:space="preserve">las </w:t>
      </w:r>
      <w:r w:rsidR="00037BBE" w:rsidRPr="00B143B3">
        <w:rPr>
          <w:rFonts w:ascii="Cambria" w:hAnsi="Cambria" w:cs="Arial"/>
          <w:spacing w:val="-2"/>
          <w:sz w:val="20"/>
          <w:szCs w:val="20"/>
          <w:lang w:val="es-ES"/>
        </w:rPr>
        <w:t xml:space="preserve">mencionadas </w:t>
      </w:r>
      <w:r w:rsidR="009335B9" w:rsidRPr="00B143B3">
        <w:rPr>
          <w:rFonts w:ascii="Cambria" w:hAnsi="Cambria" w:cs="Arial"/>
          <w:spacing w:val="-2"/>
          <w:sz w:val="20"/>
          <w:szCs w:val="20"/>
          <w:lang w:val="es-ES"/>
        </w:rPr>
        <w:t>razon</w:t>
      </w:r>
      <w:r w:rsidR="00037BBE" w:rsidRPr="00B143B3">
        <w:rPr>
          <w:rFonts w:ascii="Cambria" w:hAnsi="Cambria" w:cs="Arial"/>
          <w:spacing w:val="-2"/>
          <w:sz w:val="20"/>
          <w:szCs w:val="20"/>
          <w:lang w:val="es-ES"/>
        </w:rPr>
        <w:t>es</w:t>
      </w:r>
      <w:r w:rsidR="009335B9" w:rsidRPr="00B143B3">
        <w:rPr>
          <w:rFonts w:ascii="Cambria" w:hAnsi="Cambria" w:cs="Arial"/>
          <w:spacing w:val="-2"/>
          <w:sz w:val="20"/>
          <w:szCs w:val="20"/>
          <w:lang w:val="es-ES"/>
        </w:rPr>
        <w:t>.</w:t>
      </w:r>
    </w:p>
    <w:p w:rsidR="009335B9" w:rsidRPr="00B143B3" w:rsidRDefault="009335B9" w:rsidP="00BB1D25">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pacing w:val="-2"/>
          <w:sz w:val="20"/>
          <w:szCs w:val="20"/>
          <w:lang w:val="es-ES"/>
        </w:rPr>
      </w:pPr>
    </w:p>
    <w:p w:rsidR="001133CE" w:rsidRPr="00B143B3" w:rsidRDefault="009335B9" w:rsidP="001133CE">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
        </w:rPr>
      </w:pPr>
      <w:r w:rsidRPr="00B143B3">
        <w:rPr>
          <w:rFonts w:ascii="Cambria" w:hAnsi="Cambria" w:cs="Arial"/>
          <w:spacing w:val="-2"/>
          <w:sz w:val="20"/>
          <w:szCs w:val="20"/>
          <w:lang w:val="es-ES"/>
        </w:rPr>
        <w:t xml:space="preserve">Respecto de la competencia </w:t>
      </w:r>
      <w:r w:rsidRPr="00B143B3">
        <w:rPr>
          <w:rFonts w:ascii="Cambria" w:hAnsi="Cambria" w:cs="Arial"/>
          <w:i/>
          <w:spacing w:val="-2"/>
          <w:sz w:val="20"/>
          <w:szCs w:val="20"/>
          <w:lang w:val="es-ES"/>
        </w:rPr>
        <w:t>ratione temporis</w:t>
      </w:r>
      <w:r w:rsidRPr="00B143B3">
        <w:rPr>
          <w:rFonts w:ascii="Cambria" w:hAnsi="Cambria" w:cs="Arial"/>
          <w:spacing w:val="-2"/>
          <w:sz w:val="20"/>
          <w:szCs w:val="20"/>
          <w:lang w:val="es-ES"/>
        </w:rPr>
        <w:t xml:space="preserve">, la Comisión observa que </w:t>
      </w:r>
      <w:r w:rsidR="00FB7670" w:rsidRPr="00B143B3">
        <w:rPr>
          <w:rFonts w:ascii="Cambria" w:hAnsi="Cambria" w:cs="Arial"/>
          <w:spacing w:val="-2"/>
          <w:sz w:val="20"/>
          <w:szCs w:val="20"/>
          <w:lang w:val="es-ES"/>
        </w:rPr>
        <w:t xml:space="preserve">Chile es un Estado parte de la </w:t>
      </w:r>
      <w:r w:rsidRPr="00B143B3">
        <w:rPr>
          <w:rFonts w:ascii="Cambria" w:hAnsi="Cambria" w:cs="Arial"/>
          <w:spacing w:val="-2"/>
          <w:sz w:val="20"/>
          <w:szCs w:val="20"/>
          <w:lang w:val="es-ES"/>
        </w:rPr>
        <w:t>Convención Americana</w:t>
      </w:r>
      <w:r w:rsidR="00FB7670" w:rsidRPr="00B143B3">
        <w:rPr>
          <w:rFonts w:ascii="Cambria" w:hAnsi="Cambria" w:cs="Arial"/>
          <w:spacing w:val="-2"/>
          <w:sz w:val="20"/>
          <w:szCs w:val="20"/>
          <w:lang w:val="es-ES"/>
        </w:rPr>
        <w:t xml:space="preserve"> desde el 21 de agosto de 1990, fecha en que depositó </w:t>
      </w:r>
      <w:r w:rsidR="00272DE7" w:rsidRPr="00B143B3">
        <w:rPr>
          <w:rFonts w:ascii="Cambria" w:hAnsi="Cambria" w:cs="Arial"/>
          <w:spacing w:val="-2"/>
          <w:sz w:val="20"/>
          <w:szCs w:val="20"/>
          <w:lang w:val="es-ES"/>
        </w:rPr>
        <w:t xml:space="preserve">su instrumento de ratificación. </w:t>
      </w:r>
      <w:r w:rsidR="008723D8" w:rsidRPr="00B143B3">
        <w:rPr>
          <w:rFonts w:ascii="Cambria" w:hAnsi="Cambria" w:cs="Arial"/>
          <w:spacing w:val="-2"/>
          <w:sz w:val="20"/>
          <w:szCs w:val="20"/>
          <w:lang w:val="es-ES"/>
        </w:rPr>
        <w:t>Al respecto</w:t>
      </w:r>
      <w:r w:rsidR="00AE218E" w:rsidRPr="00B143B3">
        <w:rPr>
          <w:rFonts w:ascii="Cambria" w:hAnsi="Cambria" w:cs="Arial"/>
          <w:spacing w:val="-2"/>
          <w:sz w:val="20"/>
          <w:szCs w:val="20"/>
          <w:lang w:val="es-ES"/>
        </w:rPr>
        <w:t xml:space="preserve">, </w:t>
      </w:r>
      <w:r w:rsidR="00B67EAC" w:rsidRPr="00B143B3">
        <w:rPr>
          <w:rFonts w:ascii="Cambria" w:hAnsi="Cambria" w:cs="Arial"/>
          <w:spacing w:val="-2"/>
          <w:sz w:val="20"/>
          <w:szCs w:val="20"/>
          <w:lang w:val="es-ES"/>
        </w:rPr>
        <w:t xml:space="preserve">el Estado chileno señala que </w:t>
      </w:r>
      <w:r w:rsidR="00F705C6" w:rsidRPr="00B143B3">
        <w:rPr>
          <w:rFonts w:ascii="Cambria" w:hAnsi="Cambria" w:cs="Arial"/>
          <w:spacing w:val="-2"/>
          <w:sz w:val="20"/>
          <w:szCs w:val="20"/>
          <w:lang w:val="es-ES"/>
        </w:rPr>
        <w:t>no sería</w:t>
      </w:r>
      <w:r w:rsidR="00F90B94" w:rsidRPr="00B143B3">
        <w:rPr>
          <w:rFonts w:ascii="Cambria" w:hAnsi="Cambria" w:cs="Arial"/>
          <w:spacing w:val="-2"/>
          <w:sz w:val="20"/>
          <w:szCs w:val="20"/>
          <w:lang w:val="es-ES"/>
        </w:rPr>
        <w:t xml:space="preserve"> responsable,</w:t>
      </w:r>
      <w:r w:rsidR="00F705C6" w:rsidRPr="00B143B3">
        <w:rPr>
          <w:rFonts w:ascii="Cambria" w:hAnsi="Cambria" w:cs="Arial"/>
          <w:spacing w:val="-2"/>
          <w:sz w:val="20"/>
          <w:szCs w:val="20"/>
          <w:lang w:val="es-ES"/>
        </w:rPr>
        <w:t xml:space="preserve"> </w:t>
      </w:r>
      <w:r w:rsidR="00F90B94" w:rsidRPr="00B143B3">
        <w:rPr>
          <w:rFonts w:ascii="Cambria" w:hAnsi="Cambria" w:cs="Arial"/>
          <w:spacing w:val="-2"/>
          <w:sz w:val="20"/>
          <w:szCs w:val="20"/>
          <w:lang w:val="es-ES"/>
        </w:rPr>
        <w:t>en el marco de la Convención Americana, por violaciones cuyo principio de ejecución se originó entre 1973 y 1974</w:t>
      </w:r>
      <w:r w:rsidR="00B67EAC" w:rsidRPr="00B143B3">
        <w:rPr>
          <w:rFonts w:ascii="Cambria" w:hAnsi="Cambria" w:cs="Arial"/>
          <w:spacing w:val="-2"/>
          <w:sz w:val="20"/>
          <w:szCs w:val="20"/>
          <w:lang w:val="es-ES"/>
        </w:rPr>
        <w:t xml:space="preserve">. </w:t>
      </w:r>
      <w:r w:rsidR="00AC558D" w:rsidRPr="00B143B3">
        <w:rPr>
          <w:rFonts w:ascii="Cambria" w:hAnsi="Cambria" w:cs="Arial"/>
          <w:spacing w:val="-2"/>
          <w:sz w:val="20"/>
          <w:szCs w:val="20"/>
          <w:lang w:val="es-ES"/>
        </w:rPr>
        <w:t xml:space="preserve">Sin embargo, </w:t>
      </w:r>
      <w:r w:rsidR="004659A0" w:rsidRPr="00B143B3">
        <w:rPr>
          <w:rFonts w:ascii="Cambria" w:hAnsi="Cambria" w:cs="Arial"/>
          <w:spacing w:val="-2"/>
          <w:sz w:val="20"/>
          <w:szCs w:val="20"/>
          <w:lang w:val="es-ES"/>
        </w:rPr>
        <w:t xml:space="preserve">el peticionario subrayó que </w:t>
      </w:r>
      <w:r w:rsidR="004659A0" w:rsidRPr="00B143B3">
        <w:rPr>
          <w:rFonts w:ascii="Cambria" w:hAnsi="Cambria"/>
          <w:sz w:val="20"/>
          <w:szCs w:val="20"/>
          <w:lang w:val="es-ES"/>
        </w:rPr>
        <w:t>sus</w:t>
      </w:r>
      <w:r w:rsidR="00AE218E" w:rsidRPr="00B143B3">
        <w:rPr>
          <w:rFonts w:ascii="Cambria" w:hAnsi="Cambria"/>
          <w:sz w:val="20"/>
          <w:szCs w:val="20"/>
          <w:lang w:val="es-ES"/>
        </w:rPr>
        <w:t xml:space="preserve"> alegatos </w:t>
      </w:r>
      <w:r w:rsidR="0075265D" w:rsidRPr="00B143B3">
        <w:rPr>
          <w:rFonts w:ascii="Cambria" w:hAnsi="Cambria"/>
          <w:sz w:val="20"/>
          <w:szCs w:val="20"/>
          <w:lang w:val="es-ES"/>
        </w:rPr>
        <w:t>se refieren</w:t>
      </w:r>
      <w:r w:rsidR="004659A0" w:rsidRPr="00B143B3">
        <w:rPr>
          <w:rFonts w:ascii="Cambria" w:hAnsi="Cambria"/>
          <w:sz w:val="20"/>
          <w:szCs w:val="20"/>
          <w:lang w:val="es-ES"/>
        </w:rPr>
        <w:t xml:space="preserve"> a</w:t>
      </w:r>
      <w:r w:rsidR="0075265D" w:rsidRPr="00B143B3">
        <w:rPr>
          <w:rFonts w:ascii="Cambria" w:hAnsi="Cambria"/>
          <w:sz w:val="20"/>
          <w:szCs w:val="20"/>
          <w:lang w:val="es-ES"/>
        </w:rPr>
        <w:t xml:space="preserve"> </w:t>
      </w:r>
      <w:r w:rsidR="00203B8C" w:rsidRPr="00B143B3">
        <w:rPr>
          <w:rFonts w:ascii="Cambria" w:hAnsi="Cambria"/>
          <w:sz w:val="20"/>
          <w:szCs w:val="20"/>
          <w:lang w:val="es-ES"/>
        </w:rPr>
        <w:t>la causa civil</w:t>
      </w:r>
      <w:r w:rsidR="001C4C62" w:rsidRPr="00B143B3">
        <w:rPr>
          <w:rFonts w:ascii="Cambria" w:hAnsi="Cambria"/>
          <w:sz w:val="20"/>
          <w:szCs w:val="20"/>
          <w:lang w:val="es-ES"/>
        </w:rPr>
        <w:t xml:space="preserve"> 3201 </w:t>
      </w:r>
      <w:r w:rsidR="00203B8C" w:rsidRPr="00B143B3">
        <w:rPr>
          <w:rFonts w:ascii="Cambria" w:hAnsi="Cambria"/>
          <w:sz w:val="20"/>
          <w:szCs w:val="20"/>
          <w:lang w:val="es-ES"/>
        </w:rPr>
        <w:t xml:space="preserve">iniciada </w:t>
      </w:r>
      <w:r w:rsidR="00DA37AB" w:rsidRPr="00B143B3">
        <w:rPr>
          <w:rFonts w:ascii="Cambria" w:hAnsi="Cambria"/>
          <w:sz w:val="20"/>
          <w:szCs w:val="20"/>
          <w:lang w:val="es-ES"/>
        </w:rPr>
        <w:t xml:space="preserve">por </w:t>
      </w:r>
      <w:r w:rsidR="004659A0" w:rsidRPr="00B143B3">
        <w:rPr>
          <w:rFonts w:ascii="Cambria" w:hAnsi="Cambria"/>
          <w:sz w:val="20"/>
          <w:szCs w:val="20"/>
          <w:lang w:val="es-ES"/>
        </w:rPr>
        <w:t>él</w:t>
      </w:r>
      <w:r w:rsidR="00DA37AB" w:rsidRPr="00B143B3">
        <w:rPr>
          <w:rFonts w:ascii="Cambria" w:hAnsi="Cambria"/>
          <w:sz w:val="20"/>
          <w:szCs w:val="20"/>
          <w:lang w:val="es-ES"/>
        </w:rPr>
        <w:t xml:space="preserve"> </w:t>
      </w:r>
      <w:r w:rsidR="00203B8C" w:rsidRPr="00B143B3">
        <w:rPr>
          <w:rFonts w:ascii="Cambria" w:hAnsi="Cambria"/>
          <w:sz w:val="20"/>
          <w:szCs w:val="20"/>
          <w:lang w:val="es-ES"/>
        </w:rPr>
        <w:t>el</w:t>
      </w:r>
      <w:r w:rsidR="00710F16" w:rsidRPr="00B143B3">
        <w:rPr>
          <w:rFonts w:ascii="Cambria" w:hAnsi="Cambria"/>
          <w:sz w:val="20"/>
          <w:szCs w:val="20"/>
          <w:lang w:val="es-ES"/>
        </w:rPr>
        <w:t xml:space="preserve"> 7</w:t>
      </w:r>
      <w:r w:rsidR="001C4C62" w:rsidRPr="00B143B3">
        <w:rPr>
          <w:rFonts w:ascii="Cambria" w:hAnsi="Cambria"/>
          <w:sz w:val="20"/>
          <w:szCs w:val="20"/>
          <w:lang w:val="es-ES"/>
        </w:rPr>
        <w:t xml:space="preserve"> de</w:t>
      </w:r>
      <w:r w:rsidR="009E5F07" w:rsidRPr="00B143B3">
        <w:rPr>
          <w:rFonts w:ascii="Cambria" w:hAnsi="Cambria"/>
          <w:sz w:val="20"/>
          <w:szCs w:val="20"/>
          <w:lang w:val="es-ES"/>
        </w:rPr>
        <w:t xml:space="preserve"> </w:t>
      </w:r>
      <w:r w:rsidR="009160C7" w:rsidRPr="00B143B3">
        <w:rPr>
          <w:rFonts w:ascii="Cambria" w:hAnsi="Cambria"/>
          <w:sz w:val="20"/>
          <w:szCs w:val="20"/>
          <w:lang w:val="es-ES"/>
        </w:rPr>
        <w:t xml:space="preserve">septiembre de </w:t>
      </w:r>
      <w:r w:rsidR="009E5F07" w:rsidRPr="00B143B3">
        <w:rPr>
          <w:rFonts w:ascii="Cambria" w:hAnsi="Cambria"/>
          <w:sz w:val="20"/>
          <w:szCs w:val="20"/>
          <w:lang w:val="es-ES"/>
        </w:rPr>
        <w:t>1995 y a</w:t>
      </w:r>
      <w:r w:rsidR="0075265D" w:rsidRPr="00B143B3">
        <w:rPr>
          <w:rFonts w:ascii="Cambria" w:hAnsi="Cambria"/>
          <w:sz w:val="20"/>
          <w:szCs w:val="20"/>
          <w:lang w:val="es-ES"/>
        </w:rPr>
        <w:t xml:space="preserve"> la sentencia</w:t>
      </w:r>
      <w:r w:rsidR="00AE218E" w:rsidRPr="00B143B3">
        <w:rPr>
          <w:rFonts w:ascii="Cambria" w:hAnsi="Cambria"/>
          <w:sz w:val="20"/>
          <w:szCs w:val="20"/>
          <w:lang w:val="es-ES"/>
        </w:rPr>
        <w:t xml:space="preserve"> </w:t>
      </w:r>
      <w:r w:rsidR="0075265D" w:rsidRPr="00B143B3">
        <w:rPr>
          <w:rFonts w:ascii="Cambria" w:hAnsi="Cambria"/>
          <w:sz w:val="20"/>
          <w:szCs w:val="20"/>
          <w:lang w:val="es-ES"/>
        </w:rPr>
        <w:t>de la Corte Suprema</w:t>
      </w:r>
      <w:r w:rsidR="00AE218E" w:rsidRPr="00B143B3">
        <w:rPr>
          <w:rFonts w:ascii="Cambria" w:hAnsi="Cambria"/>
          <w:sz w:val="20"/>
          <w:szCs w:val="20"/>
          <w:lang w:val="es-ES"/>
        </w:rPr>
        <w:t xml:space="preserve"> de Chile</w:t>
      </w:r>
      <w:r w:rsidR="0075265D" w:rsidRPr="00B143B3">
        <w:rPr>
          <w:rFonts w:ascii="Cambria" w:hAnsi="Cambria"/>
          <w:sz w:val="20"/>
          <w:szCs w:val="20"/>
          <w:lang w:val="es-ES"/>
        </w:rPr>
        <w:t xml:space="preserve">, </w:t>
      </w:r>
      <w:r w:rsidR="00AE218E" w:rsidRPr="00B143B3">
        <w:rPr>
          <w:rFonts w:ascii="Cambria" w:hAnsi="Cambria"/>
          <w:sz w:val="20"/>
          <w:szCs w:val="20"/>
          <w:lang w:val="es-ES"/>
        </w:rPr>
        <w:t xml:space="preserve">de </w:t>
      </w:r>
      <w:r w:rsidR="00E54E71" w:rsidRPr="00B143B3">
        <w:rPr>
          <w:rFonts w:ascii="Cambria" w:hAnsi="Cambria"/>
          <w:sz w:val="20"/>
          <w:szCs w:val="20"/>
          <w:lang w:val="es-ES"/>
        </w:rPr>
        <w:t>21 de enero de 2004,</w:t>
      </w:r>
      <w:r w:rsidR="00203B8C" w:rsidRPr="00B143B3">
        <w:rPr>
          <w:rFonts w:ascii="Cambria" w:hAnsi="Cambria"/>
          <w:sz w:val="20"/>
          <w:szCs w:val="20"/>
          <w:lang w:val="es-ES"/>
        </w:rPr>
        <w:t xml:space="preserve"> mediante la cual concluyó dicho proceso civil</w:t>
      </w:r>
      <w:r w:rsidR="004659A0" w:rsidRPr="00B143B3">
        <w:rPr>
          <w:rFonts w:ascii="Cambria" w:hAnsi="Cambria"/>
          <w:sz w:val="20"/>
          <w:szCs w:val="20"/>
          <w:lang w:val="es-ES"/>
        </w:rPr>
        <w:t>;</w:t>
      </w:r>
      <w:r w:rsidR="00AE218E" w:rsidRPr="00B143B3">
        <w:rPr>
          <w:rFonts w:ascii="Cambria" w:hAnsi="Cambria"/>
          <w:sz w:val="20"/>
          <w:szCs w:val="20"/>
          <w:lang w:val="es-ES"/>
        </w:rPr>
        <w:t xml:space="preserve"> fecha</w:t>
      </w:r>
      <w:r w:rsidR="00CA4052" w:rsidRPr="00B143B3">
        <w:rPr>
          <w:rFonts w:ascii="Cambria" w:hAnsi="Cambria"/>
          <w:sz w:val="20"/>
          <w:szCs w:val="20"/>
          <w:lang w:val="es-ES"/>
        </w:rPr>
        <w:t>s</w:t>
      </w:r>
      <w:r w:rsidR="00AE218E" w:rsidRPr="00B143B3">
        <w:rPr>
          <w:rFonts w:ascii="Cambria" w:hAnsi="Cambria"/>
          <w:sz w:val="20"/>
          <w:szCs w:val="20"/>
          <w:lang w:val="es-ES"/>
        </w:rPr>
        <w:t xml:space="preserve"> en que</w:t>
      </w:r>
      <w:r w:rsidR="0075265D" w:rsidRPr="00B143B3">
        <w:rPr>
          <w:rFonts w:ascii="Cambria" w:hAnsi="Cambria"/>
          <w:sz w:val="20"/>
          <w:szCs w:val="20"/>
          <w:lang w:val="es-ES"/>
        </w:rPr>
        <w:t xml:space="preserve"> la Convención ya </w:t>
      </w:r>
      <w:r w:rsidR="00AE218E" w:rsidRPr="00B143B3">
        <w:rPr>
          <w:rFonts w:ascii="Cambria" w:hAnsi="Cambria"/>
          <w:sz w:val="20"/>
          <w:szCs w:val="20"/>
          <w:lang w:val="es-ES"/>
        </w:rPr>
        <w:t>se encontraba en vig</w:t>
      </w:r>
      <w:r w:rsidR="00F705C6" w:rsidRPr="00B143B3">
        <w:rPr>
          <w:rFonts w:ascii="Cambria" w:hAnsi="Cambria"/>
          <w:sz w:val="20"/>
          <w:szCs w:val="20"/>
          <w:lang w:val="es-ES"/>
        </w:rPr>
        <w:t>or</w:t>
      </w:r>
      <w:r w:rsidR="0075265D" w:rsidRPr="00B143B3">
        <w:rPr>
          <w:rFonts w:ascii="Cambria" w:hAnsi="Cambria"/>
          <w:sz w:val="20"/>
          <w:szCs w:val="20"/>
          <w:lang w:val="es-ES"/>
        </w:rPr>
        <w:t xml:space="preserve"> para </w:t>
      </w:r>
      <w:r w:rsidR="00AE218E" w:rsidRPr="00B143B3">
        <w:rPr>
          <w:rFonts w:ascii="Cambria" w:hAnsi="Cambria"/>
          <w:sz w:val="20"/>
          <w:szCs w:val="20"/>
          <w:lang w:val="es-ES"/>
        </w:rPr>
        <w:t>el Estado chileno</w:t>
      </w:r>
      <w:r w:rsidR="0075265D" w:rsidRPr="00B143B3">
        <w:rPr>
          <w:rFonts w:ascii="Cambria" w:hAnsi="Cambria"/>
          <w:sz w:val="20"/>
          <w:szCs w:val="20"/>
          <w:lang w:val="es-ES"/>
        </w:rPr>
        <w:t xml:space="preserve">. </w:t>
      </w:r>
    </w:p>
    <w:p w:rsidR="001133CE" w:rsidRDefault="001133CE" w:rsidP="001133CE">
      <w:pPr>
        <w:pStyle w:val="ListParagraph"/>
        <w:rPr>
          <w:sz w:val="20"/>
          <w:szCs w:val="20"/>
          <w:lang w:val="es-ES"/>
        </w:rPr>
      </w:pPr>
    </w:p>
    <w:p w:rsidR="00905D8A" w:rsidRPr="001133CE" w:rsidRDefault="00DA37AB" w:rsidP="001133CE">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
        </w:rPr>
      </w:pPr>
      <w:r w:rsidRPr="001133CE">
        <w:rPr>
          <w:rFonts w:ascii="Cambria" w:hAnsi="Cambria"/>
          <w:sz w:val="20"/>
          <w:szCs w:val="20"/>
          <w:lang w:val="es-ES"/>
        </w:rPr>
        <w:t>En efecto, s</w:t>
      </w:r>
      <w:r w:rsidR="00F705C6" w:rsidRPr="001133CE">
        <w:rPr>
          <w:rFonts w:ascii="Cambria" w:hAnsi="Cambria"/>
          <w:sz w:val="20"/>
          <w:szCs w:val="20"/>
          <w:lang w:val="es-ES"/>
        </w:rPr>
        <w:t xml:space="preserve">egún se desprende del expediente, </w:t>
      </w:r>
      <w:r w:rsidR="00F705C6" w:rsidRPr="001133CE">
        <w:rPr>
          <w:rFonts w:ascii="Cambria" w:hAnsi="Cambria"/>
          <w:sz w:val="20"/>
          <w:szCs w:val="20"/>
          <w:u w:color="000000"/>
          <w:lang w:val="es-ES"/>
        </w:rPr>
        <w:t xml:space="preserve">la totalidad del proceso judicial que constituye el objeto de la </w:t>
      </w:r>
      <w:r w:rsidR="00C523AB" w:rsidRPr="001133CE">
        <w:rPr>
          <w:rFonts w:ascii="Cambria" w:hAnsi="Cambria"/>
          <w:sz w:val="20"/>
          <w:szCs w:val="20"/>
          <w:u w:color="000000"/>
          <w:lang w:val="es-ES"/>
        </w:rPr>
        <w:t xml:space="preserve">presente </w:t>
      </w:r>
      <w:r w:rsidR="00AF7BBD" w:rsidRPr="001133CE">
        <w:rPr>
          <w:rFonts w:ascii="Cambria" w:hAnsi="Cambria"/>
          <w:sz w:val="20"/>
          <w:szCs w:val="20"/>
          <w:u w:color="000000"/>
          <w:lang w:val="es-ES"/>
        </w:rPr>
        <w:t xml:space="preserve">denuncia </w:t>
      </w:r>
      <w:r w:rsidR="00F705C6" w:rsidRPr="001133CE">
        <w:rPr>
          <w:rFonts w:ascii="Cambria" w:hAnsi="Cambria"/>
          <w:sz w:val="20"/>
          <w:szCs w:val="20"/>
          <w:u w:color="000000"/>
          <w:lang w:val="es-ES"/>
        </w:rPr>
        <w:t>se desarrolló con posterioridad a la fecha de la ratificación de la Convención Americana</w:t>
      </w:r>
      <w:r w:rsidR="001133CE" w:rsidRPr="001133CE">
        <w:rPr>
          <w:rFonts w:ascii="Cambria" w:hAnsi="Cambria"/>
          <w:sz w:val="20"/>
          <w:szCs w:val="20"/>
          <w:u w:color="000000"/>
          <w:lang w:val="es-ES"/>
        </w:rPr>
        <w:t>, por lo que ya estaba en vigor para el Estado chileno la obligación de respetar y garantizar los derechos consagrados en la Convención Americana</w:t>
      </w:r>
      <w:r w:rsidR="00F705C6" w:rsidRPr="001133CE">
        <w:rPr>
          <w:rFonts w:ascii="Cambria" w:hAnsi="Cambria"/>
          <w:sz w:val="20"/>
          <w:szCs w:val="20"/>
          <w:u w:color="000000"/>
          <w:lang w:val="es-ES"/>
        </w:rPr>
        <w:t xml:space="preserve">. </w:t>
      </w:r>
      <w:r w:rsidRPr="001133CE">
        <w:rPr>
          <w:rFonts w:ascii="Cambria" w:hAnsi="Cambria"/>
          <w:sz w:val="20"/>
          <w:szCs w:val="20"/>
          <w:u w:color="000000"/>
          <w:lang w:val="es-ES"/>
        </w:rPr>
        <w:t>L</w:t>
      </w:r>
      <w:r w:rsidR="00F705C6" w:rsidRPr="001133CE">
        <w:rPr>
          <w:rFonts w:ascii="Cambria" w:hAnsi="Cambria"/>
          <w:sz w:val="20"/>
          <w:szCs w:val="20"/>
          <w:u w:color="000000"/>
          <w:lang w:val="es-ES"/>
        </w:rPr>
        <w:t xml:space="preserve">a </w:t>
      </w:r>
      <w:r w:rsidR="001133CE" w:rsidRPr="001133CE">
        <w:rPr>
          <w:rFonts w:ascii="Cambria" w:hAnsi="Cambria"/>
          <w:sz w:val="20"/>
          <w:szCs w:val="20"/>
          <w:u w:color="000000"/>
          <w:lang w:val="es-ES"/>
        </w:rPr>
        <w:t>causa</w:t>
      </w:r>
      <w:r w:rsidR="005F1857" w:rsidRPr="001133CE">
        <w:rPr>
          <w:rFonts w:ascii="Cambria" w:hAnsi="Cambria"/>
          <w:sz w:val="20"/>
          <w:szCs w:val="20"/>
          <w:u w:color="000000"/>
          <w:lang w:val="es-ES"/>
        </w:rPr>
        <w:t xml:space="preserve"> civil </w:t>
      </w:r>
      <w:r w:rsidR="001133CE" w:rsidRPr="001133CE">
        <w:rPr>
          <w:rFonts w:ascii="Cambria" w:hAnsi="Cambria"/>
          <w:sz w:val="20"/>
          <w:szCs w:val="20"/>
          <w:u w:color="000000"/>
          <w:lang w:val="es-ES"/>
        </w:rPr>
        <w:t>inició a instancias de</w:t>
      </w:r>
      <w:r w:rsidR="00AF7BBD" w:rsidRPr="001133CE">
        <w:rPr>
          <w:rFonts w:ascii="Cambria" w:hAnsi="Cambria"/>
          <w:sz w:val="20"/>
          <w:szCs w:val="20"/>
          <w:u w:color="000000"/>
          <w:lang w:val="es-ES"/>
        </w:rPr>
        <w:t xml:space="preserve">l peticionario </w:t>
      </w:r>
      <w:r w:rsidR="005F1857" w:rsidRPr="001133CE">
        <w:rPr>
          <w:rFonts w:ascii="Cambria" w:hAnsi="Cambria"/>
          <w:sz w:val="20"/>
          <w:szCs w:val="20"/>
          <w:u w:color="000000"/>
          <w:lang w:val="es-ES"/>
        </w:rPr>
        <w:t>en 1995</w:t>
      </w:r>
      <w:r w:rsidR="00F705C6" w:rsidRPr="001133CE">
        <w:rPr>
          <w:rFonts w:ascii="Cambria" w:hAnsi="Cambria"/>
          <w:sz w:val="20"/>
          <w:szCs w:val="20"/>
          <w:u w:color="000000"/>
          <w:lang w:val="es-ES"/>
        </w:rPr>
        <w:t xml:space="preserve"> y </w:t>
      </w:r>
      <w:r w:rsidR="001133CE" w:rsidRPr="001133CE">
        <w:rPr>
          <w:rFonts w:ascii="Cambria" w:hAnsi="Cambria"/>
          <w:sz w:val="20"/>
          <w:szCs w:val="20"/>
          <w:u w:color="000000"/>
          <w:lang w:val="es-ES"/>
        </w:rPr>
        <w:t>concluyó con la decisión de</w:t>
      </w:r>
      <w:r w:rsidR="00F705C6" w:rsidRPr="001133CE">
        <w:rPr>
          <w:rFonts w:ascii="Cambria" w:hAnsi="Cambria"/>
          <w:sz w:val="20"/>
          <w:szCs w:val="20"/>
          <w:u w:color="000000"/>
          <w:lang w:val="es-ES"/>
        </w:rPr>
        <w:t xml:space="preserve"> la </w:t>
      </w:r>
      <w:r w:rsidR="00C523AB" w:rsidRPr="001133CE">
        <w:rPr>
          <w:rFonts w:ascii="Cambria" w:hAnsi="Cambria"/>
          <w:sz w:val="20"/>
          <w:szCs w:val="20"/>
          <w:u w:color="000000"/>
          <w:lang w:val="es-ES"/>
        </w:rPr>
        <w:t xml:space="preserve">Corte Suprema </w:t>
      </w:r>
      <w:r w:rsidR="00F21CF3" w:rsidRPr="001133CE">
        <w:rPr>
          <w:rFonts w:ascii="Cambria" w:hAnsi="Cambria"/>
          <w:sz w:val="20"/>
          <w:szCs w:val="20"/>
          <w:u w:color="000000"/>
          <w:lang w:val="es-ES"/>
        </w:rPr>
        <w:t xml:space="preserve">de Justicia </w:t>
      </w:r>
      <w:r w:rsidR="00C523AB" w:rsidRPr="001133CE">
        <w:rPr>
          <w:rFonts w:ascii="Cambria" w:hAnsi="Cambria"/>
          <w:sz w:val="20"/>
          <w:szCs w:val="20"/>
          <w:u w:color="000000"/>
          <w:lang w:val="es-ES"/>
        </w:rPr>
        <w:t xml:space="preserve">de Chile </w:t>
      </w:r>
      <w:r w:rsidR="001133CE" w:rsidRPr="001133CE">
        <w:rPr>
          <w:rFonts w:ascii="Cambria" w:hAnsi="Cambria"/>
          <w:sz w:val="20"/>
          <w:szCs w:val="20"/>
          <w:u w:color="000000"/>
          <w:lang w:val="es-ES"/>
        </w:rPr>
        <w:t>de</w:t>
      </w:r>
      <w:r w:rsidR="00F705C6" w:rsidRPr="001133CE">
        <w:rPr>
          <w:rFonts w:ascii="Cambria" w:hAnsi="Cambria"/>
          <w:sz w:val="20"/>
          <w:szCs w:val="20"/>
          <w:u w:color="000000"/>
          <w:lang w:val="es-ES"/>
        </w:rPr>
        <w:t xml:space="preserve"> 21 de enero de 2004, </w:t>
      </w:r>
      <w:r w:rsidR="001133CE" w:rsidRPr="001133CE">
        <w:rPr>
          <w:rFonts w:ascii="Cambria" w:hAnsi="Cambria"/>
          <w:sz w:val="20"/>
          <w:szCs w:val="20"/>
          <w:u w:color="000000"/>
          <w:lang w:val="es-ES"/>
        </w:rPr>
        <w:t xml:space="preserve"> mediante la cual negó a las presuntas víctimas– con base en la aplicación de la prescripción de la acción civil- acceso a una </w:t>
      </w:r>
      <w:r w:rsidR="001133CE" w:rsidRPr="001133CE">
        <w:rPr>
          <w:rFonts w:ascii="Cambria" w:hAnsi="Cambria"/>
          <w:sz w:val="20"/>
          <w:szCs w:val="20"/>
          <w:u w:color="000000"/>
          <w:lang w:val="es-ES"/>
        </w:rPr>
        <w:lastRenderedPageBreak/>
        <w:t>reparación pecuniaria que los indemnizara por acciones emprendidas en su contra tras el golpe de 11 de septiembre de 197</w:t>
      </w:r>
      <w:r w:rsidR="006904EE">
        <w:rPr>
          <w:rFonts w:ascii="Cambria" w:hAnsi="Cambria"/>
          <w:sz w:val="20"/>
          <w:szCs w:val="20"/>
          <w:u w:color="000000"/>
          <w:lang w:val="es-ES"/>
        </w:rPr>
        <w:t>3</w:t>
      </w:r>
      <w:r w:rsidR="001133CE" w:rsidRPr="001133CE">
        <w:rPr>
          <w:rFonts w:ascii="Cambria" w:hAnsi="Cambria"/>
          <w:sz w:val="20"/>
          <w:szCs w:val="20"/>
          <w:u w:color="000000"/>
          <w:lang w:val="es-ES"/>
        </w:rPr>
        <w:t xml:space="preserve">. </w:t>
      </w:r>
      <w:r w:rsidR="00AE218E" w:rsidRPr="001133CE">
        <w:rPr>
          <w:rFonts w:ascii="Cambria" w:hAnsi="Cambria"/>
          <w:sz w:val="20"/>
          <w:szCs w:val="20"/>
          <w:lang w:val="es-ES"/>
        </w:rPr>
        <w:t xml:space="preserve">De este modo, </w:t>
      </w:r>
      <w:r w:rsidR="00654810" w:rsidRPr="001133CE">
        <w:rPr>
          <w:rFonts w:ascii="Cambria" w:hAnsi="Cambria"/>
          <w:sz w:val="20"/>
          <w:szCs w:val="20"/>
          <w:lang w:val="es-ES"/>
        </w:rPr>
        <w:t>y como ha expresado en otras oportunidades</w:t>
      </w:r>
      <w:r w:rsidR="00654810" w:rsidRPr="001133CE">
        <w:rPr>
          <w:rStyle w:val="FootnoteReference"/>
          <w:rFonts w:ascii="Cambria" w:hAnsi="Cambria"/>
          <w:sz w:val="20"/>
          <w:szCs w:val="20"/>
          <w:lang w:val="es-ES"/>
        </w:rPr>
        <w:footnoteReference w:id="3"/>
      </w:r>
      <w:r w:rsidR="00F21CF3" w:rsidRPr="001133CE">
        <w:rPr>
          <w:rFonts w:ascii="Cambria" w:hAnsi="Cambria"/>
          <w:sz w:val="20"/>
          <w:szCs w:val="20"/>
          <w:lang w:val="es-ES"/>
        </w:rPr>
        <w:t xml:space="preserve">, </w:t>
      </w:r>
      <w:r w:rsidR="00654810" w:rsidRPr="001133CE">
        <w:rPr>
          <w:rFonts w:ascii="Cambria" w:hAnsi="Cambria"/>
          <w:sz w:val="20"/>
          <w:szCs w:val="20"/>
          <w:lang w:val="es-ES"/>
        </w:rPr>
        <w:t xml:space="preserve">aunque reconoce que las alegadas violaciones al </w:t>
      </w:r>
      <w:r w:rsidR="001133CE" w:rsidRPr="001133CE">
        <w:rPr>
          <w:rFonts w:ascii="Cambria" w:hAnsi="Cambria"/>
          <w:sz w:val="20"/>
          <w:szCs w:val="20"/>
          <w:lang w:val="es-ES"/>
        </w:rPr>
        <w:t xml:space="preserve">derecho de </w:t>
      </w:r>
      <w:r w:rsidR="00654810" w:rsidRPr="001133CE">
        <w:rPr>
          <w:rFonts w:ascii="Cambria" w:hAnsi="Cambria"/>
          <w:sz w:val="20"/>
          <w:szCs w:val="20"/>
          <w:lang w:val="es-ES"/>
        </w:rPr>
        <w:t xml:space="preserve">acceso a la justicia, </w:t>
      </w:r>
      <w:r w:rsidR="001133CE" w:rsidRPr="001133CE">
        <w:rPr>
          <w:rFonts w:ascii="Cambria" w:hAnsi="Cambria"/>
          <w:sz w:val="20"/>
          <w:szCs w:val="20"/>
          <w:lang w:val="es-ES"/>
        </w:rPr>
        <w:t xml:space="preserve">derecho a la </w:t>
      </w:r>
      <w:r w:rsidR="00654810" w:rsidRPr="001133CE">
        <w:rPr>
          <w:rFonts w:ascii="Cambria" w:hAnsi="Cambria"/>
          <w:sz w:val="20"/>
          <w:szCs w:val="20"/>
          <w:lang w:val="es-ES"/>
        </w:rPr>
        <w:t xml:space="preserve">propiedad y </w:t>
      </w:r>
      <w:r w:rsidR="001133CE" w:rsidRPr="001133CE">
        <w:rPr>
          <w:rFonts w:ascii="Cambria" w:hAnsi="Cambria"/>
          <w:sz w:val="20"/>
          <w:szCs w:val="20"/>
          <w:lang w:val="es-ES"/>
        </w:rPr>
        <w:t xml:space="preserve">derecho a la </w:t>
      </w:r>
      <w:r w:rsidR="00654810" w:rsidRPr="001133CE">
        <w:rPr>
          <w:rFonts w:ascii="Cambria" w:hAnsi="Cambria"/>
          <w:sz w:val="20"/>
          <w:szCs w:val="20"/>
          <w:lang w:val="es-ES"/>
        </w:rPr>
        <w:t>libertad de expresión no h</w:t>
      </w:r>
      <w:r w:rsidR="001133CE" w:rsidRPr="001133CE">
        <w:rPr>
          <w:rFonts w:ascii="Cambria" w:hAnsi="Cambria"/>
          <w:sz w:val="20"/>
          <w:szCs w:val="20"/>
          <w:lang w:val="es-ES"/>
        </w:rPr>
        <w:t xml:space="preserve">abrían </w:t>
      </w:r>
      <w:r w:rsidR="00654810" w:rsidRPr="001133CE">
        <w:rPr>
          <w:rFonts w:ascii="Cambria" w:hAnsi="Cambria"/>
          <w:sz w:val="20"/>
          <w:szCs w:val="20"/>
          <w:lang w:val="es-ES"/>
        </w:rPr>
        <w:t xml:space="preserve">podido haber ocurrido sin el antecedente de la disolución </w:t>
      </w:r>
      <w:r w:rsidRPr="001133CE">
        <w:rPr>
          <w:rFonts w:ascii="Cambria" w:hAnsi="Cambria"/>
          <w:sz w:val="20"/>
          <w:szCs w:val="20"/>
          <w:lang w:val="es-ES"/>
        </w:rPr>
        <w:t xml:space="preserve">y confiscación de los bienes </w:t>
      </w:r>
      <w:r w:rsidR="00654810" w:rsidRPr="001133CE">
        <w:rPr>
          <w:rFonts w:ascii="Cambria" w:hAnsi="Cambria"/>
          <w:sz w:val="20"/>
          <w:szCs w:val="20"/>
          <w:lang w:val="es-ES"/>
        </w:rPr>
        <w:t xml:space="preserve">de la radio </w:t>
      </w:r>
      <w:r w:rsidR="00654810" w:rsidRPr="001133CE">
        <w:rPr>
          <w:rFonts w:ascii="Cambria" w:hAnsi="Cambria"/>
          <w:i/>
          <w:sz w:val="20"/>
          <w:szCs w:val="20"/>
          <w:lang w:val="es-ES"/>
        </w:rPr>
        <w:t>La</w:t>
      </w:r>
      <w:r w:rsidRPr="001133CE">
        <w:rPr>
          <w:rFonts w:ascii="Cambria" w:hAnsi="Cambria"/>
          <w:i/>
          <w:sz w:val="20"/>
          <w:szCs w:val="20"/>
          <w:lang w:val="es-ES"/>
        </w:rPr>
        <w:t xml:space="preserve"> Voz del Sur</w:t>
      </w:r>
      <w:r w:rsidR="00654810" w:rsidRPr="001133CE">
        <w:rPr>
          <w:rFonts w:ascii="Cambria" w:hAnsi="Cambria"/>
          <w:sz w:val="20"/>
          <w:szCs w:val="20"/>
          <w:lang w:val="es-ES"/>
        </w:rPr>
        <w:t xml:space="preserve">, </w:t>
      </w:r>
      <w:r w:rsidR="005C2BF0" w:rsidRPr="001133CE">
        <w:rPr>
          <w:rFonts w:ascii="Cambria" w:hAnsi="Cambria"/>
          <w:sz w:val="20"/>
          <w:szCs w:val="20"/>
          <w:lang w:val="es-ES"/>
        </w:rPr>
        <w:t>en opinión de la</w:t>
      </w:r>
      <w:r w:rsidR="0075265D" w:rsidRPr="001133CE">
        <w:rPr>
          <w:rFonts w:ascii="Cambria" w:hAnsi="Cambria"/>
          <w:sz w:val="20"/>
          <w:szCs w:val="20"/>
          <w:lang w:val="es-ES"/>
        </w:rPr>
        <w:t xml:space="preserve"> Comisión</w:t>
      </w:r>
      <w:r w:rsidRPr="001133CE">
        <w:rPr>
          <w:rFonts w:ascii="Cambria" w:hAnsi="Cambria"/>
          <w:sz w:val="20"/>
          <w:szCs w:val="20"/>
          <w:lang w:val="es-ES"/>
        </w:rPr>
        <w:t>,</w:t>
      </w:r>
      <w:r w:rsidR="0075265D" w:rsidRPr="001133CE">
        <w:rPr>
          <w:rFonts w:ascii="Cambria" w:hAnsi="Cambria"/>
          <w:sz w:val="20"/>
          <w:szCs w:val="20"/>
          <w:lang w:val="es-ES"/>
        </w:rPr>
        <w:t xml:space="preserve"> </w:t>
      </w:r>
      <w:r w:rsidR="005C2BF0" w:rsidRPr="001133CE">
        <w:rPr>
          <w:rFonts w:ascii="Cambria" w:hAnsi="Cambria"/>
          <w:sz w:val="20"/>
          <w:szCs w:val="20"/>
          <w:lang w:val="es-ES"/>
        </w:rPr>
        <w:t xml:space="preserve">las actuaciones judiciales </w:t>
      </w:r>
      <w:r w:rsidR="006C7ECF" w:rsidRPr="001133CE">
        <w:rPr>
          <w:rFonts w:ascii="Cambria" w:hAnsi="Cambria"/>
          <w:sz w:val="20"/>
          <w:szCs w:val="20"/>
          <w:lang w:val="es-ES"/>
        </w:rPr>
        <w:t>iniciadas</w:t>
      </w:r>
      <w:r w:rsidR="005C2BF0" w:rsidRPr="001133CE">
        <w:rPr>
          <w:rFonts w:ascii="Cambria" w:hAnsi="Cambria"/>
          <w:sz w:val="20"/>
          <w:szCs w:val="20"/>
          <w:lang w:val="es-ES"/>
        </w:rPr>
        <w:t xml:space="preserve"> por el peticionario en 1995 constituyen hechos independientes </w:t>
      </w:r>
      <w:r w:rsidRPr="001133CE">
        <w:rPr>
          <w:rFonts w:ascii="Cambria" w:hAnsi="Cambria"/>
          <w:sz w:val="20"/>
          <w:szCs w:val="20"/>
          <w:lang w:val="es-ES"/>
        </w:rPr>
        <w:t xml:space="preserve">y autónomos </w:t>
      </w:r>
      <w:r w:rsidR="00654810" w:rsidRPr="001133CE">
        <w:rPr>
          <w:rFonts w:ascii="Cambria" w:hAnsi="Cambria"/>
          <w:sz w:val="20"/>
          <w:szCs w:val="20"/>
          <w:lang w:val="es-ES"/>
        </w:rPr>
        <w:t>de la situación que las provocó.</w:t>
      </w:r>
    </w:p>
    <w:p w:rsidR="00905D8A" w:rsidRPr="00BB1D25" w:rsidRDefault="00905D8A" w:rsidP="00BB1D25">
      <w:pPr>
        <w:pStyle w:val="ListParagraph"/>
        <w:jc w:val="both"/>
        <w:rPr>
          <w:sz w:val="20"/>
          <w:szCs w:val="20"/>
          <w:lang w:val="es-ES"/>
        </w:rPr>
      </w:pPr>
    </w:p>
    <w:p w:rsidR="003632A7" w:rsidRPr="00BB1D25" w:rsidRDefault="005F1857" w:rsidP="00B64BE7">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
        </w:rPr>
      </w:pPr>
      <w:r w:rsidRPr="00BB1D25">
        <w:rPr>
          <w:rFonts w:ascii="Cambria" w:hAnsi="Cambria"/>
          <w:sz w:val="20"/>
          <w:szCs w:val="20"/>
          <w:lang w:val="es-ES"/>
        </w:rPr>
        <w:t>Por consiguiente</w:t>
      </w:r>
      <w:r w:rsidR="00BF5F5C" w:rsidRPr="00BB1D25">
        <w:rPr>
          <w:rFonts w:ascii="Cambria" w:hAnsi="Cambria"/>
          <w:sz w:val="20"/>
          <w:szCs w:val="20"/>
          <w:lang w:val="es-ES"/>
        </w:rPr>
        <w:t xml:space="preserve">, </w:t>
      </w:r>
      <w:r w:rsidR="00BF5F5C" w:rsidRPr="00BB1D25">
        <w:rPr>
          <w:rFonts w:ascii="Cambria" w:hAnsi="Cambria"/>
          <w:sz w:val="20"/>
          <w:szCs w:val="20"/>
          <w:u w:color="000000"/>
          <w:lang w:val="es-ES"/>
        </w:rPr>
        <w:t xml:space="preserve">la Comisión considera que tiene competencia </w:t>
      </w:r>
      <w:r w:rsidR="00BF5F5C" w:rsidRPr="00BB1D25">
        <w:rPr>
          <w:rFonts w:ascii="Cambria" w:hAnsi="Cambria"/>
          <w:i/>
          <w:sz w:val="20"/>
          <w:szCs w:val="20"/>
          <w:u w:color="000000"/>
          <w:lang w:val="es-ES"/>
        </w:rPr>
        <w:t>ratione temporis</w:t>
      </w:r>
      <w:r w:rsidR="00BF5F5C" w:rsidRPr="00BB1D25">
        <w:rPr>
          <w:rFonts w:ascii="Cambria" w:hAnsi="Cambria"/>
          <w:sz w:val="20"/>
          <w:szCs w:val="20"/>
          <w:u w:color="000000"/>
          <w:lang w:val="es-ES"/>
        </w:rPr>
        <w:t xml:space="preserve"> bajo la Convención Americana pues la obligación de respetar y garantizar los derechos protegidos por la misma ya se encontraba en vigor para el Estado en la fecha que habrían ocurrido los alegatos de </w:t>
      </w:r>
      <w:r w:rsidR="002C54BB" w:rsidRPr="00BB1D25">
        <w:rPr>
          <w:rFonts w:ascii="Cambria" w:hAnsi="Cambria"/>
          <w:sz w:val="20"/>
          <w:szCs w:val="20"/>
          <w:u w:color="000000"/>
          <w:lang w:val="es-ES"/>
        </w:rPr>
        <w:t>referida</w:t>
      </w:r>
      <w:r w:rsidR="00BF5F5C" w:rsidRPr="00BB1D25">
        <w:rPr>
          <w:rFonts w:ascii="Cambria" w:hAnsi="Cambria"/>
          <w:sz w:val="20"/>
          <w:szCs w:val="20"/>
          <w:u w:color="000000"/>
          <w:lang w:val="es-ES"/>
        </w:rPr>
        <w:t xml:space="preserve"> petición.</w:t>
      </w:r>
    </w:p>
    <w:p w:rsidR="00272DE7" w:rsidRPr="00BB1D25" w:rsidRDefault="00272DE7" w:rsidP="00BB1D25">
      <w:pPr>
        <w:widowControl w:val="0"/>
        <w:jc w:val="both"/>
        <w:outlineLvl w:val="1"/>
        <w:rPr>
          <w:rFonts w:ascii="Cambria" w:hAnsi="Cambria" w:cs="Arial"/>
          <w:spacing w:val="-2"/>
          <w:sz w:val="20"/>
          <w:szCs w:val="20"/>
          <w:lang w:val="es-ES"/>
        </w:rPr>
      </w:pPr>
    </w:p>
    <w:p w:rsidR="00272DE7" w:rsidRPr="00BB1D25" w:rsidRDefault="00272DE7" w:rsidP="00B64BE7">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lang w:val="es-ES"/>
        </w:rPr>
      </w:pPr>
      <w:r w:rsidRPr="00BB1D25">
        <w:rPr>
          <w:rFonts w:ascii="Cambria" w:hAnsi="Cambria" w:cs="Arial"/>
          <w:spacing w:val="-2"/>
          <w:sz w:val="20"/>
          <w:szCs w:val="20"/>
          <w:lang w:val="es-ES"/>
        </w:rPr>
        <w:t xml:space="preserve">Por último, la Comisión posee competencia </w:t>
      </w:r>
      <w:r w:rsidRPr="00BB1D25">
        <w:rPr>
          <w:rFonts w:ascii="Cambria" w:hAnsi="Cambria" w:cs="Arial"/>
          <w:i/>
          <w:spacing w:val="-2"/>
          <w:sz w:val="20"/>
          <w:szCs w:val="20"/>
          <w:lang w:val="es-ES"/>
        </w:rPr>
        <w:t>ratione loci</w:t>
      </w:r>
      <w:r w:rsidRPr="00BB1D25">
        <w:rPr>
          <w:rFonts w:ascii="Cambria" w:hAnsi="Cambria" w:cs="Arial"/>
          <w:spacing w:val="-2"/>
          <w:sz w:val="20"/>
          <w:szCs w:val="20"/>
          <w:lang w:val="es-ES"/>
        </w:rPr>
        <w:t xml:space="preserve"> para conocer la petición por cuanto en ella se alegan violaciones de derechos protegidos en la Convención Americana que habrían tenido lugar dentro del territorio de Chile.</w:t>
      </w:r>
    </w:p>
    <w:p w:rsidR="008779CC" w:rsidRPr="00BB1D25" w:rsidRDefault="008779CC" w:rsidP="00BB1D25">
      <w:pPr>
        <w:widowControl w:val="0"/>
        <w:jc w:val="both"/>
        <w:outlineLvl w:val="1"/>
        <w:rPr>
          <w:rFonts w:ascii="Cambria" w:hAnsi="Cambria" w:cs="Arial"/>
          <w:spacing w:val="-2"/>
          <w:sz w:val="20"/>
          <w:szCs w:val="20"/>
          <w:lang w:val="es-ES"/>
        </w:rPr>
      </w:pPr>
    </w:p>
    <w:p w:rsidR="000E1570" w:rsidRPr="00BB1D25" w:rsidRDefault="000E1570" w:rsidP="00AD6B05">
      <w:pPr>
        <w:pStyle w:val="ListParagraph"/>
        <w:widowControl w:val="0"/>
        <w:numPr>
          <w:ilvl w:val="0"/>
          <w:numId w:val="63"/>
        </w:numPr>
        <w:ind w:left="1440"/>
        <w:jc w:val="both"/>
        <w:outlineLvl w:val="1"/>
        <w:rPr>
          <w:rFonts w:cs="Arial"/>
          <w:b/>
          <w:bCs/>
          <w:sz w:val="20"/>
          <w:szCs w:val="20"/>
          <w:lang w:val="es-AR"/>
        </w:rPr>
      </w:pPr>
      <w:r w:rsidRPr="00BB1D25">
        <w:rPr>
          <w:rFonts w:cs="Arial"/>
          <w:b/>
          <w:bCs/>
          <w:sz w:val="20"/>
          <w:szCs w:val="20"/>
          <w:lang w:val="es-AR"/>
        </w:rPr>
        <w:t>Requisitos de admisibilidad</w:t>
      </w:r>
    </w:p>
    <w:p w:rsidR="000E1570" w:rsidRPr="00BB1D25" w:rsidRDefault="000E1570" w:rsidP="00BB1D25">
      <w:pPr>
        <w:widowControl w:val="0"/>
        <w:jc w:val="both"/>
        <w:outlineLvl w:val="1"/>
        <w:rPr>
          <w:rFonts w:ascii="Cambria" w:hAnsi="Cambria" w:cs="Arial"/>
          <w:b/>
          <w:bCs/>
          <w:sz w:val="20"/>
          <w:szCs w:val="20"/>
          <w:lang w:val="es-AR"/>
        </w:rPr>
      </w:pPr>
    </w:p>
    <w:p w:rsidR="000E1570" w:rsidRPr="00BB1D25" w:rsidRDefault="000E1570" w:rsidP="00BB1D25">
      <w:pPr>
        <w:widowControl w:val="0"/>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Cambria" w:hAnsi="Cambria"/>
          <w:b/>
          <w:bCs/>
          <w:kern w:val="36"/>
          <w:sz w:val="20"/>
          <w:szCs w:val="20"/>
          <w:lang w:val="es-ES"/>
        </w:rPr>
      </w:pPr>
      <w:r w:rsidRPr="00BB1D25">
        <w:rPr>
          <w:rFonts w:ascii="Cambria" w:hAnsi="Cambria"/>
          <w:b/>
          <w:bCs/>
          <w:kern w:val="36"/>
          <w:sz w:val="20"/>
          <w:szCs w:val="20"/>
          <w:lang w:val="es-ES"/>
        </w:rPr>
        <w:t>Agotamiento de los recursos internos</w:t>
      </w:r>
    </w:p>
    <w:p w:rsidR="004F2C6C" w:rsidRPr="00BB1D25" w:rsidRDefault="004F2C6C" w:rsidP="00BB1D2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2160"/>
        </w:tabs>
        <w:ind w:left="2160"/>
        <w:jc w:val="both"/>
        <w:outlineLvl w:val="0"/>
        <w:rPr>
          <w:rFonts w:ascii="Cambria" w:hAnsi="Cambria"/>
          <w:b/>
          <w:bCs/>
          <w:kern w:val="36"/>
          <w:sz w:val="20"/>
          <w:szCs w:val="20"/>
          <w:lang w:val="es-ES"/>
        </w:rPr>
      </w:pPr>
    </w:p>
    <w:p w:rsidR="0021742E" w:rsidRDefault="004F2C6C" w:rsidP="0021742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sz w:val="20"/>
          <w:szCs w:val="20"/>
          <w:lang w:val="es-CO"/>
        </w:rPr>
      </w:pPr>
      <w:r w:rsidRPr="00BB1D25">
        <w:rPr>
          <w:sz w:val="20"/>
          <w:szCs w:val="20"/>
          <w:lang w:val="es-CO"/>
        </w:rPr>
        <w:t xml:space="preserve">El artículo 46.1.a) de la Convención Americana </w:t>
      </w:r>
      <w:r w:rsidR="003E41FB" w:rsidRPr="00BB1D25">
        <w:rPr>
          <w:sz w:val="20"/>
          <w:szCs w:val="20"/>
          <w:lang w:val="es-CO"/>
        </w:rPr>
        <w:t xml:space="preserve">exige el previo agotamiento de los recursos disponibles en la jurisdicción interna conforme a los principios de derecho internacional generalmente reconocidos, como requisito para la admisión de reclamos sobre la presunta violación de </w:t>
      </w:r>
      <w:r w:rsidR="006A470A">
        <w:rPr>
          <w:sz w:val="20"/>
          <w:szCs w:val="20"/>
          <w:lang w:val="es-CO"/>
        </w:rPr>
        <w:t xml:space="preserve">la </w:t>
      </w:r>
      <w:r w:rsidR="003E41FB" w:rsidRPr="00BB1D25">
        <w:rPr>
          <w:sz w:val="20"/>
          <w:szCs w:val="20"/>
          <w:lang w:val="es-CO"/>
        </w:rPr>
        <w:t xml:space="preserve">Convención Americana. </w:t>
      </w:r>
    </w:p>
    <w:p w:rsidR="005367EA" w:rsidRPr="00665C6A" w:rsidRDefault="00AE097B" w:rsidP="0021742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sz w:val="20"/>
          <w:szCs w:val="20"/>
          <w:lang w:val="es-CO"/>
        </w:rPr>
      </w:pPr>
      <w:r w:rsidRPr="00665C6A">
        <w:rPr>
          <w:sz w:val="20"/>
          <w:szCs w:val="20"/>
          <w:lang w:val="es-CO"/>
        </w:rPr>
        <w:t xml:space="preserve">En el presente caso, </w:t>
      </w:r>
      <w:r w:rsidR="00F22BF0" w:rsidRPr="00665C6A">
        <w:rPr>
          <w:sz w:val="20"/>
          <w:szCs w:val="20"/>
          <w:lang w:val="es-CO"/>
        </w:rPr>
        <w:t xml:space="preserve">está acreditado que en septiembre de 1995 </w:t>
      </w:r>
      <w:r w:rsidRPr="00665C6A">
        <w:rPr>
          <w:sz w:val="20"/>
          <w:szCs w:val="20"/>
          <w:lang w:val="es-CO"/>
        </w:rPr>
        <w:t>el peticionario promovi</w:t>
      </w:r>
      <w:r w:rsidR="00966E55" w:rsidRPr="00665C6A">
        <w:rPr>
          <w:sz w:val="20"/>
          <w:szCs w:val="20"/>
          <w:lang w:val="es-CO"/>
        </w:rPr>
        <w:t>ó</w:t>
      </w:r>
      <w:r w:rsidRPr="00665C6A">
        <w:rPr>
          <w:sz w:val="20"/>
          <w:szCs w:val="20"/>
          <w:lang w:val="es-CO"/>
        </w:rPr>
        <w:t xml:space="preserve"> </w:t>
      </w:r>
      <w:r w:rsidR="00F22BF0" w:rsidRPr="00665C6A">
        <w:rPr>
          <w:sz w:val="20"/>
          <w:szCs w:val="20"/>
          <w:lang w:val="es-CO"/>
        </w:rPr>
        <w:t xml:space="preserve">por sí mismo  y en representación de la Sociedad Radio La Voz del Sur Ltda y sus socios- </w:t>
      </w:r>
      <w:r w:rsidR="00F4622F" w:rsidRPr="00665C6A">
        <w:rPr>
          <w:sz w:val="20"/>
          <w:szCs w:val="20"/>
          <w:lang w:val="es-CO"/>
        </w:rPr>
        <w:t xml:space="preserve">una acción </w:t>
      </w:r>
      <w:r w:rsidR="00966E55" w:rsidRPr="00665C6A">
        <w:rPr>
          <w:sz w:val="20"/>
          <w:szCs w:val="20"/>
          <w:lang w:val="es-CO"/>
        </w:rPr>
        <w:t xml:space="preserve">de nulidad de derecho público </w:t>
      </w:r>
      <w:r w:rsidR="00F4622F" w:rsidRPr="00665C6A">
        <w:rPr>
          <w:sz w:val="20"/>
          <w:szCs w:val="20"/>
          <w:lang w:val="es-CO"/>
        </w:rPr>
        <w:t>con el objeto de demandar la nulidad de los Decretos No. 473 y No. 1163 ambos de 1974</w:t>
      </w:r>
      <w:r w:rsidR="009769ED" w:rsidRPr="00665C6A">
        <w:rPr>
          <w:sz w:val="20"/>
          <w:szCs w:val="20"/>
          <w:lang w:val="es-CO"/>
        </w:rPr>
        <w:t xml:space="preserve">, </w:t>
      </w:r>
      <w:r w:rsidR="00F22BF0" w:rsidRPr="00665C6A">
        <w:rPr>
          <w:sz w:val="20"/>
          <w:szCs w:val="20"/>
          <w:lang w:val="es-CO"/>
        </w:rPr>
        <w:t>así</w:t>
      </w:r>
      <w:r w:rsidR="00966E55" w:rsidRPr="00665C6A">
        <w:rPr>
          <w:sz w:val="20"/>
          <w:szCs w:val="20"/>
          <w:lang w:val="es-CO"/>
        </w:rPr>
        <w:t xml:space="preserve"> como la </w:t>
      </w:r>
      <w:r w:rsidR="00A74727" w:rsidRPr="00665C6A">
        <w:rPr>
          <w:sz w:val="20"/>
          <w:szCs w:val="20"/>
          <w:lang w:val="es-CO"/>
        </w:rPr>
        <w:t>indemnización</w:t>
      </w:r>
      <w:r w:rsidR="00966E55" w:rsidRPr="00665C6A">
        <w:rPr>
          <w:sz w:val="20"/>
          <w:szCs w:val="20"/>
          <w:lang w:val="es-CO"/>
        </w:rPr>
        <w:t xml:space="preserve"> del daño emergente y del lucro cesante ocasionado por la </w:t>
      </w:r>
      <w:r w:rsidR="00F22BF0" w:rsidRPr="00665C6A">
        <w:rPr>
          <w:sz w:val="20"/>
          <w:szCs w:val="20"/>
          <w:lang w:val="es-CO"/>
        </w:rPr>
        <w:t xml:space="preserve">disolución, </w:t>
      </w:r>
      <w:r w:rsidR="00F4622F" w:rsidRPr="00665C6A">
        <w:rPr>
          <w:sz w:val="20"/>
          <w:szCs w:val="20"/>
          <w:lang w:val="es-CO"/>
        </w:rPr>
        <w:t xml:space="preserve">cierre </w:t>
      </w:r>
      <w:r w:rsidR="00F22BF0" w:rsidRPr="00665C6A">
        <w:rPr>
          <w:sz w:val="20"/>
          <w:szCs w:val="20"/>
          <w:lang w:val="es-CO"/>
        </w:rPr>
        <w:t xml:space="preserve">y confiscación de los bienes </w:t>
      </w:r>
      <w:r w:rsidR="00F4622F" w:rsidRPr="00665C6A">
        <w:rPr>
          <w:sz w:val="20"/>
          <w:szCs w:val="20"/>
          <w:lang w:val="es-CO"/>
        </w:rPr>
        <w:t xml:space="preserve">de la radio </w:t>
      </w:r>
      <w:r w:rsidR="00F4622F" w:rsidRPr="00665C6A">
        <w:rPr>
          <w:i/>
          <w:sz w:val="20"/>
          <w:szCs w:val="20"/>
          <w:lang w:val="es-CO"/>
        </w:rPr>
        <w:t>La Voz del Sur</w:t>
      </w:r>
      <w:r w:rsidR="00F22BF0" w:rsidRPr="00665C6A">
        <w:rPr>
          <w:sz w:val="20"/>
          <w:szCs w:val="20"/>
          <w:lang w:val="es-CO"/>
        </w:rPr>
        <w:t>, de su propiedad</w:t>
      </w:r>
      <w:r w:rsidR="00F4622F" w:rsidRPr="00665C6A">
        <w:rPr>
          <w:sz w:val="20"/>
          <w:szCs w:val="20"/>
          <w:lang w:val="es-CO"/>
        </w:rPr>
        <w:t xml:space="preserve">. </w:t>
      </w:r>
      <w:r w:rsidR="0021742E" w:rsidRPr="00665C6A">
        <w:rPr>
          <w:sz w:val="20"/>
          <w:szCs w:val="20"/>
          <w:lang w:val="es-CO"/>
        </w:rPr>
        <w:t>D</w:t>
      </w:r>
      <w:r w:rsidRPr="00665C6A">
        <w:rPr>
          <w:sz w:val="20"/>
          <w:szCs w:val="20"/>
          <w:lang w:val="es-CO"/>
        </w:rPr>
        <w:t xml:space="preserve">e acuerdo con el expediente, </w:t>
      </w:r>
      <w:r w:rsidR="00AA41FB" w:rsidRPr="00665C6A">
        <w:rPr>
          <w:sz w:val="20"/>
          <w:szCs w:val="20"/>
          <w:lang w:val="es-CO"/>
        </w:rPr>
        <w:t xml:space="preserve">el peticionario </w:t>
      </w:r>
      <w:r w:rsidR="001A0E89" w:rsidRPr="00665C6A">
        <w:rPr>
          <w:sz w:val="20"/>
          <w:szCs w:val="20"/>
          <w:lang w:val="es-CO"/>
        </w:rPr>
        <w:t xml:space="preserve">demandó al Fisco </w:t>
      </w:r>
      <w:r w:rsidR="00C5162A" w:rsidRPr="00665C6A">
        <w:rPr>
          <w:sz w:val="20"/>
          <w:szCs w:val="20"/>
          <w:lang w:val="es-CO"/>
        </w:rPr>
        <w:t>ante los tribunales internos</w:t>
      </w:r>
      <w:r w:rsidR="001A0E89" w:rsidRPr="00665C6A">
        <w:rPr>
          <w:sz w:val="20"/>
          <w:szCs w:val="20"/>
          <w:lang w:val="es-CO"/>
        </w:rPr>
        <w:t>, alegando que</w:t>
      </w:r>
      <w:r w:rsidR="00C5162A" w:rsidRPr="00665C6A">
        <w:rPr>
          <w:sz w:val="20"/>
          <w:szCs w:val="20"/>
          <w:lang w:val="es-CO"/>
        </w:rPr>
        <w:t xml:space="preserve"> los decretos “no pueden considerarse v</w:t>
      </w:r>
      <w:r w:rsidR="00F22BF0" w:rsidRPr="00665C6A">
        <w:rPr>
          <w:sz w:val="20"/>
          <w:szCs w:val="20"/>
          <w:lang w:val="es-CO"/>
        </w:rPr>
        <w:t>á</w:t>
      </w:r>
      <w:r w:rsidR="00C5162A" w:rsidRPr="00665C6A">
        <w:rPr>
          <w:sz w:val="20"/>
          <w:szCs w:val="20"/>
          <w:lang w:val="es-CO"/>
        </w:rPr>
        <w:t>lidos si son</w:t>
      </w:r>
      <w:r w:rsidR="00F22BF0" w:rsidRPr="00665C6A">
        <w:rPr>
          <w:sz w:val="20"/>
          <w:szCs w:val="20"/>
          <w:lang w:val="es-CO"/>
        </w:rPr>
        <w:t xml:space="preserve"> contrarios a normas superiores, [en concreto</w:t>
      </w:r>
      <w:r w:rsidR="00C5162A" w:rsidRPr="00665C6A">
        <w:rPr>
          <w:sz w:val="20"/>
          <w:szCs w:val="20"/>
          <w:lang w:val="es-CO"/>
        </w:rPr>
        <w:t xml:space="preserve">] las </w:t>
      </w:r>
      <w:r w:rsidR="00A74727" w:rsidRPr="00665C6A">
        <w:rPr>
          <w:sz w:val="20"/>
          <w:szCs w:val="20"/>
          <w:lang w:val="es-CO"/>
        </w:rPr>
        <w:t>garantías</w:t>
      </w:r>
      <w:r w:rsidR="00C5162A" w:rsidRPr="00665C6A">
        <w:rPr>
          <w:sz w:val="20"/>
          <w:szCs w:val="20"/>
          <w:lang w:val="es-CO"/>
        </w:rPr>
        <w:t xml:space="preserve"> constitucionales otorgadas al derecho de propiedad privada individual y a la no </w:t>
      </w:r>
      <w:r w:rsidR="00A74727" w:rsidRPr="00665C6A">
        <w:rPr>
          <w:sz w:val="20"/>
          <w:szCs w:val="20"/>
          <w:lang w:val="es-CO"/>
        </w:rPr>
        <w:t>confiscación</w:t>
      </w:r>
      <w:r w:rsidR="00C5162A" w:rsidRPr="00665C6A">
        <w:rPr>
          <w:sz w:val="20"/>
          <w:szCs w:val="20"/>
          <w:lang w:val="es-CO"/>
        </w:rPr>
        <w:t xml:space="preserve"> sin proceso o sin ley, y al Justo Juicio ante los Tribunales”. E</w:t>
      </w:r>
      <w:r w:rsidR="0021742E" w:rsidRPr="00665C6A">
        <w:rPr>
          <w:sz w:val="20"/>
          <w:szCs w:val="20"/>
          <w:lang w:val="es-CO"/>
        </w:rPr>
        <w:t>n</w:t>
      </w:r>
      <w:r w:rsidRPr="00665C6A">
        <w:rPr>
          <w:sz w:val="20"/>
          <w:szCs w:val="20"/>
          <w:lang w:val="es-CO"/>
        </w:rPr>
        <w:t xml:space="preserve"> s</w:t>
      </w:r>
      <w:r w:rsidR="0021742E" w:rsidRPr="00665C6A">
        <w:rPr>
          <w:sz w:val="20"/>
          <w:szCs w:val="20"/>
          <w:lang w:val="es-CO"/>
        </w:rPr>
        <w:t xml:space="preserve">entencia de casación de 21 de enero de 2004, </w:t>
      </w:r>
      <w:r w:rsidRPr="00665C6A">
        <w:rPr>
          <w:sz w:val="20"/>
          <w:szCs w:val="20"/>
          <w:lang w:val="es-CO"/>
        </w:rPr>
        <w:t>la Corte Suprema de Justicia</w:t>
      </w:r>
      <w:r w:rsidR="00F21CF3" w:rsidRPr="00665C6A">
        <w:rPr>
          <w:sz w:val="20"/>
          <w:szCs w:val="20"/>
          <w:lang w:val="es-CO"/>
        </w:rPr>
        <w:t xml:space="preserve"> de Chile</w:t>
      </w:r>
      <w:r w:rsidRPr="00665C6A">
        <w:rPr>
          <w:sz w:val="20"/>
          <w:szCs w:val="20"/>
          <w:lang w:val="es-CO"/>
        </w:rPr>
        <w:t xml:space="preserve"> </w:t>
      </w:r>
      <w:r w:rsidR="0021742E" w:rsidRPr="00665C6A">
        <w:rPr>
          <w:sz w:val="20"/>
          <w:szCs w:val="20"/>
          <w:lang w:val="es-CO"/>
        </w:rPr>
        <w:t xml:space="preserve">falló que si bien los decretos impugnados serían nulos de pleno derecho, </w:t>
      </w:r>
      <w:r w:rsidR="00374024" w:rsidRPr="00665C6A">
        <w:rPr>
          <w:sz w:val="20"/>
          <w:szCs w:val="20"/>
          <w:lang w:val="es-CO"/>
        </w:rPr>
        <w:t xml:space="preserve">el derecho a recibir una </w:t>
      </w:r>
      <w:r w:rsidR="00A74727" w:rsidRPr="00665C6A">
        <w:rPr>
          <w:sz w:val="20"/>
          <w:szCs w:val="20"/>
          <w:lang w:val="es-CO"/>
        </w:rPr>
        <w:t>reparación</w:t>
      </w:r>
      <w:r w:rsidR="00374024" w:rsidRPr="00665C6A">
        <w:rPr>
          <w:sz w:val="20"/>
          <w:szCs w:val="20"/>
          <w:lang w:val="es-CO"/>
        </w:rPr>
        <w:t xml:space="preserve"> como consecuencia</w:t>
      </w:r>
      <w:r w:rsidR="0021742E" w:rsidRPr="00665C6A">
        <w:rPr>
          <w:sz w:val="20"/>
          <w:szCs w:val="20"/>
          <w:lang w:val="es-CO"/>
        </w:rPr>
        <w:t xml:space="preserve"> de dicha nulidad habría prescrito. </w:t>
      </w:r>
    </w:p>
    <w:p w:rsidR="00AE097B" w:rsidRPr="00665C6A" w:rsidRDefault="00374024" w:rsidP="0021742E">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sz w:val="20"/>
          <w:szCs w:val="20"/>
          <w:lang w:val="es-CO"/>
        </w:rPr>
      </w:pPr>
      <w:r w:rsidRPr="00665C6A">
        <w:rPr>
          <w:sz w:val="20"/>
          <w:szCs w:val="20"/>
          <w:lang w:val="es-CO"/>
        </w:rPr>
        <w:t>El peticionario afirmó que c</w:t>
      </w:r>
      <w:r w:rsidR="0021742E" w:rsidRPr="00665C6A">
        <w:rPr>
          <w:sz w:val="20"/>
          <w:szCs w:val="20"/>
          <w:lang w:val="es-CO"/>
        </w:rPr>
        <w:t>on es</w:t>
      </w:r>
      <w:r w:rsidR="008F5184" w:rsidRPr="00665C6A">
        <w:rPr>
          <w:sz w:val="20"/>
          <w:szCs w:val="20"/>
          <w:lang w:val="es-CO"/>
        </w:rPr>
        <w:t>a</w:t>
      </w:r>
      <w:r w:rsidR="0021742E" w:rsidRPr="00665C6A">
        <w:rPr>
          <w:sz w:val="20"/>
          <w:szCs w:val="20"/>
          <w:lang w:val="es-CO"/>
        </w:rPr>
        <w:t xml:space="preserve"> decisi</w:t>
      </w:r>
      <w:r w:rsidRPr="00665C6A">
        <w:rPr>
          <w:sz w:val="20"/>
          <w:szCs w:val="20"/>
          <w:lang w:val="es-CO"/>
        </w:rPr>
        <w:t xml:space="preserve">ón del </w:t>
      </w:r>
      <w:r w:rsidR="0003647A" w:rsidRPr="00665C6A">
        <w:rPr>
          <w:sz w:val="20"/>
          <w:szCs w:val="20"/>
          <w:lang w:val="es-CO"/>
        </w:rPr>
        <w:t xml:space="preserve">más </w:t>
      </w:r>
      <w:r w:rsidRPr="00665C6A">
        <w:rPr>
          <w:sz w:val="20"/>
          <w:szCs w:val="20"/>
          <w:lang w:val="es-CO"/>
        </w:rPr>
        <w:t xml:space="preserve">alto tribunal del país, </w:t>
      </w:r>
      <w:r w:rsidR="005367EA" w:rsidRPr="00665C6A">
        <w:rPr>
          <w:sz w:val="20"/>
          <w:szCs w:val="20"/>
          <w:lang w:val="es-CO"/>
        </w:rPr>
        <w:t xml:space="preserve">las presuntas víctimas </w:t>
      </w:r>
      <w:r w:rsidRPr="00665C6A">
        <w:rPr>
          <w:sz w:val="20"/>
          <w:szCs w:val="20"/>
          <w:lang w:val="es-CO"/>
        </w:rPr>
        <w:t xml:space="preserve">agotaron </w:t>
      </w:r>
      <w:r w:rsidR="00F4622F" w:rsidRPr="00665C6A">
        <w:rPr>
          <w:sz w:val="20"/>
          <w:szCs w:val="20"/>
          <w:lang w:val="es-CO"/>
        </w:rPr>
        <w:t xml:space="preserve">los recursos </w:t>
      </w:r>
      <w:r w:rsidRPr="00665C6A">
        <w:rPr>
          <w:sz w:val="20"/>
          <w:szCs w:val="20"/>
          <w:lang w:val="es-CO"/>
        </w:rPr>
        <w:t>judiciales</w:t>
      </w:r>
      <w:r w:rsidR="00F4622F" w:rsidRPr="00665C6A">
        <w:rPr>
          <w:sz w:val="20"/>
          <w:szCs w:val="20"/>
          <w:lang w:val="es-CO"/>
        </w:rPr>
        <w:t xml:space="preserve"> disponibles en la legislación interna</w:t>
      </w:r>
      <w:r w:rsidR="00AE097B" w:rsidRPr="00665C6A">
        <w:rPr>
          <w:sz w:val="20"/>
          <w:szCs w:val="20"/>
          <w:lang w:val="es-CO"/>
        </w:rPr>
        <w:t xml:space="preserve">. </w:t>
      </w:r>
      <w:r w:rsidR="005367EA" w:rsidRPr="00665C6A">
        <w:rPr>
          <w:sz w:val="20"/>
          <w:szCs w:val="20"/>
          <w:lang w:val="es-CO"/>
        </w:rPr>
        <w:t>La CIDH observa que</w:t>
      </w:r>
      <w:r w:rsidR="00AE097B" w:rsidRPr="00665C6A">
        <w:rPr>
          <w:sz w:val="20"/>
          <w:szCs w:val="20"/>
          <w:lang w:val="es-CO"/>
        </w:rPr>
        <w:t xml:space="preserve"> el Estado no negó o controvirtió lo expuesto por el peticionario. </w:t>
      </w:r>
      <w:r w:rsidR="003E41FB" w:rsidRPr="00665C6A">
        <w:rPr>
          <w:sz w:val="20"/>
          <w:szCs w:val="20"/>
          <w:lang w:val="es-CO"/>
        </w:rPr>
        <w:t xml:space="preserve">Por lo tanto, </w:t>
      </w:r>
      <w:r w:rsidR="00F21CF3" w:rsidRPr="00665C6A">
        <w:rPr>
          <w:sz w:val="20"/>
          <w:szCs w:val="20"/>
          <w:lang w:val="es-CO"/>
        </w:rPr>
        <w:t xml:space="preserve">la </w:t>
      </w:r>
      <w:r w:rsidR="003E41FB" w:rsidRPr="00665C6A">
        <w:rPr>
          <w:sz w:val="20"/>
          <w:szCs w:val="20"/>
          <w:lang w:val="es-CO"/>
        </w:rPr>
        <w:t xml:space="preserve">Comisión considera que la petición cumple con el requisito establecido en el artículo 46.1.a) de la </w:t>
      </w:r>
      <w:r w:rsidR="00AE097B" w:rsidRPr="00665C6A">
        <w:rPr>
          <w:sz w:val="20"/>
          <w:szCs w:val="20"/>
          <w:lang w:val="es-CO"/>
        </w:rPr>
        <w:t xml:space="preserve">Convención Americana. </w:t>
      </w:r>
    </w:p>
    <w:p w:rsidR="003744CD" w:rsidRPr="00BB1D25" w:rsidRDefault="00B32513" w:rsidP="00BB1D25">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bCs/>
          <w:kern w:val="36"/>
          <w:sz w:val="20"/>
          <w:szCs w:val="20"/>
          <w:lang w:val="es-ES"/>
        </w:rPr>
      </w:pPr>
      <w:r w:rsidRPr="00BB1D25">
        <w:rPr>
          <w:rFonts w:ascii="Cambria" w:hAnsi="Cambria"/>
          <w:b/>
          <w:bCs/>
          <w:kern w:val="36"/>
          <w:sz w:val="20"/>
          <w:szCs w:val="20"/>
          <w:lang w:val="es-ES"/>
        </w:rPr>
        <w:t>2</w:t>
      </w:r>
      <w:r w:rsidR="00296D9C">
        <w:rPr>
          <w:rFonts w:ascii="Cambria" w:hAnsi="Cambria"/>
          <w:b/>
          <w:bCs/>
          <w:kern w:val="36"/>
          <w:sz w:val="20"/>
          <w:szCs w:val="20"/>
          <w:lang w:val="es-ES"/>
        </w:rPr>
        <w:t>.</w:t>
      </w:r>
      <w:r w:rsidRPr="00BB1D25">
        <w:rPr>
          <w:rFonts w:ascii="Cambria" w:hAnsi="Cambria"/>
          <w:b/>
          <w:bCs/>
          <w:kern w:val="36"/>
          <w:sz w:val="20"/>
          <w:szCs w:val="20"/>
          <w:lang w:val="es-ES"/>
        </w:rPr>
        <w:tab/>
        <w:t>Plazo de presentación de petición</w:t>
      </w:r>
    </w:p>
    <w:p w:rsidR="003744CD" w:rsidRPr="00BB1D25" w:rsidRDefault="003744CD" w:rsidP="00BB1D2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ind w:left="1440"/>
        <w:jc w:val="both"/>
        <w:rPr>
          <w:sz w:val="20"/>
          <w:szCs w:val="20"/>
          <w:lang w:val="es-ES"/>
        </w:rPr>
      </w:pPr>
    </w:p>
    <w:p w:rsidR="00AD0A16" w:rsidRDefault="00AD0A16" w:rsidP="001252ED">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Arial Unicode MS" w:cs="Times New Roman"/>
          <w:color w:val="auto"/>
          <w:sz w:val="20"/>
          <w:szCs w:val="20"/>
          <w:lang w:val="es-ES" w:eastAsia="en-US"/>
        </w:rPr>
      </w:pPr>
      <w:r w:rsidRPr="00BB1D25">
        <w:rPr>
          <w:rFonts w:eastAsia="Arial Unicode MS" w:cs="Times New Roman"/>
          <w:color w:val="auto"/>
          <w:sz w:val="20"/>
          <w:szCs w:val="20"/>
          <w:lang w:val="es-ES" w:eastAsia="en-US"/>
        </w:rPr>
        <w:t xml:space="preserve">El artículo 46(1)(b) de la Convención Americana establece que para que la petición pueda ser declarada admisible, es necesario que se haya presentado dentro del plazo de seis meses contados a partir de la fecha en que el interesado fue notificado de la decisión final que agotó la jurisdicción interna. </w:t>
      </w:r>
    </w:p>
    <w:p w:rsidR="001252ED" w:rsidRPr="00BB1D25" w:rsidRDefault="001252ED" w:rsidP="001252E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Times New Roman"/>
          <w:color w:val="auto"/>
          <w:sz w:val="20"/>
          <w:szCs w:val="20"/>
          <w:lang w:val="es-ES" w:eastAsia="en-US"/>
        </w:rPr>
      </w:pPr>
    </w:p>
    <w:p w:rsidR="00AD0A16" w:rsidRPr="00BB1D25" w:rsidRDefault="00AD0A16" w:rsidP="002A1E2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ES"/>
        </w:rPr>
      </w:pPr>
      <w:r w:rsidRPr="00BB1D25">
        <w:rPr>
          <w:rFonts w:eastAsia="Arial Unicode MS" w:cs="Times New Roman"/>
          <w:color w:val="auto"/>
          <w:sz w:val="20"/>
          <w:szCs w:val="20"/>
          <w:lang w:val="es-ES" w:eastAsia="en-US"/>
        </w:rPr>
        <w:lastRenderedPageBreak/>
        <w:t xml:space="preserve">En el presente caso, la </w:t>
      </w:r>
      <w:r w:rsidRPr="00061F16">
        <w:rPr>
          <w:rFonts w:eastAsia="Arial Unicode MS" w:cs="Times New Roman"/>
          <w:color w:val="auto"/>
          <w:sz w:val="20"/>
          <w:szCs w:val="20"/>
          <w:lang w:val="es-ES" w:eastAsia="en-US"/>
        </w:rPr>
        <w:t xml:space="preserve">decisión de casación de la Corte Suprema </w:t>
      </w:r>
      <w:r w:rsidR="001252ED" w:rsidRPr="00061F16">
        <w:rPr>
          <w:rFonts w:eastAsia="Arial Unicode MS" w:cs="Times New Roman"/>
          <w:color w:val="auto"/>
          <w:sz w:val="20"/>
          <w:szCs w:val="20"/>
          <w:lang w:val="es-ES" w:eastAsia="en-US"/>
        </w:rPr>
        <w:t xml:space="preserve">de Justicia </w:t>
      </w:r>
      <w:r w:rsidR="00F21CF3">
        <w:rPr>
          <w:rFonts w:eastAsia="Arial Unicode MS" w:cs="Times New Roman"/>
          <w:color w:val="auto"/>
          <w:sz w:val="20"/>
          <w:szCs w:val="20"/>
          <w:lang w:val="es-ES" w:eastAsia="en-US"/>
        </w:rPr>
        <w:t xml:space="preserve">de Chile </w:t>
      </w:r>
      <w:r w:rsidR="00A53766" w:rsidRPr="00061F16">
        <w:rPr>
          <w:rFonts w:eastAsia="Arial Unicode MS" w:cs="Times New Roman"/>
          <w:color w:val="auto"/>
          <w:sz w:val="20"/>
          <w:szCs w:val="20"/>
          <w:lang w:val="es-ES" w:eastAsia="en-US"/>
        </w:rPr>
        <w:t xml:space="preserve">fue </w:t>
      </w:r>
      <w:r w:rsidR="00061F16" w:rsidRPr="00061F16">
        <w:rPr>
          <w:rFonts w:eastAsia="Arial Unicode MS" w:cs="Times New Roman"/>
          <w:color w:val="auto"/>
          <w:sz w:val="20"/>
          <w:szCs w:val="20"/>
          <w:lang w:val="es-ES" w:eastAsia="en-US"/>
        </w:rPr>
        <w:t>emitida el 21</w:t>
      </w:r>
      <w:r w:rsidR="00A53766" w:rsidRPr="00061F16">
        <w:rPr>
          <w:rFonts w:eastAsia="Arial Unicode MS" w:cs="Times New Roman"/>
          <w:color w:val="auto"/>
          <w:sz w:val="20"/>
          <w:szCs w:val="20"/>
          <w:lang w:val="es-ES" w:eastAsia="en-US"/>
        </w:rPr>
        <w:t xml:space="preserve"> enero de 2004</w:t>
      </w:r>
      <w:r w:rsidRPr="00061F16">
        <w:rPr>
          <w:rFonts w:eastAsia="Arial Unicode MS" w:cs="Times New Roman"/>
          <w:color w:val="auto"/>
          <w:sz w:val="20"/>
          <w:szCs w:val="20"/>
          <w:lang w:val="es-ES" w:eastAsia="en-US"/>
        </w:rPr>
        <w:t xml:space="preserve"> </w:t>
      </w:r>
      <w:r w:rsidR="001252ED" w:rsidRPr="00061F16">
        <w:rPr>
          <w:rFonts w:eastAsia="Arial Unicode MS" w:cs="Times New Roman"/>
          <w:color w:val="auto"/>
          <w:sz w:val="20"/>
          <w:szCs w:val="20"/>
          <w:lang w:val="es-ES" w:eastAsia="en-US"/>
        </w:rPr>
        <w:t xml:space="preserve">y la petición fue presentada el 21 de </w:t>
      </w:r>
      <w:r w:rsidRPr="00061F16">
        <w:rPr>
          <w:rFonts w:eastAsia="Arial Unicode MS" w:cs="Times New Roman"/>
          <w:color w:val="auto"/>
          <w:sz w:val="20"/>
          <w:szCs w:val="20"/>
          <w:lang w:val="es-ES" w:eastAsia="en-US"/>
        </w:rPr>
        <w:t>julio de 2004. En consecuencia, la Com</w:t>
      </w:r>
      <w:r w:rsidR="00BE5724" w:rsidRPr="00061F16">
        <w:rPr>
          <w:rFonts w:eastAsia="Arial Unicode MS" w:cs="Times New Roman"/>
          <w:color w:val="auto"/>
          <w:sz w:val="20"/>
          <w:szCs w:val="20"/>
          <w:lang w:val="es-ES" w:eastAsia="en-US"/>
        </w:rPr>
        <w:t xml:space="preserve">isión considera que </w:t>
      </w:r>
      <w:r w:rsidRPr="00061F16">
        <w:rPr>
          <w:rFonts w:eastAsia="Arial Unicode MS" w:cs="Times New Roman"/>
          <w:color w:val="auto"/>
          <w:sz w:val="20"/>
          <w:szCs w:val="20"/>
          <w:lang w:val="es-ES" w:eastAsia="en-US"/>
        </w:rPr>
        <w:t>debe darse por satisfecho el requisito de admisibilidad referente al plazo de presentación.</w:t>
      </w:r>
      <w:r w:rsidRPr="00BB1D25">
        <w:rPr>
          <w:rFonts w:eastAsia="Arial Unicode MS" w:cs="Times New Roman"/>
          <w:color w:val="auto"/>
          <w:sz w:val="20"/>
          <w:szCs w:val="20"/>
          <w:lang w:val="es-ES" w:eastAsia="en-US"/>
        </w:rPr>
        <w:t xml:space="preserve"> </w:t>
      </w:r>
    </w:p>
    <w:p w:rsidR="005F54EC" w:rsidRPr="00BB1D25" w:rsidRDefault="005F54EC" w:rsidP="00BB1D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ES"/>
        </w:rPr>
      </w:pPr>
    </w:p>
    <w:p w:rsidR="005F54EC" w:rsidRPr="00BB1D25" w:rsidRDefault="00BA517D" w:rsidP="00BB1D25">
      <w:pPr>
        <w:pStyle w:val="Heading3"/>
        <w:keepNext w:val="0"/>
        <w:widowControl w:val="0"/>
        <w:snapToGrid w:val="0"/>
        <w:spacing w:before="0" w:after="0"/>
        <w:ind w:firstLine="720"/>
        <w:jc w:val="both"/>
        <w:rPr>
          <w:rFonts w:ascii="Cambria" w:hAnsi="Cambria"/>
          <w:sz w:val="20"/>
          <w:szCs w:val="20"/>
          <w:lang w:val="es-ES_tradnl"/>
        </w:rPr>
      </w:pPr>
      <w:r w:rsidRPr="00BB1D25">
        <w:rPr>
          <w:rFonts w:ascii="Cambria" w:hAnsi="Cambria"/>
          <w:sz w:val="20"/>
          <w:szCs w:val="20"/>
          <w:lang w:val="es-ES_tradnl"/>
        </w:rPr>
        <w:t>3</w:t>
      </w:r>
      <w:r w:rsidR="00296D9C">
        <w:rPr>
          <w:rFonts w:ascii="Cambria" w:hAnsi="Cambria"/>
          <w:sz w:val="20"/>
          <w:szCs w:val="20"/>
          <w:lang w:val="es-ES_tradnl"/>
        </w:rPr>
        <w:t>.</w:t>
      </w:r>
      <w:r w:rsidRPr="00BB1D25">
        <w:rPr>
          <w:rFonts w:ascii="Cambria" w:hAnsi="Cambria"/>
          <w:sz w:val="20"/>
          <w:szCs w:val="20"/>
          <w:lang w:val="es-ES_tradnl"/>
        </w:rPr>
        <w:tab/>
      </w:r>
      <w:r w:rsidR="005F54EC" w:rsidRPr="00BB1D25">
        <w:rPr>
          <w:rFonts w:ascii="Cambria" w:hAnsi="Cambria"/>
          <w:sz w:val="20"/>
          <w:szCs w:val="20"/>
          <w:lang w:val="es-ES_tradnl"/>
        </w:rPr>
        <w:t>Duplicación de procedimiento internacional</w:t>
      </w:r>
    </w:p>
    <w:p w:rsidR="005F54EC" w:rsidRPr="00BB1D25" w:rsidRDefault="005F54EC" w:rsidP="00BB1D25">
      <w:pPr>
        <w:widowControl w:val="0"/>
        <w:tabs>
          <w:tab w:val="num" w:pos="4320"/>
        </w:tabs>
        <w:jc w:val="both"/>
        <w:rPr>
          <w:rFonts w:ascii="Cambria" w:hAnsi="Cambria"/>
          <w:sz w:val="20"/>
          <w:szCs w:val="20"/>
          <w:lang w:val="es-MX"/>
        </w:rPr>
      </w:pPr>
    </w:p>
    <w:p w:rsidR="000E1570" w:rsidRPr="00BB1D25" w:rsidRDefault="005F54EC" w:rsidP="00B64BE7">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4320"/>
        </w:tabs>
        <w:snapToGrid w:val="0"/>
        <w:ind w:left="0" w:firstLine="720"/>
        <w:jc w:val="both"/>
        <w:rPr>
          <w:rFonts w:eastAsia="Arial Unicode MS" w:cs="Times New Roman"/>
          <w:color w:val="auto"/>
          <w:sz w:val="20"/>
          <w:szCs w:val="20"/>
          <w:lang w:val="es-ES" w:eastAsia="en-US"/>
        </w:rPr>
      </w:pPr>
      <w:r w:rsidRPr="00BB1D25">
        <w:rPr>
          <w:rFonts w:eastAsia="Arial Unicode MS" w:cs="Times New Roman"/>
          <w:color w:val="auto"/>
          <w:sz w:val="20"/>
          <w:szCs w:val="20"/>
          <w:lang w:val="es-ES" w:eastAsia="en-US"/>
        </w:rPr>
        <w:t xml:space="preserve">No surge del expediente que la materia de la petición se encuentre pendiente de otro procedimiento de arreglo internacional, ni que reproduzca una petición ya examinada por éste u otro órgano internacional. Por </w:t>
      </w:r>
      <w:r w:rsidR="00405573" w:rsidRPr="00BB1D25">
        <w:rPr>
          <w:rFonts w:eastAsia="Arial Unicode MS" w:cs="Times New Roman"/>
          <w:color w:val="auto"/>
          <w:sz w:val="20"/>
          <w:szCs w:val="20"/>
          <w:lang w:val="es-ES" w:eastAsia="en-US"/>
        </w:rPr>
        <w:t xml:space="preserve">ello, </w:t>
      </w:r>
      <w:r w:rsidRPr="00BB1D25">
        <w:rPr>
          <w:rFonts w:eastAsia="Arial Unicode MS" w:cs="Times New Roman"/>
          <w:color w:val="auto"/>
          <w:sz w:val="20"/>
          <w:szCs w:val="20"/>
          <w:lang w:val="es-ES" w:eastAsia="en-US"/>
        </w:rPr>
        <w:t>corresponde dar por cumplidos los requisitos establecidos en los artículos 46(1)(c) y 47(d) de la Convención</w:t>
      </w:r>
      <w:r w:rsidR="00405573" w:rsidRPr="00BB1D25">
        <w:rPr>
          <w:rFonts w:eastAsia="Arial Unicode MS" w:cs="Times New Roman"/>
          <w:color w:val="auto"/>
          <w:sz w:val="20"/>
          <w:szCs w:val="20"/>
          <w:lang w:val="es-ES" w:eastAsia="en-US"/>
        </w:rPr>
        <w:t xml:space="preserve"> Americana</w:t>
      </w:r>
      <w:r w:rsidRPr="00BB1D25">
        <w:rPr>
          <w:rFonts w:eastAsia="Arial Unicode MS" w:cs="Times New Roman"/>
          <w:color w:val="auto"/>
          <w:sz w:val="20"/>
          <w:szCs w:val="20"/>
          <w:lang w:val="es-ES" w:eastAsia="en-US"/>
        </w:rPr>
        <w:t xml:space="preserve">. </w:t>
      </w:r>
    </w:p>
    <w:p w:rsidR="000E1570" w:rsidRPr="00BB1D25" w:rsidRDefault="000E1570" w:rsidP="00BB1D25">
      <w:pPr>
        <w:widowControl w:val="0"/>
        <w:tabs>
          <w:tab w:val="num" w:pos="2160"/>
        </w:tabs>
        <w:ind w:left="2160"/>
        <w:jc w:val="both"/>
        <w:outlineLvl w:val="0"/>
        <w:rPr>
          <w:rFonts w:ascii="Cambria" w:hAnsi="Cambria"/>
          <w:b/>
          <w:kern w:val="36"/>
          <w:sz w:val="20"/>
          <w:szCs w:val="20"/>
          <w:lang w:val="es-ES"/>
        </w:rPr>
      </w:pPr>
    </w:p>
    <w:p w:rsidR="000E1570" w:rsidRPr="00BB1D25" w:rsidRDefault="000E1570" w:rsidP="00AD6B05">
      <w:pPr>
        <w:pStyle w:val="ListParagraph"/>
        <w:widowControl w:val="0"/>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outlineLvl w:val="0"/>
        <w:rPr>
          <w:b/>
          <w:kern w:val="36"/>
          <w:sz w:val="20"/>
          <w:szCs w:val="20"/>
          <w:lang w:val="es-ES"/>
        </w:rPr>
      </w:pPr>
      <w:r w:rsidRPr="00BB1D25">
        <w:rPr>
          <w:b/>
          <w:kern w:val="36"/>
          <w:sz w:val="20"/>
          <w:szCs w:val="20"/>
          <w:lang w:val="es-ES"/>
        </w:rPr>
        <w:t>Caracterización de los hechos alegados</w:t>
      </w:r>
    </w:p>
    <w:p w:rsidR="000E1570" w:rsidRPr="00BB1D25" w:rsidRDefault="000E1570" w:rsidP="00BB1D25">
      <w:pPr>
        <w:widowControl w:val="0"/>
        <w:ind w:left="720"/>
        <w:jc w:val="both"/>
        <w:rPr>
          <w:rFonts w:ascii="Cambria" w:hAnsi="Cambria"/>
          <w:sz w:val="20"/>
          <w:szCs w:val="20"/>
          <w:lang w:val="es-AR"/>
        </w:rPr>
      </w:pPr>
    </w:p>
    <w:p w:rsidR="000E1570" w:rsidRPr="00BB1D25" w:rsidRDefault="000E1570" w:rsidP="00B64BE7">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sz w:val="20"/>
          <w:szCs w:val="20"/>
          <w:lang w:val="es-AR"/>
        </w:rPr>
      </w:pPr>
      <w:r w:rsidRPr="00BB1D25">
        <w:rPr>
          <w:sz w:val="20"/>
          <w:szCs w:val="20"/>
          <w:lang w:val="es-AR"/>
        </w:rPr>
        <w:t xml:space="preserve">Corresponde a la Comisión Interamericana determinar si los hechos descritos en la petición caracterizan violaciones de los derechos consagrados en la Convención Americana, conforme a los requerimientos del artículo 47.b), o si la petición, conforme al artículo 47.c), debe ser rechazada por ser “manifiestamente infundada” o por resultar “evidente su total improcedencia”. En esta etapa procesal corresponde a la CIDH hacer una evaluación </w:t>
      </w:r>
      <w:r w:rsidRPr="00BB1D25">
        <w:rPr>
          <w:i/>
          <w:sz w:val="20"/>
          <w:szCs w:val="20"/>
          <w:lang w:val="es-AR"/>
        </w:rPr>
        <w:t>prima facie,</w:t>
      </w:r>
      <w:r w:rsidRPr="00BB1D25">
        <w:rPr>
          <w:sz w:val="20"/>
          <w:szCs w:val="20"/>
          <w:lang w:val="es-AR"/>
        </w:rPr>
        <w:t xml:space="preserve"> no con el objeto de establecer presuntas violaciones a la Convención Americana, sino para </w:t>
      </w:r>
      <w:r w:rsidR="007965F4" w:rsidRPr="00BB1D25">
        <w:rPr>
          <w:sz w:val="20"/>
          <w:szCs w:val="20"/>
          <w:lang w:val="es-AR"/>
        </w:rPr>
        <w:t xml:space="preserve"> </w:t>
      </w:r>
      <w:r w:rsidRPr="00BB1D25">
        <w:rPr>
          <w:sz w:val="20"/>
          <w:szCs w:val="20"/>
          <w:lang w:val="es-AR"/>
        </w:rPr>
        <w:t>examinar si la petición denuncia hechos que potencialmente podrían configurar violaciones a derechos garantizados en la Convención Americana. Este examen no implica prejuzgamiento ni anticipo de la opinión sobre el fondo del asunto</w:t>
      </w:r>
      <w:r w:rsidR="005732C0" w:rsidRPr="00BB1D25">
        <w:rPr>
          <w:rStyle w:val="FootnoteReference"/>
          <w:sz w:val="20"/>
          <w:szCs w:val="20"/>
          <w:lang w:val="es-AR"/>
        </w:rPr>
        <w:footnoteReference w:id="4"/>
      </w:r>
      <w:r w:rsidRPr="00BB1D25">
        <w:rPr>
          <w:sz w:val="20"/>
          <w:szCs w:val="20"/>
          <w:lang w:val="es-AR"/>
        </w:rPr>
        <w:t>.</w:t>
      </w:r>
    </w:p>
    <w:p w:rsidR="000E1570" w:rsidRPr="00BB1D25" w:rsidRDefault="000E1570" w:rsidP="00BB1D25">
      <w:pPr>
        <w:widowControl w:val="0"/>
        <w:ind w:firstLine="2160"/>
        <w:jc w:val="both"/>
        <w:rPr>
          <w:rFonts w:ascii="Cambria" w:hAnsi="Cambria"/>
          <w:sz w:val="20"/>
          <w:szCs w:val="20"/>
          <w:lang w:val="es-AR"/>
        </w:rPr>
      </w:pPr>
    </w:p>
    <w:p w:rsidR="005C5FA6" w:rsidRPr="005C5FA6" w:rsidRDefault="000E1570" w:rsidP="005C5FA6">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AR"/>
        </w:rPr>
      </w:pPr>
      <w:r w:rsidRPr="005C5FA6">
        <w:rPr>
          <w:rFonts w:ascii="Cambria" w:hAnsi="Cambria"/>
          <w:sz w:val="20"/>
          <w:szCs w:val="20"/>
          <w:lang w:val="es-AR"/>
        </w:rPr>
        <w:t>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o podría establecerse su violación, si los hechos alegados son probados mediante elementos suficientes.</w:t>
      </w:r>
    </w:p>
    <w:p w:rsidR="005C5FA6" w:rsidRPr="005C5FA6" w:rsidRDefault="005C5FA6" w:rsidP="005C5FA6">
      <w:pPr>
        <w:pStyle w:val="ListParagraph"/>
        <w:rPr>
          <w:sz w:val="20"/>
          <w:szCs w:val="20"/>
          <w:lang w:val="es-ES"/>
        </w:rPr>
      </w:pPr>
    </w:p>
    <w:p w:rsidR="005C5FA6" w:rsidRPr="00355E99" w:rsidRDefault="0028718C" w:rsidP="005C5FA6">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AR"/>
        </w:rPr>
      </w:pPr>
      <w:r w:rsidRPr="00CE7C75">
        <w:rPr>
          <w:rFonts w:ascii="Cambria" w:hAnsi="Cambria"/>
          <w:sz w:val="20"/>
          <w:szCs w:val="20"/>
          <w:lang w:val="es-ES"/>
        </w:rPr>
        <w:t>La Comisión toma nota que el objeto de la presente</w:t>
      </w:r>
      <w:r w:rsidR="00355E99" w:rsidRPr="00CE7C75">
        <w:rPr>
          <w:rFonts w:ascii="Cambria" w:hAnsi="Cambria"/>
          <w:sz w:val="20"/>
          <w:szCs w:val="20"/>
          <w:lang w:val="es-ES"/>
        </w:rPr>
        <w:t xml:space="preserve"> petición plantea cuestiones referentes al </w:t>
      </w:r>
      <w:r w:rsidR="00E83D98" w:rsidRPr="00CE7C75">
        <w:rPr>
          <w:rFonts w:ascii="Cambria" w:hAnsi="Cambria"/>
          <w:sz w:val="20"/>
          <w:szCs w:val="20"/>
          <w:lang w:val="es-ES"/>
        </w:rPr>
        <w:t xml:space="preserve">contenido y </w:t>
      </w:r>
      <w:r w:rsidR="00355E99" w:rsidRPr="00CE7C75">
        <w:rPr>
          <w:rFonts w:ascii="Cambria" w:hAnsi="Cambria"/>
          <w:sz w:val="20"/>
          <w:szCs w:val="20"/>
          <w:lang w:val="es-ES"/>
        </w:rPr>
        <w:t>alcance de</w:t>
      </w:r>
      <w:r w:rsidR="007F6CD6" w:rsidRPr="00CE7C75">
        <w:rPr>
          <w:rFonts w:ascii="Cambria" w:hAnsi="Cambria"/>
          <w:sz w:val="20"/>
          <w:szCs w:val="20"/>
          <w:lang w:val="es-ES"/>
        </w:rPr>
        <w:t xml:space="preserve">l derecho </w:t>
      </w:r>
      <w:r w:rsidR="004739FA" w:rsidRPr="00CE7C75">
        <w:rPr>
          <w:rFonts w:ascii="Cambria" w:hAnsi="Cambria"/>
          <w:sz w:val="20"/>
          <w:szCs w:val="20"/>
          <w:lang w:val="es-ES"/>
        </w:rPr>
        <w:t>a la reparación en materia de violaciones de derechos</w:t>
      </w:r>
      <w:r w:rsidR="00355E99" w:rsidRPr="00CE7C75">
        <w:rPr>
          <w:rFonts w:ascii="Cambria" w:hAnsi="Cambria"/>
          <w:sz w:val="20"/>
          <w:szCs w:val="20"/>
          <w:lang w:val="es-ES"/>
        </w:rPr>
        <w:t xml:space="preserve">. </w:t>
      </w:r>
      <w:r w:rsidR="00AC247A" w:rsidRPr="00CE7C75">
        <w:rPr>
          <w:rFonts w:ascii="Cambria" w:hAnsi="Cambria"/>
          <w:sz w:val="20"/>
          <w:szCs w:val="20"/>
          <w:lang w:val="es-ES"/>
        </w:rPr>
        <w:t>Los</w:t>
      </w:r>
      <w:r w:rsidR="00AC247A" w:rsidRPr="00355E99">
        <w:rPr>
          <w:rFonts w:ascii="Cambria" w:hAnsi="Cambria"/>
          <w:sz w:val="20"/>
          <w:szCs w:val="20"/>
          <w:lang w:val="es-ES"/>
        </w:rPr>
        <w:t xml:space="preserve"> alegatos presentados</w:t>
      </w:r>
      <w:r w:rsidR="005C5FA6" w:rsidRPr="00355E99">
        <w:rPr>
          <w:rFonts w:ascii="Cambria" w:hAnsi="Cambria"/>
          <w:sz w:val="20"/>
          <w:szCs w:val="20"/>
          <w:lang w:val="es-ES"/>
        </w:rPr>
        <w:t xml:space="preserve"> se relaciona</w:t>
      </w:r>
      <w:r w:rsidR="00AC247A" w:rsidRPr="00355E99">
        <w:rPr>
          <w:rFonts w:ascii="Cambria" w:hAnsi="Cambria"/>
          <w:sz w:val="20"/>
          <w:szCs w:val="20"/>
          <w:lang w:val="es-ES"/>
        </w:rPr>
        <w:t>n</w:t>
      </w:r>
      <w:r w:rsidR="005C5FA6" w:rsidRPr="00355E99">
        <w:rPr>
          <w:rFonts w:ascii="Cambria" w:hAnsi="Cambria"/>
          <w:sz w:val="20"/>
          <w:szCs w:val="20"/>
          <w:lang w:val="es-ES"/>
        </w:rPr>
        <w:t xml:space="preserve"> con la decisión de 21 de enero de 2004, mediante la cual la Corte Suprema de Justicia de Chile negó a </w:t>
      </w:r>
      <w:r w:rsidR="00CC048C" w:rsidRPr="00355E99">
        <w:rPr>
          <w:rFonts w:ascii="Cambria" w:hAnsi="Cambria"/>
          <w:sz w:val="20"/>
          <w:szCs w:val="20"/>
          <w:lang w:val="es-ES"/>
        </w:rPr>
        <w:t>las presuntas víctimas</w:t>
      </w:r>
      <w:r w:rsidR="005C5FA6" w:rsidRPr="00355E99">
        <w:rPr>
          <w:rFonts w:ascii="Cambria" w:hAnsi="Cambria"/>
          <w:sz w:val="20"/>
          <w:szCs w:val="20"/>
          <w:lang w:val="es-ES"/>
        </w:rPr>
        <w:t>– con base en la aplicación de la prescripción de la acción civil- acceso a una reparación pecuniaria que los indemnizara por acciones emprendidas en su contra tras el golpe de 11 de septiembre de 197</w:t>
      </w:r>
      <w:r w:rsidR="006904EE" w:rsidRPr="00355E99">
        <w:rPr>
          <w:rFonts w:ascii="Cambria" w:hAnsi="Cambria"/>
          <w:sz w:val="20"/>
          <w:szCs w:val="20"/>
          <w:lang w:val="es-ES"/>
        </w:rPr>
        <w:t>3</w:t>
      </w:r>
      <w:r w:rsidR="005C5FA6" w:rsidRPr="00355E99">
        <w:rPr>
          <w:rFonts w:ascii="Cambria" w:hAnsi="Cambria"/>
          <w:sz w:val="20"/>
          <w:szCs w:val="20"/>
          <w:lang w:val="es-ES"/>
        </w:rPr>
        <w:t xml:space="preserve">. Según el peticionario, la acción civil que interpuso en 1995 buscaba revertir los efectos de decretos emitidos por el gobierno de facto en los que se resolvió “para acallar disidencias políticas” la disolución y cierre de la radio La Voz del Sur, de su propiedad, así como por la confiscación de los bienes e </w:t>
      </w:r>
      <w:r w:rsidR="00A74727" w:rsidRPr="00355E99">
        <w:rPr>
          <w:rFonts w:ascii="Cambria" w:hAnsi="Cambria"/>
          <w:sz w:val="20"/>
          <w:szCs w:val="20"/>
          <w:lang w:val="es-ES"/>
        </w:rPr>
        <w:t>instalaciones</w:t>
      </w:r>
      <w:r w:rsidR="005C5FA6" w:rsidRPr="00355E99">
        <w:rPr>
          <w:rFonts w:ascii="Cambria" w:hAnsi="Cambria"/>
          <w:sz w:val="20"/>
          <w:szCs w:val="20"/>
          <w:lang w:val="es-ES"/>
        </w:rPr>
        <w:t xml:space="preserve"> de la radio. El peticionario alegó que la decisión adoptada por el poder judicial en su país vulneró su derecho de acceso a una justicia efectiva, y no “solamente les habría privado de su derecho a la propiedad”, sino que les ha impedido que, a través de una justa reparación, su “opinión pueda volver </w:t>
      </w:r>
      <w:r w:rsidR="00477C5C" w:rsidRPr="00355E99">
        <w:rPr>
          <w:rFonts w:ascii="Cambria" w:hAnsi="Cambria"/>
          <w:sz w:val="20"/>
          <w:szCs w:val="20"/>
          <w:lang w:val="es-ES"/>
        </w:rPr>
        <w:t>a ser comunicada” una vez restaurada la democracia en su país.</w:t>
      </w:r>
      <w:r w:rsidR="00355E99" w:rsidRPr="00355E99">
        <w:rPr>
          <w:rFonts w:ascii="Cambria" w:hAnsi="Cambria"/>
          <w:sz w:val="20"/>
          <w:szCs w:val="20"/>
          <w:lang w:val="es-ES"/>
        </w:rPr>
        <w:t xml:space="preserve"> </w:t>
      </w:r>
    </w:p>
    <w:p w:rsidR="002C3A70" w:rsidRPr="00665C6A" w:rsidRDefault="002C3A70" w:rsidP="00BB1D25">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2C3A70" w:rsidRPr="00BB1D25" w:rsidRDefault="005C5FA6" w:rsidP="00B64BE7">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65C6A">
        <w:rPr>
          <w:rFonts w:ascii="Cambria" w:hAnsi="Cambria"/>
          <w:sz w:val="20"/>
          <w:szCs w:val="20"/>
          <w:lang w:val="es-ES"/>
        </w:rPr>
        <w:t>E</w:t>
      </w:r>
      <w:r w:rsidR="00BE0D02" w:rsidRPr="00665C6A">
        <w:rPr>
          <w:rFonts w:ascii="Cambria" w:hAnsi="Cambria"/>
          <w:sz w:val="20"/>
          <w:szCs w:val="20"/>
          <w:lang w:val="es-ES"/>
        </w:rPr>
        <w:t xml:space="preserve">n vista de los elementos de hecho y de derecho presentados por las partes y la naturaleza del asunto puesto a su conocimiento, la CIDH considera que los alegatos del peticionario sobre el alcance de la presunta responsabilidad estatal respecto de los hechos materia del reclamo podrían caracterizar posibles violaciones a los derechos contenidos en </w:t>
      </w:r>
      <w:r w:rsidR="00BE0D02" w:rsidRPr="00665C6A">
        <w:rPr>
          <w:rFonts w:ascii="Cambria" w:hAnsi="Cambria"/>
          <w:sz w:val="20"/>
          <w:szCs w:val="20"/>
          <w:lang w:val="es-CO"/>
        </w:rPr>
        <w:t xml:space="preserve">los artículos </w:t>
      </w:r>
      <w:r w:rsidR="00AC247A" w:rsidRPr="00665C6A">
        <w:rPr>
          <w:rFonts w:ascii="Cambria" w:hAnsi="Cambria"/>
          <w:sz w:val="20"/>
          <w:szCs w:val="20"/>
          <w:lang w:val="es-CO"/>
        </w:rPr>
        <w:t>8,</w:t>
      </w:r>
      <w:r w:rsidR="00AC247A">
        <w:rPr>
          <w:rFonts w:ascii="Cambria" w:hAnsi="Cambria"/>
          <w:sz w:val="20"/>
          <w:szCs w:val="20"/>
          <w:lang w:val="es-CO"/>
        </w:rPr>
        <w:t xml:space="preserve"> </w:t>
      </w:r>
      <w:r w:rsidR="00BE0D02" w:rsidRPr="00BB1D25">
        <w:rPr>
          <w:rFonts w:ascii="Cambria" w:hAnsi="Cambria"/>
          <w:sz w:val="20"/>
          <w:szCs w:val="20"/>
          <w:lang w:val="es-CO"/>
        </w:rPr>
        <w:t xml:space="preserve">13, 21 y 25 de la Convención Americana sobre los Derechos Humanos. </w:t>
      </w:r>
      <w:r w:rsidR="00BE0D02" w:rsidRPr="00BB1D25">
        <w:rPr>
          <w:rFonts w:ascii="Cambria" w:hAnsi="Cambria"/>
          <w:sz w:val="20"/>
          <w:szCs w:val="20"/>
          <w:lang w:val="es-ES"/>
        </w:rPr>
        <w:t>La Comisión analizará la posible violación de estas disposiciones a la luz de las obligaciones generales consagradas en los artículos 1.1 y 2 del mismo documento.</w:t>
      </w:r>
    </w:p>
    <w:p w:rsidR="000E1570" w:rsidRPr="00BB1D25" w:rsidRDefault="000E1570" w:rsidP="00BB1D25">
      <w:pPr>
        <w:widowControl w:val="0"/>
        <w:ind w:left="720"/>
        <w:jc w:val="both"/>
        <w:rPr>
          <w:rFonts w:ascii="Cambria" w:hAnsi="Cambria"/>
          <w:sz w:val="20"/>
          <w:szCs w:val="20"/>
          <w:lang w:val="es-AR"/>
        </w:rPr>
      </w:pPr>
    </w:p>
    <w:p w:rsidR="000E1570" w:rsidRPr="001F4705" w:rsidRDefault="000E1570" w:rsidP="002A1E2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AR"/>
        </w:rPr>
      </w:pPr>
      <w:r w:rsidRPr="00BB1D25">
        <w:rPr>
          <w:rFonts w:ascii="Cambria" w:hAnsi="Cambria"/>
          <w:sz w:val="20"/>
          <w:szCs w:val="20"/>
          <w:lang w:val="es-ES"/>
        </w:rPr>
        <w:t>En c</w:t>
      </w:r>
      <w:r w:rsidR="00BE0D02" w:rsidRPr="00BB1D25">
        <w:rPr>
          <w:rFonts w:ascii="Cambria" w:hAnsi="Cambria"/>
          <w:sz w:val="20"/>
          <w:szCs w:val="20"/>
          <w:lang w:val="es-ES"/>
        </w:rPr>
        <w:t>onclusión, la CIDH decide que esta</w:t>
      </w:r>
      <w:r w:rsidRPr="00BB1D25">
        <w:rPr>
          <w:rFonts w:ascii="Cambria" w:hAnsi="Cambria"/>
          <w:sz w:val="20"/>
          <w:szCs w:val="20"/>
          <w:lang w:val="es-ES"/>
        </w:rPr>
        <w:t xml:space="preserve"> petición no es “manifiestamente infundada” ni resulta “evidente su total improcedencia”, y como resultado declara qu</w:t>
      </w:r>
      <w:r w:rsidR="00BE0D02" w:rsidRPr="00BB1D25">
        <w:rPr>
          <w:rFonts w:ascii="Cambria" w:hAnsi="Cambria"/>
          <w:sz w:val="20"/>
          <w:szCs w:val="20"/>
          <w:lang w:val="es-ES"/>
        </w:rPr>
        <w:t>e el peticionario</w:t>
      </w:r>
      <w:r w:rsidRPr="00BB1D25">
        <w:rPr>
          <w:rFonts w:ascii="Cambria" w:hAnsi="Cambria"/>
          <w:sz w:val="20"/>
          <w:szCs w:val="20"/>
          <w:lang w:val="es-ES"/>
        </w:rPr>
        <w:t xml:space="preserve"> ha cumplido </w:t>
      </w:r>
      <w:r w:rsidRPr="00BB1D25">
        <w:rPr>
          <w:rFonts w:ascii="Cambria" w:hAnsi="Cambria"/>
          <w:i/>
          <w:iCs/>
          <w:sz w:val="20"/>
          <w:szCs w:val="20"/>
          <w:lang w:val="es-ES"/>
        </w:rPr>
        <w:t xml:space="preserve">prima facie </w:t>
      </w:r>
      <w:r w:rsidR="00BE0D02" w:rsidRPr="00BB1D25">
        <w:rPr>
          <w:rFonts w:ascii="Cambria" w:hAnsi="Cambria"/>
          <w:iCs/>
          <w:sz w:val="20"/>
          <w:szCs w:val="20"/>
          <w:lang w:val="es-ES"/>
        </w:rPr>
        <w:t xml:space="preserve">con </w:t>
      </w:r>
      <w:r w:rsidRPr="00BB1D25">
        <w:rPr>
          <w:rFonts w:ascii="Cambria" w:hAnsi="Cambria"/>
          <w:sz w:val="20"/>
          <w:szCs w:val="20"/>
          <w:lang w:val="es-ES"/>
        </w:rPr>
        <w:t xml:space="preserve">los requisitos </w:t>
      </w:r>
      <w:r w:rsidR="00BE0D02" w:rsidRPr="00BB1D25">
        <w:rPr>
          <w:rFonts w:ascii="Cambria" w:hAnsi="Cambria"/>
          <w:sz w:val="20"/>
          <w:szCs w:val="20"/>
          <w:lang w:val="es-ES"/>
        </w:rPr>
        <w:t xml:space="preserve">previstos por los </w:t>
      </w:r>
      <w:r w:rsidRPr="00BB1D25">
        <w:rPr>
          <w:rFonts w:ascii="Cambria" w:hAnsi="Cambria"/>
          <w:sz w:val="20"/>
          <w:szCs w:val="20"/>
          <w:lang w:val="es-ES"/>
        </w:rPr>
        <w:t>artículo</w:t>
      </w:r>
      <w:r w:rsidR="00BE0D02" w:rsidRPr="00BB1D25">
        <w:rPr>
          <w:rFonts w:ascii="Cambria" w:hAnsi="Cambria"/>
          <w:sz w:val="20"/>
          <w:szCs w:val="20"/>
          <w:lang w:val="es-ES"/>
        </w:rPr>
        <w:t>s</w:t>
      </w:r>
      <w:r w:rsidRPr="00BB1D25">
        <w:rPr>
          <w:rFonts w:ascii="Cambria" w:hAnsi="Cambria"/>
          <w:sz w:val="20"/>
          <w:szCs w:val="20"/>
          <w:lang w:val="es-ES"/>
        </w:rPr>
        <w:t xml:space="preserve"> 47.b.</w:t>
      </w:r>
      <w:r w:rsidR="00BE0D02" w:rsidRPr="00BB1D25">
        <w:rPr>
          <w:rFonts w:ascii="Cambria" w:hAnsi="Cambria"/>
          <w:sz w:val="20"/>
          <w:szCs w:val="20"/>
          <w:lang w:val="es-ES"/>
        </w:rPr>
        <w:t xml:space="preserve"> y 47.c </w:t>
      </w:r>
      <w:r w:rsidRPr="00BB1D25">
        <w:rPr>
          <w:rFonts w:ascii="Cambria" w:hAnsi="Cambria"/>
          <w:sz w:val="20"/>
          <w:szCs w:val="20"/>
          <w:lang w:val="es-ES"/>
        </w:rPr>
        <w:t xml:space="preserve"> de la Convención Americana con relación a potenciale</w:t>
      </w:r>
      <w:r w:rsidR="00783259" w:rsidRPr="00BB1D25">
        <w:rPr>
          <w:rFonts w:ascii="Cambria" w:hAnsi="Cambria"/>
          <w:sz w:val="20"/>
          <w:szCs w:val="20"/>
          <w:lang w:val="es-ES"/>
        </w:rPr>
        <w:t xml:space="preserve">s </w:t>
      </w:r>
      <w:r w:rsidR="00783259" w:rsidRPr="00BB1D25">
        <w:rPr>
          <w:rFonts w:ascii="Cambria" w:hAnsi="Cambria"/>
          <w:sz w:val="20"/>
          <w:szCs w:val="20"/>
          <w:lang w:val="es-ES"/>
        </w:rPr>
        <w:lastRenderedPageBreak/>
        <w:t xml:space="preserve">violaciones de los </w:t>
      </w:r>
      <w:r w:rsidR="00783259" w:rsidRPr="00CE7C75">
        <w:rPr>
          <w:rFonts w:ascii="Cambria" w:hAnsi="Cambria"/>
          <w:sz w:val="20"/>
          <w:szCs w:val="20"/>
          <w:lang w:val="es-ES"/>
        </w:rPr>
        <w:t xml:space="preserve">artículos </w:t>
      </w:r>
      <w:r w:rsidR="00AC247A" w:rsidRPr="00CE7C75">
        <w:rPr>
          <w:rFonts w:ascii="Cambria" w:hAnsi="Cambria"/>
          <w:sz w:val="20"/>
          <w:szCs w:val="20"/>
          <w:lang w:val="es-ES"/>
        </w:rPr>
        <w:t>8</w:t>
      </w:r>
      <w:r w:rsidR="001F4705" w:rsidRPr="00CE7C75">
        <w:rPr>
          <w:rFonts w:ascii="Cambria" w:hAnsi="Cambria"/>
          <w:sz w:val="20"/>
          <w:szCs w:val="20"/>
          <w:lang w:val="es-ES"/>
        </w:rPr>
        <w:t xml:space="preserve"> (garantías judiciales)</w:t>
      </w:r>
      <w:r w:rsidR="00AC247A" w:rsidRPr="00CE7C75">
        <w:rPr>
          <w:rFonts w:ascii="Cambria" w:hAnsi="Cambria"/>
          <w:sz w:val="20"/>
          <w:szCs w:val="20"/>
          <w:lang w:val="es-ES"/>
        </w:rPr>
        <w:t xml:space="preserve">, </w:t>
      </w:r>
      <w:r w:rsidR="001F4705" w:rsidRPr="00CE7C75">
        <w:rPr>
          <w:rFonts w:ascii="Cambria" w:hAnsi="Cambria"/>
          <w:sz w:val="20"/>
          <w:szCs w:val="20"/>
          <w:lang w:val="es-ES"/>
        </w:rPr>
        <w:t xml:space="preserve">13 (libertad de expresión), </w:t>
      </w:r>
      <w:r w:rsidR="001F4705" w:rsidRPr="00CE7C75">
        <w:rPr>
          <w:rFonts w:ascii="Cambria" w:hAnsi="Cambria" w:cs="Arial"/>
          <w:spacing w:val="-2"/>
          <w:sz w:val="20"/>
          <w:szCs w:val="20"/>
          <w:lang w:val="es-ES"/>
        </w:rPr>
        <w:t>21 (propiedad privada) y 25 (protección judicial</w:t>
      </w:r>
      <w:r w:rsidR="001F4705" w:rsidRPr="00CE7C75">
        <w:rPr>
          <w:rFonts w:ascii="Cambria" w:hAnsi="Cambria"/>
          <w:sz w:val="20"/>
          <w:szCs w:val="20"/>
          <w:lang w:val="es-ES"/>
        </w:rPr>
        <w:t>)</w:t>
      </w:r>
      <w:r w:rsidR="001F4705" w:rsidRPr="00CE7C75">
        <w:rPr>
          <w:rFonts w:ascii="Cambria" w:hAnsi="Cambria"/>
          <w:sz w:val="20"/>
          <w:szCs w:val="20"/>
          <w:lang w:val="es-AR"/>
        </w:rPr>
        <w:t xml:space="preserve"> </w:t>
      </w:r>
      <w:r w:rsidRPr="00CE7C75">
        <w:rPr>
          <w:rFonts w:ascii="Cambria" w:hAnsi="Cambria"/>
          <w:sz w:val="20"/>
          <w:szCs w:val="20"/>
          <w:lang w:val="es-ES"/>
        </w:rPr>
        <w:t>de la Convención</w:t>
      </w:r>
      <w:r w:rsidRPr="001F4705">
        <w:rPr>
          <w:rFonts w:ascii="Cambria" w:hAnsi="Cambria"/>
          <w:sz w:val="20"/>
          <w:szCs w:val="20"/>
          <w:lang w:val="es-ES"/>
        </w:rPr>
        <w:t xml:space="preserve"> Americana, en relación con las obligaciones generales consagradas en los artículos 1.1 y 2 del mismo instrumento</w:t>
      </w:r>
      <w:r w:rsidR="00BE0D02" w:rsidRPr="001F4705">
        <w:rPr>
          <w:rFonts w:ascii="Cambria" w:hAnsi="Cambria"/>
          <w:sz w:val="20"/>
          <w:szCs w:val="20"/>
          <w:lang w:val="es-ES"/>
        </w:rPr>
        <w:t>.</w:t>
      </w:r>
    </w:p>
    <w:p w:rsidR="005139C5" w:rsidRPr="00BB1D25" w:rsidRDefault="005139C5" w:rsidP="001F4705">
      <w:pPr>
        <w:widowControl w:val="0"/>
        <w:ind w:left="720"/>
        <w:jc w:val="both"/>
        <w:outlineLvl w:val="0"/>
        <w:rPr>
          <w:rFonts w:ascii="Cambria" w:hAnsi="Cambria"/>
          <w:b/>
          <w:kern w:val="36"/>
          <w:sz w:val="20"/>
          <w:szCs w:val="20"/>
          <w:lang w:val="es-ES"/>
        </w:rPr>
      </w:pPr>
    </w:p>
    <w:p w:rsidR="000E1570" w:rsidRPr="00BB1D25" w:rsidRDefault="000E1570" w:rsidP="001F4705">
      <w:pPr>
        <w:widowControl w:val="0"/>
        <w:ind w:left="720"/>
        <w:jc w:val="both"/>
        <w:outlineLvl w:val="0"/>
        <w:rPr>
          <w:rFonts w:ascii="Cambria" w:hAnsi="Cambria"/>
          <w:b/>
          <w:snapToGrid w:val="0"/>
          <w:sz w:val="20"/>
          <w:szCs w:val="20"/>
        </w:rPr>
      </w:pPr>
      <w:r w:rsidRPr="00BB1D25">
        <w:rPr>
          <w:rFonts w:ascii="Cambria" w:hAnsi="Cambria"/>
          <w:b/>
          <w:kern w:val="36"/>
          <w:sz w:val="20"/>
          <w:szCs w:val="20"/>
        </w:rPr>
        <w:t>V</w:t>
      </w:r>
      <w:r w:rsidRPr="00BB1D25">
        <w:rPr>
          <w:rFonts w:ascii="Cambria" w:hAnsi="Cambria"/>
          <w:b/>
          <w:snapToGrid w:val="0"/>
          <w:sz w:val="20"/>
          <w:szCs w:val="20"/>
        </w:rPr>
        <w:t>.</w:t>
      </w:r>
      <w:r w:rsidRPr="00BB1D25">
        <w:rPr>
          <w:rFonts w:ascii="Cambria" w:hAnsi="Cambria"/>
          <w:b/>
          <w:snapToGrid w:val="0"/>
          <w:sz w:val="20"/>
          <w:szCs w:val="20"/>
        </w:rPr>
        <w:tab/>
        <w:t>CONCLUSIONES</w:t>
      </w:r>
    </w:p>
    <w:p w:rsidR="000E1570" w:rsidRPr="00BB1D25" w:rsidRDefault="000E1570" w:rsidP="001F4705">
      <w:pPr>
        <w:widowControl w:val="0"/>
        <w:ind w:left="720"/>
        <w:jc w:val="both"/>
        <w:outlineLvl w:val="0"/>
        <w:rPr>
          <w:rFonts w:ascii="Cambria" w:hAnsi="Cambria"/>
          <w:b/>
          <w:bCs/>
          <w:kern w:val="36"/>
          <w:sz w:val="20"/>
          <w:szCs w:val="20"/>
        </w:rPr>
      </w:pPr>
    </w:p>
    <w:p w:rsidR="004B33C9" w:rsidRPr="00BB1D25" w:rsidRDefault="004B33C9" w:rsidP="00B64BE7">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AR"/>
        </w:rPr>
      </w:pPr>
      <w:r w:rsidRPr="00BB1D25">
        <w:rPr>
          <w:rFonts w:ascii="Cambria" w:hAnsi="Cambria"/>
          <w:sz w:val="20"/>
          <w:szCs w:val="20"/>
          <w:lang w:val="es-AR"/>
        </w:rPr>
        <w:t xml:space="preserve">La </w:t>
      </w:r>
      <w:r w:rsidR="00405573" w:rsidRPr="00BB1D25">
        <w:rPr>
          <w:rFonts w:ascii="Cambria" w:hAnsi="Cambria"/>
          <w:sz w:val="20"/>
          <w:szCs w:val="20"/>
          <w:lang w:val="es-AR"/>
        </w:rPr>
        <w:t>Comisión</w:t>
      </w:r>
      <w:r w:rsidRPr="00BB1D25">
        <w:rPr>
          <w:rFonts w:ascii="Cambria" w:hAnsi="Cambria"/>
          <w:sz w:val="20"/>
          <w:szCs w:val="20"/>
          <w:lang w:val="es-AR"/>
        </w:rPr>
        <w:t xml:space="preserve"> Interamericana concluye que tiene competencia para conocer el fondo de este caso y que la petición es admisible de conformidad con los artículos 46 y 47 de la </w:t>
      </w:r>
      <w:r w:rsidR="00405573" w:rsidRPr="00BB1D25">
        <w:rPr>
          <w:rFonts w:ascii="Cambria" w:hAnsi="Cambria"/>
          <w:sz w:val="20"/>
          <w:szCs w:val="20"/>
          <w:lang w:val="es-AR"/>
        </w:rPr>
        <w:t>Convención</w:t>
      </w:r>
      <w:r w:rsidRPr="00BB1D25">
        <w:rPr>
          <w:rFonts w:ascii="Cambria" w:hAnsi="Cambria"/>
          <w:sz w:val="20"/>
          <w:szCs w:val="20"/>
          <w:lang w:val="es-AR"/>
        </w:rPr>
        <w:t xml:space="preserve"> Americana. Con fundamento en los argumentos de hecho y de derecho antes expuestos, y sin prejuzgar sobre el fondo de la cuestión, </w:t>
      </w:r>
    </w:p>
    <w:p w:rsidR="000E1570" w:rsidRPr="00BB1D25" w:rsidRDefault="000E1570" w:rsidP="00BB1D25">
      <w:pPr>
        <w:widowControl w:val="0"/>
        <w:ind w:left="720"/>
        <w:jc w:val="both"/>
        <w:rPr>
          <w:rFonts w:ascii="Cambria" w:hAnsi="Cambria"/>
          <w:b/>
          <w:sz w:val="20"/>
          <w:szCs w:val="20"/>
          <w:lang w:val="es-ES"/>
        </w:rPr>
      </w:pPr>
    </w:p>
    <w:p w:rsidR="00405573" w:rsidRPr="00BB1D25" w:rsidRDefault="000E1570" w:rsidP="00296D9C">
      <w:pPr>
        <w:widowControl w:val="0"/>
        <w:ind w:left="2070"/>
        <w:jc w:val="both"/>
        <w:rPr>
          <w:rFonts w:ascii="Cambria" w:hAnsi="Cambria"/>
          <w:b/>
          <w:sz w:val="20"/>
          <w:szCs w:val="20"/>
          <w:lang w:val="es-ES"/>
        </w:rPr>
      </w:pPr>
      <w:r w:rsidRPr="00BB1D25">
        <w:rPr>
          <w:rFonts w:ascii="Cambria" w:hAnsi="Cambria"/>
          <w:b/>
          <w:sz w:val="20"/>
          <w:szCs w:val="20"/>
          <w:lang w:val="es-ES"/>
        </w:rPr>
        <w:t>LA COMISIÓN INTE</w:t>
      </w:r>
      <w:r w:rsidR="00405573" w:rsidRPr="00BB1D25">
        <w:rPr>
          <w:rFonts w:ascii="Cambria" w:hAnsi="Cambria"/>
          <w:b/>
          <w:sz w:val="20"/>
          <w:szCs w:val="20"/>
          <w:lang w:val="es-ES"/>
        </w:rPr>
        <w:t>RAMERICANA DE DERECHOS HUMANOS</w:t>
      </w:r>
    </w:p>
    <w:p w:rsidR="000E1570" w:rsidRPr="00BB1D25" w:rsidRDefault="000E1570" w:rsidP="00BB1D25">
      <w:pPr>
        <w:widowControl w:val="0"/>
        <w:jc w:val="both"/>
        <w:rPr>
          <w:rFonts w:ascii="Cambria" w:hAnsi="Cambria"/>
          <w:b/>
          <w:sz w:val="20"/>
          <w:szCs w:val="20"/>
          <w:lang w:val="es-ES"/>
        </w:rPr>
      </w:pPr>
      <w:r w:rsidRPr="00BB1D25">
        <w:rPr>
          <w:rFonts w:ascii="Cambria" w:hAnsi="Cambria"/>
          <w:b/>
          <w:sz w:val="20"/>
          <w:szCs w:val="20"/>
          <w:lang w:val="es-ES"/>
        </w:rPr>
        <w:t xml:space="preserve">DECIDE: </w:t>
      </w:r>
    </w:p>
    <w:p w:rsidR="000E1570" w:rsidRPr="00BB1D25" w:rsidRDefault="000E1570" w:rsidP="00BB1D25">
      <w:pPr>
        <w:widowControl w:val="0"/>
        <w:jc w:val="both"/>
        <w:rPr>
          <w:rFonts w:ascii="Cambria" w:hAnsi="Cambria"/>
          <w:sz w:val="20"/>
          <w:szCs w:val="20"/>
          <w:lang w:val="es-ES"/>
        </w:rPr>
      </w:pPr>
    </w:p>
    <w:p w:rsidR="00405573" w:rsidRPr="00291DE1" w:rsidRDefault="000E1570" w:rsidP="00291DE1">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sz w:val="20"/>
          <w:szCs w:val="20"/>
          <w:lang w:val="es-ES"/>
        </w:rPr>
      </w:pPr>
      <w:r w:rsidRPr="00291DE1">
        <w:rPr>
          <w:sz w:val="20"/>
          <w:szCs w:val="20"/>
          <w:lang w:val="es-ES"/>
        </w:rPr>
        <w:t>Declarar admisible la presente</w:t>
      </w:r>
      <w:r w:rsidR="00B275FF" w:rsidRPr="00291DE1">
        <w:rPr>
          <w:sz w:val="20"/>
          <w:szCs w:val="20"/>
          <w:lang w:val="es-ES"/>
        </w:rPr>
        <w:t xml:space="preserve"> petición </w:t>
      </w:r>
      <w:r w:rsidR="00405573" w:rsidRPr="00291DE1">
        <w:rPr>
          <w:sz w:val="20"/>
          <w:szCs w:val="20"/>
          <w:lang w:val="es-ES"/>
        </w:rPr>
        <w:t xml:space="preserve">en lo que se refiere a presuntas violaciones de los derechos protegidos en los </w:t>
      </w:r>
      <w:r w:rsidR="00405573" w:rsidRPr="00665C6A">
        <w:rPr>
          <w:sz w:val="20"/>
          <w:szCs w:val="20"/>
          <w:lang w:val="es-ES"/>
        </w:rPr>
        <w:t xml:space="preserve">artículos </w:t>
      </w:r>
      <w:r w:rsidR="00AC247A" w:rsidRPr="00665C6A">
        <w:rPr>
          <w:sz w:val="20"/>
          <w:szCs w:val="20"/>
          <w:lang w:val="es-ES"/>
        </w:rPr>
        <w:t xml:space="preserve">8, </w:t>
      </w:r>
      <w:r w:rsidR="00405573" w:rsidRPr="00665C6A">
        <w:rPr>
          <w:sz w:val="20"/>
          <w:szCs w:val="20"/>
          <w:lang w:val="es-ES"/>
        </w:rPr>
        <w:t>13,</w:t>
      </w:r>
      <w:r w:rsidR="00405573" w:rsidRPr="00291DE1">
        <w:rPr>
          <w:sz w:val="20"/>
          <w:szCs w:val="20"/>
          <w:lang w:val="es-ES"/>
        </w:rPr>
        <w:t xml:space="preserve"> 21 y 25 de la Convención Americana, en relación con el artícul</w:t>
      </w:r>
      <w:r w:rsidR="00252CE2">
        <w:rPr>
          <w:sz w:val="20"/>
          <w:szCs w:val="20"/>
          <w:lang w:val="es-ES"/>
        </w:rPr>
        <w:t>o 1.1 y 2 del mismo instrumento.</w:t>
      </w:r>
      <w:r w:rsidR="00405573" w:rsidRPr="00291DE1">
        <w:rPr>
          <w:sz w:val="20"/>
          <w:szCs w:val="20"/>
          <w:lang w:val="es-ES"/>
        </w:rPr>
        <w:t xml:space="preserve"> </w:t>
      </w:r>
    </w:p>
    <w:p w:rsidR="000E1570" w:rsidRPr="00BB1D25" w:rsidRDefault="000E1570" w:rsidP="00BB1D25">
      <w:pPr>
        <w:widowControl w:val="0"/>
        <w:ind w:left="720"/>
        <w:jc w:val="both"/>
        <w:rPr>
          <w:rFonts w:ascii="Cambria" w:hAnsi="Cambria"/>
          <w:sz w:val="20"/>
          <w:szCs w:val="20"/>
          <w:lang w:val="es-ES"/>
        </w:rPr>
      </w:pPr>
    </w:p>
    <w:p w:rsidR="000E1570" w:rsidRPr="00BB1D25" w:rsidRDefault="00405573" w:rsidP="00291DE1">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BB1D25">
        <w:rPr>
          <w:rFonts w:ascii="Cambria" w:hAnsi="Cambria"/>
          <w:sz w:val="20"/>
          <w:szCs w:val="20"/>
          <w:lang w:val="es-ES"/>
        </w:rPr>
        <w:t xml:space="preserve">Notificar esta decisión a las partes, continuar con el análisis de fondo del asunto; y </w:t>
      </w:r>
    </w:p>
    <w:p w:rsidR="00405573" w:rsidRPr="00BB1D25" w:rsidRDefault="00405573" w:rsidP="00BB1D25">
      <w:pPr>
        <w:pStyle w:val="ListParagraph"/>
        <w:widowControl w:val="0"/>
        <w:jc w:val="both"/>
        <w:rPr>
          <w:sz w:val="20"/>
          <w:szCs w:val="20"/>
          <w:lang w:val="es-ES"/>
        </w:rPr>
      </w:pPr>
    </w:p>
    <w:p w:rsidR="000E1570" w:rsidRPr="00BB1D25" w:rsidRDefault="00405573" w:rsidP="00291DE1">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BB1D25">
        <w:rPr>
          <w:rFonts w:ascii="Cambria" w:hAnsi="Cambria"/>
          <w:sz w:val="20"/>
          <w:szCs w:val="20"/>
          <w:lang w:val="es-ES"/>
        </w:rPr>
        <w:t xml:space="preserve">Publicar esta decisión e incluirla en su informe Anual para la Asamblea General de la OEA. </w:t>
      </w:r>
    </w:p>
    <w:p w:rsidR="000E1570" w:rsidRDefault="000E1570" w:rsidP="00BB1D25">
      <w:pPr>
        <w:widowControl w:val="0"/>
        <w:jc w:val="both"/>
        <w:rPr>
          <w:rFonts w:ascii="Cambria" w:hAnsi="Cambria" w:cs="Tahoma"/>
          <w:color w:val="333333"/>
          <w:sz w:val="20"/>
          <w:szCs w:val="20"/>
          <w:lang w:val="es-ES"/>
        </w:rPr>
      </w:pPr>
    </w:p>
    <w:p w:rsidR="00AD6B05" w:rsidRDefault="00AD6B05" w:rsidP="00AD6B05">
      <w:pPr>
        <w:pStyle w:val="ListParagraph"/>
        <w:ind w:left="0" w:firstLine="720"/>
        <w:jc w:val="both"/>
        <w:rPr>
          <w:rFonts w:cs="Arial"/>
          <w:noProof/>
          <w:spacing w:val="-2"/>
          <w:sz w:val="20"/>
          <w:szCs w:val="20"/>
          <w:lang w:val="es-CL"/>
        </w:rPr>
      </w:pPr>
      <w:r>
        <w:rPr>
          <w:rFonts w:cs="Arial"/>
          <w:noProof/>
          <w:spacing w:val="-2"/>
          <w:sz w:val="20"/>
          <w:szCs w:val="20"/>
          <w:lang w:val="es-CL"/>
        </w:rPr>
        <w:t>Dado y firmado en la ciudad de Washington, D.C., a los 17 días del mes de octubre de 2015.  (Firmado): Rose-Marie Belle Antoine, Presidenta; James L. Cavallaro, Primer Vicepresidente; José de Jesús Orozco Henríquez, Segundo Vicepresidente, Tracy Robinson,  y Rosa María Ortiz, Miembros de la Comisión.</w:t>
      </w:r>
    </w:p>
    <w:p w:rsidR="00291DE1" w:rsidRPr="00AD6B05" w:rsidRDefault="00291DE1" w:rsidP="00BB1D25">
      <w:pPr>
        <w:widowControl w:val="0"/>
        <w:jc w:val="both"/>
        <w:rPr>
          <w:rFonts w:ascii="Cambria" w:hAnsi="Cambria" w:cs="Tahoma"/>
          <w:color w:val="333333"/>
          <w:sz w:val="20"/>
          <w:szCs w:val="20"/>
          <w:lang w:val="es-CL"/>
        </w:rPr>
      </w:pPr>
    </w:p>
    <w:sectPr w:rsidR="00291DE1" w:rsidRPr="00AD6B0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FB6" w:rsidRDefault="001C6FB6">
      <w:r>
        <w:separator/>
      </w:r>
    </w:p>
  </w:endnote>
  <w:endnote w:type="continuationSeparator" w:id="0">
    <w:p w:rsidR="001C6FB6" w:rsidRDefault="001C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E3" w:rsidRDefault="00EE3F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4959B7" w:rsidRPr="00934A2C" w:rsidRDefault="004959B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E0E5E">
          <w:rPr>
            <w:noProof/>
            <w:sz w:val="16"/>
            <w:szCs w:val="22"/>
          </w:rPr>
          <w:t>7</w:t>
        </w:r>
        <w:r w:rsidRPr="00934A2C">
          <w:rPr>
            <w:noProof/>
            <w:sz w:val="16"/>
            <w:szCs w:val="22"/>
          </w:rPr>
          <w:fldChar w:fldCharType="end"/>
        </w:r>
      </w:p>
    </w:sdtContent>
  </w:sdt>
  <w:p w:rsidR="004959B7" w:rsidRDefault="004959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B7" w:rsidRPr="00934A2C" w:rsidRDefault="004959B7">
    <w:pPr>
      <w:pStyle w:val="Footer"/>
      <w:jc w:val="center"/>
      <w:rPr>
        <w:sz w:val="16"/>
        <w:szCs w:val="22"/>
      </w:rPr>
    </w:pPr>
  </w:p>
  <w:p w:rsidR="004959B7" w:rsidRDefault="00495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FB6" w:rsidRPr="000F35ED" w:rsidRDefault="001C6FB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C6FB6" w:rsidRPr="000F35ED" w:rsidRDefault="001C6FB6" w:rsidP="000F35ED">
      <w:pPr>
        <w:rPr>
          <w:rFonts w:asciiTheme="majorHAnsi" w:hAnsiTheme="majorHAnsi"/>
          <w:sz w:val="16"/>
          <w:szCs w:val="16"/>
        </w:rPr>
      </w:pPr>
      <w:r w:rsidRPr="000F35ED">
        <w:rPr>
          <w:rFonts w:asciiTheme="majorHAnsi" w:hAnsiTheme="majorHAnsi"/>
          <w:sz w:val="16"/>
          <w:szCs w:val="16"/>
        </w:rPr>
        <w:separator/>
      </w:r>
    </w:p>
    <w:p w:rsidR="001C6FB6" w:rsidRPr="000F35ED" w:rsidRDefault="001C6FB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1C6FB6" w:rsidRPr="000F35ED" w:rsidRDefault="001C6FB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4959B7" w:rsidRPr="002C54BB" w:rsidRDefault="004959B7" w:rsidP="004B33C9">
      <w:pPr>
        <w:pStyle w:val="FootnoteText"/>
        <w:ind w:firstLine="720"/>
        <w:jc w:val="both"/>
        <w:rPr>
          <w:rFonts w:ascii="Cambria" w:hAnsi="Cambria"/>
          <w:sz w:val="16"/>
          <w:szCs w:val="16"/>
          <w:lang w:val="es-ES"/>
        </w:rPr>
      </w:pPr>
      <w:r w:rsidRPr="0048327B">
        <w:rPr>
          <w:rStyle w:val="FootnoteReference"/>
          <w:rFonts w:ascii="Cambria" w:hAnsi="Cambria"/>
          <w:sz w:val="16"/>
          <w:szCs w:val="16"/>
        </w:rPr>
        <w:footnoteRef/>
      </w:r>
      <w:r w:rsidRPr="0048327B">
        <w:rPr>
          <w:rFonts w:ascii="Cambria" w:hAnsi="Cambria"/>
          <w:sz w:val="16"/>
          <w:szCs w:val="16"/>
          <w:lang w:val="es-ES"/>
        </w:rPr>
        <w:t xml:space="preserve"> El Comisionado Felipe González, ciudadano chileno, no participó en las deliberaciones o en la decisión relacionada con la presente petición, de conformidad con el artículo 17.2.a del Reglamento de la Comisión.</w:t>
      </w:r>
      <w:r w:rsidRPr="002C54BB">
        <w:rPr>
          <w:rFonts w:ascii="Cambria" w:hAnsi="Cambria"/>
          <w:sz w:val="16"/>
          <w:szCs w:val="16"/>
          <w:lang w:val="es-ES"/>
        </w:rPr>
        <w:t xml:space="preserve"> </w:t>
      </w:r>
    </w:p>
  </w:footnote>
  <w:footnote w:id="3">
    <w:p w:rsidR="00654810" w:rsidRPr="00BB1D25" w:rsidRDefault="00654810" w:rsidP="00654810">
      <w:pPr>
        <w:pStyle w:val="FootnoteText"/>
        <w:ind w:firstLine="720"/>
        <w:jc w:val="both"/>
        <w:rPr>
          <w:rFonts w:ascii="Cambria" w:hAnsi="Cambria"/>
          <w:sz w:val="16"/>
          <w:szCs w:val="16"/>
          <w:lang w:val="es-ES"/>
        </w:rPr>
      </w:pPr>
      <w:r w:rsidRPr="00BB1D25">
        <w:rPr>
          <w:rStyle w:val="FootnoteReference"/>
          <w:rFonts w:ascii="Cambria" w:hAnsi="Cambria"/>
          <w:sz w:val="16"/>
          <w:szCs w:val="16"/>
        </w:rPr>
        <w:footnoteRef/>
      </w:r>
      <w:r w:rsidRPr="00BB1D25">
        <w:rPr>
          <w:rFonts w:ascii="Cambria" w:hAnsi="Cambria"/>
          <w:sz w:val="16"/>
          <w:szCs w:val="16"/>
          <w:lang w:val="es-ES"/>
        </w:rPr>
        <w:t xml:space="preserve"> CIDH. Informe No. 61/05. Petición 698/03. Admisibilidad. Lucía Morales Compagno e hijos. Chile. 12 de octubre de 2005, párr23; CIDH. Informe No.60/05. Petición 511/03. Admisibilidad. María Órdenes Guerra. Chile. 12 de octubre de 2005. párr. 24; CIDH. Informe No. 62/05. Peticion 862/03. Admisibilidad. Alina Maria Barraza Codoceo y otros. Chile. 12 de octubre de 2005. párr. 21; y CIDH. Informe No. 59/05. Petición 381/04. Admisibilidad. Magdalena Mercedes Navarrete, Alberto Reyes Navarrete, Víctor Eduardo Reyes Navarrete, Patricio Hernán Reyes Navarrete, Pamela Adriana Vivanco, Katia Ximena del Carmen Espejo Gómez, Elena Alejandrina Vargas Gómez, Ilia María Pradenas Páez, Mario Melo Acuña, Carlos Gustavo Melo Pradenas. Chile. 12 de octubre de 2005. párr. 23. </w:t>
      </w:r>
    </w:p>
  </w:footnote>
  <w:footnote w:id="4">
    <w:p w:rsidR="004959B7" w:rsidRPr="005732C0" w:rsidRDefault="004959B7" w:rsidP="005732C0">
      <w:pPr>
        <w:pStyle w:val="FootnoteText"/>
        <w:ind w:firstLine="720"/>
        <w:jc w:val="both"/>
        <w:rPr>
          <w:rFonts w:ascii="Cambria" w:hAnsi="Cambria"/>
          <w:sz w:val="16"/>
          <w:szCs w:val="16"/>
          <w:lang w:val="es-ES"/>
        </w:rPr>
      </w:pPr>
      <w:r w:rsidRPr="005732C0">
        <w:rPr>
          <w:rStyle w:val="FootnoteReference"/>
          <w:rFonts w:ascii="Cambria" w:hAnsi="Cambria"/>
          <w:sz w:val="16"/>
          <w:szCs w:val="16"/>
        </w:rPr>
        <w:footnoteRef/>
      </w:r>
      <w:r w:rsidRPr="005732C0">
        <w:rPr>
          <w:rFonts w:ascii="Cambria" w:hAnsi="Cambria"/>
          <w:sz w:val="16"/>
          <w:szCs w:val="16"/>
          <w:lang w:val="es-ES"/>
        </w:rPr>
        <w:t xml:space="preserve"> CIDH. Informe No. 21/04. Petición 12.190. Admisibilidad. José Luis Tapia González y otros. Chile. 24 de febrero de 2004, párr.33.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B7" w:rsidRDefault="004959B7" w:rsidP="000D020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4959B7" w:rsidRDefault="00495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B7" w:rsidRDefault="004959B7" w:rsidP="00A50FCF">
    <w:pPr>
      <w:pStyle w:val="Header"/>
      <w:tabs>
        <w:tab w:val="clear" w:pos="4320"/>
        <w:tab w:val="clear" w:pos="8640"/>
      </w:tabs>
      <w:jc w:val="center"/>
      <w:rPr>
        <w:sz w:val="22"/>
        <w:szCs w:val="22"/>
      </w:rPr>
    </w:pPr>
    <w:r>
      <w:rPr>
        <w:noProof/>
        <w:sz w:val="22"/>
        <w:szCs w:val="22"/>
      </w:rPr>
      <w:drawing>
        <wp:inline distT="0" distB="0" distL="0" distR="0" wp14:anchorId="41027252" wp14:editId="15E89353">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4959B7" w:rsidRPr="00EC7D62" w:rsidRDefault="001C6FB6"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E3" w:rsidRDefault="00EE3F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271"/>
    <w:multiLevelType w:val="hybridMultilevel"/>
    <w:tmpl w:val="5178C380"/>
    <w:lvl w:ilvl="0" w:tplc="A67ECF98">
      <w:start w:val="1"/>
      <w:numFmt w:val="decimal"/>
      <w:lvlText w:val="%1."/>
      <w:lvlJc w:val="left"/>
      <w:pPr>
        <w:tabs>
          <w:tab w:val="num" w:pos="1440"/>
        </w:tabs>
        <w:ind w:left="1440" w:hanging="1080"/>
      </w:pPr>
      <w:rPr>
        <w:rFonts w:cs="Times New Roman" w:hint="default"/>
      </w:rPr>
    </w:lvl>
    <w:lvl w:ilvl="1" w:tplc="61C06548">
      <w:start w:val="1"/>
      <w:numFmt w:val="upperRoman"/>
      <w:lvlText w:val="%2."/>
      <w:lvlJc w:val="left"/>
      <w:pPr>
        <w:tabs>
          <w:tab w:val="num" w:pos="1800"/>
        </w:tabs>
        <w:ind w:left="1800" w:hanging="720"/>
      </w:pPr>
      <w:rPr>
        <w:rFonts w:cs="Times New Roman" w:hint="default"/>
      </w:rPr>
    </w:lvl>
    <w:lvl w:ilvl="2" w:tplc="A760AF4E">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740505A"/>
    <w:multiLevelType w:val="hybridMultilevel"/>
    <w:tmpl w:val="D592BC06"/>
    <w:lvl w:ilvl="0" w:tplc="5914CA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3248D9"/>
    <w:multiLevelType w:val="hybridMultilevel"/>
    <w:tmpl w:val="C66E021A"/>
    <w:lvl w:ilvl="0" w:tplc="F424BE78">
      <w:start w:val="1"/>
      <w:numFmt w:val="upperLetter"/>
      <w:lvlText w:val="%1."/>
      <w:lvlJc w:val="left"/>
      <w:pPr>
        <w:ind w:left="1080" w:hanging="720"/>
      </w:pPr>
      <w:rPr>
        <w:rFonts w:ascii="Cambria" w:hAnsi="Cambria"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35852"/>
    <w:multiLevelType w:val="hybridMultilevel"/>
    <w:tmpl w:val="2314F7CC"/>
    <w:lvl w:ilvl="0" w:tplc="DFEA8EDC">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1B1E51"/>
    <w:multiLevelType w:val="multilevel"/>
    <w:tmpl w:val="5178C380"/>
    <w:lvl w:ilvl="0">
      <w:start w:val="1"/>
      <w:numFmt w:val="decimal"/>
      <w:lvlText w:val="%1."/>
      <w:lvlJc w:val="left"/>
      <w:pPr>
        <w:tabs>
          <w:tab w:val="num" w:pos="1440"/>
        </w:tabs>
        <w:ind w:left="1440" w:hanging="1080"/>
      </w:pPr>
      <w:rPr>
        <w:rFonts w:cs="Times New Roman" w:hint="default"/>
      </w:rPr>
    </w:lvl>
    <w:lvl w:ilvl="1">
      <w:start w:val="1"/>
      <w:numFmt w:val="upperRoman"/>
      <w:lvlText w:val="%2."/>
      <w:lvlJc w:val="left"/>
      <w:pPr>
        <w:tabs>
          <w:tab w:val="num" w:pos="1800"/>
        </w:tabs>
        <w:ind w:left="1800" w:hanging="720"/>
      </w:pPr>
      <w:rPr>
        <w:rFonts w:cs="Times New Roman" w:hint="default"/>
      </w:rPr>
    </w:lvl>
    <w:lvl w:ilvl="2">
      <w:start w:val="2"/>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1F031A"/>
    <w:multiLevelType w:val="hybridMultilevel"/>
    <w:tmpl w:val="4984BF48"/>
    <w:lvl w:ilvl="0" w:tplc="429CAA64">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3FC77B72"/>
    <w:multiLevelType w:val="hybridMultilevel"/>
    <w:tmpl w:val="2312CD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6CE1AEA"/>
    <w:multiLevelType w:val="hybridMultilevel"/>
    <w:tmpl w:val="893C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93259C8"/>
    <w:multiLevelType w:val="hybridMultilevel"/>
    <w:tmpl w:val="CE68E216"/>
    <w:lvl w:ilvl="0" w:tplc="036A5A80">
      <w:start w:val="1"/>
      <w:numFmt w:val="decimal"/>
      <w:lvlText w:val="%1."/>
      <w:lvlJc w:val="left"/>
      <w:pPr>
        <w:tabs>
          <w:tab w:val="num" w:pos="720"/>
        </w:tabs>
        <w:ind w:left="0" w:firstLine="720"/>
      </w:pPr>
      <w:rPr>
        <w:b w:val="0"/>
        <w:color w:val="auto"/>
        <w:sz w:val="22"/>
        <w:szCs w:val="22"/>
      </w:rPr>
    </w:lvl>
    <w:lvl w:ilvl="1" w:tplc="1C6E1E16">
      <w:start w:val="31"/>
      <w:numFmt w:val="decimal"/>
      <w:lvlText w:val="%2."/>
      <w:lvlJc w:val="left"/>
      <w:pPr>
        <w:tabs>
          <w:tab w:val="num" w:pos="2520"/>
        </w:tabs>
        <w:ind w:left="2520" w:hanging="1440"/>
      </w:pPr>
    </w:lvl>
    <w:lvl w:ilvl="2" w:tplc="8AB0241A">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5F0C0B87"/>
    <w:multiLevelType w:val="hybridMultilevel"/>
    <w:tmpl w:val="5D587D22"/>
    <w:lvl w:ilvl="0" w:tplc="1D84B0FE">
      <w:start w:val="1"/>
      <w:numFmt w:val="decimal"/>
      <w:lvlText w:val="%1."/>
      <w:lvlJc w:val="left"/>
      <w:pPr>
        <w:tabs>
          <w:tab w:val="num" w:pos="1440"/>
        </w:tabs>
        <w:ind w:left="1440" w:hanging="1080"/>
      </w:pPr>
      <w:rPr>
        <w:rFonts w:cs="Times New Roman" w:hint="default"/>
        <w:b w:val="0"/>
      </w:rPr>
    </w:lvl>
    <w:lvl w:ilvl="1" w:tplc="61C06548">
      <w:start w:val="1"/>
      <w:numFmt w:val="upperRoman"/>
      <w:lvlText w:val="%2."/>
      <w:lvlJc w:val="left"/>
      <w:pPr>
        <w:tabs>
          <w:tab w:val="num" w:pos="1800"/>
        </w:tabs>
        <w:ind w:left="1800" w:hanging="720"/>
      </w:pPr>
      <w:rPr>
        <w:rFonts w:cs="Times New Roman" w:hint="default"/>
      </w:rPr>
    </w:lvl>
    <w:lvl w:ilvl="2" w:tplc="A760AF4E">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61720EC5"/>
    <w:multiLevelType w:val="hybridMultilevel"/>
    <w:tmpl w:val="04465D1E"/>
    <w:lvl w:ilvl="0" w:tplc="CF14D69A">
      <w:start w:val="1"/>
      <w:numFmt w:val="decimal"/>
      <w:lvlText w:val="%1."/>
      <w:lvlJc w:val="left"/>
      <w:pPr>
        <w:tabs>
          <w:tab w:val="num" w:pos="1440"/>
        </w:tabs>
        <w:ind w:left="1440" w:hanging="1080"/>
      </w:pPr>
      <w:rPr>
        <w:rFonts w:cs="Times New Roman" w:hint="default"/>
        <w:b w:val="0"/>
      </w:rPr>
    </w:lvl>
    <w:lvl w:ilvl="1" w:tplc="61C06548">
      <w:start w:val="1"/>
      <w:numFmt w:val="upperRoman"/>
      <w:lvlText w:val="%2."/>
      <w:lvlJc w:val="left"/>
      <w:pPr>
        <w:tabs>
          <w:tab w:val="num" w:pos="1800"/>
        </w:tabs>
        <w:ind w:left="1800" w:hanging="720"/>
      </w:pPr>
      <w:rPr>
        <w:rFonts w:cs="Times New Roman" w:hint="default"/>
      </w:rPr>
    </w:lvl>
    <w:lvl w:ilvl="2" w:tplc="A760AF4E">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nsid w:val="68A30C27"/>
    <w:multiLevelType w:val="hybridMultilevel"/>
    <w:tmpl w:val="896EA53C"/>
    <w:lvl w:ilvl="0" w:tplc="61C06548">
      <w:start w:val="1"/>
      <w:numFmt w:val="upperRoman"/>
      <w:lvlText w:val="%1."/>
      <w:lvlJc w:val="left"/>
      <w:pPr>
        <w:tabs>
          <w:tab w:val="num" w:pos="1440"/>
        </w:tabs>
        <w:ind w:left="1440" w:hanging="720"/>
      </w:pPr>
      <w:rPr>
        <w:rFonts w:cs="Times New Roman" w:hint="default"/>
      </w:rPr>
    </w:lvl>
    <w:lvl w:ilvl="1" w:tplc="435A5654">
      <w:start w:val="1"/>
      <w:numFmt w:val="decimal"/>
      <w:lvlText w:val="%2."/>
      <w:lvlJc w:val="left"/>
      <w:pPr>
        <w:tabs>
          <w:tab w:val="num" w:pos="2160"/>
        </w:tabs>
        <w:ind w:left="2160" w:hanging="720"/>
      </w:pPr>
      <w:rPr>
        <w:rFonts w:cs="Times New Roman" w:hint="default"/>
      </w:rPr>
    </w:lvl>
    <w:lvl w:ilvl="2" w:tplc="61C06548">
      <w:start w:val="1"/>
      <w:numFmt w:val="upperRoman"/>
      <w:lvlText w:val="%3."/>
      <w:lvlJc w:val="left"/>
      <w:pPr>
        <w:tabs>
          <w:tab w:val="num" w:pos="3060"/>
        </w:tabs>
        <w:ind w:left="3060" w:hanging="72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nsid w:val="6BF15681"/>
    <w:multiLevelType w:val="hybridMultilevel"/>
    <w:tmpl w:val="609248CA"/>
    <w:lvl w:ilvl="0" w:tplc="7AE0406C">
      <w:start w:val="1"/>
      <w:numFmt w:val="decimal"/>
      <w:lvlText w:val="%1."/>
      <w:lvlJc w:val="left"/>
      <w:pPr>
        <w:tabs>
          <w:tab w:val="num" w:pos="720"/>
        </w:tabs>
        <w:ind w:left="0" w:firstLine="720"/>
      </w:pPr>
      <w:rPr>
        <w:rFonts w:hint="default"/>
        <w:b w:val="0"/>
        <w:sz w:val="20"/>
        <w:szCs w:val="20"/>
      </w:rPr>
    </w:lvl>
    <w:lvl w:ilvl="1" w:tplc="04090019">
      <w:start w:val="1"/>
      <w:numFmt w:val="lowerLetter"/>
      <w:lvlText w:val="%2."/>
      <w:lvlJc w:val="left"/>
      <w:pPr>
        <w:tabs>
          <w:tab w:val="num" w:pos="5040"/>
        </w:tabs>
        <w:ind w:left="5040" w:hanging="360"/>
      </w:pPr>
    </w:lvl>
    <w:lvl w:ilvl="2" w:tplc="F51E36CE">
      <w:start w:val="1"/>
      <w:numFmt w:val="lowerLetter"/>
      <w:lvlText w:val="%3)"/>
      <w:lvlJc w:val="left"/>
      <w:pPr>
        <w:tabs>
          <w:tab w:val="num" w:pos="5940"/>
        </w:tabs>
        <w:ind w:left="5940" w:hanging="360"/>
      </w:pPr>
      <w:rPr>
        <w:rFonts w:hint="default"/>
      </w:rPr>
    </w:lvl>
    <w:lvl w:ilvl="3" w:tplc="EC66B828">
      <w:start w:val="4"/>
      <w:numFmt w:val="upperRoman"/>
      <w:lvlText w:val="%4."/>
      <w:lvlJc w:val="left"/>
      <w:pPr>
        <w:tabs>
          <w:tab w:val="num" w:pos="6840"/>
        </w:tabs>
        <w:ind w:left="6840" w:hanging="720"/>
      </w:pPr>
      <w:rPr>
        <w:rFonts w:hint="default"/>
      </w:r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8"/>
  </w:num>
  <w:num w:numId="3">
    <w:abstractNumId w:val="62"/>
  </w:num>
  <w:num w:numId="4">
    <w:abstractNumId w:val="25"/>
  </w:num>
  <w:num w:numId="5">
    <w:abstractNumId w:val="54"/>
  </w:num>
  <w:num w:numId="6">
    <w:abstractNumId w:val="30"/>
  </w:num>
  <w:num w:numId="7">
    <w:abstractNumId w:val="9"/>
  </w:num>
  <w:num w:numId="8">
    <w:abstractNumId w:val="20"/>
  </w:num>
  <w:num w:numId="9">
    <w:abstractNumId w:val="48"/>
  </w:num>
  <w:num w:numId="10">
    <w:abstractNumId w:val="1"/>
  </w:num>
  <w:num w:numId="11">
    <w:abstractNumId w:val="43"/>
  </w:num>
  <w:num w:numId="12">
    <w:abstractNumId w:val="44"/>
  </w:num>
  <w:num w:numId="13">
    <w:abstractNumId w:val="49"/>
  </w:num>
  <w:num w:numId="14">
    <w:abstractNumId w:val="2"/>
  </w:num>
  <w:num w:numId="15">
    <w:abstractNumId w:val="4"/>
  </w:num>
  <w:num w:numId="16">
    <w:abstractNumId w:val="10"/>
  </w:num>
  <w:num w:numId="17">
    <w:abstractNumId w:val="11"/>
  </w:num>
  <w:num w:numId="18">
    <w:abstractNumId w:val="12"/>
  </w:num>
  <w:num w:numId="19">
    <w:abstractNumId w:val="13"/>
  </w:num>
  <w:num w:numId="20">
    <w:abstractNumId w:val="14"/>
  </w:num>
  <w:num w:numId="21">
    <w:abstractNumId w:val="16"/>
  </w:num>
  <w:num w:numId="22">
    <w:abstractNumId w:val="17"/>
  </w:num>
  <w:num w:numId="23">
    <w:abstractNumId w:val="18"/>
  </w:num>
  <w:num w:numId="24">
    <w:abstractNumId w:val="19"/>
  </w:num>
  <w:num w:numId="25">
    <w:abstractNumId w:val="21"/>
  </w:num>
  <w:num w:numId="26">
    <w:abstractNumId w:val="22"/>
  </w:num>
  <w:num w:numId="27">
    <w:abstractNumId w:val="26"/>
  </w:num>
  <w:num w:numId="28">
    <w:abstractNumId w:val="27"/>
  </w:num>
  <w:num w:numId="29">
    <w:abstractNumId w:val="28"/>
  </w:num>
  <w:num w:numId="30">
    <w:abstractNumId w:val="29"/>
  </w:num>
  <w:num w:numId="31">
    <w:abstractNumId w:val="32"/>
  </w:num>
  <w:num w:numId="32">
    <w:abstractNumId w:val="34"/>
  </w:num>
  <w:num w:numId="33">
    <w:abstractNumId w:val="35"/>
  </w:num>
  <w:num w:numId="34">
    <w:abstractNumId w:val="36"/>
  </w:num>
  <w:num w:numId="35">
    <w:abstractNumId w:val="37"/>
  </w:num>
  <w:num w:numId="36">
    <w:abstractNumId w:val="38"/>
  </w:num>
  <w:num w:numId="37">
    <w:abstractNumId w:val="40"/>
  </w:num>
  <w:num w:numId="38">
    <w:abstractNumId w:val="41"/>
  </w:num>
  <w:num w:numId="39">
    <w:abstractNumId w:val="45"/>
  </w:num>
  <w:num w:numId="40">
    <w:abstractNumId w:val="46"/>
  </w:num>
  <w:num w:numId="41">
    <w:abstractNumId w:val="52"/>
  </w:num>
  <w:num w:numId="42">
    <w:abstractNumId w:val="56"/>
  </w:num>
  <w:num w:numId="43">
    <w:abstractNumId w:val="58"/>
  </w:num>
  <w:num w:numId="44">
    <w:abstractNumId w:val="60"/>
  </w:num>
  <w:num w:numId="45">
    <w:abstractNumId w:val="61"/>
  </w:num>
  <w:num w:numId="46">
    <w:abstractNumId w:val="63"/>
  </w:num>
  <w:num w:numId="47">
    <w:abstractNumId w:val="64"/>
  </w:num>
  <w:num w:numId="48">
    <w:abstractNumId w:val="65"/>
  </w:num>
  <w:num w:numId="49">
    <w:abstractNumId w:val="66"/>
  </w:num>
  <w:num w:numId="50">
    <w:abstractNumId w:val="67"/>
  </w:num>
  <w:num w:numId="51">
    <w:abstractNumId w:val="24"/>
  </w:num>
  <w:num w:numId="52">
    <w:abstractNumId w:val="47"/>
  </w:num>
  <w:num w:numId="53">
    <w:abstractNumId w:val="59"/>
  </w:num>
  <w:num w:numId="54">
    <w:abstractNumId w:val="50"/>
  </w:num>
  <w:num w:numId="55">
    <w:abstractNumId w:val="15"/>
  </w:num>
  <w:num w:numId="56">
    <w:abstractNumId w:val="3"/>
  </w:num>
  <w:num w:numId="57">
    <w:abstractNumId w:val="51"/>
  </w:num>
  <w:num w:numId="58">
    <w:abstractNumId w:val="55"/>
  </w:num>
  <w:num w:numId="59">
    <w:abstractNumId w:val="23"/>
  </w:num>
  <w:num w:numId="60">
    <w:abstractNumId w:val="57"/>
  </w:num>
  <w:num w:numId="61">
    <w:abstractNumId w:val="42"/>
    <w:lvlOverride w:ilvl="0">
      <w:startOverride w:val="1"/>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num>
  <w:num w:numId="63">
    <w:abstractNumId w:val="6"/>
  </w:num>
  <w:num w:numId="64">
    <w:abstractNumId w:val="7"/>
  </w:num>
  <w:num w:numId="65">
    <w:abstractNumId w:val="39"/>
  </w:num>
  <w:num w:numId="66">
    <w:abstractNumId w:val="0"/>
  </w:num>
  <w:num w:numId="67">
    <w:abstractNumId w:val="53"/>
  </w:num>
  <w:num w:numId="68">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205C"/>
    <w:rsid w:val="000063A1"/>
    <w:rsid w:val="00006E1F"/>
    <w:rsid w:val="000070D7"/>
    <w:rsid w:val="00014EE9"/>
    <w:rsid w:val="0001788C"/>
    <w:rsid w:val="00020B7E"/>
    <w:rsid w:val="00022578"/>
    <w:rsid w:val="00030DBF"/>
    <w:rsid w:val="00031BF7"/>
    <w:rsid w:val="0003647A"/>
    <w:rsid w:val="00037BBE"/>
    <w:rsid w:val="00040C3A"/>
    <w:rsid w:val="0004303C"/>
    <w:rsid w:val="000446A8"/>
    <w:rsid w:val="00051903"/>
    <w:rsid w:val="00053E88"/>
    <w:rsid w:val="00054638"/>
    <w:rsid w:val="00061F16"/>
    <w:rsid w:val="00062EED"/>
    <w:rsid w:val="000636AE"/>
    <w:rsid w:val="00063AA1"/>
    <w:rsid w:val="000716C5"/>
    <w:rsid w:val="00071D9A"/>
    <w:rsid w:val="00074F9B"/>
    <w:rsid w:val="000753E0"/>
    <w:rsid w:val="00075E23"/>
    <w:rsid w:val="00083508"/>
    <w:rsid w:val="00084628"/>
    <w:rsid w:val="000854AA"/>
    <w:rsid w:val="00091843"/>
    <w:rsid w:val="0009344A"/>
    <w:rsid w:val="0009354E"/>
    <w:rsid w:val="00097E8B"/>
    <w:rsid w:val="000A13D7"/>
    <w:rsid w:val="000A197E"/>
    <w:rsid w:val="000A392E"/>
    <w:rsid w:val="000A575F"/>
    <w:rsid w:val="000B74A5"/>
    <w:rsid w:val="000C003F"/>
    <w:rsid w:val="000C10F3"/>
    <w:rsid w:val="000C75F2"/>
    <w:rsid w:val="000D0205"/>
    <w:rsid w:val="000D10DB"/>
    <w:rsid w:val="000D6196"/>
    <w:rsid w:val="000E1570"/>
    <w:rsid w:val="000E5EB5"/>
    <w:rsid w:val="000F35ED"/>
    <w:rsid w:val="000F3EEE"/>
    <w:rsid w:val="000F4090"/>
    <w:rsid w:val="000F530F"/>
    <w:rsid w:val="000F54A1"/>
    <w:rsid w:val="0010049C"/>
    <w:rsid w:val="00100AEA"/>
    <w:rsid w:val="00101074"/>
    <w:rsid w:val="001023D2"/>
    <w:rsid w:val="00103767"/>
    <w:rsid w:val="001057C4"/>
    <w:rsid w:val="00107131"/>
    <w:rsid w:val="0010736F"/>
    <w:rsid w:val="00107A7E"/>
    <w:rsid w:val="00111B46"/>
    <w:rsid w:val="001133CE"/>
    <w:rsid w:val="00113F73"/>
    <w:rsid w:val="001209DC"/>
    <w:rsid w:val="00121CC2"/>
    <w:rsid w:val="001250F1"/>
    <w:rsid w:val="001252ED"/>
    <w:rsid w:val="00127A32"/>
    <w:rsid w:val="001304CF"/>
    <w:rsid w:val="00130C0A"/>
    <w:rsid w:val="00132AF7"/>
    <w:rsid w:val="00133179"/>
    <w:rsid w:val="00133EE5"/>
    <w:rsid w:val="0013686B"/>
    <w:rsid w:val="0013763D"/>
    <w:rsid w:val="00140BC9"/>
    <w:rsid w:val="00140FD3"/>
    <w:rsid w:val="00143992"/>
    <w:rsid w:val="0014547D"/>
    <w:rsid w:val="001511F0"/>
    <w:rsid w:val="00151C9E"/>
    <w:rsid w:val="001528AC"/>
    <w:rsid w:val="001549BD"/>
    <w:rsid w:val="00155DE9"/>
    <w:rsid w:val="00156DB2"/>
    <w:rsid w:val="001676E5"/>
    <w:rsid w:val="00167A34"/>
    <w:rsid w:val="001731D4"/>
    <w:rsid w:val="001766A8"/>
    <w:rsid w:val="00180827"/>
    <w:rsid w:val="00185317"/>
    <w:rsid w:val="00191DE3"/>
    <w:rsid w:val="0019340C"/>
    <w:rsid w:val="001943EA"/>
    <w:rsid w:val="00197813"/>
    <w:rsid w:val="00197FF9"/>
    <w:rsid w:val="001A0E89"/>
    <w:rsid w:val="001A280C"/>
    <w:rsid w:val="001A72B1"/>
    <w:rsid w:val="001A77A5"/>
    <w:rsid w:val="001A7870"/>
    <w:rsid w:val="001B523D"/>
    <w:rsid w:val="001B5DDA"/>
    <w:rsid w:val="001C19C7"/>
    <w:rsid w:val="001C1B41"/>
    <w:rsid w:val="001C4C62"/>
    <w:rsid w:val="001C6706"/>
    <w:rsid w:val="001C6FB6"/>
    <w:rsid w:val="001C710A"/>
    <w:rsid w:val="001D55FB"/>
    <w:rsid w:val="001D564A"/>
    <w:rsid w:val="001D5F7E"/>
    <w:rsid w:val="001D65EF"/>
    <w:rsid w:val="001E2046"/>
    <w:rsid w:val="001E35A8"/>
    <w:rsid w:val="001E3FA4"/>
    <w:rsid w:val="001F340D"/>
    <w:rsid w:val="001F4705"/>
    <w:rsid w:val="00201AF4"/>
    <w:rsid w:val="00203B8C"/>
    <w:rsid w:val="00205F73"/>
    <w:rsid w:val="0020626F"/>
    <w:rsid w:val="00212BE9"/>
    <w:rsid w:val="0021742E"/>
    <w:rsid w:val="00223F30"/>
    <w:rsid w:val="002250A3"/>
    <w:rsid w:val="00226A58"/>
    <w:rsid w:val="00230274"/>
    <w:rsid w:val="00231F7A"/>
    <w:rsid w:val="00233131"/>
    <w:rsid w:val="00235217"/>
    <w:rsid w:val="0023693B"/>
    <w:rsid w:val="002410D3"/>
    <w:rsid w:val="0024175D"/>
    <w:rsid w:val="00243621"/>
    <w:rsid w:val="00246D1F"/>
    <w:rsid w:val="00247403"/>
    <w:rsid w:val="00247542"/>
    <w:rsid w:val="00251293"/>
    <w:rsid w:val="002525FD"/>
    <w:rsid w:val="00252CE2"/>
    <w:rsid w:val="00256FB9"/>
    <w:rsid w:val="002609F1"/>
    <w:rsid w:val="00261748"/>
    <w:rsid w:val="00266B61"/>
    <w:rsid w:val="0026712A"/>
    <w:rsid w:val="002704DB"/>
    <w:rsid w:val="00270B9C"/>
    <w:rsid w:val="00272DE7"/>
    <w:rsid w:val="00284D82"/>
    <w:rsid w:val="00286C32"/>
    <w:rsid w:val="002870D3"/>
    <w:rsid w:val="0028718C"/>
    <w:rsid w:val="0029068F"/>
    <w:rsid w:val="00290A20"/>
    <w:rsid w:val="00291DE1"/>
    <w:rsid w:val="00296D9C"/>
    <w:rsid w:val="00297C66"/>
    <w:rsid w:val="002A058D"/>
    <w:rsid w:val="002A0AAE"/>
    <w:rsid w:val="002A1E28"/>
    <w:rsid w:val="002A4C49"/>
    <w:rsid w:val="002A5820"/>
    <w:rsid w:val="002A5FA6"/>
    <w:rsid w:val="002B1B62"/>
    <w:rsid w:val="002B6F15"/>
    <w:rsid w:val="002C1777"/>
    <w:rsid w:val="002C3A70"/>
    <w:rsid w:val="002C3E23"/>
    <w:rsid w:val="002C5163"/>
    <w:rsid w:val="002C54BB"/>
    <w:rsid w:val="002D037B"/>
    <w:rsid w:val="002D07E1"/>
    <w:rsid w:val="002D0CD6"/>
    <w:rsid w:val="002D2B26"/>
    <w:rsid w:val="002D4B65"/>
    <w:rsid w:val="002D5203"/>
    <w:rsid w:val="002D57EF"/>
    <w:rsid w:val="002D7E3E"/>
    <w:rsid w:val="002D7EA2"/>
    <w:rsid w:val="002E187C"/>
    <w:rsid w:val="002E4266"/>
    <w:rsid w:val="002E550F"/>
    <w:rsid w:val="002E78A5"/>
    <w:rsid w:val="002F11E4"/>
    <w:rsid w:val="002F21C3"/>
    <w:rsid w:val="002F27BD"/>
    <w:rsid w:val="002F2800"/>
    <w:rsid w:val="002F6117"/>
    <w:rsid w:val="00301D6C"/>
    <w:rsid w:val="00302733"/>
    <w:rsid w:val="00304D2E"/>
    <w:rsid w:val="003070F1"/>
    <w:rsid w:val="00314078"/>
    <w:rsid w:val="0031457F"/>
    <w:rsid w:val="0031535D"/>
    <w:rsid w:val="00323EA8"/>
    <w:rsid w:val="00325505"/>
    <w:rsid w:val="0032597D"/>
    <w:rsid w:val="00326DBC"/>
    <w:rsid w:val="00327587"/>
    <w:rsid w:val="0033169F"/>
    <w:rsid w:val="00332546"/>
    <w:rsid w:val="00335605"/>
    <w:rsid w:val="00341C9B"/>
    <w:rsid w:val="0034256A"/>
    <w:rsid w:val="0034299F"/>
    <w:rsid w:val="00343869"/>
    <w:rsid w:val="0034539F"/>
    <w:rsid w:val="00346C95"/>
    <w:rsid w:val="00350502"/>
    <w:rsid w:val="003523D2"/>
    <w:rsid w:val="00355C8A"/>
    <w:rsid w:val="00355E99"/>
    <w:rsid w:val="00356185"/>
    <w:rsid w:val="00360380"/>
    <w:rsid w:val="00361D25"/>
    <w:rsid w:val="003632A7"/>
    <w:rsid w:val="00366E43"/>
    <w:rsid w:val="00370C58"/>
    <w:rsid w:val="00371F62"/>
    <w:rsid w:val="00372E72"/>
    <w:rsid w:val="003737B5"/>
    <w:rsid w:val="00374024"/>
    <w:rsid w:val="003744CD"/>
    <w:rsid w:val="00374F6F"/>
    <w:rsid w:val="0037519E"/>
    <w:rsid w:val="00377480"/>
    <w:rsid w:val="00386CF0"/>
    <w:rsid w:val="003A2406"/>
    <w:rsid w:val="003A3E24"/>
    <w:rsid w:val="003A5F2F"/>
    <w:rsid w:val="003B4BED"/>
    <w:rsid w:val="003B6D20"/>
    <w:rsid w:val="003B758B"/>
    <w:rsid w:val="003C5C62"/>
    <w:rsid w:val="003C676B"/>
    <w:rsid w:val="003C6F06"/>
    <w:rsid w:val="003C7E45"/>
    <w:rsid w:val="003D1039"/>
    <w:rsid w:val="003D3BA8"/>
    <w:rsid w:val="003D3BC2"/>
    <w:rsid w:val="003D4430"/>
    <w:rsid w:val="003E0872"/>
    <w:rsid w:val="003E41FB"/>
    <w:rsid w:val="003E6CA1"/>
    <w:rsid w:val="003F1A76"/>
    <w:rsid w:val="003F1D08"/>
    <w:rsid w:val="003F2926"/>
    <w:rsid w:val="00402A06"/>
    <w:rsid w:val="00402A1B"/>
    <w:rsid w:val="0040357B"/>
    <w:rsid w:val="00404F73"/>
    <w:rsid w:val="00405573"/>
    <w:rsid w:val="00410970"/>
    <w:rsid w:val="004113E4"/>
    <w:rsid w:val="004127BF"/>
    <w:rsid w:val="004165C2"/>
    <w:rsid w:val="00416D4B"/>
    <w:rsid w:val="0042184B"/>
    <w:rsid w:val="00421E1F"/>
    <w:rsid w:val="004234B7"/>
    <w:rsid w:val="0042392D"/>
    <w:rsid w:val="004319D5"/>
    <w:rsid w:val="00441042"/>
    <w:rsid w:val="004419A4"/>
    <w:rsid w:val="00441ECB"/>
    <w:rsid w:val="00451AF9"/>
    <w:rsid w:val="004533BB"/>
    <w:rsid w:val="00461D98"/>
    <w:rsid w:val="00462E9A"/>
    <w:rsid w:val="004659A0"/>
    <w:rsid w:val="00467B7E"/>
    <w:rsid w:val="004739FA"/>
    <w:rsid w:val="00474560"/>
    <w:rsid w:val="00474A0C"/>
    <w:rsid w:val="004761B8"/>
    <w:rsid w:val="00477592"/>
    <w:rsid w:val="00477C5C"/>
    <w:rsid w:val="00481ED1"/>
    <w:rsid w:val="00482286"/>
    <w:rsid w:val="0048327B"/>
    <w:rsid w:val="004832CD"/>
    <w:rsid w:val="004854C6"/>
    <w:rsid w:val="00486D59"/>
    <w:rsid w:val="00486F1C"/>
    <w:rsid w:val="00490CE1"/>
    <w:rsid w:val="004928F7"/>
    <w:rsid w:val="004931A6"/>
    <w:rsid w:val="0049419D"/>
    <w:rsid w:val="004952AE"/>
    <w:rsid w:val="004959B7"/>
    <w:rsid w:val="004970E8"/>
    <w:rsid w:val="004A11F8"/>
    <w:rsid w:val="004A1BC5"/>
    <w:rsid w:val="004A2098"/>
    <w:rsid w:val="004A22F5"/>
    <w:rsid w:val="004A3D9B"/>
    <w:rsid w:val="004A69E2"/>
    <w:rsid w:val="004B18F4"/>
    <w:rsid w:val="004B2030"/>
    <w:rsid w:val="004B33C9"/>
    <w:rsid w:val="004B7D5F"/>
    <w:rsid w:val="004C20D2"/>
    <w:rsid w:val="004C2F9D"/>
    <w:rsid w:val="004C4B62"/>
    <w:rsid w:val="004C54C9"/>
    <w:rsid w:val="004C5EB6"/>
    <w:rsid w:val="004C74C0"/>
    <w:rsid w:val="004D1F45"/>
    <w:rsid w:val="004D6025"/>
    <w:rsid w:val="004D6C8E"/>
    <w:rsid w:val="004E1918"/>
    <w:rsid w:val="004E2649"/>
    <w:rsid w:val="004F2C6C"/>
    <w:rsid w:val="00501399"/>
    <w:rsid w:val="0050633D"/>
    <w:rsid w:val="00507BC4"/>
    <w:rsid w:val="005128E4"/>
    <w:rsid w:val="005133DB"/>
    <w:rsid w:val="005139C5"/>
    <w:rsid w:val="005206FC"/>
    <w:rsid w:val="0052078E"/>
    <w:rsid w:val="00522215"/>
    <w:rsid w:val="00525383"/>
    <w:rsid w:val="00525560"/>
    <w:rsid w:val="00526DB4"/>
    <w:rsid w:val="005351E4"/>
    <w:rsid w:val="005367EA"/>
    <w:rsid w:val="0053710C"/>
    <w:rsid w:val="00541ED0"/>
    <w:rsid w:val="005430C4"/>
    <w:rsid w:val="00544C49"/>
    <w:rsid w:val="00545466"/>
    <w:rsid w:val="00546F06"/>
    <w:rsid w:val="0054716A"/>
    <w:rsid w:val="005479D4"/>
    <w:rsid w:val="005516A1"/>
    <w:rsid w:val="00556AF3"/>
    <w:rsid w:val="00561A49"/>
    <w:rsid w:val="005670C9"/>
    <w:rsid w:val="005732C0"/>
    <w:rsid w:val="00573FAC"/>
    <w:rsid w:val="0057402A"/>
    <w:rsid w:val="00575B74"/>
    <w:rsid w:val="00576506"/>
    <w:rsid w:val="00576C66"/>
    <w:rsid w:val="005771D0"/>
    <w:rsid w:val="005777A2"/>
    <w:rsid w:val="0058315C"/>
    <w:rsid w:val="00583F7D"/>
    <w:rsid w:val="0059191A"/>
    <w:rsid w:val="00591FC9"/>
    <w:rsid w:val="005921FF"/>
    <w:rsid w:val="005936B6"/>
    <w:rsid w:val="005947CE"/>
    <w:rsid w:val="00597D40"/>
    <w:rsid w:val="005A3AEE"/>
    <w:rsid w:val="005A6D0E"/>
    <w:rsid w:val="005B12F1"/>
    <w:rsid w:val="005B14C4"/>
    <w:rsid w:val="005B4FD1"/>
    <w:rsid w:val="005B52B0"/>
    <w:rsid w:val="005B6806"/>
    <w:rsid w:val="005B77F2"/>
    <w:rsid w:val="005C2BF0"/>
    <w:rsid w:val="005C4225"/>
    <w:rsid w:val="005C5200"/>
    <w:rsid w:val="005C5FA6"/>
    <w:rsid w:val="005C7AF3"/>
    <w:rsid w:val="005D0CBB"/>
    <w:rsid w:val="005D27FF"/>
    <w:rsid w:val="005E135B"/>
    <w:rsid w:val="005E6C5E"/>
    <w:rsid w:val="005F0DAD"/>
    <w:rsid w:val="005F0F33"/>
    <w:rsid w:val="005F1857"/>
    <w:rsid w:val="005F54EC"/>
    <w:rsid w:val="005F5C77"/>
    <w:rsid w:val="00600DEB"/>
    <w:rsid w:val="00601BBE"/>
    <w:rsid w:val="006045BF"/>
    <w:rsid w:val="006072FF"/>
    <w:rsid w:val="006078E5"/>
    <w:rsid w:val="0061179C"/>
    <w:rsid w:val="00612E62"/>
    <w:rsid w:val="0062119A"/>
    <w:rsid w:val="006235E2"/>
    <w:rsid w:val="00627C9F"/>
    <w:rsid w:val="006311E9"/>
    <w:rsid w:val="00631B8C"/>
    <w:rsid w:val="00632354"/>
    <w:rsid w:val="00634970"/>
    <w:rsid w:val="00642810"/>
    <w:rsid w:val="006453E5"/>
    <w:rsid w:val="00651670"/>
    <w:rsid w:val="00652333"/>
    <w:rsid w:val="00653CED"/>
    <w:rsid w:val="00654810"/>
    <w:rsid w:val="00654BE2"/>
    <w:rsid w:val="0065635A"/>
    <w:rsid w:val="006611E6"/>
    <w:rsid w:val="00665C6A"/>
    <w:rsid w:val="00670722"/>
    <w:rsid w:val="00676CFE"/>
    <w:rsid w:val="0068009E"/>
    <w:rsid w:val="006819DE"/>
    <w:rsid w:val="006822C4"/>
    <w:rsid w:val="006841DA"/>
    <w:rsid w:val="006904EE"/>
    <w:rsid w:val="00692219"/>
    <w:rsid w:val="00693596"/>
    <w:rsid w:val="006A17D2"/>
    <w:rsid w:val="006A1A21"/>
    <w:rsid w:val="006A470A"/>
    <w:rsid w:val="006A68DF"/>
    <w:rsid w:val="006A73E6"/>
    <w:rsid w:val="006B2D35"/>
    <w:rsid w:val="006B2D5C"/>
    <w:rsid w:val="006C4EB1"/>
    <w:rsid w:val="006C689C"/>
    <w:rsid w:val="006C7EB6"/>
    <w:rsid w:val="006C7ECF"/>
    <w:rsid w:val="006D154D"/>
    <w:rsid w:val="006D4A73"/>
    <w:rsid w:val="006D517D"/>
    <w:rsid w:val="006D607D"/>
    <w:rsid w:val="006D641E"/>
    <w:rsid w:val="006E0166"/>
    <w:rsid w:val="006E3249"/>
    <w:rsid w:val="006E593C"/>
    <w:rsid w:val="006E7B34"/>
    <w:rsid w:val="006E7F29"/>
    <w:rsid w:val="006F150B"/>
    <w:rsid w:val="00701066"/>
    <w:rsid w:val="00702ABE"/>
    <w:rsid w:val="0070697F"/>
    <w:rsid w:val="00710F16"/>
    <w:rsid w:val="00712B81"/>
    <w:rsid w:val="00712C37"/>
    <w:rsid w:val="00714BA2"/>
    <w:rsid w:val="0072199C"/>
    <w:rsid w:val="00722C9F"/>
    <w:rsid w:val="007253B8"/>
    <w:rsid w:val="0073741F"/>
    <w:rsid w:val="007408A3"/>
    <w:rsid w:val="00741D1D"/>
    <w:rsid w:val="0075265D"/>
    <w:rsid w:val="00752966"/>
    <w:rsid w:val="00754470"/>
    <w:rsid w:val="00761760"/>
    <w:rsid w:val="0076643F"/>
    <w:rsid w:val="0076678A"/>
    <w:rsid w:val="0076767D"/>
    <w:rsid w:val="0077430D"/>
    <w:rsid w:val="007747B3"/>
    <w:rsid w:val="007748EB"/>
    <w:rsid w:val="00777F63"/>
    <w:rsid w:val="00781A77"/>
    <w:rsid w:val="00783259"/>
    <w:rsid w:val="00783992"/>
    <w:rsid w:val="007902C0"/>
    <w:rsid w:val="00791B71"/>
    <w:rsid w:val="007931A7"/>
    <w:rsid w:val="007947FC"/>
    <w:rsid w:val="007965F4"/>
    <w:rsid w:val="007A2404"/>
    <w:rsid w:val="007A5817"/>
    <w:rsid w:val="007A634D"/>
    <w:rsid w:val="007A6447"/>
    <w:rsid w:val="007A68C0"/>
    <w:rsid w:val="007B2FE8"/>
    <w:rsid w:val="007B60E9"/>
    <w:rsid w:val="007B6CC3"/>
    <w:rsid w:val="007C2A53"/>
    <w:rsid w:val="007C3334"/>
    <w:rsid w:val="007D006A"/>
    <w:rsid w:val="007D03A4"/>
    <w:rsid w:val="007D0496"/>
    <w:rsid w:val="007D2B98"/>
    <w:rsid w:val="007D31FF"/>
    <w:rsid w:val="007D5A3F"/>
    <w:rsid w:val="007E21BC"/>
    <w:rsid w:val="007E2209"/>
    <w:rsid w:val="007E2A2B"/>
    <w:rsid w:val="007E4395"/>
    <w:rsid w:val="007F026C"/>
    <w:rsid w:val="007F3885"/>
    <w:rsid w:val="007F4A9B"/>
    <w:rsid w:val="007F5A53"/>
    <w:rsid w:val="007F5FE5"/>
    <w:rsid w:val="007F6CD6"/>
    <w:rsid w:val="00803F1C"/>
    <w:rsid w:val="0080600E"/>
    <w:rsid w:val="0081402F"/>
    <w:rsid w:val="00817612"/>
    <w:rsid w:val="00830487"/>
    <w:rsid w:val="008320C0"/>
    <w:rsid w:val="00832C8E"/>
    <w:rsid w:val="008338A4"/>
    <w:rsid w:val="00837C45"/>
    <w:rsid w:val="00844730"/>
    <w:rsid w:val="008457C2"/>
    <w:rsid w:val="008500AA"/>
    <w:rsid w:val="00850BE1"/>
    <w:rsid w:val="00855665"/>
    <w:rsid w:val="00855675"/>
    <w:rsid w:val="00855A85"/>
    <w:rsid w:val="00856422"/>
    <w:rsid w:val="0085654D"/>
    <w:rsid w:val="00857A82"/>
    <w:rsid w:val="00862B31"/>
    <w:rsid w:val="008678FB"/>
    <w:rsid w:val="00867A16"/>
    <w:rsid w:val="008723D8"/>
    <w:rsid w:val="00873836"/>
    <w:rsid w:val="00873CCC"/>
    <w:rsid w:val="00873F92"/>
    <w:rsid w:val="00876083"/>
    <w:rsid w:val="00876D70"/>
    <w:rsid w:val="00877613"/>
    <w:rsid w:val="008779CC"/>
    <w:rsid w:val="00884775"/>
    <w:rsid w:val="00885737"/>
    <w:rsid w:val="00887D34"/>
    <w:rsid w:val="00890650"/>
    <w:rsid w:val="008912D4"/>
    <w:rsid w:val="008913B9"/>
    <w:rsid w:val="00891F1D"/>
    <w:rsid w:val="0089597B"/>
    <w:rsid w:val="00895F7C"/>
    <w:rsid w:val="00897E12"/>
    <w:rsid w:val="008A05FF"/>
    <w:rsid w:val="008A4C73"/>
    <w:rsid w:val="008A5300"/>
    <w:rsid w:val="008A57D5"/>
    <w:rsid w:val="008A7E0F"/>
    <w:rsid w:val="008B12F5"/>
    <w:rsid w:val="008C20EC"/>
    <w:rsid w:val="008C7A27"/>
    <w:rsid w:val="008D674B"/>
    <w:rsid w:val="008D6CF7"/>
    <w:rsid w:val="008D75B3"/>
    <w:rsid w:val="008D768D"/>
    <w:rsid w:val="008D7BA9"/>
    <w:rsid w:val="008E15E3"/>
    <w:rsid w:val="008E2A31"/>
    <w:rsid w:val="008E3759"/>
    <w:rsid w:val="008E7677"/>
    <w:rsid w:val="008F1912"/>
    <w:rsid w:val="008F39B6"/>
    <w:rsid w:val="008F43DF"/>
    <w:rsid w:val="008F5184"/>
    <w:rsid w:val="008F5851"/>
    <w:rsid w:val="0090270B"/>
    <w:rsid w:val="0090413E"/>
    <w:rsid w:val="009041DC"/>
    <w:rsid w:val="009047F2"/>
    <w:rsid w:val="009054E0"/>
    <w:rsid w:val="00905802"/>
    <w:rsid w:val="00905CE4"/>
    <w:rsid w:val="00905D8A"/>
    <w:rsid w:val="00912883"/>
    <w:rsid w:val="009138FF"/>
    <w:rsid w:val="00914D2F"/>
    <w:rsid w:val="009160C7"/>
    <w:rsid w:val="00916D7C"/>
    <w:rsid w:val="00917B5A"/>
    <w:rsid w:val="00920A58"/>
    <w:rsid w:val="00920A8C"/>
    <w:rsid w:val="009217CD"/>
    <w:rsid w:val="00927B34"/>
    <w:rsid w:val="00927E78"/>
    <w:rsid w:val="009313AB"/>
    <w:rsid w:val="009335B9"/>
    <w:rsid w:val="009348FA"/>
    <w:rsid w:val="00934A2C"/>
    <w:rsid w:val="00937386"/>
    <w:rsid w:val="00937F71"/>
    <w:rsid w:val="009479B9"/>
    <w:rsid w:val="00962533"/>
    <w:rsid w:val="00964E27"/>
    <w:rsid w:val="0096566D"/>
    <w:rsid w:val="00966E55"/>
    <w:rsid w:val="0096706E"/>
    <w:rsid w:val="00967438"/>
    <w:rsid w:val="00974C55"/>
    <w:rsid w:val="009757B3"/>
    <w:rsid w:val="00975C4E"/>
    <w:rsid w:val="009769ED"/>
    <w:rsid w:val="00976B99"/>
    <w:rsid w:val="00981F6A"/>
    <w:rsid w:val="00981FBA"/>
    <w:rsid w:val="00982D29"/>
    <w:rsid w:val="0098301E"/>
    <w:rsid w:val="0099005C"/>
    <w:rsid w:val="009930A4"/>
    <w:rsid w:val="00994F24"/>
    <w:rsid w:val="00997176"/>
    <w:rsid w:val="00997BC5"/>
    <w:rsid w:val="009A1DF7"/>
    <w:rsid w:val="009A1F7B"/>
    <w:rsid w:val="009A284A"/>
    <w:rsid w:val="009A4F41"/>
    <w:rsid w:val="009A5F7C"/>
    <w:rsid w:val="009A7141"/>
    <w:rsid w:val="009B381B"/>
    <w:rsid w:val="009C4B2F"/>
    <w:rsid w:val="009C4FB4"/>
    <w:rsid w:val="009C5CE7"/>
    <w:rsid w:val="009D1753"/>
    <w:rsid w:val="009D2780"/>
    <w:rsid w:val="009D7611"/>
    <w:rsid w:val="009D7FA1"/>
    <w:rsid w:val="009E0586"/>
    <w:rsid w:val="009E0B61"/>
    <w:rsid w:val="009E107D"/>
    <w:rsid w:val="009E40B7"/>
    <w:rsid w:val="009E53DE"/>
    <w:rsid w:val="009E5BDF"/>
    <w:rsid w:val="009E5F07"/>
    <w:rsid w:val="009F002D"/>
    <w:rsid w:val="009F0539"/>
    <w:rsid w:val="009F16B5"/>
    <w:rsid w:val="009F18CF"/>
    <w:rsid w:val="009F2796"/>
    <w:rsid w:val="00A028C3"/>
    <w:rsid w:val="00A04A80"/>
    <w:rsid w:val="00A0586D"/>
    <w:rsid w:val="00A066D1"/>
    <w:rsid w:val="00A13C50"/>
    <w:rsid w:val="00A15868"/>
    <w:rsid w:val="00A24DBE"/>
    <w:rsid w:val="00A328B3"/>
    <w:rsid w:val="00A33925"/>
    <w:rsid w:val="00A34A1D"/>
    <w:rsid w:val="00A50FCF"/>
    <w:rsid w:val="00A528D1"/>
    <w:rsid w:val="00A53766"/>
    <w:rsid w:val="00A56ED1"/>
    <w:rsid w:val="00A579F9"/>
    <w:rsid w:val="00A603D4"/>
    <w:rsid w:val="00A60E53"/>
    <w:rsid w:val="00A610CD"/>
    <w:rsid w:val="00A61281"/>
    <w:rsid w:val="00A66AD8"/>
    <w:rsid w:val="00A74727"/>
    <w:rsid w:val="00A76295"/>
    <w:rsid w:val="00A772B6"/>
    <w:rsid w:val="00A81B2A"/>
    <w:rsid w:val="00A8563D"/>
    <w:rsid w:val="00A86629"/>
    <w:rsid w:val="00A86834"/>
    <w:rsid w:val="00A90C04"/>
    <w:rsid w:val="00A95059"/>
    <w:rsid w:val="00A97A7C"/>
    <w:rsid w:val="00AA09A2"/>
    <w:rsid w:val="00AA41FB"/>
    <w:rsid w:val="00AA7996"/>
    <w:rsid w:val="00AB19EA"/>
    <w:rsid w:val="00AB3F94"/>
    <w:rsid w:val="00AC19CB"/>
    <w:rsid w:val="00AC247A"/>
    <w:rsid w:val="00AC558D"/>
    <w:rsid w:val="00AC5D36"/>
    <w:rsid w:val="00AD0A16"/>
    <w:rsid w:val="00AD0FA4"/>
    <w:rsid w:val="00AD6B05"/>
    <w:rsid w:val="00AE097B"/>
    <w:rsid w:val="00AE218E"/>
    <w:rsid w:val="00AE47C5"/>
    <w:rsid w:val="00AE5488"/>
    <w:rsid w:val="00AE6F91"/>
    <w:rsid w:val="00AF5571"/>
    <w:rsid w:val="00AF59AB"/>
    <w:rsid w:val="00AF7BBD"/>
    <w:rsid w:val="00B058C2"/>
    <w:rsid w:val="00B06BC1"/>
    <w:rsid w:val="00B07341"/>
    <w:rsid w:val="00B0772A"/>
    <w:rsid w:val="00B143B3"/>
    <w:rsid w:val="00B14C34"/>
    <w:rsid w:val="00B168B1"/>
    <w:rsid w:val="00B20A58"/>
    <w:rsid w:val="00B22E59"/>
    <w:rsid w:val="00B241F5"/>
    <w:rsid w:val="00B275FF"/>
    <w:rsid w:val="00B30539"/>
    <w:rsid w:val="00B314DB"/>
    <w:rsid w:val="00B32513"/>
    <w:rsid w:val="00B3274C"/>
    <w:rsid w:val="00B3456A"/>
    <w:rsid w:val="00B34CDB"/>
    <w:rsid w:val="00B361F2"/>
    <w:rsid w:val="00B3718B"/>
    <w:rsid w:val="00B3768C"/>
    <w:rsid w:val="00B4632A"/>
    <w:rsid w:val="00B46C4C"/>
    <w:rsid w:val="00B530F1"/>
    <w:rsid w:val="00B63469"/>
    <w:rsid w:val="00B64BE7"/>
    <w:rsid w:val="00B65637"/>
    <w:rsid w:val="00B67EAC"/>
    <w:rsid w:val="00B70570"/>
    <w:rsid w:val="00B74DC8"/>
    <w:rsid w:val="00B76BD5"/>
    <w:rsid w:val="00B77D0A"/>
    <w:rsid w:val="00B8425E"/>
    <w:rsid w:val="00B8504D"/>
    <w:rsid w:val="00B86601"/>
    <w:rsid w:val="00B874B8"/>
    <w:rsid w:val="00B923A7"/>
    <w:rsid w:val="00B979CE"/>
    <w:rsid w:val="00BA276C"/>
    <w:rsid w:val="00BA517D"/>
    <w:rsid w:val="00BB1D25"/>
    <w:rsid w:val="00BB1DA1"/>
    <w:rsid w:val="00BB306F"/>
    <w:rsid w:val="00BC34FD"/>
    <w:rsid w:val="00BC3F8B"/>
    <w:rsid w:val="00BC4E49"/>
    <w:rsid w:val="00BD2D1F"/>
    <w:rsid w:val="00BD3D95"/>
    <w:rsid w:val="00BD4B89"/>
    <w:rsid w:val="00BE0D00"/>
    <w:rsid w:val="00BE0D02"/>
    <w:rsid w:val="00BE3D7C"/>
    <w:rsid w:val="00BE3E67"/>
    <w:rsid w:val="00BE5724"/>
    <w:rsid w:val="00BE73CE"/>
    <w:rsid w:val="00BE7B61"/>
    <w:rsid w:val="00BF0B7A"/>
    <w:rsid w:val="00BF5F5C"/>
    <w:rsid w:val="00BF6FD8"/>
    <w:rsid w:val="00C022F8"/>
    <w:rsid w:val="00C02C36"/>
    <w:rsid w:val="00C03654"/>
    <w:rsid w:val="00C03680"/>
    <w:rsid w:val="00C054DF"/>
    <w:rsid w:val="00C05DEA"/>
    <w:rsid w:val="00C12D94"/>
    <w:rsid w:val="00C14163"/>
    <w:rsid w:val="00C15B58"/>
    <w:rsid w:val="00C15DDB"/>
    <w:rsid w:val="00C210BF"/>
    <w:rsid w:val="00C21762"/>
    <w:rsid w:val="00C24543"/>
    <w:rsid w:val="00C25128"/>
    <w:rsid w:val="00C256A2"/>
    <w:rsid w:val="00C3362F"/>
    <w:rsid w:val="00C33BF4"/>
    <w:rsid w:val="00C3752E"/>
    <w:rsid w:val="00C42604"/>
    <w:rsid w:val="00C51515"/>
    <w:rsid w:val="00C5162A"/>
    <w:rsid w:val="00C523AB"/>
    <w:rsid w:val="00C5660B"/>
    <w:rsid w:val="00C57049"/>
    <w:rsid w:val="00C66B72"/>
    <w:rsid w:val="00C70A85"/>
    <w:rsid w:val="00C72516"/>
    <w:rsid w:val="00C75D64"/>
    <w:rsid w:val="00C82795"/>
    <w:rsid w:val="00C84F77"/>
    <w:rsid w:val="00C93F17"/>
    <w:rsid w:val="00C9567A"/>
    <w:rsid w:val="00CA0473"/>
    <w:rsid w:val="00CA0669"/>
    <w:rsid w:val="00CA4052"/>
    <w:rsid w:val="00CB11C6"/>
    <w:rsid w:val="00CB212D"/>
    <w:rsid w:val="00CB2660"/>
    <w:rsid w:val="00CB375B"/>
    <w:rsid w:val="00CB69FE"/>
    <w:rsid w:val="00CC048C"/>
    <w:rsid w:val="00CC0D48"/>
    <w:rsid w:val="00CC1D3F"/>
    <w:rsid w:val="00CC20B4"/>
    <w:rsid w:val="00CC5E90"/>
    <w:rsid w:val="00CD046C"/>
    <w:rsid w:val="00CD0A75"/>
    <w:rsid w:val="00CD15F9"/>
    <w:rsid w:val="00CE076C"/>
    <w:rsid w:val="00CE0E54"/>
    <w:rsid w:val="00CE34F7"/>
    <w:rsid w:val="00CE4733"/>
    <w:rsid w:val="00CE5199"/>
    <w:rsid w:val="00CE66D5"/>
    <w:rsid w:val="00CE7C75"/>
    <w:rsid w:val="00CF16A5"/>
    <w:rsid w:val="00CF637A"/>
    <w:rsid w:val="00D019CC"/>
    <w:rsid w:val="00D059DE"/>
    <w:rsid w:val="00D13FCE"/>
    <w:rsid w:val="00D142B2"/>
    <w:rsid w:val="00D201D6"/>
    <w:rsid w:val="00D306D1"/>
    <w:rsid w:val="00D32C70"/>
    <w:rsid w:val="00D34786"/>
    <w:rsid w:val="00D34C80"/>
    <w:rsid w:val="00D37BFC"/>
    <w:rsid w:val="00D40E80"/>
    <w:rsid w:val="00D44ADA"/>
    <w:rsid w:val="00D455FE"/>
    <w:rsid w:val="00D463A0"/>
    <w:rsid w:val="00D47A8E"/>
    <w:rsid w:val="00D52D14"/>
    <w:rsid w:val="00D55560"/>
    <w:rsid w:val="00D649EE"/>
    <w:rsid w:val="00D7048C"/>
    <w:rsid w:val="00D70A10"/>
    <w:rsid w:val="00D712D3"/>
    <w:rsid w:val="00D71422"/>
    <w:rsid w:val="00D71C46"/>
    <w:rsid w:val="00D71DE3"/>
    <w:rsid w:val="00D72DC6"/>
    <w:rsid w:val="00D7558D"/>
    <w:rsid w:val="00D76C51"/>
    <w:rsid w:val="00D77889"/>
    <w:rsid w:val="00D81D92"/>
    <w:rsid w:val="00D90723"/>
    <w:rsid w:val="00D907F0"/>
    <w:rsid w:val="00D94F6A"/>
    <w:rsid w:val="00DA2137"/>
    <w:rsid w:val="00DA2F20"/>
    <w:rsid w:val="00DA37AB"/>
    <w:rsid w:val="00DA6035"/>
    <w:rsid w:val="00DA7578"/>
    <w:rsid w:val="00DA7B5F"/>
    <w:rsid w:val="00DB03C1"/>
    <w:rsid w:val="00DC11E7"/>
    <w:rsid w:val="00DC1217"/>
    <w:rsid w:val="00DC3409"/>
    <w:rsid w:val="00DC4198"/>
    <w:rsid w:val="00DC7023"/>
    <w:rsid w:val="00DC769A"/>
    <w:rsid w:val="00DD0BAC"/>
    <w:rsid w:val="00DD36FE"/>
    <w:rsid w:val="00DD3D86"/>
    <w:rsid w:val="00DD4388"/>
    <w:rsid w:val="00DD679F"/>
    <w:rsid w:val="00DE0E5E"/>
    <w:rsid w:val="00DE1CB4"/>
    <w:rsid w:val="00DF1EC4"/>
    <w:rsid w:val="00E00427"/>
    <w:rsid w:val="00E02185"/>
    <w:rsid w:val="00E0340B"/>
    <w:rsid w:val="00E04A90"/>
    <w:rsid w:val="00E10F23"/>
    <w:rsid w:val="00E11545"/>
    <w:rsid w:val="00E13B99"/>
    <w:rsid w:val="00E203C5"/>
    <w:rsid w:val="00E20BB7"/>
    <w:rsid w:val="00E219C7"/>
    <w:rsid w:val="00E24E80"/>
    <w:rsid w:val="00E31B4E"/>
    <w:rsid w:val="00E4196D"/>
    <w:rsid w:val="00E43157"/>
    <w:rsid w:val="00E461CE"/>
    <w:rsid w:val="00E54E71"/>
    <w:rsid w:val="00E61D72"/>
    <w:rsid w:val="00E6385C"/>
    <w:rsid w:val="00E7020D"/>
    <w:rsid w:val="00E720CA"/>
    <w:rsid w:val="00E7313F"/>
    <w:rsid w:val="00E83D98"/>
    <w:rsid w:val="00E84EB5"/>
    <w:rsid w:val="00E85662"/>
    <w:rsid w:val="00E8789F"/>
    <w:rsid w:val="00E87B22"/>
    <w:rsid w:val="00E94E5B"/>
    <w:rsid w:val="00E97B71"/>
    <w:rsid w:val="00E97CFF"/>
    <w:rsid w:val="00EA2EEC"/>
    <w:rsid w:val="00EA3159"/>
    <w:rsid w:val="00EA3D34"/>
    <w:rsid w:val="00EA42B0"/>
    <w:rsid w:val="00EA6A91"/>
    <w:rsid w:val="00EB3191"/>
    <w:rsid w:val="00EB454D"/>
    <w:rsid w:val="00EB6B1C"/>
    <w:rsid w:val="00EB7BF5"/>
    <w:rsid w:val="00EC1106"/>
    <w:rsid w:val="00EC26E6"/>
    <w:rsid w:val="00EC5233"/>
    <w:rsid w:val="00EC5D10"/>
    <w:rsid w:val="00ED1BB9"/>
    <w:rsid w:val="00ED55A1"/>
    <w:rsid w:val="00ED76BE"/>
    <w:rsid w:val="00EE27DA"/>
    <w:rsid w:val="00EE3505"/>
    <w:rsid w:val="00EE3FE3"/>
    <w:rsid w:val="00EE54A2"/>
    <w:rsid w:val="00EF619B"/>
    <w:rsid w:val="00EF6B6C"/>
    <w:rsid w:val="00F00B55"/>
    <w:rsid w:val="00F00C5A"/>
    <w:rsid w:val="00F02AD1"/>
    <w:rsid w:val="00F05D2A"/>
    <w:rsid w:val="00F12F89"/>
    <w:rsid w:val="00F14E37"/>
    <w:rsid w:val="00F1652B"/>
    <w:rsid w:val="00F167F3"/>
    <w:rsid w:val="00F21CF3"/>
    <w:rsid w:val="00F22BF0"/>
    <w:rsid w:val="00F253CC"/>
    <w:rsid w:val="00F2672A"/>
    <w:rsid w:val="00F33371"/>
    <w:rsid w:val="00F34D1F"/>
    <w:rsid w:val="00F37106"/>
    <w:rsid w:val="00F4495F"/>
    <w:rsid w:val="00F453F1"/>
    <w:rsid w:val="00F4622F"/>
    <w:rsid w:val="00F51768"/>
    <w:rsid w:val="00F519CF"/>
    <w:rsid w:val="00F53CA7"/>
    <w:rsid w:val="00F56BA5"/>
    <w:rsid w:val="00F60E22"/>
    <w:rsid w:val="00F62CA9"/>
    <w:rsid w:val="00F705C6"/>
    <w:rsid w:val="00F72917"/>
    <w:rsid w:val="00F73E61"/>
    <w:rsid w:val="00F73F70"/>
    <w:rsid w:val="00F750B4"/>
    <w:rsid w:val="00F75C19"/>
    <w:rsid w:val="00F81395"/>
    <w:rsid w:val="00F83040"/>
    <w:rsid w:val="00F831DF"/>
    <w:rsid w:val="00F84FD9"/>
    <w:rsid w:val="00F90B94"/>
    <w:rsid w:val="00F90CF9"/>
    <w:rsid w:val="00F917D1"/>
    <w:rsid w:val="00F9653B"/>
    <w:rsid w:val="00FA13B6"/>
    <w:rsid w:val="00FA406E"/>
    <w:rsid w:val="00FB0978"/>
    <w:rsid w:val="00FB1D45"/>
    <w:rsid w:val="00FB62CF"/>
    <w:rsid w:val="00FB7670"/>
    <w:rsid w:val="00FC0921"/>
    <w:rsid w:val="00FC1046"/>
    <w:rsid w:val="00FC1D23"/>
    <w:rsid w:val="00FC3C9E"/>
    <w:rsid w:val="00FC3DEF"/>
    <w:rsid w:val="00FC5AF1"/>
    <w:rsid w:val="00FC6400"/>
    <w:rsid w:val="00FC71F4"/>
    <w:rsid w:val="00FC7E69"/>
    <w:rsid w:val="00FD08D8"/>
    <w:rsid w:val="00FD145B"/>
    <w:rsid w:val="00FD3C3B"/>
    <w:rsid w:val="00FE06D2"/>
    <w:rsid w:val="00FE154E"/>
    <w:rsid w:val="00FE5ABB"/>
    <w:rsid w:val="00FE6B45"/>
    <w:rsid w:val="00FF2B86"/>
    <w:rsid w:val="00FF540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A8563D"/>
    <w:rPr>
      <w:sz w:val="16"/>
      <w:szCs w:val="16"/>
    </w:rPr>
  </w:style>
  <w:style w:type="paragraph" w:styleId="CommentText">
    <w:name w:val="annotation text"/>
    <w:basedOn w:val="Normal"/>
    <w:link w:val="CommentTextChar"/>
    <w:uiPriority w:val="99"/>
    <w:semiHidden/>
    <w:unhideWhenUsed/>
    <w:rsid w:val="00A8563D"/>
    <w:rPr>
      <w:sz w:val="20"/>
      <w:szCs w:val="20"/>
    </w:rPr>
  </w:style>
  <w:style w:type="character" w:customStyle="1" w:styleId="CommentTextChar">
    <w:name w:val="Comment Text Char"/>
    <w:basedOn w:val="DefaultParagraphFont"/>
    <w:link w:val="CommentText"/>
    <w:uiPriority w:val="99"/>
    <w:semiHidden/>
    <w:rsid w:val="00A8563D"/>
    <w:rPr>
      <w:lang w:val="en-US" w:eastAsia="en-US"/>
    </w:rPr>
  </w:style>
  <w:style w:type="paragraph" w:styleId="CommentSubject">
    <w:name w:val="annotation subject"/>
    <w:basedOn w:val="CommentText"/>
    <w:next w:val="CommentText"/>
    <w:link w:val="CommentSubjectChar"/>
    <w:uiPriority w:val="99"/>
    <w:semiHidden/>
    <w:unhideWhenUsed/>
    <w:rsid w:val="00A8563D"/>
    <w:rPr>
      <w:b/>
      <w:bCs/>
    </w:rPr>
  </w:style>
  <w:style w:type="character" w:customStyle="1" w:styleId="CommentSubjectChar">
    <w:name w:val="Comment Subject Char"/>
    <w:basedOn w:val="CommentTextChar"/>
    <w:link w:val="CommentSubject"/>
    <w:uiPriority w:val="99"/>
    <w:semiHidden/>
    <w:rsid w:val="00A8563D"/>
    <w:rPr>
      <w:b/>
      <w:bCs/>
      <w:lang w:val="en-US" w:eastAsia="en-US"/>
    </w:rPr>
  </w:style>
  <w:style w:type="character" w:customStyle="1" w:styleId="apple-converted-space">
    <w:name w:val="apple-converted-space"/>
    <w:basedOn w:val="DefaultParagraphFont"/>
    <w:rsid w:val="002F27BD"/>
  </w:style>
  <w:style w:type="paragraph" w:customStyle="1" w:styleId="PargrafodaLista">
    <w:name w:val="Parágrafo da Lista"/>
    <w:basedOn w:val="Normal"/>
    <w:uiPriority w:val="34"/>
    <w:qFormat/>
    <w:rsid w:val="001E2046"/>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rPr>
  </w:style>
  <w:style w:type="paragraph" w:styleId="NoSpacing">
    <w:name w:val="No Spacing"/>
    <w:uiPriority w:val="1"/>
    <w:qFormat/>
    <w:rsid w:val="004F2C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customStyle="1" w:styleId="st1">
    <w:name w:val="st1"/>
    <w:basedOn w:val="DefaultParagraphFont"/>
    <w:rsid w:val="00577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A8563D"/>
    <w:rPr>
      <w:sz w:val="16"/>
      <w:szCs w:val="16"/>
    </w:rPr>
  </w:style>
  <w:style w:type="paragraph" w:styleId="CommentText">
    <w:name w:val="annotation text"/>
    <w:basedOn w:val="Normal"/>
    <w:link w:val="CommentTextChar"/>
    <w:uiPriority w:val="99"/>
    <w:semiHidden/>
    <w:unhideWhenUsed/>
    <w:rsid w:val="00A8563D"/>
    <w:rPr>
      <w:sz w:val="20"/>
      <w:szCs w:val="20"/>
    </w:rPr>
  </w:style>
  <w:style w:type="character" w:customStyle="1" w:styleId="CommentTextChar">
    <w:name w:val="Comment Text Char"/>
    <w:basedOn w:val="DefaultParagraphFont"/>
    <w:link w:val="CommentText"/>
    <w:uiPriority w:val="99"/>
    <w:semiHidden/>
    <w:rsid w:val="00A8563D"/>
    <w:rPr>
      <w:lang w:val="en-US" w:eastAsia="en-US"/>
    </w:rPr>
  </w:style>
  <w:style w:type="paragraph" w:styleId="CommentSubject">
    <w:name w:val="annotation subject"/>
    <w:basedOn w:val="CommentText"/>
    <w:next w:val="CommentText"/>
    <w:link w:val="CommentSubjectChar"/>
    <w:uiPriority w:val="99"/>
    <w:semiHidden/>
    <w:unhideWhenUsed/>
    <w:rsid w:val="00A8563D"/>
    <w:rPr>
      <w:b/>
      <w:bCs/>
    </w:rPr>
  </w:style>
  <w:style w:type="character" w:customStyle="1" w:styleId="CommentSubjectChar">
    <w:name w:val="Comment Subject Char"/>
    <w:basedOn w:val="CommentTextChar"/>
    <w:link w:val="CommentSubject"/>
    <w:uiPriority w:val="99"/>
    <w:semiHidden/>
    <w:rsid w:val="00A8563D"/>
    <w:rPr>
      <w:b/>
      <w:bCs/>
      <w:lang w:val="en-US" w:eastAsia="en-US"/>
    </w:rPr>
  </w:style>
  <w:style w:type="character" w:customStyle="1" w:styleId="apple-converted-space">
    <w:name w:val="apple-converted-space"/>
    <w:basedOn w:val="DefaultParagraphFont"/>
    <w:rsid w:val="002F27BD"/>
  </w:style>
  <w:style w:type="paragraph" w:customStyle="1" w:styleId="PargrafodaLista">
    <w:name w:val="Parágrafo da Lista"/>
    <w:basedOn w:val="Normal"/>
    <w:uiPriority w:val="34"/>
    <w:qFormat/>
    <w:rsid w:val="001E2046"/>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rPr>
  </w:style>
  <w:style w:type="paragraph" w:styleId="NoSpacing">
    <w:name w:val="No Spacing"/>
    <w:uiPriority w:val="1"/>
    <w:qFormat/>
    <w:rsid w:val="004F2C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customStyle="1" w:styleId="st1">
    <w:name w:val="st1"/>
    <w:basedOn w:val="DefaultParagraphFont"/>
    <w:rsid w:val="00577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5303">
      <w:bodyDiv w:val="1"/>
      <w:marLeft w:val="0"/>
      <w:marRight w:val="0"/>
      <w:marTop w:val="0"/>
      <w:marBottom w:val="0"/>
      <w:divBdr>
        <w:top w:val="none" w:sz="0" w:space="0" w:color="auto"/>
        <w:left w:val="none" w:sz="0" w:space="0" w:color="auto"/>
        <w:bottom w:val="none" w:sz="0" w:space="0" w:color="auto"/>
        <w:right w:val="none" w:sz="0" w:space="0" w:color="auto"/>
      </w:divBdr>
    </w:div>
    <w:div w:id="148326557">
      <w:bodyDiv w:val="1"/>
      <w:marLeft w:val="0"/>
      <w:marRight w:val="0"/>
      <w:marTop w:val="0"/>
      <w:marBottom w:val="0"/>
      <w:divBdr>
        <w:top w:val="none" w:sz="0" w:space="0" w:color="auto"/>
        <w:left w:val="none" w:sz="0" w:space="0" w:color="auto"/>
        <w:bottom w:val="none" w:sz="0" w:space="0" w:color="auto"/>
        <w:right w:val="none" w:sz="0" w:space="0" w:color="auto"/>
      </w:divBdr>
    </w:div>
    <w:div w:id="322198577">
      <w:bodyDiv w:val="1"/>
      <w:marLeft w:val="0"/>
      <w:marRight w:val="0"/>
      <w:marTop w:val="0"/>
      <w:marBottom w:val="0"/>
      <w:divBdr>
        <w:top w:val="none" w:sz="0" w:space="0" w:color="auto"/>
        <w:left w:val="none" w:sz="0" w:space="0" w:color="auto"/>
        <w:bottom w:val="none" w:sz="0" w:space="0" w:color="auto"/>
        <w:right w:val="none" w:sz="0" w:space="0" w:color="auto"/>
      </w:divBdr>
    </w:div>
    <w:div w:id="674845067">
      <w:bodyDiv w:val="1"/>
      <w:marLeft w:val="0"/>
      <w:marRight w:val="0"/>
      <w:marTop w:val="0"/>
      <w:marBottom w:val="0"/>
      <w:divBdr>
        <w:top w:val="none" w:sz="0" w:space="0" w:color="auto"/>
        <w:left w:val="none" w:sz="0" w:space="0" w:color="auto"/>
        <w:bottom w:val="none" w:sz="0" w:space="0" w:color="auto"/>
        <w:right w:val="none" w:sz="0" w:space="0" w:color="auto"/>
      </w:divBdr>
    </w:div>
    <w:div w:id="757363740">
      <w:bodyDiv w:val="1"/>
      <w:marLeft w:val="0"/>
      <w:marRight w:val="0"/>
      <w:marTop w:val="0"/>
      <w:marBottom w:val="0"/>
      <w:divBdr>
        <w:top w:val="none" w:sz="0" w:space="0" w:color="auto"/>
        <w:left w:val="none" w:sz="0" w:space="0" w:color="auto"/>
        <w:bottom w:val="none" w:sz="0" w:space="0" w:color="auto"/>
        <w:right w:val="none" w:sz="0" w:space="0" w:color="auto"/>
      </w:divBdr>
    </w:div>
    <w:div w:id="1054692048">
      <w:bodyDiv w:val="1"/>
      <w:marLeft w:val="0"/>
      <w:marRight w:val="0"/>
      <w:marTop w:val="0"/>
      <w:marBottom w:val="0"/>
      <w:divBdr>
        <w:top w:val="none" w:sz="0" w:space="0" w:color="auto"/>
        <w:left w:val="none" w:sz="0" w:space="0" w:color="auto"/>
        <w:bottom w:val="none" w:sz="0" w:space="0" w:color="auto"/>
        <w:right w:val="none" w:sz="0" w:space="0" w:color="auto"/>
      </w:divBdr>
    </w:div>
    <w:div w:id="1102339646">
      <w:bodyDiv w:val="1"/>
      <w:marLeft w:val="0"/>
      <w:marRight w:val="0"/>
      <w:marTop w:val="0"/>
      <w:marBottom w:val="0"/>
      <w:divBdr>
        <w:top w:val="none" w:sz="0" w:space="0" w:color="auto"/>
        <w:left w:val="none" w:sz="0" w:space="0" w:color="auto"/>
        <w:bottom w:val="none" w:sz="0" w:space="0" w:color="auto"/>
        <w:right w:val="none" w:sz="0" w:space="0" w:color="auto"/>
      </w:divBdr>
    </w:div>
    <w:div w:id="1464737743">
      <w:bodyDiv w:val="1"/>
      <w:marLeft w:val="0"/>
      <w:marRight w:val="0"/>
      <w:marTop w:val="0"/>
      <w:marBottom w:val="0"/>
      <w:divBdr>
        <w:top w:val="none" w:sz="0" w:space="0" w:color="auto"/>
        <w:left w:val="none" w:sz="0" w:space="0" w:color="auto"/>
        <w:bottom w:val="none" w:sz="0" w:space="0" w:color="auto"/>
        <w:right w:val="none" w:sz="0" w:space="0" w:color="auto"/>
      </w:divBdr>
    </w:div>
    <w:div w:id="17861977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0.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B0D3A-EE5E-47A1-A8DC-CAA9598D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3925</Words>
  <Characters>22373</Characters>
  <Application>Microsoft Office Word</Application>
  <DocSecurity>0</DocSecurity>
  <Lines>186</Lines>
  <Paragraphs>52</Paragraphs>
  <ScaleCrop>false</ScaleCrop>
  <Company/>
  <LinksUpToDate>false</LinksUpToDate>
  <CharactersWithSpaces>26246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53/15</dc:title>
  <dc:creator/>
  <cp:lastModifiedBy/>
  <cp:revision>1</cp:revision>
  <dcterms:created xsi:type="dcterms:W3CDTF">2016-02-18T22:58:00Z</dcterms:created>
  <dcterms:modified xsi:type="dcterms:W3CDTF">2016-05-03T14:19:00Z</dcterms:modified>
</cp:coreProperties>
</file>