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60E5" w:rsidRPr="0090270B" w:rsidRDefault="004D5ACA"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0E5" w:rsidRDefault="004D5ACA"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2075" cy="492125"/>
                                  <wp:effectExtent l="0" t="0" r="0" b="317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492125"/>
                                          </a:xfrm>
                                          <a:prstGeom prst="rect">
                                            <a:avLst/>
                                          </a:prstGeom>
                                          <a:noFill/>
                                          <a:ln>
                                            <a:noFill/>
                                          </a:ln>
                                        </pic:spPr>
                                      </pic:pic>
                                    </a:graphicData>
                                  </a:graphic>
                                </wp:inline>
                              </w:drawing>
                            </w:r>
                            <w:r w:rsidR="003E60E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3E60E5" w:rsidRDefault="004D5ACA"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2075" cy="492125"/>
                            <wp:effectExtent l="0" t="0" r="0" b="317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492125"/>
                                    </a:xfrm>
                                    <a:prstGeom prst="rect">
                                      <a:avLst/>
                                    </a:prstGeom>
                                    <a:noFill/>
                                    <a:ln>
                                      <a:noFill/>
                                    </a:ln>
                                  </pic:spPr>
                                </pic:pic>
                              </a:graphicData>
                            </a:graphic>
                          </wp:inline>
                        </w:drawing>
                      </w:r>
                      <w:r w:rsidR="003E60E5">
                        <w:tab/>
                        <w:t xml:space="preserve">                              </w:t>
                      </w:r>
                    </w:p>
                  </w:txbxContent>
                </v:textbox>
              </v:shape>
            </w:pict>
          </mc:Fallback>
        </mc:AlternateContent>
      </w: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3E60E5" w:rsidRPr="0090270B" w:rsidRDefault="003E60E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4D5AC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B4664">
                              <w:rPr>
                                <w:rFonts w:ascii="Cambria" w:hAnsi="Cambria" w:cs="Arial"/>
                                <w:b/>
                                <w:bCs/>
                                <w:color w:val="0D0D0D"/>
                                <w:sz w:val="36"/>
                                <w:szCs w:val="22"/>
                                <w:lang w:val="es-ES_tradnl"/>
                              </w:rPr>
                              <w:t xml:space="preserve">INFORME </w:t>
                            </w:r>
                            <w:r w:rsidRPr="00AB4664">
                              <w:rPr>
                                <w:rFonts w:ascii="Cambria" w:hAnsi="Cambria" w:cs="Arial"/>
                                <w:b/>
                                <w:bCs/>
                                <w:color w:val="0D0D0D"/>
                                <w:sz w:val="36"/>
                                <w:szCs w:val="40"/>
                                <w:lang w:val="es-ES_tradnl"/>
                              </w:rPr>
                              <w:t>No.</w:t>
                            </w:r>
                            <w:r w:rsidRPr="00AB4664">
                              <w:rPr>
                                <w:rFonts w:ascii="Cambria" w:hAnsi="Cambria" w:cs="Arial"/>
                                <w:b/>
                                <w:bCs/>
                                <w:color w:val="0D0D0D"/>
                                <w:sz w:val="36"/>
                                <w:szCs w:val="22"/>
                                <w:lang w:val="es-ES_tradnl"/>
                              </w:rPr>
                              <w:t xml:space="preserve"> </w:t>
                            </w:r>
                            <w:r w:rsidR="002E2226">
                              <w:rPr>
                                <w:rFonts w:ascii="Cambria" w:hAnsi="Cambria" w:cs="Arial"/>
                                <w:b/>
                                <w:bCs/>
                                <w:color w:val="0D0D0D"/>
                                <w:sz w:val="36"/>
                                <w:szCs w:val="22"/>
                                <w:lang w:val="es-ES_tradnl"/>
                              </w:rPr>
                              <w:t>70/15</w:t>
                            </w:r>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B4664">
                              <w:rPr>
                                <w:rFonts w:ascii="Cambria" w:hAnsi="Cambria" w:cs="Arial"/>
                                <w:b/>
                                <w:color w:val="0D0D0D"/>
                                <w:sz w:val="36"/>
                                <w:szCs w:val="22"/>
                                <w:lang w:val="es-ES_tradnl"/>
                              </w:rPr>
                              <w:t xml:space="preserve">PETICIÓN 125-07 </w:t>
                            </w:r>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B4664">
                              <w:rPr>
                                <w:rFonts w:ascii="Cambria" w:hAnsi="Cambria" w:cs="Arial"/>
                                <w:color w:val="0D0D0D"/>
                                <w:szCs w:val="22"/>
                                <w:lang w:val="es-ES_tradnl"/>
                              </w:rPr>
                              <w:t xml:space="preserve">INFORME DE </w:t>
                            </w:r>
                            <w:r w:rsidR="00F278D2" w:rsidRPr="00A8163A">
                              <w:rPr>
                                <w:rFonts w:ascii="Cambria" w:hAnsi="Cambria" w:cs="Arial"/>
                                <w:color w:val="0D0D0D"/>
                                <w:szCs w:val="22"/>
                                <w:lang w:val="es-ES_tradnl"/>
                              </w:rPr>
                              <w:t>IN</w:t>
                            </w:r>
                            <w:r w:rsidRPr="00A8163A">
                              <w:rPr>
                                <w:rFonts w:ascii="Cambria" w:hAnsi="Cambria" w:cs="Arial"/>
                                <w:color w:val="0D0D0D"/>
                                <w:szCs w:val="22"/>
                                <w:lang w:val="es-ES_tradnl"/>
                              </w:rPr>
                              <w:t>ADMISIBILIDAD</w:t>
                            </w:r>
                            <w:r w:rsidRPr="00AB4664">
                              <w:rPr>
                                <w:rFonts w:ascii="Cambria" w:hAnsi="Cambria" w:cs="Arial"/>
                                <w:color w:val="0D0D0D"/>
                                <w:szCs w:val="22"/>
                                <w:lang w:val="es-ES_tradnl"/>
                              </w:rPr>
                              <w:t xml:space="preserve"> </w:t>
                            </w:r>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B4664">
                              <w:rPr>
                                <w:rFonts w:ascii="Cambria" w:hAnsi="Cambria" w:cs="Arial"/>
                                <w:color w:val="0D0D0D"/>
                                <w:szCs w:val="22"/>
                                <w:lang w:val="es-ES_tradnl"/>
                              </w:rPr>
                              <w:t>GUSTAVO HAROLDO HORTA MUÑOZ</w:t>
                            </w:r>
                          </w:p>
                          <w:bookmarkEnd w:id="1"/>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B4664">
                              <w:rPr>
                                <w:rFonts w:ascii="Cambria" w:hAnsi="Cambria" w:cs="Arial"/>
                                <w:color w:val="0D0D0D"/>
                                <w:szCs w:val="22"/>
                                <w:lang w:val="es-ES"/>
                              </w:rPr>
                              <w:t>CHILE</w:t>
                            </w:r>
                          </w:p>
                          <w:p w:rsidR="003E60E5" w:rsidRPr="00AB4664" w:rsidRDefault="003E60E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AB4664">
                        <w:rPr>
                          <w:rFonts w:ascii="Cambria" w:hAnsi="Cambria" w:cs="Arial"/>
                          <w:b/>
                          <w:bCs/>
                          <w:color w:val="0D0D0D"/>
                          <w:sz w:val="36"/>
                          <w:szCs w:val="22"/>
                          <w:lang w:val="es-ES_tradnl"/>
                        </w:rPr>
                        <w:t xml:space="preserve">INFORME </w:t>
                      </w:r>
                      <w:r w:rsidRPr="00AB4664">
                        <w:rPr>
                          <w:rFonts w:ascii="Cambria" w:hAnsi="Cambria" w:cs="Arial"/>
                          <w:b/>
                          <w:bCs/>
                          <w:color w:val="0D0D0D"/>
                          <w:sz w:val="36"/>
                          <w:szCs w:val="40"/>
                          <w:lang w:val="es-ES_tradnl"/>
                        </w:rPr>
                        <w:t>No.</w:t>
                      </w:r>
                      <w:r w:rsidRPr="00AB4664">
                        <w:rPr>
                          <w:rFonts w:ascii="Cambria" w:hAnsi="Cambria" w:cs="Arial"/>
                          <w:b/>
                          <w:bCs/>
                          <w:color w:val="0D0D0D"/>
                          <w:sz w:val="36"/>
                          <w:szCs w:val="22"/>
                          <w:lang w:val="es-ES_tradnl"/>
                        </w:rPr>
                        <w:t xml:space="preserve"> </w:t>
                      </w:r>
                      <w:r w:rsidR="002E2226">
                        <w:rPr>
                          <w:rFonts w:ascii="Cambria" w:hAnsi="Cambria" w:cs="Arial"/>
                          <w:b/>
                          <w:bCs/>
                          <w:color w:val="0D0D0D"/>
                          <w:sz w:val="36"/>
                          <w:szCs w:val="22"/>
                          <w:lang w:val="es-ES_tradnl"/>
                        </w:rPr>
                        <w:t>70/15</w:t>
                      </w:r>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AB4664">
                        <w:rPr>
                          <w:rFonts w:ascii="Cambria" w:hAnsi="Cambria" w:cs="Arial"/>
                          <w:b/>
                          <w:color w:val="0D0D0D"/>
                          <w:sz w:val="36"/>
                          <w:szCs w:val="22"/>
                          <w:lang w:val="es-ES_tradnl"/>
                        </w:rPr>
                        <w:t xml:space="preserve">PETICIÓN 125-07 </w:t>
                      </w:r>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B4664">
                        <w:rPr>
                          <w:rFonts w:ascii="Cambria" w:hAnsi="Cambria" w:cs="Arial"/>
                          <w:color w:val="0D0D0D"/>
                          <w:szCs w:val="22"/>
                          <w:lang w:val="es-ES_tradnl"/>
                        </w:rPr>
                        <w:t xml:space="preserve">INFORME DE </w:t>
                      </w:r>
                      <w:r w:rsidR="00F278D2" w:rsidRPr="00A8163A">
                        <w:rPr>
                          <w:rFonts w:ascii="Cambria" w:hAnsi="Cambria" w:cs="Arial"/>
                          <w:color w:val="0D0D0D"/>
                          <w:szCs w:val="22"/>
                          <w:lang w:val="es-ES_tradnl"/>
                        </w:rPr>
                        <w:t>IN</w:t>
                      </w:r>
                      <w:r w:rsidRPr="00A8163A">
                        <w:rPr>
                          <w:rFonts w:ascii="Cambria" w:hAnsi="Cambria" w:cs="Arial"/>
                          <w:color w:val="0D0D0D"/>
                          <w:szCs w:val="22"/>
                          <w:lang w:val="es-ES_tradnl"/>
                        </w:rPr>
                        <w:t>ADMISIBILIDAD</w:t>
                      </w:r>
                      <w:r w:rsidRPr="00AB4664">
                        <w:rPr>
                          <w:rFonts w:ascii="Cambria" w:hAnsi="Cambria" w:cs="Arial"/>
                          <w:color w:val="0D0D0D"/>
                          <w:szCs w:val="22"/>
                          <w:lang w:val="es-ES_tradnl"/>
                        </w:rPr>
                        <w:t xml:space="preserve"> </w:t>
                      </w:r>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AB4664">
                        <w:rPr>
                          <w:rFonts w:ascii="Cambria" w:hAnsi="Cambria" w:cs="Arial"/>
                          <w:color w:val="0D0D0D"/>
                          <w:szCs w:val="22"/>
                          <w:lang w:val="es-ES_tradnl"/>
                        </w:rPr>
                        <w:t>GUSTAVO HAROLDO HORTA MUÑOZ</w:t>
                      </w:r>
                    </w:p>
                    <w:bookmarkEnd w:id="2"/>
                    <w:p w:rsidR="003E60E5" w:rsidRPr="00AB4664" w:rsidRDefault="003E60E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B4664">
                        <w:rPr>
                          <w:rFonts w:ascii="Cambria" w:hAnsi="Cambria" w:cs="Arial"/>
                          <w:color w:val="0D0D0D"/>
                          <w:szCs w:val="22"/>
                          <w:lang w:val="es-ES"/>
                        </w:rPr>
                        <w:t>CHILE</w:t>
                      </w:r>
                    </w:p>
                    <w:p w:rsidR="003E60E5" w:rsidRPr="00AB4664" w:rsidRDefault="003E60E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0E5" w:rsidRPr="002E2226" w:rsidRDefault="003E60E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2E2226">
                              <w:rPr>
                                <w:rFonts w:ascii="Calibri" w:hAnsi="Calibri"/>
                                <w:color w:val="FFFFFF" w:themeColor="background1"/>
                                <w:sz w:val="22"/>
                                <w:lang w:val="pt-BR"/>
                              </w:rPr>
                              <w:t>OEA/Ser.L/V/II.15</w:t>
                            </w:r>
                            <w:r w:rsidR="002E2226" w:rsidRPr="002E2226">
                              <w:rPr>
                                <w:rFonts w:ascii="Calibri" w:hAnsi="Calibri"/>
                                <w:color w:val="FFFFFF" w:themeColor="background1"/>
                                <w:sz w:val="22"/>
                                <w:lang w:val="pt-BR"/>
                              </w:rPr>
                              <w:t>6</w:t>
                            </w:r>
                          </w:p>
                          <w:p w:rsidR="003E60E5" w:rsidRPr="002E2226" w:rsidRDefault="003E60E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2E2226">
                              <w:rPr>
                                <w:rFonts w:ascii="Calibri" w:hAnsi="Calibri"/>
                                <w:color w:val="FFFFFF" w:themeColor="background1"/>
                                <w:sz w:val="22"/>
                                <w:lang w:val="pt-BR"/>
                              </w:rPr>
                              <w:t xml:space="preserve">Doc. </w:t>
                            </w:r>
                            <w:r w:rsidR="002E2226" w:rsidRPr="002E2226">
                              <w:rPr>
                                <w:rFonts w:ascii="Calibri" w:hAnsi="Calibri"/>
                                <w:color w:val="FFFFFF" w:themeColor="background1"/>
                                <w:sz w:val="22"/>
                                <w:lang w:val="pt-BR"/>
                              </w:rPr>
                              <w:t>23</w:t>
                            </w:r>
                          </w:p>
                          <w:p w:rsidR="003E60E5" w:rsidRPr="002E2226" w:rsidRDefault="002E2226"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2E2226">
                              <w:rPr>
                                <w:rFonts w:ascii="Calibri" w:hAnsi="Calibri"/>
                                <w:color w:val="FFFFFF" w:themeColor="background1"/>
                                <w:sz w:val="22"/>
                                <w:lang w:val="es-CL"/>
                              </w:rPr>
                              <w:t>28</w:t>
                            </w:r>
                            <w:r w:rsidR="003E60E5" w:rsidRPr="002E2226">
                              <w:rPr>
                                <w:rFonts w:ascii="Calibri" w:hAnsi="Calibri"/>
                                <w:color w:val="FFFFFF" w:themeColor="background1"/>
                                <w:sz w:val="22"/>
                                <w:lang w:val="es-CL"/>
                              </w:rPr>
                              <w:t xml:space="preserve"> </w:t>
                            </w:r>
                            <w:r w:rsidRPr="002E2226">
                              <w:rPr>
                                <w:rFonts w:ascii="Calibri" w:hAnsi="Calibri"/>
                                <w:color w:val="FFFFFF" w:themeColor="background1"/>
                                <w:sz w:val="22"/>
                                <w:lang w:val="es-CL"/>
                              </w:rPr>
                              <w:t>OCTUBRE</w:t>
                            </w:r>
                            <w:r w:rsidR="003E60E5" w:rsidRPr="002E2226">
                              <w:rPr>
                                <w:rFonts w:ascii="Calibri" w:hAnsi="Calibri"/>
                                <w:color w:val="FFFFFF" w:themeColor="background1"/>
                                <w:sz w:val="22"/>
                                <w:lang w:val="es-CL"/>
                              </w:rPr>
                              <w:t xml:space="preserve"> 201X</w:t>
                            </w:r>
                          </w:p>
                          <w:p w:rsidR="003E60E5" w:rsidRPr="002E2226" w:rsidRDefault="003E60E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2E2226">
                              <w:rPr>
                                <w:rFonts w:ascii="Calibri" w:hAnsi="Calibr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3E60E5" w:rsidRPr="002E2226" w:rsidRDefault="003E60E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2E2226">
                        <w:rPr>
                          <w:rFonts w:ascii="Calibri" w:hAnsi="Calibri"/>
                          <w:color w:val="FFFFFF" w:themeColor="background1"/>
                          <w:sz w:val="22"/>
                          <w:lang w:val="pt-BR"/>
                        </w:rPr>
                        <w:t>OEA/Ser.L/V/II.15</w:t>
                      </w:r>
                      <w:r w:rsidR="002E2226" w:rsidRPr="002E2226">
                        <w:rPr>
                          <w:rFonts w:ascii="Calibri" w:hAnsi="Calibri"/>
                          <w:color w:val="FFFFFF" w:themeColor="background1"/>
                          <w:sz w:val="22"/>
                          <w:lang w:val="pt-BR"/>
                        </w:rPr>
                        <w:t>6</w:t>
                      </w:r>
                    </w:p>
                    <w:p w:rsidR="003E60E5" w:rsidRPr="002E2226" w:rsidRDefault="003E60E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2E2226">
                        <w:rPr>
                          <w:rFonts w:ascii="Calibri" w:hAnsi="Calibri"/>
                          <w:color w:val="FFFFFF" w:themeColor="background1"/>
                          <w:sz w:val="22"/>
                          <w:lang w:val="pt-BR"/>
                        </w:rPr>
                        <w:t xml:space="preserve">Doc. </w:t>
                      </w:r>
                      <w:r w:rsidR="002E2226" w:rsidRPr="002E2226">
                        <w:rPr>
                          <w:rFonts w:ascii="Calibri" w:hAnsi="Calibri"/>
                          <w:color w:val="FFFFFF" w:themeColor="background1"/>
                          <w:sz w:val="22"/>
                          <w:lang w:val="pt-BR"/>
                        </w:rPr>
                        <w:t>23</w:t>
                      </w:r>
                    </w:p>
                    <w:p w:rsidR="003E60E5" w:rsidRPr="002E2226" w:rsidRDefault="002E2226"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2E2226">
                        <w:rPr>
                          <w:rFonts w:ascii="Calibri" w:hAnsi="Calibri"/>
                          <w:color w:val="FFFFFF" w:themeColor="background1"/>
                          <w:sz w:val="22"/>
                          <w:lang w:val="es-CL"/>
                        </w:rPr>
                        <w:t>28</w:t>
                      </w:r>
                      <w:r w:rsidR="003E60E5" w:rsidRPr="002E2226">
                        <w:rPr>
                          <w:rFonts w:ascii="Calibri" w:hAnsi="Calibri"/>
                          <w:color w:val="FFFFFF" w:themeColor="background1"/>
                          <w:sz w:val="22"/>
                          <w:lang w:val="es-CL"/>
                        </w:rPr>
                        <w:t xml:space="preserve"> </w:t>
                      </w:r>
                      <w:r w:rsidRPr="002E2226">
                        <w:rPr>
                          <w:rFonts w:ascii="Calibri" w:hAnsi="Calibri"/>
                          <w:color w:val="FFFFFF" w:themeColor="background1"/>
                          <w:sz w:val="22"/>
                          <w:lang w:val="es-CL"/>
                        </w:rPr>
                        <w:t>OCTUBRE</w:t>
                      </w:r>
                      <w:r w:rsidR="003E60E5" w:rsidRPr="002E2226">
                        <w:rPr>
                          <w:rFonts w:ascii="Calibri" w:hAnsi="Calibri"/>
                          <w:color w:val="FFFFFF" w:themeColor="background1"/>
                          <w:sz w:val="22"/>
                          <w:lang w:val="es-CL"/>
                        </w:rPr>
                        <w:t xml:space="preserve"> 201X</w:t>
                      </w:r>
                    </w:p>
                    <w:p w:rsidR="003E60E5" w:rsidRPr="002E2226" w:rsidRDefault="003E60E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2E2226">
                        <w:rPr>
                          <w:rFonts w:ascii="Calibri" w:hAnsi="Calibri"/>
                          <w:color w:val="FFFFFF" w:themeColor="background1"/>
                          <w:sz w:val="22"/>
                          <w:lang w:val="es-CL"/>
                        </w:rPr>
                        <w:t>Original: español</w:t>
                      </w:r>
                    </w:p>
                  </w:txbxContent>
                </v:textbox>
              </v:shape>
            </w:pict>
          </mc:Fallback>
        </mc:AlternateContent>
      </w: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4D5AC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0E5" w:rsidRPr="00AB4664" w:rsidRDefault="003E60E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AB4664">
                              <w:rPr>
                                <w:rFonts w:ascii="Cambria" w:hAnsi="Cambria"/>
                                <w:color w:val="0D0D0D"/>
                                <w:sz w:val="18"/>
                                <w:szCs w:val="20"/>
                                <w:lang w:val="es-ES"/>
                              </w:rPr>
                              <w:t xml:space="preserve">Aprobado por la Comisión en su sesión No. </w:t>
                            </w:r>
                            <w:r w:rsidR="002E2226">
                              <w:rPr>
                                <w:rFonts w:ascii="Cambria" w:hAnsi="Cambria"/>
                                <w:color w:val="0D0D0D"/>
                                <w:sz w:val="18"/>
                                <w:szCs w:val="20"/>
                                <w:lang w:val="es-ES"/>
                              </w:rPr>
                              <w:t>2053</w:t>
                            </w:r>
                            <w:r w:rsidRPr="00AB4664">
                              <w:rPr>
                                <w:rFonts w:ascii="Cambria" w:hAnsi="Cambria"/>
                                <w:color w:val="0D0D0D"/>
                                <w:sz w:val="18"/>
                                <w:szCs w:val="20"/>
                                <w:lang w:val="es-ES"/>
                              </w:rPr>
                              <w:t xml:space="preserve"> celebrada el </w:t>
                            </w:r>
                            <w:r w:rsidR="002E2226">
                              <w:rPr>
                                <w:rFonts w:ascii="Cambria" w:hAnsi="Cambria"/>
                                <w:color w:val="0D0D0D"/>
                                <w:sz w:val="18"/>
                                <w:szCs w:val="20"/>
                                <w:lang w:val="es-ES"/>
                              </w:rPr>
                              <w:t>28</w:t>
                            </w:r>
                            <w:r w:rsidRPr="00AB4664">
                              <w:rPr>
                                <w:rFonts w:ascii="Cambria" w:hAnsi="Cambria"/>
                                <w:color w:val="0D0D0D"/>
                                <w:sz w:val="18"/>
                                <w:szCs w:val="20"/>
                                <w:lang w:val="es-ES"/>
                              </w:rPr>
                              <w:t xml:space="preserve"> de </w:t>
                            </w:r>
                            <w:r w:rsidR="002E2226">
                              <w:rPr>
                                <w:rFonts w:ascii="Cambria" w:hAnsi="Cambria"/>
                                <w:color w:val="0D0D0D"/>
                                <w:sz w:val="18"/>
                                <w:szCs w:val="20"/>
                                <w:lang w:val="es-ES"/>
                              </w:rPr>
                              <w:t>OCTUBRE de 2015</w:t>
                            </w:r>
                            <w:r w:rsidRPr="00AB4664">
                              <w:rPr>
                                <w:rFonts w:ascii="Cambria" w:hAnsi="Cambria"/>
                                <w:color w:val="0D0D0D"/>
                                <w:sz w:val="18"/>
                                <w:szCs w:val="20"/>
                                <w:lang w:val="es-ES"/>
                              </w:rPr>
                              <w:br/>
                            </w:r>
                            <w:r w:rsidR="002E2226">
                              <w:rPr>
                                <w:rFonts w:ascii="Cambria" w:hAnsi="Cambria" w:cs="Univers"/>
                                <w:color w:val="0D0D0D"/>
                                <w:sz w:val="18"/>
                                <w:szCs w:val="20"/>
                                <w:lang w:val="es-ES_tradnl"/>
                              </w:rPr>
                              <w:t>156</w:t>
                            </w:r>
                            <w:r w:rsidRPr="00AB4664">
                              <w:rPr>
                                <w:rFonts w:ascii="Cambria" w:hAnsi="Cambria" w:cs="Univers"/>
                                <w:color w:val="0D0D0D"/>
                                <w:sz w:val="18"/>
                                <w:szCs w:val="20"/>
                                <w:lang w:val="es-ES_tradnl"/>
                              </w:rPr>
                              <w:t xml:space="preserve"> período ordinario de sesiones</w:t>
                            </w:r>
                            <w:r w:rsidR="002E2226">
                              <w:rPr>
                                <w:rFonts w:ascii="Cambria" w:hAnsi="Cambria" w:cs="Univers"/>
                                <w:color w:val="0D0D0D"/>
                                <w:sz w:val="18"/>
                                <w:szCs w:val="20"/>
                                <w:lang w:val="es-ES_tradnl"/>
                              </w:rPr>
                              <w:t>.</w:t>
                            </w:r>
                          </w:p>
                          <w:p w:rsidR="003E60E5" w:rsidRPr="00AB4664" w:rsidRDefault="003E60E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3E60E5" w:rsidRPr="00AB4664" w:rsidRDefault="003E60E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3E60E5" w:rsidRPr="00AB4664" w:rsidRDefault="003E60E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AB4664">
                        <w:rPr>
                          <w:rFonts w:ascii="Cambria" w:hAnsi="Cambria"/>
                          <w:color w:val="0D0D0D"/>
                          <w:sz w:val="18"/>
                          <w:szCs w:val="20"/>
                          <w:lang w:val="es-ES"/>
                        </w:rPr>
                        <w:t xml:space="preserve">Aprobado por la Comisión en su sesión No. </w:t>
                      </w:r>
                      <w:r w:rsidR="002E2226">
                        <w:rPr>
                          <w:rFonts w:ascii="Cambria" w:hAnsi="Cambria"/>
                          <w:color w:val="0D0D0D"/>
                          <w:sz w:val="18"/>
                          <w:szCs w:val="20"/>
                          <w:lang w:val="es-ES"/>
                        </w:rPr>
                        <w:t>2053</w:t>
                      </w:r>
                      <w:r w:rsidRPr="00AB4664">
                        <w:rPr>
                          <w:rFonts w:ascii="Cambria" w:hAnsi="Cambria"/>
                          <w:color w:val="0D0D0D"/>
                          <w:sz w:val="18"/>
                          <w:szCs w:val="20"/>
                          <w:lang w:val="es-ES"/>
                        </w:rPr>
                        <w:t xml:space="preserve"> celebrada el </w:t>
                      </w:r>
                      <w:r w:rsidR="002E2226">
                        <w:rPr>
                          <w:rFonts w:ascii="Cambria" w:hAnsi="Cambria"/>
                          <w:color w:val="0D0D0D"/>
                          <w:sz w:val="18"/>
                          <w:szCs w:val="20"/>
                          <w:lang w:val="es-ES"/>
                        </w:rPr>
                        <w:t>28</w:t>
                      </w:r>
                      <w:r w:rsidRPr="00AB4664">
                        <w:rPr>
                          <w:rFonts w:ascii="Cambria" w:hAnsi="Cambria"/>
                          <w:color w:val="0D0D0D"/>
                          <w:sz w:val="18"/>
                          <w:szCs w:val="20"/>
                          <w:lang w:val="es-ES"/>
                        </w:rPr>
                        <w:t xml:space="preserve"> de </w:t>
                      </w:r>
                      <w:r w:rsidR="002E2226">
                        <w:rPr>
                          <w:rFonts w:ascii="Cambria" w:hAnsi="Cambria"/>
                          <w:color w:val="0D0D0D"/>
                          <w:sz w:val="18"/>
                          <w:szCs w:val="20"/>
                          <w:lang w:val="es-ES"/>
                        </w:rPr>
                        <w:t>OCTUBRE de 2015</w:t>
                      </w:r>
                      <w:r w:rsidRPr="00AB4664">
                        <w:rPr>
                          <w:rFonts w:ascii="Cambria" w:hAnsi="Cambria"/>
                          <w:color w:val="0D0D0D"/>
                          <w:sz w:val="18"/>
                          <w:szCs w:val="20"/>
                          <w:lang w:val="es-ES"/>
                        </w:rPr>
                        <w:br/>
                      </w:r>
                      <w:r w:rsidR="002E2226">
                        <w:rPr>
                          <w:rFonts w:ascii="Cambria" w:hAnsi="Cambria" w:cs="Univers"/>
                          <w:color w:val="0D0D0D"/>
                          <w:sz w:val="18"/>
                          <w:szCs w:val="20"/>
                          <w:lang w:val="es-ES_tradnl"/>
                        </w:rPr>
                        <w:t>156</w:t>
                      </w:r>
                      <w:r w:rsidRPr="00AB4664">
                        <w:rPr>
                          <w:rFonts w:ascii="Cambria" w:hAnsi="Cambria" w:cs="Univers"/>
                          <w:color w:val="0D0D0D"/>
                          <w:sz w:val="18"/>
                          <w:szCs w:val="20"/>
                          <w:lang w:val="es-ES_tradnl"/>
                        </w:rPr>
                        <w:t xml:space="preserve"> período ordinario de sesiones</w:t>
                      </w:r>
                      <w:r w:rsidR="002E2226">
                        <w:rPr>
                          <w:rFonts w:ascii="Cambria" w:hAnsi="Cambria" w:cs="Univers"/>
                          <w:color w:val="0D0D0D"/>
                          <w:sz w:val="18"/>
                          <w:szCs w:val="20"/>
                          <w:lang w:val="es-ES_tradnl"/>
                        </w:rPr>
                        <w:t>.</w:t>
                      </w:r>
                    </w:p>
                    <w:p w:rsidR="003E60E5" w:rsidRPr="00AB4664" w:rsidRDefault="003E60E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3E60E5" w:rsidRPr="00AB4664" w:rsidRDefault="003E60E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Pr="0090270B" w:rsidRDefault="004D5AC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0E5" w:rsidRPr="00AB4664" w:rsidRDefault="003E60E5"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2E2226">
                              <w:rPr>
                                <w:rFonts w:ascii="Cambria" w:hAnsi="Cambria"/>
                                <w:b/>
                                <w:color w:val="595959"/>
                                <w:sz w:val="18"/>
                                <w:szCs w:val="18"/>
                                <w:lang w:val="es-ES"/>
                              </w:rPr>
                              <w:t>Citar como:</w:t>
                            </w:r>
                            <w:r w:rsidRPr="002E2226">
                              <w:rPr>
                                <w:rFonts w:ascii="Cambria" w:hAnsi="Cambria"/>
                                <w:color w:val="595959"/>
                                <w:sz w:val="18"/>
                                <w:szCs w:val="18"/>
                                <w:lang w:val="es-ES"/>
                              </w:rPr>
                              <w:t xml:space="preserve"> CIDH, Informe No. </w:t>
                            </w:r>
                            <w:r w:rsidR="002E2226">
                              <w:rPr>
                                <w:rFonts w:ascii="Cambria" w:hAnsi="Cambria"/>
                                <w:color w:val="595959"/>
                                <w:sz w:val="18"/>
                                <w:szCs w:val="18"/>
                                <w:lang w:val="es-ES_tradnl"/>
                              </w:rPr>
                              <w:t>70/15, Petición 125-07. Admisibilidad</w:t>
                            </w:r>
                            <w:r w:rsidRPr="00AB4664">
                              <w:rPr>
                                <w:rFonts w:ascii="Cambria" w:hAnsi="Cambria"/>
                                <w:color w:val="595959"/>
                                <w:sz w:val="18"/>
                                <w:szCs w:val="18"/>
                                <w:lang w:val="es-ES_tradnl"/>
                              </w:rPr>
                              <w:t>.</w:t>
                            </w:r>
                            <w:r w:rsidR="002E2226">
                              <w:rPr>
                                <w:rFonts w:ascii="Cambria" w:hAnsi="Cambria"/>
                                <w:color w:val="595959"/>
                                <w:sz w:val="18"/>
                                <w:szCs w:val="18"/>
                                <w:lang w:val="es-ES_tradnl"/>
                              </w:rPr>
                              <w:t>125-07</w:t>
                            </w:r>
                            <w:r w:rsidRPr="00AB4664">
                              <w:rPr>
                                <w:rFonts w:ascii="Cambria" w:hAnsi="Cambria"/>
                                <w:color w:val="595959"/>
                                <w:sz w:val="18"/>
                                <w:szCs w:val="18"/>
                                <w:lang w:val="es-ES_tradnl"/>
                              </w:rPr>
                              <w:t xml:space="preserve">. </w:t>
                            </w:r>
                            <w:r w:rsidR="002E2226">
                              <w:rPr>
                                <w:rFonts w:ascii="Cambria" w:hAnsi="Cambria"/>
                                <w:color w:val="595959"/>
                                <w:sz w:val="18"/>
                                <w:szCs w:val="18"/>
                                <w:lang w:val="es-ES_tradnl"/>
                              </w:rPr>
                              <w:t>Chile.28 de octubre de 2016.</w:t>
                            </w:r>
                            <w:r w:rsidRPr="00AB4664">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3E60E5" w:rsidRPr="00AB4664" w:rsidRDefault="003E60E5"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2E2226">
                        <w:rPr>
                          <w:rFonts w:ascii="Cambria" w:hAnsi="Cambria"/>
                          <w:b/>
                          <w:color w:val="595959"/>
                          <w:sz w:val="18"/>
                          <w:szCs w:val="18"/>
                          <w:lang w:val="es-ES"/>
                        </w:rPr>
                        <w:t>Citar como:</w:t>
                      </w:r>
                      <w:r w:rsidRPr="002E2226">
                        <w:rPr>
                          <w:rFonts w:ascii="Cambria" w:hAnsi="Cambria"/>
                          <w:color w:val="595959"/>
                          <w:sz w:val="18"/>
                          <w:szCs w:val="18"/>
                          <w:lang w:val="es-ES"/>
                        </w:rPr>
                        <w:t xml:space="preserve"> CIDH, Informe No. </w:t>
                      </w:r>
                      <w:r w:rsidR="002E2226">
                        <w:rPr>
                          <w:rFonts w:ascii="Cambria" w:hAnsi="Cambria"/>
                          <w:color w:val="595959"/>
                          <w:sz w:val="18"/>
                          <w:szCs w:val="18"/>
                          <w:lang w:val="es-ES_tradnl"/>
                        </w:rPr>
                        <w:t>70/15, Petición 125-07. Admisibilidad</w:t>
                      </w:r>
                      <w:r w:rsidRPr="00AB4664">
                        <w:rPr>
                          <w:rFonts w:ascii="Cambria" w:hAnsi="Cambria"/>
                          <w:color w:val="595959"/>
                          <w:sz w:val="18"/>
                          <w:szCs w:val="18"/>
                          <w:lang w:val="es-ES_tradnl"/>
                        </w:rPr>
                        <w:t>.</w:t>
                      </w:r>
                      <w:r w:rsidR="002E2226">
                        <w:rPr>
                          <w:rFonts w:ascii="Cambria" w:hAnsi="Cambria"/>
                          <w:color w:val="595959"/>
                          <w:sz w:val="18"/>
                          <w:szCs w:val="18"/>
                          <w:lang w:val="es-ES_tradnl"/>
                        </w:rPr>
                        <w:t>125-07</w:t>
                      </w:r>
                      <w:r w:rsidRPr="00AB4664">
                        <w:rPr>
                          <w:rFonts w:ascii="Cambria" w:hAnsi="Cambria"/>
                          <w:color w:val="595959"/>
                          <w:sz w:val="18"/>
                          <w:szCs w:val="18"/>
                          <w:lang w:val="es-ES_tradnl"/>
                        </w:rPr>
                        <w:t xml:space="preserve">. </w:t>
                      </w:r>
                      <w:r w:rsidR="002E2226">
                        <w:rPr>
                          <w:rFonts w:ascii="Cambria" w:hAnsi="Cambria"/>
                          <w:color w:val="595959"/>
                          <w:sz w:val="18"/>
                          <w:szCs w:val="18"/>
                          <w:lang w:val="es-ES_tradnl"/>
                        </w:rPr>
                        <w:t>Chile.28 de octubre de 2016.</w:t>
                      </w:r>
                      <w:r w:rsidRPr="00AB4664">
                        <w:rPr>
                          <w:rFonts w:ascii="Cambria" w:hAnsi="Cambria"/>
                          <w:color w:val="595959"/>
                          <w:sz w:val="18"/>
                          <w:szCs w:val="18"/>
                          <w:lang w:val="es-ES"/>
                        </w:rPr>
                        <w:t>.</w:t>
                      </w:r>
                    </w:p>
                  </w:txbxContent>
                </v:textbox>
              </v:shape>
            </w:pict>
          </mc:Fallback>
        </mc:AlternateContent>
      </w:r>
    </w:p>
    <w:p w:rsidR="003E60E5" w:rsidRPr="0090270B" w:rsidRDefault="003E60E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E60E5" w:rsidRDefault="004D5ACA"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E60E5" w:rsidRPr="00AB4664" w:rsidRDefault="004D5ACA"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323340" cy="353060"/>
                                  <wp:effectExtent l="0" t="0" r="0" b="889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340" cy="353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3E60E5" w:rsidRPr="00AB4664" w:rsidRDefault="004D5ACA"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323340" cy="353060"/>
                            <wp:effectExtent l="0" t="0" r="0" b="889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340" cy="3530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60E5" w:rsidRPr="00AB4664" w:rsidRDefault="003E60E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B4664">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3E60E5" w:rsidRPr="00AB4664" w:rsidRDefault="003E60E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B4664">
                        <w:rPr>
                          <w:rFonts w:ascii="Calibri" w:hAnsi="Calibri"/>
                          <w:b/>
                          <w:color w:val="FFFFFF"/>
                          <w:lang w:val="pt-BR"/>
                        </w:rPr>
                        <w:t>www.cidh.org</w:t>
                      </w:r>
                    </w:p>
                  </w:txbxContent>
                </v:textbox>
              </v:shape>
            </w:pict>
          </mc:Fallback>
        </mc:AlternateContent>
      </w:r>
    </w:p>
    <w:p w:rsidR="003E60E5" w:rsidRDefault="003E60E5"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3E60E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rtlGutter/>
          <w:docGrid w:linePitch="326"/>
        </w:sectPr>
      </w:pPr>
    </w:p>
    <w:p w:rsidR="003E60E5" w:rsidRPr="00722C9F" w:rsidRDefault="003E60E5"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Pr>
          <w:rFonts w:ascii="Cambria" w:hAnsi="Cambria"/>
          <w:b/>
          <w:sz w:val="18"/>
          <w:szCs w:val="20"/>
          <w:lang w:val="es-ES_tradnl"/>
        </w:rPr>
        <w:lastRenderedPageBreak/>
        <w:t xml:space="preserve">INFORME No. </w:t>
      </w:r>
      <w:r w:rsidR="002E2226">
        <w:rPr>
          <w:rFonts w:ascii="Cambria" w:hAnsi="Cambria"/>
          <w:b/>
          <w:sz w:val="18"/>
          <w:szCs w:val="20"/>
          <w:lang w:val="es-ES_tradnl"/>
        </w:rPr>
        <w:t>70/15</w:t>
      </w:r>
    </w:p>
    <w:p w:rsidR="003E60E5" w:rsidRPr="00722C9F" w:rsidRDefault="003E60E5"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722C9F">
        <w:rPr>
          <w:rFonts w:ascii="Cambria" w:hAnsi="Cambria"/>
          <w:b/>
          <w:sz w:val="18"/>
          <w:szCs w:val="20"/>
          <w:lang w:val="es-ES_tradnl"/>
        </w:rPr>
        <w:t xml:space="preserve">PETICIÓN </w:t>
      </w:r>
      <w:r>
        <w:rPr>
          <w:rFonts w:ascii="Cambria" w:hAnsi="Cambria"/>
          <w:b/>
          <w:sz w:val="18"/>
          <w:szCs w:val="20"/>
          <w:lang w:val="es-ES_tradnl"/>
        </w:rPr>
        <w:t>125</w:t>
      </w:r>
      <w:r w:rsidRPr="00722C9F">
        <w:rPr>
          <w:rFonts w:ascii="Cambria" w:hAnsi="Cambria"/>
          <w:b/>
          <w:sz w:val="18"/>
          <w:szCs w:val="20"/>
          <w:lang w:val="es-ES_tradnl"/>
        </w:rPr>
        <w:t>-</w:t>
      </w:r>
      <w:r>
        <w:rPr>
          <w:rFonts w:ascii="Cambria" w:hAnsi="Cambria"/>
          <w:b/>
          <w:sz w:val="18"/>
          <w:szCs w:val="20"/>
          <w:lang w:val="es-ES_tradnl"/>
        </w:rPr>
        <w:t>07</w:t>
      </w:r>
    </w:p>
    <w:p w:rsidR="003E60E5" w:rsidRPr="00722C9F" w:rsidRDefault="00C96925"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C96925">
        <w:rPr>
          <w:rFonts w:ascii="Cambria" w:hAnsi="Cambria"/>
          <w:sz w:val="18"/>
          <w:szCs w:val="20"/>
          <w:lang w:val="es-ES_tradnl"/>
        </w:rPr>
        <w:t>IN</w:t>
      </w:r>
      <w:r w:rsidR="003E60E5" w:rsidRPr="00C96925">
        <w:rPr>
          <w:rFonts w:ascii="Cambria" w:hAnsi="Cambria"/>
          <w:sz w:val="18"/>
          <w:szCs w:val="20"/>
          <w:lang w:val="es-ES_tradnl"/>
        </w:rPr>
        <w:t>ADMISIBILIDAD</w:t>
      </w:r>
    </w:p>
    <w:p w:rsidR="003E60E5" w:rsidRPr="00722C9F" w:rsidRDefault="003E60E5"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GUSTAVO HAROLDO HORTA MUÑOZ</w:t>
      </w:r>
    </w:p>
    <w:p w:rsidR="003E60E5" w:rsidRDefault="003E60E5"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CHILE</w:t>
      </w:r>
    </w:p>
    <w:p w:rsidR="003E60E5" w:rsidRDefault="002E2226"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28 DE OCTUBRE DE 2015</w:t>
      </w:r>
    </w:p>
    <w:p w:rsidR="003E60E5" w:rsidRDefault="003E60E5"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3E60E5" w:rsidRPr="0063685A"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UY"/>
        </w:rPr>
      </w:pPr>
      <w:r w:rsidRPr="0063685A">
        <w:rPr>
          <w:rFonts w:ascii="Cambria" w:hAnsi="Cambria"/>
          <w:b/>
          <w:bCs/>
          <w:sz w:val="20"/>
          <w:szCs w:val="20"/>
          <w:lang w:val="es-UY"/>
        </w:rPr>
        <w:t>I.</w:t>
      </w:r>
      <w:r w:rsidRPr="0063685A">
        <w:rPr>
          <w:rFonts w:ascii="Cambria" w:hAnsi="Cambria"/>
          <w:b/>
          <w:bCs/>
          <w:sz w:val="20"/>
          <w:szCs w:val="20"/>
          <w:lang w:val="es-UY"/>
        </w:rPr>
        <w:tab/>
        <w:t>RESUMEN</w:t>
      </w:r>
    </w:p>
    <w:p w:rsidR="003E60E5" w:rsidRPr="00182D70" w:rsidRDefault="003E60E5" w:rsidP="00182D70">
      <w:pPr>
        <w:numPr>
          <w:ilvl w:val="0"/>
          <w:numId w:val="55"/>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UY"/>
        </w:rPr>
      </w:pPr>
      <w:r w:rsidRPr="0063685A">
        <w:rPr>
          <w:rFonts w:ascii="Cambria" w:hAnsi="Cambria"/>
          <w:sz w:val="20"/>
          <w:szCs w:val="20"/>
          <w:lang w:val="es-UY"/>
        </w:rPr>
        <w:t xml:space="preserve">El </w:t>
      </w:r>
      <w:r w:rsidRPr="006C52E4">
        <w:rPr>
          <w:rFonts w:ascii="Cambria" w:hAnsi="Cambria"/>
          <w:sz w:val="20"/>
          <w:szCs w:val="20"/>
          <w:lang w:val="es-UY"/>
        </w:rPr>
        <w:t>2 de febrero de 2007</w:t>
      </w:r>
      <w:r w:rsidRPr="0063685A">
        <w:rPr>
          <w:rFonts w:ascii="Cambria" w:hAnsi="Cambria"/>
          <w:sz w:val="20"/>
          <w:szCs w:val="20"/>
          <w:lang w:val="es-UY"/>
        </w:rPr>
        <w:t xml:space="preserve"> la Comisión Interamericana de Derechos Humanos (en adelante, “la Comisión Interamericana”</w:t>
      </w:r>
      <w:r>
        <w:rPr>
          <w:rFonts w:ascii="Cambria" w:hAnsi="Cambria"/>
          <w:sz w:val="20"/>
          <w:szCs w:val="20"/>
          <w:lang w:val="es-UY"/>
        </w:rPr>
        <w:t>, “la Comisión”</w:t>
      </w:r>
      <w:r w:rsidRPr="0063685A">
        <w:rPr>
          <w:rFonts w:ascii="Cambria" w:hAnsi="Cambria"/>
          <w:sz w:val="20"/>
          <w:szCs w:val="20"/>
          <w:lang w:val="es-UY"/>
        </w:rPr>
        <w:t xml:space="preserve"> o “la CIDH”) recibió una petición presentada por</w:t>
      </w:r>
      <w:r>
        <w:rPr>
          <w:rFonts w:ascii="Cambria" w:hAnsi="Cambria"/>
          <w:sz w:val="20"/>
          <w:szCs w:val="20"/>
          <w:lang w:val="es-UY"/>
        </w:rPr>
        <w:t xml:space="preserve"> el</w:t>
      </w:r>
      <w:r w:rsidRPr="0063685A">
        <w:rPr>
          <w:rFonts w:ascii="Cambria" w:hAnsi="Cambria"/>
          <w:sz w:val="20"/>
          <w:szCs w:val="20"/>
          <w:lang w:val="es-UY"/>
        </w:rPr>
        <w:t xml:space="preserve"> </w:t>
      </w:r>
      <w:r>
        <w:rPr>
          <w:rFonts w:ascii="Cambria" w:hAnsi="Cambria"/>
          <w:sz w:val="20"/>
          <w:szCs w:val="20"/>
          <w:lang w:val="es-UY"/>
        </w:rPr>
        <w:t xml:space="preserve">Sr. Gustavo Haroldo Horta Muñoz, </w:t>
      </w:r>
      <w:r w:rsidRPr="0063685A">
        <w:rPr>
          <w:rFonts w:ascii="Cambria" w:hAnsi="Cambria"/>
          <w:sz w:val="20"/>
          <w:szCs w:val="20"/>
          <w:lang w:val="es-UY"/>
        </w:rPr>
        <w:t xml:space="preserve">en representación </w:t>
      </w:r>
      <w:r>
        <w:rPr>
          <w:rFonts w:ascii="Cambria" w:hAnsi="Cambria"/>
          <w:sz w:val="20"/>
          <w:szCs w:val="20"/>
          <w:lang w:val="es-UY"/>
        </w:rPr>
        <w:t xml:space="preserve">propia </w:t>
      </w:r>
      <w:r w:rsidRPr="0063685A">
        <w:rPr>
          <w:rFonts w:ascii="Cambria" w:hAnsi="Cambria"/>
          <w:sz w:val="20"/>
          <w:szCs w:val="20"/>
          <w:lang w:val="es-UY"/>
        </w:rPr>
        <w:t>(en adelante, “el peticionario”</w:t>
      </w:r>
      <w:r>
        <w:rPr>
          <w:rFonts w:ascii="Cambria" w:hAnsi="Cambria"/>
          <w:sz w:val="20"/>
          <w:szCs w:val="20"/>
          <w:lang w:val="es-UY"/>
        </w:rPr>
        <w:t xml:space="preserve"> o </w:t>
      </w:r>
      <w:r>
        <w:rPr>
          <w:rFonts w:ascii="Cambria" w:hAnsi="Cambria"/>
          <w:color w:val="000000"/>
          <w:sz w:val="20"/>
          <w:szCs w:val="20"/>
          <w:lang w:val="es-UY"/>
        </w:rPr>
        <w:t>“la presunta víctima”</w:t>
      </w:r>
      <w:r w:rsidRPr="009C7345">
        <w:rPr>
          <w:rFonts w:ascii="Cambria" w:hAnsi="Cambria"/>
          <w:color w:val="000000"/>
          <w:sz w:val="20"/>
          <w:szCs w:val="20"/>
          <w:lang w:val="es-UY"/>
        </w:rPr>
        <w:t xml:space="preserve">) </w:t>
      </w:r>
      <w:r w:rsidRPr="0063685A">
        <w:rPr>
          <w:rFonts w:ascii="Cambria" w:hAnsi="Cambria"/>
          <w:sz w:val="20"/>
          <w:szCs w:val="20"/>
          <w:lang w:val="es-UY"/>
        </w:rPr>
        <w:t xml:space="preserve">contra </w:t>
      </w:r>
      <w:r>
        <w:rPr>
          <w:rFonts w:ascii="Cambria" w:hAnsi="Cambria"/>
          <w:sz w:val="20"/>
          <w:szCs w:val="20"/>
          <w:lang w:val="es-UY"/>
        </w:rPr>
        <w:t xml:space="preserve">la </w:t>
      </w:r>
      <w:r w:rsidR="00CF6869">
        <w:rPr>
          <w:rFonts w:ascii="Cambria" w:hAnsi="Cambria"/>
          <w:sz w:val="20"/>
          <w:szCs w:val="20"/>
          <w:lang w:val="es-UY"/>
        </w:rPr>
        <w:t>República</w:t>
      </w:r>
      <w:r>
        <w:rPr>
          <w:rFonts w:ascii="Cambria" w:hAnsi="Cambria"/>
          <w:sz w:val="20"/>
          <w:szCs w:val="20"/>
          <w:lang w:val="es-UY"/>
        </w:rPr>
        <w:t xml:space="preserve"> de Chile</w:t>
      </w:r>
      <w:r w:rsidRPr="0063685A">
        <w:rPr>
          <w:rFonts w:ascii="Cambria" w:hAnsi="Cambria"/>
          <w:sz w:val="20"/>
          <w:szCs w:val="20"/>
          <w:lang w:val="es-UY"/>
        </w:rPr>
        <w:t xml:space="preserve"> (en adelante, “</w:t>
      </w:r>
      <w:r>
        <w:rPr>
          <w:rFonts w:ascii="Cambria" w:hAnsi="Cambria"/>
          <w:sz w:val="20"/>
          <w:szCs w:val="20"/>
          <w:lang w:val="es-UY"/>
        </w:rPr>
        <w:t xml:space="preserve">Chile” o “el Estado”). Los hechos denunciados por el peticionario se refieren </w:t>
      </w:r>
      <w:r w:rsidRPr="000572C9">
        <w:rPr>
          <w:rFonts w:ascii="Cambria" w:hAnsi="Cambria"/>
          <w:color w:val="000000"/>
          <w:sz w:val="20"/>
          <w:szCs w:val="20"/>
          <w:lang w:val="es-UY"/>
        </w:rPr>
        <w:t>fundamentalmente a</w:t>
      </w:r>
      <w:r>
        <w:rPr>
          <w:rFonts w:ascii="Cambria" w:hAnsi="Cambria"/>
          <w:color w:val="000000"/>
          <w:sz w:val="20"/>
          <w:szCs w:val="20"/>
          <w:lang w:val="es-UY"/>
        </w:rPr>
        <w:t xml:space="preserve"> la denegación de una indemnización por condena errada, debido a</w:t>
      </w:r>
      <w:r w:rsidRPr="000572C9">
        <w:rPr>
          <w:rFonts w:ascii="Cambria" w:hAnsi="Cambria"/>
          <w:color w:val="000000"/>
          <w:sz w:val="20"/>
          <w:szCs w:val="20"/>
          <w:lang w:val="es-UY"/>
        </w:rPr>
        <w:t xml:space="preserve"> que </w:t>
      </w:r>
      <w:r>
        <w:rPr>
          <w:rFonts w:ascii="Cambria" w:hAnsi="Cambria"/>
          <w:color w:val="000000"/>
          <w:sz w:val="20"/>
          <w:szCs w:val="20"/>
          <w:lang w:val="es-UY"/>
        </w:rPr>
        <w:t>fue condenado</w:t>
      </w:r>
      <w:r w:rsidRPr="000572C9">
        <w:rPr>
          <w:rFonts w:ascii="Cambria" w:hAnsi="Cambria"/>
          <w:color w:val="000000"/>
          <w:sz w:val="20"/>
          <w:szCs w:val="20"/>
          <w:lang w:val="es-UY"/>
        </w:rPr>
        <w:t xml:space="preserve"> por cuasidelito de homicidio</w:t>
      </w:r>
      <w:r>
        <w:rPr>
          <w:rFonts w:ascii="Cambria" w:hAnsi="Cambria"/>
          <w:color w:val="000000"/>
          <w:sz w:val="20"/>
          <w:szCs w:val="20"/>
          <w:lang w:val="es-UY"/>
        </w:rPr>
        <w:t xml:space="preserve"> en primera y segunda instancia y</w:t>
      </w:r>
      <w:r w:rsidRPr="000572C9">
        <w:rPr>
          <w:rFonts w:ascii="Cambria" w:hAnsi="Cambria"/>
          <w:color w:val="000000"/>
          <w:sz w:val="20"/>
          <w:szCs w:val="20"/>
          <w:lang w:val="es-UY"/>
        </w:rPr>
        <w:t xml:space="preserve"> luego dicha condena fue revocada por la Corte Suprema de Chile. Debido a la invalidación de la sentencia, el Sr. Horta presentó la solicitud de declaración previa por error judicial, necesaria para la consiguiente indemnización pecuniaria, solicitud que la Corte Suprema le rechazó.</w:t>
      </w:r>
      <w:r>
        <w:rPr>
          <w:rFonts w:ascii="Cambria" w:hAnsi="Cambria"/>
          <w:color w:val="FF0000"/>
          <w:sz w:val="20"/>
          <w:szCs w:val="20"/>
          <w:lang w:val="es-UY"/>
        </w:rPr>
        <w:t xml:space="preserve"> </w:t>
      </w:r>
      <w:r w:rsidRPr="001824BC">
        <w:rPr>
          <w:rFonts w:ascii="Tahoma" w:hAnsi="Tahoma" w:cs="Tahoma"/>
          <w:color w:val="333333"/>
          <w:sz w:val="16"/>
          <w:szCs w:val="16"/>
          <w:lang w:val="es-ES"/>
        </w:rPr>
        <w:t xml:space="preserve"> </w:t>
      </w:r>
    </w:p>
    <w:p w:rsidR="003E60E5" w:rsidRPr="00D413EF" w:rsidRDefault="003E60E5" w:rsidP="009F0583">
      <w:pPr>
        <w:pStyle w:val="BodyText"/>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color w:val="000000"/>
          <w:sz w:val="20"/>
          <w:szCs w:val="20"/>
          <w:lang w:val="es-UY"/>
        </w:rPr>
      </w:pPr>
      <w:r w:rsidRPr="00CC753C">
        <w:rPr>
          <w:rFonts w:ascii="Cambria" w:eastAsia="SimSun" w:hAnsi="Cambria"/>
          <w:sz w:val="20"/>
          <w:szCs w:val="20"/>
          <w:lang w:val="es-UY"/>
        </w:rPr>
        <w:t xml:space="preserve">El peticionario sostiene la eventual vulneración de los artículos 10 y 8.2 de la Convención Americana de Derechos Humanos </w:t>
      </w:r>
      <w:r w:rsidRPr="00CC753C">
        <w:rPr>
          <w:rFonts w:ascii="Cambria" w:hAnsi="Cambria"/>
          <w:sz w:val="20"/>
          <w:szCs w:val="20"/>
          <w:lang w:val="es-UY"/>
        </w:rPr>
        <w:t xml:space="preserve">(en adelante, “La Convención Americana” o </w:t>
      </w:r>
      <w:r w:rsidRPr="00CC753C">
        <w:rPr>
          <w:rFonts w:ascii="Cambria" w:hAnsi="Cambria"/>
          <w:color w:val="000000"/>
          <w:sz w:val="20"/>
          <w:szCs w:val="20"/>
          <w:lang w:val="es-UY"/>
        </w:rPr>
        <w:t>“la Convención”)</w:t>
      </w:r>
      <w:r w:rsidRPr="00D413EF">
        <w:rPr>
          <w:rFonts w:ascii="Cambria" w:eastAsia="SimSun" w:hAnsi="Cambria"/>
          <w:color w:val="000000"/>
          <w:sz w:val="20"/>
          <w:szCs w:val="20"/>
          <w:lang w:val="es-UY"/>
        </w:rPr>
        <w:t>. Por su parte el Estado alega que los reclamos son inadmisibles, en relación al artículo 10, por constituir una “cuarta instancia”; y en relación al artículo 8.2, por no haberse acreditado violaciones a las garantías judiciales, ni al principio de inocencia.</w:t>
      </w:r>
    </w:p>
    <w:p w:rsidR="003E60E5" w:rsidRPr="00D413EF" w:rsidRDefault="003E60E5" w:rsidP="009F0583">
      <w:pPr>
        <w:numPr>
          <w:ilvl w:val="0"/>
          <w:numId w:val="55"/>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ES"/>
        </w:rPr>
      </w:pPr>
      <w:r w:rsidRPr="00D413EF">
        <w:rPr>
          <w:rFonts w:ascii="Cambria" w:hAnsi="Cambria"/>
          <w:color w:val="000000"/>
          <w:sz w:val="20"/>
          <w:szCs w:val="20"/>
          <w:lang w:val="es-ES"/>
        </w:rPr>
        <w:t>La Comisión concluye en el presente informe que la petición es inadmisible en los términos del artículo 47.b de la Convención Americana, porque no expone hechos que tiendan a caracterizar violaciones de derechos protegidos por dicho instrumento internacional. La Comisión decide además notificar esta decisión a las partes, publicarla e incluirla en su Informe Anual a la Asamblea General de la OEA.</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lang w:val="es-UY"/>
        </w:rPr>
      </w:pPr>
      <w:r w:rsidRPr="00D413EF">
        <w:rPr>
          <w:rFonts w:ascii="Cambria" w:hAnsi="Cambria"/>
          <w:b/>
          <w:bCs/>
          <w:color w:val="000000"/>
          <w:sz w:val="20"/>
          <w:szCs w:val="20"/>
          <w:lang w:val="es-UY"/>
        </w:rPr>
        <w:t>II.</w:t>
      </w:r>
      <w:r w:rsidRPr="00D413EF">
        <w:rPr>
          <w:rFonts w:ascii="Cambria" w:hAnsi="Cambria"/>
          <w:b/>
          <w:bCs/>
          <w:color w:val="000000"/>
          <w:sz w:val="20"/>
          <w:szCs w:val="20"/>
          <w:lang w:val="es-UY"/>
        </w:rPr>
        <w:tab/>
        <w:t>TRÁMITE ANTE LA CIDH</w:t>
      </w:r>
    </w:p>
    <w:p w:rsidR="003E60E5" w:rsidRPr="00D413EF" w:rsidRDefault="009407B8"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Pr>
          <w:rFonts w:ascii="Cambria" w:hAnsi="Cambria"/>
          <w:color w:val="000000"/>
          <w:sz w:val="20"/>
          <w:szCs w:val="20"/>
          <w:lang w:val="es-UY"/>
        </w:rPr>
        <w:t xml:space="preserve">La CIDH recibió la petición el </w:t>
      </w:r>
      <w:r w:rsidR="003E60E5" w:rsidRPr="00D413EF">
        <w:rPr>
          <w:rFonts w:ascii="Cambria" w:hAnsi="Cambria"/>
          <w:color w:val="000000"/>
          <w:sz w:val="20"/>
          <w:szCs w:val="20"/>
          <w:lang w:val="es-UY"/>
        </w:rPr>
        <w:t xml:space="preserve">2 de febrero de 2007, y transmitió copia de las partes pertinentes al Estado el 23 de junio de 2011 otorgándole un plazo de dos meses para someter sus observaciones, con base en el artículo 30(3) de su Reglamento entonces en vigor. </w:t>
      </w:r>
      <w:r w:rsidR="003E60E5" w:rsidRPr="00D413EF">
        <w:rPr>
          <w:rFonts w:ascii="Cambria" w:hAnsi="Cambria"/>
          <w:bCs/>
          <w:color w:val="000000"/>
          <w:sz w:val="20"/>
          <w:szCs w:val="20"/>
          <w:lang w:val="es-PE"/>
        </w:rPr>
        <w:t>El 8 de agosto de 2011 se recibió la respuesta del Estado</w:t>
      </w:r>
      <w:r w:rsidR="003E60E5" w:rsidRPr="00D413EF">
        <w:rPr>
          <w:rFonts w:ascii="Cambria" w:hAnsi="Cambria"/>
          <w:color w:val="000000"/>
          <w:sz w:val="20"/>
          <w:szCs w:val="20"/>
          <w:lang w:val="es-ES"/>
        </w:rPr>
        <w:t>, la cual fue trasladada a los peticionarios mediante nota del 23 de agosto de 2011</w:t>
      </w:r>
      <w:r w:rsidR="003E60E5" w:rsidRPr="00D413EF">
        <w:rPr>
          <w:rFonts w:ascii="Cambria" w:hAnsi="Cambria"/>
          <w:bCs/>
          <w:color w:val="000000"/>
          <w:sz w:val="20"/>
          <w:szCs w:val="20"/>
          <w:lang w:val="es-PE"/>
        </w:rPr>
        <w:t xml:space="preserve">. </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bCs/>
          <w:color w:val="000000"/>
          <w:sz w:val="20"/>
          <w:szCs w:val="20"/>
          <w:lang w:val="es-PE"/>
        </w:rPr>
        <w:t>Los peticionarios presentaron sus observaciones a la respuesta del Estado el 12 de septiembre de 2011, la cual se le trasladó al Estado el 6 de octubre de 2011, solicitándosele presentara sus observaciones al respecto. Sin embargo, a pesar de que la Comisión reiteró al Estado esta solicitud mediante notas del 14 de marzo de 2012, 12 de agosto de 2014 y 29 de abril de 2015, no se recibió respuesta por parte de Chile.</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Los</w:t>
      </w:r>
      <w:r w:rsidRPr="00D413EF">
        <w:rPr>
          <w:rFonts w:ascii="Cambria" w:hAnsi="Cambria"/>
          <w:color w:val="000000"/>
          <w:sz w:val="20"/>
          <w:szCs w:val="20"/>
          <w:lang w:val="es-ES"/>
        </w:rPr>
        <w:t xml:space="preserve"> peticionarios presentaron observaciones adicionales el 23 de enero de 2013 y el 9 de enero de 2015</w:t>
      </w:r>
      <w:r w:rsidRPr="00D413EF">
        <w:rPr>
          <w:rFonts w:ascii="Cambria" w:hAnsi="Cambria"/>
          <w:bCs/>
          <w:color w:val="000000"/>
          <w:sz w:val="20"/>
          <w:szCs w:val="20"/>
          <w:lang w:val="es-PE"/>
        </w:rPr>
        <w:t xml:space="preserve">. Estas comunicaciones fueron debidamente trasladadas al Estado. </w:t>
      </w:r>
      <w:r w:rsidRPr="00D413EF">
        <w:rPr>
          <w:rFonts w:ascii="Cambria" w:hAnsi="Cambria"/>
          <w:color w:val="000000"/>
          <w:sz w:val="20"/>
          <w:szCs w:val="20"/>
          <w:lang w:val="es-UY"/>
        </w:rPr>
        <w:t xml:space="preserve"> </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lang w:val="es-UY"/>
        </w:rPr>
      </w:pPr>
      <w:r w:rsidRPr="00D413EF">
        <w:rPr>
          <w:rFonts w:ascii="Cambria" w:hAnsi="Cambria"/>
          <w:b/>
          <w:bCs/>
          <w:color w:val="000000"/>
          <w:sz w:val="20"/>
          <w:szCs w:val="20"/>
          <w:lang w:val="es-UY"/>
        </w:rPr>
        <w:t>III.</w:t>
      </w:r>
      <w:r w:rsidRPr="00D413EF">
        <w:rPr>
          <w:rFonts w:ascii="Cambria" w:hAnsi="Cambria"/>
          <w:b/>
          <w:bCs/>
          <w:color w:val="000000"/>
          <w:sz w:val="20"/>
          <w:szCs w:val="20"/>
          <w:lang w:val="es-UY"/>
        </w:rPr>
        <w:tab/>
        <w:t>POSICIÓN DE LAS PARTES</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lang w:val="es-UY"/>
        </w:rPr>
      </w:pPr>
      <w:r w:rsidRPr="00D413EF">
        <w:rPr>
          <w:rFonts w:ascii="Cambria" w:hAnsi="Cambria"/>
          <w:b/>
          <w:bCs/>
          <w:color w:val="000000"/>
          <w:sz w:val="20"/>
          <w:szCs w:val="20"/>
          <w:lang w:val="es-UY"/>
        </w:rPr>
        <w:t>A.</w:t>
      </w:r>
      <w:r w:rsidRPr="00D413EF">
        <w:rPr>
          <w:rFonts w:ascii="Cambria" w:hAnsi="Cambria"/>
          <w:b/>
          <w:bCs/>
          <w:color w:val="000000"/>
          <w:sz w:val="20"/>
          <w:szCs w:val="20"/>
          <w:lang w:val="es-UY"/>
        </w:rPr>
        <w:tab/>
        <w:t>Posición del peticionario</w:t>
      </w:r>
    </w:p>
    <w:p w:rsidR="003E60E5" w:rsidRPr="00D413EF" w:rsidRDefault="003E60E5" w:rsidP="0049157D">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sidRPr="00D413EF">
        <w:rPr>
          <w:rFonts w:ascii="Cambria" w:hAnsi="Cambria" w:cs="Arial"/>
          <w:color w:val="000000"/>
          <w:sz w:val="20"/>
          <w:szCs w:val="20"/>
          <w:lang w:val="es-UY"/>
        </w:rPr>
        <w:t xml:space="preserve">El peticionario denuncia que fue condenado en primera instancia por el Trigésimo Segundo Juzgado del Crimen </w:t>
      </w:r>
      <w:r w:rsidRPr="005A1136">
        <w:rPr>
          <w:rFonts w:ascii="Cambria" w:hAnsi="Cambria" w:cs="Arial"/>
          <w:color w:val="000000"/>
          <w:sz w:val="20"/>
          <w:szCs w:val="20"/>
          <w:lang w:val="es-UY"/>
        </w:rPr>
        <w:t>de Santiago, el 2 de julio de 1999, por cuasidelito de homicidio por la muerte de un ex empleado suyo acaecida en el lugar de trabajo, a sufrir</w:t>
      </w:r>
      <w:r w:rsidRPr="00D413EF">
        <w:rPr>
          <w:rFonts w:ascii="Cambria" w:hAnsi="Cambria" w:cs="Arial"/>
          <w:color w:val="000000"/>
          <w:sz w:val="20"/>
          <w:szCs w:val="20"/>
          <w:lang w:val="es-UY"/>
        </w:rPr>
        <w:t xml:space="preserve"> una pena de trescientos días de reclusión en su grado </w:t>
      </w:r>
      <w:r w:rsidRPr="00D413EF">
        <w:rPr>
          <w:rFonts w:ascii="Cambria" w:hAnsi="Cambria" w:cs="Arial"/>
          <w:color w:val="000000"/>
          <w:sz w:val="20"/>
          <w:szCs w:val="20"/>
          <w:lang w:val="es-UY"/>
        </w:rPr>
        <w:lastRenderedPageBreak/>
        <w:t xml:space="preserve">mínimo, suspensión temporal para oficios y cargos públicos mientras dure la condena y a las costas procesales. Mientras que en la parte civil obligó al peticionario al pago de 4.000.000 de pesos chilenos. Dicha sentencia fue confirmada por la corte de apelaciones de Santiago el 20 de enero de 2004. </w:t>
      </w:r>
    </w:p>
    <w:p w:rsidR="003E60E5" w:rsidRPr="00D413EF" w:rsidRDefault="003E60E5" w:rsidP="0049157D">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sidRPr="00D413EF">
        <w:rPr>
          <w:rFonts w:ascii="Cambria" w:hAnsi="Cambria" w:cs="Arial"/>
          <w:color w:val="000000"/>
          <w:sz w:val="20"/>
          <w:szCs w:val="20"/>
          <w:lang w:val="es-UY"/>
        </w:rPr>
        <w:t xml:space="preserve">El peticionario posteriormente interpuso un recurso de casación en el fondo ante la Corte Suprema de Chile, siendo revocada la sentencia condenatoria el 29 de junio 2006, y dictándose una sentencia de reemplazo en la que se absuelve al Sr. Horta Muñoz del cuasidelito de  homicidio. </w:t>
      </w:r>
    </w:p>
    <w:p w:rsidR="003E60E5" w:rsidRPr="00D413EF" w:rsidRDefault="003E60E5" w:rsidP="0049157D">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sidRPr="00D413EF">
        <w:rPr>
          <w:rFonts w:ascii="Cambria" w:hAnsi="Cambria" w:cs="Arial"/>
          <w:color w:val="000000"/>
          <w:sz w:val="20"/>
          <w:szCs w:val="20"/>
          <w:lang w:val="es-UY"/>
        </w:rPr>
        <w:t xml:space="preserve">Luego, el peticionario intenta una solicitud de declaración previa por error judicial, necesaria para obtener la indemnización pecuniaria por condena errada, recurso que es rechazado por </w:t>
      </w:r>
      <w:r w:rsidR="005C4891">
        <w:rPr>
          <w:rFonts w:ascii="Cambria" w:hAnsi="Cambria" w:cs="Arial"/>
          <w:color w:val="000000"/>
          <w:sz w:val="20"/>
          <w:szCs w:val="20"/>
          <w:lang w:val="es-UY"/>
        </w:rPr>
        <w:t xml:space="preserve">la </w:t>
      </w:r>
      <w:r w:rsidRPr="00D413EF">
        <w:rPr>
          <w:rFonts w:ascii="Cambria" w:hAnsi="Cambria" w:cs="Arial"/>
          <w:color w:val="000000"/>
          <w:sz w:val="20"/>
          <w:szCs w:val="20"/>
          <w:lang w:val="es-UY"/>
        </w:rPr>
        <w:t xml:space="preserve">Segunda Sala de la Corte Suprema, en trámite breve y sumario, el 24 de enero de 2007. El peticionario aduce que </w:t>
      </w:r>
      <w:r w:rsidR="00016117">
        <w:rPr>
          <w:rFonts w:ascii="Cambria" w:hAnsi="Cambria" w:cs="Arial"/>
          <w:color w:val="000000"/>
          <w:sz w:val="20"/>
          <w:szCs w:val="20"/>
          <w:lang w:val="es-UY"/>
        </w:rPr>
        <w:t>este rechazo se debe a que la Corte Suprema sería renuente a reconocer que otros miembros del propio poder judicial incurrieron en errores de es</w:t>
      </w:r>
      <w:r w:rsidR="00C5374F">
        <w:rPr>
          <w:rFonts w:ascii="Cambria" w:hAnsi="Cambria" w:cs="Arial"/>
          <w:color w:val="000000"/>
          <w:sz w:val="20"/>
          <w:szCs w:val="20"/>
          <w:lang w:val="es-UY"/>
        </w:rPr>
        <w:t xml:space="preserve">te tipo en el ejercicio de sus funciones; </w:t>
      </w:r>
      <w:r w:rsidRPr="00D413EF">
        <w:rPr>
          <w:rFonts w:ascii="Cambria" w:hAnsi="Cambria" w:cs="Arial"/>
          <w:color w:val="000000"/>
          <w:sz w:val="20"/>
          <w:szCs w:val="20"/>
          <w:lang w:val="es-UY"/>
        </w:rPr>
        <w:t>y que ello, sumado a una legislación interna más estricta que los estándares internacionales, conlleva la imposibilidad material de ejercer este derecho. A su vez, menciona que la regulación de la tramitación de esta acción se encuentra solo a nivel de auto acordado y no legal</w:t>
      </w:r>
      <w:r w:rsidRPr="00D413EF">
        <w:rPr>
          <w:rStyle w:val="FootnoteReference"/>
          <w:rFonts w:ascii="Cambria" w:hAnsi="Cambria"/>
          <w:color w:val="000000"/>
          <w:sz w:val="20"/>
          <w:szCs w:val="20"/>
          <w:lang w:val="es-UY"/>
        </w:rPr>
        <w:footnoteReference w:id="2"/>
      </w:r>
      <w:r w:rsidRPr="00D413EF">
        <w:rPr>
          <w:rFonts w:ascii="Cambria" w:hAnsi="Cambria" w:cs="Arial"/>
          <w:color w:val="000000"/>
          <w:sz w:val="20"/>
          <w:szCs w:val="20"/>
          <w:lang w:val="es-UY"/>
        </w:rPr>
        <w:t xml:space="preserve">, siendo que el Estado en el procedimiento de solución </w:t>
      </w:r>
      <w:r w:rsidR="00016117">
        <w:rPr>
          <w:rFonts w:ascii="Cambria" w:hAnsi="Cambria" w:cs="Arial"/>
          <w:color w:val="000000"/>
          <w:sz w:val="20"/>
          <w:szCs w:val="20"/>
          <w:lang w:val="es-UY"/>
        </w:rPr>
        <w:t xml:space="preserve">en otra </w:t>
      </w:r>
      <w:r w:rsidRPr="00D413EF">
        <w:rPr>
          <w:rFonts w:ascii="Cambria" w:hAnsi="Cambria" w:cs="Arial"/>
          <w:color w:val="000000"/>
          <w:sz w:val="20"/>
          <w:szCs w:val="20"/>
          <w:lang w:val="es-UY"/>
        </w:rPr>
        <w:t>amistosa petición 11.715</w:t>
      </w:r>
      <w:r w:rsidRPr="00D413EF">
        <w:rPr>
          <w:rStyle w:val="FootnoteReference"/>
          <w:rFonts w:ascii="Cambria" w:hAnsi="Cambria"/>
          <w:color w:val="000000"/>
          <w:sz w:val="20"/>
          <w:szCs w:val="20"/>
          <w:lang w:val="es-UY"/>
        </w:rPr>
        <w:footnoteReference w:id="3"/>
      </w:r>
      <w:r w:rsidRPr="00D413EF">
        <w:rPr>
          <w:rFonts w:ascii="Cambria" w:hAnsi="Cambria" w:cs="Arial"/>
          <w:color w:val="000000"/>
          <w:sz w:val="20"/>
          <w:szCs w:val="20"/>
          <w:lang w:val="es-UY"/>
        </w:rPr>
        <w:t>, había adoptado el compromiso de realizar “los estudios necesarios para una reformulación de las actuales normas existentes” de su legislación interna en la materia.</w:t>
      </w:r>
    </w:p>
    <w:p w:rsidR="003E60E5" w:rsidRPr="00D413EF" w:rsidRDefault="003E60E5" w:rsidP="005A1136">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sidRPr="00D413EF">
        <w:rPr>
          <w:rFonts w:ascii="Cambria" w:hAnsi="Cambria" w:cs="Arial"/>
          <w:color w:val="000000"/>
          <w:sz w:val="20"/>
          <w:szCs w:val="20"/>
          <w:lang w:val="es-UY"/>
        </w:rPr>
        <w:t>El peticionario indica que fue condenado en primera y segunda instancia a pesar de existir dos peritajes policiales, pertenecientes a la Brigada de Homicidios y al Laboratorio de Criminalística de Investigaciones, que según su apreciación demuestra</w:t>
      </w:r>
      <w:r>
        <w:rPr>
          <w:rFonts w:ascii="Cambria" w:hAnsi="Cambria" w:cs="Arial"/>
          <w:color w:val="000000"/>
          <w:sz w:val="20"/>
          <w:szCs w:val="20"/>
          <w:lang w:val="es-UY"/>
        </w:rPr>
        <w:t xml:space="preserve">n que la muerte del ex empleado </w:t>
      </w:r>
      <w:r w:rsidRPr="00D413EF">
        <w:rPr>
          <w:rFonts w:ascii="Cambria" w:hAnsi="Cambria" w:cs="Arial"/>
          <w:color w:val="000000"/>
          <w:sz w:val="20"/>
          <w:szCs w:val="20"/>
          <w:lang w:val="es-UY"/>
        </w:rPr>
        <w:t xml:space="preserve">obedeció a su propia imprudencia.  </w:t>
      </w:r>
    </w:p>
    <w:p w:rsidR="003E60E5" w:rsidRPr="00D413EF" w:rsidRDefault="003E60E5" w:rsidP="004B41F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sidRPr="00D413EF">
        <w:rPr>
          <w:rFonts w:ascii="Cambria" w:hAnsi="Cambria" w:cs="Arial"/>
          <w:color w:val="000000"/>
          <w:sz w:val="20"/>
          <w:szCs w:val="20"/>
          <w:lang w:val="es-UY"/>
        </w:rPr>
        <w:t xml:space="preserve">En suma, en cuanto a la alegada violación del </w:t>
      </w:r>
      <w:r w:rsidR="008F526C" w:rsidRPr="00D413EF">
        <w:rPr>
          <w:rFonts w:ascii="Cambria" w:hAnsi="Cambria" w:cs="Arial"/>
          <w:color w:val="000000"/>
          <w:sz w:val="20"/>
          <w:szCs w:val="20"/>
          <w:lang w:val="es-UY"/>
        </w:rPr>
        <w:t>artículo</w:t>
      </w:r>
      <w:r w:rsidRPr="00D413EF">
        <w:rPr>
          <w:rFonts w:ascii="Cambria" w:hAnsi="Cambria" w:cs="Arial"/>
          <w:color w:val="000000"/>
          <w:sz w:val="20"/>
          <w:szCs w:val="20"/>
          <w:lang w:val="es-UY"/>
        </w:rPr>
        <w:t xml:space="preserve"> 10 de la Convención Americana, el peticionario afirma que las exigencias establecidas en la Constitución Política de Chile son </w:t>
      </w:r>
      <w:r w:rsidR="00F340E4" w:rsidRPr="00D413EF">
        <w:rPr>
          <w:rFonts w:ascii="Cambria" w:hAnsi="Cambria" w:cs="Arial"/>
          <w:color w:val="000000"/>
          <w:sz w:val="20"/>
          <w:szCs w:val="20"/>
          <w:lang w:val="es-UY"/>
        </w:rPr>
        <w:t>más</w:t>
      </w:r>
      <w:r w:rsidRPr="00D413EF">
        <w:rPr>
          <w:rFonts w:ascii="Cambria" w:hAnsi="Cambria" w:cs="Arial"/>
          <w:color w:val="000000"/>
          <w:sz w:val="20"/>
          <w:szCs w:val="20"/>
          <w:lang w:val="es-UY"/>
        </w:rPr>
        <w:t xml:space="preserve"> estrictas que aquellas consagradas en el citado </w:t>
      </w:r>
      <w:r w:rsidR="008F526C" w:rsidRPr="00D413EF">
        <w:rPr>
          <w:rFonts w:ascii="Cambria" w:hAnsi="Cambria" w:cs="Arial"/>
          <w:color w:val="000000"/>
          <w:sz w:val="20"/>
          <w:szCs w:val="20"/>
          <w:lang w:val="es-UY"/>
        </w:rPr>
        <w:t>artículo</w:t>
      </w:r>
      <w:r w:rsidRPr="00D413EF">
        <w:rPr>
          <w:rFonts w:ascii="Cambria" w:hAnsi="Cambria" w:cs="Arial"/>
          <w:color w:val="000000"/>
          <w:sz w:val="20"/>
          <w:szCs w:val="20"/>
          <w:lang w:val="es-UY"/>
        </w:rPr>
        <w:t xml:space="preserve"> de la Convención, pues al establecer como requisito que la resolución que contiene la condena deba ser declarada por la Corte Suprema como “injustificadamente errónea o arbitraria”, para poder acceder a la indemnización pecuniaria, se estarían excediendo los términos amplios que a su criterio establece el </w:t>
      </w:r>
      <w:r w:rsidR="008F526C" w:rsidRPr="00D413EF">
        <w:rPr>
          <w:rFonts w:ascii="Cambria" w:hAnsi="Cambria" w:cs="Arial"/>
          <w:color w:val="000000"/>
          <w:sz w:val="20"/>
          <w:szCs w:val="20"/>
          <w:lang w:val="es-UY"/>
        </w:rPr>
        <w:t>artículo</w:t>
      </w:r>
      <w:r w:rsidRPr="00D413EF">
        <w:rPr>
          <w:rFonts w:ascii="Cambria" w:hAnsi="Cambria" w:cs="Arial"/>
          <w:color w:val="000000"/>
          <w:sz w:val="20"/>
          <w:szCs w:val="20"/>
          <w:lang w:val="es-UY"/>
        </w:rPr>
        <w:t xml:space="preserve"> 10 de la Convención  Americana. </w:t>
      </w:r>
    </w:p>
    <w:p w:rsidR="003E60E5" w:rsidRPr="00D06A81" w:rsidRDefault="008F526C" w:rsidP="00D06A81">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Pr>
          <w:rFonts w:ascii="Cambria" w:hAnsi="Cambria" w:cs="Arial"/>
          <w:color w:val="000000"/>
          <w:sz w:val="20"/>
          <w:szCs w:val="20"/>
          <w:lang w:val="es-UY"/>
        </w:rPr>
        <w:t xml:space="preserve">Por otro lado, </w:t>
      </w:r>
      <w:r w:rsidR="001E0F06">
        <w:rPr>
          <w:rFonts w:ascii="Cambria" w:hAnsi="Cambria" w:cs="Arial"/>
          <w:color w:val="000000"/>
          <w:sz w:val="20"/>
          <w:szCs w:val="20"/>
          <w:lang w:val="es-UY"/>
        </w:rPr>
        <w:t xml:space="preserve">en </w:t>
      </w:r>
      <w:r w:rsidR="00211723" w:rsidRPr="00D413EF">
        <w:rPr>
          <w:rFonts w:ascii="Cambria" w:hAnsi="Cambria" w:cs="Arial"/>
          <w:color w:val="000000"/>
          <w:sz w:val="20"/>
          <w:szCs w:val="20"/>
          <w:lang w:val="es-UY"/>
        </w:rPr>
        <w:t xml:space="preserve">relación con las supuestas </w:t>
      </w:r>
      <w:r w:rsidR="001E0F06">
        <w:rPr>
          <w:rFonts w:ascii="Cambria" w:hAnsi="Cambria" w:cs="Arial"/>
          <w:color w:val="000000"/>
          <w:sz w:val="20"/>
          <w:szCs w:val="20"/>
          <w:lang w:val="es-UY"/>
        </w:rPr>
        <w:t>violaciones</w:t>
      </w:r>
      <w:r w:rsidR="00211723" w:rsidRPr="00D413EF">
        <w:rPr>
          <w:rFonts w:ascii="Cambria" w:hAnsi="Cambria" w:cs="Arial"/>
          <w:color w:val="000000"/>
          <w:sz w:val="20"/>
          <w:szCs w:val="20"/>
          <w:lang w:val="es-UY"/>
        </w:rPr>
        <w:t xml:space="preserve"> al artículo 8.2 de la Convención</w:t>
      </w:r>
      <w:r w:rsidR="00211723">
        <w:rPr>
          <w:rFonts w:ascii="Cambria" w:hAnsi="Cambria" w:cs="Arial"/>
          <w:color w:val="000000"/>
          <w:sz w:val="20"/>
          <w:szCs w:val="20"/>
          <w:lang w:val="es-UY"/>
        </w:rPr>
        <w:t>,</w:t>
      </w:r>
      <w:r w:rsidR="00211723" w:rsidRPr="00D413EF">
        <w:rPr>
          <w:rFonts w:ascii="Cambria" w:hAnsi="Cambria" w:cs="Arial"/>
          <w:color w:val="000000"/>
          <w:sz w:val="20"/>
          <w:szCs w:val="20"/>
          <w:lang w:val="es-UY"/>
        </w:rPr>
        <w:t xml:space="preserve"> </w:t>
      </w:r>
      <w:r>
        <w:rPr>
          <w:rFonts w:ascii="Cambria" w:hAnsi="Cambria" w:cs="Arial"/>
          <w:color w:val="000000"/>
          <w:sz w:val="20"/>
          <w:szCs w:val="20"/>
          <w:lang w:val="es-UY"/>
        </w:rPr>
        <w:t xml:space="preserve">el peticionario considera que el hecho de que se caratulara su expediente con el enunciado: </w:t>
      </w:r>
      <w:r w:rsidRPr="00D413EF">
        <w:rPr>
          <w:rFonts w:ascii="Cambria" w:hAnsi="Cambria" w:cs="Arial"/>
          <w:color w:val="000000"/>
          <w:sz w:val="20"/>
          <w:szCs w:val="20"/>
          <w:lang w:val="es-UY"/>
        </w:rPr>
        <w:t>“en contra de Gustavo Haroldo Horta Muñoz, por cuasidelito de homicidio”</w:t>
      </w:r>
      <w:r>
        <w:rPr>
          <w:rFonts w:ascii="Cambria" w:hAnsi="Cambria" w:cs="Arial"/>
          <w:color w:val="000000"/>
          <w:sz w:val="20"/>
          <w:szCs w:val="20"/>
          <w:lang w:val="es-UY"/>
        </w:rPr>
        <w:t>, habría sido estigmatizante para él, y habría constituido una vulneración de su derecho a la presunción de inocencia. A este respecto, aduce que el sólo hecho de haber sido procesa</w:t>
      </w:r>
      <w:r w:rsidR="00211723">
        <w:rPr>
          <w:rFonts w:ascii="Cambria" w:hAnsi="Cambria" w:cs="Arial"/>
          <w:color w:val="000000"/>
          <w:sz w:val="20"/>
          <w:szCs w:val="20"/>
          <w:lang w:val="es-UY"/>
        </w:rPr>
        <w:t>do penal</w:t>
      </w:r>
      <w:r>
        <w:rPr>
          <w:rFonts w:ascii="Cambria" w:hAnsi="Cambria" w:cs="Arial"/>
          <w:color w:val="000000"/>
          <w:sz w:val="20"/>
          <w:szCs w:val="20"/>
          <w:lang w:val="es-UY"/>
        </w:rPr>
        <w:t>mente por estos cargos</w:t>
      </w:r>
      <w:r w:rsidR="00211723">
        <w:rPr>
          <w:rFonts w:ascii="Cambria" w:hAnsi="Cambria" w:cs="Arial"/>
          <w:color w:val="000000"/>
          <w:sz w:val="20"/>
          <w:szCs w:val="20"/>
          <w:lang w:val="es-UY"/>
        </w:rPr>
        <w:t xml:space="preserve"> </w:t>
      </w:r>
      <w:r>
        <w:rPr>
          <w:rFonts w:ascii="Cambria" w:hAnsi="Cambria" w:cs="Arial"/>
          <w:color w:val="000000"/>
          <w:sz w:val="20"/>
          <w:szCs w:val="20"/>
          <w:lang w:val="es-UY"/>
        </w:rPr>
        <w:t>habr</w:t>
      </w:r>
      <w:r w:rsidR="00211723">
        <w:rPr>
          <w:rFonts w:ascii="Cambria" w:hAnsi="Cambria" w:cs="Arial"/>
          <w:color w:val="000000"/>
          <w:sz w:val="20"/>
          <w:szCs w:val="20"/>
          <w:lang w:val="es-UY"/>
        </w:rPr>
        <w:t>ían</w:t>
      </w:r>
      <w:r>
        <w:rPr>
          <w:rFonts w:ascii="Cambria" w:hAnsi="Cambria" w:cs="Arial"/>
          <w:color w:val="000000"/>
          <w:sz w:val="20"/>
          <w:szCs w:val="20"/>
          <w:lang w:val="es-UY"/>
        </w:rPr>
        <w:t xml:space="preserve"> constituido para él un serio perjuicio a su prestigio profesional y al ejercicio de su</w:t>
      </w:r>
      <w:r w:rsidR="00211723">
        <w:rPr>
          <w:rFonts w:ascii="Cambria" w:hAnsi="Cambria" w:cs="Arial"/>
          <w:color w:val="000000"/>
          <w:sz w:val="20"/>
          <w:szCs w:val="20"/>
          <w:lang w:val="es-UY"/>
        </w:rPr>
        <w:t>s</w:t>
      </w:r>
      <w:r>
        <w:rPr>
          <w:rFonts w:ascii="Cambria" w:hAnsi="Cambria" w:cs="Arial"/>
          <w:color w:val="000000"/>
          <w:sz w:val="20"/>
          <w:szCs w:val="20"/>
          <w:lang w:val="es-UY"/>
        </w:rPr>
        <w:t xml:space="preserve"> actividades </w:t>
      </w:r>
      <w:r w:rsidR="00211723">
        <w:rPr>
          <w:rFonts w:ascii="Cambria" w:hAnsi="Cambria" w:cs="Arial"/>
          <w:color w:val="000000"/>
          <w:sz w:val="20"/>
          <w:szCs w:val="20"/>
          <w:lang w:val="es-UY"/>
        </w:rPr>
        <w:t xml:space="preserve">como ingeniero. </w:t>
      </w:r>
      <w:r>
        <w:rPr>
          <w:rFonts w:ascii="Cambria" w:hAnsi="Cambria" w:cs="Arial"/>
          <w:color w:val="000000"/>
          <w:sz w:val="20"/>
          <w:szCs w:val="20"/>
          <w:lang w:val="es-UY"/>
        </w:rPr>
        <w:t xml:space="preserve"> </w:t>
      </w:r>
      <w:r w:rsidR="00D06A81">
        <w:rPr>
          <w:rFonts w:ascii="Cambria" w:hAnsi="Cambria" w:cs="Arial"/>
          <w:color w:val="000000"/>
          <w:sz w:val="20"/>
          <w:szCs w:val="20"/>
          <w:lang w:val="es-UY"/>
        </w:rPr>
        <w:t>S</w:t>
      </w:r>
      <w:r w:rsidR="003E60E5" w:rsidRPr="00D06A81">
        <w:rPr>
          <w:rFonts w:ascii="Cambria" w:hAnsi="Cambria" w:cs="Arial"/>
          <w:color w:val="000000"/>
          <w:sz w:val="20"/>
          <w:szCs w:val="20"/>
          <w:lang w:val="es-UY"/>
        </w:rPr>
        <w:t xml:space="preserve">eñala que </w:t>
      </w:r>
      <w:r w:rsidR="00211723" w:rsidRPr="00D06A81">
        <w:rPr>
          <w:rFonts w:ascii="Cambria" w:hAnsi="Cambria" w:cs="Arial"/>
          <w:color w:val="000000"/>
          <w:sz w:val="20"/>
          <w:szCs w:val="20"/>
          <w:lang w:val="es-UY"/>
        </w:rPr>
        <w:t>durante el proceso</w:t>
      </w:r>
      <w:r w:rsidR="003E60E5" w:rsidRPr="00D06A81">
        <w:rPr>
          <w:rFonts w:ascii="Cambria" w:hAnsi="Cambria" w:cs="Arial"/>
          <w:color w:val="000000"/>
          <w:sz w:val="20"/>
          <w:szCs w:val="20"/>
          <w:lang w:val="es-UY"/>
        </w:rPr>
        <w:t xml:space="preserve"> se </w:t>
      </w:r>
      <w:r w:rsidR="00211723" w:rsidRPr="00D06A81">
        <w:rPr>
          <w:rFonts w:ascii="Cambria" w:hAnsi="Cambria" w:cs="Arial"/>
          <w:color w:val="000000"/>
          <w:sz w:val="20"/>
          <w:szCs w:val="20"/>
          <w:lang w:val="es-UY"/>
        </w:rPr>
        <w:t>vio</w:t>
      </w:r>
      <w:r w:rsidR="003E60E5" w:rsidRPr="00D06A81">
        <w:rPr>
          <w:rFonts w:ascii="Cambria" w:hAnsi="Cambria" w:cs="Arial"/>
          <w:color w:val="000000"/>
          <w:sz w:val="20"/>
          <w:szCs w:val="20"/>
          <w:lang w:val="es-UY"/>
        </w:rPr>
        <w:t xml:space="preserve"> impedido de salir del país</w:t>
      </w:r>
      <w:r w:rsidR="00211723" w:rsidRPr="00D06A81">
        <w:rPr>
          <w:rFonts w:ascii="Cambria" w:hAnsi="Cambria" w:cs="Arial"/>
          <w:color w:val="000000"/>
          <w:sz w:val="20"/>
          <w:szCs w:val="20"/>
          <w:lang w:val="es-UY"/>
        </w:rPr>
        <w:t xml:space="preserve">; </w:t>
      </w:r>
      <w:r w:rsidR="003E60E5" w:rsidRPr="00D06A81">
        <w:rPr>
          <w:rFonts w:ascii="Cambria" w:hAnsi="Cambria" w:cs="Arial"/>
          <w:color w:val="000000"/>
          <w:sz w:val="20"/>
          <w:szCs w:val="20"/>
          <w:lang w:val="es-UY"/>
        </w:rPr>
        <w:t xml:space="preserve">se le impuso </w:t>
      </w:r>
      <w:r w:rsidR="00D06A81" w:rsidRPr="00D06A81">
        <w:rPr>
          <w:rFonts w:ascii="Cambria" w:hAnsi="Cambria" w:cs="Arial"/>
          <w:color w:val="000000"/>
          <w:sz w:val="20"/>
          <w:szCs w:val="20"/>
          <w:lang w:val="es-UY"/>
        </w:rPr>
        <w:t>como medida cautelar el deber de</w:t>
      </w:r>
      <w:r w:rsidR="003E60E5" w:rsidRPr="00D06A81">
        <w:rPr>
          <w:rFonts w:ascii="Cambria" w:hAnsi="Cambria" w:cs="Arial"/>
          <w:color w:val="000000"/>
          <w:sz w:val="20"/>
          <w:szCs w:val="20"/>
          <w:lang w:val="es-UY"/>
        </w:rPr>
        <w:t xml:space="preserve"> presentarse regularmente a firmar ante Gendarmería de Chile</w:t>
      </w:r>
      <w:r w:rsidR="00D06A81" w:rsidRPr="00D06A81">
        <w:rPr>
          <w:rFonts w:ascii="Cambria" w:hAnsi="Cambria" w:cs="Arial"/>
          <w:color w:val="000000"/>
          <w:sz w:val="20"/>
          <w:szCs w:val="20"/>
          <w:lang w:val="es-UY"/>
        </w:rPr>
        <w:t>;</w:t>
      </w:r>
      <w:r w:rsidR="003E60E5" w:rsidRPr="00D06A81">
        <w:rPr>
          <w:rFonts w:ascii="Cambria" w:hAnsi="Cambria" w:cs="Arial"/>
          <w:color w:val="000000"/>
          <w:sz w:val="20"/>
          <w:szCs w:val="20"/>
          <w:lang w:val="es-UY"/>
        </w:rPr>
        <w:t xml:space="preserve"> y </w:t>
      </w:r>
      <w:r w:rsidR="001E0F06">
        <w:rPr>
          <w:rFonts w:ascii="Cambria" w:hAnsi="Cambria" w:cs="Arial"/>
          <w:color w:val="000000"/>
          <w:sz w:val="20"/>
          <w:szCs w:val="20"/>
          <w:lang w:val="es-UY"/>
        </w:rPr>
        <w:t>que pasó</w:t>
      </w:r>
      <w:r w:rsidR="003E60E5" w:rsidRPr="00D06A81">
        <w:rPr>
          <w:rFonts w:ascii="Cambria" w:hAnsi="Cambria" w:cs="Arial"/>
          <w:color w:val="000000"/>
          <w:sz w:val="20"/>
          <w:szCs w:val="20"/>
          <w:lang w:val="es-UY"/>
        </w:rPr>
        <w:t xml:space="preserve"> una noche </w:t>
      </w:r>
      <w:r w:rsidR="00D06A81">
        <w:rPr>
          <w:rFonts w:ascii="Cambria" w:hAnsi="Cambria" w:cs="Arial"/>
          <w:color w:val="000000"/>
          <w:sz w:val="20"/>
          <w:szCs w:val="20"/>
          <w:lang w:val="es-UY"/>
        </w:rPr>
        <w:t>detenido</w:t>
      </w:r>
      <w:r w:rsidR="003E60E5" w:rsidRPr="00D06A81">
        <w:rPr>
          <w:rFonts w:ascii="Cambria" w:hAnsi="Cambria" w:cs="Arial"/>
          <w:color w:val="000000"/>
          <w:sz w:val="20"/>
          <w:szCs w:val="20"/>
          <w:lang w:val="es-UY"/>
        </w:rPr>
        <w:t>.</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0000"/>
          <w:sz w:val="20"/>
          <w:szCs w:val="20"/>
          <w:lang w:val="es-UY"/>
        </w:rPr>
      </w:pPr>
      <w:r w:rsidRPr="00D413EF">
        <w:rPr>
          <w:rFonts w:ascii="Cambria" w:hAnsi="Cambria" w:cs="Arial"/>
          <w:color w:val="000000"/>
          <w:sz w:val="20"/>
          <w:szCs w:val="20"/>
          <w:lang w:val="es-UY"/>
        </w:rPr>
        <w:t xml:space="preserve">Con base en lo anterior, el peticionario alega que el Estado violó los derechos reconocidos en los artículos </w:t>
      </w:r>
      <w:r w:rsidRPr="00D413EF">
        <w:rPr>
          <w:rFonts w:ascii="Cambria" w:hAnsi="Cambria"/>
          <w:color w:val="000000"/>
          <w:sz w:val="20"/>
          <w:szCs w:val="20"/>
          <w:lang w:val="es-UY"/>
        </w:rPr>
        <w:t xml:space="preserve">10 y 8.2 </w:t>
      </w:r>
      <w:r w:rsidRPr="00D413EF">
        <w:rPr>
          <w:rFonts w:ascii="Cambria" w:hAnsi="Cambria" w:cs="Arial"/>
          <w:color w:val="000000"/>
          <w:sz w:val="20"/>
          <w:szCs w:val="20"/>
          <w:lang w:val="es-UY"/>
        </w:rPr>
        <w:t>de la Convención Americana en su perjuicio, al negársele el derecho a la indemnización por error judicial, y vulnerarse sus garantías judiciales, en relación al principio de presunción de inocencia, respectivamente.</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lang w:val="es-UY"/>
        </w:rPr>
      </w:pPr>
      <w:r w:rsidRPr="00D413EF">
        <w:rPr>
          <w:rFonts w:ascii="Cambria" w:hAnsi="Cambria"/>
          <w:b/>
          <w:bCs/>
          <w:color w:val="000000"/>
          <w:sz w:val="20"/>
          <w:szCs w:val="20"/>
          <w:lang w:val="es-UY"/>
        </w:rPr>
        <w:lastRenderedPageBreak/>
        <w:t>B.</w:t>
      </w:r>
      <w:r w:rsidRPr="00D413EF">
        <w:rPr>
          <w:rFonts w:ascii="Cambria" w:hAnsi="Cambria"/>
          <w:b/>
          <w:bCs/>
          <w:color w:val="000000"/>
          <w:sz w:val="20"/>
          <w:szCs w:val="20"/>
          <w:lang w:val="es-UY"/>
        </w:rPr>
        <w:tab/>
        <w:t>Posición del Estado</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El Estado, indica que la sentencia de la Corte Suprema de Chile de 24 de enero de 2007 señala en su considerando noveno que la razón por la cual se decretó la invalidación de la sentencia condenatoria corresponde a una “diferente ponderación” de los elementos probatorios</w:t>
      </w:r>
      <w:r w:rsidRPr="00D413EF">
        <w:rPr>
          <w:rFonts w:ascii="Cambria" w:hAnsi="Cambria" w:cs="Arial"/>
          <w:color w:val="000000"/>
          <w:sz w:val="20"/>
          <w:szCs w:val="20"/>
          <w:lang w:val="es-UY"/>
        </w:rPr>
        <w:t>.</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Indica que lo pedido ante la CIDH por el peticionario corresponde a una nueva instancia, “buscando una decisión favorable a una causa desestimada a nivel interno en un proceso cuya conformidad con los estándares internacionales no ha sido cuestionada”, lo que vulnera el principio de complementariedad. Agrega que este principio, en conjunto con la exigencia de previo agotamiento de los recursos internos, configuran el carácter subsidiario de los órganos de protección de derechos fundamentales dentro del Sistema Interamericano de Derechos Humanos.</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 xml:space="preserve">El Estado señala que la CIDH ha reiterado que solo es competente para conocer de una sentencia cuando ha sido dictada al margen del debido proceso o que aparentemente viola cualquier otro derecho garantizado por la Convención, y no cuando el análisis se limita a afirmar que el fallo fue equivocado o injusto, toda vez que estaría actuando como un tribunal de instancia. A su vez, </w:t>
      </w:r>
      <w:r w:rsidR="00D34AF0">
        <w:rPr>
          <w:rFonts w:ascii="Cambria" w:hAnsi="Cambria"/>
          <w:color w:val="000000"/>
          <w:sz w:val="20"/>
          <w:szCs w:val="20"/>
          <w:lang w:val="es-UY"/>
        </w:rPr>
        <w:t xml:space="preserve">e invocando los precedentes de la propia CIDH, </w:t>
      </w:r>
      <w:r w:rsidRPr="00D413EF">
        <w:rPr>
          <w:rFonts w:ascii="Cambria" w:hAnsi="Cambria"/>
          <w:color w:val="000000"/>
          <w:sz w:val="20"/>
          <w:szCs w:val="20"/>
          <w:lang w:val="es-UY"/>
        </w:rPr>
        <w:t xml:space="preserve">indica que la Comisión </w:t>
      </w:r>
      <w:r w:rsidR="00D34AF0">
        <w:rPr>
          <w:rFonts w:ascii="Cambria" w:hAnsi="Cambria"/>
          <w:color w:val="000000"/>
          <w:sz w:val="20"/>
          <w:szCs w:val="20"/>
          <w:lang w:val="es-UY"/>
        </w:rPr>
        <w:t>no podría</w:t>
      </w:r>
      <w:r w:rsidRPr="00D413EF">
        <w:rPr>
          <w:rFonts w:ascii="Cambria" w:hAnsi="Cambria"/>
          <w:color w:val="000000"/>
          <w:sz w:val="20"/>
          <w:szCs w:val="20"/>
          <w:lang w:val="es-UY"/>
        </w:rPr>
        <w:t xml:space="preserve"> “hacer las veces de un tribunal de alzada para examinar supuestos errores de derecho o de hecho que puedan haber cometido los tribunales nacionales que hayan actuado dentro de los límites de su competencia”.</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 xml:space="preserve">En relación con la supuesta vulneración al artículo 8.2 de la Convención Americana, por haberse caratulado el expediente como “en contra de Gustavo Haroldo Horta Muñoz, por cuasidelito de homicidio”, el Estado considera que carece de fundamento, ya que todas las carátulas de los procesos penales en Chile se caratulan con el nombre de los imputados y la figura penal que se le imputa. No significando esto, un prejuzgamiento sobre el </w:t>
      </w:r>
      <w:r w:rsidR="00D34AF0" w:rsidRPr="00D413EF">
        <w:rPr>
          <w:rFonts w:ascii="Cambria" w:hAnsi="Cambria"/>
          <w:color w:val="000000"/>
          <w:sz w:val="20"/>
          <w:szCs w:val="20"/>
          <w:lang w:val="es-UY"/>
        </w:rPr>
        <w:t>mérito</w:t>
      </w:r>
      <w:r w:rsidRPr="00D413EF">
        <w:rPr>
          <w:rFonts w:ascii="Cambria" w:hAnsi="Cambria"/>
          <w:color w:val="000000"/>
          <w:sz w:val="20"/>
          <w:szCs w:val="20"/>
          <w:lang w:val="es-UY"/>
        </w:rPr>
        <w:t xml:space="preserve"> de la causa.</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000000"/>
          <w:sz w:val="20"/>
          <w:szCs w:val="20"/>
          <w:lang w:val="es-UY"/>
        </w:rPr>
      </w:pPr>
      <w:r w:rsidRPr="00D413EF">
        <w:rPr>
          <w:rFonts w:ascii="Cambria" w:hAnsi="Cambria"/>
          <w:color w:val="000000"/>
          <w:sz w:val="20"/>
          <w:szCs w:val="20"/>
          <w:lang w:val="es-UY"/>
        </w:rPr>
        <w:t>En conclusión, el Estado sostiene que el reclamo del peticionario ante la CIDH constituye una solicitud de “cuarta instancia”, y que por lo tanto la petición sería inadmisible.</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lang w:val="es-UY"/>
        </w:rPr>
      </w:pPr>
      <w:r w:rsidRPr="00D413EF">
        <w:rPr>
          <w:rFonts w:ascii="Cambria" w:hAnsi="Cambria"/>
          <w:b/>
          <w:bCs/>
          <w:color w:val="000000"/>
          <w:sz w:val="20"/>
          <w:szCs w:val="20"/>
          <w:lang w:val="es-UY"/>
        </w:rPr>
        <w:t>IV.</w:t>
      </w:r>
      <w:r w:rsidRPr="00D413EF">
        <w:rPr>
          <w:rFonts w:ascii="Cambria" w:hAnsi="Cambria"/>
          <w:b/>
          <w:bCs/>
          <w:color w:val="000000"/>
          <w:sz w:val="20"/>
          <w:szCs w:val="20"/>
          <w:lang w:val="es-UY"/>
        </w:rPr>
        <w:tab/>
        <w:t>ANÁLISIS SOBRE COMPETENCIA Y ADMISIBILIDAD</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Cambria" w:hAnsi="Cambria"/>
          <w:color w:val="000000"/>
          <w:sz w:val="20"/>
          <w:szCs w:val="20"/>
          <w:lang w:val="es-UY"/>
        </w:rPr>
      </w:pPr>
      <w:r w:rsidRPr="00D413EF">
        <w:rPr>
          <w:rFonts w:ascii="Cambria" w:hAnsi="Cambria"/>
          <w:b/>
          <w:bCs/>
          <w:color w:val="000000"/>
          <w:sz w:val="20"/>
          <w:szCs w:val="20"/>
          <w:lang w:val="es-UY"/>
        </w:rPr>
        <w:t>A.</w:t>
      </w:r>
      <w:r w:rsidRPr="00D413EF">
        <w:rPr>
          <w:rFonts w:ascii="Cambria" w:hAnsi="Cambria"/>
          <w:b/>
          <w:bCs/>
          <w:color w:val="000000"/>
          <w:sz w:val="20"/>
          <w:szCs w:val="20"/>
          <w:lang w:val="es-UY"/>
        </w:rPr>
        <w:tab/>
        <w:t xml:space="preserve">Competencia </w:t>
      </w:r>
    </w:p>
    <w:p w:rsidR="003E60E5" w:rsidRPr="00D413EF" w:rsidRDefault="003E60E5" w:rsidP="009F0583">
      <w:pPr>
        <w:pStyle w:val="BodyText"/>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eastAsia="SimSun" w:hAnsi="Cambria"/>
          <w:color w:val="000000"/>
          <w:sz w:val="20"/>
          <w:szCs w:val="20"/>
          <w:lang w:val="es-UY"/>
        </w:rPr>
      </w:pPr>
      <w:r w:rsidRPr="00D413EF">
        <w:rPr>
          <w:rFonts w:ascii="Cambria" w:eastAsia="SimSun" w:hAnsi="Cambria"/>
          <w:color w:val="000000"/>
          <w:sz w:val="20"/>
          <w:szCs w:val="20"/>
          <w:lang w:val="es-UY"/>
        </w:rPr>
        <w:t xml:space="preserve">El peticionario se encuentra facultado, en principio, por el artículo 44 de la Convención Americana para presentar peticiones ante la Comisión. La petición señala como presunta víctima a una persona individual, respecto de quien el Estado chileno se comprometió a respetar y garantizar los derechos consagrados en la Convención Americana. En lo concerniente al Estado, la Comisión señala que Chile es un Estado parte en la Convención Americana desde el 21 de agosto de 1990, fecha en la que depositó su instrumento de ratificación. Por lo tanto, la Comisión tiene competencia </w:t>
      </w:r>
      <w:r w:rsidRPr="00D413EF">
        <w:rPr>
          <w:rFonts w:ascii="Cambria" w:eastAsia="SimSun" w:hAnsi="Cambria"/>
          <w:i/>
          <w:color w:val="000000"/>
          <w:sz w:val="20"/>
          <w:szCs w:val="20"/>
          <w:lang w:val="es-UY"/>
        </w:rPr>
        <w:t>ratione personae</w:t>
      </w:r>
      <w:r w:rsidRPr="00D413EF">
        <w:rPr>
          <w:rFonts w:ascii="Cambria" w:eastAsia="SimSun" w:hAnsi="Cambria"/>
          <w:color w:val="000000"/>
          <w:sz w:val="20"/>
          <w:szCs w:val="20"/>
          <w:lang w:val="es-UY"/>
        </w:rPr>
        <w:t xml:space="preserve"> para examinar la petición. Asimismo, la Comisión tiene competencia </w:t>
      </w:r>
      <w:r w:rsidRPr="00D413EF">
        <w:rPr>
          <w:rFonts w:ascii="Cambria" w:eastAsia="SimSun" w:hAnsi="Cambria"/>
          <w:i/>
          <w:color w:val="000000"/>
          <w:sz w:val="20"/>
          <w:szCs w:val="20"/>
          <w:lang w:val="es-UY"/>
        </w:rPr>
        <w:t>ratione loci</w:t>
      </w:r>
      <w:r w:rsidRPr="00D413EF">
        <w:rPr>
          <w:rFonts w:ascii="Cambria" w:eastAsia="SimSun" w:hAnsi="Cambria"/>
          <w:color w:val="000000"/>
          <w:sz w:val="20"/>
          <w:szCs w:val="20"/>
          <w:lang w:val="es-UY"/>
        </w:rPr>
        <w:t xml:space="preserve"> para conocer la petición, por cuanto en ella se alegan violaciones de derechos protegidos en la Convención Americana que habrían tenido lugar dentro del territorio de Chile, Estado Parte en dicho tratado. </w:t>
      </w:r>
    </w:p>
    <w:p w:rsidR="003E60E5" w:rsidRPr="00D413EF" w:rsidRDefault="003E60E5" w:rsidP="009F0583">
      <w:pPr>
        <w:pStyle w:val="BodyText"/>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eastAsia="SimSun" w:hAnsi="Cambria"/>
          <w:color w:val="000000"/>
          <w:sz w:val="20"/>
          <w:szCs w:val="20"/>
          <w:lang w:val="es-UY"/>
        </w:rPr>
      </w:pPr>
      <w:r w:rsidRPr="00D413EF">
        <w:rPr>
          <w:rFonts w:ascii="Cambria" w:eastAsia="SimSun" w:hAnsi="Cambria"/>
          <w:color w:val="000000"/>
          <w:sz w:val="20"/>
          <w:szCs w:val="20"/>
          <w:lang w:val="es-UY"/>
        </w:rPr>
        <w:t xml:space="preserve">La Comisión tiene competencia </w:t>
      </w:r>
      <w:r w:rsidRPr="00D413EF">
        <w:rPr>
          <w:rFonts w:ascii="Cambria" w:eastAsia="SimSun" w:hAnsi="Cambria"/>
          <w:i/>
          <w:color w:val="000000"/>
          <w:sz w:val="20"/>
          <w:szCs w:val="20"/>
          <w:lang w:val="es-UY"/>
        </w:rPr>
        <w:t>ratione temporis</w:t>
      </w:r>
      <w:r w:rsidRPr="00D413EF">
        <w:rPr>
          <w:rFonts w:ascii="Cambria" w:eastAsia="SimSun" w:hAnsi="Cambria"/>
          <w:color w:val="000000"/>
          <w:sz w:val="20"/>
          <w:szCs w:val="20"/>
          <w:lang w:val="es-UY"/>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D413EF">
        <w:rPr>
          <w:rFonts w:ascii="Cambria" w:eastAsia="SimSun" w:hAnsi="Cambria"/>
          <w:i/>
          <w:color w:val="000000"/>
          <w:sz w:val="20"/>
          <w:szCs w:val="20"/>
          <w:lang w:val="es-UY"/>
        </w:rPr>
        <w:t>ratione materiae</w:t>
      </w:r>
      <w:r w:rsidRPr="00D413EF">
        <w:rPr>
          <w:rFonts w:ascii="Cambria" w:eastAsia="SimSun" w:hAnsi="Cambria"/>
          <w:color w:val="000000"/>
          <w:sz w:val="20"/>
          <w:szCs w:val="20"/>
          <w:lang w:val="es-UY"/>
        </w:rPr>
        <w:t>, dado que en la petición se denuncian posibles violaciones a derechos humanos protegidos por la Convención Americana.</w:t>
      </w:r>
    </w:p>
    <w:p w:rsidR="002E2226" w:rsidRDefault="002E2226">
      <w:pPr>
        <w:pBdr>
          <w:top w:val="none" w:sz="0" w:space="0" w:color="auto"/>
          <w:left w:val="none" w:sz="0" w:space="0" w:color="auto"/>
          <w:bottom w:val="none" w:sz="0" w:space="0" w:color="auto"/>
          <w:right w:val="none" w:sz="0" w:space="0" w:color="auto"/>
          <w:bar w:val="none" w:sz="0" w:color="auto"/>
        </w:pBdr>
        <w:rPr>
          <w:rFonts w:ascii="Cambria" w:hAnsi="Cambria"/>
          <w:b/>
          <w:bCs/>
          <w:color w:val="000000"/>
          <w:sz w:val="20"/>
          <w:szCs w:val="20"/>
          <w:lang w:val="es-UY"/>
        </w:rPr>
      </w:pPr>
      <w:r>
        <w:rPr>
          <w:rFonts w:ascii="Cambria" w:hAnsi="Cambria"/>
          <w:b/>
          <w:bCs/>
          <w:color w:val="000000"/>
          <w:sz w:val="20"/>
          <w:szCs w:val="20"/>
          <w:lang w:val="es-UY"/>
        </w:rPr>
        <w:br w:type="page"/>
      </w:r>
    </w:p>
    <w:p w:rsidR="003E60E5" w:rsidRPr="00D413EF" w:rsidRDefault="003E60E5" w:rsidP="009F0583">
      <w:pPr>
        <w:numPr>
          <w:ilvl w:val="0"/>
          <w:numId w:val="57"/>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color w:val="000000"/>
          <w:sz w:val="20"/>
          <w:szCs w:val="20"/>
          <w:lang w:val="es-UY"/>
        </w:rPr>
      </w:pPr>
      <w:r w:rsidRPr="00D413EF">
        <w:rPr>
          <w:rFonts w:ascii="Cambria" w:hAnsi="Cambria"/>
          <w:b/>
          <w:bCs/>
          <w:color w:val="000000"/>
          <w:sz w:val="20"/>
          <w:szCs w:val="20"/>
          <w:lang w:val="es-UY"/>
        </w:rPr>
        <w:lastRenderedPageBreak/>
        <w:t xml:space="preserve">Requisitos de </w:t>
      </w:r>
      <w:r w:rsidRPr="00D413EF">
        <w:rPr>
          <w:rFonts w:ascii="Cambria" w:hAnsi="Cambria"/>
          <w:b/>
          <w:color w:val="000000"/>
          <w:sz w:val="20"/>
          <w:szCs w:val="20"/>
          <w:lang w:val="es-UY"/>
        </w:rPr>
        <w:t>Admisibilidad</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color w:val="000000"/>
          <w:sz w:val="20"/>
          <w:szCs w:val="20"/>
          <w:lang w:val="es-UY"/>
        </w:rPr>
      </w:pPr>
      <w:r w:rsidRPr="00D413EF">
        <w:rPr>
          <w:rFonts w:ascii="Cambria" w:hAnsi="Cambria"/>
          <w:b/>
          <w:color w:val="000000"/>
          <w:sz w:val="20"/>
          <w:szCs w:val="20"/>
          <w:lang w:val="es-UY"/>
        </w:rPr>
        <w:t>1.</w:t>
      </w:r>
      <w:r w:rsidRPr="00D413EF">
        <w:rPr>
          <w:rFonts w:ascii="Cambria" w:hAnsi="Cambria"/>
          <w:b/>
          <w:color w:val="000000"/>
          <w:sz w:val="20"/>
          <w:szCs w:val="20"/>
          <w:lang w:val="es-UY"/>
        </w:rPr>
        <w:tab/>
        <w:t>Agotamiento de los recursos internos</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i/>
          <w:color w:val="000000"/>
          <w:sz w:val="20"/>
          <w:szCs w:val="20"/>
          <w:lang w:val="es-UY"/>
        </w:rPr>
      </w:pPr>
      <w:r w:rsidRPr="00D413EF">
        <w:rPr>
          <w:rFonts w:ascii="Cambria" w:hAnsi="Cambria" w:cs="Arial"/>
          <w:color w:val="000000"/>
          <w:sz w:val="20"/>
          <w:szCs w:val="20"/>
          <w:lang w:val="es-PE"/>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D413EF">
        <w:rPr>
          <w:rFonts w:ascii="Cambria" w:hAnsi="Cambria"/>
          <w:color w:val="000000"/>
          <w:sz w:val="20"/>
          <w:szCs w:val="20"/>
          <w:lang w:val="es-UY"/>
        </w:rPr>
        <w:t xml:space="preserve">Este requisito tiene como objeto permitir que las autoridades nacionales conozcan sobre la supuesta violación de un derecho protegido y, de ser apropiado, solucionen la situación antes de que sea conocida por una instancia internacional. </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 xml:space="preserve">De acuerdo a la información proporcionada por las partes, no existe controversia en cuanto al agotamiento de recursos internos. La decisión de primera instancia habría sido emitida el 2 de julio de 1999 </w:t>
      </w:r>
      <w:r w:rsidRPr="005A1136">
        <w:rPr>
          <w:rFonts w:ascii="Cambria" w:hAnsi="Cambria"/>
          <w:color w:val="000000"/>
          <w:sz w:val="20"/>
          <w:szCs w:val="20"/>
          <w:lang w:val="es-UY"/>
        </w:rPr>
        <w:t xml:space="preserve">por el </w:t>
      </w:r>
      <w:r w:rsidRPr="005A1136">
        <w:rPr>
          <w:rFonts w:ascii="Cambria" w:hAnsi="Cambria" w:cs="Arial"/>
          <w:color w:val="000000"/>
          <w:sz w:val="20"/>
          <w:szCs w:val="20"/>
          <w:lang w:val="es-UY"/>
        </w:rPr>
        <w:t>Trigésimo Segundo</w:t>
      </w:r>
      <w:r w:rsidRPr="005A1136">
        <w:rPr>
          <w:rFonts w:ascii="Cambria" w:hAnsi="Cambria"/>
          <w:color w:val="000000"/>
          <w:sz w:val="20"/>
          <w:szCs w:val="20"/>
          <w:lang w:val="es-UY"/>
        </w:rPr>
        <w:t xml:space="preserve"> Juzgado</w:t>
      </w:r>
      <w:r w:rsidRPr="00D413EF">
        <w:rPr>
          <w:rFonts w:ascii="Cambria" w:hAnsi="Cambria"/>
          <w:color w:val="000000"/>
          <w:sz w:val="20"/>
          <w:szCs w:val="20"/>
          <w:lang w:val="es-UY"/>
        </w:rPr>
        <w:t xml:space="preserve"> del Crimen de Santiago; esta decisión fue apelada y la apelación decidida por la Corte de Apelaciones de Santiago el 20 de enero de 2004. Contra esta última decisión se presentó un recurso de casación, que fue resuelto por la Corte Suprema de Chile mediante sentencia favorable al peticionario emitida el 29 de junio de 2006. Posteriormente, el peticionario, con base en el artículo 19.7.i de la Constitución, solicitó una indemnización compensatoria a la Corte Suprema de Chile; la cual mediante sentencia de única instancia emitida el 24 de enero de 2007, y siguiendo un procedimiento indemnizatorio, breve y sumario, rechazó la pretensión del peticionario. El Estado, por su parte, no interpone la excepción de agotamiento a los recursos internos</w:t>
      </w:r>
      <w:r w:rsidR="00562226">
        <w:rPr>
          <w:rFonts w:ascii="Cambria" w:hAnsi="Cambria"/>
          <w:color w:val="000000"/>
          <w:sz w:val="20"/>
          <w:szCs w:val="20"/>
          <w:lang w:val="es-UY"/>
        </w:rPr>
        <w:t>.</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color w:val="000000"/>
          <w:sz w:val="20"/>
          <w:szCs w:val="20"/>
          <w:lang w:val="es-UY"/>
        </w:rPr>
      </w:pPr>
      <w:r w:rsidRPr="00D413EF">
        <w:rPr>
          <w:rFonts w:ascii="Cambria" w:hAnsi="Cambria"/>
          <w:color w:val="000000"/>
          <w:sz w:val="20"/>
          <w:szCs w:val="20"/>
          <w:lang w:val="es-UY"/>
        </w:rPr>
        <w:t xml:space="preserve">Por lo tanto, la Comisión concluye que en el presente caso se han interpuesto y agotado los recursos de la jurisdicción interna de conformidad con el artículo </w:t>
      </w:r>
      <w:r w:rsidRPr="00D413EF">
        <w:rPr>
          <w:rFonts w:ascii="Cambria" w:hAnsi="Cambria" w:cs="Arial"/>
          <w:color w:val="000000"/>
          <w:sz w:val="20"/>
          <w:szCs w:val="20"/>
          <w:lang w:val="es-PE"/>
        </w:rPr>
        <w:t xml:space="preserve">46(1)(a) de la Convención Americana. </w:t>
      </w:r>
    </w:p>
    <w:p w:rsidR="003E60E5" w:rsidRPr="00D413EF" w:rsidRDefault="003E60E5" w:rsidP="005B5305">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color w:val="000000"/>
          <w:sz w:val="20"/>
          <w:szCs w:val="20"/>
          <w:lang w:val="es-UY"/>
        </w:rPr>
      </w:pPr>
      <w:r w:rsidRPr="00D413EF">
        <w:rPr>
          <w:rFonts w:ascii="Cambria" w:hAnsi="Cambria"/>
          <w:b/>
          <w:color w:val="000000"/>
          <w:sz w:val="20"/>
          <w:szCs w:val="20"/>
          <w:lang w:val="es-UY"/>
        </w:rPr>
        <w:t>2.</w:t>
      </w:r>
      <w:r w:rsidRPr="00D413EF">
        <w:rPr>
          <w:rFonts w:ascii="Cambria" w:hAnsi="Cambria"/>
          <w:b/>
          <w:color w:val="000000"/>
          <w:sz w:val="20"/>
          <w:szCs w:val="20"/>
          <w:lang w:val="es-UY"/>
        </w:rPr>
        <w:tab/>
        <w:t>Plazo de presentación de la petición</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s="Arial"/>
          <w:color w:val="000000"/>
          <w:sz w:val="20"/>
          <w:szCs w:val="20"/>
          <w:lang w:val="es-PE"/>
        </w:rPr>
        <w:t>El artículo 46(1)(b) de l</w:t>
      </w:r>
      <w:r w:rsidRPr="00D413EF">
        <w:rPr>
          <w:rFonts w:ascii="Cambria" w:hAnsi="Cambria"/>
          <w:color w:val="000000"/>
          <w:sz w:val="20"/>
          <w:szCs w:val="20"/>
          <w:lang w:val="es-ES_tradnl"/>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 xml:space="preserve">En el reclamo bajo análisis, la decisión final de la Corte Suprema de Chile fue emitida el 24 de enero de 2007, y la petición </w:t>
      </w:r>
      <w:r w:rsidR="00562226">
        <w:rPr>
          <w:rFonts w:ascii="Cambria" w:hAnsi="Cambria"/>
          <w:color w:val="000000"/>
          <w:sz w:val="20"/>
          <w:szCs w:val="20"/>
          <w:lang w:val="es-UY"/>
        </w:rPr>
        <w:t xml:space="preserve">fue presentada ante la CIDH el </w:t>
      </w:r>
      <w:r w:rsidRPr="00D413EF">
        <w:rPr>
          <w:rFonts w:ascii="Cambria" w:hAnsi="Cambria"/>
          <w:color w:val="000000"/>
          <w:sz w:val="20"/>
          <w:szCs w:val="20"/>
          <w:lang w:val="es-UY"/>
        </w:rPr>
        <w:t xml:space="preserve">2 de febrero de 2007. Por lo tanto, la Comisión observa que la presente petición cumple con el requisito del plazo de presentación establecido en el artículo 46(1)(b) de la Convención Americana. </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color w:val="000000"/>
          <w:sz w:val="20"/>
          <w:szCs w:val="20"/>
          <w:lang w:val="es-UY"/>
        </w:rPr>
      </w:pPr>
      <w:r w:rsidRPr="00D413EF">
        <w:rPr>
          <w:rFonts w:ascii="Cambria" w:hAnsi="Cambria"/>
          <w:b/>
          <w:bCs/>
          <w:color w:val="000000"/>
          <w:sz w:val="20"/>
          <w:szCs w:val="20"/>
          <w:lang w:val="es-UY"/>
        </w:rPr>
        <w:t>3.</w:t>
      </w:r>
      <w:r w:rsidRPr="00D413EF">
        <w:rPr>
          <w:rFonts w:ascii="Cambria" w:hAnsi="Cambria"/>
          <w:b/>
          <w:bCs/>
          <w:color w:val="000000"/>
          <w:sz w:val="20"/>
          <w:szCs w:val="20"/>
          <w:lang w:val="es-UY"/>
        </w:rPr>
        <w:tab/>
        <w:t>Duplicación de procedimientos y cosa juzgada</w:t>
      </w:r>
      <w:r w:rsidRPr="00D413EF">
        <w:rPr>
          <w:rFonts w:ascii="Cambria" w:hAnsi="Cambria"/>
          <w:b/>
          <w:bCs/>
          <w:i/>
          <w:color w:val="000000"/>
          <w:sz w:val="20"/>
          <w:szCs w:val="20"/>
          <w:lang w:val="es-UY"/>
        </w:rPr>
        <w:t xml:space="preserve"> </w:t>
      </w:r>
      <w:r w:rsidRPr="00D413EF">
        <w:rPr>
          <w:rFonts w:ascii="Cambria" w:hAnsi="Cambria"/>
          <w:b/>
          <w:bCs/>
          <w:color w:val="000000"/>
          <w:sz w:val="20"/>
          <w:szCs w:val="20"/>
          <w:lang w:val="es-UY"/>
        </w:rPr>
        <w:t>internacional</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color w:val="000000"/>
          <w:sz w:val="20"/>
          <w:szCs w:val="20"/>
          <w:lang w:val="es-UY"/>
        </w:rPr>
      </w:pPr>
      <w:r w:rsidRPr="00D413EF">
        <w:rPr>
          <w:rFonts w:ascii="Cambria" w:hAnsi="Cambria"/>
          <w:b/>
          <w:bCs/>
          <w:color w:val="000000"/>
          <w:sz w:val="20"/>
          <w:szCs w:val="20"/>
          <w:lang w:val="es-UY"/>
        </w:rPr>
        <w:t>4.</w:t>
      </w:r>
      <w:r w:rsidRPr="00D413EF">
        <w:rPr>
          <w:rFonts w:ascii="Cambria" w:hAnsi="Cambria"/>
          <w:b/>
          <w:bCs/>
          <w:color w:val="000000"/>
          <w:sz w:val="20"/>
          <w:szCs w:val="20"/>
          <w:lang w:val="es-UY"/>
        </w:rPr>
        <w:tab/>
        <w:t>Caracterización de los hechos alegados</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D413EF">
        <w:rPr>
          <w:rFonts w:ascii="Cambria" w:hAnsi="Cambria"/>
          <w:i/>
          <w:color w:val="000000"/>
          <w:sz w:val="20"/>
          <w:szCs w:val="20"/>
          <w:lang w:val="es-UY"/>
        </w:rPr>
        <w:t>prima facie</w:t>
      </w:r>
      <w:r w:rsidRPr="00D413EF">
        <w:rPr>
          <w:rFonts w:ascii="Cambria" w:hAnsi="Cambria"/>
          <w:color w:val="000000"/>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3E60E5" w:rsidRPr="00D413EF" w:rsidRDefault="003E60E5"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0000"/>
          <w:sz w:val="20"/>
          <w:szCs w:val="20"/>
          <w:lang w:val="es-UY"/>
        </w:rPr>
      </w:pPr>
      <w:r w:rsidRPr="00D413EF">
        <w:rPr>
          <w:rFonts w:ascii="Cambria" w:hAnsi="Cambria"/>
          <w:color w:val="000000"/>
          <w:sz w:val="20"/>
          <w:szCs w:val="20"/>
          <w:lang w:val="es-UY"/>
        </w:rPr>
        <w:lastRenderedPageBreak/>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3E60E5" w:rsidRPr="005A1136" w:rsidRDefault="003E60E5" w:rsidP="009F0583">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color w:val="000000"/>
          <w:sz w:val="20"/>
          <w:szCs w:val="20"/>
          <w:lang w:val="es-UY"/>
        </w:rPr>
      </w:pPr>
      <w:r w:rsidRPr="00D413EF">
        <w:rPr>
          <w:rFonts w:ascii="Cambria" w:eastAsia="SimSun" w:hAnsi="Cambria"/>
          <w:color w:val="000000"/>
          <w:sz w:val="20"/>
          <w:szCs w:val="20"/>
          <w:lang w:val="es-UY"/>
        </w:rPr>
        <w:t xml:space="preserve">El peticionario sostiene que no se le otorgó por parte del Estado de Chile una indemnización por condena errada, luego de haber sido absuelto por </w:t>
      </w:r>
      <w:r w:rsidR="00562226">
        <w:rPr>
          <w:rFonts w:ascii="Cambria" w:eastAsia="SimSun" w:hAnsi="Cambria"/>
          <w:color w:val="000000"/>
          <w:sz w:val="20"/>
          <w:szCs w:val="20"/>
          <w:lang w:val="es-UY"/>
        </w:rPr>
        <w:t>la Corte Suprema</w:t>
      </w:r>
      <w:r w:rsidRPr="00D413EF">
        <w:rPr>
          <w:rFonts w:ascii="Cambria" w:eastAsia="SimSun" w:hAnsi="Cambria"/>
          <w:color w:val="000000"/>
          <w:sz w:val="20"/>
          <w:szCs w:val="20"/>
          <w:lang w:val="es-UY"/>
        </w:rPr>
        <w:t xml:space="preserve"> de la sentencia condenatoria dictada por el </w:t>
      </w:r>
      <w:r w:rsidRPr="00D413EF">
        <w:rPr>
          <w:rFonts w:ascii="Cambria" w:hAnsi="Cambria" w:cs="Arial"/>
          <w:color w:val="000000"/>
          <w:sz w:val="20"/>
          <w:szCs w:val="20"/>
          <w:lang w:val="es-UY"/>
        </w:rPr>
        <w:t xml:space="preserve">Trigésimo Segundo Juzgado del Crimen de Santiago, </w:t>
      </w:r>
      <w:r w:rsidRPr="005A1136">
        <w:rPr>
          <w:rFonts w:ascii="Cambria" w:hAnsi="Cambria" w:cs="Arial"/>
          <w:color w:val="000000"/>
          <w:sz w:val="20"/>
          <w:szCs w:val="20"/>
          <w:lang w:val="es-UY"/>
        </w:rPr>
        <w:t>confirmada por la Corte de Apelaciones de Santiago</w:t>
      </w:r>
      <w:r w:rsidRPr="005A1136">
        <w:rPr>
          <w:rFonts w:ascii="Cambria" w:eastAsia="SimSun" w:hAnsi="Cambria"/>
          <w:color w:val="000000"/>
          <w:sz w:val="20"/>
          <w:szCs w:val="20"/>
          <w:lang w:val="es-UY"/>
        </w:rPr>
        <w:t>, en el proceso penal llevado en su contra por cuasidelito de homicidio durante once a</w:t>
      </w:r>
      <w:r w:rsidRPr="005A1136">
        <w:rPr>
          <w:rFonts w:ascii="Cambria" w:hAnsi="Cambria" w:cs="Arial"/>
          <w:color w:val="000000"/>
          <w:sz w:val="20"/>
          <w:szCs w:val="20"/>
          <w:lang w:val="es-UY"/>
        </w:rPr>
        <w:t>ñ</w:t>
      </w:r>
      <w:r w:rsidRPr="005A1136">
        <w:rPr>
          <w:rFonts w:ascii="Cambria" w:eastAsia="SimSun" w:hAnsi="Cambria"/>
          <w:color w:val="000000"/>
          <w:sz w:val="20"/>
          <w:szCs w:val="20"/>
          <w:lang w:val="es-UY"/>
        </w:rPr>
        <w:t xml:space="preserve">os antes los distintos tribunales chilenos. Además menciona que durante el transcurso del proceso pesó sobre el un estigma asociado a su calidad de imputado en un juicio penal como autor de cuasidelito de homicidio, lo que derivó en la vulneración del principio de inocencia en su contra.  </w:t>
      </w:r>
    </w:p>
    <w:p w:rsidR="003E60E5" w:rsidRPr="005A1136" w:rsidRDefault="003E60E5" w:rsidP="009F0583">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color w:val="000000"/>
          <w:sz w:val="20"/>
          <w:szCs w:val="20"/>
          <w:lang w:val="es-UY"/>
        </w:rPr>
      </w:pPr>
      <w:r w:rsidRPr="005A1136">
        <w:rPr>
          <w:rFonts w:ascii="Cambria" w:eastAsia="SimSun" w:hAnsi="Cambria"/>
          <w:color w:val="000000"/>
          <w:sz w:val="20"/>
          <w:szCs w:val="20"/>
          <w:lang w:val="es-UY"/>
        </w:rPr>
        <w:t xml:space="preserve">A su vez el Estado manifiesta que la causa fue llevada con pleno respeto de las normas del debido proceso, y que la sentencia de la Corte Suprema, que revocó la decisión de los tribunales de instancia, se debió a una diferente ponderación de los elementos probatorios, por lo que no corresponde a la CIDH pronunciarse debido a que estaríamos </w:t>
      </w:r>
      <w:r>
        <w:rPr>
          <w:rFonts w:ascii="Cambria" w:eastAsia="SimSun" w:hAnsi="Cambria"/>
          <w:color w:val="000000"/>
          <w:sz w:val="20"/>
          <w:szCs w:val="20"/>
          <w:lang w:val="es-UY"/>
        </w:rPr>
        <w:t xml:space="preserve">ante una situación </w:t>
      </w:r>
      <w:r w:rsidRPr="005A1136">
        <w:rPr>
          <w:rFonts w:ascii="Cambria" w:eastAsia="SimSun" w:hAnsi="Cambria"/>
          <w:color w:val="000000"/>
          <w:sz w:val="20"/>
          <w:szCs w:val="20"/>
          <w:lang w:val="es-UY"/>
        </w:rPr>
        <w:t xml:space="preserve">de “cuarta instancia”, lo que </w:t>
      </w:r>
      <w:r w:rsidR="00CF6869">
        <w:rPr>
          <w:rFonts w:ascii="Cambria" w:eastAsia="SimSun" w:hAnsi="Cambria"/>
          <w:color w:val="000000"/>
          <w:sz w:val="20"/>
          <w:szCs w:val="20"/>
          <w:lang w:val="es-UY"/>
        </w:rPr>
        <w:t>sería</w:t>
      </w:r>
      <w:r>
        <w:rPr>
          <w:rFonts w:ascii="Cambria" w:eastAsia="SimSun" w:hAnsi="Cambria"/>
          <w:color w:val="000000"/>
          <w:sz w:val="20"/>
          <w:szCs w:val="20"/>
          <w:lang w:val="es-UY"/>
        </w:rPr>
        <w:t xml:space="preserve"> incongruente con</w:t>
      </w:r>
      <w:r w:rsidRPr="005A1136">
        <w:rPr>
          <w:rFonts w:ascii="Cambria" w:eastAsia="SimSun" w:hAnsi="Cambria"/>
          <w:color w:val="000000"/>
          <w:sz w:val="20"/>
          <w:szCs w:val="20"/>
          <w:lang w:val="es-UY"/>
        </w:rPr>
        <w:t xml:space="preserve"> el carácter subsidiario de los órganos de protección de derechos fundamentales dentro del Sistema Interamericano de Derechos Humanos. </w:t>
      </w:r>
    </w:p>
    <w:p w:rsidR="003E60E5" w:rsidRPr="00D413EF" w:rsidRDefault="00CF6869" w:rsidP="009F0583">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000000"/>
          <w:sz w:val="20"/>
          <w:szCs w:val="20"/>
          <w:lang w:val="es-UY"/>
        </w:rPr>
      </w:pPr>
      <w:r>
        <w:rPr>
          <w:rFonts w:ascii="Cambria" w:hAnsi="Cambria"/>
          <w:color w:val="000000"/>
          <w:sz w:val="20"/>
          <w:szCs w:val="20"/>
          <w:lang w:val="es-UY"/>
        </w:rPr>
        <w:t>En atención a las consideraciones precedentes, l</w:t>
      </w:r>
      <w:r w:rsidR="00EF427F" w:rsidRPr="005A1136">
        <w:rPr>
          <w:rFonts w:ascii="Cambria" w:hAnsi="Cambria"/>
          <w:color w:val="000000"/>
          <w:sz w:val="20"/>
          <w:szCs w:val="20"/>
          <w:lang w:val="es-AR"/>
        </w:rPr>
        <w:t xml:space="preserve">a Comisión observa </w:t>
      </w:r>
      <w:r>
        <w:rPr>
          <w:rFonts w:ascii="Cambria" w:hAnsi="Cambria"/>
          <w:color w:val="000000"/>
          <w:sz w:val="20"/>
          <w:szCs w:val="20"/>
          <w:lang w:val="es-AR"/>
        </w:rPr>
        <w:t xml:space="preserve">en primer lugar </w:t>
      </w:r>
      <w:r w:rsidR="00EF427F" w:rsidRPr="005A1136">
        <w:rPr>
          <w:rFonts w:ascii="Cambria" w:hAnsi="Cambria"/>
          <w:color w:val="000000"/>
          <w:sz w:val="20"/>
          <w:szCs w:val="20"/>
          <w:lang w:val="es-AR"/>
        </w:rPr>
        <w:t xml:space="preserve">que  la sola vinculación de una persona a un proceso penal, </w:t>
      </w:r>
      <w:r w:rsidR="00EF427F">
        <w:rPr>
          <w:rFonts w:ascii="Cambria" w:hAnsi="Cambria"/>
          <w:color w:val="000000"/>
          <w:sz w:val="20"/>
          <w:szCs w:val="20"/>
          <w:lang w:val="es-AR"/>
        </w:rPr>
        <w:t>sin otros alegatos que pudieran caracterizar como</w:t>
      </w:r>
      <w:r w:rsidR="00EF427F" w:rsidRPr="005A1136">
        <w:rPr>
          <w:rFonts w:ascii="Cambria" w:hAnsi="Cambria"/>
          <w:color w:val="000000"/>
          <w:sz w:val="20"/>
          <w:szCs w:val="20"/>
          <w:lang w:val="es-AR"/>
        </w:rPr>
        <w:t xml:space="preserve"> </w:t>
      </w:r>
      <w:r w:rsidR="00EF427F">
        <w:rPr>
          <w:rFonts w:ascii="Cambria" w:hAnsi="Cambria"/>
          <w:color w:val="000000"/>
          <w:sz w:val="20"/>
          <w:szCs w:val="20"/>
          <w:lang w:val="es-AR"/>
        </w:rPr>
        <w:t xml:space="preserve">posibles </w:t>
      </w:r>
      <w:r w:rsidR="00EF427F" w:rsidRPr="005A1136">
        <w:rPr>
          <w:rFonts w:ascii="Cambria" w:hAnsi="Cambria"/>
          <w:color w:val="000000"/>
          <w:sz w:val="20"/>
          <w:szCs w:val="20"/>
          <w:lang w:val="es-AR"/>
        </w:rPr>
        <w:t xml:space="preserve">violaciones al debido proceso, no implica  </w:t>
      </w:r>
      <w:r w:rsidR="00EF427F" w:rsidRPr="005A1136">
        <w:rPr>
          <w:rFonts w:ascii="Cambria" w:hAnsi="Cambria"/>
          <w:i/>
          <w:color w:val="000000"/>
          <w:sz w:val="20"/>
          <w:szCs w:val="20"/>
          <w:lang w:val="es-AR"/>
        </w:rPr>
        <w:t>prima facie</w:t>
      </w:r>
      <w:r w:rsidR="00EF427F" w:rsidRPr="005A1136">
        <w:rPr>
          <w:rFonts w:ascii="Cambria" w:hAnsi="Cambria"/>
          <w:color w:val="000000"/>
          <w:sz w:val="20"/>
          <w:szCs w:val="20"/>
          <w:lang w:val="es-AR"/>
        </w:rPr>
        <w:t xml:space="preserve"> que se</w:t>
      </w:r>
      <w:r w:rsidR="00EF427F" w:rsidRPr="00D413EF">
        <w:rPr>
          <w:rFonts w:ascii="Cambria" w:hAnsi="Cambria"/>
          <w:color w:val="000000"/>
          <w:sz w:val="20"/>
          <w:szCs w:val="20"/>
          <w:lang w:val="es-AR"/>
        </w:rPr>
        <w:t xml:space="preserve"> haya vulnerado el principio de presunción de inocencia consagrado en el artículo 8.2 de la Convención Americana.</w:t>
      </w:r>
      <w:r>
        <w:rPr>
          <w:rFonts w:ascii="Cambria" w:hAnsi="Cambria"/>
          <w:color w:val="000000"/>
          <w:sz w:val="20"/>
          <w:szCs w:val="20"/>
          <w:lang w:val="es-AR"/>
        </w:rPr>
        <w:t xml:space="preserve"> En este sentido, observa, que tal como alega el Estado, no resulta irregular o inusual el que el expediente de una causa penal se</w:t>
      </w:r>
      <w:r w:rsidR="000E0535">
        <w:rPr>
          <w:rFonts w:ascii="Cambria" w:hAnsi="Cambria"/>
          <w:color w:val="000000"/>
          <w:sz w:val="20"/>
          <w:szCs w:val="20"/>
          <w:lang w:val="es-AR"/>
        </w:rPr>
        <w:t>a</w:t>
      </w:r>
      <w:r>
        <w:rPr>
          <w:rFonts w:ascii="Cambria" w:hAnsi="Cambria"/>
          <w:color w:val="000000"/>
          <w:sz w:val="20"/>
          <w:szCs w:val="20"/>
          <w:lang w:val="es-AR"/>
        </w:rPr>
        <w:t xml:space="preserve"> </w:t>
      </w:r>
      <w:r w:rsidR="000E0535">
        <w:rPr>
          <w:rFonts w:ascii="Cambria" w:hAnsi="Cambria"/>
          <w:color w:val="000000"/>
          <w:sz w:val="20"/>
          <w:szCs w:val="20"/>
          <w:lang w:val="es-AR"/>
        </w:rPr>
        <w:t>caratulada</w:t>
      </w:r>
      <w:r>
        <w:rPr>
          <w:rFonts w:ascii="Cambria" w:hAnsi="Cambria"/>
          <w:color w:val="000000"/>
          <w:sz w:val="20"/>
          <w:szCs w:val="20"/>
          <w:lang w:val="es-AR"/>
        </w:rPr>
        <w:t xml:space="preserve"> con la identificación del supuesto delito que se investiga y la individualización de la persona o personas vinculadas ese proceso.</w:t>
      </w:r>
      <w:r w:rsidR="00D7521F">
        <w:rPr>
          <w:rFonts w:ascii="Cambria" w:hAnsi="Cambria"/>
          <w:color w:val="000000"/>
          <w:sz w:val="20"/>
          <w:szCs w:val="20"/>
          <w:lang w:val="es-AR"/>
        </w:rPr>
        <w:t xml:space="preserve"> </w:t>
      </w:r>
      <w:r w:rsidR="000E0535">
        <w:rPr>
          <w:rFonts w:ascii="Cambria" w:hAnsi="Cambria"/>
          <w:color w:val="000000"/>
          <w:sz w:val="20"/>
          <w:szCs w:val="20"/>
          <w:lang w:val="es-AR"/>
        </w:rPr>
        <w:t>La información presentada no permite identificar otros elementos de presunto perjuicio en este sentido</w:t>
      </w:r>
      <w:r w:rsidR="00D7521F">
        <w:rPr>
          <w:rFonts w:ascii="Cambria" w:hAnsi="Cambria"/>
          <w:color w:val="000000"/>
          <w:sz w:val="20"/>
          <w:szCs w:val="20"/>
          <w:lang w:val="es-AR"/>
        </w:rPr>
        <w:t>.</w:t>
      </w:r>
    </w:p>
    <w:p w:rsidR="000E0535" w:rsidRPr="00FA7AD5" w:rsidRDefault="005E0A3E" w:rsidP="000E0535">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000000"/>
          <w:sz w:val="20"/>
          <w:szCs w:val="20"/>
          <w:lang w:val="es-UY"/>
        </w:rPr>
      </w:pPr>
      <w:r w:rsidRPr="00FA7AD5">
        <w:rPr>
          <w:rFonts w:ascii="Cambria" w:hAnsi="Cambria"/>
          <w:color w:val="000000"/>
          <w:sz w:val="20"/>
          <w:szCs w:val="20"/>
          <w:lang w:val="es-UY"/>
        </w:rPr>
        <w:t xml:space="preserve">En términos generales, </w:t>
      </w:r>
      <w:r w:rsidR="009E2B5A" w:rsidRPr="00FA7AD5">
        <w:rPr>
          <w:rFonts w:ascii="Cambria" w:hAnsi="Cambria"/>
          <w:color w:val="000000"/>
          <w:sz w:val="20"/>
          <w:szCs w:val="20"/>
          <w:lang w:val="es-UY"/>
        </w:rPr>
        <w:t>la</w:t>
      </w:r>
      <w:r w:rsidRPr="00FA7AD5">
        <w:rPr>
          <w:rFonts w:ascii="Cambria" w:hAnsi="Cambria"/>
          <w:color w:val="000000"/>
          <w:sz w:val="20"/>
          <w:szCs w:val="20"/>
          <w:lang w:val="es-UY"/>
        </w:rPr>
        <w:t xml:space="preserve"> denegación </w:t>
      </w:r>
      <w:r w:rsidR="009E2B5A" w:rsidRPr="00FA7AD5">
        <w:rPr>
          <w:rFonts w:ascii="Cambria" w:hAnsi="Cambria"/>
          <w:color w:val="000000"/>
          <w:sz w:val="20"/>
          <w:szCs w:val="20"/>
          <w:lang w:val="es-UY"/>
        </w:rPr>
        <w:t>o al falta de acceso a la</w:t>
      </w:r>
      <w:r w:rsidR="000E0535" w:rsidRPr="00FA7AD5">
        <w:rPr>
          <w:rFonts w:ascii="Cambria" w:hAnsi="Cambria"/>
          <w:color w:val="000000"/>
          <w:sz w:val="20"/>
          <w:szCs w:val="20"/>
          <w:lang w:val="es-UY"/>
        </w:rPr>
        <w:t xml:space="preserve"> justicia bajo </w:t>
      </w:r>
      <w:r w:rsidR="009E2B5A" w:rsidRPr="00FA7AD5">
        <w:rPr>
          <w:rFonts w:ascii="Cambria" w:hAnsi="Cambria"/>
          <w:color w:val="000000"/>
          <w:sz w:val="20"/>
          <w:szCs w:val="20"/>
          <w:lang w:val="es-UY"/>
        </w:rPr>
        <w:t>los</w:t>
      </w:r>
      <w:r w:rsidR="000E0535" w:rsidRPr="00FA7AD5">
        <w:rPr>
          <w:rFonts w:ascii="Cambria" w:hAnsi="Cambria"/>
          <w:color w:val="000000"/>
          <w:sz w:val="20"/>
          <w:szCs w:val="20"/>
          <w:lang w:val="es-UY"/>
        </w:rPr>
        <w:t xml:space="preserve"> artículo</w:t>
      </w:r>
      <w:r w:rsidR="009E2B5A" w:rsidRPr="00FA7AD5">
        <w:rPr>
          <w:rFonts w:ascii="Cambria" w:hAnsi="Cambria"/>
          <w:color w:val="000000"/>
          <w:sz w:val="20"/>
          <w:szCs w:val="20"/>
          <w:lang w:val="es-UY"/>
        </w:rPr>
        <w:t>s</w:t>
      </w:r>
      <w:r w:rsidR="000E0535" w:rsidRPr="00FA7AD5">
        <w:rPr>
          <w:rFonts w:ascii="Cambria" w:hAnsi="Cambria"/>
          <w:color w:val="000000"/>
          <w:sz w:val="20"/>
          <w:szCs w:val="20"/>
          <w:lang w:val="es-UY"/>
        </w:rPr>
        <w:t xml:space="preserve"> </w:t>
      </w:r>
      <w:r w:rsidRPr="00FA7AD5">
        <w:rPr>
          <w:rFonts w:ascii="Cambria" w:hAnsi="Cambria"/>
          <w:color w:val="000000"/>
          <w:sz w:val="20"/>
          <w:szCs w:val="20"/>
          <w:lang w:val="es-UY"/>
        </w:rPr>
        <w:t>8 o 25</w:t>
      </w:r>
      <w:r w:rsidR="000E0535" w:rsidRPr="00FA7AD5">
        <w:rPr>
          <w:rFonts w:ascii="Cambria" w:hAnsi="Cambria"/>
          <w:color w:val="000000"/>
          <w:sz w:val="20"/>
          <w:szCs w:val="20"/>
          <w:lang w:val="es-UY"/>
        </w:rPr>
        <w:t xml:space="preserve"> de la Convención Americana</w:t>
      </w:r>
      <w:r w:rsidR="009E2B5A" w:rsidRPr="00FA7AD5">
        <w:rPr>
          <w:rFonts w:ascii="Cambria" w:hAnsi="Cambria"/>
          <w:color w:val="000000"/>
          <w:sz w:val="20"/>
          <w:szCs w:val="20"/>
          <w:lang w:val="es-UY"/>
        </w:rPr>
        <w:t xml:space="preserve"> puede dar lugar</w:t>
      </w:r>
      <w:r w:rsidR="000E0535" w:rsidRPr="00FA7AD5">
        <w:rPr>
          <w:rFonts w:ascii="Cambria" w:hAnsi="Cambria"/>
          <w:color w:val="000000"/>
          <w:sz w:val="20"/>
          <w:szCs w:val="20"/>
          <w:lang w:val="es-UY"/>
        </w:rPr>
        <w:t xml:space="preserve">, como cualquier violación a los derechos humanos, al derecho a una indemnización. El derecho a una indemnización por error judicial previsto en el artículo 10 de la Convención Americana es un concepto específico y autónomo. </w:t>
      </w:r>
      <w:r w:rsidRPr="00FA7AD5">
        <w:rPr>
          <w:rFonts w:ascii="Cambria" w:hAnsi="Cambria"/>
          <w:color w:val="000000"/>
          <w:sz w:val="20"/>
          <w:szCs w:val="20"/>
          <w:lang w:val="es-UY"/>
        </w:rPr>
        <w:t>Esta norma dispone que</w:t>
      </w:r>
      <w:r w:rsidR="000E0535" w:rsidRPr="00FA7AD5">
        <w:rPr>
          <w:rFonts w:ascii="Cambria" w:hAnsi="Cambria"/>
          <w:color w:val="000000"/>
          <w:sz w:val="20"/>
          <w:szCs w:val="20"/>
          <w:lang w:val="es-UY"/>
        </w:rPr>
        <w:t>: “</w:t>
      </w:r>
      <w:r w:rsidRPr="00FA7AD5">
        <w:rPr>
          <w:rFonts w:ascii="Cambria" w:hAnsi="Cambria"/>
          <w:color w:val="000000"/>
          <w:sz w:val="20"/>
          <w:szCs w:val="20"/>
          <w:lang w:val="es-ES"/>
        </w:rPr>
        <w:t>[t]</w:t>
      </w:r>
      <w:r w:rsidR="000E0535" w:rsidRPr="00FA7AD5">
        <w:rPr>
          <w:rFonts w:ascii="Cambria" w:hAnsi="Cambria"/>
          <w:color w:val="000000"/>
          <w:sz w:val="20"/>
          <w:szCs w:val="20"/>
          <w:lang w:val="es-UY"/>
        </w:rPr>
        <w:t xml:space="preserve">oda persona tiene derecho a ser indemnizada conforme a la ley en caso de haber sido condenada en sentencia firme por error judicial”.  En principio, tomando en cuenta la referencia a una “sentencia firme”, se refiere a una situación en la que </w:t>
      </w:r>
      <w:r w:rsidR="000E0535" w:rsidRPr="00FA7AD5">
        <w:rPr>
          <w:rFonts w:ascii="Cambria" w:hAnsi="Cambria"/>
          <w:sz w:val="20"/>
          <w:szCs w:val="20"/>
          <w:lang w:val="es-UY"/>
        </w:rPr>
        <w:t xml:space="preserve">circunstancias sobrevinientes </w:t>
      </w:r>
      <w:r w:rsidR="000E0535" w:rsidRPr="00FA7AD5">
        <w:rPr>
          <w:rFonts w:ascii="Cambria" w:hAnsi="Cambria"/>
          <w:color w:val="000000"/>
          <w:sz w:val="20"/>
          <w:szCs w:val="20"/>
          <w:lang w:val="es-UY"/>
        </w:rPr>
        <w:t>a una sentencia condenatoria firme hayan permitido establecer que tal sentencia se dio como resultado de error judicial. El concepto se ve reflejado en la formulación del artículo 14(6) del Pacto Internacional de Derechos Civiles y Políticos que establece, aún con ciertas particularidades, “</w:t>
      </w:r>
      <w:r w:rsidR="00BC038A" w:rsidRPr="00FA7AD5">
        <w:rPr>
          <w:rFonts w:ascii="Cambria" w:hAnsi="Cambria"/>
          <w:color w:val="000000"/>
          <w:sz w:val="20"/>
          <w:szCs w:val="20"/>
          <w:lang w:val="es-ES"/>
        </w:rPr>
        <w:t>[c]</w:t>
      </w:r>
      <w:r w:rsidR="000E0535" w:rsidRPr="00FA7AD5">
        <w:rPr>
          <w:rFonts w:ascii="Cambria" w:hAnsi="Cambria"/>
          <w:color w:val="000000"/>
          <w:sz w:val="20"/>
          <w:szCs w:val="20"/>
          <w:lang w:val="es-UY"/>
        </w:rPr>
        <w:t>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indemnizado…”.  La presente petición se refiere a una condena emitida en primera instancia, confirmada en segunda instancia, seguida por un recurso de casación que dio como resultado la absolución</w:t>
      </w:r>
      <w:r w:rsidR="00BC038A" w:rsidRPr="00FA7AD5">
        <w:rPr>
          <w:rFonts w:ascii="Cambria" w:hAnsi="Cambria"/>
          <w:color w:val="000000"/>
          <w:sz w:val="20"/>
          <w:szCs w:val="20"/>
          <w:lang w:val="es-UY"/>
        </w:rPr>
        <w:t xml:space="preserve"> del peticionario</w:t>
      </w:r>
      <w:r w:rsidR="000E0535" w:rsidRPr="00FA7AD5">
        <w:rPr>
          <w:rFonts w:ascii="Cambria" w:hAnsi="Cambria"/>
          <w:color w:val="000000"/>
          <w:sz w:val="20"/>
          <w:szCs w:val="20"/>
          <w:lang w:val="es-UY"/>
        </w:rPr>
        <w:t>. En este sentido, según los elementos presentados por las partes, la revisión del proceso se basó en una plataforma fáctica y probatoria consistente entre las diferentes instancias</w:t>
      </w:r>
      <w:r w:rsidR="00E35796" w:rsidRPr="00FA7AD5">
        <w:rPr>
          <w:rFonts w:ascii="Cambria" w:hAnsi="Cambria"/>
          <w:color w:val="000000"/>
          <w:sz w:val="20"/>
          <w:szCs w:val="20"/>
          <w:lang w:val="es-UY"/>
        </w:rPr>
        <w:t>,</w:t>
      </w:r>
      <w:r w:rsidR="000E0535" w:rsidRPr="00FA7AD5">
        <w:rPr>
          <w:rFonts w:ascii="Cambria" w:hAnsi="Cambria"/>
          <w:color w:val="000000"/>
          <w:sz w:val="20"/>
          <w:szCs w:val="20"/>
          <w:lang w:val="es-UY"/>
        </w:rPr>
        <w:t xml:space="preserve"> </w:t>
      </w:r>
      <w:r w:rsidR="00E35796" w:rsidRPr="00FA7AD5">
        <w:rPr>
          <w:rFonts w:ascii="Cambria" w:hAnsi="Cambria"/>
          <w:color w:val="000000"/>
          <w:sz w:val="20"/>
          <w:szCs w:val="20"/>
          <w:lang w:val="es-UY"/>
        </w:rPr>
        <w:t>además</w:t>
      </w:r>
      <w:r w:rsidR="000E0535" w:rsidRPr="00FA7AD5">
        <w:rPr>
          <w:rFonts w:ascii="Cambria" w:hAnsi="Cambria"/>
          <w:color w:val="000000"/>
          <w:sz w:val="20"/>
          <w:szCs w:val="20"/>
          <w:lang w:val="es-UY"/>
        </w:rPr>
        <w:t xml:space="preserve"> el peticionario no ha presentado elementos que se encuadran en el concepto de error judicial.  </w:t>
      </w:r>
    </w:p>
    <w:p w:rsidR="003E60E5" w:rsidRPr="008E6655" w:rsidRDefault="008E6655" w:rsidP="008E6655">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000000"/>
          <w:sz w:val="20"/>
          <w:szCs w:val="20"/>
          <w:lang w:val="es-UY"/>
        </w:rPr>
      </w:pPr>
      <w:r w:rsidRPr="00D413EF">
        <w:rPr>
          <w:rFonts w:ascii="Cambria" w:hAnsi="Cambria"/>
          <w:color w:val="000000"/>
          <w:sz w:val="20"/>
          <w:szCs w:val="20"/>
          <w:lang w:val="es-UY"/>
        </w:rPr>
        <w:t xml:space="preserve">En </w:t>
      </w:r>
      <w:r>
        <w:rPr>
          <w:rFonts w:ascii="Cambria" w:hAnsi="Cambria"/>
          <w:color w:val="000000"/>
          <w:sz w:val="20"/>
          <w:szCs w:val="20"/>
          <w:lang w:val="es-UY"/>
        </w:rPr>
        <w:t>atención a estas consideraciones</w:t>
      </w:r>
      <w:r w:rsidRPr="00D413EF">
        <w:rPr>
          <w:rFonts w:ascii="Cambria" w:hAnsi="Cambria"/>
          <w:color w:val="000000"/>
          <w:sz w:val="20"/>
          <w:szCs w:val="20"/>
          <w:lang w:val="es-UY"/>
        </w:rPr>
        <w:t xml:space="preserve">, la CIDH concluye </w:t>
      </w:r>
      <w:r>
        <w:rPr>
          <w:rFonts w:ascii="Cambria" w:hAnsi="Cambria" w:cs="Arial"/>
          <w:color w:val="000000"/>
          <w:sz w:val="20"/>
          <w:szCs w:val="20"/>
          <w:lang w:val="es-PE"/>
        </w:rPr>
        <w:t>que en el presente caso</w:t>
      </w:r>
      <w:r w:rsidR="003E60E5" w:rsidRPr="00D413EF">
        <w:rPr>
          <w:rFonts w:ascii="Cambria" w:hAnsi="Cambria" w:cs="Arial"/>
          <w:color w:val="000000"/>
          <w:sz w:val="20"/>
          <w:szCs w:val="20"/>
          <w:lang w:val="es-PE"/>
        </w:rPr>
        <w:t xml:space="preserve"> los hechos no tienden a establecer una violación de los derechos garantizados por la Convención Americana u otro instrumento aplicable</w:t>
      </w:r>
      <w:r>
        <w:rPr>
          <w:rFonts w:ascii="Cambria" w:hAnsi="Cambria" w:cs="Arial"/>
          <w:color w:val="000000"/>
          <w:sz w:val="20"/>
          <w:szCs w:val="20"/>
          <w:lang w:val="es-PE"/>
        </w:rPr>
        <w:t xml:space="preserve"> por la Comisión Interamericana</w:t>
      </w:r>
      <w:r w:rsidR="000E0535">
        <w:rPr>
          <w:rFonts w:ascii="Cambria" w:hAnsi="Cambria" w:cs="Arial"/>
          <w:color w:val="000000"/>
          <w:sz w:val="20"/>
          <w:szCs w:val="20"/>
          <w:lang w:val="es-PE"/>
        </w:rPr>
        <w:t>;</w:t>
      </w:r>
      <w:r>
        <w:rPr>
          <w:rFonts w:ascii="Cambria" w:hAnsi="Cambria" w:cs="Arial"/>
          <w:color w:val="000000"/>
          <w:sz w:val="20"/>
          <w:szCs w:val="20"/>
          <w:lang w:val="es-PE"/>
        </w:rPr>
        <w:t xml:space="preserve"> por lo tanto, </w:t>
      </w:r>
      <w:r w:rsidR="003E60E5" w:rsidRPr="008E6655">
        <w:rPr>
          <w:rFonts w:ascii="Cambria" w:hAnsi="Cambria"/>
          <w:color w:val="000000"/>
          <w:sz w:val="20"/>
          <w:szCs w:val="20"/>
          <w:lang w:val="es-UY"/>
        </w:rPr>
        <w:t>la petición debe ser declarada inadmisible, de acuerdo con el artículo 47(b) de la Convención Americana</w:t>
      </w:r>
      <w:r>
        <w:rPr>
          <w:rFonts w:ascii="Cambria" w:hAnsi="Cambria"/>
          <w:color w:val="000000"/>
          <w:sz w:val="20"/>
          <w:szCs w:val="20"/>
          <w:lang w:val="es-UY"/>
        </w:rPr>
        <w:t>.</w:t>
      </w:r>
    </w:p>
    <w:p w:rsidR="002E2226" w:rsidRDefault="002E2226">
      <w:pPr>
        <w:pBdr>
          <w:top w:val="none" w:sz="0" w:space="0" w:color="auto"/>
          <w:left w:val="none" w:sz="0" w:space="0" w:color="auto"/>
          <w:bottom w:val="none" w:sz="0" w:space="0" w:color="auto"/>
          <w:right w:val="none" w:sz="0" w:space="0" w:color="auto"/>
          <w:bar w:val="none" w:sz="0" w:color="auto"/>
        </w:pBdr>
        <w:rPr>
          <w:rFonts w:ascii="Cambria" w:hAnsi="Cambria"/>
          <w:b/>
          <w:bCs/>
          <w:color w:val="000000"/>
          <w:sz w:val="20"/>
          <w:szCs w:val="20"/>
          <w:lang w:val="es-UY"/>
        </w:rPr>
      </w:pPr>
      <w:r>
        <w:rPr>
          <w:rFonts w:ascii="Cambria" w:hAnsi="Cambria"/>
          <w:b/>
          <w:bCs/>
          <w:color w:val="000000"/>
          <w:sz w:val="20"/>
          <w:szCs w:val="20"/>
          <w:lang w:val="es-UY"/>
        </w:rPr>
        <w:br w:type="page"/>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color w:val="000000"/>
          <w:sz w:val="20"/>
          <w:szCs w:val="20"/>
          <w:lang w:val="es-UY"/>
        </w:rPr>
      </w:pPr>
      <w:r w:rsidRPr="00D413EF">
        <w:rPr>
          <w:rFonts w:ascii="Cambria" w:hAnsi="Cambria"/>
          <w:b/>
          <w:bCs/>
          <w:color w:val="000000"/>
          <w:sz w:val="20"/>
          <w:szCs w:val="20"/>
          <w:lang w:val="es-UY"/>
        </w:rPr>
        <w:lastRenderedPageBreak/>
        <w:t>V.</w:t>
      </w:r>
      <w:r w:rsidRPr="00D413EF">
        <w:rPr>
          <w:rFonts w:ascii="Cambria" w:hAnsi="Cambria"/>
          <w:b/>
          <w:bCs/>
          <w:color w:val="000000"/>
          <w:sz w:val="20"/>
          <w:szCs w:val="20"/>
          <w:lang w:val="es-UY"/>
        </w:rPr>
        <w:tab/>
        <w:t>CONCLUSIONES</w:t>
      </w:r>
    </w:p>
    <w:p w:rsidR="003E60E5" w:rsidRPr="00D413EF" w:rsidRDefault="003E60E5" w:rsidP="00AC60FE">
      <w:pPr>
        <w:numPr>
          <w:ilvl w:val="0"/>
          <w:numId w:val="56"/>
        </w:numPr>
        <w:pBdr>
          <w:top w:val="none" w:sz="0" w:space="0" w:color="auto"/>
          <w:left w:val="none" w:sz="0" w:space="0" w:color="auto"/>
          <w:bottom w:val="none" w:sz="0" w:space="0" w:color="auto"/>
          <w:right w:val="none" w:sz="0" w:space="0" w:color="auto"/>
          <w:bar w:val="none" w:sz="0" w:color="auto"/>
        </w:pBdr>
        <w:jc w:val="both"/>
        <w:rPr>
          <w:rFonts w:ascii="Cambria" w:hAnsi="Cambria" w:cs="Arial"/>
          <w:color w:val="000000"/>
          <w:sz w:val="20"/>
          <w:szCs w:val="20"/>
          <w:lang w:val="es-AR"/>
        </w:rPr>
      </w:pPr>
      <w:r w:rsidRPr="00D413EF">
        <w:rPr>
          <w:rFonts w:ascii="Cambria" w:hAnsi="Cambria" w:cs="Arial"/>
          <w:color w:val="000000"/>
          <w:sz w:val="20"/>
          <w:szCs w:val="20"/>
          <w:lang w:val="es-PE"/>
        </w:rPr>
        <w:t>Con fundamento en los argumentos de hecho y de derecho antes expuestos, la Comisión considera que la petición es inadmisible de conformidad con el artículo 47 de la Convención Americana, y en consecuencia, </w:t>
      </w:r>
    </w:p>
    <w:p w:rsidR="003E60E5" w:rsidRPr="00D413EF" w:rsidRDefault="003E60E5" w:rsidP="00AC60FE">
      <w:pPr>
        <w:pBdr>
          <w:top w:val="none" w:sz="0" w:space="0" w:color="auto"/>
          <w:left w:val="none" w:sz="0" w:space="0" w:color="auto"/>
          <w:bottom w:val="none" w:sz="0" w:space="0" w:color="auto"/>
          <w:right w:val="none" w:sz="0" w:space="0" w:color="auto"/>
          <w:bar w:val="none" w:sz="0" w:color="auto"/>
        </w:pBdr>
        <w:jc w:val="both"/>
        <w:rPr>
          <w:rFonts w:ascii="Cambria" w:hAnsi="Cambria" w:cs="Arial"/>
          <w:color w:val="000000"/>
          <w:sz w:val="20"/>
          <w:szCs w:val="20"/>
          <w:lang w:val="es-AR"/>
        </w:rPr>
      </w:pP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color w:val="000000"/>
          <w:sz w:val="20"/>
          <w:szCs w:val="20"/>
          <w:lang w:val="es-ES"/>
        </w:rPr>
      </w:pPr>
      <w:r w:rsidRPr="00D413EF">
        <w:rPr>
          <w:rFonts w:ascii="Cambria" w:hAnsi="Cambria"/>
          <w:b/>
          <w:bCs/>
          <w:color w:val="000000"/>
          <w:sz w:val="20"/>
          <w:szCs w:val="20"/>
          <w:lang w:val="es-ES"/>
        </w:rPr>
        <w:t>LA COMISIÓN INTERAMERICANA DE DERECHOS HUMANOS</w:t>
      </w:r>
    </w:p>
    <w:p w:rsidR="003E60E5" w:rsidRPr="00D413EF" w:rsidRDefault="003E60E5" w:rsidP="009F0583">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color w:val="000000"/>
          <w:sz w:val="20"/>
          <w:szCs w:val="20"/>
          <w:lang w:val="es-UY"/>
        </w:rPr>
      </w:pPr>
      <w:r w:rsidRPr="00D413EF">
        <w:rPr>
          <w:rFonts w:ascii="Cambria" w:hAnsi="Cambria"/>
          <w:b/>
          <w:bCs/>
          <w:color w:val="000000"/>
          <w:sz w:val="20"/>
          <w:szCs w:val="20"/>
          <w:lang w:val="es-UY"/>
        </w:rPr>
        <w:t>DECIDE:</w:t>
      </w:r>
    </w:p>
    <w:p w:rsidR="003E60E5" w:rsidRPr="00D413EF" w:rsidRDefault="003D7CF1"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olor w:val="000000"/>
          <w:sz w:val="20"/>
          <w:szCs w:val="20"/>
          <w:lang w:val="es-UY"/>
        </w:rPr>
      </w:pPr>
      <w:r>
        <w:rPr>
          <w:rFonts w:ascii="Cambria" w:hAnsi="Cambria"/>
          <w:color w:val="000000"/>
          <w:sz w:val="20"/>
          <w:szCs w:val="20"/>
          <w:lang w:val="es-UY"/>
        </w:rPr>
        <w:t>1</w:t>
      </w:r>
      <w:r w:rsidR="003E60E5" w:rsidRPr="00D413EF">
        <w:rPr>
          <w:rFonts w:ascii="Cambria" w:hAnsi="Cambria"/>
          <w:color w:val="000000"/>
          <w:sz w:val="20"/>
          <w:szCs w:val="20"/>
          <w:lang w:val="es-UY"/>
        </w:rPr>
        <w:t>.</w:t>
      </w:r>
      <w:r w:rsidR="003E60E5" w:rsidRPr="00D413EF">
        <w:rPr>
          <w:rFonts w:ascii="Cambria" w:hAnsi="Cambria"/>
          <w:color w:val="000000"/>
          <w:sz w:val="20"/>
          <w:szCs w:val="20"/>
          <w:lang w:val="es-UY"/>
        </w:rPr>
        <w:tab/>
        <w:t>Declarar inadmisible la presente petición</w:t>
      </w:r>
      <w:r w:rsidR="009063A8">
        <w:rPr>
          <w:rFonts w:ascii="Cambria" w:hAnsi="Cambria"/>
          <w:color w:val="000000"/>
          <w:sz w:val="20"/>
          <w:szCs w:val="20"/>
          <w:lang w:val="es-UY"/>
        </w:rPr>
        <w:t>;</w:t>
      </w:r>
    </w:p>
    <w:p w:rsidR="003E60E5" w:rsidRPr="00D413EF" w:rsidRDefault="003D7CF1"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olor w:val="000000"/>
          <w:sz w:val="20"/>
          <w:szCs w:val="20"/>
          <w:lang w:val="es-UY"/>
        </w:rPr>
      </w:pPr>
      <w:r>
        <w:rPr>
          <w:rFonts w:ascii="Cambria" w:hAnsi="Cambria"/>
          <w:color w:val="000000"/>
          <w:sz w:val="20"/>
          <w:szCs w:val="20"/>
          <w:lang w:val="es-UY"/>
        </w:rPr>
        <w:t>2</w:t>
      </w:r>
      <w:r w:rsidR="003E60E5" w:rsidRPr="00D413EF">
        <w:rPr>
          <w:rFonts w:ascii="Cambria" w:hAnsi="Cambria"/>
          <w:color w:val="000000"/>
          <w:sz w:val="20"/>
          <w:szCs w:val="20"/>
          <w:lang w:val="es-UY"/>
        </w:rPr>
        <w:t>.</w:t>
      </w:r>
      <w:r w:rsidR="003E60E5" w:rsidRPr="00D413EF">
        <w:rPr>
          <w:rFonts w:ascii="Cambria" w:hAnsi="Cambria"/>
          <w:color w:val="000000"/>
          <w:sz w:val="20"/>
          <w:szCs w:val="20"/>
          <w:lang w:val="es-UY"/>
        </w:rPr>
        <w:tab/>
        <w:t>Notificar a las partes la presente decisión;</w:t>
      </w:r>
    </w:p>
    <w:p w:rsidR="002E2226" w:rsidRDefault="003D7CF1" w:rsidP="002E2226">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olor w:val="000000"/>
          <w:sz w:val="20"/>
          <w:szCs w:val="20"/>
          <w:lang w:val="es-UY"/>
        </w:rPr>
      </w:pPr>
      <w:r>
        <w:rPr>
          <w:rFonts w:ascii="Cambria" w:hAnsi="Cambria"/>
          <w:color w:val="000000"/>
          <w:sz w:val="20"/>
          <w:szCs w:val="20"/>
          <w:lang w:val="es-UY"/>
        </w:rPr>
        <w:t>3</w:t>
      </w:r>
      <w:r w:rsidR="003E60E5" w:rsidRPr="00D413EF">
        <w:rPr>
          <w:rFonts w:ascii="Cambria" w:hAnsi="Cambria"/>
          <w:color w:val="000000"/>
          <w:sz w:val="20"/>
          <w:szCs w:val="20"/>
          <w:lang w:val="es-UY"/>
        </w:rPr>
        <w:t>.</w:t>
      </w:r>
      <w:r w:rsidR="003E60E5" w:rsidRPr="00D413EF">
        <w:rPr>
          <w:rFonts w:ascii="Cambria" w:hAnsi="Cambria"/>
          <w:color w:val="000000"/>
          <w:sz w:val="20"/>
          <w:szCs w:val="20"/>
          <w:lang w:val="es-UY"/>
        </w:rPr>
        <w:tab/>
        <w:t>Publicar esta decisión e incluirla en su Informe Anual a la Asamblea General de la Organización de los Estados Americanos.</w:t>
      </w:r>
    </w:p>
    <w:p w:rsidR="002E2226" w:rsidRPr="00804A84" w:rsidRDefault="002E2226" w:rsidP="002E2226">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sidR="00217291">
        <w:rPr>
          <w:rFonts w:cs="Arial"/>
          <w:noProof/>
          <w:spacing w:val="-2"/>
          <w:lang w:val="es-CL"/>
        </w:rPr>
        <w:t>28</w:t>
      </w:r>
      <w:r w:rsidRPr="00804A84">
        <w:rPr>
          <w:rFonts w:ascii="Cambria" w:hAnsi="Cambria" w:cs="Arial"/>
          <w:noProof/>
          <w:spacing w:val="-2"/>
          <w:sz w:val="20"/>
          <w:szCs w:val="20"/>
          <w:lang w:val="es-CL"/>
        </w:rPr>
        <w:t xml:space="preserve"> días del mes de </w:t>
      </w:r>
      <w:r>
        <w:rPr>
          <w:rFonts w:cs="Arial"/>
          <w:noProof/>
          <w:spacing w:val="-2"/>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Tracy Robinson</w:t>
      </w:r>
      <w:r>
        <w:rPr>
          <w:rFonts w:cs="Arial"/>
          <w:noProof/>
          <w:spacing w:val="-2"/>
          <w:lang w:val="es-CL"/>
        </w:rPr>
        <w:t>,</w:t>
      </w:r>
      <w:r>
        <w:rPr>
          <w:rFonts w:ascii="Cambria" w:hAnsi="Cambria" w:cs="Arial"/>
          <w:noProof/>
          <w:spacing w:val="-2"/>
          <w:sz w:val="20"/>
          <w:szCs w:val="20"/>
          <w:lang w:val="es-CL"/>
        </w:rPr>
        <w:t xml:space="preserve"> </w:t>
      </w:r>
      <w:r w:rsidR="00217291">
        <w:rPr>
          <w:rFonts w:ascii="Cambria" w:hAnsi="Cambria" w:cs="Arial"/>
          <w:noProof/>
          <w:spacing w:val="-2"/>
          <w:sz w:val="20"/>
          <w:szCs w:val="20"/>
          <w:lang w:val="es-CL"/>
        </w:rPr>
        <w:t xml:space="preserve">y Paulo Vannuchi, </w:t>
      </w:r>
      <w:r w:rsidRPr="00804A84">
        <w:rPr>
          <w:rFonts w:ascii="Cambria" w:hAnsi="Cambria" w:cs="Arial"/>
          <w:noProof/>
          <w:spacing w:val="-2"/>
          <w:sz w:val="20"/>
          <w:szCs w:val="20"/>
          <w:lang w:val="es-CL"/>
        </w:rPr>
        <w:t>Miembros de la Comisión.</w:t>
      </w:r>
    </w:p>
    <w:sectPr w:rsidR="002E2226" w:rsidRPr="00804A84"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48" w:rsidRDefault="00C8454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84548" w:rsidRDefault="00C8454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5" w:rsidRDefault="006B6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E5" w:rsidRPr="00934A2C" w:rsidRDefault="003E60E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B6865">
      <w:rPr>
        <w:noProof/>
        <w:sz w:val="16"/>
        <w:szCs w:val="22"/>
      </w:rPr>
      <w:t>6</w:t>
    </w:r>
    <w:r w:rsidRPr="00934A2C">
      <w:rPr>
        <w:sz w:val="16"/>
        <w:szCs w:val="22"/>
      </w:rPr>
      <w:fldChar w:fldCharType="end"/>
    </w:r>
  </w:p>
  <w:p w:rsidR="003E60E5" w:rsidRDefault="003E60E5">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E5" w:rsidRPr="00934A2C" w:rsidRDefault="003E60E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3E60E5" w:rsidRDefault="003E60E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48" w:rsidRPr="000F35ED" w:rsidRDefault="00C84548">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C84548" w:rsidRPr="000F35ED" w:rsidRDefault="00C84548"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C84548" w:rsidRPr="000F35ED" w:rsidRDefault="00C84548"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C84548" w:rsidRPr="000F35ED" w:rsidRDefault="00C84548"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3E60E5" w:rsidRPr="009407B8" w:rsidRDefault="003E60E5" w:rsidP="003D7CF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ES"/>
        </w:rPr>
      </w:pPr>
      <w:r w:rsidRPr="00481A6C">
        <w:rPr>
          <w:rStyle w:val="FootnoteReference"/>
          <w:rFonts w:ascii="Cambria" w:hAnsi="Cambria"/>
          <w:sz w:val="16"/>
          <w:szCs w:val="16"/>
        </w:rPr>
        <w:footnoteRef/>
      </w:r>
      <w:r w:rsidRPr="00481A6C">
        <w:rPr>
          <w:rFonts w:ascii="Cambria" w:hAnsi="Cambria"/>
          <w:sz w:val="16"/>
          <w:szCs w:val="16"/>
          <w:lang w:val="es-CL"/>
        </w:rPr>
        <w:t xml:space="preserve"> La regulación de la acción indemnizatoria por condena errada en Chile, se encuentra mencionada en el texto constitucional de la siguiente forma “</w:t>
      </w:r>
      <w:r w:rsidRPr="00481A6C">
        <w:rPr>
          <w:rFonts w:ascii="Cambria" w:hAnsi="Cambria"/>
          <w:sz w:val="16"/>
          <w:szCs w:val="16"/>
          <w:lang w:val="es-ES"/>
        </w:rPr>
        <w:t>Una vez dictado sobreseimiento definitivo o sentencia absolutoria, el que hubiere sido sometido a proceso o condenado en cualquier instancia por resolución que la Corte Suprema declare injustificadamente errónea o arbitraria, tendrá derecho a ser indemnizado por el Estado de los perjuicios patrimoniales y morales que haya sufrido. La indemnización será determinada judicialmente en procedimiento breve y sumario y en él la prueba se apreciará en conciencia;”. Mientras que toda la regulación de los aspectos procedimentales de la tramitación de la acción se encuentran regulados en un acuerdo adoptado por la propia Corte Suprema, aprobado por la mayoría de sus miembros.</w:t>
      </w:r>
    </w:p>
  </w:footnote>
  <w:footnote w:id="3">
    <w:p w:rsidR="003E60E5" w:rsidRPr="009407B8" w:rsidRDefault="003E60E5" w:rsidP="003D7CF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ES"/>
        </w:rPr>
      </w:pPr>
      <w:r w:rsidRPr="00481A6C">
        <w:rPr>
          <w:rStyle w:val="FootnoteReference"/>
          <w:rFonts w:ascii="Cambria" w:hAnsi="Cambria"/>
          <w:sz w:val="16"/>
          <w:szCs w:val="16"/>
        </w:rPr>
        <w:footnoteRef/>
      </w:r>
      <w:r w:rsidRPr="00481A6C">
        <w:rPr>
          <w:rFonts w:ascii="Cambria" w:hAnsi="Cambria"/>
          <w:sz w:val="16"/>
          <w:szCs w:val="16"/>
          <w:lang w:val="es-CL"/>
        </w:rPr>
        <w:t xml:space="preserve"> </w:t>
      </w:r>
      <w:r w:rsidR="00C5374F">
        <w:rPr>
          <w:rFonts w:ascii="Cambria" w:hAnsi="Cambria"/>
          <w:sz w:val="16"/>
          <w:szCs w:val="16"/>
          <w:lang w:val="es-CL"/>
        </w:rPr>
        <w:t>El peticionario cita el</w:t>
      </w:r>
      <w:r w:rsidRPr="00481A6C">
        <w:rPr>
          <w:rFonts w:ascii="Cambria" w:hAnsi="Cambria"/>
          <w:sz w:val="16"/>
          <w:szCs w:val="16"/>
          <w:lang w:val="es-CL"/>
        </w:rPr>
        <w:t xml:space="preserve"> Informe No. 32/02, solución amistosa, Petición 11.715, Juan Manuel Contreras San Martín, Víctor Eduardo Osses Conejeros</w:t>
      </w:r>
      <w:r w:rsidR="00C5374F">
        <w:rPr>
          <w:rFonts w:ascii="Cambria" w:hAnsi="Cambria"/>
          <w:sz w:val="16"/>
          <w:szCs w:val="16"/>
          <w:lang w:val="es-CL"/>
        </w:rPr>
        <w:t xml:space="preserve"> y José Alfredo Soto Ruz. Chile, adoptado por la Comisión Interamericana el</w:t>
      </w:r>
      <w:r w:rsidRPr="00481A6C">
        <w:rPr>
          <w:rFonts w:ascii="Cambria" w:hAnsi="Cambria"/>
          <w:sz w:val="16"/>
          <w:szCs w:val="16"/>
          <w:lang w:val="es-CL"/>
        </w:rPr>
        <w:t xml:space="preserve"> 12 de marzo de 2015, p</w:t>
      </w:r>
      <w:r w:rsidRPr="00481A6C">
        <w:rPr>
          <w:rFonts w:ascii="Cambria" w:hAnsi="Cambria" w:cs="Cambria"/>
          <w:sz w:val="16"/>
          <w:szCs w:val="16"/>
          <w:lang w:val="es-CL"/>
        </w:rPr>
        <w:t>árrafo 13</w:t>
      </w:r>
      <w:r w:rsidRPr="00481A6C">
        <w:rPr>
          <w:rFonts w:ascii="Cambria" w:hAnsi="Cambria"/>
          <w:sz w:val="16"/>
          <w:szCs w:val="16"/>
          <w:lang w:val="es-C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E5" w:rsidRDefault="003E60E5"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3E60E5" w:rsidRDefault="003E6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E5" w:rsidRDefault="004D5ACA" w:rsidP="00A50FCF">
    <w:pPr>
      <w:pStyle w:val="Header"/>
      <w:tabs>
        <w:tab w:val="clear" w:pos="4320"/>
        <w:tab w:val="clear" w:pos="8640"/>
      </w:tabs>
      <w:jc w:val="center"/>
      <w:rPr>
        <w:sz w:val="22"/>
        <w:szCs w:val="22"/>
      </w:rPr>
    </w:pPr>
    <w:r>
      <w:rPr>
        <w:noProof/>
        <w:sz w:val="22"/>
        <w:szCs w:val="22"/>
      </w:rPr>
      <w:drawing>
        <wp:inline distT="0" distB="0" distL="0" distR="0">
          <wp:extent cx="1953260" cy="104140"/>
          <wp:effectExtent l="0" t="0" r="889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104140"/>
                  </a:xfrm>
                  <a:prstGeom prst="rect">
                    <a:avLst/>
                  </a:prstGeom>
                  <a:noFill/>
                  <a:ln>
                    <a:noFill/>
                  </a:ln>
                </pic:spPr>
              </pic:pic>
            </a:graphicData>
          </a:graphic>
        </wp:inline>
      </w:drawing>
    </w:r>
  </w:p>
  <w:p w:rsidR="003E60E5" w:rsidRPr="00EC7D62" w:rsidRDefault="00C84548"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5" w:rsidRDefault="006B6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744C1D84"/>
    <w:lvl w:ilvl="0" w:tplc="D6BC8EDA">
      <w:start w:val="4"/>
      <w:numFmt w:val="decimal"/>
      <w:lvlText w:val="%1."/>
      <w:lvlJc w:val="left"/>
      <w:pPr>
        <w:tabs>
          <w:tab w:val="num" w:pos="720"/>
        </w:tabs>
        <w:ind w:firstLine="720"/>
      </w:pPr>
      <w:rPr>
        <w:rFonts w:cs="Times New Roman" w:hint="default"/>
        <w:b w:val="0"/>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9F2EB8"/>
    <w:multiLevelType w:val="hybridMultilevel"/>
    <w:tmpl w:val="7EF60EB0"/>
    <w:lvl w:ilvl="0" w:tplc="0409000F">
      <w:start w:val="1"/>
      <w:numFmt w:val="decimal"/>
      <w:lvlText w:val="%1."/>
      <w:lvlJc w:val="left"/>
      <w:pPr>
        <w:ind w:left="1440" w:hanging="360"/>
      </w:pPr>
      <w:rPr>
        <w:rFonts w:cs="Times New Roman"/>
      </w:rPr>
    </w:lvl>
    <w:lvl w:ilvl="1" w:tplc="8290762C">
      <w:start w:val="1"/>
      <w:numFmt w:val="upperLetter"/>
      <w:lvlText w:val="%2."/>
      <w:lvlJc w:val="left"/>
      <w:pPr>
        <w:ind w:left="2520" w:hanging="720"/>
      </w:pPr>
      <w:rPr>
        <w:rFonts w:cs="Times New Roman" w:hint="default"/>
      </w:rPr>
    </w:lvl>
    <w:lvl w:ilvl="2" w:tplc="331033BA">
      <w:start w:val="1"/>
      <w:numFmt w:val="lowerLetter"/>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6ED81DD2"/>
    <w:multiLevelType w:val="hybridMultilevel"/>
    <w:tmpl w:val="17209BEA"/>
    <w:lvl w:ilvl="0" w:tplc="0409000F">
      <w:start w:val="1"/>
      <w:numFmt w:val="decimal"/>
      <w:lvlText w:val="%1."/>
      <w:lvlJc w:val="left"/>
      <w:pPr>
        <w:ind w:left="477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7"/>
  </w:num>
  <w:num w:numId="3">
    <w:abstractNumId w:val="54"/>
  </w:num>
  <w:num w:numId="4">
    <w:abstractNumId w:val="23"/>
  </w:num>
  <w:num w:numId="5">
    <w:abstractNumId w:val="47"/>
  </w:num>
  <w:num w:numId="6">
    <w:abstractNumId w:val="28"/>
  </w:num>
  <w:num w:numId="7">
    <w:abstractNumId w:val="8"/>
  </w:num>
  <w:num w:numId="8">
    <w:abstractNumId w:val="19"/>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1"/>
  </w:num>
  <w:num w:numId="54">
    <w:abstractNumId w:val="44"/>
  </w:num>
  <w:num w:numId="55">
    <w:abstractNumId w:val="46"/>
  </w:num>
  <w:num w:numId="56">
    <w:abstractNumId w:val="5"/>
  </w:num>
  <w:num w:numId="57">
    <w:abstractNumId w:val="12"/>
  </w:num>
  <w:num w:numId="58">
    <w:abstractNumId w:val="50"/>
  </w:num>
  <w:num w:numId="59">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117"/>
    <w:rsid w:val="0001788C"/>
    <w:rsid w:val="0002281B"/>
    <w:rsid w:val="00024654"/>
    <w:rsid w:val="00026632"/>
    <w:rsid w:val="00040C3A"/>
    <w:rsid w:val="00056B21"/>
    <w:rsid w:val="000572C9"/>
    <w:rsid w:val="00057DD7"/>
    <w:rsid w:val="0006513D"/>
    <w:rsid w:val="000716C5"/>
    <w:rsid w:val="00075E23"/>
    <w:rsid w:val="000836A4"/>
    <w:rsid w:val="00083F4A"/>
    <w:rsid w:val="0009344A"/>
    <w:rsid w:val="00096795"/>
    <w:rsid w:val="000A392E"/>
    <w:rsid w:val="000A575F"/>
    <w:rsid w:val="000B68FE"/>
    <w:rsid w:val="000D10DB"/>
    <w:rsid w:val="000E0535"/>
    <w:rsid w:val="000E5EB5"/>
    <w:rsid w:val="000F35ED"/>
    <w:rsid w:val="00104179"/>
    <w:rsid w:val="00107131"/>
    <w:rsid w:val="0010736F"/>
    <w:rsid w:val="00112D7A"/>
    <w:rsid w:val="00113F73"/>
    <w:rsid w:val="00121CC2"/>
    <w:rsid w:val="00133EE5"/>
    <w:rsid w:val="00163EEE"/>
    <w:rsid w:val="00167A34"/>
    <w:rsid w:val="00175589"/>
    <w:rsid w:val="00180AD4"/>
    <w:rsid w:val="001824BC"/>
    <w:rsid w:val="00182D70"/>
    <w:rsid w:val="001A701C"/>
    <w:rsid w:val="001A7870"/>
    <w:rsid w:val="001B71AF"/>
    <w:rsid w:val="001C139B"/>
    <w:rsid w:val="001C1B41"/>
    <w:rsid w:val="001D65EF"/>
    <w:rsid w:val="001E0F06"/>
    <w:rsid w:val="001E2E81"/>
    <w:rsid w:val="001F79FB"/>
    <w:rsid w:val="00211723"/>
    <w:rsid w:val="00217291"/>
    <w:rsid w:val="00221FC9"/>
    <w:rsid w:val="002250A3"/>
    <w:rsid w:val="00230E0B"/>
    <w:rsid w:val="00231DB5"/>
    <w:rsid w:val="00235217"/>
    <w:rsid w:val="002374F5"/>
    <w:rsid w:val="00246705"/>
    <w:rsid w:val="00246D1F"/>
    <w:rsid w:val="00247403"/>
    <w:rsid w:val="00247542"/>
    <w:rsid w:val="00261747"/>
    <w:rsid w:val="0026525D"/>
    <w:rsid w:val="00266B61"/>
    <w:rsid w:val="0026712A"/>
    <w:rsid w:val="002704DB"/>
    <w:rsid w:val="00276308"/>
    <w:rsid w:val="002A0AAE"/>
    <w:rsid w:val="002A5820"/>
    <w:rsid w:val="002C6394"/>
    <w:rsid w:val="002D2B26"/>
    <w:rsid w:val="002D7EA2"/>
    <w:rsid w:val="002E0A91"/>
    <w:rsid w:val="002E187C"/>
    <w:rsid w:val="002E2226"/>
    <w:rsid w:val="002E6ECF"/>
    <w:rsid w:val="00302733"/>
    <w:rsid w:val="00302D64"/>
    <w:rsid w:val="00303272"/>
    <w:rsid w:val="003122F9"/>
    <w:rsid w:val="00314078"/>
    <w:rsid w:val="0031535D"/>
    <w:rsid w:val="003170CA"/>
    <w:rsid w:val="00317A53"/>
    <w:rsid w:val="00321B25"/>
    <w:rsid w:val="0033169F"/>
    <w:rsid w:val="0033467B"/>
    <w:rsid w:val="00346C95"/>
    <w:rsid w:val="0035314A"/>
    <w:rsid w:val="00356185"/>
    <w:rsid w:val="00360380"/>
    <w:rsid w:val="00365D51"/>
    <w:rsid w:val="003664B3"/>
    <w:rsid w:val="0037519E"/>
    <w:rsid w:val="00375E4C"/>
    <w:rsid w:val="00384172"/>
    <w:rsid w:val="00386CF0"/>
    <w:rsid w:val="003A2C14"/>
    <w:rsid w:val="003B140D"/>
    <w:rsid w:val="003B2714"/>
    <w:rsid w:val="003B75C0"/>
    <w:rsid w:val="003C676B"/>
    <w:rsid w:val="003D2966"/>
    <w:rsid w:val="003D3178"/>
    <w:rsid w:val="003D3BC2"/>
    <w:rsid w:val="003D7CF1"/>
    <w:rsid w:val="003E0982"/>
    <w:rsid w:val="003E60E5"/>
    <w:rsid w:val="003E6CA1"/>
    <w:rsid w:val="003E7D06"/>
    <w:rsid w:val="003F423E"/>
    <w:rsid w:val="00405933"/>
    <w:rsid w:val="004165C2"/>
    <w:rsid w:val="004201A3"/>
    <w:rsid w:val="0042332D"/>
    <w:rsid w:val="00440D2C"/>
    <w:rsid w:val="00441DBA"/>
    <w:rsid w:val="00441ECB"/>
    <w:rsid w:val="00460C0D"/>
    <w:rsid w:val="00467B7E"/>
    <w:rsid w:val="004700C1"/>
    <w:rsid w:val="00477592"/>
    <w:rsid w:val="00481A6C"/>
    <w:rsid w:val="00485810"/>
    <w:rsid w:val="00486F1C"/>
    <w:rsid w:val="00487194"/>
    <w:rsid w:val="0049157D"/>
    <w:rsid w:val="004920C6"/>
    <w:rsid w:val="0049419D"/>
    <w:rsid w:val="0049511B"/>
    <w:rsid w:val="00495618"/>
    <w:rsid w:val="004B231A"/>
    <w:rsid w:val="004B2622"/>
    <w:rsid w:val="004B41F9"/>
    <w:rsid w:val="004B7A65"/>
    <w:rsid w:val="004C20D2"/>
    <w:rsid w:val="004C4B62"/>
    <w:rsid w:val="004C54C9"/>
    <w:rsid w:val="004D077C"/>
    <w:rsid w:val="004D37EA"/>
    <w:rsid w:val="004D5ACA"/>
    <w:rsid w:val="004D6025"/>
    <w:rsid w:val="004E1D9B"/>
    <w:rsid w:val="004E2649"/>
    <w:rsid w:val="004E688A"/>
    <w:rsid w:val="004F040F"/>
    <w:rsid w:val="0050135B"/>
    <w:rsid w:val="00501399"/>
    <w:rsid w:val="0050633D"/>
    <w:rsid w:val="00507BC4"/>
    <w:rsid w:val="005128E4"/>
    <w:rsid w:val="005133DB"/>
    <w:rsid w:val="00525560"/>
    <w:rsid w:val="005316A2"/>
    <w:rsid w:val="00531A90"/>
    <w:rsid w:val="00541CA3"/>
    <w:rsid w:val="00544C49"/>
    <w:rsid w:val="005516A1"/>
    <w:rsid w:val="00551727"/>
    <w:rsid w:val="00562226"/>
    <w:rsid w:val="00565EAA"/>
    <w:rsid w:val="00567405"/>
    <w:rsid w:val="0057402A"/>
    <w:rsid w:val="005750B8"/>
    <w:rsid w:val="005758BA"/>
    <w:rsid w:val="005771D0"/>
    <w:rsid w:val="0059191A"/>
    <w:rsid w:val="005921FF"/>
    <w:rsid w:val="00596831"/>
    <w:rsid w:val="005A1136"/>
    <w:rsid w:val="005A5CFB"/>
    <w:rsid w:val="005A6D0E"/>
    <w:rsid w:val="005B52B0"/>
    <w:rsid w:val="005B5305"/>
    <w:rsid w:val="005B6806"/>
    <w:rsid w:val="005C4225"/>
    <w:rsid w:val="005C4891"/>
    <w:rsid w:val="005C6E16"/>
    <w:rsid w:val="005D00B7"/>
    <w:rsid w:val="005D14D3"/>
    <w:rsid w:val="005E00BC"/>
    <w:rsid w:val="005E0A3E"/>
    <w:rsid w:val="005E142C"/>
    <w:rsid w:val="005F0DAD"/>
    <w:rsid w:val="005F0F33"/>
    <w:rsid w:val="005F7722"/>
    <w:rsid w:val="006003F1"/>
    <w:rsid w:val="00600DEB"/>
    <w:rsid w:val="006102E5"/>
    <w:rsid w:val="006140C0"/>
    <w:rsid w:val="00627C9F"/>
    <w:rsid w:val="006311E9"/>
    <w:rsid w:val="00632354"/>
    <w:rsid w:val="0063685A"/>
    <w:rsid w:val="00636E82"/>
    <w:rsid w:val="0063774E"/>
    <w:rsid w:val="006403CF"/>
    <w:rsid w:val="00642810"/>
    <w:rsid w:val="006454D4"/>
    <w:rsid w:val="00652333"/>
    <w:rsid w:val="00652AB7"/>
    <w:rsid w:val="0068009E"/>
    <w:rsid w:val="0068737D"/>
    <w:rsid w:val="006875EB"/>
    <w:rsid w:val="00692219"/>
    <w:rsid w:val="00692F95"/>
    <w:rsid w:val="00693D1C"/>
    <w:rsid w:val="006A1474"/>
    <w:rsid w:val="006A17D2"/>
    <w:rsid w:val="006A18F1"/>
    <w:rsid w:val="006A5197"/>
    <w:rsid w:val="006A73E6"/>
    <w:rsid w:val="006B070D"/>
    <w:rsid w:val="006B2D5C"/>
    <w:rsid w:val="006B42DA"/>
    <w:rsid w:val="006B6865"/>
    <w:rsid w:val="006B7642"/>
    <w:rsid w:val="006C4EB1"/>
    <w:rsid w:val="006C52E4"/>
    <w:rsid w:val="006E0166"/>
    <w:rsid w:val="006E0457"/>
    <w:rsid w:val="006E7AAF"/>
    <w:rsid w:val="006E7B34"/>
    <w:rsid w:val="0070697F"/>
    <w:rsid w:val="00711192"/>
    <w:rsid w:val="00715F0E"/>
    <w:rsid w:val="00716FA6"/>
    <w:rsid w:val="0072199C"/>
    <w:rsid w:val="00722C9F"/>
    <w:rsid w:val="007253B8"/>
    <w:rsid w:val="0073741F"/>
    <w:rsid w:val="00737F1B"/>
    <w:rsid w:val="007422D9"/>
    <w:rsid w:val="007539FB"/>
    <w:rsid w:val="00754623"/>
    <w:rsid w:val="00764A28"/>
    <w:rsid w:val="0076643F"/>
    <w:rsid w:val="0077129B"/>
    <w:rsid w:val="00777455"/>
    <w:rsid w:val="00777F63"/>
    <w:rsid w:val="007949F1"/>
    <w:rsid w:val="007A5817"/>
    <w:rsid w:val="007A5FC2"/>
    <w:rsid w:val="007B60E9"/>
    <w:rsid w:val="007B6CC3"/>
    <w:rsid w:val="007C3334"/>
    <w:rsid w:val="007C655E"/>
    <w:rsid w:val="007D286D"/>
    <w:rsid w:val="007D2B98"/>
    <w:rsid w:val="007D420E"/>
    <w:rsid w:val="007D52EE"/>
    <w:rsid w:val="007E1669"/>
    <w:rsid w:val="007E21BC"/>
    <w:rsid w:val="007F2074"/>
    <w:rsid w:val="00803B65"/>
    <w:rsid w:val="00803F1C"/>
    <w:rsid w:val="0080441C"/>
    <w:rsid w:val="0080600E"/>
    <w:rsid w:val="008129B8"/>
    <w:rsid w:val="00815840"/>
    <w:rsid w:val="00817612"/>
    <w:rsid w:val="00817DBA"/>
    <w:rsid w:val="008267C8"/>
    <w:rsid w:val="00830493"/>
    <w:rsid w:val="00831155"/>
    <w:rsid w:val="008328A6"/>
    <w:rsid w:val="008337AA"/>
    <w:rsid w:val="008338A4"/>
    <w:rsid w:val="00837C45"/>
    <w:rsid w:val="00844730"/>
    <w:rsid w:val="008457C2"/>
    <w:rsid w:val="00847102"/>
    <w:rsid w:val="00857A82"/>
    <w:rsid w:val="008651FF"/>
    <w:rsid w:val="008675B6"/>
    <w:rsid w:val="00872E3A"/>
    <w:rsid w:val="00873836"/>
    <w:rsid w:val="008817AB"/>
    <w:rsid w:val="008841FC"/>
    <w:rsid w:val="00885737"/>
    <w:rsid w:val="00890650"/>
    <w:rsid w:val="00897E12"/>
    <w:rsid w:val="008A3649"/>
    <w:rsid w:val="008A7E0F"/>
    <w:rsid w:val="008B07C0"/>
    <w:rsid w:val="008B12F5"/>
    <w:rsid w:val="008B170D"/>
    <w:rsid w:val="008C02B4"/>
    <w:rsid w:val="008C64BA"/>
    <w:rsid w:val="008D039B"/>
    <w:rsid w:val="008D534E"/>
    <w:rsid w:val="008D768D"/>
    <w:rsid w:val="008E1CC0"/>
    <w:rsid w:val="008E3759"/>
    <w:rsid w:val="008E47CA"/>
    <w:rsid w:val="008E6655"/>
    <w:rsid w:val="008F1912"/>
    <w:rsid w:val="008F526C"/>
    <w:rsid w:val="008F5A3E"/>
    <w:rsid w:val="0090270B"/>
    <w:rsid w:val="00902D85"/>
    <w:rsid w:val="0090411F"/>
    <w:rsid w:val="009041DC"/>
    <w:rsid w:val="009063A8"/>
    <w:rsid w:val="00917B5A"/>
    <w:rsid w:val="00920A58"/>
    <w:rsid w:val="00920A8C"/>
    <w:rsid w:val="00934A2C"/>
    <w:rsid w:val="009407B8"/>
    <w:rsid w:val="00946A6F"/>
    <w:rsid w:val="00947EDF"/>
    <w:rsid w:val="00951778"/>
    <w:rsid w:val="009568DB"/>
    <w:rsid w:val="00956B40"/>
    <w:rsid w:val="00961BAE"/>
    <w:rsid w:val="00962A7C"/>
    <w:rsid w:val="0096706E"/>
    <w:rsid w:val="00973160"/>
    <w:rsid w:val="00975C4E"/>
    <w:rsid w:val="00981FBA"/>
    <w:rsid w:val="0098622E"/>
    <w:rsid w:val="0099542C"/>
    <w:rsid w:val="00996E8A"/>
    <w:rsid w:val="00997BC5"/>
    <w:rsid w:val="009A4F41"/>
    <w:rsid w:val="009B2E24"/>
    <w:rsid w:val="009B381B"/>
    <w:rsid w:val="009B646B"/>
    <w:rsid w:val="009C3F08"/>
    <w:rsid w:val="009C7345"/>
    <w:rsid w:val="009D1753"/>
    <w:rsid w:val="009D7611"/>
    <w:rsid w:val="009E0B61"/>
    <w:rsid w:val="009E10AB"/>
    <w:rsid w:val="009E2B5A"/>
    <w:rsid w:val="009E53DE"/>
    <w:rsid w:val="009F0583"/>
    <w:rsid w:val="009F0B9A"/>
    <w:rsid w:val="00A1318E"/>
    <w:rsid w:val="00A328B3"/>
    <w:rsid w:val="00A36BFF"/>
    <w:rsid w:val="00A40F1F"/>
    <w:rsid w:val="00A47F90"/>
    <w:rsid w:val="00A50FCF"/>
    <w:rsid w:val="00A528D1"/>
    <w:rsid w:val="00A610CD"/>
    <w:rsid w:val="00A63324"/>
    <w:rsid w:val="00A72B47"/>
    <w:rsid w:val="00A8163A"/>
    <w:rsid w:val="00AA09A2"/>
    <w:rsid w:val="00AA7996"/>
    <w:rsid w:val="00AB1FD1"/>
    <w:rsid w:val="00AB4664"/>
    <w:rsid w:val="00AC19CB"/>
    <w:rsid w:val="00AC60FE"/>
    <w:rsid w:val="00AE4DA0"/>
    <w:rsid w:val="00AE5488"/>
    <w:rsid w:val="00AE6F91"/>
    <w:rsid w:val="00AF5571"/>
    <w:rsid w:val="00AF563B"/>
    <w:rsid w:val="00B000D4"/>
    <w:rsid w:val="00B05658"/>
    <w:rsid w:val="00B056A5"/>
    <w:rsid w:val="00B071E3"/>
    <w:rsid w:val="00B07341"/>
    <w:rsid w:val="00B105BE"/>
    <w:rsid w:val="00B30539"/>
    <w:rsid w:val="00B314DB"/>
    <w:rsid w:val="00B361F2"/>
    <w:rsid w:val="00B3718B"/>
    <w:rsid w:val="00B37D1C"/>
    <w:rsid w:val="00B4632A"/>
    <w:rsid w:val="00B530F1"/>
    <w:rsid w:val="00B54CDF"/>
    <w:rsid w:val="00B56494"/>
    <w:rsid w:val="00B66F63"/>
    <w:rsid w:val="00B851B0"/>
    <w:rsid w:val="00BA276C"/>
    <w:rsid w:val="00BA2BBA"/>
    <w:rsid w:val="00BB306F"/>
    <w:rsid w:val="00BB5A89"/>
    <w:rsid w:val="00BC038A"/>
    <w:rsid w:val="00BC4FDF"/>
    <w:rsid w:val="00BD4B89"/>
    <w:rsid w:val="00BD7DF8"/>
    <w:rsid w:val="00BF12A5"/>
    <w:rsid w:val="00BF64F4"/>
    <w:rsid w:val="00BF6FD8"/>
    <w:rsid w:val="00C00B36"/>
    <w:rsid w:val="00C03680"/>
    <w:rsid w:val="00C049CE"/>
    <w:rsid w:val="00C054DF"/>
    <w:rsid w:val="00C1242F"/>
    <w:rsid w:val="00C21762"/>
    <w:rsid w:val="00C24543"/>
    <w:rsid w:val="00C256A2"/>
    <w:rsid w:val="00C419AC"/>
    <w:rsid w:val="00C51515"/>
    <w:rsid w:val="00C5374F"/>
    <w:rsid w:val="00C5660B"/>
    <w:rsid w:val="00C66B72"/>
    <w:rsid w:val="00C77B4F"/>
    <w:rsid w:val="00C83BE7"/>
    <w:rsid w:val="00C84548"/>
    <w:rsid w:val="00C9185A"/>
    <w:rsid w:val="00C937E2"/>
    <w:rsid w:val="00C9567A"/>
    <w:rsid w:val="00C96925"/>
    <w:rsid w:val="00CA387D"/>
    <w:rsid w:val="00CA4B0F"/>
    <w:rsid w:val="00CA72EB"/>
    <w:rsid w:val="00CB212D"/>
    <w:rsid w:val="00CB2660"/>
    <w:rsid w:val="00CB2893"/>
    <w:rsid w:val="00CC5E90"/>
    <w:rsid w:val="00CC6E48"/>
    <w:rsid w:val="00CC753C"/>
    <w:rsid w:val="00CD046C"/>
    <w:rsid w:val="00CD19E3"/>
    <w:rsid w:val="00CD68E8"/>
    <w:rsid w:val="00CE076C"/>
    <w:rsid w:val="00CE5199"/>
    <w:rsid w:val="00CE6553"/>
    <w:rsid w:val="00CE66D5"/>
    <w:rsid w:val="00CF637A"/>
    <w:rsid w:val="00CF6869"/>
    <w:rsid w:val="00D059DE"/>
    <w:rsid w:val="00D06A81"/>
    <w:rsid w:val="00D110D7"/>
    <w:rsid w:val="00D13FCE"/>
    <w:rsid w:val="00D1656C"/>
    <w:rsid w:val="00D221BC"/>
    <w:rsid w:val="00D306D1"/>
    <w:rsid w:val="00D32942"/>
    <w:rsid w:val="00D34786"/>
    <w:rsid w:val="00D34AF0"/>
    <w:rsid w:val="00D377B9"/>
    <w:rsid w:val="00D37BFC"/>
    <w:rsid w:val="00D413EF"/>
    <w:rsid w:val="00D41E96"/>
    <w:rsid w:val="00D454E9"/>
    <w:rsid w:val="00D47A8E"/>
    <w:rsid w:val="00D50746"/>
    <w:rsid w:val="00D52D14"/>
    <w:rsid w:val="00D712D3"/>
    <w:rsid w:val="00D71422"/>
    <w:rsid w:val="00D72DC6"/>
    <w:rsid w:val="00D7521F"/>
    <w:rsid w:val="00D7558D"/>
    <w:rsid w:val="00D77BE6"/>
    <w:rsid w:val="00D817C0"/>
    <w:rsid w:val="00D81D92"/>
    <w:rsid w:val="00D91341"/>
    <w:rsid w:val="00DA47FE"/>
    <w:rsid w:val="00DA7B5F"/>
    <w:rsid w:val="00DB13CB"/>
    <w:rsid w:val="00DC11E7"/>
    <w:rsid w:val="00DC7023"/>
    <w:rsid w:val="00DC769A"/>
    <w:rsid w:val="00DD3D86"/>
    <w:rsid w:val="00DF1EC4"/>
    <w:rsid w:val="00DF47C2"/>
    <w:rsid w:val="00DF56F2"/>
    <w:rsid w:val="00E020B0"/>
    <w:rsid w:val="00E0340B"/>
    <w:rsid w:val="00E034C2"/>
    <w:rsid w:val="00E04A90"/>
    <w:rsid w:val="00E1250D"/>
    <w:rsid w:val="00E1281A"/>
    <w:rsid w:val="00E13043"/>
    <w:rsid w:val="00E15AFC"/>
    <w:rsid w:val="00E219C7"/>
    <w:rsid w:val="00E23ACE"/>
    <w:rsid w:val="00E33ECE"/>
    <w:rsid w:val="00E35796"/>
    <w:rsid w:val="00E41209"/>
    <w:rsid w:val="00E43157"/>
    <w:rsid w:val="00E461CE"/>
    <w:rsid w:val="00E67103"/>
    <w:rsid w:val="00E7088F"/>
    <w:rsid w:val="00E720CA"/>
    <w:rsid w:val="00E75652"/>
    <w:rsid w:val="00E80288"/>
    <w:rsid w:val="00E8237B"/>
    <w:rsid w:val="00E84EB5"/>
    <w:rsid w:val="00E85634"/>
    <w:rsid w:val="00E85662"/>
    <w:rsid w:val="00E8789F"/>
    <w:rsid w:val="00E955A7"/>
    <w:rsid w:val="00E97B71"/>
    <w:rsid w:val="00EA3D34"/>
    <w:rsid w:val="00EA7C40"/>
    <w:rsid w:val="00EB454D"/>
    <w:rsid w:val="00EC7223"/>
    <w:rsid w:val="00EC7D62"/>
    <w:rsid w:val="00ED3A83"/>
    <w:rsid w:val="00ED5931"/>
    <w:rsid w:val="00ED76BE"/>
    <w:rsid w:val="00EF1E7A"/>
    <w:rsid w:val="00EF257D"/>
    <w:rsid w:val="00EF427F"/>
    <w:rsid w:val="00EF619B"/>
    <w:rsid w:val="00F00B55"/>
    <w:rsid w:val="00F01097"/>
    <w:rsid w:val="00F02AD1"/>
    <w:rsid w:val="00F151E0"/>
    <w:rsid w:val="00F15DD3"/>
    <w:rsid w:val="00F17D97"/>
    <w:rsid w:val="00F2241E"/>
    <w:rsid w:val="00F253CC"/>
    <w:rsid w:val="00F258BD"/>
    <w:rsid w:val="00F278D2"/>
    <w:rsid w:val="00F340E4"/>
    <w:rsid w:val="00F37106"/>
    <w:rsid w:val="00F50CF8"/>
    <w:rsid w:val="00F519CF"/>
    <w:rsid w:val="00F53DC3"/>
    <w:rsid w:val="00F5563A"/>
    <w:rsid w:val="00F56BA5"/>
    <w:rsid w:val="00F60E22"/>
    <w:rsid w:val="00F750F3"/>
    <w:rsid w:val="00F75B57"/>
    <w:rsid w:val="00F81395"/>
    <w:rsid w:val="00F8296F"/>
    <w:rsid w:val="00F917D1"/>
    <w:rsid w:val="00F92F5A"/>
    <w:rsid w:val="00F934D7"/>
    <w:rsid w:val="00F9653B"/>
    <w:rsid w:val="00FA7AD5"/>
    <w:rsid w:val="00FA7FA5"/>
    <w:rsid w:val="00FB1BAB"/>
    <w:rsid w:val="00FB4585"/>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F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8841FC"/>
    <w:rPr>
      <w:rFonts w:cs="Times New Roman"/>
      <w:u w:val="single"/>
    </w:rPr>
  </w:style>
  <w:style w:type="paragraph" w:customStyle="1" w:styleId="Cabeceraypie">
    <w:name w:val="Cabecera y pie"/>
    <w:uiPriority w:val="99"/>
    <w:rsid w:val="008841F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8841F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841F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841F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E75652"/>
    <w:rPr>
      <w:rFonts w:cs="Times New Roman"/>
      <w:sz w:val="24"/>
      <w:szCs w:val="24"/>
    </w:rPr>
  </w:style>
  <w:style w:type="paragraph" w:styleId="ListParagraph">
    <w:name w:val="List Paragraph"/>
    <w:basedOn w:val="Normal"/>
    <w:uiPriority w:val="99"/>
    <w:qFormat/>
    <w:rsid w:val="008841F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8841FC"/>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E75652"/>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CommentReference">
    <w:name w:val="annotation reference"/>
    <w:basedOn w:val="DefaultParagraphFont"/>
    <w:uiPriority w:val="99"/>
    <w:semiHidden/>
    <w:rsid w:val="00E41209"/>
    <w:rPr>
      <w:rFonts w:cs="Times New Roman"/>
      <w:sz w:val="16"/>
      <w:szCs w:val="16"/>
    </w:rPr>
  </w:style>
  <w:style w:type="paragraph" w:styleId="CommentText">
    <w:name w:val="annotation text"/>
    <w:basedOn w:val="Normal"/>
    <w:link w:val="CommentTextChar"/>
    <w:uiPriority w:val="99"/>
    <w:semiHidden/>
    <w:rsid w:val="00E41209"/>
    <w:rPr>
      <w:sz w:val="20"/>
      <w:szCs w:val="20"/>
    </w:rPr>
  </w:style>
  <w:style w:type="character" w:customStyle="1" w:styleId="CommentTextChar">
    <w:name w:val="Comment Text Char"/>
    <w:basedOn w:val="DefaultParagraphFont"/>
    <w:link w:val="CommentText"/>
    <w:uiPriority w:val="99"/>
    <w:semiHidden/>
    <w:locked/>
    <w:rsid w:val="00A36BFF"/>
    <w:rPr>
      <w:rFonts w:cs="Times New Roman"/>
      <w:sz w:val="20"/>
      <w:szCs w:val="20"/>
    </w:rPr>
  </w:style>
  <w:style w:type="paragraph" w:styleId="CommentSubject">
    <w:name w:val="annotation subject"/>
    <w:basedOn w:val="CommentText"/>
    <w:next w:val="CommentText"/>
    <w:link w:val="CommentSubjectChar"/>
    <w:uiPriority w:val="99"/>
    <w:semiHidden/>
    <w:rsid w:val="00E41209"/>
    <w:rPr>
      <w:b/>
      <w:bCs/>
    </w:rPr>
  </w:style>
  <w:style w:type="character" w:customStyle="1" w:styleId="CommentSubjectChar">
    <w:name w:val="Comment Subject Char"/>
    <w:basedOn w:val="CommentTextChar"/>
    <w:link w:val="CommentSubject"/>
    <w:uiPriority w:val="99"/>
    <w:semiHidden/>
    <w:locked/>
    <w:rsid w:val="00A36BFF"/>
    <w:rPr>
      <w:rFonts w:cs="Times New Roman"/>
      <w:b/>
      <w:bCs/>
      <w:sz w:val="20"/>
      <w:szCs w:val="20"/>
    </w:rPr>
  </w:style>
  <w:style w:type="numbering" w:customStyle="1" w:styleId="List16">
    <w:name w:val="List 16"/>
    <w:rsid w:val="008E68D4"/>
    <w:pPr>
      <w:numPr>
        <w:numId w:val="10"/>
      </w:numPr>
    </w:pPr>
  </w:style>
  <w:style w:type="numbering" w:customStyle="1" w:styleId="List36">
    <w:name w:val="List 36"/>
    <w:rsid w:val="008E68D4"/>
    <w:pPr>
      <w:numPr>
        <w:numId w:val="14"/>
      </w:numPr>
    </w:pPr>
  </w:style>
  <w:style w:type="numbering" w:customStyle="1" w:styleId="List25">
    <w:name w:val="List 25"/>
    <w:rsid w:val="008E68D4"/>
    <w:pPr>
      <w:numPr>
        <w:numId w:val="15"/>
      </w:numPr>
    </w:pPr>
  </w:style>
  <w:style w:type="numbering" w:customStyle="1" w:styleId="List1">
    <w:name w:val="List 1"/>
    <w:rsid w:val="008E68D4"/>
    <w:pPr>
      <w:numPr>
        <w:numId w:val="1"/>
      </w:numPr>
    </w:pPr>
  </w:style>
  <w:style w:type="numbering" w:customStyle="1" w:styleId="List11">
    <w:name w:val="List 11"/>
    <w:rsid w:val="008E68D4"/>
    <w:pPr>
      <w:numPr>
        <w:numId w:val="7"/>
      </w:numPr>
    </w:pPr>
  </w:style>
  <w:style w:type="numbering" w:customStyle="1" w:styleId="List15">
    <w:name w:val="List 15"/>
    <w:rsid w:val="008E68D4"/>
    <w:pPr>
      <w:numPr>
        <w:numId w:val="16"/>
      </w:numPr>
    </w:pPr>
  </w:style>
  <w:style w:type="numbering" w:customStyle="1" w:styleId="List14">
    <w:name w:val="List 14"/>
    <w:rsid w:val="008E68D4"/>
    <w:pPr>
      <w:numPr>
        <w:numId w:val="17"/>
      </w:numPr>
    </w:pPr>
  </w:style>
  <w:style w:type="numbering" w:customStyle="1" w:styleId="List23">
    <w:name w:val="List 23"/>
    <w:rsid w:val="008E68D4"/>
    <w:pPr>
      <w:numPr>
        <w:numId w:val="18"/>
      </w:numPr>
    </w:pPr>
  </w:style>
  <w:style w:type="numbering" w:customStyle="1" w:styleId="List19">
    <w:name w:val="List 19"/>
    <w:rsid w:val="008E68D4"/>
    <w:pPr>
      <w:numPr>
        <w:numId w:val="19"/>
      </w:numPr>
    </w:pPr>
  </w:style>
  <w:style w:type="numbering" w:customStyle="1" w:styleId="List45">
    <w:name w:val="List 45"/>
    <w:rsid w:val="008E68D4"/>
    <w:pPr>
      <w:numPr>
        <w:numId w:val="20"/>
      </w:numPr>
    </w:pPr>
  </w:style>
  <w:style w:type="numbering" w:customStyle="1" w:styleId="List40">
    <w:name w:val="List 40"/>
    <w:rsid w:val="008E68D4"/>
    <w:pPr>
      <w:numPr>
        <w:numId w:val="21"/>
      </w:numPr>
    </w:pPr>
  </w:style>
  <w:style w:type="numbering" w:customStyle="1" w:styleId="List9">
    <w:name w:val="List 9"/>
    <w:rsid w:val="008E68D4"/>
    <w:pPr>
      <w:numPr>
        <w:numId w:val="22"/>
      </w:numPr>
    </w:pPr>
  </w:style>
  <w:style w:type="numbering" w:customStyle="1" w:styleId="List43">
    <w:name w:val="List 43"/>
    <w:rsid w:val="008E68D4"/>
    <w:pPr>
      <w:numPr>
        <w:numId w:val="23"/>
      </w:numPr>
    </w:pPr>
  </w:style>
  <w:style w:type="numbering" w:customStyle="1" w:styleId="List46">
    <w:name w:val="List 46"/>
    <w:rsid w:val="008E68D4"/>
    <w:pPr>
      <w:numPr>
        <w:numId w:val="24"/>
      </w:numPr>
    </w:pPr>
  </w:style>
  <w:style w:type="numbering" w:customStyle="1" w:styleId="List35">
    <w:name w:val="List 35"/>
    <w:rsid w:val="008E68D4"/>
    <w:pPr>
      <w:numPr>
        <w:numId w:val="8"/>
      </w:numPr>
    </w:pPr>
  </w:style>
  <w:style w:type="numbering" w:customStyle="1" w:styleId="List17">
    <w:name w:val="List 17"/>
    <w:rsid w:val="008E68D4"/>
    <w:pPr>
      <w:numPr>
        <w:numId w:val="25"/>
      </w:numPr>
    </w:pPr>
  </w:style>
  <w:style w:type="numbering" w:customStyle="1" w:styleId="List33">
    <w:name w:val="List 33"/>
    <w:rsid w:val="008E68D4"/>
    <w:pPr>
      <w:numPr>
        <w:numId w:val="26"/>
      </w:numPr>
    </w:pPr>
  </w:style>
  <w:style w:type="numbering" w:customStyle="1" w:styleId="List7">
    <w:name w:val="List 7"/>
    <w:rsid w:val="008E68D4"/>
    <w:pPr>
      <w:numPr>
        <w:numId w:val="4"/>
      </w:numPr>
    </w:pPr>
  </w:style>
  <w:style w:type="numbering" w:customStyle="1" w:styleId="List18">
    <w:name w:val="List 18"/>
    <w:rsid w:val="008E68D4"/>
    <w:pPr>
      <w:numPr>
        <w:numId w:val="27"/>
      </w:numPr>
    </w:pPr>
  </w:style>
  <w:style w:type="numbering" w:customStyle="1" w:styleId="List22">
    <w:name w:val="List 22"/>
    <w:rsid w:val="008E68D4"/>
    <w:pPr>
      <w:numPr>
        <w:numId w:val="28"/>
      </w:numPr>
    </w:pPr>
  </w:style>
  <w:style w:type="numbering" w:customStyle="1" w:styleId="List47">
    <w:name w:val="List 47"/>
    <w:rsid w:val="008E68D4"/>
    <w:pPr>
      <w:numPr>
        <w:numId w:val="29"/>
      </w:numPr>
    </w:pPr>
  </w:style>
  <w:style w:type="numbering" w:customStyle="1" w:styleId="List28">
    <w:name w:val="List 28"/>
    <w:rsid w:val="008E68D4"/>
    <w:pPr>
      <w:numPr>
        <w:numId w:val="30"/>
      </w:numPr>
    </w:pPr>
  </w:style>
  <w:style w:type="numbering" w:customStyle="1" w:styleId="List10">
    <w:name w:val="List 10"/>
    <w:rsid w:val="008E68D4"/>
    <w:pPr>
      <w:numPr>
        <w:numId w:val="6"/>
      </w:numPr>
    </w:pPr>
  </w:style>
  <w:style w:type="numbering" w:customStyle="1" w:styleId="List0">
    <w:name w:val="List 0"/>
    <w:rsid w:val="008E68D4"/>
    <w:pPr>
      <w:numPr>
        <w:numId w:val="31"/>
      </w:numPr>
    </w:pPr>
  </w:style>
  <w:style w:type="numbering" w:customStyle="1" w:styleId="List30">
    <w:name w:val="List 30"/>
    <w:rsid w:val="008E68D4"/>
    <w:pPr>
      <w:numPr>
        <w:numId w:val="32"/>
      </w:numPr>
    </w:pPr>
  </w:style>
  <w:style w:type="numbering" w:customStyle="1" w:styleId="List29">
    <w:name w:val="List 29"/>
    <w:rsid w:val="008E68D4"/>
    <w:pPr>
      <w:numPr>
        <w:numId w:val="34"/>
      </w:numPr>
    </w:pPr>
  </w:style>
  <w:style w:type="numbering" w:customStyle="1" w:styleId="List38">
    <w:name w:val="List 38"/>
    <w:rsid w:val="008E68D4"/>
    <w:pPr>
      <w:numPr>
        <w:numId w:val="35"/>
      </w:numPr>
    </w:pPr>
  </w:style>
  <w:style w:type="numbering" w:customStyle="1" w:styleId="List12">
    <w:name w:val="List 12"/>
    <w:rsid w:val="008E68D4"/>
    <w:pPr>
      <w:numPr>
        <w:numId w:val="36"/>
      </w:numPr>
    </w:pPr>
  </w:style>
  <w:style w:type="numbering" w:customStyle="1" w:styleId="List50">
    <w:name w:val="List 50"/>
    <w:rsid w:val="008E68D4"/>
    <w:pPr>
      <w:numPr>
        <w:numId w:val="37"/>
      </w:numPr>
    </w:pPr>
  </w:style>
  <w:style w:type="numbering" w:customStyle="1" w:styleId="List34">
    <w:name w:val="List 34"/>
    <w:rsid w:val="008E68D4"/>
    <w:pPr>
      <w:numPr>
        <w:numId w:val="11"/>
      </w:numPr>
    </w:pPr>
  </w:style>
  <w:style w:type="numbering" w:customStyle="1" w:styleId="List42">
    <w:name w:val="List 42"/>
    <w:rsid w:val="008E68D4"/>
    <w:pPr>
      <w:numPr>
        <w:numId w:val="12"/>
      </w:numPr>
    </w:pPr>
  </w:style>
  <w:style w:type="numbering" w:customStyle="1" w:styleId="List49">
    <w:name w:val="List 49"/>
    <w:rsid w:val="008E68D4"/>
    <w:pPr>
      <w:numPr>
        <w:numId w:val="39"/>
      </w:numPr>
    </w:pPr>
  </w:style>
  <w:style w:type="numbering" w:customStyle="1" w:styleId="List44">
    <w:name w:val="List 44"/>
    <w:rsid w:val="008E68D4"/>
    <w:pPr>
      <w:numPr>
        <w:numId w:val="40"/>
      </w:numPr>
    </w:pPr>
  </w:style>
  <w:style w:type="numbering" w:customStyle="1" w:styleId="List21">
    <w:name w:val="List 21"/>
    <w:rsid w:val="008E68D4"/>
    <w:pPr>
      <w:numPr>
        <w:numId w:val="52"/>
      </w:numPr>
    </w:pPr>
  </w:style>
  <w:style w:type="numbering" w:customStyle="1" w:styleId="List52">
    <w:name w:val="List 52"/>
    <w:rsid w:val="008E68D4"/>
    <w:pPr>
      <w:numPr>
        <w:numId w:val="9"/>
      </w:numPr>
    </w:pPr>
  </w:style>
  <w:style w:type="numbering" w:customStyle="1" w:styleId="List24">
    <w:name w:val="List 24"/>
    <w:rsid w:val="008E68D4"/>
    <w:pPr>
      <w:numPr>
        <w:numId w:val="13"/>
      </w:numPr>
    </w:pPr>
  </w:style>
  <w:style w:type="numbering" w:customStyle="1" w:styleId="List51">
    <w:name w:val="List 51"/>
    <w:rsid w:val="008E68D4"/>
    <w:pPr>
      <w:numPr>
        <w:numId w:val="54"/>
      </w:numPr>
    </w:pPr>
  </w:style>
  <w:style w:type="numbering" w:customStyle="1" w:styleId="List27">
    <w:name w:val="List 27"/>
    <w:rsid w:val="008E68D4"/>
    <w:pPr>
      <w:numPr>
        <w:numId w:val="41"/>
      </w:numPr>
    </w:pPr>
  </w:style>
  <w:style w:type="numbering" w:customStyle="1" w:styleId="List8">
    <w:name w:val="List 8"/>
    <w:rsid w:val="008E68D4"/>
    <w:pPr>
      <w:numPr>
        <w:numId w:val="5"/>
      </w:numPr>
    </w:pPr>
  </w:style>
  <w:style w:type="numbering" w:customStyle="1" w:styleId="List13">
    <w:name w:val="List 13"/>
    <w:rsid w:val="008E68D4"/>
    <w:pPr>
      <w:numPr>
        <w:numId w:val="42"/>
      </w:numPr>
    </w:pPr>
  </w:style>
  <w:style w:type="numbering" w:customStyle="1" w:styleId="List20">
    <w:name w:val="List 20"/>
    <w:rsid w:val="008E68D4"/>
    <w:pPr>
      <w:numPr>
        <w:numId w:val="43"/>
      </w:numPr>
    </w:pPr>
  </w:style>
  <w:style w:type="numbering" w:customStyle="1" w:styleId="List41">
    <w:name w:val="List 41"/>
    <w:rsid w:val="008E68D4"/>
    <w:pPr>
      <w:numPr>
        <w:numId w:val="44"/>
      </w:numPr>
    </w:pPr>
  </w:style>
  <w:style w:type="numbering" w:customStyle="1" w:styleId="List31">
    <w:name w:val="List 31"/>
    <w:rsid w:val="008E68D4"/>
    <w:pPr>
      <w:numPr>
        <w:numId w:val="45"/>
      </w:numPr>
    </w:pPr>
  </w:style>
  <w:style w:type="numbering" w:customStyle="1" w:styleId="List6">
    <w:name w:val="List 6"/>
    <w:rsid w:val="008E68D4"/>
    <w:pPr>
      <w:numPr>
        <w:numId w:val="3"/>
      </w:numPr>
    </w:pPr>
  </w:style>
  <w:style w:type="numbering" w:customStyle="1" w:styleId="List39">
    <w:name w:val="List 39"/>
    <w:rsid w:val="008E68D4"/>
    <w:pPr>
      <w:numPr>
        <w:numId w:val="46"/>
      </w:numPr>
    </w:pPr>
  </w:style>
  <w:style w:type="numbering" w:customStyle="1" w:styleId="List37">
    <w:name w:val="List 37"/>
    <w:rsid w:val="008E68D4"/>
    <w:pPr>
      <w:numPr>
        <w:numId w:val="47"/>
      </w:numPr>
    </w:pPr>
  </w:style>
  <w:style w:type="numbering" w:customStyle="1" w:styleId="List32">
    <w:name w:val="List 32"/>
    <w:rsid w:val="008E68D4"/>
    <w:pPr>
      <w:numPr>
        <w:numId w:val="48"/>
      </w:numPr>
    </w:pPr>
  </w:style>
  <w:style w:type="numbering" w:customStyle="1" w:styleId="List26">
    <w:name w:val="List 26"/>
    <w:rsid w:val="008E68D4"/>
    <w:pPr>
      <w:numPr>
        <w:numId w:val="49"/>
      </w:numPr>
    </w:pPr>
  </w:style>
  <w:style w:type="numbering" w:customStyle="1" w:styleId="List48">
    <w:name w:val="List 48"/>
    <w:rsid w:val="008E68D4"/>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F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8841FC"/>
    <w:rPr>
      <w:rFonts w:cs="Times New Roman"/>
      <w:u w:val="single"/>
    </w:rPr>
  </w:style>
  <w:style w:type="paragraph" w:customStyle="1" w:styleId="Cabeceraypie">
    <w:name w:val="Cabecera y pie"/>
    <w:uiPriority w:val="99"/>
    <w:rsid w:val="008841F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8841F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8841F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8841F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E75652"/>
    <w:rPr>
      <w:rFonts w:cs="Times New Roman"/>
      <w:sz w:val="24"/>
      <w:szCs w:val="24"/>
    </w:rPr>
  </w:style>
  <w:style w:type="paragraph" w:styleId="ListParagraph">
    <w:name w:val="List Paragraph"/>
    <w:basedOn w:val="Normal"/>
    <w:uiPriority w:val="99"/>
    <w:qFormat/>
    <w:rsid w:val="008841F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8841FC"/>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E75652"/>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CommentReference">
    <w:name w:val="annotation reference"/>
    <w:basedOn w:val="DefaultParagraphFont"/>
    <w:uiPriority w:val="99"/>
    <w:semiHidden/>
    <w:rsid w:val="00E41209"/>
    <w:rPr>
      <w:rFonts w:cs="Times New Roman"/>
      <w:sz w:val="16"/>
      <w:szCs w:val="16"/>
    </w:rPr>
  </w:style>
  <w:style w:type="paragraph" w:styleId="CommentText">
    <w:name w:val="annotation text"/>
    <w:basedOn w:val="Normal"/>
    <w:link w:val="CommentTextChar"/>
    <w:uiPriority w:val="99"/>
    <w:semiHidden/>
    <w:rsid w:val="00E41209"/>
    <w:rPr>
      <w:sz w:val="20"/>
      <w:szCs w:val="20"/>
    </w:rPr>
  </w:style>
  <w:style w:type="character" w:customStyle="1" w:styleId="CommentTextChar">
    <w:name w:val="Comment Text Char"/>
    <w:basedOn w:val="DefaultParagraphFont"/>
    <w:link w:val="CommentText"/>
    <w:uiPriority w:val="99"/>
    <w:semiHidden/>
    <w:locked/>
    <w:rsid w:val="00A36BFF"/>
    <w:rPr>
      <w:rFonts w:cs="Times New Roman"/>
      <w:sz w:val="20"/>
      <w:szCs w:val="20"/>
    </w:rPr>
  </w:style>
  <w:style w:type="paragraph" w:styleId="CommentSubject">
    <w:name w:val="annotation subject"/>
    <w:basedOn w:val="CommentText"/>
    <w:next w:val="CommentText"/>
    <w:link w:val="CommentSubjectChar"/>
    <w:uiPriority w:val="99"/>
    <w:semiHidden/>
    <w:rsid w:val="00E41209"/>
    <w:rPr>
      <w:b/>
      <w:bCs/>
    </w:rPr>
  </w:style>
  <w:style w:type="character" w:customStyle="1" w:styleId="CommentSubjectChar">
    <w:name w:val="Comment Subject Char"/>
    <w:basedOn w:val="CommentTextChar"/>
    <w:link w:val="CommentSubject"/>
    <w:uiPriority w:val="99"/>
    <w:semiHidden/>
    <w:locked/>
    <w:rsid w:val="00A36BFF"/>
    <w:rPr>
      <w:rFonts w:cs="Times New Roman"/>
      <w:b/>
      <w:bCs/>
      <w:sz w:val="20"/>
      <w:szCs w:val="20"/>
    </w:rPr>
  </w:style>
  <w:style w:type="numbering" w:customStyle="1" w:styleId="List16">
    <w:name w:val="List 16"/>
    <w:rsid w:val="008E68D4"/>
    <w:pPr>
      <w:numPr>
        <w:numId w:val="10"/>
      </w:numPr>
    </w:pPr>
  </w:style>
  <w:style w:type="numbering" w:customStyle="1" w:styleId="List36">
    <w:name w:val="List 36"/>
    <w:rsid w:val="008E68D4"/>
    <w:pPr>
      <w:numPr>
        <w:numId w:val="14"/>
      </w:numPr>
    </w:pPr>
  </w:style>
  <w:style w:type="numbering" w:customStyle="1" w:styleId="List25">
    <w:name w:val="List 25"/>
    <w:rsid w:val="008E68D4"/>
    <w:pPr>
      <w:numPr>
        <w:numId w:val="15"/>
      </w:numPr>
    </w:pPr>
  </w:style>
  <w:style w:type="numbering" w:customStyle="1" w:styleId="List1">
    <w:name w:val="List 1"/>
    <w:rsid w:val="008E68D4"/>
    <w:pPr>
      <w:numPr>
        <w:numId w:val="1"/>
      </w:numPr>
    </w:pPr>
  </w:style>
  <w:style w:type="numbering" w:customStyle="1" w:styleId="List11">
    <w:name w:val="List 11"/>
    <w:rsid w:val="008E68D4"/>
    <w:pPr>
      <w:numPr>
        <w:numId w:val="7"/>
      </w:numPr>
    </w:pPr>
  </w:style>
  <w:style w:type="numbering" w:customStyle="1" w:styleId="List15">
    <w:name w:val="List 15"/>
    <w:rsid w:val="008E68D4"/>
    <w:pPr>
      <w:numPr>
        <w:numId w:val="16"/>
      </w:numPr>
    </w:pPr>
  </w:style>
  <w:style w:type="numbering" w:customStyle="1" w:styleId="List14">
    <w:name w:val="List 14"/>
    <w:rsid w:val="008E68D4"/>
    <w:pPr>
      <w:numPr>
        <w:numId w:val="17"/>
      </w:numPr>
    </w:pPr>
  </w:style>
  <w:style w:type="numbering" w:customStyle="1" w:styleId="List23">
    <w:name w:val="List 23"/>
    <w:rsid w:val="008E68D4"/>
    <w:pPr>
      <w:numPr>
        <w:numId w:val="18"/>
      </w:numPr>
    </w:pPr>
  </w:style>
  <w:style w:type="numbering" w:customStyle="1" w:styleId="List19">
    <w:name w:val="List 19"/>
    <w:rsid w:val="008E68D4"/>
    <w:pPr>
      <w:numPr>
        <w:numId w:val="19"/>
      </w:numPr>
    </w:pPr>
  </w:style>
  <w:style w:type="numbering" w:customStyle="1" w:styleId="List45">
    <w:name w:val="List 45"/>
    <w:rsid w:val="008E68D4"/>
    <w:pPr>
      <w:numPr>
        <w:numId w:val="20"/>
      </w:numPr>
    </w:pPr>
  </w:style>
  <w:style w:type="numbering" w:customStyle="1" w:styleId="List40">
    <w:name w:val="List 40"/>
    <w:rsid w:val="008E68D4"/>
    <w:pPr>
      <w:numPr>
        <w:numId w:val="21"/>
      </w:numPr>
    </w:pPr>
  </w:style>
  <w:style w:type="numbering" w:customStyle="1" w:styleId="List9">
    <w:name w:val="List 9"/>
    <w:rsid w:val="008E68D4"/>
    <w:pPr>
      <w:numPr>
        <w:numId w:val="22"/>
      </w:numPr>
    </w:pPr>
  </w:style>
  <w:style w:type="numbering" w:customStyle="1" w:styleId="List43">
    <w:name w:val="List 43"/>
    <w:rsid w:val="008E68D4"/>
    <w:pPr>
      <w:numPr>
        <w:numId w:val="23"/>
      </w:numPr>
    </w:pPr>
  </w:style>
  <w:style w:type="numbering" w:customStyle="1" w:styleId="List46">
    <w:name w:val="List 46"/>
    <w:rsid w:val="008E68D4"/>
    <w:pPr>
      <w:numPr>
        <w:numId w:val="24"/>
      </w:numPr>
    </w:pPr>
  </w:style>
  <w:style w:type="numbering" w:customStyle="1" w:styleId="List35">
    <w:name w:val="List 35"/>
    <w:rsid w:val="008E68D4"/>
    <w:pPr>
      <w:numPr>
        <w:numId w:val="8"/>
      </w:numPr>
    </w:pPr>
  </w:style>
  <w:style w:type="numbering" w:customStyle="1" w:styleId="List17">
    <w:name w:val="List 17"/>
    <w:rsid w:val="008E68D4"/>
    <w:pPr>
      <w:numPr>
        <w:numId w:val="25"/>
      </w:numPr>
    </w:pPr>
  </w:style>
  <w:style w:type="numbering" w:customStyle="1" w:styleId="List33">
    <w:name w:val="List 33"/>
    <w:rsid w:val="008E68D4"/>
    <w:pPr>
      <w:numPr>
        <w:numId w:val="26"/>
      </w:numPr>
    </w:pPr>
  </w:style>
  <w:style w:type="numbering" w:customStyle="1" w:styleId="List7">
    <w:name w:val="List 7"/>
    <w:rsid w:val="008E68D4"/>
    <w:pPr>
      <w:numPr>
        <w:numId w:val="4"/>
      </w:numPr>
    </w:pPr>
  </w:style>
  <w:style w:type="numbering" w:customStyle="1" w:styleId="List18">
    <w:name w:val="List 18"/>
    <w:rsid w:val="008E68D4"/>
    <w:pPr>
      <w:numPr>
        <w:numId w:val="27"/>
      </w:numPr>
    </w:pPr>
  </w:style>
  <w:style w:type="numbering" w:customStyle="1" w:styleId="List22">
    <w:name w:val="List 22"/>
    <w:rsid w:val="008E68D4"/>
    <w:pPr>
      <w:numPr>
        <w:numId w:val="28"/>
      </w:numPr>
    </w:pPr>
  </w:style>
  <w:style w:type="numbering" w:customStyle="1" w:styleId="List47">
    <w:name w:val="List 47"/>
    <w:rsid w:val="008E68D4"/>
    <w:pPr>
      <w:numPr>
        <w:numId w:val="29"/>
      </w:numPr>
    </w:pPr>
  </w:style>
  <w:style w:type="numbering" w:customStyle="1" w:styleId="List28">
    <w:name w:val="List 28"/>
    <w:rsid w:val="008E68D4"/>
    <w:pPr>
      <w:numPr>
        <w:numId w:val="30"/>
      </w:numPr>
    </w:pPr>
  </w:style>
  <w:style w:type="numbering" w:customStyle="1" w:styleId="List10">
    <w:name w:val="List 10"/>
    <w:rsid w:val="008E68D4"/>
    <w:pPr>
      <w:numPr>
        <w:numId w:val="6"/>
      </w:numPr>
    </w:pPr>
  </w:style>
  <w:style w:type="numbering" w:customStyle="1" w:styleId="List0">
    <w:name w:val="List 0"/>
    <w:rsid w:val="008E68D4"/>
    <w:pPr>
      <w:numPr>
        <w:numId w:val="31"/>
      </w:numPr>
    </w:pPr>
  </w:style>
  <w:style w:type="numbering" w:customStyle="1" w:styleId="List30">
    <w:name w:val="List 30"/>
    <w:rsid w:val="008E68D4"/>
    <w:pPr>
      <w:numPr>
        <w:numId w:val="32"/>
      </w:numPr>
    </w:pPr>
  </w:style>
  <w:style w:type="numbering" w:customStyle="1" w:styleId="List29">
    <w:name w:val="List 29"/>
    <w:rsid w:val="008E68D4"/>
    <w:pPr>
      <w:numPr>
        <w:numId w:val="34"/>
      </w:numPr>
    </w:pPr>
  </w:style>
  <w:style w:type="numbering" w:customStyle="1" w:styleId="List38">
    <w:name w:val="List 38"/>
    <w:rsid w:val="008E68D4"/>
    <w:pPr>
      <w:numPr>
        <w:numId w:val="35"/>
      </w:numPr>
    </w:pPr>
  </w:style>
  <w:style w:type="numbering" w:customStyle="1" w:styleId="List12">
    <w:name w:val="List 12"/>
    <w:rsid w:val="008E68D4"/>
    <w:pPr>
      <w:numPr>
        <w:numId w:val="36"/>
      </w:numPr>
    </w:pPr>
  </w:style>
  <w:style w:type="numbering" w:customStyle="1" w:styleId="List50">
    <w:name w:val="List 50"/>
    <w:rsid w:val="008E68D4"/>
    <w:pPr>
      <w:numPr>
        <w:numId w:val="37"/>
      </w:numPr>
    </w:pPr>
  </w:style>
  <w:style w:type="numbering" w:customStyle="1" w:styleId="List34">
    <w:name w:val="List 34"/>
    <w:rsid w:val="008E68D4"/>
    <w:pPr>
      <w:numPr>
        <w:numId w:val="11"/>
      </w:numPr>
    </w:pPr>
  </w:style>
  <w:style w:type="numbering" w:customStyle="1" w:styleId="List42">
    <w:name w:val="List 42"/>
    <w:rsid w:val="008E68D4"/>
    <w:pPr>
      <w:numPr>
        <w:numId w:val="12"/>
      </w:numPr>
    </w:pPr>
  </w:style>
  <w:style w:type="numbering" w:customStyle="1" w:styleId="List49">
    <w:name w:val="List 49"/>
    <w:rsid w:val="008E68D4"/>
    <w:pPr>
      <w:numPr>
        <w:numId w:val="39"/>
      </w:numPr>
    </w:pPr>
  </w:style>
  <w:style w:type="numbering" w:customStyle="1" w:styleId="List44">
    <w:name w:val="List 44"/>
    <w:rsid w:val="008E68D4"/>
    <w:pPr>
      <w:numPr>
        <w:numId w:val="40"/>
      </w:numPr>
    </w:pPr>
  </w:style>
  <w:style w:type="numbering" w:customStyle="1" w:styleId="List21">
    <w:name w:val="List 21"/>
    <w:rsid w:val="008E68D4"/>
    <w:pPr>
      <w:numPr>
        <w:numId w:val="52"/>
      </w:numPr>
    </w:pPr>
  </w:style>
  <w:style w:type="numbering" w:customStyle="1" w:styleId="List52">
    <w:name w:val="List 52"/>
    <w:rsid w:val="008E68D4"/>
    <w:pPr>
      <w:numPr>
        <w:numId w:val="9"/>
      </w:numPr>
    </w:pPr>
  </w:style>
  <w:style w:type="numbering" w:customStyle="1" w:styleId="List24">
    <w:name w:val="List 24"/>
    <w:rsid w:val="008E68D4"/>
    <w:pPr>
      <w:numPr>
        <w:numId w:val="13"/>
      </w:numPr>
    </w:pPr>
  </w:style>
  <w:style w:type="numbering" w:customStyle="1" w:styleId="List51">
    <w:name w:val="List 51"/>
    <w:rsid w:val="008E68D4"/>
    <w:pPr>
      <w:numPr>
        <w:numId w:val="54"/>
      </w:numPr>
    </w:pPr>
  </w:style>
  <w:style w:type="numbering" w:customStyle="1" w:styleId="List27">
    <w:name w:val="List 27"/>
    <w:rsid w:val="008E68D4"/>
    <w:pPr>
      <w:numPr>
        <w:numId w:val="41"/>
      </w:numPr>
    </w:pPr>
  </w:style>
  <w:style w:type="numbering" w:customStyle="1" w:styleId="List8">
    <w:name w:val="List 8"/>
    <w:rsid w:val="008E68D4"/>
    <w:pPr>
      <w:numPr>
        <w:numId w:val="5"/>
      </w:numPr>
    </w:pPr>
  </w:style>
  <w:style w:type="numbering" w:customStyle="1" w:styleId="List13">
    <w:name w:val="List 13"/>
    <w:rsid w:val="008E68D4"/>
    <w:pPr>
      <w:numPr>
        <w:numId w:val="42"/>
      </w:numPr>
    </w:pPr>
  </w:style>
  <w:style w:type="numbering" w:customStyle="1" w:styleId="List20">
    <w:name w:val="List 20"/>
    <w:rsid w:val="008E68D4"/>
    <w:pPr>
      <w:numPr>
        <w:numId w:val="43"/>
      </w:numPr>
    </w:pPr>
  </w:style>
  <w:style w:type="numbering" w:customStyle="1" w:styleId="List41">
    <w:name w:val="List 41"/>
    <w:rsid w:val="008E68D4"/>
    <w:pPr>
      <w:numPr>
        <w:numId w:val="44"/>
      </w:numPr>
    </w:pPr>
  </w:style>
  <w:style w:type="numbering" w:customStyle="1" w:styleId="List31">
    <w:name w:val="List 31"/>
    <w:rsid w:val="008E68D4"/>
    <w:pPr>
      <w:numPr>
        <w:numId w:val="45"/>
      </w:numPr>
    </w:pPr>
  </w:style>
  <w:style w:type="numbering" w:customStyle="1" w:styleId="List6">
    <w:name w:val="List 6"/>
    <w:rsid w:val="008E68D4"/>
    <w:pPr>
      <w:numPr>
        <w:numId w:val="3"/>
      </w:numPr>
    </w:pPr>
  </w:style>
  <w:style w:type="numbering" w:customStyle="1" w:styleId="List39">
    <w:name w:val="List 39"/>
    <w:rsid w:val="008E68D4"/>
    <w:pPr>
      <w:numPr>
        <w:numId w:val="46"/>
      </w:numPr>
    </w:pPr>
  </w:style>
  <w:style w:type="numbering" w:customStyle="1" w:styleId="List37">
    <w:name w:val="List 37"/>
    <w:rsid w:val="008E68D4"/>
    <w:pPr>
      <w:numPr>
        <w:numId w:val="47"/>
      </w:numPr>
    </w:pPr>
  </w:style>
  <w:style w:type="numbering" w:customStyle="1" w:styleId="List32">
    <w:name w:val="List 32"/>
    <w:rsid w:val="008E68D4"/>
    <w:pPr>
      <w:numPr>
        <w:numId w:val="48"/>
      </w:numPr>
    </w:pPr>
  </w:style>
  <w:style w:type="numbering" w:customStyle="1" w:styleId="List26">
    <w:name w:val="List 26"/>
    <w:rsid w:val="008E68D4"/>
    <w:pPr>
      <w:numPr>
        <w:numId w:val="49"/>
      </w:numPr>
    </w:pPr>
  </w:style>
  <w:style w:type="numbering" w:customStyle="1" w:styleId="List48">
    <w:name w:val="List 48"/>
    <w:rsid w:val="008E68D4"/>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3936">
      <w:bodyDiv w:val="1"/>
      <w:marLeft w:val="0"/>
      <w:marRight w:val="0"/>
      <w:marTop w:val="0"/>
      <w:marBottom w:val="0"/>
      <w:divBdr>
        <w:top w:val="none" w:sz="0" w:space="0" w:color="auto"/>
        <w:left w:val="none" w:sz="0" w:space="0" w:color="auto"/>
        <w:bottom w:val="none" w:sz="0" w:space="0" w:color="auto"/>
        <w:right w:val="none" w:sz="0" w:space="0" w:color="auto"/>
      </w:divBdr>
    </w:div>
    <w:div w:id="1551456904">
      <w:marLeft w:val="0"/>
      <w:marRight w:val="0"/>
      <w:marTop w:val="0"/>
      <w:marBottom w:val="0"/>
      <w:divBdr>
        <w:top w:val="none" w:sz="0" w:space="0" w:color="auto"/>
        <w:left w:val="none" w:sz="0" w:space="0" w:color="auto"/>
        <w:bottom w:val="none" w:sz="0" w:space="0" w:color="auto"/>
        <w:right w:val="none" w:sz="0" w:space="0" w:color="auto"/>
      </w:divBdr>
    </w:div>
    <w:div w:id="1551456905">
      <w:marLeft w:val="0"/>
      <w:marRight w:val="0"/>
      <w:marTop w:val="0"/>
      <w:marBottom w:val="0"/>
      <w:divBdr>
        <w:top w:val="none" w:sz="0" w:space="0" w:color="auto"/>
        <w:left w:val="none" w:sz="0" w:space="0" w:color="auto"/>
        <w:bottom w:val="none" w:sz="0" w:space="0" w:color="auto"/>
        <w:right w:val="none" w:sz="0" w:space="0" w:color="auto"/>
      </w:divBdr>
    </w:div>
    <w:div w:id="1551456906">
      <w:marLeft w:val="0"/>
      <w:marRight w:val="0"/>
      <w:marTop w:val="0"/>
      <w:marBottom w:val="0"/>
      <w:divBdr>
        <w:top w:val="none" w:sz="0" w:space="0" w:color="auto"/>
        <w:left w:val="none" w:sz="0" w:space="0" w:color="auto"/>
        <w:bottom w:val="none" w:sz="0" w:space="0" w:color="auto"/>
        <w:right w:val="none" w:sz="0" w:space="0" w:color="auto"/>
      </w:divBdr>
    </w:div>
    <w:div w:id="1551456907">
      <w:marLeft w:val="0"/>
      <w:marRight w:val="0"/>
      <w:marTop w:val="0"/>
      <w:marBottom w:val="0"/>
      <w:divBdr>
        <w:top w:val="none" w:sz="0" w:space="0" w:color="auto"/>
        <w:left w:val="none" w:sz="0" w:space="0" w:color="auto"/>
        <w:bottom w:val="none" w:sz="0" w:space="0" w:color="auto"/>
        <w:right w:val="none" w:sz="0" w:space="0" w:color="auto"/>
      </w:divBdr>
    </w:div>
    <w:div w:id="1551456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3906-F044-42A1-B45B-95FFED7D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3080</Words>
  <Characters>16421</Characters>
  <Application>Microsoft Office Word</Application>
  <DocSecurity>0</DocSecurity>
  <Lines>264</Lines>
  <Paragraphs>47</Paragraphs>
  <ScaleCrop>false</ScaleCrop>
  <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70/15</dc:title>
  <dc:creator/>
  <cp:lastModifiedBy/>
  <cp:revision>1</cp:revision>
  <dcterms:created xsi:type="dcterms:W3CDTF">2016-02-18T20:19:00Z</dcterms:created>
  <dcterms:modified xsi:type="dcterms:W3CDTF">2016-02-18T20:19:00Z</dcterms:modified>
</cp:coreProperties>
</file>