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C46D36" w:rsidRDefault="00F1173A" w:rsidP="00627C9F">
      <w:pPr>
        <w:jc w:val="both"/>
        <w:rPr>
          <w:rFonts w:asciiTheme="majorHAnsi" w:hAnsiTheme="majorHAnsi" w:cs="Univers"/>
          <w:b/>
          <w:bCs/>
          <w:sz w:val="22"/>
          <w:szCs w:val="22"/>
          <w:lang w:val="es-ES_tradnl"/>
        </w:rPr>
      </w:pPr>
      <w:r w:rsidRPr="00C46D3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5F5D7F1" wp14:editId="336A1743">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C46D3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4B739D" wp14:editId="739F0E2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Default="008968F9" w:rsidP="00AE5488">
                            <w:r>
                              <w:rPr>
                                <w:noProof/>
                              </w:rPr>
                              <w:drawing>
                                <wp:inline distT="0" distB="0" distL="0" distR="0" wp14:anchorId="54AA3D52" wp14:editId="21FF688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8968F9" w:rsidRDefault="008968F9" w:rsidP="00AE5488">
                      <w:r>
                        <w:rPr>
                          <w:noProof/>
                        </w:rPr>
                        <w:drawing>
                          <wp:inline distT="0" distB="0" distL="0" distR="0" wp14:anchorId="3B57F47C" wp14:editId="384B14F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C46D36" w:rsidRDefault="00040C3A" w:rsidP="00040C3A">
      <w:pPr>
        <w:tabs>
          <w:tab w:val="center" w:pos="5400"/>
        </w:tabs>
        <w:suppressAutoHyphens/>
        <w:jc w:val="both"/>
        <w:rPr>
          <w:rFonts w:asciiTheme="majorHAnsi" w:hAnsiTheme="majorHAnsi"/>
          <w:sz w:val="22"/>
          <w:szCs w:val="22"/>
          <w:lang w:val="es-ES"/>
        </w:rPr>
      </w:pPr>
    </w:p>
    <w:p w:rsidR="00040C3A" w:rsidRPr="00C46D36" w:rsidRDefault="00040C3A" w:rsidP="00040C3A">
      <w:pPr>
        <w:tabs>
          <w:tab w:val="center" w:pos="5400"/>
        </w:tabs>
        <w:suppressAutoHyphens/>
        <w:jc w:val="both"/>
        <w:rPr>
          <w:rFonts w:asciiTheme="majorHAnsi" w:hAnsiTheme="majorHAnsi"/>
          <w:sz w:val="22"/>
          <w:szCs w:val="22"/>
          <w:lang w:val="es-ES"/>
        </w:rPr>
      </w:pPr>
    </w:p>
    <w:p w:rsidR="005128E4" w:rsidRPr="00C46D36" w:rsidRDefault="005128E4" w:rsidP="00040C3A">
      <w:pPr>
        <w:tabs>
          <w:tab w:val="center" w:pos="5400"/>
        </w:tabs>
        <w:suppressAutoHyphens/>
        <w:rPr>
          <w:rFonts w:asciiTheme="majorHAnsi" w:hAnsiTheme="majorHAnsi"/>
          <w:sz w:val="22"/>
          <w:szCs w:val="22"/>
          <w:lang w:val="es-ES_tradnl"/>
        </w:rPr>
      </w:pPr>
    </w:p>
    <w:p w:rsidR="005128E4" w:rsidRPr="00C46D36" w:rsidRDefault="005128E4" w:rsidP="00040C3A">
      <w:pPr>
        <w:tabs>
          <w:tab w:val="center" w:pos="5400"/>
        </w:tabs>
        <w:suppressAutoHyphens/>
        <w:rPr>
          <w:rFonts w:asciiTheme="majorHAnsi" w:hAnsiTheme="majorHAnsi"/>
          <w:sz w:val="22"/>
          <w:szCs w:val="22"/>
          <w:lang w:val="es-ES_tradnl"/>
        </w:rPr>
      </w:pPr>
    </w:p>
    <w:p w:rsidR="005128E4" w:rsidRPr="00C46D36" w:rsidRDefault="005128E4" w:rsidP="00040C3A">
      <w:pPr>
        <w:tabs>
          <w:tab w:val="center" w:pos="5400"/>
        </w:tabs>
        <w:suppressAutoHyphens/>
        <w:rPr>
          <w:rFonts w:asciiTheme="majorHAnsi" w:hAnsiTheme="majorHAnsi"/>
          <w:sz w:val="22"/>
          <w:szCs w:val="22"/>
          <w:lang w:val="es-ES_tradnl"/>
        </w:rPr>
      </w:pPr>
    </w:p>
    <w:p w:rsidR="00040C3A" w:rsidRPr="00C46D36" w:rsidRDefault="00040C3A" w:rsidP="005128E4">
      <w:pPr>
        <w:tabs>
          <w:tab w:val="center" w:pos="5400"/>
        </w:tabs>
        <w:suppressAutoHyphens/>
        <w:jc w:val="center"/>
        <w:rPr>
          <w:rFonts w:asciiTheme="majorHAnsi" w:hAnsiTheme="majorHAnsi"/>
          <w:sz w:val="22"/>
          <w:szCs w:val="22"/>
          <w:lang w:val="es-ES_tradnl"/>
        </w:rPr>
      </w:pPr>
    </w:p>
    <w:p w:rsidR="00040C3A" w:rsidRPr="00C46D36" w:rsidRDefault="00040C3A" w:rsidP="005128E4">
      <w:pPr>
        <w:tabs>
          <w:tab w:val="center" w:pos="5400"/>
        </w:tabs>
        <w:suppressAutoHyphens/>
        <w:jc w:val="center"/>
        <w:rPr>
          <w:rFonts w:asciiTheme="majorHAnsi" w:hAnsiTheme="majorHAnsi"/>
          <w:sz w:val="22"/>
          <w:szCs w:val="22"/>
          <w:lang w:val="es-ES_tradnl"/>
        </w:rPr>
      </w:pPr>
    </w:p>
    <w:p w:rsidR="005B52B0" w:rsidRPr="00C46D36" w:rsidRDefault="005B52B0" w:rsidP="005128E4">
      <w:pPr>
        <w:tabs>
          <w:tab w:val="center" w:pos="5400"/>
        </w:tabs>
        <w:suppressAutoHyphens/>
        <w:jc w:val="center"/>
        <w:rPr>
          <w:rFonts w:asciiTheme="majorHAnsi" w:hAnsiTheme="majorHAnsi"/>
          <w:sz w:val="22"/>
          <w:szCs w:val="22"/>
          <w:lang w:val="es-ES_tradnl"/>
        </w:rPr>
      </w:pPr>
    </w:p>
    <w:p w:rsidR="005B52B0" w:rsidRPr="00C46D36" w:rsidRDefault="005B52B0" w:rsidP="005128E4">
      <w:pPr>
        <w:tabs>
          <w:tab w:val="center" w:pos="5400"/>
        </w:tabs>
        <w:suppressAutoHyphens/>
        <w:jc w:val="center"/>
        <w:rPr>
          <w:rFonts w:asciiTheme="majorHAnsi" w:hAnsiTheme="majorHAnsi"/>
          <w:sz w:val="22"/>
          <w:szCs w:val="22"/>
          <w:lang w:val="es-ES_tradnl"/>
        </w:rPr>
      </w:pPr>
    </w:p>
    <w:p w:rsidR="005B52B0" w:rsidRPr="00C46D36" w:rsidRDefault="005B52B0" w:rsidP="005128E4">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F1173A" w:rsidP="00040C3A">
      <w:pPr>
        <w:tabs>
          <w:tab w:val="center" w:pos="5400"/>
        </w:tabs>
        <w:suppressAutoHyphens/>
        <w:jc w:val="center"/>
        <w:rPr>
          <w:rFonts w:asciiTheme="majorHAnsi" w:hAnsiTheme="majorHAnsi"/>
          <w:sz w:val="22"/>
          <w:szCs w:val="22"/>
          <w:lang w:val="es-ES_tradnl"/>
        </w:rPr>
      </w:pPr>
      <w:r w:rsidRPr="00C46D3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BB54603" wp14:editId="044BBE7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4E2649" w:rsidRDefault="008968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48C8">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/15</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lang w:val="es-ES_tradnl"/>
                              </w:rPr>
                            </w:pPr>
                            <w:r>
                              <w:rPr>
                                <w:rFonts w:ascii="Cambria" w:hAnsi="Cambria" w:cs="Arial"/>
                                <w:b/>
                                <w:color w:val="0D0D0D"/>
                                <w:sz w:val="36"/>
                                <w:szCs w:val="22"/>
                                <w:bdr w:val="none" w:sz="0" w:space="0" w:color="auto"/>
                                <w:lang w:val="es-ES_tradnl"/>
                              </w:rPr>
                              <w:t>CASO</w:t>
                            </w:r>
                            <w:r w:rsidRPr="00181829">
                              <w:rPr>
                                <w:rFonts w:ascii="Cambria" w:hAnsi="Cambria" w:cs="Arial"/>
                                <w:b/>
                                <w:color w:val="0D0D0D"/>
                                <w:sz w:val="36"/>
                                <w:szCs w:val="22"/>
                                <w:bdr w:val="none" w:sz="0" w:space="0" w:color="auto"/>
                                <w:lang w:val="es-ES_tradnl"/>
                              </w:rPr>
                              <w:t xml:space="preserve"> 11.794</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r w:rsidRPr="00181829">
                              <w:rPr>
                                <w:rFonts w:ascii="Cambria" w:hAnsi="Cambria" w:cs="Arial"/>
                                <w:color w:val="0D0D0D"/>
                                <w:szCs w:val="22"/>
                                <w:bdr w:val="none" w:sz="0" w:space="0" w:color="auto"/>
                                <w:lang w:val="es-ES_tradnl"/>
                              </w:rPr>
                              <w:t xml:space="preserve">INFORME DE ADMISIBILIDAD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bookmarkStart w:id="1" w:name="_ftnref1"/>
                          </w:p>
                          <w:bookmarkEnd w:id="1"/>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
                              </w:rPr>
                              <w:t xml:space="preserve">OLGA LUZ ECHAVARRÍA Y ELIÉCER PÉREZ MORALES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8968F9" w:rsidRPr="00AE5488" w:rsidRDefault="008968F9" w:rsidP="00181829">
                            <w:pPr>
                              <w:spacing w:line="276" w:lineRule="auto"/>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" filled="f" stroked="f" strokeweight=".5pt">
                <v:path arrowok="t"/>
                <v:textbox>
                  <w:txbxContent>
                    <w:p w:rsidR="008968F9" w:rsidRPr="004E2649" w:rsidRDefault="008968F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748C8">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/15</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lang w:val="es-ES_tradnl"/>
                        </w:rPr>
                      </w:pPr>
                      <w:r>
                        <w:rPr>
                          <w:rFonts w:ascii="Cambria" w:hAnsi="Cambria" w:cs="Arial"/>
                          <w:b/>
                          <w:color w:val="0D0D0D"/>
                          <w:sz w:val="36"/>
                          <w:szCs w:val="22"/>
                          <w:bdr w:val="none" w:sz="0" w:space="0" w:color="auto"/>
                          <w:lang w:val="es-ES_tradnl"/>
                        </w:rPr>
                        <w:t>CASO</w:t>
                      </w:r>
                      <w:r w:rsidRPr="00181829">
                        <w:rPr>
                          <w:rFonts w:ascii="Cambria" w:hAnsi="Cambria" w:cs="Arial"/>
                          <w:b/>
                          <w:color w:val="0D0D0D"/>
                          <w:sz w:val="36"/>
                          <w:szCs w:val="22"/>
                          <w:bdr w:val="none" w:sz="0" w:space="0" w:color="auto"/>
                          <w:lang w:val="es-ES_tradnl"/>
                        </w:rPr>
                        <w:t xml:space="preserve"> 11.794</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r w:rsidRPr="00181829">
                        <w:rPr>
                          <w:rFonts w:ascii="Cambria" w:hAnsi="Cambria" w:cs="Arial"/>
                          <w:color w:val="0D0D0D"/>
                          <w:szCs w:val="22"/>
                          <w:bdr w:val="none" w:sz="0" w:space="0" w:color="auto"/>
                          <w:lang w:val="es-ES_tradnl"/>
                        </w:rPr>
                        <w:t xml:space="preserve">INFORME DE ADMISIBILIDAD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_tradnl"/>
                        </w:rPr>
                      </w:pPr>
                      <w:bookmarkStart w:id="1" w:name="_ftnref1"/>
                    </w:p>
                    <w:bookmarkEnd w:id="1"/>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
                        </w:rPr>
                        <w:t xml:space="preserve">OLGA LUZ ECHAVARRÍA Y ELIÉCER PÉREZ MORALES </w:t>
                      </w:r>
                    </w:p>
                    <w:p w:rsidR="008968F9" w:rsidRPr="00181829" w:rsidRDefault="008968F9" w:rsidP="001818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181829">
                        <w:rPr>
                          <w:rFonts w:ascii="Cambria" w:hAnsi="Cambria" w:cs="Arial"/>
                          <w:color w:val="0D0D0D"/>
                          <w:szCs w:val="22"/>
                          <w:bdr w:val="none" w:sz="0" w:space="0" w:color="auto"/>
                          <w:lang w:val="es-ES_tradnl"/>
                        </w:rPr>
                        <w:t>COLOMBIA</w:t>
                      </w:r>
                    </w:p>
                    <w:p w:rsidR="008968F9" w:rsidRPr="00AE5488" w:rsidRDefault="008968F9" w:rsidP="00181829">
                      <w:pPr>
                        <w:spacing w:line="276" w:lineRule="auto"/>
                        <w:rPr>
                          <w:color w:val="0D0D0D" w:themeColor="text1" w:themeTint="F2"/>
                          <w:lang w:val="es-ES_tradnl"/>
                        </w:rPr>
                      </w:pPr>
                    </w:p>
                  </w:txbxContent>
                </v:textbox>
              </v:shape>
            </w:pict>
          </mc:Fallback>
        </mc:AlternateContent>
      </w:r>
      <w:r w:rsidRPr="00C46D3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14C4E47" wp14:editId="4763E61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402CBD" w:rsidRDefault="008968F9" w:rsidP="007A5817">
                            <w:pPr>
                              <w:spacing w:line="276" w:lineRule="auto"/>
                              <w:jc w:val="right"/>
                              <w:rPr>
                                <w:rFonts w:asciiTheme="minorHAnsi" w:hAnsiTheme="minorHAnsi"/>
                                <w:color w:val="FFFFFF" w:themeColor="background1"/>
                                <w:sz w:val="22"/>
                                <w:lang w:val="pt-BR"/>
                              </w:rPr>
                            </w:pPr>
                            <w:r w:rsidRPr="00402CBD">
                              <w:rPr>
                                <w:rFonts w:asciiTheme="minorHAnsi" w:hAnsiTheme="minorHAnsi"/>
                                <w:color w:val="FFFFFF" w:themeColor="background1"/>
                                <w:sz w:val="22"/>
                                <w:lang w:val="pt-BR"/>
                              </w:rPr>
                              <w:t>OEA/Ser.L/V/II.15</w:t>
                            </w:r>
                            <w:r w:rsidR="0078158C" w:rsidRPr="00402CBD">
                              <w:rPr>
                                <w:rFonts w:asciiTheme="minorHAnsi" w:hAnsiTheme="minorHAnsi"/>
                                <w:color w:val="FFFFFF" w:themeColor="background1"/>
                                <w:sz w:val="22"/>
                                <w:lang w:val="pt-BR"/>
                              </w:rPr>
                              <w:t>5</w:t>
                            </w:r>
                          </w:p>
                          <w:p w:rsidR="008968F9" w:rsidRPr="00402CBD" w:rsidRDefault="008968F9" w:rsidP="007A5817">
                            <w:pPr>
                              <w:spacing w:line="276" w:lineRule="auto"/>
                              <w:jc w:val="right"/>
                              <w:rPr>
                                <w:rFonts w:asciiTheme="minorHAnsi" w:hAnsiTheme="minorHAnsi"/>
                                <w:color w:val="FFFFFF" w:themeColor="background1"/>
                                <w:sz w:val="22"/>
                                <w:lang w:val="pt-BR"/>
                              </w:rPr>
                            </w:pPr>
                            <w:r w:rsidRPr="00402CBD">
                              <w:rPr>
                                <w:rFonts w:asciiTheme="minorHAnsi" w:hAnsiTheme="minorHAnsi"/>
                                <w:color w:val="FFFFFF" w:themeColor="background1"/>
                                <w:sz w:val="22"/>
                                <w:lang w:val="pt-BR"/>
                              </w:rPr>
                              <w:t xml:space="preserve">Doc. </w:t>
                            </w:r>
                            <w:r w:rsidR="00B748C8" w:rsidRPr="00402CBD">
                              <w:rPr>
                                <w:rFonts w:asciiTheme="minorHAnsi" w:hAnsiTheme="minorHAnsi"/>
                                <w:color w:val="FFFFFF" w:themeColor="background1"/>
                                <w:sz w:val="22"/>
                                <w:lang w:val="pt-BR"/>
                              </w:rPr>
                              <w:t>27</w:t>
                            </w:r>
                          </w:p>
                          <w:p w:rsidR="008968F9" w:rsidRPr="00320458" w:rsidRDefault="00B748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8968F9" w:rsidRPr="00320458">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julio</w:t>
                            </w:r>
                            <w:r w:rsidR="008968F9" w:rsidRPr="00320458">
                              <w:rPr>
                                <w:rFonts w:asciiTheme="minorHAnsi" w:hAnsiTheme="minorHAnsi"/>
                                <w:color w:val="FFFFFF" w:themeColor="background1"/>
                                <w:sz w:val="22"/>
                                <w:lang w:val="es-ES"/>
                              </w:rPr>
                              <w:t xml:space="preserve"> 2015</w:t>
                            </w:r>
                          </w:p>
                          <w:p w:rsidR="008968F9" w:rsidRPr="00320458" w:rsidRDefault="008968F9" w:rsidP="007A5817">
                            <w:pPr>
                              <w:spacing w:line="276" w:lineRule="auto"/>
                              <w:jc w:val="right"/>
                              <w:rPr>
                                <w:rFonts w:asciiTheme="minorHAnsi" w:hAnsiTheme="minorHAnsi"/>
                                <w:color w:val="FFFFFF" w:themeColor="background1"/>
                                <w:sz w:val="22"/>
                                <w:lang w:val="es-ES"/>
                              </w:rPr>
                            </w:pPr>
                            <w:r w:rsidRPr="00320458">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CzC8XvjAIAAIMFAAAOAAAAAAAAAAAAAAAAAC4CAABkcnMvZTJvRG9jLnhtbFBLAQIt&#10;ABQABgAIAAAAIQDcgcxX4AAAAAoBAAAPAAAAAAAAAAAAAAAAAOYEAABkcnMvZG93bnJldi54bWxQ&#10;SwUGAAAAAAQABADzAAAA8wUAAAAA&#10;" filled="f" stroked="f" strokeweight=".5pt">
                <v:path arrowok="t"/>
                <v:textbox>
                  <w:txbxContent>
                    <w:p w:rsidR="008968F9" w:rsidRPr="00B748C8" w:rsidRDefault="008968F9" w:rsidP="007A5817">
                      <w:pPr>
                        <w:spacing w:line="276" w:lineRule="auto"/>
                        <w:jc w:val="right"/>
                        <w:rPr>
                          <w:rFonts w:asciiTheme="minorHAnsi" w:hAnsiTheme="minorHAnsi"/>
                          <w:color w:val="FFFFFF" w:themeColor="background1"/>
                          <w:sz w:val="22"/>
                          <w:lang w:val="es-ES"/>
                        </w:rPr>
                      </w:pPr>
                      <w:r w:rsidRPr="00B748C8">
                        <w:rPr>
                          <w:rFonts w:asciiTheme="minorHAnsi" w:hAnsiTheme="minorHAnsi"/>
                          <w:color w:val="FFFFFF" w:themeColor="background1"/>
                          <w:sz w:val="22"/>
                          <w:lang w:val="es-ES"/>
                        </w:rPr>
                        <w:t>OEA/Ser.L/V/II.15</w:t>
                      </w:r>
                      <w:r w:rsidR="0078158C" w:rsidRPr="00B748C8">
                        <w:rPr>
                          <w:rFonts w:asciiTheme="minorHAnsi" w:hAnsiTheme="minorHAnsi"/>
                          <w:color w:val="FFFFFF" w:themeColor="background1"/>
                          <w:sz w:val="22"/>
                          <w:lang w:val="es-ES"/>
                        </w:rPr>
                        <w:t>5</w:t>
                      </w:r>
                    </w:p>
                    <w:p w:rsidR="008968F9" w:rsidRPr="00B748C8" w:rsidRDefault="008968F9" w:rsidP="007A5817">
                      <w:pPr>
                        <w:spacing w:line="276" w:lineRule="auto"/>
                        <w:jc w:val="right"/>
                        <w:rPr>
                          <w:rFonts w:asciiTheme="minorHAnsi" w:hAnsiTheme="minorHAnsi"/>
                          <w:color w:val="FFFFFF" w:themeColor="background1"/>
                          <w:sz w:val="22"/>
                          <w:lang w:val="es-ES"/>
                        </w:rPr>
                      </w:pPr>
                      <w:r w:rsidRPr="00B748C8">
                        <w:rPr>
                          <w:rFonts w:asciiTheme="minorHAnsi" w:hAnsiTheme="minorHAnsi"/>
                          <w:color w:val="FFFFFF" w:themeColor="background1"/>
                          <w:sz w:val="22"/>
                          <w:lang w:val="es-ES"/>
                        </w:rPr>
                        <w:t xml:space="preserve">Doc. </w:t>
                      </w:r>
                      <w:r w:rsidR="00B748C8" w:rsidRPr="00B748C8">
                        <w:rPr>
                          <w:rFonts w:asciiTheme="minorHAnsi" w:hAnsiTheme="minorHAnsi"/>
                          <w:color w:val="FFFFFF" w:themeColor="background1"/>
                          <w:sz w:val="22"/>
                          <w:lang w:val="es-ES"/>
                        </w:rPr>
                        <w:t>27</w:t>
                      </w:r>
                    </w:p>
                    <w:p w:rsidR="008968F9" w:rsidRPr="00320458" w:rsidRDefault="00B748C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8968F9" w:rsidRPr="00320458">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julio</w:t>
                      </w:r>
                      <w:r w:rsidR="008968F9" w:rsidRPr="00320458">
                        <w:rPr>
                          <w:rFonts w:asciiTheme="minorHAnsi" w:hAnsiTheme="minorHAnsi"/>
                          <w:color w:val="FFFFFF" w:themeColor="background1"/>
                          <w:sz w:val="22"/>
                          <w:lang w:val="es-ES"/>
                        </w:rPr>
                        <w:t xml:space="preserve"> 2015</w:t>
                      </w:r>
                    </w:p>
                    <w:p w:rsidR="008968F9" w:rsidRPr="00320458" w:rsidRDefault="008968F9" w:rsidP="007A5817">
                      <w:pPr>
                        <w:spacing w:line="276" w:lineRule="auto"/>
                        <w:jc w:val="right"/>
                        <w:rPr>
                          <w:rFonts w:asciiTheme="minorHAnsi" w:hAnsiTheme="minorHAnsi"/>
                          <w:color w:val="FFFFFF" w:themeColor="background1"/>
                          <w:sz w:val="22"/>
                          <w:lang w:val="es-ES"/>
                        </w:rPr>
                      </w:pPr>
                      <w:r w:rsidRPr="00320458">
                        <w:rPr>
                          <w:rFonts w:asciiTheme="minorHAnsi" w:hAnsiTheme="minorHAnsi"/>
                          <w:color w:val="FFFFFF" w:themeColor="background1"/>
                          <w:sz w:val="22"/>
                          <w:lang w:val="es-ES"/>
                        </w:rPr>
                        <w:t>Original: español</w:t>
                      </w:r>
                    </w:p>
                  </w:txbxContent>
                </v:textbox>
              </v:shape>
            </w:pict>
          </mc:Fallback>
        </mc:AlternateContent>
      </w: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cs="Arial"/>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5128E4" w:rsidRPr="00C46D36" w:rsidRDefault="005128E4"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5128E4" w:rsidRPr="00C46D36" w:rsidRDefault="005128E4" w:rsidP="00040C3A">
      <w:pPr>
        <w:tabs>
          <w:tab w:val="center" w:pos="5400"/>
        </w:tabs>
        <w:suppressAutoHyphens/>
        <w:jc w:val="center"/>
        <w:rPr>
          <w:rFonts w:asciiTheme="majorHAnsi" w:hAnsiTheme="majorHAnsi"/>
          <w:sz w:val="22"/>
          <w:szCs w:val="22"/>
          <w:lang w:val="es-ES_tradnl"/>
        </w:rPr>
      </w:pPr>
    </w:p>
    <w:p w:rsidR="005128E4" w:rsidRPr="00C46D36" w:rsidRDefault="005128E4" w:rsidP="00040C3A">
      <w:pPr>
        <w:tabs>
          <w:tab w:val="center" w:pos="5400"/>
        </w:tabs>
        <w:suppressAutoHyphens/>
        <w:jc w:val="center"/>
        <w:rPr>
          <w:rFonts w:asciiTheme="majorHAnsi" w:hAnsiTheme="majorHAnsi"/>
          <w:sz w:val="22"/>
          <w:szCs w:val="22"/>
          <w:lang w:val="es-ES_tradnl"/>
        </w:rPr>
      </w:pPr>
    </w:p>
    <w:p w:rsidR="005128E4" w:rsidRPr="00C46D36" w:rsidRDefault="005128E4"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040C3A" w:rsidRPr="00C46D36" w:rsidRDefault="00040C3A" w:rsidP="00040C3A">
      <w:pPr>
        <w:tabs>
          <w:tab w:val="center" w:pos="5400"/>
        </w:tabs>
        <w:suppressAutoHyphens/>
        <w:jc w:val="center"/>
        <w:rPr>
          <w:rFonts w:asciiTheme="majorHAnsi" w:hAnsiTheme="majorHAnsi"/>
          <w:sz w:val="22"/>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F1173A" w:rsidP="00040C3A">
      <w:pPr>
        <w:tabs>
          <w:tab w:val="center" w:pos="5400"/>
        </w:tabs>
        <w:suppressAutoHyphens/>
        <w:jc w:val="center"/>
        <w:rPr>
          <w:rFonts w:asciiTheme="majorHAnsi" w:hAnsiTheme="majorHAnsi"/>
          <w:sz w:val="18"/>
          <w:szCs w:val="22"/>
          <w:lang w:val="es-ES_tradnl"/>
        </w:rPr>
      </w:pPr>
      <w:r w:rsidRPr="00C46D3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6E6A6AD" wp14:editId="6995183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890650" w:rsidRDefault="008968F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748C8">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celebrada el </w:t>
                            </w:r>
                            <w:r w:rsidR="00B748C8">
                              <w:rPr>
                                <w:rFonts w:asciiTheme="majorHAnsi" w:hAnsiTheme="majorHAnsi"/>
                                <w:color w:val="0D0D0D" w:themeColor="text1" w:themeTint="F2"/>
                                <w:sz w:val="18"/>
                                <w:szCs w:val="20"/>
                                <w:lang w:val="es-ES"/>
                              </w:rPr>
                              <w:t>28</w:t>
                            </w:r>
                            <w:r w:rsidRPr="00890650">
                              <w:rPr>
                                <w:rFonts w:asciiTheme="majorHAnsi" w:hAnsiTheme="majorHAnsi"/>
                                <w:color w:val="0D0D0D" w:themeColor="text1" w:themeTint="F2"/>
                                <w:sz w:val="18"/>
                                <w:szCs w:val="20"/>
                                <w:lang w:val="es-ES"/>
                              </w:rPr>
                              <w:t xml:space="preserve"> de </w:t>
                            </w:r>
                            <w:r w:rsidR="00B748C8">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B748C8">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B748C8">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p>
                          <w:p w:rsidR="008968F9" w:rsidRPr="00167A34" w:rsidRDefault="008968F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" filled="f" stroked="f" strokeweight=".5pt">
                <v:path arrowok="t"/>
                <v:textbox>
                  <w:txbxContent>
                    <w:p w:rsidR="008968F9" w:rsidRPr="00890650" w:rsidRDefault="008968F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748C8">
                        <w:rPr>
                          <w:rFonts w:asciiTheme="majorHAnsi" w:hAnsiTheme="majorHAnsi"/>
                          <w:color w:val="0D0D0D" w:themeColor="text1" w:themeTint="F2"/>
                          <w:sz w:val="18"/>
                          <w:szCs w:val="20"/>
                          <w:lang w:val="es-ES"/>
                        </w:rPr>
                        <w:t>2044</w:t>
                      </w:r>
                      <w:r w:rsidRPr="00890650">
                        <w:rPr>
                          <w:rFonts w:asciiTheme="majorHAnsi" w:hAnsiTheme="majorHAnsi"/>
                          <w:color w:val="0D0D0D" w:themeColor="text1" w:themeTint="F2"/>
                          <w:sz w:val="18"/>
                          <w:szCs w:val="20"/>
                          <w:lang w:val="es-ES"/>
                        </w:rPr>
                        <w:t xml:space="preserve"> celebrada el </w:t>
                      </w:r>
                      <w:r w:rsidR="00B748C8">
                        <w:rPr>
                          <w:rFonts w:asciiTheme="majorHAnsi" w:hAnsiTheme="majorHAnsi"/>
                          <w:color w:val="0D0D0D" w:themeColor="text1" w:themeTint="F2"/>
                          <w:sz w:val="18"/>
                          <w:szCs w:val="20"/>
                          <w:lang w:val="es-ES"/>
                        </w:rPr>
                        <w:t>28</w:t>
                      </w:r>
                      <w:r w:rsidRPr="00890650">
                        <w:rPr>
                          <w:rFonts w:asciiTheme="majorHAnsi" w:hAnsiTheme="majorHAnsi"/>
                          <w:color w:val="0D0D0D" w:themeColor="text1" w:themeTint="F2"/>
                          <w:sz w:val="18"/>
                          <w:szCs w:val="20"/>
                          <w:lang w:val="es-ES"/>
                        </w:rPr>
                        <w:t xml:space="preserve"> de </w:t>
                      </w:r>
                      <w:r w:rsidR="00B748C8">
                        <w:rPr>
                          <w:rFonts w:asciiTheme="majorHAnsi" w:hAnsiTheme="majorHAnsi"/>
                          <w:color w:val="0D0D0D" w:themeColor="text1" w:themeTint="F2"/>
                          <w:sz w:val="18"/>
                          <w:szCs w:val="20"/>
                          <w:lang w:val="es-ES"/>
                        </w:rPr>
                        <w:t>julio</w:t>
                      </w:r>
                      <w:r w:rsidRPr="00890650">
                        <w:rPr>
                          <w:rFonts w:asciiTheme="majorHAnsi" w:hAnsiTheme="majorHAnsi"/>
                          <w:color w:val="0D0D0D" w:themeColor="text1" w:themeTint="F2"/>
                          <w:sz w:val="18"/>
                          <w:szCs w:val="20"/>
                          <w:lang w:val="es-ES"/>
                        </w:rPr>
                        <w:t xml:space="preserve"> de 201</w:t>
                      </w:r>
                      <w:r w:rsidR="00B748C8">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B748C8">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p>
                    <w:p w:rsidR="008968F9" w:rsidRPr="00167A34" w:rsidRDefault="008968F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A50FCF" w:rsidRPr="00C46D36" w:rsidRDefault="00F1173A" w:rsidP="00040C3A">
      <w:pPr>
        <w:tabs>
          <w:tab w:val="center" w:pos="5400"/>
        </w:tabs>
        <w:suppressAutoHyphens/>
        <w:jc w:val="center"/>
        <w:rPr>
          <w:rFonts w:asciiTheme="majorHAnsi" w:hAnsiTheme="majorHAnsi"/>
          <w:sz w:val="18"/>
          <w:szCs w:val="22"/>
          <w:lang w:val="es-ES_tradnl"/>
        </w:rPr>
      </w:pPr>
      <w:r w:rsidRPr="00C46D3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068C928" wp14:editId="7EFA05A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181829" w:rsidRDefault="008968F9" w:rsidP="00113F73">
                            <w:pPr>
                              <w:spacing w:line="276" w:lineRule="auto"/>
                              <w:rPr>
                                <w:rFonts w:asciiTheme="majorHAnsi" w:hAnsiTheme="majorHAnsi"/>
                                <w:color w:val="595959" w:themeColor="text1" w:themeTint="A6"/>
                                <w:sz w:val="18"/>
                                <w:szCs w:val="18"/>
                                <w:lang w:val="es-ES"/>
                              </w:rPr>
                            </w:pPr>
                            <w:r w:rsidRPr="0036212A">
                              <w:rPr>
                                <w:rFonts w:ascii="Cambria" w:hAnsi="Cambria"/>
                                <w:b/>
                                <w:color w:val="595959"/>
                                <w:sz w:val="18"/>
                                <w:szCs w:val="18"/>
                                <w:lang w:val="pt-BR"/>
                              </w:rPr>
                              <w:t>Citar como:</w:t>
                            </w:r>
                            <w:r w:rsidRPr="0036212A">
                              <w:rPr>
                                <w:rFonts w:ascii="Cambria" w:hAnsi="Cambria"/>
                                <w:color w:val="595959"/>
                                <w:sz w:val="18"/>
                                <w:szCs w:val="18"/>
                                <w:lang w:val="pt-BR"/>
                              </w:rPr>
                              <w:t xml:space="preserve"> CIDH, Informe No. </w:t>
                            </w:r>
                            <w:r w:rsidR="00B748C8">
                              <w:rPr>
                                <w:rFonts w:ascii="Cambria" w:hAnsi="Cambria"/>
                                <w:color w:val="595959"/>
                                <w:sz w:val="18"/>
                                <w:szCs w:val="18"/>
                                <w:lang w:val="pt-BR"/>
                              </w:rPr>
                              <w:t>47/15</w:t>
                            </w:r>
                            <w:r w:rsidRPr="0036212A">
                              <w:rPr>
                                <w:rFonts w:ascii="Cambria" w:hAnsi="Cambria"/>
                                <w:color w:val="595959"/>
                                <w:sz w:val="18"/>
                                <w:szCs w:val="18"/>
                                <w:lang w:val="pt-BR"/>
                              </w:rPr>
                              <w:t xml:space="preserve">, Caso 11.794. </w:t>
                            </w:r>
                            <w:r w:rsidRPr="001018AE">
                              <w:rPr>
                                <w:rFonts w:ascii="Cambria" w:hAnsi="Cambria"/>
                                <w:color w:val="595959"/>
                                <w:sz w:val="18"/>
                                <w:szCs w:val="18"/>
                                <w:lang w:val="es-ES_tradnl"/>
                              </w:rPr>
                              <w:t>A</w:t>
                            </w:r>
                            <w:r>
                              <w:rPr>
                                <w:rFonts w:ascii="Cambria" w:hAnsi="Cambria"/>
                                <w:color w:val="595959"/>
                                <w:sz w:val="18"/>
                                <w:szCs w:val="18"/>
                                <w:lang w:val="es-ES_tradnl"/>
                              </w:rPr>
                              <w:t xml:space="preserve">dmisibilidad. </w:t>
                            </w:r>
                            <w:r w:rsidRPr="00C25F1F">
                              <w:rPr>
                                <w:rFonts w:ascii="Cambria" w:hAnsi="Cambria"/>
                                <w:color w:val="595959"/>
                                <w:sz w:val="18"/>
                                <w:szCs w:val="18"/>
                                <w:lang w:val="es-ES"/>
                              </w:rPr>
                              <w:t>Olga Luz Echavarría y Eliécer Pérez Morales</w:t>
                            </w:r>
                            <w:r>
                              <w:rPr>
                                <w:rFonts w:ascii="Cambria" w:hAnsi="Cambria"/>
                                <w:color w:val="595959"/>
                                <w:sz w:val="18"/>
                                <w:szCs w:val="18"/>
                                <w:lang w:val="es-ES_tradnl"/>
                              </w:rPr>
                              <w:t>. Colombia.</w:t>
                            </w:r>
                            <w:r w:rsidRPr="00C25F1F">
                              <w:rPr>
                                <w:rFonts w:asciiTheme="majorHAnsi" w:hAnsiTheme="majorHAnsi"/>
                                <w:color w:val="595959" w:themeColor="text1" w:themeTint="A6"/>
                                <w:sz w:val="18"/>
                                <w:szCs w:val="18"/>
                                <w:lang w:val="es-ES"/>
                              </w:rPr>
                              <w:t xml:space="preserve"> </w:t>
                            </w:r>
                            <w:r w:rsidR="00B748C8">
                              <w:rPr>
                                <w:rFonts w:asciiTheme="majorHAnsi" w:hAnsiTheme="majorHAnsi"/>
                                <w:color w:val="595959" w:themeColor="text1" w:themeTint="A6"/>
                                <w:sz w:val="18"/>
                                <w:szCs w:val="18"/>
                                <w:lang w:val="es-ES"/>
                              </w:rPr>
                              <w:t>28 de julio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" filled="f" stroked="f" strokeweight=".5pt">
                <v:path arrowok="t"/>
                <v:textbox>
                  <w:txbxContent>
                    <w:p w:rsidR="008968F9" w:rsidRPr="00181829" w:rsidRDefault="008968F9" w:rsidP="00113F73">
                      <w:pPr>
                        <w:spacing w:line="276" w:lineRule="auto"/>
                        <w:rPr>
                          <w:rFonts w:asciiTheme="majorHAnsi" w:hAnsiTheme="majorHAnsi"/>
                          <w:color w:val="595959" w:themeColor="text1" w:themeTint="A6"/>
                          <w:sz w:val="18"/>
                          <w:szCs w:val="18"/>
                          <w:lang w:val="es-ES"/>
                        </w:rPr>
                      </w:pPr>
                      <w:r w:rsidRPr="0036212A">
                        <w:rPr>
                          <w:rFonts w:ascii="Cambria" w:hAnsi="Cambria"/>
                          <w:b/>
                          <w:color w:val="595959"/>
                          <w:sz w:val="18"/>
                          <w:szCs w:val="18"/>
                          <w:lang w:val="pt-BR"/>
                        </w:rPr>
                        <w:t>Citar como:</w:t>
                      </w:r>
                      <w:r w:rsidRPr="0036212A">
                        <w:rPr>
                          <w:rFonts w:ascii="Cambria" w:hAnsi="Cambria"/>
                          <w:color w:val="595959"/>
                          <w:sz w:val="18"/>
                          <w:szCs w:val="18"/>
                          <w:lang w:val="pt-BR"/>
                        </w:rPr>
                        <w:t xml:space="preserve"> CIDH, Informe No. </w:t>
                      </w:r>
                      <w:r w:rsidR="00B748C8">
                        <w:rPr>
                          <w:rFonts w:ascii="Cambria" w:hAnsi="Cambria"/>
                          <w:color w:val="595959"/>
                          <w:sz w:val="18"/>
                          <w:szCs w:val="18"/>
                          <w:lang w:val="pt-BR"/>
                        </w:rPr>
                        <w:t>47/15</w:t>
                      </w:r>
                      <w:r w:rsidRPr="0036212A">
                        <w:rPr>
                          <w:rFonts w:ascii="Cambria" w:hAnsi="Cambria"/>
                          <w:color w:val="595959"/>
                          <w:sz w:val="18"/>
                          <w:szCs w:val="18"/>
                          <w:lang w:val="pt-BR"/>
                        </w:rPr>
                        <w:t xml:space="preserve">, Caso 11.794. </w:t>
                      </w:r>
                      <w:r w:rsidRPr="001018AE">
                        <w:rPr>
                          <w:rFonts w:ascii="Cambria" w:hAnsi="Cambria"/>
                          <w:color w:val="595959"/>
                          <w:sz w:val="18"/>
                          <w:szCs w:val="18"/>
                          <w:lang w:val="es-ES_tradnl"/>
                        </w:rPr>
                        <w:t>A</w:t>
                      </w:r>
                      <w:r>
                        <w:rPr>
                          <w:rFonts w:ascii="Cambria" w:hAnsi="Cambria"/>
                          <w:color w:val="595959"/>
                          <w:sz w:val="18"/>
                          <w:szCs w:val="18"/>
                          <w:lang w:val="es-ES_tradnl"/>
                        </w:rPr>
                        <w:t xml:space="preserve">dmisibilidad. </w:t>
                      </w:r>
                      <w:r w:rsidRPr="00C25F1F">
                        <w:rPr>
                          <w:rFonts w:ascii="Cambria" w:hAnsi="Cambria"/>
                          <w:color w:val="595959"/>
                          <w:sz w:val="18"/>
                          <w:szCs w:val="18"/>
                          <w:lang w:val="es-ES"/>
                        </w:rPr>
                        <w:t>Olga Luz Echavarría y Eliécer Pérez Morales</w:t>
                      </w:r>
                      <w:r>
                        <w:rPr>
                          <w:rFonts w:ascii="Cambria" w:hAnsi="Cambria"/>
                          <w:color w:val="595959"/>
                          <w:sz w:val="18"/>
                          <w:szCs w:val="18"/>
                          <w:lang w:val="es-ES_tradnl"/>
                        </w:rPr>
                        <w:t>. Colombia.</w:t>
                      </w:r>
                      <w:r w:rsidRPr="00C25F1F">
                        <w:rPr>
                          <w:rFonts w:asciiTheme="majorHAnsi" w:hAnsiTheme="majorHAnsi"/>
                          <w:color w:val="595959" w:themeColor="text1" w:themeTint="A6"/>
                          <w:sz w:val="18"/>
                          <w:szCs w:val="18"/>
                          <w:lang w:val="es-ES"/>
                        </w:rPr>
                        <w:t xml:space="preserve"> </w:t>
                      </w:r>
                      <w:r w:rsidR="00B748C8">
                        <w:rPr>
                          <w:rFonts w:asciiTheme="majorHAnsi" w:hAnsiTheme="majorHAnsi"/>
                          <w:color w:val="595959" w:themeColor="text1" w:themeTint="A6"/>
                          <w:sz w:val="18"/>
                          <w:szCs w:val="18"/>
                          <w:lang w:val="es-ES"/>
                        </w:rPr>
                        <w:t>28 de julio de 2015.</w:t>
                      </w:r>
                    </w:p>
                  </w:txbxContent>
                </v:textbox>
              </v:shape>
            </w:pict>
          </mc:Fallback>
        </mc:AlternateContent>
      </w:r>
    </w:p>
    <w:p w:rsidR="00A50FCF" w:rsidRPr="00C46D36" w:rsidRDefault="00A50FCF" w:rsidP="00040C3A">
      <w:pPr>
        <w:tabs>
          <w:tab w:val="center" w:pos="5400"/>
        </w:tabs>
        <w:suppressAutoHyphens/>
        <w:jc w:val="center"/>
        <w:rPr>
          <w:rFonts w:asciiTheme="majorHAnsi" w:hAnsiTheme="majorHAnsi"/>
          <w:sz w:val="18"/>
          <w:szCs w:val="22"/>
          <w:lang w:val="es-ES_tradnl"/>
        </w:rPr>
      </w:pPr>
    </w:p>
    <w:p w:rsidR="0090270B" w:rsidRPr="00C46D36" w:rsidRDefault="00F1173A" w:rsidP="005516A1">
      <w:pPr>
        <w:tabs>
          <w:tab w:val="center" w:pos="5400"/>
        </w:tabs>
        <w:suppressAutoHyphens/>
        <w:jc w:val="center"/>
        <w:rPr>
          <w:rFonts w:asciiTheme="majorHAnsi" w:hAnsiTheme="majorHAnsi"/>
          <w:b/>
          <w:sz w:val="20"/>
          <w:lang w:val="es-ES_tradnl"/>
        </w:rPr>
      </w:pPr>
      <w:r w:rsidRPr="00C46D3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C5D817C" wp14:editId="7A3D1E8D">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D72DC6" w:rsidRDefault="008968F9" w:rsidP="00F02AD1">
                            <w:pPr>
                              <w:rPr>
                                <w:color w:val="FFFFFF" w:themeColor="background1"/>
                              </w:rPr>
                            </w:pPr>
                            <w:r w:rsidRPr="00D72DC6">
                              <w:rPr>
                                <w:noProof/>
                                <w:color w:val="FFFFFF" w:themeColor="background1"/>
                              </w:rPr>
                              <w:drawing>
                                <wp:inline distT="0" distB="0" distL="0" distR="0" wp14:anchorId="2FA76D31" wp14:editId="4514C3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" fillcolor="white [3201]" stroked="f" strokeweight=".5pt">
                <v:path arrowok="t"/>
                <v:textbox>
                  <w:txbxContent>
                    <w:p w:rsidR="008968F9" w:rsidRPr="00D72DC6" w:rsidRDefault="008968F9" w:rsidP="00F02AD1">
                      <w:pPr>
                        <w:rPr>
                          <w:color w:val="FFFFFF" w:themeColor="background1"/>
                        </w:rPr>
                      </w:pPr>
                      <w:r w:rsidRPr="00D72DC6">
                        <w:rPr>
                          <w:noProof/>
                          <w:color w:val="FFFFFF" w:themeColor="background1"/>
                        </w:rPr>
                        <w:drawing>
                          <wp:inline distT="0" distB="0" distL="0" distR="0" wp14:anchorId="51AAA94A" wp14:editId="1B2D603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46D3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FF107AD" wp14:editId="2CC032F6">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F9" w:rsidRPr="004B7EB6" w:rsidRDefault="008968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T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c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CYKyNOOAgAAggUAAA4AAAAAAAAAAAAAAAAALgIAAGRycy9lMm9Eb2MueG1sUEsB&#10;Ai0AFAAGAAgAAAAhACDAf2/gAAAACwEAAA8AAAAAAAAAAAAAAAAA6AQAAGRycy9kb3ducmV2Lnht&#10;bFBLBQYAAAAABAAEAPMAAAD1BQAAAAA=&#10;" filled="f" stroked="f" strokeweight=".5pt">
                <v:path arrowok="t"/>
                <v:textbox>
                  <w:txbxContent>
                    <w:p w:rsidR="008968F9" w:rsidRPr="004B7EB6" w:rsidRDefault="008968F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46D36" w:rsidRDefault="0070697F" w:rsidP="005516A1">
      <w:pPr>
        <w:tabs>
          <w:tab w:val="center" w:pos="5400"/>
        </w:tabs>
        <w:suppressAutoHyphens/>
        <w:jc w:val="center"/>
        <w:rPr>
          <w:rFonts w:asciiTheme="majorHAnsi" w:hAnsiTheme="majorHAnsi"/>
          <w:b/>
          <w:sz w:val="20"/>
          <w:lang w:val="es-ES_tradnl"/>
        </w:rPr>
        <w:sectPr w:rsidR="0070697F" w:rsidRPr="00C46D3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81829" w:rsidRPr="00C46D36"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b/>
          <w:sz w:val="18"/>
          <w:szCs w:val="18"/>
          <w:bdr w:val="none" w:sz="0" w:space="0" w:color="auto"/>
          <w:lang w:val="es-ES"/>
        </w:rPr>
      </w:pPr>
      <w:r w:rsidRPr="00C46D36">
        <w:rPr>
          <w:rFonts w:ascii="Cambria" w:hAnsi="Cambria" w:cs="Calibri"/>
          <w:b/>
          <w:sz w:val="18"/>
          <w:szCs w:val="18"/>
          <w:bdr w:val="none" w:sz="0" w:space="0" w:color="auto"/>
          <w:lang w:val="es-ES"/>
        </w:rPr>
        <w:lastRenderedPageBreak/>
        <w:t xml:space="preserve">INFORME No. </w:t>
      </w:r>
      <w:r w:rsidR="00B748C8" w:rsidRPr="00C46D36">
        <w:rPr>
          <w:rFonts w:ascii="Cambria" w:hAnsi="Cambria" w:cs="Calibri"/>
          <w:b/>
          <w:sz w:val="18"/>
          <w:szCs w:val="18"/>
          <w:bdr w:val="none" w:sz="0" w:space="0" w:color="auto"/>
          <w:lang w:val="es-ES"/>
        </w:rPr>
        <w:t>47</w:t>
      </w:r>
      <w:r w:rsidRPr="00C46D36">
        <w:rPr>
          <w:rFonts w:ascii="Cambria" w:hAnsi="Cambria" w:cs="Calibri"/>
          <w:b/>
          <w:sz w:val="18"/>
          <w:szCs w:val="18"/>
          <w:bdr w:val="none" w:sz="0" w:space="0" w:color="auto"/>
          <w:lang w:val="es-ES"/>
        </w:rPr>
        <w:t>/15</w:t>
      </w:r>
    </w:p>
    <w:p w:rsidR="00181829" w:rsidRPr="00C46D36" w:rsidRDefault="0036212A"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b/>
          <w:sz w:val="18"/>
          <w:szCs w:val="18"/>
          <w:bdr w:val="none" w:sz="0" w:space="0" w:color="auto"/>
          <w:lang w:val="es-ES"/>
        </w:rPr>
      </w:pPr>
      <w:r w:rsidRPr="00C46D36">
        <w:rPr>
          <w:rFonts w:ascii="Cambria" w:hAnsi="Cambria" w:cs="Calibri"/>
          <w:b/>
          <w:sz w:val="18"/>
          <w:szCs w:val="18"/>
          <w:bdr w:val="none" w:sz="0" w:space="0" w:color="auto"/>
          <w:lang w:val="es-ES"/>
        </w:rPr>
        <w:t>CASO</w:t>
      </w:r>
      <w:r w:rsidR="00181829" w:rsidRPr="00C46D36">
        <w:rPr>
          <w:rFonts w:ascii="Cambria" w:hAnsi="Cambria" w:cs="Calibri"/>
          <w:b/>
          <w:sz w:val="18"/>
          <w:szCs w:val="18"/>
          <w:bdr w:val="none" w:sz="0" w:space="0" w:color="auto"/>
          <w:lang w:val="es-ES"/>
        </w:rPr>
        <w:t xml:space="preserve"> 11.</w:t>
      </w:r>
      <w:r w:rsidRPr="00C46D36">
        <w:rPr>
          <w:rFonts w:ascii="Cambria" w:hAnsi="Cambria" w:cs="Calibri"/>
          <w:b/>
          <w:sz w:val="18"/>
          <w:szCs w:val="18"/>
          <w:bdr w:val="none" w:sz="0" w:space="0" w:color="auto"/>
          <w:lang w:val="es-ES"/>
        </w:rPr>
        <w:t>794</w:t>
      </w:r>
    </w:p>
    <w:p w:rsidR="00181829" w:rsidRPr="00C46D36"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lang w:val="es-ES"/>
        </w:rPr>
      </w:pPr>
      <w:r w:rsidRPr="00C46D36">
        <w:rPr>
          <w:rFonts w:ascii="Cambria" w:hAnsi="Cambria" w:cs="Calibri"/>
          <w:sz w:val="18"/>
          <w:szCs w:val="18"/>
          <w:bdr w:val="none" w:sz="0" w:space="0" w:color="auto"/>
          <w:lang w:val="es-ES"/>
        </w:rPr>
        <w:t>ADMISIBILIDAD</w:t>
      </w:r>
    </w:p>
    <w:p w:rsidR="00181829" w:rsidRPr="00C46D36"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caps/>
          <w:snapToGrid w:val="0"/>
          <w:sz w:val="18"/>
          <w:szCs w:val="18"/>
          <w:bdr w:val="none" w:sz="0" w:space="0" w:color="auto"/>
          <w:lang w:val="es-ES"/>
        </w:rPr>
      </w:pPr>
      <w:r w:rsidRPr="00C46D36">
        <w:rPr>
          <w:rFonts w:ascii="Cambria" w:hAnsi="Cambria" w:cs="Calibri"/>
          <w:caps/>
          <w:snapToGrid w:val="0"/>
          <w:sz w:val="18"/>
          <w:szCs w:val="18"/>
          <w:bdr w:val="none" w:sz="0" w:space="0" w:color="auto"/>
          <w:lang w:val="es-ES"/>
        </w:rPr>
        <w:t xml:space="preserve">OLGA LUZ ECHAVARRÍA Y ELIÉCER PÉREZ MORALES </w:t>
      </w:r>
    </w:p>
    <w:p w:rsidR="00181829" w:rsidRPr="00C46D36"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Cambria" w:hAnsi="Cambria" w:cs="Calibri"/>
          <w:sz w:val="18"/>
          <w:szCs w:val="18"/>
          <w:bdr w:val="none" w:sz="0" w:space="0" w:color="auto"/>
          <w:lang w:val="es-ES"/>
        </w:rPr>
      </w:pPr>
      <w:r w:rsidRPr="00C46D36">
        <w:rPr>
          <w:rFonts w:ascii="Cambria" w:hAnsi="Cambria" w:cs="Calibri"/>
          <w:sz w:val="18"/>
          <w:szCs w:val="18"/>
          <w:bdr w:val="none" w:sz="0" w:space="0" w:color="auto"/>
          <w:lang w:val="es-ES"/>
        </w:rPr>
        <w:t xml:space="preserve">COLOMBIA </w:t>
      </w:r>
    </w:p>
    <w:p w:rsidR="00181829" w:rsidRPr="00C46D36" w:rsidRDefault="00C9410D" w:rsidP="003F07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sz w:val="18"/>
          <w:szCs w:val="18"/>
          <w:bdr w:val="none" w:sz="0" w:space="0" w:color="auto"/>
          <w:lang w:val="es-ES"/>
        </w:rPr>
      </w:pPr>
      <w:r w:rsidRPr="00C46D36">
        <w:rPr>
          <w:rFonts w:ascii="Cambria" w:hAnsi="Cambria" w:cs="Calibri"/>
          <w:sz w:val="18"/>
          <w:szCs w:val="18"/>
          <w:bdr w:val="none" w:sz="0" w:space="0" w:color="auto"/>
          <w:lang w:val="es-ES"/>
        </w:rPr>
        <w:t>28 DE JULIO DE 2015</w:t>
      </w:r>
    </w:p>
    <w:p w:rsidR="00181829" w:rsidRPr="00C46D36" w:rsidRDefault="00181829" w:rsidP="003F076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sz w:val="20"/>
          <w:szCs w:val="20"/>
          <w:bdr w:val="none" w:sz="0" w:space="0" w:color="auto"/>
          <w:lang w:val="es-ES"/>
        </w:rPr>
      </w:pPr>
    </w:p>
    <w:p w:rsidR="00FA4AE1" w:rsidRPr="00C46D36" w:rsidRDefault="00FA4AE1"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z w:val="20"/>
          <w:szCs w:val="20"/>
          <w:bdr w:val="none" w:sz="0" w:space="0" w:color="auto"/>
          <w:lang w:val="es-ES"/>
        </w:rPr>
      </w:pPr>
    </w:p>
    <w:p w:rsidR="00E67A7A" w:rsidRPr="00C46D36" w:rsidRDefault="00E67A7A"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z w:val="20"/>
          <w:szCs w:val="20"/>
          <w:bdr w:val="none" w:sz="0" w:space="0" w:color="auto"/>
          <w:lang w:val="es-ES"/>
        </w:rPr>
      </w:pPr>
    </w:p>
    <w:p w:rsidR="00181829" w:rsidRPr="00C46D36"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bdr w:val="none" w:sz="0" w:space="0" w:color="auto"/>
          <w:lang w:val="es-PE"/>
        </w:rPr>
      </w:pPr>
      <w:r w:rsidRPr="00C46D36">
        <w:rPr>
          <w:rFonts w:ascii="Cambria" w:hAnsi="Cambria"/>
          <w:b/>
          <w:sz w:val="20"/>
          <w:szCs w:val="20"/>
          <w:bdr w:val="none" w:sz="0" w:space="0" w:color="auto"/>
          <w:lang w:val="es-PE"/>
        </w:rPr>
        <w:t xml:space="preserve">RESUMEN </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Cambria" w:hAnsi="Cambria" w:cs="Calibri"/>
          <w:snapToGrid w:val="0"/>
          <w:sz w:val="20"/>
          <w:szCs w:val="20"/>
          <w:bdr w:val="none" w:sz="0" w:space="0" w:color="auto"/>
          <w:lang w:val="es-ES"/>
        </w:rPr>
      </w:pPr>
      <w:r w:rsidRPr="00C46D36">
        <w:rPr>
          <w:rFonts w:ascii="Cambria" w:hAnsi="Cambria" w:cs="Calibri"/>
          <w:snapToGrid w:val="0"/>
          <w:sz w:val="20"/>
          <w:szCs w:val="20"/>
          <w:bdr w:val="none" w:sz="0" w:space="0" w:color="auto"/>
          <w:lang w:val="es-ES"/>
        </w:rPr>
        <w:t xml:space="preserve">El 8 de agosto de 1997, la </w:t>
      </w:r>
      <w:r w:rsidR="008645A4" w:rsidRPr="00C46D36">
        <w:rPr>
          <w:rFonts w:ascii="Cambria" w:hAnsi="Cambria" w:cs="Calibri"/>
          <w:snapToGrid w:val="0"/>
          <w:sz w:val="20"/>
          <w:szCs w:val="20"/>
          <w:bdr w:val="none" w:sz="0" w:space="0" w:color="auto"/>
          <w:lang w:val="es-ES"/>
        </w:rPr>
        <w:t>Comisión Interamericana de Derechos Humanos</w:t>
      </w:r>
      <w:r w:rsidRPr="00C46D36">
        <w:rPr>
          <w:rFonts w:ascii="Cambria" w:hAnsi="Cambria" w:cs="Calibri"/>
          <w:snapToGrid w:val="0"/>
          <w:sz w:val="20"/>
          <w:szCs w:val="20"/>
          <w:bdr w:val="none" w:sz="0" w:space="0" w:color="auto"/>
          <w:lang w:val="es-ES"/>
        </w:rPr>
        <w:t xml:space="preserve"> (en adelante “la Comisión” o “la CIDH”) recibió una petición presentada por la Comisión Colombiana de Juristas (CCJ) y la Asociación de familiares de detenidos desaparecidos (ASFADDES)</w:t>
      </w:r>
      <w:r w:rsidRPr="00C46D36">
        <w:rPr>
          <w:rFonts w:ascii="Cambria" w:hAnsi="Cambria"/>
          <w:snapToGrid w:val="0"/>
          <w:sz w:val="20"/>
          <w:szCs w:val="20"/>
          <w:bdr w:val="none" w:sz="0" w:space="0" w:color="auto"/>
          <w:vertAlign w:val="superscript"/>
          <w:lang w:val="es-ES"/>
        </w:rPr>
        <w:footnoteReference w:id="2"/>
      </w:r>
      <w:r w:rsidRPr="00C46D36">
        <w:rPr>
          <w:rFonts w:ascii="Cambria" w:hAnsi="Cambria" w:cs="Calibri"/>
          <w:snapToGrid w:val="0"/>
          <w:sz w:val="20"/>
          <w:szCs w:val="20"/>
          <w:bdr w:val="none" w:sz="0" w:space="0" w:color="auto"/>
          <w:lang w:val="es-ES"/>
        </w:rPr>
        <w:t>, (en adelante “los peticionarios”), en la cual se alega la violación por parte de la República de Colombia (en adelante “el Estado” o “el Estado colombiano”) de los artículos 3 (reconocimient</w:t>
      </w:r>
      <w:r w:rsidR="00A23F93" w:rsidRPr="00C46D36">
        <w:rPr>
          <w:rFonts w:ascii="Cambria" w:hAnsi="Cambria" w:cs="Calibri"/>
          <w:snapToGrid w:val="0"/>
          <w:sz w:val="20"/>
          <w:szCs w:val="20"/>
          <w:bdr w:val="none" w:sz="0" w:space="0" w:color="auto"/>
          <w:lang w:val="es-ES"/>
        </w:rPr>
        <w:t>o de la personalidad jurídica),</w:t>
      </w:r>
      <w:r w:rsidRPr="00C46D36">
        <w:rPr>
          <w:rFonts w:ascii="Cambria" w:hAnsi="Cambria" w:cs="Calibri"/>
          <w:snapToGrid w:val="0"/>
          <w:sz w:val="20"/>
          <w:szCs w:val="20"/>
          <w:bdr w:val="none" w:sz="0" w:space="0" w:color="auto"/>
          <w:lang w:val="es-ES"/>
        </w:rPr>
        <w:t xml:space="preserve"> 4 (derecho a la vida), 5 (derecho a la integridad personal), 7 (libertad personal), 8 (garantías judiciales), 13 (libertad de pensamiento y expresión), 19 (derechos del niño) y 25 (protección judicial) en relación con la obligación de respetar y garantizar los derechos, contenida en el artículo 1.1 de la Convención Americana sobre Derechos Humanos (en lo sucesivo la "Convención Americana" o “Convención”); así como los artículos I y II</w:t>
      </w:r>
      <w:r w:rsidR="00EE0B7E" w:rsidRPr="00C46D36">
        <w:rPr>
          <w:rFonts w:ascii="Cambria" w:hAnsi="Cambria" w:cs="Calibri"/>
          <w:snapToGrid w:val="0"/>
          <w:sz w:val="20"/>
          <w:szCs w:val="20"/>
          <w:bdr w:val="none" w:sz="0" w:space="0" w:color="auto"/>
          <w:lang w:val="es-ES"/>
        </w:rPr>
        <w:t>I</w:t>
      </w:r>
      <w:r w:rsidRPr="00C46D36">
        <w:rPr>
          <w:rFonts w:ascii="Cambria" w:hAnsi="Cambria" w:cs="Calibri"/>
          <w:snapToGrid w:val="0"/>
          <w:sz w:val="20"/>
          <w:szCs w:val="20"/>
          <w:bdr w:val="none" w:sz="0" w:space="0" w:color="auto"/>
          <w:lang w:val="es-ES"/>
        </w:rPr>
        <w:t xml:space="preserve"> de la Convención Interamericana sobre Desaparición Forzada de Personas (en adelante “CIDFP”) en perjuicio de Olga Luz Echavarría, Eliécer Pérez Morales y </w:t>
      </w:r>
      <w:r w:rsidR="0072065A" w:rsidRPr="00C46D36">
        <w:rPr>
          <w:rFonts w:ascii="Cambria" w:hAnsi="Cambria" w:cs="Calibri"/>
          <w:snapToGrid w:val="0"/>
          <w:sz w:val="20"/>
          <w:szCs w:val="20"/>
          <w:bdr w:val="none" w:sz="0" w:space="0" w:color="auto"/>
          <w:lang w:val="es-ES"/>
        </w:rPr>
        <w:t>los</w:t>
      </w:r>
      <w:r w:rsidRPr="00C46D36">
        <w:rPr>
          <w:rFonts w:ascii="Cambria" w:hAnsi="Cambria" w:cs="Calibri"/>
          <w:snapToGrid w:val="0"/>
          <w:sz w:val="20"/>
          <w:szCs w:val="20"/>
          <w:bdr w:val="none" w:sz="0" w:space="0" w:color="auto"/>
          <w:lang w:val="es-ES"/>
        </w:rPr>
        <w:t xml:space="preserve"> familiares</w:t>
      </w:r>
      <w:r w:rsidR="0072065A" w:rsidRPr="00C46D36">
        <w:rPr>
          <w:rFonts w:ascii="Cambria" w:hAnsi="Cambria" w:cs="Calibri"/>
          <w:snapToGrid w:val="0"/>
          <w:sz w:val="20"/>
          <w:szCs w:val="20"/>
          <w:bdr w:val="none" w:sz="0" w:space="0" w:color="auto"/>
          <w:lang w:val="es-ES"/>
        </w:rPr>
        <w:t xml:space="preserve"> de ambos</w:t>
      </w:r>
      <w:r w:rsidRPr="00C46D36">
        <w:rPr>
          <w:rFonts w:ascii="Cambria" w:hAnsi="Cambria" w:cs="Calibri"/>
          <w:snapToGrid w:val="0"/>
          <w:sz w:val="20"/>
          <w:szCs w:val="20"/>
          <w:bdr w:val="none" w:sz="0" w:space="0" w:color="auto"/>
          <w:lang w:val="es-ES"/>
        </w:rPr>
        <w:t>.</w:t>
      </w:r>
      <w:r w:rsidR="004452F3" w:rsidRPr="00C46D36">
        <w:rPr>
          <w:rStyle w:val="FootnoteReference"/>
          <w:rFonts w:ascii="Cambria" w:hAnsi="Cambria" w:cs="Calibri"/>
          <w:snapToGrid w:val="0"/>
          <w:sz w:val="20"/>
          <w:szCs w:val="20"/>
          <w:bdr w:val="none" w:sz="0" w:space="0" w:color="auto"/>
          <w:lang w:val="es-ES"/>
        </w:rPr>
        <w:footnoteReference w:id="3"/>
      </w: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napToGrid w:val="0"/>
          <w:sz w:val="20"/>
          <w:szCs w:val="20"/>
          <w:bdr w:val="none" w:sz="0" w:space="0" w:color="auto"/>
          <w:lang w:val="es-ES"/>
        </w:rPr>
        <w:t xml:space="preserve">Los peticionarios sostienen que el 28 de marzo de 1990 en el municipio de Yarumal (Antioquia), se habría dado la desaparición forzada de Olga Luz Echavarría y Eliécer Pérez Morales (en adelante “las presuntas víctimas”) la cual habría sido cometida por presuntos agentes estatales y que hasta la fecha no se habría juzgado a los responsables ni efectuado reparaciones por los hechos denunciados.  </w:t>
      </w:r>
      <w:r w:rsidR="00062BB8" w:rsidRPr="00C46D36">
        <w:rPr>
          <w:rFonts w:asciiTheme="majorHAnsi" w:hAnsiTheme="majorHAnsi" w:cs="Calibri"/>
          <w:snapToGrid w:val="0"/>
          <w:sz w:val="20"/>
          <w:szCs w:val="20"/>
          <w:bdr w:val="none" w:sz="0" w:space="0" w:color="auto"/>
          <w:lang w:val="es-ES"/>
        </w:rPr>
        <w:t>Invocaron la aplicación de las excepciones al requisito del previo agotamiento de los recursos internos, previstas en el artículo 46.2 de la Convención Americana.</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lang w:val="es-ES"/>
        </w:rPr>
      </w:pPr>
      <w:r w:rsidRPr="00C46D36">
        <w:rPr>
          <w:rFonts w:ascii="Cambria" w:hAnsi="Cambria" w:cs="Calibri"/>
          <w:snapToGrid w:val="0"/>
          <w:sz w:val="20"/>
          <w:szCs w:val="20"/>
          <w:bdr w:val="none" w:sz="0" w:space="0" w:color="auto"/>
          <w:lang w:val="es-ES"/>
        </w:rPr>
        <w:t xml:space="preserve">El Estado solicitó a </w:t>
      </w:r>
      <w:r w:rsidRPr="00C46D36">
        <w:rPr>
          <w:rFonts w:asciiTheme="majorHAnsi" w:hAnsiTheme="majorHAnsi" w:cs="Calibri"/>
          <w:snapToGrid w:val="0"/>
          <w:sz w:val="20"/>
          <w:szCs w:val="20"/>
          <w:bdr w:val="none" w:sz="0" w:space="0" w:color="auto"/>
          <w:lang w:val="es-ES"/>
        </w:rPr>
        <w:t>la Comisión que declarara el caso inadmisible sobre la base del incumplimiento con el requisito del previo agotamiento de los recursos internos previsto en el artículo 46.1.a</w:t>
      </w:r>
      <w:r w:rsidR="00444B98" w:rsidRPr="00C46D36">
        <w:rPr>
          <w:rFonts w:asciiTheme="majorHAnsi" w:hAnsiTheme="majorHAnsi" w:cs="Calibri"/>
          <w:snapToGrid w:val="0"/>
          <w:sz w:val="20"/>
          <w:szCs w:val="20"/>
          <w:bdr w:val="none" w:sz="0" w:space="0" w:color="auto"/>
          <w:lang w:val="es-ES"/>
        </w:rPr>
        <w:t>)</w:t>
      </w:r>
      <w:r w:rsidRPr="00C46D36">
        <w:rPr>
          <w:rFonts w:asciiTheme="majorHAnsi" w:hAnsiTheme="majorHAnsi" w:cs="Calibri"/>
          <w:snapToGrid w:val="0"/>
          <w:sz w:val="20"/>
          <w:szCs w:val="20"/>
          <w:bdr w:val="none" w:sz="0" w:space="0" w:color="auto"/>
          <w:lang w:val="es-ES"/>
        </w:rPr>
        <w:t xml:space="preserve"> de la Convención Americana, así como</w:t>
      </w:r>
      <w:r w:rsidRPr="00C46D36">
        <w:rPr>
          <w:rFonts w:asciiTheme="majorHAnsi" w:hAnsiTheme="majorHAnsi"/>
          <w:sz w:val="20"/>
          <w:szCs w:val="20"/>
          <w:bdr w:val="none" w:sz="0" w:space="0" w:color="auto"/>
          <w:lang w:val="es-ES"/>
        </w:rPr>
        <w:t xml:space="preserve"> la ausencia de caracterización de los hechos como presuntamente violatorios de la Convención.</w:t>
      </w:r>
      <w:r w:rsidRPr="00C46D36">
        <w:rPr>
          <w:rFonts w:asciiTheme="majorHAnsi" w:hAnsiTheme="majorHAnsi" w:cs="Calibri"/>
          <w:snapToGrid w:val="0"/>
          <w:sz w:val="20"/>
          <w:szCs w:val="20"/>
          <w:bdr w:val="none" w:sz="0" w:space="0" w:color="auto"/>
          <w:lang w:val="es-ES"/>
        </w:rPr>
        <w:t xml:space="preserve">  </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237518" w:rsidRPr="00C46D36" w:rsidRDefault="00237518" w:rsidP="002375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napToGrid w:val="0"/>
          <w:sz w:val="20"/>
          <w:szCs w:val="20"/>
          <w:bdr w:val="none" w:sz="0" w:space="0" w:color="auto"/>
          <w:lang w:val="es-ES"/>
        </w:rPr>
        <w:t xml:space="preserve">Tras el análisis de las posiciones de las partes, la Comisión concluyó, sin prejuzgar sobre el fondo del asunto, que es competente para decidir sobre el reclamo presentado por los peticionarios, y que el caso es admisible a la luz de los artículos 46 y 47 de la Convención Americana por las presuntas violaciones a los derechos consagrados en los artículos </w:t>
      </w:r>
      <w:r w:rsidRPr="00C46D36">
        <w:rPr>
          <w:rFonts w:ascii="Cambria" w:hAnsi="Cambria" w:cs="Calibri"/>
          <w:sz w:val="20"/>
          <w:szCs w:val="20"/>
          <w:bdr w:val="none" w:sz="0" w:space="0" w:color="auto"/>
          <w:lang w:val="es-ES"/>
        </w:rPr>
        <w:t xml:space="preserve">3, 4, 5, 7, 8, 16, 19 y 25 </w:t>
      </w:r>
      <w:r w:rsidRPr="00C46D36">
        <w:rPr>
          <w:rFonts w:ascii="Cambria" w:hAnsi="Cambria" w:cs="Calibri"/>
          <w:snapToGrid w:val="0"/>
          <w:sz w:val="20"/>
          <w:szCs w:val="20"/>
          <w:bdr w:val="none" w:sz="0" w:space="0" w:color="auto"/>
          <w:lang w:val="es-ES"/>
        </w:rPr>
        <w:t>de ese instrumento, en relación con su artículo 1.1 del mismo, así como al artículo I y III de la Convención Interamericana sobre Desaparición Forzada de Personas. La Comisión decide declarar inadmisible el artículo 13 invocado por los peticionarios.</w:t>
      </w:r>
      <w:r w:rsidRPr="00C46D36">
        <w:rPr>
          <w:lang w:val="es-ES"/>
        </w:rPr>
        <w:t xml:space="preserve"> </w:t>
      </w:r>
      <w:r w:rsidRPr="00C46D36">
        <w:rPr>
          <w:rFonts w:ascii="Cambria" w:hAnsi="Cambria" w:cs="Calibri"/>
          <w:snapToGrid w:val="0"/>
          <w:sz w:val="20"/>
          <w:szCs w:val="20"/>
          <w:bdr w:val="none" w:sz="0" w:space="0" w:color="auto"/>
          <w:lang w:val="es-ES"/>
        </w:rPr>
        <w:t>Por último, la Comisión decide notificar a ambas partes la referida decisión y ordenar la publicación del presente informe e incluirlo en su Informe Anual a la Asamblea General de la Organización de Estados Americanos.</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napToGrid w:val="0"/>
          <w:sz w:val="16"/>
          <w:szCs w:val="16"/>
          <w:bdr w:val="none" w:sz="0" w:space="0" w:color="auto"/>
          <w:lang w:val="es-ES"/>
        </w:rPr>
      </w:pPr>
    </w:p>
    <w:p w:rsidR="00181829" w:rsidRPr="00C46D36"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lang w:val="es-ES"/>
        </w:rPr>
      </w:pPr>
      <w:r w:rsidRPr="00C46D36">
        <w:rPr>
          <w:rFonts w:asciiTheme="majorHAnsi" w:hAnsiTheme="majorHAnsi"/>
          <w:b/>
          <w:sz w:val="20"/>
          <w:szCs w:val="20"/>
          <w:bdr w:val="none" w:sz="0" w:space="0" w:color="auto"/>
          <w:lang w:val="es-ES"/>
        </w:rPr>
        <w:t>TRÁMITE ANTE LA CIDH</w:t>
      </w:r>
    </w:p>
    <w:p w:rsidR="00BC03BD" w:rsidRPr="00C46D36" w:rsidRDefault="00BC03BD" w:rsidP="00A776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FA4AE1" w:rsidRPr="00C46D36" w:rsidRDefault="00181829" w:rsidP="00E363E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color w:val="auto"/>
          <w:sz w:val="20"/>
          <w:szCs w:val="20"/>
          <w:bdr w:val="none" w:sz="0" w:space="0" w:color="auto"/>
          <w:lang w:val="es-ES"/>
        </w:rPr>
      </w:pPr>
      <w:r w:rsidRPr="00C46D36">
        <w:rPr>
          <w:rFonts w:asciiTheme="majorHAnsi" w:hAnsiTheme="majorHAnsi" w:cs="Calibri"/>
          <w:snapToGrid w:val="0"/>
          <w:color w:val="auto"/>
          <w:sz w:val="20"/>
          <w:szCs w:val="20"/>
          <w:bdr w:val="none" w:sz="0" w:space="0" w:color="auto"/>
          <w:lang w:val="es-ES"/>
        </w:rPr>
        <w:t xml:space="preserve">La petición fue recibida el </w:t>
      </w:r>
      <w:r w:rsidR="00A326D0" w:rsidRPr="00C46D36">
        <w:rPr>
          <w:rFonts w:asciiTheme="majorHAnsi" w:hAnsiTheme="majorHAnsi" w:cs="Calibri"/>
          <w:snapToGrid w:val="0"/>
          <w:color w:val="auto"/>
          <w:sz w:val="20"/>
          <w:szCs w:val="20"/>
          <w:bdr w:val="none" w:sz="0" w:space="0" w:color="auto"/>
          <w:lang w:val="es-ES"/>
        </w:rPr>
        <w:t>8</w:t>
      </w:r>
      <w:r w:rsidR="00E1687F" w:rsidRPr="00C46D36">
        <w:rPr>
          <w:rFonts w:asciiTheme="majorHAnsi" w:hAnsiTheme="majorHAnsi" w:cs="Calibri"/>
          <w:snapToGrid w:val="0"/>
          <w:color w:val="auto"/>
          <w:sz w:val="20"/>
          <w:szCs w:val="20"/>
          <w:bdr w:val="none" w:sz="0" w:space="0" w:color="auto"/>
          <w:lang w:val="es-ES"/>
        </w:rPr>
        <w:t xml:space="preserve"> de agosto de 1997</w:t>
      </w:r>
      <w:r w:rsidR="00AA5DF6" w:rsidRPr="00C46D36">
        <w:rPr>
          <w:rFonts w:asciiTheme="majorHAnsi" w:hAnsiTheme="majorHAnsi" w:cs="Calibri"/>
          <w:snapToGrid w:val="0"/>
          <w:color w:val="auto"/>
          <w:sz w:val="20"/>
          <w:szCs w:val="20"/>
          <w:bdr w:val="none" w:sz="0" w:space="0" w:color="auto"/>
          <w:lang w:val="es-ES"/>
        </w:rPr>
        <w:t xml:space="preserve"> y registrada bajo el No.</w:t>
      </w:r>
      <w:r w:rsidR="00841BA0" w:rsidRPr="00C46D36">
        <w:rPr>
          <w:rFonts w:asciiTheme="majorHAnsi" w:hAnsiTheme="majorHAnsi" w:cs="Calibri"/>
          <w:snapToGrid w:val="0"/>
          <w:color w:val="auto"/>
          <w:sz w:val="20"/>
          <w:szCs w:val="20"/>
          <w:bdr w:val="none" w:sz="0" w:space="0" w:color="auto"/>
          <w:lang w:val="es-ES"/>
        </w:rPr>
        <w:t xml:space="preserve"> </w:t>
      </w:r>
      <w:r w:rsidRPr="00C46D36">
        <w:rPr>
          <w:rFonts w:asciiTheme="majorHAnsi" w:hAnsiTheme="majorHAnsi" w:cs="Calibri"/>
          <w:snapToGrid w:val="0"/>
          <w:color w:val="auto"/>
          <w:sz w:val="20"/>
          <w:szCs w:val="20"/>
          <w:bdr w:val="none" w:sz="0" w:space="0" w:color="auto"/>
          <w:lang w:val="es-ES"/>
        </w:rPr>
        <w:t>11.</w:t>
      </w:r>
      <w:r w:rsidR="00E1687F" w:rsidRPr="00C46D36">
        <w:rPr>
          <w:rFonts w:asciiTheme="majorHAnsi" w:hAnsiTheme="majorHAnsi" w:cs="Calibri"/>
          <w:snapToGrid w:val="0"/>
          <w:color w:val="auto"/>
          <w:sz w:val="20"/>
          <w:szCs w:val="20"/>
          <w:bdr w:val="none" w:sz="0" w:space="0" w:color="auto"/>
          <w:lang w:val="es-ES"/>
        </w:rPr>
        <w:t>794</w:t>
      </w:r>
      <w:r w:rsidR="00A77661" w:rsidRPr="00C46D36">
        <w:rPr>
          <w:rFonts w:asciiTheme="majorHAnsi" w:hAnsiTheme="majorHAnsi" w:cs="Calibri"/>
          <w:snapToGrid w:val="0"/>
          <w:color w:val="auto"/>
          <w:sz w:val="20"/>
          <w:szCs w:val="20"/>
          <w:bdr w:val="none" w:sz="0" w:space="0" w:color="auto"/>
          <w:lang w:val="es-ES"/>
        </w:rPr>
        <w:t>. El</w:t>
      </w:r>
      <w:r w:rsidRPr="00C46D36">
        <w:rPr>
          <w:rFonts w:asciiTheme="majorHAnsi" w:hAnsiTheme="majorHAnsi" w:cs="Calibri"/>
          <w:snapToGrid w:val="0"/>
          <w:color w:val="auto"/>
          <w:sz w:val="20"/>
          <w:szCs w:val="20"/>
          <w:bdr w:val="none" w:sz="0" w:space="0" w:color="auto"/>
          <w:lang w:val="es-ES"/>
        </w:rPr>
        <w:t xml:space="preserve"> 2</w:t>
      </w:r>
      <w:r w:rsidR="00E1687F" w:rsidRPr="00C46D36">
        <w:rPr>
          <w:rFonts w:asciiTheme="majorHAnsi" w:hAnsiTheme="majorHAnsi" w:cs="Calibri"/>
          <w:snapToGrid w:val="0"/>
          <w:color w:val="auto"/>
          <w:sz w:val="20"/>
          <w:szCs w:val="20"/>
          <w:bdr w:val="none" w:sz="0" w:space="0" w:color="auto"/>
          <w:lang w:val="es-ES"/>
        </w:rPr>
        <w:t>2 de agosto de 1997</w:t>
      </w:r>
      <w:r w:rsidRPr="00C46D36">
        <w:rPr>
          <w:rFonts w:asciiTheme="majorHAnsi" w:hAnsiTheme="majorHAnsi" w:cs="Calibri"/>
          <w:snapToGrid w:val="0"/>
          <w:color w:val="auto"/>
          <w:sz w:val="20"/>
          <w:szCs w:val="20"/>
          <w:bdr w:val="none" w:sz="0" w:space="0" w:color="auto"/>
          <w:lang w:val="es-ES"/>
        </w:rPr>
        <w:t xml:space="preserve"> se </w:t>
      </w:r>
      <w:r w:rsidR="00841BA0" w:rsidRPr="00C46D36">
        <w:rPr>
          <w:rFonts w:asciiTheme="majorHAnsi" w:hAnsiTheme="majorHAnsi" w:cs="Calibri"/>
          <w:snapToGrid w:val="0"/>
          <w:color w:val="auto"/>
          <w:sz w:val="20"/>
          <w:szCs w:val="20"/>
          <w:bdr w:val="none" w:sz="0" w:space="0" w:color="auto"/>
          <w:lang w:val="es-ES"/>
        </w:rPr>
        <w:t>tras</w:t>
      </w:r>
      <w:r w:rsidR="00A77661" w:rsidRPr="00C46D36">
        <w:rPr>
          <w:rFonts w:asciiTheme="majorHAnsi" w:hAnsiTheme="majorHAnsi" w:cs="Calibri"/>
          <w:snapToGrid w:val="0"/>
          <w:color w:val="auto"/>
          <w:sz w:val="20"/>
          <w:szCs w:val="20"/>
          <w:bdr w:val="none" w:sz="0" w:space="0" w:color="auto"/>
          <w:lang w:val="es-ES"/>
        </w:rPr>
        <w:t>ladaron las partes pertinentes</w:t>
      </w:r>
      <w:r w:rsidRPr="00C46D36">
        <w:rPr>
          <w:rFonts w:asciiTheme="majorHAnsi" w:hAnsiTheme="majorHAnsi" w:cs="Calibri"/>
          <w:snapToGrid w:val="0"/>
          <w:color w:val="auto"/>
          <w:sz w:val="20"/>
          <w:szCs w:val="20"/>
          <w:bdr w:val="none" w:sz="0" w:space="0" w:color="auto"/>
          <w:lang w:val="es-ES"/>
        </w:rPr>
        <w:t xml:space="preserve"> al Estado</w:t>
      </w:r>
      <w:r w:rsidR="001C5138" w:rsidRPr="00C46D36">
        <w:rPr>
          <w:rFonts w:asciiTheme="majorHAnsi" w:hAnsiTheme="majorHAnsi" w:cs="Calibri"/>
          <w:snapToGrid w:val="0"/>
          <w:color w:val="auto"/>
          <w:sz w:val="20"/>
          <w:szCs w:val="20"/>
          <w:bdr w:val="none" w:sz="0" w:space="0" w:color="auto"/>
          <w:lang w:val="es-ES"/>
        </w:rPr>
        <w:t>, otorgándole un plazo de tres meses para presentar sus observaciones</w:t>
      </w:r>
      <w:r w:rsidR="00841BA0" w:rsidRPr="00C46D36">
        <w:rPr>
          <w:rFonts w:asciiTheme="majorHAnsi" w:hAnsiTheme="majorHAnsi" w:cs="Calibri"/>
          <w:snapToGrid w:val="0"/>
          <w:color w:val="auto"/>
          <w:sz w:val="20"/>
          <w:szCs w:val="20"/>
          <w:bdr w:val="none" w:sz="0" w:space="0" w:color="auto"/>
          <w:lang w:val="es-ES"/>
        </w:rPr>
        <w:t>.</w:t>
      </w:r>
      <w:r w:rsidRPr="00C46D36">
        <w:rPr>
          <w:rFonts w:asciiTheme="majorHAnsi" w:hAnsiTheme="majorHAnsi" w:cs="Calibri"/>
          <w:snapToGrid w:val="0"/>
          <w:color w:val="auto"/>
          <w:sz w:val="20"/>
          <w:szCs w:val="20"/>
          <w:bdr w:val="none" w:sz="0" w:space="0" w:color="auto"/>
          <w:lang w:val="es-ES"/>
        </w:rPr>
        <w:t xml:space="preserve"> </w:t>
      </w:r>
      <w:r w:rsidR="009A0E6F" w:rsidRPr="00C46D36">
        <w:rPr>
          <w:rFonts w:asciiTheme="majorHAnsi" w:hAnsiTheme="majorHAnsi" w:cs="Calibri"/>
          <w:snapToGrid w:val="0"/>
          <w:color w:val="auto"/>
          <w:sz w:val="20"/>
          <w:szCs w:val="20"/>
          <w:bdr w:val="none" w:sz="0" w:space="0" w:color="auto"/>
          <w:lang w:val="es-ES"/>
        </w:rPr>
        <w:t xml:space="preserve">El </w:t>
      </w:r>
      <w:r w:rsidR="001C5138" w:rsidRPr="00C46D36">
        <w:rPr>
          <w:rFonts w:asciiTheme="majorHAnsi" w:hAnsiTheme="majorHAnsi" w:cs="Calibri"/>
          <w:snapToGrid w:val="0"/>
          <w:color w:val="auto"/>
          <w:sz w:val="20"/>
          <w:szCs w:val="20"/>
          <w:bdr w:val="none" w:sz="0" w:space="0" w:color="auto"/>
          <w:lang w:val="es-ES"/>
        </w:rPr>
        <w:t xml:space="preserve">Estado </w:t>
      </w:r>
      <w:r w:rsidR="00D26C15" w:rsidRPr="00C46D36">
        <w:rPr>
          <w:rFonts w:asciiTheme="majorHAnsi" w:hAnsiTheme="majorHAnsi" w:cs="Calibri"/>
          <w:snapToGrid w:val="0"/>
          <w:color w:val="auto"/>
          <w:sz w:val="20"/>
          <w:szCs w:val="20"/>
          <w:bdr w:val="none" w:sz="0" w:space="0" w:color="auto"/>
          <w:lang w:val="es-ES"/>
        </w:rPr>
        <w:t>present</w:t>
      </w:r>
      <w:r w:rsidR="00A77661" w:rsidRPr="00C46D36">
        <w:rPr>
          <w:rFonts w:asciiTheme="majorHAnsi" w:hAnsiTheme="majorHAnsi" w:cs="Calibri"/>
          <w:snapToGrid w:val="0"/>
          <w:color w:val="auto"/>
          <w:sz w:val="20"/>
          <w:szCs w:val="20"/>
          <w:bdr w:val="none" w:sz="0" w:space="0" w:color="auto"/>
          <w:lang w:val="es-ES"/>
        </w:rPr>
        <w:t>ó</w:t>
      </w:r>
      <w:r w:rsidR="00D26C15" w:rsidRPr="00C46D36">
        <w:rPr>
          <w:rFonts w:asciiTheme="majorHAnsi" w:hAnsiTheme="majorHAnsi" w:cs="Calibri"/>
          <w:snapToGrid w:val="0"/>
          <w:color w:val="auto"/>
          <w:sz w:val="20"/>
          <w:szCs w:val="20"/>
          <w:bdr w:val="none" w:sz="0" w:space="0" w:color="auto"/>
          <w:lang w:val="es-ES"/>
        </w:rPr>
        <w:t xml:space="preserve"> sus observaciones el </w:t>
      </w:r>
      <w:r w:rsidR="0062408E" w:rsidRPr="00C46D36">
        <w:rPr>
          <w:rFonts w:asciiTheme="majorHAnsi" w:hAnsiTheme="majorHAnsi" w:cs="Calibri"/>
          <w:snapToGrid w:val="0"/>
          <w:color w:val="auto"/>
          <w:sz w:val="20"/>
          <w:szCs w:val="20"/>
          <w:bdr w:val="none" w:sz="0" w:space="0" w:color="auto"/>
          <w:lang w:val="es-ES"/>
        </w:rPr>
        <w:t>18 de abril de 2001</w:t>
      </w:r>
      <w:r w:rsidR="005823D2" w:rsidRPr="00C46D36">
        <w:rPr>
          <w:rFonts w:asciiTheme="majorHAnsi" w:hAnsiTheme="majorHAnsi" w:cs="Calibri"/>
          <w:snapToGrid w:val="0"/>
          <w:color w:val="auto"/>
          <w:sz w:val="20"/>
          <w:szCs w:val="20"/>
          <w:bdr w:val="none" w:sz="0" w:space="0" w:color="auto"/>
          <w:lang w:val="es-ES"/>
        </w:rPr>
        <w:t xml:space="preserve"> </w:t>
      </w:r>
      <w:r w:rsidR="00D26C15" w:rsidRPr="00C46D36">
        <w:rPr>
          <w:rFonts w:asciiTheme="majorHAnsi" w:hAnsiTheme="majorHAnsi" w:cs="Calibri"/>
          <w:snapToGrid w:val="0"/>
          <w:color w:val="auto"/>
          <w:sz w:val="20"/>
          <w:szCs w:val="20"/>
          <w:bdr w:val="none" w:sz="0" w:space="0" w:color="auto"/>
          <w:lang w:val="es-ES"/>
        </w:rPr>
        <w:t>y</w:t>
      </w:r>
      <w:r w:rsidR="009A0E6F" w:rsidRPr="00C46D36">
        <w:rPr>
          <w:rFonts w:asciiTheme="majorHAnsi" w:hAnsiTheme="majorHAnsi" w:cs="Calibri"/>
          <w:snapToGrid w:val="0"/>
          <w:color w:val="auto"/>
          <w:sz w:val="20"/>
          <w:szCs w:val="20"/>
          <w:bdr w:val="none" w:sz="0" w:space="0" w:color="auto"/>
          <w:lang w:val="es-ES"/>
        </w:rPr>
        <w:t xml:space="preserve"> el </w:t>
      </w:r>
      <w:r w:rsidR="005771FA" w:rsidRPr="00C46D36">
        <w:rPr>
          <w:rFonts w:asciiTheme="majorHAnsi" w:hAnsiTheme="majorHAnsi" w:cs="Calibri"/>
          <w:snapToGrid w:val="0"/>
          <w:color w:val="auto"/>
          <w:sz w:val="20"/>
          <w:szCs w:val="20"/>
          <w:bdr w:val="none" w:sz="0" w:space="0" w:color="auto"/>
          <w:lang w:val="es-ES"/>
        </w:rPr>
        <w:t>1 de noviembre de 2013</w:t>
      </w:r>
      <w:r w:rsidR="00D26C15" w:rsidRPr="00C46D36">
        <w:rPr>
          <w:rFonts w:asciiTheme="majorHAnsi" w:hAnsiTheme="majorHAnsi" w:cs="Calibri"/>
          <w:snapToGrid w:val="0"/>
          <w:color w:val="auto"/>
          <w:sz w:val="20"/>
          <w:szCs w:val="20"/>
          <w:bdr w:val="none" w:sz="0" w:space="0" w:color="auto"/>
          <w:lang w:val="es-ES"/>
        </w:rPr>
        <w:t>, notas que fueron trasladadas a los peticionarios.</w:t>
      </w:r>
      <w:r w:rsidR="00E363E4" w:rsidRPr="00C46D36">
        <w:rPr>
          <w:rFonts w:asciiTheme="majorHAnsi" w:hAnsiTheme="majorHAnsi" w:cs="Calibri"/>
          <w:snapToGrid w:val="0"/>
          <w:color w:val="auto"/>
          <w:sz w:val="20"/>
          <w:szCs w:val="20"/>
          <w:bdr w:val="none" w:sz="0" w:space="0" w:color="auto"/>
          <w:lang w:val="es-ES"/>
        </w:rPr>
        <w:t xml:space="preserve"> </w:t>
      </w:r>
      <w:r w:rsidR="00FA4AE1" w:rsidRPr="00C46D36">
        <w:rPr>
          <w:rFonts w:asciiTheme="majorHAnsi" w:hAnsiTheme="majorHAnsi" w:cs="Calibri"/>
          <w:snapToGrid w:val="0"/>
          <w:color w:val="auto"/>
          <w:sz w:val="20"/>
          <w:szCs w:val="20"/>
          <w:bdr w:val="none" w:sz="0" w:space="0" w:color="auto"/>
          <w:lang w:val="es-ES"/>
        </w:rPr>
        <w:t xml:space="preserve">Por su parte, los peticionarios </w:t>
      </w:r>
      <w:r w:rsidR="00062BB8" w:rsidRPr="00C46D36">
        <w:rPr>
          <w:rFonts w:asciiTheme="majorHAnsi" w:hAnsiTheme="majorHAnsi"/>
          <w:color w:val="auto"/>
          <w:sz w:val="20"/>
          <w:szCs w:val="20"/>
          <w:lang w:val="es-ES"/>
        </w:rPr>
        <w:t xml:space="preserve">el </w:t>
      </w:r>
      <w:r w:rsidR="00062BB8" w:rsidRPr="00C46D36">
        <w:rPr>
          <w:rFonts w:asciiTheme="majorHAnsi" w:eastAsia="Calibri" w:hAnsiTheme="majorHAnsi"/>
          <w:color w:val="auto"/>
          <w:sz w:val="20"/>
          <w:szCs w:val="20"/>
          <w:bdr w:val="none" w:sz="0" w:space="0" w:color="auto"/>
          <w:lang w:val="es-ES"/>
        </w:rPr>
        <w:t xml:space="preserve">27 de marzo de </w:t>
      </w:r>
      <w:r w:rsidR="00062BB8" w:rsidRPr="00C46D36">
        <w:rPr>
          <w:rFonts w:asciiTheme="majorHAnsi" w:eastAsia="Calibri" w:hAnsiTheme="majorHAnsi"/>
          <w:color w:val="auto"/>
          <w:sz w:val="20"/>
          <w:szCs w:val="20"/>
          <w:bdr w:val="none" w:sz="0" w:space="0" w:color="auto"/>
          <w:lang w:val="es-ES"/>
        </w:rPr>
        <w:lastRenderedPageBreak/>
        <w:t>2000 añadieron representantes y</w:t>
      </w:r>
      <w:r w:rsidR="00062BB8" w:rsidRPr="00C46D36">
        <w:rPr>
          <w:rFonts w:asciiTheme="majorHAnsi" w:hAnsiTheme="majorHAnsi" w:cs="Calibri"/>
          <w:snapToGrid w:val="0"/>
          <w:color w:val="auto"/>
          <w:sz w:val="20"/>
          <w:szCs w:val="20"/>
          <w:bdr w:val="none" w:sz="0" w:space="0" w:color="auto"/>
          <w:lang w:val="es-ES"/>
        </w:rPr>
        <w:t xml:space="preserve"> </w:t>
      </w:r>
      <w:r w:rsidR="00FA4AE1" w:rsidRPr="00C46D36">
        <w:rPr>
          <w:rFonts w:asciiTheme="majorHAnsi" w:hAnsiTheme="majorHAnsi" w:cs="Calibri"/>
          <w:snapToGrid w:val="0"/>
          <w:color w:val="auto"/>
          <w:sz w:val="20"/>
          <w:szCs w:val="20"/>
          <w:bdr w:val="none" w:sz="0" w:space="0" w:color="auto"/>
          <w:lang w:val="es-ES"/>
        </w:rPr>
        <w:t xml:space="preserve">presentaron observaciones o información adicional el 3 de noviembre de </w:t>
      </w:r>
      <w:r w:rsidR="00062BB8" w:rsidRPr="00C46D36">
        <w:rPr>
          <w:rFonts w:asciiTheme="majorHAnsi" w:hAnsiTheme="majorHAnsi" w:cs="Calibri"/>
          <w:snapToGrid w:val="0"/>
          <w:color w:val="auto"/>
          <w:sz w:val="20"/>
          <w:szCs w:val="20"/>
          <w:bdr w:val="none" w:sz="0" w:space="0" w:color="auto"/>
          <w:lang w:val="es-ES"/>
        </w:rPr>
        <w:t>1997</w:t>
      </w:r>
      <w:r w:rsidR="007317E5" w:rsidRPr="00C46D36">
        <w:rPr>
          <w:rFonts w:asciiTheme="majorHAnsi" w:eastAsia="Calibri" w:hAnsiTheme="majorHAnsi"/>
          <w:color w:val="auto"/>
          <w:sz w:val="20"/>
          <w:szCs w:val="20"/>
          <w:bdr w:val="none" w:sz="0" w:space="0" w:color="auto"/>
          <w:lang w:val="es-ES"/>
        </w:rPr>
        <w:t xml:space="preserve">, </w:t>
      </w:r>
      <w:r w:rsidR="00FA4AE1" w:rsidRPr="00C46D36">
        <w:rPr>
          <w:rFonts w:asciiTheme="majorHAnsi" w:hAnsiTheme="majorHAnsi" w:cs="Calibri"/>
          <w:snapToGrid w:val="0"/>
          <w:color w:val="auto"/>
          <w:sz w:val="20"/>
          <w:szCs w:val="20"/>
          <w:bdr w:val="none" w:sz="0" w:space="0" w:color="auto"/>
          <w:lang w:val="es-ES"/>
        </w:rPr>
        <w:t>2 de marzo de 2001, 5 de junio de 2012 y 19 de noviembre de 2013.</w:t>
      </w:r>
      <w:r w:rsidR="00FA4AE1" w:rsidRPr="00C46D36">
        <w:rPr>
          <w:rFonts w:asciiTheme="majorHAnsi" w:eastAsia="Calibri" w:hAnsiTheme="majorHAnsi"/>
          <w:color w:val="auto"/>
          <w:sz w:val="20"/>
          <w:szCs w:val="20"/>
          <w:bdr w:val="none" w:sz="0" w:space="0" w:color="auto"/>
          <w:lang w:val="es-ES"/>
        </w:rPr>
        <w:t xml:space="preserve"> </w:t>
      </w:r>
      <w:r w:rsidR="00FA4AE1" w:rsidRPr="00C46D36">
        <w:rPr>
          <w:rFonts w:asciiTheme="majorHAnsi" w:hAnsiTheme="majorHAnsi" w:cs="Calibri"/>
          <w:snapToGrid w:val="0"/>
          <w:color w:val="auto"/>
          <w:sz w:val="20"/>
          <w:szCs w:val="20"/>
          <w:bdr w:val="none" w:sz="0" w:space="0" w:color="auto"/>
          <w:lang w:val="es-ES"/>
        </w:rPr>
        <w:t>Dichas comunicaciones fueron remitidas al Estado.</w:t>
      </w:r>
      <w:r w:rsidR="00D27D71" w:rsidRPr="00C46D36">
        <w:rPr>
          <w:rFonts w:asciiTheme="majorHAnsi" w:hAnsiTheme="majorHAnsi" w:cs="Calibri"/>
          <w:snapToGrid w:val="0"/>
          <w:color w:val="auto"/>
          <w:sz w:val="20"/>
          <w:szCs w:val="20"/>
          <w:bdr w:val="none" w:sz="0" w:space="0" w:color="auto"/>
          <w:lang w:val="es-ES"/>
        </w:rPr>
        <w:t xml:space="preserve"> </w:t>
      </w:r>
      <w:r w:rsidR="00DB4299" w:rsidRPr="00C46D36">
        <w:rPr>
          <w:rFonts w:asciiTheme="majorHAnsi" w:hAnsiTheme="majorHAnsi" w:cs="Calibri"/>
          <w:snapToGrid w:val="0"/>
          <w:color w:val="auto"/>
          <w:sz w:val="20"/>
          <w:szCs w:val="20"/>
          <w:bdr w:val="none" w:sz="0" w:space="0" w:color="auto"/>
          <w:lang w:val="es-ES"/>
        </w:rPr>
        <w:t>Finalmente, s</w:t>
      </w:r>
      <w:r w:rsidR="00677496" w:rsidRPr="00C46D36">
        <w:rPr>
          <w:rFonts w:asciiTheme="majorHAnsi" w:hAnsiTheme="majorHAnsi" w:cs="Calibri"/>
          <w:snapToGrid w:val="0"/>
          <w:color w:val="auto"/>
          <w:sz w:val="20"/>
          <w:szCs w:val="20"/>
          <w:bdr w:val="none" w:sz="0" w:space="0" w:color="auto"/>
          <w:lang w:val="es-ES"/>
        </w:rPr>
        <w:t xml:space="preserve">e </w:t>
      </w:r>
      <w:r w:rsidR="00D27D71" w:rsidRPr="00C46D36">
        <w:rPr>
          <w:rFonts w:asciiTheme="majorHAnsi" w:hAnsiTheme="majorHAnsi" w:cs="Calibri"/>
          <w:snapToGrid w:val="0"/>
          <w:color w:val="auto"/>
          <w:sz w:val="20"/>
          <w:szCs w:val="20"/>
          <w:bdr w:val="none" w:sz="0" w:space="0" w:color="auto"/>
          <w:lang w:val="es-ES"/>
        </w:rPr>
        <w:t>recibió una</w:t>
      </w:r>
      <w:r w:rsidR="00677496" w:rsidRPr="00C46D36">
        <w:rPr>
          <w:rFonts w:asciiTheme="majorHAnsi" w:hAnsiTheme="majorHAnsi" w:cs="Calibri"/>
          <w:snapToGrid w:val="0"/>
          <w:color w:val="auto"/>
          <w:sz w:val="20"/>
          <w:szCs w:val="20"/>
          <w:bdr w:val="none" w:sz="0" w:space="0" w:color="auto"/>
          <w:lang w:val="es-ES"/>
        </w:rPr>
        <w:t xml:space="preserve"> </w:t>
      </w:r>
      <w:r w:rsidR="00D27D71" w:rsidRPr="00C46D36">
        <w:rPr>
          <w:rFonts w:asciiTheme="majorHAnsi" w:hAnsiTheme="majorHAnsi" w:cs="Calibri"/>
          <w:snapToGrid w:val="0"/>
          <w:color w:val="auto"/>
          <w:sz w:val="20"/>
          <w:szCs w:val="20"/>
          <w:bdr w:val="none" w:sz="0" w:space="0" w:color="auto"/>
          <w:lang w:val="es-ES"/>
        </w:rPr>
        <w:t>comunicación de los petic</w:t>
      </w:r>
      <w:r w:rsidR="00677496" w:rsidRPr="00C46D36">
        <w:rPr>
          <w:rFonts w:asciiTheme="majorHAnsi" w:hAnsiTheme="majorHAnsi" w:cs="Calibri"/>
          <w:snapToGrid w:val="0"/>
          <w:color w:val="auto"/>
          <w:sz w:val="20"/>
          <w:szCs w:val="20"/>
          <w:bdr w:val="none" w:sz="0" w:space="0" w:color="auto"/>
          <w:lang w:val="es-ES"/>
        </w:rPr>
        <w:t>ionarios el 23 de julio de 2015</w:t>
      </w:r>
      <w:r w:rsidR="00D27D71" w:rsidRPr="00C46D36">
        <w:rPr>
          <w:rStyle w:val="FootnoteReference"/>
          <w:rFonts w:asciiTheme="majorHAnsi" w:hAnsiTheme="majorHAnsi" w:cs="Calibri"/>
          <w:snapToGrid w:val="0"/>
          <w:color w:val="auto"/>
          <w:sz w:val="20"/>
          <w:szCs w:val="20"/>
          <w:bdr w:val="none" w:sz="0" w:space="0" w:color="auto"/>
          <w:lang w:val="es-ES"/>
        </w:rPr>
        <w:footnoteReference w:id="4"/>
      </w:r>
      <w:r w:rsidR="00D01A9B" w:rsidRPr="00C46D36">
        <w:rPr>
          <w:rFonts w:asciiTheme="majorHAnsi" w:hAnsiTheme="majorHAnsi" w:cs="Calibri"/>
          <w:snapToGrid w:val="0"/>
          <w:color w:val="auto"/>
          <w:sz w:val="20"/>
          <w:szCs w:val="20"/>
          <w:bdr w:val="none" w:sz="0" w:space="0" w:color="auto"/>
          <w:lang w:val="es-ES"/>
        </w:rPr>
        <w:t>.</w:t>
      </w:r>
    </w:p>
    <w:p w:rsidR="00FA4AE1" w:rsidRPr="00C46D36" w:rsidRDefault="00FA4AE1" w:rsidP="00FA4AE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lang w:val="es-ES"/>
        </w:rPr>
      </w:pPr>
    </w:p>
    <w:p w:rsidR="00FA4AE1" w:rsidRPr="00C46D36" w:rsidRDefault="001D0B49" w:rsidP="00FA4AE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color w:val="auto"/>
          <w:sz w:val="20"/>
          <w:szCs w:val="20"/>
          <w:bdr w:val="none" w:sz="0" w:space="0" w:color="auto"/>
          <w:lang w:val="es-ES"/>
        </w:rPr>
      </w:pPr>
      <w:r w:rsidRPr="00C46D36">
        <w:rPr>
          <w:rFonts w:asciiTheme="majorHAnsi" w:hAnsiTheme="majorHAnsi"/>
          <w:color w:val="auto"/>
          <w:sz w:val="20"/>
          <w:szCs w:val="20"/>
          <w:lang w:val="es-ES"/>
        </w:rPr>
        <w:t xml:space="preserve">Durante el trámite se realizó ante la CIDH una audiencia pública el </w:t>
      </w:r>
      <w:r w:rsidRPr="00C46D36">
        <w:rPr>
          <w:rFonts w:asciiTheme="majorHAnsi" w:hAnsiTheme="majorHAnsi" w:cs="Calibri"/>
          <w:snapToGrid w:val="0"/>
          <w:color w:val="auto"/>
          <w:sz w:val="20"/>
          <w:szCs w:val="20"/>
          <w:bdr w:val="none" w:sz="0" w:space="0" w:color="auto"/>
          <w:lang w:val="es-ES"/>
        </w:rPr>
        <w:t>27 de febrero de 2001</w:t>
      </w:r>
      <w:r w:rsidRPr="00C46D36">
        <w:rPr>
          <w:rFonts w:asciiTheme="majorHAnsi" w:hAnsiTheme="majorHAnsi"/>
          <w:color w:val="auto"/>
          <w:sz w:val="20"/>
          <w:szCs w:val="20"/>
          <w:lang w:val="es-ES"/>
        </w:rPr>
        <w:t xml:space="preserve"> (110º periodo ordinario de sesiones)</w:t>
      </w:r>
      <w:r w:rsidR="00F5173B" w:rsidRPr="00C46D36">
        <w:rPr>
          <w:rFonts w:asciiTheme="majorHAnsi" w:hAnsiTheme="majorHAnsi"/>
          <w:color w:val="auto"/>
          <w:sz w:val="20"/>
          <w:szCs w:val="20"/>
          <w:lang w:val="es-ES"/>
        </w:rPr>
        <w:t xml:space="preserve"> en </w:t>
      </w:r>
      <w:r w:rsidR="00605242" w:rsidRPr="00C46D36">
        <w:rPr>
          <w:rFonts w:asciiTheme="majorHAnsi" w:hAnsiTheme="majorHAnsi"/>
          <w:color w:val="auto"/>
          <w:sz w:val="20"/>
          <w:szCs w:val="20"/>
          <w:lang w:val="es-ES"/>
        </w:rPr>
        <w:t xml:space="preserve">la cual el Estado propuso integrar el presente caso al proceso de solución amistosa de la </w:t>
      </w:r>
      <w:r w:rsidR="005A2325" w:rsidRPr="00C46D36">
        <w:rPr>
          <w:rFonts w:asciiTheme="majorHAnsi" w:hAnsiTheme="majorHAnsi"/>
          <w:color w:val="auto"/>
          <w:sz w:val="20"/>
          <w:szCs w:val="20"/>
          <w:lang w:val="es-ES"/>
        </w:rPr>
        <w:t>Unión</w:t>
      </w:r>
      <w:r w:rsidR="00605242" w:rsidRPr="00C46D36">
        <w:rPr>
          <w:rFonts w:asciiTheme="majorHAnsi" w:hAnsiTheme="majorHAnsi"/>
          <w:color w:val="auto"/>
          <w:sz w:val="20"/>
          <w:szCs w:val="20"/>
          <w:lang w:val="es-ES"/>
        </w:rPr>
        <w:t xml:space="preserve"> </w:t>
      </w:r>
      <w:r w:rsidR="005A2325" w:rsidRPr="00C46D36">
        <w:rPr>
          <w:rFonts w:asciiTheme="majorHAnsi" w:hAnsiTheme="majorHAnsi"/>
          <w:color w:val="auto"/>
          <w:sz w:val="20"/>
          <w:szCs w:val="20"/>
          <w:lang w:val="es-ES"/>
        </w:rPr>
        <w:t>Patriótica</w:t>
      </w:r>
      <w:r w:rsidR="00F5173B" w:rsidRPr="00C46D36">
        <w:rPr>
          <w:rFonts w:asciiTheme="majorHAnsi" w:hAnsiTheme="majorHAnsi"/>
          <w:color w:val="auto"/>
          <w:sz w:val="20"/>
          <w:szCs w:val="20"/>
          <w:lang w:val="es-ES"/>
        </w:rPr>
        <w:t xml:space="preserve"> </w:t>
      </w:r>
      <w:r w:rsidR="00D26C15" w:rsidRPr="00C46D36">
        <w:rPr>
          <w:rFonts w:asciiTheme="majorHAnsi" w:hAnsiTheme="majorHAnsi"/>
          <w:color w:val="auto"/>
          <w:sz w:val="20"/>
          <w:szCs w:val="20"/>
          <w:lang w:val="es-ES"/>
        </w:rPr>
        <w:t xml:space="preserve">en </w:t>
      </w:r>
      <w:r w:rsidR="00A77661" w:rsidRPr="00C46D36">
        <w:rPr>
          <w:rFonts w:asciiTheme="majorHAnsi" w:hAnsiTheme="majorHAnsi"/>
          <w:color w:val="auto"/>
          <w:sz w:val="20"/>
          <w:szCs w:val="20"/>
          <w:lang w:val="es-ES"/>
        </w:rPr>
        <w:t>trámite</w:t>
      </w:r>
      <w:r w:rsidR="00605242" w:rsidRPr="00C46D36">
        <w:rPr>
          <w:rFonts w:asciiTheme="majorHAnsi" w:hAnsiTheme="majorHAnsi"/>
          <w:color w:val="auto"/>
          <w:sz w:val="20"/>
          <w:szCs w:val="20"/>
          <w:lang w:val="es-ES"/>
        </w:rPr>
        <w:t xml:space="preserve"> ante la CIDH (caso 11.227)</w:t>
      </w:r>
      <w:r w:rsidR="00D26C15" w:rsidRPr="00C46D36">
        <w:rPr>
          <w:rFonts w:asciiTheme="majorHAnsi" w:hAnsiTheme="majorHAnsi"/>
          <w:color w:val="auto"/>
          <w:sz w:val="20"/>
          <w:szCs w:val="20"/>
          <w:lang w:val="es-ES"/>
        </w:rPr>
        <w:t xml:space="preserve">. </w:t>
      </w:r>
      <w:r w:rsidR="00BC1619" w:rsidRPr="00C46D36">
        <w:rPr>
          <w:rFonts w:asciiTheme="majorHAnsi" w:hAnsiTheme="majorHAnsi"/>
          <w:color w:val="auto"/>
          <w:sz w:val="20"/>
          <w:szCs w:val="20"/>
          <w:lang w:val="es-ES"/>
        </w:rPr>
        <w:t xml:space="preserve">El </w:t>
      </w:r>
      <w:r w:rsidR="00BC1619" w:rsidRPr="00C46D36">
        <w:rPr>
          <w:rFonts w:asciiTheme="majorHAnsi" w:hAnsiTheme="majorHAnsi" w:cs="Calibri"/>
          <w:snapToGrid w:val="0"/>
          <w:color w:val="auto"/>
          <w:sz w:val="20"/>
          <w:szCs w:val="20"/>
          <w:bdr w:val="none" w:sz="0" w:space="0" w:color="auto"/>
          <w:lang w:val="es-ES"/>
        </w:rPr>
        <w:t>12 de enero de 2007</w:t>
      </w:r>
      <w:r w:rsidR="00BC1619" w:rsidRPr="00C46D36">
        <w:rPr>
          <w:rFonts w:asciiTheme="majorHAnsi" w:hAnsiTheme="majorHAnsi"/>
          <w:color w:val="auto"/>
          <w:sz w:val="20"/>
          <w:szCs w:val="20"/>
          <w:lang w:val="es-ES"/>
        </w:rPr>
        <w:t xml:space="preserve"> l</w:t>
      </w:r>
      <w:r w:rsidR="00D26C15" w:rsidRPr="00C46D36">
        <w:rPr>
          <w:rFonts w:asciiTheme="majorHAnsi" w:hAnsiTheme="majorHAnsi"/>
          <w:color w:val="auto"/>
          <w:sz w:val="20"/>
          <w:szCs w:val="20"/>
          <w:lang w:val="es-ES"/>
        </w:rPr>
        <w:t xml:space="preserve">os </w:t>
      </w:r>
      <w:r w:rsidR="00A77661" w:rsidRPr="00C46D36">
        <w:rPr>
          <w:rFonts w:asciiTheme="majorHAnsi" w:hAnsiTheme="majorHAnsi"/>
          <w:color w:val="auto"/>
          <w:sz w:val="20"/>
          <w:szCs w:val="20"/>
          <w:lang w:val="es-ES"/>
        </w:rPr>
        <w:t>peticionarios</w:t>
      </w:r>
      <w:r w:rsidR="00D26C15" w:rsidRPr="00C46D36">
        <w:rPr>
          <w:rFonts w:asciiTheme="majorHAnsi" w:hAnsiTheme="majorHAnsi"/>
          <w:color w:val="auto"/>
          <w:sz w:val="20"/>
          <w:szCs w:val="20"/>
          <w:lang w:val="es-ES"/>
        </w:rPr>
        <w:t xml:space="preserve"> manifestaron </w:t>
      </w:r>
      <w:r w:rsidR="00BC1619" w:rsidRPr="00C46D36">
        <w:rPr>
          <w:rFonts w:asciiTheme="majorHAnsi" w:hAnsiTheme="majorHAnsi"/>
          <w:color w:val="auto"/>
          <w:sz w:val="20"/>
          <w:szCs w:val="20"/>
          <w:lang w:val="es-ES"/>
        </w:rPr>
        <w:t>su deseo de continuar el trámite del caso de manera individual</w:t>
      </w:r>
      <w:r w:rsidR="00B30F94" w:rsidRPr="00C46D36">
        <w:rPr>
          <w:rFonts w:asciiTheme="majorHAnsi" w:hAnsiTheme="majorHAnsi"/>
          <w:color w:val="auto"/>
          <w:sz w:val="20"/>
          <w:szCs w:val="20"/>
          <w:lang w:val="es-ES"/>
        </w:rPr>
        <w:t xml:space="preserve"> y e</w:t>
      </w:r>
      <w:r w:rsidR="00BC1619" w:rsidRPr="00C46D36">
        <w:rPr>
          <w:rFonts w:asciiTheme="majorHAnsi" w:hAnsiTheme="majorHAnsi"/>
          <w:color w:val="auto"/>
          <w:sz w:val="20"/>
          <w:szCs w:val="20"/>
          <w:lang w:val="es-ES"/>
        </w:rPr>
        <w:t xml:space="preserve">l </w:t>
      </w:r>
      <w:r w:rsidR="00BC1619" w:rsidRPr="00C46D36">
        <w:rPr>
          <w:rFonts w:asciiTheme="majorHAnsi" w:hAnsiTheme="majorHAnsi" w:cs="Calibri"/>
          <w:snapToGrid w:val="0"/>
          <w:color w:val="auto"/>
          <w:sz w:val="20"/>
          <w:szCs w:val="20"/>
          <w:bdr w:val="none" w:sz="0" w:space="0" w:color="auto"/>
          <w:lang w:val="es-ES"/>
        </w:rPr>
        <w:t>25 de marzo de 2009</w:t>
      </w:r>
      <w:r w:rsidR="00FA4AE1" w:rsidRPr="00C46D36">
        <w:rPr>
          <w:rFonts w:asciiTheme="majorHAnsi" w:hAnsiTheme="majorHAnsi" w:cs="Calibri"/>
          <w:snapToGrid w:val="0"/>
          <w:color w:val="auto"/>
          <w:sz w:val="20"/>
          <w:szCs w:val="20"/>
          <w:bdr w:val="none" w:sz="0" w:space="0" w:color="auto"/>
          <w:lang w:val="es-ES"/>
        </w:rPr>
        <w:t xml:space="preserve"> solicitaron el desglose del caso en dos procedimientos independientes. </w:t>
      </w:r>
    </w:p>
    <w:p w:rsidR="00FA4AE1" w:rsidRPr="00C46D36" w:rsidRDefault="00FA4AE1" w:rsidP="00FA4AE1">
      <w:pPr>
        <w:pStyle w:val="ListParagraph"/>
        <w:rPr>
          <w:rFonts w:asciiTheme="majorHAnsi" w:hAnsiTheme="majorHAnsi"/>
          <w:color w:val="auto"/>
          <w:sz w:val="20"/>
          <w:szCs w:val="20"/>
          <w:lang w:val="es-ES"/>
        </w:rPr>
      </w:pPr>
    </w:p>
    <w:p w:rsidR="005A2325" w:rsidRPr="00C46D36" w:rsidRDefault="005A2325" w:rsidP="00FA4AE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color w:val="auto"/>
          <w:sz w:val="20"/>
          <w:szCs w:val="20"/>
          <w:bdr w:val="none" w:sz="0" w:space="0" w:color="auto"/>
          <w:lang w:val="es-ES"/>
        </w:rPr>
      </w:pPr>
      <w:r w:rsidRPr="00C46D36">
        <w:rPr>
          <w:rFonts w:asciiTheme="majorHAnsi" w:hAnsiTheme="majorHAnsi"/>
          <w:color w:val="auto"/>
          <w:sz w:val="20"/>
          <w:szCs w:val="20"/>
          <w:lang w:val="es-ES"/>
        </w:rPr>
        <w:t>El 2 de junio de 2012, la CIDH decidi</w:t>
      </w:r>
      <w:r w:rsidR="00FA4AE1" w:rsidRPr="00C46D36">
        <w:rPr>
          <w:rFonts w:asciiTheme="majorHAnsi" w:hAnsiTheme="majorHAnsi"/>
          <w:color w:val="auto"/>
          <w:sz w:val="20"/>
          <w:szCs w:val="20"/>
          <w:lang w:val="es-ES"/>
        </w:rPr>
        <w:t>ó, con base en el artículo 29.1.</w:t>
      </w:r>
      <w:r w:rsidRPr="00C46D36">
        <w:rPr>
          <w:rFonts w:asciiTheme="majorHAnsi" w:hAnsiTheme="majorHAnsi"/>
          <w:color w:val="auto"/>
          <w:sz w:val="20"/>
          <w:szCs w:val="20"/>
          <w:lang w:val="es-ES"/>
        </w:rPr>
        <w:t>c) de su Reglamento, desglosar la presente petición y tramitar por separado los alegatos relativos a la Masacre de Campamento</w:t>
      </w:r>
      <w:r w:rsidR="00EC648E" w:rsidRPr="00C46D36">
        <w:rPr>
          <w:rFonts w:asciiTheme="majorHAnsi" w:hAnsiTheme="majorHAnsi"/>
          <w:color w:val="auto"/>
          <w:sz w:val="20"/>
          <w:szCs w:val="20"/>
          <w:lang w:val="es-ES"/>
        </w:rPr>
        <w:t xml:space="preserve">, asignándole el número de </w:t>
      </w:r>
      <w:r w:rsidRPr="00C46D36">
        <w:rPr>
          <w:rFonts w:asciiTheme="majorHAnsi" w:hAnsiTheme="majorHAnsi"/>
          <w:color w:val="auto"/>
          <w:sz w:val="20"/>
          <w:szCs w:val="20"/>
          <w:lang w:val="es-ES"/>
        </w:rPr>
        <w:t>petición 467-97</w:t>
      </w:r>
      <w:r w:rsidR="00615188" w:rsidRPr="00C46D36">
        <w:rPr>
          <w:rFonts w:asciiTheme="majorHAnsi" w:hAnsiTheme="majorHAnsi"/>
          <w:color w:val="auto"/>
          <w:sz w:val="20"/>
          <w:szCs w:val="20"/>
          <w:lang w:val="es-ES"/>
        </w:rPr>
        <w:t xml:space="preserve">, ya que </w:t>
      </w:r>
      <w:r w:rsidR="000136C4" w:rsidRPr="00C46D36">
        <w:rPr>
          <w:rFonts w:asciiTheme="majorHAnsi" w:hAnsiTheme="majorHAnsi"/>
          <w:color w:val="auto"/>
          <w:sz w:val="20"/>
          <w:szCs w:val="20"/>
          <w:lang w:val="es-ES"/>
        </w:rPr>
        <w:t xml:space="preserve">esta petición </w:t>
      </w:r>
      <w:r w:rsidR="00D84700" w:rsidRPr="00C46D36">
        <w:rPr>
          <w:rFonts w:asciiTheme="majorHAnsi" w:hAnsiTheme="majorHAnsi"/>
          <w:color w:val="auto"/>
          <w:sz w:val="20"/>
          <w:szCs w:val="20"/>
          <w:lang w:val="es-ES"/>
        </w:rPr>
        <w:t>versaba sobre presunto</w:t>
      </w:r>
      <w:r w:rsidR="000136C4" w:rsidRPr="00C46D36">
        <w:rPr>
          <w:rFonts w:asciiTheme="majorHAnsi" w:hAnsiTheme="majorHAnsi"/>
          <w:color w:val="auto"/>
          <w:sz w:val="20"/>
          <w:szCs w:val="20"/>
          <w:lang w:val="es-ES"/>
        </w:rPr>
        <w:t>s hechos distintos ocurridos el 5 de junio de 1990 en el municipio de Campamento, departamento de Antioquia</w:t>
      </w:r>
      <w:r w:rsidR="00D60118" w:rsidRPr="00C46D36">
        <w:rPr>
          <w:rFonts w:asciiTheme="majorHAnsi" w:hAnsiTheme="majorHAnsi"/>
          <w:color w:val="auto"/>
          <w:sz w:val="20"/>
          <w:szCs w:val="20"/>
          <w:lang w:val="es-ES"/>
        </w:rPr>
        <w:t>, relativos a la presunta ejecución extrajudicial de seis personas</w:t>
      </w:r>
      <w:r w:rsidR="000136C4" w:rsidRPr="00C46D36">
        <w:rPr>
          <w:rFonts w:asciiTheme="majorHAnsi" w:hAnsiTheme="majorHAnsi"/>
          <w:color w:val="auto"/>
          <w:sz w:val="20"/>
          <w:szCs w:val="20"/>
          <w:lang w:val="es-ES"/>
        </w:rPr>
        <w:t>.</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napToGrid w:val="0"/>
          <w:sz w:val="20"/>
          <w:szCs w:val="20"/>
          <w:bdr w:val="none" w:sz="0" w:space="0" w:color="auto"/>
          <w:lang w:val="es-ES"/>
        </w:rPr>
      </w:pPr>
    </w:p>
    <w:p w:rsidR="00181829" w:rsidRPr="00C46D36"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napToGrid w:val="0"/>
          <w:sz w:val="20"/>
          <w:szCs w:val="20"/>
          <w:bdr w:val="none" w:sz="0" w:space="0" w:color="auto"/>
          <w:lang w:val="es-ES"/>
        </w:rPr>
      </w:pPr>
      <w:r w:rsidRPr="00C46D36">
        <w:rPr>
          <w:rFonts w:ascii="Cambria" w:hAnsi="Cambria"/>
          <w:b/>
          <w:sz w:val="20"/>
          <w:szCs w:val="20"/>
          <w:bdr w:val="none" w:sz="0" w:space="0" w:color="auto"/>
          <w:lang w:val="es-ES"/>
        </w:rPr>
        <w:t>POSICIÓN DE LAS PARTES</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snapToGrid w:val="0"/>
          <w:sz w:val="20"/>
          <w:szCs w:val="20"/>
          <w:bdr w:val="none" w:sz="0" w:space="0" w:color="auto"/>
          <w:lang w:val="es-ES"/>
        </w:rPr>
      </w:pPr>
    </w:p>
    <w:p w:rsidR="00181829" w:rsidRPr="00C46D36" w:rsidRDefault="00181829" w:rsidP="00543D2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b/>
          <w:snapToGrid w:val="0"/>
          <w:sz w:val="20"/>
          <w:szCs w:val="20"/>
          <w:bdr w:val="none" w:sz="0" w:space="0" w:color="auto"/>
          <w:lang w:val="es-ES"/>
        </w:rPr>
      </w:pPr>
      <w:r w:rsidRPr="00C46D36">
        <w:rPr>
          <w:rFonts w:ascii="Cambria" w:hAnsi="Cambria"/>
          <w:b/>
          <w:sz w:val="20"/>
          <w:szCs w:val="20"/>
          <w:bdr w:val="none" w:sz="0" w:space="0" w:color="auto"/>
          <w:lang w:val="es-ES"/>
        </w:rPr>
        <w:t xml:space="preserve">Posición de los peticionarios </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snapToGrid w:val="0"/>
          <w:sz w:val="20"/>
          <w:szCs w:val="20"/>
          <w:bdr w:val="none" w:sz="0" w:space="0" w:color="auto"/>
          <w:lang w:val="es-ES"/>
        </w:rPr>
      </w:pPr>
    </w:p>
    <w:p w:rsidR="000E2B20" w:rsidRPr="00C46D36" w:rsidRDefault="00017182"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s="Calibri"/>
          <w:snapToGrid w:val="0"/>
          <w:color w:val="auto"/>
          <w:sz w:val="20"/>
          <w:szCs w:val="20"/>
          <w:bdr w:val="none" w:sz="0" w:space="0" w:color="auto"/>
          <w:lang w:val="es-ES"/>
        </w:rPr>
        <w:t>Como antecedentes l</w:t>
      </w:r>
      <w:r w:rsidR="000E2B20" w:rsidRPr="00C46D36">
        <w:rPr>
          <w:rFonts w:asciiTheme="majorHAnsi" w:hAnsiTheme="majorHAnsi" w:cs="Calibri"/>
          <w:snapToGrid w:val="0"/>
          <w:color w:val="auto"/>
          <w:sz w:val="20"/>
          <w:szCs w:val="20"/>
          <w:bdr w:val="none" w:sz="0" w:space="0" w:color="auto"/>
          <w:lang w:val="es-ES"/>
        </w:rPr>
        <w:t xml:space="preserve">os peticionarios </w:t>
      </w:r>
      <w:r w:rsidRPr="00C46D36">
        <w:rPr>
          <w:rFonts w:asciiTheme="majorHAnsi" w:hAnsiTheme="majorHAnsi" w:cs="Calibri"/>
          <w:snapToGrid w:val="0"/>
          <w:color w:val="auto"/>
          <w:sz w:val="20"/>
          <w:szCs w:val="20"/>
          <w:bdr w:val="none" w:sz="0" w:space="0" w:color="auto"/>
          <w:lang w:val="es-ES"/>
        </w:rPr>
        <w:t>indica</w:t>
      </w:r>
      <w:r w:rsidR="000E2B20" w:rsidRPr="00C46D36">
        <w:rPr>
          <w:rFonts w:asciiTheme="majorHAnsi" w:hAnsiTheme="majorHAnsi" w:cs="Calibri"/>
          <w:snapToGrid w:val="0"/>
          <w:color w:val="auto"/>
          <w:sz w:val="20"/>
          <w:szCs w:val="20"/>
          <w:bdr w:val="none" w:sz="0" w:space="0" w:color="auto"/>
          <w:lang w:val="es-ES"/>
        </w:rPr>
        <w:t xml:space="preserve">n que para la época de los hechos, Olga Luz Echavarría Areiza era </w:t>
      </w:r>
      <w:r w:rsidR="00B30F94" w:rsidRPr="00C46D36">
        <w:rPr>
          <w:rFonts w:asciiTheme="majorHAnsi" w:hAnsiTheme="majorHAnsi" w:cs="Calibri"/>
          <w:snapToGrid w:val="0"/>
          <w:color w:val="auto"/>
          <w:sz w:val="20"/>
          <w:szCs w:val="20"/>
          <w:bdr w:val="none" w:sz="0" w:space="0" w:color="auto"/>
          <w:lang w:val="es-ES"/>
        </w:rPr>
        <w:t xml:space="preserve">una </w:t>
      </w:r>
      <w:r w:rsidR="000E2B20" w:rsidRPr="00C46D36">
        <w:rPr>
          <w:rFonts w:asciiTheme="majorHAnsi" w:hAnsiTheme="majorHAnsi" w:cs="Calibri"/>
          <w:snapToGrid w:val="0"/>
          <w:color w:val="auto"/>
          <w:sz w:val="20"/>
          <w:szCs w:val="20"/>
          <w:bdr w:val="none" w:sz="0" w:space="0" w:color="auto"/>
          <w:lang w:val="es-ES"/>
        </w:rPr>
        <w:t>menor de 17 años y tenía aproximadamente tres meses de embarazo</w:t>
      </w:r>
      <w:r w:rsidR="00AA5DF6" w:rsidRPr="00C46D36">
        <w:rPr>
          <w:rFonts w:asciiTheme="majorHAnsi" w:hAnsiTheme="majorHAnsi" w:cs="Calibri"/>
          <w:snapToGrid w:val="0"/>
          <w:color w:val="auto"/>
          <w:sz w:val="20"/>
          <w:szCs w:val="20"/>
          <w:bdr w:val="none" w:sz="0" w:space="0" w:color="auto"/>
          <w:lang w:val="es-ES"/>
        </w:rPr>
        <w:t>. Eliécer Pérez Morales tenía</w:t>
      </w:r>
      <w:r w:rsidR="000E2B20" w:rsidRPr="00C46D36">
        <w:rPr>
          <w:rFonts w:asciiTheme="majorHAnsi" w:hAnsiTheme="majorHAnsi" w:cs="Calibri"/>
          <w:snapToGrid w:val="0"/>
          <w:color w:val="auto"/>
          <w:sz w:val="20"/>
          <w:szCs w:val="20"/>
          <w:bdr w:val="none" w:sz="0" w:space="0" w:color="auto"/>
          <w:lang w:val="es-ES"/>
        </w:rPr>
        <w:t xml:space="preserve"> 29 años de edad. Eliécer Pérez Morales se desempeñaba como agricultor y, para la fecha de los hechos, se encontraba al parecer en un tratamiento médico por una afección al corazón. Señalan que ambos eran </w:t>
      </w:r>
      <w:r w:rsidR="000E2B20" w:rsidRPr="00C46D36">
        <w:rPr>
          <w:rFonts w:asciiTheme="majorHAnsi" w:hAnsiTheme="majorHAnsi"/>
          <w:color w:val="auto"/>
          <w:sz w:val="20"/>
          <w:szCs w:val="20"/>
          <w:bdr w:val="none" w:sz="0" w:space="0" w:color="auto"/>
          <w:lang w:val="es-ES"/>
        </w:rPr>
        <w:t xml:space="preserve">militantes del movimiento político </w:t>
      </w:r>
      <w:r w:rsidR="000E2B20" w:rsidRPr="00C46D36">
        <w:rPr>
          <w:rFonts w:asciiTheme="majorHAnsi" w:hAnsiTheme="majorHAnsi"/>
          <w:i/>
          <w:iCs/>
          <w:color w:val="auto"/>
          <w:sz w:val="20"/>
          <w:szCs w:val="20"/>
          <w:bdr w:val="none" w:sz="0" w:space="0" w:color="auto"/>
          <w:lang w:val="es-ES"/>
        </w:rPr>
        <w:t xml:space="preserve">Unión Patriótica </w:t>
      </w:r>
      <w:r w:rsidR="000E2B20" w:rsidRPr="00C46D36">
        <w:rPr>
          <w:rFonts w:asciiTheme="majorHAnsi" w:hAnsiTheme="majorHAnsi"/>
          <w:color w:val="auto"/>
          <w:sz w:val="20"/>
          <w:szCs w:val="20"/>
          <w:bdr w:val="none" w:sz="0" w:space="0" w:color="auto"/>
          <w:lang w:val="es-ES"/>
        </w:rPr>
        <w:t xml:space="preserve">(en adelante “UP”) </w:t>
      </w:r>
      <w:r w:rsidR="000E2B20" w:rsidRPr="00C46D36">
        <w:rPr>
          <w:rFonts w:asciiTheme="majorHAnsi" w:hAnsiTheme="majorHAnsi" w:cs="Calibri"/>
          <w:snapToGrid w:val="0"/>
          <w:color w:val="auto"/>
          <w:sz w:val="20"/>
          <w:szCs w:val="20"/>
          <w:bdr w:val="none" w:sz="0" w:space="0" w:color="auto"/>
          <w:lang w:val="es-ES"/>
        </w:rPr>
        <w:t>en</w:t>
      </w:r>
      <w:r w:rsidR="00121EA9" w:rsidRPr="00C46D36">
        <w:rPr>
          <w:rFonts w:asciiTheme="majorHAnsi" w:hAnsiTheme="majorHAnsi" w:cs="Calibri"/>
          <w:snapToGrid w:val="0"/>
          <w:color w:val="auto"/>
          <w:sz w:val="20"/>
          <w:szCs w:val="20"/>
          <w:bdr w:val="none" w:sz="0" w:space="0" w:color="auto"/>
          <w:lang w:val="es-ES"/>
        </w:rPr>
        <w:t xml:space="preserve"> el municipio de Yarumal, </w:t>
      </w:r>
      <w:r w:rsidR="000E2B20" w:rsidRPr="00C46D36">
        <w:rPr>
          <w:rFonts w:asciiTheme="majorHAnsi" w:hAnsiTheme="majorHAnsi" w:cs="Calibri"/>
          <w:snapToGrid w:val="0"/>
          <w:color w:val="auto"/>
          <w:sz w:val="20"/>
          <w:szCs w:val="20"/>
          <w:bdr w:val="none" w:sz="0" w:space="0" w:color="auto"/>
          <w:lang w:val="es-ES"/>
        </w:rPr>
        <w:t>Departamento de Antioquía</w:t>
      </w:r>
      <w:r w:rsidR="00121EA9" w:rsidRPr="00C46D36">
        <w:rPr>
          <w:rFonts w:asciiTheme="majorHAnsi" w:hAnsiTheme="majorHAnsi" w:cs="Calibri"/>
          <w:snapToGrid w:val="0"/>
          <w:color w:val="auto"/>
          <w:sz w:val="20"/>
          <w:szCs w:val="20"/>
          <w:bdr w:val="none" w:sz="0" w:space="0" w:color="auto"/>
          <w:lang w:val="es-ES"/>
        </w:rPr>
        <w:t>,</w:t>
      </w:r>
      <w:r w:rsidR="000E2B20" w:rsidRPr="00C46D36">
        <w:rPr>
          <w:rFonts w:asciiTheme="majorHAnsi" w:hAnsiTheme="majorHAnsi" w:cs="Calibri"/>
          <w:snapToGrid w:val="0"/>
          <w:color w:val="auto"/>
          <w:sz w:val="20"/>
          <w:szCs w:val="20"/>
          <w:bdr w:val="none" w:sz="0" w:space="0" w:color="auto"/>
          <w:lang w:val="es-ES"/>
        </w:rPr>
        <w:t xml:space="preserve"> y</w:t>
      </w:r>
      <w:r w:rsidR="000E2B20" w:rsidRPr="00C46D36">
        <w:rPr>
          <w:rFonts w:asciiTheme="majorHAnsi" w:hAnsiTheme="majorHAnsi"/>
          <w:color w:val="auto"/>
          <w:sz w:val="20"/>
          <w:szCs w:val="20"/>
          <w:bdr w:val="none" w:sz="0" w:space="0" w:color="auto"/>
          <w:lang w:val="es-ES"/>
        </w:rPr>
        <w:t xml:space="preserve"> que su desaparición forzada se registró en un contexto de exterminio sistemático de los líderes, militantes, simpatizantes y b</w:t>
      </w:r>
      <w:r w:rsidR="004550FF" w:rsidRPr="00C46D36">
        <w:rPr>
          <w:rFonts w:asciiTheme="majorHAnsi" w:hAnsiTheme="majorHAnsi"/>
          <w:color w:val="auto"/>
          <w:sz w:val="20"/>
          <w:szCs w:val="20"/>
          <w:bdr w:val="none" w:sz="0" w:space="0" w:color="auto"/>
          <w:lang w:val="es-ES"/>
        </w:rPr>
        <w:t>ase social y electoral de la UP</w:t>
      </w:r>
      <w:r w:rsidRPr="00C46D36">
        <w:rPr>
          <w:rStyle w:val="FootnoteReference"/>
          <w:rFonts w:asciiTheme="majorHAnsi" w:hAnsiTheme="majorHAnsi"/>
          <w:color w:val="auto"/>
          <w:sz w:val="20"/>
          <w:szCs w:val="20"/>
          <w:bdr w:val="none" w:sz="0" w:space="0" w:color="auto"/>
          <w:lang w:val="es-ES"/>
        </w:rPr>
        <w:footnoteReference w:id="5"/>
      </w:r>
      <w:r w:rsidR="004550FF" w:rsidRPr="00C46D36">
        <w:rPr>
          <w:rFonts w:asciiTheme="majorHAnsi" w:hAnsiTheme="majorHAnsi"/>
          <w:color w:val="auto"/>
          <w:sz w:val="20"/>
          <w:szCs w:val="20"/>
          <w:bdr w:val="none" w:sz="0" w:space="0" w:color="auto"/>
          <w:lang w:val="es-ES"/>
        </w:rPr>
        <w:t>.</w:t>
      </w:r>
    </w:p>
    <w:p w:rsidR="000E2B20" w:rsidRPr="00C46D36" w:rsidRDefault="000E2B20" w:rsidP="000E2B2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bdr w:val="none" w:sz="0" w:space="0" w:color="auto"/>
          <w:lang w:val="es-ES"/>
        </w:rPr>
      </w:pPr>
    </w:p>
    <w:p w:rsidR="00DD5C1F" w:rsidRPr="00C46D36" w:rsidRDefault="00181829"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En relación con el contexto local del municipio de Yarumal, señalan que entre 1986 y 1988, la UP hizo su aparición en la región como organización político partidista y encontró apoyo en los pobladores y en los movimientos sociales y campesinos. Indican que paralelamente al surgimiento de la UP, ocurrieron en forma sistemática masacres en varias poblaciones de la zona, donde la UP ejercía una fuerte influencia política. Alegan que</w:t>
      </w:r>
      <w:r w:rsidR="000E2B20"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bdr w:val="none" w:sz="0" w:space="0" w:color="auto"/>
          <w:lang w:val="es-ES"/>
        </w:rPr>
        <w:t xml:space="preserve"> desde </w:t>
      </w:r>
      <w:r w:rsidR="0042312A" w:rsidRPr="00C46D36">
        <w:rPr>
          <w:rFonts w:asciiTheme="majorHAnsi" w:hAnsiTheme="majorHAnsi"/>
          <w:color w:val="auto"/>
          <w:sz w:val="20"/>
          <w:szCs w:val="20"/>
          <w:bdr w:val="none" w:sz="0" w:space="0" w:color="auto"/>
          <w:lang w:val="es-ES"/>
        </w:rPr>
        <w:t>la década de los ochenta</w:t>
      </w:r>
      <w:r w:rsidR="00426AF8"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bdr w:val="none" w:sz="0" w:space="0" w:color="auto"/>
          <w:lang w:val="es-ES"/>
        </w:rPr>
        <w:t xml:space="preserve"> la presencia y accionar de grupos paramilitares se evidenci</w:t>
      </w:r>
      <w:r w:rsidR="00DD5C1F" w:rsidRPr="00C46D36">
        <w:rPr>
          <w:rFonts w:asciiTheme="majorHAnsi" w:hAnsiTheme="majorHAnsi"/>
          <w:color w:val="auto"/>
          <w:sz w:val="20"/>
          <w:szCs w:val="20"/>
          <w:bdr w:val="none" w:sz="0" w:space="0" w:color="auto"/>
          <w:lang w:val="es-ES"/>
        </w:rPr>
        <w:t>ó</w:t>
      </w:r>
      <w:r w:rsidRPr="00C46D36">
        <w:rPr>
          <w:rFonts w:asciiTheme="majorHAnsi" w:hAnsiTheme="majorHAnsi"/>
          <w:color w:val="auto"/>
          <w:sz w:val="20"/>
          <w:szCs w:val="20"/>
          <w:bdr w:val="none" w:sz="0" w:space="0" w:color="auto"/>
          <w:lang w:val="es-ES"/>
        </w:rPr>
        <w:t xml:space="preserve"> en la zona por una serie de hechos violentos</w:t>
      </w:r>
      <w:r w:rsidR="0042312A" w:rsidRPr="00C46D36">
        <w:rPr>
          <w:rStyle w:val="FootnoteReference"/>
          <w:rFonts w:asciiTheme="majorHAnsi" w:hAnsiTheme="majorHAnsi"/>
          <w:color w:val="auto"/>
          <w:sz w:val="20"/>
          <w:szCs w:val="20"/>
          <w:bdr w:val="none" w:sz="0" w:space="0" w:color="auto"/>
          <w:lang w:val="es-ES"/>
        </w:rPr>
        <w:footnoteReference w:id="6"/>
      </w:r>
      <w:r w:rsidRPr="00C46D36">
        <w:rPr>
          <w:rFonts w:asciiTheme="majorHAnsi" w:hAnsiTheme="majorHAnsi"/>
          <w:color w:val="auto"/>
          <w:sz w:val="20"/>
          <w:szCs w:val="20"/>
          <w:bdr w:val="none" w:sz="0" w:space="0" w:color="auto"/>
          <w:lang w:val="es-ES"/>
        </w:rPr>
        <w:t xml:space="preserve">, y que en los años de 1990 hacía presencia un grupo </w:t>
      </w:r>
      <w:r w:rsidR="00121EA9" w:rsidRPr="00C46D36">
        <w:rPr>
          <w:rFonts w:asciiTheme="majorHAnsi" w:hAnsiTheme="majorHAnsi"/>
          <w:color w:val="auto"/>
          <w:sz w:val="20"/>
          <w:szCs w:val="20"/>
          <w:bdr w:val="none" w:sz="0" w:space="0" w:color="auto"/>
          <w:lang w:val="es-ES"/>
        </w:rPr>
        <w:t xml:space="preserve">paramilitar </w:t>
      </w:r>
      <w:r w:rsidRPr="00C46D36">
        <w:rPr>
          <w:rFonts w:asciiTheme="majorHAnsi" w:hAnsiTheme="majorHAnsi"/>
          <w:color w:val="auto"/>
          <w:sz w:val="20"/>
          <w:szCs w:val="20"/>
          <w:bdr w:val="none" w:sz="0" w:space="0" w:color="auto"/>
          <w:lang w:val="es-ES"/>
        </w:rPr>
        <w:t xml:space="preserve">local llamado “Los Doce Apóstoles”, el cual tenía su base de operaciones en el casco urbano de Yarumal, desde donde se ordenaban ejecuciones extrajudiciales de pobladores. Señalan que este grupo </w:t>
      </w:r>
      <w:r w:rsidRPr="00C46D36">
        <w:rPr>
          <w:color w:val="auto"/>
          <w:sz w:val="20"/>
          <w:szCs w:val="20"/>
          <w:bdr w:val="none" w:sz="0" w:space="0" w:color="auto"/>
          <w:lang w:val="es-ES"/>
        </w:rPr>
        <w:t>estaría integrado por la Fuerza Pública y ex miembros de la “</w:t>
      </w:r>
      <w:r w:rsidRPr="00C46D36">
        <w:rPr>
          <w:i/>
          <w:iCs/>
          <w:color w:val="auto"/>
          <w:sz w:val="20"/>
          <w:szCs w:val="20"/>
          <w:bdr w:val="none" w:sz="0" w:space="0" w:color="auto"/>
          <w:lang w:val="es-ES"/>
        </w:rPr>
        <w:t>Sección de orden ciudadano municipal</w:t>
      </w:r>
      <w:r w:rsidR="000E2B20" w:rsidRPr="00C46D36">
        <w:rPr>
          <w:i/>
          <w:iCs/>
          <w:color w:val="auto"/>
          <w:sz w:val="20"/>
          <w:szCs w:val="20"/>
          <w:bdr w:val="none" w:sz="0" w:space="0" w:color="auto"/>
          <w:lang w:val="es-ES"/>
        </w:rPr>
        <w:t>”</w:t>
      </w:r>
      <w:r w:rsidRPr="00C46D36">
        <w:rPr>
          <w:i/>
          <w:iCs/>
          <w:color w:val="auto"/>
          <w:sz w:val="20"/>
          <w:szCs w:val="20"/>
          <w:bdr w:val="none" w:sz="0" w:space="0" w:color="auto"/>
          <w:lang w:val="es-ES"/>
        </w:rPr>
        <w:t xml:space="preserve"> </w:t>
      </w:r>
      <w:r w:rsidR="00426AF8" w:rsidRPr="00C46D36">
        <w:rPr>
          <w:color w:val="auto"/>
          <w:sz w:val="20"/>
          <w:szCs w:val="20"/>
          <w:bdr w:val="none" w:sz="0" w:space="0" w:color="auto"/>
          <w:lang w:val="es-ES"/>
        </w:rPr>
        <w:t>(SOC), un grupo</w:t>
      </w:r>
      <w:r w:rsidRPr="00C46D36">
        <w:rPr>
          <w:color w:val="auto"/>
          <w:sz w:val="20"/>
          <w:szCs w:val="20"/>
          <w:bdr w:val="none" w:sz="0" w:space="0" w:color="auto"/>
          <w:lang w:val="es-ES"/>
        </w:rPr>
        <w:t xml:space="preserve"> “legal” de paramilitarismo</w:t>
      </w:r>
      <w:r w:rsidR="000E2B20" w:rsidRPr="00C46D36">
        <w:rPr>
          <w:color w:val="auto"/>
          <w:sz w:val="20"/>
          <w:szCs w:val="20"/>
          <w:bdr w:val="none" w:sz="0" w:space="0" w:color="auto"/>
          <w:lang w:val="es-ES"/>
        </w:rPr>
        <w:t>,</w:t>
      </w:r>
      <w:r w:rsidRPr="00C46D36">
        <w:rPr>
          <w:color w:val="auto"/>
          <w:sz w:val="20"/>
          <w:szCs w:val="20"/>
          <w:bdr w:val="none" w:sz="0" w:space="0" w:color="auto"/>
          <w:lang w:val="es-ES"/>
        </w:rPr>
        <w:t xml:space="preserve"> posteriormente disuelto</w:t>
      </w:r>
      <w:r w:rsidR="009B23C3" w:rsidRPr="00C46D36">
        <w:rPr>
          <w:rStyle w:val="FootnoteReference"/>
          <w:color w:val="auto"/>
          <w:sz w:val="20"/>
          <w:szCs w:val="20"/>
          <w:bdr w:val="none" w:sz="0" w:space="0" w:color="auto"/>
          <w:lang w:val="es-ES"/>
        </w:rPr>
        <w:footnoteReference w:id="7"/>
      </w:r>
      <w:r w:rsidRPr="00C46D36">
        <w:rPr>
          <w:color w:val="auto"/>
          <w:sz w:val="20"/>
          <w:szCs w:val="20"/>
          <w:bdr w:val="none" w:sz="0" w:space="0" w:color="auto"/>
          <w:lang w:val="es-ES"/>
        </w:rPr>
        <w:t>.</w:t>
      </w:r>
      <w:r w:rsidR="00BE456F" w:rsidRPr="00C46D36">
        <w:rPr>
          <w:color w:val="auto"/>
          <w:sz w:val="20"/>
          <w:szCs w:val="20"/>
          <w:bdr w:val="none" w:sz="0" w:space="0" w:color="auto"/>
          <w:lang w:val="es-ES"/>
        </w:rPr>
        <w:t xml:space="preserve"> </w:t>
      </w:r>
    </w:p>
    <w:p w:rsidR="00DD5C1F" w:rsidRPr="00C46D36" w:rsidRDefault="00DD5C1F" w:rsidP="00DD5C1F">
      <w:pPr>
        <w:pStyle w:val="ListParagraph"/>
        <w:rPr>
          <w:rFonts w:asciiTheme="majorHAnsi" w:hAnsiTheme="majorHAnsi" w:cs="Calibri"/>
          <w:snapToGrid w:val="0"/>
          <w:color w:val="auto"/>
          <w:sz w:val="20"/>
          <w:szCs w:val="20"/>
          <w:bdr w:val="none" w:sz="0" w:space="0" w:color="auto"/>
          <w:lang w:val="es-ES"/>
        </w:rPr>
      </w:pPr>
    </w:p>
    <w:p w:rsidR="00DD5C1F" w:rsidRPr="00C46D36" w:rsidRDefault="00877672"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s="Calibri"/>
          <w:snapToGrid w:val="0"/>
          <w:color w:val="auto"/>
          <w:sz w:val="20"/>
          <w:szCs w:val="20"/>
          <w:bdr w:val="none" w:sz="0" w:space="0" w:color="auto"/>
          <w:lang w:val="es-ES"/>
        </w:rPr>
        <w:t xml:space="preserve">Los hechos de la presente petición habrían ocurrido </w:t>
      </w:r>
      <w:r w:rsidR="00DD5C1F" w:rsidRPr="00C46D36">
        <w:rPr>
          <w:rFonts w:asciiTheme="majorHAnsi" w:hAnsiTheme="majorHAnsi" w:cs="Calibri"/>
          <w:snapToGrid w:val="0"/>
          <w:color w:val="auto"/>
          <w:sz w:val="20"/>
          <w:szCs w:val="20"/>
          <w:bdr w:val="none" w:sz="0" w:space="0" w:color="auto"/>
          <w:lang w:val="es-ES"/>
        </w:rPr>
        <w:t>e</w:t>
      </w:r>
      <w:r w:rsidR="00A23F93" w:rsidRPr="00C46D36">
        <w:rPr>
          <w:rFonts w:asciiTheme="majorHAnsi" w:hAnsiTheme="majorHAnsi" w:cs="Calibri"/>
          <w:snapToGrid w:val="0"/>
          <w:color w:val="auto"/>
          <w:sz w:val="20"/>
          <w:szCs w:val="20"/>
          <w:bdr w:val="none" w:sz="0" w:space="0" w:color="auto"/>
          <w:lang w:val="es-ES"/>
        </w:rPr>
        <w:t>l 28 de marzo de 1990. A</w:t>
      </w:r>
      <w:r w:rsidR="00181829" w:rsidRPr="00C46D36">
        <w:rPr>
          <w:rFonts w:asciiTheme="majorHAnsi" w:hAnsiTheme="majorHAnsi" w:cs="Calibri"/>
          <w:snapToGrid w:val="0"/>
          <w:color w:val="auto"/>
          <w:sz w:val="20"/>
          <w:szCs w:val="20"/>
          <w:bdr w:val="none" w:sz="0" w:space="0" w:color="auto"/>
          <w:lang w:val="es-ES"/>
        </w:rPr>
        <w:t>proximadamente a las 11 de la mañana, Olga Luz Echavarría Areiza y Eliécer Pérez Morales se encontraban en inmediaciones de la plaza de mercado del municipio de Yarumal (Antioquia) y de la sede de la empresa de transporte público “Coonorte” cuando fueron detenidos por miembros de la Policía Nacional, uniformados y portando armas largas, y llevados en dirección de la sede del Comando de Policía de esa localidad. Desde esa fecha, Olga Luz Echavarría Areiza y Eliécer Pérez Morales se encuentran</w:t>
      </w:r>
      <w:r w:rsidR="00AA5DF6" w:rsidRPr="00C46D36">
        <w:rPr>
          <w:rFonts w:asciiTheme="majorHAnsi" w:hAnsiTheme="majorHAnsi" w:cs="Calibri"/>
          <w:snapToGrid w:val="0"/>
          <w:color w:val="auto"/>
          <w:sz w:val="20"/>
          <w:szCs w:val="20"/>
          <w:bdr w:val="none" w:sz="0" w:space="0" w:color="auto"/>
          <w:lang w:val="es-ES"/>
        </w:rPr>
        <w:t xml:space="preserve"> presuntamente</w:t>
      </w:r>
      <w:r w:rsidR="00181829" w:rsidRPr="00C46D36">
        <w:rPr>
          <w:rFonts w:asciiTheme="majorHAnsi" w:hAnsiTheme="majorHAnsi" w:cs="Calibri"/>
          <w:snapToGrid w:val="0"/>
          <w:color w:val="auto"/>
          <w:sz w:val="20"/>
          <w:szCs w:val="20"/>
          <w:bdr w:val="none" w:sz="0" w:space="0" w:color="auto"/>
          <w:lang w:val="es-ES"/>
        </w:rPr>
        <w:t xml:space="preserve"> desaparecidos desconociéndose su suerte y paradero. </w:t>
      </w:r>
    </w:p>
    <w:p w:rsidR="00DD5C1F" w:rsidRPr="00C46D36" w:rsidRDefault="00DD5C1F" w:rsidP="00DD5C1F">
      <w:pPr>
        <w:pStyle w:val="ListParagraph"/>
        <w:rPr>
          <w:rFonts w:asciiTheme="majorHAnsi" w:hAnsiTheme="majorHAnsi"/>
          <w:color w:val="auto"/>
          <w:sz w:val="20"/>
          <w:szCs w:val="20"/>
          <w:bdr w:val="none" w:sz="0" w:space="0" w:color="auto"/>
          <w:lang w:val="es-ES"/>
        </w:rPr>
      </w:pPr>
    </w:p>
    <w:p w:rsidR="00A23F93" w:rsidRPr="00C46D36" w:rsidRDefault="00DD5C1F"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Indican que l</w:t>
      </w:r>
      <w:r w:rsidR="00181829" w:rsidRPr="00C46D36">
        <w:rPr>
          <w:rFonts w:asciiTheme="majorHAnsi" w:hAnsiTheme="majorHAnsi"/>
          <w:color w:val="auto"/>
          <w:sz w:val="20"/>
          <w:szCs w:val="20"/>
          <w:bdr w:val="none" w:sz="0" w:space="0" w:color="auto"/>
          <w:lang w:val="es-ES"/>
        </w:rPr>
        <w:t xml:space="preserve">a privación de libertad de Olga Luz Echavarría Areiza y Eliécer Pérez Morales fue presenciada por numerosas personas, toda vez que se practicó a plena luz del día, en una hora y lugar concurrido. </w:t>
      </w:r>
      <w:r w:rsidRPr="00C46D36">
        <w:rPr>
          <w:rFonts w:asciiTheme="majorHAnsi" w:hAnsiTheme="majorHAnsi"/>
          <w:color w:val="auto"/>
          <w:sz w:val="20"/>
          <w:szCs w:val="20"/>
          <w:bdr w:val="none" w:sz="0" w:space="0" w:color="auto"/>
          <w:lang w:val="es-ES"/>
        </w:rPr>
        <w:t xml:space="preserve">Señalan que </w:t>
      </w:r>
      <w:r w:rsidR="00181829" w:rsidRPr="00C46D36">
        <w:rPr>
          <w:rFonts w:asciiTheme="majorHAnsi" w:hAnsiTheme="majorHAnsi"/>
          <w:color w:val="auto"/>
          <w:sz w:val="20"/>
          <w:szCs w:val="20"/>
          <w:bdr w:val="none" w:sz="0" w:space="0" w:color="auto"/>
          <w:lang w:val="es-ES"/>
        </w:rPr>
        <w:t xml:space="preserve">Argiro Areiza Londoño, tío de Olga Luz, y Franci Marín Orrego, vecino del pueblo y amigo de infancia de Olga Luz, fueron testigos presénciales de la detención de Olga Luz Echavarría Areiza y Eliécer Pérez Morales y observaron el trayecto de los cuatro agentes de Policía y los dos detenidos hacia la Estación de Policía de Yarumal. </w:t>
      </w:r>
      <w:r w:rsidR="00877672" w:rsidRPr="00C46D36">
        <w:rPr>
          <w:rFonts w:asciiTheme="majorHAnsi" w:hAnsiTheme="majorHAnsi"/>
          <w:color w:val="auto"/>
          <w:sz w:val="20"/>
          <w:szCs w:val="20"/>
          <w:bdr w:val="none" w:sz="0" w:space="0" w:color="auto"/>
          <w:lang w:val="es-ES"/>
        </w:rPr>
        <w:t>Alegan que también Libardo de Jesús Mazo Medina, de profesión despachador de buses de la empresa “Coonorte”, declar</w:t>
      </w:r>
      <w:r w:rsidR="00945E05" w:rsidRPr="00C46D36">
        <w:rPr>
          <w:rFonts w:asciiTheme="majorHAnsi" w:hAnsiTheme="majorHAnsi"/>
          <w:color w:val="auto"/>
          <w:sz w:val="20"/>
          <w:szCs w:val="20"/>
          <w:bdr w:val="none" w:sz="0" w:space="0" w:color="auto"/>
          <w:lang w:val="es-ES"/>
        </w:rPr>
        <w:t>ó</w:t>
      </w:r>
      <w:r w:rsidR="000D5B87" w:rsidRPr="00C46D36">
        <w:rPr>
          <w:rFonts w:asciiTheme="majorHAnsi" w:hAnsiTheme="majorHAnsi"/>
          <w:color w:val="auto"/>
          <w:sz w:val="20"/>
          <w:szCs w:val="20"/>
          <w:bdr w:val="none" w:sz="0" w:space="0" w:color="auto"/>
          <w:lang w:val="es-ES"/>
        </w:rPr>
        <w:t xml:space="preserve"> en su testimonio</w:t>
      </w:r>
      <w:r w:rsidR="00877672" w:rsidRPr="00C46D36">
        <w:rPr>
          <w:rFonts w:asciiTheme="majorHAnsi" w:hAnsiTheme="majorHAnsi"/>
          <w:color w:val="auto"/>
          <w:sz w:val="20"/>
          <w:szCs w:val="20"/>
          <w:bdr w:val="none" w:sz="0" w:space="0" w:color="auto"/>
          <w:lang w:val="es-ES"/>
        </w:rPr>
        <w:t xml:space="preserve"> haber visto como ese mismo día, en horas de la mañana, dos miembros de la Policía </w:t>
      </w:r>
      <w:r w:rsidR="00AA5DF6" w:rsidRPr="00C46D36">
        <w:rPr>
          <w:rFonts w:asciiTheme="majorHAnsi" w:hAnsiTheme="majorHAnsi"/>
          <w:color w:val="auto"/>
          <w:sz w:val="20"/>
          <w:szCs w:val="20"/>
          <w:bdr w:val="none" w:sz="0" w:space="0" w:color="auto"/>
          <w:lang w:val="es-ES"/>
        </w:rPr>
        <w:t>descendieron</w:t>
      </w:r>
      <w:r w:rsidR="00877672" w:rsidRPr="00C46D36">
        <w:rPr>
          <w:rFonts w:asciiTheme="majorHAnsi" w:hAnsiTheme="majorHAnsi"/>
          <w:color w:val="auto"/>
          <w:sz w:val="20"/>
          <w:szCs w:val="20"/>
          <w:bdr w:val="none" w:sz="0" w:space="0" w:color="auto"/>
          <w:lang w:val="es-ES"/>
        </w:rPr>
        <w:t xml:space="preserve"> de un bus de esa empresa con una mujer y un hombre y los condujeron hacia el Comando de Policía de Yarumal.</w:t>
      </w:r>
    </w:p>
    <w:p w:rsidR="00A23F93" w:rsidRPr="00C46D36" w:rsidRDefault="00A23F93" w:rsidP="00A23F93">
      <w:pPr>
        <w:pStyle w:val="ListParagraph"/>
        <w:rPr>
          <w:rFonts w:asciiTheme="majorHAnsi" w:hAnsiTheme="majorHAnsi"/>
          <w:color w:val="auto"/>
          <w:sz w:val="20"/>
          <w:szCs w:val="20"/>
          <w:lang w:val="es-ES"/>
        </w:rPr>
      </w:pPr>
    </w:p>
    <w:p w:rsidR="00A23F93" w:rsidRPr="00C46D36" w:rsidRDefault="00FD6CF6" w:rsidP="00FD6C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
        </w:rPr>
      </w:pPr>
      <w:r w:rsidRPr="00C46D36">
        <w:rPr>
          <w:rFonts w:asciiTheme="majorHAnsi" w:hAnsiTheme="majorHAnsi"/>
          <w:color w:val="auto"/>
          <w:sz w:val="20"/>
          <w:szCs w:val="20"/>
          <w:lang w:val="es-ES"/>
        </w:rPr>
        <w:t>A</w:t>
      </w:r>
      <w:r w:rsidR="00A23F93" w:rsidRPr="00C46D36">
        <w:rPr>
          <w:rFonts w:asciiTheme="majorHAnsi" w:hAnsiTheme="majorHAnsi"/>
          <w:color w:val="auto"/>
          <w:sz w:val="20"/>
          <w:szCs w:val="20"/>
          <w:lang w:val="es-ES"/>
        </w:rPr>
        <w:t>legan que a</w:t>
      </w:r>
      <w:r w:rsidR="00302EEB" w:rsidRPr="00C46D36">
        <w:rPr>
          <w:rFonts w:asciiTheme="majorHAnsi" w:hAnsiTheme="majorHAnsi"/>
          <w:color w:val="auto"/>
          <w:sz w:val="20"/>
          <w:szCs w:val="20"/>
          <w:bdr w:val="none" w:sz="0" w:space="0" w:color="auto"/>
          <w:lang w:val="es-ES"/>
        </w:rPr>
        <w:t xml:space="preserve"> los dos días de la detención, la madre de Olga Luz Echavarrí</w:t>
      </w:r>
      <w:r w:rsidR="0041109C" w:rsidRPr="00C46D36">
        <w:rPr>
          <w:rFonts w:asciiTheme="majorHAnsi" w:hAnsiTheme="majorHAnsi"/>
          <w:color w:val="auto"/>
          <w:sz w:val="20"/>
          <w:szCs w:val="20"/>
          <w:bdr w:val="none" w:sz="0" w:space="0" w:color="auto"/>
          <w:lang w:val="es-ES"/>
        </w:rPr>
        <w:t>a, María Rosalba Areiza Londoño</w:t>
      </w:r>
      <w:r w:rsidR="00A23F93" w:rsidRPr="00C46D36">
        <w:rPr>
          <w:rFonts w:asciiTheme="majorHAnsi" w:hAnsiTheme="majorHAnsi"/>
          <w:color w:val="auto"/>
          <w:sz w:val="20"/>
          <w:szCs w:val="20"/>
          <w:lang w:val="es-ES"/>
        </w:rPr>
        <w:t>,</w:t>
      </w:r>
      <w:r w:rsidR="00302EEB" w:rsidRPr="00C46D36">
        <w:rPr>
          <w:rFonts w:asciiTheme="majorHAnsi" w:hAnsiTheme="majorHAnsi"/>
          <w:color w:val="auto"/>
          <w:sz w:val="20"/>
          <w:szCs w:val="20"/>
          <w:bdr w:val="none" w:sz="0" w:space="0" w:color="auto"/>
          <w:lang w:val="es-ES"/>
        </w:rPr>
        <w:t xml:space="preserve"> se dirigió a la Subestación de Policía de Yarumal a preguntar por el paradero de su hija, pero las autoridades policiales negaron que su hija se encontrara allí dado que, según ellos, no estaba anotada en los libros de reg</w:t>
      </w:r>
      <w:r w:rsidR="0041109C" w:rsidRPr="00C46D36">
        <w:rPr>
          <w:rFonts w:asciiTheme="majorHAnsi" w:hAnsiTheme="majorHAnsi"/>
          <w:color w:val="auto"/>
          <w:sz w:val="20"/>
          <w:szCs w:val="20"/>
          <w:bdr w:val="none" w:sz="0" w:space="0" w:color="auto"/>
          <w:lang w:val="es-ES"/>
        </w:rPr>
        <w:t>istro y control de la Estación</w:t>
      </w:r>
      <w:r w:rsidR="00302EEB"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lang w:val="es-ES"/>
        </w:rPr>
        <w:t xml:space="preserve"> Agregan que dos de los miembros de la Policía Nacional que habrían sido vistos participa</w:t>
      </w:r>
      <w:r w:rsidR="00AA5DF6" w:rsidRPr="00C46D36">
        <w:rPr>
          <w:rFonts w:asciiTheme="majorHAnsi" w:hAnsiTheme="majorHAnsi"/>
          <w:color w:val="auto"/>
          <w:sz w:val="20"/>
          <w:szCs w:val="20"/>
          <w:lang w:val="es-ES"/>
        </w:rPr>
        <w:t>n</w:t>
      </w:r>
      <w:r w:rsidRPr="00C46D36">
        <w:rPr>
          <w:rFonts w:asciiTheme="majorHAnsi" w:hAnsiTheme="majorHAnsi"/>
          <w:color w:val="auto"/>
          <w:sz w:val="20"/>
          <w:szCs w:val="20"/>
          <w:lang w:val="es-ES"/>
        </w:rPr>
        <w:t>do en los hechos fueron el Capitán César Emilio Camargo Cuchía, Comandante del Comando de Policía, y el agente Javier Alberto Patiño; y que durante las investigaciones los peticionarios informaron acerca de los posibles vínculos entre el grupo paramilitar “los Doce Apóstoles”</w:t>
      </w:r>
      <w:r w:rsidR="00A22948" w:rsidRPr="00C46D36">
        <w:rPr>
          <w:rFonts w:asciiTheme="majorHAnsi" w:hAnsiTheme="majorHAnsi"/>
          <w:color w:val="auto"/>
          <w:sz w:val="20"/>
          <w:szCs w:val="20"/>
          <w:lang w:val="es-ES"/>
        </w:rPr>
        <w:t xml:space="preserve"> y</w:t>
      </w:r>
      <w:r w:rsidRPr="00C46D36">
        <w:rPr>
          <w:rFonts w:asciiTheme="majorHAnsi" w:hAnsiTheme="majorHAnsi"/>
          <w:color w:val="auto"/>
          <w:sz w:val="20"/>
          <w:szCs w:val="20"/>
          <w:lang w:val="es-ES"/>
        </w:rPr>
        <w:t xml:space="preserve"> miembros del Comando de Policía del Distrito No. 7 de Yarumal</w:t>
      </w:r>
      <w:r w:rsidRPr="00C46D36">
        <w:rPr>
          <w:rStyle w:val="FootnoteReference"/>
          <w:rFonts w:asciiTheme="majorHAnsi" w:hAnsiTheme="majorHAnsi"/>
          <w:color w:val="auto"/>
          <w:sz w:val="20"/>
          <w:szCs w:val="20"/>
          <w:lang w:val="es-ES"/>
        </w:rPr>
        <w:footnoteReference w:id="8"/>
      </w:r>
      <w:r w:rsidRPr="00C46D36">
        <w:rPr>
          <w:rFonts w:asciiTheme="majorHAnsi" w:hAnsiTheme="majorHAnsi"/>
          <w:color w:val="auto"/>
          <w:sz w:val="20"/>
          <w:szCs w:val="20"/>
          <w:lang w:val="es-ES"/>
        </w:rPr>
        <w:t>.</w:t>
      </w:r>
    </w:p>
    <w:p w:rsidR="00A23F93" w:rsidRPr="00C46D36" w:rsidRDefault="00A23F93" w:rsidP="00A23F93">
      <w:pPr>
        <w:pStyle w:val="ListParagraph"/>
        <w:rPr>
          <w:rFonts w:asciiTheme="majorHAnsi" w:hAnsiTheme="majorHAnsi"/>
          <w:color w:val="auto"/>
          <w:sz w:val="20"/>
          <w:szCs w:val="20"/>
          <w:bdr w:val="none" w:sz="0" w:space="0" w:color="auto"/>
          <w:lang w:val="es-ES"/>
        </w:rPr>
      </w:pPr>
    </w:p>
    <w:p w:rsidR="00306D88" w:rsidRPr="00C46D36" w:rsidRDefault="00181829"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Con respecto a las investigaciones penales adelantadas</w:t>
      </w:r>
      <w:r w:rsidR="00426AF8"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bdr w:val="none" w:sz="0" w:space="0" w:color="auto"/>
          <w:lang w:val="es-ES"/>
        </w:rPr>
        <w:t xml:space="preserve"> los peticionarios consideran que </w:t>
      </w:r>
      <w:r w:rsidR="0078664D" w:rsidRPr="00C46D36">
        <w:rPr>
          <w:rFonts w:asciiTheme="majorHAnsi" w:hAnsiTheme="majorHAnsi"/>
          <w:color w:val="auto"/>
          <w:sz w:val="20"/>
          <w:szCs w:val="20"/>
          <w:lang w:val="es-ES"/>
        </w:rPr>
        <w:t>gran parte de las actuaciones</w:t>
      </w:r>
      <w:r w:rsidR="0041109C" w:rsidRPr="00C46D36">
        <w:rPr>
          <w:rFonts w:asciiTheme="majorHAnsi" w:hAnsiTheme="majorHAnsi"/>
          <w:color w:val="auto"/>
          <w:sz w:val="20"/>
          <w:szCs w:val="20"/>
          <w:lang w:val="es-ES"/>
        </w:rPr>
        <w:t xml:space="preserve"> han consistido en practicar inspecciones judiciales a los expedientes tramitados previamente por las autoridades que sucesivamente</w:t>
      </w:r>
      <w:r w:rsidR="0078664D" w:rsidRPr="00C46D36">
        <w:rPr>
          <w:rFonts w:asciiTheme="majorHAnsi" w:hAnsiTheme="majorHAnsi"/>
          <w:color w:val="auto"/>
          <w:sz w:val="20"/>
          <w:szCs w:val="20"/>
          <w:lang w:val="es-ES"/>
        </w:rPr>
        <w:t xml:space="preserve"> conocieron del caso. </w:t>
      </w:r>
      <w:r w:rsidRPr="00C46D36">
        <w:rPr>
          <w:rFonts w:asciiTheme="majorHAnsi" w:hAnsiTheme="majorHAnsi"/>
          <w:color w:val="auto"/>
          <w:sz w:val="20"/>
          <w:szCs w:val="20"/>
          <w:bdr w:val="none" w:sz="0" w:space="0" w:color="auto"/>
          <w:lang w:val="es-ES"/>
        </w:rPr>
        <w:t xml:space="preserve">Alegan además que habrían excedido el plazo razonable, al haber transcurrido más de </w:t>
      </w:r>
      <w:r w:rsidR="0078664D" w:rsidRPr="00C46D36">
        <w:rPr>
          <w:rFonts w:asciiTheme="majorHAnsi" w:hAnsiTheme="majorHAnsi"/>
          <w:color w:val="auto"/>
          <w:sz w:val="20"/>
          <w:szCs w:val="20"/>
          <w:lang w:val="es-ES"/>
        </w:rPr>
        <w:t>veintic</w:t>
      </w:r>
      <w:r w:rsidR="00121508" w:rsidRPr="00C46D36">
        <w:rPr>
          <w:rFonts w:asciiTheme="majorHAnsi" w:hAnsiTheme="majorHAnsi"/>
          <w:color w:val="auto"/>
          <w:sz w:val="20"/>
          <w:szCs w:val="20"/>
          <w:lang w:val="es-ES"/>
        </w:rPr>
        <w:t>inc</w:t>
      </w:r>
      <w:r w:rsidR="0078664D" w:rsidRPr="00C46D36">
        <w:rPr>
          <w:rFonts w:asciiTheme="majorHAnsi" w:hAnsiTheme="majorHAnsi"/>
          <w:color w:val="auto"/>
          <w:sz w:val="20"/>
          <w:szCs w:val="20"/>
          <w:lang w:val="es-ES"/>
        </w:rPr>
        <w:t>o años</w:t>
      </w:r>
      <w:r w:rsidRPr="00C46D36">
        <w:rPr>
          <w:rFonts w:asciiTheme="majorHAnsi" w:hAnsiTheme="majorHAnsi"/>
          <w:color w:val="auto"/>
          <w:sz w:val="20"/>
          <w:szCs w:val="20"/>
          <w:bdr w:val="none" w:sz="0" w:space="0" w:color="auto"/>
          <w:lang w:val="es-ES"/>
        </w:rPr>
        <w:t xml:space="preserve"> desde la desaparición de la</w:t>
      </w:r>
      <w:r w:rsidR="0078664D" w:rsidRPr="00C46D36">
        <w:rPr>
          <w:rFonts w:asciiTheme="majorHAnsi" w:hAnsiTheme="majorHAnsi"/>
          <w:color w:val="auto"/>
          <w:sz w:val="20"/>
          <w:szCs w:val="20"/>
          <w:lang w:val="es-ES"/>
        </w:rPr>
        <w:t>s</w:t>
      </w:r>
      <w:r w:rsidRPr="00C46D36">
        <w:rPr>
          <w:rFonts w:asciiTheme="majorHAnsi" w:hAnsiTheme="majorHAnsi"/>
          <w:color w:val="auto"/>
          <w:sz w:val="20"/>
          <w:szCs w:val="20"/>
          <w:bdr w:val="none" w:sz="0" w:space="0" w:color="auto"/>
          <w:lang w:val="es-ES"/>
        </w:rPr>
        <w:t xml:space="preserve"> presunta</w:t>
      </w:r>
      <w:r w:rsidR="0078664D" w:rsidRPr="00C46D36">
        <w:rPr>
          <w:rFonts w:asciiTheme="majorHAnsi" w:hAnsiTheme="majorHAnsi"/>
          <w:color w:val="auto"/>
          <w:sz w:val="20"/>
          <w:szCs w:val="20"/>
          <w:lang w:val="es-ES"/>
        </w:rPr>
        <w:t>s</w:t>
      </w:r>
      <w:r w:rsidRPr="00C46D36">
        <w:rPr>
          <w:rFonts w:asciiTheme="majorHAnsi" w:hAnsiTheme="majorHAnsi"/>
          <w:color w:val="auto"/>
          <w:sz w:val="20"/>
          <w:szCs w:val="20"/>
          <w:bdr w:val="none" w:sz="0" w:space="0" w:color="auto"/>
          <w:lang w:val="es-ES"/>
        </w:rPr>
        <w:t xml:space="preserve"> víctima</w:t>
      </w:r>
      <w:r w:rsidR="0078664D" w:rsidRPr="00C46D36">
        <w:rPr>
          <w:rFonts w:asciiTheme="majorHAnsi" w:hAnsiTheme="majorHAnsi"/>
          <w:color w:val="auto"/>
          <w:sz w:val="20"/>
          <w:szCs w:val="20"/>
          <w:lang w:val="es-ES"/>
        </w:rPr>
        <w:t>s</w:t>
      </w:r>
      <w:r w:rsidRPr="00C46D36">
        <w:rPr>
          <w:rFonts w:asciiTheme="majorHAnsi" w:hAnsiTheme="majorHAnsi"/>
          <w:color w:val="auto"/>
          <w:sz w:val="20"/>
          <w:szCs w:val="20"/>
          <w:bdr w:val="none" w:sz="0" w:space="0" w:color="auto"/>
          <w:lang w:val="es-ES"/>
        </w:rPr>
        <w:t>. Señalan que a pesar de que existirían elementos probatorios que conducirían a la responsabilidad de integrantes de la fuerza pública</w:t>
      </w:r>
      <w:r w:rsidR="009469B8"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bdr w:val="none" w:sz="0" w:space="0" w:color="auto"/>
          <w:lang w:val="es-ES"/>
        </w:rPr>
        <w:t xml:space="preserve"> las investigaciones aún se encontrarían en etapa de investigación previa o habrían sido archivadas provisionalmente sin que se identificara a los responsables. Por ello, en cuanto al cumplimiento con el requisito del previo agotamiento de los recursos internos alegan que resulta aplicable la excepción prevista en el artículo 46.2 c). </w:t>
      </w:r>
    </w:p>
    <w:p w:rsidR="00306D88" w:rsidRPr="00C46D36" w:rsidRDefault="00306D88" w:rsidP="00306D88">
      <w:pPr>
        <w:pStyle w:val="ListParagraph"/>
        <w:rPr>
          <w:rFonts w:asciiTheme="majorHAnsi" w:hAnsiTheme="majorHAnsi"/>
          <w:color w:val="auto"/>
          <w:sz w:val="20"/>
          <w:szCs w:val="20"/>
          <w:bdr w:val="none" w:sz="0" w:space="0" w:color="auto"/>
          <w:lang w:val="es-ES"/>
        </w:rPr>
      </w:pPr>
    </w:p>
    <w:p w:rsidR="00306D88" w:rsidRPr="00C46D36" w:rsidRDefault="00181829"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 xml:space="preserve">En cuanto a los procesos iniciados a nivel interno, el </w:t>
      </w:r>
      <w:r w:rsidR="00FA7095" w:rsidRPr="00C46D36">
        <w:rPr>
          <w:rFonts w:asciiTheme="majorHAnsi" w:hAnsiTheme="majorHAnsi"/>
          <w:color w:val="auto"/>
          <w:sz w:val="20"/>
          <w:szCs w:val="20"/>
          <w:bdr w:val="none" w:sz="0" w:space="0" w:color="auto"/>
          <w:lang w:val="es-ES"/>
        </w:rPr>
        <w:t>16 de abril de 1990 la madre de Olga Luz habría presentado denuncia penal ante la Unidad</w:t>
      </w:r>
      <w:r w:rsidR="00FA7095" w:rsidRPr="00C46D36">
        <w:rPr>
          <w:rFonts w:asciiTheme="majorHAnsi" w:hAnsiTheme="majorHAnsi"/>
          <w:color w:val="auto"/>
          <w:sz w:val="20"/>
          <w:szCs w:val="20"/>
          <w:lang w:val="es-ES"/>
        </w:rPr>
        <w:t xml:space="preserve"> </w:t>
      </w:r>
      <w:r w:rsidR="00FA7095" w:rsidRPr="00C46D36">
        <w:rPr>
          <w:rFonts w:asciiTheme="majorHAnsi" w:hAnsiTheme="majorHAnsi"/>
          <w:color w:val="auto"/>
          <w:sz w:val="20"/>
          <w:szCs w:val="20"/>
          <w:bdr w:val="none" w:sz="0" w:space="0" w:color="auto"/>
          <w:lang w:val="es-ES"/>
        </w:rPr>
        <w:t>de Indagación Preliminar del Cuerpo Técnico de la Policía Judicial, en Medellín</w:t>
      </w:r>
      <w:r w:rsidR="009B6989" w:rsidRPr="00C46D36">
        <w:rPr>
          <w:rFonts w:asciiTheme="majorHAnsi" w:hAnsiTheme="majorHAnsi"/>
          <w:color w:val="auto"/>
          <w:sz w:val="20"/>
          <w:szCs w:val="20"/>
          <w:lang w:val="es-ES"/>
        </w:rPr>
        <w:t xml:space="preserve">. Con base en ella, </w:t>
      </w:r>
      <w:r w:rsidR="009B6989" w:rsidRPr="00C46D36">
        <w:rPr>
          <w:rFonts w:asciiTheme="majorHAnsi" w:eastAsiaTheme="minorEastAsia" w:hAnsiTheme="majorHAnsi"/>
          <w:color w:val="auto"/>
          <w:sz w:val="20"/>
          <w:szCs w:val="20"/>
          <w:lang w:val="es-ES"/>
        </w:rPr>
        <w:t>se inició, en la jurisdicción ordinaria, investigación penal</w:t>
      </w:r>
      <w:r w:rsidR="002A07C5" w:rsidRPr="00C46D36">
        <w:rPr>
          <w:rFonts w:asciiTheme="majorHAnsi" w:eastAsiaTheme="minorEastAsia" w:hAnsiTheme="majorHAnsi"/>
          <w:color w:val="auto"/>
          <w:sz w:val="20"/>
          <w:szCs w:val="20"/>
          <w:lang w:val="es-ES"/>
        </w:rPr>
        <w:t xml:space="preserve"> en la cual se</w:t>
      </w:r>
      <w:r w:rsidR="009B6989" w:rsidRPr="00C46D36">
        <w:rPr>
          <w:rFonts w:asciiTheme="majorHAnsi" w:eastAsiaTheme="minorEastAsia" w:hAnsiTheme="majorHAnsi"/>
          <w:color w:val="auto"/>
          <w:sz w:val="20"/>
          <w:szCs w:val="20"/>
          <w:lang w:val="es-ES"/>
        </w:rPr>
        <w:t xml:space="preserve"> </w:t>
      </w:r>
      <w:r w:rsidR="002A07C5" w:rsidRPr="00C46D36">
        <w:rPr>
          <w:rFonts w:asciiTheme="majorHAnsi" w:eastAsiaTheme="minorEastAsia" w:hAnsiTheme="majorHAnsi"/>
          <w:color w:val="auto"/>
          <w:sz w:val="20"/>
          <w:szCs w:val="20"/>
          <w:lang w:val="es-ES"/>
        </w:rPr>
        <w:t>procedió</w:t>
      </w:r>
      <w:r w:rsidR="00FA7095" w:rsidRPr="00C46D36">
        <w:rPr>
          <w:rFonts w:asciiTheme="majorHAnsi" w:hAnsiTheme="majorHAnsi"/>
          <w:color w:val="auto"/>
          <w:sz w:val="20"/>
          <w:szCs w:val="20"/>
          <w:bdr w:val="none" w:sz="0" w:space="0" w:color="auto"/>
          <w:lang w:val="es-ES"/>
        </w:rPr>
        <w:t xml:space="preserve"> </w:t>
      </w:r>
      <w:r w:rsidR="009B6989" w:rsidRPr="00C46D36">
        <w:rPr>
          <w:rFonts w:asciiTheme="majorHAnsi" w:hAnsiTheme="majorHAnsi"/>
          <w:color w:val="auto"/>
          <w:sz w:val="20"/>
          <w:szCs w:val="20"/>
          <w:lang w:val="es-ES"/>
        </w:rPr>
        <w:t xml:space="preserve">a </w:t>
      </w:r>
      <w:r w:rsidR="00FA7095" w:rsidRPr="00C46D36">
        <w:rPr>
          <w:rFonts w:asciiTheme="majorHAnsi" w:hAnsiTheme="majorHAnsi"/>
          <w:color w:val="auto"/>
          <w:sz w:val="20"/>
          <w:szCs w:val="20"/>
          <w:bdr w:val="none" w:sz="0" w:space="0" w:color="auto"/>
          <w:lang w:val="es-ES"/>
        </w:rPr>
        <w:t>la inspección judicial a los libros de ingreso de retenidos del Comando de Policía de Yarumal, donde no fue hallado registro alguno de la detención de</w:t>
      </w:r>
      <w:r w:rsidR="009B6989" w:rsidRPr="00C46D36">
        <w:rPr>
          <w:rFonts w:asciiTheme="majorHAnsi" w:hAnsiTheme="majorHAnsi"/>
          <w:color w:val="auto"/>
          <w:sz w:val="20"/>
          <w:szCs w:val="20"/>
          <w:lang w:val="es-ES"/>
        </w:rPr>
        <w:t xml:space="preserve"> las dos personas desaparecidas</w:t>
      </w:r>
      <w:r w:rsidR="002A07C5" w:rsidRPr="00C46D36">
        <w:rPr>
          <w:rFonts w:asciiTheme="majorHAnsi" w:hAnsiTheme="majorHAnsi"/>
          <w:color w:val="auto"/>
          <w:sz w:val="20"/>
          <w:szCs w:val="20"/>
          <w:lang w:val="es-ES"/>
        </w:rPr>
        <w:t>;</w:t>
      </w:r>
      <w:r w:rsidR="009B6989" w:rsidRPr="00C46D36">
        <w:rPr>
          <w:rFonts w:asciiTheme="majorHAnsi" w:hAnsiTheme="majorHAnsi"/>
          <w:color w:val="auto"/>
          <w:sz w:val="20"/>
          <w:szCs w:val="20"/>
          <w:lang w:val="es-ES"/>
        </w:rPr>
        <w:t xml:space="preserve"> y </w:t>
      </w:r>
      <w:r w:rsidR="000C7C79" w:rsidRPr="00C46D36">
        <w:rPr>
          <w:rFonts w:asciiTheme="majorHAnsi" w:hAnsiTheme="majorHAnsi"/>
          <w:color w:val="auto"/>
          <w:sz w:val="20"/>
          <w:szCs w:val="20"/>
          <w:bdr w:val="none" w:sz="0" w:space="0" w:color="auto"/>
          <w:lang w:val="es-ES"/>
        </w:rPr>
        <w:t>se recogieron los testimonios de los tres testigos que sostuvie</w:t>
      </w:r>
      <w:r w:rsidR="002A07C5" w:rsidRPr="00C46D36">
        <w:rPr>
          <w:rFonts w:asciiTheme="majorHAnsi" w:hAnsiTheme="majorHAnsi"/>
          <w:color w:val="auto"/>
          <w:sz w:val="20"/>
          <w:szCs w:val="20"/>
          <w:lang w:val="es-ES"/>
        </w:rPr>
        <w:t>ron haber visto personalmente la detención de las dos presuntas víctimas.</w:t>
      </w:r>
      <w:r w:rsidR="000C7C79" w:rsidRPr="00C46D36">
        <w:rPr>
          <w:rFonts w:asciiTheme="majorHAnsi" w:hAnsiTheme="majorHAnsi"/>
          <w:color w:val="auto"/>
          <w:sz w:val="20"/>
          <w:szCs w:val="20"/>
          <w:lang w:val="es-ES"/>
        </w:rPr>
        <w:t xml:space="preserve"> </w:t>
      </w:r>
      <w:r w:rsidR="002A07C5" w:rsidRPr="00C46D36">
        <w:rPr>
          <w:rFonts w:asciiTheme="majorHAnsi" w:hAnsiTheme="majorHAnsi"/>
          <w:color w:val="auto"/>
          <w:sz w:val="20"/>
          <w:szCs w:val="20"/>
          <w:lang w:val="es-ES"/>
        </w:rPr>
        <w:t xml:space="preserve">Señalan que </w:t>
      </w:r>
      <w:r w:rsidR="00407053" w:rsidRPr="00C46D36">
        <w:rPr>
          <w:rFonts w:asciiTheme="majorHAnsi" w:hAnsiTheme="majorHAnsi"/>
          <w:color w:val="auto"/>
          <w:sz w:val="20"/>
          <w:szCs w:val="20"/>
          <w:lang w:val="es-ES"/>
        </w:rPr>
        <w:t>d</w:t>
      </w:r>
      <w:r w:rsidR="002A07C5" w:rsidRPr="00C46D36">
        <w:rPr>
          <w:rFonts w:asciiTheme="majorHAnsi" w:hAnsiTheme="majorHAnsi"/>
          <w:color w:val="auto"/>
          <w:sz w:val="20"/>
          <w:szCs w:val="20"/>
          <w:lang w:val="es-ES"/>
        </w:rPr>
        <w:t xml:space="preserve">espués de un dilatado y laberintico procedimiento, caracterizado por varias suspensiones de la actuación, </w:t>
      </w:r>
      <w:r w:rsidR="00407053" w:rsidRPr="00C46D36">
        <w:rPr>
          <w:rFonts w:asciiTheme="majorHAnsi" w:hAnsiTheme="majorHAnsi"/>
          <w:color w:val="auto"/>
          <w:sz w:val="20"/>
          <w:szCs w:val="20"/>
          <w:lang w:val="es-ES"/>
        </w:rPr>
        <w:t>e</w:t>
      </w:r>
      <w:r w:rsidR="00407053" w:rsidRPr="00C46D36">
        <w:rPr>
          <w:rFonts w:asciiTheme="majorHAnsi" w:hAnsiTheme="majorHAnsi"/>
          <w:color w:val="auto"/>
          <w:sz w:val="20"/>
          <w:szCs w:val="20"/>
          <w:bdr w:val="none" w:sz="0" w:space="0" w:color="auto"/>
          <w:lang w:val="es-ES"/>
        </w:rPr>
        <w:t>l 11 de agosto de 2008</w:t>
      </w:r>
      <w:r w:rsidR="002A07C5" w:rsidRPr="00C46D36">
        <w:rPr>
          <w:rFonts w:asciiTheme="majorHAnsi" w:hAnsiTheme="majorHAnsi"/>
          <w:color w:val="auto"/>
          <w:sz w:val="20"/>
          <w:szCs w:val="20"/>
          <w:bdr w:val="none" w:sz="0" w:space="0" w:color="auto"/>
          <w:lang w:val="es-ES"/>
        </w:rPr>
        <w:t xml:space="preserve"> la investigación preliminar fue reasignada a la Fiscalía 69 de Unidad Nacional de Derechos Humanos y Derecho Internacional Humanitario de la Fiscalía General de la Nación</w:t>
      </w:r>
      <w:r w:rsidR="00306D88" w:rsidRPr="00C46D36">
        <w:rPr>
          <w:rFonts w:asciiTheme="majorHAnsi" w:hAnsiTheme="majorHAnsi"/>
          <w:color w:val="auto"/>
          <w:sz w:val="20"/>
          <w:szCs w:val="20"/>
          <w:bdr w:val="none" w:sz="0" w:space="0" w:color="auto"/>
          <w:lang w:val="es-ES"/>
        </w:rPr>
        <w:t xml:space="preserve">. </w:t>
      </w:r>
      <w:r w:rsidR="002A07C5" w:rsidRPr="00C46D36">
        <w:rPr>
          <w:rFonts w:asciiTheme="majorHAnsi" w:hAnsiTheme="majorHAnsi"/>
          <w:color w:val="auto"/>
          <w:sz w:val="20"/>
          <w:szCs w:val="20"/>
          <w:bdr w:val="none" w:sz="0" w:space="0" w:color="auto"/>
          <w:lang w:val="es-ES"/>
        </w:rPr>
        <w:t xml:space="preserve"> </w:t>
      </w:r>
      <w:r w:rsidR="00306D88" w:rsidRPr="00C46D36">
        <w:rPr>
          <w:rFonts w:asciiTheme="majorHAnsi" w:hAnsiTheme="majorHAnsi"/>
          <w:color w:val="auto"/>
          <w:sz w:val="20"/>
          <w:szCs w:val="20"/>
          <w:bdr w:val="none" w:sz="0" w:space="0" w:color="auto"/>
          <w:lang w:val="es-ES"/>
        </w:rPr>
        <w:t xml:space="preserve">Para la fecha el proceso penal se encontraría </w:t>
      </w:r>
      <w:r w:rsidR="00407053" w:rsidRPr="00C46D36">
        <w:rPr>
          <w:rFonts w:asciiTheme="majorHAnsi" w:hAnsiTheme="majorHAnsi"/>
          <w:color w:val="auto"/>
          <w:sz w:val="20"/>
          <w:szCs w:val="20"/>
          <w:bdr w:val="none" w:sz="0" w:space="0" w:color="auto"/>
          <w:lang w:val="es-ES"/>
        </w:rPr>
        <w:t xml:space="preserve">aun </w:t>
      </w:r>
      <w:r w:rsidR="00306D88" w:rsidRPr="00C46D36">
        <w:rPr>
          <w:rFonts w:asciiTheme="majorHAnsi" w:hAnsiTheme="majorHAnsi"/>
          <w:color w:val="auto"/>
          <w:sz w:val="20"/>
          <w:szCs w:val="20"/>
          <w:bdr w:val="none" w:sz="0" w:space="0" w:color="auto"/>
          <w:lang w:val="es-ES"/>
        </w:rPr>
        <w:t>en etapa de investigación previa</w:t>
      </w:r>
      <w:r w:rsidR="00306D88" w:rsidRPr="00C46D36">
        <w:rPr>
          <w:rFonts w:asciiTheme="majorHAnsi" w:hAnsiTheme="majorHAnsi"/>
          <w:color w:val="auto"/>
          <w:sz w:val="20"/>
          <w:szCs w:val="20"/>
          <w:lang w:val="es-ES"/>
        </w:rPr>
        <w:t>.</w:t>
      </w:r>
    </w:p>
    <w:p w:rsidR="00306D88" w:rsidRPr="00C46D36" w:rsidRDefault="00402CBD" w:rsidP="00402CBD">
      <w:pPr>
        <w:rPr>
          <w:rFonts w:ascii="Cambria" w:eastAsia="Cambria" w:hAnsi="Cambria" w:cs="Cambria"/>
          <w:sz w:val="20"/>
          <w:szCs w:val="20"/>
          <w:u w:color="000000"/>
          <w:bdr w:val="none" w:sz="0" w:space="0" w:color="auto"/>
          <w:lang w:val="es-ES" w:eastAsia="es-ES"/>
        </w:rPr>
      </w:pPr>
      <w:r w:rsidRPr="00C46D36">
        <w:rPr>
          <w:sz w:val="20"/>
          <w:szCs w:val="20"/>
          <w:bdr w:val="none" w:sz="0" w:space="0" w:color="auto"/>
          <w:lang w:val="es-ES"/>
        </w:rPr>
        <w:br w:type="page"/>
      </w:r>
    </w:p>
    <w:p w:rsidR="00A01819" w:rsidRPr="00C46D36" w:rsidRDefault="00181829" w:rsidP="00A01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color w:val="auto"/>
          <w:sz w:val="20"/>
          <w:szCs w:val="20"/>
          <w:bdr w:val="none" w:sz="0" w:space="0" w:color="auto"/>
          <w:lang w:val="es-ES"/>
        </w:rPr>
        <w:lastRenderedPageBreak/>
        <w:t xml:space="preserve">Adicionalmente señalan que el Código de Procedimiento Penal vigente para el momento </w:t>
      </w:r>
      <w:r w:rsidR="00426AF8" w:rsidRPr="00C46D36">
        <w:rPr>
          <w:color w:val="auto"/>
          <w:sz w:val="20"/>
          <w:szCs w:val="20"/>
          <w:bdr w:val="none" w:sz="0" w:space="0" w:color="auto"/>
          <w:lang w:val="es-ES"/>
        </w:rPr>
        <w:t xml:space="preserve">de los hechos </w:t>
      </w:r>
      <w:r w:rsidRPr="00C46D36">
        <w:rPr>
          <w:color w:val="auto"/>
          <w:sz w:val="20"/>
          <w:szCs w:val="20"/>
          <w:bdr w:val="none" w:sz="0" w:space="0" w:color="auto"/>
          <w:lang w:val="es-ES"/>
        </w:rPr>
        <w:t>disponía que mientras el caso estuviese en periodo preliminar no se admitiría demanda de parte civil</w:t>
      </w:r>
      <w:r w:rsidR="009469B8" w:rsidRPr="00C46D36">
        <w:rPr>
          <w:color w:val="auto"/>
          <w:sz w:val="20"/>
          <w:szCs w:val="20"/>
          <w:bdr w:val="none" w:sz="0" w:space="0" w:color="auto"/>
          <w:lang w:val="es-ES"/>
        </w:rPr>
        <w:t>, y que</w:t>
      </w:r>
      <w:r w:rsidRPr="00C46D36">
        <w:rPr>
          <w:color w:val="auto"/>
          <w:sz w:val="20"/>
          <w:szCs w:val="20"/>
          <w:bdr w:val="none" w:sz="0" w:space="0" w:color="auto"/>
          <w:lang w:val="es-ES"/>
        </w:rPr>
        <w:t xml:space="preserve"> dicha disposición fue modificada</w:t>
      </w:r>
      <w:r w:rsidR="009469B8" w:rsidRPr="00C46D36">
        <w:rPr>
          <w:color w:val="auto"/>
          <w:sz w:val="20"/>
          <w:szCs w:val="20"/>
          <w:bdr w:val="none" w:sz="0" w:space="0" w:color="auto"/>
          <w:lang w:val="es-ES"/>
        </w:rPr>
        <w:t xml:space="preserve"> </w:t>
      </w:r>
      <w:r w:rsidR="000C0A19" w:rsidRPr="00C46D36">
        <w:rPr>
          <w:color w:val="auto"/>
          <w:sz w:val="20"/>
          <w:szCs w:val="20"/>
          <w:bdr w:val="none" w:sz="0" w:space="0" w:color="auto"/>
          <w:lang w:val="es-ES"/>
        </w:rPr>
        <w:t xml:space="preserve">solo </w:t>
      </w:r>
      <w:r w:rsidR="009469B8" w:rsidRPr="00C46D36">
        <w:rPr>
          <w:color w:val="auto"/>
          <w:sz w:val="20"/>
          <w:szCs w:val="20"/>
          <w:bdr w:val="none" w:sz="0" w:space="0" w:color="auto"/>
          <w:lang w:val="es-ES"/>
        </w:rPr>
        <w:t>en el año 2002</w:t>
      </w:r>
      <w:r w:rsidR="00A01819" w:rsidRPr="00C46D36">
        <w:rPr>
          <w:color w:val="auto"/>
          <w:sz w:val="20"/>
          <w:szCs w:val="20"/>
          <w:bdr w:val="none" w:sz="0" w:space="0" w:color="auto"/>
          <w:lang w:val="es-ES"/>
        </w:rPr>
        <w:t>. Por esta razón alegan</w:t>
      </w:r>
      <w:r w:rsidR="0023443B" w:rsidRPr="00C46D36">
        <w:rPr>
          <w:color w:val="auto"/>
          <w:sz w:val="20"/>
          <w:szCs w:val="20"/>
          <w:bdr w:val="none" w:sz="0" w:space="0" w:color="auto"/>
          <w:lang w:val="es-ES"/>
        </w:rPr>
        <w:t xml:space="preserve"> que</w:t>
      </w:r>
      <w:r w:rsidR="00A01819" w:rsidRPr="00C46D36">
        <w:rPr>
          <w:color w:val="auto"/>
          <w:sz w:val="20"/>
          <w:szCs w:val="20"/>
          <w:bdr w:val="none" w:sz="0" w:space="0" w:color="auto"/>
          <w:lang w:val="es-ES"/>
        </w:rPr>
        <w:t xml:space="preserve"> durante los 12 primeros años del proceso penal</w:t>
      </w:r>
      <w:r w:rsidR="0023443B" w:rsidRPr="00C46D36">
        <w:rPr>
          <w:color w:val="auto"/>
          <w:sz w:val="20"/>
          <w:szCs w:val="20"/>
          <w:bdr w:val="none" w:sz="0" w:space="0" w:color="auto"/>
          <w:lang w:val="es-ES"/>
        </w:rPr>
        <w:t>,</w:t>
      </w:r>
      <w:r w:rsidR="00A01819" w:rsidRPr="00C46D36">
        <w:rPr>
          <w:color w:val="auto"/>
          <w:sz w:val="20"/>
          <w:szCs w:val="20"/>
          <w:bdr w:val="none" w:sz="0" w:space="0" w:color="auto"/>
          <w:lang w:val="es-ES"/>
        </w:rPr>
        <w:t xml:space="preserve"> los familiares de las presuntas víctimas no disp</w:t>
      </w:r>
      <w:r w:rsidR="00426AF8" w:rsidRPr="00C46D36">
        <w:rPr>
          <w:color w:val="auto"/>
          <w:sz w:val="20"/>
          <w:szCs w:val="20"/>
          <w:bdr w:val="none" w:sz="0" w:space="0" w:color="auto"/>
          <w:lang w:val="es-ES"/>
        </w:rPr>
        <w:t>usieron</w:t>
      </w:r>
      <w:r w:rsidR="00A01819" w:rsidRPr="00C46D36">
        <w:rPr>
          <w:color w:val="auto"/>
          <w:sz w:val="20"/>
          <w:szCs w:val="20"/>
          <w:bdr w:val="none" w:sz="0" w:space="0" w:color="auto"/>
          <w:lang w:val="es-ES"/>
        </w:rPr>
        <w:t xml:space="preserve"> de un recurso efectivo en el ordenamiento interno.</w:t>
      </w:r>
    </w:p>
    <w:p w:rsidR="00636B7E" w:rsidRPr="00C46D36" w:rsidRDefault="00636B7E" w:rsidP="00636B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
        </w:rPr>
      </w:pPr>
    </w:p>
    <w:p w:rsidR="00306D88" w:rsidRPr="00C46D36" w:rsidRDefault="00181829" w:rsidP="00543D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 xml:space="preserve">Por otro lado, se habría iniciado un proceso disciplinario en atención a la queja interpuesta por la </w:t>
      </w:r>
      <w:r w:rsidR="0078664D" w:rsidRPr="00C46D36">
        <w:rPr>
          <w:rFonts w:asciiTheme="majorHAnsi" w:hAnsiTheme="majorHAnsi"/>
          <w:color w:val="auto"/>
          <w:sz w:val="20"/>
          <w:szCs w:val="20"/>
          <w:bdr w:val="none" w:sz="0" w:space="0" w:color="auto"/>
          <w:lang w:val="es-ES"/>
        </w:rPr>
        <w:t xml:space="preserve">madre de Olga Luz </w:t>
      </w:r>
      <w:r w:rsidR="00567D33" w:rsidRPr="00C46D36">
        <w:rPr>
          <w:rFonts w:asciiTheme="majorHAnsi" w:hAnsiTheme="majorHAnsi"/>
          <w:color w:val="auto"/>
          <w:sz w:val="20"/>
          <w:szCs w:val="20"/>
          <w:bdr w:val="none" w:sz="0" w:space="0" w:color="auto"/>
          <w:lang w:val="es-ES"/>
        </w:rPr>
        <w:t>Echevarría</w:t>
      </w:r>
      <w:r w:rsidRPr="00C46D36">
        <w:rPr>
          <w:rFonts w:asciiTheme="majorHAnsi" w:hAnsiTheme="majorHAnsi"/>
          <w:color w:val="auto"/>
          <w:sz w:val="20"/>
          <w:szCs w:val="20"/>
          <w:bdr w:val="none" w:sz="0" w:space="0" w:color="auto"/>
          <w:lang w:val="es-ES"/>
        </w:rPr>
        <w:t xml:space="preserve"> ante la </w:t>
      </w:r>
      <w:r w:rsidR="00AA0AAD" w:rsidRPr="00C46D36">
        <w:rPr>
          <w:rFonts w:asciiTheme="majorHAnsi" w:hAnsiTheme="majorHAnsi"/>
          <w:color w:val="auto"/>
          <w:sz w:val="20"/>
          <w:szCs w:val="20"/>
          <w:lang w:val="es-ES"/>
        </w:rPr>
        <w:t>Personería</w:t>
      </w:r>
      <w:r w:rsidR="009469B8" w:rsidRPr="00C46D36">
        <w:rPr>
          <w:rFonts w:asciiTheme="majorHAnsi" w:hAnsiTheme="majorHAnsi"/>
          <w:color w:val="auto"/>
          <w:sz w:val="20"/>
          <w:szCs w:val="20"/>
          <w:lang w:val="es-ES"/>
        </w:rPr>
        <w:t xml:space="preserve"> Municipal de Yarumal el 3 de abril de 1990</w:t>
      </w:r>
      <w:r w:rsidR="005364D7" w:rsidRPr="00C46D36">
        <w:rPr>
          <w:rFonts w:asciiTheme="majorHAnsi" w:hAnsiTheme="majorHAnsi"/>
          <w:color w:val="auto"/>
          <w:sz w:val="20"/>
          <w:szCs w:val="20"/>
          <w:bdr w:val="none" w:sz="0" w:space="0" w:color="auto"/>
          <w:lang w:val="es-ES"/>
        </w:rPr>
        <w:t>.</w:t>
      </w:r>
      <w:r w:rsidR="005364D7" w:rsidRPr="00C46D36">
        <w:rPr>
          <w:rFonts w:asciiTheme="majorHAnsi" w:hAnsiTheme="majorHAnsi"/>
          <w:color w:val="auto"/>
          <w:sz w:val="20"/>
          <w:szCs w:val="20"/>
          <w:lang w:val="es-ES"/>
        </w:rPr>
        <w:t xml:space="preserve"> El 28 de </w:t>
      </w:r>
      <w:r w:rsidR="003C2832" w:rsidRPr="00C46D36">
        <w:rPr>
          <w:rFonts w:asciiTheme="majorHAnsi" w:hAnsiTheme="majorHAnsi"/>
          <w:color w:val="auto"/>
          <w:sz w:val="20"/>
          <w:szCs w:val="20"/>
          <w:lang w:val="es-ES"/>
        </w:rPr>
        <w:t>mayo de 1992, al evaluar el mérito probatorio</w:t>
      </w:r>
      <w:r w:rsidR="005364D7" w:rsidRPr="00C46D36">
        <w:rPr>
          <w:rFonts w:asciiTheme="majorHAnsi" w:hAnsiTheme="majorHAnsi"/>
          <w:color w:val="auto"/>
          <w:sz w:val="20"/>
          <w:szCs w:val="20"/>
          <w:lang w:val="es-ES"/>
        </w:rPr>
        <w:t xml:space="preserve"> de las diligencias realizadas, la Procuraduría Delegada para la Defensa de los Derechos Humanos reso</w:t>
      </w:r>
      <w:r w:rsidR="00407053" w:rsidRPr="00C46D36">
        <w:rPr>
          <w:rFonts w:asciiTheme="majorHAnsi" w:hAnsiTheme="majorHAnsi"/>
          <w:color w:val="auto"/>
          <w:sz w:val="20"/>
          <w:szCs w:val="20"/>
          <w:lang w:val="es-ES"/>
        </w:rPr>
        <w:t xml:space="preserve">lvió, en una escueta decisión, </w:t>
      </w:r>
      <w:r w:rsidR="005364D7" w:rsidRPr="00C46D36">
        <w:rPr>
          <w:rFonts w:asciiTheme="majorHAnsi" w:hAnsiTheme="majorHAnsi"/>
          <w:color w:val="auto"/>
          <w:sz w:val="20"/>
          <w:szCs w:val="20"/>
          <w:lang w:val="es-ES"/>
        </w:rPr>
        <w:t>inhibirse de ab</w:t>
      </w:r>
      <w:r w:rsidR="00407053" w:rsidRPr="00C46D36">
        <w:rPr>
          <w:rFonts w:asciiTheme="majorHAnsi" w:hAnsiTheme="majorHAnsi"/>
          <w:color w:val="auto"/>
          <w:sz w:val="20"/>
          <w:szCs w:val="20"/>
          <w:lang w:val="es-ES"/>
        </w:rPr>
        <w:t>rir investigación disciplinaria</w:t>
      </w:r>
      <w:r w:rsidR="005364D7" w:rsidRPr="00C46D36">
        <w:rPr>
          <w:rFonts w:asciiTheme="majorHAnsi" w:hAnsiTheme="majorHAnsi"/>
          <w:color w:val="auto"/>
          <w:sz w:val="20"/>
          <w:szCs w:val="20"/>
          <w:lang w:val="es-ES"/>
        </w:rPr>
        <w:t xml:space="preserve"> y archivar el expediente</w:t>
      </w:r>
      <w:r w:rsidR="00407053" w:rsidRPr="00C46D36">
        <w:rPr>
          <w:rFonts w:asciiTheme="majorHAnsi" w:hAnsiTheme="majorHAnsi"/>
          <w:color w:val="auto"/>
          <w:sz w:val="20"/>
          <w:szCs w:val="20"/>
          <w:lang w:val="es-ES"/>
        </w:rPr>
        <w:t>.</w:t>
      </w:r>
      <w:r w:rsidR="009469B8" w:rsidRPr="00C46D36">
        <w:rPr>
          <w:rFonts w:asciiTheme="majorHAnsi" w:hAnsiTheme="majorHAnsi"/>
          <w:color w:val="auto"/>
          <w:sz w:val="20"/>
          <w:szCs w:val="20"/>
          <w:lang w:val="es-ES"/>
        </w:rPr>
        <w:t xml:space="preserve"> En abril de 1996</w:t>
      </w:r>
      <w:r w:rsidR="00426AF8" w:rsidRPr="00C46D36">
        <w:rPr>
          <w:rFonts w:asciiTheme="majorHAnsi" w:hAnsiTheme="majorHAnsi"/>
          <w:color w:val="auto"/>
          <w:sz w:val="20"/>
          <w:szCs w:val="20"/>
          <w:lang w:val="es-ES"/>
        </w:rPr>
        <w:t xml:space="preserve"> los peticionarios</w:t>
      </w:r>
      <w:r w:rsidR="00AA0AAD" w:rsidRPr="00C46D36">
        <w:rPr>
          <w:rFonts w:asciiTheme="majorHAnsi" w:hAnsiTheme="majorHAnsi"/>
          <w:color w:val="auto"/>
          <w:sz w:val="20"/>
          <w:szCs w:val="20"/>
          <w:lang w:val="es-ES"/>
        </w:rPr>
        <w:t xml:space="preserve"> habría</w:t>
      </w:r>
      <w:r w:rsidR="00426AF8" w:rsidRPr="00C46D36">
        <w:rPr>
          <w:rFonts w:asciiTheme="majorHAnsi" w:hAnsiTheme="majorHAnsi"/>
          <w:color w:val="auto"/>
          <w:sz w:val="20"/>
          <w:szCs w:val="20"/>
          <w:lang w:val="es-ES"/>
        </w:rPr>
        <w:t>n</w:t>
      </w:r>
      <w:r w:rsidR="00AA0AAD" w:rsidRPr="00C46D36">
        <w:rPr>
          <w:rFonts w:asciiTheme="majorHAnsi" w:hAnsiTheme="majorHAnsi"/>
          <w:color w:val="auto"/>
          <w:sz w:val="20"/>
          <w:szCs w:val="20"/>
          <w:lang w:val="es-ES"/>
        </w:rPr>
        <w:t xml:space="preserve"> solicitado reabrir la investigación pero la Procuraduría Delegada se habría limitado a señalar que la investigación preliminar disciplinaria había sido archivada.</w:t>
      </w:r>
    </w:p>
    <w:p w:rsidR="00306D88" w:rsidRPr="00C46D36" w:rsidRDefault="00306D88" w:rsidP="00306D88">
      <w:pPr>
        <w:pStyle w:val="ListParagraph"/>
        <w:rPr>
          <w:rFonts w:asciiTheme="majorHAnsi" w:hAnsiTheme="majorHAnsi"/>
          <w:color w:val="auto"/>
          <w:sz w:val="20"/>
          <w:szCs w:val="20"/>
          <w:bdr w:val="none" w:sz="0" w:space="0" w:color="auto"/>
          <w:lang w:val="es-ES"/>
        </w:rPr>
      </w:pPr>
    </w:p>
    <w:p w:rsidR="007A2D78" w:rsidRPr="00C46D36" w:rsidRDefault="00181829" w:rsidP="007A2D7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rFonts w:asciiTheme="majorHAnsi" w:hAnsiTheme="majorHAnsi"/>
          <w:color w:val="auto"/>
          <w:sz w:val="20"/>
          <w:szCs w:val="20"/>
          <w:bdr w:val="none" w:sz="0" w:space="0" w:color="auto"/>
          <w:lang w:val="es-ES"/>
        </w:rPr>
        <w:t>Los peticionarios señalan</w:t>
      </w:r>
      <w:r w:rsidR="00AA0AAD" w:rsidRPr="00C46D36">
        <w:rPr>
          <w:rFonts w:asciiTheme="majorHAnsi" w:hAnsiTheme="majorHAnsi"/>
          <w:color w:val="auto"/>
          <w:sz w:val="20"/>
          <w:szCs w:val="20"/>
          <w:bdr w:val="none" w:sz="0" w:space="0" w:color="auto"/>
          <w:lang w:val="es-ES"/>
        </w:rPr>
        <w:t xml:space="preserve"> que </w:t>
      </w:r>
      <w:r w:rsidR="00D705FE" w:rsidRPr="00C46D36">
        <w:rPr>
          <w:rFonts w:asciiTheme="majorHAnsi" w:hAnsiTheme="majorHAnsi"/>
          <w:color w:val="auto"/>
          <w:sz w:val="20"/>
          <w:szCs w:val="20"/>
          <w:bdr w:val="none" w:sz="0" w:space="0" w:color="auto"/>
          <w:lang w:val="es-ES"/>
        </w:rPr>
        <w:t>paralelamente a</w:t>
      </w:r>
      <w:r w:rsidR="00784D4B" w:rsidRPr="00C46D36">
        <w:rPr>
          <w:rFonts w:asciiTheme="majorHAnsi" w:hAnsiTheme="majorHAnsi"/>
          <w:color w:val="auto"/>
          <w:sz w:val="20"/>
          <w:szCs w:val="20"/>
          <w:bdr w:val="none" w:sz="0" w:space="0" w:color="auto"/>
          <w:lang w:val="es-ES"/>
        </w:rPr>
        <w:t xml:space="preserve"> </w:t>
      </w:r>
      <w:r w:rsidR="00D705FE" w:rsidRPr="00C46D36">
        <w:rPr>
          <w:rFonts w:asciiTheme="majorHAnsi" w:hAnsiTheme="majorHAnsi"/>
          <w:color w:val="auto"/>
          <w:sz w:val="20"/>
          <w:szCs w:val="20"/>
          <w:bdr w:val="none" w:sz="0" w:space="0" w:color="auto"/>
          <w:lang w:val="es-ES"/>
        </w:rPr>
        <w:t xml:space="preserve">las actuaciones disciplinarias de la </w:t>
      </w:r>
      <w:r w:rsidR="00073F23" w:rsidRPr="00C46D36">
        <w:rPr>
          <w:rFonts w:asciiTheme="majorHAnsi" w:hAnsiTheme="majorHAnsi"/>
          <w:color w:val="auto"/>
          <w:sz w:val="20"/>
          <w:szCs w:val="20"/>
          <w:bdr w:val="none" w:sz="0" w:space="0" w:color="auto"/>
          <w:lang w:val="es-ES"/>
        </w:rPr>
        <w:t xml:space="preserve">Procuraduría, el Departamento de Policía de Antioquia </w:t>
      </w:r>
      <w:r w:rsidR="009F3242" w:rsidRPr="00C46D36">
        <w:rPr>
          <w:rFonts w:asciiTheme="majorHAnsi" w:hAnsiTheme="majorHAnsi"/>
          <w:color w:val="auto"/>
          <w:sz w:val="20"/>
          <w:szCs w:val="20"/>
          <w:bdr w:val="none" w:sz="0" w:space="0" w:color="auto"/>
          <w:lang w:val="es-ES"/>
        </w:rPr>
        <w:t xml:space="preserve">también </w:t>
      </w:r>
      <w:r w:rsidR="00073F23" w:rsidRPr="00C46D36">
        <w:rPr>
          <w:rFonts w:asciiTheme="majorHAnsi" w:hAnsiTheme="majorHAnsi"/>
          <w:color w:val="auto"/>
          <w:sz w:val="20"/>
          <w:szCs w:val="20"/>
          <w:bdr w:val="none" w:sz="0" w:space="0" w:color="auto"/>
          <w:lang w:val="es-ES"/>
        </w:rPr>
        <w:t>abri</w:t>
      </w:r>
      <w:r w:rsidR="00365039" w:rsidRPr="00C46D36">
        <w:rPr>
          <w:rFonts w:asciiTheme="majorHAnsi" w:hAnsiTheme="majorHAnsi"/>
          <w:color w:val="auto"/>
          <w:sz w:val="20"/>
          <w:szCs w:val="20"/>
          <w:bdr w:val="none" w:sz="0" w:space="0" w:color="auto"/>
          <w:lang w:val="es-ES"/>
        </w:rPr>
        <w:t>ó</w:t>
      </w:r>
      <w:r w:rsidR="009F3242" w:rsidRPr="00C46D36">
        <w:rPr>
          <w:rFonts w:asciiTheme="majorHAnsi" w:hAnsiTheme="majorHAnsi"/>
          <w:color w:val="auto"/>
          <w:sz w:val="20"/>
          <w:szCs w:val="20"/>
          <w:bdr w:val="none" w:sz="0" w:space="0" w:color="auto"/>
          <w:lang w:val="es-ES"/>
        </w:rPr>
        <w:t xml:space="preserve"> </w:t>
      </w:r>
      <w:r w:rsidR="000C0A19" w:rsidRPr="00C46D36">
        <w:rPr>
          <w:rFonts w:asciiTheme="majorHAnsi" w:hAnsiTheme="majorHAnsi"/>
          <w:color w:val="auto"/>
          <w:sz w:val="20"/>
          <w:szCs w:val="20"/>
          <w:bdr w:val="none" w:sz="0" w:space="0" w:color="auto"/>
          <w:lang w:val="es-ES"/>
        </w:rPr>
        <w:t xml:space="preserve">una investigación disciplinaria interna a la policía. </w:t>
      </w:r>
      <w:r w:rsidR="00306D88" w:rsidRPr="00C46D36">
        <w:rPr>
          <w:rFonts w:asciiTheme="majorHAnsi" w:hAnsiTheme="majorHAnsi"/>
          <w:color w:val="auto"/>
          <w:sz w:val="20"/>
          <w:szCs w:val="20"/>
          <w:lang w:val="es-ES"/>
        </w:rPr>
        <w:t>Indica</w:t>
      </w:r>
      <w:r w:rsidR="00514CA0" w:rsidRPr="00C46D36">
        <w:rPr>
          <w:rFonts w:asciiTheme="majorHAnsi" w:hAnsiTheme="majorHAnsi"/>
          <w:color w:val="auto"/>
          <w:sz w:val="20"/>
          <w:szCs w:val="20"/>
          <w:lang w:val="es-ES"/>
        </w:rPr>
        <w:t>n</w:t>
      </w:r>
      <w:r w:rsidR="000C0A19" w:rsidRPr="00C46D36">
        <w:rPr>
          <w:rFonts w:asciiTheme="majorHAnsi" w:hAnsiTheme="majorHAnsi"/>
          <w:color w:val="auto"/>
          <w:sz w:val="20"/>
          <w:szCs w:val="20"/>
          <w:bdr w:val="none" w:sz="0" w:space="0" w:color="auto"/>
          <w:lang w:val="es-ES"/>
        </w:rPr>
        <w:t xml:space="preserve"> que las actuaciones de la </w:t>
      </w:r>
      <w:r w:rsidR="00BE1B8F" w:rsidRPr="00C46D36">
        <w:rPr>
          <w:rFonts w:asciiTheme="majorHAnsi" w:hAnsiTheme="majorHAnsi"/>
          <w:color w:val="auto"/>
          <w:sz w:val="20"/>
          <w:szCs w:val="20"/>
          <w:lang w:val="es-ES"/>
        </w:rPr>
        <w:t>P</w:t>
      </w:r>
      <w:r w:rsidR="00514CA0" w:rsidRPr="00C46D36">
        <w:rPr>
          <w:rFonts w:asciiTheme="majorHAnsi" w:hAnsiTheme="majorHAnsi"/>
          <w:color w:val="auto"/>
          <w:sz w:val="20"/>
          <w:szCs w:val="20"/>
          <w:lang w:val="es-ES"/>
        </w:rPr>
        <w:t>rocuraduría</w:t>
      </w:r>
      <w:r w:rsidR="000C0A19" w:rsidRPr="00C46D36">
        <w:rPr>
          <w:rFonts w:asciiTheme="majorHAnsi" w:hAnsiTheme="majorHAnsi"/>
          <w:color w:val="auto"/>
          <w:sz w:val="20"/>
          <w:szCs w:val="20"/>
          <w:bdr w:val="none" w:sz="0" w:space="0" w:color="auto"/>
          <w:lang w:val="es-ES"/>
        </w:rPr>
        <w:t xml:space="preserve"> </w:t>
      </w:r>
      <w:r w:rsidR="00BE1B8F" w:rsidRPr="00C46D36">
        <w:rPr>
          <w:rFonts w:asciiTheme="majorHAnsi" w:hAnsiTheme="majorHAnsi"/>
          <w:color w:val="auto"/>
          <w:sz w:val="20"/>
          <w:szCs w:val="20"/>
          <w:lang w:val="es-ES"/>
        </w:rPr>
        <w:t>G</w:t>
      </w:r>
      <w:r w:rsidR="00514CA0" w:rsidRPr="00C46D36">
        <w:rPr>
          <w:rFonts w:asciiTheme="majorHAnsi" w:hAnsiTheme="majorHAnsi"/>
          <w:color w:val="auto"/>
          <w:sz w:val="20"/>
          <w:szCs w:val="20"/>
          <w:lang w:val="es-ES"/>
        </w:rPr>
        <w:t>eneral</w:t>
      </w:r>
      <w:r w:rsidR="000C0A19" w:rsidRPr="00C46D36">
        <w:rPr>
          <w:rFonts w:asciiTheme="majorHAnsi" w:hAnsiTheme="majorHAnsi"/>
          <w:color w:val="auto"/>
          <w:sz w:val="20"/>
          <w:szCs w:val="20"/>
          <w:bdr w:val="none" w:sz="0" w:space="0" w:color="auto"/>
          <w:lang w:val="es-ES"/>
        </w:rPr>
        <w:t xml:space="preserve"> de la </w:t>
      </w:r>
      <w:r w:rsidR="00514CA0" w:rsidRPr="00C46D36">
        <w:rPr>
          <w:rFonts w:asciiTheme="majorHAnsi" w:hAnsiTheme="majorHAnsi"/>
          <w:color w:val="auto"/>
          <w:sz w:val="20"/>
          <w:szCs w:val="20"/>
          <w:lang w:val="es-ES"/>
        </w:rPr>
        <w:t>Nación</w:t>
      </w:r>
      <w:r w:rsidR="000C0A19" w:rsidRPr="00C46D36">
        <w:rPr>
          <w:rFonts w:asciiTheme="majorHAnsi" w:hAnsiTheme="majorHAnsi"/>
          <w:color w:val="auto"/>
          <w:sz w:val="20"/>
          <w:szCs w:val="20"/>
          <w:bdr w:val="none" w:sz="0" w:space="0" w:color="auto"/>
          <w:lang w:val="es-ES"/>
        </w:rPr>
        <w:t xml:space="preserve"> t</w:t>
      </w:r>
      <w:r w:rsidR="00514CA0" w:rsidRPr="00C46D36">
        <w:rPr>
          <w:rFonts w:asciiTheme="majorHAnsi" w:hAnsiTheme="majorHAnsi"/>
          <w:color w:val="auto"/>
          <w:sz w:val="20"/>
          <w:szCs w:val="20"/>
          <w:lang w:val="es-ES"/>
        </w:rPr>
        <w:t>ienen</w:t>
      </w:r>
      <w:r w:rsidR="000C0A19" w:rsidRPr="00C46D36">
        <w:rPr>
          <w:rFonts w:asciiTheme="majorHAnsi" w:hAnsiTheme="majorHAnsi"/>
          <w:color w:val="auto"/>
          <w:sz w:val="20"/>
          <w:szCs w:val="20"/>
          <w:bdr w:val="none" w:sz="0" w:space="0" w:color="auto"/>
          <w:lang w:val="es-ES"/>
        </w:rPr>
        <w:t xml:space="preserve"> potestad preferente</w:t>
      </w:r>
      <w:r w:rsidR="00514CA0" w:rsidRPr="00C46D36">
        <w:rPr>
          <w:rFonts w:asciiTheme="majorHAnsi" w:hAnsiTheme="majorHAnsi"/>
          <w:color w:val="auto"/>
          <w:sz w:val="20"/>
          <w:szCs w:val="20"/>
          <w:bdr w:val="none" w:sz="0" w:space="0" w:color="auto"/>
          <w:lang w:val="es-ES"/>
        </w:rPr>
        <w:t>, por lo que</w:t>
      </w:r>
      <w:r w:rsidR="00514CA0" w:rsidRPr="00C46D36">
        <w:rPr>
          <w:rFonts w:asciiTheme="majorHAnsi" w:hAnsiTheme="majorHAnsi"/>
          <w:color w:val="auto"/>
          <w:sz w:val="20"/>
          <w:szCs w:val="20"/>
          <w:lang w:val="es-ES"/>
        </w:rPr>
        <w:t xml:space="preserve"> el Comandante del Departamento de Policía Antioquia debía legalmente haberse declarado inhibido o remitir lo actuado a la Procuraduría, y no proceder a proferir decisión. No obstante, con decisión del 12 de mayo de 1992, el Comandante del Departamento de Policía Antioquia</w:t>
      </w:r>
      <w:r w:rsidR="00150DA2" w:rsidRPr="00C46D36">
        <w:rPr>
          <w:rFonts w:asciiTheme="majorHAnsi" w:hAnsiTheme="majorHAnsi"/>
          <w:color w:val="auto"/>
          <w:sz w:val="20"/>
          <w:szCs w:val="20"/>
          <w:lang w:val="es-ES"/>
        </w:rPr>
        <w:t xml:space="preserve"> –actuando como juez disciplinario-</w:t>
      </w:r>
      <w:r w:rsidR="00514CA0" w:rsidRPr="00C46D36">
        <w:rPr>
          <w:rFonts w:asciiTheme="majorHAnsi" w:hAnsiTheme="majorHAnsi"/>
          <w:color w:val="auto"/>
          <w:sz w:val="20"/>
          <w:szCs w:val="20"/>
          <w:lang w:val="es-ES"/>
        </w:rPr>
        <w:t xml:space="preserve"> exoneró de </w:t>
      </w:r>
      <w:r w:rsidR="00150DA2" w:rsidRPr="00C46D36">
        <w:rPr>
          <w:rFonts w:asciiTheme="majorHAnsi" w:hAnsiTheme="majorHAnsi"/>
          <w:color w:val="auto"/>
          <w:sz w:val="20"/>
          <w:szCs w:val="20"/>
          <w:lang w:val="es-ES"/>
        </w:rPr>
        <w:t>“</w:t>
      </w:r>
      <w:r w:rsidR="00514CA0" w:rsidRPr="00C46D36">
        <w:rPr>
          <w:rFonts w:asciiTheme="majorHAnsi" w:hAnsiTheme="majorHAnsi"/>
          <w:color w:val="auto"/>
          <w:sz w:val="20"/>
          <w:szCs w:val="20"/>
          <w:lang w:val="es-ES"/>
        </w:rPr>
        <w:t>toda responsabilidad</w:t>
      </w:r>
      <w:r w:rsidR="00150DA2" w:rsidRPr="00C46D36">
        <w:rPr>
          <w:rFonts w:asciiTheme="majorHAnsi" w:hAnsiTheme="majorHAnsi"/>
          <w:color w:val="auto"/>
          <w:sz w:val="20"/>
          <w:szCs w:val="20"/>
          <w:lang w:val="es-ES"/>
        </w:rPr>
        <w:t xml:space="preserve"> disciplinaria”</w:t>
      </w:r>
      <w:r w:rsidR="000D5B87" w:rsidRPr="00C46D36">
        <w:rPr>
          <w:rFonts w:asciiTheme="majorHAnsi" w:hAnsiTheme="majorHAnsi"/>
          <w:color w:val="auto"/>
          <w:sz w:val="20"/>
          <w:szCs w:val="20"/>
          <w:lang w:val="es-ES"/>
        </w:rPr>
        <w:t xml:space="preserve"> </w:t>
      </w:r>
      <w:r w:rsidR="006D4C18" w:rsidRPr="00C46D36">
        <w:rPr>
          <w:rFonts w:asciiTheme="majorHAnsi" w:hAnsiTheme="majorHAnsi"/>
          <w:color w:val="auto"/>
          <w:sz w:val="20"/>
          <w:szCs w:val="20"/>
          <w:lang w:val="es-ES"/>
        </w:rPr>
        <w:t>a</w:t>
      </w:r>
      <w:r w:rsidR="00784D4B" w:rsidRPr="00C46D36">
        <w:rPr>
          <w:rFonts w:asciiTheme="majorHAnsi" w:hAnsiTheme="majorHAnsi"/>
          <w:color w:val="auto"/>
          <w:sz w:val="20"/>
          <w:szCs w:val="20"/>
          <w:lang w:val="es-ES"/>
        </w:rPr>
        <w:t xml:space="preserve"> los agentes de policía</w:t>
      </w:r>
      <w:r w:rsidR="006D4C18" w:rsidRPr="00C46D36">
        <w:rPr>
          <w:rFonts w:asciiTheme="majorHAnsi" w:hAnsiTheme="majorHAnsi"/>
          <w:color w:val="auto"/>
          <w:sz w:val="20"/>
          <w:szCs w:val="20"/>
          <w:lang w:val="es-ES"/>
        </w:rPr>
        <w:t xml:space="preserve"> que para el momento de los hechos integraba</w:t>
      </w:r>
      <w:r w:rsidR="00784D4B" w:rsidRPr="00C46D36">
        <w:rPr>
          <w:rFonts w:asciiTheme="majorHAnsi" w:hAnsiTheme="majorHAnsi"/>
          <w:color w:val="auto"/>
          <w:sz w:val="20"/>
          <w:szCs w:val="20"/>
          <w:lang w:val="es-ES"/>
        </w:rPr>
        <w:t>n</w:t>
      </w:r>
      <w:r w:rsidR="006D4C18" w:rsidRPr="00C46D36">
        <w:rPr>
          <w:rFonts w:asciiTheme="majorHAnsi" w:hAnsiTheme="majorHAnsi"/>
          <w:color w:val="auto"/>
          <w:sz w:val="20"/>
          <w:szCs w:val="20"/>
          <w:lang w:val="es-ES"/>
        </w:rPr>
        <w:t xml:space="preserve"> la estación de Policía de Yarumal</w:t>
      </w:r>
      <w:r w:rsidR="009F06D4" w:rsidRPr="00C46D36">
        <w:rPr>
          <w:rFonts w:asciiTheme="majorHAnsi" w:hAnsiTheme="majorHAnsi"/>
          <w:color w:val="auto"/>
          <w:sz w:val="20"/>
          <w:szCs w:val="20"/>
          <w:lang w:val="es-ES"/>
        </w:rPr>
        <w:t xml:space="preserve">. </w:t>
      </w:r>
      <w:r w:rsidR="009F06D4" w:rsidRPr="00C46D36">
        <w:rPr>
          <w:rFonts w:asciiTheme="majorHAnsi" w:eastAsia="Times New Roman" w:hAnsiTheme="majorHAnsi"/>
          <w:color w:val="auto"/>
          <w:sz w:val="20"/>
          <w:szCs w:val="20"/>
          <w:bdr w:val="none" w:sz="0" w:space="0" w:color="auto"/>
          <w:lang w:val="es-ES"/>
        </w:rPr>
        <w:t>El Capitán César Emilio Camargo Cuchía nu</w:t>
      </w:r>
      <w:r w:rsidR="00A65275" w:rsidRPr="00C46D36">
        <w:rPr>
          <w:rFonts w:asciiTheme="majorHAnsi" w:hAnsiTheme="majorHAnsi"/>
          <w:color w:val="auto"/>
          <w:sz w:val="20"/>
          <w:szCs w:val="20"/>
          <w:lang w:val="es-ES"/>
        </w:rPr>
        <w:t>nca fue objeto de investigación</w:t>
      </w:r>
      <w:r w:rsidR="00AA5DF6" w:rsidRPr="00C46D36">
        <w:rPr>
          <w:rFonts w:asciiTheme="majorHAnsi" w:hAnsiTheme="majorHAnsi"/>
          <w:color w:val="auto"/>
          <w:sz w:val="20"/>
          <w:szCs w:val="20"/>
          <w:lang w:val="es-ES"/>
        </w:rPr>
        <w:t xml:space="preserve"> disciplinaria</w:t>
      </w:r>
      <w:r w:rsidR="00A65275" w:rsidRPr="00C46D36">
        <w:rPr>
          <w:rFonts w:asciiTheme="majorHAnsi" w:hAnsiTheme="majorHAnsi"/>
          <w:color w:val="auto"/>
          <w:sz w:val="20"/>
          <w:szCs w:val="20"/>
          <w:lang w:val="es-ES"/>
        </w:rPr>
        <w:t>.</w:t>
      </w:r>
    </w:p>
    <w:p w:rsidR="007A2D78" w:rsidRPr="00C46D36" w:rsidRDefault="007A2D78" w:rsidP="007A2D78">
      <w:pPr>
        <w:pStyle w:val="ListParagraph"/>
        <w:rPr>
          <w:color w:val="auto"/>
          <w:sz w:val="20"/>
          <w:szCs w:val="20"/>
          <w:lang w:val="es-ES"/>
        </w:rPr>
      </w:pPr>
    </w:p>
    <w:p w:rsidR="00603340" w:rsidRPr="00C46D36" w:rsidRDefault="00DB4299" w:rsidP="0001463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bdr w:val="none" w:sz="0" w:space="0" w:color="auto"/>
          <w:lang w:val="es-ES"/>
        </w:rPr>
      </w:pPr>
      <w:r w:rsidRPr="00C46D36">
        <w:rPr>
          <w:color w:val="auto"/>
          <w:sz w:val="20"/>
          <w:szCs w:val="20"/>
          <w:lang w:val="es-ES"/>
        </w:rPr>
        <w:t>Finalmente, en su escrito de</w:t>
      </w:r>
      <w:r w:rsidR="00603340" w:rsidRPr="00C46D36">
        <w:rPr>
          <w:color w:val="auto"/>
          <w:sz w:val="20"/>
          <w:szCs w:val="20"/>
          <w:lang w:val="es-ES"/>
        </w:rPr>
        <w:t xml:space="preserve"> 5 de junio de 2012, los peticionarios </w:t>
      </w:r>
      <w:r w:rsidR="00D43D6A" w:rsidRPr="00C46D36">
        <w:rPr>
          <w:rFonts w:asciiTheme="majorHAnsi" w:hAnsiTheme="majorHAnsi"/>
          <w:color w:val="auto"/>
          <w:sz w:val="20"/>
          <w:szCs w:val="20"/>
          <w:bdr w:val="none" w:sz="0" w:space="0" w:color="auto"/>
          <w:lang w:val="es-ES"/>
        </w:rPr>
        <w:t>habían alegado</w:t>
      </w:r>
      <w:r w:rsidR="009D7A8E" w:rsidRPr="00C46D36">
        <w:rPr>
          <w:rFonts w:asciiTheme="majorHAnsi" w:hAnsiTheme="majorHAnsi"/>
          <w:color w:val="auto"/>
          <w:sz w:val="20"/>
          <w:szCs w:val="20"/>
          <w:bdr w:val="none" w:sz="0" w:space="0" w:color="auto"/>
          <w:lang w:val="es-ES"/>
        </w:rPr>
        <w:t xml:space="preserve"> la violación de los artículos 4 y 19 </w:t>
      </w:r>
      <w:r w:rsidR="007A2D78" w:rsidRPr="00C46D36">
        <w:rPr>
          <w:rFonts w:asciiTheme="majorHAnsi" w:hAnsiTheme="majorHAnsi"/>
          <w:color w:val="auto"/>
          <w:sz w:val="20"/>
          <w:szCs w:val="20"/>
          <w:bdr w:val="none" w:sz="0" w:space="0" w:color="auto"/>
          <w:lang w:val="es-ES"/>
        </w:rPr>
        <w:t>de la Convención Americana</w:t>
      </w:r>
      <w:r w:rsidR="009D7A8E" w:rsidRPr="00C46D36">
        <w:rPr>
          <w:rFonts w:asciiTheme="majorHAnsi" w:hAnsiTheme="majorHAnsi"/>
          <w:color w:val="auto"/>
          <w:sz w:val="20"/>
          <w:szCs w:val="20"/>
          <w:bdr w:val="none" w:sz="0" w:space="0" w:color="auto"/>
          <w:lang w:val="es-ES"/>
        </w:rPr>
        <w:t xml:space="preserve"> en perjuicio de Olga Luz Echavarría Areiza</w:t>
      </w:r>
      <w:r w:rsidR="009D7A8E" w:rsidRPr="00C46D36">
        <w:rPr>
          <w:rFonts w:asciiTheme="majorHAnsi" w:hAnsiTheme="majorHAnsi"/>
          <w:color w:val="auto"/>
          <w:sz w:val="20"/>
          <w:szCs w:val="20"/>
          <w:lang w:val="es-ES"/>
        </w:rPr>
        <w:t xml:space="preserve"> </w:t>
      </w:r>
      <w:r w:rsidR="009D7A8E" w:rsidRPr="00C46D36">
        <w:rPr>
          <w:rFonts w:asciiTheme="majorHAnsi" w:hAnsiTheme="majorHAnsi"/>
          <w:color w:val="auto"/>
          <w:sz w:val="20"/>
          <w:szCs w:val="20"/>
          <w:bdr w:val="none" w:sz="0" w:space="0" w:color="auto"/>
          <w:lang w:val="es-ES"/>
        </w:rPr>
        <w:t xml:space="preserve">en su condición de menor de edad al momento de su desaparición forzada, y del </w:t>
      </w:r>
      <w:r w:rsidR="009D0EA9" w:rsidRPr="00C46D36">
        <w:rPr>
          <w:rFonts w:asciiTheme="majorHAnsi" w:hAnsiTheme="majorHAnsi"/>
          <w:color w:val="auto"/>
          <w:sz w:val="20"/>
          <w:szCs w:val="20"/>
          <w:bdr w:val="none" w:sz="0" w:space="0" w:color="auto"/>
          <w:lang w:val="es-ES"/>
        </w:rPr>
        <w:t>“</w:t>
      </w:r>
      <w:r w:rsidR="009D7A8E" w:rsidRPr="00C46D36">
        <w:rPr>
          <w:rFonts w:asciiTheme="majorHAnsi" w:hAnsiTheme="majorHAnsi"/>
          <w:color w:val="auto"/>
          <w:sz w:val="20"/>
          <w:szCs w:val="20"/>
          <w:bdr w:val="none" w:sz="0" w:space="0" w:color="auto"/>
          <w:lang w:val="es-ES"/>
        </w:rPr>
        <w:t>hijo o hija que llevaba en sus entrañas al momento de su desaparición forzada</w:t>
      </w:r>
      <w:r w:rsidR="009D0EA9" w:rsidRPr="00C46D36">
        <w:rPr>
          <w:rFonts w:asciiTheme="majorHAnsi" w:hAnsiTheme="majorHAnsi"/>
          <w:color w:val="auto"/>
          <w:sz w:val="20"/>
          <w:szCs w:val="20"/>
          <w:bdr w:val="none" w:sz="0" w:space="0" w:color="auto"/>
          <w:lang w:val="es-ES"/>
        </w:rPr>
        <w:t>”</w:t>
      </w:r>
      <w:r w:rsidR="001970E2" w:rsidRPr="00C46D36">
        <w:rPr>
          <w:rFonts w:asciiTheme="majorHAnsi" w:hAnsiTheme="majorHAnsi"/>
          <w:color w:val="auto"/>
          <w:sz w:val="20"/>
          <w:szCs w:val="20"/>
          <w:bdr w:val="none" w:sz="0" w:space="0" w:color="auto"/>
          <w:lang w:val="es-ES"/>
        </w:rPr>
        <w:t>,</w:t>
      </w:r>
      <w:r w:rsidR="009D7A8E" w:rsidRPr="00C46D36">
        <w:rPr>
          <w:rFonts w:asciiTheme="majorHAnsi" w:hAnsiTheme="majorHAnsi"/>
          <w:color w:val="auto"/>
          <w:sz w:val="20"/>
          <w:szCs w:val="20"/>
          <w:bdr w:val="none" w:sz="0" w:space="0" w:color="auto"/>
          <w:lang w:val="es-ES"/>
        </w:rPr>
        <w:t xml:space="preserve"> señalando que la desaparición forzada de una mujer embarazada es “una de las más graves y reprochables formas de violencia contra la mujer”</w:t>
      </w:r>
      <w:r w:rsidR="009D7A8E" w:rsidRPr="00C46D36">
        <w:rPr>
          <w:rStyle w:val="FootnoteReference"/>
          <w:rFonts w:asciiTheme="majorHAnsi" w:hAnsiTheme="majorHAnsi"/>
          <w:color w:val="auto"/>
          <w:sz w:val="20"/>
          <w:szCs w:val="20"/>
          <w:bdr w:val="none" w:sz="0" w:space="0" w:color="auto"/>
          <w:lang w:val="es-ES"/>
        </w:rPr>
        <w:footnoteReference w:id="9"/>
      </w:r>
      <w:r w:rsidR="009D7A8E" w:rsidRPr="00C46D36">
        <w:rPr>
          <w:rFonts w:asciiTheme="majorHAnsi" w:hAnsiTheme="majorHAnsi"/>
          <w:color w:val="auto"/>
          <w:sz w:val="20"/>
          <w:szCs w:val="20"/>
          <w:bdr w:val="none" w:sz="0" w:space="0" w:color="auto"/>
          <w:lang w:val="es-ES"/>
        </w:rPr>
        <w:t xml:space="preserve">. </w:t>
      </w:r>
      <w:r w:rsidR="00603340" w:rsidRPr="00C46D36">
        <w:rPr>
          <w:rFonts w:asciiTheme="majorHAnsi" w:hAnsiTheme="majorHAnsi"/>
          <w:color w:val="auto"/>
          <w:sz w:val="20"/>
          <w:szCs w:val="20"/>
          <w:bdr w:val="none" w:sz="0" w:space="0" w:color="auto"/>
          <w:lang w:val="es-ES"/>
        </w:rPr>
        <w:t>C</w:t>
      </w:r>
      <w:r w:rsidRPr="00C46D36">
        <w:rPr>
          <w:rFonts w:asciiTheme="majorHAnsi" w:hAnsiTheme="majorHAnsi"/>
          <w:color w:val="auto"/>
          <w:sz w:val="20"/>
          <w:szCs w:val="20"/>
          <w:bdr w:val="none" w:sz="0" w:space="0" w:color="auto"/>
          <w:lang w:val="es-ES"/>
        </w:rPr>
        <w:t>on escrito de</w:t>
      </w:r>
      <w:r w:rsidR="00603340" w:rsidRPr="00C46D36">
        <w:rPr>
          <w:rFonts w:asciiTheme="majorHAnsi" w:hAnsiTheme="majorHAnsi"/>
          <w:color w:val="auto"/>
          <w:sz w:val="20"/>
          <w:szCs w:val="20"/>
          <w:bdr w:val="none" w:sz="0" w:space="0" w:color="auto"/>
          <w:lang w:val="es-ES"/>
        </w:rPr>
        <w:t xml:space="preserve"> 23 de julio de 2015 </w:t>
      </w:r>
      <w:r w:rsidR="007C55CA" w:rsidRPr="00C46D36">
        <w:rPr>
          <w:rFonts w:asciiTheme="majorHAnsi" w:hAnsiTheme="majorHAnsi"/>
          <w:color w:val="auto"/>
          <w:sz w:val="20"/>
          <w:szCs w:val="20"/>
          <w:bdr w:val="none" w:sz="0" w:space="0" w:color="auto"/>
          <w:lang w:val="es-ES"/>
        </w:rPr>
        <w:t xml:space="preserve">los peticionarios </w:t>
      </w:r>
      <w:r w:rsidR="00D43D6A" w:rsidRPr="00C46D36">
        <w:rPr>
          <w:rFonts w:asciiTheme="majorHAnsi" w:hAnsiTheme="majorHAnsi"/>
          <w:color w:val="auto"/>
          <w:sz w:val="20"/>
          <w:szCs w:val="20"/>
          <w:bdr w:val="none" w:sz="0" w:space="0" w:color="auto"/>
          <w:lang w:val="es-ES"/>
        </w:rPr>
        <w:t>solicitaron</w:t>
      </w:r>
      <w:r w:rsidR="00603340" w:rsidRPr="00C46D36">
        <w:rPr>
          <w:rFonts w:asciiTheme="majorHAnsi" w:hAnsiTheme="majorHAnsi"/>
          <w:color w:val="auto"/>
          <w:sz w:val="20"/>
          <w:szCs w:val="20"/>
          <w:bdr w:val="none" w:sz="0" w:space="0" w:color="auto"/>
          <w:lang w:val="es-ES"/>
        </w:rPr>
        <w:t xml:space="preserve"> a la CIDH que desestime dicha redacción</w:t>
      </w:r>
      <w:r w:rsidR="001970E2" w:rsidRPr="00C46D36">
        <w:rPr>
          <w:rFonts w:asciiTheme="majorHAnsi" w:hAnsiTheme="majorHAnsi"/>
          <w:color w:val="auto"/>
          <w:sz w:val="20"/>
          <w:szCs w:val="20"/>
          <w:bdr w:val="none" w:sz="0" w:space="0" w:color="auto"/>
          <w:lang w:val="es-ES"/>
        </w:rPr>
        <w:t>,</w:t>
      </w:r>
      <w:r w:rsidR="00603340" w:rsidRPr="00C46D36">
        <w:rPr>
          <w:rFonts w:asciiTheme="majorHAnsi" w:hAnsiTheme="majorHAnsi"/>
          <w:color w:val="auto"/>
          <w:sz w:val="20"/>
          <w:szCs w:val="20"/>
          <w:bdr w:val="none" w:sz="0" w:space="0" w:color="auto"/>
          <w:lang w:val="es-ES"/>
        </w:rPr>
        <w:t xml:space="preserve"> ya que no </w:t>
      </w:r>
      <w:r w:rsidR="00E606EF" w:rsidRPr="00C46D36">
        <w:rPr>
          <w:rFonts w:asciiTheme="majorHAnsi" w:hAnsiTheme="majorHAnsi"/>
          <w:color w:val="auto"/>
          <w:sz w:val="20"/>
          <w:szCs w:val="20"/>
          <w:bdr w:val="none" w:sz="0" w:space="0" w:color="auto"/>
          <w:lang w:val="es-ES"/>
        </w:rPr>
        <w:t>reflejaría</w:t>
      </w:r>
      <w:r w:rsidR="00603340" w:rsidRPr="00C46D36">
        <w:rPr>
          <w:rFonts w:asciiTheme="majorHAnsi" w:hAnsiTheme="majorHAnsi"/>
          <w:color w:val="auto"/>
          <w:sz w:val="20"/>
          <w:szCs w:val="20"/>
          <w:bdr w:val="none" w:sz="0" w:space="0" w:color="auto"/>
          <w:lang w:val="es-ES"/>
        </w:rPr>
        <w:t xml:space="preserve"> con precisión </w:t>
      </w:r>
      <w:r w:rsidRPr="00C46D36">
        <w:rPr>
          <w:rFonts w:asciiTheme="majorHAnsi" w:hAnsiTheme="majorHAnsi"/>
          <w:color w:val="auto"/>
          <w:sz w:val="20"/>
          <w:szCs w:val="20"/>
          <w:bdr w:val="none" w:sz="0" w:space="0" w:color="auto"/>
          <w:lang w:val="es-ES"/>
        </w:rPr>
        <w:t xml:space="preserve">la </w:t>
      </w:r>
      <w:r w:rsidR="001970E2" w:rsidRPr="00C46D36">
        <w:rPr>
          <w:rFonts w:asciiTheme="majorHAnsi" w:hAnsiTheme="majorHAnsi"/>
          <w:color w:val="auto"/>
          <w:sz w:val="20"/>
          <w:szCs w:val="20"/>
          <w:bdr w:val="none" w:sz="0" w:space="0" w:color="auto"/>
          <w:lang w:val="es-ES"/>
        </w:rPr>
        <w:t>posición</w:t>
      </w:r>
      <w:r w:rsidRPr="00C46D36">
        <w:rPr>
          <w:rFonts w:asciiTheme="majorHAnsi" w:hAnsiTheme="majorHAnsi"/>
          <w:color w:val="auto"/>
          <w:sz w:val="20"/>
          <w:szCs w:val="20"/>
          <w:bdr w:val="none" w:sz="0" w:space="0" w:color="auto"/>
          <w:lang w:val="es-ES"/>
        </w:rPr>
        <w:t xml:space="preserve"> de parte peticionaria</w:t>
      </w:r>
      <w:r w:rsidR="00603340" w:rsidRPr="00C46D36">
        <w:rPr>
          <w:rFonts w:asciiTheme="majorHAnsi" w:hAnsiTheme="majorHAnsi"/>
          <w:color w:val="auto"/>
          <w:sz w:val="20"/>
          <w:szCs w:val="20"/>
          <w:bdr w:val="none" w:sz="0" w:space="0" w:color="auto"/>
          <w:lang w:val="es-ES"/>
        </w:rPr>
        <w:t xml:space="preserve">, </w:t>
      </w:r>
      <w:r w:rsidR="001970E2" w:rsidRPr="00C46D36">
        <w:rPr>
          <w:rFonts w:asciiTheme="majorHAnsi" w:hAnsiTheme="majorHAnsi"/>
          <w:color w:val="auto"/>
          <w:sz w:val="20"/>
          <w:szCs w:val="20"/>
          <w:bdr w:val="none" w:sz="0" w:space="0" w:color="auto"/>
          <w:lang w:val="es-ES"/>
        </w:rPr>
        <w:t>aclarando</w:t>
      </w:r>
      <w:r w:rsidR="00603340" w:rsidRPr="00C46D36">
        <w:rPr>
          <w:rFonts w:asciiTheme="majorHAnsi" w:hAnsiTheme="majorHAnsi"/>
          <w:color w:val="auto"/>
          <w:sz w:val="20"/>
          <w:szCs w:val="20"/>
          <w:bdr w:val="none" w:sz="0" w:space="0" w:color="auto"/>
          <w:lang w:val="es-ES"/>
        </w:rPr>
        <w:t xml:space="preserve"> que</w:t>
      </w:r>
      <w:r w:rsidRPr="00C46D36">
        <w:rPr>
          <w:rFonts w:asciiTheme="majorHAnsi" w:hAnsiTheme="majorHAnsi"/>
          <w:color w:val="auto"/>
          <w:sz w:val="20"/>
          <w:szCs w:val="20"/>
          <w:bdr w:val="none" w:sz="0" w:space="0" w:color="auto"/>
          <w:lang w:val="es-ES"/>
        </w:rPr>
        <w:t xml:space="preserve"> lo solicitado es </w:t>
      </w:r>
      <w:r w:rsidR="00E606EF" w:rsidRPr="00C46D36">
        <w:rPr>
          <w:rFonts w:asciiTheme="majorHAnsi" w:hAnsiTheme="majorHAnsi"/>
          <w:color w:val="auto"/>
          <w:sz w:val="20"/>
          <w:szCs w:val="20"/>
          <w:bdr w:val="none" w:sz="0" w:space="0" w:color="auto"/>
          <w:lang w:val="es-ES"/>
        </w:rPr>
        <w:t>“</w:t>
      </w:r>
      <w:r w:rsidRPr="00C46D36">
        <w:rPr>
          <w:rFonts w:asciiTheme="majorHAnsi" w:hAnsiTheme="majorHAnsi"/>
          <w:color w:val="auto"/>
          <w:sz w:val="20"/>
          <w:szCs w:val="20"/>
          <w:bdr w:val="none" w:sz="0" w:space="0" w:color="auto"/>
          <w:lang w:val="es-ES"/>
        </w:rPr>
        <w:t>la</w:t>
      </w:r>
      <w:r w:rsidR="00603340" w:rsidRPr="00C46D36">
        <w:rPr>
          <w:rFonts w:asciiTheme="majorHAnsi" w:hAnsiTheme="majorHAnsi"/>
          <w:color w:val="auto"/>
          <w:sz w:val="20"/>
          <w:szCs w:val="20"/>
          <w:bdr w:val="none" w:sz="0" w:space="0" w:color="auto"/>
          <w:lang w:val="es-ES"/>
        </w:rPr>
        <w:t xml:space="preserve"> </w:t>
      </w:r>
      <w:r w:rsidR="001970E2" w:rsidRPr="00C46D36">
        <w:rPr>
          <w:rFonts w:asciiTheme="majorHAnsi" w:hAnsiTheme="majorHAnsi"/>
          <w:color w:val="auto"/>
          <w:sz w:val="20"/>
          <w:szCs w:val="20"/>
          <w:bdr w:val="none" w:sz="0" w:space="0" w:color="auto"/>
          <w:lang w:val="es-ES"/>
        </w:rPr>
        <w:t>determinación de la responsabilidad de Colombia por la violación al derecho a la vida y la integridad en perjuicio de Olga Luz Echavarría, lo que supone una responsabilidad agravada por el hecho de que la víctima era niña y se encontraba embarazada al momento de los hechos”.</w:t>
      </w:r>
    </w:p>
    <w:p w:rsidR="009D7A8E" w:rsidRPr="00C46D36" w:rsidRDefault="009D7A8E" w:rsidP="001970E2">
      <w:pPr>
        <w:rPr>
          <w:sz w:val="23"/>
          <w:szCs w:val="23"/>
          <w:lang w:val="es-ES"/>
        </w:rPr>
      </w:pPr>
    </w:p>
    <w:p w:rsidR="00181829" w:rsidRPr="00C46D36" w:rsidRDefault="00181829" w:rsidP="00543D2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 xml:space="preserve">Posición del Estado </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napToGrid w:val="0"/>
          <w:sz w:val="20"/>
          <w:szCs w:val="20"/>
          <w:bdr w:val="none" w:sz="0" w:space="0" w:color="auto"/>
          <w:lang w:val="es-ES"/>
        </w:rPr>
      </w:pPr>
    </w:p>
    <w:p w:rsidR="00641AFF" w:rsidRPr="00C46D36" w:rsidRDefault="00E363E4" w:rsidP="00F05E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rFonts w:cs="Calibri"/>
          <w:snapToGrid w:val="0"/>
          <w:color w:val="auto"/>
          <w:sz w:val="20"/>
          <w:szCs w:val="20"/>
          <w:bdr w:val="none" w:sz="0" w:space="0" w:color="auto"/>
          <w:lang w:val="es-ES"/>
        </w:rPr>
        <w:t>E</w:t>
      </w:r>
      <w:r w:rsidR="00FC1CE6" w:rsidRPr="00C46D36">
        <w:rPr>
          <w:rFonts w:cs="Calibri"/>
          <w:snapToGrid w:val="0"/>
          <w:color w:val="auto"/>
          <w:sz w:val="20"/>
          <w:szCs w:val="20"/>
          <w:bdr w:val="none" w:sz="0" w:space="0" w:color="auto"/>
          <w:lang w:val="es-ES"/>
        </w:rPr>
        <w:t xml:space="preserve">l </w:t>
      </w:r>
      <w:r w:rsidR="00016C3A" w:rsidRPr="00C46D36">
        <w:rPr>
          <w:rFonts w:cs="Calibri"/>
          <w:snapToGrid w:val="0"/>
          <w:color w:val="auto"/>
          <w:sz w:val="20"/>
          <w:szCs w:val="20"/>
          <w:bdr w:val="none" w:sz="0" w:space="0" w:color="auto"/>
          <w:lang w:val="es-ES"/>
        </w:rPr>
        <w:t xml:space="preserve">Estado </w:t>
      </w:r>
      <w:r w:rsidR="007B159E" w:rsidRPr="00C46D36">
        <w:rPr>
          <w:rFonts w:cs="Calibri"/>
          <w:snapToGrid w:val="0"/>
          <w:color w:val="auto"/>
          <w:sz w:val="20"/>
          <w:szCs w:val="20"/>
          <w:bdr w:val="none" w:sz="0" w:space="0" w:color="auto"/>
          <w:lang w:val="es-ES"/>
        </w:rPr>
        <w:t xml:space="preserve">considera que las observaciones de los </w:t>
      </w:r>
      <w:r w:rsidR="00156B98" w:rsidRPr="00C46D36">
        <w:rPr>
          <w:rFonts w:cs="Calibri"/>
          <w:snapToGrid w:val="0"/>
          <w:color w:val="auto"/>
          <w:sz w:val="20"/>
          <w:szCs w:val="20"/>
          <w:bdr w:val="none" w:sz="0" w:space="0" w:color="auto"/>
          <w:lang w:val="es-ES"/>
        </w:rPr>
        <w:t>peticionarios</w:t>
      </w:r>
      <w:r w:rsidR="007B159E" w:rsidRPr="00C46D36">
        <w:rPr>
          <w:rFonts w:cs="Calibri"/>
          <w:snapToGrid w:val="0"/>
          <w:color w:val="auto"/>
          <w:sz w:val="20"/>
          <w:szCs w:val="20"/>
          <w:bdr w:val="none" w:sz="0" w:space="0" w:color="auto"/>
          <w:lang w:val="es-ES"/>
        </w:rPr>
        <w:t xml:space="preserve"> relativas al </w:t>
      </w:r>
      <w:r w:rsidR="00156B98" w:rsidRPr="00C46D36">
        <w:rPr>
          <w:rFonts w:cs="Calibri"/>
          <w:snapToGrid w:val="0"/>
          <w:color w:val="auto"/>
          <w:sz w:val="20"/>
          <w:szCs w:val="20"/>
          <w:bdr w:val="none" w:sz="0" w:space="0" w:color="auto"/>
          <w:lang w:val="es-ES"/>
        </w:rPr>
        <w:t>contexto</w:t>
      </w:r>
      <w:r w:rsidR="007B159E" w:rsidRPr="00C46D36">
        <w:rPr>
          <w:rFonts w:cs="Calibri"/>
          <w:snapToGrid w:val="0"/>
          <w:color w:val="auto"/>
          <w:sz w:val="20"/>
          <w:szCs w:val="20"/>
          <w:bdr w:val="none" w:sz="0" w:space="0" w:color="auto"/>
          <w:lang w:val="es-ES"/>
        </w:rPr>
        <w:t xml:space="preserve"> del presente caso guardan relación con asuntos de fondo, por lo que </w:t>
      </w:r>
      <w:r w:rsidR="008941F8" w:rsidRPr="00C46D36">
        <w:rPr>
          <w:rFonts w:cs="Calibri"/>
          <w:snapToGrid w:val="0"/>
          <w:color w:val="auto"/>
          <w:sz w:val="20"/>
          <w:szCs w:val="20"/>
          <w:bdr w:val="none" w:sz="0" w:space="0" w:color="auto"/>
          <w:lang w:val="es-ES"/>
        </w:rPr>
        <w:t xml:space="preserve">expresa que </w:t>
      </w:r>
      <w:r w:rsidR="007B159E" w:rsidRPr="00C46D36">
        <w:rPr>
          <w:rFonts w:cs="Calibri"/>
          <w:snapToGrid w:val="0"/>
          <w:color w:val="auto"/>
          <w:sz w:val="20"/>
          <w:szCs w:val="20"/>
          <w:bdr w:val="none" w:sz="0" w:space="0" w:color="auto"/>
          <w:lang w:val="es-ES"/>
        </w:rPr>
        <w:t xml:space="preserve">se reserva la oportunidad para presentar sus </w:t>
      </w:r>
      <w:r w:rsidR="008941F8" w:rsidRPr="00C46D36">
        <w:rPr>
          <w:rFonts w:cs="Calibri"/>
          <w:snapToGrid w:val="0"/>
          <w:color w:val="auto"/>
          <w:sz w:val="20"/>
          <w:szCs w:val="20"/>
          <w:bdr w:val="none" w:sz="0" w:space="0" w:color="auto"/>
          <w:lang w:val="es-ES"/>
        </w:rPr>
        <w:t xml:space="preserve">consideraciones en </w:t>
      </w:r>
      <w:r w:rsidR="00D728FE" w:rsidRPr="00C46D36">
        <w:rPr>
          <w:rFonts w:cs="Calibri"/>
          <w:snapToGrid w:val="0"/>
          <w:color w:val="auto"/>
          <w:sz w:val="20"/>
          <w:szCs w:val="20"/>
          <w:bdr w:val="none" w:sz="0" w:space="0" w:color="auto"/>
          <w:lang w:val="es-ES"/>
        </w:rPr>
        <w:t>dicha etapa</w:t>
      </w:r>
      <w:r w:rsidR="007B159E" w:rsidRPr="00C46D36">
        <w:rPr>
          <w:rFonts w:cs="Calibri"/>
          <w:snapToGrid w:val="0"/>
          <w:color w:val="auto"/>
          <w:sz w:val="20"/>
          <w:szCs w:val="20"/>
          <w:bdr w:val="none" w:sz="0" w:space="0" w:color="auto"/>
          <w:lang w:val="es-ES"/>
        </w:rPr>
        <w:t>. No obstante, alega que</w:t>
      </w:r>
      <w:r w:rsidR="00BF4D23" w:rsidRPr="00C46D36">
        <w:rPr>
          <w:rFonts w:cs="Calibri"/>
          <w:snapToGrid w:val="0"/>
          <w:color w:val="auto"/>
          <w:sz w:val="20"/>
          <w:szCs w:val="20"/>
          <w:bdr w:val="none" w:sz="0" w:space="0" w:color="auto"/>
          <w:lang w:val="es-ES"/>
        </w:rPr>
        <w:t xml:space="preserve"> los peticionarios no han aportado información que permita establecer la presunta pertenencia de </w:t>
      </w:r>
      <w:r w:rsidR="00156B98" w:rsidRPr="00C46D36">
        <w:rPr>
          <w:rFonts w:cs="Calibri"/>
          <w:snapToGrid w:val="0"/>
          <w:color w:val="auto"/>
          <w:sz w:val="20"/>
          <w:szCs w:val="20"/>
          <w:bdr w:val="none" w:sz="0" w:space="0" w:color="auto"/>
          <w:lang w:val="es-ES"/>
        </w:rPr>
        <w:t xml:space="preserve">Olga Luz </w:t>
      </w:r>
      <w:r w:rsidR="00BF4D23" w:rsidRPr="00C46D36">
        <w:rPr>
          <w:rFonts w:cs="Calibri"/>
          <w:snapToGrid w:val="0"/>
          <w:color w:val="auto"/>
          <w:sz w:val="20"/>
          <w:szCs w:val="20"/>
          <w:bdr w:val="none" w:sz="0" w:space="0" w:color="auto"/>
          <w:lang w:val="es-ES"/>
        </w:rPr>
        <w:t>Echavarría</w:t>
      </w:r>
      <w:r w:rsidR="00156B98" w:rsidRPr="00C46D36">
        <w:rPr>
          <w:rFonts w:cs="Calibri"/>
          <w:snapToGrid w:val="0"/>
          <w:color w:val="auto"/>
          <w:sz w:val="20"/>
          <w:szCs w:val="20"/>
          <w:bdr w:val="none" w:sz="0" w:space="0" w:color="auto"/>
          <w:lang w:val="es-ES"/>
        </w:rPr>
        <w:t xml:space="preserve"> y Eliecer </w:t>
      </w:r>
      <w:r w:rsidR="00BF4D23" w:rsidRPr="00C46D36">
        <w:rPr>
          <w:rFonts w:cs="Calibri"/>
          <w:snapToGrid w:val="0"/>
          <w:color w:val="auto"/>
          <w:sz w:val="20"/>
          <w:szCs w:val="20"/>
          <w:bdr w:val="none" w:sz="0" w:space="0" w:color="auto"/>
          <w:lang w:val="es-ES"/>
        </w:rPr>
        <w:t>Pérez</w:t>
      </w:r>
      <w:r w:rsidR="00D728FE" w:rsidRPr="00C46D36">
        <w:rPr>
          <w:rFonts w:cs="Calibri"/>
          <w:snapToGrid w:val="0"/>
          <w:color w:val="auto"/>
          <w:sz w:val="20"/>
          <w:szCs w:val="20"/>
          <w:bdr w:val="none" w:sz="0" w:space="0" w:color="auto"/>
          <w:lang w:val="es-ES"/>
        </w:rPr>
        <w:t xml:space="preserve"> Morales</w:t>
      </w:r>
      <w:r w:rsidR="00BF4D23" w:rsidRPr="00C46D36">
        <w:rPr>
          <w:rFonts w:cs="Calibri"/>
          <w:snapToGrid w:val="0"/>
          <w:color w:val="auto"/>
          <w:sz w:val="20"/>
          <w:szCs w:val="20"/>
          <w:bdr w:val="none" w:sz="0" w:space="0" w:color="auto"/>
          <w:lang w:val="es-ES"/>
        </w:rPr>
        <w:t xml:space="preserve"> a la UP</w:t>
      </w:r>
      <w:r w:rsidR="00D728FE" w:rsidRPr="00C46D36">
        <w:rPr>
          <w:rFonts w:cs="Calibri"/>
          <w:snapToGrid w:val="0"/>
          <w:color w:val="auto"/>
          <w:sz w:val="20"/>
          <w:szCs w:val="20"/>
          <w:bdr w:val="none" w:sz="0" w:space="0" w:color="auto"/>
          <w:lang w:val="es-ES"/>
        </w:rPr>
        <w:t>,</w:t>
      </w:r>
      <w:r w:rsidR="00156B98" w:rsidRPr="00C46D36">
        <w:rPr>
          <w:rFonts w:cs="Calibri"/>
          <w:snapToGrid w:val="0"/>
          <w:color w:val="auto"/>
          <w:sz w:val="20"/>
          <w:szCs w:val="20"/>
          <w:bdr w:val="none" w:sz="0" w:space="0" w:color="auto"/>
          <w:lang w:val="es-ES"/>
        </w:rPr>
        <w:t xml:space="preserve"> y</w:t>
      </w:r>
      <w:r w:rsidR="00F05E19" w:rsidRPr="00C46D36">
        <w:rPr>
          <w:rFonts w:cs="Calibri"/>
          <w:snapToGrid w:val="0"/>
          <w:color w:val="auto"/>
          <w:sz w:val="20"/>
          <w:szCs w:val="20"/>
          <w:bdr w:val="none" w:sz="0" w:space="0" w:color="auto"/>
          <w:lang w:val="es-ES"/>
        </w:rPr>
        <w:t xml:space="preserve"> que su pertenencia a dicha agrupación política únicamente se encuentra sustentada en la declaración realizada por Maria Eugenia Lopez ante la Fiscalía General de la Nación. Alega que</w:t>
      </w:r>
      <w:r w:rsidR="00156B98" w:rsidRPr="00C46D36">
        <w:rPr>
          <w:rFonts w:cs="Calibri"/>
          <w:snapToGrid w:val="0"/>
          <w:color w:val="auto"/>
          <w:sz w:val="20"/>
          <w:szCs w:val="20"/>
          <w:bdr w:val="none" w:sz="0" w:space="0" w:color="auto"/>
          <w:lang w:val="es-ES"/>
        </w:rPr>
        <w:t xml:space="preserve"> </w:t>
      </w:r>
      <w:r w:rsidR="00BF4D23" w:rsidRPr="00C46D36">
        <w:rPr>
          <w:rFonts w:cs="Calibri"/>
          <w:snapToGrid w:val="0"/>
          <w:color w:val="auto"/>
          <w:sz w:val="20"/>
          <w:szCs w:val="20"/>
          <w:bdr w:val="none" w:sz="0" w:space="0" w:color="auto"/>
          <w:lang w:val="es-ES"/>
        </w:rPr>
        <w:t>po</w:t>
      </w:r>
      <w:r w:rsidR="00156B98" w:rsidRPr="00C46D36">
        <w:rPr>
          <w:rFonts w:cs="Calibri"/>
          <w:snapToGrid w:val="0"/>
          <w:color w:val="auto"/>
          <w:sz w:val="20"/>
          <w:szCs w:val="20"/>
          <w:bdr w:val="none" w:sz="0" w:space="0" w:color="auto"/>
          <w:lang w:val="es-ES"/>
        </w:rPr>
        <w:t>r ende no</w:t>
      </w:r>
      <w:r w:rsidR="00BF4D23" w:rsidRPr="00C46D36">
        <w:rPr>
          <w:rFonts w:cs="Calibri"/>
          <w:snapToGrid w:val="0"/>
          <w:color w:val="auto"/>
          <w:sz w:val="20"/>
          <w:szCs w:val="20"/>
          <w:bdr w:val="none" w:sz="0" w:space="0" w:color="auto"/>
          <w:lang w:val="es-ES"/>
        </w:rPr>
        <w:t xml:space="preserve"> se puede asumir la</w:t>
      </w:r>
      <w:r w:rsidR="00156B98" w:rsidRPr="00C46D36">
        <w:rPr>
          <w:rFonts w:cs="Calibri"/>
          <w:snapToGrid w:val="0"/>
          <w:color w:val="auto"/>
          <w:sz w:val="20"/>
          <w:szCs w:val="20"/>
          <w:bdr w:val="none" w:sz="0" w:space="0" w:color="auto"/>
          <w:lang w:val="es-ES"/>
        </w:rPr>
        <w:t xml:space="preserve"> militan</w:t>
      </w:r>
      <w:r w:rsidR="00BF4D23" w:rsidRPr="00C46D36">
        <w:rPr>
          <w:rFonts w:cs="Calibri"/>
          <w:snapToGrid w:val="0"/>
          <w:color w:val="auto"/>
          <w:sz w:val="20"/>
          <w:szCs w:val="20"/>
          <w:bdr w:val="none" w:sz="0" w:space="0" w:color="auto"/>
          <w:lang w:val="es-ES"/>
        </w:rPr>
        <w:t>cia en dicho partido</w:t>
      </w:r>
      <w:r w:rsidR="00156B98" w:rsidRPr="00C46D36">
        <w:rPr>
          <w:rFonts w:cs="Calibri"/>
          <w:snapToGrid w:val="0"/>
          <w:color w:val="auto"/>
          <w:sz w:val="20"/>
          <w:szCs w:val="20"/>
          <w:bdr w:val="none" w:sz="0" w:space="0" w:color="auto"/>
          <w:lang w:val="es-ES"/>
        </w:rPr>
        <w:t xml:space="preserve"> como móvil de su presunta </w:t>
      </w:r>
      <w:r w:rsidR="00BF4D23" w:rsidRPr="00C46D36">
        <w:rPr>
          <w:rFonts w:cs="Calibri"/>
          <w:snapToGrid w:val="0"/>
          <w:color w:val="auto"/>
          <w:sz w:val="20"/>
          <w:szCs w:val="20"/>
          <w:bdr w:val="none" w:sz="0" w:space="0" w:color="auto"/>
          <w:lang w:val="es-ES"/>
        </w:rPr>
        <w:t>desaparición</w:t>
      </w:r>
      <w:r w:rsidR="00F05E19" w:rsidRPr="00C46D36">
        <w:rPr>
          <w:rFonts w:cs="Calibri"/>
          <w:snapToGrid w:val="0"/>
          <w:color w:val="auto"/>
          <w:sz w:val="20"/>
          <w:szCs w:val="20"/>
          <w:bdr w:val="none" w:sz="0" w:space="0" w:color="auto"/>
          <w:lang w:val="es-ES"/>
        </w:rPr>
        <w:t xml:space="preserve">, </w:t>
      </w:r>
      <w:r w:rsidR="00C73454" w:rsidRPr="00C46D36">
        <w:rPr>
          <w:rFonts w:cs="Calibri"/>
          <w:snapToGrid w:val="0"/>
          <w:color w:val="auto"/>
          <w:sz w:val="20"/>
          <w:szCs w:val="20"/>
          <w:bdr w:val="none" w:sz="0" w:space="0" w:color="auto"/>
          <w:lang w:val="es-ES"/>
        </w:rPr>
        <w:t>ni</w:t>
      </w:r>
      <w:r w:rsidR="00F05E19" w:rsidRPr="00C46D36">
        <w:rPr>
          <w:rFonts w:cs="Calibri"/>
          <w:snapToGrid w:val="0"/>
          <w:color w:val="auto"/>
          <w:sz w:val="20"/>
          <w:szCs w:val="20"/>
          <w:bdr w:val="none" w:sz="0" w:space="0" w:color="auto"/>
          <w:lang w:val="es-ES"/>
        </w:rPr>
        <w:t xml:space="preserve"> </w:t>
      </w:r>
      <w:r w:rsidR="00593C0D" w:rsidRPr="00C46D36">
        <w:rPr>
          <w:rFonts w:cs="Calibri"/>
          <w:snapToGrid w:val="0"/>
          <w:color w:val="auto"/>
          <w:sz w:val="20"/>
          <w:szCs w:val="20"/>
          <w:bdr w:val="none" w:sz="0" w:space="0" w:color="auto"/>
          <w:lang w:val="es-ES"/>
        </w:rPr>
        <w:t>tampoco se podría analizar l</w:t>
      </w:r>
      <w:r w:rsidR="00BF4D23" w:rsidRPr="00C46D36">
        <w:rPr>
          <w:rFonts w:cs="Calibri"/>
          <w:snapToGrid w:val="0"/>
          <w:color w:val="auto"/>
          <w:sz w:val="20"/>
          <w:szCs w:val="20"/>
          <w:bdr w:val="none" w:sz="0" w:space="0" w:color="auto"/>
          <w:lang w:val="es-ES"/>
        </w:rPr>
        <w:t>a presunta</w:t>
      </w:r>
      <w:r w:rsidR="00593C0D" w:rsidRPr="00C46D36">
        <w:rPr>
          <w:rFonts w:cs="Calibri"/>
          <w:snapToGrid w:val="0"/>
          <w:color w:val="auto"/>
          <w:sz w:val="20"/>
          <w:szCs w:val="20"/>
          <w:bdr w:val="none" w:sz="0" w:space="0" w:color="auto"/>
          <w:lang w:val="es-ES"/>
        </w:rPr>
        <w:t xml:space="preserve"> </w:t>
      </w:r>
      <w:r w:rsidR="00BF4D23" w:rsidRPr="00C46D36">
        <w:rPr>
          <w:rFonts w:cs="Calibri"/>
          <w:snapToGrid w:val="0"/>
          <w:color w:val="auto"/>
          <w:sz w:val="20"/>
          <w:szCs w:val="20"/>
          <w:bdr w:val="none" w:sz="0" w:space="0" w:color="auto"/>
          <w:lang w:val="es-ES"/>
        </w:rPr>
        <w:t xml:space="preserve">responsabilidad estatal por dichos hechos, en el supuesto </w:t>
      </w:r>
      <w:r w:rsidR="00593C0D" w:rsidRPr="00C46D36">
        <w:rPr>
          <w:rFonts w:cs="Calibri"/>
          <w:snapToGrid w:val="0"/>
          <w:color w:val="auto"/>
          <w:sz w:val="20"/>
          <w:szCs w:val="20"/>
          <w:bdr w:val="none" w:sz="0" w:space="0" w:color="auto"/>
          <w:lang w:val="es-ES"/>
        </w:rPr>
        <w:t>contexto</w:t>
      </w:r>
      <w:r w:rsidR="00BF4D23" w:rsidRPr="00C46D36">
        <w:rPr>
          <w:rFonts w:cs="Calibri"/>
          <w:snapToGrid w:val="0"/>
          <w:color w:val="auto"/>
          <w:sz w:val="20"/>
          <w:szCs w:val="20"/>
          <w:bdr w:val="none" w:sz="0" w:space="0" w:color="auto"/>
          <w:lang w:val="es-ES"/>
        </w:rPr>
        <w:t xml:space="preserve"> </w:t>
      </w:r>
      <w:r w:rsidR="00D728FE" w:rsidRPr="00C46D36">
        <w:rPr>
          <w:rFonts w:cs="Calibri"/>
          <w:snapToGrid w:val="0"/>
          <w:color w:val="auto"/>
          <w:sz w:val="20"/>
          <w:szCs w:val="20"/>
          <w:bdr w:val="none" w:sz="0" w:space="0" w:color="auto"/>
          <w:lang w:val="es-ES"/>
        </w:rPr>
        <w:t>invocado</w:t>
      </w:r>
      <w:r w:rsidR="00BF4D23" w:rsidRPr="00C46D36">
        <w:rPr>
          <w:rFonts w:cs="Calibri"/>
          <w:snapToGrid w:val="0"/>
          <w:color w:val="auto"/>
          <w:sz w:val="20"/>
          <w:szCs w:val="20"/>
          <w:bdr w:val="none" w:sz="0" w:space="0" w:color="auto"/>
          <w:lang w:val="es-ES"/>
        </w:rPr>
        <w:t xml:space="preserve"> por los</w:t>
      </w:r>
      <w:r w:rsidR="00593C0D" w:rsidRPr="00C46D36">
        <w:rPr>
          <w:rFonts w:cs="Calibri"/>
          <w:snapToGrid w:val="0"/>
          <w:color w:val="auto"/>
          <w:sz w:val="20"/>
          <w:szCs w:val="20"/>
          <w:bdr w:val="none" w:sz="0" w:space="0" w:color="auto"/>
          <w:lang w:val="es-ES"/>
        </w:rPr>
        <w:t xml:space="preserve"> </w:t>
      </w:r>
      <w:r w:rsidR="00BF4D23" w:rsidRPr="00C46D36">
        <w:rPr>
          <w:rFonts w:cs="Calibri"/>
          <w:snapToGrid w:val="0"/>
          <w:color w:val="auto"/>
          <w:sz w:val="20"/>
          <w:szCs w:val="20"/>
          <w:bdr w:val="none" w:sz="0" w:space="0" w:color="auto"/>
          <w:lang w:val="es-ES"/>
        </w:rPr>
        <w:t xml:space="preserve">peticionarios. En este sentido, </w:t>
      </w:r>
      <w:r w:rsidR="00593C0D" w:rsidRPr="00C46D36">
        <w:rPr>
          <w:rFonts w:cs="Calibri"/>
          <w:snapToGrid w:val="0"/>
          <w:color w:val="auto"/>
          <w:sz w:val="20"/>
          <w:szCs w:val="20"/>
          <w:bdr w:val="none" w:sz="0" w:space="0" w:color="auto"/>
          <w:lang w:val="es-ES"/>
        </w:rPr>
        <w:t xml:space="preserve">el Estado reitera sus exigencias en </w:t>
      </w:r>
      <w:r w:rsidR="00FC1CE6" w:rsidRPr="00C46D36">
        <w:rPr>
          <w:rFonts w:cs="Calibri"/>
          <w:snapToGrid w:val="0"/>
          <w:color w:val="auto"/>
          <w:sz w:val="20"/>
          <w:szCs w:val="20"/>
          <w:bdr w:val="none" w:sz="0" w:space="0" w:color="auto"/>
          <w:lang w:val="es-ES"/>
        </w:rPr>
        <w:t>relación</w:t>
      </w:r>
      <w:r w:rsidR="00593C0D" w:rsidRPr="00C46D36">
        <w:rPr>
          <w:rFonts w:cs="Calibri"/>
          <w:snapToGrid w:val="0"/>
          <w:color w:val="auto"/>
          <w:sz w:val="20"/>
          <w:szCs w:val="20"/>
          <w:bdr w:val="none" w:sz="0" w:space="0" w:color="auto"/>
          <w:lang w:val="es-ES"/>
        </w:rPr>
        <w:t xml:space="preserve"> con la prueba de la supuesta militancia en el partido político Unión Patriótica</w:t>
      </w:r>
      <w:r w:rsidR="00F05E19" w:rsidRPr="00C46D36">
        <w:rPr>
          <w:rFonts w:cs="Calibri"/>
          <w:snapToGrid w:val="0"/>
          <w:color w:val="auto"/>
          <w:sz w:val="20"/>
          <w:szCs w:val="20"/>
          <w:bdr w:val="none" w:sz="0" w:space="0" w:color="auto"/>
          <w:lang w:val="es-ES"/>
        </w:rPr>
        <w:t>, misma</w:t>
      </w:r>
      <w:r w:rsidR="00C73454" w:rsidRPr="00C46D36">
        <w:rPr>
          <w:rFonts w:cs="Calibri"/>
          <w:snapToGrid w:val="0"/>
          <w:color w:val="auto"/>
          <w:sz w:val="20"/>
          <w:szCs w:val="20"/>
          <w:bdr w:val="none" w:sz="0" w:space="0" w:color="auto"/>
          <w:lang w:val="es-ES"/>
        </w:rPr>
        <w:t>s</w:t>
      </w:r>
      <w:r w:rsidR="00593C0D" w:rsidRPr="00C46D36">
        <w:rPr>
          <w:rFonts w:cs="Calibri"/>
          <w:snapToGrid w:val="0"/>
          <w:color w:val="auto"/>
          <w:sz w:val="20"/>
          <w:szCs w:val="20"/>
          <w:bdr w:val="none" w:sz="0" w:space="0" w:color="auto"/>
          <w:lang w:val="es-ES"/>
        </w:rPr>
        <w:t xml:space="preserve"> que ha venido manifesta</w:t>
      </w:r>
      <w:r w:rsidR="00F05E19" w:rsidRPr="00C46D36">
        <w:rPr>
          <w:rFonts w:cs="Calibri"/>
          <w:snapToGrid w:val="0"/>
          <w:color w:val="auto"/>
          <w:sz w:val="20"/>
          <w:szCs w:val="20"/>
          <w:bdr w:val="none" w:sz="0" w:space="0" w:color="auto"/>
          <w:lang w:val="es-ES"/>
        </w:rPr>
        <w:t>n</w:t>
      </w:r>
      <w:r w:rsidR="00593C0D" w:rsidRPr="00C46D36">
        <w:rPr>
          <w:rFonts w:cs="Calibri"/>
          <w:snapToGrid w:val="0"/>
          <w:color w:val="auto"/>
          <w:sz w:val="20"/>
          <w:szCs w:val="20"/>
          <w:bdr w:val="none" w:sz="0" w:space="0" w:color="auto"/>
          <w:lang w:val="es-ES"/>
        </w:rPr>
        <w:t>do ante la CIDH en el caso 11.227 Unión Patriótica, y la</w:t>
      </w:r>
      <w:r w:rsidR="00C73454" w:rsidRPr="00C46D36">
        <w:rPr>
          <w:rFonts w:cs="Calibri"/>
          <w:snapToGrid w:val="0"/>
          <w:color w:val="auto"/>
          <w:sz w:val="20"/>
          <w:szCs w:val="20"/>
          <w:bdr w:val="none" w:sz="0" w:space="0" w:color="auto"/>
          <w:lang w:val="es-ES"/>
        </w:rPr>
        <w:t>s</w:t>
      </w:r>
      <w:r w:rsidR="00593C0D" w:rsidRPr="00C46D36">
        <w:rPr>
          <w:rFonts w:cs="Calibri"/>
          <w:snapToGrid w:val="0"/>
          <w:color w:val="auto"/>
          <w:sz w:val="20"/>
          <w:szCs w:val="20"/>
          <w:bdr w:val="none" w:sz="0" w:space="0" w:color="auto"/>
          <w:lang w:val="es-ES"/>
        </w:rPr>
        <w:t xml:space="preserve"> extiende a la alegada pertenencia </w:t>
      </w:r>
      <w:r w:rsidR="004964FF" w:rsidRPr="00C46D36">
        <w:rPr>
          <w:rFonts w:cs="Calibri"/>
          <w:snapToGrid w:val="0"/>
          <w:color w:val="auto"/>
          <w:sz w:val="20"/>
          <w:szCs w:val="20"/>
          <w:bdr w:val="none" w:sz="0" w:space="0" w:color="auto"/>
          <w:lang w:val="es-ES"/>
        </w:rPr>
        <w:t>a dicho partido de las presuntas víctimas en el presente caso.</w:t>
      </w:r>
    </w:p>
    <w:p w:rsidR="00641AFF" w:rsidRPr="00C46D36" w:rsidRDefault="00641AFF" w:rsidP="002C2FB9">
      <w:pPr>
        <w:rPr>
          <w:sz w:val="20"/>
          <w:szCs w:val="20"/>
          <w:bdr w:val="none" w:sz="0" w:space="0" w:color="auto"/>
          <w:lang w:val="es-ES"/>
        </w:rPr>
      </w:pPr>
    </w:p>
    <w:p w:rsidR="00641AFF" w:rsidRPr="00C46D36" w:rsidRDefault="00181829" w:rsidP="00D06F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color w:val="auto"/>
          <w:sz w:val="20"/>
          <w:szCs w:val="20"/>
          <w:bdr w:val="none" w:sz="0" w:space="0" w:color="auto"/>
          <w:lang w:val="es-ES"/>
        </w:rPr>
        <w:lastRenderedPageBreak/>
        <w:t xml:space="preserve">El Estado sostiene que la presente petición debe ser declarada inadmisible por no cumplir con el requisito de previo agotamiento de los recursos internos consagrado en el artículo 46.1 a) de la Convención. Asimismo, estima que serían inaplicables las excepciones al agotamiento de los recursos internos contenidas en el artículo 46.2 b) y c). </w:t>
      </w:r>
    </w:p>
    <w:p w:rsidR="00641AFF" w:rsidRPr="00C46D36" w:rsidRDefault="00641AFF" w:rsidP="00641AFF">
      <w:pPr>
        <w:pStyle w:val="ListParagraph"/>
        <w:rPr>
          <w:color w:val="auto"/>
          <w:sz w:val="20"/>
          <w:szCs w:val="20"/>
          <w:bdr w:val="none" w:sz="0" w:space="0" w:color="auto"/>
          <w:lang w:val="es-ES"/>
        </w:rPr>
      </w:pPr>
    </w:p>
    <w:p w:rsidR="00641AFF" w:rsidRPr="00C46D36" w:rsidRDefault="00181829" w:rsidP="00D06F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color w:val="auto"/>
          <w:sz w:val="20"/>
          <w:szCs w:val="20"/>
          <w:bdr w:val="none" w:sz="0" w:space="0" w:color="auto"/>
          <w:lang w:val="es-ES"/>
        </w:rPr>
        <w:t>Al respecto señala que a nivel interno existe un proceso penal que se encontraría en etapa de trámite, por lo que los peticionarios no habrían agotado la acción penal. Indica que la investi</w:t>
      </w:r>
      <w:r w:rsidR="00D06FBF" w:rsidRPr="00C46D36">
        <w:rPr>
          <w:color w:val="auto"/>
          <w:sz w:val="20"/>
          <w:szCs w:val="20"/>
          <w:bdr w:val="none" w:sz="0" w:space="0" w:color="auto"/>
          <w:lang w:val="es-ES"/>
        </w:rPr>
        <w:t>gación penal radicada bajo el N</w:t>
      </w:r>
      <w:r w:rsidRPr="00C46D36">
        <w:rPr>
          <w:color w:val="auto"/>
          <w:sz w:val="20"/>
          <w:szCs w:val="20"/>
          <w:bdr w:val="none" w:sz="0" w:space="0" w:color="auto"/>
          <w:lang w:val="es-ES"/>
        </w:rPr>
        <w:t xml:space="preserve">. </w:t>
      </w:r>
      <w:r w:rsidR="00D06FBF" w:rsidRPr="00C46D36">
        <w:rPr>
          <w:color w:val="auto"/>
          <w:sz w:val="20"/>
          <w:szCs w:val="20"/>
          <w:bdr w:val="none" w:sz="0" w:space="0" w:color="auto"/>
          <w:lang w:val="es-ES"/>
        </w:rPr>
        <w:t>186</w:t>
      </w:r>
      <w:r w:rsidR="004539F8" w:rsidRPr="00C46D36">
        <w:rPr>
          <w:color w:val="auto"/>
          <w:sz w:val="20"/>
          <w:szCs w:val="20"/>
          <w:bdr w:val="none" w:sz="0" w:space="0" w:color="auto"/>
          <w:lang w:val="es-ES"/>
        </w:rPr>
        <w:t xml:space="preserve"> DH</w:t>
      </w:r>
      <w:r w:rsidRPr="00C46D36">
        <w:rPr>
          <w:color w:val="auto"/>
          <w:sz w:val="20"/>
          <w:szCs w:val="20"/>
          <w:bdr w:val="none" w:sz="0" w:space="0" w:color="auto"/>
          <w:lang w:val="es-ES"/>
        </w:rPr>
        <w:t xml:space="preserve"> habría sido conocida por diferentes autoridades tanto jurisdiccionales como investigativas que habrían realizado múltiples esfuerzos para esclarecer los hechos, pero que dicha labor habría s</w:t>
      </w:r>
      <w:r w:rsidR="00641AFF" w:rsidRPr="00C46D36">
        <w:rPr>
          <w:color w:val="auto"/>
          <w:sz w:val="20"/>
          <w:szCs w:val="20"/>
          <w:bdr w:val="none" w:sz="0" w:space="0" w:color="auto"/>
          <w:lang w:val="es-ES"/>
        </w:rPr>
        <w:t>ido imposible hasta el momento.</w:t>
      </w:r>
    </w:p>
    <w:p w:rsidR="00641AFF" w:rsidRPr="00C46D36" w:rsidRDefault="00641AFF" w:rsidP="00641AFF">
      <w:pPr>
        <w:pStyle w:val="ListParagraph"/>
        <w:rPr>
          <w:color w:val="auto"/>
          <w:sz w:val="20"/>
          <w:szCs w:val="20"/>
          <w:bdr w:val="none" w:sz="0" w:space="0" w:color="auto"/>
          <w:lang w:val="es-ES"/>
        </w:rPr>
      </w:pPr>
    </w:p>
    <w:p w:rsidR="00641AFF" w:rsidRPr="00C46D36" w:rsidRDefault="00181829" w:rsidP="00641A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color w:val="auto"/>
          <w:sz w:val="20"/>
          <w:szCs w:val="20"/>
          <w:bdr w:val="none" w:sz="0" w:space="0" w:color="auto"/>
          <w:lang w:val="es-ES"/>
        </w:rPr>
        <w:t>Sostiene que las investigaciones se habrían conducido de forma diligent</w:t>
      </w:r>
      <w:r w:rsidR="00FC1CE6" w:rsidRPr="00C46D36">
        <w:rPr>
          <w:color w:val="auto"/>
          <w:sz w:val="20"/>
          <w:szCs w:val="20"/>
          <w:bdr w:val="none" w:sz="0" w:space="0" w:color="auto"/>
          <w:lang w:val="es-ES"/>
        </w:rPr>
        <w:t>e y en un plazo razonable dado</w:t>
      </w:r>
      <w:r w:rsidRPr="00C46D36">
        <w:rPr>
          <w:color w:val="auto"/>
          <w:sz w:val="20"/>
          <w:szCs w:val="20"/>
          <w:bdr w:val="none" w:sz="0" w:space="0" w:color="auto"/>
          <w:lang w:val="es-ES"/>
        </w:rPr>
        <w:t xml:space="preserve"> la complejidad del caso</w:t>
      </w:r>
      <w:r w:rsidR="00BE50B1" w:rsidRPr="00C46D36">
        <w:rPr>
          <w:color w:val="auto"/>
          <w:sz w:val="20"/>
          <w:szCs w:val="20"/>
          <w:bdr w:val="none" w:sz="0" w:space="0" w:color="auto"/>
          <w:lang w:val="es-ES"/>
        </w:rPr>
        <w:t xml:space="preserve"> y teniendo en cuenta que no ha habido constitución de parte civil por parte de las personas interesadas y facultadas para ello, acción que habría</w:t>
      </w:r>
      <w:r w:rsidR="00FC1CE6" w:rsidRPr="00C46D36">
        <w:rPr>
          <w:color w:val="auto"/>
          <w:sz w:val="20"/>
          <w:szCs w:val="20"/>
          <w:bdr w:val="none" w:sz="0" w:space="0" w:color="auto"/>
          <w:lang w:val="es-ES"/>
        </w:rPr>
        <w:t xml:space="preserve"> sin duda</w:t>
      </w:r>
      <w:r w:rsidR="00BE50B1" w:rsidRPr="00C46D36">
        <w:rPr>
          <w:color w:val="auto"/>
          <w:sz w:val="20"/>
          <w:szCs w:val="20"/>
          <w:bdr w:val="none" w:sz="0" w:space="0" w:color="auto"/>
          <w:lang w:val="es-ES"/>
        </w:rPr>
        <w:t xml:space="preserve"> contribuido a impulsar la investigación de </w:t>
      </w:r>
      <w:r w:rsidR="00C73454" w:rsidRPr="00C46D36">
        <w:rPr>
          <w:color w:val="auto"/>
          <w:sz w:val="20"/>
          <w:szCs w:val="20"/>
          <w:bdr w:val="none" w:sz="0" w:space="0" w:color="auto"/>
          <w:lang w:val="es-ES"/>
        </w:rPr>
        <w:t>l</w:t>
      </w:r>
      <w:r w:rsidR="00BE50B1" w:rsidRPr="00C46D36">
        <w:rPr>
          <w:color w:val="auto"/>
          <w:sz w:val="20"/>
          <w:szCs w:val="20"/>
          <w:bdr w:val="none" w:sz="0" w:space="0" w:color="auto"/>
          <w:lang w:val="es-ES"/>
        </w:rPr>
        <w:t>os hechos</w:t>
      </w:r>
      <w:r w:rsidR="00C73454" w:rsidRPr="00C46D36">
        <w:rPr>
          <w:color w:val="auto"/>
          <w:sz w:val="20"/>
          <w:szCs w:val="20"/>
          <w:bdr w:val="none" w:sz="0" w:space="0" w:color="auto"/>
          <w:lang w:val="es-ES"/>
        </w:rPr>
        <w:t xml:space="preserve"> del caso</w:t>
      </w:r>
      <w:r w:rsidRPr="00C46D36">
        <w:rPr>
          <w:color w:val="auto"/>
          <w:sz w:val="20"/>
          <w:szCs w:val="20"/>
          <w:bdr w:val="none" w:sz="0" w:space="0" w:color="auto"/>
          <w:lang w:val="es-ES"/>
        </w:rPr>
        <w:t>. Señala que las circunstancias en</w:t>
      </w:r>
      <w:r w:rsidR="00D06FBF" w:rsidRPr="00C46D36">
        <w:rPr>
          <w:color w:val="auto"/>
          <w:sz w:val="20"/>
          <w:szCs w:val="20"/>
          <w:bdr w:val="none" w:sz="0" w:space="0" w:color="auto"/>
          <w:lang w:val="es-ES"/>
        </w:rPr>
        <w:t xml:space="preserve"> que se </w:t>
      </w:r>
      <w:r w:rsidR="00FC1CE6" w:rsidRPr="00C46D36">
        <w:rPr>
          <w:color w:val="auto"/>
          <w:sz w:val="20"/>
          <w:szCs w:val="20"/>
          <w:bdr w:val="none" w:sz="0" w:space="0" w:color="auto"/>
          <w:lang w:val="es-ES"/>
        </w:rPr>
        <w:t>dio</w:t>
      </w:r>
      <w:r w:rsidR="00D06FBF" w:rsidRPr="00C46D36">
        <w:rPr>
          <w:color w:val="auto"/>
          <w:sz w:val="20"/>
          <w:szCs w:val="20"/>
          <w:bdr w:val="none" w:sz="0" w:space="0" w:color="auto"/>
          <w:lang w:val="es-ES"/>
        </w:rPr>
        <w:t xml:space="preserve"> la desaparición de las presuntas víctimas </w:t>
      </w:r>
      <w:r w:rsidRPr="00C46D36">
        <w:rPr>
          <w:color w:val="auto"/>
          <w:sz w:val="20"/>
          <w:szCs w:val="20"/>
          <w:bdr w:val="none" w:sz="0" w:space="0" w:color="auto"/>
          <w:lang w:val="es-ES"/>
        </w:rPr>
        <w:t xml:space="preserve">habrían dificultado la actividad investigativa </w:t>
      </w:r>
      <w:r w:rsidR="00BE50B1" w:rsidRPr="00C46D36">
        <w:rPr>
          <w:color w:val="auto"/>
          <w:sz w:val="20"/>
          <w:szCs w:val="20"/>
          <w:bdr w:val="none" w:sz="0" w:space="0" w:color="auto"/>
          <w:lang w:val="es-ES"/>
        </w:rPr>
        <w:t>por l</w:t>
      </w:r>
      <w:r w:rsidR="00FC1CE6" w:rsidRPr="00C46D36">
        <w:rPr>
          <w:color w:val="auto"/>
          <w:sz w:val="20"/>
          <w:szCs w:val="20"/>
          <w:bdr w:val="none" w:sz="0" w:space="0" w:color="auto"/>
          <w:lang w:val="es-ES"/>
        </w:rPr>
        <w:t>o</w:t>
      </w:r>
      <w:r w:rsidR="00BE50B1" w:rsidRPr="00C46D36">
        <w:rPr>
          <w:color w:val="auto"/>
          <w:sz w:val="20"/>
          <w:szCs w:val="20"/>
          <w:bdr w:val="none" w:sz="0" w:space="0" w:color="auto"/>
          <w:lang w:val="es-ES"/>
        </w:rPr>
        <w:t xml:space="preserve">s </w:t>
      </w:r>
      <w:r w:rsidR="00FC1CE6" w:rsidRPr="00C46D36">
        <w:rPr>
          <w:color w:val="auto"/>
          <w:sz w:val="20"/>
          <w:szCs w:val="20"/>
          <w:bdr w:val="none" w:sz="0" w:space="0" w:color="auto"/>
          <w:lang w:val="es-ES"/>
        </w:rPr>
        <w:t>problemas</w:t>
      </w:r>
      <w:r w:rsidR="00BE50B1" w:rsidRPr="00C46D36">
        <w:rPr>
          <w:color w:val="auto"/>
          <w:sz w:val="20"/>
          <w:szCs w:val="20"/>
          <w:bdr w:val="none" w:sz="0" w:space="0" w:color="auto"/>
          <w:lang w:val="es-ES"/>
        </w:rPr>
        <w:t xml:space="preserve"> de orden público de la zona donde ocurrieron los hechos.</w:t>
      </w:r>
    </w:p>
    <w:p w:rsidR="00641AFF" w:rsidRPr="00C46D36" w:rsidRDefault="00641AFF" w:rsidP="00641AFF">
      <w:pPr>
        <w:pStyle w:val="ListParagraph"/>
        <w:rPr>
          <w:rFonts w:asciiTheme="majorHAnsi" w:hAnsiTheme="majorHAnsi"/>
          <w:color w:val="auto"/>
          <w:sz w:val="20"/>
          <w:szCs w:val="20"/>
          <w:bdr w:val="none" w:sz="0" w:space="0" w:color="auto"/>
          <w:lang w:val="es-AR"/>
        </w:rPr>
      </w:pPr>
    </w:p>
    <w:p w:rsidR="009D68F2" w:rsidRPr="00C46D36" w:rsidRDefault="00181829" w:rsidP="009D68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rFonts w:asciiTheme="majorHAnsi" w:hAnsiTheme="majorHAnsi"/>
          <w:color w:val="auto"/>
          <w:sz w:val="20"/>
          <w:szCs w:val="20"/>
          <w:bdr w:val="none" w:sz="0" w:space="0" w:color="auto"/>
          <w:lang w:val="es-AR"/>
        </w:rPr>
        <w:t xml:space="preserve">Alega que en caso de que </w:t>
      </w:r>
      <w:r w:rsidR="00641AFF" w:rsidRPr="00C46D36">
        <w:rPr>
          <w:rFonts w:asciiTheme="majorHAnsi" w:hAnsiTheme="majorHAnsi"/>
          <w:color w:val="auto"/>
          <w:sz w:val="20"/>
          <w:szCs w:val="20"/>
          <w:bdr w:val="none" w:sz="0" w:space="0" w:color="auto"/>
          <w:lang w:val="es-AR"/>
        </w:rPr>
        <w:t>los</w:t>
      </w:r>
      <w:r w:rsidRPr="00C46D36">
        <w:rPr>
          <w:rFonts w:asciiTheme="majorHAnsi" w:hAnsiTheme="majorHAnsi"/>
          <w:color w:val="auto"/>
          <w:sz w:val="20"/>
          <w:szCs w:val="20"/>
          <w:bdr w:val="none" w:sz="0" w:space="0" w:color="auto"/>
          <w:lang w:val="es-AR"/>
        </w:rPr>
        <w:t xml:space="preserve"> peticionario</w:t>
      </w:r>
      <w:r w:rsidR="00641AFF" w:rsidRPr="00C46D36">
        <w:rPr>
          <w:rFonts w:asciiTheme="majorHAnsi" w:hAnsiTheme="majorHAnsi"/>
          <w:color w:val="auto"/>
          <w:sz w:val="20"/>
          <w:szCs w:val="20"/>
          <w:bdr w:val="none" w:sz="0" w:space="0" w:color="auto"/>
          <w:lang w:val="es-AR"/>
        </w:rPr>
        <w:t>s</w:t>
      </w:r>
      <w:r w:rsidRPr="00C46D36">
        <w:rPr>
          <w:rFonts w:asciiTheme="majorHAnsi" w:hAnsiTheme="majorHAnsi"/>
          <w:color w:val="auto"/>
          <w:sz w:val="20"/>
          <w:szCs w:val="20"/>
          <w:bdr w:val="none" w:sz="0" w:space="0" w:color="auto"/>
          <w:lang w:val="es-AR"/>
        </w:rPr>
        <w:t xml:space="preserve"> considerara</w:t>
      </w:r>
      <w:r w:rsidR="00641AFF" w:rsidRPr="00C46D36">
        <w:rPr>
          <w:rFonts w:asciiTheme="majorHAnsi" w:hAnsiTheme="majorHAnsi"/>
          <w:color w:val="auto"/>
          <w:sz w:val="20"/>
          <w:szCs w:val="20"/>
          <w:bdr w:val="none" w:sz="0" w:space="0" w:color="auto"/>
          <w:lang w:val="es-AR"/>
        </w:rPr>
        <w:t>n</w:t>
      </w:r>
      <w:r w:rsidRPr="00C46D36">
        <w:rPr>
          <w:rFonts w:asciiTheme="majorHAnsi" w:hAnsiTheme="majorHAnsi"/>
          <w:color w:val="auto"/>
          <w:sz w:val="20"/>
          <w:szCs w:val="20"/>
          <w:bdr w:val="none" w:sz="0" w:space="0" w:color="auto"/>
          <w:lang w:val="es-AR"/>
        </w:rPr>
        <w:t xml:space="preserve"> que se encontraba comprometida la responsabilidad de agentes estatales debi</w:t>
      </w:r>
      <w:r w:rsidR="00641AFF" w:rsidRPr="00C46D36">
        <w:rPr>
          <w:rFonts w:asciiTheme="majorHAnsi" w:hAnsiTheme="majorHAnsi"/>
          <w:color w:val="auto"/>
          <w:sz w:val="20"/>
          <w:szCs w:val="20"/>
          <w:bdr w:val="none" w:sz="0" w:space="0" w:color="auto"/>
          <w:lang w:val="es-AR"/>
        </w:rPr>
        <w:t>eron</w:t>
      </w:r>
      <w:r w:rsidRPr="00C46D36">
        <w:rPr>
          <w:rFonts w:asciiTheme="majorHAnsi" w:hAnsiTheme="majorHAnsi"/>
          <w:color w:val="auto"/>
          <w:sz w:val="20"/>
          <w:szCs w:val="20"/>
          <w:bdr w:val="none" w:sz="0" w:space="0" w:color="auto"/>
          <w:lang w:val="es-AR"/>
        </w:rPr>
        <w:t xml:space="preserve"> haber interpuesto una acción de reparación directa en la jurisdicción contencioso administrativa</w:t>
      </w:r>
      <w:r w:rsidR="00FC1CE6" w:rsidRPr="00C46D36">
        <w:rPr>
          <w:rFonts w:asciiTheme="majorHAnsi" w:hAnsiTheme="majorHAnsi"/>
          <w:color w:val="auto"/>
          <w:sz w:val="20"/>
          <w:szCs w:val="20"/>
          <w:bdr w:val="none" w:sz="0" w:space="0" w:color="auto"/>
          <w:lang w:val="es-AR"/>
        </w:rPr>
        <w:t>, por lo que</w:t>
      </w:r>
      <w:r w:rsidRPr="00C46D36">
        <w:rPr>
          <w:rFonts w:asciiTheme="majorHAnsi" w:hAnsiTheme="majorHAnsi"/>
          <w:color w:val="auto"/>
          <w:sz w:val="20"/>
          <w:szCs w:val="20"/>
          <w:bdr w:val="none" w:sz="0" w:space="0" w:color="auto"/>
          <w:lang w:val="es-AR"/>
        </w:rPr>
        <w:t xml:space="preserve"> solicita a la Comisión que no admita los reclamos de</w:t>
      </w:r>
      <w:r w:rsidR="00FC1CE6" w:rsidRPr="00C46D36">
        <w:rPr>
          <w:rFonts w:asciiTheme="majorHAnsi" w:hAnsiTheme="majorHAnsi"/>
          <w:color w:val="auto"/>
          <w:sz w:val="20"/>
          <w:szCs w:val="20"/>
          <w:bdr w:val="none" w:sz="0" w:space="0" w:color="auto"/>
          <w:lang w:val="es-AR"/>
        </w:rPr>
        <w:t xml:space="preserve"> los</w:t>
      </w:r>
      <w:r w:rsidRPr="00C46D36">
        <w:rPr>
          <w:rFonts w:asciiTheme="majorHAnsi" w:hAnsiTheme="majorHAnsi"/>
          <w:color w:val="auto"/>
          <w:sz w:val="20"/>
          <w:szCs w:val="20"/>
          <w:bdr w:val="none" w:sz="0" w:space="0" w:color="auto"/>
          <w:lang w:val="es-AR"/>
        </w:rPr>
        <w:t xml:space="preserve"> peticionario</w:t>
      </w:r>
      <w:r w:rsidR="00FC1CE6" w:rsidRPr="00C46D36">
        <w:rPr>
          <w:rFonts w:asciiTheme="majorHAnsi" w:hAnsiTheme="majorHAnsi"/>
          <w:color w:val="auto"/>
          <w:sz w:val="20"/>
          <w:szCs w:val="20"/>
          <w:bdr w:val="none" w:sz="0" w:space="0" w:color="auto"/>
          <w:lang w:val="es-AR"/>
        </w:rPr>
        <w:t>s</w:t>
      </w:r>
      <w:r w:rsidRPr="00C46D36">
        <w:rPr>
          <w:rFonts w:asciiTheme="majorHAnsi" w:hAnsiTheme="majorHAnsi"/>
          <w:color w:val="auto"/>
          <w:sz w:val="20"/>
          <w:szCs w:val="20"/>
          <w:bdr w:val="none" w:sz="0" w:space="0" w:color="auto"/>
          <w:lang w:val="es-AR"/>
        </w:rPr>
        <w:t xml:space="preserve"> relativos a la reparación por daños materiales e inmateriales, por no haberse interpuesto la acción de reparación directa a nivel interno.</w:t>
      </w:r>
    </w:p>
    <w:p w:rsidR="00FC1CE6" w:rsidRPr="00C46D36" w:rsidRDefault="00FC1CE6" w:rsidP="00FC1CE6">
      <w:pPr>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snapToGrid w:val="0"/>
          <w:sz w:val="20"/>
          <w:szCs w:val="20"/>
          <w:bdr w:val="none" w:sz="0" w:space="0" w:color="auto"/>
          <w:lang w:val="es-ES"/>
        </w:rPr>
      </w:pPr>
    </w:p>
    <w:p w:rsidR="009E7797" w:rsidRPr="00C46D36" w:rsidRDefault="00181829" w:rsidP="009D68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color w:val="auto"/>
          <w:sz w:val="20"/>
          <w:szCs w:val="20"/>
          <w:bdr w:val="none" w:sz="0" w:space="0" w:color="auto"/>
          <w:lang w:val="es-ES"/>
        </w:rPr>
        <w:t>En cuanto a la actividad de las autoridades judiciales</w:t>
      </w:r>
      <w:r w:rsidR="00020DD5" w:rsidRPr="00C46D36">
        <w:rPr>
          <w:color w:val="auto"/>
          <w:sz w:val="20"/>
          <w:szCs w:val="20"/>
          <w:bdr w:val="none" w:sz="0" w:space="0" w:color="auto"/>
          <w:lang w:val="es-ES"/>
        </w:rPr>
        <w:t>,</w:t>
      </w:r>
      <w:r w:rsidRPr="00C46D36">
        <w:rPr>
          <w:color w:val="auto"/>
          <w:sz w:val="20"/>
          <w:szCs w:val="20"/>
          <w:bdr w:val="none" w:sz="0" w:space="0" w:color="auto"/>
          <w:lang w:val="es-ES"/>
        </w:rPr>
        <w:t xml:space="preserve"> señala que tanto en el proceso penal como en el disciplinario se habría</w:t>
      </w:r>
      <w:r w:rsidR="009D68F2" w:rsidRPr="00C46D36">
        <w:rPr>
          <w:color w:val="auto"/>
          <w:sz w:val="20"/>
          <w:szCs w:val="20"/>
          <w:bdr w:val="none" w:sz="0" w:space="0" w:color="auto"/>
          <w:lang w:val="es-ES"/>
        </w:rPr>
        <w:t>n llevado a cabo un gran número de diligencias</w:t>
      </w:r>
      <w:r w:rsidRPr="00C46D36">
        <w:rPr>
          <w:color w:val="auto"/>
          <w:sz w:val="20"/>
          <w:szCs w:val="20"/>
          <w:bdr w:val="none" w:sz="0" w:space="0" w:color="auto"/>
          <w:lang w:val="es-ES"/>
        </w:rPr>
        <w:t xml:space="preserve"> encaminadas </w:t>
      </w:r>
      <w:r w:rsidR="00717013" w:rsidRPr="00C46D36">
        <w:rPr>
          <w:color w:val="auto"/>
          <w:sz w:val="20"/>
          <w:szCs w:val="20"/>
          <w:bdr w:val="none" w:sz="0" w:space="0" w:color="auto"/>
          <w:lang w:val="es-ES"/>
        </w:rPr>
        <w:t xml:space="preserve">a esclarecer los hechos. </w:t>
      </w:r>
      <w:r w:rsidRPr="00C46D36">
        <w:rPr>
          <w:color w:val="auto"/>
          <w:sz w:val="20"/>
          <w:szCs w:val="20"/>
          <w:bdr w:val="none" w:sz="0" w:space="0" w:color="auto"/>
          <w:lang w:val="es-ES"/>
        </w:rPr>
        <w:t xml:space="preserve">Sostiene que a pesar de la </w:t>
      </w:r>
      <w:r w:rsidR="009D68F2" w:rsidRPr="00C46D36">
        <w:rPr>
          <w:color w:val="auto"/>
          <w:sz w:val="20"/>
          <w:szCs w:val="20"/>
          <w:bdr w:val="none" w:sz="0" w:space="0" w:color="auto"/>
          <w:lang w:val="es-ES"/>
        </w:rPr>
        <w:t>intensa actividad investigativa desplegada</w:t>
      </w:r>
      <w:r w:rsidR="00020DD5" w:rsidRPr="00C46D36">
        <w:rPr>
          <w:color w:val="auto"/>
          <w:sz w:val="20"/>
          <w:szCs w:val="20"/>
          <w:bdr w:val="none" w:sz="0" w:space="0" w:color="auto"/>
          <w:lang w:val="es-ES"/>
        </w:rPr>
        <w:t xml:space="preserve"> -enumera una larga lista de diligencias desarrolladas-</w:t>
      </w:r>
      <w:r w:rsidRPr="00C46D36">
        <w:rPr>
          <w:color w:val="auto"/>
          <w:sz w:val="20"/>
          <w:szCs w:val="20"/>
          <w:bdr w:val="none" w:sz="0" w:space="0" w:color="auto"/>
          <w:lang w:val="es-ES"/>
        </w:rPr>
        <w:t xml:space="preserve">, no se habrían conseguido pruebas conducentes que permitiesen establecer </w:t>
      </w:r>
      <w:r w:rsidR="00717013" w:rsidRPr="00C46D36">
        <w:rPr>
          <w:color w:val="auto"/>
          <w:sz w:val="20"/>
          <w:szCs w:val="20"/>
          <w:bdr w:val="none" w:sz="0" w:space="0" w:color="auto"/>
          <w:lang w:val="es-ES"/>
        </w:rPr>
        <w:t>los autores de la desaparición de las presuntas víctimas</w:t>
      </w:r>
      <w:r w:rsidRPr="00C46D36">
        <w:rPr>
          <w:color w:val="auto"/>
          <w:sz w:val="20"/>
          <w:szCs w:val="20"/>
          <w:bdr w:val="none" w:sz="0" w:space="0" w:color="auto"/>
          <w:lang w:val="es-ES"/>
        </w:rPr>
        <w:t>.</w:t>
      </w:r>
    </w:p>
    <w:p w:rsidR="009E7797" w:rsidRPr="00C46D36" w:rsidRDefault="009E7797" w:rsidP="009E7797">
      <w:pPr>
        <w:pStyle w:val="ListParagraph"/>
        <w:rPr>
          <w:color w:val="auto"/>
          <w:sz w:val="20"/>
          <w:szCs w:val="20"/>
          <w:bdr w:val="none" w:sz="0" w:space="0" w:color="auto"/>
          <w:lang w:val="es-ES"/>
        </w:rPr>
      </w:pPr>
    </w:p>
    <w:p w:rsidR="00181829" w:rsidRPr="00C46D36" w:rsidRDefault="00181829" w:rsidP="009D68F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napToGrid w:val="0"/>
          <w:color w:val="auto"/>
          <w:sz w:val="20"/>
          <w:szCs w:val="20"/>
          <w:bdr w:val="none" w:sz="0" w:space="0" w:color="auto"/>
          <w:lang w:val="es-ES"/>
        </w:rPr>
      </w:pPr>
      <w:r w:rsidRPr="00C46D36">
        <w:rPr>
          <w:color w:val="auto"/>
          <w:sz w:val="20"/>
          <w:szCs w:val="20"/>
          <w:bdr w:val="none" w:sz="0" w:space="0" w:color="auto"/>
          <w:lang w:val="es-ES"/>
        </w:rPr>
        <w:t>Adicionalmente aduce que la desaparición de</w:t>
      </w:r>
      <w:r w:rsidR="004452F3" w:rsidRPr="00C46D36">
        <w:rPr>
          <w:color w:val="auto"/>
          <w:sz w:val="20"/>
          <w:szCs w:val="20"/>
          <w:bdr w:val="none" w:sz="0" w:space="0" w:color="auto"/>
          <w:lang w:val="es-ES"/>
        </w:rPr>
        <w:t xml:space="preserve"> las presuntas </w:t>
      </w:r>
      <w:r w:rsidR="00717013" w:rsidRPr="00C46D36">
        <w:rPr>
          <w:color w:val="auto"/>
          <w:sz w:val="20"/>
          <w:szCs w:val="20"/>
          <w:bdr w:val="none" w:sz="0" w:space="0" w:color="auto"/>
          <w:lang w:val="es-ES"/>
        </w:rPr>
        <w:t>víctimas</w:t>
      </w:r>
      <w:r w:rsidRPr="00C46D36">
        <w:rPr>
          <w:color w:val="auto"/>
          <w:sz w:val="20"/>
          <w:szCs w:val="20"/>
          <w:bdr w:val="none" w:sz="0" w:space="0" w:color="auto"/>
          <w:lang w:val="es-ES"/>
        </w:rPr>
        <w:t xml:space="preserve"> no caracterizaría una violación a la Convención. Señala que este hecho no le sería imputable al Estado ya que hasta el momento no existiría prueba que vincule a miembros de la autorida</w:t>
      </w:r>
      <w:r w:rsidR="00BE67AA" w:rsidRPr="00C46D36">
        <w:rPr>
          <w:color w:val="auto"/>
          <w:sz w:val="20"/>
          <w:szCs w:val="20"/>
          <w:bdr w:val="none" w:sz="0" w:space="0" w:color="auto"/>
          <w:lang w:val="es-ES"/>
        </w:rPr>
        <w:t xml:space="preserve">d pública del Estado colombiano, ya sea por </w:t>
      </w:r>
      <w:r w:rsidR="009E7797" w:rsidRPr="00C46D36">
        <w:rPr>
          <w:color w:val="auto"/>
          <w:sz w:val="20"/>
          <w:szCs w:val="20"/>
          <w:bdr w:val="none" w:sz="0" w:space="0" w:color="auto"/>
          <w:lang w:val="es-ES"/>
        </w:rPr>
        <w:t>acción</w:t>
      </w:r>
      <w:r w:rsidR="00BE67AA" w:rsidRPr="00C46D36">
        <w:rPr>
          <w:color w:val="auto"/>
          <w:sz w:val="20"/>
          <w:szCs w:val="20"/>
          <w:bdr w:val="none" w:sz="0" w:space="0" w:color="auto"/>
          <w:lang w:val="es-ES"/>
        </w:rPr>
        <w:t xml:space="preserve"> u omisión, </w:t>
      </w:r>
      <w:r w:rsidRPr="00C46D36">
        <w:rPr>
          <w:color w:val="auto"/>
          <w:sz w:val="20"/>
          <w:szCs w:val="20"/>
          <w:bdr w:val="none" w:sz="0" w:space="0" w:color="auto"/>
          <w:lang w:val="es-ES"/>
        </w:rPr>
        <w:t xml:space="preserve">con la desaparición </w:t>
      </w:r>
      <w:r w:rsidR="004452F3" w:rsidRPr="00C46D36">
        <w:rPr>
          <w:color w:val="auto"/>
          <w:sz w:val="20"/>
          <w:szCs w:val="20"/>
          <w:bdr w:val="none" w:sz="0" w:space="0" w:color="auto"/>
          <w:lang w:val="es-ES"/>
        </w:rPr>
        <w:t xml:space="preserve">de Olga Luz </w:t>
      </w:r>
      <w:r w:rsidR="006533BE" w:rsidRPr="00C46D36">
        <w:rPr>
          <w:color w:val="auto"/>
          <w:sz w:val="20"/>
          <w:szCs w:val="20"/>
          <w:bdr w:val="none" w:sz="0" w:space="0" w:color="auto"/>
          <w:lang w:val="es-ES"/>
        </w:rPr>
        <w:t xml:space="preserve">Echavarría Areiza </w:t>
      </w:r>
      <w:r w:rsidR="004452F3" w:rsidRPr="00C46D36">
        <w:rPr>
          <w:color w:val="auto"/>
          <w:sz w:val="20"/>
          <w:szCs w:val="20"/>
          <w:bdr w:val="none" w:sz="0" w:space="0" w:color="auto"/>
          <w:lang w:val="es-ES"/>
        </w:rPr>
        <w:t>y Eliecer</w:t>
      </w:r>
      <w:r w:rsidR="006533BE" w:rsidRPr="00C46D36">
        <w:rPr>
          <w:color w:val="auto"/>
          <w:sz w:val="20"/>
          <w:szCs w:val="20"/>
          <w:bdr w:val="none" w:sz="0" w:space="0" w:color="auto"/>
          <w:lang w:val="es-ES"/>
        </w:rPr>
        <w:t xml:space="preserve"> Pérez Morales.</w:t>
      </w:r>
      <w:r w:rsidRPr="00C46D36">
        <w:rPr>
          <w:color w:val="auto"/>
          <w:sz w:val="20"/>
          <w:szCs w:val="20"/>
          <w:bdr w:val="none" w:sz="0" w:space="0" w:color="auto"/>
          <w:lang w:val="es-ES"/>
        </w:rPr>
        <w:t xml:space="preserve"> </w:t>
      </w:r>
      <w:r w:rsidR="00A326D0" w:rsidRPr="00C46D36">
        <w:rPr>
          <w:color w:val="auto"/>
          <w:sz w:val="20"/>
          <w:szCs w:val="20"/>
          <w:bdr w:val="none" w:sz="0" w:space="0" w:color="auto"/>
          <w:lang w:val="es-ES"/>
        </w:rPr>
        <w:t>Así las cosas,</w:t>
      </w:r>
      <w:r w:rsidRPr="00C46D36">
        <w:rPr>
          <w:color w:val="auto"/>
          <w:sz w:val="20"/>
          <w:szCs w:val="20"/>
          <w:bdr w:val="none" w:sz="0" w:space="0" w:color="auto"/>
          <w:lang w:val="es-ES"/>
        </w:rPr>
        <w:t xml:space="preserve"> destaca que no existiría nexo alguno entre la desaparición de la</w:t>
      </w:r>
      <w:r w:rsidR="004452F3" w:rsidRPr="00C46D36">
        <w:rPr>
          <w:color w:val="auto"/>
          <w:sz w:val="20"/>
          <w:szCs w:val="20"/>
          <w:bdr w:val="none" w:sz="0" w:space="0" w:color="auto"/>
          <w:lang w:val="es-ES"/>
        </w:rPr>
        <w:t>s</w:t>
      </w:r>
      <w:r w:rsidRPr="00C46D36">
        <w:rPr>
          <w:color w:val="auto"/>
          <w:sz w:val="20"/>
          <w:szCs w:val="20"/>
          <w:bdr w:val="none" w:sz="0" w:space="0" w:color="auto"/>
          <w:lang w:val="es-ES"/>
        </w:rPr>
        <w:t xml:space="preserve"> presunta</w:t>
      </w:r>
      <w:r w:rsidR="004452F3" w:rsidRPr="00C46D36">
        <w:rPr>
          <w:color w:val="auto"/>
          <w:sz w:val="20"/>
          <w:szCs w:val="20"/>
          <w:bdr w:val="none" w:sz="0" w:space="0" w:color="auto"/>
          <w:lang w:val="es-ES"/>
        </w:rPr>
        <w:t>s</w:t>
      </w:r>
      <w:r w:rsidRPr="00C46D36">
        <w:rPr>
          <w:color w:val="auto"/>
          <w:sz w:val="20"/>
          <w:szCs w:val="20"/>
          <w:bdr w:val="none" w:sz="0" w:space="0" w:color="auto"/>
          <w:lang w:val="es-ES"/>
        </w:rPr>
        <w:t xml:space="preserve"> víctima</w:t>
      </w:r>
      <w:r w:rsidR="004452F3" w:rsidRPr="00C46D36">
        <w:rPr>
          <w:color w:val="auto"/>
          <w:sz w:val="20"/>
          <w:szCs w:val="20"/>
          <w:bdr w:val="none" w:sz="0" w:space="0" w:color="auto"/>
          <w:lang w:val="es-ES"/>
        </w:rPr>
        <w:t>s</w:t>
      </w:r>
      <w:r w:rsidRPr="00C46D36">
        <w:rPr>
          <w:color w:val="auto"/>
          <w:sz w:val="20"/>
          <w:szCs w:val="20"/>
          <w:bdr w:val="none" w:sz="0" w:space="0" w:color="auto"/>
          <w:lang w:val="es-ES"/>
        </w:rPr>
        <w:t xml:space="preserve"> y la </w:t>
      </w:r>
      <w:r w:rsidR="009E7797" w:rsidRPr="00C46D36">
        <w:rPr>
          <w:color w:val="auto"/>
          <w:sz w:val="20"/>
          <w:szCs w:val="20"/>
          <w:bdr w:val="none" w:sz="0" w:space="0" w:color="auto"/>
          <w:lang w:val="es-ES"/>
        </w:rPr>
        <w:t>responsabilidad internacional del Estado.</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hAnsi="Cambria"/>
          <w:b/>
          <w:snapToGrid w:val="0"/>
          <w:sz w:val="20"/>
          <w:szCs w:val="20"/>
          <w:bdr w:val="none" w:sz="0" w:space="0" w:color="auto"/>
          <w:lang w:val="es-ES"/>
        </w:rPr>
      </w:pPr>
    </w:p>
    <w:p w:rsidR="00181829" w:rsidRPr="00C46D36"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b/>
          <w:snapToGrid w:val="0"/>
          <w:sz w:val="20"/>
          <w:szCs w:val="20"/>
          <w:bdr w:val="none" w:sz="0" w:space="0" w:color="auto"/>
          <w:lang w:val="es-ES"/>
        </w:rPr>
      </w:pPr>
      <w:r w:rsidRPr="00C46D36">
        <w:rPr>
          <w:rFonts w:ascii="Cambria" w:hAnsi="Cambria"/>
          <w:b/>
          <w:sz w:val="20"/>
          <w:szCs w:val="20"/>
          <w:bdr w:val="none" w:sz="0" w:space="0" w:color="auto"/>
          <w:lang w:val="es-ES"/>
        </w:rPr>
        <w:t xml:space="preserve">ANÁLISIS </w:t>
      </w:r>
      <w:r w:rsidR="00334713" w:rsidRPr="00C46D36">
        <w:rPr>
          <w:rFonts w:ascii="Cambria" w:hAnsi="Cambria"/>
          <w:b/>
          <w:sz w:val="20"/>
          <w:szCs w:val="20"/>
          <w:bdr w:val="none" w:sz="0" w:space="0" w:color="auto"/>
          <w:lang w:val="es-ES"/>
        </w:rPr>
        <w:t>LEGAL</w:t>
      </w:r>
      <w:r w:rsidRPr="00C46D36">
        <w:rPr>
          <w:rFonts w:ascii="Cambria" w:hAnsi="Cambria"/>
          <w:b/>
          <w:sz w:val="20"/>
          <w:szCs w:val="20"/>
          <w:bdr w:val="none" w:sz="0" w:space="0" w:color="auto"/>
          <w:lang w:val="es-ES"/>
        </w:rPr>
        <w:t xml:space="preserve">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b/>
          <w:snapToGrid w:val="0"/>
          <w:sz w:val="20"/>
          <w:szCs w:val="20"/>
          <w:bdr w:val="none" w:sz="0" w:space="0" w:color="auto"/>
          <w:lang w:val="es-ES"/>
        </w:rPr>
      </w:pPr>
    </w:p>
    <w:p w:rsidR="00181829" w:rsidRPr="00C46D36" w:rsidRDefault="00181829" w:rsidP="00543D2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b/>
          <w:snapToGrid w:val="0"/>
          <w:sz w:val="20"/>
          <w:szCs w:val="20"/>
          <w:bdr w:val="none" w:sz="0" w:space="0" w:color="auto"/>
          <w:lang w:val="es-ES"/>
        </w:rPr>
      </w:pPr>
      <w:r w:rsidRPr="00C46D36">
        <w:rPr>
          <w:rFonts w:ascii="Cambria" w:hAnsi="Cambria"/>
          <w:b/>
          <w:sz w:val="20"/>
          <w:szCs w:val="20"/>
          <w:bdr w:val="none" w:sz="0" w:space="0" w:color="auto"/>
          <w:lang w:val="es-ES"/>
        </w:rPr>
        <w:t xml:space="preserve">Competencia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 xml:space="preserve">Los peticionarios se encuentran facultados, en principio, por el artículo 44 de la Convención Americana para presentar peticiones ante la Comisión. Las presuntas víctimas son personas naturales respecto de quienes el Estado se comprometió a garantizar los derechos consagrados en la Convención Americana y la Convención Interamericana sobre Desaparición Forzada de Personas. En lo concerniente al Estado, la Comisión señala que Colombia es un Estado parte de la Convención Americana desde el 31 de julio de 1973 y de la Convención Interamericana sobre Desaparición Forzada de Personas desde el 4 de abril de 2005, fechas en que depositó sus instrumentos de ratificación, respectivamente. Por lo tanto, la Comisión tiene competencia </w:t>
      </w:r>
      <w:r w:rsidRPr="00C46D36">
        <w:rPr>
          <w:rFonts w:ascii="Cambria" w:hAnsi="Cambria" w:cs="Calibri"/>
          <w:i/>
          <w:sz w:val="20"/>
          <w:szCs w:val="20"/>
          <w:bdr w:val="none" w:sz="0" w:space="0" w:color="auto"/>
          <w:lang w:val="es-ES"/>
        </w:rPr>
        <w:t>ratione personae</w:t>
      </w:r>
      <w:r w:rsidR="003D5B51" w:rsidRPr="00C46D36">
        <w:rPr>
          <w:rFonts w:ascii="Cambria" w:hAnsi="Cambria" w:cs="Calibri"/>
          <w:sz w:val="20"/>
          <w:szCs w:val="20"/>
          <w:bdr w:val="none" w:sz="0" w:space="0" w:color="auto"/>
          <w:lang w:val="es-ES"/>
        </w:rPr>
        <w:t xml:space="preserve"> para examinar la petición.</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 xml:space="preserve">Asimismo, la Comisión tiene competencia </w:t>
      </w:r>
      <w:r w:rsidRPr="00C46D36">
        <w:rPr>
          <w:rFonts w:ascii="Cambria" w:hAnsi="Cambria" w:cs="Calibri"/>
          <w:i/>
          <w:sz w:val="20"/>
          <w:szCs w:val="20"/>
          <w:bdr w:val="none" w:sz="0" w:space="0" w:color="auto"/>
          <w:lang w:val="es-ES"/>
        </w:rPr>
        <w:t>ratione temporis</w:t>
      </w:r>
      <w:r w:rsidRPr="00C46D36">
        <w:rPr>
          <w:rFonts w:ascii="Cambria" w:hAnsi="Cambria" w:cs="Calibri"/>
          <w:sz w:val="20"/>
          <w:szCs w:val="20"/>
          <w:bdr w:val="none" w:sz="0" w:space="0" w:color="auto"/>
          <w:lang w:val="es-ES"/>
        </w:rPr>
        <w:t xml:space="preserve"> por cuanto la obligación de respetar y garantizar los derechos protegidos en la Convención Americana ya se encontraba en vigor para el Estado en la fecha en que habrían ocurrido los hechos alegados en la petición. La Comisión observa que la Convención sobre Desaparición Forzada entró en vigencia para Colombia el 4 de abril de 2005.  Por lo tanto, la CIDH tiene competencia </w:t>
      </w:r>
      <w:r w:rsidRPr="00C46D36">
        <w:rPr>
          <w:rFonts w:ascii="Cambria" w:hAnsi="Cambria" w:cs="Calibri"/>
          <w:i/>
          <w:sz w:val="20"/>
          <w:szCs w:val="20"/>
          <w:bdr w:val="none" w:sz="0" w:space="0" w:color="auto"/>
          <w:lang w:val="es-ES"/>
        </w:rPr>
        <w:t>ratione temporis</w:t>
      </w:r>
      <w:r w:rsidRPr="00C46D36">
        <w:rPr>
          <w:rFonts w:ascii="Cambria" w:hAnsi="Cambria" w:cs="Calibri"/>
          <w:sz w:val="20"/>
          <w:szCs w:val="20"/>
          <w:bdr w:val="none" w:sz="0" w:space="0" w:color="auto"/>
          <w:lang w:val="es-ES"/>
        </w:rPr>
        <w:t xml:space="preserve"> respecto de la</w:t>
      </w:r>
      <w:r w:rsidR="00055347" w:rsidRPr="00C46D36">
        <w:rPr>
          <w:rFonts w:ascii="Cambria" w:hAnsi="Cambria" w:cs="Calibri"/>
          <w:sz w:val="20"/>
          <w:szCs w:val="20"/>
          <w:bdr w:val="none" w:sz="0" w:space="0" w:color="auto"/>
          <w:lang w:val="es-ES"/>
        </w:rPr>
        <w:t>s</w:t>
      </w:r>
      <w:r w:rsidRPr="00C46D36">
        <w:rPr>
          <w:rFonts w:ascii="Cambria" w:hAnsi="Cambria" w:cs="Calibri"/>
          <w:sz w:val="20"/>
          <w:szCs w:val="20"/>
          <w:bdr w:val="none" w:sz="0" w:space="0" w:color="auto"/>
          <w:lang w:val="es-ES"/>
        </w:rPr>
        <w:t xml:space="preserve"> </w:t>
      </w:r>
      <w:r w:rsidR="00055347" w:rsidRPr="00C46D36">
        <w:rPr>
          <w:rFonts w:ascii="Cambria" w:hAnsi="Cambria" w:cs="Calibri"/>
          <w:sz w:val="20"/>
          <w:szCs w:val="20"/>
          <w:bdr w:val="none" w:sz="0" w:space="0" w:color="auto"/>
          <w:lang w:val="es-ES"/>
        </w:rPr>
        <w:t>obligaciones</w:t>
      </w:r>
      <w:r w:rsidRPr="00C46D36">
        <w:rPr>
          <w:rFonts w:ascii="Cambria" w:hAnsi="Cambria" w:cs="Calibri"/>
          <w:sz w:val="20"/>
          <w:szCs w:val="20"/>
          <w:bdr w:val="none" w:sz="0" w:space="0" w:color="auto"/>
          <w:lang w:val="es-ES"/>
        </w:rPr>
        <w:t xml:space="preserve"> contemplada</w:t>
      </w:r>
      <w:r w:rsidR="00055347" w:rsidRPr="00C46D36">
        <w:rPr>
          <w:rFonts w:ascii="Cambria" w:hAnsi="Cambria" w:cs="Calibri"/>
          <w:sz w:val="20"/>
          <w:szCs w:val="20"/>
          <w:bdr w:val="none" w:sz="0" w:space="0" w:color="auto"/>
          <w:lang w:val="es-ES"/>
        </w:rPr>
        <w:t>s</w:t>
      </w:r>
      <w:r w:rsidRPr="00C46D36">
        <w:rPr>
          <w:rFonts w:ascii="Cambria" w:hAnsi="Cambria" w:cs="Calibri"/>
          <w:sz w:val="20"/>
          <w:szCs w:val="20"/>
          <w:bdr w:val="none" w:sz="0" w:space="0" w:color="auto"/>
          <w:lang w:val="es-ES"/>
        </w:rPr>
        <w:t xml:space="preserve"> en </w:t>
      </w:r>
      <w:r w:rsidR="00055347" w:rsidRPr="00C46D36">
        <w:rPr>
          <w:rFonts w:ascii="Cambria" w:hAnsi="Cambria" w:cs="Calibri"/>
          <w:sz w:val="20"/>
          <w:szCs w:val="20"/>
          <w:bdr w:val="none" w:sz="0" w:space="0" w:color="auto"/>
          <w:lang w:val="es-ES"/>
        </w:rPr>
        <w:t>los</w:t>
      </w:r>
      <w:r w:rsidRPr="00C46D36">
        <w:rPr>
          <w:rFonts w:ascii="Cambria" w:hAnsi="Cambria" w:cs="Calibri"/>
          <w:sz w:val="20"/>
          <w:szCs w:val="20"/>
          <w:bdr w:val="none" w:sz="0" w:space="0" w:color="auto"/>
          <w:lang w:val="es-ES"/>
        </w:rPr>
        <w:t xml:space="preserve"> artículo</w:t>
      </w:r>
      <w:r w:rsidR="00055347" w:rsidRPr="00C46D36">
        <w:rPr>
          <w:rFonts w:ascii="Cambria" w:hAnsi="Cambria" w:cs="Calibri"/>
          <w:sz w:val="20"/>
          <w:szCs w:val="20"/>
          <w:bdr w:val="none" w:sz="0" w:space="0" w:color="auto"/>
          <w:lang w:val="es-ES"/>
        </w:rPr>
        <w:t>s</w:t>
      </w:r>
      <w:r w:rsidRPr="00C46D36">
        <w:rPr>
          <w:rFonts w:ascii="Cambria" w:hAnsi="Cambria" w:cs="Calibri"/>
          <w:sz w:val="20"/>
          <w:szCs w:val="20"/>
          <w:bdr w:val="none" w:sz="0" w:space="0" w:color="auto"/>
          <w:lang w:val="es-ES"/>
        </w:rPr>
        <w:t xml:space="preserve"> I</w:t>
      </w:r>
      <w:r w:rsidR="00A326D0" w:rsidRPr="00C46D36">
        <w:rPr>
          <w:rFonts w:ascii="Cambria" w:hAnsi="Cambria" w:cs="Calibri"/>
          <w:sz w:val="20"/>
          <w:szCs w:val="20"/>
          <w:bdr w:val="none" w:sz="0" w:space="0" w:color="auto"/>
          <w:lang w:val="es-ES"/>
        </w:rPr>
        <w:t xml:space="preserve"> y III</w:t>
      </w:r>
      <w:r w:rsidRPr="00C46D36">
        <w:rPr>
          <w:rFonts w:ascii="Cambria" w:hAnsi="Cambria" w:cs="Calibri"/>
          <w:sz w:val="20"/>
          <w:szCs w:val="20"/>
          <w:bdr w:val="none" w:sz="0" w:space="0" w:color="auto"/>
          <w:lang w:val="es-ES"/>
        </w:rPr>
        <w:t xml:space="preserve"> </w:t>
      </w:r>
      <w:r w:rsidRPr="00C46D36">
        <w:rPr>
          <w:rFonts w:ascii="Cambria" w:hAnsi="Cambria" w:cs="Calibri"/>
          <w:sz w:val="20"/>
          <w:szCs w:val="20"/>
          <w:bdr w:val="none" w:sz="0" w:space="0" w:color="auto"/>
          <w:lang w:val="es-ES"/>
        </w:rPr>
        <w:lastRenderedPageBreak/>
        <w:t>de dicha Convención respecto de los hechos posteriores a esta fecha en lo que se refiere a la presunta continuidad y falta de esclarecimiento del delito de desaparición forzada</w:t>
      </w:r>
      <w:r w:rsidRPr="00C46D36">
        <w:rPr>
          <w:rFonts w:ascii="Cambria" w:hAnsi="Cambria" w:cs="Calibri"/>
          <w:sz w:val="20"/>
          <w:szCs w:val="20"/>
          <w:bdr w:val="none" w:sz="0" w:space="0" w:color="auto"/>
          <w:vertAlign w:val="superscript"/>
          <w:lang w:val="es-ES"/>
        </w:rPr>
        <w:footnoteReference w:id="10"/>
      </w:r>
      <w:r w:rsidRPr="00C46D36">
        <w:rPr>
          <w:rFonts w:ascii="Cambria" w:hAnsi="Cambria" w:cs="Calibri"/>
          <w:sz w:val="20"/>
          <w:szCs w:val="20"/>
          <w:bdr w:val="none" w:sz="0" w:space="0" w:color="auto"/>
          <w:lang w:val="es-ES"/>
        </w:rPr>
        <w:t>.</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 xml:space="preserve">La Comisión tiene competencia </w:t>
      </w:r>
      <w:r w:rsidRPr="00C46D36">
        <w:rPr>
          <w:rFonts w:ascii="Cambria" w:hAnsi="Cambria" w:cs="Calibri"/>
          <w:i/>
          <w:sz w:val="20"/>
          <w:szCs w:val="20"/>
          <w:bdr w:val="none" w:sz="0" w:space="0" w:color="auto"/>
          <w:lang w:val="es-ES"/>
        </w:rPr>
        <w:t>ratione loci</w:t>
      </w:r>
      <w:r w:rsidRPr="00C46D36">
        <w:rPr>
          <w:rFonts w:ascii="Cambria" w:hAnsi="Cambria" w:cs="Calibri"/>
          <w:sz w:val="20"/>
          <w:szCs w:val="20"/>
          <w:bdr w:val="none" w:sz="0" w:space="0" w:color="auto"/>
          <w:lang w:val="es-ES"/>
        </w:rPr>
        <w:t xml:space="preserve"> para conocer la petición por cuanto en ella se alegan violaciones de derechos protegidos en la Convención Americana que habrían tenido lugar dentro del territorio de Colombia, Estado Parte en dicho tratado. Finalmente, la Comisión tiene competencia </w:t>
      </w:r>
      <w:r w:rsidRPr="00C46D36">
        <w:rPr>
          <w:rFonts w:ascii="Cambria" w:hAnsi="Cambria" w:cs="Calibri"/>
          <w:i/>
          <w:sz w:val="20"/>
          <w:szCs w:val="20"/>
          <w:bdr w:val="none" w:sz="0" w:space="0" w:color="auto"/>
          <w:lang w:val="es-ES"/>
        </w:rPr>
        <w:t>ratione materiae</w:t>
      </w:r>
      <w:r w:rsidRPr="00C46D36">
        <w:rPr>
          <w:rFonts w:ascii="Cambria" w:hAnsi="Cambria" w:cs="Calibri"/>
          <w:sz w:val="20"/>
          <w:szCs w:val="20"/>
          <w:bdr w:val="none" w:sz="0" w:space="0" w:color="auto"/>
          <w:lang w:val="es-ES"/>
        </w:rPr>
        <w:t xml:space="preserve">, porque en la petición se denuncian posibles violaciones a derechos humanos protegidos por la Convención Americana y las disposiciones aplicables de la Convención Interamericana sobre Desaparición Forzada de Personas.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napToGrid w:val="0"/>
          <w:sz w:val="20"/>
          <w:szCs w:val="20"/>
          <w:bdr w:val="none" w:sz="0" w:space="0" w:color="auto"/>
          <w:lang w:val="es-ES"/>
        </w:rPr>
      </w:pPr>
    </w:p>
    <w:p w:rsidR="00181829" w:rsidRPr="00C46D36" w:rsidRDefault="00181829" w:rsidP="00543D2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 xml:space="preserve">Requisitos de Admisibilidad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napToGrid w:val="0"/>
          <w:sz w:val="20"/>
          <w:szCs w:val="20"/>
          <w:bdr w:val="none" w:sz="0" w:space="0" w:color="auto"/>
          <w:lang w:val="es-ES"/>
        </w:rPr>
      </w:pPr>
    </w:p>
    <w:p w:rsidR="00181829" w:rsidRPr="00C46D36"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Agotamiento de los recursos internos</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bdr w:val="none" w:sz="0" w:space="0" w:color="auto"/>
          <w:lang w:val="es-ES"/>
        </w:rPr>
      </w:pPr>
      <w:r w:rsidRPr="00C46D36">
        <w:rPr>
          <w:rFonts w:ascii="Cambria" w:hAnsi="Cambria" w:cs="Calibri"/>
          <w:sz w:val="20"/>
          <w:szCs w:val="20"/>
          <w:bdr w:val="none" w:sz="0" w:space="0" w:color="auto"/>
          <w:lang w:val="es-ES"/>
        </w:rPr>
        <w:t>El artículo 46.1 a) de la Convención Americana dispone que, para que sea admisible una denuncia presentada ante la Comisión, es necesario que se hayan interpuesto y agotado los recursos internos conforme a los principios del derecho internacional generalmente reconocidos.  Por su parte, el artículo 46.2 de la Convención especifica que este requisito no se aplica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o c) haya retardo injustificado en la decisión sobre los mencionados recursos.</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El Estado alega que no se satisface el requisito del previo agotamiento de los recursos de la jurisdicción interna, dado que existe</w:t>
      </w:r>
      <w:r w:rsidR="005948BB" w:rsidRPr="00C46D36">
        <w:rPr>
          <w:rFonts w:ascii="Cambria" w:hAnsi="Cambria" w:cs="Calibri"/>
          <w:sz w:val="20"/>
          <w:szCs w:val="20"/>
          <w:bdr w:val="none" w:sz="0" w:space="0" w:color="auto"/>
          <w:lang w:val="es-ES"/>
        </w:rPr>
        <w:t xml:space="preserve"> un</w:t>
      </w:r>
      <w:r w:rsidRPr="00C46D36">
        <w:rPr>
          <w:rFonts w:ascii="Cambria" w:hAnsi="Cambria" w:cs="Calibri"/>
          <w:sz w:val="20"/>
          <w:szCs w:val="20"/>
          <w:bdr w:val="none" w:sz="0" w:space="0" w:color="auto"/>
          <w:lang w:val="es-ES"/>
        </w:rPr>
        <w:t xml:space="preserve"> proceso pendiente en el fuero penal ordinario</w:t>
      </w:r>
      <w:r w:rsidR="003A5FE7" w:rsidRPr="00C46D36">
        <w:rPr>
          <w:rFonts w:ascii="Cambria" w:hAnsi="Cambria" w:cs="Calibri"/>
          <w:sz w:val="20"/>
          <w:szCs w:val="20"/>
          <w:bdr w:val="none" w:sz="0" w:space="0" w:color="auto"/>
          <w:lang w:val="es-ES"/>
        </w:rPr>
        <w:t>, y que los familiares de la víctima deben intentar un recurso de reparación directa ante la jurisdicción contencioso administrativa</w:t>
      </w:r>
      <w:r w:rsidRPr="00C46D36">
        <w:rPr>
          <w:rFonts w:ascii="Cambria" w:hAnsi="Cambria" w:cs="Calibri"/>
          <w:sz w:val="20"/>
          <w:szCs w:val="20"/>
          <w:bdr w:val="none" w:sz="0" w:space="0" w:color="auto"/>
          <w:lang w:val="es-ES"/>
        </w:rPr>
        <w:t xml:space="preserve">; </w:t>
      </w:r>
      <w:r w:rsidR="003A5FE7" w:rsidRPr="00C46D36">
        <w:rPr>
          <w:rFonts w:ascii="Cambria" w:hAnsi="Cambria" w:cs="Calibri"/>
          <w:sz w:val="20"/>
          <w:szCs w:val="20"/>
          <w:bdr w:val="none" w:sz="0" w:space="0" w:color="auto"/>
          <w:lang w:val="es-ES"/>
        </w:rPr>
        <w:t>agrega</w:t>
      </w:r>
      <w:r w:rsidRPr="00C46D36">
        <w:rPr>
          <w:rFonts w:ascii="Cambria" w:hAnsi="Cambria" w:cs="Calibri"/>
          <w:sz w:val="20"/>
          <w:szCs w:val="20"/>
          <w:bdr w:val="none" w:sz="0" w:space="0" w:color="auto"/>
          <w:lang w:val="es-ES"/>
        </w:rPr>
        <w:t xml:space="preserve"> que, por la complejidad del asunto y la actuación desplegada por las autoridades internas, no resultarían aplicables las excepciones contenidas en el </w:t>
      </w:r>
      <w:r w:rsidR="003A5FE7" w:rsidRPr="00C46D36">
        <w:rPr>
          <w:rFonts w:ascii="Cambria" w:hAnsi="Cambria" w:cs="Calibri"/>
          <w:sz w:val="20"/>
          <w:szCs w:val="20"/>
          <w:bdr w:val="none" w:sz="0" w:space="0" w:color="auto"/>
          <w:lang w:val="es-ES"/>
        </w:rPr>
        <w:t>artículo 46.2 de la Convención.</w:t>
      </w:r>
      <w:r w:rsidRPr="00C46D36">
        <w:rPr>
          <w:rFonts w:ascii="Cambria" w:hAnsi="Cambria" w:cs="Calibri"/>
          <w:sz w:val="20"/>
          <w:szCs w:val="20"/>
          <w:bdr w:val="none" w:sz="0" w:space="0" w:color="auto"/>
          <w:lang w:val="es-ES"/>
        </w:rPr>
        <w:t xml:space="preserve"> Por su parte, los peticionarios alegan que resulta aplicable la excepción prevista en el artículo 46.2 c) de la Convención en vista de que han transcurrido más de veint</w:t>
      </w:r>
      <w:r w:rsidR="005948BB" w:rsidRPr="00C46D36">
        <w:rPr>
          <w:rFonts w:ascii="Cambria" w:hAnsi="Cambria" w:cs="Calibri"/>
          <w:sz w:val="20"/>
          <w:szCs w:val="20"/>
          <w:bdr w:val="none" w:sz="0" w:space="0" w:color="auto"/>
          <w:lang w:val="es-ES"/>
        </w:rPr>
        <w:t>icinco</w:t>
      </w:r>
      <w:r w:rsidRPr="00C46D36">
        <w:rPr>
          <w:rFonts w:ascii="Cambria" w:hAnsi="Cambria" w:cs="Calibri"/>
          <w:sz w:val="20"/>
          <w:szCs w:val="20"/>
          <w:bdr w:val="none" w:sz="0" w:space="0" w:color="auto"/>
          <w:lang w:val="es-ES"/>
        </w:rPr>
        <w:t xml:space="preserve"> años desde que ocurrieron los hechos y del inicio de la investigación penal sin que se haya</w:t>
      </w:r>
      <w:r w:rsidR="00A326D0" w:rsidRPr="00C46D36">
        <w:rPr>
          <w:rFonts w:ascii="Cambria" w:hAnsi="Cambria" w:cs="Calibri"/>
          <w:sz w:val="20"/>
          <w:szCs w:val="20"/>
          <w:bdr w:val="none" w:sz="0" w:space="0" w:color="auto"/>
          <w:lang w:val="es-ES"/>
        </w:rPr>
        <w:t>n</w:t>
      </w:r>
      <w:r w:rsidRPr="00C46D36">
        <w:rPr>
          <w:rFonts w:ascii="Cambria" w:hAnsi="Cambria" w:cs="Calibri"/>
          <w:sz w:val="20"/>
          <w:szCs w:val="20"/>
          <w:bdr w:val="none" w:sz="0" w:space="0" w:color="auto"/>
          <w:lang w:val="es-ES"/>
        </w:rPr>
        <w:t xml:space="preserve"> establecido las responsabilidades penales correspondientes.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En vista de los alegatos de las partes</w:t>
      </w:r>
      <w:r w:rsidR="00A326D0" w:rsidRPr="00C46D36">
        <w:rPr>
          <w:rFonts w:ascii="Cambria" w:hAnsi="Cambria" w:cs="Calibri"/>
          <w:sz w:val="20"/>
          <w:szCs w:val="20"/>
          <w:bdr w:val="none" w:sz="0" w:space="0" w:color="auto"/>
          <w:lang w:val="es-ES"/>
        </w:rPr>
        <w:t>, corresponde en primer término</w:t>
      </w:r>
      <w:r w:rsidRPr="00C46D36">
        <w:rPr>
          <w:rFonts w:ascii="Cambria" w:hAnsi="Cambria" w:cs="Calibri"/>
          <w:sz w:val="20"/>
          <w:szCs w:val="20"/>
          <w:bdr w:val="none" w:sz="0" w:space="0" w:color="auto"/>
          <w:lang w:val="es-ES"/>
        </w:rPr>
        <w:t xml:space="preserve"> aclarar cuáles son los recursos internos que deben ser agotados, a la luz de la jurispruden</w:t>
      </w:r>
      <w:r w:rsidR="003A5FE7" w:rsidRPr="00C46D36">
        <w:rPr>
          <w:rFonts w:ascii="Cambria" w:hAnsi="Cambria" w:cs="Calibri"/>
          <w:sz w:val="20"/>
          <w:szCs w:val="20"/>
          <w:bdr w:val="none" w:sz="0" w:space="0" w:color="auto"/>
          <w:lang w:val="es-ES"/>
        </w:rPr>
        <w:t>cia del sistema interamericano.</w:t>
      </w:r>
      <w:r w:rsidRPr="00C46D36">
        <w:rPr>
          <w:rFonts w:ascii="Cambria" w:hAnsi="Cambria" w:cs="Calibri"/>
          <w:sz w:val="20"/>
          <w:szCs w:val="20"/>
          <w:bdr w:val="none" w:sz="0" w:space="0" w:color="auto"/>
          <w:lang w:val="es-ES"/>
        </w:rPr>
        <w:t xml:space="preserve"> La Comisión observa que el objeto de la presente petición se refiere a los hechos relacionados con la presunta desaparición forzada de </w:t>
      </w:r>
      <w:r w:rsidR="009E7797" w:rsidRPr="00C46D36">
        <w:rPr>
          <w:rFonts w:ascii="Cambria" w:hAnsi="Cambria" w:cs="Calibri"/>
          <w:sz w:val="20"/>
          <w:szCs w:val="20"/>
          <w:bdr w:val="none" w:sz="0" w:space="0" w:color="auto"/>
          <w:lang w:val="es-ES"/>
        </w:rPr>
        <w:t>Olga Luz Echavarría y Eliécer Pérez Morales</w:t>
      </w:r>
      <w:r w:rsidRPr="00C46D36">
        <w:rPr>
          <w:rFonts w:ascii="Cambria" w:hAnsi="Cambria" w:cs="Calibri"/>
          <w:sz w:val="20"/>
          <w:szCs w:val="20"/>
          <w:bdr w:val="none" w:sz="0" w:space="0" w:color="auto"/>
          <w:lang w:val="es-ES"/>
        </w:rPr>
        <w:t xml:space="preserve"> y</w:t>
      </w:r>
      <w:r w:rsidR="00A44144" w:rsidRPr="00C46D36">
        <w:rPr>
          <w:rFonts w:ascii="Cambria" w:hAnsi="Cambria" w:cs="Calibri"/>
          <w:sz w:val="20"/>
          <w:szCs w:val="20"/>
          <w:bdr w:val="none" w:sz="0" w:space="0" w:color="auto"/>
          <w:lang w:val="es-ES"/>
        </w:rPr>
        <w:t xml:space="preserve"> la investigación</w:t>
      </w:r>
      <w:r w:rsidRPr="00C46D36">
        <w:rPr>
          <w:rFonts w:ascii="Cambria" w:hAnsi="Cambria" w:cs="Calibri"/>
          <w:sz w:val="20"/>
          <w:szCs w:val="20"/>
          <w:bdr w:val="none" w:sz="0" w:space="0" w:color="auto"/>
          <w:lang w:val="es-ES"/>
        </w:rPr>
        <w:t xml:space="preserve"> de las circunstancias en que</w:t>
      </w:r>
      <w:r w:rsidR="009E7797" w:rsidRPr="00C46D36">
        <w:rPr>
          <w:rFonts w:ascii="Cambria" w:hAnsi="Cambria" w:cs="Calibri"/>
          <w:sz w:val="20"/>
          <w:szCs w:val="20"/>
          <w:bdr w:val="none" w:sz="0" w:space="0" w:color="auto"/>
          <w:lang w:val="es-ES"/>
        </w:rPr>
        <w:t xml:space="preserve"> tuvieron lugar dichos hechos. </w:t>
      </w:r>
      <w:r w:rsidRPr="00C46D36">
        <w:rPr>
          <w:rFonts w:ascii="Cambria" w:hAnsi="Cambria" w:cs="Calibri"/>
          <w:sz w:val="20"/>
          <w:szCs w:val="20"/>
          <w:bdr w:val="none" w:sz="0" w:space="0" w:color="auto"/>
          <w:lang w:val="es-ES"/>
        </w:rPr>
        <w:t>Los precedentes establecidos por la Comisión señalan que toda vez que se cometa un presunto delito perseguible de oficio, el Estado tiene la obligación de promover e impulsar el proceso penal</w:t>
      </w:r>
      <w:r w:rsidRPr="00C46D36">
        <w:rPr>
          <w:rFonts w:ascii="Cambria" w:hAnsi="Cambria" w:cs="Calibri"/>
          <w:sz w:val="20"/>
          <w:szCs w:val="20"/>
          <w:bdr w:val="none" w:sz="0" w:space="0" w:color="auto"/>
          <w:vertAlign w:val="superscript"/>
          <w:lang w:val="es-ES"/>
        </w:rPr>
        <w:footnoteReference w:id="11"/>
      </w:r>
      <w:r w:rsidRPr="00C46D36">
        <w:rPr>
          <w:rFonts w:ascii="Cambria" w:hAnsi="Cambria" w:cs="Calibri"/>
          <w:sz w:val="20"/>
          <w:szCs w:val="20"/>
          <w:bdr w:val="none" w:sz="0" w:space="0" w:color="auto"/>
          <w:lang w:val="es-ES"/>
        </w:rPr>
        <w:t xml:space="preserve"> y que, en esos casos, éste constituye la vía idónea para esclarecer los hechos, juzgar a los responsables y establecer las sanciones penales correspondientes, además de posibilitar otros modos de</w:t>
      </w:r>
      <w:r w:rsidR="00A44144" w:rsidRPr="00C46D36">
        <w:rPr>
          <w:rFonts w:ascii="Cambria" w:hAnsi="Cambria" w:cs="Calibri"/>
          <w:sz w:val="20"/>
          <w:szCs w:val="20"/>
          <w:bdr w:val="none" w:sz="0" w:space="0" w:color="auto"/>
          <w:lang w:val="es-ES"/>
        </w:rPr>
        <w:t xml:space="preserve"> reparación de tipo pecuniario.</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La Comisión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C46D36">
        <w:rPr>
          <w:rFonts w:ascii="Cambria" w:hAnsi="Cambria" w:cs="Calibri"/>
          <w:sz w:val="20"/>
          <w:szCs w:val="20"/>
          <w:bdr w:val="none" w:sz="0" w:space="0" w:color="auto"/>
          <w:vertAlign w:val="superscript"/>
          <w:lang w:val="es-ES"/>
        </w:rPr>
        <w:footnoteReference w:id="12"/>
      </w:r>
      <w:r w:rsidRPr="00C46D36">
        <w:rPr>
          <w:rFonts w:ascii="Cambria" w:hAnsi="Cambria" w:cs="Calibri"/>
          <w:sz w:val="20"/>
          <w:szCs w:val="20"/>
          <w:bdr w:val="none" w:sz="0" w:space="0" w:color="auto"/>
          <w:lang w:val="es-ES"/>
        </w:rPr>
        <w:t xml:space="preserve">. La Comisión observa que la información aportada por ambas partes indica que la investigación destinada al esclarecimiento de los hechos continúa abierta, sin que se haya establecido la responsabilidad en la autoría </w:t>
      </w:r>
      <w:r w:rsidRPr="00C46D36">
        <w:rPr>
          <w:rFonts w:ascii="Cambria" w:hAnsi="Cambria" w:cs="Calibri"/>
          <w:sz w:val="20"/>
          <w:szCs w:val="20"/>
          <w:bdr w:val="none" w:sz="0" w:space="0" w:color="auto"/>
          <w:lang w:val="es-ES"/>
        </w:rPr>
        <w:lastRenderedPageBreak/>
        <w:t xml:space="preserve">material e intelectual por los </w:t>
      </w:r>
      <w:r w:rsidR="000D0204" w:rsidRPr="00C46D36">
        <w:rPr>
          <w:rFonts w:ascii="Cambria" w:hAnsi="Cambria" w:cs="Calibri"/>
          <w:sz w:val="20"/>
          <w:szCs w:val="20"/>
          <w:bdr w:val="none" w:sz="0" w:space="0" w:color="auto"/>
          <w:lang w:val="es-ES"/>
        </w:rPr>
        <w:t>hechos de la presente petición.</w:t>
      </w:r>
      <w:r w:rsidRPr="00C46D36">
        <w:rPr>
          <w:rFonts w:ascii="Cambria" w:hAnsi="Cambria" w:cs="Calibri"/>
          <w:sz w:val="20"/>
          <w:szCs w:val="20"/>
          <w:bdr w:val="none" w:sz="0" w:space="0" w:color="auto"/>
          <w:lang w:val="es-ES"/>
        </w:rPr>
        <w:t xml:space="preserve"> Por lo tanto, dadas las características de la petición y el lapso transcurrido desde los hechos materia del reclamo, la Comisión considera que resulta aplicable la excepción prevista en el artículo 46.2 c) de la Convención respecto del retardo injustificado en el desarrollo de los procesos judiciales internos, por lo que el requisito previsto en materia de agotamiento de recursos internos no resulta exigible. </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sz w:val="20"/>
          <w:szCs w:val="20"/>
          <w:bdr w:val="none" w:sz="0" w:space="0" w:color="auto"/>
          <w:lang w:val="es-ES"/>
        </w:rPr>
        <w:t xml:space="preserve">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w:t>
      </w:r>
      <w:r w:rsidRPr="00C46D36">
        <w:rPr>
          <w:rFonts w:ascii="Cambria" w:hAnsi="Cambria"/>
          <w:i/>
          <w:iCs/>
          <w:sz w:val="20"/>
          <w:szCs w:val="20"/>
          <w:bdr w:val="none" w:sz="0" w:space="0" w:color="auto"/>
          <w:lang w:val="es-ES"/>
        </w:rPr>
        <w:t>vis á vis</w:t>
      </w:r>
      <w:r w:rsidRPr="00C46D36">
        <w:rPr>
          <w:rFonts w:ascii="Cambria" w:hAnsi="Cambria"/>
          <w:sz w:val="20"/>
          <w:szCs w:val="20"/>
          <w:bdr w:val="none" w:sz="0" w:space="0" w:color="auto"/>
          <w:lang w:val="es-ES"/>
        </w:rPr>
        <w:t xml:space="preserve"> las norma</w:t>
      </w:r>
      <w:r w:rsidR="00A81547" w:rsidRPr="00C46D36">
        <w:rPr>
          <w:rFonts w:ascii="Cambria" w:hAnsi="Cambria"/>
          <w:sz w:val="20"/>
          <w:szCs w:val="20"/>
          <w:bdr w:val="none" w:sz="0" w:space="0" w:color="auto"/>
          <w:lang w:val="es-ES"/>
        </w:rPr>
        <w:t>s sustantivas de la Convención.</w:t>
      </w:r>
      <w:r w:rsidRPr="00C46D36">
        <w:rPr>
          <w:rFonts w:ascii="Cambria" w:hAnsi="Cambria"/>
          <w:sz w:val="20"/>
          <w:szCs w:val="20"/>
          <w:bdr w:val="none" w:sz="0" w:space="0" w:color="auto"/>
          <w:lang w:val="es-ES"/>
        </w:rPr>
        <w:t xml:space="preserve">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napToGrid w:val="0"/>
          <w:sz w:val="20"/>
          <w:szCs w:val="20"/>
          <w:bdr w:val="none" w:sz="0" w:space="0" w:color="auto"/>
          <w:lang w:val="es-ES"/>
        </w:rPr>
      </w:pPr>
    </w:p>
    <w:p w:rsidR="00181829" w:rsidRPr="00C46D36"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Plazo de presentación de la petición</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sz w:val="20"/>
          <w:szCs w:val="20"/>
          <w:bdr w:val="none" w:sz="0" w:space="0" w:color="auto"/>
          <w:lang w:val="es-ES"/>
        </w:rPr>
        <w:t>Conforme a lo establecido en el artículo 46.1 b) de la Convención Americana para que una petición sea admitida por la Comisión se requiere que sea presentada dentro del plazo de seis meses a partir de la fecha en que el presunto lesionado en sus derechos haya sido notificado de la decisión definitiva.  El 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sz w:val="20"/>
          <w:szCs w:val="20"/>
          <w:bdr w:val="none" w:sz="0" w:space="0" w:color="auto"/>
          <w:lang w:val="es-ES"/>
        </w:rPr>
        <w:t xml:space="preserve">En el reclamo bajo estudio, la Comisión ha concluido que resulta procedente la aplicación de la excepción del requisito de agotamiento de los recursos internos, por lo que corresponde a la CIDH analizar si la petición fue presentada en un plazo razonable de acuerdo con las circunstancias específicas. </w:t>
      </w:r>
      <w:r w:rsidRPr="00C46D36">
        <w:rPr>
          <w:rFonts w:ascii="Cambria" w:hAnsi="Cambria" w:cs="Calibri"/>
          <w:sz w:val="20"/>
          <w:szCs w:val="20"/>
          <w:bdr w:val="none" w:sz="0" w:space="0" w:color="auto"/>
          <w:lang w:val="es-ES"/>
        </w:rPr>
        <w:t xml:space="preserve">En el presente asunto, la petición fue recibida el </w:t>
      </w:r>
      <w:r w:rsidR="000D0204" w:rsidRPr="00C46D36">
        <w:rPr>
          <w:rFonts w:ascii="Cambria" w:hAnsi="Cambria" w:cs="Calibri"/>
          <w:sz w:val="20"/>
          <w:szCs w:val="20"/>
          <w:bdr w:val="none" w:sz="0" w:space="0" w:color="auto"/>
          <w:lang w:val="es-ES"/>
        </w:rPr>
        <w:t>8 de agosto de 1997</w:t>
      </w:r>
      <w:r w:rsidRPr="00C46D36">
        <w:rPr>
          <w:rFonts w:ascii="Cambria" w:hAnsi="Cambria" w:cs="Calibri"/>
          <w:sz w:val="20"/>
          <w:szCs w:val="20"/>
          <w:bdr w:val="none" w:sz="0" w:space="0" w:color="auto"/>
          <w:lang w:val="es-ES"/>
        </w:rPr>
        <w:t xml:space="preserve"> y los hechos materia del reclamo iniciaron el </w:t>
      </w:r>
      <w:r w:rsidR="000D0204" w:rsidRPr="00C46D36">
        <w:rPr>
          <w:rFonts w:ascii="Cambria" w:hAnsi="Cambria" w:cs="Calibri"/>
          <w:sz w:val="20"/>
          <w:szCs w:val="20"/>
          <w:bdr w:val="none" w:sz="0" w:space="0" w:color="auto"/>
          <w:lang w:val="es-ES"/>
        </w:rPr>
        <w:t xml:space="preserve">28 de marzo de 1990 y </w:t>
      </w:r>
      <w:r w:rsidRPr="00C46D36">
        <w:rPr>
          <w:rFonts w:ascii="Cambria" w:hAnsi="Cambria" w:cs="Calibri"/>
          <w:sz w:val="20"/>
          <w:szCs w:val="20"/>
          <w:bdr w:val="none" w:sz="0" w:space="0" w:color="auto"/>
          <w:lang w:val="es-ES"/>
        </w:rPr>
        <w:t>sus efectos en términos de la alegada falta de resultados de la administración de justicia se</w:t>
      </w:r>
      <w:r w:rsidR="000D0204" w:rsidRPr="00C46D36">
        <w:rPr>
          <w:rFonts w:ascii="Cambria" w:hAnsi="Cambria" w:cs="Calibri"/>
          <w:sz w:val="20"/>
          <w:szCs w:val="20"/>
          <w:bdr w:val="none" w:sz="0" w:space="0" w:color="auto"/>
          <w:lang w:val="es-ES"/>
        </w:rPr>
        <w:t xml:space="preserve"> extenderían hasta el presente.</w:t>
      </w:r>
      <w:r w:rsidRPr="00C46D36">
        <w:rPr>
          <w:rFonts w:ascii="Cambria" w:hAnsi="Cambria" w:cs="Calibri"/>
          <w:sz w:val="20"/>
          <w:szCs w:val="20"/>
          <w:bdr w:val="none" w:sz="0" w:space="0" w:color="auto"/>
          <w:lang w:val="es-ES"/>
        </w:rPr>
        <w:t xml:space="preserve"> Por lo tanto, en vista del contexto y las características de la presente petición, así como el hecho de que </w:t>
      </w:r>
      <w:r w:rsidR="000D0204" w:rsidRPr="00C46D36">
        <w:rPr>
          <w:rFonts w:ascii="Cambria" w:hAnsi="Cambria" w:cs="Calibri"/>
          <w:sz w:val="20"/>
          <w:szCs w:val="20"/>
          <w:bdr w:val="none" w:sz="0" w:space="0" w:color="auto"/>
          <w:lang w:val="es-ES"/>
        </w:rPr>
        <w:t>el proceso penal se encuentran pendiente</w:t>
      </w:r>
      <w:r w:rsidRPr="00C46D36">
        <w:rPr>
          <w:rFonts w:ascii="Cambria" w:hAnsi="Cambria" w:cs="Calibri"/>
          <w:sz w:val="20"/>
          <w:szCs w:val="20"/>
          <w:bdr w:val="none" w:sz="0" w:space="0" w:color="auto"/>
          <w:lang w:val="es-ES"/>
        </w:rPr>
        <w:t>, la Comisión considera que la petición fue presentada dentro de un plazo razonable y que debe darse por satisfecho el requisito de admisibilidad referente al plazo de presentación</w:t>
      </w:r>
      <w:r w:rsidRPr="00C46D36">
        <w:rPr>
          <w:rFonts w:ascii="Cambria" w:hAnsi="Cambria"/>
          <w:sz w:val="20"/>
          <w:szCs w:val="20"/>
          <w:bdr w:val="none" w:sz="0" w:space="0" w:color="auto"/>
          <w:lang w:val="es-ES"/>
        </w:rPr>
        <w:t>.</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hAnsi="Cambria" w:cs="Calibri"/>
          <w:b/>
          <w:snapToGrid w:val="0"/>
          <w:sz w:val="20"/>
          <w:szCs w:val="20"/>
          <w:bdr w:val="none" w:sz="0" w:space="0" w:color="auto"/>
          <w:lang w:val="es-ES"/>
        </w:rPr>
      </w:pPr>
    </w:p>
    <w:p w:rsidR="00181829" w:rsidRPr="00C46D36"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Duplicación de procedimientos y cosa juzgada internacional</w:t>
      </w:r>
    </w:p>
    <w:p w:rsidR="00181829" w:rsidRPr="00C46D36" w:rsidRDefault="00181829" w:rsidP="0079473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Calibri"/>
          <w:snapToGrid w:val="0"/>
          <w:sz w:val="20"/>
          <w:szCs w:val="20"/>
          <w:bdr w:val="none" w:sz="0" w:space="0" w:color="auto"/>
          <w:lang w:val="es-ES"/>
        </w:rPr>
      </w:pPr>
    </w:p>
    <w:p w:rsidR="00181829" w:rsidRPr="00C46D36" w:rsidRDefault="00181829" w:rsidP="00543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 c) y 47 d) de la Convención.</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hAnsi="Cambria" w:cs="Calibri"/>
          <w:b/>
          <w:snapToGrid w:val="0"/>
          <w:sz w:val="20"/>
          <w:szCs w:val="20"/>
          <w:bdr w:val="none" w:sz="0" w:space="0" w:color="auto"/>
          <w:lang w:val="es-ES"/>
        </w:rPr>
      </w:pPr>
    </w:p>
    <w:p w:rsidR="00181829" w:rsidRPr="00C46D36" w:rsidRDefault="00181829" w:rsidP="00543D2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Cambria" w:hAnsi="Cambria" w:cs="Calibri"/>
          <w:b/>
          <w:snapToGrid w:val="0"/>
          <w:sz w:val="20"/>
          <w:szCs w:val="20"/>
          <w:bdr w:val="none" w:sz="0" w:space="0" w:color="auto"/>
          <w:lang w:val="es-ES"/>
        </w:rPr>
      </w:pPr>
      <w:r w:rsidRPr="00C46D36">
        <w:rPr>
          <w:rFonts w:ascii="Cambria" w:hAnsi="Cambria"/>
          <w:b/>
          <w:sz w:val="20"/>
          <w:szCs w:val="20"/>
          <w:bdr w:val="none" w:sz="0" w:space="0" w:color="auto"/>
          <w:lang w:val="es-ES"/>
        </w:rPr>
        <w:t xml:space="preserve">Caracterización de los hechos alegados </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napToGrid w:val="0"/>
          <w:sz w:val="20"/>
          <w:szCs w:val="20"/>
          <w:bdr w:val="none" w:sz="0" w:space="0" w:color="auto"/>
          <w:lang w:val="es-ES"/>
        </w:rPr>
      </w:pPr>
    </w:p>
    <w:p w:rsidR="001970E2" w:rsidRPr="00C46D36" w:rsidRDefault="0069153F" w:rsidP="001970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color w:val="auto"/>
          <w:sz w:val="20"/>
          <w:szCs w:val="20"/>
          <w:bdr w:val="none" w:sz="0" w:space="0" w:color="auto"/>
          <w:lang w:val="es-ES"/>
        </w:rPr>
      </w:pPr>
      <w:r w:rsidRPr="00C46D36">
        <w:rPr>
          <w:rFonts w:cs="Calibri"/>
          <w:color w:val="auto"/>
          <w:sz w:val="20"/>
          <w:szCs w:val="20"/>
          <w:bdr w:val="none" w:sz="0" w:space="0" w:color="auto"/>
          <w:lang w:val="es-ES"/>
        </w:rPr>
        <w:t>En vista de los elementos de hecho y de derecho presentados por las partes y la naturaleza del asunto puesto bajo su conocimiento, la CIDH considera que los alegatos de los peticionarios sobre el alcance de la presunta responsabilidad estatal respecto al retraso injustificado en la investigación penal, la falta de determinación d</w:t>
      </w:r>
      <w:r w:rsidR="00785F8F" w:rsidRPr="00C46D36">
        <w:rPr>
          <w:rFonts w:cs="Calibri"/>
          <w:color w:val="auto"/>
          <w:sz w:val="20"/>
          <w:szCs w:val="20"/>
          <w:bdr w:val="none" w:sz="0" w:space="0" w:color="auto"/>
          <w:lang w:val="es-ES"/>
        </w:rPr>
        <w:t>e</w:t>
      </w:r>
      <w:r w:rsidR="009A3C7B" w:rsidRPr="00C46D36">
        <w:rPr>
          <w:rFonts w:cs="Calibri"/>
          <w:color w:val="auto"/>
          <w:sz w:val="20"/>
          <w:szCs w:val="20"/>
          <w:bdr w:val="none" w:sz="0" w:space="0" w:color="auto"/>
          <w:lang w:val="es-ES"/>
        </w:rPr>
        <w:t xml:space="preserve"> responsabilidades y sanciones y</w:t>
      </w:r>
      <w:r w:rsidRPr="00C46D36">
        <w:rPr>
          <w:rFonts w:cs="Calibri"/>
          <w:color w:val="auto"/>
          <w:sz w:val="20"/>
          <w:szCs w:val="20"/>
          <w:bdr w:val="none" w:sz="0" w:space="0" w:color="auto"/>
          <w:lang w:val="es-ES"/>
        </w:rPr>
        <w:t xml:space="preserve"> la supuesta desaparición forzada de las presuntas víctimas, podrían caracterizar posibles violaciones a los derechos contenidos en los artículos 3, 4, 5, 7, 8</w:t>
      </w:r>
      <w:r w:rsidR="00785F8F" w:rsidRPr="00C46D36">
        <w:rPr>
          <w:rFonts w:cs="Calibri"/>
          <w:color w:val="auto"/>
          <w:sz w:val="20"/>
          <w:szCs w:val="20"/>
          <w:bdr w:val="none" w:sz="0" w:space="0" w:color="auto"/>
          <w:lang w:val="es-ES"/>
        </w:rPr>
        <w:t xml:space="preserve"> y 25 en concordancia con el artículo 1.1 de la Convención Americana en perjuicio de </w:t>
      </w:r>
      <w:r w:rsidR="00A44144" w:rsidRPr="00C46D36">
        <w:rPr>
          <w:rFonts w:cs="Calibri"/>
          <w:color w:val="auto"/>
          <w:sz w:val="20"/>
          <w:szCs w:val="20"/>
          <w:bdr w:val="none" w:sz="0" w:space="0" w:color="auto"/>
          <w:lang w:val="es-ES"/>
        </w:rPr>
        <w:t xml:space="preserve">Olga Luz </w:t>
      </w:r>
      <w:r w:rsidR="00515E2D" w:rsidRPr="00C46D36">
        <w:rPr>
          <w:rFonts w:cs="Calibri"/>
          <w:color w:val="auto"/>
          <w:sz w:val="20"/>
          <w:szCs w:val="20"/>
          <w:bdr w:val="none" w:sz="0" w:space="0" w:color="auto"/>
          <w:lang w:val="es-ES"/>
        </w:rPr>
        <w:t>Echavarría</w:t>
      </w:r>
      <w:r w:rsidR="00A44144" w:rsidRPr="00C46D36">
        <w:rPr>
          <w:rFonts w:cs="Calibri"/>
          <w:color w:val="auto"/>
          <w:sz w:val="20"/>
          <w:szCs w:val="20"/>
          <w:bdr w:val="none" w:sz="0" w:space="0" w:color="auto"/>
          <w:lang w:val="es-ES"/>
        </w:rPr>
        <w:t xml:space="preserve"> </w:t>
      </w:r>
      <w:r w:rsidR="00515E2D" w:rsidRPr="00C46D36">
        <w:rPr>
          <w:rFonts w:cs="Calibri"/>
          <w:color w:val="auto"/>
          <w:sz w:val="20"/>
          <w:szCs w:val="20"/>
          <w:bdr w:val="none" w:sz="0" w:space="0" w:color="auto"/>
          <w:lang w:val="es-ES"/>
        </w:rPr>
        <w:t>Areiza</w:t>
      </w:r>
      <w:r w:rsidR="00A44144" w:rsidRPr="00C46D36">
        <w:rPr>
          <w:rFonts w:cs="Calibri"/>
          <w:color w:val="auto"/>
          <w:sz w:val="20"/>
          <w:szCs w:val="20"/>
          <w:bdr w:val="none" w:sz="0" w:space="0" w:color="auto"/>
          <w:lang w:val="es-ES"/>
        </w:rPr>
        <w:t xml:space="preserve"> y de Eliecer Pérez Morales</w:t>
      </w:r>
      <w:r w:rsidR="00E32064" w:rsidRPr="00C46D36">
        <w:rPr>
          <w:rFonts w:cs="Calibri"/>
          <w:color w:val="auto"/>
          <w:sz w:val="20"/>
          <w:szCs w:val="20"/>
          <w:bdr w:val="none" w:sz="0" w:space="0" w:color="auto"/>
          <w:lang w:val="es-ES"/>
        </w:rPr>
        <w:t>; y a</w:t>
      </w:r>
      <w:r w:rsidR="00D7603B" w:rsidRPr="00C46D36">
        <w:rPr>
          <w:rFonts w:cs="Calibri"/>
          <w:color w:val="auto"/>
          <w:sz w:val="20"/>
          <w:szCs w:val="20"/>
          <w:bdr w:val="none" w:sz="0" w:space="0" w:color="auto"/>
          <w:lang w:val="es-ES"/>
        </w:rPr>
        <w:t xml:space="preserve">l artículo 19 de la Convención Americana en conexión con el artículo 1.1 del mismo tratado, en perjuicio de la menor </w:t>
      </w:r>
      <w:r w:rsidR="00D86DBD" w:rsidRPr="00C46D36">
        <w:rPr>
          <w:rFonts w:cs="Calibri"/>
          <w:color w:val="auto"/>
          <w:sz w:val="20"/>
          <w:szCs w:val="20"/>
          <w:bdr w:val="none" w:sz="0" w:space="0" w:color="auto"/>
          <w:lang w:val="es-ES"/>
        </w:rPr>
        <w:t xml:space="preserve">de edad </w:t>
      </w:r>
      <w:r w:rsidR="00D7603B" w:rsidRPr="00C46D36">
        <w:rPr>
          <w:rFonts w:cs="Calibri"/>
          <w:color w:val="auto"/>
          <w:sz w:val="20"/>
          <w:szCs w:val="20"/>
          <w:bdr w:val="none" w:sz="0" w:space="0" w:color="auto"/>
          <w:lang w:val="es-ES"/>
        </w:rPr>
        <w:t>Olga Luz Echavarría Areiza</w:t>
      </w:r>
      <w:r w:rsidR="00D43D6A" w:rsidRPr="00C46D36">
        <w:rPr>
          <w:rFonts w:cs="Calibri"/>
          <w:color w:val="auto"/>
          <w:sz w:val="20"/>
          <w:szCs w:val="20"/>
          <w:bdr w:val="none" w:sz="0" w:space="0" w:color="auto"/>
          <w:lang w:val="es-ES"/>
        </w:rPr>
        <w:t>.</w:t>
      </w:r>
    </w:p>
    <w:p w:rsidR="005C0D1F" w:rsidRPr="00C46D36" w:rsidRDefault="00785F8F" w:rsidP="00B445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ES"/>
        </w:rPr>
      </w:pPr>
      <w:r w:rsidRPr="00C46D36">
        <w:rPr>
          <w:color w:val="auto"/>
          <w:sz w:val="20"/>
          <w:szCs w:val="20"/>
          <w:lang w:val="es-ES"/>
        </w:rPr>
        <w:lastRenderedPageBreak/>
        <w:t xml:space="preserve">Por otro lado, la CIDH considera que los alegatos de los peticionarios respecto de las presuntas violaciones a la integridad personal y a las garantías judiciales y a la protección judicial, podrían caracterizar violaciones a los artículos 5, 8 y 25 de la Convención Americana en perjuicio de los familiares de Olga </w:t>
      </w:r>
      <w:r w:rsidR="00DA1EE8" w:rsidRPr="00C46D36">
        <w:rPr>
          <w:color w:val="auto"/>
          <w:sz w:val="20"/>
          <w:szCs w:val="20"/>
          <w:lang w:val="es-ES"/>
        </w:rPr>
        <w:t>Luz</w:t>
      </w:r>
      <w:r w:rsidRPr="00C46D36">
        <w:rPr>
          <w:color w:val="auto"/>
          <w:sz w:val="20"/>
          <w:szCs w:val="20"/>
          <w:lang w:val="es-ES"/>
        </w:rPr>
        <w:t xml:space="preserve"> </w:t>
      </w:r>
      <w:r w:rsidR="00DA1EE8" w:rsidRPr="00C46D36">
        <w:rPr>
          <w:color w:val="auto"/>
          <w:sz w:val="20"/>
          <w:szCs w:val="20"/>
          <w:lang w:val="es-ES"/>
        </w:rPr>
        <w:t>Echavarría</w:t>
      </w:r>
      <w:r w:rsidRPr="00C46D36">
        <w:rPr>
          <w:color w:val="auto"/>
          <w:sz w:val="20"/>
          <w:szCs w:val="20"/>
          <w:lang w:val="es-ES"/>
        </w:rPr>
        <w:t xml:space="preserve"> y E</w:t>
      </w:r>
      <w:r w:rsidR="00DA1EE8" w:rsidRPr="00C46D36">
        <w:rPr>
          <w:color w:val="auto"/>
          <w:sz w:val="20"/>
          <w:szCs w:val="20"/>
          <w:lang w:val="es-ES"/>
        </w:rPr>
        <w:t>liecer Pérez Morales</w:t>
      </w:r>
      <w:r w:rsidRPr="00C46D36">
        <w:rPr>
          <w:color w:val="auto"/>
          <w:sz w:val="20"/>
          <w:szCs w:val="20"/>
          <w:lang w:val="es-ES"/>
        </w:rPr>
        <w:t>.</w:t>
      </w:r>
      <w:r w:rsidR="005C0D1F" w:rsidRPr="00C46D36">
        <w:rPr>
          <w:color w:val="auto"/>
          <w:sz w:val="20"/>
          <w:szCs w:val="20"/>
          <w:lang w:val="es-ES"/>
        </w:rPr>
        <w:t xml:space="preserve"> De la misma manera, considera que podrían ser apli</w:t>
      </w:r>
      <w:r w:rsidR="003F5809" w:rsidRPr="00C46D36">
        <w:rPr>
          <w:color w:val="auto"/>
          <w:sz w:val="20"/>
          <w:szCs w:val="20"/>
          <w:lang w:val="es-ES"/>
        </w:rPr>
        <w:t xml:space="preserve">cables los artículos I y III </w:t>
      </w:r>
      <w:r w:rsidR="005C0D1F" w:rsidRPr="00C46D36">
        <w:rPr>
          <w:color w:val="auto"/>
          <w:sz w:val="20"/>
          <w:szCs w:val="20"/>
          <w:lang w:val="es-ES"/>
        </w:rPr>
        <w:t xml:space="preserve"> de la Convención sobre Desaparición Forzada</w:t>
      </w:r>
      <w:r w:rsidR="00B44543" w:rsidRPr="00C46D36">
        <w:rPr>
          <w:color w:val="auto"/>
          <w:sz w:val="20"/>
          <w:szCs w:val="20"/>
          <w:lang w:val="es-ES"/>
        </w:rPr>
        <w:t>.</w:t>
      </w:r>
    </w:p>
    <w:p w:rsidR="00B44543" w:rsidRPr="00C46D36" w:rsidRDefault="00B44543" w:rsidP="00B44543">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145D8B" w:rsidRPr="00C46D36" w:rsidRDefault="00707677" w:rsidP="00145D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lang w:val="es-ES"/>
        </w:rPr>
      </w:pPr>
      <w:r w:rsidRPr="00C46D36">
        <w:rPr>
          <w:color w:val="auto"/>
          <w:sz w:val="20"/>
          <w:szCs w:val="20"/>
          <w:bdr w:val="none" w:sz="0" w:space="0" w:color="auto"/>
          <w:lang w:val="es-ES"/>
        </w:rPr>
        <w:t>Asimismo, la CIDH considera que los alegatos referentes a la posible relación entre la alegada desaparición de las presuntas víctimas y su vinculación con el partido político Unión Patriótica, así como la falta de esclarecimiento judicial sobre estos hechos, de ser probada, podría constituir una violación al artículo 16 de la Convención Americana.</w:t>
      </w:r>
    </w:p>
    <w:p w:rsidR="00D03C37" w:rsidRPr="00C46D36" w:rsidRDefault="00D03C37" w:rsidP="00D03C37">
      <w:pPr>
        <w:pStyle w:val="ListParagraph"/>
        <w:rPr>
          <w:color w:val="auto"/>
          <w:lang w:val="es-ES"/>
        </w:rPr>
      </w:pPr>
    </w:p>
    <w:p w:rsidR="00D03C37" w:rsidRPr="00C46D36" w:rsidRDefault="00D03C37" w:rsidP="00D03C3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lang w:val="es-ES"/>
        </w:rPr>
      </w:pPr>
      <w:r w:rsidRPr="00C46D36">
        <w:rPr>
          <w:color w:val="auto"/>
          <w:sz w:val="20"/>
          <w:szCs w:val="20"/>
          <w:bdr w:val="none" w:sz="0" w:space="0" w:color="auto"/>
          <w:lang w:val="es-ES"/>
        </w:rPr>
        <w:t xml:space="preserve">Por otra parte, concluye que corresponde declarar inadmisibles los reclamos respecto de la presunta violación del artículo 13 (libertad de pensamiento y expresión) de la Convención Americana, toda vez que no se observan elementos que permitan establecer </w:t>
      </w:r>
      <w:r w:rsidRPr="00C46D36">
        <w:rPr>
          <w:i/>
          <w:color w:val="auto"/>
          <w:sz w:val="20"/>
          <w:szCs w:val="20"/>
          <w:bdr w:val="none" w:sz="0" w:space="0" w:color="auto"/>
          <w:lang w:val="es-ES"/>
        </w:rPr>
        <w:t>prima facie</w:t>
      </w:r>
      <w:r w:rsidRPr="00C46D36">
        <w:rPr>
          <w:color w:val="auto"/>
          <w:sz w:val="20"/>
          <w:szCs w:val="20"/>
          <w:bdr w:val="none" w:sz="0" w:space="0" w:color="auto"/>
          <w:lang w:val="es-ES"/>
        </w:rPr>
        <w:t xml:space="preserve"> su posible vulneración.</w:t>
      </w:r>
    </w:p>
    <w:p w:rsidR="00090BF9" w:rsidRPr="00C46D36" w:rsidRDefault="00090BF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bdr w:val="none" w:sz="0" w:space="0" w:color="auto"/>
          <w:lang w:val="es-ES"/>
        </w:rPr>
      </w:pPr>
    </w:p>
    <w:p w:rsidR="00181829" w:rsidRPr="00C46D36" w:rsidRDefault="00181829" w:rsidP="00543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mbria" w:hAnsi="Cambria"/>
          <w:b/>
          <w:snapToGrid w:val="0"/>
          <w:sz w:val="20"/>
          <w:szCs w:val="20"/>
          <w:bdr w:val="none" w:sz="0" w:space="0" w:color="auto"/>
          <w:lang w:val="es-ES"/>
        </w:rPr>
      </w:pPr>
      <w:r w:rsidRPr="00C46D36">
        <w:rPr>
          <w:rFonts w:ascii="Cambria" w:hAnsi="Cambria"/>
          <w:b/>
          <w:sz w:val="20"/>
          <w:szCs w:val="20"/>
          <w:bdr w:val="none" w:sz="0" w:space="0" w:color="auto"/>
          <w:lang w:val="es-ES"/>
        </w:rPr>
        <w:t>CONCLUSIONES</w:t>
      </w:r>
    </w:p>
    <w:p w:rsidR="004A3A18" w:rsidRPr="00C46D36" w:rsidRDefault="004A3A18" w:rsidP="004A3A18">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mbria" w:hAnsi="Cambria"/>
          <w:b/>
          <w:snapToGrid w:val="0"/>
          <w:sz w:val="20"/>
          <w:szCs w:val="20"/>
          <w:bdr w:val="none" w:sz="0" w:space="0" w:color="auto"/>
          <w:lang w:val="es-ES"/>
        </w:rPr>
      </w:pPr>
    </w:p>
    <w:p w:rsidR="00181829" w:rsidRPr="00C46D36" w:rsidRDefault="00853424" w:rsidP="004A3A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color w:val="auto"/>
          <w:sz w:val="20"/>
          <w:szCs w:val="20"/>
          <w:bdr w:val="none" w:sz="0" w:space="0" w:color="auto"/>
          <w:lang w:val="es-ES"/>
        </w:rPr>
      </w:pPr>
      <w:r w:rsidRPr="00C46D36">
        <w:rPr>
          <w:rFonts w:cs="Calibri"/>
          <w:color w:val="auto"/>
          <w:sz w:val="20"/>
          <w:szCs w:val="20"/>
          <w:bdr w:val="none" w:sz="0" w:space="0" w:color="auto"/>
          <w:lang w:val="es-ES"/>
        </w:rPr>
        <w:t>Con fundamento en las consideraciones de hecho y de derecho expuestas, y sin prejuzgar</w:t>
      </w:r>
      <w:r w:rsidR="004A3A18" w:rsidRPr="00C46D36">
        <w:rPr>
          <w:rFonts w:cs="Calibri"/>
          <w:color w:val="auto"/>
          <w:sz w:val="20"/>
          <w:szCs w:val="20"/>
          <w:bdr w:val="none" w:sz="0" w:space="0" w:color="auto"/>
          <w:lang w:val="es-ES"/>
        </w:rPr>
        <w:t xml:space="preserve"> </w:t>
      </w:r>
      <w:r w:rsidRPr="00C46D36">
        <w:rPr>
          <w:rFonts w:cs="Calibri"/>
          <w:color w:val="auto"/>
          <w:sz w:val="20"/>
          <w:szCs w:val="20"/>
          <w:bdr w:val="none" w:sz="0" w:space="0" w:color="auto"/>
          <w:lang w:val="es-ES"/>
        </w:rPr>
        <w:t>sobre el fondo de la cuestión, la Comisión concluye que el presente caso satisface los requisitos de</w:t>
      </w:r>
      <w:r w:rsidR="004A3A18" w:rsidRPr="00C46D36">
        <w:rPr>
          <w:rFonts w:cs="Calibri"/>
          <w:color w:val="auto"/>
          <w:sz w:val="20"/>
          <w:szCs w:val="20"/>
          <w:bdr w:val="none" w:sz="0" w:space="0" w:color="auto"/>
          <w:lang w:val="es-ES"/>
        </w:rPr>
        <w:t xml:space="preserve"> </w:t>
      </w:r>
      <w:r w:rsidRPr="00C46D36">
        <w:rPr>
          <w:rFonts w:cs="Calibri"/>
          <w:color w:val="auto"/>
          <w:sz w:val="20"/>
          <w:szCs w:val="20"/>
          <w:bdr w:val="none" w:sz="0" w:space="0" w:color="auto"/>
          <w:lang w:val="es-ES"/>
        </w:rPr>
        <w:t>admisibilidad enunciados en los artículos 46 y 47 de la Convención Americana y en consecuencia,</w:t>
      </w:r>
    </w:p>
    <w:p w:rsidR="004A3A18" w:rsidRPr="00C46D36" w:rsidRDefault="004A3A18" w:rsidP="008534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Calibri"/>
          <w:b/>
          <w:sz w:val="20"/>
          <w:szCs w:val="20"/>
          <w:bdr w:val="none" w:sz="0" w:space="0" w:color="auto"/>
          <w:lang w:val="es-ES"/>
        </w:rPr>
      </w:pPr>
    </w:p>
    <w:p w:rsidR="00152D5C" w:rsidRDefault="00181829" w:rsidP="00425EC0">
      <w:pPr>
        <w:pBdr>
          <w:top w:val="none" w:sz="0" w:space="0" w:color="auto"/>
          <w:left w:val="none" w:sz="0" w:space="0" w:color="auto"/>
          <w:bottom w:val="none" w:sz="0" w:space="0" w:color="auto"/>
          <w:right w:val="none" w:sz="0" w:space="0" w:color="auto"/>
          <w:between w:val="none" w:sz="0" w:space="0" w:color="auto"/>
          <w:bar w:val="none" w:sz="0" w:color="auto"/>
        </w:pBdr>
        <w:ind w:left="720" w:firstLine="720"/>
        <w:rPr>
          <w:rFonts w:ascii="Cambria" w:hAnsi="Cambria" w:cs="Calibri"/>
          <w:b/>
          <w:sz w:val="20"/>
          <w:szCs w:val="20"/>
          <w:bdr w:val="none" w:sz="0" w:space="0" w:color="auto"/>
          <w:lang w:val="es-ES"/>
        </w:rPr>
      </w:pPr>
      <w:r w:rsidRPr="00C46D36">
        <w:rPr>
          <w:rFonts w:ascii="Cambria" w:hAnsi="Cambria" w:cs="Calibri"/>
          <w:b/>
          <w:sz w:val="20"/>
          <w:szCs w:val="20"/>
          <w:bdr w:val="none" w:sz="0" w:space="0" w:color="auto"/>
          <w:lang w:val="es-ES"/>
        </w:rPr>
        <w:t>LA COMISIÓN INTERAMERICANA DE DERECHOS HUMANOS</w:t>
      </w:r>
      <w:r w:rsidR="00402CBD" w:rsidRPr="00C46D36">
        <w:rPr>
          <w:rFonts w:ascii="Cambria" w:hAnsi="Cambria" w:cs="Calibri"/>
          <w:b/>
          <w:sz w:val="20"/>
          <w:szCs w:val="20"/>
          <w:bdr w:val="none" w:sz="0" w:space="0" w:color="auto"/>
          <w:lang w:val="es-ES"/>
        </w:rPr>
        <w:t xml:space="preserve">, </w:t>
      </w:r>
    </w:p>
    <w:p w:rsidR="00181829" w:rsidRPr="00C46D36" w:rsidRDefault="00181829" w:rsidP="00152D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sz w:val="20"/>
          <w:szCs w:val="20"/>
          <w:bdr w:val="none" w:sz="0" w:space="0" w:color="auto"/>
          <w:lang w:val="es-ES"/>
        </w:rPr>
      </w:pPr>
      <w:r w:rsidRPr="00C46D36">
        <w:rPr>
          <w:rFonts w:ascii="Cambria" w:hAnsi="Cambria" w:cs="Calibri"/>
          <w:b/>
          <w:sz w:val="20"/>
          <w:szCs w:val="20"/>
          <w:bdr w:val="none" w:sz="0" w:space="0" w:color="auto"/>
          <w:lang w:val="es-ES"/>
        </w:rPr>
        <w:t>DECIDE</w:t>
      </w:r>
      <w:r w:rsidR="00402CBD" w:rsidRPr="00C46D36">
        <w:rPr>
          <w:rFonts w:ascii="Cambria" w:hAnsi="Cambria" w:cs="Calibri"/>
          <w:b/>
          <w:sz w:val="20"/>
          <w:szCs w:val="20"/>
          <w:bdr w:val="none" w:sz="0" w:space="0" w:color="auto"/>
          <w:lang w:val="es-ES"/>
        </w:rPr>
        <w:t>:</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Calibri"/>
          <w:b/>
          <w:sz w:val="20"/>
          <w:szCs w:val="20"/>
          <w:bdr w:val="none" w:sz="0" w:space="0" w:color="auto"/>
          <w:lang w:val="es-ES"/>
        </w:rPr>
      </w:pPr>
    </w:p>
    <w:p w:rsidR="00181829" w:rsidRPr="00C46D36" w:rsidRDefault="00181829" w:rsidP="00543D2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Declarar admisible la presente petición con relación</w:t>
      </w:r>
      <w:r w:rsidR="00237518" w:rsidRPr="00C46D36">
        <w:rPr>
          <w:rFonts w:ascii="Cambria" w:hAnsi="Cambria" w:cs="Calibri"/>
          <w:sz w:val="20"/>
          <w:szCs w:val="20"/>
          <w:bdr w:val="none" w:sz="0" w:space="0" w:color="auto"/>
          <w:lang w:val="es-ES"/>
        </w:rPr>
        <w:t xml:space="preserve"> a los artículos 3, 4, 5, 7, 8,</w:t>
      </w:r>
      <w:r w:rsidR="00E67A7A" w:rsidRPr="00C46D36">
        <w:rPr>
          <w:rFonts w:ascii="Cambria" w:hAnsi="Cambria" w:cs="Calibri"/>
          <w:sz w:val="20"/>
          <w:szCs w:val="20"/>
          <w:bdr w:val="none" w:sz="0" w:space="0" w:color="auto"/>
          <w:lang w:val="es-ES"/>
        </w:rPr>
        <w:t xml:space="preserve"> </w:t>
      </w:r>
      <w:r w:rsidR="00A326D0" w:rsidRPr="00C46D36">
        <w:rPr>
          <w:rFonts w:ascii="Cambria" w:hAnsi="Cambria" w:cs="Calibri"/>
          <w:sz w:val="20"/>
          <w:szCs w:val="20"/>
          <w:bdr w:val="none" w:sz="0" w:space="0" w:color="auto"/>
          <w:lang w:val="es-ES"/>
        </w:rPr>
        <w:t xml:space="preserve">16, </w:t>
      </w:r>
      <w:r w:rsidR="001D6766" w:rsidRPr="00C46D36">
        <w:rPr>
          <w:rFonts w:ascii="Cambria" w:hAnsi="Cambria" w:cs="Calibri"/>
          <w:sz w:val="20"/>
          <w:szCs w:val="20"/>
          <w:bdr w:val="none" w:sz="0" w:space="0" w:color="auto"/>
          <w:lang w:val="es-ES"/>
        </w:rPr>
        <w:t>19</w:t>
      </w:r>
      <w:r w:rsidRPr="00C46D36">
        <w:rPr>
          <w:rFonts w:ascii="Cambria" w:hAnsi="Cambria" w:cs="Calibri"/>
          <w:sz w:val="20"/>
          <w:szCs w:val="20"/>
          <w:bdr w:val="none" w:sz="0" w:space="0" w:color="auto"/>
          <w:lang w:val="es-ES"/>
        </w:rPr>
        <w:t xml:space="preserve"> y 25 en concordancia con el artículo 1.1 de la Convenci</w:t>
      </w:r>
      <w:r w:rsidR="00A73339" w:rsidRPr="00C46D36">
        <w:rPr>
          <w:rFonts w:ascii="Cambria" w:hAnsi="Cambria" w:cs="Calibri"/>
          <w:sz w:val="20"/>
          <w:szCs w:val="20"/>
          <w:bdr w:val="none" w:sz="0" w:space="0" w:color="auto"/>
          <w:lang w:val="es-ES"/>
        </w:rPr>
        <w:t>ón Americana; y al artículo I</w:t>
      </w:r>
      <w:r w:rsidR="003F5809" w:rsidRPr="00C46D36">
        <w:rPr>
          <w:rFonts w:ascii="Cambria" w:hAnsi="Cambria" w:cs="Calibri"/>
          <w:sz w:val="20"/>
          <w:szCs w:val="20"/>
          <w:bdr w:val="none" w:sz="0" w:space="0" w:color="auto"/>
          <w:lang w:val="es-ES"/>
        </w:rPr>
        <w:t xml:space="preserve"> y</w:t>
      </w:r>
      <w:r w:rsidR="004A3A18" w:rsidRPr="00C46D36">
        <w:rPr>
          <w:rFonts w:ascii="Cambria" w:hAnsi="Cambria" w:cs="Calibri"/>
          <w:sz w:val="20"/>
          <w:szCs w:val="20"/>
          <w:bdr w:val="none" w:sz="0" w:space="0" w:color="auto"/>
          <w:lang w:val="es-ES"/>
        </w:rPr>
        <w:t xml:space="preserve"> III</w:t>
      </w:r>
      <w:r w:rsidRPr="00C46D36">
        <w:rPr>
          <w:rFonts w:ascii="Cambria" w:hAnsi="Cambria" w:cs="Calibri"/>
          <w:sz w:val="20"/>
          <w:szCs w:val="20"/>
          <w:bdr w:val="none" w:sz="0" w:space="0" w:color="auto"/>
          <w:lang w:val="es-ES"/>
        </w:rPr>
        <w:t xml:space="preserve"> de la Convención Interamericana sobre Desaparición Forzada de Personas</w:t>
      </w:r>
      <w:r w:rsidR="00237518" w:rsidRPr="00C46D36">
        <w:rPr>
          <w:rFonts w:ascii="Cambria" w:hAnsi="Cambria" w:cs="Calibri"/>
          <w:sz w:val="20"/>
          <w:szCs w:val="20"/>
          <w:bdr w:val="none" w:sz="0" w:space="0" w:color="auto"/>
          <w:lang w:val="es-ES"/>
        </w:rPr>
        <w:t>.</w:t>
      </w:r>
    </w:p>
    <w:p w:rsidR="00237518" w:rsidRPr="00C46D36" w:rsidRDefault="00237518" w:rsidP="0023751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napToGrid w:val="0"/>
          <w:sz w:val="20"/>
          <w:szCs w:val="20"/>
          <w:bdr w:val="none" w:sz="0" w:space="0" w:color="auto"/>
          <w:lang w:val="es-ES"/>
        </w:rPr>
      </w:pPr>
    </w:p>
    <w:p w:rsidR="00237518" w:rsidRPr="00C46D36" w:rsidRDefault="00237518" w:rsidP="0023751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napToGrid w:val="0"/>
          <w:sz w:val="20"/>
          <w:szCs w:val="20"/>
          <w:bdr w:val="none" w:sz="0" w:space="0" w:color="auto"/>
          <w:lang w:val="es-ES"/>
        </w:rPr>
        <w:t>Declarar inadmisible la presente petición en relación con la supuesta violación del artículo 13 de la Convención Americana.</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bdr w:val="none" w:sz="0" w:space="0" w:color="auto"/>
          <w:lang w:val="es-ES"/>
        </w:rPr>
      </w:pPr>
    </w:p>
    <w:p w:rsidR="00181829" w:rsidRPr="00C46D36" w:rsidRDefault="00181829" w:rsidP="00543D2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Notificar esta decisión al Estado colombiano y a los peticionarios.</w:t>
      </w:r>
    </w:p>
    <w:p w:rsidR="00181829" w:rsidRPr="00C46D36" w:rsidRDefault="006674F5"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bdr w:val="none" w:sz="0" w:space="0" w:color="auto"/>
          <w:lang w:val="es-ES"/>
        </w:rPr>
      </w:pPr>
      <w:r w:rsidRPr="00C46D36">
        <w:rPr>
          <w:rFonts w:ascii="Cambria" w:hAnsi="Cambria" w:cs="Calibri"/>
          <w:sz w:val="20"/>
          <w:szCs w:val="20"/>
          <w:bdr w:val="none" w:sz="0" w:space="0" w:color="auto"/>
          <w:lang w:val="es-ES"/>
        </w:rPr>
        <w:t xml:space="preserve"> </w:t>
      </w:r>
    </w:p>
    <w:p w:rsidR="00181829" w:rsidRPr="00C46D36" w:rsidRDefault="00181829" w:rsidP="00543D2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Continuar con el análisis del fondo de la cuestión.</w:t>
      </w:r>
    </w:p>
    <w:p w:rsidR="00181829" w:rsidRPr="00C46D36" w:rsidRDefault="00181829" w:rsidP="001818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bdr w:val="none" w:sz="0" w:space="0" w:color="auto"/>
          <w:lang w:val="es-ES"/>
        </w:rPr>
      </w:pPr>
    </w:p>
    <w:p w:rsidR="00181829" w:rsidRPr="00C46D36" w:rsidRDefault="00181829" w:rsidP="0018182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napToGrid w:val="0"/>
          <w:sz w:val="20"/>
          <w:szCs w:val="20"/>
          <w:bdr w:val="none" w:sz="0" w:space="0" w:color="auto"/>
          <w:lang w:val="es-ES"/>
        </w:rPr>
      </w:pPr>
      <w:r w:rsidRPr="00C46D36">
        <w:rPr>
          <w:rFonts w:ascii="Cambria" w:hAnsi="Cambria" w:cs="Calibri"/>
          <w:sz w:val="20"/>
          <w:szCs w:val="20"/>
          <w:bdr w:val="none" w:sz="0" w:space="0" w:color="auto"/>
          <w:lang w:val="es-ES"/>
        </w:rPr>
        <w:t>Publicar esta decisión e incluirla en su Informe Anual a la Asamblea General de la OEA.</w:t>
      </w:r>
    </w:p>
    <w:p w:rsidR="00402CBD" w:rsidRPr="00C46D36" w:rsidRDefault="00402CBD" w:rsidP="00402CBD">
      <w:pPr>
        <w:pStyle w:val="ListParagraph"/>
        <w:rPr>
          <w:rFonts w:cs="Calibri"/>
          <w:snapToGrid w:val="0"/>
          <w:color w:val="auto"/>
          <w:sz w:val="20"/>
          <w:szCs w:val="20"/>
          <w:bdr w:val="none" w:sz="0" w:space="0" w:color="auto"/>
          <w:lang w:val="es-ES"/>
        </w:rPr>
      </w:pPr>
    </w:p>
    <w:p w:rsidR="00402CBD" w:rsidRPr="00C46D36" w:rsidRDefault="00402CBD" w:rsidP="00402CBD">
      <w:pPr>
        <w:ind w:firstLine="720"/>
        <w:jc w:val="both"/>
        <w:rPr>
          <w:rFonts w:ascii="Cambria" w:hAnsi="Cambria" w:cs="Arial"/>
          <w:noProof/>
          <w:spacing w:val="-2"/>
          <w:sz w:val="20"/>
          <w:szCs w:val="20"/>
          <w:lang w:val="es-CL"/>
        </w:rPr>
      </w:pPr>
      <w:r w:rsidRPr="00C46D36">
        <w:rPr>
          <w:rFonts w:ascii="Cambria" w:hAnsi="Cambria" w:cs="Arial"/>
          <w:noProof/>
          <w:spacing w:val="-2"/>
          <w:sz w:val="20"/>
          <w:szCs w:val="20"/>
          <w:lang w:val="es-CL"/>
        </w:rPr>
        <w:t xml:space="preserve">Dado y firmado en la ciudad de Washington, D.C., a los </w:t>
      </w:r>
      <w:r w:rsidR="008A6396" w:rsidRPr="00C46D36">
        <w:rPr>
          <w:rFonts w:ascii="Cambria" w:hAnsi="Cambria" w:cs="Arial"/>
          <w:noProof/>
          <w:spacing w:val="-2"/>
          <w:sz w:val="20"/>
          <w:szCs w:val="20"/>
          <w:lang w:val="es-CL"/>
        </w:rPr>
        <w:t>28</w:t>
      </w:r>
      <w:r w:rsidR="00425EC0">
        <w:rPr>
          <w:rFonts w:ascii="Cambria" w:hAnsi="Cambria" w:cs="Arial"/>
          <w:noProof/>
          <w:spacing w:val="-2"/>
          <w:sz w:val="20"/>
          <w:szCs w:val="20"/>
          <w:lang w:val="es-CL"/>
        </w:rPr>
        <w:t xml:space="preserve"> días del mes de julio de 2015.</w:t>
      </w:r>
      <w:r w:rsidRPr="00C46D36">
        <w:rPr>
          <w:rFonts w:ascii="Cambria" w:hAnsi="Cambria" w:cs="Arial"/>
          <w:noProof/>
          <w:spacing w:val="-2"/>
          <w:sz w:val="20"/>
          <w:szCs w:val="20"/>
          <w:lang w:val="es-CL"/>
        </w:rPr>
        <w:t xml:space="preserve"> (Firmado): Rose-Marie Belle Antoine, Presidenta; James L. Cavallaro, Primer Vicepresidente; José de Jesús Orozco Henríquez, Segundo Vicepresidente; Felipe González, R</w:t>
      </w:r>
      <w:r w:rsidR="001F765B" w:rsidRPr="00C46D36">
        <w:rPr>
          <w:rFonts w:ascii="Cambria" w:hAnsi="Cambria" w:cs="Arial"/>
          <w:noProof/>
          <w:spacing w:val="-2"/>
          <w:sz w:val="20"/>
          <w:szCs w:val="20"/>
          <w:lang w:val="es-CL"/>
        </w:rPr>
        <w:t>osa María Ortiz y</w:t>
      </w:r>
      <w:r w:rsidRPr="00C46D36">
        <w:rPr>
          <w:rFonts w:ascii="Cambria" w:hAnsi="Cambria" w:cs="Arial"/>
          <w:noProof/>
          <w:spacing w:val="-2"/>
          <w:sz w:val="20"/>
          <w:szCs w:val="20"/>
          <w:lang w:val="es-CL"/>
        </w:rPr>
        <w:t xml:space="preserve"> Tracy Robinson, Miembros de la Comisión.</w:t>
      </w:r>
    </w:p>
    <w:p w:rsidR="00402CBD" w:rsidRPr="00C46D36" w:rsidRDefault="00402CBD" w:rsidP="00402CBD">
      <w:pPr>
        <w:suppressAutoHyphens/>
        <w:ind w:firstLine="720"/>
        <w:jc w:val="both"/>
        <w:rPr>
          <w:rFonts w:ascii="Cambria" w:hAnsi="Cambria" w:cs="Arial"/>
          <w:noProof/>
          <w:spacing w:val="-2"/>
          <w:sz w:val="20"/>
          <w:szCs w:val="20"/>
          <w:lang w:val="es-CL"/>
        </w:rPr>
      </w:pPr>
    </w:p>
    <w:p w:rsidR="00402CBD" w:rsidRPr="00C46D36" w:rsidRDefault="00402CBD" w:rsidP="00715B6F">
      <w:pPr>
        <w:ind w:left="720" w:hanging="720"/>
        <w:rPr>
          <w:rFonts w:ascii="Cambria" w:hAnsi="Cambria" w:cs="Arial"/>
          <w:noProof/>
          <w:spacing w:val="-2"/>
          <w:sz w:val="20"/>
          <w:szCs w:val="20"/>
          <w:lang w:val="es-CL"/>
        </w:rPr>
      </w:pPr>
    </w:p>
    <w:sectPr w:rsidR="00402CBD" w:rsidRPr="00C46D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95" w:rsidRDefault="007D4095">
      <w:r>
        <w:separator/>
      </w:r>
    </w:p>
  </w:endnote>
  <w:endnote w:type="continuationSeparator" w:id="0">
    <w:p w:rsidR="007D4095" w:rsidRDefault="007D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67" w:rsidRDefault="00E77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968F9" w:rsidRPr="00934A2C" w:rsidRDefault="008968F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77867">
          <w:rPr>
            <w:noProof/>
            <w:sz w:val="16"/>
            <w:szCs w:val="22"/>
          </w:rPr>
          <w:t>1</w:t>
        </w:r>
        <w:r w:rsidRPr="00934A2C">
          <w:rPr>
            <w:noProof/>
            <w:sz w:val="16"/>
            <w:szCs w:val="22"/>
          </w:rPr>
          <w:fldChar w:fldCharType="end"/>
        </w:r>
      </w:p>
    </w:sdtContent>
  </w:sdt>
  <w:p w:rsidR="008968F9" w:rsidRDefault="00896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Pr="00934A2C" w:rsidRDefault="008968F9">
    <w:pPr>
      <w:pStyle w:val="Footer"/>
      <w:jc w:val="center"/>
      <w:rPr>
        <w:sz w:val="16"/>
        <w:szCs w:val="22"/>
      </w:rPr>
    </w:pPr>
  </w:p>
  <w:p w:rsidR="008968F9" w:rsidRDefault="00896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95" w:rsidRPr="000F35ED" w:rsidRDefault="007D409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D4095" w:rsidRPr="000F35ED" w:rsidRDefault="007D4095" w:rsidP="000F35ED">
      <w:pPr>
        <w:rPr>
          <w:rFonts w:asciiTheme="majorHAnsi" w:hAnsiTheme="majorHAnsi"/>
          <w:sz w:val="16"/>
          <w:szCs w:val="16"/>
        </w:rPr>
      </w:pPr>
      <w:r w:rsidRPr="000F35ED">
        <w:rPr>
          <w:rFonts w:asciiTheme="majorHAnsi" w:hAnsiTheme="majorHAnsi"/>
          <w:sz w:val="16"/>
          <w:szCs w:val="16"/>
        </w:rPr>
        <w:separator/>
      </w:r>
    </w:p>
    <w:p w:rsidR="007D4095" w:rsidRPr="000F35ED" w:rsidRDefault="007D409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D4095" w:rsidRPr="000F35ED" w:rsidRDefault="007D40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968F9" w:rsidRPr="00D01A9B" w:rsidRDefault="008968F9" w:rsidP="009B686E">
      <w:pPr>
        <w:pStyle w:val="FootnoteText"/>
        <w:spacing w:after="120"/>
        <w:ind w:firstLine="720"/>
        <w:jc w:val="both"/>
        <w:rPr>
          <w:rFonts w:asciiTheme="minorHAnsi" w:hAnsiTheme="minorHAnsi"/>
          <w:sz w:val="16"/>
          <w:szCs w:val="16"/>
          <w:lang w:val="es-ES"/>
        </w:rPr>
      </w:pPr>
      <w:r w:rsidRPr="00D01A9B">
        <w:rPr>
          <w:rStyle w:val="FootnoteReference"/>
          <w:rFonts w:asciiTheme="minorHAnsi" w:hAnsiTheme="minorHAnsi"/>
          <w:color w:val="auto"/>
          <w:sz w:val="16"/>
          <w:szCs w:val="16"/>
        </w:rPr>
        <w:footnoteRef/>
      </w:r>
      <w:r w:rsidRPr="00D01A9B">
        <w:rPr>
          <w:rFonts w:asciiTheme="minorHAnsi" w:hAnsiTheme="minorHAnsi"/>
          <w:color w:val="auto"/>
          <w:sz w:val="16"/>
          <w:szCs w:val="16"/>
          <w:lang w:val="es-ES"/>
        </w:rPr>
        <w:t xml:space="preserve"> El 27 de marzo de 2000 </w:t>
      </w:r>
      <w:r w:rsidRPr="00D01A9B">
        <w:rPr>
          <w:rFonts w:asciiTheme="minorHAnsi" w:hAnsiTheme="minorHAnsi"/>
          <w:snapToGrid w:val="0"/>
          <w:color w:val="auto"/>
          <w:sz w:val="16"/>
          <w:szCs w:val="16"/>
          <w:lang w:val="es-ES"/>
        </w:rPr>
        <w:t>el Centro por la Justicia y el Derecho Internacional (CEJIL) informó que se constituía como co-peticionario.</w:t>
      </w:r>
    </w:p>
  </w:footnote>
  <w:footnote w:id="3">
    <w:p w:rsidR="008968F9" w:rsidRPr="00D01A9B" w:rsidRDefault="008968F9" w:rsidP="009B686E">
      <w:pPr>
        <w:pStyle w:val="FootnoteText"/>
        <w:spacing w:after="120"/>
        <w:ind w:firstLine="720"/>
        <w:jc w:val="both"/>
        <w:rPr>
          <w:rFonts w:asciiTheme="minorHAnsi" w:hAnsiTheme="minorHAnsi"/>
          <w:sz w:val="16"/>
          <w:szCs w:val="16"/>
          <w:lang w:val="es-ES"/>
        </w:rPr>
      </w:pPr>
      <w:r w:rsidRPr="00D01A9B">
        <w:rPr>
          <w:rStyle w:val="FootnoteReference"/>
          <w:rFonts w:asciiTheme="minorHAnsi" w:hAnsiTheme="minorHAnsi"/>
          <w:sz w:val="16"/>
          <w:szCs w:val="16"/>
        </w:rPr>
        <w:footnoteRef/>
      </w:r>
      <w:r w:rsidRPr="00D01A9B">
        <w:rPr>
          <w:rFonts w:asciiTheme="minorHAnsi" w:hAnsiTheme="minorHAnsi" w:cs="Univers"/>
          <w:sz w:val="16"/>
          <w:szCs w:val="16"/>
          <w:lang w:val="es-ES"/>
        </w:rPr>
        <w:t xml:space="preserve"> La petición fue presentada, además, en representación de otras ocho presuntas víctimas. Como se indica en el párrafo 7 del presente informe, la CIDH decidió desglosar la petición y tramitar en expedientes separados la situación relativa a dichas presuntas víctimas.</w:t>
      </w:r>
    </w:p>
  </w:footnote>
  <w:footnote w:id="4">
    <w:p w:rsidR="00D27D71" w:rsidRPr="00A30EE6" w:rsidRDefault="00D27D71" w:rsidP="00AB2E75">
      <w:pPr>
        <w:pStyle w:val="FootnoteText"/>
        <w:spacing w:after="120"/>
        <w:ind w:firstLine="720"/>
        <w:jc w:val="both"/>
        <w:rPr>
          <w:rFonts w:asciiTheme="minorHAnsi" w:hAnsiTheme="minorHAnsi"/>
          <w:sz w:val="16"/>
          <w:szCs w:val="16"/>
          <w:lang w:val="es-ES"/>
        </w:rPr>
      </w:pPr>
      <w:r w:rsidRPr="00A30EE6">
        <w:rPr>
          <w:rStyle w:val="FootnoteReference"/>
          <w:rFonts w:asciiTheme="minorHAnsi" w:hAnsiTheme="minorHAnsi"/>
          <w:sz w:val="16"/>
          <w:szCs w:val="16"/>
        </w:rPr>
        <w:footnoteRef/>
      </w:r>
      <w:r w:rsidRPr="00A30EE6">
        <w:rPr>
          <w:rFonts w:asciiTheme="minorHAnsi" w:hAnsiTheme="minorHAnsi"/>
          <w:sz w:val="16"/>
          <w:szCs w:val="16"/>
          <w:lang w:val="es-ES"/>
        </w:rPr>
        <w:t xml:space="preserve"> </w:t>
      </w:r>
      <w:r w:rsidR="00AB2E75" w:rsidRPr="00A30EE6">
        <w:rPr>
          <w:rFonts w:asciiTheme="minorHAnsi" w:hAnsiTheme="minorHAnsi"/>
          <w:sz w:val="16"/>
          <w:szCs w:val="16"/>
          <w:lang w:val="es-ES"/>
        </w:rPr>
        <w:t xml:space="preserve">Como se indica en el párrafo 18 del presente informe, en </w:t>
      </w:r>
      <w:r w:rsidRPr="00A30EE6">
        <w:rPr>
          <w:rFonts w:asciiTheme="minorHAnsi" w:hAnsiTheme="minorHAnsi"/>
          <w:sz w:val="16"/>
          <w:szCs w:val="16"/>
          <w:lang w:val="es-ES"/>
        </w:rPr>
        <w:t>comunicación</w:t>
      </w:r>
      <w:r w:rsidR="002A45BD" w:rsidRPr="00A30EE6">
        <w:rPr>
          <w:rFonts w:asciiTheme="minorHAnsi" w:hAnsiTheme="minorHAnsi"/>
          <w:sz w:val="16"/>
          <w:szCs w:val="16"/>
          <w:lang w:val="es-ES"/>
        </w:rPr>
        <w:t xml:space="preserve"> de 23 de julio de 2015</w:t>
      </w:r>
      <w:r w:rsidRPr="00A30EE6">
        <w:rPr>
          <w:rFonts w:asciiTheme="minorHAnsi" w:hAnsiTheme="minorHAnsi"/>
          <w:sz w:val="16"/>
          <w:szCs w:val="16"/>
          <w:lang w:val="es-ES"/>
        </w:rPr>
        <w:t xml:space="preserve"> </w:t>
      </w:r>
      <w:r w:rsidR="00AB2E75" w:rsidRPr="00A30EE6">
        <w:rPr>
          <w:rFonts w:asciiTheme="minorHAnsi" w:hAnsiTheme="minorHAnsi"/>
          <w:sz w:val="16"/>
          <w:szCs w:val="16"/>
          <w:lang w:val="es-ES"/>
        </w:rPr>
        <w:t>los peticionarios</w:t>
      </w:r>
      <w:r w:rsidRPr="00A30EE6">
        <w:rPr>
          <w:rFonts w:asciiTheme="minorHAnsi" w:hAnsiTheme="minorHAnsi"/>
          <w:sz w:val="16"/>
          <w:szCs w:val="16"/>
          <w:lang w:val="es-ES"/>
        </w:rPr>
        <w:t xml:space="preserve"> </w:t>
      </w:r>
      <w:r w:rsidR="00804727" w:rsidRPr="00A30EE6">
        <w:rPr>
          <w:rFonts w:asciiTheme="minorHAnsi" w:hAnsiTheme="minorHAnsi"/>
          <w:sz w:val="16"/>
          <w:szCs w:val="16"/>
          <w:lang w:val="es-ES"/>
        </w:rPr>
        <w:t>solicita</w:t>
      </w:r>
      <w:r w:rsidR="00AB2E75" w:rsidRPr="00A30EE6">
        <w:rPr>
          <w:rFonts w:asciiTheme="minorHAnsi" w:hAnsiTheme="minorHAnsi"/>
          <w:sz w:val="16"/>
          <w:szCs w:val="16"/>
          <w:lang w:val="es-ES"/>
        </w:rPr>
        <w:t>ron</w:t>
      </w:r>
      <w:r w:rsidR="00484D89" w:rsidRPr="00A30EE6">
        <w:rPr>
          <w:rFonts w:asciiTheme="minorHAnsi" w:hAnsiTheme="minorHAnsi"/>
          <w:sz w:val="16"/>
          <w:szCs w:val="16"/>
          <w:lang w:val="es-ES"/>
        </w:rPr>
        <w:t xml:space="preserve"> que</w:t>
      </w:r>
      <w:r w:rsidR="00950F4A" w:rsidRPr="00A30EE6">
        <w:rPr>
          <w:rFonts w:asciiTheme="minorHAnsi" w:hAnsiTheme="minorHAnsi"/>
          <w:sz w:val="16"/>
          <w:szCs w:val="16"/>
          <w:lang w:val="es-ES"/>
        </w:rPr>
        <w:t xml:space="preserve"> la CIDH desestimar</w:t>
      </w:r>
      <w:r w:rsidR="00484D89" w:rsidRPr="00A30EE6">
        <w:rPr>
          <w:rFonts w:asciiTheme="minorHAnsi" w:hAnsiTheme="minorHAnsi"/>
          <w:sz w:val="16"/>
          <w:szCs w:val="16"/>
          <w:lang w:val="es-ES"/>
        </w:rPr>
        <w:t>a</w:t>
      </w:r>
      <w:r w:rsidR="00950F4A" w:rsidRPr="00A30EE6">
        <w:rPr>
          <w:rFonts w:asciiTheme="minorHAnsi" w:hAnsiTheme="minorHAnsi"/>
          <w:sz w:val="16"/>
          <w:szCs w:val="16"/>
          <w:lang w:val="es-ES"/>
        </w:rPr>
        <w:t xml:space="preserve"> </w:t>
      </w:r>
      <w:r w:rsidR="00D43D6A" w:rsidRPr="00A30EE6">
        <w:rPr>
          <w:rFonts w:asciiTheme="minorHAnsi" w:hAnsiTheme="minorHAnsi"/>
          <w:sz w:val="16"/>
          <w:szCs w:val="16"/>
          <w:lang w:val="es-ES"/>
        </w:rPr>
        <w:t>un</w:t>
      </w:r>
      <w:r w:rsidR="00950F4A" w:rsidRPr="00A30EE6">
        <w:rPr>
          <w:rFonts w:asciiTheme="minorHAnsi" w:hAnsiTheme="minorHAnsi"/>
          <w:sz w:val="16"/>
          <w:szCs w:val="16"/>
          <w:lang w:val="es-ES"/>
        </w:rPr>
        <w:t xml:space="preserve"> alegato </w:t>
      </w:r>
      <w:r w:rsidR="00305EE2" w:rsidRPr="00A30EE6">
        <w:rPr>
          <w:rFonts w:asciiTheme="minorHAnsi" w:hAnsiTheme="minorHAnsi"/>
          <w:sz w:val="16"/>
          <w:szCs w:val="16"/>
          <w:lang w:val="es-ES"/>
        </w:rPr>
        <w:t xml:space="preserve">respecto </w:t>
      </w:r>
      <w:r w:rsidR="00950F4A" w:rsidRPr="00A30EE6">
        <w:rPr>
          <w:rFonts w:asciiTheme="minorHAnsi" w:hAnsiTheme="minorHAnsi"/>
          <w:sz w:val="16"/>
          <w:szCs w:val="16"/>
          <w:lang w:val="es-ES"/>
        </w:rPr>
        <w:t xml:space="preserve">al cual el Estado nunca </w:t>
      </w:r>
      <w:r w:rsidR="00305EE2" w:rsidRPr="00A30EE6">
        <w:rPr>
          <w:rFonts w:asciiTheme="minorHAnsi" w:hAnsiTheme="minorHAnsi"/>
          <w:sz w:val="16"/>
          <w:szCs w:val="16"/>
          <w:lang w:val="es-ES"/>
        </w:rPr>
        <w:t>se pronunció</w:t>
      </w:r>
      <w:r w:rsidR="00804727" w:rsidRPr="00A30EE6">
        <w:rPr>
          <w:rFonts w:asciiTheme="minorHAnsi" w:hAnsiTheme="minorHAnsi"/>
          <w:sz w:val="16"/>
          <w:szCs w:val="16"/>
          <w:lang w:val="es-ES"/>
        </w:rPr>
        <w:t>.</w:t>
      </w:r>
      <w:r w:rsidR="002A45BD" w:rsidRPr="00A30EE6">
        <w:rPr>
          <w:rFonts w:asciiTheme="minorHAnsi" w:hAnsiTheme="minorHAnsi"/>
          <w:sz w:val="16"/>
          <w:szCs w:val="16"/>
          <w:lang w:val="es-ES"/>
        </w:rPr>
        <w:t xml:space="preserve"> La</w:t>
      </w:r>
      <w:r w:rsidR="000E324B" w:rsidRPr="00A30EE6">
        <w:rPr>
          <w:rFonts w:asciiTheme="minorHAnsi" w:hAnsiTheme="minorHAnsi"/>
          <w:sz w:val="16"/>
          <w:szCs w:val="16"/>
          <w:lang w:val="es-ES"/>
        </w:rPr>
        <w:t xml:space="preserve"> Comisión</w:t>
      </w:r>
      <w:r w:rsidR="002A45BD" w:rsidRPr="00A30EE6">
        <w:rPr>
          <w:rFonts w:asciiTheme="minorHAnsi" w:hAnsiTheme="minorHAnsi"/>
          <w:sz w:val="16"/>
          <w:szCs w:val="16"/>
          <w:lang w:val="es-ES"/>
        </w:rPr>
        <w:t xml:space="preserve"> recibió </w:t>
      </w:r>
      <w:r w:rsidR="000E324B" w:rsidRPr="00A30EE6">
        <w:rPr>
          <w:rFonts w:asciiTheme="minorHAnsi" w:hAnsiTheme="minorHAnsi"/>
          <w:sz w:val="16"/>
          <w:szCs w:val="16"/>
          <w:lang w:val="es-ES"/>
        </w:rPr>
        <w:t>dich</w:t>
      </w:r>
      <w:r w:rsidR="002A45BD" w:rsidRPr="00A30EE6">
        <w:rPr>
          <w:rFonts w:asciiTheme="minorHAnsi" w:hAnsiTheme="minorHAnsi"/>
          <w:sz w:val="16"/>
          <w:szCs w:val="16"/>
          <w:lang w:val="es-ES"/>
        </w:rPr>
        <w:t xml:space="preserve">a comunicación durante el 155º periodo ordinario de sesiones y el presente informe fue aprobado antes de dar traslado de esta última comunicación al Estado ya que, </w:t>
      </w:r>
      <w:r w:rsidR="00484D89" w:rsidRPr="00A30EE6">
        <w:rPr>
          <w:rFonts w:asciiTheme="minorHAnsi" w:hAnsiTheme="minorHAnsi"/>
          <w:sz w:val="16"/>
          <w:szCs w:val="16"/>
          <w:lang w:val="es-ES"/>
        </w:rPr>
        <w:t>por lo expuesto,</w:t>
      </w:r>
      <w:r w:rsidR="00A85DE6" w:rsidRPr="00A30EE6">
        <w:rPr>
          <w:rFonts w:asciiTheme="minorHAnsi" w:hAnsiTheme="minorHAnsi"/>
          <w:sz w:val="16"/>
          <w:szCs w:val="16"/>
          <w:lang w:val="es-ES"/>
        </w:rPr>
        <w:t xml:space="preserve"> </w:t>
      </w:r>
      <w:r w:rsidRPr="00A30EE6">
        <w:rPr>
          <w:rFonts w:asciiTheme="minorHAnsi" w:hAnsiTheme="minorHAnsi"/>
          <w:sz w:val="16"/>
          <w:szCs w:val="16"/>
          <w:lang w:val="es-ES"/>
        </w:rPr>
        <w:t>no</w:t>
      </w:r>
      <w:r w:rsidR="0043112D" w:rsidRPr="00A30EE6">
        <w:rPr>
          <w:rFonts w:asciiTheme="minorHAnsi" w:hAnsiTheme="minorHAnsi"/>
          <w:sz w:val="16"/>
          <w:szCs w:val="16"/>
          <w:lang w:val="es-ES"/>
        </w:rPr>
        <w:t xml:space="preserve"> contiene información que</w:t>
      </w:r>
      <w:r w:rsidRPr="00A30EE6">
        <w:rPr>
          <w:rFonts w:asciiTheme="minorHAnsi" w:hAnsiTheme="minorHAnsi"/>
          <w:sz w:val="16"/>
          <w:szCs w:val="16"/>
          <w:lang w:val="es-ES"/>
        </w:rPr>
        <w:t xml:space="preserve"> </w:t>
      </w:r>
      <w:r w:rsidR="00BE456F" w:rsidRPr="00A30EE6">
        <w:rPr>
          <w:rFonts w:asciiTheme="minorHAnsi" w:hAnsiTheme="minorHAnsi"/>
          <w:sz w:val="16"/>
          <w:szCs w:val="16"/>
          <w:lang w:val="es-ES"/>
        </w:rPr>
        <w:t>pueda implicar</w:t>
      </w:r>
      <w:r w:rsidRPr="00A30EE6">
        <w:rPr>
          <w:rFonts w:asciiTheme="minorHAnsi" w:hAnsiTheme="minorHAnsi"/>
          <w:sz w:val="16"/>
          <w:szCs w:val="16"/>
          <w:lang w:val="es-ES"/>
        </w:rPr>
        <w:t xml:space="preserve"> un</w:t>
      </w:r>
      <w:r w:rsidR="000E324B" w:rsidRPr="00A30EE6">
        <w:rPr>
          <w:rFonts w:asciiTheme="minorHAnsi" w:hAnsiTheme="minorHAnsi"/>
          <w:sz w:val="16"/>
          <w:szCs w:val="16"/>
          <w:lang w:val="es-ES"/>
        </w:rPr>
        <w:t>a</w:t>
      </w:r>
      <w:r w:rsidR="00484D89" w:rsidRPr="00A30EE6">
        <w:rPr>
          <w:rFonts w:asciiTheme="minorHAnsi" w:hAnsiTheme="minorHAnsi"/>
          <w:sz w:val="16"/>
          <w:szCs w:val="16"/>
          <w:lang w:val="es-ES"/>
        </w:rPr>
        <w:t xml:space="preserve"> vulneración de</w:t>
      </w:r>
      <w:r w:rsidR="0088589F" w:rsidRPr="00A30EE6">
        <w:rPr>
          <w:rFonts w:asciiTheme="minorHAnsi" w:hAnsiTheme="minorHAnsi"/>
          <w:sz w:val="16"/>
          <w:szCs w:val="16"/>
          <w:lang w:val="es-ES"/>
        </w:rPr>
        <w:t xml:space="preserve"> su</w:t>
      </w:r>
      <w:r w:rsidRPr="00A30EE6">
        <w:rPr>
          <w:rFonts w:asciiTheme="minorHAnsi" w:hAnsiTheme="minorHAnsi"/>
          <w:sz w:val="16"/>
          <w:szCs w:val="16"/>
          <w:lang w:val="es-ES"/>
        </w:rPr>
        <w:t xml:space="preserve"> derecho a la defensa</w:t>
      </w:r>
      <w:r w:rsidR="00950F4A" w:rsidRPr="00A30EE6">
        <w:rPr>
          <w:rFonts w:asciiTheme="minorHAnsi" w:hAnsiTheme="minorHAnsi"/>
          <w:sz w:val="16"/>
          <w:szCs w:val="16"/>
          <w:lang w:val="es-ES"/>
        </w:rPr>
        <w:t>.</w:t>
      </w:r>
    </w:p>
  </w:footnote>
  <w:footnote w:id="5">
    <w:p w:rsidR="008968F9" w:rsidRPr="00D01A9B" w:rsidRDefault="008968F9" w:rsidP="00677496">
      <w:pPr>
        <w:pStyle w:val="FootnoteText"/>
        <w:spacing w:after="120"/>
        <w:ind w:firstLine="720"/>
        <w:jc w:val="both"/>
        <w:rPr>
          <w:rFonts w:asciiTheme="minorHAnsi" w:hAnsiTheme="minorHAnsi"/>
          <w:sz w:val="16"/>
          <w:szCs w:val="16"/>
          <w:lang w:val="es-ES"/>
        </w:rPr>
      </w:pPr>
      <w:r w:rsidRPr="00A30EE6">
        <w:rPr>
          <w:rStyle w:val="FootnoteReference"/>
          <w:rFonts w:asciiTheme="minorHAnsi" w:hAnsiTheme="minorHAnsi"/>
          <w:sz w:val="16"/>
          <w:szCs w:val="16"/>
        </w:rPr>
        <w:footnoteRef/>
      </w:r>
      <w:r w:rsidRPr="00A30EE6">
        <w:rPr>
          <w:rFonts w:asciiTheme="minorHAnsi" w:hAnsiTheme="minorHAnsi"/>
          <w:sz w:val="16"/>
          <w:szCs w:val="16"/>
          <w:lang w:val="es-ES"/>
        </w:rPr>
        <w:t xml:space="preserve"> </w:t>
      </w:r>
      <w:r w:rsidRPr="00A30EE6">
        <w:rPr>
          <w:rFonts w:asciiTheme="minorHAnsi" w:hAnsiTheme="minorHAnsi"/>
          <w:sz w:val="16"/>
          <w:szCs w:val="16"/>
          <w:lang w:val="es-PE"/>
        </w:rPr>
        <w:t xml:space="preserve">Los peticionarios citan, entre otros, el </w:t>
      </w:r>
      <w:r w:rsidRPr="00A30EE6">
        <w:rPr>
          <w:rFonts w:asciiTheme="minorHAnsi" w:hAnsiTheme="minorHAnsi"/>
          <w:i/>
          <w:iCs/>
          <w:sz w:val="16"/>
          <w:szCs w:val="16"/>
          <w:lang w:val="es-ES"/>
        </w:rPr>
        <w:t>Segundo Informe sobre la Situación</w:t>
      </w:r>
      <w:r w:rsidRPr="00D01A9B">
        <w:rPr>
          <w:rFonts w:asciiTheme="minorHAnsi" w:hAnsiTheme="minorHAnsi"/>
          <w:i/>
          <w:iCs/>
          <w:sz w:val="16"/>
          <w:szCs w:val="16"/>
          <w:lang w:val="es-ES"/>
        </w:rPr>
        <w:t xml:space="preserve"> de Derechos Humanos en Colombia</w:t>
      </w:r>
      <w:r w:rsidRPr="00D01A9B">
        <w:rPr>
          <w:rFonts w:asciiTheme="minorHAnsi" w:hAnsiTheme="minorHAnsi"/>
          <w:sz w:val="16"/>
          <w:szCs w:val="16"/>
          <w:lang w:val="es-ES"/>
        </w:rPr>
        <w:t xml:space="preserve">, OEA/Ser.L/V/II.84. 14 de octubre de 1993; y el </w:t>
      </w:r>
      <w:r w:rsidRPr="00D01A9B">
        <w:rPr>
          <w:rFonts w:asciiTheme="minorHAnsi" w:hAnsiTheme="minorHAnsi"/>
          <w:i/>
          <w:iCs/>
          <w:sz w:val="16"/>
          <w:szCs w:val="16"/>
          <w:lang w:val="es-ES"/>
        </w:rPr>
        <w:t xml:space="preserve">Informe para el Gobierno, el Congreso y el Procurador General de la Nación: Estudio de caso de homicidio de miembros de la Unión Patriótica y Esperanza Paz y Libertad. </w:t>
      </w:r>
      <w:r w:rsidRPr="00D01A9B">
        <w:rPr>
          <w:rFonts w:asciiTheme="minorHAnsi" w:hAnsiTheme="minorHAnsi"/>
          <w:sz w:val="16"/>
          <w:szCs w:val="16"/>
          <w:lang w:val="es-ES"/>
        </w:rPr>
        <w:t>Defensoría del Pueblo de Colombia, 1992.</w:t>
      </w:r>
      <w:r w:rsidRPr="00D01A9B">
        <w:rPr>
          <w:rFonts w:asciiTheme="minorHAnsi" w:hAnsiTheme="minorHAnsi"/>
          <w:sz w:val="16"/>
          <w:szCs w:val="16"/>
          <w:lang w:val="es-PE"/>
        </w:rPr>
        <w:t xml:space="preserve"> Escrito de los peticionarios de 5 de junio de 2012.</w:t>
      </w:r>
    </w:p>
  </w:footnote>
  <w:footnote w:id="6">
    <w:p w:rsidR="008968F9" w:rsidRPr="00D01A9B" w:rsidRDefault="008968F9" w:rsidP="00677496">
      <w:pPr>
        <w:pStyle w:val="FootnoteText"/>
        <w:spacing w:after="120"/>
        <w:ind w:firstLine="720"/>
        <w:jc w:val="both"/>
        <w:rPr>
          <w:rFonts w:asciiTheme="minorHAnsi" w:hAnsiTheme="minorHAnsi"/>
          <w:sz w:val="16"/>
          <w:szCs w:val="16"/>
          <w:lang w:val="es-ES"/>
        </w:rPr>
      </w:pPr>
      <w:r w:rsidRPr="00D01A9B">
        <w:rPr>
          <w:rStyle w:val="FootnoteReference"/>
          <w:rFonts w:asciiTheme="minorHAnsi" w:hAnsiTheme="minorHAnsi"/>
          <w:sz w:val="16"/>
          <w:szCs w:val="16"/>
        </w:rPr>
        <w:footnoteRef/>
      </w:r>
      <w:r w:rsidRPr="00D01A9B">
        <w:rPr>
          <w:rFonts w:asciiTheme="minorHAnsi" w:hAnsiTheme="minorHAnsi"/>
          <w:sz w:val="16"/>
          <w:szCs w:val="16"/>
          <w:lang w:val="es-ES"/>
        </w:rPr>
        <w:t xml:space="preserve"> Secretariado Nacional de Pastoral Social y la Universidad de Antioquia, </w:t>
      </w:r>
      <w:r w:rsidRPr="00D01A9B">
        <w:rPr>
          <w:rFonts w:asciiTheme="minorHAnsi" w:hAnsiTheme="minorHAnsi"/>
          <w:i/>
          <w:iCs/>
          <w:sz w:val="16"/>
          <w:szCs w:val="16"/>
          <w:lang w:val="es-ES"/>
        </w:rPr>
        <w:t>Desplazamiento Forzado en Antioquia 1985-1998. Conflicto armado en la subregión norte de Antioquia entre 1985 y 1998</w:t>
      </w:r>
      <w:r w:rsidRPr="00D01A9B">
        <w:rPr>
          <w:rFonts w:asciiTheme="minorHAnsi" w:hAnsiTheme="minorHAnsi"/>
          <w:sz w:val="16"/>
          <w:szCs w:val="16"/>
          <w:lang w:val="es-ES"/>
        </w:rPr>
        <w:t xml:space="preserve">, Doc. Cit., p. 31-32 y Centro de Investigaciones y Educación Popular (CINEP); Banco de Datos, </w:t>
      </w:r>
      <w:r w:rsidRPr="00D01A9B">
        <w:rPr>
          <w:rFonts w:asciiTheme="minorHAnsi" w:hAnsiTheme="minorHAnsi"/>
          <w:i/>
          <w:iCs/>
          <w:sz w:val="16"/>
          <w:szCs w:val="16"/>
          <w:lang w:val="es-ES"/>
        </w:rPr>
        <w:t>Noche y Niebla - Deuda con la Humanidad – Paramilitarismo de Estado en Colombia 1988-2003 – Banco de datos de violencia política</w:t>
      </w:r>
      <w:r w:rsidRPr="00D01A9B">
        <w:rPr>
          <w:rFonts w:asciiTheme="minorHAnsi" w:hAnsiTheme="minorHAnsi"/>
          <w:sz w:val="16"/>
          <w:szCs w:val="16"/>
          <w:lang w:val="es-ES"/>
        </w:rPr>
        <w:t>, Ed. CINEP, Bogotá, 2004.</w:t>
      </w:r>
    </w:p>
  </w:footnote>
  <w:footnote w:id="7">
    <w:p w:rsidR="009B23C3" w:rsidRPr="00D01A9B" w:rsidRDefault="009B23C3" w:rsidP="00677496">
      <w:pPr>
        <w:pStyle w:val="FootnoteText"/>
        <w:spacing w:after="120"/>
        <w:ind w:firstLine="720"/>
        <w:jc w:val="both"/>
        <w:rPr>
          <w:rFonts w:asciiTheme="minorHAnsi" w:hAnsiTheme="minorHAnsi"/>
          <w:sz w:val="16"/>
          <w:szCs w:val="16"/>
          <w:lang w:val="es-ES"/>
        </w:rPr>
      </w:pPr>
      <w:r w:rsidRPr="00D01A9B">
        <w:rPr>
          <w:rStyle w:val="FootnoteReference"/>
          <w:rFonts w:asciiTheme="minorHAnsi" w:hAnsiTheme="minorHAnsi"/>
          <w:sz w:val="16"/>
          <w:szCs w:val="16"/>
        </w:rPr>
        <w:footnoteRef/>
      </w:r>
      <w:r w:rsidRPr="00D01A9B">
        <w:rPr>
          <w:rFonts w:asciiTheme="minorHAnsi" w:hAnsiTheme="minorHAnsi"/>
          <w:sz w:val="16"/>
          <w:szCs w:val="16"/>
          <w:lang w:val="es-ES"/>
        </w:rPr>
        <w:t xml:space="preserve"> En su escrito, los peticionarios indican que</w:t>
      </w:r>
      <w:r w:rsidR="001509BB" w:rsidRPr="00D01A9B">
        <w:rPr>
          <w:rFonts w:asciiTheme="minorHAnsi" w:hAnsiTheme="minorHAnsi"/>
          <w:sz w:val="16"/>
          <w:szCs w:val="16"/>
          <w:lang w:val="es-ES"/>
        </w:rPr>
        <w:t xml:space="preserve"> la Fiscalía General de la Nación</w:t>
      </w:r>
      <w:r w:rsidRPr="00D01A9B">
        <w:rPr>
          <w:rFonts w:asciiTheme="minorHAnsi" w:hAnsiTheme="minorHAnsi"/>
          <w:sz w:val="16"/>
          <w:szCs w:val="16"/>
          <w:lang w:val="es-ES"/>
        </w:rPr>
        <w:t xml:space="preserve"> estaría adelantando una investigación contra Santiago Uribe Vélez, hermano del expresidente</w:t>
      </w:r>
      <w:r w:rsidR="001509BB" w:rsidRPr="00D01A9B">
        <w:rPr>
          <w:rFonts w:asciiTheme="minorHAnsi" w:hAnsiTheme="minorHAnsi"/>
          <w:sz w:val="16"/>
          <w:szCs w:val="16"/>
          <w:lang w:val="es-ES"/>
        </w:rPr>
        <w:t xml:space="preserve"> electo y senador</w:t>
      </w:r>
      <w:r w:rsidRPr="00D01A9B">
        <w:rPr>
          <w:rFonts w:asciiTheme="minorHAnsi" w:hAnsiTheme="minorHAnsi"/>
          <w:sz w:val="16"/>
          <w:szCs w:val="16"/>
          <w:lang w:val="es-ES"/>
        </w:rPr>
        <w:t xml:space="preserve"> de la Republica de Colombia Álvaro Uribe Vélez, por su supuesta relación con el grupo paramilitar conocido como “Los 12 apóstoles”, a raíz de una denuncia pública</w:t>
      </w:r>
      <w:r w:rsidR="002871F9" w:rsidRPr="00D01A9B">
        <w:rPr>
          <w:rFonts w:asciiTheme="minorHAnsi" w:hAnsiTheme="minorHAnsi"/>
          <w:sz w:val="16"/>
          <w:szCs w:val="16"/>
          <w:lang w:val="es-ES"/>
        </w:rPr>
        <w:t xml:space="preserve"> realizada por </w:t>
      </w:r>
      <w:r w:rsidRPr="00D01A9B">
        <w:rPr>
          <w:rFonts w:asciiTheme="minorHAnsi" w:hAnsiTheme="minorHAnsi"/>
          <w:sz w:val="16"/>
          <w:szCs w:val="16"/>
          <w:lang w:val="es-ES"/>
        </w:rPr>
        <w:t>el mayor retirado de la Policía Nacional de Colombia Juan Carlos Meneses Quintero, en 2010.</w:t>
      </w:r>
      <w:r w:rsidR="002871F9" w:rsidRPr="00D01A9B">
        <w:rPr>
          <w:rFonts w:asciiTheme="minorHAnsi" w:hAnsiTheme="minorHAnsi"/>
          <w:sz w:val="16"/>
          <w:szCs w:val="16"/>
          <w:lang w:val="es-ES"/>
        </w:rPr>
        <w:t xml:space="preserve"> </w:t>
      </w:r>
    </w:p>
  </w:footnote>
  <w:footnote w:id="8">
    <w:p w:rsidR="008968F9" w:rsidRPr="00D01A9B" w:rsidRDefault="008968F9" w:rsidP="009B686E">
      <w:pPr>
        <w:pStyle w:val="FootnoteText"/>
        <w:ind w:firstLine="720"/>
        <w:jc w:val="both"/>
        <w:rPr>
          <w:rFonts w:asciiTheme="minorHAnsi" w:hAnsiTheme="minorHAnsi"/>
          <w:sz w:val="16"/>
          <w:szCs w:val="16"/>
          <w:lang w:val="es-ES"/>
        </w:rPr>
      </w:pPr>
      <w:r w:rsidRPr="00D01A9B">
        <w:rPr>
          <w:rStyle w:val="FootnoteReference"/>
          <w:rFonts w:asciiTheme="minorHAnsi" w:hAnsiTheme="minorHAnsi"/>
          <w:sz w:val="16"/>
          <w:szCs w:val="16"/>
        </w:rPr>
        <w:footnoteRef/>
      </w:r>
      <w:r w:rsidRPr="00D01A9B">
        <w:rPr>
          <w:rFonts w:asciiTheme="minorHAnsi" w:hAnsiTheme="minorHAnsi"/>
          <w:sz w:val="16"/>
          <w:szCs w:val="16"/>
          <w:lang w:val="es-ES"/>
        </w:rPr>
        <w:t xml:space="preserve"> Informe No. 869-807, Exhorto: 640, Radicado UDH 186 (P), de 3 de julio de 1997, dirigido a Jefe Unidad Nacional de Derechos Humanos por la Unidad Investigativa Regional del CTI (Luis Rafael Bravo B., investigador Judicial, y Diego Mauricio Gutiérrez, Jefe Unidad Investigativa), pág. 2.</w:t>
      </w:r>
    </w:p>
  </w:footnote>
  <w:footnote w:id="9">
    <w:p w:rsidR="008968F9" w:rsidRPr="00D01A9B" w:rsidRDefault="008968F9" w:rsidP="009B686E">
      <w:pPr>
        <w:pStyle w:val="FootnoteText"/>
        <w:ind w:firstLine="720"/>
        <w:jc w:val="both"/>
        <w:rPr>
          <w:rFonts w:asciiTheme="minorHAnsi" w:hAnsiTheme="minorHAnsi"/>
          <w:sz w:val="16"/>
          <w:szCs w:val="16"/>
          <w:lang w:val="es-ES"/>
        </w:rPr>
      </w:pPr>
      <w:r w:rsidRPr="00D01A9B">
        <w:rPr>
          <w:rStyle w:val="FootnoteReference"/>
          <w:rFonts w:asciiTheme="minorHAnsi" w:hAnsiTheme="minorHAnsi"/>
          <w:sz w:val="16"/>
          <w:szCs w:val="16"/>
        </w:rPr>
        <w:footnoteRef/>
      </w:r>
      <w:r w:rsidRPr="00D01A9B">
        <w:rPr>
          <w:rFonts w:asciiTheme="minorHAnsi" w:hAnsiTheme="minorHAnsi"/>
          <w:sz w:val="16"/>
          <w:szCs w:val="16"/>
          <w:lang w:val="es-ES"/>
        </w:rPr>
        <w:t xml:space="preserve"> Los peticionarios citan Corte IDH, Caso Gelman vs. Uruguay, Fondo y Reparaciones. Sentencia de 24 de febrero de 2011 Serie C No. 221, párr.98.</w:t>
      </w:r>
    </w:p>
  </w:footnote>
  <w:footnote w:id="10">
    <w:p w:rsidR="008968F9" w:rsidRPr="00D01A9B" w:rsidRDefault="008968F9" w:rsidP="009B686E">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lang w:val="pt-BR"/>
        </w:rPr>
      </w:pPr>
      <w:r w:rsidRPr="00D01A9B">
        <w:rPr>
          <w:rStyle w:val="FootnoteReference"/>
          <w:rFonts w:asciiTheme="minorHAnsi" w:hAnsiTheme="minorHAnsi"/>
          <w:color w:val="auto"/>
          <w:sz w:val="16"/>
          <w:szCs w:val="16"/>
        </w:rPr>
        <w:footnoteRef/>
      </w:r>
      <w:r w:rsidRPr="00D01A9B">
        <w:rPr>
          <w:rFonts w:asciiTheme="minorHAnsi" w:hAnsiTheme="minorHAnsi"/>
          <w:color w:val="auto"/>
          <w:sz w:val="16"/>
          <w:szCs w:val="16"/>
          <w:lang w:val="es-ES"/>
        </w:rPr>
        <w:t xml:space="preserve"> Ver, CIDH, Informe No. 65/09, Petición 616-06, Admisibilidad, </w:t>
      </w:r>
      <w:r w:rsidRPr="00D01A9B">
        <w:rPr>
          <w:rFonts w:asciiTheme="minorHAnsi" w:hAnsiTheme="minorHAnsi"/>
          <w:iCs/>
          <w:color w:val="auto"/>
          <w:sz w:val="16"/>
          <w:szCs w:val="16"/>
          <w:lang w:val="es-ES"/>
        </w:rPr>
        <w:t>Juan Carlos Flores Bedregal</w:t>
      </w:r>
      <w:r w:rsidRPr="00D01A9B">
        <w:rPr>
          <w:rFonts w:asciiTheme="minorHAnsi" w:hAnsiTheme="minorHAnsi"/>
          <w:color w:val="auto"/>
          <w:sz w:val="16"/>
          <w:szCs w:val="16"/>
          <w:lang w:val="es-ES"/>
        </w:rPr>
        <w:t xml:space="preserve">, Bolivia, 4 de agosto de 2009, párr. 45; e </w:t>
      </w:r>
      <w:r w:rsidRPr="00D01A9B">
        <w:rPr>
          <w:rFonts w:asciiTheme="minorHAnsi" w:hAnsiTheme="minorHAnsi"/>
          <w:color w:val="auto"/>
          <w:sz w:val="16"/>
          <w:szCs w:val="16"/>
          <w:lang w:val="es-ES_tradnl"/>
        </w:rPr>
        <w:t xml:space="preserve">Informe No. 72/07, Petición 319-01, Admisibilidad, </w:t>
      </w:r>
      <w:r w:rsidRPr="00D01A9B">
        <w:rPr>
          <w:rFonts w:asciiTheme="minorHAnsi" w:hAnsiTheme="minorHAnsi"/>
          <w:iCs/>
          <w:color w:val="auto"/>
          <w:sz w:val="16"/>
          <w:szCs w:val="16"/>
          <w:lang w:val="es-ES_tradnl"/>
        </w:rPr>
        <w:t>Edgar Quiroga y Gildardo Fuentes</w:t>
      </w:r>
      <w:r w:rsidRPr="00D01A9B">
        <w:rPr>
          <w:rFonts w:asciiTheme="minorHAnsi" w:hAnsiTheme="minorHAnsi"/>
          <w:color w:val="auto"/>
          <w:sz w:val="16"/>
          <w:szCs w:val="16"/>
          <w:lang w:val="es-ES"/>
        </w:rPr>
        <w:t xml:space="preserve">, Colombia, </w:t>
      </w:r>
      <w:r w:rsidRPr="00D01A9B">
        <w:rPr>
          <w:rFonts w:asciiTheme="minorHAnsi" w:hAnsiTheme="minorHAnsi"/>
          <w:color w:val="auto"/>
          <w:sz w:val="16"/>
          <w:szCs w:val="16"/>
          <w:lang w:val="es-ES_tradnl"/>
        </w:rPr>
        <w:t xml:space="preserve">15 de octubre de 2007, párr. </w:t>
      </w:r>
      <w:r w:rsidRPr="00D01A9B">
        <w:rPr>
          <w:rFonts w:asciiTheme="minorHAnsi" w:hAnsiTheme="minorHAnsi"/>
          <w:color w:val="auto"/>
          <w:sz w:val="16"/>
          <w:szCs w:val="16"/>
          <w:lang w:val="pt-BR"/>
        </w:rPr>
        <w:t>44.</w:t>
      </w:r>
    </w:p>
  </w:footnote>
  <w:footnote w:id="11">
    <w:p w:rsidR="008968F9" w:rsidRPr="00D01A9B" w:rsidRDefault="008968F9" w:rsidP="009B686E">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lang w:val="es-ES"/>
        </w:rPr>
      </w:pPr>
      <w:r w:rsidRPr="00D01A9B">
        <w:rPr>
          <w:rStyle w:val="FootnoteReference"/>
          <w:rFonts w:asciiTheme="minorHAnsi" w:hAnsiTheme="minorHAnsi" w:cs="Calibri"/>
          <w:sz w:val="16"/>
          <w:szCs w:val="16"/>
        </w:rPr>
        <w:footnoteRef/>
      </w:r>
      <w:r w:rsidRPr="00D01A9B">
        <w:rPr>
          <w:rFonts w:asciiTheme="minorHAnsi" w:hAnsiTheme="minorHAnsi" w:cs="Calibri"/>
          <w:sz w:val="16"/>
          <w:szCs w:val="16"/>
          <w:lang w:val="pt-BR"/>
        </w:rPr>
        <w:t xml:space="preserve"> CIDH, Informe No. 52/97, Caso 11.218, Fondo, Arges Sequeira Mangas, Nicaragua, Informe Anual de la CIDH 1997, párrs. </w:t>
      </w:r>
      <w:r w:rsidRPr="00D01A9B">
        <w:rPr>
          <w:rFonts w:asciiTheme="minorHAnsi" w:hAnsiTheme="minorHAnsi" w:cs="Calibri"/>
          <w:sz w:val="16"/>
          <w:szCs w:val="16"/>
          <w:lang w:val="es-MX"/>
        </w:rPr>
        <w:t xml:space="preserve">96 y 97.  Ver también Informe No. 55/97, Caso 11.137, Fondo, </w:t>
      </w:r>
      <w:r w:rsidRPr="00D01A9B">
        <w:rPr>
          <w:rFonts w:asciiTheme="minorHAnsi" w:hAnsiTheme="minorHAnsi" w:cs="Calibri"/>
          <w:sz w:val="16"/>
          <w:szCs w:val="16"/>
          <w:lang w:val="es-ES_tradnl"/>
        </w:rPr>
        <w:t xml:space="preserve">Abella y otros, Argentina, </w:t>
      </w:r>
      <w:r w:rsidRPr="00D01A9B">
        <w:rPr>
          <w:rFonts w:asciiTheme="minorHAnsi" w:hAnsiTheme="minorHAnsi" w:cs="Calibri"/>
          <w:sz w:val="16"/>
          <w:szCs w:val="16"/>
          <w:lang w:val="es-MX"/>
        </w:rPr>
        <w:t>párr. 392.</w:t>
      </w:r>
    </w:p>
  </w:footnote>
  <w:footnote w:id="12">
    <w:p w:rsidR="008968F9" w:rsidRPr="00D01A9B" w:rsidRDefault="008968F9" w:rsidP="009B686E">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lang w:val="es-ES"/>
        </w:rPr>
      </w:pPr>
      <w:r w:rsidRPr="00D01A9B">
        <w:rPr>
          <w:rStyle w:val="FootnoteReference"/>
          <w:rFonts w:asciiTheme="minorHAnsi" w:hAnsiTheme="minorHAnsi" w:cs="Calibri"/>
          <w:sz w:val="16"/>
          <w:szCs w:val="16"/>
        </w:rPr>
        <w:footnoteRef/>
      </w:r>
      <w:r w:rsidRPr="00D01A9B">
        <w:rPr>
          <w:rFonts w:asciiTheme="minorHAnsi" w:hAnsiTheme="minorHAnsi" w:cs="Calibri"/>
          <w:sz w:val="16"/>
          <w:szCs w:val="16"/>
          <w:lang w:val="es-ES_tradnl"/>
        </w:rPr>
        <w:t xml:space="preserve"> CIDH, Informe No. 151/11, Petición 1077-06, Admisibilidad, Luis Giován Laverde Moreno y Otros, Colombia, 2 de noviembre de 2011, párr.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rsidP="006F6F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968F9" w:rsidRDefault="00896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rsidP="00A50FCF">
    <w:pPr>
      <w:pStyle w:val="Header"/>
      <w:tabs>
        <w:tab w:val="clear" w:pos="4320"/>
        <w:tab w:val="clear" w:pos="8640"/>
      </w:tabs>
      <w:jc w:val="center"/>
      <w:rPr>
        <w:sz w:val="22"/>
        <w:szCs w:val="22"/>
      </w:rPr>
    </w:pPr>
    <w:r>
      <w:rPr>
        <w:noProof/>
        <w:sz w:val="22"/>
        <w:szCs w:val="22"/>
      </w:rPr>
      <w:drawing>
        <wp:inline distT="0" distB="0" distL="0" distR="0" wp14:anchorId="5E575F9C" wp14:editId="58FBD93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968F9" w:rsidRPr="00EC7D62" w:rsidRDefault="007D409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67" w:rsidRDefault="00E77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1E009B"/>
    <w:multiLevelType w:val="hybridMultilevel"/>
    <w:tmpl w:val="CBA873A0"/>
    <w:lvl w:ilvl="0" w:tplc="BBD425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05D4E0B"/>
    <w:multiLevelType w:val="hybridMultilevel"/>
    <w:tmpl w:val="B5D2DE6C"/>
    <w:lvl w:ilvl="0" w:tplc="2D9C02AA">
      <w:start w:val="1"/>
      <w:numFmt w:val="bullet"/>
      <w:lvlText w:val="-"/>
      <w:lvlJc w:val="left"/>
      <w:pPr>
        <w:ind w:left="720" w:hanging="360"/>
      </w:pPr>
      <w:rPr>
        <w:rFonts w:ascii="Cambria" w:eastAsia="Arial Unicode MS"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372751"/>
    <w:multiLevelType w:val="hybridMultilevel"/>
    <w:tmpl w:val="2CBC870E"/>
    <w:lvl w:ilvl="0" w:tplc="C69032C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E6F1531"/>
    <w:multiLevelType w:val="hybridMultilevel"/>
    <w:tmpl w:val="BB869CEE"/>
    <w:lvl w:ilvl="0" w:tplc="DE96B25A">
      <w:start w:val="7"/>
      <w:numFmt w:val="bullet"/>
      <w:lvlText w:val=""/>
      <w:lvlJc w:val="left"/>
      <w:pPr>
        <w:ind w:left="1080" w:hanging="360"/>
      </w:pPr>
      <w:rPr>
        <w:rFonts w:ascii="Symbol" w:eastAsia="Cambria"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2E46E5"/>
    <w:multiLevelType w:val="hybridMultilevel"/>
    <w:tmpl w:val="90241D22"/>
    <w:lvl w:ilvl="0" w:tplc="12A22A5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0F0C1F"/>
    <w:multiLevelType w:val="hybridMultilevel"/>
    <w:tmpl w:val="C0F89654"/>
    <w:lvl w:ilvl="0" w:tplc="9DA68692">
      <w:start w:val="1"/>
      <w:numFmt w:val="decimal"/>
      <w:lvlText w:val="%1."/>
      <w:lvlJc w:val="left"/>
      <w:pPr>
        <w:ind w:left="1224" w:hanging="504"/>
      </w:pPr>
      <w:rPr>
        <w:rFonts w:ascii="Cambria" w:hAnsi="Cambria" w:cs="Times New Roman" w:hint="default"/>
        <w:b w:val="0"/>
        <w:color w:val="auto"/>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1B0238D"/>
    <w:multiLevelType w:val="hybridMultilevel"/>
    <w:tmpl w:val="3E8A94E0"/>
    <w:lvl w:ilvl="0" w:tplc="C8062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5BF1A0D"/>
    <w:multiLevelType w:val="hybridMultilevel"/>
    <w:tmpl w:val="793EC6F8"/>
    <w:lvl w:ilvl="0" w:tplc="76A407E0">
      <w:start w:val="7"/>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C47893"/>
    <w:multiLevelType w:val="hybridMultilevel"/>
    <w:tmpl w:val="D0D2858C"/>
    <w:lvl w:ilvl="0" w:tplc="E23EE4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B1B0B78"/>
    <w:multiLevelType w:val="hybridMultilevel"/>
    <w:tmpl w:val="4FE45E5A"/>
    <w:lvl w:ilvl="0" w:tplc="12709136">
      <w:start w:val="1"/>
      <w:numFmt w:val="decimal"/>
      <w:lvlText w:val="%1."/>
      <w:lvlJc w:val="left"/>
      <w:pPr>
        <w:tabs>
          <w:tab w:val="num" w:pos="720"/>
        </w:tabs>
        <w:ind w:left="0" w:firstLine="720"/>
      </w:pPr>
      <w:rPr>
        <w:rFonts w:ascii="Univers" w:hAnsi="Univers" w:cs="Univers" w:hint="default"/>
        <w:vanish w:val="0"/>
        <w:webHidden w:val="0"/>
        <w:color w:val="auto"/>
        <w:sz w:val="20"/>
        <w:szCs w:val="20"/>
        <w:specVanish w:val="0"/>
      </w:rPr>
    </w:lvl>
    <w:lvl w:ilvl="1" w:tplc="1272F9CA">
      <w:start w:val="3"/>
      <w:numFmt w:val="upp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FA696D"/>
    <w:multiLevelType w:val="hybridMultilevel"/>
    <w:tmpl w:val="71148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3"/>
  </w:num>
  <w:num w:numId="5">
    <w:abstractNumId w:val="50"/>
  </w:num>
  <w:num w:numId="6">
    <w:abstractNumId w:val="29"/>
  </w:num>
  <w:num w:numId="7">
    <w:abstractNumId w:val="6"/>
  </w:num>
  <w:num w:numId="8">
    <w:abstractNumId w:val="18"/>
  </w:num>
  <w:num w:numId="9">
    <w:abstractNumId w:val="45"/>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41"/>
  </w:num>
  <w:num w:numId="40">
    <w:abstractNumId w:val="42"/>
  </w:num>
  <w:num w:numId="41">
    <w:abstractNumId w:val="48"/>
  </w:num>
  <w:num w:numId="42">
    <w:abstractNumId w:val="52"/>
  </w:num>
  <w:num w:numId="43">
    <w:abstractNumId w:val="53"/>
  </w:num>
  <w:num w:numId="44">
    <w:abstractNumId w:val="55"/>
  </w:num>
  <w:num w:numId="45">
    <w:abstractNumId w:val="56"/>
  </w:num>
  <w:num w:numId="46">
    <w:abstractNumId w:val="58"/>
  </w:num>
  <w:num w:numId="47">
    <w:abstractNumId w:val="60"/>
  </w:num>
  <w:num w:numId="48">
    <w:abstractNumId w:val="61"/>
  </w:num>
  <w:num w:numId="49">
    <w:abstractNumId w:val="63"/>
  </w:num>
  <w:num w:numId="50">
    <w:abstractNumId w:val="64"/>
  </w:num>
  <w:num w:numId="51">
    <w:abstractNumId w:val="22"/>
  </w:num>
  <w:num w:numId="52">
    <w:abstractNumId w:val="43"/>
  </w:num>
  <w:num w:numId="53">
    <w:abstractNumId w:val="54"/>
  </w:num>
  <w:num w:numId="54">
    <w:abstractNumId w:val="47"/>
  </w:num>
  <w:num w:numId="55">
    <w:abstractNumId w:val="37"/>
  </w:num>
  <w:num w:numId="56">
    <w:abstractNumId w:val="4"/>
  </w:num>
  <w:num w:numId="57">
    <w:abstractNumId w:val="62"/>
  </w:num>
  <w:num w:numId="58">
    <w:abstractNumId w:val="51"/>
  </w:num>
  <w:num w:numId="59">
    <w:abstractNumId w:val="44"/>
  </w:num>
  <w:num w:numId="60">
    <w:abstractNumId w:val="17"/>
  </w:num>
  <w:num w:numId="61">
    <w:abstractNumId w:val="5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12"/>
  </w:num>
  <w:num w:numId="64">
    <w:abstractNumId w:val="49"/>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328"/>
    <w:rsid w:val="00006E1F"/>
    <w:rsid w:val="000070D7"/>
    <w:rsid w:val="00011630"/>
    <w:rsid w:val="000136C4"/>
    <w:rsid w:val="00014631"/>
    <w:rsid w:val="00016C3A"/>
    <w:rsid w:val="00016DAA"/>
    <w:rsid w:val="00017182"/>
    <w:rsid w:val="0001788C"/>
    <w:rsid w:val="00020DD5"/>
    <w:rsid w:val="00022A7F"/>
    <w:rsid w:val="00040C3A"/>
    <w:rsid w:val="00055347"/>
    <w:rsid w:val="00057021"/>
    <w:rsid w:val="00062BB8"/>
    <w:rsid w:val="00064D26"/>
    <w:rsid w:val="00066756"/>
    <w:rsid w:val="000716C5"/>
    <w:rsid w:val="00073F23"/>
    <w:rsid w:val="00075E23"/>
    <w:rsid w:val="00077B64"/>
    <w:rsid w:val="00090BF9"/>
    <w:rsid w:val="0009344A"/>
    <w:rsid w:val="000A392E"/>
    <w:rsid w:val="000A575F"/>
    <w:rsid w:val="000C0A19"/>
    <w:rsid w:val="000C4235"/>
    <w:rsid w:val="000C4DA3"/>
    <w:rsid w:val="000C708E"/>
    <w:rsid w:val="000C7C79"/>
    <w:rsid w:val="000D0204"/>
    <w:rsid w:val="000D10DB"/>
    <w:rsid w:val="000D5B87"/>
    <w:rsid w:val="000E2B20"/>
    <w:rsid w:val="000E324B"/>
    <w:rsid w:val="000E5EB5"/>
    <w:rsid w:val="000F35ED"/>
    <w:rsid w:val="0010327E"/>
    <w:rsid w:val="0010611E"/>
    <w:rsid w:val="00107131"/>
    <w:rsid w:val="0010736F"/>
    <w:rsid w:val="00110C03"/>
    <w:rsid w:val="00113F73"/>
    <w:rsid w:val="00121508"/>
    <w:rsid w:val="00121CC2"/>
    <w:rsid w:val="00121EA9"/>
    <w:rsid w:val="00123777"/>
    <w:rsid w:val="00133EE5"/>
    <w:rsid w:val="00134A28"/>
    <w:rsid w:val="00145D8B"/>
    <w:rsid w:val="001509BB"/>
    <w:rsid w:val="00150DA2"/>
    <w:rsid w:val="00152D5C"/>
    <w:rsid w:val="00156B98"/>
    <w:rsid w:val="00167A34"/>
    <w:rsid w:val="00181829"/>
    <w:rsid w:val="00191B52"/>
    <w:rsid w:val="00195072"/>
    <w:rsid w:val="001970E2"/>
    <w:rsid w:val="001A23ED"/>
    <w:rsid w:val="001A7870"/>
    <w:rsid w:val="001B348B"/>
    <w:rsid w:val="001B3A2E"/>
    <w:rsid w:val="001C1B41"/>
    <w:rsid w:val="001C5138"/>
    <w:rsid w:val="001D0B49"/>
    <w:rsid w:val="001D279C"/>
    <w:rsid w:val="001D65EF"/>
    <w:rsid w:val="001D6766"/>
    <w:rsid w:val="001F765B"/>
    <w:rsid w:val="00200EBA"/>
    <w:rsid w:val="002121BF"/>
    <w:rsid w:val="00215C3C"/>
    <w:rsid w:val="00220485"/>
    <w:rsid w:val="002233AA"/>
    <w:rsid w:val="002250A3"/>
    <w:rsid w:val="0023443B"/>
    <w:rsid w:val="00235217"/>
    <w:rsid w:val="00237518"/>
    <w:rsid w:val="00246D1F"/>
    <w:rsid w:val="00247403"/>
    <w:rsid w:val="00247542"/>
    <w:rsid w:val="002632DF"/>
    <w:rsid w:val="00266B61"/>
    <w:rsid w:val="00266BA3"/>
    <w:rsid w:val="0026712A"/>
    <w:rsid w:val="002704DB"/>
    <w:rsid w:val="00271FCA"/>
    <w:rsid w:val="0028679A"/>
    <w:rsid w:val="002871F9"/>
    <w:rsid w:val="002A07C5"/>
    <w:rsid w:val="002A0AAE"/>
    <w:rsid w:val="002A45BD"/>
    <w:rsid w:val="002A5820"/>
    <w:rsid w:val="002C13C1"/>
    <w:rsid w:val="002C2FB9"/>
    <w:rsid w:val="002D2B26"/>
    <w:rsid w:val="002D3A9F"/>
    <w:rsid w:val="002D7EA2"/>
    <w:rsid w:val="002E187C"/>
    <w:rsid w:val="002E63C7"/>
    <w:rsid w:val="002F07C9"/>
    <w:rsid w:val="00302733"/>
    <w:rsid w:val="00302EEB"/>
    <w:rsid w:val="00305EE2"/>
    <w:rsid w:val="00306D88"/>
    <w:rsid w:val="00314078"/>
    <w:rsid w:val="0031535D"/>
    <w:rsid w:val="00320458"/>
    <w:rsid w:val="00324651"/>
    <w:rsid w:val="0033169F"/>
    <w:rsid w:val="00334507"/>
    <w:rsid w:val="00334713"/>
    <w:rsid w:val="00346C95"/>
    <w:rsid w:val="00346EFC"/>
    <w:rsid w:val="00352A78"/>
    <w:rsid w:val="00354AE6"/>
    <w:rsid w:val="00356185"/>
    <w:rsid w:val="00360380"/>
    <w:rsid w:val="0036212A"/>
    <w:rsid w:val="00365039"/>
    <w:rsid w:val="0037213F"/>
    <w:rsid w:val="0037519E"/>
    <w:rsid w:val="00386CF0"/>
    <w:rsid w:val="003A4C23"/>
    <w:rsid w:val="003A5FE7"/>
    <w:rsid w:val="003C2832"/>
    <w:rsid w:val="003C676B"/>
    <w:rsid w:val="003D3BC2"/>
    <w:rsid w:val="003D5B51"/>
    <w:rsid w:val="003E621B"/>
    <w:rsid w:val="003E6CA1"/>
    <w:rsid w:val="003F076A"/>
    <w:rsid w:val="003F49B1"/>
    <w:rsid w:val="003F5809"/>
    <w:rsid w:val="003F6F7C"/>
    <w:rsid w:val="00402CBD"/>
    <w:rsid w:val="00407053"/>
    <w:rsid w:val="0041109C"/>
    <w:rsid w:val="004165C2"/>
    <w:rsid w:val="0042312A"/>
    <w:rsid w:val="00425EC0"/>
    <w:rsid w:val="00426AF8"/>
    <w:rsid w:val="00427F3C"/>
    <w:rsid w:val="0043112D"/>
    <w:rsid w:val="00441ECB"/>
    <w:rsid w:val="00444B98"/>
    <w:rsid w:val="00444D38"/>
    <w:rsid w:val="004452F3"/>
    <w:rsid w:val="004539F8"/>
    <w:rsid w:val="004550FF"/>
    <w:rsid w:val="00460B87"/>
    <w:rsid w:val="00467B7E"/>
    <w:rsid w:val="0047006B"/>
    <w:rsid w:val="004720AC"/>
    <w:rsid w:val="00473C48"/>
    <w:rsid w:val="00474708"/>
    <w:rsid w:val="004768ED"/>
    <w:rsid w:val="00477592"/>
    <w:rsid w:val="00481AD9"/>
    <w:rsid w:val="00484D89"/>
    <w:rsid w:val="00486F1C"/>
    <w:rsid w:val="00494115"/>
    <w:rsid w:val="0049419D"/>
    <w:rsid w:val="004964FF"/>
    <w:rsid w:val="004A3A18"/>
    <w:rsid w:val="004A616D"/>
    <w:rsid w:val="004B4ADB"/>
    <w:rsid w:val="004C0DC6"/>
    <w:rsid w:val="004C20D2"/>
    <w:rsid w:val="004C4B62"/>
    <w:rsid w:val="004C54C9"/>
    <w:rsid w:val="004D6025"/>
    <w:rsid w:val="004E2649"/>
    <w:rsid w:val="004F5C86"/>
    <w:rsid w:val="00501399"/>
    <w:rsid w:val="0050633D"/>
    <w:rsid w:val="00507BC4"/>
    <w:rsid w:val="005128E4"/>
    <w:rsid w:val="005133DB"/>
    <w:rsid w:val="00514CA0"/>
    <w:rsid w:val="00515E2D"/>
    <w:rsid w:val="00525560"/>
    <w:rsid w:val="005364D7"/>
    <w:rsid w:val="00543D2C"/>
    <w:rsid w:val="00544C49"/>
    <w:rsid w:val="005516A1"/>
    <w:rsid w:val="00567D33"/>
    <w:rsid w:val="0057402A"/>
    <w:rsid w:val="005771D0"/>
    <w:rsid w:val="005771FA"/>
    <w:rsid w:val="005823D2"/>
    <w:rsid w:val="00583046"/>
    <w:rsid w:val="0059191A"/>
    <w:rsid w:val="005921FF"/>
    <w:rsid w:val="00593C0D"/>
    <w:rsid w:val="005948BB"/>
    <w:rsid w:val="005A2325"/>
    <w:rsid w:val="005A6D0E"/>
    <w:rsid w:val="005B52B0"/>
    <w:rsid w:val="005B6806"/>
    <w:rsid w:val="005C0D1F"/>
    <w:rsid w:val="005C4225"/>
    <w:rsid w:val="005D1B31"/>
    <w:rsid w:val="005D2412"/>
    <w:rsid w:val="005D5CBB"/>
    <w:rsid w:val="005F0DAD"/>
    <w:rsid w:val="005F0DD7"/>
    <w:rsid w:val="005F0F33"/>
    <w:rsid w:val="005F693F"/>
    <w:rsid w:val="00600DEB"/>
    <w:rsid w:val="00603340"/>
    <w:rsid w:val="00605242"/>
    <w:rsid w:val="006147C6"/>
    <w:rsid w:val="00615188"/>
    <w:rsid w:val="0062408E"/>
    <w:rsid w:val="00627C9F"/>
    <w:rsid w:val="006311E9"/>
    <w:rsid w:val="00632354"/>
    <w:rsid w:val="00636B7E"/>
    <w:rsid w:val="00641AFF"/>
    <w:rsid w:val="00642810"/>
    <w:rsid w:val="00642D0A"/>
    <w:rsid w:val="00644ECD"/>
    <w:rsid w:val="00647640"/>
    <w:rsid w:val="00652333"/>
    <w:rsid w:val="006533BE"/>
    <w:rsid w:val="006674F5"/>
    <w:rsid w:val="00667F8A"/>
    <w:rsid w:val="00675D64"/>
    <w:rsid w:val="00677496"/>
    <w:rsid w:val="0068009E"/>
    <w:rsid w:val="00683B0D"/>
    <w:rsid w:val="00690B22"/>
    <w:rsid w:val="0069153F"/>
    <w:rsid w:val="00692219"/>
    <w:rsid w:val="006A17D2"/>
    <w:rsid w:val="006A73E6"/>
    <w:rsid w:val="006B2D5C"/>
    <w:rsid w:val="006C4EB1"/>
    <w:rsid w:val="006C568C"/>
    <w:rsid w:val="006D4C18"/>
    <w:rsid w:val="006D7386"/>
    <w:rsid w:val="006E0166"/>
    <w:rsid w:val="006E3854"/>
    <w:rsid w:val="006E7B34"/>
    <w:rsid w:val="006F6F8D"/>
    <w:rsid w:val="0070697F"/>
    <w:rsid w:val="00707677"/>
    <w:rsid w:val="00715B6F"/>
    <w:rsid w:val="00717013"/>
    <w:rsid w:val="0072065A"/>
    <w:rsid w:val="0072199C"/>
    <w:rsid w:val="00722C9F"/>
    <w:rsid w:val="007253B8"/>
    <w:rsid w:val="007317E5"/>
    <w:rsid w:val="007355F0"/>
    <w:rsid w:val="0073741F"/>
    <w:rsid w:val="00743578"/>
    <w:rsid w:val="007578BE"/>
    <w:rsid w:val="0076643F"/>
    <w:rsid w:val="007703B5"/>
    <w:rsid w:val="00771138"/>
    <w:rsid w:val="00772211"/>
    <w:rsid w:val="0077347A"/>
    <w:rsid w:val="00777F63"/>
    <w:rsid w:val="0078158C"/>
    <w:rsid w:val="00781FE2"/>
    <w:rsid w:val="00784D4B"/>
    <w:rsid w:val="00785F8F"/>
    <w:rsid w:val="0078664D"/>
    <w:rsid w:val="00794734"/>
    <w:rsid w:val="007A2D78"/>
    <w:rsid w:val="007A5817"/>
    <w:rsid w:val="007A5DBF"/>
    <w:rsid w:val="007B159E"/>
    <w:rsid w:val="007B41F6"/>
    <w:rsid w:val="007B60E9"/>
    <w:rsid w:val="007B69B6"/>
    <w:rsid w:val="007B6CC3"/>
    <w:rsid w:val="007C3334"/>
    <w:rsid w:val="007C55CA"/>
    <w:rsid w:val="007C6379"/>
    <w:rsid w:val="007D2B98"/>
    <w:rsid w:val="007D4095"/>
    <w:rsid w:val="007D5E13"/>
    <w:rsid w:val="007E0123"/>
    <w:rsid w:val="007E21BC"/>
    <w:rsid w:val="007E56A4"/>
    <w:rsid w:val="007F2F4E"/>
    <w:rsid w:val="00803F1C"/>
    <w:rsid w:val="00804727"/>
    <w:rsid w:val="0080600E"/>
    <w:rsid w:val="00816746"/>
    <w:rsid w:val="00817612"/>
    <w:rsid w:val="00820344"/>
    <w:rsid w:val="008338A4"/>
    <w:rsid w:val="00837C45"/>
    <w:rsid w:val="00841BA0"/>
    <w:rsid w:val="00844730"/>
    <w:rsid w:val="00845317"/>
    <w:rsid w:val="008457C2"/>
    <w:rsid w:val="00853424"/>
    <w:rsid w:val="00857A82"/>
    <w:rsid w:val="008645A4"/>
    <w:rsid w:val="00873836"/>
    <w:rsid w:val="0087455B"/>
    <w:rsid w:val="00877672"/>
    <w:rsid w:val="00885737"/>
    <w:rsid w:val="0088589F"/>
    <w:rsid w:val="00890650"/>
    <w:rsid w:val="008941F8"/>
    <w:rsid w:val="008968F9"/>
    <w:rsid w:val="00897E12"/>
    <w:rsid w:val="008A1556"/>
    <w:rsid w:val="008A6396"/>
    <w:rsid w:val="008A6F80"/>
    <w:rsid w:val="008A7E0F"/>
    <w:rsid w:val="008B12F5"/>
    <w:rsid w:val="008C0662"/>
    <w:rsid w:val="008C4B02"/>
    <w:rsid w:val="008D62B7"/>
    <w:rsid w:val="008D768D"/>
    <w:rsid w:val="008E3759"/>
    <w:rsid w:val="008E7727"/>
    <w:rsid w:val="008F1912"/>
    <w:rsid w:val="008F3D6C"/>
    <w:rsid w:val="008F4F39"/>
    <w:rsid w:val="0090270B"/>
    <w:rsid w:val="009041DC"/>
    <w:rsid w:val="00917B5A"/>
    <w:rsid w:val="00920A58"/>
    <w:rsid w:val="00920A8C"/>
    <w:rsid w:val="009323F2"/>
    <w:rsid w:val="00934A2C"/>
    <w:rsid w:val="009414E8"/>
    <w:rsid w:val="00945E05"/>
    <w:rsid w:val="009469B8"/>
    <w:rsid w:val="00950F4A"/>
    <w:rsid w:val="009611EE"/>
    <w:rsid w:val="00961981"/>
    <w:rsid w:val="0096706E"/>
    <w:rsid w:val="00975C4E"/>
    <w:rsid w:val="009804E7"/>
    <w:rsid w:val="00981FBA"/>
    <w:rsid w:val="0099741D"/>
    <w:rsid w:val="00997BC5"/>
    <w:rsid w:val="009A0E6F"/>
    <w:rsid w:val="009A3C7B"/>
    <w:rsid w:val="009A4F41"/>
    <w:rsid w:val="009A5882"/>
    <w:rsid w:val="009B23C3"/>
    <w:rsid w:val="009B381B"/>
    <w:rsid w:val="009B3DF2"/>
    <w:rsid w:val="009B4F58"/>
    <w:rsid w:val="009B686E"/>
    <w:rsid w:val="009B6989"/>
    <w:rsid w:val="009C2723"/>
    <w:rsid w:val="009C43FD"/>
    <w:rsid w:val="009D0EA9"/>
    <w:rsid w:val="009D1753"/>
    <w:rsid w:val="009D1A81"/>
    <w:rsid w:val="009D68F2"/>
    <w:rsid w:val="009D7611"/>
    <w:rsid w:val="009D7A8E"/>
    <w:rsid w:val="009E0B61"/>
    <w:rsid w:val="009E53DE"/>
    <w:rsid w:val="009E66B5"/>
    <w:rsid w:val="009E7797"/>
    <w:rsid w:val="009F06D4"/>
    <w:rsid w:val="009F3242"/>
    <w:rsid w:val="009F354E"/>
    <w:rsid w:val="00A01819"/>
    <w:rsid w:val="00A10489"/>
    <w:rsid w:val="00A22948"/>
    <w:rsid w:val="00A23F93"/>
    <w:rsid w:val="00A30EE6"/>
    <w:rsid w:val="00A326D0"/>
    <w:rsid w:val="00A328B3"/>
    <w:rsid w:val="00A36270"/>
    <w:rsid w:val="00A44144"/>
    <w:rsid w:val="00A44524"/>
    <w:rsid w:val="00A44A0A"/>
    <w:rsid w:val="00A50FCF"/>
    <w:rsid w:val="00A528D1"/>
    <w:rsid w:val="00A610CD"/>
    <w:rsid w:val="00A65275"/>
    <w:rsid w:val="00A70247"/>
    <w:rsid w:val="00A73339"/>
    <w:rsid w:val="00A73DF0"/>
    <w:rsid w:val="00A77661"/>
    <w:rsid w:val="00A77BF1"/>
    <w:rsid w:val="00A81547"/>
    <w:rsid w:val="00A85DE6"/>
    <w:rsid w:val="00AA050E"/>
    <w:rsid w:val="00AA09A2"/>
    <w:rsid w:val="00AA0AAD"/>
    <w:rsid w:val="00AA5DF6"/>
    <w:rsid w:val="00AA7996"/>
    <w:rsid w:val="00AB2E75"/>
    <w:rsid w:val="00AC19CB"/>
    <w:rsid w:val="00AD79E8"/>
    <w:rsid w:val="00AE5488"/>
    <w:rsid w:val="00AE6F91"/>
    <w:rsid w:val="00AF5571"/>
    <w:rsid w:val="00B07341"/>
    <w:rsid w:val="00B21FA0"/>
    <w:rsid w:val="00B2383E"/>
    <w:rsid w:val="00B30539"/>
    <w:rsid w:val="00B30F94"/>
    <w:rsid w:val="00B314DB"/>
    <w:rsid w:val="00B31CED"/>
    <w:rsid w:val="00B361F2"/>
    <w:rsid w:val="00B3718B"/>
    <w:rsid w:val="00B428E7"/>
    <w:rsid w:val="00B44543"/>
    <w:rsid w:val="00B4632A"/>
    <w:rsid w:val="00B530F1"/>
    <w:rsid w:val="00B5411D"/>
    <w:rsid w:val="00B748C8"/>
    <w:rsid w:val="00BA1CAE"/>
    <w:rsid w:val="00BA276C"/>
    <w:rsid w:val="00BA64A4"/>
    <w:rsid w:val="00BB306F"/>
    <w:rsid w:val="00BC03BD"/>
    <w:rsid w:val="00BC1619"/>
    <w:rsid w:val="00BD4B89"/>
    <w:rsid w:val="00BE1B8F"/>
    <w:rsid w:val="00BE456F"/>
    <w:rsid w:val="00BE50B1"/>
    <w:rsid w:val="00BE67AA"/>
    <w:rsid w:val="00BF4C0C"/>
    <w:rsid w:val="00BF4D23"/>
    <w:rsid w:val="00BF6B60"/>
    <w:rsid w:val="00BF6FD8"/>
    <w:rsid w:val="00C03680"/>
    <w:rsid w:val="00C054DF"/>
    <w:rsid w:val="00C06AC3"/>
    <w:rsid w:val="00C178DA"/>
    <w:rsid w:val="00C21762"/>
    <w:rsid w:val="00C24543"/>
    <w:rsid w:val="00C256A2"/>
    <w:rsid w:val="00C32427"/>
    <w:rsid w:val="00C3493F"/>
    <w:rsid w:val="00C46D36"/>
    <w:rsid w:val="00C51515"/>
    <w:rsid w:val="00C55117"/>
    <w:rsid w:val="00C5660B"/>
    <w:rsid w:val="00C66B72"/>
    <w:rsid w:val="00C73454"/>
    <w:rsid w:val="00C76A15"/>
    <w:rsid w:val="00C9410D"/>
    <w:rsid w:val="00C9567A"/>
    <w:rsid w:val="00CB212D"/>
    <w:rsid w:val="00CB2660"/>
    <w:rsid w:val="00CB54D4"/>
    <w:rsid w:val="00CC5E90"/>
    <w:rsid w:val="00CD046C"/>
    <w:rsid w:val="00CE05FC"/>
    <w:rsid w:val="00CE076C"/>
    <w:rsid w:val="00CE5199"/>
    <w:rsid w:val="00CE66D5"/>
    <w:rsid w:val="00CF1CE7"/>
    <w:rsid w:val="00CF637A"/>
    <w:rsid w:val="00D0044F"/>
    <w:rsid w:val="00D01A9B"/>
    <w:rsid w:val="00D03C37"/>
    <w:rsid w:val="00D059DE"/>
    <w:rsid w:val="00D05B51"/>
    <w:rsid w:val="00D06FBF"/>
    <w:rsid w:val="00D13FCE"/>
    <w:rsid w:val="00D1426E"/>
    <w:rsid w:val="00D14319"/>
    <w:rsid w:val="00D15E9F"/>
    <w:rsid w:val="00D22810"/>
    <w:rsid w:val="00D26C15"/>
    <w:rsid w:val="00D275DC"/>
    <w:rsid w:val="00D27D71"/>
    <w:rsid w:val="00D306D1"/>
    <w:rsid w:val="00D33913"/>
    <w:rsid w:val="00D34786"/>
    <w:rsid w:val="00D37BFC"/>
    <w:rsid w:val="00D43D6A"/>
    <w:rsid w:val="00D47A8E"/>
    <w:rsid w:val="00D52D14"/>
    <w:rsid w:val="00D60118"/>
    <w:rsid w:val="00D60958"/>
    <w:rsid w:val="00D67A82"/>
    <w:rsid w:val="00D705FE"/>
    <w:rsid w:val="00D712D3"/>
    <w:rsid w:val="00D71422"/>
    <w:rsid w:val="00D728FE"/>
    <w:rsid w:val="00D72DC6"/>
    <w:rsid w:val="00D732B5"/>
    <w:rsid w:val="00D7558D"/>
    <w:rsid w:val="00D7603B"/>
    <w:rsid w:val="00D81D92"/>
    <w:rsid w:val="00D84700"/>
    <w:rsid w:val="00D86DBD"/>
    <w:rsid w:val="00D9227E"/>
    <w:rsid w:val="00DA076A"/>
    <w:rsid w:val="00DA0D2B"/>
    <w:rsid w:val="00DA1EE8"/>
    <w:rsid w:val="00DA7B5F"/>
    <w:rsid w:val="00DB4299"/>
    <w:rsid w:val="00DB5C95"/>
    <w:rsid w:val="00DC11E7"/>
    <w:rsid w:val="00DC7023"/>
    <w:rsid w:val="00DC769A"/>
    <w:rsid w:val="00DD3D86"/>
    <w:rsid w:val="00DD4481"/>
    <w:rsid w:val="00DD5C1F"/>
    <w:rsid w:val="00DE05E6"/>
    <w:rsid w:val="00DE1F2F"/>
    <w:rsid w:val="00DF1EC4"/>
    <w:rsid w:val="00DF445B"/>
    <w:rsid w:val="00E01676"/>
    <w:rsid w:val="00E0340B"/>
    <w:rsid w:val="00E04A90"/>
    <w:rsid w:val="00E14ACD"/>
    <w:rsid w:val="00E1687F"/>
    <w:rsid w:val="00E219C7"/>
    <w:rsid w:val="00E32064"/>
    <w:rsid w:val="00E329B9"/>
    <w:rsid w:val="00E3514B"/>
    <w:rsid w:val="00E363E4"/>
    <w:rsid w:val="00E36BB5"/>
    <w:rsid w:val="00E43157"/>
    <w:rsid w:val="00E461CE"/>
    <w:rsid w:val="00E606EF"/>
    <w:rsid w:val="00E61D3D"/>
    <w:rsid w:val="00E67A7A"/>
    <w:rsid w:val="00E720CA"/>
    <w:rsid w:val="00E7398C"/>
    <w:rsid w:val="00E74219"/>
    <w:rsid w:val="00E7571F"/>
    <w:rsid w:val="00E77867"/>
    <w:rsid w:val="00E84EB5"/>
    <w:rsid w:val="00E85662"/>
    <w:rsid w:val="00E8789F"/>
    <w:rsid w:val="00E97B71"/>
    <w:rsid w:val="00E97E34"/>
    <w:rsid w:val="00EA3D34"/>
    <w:rsid w:val="00EA4BD7"/>
    <w:rsid w:val="00EB454D"/>
    <w:rsid w:val="00EB513A"/>
    <w:rsid w:val="00EC648E"/>
    <w:rsid w:val="00ED2DA1"/>
    <w:rsid w:val="00ED76BE"/>
    <w:rsid w:val="00EE0B7E"/>
    <w:rsid w:val="00EE314C"/>
    <w:rsid w:val="00EE7E88"/>
    <w:rsid w:val="00EF45A7"/>
    <w:rsid w:val="00EF619B"/>
    <w:rsid w:val="00F00B55"/>
    <w:rsid w:val="00F02AD1"/>
    <w:rsid w:val="00F05E19"/>
    <w:rsid w:val="00F1173A"/>
    <w:rsid w:val="00F253CC"/>
    <w:rsid w:val="00F35B7D"/>
    <w:rsid w:val="00F37106"/>
    <w:rsid w:val="00F40317"/>
    <w:rsid w:val="00F5173B"/>
    <w:rsid w:val="00F519CF"/>
    <w:rsid w:val="00F56BA5"/>
    <w:rsid w:val="00F60E22"/>
    <w:rsid w:val="00F76FDE"/>
    <w:rsid w:val="00F81395"/>
    <w:rsid w:val="00F917D1"/>
    <w:rsid w:val="00F94AC8"/>
    <w:rsid w:val="00F9653B"/>
    <w:rsid w:val="00FA4AE1"/>
    <w:rsid w:val="00FA7095"/>
    <w:rsid w:val="00FB20BB"/>
    <w:rsid w:val="00FB62CF"/>
    <w:rsid w:val="00FC1CE6"/>
    <w:rsid w:val="00FD3C3B"/>
    <w:rsid w:val="00FD6CF6"/>
    <w:rsid w:val="00FE044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CF1CE7"/>
  </w:style>
  <w:style w:type="character" w:customStyle="1" w:styleId="apple-converted-space">
    <w:name w:val="apple-converted-space"/>
    <w:basedOn w:val="DefaultParagraphFont"/>
    <w:rsid w:val="00CF1CE7"/>
  </w:style>
  <w:style w:type="paragraph" w:customStyle="1" w:styleId="s6e50bd9a">
    <w:name w:val="s6e50bd9a"/>
    <w:basedOn w:val="Normal"/>
    <w:rsid w:val="009414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9414E8"/>
  </w:style>
  <w:style w:type="character" w:customStyle="1" w:styleId="sfbbfee58">
    <w:name w:val="sfbbfee58"/>
    <w:basedOn w:val="DefaultParagraphFont"/>
    <w:rsid w:val="009414E8"/>
  </w:style>
  <w:style w:type="paragraph" w:styleId="NoSpacing">
    <w:name w:val="No Spacing"/>
    <w:uiPriority w:val="1"/>
    <w:qFormat/>
    <w:rsid w:val="00402C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CF1CE7"/>
  </w:style>
  <w:style w:type="character" w:customStyle="1" w:styleId="apple-converted-space">
    <w:name w:val="apple-converted-space"/>
    <w:basedOn w:val="DefaultParagraphFont"/>
    <w:rsid w:val="00CF1CE7"/>
  </w:style>
  <w:style w:type="paragraph" w:customStyle="1" w:styleId="s6e50bd9a">
    <w:name w:val="s6e50bd9a"/>
    <w:basedOn w:val="Normal"/>
    <w:rsid w:val="009414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9414E8"/>
  </w:style>
  <w:style w:type="character" w:customStyle="1" w:styleId="sfbbfee58">
    <w:name w:val="sfbbfee58"/>
    <w:basedOn w:val="DefaultParagraphFont"/>
    <w:rsid w:val="009414E8"/>
  </w:style>
  <w:style w:type="paragraph" w:styleId="NoSpacing">
    <w:name w:val="No Spacing"/>
    <w:uiPriority w:val="1"/>
    <w:qFormat/>
    <w:rsid w:val="00402C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3897">
      <w:bodyDiv w:val="1"/>
      <w:marLeft w:val="0"/>
      <w:marRight w:val="0"/>
      <w:marTop w:val="0"/>
      <w:marBottom w:val="0"/>
      <w:divBdr>
        <w:top w:val="none" w:sz="0" w:space="0" w:color="auto"/>
        <w:left w:val="none" w:sz="0" w:space="0" w:color="auto"/>
        <w:bottom w:val="none" w:sz="0" w:space="0" w:color="auto"/>
        <w:right w:val="none" w:sz="0" w:space="0" w:color="auto"/>
      </w:divBdr>
    </w:div>
    <w:div w:id="933711016">
      <w:bodyDiv w:val="1"/>
      <w:marLeft w:val="0"/>
      <w:marRight w:val="0"/>
      <w:marTop w:val="0"/>
      <w:marBottom w:val="0"/>
      <w:divBdr>
        <w:top w:val="none" w:sz="0" w:space="0" w:color="auto"/>
        <w:left w:val="none" w:sz="0" w:space="0" w:color="auto"/>
        <w:bottom w:val="none" w:sz="0" w:space="0" w:color="auto"/>
        <w:right w:val="none" w:sz="0" w:space="0" w:color="auto"/>
      </w:divBdr>
    </w:div>
    <w:div w:id="1384018918">
      <w:bodyDiv w:val="1"/>
      <w:marLeft w:val="0"/>
      <w:marRight w:val="0"/>
      <w:marTop w:val="0"/>
      <w:marBottom w:val="0"/>
      <w:divBdr>
        <w:top w:val="none" w:sz="0" w:space="0" w:color="auto"/>
        <w:left w:val="none" w:sz="0" w:space="0" w:color="auto"/>
        <w:bottom w:val="none" w:sz="0" w:space="0" w:color="auto"/>
        <w:right w:val="none" w:sz="0" w:space="0" w:color="auto"/>
      </w:divBdr>
    </w:div>
    <w:div w:id="13864886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7A38-5C3A-44AA-BB2F-21EB21C7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4421</Words>
  <Characters>25202</Characters>
  <Application>Microsoft Office Word</Application>
  <DocSecurity>0</DocSecurity>
  <Lines>210</Lines>
  <Paragraphs>59</Paragraphs>
  <ScaleCrop>false</ScaleCrop>
  <Company/>
  <LinksUpToDate>false</LinksUpToDate>
  <CharactersWithSpaces>29564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47/15</dc:title>
  <dc:creator/>
  <cp:lastModifiedBy/>
  <cp:revision>1</cp:revision>
  <dcterms:created xsi:type="dcterms:W3CDTF">2015-11-16T17:08:00Z</dcterms:created>
  <dcterms:modified xsi:type="dcterms:W3CDTF">2015-11-16T17:08:00Z</dcterms:modified>
</cp:coreProperties>
</file>