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24651" w:rsidRDefault="00710A2A" w:rsidP="00627C9F">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Default="008968F9"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8968F9" w:rsidRDefault="008968F9"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324651" w:rsidRDefault="00040C3A" w:rsidP="00040C3A">
      <w:pPr>
        <w:tabs>
          <w:tab w:val="center" w:pos="5400"/>
        </w:tabs>
        <w:suppressAutoHyphens/>
        <w:jc w:val="both"/>
        <w:rPr>
          <w:rFonts w:asciiTheme="majorHAnsi" w:hAnsiTheme="majorHAnsi"/>
          <w:sz w:val="22"/>
          <w:szCs w:val="22"/>
          <w:lang w:val="es-ES"/>
        </w:rPr>
      </w:pPr>
    </w:p>
    <w:p w:rsidR="00040C3A" w:rsidRPr="00324651" w:rsidRDefault="00040C3A" w:rsidP="00040C3A">
      <w:pPr>
        <w:tabs>
          <w:tab w:val="center" w:pos="5400"/>
        </w:tabs>
        <w:suppressAutoHyphens/>
        <w:jc w:val="both"/>
        <w:rPr>
          <w:rFonts w:asciiTheme="majorHAnsi" w:hAnsiTheme="majorHAnsi"/>
          <w:sz w:val="22"/>
          <w:szCs w:val="22"/>
          <w:lang w:val="es-ES"/>
        </w:rPr>
      </w:pPr>
    </w:p>
    <w:p w:rsidR="005128E4" w:rsidRPr="00324651" w:rsidRDefault="005128E4" w:rsidP="00040C3A">
      <w:pPr>
        <w:tabs>
          <w:tab w:val="center" w:pos="5400"/>
        </w:tabs>
        <w:suppressAutoHyphens/>
        <w:rPr>
          <w:rFonts w:asciiTheme="majorHAnsi" w:hAnsiTheme="majorHAnsi"/>
          <w:sz w:val="22"/>
          <w:szCs w:val="22"/>
          <w:lang w:val="es-ES_tradnl"/>
        </w:rPr>
      </w:pPr>
    </w:p>
    <w:p w:rsidR="005128E4" w:rsidRPr="00324651" w:rsidRDefault="005128E4" w:rsidP="00040C3A">
      <w:pPr>
        <w:tabs>
          <w:tab w:val="center" w:pos="5400"/>
        </w:tabs>
        <w:suppressAutoHyphens/>
        <w:rPr>
          <w:rFonts w:asciiTheme="majorHAnsi" w:hAnsiTheme="majorHAnsi"/>
          <w:sz w:val="22"/>
          <w:szCs w:val="22"/>
          <w:lang w:val="es-ES_tradnl"/>
        </w:rPr>
      </w:pPr>
    </w:p>
    <w:p w:rsidR="005128E4" w:rsidRPr="00324651" w:rsidRDefault="005128E4" w:rsidP="00040C3A">
      <w:pPr>
        <w:tabs>
          <w:tab w:val="center" w:pos="5400"/>
        </w:tabs>
        <w:suppressAutoHyphens/>
        <w:rPr>
          <w:rFonts w:asciiTheme="majorHAnsi" w:hAnsiTheme="majorHAnsi"/>
          <w:sz w:val="22"/>
          <w:szCs w:val="22"/>
          <w:lang w:val="es-ES_tradnl"/>
        </w:rPr>
      </w:pPr>
    </w:p>
    <w:p w:rsidR="00040C3A" w:rsidRPr="00324651" w:rsidRDefault="00040C3A" w:rsidP="005128E4">
      <w:pPr>
        <w:tabs>
          <w:tab w:val="center" w:pos="5400"/>
        </w:tabs>
        <w:suppressAutoHyphens/>
        <w:jc w:val="center"/>
        <w:rPr>
          <w:rFonts w:asciiTheme="majorHAnsi" w:hAnsiTheme="majorHAnsi"/>
          <w:sz w:val="22"/>
          <w:szCs w:val="22"/>
          <w:lang w:val="es-ES_tradnl"/>
        </w:rPr>
      </w:pPr>
    </w:p>
    <w:p w:rsidR="00040C3A" w:rsidRPr="00324651" w:rsidRDefault="00040C3A" w:rsidP="005128E4">
      <w:pPr>
        <w:tabs>
          <w:tab w:val="center" w:pos="5400"/>
        </w:tabs>
        <w:suppressAutoHyphens/>
        <w:jc w:val="center"/>
        <w:rPr>
          <w:rFonts w:asciiTheme="majorHAnsi" w:hAnsiTheme="majorHAnsi"/>
          <w:sz w:val="22"/>
          <w:szCs w:val="22"/>
          <w:lang w:val="es-ES_tradnl"/>
        </w:rPr>
      </w:pPr>
    </w:p>
    <w:p w:rsidR="005B52B0" w:rsidRPr="00324651" w:rsidRDefault="005B52B0" w:rsidP="005128E4">
      <w:pPr>
        <w:tabs>
          <w:tab w:val="center" w:pos="5400"/>
        </w:tabs>
        <w:suppressAutoHyphens/>
        <w:jc w:val="center"/>
        <w:rPr>
          <w:rFonts w:asciiTheme="majorHAnsi" w:hAnsiTheme="majorHAnsi"/>
          <w:sz w:val="22"/>
          <w:szCs w:val="22"/>
          <w:lang w:val="es-ES_tradnl"/>
        </w:rPr>
      </w:pPr>
    </w:p>
    <w:p w:rsidR="005B52B0" w:rsidRPr="00324651" w:rsidRDefault="005B52B0" w:rsidP="005128E4">
      <w:pPr>
        <w:tabs>
          <w:tab w:val="center" w:pos="5400"/>
        </w:tabs>
        <w:suppressAutoHyphens/>
        <w:jc w:val="center"/>
        <w:rPr>
          <w:rFonts w:asciiTheme="majorHAnsi" w:hAnsiTheme="majorHAnsi"/>
          <w:sz w:val="22"/>
          <w:szCs w:val="22"/>
          <w:lang w:val="es-ES_tradnl"/>
        </w:rPr>
      </w:pPr>
    </w:p>
    <w:p w:rsidR="005B52B0" w:rsidRPr="00324651" w:rsidRDefault="005B52B0" w:rsidP="005128E4">
      <w:pPr>
        <w:tabs>
          <w:tab w:val="center" w:pos="5400"/>
        </w:tabs>
        <w:suppressAutoHyphens/>
        <w:jc w:val="center"/>
        <w:rPr>
          <w:rFonts w:asciiTheme="majorHAnsi" w:hAnsiTheme="majorHAnsi"/>
          <w:sz w:val="22"/>
          <w:szCs w:val="22"/>
          <w:lang w:val="es-ES_tradnl"/>
        </w:rPr>
      </w:pPr>
    </w:p>
    <w:p w:rsidR="00040C3A" w:rsidRPr="00324651" w:rsidRDefault="00040C3A" w:rsidP="00040C3A">
      <w:pPr>
        <w:tabs>
          <w:tab w:val="center" w:pos="5400"/>
        </w:tabs>
        <w:suppressAutoHyphens/>
        <w:jc w:val="center"/>
        <w:rPr>
          <w:rFonts w:asciiTheme="majorHAnsi" w:hAnsiTheme="majorHAnsi"/>
          <w:sz w:val="22"/>
          <w:szCs w:val="22"/>
          <w:lang w:val="es-ES_tradnl"/>
        </w:rPr>
      </w:pPr>
    </w:p>
    <w:p w:rsidR="00040C3A" w:rsidRPr="00324651" w:rsidRDefault="00040C3A" w:rsidP="00040C3A">
      <w:pPr>
        <w:tabs>
          <w:tab w:val="center" w:pos="5400"/>
        </w:tabs>
        <w:suppressAutoHyphens/>
        <w:jc w:val="center"/>
        <w:rPr>
          <w:rFonts w:asciiTheme="majorHAnsi" w:hAnsiTheme="majorHAnsi"/>
          <w:sz w:val="22"/>
          <w:szCs w:val="22"/>
          <w:lang w:val="es-ES_tradnl"/>
        </w:rPr>
      </w:pPr>
    </w:p>
    <w:p w:rsidR="00040C3A" w:rsidRPr="00324651" w:rsidRDefault="00710A2A"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4E2649" w:rsidRDefault="008968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04B38">
                              <w:rPr>
                                <w:rFonts w:asciiTheme="majorHAnsi" w:hAnsiTheme="majorHAnsi" w:cs="Arial"/>
                                <w:b/>
                                <w:bCs/>
                                <w:color w:val="0D0D0D" w:themeColor="text1" w:themeTint="F2"/>
                                <w:sz w:val="36"/>
                                <w:szCs w:val="22"/>
                                <w:lang w:val="es-ES_tradnl"/>
                              </w:rPr>
                              <w:t>54</w:t>
                            </w:r>
                            <w:r>
                              <w:rPr>
                                <w:rFonts w:asciiTheme="majorHAnsi" w:hAnsiTheme="majorHAnsi" w:cs="Arial"/>
                                <w:b/>
                                <w:bCs/>
                                <w:color w:val="0D0D0D" w:themeColor="text1" w:themeTint="F2"/>
                                <w:sz w:val="36"/>
                                <w:szCs w:val="22"/>
                                <w:lang w:val="es-ES_tradnl"/>
                              </w:rPr>
                              <w:t>/15</w:t>
                            </w:r>
                          </w:p>
                          <w:p w:rsidR="008968F9" w:rsidRPr="00181829" w:rsidRDefault="0073174A"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b/>
                                <w:color w:val="0D0D0D"/>
                                <w:sz w:val="36"/>
                                <w:szCs w:val="22"/>
                                <w:bdr w:val="none" w:sz="0" w:space="0" w:color="auto"/>
                                <w:lang w:val="es-ES_tradnl"/>
                              </w:rPr>
                            </w:pPr>
                            <w:r w:rsidRPr="00C30D85">
                              <w:rPr>
                                <w:rFonts w:ascii="Cambria" w:hAnsi="Cambria" w:cs="Arial"/>
                                <w:b/>
                                <w:color w:val="0D0D0D"/>
                                <w:sz w:val="36"/>
                                <w:szCs w:val="22"/>
                                <w:bdr w:val="none" w:sz="0" w:space="0" w:color="auto"/>
                                <w:lang w:val="es-ES"/>
                              </w:rPr>
                              <w:t>PETICIÓN</w:t>
                            </w:r>
                            <w:r w:rsidR="008968F9" w:rsidRPr="00181829">
                              <w:rPr>
                                <w:rFonts w:ascii="Cambria" w:hAnsi="Cambria" w:cs="Arial"/>
                                <w:b/>
                                <w:color w:val="0D0D0D"/>
                                <w:sz w:val="36"/>
                                <w:szCs w:val="22"/>
                                <w:bdr w:val="none" w:sz="0" w:space="0" w:color="auto"/>
                                <w:lang w:val="es-ES_tradnl"/>
                              </w:rPr>
                              <w:t xml:space="preserve"> </w:t>
                            </w:r>
                            <w:r>
                              <w:rPr>
                                <w:rFonts w:ascii="Cambria" w:hAnsi="Cambria" w:cs="Arial"/>
                                <w:b/>
                                <w:color w:val="0D0D0D"/>
                                <w:sz w:val="36"/>
                                <w:szCs w:val="22"/>
                                <w:bdr w:val="none" w:sz="0" w:space="0" w:color="auto"/>
                                <w:lang w:val="es-ES_tradnl"/>
                              </w:rPr>
                              <w:t>467-97</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_tradnl"/>
                              </w:rPr>
                            </w:pPr>
                            <w:r w:rsidRPr="00181829">
                              <w:rPr>
                                <w:rFonts w:ascii="Cambria" w:hAnsi="Cambria" w:cs="Arial"/>
                                <w:color w:val="0D0D0D"/>
                                <w:szCs w:val="22"/>
                                <w:bdr w:val="none" w:sz="0" w:space="0" w:color="auto"/>
                                <w:lang w:val="es-ES_tradnl"/>
                              </w:rPr>
                              <w:t xml:space="preserve">INFORME DE ADMISIBILIDAD </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_tradnl"/>
                              </w:rPr>
                            </w:pPr>
                            <w:bookmarkStart w:id="1" w:name="_ftnref1"/>
                          </w:p>
                          <w:bookmarkEnd w:id="1"/>
                          <w:p w:rsidR="008968F9" w:rsidRPr="00181829" w:rsidRDefault="0073174A"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Pr>
                                <w:rFonts w:ascii="Cambria" w:hAnsi="Cambria" w:cs="Arial"/>
                                <w:color w:val="0D0D0D"/>
                                <w:szCs w:val="22"/>
                                <w:bdr w:val="none" w:sz="0" w:space="0" w:color="auto"/>
                                <w:lang w:val="es-ES"/>
                              </w:rPr>
                              <w:t>MASACRE DE CAMPAMENTO</w:t>
                            </w:r>
                            <w:r w:rsidR="008968F9" w:rsidRPr="00181829">
                              <w:rPr>
                                <w:rFonts w:ascii="Cambria" w:hAnsi="Cambria" w:cs="Arial"/>
                                <w:color w:val="0D0D0D"/>
                                <w:szCs w:val="22"/>
                                <w:bdr w:val="none" w:sz="0" w:space="0" w:color="auto"/>
                                <w:lang w:val="es-ES"/>
                              </w:rPr>
                              <w:t xml:space="preserve"> </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181829">
                              <w:rPr>
                                <w:rFonts w:ascii="Cambria" w:hAnsi="Cambria" w:cs="Arial"/>
                                <w:color w:val="0D0D0D"/>
                                <w:szCs w:val="22"/>
                                <w:bdr w:val="none" w:sz="0" w:space="0" w:color="auto"/>
                                <w:lang w:val="es-ES_tradnl"/>
                              </w:rPr>
                              <w:t>COLOMBIA</w:t>
                            </w:r>
                          </w:p>
                          <w:p w:rsidR="008968F9" w:rsidRPr="00AE5488" w:rsidRDefault="008968F9" w:rsidP="00181829">
                            <w:pPr>
                              <w:spacing w:line="276" w:lineRule="auto"/>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" filled="f" stroked="f" strokeweight=".5pt">
                <v:path arrowok="t"/>
                <v:textbox>
                  <w:txbxContent>
                    <w:p w:rsidR="008968F9" w:rsidRPr="004E2649" w:rsidRDefault="008968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04B38">
                        <w:rPr>
                          <w:rFonts w:asciiTheme="majorHAnsi" w:hAnsiTheme="majorHAnsi" w:cs="Arial"/>
                          <w:b/>
                          <w:bCs/>
                          <w:color w:val="0D0D0D" w:themeColor="text1" w:themeTint="F2"/>
                          <w:sz w:val="36"/>
                          <w:szCs w:val="22"/>
                          <w:lang w:val="es-ES_tradnl"/>
                        </w:rPr>
                        <w:t>54</w:t>
                      </w:r>
                      <w:r>
                        <w:rPr>
                          <w:rFonts w:asciiTheme="majorHAnsi" w:hAnsiTheme="majorHAnsi" w:cs="Arial"/>
                          <w:b/>
                          <w:bCs/>
                          <w:color w:val="0D0D0D" w:themeColor="text1" w:themeTint="F2"/>
                          <w:sz w:val="36"/>
                          <w:szCs w:val="22"/>
                          <w:lang w:val="es-ES_tradnl"/>
                        </w:rPr>
                        <w:t>/15</w:t>
                      </w:r>
                    </w:p>
                    <w:p w:rsidR="008968F9" w:rsidRPr="00181829" w:rsidRDefault="0073174A"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b/>
                          <w:color w:val="0D0D0D"/>
                          <w:sz w:val="36"/>
                          <w:szCs w:val="22"/>
                          <w:bdr w:val="none" w:sz="0" w:space="0" w:color="auto"/>
                          <w:lang w:val="es-ES_tradnl"/>
                        </w:rPr>
                      </w:pPr>
                      <w:r w:rsidRPr="00C30D85">
                        <w:rPr>
                          <w:rFonts w:ascii="Cambria" w:hAnsi="Cambria" w:cs="Arial"/>
                          <w:b/>
                          <w:color w:val="0D0D0D"/>
                          <w:sz w:val="36"/>
                          <w:szCs w:val="22"/>
                          <w:bdr w:val="none" w:sz="0" w:space="0" w:color="auto"/>
                          <w:lang w:val="es-ES"/>
                        </w:rPr>
                        <w:t>PETICIÓN</w:t>
                      </w:r>
                      <w:r w:rsidR="008968F9" w:rsidRPr="00181829">
                        <w:rPr>
                          <w:rFonts w:ascii="Cambria" w:hAnsi="Cambria" w:cs="Arial"/>
                          <w:b/>
                          <w:color w:val="0D0D0D"/>
                          <w:sz w:val="36"/>
                          <w:szCs w:val="22"/>
                          <w:bdr w:val="none" w:sz="0" w:space="0" w:color="auto"/>
                          <w:lang w:val="es-ES_tradnl"/>
                        </w:rPr>
                        <w:t xml:space="preserve"> </w:t>
                      </w:r>
                      <w:r>
                        <w:rPr>
                          <w:rFonts w:ascii="Cambria" w:hAnsi="Cambria" w:cs="Arial"/>
                          <w:b/>
                          <w:color w:val="0D0D0D"/>
                          <w:sz w:val="36"/>
                          <w:szCs w:val="22"/>
                          <w:bdr w:val="none" w:sz="0" w:space="0" w:color="auto"/>
                          <w:lang w:val="es-ES_tradnl"/>
                        </w:rPr>
                        <w:t>467-97</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_tradnl"/>
                        </w:rPr>
                      </w:pPr>
                      <w:r w:rsidRPr="00181829">
                        <w:rPr>
                          <w:rFonts w:ascii="Cambria" w:hAnsi="Cambria" w:cs="Arial"/>
                          <w:color w:val="0D0D0D"/>
                          <w:szCs w:val="22"/>
                          <w:bdr w:val="none" w:sz="0" w:space="0" w:color="auto"/>
                          <w:lang w:val="es-ES_tradnl"/>
                        </w:rPr>
                        <w:t xml:space="preserve">INFORME DE ADMISIBILIDAD </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_tradnl"/>
                        </w:rPr>
                      </w:pPr>
                      <w:bookmarkStart w:id="1" w:name="_ftnref1"/>
                    </w:p>
                    <w:bookmarkEnd w:id="1"/>
                    <w:p w:rsidR="008968F9" w:rsidRPr="00181829" w:rsidRDefault="0073174A"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Pr>
                          <w:rFonts w:ascii="Cambria" w:hAnsi="Cambria" w:cs="Arial"/>
                          <w:color w:val="0D0D0D"/>
                          <w:szCs w:val="22"/>
                          <w:bdr w:val="none" w:sz="0" w:space="0" w:color="auto"/>
                          <w:lang w:val="es-ES"/>
                        </w:rPr>
                        <w:t>MASACRE DE CAMPAMENTO</w:t>
                      </w:r>
                      <w:r w:rsidR="008968F9" w:rsidRPr="00181829">
                        <w:rPr>
                          <w:rFonts w:ascii="Cambria" w:hAnsi="Cambria" w:cs="Arial"/>
                          <w:color w:val="0D0D0D"/>
                          <w:szCs w:val="22"/>
                          <w:bdr w:val="none" w:sz="0" w:space="0" w:color="auto"/>
                          <w:lang w:val="es-ES"/>
                        </w:rPr>
                        <w:t xml:space="preserve"> </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181829">
                        <w:rPr>
                          <w:rFonts w:ascii="Cambria" w:hAnsi="Cambria" w:cs="Arial"/>
                          <w:color w:val="0D0D0D"/>
                          <w:szCs w:val="22"/>
                          <w:bdr w:val="none" w:sz="0" w:space="0" w:color="auto"/>
                          <w:lang w:val="es-ES_tradnl"/>
                        </w:rPr>
                        <w:t>COLOMBIA</w:t>
                      </w:r>
                    </w:p>
                    <w:p w:rsidR="008968F9" w:rsidRPr="00AE5488" w:rsidRDefault="008968F9" w:rsidP="00181829">
                      <w:pPr>
                        <w:spacing w:line="276" w:lineRule="auto"/>
                        <w:rPr>
                          <w:color w:val="0D0D0D" w:themeColor="text1" w:themeTint="F2"/>
                          <w:lang w:val="es-ES_tradnl"/>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3F076A" w:rsidRDefault="008968F9" w:rsidP="007A5817">
                            <w:pPr>
                              <w:spacing w:line="276" w:lineRule="auto"/>
                              <w:jc w:val="right"/>
                              <w:rPr>
                                <w:rFonts w:asciiTheme="minorHAnsi" w:hAnsiTheme="minorHAnsi"/>
                                <w:color w:val="FFFFFF" w:themeColor="background1"/>
                                <w:sz w:val="22"/>
                                <w:lang w:val="pt-BR"/>
                              </w:rPr>
                            </w:pPr>
                            <w:r w:rsidRPr="003F076A">
                              <w:rPr>
                                <w:rFonts w:asciiTheme="minorHAnsi" w:hAnsiTheme="minorHAnsi"/>
                                <w:color w:val="FFFFFF" w:themeColor="background1"/>
                                <w:sz w:val="22"/>
                                <w:lang w:val="pt-BR"/>
                              </w:rPr>
                              <w:t>OEA/Ser.L/V/II.15</w:t>
                            </w:r>
                            <w:r w:rsidR="00426B43">
                              <w:rPr>
                                <w:rFonts w:asciiTheme="minorHAnsi" w:hAnsiTheme="minorHAnsi"/>
                                <w:color w:val="FFFFFF" w:themeColor="background1"/>
                                <w:sz w:val="22"/>
                                <w:lang w:val="pt-BR"/>
                              </w:rPr>
                              <w:t>6</w:t>
                            </w:r>
                          </w:p>
                          <w:p w:rsidR="008968F9" w:rsidRPr="003F076A" w:rsidRDefault="00A04B3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w:t>
                            </w:r>
                          </w:p>
                          <w:p w:rsidR="008968F9" w:rsidRPr="00320458" w:rsidRDefault="00CF54D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w:t>
                            </w:r>
                            <w:r w:rsidR="008968F9" w:rsidRPr="00320458">
                              <w:rPr>
                                <w:rFonts w:asciiTheme="minorHAnsi" w:hAnsiTheme="minorHAnsi"/>
                                <w:color w:val="FFFFFF" w:themeColor="background1"/>
                                <w:sz w:val="22"/>
                                <w:lang w:val="es-ES"/>
                              </w:rPr>
                              <w:t xml:space="preserve"> </w:t>
                            </w:r>
                            <w:r w:rsidR="00B54F62">
                              <w:rPr>
                                <w:rFonts w:asciiTheme="minorHAnsi" w:hAnsiTheme="minorHAnsi"/>
                                <w:color w:val="FFFFFF" w:themeColor="background1"/>
                                <w:sz w:val="22"/>
                                <w:lang w:val="es-ES"/>
                              </w:rPr>
                              <w:t>octubre</w:t>
                            </w:r>
                            <w:r w:rsidR="008968F9" w:rsidRPr="00320458">
                              <w:rPr>
                                <w:rFonts w:asciiTheme="minorHAnsi" w:hAnsiTheme="minorHAnsi"/>
                                <w:color w:val="FFFFFF" w:themeColor="background1"/>
                                <w:sz w:val="22"/>
                                <w:lang w:val="es-ES"/>
                              </w:rPr>
                              <w:t xml:space="preserve"> 2015</w:t>
                            </w:r>
                          </w:p>
                          <w:p w:rsidR="008968F9" w:rsidRPr="00320458" w:rsidRDefault="008968F9" w:rsidP="007A5817">
                            <w:pPr>
                              <w:spacing w:line="276" w:lineRule="auto"/>
                              <w:jc w:val="right"/>
                              <w:rPr>
                                <w:rFonts w:asciiTheme="minorHAnsi" w:hAnsiTheme="minorHAnsi"/>
                                <w:color w:val="FFFFFF" w:themeColor="background1"/>
                                <w:sz w:val="22"/>
                                <w:lang w:val="es-ES"/>
                              </w:rPr>
                            </w:pPr>
                            <w:r w:rsidRPr="00320458">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8968F9" w:rsidRPr="003F076A" w:rsidRDefault="008968F9" w:rsidP="007A5817">
                      <w:pPr>
                        <w:spacing w:line="276" w:lineRule="auto"/>
                        <w:jc w:val="right"/>
                        <w:rPr>
                          <w:rFonts w:asciiTheme="minorHAnsi" w:hAnsiTheme="minorHAnsi"/>
                          <w:color w:val="FFFFFF" w:themeColor="background1"/>
                          <w:sz w:val="22"/>
                          <w:lang w:val="pt-BR"/>
                        </w:rPr>
                      </w:pPr>
                      <w:r w:rsidRPr="003F076A">
                        <w:rPr>
                          <w:rFonts w:asciiTheme="minorHAnsi" w:hAnsiTheme="minorHAnsi"/>
                          <w:color w:val="FFFFFF" w:themeColor="background1"/>
                          <w:sz w:val="22"/>
                          <w:lang w:val="pt-BR"/>
                        </w:rPr>
                        <w:t>OEA/Ser.L/V/II.15</w:t>
                      </w:r>
                      <w:r w:rsidR="00426B43">
                        <w:rPr>
                          <w:rFonts w:asciiTheme="minorHAnsi" w:hAnsiTheme="minorHAnsi"/>
                          <w:color w:val="FFFFFF" w:themeColor="background1"/>
                          <w:sz w:val="22"/>
                          <w:lang w:val="pt-BR"/>
                        </w:rPr>
                        <w:t>6</w:t>
                      </w:r>
                    </w:p>
                    <w:p w:rsidR="008968F9" w:rsidRPr="003F076A" w:rsidRDefault="00A04B3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w:t>
                      </w:r>
                    </w:p>
                    <w:p w:rsidR="008968F9" w:rsidRPr="00320458" w:rsidRDefault="00CF54D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w:t>
                      </w:r>
                      <w:r w:rsidR="008968F9" w:rsidRPr="00320458">
                        <w:rPr>
                          <w:rFonts w:asciiTheme="minorHAnsi" w:hAnsiTheme="minorHAnsi"/>
                          <w:color w:val="FFFFFF" w:themeColor="background1"/>
                          <w:sz w:val="22"/>
                          <w:lang w:val="es-ES"/>
                        </w:rPr>
                        <w:t xml:space="preserve"> </w:t>
                      </w:r>
                      <w:r w:rsidR="00B54F62">
                        <w:rPr>
                          <w:rFonts w:asciiTheme="minorHAnsi" w:hAnsiTheme="minorHAnsi"/>
                          <w:color w:val="FFFFFF" w:themeColor="background1"/>
                          <w:sz w:val="22"/>
                          <w:lang w:val="es-ES"/>
                        </w:rPr>
                        <w:t>octubre</w:t>
                      </w:r>
                      <w:r w:rsidR="008968F9" w:rsidRPr="00320458">
                        <w:rPr>
                          <w:rFonts w:asciiTheme="minorHAnsi" w:hAnsiTheme="minorHAnsi"/>
                          <w:color w:val="FFFFFF" w:themeColor="background1"/>
                          <w:sz w:val="22"/>
                          <w:lang w:val="es-ES"/>
                        </w:rPr>
                        <w:t xml:space="preserve"> 2015</w:t>
                      </w:r>
                    </w:p>
                    <w:p w:rsidR="008968F9" w:rsidRPr="00320458" w:rsidRDefault="008968F9" w:rsidP="007A5817">
                      <w:pPr>
                        <w:spacing w:line="276" w:lineRule="auto"/>
                        <w:jc w:val="right"/>
                        <w:rPr>
                          <w:rFonts w:asciiTheme="minorHAnsi" w:hAnsiTheme="minorHAnsi"/>
                          <w:color w:val="FFFFFF" w:themeColor="background1"/>
                          <w:sz w:val="22"/>
                          <w:lang w:val="es-ES"/>
                        </w:rPr>
                      </w:pPr>
                      <w:r w:rsidRPr="00320458">
                        <w:rPr>
                          <w:rFonts w:asciiTheme="minorHAnsi" w:hAnsiTheme="minorHAnsi"/>
                          <w:color w:val="FFFFFF" w:themeColor="background1"/>
                          <w:sz w:val="22"/>
                          <w:lang w:val="es-ES"/>
                        </w:rPr>
                        <w:t>Original: español</w:t>
                      </w:r>
                    </w:p>
                  </w:txbxContent>
                </v:textbox>
              </v:shape>
            </w:pict>
          </mc:Fallback>
        </mc:AlternateContent>
      </w:r>
    </w:p>
    <w:p w:rsidR="00040C3A" w:rsidRPr="00324651" w:rsidRDefault="00040C3A" w:rsidP="00040C3A">
      <w:pPr>
        <w:tabs>
          <w:tab w:val="center" w:pos="5400"/>
        </w:tabs>
        <w:suppressAutoHyphens/>
        <w:jc w:val="center"/>
        <w:rPr>
          <w:rFonts w:asciiTheme="majorHAnsi" w:hAnsiTheme="majorHAnsi"/>
          <w:sz w:val="22"/>
          <w:szCs w:val="22"/>
          <w:lang w:val="es-ES_tradnl"/>
        </w:rPr>
      </w:pPr>
    </w:p>
    <w:p w:rsidR="00040C3A" w:rsidRPr="00324651" w:rsidRDefault="00040C3A" w:rsidP="00040C3A">
      <w:pPr>
        <w:tabs>
          <w:tab w:val="center" w:pos="5400"/>
        </w:tabs>
        <w:suppressAutoHyphens/>
        <w:jc w:val="center"/>
        <w:rPr>
          <w:rFonts w:asciiTheme="majorHAnsi" w:hAnsiTheme="majorHAnsi"/>
          <w:sz w:val="22"/>
          <w:szCs w:val="22"/>
          <w:lang w:val="es-ES_tradnl"/>
        </w:rPr>
      </w:pPr>
    </w:p>
    <w:p w:rsidR="00040C3A" w:rsidRPr="00324651" w:rsidRDefault="00040C3A" w:rsidP="00040C3A">
      <w:pPr>
        <w:tabs>
          <w:tab w:val="center" w:pos="5400"/>
        </w:tabs>
        <w:suppressAutoHyphens/>
        <w:jc w:val="center"/>
        <w:rPr>
          <w:rFonts w:asciiTheme="majorHAnsi" w:hAnsiTheme="majorHAnsi" w:cs="Arial"/>
          <w:sz w:val="22"/>
          <w:szCs w:val="22"/>
          <w:lang w:val="es-ES_tradnl"/>
        </w:rPr>
      </w:pPr>
    </w:p>
    <w:p w:rsidR="00040C3A" w:rsidRPr="00324651" w:rsidRDefault="00040C3A" w:rsidP="00040C3A">
      <w:pPr>
        <w:tabs>
          <w:tab w:val="center" w:pos="5400"/>
        </w:tabs>
        <w:suppressAutoHyphens/>
        <w:jc w:val="center"/>
        <w:rPr>
          <w:rFonts w:asciiTheme="majorHAnsi" w:hAnsiTheme="majorHAnsi"/>
          <w:sz w:val="22"/>
          <w:szCs w:val="22"/>
          <w:lang w:val="es-ES_tradnl"/>
        </w:rPr>
      </w:pPr>
    </w:p>
    <w:p w:rsidR="00040C3A" w:rsidRPr="00324651" w:rsidRDefault="00040C3A" w:rsidP="00040C3A">
      <w:pPr>
        <w:tabs>
          <w:tab w:val="center" w:pos="5400"/>
        </w:tabs>
        <w:suppressAutoHyphens/>
        <w:jc w:val="center"/>
        <w:rPr>
          <w:rFonts w:asciiTheme="majorHAnsi" w:hAnsiTheme="majorHAnsi"/>
          <w:sz w:val="22"/>
          <w:szCs w:val="22"/>
          <w:lang w:val="es-ES_tradnl"/>
        </w:rPr>
      </w:pPr>
    </w:p>
    <w:p w:rsidR="00040C3A" w:rsidRPr="00324651" w:rsidRDefault="00040C3A" w:rsidP="00040C3A">
      <w:pPr>
        <w:tabs>
          <w:tab w:val="center" w:pos="5400"/>
        </w:tabs>
        <w:suppressAutoHyphens/>
        <w:jc w:val="center"/>
        <w:rPr>
          <w:rFonts w:asciiTheme="majorHAnsi" w:hAnsiTheme="majorHAnsi"/>
          <w:sz w:val="22"/>
          <w:szCs w:val="22"/>
          <w:lang w:val="es-ES_tradnl"/>
        </w:rPr>
      </w:pPr>
    </w:p>
    <w:p w:rsidR="00040C3A" w:rsidRPr="00324651" w:rsidRDefault="00040C3A" w:rsidP="00040C3A">
      <w:pPr>
        <w:tabs>
          <w:tab w:val="center" w:pos="5400"/>
        </w:tabs>
        <w:suppressAutoHyphens/>
        <w:jc w:val="center"/>
        <w:rPr>
          <w:rFonts w:asciiTheme="majorHAnsi" w:hAnsiTheme="majorHAnsi"/>
          <w:sz w:val="22"/>
          <w:szCs w:val="22"/>
          <w:lang w:val="es-ES_tradnl"/>
        </w:rPr>
      </w:pPr>
    </w:p>
    <w:p w:rsidR="005128E4" w:rsidRPr="00324651" w:rsidRDefault="005128E4" w:rsidP="00040C3A">
      <w:pPr>
        <w:tabs>
          <w:tab w:val="center" w:pos="5400"/>
        </w:tabs>
        <w:suppressAutoHyphens/>
        <w:jc w:val="center"/>
        <w:rPr>
          <w:rFonts w:asciiTheme="majorHAnsi" w:hAnsiTheme="majorHAnsi"/>
          <w:sz w:val="22"/>
          <w:szCs w:val="22"/>
          <w:lang w:val="es-ES_tradnl"/>
        </w:rPr>
      </w:pPr>
    </w:p>
    <w:p w:rsidR="00040C3A" w:rsidRPr="00324651" w:rsidRDefault="00040C3A" w:rsidP="00040C3A">
      <w:pPr>
        <w:tabs>
          <w:tab w:val="center" w:pos="5400"/>
        </w:tabs>
        <w:suppressAutoHyphens/>
        <w:jc w:val="center"/>
        <w:rPr>
          <w:rFonts w:asciiTheme="majorHAnsi" w:hAnsiTheme="majorHAnsi"/>
          <w:sz w:val="22"/>
          <w:szCs w:val="22"/>
          <w:lang w:val="es-ES_tradnl"/>
        </w:rPr>
      </w:pPr>
    </w:p>
    <w:p w:rsidR="005128E4" w:rsidRPr="00324651" w:rsidRDefault="005128E4" w:rsidP="00040C3A">
      <w:pPr>
        <w:tabs>
          <w:tab w:val="center" w:pos="5400"/>
        </w:tabs>
        <w:suppressAutoHyphens/>
        <w:jc w:val="center"/>
        <w:rPr>
          <w:rFonts w:asciiTheme="majorHAnsi" w:hAnsiTheme="majorHAnsi"/>
          <w:sz w:val="22"/>
          <w:szCs w:val="22"/>
          <w:lang w:val="es-ES_tradnl"/>
        </w:rPr>
      </w:pPr>
    </w:p>
    <w:p w:rsidR="005128E4" w:rsidRPr="00324651" w:rsidRDefault="005128E4" w:rsidP="00040C3A">
      <w:pPr>
        <w:tabs>
          <w:tab w:val="center" w:pos="5400"/>
        </w:tabs>
        <w:suppressAutoHyphens/>
        <w:jc w:val="center"/>
        <w:rPr>
          <w:rFonts w:asciiTheme="majorHAnsi" w:hAnsiTheme="majorHAnsi"/>
          <w:sz w:val="22"/>
          <w:szCs w:val="22"/>
          <w:lang w:val="es-ES_tradnl"/>
        </w:rPr>
      </w:pPr>
    </w:p>
    <w:p w:rsidR="005128E4" w:rsidRPr="00324651" w:rsidRDefault="005128E4" w:rsidP="00040C3A">
      <w:pPr>
        <w:tabs>
          <w:tab w:val="center" w:pos="5400"/>
        </w:tabs>
        <w:suppressAutoHyphens/>
        <w:jc w:val="center"/>
        <w:rPr>
          <w:rFonts w:asciiTheme="majorHAnsi" w:hAnsiTheme="majorHAnsi"/>
          <w:sz w:val="22"/>
          <w:szCs w:val="22"/>
          <w:lang w:val="es-ES_tradnl"/>
        </w:rPr>
      </w:pPr>
    </w:p>
    <w:p w:rsidR="00040C3A" w:rsidRPr="00324651" w:rsidRDefault="00040C3A" w:rsidP="00040C3A">
      <w:pPr>
        <w:tabs>
          <w:tab w:val="center" w:pos="5400"/>
        </w:tabs>
        <w:suppressAutoHyphens/>
        <w:jc w:val="center"/>
        <w:rPr>
          <w:rFonts w:asciiTheme="majorHAnsi" w:hAnsiTheme="majorHAnsi"/>
          <w:sz w:val="22"/>
          <w:szCs w:val="22"/>
          <w:lang w:val="es-ES_tradnl"/>
        </w:rPr>
      </w:pPr>
    </w:p>
    <w:p w:rsidR="00040C3A" w:rsidRPr="00324651" w:rsidRDefault="00040C3A" w:rsidP="00040C3A">
      <w:pPr>
        <w:tabs>
          <w:tab w:val="center" w:pos="5400"/>
        </w:tabs>
        <w:suppressAutoHyphens/>
        <w:jc w:val="center"/>
        <w:rPr>
          <w:rFonts w:asciiTheme="majorHAnsi" w:hAnsiTheme="majorHAnsi"/>
          <w:sz w:val="22"/>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710A2A"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890650" w:rsidRDefault="008968F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A04B38">
                              <w:rPr>
                                <w:rFonts w:asciiTheme="majorHAnsi" w:hAnsiTheme="majorHAnsi"/>
                                <w:color w:val="0D0D0D" w:themeColor="text1" w:themeTint="F2"/>
                                <w:sz w:val="18"/>
                                <w:szCs w:val="20"/>
                                <w:lang w:val="es-ES"/>
                              </w:rPr>
                              <w:t>2046</w:t>
                            </w:r>
                            <w:r w:rsidRPr="00890650">
                              <w:rPr>
                                <w:rFonts w:asciiTheme="majorHAnsi" w:hAnsiTheme="majorHAnsi"/>
                                <w:color w:val="0D0D0D" w:themeColor="text1" w:themeTint="F2"/>
                                <w:sz w:val="18"/>
                                <w:szCs w:val="20"/>
                                <w:lang w:val="es-ES"/>
                              </w:rPr>
                              <w:t xml:space="preserve"> celebrada el </w:t>
                            </w:r>
                            <w:r w:rsidR="00A04B38">
                              <w:rPr>
                                <w:rFonts w:asciiTheme="majorHAnsi" w:hAnsiTheme="majorHAnsi"/>
                                <w:color w:val="0D0D0D" w:themeColor="text1" w:themeTint="F2"/>
                                <w:sz w:val="18"/>
                                <w:szCs w:val="20"/>
                                <w:lang w:val="es-ES"/>
                              </w:rPr>
                              <w:t>17</w:t>
                            </w:r>
                            <w:r w:rsidRPr="00890650">
                              <w:rPr>
                                <w:rFonts w:asciiTheme="majorHAnsi" w:hAnsiTheme="majorHAnsi"/>
                                <w:color w:val="0D0D0D" w:themeColor="text1" w:themeTint="F2"/>
                                <w:sz w:val="18"/>
                                <w:szCs w:val="20"/>
                                <w:lang w:val="es-ES"/>
                              </w:rPr>
                              <w:t xml:space="preserve"> de </w:t>
                            </w:r>
                            <w:r w:rsidR="00B54F62">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147670">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sidR="00426B43">
                              <w:rPr>
                                <w:rFonts w:asciiTheme="majorHAnsi" w:hAnsiTheme="majorHAnsi" w:cs="Univers"/>
                                <w:color w:val="0D0D0D" w:themeColor="text1" w:themeTint="F2"/>
                                <w:sz w:val="18"/>
                                <w:szCs w:val="20"/>
                                <w:lang w:val="es-ES_tradnl"/>
                              </w:rPr>
                              <w:t>6</w:t>
                            </w:r>
                            <w:r w:rsidRPr="00890650">
                              <w:rPr>
                                <w:rFonts w:asciiTheme="majorHAnsi" w:hAnsiTheme="majorHAnsi" w:cs="Univers"/>
                                <w:color w:val="0D0D0D" w:themeColor="text1" w:themeTint="F2"/>
                                <w:sz w:val="18"/>
                                <w:szCs w:val="20"/>
                                <w:lang w:val="es-ES_tradnl"/>
                              </w:rPr>
                              <w:t xml:space="preserve"> período ordinario de sesiones</w:t>
                            </w:r>
                            <w:r w:rsidR="00D173DE">
                              <w:rPr>
                                <w:rFonts w:asciiTheme="majorHAnsi" w:hAnsiTheme="majorHAnsi" w:cs="Univers"/>
                                <w:color w:val="0D0D0D" w:themeColor="text1" w:themeTint="F2"/>
                                <w:sz w:val="18"/>
                                <w:szCs w:val="20"/>
                                <w:lang w:val="es-ES_tradnl"/>
                              </w:rPr>
                              <w:t>.</w:t>
                            </w:r>
                          </w:p>
                          <w:p w:rsidR="008968F9" w:rsidRPr="00A04B38" w:rsidRDefault="008968F9" w:rsidP="0059191A">
                            <w:pPr>
                              <w:tabs>
                                <w:tab w:val="center" w:pos="5400"/>
                              </w:tabs>
                              <w:suppressAutoHyphens/>
                              <w:spacing w:before="60"/>
                              <w:rPr>
                                <w:rFonts w:ascii="Calibri" w:hAnsi="Calibri"/>
                                <w:color w:val="FFFFFF" w:themeColor="background1"/>
                                <w:spacing w:val="-2"/>
                                <w:sz w:val="16"/>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8968F9" w:rsidRPr="00890650" w:rsidRDefault="008968F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A04B38">
                        <w:rPr>
                          <w:rFonts w:asciiTheme="majorHAnsi" w:hAnsiTheme="majorHAnsi"/>
                          <w:color w:val="0D0D0D" w:themeColor="text1" w:themeTint="F2"/>
                          <w:sz w:val="18"/>
                          <w:szCs w:val="20"/>
                          <w:lang w:val="es-ES"/>
                        </w:rPr>
                        <w:t>2046</w:t>
                      </w:r>
                      <w:r w:rsidRPr="00890650">
                        <w:rPr>
                          <w:rFonts w:asciiTheme="majorHAnsi" w:hAnsiTheme="majorHAnsi"/>
                          <w:color w:val="0D0D0D" w:themeColor="text1" w:themeTint="F2"/>
                          <w:sz w:val="18"/>
                          <w:szCs w:val="20"/>
                          <w:lang w:val="es-ES"/>
                        </w:rPr>
                        <w:t xml:space="preserve"> celebrada el </w:t>
                      </w:r>
                      <w:r w:rsidR="00A04B38">
                        <w:rPr>
                          <w:rFonts w:asciiTheme="majorHAnsi" w:hAnsiTheme="majorHAnsi"/>
                          <w:color w:val="0D0D0D" w:themeColor="text1" w:themeTint="F2"/>
                          <w:sz w:val="18"/>
                          <w:szCs w:val="20"/>
                          <w:lang w:val="es-ES"/>
                        </w:rPr>
                        <w:t>17</w:t>
                      </w:r>
                      <w:r w:rsidRPr="00890650">
                        <w:rPr>
                          <w:rFonts w:asciiTheme="majorHAnsi" w:hAnsiTheme="majorHAnsi"/>
                          <w:color w:val="0D0D0D" w:themeColor="text1" w:themeTint="F2"/>
                          <w:sz w:val="18"/>
                          <w:szCs w:val="20"/>
                          <w:lang w:val="es-ES"/>
                        </w:rPr>
                        <w:t xml:space="preserve"> de </w:t>
                      </w:r>
                      <w:r w:rsidR="00B54F62">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147670">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sidR="00426B43">
                        <w:rPr>
                          <w:rFonts w:asciiTheme="majorHAnsi" w:hAnsiTheme="majorHAnsi" w:cs="Univers"/>
                          <w:color w:val="0D0D0D" w:themeColor="text1" w:themeTint="F2"/>
                          <w:sz w:val="18"/>
                          <w:szCs w:val="20"/>
                          <w:lang w:val="es-ES_tradnl"/>
                        </w:rPr>
                        <w:t>6</w:t>
                      </w:r>
                      <w:r w:rsidRPr="00890650">
                        <w:rPr>
                          <w:rFonts w:asciiTheme="majorHAnsi" w:hAnsiTheme="majorHAnsi" w:cs="Univers"/>
                          <w:color w:val="0D0D0D" w:themeColor="text1" w:themeTint="F2"/>
                          <w:sz w:val="18"/>
                          <w:szCs w:val="20"/>
                          <w:lang w:val="es-ES_tradnl"/>
                        </w:rPr>
                        <w:t xml:space="preserve"> período ordinario de sesiones</w:t>
                      </w:r>
                      <w:r w:rsidR="00D173DE">
                        <w:rPr>
                          <w:rFonts w:asciiTheme="majorHAnsi" w:hAnsiTheme="majorHAnsi" w:cs="Univers"/>
                          <w:color w:val="0D0D0D" w:themeColor="text1" w:themeTint="F2"/>
                          <w:sz w:val="18"/>
                          <w:szCs w:val="20"/>
                          <w:lang w:val="es-ES_tradnl"/>
                        </w:rPr>
                        <w:t>.</w:t>
                      </w:r>
                    </w:p>
                    <w:p w:rsidR="008968F9" w:rsidRPr="00A04B38" w:rsidRDefault="008968F9" w:rsidP="0059191A">
                      <w:pPr>
                        <w:tabs>
                          <w:tab w:val="center" w:pos="5400"/>
                        </w:tabs>
                        <w:suppressAutoHyphens/>
                        <w:spacing w:before="60"/>
                        <w:rPr>
                          <w:rFonts w:ascii="Calibri" w:hAnsi="Calibri"/>
                          <w:color w:val="FFFFFF" w:themeColor="background1"/>
                          <w:spacing w:val="-2"/>
                          <w:sz w:val="16"/>
                          <w:lang w:val="es-ES_tradnl"/>
                        </w:rPr>
                      </w:pPr>
                    </w:p>
                  </w:txbxContent>
                </v:textbox>
              </v:shape>
            </w:pict>
          </mc:Fallback>
        </mc:AlternateContent>
      </w: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A50FCF" w:rsidRPr="00324651" w:rsidRDefault="00710A2A"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78720"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181829" w:rsidRDefault="008968F9" w:rsidP="00113F73">
                            <w:pPr>
                              <w:spacing w:line="276" w:lineRule="auto"/>
                              <w:rPr>
                                <w:rFonts w:asciiTheme="majorHAnsi" w:hAnsiTheme="majorHAnsi"/>
                                <w:color w:val="595959" w:themeColor="text1" w:themeTint="A6"/>
                                <w:sz w:val="18"/>
                                <w:szCs w:val="18"/>
                                <w:lang w:val="es-ES"/>
                              </w:rPr>
                            </w:pPr>
                            <w:r w:rsidRPr="00C30D85">
                              <w:rPr>
                                <w:rFonts w:ascii="Cambria" w:hAnsi="Cambria"/>
                                <w:b/>
                                <w:color w:val="595959"/>
                                <w:sz w:val="18"/>
                                <w:szCs w:val="18"/>
                                <w:lang w:val="es-ES"/>
                              </w:rPr>
                              <w:t>Citar como:</w:t>
                            </w:r>
                            <w:r w:rsidRPr="00C30D85">
                              <w:rPr>
                                <w:rFonts w:ascii="Cambria" w:hAnsi="Cambria"/>
                                <w:color w:val="595959"/>
                                <w:sz w:val="18"/>
                                <w:szCs w:val="18"/>
                                <w:lang w:val="es-ES"/>
                              </w:rPr>
                              <w:t xml:space="preserve"> CIDH, Informe No. </w:t>
                            </w:r>
                            <w:r w:rsidR="00A04B38">
                              <w:rPr>
                                <w:rFonts w:ascii="Cambria" w:hAnsi="Cambria"/>
                                <w:color w:val="595959"/>
                                <w:sz w:val="18"/>
                                <w:szCs w:val="18"/>
                                <w:lang w:val="es-ES"/>
                              </w:rPr>
                              <w:t>54/15</w:t>
                            </w:r>
                            <w:r w:rsidRPr="00C30D85">
                              <w:rPr>
                                <w:rFonts w:ascii="Cambria" w:hAnsi="Cambria"/>
                                <w:color w:val="595959"/>
                                <w:sz w:val="18"/>
                                <w:szCs w:val="18"/>
                                <w:lang w:val="es-ES"/>
                              </w:rPr>
                              <w:t xml:space="preserve">, </w:t>
                            </w:r>
                            <w:r w:rsidR="00994E50" w:rsidRPr="00C30D85">
                              <w:rPr>
                                <w:rFonts w:ascii="Cambria" w:hAnsi="Cambria"/>
                                <w:color w:val="595959"/>
                                <w:sz w:val="18"/>
                                <w:szCs w:val="18"/>
                                <w:lang w:val="es-ES"/>
                              </w:rPr>
                              <w:t>Petición</w:t>
                            </w:r>
                            <w:r w:rsidR="0073174A" w:rsidRPr="00C30D85">
                              <w:rPr>
                                <w:rFonts w:ascii="Cambria" w:hAnsi="Cambria"/>
                                <w:color w:val="595959"/>
                                <w:sz w:val="18"/>
                                <w:szCs w:val="18"/>
                                <w:lang w:val="es-ES"/>
                              </w:rPr>
                              <w:t xml:space="preserve"> 467-97</w:t>
                            </w:r>
                            <w:r w:rsidRPr="00C30D85">
                              <w:rPr>
                                <w:rFonts w:ascii="Cambria" w:hAnsi="Cambria"/>
                                <w:color w:val="595959"/>
                                <w:sz w:val="18"/>
                                <w:szCs w:val="18"/>
                                <w:lang w:val="es-ES"/>
                              </w:rPr>
                              <w:t xml:space="preserve">. </w:t>
                            </w:r>
                            <w:r w:rsidRPr="001018AE">
                              <w:rPr>
                                <w:rFonts w:ascii="Cambria" w:hAnsi="Cambria"/>
                                <w:color w:val="595959"/>
                                <w:sz w:val="18"/>
                                <w:szCs w:val="18"/>
                                <w:lang w:val="es-ES_tradnl"/>
                              </w:rPr>
                              <w:t>A</w:t>
                            </w:r>
                            <w:r>
                              <w:rPr>
                                <w:rFonts w:ascii="Cambria" w:hAnsi="Cambria"/>
                                <w:color w:val="595959"/>
                                <w:sz w:val="18"/>
                                <w:szCs w:val="18"/>
                                <w:lang w:val="es-ES_tradnl"/>
                              </w:rPr>
                              <w:t xml:space="preserve">dmisibilidad. </w:t>
                            </w:r>
                            <w:r w:rsidR="0073174A">
                              <w:rPr>
                                <w:rFonts w:ascii="Cambria" w:hAnsi="Cambria"/>
                                <w:color w:val="595959"/>
                                <w:sz w:val="18"/>
                                <w:szCs w:val="18"/>
                                <w:lang w:val="es-ES"/>
                              </w:rPr>
                              <w:t>Masacre de Campamento</w:t>
                            </w:r>
                            <w:r>
                              <w:rPr>
                                <w:rFonts w:ascii="Cambria" w:hAnsi="Cambria"/>
                                <w:color w:val="595959"/>
                                <w:sz w:val="18"/>
                                <w:szCs w:val="18"/>
                                <w:lang w:val="es-ES_tradnl"/>
                              </w:rPr>
                              <w:t>. Colombia.</w:t>
                            </w:r>
                            <w:r w:rsidRPr="00C25F1F">
                              <w:rPr>
                                <w:rFonts w:asciiTheme="majorHAnsi" w:hAnsiTheme="majorHAnsi"/>
                                <w:color w:val="595959" w:themeColor="text1" w:themeTint="A6"/>
                                <w:sz w:val="18"/>
                                <w:szCs w:val="18"/>
                                <w:lang w:val="es-ES"/>
                              </w:rPr>
                              <w:t xml:space="preserve"> </w:t>
                            </w:r>
                            <w:r w:rsidR="00A04B38">
                              <w:rPr>
                                <w:rFonts w:asciiTheme="majorHAnsi" w:hAnsiTheme="majorHAnsi"/>
                                <w:color w:val="595959" w:themeColor="text1" w:themeTint="A6"/>
                                <w:sz w:val="18"/>
                                <w:szCs w:val="18"/>
                                <w:lang w:val="es-ES"/>
                              </w:rPr>
                              <w:t>17 de octubre de 2015</w:t>
                            </w:r>
                            <w:r w:rsidRPr="0018182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" filled="f" stroked="f" strokeweight=".5pt">
                <v:path arrowok="t"/>
                <v:textbox>
                  <w:txbxContent>
                    <w:p w:rsidR="008968F9" w:rsidRPr="00181829" w:rsidRDefault="008968F9" w:rsidP="00113F73">
                      <w:pPr>
                        <w:spacing w:line="276" w:lineRule="auto"/>
                        <w:rPr>
                          <w:rFonts w:asciiTheme="majorHAnsi" w:hAnsiTheme="majorHAnsi"/>
                          <w:color w:val="595959" w:themeColor="text1" w:themeTint="A6"/>
                          <w:sz w:val="18"/>
                          <w:szCs w:val="18"/>
                          <w:lang w:val="es-ES"/>
                        </w:rPr>
                      </w:pPr>
                      <w:r w:rsidRPr="00C30D85">
                        <w:rPr>
                          <w:rFonts w:ascii="Cambria" w:hAnsi="Cambria"/>
                          <w:b/>
                          <w:color w:val="595959"/>
                          <w:sz w:val="18"/>
                          <w:szCs w:val="18"/>
                          <w:lang w:val="es-ES"/>
                        </w:rPr>
                        <w:t>Citar como:</w:t>
                      </w:r>
                      <w:r w:rsidRPr="00C30D85">
                        <w:rPr>
                          <w:rFonts w:ascii="Cambria" w:hAnsi="Cambria"/>
                          <w:color w:val="595959"/>
                          <w:sz w:val="18"/>
                          <w:szCs w:val="18"/>
                          <w:lang w:val="es-ES"/>
                        </w:rPr>
                        <w:t xml:space="preserve"> CIDH, Informe No. </w:t>
                      </w:r>
                      <w:r w:rsidR="00A04B38">
                        <w:rPr>
                          <w:rFonts w:ascii="Cambria" w:hAnsi="Cambria"/>
                          <w:color w:val="595959"/>
                          <w:sz w:val="18"/>
                          <w:szCs w:val="18"/>
                          <w:lang w:val="es-ES"/>
                        </w:rPr>
                        <w:t>54/15</w:t>
                      </w:r>
                      <w:r w:rsidRPr="00C30D85">
                        <w:rPr>
                          <w:rFonts w:ascii="Cambria" w:hAnsi="Cambria"/>
                          <w:color w:val="595959"/>
                          <w:sz w:val="18"/>
                          <w:szCs w:val="18"/>
                          <w:lang w:val="es-ES"/>
                        </w:rPr>
                        <w:t xml:space="preserve">, </w:t>
                      </w:r>
                      <w:r w:rsidR="00994E50" w:rsidRPr="00C30D85">
                        <w:rPr>
                          <w:rFonts w:ascii="Cambria" w:hAnsi="Cambria"/>
                          <w:color w:val="595959"/>
                          <w:sz w:val="18"/>
                          <w:szCs w:val="18"/>
                          <w:lang w:val="es-ES"/>
                        </w:rPr>
                        <w:t>Petición</w:t>
                      </w:r>
                      <w:r w:rsidR="0073174A" w:rsidRPr="00C30D85">
                        <w:rPr>
                          <w:rFonts w:ascii="Cambria" w:hAnsi="Cambria"/>
                          <w:color w:val="595959"/>
                          <w:sz w:val="18"/>
                          <w:szCs w:val="18"/>
                          <w:lang w:val="es-ES"/>
                        </w:rPr>
                        <w:t xml:space="preserve"> 467-97</w:t>
                      </w:r>
                      <w:r w:rsidRPr="00C30D85">
                        <w:rPr>
                          <w:rFonts w:ascii="Cambria" w:hAnsi="Cambria"/>
                          <w:color w:val="595959"/>
                          <w:sz w:val="18"/>
                          <w:szCs w:val="18"/>
                          <w:lang w:val="es-ES"/>
                        </w:rPr>
                        <w:t xml:space="preserve">. </w:t>
                      </w:r>
                      <w:r w:rsidRPr="001018AE">
                        <w:rPr>
                          <w:rFonts w:ascii="Cambria" w:hAnsi="Cambria"/>
                          <w:color w:val="595959"/>
                          <w:sz w:val="18"/>
                          <w:szCs w:val="18"/>
                          <w:lang w:val="es-ES_tradnl"/>
                        </w:rPr>
                        <w:t>A</w:t>
                      </w:r>
                      <w:r>
                        <w:rPr>
                          <w:rFonts w:ascii="Cambria" w:hAnsi="Cambria"/>
                          <w:color w:val="595959"/>
                          <w:sz w:val="18"/>
                          <w:szCs w:val="18"/>
                          <w:lang w:val="es-ES_tradnl"/>
                        </w:rPr>
                        <w:t xml:space="preserve">dmisibilidad. </w:t>
                      </w:r>
                      <w:r w:rsidR="0073174A">
                        <w:rPr>
                          <w:rFonts w:ascii="Cambria" w:hAnsi="Cambria"/>
                          <w:color w:val="595959"/>
                          <w:sz w:val="18"/>
                          <w:szCs w:val="18"/>
                          <w:lang w:val="es-ES"/>
                        </w:rPr>
                        <w:t>Masacre de Campamento</w:t>
                      </w:r>
                      <w:r>
                        <w:rPr>
                          <w:rFonts w:ascii="Cambria" w:hAnsi="Cambria"/>
                          <w:color w:val="595959"/>
                          <w:sz w:val="18"/>
                          <w:szCs w:val="18"/>
                          <w:lang w:val="es-ES_tradnl"/>
                        </w:rPr>
                        <w:t>. Colombia.</w:t>
                      </w:r>
                      <w:r w:rsidRPr="00C25F1F">
                        <w:rPr>
                          <w:rFonts w:asciiTheme="majorHAnsi" w:hAnsiTheme="majorHAnsi"/>
                          <w:color w:val="595959" w:themeColor="text1" w:themeTint="A6"/>
                          <w:sz w:val="18"/>
                          <w:szCs w:val="18"/>
                          <w:lang w:val="es-ES"/>
                        </w:rPr>
                        <w:t xml:space="preserve"> </w:t>
                      </w:r>
                      <w:r w:rsidR="00A04B38">
                        <w:rPr>
                          <w:rFonts w:asciiTheme="majorHAnsi" w:hAnsiTheme="majorHAnsi"/>
                          <w:color w:val="595959" w:themeColor="text1" w:themeTint="A6"/>
                          <w:sz w:val="18"/>
                          <w:szCs w:val="18"/>
                          <w:lang w:val="es-ES"/>
                        </w:rPr>
                        <w:t>17 de octubre de 2015</w:t>
                      </w:r>
                      <w:r w:rsidRPr="00181829">
                        <w:rPr>
                          <w:rFonts w:asciiTheme="majorHAnsi" w:hAnsiTheme="majorHAnsi"/>
                          <w:color w:val="595959" w:themeColor="text1" w:themeTint="A6"/>
                          <w:sz w:val="18"/>
                          <w:szCs w:val="18"/>
                          <w:lang w:val="es-ES"/>
                        </w:rPr>
                        <w:t>.</w:t>
                      </w:r>
                    </w:p>
                  </w:txbxContent>
                </v:textbox>
              </v:shape>
            </w:pict>
          </mc:Fallback>
        </mc:AlternateContent>
      </w:r>
    </w:p>
    <w:p w:rsidR="00A50FCF" w:rsidRPr="00324651" w:rsidRDefault="00A50FCF" w:rsidP="00040C3A">
      <w:pPr>
        <w:tabs>
          <w:tab w:val="center" w:pos="5400"/>
        </w:tabs>
        <w:suppressAutoHyphens/>
        <w:jc w:val="center"/>
        <w:rPr>
          <w:rFonts w:asciiTheme="majorHAnsi" w:hAnsiTheme="majorHAnsi"/>
          <w:sz w:val="18"/>
          <w:szCs w:val="22"/>
          <w:lang w:val="es-ES_tradnl"/>
        </w:rPr>
      </w:pPr>
    </w:p>
    <w:p w:rsidR="0090270B" w:rsidRPr="00324651" w:rsidRDefault="00710A2A"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D72DC6" w:rsidRDefault="008968F9"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" fillcolor="white [3201]" stroked="f" strokeweight=".5pt">
                <v:path arrowok="t"/>
                <v:textbox>
                  <w:txbxContent>
                    <w:p w:rsidR="008968F9" w:rsidRPr="00D72DC6" w:rsidRDefault="008968F9"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2816"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4B7EB6" w:rsidRDefault="008968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jT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c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CYKyNOOAgAAggUAAA4AAAAAAAAAAAAAAAAALgIAAGRycy9lMm9Eb2MueG1sUEsB&#10;Ai0AFAAGAAgAAAAhACDAf2/gAAAACwEAAA8AAAAAAAAAAAAAAAAA6AQAAGRycy9kb3ducmV2Lnht&#10;bFBLBQYAAAAABAAEAPMAAAD1BQAAAAA=&#10;" filled="f" stroked="f" strokeweight=".5pt">
                <v:path arrowok="t"/>
                <v:textbox>
                  <w:txbxContent>
                    <w:p w:rsidR="008968F9" w:rsidRPr="004B7EB6" w:rsidRDefault="008968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24651" w:rsidRDefault="0070697F" w:rsidP="005516A1">
      <w:pPr>
        <w:tabs>
          <w:tab w:val="center" w:pos="5400"/>
        </w:tabs>
        <w:suppressAutoHyphens/>
        <w:jc w:val="center"/>
        <w:rPr>
          <w:rFonts w:asciiTheme="majorHAnsi" w:hAnsiTheme="majorHAnsi"/>
          <w:b/>
          <w:sz w:val="20"/>
          <w:lang w:val="es-ES_tradnl"/>
        </w:rPr>
        <w:sectPr w:rsidR="0070697F" w:rsidRPr="00324651"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181829" w:rsidRPr="00324651" w:rsidRDefault="00181829" w:rsidP="003F076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Cambria" w:hAnsi="Cambria" w:cs="Calibri"/>
          <w:b/>
          <w:sz w:val="18"/>
          <w:szCs w:val="18"/>
          <w:bdr w:val="none" w:sz="0" w:space="0" w:color="auto"/>
          <w:lang w:val="es-ES"/>
        </w:rPr>
      </w:pPr>
      <w:r w:rsidRPr="00324651">
        <w:rPr>
          <w:rFonts w:ascii="Cambria" w:hAnsi="Cambria" w:cs="Calibri"/>
          <w:b/>
          <w:sz w:val="18"/>
          <w:szCs w:val="18"/>
          <w:bdr w:val="none" w:sz="0" w:space="0" w:color="auto"/>
          <w:lang w:val="es-ES"/>
        </w:rPr>
        <w:lastRenderedPageBreak/>
        <w:t xml:space="preserve">INFORME No. </w:t>
      </w:r>
      <w:r w:rsidR="00A04B38">
        <w:rPr>
          <w:rFonts w:ascii="Cambria" w:hAnsi="Cambria" w:cs="Calibri"/>
          <w:b/>
          <w:sz w:val="18"/>
          <w:szCs w:val="18"/>
          <w:bdr w:val="none" w:sz="0" w:space="0" w:color="auto"/>
          <w:lang w:val="es-ES"/>
        </w:rPr>
        <w:t>54</w:t>
      </w:r>
      <w:r w:rsidRPr="00324651">
        <w:rPr>
          <w:rFonts w:ascii="Cambria" w:hAnsi="Cambria" w:cs="Calibri"/>
          <w:b/>
          <w:sz w:val="18"/>
          <w:szCs w:val="18"/>
          <w:bdr w:val="none" w:sz="0" w:space="0" w:color="auto"/>
          <w:lang w:val="es-ES"/>
        </w:rPr>
        <w:t>/15</w:t>
      </w:r>
    </w:p>
    <w:p w:rsidR="0073174A" w:rsidRPr="0073174A" w:rsidRDefault="0073174A" w:rsidP="007317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b/>
          <w:sz w:val="18"/>
          <w:szCs w:val="18"/>
          <w:bdr w:val="none" w:sz="0" w:space="0" w:color="auto"/>
          <w:lang w:val="es-ES_tradnl"/>
        </w:rPr>
      </w:pPr>
      <w:r w:rsidRPr="002B105B">
        <w:rPr>
          <w:rFonts w:ascii="Cambria" w:hAnsi="Cambria" w:cs="Calibri"/>
          <w:b/>
          <w:sz w:val="18"/>
          <w:szCs w:val="18"/>
          <w:bdr w:val="none" w:sz="0" w:space="0" w:color="auto"/>
          <w:lang w:val="es-ES"/>
        </w:rPr>
        <w:t>PETICIÓN</w:t>
      </w:r>
      <w:r w:rsidRPr="0073174A">
        <w:rPr>
          <w:rFonts w:ascii="Cambria" w:hAnsi="Cambria" w:cs="Calibri"/>
          <w:b/>
          <w:sz w:val="18"/>
          <w:szCs w:val="18"/>
          <w:bdr w:val="none" w:sz="0" w:space="0" w:color="auto"/>
          <w:lang w:val="es-ES_tradnl"/>
        </w:rPr>
        <w:t xml:space="preserve"> 467-97</w:t>
      </w:r>
    </w:p>
    <w:p w:rsidR="00181829" w:rsidRPr="00324651" w:rsidRDefault="00181829" w:rsidP="003F07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sz w:val="18"/>
          <w:szCs w:val="18"/>
          <w:bdr w:val="none" w:sz="0" w:space="0" w:color="auto"/>
          <w:lang w:val="es-ES"/>
        </w:rPr>
      </w:pPr>
      <w:r w:rsidRPr="00324651">
        <w:rPr>
          <w:rFonts w:ascii="Cambria" w:hAnsi="Cambria" w:cs="Calibri"/>
          <w:sz w:val="18"/>
          <w:szCs w:val="18"/>
          <w:bdr w:val="none" w:sz="0" w:space="0" w:color="auto"/>
          <w:lang w:val="es-ES"/>
        </w:rPr>
        <w:t>ADMISIBILIDAD</w:t>
      </w:r>
    </w:p>
    <w:p w:rsidR="00181829" w:rsidRPr="00324651" w:rsidRDefault="0073174A" w:rsidP="003F076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Cambria" w:hAnsi="Cambria" w:cs="Calibri"/>
          <w:caps/>
          <w:snapToGrid w:val="0"/>
          <w:sz w:val="18"/>
          <w:szCs w:val="18"/>
          <w:bdr w:val="none" w:sz="0" w:space="0" w:color="auto"/>
          <w:lang w:val="es-ES"/>
        </w:rPr>
      </w:pPr>
      <w:r>
        <w:rPr>
          <w:rFonts w:ascii="Cambria" w:hAnsi="Cambria" w:cs="Calibri"/>
          <w:caps/>
          <w:snapToGrid w:val="0"/>
          <w:sz w:val="18"/>
          <w:szCs w:val="18"/>
          <w:bdr w:val="none" w:sz="0" w:space="0" w:color="auto"/>
          <w:lang w:val="es-ES"/>
        </w:rPr>
        <w:t>MASACRE DE CAMPAMENTO</w:t>
      </w:r>
    </w:p>
    <w:p w:rsidR="00181829" w:rsidRPr="00324651" w:rsidRDefault="00181829" w:rsidP="003F076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Cambria" w:hAnsi="Cambria" w:cs="Calibri"/>
          <w:sz w:val="18"/>
          <w:szCs w:val="18"/>
          <w:bdr w:val="none" w:sz="0" w:space="0" w:color="auto"/>
          <w:lang w:val="es-ES"/>
        </w:rPr>
      </w:pPr>
      <w:r w:rsidRPr="00324651">
        <w:rPr>
          <w:rFonts w:ascii="Cambria" w:hAnsi="Cambria" w:cs="Calibri"/>
          <w:sz w:val="18"/>
          <w:szCs w:val="18"/>
          <w:bdr w:val="none" w:sz="0" w:space="0" w:color="auto"/>
          <w:lang w:val="es-ES"/>
        </w:rPr>
        <w:t xml:space="preserve">COLOMBIA </w:t>
      </w:r>
    </w:p>
    <w:p w:rsidR="00181829" w:rsidRPr="00A04B38" w:rsidRDefault="00A04B38" w:rsidP="003F07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sz w:val="18"/>
          <w:szCs w:val="18"/>
          <w:bdr w:val="none" w:sz="0" w:space="0" w:color="auto"/>
          <w:lang w:val="es-ES"/>
        </w:rPr>
      </w:pPr>
      <w:r w:rsidRPr="00A04B38">
        <w:rPr>
          <w:rFonts w:ascii="Cambria" w:hAnsi="Cambria" w:cs="Calibri"/>
          <w:sz w:val="18"/>
          <w:szCs w:val="18"/>
          <w:bdr w:val="none" w:sz="0" w:space="0" w:color="auto"/>
          <w:lang w:val="es-ES"/>
        </w:rPr>
        <w:t xml:space="preserve">17 </w:t>
      </w:r>
      <w:r w:rsidR="00CF54D9">
        <w:rPr>
          <w:rFonts w:ascii="Cambria" w:hAnsi="Cambria" w:cs="Calibri"/>
          <w:sz w:val="18"/>
          <w:szCs w:val="18"/>
          <w:bdr w:val="none" w:sz="0" w:space="0" w:color="auto"/>
          <w:lang w:val="es-ES"/>
        </w:rPr>
        <w:t>DE OCTUBRE DE</w:t>
      </w:r>
      <w:r w:rsidRPr="00A04B38">
        <w:rPr>
          <w:rFonts w:ascii="Cambria" w:hAnsi="Cambria" w:cs="Calibri"/>
          <w:sz w:val="18"/>
          <w:szCs w:val="18"/>
          <w:bdr w:val="none" w:sz="0" w:space="0" w:color="auto"/>
          <w:lang w:val="es-ES"/>
        </w:rPr>
        <w:t xml:space="preserve"> 2015</w:t>
      </w:r>
    </w:p>
    <w:p w:rsidR="00A91979" w:rsidRDefault="00A91979" w:rsidP="002E7B2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Calibri"/>
          <w:b/>
          <w:color w:val="FF0000"/>
          <w:sz w:val="20"/>
          <w:szCs w:val="20"/>
          <w:bdr w:val="none" w:sz="0" w:space="0" w:color="auto"/>
          <w:lang w:val="es-ES"/>
        </w:rPr>
      </w:pPr>
    </w:p>
    <w:p w:rsidR="00215A7E" w:rsidRPr="00324651" w:rsidRDefault="00215A7E" w:rsidP="002E7B2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Calibri"/>
          <w:b/>
          <w:color w:val="FF0000"/>
          <w:sz w:val="20"/>
          <w:szCs w:val="20"/>
          <w:bdr w:val="none" w:sz="0" w:space="0" w:color="auto"/>
          <w:lang w:val="es-ES"/>
        </w:rPr>
      </w:pPr>
    </w:p>
    <w:p w:rsidR="00181829" w:rsidRPr="00A76683" w:rsidRDefault="00181829" w:rsidP="00543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bdr w:val="none" w:sz="0" w:space="0" w:color="auto"/>
          <w:lang w:val="es-PE"/>
        </w:rPr>
      </w:pPr>
      <w:r w:rsidRPr="00A76683">
        <w:rPr>
          <w:rFonts w:asciiTheme="majorHAnsi" w:hAnsiTheme="majorHAnsi"/>
          <w:b/>
          <w:sz w:val="20"/>
          <w:szCs w:val="20"/>
          <w:bdr w:val="none" w:sz="0" w:space="0" w:color="auto"/>
          <w:lang w:val="es-PE"/>
        </w:rPr>
        <w:t xml:space="preserve">RESUMEN </w:t>
      </w:r>
    </w:p>
    <w:p w:rsidR="00181829" w:rsidRPr="00A76683"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lang w:val="es-ES"/>
        </w:rPr>
      </w:pPr>
    </w:p>
    <w:p w:rsidR="00BB490B" w:rsidRPr="00451615" w:rsidRDefault="00181829" w:rsidP="003831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cs="Calibri"/>
          <w:snapToGrid w:val="0"/>
          <w:sz w:val="20"/>
          <w:szCs w:val="20"/>
          <w:bdr w:val="none" w:sz="0" w:space="0" w:color="auto"/>
          <w:lang w:val="es-ES"/>
        </w:rPr>
        <w:t>El 8</w:t>
      </w:r>
      <w:r w:rsidRPr="00451615">
        <w:rPr>
          <w:rFonts w:asciiTheme="majorHAnsi" w:hAnsiTheme="majorHAnsi" w:cs="Calibri"/>
          <w:snapToGrid w:val="0"/>
          <w:sz w:val="20"/>
          <w:szCs w:val="20"/>
          <w:bdr w:val="none" w:sz="0" w:space="0" w:color="auto"/>
          <w:lang w:val="es-ES"/>
        </w:rPr>
        <w:t xml:space="preserve"> de agosto de 1997, la </w:t>
      </w:r>
      <w:r w:rsidR="008645A4" w:rsidRPr="00451615">
        <w:rPr>
          <w:rFonts w:asciiTheme="majorHAnsi" w:hAnsiTheme="majorHAnsi" w:cs="Calibri"/>
          <w:snapToGrid w:val="0"/>
          <w:sz w:val="20"/>
          <w:szCs w:val="20"/>
          <w:bdr w:val="none" w:sz="0" w:space="0" w:color="auto"/>
          <w:lang w:val="es-ES"/>
        </w:rPr>
        <w:t>Comisión Interamericana de Derechos Humanos</w:t>
      </w:r>
      <w:r w:rsidRPr="00451615">
        <w:rPr>
          <w:rFonts w:asciiTheme="majorHAnsi" w:hAnsiTheme="majorHAnsi" w:cs="Calibri"/>
          <w:snapToGrid w:val="0"/>
          <w:sz w:val="20"/>
          <w:szCs w:val="20"/>
          <w:bdr w:val="none" w:sz="0" w:space="0" w:color="auto"/>
          <w:lang w:val="es-ES"/>
        </w:rPr>
        <w:t xml:space="preserve"> (en adelante “la Comisión” o “la CIDH”) recibió una petición presentada por la Comisión Colombiana de Juristas (CCJ) y la Asociación de familiares de detenidos desaparecidos (ASFADDES)</w:t>
      </w:r>
      <w:r w:rsidRPr="00451615">
        <w:rPr>
          <w:rFonts w:asciiTheme="majorHAnsi" w:hAnsiTheme="majorHAnsi"/>
          <w:snapToGrid w:val="0"/>
          <w:sz w:val="20"/>
          <w:szCs w:val="20"/>
          <w:bdr w:val="none" w:sz="0" w:space="0" w:color="auto"/>
          <w:vertAlign w:val="superscript"/>
          <w:lang w:val="es-ES"/>
        </w:rPr>
        <w:footnoteReference w:id="2"/>
      </w:r>
      <w:r w:rsidRPr="00451615">
        <w:rPr>
          <w:rFonts w:asciiTheme="majorHAnsi" w:hAnsiTheme="majorHAnsi" w:cs="Calibri"/>
          <w:snapToGrid w:val="0"/>
          <w:sz w:val="20"/>
          <w:szCs w:val="20"/>
          <w:bdr w:val="none" w:sz="0" w:space="0" w:color="auto"/>
          <w:lang w:val="es-ES"/>
        </w:rPr>
        <w:t xml:space="preserve"> (en adelante “los peticionarios”), en la cual se alega </w:t>
      </w:r>
      <w:r w:rsidR="00BB490B" w:rsidRPr="00451615">
        <w:rPr>
          <w:rFonts w:asciiTheme="majorHAnsi" w:hAnsiTheme="majorHAnsi" w:cs="Calibri"/>
          <w:snapToGrid w:val="0"/>
          <w:sz w:val="20"/>
          <w:szCs w:val="20"/>
          <w:bdr w:val="none" w:sz="0" w:space="0" w:color="auto"/>
          <w:lang w:val="es-ES"/>
        </w:rPr>
        <w:t>la responsabilidad internacional de la República de Colombia (en adelante “el Estado” o “Colombia”) por la</w:t>
      </w:r>
      <w:r w:rsidR="00147670" w:rsidRPr="00451615">
        <w:rPr>
          <w:rFonts w:asciiTheme="majorHAnsi" w:hAnsiTheme="majorHAnsi" w:cs="Calibri"/>
          <w:snapToGrid w:val="0"/>
          <w:sz w:val="20"/>
          <w:szCs w:val="20"/>
          <w:bdr w:val="none" w:sz="0" w:space="0" w:color="auto"/>
          <w:lang w:val="es-ES"/>
        </w:rPr>
        <w:t xml:space="preserve"> supuesta</w:t>
      </w:r>
      <w:r w:rsidR="00BB490B" w:rsidRPr="00451615">
        <w:rPr>
          <w:rFonts w:asciiTheme="majorHAnsi" w:hAnsiTheme="majorHAnsi" w:cs="Calibri"/>
          <w:snapToGrid w:val="0"/>
          <w:sz w:val="20"/>
          <w:szCs w:val="20"/>
          <w:bdr w:val="none" w:sz="0" w:space="0" w:color="auto"/>
          <w:lang w:val="es-ES"/>
        </w:rPr>
        <w:t xml:space="preserve"> masacre que el 5 de junio de 1990 habrían perpetrado grupos paramilitares que habrían actuado con aquie</w:t>
      </w:r>
      <w:r w:rsidR="00F32348" w:rsidRPr="00451615">
        <w:rPr>
          <w:rFonts w:asciiTheme="majorHAnsi" w:hAnsiTheme="majorHAnsi" w:cs="Calibri"/>
          <w:snapToGrid w:val="0"/>
          <w:sz w:val="20"/>
          <w:szCs w:val="20"/>
          <w:bdr w:val="none" w:sz="0" w:space="0" w:color="auto"/>
          <w:lang w:val="es-ES"/>
        </w:rPr>
        <w:t xml:space="preserve">scencia del Estado, en contra </w:t>
      </w:r>
      <w:r w:rsidR="00BB490B" w:rsidRPr="00451615">
        <w:rPr>
          <w:rFonts w:asciiTheme="majorHAnsi" w:hAnsiTheme="majorHAnsi" w:cs="Calibri"/>
          <w:snapToGrid w:val="0"/>
          <w:sz w:val="20"/>
          <w:szCs w:val="20"/>
          <w:bdr w:val="none" w:sz="0" w:space="0" w:color="auto"/>
          <w:lang w:val="es-ES"/>
        </w:rPr>
        <w:t>de la familia Duque Lopez en la vereda “la Solita” -municipio de Campamento, Departamento de Antioquia- y por la presunta falta de sanción de los autores materiale</w:t>
      </w:r>
      <w:r w:rsidR="00383136" w:rsidRPr="00451615">
        <w:rPr>
          <w:rFonts w:asciiTheme="majorHAnsi" w:hAnsiTheme="majorHAnsi" w:cs="Calibri"/>
          <w:snapToGrid w:val="0"/>
          <w:sz w:val="20"/>
          <w:szCs w:val="20"/>
          <w:bdr w:val="none" w:sz="0" w:space="0" w:color="auto"/>
          <w:lang w:val="es-ES"/>
        </w:rPr>
        <w:t>s e intelectuales de la masacre</w:t>
      </w:r>
      <w:r w:rsidR="0021069C" w:rsidRPr="00451615">
        <w:rPr>
          <w:rStyle w:val="FootnoteReference"/>
          <w:rFonts w:asciiTheme="majorHAnsi" w:hAnsiTheme="majorHAnsi" w:cs="Calibri"/>
          <w:snapToGrid w:val="0"/>
          <w:sz w:val="20"/>
          <w:szCs w:val="20"/>
          <w:bdr w:val="none" w:sz="0" w:space="0" w:color="auto"/>
          <w:lang w:val="es-ES"/>
        </w:rPr>
        <w:footnoteReference w:id="3"/>
      </w:r>
      <w:r w:rsidR="004C5937" w:rsidRPr="00451615">
        <w:rPr>
          <w:rFonts w:asciiTheme="majorHAnsi" w:hAnsiTheme="majorHAnsi" w:cs="Calibri"/>
          <w:snapToGrid w:val="0"/>
          <w:sz w:val="20"/>
          <w:szCs w:val="20"/>
          <w:bdr w:val="none" w:sz="0" w:space="0" w:color="auto"/>
          <w:lang w:val="es-ES"/>
        </w:rPr>
        <w:t>.</w:t>
      </w:r>
    </w:p>
    <w:p w:rsidR="00BB490B" w:rsidRPr="00451615" w:rsidRDefault="00BB490B" w:rsidP="00BB490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libri"/>
          <w:snapToGrid w:val="0"/>
          <w:sz w:val="20"/>
          <w:szCs w:val="20"/>
          <w:bdr w:val="none" w:sz="0" w:space="0" w:color="auto"/>
          <w:lang w:val="es-ES"/>
        </w:rPr>
      </w:pPr>
    </w:p>
    <w:p w:rsidR="00C1746F" w:rsidRPr="00451615" w:rsidRDefault="007D1D32" w:rsidP="00BB49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451615">
        <w:rPr>
          <w:rFonts w:asciiTheme="majorHAnsi" w:hAnsiTheme="majorHAnsi" w:cs="Calibri"/>
          <w:snapToGrid w:val="0"/>
          <w:sz w:val="20"/>
          <w:szCs w:val="20"/>
          <w:bdr w:val="none" w:sz="0" w:space="0" w:color="auto"/>
          <w:lang w:val="es-ES"/>
        </w:rPr>
        <w:t>Los peticionarios alegan que el Estado es</w:t>
      </w:r>
      <w:r w:rsidR="000F15AB" w:rsidRPr="00451615">
        <w:rPr>
          <w:rFonts w:asciiTheme="majorHAnsi" w:hAnsiTheme="majorHAnsi" w:cs="Calibri"/>
          <w:snapToGrid w:val="0"/>
          <w:sz w:val="20"/>
          <w:szCs w:val="20"/>
          <w:bdr w:val="none" w:sz="0" w:space="0" w:color="auto"/>
          <w:lang w:val="es-ES"/>
        </w:rPr>
        <w:t xml:space="preserve"> responsable por la violación de los artículos</w:t>
      </w:r>
      <w:r w:rsidR="00C1746F" w:rsidRPr="00451615">
        <w:rPr>
          <w:rFonts w:asciiTheme="majorHAnsi" w:hAnsiTheme="majorHAnsi" w:cs="Calibri"/>
          <w:snapToGrid w:val="0"/>
          <w:sz w:val="20"/>
          <w:szCs w:val="20"/>
          <w:bdr w:val="none" w:sz="0" w:space="0" w:color="auto"/>
          <w:lang w:val="es-ES"/>
        </w:rPr>
        <w:t xml:space="preserve"> </w:t>
      </w:r>
      <w:r w:rsidR="000F15AB" w:rsidRPr="00451615">
        <w:rPr>
          <w:rFonts w:asciiTheme="majorHAnsi" w:hAnsiTheme="majorHAnsi" w:cs="Calibri"/>
          <w:snapToGrid w:val="0"/>
          <w:sz w:val="20"/>
          <w:szCs w:val="20"/>
          <w:bdr w:val="none" w:sz="0" w:space="0" w:color="auto"/>
          <w:lang w:val="es-ES"/>
        </w:rPr>
        <w:t>4 (derecho a la vida), 5 (derecho a la integridad personal), 7 (libertad personal), 8 (garantías judiciales), 13 (libertad de pensamiento y expresión), 17 (protección a la familia), 19 (derechos del niño) y 25 (protección judicial) en relación con la obligación de respetar y garantizar los derechos, contenida en el artículo 1.1 de la Convención Americana sobre Derechos Humanos (en lo sucesivo la "Convención Americana" o “Convención”).</w:t>
      </w:r>
      <w:r w:rsidR="000F15AB" w:rsidRPr="00451615">
        <w:rPr>
          <w:rFonts w:asciiTheme="majorHAnsi" w:hAnsiTheme="majorHAnsi"/>
          <w:sz w:val="20"/>
          <w:szCs w:val="20"/>
          <w:lang w:val="es-ES"/>
        </w:rPr>
        <w:t xml:space="preserve"> </w:t>
      </w:r>
      <w:r w:rsidR="000F15AB" w:rsidRPr="00451615">
        <w:rPr>
          <w:rFonts w:asciiTheme="majorHAnsi" w:hAnsiTheme="majorHAnsi" w:cs="Calibri"/>
          <w:snapToGrid w:val="0"/>
          <w:sz w:val="20"/>
          <w:szCs w:val="20"/>
          <w:bdr w:val="none" w:sz="0" w:space="0" w:color="auto"/>
          <w:lang w:val="es-ES"/>
        </w:rPr>
        <w:t>Con relación al agotamiento de recursos internos</w:t>
      </w:r>
      <w:r w:rsidRPr="00451615">
        <w:rPr>
          <w:rFonts w:asciiTheme="majorHAnsi" w:hAnsiTheme="majorHAnsi" w:cs="Calibri"/>
          <w:snapToGrid w:val="0"/>
          <w:sz w:val="20"/>
          <w:szCs w:val="20"/>
          <w:bdr w:val="none" w:sz="0" w:space="0" w:color="auto"/>
          <w:lang w:val="es-ES"/>
        </w:rPr>
        <w:t>,</w:t>
      </w:r>
      <w:r w:rsidR="000F15AB" w:rsidRPr="00451615">
        <w:rPr>
          <w:rFonts w:asciiTheme="majorHAnsi" w:hAnsiTheme="majorHAnsi" w:cs="Calibri"/>
          <w:snapToGrid w:val="0"/>
          <w:sz w:val="20"/>
          <w:szCs w:val="20"/>
          <w:bdr w:val="none" w:sz="0" w:space="0" w:color="auto"/>
          <w:lang w:val="es-ES"/>
        </w:rPr>
        <w:t xml:space="preserve"> sostienen que</w:t>
      </w:r>
      <w:r w:rsidRPr="00451615">
        <w:rPr>
          <w:rFonts w:asciiTheme="majorHAnsi" w:hAnsiTheme="majorHAnsi" w:cs="Calibri"/>
          <w:snapToGrid w:val="0"/>
          <w:sz w:val="20"/>
          <w:szCs w:val="20"/>
          <w:bdr w:val="none" w:sz="0" w:space="0" w:color="auto"/>
          <w:lang w:val="es-ES"/>
        </w:rPr>
        <w:t xml:space="preserve"> a la fecha</w:t>
      </w:r>
      <w:r w:rsidR="000F15AB" w:rsidRPr="00451615">
        <w:rPr>
          <w:rFonts w:asciiTheme="majorHAnsi" w:hAnsiTheme="majorHAnsi" w:cs="Calibri"/>
          <w:snapToGrid w:val="0"/>
          <w:sz w:val="20"/>
          <w:szCs w:val="20"/>
          <w:bdr w:val="none" w:sz="0" w:space="0" w:color="auto"/>
          <w:lang w:val="es-ES"/>
        </w:rPr>
        <w:t xml:space="preserve"> los hechos denunciados permanecen en impunidad por lo que invocaron la aplicación de la excepción al citado requisito, prevista en el artículo 46.2.c de la Convención Americana.</w:t>
      </w:r>
    </w:p>
    <w:p w:rsidR="00BB490B" w:rsidRPr="00451615" w:rsidRDefault="00BB490B" w:rsidP="00BB49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lang w:val="es-ES"/>
        </w:rPr>
      </w:pPr>
    </w:p>
    <w:p w:rsidR="00181829" w:rsidRPr="00451615" w:rsidRDefault="00181829" w:rsidP="00BB49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451615">
        <w:rPr>
          <w:rFonts w:asciiTheme="majorHAnsi" w:hAnsiTheme="majorHAnsi" w:cs="Calibri"/>
          <w:snapToGrid w:val="0"/>
          <w:sz w:val="20"/>
          <w:szCs w:val="20"/>
          <w:bdr w:val="none" w:sz="0" w:space="0" w:color="auto"/>
          <w:lang w:val="es-ES"/>
        </w:rPr>
        <w:t>El Estado solicitó a la Comisión que declarara el caso inadmisible sobre la base del incumplimiento con el requisito del previo agotamiento de los recursos internos previsto en el artículo 46.1.a</w:t>
      </w:r>
      <w:r w:rsidR="00444B98" w:rsidRPr="00451615">
        <w:rPr>
          <w:rFonts w:asciiTheme="majorHAnsi" w:hAnsiTheme="majorHAnsi" w:cs="Calibri"/>
          <w:snapToGrid w:val="0"/>
          <w:sz w:val="20"/>
          <w:szCs w:val="20"/>
          <w:bdr w:val="none" w:sz="0" w:space="0" w:color="auto"/>
          <w:lang w:val="es-ES"/>
        </w:rPr>
        <w:t>)</w:t>
      </w:r>
      <w:r w:rsidRPr="00451615">
        <w:rPr>
          <w:rFonts w:asciiTheme="majorHAnsi" w:hAnsiTheme="majorHAnsi" w:cs="Calibri"/>
          <w:snapToGrid w:val="0"/>
          <w:sz w:val="20"/>
          <w:szCs w:val="20"/>
          <w:bdr w:val="none" w:sz="0" w:space="0" w:color="auto"/>
          <w:lang w:val="es-ES"/>
        </w:rPr>
        <w:t xml:space="preserve"> de la Convención Americana, así como</w:t>
      </w:r>
      <w:r w:rsidRPr="00451615">
        <w:rPr>
          <w:rFonts w:asciiTheme="majorHAnsi" w:hAnsiTheme="majorHAnsi"/>
          <w:sz w:val="20"/>
          <w:szCs w:val="20"/>
          <w:bdr w:val="none" w:sz="0" w:space="0" w:color="auto"/>
          <w:lang w:val="es-ES"/>
        </w:rPr>
        <w:t xml:space="preserve"> la ausencia de caracterización de los hechos como presuntamente violatorios de la Convención.</w:t>
      </w:r>
    </w:p>
    <w:p w:rsidR="00BB490B" w:rsidRPr="00451615" w:rsidRDefault="00BB490B" w:rsidP="00BB49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lang w:val="es-ES"/>
        </w:rPr>
      </w:pPr>
    </w:p>
    <w:p w:rsidR="00181829" w:rsidRPr="00451615" w:rsidRDefault="00181829" w:rsidP="00BB49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451615">
        <w:rPr>
          <w:rFonts w:asciiTheme="majorHAnsi" w:hAnsiTheme="majorHAnsi" w:cs="Calibri"/>
          <w:snapToGrid w:val="0"/>
          <w:sz w:val="20"/>
          <w:szCs w:val="20"/>
          <w:bdr w:val="none" w:sz="0" w:space="0" w:color="auto"/>
          <w:lang w:val="es-ES"/>
        </w:rPr>
        <w:t>Tras el análisis de las posiciones de las partes, la Comisión concluyó, sin prejuzgar sobre el fondo del asunto, que es competente para decidir sobre el reclamo presentado por los peticionarios, y que el caso es admisible a la luz de los artículos 46 y 4</w:t>
      </w:r>
      <w:r w:rsidR="00147670" w:rsidRPr="00451615">
        <w:rPr>
          <w:rFonts w:asciiTheme="majorHAnsi" w:hAnsiTheme="majorHAnsi" w:cs="Calibri"/>
          <w:snapToGrid w:val="0"/>
          <w:sz w:val="20"/>
          <w:szCs w:val="20"/>
          <w:bdr w:val="none" w:sz="0" w:space="0" w:color="auto"/>
          <w:lang w:val="es-ES"/>
        </w:rPr>
        <w:t>7 de la Convención Americana para examinar los alegatos relativos a</w:t>
      </w:r>
      <w:r w:rsidRPr="00451615">
        <w:rPr>
          <w:rFonts w:asciiTheme="majorHAnsi" w:hAnsiTheme="majorHAnsi" w:cs="Calibri"/>
          <w:snapToGrid w:val="0"/>
          <w:sz w:val="20"/>
          <w:szCs w:val="20"/>
          <w:bdr w:val="none" w:sz="0" w:space="0" w:color="auto"/>
          <w:lang w:val="es-ES"/>
        </w:rPr>
        <w:t xml:space="preserve"> las presuntas violaciones a los derech</w:t>
      </w:r>
      <w:r w:rsidR="00C539F2" w:rsidRPr="00451615">
        <w:rPr>
          <w:rFonts w:asciiTheme="majorHAnsi" w:hAnsiTheme="majorHAnsi" w:cs="Calibri"/>
          <w:snapToGrid w:val="0"/>
          <w:sz w:val="20"/>
          <w:szCs w:val="20"/>
          <w:bdr w:val="none" w:sz="0" w:space="0" w:color="auto"/>
          <w:lang w:val="es-ES"/>
        </w:rPr>
        <w:t>os consagrados en los artículos</w:t>
      </w:r>
      <w:r w:rsidR="00C10DC9" w:rsidRPr="00451615">
        <w:rPr>
          <w:rFonts w:asciiTheme="majorHAnsi" w:hAnsiTheme="majorHAnsi" w:cs="Calibri"/>
          <w:sz w:val="20"/>
          <w:szCs w:val="20"/>
          <w:bdr w:val="none" w:sz="0" w:space="0" w:color="auto"/>
          <w:lang w:val="es-ES"/>
        </w:rPr>
        <w:t xml:space="preserve"> 4, 5</w:t>
      </w:r>
      <w:r w:rsidRPr="00451615">
        <w:rPr>
          <w:rFonts w:asciiTheme="majorHAnsi" w:hAnsiTheme="majorHAnsi" w:cs="Calibri"/>
          <w:sz w:val="20"/>
          <w:szCs w:val="20"/>
          <w:bdr w:val="none" w:sz="0" w:space="0" w:color="auto"/>
          <w:lang w:val="es-ES"/>
        </w:rPr>
        <w:t>, 8,</w:t>
      </w:r>
      <w:r w:rsidR="00E67A7A" w:rsidRPr="00451615">
        <w:rPr>
          <w:rFonts w:asciiTheme="majorHAnsi" w:hAnsiTheme="majorHAnsi" w:cs="Calibri"/>
          <w:sz w:val="20"/>
          <w:szCs w:val="20"/>
          <w:bdr w:val="none" w:sz="0" w:space="0" w:color="auto"/>
          <w:lang w:val="es-ES"/>
        </w:rPr>
        <w:t xml:space="preserve"> </w:t>
      </w:r>
      <w:r w:rsidR="009A0E6F" w:rsidRPr="00451615">
        <w:rPr>
          <w:rFonts w:asciiTheme="majorHAnsi" w:hAnsiTheme="majorHAnsi" w:cs="Calibri"/>
          <w:sz w:val="20"/>
          <w:szCs w:val="20"/>
          <w:bdr w:val="none" w:sz="0" w:space="0" w:color="auto"/>
          <w:lang w:val="es-ES"/>
        </w:rPr>
        <w:t>16,</w:t>
      </w:r>
      <w:r w:rsidR="00514BCB" w:rsidRPr="00451615">
        <w:rPr>
          <w:rFonts w:asciiTheme="majorHAnsi" w:hAnsiTheme="majorHAnsi" w:cs="Calibri"/>
          <w:sz w:val="20"/>
          <w:szCs w:val="20"/>
          <w:bdr w:val="none" w:sz="0" w:space="0" w:color="auto"/>
          <w:lang w:val="es-ES"/>
        </w:rPr>
        <w:t xml:space="preserve"> 17,</w:t>
      </w:r>
      <w:r w:rsidRPr="00451615">
        <w:rPr>
          <w:rFonts w:asciiTheme="majorHAnsi" w:hAnsiTheme="majorHAnsi" w:cs="Calibri"/>
          <w:sz w:val="20"/>
          <w:szCs w:val="20"/>
          <w:bdr w:val="none" w:sz="0" w:space="0" w:color="auto"/>
          <w:lang w:val="es-ES"/>
        </w:rPr>
        <w:t xml:space="preserve"> 19</w:t>
      </w:r>
      <w:r w:rsidR="009B39FE">
        <w:rPr>
          <w:rFonts w:asciiTheme="majorHAnsi" w:hAnsiTheme="majorHAnsi" w:cs="Calibri"/>
          <w:sz w:val="20"/>
          <w:szCs w:val="20"/>
          <w:bdr w:val="none" w:sz="0" w:space="0" w:color="auto"/>
          <w:lang w:val="es-ES"/>
        </w:rPr>
        <w:t>, 23</w:t>
      </w:r>
      <w:r w:rsidRPr="00451615">
        <w:rPr>
          <w:rFonts w:asciiTheme="majorHAnsi" w:hAnsiTheme="majorHAnsi" w:cs="Calibri"/>
          <w:sz w:val="20"/>
          <w:szCs w:val="20"/>
          <w:bdr w:val="none" w:sz="0" w:space="0" w:color="auto"/>
          <w:lang w:val="es-ES"/>
        </w:rPr>
        <w:t xml:space="preserve"> y 25 </w:t>
      </w:r>
      <w:r w:rsidRPr="00451615">
        <w:rPr>
          <w:rFonts w:asciiTheme="majorHAnsi" w:hAnsiTheme="majorHAnsi" w:cs="Calibri"/>
          <w:snapToGrid w:val="0"/>
          <w:sz w:val="20"/>
          <w:szCs w:val="20"/>
          <w:bdr w:val="none" w:sz="0" w:space="0" w:color="auto"/>
          <w:lang w:val="es-ES"/>
        </w:rPr>
        <w:t xml:space="preserve">de ese instrumento, en relación con </w:t>
      </w:r>
      <w:r w:rsidR="00290CF9" w:rsidRPr="00451615">
        <w:rPr>
          <w:rFonts w:asciiTheme="majorHAnsi" w:hAnsiTheme="majorHAnsi" w:cs="Calibri"/>
          <w:snapToGrid w:val="0"/>
          <w:sz w:val="20"/>
          <w:szCs w:val="20"/>
          <w:bdr w:val="none" w:sz="0" w:space="0" w:color="auto"/>
          <w:lang w:val="es-ES"/>
        </w:rPr>
        <w:t>el</w:t>
      </w:r>
      <w:r w:rsidRPr="00451615">
        <w:rPr>
          <w:rFonts w:asciiTheme="majorHAnsi" w:hAnsiTheme="majorHAnsi" w:cs="Calibri"/>
          <w:snapToGrid w:val="0"/>
          <w:sz w:val="20"/>
          <w:szCs w:val="20"/>
          <w:bdr w:val="none" w:sz="0" w:space="0" w:color="auto"/>
          <w:lang w:val="es-ES"/>
        </w:rPr>
        <w:t xml:space="preserve"> artículo 1.1 del </w:t>
      </w:r>
      <w:r w:rsidR="00291630" w:rsidRPr="00451615">
        <w:rPr>
          <w:rFonts w:asciiTheme="majorHAnsi" w:hAnsiTheme="majorHAnsi" w:cs="Calibri"/>
          <w:snapToGrid w:val="0"/>
          <w:sz w:val="20"/>
          <w:szCs w:val="20"/>
          <w:bdr w:val="none" w:sz="0" w:space="0" w:color="auto"/>
          <w:lang w:val="es-ES"/>
        </w:rPr>
        <w:t>mismo</w:t>
      </w:r>
      <w:r w:rsidRPr="00451615">
        <w:rPr>
          <w:rFonts w:asciiTheme="majorHAnsi" w:hAnsiTheme="majorHAnsi" w:cs="Calibri"/>
          <w:snapToGrid w:val="0"/>
          <w:sz w:val="20"/>
          <w:szCs w:val="20"/>
          <w:bdr w:val="none" w:sz="0" w:space="0" w:color="auto"/>
          <w:lang w:val="es-ES"/>
        </w:rPr>
        <w:t>.</w:t>
      </w:r>
      <w:r w:rsidR="00EA4BD7" w:rsidRPr="00451615">
        <w:rPr>
          <w:rFonts w:asciiTheme="majorHAnsi" w:hAnsiTheme="majorHAnsi"/>
          <w:sz w:val="20"/>
          <w:szCs w:val="20"/>
          <w:lang w:val="es-ES"/>
        </w:rPr>
        <w:t xml:space="preserve"> </w:t>
      </w:r>
      <w:r w:rsidR="00290CF9" w:rsidRPr="00451615">
        <w:rPr>
          <w:rFonts w:asciiTheme="majorHAnsi" w:hAnsiTheme="majorHAnsi" w:cs="Calibri"/>
          <w:snapToGrid w:val="0"/>
          <w:sz w:val="20"/>
          <w:szCs w:val="20"/>
          <w:bdr w:val="none" w:sz="0" w:space="0" w:color="auto"/>
          <w:lang w:val="es-ES"/>
        </w:rPr>
        <w:t>La Comisió</w:t>
      </w:r>
      <w:r w:rsidR="00210605">
        <w:rPr>
          <w:rFonts w:asciiTheme="majorHAnsi" w:hAnsiTheme="majorHAnsi" w:cs="Calibri"/>
          <w:snapToGrid w:val="0"/>
          <w:sz w:val="20"/>
          <w:szCs w:val="20"/>
          <w:bdr w:val="none" w:sz="0" w:space="0" w:color="auto"/>
          <w:lang w:val="es-ES"/>
        </w:rPr>
        <w:t>n decide declarar inadmisible los</w:t>
      </w:r>
      <w:r w:rsidR="00290CF9" w:rsidRPr="00451615">
        <w:rPr>
          <w:rFonts w:asciiTheme="majorHAnsi" w:hAnsiTheme="majorHAnsi" w:cs="Calibri"/>
          <w:snapToGrid w:val="0"/>
          <w:sz w:val="20"/>
          <w:szCs w:val="20"/>
          <w:bdr w:val="none" w:sz="0" w:space="0" w:color="auto"/>
          <w:lang w:val="es-ES"/>
        </w:rPr>
        <w:t xml:space="preserve"> artículo</w:t>
      </w:r>
      <w:r w:rsidR="00210605">
        <w:rPr>
          <w:rFonts w:asciiTheme="majorHAnsi" w:hAnsiTheme="majorHAnsi" w:cs="Calibri"/>
          <w:snapToGrid w:val="0"/>
          <w:sz w:val="20"/>
          <w:szCs w:val="20"/>
          <w:bdr w:val="none" w:sz="0" w:space="0" w:color="auto"/>
          <w:lang w:val="es-ES"/>
        </w:rPr>
        <w:t>s</w:t>
      </w:r>
      <w:r w:rsidR="00290CF9" w:rsidRPr="00451615">
        <w:rPr>
          <w:rFonts w:asciiTheme="majorHAnsi" w:hAnsiTheme="majorHAnsi" w:cs="Calibri"/>
          <w:snapToGrid w:val="0"/>
          <w:sz w:val="20"/>
          <w:szCs w:val="20"/>
          <w:bdr w:val="none" w:sz="0" w:space="0" w:color="auto"/>
          <w:lang w:val="es-ES"/>
        </w:rPr>
        <w:t xml:space="preserve"> 7</w:t>
      </w:r>
      <w:r w:rsidR="00210605">
        <w:rPr>
          <w:rFonts w:asciiTheme="majorHAnsi" w:hAnsiTheme="majorHAnsi" w:cs="Calibri"/>
          <w:snapToGrid w:val="0"/>
          <w:sz w:val="20"/>
          <w:szCs w:val="20"/>
          <w:bdr w:val="none" w:sz="0" w:space="0" w:color="auto"/>
          <w:lang w:val="es-ES"/>
        </w:rPr>
        <w:t xml:space="preserve"> y 13</w:t>
      </w:r>
      <w:r w:rsidR="00290CF9" w:rsidRPr="00451615">
        <w:rPr>
          <w:rFonts w:asciiTheme="majorHAnsi" w:hAnsiTheme="majorHAnsi" w:cs="Calibri"/>
          <w:snapToGrid w:val="0"/>
          <w:sz w:val="20"/>
          <w:szCs w:val="20"/>
          <w:bdr w:val="none" w:sz="0" w:space="0" w:color="auto"/>
          <w:lang w:val="es-ES"/>
        </w:rPr>
        <w:t xml:space="preserve"> invocado</w:t>
      </w:r>
      <w:r w:rsidR="00210605">
        <w:rPr>
          <w:rFonts w:asciiTheme="majorHAnsi" w:hAnsiTheme="majorHAnsi" w:cs="Calibri"/>
          <w:snapToGrid w:val="0"/>
          <w:sz w:val="20"/>
          <w:szCs w:val="20"/>
          <w:bdr w:val="none" w:sz="0" w:space="0" w:color="auto"/>
          <w:lang w:val="es-ES"/>
        </w:rPr>
        <w:t>s</w:t>
      </w:r>
      <w:r w:rsidR="00290CF9" w:rsidRPr="00451615">
        <w:rPr>
          <w:rFonts w:asciiTheme="majorHAnsi" w:hAnsiTheme="majorHAnsi" w:cs="Calibri"/>
          <w:snapToGrid w:val="0"/>
          <w:sz w:val="20"/>
          <w:szCs w:val="20"/>
          <w:bdr w:val="none" w:sz="0" w:space="0" w:color="auto"/>
          <w:lang w:val="es-ES"/>
        </w:rPr>
        <w:t xml:space="preserve"> por los peticionarios.</w:t>
      </w:r>
      <w:r w:rsidR="00290CF9" w:rsidRPr="00451615">
        <w:rPr>
          <w:rFonts w:asciiTheme="majorHAnsi" w:hAnsiTheme="majorHAnsi"/>
          <w:sz w:val="20"/>
          <w:szCs w:val="20"/>
          <w:lang w:val="es-ES"/>
        </w:rPr>
        <w:t xml:space="preserve"> </w:t>
      </w:r>
      <w:r w:rsidR="00EA4BD7" w:rsidRPr="00451615">
        <w:rPr>
          <w:rFonts w:asciiTheme="majorHAnsi" w:hAnsiTheme="majorHAnsi" w:cs="Calibri"/>
          <w:snapToGrid w:val="0"/>
          <w:sz w:val="20"/>
          <w:szCs w:val="20"/>
          <w:bdr w:val="none" w:sz="0" w:space="0" w:color="auto"/>
          <w:lang w:val="es-ES"/>
        </w:rPr>
        <w:t>Por último, la Comisión decide notificar a ambas partes la referida decisión y ordenar la publicación del presente informe e incluirlo en su Informe Anual a la Asamblea General de la Organización de Estados Americanos.</w:t>
      </w:r>
    </w:p>
    <w:p w:rsidR="00181829" w:rsidRPr="00451615"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napToGrid w:val="0"/>
          <w:color w:val="FF0000"/>
          <w:sz w:val="20"/>
          <w:szCs w:val="20"/>
          <w:bdr w:val="none" w:sz="0" w:space="0" w:color="auto"/>
          <w:lang w:val="es-ES"/>
        </w:rPr>
      </w:pPr>
    </w:p>
    <w:p w:rsidR="00181829" w:rsidRPr="00451615" w:rsidRDefault="00181829" w:rsidP="00543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bdr w:val="none" w:sz="0" w:space="0" w:color="auto"/>
          <w:lang w:val="es-ES"/>
        </w:rPr>
      </w:pPr>
      <w:r w:rsidRPr="00451615">
        <w:rPr>
          <w:rFonts w:asciiTheme="majorHAnsi" w:hAnsiTheme="majorHAnsi"/>
          <w:b/>
          <w:sz w:val="20"/>
          <w:szCs w:val="20"/>
          <w:bdr w:val="none" w:sz="0" w:space="0" w:color="auto"/>
          <w:lang w:val="es-ES"/>
        </w:rPr>
        <w:t>TRÁMITE ANTE LA CIDH</w:t>
      </w:r>
    </w:p>
    <w:p w:rsidR="00BC03BD" w:rsidRPr="00451615" w:rsidRDefault="00BC03BD" w:rsidP="00A776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lang w:val="es-ES"/>
        </w:rPr>
      </w:pPr>
    </w:p>
    <w:p w:rsidR="007643F4" w:rsidRPr="00451615" w:rsidRDefault="00181829" w:rsidP="007643F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451615">
        <w:rPr>
          <w:rFonts w:asciiTheme="majorHAnsi" w:hAnsiTheme="majorHAnsi" w:cs="Calibri"/>
          <w:snapToGrid w:val="0"/>
          <w:sz w:val="20"/>
          <w:szCs w:val="20"/>
          <w:bdr w:val="none" w:sz="0" w:space="0" w:color="auto"/>
          <w:lang w:val="es-ES"/>
        </w:rPr>
        <w:t xml:space="preserve">La petición fue recibida el </w:t>
      </w:r>
      <w:r w:rsidR="00A326D0" w:rsidRPr="00451615">
        <w:rPr>
          <w:rFonts w:asciiTheme="majorHAnsi" w:hAnsiTheme="majorHAnsi" w:cs="Calibri"/>
          <w:snapToGrid w:val="0"/>
          <w:sz w:val="20"/>
          <w:szCs w:val="20"/>
          <w:bdr w:val="none" w:sz="0" w:space="0" w:color="auto"/>
          <w:lang w:val="es-ES"/>
        </w:rPr>
        <w:t>8</w:t>
      </w:r>
      <w:r w:rsidR="00E1687F" w:rsidRPr="00451615">
        <w:rPr>
          <w:rFonts w:asciiTheme="majorHAnsi" w:hAnsiTheme="majorHAnsi" w:cs="Calibri"/>
          <w:snapToGrid w:val="0"/>
          <w:sz w:val="20"/>
          <w:szCs w:val="20"/>
          <w:bdr w:val="none" w:sz="0" w:space="0" w:color="auto"/>
          <w:lang w:val="es-ES"/>
        </w:rPr>
        <w:t xml:space="preserve"> de agosto de 1997</w:t>
      </w:r>
      <w:r w:rsidR="00AA5DF6" w:rsidRPr="00451615">
        <w:rPr>
          <w:rFonts w:asciiTheme="majorHAnsi" w:hAnsiTheme="majorHAnsi" w:cs="Calibri"/>
          <w:snapToGrid w:val="0"/>
          <w:sz w:val="20"/>
          <w:szCs w:val="20"/>
          <w:bdr w:val="none" w:sz="0" w:space="0" w:color="auto"/>
          <w:lang w:val="es-ES"/>
        </w:rPr>
        <w:t xml:space="preserve"> y registrada bajo el No.</w:t>
      </w:r>
      <w:r w:rsidR="00841BA0" w:rsidRPr="00451615">
        <w:rPr>
          <w:rFonts w:asciiTheme="majorHAnsi" w:hAnsiTheme="majorHAnsi" w:cs="Calibri"/>
          <w:snapToGrid w:val="0"/>
          <w:sz w:val="20"/>
          <w:szCs w:val="20"/>
          <w:bdr w:val="none" w:sz="0" w:space="0" w:color="auto"/>
          <w:lang w:val="es-ES"/>
        </w:rPr>
        <w:t xml:space="preserve"> </w:t>
      </w:r>
      <w:r w:rsidRPr="00451615">
        <w:rPr>
          <w:rFonts w:asciiTheme="majorHAnsi" w:hAnsiTheme="majorHAnsi" w:cs="Calibri"/>
          <w:snapToGrid w:val="0"/>
          <w:sz w:val="20"/>
          <w:szCs w:val="20"/>
          <w:bdr w:val="none" w:sz="0" w:space="0" w:color="auto"/>
          <w:lang w:val="es-ES"/>
        </w:rPr>
        <w:t>11.</w:t>
      </w:r>
      <w:r w:rsidR="00E1687F" w:rsidRPr="00451615">
        <w:rPr>
          <w:rFonts w:asciiTheme="majorHAnsi" w:hAnsiTheme="majorHAnsi" w:cs="Calibri"/>
          <w:snapToGrid w:val="0"/>
          <w:sz w:val="20"/>
          <w:szCs w:val="20"/>
          <w:bdr w:val="none" w:sz="0" w:space="0" w:color="auto"/>
          <w:lang w:val="es-ES"/>
        </w:rPr>
        <w:t>794</w:t>
      </w:r>
      <w:r w:rsidR="00A77661" w:rsidRPr="00451615">
        <w:rPr>
          <w:rFonts w:asciiTheme="majorHAnsi" w:hAnsiTheme="majorHAnsi" w:cs="Calibri"/>
          <w:snapToGrid w:val="0"/>
          <w:sz w:val="20"/>
          <w:szCs w:val="20"/>
          <w:bdr w:val="none" w:sz="0" w:space="0" w:color="auto"/>
          <w:lang w:val="es-ES"/>
        </w:rPr>
        <w:t>. El</w:t>
      </w:r>
      <w:r w:rsidRPr="00451615">
        <w:rPr>
          <w:rFonts w:asciiTheme="majorHAnsi" w:hAnsiTheme="majorHAnsi" w:cs="Calibri"/>
          <w:snapToGrid w:val="0"/>
          <w:sz w:val="20"/>
          <w:szCs w:val="20"/>
          <w:bdr w:val="none" w:sz="0" w:space="0" w:color="auto"/>
          <w:lang w:val="es-ES"/>
        </w:rPr>
        <w:t xml:space="preserve"> 2</w:t>
      </w:r>
      <w:r w:rsidR="00E1687F" w:rsidRPr="00451615">
        <w:rPr>
          <w:rFonts w:asciiTheme="majorHAnsi" w:hAnsiTheme="majorHAnsi" w:cs="Calibri"/>
          <w:snapToGrid w:val="0"/>
          <w:sz w:val="20"/>
          <w:szCs w:val="20"/>
          <w:bdr w:val="none" w:sz="0" w:space="0" w:color="auto"/>
          <w:lang w:val="es-ES"/>
        </w:rPr>
        <w:t>2 de agosto de 1997</w:t>
      </w:r>
      <w:r w:rsidRPr="00451615">
        <w:rPr>
          <w:rFonts w:asciiTheme="majorHAnsi" w:hAnsiTheme="majorHAnsi" w:cs="Calibri"/>
          <w:snapToGrid w:val="0"/>
          <w:sz w:val="20"/>
          <w:szCs w:val="20"/>
          <w:bdr w:val="none" w:sz="0" w:space="0" w:color="auto"/>
          <w:lang w:val="es-ES"/>
        </w:rPr>
        <w:t xml:space="preserve"> se </w:t>
      </w:r>
      <w:r w:rsidR="00841BA0" w:rsidRPr="00451615">
        <w:rPr>
          <w:rFonts w:asciiTheme="majorHAnsi" w:hAnsiTheme="majorHAnsi" w:cs="Calibri"/>
          <w:snapToGrid w:val="0"/>
          <w:sz w:val="20"/>
          <w:szCs w:val="20"/>
          <w:bdr w:val="none" w:sz="0" w:space="0" w:color="auto"/>
          <w:lang w:val="es-ES"/>
        </w:rPr>
        <w:t>tras</w:t>
      </w:r>
      <w:r w:rsidR="00A77661" w:rsidRPr="00451615">
        <w:rPr>
          <w:rFonts w:asciiTheme="majorHAnsi" w:hAnsiTheme="majorHAnsi" w:cs="Calibri"/>
          <w:snapToGrid w:val="0"/>
          <w:sz w:val="20"/>
          <w:szCs w:val="20"/>
          <w:bdr w:val="none" w:sz="0" w:space="0" w:color="auto"/>
          <w:lang w:val="es-ES"/>
        </w:rPr>
        <w:t>ladaron las partes pertinentes</w:t>
      </w:r>
      <w:r w:rsidRPr="00451615">
        <w:rPr>
          <w:rFonts w:asciiTheme="majorHAnsi" w:hAnsiTheme="majorHAnsi" w:cs="Calibri"/>
          <w:snapToGrid w:val="0"/>
          <w:sz w:val="20"/>
          <w:szCs w:val="20"/>
          <w:bdr w:val="none" w:sz="0" w:space="0" w:color="auto"/>
          <w:lang w:val="es-ES"/>
        </w:rPr>
        <w:t xml:space="preserve"> al Estado</w:t>
      </w:r>
      <w:r w:rsidR="001C5138" w:rsidRPr="00451615">
        <w:rPr>
          <w:rFonts w:asciiTheme="majorHAnsi" w:hAnsiTheme="majorHAnsi" w:cs="Calibri"/>
          <w:snapToGrid w:val="0"/>
          <w:sz w:val="20"/>
          <w:szCs w:val="20"/>
          <w:bdr w:val="none" w:sz="0" w:space="0" w:color="auto"/>
          <w:lang w:val="es-ES"/>
        </w:rPr>
        <w:t>, otorgándole un plazo de tres meses para presentar sus observaciones</w:t>
      </w:r>
      <w:r w:rsidR="00841BA0" w:rsidRPr="00451615">
        <w:rPr>
          <w:rFonts w:asciiTheme="majorHAnsi" w:hAnsiTheme="majorHAnsi" w:cs="Calibri"/>
          <w:snapToGrid w:val="0"/>
          <w:sz w:val="20"/>
          <w:szCs w:val="20"/>
          <w:bdr w:val="none" w:sz="0" w:space="0" w:color="auto"/>
          <w:lang w:val="es-ES"/>
        </w:rPr>
        <w:t>.</w:t>
      </w:r>
      <w:r w:rsidRPr="00451615">
        <w:rPr>
          <w:rFonts w:asciiTheme="majorHAnsi" w:hAnsiTheme="majorHAnsi" w:cs="Calibri"/>
          <w:snapToGrid w:val="0"/>
          <w:sz w:val="20"/>
          <w:szCs w:val="20"/>
          <w:bdr w:val="none" w:sz="0" w:space="0" w:color="auto"/>
          <w:lang w:val="es-ES"/>
        </w:rPr>
        <w:t xml:space="preserve"> </w:t>
      </w:r>
      <w:r w:rsidR="009A0E6F" w:rsidRPr="00451615">
        <w:rPr>
          <w:rFonts w:asciiTheme="majorHAnsi" w:hAnsiTheme="majorHAnsi" w:cs="Calibri"/>
          <w:snapToGrid w:val="0"/>
          <w:sz w:val="20"/>
          <w:szCs w:val="20"/>
          <w:bdr w:val="none" w:sz="0" w:space="0" w:color="auto"/>
          <w:lang w:val="es-ES"/>
        </w:rPr>
        <w:t xml:space="preserve">El </w:t>
      </w:r>
      <w:r w:rsidR="001C5138" w:rsidRPr="00451615">
        <w:rPr>
          <w:rFonts w:asciiTheme="majorHAnsi" w:hAnsiTheme="majorHAnsi" w:cs="Calibri"/>
          <w:snapToGrid w:val="0"/>
          <w:color w:val="auto"/>
          <w:sz w:val="20"/>
          <w:szCs w:val="20"/>
          <w:bdr w:val="none" w:sz="0" w:space="0" w:color="auto"/>
          <w:lang w:val="es-ES"/>
        </w:rPr>
        <w:t xml:space="preserve">Estado </w:t>
      </w:r>
      <w:r w:rsidR="00D26C15" w:rsidRPr="00451615">
        <w:rPr>
          <w:rFonts w:asciiTheme="majorHAnsi" w:hAnsiTheme="majorHAnsi" w:cs="Calibri"/>
          <w:snapToGrid w:val="0"/>
          <w:color w:val="auto"/>
          <w:sz w:val="20"/>
          <w:szCs w:val="20"/>
          <w:bdr w:val="none" w:sz="0" w:space="0" w:color="auto"/>
          <w:lang w:val="es-ES"/>
        </w:rPr>
        <w:t>present</w:t>
      </w:r>
      <w:r w:rsidR="00A77661" w:rsidRPr="00451615">
        <w:rPr>
          <w:rFonts w:asciiTheme="majorHAnsi" w:hAnsiTheme="majorHAnsi" w:cs="Calibri"/>
          <w:snapToGrid w:val="0"/>
          <w:color w:val="auto"/>
          <w:sz w:val="20"/>
          <w:szCs w:val="20"/>
          <w:bdr w:val="none" w:sz="0" w:space="0" w:color="auto"/>
          <w:lang w:val="es-ES"/>
        </w:rPr>
        <w:t>ó</w:t>
      </w:r>
      <w:r w:rsidR="00D26C15" w:rsidRPr="00451615">
        <w:rPr>
          <w:rFonts w:asciiTheme="majorHAnsi" w:hAnsiTheme="majorHAnsi" w:cs="Calibri"/>
          <w:snapToGrid w:val="0"/>
          <w:color w:val="auto"/>
          <w:sz w:val="20"/>
          <w:szCs w:val="20"/>
          <w:bdr w:val="none" w:sz="0" w:space="0" w:color="auto"/>
          <w:lang w:val="es-ES"/>
        </w:rPr>
        <w:t xml:space="preserve"> sus observaciones el </w:t>
      </w:r>
      <w:r w:rsidR="0062408E" w:rsidRPr="00451615">
        <w:rPr>
          <w:rFonts w:asciiTheme="majorHAnsi" w:hAnsiTheme="majorHAnsi" w:cs="Calibri"/>
          <w:snapToGrid w:val="0"/>
          <w:color w:val="auto"/>
          <w:sz w:val="20"/>
          <w:szCs w:val="20"/>
          <w:bdr w:val="none" w:sz="0" w:space="0" w:color="auto"/>
          <w:lang w:val="es-ES"/>
        </w:rPr>
        <w:t>18 de abril de 2001</w:t>
      </w:r>
      <w:r w:rsidR="005823D2" w:rsidRPr="00451615">
        <w:rPr>
          <w:rFonts w:asciiTheme="majorHAnsi" w:hAnsiTheme="majorHAnsi" w:cs="Calibri"/>
          <w:snapToGrid w:val="0"/>
          <w:color w:val="auto"/>
          <w:sz w:val="20"/>
          <w:szCs w:val="20"/>
          <w:bdr w:val="none" w:sz="0" w:space="0" w:color="auto"/>
          <w:lang w:val="es-ES"/>
        </w:rPr>
        <w:t xml:space="preserve"> </w:t>
      </w:r>
      <w:r w:rsidR="00D26C15" w:rsidRPr="00451615">
        <w:rPr>
          <w:rFonts w:asciiTheme="majorHAnsi" w:hAnsiTheme="majorHAnsi" w:cs="Calibri"/>
          <w:snapToGrid w:val="0"/>
          <w:color w:val="auto"/>
          <w:sz w:val="20"/>
          <w:szCs w:val="20"/>
          <w:bdr w:val="none" w:sz="0" w:space="0" w:color="auto"/>
          <w:lang w:val="es-ES"/>
        </w:rPr>
        <w:t>y</w:t>
      </w:r>
      <w:r w:rsidR="009A0E6F" w:rsidRPr="00451615">
        <w:rPr>
          <w:rFonts w:asciiTheme="majorHAnsi" w:hAnsiTheme="majorHAnsi" w:cs="Calibri"/>
          <w:snapToGrid w:val="0"/>
          <w:color w:val="auto"/>
          <w:sz w:val="20"/>
          <w:szCs w:val="20"/>
          <w:bdr w:val="none" w:sz="0" w:space="0" w:color="auto"/>
          <w:lang w:val="es-ES"/>
        </w:rPr>
        <w:t xml:space="preserve"> el </w:t>
      </w:r>
      <w:r w:rsidR="005771FA" w:rsidRPr="00451615">
        <w:rPr>
          <w:rFonts w:asciiTheme="majorHAnsi" w:hAnsiTheme="majorHAnsi" w:cs="Calibri"/>
          <w:snapToGrid w:val="0"/>
          <w:color w:val="auto"/>
          <w:sz w:val="20"/>
          <w:szCs w:val="20"/>
          <w:bdr w:val="none" w:sz="0" w:space="0" w:color="auto"/>
          <w:lang w:val="es-ES"/>
        </w:rPr>
        <w:t>1 de noviembre de 2013</w:t>
      </w:r>
      <w:r w:rsidR="00D26C15" w:rsidRPr="00451615">
        <w:rPr>
          <w:rFonts w:asciiTheme="majorHAnsi" w:hAnsiTheme="majorHAnsi" w:cs="Calibri"/>
          <w:snapToGrid w:val="0"/>
          <w:color w:val="auto"/>
          <w:sz w:val="20"/>
          <w:szCs w:val="20"/>
          <w:bdr w:val="none" w:sz="0" w:space="0" w:color="auto"/>
          <w:lang w:val="es-ES"/>
        </w:rPr>
        <w:t>, notas que fueron trasladadas a los peticionarios.</w:t>
      </w:r>
      <w:r w:rsidR="00E363E4" w:rsidRPr="00451615">
        <w:rPr>
          <w:rFonts w:asciiTheme="majorHAnsi" w:hAnsiTheme="majorHAnsi" w:cs="Calibri"/>
          <w:snapToGrid w:val="0"/>
          <w:color w:val="auto"/>
          <w:sz w:val="20"/>
          <w:szCs w:val="20"/>
          <w:bdr w:val="none" w:sz="0" w:space="0" w:color="auto"/>
          <w:lang w:val="es-ES"/>
        </w:rPr>
        <w:t xml:space="preserve"> </w:t>
      </w:r>
      <w:r w:rsidR="00FA4AE1" w:rsidRPr="00451615">
        <w:rPr>
          <w:rFonts w:asciiTheme="majorHAnsi" w:hAnsiTheme="majorHAnsi" w:cs="Calibri"/>
          <w:snapToGrid w:val="0"/>
          <w:sz w:val="20"/>
          <w:szCs w:val="20"/>
          <w:bdr w:val="none" w:sz="0" w:space="0" w:color="auto"/>
          <w:lang w:val="es-ES"/>
        </w:rPr>
        <w:t xml:space="preserve">Por su parte, los peticionarios </w:t>
      </w:r>
      <w:r w:rsidR="00062BB8" w:rsidRPr="00451615">
        <w:rPr>
          <w:rFonts w:asciiTheme="majorHAnsi" w:hAnsiTheme="majorHAnsi"/>
          <w:sz w:val="20"/>
          <w:szCs w:val="20"/>
          <w:lang w:val="es-ES"/>
        </w:rPr>
        <w:t xml:space="preserve">el </w:t>
      </w:r>
      <w:r w:rsidR="00062BB8" w:rsidRPr="00451615">
        <w:rPr>
          <w:rFonts w:asciiTheme="majorHAnsi" w:eastAsia="Calibri" w:hAnsiTheme="majorHAnsi"/>
          <w:sz w:val="20"/>
          <w:szCs w:val="20"/>
          <w:bdr w:val="none" w:sz="0" w:space="0" w:color="auto"/>
          <w:lang w:val="es-ES"/>
        </w:rPr>
        <w:t>27 de marzo de 2000 añadieron representantes y</w:t>
      </w:r>
      <w:r w:rsidR="00062BB8" w:rsidRPr="00451615">
        <w:rPr>
          <w:rFonts w:asciiTheme="majorHAnsi" w:hAnsiTheme="majorHAnsi" w:cs="Calibri"/>
          <w:snapToGrid w:val="0"/>
          <w:sz w:val="20"/>
          <w:szCs w:val="20"/>
          <w:bdr w:val="none" w:sz="0" w:space="0" w:color="auto"/>
          <w:lang w:val="es-ES"/>
        </w:rPr>
        <w:t xml:space="preserve"> </w:t>
      </w:r>
      <w:r w:rsidR="00FA4AE1" w:rsidRPr="00451615">
        <w:rPr>
          <w:rFonts w:asciiTheme="majorHAnsi" w:hAnsiTheme="majorHAnsi" w:cs="Calibri"/>
          <w:snapToGrid w:val="0"/>
          <w:sz w:val="20"/>
          <w:szCs w:val="20"/>
          <w:bdr w:val="none" w:sz="0" w:space="0" w:color="auto"/>
          <w:lang w:val="es-ES"/>
        </w:rPr>
        <w:t xml:space="preserve">presentaron observaciones o información adicional el 3 de noviembre de </w:t>
      </w:r>
      <w:r w:rsidR="00062BB8" w:rsidRPr="00451615">
        <w:rPr>
          <w:rFonts w:asciiTheme="majorHAnsi" w:hAnsiTheme="majorHAnsi" w:cs="Calibri"/>
          <w:snapToGrid w:val="0"/>
          <w:sz w:val="20"/>
          <w:szCs w:val="20"/>
          <w:bdr w:val="none" w:sz="0" w:space="0" w:color="auto"/>
          <w:lang w:val="es-ES"/>
        </w:rPr>
        <w:lastRenderedPageBreak/>
        <w:t>1997</w:t>
      </w:r>
      <w:r w:rsidR="007317E5" w:rsidRPr="00451615">
        <w:rPr>
          <w:rFonts w:asciiTheme="majorHAnsi" w:eastAsia="Calibri" w:hAnsiTheme="majorHAnsi"/>
          <w:sz w:val="20"/>
          <w:szCs w:val="20"/>
          <w:bdr w:val="none" w:sz="0" w:space="0" w:color="auto"/>
          <w:lang w:val="es-ES"/>
        </w:rPr>
        <w:t xml:space="preserve">, </w:t>
      </w:r>
      <w:r w:rsidR="00FA4AE1" w:rsidRPr="00451615">
        <w:rPr>
          <w:rFonts w:asciiTheme="majorHAnsi" w:hAnsiTheme="majorHAnsi" w:cs="Calibri"/>
          <w:snapToGrid w:val="0"/>
          <w:sz w:val="20"/>
          <w:szCs w:val="20"/>
          <w:bdr w:val="none" w:sz="0" w:space="0" w:color="auto"/>
          <w:lang w:val="es-ES"/>
        </w:rPr>
        <w:t xml:space="preserve">2 de marzo de 2001, </w:t>
      </w:r>
      <w:r w:rsidR="00451615" w:rsidRPr="00451615">
        <w:rPr>
          <w:rFonts w:asciiTheme="majorHAnsi" w:hAnsiTheme="majorHAnsi" w:cs="Calibri"/>
          <w:snapToGrid w:val="0"/>
          <w:sz w:val="20"/>
          <w:szCs w:val="20"/>
          <w:bdr w:val="none" w:sz="0" w:space="0" w:color="auto"/>
          <w:lang w:val="es-ES"/>
        </w:rPr>
        <w:t>12 de enero de 2007</w:t>
      </w:r>
      <w:r w:rsidR="00451615">
        <w:rPr>
          <w:rFonts w:asciiTheme="majorHAnsi" w:hAnsiTheme="majorHAnsi" w:cs="Calibri"/>
          <w:snapToGrid w:val="0"/>
          <w:sz w:val="20"/>
          <w:szCs w:val="20"/>
          <w:bdr w:val="none" w:sz="0" w:space="0" w:color="auto"/>
          <w:lang w:val="es-ES"/>
        </w:rPr>
        <w:t>,</w:t>
      </w:r>
      <w:r w:rsidR="00451615" w:rsidRPr="00451615">
        <w:rPr>
          <w:rFonts w:asciiTheme="majorHAnsi" w:hAnsiTheme="majorHAnsi" w:cs="Calibri"/>
          <w:snapToGrid w:val="0"/>
          <w:sz w:val="20"/>
          <w:szCs w:val="20"/>
          <w:bdr w:val="none" w:sz="0" w:space="0" w:color="auto"/>
          <w:lang w:val="es-ES"/>
        </w:rPr>
        <w:t xml:space="preserve"> </w:t>
      </w:r>
      <w:r w:rsidR="00FA4AE1" w:rsidRPr="00451615">
        <w:rPr>
          <w:rFonts w:asciiTheme="majorHAnsi" w:hAnsiTheme="majorHAnsi" w:cs="Calibri"/>
          <w:snapToGrid w:val="0"/>
          <w:sz w:val="20"/>
          <w:szCs w:val="20"/>
          <w:bdr w:val="none" w:sz="0" w:space="0" w:color="auto"/>
          <w:lang w:val="es-ES"/>
        </w:rPr>
        <w:t>5 de junio de 2012</w:t>
      </w:r>
      <w:r w:rsidR="00352045" w:rsidRPr="00451615">
        <w:rPr>
          <w:rFonts w:asciiTheme="majorHAnsi" w:hAnsiTheme="majorHAnsi" w:cs="Calibri"/>
          <w:snapToGrid w:val="0"/>
          <w:sz w:val="20"/>
          <w:szCs w:val="20"/>
          <w:bdr w:val="none" w:sz="0" w:space="0" w:color="auto"/>
          <w:lang w:val="es-ES"/>
        </w:rPr>
        <w:t>, 9 de mayo de 2013</w:t>
      </w:r>
      <w:r w:rsidR="00FA4AE1" w:rsidRPr="00451615">
        <w:rPr>
          <w:rFonts w:asciiTheme="majorHAnsi" w:hAnsiTheme="majorHAnsi" w:cs="Calibri"/>
          <w:snapToGrid w:val="0"/>
          <w:sz w:val="20"/>
          <w:szCs w:val="20"/>
          <w:bdr w:val="none" w:sz="0" w:space="0" w:color="auto"/>
          <w:lang w:val="es-ES"/>
        </w:rPr>
        <w:t xml:space="preserve"> y 19 de noviembre de 2013.</w:t>
      </w:r>
      <w:r w:rsidR="00FA4AE1" w:rsidRPr="00451615">
        <w:rPr>
          <w:rFonts w:asciiTheme="majorHAnsi" w:eastAsia="Calibri" w:hAnsiTheme="majorHAnsi"/>
          <w:sz w:val="20"/>
          <w:szCs w:val="20"/>
          <w:bdr w:val="none" w:sz="0" w:space="0" w:color="auto"/>
          <w:lang w:val="es-ES"/>
        </w:rPr>
        <w:t xml:space="preserve"> </w:t>
      </w:r>
      <w:r w:rsidR="00FA4AE1" w:rsidRPr="00451615">
        <w:rPr>
          <w:rFonts w:asciiTheme="majorHAnsi" w:hAnsiTheme="majorHAnsi" w:cs="Calibri"/>
          <w:snapToGrid w:val="0"/>
          <w:sz w:val="20"/>
          <w:szCs w:val="20"/>
          <w:bdr w:val="none" w:sz="0" w:space="0" w:color="auto"/>
          <w:lang w:val="es-ES"/>
        </w:rPr>
        <w:t>Dichas comunicaciones fueron remitidas al Estado.</w:t>
      </w:r>
    </w:p>
    <w:p w:rsidR="007643F4" w:rsidRPr="00451615" w:rsidRDefault="007643F4" w:rsidP="007643F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lang w:val="es-ES"/>
        </w:rPr>
      </w:pPr>
    </w:p>
    <w:p w:rsidR="00FA4AE1" w:rsidRPr="00451615" w:rsidRDefault="001D0B49" w:rsidP="007643F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451615">
        <w:rPr>
          <w:rFonts w:asciiTheme="majorHAnsi" w:hAnsiTheme="majorHAnsi"/>
          <w:color w:val="auto"/>
          <w:sz w:val="20"/>
          <w:szCs w:val="20"/>
          <w:lang w:val="es-ES"/>
        </w:rPr>
        <w:t xml:space="preserve">Durante el trámite se realizó ante la CIDH una audiencia pública el </w:t>
      </w:r>
      <w:r w:rsidRPr="00451615">
        <w:rPr>
          <w:rFonts w:asciiTheme="majorHAnsi" w:hAnsiTheme="majorHAnsi" w:cs="Calibri"/>
          <w:snapToGrid w:val="0"/>
          <w:color w:val="auto"/>
          <w:sz w:val="20"/>
          <w:szCs w:val="20"/>
          <w:bdr w:val="none" w:sz="0" w:space="0" w:color="auto"/>
          <w:lang w:val="es-ES"/>
        </w:rPr>
        <w:t>27 de febrero de 2001</w:t>
      </w:r>
      <w:r w:rsidRPr="00451615">
        <w:rPr>
          <w:rFonts w:asciiTheme="majorHAnsi" w:hAnsiTheme="majorHAnsi"/>
          <w:color w:val="auto"/>
          <w:sz w:val="20"/>
          <w:szCs w:val="20"/>
          <w:lang w:val="es-ES"/>
        </w:rPr>
        <w:t xml:space="preserve"> (110º periodo ordinario de sesiones)</w:t>
      </w:r>
      <w:r w:rsidR="00F5173B" w:rsidRPr="00451615">
        <w:rPr>
          <w:rFonts w:asciiTheme="majorHAnsi" w:hAnsiTheme="majorHAnsi"/>
          <w:color w:val="auto"/>
          <w:sz w:val="20"/>
          <w:szCs w:val="20"/>
          <w:lang w:val="es-ES"/>
        </w:rPr>
        <w:t xml:space="preserve"> en </w:t>
      </w:r>
      <w:r w:rsidR="00605242" w:rsidRPr="00451615">
        <w:rPr>
          <w:rFonts w:asciiTheme="majorHAnsi" w:hAnsiTheme="majorHAnsi"/>
          <w:color w:val="auto"/>
          <w:sz w:val="20"/>
          <w:szCs w:val="20"/>
          <w:lang w:val="es-ES"/>
        </w:rPr>
        <w:t xml:space="preserve">la cual el Estado propuso integrar el presente caso al proceso de solución amistosa de la </w:t>
      </w:r>
      <w:r w:rsidR="005A2325" w:rsidRPr="00451615">
        <w:rPr>
          <w:rFonts w:asciiTheme="majorHAnsi" w:hAnsiTheme="majorHAnsi"/>
          <w:color w:val="auto"/>
          <w:sz w:val="20"/>
          <w:szCs w:val="20"/>
          <w:lang w:val="es-ES"/>
        </w:rPr>
        <w:t>Unión</w:t>
      </w:r>
      <w:r w:rsidR="00605242" w:rsidRPr="00451615">
        <w:rPr>
          <w:rFonts w:asciiTheme="majorHAnsi" w:hAnsiTheme="majorHAnsi"/>
          <w:color w:val="auto"/>
          <w:sz w:val="20"/>
          <w:szCs w:val="20"/>
          <w:lang w:val="es-ES"/>
        </w:rPr>
        <w:t xml:space="preserve"> </w:t>
      </w:r>
      <w:r w:rsidR="005A2325" w:rsidRPr="00451615">
        <w:rPr>
          <w:rFonts w:asciiTheme="majorHAnsi" w:hAnsiTheme="majorHAnsi"/>
          <w:color w:val="auto"/>
          <w:sz w:val="20"/>
          <w:szCs w:val="20"/>
          <w:lang w:val="es-ES"/>
        </w:rPr>
        <w:t>Patriótica</w:t>
      </w:r>
      <w:r w:rsidR="00F5173B" w:rsidRPr="00451615">
        <w:rPr>
          <w:rFonts w:asciiTheme="majorHAnsi" w:hAnsiTheme="majorHAnsi"/>
          <w:color w:val="auto"/>
          <w:sz w:val="20"/>
          <w:szCs w:val="20"/>
          <w:lang w:val="es-ES"/>
        </w:rPr>
        <w:t xml:space="preserve"> </w:t>
      </w:r>
      <w:r w:rsidR="00D26C15" w:rsidRPr="00451615">
        <w:rPr>
          <w:rFonts w:asciiTheme="majorHAnsi" w:hAnsiTheme="majorHAnsi"/>
          <w:color w:val="auto"/>
          <w:sz w:val="20"/>
          <w:szCs w:val="20"/>
          <w:lang w:val="es-ES"/>
        </w:rPr>
        <w:t xml:space="preserve">en </w:t>
      </w:r>
      <w:r w:rsidR="00A77661" w:rsidRPr="00451615">
        <w:rPr>
          <w:rFonts w:asciiTheme="majorHAnsi" w:hAnsiTheme="majorHAnsi"/>
          <w:color w:val="auto"/>
          <w:sz w:val="20"/>
          <w:szCs w:val="20"/>
          <w:lang w:val="es-ES"/>
        </w:rPr>
        <w:t>trámite</w:t>
      </w:r>
      <w:r w:rsidR="00605242" w:rsidRPr="00451615">
        <w:rPr>
          <w:rFonts w:asciiTheme="majorHAnsi" w:hAnsiTheme="majorHAnsi"/>
          <w:color w:val="auto"/>
          <w:sz w:val="20"/>
          <w:szCs w:val="20"/>
          <w:lang w:val="es-ES"/>
        </w:rPr>
        <w:t xml:space="preserve"> ante la CIDH (caso 11.227)</w:t>
      </w:r>
      <w:r w:rsidR="00D26C15" w:rsidRPr="00451615">
        <w:rPr>
          <w:rFonts w:asciiTheme="majorHAnsi" w:hAnsiTheme="majorHAnsi"/>
          <w:color w:val="auto"/>
          <w:sz w:val="20"/>
          <w:szCs w:val="20"/>
          <w:lang w:val="es-ES"/>
        </w:rPr>
        <w:t xml:space="preserve">. </w:t>
      </w:r>
      <w:r w:rsidR="00BC1619" w:rsidRPr="00451615">
        <w:rPr>
          <w:rFonts w:asciiTheme="majorHAnsi" w:hAnsiTheme="majorHAnsi"/>
          <w:color w:val="auto"/>
          <w:sz w:val="20"/>
          <w:szCs w:val="20"/>
          <w:lang w:val="es-ES"/>
        </w:rPr>
        <w:t xml:space="preserve">El </w:t>
      </w:r>
      <w:r w:rsidR="00BC1619" w:rsidRPr="00451615">
        <w:rPr>
          <w:rFonts w:asciiTheme="majorHAnsi" w:hAnsiTheme="majorHAnsi" w:cs="Calibri"/>
          <w:snapToGrid w:val="0"/>
          <w:sz w:val="20"/>
          <w:szCs w:val="20"/>
          <w:bdr w:val="none" w:sz="0" w:space="0" w:color="auto"/>
          <w:lang w:val="es-ES"/>
        </w:rPr>
        <w:t>12 de enero de 2007</w:t>
      </w:r>
      <w:r w:rsidR="00BC1619" w:rsidRPr="00451615">
        <w:rPr>
          <w:rFonts w:asciiTheme="majorHAnsi" w:hAnsiTheme="majorHAnsi"/>
          <w:color w:val="auto"/>
          <w:sz w:val="20"/>
          <w:szCs w:val="20"/>
          <w:lang w:val="es-ES"/>
        </w:rPr>
        <w:t xml:space="preserve"> l</w:t>
      </w:r>
      <w:r w:rsidR="00D26C15" w:rsidRPr="00451615">
        <w:rPr>
          <w:rFonts w:asciiTheme="majorHAnsi" w:hAnsiTheme="majorHAnsi"/>
          <w:color w:val="auto"/>
          <w:sz w:val="20"/>
          <w:szCs w:val="20"/>
          <w:lang w:val="es-ES"/>
        </w:rPr>
        <w:t xml:space="preserve">os </w:t>
      </w:r>
      <w:r w:rsidR="00A77661" w:rsidRPr="00451615">
        <w:rPr>
          <w:rFonts w:asciiTheme="majorHAnsi" w:hAnsiTheme="majorHAnsi"/>
          <w:color w:val="auto"/>
          <w:sz w:val="20"/>
          <w:szCs w:val="20"/>
          <w:lang w:val="es-ES"/>
        </w:rPr>
        <w:t>peticionarios</w:t>
      </w:r>
      <w:r w:rsidR="00D26C15" w:rsidRPr="00451615">
        <w:rPr>
          <w:rFonts w:asciiTheme="majorHAnsi" w:hAnsiTheme="majorHAnsi"/>
          <w:color w:val="auto"/>
          <w:sz w:val="20"/>
          <w:szCs w:val="20"/>
          <w:lang w:val="es-ES"/>
        </w:rPr>
        <w:t xml:space="preserve"> manifestaron </w:t>
      </w:r>
      <w:r w:rsidR="00BC1619" w:rsidRPr="00451615">
        <w:rPr>
          <w:rFonts w:asciiTheme="majorHAnsi" w:hAnsiTheme="majorHAnsi"/>
          <w:color w:val="auto"/>
          <w:sz w:val="20"/>
          <w:szCs w:val="20"/>
          <w:lang w:val="es-ES"/>
        </w:rPr>
        <w:t>su deseo de continuar el trámite del</w:t>
      </w:r>
      <w:r w:rsidR="00D20CF4" w:rsidRPr="00451615">
        <w:rPr>
          <w:rFonts w:asciiTheme="majorHAnsi" w:hAnsiTheme="majorHAnsi"/>
          <w:color w:val="auto"/>
          <w:sz w:val="20"/>
          <w:szCs w:val="20"/>
          <w:lang w:val="es-ES"/>
        </w:rPr>
        <w:t xml:space="preserve"> presente</w:t>
      </w:r>
      <w:r w:rsidR="00BC1619" w:rsidRPr="00451615">
        <w:rPr>
          <w:rFonts w:asciiTheme="majorHAnsi" w:hAnsiTheme="majorHAnsi"/>
          <w:color w:val="auto"/>
          <w:sz w:val="20"/>
          <w:szCs w:val="20"/>
          <w:lang w:val="es-ES"/>
        </w:rPr>
        <w:t xml:space="preserve"> caso de manera individual</w:t>
      </w:r>
      <w:r w:rsidR="00B30F94" w:rsidRPr="00451615">
        <w:rPr>
          <w:rFonts w:asciiTheme="majorHAnsi" w:hAnsiTheme="majorHAnsi"/>
          <w:color w:val="auto"/>
          <w:sz w:val="20"/>
          <w:szCs w:val="20"/>
          <w:lang w:val="es-ES"/>
        </w:rPr>
        <w:t xml:space="preserve"> y e</w:t>
      </w:r>
      <w:r w:rsidR="00BC1619" w:rsidRPr="00451615">
        <w:rPr>
          <w:rFonts w:asciiTheme="majorHAnsi" w:hAnsiTheme="majorHAnsi"/>
          <w:color w:val="auto"/>
          <w:sz w:val="20"/>
          <w:szCs w:val="20"/>
          <w:lang w:val="es-ES"/>
        </w:rPr>
        <w:t xml:space="preserve">l </w:t>
      </w:r>
      <w:r w:rsidR="00BC1619" w:rsidRPr="00451615">
        <w:rPr>
          <w:rFonts w:asciiTheme="majorHAnsi" w:hAnsiTheme="majorHAnsi" w:cs="Calibri"/>
          <w:snapToGrid w:val="0"/>
          <w:sz w:val="20"/>
          <w:szCs w:val="20"/>
          <w:bdr w:val="none" w:sz="0" w:space="0" w:color="auto"/>
          <w:lang w:val="es-ES"/>
        </w:rPr>
        <w:t>25 de marzo de 2009</w:t>
      </w:r>
      <w:r w:rsidR="00FA4AE1" w:rsidRPr="00451615">
        <w:rPr>
          <w:rFonts w:asciiTheme="majorHAnsi" w:hAnsiTheme="majorHAnsi" w:cs="Calibri"/>
          <w:snapToGrid w:val="0"/>
          <w:sz w:val="20"/>
          <w:szCs w:val="20"/>
          <w:bdr w:val="none" w:sz="0" w:space="0" w:color="auto"/>
          <w:lang w:val="es-ES"/>
        </w:rPr>
        <w:t xml:space="preserve"> solicitaron el desglose del caso en dos</w:t>
      </w:r>
      <w:r w:rsidR="00DE187A" w:rsidRPr="00451615">
        <w:rPr>
          <w:rFonts w:asciiTheme="majorHAnsi" w:hAnsiTheme="majorHAnsi" w:cs="Calibri"/>
          <w:snapToGrid w:val="0"/>
          <w:sz w:val="20"/>
          <w:szCs w:val="20"/>
          <w:bdr w:val="none" w:sz="0" w:space="0" w:color="auto"/>
          <w:lang w:val="es-ES"/>
        </w:rPr>
        <w:t xml:space="preserve"> procedimientos independientes.</w:t>
      </w:r>
    </w:p>
    <w:p w:rsidR="00FA4AE1" w:rsidRPr="00451615" w:rsidRDefault="00FA4AE1" w:rsidP="00FA4AE1">
      <w:pPr>
        <w:pStyle w:val="ListParagraph"/>
        <w:rPr>
          <w:rFonts w:asciiTheme="majorHAnsi" w:hAnsiTheme="majorHAnsi"/>
          <w:color w:val="auto"/>
          <w:sz w:val="20"/>
          <w:szCs w:val="20"/>
          <w:lang w:val="es-ES"/>
        </w:rPr>
      </w:pPr>
    </w:p>
    <w:p w:rsidR="008A3F10" w:rsidRPr="00F616A8" w:rsidRDefault="005A2325" w:rsidP="00FA4AE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F616A8">
        <w:rPr>
          <w:rFonts w:asciiTheme="majorHAnsi" w:hAnsiTheme="majorHAnsi"/>
          <w:color w:val="auto"/>
          <w:sz w:val="20"/>
          <w:szCs w:val="20"/>
          <w:lang w:val="es-ES"/>
        </w:rPr>
        <w:t>El 2 de junio de 2012, la CIDH decidi</w:t>
      </w:r>
      <w:r w:rsidR="00FA4AE1" w:rsidRPr="00F616A8">
        <w:rPr>
          <w:rFonts w:asciiTheme="majorHAnsi" w:hAnsiTheme="majorHAnsi"/>
          <w:color w:val="auto"/>
          <w:sz w:val="20"/>
          <w:szCs w:val="20"/>
          <w:lang w:val="es-ES"/>
        </w:rPr>
        <w:t>ó, con base en el artículo 29.1.</w:t>
      </w:r>
      <w:r w:rsidRPr="00F616A8">
        <w:rPr>
          <w:rFonts w:asciiTheme="majorHAnsi" w:hAnsiTheme="majorHAnsi"/>
          <w:color w:val="auto"/>
          <w:sz w:val="20"/>
          <w:szCs w:val="20"/>
          <w:lang w:val="es-ES"/>
        </w:rPr>
        <w:t xml:space="preserve">c de su Reglamento, desglosar </w:t>
      </w:r>
      <w:r w:rsidR="008F48B9" w:rsidRPr="00F616A8">
        <w:rPr>
          <w:rFonts w:asciiTheme="majorHAnsi" w:hAnsiTheme="majorHAnsi"/>
          <w:color w:val="auto"/>
          <w:sz w:val="20"/>
          <w:szCs w:val="20"/>
          <w:lang w:val="es-ES"/>
        </w:rPr>
        <w:t>el expediente 11.794</w:t>
      </w:r>
      <w:r w:rsidR="00601474" w:rsidRPr="00F616A8">
        <w:rPr>
          <w:rFonts w:asciiTheme="majorHAnsi" w:hAnsiTheme="majorHAnsi"/>
          <w:color w:val="auto"/>
          <w:sz w:val="20"/>
          <w:szCs w:val="20"/>
          <w:lang w:val="es-ES"/>
        </w:rPr>
        <w:t xml:space="preserve"> </w:t>
      </w:r>
      <w:r w:rsidR="002A5713" w:rsidRPr="00F616A8">
        <w:rPr>
          <w:rFonts w:asciiTheme="majorHAnsi" w:hAnsiTheme="majorHAnsi"/>
          <w:color w:val="auto"/>
          <w:sz w:val="20"/>
          <w:szCs w:val="20"/>
          <w:lang w:val="es-ES"/>
        </w:rPr>
        <w:t>-ya que la petición exponía presuntos hechos distintos</w:t>
      </w:r>
      <w:r w:rsidR="00735A29" w:rsidRPr="00F616A8">
        <w:rPr>
          <w:rFonts w:asciiTheme="majorHAnsi" w:hAnsiTheme="majorHAnsi"/>
          <w:color w:val="auto"/>
          <w:sz w:val="20"/>
          <w:szCs w:val="20"/>
          <w:lang w:val="es-ES"/>
        </w:rPr>
        <w:t xml:space="preserve"> entre ellos</w:t>
      </w:r>
      <w:r w:rsidR="002A5713" w:rsidRPr="00F616A8">
        <w:rPr>
          <w:rFonts w:asciiTheme="majorHAnsi" w:hAnsiTheme="majorHAnsi"/>
          <w:color w:val="auto"/>
          <w:sz w:val="20"/>
          <w:szCs w:val="20"/>
          <w:lang w:val="es-ES"/>
        </w:rPr>
        <w:t xml:space="preserve">, ocurridos en fechas y lugares diferentes- </w:t>
      </w:r>
      <w:r w:rsidR="00FE4C60" w:rsidRPr="00F616A8">
        <w:rPr>
          <w:rFonts w:asciiTheme="majorHAnsi" w:hAnsiTheme="majorHAnsi"/>
          <w:color w:val="auto"/>
          <w:sz w:val="20"/>
          <w:szCs w:val="20"/>
          <w:lang w:val="es-ES"/>
        </w:rPr>
        <w:t>tramitando por separado los alegatos relativos a</w:t>
      </w:r>
      <w:r w:rsidR="008A3F10" w:rsidRPr="00F616A8">
        <w:rPr>
          <w:rFonts w:asciiTheme="majorHAnsi" w:hAnsiTheme="majorHAnsi"/>
          <w:color w:val="auto"/>
          <w:sz w:val="20"/>
          <w:szCs w:val="20"/>
          <w:lang w:val="es-ES"/>
        </w:rPr>
        <w:t xml:space="preserve"> la presente petición 467-97. Acordó que en el expediente con número 11.794 se tramitaría en lo sucesivo la parte de la petición referida a la presunta desaparición forzada de </w:t>
      </w:r>
      <w:r w:rsidR="00735A29" w:rsidRPr="00F616A8">
        <w:rPr>
          <w:rFonts w:asciiTheme="majorHAnsi" w:hAnsiTheme="majorHAnsi"/>
          <w:color w:val="auto"/>
          <w:sz w:val="20"/>
          <w:szCs w:val="20"/>
          <w:lang w:val="es-ES"/>
        </w:rPr>
        <w:t>dos personas</w:t>
      </w:r>
      <w:r w:rsidR="008A3F10" w:rsidRPr="00F616A8">
        <w:rPr>
          <w:rFonts w:asciiTheme="majorHAnsi" w:hAnsiTheme="majorHAnsi"/>
          <w:color w:val="auto"/>
          <w:sz w:val="20"/>
          <w:szCs w:val="20"/>
          <w:lang w:val="es-ES"/>
        </w:rPr>
        <w:t>, el 28 de marzo de 1990, en el municipio de Yarumal</w:t>
      </w:r>
      <w:r w:rsidR="008A3F10" w:rsidRPr="00F616A8">
        <w:rPr>
          <w:rStyle w:val="FootnoteReference"/>
          <w:rFonts w:asciiTheme="majorHAnsi" w:hAnsiTheme="majorHAnsi"/>
          <w:color w:val="auto"/>
          <w:sz w:val="20"/>
          <w:szCs w:val="20"/>
          <w:lang w:val="es-ES"/>
        </w:rPr>
        <w:footnoteReference w:id="4"/>
      </w:r>
      <w:r w:rsidR="004E68B7" w:rsidRPr="00F616A8">
        <w:rPr>
          <w:rFonts w:asciiTheme="majorHAnsi" w:hAnsiTheme="majorHAnsi"/>
          <w:color w:val="auto"/>
          <w:sz w:val="20"/>
          <w:szCs w:val="20"/>
          <w:lang w:val="es-ES"/>
        </w:rPr>
        <w:t>;</w:t>
      </w:r>
      <w:r w:rsidR="008A3F10" w:rsidRPr="00F616A8">
        <w:rPr>
          <w:rFonts w:asciiTheme="majorHAnsi" w:hAnsiTheme="majorHAnsi"/>
          <w:color w:val="auto"/>
          <w:sz w:val="20"/>
          <w:szCs w:val="20"/>
          <w:lang w:val="es-ES"/>
        </w:rPr>
        <w:t xml:space="preserve"> mientras que </w:t>
      </w:r>
      <w:r w:rsidR="002A5713" w:rsidRPr="00F616A8">
        <w:rPr>
          <w:rFonts w:asciiTheme="majorHAnsi" w:hAnsiTheme="majorHAnsi"/>
          <w:color w:val="auto"/>
          <w:sz w:val="20"/>
          <w:szCs w:val="20"/>
          <w:lang w:val="es-ES"/>
        </w:rPr>
        <w:t>el expediente</w:t>
      </w:r>
      <w:r w:rsidR="008A3F10" w:rsidRPr="00F616A8">
        <w:rPr>
          <w:rFonts w:asciiTheme="majorHAnsi" w:hAnsiTheme="majorHAnsi"/>
          <w:color w:val="auto"/>
          <w:sz w:val="20"/>
          <w:szCs w:val="20"/>
          <w:lang w:val="es-ES"/>
        </w:rPr>
        <w:t xml:space="preserve"> </w:t>
      </w:r>
      <w:r w:rsidR="002A5713" w:rsidRPr="00F616A8">
        <w:rPr>
          <w:rFonts w:asciiTheme="majorHAnsi" w:hAnsiTheme="majorHAnsi"/>
          <w:color w:val="auto"/>
          <w:sz w:val="20"/>
          <w:szCs w:val="20"/>
          <w:lang w:val="es-ES"/>
        </w:rPr>
        <w:t xml:space="preserve">467-97 </w:t>
      </w:r>
      <w:r w:rsidR="008A3F10" w:rsidRPr="00F616A8">
        <w:rPr>
          <w:rFonts w:asciiTheme="majorHAnsi" w:hAnsiTheme="majorHAnsi"/>
          <w:color w:val="auto"/>
          <w:sz w:val="20"/>
          <w:szCs w:val="20"/>
          <w:lang w:val="es-ES"/>
        </w:rPr>
        <w:t xml:space="preserve">se </w:t>
      </w:r>
      <w:r w:rsidR="002A5713" w:rsidRPr="00F616A8">
        <w:rPr>
          <w:rFonts w:asciiTheme="majorHAnsi" w:hAnsiTheme="majorHAnsi"/>
          <w:color w:val="auto"/>
          <w:sz w:val="20"/>
          <w:szCs w:val="20"/>
          <w:lang w:val="es-ES"/>
        </w:rPr>
        <w:t xml:space="preserve">referiría </w:t>
      </w:r>
      <w:r w:rsidR="00735A29" w:rsidRPr="00F616A8">
        <w:rPr>
          <w:rFonts w:asciiTheme="majorHAnsi" w:hAnsiTheme="majorHAnsi"/>
          <w:color w:val="auto"/>
          <w:sz w:val="20"/>
          <w:szCs w:val="20"/>
          <w:lang w:val="es-ES"/>
        </w:rPr>
        <w:t xml:space="preserve">en lo sucesivo </w:t>
      </w:r>
      <w:r w:rsidR="002A5713" w:rsidRPr="00F616A8">
        <w:rPr>
          <w:rFonts w:asciiTheme="majorHAnsi" w:hAnsiTheme="majorHAnsi"/>
          <w:color w:val="auto"/>
          <w:sz w:val="20"/>
          <w:szCs w:val="20"/>
          <w:lang w:val="es-ES"/>
        </w:rPr>
        <w:t>a</w:t>
      </w:r>
      <w:r w:rsidR="008A3F10" w:rsidRPr="00F616A8">
        <w:rPr>
          <w:rFonts w:asciiTheme="majorHAnsi" w:hAnsiTheme="majorHAnsi"/>
          <w:color w:val="auto"/>
          <w:sz w:val="20"/>
          <w:szCs w:val="20"/>
          <w:lang w:val="es-ES"/>
        </w:rPr>
        <w:t xml:space="preserve"> los </w:t>
      </w:r>
      <w:r w:rsidR="002A5713" w:rsidRPr="00F616A8">
        <w:rPr>
          <w:rFonts w:asciiTheme="majorHAnsi" w:hAnsiTheme="majorHAnsi"/>
          <w:color w:val="auto"/>
          <w:sz w:val="20"/>
          <w:szCs w:val="20"/>
          <w:lang w:val="es-ES"/>
        </w:rPr>
        <w:t>hechos concernientes la Masacre de C</w:t>
      </w:r>
      <w:r w:rsidR="008A3F10" w:rsidRPr="00F616A8">
        <w:rPr>
          <w:rFonts w:asciiTheme="majorHAnsi" w:hAnsiTheme="majorHAnsi"/>
          <w:color w:val="auto"/>
          <w:sz w:val="20"/>
          <w:szCs w:val="20"/>
          <w:lang w:val="es-ES"/>
        </w:rPr>
        <w:t xml:space="preserve">ampamento, </w:t>
      </w:r>
      <w:r w:rsidR="002A5713" w:rsidRPr="00F616A8">
        <w:rPr>
          <w:rFonts w:asciiTheme="majorHAnsi" w:hAnsiTheme="majorHAnsi"/>
          <w:color w:val="auto"/>
          <w:sz w:val="20"/>
          <w:szCs w:val="20"/>
          <w:lang w:val="es-ES"/>
        </w:rPr>
        <w:t>ocurrida el 5 de junio de 1990, en la vereda La Solita, municipio de Campamento.</w:t>
      </w:r>
    </w:p>
    <w:p w:rsidR="00181829" w:rsidRPr="00451615"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snapToGrid w:val="0"/>
          <w:color w:val="FF0000"/>
          <w:sz w:val="20"/>
          <w:szCs w:val="20"/>
          <w:bdr w:val="none" w:sz="0" w:space="0" w:color="auto"/>
          <w:lang w:val="es-ES"/>
        </w:rPr>
      </w:pPr>
    </w:p>
    <w:p w:rsidR="00181829" w:rsidRPr="00451615" w:rsidRDefault="00181829" w:rsidP="00543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hAnsiTheme="majorHAnsi"/>
          <w:b/>
          <w:snapToGrid w:val="0"/>
          <w:sz w:val="20"/>
          <w:szCs w:val="20"/>
          <w:bdr w:val="none" w:sz="0" w:space="0" w:color="auto"/>
          <w:lang w:val="es-ES"/>
        </w:rPr>
      </w:pPr>
      <w:r w:rsidRPr="00451615">
        <w:rPr>
          <w:rFonts w:asciiTheme="majorHAnsi" w:hAnsiTheme="majorHAnsi"/>
          <w:b/>
          <w:sz w:val="20"/>
          <w:szCs w:val="20"/>
          <w:bdr w:val="none" w:sz="0" w:space="0" w:color="auto"/>
          <w:lang w:val="es-ES"/>
        </w:rPr>
        <w:t>POSICIÓN DE LAS PARTES</w:t>
      </w:r>
    </w:p>
    <w:p w:rsidR="00181829" w:rsidRPr="00451615"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napToGrid w:val="0"/>
          <w:sz w:val="20"/>
          <w:szCs w:val="20"/>
          <w:bdr w:val="none" w:sz="0" w:space="0" w:color="auto"/>
          <w:lang w:val="es-ES"/>
        </w:rPr>
      </w:pPr>
    </w:p>
    <w:p w:rsidR="00181829" w:rsidRPr="00451615" w:rsidRDefault="00181829" w:rsidP="00543D2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b/>
          <w:snapToGrid w:val="0"/>
          <w:sz w:val="20"/>
          <w:szCs w:val="20"/>
          <w:bdr w:val="none" w:sz="0" w:space="0" w:color="auto"/>
          <w:lang w:val="es-ES"/>
        </w:rPr>
      </w:pPr>
      <w:r w:rsidRPr="00451615">
        <w:rPr>
          <w:rFonts w:asciiTheme="majorHAnsi" w:hAnsiTheme="majorHAnsi"/>
          <w:b/>
          <w:sz w:val="20"/>
          <w:szCs w:val="20"/>
          <w:bdr w:val="none" w:sz="0" w:space="0" w:color="auto"/>
          <w:lang w:val="es-ES"/>
        </w:rPr>
        <w:t xml:space="preserve">Posición de los peticionarios </w:t>
      </w:r>
    </w:p>
    <w:p w:rsidR="00181829" w:rsidRPr="00451615"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ajorHAnsi" w:hAnsiTheme="majorHAnsi"/>
          <w:snapToGrid w:val="0"/>
          <w:sz w:val="20"/>
          <w:szCs w:val="20"/>
          <w:bdr w:val="none" w:sz="0" w:space="0" w:color="auto"/>
          <w:lang w:val="es-ES"/>
        </w:rPr>
      </w:pPr>
    </w:p>
    <w:p w:rsidR="00E5422E" w:rsidRPr="00A76683" w:rsidRDefault="00383136" w:rsidP="008B56A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
        </w:rPr>
      </w:pPr>
      <w:r w:rsidRPr="00451615">
        <w:rPr>
          <w:rFonts w:asciiTheme="majorHAnsi" w:hAnsiTheme="majorHAnsi"/>
          <w:sz w:val="20"/>
          <w:szCs w:val="20"/>
          <w:bdr w:val="none" w:sz="0" w:space="0" w:color="auto"/>
          <w:lang w:val="es-ES"/>
        </w:rPr>
        <w:t>Respecto al</w:t>
      </w:r>
      <w:r w:rsidR="00E5422E" w:rsidRPr="00451615">
        <w:rPr>
          <w:rFonts w:asciiTheme="majorHAnsi" w:hAnsiTheme="majorHAnsi"/>
          <w:sz w:val="20"/>
          <w:szCs w:val="20"/>
          <w:bdr w:val="none" w:sz="0" w:space="0" w:color="auto"/>
          <w:lang w:val="es-ES"/>
        </w:rPr>
        <w:t xml:space="preserve"> contexto</w:t>
      </w:r>
      <w:r w:rsidRPr="00451615">
        <w:rPr>
          <w:rFonts w:asciiTheme="majorHAnsi" w:hAnsiTheme="majorHAnsi"/>
          <w:sz w:val="20"/>
          <w:szCs w:val="20"/>
          <w:bdr w:val="none" w:sz="0" w:space="0" w:color="auto"/>
          <w:lang w:val="es-ES"/>
        </w:rPr>
        <w:t xml:space="preserve"> de la masacre</w:t>
      </w:r>
      <w:r w:rsidR="00E5422E" w:rsidRPr="00451615">
        <w:rPr>
          <w:rFonts w:asciiTheme="majorHAnsi" w:hAnsiTheme="majorHAnsi"/>
          <w:sz w:val="20"/>
          <w:szCs w:val="20"/>
          <w:bdr w:val="none" w:sz="0" w:space="0" w:color="auto"/>
          <w:lang w:val="es-ES"/>
        </w:rPr>
        <w:t xml:space="preserve">, los peticionarios narran que </w:t>
      </w:r>
      <w:r w:rsidR="00FE6EC1" w:rsidRPr="00451615">
        <w:rPr>
          <w:rFonts w:asciiTheme="majorHAnsi" w:hAnsiTheme="majorHAnsi"/>
          <w:sz w:val="20"/>
          <w:szCs w:val="20"/>
          <w:bdr w:val="none" w:sz="0" w:space="0" w:color="auto"/>
          <w:lang w:val="es-ES"/>
        </w:rPr>
        <w:t>entre 1986 y 1988</w:t>
      </w:r>
      <w:r w:rsidR="008B56A4" w:rsidRPr="00451615">
        <w:rPr>
          <w:rFonts w:asciiTheme="majorHAnsi" w:hAnsiTheme="majorHAnsi"/>
          <w:sz w:val="20"/>
          <w:szCs w:val="20"/>
          <w:bdr w:val="none" w:sz="0" w:space="0" w:color="auto"/>
          <w:lang w:val="es-ES"/>
        </w:rPr>
        <w:t xml:space="preserve"> el movimiento político </w:t>
      </w:r>
      <w:r w:rsidR="008B56A4" w:rsidRPr="00451615">
        <w:rPr>
          <w:rFonts w:asciiTheme="majorHAnsi" w:hAnsiTheme="majorHAnsi"/>
          <w:i/>
          <w:iCs/>
          <w:sz w:val="20"/>
          <w:szCs w:val="20"/>
          <w:bdr w:val="none" w:sz="0" w:space="0" w:color="auto"/>
          <w:lang w:val="es-ES"/>
        </w:rPr>
        <w:t xml:space="preserve">Unión Patriótica </w:t>
      </w:r>
      <w:r w:rsidR="008B56A4" w:rsidRPr="00451615">
        <w:rPr>
          <w:rFonts w:asciiTheme="majorHAnsi" w:hAnsiTheme="majorHAnsi"/>
          <w:sz w:val="20"/>
          <w:szCs w:val="20"/>
          <w:bdr w:val="none" w:sz="0" w:space="0" w:color="auto"/>
          <w:lang w:val="es-ES"/>
        </w:rPr>
        <w:t>(en adelante “UP”)</w:t>
      </w:r>
      <w:r w:rsidR="00E5422E" w:rsidRPr="00451615">
        <w:rPr>
          <w:rFonts w:asciiTheme="majorHAnsi" w:hAnsiTheme="majorHAnsi"/>
          <w:sz w:val="20"/>
          <w:szCs w:val="20"/>
          <w:bdr w:val="none" w:sz="0" w:space="0" w:color="auto"/>
          <w:lang w:val="es-ES"/>
        </w:rPr>
        <w:t xml:space="preserve"> hizo su </w:t>
      </w:r>
      <w:r w:rsidR="008B56A4" w:rsidRPr="00451615">
        <w:rPr>
          <w:rFonts w:asciiTheme="majorHAnsi" w:hAnsiTheme="majorHAnsi"/>
          <w:sz w:val="20"/>
          <w:szCs w:val="20"/>
          <w:bdr w:val="none" w:sz="0" w:space="0" w:color="auto"/>
          <w:lang w:val="es-ES"/>
        </w:rPr>
        <w:t>aparición en la zona norte del dep</w:t>
      </w:r>
      <w:r w:rsidR="00FE6EC1" w:rsidRPr="00451615">
        <w:rPr>
          <w:rFonts w:asciiTheme="majorHAnsi" w:hAnsiTheme="majorHAnsi"/>
          <w:sz w:val="20"/>
          <w:szCs w:val="20"/>
          <w:bdr w:val="none" w:sz="0" w:space="0" w:color="auto"/>
          <w:lang w:val="es-ES"/>
        </w:rPr>
        <w:t xml:space="preserve">artamento de Antioquia </w:t>
      </w:r>
      <w:r w:rsidR="00E5422E" w:rsidRPr="00451615">
        <w:rPr>
          <w:rFonts w:asciiTheme="majorHAnsi" w:hAnsiTheme="majorHAnsi"/>
          <w:sz w:val="20"/>
          <w:szCs w:val="20"/>
          <w:bdr w:val="none" w:sz="0" w:space="0" w:color="auto"/>
          <w:lang w:val="es-ES"/>
        </w:rPr>
        <w:t>como organización político partidista y encontró apoyo en los pobladores y en los movimientos sociales y campesinos. Indican que paralelamente al surgimiento de la UP, ocurrieron en forma sistemática masacres en varias poblaciones de la zona, donde la UP ejercía una fuerte influencia política. Alegan que, desde la década de los ochenta, la presencia y accionar de grupos paramilitares se evidenció en la zona por una serie de hechos violentos</w:t>
      </w:r>
      <w:r w:rsidR="00E5422E" w:rsidRPr="00451615">
        <w:rPr>
          <w:rStyle w:val="FootnoteReference"/>
          <w:rFonts w:asciiTheme="majorHAnsi" w:hAnsiTheme="majorHAnsi"/>
          <w:sz w:val="20"/>
          <w:szCs w:val="20"/>
          <w:bdr w:val="none" w:sz="0" w:space="0" w:color="auto"/>
          <w:lang w:val="es-ES"/>
        </w:rPr>
        <w:footnoteReference w:id="5"/>
      </w:r>
      <w:r w:rsidR="00E5422E" w:rsidRPr="00451615">
        <w:rPr>
          <w:rFonts w:asciiTheme="majorHAnsi" w:hAnsiTheme="majorHAnsi"/>
          <w:sz w:val="20"/>
          <w:szCs w:val="20"/>
          <w:bdr w:val="none" w:sz="0" w:space="0" w:color="auto"/>
          <w:lang w:val="es-ES"/>
        </w:rPr>
        <w:t>,</w:t>
      </w:r>
      <w:r w:rsidR="00E5422E" w:rsidRPr="00A76683">
        <w:rPr>
          <w:rFonts w:asciiTheme="majorHAnsi" w:hAnsiTheme="majorHAnsi"/>
          <w:sz w:val="20"/>
          <w:szCs w:val="20"/>
          <w:bdr w:val="none" w:sz="0" w:space="0" w:color="auto"/>
          <w:lang w:val="es-ES"/>
        </w:rPr>
        <w:t xml:space="preserve"> y que en los años de 1990 hacía presencia un grupo paramilitar local llamado “Los Doce Apóstoles”, el cual </w:t>
      </w:r>
      <w:r w:rsidR="00D51F95" w:rsidRPr="00A76683">
        <w:rPr>
          <w:rFonts w:asciiTheme="majorHAnsi" w:hAnsiTheme="majorHAnsi"/>
          <w:sz w:val="20"/>
          <w:szCs w:val="20"/>
          <w:bdr w:val="none" w:sz="0" w:space="0" w:color="auto"/>
          <w:lang w:val="es-ES"/>
        </w:rPr>
        <w:t>habría sido el</w:t>
      </w:r>
      <w:r w:rsidR="002932A4" w:rsidRPr="00A76683">
        <w:rPr>
          <w:rFonts w:asciiTheme="majorHAnsi" w:hAnsiTheme="majorHAnsi"/>
          <w:sz w:val="20"/>
          <w:szCs w:val="20"/>
          <w:bdr w:val="none" w:sz="0" w:space="0" w:color="auto"/>
          <w:lang w:val="es-ES"/>
        </w:rPr>
        <w:t xml:space="preserve"> responsable de numerosas</w:t>
      </w:r>
      <w:r w:rsidR="00E5422E" w:rsidRPr="00A76683">
        <w:rPr>
          <w:rFonts w:asciiTheme="majorHAnsi" w:hAnsiTheme="majorHAnsi"/>
          <w:sz w:val="20"/>
          <w:szCs w:val="20"/>
          <w:bdr w:val="none" w:sz="0" w:space="0" w:color="auto"/>
          <w:lang w:val="es-ES"/>
        </w:rPr>
        <w:t xml:space="preserve"> ejecuciones extrajudiciales de pobladores</w:t>
      </w:r>
      <w:r w:rsidR="00994E50" w:rsidRPr="00A76683">
        <w:rPr>
          <w:rFonts w:asciiTheme="majorHAnsi" w:hAnsiTheme="majorHAnsi"/>
          <w:sz w:val="20"/>
          <w:szCs w:val="20"/>
          <w:bdr w:val="none" w:sz="0" w:space="0" w:color="auto"/>
          <w:lang w:val="es-ES"/>
        </w:rPr>
        <w:t>, incluida la de</w:t>
      </w:r>
      <w:r w:rsidR="002932A4" w:rsidRPr="00A76683">
        <w:rPr>
          <w:rFonts w:asciiTheme="majorHAnsi" w:hAnsiTheme="majorHAnsi"/>
          <w:sz w:val="20"/>
          <w:szCs w:val="20"/>
          <w:bdr w:val="none" w:sz="0" w:space="0" w:color="auto"/>
          <w:lang w:val="es-ES"/>
        </w:rPr>
        <w:t xml:space="preserve"> las victimas del presente caso</w:t>
      </w:r>
      <w:r w:rsidR="002932A4" w:rsidRPr="00A76683">
        <w:rPr>
          <w:rStyle w:val="FootnoteReference"/>
          <w:rFonts w:asciiTheme="majorHAnsi" w:hAnsiTheme="majorHAnsi"/>
          <w:sz w:val="20"/>
          <w:szCs w:val="20"/>
          <w:bdr w:val="none" w:sz="0" w:space="0" w:color="auto"/>
          <w:lang w:val="es-ES"/>
        </w:rPr>
        <w:footnoteReference w:id="6"/>
      </w:r>
      <w:r w:rsidR="00E5422E" w:rsidRPr="00A76683">
        <w:rPr>
          <w:rFonts w:asciiTheme="majorHAnsi" w:hAnsiTheme="majorHAnsi"/>
          <w:sz w:val="20"/>
          <w:szCs w:val="20"/>
          <w:bdr w:val="none" w:sz="0" w:space="0" w:color="auto"/>
          <w:lang w:val="es-ES"/>
        </w:rPr>
        <w:t>. Señalan que este grupo estaría integrado por la Fuerza Pública y ex miembros de la “</w:t>
      </w:r>
      <w:r w:rsidR="00E5422E" w:rsidRPr="00A76683">
        <w:rPr>
          <w:rFonts w:asciiTheme="majorHAnsi" w:hAnsiTheme="majorHAnsi"/>
          <w:i/>
          <w:iCs/>
          <w:sz w:val="20"/>
          <w:szCs w:val="20"/>
          <w:bdr w:val="none" w:sz="0" w:space="0" w:color="auto"/>
          <w:lang w:val="es-ES"/>
        </w:rPr>
        <w:t xml:space="preserve">Sección de orden ciudadano municipal” </w:t>
      </w:r>
      <w:r w:rsidR="00E5422E" w:rsidRPr="00A76683">
        <w:rPr>
          <w:rFonts w:asciiTheme="majorHAnsi" w:hAnsiTheme="majorHAnsi"/>
          <w:sz w:val="20"/>
          <w:szCs w:val="20"/>
          <w:bdr w:val="none" w:sz="0" w:space="0" w:color="auto"/>
          <w:lang w:val="es-ES"/>
        </w:rPr>
        <w:t>(SOC), un grupo “legal” de paramilitarismo, posteriormente disuelto.</w:t>
      </w:r>
    </w:p>
    <w:p w:rsidR="00E5422E" w:rsidRPr="00A76683" w:rsidRDefault="00E5422E" w:rsidP="002932A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
        </w:rPr>
      </w:pPr>
    </w:p>
    <w:p w:rsidR="003C5D04" w:rsidRDefault="002932A4" w:rsidP="00ED2AD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
        </w:rPr>
      </w:pPr>
      <w:r w:rsidRPr="00A76683">
        <w:rPr>
          <w:rFonts w:asciiTheme="majorHAnsi" w:hAnsiTheme="majorHAnsi"/>
          <w:sz w:val="20"/>
          <w:szCs w:val="20"/>
          <w:bdr w:val="none" w:sz="0" w:space="0" w:color="auto"/>
          <w:lang w:val="es-ES"/>
        </w:rPr>
        <w:t>Como antecedentes, los peticionarios indican que</w:t>
      </w:r>
      <w:r w:rsidR="00994E50" w:rsidRPr="00A76683">
        <w:rPr>
          <w:rFonts w:asciiTheme="majorHAnsi" w:hAnsiTheme="majorHAnsi"/>
          <w:sz w:val="20"/>
          <w:szCs w:val="20"/>
          <w:bdr w:val="none" w:sz="0" w:space="0" w:color="auto"/>
          <w:lang w:val="es-ES"/>
        </w:rPr>
        <w:t>,</w:t>
      </w:r>
      <w:r w:rsidR="002E7B2C" w:rsidRPr="00A76683">
        <w:rPr>
          <w:rFonts w:asciiTheme="majorHAnsi" w:hAnsiTheme="majorHAnsi"/>
          <w:sz w:val="20"/>
          <w:szCs w:val="20"/>
          <w:bdr w:val="none" w:sz="0" w:space="0" w:color="auto"/>
          <w:lang w:val="es-ES"/>
        </w:rPr>
        <w:t xml:space="preserve"> para la época de los hechos</w:t>
      </w:r>
      <w:r w:rsidR="00994E50" w:rsidRPr="00A76683">
        <w:rPr>
          <w:rFonts w:asciiTheme="majorHAnsi" w:hAnsiTheme="majorHAnsi"/>
          <w:sz w:val="20"/>
          <w:szCs w:val="20"/>
          <w:bdr w:val="none" w:sz="0" w:space="0" w:color="auto"/>
          <w:lang w:val="es-ES"/>
        </w:rPr>
        <w:t>,</w:t>
      </w:r>
      <w:r w:rsidRPr="00A76683">
        <w:rPr>
          <w:rFonts w:asciiTheme="majorHAnsi" w:hAnsiTheme="majorHAnsi"/>
          <w:sz w:val="20"/>
          <w:szCs w:val="20"/>
          <w:bdr w:val="none" w:sz="0" w:space="0" w:color="auto"/>
          <w:lang w:val="es-ES"/>
        </w:rPr>
        <w:t xml:space="preserve"> </w:t>
      </w:r>
      <w:r w:rsidR="00E44841" w:rsidRPr="00A76683">
        <w:rPr>
          <w:rFonts w:asciiTheme="majorHAnsi" w:hAnsiTheme="majorHAnsi"/>
          <w:sz w:val="20"/>
          <w:szCs w:val="20"/>
          <w:bdr w:val="none" w:sz="0" w:space="0" w:color="auto"/>
          <w:lang w:val="es-ES"/>
        </w:rPr>
        <w:t>Francisco Luis Duque Pino, Marta María López Gaviria, Luis Gildardo López Gaviria, Oscar Duque y María Eugenia López eran militantes de la UP. Francisco Luis Duque Pino y Marta María López Gaviria eran igualmente miembros del Partido Comunista de Colombia</w:t>
      </w:r>
      <w:r w:rsidR="008E2EC1" w:rsidRPr="00A76683">
        <w:rPr>
          <w:rFonts w:asciiTheme="majorHAnsi" w:hAnsiTheme="majorHAnsi"/>
          <w:sz w:val="20"/>
          <w:szCs w:val="20"/>
          <w:bdr w:val="none" w:sz="0" w:space="0" w:color="auto"/>
          <w:lang w:val="es-ES"/>
        </w:rPr>
        <w:t>.</w:t>
      </w:r>
      <w:r w:rsidR="00E44841" w:rsidRPr="00A76683">
        <w:rPr>
          <w:rFonts w:asciiTheme="majorHAnsi" w:hAnsiTheme="majorHAnsi"/>
          <w:sz w:val="20"/>
          <w:szCs w:val="20"/>
          <w:bdr w:val="none" w:sz="0" w:space="0" w:color="auto"/>
          <w:lang w:val="es-ES"/>
        </w:rPr>
        <w:t xml:space="preserve"> </w:t>
      </w:r>
      <w:r w:rsidR="005744B6" w:rsidRPr="00A76683">
        <w:rPr>
          <w:rFonts w:asciiTheme="majorHAnsi" w:hAnsiTheme="majorHAnsi"/>
          <w:sz w:val="20"/>
          <w:szCs w:val="20"/>
          <w:bdr w:val="none" w:sz="0" w:space="0" w:color="auto"/>
          <w:lang w:val="es-ES"/>
        </w:rPr>
        <w:t>Francisco Luis Duque Pino, de profesión minero, se dedicaba a la minería artesanal junto con su cuñado Luis Gildardo López Gaviria y Hernán Quintero (“El Chato”).</w:t>
      </w:r>
      <w:r w:rsidR="00DF1186" w:rsidRPr="00A76683">
        <w:rPr>
          <w:rFonts w:asciiTheme="majorHAnsi" w:hAnsiTheme="majorHAnsi"/>
          <w:sz w:val="20"/>
          <w:szCs w:val="20"/>
          <w:bdr w:val="none" w:sz="0" w:space="0" w:color="auto"/>
          <w:lang w:val="es-ES"/>
        </w:rPr>
        <w:t xml:space="preserve"> </w:t>
      </w:r>
      <w:r w:rsidR="00E44841" w:rsidRPr="00ED2AD1">
        <w:rPr>
          <w:rFonts w:asciiTheme="majorHAnsi" w:hAnsiTheme="majorHAnsi"/>
          <w:sz w:val="20"/>
          <w:szCs w:val="20"/>
          <w:bdr w:val="none" w:sz="0" w:space="0" w:color="auto"/>
          <w:lang w:val="es-ES"/>
        </w:rPr>
        <w:t xml:space="preserve">Alegan que </w:t>
      </w:r>
      <w:r w:rsidR="00D4463B" w:rsidRPr="00ED2AD1">
        <w:rPr>
          <w:rFonts w:asciiTheme="majorHAnsi" w:hAnsiTheme="majorHAnsi"/>
          <w:sz w:val="20"/>
          <w:szCs w:val="20"/>
          <w:bdr w:val="none" w:sz="0" w:space="0" w:color="auto"/>
          <w:lang w:val="es-ES"/>
        </w:rPr>
        <w:t xml:space="preserve">a causa de su </w:t>
      </w:r>
      <w:r w:rsidR="005744B6" w:rsidRPr="00ED2AD1">
        <w:rPr>
          <w:rFonts w:asciiTheme="majorHAnsi" w:hAnsiTheme="majorHAnsi"/>
          <w:sz w:val="20"/>
          <w:szCs w:val="20"/>
          <w:bdr w:val="none" w:sz="0" w:space="0" w:color="auto"/>
          <w:lang w:val="es-ES"/>
        </w:rPr>
        <w:t>militancia en la UP</w:t>
      </w:r>
      <w:r w:rsidR="00D4463B" w:rsidRPr="00ED2AD1">
        <w:rPr>
          <w:rFonts w:asciiTheme="majorHAnsi" w:hAnsiTheme="majorHAnsi"/>
          <w:sz w:val="20"/>
          <w:szCs w:val="20"/>
          <w:bdr w:val="none" w:sz="0" w:space="0" w:color="auto"/>
          <w:lang w:val="es-ES"/>
        </w:rPr>
        <w:t xml:space="preserve">, la familia Duque </w:t>
      </w:r>
      <w:r w:rsidR="003252BA" w:rsidRPr="00ED2AD1">
        <w:rPr>
          <w:rFonts w:asciiTheme="majorHAnsi" w:hAnsiTheme="majorHAnsi"/>
          <w:sz w:val="20"/>
          <w:szCs w:val="20"/>
          <w:bdr w:val="none" w:sz="0" w:space="0" w:color="auto"/>
          <w:lang w:val="es-ES"/>
        </w:rPr>
        <w:t>López</w:t>
      </w:r>
      <w:r w:rsidR="00D4463B" w:rsidRPr="00ED2AD1">
        <w:rPr>
          <w:rFonts w:asciiTheme="majorHAnsi" w:hAnsiTheme="majorHAnsi"/>
          <w:sz w:val="20"/>
          <w:szCs w:val="20"/>
          <w:bdr w:val="none" w:sz="0" w:space="0" w:color="auto"/>
          <w:lang w:val="es-ES"/>
        </w:rPr>
        <w:t xml:space="preserve"> </w:t>
      </w:r>
      <w:r w:rsidR="00D51F95" w:rsidRPr="00ED2AD1">
        <w:rPr>
          <w:rFonts w:asciiTheme="majorHAnsi" w:hAnsiTheme="majorHAnsi"/>
          <w:sz w:val="20"/>
          <w:szCs w:val="20"/>
          <w:bdr w:val="none" w:sz="0" w:space="0" w:color="auto"/>
          <w:lang w:val="es-ES"/>
        </w:rPr>
        <w:t>sufrió</w:t>
      </w:r>
      <w:r w:rsidR="003C5D04" w:rsidRPr="00ED2AD1">
        <w:rPr>
          <w:rFonts w:asciiTheme="majorHAnsi" w:hAnsiTheme="majorHAnsi"/>
          <w:sz w:val="20"/>
          <w:szCs w:val="20"/>
          <w:bdr w:val="none" w:sz="0" w:space="0" w:color="auto"/>
          <w:lang w:val="es-ES"/>
        </w:rPr>
        <w:t xml:space="preserve"> </w:t>
      </w:r>
      <w:r w:rsidR="00D51F95" w:rsidRPr="00ED2AD1">
        <w:rPr>
          <w:rFonts w:asciiTheme="majorHAnsi" w:hAnsiTheme="majorHAnsi"/>
          <w:sz w:val="20"/>
          <w:szCs w:val="20"/>
          <w:bdr w:val="none" w:sz="0" w:space="0" w:color="auto"/>
          <w:lang w:val="es-ES"/>
        </w:rPr>
        <w:t>persecuciones</w:t>
      </w:r>
      <w:r w:rsidR="003C5D04" w:rsidRPr="00ED2AD1">
        <w:rPr>
          <w:rFonts w:asciiTheme="majorHAnsi" w:hAnsiTheme="majorHAnsi"/>
          <w:sz w:val="20"/>
          <w:szCs w:val="20"/>
          <w:bdr w:val="none" w:sz="0" w:space="0" w:color="auto"/>
          <w:lang w:val="es-ES"/>
        </w:rPr>
        <w:t xml:space="preserve"> por parte de los m</w:t>
      </w:r>
      <w:r w:rsidR="005609C6" w:rsidRPr="00ED2AD1">
        <w:rPr>
          <w:rFonts w:asciiTheme="majorHAnsi" w:hAnsiTheme="majorHAnsi"/>
          <w:sz w:val="20"/>
          <w:szCs w:val="20"/>
          <w:bdr w:val="none" w:sz="0" w:space="0" w:color="auto"/>
          <w:lang w:val="es-ES"/>
        </w:rPr>
        <w:t>i</w:t>
      </w:r>
      <w:r w:rsidR="00257C5C" w:rsidRPr="00ED2AD1">
        <w:rPr>
          <w:rFonts w:asciiTheme="majorHAnsi" w:hAnsiTheme="majorHAnsi"/>
          <w:sz w:val="20"/>
          <w:szCs w:val="20"/>
          <w:bdr w:val="none" w:sz="0" w:space="0" w:color="auto"/>
          <w:lang w:val="es-ES"/>
        </w:rPr>
        <w:t xml:space="preserve">embros de las Fuerzas Armadas. </w:t>
      </w:r>
      <w:r w:rsidR="00ED2AD1">
        <w:rPr>
          <w:rFonts w:asciiTheme="majorHAnsi" w:hAnsiTheme="majorHAnsi"/>
          <w:sz w:val="20"/>
          <w:szCs w:val="20"/>
          <w:bdr w:val="none" w:sz="0" w:space="0" w:color="auto"/>
          <w:lang w:val="es-ES"/>
        </w:rPr>
        <w:t>Indican que a</w:t>
      </w:r>
      <w:r w:rsidR="003C5D04" w:rsidRPr="00ED2AD1">
        <w:rPr>
          <w:rFonts w:asciiTheme="majorHAnsi" w:hAnsiTheme="majorHAnsi"/>
          <w:sz w:val="20"/>
          <w:szCs w:val="20"/>
          <w:bdr w:val="none" w:sz="0" w:space="0" w:color="auto"/>
          <w:lang w:val="es-ES"/>
        </w:rPr>
        <w:t xml:space="preserve"> finales de 1985 Francisco Luis Duque fue retenido arbitrariamente por miembros del </w:t>
      </w:r>
      <w:r w:rsidR="00D51F95" w:rsidRPr="00ED2AD1">
        <w:rPr>
          <w:rFonts w:asciiTheme="majorHAnsi" w:hAnsiTheme="majorHAnsi"/>
          <w:sz w:val="20"/>
          <w:szCs w:val="20"/>
          <w:bdr w:val="none" w:sz="0" w:space="0" w:color="auto"/>
          <w:lang w:val="es-ES"/>
        </w:rPr>
        <w:t>Ejército</w:t>
      </w:r>
      <w:r w:rsidR="003C5D04" w:rsidRPr="00ED2AD1">
        <w:rPr>
          <w:rFonts w:asciiTheme="majorHAnsi" w:hAnsiTheme="majorHAnsi"/>
          <w:sz w:val="20"/>
          <w:szCs w:val="20"/>
          <w:bdr w:val="none" w:sz="0" w:space="0" w:color="auto"/>
          <w:lang w:val="es-ES"/>
        </w:rPr>
        <w:t xml:space="preserve"> y torturado. Durante el </w:t>
      </w:r>
      <w:r w:rsidR="00D51F95" w:rsidRPr="00ED2AD1">
        <w:rPr>
          <w:rFonts w:asciiTheme="majorHAnsi" w:hAnsiTheme="majorHAnsi"/>
          <w:sz w:val="20"/>
          <w:szCs w:val="20"/>
          <w:bdr w:val="none" w:sz="0" w:space="0" w:color="auto"/>
          <w:lang w:val="es-ES"/>
        </w:rPr>
        <w:t>año</w:t>
      </w:r>
      <w:r w:rsidR="003C5D04" w:rsidRPr="00ED2AD1">
        <w:rPr>
          <w:rFonts w:asciiTheme="majorHAnsi" w:hAnsiTheme="majorHAnsi"/>
          <w:sz w:val="20"/>
          <w:szCs w:val="20"/>
          <w:bdr w:val="none" w:sz="0" w:space="0" w:color="auto"/>
          <w:lang w:val="es-ES"/>
        </w:rPr>
        <w:t xml:space="preserve"> 1986 la familia recibió escritos de amenazas de muerte (“Boletas”), firmadas por el grupo paramilitar “Muerte a Secuestradores” (M.A.S), en las cuales les anuncia</w:t>
      </w:r>
      <w:r w:rsidR="00207242" w:rsidRPr="00ED2AD1">
        <w:rPr>
          <w:rFonts w:asciiTheme="majorHAnsi" w:hAnsiTheme="majorHAnsi"/>
          <w:sz w:val="20"/>
          <w:szCs w:val="20"/>
          <w:bdr w:val="none" w:sz="0" w:space="0" w:color="auto"/>
          <w:lang w:val="es-ES"/>
        </w:rPr>
        <w:t>ban que los iban a exterminar</w:t>
      </w:r>
      <w:r w:rsidR="003C5D04" w:rsidRPr="00ED2AD1">
        <w:rPr>
          <w:rFonts w:asciiTheme="majorHAnsi" w:hAnsiTheme="majorHAnsi"/>
          <w:sz w:val="20"/>
          <w:szCs w:val="20"/>
          <w:bdr w:val="none" w:sz="0" w:space="0" w:color="auto"/>
          <w:lang w:val="es-ES"/>
        </w:rPr>
        <w:t xml:space="preserve"> a todos. En razón de las amenazas</w:t>
      </w:r>
      <w:r w:rsidR="00D51F95" w:rsidRPr="00ED2AD1">
        <w:rPr>
          <w:rFonts w:asciiTheme="majorHAnsi" w:hAnsiTheme="majorHAnsi"/>
          <w:sz w:val="20"/>
          <w:szCs w:val="20"/>
          <w:bdr w:val="none" w:sz="0" w:space="0" w:color="auto"/>
          <w:lang w:val="es-ES"/>
        </w:rPr>
        <w:t>,</w:t>
      </w:r>
      <w:r w:rsidR="003C5D04" w:rsidRPr="00ED2AD1">
        <w:rPr>
          <w:rFonts w:asciiTheme="majorHAnsi" w:hAnsiTheme="majorHAnsi"/>
          <w:sz w:val="20"/>
          <w:szCs w:val="20"/>
          <w:bdr w:val="none" w:sz="0" w:space="0" w:color="auto"/>
          <w:lang w:val="es-ES"/>
        </w:rPr>
        <w:t xml:space="preserve"> la familia Duque </w:t>
      </w:r>
      <w:r w:rsidR="003252BA" w:rsidRPr="00ED2AD1">
        <w:rPr>
          <w:rFonts w:asciiTheme="majorHAnsi" w:hAnsiTheme="majorHAnsi"/>
          <w:sz w:val="20"/>
          <w:szCs w:val="20"/>
          <w:bdr w:val="none" w:sz="0" w:space="0" w:color="auto"/>
          <w:lang w:val="es-ES"/>
        </w:rPr>
        <w:t>López</w:t>
      </w:r>
      <w:r w:rsidR="003C5D04" w:rsidRPr="00ED2AD1">
        <w:rPr>
          <w:rFonts w:asciiTheme="majorHAnsi" w:hAnsiTheme="majorHAnsi"/>
          <w:sz w:val="20"/>
          <w:szCs w:val="20"/>
          <w:bdr w:val="none" w:sz="0" w:space="0" w:color="auto"/>
          <w:lang w:val="es-ES"/>
        </w:rPr>
        <w:t xml:space="preserve"> abandon</w:t>
      </w:r>
      <w:r w:rsidR="00ED2AD1">
        <w:rPr>
          <w:rFonts w:asciiTheme="majorHAnsi" w:hAnsiTheme="majorHAnsi"/>
          <w:sz w:val="20"/>
          <w:szCs w:val="20"/>
          <w:bdr w:val="none" w:sz="0" w:space="0" w:color="auto"/>
          <w:lang w:val="es-ES"/>
        </w:rPr>
        <w:t>ó</w:t>
      </w:r>
      <w:r w:rsidR="003C5D04" w:rsidRPr="00ED2AD1">
        <w:rPr>
          <w:rFonts w:asciiTheme="majorHAnsi" w:hAnsiTheme="majorHAnsi"/>
          <w:sz w:val="20"/>
          <w:szCs w:val="20"/>
          <w:bdr w:val="none" w:sz="0" w:space="0" w:color="auto"/>
          <w:lang w:val="es-ES"/>
        </w:rPr>
        <w:t xml:space="preserve"> su finca en el municipio de Yondó y se desplaz</w:t>
      </w:r>
      <w:r w:rsidR="00D464AF">
        <w:rPr>
          <w:rFonts w:asciiTheme="majorHAnsi" w:hAnsiTheme="majorHAnsi"/>
          <w:sz w:val="20"/>
          <w:szCs w:val="20"/>
          <w:bdr w:val="none" w:sz="0" w:space="0" w:color="auto"/>
          <w:lang w:val="es-ES"/>
        </w:rPr>
        <w:t>ó</w:t>
      </w:r>
      <w:r w:rsidR="00D51F95" w:rsidRPr="00ED2AD1">
        <w:rPr>
          <w:rFonts w:asciiTheme="majorHAnsi" w:hAnsiTheme="majorHAnsi"/>
          <w:sz w:val="20"/>
          <w:szCs w:val="20"/>
          <w:bdr w:val="none" w:sz="0" w:space="0" w:color="auto"/>
          <w:lang w:val="es-ES"/>
        </w:rPr>
        <w:t xml:space="preserve"> varias</w:t>
      </w:r>
      <w:r w:rsidR="003C5D04" w:rsidRPr="00ED2AD1">
        <w:rPr>
          <w:rFonts w:asciiTheme="majorHAnsi" w:hAnsiTheme="majorHAnsi"/>
          <w:sz w:val="20"/>
          <w:szCs w:val="20"/>
          <w:bdr w:val="none" w:sz="0" w:space="0" w:color="auto"/>
          <w:lang w:val="es-ES"/>
        </w:rPr>
        <w:t xml:space="preserve"> veces, habitando sucesivamente en distintos lugare</w:t>
      </w:r>
      <w:r w:rsidR="00D51F95" w:rsidRPr="00ED2AD1">
        <w:rPr>
          <w:rFonts w:asciiTheme="majorHAnsi" w:hAnsiTheme="majorHAnsi"/>
          <w:sz w:val="20"/>
          <w:szCs w:val="20"/>
          <w:bdr w:val="none" w:sz="0" w:space="0" w:color="auto"/>
          <w:lang w:val="es-ES"/>
        </w:rPr>
        <w:t>s del Departamento de Antioquia.</w:t>
      </w:r>
      <w:r w:rsidR="008A6F4E" w:rsidRPr="00ED2AD1">
        <w:rPr>
          <w:rFonts w:asciiTheme="majorHAnsi" w:hAnsiTheme="majorHAnsi"/>
          <w:sz w:val="20"/>
          <w:szCs w:val="20"/>
          <w:bdr w:val="none" w:sz="0" w:space="0" w:color="auto"/>
          <w:lang w:val="es-ES"/>
        </w:rPr>
        <w:t xml:space="preserve"> </w:t>
      </w:r>
      <w:r w:rsidR="00FF48C1">
        <w:rPr>
          <w:rFonts w:asciiTheme="majorHAnsi" w:hAnsiTheme="majorHAnsi"/>
          <w:sz w:val="20"/>
          <w:szCs w:val="20"/>
          <w:bdr w:val="none" w:sz="0" w:space="0" w:color="auto"/>
          <w:lang w:val="es-ES"/>
        </w:rPr>
        <w:t>Alegan</w:t>
      </w:r>
      <w:r w:rsidR="008A6F4E" w:rsidRPr="00ED2AD1">
        <w:rPr>
          <w:rFonts w:asciiTheme="majorHAnsi" w:hAnsiTheme="majorHAnsi"/>
          <w:sz w:val="20"/>
          <w:szCs w:val="20"/>
          <w:bdr w:val="none" w:sz="0" w:space="0" w:color="auto"/>
          <w:lang w:val="es-ES"/>
        </w:rPr>
        <w:t xml:space="preserve"> que el 9 de enero de 1990, miembros de la IV Brigada del Ejército, con jurisdicción en Antioquia, allanaron sin orden judicial la residencia de María Eugenia López, ubicada en </w:t>
      </w:r>
      <w:r w:rsidR="008A6F4E" w:rsidRPr="00ED2AD1">
        <w:rPr>
          <w:rFonts w:asciiTheme="majorHAnsi" w:hAnsiTheme="majorHAnsi"/>
          <w:sz w:val="20"/>
          <w:szCs w:val="20"/>
          <w:bdr w:val="none" w:sz="0" w:space="0" w:color="auto"/>
          <w:lang w:val="es-ES"/>
        </w:rPr>
        <w:lastRenderedPageBreak/>
        <w:t xml:space="preserve">Medellín. Posteriormente, </w:t>
      </w:r>
      <w:r w:rsidR="008E2EC1" w:rsidRPr="00ED2AD1">
        <w:rPr>
          <w:rFonts w:asciiTheme="majorHAnsi" w:hAnsiTheme="majorHAnsi"/>
          <w:sz w:val="20"/>
          <w:szCs w:val="20"/>
          <w:bdr w:val="none" w:sz="0" w:space="0" w:color="auto"/>
          <w:lang w:val="es-ES"/>
        </w:rPr>
        <w:t>en</w:t>
      </w:r>
      <w:r w:rsidR="008A6F4E" w:rsidRPr="00ED2AD1">
        <w:rPr>
          <w:rFonts w:asciiTheme="majorHAnsi" w:hAnsiTheme="majorHAnsi"/>
          <w:sz w:val="20"/>
          <w:szCs w:val="20"/>
          <w:bdr w:val="none" w:sz="0" w:space="0" w:color="auto"/>
          <w:lang w:val="es-ES"/>
        </w:rPr>
        <w:t xml:space="preserve"> los meses de enero, febrero y mayo de 1990, María Eugenia López recibió tres llamadas amenazantes, en las que le advertían “los tenemos ubicados”.</w:t>
      </w:r>
    </w:p>
    <w:p w:rsidR="0098445F" w:rsidRPr="00ED2AD1" w:rsidRDefault="0098445F" w:rsidP="0098445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
        </w:rPr>
      </w:pPr>
    </w:p>
    <w:p w:rsidR="00EF0181" w:rsidRPr="00A76683" w:rsidRDefault="00D85C9C" w:rsidP="00EF018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
        </w:rPr>
      </w:pPr>
      <w:r w:rsidRPr="00A76683">
        <w:rPr>
          <w:rFonts w:asciiTheme="majorHAnsi" w:hAnsiTheme="majorHAnsi"/>
          <w:sz w:val="20"/>
          <w:szCs w:val="20"/>
          <w:bdr w:val="none" w:sz="0" w:space="0" w:color="auto"/>
          <w:lang w:val="es-ES"/>
        </w:rPr>
        <w:t xml:space="preserve">Sobre los hechos ocurridos </w:t>
      </w:r>
      <w:r w:rsidR="00EF0181" w:rsidRPr="00A76683">
        <w:rPr>
          <w:rFonts w:asciiTheme="majorHAnsi" w:hAnsiTheme="majorHAnsi"/>
          <w:sz w:val="20"/>
          <w:szCs w:val="20"/>
          <w:bdr w:val="none" w:sz="0" w:space="0" w:color="auto"/>
          <w:lang w:val="es-ES"/>
        </w:rPr>
        <w:t xml:space="preserve">el 5 de junio de 1990, indican que cerca de la media noche, en la vereda La Solita, del municipio de Campamento (Antioquia), un grupo de hombres que vestían prendas de uso privativo de las Fuerzas Militares irrumpieron en la casa de la familia López Duque, disparando con armas de fuego y lanzando granadas. El </w:t>
      </w:r>
      <w:r w:rsidR="00CE5DDE" w:rsidRPr="00A76683">
        <w:rPr>
          <w:rFonts w:asciiTheme="majorHAnsi" w:hAnsiTheme="majorHAnsi"/>
          <w:sz w:val="20"/>
          <w:szCs w:val="20"/>
          <w:bdr w:val="none" w:sz="0" w:space="0" w:color="auto"/>
          <w:lang w:val="es-ES"/>
        </w:rPr>
        <w:t xml:space="preserve">presunto </w:t>
      </w:r>
      <w:r w:rsidR="00EF0181" w:rsidRPr="00A76683">
        <w:rPr>
          <w:rFonts w:asciiTheme="majorHAnsi" w:hAnsiTheme="majorHAnsi"/>
          <w:sz w:val="20"/>
          <w:szCs w:val="20"/>
          <w:bdr w:val="none" w:sz="0" w:space="0" w:color="auto"/>
          <w:lang w:val="es-ES"/>
        </w:rPr>
        <w:t xml:space="preserve">ataque a la vivienda campesina duró alrededor de 2 horas, durante las cuales los vecinos oyeron numerosos disparos de armas de fuego y explosiones. </w:t>
      </w:r>
    </w:p>
    <w:p w:rsidR="00EF0181" w:rsidRPr="00A76683" w:rsidRDefault="00EF0181" w:rsidP="00EF0181">
      <w:pPr>
        <w:rPr>
          <w:rFonts w:asciiTheme="majorHAnsi" w:hAnsiTheme="majorHAnsi"/>
          <w:sz w:val="20"/>
          <w:szCs w:val="20"/>
          <w:bdr w:val="none" w:sz="0" w:space="0" w:color="auto"/>
          <w:lang w:val="es-ES"/>
        </w:rPr>
      </w:pPr>
    </w:p>
    <w:p w:rsidR="000D15F3" w:rsidRPr="00A76683" w:rsidRDefault="00EF0181" w:rsidP="000D15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
        </w:rPr>
      </w:pPr>
      <w:r w:rsidRPr="00A76683">
        <w:rPr>
          <w:rFonts w:asciiTheme="majorHAnsi" w:hAnsiTheme="majorHAnsi"/>
          <w:sz w:val="20"/>
          <w:szCs w:val="20"/>
          <w:bdr w:val="none" w:sz="0" w:space="0" w:color="auto"/>
          <w:lang w:val="es-ES"/>
        </w:rPr>
        <w:t xml:space="preserve">Alegan que, a consecuencia de los disparos, </w:t>
      </w:r>
      <w:r w:rsidR="00BE0F4E">
        <w:rPr>
          <w:rFonts w:asciiTheme="majorHAnsi" w:hAnsiTheme="majorHAnsi"/>
          <w:sz w:val="20"/>
          <w:szCs w:val="20"/>
          <w:bdr w:val="none" w:sz="0" w:space="0" w:color="auto"/>
          <w:lang w:val="es-ES"/>
        </w:rPr>
        <w:t>r</w:t>
      </w:r>
      <w:r w:rsidR="005D24A4">
        <w:rPr>
          <w:rFonts w:asciiTheme="majorHAnsi" w:hAnsiTheme="majorHAnsi"/>
          <w:sz w:val="20"/>
          <w:szCs w:val="20"/>
          <w:bdr w:val="none" w:sz="0" w:space="0" w:color="auto"/>
          <w:lang w:val="es-ES"/>
        </w:rPr>
        <w:t>esultaron muertos</w:t>
      </w:r>
      <w:r w:rsidRPr="00A76683">
        <w:rPr>
          <w:rFonts w:asciiTheme="majorHAnsi" w:hAnsiTheme="majorHAnsi"/>
          <w:sz w:val="20"/>
          <w:szCs w:val="20"/>
          <w:bdr w:val="none" w:sz="0" w:space="0" w:color="auto"/>
          <w:lang w:val="es-ES"/>
        </w:rPr>
        <w:t xml:space="preserve"> Marta María López Gaviria, Luis Gildardo López Gaviria, Elvia Rosa Velásquez Espinoza, Hernán Quintero y las dos niñas, Ana Yoli Duque López</w:t>
      </w:r>
      <w:r w:rsidR="00F936B9" w:rsidRPr="00A76683">
        <w:rPr>
          <w:rFonts w:asciiTheme="majorHAnsi" w:hAnsiTheme="majorHAnsi"/>
          <w:sz w:val="20"/>
          <w:szCs w:val="20"/>
          <w:bdr w:val="none" w:sz="0" w:space="0" w:color="auto"/>
          <w:lang w:val="es-ES"/>
        </w:rPr>
        <w:t xml:space="preserve"> (</w:t>
      </w:r>
      <w:r w:rsidR="009360CC" w:rsidRPr="00A76683">
        <w:rPr>
          <w:rFonts w:asciiTheme="majorHAnsi" w:hAnsiTheme="majorHAnsi"/>
          <w:sz w:val="20"/>
          <w:szCs w:val="20"/>
          <w:bdr w:val="none" w:sz="0" w:space="0" w:color="auto"/>
          <w:lang w:val="es-ES"/>
        </w:rPr>
        <w:t>12 años)</w:t>
      </w:r>
      <w:r w:rsidRPr="00A76683">
        <w:rPr>
          <w:rFonts w:asciiTheme="majorHAnsi" w:hAnsiTheme="majorHAnsi"/>
          <w:sz w:val="20"/>
          <w:szCs w:val="20"/>
          <w:bdr w:val="none" w:sz="0" w:space="0" w:color="auto"/>
          <w:lang w:val="es-ES"/>
        </w:rPr>
        <w:t xml:space="preserve"> y Marta Milena López</w:t>
      </w:r>
      <w:r w:rsidR="00F936B9" w:rsidRPr="00A76683">
        <w:rPr>
          <w:rFonts w:asciiTheme="majorHAnsi" w:hAnsiTheme="majorHAnsi"/>
          <w:sz w:val="20"/>
          <w:szCs w:val="20"/>
          <w:bdr w:val="none" w:sz="0" w:space="0" w:color="auto"/>
          <w:lang w:val="es-ES"/>
        </w:rPr>
        <w:t xml:space="preserve"> (</w:t>
      </w:r>
      <w:r w:rsidR="009360CC" w:rsidRPr="00A76683">
        <w:rPr>
          <w:rFonts w:asciiTheme="majorHAnsi" w:hAnsiTheme="majorHAnsi"/>
          <w:sz w:val="20"/>
          <w:szCs w:val="20"/>
          <w:bdr w:val="none" w:sz="0" w:space="0" w:color="auto"/>
          <w:lang w:val="es-ES"/>
        </w:rPr>
        <w:t>7 años)</w:t>
      </w:r>
      <w:r w:rsidR="00BE0F4E">
        <w:rPr>
          <w:rFonts w:asciiTheme="majorHAnsi" w:hAnsiTheme="majorHAnsi"/>
          <w:sz w:val="20"/>
          <w:szCs w:val="20"/>
          <w:bdr w:val="none" w:sz="0" w:space="0" w:color="auto"/>
          <w:lang w:val="es-ES"/>
        </w:rPr>
        <w:t>. Asi</w:t>
      </w:r>
      <w:r w:rsidR="00BE0F4E" w:rsidRPr="00A76683">
        <w:rPr>
          <w:rFonts w:asciiTheme="majorHAnsi" w:hAnsiTheme="majorHAnsi"/>
          <w:sz w:val="20"/>
          <w:szCs w:val="20"/>
          <w:bdr w:val="none" w:sz="0" w:space="0" w:color="auto"/>
          <w:lang w:val="es-ES"/>
        </w:rPr>
        <w:t>mismo</w:t>
      </w:r>
      <w:r w:rsidRPr="00A76683">
        <w:rPr>
          <w:rFonts w:asciiTheme="majorHAnsi" w:hAnsiTheme="majorHAnsi"/>
          <w:sz w:val="20"/>
          <w:szCs w:val="20"/>
          <w:bdr w:val="none" w:sz="0" w:space="0" w:color="auto"/>
          <w:lang w:val="es-ES"/>
        </w:rPr>
        <w:t>, resultaron heridos los dos niños, Darwin Cristóbal López</w:t>
      </w:r>
      <w:r w:rsidR="009360CC" w:rsidRPr="00A76683">
        <w:rPr>
          <w:rFonts w:asciiTheme="majorHAnsi" w:hAnsiTheme="majorHAnsi"/>
          <w:sz w:val="20"/>
          <w:szCs w:val="20"/>
          <w:bdr w:val="none" w:sz="0" w:space="0" w:color="auto"/>
          <w:lang w:val="es-ES"/>
        </w:rPr>
        <w:t xml:space="preserve"> (8 años)</w:t>
      </w:r>
      <w:r w:rsidRPr="00A76683">
        <w:rPr>
          <w:rFonts w:asciiTheme="majorHAnsi" w:hAnsiTheme="majorHAnsi"/>
          <w:sz w:val="20"/>
          <w:szCs w:val="20"/>
          <w:bdr w:val="none" w:sz="0" w:space="0" w:color="auto"/>
          <w:lang w:val="es-ES"/>
        </w:rPr>
        <w:t xml:space="preserve"> y Renso Antonio Duque Velásquez</w:t>
      </w:r>
      <w:r w:rsidR="009360CC" w:rsidRPr="00A76683">
        <w:rPr>
          <w:rFonts w:asciiTheme="majorHAnsi" w:hAnsiTheme="majorHAnsi"/>
          <w:sz w:val="20"/>
          <w:szCs w:val="20"/>
          <w:bdr w:val="none" w:sz="0" w:space="0" w:color="auto"/>
          <w:lang w:val="es-ES"/>
        </w:rPr>
        <w:t xml:space="preserve"> (2 meses de edad)</w:t>
      </w:r>
      <w:r w:rsidRPr="00A76683">
        <w:rPr>
          <w:rFonts w:asciiTheme="majorHAnsi" w:hAnsiTheme="majorHAnsi"/>
          <w:sz w:val="20"/>
          <w:szCs w:val="20"/>
          <w:bdr w:val="none" w:sz="0" w:space="0" w:color="auto"/>
          <w:lang w:val="es-ES"/>
        </w:rPr>
        <w:t xml:space="preserve">. </w:t>
      </w:r>
      <w:r w:rsidR="00E064B4" w:rsidRPr="00A76683">
        <w:rPr>
          <w:rFonts w:asciiTheme="majorHAnsi" w:hAnsiTheme="majorHAnsi"/>
          <w:sz w:val="20"/>
          <w:szCs w:val="20"/>
          <w:bdr w:val="none" w:sz="0" w:space="0" w:color="auto"/>
          <w:lang w:val="es-ES"/>
        </w:rPr>
        <w:t>Francisco Luis Duque logró huir de la casa di</w:t>
      </w:r>
      <w:r w:rsidR="005744B6" w:rsidRPr="00A76683">
        <w:rPr>
          <w:rFonts w:asciiTheme="majorHAnsi" w:hAnsiTheme="majorHAnsi"/>
          <w:sz w:val="20"/>
          <w:szCs w:val="20"/>
          <w:bdr w:val="none" w:sz="0" w:space="0" w:color="auto"/>
          <w:lang w:val="es-ES"/>
        </w:rPr>
        <w:t>sparando contra los asaltantes.</w:t>
      </w:r>
    </w:p>
    <w:p w:rsidR="000D15F3" w:rsidRPr="00A76683" w:rsidRDefault="000D15F3" w:rsidP="000D15F3">
      <w:pPr>
        <w:rPr>
          <w:rFonts w:asciiTheme="majorHAnsi" w:hAnsiTheme="majorHAnsi"/>
          <w:sz w:val="20"/>
          <w:szCs w:val="20"/>
          <w:bdr w:val="none" w:sz="0" w:space="0" w:color="auto"/>
          <w:lang w:val="es-ES"/>
        </w:rPr>
      </w:pPr>
    </w:p>
    <w:p w:rsidR="00641024" w:rsidRPr="00A76683" w:rsidRDefault="00BE0F4E" w:rsidP="0064102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
        </w:rPr>
      </w:pPr>
      <w:r>
        <w:rPr>
          <w:rFonts w:asciiTheme="majorHAnsi" w:hAnsiTheme="majorHAnsi"/>
          <w:sz w:val="20"/>
          <w:szCs w:val="20"/>
          <w:bdr w:val="none" w:sz="0" w:space="0" w:color="auto"/>
          <w:lang w:val="es-ES"/>
        </w:rPr>
        <w:t>Afirman que</w:t>
      </w:r>
      <w:r w:rsidR="00607039">
        <w:rPr>
          <w:rFonts w:asciiTheme="majorHAnsi" w:hAnsiTheme="majorHAnsi"/>
          <w:sz w:val="20"/>
          <w:szCs w:val="20"/>
          <w:bdr w:val="none" w:sz="0" w:space="0" w:color="auto"/>
          <w:lang w:val="es-ES"/>
        </w:rPr>
        <w:t>,</w:t>
      </w:r>
      <w:r>
        <w:rPr>
          <w:rFonts w:asciiTheme="majorHAnsi" w:hAnsiTheme="majorHAnsi"/>
          <w:sz w:val="20"/>
          <w:szCs w:val="20"/>
          <w:bdr w:val="none" w:sz="0" w:space="0" w:color="auto"/>
          <w:lang w:val="es-ES"/>
        </w:rPr>
        <w:t xml:space="preserve"> en su declaración</w:t>
      </w:r>
      <w:r w:rsidR="00607039">
        <w:rPr>
          <w:rFonts w:asciiTheme="majorHAnsi" w:hAnsiTheme="majorHAnsi"/>
          <w:sz w:val="20"/>
          <w:szCs w:val="20"/>
          <w:bdr w:val="none" w:sz="0" w:space="0" w:color="auto"/>
          <w:lang w:val="es-ES"/>
        </w:rPr>
        <w:t>,</w:t>
      </w:r>
      <w:r w:rsidR="005744B6" w:rsidRPr="00A76683">
        <w:rPr>
          <w:rFonts w:asciiTheme="majorHAnsi" w:hAnsiTheme="majorHAnsi"/>
          <w:sz w:val="20"/>
          <w:szCs w:val="20"/>
          <w:bdr w:val="none" w:sz="0" w:space="0" w:color="auto"/>
          <w:lang w:val="es-ES"/>
        </w:rPr>
        <w:t xml:space="preserve"> Darwin Cristóbal López aseguró que el grupo que perpetró la masacre estaba integrado por 12 personas, algunas con uniformes de las Fuerzas Militares de Colombia, y otras vestidas de civil. Según su relato, a un</w:t>
      </w:r>
      <w:r w:rsidR="000D15F3" w:rsidRPr="00A76683">
        <w:rPr>
          <w:rFonts w:asciiTheme="majorHAnsi" w:hAnsiTheme="majorHAnsi"/>
          <w:sz w:val="20"/>
          <w:szCs w:val="20"/>
          <w:bdr w:val="none" w:sz="0" w:space="0" w:color="auto"/>
          <w:lang w:val="es-ES"/>
        </w:rPr>
        <w:t xml:space="preserve">o de ellos lo llamaban “cabo” - </w:t>
      </w:r>
      <w:r w:rsidR="005744B6" w:rsidRPr="00A76683">
        <w:rPr>
          <w:rFonts w:asciiTheme="majorHAnsi" w:hAnsiTheme="majorHAnsi"/>
          <w:sz w:val="20"/>
          <w:szCs w:val="20"/>
          <w:bdr w:val="none" w:sz="0" w:space="0" w:color="auto"/>
          <w:lang w:val="es-ES"/>
        </w:rPr>
        <w:t>que es un grado de suboficial en las Fuerzas Militares y en la Policía</w:t>
      </w:r>
      <w:r w:rsidR="000D15F3" w:rsidRPr="00A76683">
        <w:rPr>
          <w:rFonts w:asciiTheme="majorHAnsi" w:hAnsiTheme="majorHAnsi"/>
          <w:sz w:val="20"/>
          <w:szCs w:val="20"/>
          <w:bdr w:val="none" w:sz="0" w:space="0" w:color="auto"/>
          <w:lang w:val="es-ES"/>
        </w:rPr>
        <w:t xml:space="preserve"> Nacional. También relató</w:t>
      </w:r>
      <w:r w:rsidR="00641024" w:rsidRPr="00A76683">
        <w:rPr>
          <w:rFonts w:asciiTheme="majorHAnsi" w:hAnsiTheme="majorHAnsi"/>
          <w:sz w:val="20"/>
          <w:szCs w:val="20"/>
          <w:bdr w:val="none" w:sz="0" w:space="0" w:color="auto"/>
          <w:lang w:val="es-ES"/>
        </w:rPr>
        <w:t xml:space="preserve"> que los asaltantes le preguntaron insistentemente donde estaban </w:t>
      </w:r>
      <w:r w:rsidR="00FB14C7" w:rsidRPr="00A76683">
        <w:rPr>
          <w:rFonts w:asciiTheme="majorHAnsi" w:hAnsiTheme="majorHAnsi"/>
          <w:sz w:val="20"/>
          <w:szCs w:val="20"/>
          <w:bdr w:val="none" w:sz="0" w:space="0" w:color="auto"/>
          <w:lang w:val="es-ES"/>
        </w:rPr>
        <w:t xml:space="preserve">escondidas </w:t>
      </w:r>
      <w:r w:rsidR="00641024" w:rsidRPr="00A76683">
        <w:rPr>
          <w:rFonts w:asciiTheme="majorHAnsi" w:hAnsiTheme="majorHAnsi"/>
          <w:sz w:val="20"/>
          <w:szCs w:val="20"/>
          <w:bdr w:val="none" w:sz="0" w:space="0" w:color="auto"/>
          <w:lang w:val="es-ES"/>
        </w:rPr>
        <w:t>las armas y le pegaron con un palo en la cabeza</w:t>
      </w:r>
      <w:r w:rsidR="00213A0C" w:rsidRPr="00A76683">
        <w:rPr>
          <w:rFonts w:asciiTheme="majorHAnsi" w:hAnsiTheme="majorHAnsi"/>
          <w:sz w:val="20"/>
          <w:szCs w:val="20"/>
          <w:bdr w:val="none" w:sz="0" w:space="0" w:color="auto"/>
          <w:lang w:val="es-ES"/>
        </w:rPr>
        <w:t>. Finalmente</w:t>
      </w:r>
      <w:r w:rsidR="00DD5EB3" w:rsidRPr="00A76683">
        <w:rPr>
          <w:rFonts w:asciiTheme="majorHAnsi" w:hAnsiTheme="majorHAnsi"/>
          <w:sz w:val="20"/>
          <w:szCs w:val="20"/>
          <w:bdr w:val="none" w:sz="0" w:space="0" w:color="auto"/>
          <w:lang w:val="es-ES"/>
        </w:rPr>
        <w:t>, después de haber debatido si matarlo o no, decidieron dejarlo con vida diciéndole</w:t>
      </w:r>
      <w:r w:rsidR="00981439">
        <w:rPr>
          <w:rFonts w:asciiTheme="majorHAnsi" w:hAnsiTheme="majorHAnsi"/>
          <w:sz w:val="20"/>
          <w:szCs w:val="20"/>
          <w:bdr w:val="none" w:sz="0" w:space="0" w:color="auto"/>
          <w:lang w:val="es-ES"/>
        </w:rPr>
        <w:t>:</w:t>
      </w:r>
      <w:r w:rsidR="00641024" w:rsidRPr="00A76683">
        <w:rPr>
          <w:rFonts w:asciiTheme="majorHAnsi" w:hAnsiTheme="majorHAnsi"/>
          <w:sz w:val="20"/>
          <w:szCs w:val="20"/>
          <w:bdr w:val="none" w:sz="0" w:space="0" w:color="auto"/>
          <w:lang w:val="es-ES"/>
        </w:rPr>
        <w:t xml:space="preserve"> </w:t>
      </w:r>
      <w:r w:rsidR="008E2EC1" w:rsidRPr="00A76683">
        <w:rPr>
          <w:rFonts w:asciiTheme="majorHAnsi" w:hAnsiTheme="majorHAnsi"/>
          <w:sz w:val="20"/>
          <w:szCs w:val="20"/>
          <w:bdr w:val="none" w:sz="0" w:space="0" w:color="auto"/>
          <w:lang w:val="es-ES"/>
        </w:rPr>
        <w:t>“</w:t>
      </w:r>
      <w:r w:rsidR="00641024" w:rsidRPr="00A76683">
        <w:rPr>
          <w:rFonts w:asciiTheme="majorHAnsi" w:hAnsiTheme="majorHAnsi"/>
          <w:sz w:val="20"/>
          <w:szCs w:val="20"/>
          <w:bdr w:val="none" w:sz="0" w:space="0" w:color="auto"/>
          <w:lang w:val="es-ES"/>
        </w:rPr>
        <w:t>si les preguntan digan que somos de los del ELN [E</w:t>
      </w:r>
      <w:r w:rsidR="008E2EC1" w:rsidRPr="00A76683">
        <w:rPr>
          <w:rFonts w:asciiTheme="majorHAnsi" w:hAnsiTheme="majorHAnsi"/>
          <w:sz w:val="20"/>
          <w:szCs w:val="20"/>
          <w:bdr w:val="none" w:sz="0" w:space="0" w:color="auto"/>
          <w:lang w:val="es-ES"/>
        </w:rPr>
        <w:t>jército de Liberación Nacional]</w:t>
      </w:r>
      <w:r w:rsidR="00641024" w:rsidRPr="00A76683">
        <w:rPr>
          <w:rFonts w:asciiTheme="majorHAnsi" w:hAnsiTheme="majorHAnsi"/>
          <w:sz w:val="20"/>
          <w:szCs w:val="20"/>
          <w:bdr w:val="none" w:sz="0" w:space="0" w:color="auto"/>
          <w:lang w:val="es-ES"/>
        </w:rPr>
        <w:t>”.</w:t>
      </w:r>
      <w:r w:rsidR="009D1AA9" w:rsidRPr="009D1AA9">
        <w:rPr>
          <w:rFonts w:asciiTheme="majorHAnsi" w:hAnsiTheme="majorHAnsi"/>
          <w:sz w:val="20"/>
          <w:szCs w:val="20"/>
          <w:bdr w:val="none" w:sz="0" w:space="0" w:color="auto"/>
          <w:lang w:val="es-ES"/>
        </w:rPr>
        <w:t xml:space="preserve"> </w:t>
      </w:r>
      <w:r w:rsidR="009D1AA9">
        <w:rPr>
          <w:rFonts w:asciiTheme="majorHAnsi" w:hAnsiTheme="majorHAnsi"/>
          <w:sz w:val="20"/>
          <w:szCs w:val="20"/>
          <w:bdr w:val="none" w:sz="0" w:space="0" w:color="auto"/>
          <w:lang w:val="es-ES"/>
        </w:rPr>
        <w:t>Los</w:t>
      </w:r>
      <w:r w:rsidR="009D1AA9" w:rsidRPr="00A76683">
        <w:rPr>
          <w:rFonts w:asciiTheme="majorHAnsi" w:hAnsiTheme="majorHAnsi"/>
          <w:sz w:val="20"/>
          <w:szCs w:val="20"/>
          <w:bdr w:val="none" w:sz="0" w:space="0" w:color="auto"/>
          <w:lang w:val="es-ES"/>
        </w:rPr>
        <w:t xml:space="preserve"> dos niños </w:t>
      </w:r>
      <w:r w:rsidR="009D1AA9">
        <w:rPr>
          <w:rFonts w:asciiTheme="majorHAnsi" w:hAnsiTheme="majorHAnsi"/>
          <w:sz w:val="20"/>
          <w:szCs w:val="20"/>
          <w:bdr w:val="none" w:sz="0" w:space="0" w:color="auto"/>
          <w:lang w:val="es-ES"/>
        </w:rPr>
        <w:t xml:space="preserve">sobrevivientes </w:t>
      </w:r>
      <w:r w:rsidR="009D1AA9" w:rsidRPr="00A76683">
        <w:rPr>
          <w:rFonts w:asciiTheme="majorHAnsi" w:hAnsiTheme="majorHAnsi"/>
          <w:sz w:val="20"/>
          <w:szCs w:val="20"/>
          <w:bdr w:val="none" w:sz="0" w:space="0" w:color="auto"/>
          <w:lang w:val="es-ES"/>
        </w:rPr>
        <w:t>fueron encontrados a la mañana siguiente por vecinos.</w:t>
      </w:r>
    </w:p>
    <w:p w:rsidR="000D15F3" w:rsidRPr="00A76683" w:rsidRDefault="000D15F3" w:rsidP="000D15F3">
      <w:pPr>
        <w:jc w:val="both"/>
        <w:rPr>
          <w:rFonts w:asciiTheme="majorHAnsi" w:hAnsiTheme="majorHAnsi"/>
          <w:sz w:val="20"/>
          <w:szCs w:val="20"/>
          <w:u w:color="000000"/>
          <w:bdr w:val="none" w:sz="0" w:space="0" w:color="auto"/>
          <w:lang w:val="es-ES"/>
        </w:rPr>
      </w:pPr>
    </w:p>
    <w:p w:rsidR="00EF0181" w:rsidRPr="00A76683" w:rsidRDefault="00B41E4A" w:rsidP="00A56618">
      <w:pPr>
        <w:pStyle w:val="ListParagraph"/>
        <w:numPr>
          <w:ilvl w:val="0"/>
          <w:numId w:val="55"/>
        </w:numPr>
        <w:ind w:left="0" w:firstLine="720"/>
        <w:jc w:val="both"/>
        <w:rPr>
          <w:rFonts w:asciiTheme="majorHAnsi" w:hAnsiTheme="majorHAnsi"/>
          <w:sz w:val="20"/>
          <w:szCs w:val="20"/>
          <w:bdr w:val="none" w:sz="0" w:space="0" w:color="auto"/>
          <w:lang w:val="es-ES"/>
        </w:rPr>
      </w:pPr>
      <w:r>
        <w:rPr>
          <w:rFonts w:asciiTheme="majorHAnsi" w:hAnsiTheme="majorHAnsi"/>
          <w:sz w:val="20"/>
          <w:szCs w:val="20"/>
          <w:bdr w:val="none" w:sz="0" w:space="0" w:color="auto"/>
          <w:lang w:val="es-ES"/>
        </w:rPr>
        <w:t>Según se alega, e</w:t>
      </w:r>
      <w:r w:rsidR="00EF407C" w:rsidRPr="00A76683">
        <w:rPr>
          <w:rFonts w:asciiTheme="majorHAnsi" w:hAnsiTheme="majorHAnsi"/>
          <w:sz w:val="20"/>
          <w:szCs w:val="20"/>
          <w:bdr w:val="none" w:sz="0" w:space="0" w:color="auto"/>
          <w:lang w:val="es-ES"/>
        </w:rPr>
        <w:t>l 6 de junio de 1990 el Inspector Municipal de Campamento (Antioquia) realizó el levantamiento de los cadáveres, estableciendo las múltiples heridas en ellos por arma de fuego</w:t>
      </w:r>
      <w:r w:rsidR="00FB14C7" w:rsidRPr="00FB14C7">
        <w:rPr>
          <w:rFonts w:asciiTheme="majorHAnsi" w:hAnsiTheme="majorHAnsi"/>
          <w:sz w:val="20"/>
          <w:szCs w:val="20"/>
          <w:bdr w:val="none" w:sz="0" w:space="0" w:color="auto"/>
          <w:lang w:val="es-ES"/>
        </w:rPr>
        <w:t xml:space="preserve"> </w:t>
      </w:r>
      <w:r w:rsidR="00FB14C7" w:rsidRPr="00A76683">
        <w:rPr>
          <w:rFonts w:asciiTheme="majorHAnsi" w:hAnsiTheme="majorHAnsi"/>
          <w:sz w:val="20"/>
          <w:szCs w:val="20"/>
          <w:bdr w:val="none" w:sz="0" w:space="0" w:color="auto"/>
          <w:lang w:val="es-ES"/>
        </w:rPr>
        <w:t xml:space="preserve">y por </w:t>
      </w:r>
      <w:r w:rsidR="00783620">
        <w:rPr>
          <w:rFonts w:asciiTheme="majorHAnsi" w:hAnsiTheme="majorHAnsi"/>
          <w:sz w:val="20"/>
          <w:szCs w:val="20"/>
          <w:bdr w:val="none" w:sz="0" w:space="0" w:color="auto"/>
          <w:lang w:val="es-ES"/>
        </w:rPr>
        <w:t xml:space="preserve">la explosión de </w:t>
      </w:r>
      <w:r w:rsidR="00FB14C7" w:rsidRPr="00A76683">
        <w:rPr>
          <w:rFonts w:asciiTheme="majorHAnsi" w:hAnsiTheme="majorHAnsi"/>
          <w:sz w:val="20"/>
          <w:szCs w:val="20"/>
          <w:bdr w:val="none" w:sz="0" w:space="0" w:color="auto"/>
          <w:lang w:val="es-ES"/>
        </w:rPr>
        <w:t>granadas</w:t>
      </w:r>
      <w:r w:rsidR="00783620">
        <w:rPr>
          <w:rFonts w:asciiTheme="majorHAnsi" w:hAnsiTheme="majorHAnsi"/>
          <w:sz w:val="20"/>
          <w:szCs w:val="20"/>
          <w:bdr w:val="none" w:sz="0" w:space="0" w:color="auto"/>
          <w:lang w:val="es-ES"/>
        </w:rPr>
        <w:t xml:space="preserve">; algunos </w:t>
      </w:r>
      <w:r w:rsidR="00607039">
        <w:rPr>
          <w:rFonts w:asciiTheme="majorHAnsi" w:hAnsiTheme="majorHAnsi"/>
          <w:sz w:val="20"/>
          <w:szCs w:val="20"/>
          <w:bdr w:val="none" w:sz="0" w:space="0" w:color="auto"/>
          <w:lang w:val="es-ES"/>
        </w:rPr>
        <w:t xml:space="preserve">habrían </w:t>
      </w:r>
      <w:r w:rsidR="00783620">
        <w:rPr>
          <w:rFonts w:asciiTheme="majorHAnsi" w:hAnsiTheme="majorHAnsi"/>
          <w:sz w:val="20"/>
          <w:szCs w:val="20"/>
          <w:bdr w:val="none" w:sz="0" w:space="0" w:color="auto"/>
          <w:lang w:val="es-ES"/>
        </w:rPr>
        <w:t>presenta</w:t>
      </w:r>
      <w:r w:rsidR="00607039">
        <w:rPr>
          <w:rFonts w:asciiTheme="majorHAnsi" w:hAnsiTheme="majorHAnsi"/>
          <w:sz w:val="20"/>
          <w:szCs w:val="20"/>
          <w:bdr w:val="none" w:sz="0" w:space="0" w:color="auto"/>
          <w:lang w:val="es-ES"/>
        </w:rPr>
        <w:t>do</w:t>
      </w:r>
      <w:r w:rsidR="00DD5EB3" w:rsidRPr="00A76683">
        <w:rPr>
          <w:rFonts w:asciiTheme="majorHAnsi" w:hAnsiTheme="majorHAnsi"/>
          <w:sz w:val="20"/>
          <w:szCs w:val="20"/>
          <w:bdr w:val="none" w:sz="0" w:space="0" w:color="auto"/>
          <w:lang w:val="es-ES"/>
        </w:rPr>
        <w:t xml:space="preserve"> </w:t>
      </w:r>
      <w:r w:rsidR="00213A0C" w:rsidRPr="00A76683">
        <w:rPr>
          <w:rFonts w:asciiTheme="majorHAnsi" w:hAnsiTheme="majorHAnsi"/>
          <w:sz w:val="20"/>
          <w:szCs w:val="20"/>
          <w:bdr w:val="none" w:sz="0" w:space="0" w:color="auto"/>
          <w:lang w:val="es-ES"/>
        </w:rPr>
        <w:t>dispar</w:t>
      </w:r>
      <w:r>
        <w:rPr>
          <w:rFonts w:asciiTheme="majorHAnsi" w:hAnsiTheme="majorHAnsi"/>
          <w:sz w:val="20"/>
          <w:szCs w:val="20"/>
          <w:bdr w:val="none" w:sz="0" w:space="0" w:color="auto"/>
          <w:lang w:val="es-ES"/>
        </w:rPr>
        <w:t>os a quemarropa</w:t>
      </w:r>
      <w:r w:rsidR="00EF407C" w:rsidRPr="00A76683">
        <w:rPr>
          <w:rFonts w:asciiTheme="majorHAnsi" w:hAnsiTheme="majorHAnsi"/>
          <w:sz w:val="20"/>
          <w:szCs w:val="20"/>
          <w:bdr w:val="none" w:sz="0" w:space="0" w:color="auto"/>
          <w:lang w:val="es-ES"/>
        </w:rPr>
        <w:t xml:space="preserve">. Los cadáveres de Marta María López Gaviria y de las niñas Ana Yoli Duque López y Marta Milena López fueron hallados debajo de una cama. Las paredes de la habitación presentaban numerosos orificios producidos por proyectiles de arma de fuego y el techo estaba semidestruido por la deflagración de un explosivo. </w:t>
      </w:r>
    </w:p>
    <w:p w:rsidR="00A23F93" w:rsidRPr="00A76683" w:rsidRDefault="00A23F93" w:rsidP="00846D2F">
      <w:pPr>
        <w:rPr>
          <w:rFonts w:asciiTheme="majorHAnsi" w:hAnsiTheme="majorHAnsi"/>
          <w:sz w:val="20"/>
          <w:szCs w:val="20"/>
          <w:bdr w:val="none" w:sz="0" w:space="0" w:color="auto"/>
          <w:lang w:val="es-ES"/>
        </w:rPr>
      </w:pPr>
    </w:p>
    <w:p w:rsidR="00306D88" w:rsidRPr="00A76683" w:rsidRDefault="00181829" w:rsidP="00306D8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
        </w:rPr>
      </w:pPr>
      <w:r w:rsidRPr="00A76683">
        <w:rPr>
          <w:rFonts w:asciiTheme="majorHAnsi" w:hAnsiTheme="majorHAnsi"/>
          <w:color w:val="auto"/>
          <w:sz w:val="20"/>
          <w:szCs w:val="20"/>
          <w:bdr w:val="none" w:sz="0" w:space="0" w:color="auto"/>
          <w:lang w:val="es-ES"/>
        </w:rPr>
        <w:t>Con respecto a las investigaciones adelantadas</w:t>
      </w:r>
      <w:r w:rsidR="00426AF8" w:rsidRPr="00A76683">
        <w:rPr>
          <w:rFonts w:asciiTheme="majorHAnsi" w:hAnsiTheme="majorHAnsi"/>
          <w:color w:val="auto"/>
          <w:sz w:val="20"/>
          <w:szCs w:val="20"/>
          <w:bdr w:val="none" w:sz="0" w:space="0" w:color="auto"/>
          <w:lang w:val="es-ES"/>
        </w:rPr>
        <w:t>,</w:t>
      </w:r>
      <w:r w:rsidRPr="00A76683">
        <w:rPr>
          <w:rFonts w:asciiTheme="majorHAnsi" w:hAnsiTheme="majorHAnsi"/>
          <w:color w:val="auto"/>
          <w:sz w:val="20"/>
          <w:szCs w:val="20"/>
          <w:bdr w:val="none" w:sz="0" w:space="0" w:color="auto"/>
          <w:lang w:val="es-ES"/>
        </w:rPr>
        <w:t xml:space="preserve"> los peticionarios consideran que</w:t>
      </w:r>
      <w:r w:rsidR="006C5601" w:rsidRPr="00A76683">
        <w:rPr>
          <w:rFonts w:asciiTheme="majorHAnsi" w:hAnsiTheme="majorHAnsi"/>
          <w:color w:val="auto"/>
          <w:sz w:val="20"/>
          <w:szCs w:val="20"/>
          <w:bdr w:val="none" w:sz="0" w:space="0" w:color="auto"/>
          <w:lang w:val="es-ES"/>
        </w:rPr>
        <w:t xml:space="preserve"> gran parte de las actuaciones consistieron en</w:t>
      </w:r>
      <w:r w:rsidR="00026E78" w:rsidRPr="00A76683">
        <w:rPr>
          <w:rFonts w:asciiTheme="majorHAnsi" w:hAnsiTheme="majorHAnsi"/>
          <w:sz w:val="20"/>
          <w:szCs w:val="20"/>
          <w:bdr w:val="none" w:sz="0" w:space="0" w:color="auto"/>
          <w:lang w:val="es-ES"/>
        </w:rPr>
        <w:t xml:space="preserve"> recaudar información relativa a la familia y sus actividades, sin embargo no se profundizó la hipótesis de que la masacre fuera responsabilidad de grupos paramilitares de la zona con el apoyo -sino participación directa- de agentes estatales, a pesar del conocimiento de la violencia ejercida contra los miembros del movimiento Unión Patriótica</w:t>
      </w:r>
      <w:r w:rsidR="0078664D" w:rsidRPr="00A76683">
        <w:rPr>
          <w:rFonts w:asciiTheme="majorHAnsi" w:hAnsiTheme="majorHAnsi"/>
          <w:color w:val="auto"/>
          <w:sz w:val="20"/>
          <w:szCs w:val="20"/>
          <w:lang w:val="es-ES"/>
        </w:rPr>
        <w:t xml:space="preserve">. </w:t>
      </w:r>
      <w:r w:rsidRPr="00A76683">
        <w:rPr>
          <w:rFonts w:asciiTheme="majorHAnsi" w:hAnsiTheme="majorHAnsi"/>
          <w:color w:val="auto"/>
          <w:sz w:val="20"/>
          <w:szCs w:val="20"/>
          <w:bdr w:val="none" w:sz="0" w:space="0" w:color="auto"/>
          <w:lang w:val="es-ES"/>
        </w:rPr>
        <w:t xml:space="preserve">Alegan además que habrían excedido el plazo razonable, al haber transcurrido más de </w:t>
      </w:r>
      <w:r w:rsidR="0078664D" w:rsidRPr="00A76683">
        <w:rPr>
          <w:rFonts w:asciiTheme="majorHAnsi" w:hAnsiTheme="majorHAnsi"/>
          <w:color w:val="auto"/>
          <w:sz w:val="20"/>
          <w:szCs w:val="20"/>
          <w:lang w:val="es-ES"/>
        </w:rPr>
        <w:t>veintic</w:t>
      </w:r>
      <w:r w:rsidR="00121508" w:rsidRPr="00A76683">
        <w:rPr>
          <w:rFonts w:asciiTheme="majorHAnsi" w:hAnsiTheme="majorHAnsi"/>
          <w:color w:val="auto"/>
          <w:sz w:val="20"/>
          <w:szCs w:val="20"/>
          <w:lang w:val="es-ES"/>
        </w:rPr>
        <w:t>inc</w:t>
      </w:r>
      <w:r w:rsidR="0078664D" w:rsidRPr="00A76683">
        <w:rPr>
          <w:rFonts w:asciiTheme="majorHAnsi" w:hAnsiTheme="majorHAnsi"/>
          <w:color w:val="auto"/>
          <w:sz w:val="20"/>
          <w:szCs w:val="20"/>
          <w:lang w:val="es-ES"/>
        </w:rPr>
        <w:t>o años</w:t>
      </w:r>
      <w:r w:rsidRPr="00A76683">
        <w:rPr>
          <w:rFonts w:asciiTheme="majorHAnsi" w:hAnsiTheme="majorHAnsi"/>
          <w:color w:val="auto"/>
          <w:sz w:val="20"/>
          <w:szCs w:val="20"/>
          <w:bdr w:val="none" w:sz="0" w:space="0" w:color="auto"/>
          <w:lang w:val="es-ES"/>
        </w:rPr>
        <w:t xml:space="preserve"> desde </w:t>
      </w:r>
      <w:r w:rsidR="00B41E4A">
        <w:rPr>
          <w:rFonts w:asciiTheme="majorHAnsi" w:hAnsiTheme="majorHAnsi"/>
          <w:color w:val="auto"/>
          <w:sz w:val="20"/>
          <w:szCs w:val="20"/>
          <w:bdr w:val="none" w:sz="0" w:space="0" w:color="auto"/>
          <w:lang w:val="es-ES"/>
        </w:rPr>
        <w:t>ocurrida la masacre</w:t>
      </w:r>
      <w:r w:rsidR="00AE2CB9" w:rsidRPr="00A76683">
        <w:rPr>
          <w:rFonts w:asciiTheme="majorHAnsi" w:hAnsiTheme="majorHAnsi"/>
          <w:color w:val="auto"/>
          <w:sz w:val="20"/>
          <w:szCs w:val="20"/>
          <w:lang w:val="es-ES"/>
        </w:rPr>
        <w:t>.</w:t>
      </w:r>
      <w:r w:rsidR="00026E78" w:rsidRPr="00A76683">
        <w:rPr>
          <w:rFonts w:asciiTheme="majorHAnsi" w:hAnsiTheme="majorHAnsi"/>
          <w:color w:val="auto"/>
          <w:sz w:val="20"/>
          <w:szCs w:val="20"/>
          <w:bdr w:val="none" w:sz="0" w:space="0" w:color="auto"/>
          <w:lang w:val="es-ES"/>
        </w:rPr>
        <w:t xml:space="preserve"> </w:t>
      </w:r>
      <w:r w:rsidR="00AE2CB9" w:rsidRPr="00A76683">
        <w:rPr>
          <w:rFonts w:asciiTheme="majorHAnsi" w:hAnsiTheme="majorHAnsi"/>
          <w:color w:val="auto"/>
          <w:sz w:val="20"/>
          <w:szCs w:val="20"/>
          <w:bdr w:val="none" w:sz="0" w:space="0" w:color="auto"/>
          <w:lang w:val="es-ES"/>
        </w:rPr>
        <w:t>Señalan que</w:t>
      </w:r>
      <w:r w:rsidR="00B41E4A">
        <w:rPr>
          <w:rFonts w:asciiTheme="majorHAnsi" w:hAnsiTheme="majorHAnsi"/>
          <w:color w:val="auto"/>
          <w:sz w:val="20"/>
          <w:szCs w:val="20"/>
          <w:bdr w:val="none" w:sz="0" w:space="0" w:color="auto"/>
          <w:lang w:val="es-ES"/>
        </w:rPr>
        <w:t>,</w:t>
      </w:r>
      <w:r w:rsidR="00AE2CB9" w:rsidRPr="00A76683">
        <w:rPr>
          <w:rFonts w:asciiTheme="majorHAnsi" w:hAnsiTheme="majorHAnsi"/>
          <w:color w:val="auto"/>
          <w:sz w:val="20"/>
          <w:szCs w:val="20"/>
          <w:bdr w:val="none" w:sz="0" w:space="0" w:color="auto"/>
          <w:lang w:val="es-ES"/>
        </w:rPr>
        <w:t xml:space="preserve"> a pesar de que existirían elementos probatorios que conducirían a la responsabilidad de integrantes de la fuerza pública, las investigaciones aún se encontrarían en etapa de investigación previa o habrían sido archivadas sin que se identificara a los responsables. Por ello, en cuanto al cumplimiento con el requisito del previo agotamiento de los recursos internos alegan que resulta aplicable la excepción</w:t>
      </w:r>
      <w:r w:rsidR="00D173DE">
        <w:rPr>
          <w:rFonts w:asciiTheme="majorHAnsi" w:hAnsiTheme="majorHAnsi"/>
          <w:color w:val="auto"/>
          <w:sz w:val="20"/>
          <w:szCs w:val="20"/>
          <w:bdr w:val="none" w:sz="0" w:space="0" w:color="auto"/>
          <w:lang w:val="es-ES"/>
        </w:rPr>
        <w:t xml:space="preserve"> prevista en el artículo 46.2.c</w:t>
      </w:r>
      <w:r w:rsidR="00AE2CB9" w:rsidRPr="00A76683">
        <w:rPr>
          <w:rFonts w:asciiTheme="majorHAnsi" w:hAnsiTheme="majorHAnsi"/>
          <w:color w:val="auto"/>
          <w:sz w:val="20"/>
          <w:szCs w:val="20"/>
          <w:bdr w:val="none" w:sz="0" w:space="0" w:color="auto"/>
          <w:lang w:val="es-ES"/>
        </w:rPr>
        <w:t>.</w:t>
      </w:r>
    </w:p>
    <w:p w:rsidR="00AE2CB9" w:rsidRPr="00A76683" w:rsidRDefault="00AE2CB9" w:rsidP="00AE2C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
        </w:rPr>
      </w:pPr>
    </w:p>
    <w:p w:rsidR="000A5A37" w:rsidRPr="00215A7E" w:rsidRDefault="00181829" w:rsidP="000A5A3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
        </w:rPr>
      </w:pPr>
      <w:r w:rsidRPr="00A76683">
        <w:rPr>
          <w:rFonts w:asciiTheme="majorHAnsi" w:hAnsiTheme="majorHAnsi"/>
          <w:color w:val="auto"/>
          <w:sz w:val="20"/>
          <w:szCs w:val="20"/>
          <w:bdr w:val="none" w:sz="0" w:space="0" w:color="auto"/>
          <w:lang w:val="es-ES"/>
        </w:rPr>
        <w:t xml:space="preserve">En cuanto a los procesos iniciados a nivel interno, el </w:t>
      </w:r>
      <w:r w:rsidR="001B2DC1" w:rsidRPr="00A76683">
        <w:rPr>
          <w:rFonts w:asciiTheme="majorHAnsi" w:hAnsiTheme="majorHAnsi"/>
          <w:color w:val="auto"/>
          <w:sz w:val="20"/>
          <w:szCs w:val="20"/>
          <w:bdr w:val="none" w:sz="0" w:space="0" w:color="auto"/>
          <w:lang w:val="es-ES"/>
        </w:rPr>
        <w:t>7 de junio</w:t>
      </w:r>
      <w:r w:rsidR="00FA7095" w:rsidRPr="00A76683">
        <w:rPr>
          <w:rFonts w:asciiTheme="majorHAnsi" w:hAnsiTheme="majorHAnsi"/>
          <w:color w:val="auto"/>
          <w:sz w:val="20"/>
          <w:szCs w:val="20"/>
          <w:bdr w:val="none" w:sz="0" w:space="0" w:color="auto"/>
          <w:lang w:val="es-ES"/>
        </w:rPr>
        <w:t xml:space="preserve"> de 1990 </w:t>
      </w:r>
      <w:r w:rsidR="001B2DC1" w:rsidRPr="00A76683">
        <w:rPr>
          <w:rFonts w:asciiTheme="majorHAnsi" w:hAnsiTheme="majorHAnsi"/>
          <w:color w:val="auto"/>
          <w:sz w:val="20"/>
          <w:szCs w:val="20"/>
          <w:bdr w:val="none" w:sz="0" w:space="0" w:color="auto"/>
          <w:lang w:val="es-ES"/>
        </w:rPr>
        <w:t xml:space="preserve">se abrió investigación </w:t>
      </w:r>
      <w:r w:rsidR="001B2DC1" w:rsidRPr="00A76683">
        <w:rPr>
          <w:rFonts w:asciiTheme="majorHAnsi" w:hAnsiTheme="majorHAnsi"/>
          <w:sz w:val="20"/>
          <w:szCs w:val="20"/>
          <w:bdr w:val="none" w:sz="0" w:space="0" w:color="auto"/>
          <w:lang w:val="es-ES"/>
        </w:rPr>
        <w:t xml:space="preserve">preliminar por el homicidio múltiple en el Juzgado Promiscuo Municipal de Campamento (Antioquia), bajo el radicado No. 016. </w:t>
      </w:r>
      <w:r w:rsidR="005F2413" w:rsidRPr="00A76683">
        <w:rPr>
          <w:rFonts w:asciiTheme="majorHAnsi" w:hAnsiTheme="majorHAnsi"/>
          <w:sz w:val="20"/>
          <w:szCs w:val="20"/>
          <w:bdr w:val="none" w:sz="0" w:space="0" w:color="auto"/>
          <w:lang w:val="es-ES"/>
        </w:rPr>
        <w:t xml:space="preserve">Los peticionarios indican que la investigación </w:t>
      </w:r>
      <w:r w:rsidR="004D11C7" w:rsidRPr="00A76683">
        <w:rPr>
          <w:rFonts w:asciiTheme="majorHAnsi" w:hAnsiTheme="majorHAnsi"/>
          <w:sz w:val="20"/>
          <w:szCs w:val="20"/>
          <w:bdr w:val="none" w:sz="0" w:space="0" w:color="auto"/>
          <w:lang w:val="es-ES"/>
        </w:rPr>
        <w:t xml:space="preserve">fue </w:t>
      </w:r>
      <w:r w:rsidR="005F2413" w:rsidRPr="00A76683">
        <w:rPr>
          <w:rFonts w:asciiTheme="majorHAnsi" w:hAnsiTheme="majorHAnsi"/>
          <w:sz w:val="20"/>
          <w:szCs w:val="20"/>
          <w:bdr w:val="none" w:sz="0" w:space="0" w:color="auto"/>
          <w:lang w:val="es-ES"/>
        </w:rPr>
        <w:t>sucesivamente reasignada a di</w:t>
      </w:r>
      <w:r w:rsidR="004D11C7" w:rsidRPr="00A76683">
        <w:rPr>
          <w:rFonts w:asciiTheme="majorHAnsi" w:hAnsiTheme="majorHAnsi"/>
          <w:sz w:val="20"/>
          <w:szCs w:val="20"/>
          <w:bdr w:val="none" w:sz="0" w:space="0" w:color="auto"/>
          <w:lang w:val="es-ES"/>
        </w:rPr>
        <w:t>stintas autoridades judiciales y</w:t>
      </w:r>
      <w:r w:rsidR="005F2413" w:rsidRPr="00A76683">
        <w:rPr>
          <w:rFonts w:asciiTheme="majorHAnsi" w:hAnsiTheme="majorHAnsi"/>
          <w:color w:val="auto"/>
          <w:sz w:val="20"/>
          <w:szCs w:val="20"/>
          <w:lang w:val="es-ES"/>
        </w:rPr>
        <w:t xml:space="preserve"> </w:t>
      </w:r>
      <w:r w:rsidR="004D11C7" w:rsidRPr="00A76683">
        <w:rPr>
          <w:rFonts w:asciiTheme="majorHAnsi" w:hAnsiTheme="majorHAnsi"/>
          <w:color w:val="auto"/>
          <w:sz w:val="20"/>
          <w:szCs w:val="20"/>
          <w:lang w:val="es-ES"/>
        </w:rPr>
        <w:t>p</w:t>
      </w:r>
      <w:r w:rsidR="005F2413" w:rsidRPr="00A76683">
        <w:rPr>
          <w:rFonts w:asciiTheme="majorHAnsi" w:hAnsiTheme="majorHAnsi"/>
          <w:color w:val="auto"/>
          <w:sz w:val="20"/>
          <w:szCs w:val="20"/>
          <w:bdr w:val="none" w:sz="0" w:space="0" w:color="auto"/>
          <w:lang w:val="es-ES"/>
        </w:rPr>
        <w:t xml:space="preserve">ara la fecha el proceso penal </w:t>
      </w:r>
      <w:r w:rsidR="004D11C7" w:rsidRPr="00A76683">
        <w:rPr>
          <w:rFonts w:asciiTheme="majorHAnsi" w:hAnsiTheme="majorHAnsi"/>
          <w:color w:val="auto"/>
          <w:sz w:val="20"/>
          <w:szCs w:val="20"/>
          <w:bdr w:val="none" w:sz="0" w:space="0" w:color="auto"/>
          <w:lang w:val="es-ES"/>
        </w:rPr>
        <w:t>aún</w:t>
      </w:r>
      <w:r w:rsidR="005F2413" w:rsidRPr="00A76683">
        <w:rPr>
          <w:rFonts w:asciiTheme="majorHAnsi" w:hAnsiTheme="majorHAnsi"/>
          <w:color w:val="auto"/>
          <w:sz w:val="20"/>
          <w:szCs w:val="20"/>
          <w:bdr w:val="none" w:sz="0" w:space="0" w:color="auto"/>
          <w:lang w:val="es-ES"/>
        </w:rPr>
        <w:t xml:space="preserve"> se encontraría en etapa de investigación previa</w:t>
      </w:r>
      <w:r w:rsidR="00B42553" w:rsidRPr="00A76683">
        <w:rPr>
          <w:rFonts w:asciiTheme="majorHAnsi" w:hAnsiTheme="majorHAnsi"/>
          <w:color w:val="auto"/>
          <w:sz w:val="20"/>
          <w:szCs w:val="20"/>
          <w:bdr w:val="none" w:sz="0" w:space="0" w:color="auto"/>
          <w:lang w:val="es-ES"/>
        </w:rPr>
        <w:t xml:space="preserve"> bajo el radicado No. 202, a cargo de la Fiscalía 3 Especializada de la Unidad de Derechos Humanos y Derecho Internacional Humanitario de la Fiscalía General de la Nación</w:t>
      </w:r>
      <w:r w:rsidR="005F2413" w:rsidRPr="00A76683">
        <w:rPr>
          <w:rFonts w:asciiTheme="majorHAnsi" w:hAnsiTheme="majorHAnsi"/>
          <w:color w:val="auto"/>
          <w:sz w:val="20"/>
          <w:szCs w:val="20"/>
          <w:lang w:val="es-ES"/>
        </w:rPr>
        <w:t>.</w:t>
      </w:r>
    </w:p>
    <w:p w:rsidR="00215A7E" w:rsidRPr="00215A7E" w:rsidRDefault="00215A7E" w:rsidP="00215A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u w:color="000000"/>
          <w:bdr w:val="none" w:sz="0" w:space="0" w:color="auto"/>
          <w:lang w:val="es-ES"/>
        </w:rPr>
      </w:pPr>
    </w:p>
    <w:p w:rsidR="004B226A" w:rsidRPr="004B226A" w:rsidRDefault="00CA44EC" w:rsidP="004B226A">
      <w:pPr>
        <w:pStyle w:val="ListParagraph"/>
        <w:numPr>
          <w:ilvl w:val="0"/>
          <w:numId w:val="55"/>
        </w:numPr>
        <w:ind w:left="0" w:firstLine="720"/>
        <w:jc w:val="both"/>
        <w:rPr>
          <w:rFonts w:asciiTheme="majorHAnsi" w:hAnsiTheme="majorHAnsi"/>
          <w:sz w:val="20"/>
          <w:szCs w:val="20"/>
          <w:bdr w:val="none" w:sz="0" w:space="0" w:color="auto"/>
          <w:lang w:val="es-ES"/>
        </w:rPr>
      </w:pPr>
      <w:r w:rsidRPr="00A76683">
        <w:rPr>
          <w:rFonts w:asciiTheme="majorHAnsi" w:hAnsiTheme="majorHAnsi"/>
          <w:sz w:val="20"/>
          <w:szCs w:val="20"/>
          <w:bdr w:val="none" w:sz="0" w:space="0" w:color="auto"/>
          <w:lang w:val="es-ES"/>
        </w:rPr>
        <w:t>Agregan</w:t>
      </w:r>
      <w:r w:rsidR="00AE2CB9" w:rsidRPr="00A76683">
        <w:rPr>
          <w:rFonts w:asciiTheme="majorHAnsi" w:hAnsiTheme="majorHAnsi"/>
          <w:sz w:val="20"/>
          <w:szCs w:val="20"/>
          <w:bdr w:val="none" w:sz="0" w:space="0" w:color="auto"/>
          <w:lang w:val="es-ES"/>
        </w:rPr>
        <w:t xml:space="preserve"> que e</w:t>
      </w:r>
      <w:r w:rsidR="009D1182" w:rsidRPr="00A76683">
        <w:rPr>
          <w:rFonts w:asciiTheme="majorHAnsi" w:hAnsiTheme="majorHAnsi"/>
          <w:sz w:val="20"/>
          <w:szCs w:val="20"/>
          <w:bdr w:val="none" w:sz="0" w:space="0" w:color="auto"/>
          <w:lang w:val="es-ES"/>
        </w:rPr>
        <w:t>l 25 de julio de 1997, María Eugenia López recibió un</w:t>
      </w:r>
      <w:r w:rsidR="003D3501">
        <w:rPr>
          <w:rFonts w:asciiTheme="majorHAnsi" w:hAnsiTheme="majorHAnsi"/>
          <w:sz w:val="20"/>
          <w:szCs w:val="20"/>
          <w:bdr w:val="none" w:sz="0" w:space="0" w:color="auto"/>
          <w:lang w:val="es-ES"/>
        </w:rPr>
        <w:t>a</w:t>
      </w:r>
      <w:r w:rsidR="009D1182" w:rsidRPr="00A76683">
        <w:rPr>
          <w:rFonts w:asciiTheme="majorHAnsi" w:hAnsiTheme="majorHAnsi"/>
          <w:sz w:val="20"/>
          <w:szCs w:val="20"/>
          <w:bdr w:val="none" w:sz="0" w:space="0" w:color="auto"/>
          <w:lang w:val="es-ES"/>
        </w:rPr>
        <w:t xml:space="preserve"> </w:t>
      </w:r>
      <w:r w:rsidR="00D464AF">
        <w:rPr>
          <w:rFonts w:asciiTheme="majorHAnsi" w:hAnsiTheme="majorHAnsi"/>
          <w:sz w:val="20"/>
          <w:szCs w:val="20"/>
          <w:bdr w:val="none" w:sz="0" w:space="0" w:color="auto"/>
          <w:lang w:val="es-ES"/>
        </w:rPr>
        <w:t>carta</w:t>
      </w:r>
      <w:r w:rsidR="003D3501">
        <w:rPr>
          <w:rFonts w:asciiTheme="majorHAnsi" w:hAnsiTheme="majorHAnsi"/>
          <w:sz w:val="20"/>
          <w:szCs w:val="20"/>
          <w:bdr w:val="none" w:sz="0" w:space="0" w:color="auto"/>
          <w:lang w:val="es-ES"/>
        </w:rPr>
        <w:t xml:space="preserve"> anónima</w:t>
      </w:r>
      <w:r w:rsidR="009D1182" w:rsidRPr="00A76683">
        <w:rPr>
          <w:rFonts w:asciiTheme="majorHAnsi" w:hAnsiTheme="majorHAnsi"/>
          <w:sz w:val="20"/>
          <w:szCs w:val="20"/>
          <w:bdr w:val="none" w:sz="0" w:space="0" w:color="auto"/>
          <w:lang w:val="es-ES"/>
        </w:rPr>
        <w:t xml:space="preserve"> </w:t>
      </w:r>
      <w:r w:rsidR="003D3501">
        <w:rPr>
          <w:rFonts w:asciiTheme="majorHAnsi" w:hAnsiTheme="majorHAnsi"/>
          <w:sz w:val="20"/>
          <w:szCs w:val="20"/>
          <w:bdr w:val="none" w:sz="0" w:space="0" w:color="auto"/>
          <w:lang w:val="es-ES"/>
        </w:rPr>
        <w:t>en la que</w:t>
      </w:r>
      <w:r w:rsidR="009D1182" w:rsidRPr="00A76683">
        <w:rPr>
          <w:rFonts w:asciiTheme="majorHAnsi" w:hAnsiTheme="majorHAnsi"/>
          <w:sz w:val="20"/>
          <w:szCs w:val="20"/>
          <w:bdr w:val="none" w:sz="0" w:space="0" w:color="auto"/>
          <w:lang w:val="es-ES"/>
        </w:rPr>
        <w:t xml:space="preserve"> se señalaban como responsables de la masacre a varios miembros del Ejército Nacional, pertenecientes a la base militar ubicada en Yarumal, adscrita al Batallón de Ingenieros de Combate No. 4 “General Pedro Nel Ospina” y al Batallón de Infantería No. 10 “Coronel Atanasio Girardot”, en coordinación con grupos </w:t>
      </w:r>
      <w:r w:rsidR="009D1182" w:rsidRPr="00A76683">
        <w:rPr>
          <w:rFonts w:asciiTheme="majorHAnsi" w:hAnsiTheme="majorHAnsi"/>
          <w:sz w:val="20"/>
          <w:szCs w:val="20"/>
          <w:bdr w:val="none" w:sz="0" w:space="0" w:color="auto"/>
          <w:lang w:val="es-ES"/>
        </w:rPr>
        <w:lastRenderedPageBreak/>
        <w:t>paramilitares</w:t>
      </w:r>
      <w:r w:rsidR="0059489F" w:rsidRPr="00A76683">
        <w:rPr>
          <w:rStyle w:val="FootnoteReference"/>
          <w:rFonts w:asciiTheme="majorHAnsi" w:hAnsiTheme="majorHAnsi"/>
          <w:sz w:val="20"/>
          <w:szCs w:val="20"/>
          <w:bdr w:val="none" w:sz="0" w:space="0" w:color="auto"/>
          <w:lang w:val="es-ES"/>
        </w:rPr>
        <w:footnoteReference w:id="7"/>
      </w:r>
      <w:r w:rsidR="009D1182" w:rsidRPr="00A76683">
        <w:rPr>
          <w:rFonts w:asciiTheme="majorHAnsi" w:hAnsiTheme="majorHAnsi"/>
          <w:sz w:val="20"/>
          <w:szCs w:val="20"/>
          <w:bdr w:val="none" w:sz="0" w:space="0" w:color="auto"/>
          <w:lang w:val="es-ES"/>
        </w:rPr>
        <w:t xml:space="preserve">. </w:t>
      </w:r>
      <w:r w:rsidRPr="00A76683">
        <w:rPr>
          <w:rFonts w:asciiTheme="majorHAnsi" w:hAnsiTheme="majorHAnsi"/>
          <w:sz w:val="20"/>
          <w:szCs w:val="20"/>
          <w:bdr w:val="none" w:sz="0" w:space="0" w:color="auto"/>
          <w:lang w:val="es-ES"/>
        </w:rPr>
        <w:t>Indican que por esta razón</w:t>
      </w:r>
      <w:r w:rsidR="00981439">
        <w:rPr>
          <w:rFonts w:asciiTheme="majorHAnsi" w:hAnsiTheme="majorHAnsi"/>
          <w:sz w:val="20"/>
          <w:szCs w:val="20"/>
          <w:bdr w:val="none" w:sz="0" w:space="0" w:color="auto"/>
          <w:lang w:val="es-ES"/>
        </w:rPr>
        <w:t>,</w:t>
      </w:r>
      <w:r w:rsidRPr="00A76683">
        <w:rPr>
          <w:rFonts w:asciiTheme="majorHAnsi" w:hAnsiTheme="majorHAnsi"/>
          <w:sz w:val="20"/>
          <w:szCs w:val="20"/>
          <w:bdr w:val="none" w:sz="0" w:space="0" w:color="auto"/>
          <w:lang w:val="es-ES"/>
        </w:rPr>
        <w:t xml:space="preserve"> e</w:t>
      </w:r>
      <w:r w:rsidR="00B62FFD" w:rsidRPr="00A76683">
        <w:rPr>
          <w:rFonts w:asciiTheme="majorHAnsi" w:hAnsiTheme="majorHAnsi"/>
          <w:sz w:val="20"/>
          <w:szCs w:val="20"/>
          <w:bdr w:val="none" w:sz="0" w:space="0" w:color="auto"/>
          <w:lang w:val="es-ES"/>
        </w:rPr>
        <w:t>n noviembre</w:t>
      </w:r>
      <w:r w:rsidRPr="00A76683">
        <w:rPr>
          <w:rFonts w:asciiTheme="majorHAnsi" w:hAnsiTheme="majorHAnsi"/>
          <w:sz w:val="20"/>
          <w:szCs w:val="20"/>
          <w:bdr w:val="none" w:sz="0" w:space="0" w:color="auto"/>
          <w:lang w:val="es-ES"/>
        </w:rPr>
        <w:t xml:space="preserve"> de</w:t>
      </w:r>
      <w:r w:rsidR="00B62FFD" w:rsidRPr="00A76683">
        <w:rPr>
          <w:rFonts w:asciiTheme="majorHAnsi" w:hAnsiTheme="majorHAnsi"/>
          <w:sz w:val="20"/>
          <w:szCs w:val="20"/>
          <w:bdr w:val="none" w:sz="0" w:space="0" w:color="auto"/>
          <w:lang w:val="es-ES"/>
        </w:rPr>
        <w:t xml:space="preserve"> 1997</w:t>
      </w:r>
      <w:r w:rsidR="00981439">
        <w:rPr>
          <w:rFonts w:asciiTheme="majorHAnsi" w:hAnsiTheme="majorHAnsi"/>
          <w:sz w:val="20"/>
          <w:szCs w:val="20"/>
          <w:bdr w:val="none" w:sz="0" w:space="0" w:color="auto"/>
          <w:lang w:val="es-ES"/>
        </w:rPr>
        <w:t>,</w:t>
      </w:r>
      <w:r w:rsidR="00B62FFD" w:rsidRPr="00A76683">
        <w:rPr>
          <w:rFonts w:asciiTheme="majorHAnsi" w:hAnsiTheme="majorHAnsi"/>
          <w:sz w:val="20"/>
          <w:szCs w:val="20"/>
          <w:bdr w:val="none" w:sz="0" w:space="0" w:color="auto"/>
          <w:lang w:val="es-ES"/>
        </w:rPr>
        <w:t xml:space="preserve"> la Unidad de Derechos Humanos de la Fiscalía General de la Nación ordenó inspecciones judiciales para determinar el personal asignado a esas instituciones entre los mes</w:t>
      </w:r>
      <w:r w:rsidRPr="00A76683">
        <w:rPr>
          <w:rFonts w:asciiTheme="majorHAnsi" w:hAnsiTheme="majorHAnsi"/>
          <w:sz w:val="20"/>
          <w:szCs w:val="20"/>
          <w:bdr w:val="none" w:sz="0" w:space="0" w:color="auto"/>
          <w:lang w:val="es-ES"/>
        </w:rPr>
        <w:t>es de febrero y agosto de 1990. Señalan</w:t>
      </w:r>
      <w:r w:rsidR="005F2413" w:rsidRPr="00A76683">
        <w:rPr>
          <w:rFonts w:asciiTheme="majorHAnsi" w:hAnsiTheme="majorHAnsi"/>
          <w:sz w:val="20"/>
          <w:szCs w:val="20"/>
          <w:bdr w:val="none" w:sz="0" w:space="0" w:color="auto"/>
          <w:lang w:val="es-ES"/>
        </w:rPr>
        <w:t xml:space="preserve"> que las tentativas judiciales de establecer la responsabilidad de miem</w:t>
      </w:r>
      <w:r w:rsidR="005F2413" w:rsidRPr="00B60030">
        <w:rPr>
          <w:rFonts w:asciiTheme="majorHAnsi" w:hAnsiTheme="majorHAnsi"/>
          <w:sz w:val="20"/>
          <w:szCs w:val="20"/>
          <w:bdr w:val="none" w:sz="0" w:space="0" w:color="auto"/>
          <w:lang w:val="es-ES"/>
        </w:rPr>
        <w:t xml:space="preserve">bros de la Fuerza Pública dentro de la investigación penal se enfrentaron a la obstaculización continua de parte de miembros de las Fuerzas Militares y de la Policía Nacional. </w:t>
      </w:r>
      <w:r w:rsidR="004B226A" w:rsidRPr="00B60030">
        <w:rPr>
          <w:rFonts w:asciiTheme="majorHAnsi" w:hAnsiTheme="majorHAnsi"/>
          <w:iCs/>
          <w:sz w:val="20"/>
          <w:szCs w:val="20"/>
          <w:bdr w:val="none" w:sz="0" w:space="0" w:color="auto"/>
          <w:lang w:val="es-ES"/>
        </w:rPr>
        <w:t>Primero</w:t>
      </w:r>
      <w:r w:rsidR="004B226A" w:rsidRPr="00B60030">
        <w:rPr>
          <w:rFonts w:asciiTheme="majorHAnsi" w:hAnsiTheme="majorHAnsi"/>
          <w:sz w:val="20"/>
          <w:szCs w:val="20"/>
          <w:bdr w:val="none" w:sz="0" w:space="0" w:color="auto"/>
          <w:lang w:val="es-ES"/>
        </w:rPr>
        <w:t xml:space="preserve">, al realizarse la diligencia de inspección judicial en el Batallón “Pedro Nel Ospina”, no se hallaron los archivos correspondientes a 1990. </w:t>
      </w:r>
      <w:r w:rsidR="004B226A" w:rsidRPr="00B60030">
        <w:rPr>
          <w:rFonts w:asciiTheme="majorHAnsi" w:hAnsiTheme="majorHAnsi"/>
          <w:iCs/>
          <w:sz w:val="20"/>
          <w:szCs w:val="20"/>
          <w:bdr w:val="none" w:sz="0" w:space="0" w:color="auto"/>
          <w:lang w:val="es-ES"/>
        </w:rPr>
        <w:t>Segundo</w:t>
      </w:r>
      <w:r w:rsidR="004B226A" w:rsidRPr="00B60030">
        <w:rPr>
          <w:rFonts w:asciiTheme="majorHAnsi" w:hAnsiTheme="majorHAnsi"/>
          <w:sz w:val="20"/>
          <w:szCs w:val="20"/>
          <w:bdr w:val="none" w:sz="0" w:space="0" w:color="auto"/>
          <w:lang w:val="es-ES"/>
        </w:rPr>
        <w:t xml:space="preserve">, el Batallón Girardot no envió la información de las hojas de vida de los militares relacionados con el anónimo porque habían sido consumidas por un incendio ocurrido en febrero de 1998. </w:t>
      </w:r>
      <w:r w:rsidR="004B226A" w:rsidRPr="00B60030">
        <w:rPr>
          <w:rFonts w:asciiTheme="majorHAnsi" w:hAnsiTheme="majorHAnsi"/>
          <w:iCs/>
          <w:sz w:val="20"/>
          <w:szCs w:val="20"/>
          <w:bdr w:val="none" w:sz="0" w:space="0" w:color="auto"/>
          <w:lang w:val="es-ES"/>
        </w:rPr>
        <w:t>Tercero</w:t>
      </w:r>
      <w:r w:rsidR="004B226A" w:rsidRPr="00B60030">
        <w:rPr>
          <w:rFonts w:asciiTheme="majorHAnsi" w:hAnsiTheme="majorHAnsi"/>
          <w:sz w:val="20"/>
          <w:szCs w:val="20"/>
          <w:bdr w:val="none" w:sz="0" w:space="0" w:color="auto"/>
          <w:lang w:val="es-ES"/>
        </w:rPr>
        <w:t>, el Comando</w:t>
      </w:r>
      <w:r w:rsidR="004B226A" w:rsidRPr="004B226A">
        <w:rPr>
          <w:rFonts w:asciiTheme="majorHAnsi" w:hAnsiTheme="majorHAnsi"/>
          <w:sz w:val="20"/>
          <w:szCs w:val="20"/>
          <w:bdr w:val="none" w:sz="0" w:space="0" w:color="auto"/>
          <w:lang w:val="es-ES"/>
        </w:rPr>
        <w:t xml:space="preserve"> de Policía de Yarumal no envió la información de su personal entre febrero y agosto de 1990, porque en una diligencia de incineración de elementos inservibles del Comando, se destruyeron los libros que se encontraban en mal estado, entre ellos el libro de población de 1990. </w:t>
      </w:r>
      <w:r w:rsidR="004B226A" w:rsidRPr="00B60030">
        <w:rPr>
          <w:rFonts w:asciiTheme="majorHAnsi" w:hAnsiTheme="majorHAnsi"/>
          <w:sz w:val="20"/>
          <w:szCs w:val="20"/>
          <w:bdr w:val="none" w:sz="0" w:space="0" w:color="auto"/>
          <w:lang w:val="es-ES"/>
        </w:rPr>
        <w:t xml:space="preserve">Y </w:t>
      </w:r>
      <w:r w:rsidR="004B226A" w:rsidRPr="00B60030">
        <w:rPr>
          <w:rFonts w:asciiTheme="majorHAnsi" w:hAnsiTheme="majorHAnsi"/>
          <w:iCs/>
          <w:sz w:val="20"/>
          <w:szCs w:val="20"/>
          <w:bdr w:val="none" w:sz="0" w:space="0" w:color="auto"/>
          <w:lang w:val="es-ES"/>
        </w:rPr>
        <w:t>cuarto</w:t>
      </w:r>
      <w:r w:rsidR="004B226A" w:rsidRPr="004B226A">
        <w:rPr>
          <w:rFonts w:asciiTheme="majorHAnsi" w:hAnsiTheme="majorHAnsi"/>
          <w:sz w:val="20"/>
          <w:szCs w:val="20"/>
          <w:bdr w:val="none" w:sz="0" w:space="0" w:color="auto"/>
          <w:lang w:val="es-ES"/>
        </w:rPr>
        <w:t>, las contradicciones de información entre varias dependencias de las Fuerzas Militares, acerca de la pertenencia o no a las Fuerza Armadas de las personas relacionadas en el anónimo.</w:t>
      </w:r>
    </w:p>
    <w:p w:rsidR="004B226A" w:rsidRPr="004B226A" w:rsidRDefault="004B226A" w:rsidP="004B226A">
      <w:pPr>
        <w:pStyle w:val="ListParagraph"/>
        <w:rPr>
          <w:rFonts w:asciiTheme="majorHAnsi" w:hAnsiTheme="majorHAnsi"/>
          <w:sz w:val="20"/>
          <w:szCs w:val="20"/>
          <w:bdr w:val="none" w:sz="0" w:space="0" w:color="auto"/>
          <w:lang w:val="es-ES"/>
        </w:rPr>
      </w:pPr>
    </w:p>
    <w:p w:rsidR="001B2DC1" w:rsidRPr="00A76683" w:rsidRDefault="00CA44EC" w:rsidP="00CA44EC">
      <w:pPr>
        <w:pStyle w:val="ListParagraph"/>
        <w:numPr>
          <w:ilvl w:val="0"/>
          <w:numId w:val="55"/>
        </w:numPr>
        <w:ind w:left="0" w:firstLine="720"/>
        <w:jc w:val="both"/>
        <w:rPr>
          <w:rFonts w:asciiTheme="majorHAnsi" w:hAnsiTheme="majorHAnsi"/>
          <w:sz w:val="20"/>
          <w:szCs w:val="20"/>
          <w:bdr w:val="none" w:sz="0" w:space="0" w:color="auto"/>
          <w:lang w:val="es-ES"/>
        </w:rPr>
      </w:pPr>
      <w:r w:rsidRPr="00A76683">
        <w:rPr>
          <w:rFonts w:asciiTheme="majorHAnsi" w:hAnsiTheme="majorHAnsi"/>
          <w:sz w:val="20"/>
          <w:szCs w:val="20"/>
          <w:bdr w:val="none" w:sz="0" w:space="0" w:color="auto"/>
          <w:lang w:val="es-ES"/>
        </w:rPr>
        <w:t>También manifiestan que e</w:t>
      </w:r>
      <w:r w:rsidR="005F2413" w:rsidRPr="00A76683">
        <w:rPr>
          <w:rFonts w:asciiTheme="majorHAnsi" w:hAnsiTheme="majorHAnsi"/>
          <w:sz w:val="20"/>
          <w:szCs w:val="20"/>
          <w:bdr w:val="none" w:sz="0" w:space="0" w:color="auto"/>
          <w:lang w:val="es-ES"/>
        </w:rPr>
        <w:t>n la diligencia de levantamiento de los cadáveres se recolectó evidencia fundamental para la determinación judicial de lo ocurrido, como lo fueron los proyectiles de arma de fuego. Sin embargo, dich</w:t>
      </w:r>
      <w:r w:rsidR="00EA6949">
        <w:rPr>
          <w:rFonts w:asciiTheme="majorHAnsi" w:hAnsiTheme="majorHAnsi"/>
          <w:sz w:val="20"/>
          <w:szCs w:val="20"/>
          <w:bdr w:val="none" w:sz="0" w:space="0" w:color="auto"/>
          <w:lang w:val="es-ES"/>
        </w:rPr>
        <w:t xml:space="preserve">o </w:t>
      </w:r>
      <w:r w:rsidR="005F2413" w:rsidRPr="00A76683">
        <w:rPr>
          <w:rFonts w:asciiTheme="majorHAnsi" w:hAnsiTheme="majorHAnsi"/>
          <w:sz w:val="20"/>
          <w:szCs w:val="20"/>
          <w:bdr w:val="none" w:sz="0" w:space="0" w:color="auto"/>
          <w:lang w:val="es-ES"/>
        </w:rPr>
        <w:t>materia</w:t>
      </w:r>
      <w:r w:rsidR="00EA6949">
        <w:rPr>
          <w:rFonts w:asciiTheme="majorHAnsi" w:hAnsiTheme="majorHAnsi"/>
          <w:sz w:val="20"/>
          <w:szCs w:val="20"/>
          <w:bdr w:val="none" w:sz="0" w:space="0" w:color="auto"/>
          <w:lang w:val="es-ES"/>
        </w:rPr>
        <w:t>l probatorio</w:t>
      </w:r>
      <w:r w:rsidR="005F2413" w:rsidRPr="00A76683">
        <w:rPr>
          <w:rFonts w:asciiTheme="majorHAnsi" w:hAnsiTheme="majorHAnsi"/>
          <w:sz w:val="20"/>
          <w:szCs w:val="20"/>
          <w:bdr w:val="none" w:sz="0" w:space="0" w:color="auto"/>
          <w:lang w:val="es-ES"/>
        </w:rPr>
        <w:t xml:space="preserve"> </w:t>
      </w:r>
      <w:r w:rsidR="00B93765">
        <w:rPr>
          <w:rFonts w:asciiTheme="majorHAnsi" w:hAnsiTheme="majorHAnsi"/>
          <w:sz w:val="20"/>
          <w:szCs w:val="20"/>
          <w:bdr w:val="none" w:sz="0" w:space="0" w:color="auto"/>
          <w:lang w:val="es-ES"/>
        </w:rPr>
        <w:t>fue extraviado</w:t>
      </w:r>
      <w:r w:rsidR="00EA6949">
        <w:rPr>
          <w:rFonts w:asciiTheme="majorHAnsi" w:hAnsiTheme="majorHAnsi"/>
          <w:sz w:val="20"/>
          <w:szCs w:val="20"/>
          <w:bdr w:val="none" w:sz="0" w:space="0" w:color="auto"/>
          <w:lang w:val="es-ES"/>
        </w:rPr>
        <w:t>.</w:t>
      </w:r>
    </w:p>
    <w:p w:rsidR="00306D88" w:rsidRPr="00A76683" w:rsidRDefault="00306D88" w:rsidP="00306D88">
      <w:pPr>
        <w:rPr>
          <w:rFonts w:asciiTheme="majorHAnsi" w:hAnsiTheme="majorHAnsi"/>
          <w:sz w:val="20"/>
          <w:szCs w:val="20"/>
          <w:bdr w:val="none" w:sz="0" w:space="0" w:color="auto"/>
          <w:lang w:val="es-ES"/>
        </w:rPr>
      </w:pPr>
    </w:p>
    <w:p w:rsidR="00A01819" w:rsidRPr="00A76683" w:rsidRDefault="00181829" w:rsidP="00A01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bdr w:val="none" w:sz="0" w:space="0" w:color="auto"/>
          <w:lang w:val="es-ES"/>
        </w:rPr>
      </w:pPr>
      <w:r w:rsidRPr="00A76683">
        <w:rPr>
          <w:rFonts w:asciiTheme="majorHAnsi" w:hAnsiTheme="majorHAnsi"/>
          <w:color w:val="auto"/>
          <w:sz w:val="20"/>
          <w:szCs w:val="20"/>
          <w:bdr w:val="none" w:sz="0" w:space="0" w:color="auto"/>
          <w:lang w:val="es-ES"/>
        </w:rPr>
        <w:t xml:space="preserve">Adicionalmente señalan que el Código de Procedimiento Penal vigente para el momento </w:t>
      </w:r>
      <w:r w:rsidR="00426AF8" w:rsidRPr="00A76683">
        <w:rPr>
          <w:rFonts w:asciiTheme="majorHAnsi" w:hAnsiTheme="majorHAnsi"/>
          <w:color w:val="auto"/>
          <w:sz w:val="20"/>
          <w:szCs w:val="20"/>
          <w:bdr w:val="none" w:sz="0" w:space="0" w:color="auto"/>
          <w:lang w:val="es-ES"/>
        </w:rPr>
        <w:t xml:space="preserve">de los hechos </w:t>
      </w:r>
      <w:r w:rsidRPr="00A76683">
        <w:rPr>
          <w:rFonts w:asciiTheme="majorHAnsi" w:hAnsiTheme="majorHAnsi"/>
          <w:color w:val="auto"/>
          <w:sz w:val="20"/>
          <w:szCs w:val="20"/>
          <w:bdr w:val="none" w:sz="0" w:space="0" w:color="auto"/>
          <w:lang w:val="es-ES"/>
        </w:rPr>
        <w:t>disponía que mientras el caso estuviese en periodo preliminar no se admitiría demanda de parte civil</w:t>
      </w:r>
      <w:r w:rsidR="009469B8" w:rsidRPr="00A76683">
        <w:rPr>
          <w:rFonts w:asciiTheme="majorHAnsi" w:hAnsiTheme="majorHAnsi"/>
          <w:sz w:val="20"/>
          <w:szCs w:val="20"/>
          <w:bdr w:val="none" w:sz="0" w:space="0" w:color="auto"/>
          <w:lang w:val="es-ES"/>
        </w:rPr>
        <w:t>, y que</w:t>
      </w:r>
      <w:r w:rsidRPr="00A76683">
        <w:rPr>
          <w:rFonts w:asciiTheme="majorHAnsi" w:hAnsiTheme="majorHAnsi"/>
          <w:color w:val="auto"/>
          <w:sz w:val="20"/>
          <w:szCs w:val="20"/>
          <w:bdr w:val="none" w:sz="0" w:space="0" w:color="auto"/>
          <w:lang w:val="es-ES"/>
        </w:rPr>
        <w:t xml:space="preserve"> dicha disposición fue modificada</w:t>
      </w:r>
      <w:r w:rsidR="009469B8" w:rsidRPr="00A76683">
        <w:rPr>
          <w:rFonts w:asciiTheme="majorHAnsi" w:hAnsiTheme="majorHAnsi"/>
          <w:sz w:val="20"/>
          <w:szCs w:val="20"/>
          <w:bdr w:val="none" w:sz="0" w:space="0" w:color="auto"/>
          <w:lang w:val="es-ES"/>
        </w:rPr>
        <w:t xml:space="preserve"> </w:t>
      </w:r>
      <w:r w:rsidR="000C0A19" w:rsidRPr="00A76683">
        <w:rPr>
          <w:rFonts w:asciiTheme="majorHAnsi" w:hAnsiTheme="majorHAnsi"/>
          <w:sz w:val="20"/>
          <w:szCs w:val="20"/>
          <w:bdr w:val="none" w:sz="0" w:space="0" w:color="auto"/>
          <w:lang w:val="es-ES"/>
        </w:rPr>
        <w:t xml:space="preserve">solo </w:t>
      </w:r>
      <w:r w:rsidR="009469B8" w:rsidRPr="00A76683">
        <w:rPr>
          <w:rFonts w:asciiTheme="majorHAnsi" w:hAnsiTheme="majorHAnsi"/>
          <w:sz w:val="20"/>
          <w:szCs w:val="20"/>
          <w:bdr w:val="none" w:sz="0" w:space="0" w:color="auto"/>
          <w:lang w:val="es-ES"/>
        </w:rPr>
        <w:t>en el año 2002</w:t>
      </w:r>
      <w:r w:rsidR="00A01819" w:rsidRPr="00A76683">
        <w:rPr>
          <w:rFonts w:asciiTheme="majorHAnsi" w:hAnsiTheme="majorHAnsi"/>
          <w:sz w:val="20"/>
          <w:szCs w:val="20"/>
          <w:bdr w:val="none" w:sz="0" w:space="0" w:color="auto"/>
          <w:lang w:val="es-ES"/>
        </w:rPr>
        <w:t xml:space="preserve">. </w:t>
      </w:r>
      <w:r w:rsidR="00981439">
        <w:rPr>
          <w:rFonts w:asciiTheme="majorHAnsi" w:hAnsiTheme="majorHAnsi"/>
          <w:sz w:val="20"/>
          <w:szCs w:val="20"/>
          <w:bdr w:val="none" w:sz="0" w:space="0" w:color="auto"/>
          <w:lang w:val="es-ES"/>
        </w:rPr>
        <w:t xml:space="preserve">Indican que </w:t>
      </w:r>
      <w:r w:rsidR="00E339E6" w:rsidRPr="00A76683">
        <w:rPr>
          <w:rFonts w:asciiTheme="majorHAnsi" w:hAnsiTheme="majorHAnsi"/>
          <w:sz w:val="20"/>
          <w:szCs w:val="20"/>
          <w:bdr w:val="none" w:sz="0" w:space="0" w:color="auto"/>
          <w:lang w:val="es-ES"/>
        </w:rPr>
        <w:t xml:space="preserve">Maria Eugenia </w:t>
      </w:r>
      <w:r w:rsidR="003252BA" w:rsidRPr="00A76683">
        <w:rPr>
          <w:rFonts w:asciiTheme="majorHAnsi" w:hAnsiTheme="majorHAnsi"/>
          <w:sz w:val="20"/>
          <w:szCs w:val="20"/>
          <w:bdr w:val="none" w:sz="0" w:space="0" w:color="auto"/>
          <w:lang w:val="es-ES"/>
        </w:rPr>
        <w:t>López</w:t>
      </w:r>
      <w:r w:rsidR="00E339E6" w:rsidRPr="00A76683">
        <w:rPr>
          <w:rFonts w:asciiTheme="majorHAnsi" w:hAnsiTheme="majorHAnsi"/>
          <w:sz w:val="20"/>
          <w:szCs w:val="20"/>
          <w:bdr w:val="none" w:sz="0" w:space="0" w:color="auto"/>
          <w:lang w:val="es-ES"/>
        </w:rPr>
        <w:t xml:space="preserve"> fu</w:t>
      </w:r>
      <w:r w:rsidR="00B41E4A">
        <w:rPr>
          <w:rFonts w:asciiTheme="majorHAnsi" w:hAnsiTheme="majorHAnsi"/>
          <w:sz w:val="20"/>
          <w:szCs w:val="20"/>
          <w:bdr w:val="none" w:sz="0" w:space="0" w:color="auto"/>
          <w:lang w:val="es-ES"/>
        </w:rPr>
        <w:t>e</w:t>
      </w:r>
      <w:r w:rsidR="00E339E6" w:rsidRPr="00A76683">
        <w:rPr>
          <w:rFonts w:asciiTheme="majorHAnsi" w:hAnsiTheme="majorHAnsi"/>
          <w:sz w:val="20"/>
          <w:szCs w:val="20"/>
          <w:bdr w:val="none" w:sz="0" w:space="0" w:color="auto"/>
          <w:lang w:val="es-ES"/>
        </w:rPr>
        <w:t xml:space="preserve"> admitida en la investigación preliminar como parte civil </w:t>
      </w:r>
      <w:r w:rsidR="002E4B1A">
        <w:rPr>
          <w:rFonts w:asciiTheme="majorHAnsi" w:hAnsiTheme="majorHAnsi"/>
          <w:sz w:val="20"/>
          <w:szCs w:val="20"/>
          <w:bdr w:val="none" w:sz="0" w:space="0" w:color="auto"/>
          <w:lang w:val="es-ES"/>
        </w:rPr>
        <w:t>en enero de 2003, razón por la cual</w:t>
      </w:r>
      <w:r w:rsidR="00A01819" w:rsidRPr="00A76683">
        <w:rPr>
          <w:rFonts w:asciiTheme="majorHAnsi" w:hAnsiTheme="majorHAnsi"/>
          <w:sz w:val="20"/>
          <w:szCs w:val="20"/>
          <w:bdr w:val="none" w:sz="0" w:space="0" w:color="auto"/>
          <w:lang w:val="es-ES"/>
        </w:rPr>
        <w:t xml:space="preserve"> durante los 12 primeros años del proceso penal</w:t>
      </w:r>
      <w:r w:rsidR="0023443B" w:rsidRPr="00A76683">
        <w:rPr>
          <w:rFonts w:asciiTheme="majorHAnsi" w:hAnsiTheme="majorHAnsi"/>
          <w:sz w:val="20"/>
          <w:szCs w:val="20"/>
          <w:bdr w:val="none" w:sz="0" w:space="0" w:color="auto"/>
          <w:lang w:val="es-ES"/>
        </w:rPr>
        <w:t>,</w:t>
      </w:r>
      <w:r w:rsidR="00A01819" w:rsidRPr="00A76683">
        <w:rPr>
          <w:rFonts w:asciiTheme="majorHAnsi" w:hAnsiTheme="majorHAnsi"/>
          <w:sz w:val="20"/>
          <w:szCs w:val="20"/>
          <w:bdr w:val="none" w:sz="0" w:space="0" w:color="auto"/>
          <w:lang w:val="es-ES"/>
        </w:rPr>
        <w:t xml:space="preserve"> los familiares de las presuntas víctimas no </w:t>
      </w:r>
      <w:r w:rsidR="00D20CF4">
        <w:rPr>
          <w:rFonts w:asciiTheme="majorHAnsi" w:hAnsiTheme="majorHAnsi"/>
          <w:sz w:val="20"/>
          <w:szCs w:val="20"/>
          <w:bdr w:val="none" w:sz="0" w:space="0" w:color="auto"/>
          <w:lang w:val="es-ES"/>
        </w:rPr>
        <w:t>pudieron participar o tener acceso a la información relevante.</w:t>
      </w:r>
    </w:p>
    <w:p w:rsidR="00636B7E" w:rsidRPr="00A76683" w:rsidRDefault="00636B7E" w:rsidP="00636B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
        </w:rPr>
      </w:pPr>
    </w:p>
    <w:p w:rsidR="00EC4C54" w:rsidRPr="00A76683" w:rsidRDefault="00181829" w:rsidP="00EC4C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76683">
        <w:rPr>
          <w:rFonts w:asciiTheme="majorHAnsi" w:hAnsiTheme="majorHAnsi"/>
          <w:color w:val="auto"/>
          <w:sz w:val="20"/>
          <w:szCs w:val="20"/>
          <w:bdr w:val="none" w:sz="0" w:space="0" w:color="auto"/>
          <w:lang w:val="es-ES"/>
        </w:rPr>
        <w:t xml:space="preserve">Por otro lado, se habría iniciado un proceso disciplinario en atención a la queja interpuesta por </w:t>
      </w:r>
      <w:r w:rsidR="008529B6" w:rsidRPr="00A76683">
        <w:rPr>
          <w:rFonts w:asciiTheme="majorHAnsi" w:hAnsiTheme="majorHAnsi"/>
          <w:color w:val="auto"/>
          <w:sz w:val="20"/>
          <w:szCs w:val="20"/>
          <w:bdr w:val="none" w:sz="0" w:space="0" w:color="auto"/>
          <w:lang w:val="es-ES"/>
        </w:rPr>
        <w:t xml:space="preserve">Maria Eugenia </w:t>
      </w:r>
      <w:r w:rsidR="003252BA" w:rsidRPr="00A76683">
        <w:rPr>
          <w:rFonts w:asciiTheme="majorHAnsi" w:hAnsiTheme="majorHAnsi"/>
          <w:color w:val="auto"/>
          <w:sz w:val="20"/>
          <w:szCs w:val="20"/>
          <w:bdr w:val="none" w:sz="0" w:space="0" w:color="auto"/>
          <w:lang w:val="es-ES"/>
        </w:rPr>
        <w:t>López</w:t>
      </w:r>
      <w:r w:rsidR="008529B6" w:rsidRPr="00A76683">
        <w:rPr>
          <w:rFonts w:asciiTheme="majorHAnsi" w:hAnsiTheme="majorHAnsi"/>
          <w:color w:val="auto"/>
          <w:sz w:val="20"/>
          <w:szCs w:val="20"/>
          <w:bdr w:val="none" w:sz="0" w:space="0" w:color="auto"/>
          <w:lang w:val="es-ES"/>
        </w:rPr>
        <w:t xml:space="preserve"> </w:t>
      </w:r>
      <w:r w:rsidR="008529B6" w:rsidRPr="00A76683">
        <w:rPr>
          <w:rFonts w:asciiTheme="majorHAnsi" w:hAnsiTheme="majorHAnsi"/>
          <w:sz w:val="20"/>
          <w:szCs w:val="20"/>
          <w:bdr w:val="none" w:sz="0" w:space="0" w:color="auto"/>
          <w:lang w:val="es-ES"/>
        </w:rPr>
        <w:t>ante la Procuraduría Departamental de Antioquia y ante la Procuraduría Delegada para la Defensa de los Derechos Humanos</w:t>
      </w:r>
      <w:r w:rsidR="005364D7" w:rsidRPr="00A76683">
        <w:rPr>
          <w:rFonts w:asciiTheme="majorHAnsi" w:hAnsiTheme="majorHAnsi"/>
          <w:color w:val="auto"/>
          <w:sz w:val="20"/>
          <w:szCs w:val="20"/>
          <w:bdr w:val="none" w:sz="0" w:space="0" w:color="auto"/>
          <w:lang w:val="es-ES"/>
        </w:rPr>
        <w:t>.</w:t>
      </w:r>
      <w:r w:rsidR="005364D7" w:rsidRPr="00A76683">
        <w:rPr>
          <w:rFonts w:asciiTheme="majorHAnsi" w:hAnsiTheme="majorHAnsi"/>
          <w:color w:val="auto"/>
          <w:sz w:val="20"/>
          <w:szCs w:val="20"/>
          <w:lang w:val="es-ES"/>
        </w:rPr>
        <w:t xml:space="preserve"> </w:t>
      </w:r>
      <w:r w:rsidR="00A95B3C" w:rsidRPr="00A76683">
        <w:rPr>
          <w:rFonts w:asciiTheme="majorHAnsi" w:hAnsiTheme="majorHAnsi"/>
          <w:sz w:val="20"/>
          <w:szCs w:val="20"/>
          <w:lang w:val="es-ES"/>
        </w:rPr>
        <w:t xml:space="preserve">A raíz de estas denuncias, </w:t>
      </w:r>
      <w:r w:rsidR="005C0E01" w:rsidRPr="00A76683">
        <w:rPr>
          <w:rFonts w:asciiTheme="majorHAnsi" w:hAnsiTheme="majorHAnsi"/>
          <w:sz w:val="20"/>
          <w:szCs w:val="20"/>
          <w:lang w:val="es-ES"/>
        </w:rPr>
        <w:t xml:space="preserve">el 11 de noviembre de 1992 </w:t>
      </w:r>
      <w:r w:rsidR="00A95B3C" w:rsidRPr="00A76683">
        <w:rPr>
          <w:rFonts w:asciiTheme="majorHAnsi" w:hAnsiTheme="majorHAnsi"/>
          <w:sz w:val="20"/>
          <w:szCs w:val="20"/>
          <w:lang w:val="es-ES"/>
        </w:rPr>
        <w:t xml:space="preserve">la Procuraduría Delegada </w:t>
      </w:r>
      <w:r w:rsidR="00EC7843" w:rsidRPr="00A76683">
        <w:rPr>
          <w:rFonts w:asciiTheme="majorHAnsi" w:hAnsiTheme="majorHAnsi"/>
          <w:sz w:val="20"/>
          <w:szCs w:val="20"/>
          <w:lang w:val="es-ES"/>
        </w:rPr>
        <w:t xml:space="preserve">para los Derechos Humanos </w:t>
      </w:r>
      <w:r w:rsidR="00A95B3C" w:rsidRPr="00A76683">
        <w:rPr>
          <w:rFonts w:asciiTheme="majorHAnsi" w:hAnsiTheme="majorHAnsi"/>
          <w:sz w:val="20"/>
          <w:szCs w:val="20"/>
          <w:lang w:val="es-ES"/>
        </w:rPr>
        <w:t xml:space="preserve">abrió la investigación preliminar disciplinaria bajo el radicado 008-134403. </w:t>
      </w:r>
      <w:r w:rsidR="00EC7843" w:rsidRPr="00A76683">
        <w:rPr>
          <w:rFonts w:asciiTheme="majorHAnsi" w:hAnsiTheme="majorHAnsi"/>
          <w:sz w:val="20"/>
          <w:szCs w:val="20"/>
          <w:lang w:val="es-ES"/>
        </w:rPr>
        <w:t>L</w:t>
      </w:r>
      <w:r w:rsidR="009869F5" w:rsidRPr="00A76683">
        <w:rPr>
          <w:rFonts w:asciiTheme="majorHAnsi" w:hAnsiTheme="majorHAnsi"/>
          <w:sz w:val="20"/>
          <w:szCs w:val="20"/>
          <w:lang w:val="es-ES"/>
        </w:rPr>
        <w:t xml:space="preserve">a </w:t>
      </w:r>
      <w:r w:rsidR="00EC7843" w:rsidRPr="00A76683">
        <w:rPr>
          <w:rFonts w:asciiTheme="majorHAnsi" w:hAnsiTheme="majorHAnsi"/>
          <w:sz w:val="20"/>
          <w:szCs w:val="20"/>
          <w:lang w:val="es-ES"/>
        </w:rPr>
        <w:t xml:space="preserve">Procuraduría </w:t>
      </w:r>
      <w:r w:rsidR="00A95B3C" w:rsidRPr="00A76683">
        <w:rPr>
          <w:rFonts w:asciiTheme="majorHAnsi" w:hAnsiTheme="majorHAnsi"/>
          <w:sz w:val="20"/>
          <w:szCs w:val="20"/>
          <w:lang w:val="es-ES"/>
        </w:rPr>
        <w:t xml:space="preserve"> archivó la investigación </w:t>
      </w:r>
      <w:r w:rsidR="00EC7843" w:rsidRPr="00A76683">
        <w:rPr>
          <w:rFonts w:asciiTheme="majorHAnsi" w:hAnsiTheme="majorHAnsi"/>
          <w:sz w:val="20"/>
          <w:szCs w:val="20"/>
          <w:lang w:val="es-ES"/>
        </w:rPr>
        <w:t>el 22 de febrero de 1995, por falta de mérito.</w:t>
      </w:r>
    </w:p>
    <w:p w:rsidR="00EC4C54" w:rsidRPr="00A76683" w:rsidRDefault="00EC4C54" w:rsidP="00EC4C54">
      <w:pPr>
        <w:pStyle w:val="ListParagraph"/>
        <w:rPr>
          <w:rFonts w:asciiTheme="majorHAnsi" w:hAnsiTheme="majorHAnsi" w:cs="Arial"/>
          <w:sz w:val="20"/>
          <w:szCs w:val="20"/>
          <w:highlight w:val="yellow"/>
          <w:lang w:val="es-PE"/>
        </w:rPr>
      </w:pPr>
    </w:p>
    <w:p w:rsidR="00EC4C54" w:rsidRPr="00A76683" w:rsidRDefault="000A5A37" w:rsidP="00D91B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
        </w:rPr>
      </w:pPr>
      <w:r>
        <w:rPr>
          <w:rFonts w:asciiTheme="majorHAnsi" w:hAnsiTheme="majorHAnsi" w:cs="Arial"/>
          <w:sz w:val="20"/>
          <w:szCs w:val="20"/>
          <w:lang w:val="es-PE"/>
        </w:rPr>
        <w:t>Con base a estos elementos, a</w:t>
      </w:r>
      <w:r w:rsidR="001923B2" w:rsidRPr="00A76683">
        <w:rPr>
          <w:rFonts w:asciiTheme="majorHAnsi" w:hAnsiTheme="majorHAnsi" w:cs="Arial"/>
          <w:sz w:val="20"/>
          <w:szCs w:val="20"/>
          <w:lang w:val="es-PE"/>
        </w:rPr>
        <w:t>legan que el Estado viol</w:t>
      </w:r>
      <w:r>
        <w:rPr>
          <w:rFonts w:asciiTheme="majorHAnsi" w:hAnsiTheme="majorHAnsi" w:cs="Arial"/>
          <w:sz w:val="20"/>
          <w:szCs w:val="20"/>
          <w:lang w:val="es-PE"/>
        </w:rPr>
        <w:t>ó</w:t>
      </w:r>
      <w:r w:rsidR="001923B2" w:rsidRPr="00A76683">
        <w:rPr>
          <w:rFonts w:asciiTheme="majorHAnsi" w:hAnsiTheme="majorHAnsi" w:cs="Arial"/>
          <w:sz w:val="20"/>
          <w:szCs w:val="20"/>
          <w:lang w:val="es-PE"/>
        </w:rPr>
        <w:t xml:space="preserve"> los artículos </w:t>
      </w:r>
      <w:r w:rsidR="00932F8D" w:rsidRPr="00A76683">
        <w:rPr>
          <w:rFonts w:asciiTheme="majorHAnsi" w:hAnsiTheme="majorHAnsi"/>
          <w:sz w:val="20"/>
          <w:szCs w:val="20"/>
          <w:bdr w:val="none" w:sz="0" w:space="0" w:color="auto"/>
          <w:lang w:val="es-ES"/>
        </w:rPr>
        <w:t>1.1, 4, 5, 7 y 19 de la Convención</w:t>
      </w:r>
      <w:r w:rsidR="00932F8D" w:rsidRPr="00A76683">
        <w:rPr>
          <w:rFonts w:asciiTheme="majorHAnsi" w:hAnsiTheme="majorHAnsi"/>
          <w:sz w:val="20"/>
          <w:szCs w:val="20"/>
          <w:lang w:val="es-ES"/>
        </w:rPr>
        <w:t xml:space="preserve"> </w:t>
      </w:r>
      <w:r w:rsidR="00932F8D" w:rsidRPr="00A76683">
        <w:rPr>
          <w:rFonts w:asciiTheme="majorHAnsi" w:hAnsiTheme="majorHAnsi"/>
          <w:sz w:val="20"/>
          <w:szCs w:val="20"/>
          <w:bdr w:val="none" w:sz="0" w:space="0" w:color="auto"/>
          <w:lang w:val="es-ES"/>
        </w:rPr>
        <w:t>en perjuicio de las presuntas víctimas</w:t>
      </w:r>
      <w:r w:rsidR="00932F8D" w:rsidRPr="00A76683">
        <w:rPr>
          <w:rFonts w:asciiTheme="majorHAnsi" w:hAnsiTheme="majorHAnsi" w:cs="Arial"/>
          <w:sz w:val="20"/>
          <w:szCs w:val="20"/>
          <w:lang w:val="es-PE"/>
        </w:rPr>
        <w:t xml:space="preserve">; así como los artículos </w:t>
      </w:r>
      <w:r w:rsidR="00932F8D" w:rsidRPr="00A76683">
        <w:rPr>
          <w:rFonts w:asciiTheme="majorHAnsi" w:hAnsiTheme="majorHAnsi"/>
          <w:sz w:val="20"/>
          <w:szCs w:val="20"/>
          <w:bdr w:val="none" w:sz="0" w:space="0" w:color="auto"/>
          <w:lang w:val="es-ES"/>
        </w:rPr>
        <w:t>5, 8, 13</w:t>
      </w:r>
      <w:r w:rsidR="00F468F5">
        <w:rPr>
          <w:rFonts w:asciiTheme="majorHAnsi" w:hAnsiTheme="majorHAnsi"/>
          <w:sz w:val="20"/>
          <w:szCs w:val="20"/>
          <w:bdr w:val="none" w:sz="0" w:space="0" w:color="auto"/>
          <w:lang w:val="es-ES"/>
        </w:rPr>
        <w:t>, 17</w:t>
      </w:r>
      <w:r w:rsidR="00932F8D" w:rsidRPr="00A76683">
        <w:rPr>
          <w:rFonts w:asciiTheme="majorHAnsi" w:hAnsiTheme="majorHAnsi"/>
          <w:sz w:val="20"/>
          <w:szCs w:val="20"/>
          <w:bdr w:val="none" w:sz="0" w:space="0" w:color="auto"/>
          <w:lang w:val="es-ES"/>
        </w:rPr>
        <w:t xml:space="preserve"> y 25 de la Convención </w:t>
      </w:r>
      <w:r w:rsidR="00932F8D" w:rsidRPr="00A76683">
        <w:rPr>
          <w:rFonts w:asciiTheme="majorHAnsi" w:hAnsiTheme="majorHAnsi" w:cs="Arial"/>
          <w:sz w:val="20"/>
          <w:szCs w:val="20"/>
          <w:lang w:val="es-PE"/>
        </w:rPr>
        <w:t xml:space="preserve">en relación con su artículo 1.1, </w:t>
      </w:r>
      <w:r w:rsidR="00932F8D" w:rsidRPr="00A76683">
        <w:rPr>
          <w:rFonts w:asciiTheme="majorHAnsi" w:hAnsiTheme="majorHAnsi"/>
          <w:sz w:val="20"/>
          <w:szCs w:val="20"/>
          <w:bdr w:val="none" w:sz="0" w:space="0" w:color="auto"/>
          <w:lang w:val="es-ES"/>
        </w:rPr>
        <w:t>en perjuicio de los familiares de las presuntas víctimas.</w:t>
      </w:r>
      <w:r w:rsidR="00584A92" w:rsidRPr="00A76683">
        <w:rPr>
          <w:rFonts w:asciiTheme="majorHAnsi" w:hAnsiTheme="majorHAnsi" w:cs="Arial"/>
          <w:sz w:val="20"/>
          <w:szCs w:val="20"/>
          <w:lang w:val="es-PE"/>
        </w:rPr>
        <w:t xml:space="preserve"> Asimismo, </w:t>
      </w:r>
      <w:r w:rsidR="00D91BA9" w:rsidRPr="00A76683">
        <w:rPr>
          <w:rFonts w:asciiTheme="majorHAnsi" w:hAnsiTheme="majorHAnsi" w:cs="Arial"/>
          <w:sz w:val="20"/>
          <w:szCs w:val="20"/>
          <w:lang w:val="es-PE"/>
        </w:rPr>
        <w:t>alegan la violación del</w:t>
      </w:r>
      <w:r w:rsidR="00584A92" w:rsidRPr="00A76683">
        <w:rPr>
          <w:rFonts w:asciiTheme="majorHAnsi" w:hAnsiTheme="majorHAnsi" w:cs="Arial"/>
          <w:sz w:val="20"/>
          <w:szCs w:val="20"/>
          <w:lang w:val="es-PE"/>
        </w:rPr>
        <w:t xml:space="preserve"> artículo </w:t>
      </w:r>
      <w:r w:rsidR="00584A92" w:rsidRPr="00A76683">
        <w:rPr>
          <w:rFonts w:asciiTheme="majorHAnsi" w:hAnsiTheme="majorHAnsi"/>
          <w:sz w:val="20"/>
          <w:szCs w:val="20"/>
          <w:bdr w:val="none" w:sz="0" w:space="0" w:color="auto"/>
          <w:lang w:val="es-ES"/>
        </w:rPr>
        <w:t xml:space="preserve">4 en </w:t>
      </w:r>
      <w:r w:rsidR="009D1CE4" w:rsidRPr="00A76683">
        <w:rPr>
          <w:rFonts w:asciiTheme="majorHAnsi" w:hAnsiTheme="majorHAnsi"/>
          <w:sz w:val="20"/>
          <w:szCs w:val="20"/>
          <w:bdr w:val="none" w:sz="0" w:space="0" w:color="auto"/>
          <w:lang w:val="es-ES"/>
        </w:rPr>
        <w:t>perjuicio</w:t>
      </w:r>
      <w:r w:rsidR="00584A92" w:rsidRPr="00A76683">
        <w:rPr>
          <w:rFonts w:asciiTheme="majorHAnsi" w:hAnsiTheme="majorHAnsi"/>
          <w:sz w:val="20"/>
          <w:szCs w:val="20"/>
          <w:bdr w:val="none" w:sz="0" w:space="0" w:color="auto"/>
          <w:lang w:val="es-ES"/>
        </w:rPr>
        <w:t xml:space="preserve"> de las tres víctimas sobrevivientes ya que</w:t>
      </w:r>
      <w:r w:rsidR="00824E1F" w:rsidRPr="00A76683">
        <w:rPr>
          <w:rFonts w:asciiTheme="majorHAnsi" w:hAnsiTheme="majorHAnsi"/>
          <w:sz w:val="20"/>
          <w:szCs w:val="20"/>
          <w:bdr w:val="none" w:sz="0" w:space="0" w:color="auto"/>
          <w:lang w:val="es-ES"/>
        </w:rPr>
        <w:t xml:space="preserve"> dejarl</w:t>
      </w:r>
      <w:r w:rsidR="00510737" w:rsidRPr="00A76683">
        <w:rPr>
          <w:rFonts w:asciiTheme="majorHAnsi" w:hAnsiTheme="majorHAnsi"/>
          <w:sz w:val="20"/>
          <w:szCs w:val="20"/>
          <w:bdr w:val="none" w:sz="0" w:space="0" w:color="auto"/>
          <w:lang w:val="es-ES"/>
        </w:rPr>
        <w:t>a</w:t>
      </w:r>
      <w:r w:rsidR="00824E1F" w:rsidRPr="00A76683">
        <w:rPr>
          <w:rFonts w:asciiTheme="majorHAnsi" w:hAnsiTheme="majorHAnsi"/>
          <w:sz w:val="20"/>
          <w:szCs w:val="20"/>
          <w:bdr w:val="none" w:sz="0" w:space="0" w:color="auto"/>
          <w:lang w:val="es-ES"/>
        </w:rPr>
        <w:t xml:space="preserve">s con vida </w:t>
      </w:r>
      <w:r w:rsidR="00D91BA9" w:rsidRPr="00A76683">
        <w:rPr>
          <w:rFonts w:asciiTheme="majorHAnsi" w:hAnsiTheme="majorHAnsi"/>
          <w:sz w:val="20"/>
          <w:szCs w:val="20"/>
          <w:bdr w:val="none" w:sz="0" w:space="0" w:color="auto"/>
          <w:lang w:val="es-ES"/>
        </w:rPr>
        <w:t>no fue</w:t>
      </w:r>
      <w:r w:rsidR="00824E1F" w:rsidRPr="00A76683">
        <w:rPr>
          <w:rFonts w:asciiTheme="majorHAnsi" w:hAnsiTheme="majorHAnsi"/>
          <w:sz w:val="20"/>
          <w:szCs w:val="20"/>
          <w:bdr w:val="none" w:sz="0" w:space="0" w:color="auto"/>
          <w:lang w:val="es-ES"/>
        </w:rPr>
        <w:t xml:space="preserve"> la intención original de los perpetradores</w:t>
      </w:r>
      <w:r w:rsidR="00997F04">
        <w:rPr>
          <w:rFonts w:asciiTheme="majorHAnsi" w:hAnsiTheme="majorHAnsi"/>
          <w:sz w:val="20"/>
          <w:szCs w:val="20"/>
          <w:bdr w:val="none" w:sz="0" w:space="0" w:color="auto"/>
          <w:lang w:val="es-ES"/>
        </w:rPr>
        <w:t xml:space="preserve">. Señalan que </w:t>
      </w:r>
      <w:r w:rsidR="00D91BA9" w:rsidRPr="00A76683">
        <w:rPr>
          <w:rFonts w:asciiTheme="majorHAnsi" w:hAnsiTheme="majorHAnsi"/>
          <w:sz w:val="20"/>
          <w:szCs w:val="20"/>
          <w:bdr w:val="none" w:sz="0" w:space="0" w:color="auto"/>
          <w:lang w:val="es-ES"/>
        </w:rPr>
        <w:t>los hechos, la potencia de fuego empleada y el uso de granadas explosivas demuestran que aquellos hicieron todo lo que consideraron necesario para ejecutar a todas las personas que se hallaban en la casa de la familia Duque López</w:t>
      </w:r>
      <w:r w:rsidR="00EC4C54" w:rsidRPr="00A76683">
        <w:rPr>
          <w:rFonts w:asciiTheme="majorHAnsi" w:hAnsiTheme="majorHAnsi"/>
          <w:sz w:val="20"/>
          <w:szCs w:val="20"/>
          <w:bdr w:val="none" w:sz="0" w:space="0" w:color="auto"/>
          <w:lang w:val="es-ES"/>
        </w:rPr>
        <w:t>. En este sentido indican que la Corte Interamericana</w:t>
      </w:r>
      <w:r w:rsidR="00D20CF4">
        <w:rPr>
          <w:rFonts w:asciiTheme="majorHAnsi" w:hAnsiTheme="majorHAnsi"/>
          <w:sz w:val="20"/>
          <w:szCs w:val="20"/>
          <w:bdr w:val="none" w:sz="0" w:space="0" w:color="auto"/>
          <w:lang w:val="es-ES"/>
        </w:rPr>
        <w:t xml:space="preserve"> en el caso La Rochela</w:t>
      </w:r>
      <w:r w:rsidR="00EC4C54" w:rsidRPr="00A76683">
        <w:rPr>
          <w:rFonts w:asciiTheme="majorHAnsi" w:hAnsiTheme="majorHAnsi"/>
          <w:sz w:val="20"/>
          <w:szCs w:val="20"/>
          <w:bdr w:val="none" w:sz="0" w:space="0" w:color="auto"/>
          <w:lang w:val="es-ES"/>
        </w:rPr>
        <w:t xml:space="preserve"> ha considerado </w:t>
      </w:r>
      <w:r w:rsidR="005B5E3E" w:rsidRPr="00A76683">
        <w:rPr>
          <w:rFonts w:asciiTheme="majorHAnsi" w:hAnsiTheme="majorHAnsi"/>
          <w:sz w:val="20"/>
          <w:szCs w:val="20"/>
          <w:bdr w:val="none" w:sz="0" w:space="0" w:color="auto"/>
          <w:lang w:val="es-ES"/>
        </w:rPr>
        <w:t xml:space="preserve">que se configura la vulneración del derecho a la vida </w:t>
      </w:r>
      <w:r w:rsidR="00EC4C54" w:rsidRPr="00A76683">
        <w:rPr>
          <w:rFonts w:asciiTheme="majorHAnsi" w:hAnsiTheme="majorHAnsi"/>
          <w:sz w:val="20"/>
          <w:szCs w:val="20"/>
          <w:bdr w:val="none" w:sz="0" w:space="0" w:color="auto"/>
          <w:lang w:val="es-ES"/>
        </w:rPr>
        <w:t>en casos de masacre en las cuales algunas personas escapar</w:t>
      </w:r>
      <w:r w:rsidR="00E36108" w:rsidRPr="00A76683">
        <w:rPr>
          <w:rFonts w:asciiTheme="majorHAnsi" w:hAnsiTheme="majorHAnsi"/>
          <w:sz w:val="20"/>
          <w:szCs w:val="20"/>
          <w:bdr w:val="none" w:sz="0" w:space="0" w:color="auto"/>
          <w:lang w:val="es-ES"/>
        </w:rPr>
        <w:t xml:space="preserve">on con vida, </w:t>
      </w:r>
      <w:r w:rsidR="005B5E3E" w:rsidRPr="00A76683">
        <w:rPr>
          <w:rFonts w:asciiTheme="majorHAnsi" w:hAnsiTheme="majorHAnsi"/>
          <w:sz w:val="20"/>
          <w:szCs w:val="20"/>
          <w:bdr w:val="none" w:sz="0" w:space="0" w:color="auto"/>
          <w:lang w:val="es-ES"/>
        </w:rPr>
        <w:t xml:space="preserve">cuando </w:t>
      </w:r>
      <w:r w:rsidR="00E36108" w:rsidRPr="00A76683">
        <w:rPr>
          <w:rFonts w:asciiTheme="majorHAnsi" w:hAnsiTheme="majorHAnsi"/>
          <w:sz w:val="20"/>
          <w:szCs w:val="20"/>
          <w:bdr w:val="none" w:sz="0" w:space="0" w:color="auto"/>
          <w:lang w:val="es-ES"/>
        </w:rPr>
        <w:t>los sobrevivientes</w:t>
      </w:r>
      <w:r w:rsidR="00EC4C54" w:rsidRPr="00A76683">
        <w:rPr>
          <w:rFonts w:asciiTheme="majorHAnsi" w:hAnsiTheme="majorHAnsi"/>
          <w:sz w:val="20"/>
          <w:szCs w:val="20"/>
          <w:bdr w:val="none" w:sz="0" w:space="0" w:color="auto"/>
          <w:lang w:val="es-ES"/>
        </w:rPr>
        <w:t xml:space="preserve"> fueron víctimas de una conducta que, por su naturaleza, representó un grave riesgo para sus vidas</w:t>
      </w:r>
      <w:r w:rsidR="000C156B">
        <w:rPr>
          <w:rFonts w:asciiTheme="majorHAnsi" w:hAnsiTheme="majorHAnsi"/>
          <w:sz w:val="20"/>
          <w:szCs w:val="20"/>
          <w:bdr w:val="none" w:sz="0" w:space="0" w:color="auto"/>
          <w:lang w:val="es-ES"/>
        </w:rPr>
        <w:t>,</w:t>
      </w:r>
      <w:r w:rsidR="00EC4C54" w:rsidRPr="00A76683">
        <w:rPr>
          <w:rFonts w:asciiTheme="majorHAnsi" w:hAnsiTheme="majorHAnsi"/>
          <w:sz w:val="20"/>
          <w:szCs w:val="20"/>
          <w:bdr w:val="none" w:sz="0" w:space="0" w:color="auto"/>
          <w:lang w:val="es-ES"/>
        </w:rPr>
        <w:t xml:space="preserve"> a pesar de que sobrevivieron al ataque. </w:t>
      </w:r>
    </w:p>
    <w:p w:rsidR="009D7A8E" w:rsidRPr="00A76683" w:rsidRDefault="009D7A8E" w:rsidP="004D11C7">
      <w:pPr>
        <w:rPr>
          <w:rFonts w:asciiTheme="majorHAnsi" w:hAnsiTheme="majorHAnsi"/>
          <w:sz w:val="20"/>
          <w:szCs w:val="20"/>
          <w:lang w:val="es-ES"/>
        </w:rPr>
      </w:pPr>
    </w:p>
    <w:p w:rsidR="00181829" w:rsidRPr="00A76683" w:rsidRDefault="00181829" w:rsidP="00543D2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b/>
          <w:snapToGrid w:val="0"/>
          <w:sz w:val="20"/>
          <w:szCs w:val="20"/>
          <w:bdr w:val="none" w:sz="0" w:space="0" w:color="auto"/>
          <w:lang w:val="es-ES"/>
        </w:rPr>
      </w:pPr>
      <w:r w:rsidRPr="00A76683">
        <w:rPr>
          <w:rFonts w:asciiTheme="majorHAnsi" w:hAnsiTheme="majorHAnsi"/>
          <w:b/>
          <w:sz w:val="20"/>
          <w:szCs w:val="20"/>
          <w:bdr w:val="none" w:sz="0" w:space="0" w:color="auto"/>
          <w:lang w:val="es-ES"/>
        </w:rPr>
        <w:t xml:space="preserve">Posición del Estado </w:t>
      </w:r>
    </w:p>
    <w:p w:rsidR="00181829" w:rsidRPr="00A76683"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lang w:val="es-ES"/>
        </w:rPr>
      </w:pPr>
    </w:p>
    <w:p w:rsidR="00AE048D" w:rsidRPr="00A76683" w:rsidRDefault="00E363E4" w:rsidP="00AE048D">
      <w:pPr>
        <w:pStyle w:val="ListParagraph"/>
        <w:numPr>
          <w:ilvl w:val="0"/>
          <w:numId w:val="55"/>
        </w:numP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cs="Calibri"/>
          <w:snapToGrid w:val="0"/>
          <w:sz w:val="20"/>
          <w:szCs w:val="20"/>
          <w:bdr w:val="none" w:sz="0" w:space="0" w:color="auto"/>
          <w:lang w:val="es-ES"/>
        </w:rPr>
        <w:t>E</w:t>
      </w:r>
      <w:r w:rsidR="00FC1CE6" w:rsidRPr="00A76683">
        <w:rPr>
          <w:rFonts w:asciiTheme="majorHAnsi" w:hAnsiTheme="majorHAnsi" w:cs="Calibri"/>
          <w:snapToGrid w:val="0"/>
          <w:sz w:val="20"/>
          <w:szCs w:val="20"/>
          <w:bdr w:val="none" w:sz="0" w:space="0" w:color="auto"/>
          <w:lang w:val="es-ES"/>
        </w:rPr>
        <w:t xml:space="preserve">l </w:t>
      </w:r>
      <w:r w:rsidR="00016C3A" w:rsidRPr="00A76683">
        <w:rPr>
          <w:rFonts w:asciiTheme="majorHAnsi" w:hAnsiTheme="majorHAnsi" w:cs="Calibri"/>
          <w:snapToGrid w:val="0"/>
          <w:sz w:val="20"/>
          <w:szCs w:val="20"/>
          <w:bdr w:val="none" w:sz="0" w:space="0" w:color="auto"/>
          <w:lang w:val="es-ES"/>
        </w:rPr>
        <w:t xml:space="preserve">Estado </w:t>
      </w:r>
      <w:r w:rsidR="007B159E" w:rsidRPr="00A76683">
        <w:rPr>
          <w:rFonts w:asciiTheme="majorHAnsi" w:hAnsiTheme="majorHAnsi" w:cs="Calibri"/>
          <w:snapToGrid w:val="0"/>
          <w:sz w:val="20"/>
          <w:szCs w:val="20"/>
          <w:bdr w:val="none" w:sz="0" w:space="0" w:color="auto"/>
          <w:lang w:val="es-ES"/>
        </w:rPr>
        <w:t xml:space="preserve">considera que las observaciones de los </w:t>
      </w:r>
      <w:r w:rsidR="00156B98" w:rsidRPr="00A76683">
        <w:rPr>
          <w:rFonts w:asciiTheme="majorHAnsi" w:hAnsiTheme="majorHAnsi" w:cs="Calibri"/>
          <w:snapToGrid w:val="0"/>
          <w:sz w:val="20"/>
          <w:szCs w:val="20"/>
          <w:bdr w:val="none" w:sz="0" w:space="0" w:color="auto"/>
          <w:lang w:val="es-ES"/>
        </w:rPr>
        <w:t>peticionarios</w:t>
      </w:r>
      <w:r w:rsidR="007B159E" w:rsidRPr="00A76683">
        <w:rPr>
          <w:rFonts w:asciiTheme="majorHAnsi" w:hAnsiTheme="majorHAnsi" w:cs="Calibri"/>
          <w:snapToGrid w:val="0"/>
          <w:sz w:val="20"/>
          <w:szCs w:val="20"/>
          <w:bdr w:val="none" w:sz="0" w:space="0" w:color="auto"/>
          <w:lang w:val="es-ES"/>
        </w:rPr>
        <w:t xml:space="preserve"> relativas al </w:t>
      </w:r>
      <w:r w:rsidR="00156B98" w:rsidRPr="00A76683">
        <w:rPr>
          <w:rFonts w:asciiTheme="majorHAnsi" w:hAnsiTheme="majorHAnsi" w:cs="Calibri"/>
          <w:snapToGrid w:val="0"/>
          <w:sz w:val="20"/>
          <w:szCs w:val="20"/>
          <w:bdr w:val="none" w:sz="0" w:space="0" w:color="auto"/>
          <w:lang w:val="es-ES"/>
        </w:rPr>
        <w:t>contexto</w:t>
      </w:r>
      <w:r w:rsidR="007B159E" w:rsidRPr="00A76683">
        <w:rPr>
          <w:rFonts w:asciiTheme="majorHAnsi" w:hAnsiTheme="majorHAnsi" w:cs="Calibri"/>
          <w:snapToGrid w:val="0"/>
          <w:sz w:val="20"/>
          <w:szCs w:val="20"/>
          <w:bdr w:val="none" w:sz="0" w:space="0" w:color="auto"/>
          <w:lang w:val="es-ES"/>
        </w:rPr>
        <w:t xml:space="preserve"> del presente caso guardan relación con asuntos de fondo, por lo que </w:t>
      </w:r>
      <w:r w:rsidR="008941F8" w:rsidRPr="00A76683">
        <w:rPr>
          <w:rFonts w:asciiTheme="majorHAnsi" w:hAnsiTheme="majorHAnsi" w:cs="Calibri"/>
          <w:snapToGrid w:val="0"/>
          <w:sz w:val="20"/>
          <w:szCs w:val="20"/>
          <w:bdr w:val="none" w:sz="0" w:space="0" w:color="auto"/>
          <w:lang w:val="es-ES"/>
        </w:rPr>
        <w:t xml:space="preserve">expresa que </w:t>
      </w:r>
      <w:r w:rsidR="007B159E" w:rsidRPr="00A76683">
        <w:rPr>
          <w:rFonts w:asciiTheme="majorHAnsi" w:hAnsiTheme="majorHAnsi" w:cs="Calibri"/>
          <w:snapToGrid w:val="0"/>
          <w:sz w:val="20"/>
          <w:szCs w:val="20"/>
          <w:bdr w:val="none" w:sz="0" w:space="0" w:color="auto"/>
          <w:lang w:val="es-ES"/>
        </w:rPr>
        <w:t xml:space="preserve">se reserva la oportunidad para presentar sus </w:t>
      </w:r>
      <w:r w:rsidR="008941F8" w:rsidRPr="00A76683">
        <w:rPr>
          <w:rFonts w:asciiTheme="majorHAnsi" w:hAnsiTheme="majorHAnsi" w:cs="Calibri"/>
          <w:snapToGrid w:val="0"/>
          <w:sz w:val="20"/>
          <w:szCs w:val="20"/>
          <w:bdr w:val="none" w:sz="0" w:space="0" w:color="auto"/>
          <w:lang w:val="es-ES"/>
        </w:rPr>
        <w:t xml:space="preserve">consideraciones en </w:t>
      </w:r>
      <w:r w:rsidR="00D728FE" w:rsidRPr="00A76683">
        <w:rPr>
          <w:rFonts w:asciiTheme="majorHAnsi" w:hAnsiTheme="majorHAnsi" w:cs="Calibri"/>
          <w:snapToGrid w:val="0"/>
          <w:sz w:val="20"/>
          <w:szCs w:val="20"/>
          <w:bdr w:val="none" w:sz="0" w:space="0" w:color="auto"/>
          <w:lang w:val="es-ES"/>
        </w:rPr>
        <w:t>dicha etapa</w:t>
      </w:r>
      <w:r w:rsidR="007B159E" w:rsidRPr="00A76683">
        <w:rPr>
          <w:rFonts w:asciiTheme="majorHAnsi" w:hAnsiTheme="majorHAnsi" w:cs="Calibri"/>
          <w:snapToGrid w:val="0"/>
          <w:sz w:val="20"/>
          <w:szCs w:val="20"/>
          <w:bdr w:val="none" w:sz="0" w:space="0" w:color="auto"/>
          <w:lang w:val="es-ES"/>
        </w:rPr>
        <w:t>. No obstante, alega que</w:t>
      </w:r>
      <w:r w:rsidR="00BF4D23" w:rsidRPr="00A76683">
        <w:rPr>
          <w:rFonts w:asciiTheme="majorHAnsi" w:hAnsiTheme="majorHAnsi" w:cs="Calibri"/>
          <w:snapToGrid w:val="0"/>
          <w:sz w:val="20"/>
          <w:szCs w:val="20"/>
          <w:bdr w:val="none" w:sz="0" w:space="0" w:color="auto"/>
          <w:lang w:val="es-ES"/>
        </w:rPr>
        <w:t xml:space="preserve"> los peticionarios no han aportado información que permita establecer la presunta pertenencia de</w:t>
      </w:r>
      <w:r w:rsidR="00026E78" w:rsidRPr="00A76683">
        <w:rPr>
          <w:rFonts w:asciiTheme="majorHAnsi" w:hAnsiTheme="majorHAnsi" w:cs="Calibri"/>
          <w:snapToGrid w:val="0"/>
          <w:sz w:val="20"/>
          <w:szCs w:val="20"/>
          <w:bdr w:val="none" w:sz="0" w:space="0" w:color="auto"/>
          <w:lang w:val="es-ES"/>
        </w:rPr>
        <w:t xml:space="preserve"> Francisco Luis Duque Pino, Marta Maria </w:t>
      </w:r>
      <w:r w:rsidR="003252BA" w:rsidRPr="00A76683">
        <w:rPr>
          <w:rFonts w:asciiTheme="majorHAnsi" w:hAnsiTheme="majorHAnsi" w:cs="Calibri"/>
          <w:snapToGrid w:val="0"/>
          <w:sz w:val="20"/>
          <w:szCs w:val="20"/>
          <w:bdr w:val="none" w:sz="0" w:space="0" w:color="auto"/>
          <w:lang w:val="es-ES"/>
        </w:rPr>
        <w:t>López</w:t>
      </w:r>
      <w:r w:rsidR="00026E78" w:rsidRPr="00A76683">
        <w:rPr>
          <w:rFonts w:asciiTheme="majorHAnsi" w:hAnsiTheme="majorHAnsi" w:cs="Calibri"/>
          <w:snapToGrid w:val="0"/>
          <w:sz w:val="20"/>
          <w:szCs w:val="20"/>
          <w:bdr w:val="none" w:sz="0" w:space="0" w:color="auto"/>
          <w:lang w:val="es-ES"/>
        </w:rPr>
        <w:t xml:space="preserve"> Gaviria, Luis Gildardo </w:t>
      </w:r>
      <w:r w:rsidR="003252BA" w:rsidRPr="00A76683">
        <w:rPr>
          <w:rFonts w:asciiTheme="majorHAnsi" w:hAnsiTheme="majorHAnsi" w:cs="Calibri"/>
          <w:snapToGrid w:val="0"/>
          <w:sz w:val="20"/>
          <w:szCs w:val="20"/>
          <w:bdr w:val="none" w:sz="0" w:space="0" w:color="auto"/>
          <w:lang w:val="es-ES"/>
        </w:rPr>
        <w:t>López</w:t>
      </w:r>
      <w:r w:rsidR="00026E78" w:rsidRPr="00A76683">
        <w:rPr>
          <w:rFonts w:asciiTheme="majorHAnsi" w:hAnsiTheme="majorHAnsi" w:cs="Calibri"/>
          <w:snapToGrid w:val="0"/>
          <w:sz w:val="20"/>
          <w:szCs w:val="20"/>
          <w:bdr w:val="none" w:sz="0" w:space="0" w:color="auto"/>
          <w:lang w:val="es-ES"/>
        </w:rPr>
        <w:t xml:space="preserve"> Gaviria, Oscar Duque y Maria Eugenia </w:t>
      </w:r>
      <w:r w:rsidR="003252BA" w:rsidRPr="00A76683">
        <w:rPr>
          <w:rFonts w:asciiTheme="majorHAnsi" w:hAnsiTheme="majorHAnsi" w:cs="Calibri"/>
          <w:snapToGrid w:val="0"/>
          <w:sz w:val="20"/>
          <w:szCs w:val="20"/>
          <w:bdr w:val="none" w:sz="0" w:space="0" w:color="auto"/>
          <w:lang w:val="es-ES"/>
        </w:rPr>
        <w:t>López</w:t>
      </w:r>
      <w:r w:rsidR="00026E78" w:rsidRPr="00A76683">
        <w:rPr>
          <w:rFonts w:asciiTheme="majorHAnsi" w:hAnsiTheme="majorHAnsi" w:cs="Calibri"/>
          <w:snapToGrid w:val="0"/>
          <w:sz w:val="20"/>
          <w:szCs w:val="20"/>
          <w:bdr w:val="none" w:sz="0" w:space="0" w:color="auto"/>
          <w:lang w:val="es-ES"/>
        </w:rPr>
        <w:t xml:space="preserve"> </w:t>
      </w:r>
      <w:r w:rsidR="00BF4D23" w:rsidRPr="00A76683">
        <w:rPr>
          <w:rFonts w:asciiTheme="majorHAnsi" w:hAnsiTheme="majorHAnsi" w:cs="Calibri"/>
          <w:snapToGrid w:val="0"/>
          <w:sz w:val="20"/>
          <w:szCs w:val="20"/>
          <w:bdr w:val="none" w:sz="0" w:space="0" w:color="auto"/>
          <w:lang w:val="es-ES"/>
        </w:rPr>
        <w:t>a la UP</w:t>
      </w:r>
      <w:r w:rsidR="00D728FE" w:rsidRPr="00A76683">
        <w:rPr>
          <w:rFonts w:asciiTheme="majorHAnsi" w:hAnsiTheme="majorHAnsi" w:cs="Calibri"/>
          <w:snapToGrid w:val="0"/>
          <w:sz w:val="20"/>
          <w:szCs w:val="20"/>
          <w:bdr w:val="none" w:sz="0" w:space="0" w:color="auto"/>
          <w:lang w:val="es-ES"/>
        </w:rPr>
        <w:t>,</w:t>
      </w:r>
      <w:r w:rsidR="00156B98" w:rsidRPr="00A76683">
        <w:rPr>
          <w:rFonts w:asciiTheme="majorHAnsi" w:hAnsiTheme="majorHAnsi" w:cs="Calibri"/>
          <w:snapToGrid w:val="0"/>
          <w:sz w:val="20"/>
          <w:szCs w:val="20"/>
          <w:bdr w:val="none" w:sz="0" w:space="0" w:color="auto"/>
          <w:lang w:val="es-ES"/>
        </w:rPr>
        <w:t xml:space="preserve"> y</w:t>
      </w:r>
      <w:r w:rsidR="00F05E19" w:rsidRPr="00A76683">
        <w:rPr>
          <w:rFonts w:asciiTheme="majorHAnsi" w:hAnsiTheme="majorHAnsi" w:cs="Calibri"/>
          <w:snapToGrid w:val="0"/>
          <w:sz w:val="20"/>
          <w:szCs w:val="20"/>
          <w:bdr w:val="none" w:sz="0" w:space="0" w:color="auto"/>
          <w:lang w:val="es-ES"/>
        </w:rPr>
        <w:t xml:space="preserve"> que su pertenencia </w:t>
      </w:r>
      <w:r w:rsidR="00F05E19" w:rsidRPr="00A76683">
        <w:rPr>
          <w:rFonts w:asciiTheme="majorHAnsi" w:hAnsiTheme="majorHAnsi" w:cs="Calibri"/>
          <w:snapToGrid w:val="0"/>
          <w:sz w:val="20"/>
          <w:szCs w:val="20"/>
          <w:bdr w:val="none" w:sz="0" w:space="0" w:color="auto"/>
          <w:lang w:val="es-ES"/>
        </w:rPr>
        <w:lastRenderedPageBreak/>
        <w:t xml:space="preserve">a dicha agrupación política únicamente se encuentra sustentada en la declaración realizada por Maria Eugenia </w:t>
      </w:r>
      <w:r w:rsidR="003252BA" w:rsidRPr="00A76683">
        <w:rPr>
          <w:rFonts w:asciiTheme="majorHAnsi" w:hAnsiTheme="majorHAnsi" w:cs="Calibri"/>
          <w:snapToGrid w:val="0"/>
          <w:sz w:val="20"/>
          <w:szCs w:val="20"/>
          <w:bdr w:val="none" w:sz="0" w:space="0" w:color="auto"/>
          <w:lang w:val="es-ES"/>
        </w:rPr>
        <w:t>López</w:t>
      </w:r>
      <w:r w:rsidR="00F05E19" w:rsidRPr="00A76683">
        <w:rPr>
          <w:rFonts w:asciiTheme="majorHAnsi" w:hAnsiTheme="majorHAnsi" w:cs="Calibri"/>
          <w:snapToGrid w:val="0"/>
          <w:sz w:val="20"/>
          <w:szCs w:val="20"/>
          <w:bdr w:val="none" w:sz="0" w:space="0" w:color="auto"/>
          <w:lang w:val="es-ES"/>
        </w:rPr>
        <w:t xml:space="preserve"> ante la Fiscalía General de la Nación. Alega que</w:t>
      </w:r>
      <w:r w:rsidR="00156B98" w:rsidRPr="00A76683">
        <w:rPr>
          <w:rFonts w:asciiTheme="majorHAnsi" w:hAnsiTheme="majorHAnsi" w:cs="Calibri"/>
          <w:snapToGrid w:val="0"/>
          <w:sz w:val="20"/>
          <w:szCs w:val="20"/>
          <w:bdr w:val="none" w:sz="0" w:space="0" w:color="auto"/>
          <w:lang w:val="es-ES"/>
        </w:rPr>
        <w:t xml:space="preserve"> </w:t>
      </w:r>
      <w:r w:rsidR="00BF4D23" w:rsidRPr="00A76683">
        <w:rPr>
          <w:rFonts w:asciiTheme="majorHAnsi" w:hAnsiTheme="majorHAnsi" w:cs="Calibri"/>
          <w:snapToGrid w:val="0"/>
          <w:sz w:val="20"/>
          <w:szCs w:val="20"/>
          <w:bdr w:val="none" w:sz="0" w:space="0" w:color="auto"/>
          <w:lang w:val="es-ES"/>
        </w:rPr>
        <w:t>po</w:t>
      </w:r>
      <w:r w:rsidR="00156B98" w:rsidRPr="00A76683">
        <w:rPr>
          <w:rFonts w:asciiTheme="majorHAnsi" w:hAnsiTheme="majorHAnsi" w:cs="Calibri"/>
          <w:snapToGrid w:val="0"/>
          <w:sz w:val="20"/>
          <w:szCs w:val="20"/>
          <w:bdr w:val="none" w:sz="0" w:space="0" w:color="auto"/>
          <w:lang w:val="es-ES"/>
        </w:rPr>
        <w:t>r ende no</w:t>
      </w:r>
      <w:r w:rsidR="00BF4D23" w:rsidRPr="00A76683">
        <w:rPr>
          <w:rFonts w:asciiTheme="majorHAnsi" w:hAnsiTheme="majorHAnsi" w:cs="Calibri"/>
          <w:snapToGrid w:val="0"/>
          <w:sz w:val="20"/>
          <w:szCs w:val="20"/>
          <w:bdr w:val="none" w:sz="0" w:space="0" w:color="auto"/>
          <w:lang w:val="es-ES"/>
        </w:rPr>
        <w:t xml:space="preserve"> se puede asumir la</w:t>
      </w:r>
      <w:r w:rsidR="00156B98" w:rsidRPr="00A76683">
        <w:rPr>
          <w:rFonts w:asciiTheme="majorHAnsi" w:hAnsiTheme="majorHAnsi" w:cs="Calibri"/>
          <w:snapToGrid w:val="0"/>
          <w:sz w:val="20"/>
          <w:szCs w:val="20"/>
          <w:bdr w:val="none" w:sz="0" w:space="0" w:color="auto"/>
          <w:lang w:val="es-ES"/>
        </w:rPr>
        <w:t xml:space="preserve"> militan</w:t>
      </w:r>
      <w:r w:rsidR="00BF4D23" w:rsidRPr="00A76683">
        <w:rPr>
          <w:rFonts w:asciiTheme="majorHAnsi" w:hAnsiTheme="majorHAnsi" w:cs="Calibri"/>
          <w:snapToGrid w:val="0"/>
          <w:sz w:val="20"/>
          <w:szCs w:val="20"/>
          <w:bdr w:val="none" w:sz="0" w:space="0" w:color="auto"/>
          <w:lang w:val="es-ES"/>
        </w:rPr>
        <w:t>cia en dicho partido</w:t>
      </w:r>
      <w:r w:rsidR="00706DE6" w:rsidRPr="00A76683">
        <w:rPr>
          <w:rFonts w:asciiTheme="majorHAnsi" w:hAnsiTheme="majorHAnsi" w:cs="Calibri"/>
          <w:snapToGrid w:val="0"/>
          <w:sz w:val="20"/>
          <w:szCs w:val="20"/>
          <w:bdr w:val="none" w:sz="0" w:space="0" w:color="auto"/>
          <w:lang w:val="es-ES"/>
        </w:rPr>
        <w:t xml:space="preserve"> como móvil de la</w:t>
      </w:r>
      <w:r w:rsidR="00156B98" w:rsidRPr="00A76683">
        <w:rPr>
          <w:rFonts w:asciiTheme="majorHAnsi" w:hAnsiTheme="majorHAnsi" w:cs="Calibri"/>
          <w:snapToGrid w:val="0"/>
          <w:sz w:val="20"/>
          <w:szCs w:val="20"/>
          <w:bdr w:val="none" w:sz="0" w:space="0" w:color="auto"/>
          <w:lang w:val="es-ES"/>
        </w:rPr>
        <w:t xml:space="preserve"> presunta </w:t>
      </w:r>
      <w:r w:rsidR="003252BA" w:rsidRPr="00A76683">
        <w:rPr>
          <w:rFonts w:asciiTheme="majorHAnsi" w:hAnsiTheme="majorHAnsi" w:cs="Calibri"/>
          <w:snapToGrid w:val="0"/>
          <w:sz w:val="20"/>
          <w:szCs w:val="20"/>
          <w:bdr w:val="none" w:sz="0" w:space="0" w:color="auto"/>
          <w:lang w:val="es-ES"/>
        </w:rPr>
        <w:t>ejecución</w:t>
      </w:r>
      <w:r w:rsidR="00F05E19" w:rsidRPr="00A76683">
        <w:rPr>
          <w:rFonts w:asciiTheme="majorHAnsi" w:hAnsiTheme="majorHAnsi" w:cs="Calibri"/>
          <w:snapToGrid w:val="0"/>
          <w:sz w:val="20"/>
          <w:szCs w:val="20"/>
          <w:bdr w:val="none" w:sz="0" w:space="0" w:color="auto"/>
          <w:lang w:val="es-ES"/>
        </w:rPr>
        <w:t xml:space="preserve">, </w:t>
      </w:r>
      <w:r w:rsidR="00C73454" w:rsidRPr="00A76683">
        <w:rPr>
          <w:rFonts w:asciiTheme="majorHAnsi" w:hAnsiTheme="majorHAnsi" w:cs="Calibri"/>
          <w:snapToGrid w:val="0"/>
          <w:sz w:val="20"/>
          <w:szCs w:val="20"/>
          <w:bdr w:val="none" w:sz="0" w:space="0" w:color="auto"/>
          <w:lang w:val="es-ES"/>
        </w:rPr>
        <w:t>ni</w:t>
      </w:r>
      <w:r w:rsidR="00F05E19" w:rsidRPr="00A76683">
        <w:rPr>
          <w:rFonts w:asciiTheme="majorHAnsi" w:hAnsiTheme="majorHAnsi" w:cs="Calibri"/>
          <w:snapToGrid w:val="0"/>
          <w:sz w:val="20"/>
          <w:szCs w:val="20"/>
          <w:bdr w:val="none" w:sz="0" w:space="0" w:color="auto"/>
          <w:lang w:val="es-ES"/>
        </w:rPr>
        <w:t xml:space="preserve"> </w:t>
      </w:r>
      <w:r w:rsidR="00593C0D" w:rsidRPr="00A76683">
        <w:rPr>
          <w:rFonts w:asciiTheme="majorHAnsi" w:hAnsiTheme="majorHAnsi" w:cs="Calibri"/>
          <w:snapToGrid w:val="0"/>
          <w:sz w:val="20"/>
          <w:szCs w:val="20"/>
          <w:bdr w:val="none" w:sz="0" w:space="0" w:color="auto"/>
          <w:lang w:val="es-ES"/>
        </w:rPr>
        <w:t>tampoco se podría analizar l</w:t>
      </w:r>
      <w:r w:rsidR="00BF4D23" w:rsidRPr="00A76683">
        <w:rPr>
          <w:rFonts w:asciiTheme="majorHAnsi" w:hAnsiTheme="majorHAnsi" w:cs="Calibri"/>
          <w:snapToGrid w:val="0"/>
          <w:sz w:val="20"/>
          <w:szCs w:val="20"/>
          <w:bdr w:val="none" w:sz="0" w:space="0" w:color="auto"/>
          <w:lang w:val="es-ES"/>
        </w:rPr>
        <w:t>a presunta</w:t>
      </w:r>
      <w:r w:rsidR="00593C0D" w:rsidRPr="00A76683">
        <w:rPr>
          <w:rFonts w:asciiTheme="majorHAnsi" w:hAnsiTheme="majorHAnsi" w:cs="Calibri"/>
          <w:snapToGrid w:val="0"/>
          <w:sz w:val="20"/>
          <w:szCs w:val="20"/>
          <w:bdr w:val="none" w:sz="0" w:space="0" w:color="auto"/>
          <w:lang w:val="es-ES"/>
        </w:rPr>
        <w:t xml:space="preserve"> </w:t>
      </w:r>
      <w:r w:rsidR="00BF4D23" w:rsidRPr="00A76683">
        <w:rPr>
          <w:rFonts w:asciiTheme="majorHAnsi" w:hAnsiTheme="majorHAnsi" w:cs="Calibri"/>
          <w:snapToGrid w:val="0"/>
          <w:sz w:val="20"/>
          <w:szCs w:val="20"/>
          <w:bdr w:val="none" w:sz="0" w:space="0" w:color="auto"/>
          <w:lang w:val="es-ES"/>
        </w:rPr>
        <w:t xml:space="preserve">responsabilidad estatal por dichos hechos, en el supuesto </w:t>
      </w:r>
      <w:r w:rsidR="00593C0D" w:rsidRPr="00A76683">
        <w:rPr>
          <w:rFonts w:asciiTheme="majorHAnsi" w:hAnsiTheme="majorHAnsi" w:cs="Calibri"/>
          <w:snapToGrid w:val="0"/>
          <w:sz w:val="20"/>
          <w:szCs w:val="20"/>
          <w:bdr w:val="none" w:sz="0" w:space="0" w:color="auto"/>
          <w:lang w:val="es-ES"/>
        </w:rPr>
        <w:t>contexto</w:t>
      </w:r>
      <w:r w:rsidR="00BF4D23" w:rsidRPr="00A76683">
        <w:rPr>
          <w:rFonts w:asciiTheme="majorHAnsi" w:hAnsiTheme="majorHAnsi" w:cs="Calibri"/>
          <w:snapToGrid w:val="0"/>
          <w:sz w:val="20"/>
          <w:szCs w:val="20"/>
          <w:bdr w:val="none" w:sz="0" w:space="0" w:color="auto"/>
          <w:lang w:val="es-ES"/>
        </w:rPr>
        <w:t xml:space="preserve"> </w:t>
      </w:r>
      <w:r w:rsidR="00D728FE" w:rsidRPr="00A76683">
        <w:rPr>
          <w:rFonts w:asciiTheme="majorHAnsi" w:hAnsiTheme="majorHAnsi" w:cs="Calibri"/>
          <w:snapToGrid w:val="0"/>
          <w:sz w:val="20"/>
          <w:szCs w:val="20"/>
          <w:bdr w:val="none" w:sz="0" w:space="0" w:color="auto"/>
          <w:lang w:val="es-ES"/>
        </w:rPr>
        <w:t>invocado</w:t>
      </w:r>
      <w:r w:rsidR="00BF4D23" w:rsidRPr="00A76683">
        <w:rPr>
          <w:rFonts w:asciiTheme="majorHAnsi" w:hAnsiTheme="majorHAnsi" w:cs="Calibri"/>
          <w:snapToGrid w:val="0"/>
          <w:sz w:val="20"/>
          <w:szCs w:val="20"/>
          <w:bdr w:val="none" w:sz="0" w:space="0" w:color="auto"/>
          <w:lang w:val="es-ES"/>
        </w:rPr>
        <w:t xml:space="preserve"> por los</w:t>
      </w:r>
      <w:r w:rsidR="00593C0D" w:rsidRPr="00A76683">
        <w:rPr>
          <w:rFonts w:asciiTheme="majorHAnsi" w:hAnsiTheme="majorHAnsi" w:cs="Calibri"/>
          <w:snapToGrid w:val="0"/>
          <w:sz w:val="20"/>
          <w:szCs w:val="20"/>
          <w:bdr w:val="none" w:sz="0" w:space="0" w:color="auto"/>
          <w:lang w:val="es-ES"/>
        </w:rPr>
        <w:t xml:space="preserve"> </w:t>
      </w:r>
      <w:r w:rsidR="00BF4D23" w:rsidRPr="00A76683">
        <w:rPr>
          <w:rFonts w:asciiTheme="majorHAnsi" w:hAnsiTheme="majorHAnsi" w:cs="Calibri"/>
          <w:snapToGrid w:val="0"/>
          <w:sz w:val="20"/>
          <w:szCs w:val="20"/>
          <w:bdr w:val="none" w:sz="0" w:space="0" w:color="auto"/>
          <w:lang w:val="es-ES"/>
        </w:rPr>
        <w:t xml:space="preserve">peticionarios. En este sentido, </w:t>
      </w:r>
      <w:r w:rsidR="00593C0D" w:rsidRPr="00A76683">
        <w:rPr>
          <w:rFonts w:asciiTheme="majorHAnsi" w:hAnsiTheme="majorHAnsi" w:cs="Calibri"/>
          <w:snapToGrid w:val="0"/>
          <w:sz w:val="20"/>
          <w:szCs w:val="20"/>
          <w:bdr w:val="none" w:sz="0" w:space="0" w:color="auto"/>
          <w:lang w:val="es-ES"/>
        </w:rPr>
        <w:t xml:space="preserve">el Estado reitera sus exigencias en </w:t>
      </w:r>
      <w:r w:rsidR="00FC1CE6" w:rsidRPr="00A76683">
        <w:rPr>
          <w:rFonts w:asciiTheme="majorHAnsi" w:hAnsiTheme="majorHAnsi" w:cs="Calibri"/>
          <w:snapToGrid w:val="0"/>
          <w:sz w:val="20"/>
          <w:szCs w:val="20"/>
          <w:bdr w:val="none" w:sz="0" w:space="0" w:color="auto"/>
          <w:lang w:val="es-ES"/>
        </w:rPr>
        <w:t>relación</w:t>
      </w:r>
      <w:r w:rsidR="00593C0D" w:rsidRPr="00A76683">
        <w:rPr>
          <w:rFonts w:asciiTheme="majorHAnsi" w:hAnsiTheme="majorHAnsi" w:cs="Calibri"/>
          <w:snapToGrid w:val="0"/>
          <w:sz w:val="20"/>
          <w:szCs w:val="20"/>
          <w:bdr w:val="none" w:sz="0" w:space="0" w:color="auto"/>
          <w:lang w:val="es-ES"/>
        </w:rPr>
        <w:t xml:space="preserve"> con la prueba de la supuesta militancia en el partido político Unión Patriótica</w:t>
      </w:r>
      <w:r w:rsidR="00F05E19" w:rsidRPr="00A76683">
        <w:rPr>
          <w:rFonts w:asciiTheme="majorHAnsi" w:hAnsiTheme="majorHAnsi" w:cs="Calibri"/>
          <w:snapToGrid w:val="0"/>
          <w:sz w:val="20"/>
          <w:szCs w:val="20"/>
          <w:bdr w:val="none" w:sz="0" w:space="0" w:color="auto"/>
          <w:lang w:val="es-ES"/>
        </w:rPr>
        <w:t>, misma</w:t>
      </w:r>
      <w:r w:rsidR="00C73454" w:rsidRPr="00A76683">
        <w:rPr>
          <w:rFonts w:asciiTheme="majorHAnsi" w:hAnsiTheme="majorHAnsi" w:cs="Calibri"/>
          <w:snapToGrid w:val="0"/>
          <w:sz w:val="20"/>
          <w:szCs w:val="20"/>
          <w:bdr w:val="none" w:sz="0" w:space="0" w:color="auto"/>
          <w:lang w:val="es-ES"/>
        </w:rPr>
        <w:t>s</w:t>
      </w:r>
      <w:r w:rsidR="00593C0D" w:rsidRPr="00A76683">
        <w:rPr>
          <w:rFonts w:asciiTheme="majorHAnsi" w:hAnsiTheme="majorHAnsi" w:cs="Calibri"/>
          <w:snapToGrid w:val="0"/>
          <w:sz w:val="20"/>
          <w:szCs w:val="20"/>
          <w:bdr w:val="none" w:sz="0" w:space="0" w:color="auto"/>
          <w:lang w:val="es-ES"/>
        </w:rPr>
        <w:t xml:space="preserve"> que ha venido manifesta</w:t>
      </w:r>
      <w:r w:rsidR="00F05E19" w:rsidRPr="00A76683">
        <w:rPr>
          <w:rFonts w:asciiTheme="majorHAnsi" w:hAnsiTheme="majorHAnsi" w:cs="Calibri"/>
          <w:snapToGrid w:val="0"/>
          <w:sz w:val="20"/>
          <w:szCs w:val="20"/>
          <w:bdr w:val="none" w:sz="0" w:space="0" w:color="auto"/>
          <w:lang w:val="es-ES"/>
        </w:rPr>
        <w:t>n</w:t>
      </w:r>
      <w:r w:rsidR="00593C0D" w:rsidRPr="00A76683">
        <w:rPr>
          <w:rFonts w:asciiTheme="majorHAnsi" w:hAnsiTheme="majorHAnsi" w:cs="Calibri"/>
          <w:snapToGrid w:val="0"/>
          <w:sz w:val="20"/>
          <w:szCs w:val="20"/>
          <w:bdr w:val="none" w:sz="0" w:space="0" w:color="auto"/>
          <w:lang w:val="es-ES"/>
        </w:rPr>
        <w:t>do ante la CIDH en el caso 11.227 Unión Patriótica, y la</w:t>
      </w:r>
      <w:r w:rsidR="00C73454" w:rsidRPr="00A76683">
        <w:rPr>
          <w:rFonts w:asciiTheme="majorHAnsi" w:hAnsiTheme="majorHAnsi" w:cs="Calibri"/>
          <w:snapToGrid w:val="0"/>
          <w:sz w:val="20"/>
          <w:szCs w:val="20"/>
          <w:bdr w:val="none" w:sz="0" w:space="0" w:color="auto"/>
          <w:lang w:val="es-ES"/>
        </w:rPr>
        <w:t>s</w:t>
      </w:r>
      <w:r w:rsidR="00593C0D" w:rsidRPr="00A76683">
        <w:rPr>
          <w:rFonts w:asciiTheme="majorHAnsi" w:hAnsiTheme="majorHAnsi" w:cs="Calibri"/>
          <w:snapToGrid w:val="0"/>
          <w:sz w:val="20"/>
          <w:szCs w:val="20"/>
          <w:bdr w:val="none" w:sz="0" w:space="0" w:color="auto"/>
          <w:lang w:val="es-ES"/>
        </w:rPr>
        <w:t xml:space="preserve"> extiende a la alegada pertenencia </w:t>
      </w:r>
      <w:r w:rsidR="004964FF" w:rsidRPr="00A76683">
        <w:rPr>
          <w:rFonts w:asciiTheme="majorHAnsi" w:hAnsiTheme="majorHAnsi" w:cs="Calibri"/>
          <w:snapToGrid w:val="0"/>
          <w:sz w:val="20"/>
          <w:szCs w:val="20"/>
          <w:bdr w:val="none" w:sz="0" w:space="0" w:color="auto"/>
          <w:lang w:val="es-ES"/>
        </w:rPr>
        <w:t>a dicho partido de las presuntas víctimas en el presente caso.</w:t>
      </w:r>
    </w:p>
    <w:p w:rsidR="00AE048D" w:rsidRPr="00CF54D9" w:rsidRDefault="00AE048D" w:rsidP="00AE048D">
      <w:pPr>
        <w:jc w:val="both"/>
        <w:rPr>
          <w:rFonts w:asciiTheme="majorHAnsi" w:hAnsiTheme="majorHAnsi" w:cs="Calibri"/>
          <w:snapToGrid w:val="0"/>
          <w:sz w:val="20"/>
          <w:szCs w:val="20"/>
          <w:bdr w:val="none" w:sz="0" w:space="0" w:color="auto"/>
          <w:lang w:val="es-ES"/>
        </w:rPr>
      </w:pPr>
    </w:p>
    <w:p w:rsidR="00AE048D" w:rsidRPr="00A76683" w:rsidRDefault="00181829" w:rsidP="00AE048D">
      <w:pPr>
        <w:pStyle w:val="ListParagraph"/>
        <w:numPr>
          <w:ilvl w:val="0"/>
          <w:numId w:val="55"/>
        </w:numP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color w:val="auto"/>
          <w:sz w:val="20"/>
          <w:szCs w:val="20"/>
          <w:bdr w:val="none" w:sz="0" w:space="0" w:color="auto"/>
          <w:lang w:val="es-ES"/>
        </w:rPr>
        <w:t>El Estado sostiene que la presente petición debe ser declarada inadmisible por no cumplir con el requisito de previo agotamiento de los recursos internos consagrado en el artículo 46.1</w:t>
      </w:r>
      <w:r w:rsidR="00D173DE">
        <w:rPr>
          <w:rFonts w:asciiTheme="majorHAnsi" w:hAnsiTheme="majorHAnsi"/>
          <w:color w:val="auto"/>
          <w:sz w:val="20"/>
          <w:szCs w:val="20"/>
          <w:bdr w:val="none" w:sz="0" w:space="0" w:color="auto"/>
          <w:lang w:val="es-ES"/>
        </w:rPr>
        <w:t>.</w:t>
      </w:r>
      <w:r w:rsidRPr="00A76683">
        <w:rPr>
          <w:rFonts w:asciiTheme="majorHAnsi" w:hAnsiTheme="majorHAnsi"/>
          <w:color w:val="auto"/>
          <w:sz w:val="20"/>
          <w:szCs w:val="20"/>
          <w:bdr w:val="none" w:sz="0" w:space="0" w:color="auto"/>
          <w:lang w:val="es-ES"/>
        </w:rPr>
        <w:t>a de la Convención. Asimismo, estima que serían inaplicables las excepciones al agotamiento de los recursos internos contenidas en el artículo 46.2</w:t>
      </w:r>
      <w:r w:rsidR="00D173DE">
        <w:rPr>
          <w:rFonts w:asciiTheme="majorHAnsi" w:hAnsiTheme="majorHAnsi"/>
          <w:color w:val="auto"/>
          <w:sz w:val="20"/>
          <w:szCs w:val="20"/>
          <w:bdr w:val="none" w:sz="0" w:space="0" w:color="auto"/>
          <w:lang w:val="es-ES"/>
        </w:rPr>
        <w:t>.b</w:t>
      </w:r>
      <w:r w:rsidRPr="00A76683">
        <w:rPr>
          <w:rFonts w:asciiTheme="majorHAnsi" w:hAnsiTheme="majorHAnsi"/>
          <w:color w:val="auto"/>
          <w:sz w:val="20"/>
          <w:szCs w:val="20"/>
          <w:bdr w:val="none" w:sz="0" w:space="0" w:color="auto"/>
          <w:lang w:val="es-ES"/>
        </w:rPr>
        <w:t xml:space="preserve"> y c). </w:t>
      </w:r>
    </w:p>
    <w:p w:rsidR="008E2912" w:rsidRPr="00A76683" w:rsidRDefault="008E2912" w:rsidP="008E2912">
      <w:pPr>
        <w:jc w:val="both"/>
        <w:rPr>
          <w:rFonts w:asciiTheme="majorHAnsi" w:hAnsiTheme="majorHAnsi" w:cs="Calibri"/>
          <w:snapToGrid w:val="0"/>
          <w:sz w:val="20"/>
          <w:szCs w:val="20"/>
          <w:bdr w:val="none" w:sz="0" w:space="0" w:color="auto"/>
          <w:lang w:val="es-ES"/>
        </w:rPr>
      </w:pPr>
    </w:p>
    <w:p w:rsidR="00A16989" w:rsidRPr="00A76683" w:rsidRDefault="00181829" w:rsidP="00A10432">
      <w:pPr>
        <w:pStyle w:val="ListParagraph"/>
        <w:numPr>
          <w:ilvl w:val="0"/>
          <w:numId w:val="55"/>
        </w:numPr>
        <w:ind w:left="0" w:firstLine="720"/>
        <w:jc w:val="both"/>
        <w:rPr>
          <w:rFonts w:asciiTheme="majorHAnsi" w:hAnsiTheme="majorHAnsi"/>
          <w:color w:val="auto"/>
          <w:sz w:val="20"/>
          <w:szCs w:val="20"/>
          <w:bdr w:val="none" w:sz="0" w:space="0" w:color="auto"/>
          <w:lang w:val="es-ES"/>
        </w:rPr>
      </w:pPr>
      <w:r w:rsidRPr="00A76683">
        <w:rPr>
          <w:rFonts w:asciiTheme="majorHAnsi" w:hAnsiTheme="majorHAnsi"/>
          <w:color w:val="auto"/>
          <w:sz w:val="20"/>
          <w:szCs w:val="20"/>
          <w:bdr w:val="none" w:sz="0" w:space="0" w:color="auto"/>
          <w:lang w:val="es-ES"/>
        </w:rPr>
        <w:t>Al respecto señala que a nivel interno existe un proceso penal que se encontraría en etapa de trámite</w:t>
      </w:r>
      <w:r w:rsidR="00A16989" w:rsidRPr="00A76683">
        <w:rPr>
          <w:rFonts w:asciiTheme="majorHAnsi" w:hAnsiTheme="majorHAnsi"/>
          <w:color w:val="auto"/>
          <w:sz w:val="20"/>
          <w:szCs w:val="20"/>
          <w:bdr w:val="none" w:sz="0" w:space="0" w:color="auto"/>
          <w:lang w:val="es-ES"/>
        </w:rPr>
        <w:t>,</w:t>
      </w:r>
      <w:r w:rsidR="00A16989" w:rsidRPr="00A76683">
        <w:rPr>
          <w:rFonts w:asciiTheme="majorHAnsi" w:hAnsiTheme="majorHAnsi"/>
          <w:sz w:val="20"/>
          <w:szCs w:val="20"/>
          <w:lang w:val="es-ES"/>
        </w:rPr>
        <w:t xml:space="preserve"> </w:t>
      </w:r>
      <w:r w:rsidR="00A16989" w:rsidRPr="00A76683">
        <w:rPr>
          <w:rFonts w:asciiTheme="majorHAnsi" w:hAnsiTheme="majorHAnsi"/>
          <w:color w:val="auto"/>
          <w:sz w:val="20"/>
          <w:szCs w:val="20"/>
          <w:bdr w:val="none" w:sz="0" w:space="0" w:color="auto"/>
          <w:lang w:val="es-ES"/>
        </w:rPr>
        <w:t xml:space="preserve">por lo que los peticionarios no habrían agotado la acción penal. Indica que la investigación penal radicada bajo </w:t>
      </w:r>
      <w:r w:rsidR="00707B67" w:rsidRPr="00A76683">
        <w:rPr>
          <w:rFonts w:asciiTheme="majorHAnsi" w:hAnsiTheme="majorHAnsi"/>
          <w:color w:val="auto"/>
          <w:sz w:val="20"/>
          <w:szCs w:val="20"/>
          <w:bdr w:val="none" w:sz="0" w:space="0" w:color="auto"/>
          <w:lang w:val="es-ES"/>
        </w:rPr>
        <w:t>N</w:t>
      </w:r>
      <w:r w:rsidR="004E429A">
        <w:rPr>
          <w:rFonts w:asciiTheme="majorHAnsi" w:hAnsiTheme="majorHAnsi"/>
          <w:color w:val="auto"/>
          <w:sz w:val="20"/>
          <w:szCs w:val="20"/>
          <w:bdr w:val="none" w:sz="0" w:space="0" w:color="auto"/>
          <w:lang w:val="es-ES"/>
        </w:rPr>
        <w:t>o</w:t>
      </w:r>
      <w:r w:rsidR="00707B67" w:rsidRPr="00A76683">
        <w:rPr>
          <w:rFonts w:asciiTheme="majorHAnsi" w:hAnsiTheme="majorHAnsi"/>
          <w:color w:val="auto"/>
          <w:sz w:val="20"/>
          <w:szCs w:val="20"/>
          <w:bdr w:val="none" w:sz="0" w:space="0" w:color="auto"/>
          <w:lang w:val="es-ES"/>
        </w:rPr>
        <w:t xml:space="preserve">. 202 </w:t>
      </w:r>
      <w:r w:rsidR="00A16989" w:rsidRPr="00A76683">
        <w:rPr>
          <w:rFonts w:asciiTheme="majorHAnsi" w:hAnsiTheme="majorHAnsi"/>
          <w:color w:val="auto"/>
          <w:sz w:val="20"/>
          <w:szCs w:val="20"/>
          <w:bdr w:val="none" w:sz="0" w:space="0" w:color="auto"/>
          <w:lang w:val="es-ES"/>
        </w:rPr>
        <w:t>habría sido conocida por diferentes autoridades tanto jurisdiccionales como investigativas que habrían realizado múltiples esfue</w:t>
      </w:r>
      <w:r w:rsidR="003E5732" w:rsidRPr="00A76683">
        <w:rPr>
          <w:rFonts w:asciiTheme="majorHAnsi" w:hAnsiTheme="majorHAnsi"/>
          <w:color w:val="auto"/>
          <w:sz w:val="20"/>
          <w:szCs w:val="20"/>
          <w:bdr w:val="none" w:sz="0" w:space="0" w:color="auto"/>
          <w:lang w:val="es-ES"/>
        </w:rPr>
        <w:t>rzos para esclarecer los hechos</w:t>
      </w:r>
      <w:r w:rsidR="004E429A">
        <w:rPr>
          <w:rFonts w:asciiTheme="majorHAnsi" w:hAnsiTheme="majorHAnsi"/>
          <w:color w:val="auto"/>
          <w:sz w:val="20"/>
          <w:szCs w:val="20"/>
          <w:bdr w:val="none" w:sz="0" w:space="0" w:color="auto"/>
          <w:lang w:val="es-ES"/>
        </w:rPr>
        <w:t>, y hasta la fecha estarían desarrollando actividad probatoria constante</w:t>
      </w:r>
      <w:r w:rsidR="003E5732" w:rsidRPr="00A76683">
        <w:rPr>
          <w:rFonts w:asciiTheme="majorHAnsi" w:hAnsiTheme="majorHAnsi"/>
          <w:color w:val="auto"/>
          <w:sz w:val="20"/>
          <w:szCs w:val="20"/>
          <w:bdr w:val="none" w:sz="0" w:space="0" w:color="auto"/>
          <w:lang w:val="es-ES"/>
        </w:rPr>
        <w:t>.</w:t>
      </w:r>
    </w:p>
    <w:p w:rsidR="00A16989" w:rsidRPr="00A76683" w:rsidRDefault="00A16989" w:rsidP="00A16989">
      <w:pPr>
        <w:pStyle w:val="ListParagraph"/>
        <w:rPr>
          <w:rFonts w:asciiTheme="majorHAnsi" w:hAnsiTheme="majorHAnsi"/>
          <w:color w:val="auto"/>
          <w:sz w:val="20"/>
          <w:szCs w:val="20"/>
          <w:highlight w:val="yellow"/>
          <w:bdr w:val="none" w:sz="0" w:space="0" w:color="auto"/>
          <w:lang w:val="es-ES"/>
        </w:rPr>
      </w:pPr>
    </w:p>
    <w:p w:rsidR="006440F4" w:rsidRPr="00A76683" w:rsidRDefault="00D63FBC" w:rsidP="006440F4">
      <w:pPr>
        <w:pStyle w:val="ListParagraph"/>
        <w:numPr>
          <w:ilvl w:val="0"/>
          <w:numId w:val="55"/>
        </w:numPr>
        <w:ind w:left="0" w:firstLine="720"/>
        <w:jc w:val="both"/>
        <w:rPr>
          <w:rFonts w:asciiTheme="majorHAnsi" w:hAnsiTheme="majorHAnsi"/>
          <w:sz w:val="20"/>
          <w:szCs w:val="20"/>
          <w:bdr w:val="none" w:sz="0" w:space="0" w:color="auto"/>
          <w:lang w:val="es-ES"/>
        </w:rPr>
      </w:pPr>
      <w:r w:rsidRPr="00A76683">
        <w:rPr>
          <w:rFonts w:asciiTheme="majorHAnsi" w:hAnsiTheme="majorHAnsi"/>
          <w:color w:val="auto"/>
          <w:sz w:val="20"/>
          <w:szCs w:val="20"/>
          <w:bdr w:val="none" w:sz="0" w:space="0" w:color="auto"/>
          <w:lang w:val="es-ES"/>
        </w:rPr>
        <w:t xml:space="preserve">Sostiene que las investigaciones se habrían conducido de forma diligente y en un plazo </w:t>
      </w:r>
      <w:r w:rsidR="00BD12AF" w:rsidRPr="00A76683">
        <w:rPr>
          <w:rFonts w:asciiTheme="majorHAnsi" w:hAnsiTheme="majorHAnsi"/>
          <w:color w:val="auto"/>
          <w:sz w:val="20"/>
          <w:szCs w:val="20"/>
          <w:bdr w:val="none" w:sz="0" w:space="0" w:color="auto"/>
          <w:lang w:val="es-ES"/>
        </w:rPr>
        <w:t xml:space="preserve"> r</w:t>
      </w:r>
      <w:r w:rsidRPr="00A76683">
        <w:rPr>
          <w:rFonts w:asciiTheme="majorHAnsi" w:hAnsiTheme="majorHAnsi"/>
          <w:color w:val="auto"/>
          <w:sz w:val="20"/>
          <w:szCs w:val="20"/>
          <w:bdr w:val="none" w:sz="0" w:space="0" w:color="auto"/>
          <w:lang w:val="es-ES"/>
        </w:rPr>
        <w:t>azonable dado la complejidad del caso y teniendo en cuenta que</w:t>
      </w:r>
      <w:r w:rsidR="004E429A">
        <w:rPr>
          <w:rFonts w:asciiTheme="majorHAnsi" w:hAnsiTheme="majorHAnsi"/>
          <w:color w:val="auto"/>
          <w:sz w:val="20"/>
          <w:szCs w:val="20"/>
          <w:bdr w:val="none" w:sz="0" w:space="0" w:color="auto"/>
          <w:lang w:val="es-ES"/>
        </w:rPr>
        <w:t>,</w:t>
      </w:r>
      <w:r w:rsidRPr="00A76683">
        <w:rPr>
          <w:rFonts w:asciiTheme="majorHAnsi" w:hAnsiTheme="majorHAnsi"/>
          <w:color w:val="auto"/>
          <w:sz w:val="20"/>
          <w:szCs w:val="20"/>
          <w:bdr w:val="none" w:sz="0" w:space="0" w:color="auto"/>
          <w:lang w:val="es-ES"/>
        </w:rPr>
        <w:t xml:space="preserve"> </w:t>
      </w:r>
      <w:r w:rsidR="00A10432" w:rsidRPr="00A76683">
        <w:rPr>
          <w:rFonts w:asciiTheme="majorHAnsi" w:hAnsiTheme="majorHAnsi"/>
          <w:sz w:val="20"/>
          <w:szCs w:val="20"/>
          <w:bdr w:val="none" w:sz="0" w:space="0" w:color="auto"/>
          <w:lang w:val="es-ES"/>
        </w:rPr>
        <w:t>en la zona y para la fecha en la que se dieron los hechos, había presencia de grupos armad</w:t>
      </w:r>
      <w:r w:rsidR="00BD12AF" w:rsidRPr="00A76683">
        <w:rPr>
          <w:rFonts w:asciiTheme="majorHAnsi" w:hAnsiTheme="majorHAnsi"/>
          <w:sz w:val="20"/>
          <w:szCs w:val="20"/>
          <w:bdr w:val="none" w:sz="0" w:space="0" w:color="auto"/>
          <w:lang w:val="es-ES"/>
        </w:rPr>
        <w:t>o</w:t>
      </w:r>
      <w:r w:rsidR="00A10432" w:rsidRPr="00A76683">
        <w:rPr>
          <w:rFonts w:asciiTheme="majorHAnsi" w:hAnsiTheme="majorHAnsi"/>
          <w:sz w:val="20"/>
          <w:szCs w:val="20"/>
          <w:bdr w:val="none" w:sz="0" w:space="0" w:color="auto"/>
          <w:lang w:val="es-ES"/>
        </w:rPr>
        <w:t>s al margen de la ley como las FARC y las autodefensas</w:t>
      </w:r>
      <w:r w:rsidR="00BD12AF" w:rsidRPr="00A76683">
        <w:rPr>
          <w:rFonts w:asciiTheme="majorHAnsi" w:hAnsiTheme="majorHAnsi"/>
          <w:sz w:val="20"/>
          <w:szCs w:val="20"/>
          <w:bdr w:val="none" w:sz="0" w:space="0" w:color="auto"/>
          <w:lang w:val="es-ES"/>
        </w:rPr>
        <w:t>,</w:t>
      </w:r>
      <w:r w:rsidR="00A10432" w:rsidRPr="00A76683">
        <w:rPr>
          <w:rFonts w:asciiTheme="majorHAnsi" w:hAnsiTheme="majorHAnsi"/>
          <w:sz w:val="20"/>
          <w:szCs w:val="20"/>
          <w:bdr w:val="none" w:sz="0" w:space="0" w:color="auto"/>
          <w:lang w:val="es-ES"/>
        </w:rPr>
        <w:t xml:space="preserve"> y</w:t>
      </w:r>
      <w:r w:rsidR="00A10432" w:rsidRPr="00A76683">
        <w:rPr>
          <w:rFonts w:asciiTheme="majorHAnsi" w:hAnsiTheme="majorHAnsi"/>
          <w:i/>
          <w:iCs/>
          <w:sz w:val="20"/>
          <w:szCs w:val="20"/>
          <w:bdr w:val="none" w:sz="0" w:space="0" w:color="auto"/>
          <w:lang w:val="es-ES"/>
        </w:rPr>
        <w:t xml:space="preserve"> </w:t>
      </w:r>
      <w:r w:rsidR="00A10432" w:rsidRPr="00A76683">
        <w:rPr>
          <w:rFonts w:asciiTheme="majorHAnsi" w:hAnsiTheme="majorHAnsi"/>
          <w:sz w:val="20"/>
          <w:szCs w:val="20"/>
          <w:bdr w:val="none" w:sz="0" w:space="0" w:color="auto"/>
          <w:lang w:val="es-ES"/>
        </w:rPr>
        <w:t xml:space="preserve">a la luz de la plataforma fáctica presentada </w:t>
      </w:r>
      <w:r w:rsidR="00BD12AF" w:rsidRPr="00A76683">
        <w:rPr>
          <w:rFonts w:asciiTheme="majorHAnsi" w:hAnsiTheme="majorHAnsi"/>
          <w:sz w:val="20"/>
          <w:szCs w:val="20"/>
          <w:bdr w:val="none" w:sz="0" w:space="0" w:color="auto"/>
          <w:lang w:val="es-ES"/>
        </w:rPr>
        <w:t>habría</w:t>
      </w:r>
      <w:r w:rsidR="00A10432" w:rsidRPr="00A76683">
        <w:rPr>
          <w:rFonts w:asciiTheme="majorHAnsi" w:hAnsiTheme="majorHAnsi"/>
          <w:sz w:val="20"/>
          <w:szCs w:val="20"/>
          <w:bdr w:val="none" w:sz="0" w:space="0" w:color="auto"/>
          <w:lang w:val="es-ES"/>
        </w:rPr>
        <w:t xml:space="preserve"> sido imposible hasta el momento dilucidar que actor armad</w:t>
      </w:r>
      <w:r w:rsidR="00BD12AF" w:rsidRPr="00A76683">
        <w:rPr>
          <w:rFonts w:asciiTheme="majorHAnsi" w:hAnsiTheme="majorHAnsi"/>
          <w:sz w:val="20"/>
          <w:szCs w:val="20"/>
          <w:bdr w:val="none" w:sz="0" w:space="0" w:color="auto"/>
          <w:lang w:val="es-ES"/>
        </w:rPr>
        <w:t>o</w:t>
      </w:r>
      <w:r w:rsidR="00A10432" w:rsidRPr="00A76683">
        <w:rPr>
          <w:rFonts w:asciiTheme="majorHAnsi" w:hAnsiTheme="majorHAnsi"/>
          <w:sz w:val="20"/>
          <w:szCs w:val="20"/>
          <w:bdr w:val="none" w:sz="0" w:space="0" w:color="auto"/>
          <w:lang w:val="es-ES"/>
        </w:rPr>
        <w:t xml:space="preserve"> pudo haber efectuado el ataque.</w:t>
      </w:r>
    </w:p>
    <w:p w:rsidR="006440F4" w:rsidRPr="00A76683" w:rsidRDefault="006440F4" w:rsidP="006440F4">
      <w:pPr>
        <w:pStyle w:val="ListParagraph"/>
        <w:rPr>
          <w:rFonts w:asciiTheme="majorHAnsi" w:hAnsiTheme="majorHAnsi"/>
          <w:sz w:val="20"/>
          <w:szCs w:val="20"/>
          <w:bdr w:val="none" w:sz="0" w:space="0" w:color="auto"/>
          <w:lang w:val="es-AR"/>
        </w:rPr>
      </w:pPr>
    </w:p>
    <w:p w:rsidR="00651D23" w:rsidRPr="00A76683" w:rsidRDefault="00181829" w:rsidP="006440F4">
      <w:pPr>
        <w:pStyle w:val="ListParagraph"/>
        <w:numPr>
          <w:ilvl w:val="0"/>
          <w:numId w:val="55"/>
        </w:numPr>
        <w:ind w:left="0" w:firstLine="720"/>
        <w:jc w:val="both"/>
        <w:rPr>
          <w:rFonts w:asciiTheme="majorHAnsi" w:hAnsiTheme="majorHAnsi"/>
          <w:sz w:val="20"/>
          <w:szCs w:val="20"/>
          <w:bdr w:val="none" w:sz="0" w:space="0" w:color="auto"/>
          <w:lang w:val="es-ES"/>
        </w:rPr>
      </w:pPr>
      <w:r w:rsidRPr="00A76683">
        <w:rPr>
          <w:rFonts w:asciiTheme="majorHAnsi" w:hAnsiTheme="majorHAnsi"/>
          <w:sz w:val="20"/>
          <w:szCs w:val="20"/>
          <w:bdr w:val="none" w:sz="0" w:space="0" w:color="auto"/>
          <w:lang w:val="es-AR"/>
        </w:rPr>
        <w:t xml:space="preserve">Alega que en caso de que </w:t>
      </w:r>
      <w:r w:rsidR="00641AFF" w:rsidRPr="00A76683">
        <w:rPr>
          <w:rFonts w:asciiTheme="majorHAnsi" w:hAnsiTheme="majorHAnsi"/>
          <w:sz w:val="20"/>
          <w:szCs w:val="20"/>
          <w:bdr w:val="none" w:sz="0" w:space="0" w:color="auto"/>
          <w:lang w:val="es-AR"/>
        </w:rPr>
        <w:t>los</w:t>
      </w:r>
      <w:r w:rsidRPr="00A76683">
        <w:rPr>
          <w:rFonts w:asciiTheme="majorHAnsi" w:hAnsiTheme="majorHAnsi"/>
          <w:sz w:val="20"/>
          <w:szCs w:val="20"/>
          <w:bdr w:val="none" w:sz="0" w:space="0" w:color="auto"/>
          <w:lang w:val="es-AR"/>
        </w:rPr>
        <w:t xml:space="preserve"> peticionario</w:t>
      </w:r>
      <w:r w:rsidR="00641AFF" w:rsidRPr="00A76683">
        <w:rPr>
          <w:rFonts w:asciiTheme="majorHAnsi" w:hAnsiTheme="majorHAnsi"/>
          <w:sz w:val="20"/>
          <w:szCs w:val="20"/>
          <w:bdr w:val="none" w:sz="0" w:space="0" w:color="auto"/>
          <w:lang w:val="es-AR"/>
        </w:rPr>
        <w:t>s</w:t>
      </w:r>
      <w:r w:rsidRPr="00A76683">
        <w:rPr>
          <w:rFonts w:asciiTheme="majorHAnsi" w:hAnsiTheme="majorHAnsi"/>
          <w:sz w:val="20"/>
          <w:szCs w:val="20"/>
          <w:bdr w:val="none" w:sz="0" w:space="0" w:color="auto"/>
          <w:lang w:val="es-AR"/>
        </w:rPr>
        <w:t xml:space="preserve"> considerara</w:t>
      </w:r>
      <w:r w:rsidR="00641AFF" w:rsidRPr="00A76683">
        <w:rPr>
          <w:rFonts w:asciiTheme="majorHAnsi" w:hAnsiTheme="majorHAnsi"/>
          <w:sz w:val="20"/>
          <w:szCs w:val="20"/>
          <w:bdr w:val="none" w:sz="0" w:space="0" w:color="auto"/>
          <w:lang w:val="es-AR"/>
        </w:rPr>
        <w:t>n</w:t>
      </w:r>
      <w:r w:rsidRPr="00A76683">
        <w:rPr>
          <w:rFonts w:asciiTheme="majorHAnsi" w:hAnsiTheme="majorHAnsi"/>
          <w:sz w:val="20"/>
          <w:szCs w:val="20"/>
          <w:bdr w:val="none" w:sz="0" w:space="0" w:color="auto"/>
          <w:lang w:val="es-AR"/>
        </w:rPr>
        <w:t xml:space="preserve"> que se encontraba comprometida la responsabilidad de agentes estatales debi</w:t>
      </w:r>
      <w:r w:rsidR="00641AFF" w:rsidRPr="00A76683">
        <w:rPr>
          <w:rFonts w:asciiTheme="majorHAnsi" w:hAnsiTheme="majorHAnsi"/>
          <w:sz w:val="20"/>
          <w:szCs w:val="20"/>
          <w:bdr w:val="none" w:sz="0" w:space="0" w:color="auto"/>
          <w:lang w:val="es-AR"/>
        </w:rPr>
        <w:t>eron</w:t>
      </w:r>
      <w:r w:rsidRPr="00A76683">
        <w:rPr>
          <w:rFonts w:asciiTheme="majorHAnsi" w:hAnsiTheme="majorHAnsi"/>
          <w:sz w:val="20"/>
          <w:szCs w:val="20"/>
          <w:bdr w:val="none" w:sz="0" w:space="0" w:color="auto"/>
          <w:lang w:val="es-AR"/>
        </w:rPr>
        <w:t xml:space="preserve"> haber interpuesto una acción de reparación directa en la jurisdicción contencioso administrativa</w:t>
      </w:r>
      <w:r w:rsidR="00FC1CE6" w:rsidRPr="00A76683">
        <w:rPr>
          <w:rFonts w:asciiTheme="majorHAnsi" w:hAnsiTheme="majorHAnsi"/>
          <w:sz w:val="20"/>
          <w:szCs w:val="20"/>
          <w:bdr w:val="none" w:sz="0" w:space="0" w:color="auto"/>
          <w:lang w:val="es-AR"/>
        </w:rPr>
        <w:t>, por lo que</w:t>
      </w:r>
      <w:r w:rsidRPr="00A76683">
        <w:rPr>
          <w:rFonts w:asciiTheme="majorHAnsi" w:hAnsiTheme="majorHAnsi"/>
          <w:sz w:val="20"/>
          <w:szCs w:val="20"/>
          <w:bdr w:val="none" w:sz="0" w:space="0" w:color="auto"/>
          <w:lang w:val="es-AR"/>
        </w:rPr>
        <w:t xml:space="preserve"> solicita a la Comisión que no admita los reclamos de</w:t>
      </w:r>
      <w:r w:rsidR="00FC1CE6" w:rsidRPr="00A76683">
        <w:rPr>
          <w:rFonts w:asciiTheme="majorHAnsi" w:hAnsiTheme="majorHAnsi"/>
          <w:sz w:val="20"/>
          <w:szCs w:val="20"/>
          <w:bdr w:val="none" w:sz="0" w:space="0" w:color="auto"/>
          <w:lang w:val="es-AR"/>
        </w:rPr>
        <w:t xml:space="preserve"> los</w:t>
      </w:r>
      <w:r w:rsidRPr="00A76683">
        <w:rPr>
          <w:rFonts w:asciiTheme="majorHAnsi" w:hAnsiTheme="majorHAnsi"/>
          <w:sz w:val="20"/>
          <w:szCs w:val="20"/>
          <w:bdr w:val="none" w:sz="0" w:space="0" w:color="auto"/>
          <w:lang w:val="es-AR"/>
        </w:rPr>
        <w:t xml:space="preserve"> peticionario</w:t>
      </w:r>
      <w:r w:rsidR="00FC1CE6" w:rsidRPr="00A76683">
        <w:rPr>
          <w:rFonts w:asciiTheme="majorHAnsi" w:hAnsiTheme="majorHAnsi"/>
          <w:sz w:val="20"/>
          <w:szCs w:val="20"/>
          <w:bdr w:val="none" w:sz="0" w:space="0" w:color="auto"/>
          <w:lang w:val="es-AR"/>
        </w:rPr>
        <w:t>s</w:t>
      </w:r>
      <w:r w:rsidRPr="00A76683">
        <w:rPr>
          <w:rFonts w:asciiTheme="majorHAnsi" w:hAnsiTheme="majorHAnsi"/>
          <w:sz w:val="20"/>
          <w:szCs w:val="20"/>
          <w:bdr w:val="none" w:sz="0" w:space="0" w:color="auto"/>
          <w:lang w:val="es-AR"/>
        </w:rPr>
        <w:t xml:space="preserve"> relativos a la reparación por daños materiales e inmateriales, por no haberse interpuesto la acción de reparación directa a nivel interno.</w:t>
      </w:r>
    </w:p>
    <w:p w:rsidR="00651D23" w:rsidRPr="00A76683" w:rsidRDefault="00651D23" w:rsidP="00651D23">
      <w:pPr>
        <w:rPr>
          <w:rFonts w:asciiTheme="majorHAnsi" w:hAnsiTheme="majorHAnsi"/>
          <w:sz w:val="20"/>
          <w:szCs w:val="20"/>
          <w:bdr w:val="none" w:sz="0" w:space="0" w:color="auto"/>
          <w:lang w:val="es-ES"/>
        </w:rPr>
      </w:pPr>
    </w:p>
    <w:p w:rsidR="00F55693" w:rsidRPr="00A76683" w:rsidRDefault="00181829" w:rsidP="00707B67">
      <w:pPr>
        <w:pStyle w:val="ListParagraph"/>
        <w:numPr>
          <w:ilvl w:val="0"/>
          <w:numId w:val="55"/>
        </w:numPr>
        <w:ind w:left="0" w:firstLine="720"/>
        <w:jc w:val="both"/>
        <w:rPr>
          <w:rFonts w:asciiTheme="majorHAnsi" w:hAnsiTheme="majorHAnsi"/>
          <w:sz w:val="20"/>
          <w:szCs w:val="20"/>
          <w:bdr w:val="none" w:sz="0" w:space="0" w:color="auto"/>
          <w:lang w:val="es-ES"/>
        </w:rPr>
      </w:pPr>
      <w:r w:rsidRPr="00A76683">
        <w:rPr>
          <w:rFonts w:asciiTheme="majorHAnsi" w:hAnsiTheme="majorHAnsi"/>
          <w:color w:val="auto"/>
          <w:sz w:val="20"/>
          <w:szCs w:val="20"/>
          <w:bdr w:val="none" w:sz="0" w:space="0" w:color="auto"/>
          <w:lang w:val="es-ES"/>
        </w:rPr>
        <w:t>En cuanto a la actividad de las autoridades judiciales</w:t>
      </w:r>
      <w:r w:rsidR="00020DD5" w:rsidRPr="00A76683">
        <w:rPr>
          <w:rFonts w:asciiTheme="majorHAnsi" w:hAnsiTheme="majorHAnsi"/>
          <w:color w:val="auto"/>
          <w:sz w:val="20"/>
          <w:szCs w:val="20"/>
          <w:bdr w:val="none" w:sz="0" w:space="0" w:color="auto"/>
          <w:lang w:val="es-ES"/>
        </w:rPr>
        <w:t>,</w:t>
      </w:r>
      <w:r w:rsidRPr="00A76683">
        <w:rPr>
          <w:rFonts w:asciiTheme="majorHAnsi" w:hAnsiTheme="majorHAnsi"/>
          <w:color w:val="auto"/>
          <w:sz w:val="20"/>
          <w:szCs w:val="20"/>
          <w:bdr w:val="none" w:sz="0" w:space="0" w:color="auto"/>
          <w:lang w:val="es-ES"/>
        </w:rPr>
        <w:t xml:space="preserve"> señala que tanto en el proceso penal como en el disciplinario se habría</w:t>
      </w:r>
      <w:r w:rsidR="009D68F2" w:rsidRPr="00A76683">
        <w:rPr>
          <w:rFonts w:asciiTheme="majorHAnsi" w:hAnsiTheme="majorHAnsi"/>
          <w:sz w:val="20"/>
          <w:szCs w:val="20"/>
          <w:bdr w:val="none" w:sz="0" w:space="0" w:color="auto"/>
          <w:lang w:val="es-ES"/>
        </w:rPr>
        <w:t>n llevado a cabo un gran número de diligencias</w:t>
      </w:r>
      <w:r w:rsidRPr="00A76683">
        <w:rPr>
          <w:rFonts w:asciiTheme="majorHAnsi" w:hAnsiTheme="majorHAnsi"/>
          <w:color w:val="auto"/>
          <w:sz w:val="20"/>
          <w:szCs w:val="20"/>
          <w:bdr w:val="none" w:sz="0" w:space="0" w:color="auto"/>
          <w:lang w:val="es-ES"/>
        </w:rPr>
        <w:t xml:space="preserve"> encaminadas </w:t>
      </w:r>
      <w:r w:rsidR="00717013" w:rsidRPr="00A76683">
        <w:rPr>
          <w:rFonts w:asciiTheme="majorHAnsi" w:hAnsiTheme="majorHAnsi"/>
          <w:color w:val="auto"/>
          <w:sz w:val="20"/>
          <w:szCs w:val="20"/>
          <w:bdr w:val="none" w:sz="0" w:space="0" w:color="auto"/>
          <w:lang w:val="es-ES"/>
        </w:rPr>
        <w:t xml:space="preserve">a esclarecer los hechos. </w:t>
      </w:r>
      <w:r w:rsidRPr="00A76683">
        <w:rPr>
          <w:rFonts w:asciiTheme="majorHAnsi" w:hAnsiTheme="majorHAnsi"/>
          <w:color w:val="auto"/>
          <w:sz w:val="20"/>
          <w:szCs w:val="20"/>
          <w:bdr w:val="none" w:sz="0" w:space="0" w:color="auto"/>
          <w:lang w:val="es-ES"/>
        </w:rPr>
        <w:t xml:space="preserve">Sostiene que a pesar de la </w:t>
      </w:r>
      <w:r w:rsidR="009D68F2" w:rsidRPr="00A76683">
        <w:rPr>
          <w:rFonts w:asciiTheme="majorHAnsi" w:hAnsiTheme="majorHAnsi"/>
          <w:color w:val="auto"/>
          <w:sz w:val="20"/>
          <w:szCs w:val="20"/>
          <w:bdr w:val="none" w:sz="0" w:space="0" w:color="auto"/>
          <w:lang w:val="es-ES"/>
        </w:rPr>
        <w:t xml:space="preserve">intensa actividad </w:t>
      </w:r>
      <w:r w:rsidR="009D68F2" w:rsidRPr="00A76683">
        <w:rPr>
          <w:rFonts w:asciiTheme="majorHAnsi" w:hAnsiTheme="majorHAnsi"/>
          <w:sz w:val="20"/>
          <w:szCs w:val="20"/>
          <w:bdr w:val="none" w:sz="0" w:space="0" w:color="auto"/>
          <w:lang w:val="es-ES"/>
        </w:rPr>
        <w:t>investigativa desplegada</w:t>
      </w:r>
      <w:r w:rsidR="00020DD5" w:rsidRPr="00A76683">
        <w:rPr>
          <w:rFonts w:asciiTheme="majorHAnsi" w:hAnsiTheme="majorHAnsi"/>
          <w:sz w:val="20"/>
          <w:szCs w:val="20"/>
          <w:bdr w:val="none" w:sz="0" w:space="0" w:color="auto"/>
          <w:lang w:val="es-ES"/>
        </w:rPr>
        <w:t xml:space="preserve"> </w:t>
      </w:r>
      <w:r w:rsidR="00020DD5" w:rsidRPr="00A76683">
        <w:rPr>
          <w:rFonts w:asciiTheme="majorHAnsi" w:hAnsiTheme="majorHAnsi"/>
          <w:color w:val="auto"/>
          <w:sz w:val="20"/>
          <w:szCs w:val="20"/>
          <w:bdr w:val="none" w:sz="0" w:space="0" w:color="auto"/>
          <w:lang w:val="es-ES"/>
        </w:rPr>
        <w:t>-enumera una larga lista de diligencias desarrolladas-</w:t>
      </w:r>
      <w:r w:rsidRPr="00A76683">
        <w:rPr>
          <w:rFonts w:asciiTheme="majorHAnsi" w:hAnsiTheme="majorHAnsi"/>
          <w:color w:val="auto"/>
          <w:sz w:val="20"/>
          <w:szCs w:val="20"/>
          <w:bdr w:val="none" w:sz="0" w:space="0" w:color="auto"/>
          <w:lang w:val="es-ES"/>
        </w:rPr>
        <w:t xml:space="preserve">, no se habrían conseguido pruebas conducentes que permitiesen establecer </w:t>
      </w:r>
      <w:r w:rsidR="00717013" w:rsidRPr="00A76683">
        <w:rPr>
          <w:rFonts w:asciiTheme="majorHAnsi" w:hAnsiTheme="majorHAnsi"/>
          <w:color w:val="auto"/>
          <w:sz w:val="20"/>
          <w:szCs w:val="20"/>
          <w:bdr w:val="none" w:sz="0" w:space="0" w:color="auto"/>
          <w:lang w:val="es-ES"/>
        </w:rPr>
        <w:t xml:space="preserve">los autores de la </w:t>
      </w:r>
      <w:r w:rsidR="008E2912" w:rsidRPr="00A76683">
        <w:rPr>
          <w:rFonts w:asciiTheme="majorHAnsi" w:hAnsiTheme="majorHAnsi"/>
          <w:color w:val="auto"/>
          <w:sz w:val="20"/>
          <w:szCs w:val="20"/>
          <w:bdr w:val="none" w:sz="0" w:space="0" w:color="auto"/>
          <w:lang w:val="es-ES"/>
        </w:rPr>
        <w:t>masacre</w:t>
      </w:r>
      <w:r w:rsidR="00717013" w:rsidRPr="00A76683">
        <w:rPr>
          <w:rFonts w:asciiTheme="majorHAnsi" w:hAnsiTheme="majorHAnsi"/>
          <w:color w:val="auto"/>
          <w:sz w:val="20"/>
          <w:szCs w:val="20"/>
          <w:bdr w:val="none" w:sz="0" w:space="0" w:color="auto"/>
          <w:lang w:val="es-ES"/>
        </w:rPr>
        <w:t xml:space="preserve"> de las presuntas víctimas</w:t>
      </w:r>
      <w:r w:rsidRPr="00A76683">
        <w:rPr>
          <w:rFonts w:asciiTheme="majorHAnsi" w:hAnsiTheme="majorHAnsi"/>
          <w:color w:val="auto"/>
          <w:sz w:val="20"/>
          <w:szCs w:val="20"/>
          <w:bdr w:val="none" w:sz="0" w:space="0" w:color="auto"/>
          <w:lang w:val="es-ES"/>
        </w:rPr>
        <w:t>.</w:t>
      </w:r>
      <w:r w:rsidR="00707B67" w:rsidRPr="00A76683">
        <w:rPr>
          <w:rFonts w:asciiTheme="majorHAnsi" w:hAnsiTheme="majorHAnsi"/>
          <w:color w:val="auto"/>
          <w:sz w:val="20"/>
          <w:szCs w:val="20"/>
          <w:bdr w:val="none" w:sz="0" w:space="0" w:color="auto"/>
          <w:lang w:val="es-ES"/>
        </w:rPr>
        <w:t xml:space="preserve"> </w:t>
      </w:r>
    </w:p>
    <w:p w:rsidR="00F55693" w:rsidRPr="00A76683" w:rsidRDefault="00F55693" w:rsidP="00F55693">
      <w:pPr>
        <w:rPr>
          <w:rFonts w:asciiTheme="majorHAnsi" w:hAnsiTheme="majorHAnsi"/>
          <w:sz w:val="20"/>
          <w:szCs w:val="20"/>
          <w:bdr w:val="none" w:sz="0" w:space="0" w:color="auto"/>
          <w:lang w:val="es-ES"/>
        </w:rPr>
      </w:pPr>
    </w:p>
    <w:p w:rsidR="00181829" w:rsidRPr="00A76683" w:rsidRDefault="00864692" w:rsidP="00F52B70">
      <w:pPr>
        <w:pStyle w:val="ListParagraph"/>
        <w:numPr>
          <w:ilvl w:val="0"/>
          <w:numId w:val="55"/>
        </w:numP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sz w:val="20"/>
          <w:szCs w:val="20"/>
          <w:bdr w:val="none" w:sz="0" w:space="0" w:color="auto"/>
          <w:lang w:val="es-ES"/>
        </w:rPr>
        <w:t xml:space="preserve">Adicionalmente aduce que la </w:t>
      </w:r>
      <w:r w:rsidR="00743A8D" w:rsidRPr="00A76683">
        <w:rPr>
          <w:rFonts w:asciiTheme="majorHAnsi" w:hAnsiTheme="majorHAnsi"/>
          <w:sz w:val="20"/>
          <w:szCs w:val="20"/>
          <w:bdr w:val="none" w:sz="0" w:space="0" w:color="auto"/>
          <w:lang w:val="es-ES"/>
        </w:rPr>
        <w:t>ejecución</w:t>
      </w:r>
      <w:r w:rsidR="00181829" w:rsidRPr="00A76683">
        <w:rPr>
          <w:rFonts w:asciiTheme="majorHAnsi" w:hAnsiTheme="majorHAnsi"/>
          <w:sz w:val="20"/>
          <w:szCs w:val="20"/>
          <w:bdr w:val="none" w:sz="0" w:space="0" w:color="auto"/>
          <w:lang w:val="es-ES"/>
        </w:rPr>
        <w:t xml:space="preserve"> de</w:t>
      </w:r>
      <w:r w:rsidR="004452F3" w:rsidRPr="00A76683">
        <w:rPr>
          <w:rFonts w:asciiTheme="majorHAnsi" w:hAnsiTheme="majorHAnsi"/>
          <w:sz w:val="20"/>
          <w:szCs w:val="20"/>
          <w:bdr w:val="none" w:sz="0" w:space="0" w:color="auto"/>
          <w:lang w:val="es-ES"/>
        </w:rPr>
        <w:t xml:space="preserve"> las presuntas </w:t>
      </w:r>
      <w:r w:rsidR="00717013" w:rsidRPr="00A76683">
        <w:rPr>
          <w:rFonts w:asciiTheme="majorHAnsi" w:hAnsiTheme="majorHAnsi"/>
          <w:sz w:val="20"/>
          <w:szCs w:val="20"/>
          <w:bdr w:val="none" w:sz="0" w:space="0" w:color="auto"/>
          <w:lang w:val="es-ES"/>
        </w:rPr>
        <w:t>víctimas</w:t>
      </w:r>
      <w:r w:rsidR="00181829" w:rsidRPr="00A76683">
        <w:rPr>
          <w:rFonts w:asciiTheme="majorHAnsi" w:hAnsiTheme="majorHAnsi"/>
          <w:sz w:val="20"/>
          <w:szCs w:val="20"/>
          <w:bdr w:val="none" w:sz="0" w:space="0" w:color="auto"/>
          <w:lang w:val="es-ES"/>
        </w:rPr>
        <w:t xml:space="preserve"> no caracterizaría una violación a la Convención. Señala que este hecho no le sería imputable al Estado ya que hasta el momento no existiría prueba que vincule a miembros de la autorida</w:t>
      </w:r>
      <w:r w:rsidR="00BE67AA" w:rsidRPr="00A76683">
        <w:rPr>
          <w:rFonts w:asciiTheme="majorHAnsi" w:hAnsiTheme="majorHAnsi"/>
          <w:sz w:val="20"/>
          <w:szCs w:val="20"/>
          <w:bdr w:val="none" w:sz="0" w:space="0" w:color="auto"/>
          <w:lang w:val="es-ES"/>
        </w:rPr>
        <w:t xml:space="preserve">d pública del Estado colombiano, ya sea por </w:t>
      </w:r>
      <w:r w:rsidR="009E7797" w:rsidRPr="00A76683">
        <w:rPr>
          <w:rFonts w:asciiTheme="majorHAnsi" w:hAnsiTheme="majorHAnsi"/>
          <w:sz w:val="20"/>
          <w:szCs w:val="20"/>
          <w:bdr w:val="none" w:sz="0" w:space="0" w:color="auto"/>
          <w:lang w:val="es-ES"/>
        </w:rPr>
        <w:t>acción</w:t>
      </w:r>
      <w:r w:rsidR="00BE67AA" w:rsidRPr="00A76683">
        <w:rPr>
          <w:rFonts w:asciiTheme="majorHAnsi" w:hAnsiTheme="majorHAnsi"/>
          <w:sz w:val="20"/>
          <w:szCs w:val="20"/>
          <w:bdr w:val="none" w:sz="0" w:space="0" w:color="auto"/>
          <w:lang w:val="es-ES"/>
        </w:rPr>
        <w:t xml:space="preserve"> u omisión, </w:t>
      </w:r>
      <w:r w:rsidR="00181829" w:rsidRPr="00A76683">
        <w:rPr>
          <w:rFonts w:asciiTheme="majorHAnsi" w:hAnsiTheme="majorHAnsi"/>
          <w:sz w:val="20"/>
          <w:szCs w:val="20"/>
          <w:bdr w:val="none" w:sz="0" w:space="0" w:color="auto"/>
          <w:lang w:val="es-ES"/>
        </w:rPr>
        <w:t xml:space="preserve">con </w:t>
      </w:r>
      <w:r w:rsidR="000F63B2" w:rsidRPr="00A76683">
        <w:rPr>
          <w:rFonts w:asciiTheme="majorHAnsi" w:hAnsiTheme="majorHAnsi"/>
          <w:sz w:val="20"/>
          <w:szCs w:val="20"/>
          <w:bdr w:val="none" w:sz="0" w:space="0" w:color="auto"/>
          <w:lang w:val="es-ES"/>
        </w:rPr>
        <w:t>la presunta masacre</w:t>
      </w:r>
      <w:r w:rsidR="006533BE" w:rsidRPr="00A76683">
        <w:rPr>
          <w:rFonts w:asciiTheme="majorHAnsi" w:hAnsiTheme="majorHAnsi"/>
          <w:sz w:val="20"/>
          <w:szCs w:val="20"/>
          <w:bdr w:val="none" w:sz="0" w:space="0" w:color="auto"/>
          <w:lang w:val="es-ES"/>
        </w:rPr>
        <w:t>.</w:t>
      </w:r>
      <w:r w:rsidR="00743A8D" w:rsidRPr="00A76683">
        <w:rPr>
          <w:rFonts w:asciiTheme="majorHAnsi" w:hAnsiTheme="majorHAnsi"/>
          <w:sz w:val="20"/>
          <w:szCs w:val="20"/>
          <w:bdr w:val="none" w:sz="0" w:space="0" w:color="auto"/>
          <w:lang w:val="es-ES"/>
        </w:rPr>
        <w:t xml:space="preserve"> Agrega</w:t>
      </w:r>
      <w:r w:rsidRPr="00A76683">
        <w:rPr>
          <w:rFonts w:asciiTheme="majorHAnsi" w:hAnsiTheme="majorHAnsi"/>
          <w:sz w:val="20"/>
          <w:szCs w:val="20"/>
          <w:bdr w:val="none" w:sz="0" w:space="0" w:color="auto"/>
          <w:lang w:val="es-ES"/>
        </w:rPr>
        <w:t xml:space="preserve"> que el uso del </w:t>
      </w:r>
      <w:r w:rsidR="00F55693" w:rsidRPr="00A76683">
        <w:rPr>
          <w:rFonts w:asciiTheme="majorHAnsi" w:hAnsiTheme="majorHAnsi"/>
          <w:sz w:val="20"/>
          <w:szCs w:val="20"/>
          <w:bdr w:val="none" w:sz="0" w:space="0" w:color="auto"/>
          <w:lang w:val="es-ES"/>
        </w:rPr>
        <w:t>término</w:t>
      </w:r>
      <w:r w:rsidRPr="00A76683">
        <w:rPr>
          <w:rFonts w:asciiTheme="majorHAnsi" w:hAnsiTheme="majorHAnsi"/>
          <w:sz w:val="20"/>
          <w:szCs w:val="20"/>
          <w:bdr w:val="none" w:sz="0" w:space="0" w:color="auto"/>
          <w:lang w:val="es-ES"/>
        </w:rPr>
        <w:t xml:space="preserve"> “cabo”</w:t>
      </w:r>
      <w:r w:rsidR="00181829" w:rsidRPr="00A76683">
        <w:rPr>
          <w:rFonts w:asciiTheme="majorHAnsi" w:hAnsiTheme="majorHAnsi"/>
          <w:sz w:val="20"/>
          <w:szCs w:val="20"/>
          <w:bdr w:val="none" w:sz="0" w:space="0" w:color="auto"/>
          <w:lang w:val="es-ES"/>
        </w:rPr>
        <w:t xml:space="preserve"> </w:t>
      </w:r>
      <w:r w:rsidRPr="00A76683">
        <w:rPr>
          <w:rFonts w:asciiTheme="majorHAnsi" w:hAnsiTheme="majorHAnsi"/>
          <w:sz w:val="20"/>
          <w:szCs w:val="20"/>
          <w:bdr w:val="none" w:sz="0" w:space="0" w:color="auto"/>
          <w:lang w:val="es-ES"/>
        </w:rPr>
        <w:t>utilizado p</w:t>
      </w:r>
      <w:r w:rsidR="00F55693" w:rsidRPr="00A76683">
        <w:rPr>
          <w:rFonts w:asciiTheme="majorHAnsi" w:hAnsiTheme="majorHAnsi"/>
          <w:sz w:val="20"/>
          <w:szCs w:val="20"/>
          <w:bdr w:val="none" w:sz="0" w:space="0" w:color="auto"/>
          <w:lang w:val="es-ES"/>
        </w:rPr>
        <w:t>o</w:t>
      </w:r>
      <w:r w:rsidRPr="00A76683">
        <w:rPr>
          <w:rFonts w:asciiTheme="majorHAnsi" w:hAnsiTheme="majorHAnsi"/>
          <w:sz w:val="20"/>
          <w:szCs w:val="20"/>
          <w:bdr w:val="none" w:sz="0" w:space="0" w:color="auto"/>
          <w:lang w:val="es-ES"/>
        </w:rPr>
        <w:t>r uno de los</w:t>
      </w:r>
      <w:r w:rsidR="00F55693" w:rsidRPr="00A76683">
        <w:rPr>
          <w:rFonts w:asciiTheme="majorHAnsi" w:hAnsiTheme="majorHAnsi"/>
          <w:sz w:val="20"/>
          <w:szCs w:val="20"/>
          <w:bdr w:val="none" w:sz="0" w:space="0" w:color="auto"/>
          <w:lang w:val="es-ES"/>
        </w:rPr>
        <w:t xml:space="preserve"> </w:t>
      </w:r>
      <w:r w:rsidRPr="00A76683">
        <w:rPr>
          <w:rFonts w:asciiTheme="majorHAnsi" w:hAnsiTheme="majorHAnsi"/>
          <w:sz w:val="20"/>
          <w:szCs w:val="20"/>
          <w:bdr w:val="none" w:sz="0" w:space="0" w:color="auto"/>
          <w:lang w:val="es-ES"/>
        </w:rPr>
        <w:t xml:space="preserve">presuntos responsables </w:t>
      </w:r>
      <w:r w:rsidR="000F63B2" w:rsidRPr="00A76683">
        <w:rPr>
          <w:rFonts w:asciiTheme="majorHAnsi" w:hAnsiTheme="majorHAnsi"/>
          <w:sz w:val="20"/>
          <w:szCs w:val="20"/>
          <w:bdr w:val="none" w:sz="0" w:space="0" w:color="auto"/>
          <w:lang w:val="es-ES"/>
        </w:rPr>
        <w:t>de los hechos</w:t>
      </w:r>
      <w:r w:rsidRPr="00A76683">
        <w:rPr>
          <w:rFonts w:asciiTheme="majorHAnsi" w:hAnsiTheme="majorHAnsi"/>
          <w:sz w:val="20"/>
          <w:szCs w:val="20"/>
          <w:bdr w:val="none" w:sz="0" w:space="0" w:color="auto"/>
          <w:lang w:val="es-ES"/>
        </w:rPr>
        <w:t xml:space="preserve"> no </w:t>
      </w:r>
      <w:r w:rsidR="00743A8D" w:rsidRPr="00A76683">
        <w:rPr>
          <w:rFonts w:asciiTheme="majorHAnsi" w:hAnsiTheme="majorHAnsi"/>
          <w:sz w:val="20"/>
          <w:szCs w:val="20"/>
          <w:bdr w:val="none" w:sz="0" w:space="0" w:color="auto"/>
          <w:lang w:val="es-ES"/>
        </w:rPr>
        <w:t>implica su pertenencia al</w:t>
      </w:r>
      <w:r w:rsidRPr="00A76683">
        <w:rPr>
          <w:rFonts w:asciiTheme="majorHAnsi" w:hAnsiTheme="majorHAnsi"/>
          <w:sz w:val="20"/>
          <w:szCs w:val="20"/>
          <w:bdr w:val="none" w:sz="0" w:space="0" w:color="auto"/>
          <w:lang w:val="es-ES"/>
        </w:rPr>
        <w:t xml:space="preserve"> Ej</w:t>
      </w:r>
      <w:r w:rsidR="00F55693" w:rsidRPr="00A76683">
        <w:rPr>
          <w:rFonts w:asciiTheme="majorHAnsi" w:hAnsiTheme="majorHAnsi"/>
          <w:sz w:val="20"/>
          <w:szCs w:val="20"/>
          <w:bdr w:val="none" w:sz="0" w:space="0" w:color="auto"/>
          <w:lang w:val="es-ES"/>
        </w:rPr>
        <w:t>e</w:t>
      </w:r>
      <w:r w:rsidRPr="00A76683">
        <w:rPr>
          <w:rFonts w:asciiTheme="majorHAnsi" w:hAnsiTheme="majorHAnsi"/>
          <w:sz w:val="20"/>
          <w:szCs w:val="20"/>
          <w:bdr w:val="none" w:sz="0" w:space="0" w:color="auto"/>
          <w:lang w:val="es-ES"/>
        </w:rPr>
        <w:t xml:space="preserve">rcito Nacional </w:t>
      </w:r>
      <w:r w:rsidR="000F63B2" w:rsidRPr="00A76683">
        <w:rPr>
          <w:rFonts w:asciiTheme="majorHAnsi" w:hAnsiTheme="majorHAnsi"/>
          <w:sz w:val="20"/>
          <w:szCs w:val="20"/>
          <w:bdr w:val="none" w:sz="0" w:space="0" w:color="auto"/>
          <w:lang w:val="es-ES"/>
        </w:rPr>
        <w:t>o</w:t>
      </w:r>
      <w:r w:rsidRPr="00A76683">
        <w:rPr>
          <w:rFonts w:asciiTheme="majorHAnsi" w:hAnsiTheme="majorHAnsi"/>
          <w:sz w:val="20"/>
          <w:szCs w:val="20"/>
          <w:bdr w:val="none" w:sz="0" w:space="0" w:color="auto"/>
          <w:lang w:val="es-ES"/>
        </w:rPr>
        <w:t xml:space="preserve"> </w:t>
      </w:r>
      <w:r w:rsidR="00743A8D" w:rsidRPr="00A76683">
        <w:rPr>
          <w:rFonts w:asciiTheme="majorHAnsi" w:hAnsiTheme="majorHAnsi"/>
          <w:sz w:val="20"/>
          <w:szCs w:val="20"/>
          <w:bdr w:val="none" w:sz="0" w:space="0" w:color="auto"/>
          <w:lang w:val="es-ES"/>
        </w:rPr>
        <w:t>a</w:t>
      </w:r>
      <w:r w:rsidRPr="00A76683">
        <w:rPr>
          <w:rFonts w:asciiTheme="majorHAnsi" w:hAnsiTheme="majorHAnsi"/>
          <w:sz w:val="20"/>
          <w:szCs w:val="20"/>
          <w:bdr w:val="none" w:sz="0" w:space="0" w:color="auto"/>
          <w:lang w:val="es-ES"/>
        </w:rPr>
        <w:t xml:space="preserve"> </w:t>
      </w:r>
      <w:r w:rsidR="00F55693" w:rsidRPr="00A76683">
        <w:rPr>
          <w:rFonts w:asciiTheme="majorHAnsi" w:hAnsiTheme="majorHAnsi"/>
          <w:sz w:val="20"/>
          <w:szCs w:val="20"/>
          <w:bdr w:val="none" w:sz="0" w:space="0" w:color="auto"/>
          <w:lang w:val="es-ES"/>
        </w:rPr>
        <w:t>l</w:t>
      </w:r>
      <w:r w:rsidRPr="00A76683">
        <w:rPr>
          <w:rFonts w:asciiTheme="majorHAnsi" w:hAnsiTheme="majorHAnsi"/>
          <w:sz w:val="20"/>
          <w:szCs w:val="20"/>
          <w:bdr w:val="none" w:sz="0" w:space="0" w:color="auto"/>
          <w:lang w:val="es-ES"/>
        </w:rPr>
        <w:t xml:space="preserve">a </w:t>
      </w:r>
      <w:r w:rsidR="00F55693" w:rsidRPr="00A76683">
        <w:rPr>
          <w:rFonts w:asciiTheme="majorHAnsi" w:hAnsiTheme="majorHAnsi"/>
          <w:sz w:val="20"/>
          <w:szCs w:val="20"/>
          <w:bdr w:val="none" w:sz="0" w:space="0" w:color="auto"/>
          <w:lang w:val="es-ES"/>
        </w:rPr>
        <w:t>Policía</w:t>
      </w:r>
      <w:r w:rsidRPr="00A76683">
        <w:rPr>
          <w:rFonts w:asciiTheme="majorHAnsi" w:hAnsiTheme="majorHAnsi"/>
          <w:sz w:val="20"/>
          <w:szCs w:val="20"/>
          <w:bdr w:val="none" w:sz="0" w:space="0" w:color="auto"/>
          <w:lang w:val="es-ES"/>
        </w:rPr>
        <w:t xml:space="preserve"> Nacional, dado que en muchos cas</w:t>
      </w:r>
      <w:r w:rsidR="000F63B2" w:rsidRPr="00A76683">
        <w:rPr>
          <w:rFonts w:asciiTheme="majorHAnsi" w:hAnsiTheme="majorHAnsi"/>
          <w:sz w:val="20"/>
          <w:szCs w:val="20"/>
          <w:bdr w:val="none" w:sz="0" w:space="0" w:color="auto"/>
          <w:lang w:val="es-ES"/>
        </w:rPr>
        <w:t>o</w:t>
      </w:r>
      <w:r w:rsidRPr="00A76683">
        <w:rPr>
          <w:rFonts w:asciiTheme="majorHAnsi" w:hAnsiTheme="majorHAnsi"/>
          <w:sz w:val="20"/>
          <w:szCs w:val="20"/>
          <w:bdr w:val="none" w:sz="0" w:space="0" w:color="auto"/>
          <w:lang w:val="es-ES"/>
        </w:rPr>
        <w:t>s los miembros de</w:t>
      </w:r>
      <w:r w:rsidR="00F55693" w:rsidRPr="00A76683">
        <w:rPr>
          <w:rFonts w:asciiTheme="majorHAnsi" w:hAnsiTheme="majorHAnsi"/>
          <w:sz w:val="20"/>
          <w:szCs w:val="20"/>
          <w:bdr w:val="none" w:sz="0" w:space="0" w:color="auto"/>
          <w:lang w:val="es-ES"/>
        </w:rPr>
        <w:t xml:space="preserve"> </w:t>
      </w:r>
      <w:r w:rsidRPr="00A76683">
        <w:rPr>
          <w:rFonts w:asciiTheme="majorHAnsi" w:hAnsiTheme="majorHAnsi"/>
          <w:sz w:val="20"/>
          <w:szCs w:val="20"/>
          <w:bdr w:val="none" w:sz="0" w:space="0" w:color="auto"/>
          <w:lang w:val="es-ES"/>
        </w:rPr>
        <w:t>grupos armad</w:t>
      </w:r>
      <w:r w:rsidR="00F55693" w:rsidRPr="00A76683">
        <w:rPr>
          <w:rFonts w:asciiTheme="majorHAnsi" w:hAnsiTheme="majorHAnsi"/>
          <w:sz w:val="20"/>
          <w:szCs w:val="20"/>
          <w:bdr w:val="none" w:sz="0" w:space="0" w:color="auto"/>
          <w:lang w:val="es-ES"/>
        </w:rPr>
        <w:t>o</w:t>
      </w:r>
      <w:r w:rsidRPr="00A76683">
        <w:rPr>
          <w:rFonts w:asciiTheme="majorHAnsi" w:hAnsiTheme="majorHAnsi"/>
          <w:sz w:val="20"/>
          <w:szCs w:val="20"/>
          <w:bdr w:val="none" w:sz="0" w:space="0" w:color="auto"/>
          <w:lang w:val="es-ES"/>
        </w:rPr>
        <w:t xml:space="preserve">s ilegales utilizan este tipo de apodos. Adicionalmente, </w:t>
      </w:r>
      <w:r w:rsidR="000F63B2" w:rsidRPr="00A76683">
        <w:rPr>
          <w:rFonts w:asciiTheme="majorHAnsi" w:hAnsiTheme="majorHAnsi"/>
          <w:sz w:val="20"/>
          <w:szCs w:val="20"/>
          <w:bdr w:val="none" w:sz="0" w:space="0" w:color="auto"/>
          <w:lang w:val="es-ES"/>
        </w:rPr>
        <w:t>también</w:t>
      </w:r>
      <w:r w:rsidRPr="00A76683">
        <w:rPr>
          <w:rFonts w:asciiTheme="majorHAnsi" w:hAnsiTheme="majorHAnsi"/>
          <w:sz w:val="20"/>
          <w:szCs w:val="20"/>
          <w:bdr w:val="none" w:sz="0" w:space="0" w:color="auto"/>
          <w:lang w:val="es-ES"/>
        </w:rPr>
        <w:t xml:space="preserve"> </w:t>
      </w:r>
      <w:r w:rsidR="000F63B2" w:rsidRPr="00A76683">
        <w:rPr>
          <w:rFonts w:asciiTheme="majorHAnsi" w:hAnsiTheme="majorHAnsi"/>
          <w:sz w:val="20"/>
          <w:szCs w:val="20"/>
          <w:bdr w:val="none" w:sz="0" w:space="0" w:color="auto"/>
          <w:lang w:val="es-ES"/>
        </w:rPr>
        <w:t>podría</w:t>
      </w:r>
      <w:r w:rsidRPr="00A76683">
        <w:rPr>
          <w:rFonts w:asciiTheme="majorHAnsi" w:hAnsiTheme="majorHAnsi"/>
          <w:sz w:val="20"/>
          <w:szCs w:val="20"/>
          <w:bdr w:val="none" w:sz="0" w:space="0" w:color="auto"/>
          <w:lang w:val="es-ES"/>
        </w:rPr>
        <w:t xml:space="preserve"> obedecer a una</w:t>
      </w:r>
      <w:r w:rsidR="00F55693" w:rsidRPr="00A76683">
        <w:rPr>
          <w:rFonts w:asciiTheme="majorHAnsi" w:hAnsiTheme="majorHAnsi"/>
          <w:sz w:val="20"/>
          <w:szCs w:val="20"/>
          <w:bdr w:val="none" w:sz="0" w:space="0" w:color="auto"/>
          <w:lang w:val="es-ES"/>
        </w:rPr>
        <w:t xml:space="preserve"> </w:t>
      </w:r>
      <w:r w:rsidRPr="00A76683">
        <w:rPr>
          <w:rFonts w:asciiTheme="majorHAnsi" w:hAnsiTheme="majorHAnsi"/>
          <w:sz w:val="20"/>
          <w:szCs w:val="20"/>
          <w:bdr w:val="none" w:sz="0" w:space="0" w:color="auto"/>
          <w:lang w:val="es-ES"/>
        </w:rPr>
        <w:t>estrategia de los grupos a</w:t>
      </w:r>
      <w:r w:rsidR="00F55693" w:rsidRPr="00A76683">
        <w:rPr>
          <w:rFonts w:asciiTheme="majorHAnsi" w:hAnsiTheme="majorHAnsi"/>
          <w:sz w:val="20"/>
          <w:szCs w:val="20"/>
          <w:bdr w:val="none" w:sz="0" w:space="0" w:color="auto"/>
          <w:lang w:val="es-ES"/>
        </w:rPr>
        <w:t>rm</w:t>
      </w:r>
      <w:r w:rsidRPr="00A76683">
        <w:rPr>
          <w:rFonts w:asciiTheme="majorHAnsi" w:hAnsiTheme="majorHAnsi"/>
          <w:sz w:val="20"/>
          <w:szCs w:val="20"/>
          <w:bdr w:val="none" w:sz="0" w:space="0" w:color="auto"/>
          <w:lang w:val="es-ES"/>
        </w:rPr>
        <w:t xml:space="preserve">ados ilegales para generar </w:t>
      </w:r>
      <w:r w:rsidR="000F63B2" w:rsidRPr="00A76683">
        <w:rPr>
          <w:rFonts w:asciiTheme="majorHAnsi" w:hAnsiTheme="majorHAnsi"/>
          <w:sz w:val="20"/>
          <w:szCs w:val="20"/>
          <w:bdr w:val="none" w:sz="0" w:space="0" w:color="auto"/>
          <w:lang w:val="es-ES"/>
        </w:rPr>
        <w:t>confusión</w:t>
      </w:r>
      <w:r w:rsidRPr="00A76683">
        <w:rPr>
          <w:rFonts w:asciiTheme="majorHAnsi" w:hAnsiTheme="majorHAnsi"/>
          <w:sz w:val="20"/>
          <w:szCs w:val="20"/>
          <w:bdr w:val="none" w:sz="0" w:space="0" w:color="auto"/>
          <w:lang w:val="es-ES"/>
        </w:rPr>
        <w:t xml:space="preserve">, o despistar a las autoridades en </w:t>
      </w:r>
      <w:r w:rsidR="00F55693" w:rsidRPr="00A76683">
        <w:rPr>
          <w:rFonts w:asciiTheme="majorHAnsi" w:hAnsiTheme="majorHAnsi"/>
          <w:sz w:val="20"/>
          <w:szCs w:val="20"/>
          <w:bdr w:val="none" w:sz="0" w:space="0" w:color="auto"/>
          <w:lang w:val="es-ES"/>
        </w:rPr>
        <w:t>l</w:t>
      </w:r>
      <w:r w:rsidRPr="00A76683">
        <w:rPr>
          <w:rFonts w:asciiTheme="majorHAnsi" w:hAnsiTheme="majorHAnsi"/>
          <w:sz w:val="20"/>
          <w:szCs w:val="20"/>
          <w:bdr w:val="none" w:sz="0" w:space="0" w:color="auto"/>
          <w:lang w:val="es-ES"/>
        </w:rPr>
        <w:t>a</w:t>
      </w:r>
      <w:r w:rsidR="00F55693" w:rsidRPr="00A76683">
        <w:rPr>
          <w:rFonts w:asciiTheme="majorHAnsi" w:hAnsiTheme="majorHAnsi"/>
          <w:sz w:val="20"/>
          <w:szCs w:val="20"/>
          <w:bdr w:val="none" w:sz="0" w:space="0" w:color="auto"/>
          <w:lang w:val="es-ES"/>
        </w:rPr>
        <w:t xml:space="preserve"> </w:t>
      </w:r>
      <w:r w:rsidR="000F63B2" w:rsidRPr="00A76683">
        <w:rPr>
          <w:rFonts w:asciiTheme="majorHAnsi" w:hAnsiTheme="majorHAnsi"/>
          <w:sz w:val="20"/>
          <w:szCs w:val="20"/>
          <w:bdr w:val="none" w:sz="0" w:space="0" w:color="auto"/>
          <w:lang w:val="es-ES"/>
        </w:rPr>
        <w:t>investigación</w:t>
      </w:r>
      <w:r w:rsidRPr="00A76683">
        <w:rPr>
          <w:rFonts w:asciiTheme="majorHAnsi" w:hAnsiTheme="majorHAnsi"/>
          <w:sz w:val="20"/>
          <w:szCs w:val="20"/>
          <w:bdr w:val="none" w:sz="0" w:space="0" w:color="auto"/>
          <w:lang w:val="es-ES"/>
        </w:rPr>
        <w:t xml:space="preserve"> judicial. </w:t>
      </w:r>
      <w:r w:rsidR="00A326D0" w:rsidRPr="00A76683">
        <w:rPr>
          <w:rFonts w:asciiTheme="majorHAnsi" w:hAnsiTheme="majorHAnsi"/>
          <w:sz w:val="20"/>
          <w:szCs w:val="20"/>
          <w:bdr w:val="none" w:sz="0" w:space="0" w:color="auto"/>
          <w:lang w:val="es-ES"/>
        </w:rPr>
        <w:t>Así las cosas,</w:t>
      </w:r>
      <w:r w:rsidR="00181829" w:rsidRPr="00A76683">
        <w:rPr>
          <w:rFonts w:asciiTheme="majorHAnsi" w:hAnsiTheme="majorHAnsi"/>
          <w:sz w:val="20"/>
          <w:szCs w:val="20"/>
          <w:bdr w:val="none" w:sz="0" w:space="0" w:color="auto"/>
          <w:lang w:val="es-ES"/>
        </w:rPr>
        <w:t xml:space="preserve"> destaca que no existiría nexo alguno entre la </w:t>
      </w:r>
      <w:r w:rsidR="000F63B2" w:rsidRPr="00A76683">
        <w:rPr>
          <w:rFonts w:asciiTheme="majorHAnsi" w:hAnsiTheme="majorHAnsi"/>
          <w:sz w:val="20"/>
          <w:szCs w:val="20"/>
          <w:bdr w:val="none" w:sz="0" w:space="0" w:color="auto"/>
          <w:lang w:val="es-ES"/>
        </w:rPr>
        <w:t>ejecuc</w:t>
      </w:r>
      <w:r w:rsidR="00181829" w:rsidRPr="00A76683">
        <w:rPr>
          <w:rFonts w:asciiTheme="majorHAnsi" w:hAnsiTheme="majorHAnsi"/>
          <w:sz w:val="20"/>
          <w:szCs w:val="20"/>
          <w:bdr w:val="none" w:sz="0" w:space="0" w:color="auto"/>
          <w:lang w:val="es-ES"/>
        </w:rPr>
        <w:t>ión de la</w:t>
      </w:r>
      <w:r w:rsidR="004452F3" w:rsidRPr="00A76683">
        <w:rPr>
          <w:rFonts w:asciiTheme="majorHAnsi" w:hAnsiTheme="majorHAnsi"/>
          <w:sz w:val="20"/>
          <w:szCs w:val="20"/>
          <w:bdr w:val="none" w:sz="0" w:space="0" w:color="auto"/>
          <w:lang w:val="es-ES"/>
        </w:rPr>
        <w:t>s</w:t>
      </w:r>
      <w:r w:rsidR="00181829" w:rsidRPr="00A76683">
        <w:rPr>
          <w:rFonts w:asciiTheme="majorHAnsi" w:hAnsiTheme="majorHAnsi"/>
          <w:sz w:val="20"/>
          <w:szCs w:val="20"/>
          <w:bdr w:val="none" w:sz="0" w:space="0" w:color="auto"/>
          <w:lang w:val="es-ES"/>
        </w:rPr>
        <w:t xml:space="preserve"> presunta</w:t>
      </w:r>
      <w:r w:rsidR="004452F3" w:rsidRPr="00A76683">
        <w:rPr>
          <w:rFonts w:asciiTheme="majorHAnsi" w:hAnsiTheme="majorHAnsi"/>
          <w:sz w:val="20"/>
          <w:szCs w:val="20"/>
          <w:bdr w:val="none" w:sz="0" w:space="0" w:color="auto"/>
          <w:lang w:val="es-ES"/>
        </w:rPr>
        <w:t>s</w:t>
      </w:r>
      <w:r w:rsidR="00181829" w:rsidRPr="00A76683">
        <w:rPr>
          <w:rFonts w:asciiTheme="majorHAnsi" w:hAnsiTheme="majorHAnsi"/>
          <w:sz w:val="20"/>
          <w:szCs w:val="20"/>
          <w:bdr w:val="none" w:sz="0" w:space="0" w:color="auto"/>
          <w:lang w:val="es-ES"/>
        </w:rPr>
        <w:t xml:space="preserve"> víctima</w:t>
      </w:r>
      <w:r w:rsidR="004452F3" w:rsidRPr="00A76683">
        <w:rPr>
          <w:rFonts w:asciiTheme="majorHAnsi" w:hAnsiTheme="majorHAnsi"/>
          <w:sz w:val="20"/>
          <w:szCs w:val="20"/>
          <w:bdr w:val="none" w:sz="0" w:space="0" w:color="auto"/>
          <w:lang w:val="es-ES"/>
        </w:rPr>
        <w:t>s</w:t>
      </w:r>
      <w:r w:rsidR="00181829" w:rsidRPr="00A76683">
        <w:rPr>
          <w:rFonts w:asciiTheme="majorHAnsi" w:hAnsiTheme="majorHAnsi"/>
          <w:sz w:val="20"/>
          <w:szCs w:val="20"/>
          <w:bdr w:val="none" w:sz="0" w:space="0" w:color="auto"/>
          <w:lang w:val="es-ES"/>
        </w:rPr>
        <w:t xml:space="preserve"> y la </w:t>
      </w:r>
      <w:r w:rsidR="009E7797" w:rsidRPr="00A76683">
        <w:rPr>
          <w:rFonts w:asciiTheme="majorHAnsi" w:hAnsiTheme="majorHAnsi"/>
          <w:sz w:val="20"/>
          <w:szCs w:val="20"/>
          <w:bdr w:val="none" w:sz="0" w:space="0" w:color="auto"/>
          <w:lang w:val="es-ES"/>
        </w:rPr>
        <w:t>responsabilidad internacional del Estado.</w:t>
      </w:r>
    </w:p>
    <w:p w:rsidR="00181829" w:rsidRPr="00A76683"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hAnsiTheme="majorHAnsi"/>
          <w:b/>
          <w:snapToGrid w:val="0"/>
          <w:color w:val="FF0000"/>
          <w:sz w:val="20"/>
          <w:szCs w:val="20"/>
          <w:bdr w:val="none" w:sz="0" w:space="0" w:color="auto"/>
          <w:lang w:val="es-ES"/>
        </w:rPr>
      </w:pPr>
    </w:p>
    <w:p w:rsidR="00181829" w:rsidRPr="00A76683" w:rsidRDefault="00181829" w:rsidP="00543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b/>
          <w:snapToGrid w:val="0"/>
          <w:sz w:val="20"/>
          <w:szCs w:val="20"/>
          <w:bdr w:val="none" w:sz="0" w:space="0" w:color="auto"/>
          <w:lang w:val="es-ES"/>
        </w:rPr>
      </w:pPr>
      <w:r w:rsidRPr="00A76683">
        <w:rPr>
          <w:rFonts w:asciiTheme="majorHAnsi" w:hAnsiTheme="majorHAnsi"/>
          <w:b/>
          <w:sz w:val="20"/>
          <w:szCs w:val="20"/>
          <w:bdr w:val="none" w:sz="0" w:space="0" w:color="auto"/>
          <w:lang w:val="es-ES"/>
        </w:rPr>
        <w:t xml:space="preserve">ANÁLISIS </w:t>
      </w:r>
      <w:r w:rsidR="00334713" w:rsidRPr="00A76683">
        <w:rPr>
          <w:rFonts w:asciiTheme="majorHAnsi" w:hAnsiTheme="majorHAnsi"/>
          <w:b/>
          <w:sz w:val="20"/>
          <w:szCs w:val="20"/>
          <w:bdr w:val="none" w:sz="0" w:space="0" w:color="auto"/>
          <w:lang w:val="es-ES"/>
        </w:rPr>
        <w:t>LEGAL</w:t>
      </w:r>
      <w:r w:rsidRPr="00A76683">
        <w:rPr>
          <w:rFonts w:asciiTheme="majorHAnsi" w:hAnsiTheme="majorHAnsi"/>
          <w:b/>
          <w:sz w:val="20"/>
          <w:szCs w:val="20"/>
          <w:bdr w:val="none" w:sz="0" w:space="0" w:color="auto"/>
          <w:lang w:val="es-ES"/>
        </w:rPr>
        <w:t xml:space="preserve"> </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b/>
          <w:snapToGrid w:val="0"/>
          <w:sz w:val="20"/>
          <w:szCs w:val="20"/>
          <w:bdr w:val="none" w:sz="0" w:space="0" w:color="auto"/>
          <w:lang w:val="es-ES"/>
        </w:rPr>
      </w:pPr>
    </w:p>
    <w:p w:rsidR="00181829" w:rsidRPr="00A76683" w:rsidRDefault="00181829" w:rsidP="00543D2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b/>
          <w:snapToGrid w:val="0"/>
          <w:sz w:val="20"/>
          <w:szCs w:val="20"/>
          <w:bdr w:val="none" w:sz="0" w:space="0" w:color="auto"/>
          <w:lang w:val="es-ES"/>
        </w:rPr>
      </w:pPr>
      <w:r w:rsidRPr="00A76683">
        <w:rPr>
          <w:rFonts w:asciiTheme="majorHAnsi" w:hAnsiTheme="majorHAnsi"/>
          <w:b/>
          <w:sz w:val="20"/>
          <w:szCs w:val="20"/>
          <w:bdr w:val="none" w:sz="0" w:space="0" w:color="auto"/>
          <w:lang w:val="es-ES"/>
        </w:rPr>
        <w:t xml:space="preserve">Competencia </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color w:val="FF0000"/>
          <w:sz w:val="20"/>
          <w:szCs w:val="20"/>
          <w:bdr w:val="none" w:sz="0" w:space="0" w:color="auto"/>
          <w:lang w:val="es-ES"/>
        </w:rPr>
      </w:pPr>
    </w:p>
    <w:p w:rsidR="00617654" w:rsidRPr="00A76683" w:rsidRDefault="00617654" w:rsidP="006176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_tradnl"/>
        </w:rPr>
      </w:pPr>
      <w:r w:rsidRPr="00A76683">
        <w:rPr>
          <w:rFonts w:asciiTheme="majorHAnsi" w:hAnsiTheme="majorHAnsi"/>
          <w:sz w:val="20"/>
          <w:szCs w:val="20"/>
          <w:lang w:val="es-ES"/>
        </w:rPr>
        <w:t xml:space="preserve">Los peticionarios se encuentran facultados, en principio, por el artículo 44 de la Convención Americana para presentar peticiones ante la Comisión. La petición identifica como presuntas víctimas a personas individuales respecto de quien el Estado colombiano se comprometió a respetar y garantizar los derechos consagrados en la Convención Americana. En lo concerniente al Estado, la Comisión observa que </w:t>
      </w:r>
      <w:r w:rsidRPr="00A76683">
        <w:rPr>
          <w:rFonts w:asciiTheme="majorHAnsi" w:hAnsiTheme="majorHAnsi"/>
          <w:sz w:val="20"/>
          <w:szCs w:val="20"/>
          <w:lang w:val="es-ES"/>
        </w:rPr>
        <w:lastRenderedPageBreak/>
        <w:t>Colombia es un Estado parte en la Convención Americana desde el 31 de julio de 1973, fecha en que depositó su instrumento de ratificación</w:t>
      </w:r>
      <w:r w:rsidRPr="00A76683">
        <w:rPr>
          <w:rFonts w:asciiTheme="majorHAnsi" w:hAnsiTheme="majorHAnsi"/>
          <w:sz w:val="20"/>
          <w:szCs w:val="20"/>
          <w:bdr w:val="none" w:sz="0" w:space="0" w:color="auto"/>
          <w:lang w:val="es-ES_tradnl"/>
        </w:rPr>
        <w:t xml:space="preserve">. Por lo tanto, la Comisión tiene competencia </w:t>
      </w:r>
      <w:r w:rsidRPr="00A76683">
        <w:rPr>
          <w:rFonts w:asciiTheme="majorHAnsi" w:hAnsiTheme="majorHAnsi"/>
          <w:i/>
          <w:sz w:val="20"/>
          <w:szCs w:val="20"/>
          <w:bdr w:val="none" w:sz="0" w:space="0" w:color="auto"/>
          <w:lang w:val="es-ES_tradnl"/>
        </w:rPr>
        <w:t>ratione personae</w:t>
      </w:r>
      <w:r w:rsidRPr="00A76683">
        <w:rPr>
          <w:rFonts w:asciiTheme="majorHAnsi" w:hAnsiTheme="majorHAnsi"/>
          <w:sz w:val="20"/>
          <w:szCs w:val="20"/>
          <w:bdr w:val="none" w:sz="0" w:space="0" w:color="auto"/>
          <w:lang w:val="es-ES_tradnl"/>
        </w:rPr>
        <w:t xml:space="preserve"> para examinar la petición. Asimismo, la Comisión tiene competencia </w:t>
      </w:r>
      <w:r w:rsidRPr="00A76683">
        <w:rPr>
          <w:rFonts w:asciiTheme="majorHAnsi" w:hAnsiTheme="majorHAnsi"/>
          <w:i/>
          <w:sz w:val="20"/>
          <w:szCs w:val="20"/>
          <w:bdr w:val="none" w:sz="0" w:space="0" w:color="auto"/>
          <w:lang w:val="es-ES_tradnl"/>
        </w:rPr>
        <w:t>ratione loci</w:t>
      </w:r>
      <w:r w:rsidRPr="00A76683">
        <w:rPr>
          <w:rFonts w:asciiTheme="majorHAnsi" w:hAnsiTheme="majorHAnsi"/>
          <w:sz w:val="20"/>
          <w:szCs w:val="20"/>
          <w:bdr w:val="none" w:sz="0" w:space="0" w:color="auto"/>
          <w:lang w:val="es-ES_tradnl"/>
        </w:rPr>
        <w:t xml:space="preserve"> para conocer la petición, por cuanto en ella se alegan violaciones de derechos protegidos en la Convención Americana que habrían tenido lugar dentro del territorio de Colombia, Estado parte en dicho tratado. </w:t>
      </w:r>
    </w:p>
    <w:p w:rsidR="00617654" w:rsidRPr="00A76683" w:rsidRDefault="00617654" w:rsidP="0061765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_tradnl"/>
        </w:rPr>
      </w:pPr>
    </w:p>
    <w:p w:rsidR="00617654" w:rsidRPr="00A76683" w:rsidRDefault="00617654" w:rsidP="006176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sz w:val="20"/>
          <w:szCs w:val="20"/>
          <w:bdr w:val="none" w:sz="0" w:space="0" w:color="auto"/>
          <w:lang w:val="es-ES_tradnl"/>
        </w:rPr>
        <w:t xml:space="preserve">La Comisión tiene competencia </w:t>
      </w:r>
      <w:r w:rsidRPr="00A76683">
        <w:rPr>
          <w:rFonts w:asciiTheme="majorHAnsi" w:hAnsiTheme="majorHAnsi"/>
          <w:i/>
          <w:sz w:val="20"/>
          <w:szCs w:val="20"/>
          <w:bdr w:val="none" w:sz="0" w:space="0" w:color="auto"/>
          <w:lang w:val="es-ES_tradnl"/>
        </w:rPr>
        <w:t>ratione temporis</w:t>
      </w:r>
      <w:r w:rsidRPr="00A76683">
        <w:rPr>
          <w:rFonts w:asciiTheme="majorHAnsi" w:hAnsiTheme="majorHAnsi"/>
          <w:sz w:val="20"/>
          <w:szCs w:val="20"/>
          <w:bdr w:val="none" w:sz="0" w:space="0" w:color="auto"/>
          <w:lang w:val="es-ES_tradnl"/>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A76683">
        <w:rPr>
          <w:rFonts w:asciiTheme="majorHAnsi" w:hAnsiTheme="majorHAnsi"/>
          <w:i/>
          <w:sz w:val="20"/>
          <w:szCs w:val="20"/>
          <w:bdr w:val="none" w:sz="0" w:space="0" w:color="auto"/>
          <w:lang w:val="es-ES_tradnl"/>
        </w:rPr>
        <w:t>ratione materiae</w:t>
      </w:r>
      <w:r w:rsidRPr="00A76683">
        <w:rPr>
          <w:rFonts w:asciiTheme="majorHAnsi" w:hAnsiTheme="majorHAnsi"/>
          <w:sz w:val="20"/>
          <w:szCs w:val="20"/>
          <w:bdr w:val="none" w:sz="0" w:space="0" w:color="auto"/>
          <w:lang w:val="es-ES_tradnl"/>
        </w:rPr>
        <w:t>, porque en la petición se denuncian posibles violaciones a derechos humanos protegidos por la Convención Americana</w:t>
      </w:r>
    </w:p>
    <w:p w:rsidR="00181829" w:rsidRPr="00A76683" w:rsidRDefault="00181829" w:rsidP="0061765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Calibri"/>
          <w:b/>
          <w:snapToGrid w:val="0"/>
          <w:color w:val="FF0000"/>
          <w:sz w:val="20"/>
          <w:szCs w:val="20"/>
          <w:bdr w:val="none" w:sz="0" w:space="0" w:color="auto"/>
          <w:lang w:val="es-ES"/>
        </w:rPr>
      </w:pPr>
    </w:p>
    <w:p w:rsidR="00181829" w:rsidRPr="00A76683" w:rsidRDefault="00181829" w:rsidP="00543D2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snapToGrid w:val="0"/>
          <w:sz w:val="20"/>
          <w:szCs w:val="20"/>
          <w:bdr w:val="none" w:sz="0" w:space="0" w:color="auto"/>
          <w:lang w:val="es-ES"/>
        </w:rPr>
      </w:pPr>
      <w:r w:rsidRPr="00A76683">
        <w:rPr>
          <w:rFonts w:asciiTheme="majorHAnsi" w:hAnsiTheme="majorHAnsi"/>
          <w:b/>
          <w:sz w:val="20"/>
          <w:szCs w:val="20"/>
          <w:bdr w:val="none" w:sz="0" w:space="0" w:color="auto"/>
          <w:lang w:val="es-ES"/>
        </w:rPr>
        <w:t xml:space="preserve">Requisitos de Admisibilidad </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cs="Calibri"/>
          <w:b/>
          <w:snapToGrid w:val="0"/>
          <w:sz w:val="20"/>
          <w:szCs w:val="20"/>
          <w:bdr w:val="none" w:sz="0" w:space="0" w:color="auto"/>
          <w:lang w:val="es-ES"/>
        </w:rPr>
      </w:pPr>
    </w:p>
    <w:p w:rsidR="00181829" w:rsidRPr="00A76683" w:rsidRDefault="00181829" w:rsidP="00543D2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snapToGrid w:val="0"/>
          <w:sz w:val="20"/>
          <w:szCs w:val="20"/>
          <w:bdr w:val="none" w:sz="0" w:space="0" w:color="auto"/>
          <w:lang w:val="es-ES"/>
        </w:rPr>
      </w:pPr>
      <w:r w:rsidRPr="00A76683">
        <w:rPr>
          <w:rFonts w:asciiTheme="majorHAnsi" w:hAnsiTheme="majorHAnsi"/>
          <w:b/>
          <w:sz w:val="20"/>
          <w:szCs w:val="20"/>
          <w:bdr w:val="none" w:sz="0" w:space="0" w:color="auto"/>
          <w:lang w:val="es-ES"/>
        </w:rPr>
        <w:t>Agotamiento de los recursos internos</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z w:val="20"/>
          <w:szCs w:val="20"/>
          <w:bdr w:val="none" w:sz="0" w:space="0" w:color="auto"/>
          <w:lang w:val="es-ES"/>
        </w:rPr>
      </w:pPr>
    </w:p>
    <w:p w:rsidR="00181829" w:rsidRPr="00A76683" w:rsidRDefault="00D173DE" w:rsidP="006176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bdr w:val="none" w:sz="0" w:space="0" w:color="auto"/>
          <w:lang w:val="es-ES"/>
        </w:rPr>
      </w:pPr>
      <w:r>
        <w:rPr>
          <w:rFonts w:asciiTheme="majorHAnsi" w:hAnsiTheme="majorHAnsi" w:cs="Calibri"/>
          <w:sz w:val="20"/>
          <w:szCs w:val="20"/>
          <w:bdr w:val="none" w:sz="0" w:space="0" w:color="auto"/>
          <w:lang w:val="es-ES"/>
        </w:rPr>
        <w:t>El artículo 46.1.</w:t>
      </w:r>
      <w:r w:rsidR="00181829" w:rsidRPr="00A76683">
        <w:rPr>
          <w:rFonts w:asciiTheme="majorHAnsi" w:hAnsiTheme="majorHAnsi" w:cs="Calibri"/>
          <w:sz w:val="20"/>
          <w:szCs w:val="20"/>
          <w:bdr w:val="none" w:sz="0" w:space="0" w:color="auto"/>
          <w:lang w:val="es-ES"/>
        </w:rPr>
        <w:t>a de la Convención Americana dispone que, para que sea admisible una denuncia presentada ante la Comisión, es necesario que se hayan interpuesto y agotado los recursos internos conforme a los principios del derecho internacional generalmente reconocidos.  Por su parte, el artículo 46.2 de la Convención especifica que este requisito no se aplica cuando a) no exista en la legislación interna del Estado de que se trata el debido proceso legal para la protección del derecho o derechos que se alega han sido violados; b) no se haya permitido al presunto lesionado en sus derechos el acceso a los recursos a la jurisdicción interna, o haya sido impedido de agotarlos; o c) haya retardo injustificado en la decisión sobre los mencionados recursos.</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color w:val="FF0000"/>
          <w:sz w:val="20"/>
          <w:szCs w:val="20"/>
          <w:bdr w:val="none" w:sz="0" w:space="0" w:color="auto"/>
          <w:lang w:val="es-ES"/>
        </w:rPr>
      </w:pPr>
    </w:p>
    <w:p w:rsidR="00181829" w:rsidRPr="00A76683" w:rsidRDefault="00181829" w:rsidP="006176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cs="Calibri"/>
          <w:sz w:val="20"/>
          <w:szCs w:val="20"/>
          <w:bdr w:val="none" w:sz="0" w:space="0" w:color="auto"/>
          <w:lang w:val="es-ES"/>
        </w:rPr>
        <w:t>El Estado alega que no se satisface el requisito del previo agotamiento de los recursos de la jurisdicción interna, dado que existe</w:t>
      </w:r>
      <w:r w:rsidR="005948BB" w:rsidRPr="00A76683">
        <w:rPr>
          <w:rFonts w:asciiTheme="majorHAnsi" w:hAnsiTheme="majorHAnsi" w:cs="Calibri"/>
          <w:sz w:val="20"/>
          <w:szCs w:val="20"/>
          <w:bdr w:val="none" w:sz="0" w:space="0" w:color="auto"/>
          <w:lang w:val="es-ES"/>
        </w:rPr>
        <w:t xml:space="preserve"> un</w:t>
      </w:r>
      <w:r w:rsidRPr="00A76683">
        <w:rPr>
          <w:rFonts w:asciiTheme="majorHAnsi" w:hAnsiTheme="majorHAnsi" w:cs="Calibri"/>
          <w:sz w:val="20"/>
          <w:szCs w:val="20"/>
          <w:bdr w:val="none" w:sz="0" w:space="0" w:color="auto"/>
          <w:lang w:val="es-ES"/>
        </w:rPr>
        <w:t xml:space="preserve"> proceso pendiente en el fuero penal ordinario</w:t>
      </w:r>
      <w:r w:rsidR="003A5FE7" w:rsidRPr="00A76683">
        <w:rPr>
          <w:rFonts w:asciiTheme="majorHAnsi" w:hAnsiTheme="majorHAnsi" w:cs="Calibri"/>
          <w:sz w:val="20"/>
          <w:szCs w:val="20"/>
          <w:bdr w:val="none" w:sz="0" w:space="0" w:color="auto"/>
          <w:lang w:val="es-ES"/>
        </w:rPr>
        <w:t>, y que los familiares de la víctima deben intentar un recurso de reparación directa ante la jurisdicción contencioso administrativa</w:t>
      </w:r>
      <w:r w:rsidRPr="00A76683">
        <w:rPr>
          <w:rFonts w:asciiTheme="majorHAnsi" w:hAnsiTheme="majorHAnsi" w:cs="Calibri"/>
          <w:sz w:val="20"/>
          <w:szCs w:val="20"/>
          <w:bdr w:val="none" w:sz="0" w:space="0" w:color="auto"/>
          <w:lang w:val="es-ES"/>
        </w:rPr>
        <w:t xml:space="preserve">; </w:t>
      </w:r>
      <w:r w:rsidR="003A5FE7" w:rsidRPr="00A76683">
        <w:rPr>
          <w:rFonts w:asciiTheme="majorHAnsi" w:hAnsiTheme="majorHAnsi" w:cs="Calibri"/>
          <w:sz w:val="20"/>
          <w:szCs w:val="20"/>
          <w:bdr w:val="none" w:sz="0" w:space="0" w:color="auto"/>
          <w:lang w:val="es-ES"/>
        </w:rPr>
        <w:t>agrega</w:t>
      </w:r>
      <w:r w:rsidRPr="00A76683">
        <w:rPr>
          <w:rFonts w:asciiTheme="majorHAnsi" w:hAnsiTheme="majorHAnsi" w:cs="Calibri"/>
          <w:sz w:val="20"/>
          <w:szCs w:val="20"/>
          <w:bdr w:val="none" w:sz="0" w:space="0" w:color="auto"/>
          <w:lang w:val="es-ES"/>
        </w:rPr>
        <w:t xml:space="preserve"> que, por la complejidad del asunto y la actuación desplegada por las autoridades internas, no resultarían aplicables las excepciones contenidas en el </w:t>
      </w:r>
      <w:r w:rsidR="003A5FE7" w:rsidRPr="00A76683">
        <w:rPr>
          <w:rFonts w:asciiTheme="majorHAnsi" w:hAnsiTheme="majorHAnsi" w:cs="Calibri"/>
          <w:sz w:val="20"/>
          <w:szCs w:val="20"/>
          <w:bdr w:val="none" w:sz="0" w:space="0" w:color="auto"/>
          <w:lang w:val="es-ES"/>
        </w:rPr>
        <w:t>artículo 46.2 de la Convención.</w:t>
      </w:r>
      <w:r w:rsidRPr="00A76683">
        <w:rPr>
          <w:rFonts w:asciiTheme="majorHAnsi" w:hAnsiTheme="majorHAnsi" w:cs="Calibri"/>
          <w:sz w:val="20"/>
          <w:szCs w:val="20"/>
          <w:bdr w:val="none" w:sz="0" w:space="0" w:color="auto"/>
          <w:lang w:val="es-ES"/>
        </w:rPr>
        <w:t xml:space="preserve"> Por su parte, los peticionarios alegan que resulta aplicable la excepci</w:t>
      </w:r>
      <w:r w:rsidR="00D173DE">
        <w:rPr>
          <w:rFonts w:asciiTheme="majorHAnsi" w:hAnsiTheme="majorHAnsi" w:cs="Calibri"/>
          <w:sz w:val="20"/>
          <w:szCs w:val="20"/>
          <w:bdr w:val="none" w:sz="0" w:space="0" w:color="auto"/>
          <w:lang w:val="es-ES"/>
        </w:rPr>
        <w:t>ón prevista en el artículo 46.2.</w:t>
      </w:r>
      <w:r w:rsidRPr="00A76683">
        <w:rPr>
          <w:rFonts w:asciiTheme="majorHAnsi" w:hAnsiTheme="majorHAnsi" w:cs="Calibri"/>
          <w:sz w:val="20"/>
          <w:szCs w:val="20"/>
          <w:bdr w:val="none" w:sz="0" w:space="0" w:color="auto"/>
          <w:lang w:val="es-ES"/>
        </w:rPr>
        <w:t>c de la Convención en vista de que han transcurrido más de veint</w:t>
      </w:r>
      <w:r w:rsidR="005948BB" w:rsidRPr="00A76683">
        <w:rPr>
          <w:rFonts w:asciiTheme="majorHAnsi" w:hAnsiTheme="majorHAnsi" w:cs="Calibri"/>
          <w:sz w:val="20"/>
          <w:szCs w:val="20"/>
          <w:bdr w:val="none" w:sz="0" w:space="0" w:color="auto"/>
          <w:lang w:val="es-ES"/>
        </w:rPr>
        <w:t>icinco</w:t>
      </w:r>
      <w:r w:rsidRPr="00A76683">
        <w:rPr>
          <w:rFonts w:asciiTheme="majorHAnsi" w:hAnsiTheme="majorHAnsi" w:cs="Calibri"/>
          <w:sz w:val="20"/>
          <w:szCs w:val="20"/>
          <w:bdr w:val="none" w:sz="0" w:space="0" w:color="auto"/>
          <w:lang w:val="es-ES"/>
        </w:rPr>
        <w:t xml:space="preserve"> años desde que ocurrieron los hechos y del inicio de la investigación penal sin que se haya</w:t>
      </w:r>
      <w:r w:rsidR="00A326D0" w:rsidRPr="00A76683">
        <w:rPr>
          <w:rFonts w:asciiTheme="majorHAnsi" w:hAnsiTheme="majorHAnsi" w:cs="Calibri"/>
          <w:sz w:val="20"/>
          <w:szCs w:val="20"/>
          <w:bdr w:val="none" w:sz="0" w:space="0" w:color="auto"/>
          <w:lang w:val="es-ES"/>
        </w:rPr>
        <w:t>n</w:t>
      </w:r>
      <w:r w:rsidRPr="00A76683">
        <w:rPr>
          <w:rFonts w:asciiTheme="majorHAnsi" w:hAnsiTheme="majorHAnsi" w:cs="Calibri"/>
          <w:sz w:val="20"/>
          <w:szCs w:val="20"/>
          <w:bdr w:val="none" w:sz="0" w:space="0" w:color="auto"/>
          <w:lang w:val="es-ES"/>
        </w:rPr>
        <w:t xml:space="preserve"> establecido las responsabilidades penales correspondientes. </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lang w:val="es-ES"/>
        </w:rPr>
      </w:pPr>
    </w:p>
    <w:p w:rsidR="00181829" w:rsidRPr="00A76683" w:rsidRDefault="00181829" w:rsidP="006176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cs="Calibri"/>
          <w:sz w:val="20"/>
          <w:szCs w:val="20"/>
          <w:bdr w:val="none" w:sz="0" w:space="0" w:color="auto"/>
          <w:lang w:val="es-ES"/>
        </w:rPr>
        <w:t>En vista de los alegatos de las partes</w:t>
      </w:r>
      <w:r w:rsidR="00A326D0" w:rsidRPr="00A76683">
        <w:rPr>
          <w:rFonts w:asciiTheme="majorHAnsi" w:hAnsiTheme="majorHAnsi" w:cs="Calibri"/>
          <w:sz w:val="20"/>
          <w:szCs w:val="20"/>
          <w:bdr w:val="none" w:sz="0" w:space="0" w:color="auto"/>
          <w:lang w:val="es-ES"/>
        </w:rPr>
        <w:t>, corresponde en primer término</w:t>
      </w:r>
      <w:r w:rsidRPr="00A76683">
        <w:rPr>
          <w:rFonts w:asciiTheme="majorHAnsi" w:hAnsiTheme="majorHAnsi" w:cs="Calibri"/>
          <w:sz w:val="20"/>
          <w:szCs w:val="20"/>
          <w:bdr w:val="none" w:sz="0" w:space="0" w:color="auto"/>
          <w:lang w:val="es-ES"/>
        </w:rPr>
        <w:t xml:space="preserve"> aclarar cuáles son los recursos internos que deben ser agotados, a la luz de la jurispruden</w:t>
      </w:r>
      <w:r w:rsidR="003A5FE7" w:rsidRPr="00A76683">
        <w:rPr>
          <w:rFonts w:asciiTheme="majorHAnsi" w:hAnsiTheme="majorHAnsi" w:cs="Calibri"/>
          <w:sz w:val="20"/>
          <w:szCs w:val="20"/>
          <w:bdr w:val="none" w:sz="0" w:space="0" w:color="auto"/>
          <w:lang w:val="es-ES"/>
        </w:rPr>
        <w:t>cia del sistema interamericano.</w:t>
      </w:r>
      <w:r w:rsidRPr="00A76683">
        <w:rPr>
          <w:rFonts w:asciiTheme="majorHAnsi" w:hAnsiTheme="majorHAnsi" w:cs="Calibri"/>
          <w:sz w:val="20"/>
          <w:szCs w:val="20"/>
          <w:bdr w:val="none" w:sz="0" w:space="0" w:color="auto"/>
          <w:lang w:val="es-ES"/>
        </w:rPr>
        <w:t xml:space="preserve"> La Comisión observa que el objeto de la presente petición se refiere a los hechos relacionados con la </w:t>
      </w:r>
      <w:r w:rsidR="00607039">
        <w:rPr>
          <w:rFonts w:asciiTheme="majorHAnsi" w:hAnsiTheme="majorHAnsi" w:cs="Calibri"/>
          <w:sz w:val="20"/>
          <w:szCs w:val="20"/>
          <w:bdr w:val="none" w:sz="0" w:space="0" w:color="auto"/>
          <w:lang w:val="es-ES"/>
        </w:rPr>
        <w:t>alegad</w:t>
      </w:r>
      <w:r w:rsidRPr="00A76683">
        <w:rPr>
          <w:rFonts w:asciiTheme="majorHAnsi" w:hAnsiTheme="majorHAnsi" w:cs="Calibri"/>
          <w:sz w:val="20"/>
          <w:szCs w:val="20"/>
          <w:bdr w:val="none" w:sz="0" w:space="0" w:color="auto"/>
          <w:lang w:val="es-ES"/>
        </w:rPr>
        <w:t xml:space="preserve">a </w:t>
      </w:r>
      <w:r w:rsidR="007615E7" w:rsidRPr="00A76683">
        <w:rPr>
          <w:rFonts w:asciiTheme="majorHAnsi" w:hAnsiTheme="majorHAnsi" w:cs="Calibri"/>
          <w:sz w:val="20"/>
          <w:szCs w:val="20"/>
          <w:bdr w:val="none" w:sz="0" w:space="0" w:color="auto"/>
          <w:lang w:val="es-ES"/>
        </w:rPr>
        <w:t xml:space="preserve">masacre de 6 personas, de las cuales dos </w:t>
      </w:r>
      <w:r w:rsidR="00607039">
        <w:rPr>
          <w:rFonts w:asciiTheme="majorHAnsi" w:hAnsiTheme="majorHAnsi" w:cs="Calibri"/>
          <w:sz w:val="20"/>
          <w:szCs w:val="20"/>
          <w:bdr w:val="none" w:sz="0" w:space="0" w:color="auto"/>
          <w:lang w:val="es-ES"/>
        </w:rPr>
        <w:t xml:space="preserve">eran </w:t>
      </w:r>
      <w:r w:rsidR="007615E7" w:rsidRPr="00A76683">
        <w:rPr>
          <w:rFonts w:asciiTheme="majorHAnsi" w:hAnsiTheme="majorHAnsi" w:cs="Calibri"/>
          <w:sz w:val="20"/>
          <w:szCs w:val="20"/>
          <w:bdr w:val="none" w:sz="0" w:space="0" w:color="auto"/>
          <w:lang w:val="es-ES"/>
        </w:rPr>
        <w:t>menores de edad,</w:t>
      </w:r>
      <w:r w:rsidRPr="00A76683">
        <w:rPr>
          <w:rFonts w:asciiTheme="majorHAnsi" w:hAnsiTheme="majorHAnsi" w:cs="Calibri"/>
          <w:sz w:val="20"/>
          <w:szCs w:val="20"/>
          <w:bdr w:val="none" w:sz="0" w:space="0" w:color="auto"/>
          <w:lang w:val="es-ES"/>
        </w:rPr>
        <w:t xml:space="preserve"> y</w:t>
      </w:r>
      <w:r w:rsidR="00A44144" w:rsidRPr="00A76683">
        <w:rPr>
          <w:rFonts w:asciiTheme="majorHAnsi" w:hAnsiTheme="majorHAnsi" w:cs="Calibri"/>
          <w:sz w:val="20"/>
          <w:szCs w:val="20"/>
          <w:bdr w:val="none" w:sz="0" w:space="0" w:color="auto"/>
          <w:lang w:val="es-ES"/>
        </w:rPr>
        <w:t xml:space="preserve"> la</w:t>
      </w:r>
      <w:r w:rsidR="00607039">
        <w:rPr>
          <w:rFonts w:asciiTheme="majorHAnsi" w:hAnsiTheme="majorHAnsi" w:cs="Calibri"/>
          <w:sz w:val="20"/>
          <w:szCs w:val="20"/>
          <w:bdr w:val="none" w:sz="0" w:space="0" w:color="auto"/>
          <w:lang w:val="es-ES"/>
        </w:rPr>
        <w:t>s presuntas deficiencias en la</w:t>
      </w:r>
      <w:r w:rsidR="00A44144" w:rsidRPr="00A76683">
        <w:rPr>
          <w:rFonts w:asciiTheme="majorHAnsi" w:hAnsiTheme="majorHAnsi" w:cs="Calibri"/>
          <w:sz w:val="20"/>
          <w:szCs w:val="20"/>
          <w:bdr w:val="none" w:sz="0" w:space="0" w:color="auto"/>
          <w:lang w:val="es-ES"/>
        </w:rPr>
        <w:t xml:space="preserve"> investigación</w:t>
      </w:r>
      <w:r w:rsidRPr="00A76683">
        <w:rPr>
          <w:rFonts w:asciiTheme="majorHAnsi" w:hAnsiTheme="majorHAnsi" w:cs="Calibri"/>
          <w:sz w:val="20"/>
          <w:szCs w:val="20"/>
          <w:bdr w:val="none" w:sz="0" w:space="0" w:color="auto"/>
          <w:lang w:val="es-ES"/>
        </w:rPr>
        <w:t xml:space="preserve"> de las circunstancias en que</w:t>
      </w:r>
      <w:r w:rsidR="009E7797" w:rsidRPr="00A76683">
        <w:rPr>
          <w:rFonts w:asciiTheme="majorHAnsi" w:hAnsiTheme="majorHAnsi" w:cs="Calibri"/>
          <w:sz w:val="20"/>
          <w:szCs w:val="20"/>
          <w:bdr w:val="none" w:sz="0" w:space="0" w:color="auto"/>
          <w:lang w:val="es-ES"/>
        </w:rPr>
        <w:t xml:space="preserve"> tuvieron lugar dichos hechos. </w:t>
      </w:r>
      <w:r w:rsidRPr="00A76683">
        <w:rPr>
          <w:rFonts w:asciiTheme="majorHAnsi" w:hAnsiTheme="majorHAnsi" w:cs="Calibri"/>
          <w:sz w:val="20"/>
          <w:szCs w:val="20"/>
          <w:bdr w:val="none" w:sz="0" w:space="0" w:color="auto"/>
          <w:lang w:val="es-ES"/>
        </w:rPr>
        <w:t>Los precedentes establecidos por la Comisión señalan que toda vez que se cometa un presunto delito perseguible de oficio, el Estado tiene la obligación de promover e impulsar el proceso penal</w:t>
      </w:r>
      <w:r w:rsidRPr="00A76683">
        <w:rPr>
          <w:rFonts w:asciiTheme="majorHAnsi" w:hAnsiTheme="majorHAnsi" w:cs="Calibri"/>
          <w:sz w:val="20"/>
          <w:szCs w:val="20"/>
          <w:bdr w:val="none" w:sz="0" w:space="0" w:color="auto"/>
          <w:vertAlign w:val="superscript"/>
          <w:lang w:val="es-ES"/>
        </w:rPr>
        <w:footnoteReference w:id="8"/>
      </w:r>
      <w:r w:rsidRPr="00A76683">
        <w:rPr>
          <w:rFonts w:asciiTheme="majorHAnsi" w:hAnsiTheme="majorHAnsi" w:cs="Calibri"/>
          <w:sz w:val="20"/>
          <w:szCs w:val="20"/>
          <w:bdr w:val="none" w:sz="0" w:space="0" w:color="auto"/>
          <w:lang w:val="es-ES"/>
        </w:rPr>
        <w:t xml:space="preserve"> y que, en esos casos, éste constituye la vía idónea para esclarecer los hechos, juzgar a los responsables y establecer las sanciones penales correspondientes, además de posibilitar otros modos de</w:t>
      </w:r>
      <w:r w:rsidR="00A44144" w:rsidRPr="00A76683">
        <w:rPr>
          <w:rFonts w:asciiTheme="majorHAnsi" w:hAnsiTheme="majorHAnsi" w:cs="Calibri"/>
          <w:sz w:val="20"/>
          <w:szCs w:val="20"/>
          <w:bdr w:val="none" w:sz="0" w:space="0" w:color="auto"/>
          <w:lang w:val="es-ES"/>
        </w:rPr>
        <w:t xml:space="preserve"> reparación de tipo pecuniario.</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z w:val="20"/>
          <w:szCs w:val="20"/>
          <w:bdr w:val="none" w:sz="0" w:space="0" w:color="auto"/>
          <w:lang w:val="es-ES"/>
        </w:rPr>
      </w:pPr>
    </w:p>
    <w:p w:rsidR="00181829" w:rsidRPr="00A76683" w:rsidRDefault="00181829" w:rsidP="006176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cs="Calibri"/>
          <w:sz w:val="20"/>
          <w:szCs w:val="20"/>
          <w:bdr w:val="none" w:sz="0" w:space="0" w:color="auto"/>
          <w:lang w:val="es-ES"/>
        </w:rPr>
        <w:t>La Comisión ha señalado que como regla general, una investigación penal debe realizarse prontamente para proteger los intereses de las víctimas, preservar la prueba e incluso salvaguardar los derechos de toda persona que en el contexto de la investigación sea considerada sospechosa</w:t>
      </w:r>
      <w:r w:rsidRPr="00A76683">
        <w:rPr>
          <w:rFonts w:asciiTheme="majorHAnsi" w:hAnsiTheme="majorHAnsi" w:cs="Calibri"/>
          <w:sz w:val="20"/>
          <w:szCs w:val="20"/>
          <w:bdr w:val="none" w:sz="0" w:space="0" w:color="auto"/>
          <w:vertAlign w:val="superscript"/>
          <w:lang w:val="es-ES"/>
        </w:rPr>
        <w:footnoteReference w:id="9"/>
      </w:r>
      <w:r w:rsidRPr="00A76683">
        <w:rPr>
          <w:rFonts w:asciiTheme="majorHAnsi" w:hAnsiTheme="majorHAnsi" w:cs="Calibri"/>
          <w:sz w:val="20"/>
          <w:szCs w:val="20"/>
          <w:bdr w:val="none" w:sz="0" w:space="0" w:color="auto"/>
          <w:lang w:val="es-ES"/>
        </w:rPr>
        <w:t xml:space="preserve">. La Comisión observa que la información aportada por ambas partes indica que la investigación destinada al esclarecimiento de los hechos continúa abierta, sin que se haya establecido la responsabilidad en la autoría </w:t>
      </w:r>
      <w:r w:rsidRPr="00A76683">
        <w:rPr>
          <w:rFonts w:asciiTheme="majorHAnsi" w:hAnsiTheme="majorHAnsi" w:cs="Calibri"/>
          <w:sz w:val="20"/>
          <w:szCs w:val="20"/>
          <w:bdr w:val="none" w:sz="0" w:space="0" w:color="auto"/>
          <w:lang w:val="es-ES"/>
        </w:rPr>
        <w:lastRenderedPageBreak/>
        <w:t xml:space="preserve">material e intelectual por los </w:t>
      </w:r>
      <w:r w:rsidR="000D0204" w:rsidRPr="00A76683">
        <w:rPr>
          <w:rFonts w:asciiTheme="majorHAnsi" w:hAnsiTheme="majorHAnsi" w:cs="Calibri"/>
          <w:sz w:val="20"/>
          <w:szCs w:val="20"/>
          <w:bdr w:val="none" w:sz="0" w:space="0" w:color="auto"/>
          <w:lang w:val="es-ES"/>
        </w:rPr>
        <w:t>hechos de la presente petición.</w:t>
      </w:r>
      <w:r w:rsidRPr="00A76683">
        <w:rPr>
          <w:rFonts w:asciiTheme="majorHAnsi" w:hAnsiTheme="majorHAnsi" w:cs="Calibri"/>
          <w:sz w:val="20"/>
          <w:szCs w:val="20"/>
          <w:bdr w:val="none" w:sz="0" w:space="0" w:color="auto"/>
          <w:lang w:val="es-ES"/>
        </w:rPr>
        <w:t xml:space="preserve"> Por lo tanto, dadas las características de la petición y el lapso transcurrido desde los hechos materia del reclamo, la Comisión considera que resulta aplicable la excepci</w:t>
      </w:r>
      <w:r w:rsidR="00D173DE">
        <w:rPr>
          <w:rFonts w:asciiTheme="majorHAnsi" w:hAnsiTheme="majorHAnsi" w:cs="Calibri"/>
          <w:sz w:val="20"/>
          <w:szCs w:val="20"/>
          <w:bdr w:val="none" w:sz="0" w:space="0" w:color="auto"/>
          <w:lang w:val="es-ES"/>
        </w:rPr>
        <w:t>ón prevista en el artículo 46.2.</w:t>
      </w:r>
      <w:r w:rsidRPr="00A76683">
        <w:rPr>
          <w:rFonts w:asciiTheme="majorHAnsi" w:hAnsiTheme="majorHAnsi" w:cs="Calibri"/>
          <w:sz w:val="20"/>
          <w:szCs w:val="20"/>
          <w:bdr w:val="none" w:sz="0" w:space="0" w:color="auto"/>
          <w:lang w:val="es-ES"/>
        </w:rPr>
        <w:t xml:space="preserve">c de la Convención respecto del retardo injustificado en el desarrollo de los procesos judiciales internos, por lo que el requisito previsto en materia de agotamiento de recursos internos no resulta exigible. </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lang w:val="es-ES"/>
        </w:rPr>
      </w:pPr>
    </w:p>
    <w:p w:rsidR="00181829" w:rsidRPr="00A76683" w:rsidRDefault="00181829" w:rsidP="006176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sz w:val="20"/>
          <w:szCs w:val="20"/>
          <w:bdr w:val="none" w:sz="0" w:space="0" w:color="auto"/>
          <w:lang w:val="es-ES"/>
        </w:rPr>
        <w:t xml:space="preserve">La invocación de las excepciones a la regla de agotamiento de los recursos internos previstas en el artículo 46.2 de la Convención se encuentra estrechamente ligada a la determinación de posibles violaciones a ciertos derechos en ella consagrados, tales como las garantías de acceso a la justicia. Sin embargo, el artículo 46.2, por su naturaleza y objeto, es una norma con contenido autónomo </w:t>
      </w:r>
      <w:r w:rsidRPr="00A76683">
        <w:rPr>
          <w:rFonts w:asciiTheme="majorHAnsi" w:hAnsiTheme="majorHAnsi"/>
          <w:i/>
          <w:iCs/>
          <w:sz w:val="20"/>
          <w:szCs w:val="20"/>
          <w:bdr w:val="none" w:sz="0" w:space="0" w:color="auto"/>
          <w:lang w:val="es-ES"/>
        </w:rPr>
        <w:t>vis á vis</w:t>
      </w:r>
      <w:r w:rsidRPr="00A76683">
        <w:rPr>
          <w:rFonts w:asciiTheme="majorHAnsi" w:hAnsiTheme="majorHAnsi"/>
          <w:sz w:val="20"/>
          <w:szCs w:val="20"/>
          <w:bdr w:val="none" w:sz="0" w:space="0" w:color="auto"/>
          <w:lang w:val="es-ES"/>
        </w:rPr>
        <w:t xml:space="preserve"> las norma</w:t>
      </w:r>
      <w:r w:rsidR="00A81547" w:rsidRPr="00A76683">
        <w:rPr>
          <w:rFonts w:asciiTheme="majorHAnsi" w:hAnsiTheme="majorHAnsi"/>
          <w:sz w:val="20"/>
          <w:szCs w:val="20"/>
          <w:bdr w:val="none" w:sz="0" w:space="0" w:color="auto"/>
          <w:lang w:val="es-ES"/>
        </w:rPr>
        <w:t>s sustantivas de la Convención.</w:t>
      </w:r>
      <w:r w:rsidRPr="00A76683">
        <w:rPr>
          <w:rFonts w:asciiTheme="majorHAnsi" w:hAnsiTheme="majorHAnsi"/>
          <w:sz w:val="20"/>
          <w:szCs w:val="20"/>
          <w:bdr w:val="none" w:sz="0" w:space="0" w:color="auto"/>
          <w:lang w:val="es-ES"/>
        </w:rPr>
        <w:t xml:space="preserve">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Cabe aclarar que las causas y los efectos que impidieron el agotamiento de los recursos internos serán analizados en el informe que adopte la Comisión sobre el fondo de la controversia, a fin de constatar si configuran violaciones a la Convención Americana.</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cs="Calibri"/>
          <w:b/>
          <w:snapToGrid w:val="0"/>
          <w:sz w:val="20"/>
          <w:szCs w:val="20"/>
          <w:bdr w:val="none" w:sz="0" w:space="0" w:color="auto"/>
          <w:lang w:val="es-ES"/>
        </w:rPr>
      </w:pPr>
    </w:p>
    <w:p w:rsidR="00181829" w:rsidRPr="00A76683" w:rsidRDefault="00181829" w:rsidP="00543D2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snapToGrid w:val="0"/>
          <w:sz w:val="20"/>
          <w:szCs w:val="20"/>
          <w:bdr w:val="none" w:sz="0" w:space="0" w:color="auto"/>
          <w:lang w:val="es-ES"/>
        </w:rPr>
      </w:pPr>
      <w:r w:rsidRPr="00A76683">
        <w:rPr>
          <w:rFonts w:asciiTheme="majorHAnsi" w:hAnsiTheme="majorHAnsi"/>
          <w:b/>
          <w:sz w:val="20"/>
          <w:szCs w:val="20"/>
          <w:bdr w:val="none" w:sz="0" w:space="0" w:color="auto"/>
          <w:lang w:val="es-ES"/>
        </w:rPr>
        <w:t>Plazo de presentación de la petición</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lang w:val="es-ES"/>
        </w:rPr>
      </w:pPr>
    </w:p>
    <w:p w:rsidR="00181829" w:rsidRPr="00A76683" w:rsidRDefault="00181829" w:rsidP="006176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sz w:val="20"/>
          <w:szCs w:val="20"/>
          <w:bdr w:val="none" w:sz="0" w:space="0" w:color="auto"/>
          <w:lang w:val="es-ES"/>
        </w:rPr>
        <w:t>Conforme a lo establecido en el artículo 46.1</w:t>
      </w:r>
      <w:r w:rsidR="00D173DE">
        <w:rPr>
          <w:rFonts w:asciiTheme="majorHAnsi" w:hAnsiTheme="majorHAnsi"/>
          <w:sz w:val="20"/>
          <w:szCs w:val="20"/>
          <w:bdr w:val="none" w:sz="0" w:space="0" w:color="auto"/>
          <w:lang w:val="es-ES"/>
        </w:rPr>
        <w:t>.</w:t>
      </w:r>
      <w:r w:rsidRPr="00A76683">
        <w:rPr>
          <w:rFonts w:asciiTheme="majorHAnsi" w:hAnsiTheme="majorHAnsi"/>
          <w:sz w:val="20"/>
          <w:szCs w:val="20"/>
          <w:bdr w:val="none" w:sz="0" w:space="0" w:color="auto"/>
          <w:lang w:val="es-ES"/>
        </w:rPr>
        <w:t>b de la Convención Americana para que una petición sea admitida por la Comisión se requiere que sea presentada dentro del plazo de seis meses a partir de la fecha en que el presunto lesionado en sus derechos haya sido notificado de la decisión definitiva.  El artículo 32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lang w:val="es-ES"/>
        </w:rPr>
      </w:pPr>
    </w:p>
    <w:p w:rsidR="00181829" w:rsidRPr="00A76683" w:rsidRDefault="00181829" w:rsidP="006176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sz w:val="20"/>
          <w:szCs w:val="20"/>
          <w:bdr w:val="none" w:sz="0" w:space="0" w:color="auto"/>
          <w:lang w:val="es-ES"/>
        </w:rPr>
        <w:t xml:space="preserve">En el reclamo bajo estudio, la Comisión ha concluido que resulta procedente la aplicación de la excepción del requisito de agotamiento de los recursos internos, por lo que corresponde a la CIDH analizar si la petición fue presentada en un plazo razonable de acuerdo con las circunstancias específicas. </w:t>
      </w:r>
      <w:r w:rsidRPr="00A76683">
        <w:rPr>
          <w:rFonts w:asciiTheme="majorHAnsi" w:hAnsiTheme="majorHAnsi" w:cs="Calibri"/>
          <w:sz w:val="20"/>
          <w:szCs w:val="20"/>
          <w:bdr w:val="none" w:sz="0" w:space="0" w:color="auto"/>
          <w:lang w:val="es-ES"/>
        </w:rPr>
        <w:t xml:space="preserve">En el presente asunto, la petición fue recibida el </w:t>
      </w:r>
      <w:r w:rsidR="000D0204" w:rsidRPr="00A76683">
        <w:rPr>
          <w:rFonts w:asciiTheme="majorHAnsi" w:hAnsiTheme="majorHAnsi" w:cs="Calibri"/>
          <w:sz w:val="20"/>
          <w:szCs w:val="20"/>
          <w:bdr w:val="none" w:sz="0" w:space="0" w:color="auto"/>
          <w:lang w:val="es-ES"/>
        </w:rPr>
        <w:t>8 de agosto de 1997</w:t>
      </w:r>
      <w:r w:rsidRPr="00A76683">
        <w:rPr>
          <w:rFonts w:asciiTheme="majorHAnsi" w:hAnsiTheme="majorHAnsi" w:cs="Calibri"/>
          <w:sz w:val="20"/>
          <w:szCs w:val="20"/>
          <w:bdr w:val="none" w:sz="0" w:space="0" w:color="auto"/>
          <w:lang w:val="es-ES"/>
        </w:rPr>
        <w:t xml:space="preserve"> y los</w:t>
      </w:r>
      <w:r w:rsidR="00607039">
        <w:rPr>
          <w:rFonts w:asciiTheme="majorHAnsi" w:hAnsiTheme="majorHAnsi" w:cs="Calibri"/>
          <w:sz w:val="20"/>
          <w:szCs w:val="20"/>
          <w:bdr w:val="none" w:sz="0" w:space="0" w:color="auto"/>
          <w:lang w:val="es-ES"/>
        </w:rPr>
        <w:t xml:space="preserve"> alegados</w:t>
      </w:r>
      <w:r w:rsidRPr="00A76683">
        <w:rPr>
          <w:rFonts w:asciiTheme="majorHAnsi" w:hAnsiTheme="majorHAnsi" w:cs="Calibri"/>
          <w:sz w:val="20"/>
          <w:szCs w:val="20"/>
          <w:bdr w:val="none" w:sz="0" w:space="0" w:color="auto"/>
          <w:lang w:val="es-ES"/>
        </w:rPr>
        <w:t xml:space="preserve"> hechos materia del reclamo iniciaron el </w:t>
      </w:r>
      <w:r w:rsidR="00616587" w:rsidRPr="00A76683">
        <w:rPr>
          <w:rFonts w:asciiTheme="majorHAnsi" w:hAnsiTheme="majorHAnsi" w:cs="Calibri"/>
          <w:sz w:val="20"/>
          <w:szCs w:val="20"/>
          <w:bdr w:val="none" w:sz="0" w:space="0" w:color="auto"/>
          <w:lang w:val="es-ES"/>
        </w:rPr>
        <w:t>5</w:t>
      </w:r>
      <w:r w:rsidR="000D0204" w:rsidRPr="00A76683">
        <w:rPr>
          <w:rFonts w:asciiTheme="majorHAnsi" w:hAnsiTheme="majorHAnsi" w:cs="Calibri"/>
          <w:sz w:val="20"/>
          <w:szCs w:val="20"/>
          <w:bdr w:val="none" w:sz="0" w:space="0" w:color="auto"/>
          <w:lang w:val="es-ES"/>
        </w:rPr>
        <w:t xml:space="preserve"> de </w:t>
      </w:r>
      <w:r w:rsidR="00616587" w:rsidRPr="00A76683">
        <w:rPr>
          <w:rFonts w:asciiTheme="majorHAnsi" w:hAnsiTheme="majorHAnsi" w:cs="Calibri"/>
          <w:sz w:val="20"/>
          <w:szCs w:val="20"/>
          <w:bdr w:val="none" w:sz="0" w:space="0" w:color="auto"/>
          <w:lang w:val="es-ES"/>
        </w:rPr>
        <w:t>junio</w:t>
      </w:r>
      <w:r w:rsidR="000D0204" w:rsidRPr="00A76683">
        <w:rPr>
          <w:rFonts w:asciiTheme="majorHAnsi" w:hAnsiTheme="majorHAnsi" w:cs="Calibri"/>
          <w:sz w:val="20"/>
          <w:szCs w:val="20"/>
          <w:bdr w:val="none" w:sz="0" w:space="0" w:color="auto"/>
          <w:lang w:val="es-ES"/>
        </w:rPr>
        <w:t xml:space="preserve"> de 1990 y </w:t>
      </w:r>
      <w:r w:rsidRPr="00A76683">
        <w:rPr>
          <w:rFonts w:asciiTheme="majorHAnsi" w:hAnsiTheme="majorHAnsi" w:cs="Calibri"/>
          <w:sz w:val="20"/>
          <w:szCs w:val="20"/>
          <w:bdr w:val="none" w:sz="0" w:space="0" w:color="auto"/>
          <w:lang w:val="es-ES"/>
        </w:rPr>
        <w:t>sus efectos en términos de la falta de resultados de la administración de justicia se</w:t>
      </w:r>
      <w:r w:rsidR="000D0204" w:rsidRPr="00A76683">
        <w:rPr>
          <w:rFonts w:asciiTheme="majorHAnsi" w:hAnsiTheme="majorHAnsi" w:cs="Calibri"/>
          <w:sz w:val="20"/>
          <w:szCs w:val="20"/>
          <w:bdr w:val="none" w:sz="0" w:space="0" w:color="auto"/>
          <w:lang w:val="es-ES"/>
        </w:rPr>
        <w:t xml:space="preserve"> extenderían hasta el presente.</w:t>
      </w:r>
      <w:r w:rsidRPr="00A76683">
        <w:rPr>
          <w:rFonts w:asciiTheme="majorHAnsi" w:hAnsiTheme="majorHAnsi" w:cs="Calibri"/>
          <w:sz w:val="20"/>
          <w:szCs w:val="20"/>
          <w:bdr w:val="none" w:sz="0" w:space="0" w:color="auto"/>
          <w:lang w:val="es-ES"/>
        </w:rPr>
        <w:t xml:space="preserve"> Por lo tanto, en vista del contexto y las características de la presente petición, así como el hecho de que </w:t>
      </w:r>
      <w:r w:rsidR="00607039">
        <w:rPr>
          <w:rFonts w:asciiTheme="majorHAnsi" w:hAnsiTheme="majorHAnsi" w:cs="Calibri"/>
          <w:sz w:val="20"/>
          <w:szCs w:val="20"/>
          <w:bdr w:val="none" w:sz="0" w:space="0" w:color="auto"/>
          <w:lang w:val="es-ES"/>
        </w:rPr>
        <w:t>el proceso penal se encuentra</w:t>
      </w:r>
      <w:r w:rsidR="000D0204" w:rsidRPr="00A76683">
        <w:rPr>
          <w:rFonts w:asciiTheme="majorHAnsi" w:hAnsiTheme="majorHAnsi" w:cs="Calibri"/>
          <w:sz w:val="20"/>
          <w:szCs w:val="20"/>
          <w:bdr w:val="none" w:sz="0" w:space="0" w:color="auto"/>
          <w:lang w:val="es-ES"/>
        </w:rPr>
        <w:t xml:space="preserve"> pendiente</w:t>
      </w:r>
      <w:r w:rsidRPr="00A76683">
        <w:rPr>
          <w:rFonts w:asciiTheme="majorHAnsi" w:hAnsiTheme="majorHAnsi" w:cs="Calibri"/>
          <w:sz w:val="20"/>
          <w:szCs w:val="20"/>
          <w:bdr w:val="none" w:sz="0" w:space="0" w:color="auto"/>
          <w:lang w:val="es-ES"/>
        </w:rPr>
        <w:t>, la Comisión considera que la petición fue presentada dentro de un plazo razonable y que debe darse por satisfecho el requisito de admisibilidad referente al plazo de presentación</w:t>
      </w:r>
      <w:r w:rsidRPr="00A76683">
        <w:rPr>
          <w:rFonts w:asciiTheme="majorHAnsi" w:hAnsiTheme="majorHAnsi"/>
          <w:sz w:val="20"/>
          <w:szCs w:val="20"/>
          <w:bdr w:val="none" w:sz="0" w:space="0" w:color="auto"/>
          <w:lang w:val="es-ES"/>
        </w:rPr>
        <w:t>.</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cs="Calibri"/>
          <w:b/>
          <w:snapToGrid w:val="0"/>
          <w:sz w:val="20"/>
          <w:szCs w:val="20"/>
          <w:bdr w:val="none" w:sz="0" w:space="0" w:color="auto"/>
          <w:lang w:val="es-ES"/>
        </w:rPr>
      </w:pPr>
    </w:p>
    <w:p w:rsidR="00181829" w:rsidRPr="00A76683" w:rsidRDefault="00181829" w:rsidP="00543D2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snapToGrid w:val="0"/>
          <w:sz w:val="20"/>
          <w:szCs w:val="20"/>
          <w:bdr w:val="none" w:sz="0" w:space="0" w:color="auto"/>
          <w:lang w:val="es-ES"/>
        </w:rPr>
      </w:pPr>
      <w:r w:rsidRPr="00A76683">
        <w:rPr>
          <w:rFonts w:asciiTheme="majorHAnsi" w:hAnsiTheme="majorHAnsi"/>
          <w:b/>
          <w:sz w:val="20"/>
          <w:szCs w:val="20"/>
          <w:bdr w:val="none" w:sz="0" w:space="0" w:color="auto"/>
          <w:lang w:val="es-ES"/>
        </w:rPr>
        <w:t>Duplicación de procedimientos y cosa juzgada internacional</w:t>
      </w:r>
    </w:p>
    <w:p w:rsidR="00181829" w:rsidRPr="00A76683"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lang w:val="es-ES"/>
        </w:rPr>
      </w:pPr>
    </w:p>
    <w:p w:rsidR="00181829" w:rsidRPr="00A76683" w:rsidRDefault="00181829" w:rsidP="006176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cs="Calibri"/>
          <w:sz w:val="20"/>
          <w:szCs w:val="20"/>
          <w:bdr w:val="none" w:sz="0" w:space="0" w:color="auto"/>
          <w:lang w:val="es-ES"/>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w:t>
      </w:r>
      <w:r w:rsidR="00D173DE">
        <w:rPr>
          <w:rFonts w:asciiTheme="majorHAnsi" w:hAnsiTheme="majorHAnsi" w:cs="Calibri"/>
          <w:sz w:val="20"/>
          <w:szCs w:val="20"/>
          <w:bdr w:val="none" w:sz="0" w:space="0" w:color="auto"/>
          <w:lang w:val="es-ES"/>
        </w:rPr>
        <w:t>.</w:t>
      </w:r>
      <w:r w:rsidRPr="00A76683">
        <w:rPr>
          <w:rFonts w:asciiTheme="majorHAnsi" w:hAnsiTheme="majorHAnsi" w:cs="Calibri"/>
          <w:sz w:val="20"/>
          <w:szCs w:val="20"/>
          <w:bdr w:val="none" w:sz="0" w:space="0" w:color="auto"/>
          <w:lang w:val="es-ES"/>
        </w:rPr>
        <w:t>c y 47 d) de la Convención.</w:t>
      </w:r>
    </w:p>
    <w:p w:rsidR="00181829" w:rsidRPr="00A76683"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hAnsiTheme="majorHAnsi" w:cs="Calibri"/>
          <w:b/>
          <w:snapToGrid w:val="0"/>
          <w:color w:val="FF0000"/>
          <w:sz w:val="20"/>
          <w:szCs w:val="20"/>
          <w:bdr w:val="none" w:sz="0" w:space="0" w:color="auto"/>
          <w:lang w:val="es-ES"/>
        </w:rPr>
      </w:pPr>
    </w:p>
    <w:p w:rsidR="003669A7" w:rsidRPr="00A76683" w:rsidRDefault="00181829" w:rsidP="003669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heme="majorHAnsi" w:hAnsiTheme="majorHAnsi" w:cs="Calibri"/>
          <w:b/>
          <w:snapToGrid w:val="0"/>
          <w:sz w:val="20"/>
          <w:szCs w:val="20"/>
          <w:bdr w:val="none" w:sz="0" w:space="0" w:color="auto"/>
          <w:lang w:val="es-ES"/>
        </w:rPr>
      </w:pPr>
      <w:r w:rsidRPr="00A76683">
        <w:rPr>
          <w:rFonts w:asciiTheme="majorHAnsi" w:hAnsiTheme="majorHAnsi"/>
          <w:b/>
          <w:sz w:val="20"/>
          <w:szCs w:val="20"/>
          <w:bdr w:val="none" w:sz="0" w:space="0" w:color="auto"/>
          <w:lang w:val="es-ES"/>
        </w:rPr>
        <w:t xml:space="preserve">Caracterización de los hechos alegados </w:t>
      </w:r>
    </w:p>
    <w:p w:rsidR="003669A7" w:rsidRPr="00A76683" w:rsidRDefault="003669A7" w:rsidP="003669A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hAnsiTheme="majorHAnsi" w:cs="Calibri"/>
          <w:b/>
          <w:snapToGrid w:val="0"/>
          <w:sz w:val="20"/>
          <w:szCs w:val="20"/>
          <w:bdr w:val="none" w:sz="0" w:space="0" w:color="auto"/>
          <w:lang w:val="es-ES"/>
        </w:rPr>
      </w:pPr>
    </w:p>
    <w:p w:rsidR="007273BF" w:rsidRDefault="007273BF" w:rsidP="007273B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sz w:val="20"/>
          <w:szCs w:val="20"/>
          <w:lang w:val="es-UY"/>
        </w:rPr>
      </w:pPr>
      <w:r w:rsidRPr="007273BF">
        <w:rPr>
          <w:rFonts w:asciiTheme="majorHAnsi" w:hAnsiTheme="majorHAnsi"/>
          <w:sz w:val="20"/>
          <w:szCs w:val="20"/>
          <w:lang w:val="es-UY"/>
        </w:rPr>
        <w:t xml:space="preserve">A los efectos de la admisibilidad, la Comisión debe decidir si los hechos alegados pueden caracterizar una violación de derechos, según </w:t>
      </w:r>
      <w:r w:rsidR="00D173DE">
        <w:rPr>
          <w:rFonts w:asciiTheme="majorHAnsi" w:hAnsiTheme="majorHAnsi"/>
          <w:sz w:val="20"/>
          <w:szCs w:val="20"/>
          <w:lang w:val="es-UY"/>
        </w:rPr>
        <w:t>lo estipulado en el artículo 47.</w:t>
      </w:r>
      <w:r w:rsidRPr="007273BF">
        <w:rPr>
          <w:rFonts w:asciiTheme="majorHAnsi" w:hAnsiTheme="majorHAnsi"/>
          <w:sz w:val="20"/>
          <w:szCs w:val="20"/>
          <w:lang w:val="es-UY"/>
        </w:rPr>
        <w:t xml:space="preserve">b de la Convención Americana, o si la petición es "manifiestamente infundada" o es "evidente su total improcedencia", conforme al inciso (c) de dicho artículo.  El criterio para analizar la admisibilidad difiere del utilizado para el análisis del fondo de la petición dado que la Comisión sólo realiza un análisis </w:t>
      </w:r>
      <w:r w:rsidRPr="007273BF">
        <w:rPr>
          <w:rFonts w:asciiTheme="majorHAnsi" w:hAnsiTheme="majorHAnsi"/>
          <w:i/>
          <w:sz w:val="20"/>
          <w:szCs w:val="20"/>
          <w:lang w:val="es-UY"/>
        </w:rPr>
        <w:t>prima facie</w:t>
      </w:r>
      <w:r w:rsidRPr="007273BF">
        <w:rPr>
          <w:rFonts w:asciiTheme="majorHAnsi" w:hAnsiTheme="majorHAnsi"/>
          <w:sz w:val="20"/>
          <w:szCs w:val="20"/>
          <w:lang w:val="es-UY"/>
        </w:rPr>
        <w:t xml:space="preserve"> para determinar si los peticionarios establecen la aparente o posible violación de un derecho garantizado por la Convención Americana. Se trata de un análisis somero que no implica prejuzgar o emitir una opinión preli</w:t>
      </w:r>
      <w:r>
        <w:rPr>
          <w:rFonts w:asciiTheme="majorHAnsi" w:hAnsiTheme="majorHAnsi"/>
          <w:sz w:val="20"/>
          <w:szCs w:val="20"/>
          <w:lang w:val="es-UY"/>
        </w:rPr>
        <w:t>minar sobre el fondo del asunto.</w:t>
      </w:r>
    </w:p>
    <w:p w:rsidR="00A62385" w:rsidRPr="00F616A8" w:rsidRDefault="007273BF" w:rsidP="003801B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sz w:val="20"/>
          <w:szCs w:val="20"/>
          <w:lang w:val="es-UY"/>
        </w:rPr>
      </w:pPr>
      <w:r w:rsidRPr="007273BF">
        <w:rPr>
          <w:rFonts w:asciiTheme="majorHAnsi" w:hAnsiTheme="majorHAnsi"/>
          <w:sz w:val="20"/>
          <w:szCs w:val="20"/>
          <w:lang w:val="es-UY"/>
        </w:rPr>
        <w:lastRenderedPageBreak/>
        <w:t xml:space="preserve">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w:t>
      </w:r>
      <w:r w:rsidRPr="00F616A8">
        <w:rPr>
          <w:rFonts w:asciiTheme="majorHAnsi" w:hAnsiTheme="majorHAnsi"/>
          <w:sz w:val="20"/>
          <w:szCs w:val="20"/>
          <w:lang w:val="es-UY"/>
        </w:rPr>
        <w:t>probados mediante elementos suficientes.</w:t>
      </w:r>
    </w:p>
    <w:p w:rsidR="00CF1671" w:rsidRPr="00F616A8" w:rsidRDefault="002F41F7" w:rsidP="003801B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sz w:val="20"/>
          <w:szCs w:val="20"/>
          <w:lang w:val="es-UY"/>
        </w:rPr>
      </w:pPr>
      <w:r w:rsidRPr="00F616A8">
        <w:rPr>
          <w:rFonts w:asciiTheme="majorHAnsi" w:hAnsiTheme="majorHAnsi"/>
          <w:sz w:val="20"/>
          <w:szCs w:val="20"/>
          <w:lang w:val="es-ES_tradnl"/>
        </w:rPr>
        <w:t xml:space="preserve">En primer lugar, la </w:t>
      </w:r>
      <w:r w:rsidR="00A62385" w:rsidRPr="00F616A8">
        <w:rPr>
          <w:rFonts w:asciiTheme="majorHAnsi" w:hAnsiTheme="majorHAnsi"/>
          <w:sz w:val="20"/>
          <w:szCs w:val="20"/>
          <w:lang w:val="es-ES_tradnl"/>
        </w:rPr>
        <w:t>CIDH</w:t>
      </w:r>
      <w:r w:rsidRPr="00F616A8">
        <w:rPr>
          <w:rFonts w:asciiTheme="majorHAnsi" w:hAnsiTheme="majorHAnsi"/>
          <w:sz w:val="20"/>
          <w:szCs w:val="20"/>
          <w:lang w:val="es-ES_tradnl"/>
        </w:rPr>
        <w:t xml:space="preserve"> considera que </w:t>
      </w:r>
      <w:r w:rsidR="00CF1671" w:rsidRPr="00F616A8">
        <w:rPr>
          <w:rFonts w:asciiTheme="majorHAnsi" w:hAnsiTheme="majorHAnsi"/>
          <w:sz w:val="20"/>
          <w:szCs w:val="20"/>
          <w:lang w:val="es-ES"/>
        </w:rPr>
        <w:t xml:space="preserve">las alegaciones </w:t>
      </w:r>
      <w:r w:rsidRPr="00F616A8">
        <w:rPr>
          <w:rFonts w:asciiTheme="majorHAnsi" w:hAnsiTheme="majorHAnsi"/>
          <w:sz w:val="20"/>
          <w:szCs w:val="20"/>
          <w:lang w:val="es-ES"/>
        </w:rPr>
        <w:t xml:space="preserve">de los </w:t>
      </w:r>
      <w:r w:rsidR="00A62385" w:rsidRPr="00F616A8">
        <w:rPr>
          <w:rFonts w:asciiTheme="majorHAnsi" w:hAnsiTheme="majorHAnsi"/>
          <w:sz w:val="20"/>
          <w:szCs w:val="20"/>
          <w:lang w:val="es-ES"/>
        </w:rPr>
        <w:t>peticionarios</w:t>
      </w:r>
      <w:r w:rsidRPr="00F616A8">
        <w:rPr>
          <w:rFonts w:asciiTheme="majorHAnsi" w:hAnsiTheme="majorHAnsi"/>
          <w:sz w:val="20"/>
          <w:szCs w:val="20"/>
          <w:lang w:val="es-ES"/>
        </w:rPr>
        <w:t xml:space="preserve"> </w:t>
      </w:r>
      <w:r w:rsidR="00CF1671" w:rsidRPr="00F616A8">
        <w:rPr>
          <w:rFonts w:asciiTheme="majorHAnsi" w:hAnsiTheme="majorHAnsi"/>
          <w:sz w:val="20"/>
          <w:szCs w:val="20"/>
          <w:lang w:val="es-ES"/>
        </w:rPr>
        <w:t>en torno a la</w:t>
      </w:r>
      <w:r w:rsidR="00702894" w:rsidRPr="00F616A8">
        <w:rPr>
          <w:rFonts w:asciiTheme="majorHAnsi" w:hAnsiTheme="majorHAnsi"/>
          <w:sz w:val="20"/>
          <w:szCs w:val="20"/>
          <w:lang w:val="es-ES"/>
        </w:rPr>
        <w:t xml:space="preserve"> presunta</w:t>
      </w:r>
      <w:r w:rsidR="00CF1671" w:rsidRPr="00F616A8">
        <w:rPr>
          <w:rFonts w:asciiTheme="majorHAnsi" w:hAnsiTheme="majorHAnsi"/>
          <w:sz w:val="20"/>
          <w:szCs w:val="20"/>
          <w:lang w:val="es-ES"/>
        </w:rPr>
        <w:t xml:space="preserve"> vulneración </w:t>
      </w:r>
      <w:r w:rsidR="00702894" w:rsidRPr="00F616A8">
        <w:rPr>
          <w:rFonts w:asciiTheme="majorHAnsi" w:hAnsiTheme="majorHAnsi"/>
          <w:sz w:val="20"/>
          <w:szCs w:val="20"/>
          <w:lang w:val="es-ES"/>
        </w:rPr>
        <w:t>del derecho a la vida</w:t>
      </w:r>
      <w:r w:rsidR="00A62385" w:rsidRPr="00F616A8">
        <w:rPr>
          <w:rFonts w:asciiTheme="majorHAnsi" w:hAnsiTheme="majorHAnsi"/>
          <w:sz w:val="20"/>
          <w:szCs w:val="20"/>
          <w:lang w:val="es-ES"/>
        </w:rPr>
        <w:t xml:space="preserve"> (artículo 4)</w:t>
      </w:r>
      <w:r w:rsidR="00702894" w:rsidRPr="00F616A8">
        <w:rPr>
          <w:rFonts w:asciiTheme="majorHAnsi" w:hAnsiTheme="majorHAnsi"/>
          <w:sz w:val="20"/>
          <w:szCs w:val="20"/>
          <w:lang w:val="es-ES"/>
        </w:rPr>
        <w:t xml:space="preserve"> y a la integridad personal</w:t>
      </w:r>
      <w:r w:rsidR="00A62385" w:rsidRPr="00F616A8">
        <w:rPr>
          <w:rFonts w:asciiTheme="majorHAnsi" w:hAnsiTheme="majorHAnsi"/>
          <w:sz w:val="20"/>
          <w:szCs w:val="20"/>
          <w:lang w:val="es-ES"/>
        </w:rPr>
        <w:t xml:space="preserve"> (artículo 5),</w:t>
      </w:r>
      <w:r w:rsidR="00702894" w:rsidRPr="00F616A8">
        <w:rPr>
          <w:rFonts w:ascii="Times New Roman" w:eastAsia="Arial Unicode MS" w:hAnsi="Times New Roman" w:cs="Times New Roman"/>
          <w:color w:val="auto"/>
          <w:sz w:val="20"/>
          <w:szCs w:val="20"/>
          <w:lang w:val="es-ES_tradnl" w:eastAsia="en-US"/>
        </w:rPr>
        <w:t xml:space="preserve"> </w:t>
      </w:r>
      <w:r w:rsidR="00702894" w:rsidRPr="00F616A8">
        <w:rPr>
          <w:rFonts w:asciiTheme="majorHAnsi" w:hAnsiTheme="majorHAnsi"/>
          <w:sz w:val="20"/>
          <w:szCs w:val="20"/>
          <w:lang w:val="es-MX"/>
        </w:rPr>
        <w:t>como resultado de la masacre perpetrada</w:t>
      </w:r>
      <w:r w:rsidR="007F7E22" w:rsidRPr="00F616A8">
        <w:rPr>
          <w:rFonts w:asciiTheme="majorHAnsi" w:hAnsiTheme="majorHAnsi"/>
          <w:sz w:val="20"/>
          <w:szCs w:val="20"/>
          <w:lang w:val="es-MX"/>
        </w:rPr>
        <w:t xml:space="preserve"> contra la familia Duque Lopez</w:t>
      </w:r>
      <w:r w:rsidR="00702894" w:rsidRPr="00F616A8">
        <w:rPr>
          <w:rFonts w:asciiTheme="majorHAnsi" w:hAnsiTheme="majorHAnsi"/>
          <w:sz w:val="20"/>
          <w:szCs w:val="20"/>
          <w:lang w:val="es-MX"/>
        </w:rPr>
        <w:t xml:space="preserve"> </w:t>
      </w:r>
      <w:r w:rsidR="003801B3" w:rsidRPr="00F616A8">
        <w:rPr>
          <w:rFonts w:asciiTheme="majorHAnsi" w:hAnsiTheme="majorHAnsi"/>
          <w:sz w:val="20"/>
          <w:szCs w:val="20"/>
          <w:lang w:val="es-MX"/>
        </w:rPr>
        <w:t>-</w:t>
      </w:r>
      <w:r w:rsidRPr="00F616A8">
        <w:rPr>
          <w:rFonts w:asciiTheme="majorHAnsi" w:hAnsiTheme="majorHAnsi"/>
          <w:sz w:val="20"/>
          <w:szCs w:val="20"/>
          <w:lang w:val="es-MX"/>
        </w:rPr>
        <w:t xml:space="preserve">con </w:t>
      </w:r>
      <w:r w:rsidR="003801B3" w:rsidRPr="00F616A8">
        <w:rPr>
          <w:rFonts w:asciiTheme="majorHAnsi" w:hAnsiTheme="majorHAnsi"/>
          <w:sz w:val="20"/>
          <w:szCs w:val="20"/>
          <w:lang w:val="es-MX"/>
        </w:rPr>
        <w:t>aquiescencia</w:t>
      </w:r>
      <w:r w:rsidRPr="00F616A8">
        <w:rPr>
          <w:rFonts w:asciiTheme="majorHAnsi" w:hAnsiTheme="majorHAnsi"/>
          <w:sz w:val="20"/>
          <w:szCs w:val="20"/>
          <w:lang w:val="es-MX"/>
        </w:rPr>
        <w:t xml:space="preserve"> si no participación directa de agentes del Estado</w:t>
      </w:r>
      <w:r w:rsidR="003801B3" w:rsidRPr="00F616A8">
        <w:rPr>
          <w:rFonts w:asciiTheme="majorHAnsi" w:hAnsiTheme="majorHAnsi"/>
          <w:sz w:val="20"/>
          <w:szCs w:val="20"/>
          <w:lang w:val="es-MX"/>
        </w:rPr>
        <w:t>-</w:t>
      </w:r>
      <w:r w:rsidRPr="00F616A8">
        <w:rPr>
          <w:rFonts w:asciiTheme="majorHAnsi" w:hAnsiTheme="majorHAnsi"/>
          <w:sz w:val="20"/>
          <w:szCs w:val="20"/>
          <w:lang w:val="es-MX"/>
        </w:rPr>
        <w:t xml:space="preserve"> </w:t>
      </w:r>
      <w:r w:rsidR="00702894" w:rsidRPr="00F616A8">
        <w:rPr>
          <w:rFonts w:asciiTheme="majorHAnsi" w:hAnsiTheme="majorHAnsi"/>
          <w:sz w:val="20"/>
          <w:szCs w:val="20"/>
          <w:lang w:val="es-MX"/>
        </w:rPr>
        <w:t>y</w:t>
      </w:r>
      <w:r w:rsidR="00702894" w:rsidRPr="00F616A8">
        <w:rPr>
          <w:lang w:val="es-ES"/>
        </w:rPr>
        <w:t xml:space="preserve"> </w:t>
      </w:r>
      <w:r w:rsidR="007F7E22" w:rsidRPr="00F616A8">
        <w:rPr>
          <w:rFonts w:asciiTheme="majorHAnsi" w:hAnsiTheme="majorHAnsi"/>
          <w:sz w:val="20"/>
          <w:szCs w:val="20"/>
          <w:lang w:val="es-MX"/>
        </w:rPr>
        <w:t>debido a la violencia infl</w:t>
      </w:r>
      <w:r w:rsidR="00702894" w:rsidRPr="00F616A8">
        <w:rPr>
          <w:rFonts w:asciiTheme="majorHAnsi" w:hAnsiTheme="majorHAnsi"/>
          <w:sz w:val="20"/>
          <w:szCs w:val="20"/>
          <w:lang w:val="es-MX"/>
        </w:rPr>
        <w:t xml:space="preserve">igida antes de la masacre, </w:t>
      </w:r>
      <w:r w:rsidR="007F7E22" w:rsidRPr="00F616A8">
        <w:rPr>
          <w:rFonts w:asciiTheme="majorHAnsi" w:hAnsiTheme="majorHAnsi"/>
          <w:sz w:val="20"/>
          <w:szCs w:val="20"/>
          <w:lang w:val="es-AR"/>
        </w:rPr>
        <w:t xml:space="preserve">podrían caracterizar </w:t>
      </w:r>
      <w:r w:rsidR="00702894" w:rsidRPr="00F616A8">
        <w:rPr>
          <w:rFonts w:asciiTheme="majorHAnsi" w:hAnsiTheme="majorHAnsi"/>
          <w:sz w:val="20"/>
          <w:szCs w:val="20"/>
          <w:lang w:val="es-AR"/>
        </w:rPr>
        <w:t xml:space="preserve">posibles violaciones a los artículos </w:t>
      </w:r>
      <w:r w:rsidR="00702894" w:rsidRPr="00F616A8">
        <w:rPr>
          <w:rFonts w:asciiTheme="majorHAnsi" w:hAnsiTheme="majorHAnsi"/>
          <w:sz w:val="20"/>
          <w:szCs w:val="20"/>
          <w:lang w:val="es-ES_tradnl"/>
        </w:rPr>
        <w:t xml:space="preserve">4 y 5 de la Convención </w:t>
      </w:r>
      <w:r w:rsidR="00702894" w:rsidRPr="00F616A8">
        <w:rPr>
          <w:rFonts w:asciiTheme="majorHAnsi" w:hAnsiTheme="majorHAnsi"/>
          <w:sz w:val="20"/>
          <w:szCs w:val="20"/>
          <w:lang w:val="es-AR"/>
        </w:rPr>
        <w:t>en perjuicio de las presuntas víctimas de esta petición, en conexión con el artículo 1.1 de referido instrumento.</w:t>
      </w:r>
    </w:p>
    <w:p w:rsidR="006A1C0F" w:rsidRPr="00F616A8" w:rsidRDefault="001E4A92" w:rsidP="006A1C0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
        </w:rPr>
      </w:pPr>
      <w:r w:rsidRPr="00F616A8">
        <w:rPr>
          <w:sz w:val="20"/>
          <w:szCs w:val="20"/>
          <w:lang w:val="es-MX"/>
        </w:rPr>
        <w:t xml:space="preserve">Respecto a las violaciones a las garantías judiciales y protección judicial (artículos 8 y 25), los peticionarios señalan que éstas habrían sido vulneradas en perjuicio de los sobrevivientes y familiares de las presuntas víctimas, por la falta de diligencia para determinar la verdad y por el retraso injustificado de la misma. Sobre este punto, el Estado expresa que habría realizado todas las diligencias para realizar una investigación eficaz. </w:t>
      </w:r>
      <w:r w:rsidRPr="00F616A8">
        <w:rPr>
          <w:sz w:val="20"/>
          <w:szCs w:val="20"/>
          <w:lang w:val="es-ES"/>
        </w:rPr>
        <w:t>De comprobarse los reclamos respectivos, podrían configurarse en violaciones a los artículos 8 y 25 de la Convención en relación con su artículo 1.1, en perjuicio de los sobrevivientes de la masacre y de los familiares de las presuntas víctimas</w:t>
      </w:r>
      <w:r w:rsidR="006A1C0F" w:rsidRPr="00F616A8">
        <w:rPr>
          <w:sz w:val="20"/>
          <w:szCs w:val="20"/>
          <w:lang w:val="es-ES"/>
        </w:rPr>
        <w:t>.</w:t>
      </w:r>
    </w:p>
    <w:p w:rsidR="006A1C0F" w:rsidRPr="00F616A8" w:rsidRDefault="006A1C0F" w:rsidP="006A1C0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
        </w:rPr>
      </w:pPr>
    </w:p>
    <w:p w:rsidR="002E503C" w:rsidRPr="00F616A8" w:rsidRDefault="006A1C0F" w:rsidP="002E50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
        </w:rPr>
      </w:pPr>
      <w:r w:rsidRPr="00F616A8">
        <w:rPr>
          <w:sz w:val="20"/>
          <w:szCs w:val="20"/>
          <w:lang w:val="es-ES"/>
        </w:rPr>
        <w:t xml:space="preserve">Por otra parte, los alegatos de los peticionarios relacionados con la supuesta violación del derecho a la integridad personal (artículo 5) en perjuicio de los familiares de las presuntas víctimas, </w:t>
      </w:r>
      <w:r w:rsidR="007F7E22" w:rsidRPr="00F616A8">
        <w:rPr>
          <w:sz w:val="20"/>
          <w:szCs w:val="20"/>
          <w:lang w:val="es-ES"/>
        </w:rPr>
        <w:t>en razón de</w:t>
      </w:r>
      <w:r w:rsidRPr="00F616A8">
        <w:rPr>
          <w:sz w:val="20"/>
          <w:szCs w:val="20"/>
          <w:lang w:val="es-ES"/>
        </w:rPr>
        <w:t>l supuesto sufrimiento al que se enfrentan debido a la impunidad en la que se mantendría la investigación de los hechos, podrían caracterizar en su perjuicio, una posible violación del artículo 5 de la Convención Americana, en relación con su artículo 1.1.</w:t>
      </w:r>
    </w:p>
    <w:p w:rsidR="002E503C" w:rsidRPr="00F616A8" w:rsidRDefault="002E503C" w:rsidP="002E503C">
      <w:pPr>
        <w:pStyle w:val="ListParagraph"/>
        <w:rPr>
          <w:sz w:val="20"/>
          <w:szCs w:val="20"/>
          <w:lang w:val="es-MX"/>
        </w:rPr>
      </w:pPr>
    </w:p>
    <w:p w:rsidR="002E503C" w:rsidRPr="00F616A8" w:rsidRDefault="00935089" w:rsidP="002E50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
        </w:rPr>
      </w:pPr>
      <w:r w:rsidRPr="00F616A8">
        <w:rPr>
          <w:sz w:val="20"/>
          <w:szCs w:val="20"/>
          <w:lang w:val="es-MX"/>
        </w:rPr>
        <w:t xml:space="preserve">Adicionalmente, </w:t>
      </w:r>
      <w:r w:rsidR="001B265F" w:rsidRPr="00F616A8">
        <w:rPr>
          <w:sz w:val="20"/>
          <w:szCs w:val="20"/>
          <w:lang w:val="es-MX"/>
        </w:rPr>
        <w:t xml:space="preserve">los </w:t>
      </w:r>
      <w:r w:rsidR="00404EEB" w:rsidRPr="00F616A8">
        <w:rPr>
          <w:sz w:val="20"/>
          <w:szCs w:val="20"/>
          <w:lang w:val="es-MX"/>
        </w:rPr>
        <w:t>reclamos</w:t>
      </w:r>
      <w:r w:rsidRPr="00F616A8">
        <w:rPr>
          <w:sz w:val="20"/>
          <w:szCs w:val="20"/>
          <w:lang w:val="es-MX"/>
        </w:rPr>
        <w:t xml:space="preserve"> de los peticionarios en relación con la</w:t>
      </w:r>
      <w:r w:rsidR="001B265F" w:rsidRPr="00F616A8">
        <w:rPr>
          <w:sz w:val="20"/>
          <w:szCs w:val="20"/>
          <w:lang w:val="es-MX"/>
        </w:rPr>
        <w:t xml:space="preserve"> presunta violación del derecho a la</w:t>
      </w:r>
      <w:r w:rsidRPr="00F616A8">
        <w:rPr>
          <w:sz w:val="20"/>
          <w:szCs w:val="20"/>
          <w:lang w:val="es-MX"/>
        </w:rPr>
        <w:t xml:space="preserve"> pro</w:t>
      </w:r>
      <w:r w:rsidR="001B265F" w:rsidRPr="00F616A8">
        <w:rPr>
          <w:sz w:val="20"/>
          <w:szCs w:val="20"/>
          <w:lang w:val="es-MX"/>
        </w:rPr>
        <w:t>tección de</w:t>
      </w:r>
      <w:r w:rsidRPr="00F616A8">
        <w:rPr>
          <w:sz w:val="20"/>
          <w:szCs w:val="20"/>
          <w:lang w:val="es-MX"/>
        </w:rPr>
        <w:t xml:space="preserve"> la familia (artículo 17), </w:t>
      </w:r>
      <w:r w:rsidR="009E3BC4" w:rsidRPr="00F616A8">
        <w:rPr>
          <w:sz w:val="20"/>
          <w:szCs w:val="20"/>
          <w:lang w:val="es-MX"/>
        </w:rPr>
        <w:t>en razón</w:t>
      </w:r>
      <w:r w:rsidRPr="00F616A8">
        <w:rPr>
          <w:sz w:val="20"/>
          <w:szCs w:val="20"/>
          <w:lang w:val="es-MX"/>
        </w:rPr>
        <w:t xml:space="preserve"> de </w:t>
      </w:r>
      <w:r w:rsidR="001B265F" w:rsidRPr="00F616A8">
        <w:rPr>
          <w:sz w:val="20"/>
          <w:szCs w:val="20"/>
          <w:lang w:val="es-MX"/>
        </w:rPr>
        <w:t>l</w:t>
      </w:r>
      <w:r w:rsidR="001B265F" w:rsidRPr="00F616A8">
        <w:rPr>
          <w:sz w:val="20"/>
          <w:szCs w:val="20"/>
          <w:lang w:val="es-ES"/>
        </w:rPr>
        <w:t xml:space="preserve">as constantes amenazas y persecuciones a los miembros de la familia Duque Lopez y debido a </w:t>
      </w:r>
      <w:r w:rsidRPr="00F616A8">
        <w:rPr>
          <w:sz w:val="20"/>
          <w:szCs w:val="20"/>
          <w:lang w:val="es-MX"/>
        </w:rPr>
        <w:t>que el accionar del grupo que perpetr</w:t>
      </w:r>
      <w:r w:rsidR="005F4579" w:rsidRPr="00F616A8">
        <w:rPr>
          <w:sz w:val="20"/>
          <w:szCs w:val="20"/>
          <w:lang w:val="es-MX"/>
        </w:rPr>
        <w:t>ó</w:t>
      </w:r>
      <w:r w:rsidRPr="00F616A8">
        <w:rPr>
          <w:sz w:val="20"/>
          <w:szCs w:val="20"/>
          <w:lang w:val="es-MX"/>
        </w:rPr>
        <w:t xml:space="preserve"> la masacre habría ocasionado la desintegración de</w:t>
      </w:r>
      <w:r w:rsidR="009E3BC4" w:rsidRPr="00F616A8">
        <w:rPr>
          <w:sz w:val="20"/>
          <w:szCs w:val="20"/>
          <w:lang w:val="es-MX"/>
        </w:rPr>
        <w:t xml:space="preserve"> dicho</w:t>
      </w:r>
      <w:r w:rsidR="00EA0EB9" w:rsidRPr="00F616A8">
        <w:rPr>
          <w:sz w:val="20"/>
          <w:szCs w:val="20"/>
          <w:lang w:val="es-MX"/>
        </w:rPr>
        <w:t xml:space="preserve"> núcleo familiar</w:t>
      </w:r>
      <w:r w:rsidRPr="00F616A8">
        <w:rPr>
          <w:sz w:val="20"/>
          <w:szCs w:val="20"/>
          <w:lang w:val="es-MX"/>
        </w:rPr>
        <w:t xml:space="preserve">, podría caracterizar violaciones al artículo 17 de la Convención, en relación con el artículo 1.1 de dicho instrumento, en perjuicio de los miembros de la </w:t>
      </w:r>
      <w:r w:rsidR="00EA0EB9" w:rsidRPr="00F616A8">
        <w:rPr>
          <w:sz w:val="20"/>
          <w:szCs w:val="20"/>
          <w:lang w:val="es-MX"/>
        </w:rPr>
        <w:t>familia Duque Lopez</w:t>
      </w:r>
      <w:r w:rsidRPr="00F616A8">
        <w:rPr>
          <w:sz w:val="20"/>
          <w:szCs w:val="20"/>
          <w:lang w:val="es-MX"/>
        </w:rPr>
        <w:t xml:space="preserve">. </w:t>
      </w:r>
    </w:p>
    <w:p w:rsidR="002E503C" w:rsidRPr="00F616A8" w:rsidRDefault="002E503C" w:rsidP="002E503C">
      <w:pPr>
        <w:pStyle w:val="ListParagraph"/>
        <w:rPr>
          <w:sz w:val="20"/>
          <w:szCs w:val="20"/>
          <w:lang w:val="es-ES"/>
        </w:rPr>
      </w:pPr>
    </w:p>
    <w:p w:rsidR="002E503C" w:rsidRPr="00F616A8" w:rsidRDefault="002E503C" w:rsidP="002E50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
        </w:rPr>
      </w:pPr>
      <w:r w:rsidRPr="00F616A8">
        <w:rPr>
          <w:sz w:val="20"/>
          <w:szCs w:val="20"/>
          <w:lang w:val="es-ES"/>
        </w:rPr>
        <w:t xml:space="preserve">Asimismo, </w:t>
      </w:r>
      <w:r w:rsidRPr="00F616A8">
        <w:rPr>
          <w:sz w:val="20"/>
          <w:szCs w:val="20"/>
          <w:lang w:val="es-CO"/>
        </w:rPr>
        <w:t xml:space="preserve">los hechos alegados </w:t>
      </w:r>
      <w:r w:rsidRPr="00F616A8">
        <w:rPr>
          <w:sz w:val="20"/>
          <w:szCs w:val="20"/>
          <w:lang w:val="es-MX"/>
        </w:rPr>
        <w:t xml:space="preserve">podrían </w:t>
      </w:r>
      <w:r w:rsidRPr="00F616A8">
        <w:rPr>
          <w:sz w:val="20"/>
          <w:szCs w:val="20"/>
          <w:lang w:val="es-AR"/>
        </w:rPr>
        <w:t xml:space="preserve">caracterizar posibles violaciones al artículo </w:t>
      </w:r>
      <w:r w:rsidRPr="00F616A8">
        <w:rPr>
          <w:sz w:val="20"/>
          <w:szCs w:val="20"/>
          <w:lang w:val="es-CO"/>
        </w:rPr>
        <w:t>19</w:t>
      </w:r>
      <w:r w:rsidRPr="00F616A8">
        <w:rPr>
          <w:sz w:val="20"/>
          <w:szCs w:val="20"/>
          <w:lang w:val="es-AR"/>
        </w:rPr>
        <w:t xml:space="preserve"> de la Convención Americana, en relación con su artículo 1.1, </w:t>
      </w:r>
      <w:r w:rsidRPr="00F616A8">
        <w:rPr>
          <w:sz w:val="20"/>
          <w:szCs w:val="20"/>
          <w:lang w:val="es-MX"/>
        </w:rPr>
        <w:t>en perjuicio de</w:t>
      </w:r>
      <w:r w:rsidRPr="00F616A8">
        <w:rPr>
          <w:sz w:val="20"/>
          <w:szCs w:val="20"/>
          <w:lang w:val="es-CO"/>
        </w:rPr>
        <w:t xml:space="preserve"> </w:t>
      </w:r>
      <w:r w:rsidRPr="00F616A8">
        <w:rPr>
          <w:rFonts w:asciiTheme="majorHAnsi" w:hAnsiTheme="majorHAnsi"/>
          <w:sz w:val="20"/>
          <w:szCs w:val="20"/>
          <w:lang w:val="es-ES"/>
        </w:rPr>
        <w:t>Ana Yoli Duque López y</w:t>
      </w:r>
      <w:r w:rsidR="006F2622" w:rsidRPr="00F616A8">
        <w:rPr>
          <w:rFonts w:asciiTheme="majorHAnsi" w:hAnsiTheme="majorHAnsi"/>
          <w:color w:val="auto"/>
          <w:sz w:val="20"/>
          <w:szCs w:val="20"/>
          <w:lang w:val="es-ES"/>
        </w:rPr>
        <w:t xml:space="preserve"> Marta Milena López, niñas </w:t>
      </w:r>
      <w:r w:rsidRPr="00F616A8">
        <w:rPr>
          <w:rFonts w:asciiTheme="majorHAnsi" w:hAnsiTheme="majorHAnsi"/>
          <w:sz w:val="20"/>
          <w:szCs w:val="20"/>
          <w:lang w:val="es-ES"/>
        </w:rPr>
        <w:t>ejecutadas</w:t>
      </w:r>
      <w:r w:rsidR="006F2622" w:rsidRPr="00F616A8">
        <w:rPr>
          <w:rFonts w:asciiTheme="majorHAnsi" w:hAnsiTheme="majorHAnsi"/>
          <w:color w:val="auto"/>
          <w:sz w:val="20"/>
          <w:szCs w:val="20"/>
          <w:lang w:val="es-ES"/>
        </w:rPr>
        <w:t xml:space="preserve"> en la masacre; y de Darwin Cristóbal López y Renso Antonio Duque Velásquez, niños sobrevivientes de la masacre</w:t>
      </w:r>
      <w:r w:rsidRPr="00F616A8">
        <w:rPr>
          <w:rFonts w:asciiTheme="majorHAnsi" w:hAnsiTheme="majorHAnsi"/>
          <w:sz w:val="20"/>
          <w:szCs w:val="20"/>
          <w:lang w:val="es-ES"/>
        </w:rPr>
        <w:t>.</w:t>
      </w:r>
    </w:p>
    <w:p w:rsidR="002E503C" w:rsidRPr="00F616A8" w:rsidRDefault="002E503C" w:rsidP="002E503C">
      <w:pPr>
        <w:pStyle w:val="ListParagraph"/>
        <w:rPr>
          <w:rFonts w:asciiTheme="majorHAnsi" w:hAnsiTheme="majorHAnsi"/>
          <w:sz w:val="20"/>
          <w:szCs w:val="20"/>
          <w:bdr w:val="none" w:sz="0" w:space="0" w:color="auto"/>
          <w:lang w:val="es-ES"/>
        </w:rPr>
      </w:pPr>
    </w:p>
    <w:p w:rsidR="0071506B" w:rsidRPr="00F616A8" w:rsidRDefault="002E503C" w:rsidP="002E50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
        </w:rPr>
      </w:pPr>
      <w:r w:rsidRPr="00F616A8">
        <w:rPr>
          <w:rFonts w:asciiTheme="majorHAnsi" w:hAnsiTheme="majorHAnsi"/>
          <w:sz w:val="20"/>
          <w:szCs w:val="20"/>
          <w:bdr w:val="none" w:sz="0" w:space="0" w:color="auto"/>
          <w:lang w:val="es-ES"/>
        </w:rPr>
        <w:t>Por otra parte</w:t>
      </w:r>
      <w:r w:rsidR="007627B0" w:rsidRPr="00F616A8">
        <w:rPr>
          <w:rFonts w:asciiTheme="majorHAnsi" w:hAnsiTheme="majorHAnsi"/>
          <w:sz w:val="20"/>
          <w:szCs w:val="20"/>
          <w:bdr w:val="none" w:sz="0" w:space="0" w:color="auto"/>
          <w:lang w:val="es-ES"/>
        </w:rPr>
        <w:t>, la CIDH considera que los alegatos referentes a la posible relación entre la alegada ejecución de las presuntas víctimas y su vinculación con el partido político Unión Patriótica, así como la falta de esclarecimiento judicial sobre estos hechos, de ser probada, podría constituir una violación al artículo 16 de</w:t>
      </w:r>
      <w:r w:rsidR="007627B0" w:rsidRPr="009B39FE">
        <w:rPr>
          <w:rFonts w:asciiTheme="majorHAnsi" w:hAnsiTheme="majorHAnsi"/>
          <w:sz w:val="20"/>
          <w:szCs w:val="20"/>
          <w:bdr w:val="none" w:sz="0" w:space="0" w:color="auto"/>
          <w:lang w:val="es-ES"/>
        </w:rPr>
        <w:t xml:space="preserve"> la Convención Americana.</w:t>
      </w:r>
      <w:r w:rsidR="009B39FE" w:rsidRPr="009B39FE">
        <w:rPr>
          <w:rFonts w:asciiTheme="majorHAnsi" w:hAnsiTheme="majorHAnsi"/>
          <w:sz w:val="20"/>
          <w:szCs w:val="20"/>
          <w:lang w:val="es-ES"/>
        </w:rPr>
        <w:t xml:space="preserve"> Asimismo, la Comisión analizará en la etapa de fondo, la posible aplicación del artículo 23 de la Convención, en el caso de que fuere pertinente.</w:t>
      </w:r>
    </w:p>
    <w:p w:rsidR="00C10DC9" w:rsidRPr="00F616A8" w:rsidRDefault="00C10DC9" w:rsidP="007135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10DC9" w:rsidRPr="00F616A8" w:rsidRDefault="0071506B" w:rsidP="00C10DC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
        </w:rPr>
      </w:pPr>
      <w:r w:rsidRPr="00F616A8">
        <w:rPr>
          <w:rFonts w:asciiTheme="majorHAnsi" w:hAnsiTheme="majorHAnsi"/>
          <w:color w:val="auto"/>
          <w:sz w:val="20"/>
          <w:szCs w:val="20"/>
          <w:bdr w:val="none" w:sz="0" w:space="0" w:color="auto"/>
          <w:lang w:val="es-ES"/>
        </w:rPr>
        <w:t>Finalmente</w:t>
      </w:r>
      <w:r w:rsidR="00C10DC9" w:rsidRPr="00F616A8">
        <w:rPr>
          <w:rFonts w:asciiTheme="majorHAnsi" w:hAnsiTheme="majorHAnsi"/>
          <w:color w:val="auto"/>
          <w:sz w:val="20"/>
          <w:szCs w:val="20"/>
          <w:bdr w:val="none" w:sz="0" w:space="0" w:color="auto"/>
          <w:lang w:val="es-ES"/>
        </w:rPr>
        <w:t>, concluye que corresponde declarar inadmisibles los reclamos respecto de la presunta violación de</w:t>
      </w:r>
      <w:r w:rsidR="00210605" w:rsidRPr="00F616A8">
        <w:rPr>
          <w:rFonts w:asciiTheme="majorHAnsi" w:hAnsiTheme="majorHAnsi"/>
          <w:color w:val="auto"/>
          <w:sz w:val="20"/>
          <w:szCs w:val="20"/>
          <w:bdr w:val="none" w:sz="0" w:space="0" w:color="auto"/>
          <w:lang w:val="es-ES"/>
        </w:rPr>
        <w:t xml:space="preserve"> </w:t>
      </w:r>
      <w:r w:rsidR="00C10DC9" w:rsidRPr="00F616A8">
        <w:rPr>
          <w:rFonts w:asciiTheme="majorHAnsi" w:hAnsiTheme="majorHAnsi"/>
          <w:color w:val="auto"/>
          <w:sz w:val="20"/>
          <w:szCs w:val="20"/>
          <w:bdr w:val="none" w:sz="0" w:space="0" w:color="auto"/>
          <w:lang w:val="es-ES"/>
        </w:rPr>
        <w:t>l</w:t>
      </w:r>
      <w:r w:rsidR="00210605" w:rsidRPr="00F616A8">
        <w:rPr>
          <w:rFonts w:asciiTheme="majorHAnsi" w:hAnsiTheme="majorHAnsi"/>
          <w:color w:val="auto"/>
          <w:sz w:val="20"/>
          <w:szCs w:val="20"/>
          <w:bdr w:val="none" w:sz="0" w:space="0" w:color="auto"/>
          <w:lang w:val="es-ES"/>
        </w:rPr>
        <w:t>os</w:t>
      </w:r>
      <w:r w:rsidR="00C10DC9" w:rsidRPr="00F616A8">
        <w:rPr>
          <w:rFonts w:asciiTheme="majorHAnsi" w:hAnsiTheme="majorHAnsi"/>
          <w:color w:val="auto"/>
          <w:sz w:val="20"/>
          <w:szCs w:val="20"/>
          <w:bdr w:val="none" w:sz="0" w:space="0" w:color="auto"/>
          <w:lang w:val="es-ES"/>
        </w:rPr>
        <w:t xml:space="preserve"> artículo</w:t>
      </w:r>
      <w:r w:rsidR="00210605" w:rsidRPr="00F616A8">
        <w:rPr>
          <w:rFonts w:asciiTheme="majorHAnsi" w:hAnsiTheme="majorHAnsi"/>
          <w:color w:val="auto"/>
          <w:sz w:val="20"/>
          <w:szCs w:val="20"/>
          <w:bdr w:val="none" w:sz="0" w:space="0" w:color="auto"/>
          <w:lang w:val="es-ES"/>
        </w:rPr>
        <w:t>s</w:t>
      </w:r>
      <w:r w:rsidR="00C10DC9" w:rsidRPr="00F616A8">
        <w:rPr>
          <w:rFonts w:asciiTheme="majorHAnsi" w:hAnsiTheme="majorHAnsi"/>
          <w:color w:val="auto"/>
          <w:sz w:val="20"/>
          <w:szCs w:val="20"/>
          <w:bdr w:val="none" w:sz="0" w:space="0" w:color="auto"/>
          <w:lang w:val="es-ES"/>
        </w:rPr>
        <w:t xml:space="preserve"> 7</w:t>
      </w:r>
      <w:r w:rsidR="00210605" w:rsidRPr="00F616A8">
        <w:rPr>
          <w:rFonts w:asciiTheme="majorHAnsi" w:hAnsiTheme="majorHAnsi"/>
          <w:color w:val="auto"/>
          <w:sz w:val="20"/>
          <w:szCs w:val="20"/>
          <w:bdr w:val="none" w:sz="0" w:space="0" w:color="auto"/>
          <w:lang w:val="es-ES"/>
        </w:rPr>
        <w:t xml:space="preserve"> y 13</w:t>
      </w:r>
      <w:r w:rsidR="00C10DC9" w:rsidRPr="00F616A8">
        <w:rPr>
          <w:rFonts w:asciiTheme="majorHAnsi" w:hAnsiTheme="majorHAnsi"/>
          <w:color w:val="auto"/>
          <w:sz w:val="20"/>
          <w:szCs w:val="20"/>
          <w:bdr w:val="none" w:sz="0" w:space="0" w:color="auto"/>
          <w:lang w:val="es-ES"/>
        </w:rPr>
        <w:t xml:space="preserve"> de la Convención Americana, toda vez que no se observan elementos que permitan establecer </w:t>
      </w:r>
      <w:r w:rsidR="00C10DC9" w:rsidRPr="00F616A8">
        <w:rPr>
          <w:rFonts w:asciiTheme="majorHAnsi" w:hAnsiTheme="majorHAnsi"/>
          <w:i/>
          <w:color w:val="auto"/>
          <w:sz w:val="20"/>
          <w:szCs w:val="20"/>
          <w:bdr w:val="none" w:sz="0" w:space="0" w:color="auto"/>
          <w:lang w:val="es-ES"/>
        </w:rPr>
        <w:t>prima facie</w:t>
      </w:r>
      <w:r w:rsidR="00C10DC9" w:rsidRPr="00F616A8">
        <w:rPr>
          <w:rFonts w:asciiTheme="majorHAnsi" w:hAnsiTheme="majorHAnsi"/>
          <w:color w:val="auto"/>
          <w:sz w:val="20"/>
          <w:szCs w:val="20"/>
          <w:bdr w:val="none" w:sz="0" w:space="0" w:color="auto"/>
          <w:lang w:val="es-ES"/>
        </w:rPr>
        <w:t xml:space="preserve"> su posible vulneración.</w:t>
      </w:r>
    </w:p>
    <w:p w:rsidR="00090BF9" w:rsidRPr="00A76683" w:rsidRDefault="00090BF9" w:rsidP="00C16C56">
      <w:pPr>
        <w:rPr>
          <w:rFonts w:asciiTheme="majorHAnsi" w:hAnsiTheme="majorHAnsi"/>
          <w:color w:val="FF0000"/>
          <w:sz w:val="20"/>
          <w:szCs w:val="20"/>
          <w:bdr w:val="none" w:sz="0" w:space="0" w:color="auto"/>
          <w:lang w:val="es-ES"/>
        </w:rPr>
      </w:pPr>
    </w:p>
    <w:p w:rsidR="00181829" w:rsidRPr="00A76683" w:rsidRDefault="00181829" w:rsidP="00543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heme="majorHAnsi" w:hAnsiTheme="majorHAnsi"/>
          <w:b/>
          <w:snapToGrid w:val="0"/>
          <w:sz w:val="20"/>
          <w:szCs w:val="20"/>
          <w:bdr w:val="none" w:sz="0" w:space="0" w:color="auto"/>
          <w:lang w:val="es-ES"/>
        </w:rPr>
      </w:pPr>
      <w:r w:rsidRPr="00A76683">
        <w:rPr>
          <w:rFonts w:asciiTheme="majorHAnsi" w:hAnsiTheme="majorHAnsi"/>
          <w:b/>
          <w:sz w:val="20"/>
          <w:szCs w:val="20"/>
          <w:bdr w:val="none" w:sz="0" w:space="0" w:color="auto"/>
          <w:lang w:val="es-ES"/>
        </w:rPr>
        <w:t>CONCLUSIONES</w:t>
      </w:r>
    </w:p>
    <w:p w:rsidR="004A3A18" w:rsidRPr="00A76683" w:rsidRDefault="004A3A18" w:rsidP="004A3A18">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heme="majorHAnsi" w:hAnsiTheme="majorHAnsi"/>
          <w:b/>
          <w:snapToGrid w:val="0"/>
          <w:sz w:val="20"/>
          <w:szCs w:val="20"/>
          <w:bdr w:val="none" w:sz="0" w:space="0" w:color="auto"/>
          <w:lang w:val="es-ES"/>
        </w:rPr>
      </w:pPr>
    </w:p>
    <w:p w:rsidR="00CF54D9" w:rsidRPr="00C16C56" w:rsidRDefault="00853424" w:rsidP="00CF54D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bdr w:val="none" w:sz="0" w:space="0" w:color="auto"/>
          <w:lang w:val="es-ES"/>
        </w:rPr>
      </w:pPr>
      <w:r w:rsidRPr="00A76683">
        <w:rPr>
          <w:rFonts w:asciiTheme="majorHAnsi" w:hAnsiTheme="majorHAnsi" w:cs="Calibri"/>
          <w:sz w:val="20"/>
          <w:szCs w:val="20"/>
          <w:bdr w:val="none" w:sz="0" w:space="0" w:color="auto"/>
          <w:lang w:val="es-ES"/>
        </w:rPr>
        <w:t>Con fundamento en las consideraciones de hecho y de derecho expuestas, y sin prejuzgar</w:t>
      </w:r>
      <w:r w:rsidR="004A3A18" w:rsidRPr="00A76683">
        <w:rPr>
          <w:rFonts w:asciiTheme="majorHAnsi" w:hAnsiTheme="majorHAnsi" w:cs="Calibri"/>
          <w:sz w:val="20"/>
          <w:szCs w:val="20"/>
          <w:bdr w:val="none" w:sz="0" w:space="0" w:color="auto"/>
          <w:lang w:val="es-ES"/>
        </w:rPr>
        <w:t xml:space="preserve"> </w:t>
      </w:r>
      <w:r w:rsidRPr="00A76683">
        <w:rPr>
          <w:rFonts w:asciiTheme="majorHAnsi" w:hAnsiTheme="majorHAnsi" w:cs="Calibri"/>
          <w:color w:val="auto"/>
          <w:sz w:val="20"/>
          <w:szCs w:val="20"/>
          <w:bdr w:val="none" w:sz="0" w:space="0" w:color="auto"/>
          <w:lang w:val="es-ES"/>
        </w:rPr>
        <w:t>sobre el fondo de la cuestión, la Comisión concluye que el presente caso satisface los requisitos de</w:t>
      </w:r>
      <w:r w:rsidR="004A3A18" w:rsidRPr="00A76683">
        <w:rPr>
          <w:rFonts w:asciiTheme="majorHAnsi" w:hAnsiTheme="majorHAnsi" w:cs="Calibri"/>
          <w:color w:val="auto"/>
          <w:sz w:val="20"/>
          <w:szCs w:val="20"/>
          <w:bdr w:val="none" w:sz="0" w:space="0" w:color="auto"/>
          <w:lang w:val="es-ES"/>
        </w:rPr>
        <w:t xml:space="preserve"> </w:t>
      </w:r>
      <w:r w:rsidRPr="00A76683">
        <w:rPr>
          <w:rFonts w:asciiTheme="majorHAnsi" w:hAnsiTheme="majorHAnsi" w:cs="Calibri"/>
          <w:color w:val="auto"/>
          <w:sz w:val="20"/>
          <w:szCs w:val="20"/>
          <w:bdr w:val="none" w:sz="0" w:space="0" w:color="auto"/>
          <w:lang w:val="es-ES"/>
        </w:rPr>
        <w:t>admisibilidad enunciados en los artículos 46 y 47 de la Convención Americana y en consecuencia,</w:t>
      </w:r>
    </w:p>
    <w:p w:rsidR="00D173DE" w:rsidRDefault="00181829" w:rsidP="00D173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sz w:val="20"/>
          <w:szCs w:val="20"/>
          <w:bdr w:val="none" w:sz="0" w:space="0" w:color="auto"/>
          <w:lang w:val="es-ES"/>
        </w:rPr>
      </w:pPr>
      <w:r w:rsidRPr="00A76683">
        <w:rPr>
          <w:rFonts w:asciiTheme="majorHAnsi" w:hAnsiTheme="majorHAnsi" w:cs="Calibri"/>
          <w:b/>
          <w:sz w:val="20"/>
          <w:szCs w:val="20"/>
          <w:bdr w:val="none" w:sz="0" w:space="0" w:color="auto"/>
          <w:lang w:val="es-ES"/>
        </w:rPr>
        <w:lastRenderedPageBreak/>
        <w:t>LA COMISIÓN INTERAMERICANA DE DERECHOS HUMANOS</w:t>
      </w:r>
      <w:r w:rsidR="00CF54D9">
        <w:rPr>
          <w:rFonts w:asciiTheme="majorHAnsi" w:hAnsiTheme="majorHAnsi" w:cs="Calibri"/>
          <w:b/>
          <w:sz w:val="20"/>
          <w:szCs w:val="20"/>
          <w:bdr w:val="none" w:sz="0" w:space="0" w:color="auto"/>
          <w:lang w:val="es-ES"/>
        </w:rPr>
        <w:t>,</w:t>
      </w:r>
    </w:p>
    <w:p w:rsidR="00181829" w:rsidRPr="00A76683" w:rsidRDefault="00181829" w:rsidP="00D173D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Calibri"/>
          <w:b/>
          <w:sz w:val="20"/>
          <w:szCs w:val="20"/>
          <w:bdr w:val="none" w:sz="0" w:space="0" w:color="auto"/>
          <w:lang w:val="es-ES"/>
        </w:rPr>
      </w:pPr>
      <w:r w:rsidRPr="00A76683">
        <w:rPr>
          <w:rFonts w:asciiTheme="majorHAnsi" w:hAnsiTheme="majorHAnsi" w:cs="Calibri"/>
          <w:b/>
          <w:sz w:val="20"/>
          <w:szCs w:val="20"/>
          <w:bdr w:val="none" w:sz="0" w:space="0" w:color="auto"/>
          <w:lang w:val="es-ES"/>
        </w:rPr>
        <w:t>DECIDE</w:t>
      </w:r>
    </w:p>
    <w:p w:rsidR="00181829" w:rsidRPr="00A40362" w:rsidRDefault="00181829" w:rsidP="00B7704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18"/>
          <w:szCs w:val="18"/>
          <w:bdr w:val="none" w:sz="0" w:space="0" w:color="auto"/>
          <w:lang w:val="es-ES"/>
        </w:rPr>
      </w:pPr>
    </w:p>
    <w:p w:rsidR="00181829" w:rsidRPr="00A76683" w:rsidRDefault="00181829" w:rsidP="00B7704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cs="Calibri"/>
          <w:sz w:val="20"/>
          <w:szCs w:val="20"/>
          <w:bdr w:val="none" w:sz="0" w:space="0" w:color="auto"/>
          <w:lang w:val="es-ES"/>
        </w:rPr>
        <w:t>Declarar admisible la presente petición con rel</w:t>
      </w:r>
      <w:r w:rsidR="00A91979" w:rsidRPr="00A76683">
        <w:rPr>
          <w:rFonts w:asciiTheme="majorHAnsi" w:hAnsiTheme="majorHAnsi" w:cs="Calibri"/>
          <w:sz w:val="20"/>
          <w:szCs w:val="20"/>
          <w:bdr w:val="none" w:sz="0" w:space="0" w:color="auto"/>
          <w:lang w:val="es-ES"/>
        </w:rPr>
        <w:t>ación a los artículos</w:t>
      </w:r>
      <w:r w:rsidR="00290CF9" w:rsidRPr="00A76683">
        <w:rPr>
          <w:rFonts w:asciiTheme="majorHAnsi" w:hAnsiTheme="majorHAnsi" w:cs="Calibri"/>
          <w:sz w:val="20"/>
          <w:szCs w:val="20"/>
          <w:bdr w:val="none" w:sz="0" w:space="0" w:color="auto"/>
          <w:lang w:val="es-ES"/>
        </w:rPr>
        <w:t xml:space="preserve"> 4, 5</w:t>
      </w:r>
      <w:r w:rsidR="006C476F">
        <w:rPr>
          <w:rFonts w:asciiTheme="majorHAnsi" w:hAnsiTheme="majorHAnsi" w:cs="Calibri"/>
          <w:sz w:val="20"/>
          <w:szCs w:val="20"/>
          <w:bdr w:val="none" w:sz="0" w:space="0" w:color="auto"/>
          <w:lang w:val="es-ES"/>
        </w:rPr>
        <w:t>, 8</w:t>
      </w:r>
      <w:r w:rsidR="00E67A7A" w:rsidRPr="00A76683">
        <w:rPr>
          <w:rFonts w:asciiTheme="majorHAnsi" w:hAnsiTheme="majorHAnsi" w:cs="Calibri"/>
          <w:sz w:val="20"/>
          <w:szCs w:val="20"/>
          <w:bdr w:val="none" w:sz="0" w:space="0" w:color="auto"/>
          <w:lang w:val="es-ES"/>
        </w:rPr>
        <w:t xml:space="preserve">, </w:t>
      </w:r>
      <w:r w:rsidR="00A326D0" w:rsidRPr="00A76683">
        <w:rPr>
          <w:rFonts w:asciiTheme="majorHAnsi" w:hAnsiTheme="majorHAnsi" w:cs="Calibri"/>
          <w:sz w:val="20"/>
          <w:szCs w:val="20"/>
          <w:bdr w:val="none" w:sz="0" w:space="0" w:color="auto"/>
          <w:lang w:val="es-ES"/>
        </w:rPr>
        <w:t>16,</w:t>
      </w:r>
      <w:r w:rsidR="00A91979" w:rsidRPr="00A76683">
        <w:rPr>
          <w:rFonts w:asciiTheme="majorHAnsi" w:hAnsiTheme="majorHAnsi" w:cs="Calibri"/>
          <w:sz w:val="20"/>
          <w:szCs w:val="20"/>
          <w:bdr w:val="none" w:sz="0" w:space="0" w:color="auto"/>
          <w:lang w:val="es-ES"/>
        </w:rPr>
        <w:t xml:space="preserve"> 17,</w:t>
      </w:r>
      <w:r w:rsidR="00A326D0" w:rsidRPr="00A76683">
        <w:rPr>
          <w:rFonts w:asciiTheme="majorHAnsi" w:hAnsiTheme="majorHAnsi" w:cs="Calibri"/>
          <w:sz w:val="20"/>
          <w:szCs w:val="20"/>
          <w:bdr w:val="none" w:sz="0" w:space="0" w:color="auto"/>
          <w:lang w:val="es-ES"/>
        </w:rPr>
        <w:t xml:space="preserve"> </w:t>
      </w:r>
      <w:r w:rsidR="001D6766" w:rsidRPr="00A76683">
        <w:rPr>
          <w:rFonts w:asciiTheme="majorHAnsi" w:hAnsiTheme="majorHAnsi" w:cs="Calibri"/>
          <w:sz w:val="20"/>
          <w:szCs w:val="20"/>
          <w:bdr w:val="none" w:sz="0" w:space="0" w:color="auto"/>
          <w:lang w:val="es-ES"/>
        </w:rPr>
        <w:t>19</w:t>
      </w:r>
      <w:r w:rsidR="009B39FE">
        <w:rPr>
          <w:rFonts w:asciiTheme="majorHAnsi" w:hAnsiTheme="majorHAnsi" w:cs="Calibri"/>
          <w:sz w:val="20"/>
          <w:szCs w:val="20"/>
          <w:bdr w:val="none" w:sz="0" w:space="0" w:color="auto"/>
          <w:lang w:val="es-ES"/>
        </w:rPr>
        <w:t>, 23</w:t>
      </w:r>
      <w:r w:rsidRPr="00A76683">
        <w:rPr>
          <w:rFonts w:asciiTheme="majorHAnsi" w:hAnsiTheme="majorHAnsi" w:cs="Calibri"/>
          <w:sz w:val="20"/>
          <w:szCs w:val="20"/>
          <w:bdr w:val="none" w:sz="0" w:space="0" w:color="auto"/>
          <w:lang w:val="es-ES"/>
        </w:rPr>
        <w:t xml:space="preserve"> y 25 en concordancia con el artículo 1.1 de la Convenci</w:t>
      </w:r>
      <w:r w:rsidR="00A73339" w:rsidRPr="00A76683">
        <w:rPr>
          <w:rFonts w:asciiTheme="majorHAnsi" w:hAnsiTheme="majorHAnsi" w:cs="Calibri"/>
          <w:sz w:val="20"/>
          <w:szCs w:val="20"/>
          <w:bdr w:val="none" w:sz="0" w:space="0" w:color="auto"/>
          <w:lang w:val="es-ES"/>
        </w:rPr>
        <w:t>ón Americana</w:t>
      </w:r>
      <w:r w:rsidRPr="00A76683">
        <w:rPr>
          <w:rFonts w:asciiTheme="majorHAnsi" w:hAnsiTheme="majorHAnsi" w:cs="Calibri"/>
          <w:sz w:val="20"/>
          <w:szCs w:val="20"/>
          <w:bdr w:val="none" w:sz="0" w:space="0" w:color="auto"/>
          <w:lang w:val="es-ES"/>
        </w:rPr>
        <w:t>.</w:t>
      </w:r>
    </w:p>
    <w:p w:rsidR="00290CF9" w:rsidRPr="00A40362" w:rsidRDefault="00290CF9" w:rsidP="00A403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18"/>
          <w:szCs w:val="18"/>
          <w:bdr w:val="none" w:sz="0" w:space="0" w:color="auto"/>
          <w:lang w:val="es-ES"/>
        </w:rPr>
      </w:pPr>
    </w:p>
    <w:p w:rsidR="00290CF9" w:rsidRPr="00A76683" w:rsidRDefault="00B77049" w:rsidP="00B7704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B77049">
        <w:rPr>
          <w:rFonts w:asciiTheme="majorHAnsi" w:hAnsiTheme="majorHAnsi" w:cs="Calibri"/>
          <w:snapToGrid w:val="0"/>
          <w:sz w:val="20"/>
          <w:szCs w:val="20"/>
          <w:bdr w:val="none" w:sz="0" w:space="0" w:color="auto"/>
          <w:lang w:val="es-ES"/>
        </w:rPr>
        <w:t>Declarar inadmisible la presente petición en cuanto se refiere a la p</w:t>
      </w:r>
      <w:r w:rsidR="00210605">
        <w:rPr>
          <w:rFonts w:asciiTheme="majorHAnsi" w:hAnsiTheme="majorHAnsi" w:cs="Calibri"/>
          <w:snapToGrid w:val="0"/>
          <w:sz w:val="20"/>
          <w:szCs w:val="20"/>
          <w:bdr w:val="none" w:sz="0" w:space="0" w:color="auto"/>
          <w:lang w:val="es-ES"/>
        </w:rPr>
        <w:t xml:space="preserve">resunta violación de los </w:t>
      </w:r>
      <w:r>
        <w:rPr>
          <w:rFonts w:asciiTheme="majorHAnsi" w:hAnsiTheme="majorHAnsi" w:cs="Calibri"/>
          <w:snapToGrid w:val="0"/>
          <w:sz w:val="20"/>
          <w:szCs w:val="20"/>
          <w:bdr w:val="none" w:sz="0" w:space="0" w:color="auto"/>
          <w:lang w:val="es-ES"/>
        </w:rPr>
        <w:t>artículo</w:t>
      </w:r>
      <w:r w:rsidR="00210605">
        <w:rPr>
          <w:rFonts w:asciiTheme="majorHAnsi" w:hAnsiTheme="majorHAnsi" w:cs="Calibri"/>
          <w:snapToGrid w:val="0"/>
          <w:sz w:val="20"/>
          <w:szCs w:val="20"/>
          <w:bdr w:val="none" w:sz="0" w:space="0" w:color="auto"/>
          <w:lang w:val="es-ES"/>
        </w:rPr>
        <w:t>s</w:t>
      </w:r>
      <w:r>
        <w:rPr>
          <w:rFonts w:asciiTheme="majorHAnsi" w:hAnsiTheme="majorHAnsi" w:cs="Calibri"/>
          <w:snapToGrid w:val="0"/>
          <w:sz w:val="20"/>
          <w:szCs w:val="20"/>
          <w:bdr w:val="none" w:sz="0" w:space="0" w:color="auto"/>
          <w:lang w:val="es-ES"/>
        </w:rPr>
        <w:t xml:space="preserve"> </w:t>
      </w:r>
      <w:r w:rsidRPr="00B77049">
        <w:rPr>
          <w:rFonts w:asciiTheme="majorHAnsi" w:hAnsiTheme="majorHAnsi" w:cs="Calibri"/>
          <w:snapToGrid w:val="0"/>
          <w:sz w:val="20"/>
          <w:szCs w:val="20"/>
          <w:bdr w:val="none" w:sz="0" w:space="0" w:color="auto"/>
          <w:lang w:val="es-ES"/>
        </w:rPr>
        <w:t>7</w:t>
      </w:r>
      <w:r w:rsidR="00210605">
        <w:rPr>
          <w:rFonts w:asciiTheme="majorHAnsi" w:hAnsiTheme="majorHAnsi" w:cs="Calibri"/>
          <w:snapToGrid w:val="0"/>
          <w:sz w:val="20"/>
          <w:szCs w:val="20"/>
          <w:bdr w:val="none" w:sz="0" w:space="0" w:color="auto"/>
          <w:lang w:val="es-ES"/>
        </w:rPr>
        <w:t xml:space="preserve"> y 13</w:t>
      </w:r>
      <w:r w:rsidRPr="00B77049">
        <w:rPr>
          <w:rFonts w:asciiTheme="majorHAnsi" w:hAnsiTheme="majorHAnsi" w:cs="Calibri"/>
          <w:snapToGrid w:val="0"/>
          <w:sz w:val="20"/>
          <w:szCs w:val="20"/>
          <w:bdr w:val="none" w:sz="0" w:space="0" w:color="auto"/>
          <w:lang w:val="es-ES"/>
        </w:rPr>
        <w:t xml:space="preserve"> de la Convención Americana.</w:t>
      </w:r>
    </w:p>
    <w:p w:rsidR="00181829" w:rsidRPr="00A40362" w:rsidRDefault="00181829" w:rsidP="00B7704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18"/>
          <w:szCs w:val="18"/>
          <w:bdr w:val="none" w:sz="0" w:space="0" w:color="auto"/>
          <w:lang w:val="es-ES"/>
        </w:rPr>
      </w:pPr>
    </w:p>
    <w:p w:rsidR="00181829" w:rsidRPr="00A76683" w:rsidRDefault="00181829" w:rsidP="00B7704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cs="Calibri"/>
          <w:sz w:val="20"/>
          <w:szCs w:val="20"/>
          <w:bdr w:val="none" w:sz="0" w:space="0" w:color="auto"/>
          <w:lang w:val="es-ES"/>
        </w:rPr>
        <w:t>Notificar esta decisión al Estado colombiano y a los peticionarios.</w:t>
      </w:r>
    </w:p>
    <w:p w:rsidR="00181829" w:rsidRPr="00A40362" w:rsidRDefault="00181829" w:rsidP="00B7704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18"/>
          <w:szCs w:val="18"/>
          <w:bdr w:val="none" w:sz="0" w:space="0" w:color="auto"/>
          <w:lang w:val="es-ES"/>
        </w:rPr>
      </w:pPr>
    </w:p>
    <w:p w:rsidR="00181829" w:rsidRPr="00A76683" w:rsidRDefault="00181829" w:rsidP="00B7704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cs="Calibri"/>
          <w:sz w:val="20"/>
          <w:szCs w:val="20"/>
          <w:bdr w:val="none" w:sz="0" w:space="0" w:color="auto"/>
          <w:lang w:val="es-ES"/>
        </w:rPr>
        <w:t>Continuar con el análisis del fondo de la cuestión.</w:t>
      </w:r>
    </w:p>
    <w:p w:rsidR="00181829" w:rsidRPr="00A40362" w:rsidRDefault="00181829" w:rsidP="00B7704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18"/>
          <w:szCs w:val="18"/>
          <w:bdr w:val="none" w:sz="0" w:space="0" w:color="auto"/>
          <w:lang w:val="es-ES"/>
        </w:rPr>
      </w:pPr>
    </w:p>
    <w:p w:rsidR="00181829" w:rsidRPr="00CF54D9" w:rsidRDefault="00181829" w:rsidP="00B7704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A76683">
        <w:rPr>
          <w:rFonts w:asciiTheme="majorHAnsi" w:hAnsiTheme="majorHAnsi" w:cs="Calibri"/>
          <w:sz w:val="20"/>
          <w:szCs w:val="20"/>
          <w:bdr w:val="none" w:sz="0" w:space="0" w:color="auto"/>
          <w:lang w:val="es-ES"/>
        </w:rPr>
        <w:t>Publicar esta decisión e incluirla en su Informe Anual a la Asamblea General de la OEA.</w:t>
      </w:r>
    </w:p>
    <w:p w:rsidR="00CF54D9" w:rsidRDefault="00CF54D9" w:rsidP="00CF54D9">
      <w:pPr>
        <w:pStyle w:val="ListParagraph"/>
        <w:rPr>
          <w:rFonts w:asciiTheme="majorHAnsi" w:hAnsiTheme="majorHAnsi" w:cs="Calibri"/>
          <w:snapToGrid w:val="0"/>
          <w:sz w:val="20"/>
          <w:szCs w:val="20"/>
          <w:bdr w:val="none" w:sz="0" w:space="0" w:color="auto"/>
          <w:lang w:val="es-ES"/>
        </w:rPr>
      </w:pPr>
    </w:p>
    <w:p w:rsidR="00007D3E" w:rsidRPr="00804A84" w:rsidRDefault="00007D3E" w:rsidP="00007D3E">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17</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octubre</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 xml:space="preserve">5. </w:t>
      </w:r>
      <w:r w:rsidRPr="00804A84">
        <w:rPr>
          <w:rFonts w:ascii="Cambria" w:hAnsi="Cambria" w:cs="Arial"/>
          <w:noProof/>
          <w:spacing w:val="-2"/>
          <w:sz w:val="20"/>
          <w:szCs w:val="20"/>
          <w:lang w:val="es-CL"/>
        </w:rPr>
        <w:t xml:space="preserve">(Firmado):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 xml:space="preserve">Felipe González, Rosa María Ortiz y Tracy Robinson, </w:t>
      </w:r>
      <w:r w:rsidRPr="00804A84">
        <w:rPr>
          <w:rFonts w:ascii="Cambria" w:hAnsi="Cambria" w:cs="Arial"/>
          <w:noProof/>
          <w:spacing w:val="-2"/>
          <w:sz w:val="20"/>
          <w:szCs w:val="20"/>
          <w:lang w:val="es-CL"/>
        </w:rPr>
        <w:t>Miembros de la Comisión.</w:t>
      </w:r>
    </w:p>
    <w:p w:rsidR="00007D3E" w:rsidRPr="00804A84" w:rsidRDefault="00007D3E" w:rsidP="00007D3E">
      <w:pPr>
        <w:suppressAutoHyphens/>
        <w:ind w:firstLine="720"/>
        <w:jc w:val="both"/>
        <w:rPr>
          <w:rFonts w:ascii="Cambria" w:hAnsi="Cambria" w:cs="Arial"/>
          <w:noProof/>
          <w:spacing w:val="-2"/>
          <w:sz w:val="20"/>
          <w:szCs w:val="20"/>
          <w:lang w:val="es-CL"/>
        </w:rPr>
      </w:pPr>
    </w:p>
    <w:p w:rsidR="00007D3E" w:rsidRPr="00447458" w:rsidRDefault="00007D3E" w:rsidP="00447458">
      <w:pPr>
        <w:rPr>
          <w:rFonts w:asciiTheme="majorHAnsi" w:hAnsiTheme="majorHAnsi" w:cs="Calibri"/>
          <w:snapToGrid w:val="0"/>
          <w:sz w:val="20"/>
          <w:szCs w:val="20"/>
          <w:bdr w:val="none" w:sz="0" w:space="0" w:color="auto"/>
          <w:lang w:val="es-CL"/>
        </w:rPr>
      </w:pPr>
    </w:p>
    <w:sectPr w:rsidR="00007D3E" w:rsidRPr="00447458" w:rsidSect="009D1AA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E13" w:rsidRDefault="00B73E13">
      <w:r>
        <w:separator/>
      </w:r>
    </w:p>
  </w:endnote>
  <w:endnote w:type="continuationSeparator" w:id="0">
    <w:p w:rsidR="00B73E13" w:rsidRDefault="00B7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CA" w:rsidRDefault="00A87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8968F9" w:rsidRPr="00934A2C" w:rsidRDefault="00507CF0">
        <w:pPr>
          <w:pStyle w:val="Footer"/>
          <w:jc w:val="center"/>
          <w:rPr>
            <w:sz w:val="16"/>
            <w:szCs w:val="22"/>
          </w:rPr>
        </w:pPr>
        <w:r w:rsidRPr="00934A2C">
          <w:rPr>
            <w:sz w:val="16"/>
            <w:szCs w:val="22"/>
          </w:rPr>
          <w:fldChar w:fldCharType="begin"/>
        </w:r>
        <w:r w:rsidR="008968F9" w:rsidRPr="00934A2C">
          <w:rPr>
            <w:sz w:val="16"/>
            <w:szCs w:val="22"/>
          </w:rPr>
          <w:instrText xml:space="preserve"> PAGE   \* MERGEFORMAT </w:instrText>
        </w:r>
        <w:r w:rsidRPr="00934A2C">
          <w:rPr>
            <w:sz w:val="16"/>
            <w:szCs w:val="22"/>
          </w:rPr>
          <w:fldChar w:fldCharType="separate"/>
        </w:r>
        <w:r w:rsidR="00A870CA">
          <w:rPr>
            <w:noProof/>
            <w:sz w:val="16"/>
            <w:szCs w:val="22"/>
          </w:rPr>
          <w:t>1</w:t>
        </w:r>
        <w:r w:rsidRPr="00934A2C">
          <w:rPr>
            <w:noProof/>
            <w:sz w:val="16"/>
            <w:szCs w:val="22"/>
          </w:rPr>
          <w:fldChar w:fldCharType="end"/>
        </w:r>
      </w:p>
    </w:sdtContent>
  </w:sdt>
  <w:p w:rsidR="008968F9" w:rsidRDefault="008968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Pr="00934A2C" w:rsidRDefault="008968F9">
    <w:pPr>
      <w:pStyle w:val="Footer"/>
      <w:jc w:val="center"/>
      <w:rPr>
        <w:sz w:val="16"/>
        <w:szCs w:val="22"/>
      </w:rPr>
    </w:pPr>
  </w:p>
  <w:p w:rsidR="008968F9" w:rsidRDefault="00896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E13" w:rsidRPr="000F35ED" w:rsidRDefault="00B73E1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73E13" w:rsidRPr="000F35ED" w:rsidRDefault="00B73E13" w:rsidP="000F35ED">
      <w:pPr>
        <w:rPr>
          <w:rFonts w:asciiTheme="majorHAnsi" w:hAnsiTheme="majorHAnsi"/>
          <w:sz w:val="16"/>
          <w:szCs w:val="16"/>
        </w:rPr>
      </w:pPr>
      <w:r w:rsidRPr="000F35ED">
        <w:rPr>
          <w:rFonts w:asciiTheme="majorHAnsi" w:hAnsiTheme="majorHAnsi"/>
          <w:sz w:val="16"/>
          <w:szCs w:val="16"/>
        </w:rPr>
        <w:separator/>
      </w:r>
    </w:p>
    <w:p w:rsidR="00B73E13" w:rsidRPr="000F35ED" w:rsidRDefault="00B73E1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B73E13" w:rsidRPr="000F35ED" w:rsidRDefault="00B73E1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968F9" w:rsidRPr="00A70155" w:rsidRDefault="008968F9" w:rsidP="00C576F8">
      <w:pPr>
        <w:pStyle w:val="FootnoteText"/>
        <w:spacing w:after="120"/>
        <w:ind w:firstLine="720"/>
        <w:jc w:val="both"/>
        <w:rPr>
          <w:rFonts w:asciiTheme="minorHAnsi" w:hAnsiTheme="minorHAnsi"/>
          <w:sz w:val="16"/>
          <w:szCs w:val="16"/>
          <w:lang w:val="es-ES"/>
        </w:rPr>
      </w:pPr>
      <w:r w:rsidRPr="00A70155">
        <w:rPr>
          <w:rStyle w:val="FootnoteReference"/>
          <w:rFonts w:asciiTheme="minorHAnsi" w:hAnsiTheme="minorHAnsi"/>
          <w:color w:val="auto"/>
          <w:sz w:val="16"/>
          <w:szCs w:val="16"/>
        </w:rPr>
        <w:footnoteRef/>
      </w:r>
      <w:r w:rsidRPr="00A70155">
        <w:rPr>
          <w:rFonts w:asciiTheme="minorHAnsi" w:hAnsiTheme="minorHAnsi"/>
          <w:color w:val="auto"/>
          <w:sz w:val="16"/>
          <w:szCs w:val="16"/>
          <w:lang w:val="es-ES"/>
        </w:rPr>
        <w:t xml:space="preserve"> El 27 de marzo de 2000 </w:t>
      </w:r>
      <w:r w:rsidR="00451615">
        <w:rPr>
          <w:rFonts w:asciiTheme="minorHAnsi" w:hAnsiTheme="minorHAnsi"/>
          <w:color w:val="auto"/>
          <w:sz w:val="16"/>
          <w:szCs w:val="16"/>
          <w:lang w:val="es-ES"/>
        </w:rPr>
        <w:t xml:space="preserve">la CCJ </w:t>
      </w:r>
      <w:r w:rsidR="00451615" w:rsidRPr="00A70155">
        <w:rPr>
          <w:rFonts w:asciiTheme="minorHAnsi" w:hAnsiTheme="minorHAnsi"/>
          <w:snapToGrid w:val="0"/>
          <w:color w:val="auto"/>
          <w:sz w:val="16"/>
          <w:szCs w:val="16"/>
          <w:lang w:val="es-ES"/>
        </w:rPr>
        <w:t>informó</w:t>
      </w:r>
      <w:r w:rsidR="004051F1">
        <w:rPr>
          <w:rFonts w:asciiTheme="minorHAnsi" w:hAnsiTheme="minorHAnsi"/>
          <w:color w:val="auto"/>
          <w:sz w:val="16"/>
          <w:szCs w:val="16"/>
          <w:lang w:val="es-ES"/>
        </w:rPr>
        <w:t xml:space="preserve"> que incorporaba e</w:t>
      </w:r>
      <w:r w:rsidR="00451615">
        <w:rPr>
          <w:rFonts w:asciiTheme="minorHAnsi" w:hAnsiTheme="minorHAnsi"/>
          <w:color w:val="auto"/>
          <w:sz w:val="16"/>
          <w:szCs w:val="16"/>
          <w:lang w:val="es-ES"/>
        </w:rPr>
        <w:t>l</w:t>
      </w:r>
      <w:r w:rsidRPr="00A70155">
        <w:rPr>
          <w:rFonts w:asciiTheme="minorHAnsi" w:hAnsiTheme="minorHAnsi"/>
          <w:snapToGrid w:val="0"/>
          <w:color w:val="auto"/>
          <w:sz w:val="16"/>
          <w:szCs w:val="16"/>
          <w:lang w:val="es-ES"/>
        </w:rPr>
        <w:t xml:space="preserve"> Centro por la Justicia y el Derecho Internacional (CEJIL) como co-peticionario</w:t>
      </w:r>
      <w:r w:rsidR="00451615">
        <w:rPr>
          <w:rFonts w:asciiTheme="minorHAnsi" w:hAnsiTheme="minorHAnsi"/>
          <w:snapToGrid w:val="0"/>
          <w:color w:val="auto"/>
          <w:sz w:val="16"/>
          <w:szCs w:val="16"/>
          <w:lang w:val="es-ES"/>
        </w:rPr>
        <w:t xml:space="preserve"> en el presente caso</w:t>
      </w:r>
      <w:r w:rsidRPr="00A70155">
        <w:rPr>
          <w:rFonts w:asciiTheme="minorHAnsi" w:hAnsiTheme="minorHAnsi"/>
          <w:snapToGrid w:val="0"/>
          <w:color w:val="auto"/>
          <w:sz w:val="16"/>
          <w:szCs w:val="16"/>
          <w:lang w:val="es-ES"/>
        </w:rPr>
        <w:t>.</w:t>
      </w:r>
    </w:p>
  </w:footnote>
  <w:footnote w:id="3">
    <w:p w:rsidR="0021069C" w:rsidRPr="00A70155" w:rsidRDefault="0021069C" w:rsidP="00C576F8">
      <w:pPr>
        <w:pStyle w:val="FootnoteText"/>
        <w:spacing w:after="120"/>
        <w:ind w:firstLine="720"/>
        <w:jc w:val="both"/>
        <w:rPr>
          <w:rFonts w:asciiTheme="minorHAnsi" w:hAnsiTheme="minorHAnsi"/>
          <w:sz w:val="16"/>
          <w:szCs w:val="16"/>
          <w:lang w:val="es-ES"/>
        </w:rPr>
      </w:pPr>
      <w:r w:rsidRPr="00A70155">
        <w:rPr>
          <w:rStyle w:val="FootnoteReference"/>
          <w:rFonts w:asciiTheme="minorHAnsi" w:hAnsiTheme="minorHAnsi"/>
          <w:sz w:val="16"/>
          <w:szCs w:val="16"/>
        </w:rPr>
        <w:footnoteRef/>
      </w:r>
      <w:r w:rsidRPr="00A70155">
        <w:rPr>
          <w:rFonts w:asciiTheme="minorHAnsi" w:hAnsiTheme="minorHAnsi" w:cs="Univers"/>
          <w:sz w:val="16"/>
          <w:szCs w:val="16"/>
          <w:lang w:val="es-ES"/>
        </w:rPr>
        <w:t xml:space="preserve"> La petición fue presentada, además, en representación de otras dos presuntas víctimas. Como se indica en el párrafo 7 del presente informe, la CIDH decidió desglosar la petición y tramitar en expedientes separados la situación relativa a dichas presuntas víctimas.</w:t>
      </w:r>
    </w:p>
  </w:footnote>
  <w:footnote w:id="4">
    <w:p w:rsidR="008A3F10" w:rsidRPr="00D339A0" w:rsidRDefault="008A3F10" w:rsidP="008A3F10">
      <w:pPr>
        <w:pStyle w:val="FootnoteText"/>
        <w:spacing w:after="120"/>
        <w:ind w:firstLine="720"/>
        <w:jc w:val="both"/>
        <w:rPr>
          <w:rFonts w:asciiTheme="minorHAnsi" w:hAnsiTheme="minorHAnsi"/>
          <w:lang w:val="es-ES"/>
        </w:rPr>
      </w:pPr>
      <w:r w:rsidRPr="00D339A0">
        <w:rPr>
          <w:rStyle w:val="FootnoteReference"/>
          <w:rFonts w:asciiTheme="minorHAnsi" w:hAnsiTheme="minorHAnsi"/>
          <w:sz w:val="16"/>
        </w:rPr>
        <w:footnoteRef/>
      </w:r>
      <w:r w:rsidRPr="00D339A0">
        <w:rPr>
          <w:rFonts w:asciiTheme="minorHAnsi" w:hAnsiTheme="minorHAnsi"/>
          <w:sz w:val="16"/>
          <w:lang w:val="es-ES"/>
        </w:rPr>
        <w:t xml:space="preserve"> CIDH, Informe No. 47/15, P. 11.794, Admisibilidad, </w:t>
      </w:r>
      <w:r w:rsidRPr="00D339A0">
        <w:rPr>
          <w:rFonts w:asciiTheme="minorHAnsi" w:hAnsiTheme="minorHAnsi"/>
          <w:i/>
          <w:sz w:val="16"/>
          <w:lang w:val="es-ES"/>
        </w:rPr>
        <w:t>Olga Luz Echavarría y otro</w:t>
      </w:r>
      <w:r w:rsidR="004E68B7">
        <w:rPr>
          <w:rFonts w:asciiTheme="minorHAnsi" w:hAnsiTheme="minorHAnsi"/>
          <w:sz w:val="16"/>
          <w:lang w:val="es-ES"/>
        </w:rPr>
        <w:t>, Colombia,</w:t>
      </w:r>
      <w:r w:rsidRPr="00D339A0">
        <w:rPr>
          <w:rFonts w:asciiTheme="minorHAnsi" w:hAnsiTheme="minorHAnsi"/>
          <w:sz w:val="16"/>
          <w:lang w:val="es-ES"/>
        </w:rPr>
        <w:t xml:space="preserve"> 28 de julio de 2015.</w:t>
      </w:r>
    </w:p>
  </w:footnote>
  <w:footnote w:id="5">
    <w:p w:rsidR="00E5422E" w:rsidRPr="00A70155" w:rsidRDefault="00E5422E" w:rsidP="00C576F8">
      <w:pPr>
        <w:pStyle w:val="FootnoteText"/>
        <w:spacing w:after="120"/>
        <w:ind w:firstLine="720"/>
        <w:jc w:val="both"/>
        <w:rPr>
          <w:rFonts w:asciiTheme="minorHAnsi" w:hAnsiTheme="minorHAnsi"/>
          <w:sz w:val="16"/>
          <w:szCs w:val="16"/>
          <w:lang w:val="es-ES"/>
        </w:rPr>
      </w:pPr>
      <w:r w:rsidRPr="00A70155">
        <w:rPr>
          <w:rStyle w:val="FootnoteReference"/>
          <w:rFonts w:asciiTheme="minorHAnsi" w:hAnsiTheme="minorHAnsi"/>
          <w:sz w:val="16"/>
          <w:szCs w:val="16"/>
        </w:rPr>
        <w:footnoteRef/>
      </w:r>
      <w:r w:rsidRPr="00A70155">
        <w:rPr>
          <w:rFonts w:asciiTheme="minorHAnsi" w:hAnsiTheme="minorHAnsi"/>
          <w:sz w:val="16"/>
          <w:szCs w:val="16"/>
          <w:lang w:val="es-ES"/>
        </w:rPr>
        <w:t xml:space="preserve"> Secretariado Nacional de Pastoral Social y la Universidad de Antioquia, </w:t>
      </w:r>
      <w:r w:rsidRPr="00A70155">
        <w:rPr>
          <w:rFonts w:asciiTheme="minorHAnsi" w:hAnsiTheme="minorHAnsi"/>
          <w:i/>
          <w:iCs/>
          <w:sz w:val="16"/>
          <w:szCs w:val="16"/>
          <w:lang w:val="es-ES"/>
        </w:rPr>
        <w:t>Desplazamiento Forzado en Antioquia 1985-1998. Conflicto armado en la subregión norte de Antioquia entre 1985 y 1998</w:t>
      </w:r>
      <w:r w:rsidRPr="00A70155">
        <w:rPr>
          <w:rFonts w:asciiTheme="minorHAnsi" w:hAnsiTheme="minorHAnsi"/>
          <w:sz w:val="16"/>
          <w:szCs w:val="16"/>
          <w:lang w:val="es-ES"/>
        </w:rPr>
        <w:t xml:space="preserve">, Doc. Cit., p. 31-32 y Centro de Investigaciones y Educación Popular (CINEP); Banco de Datos, </w:t>
      </w:r>
      <w:r w:rsidRPr="00A70155">
        <w:rPr>
          <w:rFonts w:asciiTheme="minorHAnsi" w:hAnsiTheme="minorHAnsi"/>
          <w:i/>
          <w:iCs/>
          <w:sz w:val="16"/>
          <w:szCs w:val="16"/>
          <w:lang w:val="es-ES"/>
        </w:rPr>
        <w:t>Noche y Niebla - Deuda con la Humanidad – Paramilitarismo de Estado en Colombia 1988-2003 – Banco de datos de violencia política</w:t>
      </w:r>
      <w:r w:rsidRPr="00A70155">
        <w:rPr>
          <w:rFonts w:asciiTheme="minorHAnsi" w:hAnsiTheme="minorHAnsi"/>
          <w:sz w:val="16"/>
          <w:szCs w:val="16"/>
          <w:lang w:val="es-ES"/>
        </w:rPr>
        <w:t>, Ed. CINEP, Bogotá, 2004.</w:t>
      </w:r>
    </w:p>
  </w:footnote>
  <w:footnote w:id="6">
    <w:p w:rsidR="002932A4" w:rsidRPr="00A70155" w:rsidRDefault="002932A4" w:rsidP="00C576F8">
      <w:pPr>
        <w:pStyle w:val="FootnoteText"/>
        <w:spacing w:after="120"/>
        <w:ind w:firstLine="720"/>
        <w:jc w:val="both"/>
        <w:rPr>
          <w:rFonts w:asciiTheme="minorHAnsi" w:hAnsiTheme="minorHAnsi"/>
          <w:sz w:val="16"/>
          <w:szCs w:val="16"/>
          <w:lang w:val="es-ES"/>
        </w:rPr>
      </w:pPr>
      <w:r w:rsidRPr="00A70155">
        <w:rPr>
          <w:rStyle w:val="FootnoteReference"/>
          <w:rFonts w:asciiTheme="minorHAnsi" w:hAnsiTheme="minorHAnsi"/>
          <w:sz w:val="16"/>
          <w:szCs w:val="16"/>
        </w:rPr>
        <w:footnoteRef/>
      </w:r>
      <w:r w:rsidRPr="00A70155">
        <w:rPr>
          <w:rFonts w:asciiTheme="minorHAnsi" w:hAnsiTheme="minorHAnsi"/>
          <w:sz w:val="16"/>
          <w:szCs w:val="16"/>
          <w:lang w:val="es-ES"/>
        </w:rPr>
        <w:t xml:space="preserve"> </w:t>
      </w:r>
      <w:r w:rsidR="00FE723A" w:rsidRPr="00A70155">
        <w:rPr>
          <w:rFonts w:asciiTheme="minorHAnsi" w:hAnsiTheme="minorHAnsi"/>
          <w:sz w:val="16"/>
          <w:szCs w:val="16"/>
          <w:lang w:val="es-ES"/>
        </w:rPr>
        <w:t xml:space="preserve">Los peticionarios citan </w:t>
      </w:r>
      <w:r w:rsidRPr="00A70155">
        <w:rPr>
          <w:rFonts w:asciiTheme="minorHAnsi" w:hAnsiTheme="minorHAnsi"/>
          <w:sz w:val="16"/>
          <w:szCs w:val="16"/>
          <w:lang w:val="es-ES"/>
        </w:rPr>
        <w:t xml:space="preserve">Olga Behar, </w:t>
      </w:r>
      <w:r w:rsidRPr="00A70155">
        <w:rPr>
          <w:rFonts w:asciiTheme="minorHAnsi" w:hAnsiTheme="minorHAnsi"/>
          <w:i/>
          <w:iCs/>
          <w:sz w:val="16"/>
          <w:szCs w:val="16"/>
          <w:lang w:val="es-ES"/>
        </w:rPr>
        <w:t>El clan de Los Doce Apóstoles Conversaciones con el mayor Juan Carlos Meneses</w:t>
      </w:r>
      <w:r w:rsidRPr="00A70155">
        <w:rPr>
          <w:rFonts w:asciiTheme="minorHAnsi" w:hAnsiTheme="minorHAnsi"/>
          <w:sz w:val="16"/>
          <w:szCs w:val="16"/>
          <w:lang w:val="es-ES"/>
        </w:rPr>
        <w:t>, Editorial Icono, Bogotá, 2011, pág. 49 y siguientes.</w:t>
      </w:r>
    </w:p>
  </w:footnote>
  <w:footnote w:id="7">
    <w:p w:rsidR="0059489F" w:rsidRPr="00A70155" w:rsidRDefault="0059489F" w:rsidP="0059489F">
      <w:pPr>
        <w:pStyle w:val="FootnoteText"/>
        <w:spacing w:after="120"/>
        <w:ind w:firstLine="720"/>
        <w:jc w:val="both"/>
        <w:rPr>
          <w:rFonts w:asciiTheme="minorHAnsi" w:hAnsiTheme="minorHAnsi"/>
          <w:sz w:val="16"/>
          <w:szCs w:val="16"/>
          <w:lang w:val="es-ES"/>
        </w:rPr>
      </w:pPr>
      <w:r w:rsidRPr="00A70155">
        <w:rPr>
          <w:rStyle w:val="FootnoteReference"/>
          <w:rFonts w:asciiTheme="minorHAnsi" w:hAnsiTheme="minorHAnsi"/>
          <w:sz w:val="16"/>
          <w:szCs w:val="16"/>
        </w:rPr>
        <w:footnoteRef/>
      </w:r>
      <w:r w:rsidRPr="00A70155">
        <w:rPr>
          <w:rFonts w:asciiTheme="minorHAnsi" w:hAnsiTheme="minorHAnsi"/>
          <w:sz w:val="16"/>
          <w:szCs w:val="16"/>
          <w:lang w:val="es-ES"/>
        </w:rPr>
        <w:t xml:space="preserve"> L</w:t>
      </w:r>
      <w:r>
        <w:rPr>
          <w:rFonts w:asciiTheme="minorHAnsi" w:hAnsiTheme="minorHAnsi"/>
          <w:sz w:val="16"/>
          <w:szCs w:val="16"/>
          <w:lang w:val="es-ES"/>
        </w:rPr>
        <w:t>os peticionarios indican que un</w:t>
      </w:r>
      <w:r w:rsidRPr="00A70155">
        <w:rPr>
          <w:rFonts w:asciiTheme="minorHAnsi" w:hAnsiTheme="minorHAnsi"/>
          <w:sz w:val="16"/>
          <w:szCs w:val="16"/>
          <w:lang w:val="es-ES"/>
        </w:rPr>
        <w:t xml:space="preserve"> recluso de la Cárcel Bellavista de Medellín, </w:t>
      </w:r>
      <w:r>
        <w:rPr>
          <w:rFonts w:asciiTheme="minorHAnsi" w:hAnsiTheme="minorHAnsi"/>
          <w:sz w:val="16"/>
          <w:szCs w:val="16"/>
          <w:lang w:val="es-ES"/>
        </w:rPr>
        <w:t>presuntamente</w:t>
      </w:r>
      <w:r w:rsidRPr="00A70155">
        <w:rPr>
          <w:rFonts w:asciiTheme="minorHAnsi" w:hAnsiTheme="minorHAnsi"/>
          <w:sz w:val="16"/>
          <w:szCs w:val="16"/>
          <w:lang w:val="es-ES"/>
        </w:rPr>
        <w:t xml:space="preserve"> un ex militar que estaba en la región para la época de masacre, hizo llegar ese</w:t>
      </w:r>
      <w:r>
        <w:rPr>
          <w:rFonts w:asciiTheme="minorHAnsi" w:hAnsiTheme="minorHAnsi"/>
          <w:sz w:val="16"/>
          <w:szCs w:val="16"/>
          <w:lang w:val="es-ES"/>
        </w:rPr>
        <w:t xml:space="preserve"> correo</w:t>
      </w:r>
      <w:r w:rsidRPr="00A70155">
        <w:rPr>
          <w:rFonts w:asciiTheme="minorHAnsi" w:hAnsiTheme="minorHAnsi"/>
          <w:sz w:val="16"/>
          <w:szCs w:val="16"/>
          <w:lang w:val="es-ES"/>
        </w:rPr>
        <w:t xml:space="preserve"> anónimo luego de la difusión de una entrevista realizada a María Eugenia López por el canal de televisión regional Teleantioquia, durante la conmemoración de la Semana del Detenido Desaparecido</w:t>
      </w:r>
      <w:r>
        <w:rPr>
          <w:rFonts w:asciiTheme="minorHAnsi" w:hAnsiTheme="minorHAnsi"/>
          <w:sz w:val="16"/>
          <w:szCs w:val="16"/>
          <w:lang w:val="es-ES"/>
        </w:rPr>
        <w:t>, en mayo de 1997</w:t>
      </w:r>
      <w:r w:rsidRPr="00A70155">
        <w:rPr>
          <w:rFonts w:asciiTheme="minorHAnsi" w:hAnsiTheme="minorHAnsi"/>
          <w:sz w:val="16"/>
          <w:szCs w:val="16"/>
          <w:lang w:val="es-ES"/>
        </w:rPr>
        <w:t>.</w:t>
      </w:r>
    </w:p>
  </w:footnote>
  <w:footnote w:id="8">
    <w:p w:rsidR="008968F9" w:rsidRPr="00A70155" w:rsidRDefault="008968F9" w:rsidP="00C576F8">
      <w:pPr>
        <w:pBdr>
          <w:top w:val="none" w:sz="0" w:space="0" w:color="auto"/>
          <w:left w:val="none" w:sz="0" w:space="0" w:color="auto"/>
          <w:bottom w:val="none" w:sz="0" w:space="0" w:color="auto"/>
          <w:right w:val="none" w:sz="0" w:space="0" w:color="auto"/>
          <w:bar w:val="none" w:sz="0" w:color="auto"/>
        </w:pBdr>
        <w:spacing w:after="120"/>
        <w:ind w:firstLine="720"/>
        <w:jc w:val="both"/>
        <w:rPr>
          <w:rFonts w:asciiTheme="minorHAnsi" w:hAnsiTheme="minorHAnsi"/>
          <w:sz w:val="16"/>
          <w:szCs w:val="16"/>
          <w:lang w:val="es-ES"/>
        </w:rPr>
      </w:pPr>
      <w:r w:rsidRPr="00A70155">
        <w:rPr>
          <w:rStyle w:val="FootnoteReference"/>
          <w:rFonts w:asciiTheme="minorHAnsi" w:hAnsiTheme="minorHAnsi" w:cs="Calibri"/>
          <w:sz w:val="16"/>
          <w:szCs w:val="16"/>
        </w:rPr>
        <w:footnoteRef/>
      </w:r>
      <w:r w:rsidRPr="00A70155">
        <w:rPr>
          <w:rFonts w:asciiTheme="minorHAnsi" w:hAnsiTheme="minorHAnsi" w:cs="Calibri"/>
          <w:sz w:val="16"/>
          <w:szCs w:val="16"/>
          <w:lang w:val="pt-BR"/>
        </w:rPr>
        <w:t xml:space="preserve"> CIDH, Informe No. 52/97, Caso 11.218, Fondo, Arges Sequeira Mangas, Nicaragua, Informe Anual de la CIDH 1997, párrs. </w:t>
      </w:r>
      <w:r w:rsidRPr="00A70155">
        <w:rPr>
          <w:rFonts w:asciiTheme="minorHAnsi" w:hAnsiTheme="minorHAnsi" w:cs="Calibri"/>
          <w:sz w:val="16"/>
          <w:szCs w:val="16"/>
          <w:lang w:val="es-MX"/>
        </w:rPr>
        <w:t xml:space="preserve">96 y 97.  Ver también Informe No. 55/97, Caso 11.137, Fondo, </w:t>
      </w:r>
      <w:r w:rsidRPr="00A70155">
        <w:rPr>
          <w:rFonts w:asciiTheme="minorHAnsi" w:hAnsiTheme="minorHAnsi" w:cs="Calibri"/>
          <w:sz w:val="16"/>
          <w:szCs w:val="16"/>
          <w:lang w:val="es-ES_tradnl"/>
        </w:rPr>
        <w:t xml:space="preserve">Abella y otros, Argentina, </w:t>
      </w:r>
      <w:r w:rsidRPr="00A70155">
        <w:rPr>
          <w:rFonts w:asciiTheme="minorHAnsi" w:hAnsiTheme="minorHAnsi" w:cs="Calibri"/>
          <w:sz w:val="16"/>
          <w:szCs w:val="16"/>
          <w:lang w:val="es-MX"/>
        </w:rPr>
        <w:t>párr. 392.</w:t>
      </w:r>
    </w:p>
  </w:footnote>
  <w:footnote w:id="9">
    <w:p w:rsidR="008968F9" w:rsidRPr="00A70155" w:rsidRDefault="008968F9" w:rsidP="00C576F8">
      <w:pPr>
        <w:pBdr>
          <w:top w:val="none" w:sz="0" w:space="0" w:color="auto"/>
          <w:left w:val="none" w:sz="0" w:space="0" w:color="auto"/>
          <w:bottom w:val="none" w:sz="0" w:space="0" w:color="auto"/>
          <w:right w:val="none" w:sz="0" w:space="0" w:color="auto"/>
          <w:bar w:val="none" w:sz="0" w:color="auto"/>
        </w:pBdr>
        <w:spacing w:after="120"/>
        <w:ind w:firstLine="720"/>
        <w:jc w:val="both"/>
        <w:rPr>
          <w:rFonts w:asciiTheme="minorHAnsi" w:hAnsiTheme="minorHAnsi"/>
          <w:sz w:val="16"/>
          <w:szCs w:val="16"/>
          <w:lang w:val="es-ES"/>
        </w:rPr>
      </w:pPr>
      <w:r w:rsidRPr="00A70155">
        <w:rPr>
          <w:rStyle w:val="FootnoteReference"/>
          <w:rFonts w:asciiTheme="minorHAnsi" w:hAnsiTheme="minorHAnsi" w:cs="Calibri"/>
          <w:sz w:val="16"/>
          <w:szCs w:val="16"/>
        </w:rPr>
        <w:footnoteRef/>
      </w:r>
      <w:r w:rsidRPr="00A70155">
        <w:rPr>
          <w:rFonts w:asciiTheme="minorHAnsi" w:hAnsiTheme="minorHAnsi" w:cs="Calibri"/>
          <w:sz w:val="16"/>
          <w:szCs w:val="16"/>
          <w:lang w:val="es-ES_tradnl"/>
        </w:rPr>
        <w:t xml:space="preserve"> CIDH, Informe No. 151/11, Petición 1077-06, Admisibilidad, Luis Giován Laverde Moreno y Otros, Colombia, 2 de noviembre de 2011, párr.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507CF0" w:rsidP="006F6F8D">
    <w:pPr>
      <w:pStyle w:val="Header"/>
      <w:framePr w:wrap="around" w:vAnchor="text" w:hAnchor="margin" w:xAlign="center" w:y="1"/>
      <w:rPr>
        <w:rStyle w:val="PageNumber"/>
        <w:rFonts w:eastAsia="Trebuchet MS"/>
      </w:rPr>
    </w:pPr>
    <w:r>
      <w:rPr>
        <w:rStyle w:val="PageNumber"/>
        <w:rFonts w:eastAsia="Trebuchet MS"/>
      </w:rPr>
      <w:fldChar w:fldCharType="begin"/>
    </w:r>
    <w:r w:rsidR="008968F9">
      <w:rPr>
        <w:rStyle w:val="PageNumber"/>
        <w:rFonts w:eastAsia="Trebuchet MS"/>
      </w:rPr>
      <w:instrText xml:space="preserve">PAGE  </w:instrText>
    </w:r>
    <w:r>
      <w:rPr>
        <w:rStyle w:val="PageNumber"/>
        <w:rFonts w:eastAsia="Trebuchet MS"/>
      </w:rPr>
      <w:fldChar w:fldCharType="end"/>
    </w:r>
  </w:p>
  <w:p w:rsidR="008968F9" w:rsidRDefault="00896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rsidP="00A50FCF">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968F9" w:rsidRPr="00EC7D62" w:rsidRDefault="00B73E13"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CA" w:rsidRDefault="00A87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C562F6E0"/>
    <w:lvl w:ilvl="0" w:tplc="96361A2C">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1E009B"/>
    <w:multiLevelType w:val="hybridMultilevel"/>
    <w:tmpl w:val="CBA873A0"/>
    <w:lvl w:ilvl="0" w:tplc="BBD4251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372751"/>
    <w:multiLevelType w:val="hybridMultilevel"/>
    <w:tmpl w:val="2CBC870E"/>
    <w:lvl w:ilvl="0" w:tplc="C69032CA">
      <w:start w:val="1"/>
      <w:numFmt w:val="decimal"/>
      <w:lvlText w:val="%1."/>
      <w:lvlJc w:val="left"/>
      <w:pPr>
        <w:ind w:left="1044" w:hanging="504"/>
      </w:pPr>
      <w:rPr>
        <w:rFonts w:ascii="Cambria" w:hAnsi="Cambria" w:cs="Times New Roman" w:hint="default"/>
        <w:b w:val="0"/>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71A7BD0"/>
    <w:multiLevelType w:val="hybridMultilevel"/>
    <w:tmpl w:val="BA561E82"/>
    <w:lvl w:ilvl="0" w:tplc="B3703C24">
      <w:start w:val="1"/>
      <w:numFmt w:val="decimal"/>
      <w:lvlText w:val="%1."/>
      <w:lvlJc w:val="left"/>
      <w:pPr>
        <w:tabs>
          <w:tab w:val="num" w:pos="720"/>
        </w:tabs>
        <w:ind w:left="720" w:hanging="360"/>
      </w:pPr>
      <w:rPr>
        <w:b w:val="0"/>
      </w:rPr>
    </w:lvl>
    <w:lvl w:ilvl="1" w:tplc="03E853A8">
      <w:start w:val="59"/>
      <w:numFmt w:val="decimal"/>
      <w:lvlText w:val="%2."/>
      <w:lvlJc w:val="left"/>
      <w:pPr>
        <w:tabs>
          <w:tab w:val="num" w:pos="2580"/>
        </w:tabs>
        <w:ind w:left="2580" w:hanging="150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0F0C1F"/>
    <w:multiLevelType w:val="hybridMultilevel"/>
    <w:tmpl w:val="718C8562"/>
    <w:lvl w:ilvl="0" w:tplc="9DA68692">
      <w:start w:val="1"/>
      <w:numFmt w:val="decimal"/>
      <w:lvlText w:val="%1."/>
      <w:lvlJc w:val="left"/>
      <w:pPr>
        <w:ind w:left="1314" w:hanging="504"/>
      </w:pPr>
      <w:rPr>
        <w:rFonts w:ascii="Cambria" w:hAnsi="Cambria" w:cs="Times New Roman" w:hint="default"/>
        <w:b w:val="0"/>
        <w:color w:val="auto"/>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1B0238D"/>
    <w:multiLevelType w:val="hybridMultilevel"/>
    <w:tmpl w:val="3E8A94E0"/>
    <w:lvl w:ilvl="0" w:tplc="C80628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0561B8E"/>
    <w:multiLevelType w:val="hybridMultilevel"/>
    <w:tmpl w:val="7C44C386"/>
    <w:lvl w:ilvl="0" w:tplc="71B23924">
      <w:start w:val="1"/>
      <w:numFmt w:val="decimal"/>
      <w:lvlText w:val="%1."/>
      <w:lvlJc w:val="left"/>
      <w:pPr>
        <w:tabs>
          <w:tab w:val="num" w:pos="1429"/>
        </w:tabs>
        <w:ind w:left="1429" w:hanging="720"/>
      </w:pPr>
      <w:rPr>
        <w:rFonts w:ascii="Cambria" w:hAnsi="Cambria" w:hint="default"/>
        <w:b w:val="0"/>
        <w:color w:val="auto"/>
        <w:sz w:val="20"/>
        <w:szCs w:val="20"/>
      </w:rPr>
    </w:lvl>
    <w:lvl w:ilvl="1" w:tplc="04090019">
      <w:start w:val="1"/>
      <w:numFmt w:val="lowerLetter"/>
      <w:lvlText w:val="%2."/>
      <w:lvlJc w:val="left"/>
      <w:pPr>
        <w:tabs>
          <w:tab w:val="num" w:pos="1800"/>
        </w:tabs>
        <w:ind w:left="1800" w:hanging="360"/>
      </w:pPr>
    </w:lvl>
    <w:lvl w:ilvl="2" w:tplc="3CA6FEDA">
      <w:start w:val="5"/>
      <w:numFmt w:val="upperRoman"/>
      <w:lvlText w:val="%3."/>
      <w:lvlJc w:val="left"/>
      <w:pPr>
        <w:tabs>
          <w:tab w:val="num" w:pos="3060"/>
        </w:tabs>
        <w:ind w:left="3060" w:hanging="720"/>
      </w:pPr>
      <w:rPr>
        <w:rFonts w:hint="default"/>
      </w:rPr>
    </w:lvl>
    <w:lvl w:ilvl="3" w:tplc="71681AC0">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8C47893"/>
    <w:multiLevelType w:val="hybridMultilevel"/>
    <w:tmpl w:val="D0D2858C"/>
    <w:lvl w:ilvl="0" w:tplc="E23EE40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BF15681"/>
    <w:multiLevelType w:val="hybridMultilevel"/>
    <w:tmpl w:val="B282CC0A"/>
    <w:lvl w:ilvl="0" w:tplc="2B7A599C">
      <w:start w:val="1"/>
      <w:numFmt w:val="decimal"/>
      <w:lvlText w:val="%1."/>
      <w:lvlJc w:val="left"/>
      <w:pPr>
        <w:tabs>
          <w:tab w:val="num" w:pos="4320"/>
        </w:tabs>
        <w:ind w:left="4320" w:hanging="360"/>
      </w:pPr>
      <w:rPr>
        <w:rFonts w:hint="default"/>
        <w:b w:val="0"/>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FA696D"/>
    <w:multiLevelType w:val="hybridMultilevel"/>
    <w:tmpl w:val="711480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7"/>
  </w:num>
  <w:num w:numId="4">
    <w:abstractNumId w:val="22"/>
  </w:num>
  <w:num w:numId="5">
    <w:abstractNumId w:val="49"/>
  </w:num>
  <w:num w:numId="6">
    <w:abstractNumId w:val="27"/>
  </w:num>
  <w:num w:numId="7">
    <w:abstractNumId w:val="7"/>
  </w:num>
  <w:num w:numId="8">
    <w:abstractNumId w:val="18"/>
  </w:num>
  <w:num w:numId="9">
    <w:abstractNumId w:val="44"/>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7"/>
  </w:num>
  <w:num w:numId="39">
    <w:abstractNumId w:val="40"/>
  </w:num>
  <w:num w:numId="40">
    <w:abstractNumId w:val="41"/>
  </w:num>
  <w:num w:numId="41">
    <w:abstractNumId w:val="48"/>
  </w:num>
  <w:num w:numId="42">
    <w:abstractNumId w:val="51"/>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2"/>
  </w:num>
  <w:num w:numId="50">
    <w:abstractNumId w:val="63"/>
  </w:num>
  <w:num w:numId="51">
    <w:abstractNumId w:val="21"/>
  </w:num>
  <w:num w:numId="52">
    <w:abstractNumId w:val="42"/>
  </w:num>
  <w:num w:numId="53">
    <w:abstractNumId w:val="54"/>
  </w:num>
  <w:num w:numId="54">
    <w:abstractNumId w:val="46"/>
  </w:num>
  <w:num w:numId="55">
    <w:abstractNumId w:val="36"/>
  </w:num>
  <w:num w:numId="56">
    <w:abstractNumId w:val="5"/>
  </w:num>
  <w:num w:numId="57">
    <w:abstractNumId w:val="61"/>
  </w:num>
  <w:num w:numId="58">
    <w:abstractNumId w:val="50"/>
  </w:num>
  <w:num w:numId="59">
    <w:abstractNumId w:val="43"/>
  </w:num>
  <w:num w:numId="60">
    <w:abstractNumId w:val="17"/>
  </w:num>
  <w:num w:numId="61">
    <w:abstractNumId w:val="52"/>
  </w:num>
  <w:num w:numId="62">
    <w:abstractNumId w:val="34"/>
    <w:lvlOverride w:ilvl="0">
      <w:startOverride w:val="1"/>
    </w:lvlOverride>
    <w:lvlOverride w:ilvl="1">
      <w:startOverride w:val="5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num>
  <w:num w:numId="64">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328"/>
    <w:rsid w:val="00004E23"/>
    <w:rsid w:val="00006E1F"/>
    <w:rsid w:val="000070D7"/>
    <w:rsid w:val="00007D3E"/>
    <w:rsid w:val="00011630"/>
    <w:rsid w:val="000136C4"/>
    <w:rsid w:val="00014631"/>
    <w:rsid w:val="00016C3A"/>
    <w:rsid w:val="00016DAA"/>
    <w:rsid w:val="00017182"/>
    <w:rsid w:val="0001788C"/>
    <w:rsid w:val="00020DD5"/>
    <w:rsid w:val="00022A7F"/>
    <w:rsid w:val="00026E78"/>
    <w:rsid w:val="00030789"/>
    <w:rsid w:val="00040C3A"/>
    <w:rsid w:val="00055347"/>
    <w:rsid w:val="00057021"/>
    <w:rsid w:val="00062BB8"/>
    <w:rsid w:val="00064D26"/>
    <w:rsid w:val="00066756"/>
    <w:rsid w:val="000716C5"/>
    <w:rsid w:val="00073F23"/>
    <w:rsid w:val="00075E23"/>
    <w:rsid w:val="00077B64"/>
    <w:rsid w:val="00090BF9"/>
    <w:rsid w:val="00090D52"/>
    <w:rsid w:val="0009344A"/>
    <w:rsid w:val="000A0D44"/>
    <w:rsid w:val="000A392E"/>
    <w:rsid w:val="000A575F"/>
    <w:rsid w:val="000A5A37"/>
    <w:rsid w:val="000C0A19"/>
    <w:rsid w:val="000C156B"/>
    <w:rsid w:val="000C4235"/>
    <w:rsid w:val="000C4DA3"/>
    <w:rsid w:val="000C708E"/>
    <w:rsid w:val="000C7C79"/>
    <w:rsid w:val="000D0204"/>
    <w:rsid w:val="000D043D"/>
    <w:rsid w:val="000D10DB"/>
    <w:rsid w:val="000D15F3"/>
    <w:rsid w:val="000D5B87"/>
    <w:rsid w:val="000D7533"/>
    <w:rsid w:val="000E2B20"/>
    <w:rsid w:val="000E5EB5"/>
    <w:rsid w:val="000E6093"/>
    <w:rsid w:val="000F15AB"/>
    <w:rsid w:val="000F35ED"/>
    <w:rsid w:val="000F63B2"/>
    <w:rsid w:val="0010327E"/>
    <w:rsid w:val="0010611E"/>
    <w:rsid w:val="00107131"/>
    <w:rsid w:val="0010736F"/>
    <w:rsid w:val="00110C03"/>
    <w:rsid w:val="00113F73"/>
    <w:rsid w:val="00121508"/>
    <w:rsid w:val="00121CC2"/>
    <w:rsid w:val="00121EA9"/>
    <w:rsid w:val="00123777"/>
    <w:rsid w:val="00133687"/>
    <w:rsid w:val="00133EE5"/>
    <w:rsid w:val="00134A28"/>
    <w:rsid w:val="00145D8B"/>
    <w:rsid w:val="00147670"/>
    <w:rsid w:val="001509BB"/>
    <w:rsid w:val="00150DA2"/>
    <w:rsid w:val="00156B98"/>
    <w:rsid w:val="00167A34"/>
    <w:rsid w:val="00181829"/>
    <w:rsid w:val="00185417"/>
    <w:rsid w:val="00191B52"/>
    <w:rsid w:val="001923B2"/>
    <w:rsid w:val="00195072"/>
    <w:rsid w:val="001976A9"/>
    <w:rsid w:val="001A23ED"/>
    <w:rsid w:val="001A7870"/>
    <w:rsid w:val="001B265F"/>
    <w:rsid w:val="001B2DC1"/>
    <w:rsid w:val="001B3A2E"/>
    <w:rsid w:val="001C1B41"/>
    <w:rsid w:val="001C5138"/>
    <w:rsid w:val="001D0B49"/>
    <w:rsid w:val="001D279C"/>
    <w:rsid w:val="001D65EF"/>
    <w:rsid w:val="001D6766"/>
    <w:rsid w:val="001E4A92"/>
    <w:rsid w:val="00200EBA"/>
    <w:rsid w:val="00202C21"/>
    <w:rsid w:val="00207242"/>
    <w:rsid w:val="00210605"/>
    <w:rsid w:val="0021069C"/>
    <w:rsid w:val="002127D6"/>
    <w:rsid w:val="00213A0C"/>
    <w:rsid w:val="00215A7E"/>
    <w:rsid w:val="00215C3C"/>
    <w:rsid w:val="00220485"/>
    <w:rsid w:val="002233AA"/>
    <w:rsid w:val="002250A3"/>
    <w:rsid w:val="0023443B"/>
    <w:rsid w:val="00235217"/>
    <w:rsid w:val="002442E6"/>
    <w:rsid w:val="0024647A"/>
    <w:rsid w:val="00246D1F"/>
    <w:rsid w:val="00247403"/>
    <w:rsid w:val="00247542"/>
    <w:rsid w:val="00257C5C"/>
    <w:rsid w:val="00266B61"/>
    <w:rsid w:val="0026712A"/>
    <w:rsid w:val="002704DB"/>
    <w:rsid w:val="00271FCA"/>
    <w:rsid w:val="0028679A"/>
    <w:rsid w:val="002871F9"/>
    <w:rsid w:val="00290CF9"/>
    <w:rsid w:val="00291630"/>
    <w:rsid w:val="00292FDB"/>
    <w:rsid w:val="002932A4"/>
    <w:rsid w:val="002A07C5"/>
    <w:rsid w:val="002A0AAE"/>
    <w:rsid w:val="002A2A64"/>
    <w:rsid w:val="002A5713"/>
    <w:rsid w:val="002A5820"/>
    <w:rsid w:val="002B105B"/>
    <w:rsid w:val="002B21CA"/>
    <w:rsid w:val="002C13C1"/>
    <w:rsid w:val="002C28E4"/>
    <w:rsid w:val="002C2FB9"/>
    <w:rsid w:val="002D0AD6"/>
    <w:rsid w:val="002D2B26"/>
    <w:rsid w:val="002D3A9F"/>
    <w:rsid w:val="002D7EA2"/>
    <w:rsid w:val="002E187C"/>
    <w:rsid w:val="002E4B1A"/>
    <w:rsid w:val="002E503C"/>
    <w:rsid w:val="002E6018"/>
    <w:rsid w:val="002E63C7"/>
    <w:rsid w:val="002E7B2C"/>
    <w:rsid w:val="002F07C9"/>
    <w:rsid w:val="002F41F7"/>
    <w:rsid w:val="00302733"/>
    <w:rsid w:val="00302EEB"/>
    <w:rsid w:val="00306D88"/>
    <w:rsid w:val="00314078"/>
    <w:rsid w:val="0031535D"/>
    <w:rsid w:val="00320458"/>
    <w:rsid w:val="00323FB9"/>
    <w:rsid w:val="00324651"/>
    <w:rsid w:val="003252BA"/>
    <w:rsid w:val="0033169F"/>
    <w:rsid w:val="00334507"/>
    <w:rsid w:val="00334713"/>
    <w:rsid w:val="00336DC2"/>
    <w:rsid w:val="003410F7"/>
    <w:rsid w:val="00346C95"/>
    <w:rsid w:val="00346EFC"/>
    <w:rsid w:val="00352045"/>
    <w:rsid w:val="00356185"/>
    <w:rsid w:val="00360380"/>
    <w:rsid w:val="0036212A"/>
    <w:rsid w:val="00365039"/>
    <w:rsid w:val="003669A7"/>
    <w:rsid w:val="0037213F"/>
    <w:rsid w:val="0037519E"/>
    <w:rsid w:val="003801B3"/>
    <w:rsid w:val="00383136"/>
    <w:rsid w:val="00386CF0"/>
    <w:rsid w:val="003A4C23"/>
    <w:rsid w:val="003A5FE7"/>
    <w:rsid w:val="003C2832"/>
    <w:rsid w:val="003C5D04"/>
    <w:rsid w:val="003C676B"/>
    <w:rsid w:val="003D3501"/>
    <w:rsid w:val="003D355D"/>
    <w:rsid w:val="003D3BC2"/>
    <w:rsid w:val="003D5B51"/>
    <w:rsid w:val="003E5732"/>
    <w:rsid w:val="003E621B"/>
    <w:rsid w:val="003E6CA1"/>
    <w:rsid w:val="003E7C4D"/>
    <w:rsid w:val="003F076A"/>
    <w:rsid w:val="003F49B1"/>
    <w:rsid w:val="003F5809"/>
    <w:rsid w:val="003F6F7C"/>
    <w:rsid w:val="00404EEB"/>
    <w:rsid w:val="004051F1"/>
    <w:rsid w:val="00407053"/>
    <w:rsid w:val="0041109C"/>
    <w:rsid w:val="004165C2"/>
    <w:rsid w:val="0042312A"/>
    <w:rsid w:val="00426AF8"/>
    <w:rsid w:val="00426B43"/>
    <w:rsid w:val="00441ECB"/>
    <w:rsid w:val="00444B98"/>
    <w:rsid w:val="00444D38"/>
    <w:rsid w:val="004452F3"/>
    <w:rsid w:val="00447458"/>
    <w:rsid w:val="00451615"/>
    <w:rsid w:val="00452869"/>
    <w:rsid w:val="004539F8"/>
    <w:rsid w:val="004550FF"/>
    <w:rsid w:val="00460B87"/>
    <w:rsid w:val="00467B7E"/>
    <w:rsid w:val="0047006B"/>
    <w:rsid w:val="004715A2"/>
    <w:rsid w:val="004720AC"/>
    <w:rsid w:val="00473C48"/>
    <w:rsid w:val="004768ED"/>
    <w:rsid w:val="00477592"/>
    <w:rsid w:val="00481AD9"/>
    <w:rsid w:val="00486F1C"/>
    <w:rsid w:val="00494115"/>
    <w:rsid w:val="0049419D"/>
    <w:rsid w:val="004964FF"/>
    <w:rsid w:val="004A3A18"/>
    <w:rsid w:val="004A3E4A"/>
    <w:rsid w:val="004A616D"/>
    <w:rsid w:val="004B226A"/>
    <w:rsid w:val="004B4ADB"/>
    <w:rsid w:val="004C20D2"/>
    <w:rsid w:val="004C4B62"/>
    <w:rsid w:val="004C54C9"/>
    <w:rsid w:val="004C5937"/>
    <w:rsid w:val="004D11C7"/>
    <w:rsid w:val="004D6025"/>
    <w:rsid w:val="004D6E0D"/>
    <w:rsid w:val="004D7E97"/>
    <w:rsid w:val="004E2649"/>
    <w:rsid w:val="004E429A"/>
    <w:rsid w:val="004E68B7"/>
    <w:rsid w:val="00501399"/>
    <w:rsid w:val="00504D31"/>
    <w:rsid w:val="0050633D"/>
    <w:rsid w:val="00507BC4"/>
    <w:rsid w:val="00507CF0"/>
    <w:rsid w:val="00510737"/>
    <w:rsid w:val="005128E4"/>
    <w:rsid w:val="005133DB"/>
    <w:rsid w:val="00514BCB"/>
    <w:rsid w:val="00514CA0"/>
    <w:rsid w:val="00515C65"/>
    <w:rsid w:val="00515E2D"/>
    <w:rsid w:val="00525560"/>
    <w:rsid w:val="005364D7"/>
    <w:rsid w:val="005372F5"/>
    <w:rsid w:val="00543D2C"/>
    <w:rsid w:val="00544C49"/>
    <w:rsid w:val="005516A1"/>
    <w:rsid w:val="005609C6"/>
    <w:rsid w:val="00567721"/>
    <w:rsid w:val="00567D33"/>
    <w:rsid w:val="0057402A"/>
    <w:rsid w:val="005744B6"/>
    <w:rsid w:val="005771D0"/>
    <w:rsid w:val="005771FA"/>
    <w:rsid w:val="005823D2"/>
    <w:rsid w:val="00583046"/>
    <w:rsid w:val="00584A92"/>
    <w:rsid w:val="0059191A"/>
    <w:rsid w:val="005921FF"/>
    <w:rsid w:val="00593C0D"/>
    <w:rsid w:val="0059489F"/>
    <w:rsid w:val="005948BB"/>
    <w:rsid w:val="005A2325"/>
    <w:rsid w:val="005A3941"/>
    <w:rsid w:val="005A6D0E"/>
    <w:rsid w:val="005B52B0"/>
    <w:rsid w:val="005B5E3E"/>
    <w:rsid w:val="005B6806"/>
    <w:rsid w:val="005C0D1F"/>
    <w:rsid w:val="005C0E01"/>
    <w:rsid w:val="005C4225"/>
    <w:rsid w:val="005D03F8"/>
    <w:rsid w:val="005D1B31"/>
    <w:rsid w:val="005D2412"/>
    <w:rsid w:val="005D24A4"/>
    <w:rsid w:val="005D36CC"/>
    <w:rsid w:val="005D623A"/>
    <w:rsid w:val="005F0DAD"/>
    <w:rsid w:val="005F0DD7"/>
    <w:rsid w:val="005F0F33"/>
    <w:rsid w:val="005F2413"/>
    <w:rsid w:val="005F4579"/>
    <w:rsid w:val="005F693F"/>
    <w:rsid w:val="00600DEB"/>
    <w:rsid w:val="00601474"/>
    <w:rsid w:val="00603444"/>
    <w:rsid w:val="00605242"/>
    <w:rsid w:val="00607039"/>
    <w:rsid w:val="006147C6"/>
    <w:rsid w:val="00615188"/>
    <w:rsid w:val="00616587"/>
    <w:rsid w:val="00617654"/>
    <w:rsid w:val="0062408E"/>
    <w:rsid w:val="00627C9F"/>
    <w:rsid w:val="006311E9"/>
    <w:rsid w:val="00632354"/>
    <w:rsid w:val="00636B7E"/>
    <w:rsid w:val="00641024"/>
    <w:rsid w:val="00641AFF"/>
    <w:rsid w:val="00642810"/>
    <w:rsid w:val="00642D0A"/>
    <w:rsid w:val="006440F4"/>
    <w:rsid w:val="00644ECD"/>
    <w:rsid w:val="00647640"/>
    <w:rsid w:val="00651D23"/>
    <w:rsid w:val="00652333"/>
    <w:rsid w:val="006533BE"/>
    <w:rsid w:val="006674F5"/>
    <w:rsid w:val="00667F8A"/>
    <w:rsid w:val="00676641"/>
    <w:rsid w:val="0068009E"/>
    <w:rsid w:val="00681881"/>
    <w:rsid w:val="00683B0D"/>
    <w:rsid w:val="0069153F"/>
    <w:rsid w:val="00692219"/>
    <w:rsid w:val="006A17D2"/>
    <w:rsid w:val="006A1C0F"/>
    <w:rsid w:val="006A59A0"/>
    <w:rsid w:val="006A73E6"/>
    <w:rsid w:val="006B2D5C"/>
    <w:rsid w:val="006B2F87"/>
    <w:rsid w:val="006C476F"/>
    <w:rsid w:val="006C4EB1"/>
    <w:rsid w:val="006C5601"/>
    <w:rsid w:val="006D4C18"/>
    <w:rsid w:val="006E0166"/>
    <w:rsid w:val="006E3854"/>
    <w:rsid w:val="006E7B34"/>
    <w:rsid w:val="006F2622"/>
    <w:rsid w:val="006F6F8D"/>
    <w:rsid w:val="006F757D"/>
    <w:rsid w:val="00702894"/>
    <w:rsid w:val="0070697F"/>
    <w:rsid w:val="00706DE6"/>
    <w:rsid w:val="00707677"/>
    <w:rsid w:val="00707B67"/>
    <w:rsid w:val="00710A2A"/>
    <w:rsid w:val="00711AFB"/>
    <w:rsid w:val="007135F2"/>
    <w:rsid w:val="0071506B"/>
    <w:rsid w:val="00717013"/>
    <w:rsid w:val="0072065A"/>
    <w:rsid w:val="00720864"/>
    <w:rsid w:val="0072199C"/>
    <w:rsid w:val="00722C9F"/>
    <w:rsid w:val="007253B8"/>
    <w:rsid w:val="007273BF"/>
    <w:rsid w:val="0073174A"/>
    <w:rsid w:val="007317E5"/>
    <w:rsid w:val="007355F0"/>
    <w:rsid w:val="00735A29"/>
    <w:rsid w:val="00736FE1"/>
    <w:rsid w:val="0073741F"/>
    <w:rsid w:val="00743578"/>
    <w:rsid w:val="00743A8D"/>
    <w:rsid w:val="007578BE"/>
    <w:rsid w:val="007615E7"/>
    <w:rsid w:val="00761E91"/>
    <w:rsid w:val="007627B0"/>
    <w:rsid w:val="007643F4"/>
    <w:rsid w:val="0076643F"/>
    <w:rsid w:val="007703B5"/>
    <w:rsid w:val="00771138"/>
    <w:rsid w:val="00772211"/>
    <w:rsid w:val="0077347A"/>
    <w:rsid w:val="0077583F"/>
    <w:rsid w:val="00777F63"/>
    <w:rsid w:val="0078158C"/>
    <w:rsid w:val="00781FE2"/>
    <w:rsid w:val="00783620"/>
    <w:rsid w:val="00784D4B"/>
    <w:rsid w:val="00785F8F"/>
    <w:rsid w:val="0078664D"/>
    <w:rsid w:val="007868A9"/>
    <w:rsid w:val="00794734"/>
    <w:rsid w:val="007A2D78"/>
    <w:rsid w:val="007A5817"/>
    <w:rsid w:val="007B159E"/>
    <w:rsid w:val="007B41F6"/>
    <w:rsid w:val="007B60E9"/>
    <w:rsid w:val="007B69B6"/>
    <w:rsid w:val="007B6CC3"/>
    <w:rsid w:val="007C1C48"/>
    <w:rsid w:val="007C3334"/>
    <w:rsid w:val="007C55CA"/>
    <w:rsid w:val="007C6379"/>
    <w:rsid w:val="007D1D32"/>
    <w:rsid w:val="007D2B98"/>
    <w:rsid w:val="007D5E13"/>
    <w:rsid w:val="007E0123"/>
    <w:rsid w:val="007E21BC"/>
    <w:rsid w:val="007E32CD"/>
    <w:rsid w:val="007E56A4"/>
    <w:rsid w:val="007F2F4E"/>
    <w:rsid w:val="007F7AF2"/>
    <w:rsid w:val="007F7E22"/>
    <w:rsid w:val="00803F1C"/>
    <w:rsid w:val="0080600E"/>
    <w:rsid w:val="00807594"/>
    <w:rsid w:val="00816746"/>
    <w:rsid w:val="00817612"/>
    <w:rsid w:val="00820344"/>
    <w:rsid w:val="00821D6B"/>
    <w:rsid w:val="00824E1F"/>
    <w:rsid w:val="008338A4"/>
    <w:rsid w:val="00837C45"/>
    <w:rsid w:val="00841BA0"/>
    <w:rsid w:val="00844730"/>
    <w:rsid w:val="00845317"/>
    <w:rsid w:val="008457C2"/>
    <w:rsid w:val="00846D2F"/>
    <w:rsid w:val="008529B6"/>
    <w:rsid w:val="00853424"/>
    <w:rsid w:val="00857A82"/>
    <w:rsid w:val="008645A4"/>
    <w:rsid w:val="00864692"/>
    <w:rsid w:val="0087042A"/>
    <w:rsid w:val="00871BDE"/>
    <w:rsid w:val="00873836"/>
    <w:rsid w:val="0087455B"/>
    <w:rsid w:val="00877672"/>
    <w:rsid w:val="00885737"/>
    <w:rsid w:val="00890650"/>
    <w:rsid w:val="008941F8"/>
    <w:rsid w:val="008968F9"/>
    <w:rsid w:val="00897E12"/>
    <w:rsid w:val="008A12B0"/>
    <w:rsid w:val="008A1556"/>
    <w:rsid w:val="008A3F10"/>
    <w:rsid w:val="008A6F4E"/>
    <w:rsid w:val="008A6F80"/>
    <w:rsid w:val="008A7E0F"/>
    <w:rsid w:val="008B12F5"/>
    <w:rsid w:val="008B56A4"/>
    <w:rsid w:val="008C4B02"/>
    <w:rsid w:val="008D62B7"/>
    <w:rsid w:val="008D768D"/>
    <w:rsid w:val="008E2912"/>
    <w:rsid w:val="008E2EC1"/>
    <w:rsid w:val="008E3304"/>
    <w:rsid w:val="008E3759"/>
    <w:rsid w:val="008E7727"/>
    <w:rsid w:val="008F1912"/>
    <w:rsid w:val="008F3D6C"/>
    <w:rsid w:val="008F48B9"/>
    <w:rsid w:val="008F4F39"/>
    <w:rsid w:val="0090270B"/>
    <w:rsid w:val="009041DC"/>
    <w:rsid w:val="00913F35"/>
    <w:rsid w:val="00917B5A"/>
    <w:rsid w:val="00920A58"/>
    <w:rsid w:val="00920A8C"/>
    <w:rsid w:val="00923404"/>
    <w:rsid w:val="009323F2"/>
    <w:rsid w:val="00932F8D"/>
    <w:rsid w:val="00934A2C"/>
    <w:rsid w:val="00935089"/>
    <w:rsid w:val="009360CC"/>
    <w:rsid w:val="00940BF3"/>
    <w:rsid w:val="009414E8"/>
    <w:rsid w:val="0094510D"/>
    <w:rsid w:val="00945E05"/>
    <w:rsid w:val="009469B8"/>
    <w:rsid w:val="009611EE"/>
    <w:rsid w:val="0096706E"/>
    <w:rsid w:val="00975C4E"/>
    <w:rsid w:val="0097673C"/>
    <w:rsid w:val="009804E7"/>
    <w:rsid w:val="00981439"/>
    <w:rsid w:val="00981FBA"/>
    <w:rsid w:val="0098445F"/>
    <w:rsid w:val="009869F5"/>
    <w:rsid w:val="00994E50"/>
    <w:rsid w:val="0099741D"/>
    <w:rsid w:val="00997BC5"/>
    <w:rsid w:val="00997F04"/>
    <w:rsid w:val="009A0E6F"/>
    <w:rsid w:val="009A3C7B"/>
    <w:rsid w:val="009A3D20"/>
    <w:rsid w:val="009A3F0D"/>
    <w:rsid w:val="009A4F41"/>
    <w:rsid w:val="009B23C3"/>
    <w:rsid w:val="009B381B"/>
    <w:rsid w:val="009B39FE"/>
    <w:rsid w:val="009B3FCA"/>
    <w:rsid w:val="009B686E"/>
    <w:rsid w:val="009B6989"/>
    <w:rsid w:val="009C17F0"/>
    <w:rsid w:val="009C2723"/>
    <w:rsid w:val="009D07EB"/>
    <w:rsid w:val="009D0EA9"/>
    <w:rsid w:val="009D1182"/>
    <w:rsid w:val="009D1753"/>
    <w:rsid w:val="009D1A81"/>
    <w:rsid w:val="009D1AA9"/>
    <w:rsid w:val="009D1CE4"/>
    <w:rsid w:val="009D68F2"/>
    <w:rsid w:val="009D7611"/>
    <w:rsid w:val="009D7A8E"/>
    <w:rsid w:val="009E0B61"/>
    <w:rsid w:val="009E3BC4"/>
    <w:rsid w:val="009E53DE"/>
    <w:rsid w:val="009E66B5"/>
    <w:rsid w:val="009E7797"/>
    <w:rsid w:val="009F06D4"/>
    <w:rsid w:val="009F3242"/>
    <w:rsid w:val="009F354E"/>
    <w:rsid w:val="00A01819"/>
    <w:rsid w:val="00A04B38"/>
    <w:rsid w:val="00A10432"/>
    <w:rsid w:val="00A10489"/>
    <w:rsid w:val="00A16989"/>
    <w:rsid w:val="00A2222C"/>
    <w:rsid w:val="00A22948"/>
    <w:rsid w:val="00A23F93"/>
    <w:rsid w:val="00A326D0"/>
    <w:rsid w:val="00A328B3"/>
    <w:rsid w:val="00A36270"/>
    <w:rsid w:val="00A40362"/>
    <w:rsid w:val="00A4230C"/>
    <w:rsid w:val="00A44144"/>
    <w:rsid w:val="00A44524"/>
    <w:rsid w:val="00A44A0A"/>
    <w:rsid w:val="00A50FCF"/>
    <w:rsid w:val="00A528D1"/>
    <w:rsid w:val="00A56618"/>
    <w:rsid w:val="00A57F8E"/>
    <w:rsid w:val="00A610CD"/>
    <w:rsid w:val="00A62385"/>
    <w:rsid w:val="00A65275"/>
    <w:rsid w:val="00A70155"/>
    <w:rsid w:val="00A70247"/>
    <w:rsid w:val="00A73339"/>
    <w:rsid w:val="00A73DF0"/>
    <w:rsid w:val="00A76683"/>
    <w:rsid w:val="00A77311"/>
    <w:rsid w:val="00A77661"/>
    <w:rsid w:val="00A77AF2"/>
    <w:rsid w:val="00A77BF1"/>
    <w:rsid w:val="00A81547"/>
    <w:rsid w:val="00A82775"/>
    <w:rsid w:val="00A870CA"/>
    <w:rsid w:val="00A91979"/>
    <w:rsid w:val="00A95B3C"/>
    <w:rsid w:val="00AA050E"/>
    <w:rsid w:val="00AA09A2"/>
    <w:rsid w:val="00AA0AAD"/>
    <w:rsid w:val="00AA5A5A"/>
    <w:rsid w:val="00AA5DF6"/>
    <w:rsid w:val="00AA7996"/>
    <w:rsid w:val="00AB6B4B"/>
    <w:rsid w:val="00AB74E6"/>
    <w:rsid w:val="00AC19CB"/>
    <w:rsid w:val="00AD79E8"/>
    <w:rsid w:val="00AE048D"/>
    <w:rsid w:val="00AE15B1"/>
    <w:rsid w:val="00AE2CB9"/>
    <w:rsid w:val="00AE5488"/>
    <w:rsid w:val="00AE6F91"/>
    <w:rsid w:val="00AE79E0"/>
    <w:rsid w:val="00AF5571"/>
    <w:rsid w:val="00B07341"/>
    <w:rsid w:val="00B16E92"/>
    <w:rsid w:val="00B21FA0"/>
    <w:rsid w:val="00B2383E"/>
    <w:rsid w:val="00B30539"/>
    <w:rsid w:val="00B30F94"/>
    <w:rsid w:val="00B314DB"/>
    <w:rsid w:val="00B31CED"/>
    <w:rsid w:val="00B361F2"/>
    <w:rsid w:val="00B3718B"/>
    <w:rsid w:val="00B41E4A"/>
    <w:rsid w:val="00B42553"/>
    <w:rsid w:val="00B428E7"/>
    <w:rsid w:val="00B44543"/>
    <w:rsid w:val="00B4632A"/>
    <w:rsid w:val="00B52518"/>
    <w:rsid w:val="00B530F1"/>
    <w:rsid w:val="00B5411D"/>
    <w:rsid w:val="00B54F62"/>
    <w:rsid w:val="00B55E5C"/>
    <w:rsid w:val="00B56575"/>
    <w:rsid w:val="00B60030"/>
    <w:rsid w:val="00B62FFD"/>
    <w:rsid w:val="00B73E13"/>
    <w:rsid w:val="00B77049"/>
    <w:rsid w:val="00B8709F"/>
    <w:rsid w:val="00B93765"/>
    <w:rsid w:val="00BA1CAE"/>
    <w:rsid w:val="00BA276C"/>
    <w:rsid w:val="00BA64A4"/>
    <w:rsid w:val="00BB306F"/>
    <w:rsid w:val="00BB490B"/>
    <w:rsid w:val="00BC03BD"/>
    <w:rsid w:val="00BC1619"/>
    <w:rsid w:val="00BC5EE3"/>
    <w:rsid w:val="00BD12AF"/>
    <w:rsid w:val="00BD4B89"/>
    <w:rsid w:val="00BE0F4E"/>
    <w:rsid w:val="00BE1B8F"/>
    <w:rsid w:val="00BE50B1"/>
    <w:rsid w:val="00BE61F6"/>
    <w:rsid w:val="00BE67AA"/>
    <w:rsid w:val="00BF4C0C"/>
    <w:rsid w:val="00BF4D23"/>
    <w:rsid w:val="00BF6B60"/>
    <w:rsid w:val="00BF6FD8"/>
    <w:rsid w:val="00C03680"/>
    <w:rsid w:val="00C054DF"/>
    <w:rsid w:val="00C06AC3"/>
    <w:rsid w:val="00C10AE9"/>
    <w:rsid w:val="00C10DC9"/>
    <w:rsid w:val="00C16968"/>
    <w:rsid w:val="00C16C56"/>
    <w:rsid w:val="00C1746F"/>
    <w:rsid w:val="00C178DA"/>
    <w:rsid w:val="00C21762"/>
    <w:rsid w:val="00C24543"/>
    <w:rsid w:val="00C256A2"/>
    <w:rsid w:val="00C30D85"/>
    <w:rsid w:val="00C32427"/>
    <w:rsid w:val="00C35D79"/>
    <w:rsid w:val="00C40D00"/>
    <w:rsid w:val="00C51515"/>
    <w:rsid w:val="00C539F2"/>
    <w:rsid w:val="00C552C9"/>
    <w:rsid w:val="00C5660B"/>
    <w:rsid w:val="00C576F8"/>
    <w:rsid w:val="00C6204A"/>
    <w:rsid w:val="00C66B72"/>
    <w:rsid w:val="00C70440"/>
    <w:rsid w:val="00C73454"/>
    <w:rsid w:val="00C766FD"/>
    <w:rsid w:val="00C76A15"/>
    <w:rsid w:val="00C776E5"/>
    <w:rsid w:val="00C9567A"/>
    <w:rsid w:val="00CA44EC"/>
    <w:rsid w:val="00CB212D"/>
    <w:rsid w:val="00CB2660"/>
    <w:rsid w:val="00CB54D4"/>
    <w:rsid w:val="00CC5E90"/>
    <w:rsid w:val="00CD046C"/>
    <w:rsid w:val="00CD0C96"/>
    <w:rsid w:val="00CE05FC"/>
    <w:rsid w:val="00CE076C"/>
    <w:rsid w:val="00CE5199"/>
    <w:rsid w:val="00CE5DDE"/>
    <w:rsid w:val="00CE66D5"/>
    <w:rsid w:val="00CF1671"/>
    <w:rsid w:val="00CF1CE7"/>
    <w:rsid w:val="00CF4784"/>
    <w:rsid w:val="00CF54D9"/>
    <w:rsid w:val="00CF637A"/>
    <w:rsid w:val="00D0044F"/>
    <w:rsid w:val="00D059DE"/>
    <w:rsid w:val="00D06FBF"/>
    <w:rsid w:val="00D12D87"/>
    <w:rsid w:val="00D13FCE"/>
    <w:rsid w:val="00D1426E"/>
    <w:rsid w:val="00D14319"/>
    <w:rsid w:val="00D1470A"/>
    <w:rsid w:val="00D15E9F"/>
    <w:rsid w:val="00D173DE"/>
    <w:rsid w:val="00D20CF4"/>
    <w:rsid w:val="00D22810"/>
    <w:rsid w:val="00D26C15"/>
    <w:rsid w:val="00D275DC"/>
    <w:rsid w:val="00D306D1"/>
    <w:rsid w:val="00D33913"/>
    <w:rsid w:val="00D339A0"/>
    <w:rsid w:val="00D34786"/>
    <w:rsid w:val="00D37BFC"/>
    <w:rsid w:val="00D4463B"/>
    <w:rsid w:val="00D464AF"/>
    <w:rsid w:val="00D47A8E"/>
    <w:rsid w:val="00D51F95"/>
    <w:rsid w:val="00D52D14"/>
    <w:rsid w:val="00D60118"/>
    <w:rsid w:val="00D63FBC"/>
    <w:rsid w:val="00D705FE"/>
    <w:rsid w:val="00D712D3"/>
    <w:rsid w:val="00D71422"/>
    <w:rsid w:val="00D728FE"/>
    <w:rsid w:val="00D72DC6"/>
    <w:rsid w:val="00D7558D"/>
    <w:rsid w:val="00D7603B"/>
    <w:rsid w:val="00D81D92"/>
    <w:rsid w:val="00D8274A"/>
    <w:rsid w:val="00D84700"/>
    <w:rsid w:val="00D85C9C"/>
    <w:rsid w:val="00D86DBD"/>
    <w:rsid w:val="00D91BA9"/>
    <w:rsid w:val="00D9227E"/>
    <w:rsid w:val="00DA076A"/>
    <w:rsid w:val="00DA0D2B"/>
    <w:rsid w:val="00DA1EE8"/>
    <w:rsid w:val="00DA7B5F"/>
    <w:rsid w:val="00DB5C95"/>
    <w:rsid w:val="00DC11E7"/>
    <w:rsid w:val="00DC7023"/>
    <w:rsid w:val="00DC769A"/>
    <w:rsid w:val="00DD3D86"/>
    <w:rsid w:val="00DD4481"/>
    <w:rsid w:val="00DD5C1F"/>
    <w:rsid w:val="00DD5EB3"/>
    <w:rsid w:val="00DE187A"/>
    <w:rsid w:val="00DE4079"/>
    <w:rsid w:val="00DF1186"/>
    <w:rsid w:val="00DF1EC4"/>
    <w:rsid w:val="00DF445B"/>
    <w:rsid w:val="00E01676"/>
    <w:rsid w:val="00E0340B"/>
    <w:rsid w:val="00E04A90"/>
    <w:rsid w:val="00E04D5A"/>
    <w:rsid w:val="00E064B4"/>
    <w:rsid w:val="00E14ACD"/>
    <w:rsid w:val="00E1687F"/>
    <w:rsid w:val="00E219C7"/>
    <w:rsid w:val="00E32064"/>
    <w:rsid w:val="00E339E6"/>
    <w:rsid w:val="00E3514B"/>
    <w:rsid w:val="00E36108"/>
    <w:rsid w:val="00E363E4"/>
    <w:rsid w:val="00E43157"/>
    <w:rsid w:val="00E44841"/>
    <w:rsid w:val="00E461CE"/>
    <w:rsid w:val="00E5422E"/>
    <w:rsid w:val="00E67A7A"/>
    <w:rsid w:val="00E720CA"/>
    <w:rsid w:val="00E7398C"/>
    <w:rsid w:val="00E84EB5"/>
    <w:rsid w:val="00E85662"/>
    <w:rsid w:val="00E8789F"/>
    <w:rsid w:val="00E97B71"/>
    <w:rsid w:val="00EA0EB9"/>
    <w:rsid w:val="00EA3D34"/>
    <w:rsid w:val="00EA4BD7"/>
    <w:rsid w:val="00EA6949"/>
    <w:rsid w:val="00EB454D"/>
    <w:rsid w:val="00EB513A"/>
    <w:rsid w:val="00EB72E2"/>
    <w:rsid w:val="00EC4C54"/>
    <w:rsid w:val="00EC648E"/>
    <w:rsid w:val="00EC7843"/>
    <w:rsid w:val="00ED2AD1"/>
    <w:rsid w:val="00ED2DA1"/>
    <w:rsid w:val="00ED76BE"/>
    <w:rsid w:val="00EE0B7E"/>
    <w:rsid w:val="00EE314C"/>
    <w:rsid w:val="00EF0181"/>
    <w:rsid w:val="00EF407C"/>
    <w:rsid w:val="00EF45A7"/>
    <w:rsid w:val="00EF619B"/>
    <w:rsid w:val="00F00B55"/>
    <w:rsid w:val="00F0247D"/>
    <w:rsid w:val="00F02AD1"/>
    <w:rsid w:val="00F05E19"/>
    <w:rsid w:val="00F105B3"/>
    <w:rsid w:val="00F1173A"/>
    <w:rsid w:val="00F12A6A"/>
    <w:rsid w:val="00F253CC"/>
    <w:rsid w:val="00F32348"/>
    <w:rsid w:val="00F32EDF"/>
    <w:rsid w:val="00F35B7D"/>
    <w:rsid w:val="00F37106"/>
    <w:rsid w:val="00F378DA"/>
    <w:rsid w:val="00F40317"/>
    <w:rsid w:val="00F468F5"/>
    <w:rsid w:val="00F5173B"/>
    <w:rsid w:val="00F519CF"/>
    <w:rsid w:val="00F52B70"/>
    <w:rsid w:val="00F55693"/>
    <w:rsid w:val="00F56BA5"/>
    <w:rsid w:val="00F60E22"/>
    <w:rsid w:val="00F616A8"/>
    <w:rsid w:val="00F73831"/>
    <w:rsid w:val="00F76FDE"/>
    <w:rsid w:val="00F81395"/>
    <w:rsid w:val="00F84D1D"/>
    <w:rsid w:val="00F917D1"/>
    <w:rsid w:val="00F936B9"/>
    <w:rsid w:val="00F94AC8"/>
    <w:rsid w:val="00F9653B"/>
    <w:rsid w:val="00FA4AE1"/>
    <w:rsid w:val="00FA7095"/>
    <w:rsid w:val="00FB14C7"/>
    <w:rsid w:val="00FB20BB"/>
    <w:rsid w:val="00FB62CF"/>
    <w:rsid w:val="00FC0874"/>
    <w:rsid w:val="00FC1CE6"/>
    <w:rsid w:val="00FD0F65"/>
    <w:rsid w:val="00FD122E"/>
    <w:rsid w:val="00FD3C3B"/>
    <w:rsid w:val="00FD6CF6"/>
    <w:rsid w:val="00FE0443"/>
    <w:rsid w:val="00FE4C60"/>
    <w:rsid w:val="00FE6B45"/>
    <w:rsid w:val="00FE6EC1"/>
    <w:rsid w:val="00FE723A"/>
    <w:rsid w:val="00FF2CBD"/>
    <w:rsid w:val="00FF2CED"/>
    <w:rsid w:val="00FF48C1"/>
    <w:rsid w:val="00FF55F3"/>
    <w:rsid w:val="00FF5851"/>
    <w:rsid w:val="00FF692D"/>
    <w:rsid w:val="00FF7B79"/>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s7d2086b4">
    <w:name w:val="s7d2086b4"/>
    <w:basedOn w:val="DefaultParagraphFont"/>
    <w:rsid w:val="00CF1CE7"/>
  </w:style>
  <w:style w:type="character" w:customStyle="1" w:styleId="apple-converted-space">
    <w:name w:val="apple-converted-space"/>
    <w:basedOn w:val="DefaultParagraphFont"/>
    <w:rsid w:val="00CF1CE7"/>
  </w:style>
  <w:style w:type="paragraph" w:customStyle="1" w:styleId="s6e50bd9a">
    <w:name w:val="s6e50bd9a"/>
    <w:basedOn w:val="Normal"/>
    <w:rsid w:val="009414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wordhighlighted">
    <w:name w:val="wordhighlighted"/>
    <w:basedOn w:val="DefaultParagraphFont"/>
    <w:rsid w:val="009414E8"/>
  </w:style>
  <w:style w:type="character" w:customStyle="1" w:styleId="sfbbfee58">
    <w:name w:val="sfbbfee58"/>
    <w:basedOn w:val="DefaultParagraphFont"/>
    <w:rsid w:val="00941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s7d2086b4">
    <w:name w:val="s7d2086b4"/>
    <w:basedOn w:val="DefaultParagraphFont"/>
    <w:rsid w:val="00CF1CE7"/>
  </w:style>
  <w:style w:type="character" w:customStyle="1" w:styleId="apple-converted-space">
    <w:name w:val="apple-converted-space"/>
    <w:basedOn w:val="DefaultParagraphFont"/>
    <w:rsid w:val="00CF1CE7"/>
  </w:style>
  <w:style w:type="paragraph" w:customStyle="1" w:styleId="s6e50bd9a">
    <w:name w:val="s6e50bd9a"/>
    <w:basedOn w:val="Normal"/>
    <w:rsid w:val="009414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wordhighlighted">
    <w:name w:val="wordhighlighted"/>
    <w:basedOn w:val="DefaultParagraphFont"/>
    <w:rsid w:val="009414E8"/>
  </w:style>
  <w:style w:type="character" w:customStyle="1" w:styleId="sfbbfee58">
    <w:name w:val="sfbbfee58"/>
    <w:basedOn w:val="DefaultParagraphFont"/>
    <w:rsid w:val="00941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4906">
      <w:bodyDiv w:val="1"/>
      <w:marLeft w:val="0"/>
      <w:marRight w:val="0"/>
      <w:marTop w:val="0"/>
      <w:marBottom w:val="0"/>
      <w:divBdr>
        <w:top w:val="none" w:sz="0" w:space="0" w:color="auto"/>
        <w:left w:val="none" w:sz="0" w:space="0" w:color="auto"/>
        <w:bottom w:val="none" w:sz="0" w:space="0" w:color="auto"/>
        <w:right w:val="none" w:sz="0" w:space="0" w:color="auto"/>
      </w:divBdr>
    </w:div>
    <w:div w:id="407843897">
      <w:bodyDiv w:val="1"/>
      <w:marLeft w:val="0"/>
      <w:marRight w:val="0"/>
      <w:marTop w:val="0"/>
      <w:marBottom w:val="0"/>
      <w:divBdr>
        <w:top w:val="none" w:sz="0" w:space="0" w:color="auto"/>
        <w:left w:val="none" w:sz="0" w:space="0" w:color="auto"/>
        <w:bottom w:val="none" w:sz="0" w:space="0" w:color="auto"/>
        <w:right w:val="none" w:sz="0" w:space="0" w:color="auto"/>
      </w:divBdr>
    </w:div>
    <w:div w:id="933711016">
      <w:bodyDiv w:val="1"/>
      <w:marLeft w:val="0"/>
      <w:marRight w:val="0"/>
      <w:marTop w:val="0"/>
      <w:marBottom w:val="0"/>
      <w:divBdr>
        <w:top w:val="none" w:sz="0" w:space="0" w:color="auto"/>
        <w:left w:val="none" w:sz="0" w:space="0" w:color="auto"/>
        <w:bottom w:val="none" w:sz="0" w:space="0" w:color="auto"/>
        <w:right w:val="none" w:sz="0" w:space="0" w:color="auto"/>
      </w:divBdr>
    </w:div>
    <w:div w:id="1384018918">
      <w:bodyDiv w:val="1"/>
      <w:marLeft w:val="0"/>
      <w:marRight w:val="0"/>
      <w:marTop w:val="0"/>
      <w:marBottom w:val="0"/>
      <w:divBdr>
        <w:top w:val="none" w:sz="0" w:space="0" w:color="auto"/>
        <w:left w:val="none" w:sz="0" w:space="0" w:color="auto"/>
        <w:bottom w:val="none" w:sz="0" w:space="0" w:color="auto"/>
        <w:right w:val="none" w:sz="0" w:space="0" w:color="auto"/>
      </w:divBdr>
    </w:div>
    <w:div w:id="138648863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277C-E249-456A-A02B-97D3EC4B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5341</Words>
  <Characters>28419</Characters>
  <Application>Microsoft Office Word</Application>
  <DocSecurity>0</DocSecurity>
  <Lines>604</Lines>
  <Paragraphs>135</Paragraphs>
  <ScaleCrop>false</ScaleCrop>
  <Company/>
  <LinksUpToDate>false</LinksUpToDate>
  <CharactersWithSpaces>33625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54/15</dc:title>
  <dc:creator/>
  <cp:lastModifiedBy/>
  <cp:revision>1</cp:revision>
  <dcterms:created xsi:type="dcterms:W3CDTF">2015-12-28T20:36:00Z</dcterms:created>
  <dcterms:modified xsi:type="dcterms:W3CDTF">2015-12-28T20:36:00Z</dcterms:modified>
</cp:coreProperties>
</file>