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873EBF" w:rsidRDefault="004C6D06" w:rsidP="00056039">
      <w:pPr>
        <w:jc w:val="both"/>
        <w:rPr>
          <w:rFonts w:ascii="Cambria" w:hAnsi="Cambria" w:cs="Univers"/>
          <w:b/>
          <w:bCs/>
          <w:sz w:val="20"/>
          <w:szCs w:val="20"/>
          <w:lang w:val="es-ES_tradnl"/>
        </w:rPr>
      </w:pPr>
      <w:r w:rsidRPr="00873EBF">
        <w:rPr>
          <w:rFonts w:ascii="Cambria" w:hAnsi="Cambria"/>
          <w:noProof/>
          <w:sz w:val="20"/>
          <w:szCs w:val="20"/>
          <w:bdr w:val="none" w:sz="0" w:space="0" w:color="auto"/>
        </w:rPr>
        <mc:AlternateContent>
          <mc:Choice Requires="wps">
            <w:drawing>
              <wp:anchor distT="0" distB="0" distL="114300" distR="114300" simplePos="0" relativeHeight="251653632" behindDoc="0" locked="0" layoutInCell="1" allowOverlap="1" wp14:anchorId="74EA8D78" wp14:editId="65421ACB">
                <wp:simplePos x="0" y="0"/>
                <wp:positionH relativeFrom="column">
                  <wp:posOffset>-415925</wp:posOffset>
                </wp:positionH>
                <wp:positionV relativeFrom="paragraph">
                  <wp:posOffset>-439420</wp:posOffset>
                </wp:positionV>
                <wp:extent cx="1543050" cy="9096375"/>
                <wp:effectExtent l="0" t="0" r="0" b="952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EaZgIAAMw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" fillcolor="#4a7194" stroked="f" strokeweight="2pt">
                <v:path arrowok="t"/>
              </v:rect>
            </w:pict>
          </mc:Fallback>
        </mc:AlternateContent>
      </w:r>
      <w:r w:rsidRPr="00873EBF">
        <w:rPr>
          <w:rFonts w:ascii="Cambria" w:hAnsi="Cambria"/>
          <w:noProof/>
          <w:sz w:val="20"/>
          <w:szCs w:val="20"/>
          <w:bdr w:val="none" w:sz="0" w:space="0" w:color="auto"/>
        </w:rPr>
        <mc:AlternateContent>
          <mc:Choice Requires="wps">
            <w:drawing>
              <wp:anchor distT="0" distB="0" distL="114300" distR="114300" simplePos="0" relativeHeight="251657728" behindDoc="0" locked="0" layoutInCell="1" allowOverlap="1" wp14:anchorId="340AD4A9" wp14:editId="1E8D14F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965FFE" w:rsidRDefault="004C6D06" w:rsidP="00AE5488">
                            <w:r>
                              <w:rPr>
                                <w:noProof/>
                              </w:rPr>
                              <w:drawing>
                                <wp:inline distT="0" distB="0" distL="0" distR="0" wp14:anchorId="44CCF504" wp14:editId="05E08142">
                                  <wp:extent cx="2656840" cy="509270"/>
                                  <wp:effectExtent l="0" t="0" r="0" b="508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6840" cy="509270"/>
                                          </a:xfrm>
                                          <a:prstGeom prst="rect">
                                            <a:avLst/>
                                          </a:prstGeom>
                                          <a:noFill/>
                                          <a:ln>
                                            <a:noFill/>
                                          </a:ln>
                                        </pic:spPr>
                                      </pic:pic>
                                    </a:graphicData>
                                  </a:graphic>
                                </wp:inline>
                              </w:drawing>
                            </w:r>
                            <w:r w:rsidR="00965FFE">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965FFE" w:rsidRDefault="004C6D06" w:rsidP="00AE5488">
                      <w:r>
                        <w:rPr>
                          <w:noProof/>
                        </w:rPr>
                        <w:drawing>
                          <wp:inline distT="0" distB="0" distL="0" distR="0" wp14:anchorId="44CCF504" wp14:editId="05E08142">
                            <wp:extent cx="2656840" cy="509270"/>
                            <wp:effectExtent l="0" t="0" r="0" b="508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6840" cy="509270"/>
                                    </a:xfrm>
                                    <a:prstGeom prst="rect">
                                      <a:avLst/>
                                    </a:prstGeom>
                                    <a:noFill/>
                                    <a:ln>
                                      <a:noFill/>
                                    </a:ln>
                                  </pic:spPr>
                                </pic:pic>
                              </a:graphicData>
                            </a:graphic>
                          </wp:inline>
                        </w:drawing>
                      </w:r>
                      <w:r w:rsidR="00965FFE">
                        <w:tab/>
                        <w:t xml:space="preserve">                              </w:t>
                      </w:r>
                    </w:p>
                  </w:txbxContent>
                </v:textbox>
              </v:shape>
            </w:pict>
          </mc:Fallback>
        </mc:AlternateContent>
      </w:r>
    </w:p>
    <w:p w:rsidR="00040C3A" w:rsidRPr="00873EBF" w:rsidRDefault="00040C3A" w:rsidP="00056039">
      <w:pPr>
        <w:tabs>
          <w:tab w:val="center" w:pos="5400"/>
        </w:tabs>
        <w:suppressAutoHyphens/>
        <w:jc w:val="both"/>
        <w:rPr>
          <w:rFonts w:ascii="Cambria" w:hAnsi="Cambria"/>
          <w:sz w:val="20"/>
          <w:szCs w:val="20"/>
          <w:lang w:val="es-ES"/>
        </w:rPr>
      </w:pPr>
    </w:p>
    <w:p w:rsidR="00040C3A" w:rsidRPr="00873EBF" w:rsidRDefault="00040C3A" w:rsidP="00056039">
      <w:pPr>
        <w:tabs>
          <w:tab w:val="center" w:pos="5400"/>
        </w:tabs>
        <w:suppressAutoHyphens/>
        <w:jc w:val="both"/>
        <w:rPr>
          <w:rFonts w:ascii="Cambria" w:hAnsi="Cambria"/>
          <w:sz w:val="20"/>
          <w:szCs w:val="20"/>
          <w:lang w:val="es-ES"/>
        </w:rPr>
      </w:pPr>
    </w:p>
    <w:p w:rsidR="005128E4" w:rsidRPr="00873EBF" w:rsidRDefault="005128E4" w:rsidP="00056039">
      <w:pPr>
        <w:tabs>
          <w:tab w:val="center" w:pos="5400"/>
        </w:tabs>
        <w:suppressAutoHyphens/>
        <w:rPr>
          <w:rFonts w:ascii="Cambria" w:hAnsi="Cambria"/>
          <w:sz w:val="20"/>
          <w:szCs w:val="20"/>
          <w:lang w:val="es-ES_tradnl"/>
        </w:rPr>
      </w:pPr>
    </w:p>
    <w:p w:rsidR="005128E4" w:rsidRPr="00873EBF" w:rsidRDefault="005128E4" w:rsidP="00056039">
      <w:pPr>
        <w:tabs>
          <w:tab w:val="center" w:pos="5400"/>
        </w:tabs>
        <w:suppressAutoHyphens/>
        <w:rPr>
          <w:rFonts w:ascii="Cambria" w:hAnsi="Cambria"/>
          <w:sz w:val="20"/>
          <w:szCs w:val="20"/>
          <w:lang w:val="es-ES_tradnl"/>
        </w:rPr>
      </w:pPr>
    </w:p>
    <w:p w:rsidR="005128E4" w:rsidRPr="00873EBF" w:rsidRDefault="005128E4" w:rsidP="00056039">
      <w:pPr>
        <w:tabs>
          <w:tab w:val="center" w:pos="5400"/>
        </w:tabs>
        <w:suppressAutoHyphens/>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5B52B0" w:rsidRPr="00873EBF" w:rsidRDefault="005B52B0" w:rsidP="00056039">
      <w:pPr>
        <w:tabs>
          <w:tab w:val="center" w:pos="5400"/>
        </w:tabs>
        <w:suppressAutoHyphens/>
        <w:jc w:val="center"/>
        <w:rPr>
          <w:rFonts w:ascii="Cambria" w:hAnsi="Cambria"/>
          <w:sz w:val="20"/>
          <w:szCs w:val="20"/>
          <w:lang w:val="es-ES_tradnl"/>
        </w:rPr>
      </w:pPr>
    </w:p>
    <w:p w:rsidR="005B52B0" w:rsidRPr="00873EBF" w:rsidRDefault="005B52B0" w:rsidP="00056039">
      <w:pPr>
        <w:tabs>
          <w:tab w:val="center" w:pos="5400"/>
        </w:tabs>
        <w:suppressAutoHyphens/>
        <w:jc w:val="center"/>
        <w:rPr>
          <w:rFonts w:ascii="Cambria" w:hAnsi="Cambria"/>
          <w:sz w:val="20"/>
          <w:szCs w:val="20"/>
          <w:lang w:val="es-ES_tradnl"/>
        </w:rPr>
      </w:pPr>
    </w:p>
    <w:p w:rsidR="005B52B0" w:rsidRPr="00873EBF" w:rsidRDefault="005B52B0"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4C6D06" w:rsidP="00056039">
      <w:pPr>
        <w:tabs>
          <w:tab w:val="center" w:pos="5400"/>
        </w:tabs>
        <w:suppressAutoHyphens/>
        <w:jc w:val="center"/>
        <w:rPr>
          <w:rFonts w:ascii="Cambria" w:hAnsi="Cambria"/>
          <w:sz w:val="20"/>
          <w:szCs w:val="20"/>
          <w:lang w:val="es-ES_tradnl"/>
        </w:rPr>
      </w:pPr>
      <w:r w:rsidRPr="00873EBF">
        <w:rPr>
          <w:rFonts w:ascii="Cambria" w:hAnsi="Cambria"/>
          <w:noProof/>
          <w:sz w:val="20"/>
          <w:szCs w:val="20"/>
          <w:bdr w:val="none" w:sz="0" w:space="0" w:color="auto"/>
        </w:rPr>
        <mc:AlternateContent>
          <mc:Choice Requires="wps">
            <w:drawing>
              <wp:anchor distT="0" distB="0" distL="114300" distR="114300" simplePos="0" relativeHeight="251654656" behindDoc="0" locked="0" layoutInCell="1" allowOverlap="1" wp14:anchorId="4677F554" wp14:editId="030B7A93">
                <wp:simplePos x="0" y="0"/>
                <wp:positionH relativeFrom="column">
                  <wp:posOffset>1352550</wp:posOffset>
                </wp:positionH>
                <wp:positionV relativeFrom="paragraph">
                  <wp:posOffset>107315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965FFE" w:rsidRPr="00BD3114" w:rsidRDefault="00965FFE" w:rsidP="00997BC5">
                            <w:pPr>
                              <w:spacing w:line="276" w:lineRule="auto"/>
                              <w:rPr>
                                <w:rFonts w:ascii="Cambria" w:hAnsi="Cambria" w:cs="Arial"/>
                                <w:b/>
                                <w:bCs/>
                                <w:color w:val="0D0D0D"/>
                                <w:sz w:val="36"/>
                                <w:szCs w:val="22"/>
                                <w:lang w:val="es-ES_tradnl"/>
                              </w:rPr>
                            </w:pPr>
                            <w:r w:rsidRPr="00BD3114">
                              <w:rPr>
                                <w:rFonts w:ascii="Cambria" w:hAnsi="Cambria" w:cs="Arial"/>
                                <w:b/>
                                <w:bCs/>
                                <w:color w:val="0D0D0D"/>
                                <w:sz w:val="36"/>
                                <w:szCs w:val="22"/>
                                <w:lang w:val="es-ES_tradnl"/>
                              </w:rPr>
                              <w:t xml:space="preserve">INFORME </w:t>
                            </w:r>
                            <w:r w:rsidRPr="00BD3114">
                              <w:rPr>
                                <w:rFonts w:ascii="Cambria" w:hAnsi="Cambria" w:cs="Arial"/>
                                <w:b/>
                                <w:bCs/>
                                <w:color w:val="0D0D0D"/>
                                <w:sz w:val="36"/>
                                <w:szCs w:val="40"/>
                                <w:lang w:val="es-ES_tradnl"/>
                              </w:rPr>
                              <w:t>No.</w:t>
                            </w:r>
                            <w:r w:rsidR="00C96A12">
                              <w:rPr>
                                <w:rFonts w:ascii="Cambria" w:hAnsi="Cambria" w:cs="Arial"/>
                                <w:b/>
                                <w:bCs/>
                                <w:color w:val="0D0D0D"/>
                                <w:sz w:val="36"/>
                                <w:szCs w:val="22"/>
                                <w:lang w:val="es-ES_tradnl"/>
                              </w:rPr>
                              <w:t xml:space="preserve"> </w:t>
                            </w:r>
                            <w:r w:rsidR="004127B3">
                              <w:rPr>
                                <w:rFonts w:ascii="Cambria" w:hAnsi="Cambria" w:cs="Arial"/>
                                <w:b/>
                                <w:bCs/>
                                <w:color w:val="0D0D0D"/>
                                <w:sz w:val="36"/>
                                <w:szCs w:val="22"/>
                                <w:lang w:val="es-ES_tradnl"/>
                              </w:rPr>
                              <w:t>17</w:t>
                            </w:r>
                            <w:r w:rsidR="00C96A12">
                              <w:rPr>
                                <w:rFonts w:ascii="Cambria" w:hAnsi="Cambria" w:cs="Arial"/>
                                <w:b/>
                                <w:bCs/>
                                <w:color w:val="0D0D0D"/>
                                <w:sz w:val="36"/>
                                <w:szCs w:val="22"/>
                                <w:lang w:val="es-ES_tradnl"/>
                              </w:rPr>
                              <w:t>/15</w:t>
                            </w:r>
                          </w:p>
                          <w:p w:rsidR="00965FFE" w:rsidRPr="00BD3114" w:rsidRDefault="00965FFE" w:rsidP="00997BC5">
                            <w:pPr>
                              <w:spacing w:line="276" w:lineRule="auto"/>
                              <w:rPr>
                                <w:rFonts w:ascii="Cambria" w:hAnsi="Cambria" w:cs="Arial"/>
                                <w:b/>
                                <w:color w:val="0D0D0D"/>
                                <w:sz w:val="36"/>
                                <w:szCs w:val="22"/>
                                <w:lang w:val="es-ES_tradnl"/>
                              </w:rPr>
                            </w:pPr>
                            <w:r w:rsidRPr="00BD3114">
                              <w:rPr>
                                <w:rFonts w:ascii="Cambria" w:hAnsi="Cambria" w:cs="Arial"/>
                                <w:b/>
                                <w:color w:val="0D0D0D"/>
                                <w:sz w:val="36"/>
                                <w:szCs w:val="22"/>
                                <w:lang w:val="es-ES_tradnl"/>
                              </w:rPr>
                              <w:t xml:space="preserve">PETICIÓN </w:t>
                            </w:r>
                            <w:r w:rsidR="00DB0FA8">
                              <w:rPr>
                                <w:rFonts w:ascii="Cambria" w:hAnsi="Cambria" w:cs="Arial"/>
                                <w:b/>
                                <w:color w:val="0D0D0D"/>
                                <w:sz w:val="36"/>
                                <w:szCs w:val="22"/>
                                <w:lang w:val="es-ES_tradnl"/>
                              </w:rPr>
                              <w:t>1139</w:t>
                            </w:r>
                            <w:r w:rsidR="00D4321E">
                              <w:rPr>
                                <w:rFonts w:ascii="Cambria" w:hAnsi="Cambria" w:cs="Arial"/>
                                <w:b/>
                                <w:color w:val="0D0D0D"/>
                                <w:sz w:val="36"/>
                                <w:szCs w:val="22"/>
                                <w:lang w:val="es-ES_tradnl"/>
                              </w:rPr>
                              <w:t>-04</w:t>
                            </w:r>
                          </w:p>
                          <w:p w:rsidR="00965FFE" w:rsidRPr="00BD3114" w:rsidRDefault="00965FFE" w:rsidP="00997BC5">
                            <w:pPr>
                              <w:spacing w:line="276" w:lineRule="auto"/>
                              <w:rPr>
                                <w:rFonts w:ascii="Cambria" w:hAnsi="Cambria" w:cs="Arial"/>
                                <w:color w:val="0D0D0D"/>
                                <w:szCs w:val="22"/>
                                <w:lang w:val="es-ES_tradnl"/>
                              </w:rPr>
                            </w:pPr>
                            <w:r w:rsidRPr="00BD3114">
                              <w:rPr>
                                <w:rFonts w:ascii="Cambria" w:hAnsi="Cambria" w:cs="Arial"/>
                                <w:color w:val="0D0D0D"/>
                                <w:szCs w:val="22"/>
                                <w:lang w:val="es-ES_tradnl"/>
                              </w:rPr>
                              <w:t xml:space="preserve">INFORME DE ADMISIBILIDAD </w:t>
                            </w:r>
                          </w:p>
                          <w:p w:rsidR="00965FFE" w:rsidRPr="00BD3114" w:rsidRDefault="00965FFE" w:rsidP="00997BC5">
                            <w:pPr>
                              <w:spacing w:line="276" w:lineRule="auto"/>
                              <w:rPr>
                                <w:rFonts w:ascii="Cambria" w:hAnsi="Cambria" w:cs="Arial"/>
                                <w:color w:val="0D0D0D"/>
                                <w:szCs w:val="22"/>
                                <w:lang w:val="es-ES_tradnl"/>
                              </w:rPr>
                            </w:pPr>
                          </w:p>
                          <w:p w:rsidR="00965FFE" w:rsidRPr="00BD3114" w:rsidRDefault="00965FFE" w:rsidP="00997BC5">
                            <w:pPr>
                              <w:spacing w:line="276" w:lineRule="auto"/>
                              <w:rPr>
                                <w:rFonts w:ascii="Cambria" w:hAnsi="Cambria" w:cs="Arial"/>
                                <w:color w:val="0D0D0D"/>
                                <w:szCs w:val="22"/>
                                <w:lang w:val="es-ES_tradnl"/>
                              </w:rPr>
                            </w:pPr>
                            <w:bookmarkStart w:id="1" w:name="_ftnref1"/>
                          </w:p>
                          <w:p w:rsidR="00DB0FA8" w:rsidRDefault="00DB0FA8" w:rsidP="00997BC5">
                            <w:pPr>
                              <w:spacing w:line="276" w:lineRule="auto"/>
                              <w:rPr>
                                <w:rFonts w:ascii="Cambria" w:hAnsi="Cambria" w:cs="Arial"/>
                                <w:color w:val="0D0D0D"/>
                                <w:szCs w:val="22"/>
                                <w:lang w:val="es-ES_tradnl"/>
                              </w:rPr>
                            </w:pPr>
                            <w:r>
                              <w:rPr>
                                <w:rFonts w:ascii="Cambria" w:hAnsi="Cambria" w:cs="Arial"/>
                                <w:color w:val="0D0D0D"/>
                                <w:szCs w:val="22"/>
                                <w:lang w:val="es-ES_tradnl"/>
                              </w:rPr>
                              <w:t xml:space="preserve">MASACRE DE LA ALDEA LOS JOSEFINOS </w:t>
                            </w:r>
                          </w:p>
                          <w:p w:rsidR="00965FFE" w:rsidRPr="00BD3114" w:rsidRDefault="00DB0FA8" w:rsidP="00DB0FA8">
                            <w:pPr>
                              <w:spacing w:line="276" w:lineRule="auto"/>
                              <w:rPr>
                                <w:rFonts w:ascii="Cambria" w:hAnsi="Cambria" w:cs="Arial"/>
                                <w:color w:val="0D0D0D"/>
                                <w:szCs w:val="22"/>
                                <w:lang w:val="es-ES"/>
                              </w:rPr>
                            </w:pPr>
                            <w:r>
                              <w:rPr>
                                <w:rFonts w:ascii="Cambria" w:hAnsi="Cambria" w:cs="Arial"/>
                                <w:color w:val="0D0D0D"/>
                                <w:szCs w:val="22"/>
                                <w:lang w:val="es-ES_tradnl"/>
                              </w:rPr>
                              <w:t>GUATEMALA</w:t>
                            </w:r>
                            <w:bookmarkEnd w:id="1"/>
                          </w:p>
                          <w:p w:rsidR="00965FFE" w:rsidRPr="00BD3114" w:rsidRDefault="00965FFE"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rsidR="00965FFE" w:rsidRPr="00BD3114" w:rsidRDefault="00965FFE" w:rsidP="00997BC5">
                      <w:pPr>
                        <w:spacing w:line="276" w:lineRule="auto"/>
                        <w:rPr>
                          <w:rFonts w:ascii="Cambria" w:hAnsi="Cambria" w:cs="Arial"/>
                          <w:b/>
                          <w:bCs/>
                          <w:color w:val="0D0D0D"/>
                          <w:sz w:val="36"/>
                          <w:szCs w:val="22"/>
                          <w:lang w:val="es-ES_tradnl"/>
                        </w:rPr>
                      </w:pPr>
                      <w:r w:rsidRPr="00BD3114">
                        <w:rPr>
                          <w:rFonts w:ascii="Cambria" w:hAnsi="Cambria" w:cs="Arial"/>
                          <w:b/>
                          <w:bCs/>
                          <w:color w:val="0D0D0D"/>
                          <w:sz w:val="36"/>
                          <w:szCs w:val="22"/>
                          <w:lang w:val="es-ES_tradnl"/>
                        </w:rPr>
                        <w:t xml:space="preserve">INFORME </w:t>
                      </w:r>
                      <w:r w:rsidRPr="00BD3114">
                        <w:rPr>
                          <w:rFonts w:ascii="Cambria" w:hAnsi="Cambria" w:cs="Arial"/>
                          <w:b/>
                          <w:bCs/>
                          <w:color w:val="0D0D0D"/>
                          <w:sz w:val="36"/>
                          <w:szCs w:val="40"/>
                          <w:lang w:val="es-ES_tradnl"/>
                        </w:rPr>
                        <w:t>No.</w:t>
                      </w:r>
                      <w:r w:rsidR="00C96A12">
                        <w:rPr>
                          <w:rFonts w:ascii="Cambria" w:hAnsi="Cambria" w:cs="Arial"/>
                          <w:b/>
                          <w:bCs/>
                          <w:color w:val="0D0D0D"/>
                          <w:sz w:val="36"/>
                          <w:szCs w:val="22"/>
                          <w:lang w:val="es-ES_tradnl"/>
                        </w:rPr>
                        <w:t xml:space="preserve"> </w:t>
                      </w:r>
                      <w:r w:rsidR="004127B3">
                        <w:rPr>
                          <w:rFonts w:ascii="Cambria" w:hAnsi="Cambria" w:cs="Arial"/>
                          <w:b/>
                          <w:bCs/>
                          <w:color w:val="0D0D0D"/>
                          <w:sz w:val="36"/>
                          <w:szCs w:val="22"/>
                          <w:lang w:val="es-ES_tradnl"/>
                        </w:rPr>
                        <w:t>17</w:t>
                      </w:r>
                      <w:r w:rsidR="00C96A12">
                        <w:rPr>
                          <w:rFonts w:ascii="Cambria" w:hAnsi="Cambria" w:cs="Arial"/>
                          <w:b/>
                          <w:bCs/>
                          <w:color w:val="0D0D0D"/>
                          <w:sz w:val="36"/>
                          <w:szCs w:val="22"/>
                          <w:lang w:val="es-ES_tradnl"/>
                        </w:rPr>
                        <w:t>/15</w:t>
                      </w:r>
                    </w:p>
                    <w:p w:rsidR="00965FFE" w:rsidRPr="00BD3114" w:rsidRDefault="00965FFE" w:rsidP="00997BC5">
                      <w:pPr>
                        <w:spacing w:line="276" w:lineRule="auto"/>
                        <w:rPr>
                          <w:rFonts w:ascii="Cambria" w:hAnsi="Cambria" w:cs="Arial"/>
                          <w:b/>
                          <w:color w:val="0D0D0D"/>
                          <w:sz w:val="36"/>
                          <w:szCs w:val="22"/>
                          <w:lang w:val="es-ES_tradnl"/>
                        </w:rPr>
                      </w:pPr>
                      <w:r w:rsidRPr="00BD3114">
                        <w:rPr>
                          <w:rFonts w:ascii="Cambria" w:hAnsi="Cambria" w:cs="Arial"/>
                          <w:b/>
                          <w:color w:val="0D0D0D"/>
                          <w:sz w:val="36"/>
                          <w:szCs w:val="22"/>
                          <w:lang w:val="es-ES_tradnl"/>
                        </w:rPr>
                        <w:t xml:space="preserve">PETICIÓN </w:t>
                      </w:r>
                      <w:r w:rsidR="00DB0FA8">
                        <w:rPr>
                          <w:rFonts w:ascii="Cambria" w:hAnsi="Cambria" w:cs="Arial"/>
                          <w:b/>
                          <w:color w:val="0D0D0D"/>
                          <w:sz w:val="36"/>
                          <w:szCs w:val="22"/>
                          <w:lang w:val="es-ES_tradnl"/>
                        </w:rPr>
                        <w:t>1139</w:t>
                      </w:r>
                      <w:r w:rsidR="00D4321E">
                        <w:rPr>
                          <w:rFonts w:ascii="Cambria" w:hAnsi="Cambria" w:cs="Arial"/>
                          <w:b/>
                          <w:color w:val="0D0D0D"/>
                          <w:sz w:val="36"/>
                          <w:szCs w:val="22"/>
                          <w:lang w:val="es-ES_tradnl"/>
                        </w:rPr>
                        <w:t>-04</w:t>
                      </w:r>
                    </w:p>
                    <w:p w:rsidR="00965FFE" w:rsidRPr="00BD3114" w:rsidRDefault="00965FFE" w:rsidP="00997BC5">
                      <w:pPr>
                        <w:spacing w:line="276" w:lineRule="auto"/>
                        <w:rPr>
                          <w:rFonts w:ascii="Cambria" w:hAnsi="Cambria" w:cs="Arial"/>
                          <w:color w:val="0D0D0D"/>
                          <w:szCs w:val="22"/>
                          <w:lang w:val="es-ES_tradnl"/>
                        </w:rPr>
                      </w:pPr>
                      <w:r w:rsidRPr="00BD3114">
                        <w:rPr>
                          <w:rFonts w:ascii="Cambria" w:hAnsi="Cambria" w:cs="Arial"/>
                          <w:color w:val="0D0D0D"/>
                          <w:szCs w:val="22"/>
                          <w:lang w:val="es-ES_tradnl"/>
                        </w:rPr>
                        <w:t xml:space="preserve">INFORME DE ADMISIBILIDAD </w:t>
                      </w:r>
                    </w:p>
                    <w:p w:rsidR="00965FFE" w:rsidRPr="00BD3114" w:rsidRDefault="00965FFE" w:rsidP="00997BC5">
                      <w:pPr>
                        <w:spacing w:line="276" w:lineRule="auto"/>
                        <w:rPr>
                          <w:rFonts w:ascii="Cambria" w:hAnsi="Cambria" w:cs="Arial"/>
                          <w:color w:val="0D0D0D"/>
                          <w:szCs w:val="22"/>
                          <w:lang w:val="es-ES_tradnl"/>
                        </w:rPr>
                      </w:pPr>
                    </w:p>
                    <w:p w:rsidR="00965FFE" w:rsidRPr="00BD3114" w:rsidRDefault="00965FFE" w:rsidP="00997BC5">
                      <w:pPr>
                        <w:spacing w:line="276" w:lineRule="auto"/>
                        <w:rPr>
                          <w:rFonts w:ascii="Cambria" w:hAnsi="Cambria" w:cs="Arial"/>
                          <w:color w:val="0D0D0D"/>
                          <w:szCs w:val="22"/>
                          <w:lang w:val="es-ES_tradnl"/>
                        </w:rPr>
                      </w:pPr>
                      <w:bookmarkStart w:id="1" w:name="_ftnref1"/>
                    </w:p>
                    <w:p w:rsidR="00DB0FA8" w:rsidRDefault="00DB0FA8" w:rsidP="00997BC5">
                      <w:pPr>
                        <w:spacing w:line="276" w:lineRule="auto"/>
                        <w:rPr>
                          <w:rFonts w:ascii="Cambria" w:hAnsi="Cambria" w:cs="Arial"/>
                          <w:color w:val="0D0D0D"/>
                          <w:szCs w:val="22"/>
                          <w:lang w:val="es-ES_tradnl"/>
                        </w:rPr>
                      </w:pPr>
                      <w:r>
                        <w:rPr>
                          <w:rFonts w:ascii="Cambria" w:hAnsi="Cambria" w:cs="Arial"/>
                          <w:color w:val="0D0D0D"/>
                          <w:szCs w:val="22"/>
                          <w:lang w:val="es-ES_tradnl"/>
                        </w:rPr>
                        <w:t xml:space="preserve">MASACRE DE LA ALDEA LOS JOSEFINOS </w:t>
                      </w:r>
                    </w:p>
                    <w:p w:rsidR="00965FFE" w:rsidRPr="00BD3114" w:rsidRDefault="00DB0FA8" w:rsidP="00DB0FA8">
                      <w:pPr>
                        <w:spacing w:line="276" w:lineRule="auto"/>
                        <w:rPr>
                          <w:rFonts w:ascii="Cambria" w:hAnsi="Cambria" w:cs="Arial"/>
                          <w:color w:val="0D0D0D"/>
                          <w:szCs w:val="22"/>
                          <w:lang w:val="es-ES"/>
                        </w:rPr>
                      </w:pPr>
                      <w:r>
                        <w:rPr>
                          <w:rFonts w:ascii="Cambria" w:hAnsi="Cambria" w:cs="Arial"/>
                          <w:color w:val="0D0D0D"/>
                          <w:szCs w:val="22"/>
                          <w:lang w:val="es-ES_tradnl"/>
                        </w:rPr>
                        <w:t>GUATEMALA</w:t>
                      </w:r>
                      <w:bookmarkEnd w:id="1"/>
                    </w:p>
                    <w:p w:rsidR="00965FFE" w:rsidRPr="00BD3114" w:rsidRDefault="00965FFE" w:rsidP="007A5817">
                      <w:pPr>
                        <w:rPr>
                          <w:color w:val="0D0D0D"/>
                          <w:lang w:val="es-ES_tradnl"/>
                        </w:rPr>
                      </w:pPr>
                    </w:p>
                  </w:txbxContent>
                </v:textbox>
              </v:shape>
            </w:pict>
          </mc:Fallback>
        </mc:AlternateContent>
      </w:r>
      <w:r w:rsidRPr="00873EBF">
        <w:rPr>
          <w:rFonts w:ascii="Cambria" w:hAnsi="Cambria"/>
          <w:noProof/>
          <w:sz w:val="20"/>
          <w:szCs w:val="20"/>
          <w:bdr w:val="none" w:sz="0" w:space="0" w:color="auto"/>
        </w:rPr>
        <mc:AlternateContent>
          <mc:Choice Requires="wps">
            <w:drawing>
              <wp:anchor distT="0" distB="0" distL="114300" distR="114300" simplePos="0" relativeHeight="251656704" behindDoc="0" locked="0" layoutInCell="1" allowOverlap="1" wp14:anchorId="6A6A11D2" wp14:editId="023A9CE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965FFE" w:rsidRPr="00072AC5" w:rsidRDefault="00965FFE" w:rsidP="007A5817">
                            <w:pPr>
                              <w:spacing w:line="276" w:lineRule="auto"/>
                              <w:jc w:val="right"/>
                              <w:rPr>
                                <w:rFonts w:ascii="Calibri" w:hAnsi="Calibri"/>
                                <w:color w:val="FFFFFF"/>
                                <w:sz w:val="22"/>
                                <w:lang w:val="pt-BR"/>
                              </w:rPr>
                            </w:pPr>
                            <w:r w:rsidRPr="00072AC5">
                              <w:rPr>
                                <w:rFonts w:ascii="Calibri" w:hAnsi="Calibri"/>
                                <w:color w:val="FFFFFF"/>
                                <w:sz w:val="22"/>
                                <w:lang w:val="pt-BR"/>
                              </w:rPr>
                              <w:t>OEA/Ser.L/V/II.</w:t>
                            </w:r>
                            <w:r w:rsidR="00456CEB" w:rsidRPr="00072AC5">
                              <w:rPr>
                                <w:rFonts w:ascii="Calibri" w:hAnsi="Calibri"/>
                                <w:color w:val="FFFFFF"/>
                                <w:sz w:val="22"/>
                                <w:lang w:val="pt-BR"/>
                              </w:rPr>
                              <w:t>154</w:t>
                            </w:r>
                          </w:p>
                          <w:p w:rsidR="00965FFE" w:rsidRPr="00072AC5" w:rsidRDefault="00965FFE" w:rsidP="007A5817">
                            <w:pPr>
                              <w:spacing w:line="276" w:lineRule="auto"/>
                              <w:jc w:val="right"/>
                              <w:rPr>
                                <w:rFonts w:ascii="Calibri" w:hAnsi="Calibri"/>
                                <w:color w:val="FFFFFF"/>
                                <w:sz w:val="22"/>
                                <w:lang w:val="pt-BR"/>
                              </w:rPr>
                            </w:pPr>
                            <w:r w:rsidRPr="00072AC5">
                              <w:rPr>
                                <w:rFonts w:ascii="Calibri" w:hAnsi="Calibri"/>
                                <w:color w:val="FFFFFF"/>
                                <w:sz w:val="22"/>
                                <w:lang w:val="pt-BR"/>
                              </w:rPr>
                              <w:t xml:space="preserve">Doc. </w:t>
                            </w:r>
                            <w:r w:rsidR="004127B3" w:rsidRPr="00072AC5">
                              <w:rPr>
                                <w:rFonts w:ascii="Calibri" w:hAnsi="Calibri"/>
                                <w:color w:val="FFFFFF"/>
                                <w:sz w:val="22"/>
                                <w:lang w:val="pt-BR"/>
                              </w:rPr>
                              <w:t>1</w:t>
                            </w:r>
                            <w:r w:rsidR="00093805" w:rsidRPr="00072AC5">
                              <w:rPr>
                                <w:rFonts w:ascii="Calibri" w:hAnsi="Calibri"/>
                                <w:color w:val="FFFFFF"/>
                                <w:sz w:val="22"/>
                                <w:lang w:val="pt-BR"/>
                              </w:rPr>
                              <w:t>1</w:t>
                            </w:r>
                          </w:p>
                          <w:p w:rsidR="00965FFE" w:rsidRPr="00093805" w:rsidRDefault="004127B3" w:rsidP="007A5817">
                            <w:pPr>
                              <w:spacing w:line="276" w:lineRule="auto"/>
                              <w:jc w:val="right"/>
                              <w:rPr>
                                <w:rFonts w:ascii="Calibri" w:hAnsi="Calibri"/>
                                <w:color w:val="FFFFFF"/>
                                <w:sz w:val="22"/>
                                <w:lang w:val="es-ES"/>
                              </w:rPr>
                            </w:pPr>
                            <w:r w:rsidRPr="00093805">
                              <w:rPr>
                                <w:rFonts w:ascii="Calibri" w:hAnsi="Calibri"/>
                                <w:color w:val="FFFFFF"/>
                                <w:sz w:val="22"/>
                                <w:lang w:val="es-ES"/>
                              </w:rPr>
                              <w:t>24</w:t>
                            </w:r>
                            <w:r w:rsidR="00C175FF" w:rsidRPr="00093805">
                              <w:rPr>
                                <w:rFonts w:ascii="Calibri" w:hAnsi="Calibri"/>
                                <w:color w:val="FFFFFF"/>
                                <w:sz w:val="22"/>
                                <w:lang w:val="es-ES"/>
                              </w:rPr>
                              <w:t xml:space="preserve"> marzo</w:t>
                            </w:r>
                            <w:r w:rsidR="001C56D7" w:rsidRPr="00093805">
                              <w:rPr>
                                <w:rFonts w:ascii="Calibri" w:hAnsi="Calibri"/>
                                <w:color w:val="FFFFFF"/>
                                <w:sz w:val="22"/>
                                <w:lang w:val="es-ES"/>
                              </w:rPr>
                              <w:t xml:space="preserve"> 2015</w:t>
                            </w:r>
                          </w:p>
                          <w:p w:rsidR="00965FFE" w:rsidRPr="00093805" w:rsidRDefault="00965FFE" w:rsidP="007A5817">
                            <w:pPr>
                              <w:spacing w:line="276" w:lineRule="auto"/>
                              <w:jc w:val="right"/>
                              <w:rPr>
                                <w:rFonts w:ascii="Calibri" w:hAnsi="Calibri"/>
                                <w:color w:val="FFFFFF"/>
                                <w:sz w:val="22"/>
                                <w:lang w:val="es-ES"/>
                              </w:rPr>
                            </w:pPr>
                            <w:r w:rsidRPr="00093805">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965FFE" w:rsidRPr="00093805" w:rsidRDefault="00965FFE" w:rsidP="007A5817">
                      <w:pPr>
                        <w:spacing w:line="276" w:lineRule="auto"/>
                        <w:jc w:val="right"/>
                        <w:rPr>
                          <w:rFonts w:ascii="Calibri" w:hAnsi="Calibri"/>
                          <w:color w:val="FFFFFF"/>
                          <w:sz w:val="22"/>
                          <w:lang w:val="es-ES"/>
                        </w:rPr>
                      </w:pPr>
                      <w:r w:rsidRPr="00093805">
                        <w:rPr>
                          <w:rFonts w:ascii="Calibri" w:hAnsi="Calibri"/>
                          <w:color w:val="FFFFFF"/>
                          <w:sz w:val="22"/>
                          <w:lang w:val="es-ES"/>
                        </w:rPr>
                        <w:t>OEA/</w:t>
                      </w:r>
                      <w:proofErr w:type="spellStart"/>
                      <w:r w:rsidRPr="00093805">
                        <w:rPr>
                          <w:rFonts w:ascii="Calibri" w:hAnsi="Calibri"/>
                          <w:color w:val="FFFFFF"/>
                          <w:sz w:val="22"/>
                          <w:lang w:val="es-ES"/>
                        </w:rPr>
                        <w:t>Ser.L</w:t>
                      </w:r>
                      <w:proofErr w:type="spellEnd"/>
                      <w:r w:rsidRPr="00093805">
                        <w:rPr>
                          <w:rFonts w:ascii="Calibri" w:hAnsi="Calibri"/>
                          <w:color w:val="FFFFFF"/>
                          <w:sz w:val="22"/>
                          <w:lang w:val="es-ES"/>
                        </w:rPr>
                        <w:t>/V/II.</w:t>
                      </w:r>
                      <w:r w:rsidR="00456CEB" w:rsidRPr="00093805">
                        <w:rPr>
                          <w:rFonts w:ascii="Calibri" w:hAnsi="Calibri"/>
                          <w:color w:val="FFFFFF"/>
                          <w:sz w:val="22"/>
                          <w:lang w:val="es-ES"/>
                        </w:rPr>
                        <w:t>154</w:t>
                      </w:r>
                    </w:p>
                    <w:p w:rsidR="00965FFE" w:rsidRPr="00093805" w:rsidRDefault="00965FFE" w:rsidP="007A5817">
                      <w:pPr>
                        <w:spacing w:line="276" w:lineRule="auto"/>
                        <w:jc w:val="right"/>
                        <w:rPr>
                          <w:rFonts w:ascii="Calibri" w:hAnsi="Calibri"/>
                          <w:color w:val="FFFFFF"/>
                          <w:sz w:val="22"/>
                          <w:lang w:val="es-ES"/>
                        </w:rPr>
                      </w:pPr>
                      <w:r w:rsidRPr="00093805">
                        <w:rPr>
                          <w:rFonts w:ascii="Calibri" w:hAnsi="Calibri"/>
                          <w:color w:val="FFFFFF"/>
                          <w:sz w:val="22"/>
                          <w:lang w:val="es-ES"/>
                        </w:rPr>
                        <w:t xml:space="preserve">Doc. </w:t>
                      </w:r>
                      <w:r w:rsidR="004127B3" w:rsidRPr="00093805">
                        <w:rPr>
                          <w:rFonts w:ascii="Calibri" w:hAnsi="Calibri"/>
                          <w:color w:val="FFFFFF"/>
                          <w:sz w:val="22"/>
                          <w:lang w:val="es-ES"/>
                        </w:rPr>
                        <w:t>1</w:t>
                      </w:r>
                      <w:r w:rsidR="00093805" w:rsidRPr="00093805">
                        <w:rPr>
                          <w:rFonts w:ascii="Calibri" w:hAnsi="Calibri"/>
                          <w:color w:val="FFFFFF"/>
                          <w:sz w:val="22"/>
                          <w:lang w:val="es-ES"/>
                        </w:rPr>
                        <w:t>1</w:t>
                      </w:r>
                    </w:p>
                    <w:p w:rsidR="00965FFE" w:rsidRPr="00093805" w:rsidRDefault="004127B3" w:rsidP="007A5817">
                      <w:pPr>
                        <w:spacing w:line="276" w:lineRule="auto"/>
                        <w:jc w:val="right"/>
                        <w:rPr>
                          <w:rFonts w:ascii="Calibri" w:hAnsi="Calibri"/>
                          <w:color w:val="FFFFFF"/>
                          <w:sz w:val="22"/>
                          <w:lang w:val="es-ES"/>
                        </w:rPr>
                      </w:pPr>
                      <w:r w:rsidRPr="00093805">
                        <w:rPr>
                          <w:rFonts w:ascii="Calibri" w:hAnsi="Calibri"/>
                          <w:color w:val="FFFFFF"/>
                          <w:sz w:val="22"/>
                          <w:lang w:val="es-ES"/>
                        </w:rPr>
                        <w:t>24</w:t>
                      </w:r>
                      <w:r w:rsidR="00C175FF" w:rsidRPr="00093805">
                        <w:rPr>
                          <w:rFonts w:ascii="Calibri" w:hAnsi="Calibri"/>
                          <w:color w:val="FFFFFF"/>
                          <w:sz w:val="22"/>
                          <w:lang w:val="es-ES"/>
                        </w:rPr>
                        <w:t xml:space="preserve"> marzo</w:t>
                      </w:r>
                      <w:r w:rsidR="001C56D7" w:rsidRPr="00093805">
                        <w:rPr>
                          <w:rFonts w:ascii="Calibri" w:hAnsi="Calibri"/>
                          <w:color w:val="FFFFFF"/>
                          <w:sz w:val="22"/>
                          <w:lang w:val="es-ES"/>
                        </w:rPr>
                        <w:t xml:space="preserve"> 2015</w:t>
                      </w:r>
                    </w:p>
                    <w:p w:rsidR="00965FFE" w:rsidRPr="00093805" w:rsidRDefault="00965FFE" w:rsidP="007A5817">
                      <w:pPr>
                        <w:spacing w:line="276" w:lineRule="auto"/>
                        <w:jc w:val="right"/>
                        <w:rPr>
                          <w:rFonts w:ascii="Calibri" w:hAnsi="Calibri"/>
                          <w:color w:val="FFFFFF"/>
                          <w:sz w:val="22"/>
                          <w:lang w:val="es-ES"/>
                        </w:rPr>
                      </w:pPr>
                      <w:r w:rsidRPr="00093805">
                        <w:rPr>
                          <w:rFonts w:ascii="Calibri" w:hAnsi="Calibri"/>
                          <w:color w:val="FFFFFF"/>
                          <w:sz w:val="22"/>
                          <w:lang w:val="es-ES"/>
                        </w:rPr>
                        <w:t>Original: español</w:t>
                      </w:r>
                    </w:p>
                  </w:txbxContent>
                </v:textbox>
              </v:shape>
            </w:pict>
          </mc:Fallback>
        </mc:AlternateContent>
      </w: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cs="Arial"/>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5128E4" w:rsidRPr="00873EBF" w:rsidRDefault="005128E4"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5128E4" w:rsidRPr="00873EBF" w:rsidRDefault="005128E4" w:rsidP="00056039">
      <w:pPr>
        <w:tabs>
          <w:tab w:val="center" w:pos="5400"/>
        </w:tabs>
        <w:suppressAutoHyphens/>
        <w:jc w:val="center"/>
        <w:rPr>
          <w:rFonts w:ascii="Cambria" w:hAnsi="Cambria"/>
          <w:sz w:val="20"/>
          <w:szCs w:val="20"/>
          <w:lang w:val="es-ES_tradnl"/>
        </w:rPr>
      </w:pPr>
    </w:p>
    <w:p w:rsidR="005128E4" w:rsidRPr="00873EBF" w:rsidRDefault="005128E4" w:rsidP="00056039">
      <w:pPr>
        <w:tabs>
          <w:tab w:val="center" w:pos="5400"/>
        </w:tabs>
        <w:suppressAutoHyphens/>
        <w:jc w:val="center"/>
        <w:rPr>
          <w:rFonts w:ascii="Cambria" w:hAnsi="Cambria"/>
          <w:sz w:val="20"/>
          <w:szCs w:val="20"/>
          <w:lang w:val="es-ES_tradnl"/>
        </w:rPr>
      </w:pPr>
    </w:p>
    <w:p w:rsidR="005128E4" w:rsidRPr="00873EBF" w:rsidRDefault="005128E4"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040C3A" w:rsidRPr="00873EBF" w:rsidRDefault="00040C3A"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4C6D06" w:rsidP="00056039">
      <w:pPr>
        <w:tabs>
          <w:tab w:val="center" w:pos="5400"/>
        </w:tabs>
        <w:suppressAutoHyphens/>
        <w:jc w:val="center"/>
        <w:rPr>
          <w:rFonts w:ascii="Cambria" w:hAnsi="Cambria"/>
          <w:sz w:val="20"/>
          <w:szCs w:val="20"/>
          <w:lang w:val="es-ES_tradnl"/>
        </w:rPr>
      </w:pPr>
      <w:r w:rsidRPr="00873EBF">
        <w:rPr>
          <w:rFonts w:ascii="Cambria" w:hAnsi="Cambria"/>
          <w:noProof/>
          <w:sz w:val="20"/>
          <w:szCs w:val="20"/>
          <w:bdr w:val="none" w:sz="0" w:space="0" w:color="auto"/>
        </w:rPr>
        <mc:AlternateContent>
          <mc:Choice Requires="wps">
            <w:drawing>
              <wp:anchor distT="0" distB="0" distL="114300" distR="114300" simplePos="0" relativeHeight="251655680" behindDoc="0" locked="0" layoutInCell="1" allowOverlap="1" wp14:anchorId="1DA12A53" wp14:editId="4AE169A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965FFE" w:rsidRPr="00BD3114" w:rsidRDefault="00965FFE" w:rsidP="00247403">
                            <w:pPr>
                              <w:tabs>
                                <w:tab w:val="center" w:pos="5400"/>
                              </w:tabs>
                              <w:suppressAutoHyphens/>
                              <w:spacing w:before="60"/>
                              <w:rPr>
                                <w:rFonts w:ascii="Cambria" w:hAnsi="Cambria" w:cs="Univers"/>
                                <w:color w:val="0D0D0D"/>
                                <w:sz w:val="18"/>
                                <w:szCs w:val="20"/>
                                <w:lang w:val="es-ES_tradnl"/>
                              </w:rPr>
                            </w:pPr>
                            <w:r w:rsidRPr="00BD3114">
                              <w:rPr>
                                <w:rFonts w:ascii="Cambria" w:hAnsi="Cambria"/>
                                <w:color w:val="0D0D0D"/>
                                <w:sz w:val="18"/>
                                <w:szCs w:val="20"/>
                                <w:lang w:val="es-ES"/>
                              </w:rPr>
                              <w:t>Aprobado por la Comisión en su sesión</w:t>
                            </w:r>
                            <w:r w:rsidR="0060068B">
                              <w:rPr>
                                <w:rFonts w:ascii="Cambria" w:hAnsi="Cambria"/>
                                <w:color w:val="0D0D0D"/>
                                <w:sz w:val="18"/>
                                <w:szCs w:val="20"/>
                                <w:lang w:val="es-ES"/>
                              </w:rPr>
                              <w:t xml:space="preserve"> No. </w:t>
                            </w:r>
                            <w:r w:rsidR="004127B3">
                              <w:rPr>
                                <w:rFonts w:ascii="Cambria" w:hAnsi="Cambria"/>
                                <w:color w:val="0D0D0D"/>
                                <w:sz w:val="18"/>
                                <w:szCs w:val="20"/>
                                <w:lang w:val="es-ES"/>
                              </w:rPr>
                              <w:t>2022</w:t>
                            </w:r>
                            <w:r w:rsidR="0060068B">
                              <w:rPr>
                                <w:rFonts w:ascii="Cambria" w:hAnsi="Cambria"/>
                                <w:color w:val="0D0D0D"/>
                                <w:sz w:val="18"/>
                                <w:szCs w:val="20"/>
                                <w:lang w:val="es-ES"/>
                              </w:rPr>
                              <w:t xml:space="preserve"> celebrada el </w:t>
                            </w:r>
                            <w:r w:rsidR="004127B3">
                              <w:rPr>
                                <w:rFonts w:ascii="Cambria" w:hAnsi="Cambria"/>
                                <w:color w:val="0D0D0D"/>
                                <w:sz w:val="18"/>
                                <w:szCs w:val="20"/>
                                <w:lang w:val="es-ES"/>
                              </w:rPr>
                              <w:t>24</w:t>
                            </w:r>
                            <w:r w:rsidR="0060068B">
                              <w:rPr>
                                <w:rFonts w:ascii="Cambria" w:hAnsi="Cambria"/>
                                <w:color w:val="0D0D0D"/>
                                <w:sz w:val="18"/>
                                <w:szCs w:val="20"/>
                                <w:lang w:val="es-ES"/>
                              </w:rPr>
                              <w:t xml:space="preserve"> de marzo</w:t>
                            </w:r>
                            <w:r w:rsidRPr="00BD3114">
                              <w:rPr>
                                <w:rFonts w:ascii="Cambria" w:hAnsi="Cambria"/>
                                <w:color w:val="0D0D0D"/>
                                <w:sz w:val="18"/>
                                <w:szCs w:val="20"/>
                                <w:lang w:val="es-ES"/>
                              </w:rPr>
                              <w:t xml:space="preserve"> de 201</w:t>
                            </w:r>
                            <w:r w:rsidR="00877336">
                              <w:rPr>
                                <w:rFonts w:ascii="Cambria" w:hAnsi="Cambria"/>
                                <w:color w:val="0D0D0D"/>
                                <w:sz w:val="18"/>
                                <w:szCs w:val="20"/>
                                <w:lang w:val="es-ES"/>
                              </w:rPr>
                              <w:t>5</w:t>
                            </w:r>
                            <w:r w:rsidRPr="00BD3114">
                              <w:rPr>
                                <w:rFonts w:ascii="Cambria" w:hAnsi="Cambria"/>
                                <w:color w:val="0D0D0D"/>
                                <w:sz w:val="18"/>
                                <w:szCs w:val="20"/>
                                <w:lang w:val="es-ES"/>
                              </w:rPr>
                              <w:br/>
                            </w:r>
                            <w:r w:rsidRPr="00BD3114">
                              <w:rPr>
                                <w:rFonts w:ascii="Cambria" w:hAnsi="Cambria" w:cs="Univers"/>
                                <w:color w:val="0D0D0D"/>
                                <w:sz w:val="18"/>
                                <w:szCs w:val="20"/>
                                <w:lang w:val="es-ES_tradnl"/>
                              </w:rPr>
                              <w:t>15</w:t>
                            </w:r>
                            <w:r w:rsidR="004127B3">
                              <w:rPr>
                                <w:rFonts w:ascii="Cambria" w:hAnsi="Cambria" w:cs="Univers"/>
                                <w:color w:val="0D0D0D"/>
                                <w:sz w:val="18"/>
                                <w:szCs w:val="20"/>
                                <w:lang w:val="es-ES_tradnl"/>
                              </w:rPr>
                              <w:t>4</w:t>
                            </w:r>
                            <w:r w:rsidRPr="00BD3114">
                              <w:rPr>
                                <w:rFonts w:ascii="Cambria" w:hAnsi="Cambria" w:cs="Univers"/>
                                <w:color w:val="0D0D0D"/>
                                <w:sz w:val="18"/>
                                <w:szCs w:val="20"/>
                                <w:lang w:val="es-ES_tradnl"/>
                              </w:rPr>
                              <w:t xml:space="preserve"> período ordinario de sesiones</w:t>
                            </w:r>
                          </w:p>
                          <w:p w:rsidR="00965FFE" w:rsidRPr="00BD3114" w:rsidRDefault="00965FFE" w:rsidP="00247403">
                            <w:pPr>
                              <w:tabs>
                                <w:tab w:val="center" w:pos="5400"/>
                              </w:tabs>
                              <w:suppressAutoHyphens/>
                              <w:spacing w:before="60"/>
                              <w:rPr>
                                <w:rFonts w:ascii="Calibri" w:hAnsi="Calibri" w:cs="Univers"/>
                                <w:color w:val="0D0D0D"/>
                                <w:sz w:val="20"/>
                                <w:szCs w:val="20"/>
                                <w:lang w:val="es-ES"/>
                              </w:rPr>
                            </w:pPr>
                          </w:p>
                          <w:p w:rsidR="00965FFE" w:rsidRPr="00BD3114" w:rsidRDefault="00965FFE"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965FFE" w:rsidRPr="00BD3114" w:rsidRDefault="00965FFE" w:rsidP="00247403">
                      <w:pPr>
                        <w:tabs>
                          <w:tab w:val="center" w:pos="5400"/>
                        </w:tabs>
                        <w:suppressAutoHyphens/>
                        <w:spacing w:before="60"/>
                        <w:rPr>
                          <w:rFonts w:ascii="Cambria" w:hAnsi="Cambria" w:cs="Univers"/>
                          <w:color w:val="0D0D0D"/>
                          <w:sz w:val="18"/>
                          <w:szCs w:val="20"/>
                          <w:lang w:val="es-ES_tradnl"/>
                        </w:rPr>
                      </w:pPr>
                      <w:r w:rsidRPr="00BD3114">
                        <w:rPr>
                          <w:rFonts w:ascii="Cambria" w:hAnsi="Cambria"/>
                          <w:color w:val="0D0D0D"/>
                          <w:sz w:val="18"/>
                          <w:szCs w:val="20"/>
                          <w:lang w:val="es-ES"/>
                        </w:rPr>
                        <w:t>Aprobado por la Comisión en su sesión</w:t>
                      </w:r>
                      <w:r w:rsidR="0060068B">
                        <w:rPr>
                          <w:rFonts w:ascii="Cambria" w:hAnsi="Cambria"/>
                          <w:color w:val="0D0D0D"/>
                          <w:sz w:val="18"/>
                          <w:szCs w:val="20"/>
                          <w:lang w:val="es-ES"/>
                        </w:rPr>
                        <w:t xml:space="preserve"> No. </w:t>
                      </w:r>
                      <w:r w:rsidR="004127B3">
                        <w:rPr>
                          <w:rFonts w:ascii="Cambria" w:hAnsi="Cambria"/>
                          <w:color w:val="0D0D0D"/>
                          <w:sz w:val="18"/>
                          <w:szCs w:val="20"/>
                          <w:lang w:val="es-ES"/>
                        </w:rPr>
                        <w:t>2022</w:t>
                      </w:r>
                      <w:r w:rsidR="0060068B">
                        <w:rPr>
                          <w:rFonts w:ascii="Cambria" w:hAnsi="Cambria"/>
                          <w:color w:val="0D0D0D"/>
                          <w:sz w:val="18"/>
                          <w:szCs w:val="20"/>
                          <w:lang w:val="es-ES"/>
                        </w:rPr>
                        <w:t xml:space="preserve"> celebrada el </w:t>
                      </w:r>
                      <w:r w:rsidR="004127B3">
                        <w:rPr>
                          <w:rFonts w:ascii="Cambria" w:hAnsi="Cambria"/>
                          <w:color w:val="0D0D0D"/>
                          <w:sz w:val="18"/>
                          <w:szCs w:val="20"/>
                          <w:lang w:val="es-ES"/>
                        </w:rPr>
                        <w:t>24</w:t>
                      </w:r>
                      <w:r w:rsidR="0060068B">
                        <w:rPr>
                          <w:rFonts w:ascii="Cambria" w:hAnsi="Cambria"/>
                          <w:color w:val="0D0D0D"/>
                          <w:sz w:val="18"/>
                          <w:szCs w:val="20"/>
                          <w:lang w:val="es-ES"/>
                        </w:rPr>
                        <w:t xml:space="preserve"> de marzo</w:t>
                      </w:r>
                      <w:r w:rsidRPr="00BD3114">
                        <w:rPr>
                          <w:rFonts w:ascii="Cambria" w:hAnsi="Cambria"/>
                          <w:color w:val="0D0D0D"/>
                          <w:sz w:val="18"/>
                          <w:szCs w:val="20"/>
                          <w:lang w:val="es-ES"/>
                        </w:rPr>
                        <w:t xml:space="preserve"> de 201</w:t>
                      </w:r>
                      <w:r w:rsidR="00877336">
                        <w:rPr>
                          <w:rFonts w:ascii="Cambria" w:hAnsi="Cambria"/>
                          <w:color w:val="0D0D0D"/>
                          <w:sz w:val="18"/>
                          <w:szCs w:val="20"/>
                          <w:lang w:val="es-ES"/>
                        </w:rPr>
                        <w:t>5</w:t>
                      </w:r>
                      <w:r w:rsidRPr="00BD3114">
                        <w:rPr>
                          <w:rFonts w:ascii="Cambria" w:hAnsi="Cambria"/>
                          <w:color w:val="0D0D0D"/>
                          <w:sz w:val="18"/>
                          <w:szCs w:val="20"/>
                          <w:lang w:val="es-ES"/>
                        </w:rPr>
                        <w:br/>
                      </w:r>
                      <w:r w:rsidRPr="00BD3114">
                        <w:rPr>
                          <w:rFonts w:ascii="Cambria" w:hAnsi="Cambria" w:cs="Univers"/>
                          <w:color w:val="0D0D0D"/>
                          <w:sz w:val="18"/>
                          <w:szCs w:val="20"/>
                          <w:lang w:val="es-ES_tradnl"/>
                        </w:rPr>
                        <w:t>15</w:t>
                      </w:r>
                      <w:r w:rsidR="004127B3">
                        <w:rPr>
                          <w:rFonts w:ascii="Cambria" w:hAnsi="Cambria" w:cs="Univers"/>
                          <w:color w:val="0D0D0D"/>
                          <w:sz w:val="18"/>
                          <w:szCs w:val="20"/>
                          <w:lang w:val="es-ES_tradnl"/>
                        </w:rPr>
                        <w:t>4</w:t>
                      </w:r>
                      <w:r w:rsidRPr="00BD3114">
                        <w:rPr>
                          <w:rFonts w:ascii="Cambria" w:hAnsi="Cambria" w:cs="Univers"/>
                          <w:color w:val="0D0D0D"/>
                          <w:sz w:val="18"/>
                          <w:szCs w:val="20"/>
                          <w:lang w:val="es-ES_tradnl"/>
                        </w:rPr>
                        <w:t xml:space="preserve"> período ordinario de sesiones</w:t>
                      </w:r>
                    </w:p>
                    <w:p w:rsidR="00965FFE" w:rsidRPr="00BD3114" w:rsidRDefault="00965FFE" w:rsidP="00247403">
                      <w:pPr>
                        <w:tabs>
                          <w:tab w:val="center" w:pos="5400"/>
                        </w:tabs>
                        <w:suppressAutoHyphens/>
                        <w:spacing w:before="60"/>
                        <w:rPr>
                          <w:rFonts w:ascii="Calibri" w:hAnsi="Calibri" w:cs="Univers"/>
                          <w:color w:val="0D0D0D"/>
                          <w:sz w:val="20"/>
                          <w:szCs w:val="20"/>
                          <w:lang w:val="es-ES"/>
                        </w:rPr>
                      </w:pPr>
                    </w:p>
                    <w:p w:rsidR="00965FFE" w:rsidRPr="00BD3114" w:rsidRDefault="00965FFE"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A50FCF" w:rsidP="00056039">
      <w:pPr>
        <w:tabs>
          <w:tab w:val="center" w:pos="5400"/>
        </w:tabs>
        <w:suppressAutoHyphens/>
        <w:jc w:val="center"/>
        <w:rPr>
          <w:rFonts w:ascii="Cambria" w:hAnsi="Cambria"/>
          <w:sz w:val="20"/>
          <w:szCs w:val="20"/>
          <w:lang w:val="es-ES_tradnl"/>
        </w:rPr>
      </w:pPr>
    </w:p>
    <w:p w:rsidR="00A50FCF" w:rsidRPr="00873EBF" w:rsidRDefault="004C6D06" w:rsidP="00056039">
      <w:pPr>
        <w:tabs>
          <w:tab w:val="center" w:pos="5400"/>
        </w:tabs>
        <w:suppressAutoHyphens/>
        <w:jc w:val="center"/>
        <w:rPr>
          <w:rFonts w:ascii="Cambria" w:hAnsi="Cambria"/>
          <w:sz w:val="20"/>
          <w:szCs w:val="20"/>
          <w:lang w:val="es-ES_tradnl"/>
        </w:rPr>
      </w:pPr>
      <w:r w:rsidRPr="00873EBF">
        <w:rPr>
          <w:rFonts w:ascii="Cambria" w:hAnsi="Cambria"/>
          <w:noProof/>
          <w:sz w:val="20"/>
          <w:szCs w:val="20"/>
          <w:bdr w:val="none" w:sz="0" w:space="0" w:color="auto"/>
        </w:rPr>
        <mc:AlternateContent>
          <mc:Choice Requires="wps">
            <w:drawing>
              <wp:anchor distT="0" distB="0" distL="114300" distR="114300" simplePos="0" relativeHeight="251658752" behindDoc="0" locked="0" layoutInCell="1" allowOverlap="1" wp14:anchorId="449FF32E" wp14:editId="474103A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965FFE" w:rsidRPr="006E626B" w:rsidRDefault="00093805" w:rsidP="00113F73">
                            <w:pPr>
                              <w:spacing w:line="276" w:lineRule="auto"/>
                              <w:rPr>
                                <w:rFonts w:ascii="Cambria" w:hAnsi="Cambria"/>
                                <w:color w:val="595959"/>
                                <w:sz w:val="18"/>
                                <w:szCs w:val="18"/>
                                <w:lang w:val="es-ES"/>
                              </w:rPr>
                            </w:pPr>
                            <w:r w:rsidRPr="00093805">
                              <w:rPr>
                                <w:rFonts w:ascii="Cambria" w:hAnsi="Cambria"/>
                                <w:b/>
                                <w:color w:val="595959"/>
                                <w:sz w:val="18"/>
                                <w:szCs w:val="18"/>
                                <w:lang w:val="es-ES"/>
                              </w:rPr>
                              <w:t xml:space="preserve">Citar como: </w:t>
                            </w:r>
                            <w:r w:rsidRPr="00072AC5">
                              <w:rPr>
                                <w:rFonts w:ascii="Cambria" w:hAnsi="Cambria"/>
                                <w:color w:val="595959"/>
                                <w:sz w:val="18"/>
                                <w:szCs w:val="18"/>
                                <w:lang w:val="es-ES"/>
                              </w:rPr>
                              <w:t>CIDH, Informe No. 17/15, Petición 1139-04, Admisibilidad, Masacre de la Aldea Los Josefinos, Guatemala, 24 de marzo de 2015</w:t>
                            </w:r>
                            <w:r w:rsidRPr="00093805">
                              <w:rPr>
                                <w:rFonts w:ascii="Cambria" w:hAnsi="Cambria"/>
                                <w:b/>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965FFE" w:rsidRPr="006E626B" w:rsidRDefault="00093805" w:rsidP="00113F73">
                      <w:pPr>
                        <w:spacing w:line="276" w:lineRule="auto"/>
                        <w:rPr>
                          <w:rFonts w:ascii="Cambria" w:hAnsi="Cambria"/>
                          <w:color w:val="595959"/>
                          <w:sz w:val="18"/>
                          <w:szCs w:val="18"/>
                          <w:lang w:val="es-ES"/>
                        </w:rPr>
                      </w:pPr>
                      <w:r w:rsidRPr="00093805">
                        <w:rPr>
                          <w:rFonts w:ascii="Cambria" w:hAnsi="Cambria"/>
                          <w:b/>
                          <w:color w:val="595959"/>
                          <w:sz w:val="18"/>
                          <w:szCs w:val="18"/>
                          <w:lang w:val="es-ES"/>
                        </w:rPr>
                        <w:t xml:space="preserve">Citar como: </w:t>
                      </w:r>
                      <w:r w:rsidRPr="00072AC5">
                        <w:rPr>
                          <w:rFonts w:ascii="Cambria" w:hAnsi="Cambria"/>
                          <w:color w:val="595959"/>
                          <w:sz w:val="18"/>
                          <w:szCs w:val="18"/>
                          <w:lang w:val="es-ES"/>
                        </w:rPr>
                        <w:t>CIDH, Informe No. 17/15, Petición 1139-04, Admisibilidad, Masacre de la Aldea Los Josefinos, Guatemala, 24 de marzo de 2015</w:t>
                      </w:r>
                      <w:r w:rsidRPr="00093805">
                        <w:rPr>
                          <w:rFonts w:ascii="Cambria" w:hAnsi="Cambria"/>
                          <w:b/>
                          <w:color w:val="595959"/>
                          <w:sz w:val="18"/>
                          <w:szCs w:val="18"/>
                          <w:lang w:val="es-ES"/>
                        </w:rPr>
                        <w:t>.</w:t>
                      </w:r>
                    </w:p>
                  </w:txbxContent>
                </v:textbox>
              </v:shape>
            </w:pict>
          </mc:Fallback>
        </mc:AlternateContent>
      </w:r>
    </w:p>
    <w:p w:rsidR="00A50FCF" w:rsidRPr="00873EBF" w:rsidRDefault="00A50FCF" w:rsidP="00056039">
      <w:pPr>
        <w:tabs>
          <w:tab w:val="center" w:pos="5400"/>
        </w:tabs>
        <w:suppressAutoHyphens/>
        <w:jc w:val="center"/>
        <w:rPr>
          <w:rFonts w:ascii="Cambria" w:hAnsi="Cambria"/>
          <w:sz w:val="20"/>
          <w:szCs w:val="20"/>
          <w:lang w:val="es-ES_tradnl"/>
        </w:rPr>
      </w:pPr>
    </w:p>
    <w:p w:rsidR="0090270B" w:rsidRPr="00873EBF" w:rsidRDefault="004C6D06" w:rsidP="00056039">
      <w:pPr>
        <w:tabs>
          <w:tab w:val="center" w:pos="5400"/>
        </w:tabs>
        <w:suppressAutoHyphens/>
        <w:jc w:val="center"/>
        <w:rPr>
          <w:rFonts w:ascii="Cambria" w:hAnsi="Cambria"/>
          <w:b/>
          <w:sz w:val="20"/>
          <w:szCs w:val="20"/>
          <w:lang w:val="es-ES_tradnl"/>
        </w:rPr>
      </w:pPr>
      <w:r w:rsidRPr="00873EBF">
        <w:rPr>
          <w:rFonts w:ascii="Cambria" w:hAnsi="Cambria"/>
          <w:noProof/>
          <w:sz w:val="20"/>
          <w:szCs w:val="20"/>
          <w:bdr w:val="none" w:sz="0" w:space="0" w:color="auto"/>
        </w:rPr>
        <mc:AlternateContent>
          <mc:Choice Requires="wps">
            <w:drawing>
              <wp:anchor distT="0" distB="0" distL="114300" distR="114300" simplePos="0" relativeHeight="251659776" behindDoc="0" locked="0" layoutInCell="1" allowOverlap="1" wp14:anchorId="2436E721" wp14:editId="694DAA50">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965FFE" w:rsidRPr="00BD3114" w:rsidRDefault="004C6D06" w:rsidP="00F02AD1">
                            <w:pPr>
                              <w:rPr>
                                <w:color w:val="FFFFFF"/>
                              </w:rPr>
                            </w:pPr>
                            <w:r>
                              <w:rPr>
                                <w:noProof/>
                                <w:color w:val="FFFFFF"/>
                              </w:rPr>
                              <w:drawing>
                                <wp:inline distT="0" distB="0" distL="0" distR="0" wp14:anchorId="72FB3FBE" wp14:editId="2BC961C6">
                                  <wp:extent cx="1337310" cy="387985"/>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965FFE" w:rsidRPr="00BD3114" w:rsidRDefault="004C6D06" w:rsidP="00F02AD1">
                      <w:pPr>
                        <w:rPr>
                          <w:color w:val="FFFFFF"/>
                        </w:rPr>
                      </w:pPr>
                      <w:r>
                        <w:rPr>
                          <w:noProof/>
                          <w:color w:val="FFFFFF"/>
                        </w:rPr>
                        <w:drawing>
                          <wp:inline distT="0" distB="0" distL="0" distR="0" wp14:anchorId="72FB3FBE" wp14:editId="2BC961C6">
                            <wp:extent cx="1337310" cy="387985"/>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xbxContent>
                </v:textbox>
              </v:shape>
            </w:pict>
          </mc:Fallback>
        </mc:AlternateContent>
      </w:r>
      <w:r w:rsidRPr="00873EBF">
        <w:rPr>
          <w:rFonts w:ascii="Cambria" w:hAnsi="Cambria"/>
          <w:noProof/>
          <w:sz w:val="20"/>
          <w:szCs w:val="20"/>
          <w:bdr w:val="none" w:sz="0" w:space="0" w:color="auto"/>
        </w:rPr>
        <mc:AlternateContent>
          <mc:Choice Requires="wps">
            <w:drawing>
              <wp:anchor distT="0" distB="0" distL="114300" distR="114300" simplePos="0" relativeHeight="251660800" behindDoc="0" locked="0" layoutInCell="1" allowOverlap="1" wp14:anchorId="638BAA48" wp14:editId="00108997">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965FFE" w:rsidRPr="00BD3114" w:rsidRDefault="00965FFE" w:rsidP="00D306D1">
                            <w:pPr>
                              <w:jc w:val="center"/>
                              <w:rPr>
                                <w:rFonts w:ascii="Calibri" w:hAnsi="Calibri"/>
                                <w:b/>
                                <w:color w:val="FFFFFF"/>
                              </w:rPr>
                            </w:pPr>
                            <w:r w:rsidRPr="00BD3114">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rsidR="00965FFE" w:rsidRPr="00BD3114" w:rsidRDefault="00965FFE" w:rsidP="00D306D1">
                      <w:pPr>
                        <w:jc w:val="center"/>
                        <w:rPr>
                          <w:rFonts w:ascii="Calibri" w:hAnsi="Calibri"/>
                          <w:b/>
                          <w:color w:val="FFFFFF"/>
                        </w:rPr>
                      </w:pPr>
                      <w:r w:rsidRPr="00BD3114">
                        <w:rPr>
                          <w:rFonts w:ascii="Calibri" w:hAnsi="Calibri"/>
                          <w:b/>
                          <w:color w:val="FFFFFF"/>
                          <w:lang w:val="pt-BR"/>
                        </w:rPr>
                        <w:t>www.cidh.org</w:t>
                      </w:r>
                    </w:p>
                  </w:txbxContent>
                </v:textbox>
              </v:shape>
            </w:pict>
          </mc:Fallback>
        </mc:AlternateContent>
      </w:r>
    </w:p>
    <w:p w:rsidR="0070697F" w:rsidRPr="00873EBF" w:rsidRDefault="0070697F" w:rsidP="00056039">
      <w:pPr>
        <w:tabs>
          <w:tab w:val="center" w:pos="5400"/>
        </w:tabs>
        <w:suppressAutoHyphens/>
        <w:jc w:val="center"/>
        <w:rPr>
          <w:rFonts w:ascii="Cambria" w:hAnsi="Cambria"/>
          <w:b/>
          <w:sz w:val="20"/>
          <w:szCs w:val="20"/>
          <w:lang w:val="es-ES_tradnl"/>
        </w:rPr>
        <w:sectPr w:rsidR="0070697F" w:rsidRPr="00873EB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BF6FD8" w:rsidRPr="00873EBF" w:rsidRDefault="00396262" w:rsidP="00056039">
      <w:pPr>
        <w:tabs>
          <w:tab w:val="center" w:pos="5400"/>
        </w:tabs>
        <w:suppressAutoHyphens/>
        <w:jc w:val="center"/>
        <w:rPr>
          <w:rFonts w:ascii="Cambria" w:hAnsi="Cambria"/>
          <w:b/>
          <w:sz w:val="18"/>
          <w:szCs w:val="18"/>
          <w:lang w:val="es-ES_tradnl"/>
        </w:rPr>
      </w:pPr>
      <w:r w:rsidRPr="00873EBF">
        <w:rPr>
          <w:rFonts w:ascii="Cambria" w:hAnsi="Cambria"/>
          <w:b/>
          <w:sz w:val="18"/>
          <w:szCs w:val="18"/>
          <w:lang w:val="es-ES_tradnl"/>
        </w:rPr>
        <w:lastRenderedPageBreak/>
        <w:t xml:space="preserve">INFORME No. </w:t>
      </w:r>
      <w:r w:rsidR="006E626B">
        <w:rPr>
          <w:rFonts w:ascii="Cambria" w:hAnsi="Cambria"/>
          <w:b/>
          <w:sz w:val="18"/>
          <w:szCs w:val="18"/>
          <w:lang w:val="es-ES_tradnl"/>
        </w:rPr>
        <w:t>17</w:t>
      </w:r>
      <w:r w:rsidRPr="00873EBF">
        <w:rPr>
          <w:rFonts w:ascii="Cambria" w:hAnsi="Cambria"/>
          <w:b/>
          <w:sz w:val="18"/>
          <w:szCs w:val="18"/>
          <w:lang w:val="es-ES_tradnl"/>
        </w:rPr>
        <w:t>/1</w:t>
      </w:r>
      <w:r w:rsidR="00877336" w:rsidRPr="00873EBF">
        <w:rPr>
          <w:rFonts w:ascii="Cambria" w:hAnsi="Cambria"/>
          <w:b/>
          <w:sz w:val="18"/>
          <w:szCs w:val="18"/>
          <w:lang w:val="es-ES_tradnl"/>
        </w:rPr>
        <w:t>5</w:t>
      </w:r>
    </w:p>
    <w:p w:rsidR="00BF6FD8" w:rsidRPr="00072AC5" w:rsidRDefault="00BF6FD8" w:rsidP="00056039">
      <w:pPr>
        <w:tabs>
          <w:tab w:val="center" w:pos="5400"/>
        </w:tabs>
        <w:suppressAutoHyphens/>
        <w:jc w:val="center"/>
        <w:rPr>
          <w:rFonts w:ascii="Cambria" w:hAnsi="Cambria"/>
          <w:b/>
          <w:sz w:val="18"/>
          <w:szCs w:val="18"/>
          <w:lang w:val="es-ES_tradnl"/>
        </w:rPr>
      </w:pPr>
      <w:r w:rsidRPr="00072AC5">
        <w:rPr>
          <w:rFonts w:ascii="Cambria" w:hAnsi="Cambria"/>
          <w:b/>
          <w:sz w:val="18"/>
          <w:szCs w:val="18"/>
          <w:lang w:val="es-ES_tradnl"/>
        </w:rPr>
        <w:t xml:space="preserve">PETICIÓN </w:t>
      </w:r>
      <w:r w:rsidR="00AE3821" w:rsidRPr="00072AC5">
        <w:rPr>
          <w:rFonts w:ascii="Cambria" w:eastAsia="Calibri" w:hAnsi="Cambria"/>
          <w:b/>
          <w:sz w:val="18"/>
          <w:szCs w:val="18"/>
          <w:lang w:val="es-ES_tradnl"/>
        </w:rPr>
        <w:t>1139-04</w:t>
      </w:r>
    </w:p>
    <w:p w:rsidR="00BF6FD8" w:rsidRPr="00873EBF" w:rsidRDefault="001C56D7" w:rsidP="00056039">
      <w:pPr>
        <w:tabs>
          <w:tab w:val="center" w:pos="5400"/>
        </w:tabs>
        <w:suppressAutoHyphens/>
        <w:jc w:val="center"/>
        <w:rPr>
          <w:rFonts w:ascii="Cambria" w:hAnsi="Cambria"/>
          <w:sz w:val="18"/>
          <w:szCs w:val="18"/>
          <w:lang w:val="es-ES_tradnl"/>
        </w:rPr>
      </w:pPr>
      <w:r w:rsidRPr="00873EBF">
        <w:rPr>
          <w:rFonts w:ascii="Cambria" w:hAnsi="Cambria"/>
          <w:sz w:val="18"/>
          <w:szCs w:val="18"/>
          <w:lang w:val="es-ES_tradnl"/>
        </w:rPr>
        <w:t xml:space="preserve">ADMISIBILIDAD </w:t>
      </w:r>
    </w:p>
    <w:p w:rsidR="00AE3821" w:rsidRPr="00873EBF" w:rsidRDefault="00AE3821" w:rsidP="00056039">
      <w:pPr>
        <w:pStyle w:val="Heading2"/>
        <w:keepNext w:val="0"/>
        <w:spacing w:before="0"/>
        <w:jc w:val="center"/>
        <w:rPr>
          <w:rFonts w:eastAsia="Calibri"/>
          <w:b w:val="0"/>
          <w:bCs w:val="0"/>
          <w:color w:val="auto"/>
          <w:sz w:val="18"/>
          <w:szCs w:val="18"/>
          <w:lang w:val="es-ES_tradnl"/>
        </w:rPr>
      </w:pPr>
      <w:r w:rsidRPr="00873EBF">
        <w:rPr>
          <w:rFonts w:eastAsia="Calibri"/>
          <w:b w:val="0"/>
          <w:bCs w:val="0"/>
          <w:color w:val="auto"/>
          <w:sz w:val="18"/>
          <w:szCs w:val="18"/>
          <w:lang w:val="es-ES_tradnl"/>
        </w:rPr>
        <w:t>MASACRE DE LA ALDEA LOS JOSEFINOS</w:t>
      </w:r>
    </w:p>
    <w:p w:rsidR="00AE3821" w:rsidRPr="00873EBF" w:rsidRDefault="00AE3821" w:rsidP="00056039">
      <w:pPr>
        <w:pStyle w:val="Heading2"/>
        <w:keepNext w:val="0"/>
        <w:spacing w:before="0"/>
        <w:jc w:val="center"/>
        <w:rPr>
          <w:rFonts w:eastAsia="Calibri"/>
          <w:b w:val="0"/>
          <w:bCs w:val="0"/>
          <w:color w:val="auto"/>
          <w:sz w:val="18"/>
          <w:szCs w:val="18"/>
          <w:lang w:val="es-ES_tradnl"/>
        </w:rPr>
      </w:pPr>
      <w:r w:rsidRPr="00873EBF">
        <w:rPr>
          <w:rFonts w:eastAsia="Calibri"/>
          <w:b w:val="0"/>
          <w:bCs w:val="0"/>
          <w:color w:val="auto"/>
          <w:sz w:val="18"/>
          <w:szCs w:val="18"/>
          <w:lang w:val="es-ES_tradnl"/>
        </w:rPr>
        <w:t>GUATEMALA</w:t>
      </w:r>
    </w:p>
    <w:p w:rsidR="00AE3821" w:rsidRPr="00873EBF" w:rsidRDefault="006E626B" w:rsidP="00056039">
      <w:pPr>
        <w:pStyle w:val="Heading2"/>
        <w:keepNext w:val="0"/>
        <w:spacing w:before="0"/>
        <w:jc w:val="center"/>
        <w:rPr>
          <w:rFonts w:eastAsia="Calibri"/>
          <w:b w:val="0"/>
          <w:bCs w:val="0"/>
          <w:color w:val="auto"/>
          <w:sz w:val="18"/>
          <w:szCs w:val="18"/>
          <w:lang w:val="es-ES_tradnl"/>
        </w:rPr>
      </w:pPr>
      <w:r>
        <w:rPr>
          <w:rFonts w:eastAsia="Calibri"/>
          <w:b w:val="0"/>
          <w:bCs w:val="0"/>
          <w:color w:val="auto"/>
          <w:sz w:val="18"/>
          <w:szCs w:val="18"/>
          <w:lang w:val="es-ES_tradnl"/>
        </w:rPr>
        <w:t>24</w:t>
      </w:r>
      <w:r w:rsidR="002D6F47" w:rsidRPr="00873EBF">
        <w:rPr>
          <w:rFonts w:eastAsia="Calibri"/>
          <w:b w:val="0"/>
          <w:bCs w:val="0"/>
          <w:color w:val="auto"/>
          <w:sz w:val="18"/>
          <w:szCs w:val="18"/>
          <w:lang w:val="es-ES_tradnl"/>
        </w:rPr>
        <w:t xml:space="preserve"> DE MARZO DE 2015</w:t>
      </w:r>
    </w:p>
    <w:p w:rsidR="00D47A8E" w:rsidRPr="00873EBF" w:rsidRDefault="00D47A8E" w:rsidP="00056039">
      <w:pPr>
        <w:tabs>
          <w:tab w:val="center" w:pos="5400"/>
        </w:tabs>
        <w:suppressAutoHyphens/>
        <w:jc w:val="center"/>
        <w:rPr>
          <w:rFonts w:ascii="Cambria" w:hAnsi="Cambria"/>
          <w:sz w:val="20"/>
          <w:szCs w:val="20"/>
          <w:lang w:val="es-ES_tradnl"/>
        </w:rPr>
      </w:pPr>
    </w:p>
    <w:p w:rsidR="000A392E" w:rsidRPr="00873EBF" w:rsidRDefault="000A392E" w:rsidP="00056039">
      <w:pPr>
        <w:tabs>
          <w:tab w:val="center" w:pos="5400"/>
        </w:tabs>
        <w:suppressAutoHyphens/>
        <w:rPr>
          <w:rFonts w:ascii="Cambria" w:hAnsi="Cambria"/>
          <w:sz w:val="20"/>
          <w:szCs w:val="20"/>
          <w:lang w:val="es-ES_tradnl"/>
        </w:rPr>
      </w:pPr>
    </w:p>
    <w:p w:rsidR="00F54002" w:rsidRPr="00873EBF" w:rsidRDefault="00F54002" w:rsidP="00056039">
      <w:pPr>
        <w:pStyle w:val="Style1"/>
      </w:pPr>
      <w:bookmarkStart w:id="2" w:name="_Toc392055239"/>
      <w:r w:rsidRPr="00873EBF">
        <w:t>I.</w:t>
      </w:r>
      <w:r w:rsidRPr="00873EBF">
        <w:tab/>
        <w:t>RESUMEN</w:t>
      </w:r>
      <w:bookmarkEnd w:id="2"/>
    </w:p>
    <w:p w:rsidR="00F54002" w:rsidRPr="00873EBF" w:rsidRDefault="00F54002" w:rsidP="00056039">
      <w:pPr>
        <w:jc w:val="both"/>
        <w:rPr>
          <w:rFonts w:ascii="Cambria" w:hAnsi="Cambria" w:cs="Optima ExtraBlack"/>
          <w:sz w:val="20"/>
          <w:szCs w:val="20"/>
          <w:lang w:val="es-ES"/>
        </w:rPr>
      </w:pPr>
    </w:p>
    <w:p w:rsidR="00AE3821" w:rsidRPr="00873EBF" w:rsidRDefault="00AE3821" w:rsidP="004B2D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t>La Comisión Interamericana de Derechos Humanos (en adelante “la Comisión” o “la CIDH”) recibió una petición presentada por la Asociación Familiares de Detenidos-Desaparecidos de Guatemala (FAMDEGUA) y el Centro por la Justicia y el Derecho Internacional (CEJIL)</w:t>
      </w:r>
      <w:r w:rsidRPr="00873EBF">
        <w:rPr>
          <w:rFonts w:ascii="Cambria" w:hAnsi="Cambria"/>
          <w:sz w:val="20"/>
          <w:szCs w:val="20"/>
          <w:lang w:val="es-ES"/>
        </w:rPr>
        <w:t xml:space="preserve"> (en adelante “los peticionarios”) el </w:t>
      </w:r>
      <w:r w:rsidR="00E35CAB" w:rsidRPr="00873EBF">
        <w:rPr>
          <w:rFonts w:ascii="Cambria" w:hAnsi="Cambria"/>
          <w:sz w:val="20"/>
          <w:szCs w:val="20"/>
          <w:lang w:val="es-ES"/>
        </w:rPr>
        <w:t xml:space="preserve">27 de octubre </w:t>
      </w:r>
      <w:r w:rsidRPr="00873EBF">
        <w:rPr>
          <w:rFonts w:ascii="Cambria" w:eastAsia="Times New Roman" w:hAnsi="Cambria"/>
          <w:sz w:val="20"/>
          <w:szCs w:val="20"/>
          <w:lang w:val="es-EC"/>
        </w:rPr>
        <w:t xml:space="preserve">de 2004, </w:t>
      </w:r>
      <w:r w:rsidRPr="00873EBF">
        <w:rPr>
          <w:rFonts w:ascii="Cambria" w:hAnsi="Cambria"/>
          <w:sz w:val="20"/>
          <w:szCs w:val="20"/>
          <w:lang w:val="es-ES_tradnl"/>
        </w:rPr>
        <w:t xml:space="preserve">en la cual se alega </w:t>
      </w:r>
      <w:r w:rsidRPr="00873EBF">
        <w:rPr>
          <w:rFonts w:ascii="Cambria" w:hAnsi="Cambria"/>
          <w:sz w:val="20"/>
          <w:szCs w:val="20"/>
          <w:lang w:val="es-ES"/>
        </w:rPr>
        <w:t xml:space="preserve">la responsabilidad internacional del Estado de Guatemala (en adelante </w:t>
      </w:r>
      <w:r w:rsidRPr="00873EBF">
        <w:rPr>
          <w:rFonts w:ascii="Cambria" w:hAnsi="Cambria" w:cs="Arial"/>
          <w:sz w:val="20"/>
          <w:szCs w:val="20"/>
          <w:lang w:val="es-ES"/>
        </w:rPr>
        <w:t>"Guatemala"</w:t>
      </w:r>
      <w:r w:rsidRPr="00873EBF">
        <w:rPr>
          <w:rFonts w:ascii="Cambria" w:hAnsi="Cambria"/>
          <w:sz w:val="20"/>
          <w:szCs w:val="20"/>
          <w:lang w:val="es-ES"/>
        </w:rPr>
        <w:t xml:space="preserve">, </w:t>
      </w:r>
      <w:r w:rsidRPr="00873EBF">
        <w:rPr>
          <w:rFonts w:ascii="Cambria" w:hAnsi="Cambria" w:cs="Arial"/>
          <w:sz w:val="20"/>
          <w:szCs w:val="20"/>
          <w:lang w:val="es-ES"/>
        </w:rPr>
        <w:t>"</w:t>
      </w:r>
      <w:r w:rsidRPr="00873EBF">
        <w:rPr>
          <w:rFonts w:ascii="Cambria" w:hAnsi="Cambria"/>
          <w:sz w:val="20"/>
          <w:szCs w:val="20"/>
          <w:lang w:val="es-ES"/>
        </w:rPr>
        <w:t>Estado</w:t>
      </w:r>
      <w:r w:rsidRPr="00873EBF">
        <w:rPr>
          <w:rFonts w:ascii="Cambria" w:hAnsi="Cambria" w:cs="Arial"/>
          <w:sz w:val="20"/>
          <w:szCs w:val="20"/>
          <w:lang w:val="es-ES"/>
        </w:rPr>
        <w:t>"</w:t>
      </w:r>
      <w:r w:rsidRPr="00873EBF">
        <w:rPr>
          <w:rFonts w:ascii="Cambria" w:hAnsi="Cambria"/>
          <w:sz w:val="20"/>
          <w:szCs w:val="20"/>
          <w:lang w:val="es-ES"/>
        </w:rPr>
        <w:t xml:space="preserve"> o </w:t>
      </w:r>
      <w:r w:rsidRPr="00873EBF">
        <w:rPr>
          <w:rFonts w:ascii="Cambria" w:hAnsi="Cambria" w:cs="Arial"/>
          <w:sz w:val="20"/>
          <w:szCs w:val="20"/>
          <w:lang w:val="es-ES"/>
        </w:rPr>
        <w:t>"</w:t>
      </w:r>
      <w:r w:rsidRPr="00873EBF">
        <w:rPr>
          <w:rFonts w:ascii="Cambria" w:hAnsi="Cambria"/>
          <w:sz w:val="20"/>
          <w:szCs w:val="20"/>
          <w:lang w:val="es-ES"/>
        </w:rPr>
        <w:t>Estado guatemalteco</w:t>
      </w:r>
      <w:r w:rsidRPr="00873EBF">
        <w:rPr>
          <w:rFonts w:ascii="Cambria" w:hAnsi="Cambria" w:cs="Arial"/>
          <w:sz w:val="20"/>
          <w:szCs w:val="20"/>
          <w:lang w:val="es-ES"/>
        </w:rPr>
        <w:t>"</w:t>
      </w:r>
      <w:r w:rsidRPr="00873EBF">
        <w:rPr>
          <w:rFonts w:ascii="Cambria" w:hAnsi="Cambria"/>
          <w:sz w:val="20"/>
          <w:szCs w:val="20"/>
          <w:lang w:val="es-ES"/>
        </w:rPr>
        <w:t xml:space="preserve">) por presuntas violaciones </w:t>
      </w:r>
      <w:r w:rsidR="0098385B" w:rsidRPr="00873EBF">
        <w:rPr>
          <w:rFonts w:ascii="Cambria" w:hAnsi="Cambria"/>
          <w:sz w:val="20"/>
          <w:szCs w:val="20"/>
          <w:lang w:val="es-ES"/>
        </w:rPr>
        <w:t>a</w:t>
      </w:r>
      <w:r w:rsidRPr="00873EBF">
        <w:rPr>
          <w:rFonts w:ascii="Cambria" w:hAnsi="Cambria"/>
          <w:sz w:val="20"/>
          <w:szCs w:val="20"/>
          <w:lang w:val="es-ES"/>
        </w:rPr>
        <w:t xml:space="preserve"> derechos consagrados en la Convención Americana sobre Derechos Humanos (en adelante “Convención Americana” o “Convención”)</w:t>
      </w:r>
      <w:r w:rsidRPr="00873EBF">
        <w:rPr>
          <w:rFonts w:ascii="Cambria" w:hAnsi="Cambria" w:cs="Arial"/>
          <w:iCs/>
          <w:sz w:val="20"/>
          <w:szCs w:val="20"/>
          <w:lang w:val="es-ES"/>
        </w:rPr>
        <w:t xml:space="preserve">, </w:t>
      </w:r>
      <w:r w:rsidRPr="00873EBF">
        <w:rPr>
          <w:rFonts w:ascii="Cambria" w:hAnsi="Cambria"/>
          <w:sz w:val="20"/>
          <w:szCs w:val="20"/>
          <w:lang w:val="es-ES"/>
        </w:rPr>
        <w:t>en perjuicio de los habitantes de la aldea Los Josefinos (en adelante “las presuntas víctimas”)</w:t>
      </w:r>
      <w:r w:rsidR="00715D51" w:rsidRPr="00873EBF">
        <w:rPr>
          <w:rFonts w:ascii="Cambria" w:hAnsi="Cambria"/>
          <w:sz w:val="20"/>
          <w:szCs w:val="20"/>
          <w:lang w:val="es-ES"/>
        </w:rPr>
        <w:t>, los sobrevivientes de la misma</w:t>
      </w:r>
      <w:r w:rsidRPr="00873EBF">
        <w:rPr>
          <w:rFonts w:ascii="Cambria" w:hAnsi="Cambria"/>
          <w:sz w:val="20"/>
          <w:szCs w:val="20"/>
          <w:lang w:val="es-ES"/>
        </w:rPr>
        <w:t xml:space="preserve"> y familiares</w:t>
      </w:r>
      <w:r w:rsidR="00706883" w:rsidRPr="00873EBF">
        <w:rPr>
          <w:rStyle w:val="FootnoteReference"/>
          <w:rFonts w:ascii="Cambria" w:hAnsi="Cambria"/>
          <w:sz w:val="20"/>
          <w:szCs w:val="20"/>
          <w:lang w:val="es-ES"/>
        </w:rPr>
        <w:footnoteReference w:id="2"/>
      </w:r>
      <w:r w:rsidRPr="00873EBF">
        <w:rPr>
          <w:rFonts w:ascii="Cambria" w:hAnsi="Cambria"/>
          <w:sz w:val="20"/>
          <w:szCs w:val="20"/>
          <w:lang w:val="es-ES"/>
        </w:rPr>
        <w:t>, derivadas de la masacre de la referida aldea</w:t>
      </w:r>
      <w:r w:rsidR="0098385B" w:rsidRPr="00873EBF">
        <w:rPr>
          <w:rFonts w:ascii="Cambria" w:hAnsi="Cambria"/>
          <w:sz w:val="20"/>
          <w:szCs w:val="20"/>
          <w:lang w:val="es-ES"/>
        </w:rPr>
        <w:t xml:space="preserve"> ocurrida </w:t>
      </w:r>
      <w:r w:rsidR="0098385B" w:rsidRPr="00873EBF">
        <w:rPr>
          <w:rFonts w:ascii="Cambria" w:hAnsi="Cambria"/>
          <w:sz w:val="20"/>
          <w:szCs w:val="20"/>
          <w:lang w:val="es-MX"/>
        </w:rPr>
        <w:t>el 29 y 30 de abril de 1982,</w:t>
      </w:r>
      <w:r w:rsidRPr="00873EBF">
        <w:rPr>
          <w:rFonts w:ascii="Cambria" w:hAnsi="Cambria"/>
          <w:sz w:val="20"/>
          <w:szCs w:val="20"/>
          <w:lang w:val="es-ES"/>
        </w:rPr>
        <w:t xml:space="preserve"> </w:t>
      </w:r>
      <w:r w:rsidRPr="00873EBF">
        <w:rPr>
          <w:rFonts w:ascii="Cambria" w:hAnsi="Cambria"/>
          <w:sz w:val="20"/>
          <w:szCs w:val="20"/>
          <w:lang w:val="es-MX"/>
        </w:rPr>
        <w:t>y de la inefectiva investigación de tales hechos</w:t>
      </w:r>
      <w:r w:rsidRPr="00873EBF">
        <w:rPr>
          <w:rFonts w:ascii="Cambria" w:hAnsi="Cambria"/>
          <w:sz w:val="20"/>
          <w:szCs w:val="20"/>
          <w:lang w:val="es-ES"/>
        </w:rPr>
        <w:t>.</w:t>
      </w:r>
    </w:p>
    <w:p w:rsidR="00AE3821" w:rsidRPr="00873EBF" w:rsidRDefault="00AE3821" w:rsidP="000560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AE3821" w:rsidRPr="00873EBF" w:rsidRDefault="00AE3821" w:rsidP="004B2D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En particular, los peticionarios denuncian que en razón de la masacre de Los Josefinos</w:t>
      </w:r>
      <w:r w:rsidR="00E8320E" w:rsidRPr="00873EBF">
        <w:rPr>
          <w:rFonts w:ascii="Cambria" w:hAnsi="Cambria"/>
          <w:sz w:val="20"/>
          <w:szCs w:val="20"/>
          <w:lang w:val="es-ES"/>
        </w:rPr>
        <w:t xml:space="preserve">, </w:t>
      </w:r>
      <w:r w:rsidRPr="00873EBF">
        <w:rPr>
          <w:rFonts w:ascii="Cambria" w:hAnsi="Cambria"/>
          <w:sz w:val="20"/>
          <w:szCs w:val="20"/>
          <w:lang w:val="es-ES"/>
        </w:rPr>
        <w:t xml:space="preserve">y </w:t>
      </w:r>
      <w:r w:rsidR="00E333CD" w:rsidRPr="00873EBF">
        <w:rPr>
          <w:rFonts w:ascii="Cambria" w:hAnsi="Cambria"/>
          <w:sz w:val="20"/>
          <w:szCs w:val="20"/>
          <w:lang w:val="es-ES"/>
        </w:rPr>
        <w:t xml:space="preserve">de </w:t>
      </w:r>
      <w:r w:rsidRPr="00873EBF">
        <w:rPr>
          <w:rFonts w:ascii="Cambria" w:hAnsi="Cambria"/>
          <w:sz w:val="20"/>
          <w:szCs w:val="20"/>
          <w:lang w:val="es-ES"/>
        </w:rPr>
        <w:t>la respectiva impunidad de los hec</w:t>
      </w:r>
      <w:r w:rsidR="00F02488" w:rsidRPr="00873EBF">
        <w:rPr>
          <w:rFonts w:ascii="Cambria" w:hAnsi="Cambria"/>
          <w:sz w:val="20"/>
          <w:szCs w:val="20"/>
          <w:lang w:val="es-ES"/>
        </w:rPr>
        <w:t>hos, el Estado habría vulnerado</w:t>
      </w:r>
      <w:r w:rsidRPr="00873EBF">
        <w:rPr>
          <w:rFonts w:ascii="Cambria" w:hAnsi="Cambria"/>
          <w:sz w:val="20"/>
          <w:szCs w:val="20"/>
          <w:lang w:val="es-ES"/>
        </w:rPr>
        <w:t xml:space="preserve"> en perjuicio de los habitantes de la aldea y sus familiares, los derechos consagrados en los artículos 4 (derecho a la vida), 5 (derecho a la integridad personal), 8 (garantías judiciales), 17 (protección a la familia), 19 (derechos del niño), 21 (derecho a la propiedad) y 25 (protección judicial) de la  Convención Americana </w:t>
      </w:r>
      <w:r w:rsidRPr="00873EBF">
        <w:rPr>
          <w:rFonts w:ascii="Cambria" w:hAnsi="Cambria"/>
          <w:sz w:val="20"/>
          <w:szCs w:val="20"/>
          <w:lang w:val="es-ES_tradnl"/>
        </w:rPr>
        <w:t>en relación con la obligación de respetar los derechos establecida en el artículo 1.1 de dicho instrumento. Respecto de la admisibilidad del reclamo, invocan la aplicación de la excepción al requisito del previo agotamiento de los recursos internos, prevista en el artículo 46.2.c de la Convención Americana.</w:t>
      </w:r>
      <w:r w:rsidR="009430E9" w:rsidRPr="00873EBF">
        <w:rPr>
          <w:rFonts w:ascii="Cambria" w:hAnsi="Cambria"/>
          <w:sz w:val="20"/>
          <w:szCs w:val="20"/>
          <w:lang w:val="es-ES_tradnl"/>
        </w:rPr>
        <w:t xml:space="preserve"> </w:t>
      </w:r>
      <w:r w:rsidR="00111C64" w:rsidRPr="00873EBF">
        <w:rPr>
          <w:rFonts w:ascii="Cambria" w:hAnsi="Cambria"/>
          <w:sz w:val="20"/>
          <w:szCs w:val="20"/>
          <w:lang w:val="es-ES_tradnl"/>
        </w:rPr>
        <w:t xml:space="preserve">Asimismo, </w:t>
      </w:r>
      <w:r w:rsidR="00111C64" w:rsidRPr="00873EBF">
        <w:rPr>
          <w:rFonts w:ascii="Cambria" w:hAnsi="Cambria"/>
          <w:sz w:val="20"/>
          <w:szCs w:val="20"/>
          <w:lang w:val="es-MX"/>
        </w:rPr>
        <w:t xml:space="preserve">los peticionarios </w:t>
      </w:r>
      <w:r w:rsidR="001A6EA9" w:rsidRPr="00873EBF">
        <w:rPr>
          <w:rFonts w:ascii="Cambria" w:hAnsi="Cambria"/>
          <w:sz w:val="20"/>
          <w:szCs w:val="20"/>
          <w:lang w:val="es-MX"/>
        </w:rPr>
        <w:t xml:space="preserve">indican </w:t>
      </w:r>
      <w:r w:rsidR="00111C64" w:rsidRPr="00873EBF">
        <w:rPr>
          <w:rFonts w:ascii="Cambria" w:hAnsi="Cambria"/>
          <w:sz w:val="20"/>
          <w:szCs w:val="20"/>
          <w:lang w:val="es-MX"/>
        </w:rPr>
        <w:t>que</w:t>
      </w:r>
      <w:r w:rsidR="00EB3F9C" w:rsidRPr="00873EBF">
        <w:rPr>
          <w:rFonts w:ascii="Cambria" w:hAnsi="Cambria"/>
          <w:sz w:val="20"/>
          <w:szCs w:val="20"/>
          <w:lang w:val="es-MX"/>
        </w:rPr>
        <w:t xml:space="preserve"> la masacre de Los Josefinos </w:t>
      </w:r>
      <w:r w:rsidR="00111C64" w:rsidRPr="00873EBF">
        <w:rPr>
          <w:rFonts w:ascii="Cambria" w:hAnsi="Cambria"/>
          <w:sz w:val="20"/>
          <w:szCs w:val="20"/>
          <w:lang w:val="es-MX"/>
        </w:rPr>
        <w:t>no fue un hecho aislado</w:t>
      </w:r>
      <w:r w:rsidR="001A6EA9" w:rsidRPr="00873EBF">
        <w:rPr>
          <w:rFonts w:ascii="Cambria" w:hAnsi="Cambria"/>
          <w:sz w:val="20"/>
          <w:szCs w:val="20"/>
          <w:lang w:val="es-MX"/>
        </w:rPr>
        <w:t xml:space="preserve"> sino que formaba parte de un contexto de violencia por parte del ejército guatemalteco</w:t>
      </w:r>
      <w:r w:rsidR="00FE7CAD" w:rsidRPr="00873EBF">
        <w:rPr>
          <w:rFonts w:ascii="Cambria" w:hAnsi="Cambria"/>
          <w:sz w:val="20"/>
          <w:szCs w:val="20"/>
          <w:lang w:val="es-MX"/>
        </w:rPr>
        <w:t xml:space="preserve"> contra el Departamento de</w:t>
      </w:r>
      <w:r w:rsidR="001A6EA9" w:rsidRPr="00873EBF">
        <w:rPr>
          <w:rFonts w:ascii="Cambria" w:hAnsi="Cambria"/>
          <w:sz w:val="20"/>
          <w:szCs w:val="20"/>
          <w:lang w:val="es-MX"/>
        </w:rPr>
        <w:t xml:space="preserve"> Petén</w:t>
      </w:r>
      <w:r w:rsidR="009C18B7" w:rsidRPr="00873EBF">
        <w:rPr>
          <w:rFonts w:ascii="Cambria" w:hAnsi="Cambria"/>
          <w:sz w:val="20"/>
          <w:szCs w:val="20"/>
          <w:lang w:val="es-MX"/>
        </w:rPr>
        <w:t>, en el que se ubica la aldea en referencia</w:t>
      </w:r>
      <w:r w:rsidR="001A6EA9" w:rsidRPr="00873EBF">
        <w:rPr>
          <w:rFonts w:ascii="Cambria" w:hAnsi="Cambria"/>
          <w:sz w:val="20"/>
          <w:szCs w:val="20"/>
          <w:lang w:val="es-MX"/>
        </w:rPr>
        <w:t xml:space="preserve">. Por ello, </w:t>
      </w:r>
      <w:r w:rsidR="00111C64" w:rsidRPr="00873EBF">
        <w:rPr>
          <w:rFonts w:ascii="Cambria" w:hAnsi="Cambria"/>
          <w:sz w:val="20"/>
          <w:szCs w:val="20"/>
          <w:lang w:val="es-MX"/>
        </w:rPr>
        <w:t xml:space="preserve">en su comunicación de </w:t>
      </w:r>
      <w:r w:rsidR="009430E9" w:rsidRPr="00873EBF">
        <w:rPr>
          <w:rFonts w:ascii="Cambria" w:hAnsi="Cambria"/>
          <w:sz w:val="20"/>
          <w:szCs w:val="20"/>
          <w:lang w:val="es-ES_tradnl"/>
        </w:rPr>
        <w:t xml:space="preserve">febrero de 2015, </w:t>
      </w:r>
      <w:r w:rsidR="001A6EA9" w:rsidRPr="00873EBF">
        <w:rPr>
          <w:rFonts w:ascii="Cambria" w:hAnsi="Cambria"/>
          <w:sz w:val="20"/>
          <w:szCs w:val="20"/>
          <w:lang w:val="es-ES_tradnl"/>
        </w:rPr>
        <w:t xml:space="preserve">indican que las </w:t>
      </w:r>
      <w:r w:rsidR="00111C64" w:rsidRPr="00873EBF">
        <w:rPr>
          <w:rFonts w:ascii="Cambria" w:hAnsi="Cambria"/>
          <w:sz w:val="20"/>
          <w:szCs w:val="20"/>
          <w:lang w:val="es-ES_tradnl"/>
        </w:rPr>
        <w:t xml:space="preserve">presuntas víctimas </w:t>
      </w:r>
      <w:r w:rsidR="001A6EA9" w:rsidRPr="00873EBF">
        <w:rPr>
          <w:rFonts w:ascii="Cambria" w:hAnsi="Cambria"/>
          <w:sz w:val="20"/>
          <w:szCs w:val="20"/>
          <w:lang w:val="es-ES_tradnl"/>
        </w:rPr>
        <w:t>del presente caso, se encuadrarían en las siguientes</w:t>
      </w:r>
      <w:r w:rsidR="009430E9" w:rsidRPr="00873EBF">
        <w:rPr>
          <w:rFonts w:ascii="Cambria" w:hAnsi="Cambria"/>
          <w:sz w:val="20"/>
          <w:szCs w:val="20"/>
          <w:lang w:val="es-ES_tradnl"/>
        </w:rPr>
        <w:t xml:space="preserve"> cuatro categorías: </w:t>
      </w:r>
      <w:r w:rsidR="00EB3F9C" w:rsidRPr="00873EBF">
        <w:rPr>
          <w:rFonts w:ascii="Cambria" w:eastAsia="MS Mincho" w:hAnsi="Cambria" w:cs="Arial"/>
          <w:sz w:val="20"/>
          <w:szCs w:val="20"/>
          <w:lang w:val="es-MX"/>
        </w:rPr>
        <w:t>a) presuntas víctimas de la masacre; b) presuntas víctimas de ataques previos a la masacre; c) presuntas víctimas de ataques posteriores, y d) presuntas víctimas del desplazamiento forzado y despojo de propiedad privada.</w:t>
      </w:r>
    </w:p>
    <w:p w:rsidR="00AE3821" w:rsidRPr="00873EBF" w:rsidRDefault="00AE3821" w:rsidP="00056039">
      <w:pPr>
        <w:pStyle w:val="ListParagraph"/>
        <w:rPr>
          <w:rFonts w:eastAsia="Times New Roman"/>
          <w:color w:val="auto"/>
          <w:sz w:val="20"/>
          <w:szCs w:val="20"/>
          <w:lang w:val="es-ES"/>
        </w:rPr>
      </w:pPr>
    </w:p>
    <w:p w:rsidR="0060068B" w:rsidRPr="00873EBF" w:rsidRDefault="00AE3821" w:rsidP="006006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eastAsia="Times New Roman" w:hAnsi="Cambria"/>
          <w:sz w:val="20"/>
          <w:szCs w:val="20"/>
          <w:lang w:val="es-AR"/>
        </w:rPr>
        <w:t xml:space="preserve">Por su parte, el Estado </w:t>
      </w:r>
      <w:r w:rsidR="00706883" w:rsidRPr="00873EBF">
        <w:rPr>
          <w:rFonts w:ascii="Cambria" w:eastAsia="Times New Roman" w:hAnsi="Cambria"/>
          <w:sz w:val="20"/>
          <w:szCs w:val="20"/>
          <w:lang w:val="es-AR"/>
        </w:rPr>
        <w:t>reconoce su responsabilidad en cuanto a los hechos ocurridos dura</w:t>
      </w:r>
      <w:r w:rsidR="00F02488" w:rsidRPr="00873EBF">
        <w:rPr>
          <w:rFonts w:ascii="Cambria" w:eastAsia="Times New Roman" w:hAnsi="Cambria"/>
          <w:sz w:val="20"/>
          <w:szCs w:val="20"/>
          <w:lang w:val="es-AR"/>
        </w:rPr>
        <w:t>nte la Masacre de Los Josefinos; y e</w:t>
      </w:r>
      <w:r w:rsidRPr="00873EBF">
        <w:rPr>
          <w:rFonts w:ascii="Cambria" w:eastAsia="Times New Roman" w:hAnsi="Cambria"/>
          <w:sz w:val="20"/>
          <w:szCs w:val="20"/>
          <w:lang w:val="es-AR"/>
        </w:rPr>
        <w:t xml:space="preserve">n relación con la </w:t>
      </w:r>
      <w:r w:rsidR="00F02488" w:rsidRPr="00873EBF">
        <w:rPr>
          <w:rFonts w:ascii="Cambria" w:eastAsia="Times New Roman" w:hAnsi="Cambria"/>
          <w:sz w:val="20"/>
          <w:szCs w:val="20"/>
          <w:lang w:val="es-AR"/>
        </w:rPr>
        <w:t xml:space="preserve">respectiva </w:t>
      </w:r>
      <w:r w:rsidRPr="00873EBF">
        <w:rPr>
          <w:rFonts w:ascii="Cambria" w:eastAsia="Times New Roman" w:hAnsi="Cambria"/>
          <w:sz w:val="20"/>
          <w:szCs w:val="20"/>
          <w:lang w:val="es-AR"/>
        </w:rPr>
        <w:t>investigación</w:t>
      </w:r>
      <w:r w:rsidR="00F02488" w:rsidRPr="00873EBF">
        <w:rPr>
          <w:rFonts w:ascii="Cambria" w:eastAsia="Times New Roman" w:hAnsi="Cambria"/>
          <w:sz w:val="20"/>
          <w:szCs w:val="20"/>
          <w:lang w:val="es-AR"/>
        </w:rPr>
        <w:t xml:space="preserve">, </w:t>
      </w:r>
      <w:r w:rsidRPr="00873EBF">
        <w:rPr>
          <w:rFonts w:ascii="Cambria" w:eastAsia="Times New Roman" w:hAnsi="Cambria"/>
          <w:sz w:val="20"/>
          <w:szCs w:val="20"/>
          <w:lang w:val="es-AR"/>
        </w:rPr>
        <w:t xml:space="preserve">manifiesta que </w:t>
      </w:r>
      <w:r w:rsidR="00BB794B" w:rsidRPr="00873EBF">
        <w:rPr>
          <w:rFonts w:ascii="Cambria" w:eastAsia="Times New Roman" w:hAnsi="Cambria"/>
          <w:sz w:val="20"/>
          <w:szCs w:val="20"/>
          <w:lang w:val="es-AR"/>
        </w:rPr>
        <w:t xml:space="preserve">es </w:t>
      </w:r>
      <w:r w:rsidR="008B06B9" w:rsidRPr="00873EBF">
        <w:rPr>
          <w:rFonts w:ascii="Cambria" w:eastAsia="Times New Roman" w:hAnsi="Cambria"/>
          <w:sz w:val="20"/>
          <w:szCs w:val="20"/>
          <w:lang w:val="es-AR"/>
        </w:rPr>
        <w:t xml:space="preserve">necesario esperar a que dicha investigación pueda concluirse </w:t>
      </w:r>
      <w:r w:rsidR="00BB794B" w:rsidRPr="00873EBF">
        <w:rPr>
          <w:rFonts w:ascii="Cambria" w:eastAsia="Times New Roman" w:hAnsi="Cambria"/>
          <w:sz w:val="20"/>
          <w:szCs w:val="20"/>
          <w:lang w:val="es-AR"/>
        </w:rPr>
        <w:t xml:space="preserve">y que ha </w:t>
      </w:r>
      <w:r w:rsidRPr="00873EBF">
        <w:rPr>
          <w:rFonts w:ascii="Cambria" w:hAnsi="Cambria"/>
          <w:sz w:val="20"/>
          <w:szCs w:val="20"/>
          <w:lang w:val="es-MX"/>
        </w:rPr>
        <w:t xml:space="preserve">realizado </w:t>
      </w:r>
      <w:r w:rsidR="00BB794B" w:rsidRPr="00873EBF">
        <w:rPr>
          <w:rFonts w:ascii="Cambria" w:hAnsi="Cambria"/>
          <w:sz w:val="20"/>
          <w:szCs w:val="20"/>
          <w:lang w:val="es-MX"/>
        </w:rPr>
        <w:t>“</w:t>
      </w:r>
      <w:r w:rsidRPr="00873EBF">
        <w:rPr>
          <w:rFonts w:ascii="Cambria" w:hAnsi="Cambria"/>
          <w:sz w:val="20"/>
          <w:szCs w:val="20"/>
          <w:lang w:val="es-MX"/>
        </w:rPr>
        <w:t xml:space="preserve">todas las diligencias en la medida de sus posibilidades para </w:t>
      </w:r>
      <w:r w:rsidRPr="00873EBF">
        <w:rPr>
          <w:rFonts w:ascii="Cambria" w:eastAsia="Times New Roman" w:hAnsi="Cambria"/>
          <w:sz w:val="20"/>
          <w:szCs w:val="20"/>
          <w:lang w:val="es-AR"/>
        </w:rPr>
        <w:t>llevar</w:t>
      </w:r>
      <w:r w:rsidR="00BB794B" w:rsidRPr="00873EBF">
        <w:rPr>
          <w:rFonts w:ascii="Cambria" w:eastAsia="Times New Roman" w:hAnsi="Cambria"/>
          <w:sz w:val="20"/>
          <w:szCs w:val="20"/>
          <w:lang w:val="es-AR"/>
        </w:rPr>
        <w:t>[la]</w:t>
      </w:r>
      <w:r w:rsidRPr="00873EBF">
        <w:rPr>
          <w:rFonts w:ascii="Cambria" w:eastAsia="Times New Roman" w:hAnsi="Cambria"/>
          <w:sz w:val="20"/>
          <w:szCs w:val="20"/>
          <w:lang w:val="es-AR"/>
        </w:rPr>
        <w:t xml:space="preserve"> a</w:t>
      </w:r>
      <w:r w:rsidRPr="00873EBF">
        <w:rPr>
          <w:rFonts w:ascii="Cambria" w:hAnsi="Cambria"/>
          <w:sz w:val="20"/>
          <w:szCs w:val="20"/>
          <w:lang w:val="es-MX"/>
        </w:rPr>
        <w:t xml:space="preserve"> cabo </w:t>
      </w:r>
      <w:r w:rsidR="00BB794B" w:rsidRPr="00873EBF">
        <w:rPr>
          <w:rFonts w:ascii="Cambria" w:eastAsia="Times New Roman" w:hAnsi="Cambria"/>
          <w:sz w:val="20"/>
          <w:szCs w:val="20"/>
          <w:lang w:val="es-AR"/>
        </w:rPr>
        <w:t xml:space="preserve">[…] </w:t>
      </w:r>
      <w:r w:rsidRPr="00873EBF">
        <w:rPr>
          <w:rFonts w:ascii="Cambria" w:hAnsi="Cambria"/>
          <w:sz w:val="20"/>
          <w:szCs w:val="20"/>
          <w:lang w:val="es-MX"/>
        </w:rPr>
        <w:t xml:space="preserve"> de forma eficaz”.</w:t>
      </w:r>
    </w:p>
    <w:p w:rsidR="0060068B" w:rsidRPr="00873EBF" w:rsidRDefault="0060068B" w:rsidP="0060068B">
      <w:pPr>
        <w:pStyle w:val="ListParagraph"/>
        <w:rPr>
          <w:sz w:val="20"/>
          <w:szCs w:val="20"/>
          <w:lang w:val="es-MX"/>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Sin prejuzgar sobre el fondo del asunto, t</w:t>
      </w:r>
      <w:proofErr w:type="spellStart"/>
      <w:r w:rsidRPr="00873EBF">
        <w:rPr>
          <w:rFonts w:ascii="Cambria" w:hAnsi="Cambria"/>
          <w:sz w:val="20"/>
          <w:szCs w:val="20"/>
          <w:lang w:val="es-ES_tradnl"/>
        </w:rPr>
        <w:t>ras</w:t>
      </w:r>
      <w:proofErr w:type="spellEnd"/>
      <w:r w:rsidRPr="00873EBF">
        <w:rPr>
          <w:rFonts w:ascii="Cambria" w:hAnsi="Cambria"/>
          <w:sz w:val="20"/>
          <w:szCs w:val="20"/>
          <w:lang w:val="es-ES_tradnl"/>
        </w:rPr>
        <w:t xml:space="preserve"> analizar las posiciones de las partes y el cumplimiento con los requisitos previstos en los artículos 46 y 47 de la Convención Americana, la CIDH decidió declarar el caso admisible a efectos del examen de los reclamos presentados por </w:t>
      </w:r>
      <w:r w:rsidR="00E8320E" w:rsidRPr="00873EBF">
        <w:rPr>
          <w:rFonts w:ascii="Cambria" w:hAnsi="Cambria"/>
          <w:sz w:val="20"/>
          <w:szCs w:val="20"/>
          <w:lang w:val="es-ES_tradnl"/>
        </w:rPr>
        <w:t xml:space="preserve">los peticionarios </w:t>
      </w:r>
      <w:r w:rsidRPr="00873EBF">
        <w:rPr>
          <w:rFonts w:ascii="Cambria" w:hAnsi="Cambria"/>
          <w:sz w:val="20"/>
          <w:szCs w:val="20"/>
          <w:lang w:val="es-ES_tradnl"/>
        </w:rPr>
        <w:t xml:space="preserve">sobre la presunta violación de los </w:t>
      </w:r>
      <w:r w:rsidRPr="00873EBF">
        <w:rPr>
          <w:rFonts w:ascii="Cambria" w:hAnsi="Cambria"/>
          <w:sz w:val="20"/>
          <w:szCs w:val="20"/>
          <w:lang w:val="es-ES"/>
        </w:rPr>
        <w:t xml:space="preserve">artículos 4 (derecho a la vida), 5 (derecho a la integridad personal), 8 (garantías judiciales), 17 (protección a la familia), 19 (derechos del niño), 21 (derecho a la propiedad) y 25 (protección judicial) </w:t>
      </w:r>
      <w:r w:rsidRPr="00873EBF">
        <w:rPr>
          <w:rFonts w:ascii="Cambria" w:hAnsi="Cambria"/>
          <w:sz w:val="20"/>
          <w:szCs w:val="20"/>
          <w:lang w:val="es-ES_tradnl"/>
        </w:rPr>
        <w:t xml:space="preserve">en concordancia con el artículo 1.1 de la Convención Americana. </w:t>
      </w:r>
      <w:r w:rsidR="002F2B6C" w:rsidRPr="00873EBF">
        <w:rPr>
          <w:rFonts w:ascii="Cambria" w:hAnsi="Cambria"/>
          <w:sz w:val="20"/>
          <w:szCs w:val="20"/>
          <w:lang w:val="es-ES"/>
        </w:rPr>
        <w:t xml:space="preserve">Además, </w:t>
      </w:r>
      <w:r w:rsidR="002F2B6C" w:rsidRPr="00873EBF">
        <w:rPr>
          <w:rFonts w:ascii="Cambria" w:hAnsi="Cambria"/>
          <w:color w:val="000000"/>
          <w:sz w:val="20"/>
          <w:szCs w:val="20"/>
          <w:lang w:val="es-ES"/>
        </w:rPr>
        <w:t xml:space="preserve">la Comisión concluye que la petición es admisible </w:t>
      </w:r>
      <w:r w:rsidR="00F024C5" w:rsidRPr="00873EBF">
        <w:rPr>
          <w:rFonts w:ascii="Cambria" w:hAnsi="Cambria"/>
          <w:color w:val="000000"/>
          <w:sz w:val="20"/>
          <w:szCs w:val="20"/>
          <w:lang w:val="es-ES"/>
        </w:rPr>
        <w:t xml:space="preserve">a efectos de analizar la aplicabilidad de </w:t>
      </w:r>
      <w:r w:rsidR="006D38C8" w:rsidRPr="00873EBF">
        <w:rPr>
          <w:rFonts w:ascii="Cambria" w:hAnsi="Cambria"/>
          <w:sz w:val="20"/>
          <w:szCs w:val="20"/>
          <w:lang w:val="es-ES"/>
        </w:rPr>
        <w:t xml:space="preserve">los </w:t>
      </w:r>
      <w:r w:rsidR="006D38C8" w:rsidRPr="00873EBF">
        <w:rPr>
          <w:rFonts w:ascii="Cambria" w:hAnsi="Cambria" w:cs="Univers"/>
          <w:sz w:val="20"/>
          <w:szCs w:val="20"/>
          <w:bdr w:val="none" w:sz="0" w:space="0" w:color="auto"/>
          <w:lang w:val="es-MX"/>
        </w:rPr>
        <w:t>artículos 3, 4, 5</w:t>
      </w:r>
      <w:r w:rsidR="00F024C5" w:rsidRPr="00873EBF">
        <w:rPr>
          <w:rFonts w:ascii="Cambria" w:hAnsi="Cambria" w:cs="Univers"/>
          <w:sz w:val="20"/>
          <w:szCs w:val="20"/>
          <w:bdr w:val="none" w:sz="0" w:space="0" w:color="auto"/>
          <w:lang w:val="es-MX"/>
        </w:rPr>
        <w:t>,</w:t>
      </w:r>
      <w:r w:rsidR="006D38C8" w:rsidRPr="00873EBF">
        <w:rPr>
          <w:rFonts w:ascii="Cambria" w:hAnsi="Cambria" w:cs="Univers"/>
          <w:sz w:val="20"/>
          <w:szCs w:val="20"/>
          <w:bdr w:val="none" w:sz="0" w:space="0" w:color="auto"/>
          <w:lang w:val="es-MX"/>
        </w:rPr>
        <w:t xml:space="preserve"> 7</w:t>
      </w:r>
      <w:r w:rsidR="00F024C5" w:rsidRPr="00873EBF">
        <w:rPr>
          <w:rFonts w:ascii="Cambria" w:hAnsi="Cambria" w:cs="Univers"/>
          <w:sz w:val="20"/>
          <w:szCs w:val="20"/>
          <w:bdr w:val="none" w:sz="0" w:space="0" w:color="auto"/>
          <w:lang w:val="es-MX"/>
        </w:rPr>
        <w:t>, 8 y 25</w:t>
      </w:r>
      <w:r w:rsidR="006D38C8" w:rsidRPr="00873EBF">
        <w:rPr>
          <w:rFonts w:ascii="Cambria" w:hAnsi="Cambria" w:cs="Univers"/>
          <w:sz w:val="20"/>
          <w:szCs w:val="20"/>
          <w:bdr w:val="none" w:sz="0" w:space="0" w:color="auto"/>
          <w:lang w:val="es-MX"/>
        </w:rPr>
        <w:t xml:space="preserve"> de la Convención Americana, en relación con el artículo 1.1 del mismo tratado, y el artículo I de la Convención Interamericana sobre Desaparición Forzada de Personas</w:t>
      </w:r>
      <w:r w:rsidR="009F4AFE" w:rsidRPr="00873EBF">
        <w:rPr>
          <w:rFonts w:ascii="Cambria" w:hAnsi="Cambria"/>
          <w:spacing w:val="-2"/>
          <w:sz w:val="20"/>
          <w:szCs w:val="20"/>
          <w:lang w:val="es-ES"/>
        </w:rPr>
        <w:t xml:space="preserve">. </w:t>
      </w:r>
      <w:r w:rsidRPr="00873EBF">
        <w:rPr>
          <w:rFonts w:ascii="Cambria" w:hAnsi="Cambria"/>
          <w:sz w:val="20"/>
          <w:szCs w:val="20"/>
          <w:lang w:val="es-ES"/>
        </w:rPr>
        <w:t xml:space="preserve">Finalmente, decidió notificar el informe a las partes y ordenar su publicación en su informe anual a la Asamblea General de la OEA. </w:t>
      </w:r>
    </w:p>
    <w:p w:rsidR="005B6D5B" w:rsidRPr="00873EBF" w:rsidRDefault="005B6D5B" w:rsidP="005B6D5B">
      <w:pPr>
        <w:rPr>
          <w:sz w:val="20"/>
          <w:szCs w:val="20"/>
          <w:lang w:val="es-ES"/>
        </w:rPr>
      </w:pPr>
    </w:p>
    <w:p w:rsidR="005B6D5B" w:rsidRPr="00873EBF" w:rsidRDefault="005B6D5B" w:rsidP="005B6D5B">
      <w:pPr>
        <w:pStyle w:val="Heading1"/>
        <w:keepNext w:val="0"/>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sz w:val="20"/>
          <w:szCs w:val="20"/>
          <w:lang w:val="es-ES"/>
        </w:rPr>
      </w:pPr>
      <w:r w:rsidRPr="00873EBF">
        <w:rPr>
          <w:color w:val="auto"/>
          <w:sz w:val="20"/>
          <w:szCs w:val="20"/>
          <w:lang w:val="es-ES"/>
        </w:rPr>
        <w:lastRenderedPageBreak/>
        <w:t>TRÁMITE ANTE LA COMISIÓN</w:t>
      </w:r>
    </w:p>
    <w:p w:rsidR="005B6D5B" w:rsidRPr="00873EBF" w:rsidRDefault="005B6D5B" w:rsidP="005B6D5B">
      <w:pPr>
        <w:rPr>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La petición 1139-04 fue recibida el 27 de octubre de 2004. El 20 de diciembre de 2004 se le trasladó al Estado, otorgándole un plazo de dos meses para presentar observaciones. La respuesta del Estado fue recibida el 18 de marzo de 2005, y transmitida a</w:t>
      </w:r>
      <w:r w:rsidR="0098385B" w:rsidRPr="00873EBF">
        <w:rPr>
          <w:rFonts w:ascii="Cambria" w:hAnsi="Cambria"/>
          <w:sz w:val="20"/>
          <w:szCs w:val="20"/>
          <w:lang w:val="es-ES"/>
        </w:rPr>
        <w:t xml:space="preserve"> los </w:t>
      </w:r>
      <w:r w:rsidRPr="00873EBF">
        <w:rPr>
          <w:rFonts w:ascii="Cambria" w:hAnsi="Cambria"/>
          <w:sz w:val="20"/>
          <w:szCs w:val="20"/>
          <w:lang w:val="es-ES"/>
        </w:rPr>
        <w:t>peticionario</w:t>
      </w:r>
      <w:r w:rsidR="0098385B" w:rsidRPr="00873EBF">
        <w:rPr>
          <w:rFonts w:ascii="Cambria" w:hAnsi="Cambria"/>
          <w:sz w:val="20"/>
          <w:szCs w:val="20"/>
          <w:lang w:val="es-ES"/>
        </w:rPr>
        <w:t>s</w:t>
      </w:r>
      <w:r w:rsidRPr="00873EBF">
        <w:rPr>
          <w:rFonts w:ascii="Cambria" w:hAnsi="Cambria"/>
          <w:sz w:val="20"/>
          <w:szCs w:val="20"/>
          <w:lang w:val="es-ES"/>
        </w:rPr>
        <w:t xml:space="preserve"> el 24 de marzo de 2005. Además, se recibió información de</w:t>
      </w:r>
      <w:r w:rsidR="0098385B" w:rsidRPr="00873EBF">
        <w:rPr>
          <w:rFonts w:ascii="Cambria" w:hAnsi="Cambria"/>
          <w:sz w:val="20"/>
          <w:szCs w:val="20"/>
          <w:lang w:val="es-ES"/>
        </w:rPr>
        <w:t xml:space="preserve"> </w:t>
      </w:r>
      <w:r w:rsidRPr="00873EBF">
        <w:rPr>
          <w:rFonts w:ascii="Cambria" w:hAnsi="Cambria"/>
          <w:sz w:val="20"/>
          <w:szCs w:val="20"/>
          <w:lang w:val="es-ES"/>
        </w:rPr>
        <w:t>l</w:t>
      </w:r>
      <w:r w:rsidR="0098385B" w:rsidRPr="00873EBF">
        <w:rPr>
          <w:rFonts w:ascii="Cambria" w:hAnsi="Cambria"/>
          <w:sz w:val="20"/>
          <w:szCs w:val="20"/>
          <w:lang w:val="es-ES"/>
        </w:rPr>
        <w:t>os</w:t>
      </w:r>
      <w:r w:rsidRPr="00873EBF">
        <w:rPr>
          <w:rFonts w:ascii="Cambria" w:hAnsi="Cambria"/>
          <w:sz w:val="20"/>
          <w:szCs w:val="20"/>
          <w:lang w:val="es-ES"/>
        </w:rPr>
        <w:t xml:space="preserve"> peticionario</w:t>
      </w:r>
      <w:r w:rsidR="0098385B" w:rsidRPr="00873EBF">
        <w:rPr>
          <w:rFonts w:ascii="Cambria" w:hAnsi="Cambria"/>
          <w:sz w:val="20"/>
          <w:szCs w:val="20"/>
          <w:lang w:val="es-ES"/>
        </w:rPr>
        <w:t>s</w:t>
      </w:r>
      <w:r w:rsidRPr="00873EBF">
        <w:rPr>
          <w:rFonts w:ascii="Cambria" w:hAnsi="Cambria"/>
          <w:sz w:val="20"/>
          <w:szCs w:val="20"/>
          <w:lang w:val="es-ES"/>
        </w:rPr>
        <w:t xml:space="preserve"> el 18 de abril de 2005, </w:t>
      </w:r>
      <w:r w:rsidR="00DB0FA8" w:rsidRPr="00873EBF">
        <w:rPr>
          <w:rFonts w:ascii="Cambria" w:hAnsi="Cambria"/>
          <w:sz w:val="20"/>
          <w:szCs w:val="20"/>
          <w:lang w:val="es-ES"/>
        </w:rPr>
        <w:t>que fue debidamente trasladada</w:t>
      </w:r>
      <w:r w:rsidRPr="00873EBF">
        <w:rPr>
          <w:rFonts w:ascii="Cambria" w:hAnsi="Cambria"/>
          <w:sz w:val="20"/>
          <w:szCs w:val="20"/>
          <w:lang w:val="es-ES"/>
        </w:rPr>
        <w:t xml:space="preserve"> al Estado.  </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5B6D5B" w:rsidRPr="00873EBF" w:rsidRDefault="00E8320E"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Mediante comunicación de 14</w:t>
      </w:r>
      <w:r w:rsidR="00AE3821" w:rsidRPr="00873EBF">
        <w:rPr>
          <w:rFonts w:ascii="Cambria" w:hAnsi="Cambria"/>
          <w:sz w:val="20"/>
          <w:szCs w:val="20"/>
          <w:lang w:val="es-MX"/>
        </w:rPr>
        <w:t xml:space="preserve"> de junio de 2004, el Estado manifestó su intención de iniciar un proceso d</w:t>
      </w:r>
      <w:r w:rsidR="0098385B" w:rsidRPr="00873EBF">
        <w:rPr>
          <w:rFonts w:ascii="Cambria" w:hAnsi="Cambria"/>
          <w:sz w:val="20"/>
          <w:szCs w:val="20"/>
          <w:lang w:val="es-MX"/>
        </w:rPr>
        <w:t>e solución amistosa. El</w:t>
      </w:r>
      <w:r w:rsidR="00AE3821" w:rsidRPr="00873EBF">
        <w:rPr>
          <w:rFonts w:ascii="Cambria" w:hAnsi="Cambria"/>
          <w:sz w:val="20"/>
          <w:szCs w:val="20"/>
          <w:lang w:val="es-MX"/>
        </w:rPr>
        <w:t xml:space="preserve"> 18 de agosto de 2005, la CIDH se puso a disposición de las partes con miras </w:t>
      </w:r>
      <w:r w:rsidR="008A7796" w:rsidRPr="00873EBF">
        <w:rPr>
          <w:rFonts w:ascii="Cambria" w:hAnsi="Cambria"/>
          <w:sz w:val="20"/>
          <w:szCs w:val="20"/>
          <w:lang w:val="es-MX"/>
        </w:rPr>
        <w:t xml:space="preserve">de facilitar un proceso de </w:t>
      </w:r>
      <w:r w:rsidR="00AE3821" w:rsidRPr="00873EBF">
        <w:rPr>
          <w:rFonts w:ascii="Cambria" w:hAnsi="Cambria"/>
          <w:sz w:val="20"/>
          <w:szCs w:val="20"/>
          <w:lang w:val="es-MX"/>
        </w:rPr>
        <w:t xml:space="preserve">solución amistosa en el presente caso. En el marco de este proceso, se realizaron </w:t>
      </w:r>
      <w:r w:rsidR="00DB0FA8" w:rsidRPr="00873EBF">
        <w:rPr>
          <w:rFonts w:ascii="Cambria" w:hAnsi="Cambria"/>
          <w:sz w:val="20"/>
          <w:szCs w:val="20"/>
          <w:lang w:val="es-MX"/>
        </w:rPr>
        <w:t xml:space="preserve">diversas </w:t>
      </w:r>
      <w:r w:rsidR="00AE3821" w:rsidRPr="00873EBF">
        <w:rPr>
          <w:rFonts w:ascii="Cambria" w:hAnsi="Cambria"/>
          <w:sz w:val="20"/>
          <w:szCs w:val="20"/>
          <w:lang w:val="es-MX"/>
        </w:rPr>
        <w:t>reuniones de trabajo</w:t>
      </w:r>
      <w:r w:rsidR="00DB0FA8" w:rsidRPr="00873EBF">
        <w:rPr>
          <w:rStyle w:val="FootnoteReference"/>
          <w:rFonts w:ascii="Cambria" w:hAnsi="Cambria"/>
          <w:sz w:val="20"/>
          <w:szCs w:val="20"/>
          <w:lang w:val="es-MX"/>
        </w:rPr>
        <w:footnoteReference w:id="3"/>
      </w:r>
      <w:r w:rsidR="00DB0FA8" w:rsidRPr="00873EBF">
        <w:rPr>
          <w:rFonts w:ascii="Cambria" w:hAnsi="Cambria"/>
          <w:sz w:val="20"/>
          <w:szCs w:val="20"/>
          <w:lang w:val="es-MX"/>
        </w:rPr>
        <w:t xml:space="preserve">. </w:t>
      </w:r>
      <w:r w:rsidR="00AE3821" w:rsidRPr="00873EBF">
        <w:rPr>
          <w:rFonts w:ascii="Cambria" w:hAnsi="Cambria"/>
          <w:sz w:val="20"/>
          <w:szCs w:val="20"/>
          <w:lang w:val="es-MX"/>
        </w:rPr>
        <w:t>Mediante comunicación de 24 de octubre de 2012, los peticionarios solicitaron a la Comisión finalizar el proceso de solución amistosa, y que continúe con el trámite del caso. Con posterioridad a la finalización del proceso de solución amistosa, la CIDH recibió información del Estado e</w:t>
      </w:r>
      <w:r w:rsidR="00BB794B" w:rsidRPr="00873EBF">
        <w:rPr>
          <w:rFonts w:ascii="Cambria" w:hAnsi="Cambria"/>
          <w:sz w:val="20"/>
          <w:szCs w:val="20"/>
          <w:lang w:val="es-MX"/>
        </w:rPr>
        <w:t xml:space="preserve">n comunicaciones de fechas </w:t>
      </w:r>
      <w:r w:rsidR="00AE3821" w:rsidRPr="00873EBF">
        <w:rPr>
          <w:rFonts w:ascii="Cambria" w:hAnsi="Cambria"/>
          <w:sz w:val="20"/>
          <w:szCs w:val="20"/>
          <w:lang w:val="es-MX"/>
        </w:rPr>
        <w:t xml:space="preserve">30 de enero de 2013, </w:t>
      </w:r>
      <w:r w:rsidR="00E36DDA" w:rsidRPr="00873EBF">
        <w:rPr>
          <w:rFonts w:ascii="Cambria" w:hAnsi="Cambria"/>
          <w:sz w:val="20"/>
          <w:szCs w:val="20"/>
          <w:lang w:val="es-ES"/>
        </w:rPr>
        <w:t>14 y 21 de junio de 2014,</w:t>
      </w:r>
      <w:r w:rsidR="00AE3821" w:rsidRPr="00873EBF">
        <w:rPr>
          <w:rFonts w:ascii="Cambria" w:hAnsi="Cambria"/>
          <w:sz w:val="20"/>
          <w:szCs w:val="20"/>
          <w:lang w:val="es-ES"/>
        </w:rPr>
        <w:t xml:space="preserve"> 3 de octubre de 2014</w:t>
      </w:r>
      <w:r w:rsidR="00E36DDA" w:rsidRPr="00873EBF">
        <w:rPr>
          <w:rFonts w:ascii="Cambria" w:hAnsi="Cambria"/>
          <w:sz w:val="20"/>
          <w:szCs w:val="20"/>
          <w:lang w:val="es-ES"/>
        </w:rPr>
        <w:t xml:space="preserve"> y 16 de marzo de 2015</w:t>
      </w:r>
      <w:r w:rsidR="00AE3821" w:rsidRPr="00873EBF">
        <w:rPr>
          <w:rFonts w:ascii="Cambria" w:hAnsi="Cambria"/>
          <w:sz w:val="20"/>
          <w:szCs w:val="20"/>
          <w:lang w:val="es-ES"/>
        </w:rPr>
        <w:t>, la</w:t>
      </w:r>
      <w:r w:rsidR="00692EA8" w:rsidRPr="00873EBF">
        <w:rPr>
          <w:rFonts w:ascii="Cambria" w:hAnsi="Cambria"/>
          <w:sz w:val="20"/>
          <w:szCs w:val="20"/>
          <w:lang w:val="es-ES"/>
        </w:rPr>
        <w:t>s</w:t>
      </w:r>
      <w:r w:rsidR="00AE3821" w:rsidRPr="00873EBF">
        <w:rPr>
          <w:rFonts w:ascii="Cambria" w:hAnsi="Cambria"/>
          <w:sz w:val="20"/>
          <w:szCs w:val="20"/>
          <w:lang w:val="es-ES"/>
        </w:rPr>
        <w:t xml:space="preserve"> cual</w:t>
      </w:r>
      <w:r w:rsidR="00692EA8" w:rsidRPr="00873EBF">
        <w:rPr>
          <w:rFonts w:ascii="Cambria" w:hAnsi="Cambria"/>
          <w:sz w:val="20"/>
          <w:szCs w:val="20"/>
          <w:lang w:val="es-ES"/>
        </w:rPr>
        <w:t>es</w:t>
      </w:r>
      <w:r w:rsidR="00AE3821" w:rsidRPr="00873EBF">
        <w:rPr>
          <w:rFonts w:ascii="Cambria" w:hAnsi="Cambria"/>
          <w:sz w:val="20"/>
          <w:szCs w:val="20"/>
          <w:lang w:val="es-ES"/>
        </w:rPr>
        <w:t xml:space="preserve"> fue</w:t>
      </w:r>
      <w:r w:rsidR="00692EA8" w:rsidRPr="00873EBF">
        <w:rPr>
          <w:rFonts w:ascii="Cambria" w:hAnsi="Cambria"/>
          <w:sz w:val="20"/>
          <w:szCs w:val="20"/>
          <w:lang w:val="es-ES"/>
        </w:rPr>
        <w:t>ron</w:t>
      </w:r>
      <w:r w:rsidR="00AE3821" w:rsidRPr="00873EBF">
        <w:rPr>
          <w:rFonts w:ascii="Cambria" w:hAnsi="Cambria"/>
          <w:sz w:val="20"/>
          <w:szCs w:val="20"/>
          <w:lang w:val="es-ES"/>
        </w:rPr>
        <w:t xml:space="preserve"> debidamente trasladada</w:t>
      </w:r>
      <w:r w:rsidR="00692EA8" w:rsidRPr="00873EBF">
        <w:rPr>
          <w:rFonts w:ascii="Cambria" w:hAnsi="Cambria"/>
          <w:sz w:val="20"/>
          <w:szCs w:val="20"/>
          <w:lang w:val="es-ES"/>
        </w:rPr>
        <w:t>s</w:t>
      </w:r>
      <w:r w:rsidR="00AE3821" w:rsidRPr="00873EBF">
        <w:rPr>
          <w:rFonts w:ascii="Cambria" w:hAnsi="Cambria"/>
          <w:sz w:val="20"/>
          <w:szCs w:val="20"/>
          <w:lang w:val="es-ES"/>
        </w:rPr>
        <w:t xml:space="preserve"> a</w:t>
      </w:r>
      <w:r w:rsidR="00E24154" w:rsidRPr="00873EBF">
        <w:rPr>
          <w:rFonts w:ascii="Cambria" w:hAnsi="Cambria"/>
          <w:sz w:val="20"/>
          <w:szCs w:val="20"/>
          <w:lang w:val="es-ES"/>
        </w:rPr>
        <w:t xml:space="preserve"> los peticionarios. </w:t>
      </w:r>
      <w:r w:rsidR="00692EA8" w:rsidRPr="00873EBF">
        <w:rPr>
          <w:rFonts w:ascii="Cambria" w:hAnsi="Cambria"/>
          <w:sz w:val="20"/>
          <w:szCs w:val="20"/>
          <w:lang w:val="es-ES"/>
        </w:rPr>
        <w:t>L</w:t>
      </w:r>
      <w:r w:rsidR="00DB0FA8" w:rsidRPr="00873EBF">
        <w:rPr>
          <w:rFonts w:ascii="Cambria" w:hAnsi="Cambria"/>
          <w:sz w:val="20"/>
          <w:szCs w:val="20"/>
          <w:lang w:val="es-MX"/>
        </w:rPr>
        <w:t xml:space="preserve">os peticionarios remitieron comunicaciones </w:t>
      </w:r>
      <w:r w:rsidR="00692EA8" w:rsidRPr="00873EBF">
        <w:rPr>
          <w:rFonts w:ascii="Cambria" w:hAnsi="Cambria"/>
          <w:sz w:val="20"/>
          <w:szCs w:val="20"/>
          <w:lang w:val="es-MX"/>
        </w:rPr>
        <w:t>el</w:t>
      </w:r>
      <w:r w:rsidR="00AE3821" w:rsidRPr="00873EBF">
        <w:rPr>
          <w:rFonts w:ascii="Cambria" w:hAnsi="Cambria"/>
          <w:sz w:val="20"/>
          <w:szCs w:val="20"/>
          <w:lang w:val="es-MX"/>
        </w:rPr>
        <w:t xml:space="preserve"> </w:t>
      </w:r>
      <w:r w:rsidR="00E24154" w:rsidRPr="00873EBF">
        <w:rPr>
          <w:rFonts w:ascii="Cambria" w:hAnsi="Cambria"/>
          <w:sz w:val="20"/>
          <w:szCs w:val="20"/>
          <w:lang w:val="es-MX"/>
        </w:rPr>
        <w:t>5 de septiembre de 2013</w:t>
      </w:r>
      <w:r w:rsidR="00DB0FA8" w:rsidRPr="00873EBF">
        <w:rPr>
          <w:rFonts w:ascii="Cambria" w:hAnsi="Cambria"/>
          <w:sz w:val="20"/>
          <w:szCs w:val="20"/>
          <w:lang w:val="es-MX"/>
        </w:rPr>
        <w:t xml:space="preserve"> y </w:t>
      </w:r>
      <w:r w:rsidR="00692EA8" w:rsidRPr="00873EBF">
        <w:rPr>
          <w:rFonts w:ascii="Cambria" w:hAnsi="Cambria"/>
          <w:sz w:val="20"/>
          <w:szCs w:val="20"/>
          <w:lang w:val="es-MX"/>
        </w:rPr>
        <w:t xml:space="preserve">el </w:t>
      </w:r>
      <w:r w:rsidR="00F02488" w:rsidRPr="00873EBF">
        <w:rPr>
          <w:rFonts w:ascii="Cambria" w:hAnsi="Cambria"/>
          <w:sz w:val="20"/>
          <w:szCs w:val="20"/>
          <w:lang w:val="es-MX"/>
        </w:rPr>
        <w:t>12 de febrero de 2015,</w:t>
      </w:r>
      <w:r w:rsidR="00DB0FA8" w:rsidRPr="00873EBF">
        <w:rPr>
          <w:rFonts w:ascii="Cambria" w:hAnsi="Cambria"/>
          <w:sz w:val="20"/>
          <w:szCs w:val="20"/>
          <w:lang w:val="es-MX"/>
        </w:rPr>
        <w:t xml:space="preserve"> que fueron </w:t>
      </w:r>
      <w:r w:rsidR="00AE3821" w:rsidRPr="00873EBF">
        <w:rPr>
          <w:rFonts w:ascii="Cambria" w:hAnsi="Cambria"/>
          <w:sz w:val="20"/>
          <w:szCs w:val="20"/>
          <w:lang w:val="es-MX"/>
        </w:rPr>
        <w:t>debidamente trasladada</w:t>
      </w:r>
      <w:r w:rsidR="0098385B" w:rsidRPr="00873EBF">
        <w:rPr>
          <w:rFonts w:ascii="Cambria" w:hAnsi="Cambria"/>
          <w:sz w:val="20"/>
          <w:szCs w:val="20"/>
          <w:lang w:val="es-MX"/>
        </w:rPr>
        <w:t>s a</w:t>
      </w:r>
      <w:r w:rsidR="00AE3821" w:rsidRPr="00873EBF">
        <w:rPr>
          <w:rFonts w:ascii="Cambria" w:hAnsi="Cambria"/>
          <w:sz w:val="20"/>
          <w:szCs w:val="20"/>
          <w:lang w:val="es-MX"/>
        </w:rPr>
        <w:t xml:space="preserve">l Estado. </w:t>
      </w:r>
    </w:p>
    <w:p w:rsidR="005B6D5B" w:rsidRPr="00873EBF" w:rsidRDefault="005B6D5B" w:rsidP="005B6D5B">
      <w:pPr>
        <w:rPr>
          <w:sz w:val="20"/>
          <w:szCs w:val="20"/>
          <w:lang w:val="es-MX"/>
        </w:rPr>
      </w:pPr>
    </w:p>
    <w:p w:rsidR="005B6D5B" w:rsidRPr="00873EBF" w:rsidRDefault="005B6D5B" w:rsidP="005B6D5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color w:val="auto"/>
          <w:sz w:val="20"/>
          <w:szCs w:val="20"/>
          <w:lang w:val="es-MX"/>
        </w:rPr>
      </w:pPr>
      <w:r w:rsidRPr="00873EBF">
        <w:rPr>
          <w:b/>
          <w:color w:val="auto"/>
          <w:sz w:val="20"/>
          <w:szCs w:val="20"/>
          <w:lang w:val="es-MX"/>
        </w:rPr>
        <w:t>POSICIÓN DE LAS PARTES</w:t>
      </w:r>
    </w:p>
    <w:p w:rsidR="005B6D5B" w:rsidRPr="00873EBF" w:rsidRDefault="005B6D5B" w:rsidP="005B6D5B">
      <w:pPr>
        <w:ind w:left="1440"/>
        <w:jc w:val="both"/>
        <w:rPr>
          <w:rFonts w:ascii="Cambria" w:hAnsi="Cambria"/>
          <w:b/>
          <w:sz w:val="20"/>
          <w:szCs w:val="20"/>
          <w:lang w:val="es-MX"/>
        </w:rPr>
      </w:pPr>
    </w:p>
    <w:p w:rsidR="005B6D5B" w:rsidRPr="00873EBF" w:rsidRDefault="005B6D5B" w:rsidP="005B6D5B">
      <w:pPr>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s>
        <w:ind w:left="1440" w:hanging="720"/>
        <w:jc w:val="both"/>
        <w:rPr>
          <w:rFonts w:ascii="Cambria" w:hAnsi="Cambria"/>
          <w:b/>
          <w:sz w:val="20"/>
          <w:szCs w:val="20"/>
          <w:lang w:val="es-MX"/>
        </w:rPr>
      </w:pPr>
      <w:r w:rsidRPr="00873EBF">
        <w:rPr>
          <w:rFonts w:ascii="Cambria" w:hAnsi="Cambria"/>
          <w:b/>
          <w:sz w:val="20"/>
          <w:szCs w:val="20"/>
          <w:lang w:val="es-MX"/>
        </w:rPr>
        <w:t>Los peticionarios</w:t>
      </w:r>
    </w:p>
    <w:p w:rsidR="005B6D5B" w:rsidRPr="00873EBF" w:rsidRDefault="005B6D5B" w:rsidP="005B6D5B">
      <w:pPr>
        <w:rPr>
          <w:sz w:val="20"/>
          <w:szCs w:val="20"/>
          <w:lang w:val="es-MX"/>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Lo</w:t>
      </w:r>
      <w:r w:rsidR="00D2030A" w:rsidRPr="00873EBF">
        <w:rPr>
          <w:rFonts w:ascii="Cambria" w:hAnsi="Cambria"/>
          <w:sz w:val="20"/>
          <w:szCs w:val="20"/>
          <w:lang w:val="es-MX"/>
        </w:rPr>
        <w:t>s peticionarios señalan que el 2</w:t>
      </w:r>
      <w:r w:rsidRPr="00873EBF">
        <w:rPr>
          <w:rFonts w:ascii="Cambria" w:hAnsi="Cambria"/>
          <w:sz w:val="20"/>
          <w:szCs w:val="20"/>
          <w:lang w:val="es-MX"/>
        </w:rPr>
        <w:t xml:space="preserve">9 y 30 de abril de 1982, </w:t>
      </w:r>
      <w:r w:rsidR="00263917" w:rsidRPr="00873EBF">
        <w:rPr>
          <w:rFonts w:ascii="Cambria" w:hAnsi="Cambria"/>
          <w:sz w:val="20"/>
          <w:szCs w:val="20"/>
          <w:lang w:val="es-MX"/>
        </w:rPr>
        <w:t xml:space="preserve">ocurrió </w:t>
      </w:r>
      <w:r w:rsidRPr="00873EBF">
        <w:rPr>
          <w:rFonts w:ascii="Cambria" w:hAnsi="Cambria"/>
          <w:sz w:val="20"/>
          <w:szCs w:val="20"/>
          <w:lang w:val="es-MX"/>
        </w:rPr>
        <w:t>una masacre en la aldea Los Josefinos</w:t>
      </w:r>
      <w:r w:rsidR="00F74B0F" w:rsidRPr="00873EBF">
        <w:rPr>
          <w:rFonts w:ascii="Cambria" w:hAnsi="Cambria"/>
          <w:sz w:val="20"/>
          <w:szCs w:val="20"/>
          <w:lang w:val="es-MX"/>
        </w:rPr>
        <w:t>,</w:t>
      </w:r>
      <w:r w:rsidRPr="00873EBF">
        <w:rPr>
          <w:rFonts w:ascii="Cambria" w:hAnsi="Cambria"/>
          <w:sz w:val="20"/>
          <w:szCs w:val="20"/>
          <w:lang w:val="es-MX"/>
        </w:rPr>
        <w:t xml:space="preserve"> ubicada en el municipio La Libertad, </w:t>
      </w:r>
      <w:r w:rsidR="00F74B0F" w:rsidRPr="00873EBF">
        <w:rPr>
          <w:rFonts w:ascii="Cambria" w:hAnsi="Cambria"/>
          <w:sz w:val="20"/>
          <w:szCs w:val="20"/>
          <w:lang w:val="es-MX"/>
        </w:rPr>
        <w:t>departamento de Petén</w:t>
      </w:r>
      <w:r w:rsidR="00BA65CB" w:rsidRPr="00873EBF">
        <w:rPr>
          <w:rFonts w:ascii="Cambria" w:hAnsi="Cambria"/>
          <w:sz w:val="20"/>
          <w:szCs w:val="20"/>
          <w:lang w:val="es-MX"/>
        </w:rPr>
        <w:t>, y conformada en su mayoría, por familias de origen no indígena</w:t>
      </w:r>
      <w:r w:rsidR="00F74B0F" w:rsidRPr="00873EBF">
        <w:rPr>
          <w:rFonts w:ascii="Cambria" w:hAnsi="Cambria"/>
          <w:sz w:val="20"/>
          <w:szCs w:val="20"/>
          <w:lang w:val="es-MX"/>
        </w:rPr>
        <w:t>. I</w:t>
      </w:r>
      <w:r w:rsidRPr="00873EBF">
        <w:rPr>
          <w:rFonts w:ascii="Cambria" w:hAnsi="Cambria"/>
          <w:sz w:val="20"/>
          <w:szCs w:val="20"/>
          <w:lang w:val="es-MX"/>
        </w:rPr>
        <w:t xml:space="preserve">nforman que aproximadamente a las 5:00 pm del 29 de abril de 1982, la unidad militar “Compañía Los Vencedores” </w:t>
      </w:r>
      <w:r w:rsidR="00263917" w:rsidRPr="00873EBF">
        <w:rPr>
          <w:rFonts w:ascii="Cambria" w:hAnsi="Cambria"/>
          <w:sz w:val="20"/>
          <w:szCs w:val="20"/>
          <w:lang w:val="es-MX"/>
        </w:rPr>
        <w:t xml:space="preserve">sitió </w:t>
      </w:r>
      <w:r w:rsidRPr="00873EBF">
        <w:rPr>
          <w:rFonts w:ascii="Cambria" w:hAnsi="Cambria"/>
          <w:sz w:val="20"/>
          <w:szCs w:val="20"/>
          <w:lang w:val="es-MX"/>
        </w:rPr>
        <w:t>la aldea y, cerca de la medianoche,</w:t>
      </w:r>
      <w:r w:rsidR="00263917" w:rsidRPr="00873EBF">
        <w:rPr>
          <w:rFonts w:ascii="Cambria" w:hAnsi="Cambria"/>
          <w:sz w:val="20"/>
          <w:szCs w:val="20"/>
          <w:lang w:val="es-MX"/>
        </w:rPr>
        <w:t xml:space="preserve"> </w:t>
      </w:r>
      <w:r w:rsidR="00692EA8" w:rsidRPr="00873EBF">
        <w:rPr>
          <w:rFonts w:ascii="Cambria" w:hAnsi="Cambria"/>
          <w:sz w:val="20"/>
          <w:szCs w:val="20"/>
          <w:lang w:val="es-MX"/>
        </w:rPr>
        <w:t xml:space="preserve">disparó </w:t>
      </w:r>
      <w:r w:rsidR="00263917" w:rsidRPr="00873EBF">
        <w:rPr>
          <w:rFonts w:ascii="Cambria" w:hAnsi="Cambria"/>
          <w:sz w:val="20"/>
          <w:szCs w:val="20"/>
          <w:lang w:val="es-MX"/>
        </w:rPr>
        <w:t xml:space="preserve">a </w:t>
      </w:r>
      <w:r w:rsidRPr="00873EBF">
        <w:rPr>
          <w:rFonts w:ascii="Cambria" w:hAnsi="Cambria"/>
          <w:sz w:val="20"/>
          <w:szCs w:val="20"/>
          <w:lang w:val="es-MX"/>
        </w:rPr>
        <w:t>los patrulleros que la vigilaban</w:t>
      </w:r>
      <w:r w:rsidR="00692EA8" w:rsidRPr="00873EBF">
        <w:rPr>
          <w:rFonts w:ascii="Cambria" w:hAnsi="Cambria"/>
          <w:sz w:val="20"/>
          <w:szCs w:val="20"/>
          <w:lang w:val="es-MX"/>
        </w:rPr>
        <w:t>, ocasionando su muerte</w:t>
      </w:r>
      <w:r w:rsidRPr="00873EBF">
        <w:rPr>
          <w:rFonts w:ascii="Cambria" w:hAnsi="Cambria"/>
          <w:sz w:val="20"/>
          <w:szCs w:val="20"/>
          <w:lang w:val="es-MX"/>
        </w:rPr>
        <w:t xml:space="preserve">; posteriormente, el comando militar </w:t>
      </w:r>
      <w:r w:rsidR="00053118" w:rsidRPr="00873EBF">
        <w:rPr>
          <w:rFonts w:ascii="Cambria" w:hAnsi="Cambria"/>
          <w:sz w:val="20"/>
          <w:szCs w:val="20"/>
          <w:lang w:val="es-MX"/>
        </w:rPr>
        <w:t xml:space="preserve">prendió </w:t>
      </w:r>
      <w:r w:rsidRPr="00873EBF">
        <w:rPr>
          <w:rFonts w:ascii="Cambria" w:hAnsi="Cambria"/>
          <w:sz w:val="20"/>
          <w:szCs w:val="20"/>
          <w:lang w:val="es-MX"/>
        </w:rPr>
        <w:t xml:space="preserve">fuego a los ranchos y </w:t>
      </w:r>
      <w:r w:rsidR="00053118" w:rsidRPr="00873EBF">
        <w:rPr>
          <w:rFonts w:ascii="Cambria" w:hAnsi="Cambria"/>
          <w:sz w:val="20"/>
          <w:szCs w:val="20"/>
          <w:lang w:val="es-MX"/>
        </w:rPr>
        <w:t xml:space="preserve">asesinó </w:t>
      </w:r>
      <w:r w:rsidRPr="00873EBF">
        <w:rPr>
          <w:rFonts w:ascii="Cambria" w:hAnsi="Cambria"/>
          <w:sz w:val="20"/>
          <w:szCs w:val="20"/>
          <w:lang w:val="es-MX"/>
        </w:rPr>
        <w:t xml:space="preserve">con disparos y golpes a los habitantes de Los Josefinos, quienes </w:t>
      </w:r>
      <w:r w:rsidR="00263917" w:rsidRPr="00873EBF">
        <w:rPr>
          <w:rFonts w:ascii="Cambria" w:hAnsi="Cambria"/>
          <w:sz w:val="20"/>
          <w:szCs w:val="20"/>
          <w:lang w:val="es-MX"/>
        </w:rPr>
        <w:t xml:space="preserve">fueron </w:t>
      </w:r>
      <w:r w:rsidRPr="00873EBF">
        <w:rPr>
          <w:rFonts w:ascii="Cambria" w:hAnsi="Cambria"/>
          <w:sz w:val="20"/>
          <w:szCs w:val="20"/>
          <w:lang w:val="es-MX"/>
        </w:rPr>
        <w:t xml:space="preserve">enterrados en una fosa común. </w:t>
      </w:r>
      <w:r w:rsidR="00860E67" w:rsidRPr="00873EBF">
        <w:rPr>
          <w:rFonts w:ascii="Cambria" w:hAnsi="Cambria"/>
          <w:sz w:val="20"/>
          <w:szCs w:val="20"/>
          <w:lang w:val="es-MX"/>
        </w:rPr>
        <w:t xml:space="preserve">Asimismo, indican los peticionarios que durante la masacre, los habitantes de Los Josefinos se encontraban en un “completo estado de indefensión” y que aquéllos que fueron ejecutados, se habrían enfrentado a una “evidente crueldad” ´por parte de miembros del ejército. </w:t>
      </w:r>
      <w:r w:rsidR="00053118" w:rsidRPr="00873EBF">
        <w:rPr>
          <w:rFonts w:ascii="Cambria" w:hAnsi="Cambria"/>
          <w:sz w:val="20"/>
          <w:szCs w:val="20"/>
          <w:lang w:val="es-MX"/>
        </w:rPr>
        <w:t xml:space="preserve">Según los </w:t>
      </w:r>
      <w:r w:rsidRPr="00873EBF">
        <w:rPr>
          <w:rFonts w:ascii="Cambria" w:hAnsi="Cambria"/>
          <w:sz w:val="20"/>
          <w:szCs w:val="20"/>
          <w:lang w:val="es-MX"/>
        </w:rPr>
        <w:t>peticionarios</w:t>
      </w:r>
      <w:r w:rsidR="00053118" w:rsidRPr="00873EBF">
        <w:rPr>
          <w:rFonts w:ascii="Cambria" w:hAnsi="Cambria"/>
          <w:sz w:val="20"/>
          <w:szCs w:val="20"/>
          <w:lang w:val="es-MX"/>
        </w:rPr>
        <w:t xml:space="preserve">, </w:t>
      </w:r>
      <w:r w:rsidRPr="00873EBF">
        <w:rPr>
          <w:rFonts w:ascii="Cambria" w:hAnsi="Cambria"/>
          <w:sz w:val="20"/>
          <w:szCs w:val="20"/>
          <w:lang w:val="es-MX"/>
        </w:rPr>
        <w:t xml:space="preserve">durante y después de </w:t>
      </w:r>
      <w:r w:rsidR="00053118" w:rsidRPr="00873EBF">
        <w:rPr>
          <w:rFonts w:ascii="Cambria" w:hAnsi="Cambria"/>
          <w:sz w:val="20"/>
          <w:szCs w:val="20"/>
          <w:lang w:val="es-MX"/>
        </w:rPr>
        <w:t xml:space="preserve">la masacre, </w:t>
      </w:r>
      <w:r w:rsidRPr="00873EBF">
        <w:rPr>
          <w:rFonts w:ascii="Cambria" w:hAnsi="Cambria"/>
          <w:sz w:val="20"/>
          <w:szCs w:val="20"/>
          <w:lang w:val="es-MX"/>
        </w:rPr>
        <w:t xml:space="preserve">los sobrevivientes se </w:t>
      </w:r>
      <w:r w:rsidR="00053118" w:rsidRPr="00873EBF">
        <w:rPr>
          <w:rFonts w:ascii="Cambria" w:hAnsi="Cambria"/>
          <w:sz w:val="20"/>
          <w:szCs w:val="20"/>
          <w:lang w:val="es-MX"/>
        </w:rPr>
        <w:t xml:space="preserve">refugiaron </w:t>
      </w:r>
      <w:r w:rsidRPr="00873EBF">
        <w:rPr>
          <w:rFonts w:ascii="Cambria" w:hAnsi="Cambria"/>
          <w:sz w:val="20"/>
          <w:szCs w:val="20"/>
          <w:lang w:val="es-MX"/>
        </w:rPr>
        <w:t>en montes y aldeas vecinas</w:t>
      </w:r>
      <w:r w:rsidR="00D2030A" w:rsidRPr="00873EBF">
        <w:rPr>
          <w:rFonts w:ascii="Cambria" w:hAnsi="Cambria"/>
          <w:sz w:val="20"/>
          <w:szCs w:val="20"/>
          <w:lang w:val="es-MX"/>
        </w:rPr>
        <w:t xml:space="preserve">. </w:t>
      </w:r>
      <w:r w:rsidR="004E0E6C" w:rsidRPr="00873EBF">
        <w:rPr>
          <w:rFonts w:ascii="Cambria" w:hAnsi="Cambria"/>
          <w:sz w:val="20"/>
          <w:szCs w:val="20"/>
          <w:lang w:val="es-MX"/>
        </w:rPr>
        <w:t>En relación con el número de personas que habrían muerto en la masacre, establecen los peticionarios que se desconoce la cifra exacta debido a lo siguiente: a) muchos de los cuerpos se habrían consumido con las llamas de los ranchos incendiados; b) los sobrevivientes habrían huido al monte, donde varios de ellos perdieron la vida, y c) los cadáveres encontrados en las veredas, fueron  enterrados en parcelas o de forma múltiple.</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5B6D5B" w:rsidRPr="00873EBF" w:rsidRDefault="00715D5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 xml:space="preserve">Sobre esta masacre, indican que ésta no </w:t>
      </w:r>
      <w:r w:rsidR="005E21C1" w:rsidRPr="00873EBF">
        <w:rPr>
          <w:rFonts w:ascii="Cambria" w:hAnsi="Cambria"/>
          <w:sz w:val="20"/>
          <w:szCs w:val="20"/>
          <w:lang w:val="es-MX"/>
        </w:rPr>
        <w:t xml:space="preserve">fue </w:t>
      </w:r>
      <w:r w:rsidRPr="00873EBF">
        <w:rPr>
          <w:rFonts w:ascii="Cambria" w:hAnsi="Cambria"/>
          <w:sz w:val="20"/>
          <w:szCs w:val="20"/>
          <w:lang w:val="es-MX"/>
        </w:rPr>
        <w:t>un hecho aislado</w:t>
      </w:r>
      <w:r w:rsidR="00F02488" w:rsidRPr="00873EBF">
        <w:rPr>
          <w:rFonts w:ascii="Cambria" w:hAnsi="Cambria"/>
          <w:sz w:val="20"/>
          <w:szCs w:val="20"/>
          <w:lang w:val="es-MX"/>
        </w:rPr>
        <w:t>, ya que desde finales de 1981</w:t>
      </w:r>
      <w:r w:rsidRPr="00873EBF">
        <w:rPr>
          <w:rFonts w:ascii="Cambria" w:hAnsi="Cambria"/>
          <w:sz w:val="20"/>
          <w:szCs w:val="20"/>
          <w:lang w:val="es-MX"/>
        </w:rPr>
        <w:t xml:space="preserve"> hasta 1983, el ejército </w:t>
      </w:r>
      <w:r w:rsidR="00F02488" w:rsidRPr="00873EBF">
        <w:rPr>
          <w:rFonts w:ascii="Cambria" w:hAnsi="Cambria"/>
          <w:sz w:val="20"/>
          <w:szCs w:val="20"/>
          <w:lang w:val="es-MX"/>
        </w:rPr>
        <w:t xml:space="preserve">guatemalteco </w:t>
      </w:r>
      <w:r w:rsidR="005E21C1" w:rsidRPr="00873EBF">
        <w:rPr>
          <w:rFonts w:ascii="Cambria" w:hAnsi="Cambria"/>
          <w:sz w:val="20"/>
          <w:szCs w:val="20"/>
          <w:lang w:val="es-MX"/>
        </w:rPr>
        <w:t xml:space="preserve">llevó a cabo </w:t>
      </w:r>
      <w:r w:rsidR="001D36C2" w:rsidRPr="00873EBF">
        <w:rPr>
          <w:rFonts w:ascii="Cambria" w:hAnsi="Cambria"/>
          <w:sz w:val="20"/>
          <w:szCs w:val="20"/>
          <w:lang w:val="es-MX"/>
        </w:rPr>
        <w:t>actos de represión en el D</w:t>
      </w:r>
      <w:r w:rsidRPr="00873EBF">
        <w:rPr>
          <w:rFonts w:ascii="Cambria" w:hAnsi="Cambria"/>
          <w:sz w:val="20"/>
          <w:szCs w:val="20"/>
          <w:lang w:val="es-MX"/>
        </w:rPr>
        <w:t>epartamento de Petén</w:t>
      </w:r>
      <w:r w:rsidR="00C76D4F" w:rsidRPr="00873EBF">
        <w:rPr>
          <w:rFonts w:ascii="Cambria" w:hAnsi="Cambria"/>
          <w:sz w:val="20"/>
          <w:szCs w:val="20"/>
          <w:lang w:val="es-MX"/>
        </w:rPr>
        <w:t xml:space="preserve">. En particular, refieren que en marzo y abril </w:t>
      </w:r>
      <w:r w:rsidR="001D36C2" w:rsidRPr="00873EBF">
        <w:rPr>
          <w:rFonts w:ascii="Cambria" w:hAnsi="Cambria"/>
          <w:sz w:val="20"/>
          <w:szCs w:val="20"/>
          <w:lang w:val="es-MX"/>
        </w:rPr>
        <w:t xml:space="preserve">de 1982 </w:t>
      </w:r>
      <w:r w:rsidR="00C76D4F" w:rsidRPr="00873EBF">
        <w:rPr>
          <w:rFonts w:ascii="Cambria" w:hAnsi="Cambria"/>
          <w:sz w:val="20"/>
          <w:szCs w:val="20"/>
          <w:lang w:val="es-MX"/>
        </w:rPr>
        <w:t xml:space="preserve">ocurrieron dos masacres en dicho departamento, por lo que los habitantes de Los Josefinos habrían sufrido ataques antes y después de la masacre del 29 y 30 de abril de 1982. Considerando lo anterior, los peticionarios </w:t>
      </w:r>
      <w:r w:rsidR="001D36C2" w:rsidRPr="00873EBF">
        <w:rPr>
          <w:rFonts w:ascii="Cambria" w:hAnsi="Cambria"/>
          <w:sz w:val="20"/>
          <w:szCs w:val="20"/>
          <w:lang w:val="es-MX"/>
        </w:rPr>
        <w:t xml:space="preserve">establecen </w:t>
      </w:r>
      <w:r w:rsidR="00C76D4F" w:rsidRPr="00873EBF">
        <w:rPr>
          <w:rFonts w:ascii="Cambria" w:hAnsi="Cambria"/>
          <w:sz w:val="20"/>
          <w:szCs w:val="20"/>
          <w:lang w:val="es-MX"/>
        </w:rPr>
        <w:t>que las presuntas víctimas en el presente caso, se divid</w:t>
      </w:r>
      <w:r w:rsidR="001D36C2" w:rsidRPr="00873EBF">
        <w:rPr>
          <w:rFonts w:ascii="Cambria" w:hAnsi="Cambria"/>
          <w:sz w:val="20"/>
          <w:szCs w:val="20"/>
          <w:lang w:val="es-MX"/>
        </w:rPr>
        <w:t xml:space="preserve">irían </w:t>
      </w:r>
      <w:r w:rsidR="00C76D4F" w:rsidRPr="00873EBF">
        <w:rPr>
          <w:rFonts w:ascii="Cambria" w:hAnsi="Cambria"/>
          <w:sz w:val="20"/>
          <w:szCs w:val="20"/>
          <w:lang w:val="es-MX"/>
        </w:rPr>
        <w:t xml:space="preserve">en las siguientes cuatro categorías: </w:t>
      </w:r>
      <w:r w:rsidR="00C76D4F" w:rsidRPr="00873EBF">
        <w:rPr>
          <w:rFonts w:ascii="Cambria" w:eastAsia="MS Mincho" w:hAnsi="Cambria" w:cs="Arial"/>
          <w:sz w:val="20"/>
          <w:szCs w:val="20"/>
          <w:lang w:val="es-MX"/>
        </w:rPr>
        <w:t>a) presuntas víctimas de la masacre de Los Josefinos y sus familiares; b) presuntas víctimas de los ataques previos a la masacre; c) presuntas víctimas de los ataques posteriores a la masacre, y d) presuntas víctimas del desplazamiento forzado y despojo de propiedad privada.</w:t>
      </w:r>
    </w:p>
    <w:p w:rsidR="005B6D5B" w:rsidRPr="00873EBF" w:rsidRDefault="005B6D5B" w:rsidP="005B6D5B">
      <w:pPr>
        <w:pStyle w:val="ListParagraph"/>
        <w:rPr>
          <w:sz w:val="20"/>
          <w:szCs w:val="20"/>
          <w:lang w:val="es-ES"/>
        </w:rPr>
      </w:pPr>
    </w:p>
    <w:p w:rsidR="005B6D5B" w:rsidRPr="00873EBF" w:rsidRDefault="00692EA8"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Como resultado de la masacre, </w:t>
      </w:r>
      <w:r w:rsidR="00AE3821" w:rsidRPr="00873EBF">
        <w:rPr>
          <w:rFonts w:ascii="Cambria" w:hAnsi="Cambria"/>
          <w:sz w:val="20"/>
          <w:szCs w:val="20"/>
          <w:lang w:val="es-MX"/>
        </w:rPr>
        <w:t xml:space="preserve">señalan los peticionarios que el Estado sería responsable por la violación del derecho a la vida </w:t>
      </w:r>
      <w:r w:rsidR="00053118" w:rsidRPr="00873EBF">
        <w:rPr>
          <w:rFonts w:ascii="Cambria" w:hAnsi="Cambria"/>
          <w:sz w:val="20"/>
          <w:szCs w:val="20"/>
          <w:lang w:val="es-MX"/>
        </w:rPr>
        <w:t xml:space="preserve">(artículo 4) </w:t>
      </w:r>
      <w:r w:rsidR="00AE3821" w:rsidRPr="00873EBF">
        <w:rPr>
          <w:rFonts w:ascii="Cambria" w:hAnsi="Cambria"/>
          <w:sz w:val="20"/>
          <w:szCs w:val="20"/>
          <w:lang w:val="es-MX"/>
        </w:rPr>
        <w:t>en perjuic</w:t>
      </w:r>
      <w:r w:rsidR="00D2030A" w:rsidRPr="00873EBF">
        <w:rPr>
          <w:rFonts w:ascii="Cambria" w:hAnsi="Cambria"/>
          <w:sz w:val="20"/>
          <w:szCs w:val="20"/>
          <w:lang w:val="es-MX"/>
        </w:rPr>
        <w:t xml:space="preserve">io de las presuntas víctimas. </w:t>
      </w:r>
      <w:r w:rsidR="00AE3821" w:rsidRPr="00873EBF">
        <w:rPr>
          <w:rFonts w:ascii="Cambria" w:hAnsi="Cambria"/>
          <w:sz w:val="20"/>
          <w:szCs w:val="20"/>
          <w:lang w:val="es-MX"/>
        </w:rPr>
        <w:t xml:space="preserve">Sobre </w:t>
      </w:r>
      <w:r w:rsidR="00284528" w:rsidRPr="00873EBF">
        <w:rPr>
          <w:rFonts w:ascii="Cambria" w:hAnsi="Cambria"/>
          <w:sz w:val="20"/>
          <w:szCs w:val="20"/>
          <w:lang w:val="es-MX"/>
        </w:rPr>
        <w:t>la alegad</w:t>
      </w:r>
      <w:r w:rsidR="00AE3821" w:rsidRPr="00873EBF">
        <w:rPr>
          <w:rFonts w:ascii="Cambria" w:hAnsi="Cambria"/>
          <w:sz w:val="20"/>
          <w:szCs w:val="20"/>
          <w:lang w:val="es-MX"/>
        </w:rPr>
        <w:t>a violación al derecho a la integridad personal</w:t>
      </w:r>
      <w:r w:rsidR="00053118" w:rsidRPr="00873EBF">
        <w:rPr>
          <w:rFonts w:ascii="Cambria" w:hAnsi="Cambria"/>
          <w:sz w:val="20"/>
          <w:szCs w:val="20"/>
          <w:lang w:val="es-MX"/>
        </w:rPr>
        <w:t xml:space="preserve"> (artículo 5)</w:t>
      </w:r>
      <w:r w:rsidR="00AE3821" w:rsidRPr="00873EBF">
        <w:rPr>
          <w:rFonts w:ascii="Cambria" w:hAnsi="Cambria"/>
          <w:sz w:val="20"/>
          <w:szCs w:val="20"/>
          <w:lang w:val="es-MX"/>
        </w:rPr>
        <w:t xml:space="preserve">, manifiestan </w:t>
      </w:r>
      <w:r w:rsidR="00053118" w:rsidRPr="00873EBF">
        <w:rPr>
          <w:rFonts w:ascii="Cambria" w:hAnsi="Cambria"/>
          <w:sz w:val="20"/>
          <w:szCs w:val="20"/>
          <w:lang w:val="es-MX"/>
        </w:rPr>
        <w:t xml:space="preserve">que </w:t>
      </w:r>
      <w:r w:rsidR="00525AD6" w:rsidRPr="00873EBF">
        <w:rPr>
          <w:rFonts w:ascii="Cambria" w:hAnsi="Cambria"/>
          <w:sz w:val="20"/>
          <w:szCs w:val="20"/>
          <w:lang w:val="es-MX"/>
        </w:rPr>
        <w:t xml:space="preserve">éste habría tenido lugar </w:t>
      </w:r>
      <w:r w:rsidR="00715D51" w:rsidRPr="00873EBF">
        <w:rPr>
          <w:rFonts w:ascii="Cambria" w:hAnsi="Cambria"/>
          <w:sz w:val="20"/>
          <w:szCs w:val="20"/>
          <w:lang w:val="es-MX"/>
        </w:rPr>
        <w:t xml:space="preserve">debido </w:t>
      </w:r>
      <w:r w:rsidR="00525AD6" w:rsidRPr="00873EBF">
        <w:rPr>
          <w:rFonts w:ascii="Cambria" w:hAnsi="Cambria"/>
          <w:sz w:val="20"/>
          <w:szCs w:val="20"/>
          <w:lang w:val="es-MX"/>
        </w:rPr>
        <w:t xml:space="preserve">a la violencia </w:t>
      </w:r>
      <w:r w:rsidR="00525AD6" w:rsidRPr="00873EBF">
        <w:rPr>
          <w:rFonts w:ascii="Cambria" w:hAnsi="Cambria"/>
          <w:sz w:val="20"/>
          <w:szCs w:val="20"/>
          <w:lang w:val="es-MX"/>
        </w:rPr>
        <w:lastRenderedPageBreak/>
        <w:t xml:space="preserve">que </w:t>
      </w:r>
      <w:r w:rsidR="00715D51" w:rsidRPr="00873EBF">
        <w:rPr>
          <w:rFonts w:ascii="Cambria" w:hAnsi="Cambria"/>
          <w:sz w:val="20"/>
          <w:szCs w:val="20"/>
          <w:lang w:val="es-MX"/>
        </w:rPr>
        <w:t xml:space="preserve">durante horas </w:t>
      </w:r>
      <w:r w:rsidR="00525AD6" w:rsidRPr="00873EBF">
        <w:rPr>
          <w:rFonts w:ascii="Cambria" w:hAnsi="Cambria"/>
          <w:sz w:val="20"/>
          <w:szCs w:val="20"/>
          <w:lang w:val="es-MX"/>
        </w:rPr>
        <w:t>sufrieron</w:t>
      </w:r>
      <w:r w:rsidR="00715D51" w:rsidRPr="00873EBF">
        <w:rPr>
          <w:rFonts w:ascii="Cambria" w:hAnsi="Cambria"/>
          <w:sz w:val="20"/>
          <w:szCs w:val="20"/>
          <w:lang w:val="es-MX"/>
        </w:rPr>
        <w:t xml:space="preserve"> los habitantes</w:t>
      </w:r>
      <w:r w:rsidR="00525AD6" w:rsidRPr="00873EBF">
        <w:rPr>
          <w:rFonts w:ascii="Cambria" w:hAnsi="Cambria"/>
          <w:sz w:val="20"/>
          <w:szCs w:val="20"/>
          <w:lang w:val="es-MX"/>
        </w:rPr>
        <w:t xml:space="preserve"> </w:t>
      </w:r>
      <w:r w:rsidR="00715D51" w:rsidRPr="00873EBF">
        <w:rPr>
          <w:rFonts w:ascii="Cambria" w:hAnsi="Cambria"/>
          <w:sz w:val="20"/>
          <w:szCs w:val="20"/>
          <w:lang w:val="es-MX"/>
        </w:rPr>
        <w:t xml:space="preserve">antes de ser ejecutados, y en razón del sufrimiento psicológico de los </w:t>
      </w:r>
      <w:r w:rsidR="00053118" w:rsidRPr="00873EBF">
        <w:rPr>
          <w:rFonts w:ascii="Cambria" w:hAnsi="Cambria"/>
          <w:sz w:val="20"/>
          <w:szCs w:val="20"/>
          <w:lang w:val="es-MX"/>
        </w:rPr>
        <w:t>sobrevivientes y famil</w:t>
      </w:r>
      <w:r w:rsidR="00715D51" w:rsidRPr="00873EBF">
        <w:rPr>
          <w:rFonts w:ascii="Cambria" w:hAnsi="Cambria"/>
          <w:sz w:val="20"/>
          <w:szCs w:val="20"/>
          <w:lang w:val="es-MX"/>
        </w:rPr>
        <w:t xml:space="preserve">iares de las presuntas víctimas por </w:t>
      </w:r>
      <w:r w:rsidR="00284528" w:rsidRPr="00873EBF">
        <w:rPr>
          <w:rFonts w:ascii="Cambria" w:hAnsi="Cambria"/>
          <w:sz w:val="20"/>
          <w:szCs w:val="20"/>
          <w:lang w:val="es-MX"/>
        </w:rPr>
        <w:t xml:space="preserve">la impunidad </w:t>
      </w:r>
      <w:r w:rsidR="00715D51" w:rsidRPr="00873EBF">
        <w:rPr>
          <w:rFonts w:ascii="Cambria" w:hAnsi="Cambria"/>
          <w:sz w:val="20"/>
          <w:szCs w:val="20"/>
          <w:lang w:val="es-MX"/>
        </w:rPr>
        <w:t>de “</w:t>
      </w:r>
      <w:r w:rsidR="00D713F4" w:rsidRPr="00873EBF">
        <w:rPr>
          <w:rFonts w:ascii="Cambria" w:hAnsi="Cambria"/>
          <w:sz w:val="20"/>
          <w:szCs w:val="20"/>
          <w:lang w:val="es-MX"/>
        </w:rPr>
        <w:t xml:space="preserve">la infructuosa investigación de los hechos”. </w:t>
      </w:r>
    </w:p>
    <w:p w:rsidR="005B6D5B" w:rsidRPr="00873EBF" w:rsidRDefault="005B6D5B" w:rsidP="005B6D5B">
      <w:pPr>
        <w:pStyle w:val="ListParagraph"/>
        <w:rPr>
          <w:sz w:val="20"/>
          <w:szCs w:val="20"/>
          <w:lang w:val="es-MX"/>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Los peticionarios señalan también que el Estado guatemalteco habría vulnerado las garantías judiciales y la protección judicial en perjuicio de los sobrevivientes y familiares de las presuntas víctimas, debido al retardo injustificado e inefectividad</w:t>
      </w:r>
      <w:r w:rsidR="00284528" w:rsidRPr="00873EBF">
        <w:rPr>
          <w:rFonts w:ascii="Cambria" w:hAnsi="Cambria"/>
          <w:sz w:val="20"/>
          <w:szCs w:val="20"/>
          <w:lang w:val="es-MX"/>
        </w:rPr>
        <w:t xml:space="preserve"> en </w:t>
      </w:r>
      <w:r w:rsidRPr="00873EBF">
        <w:rPr>
          <w:rFonts w:ascii="Cambria" w:hAnsi="Cambria"/>
          <w:sz w:val="20"/>
          <w:szCs w:val="20"/>
          <w:lang w:val="es-MX"/>
        </w:rPr>
        <w:t>la investigación de los hechos de</w:t>
      </w:r>
      <w:r w:rsidR="00263917" w:rsidRPr="00873EBF">
        <w:rPr>
          <w:rFonts w:ascii="Cambria" w:hAnsi="Cambria"/>
          <w:sz w:val="20"/>
          <w:szCs w:val="20"/>
          <w:lang w:val="es-MX"/>
        </w:rPr>
        <w:t>l presente caso</w:t>
      </w:r>
      <w:r w:rsidRPr="00873EBF">
        <w:rPr>
          <w:rFonts w:ascii="Cambria" w:hAnsi="Cambria"/>
          <w:sz w:val="20"/>
          <w:szCs w:val="20"/>
          <w:lang w:val="es-MX"/>
        </w:rPr>
        <w:t xml:space="preserve">, </w:t>
      </w:r>
      <w:r w:rsidR="00D2030A" w:rsidRPr="00873EBF">
        <w:rPr>
          <w:rFonts w:ascii="Cambria" w:hAnsi="Cambria"/>
          <w:sz w:val="20"/>
          <w:szCs w:val="20"/>
          <w:lang w:val="es-MX"/>
        </w:rPr>
        <w:t>y en razón de que no habrían contado con</w:t>
      </w:r>
      <w:r w:rsidRPr="00873EBF">
        <w:rPr>
          <w:rFonts w:ascii="Cambria" w:hAnsi="Cambria"/>
          <w:sz w:val="20"/>
          <w:szCs w:val="20"/>
          <w:lang w:val="es-MX"/>
        </w:rPr>
        <w:t xml:space="preserve"> un recurso efectivo que los amparara frente a las supuestas violaciones a sus derechos. </w:t>
      </w:r>
      <w:r w:rsidR="00D2030A" w:rsidRPr="00873EBF">
        <w:rPr>
          <w:rFonts w:ascii="Cambria" w:hAnsi="Cambria"/>
          <w:sz w:val="20"/>
          <w:szCs w:val="20"/>
          <w:lang w:val="es-MX"/>
        </w:rPr>
        <w:t>En particular, a</w:t>
      </w:r>
      <w:r w:rsidRPr="00873EBF">
        <w:rPr>
          <w:rFonts w:ascii="Cambria" w:hAnsi="Cambria"/>
          <w:sz w:val="20"/>
          <w:szCs w:val="20"/>
          <w:lang w:val="es-MX"/>
        </w:rPr>
        <w:t>rgumentan que se habría</w:t>
      </w:r>
      <w:r w:rsidR="00284528" w:rsidRPr="00873EBF">
        <w:rPr>
          <w:rFonts w:ascii="Cambria" w:hAnsi="Cambria"/>
          <w:sz w:val="20"/>
          <w:szCs w:val="20"/>
          <w:lang w:val="es-MX"/>
        </w:rPr>
        <w:t>n presentado distintas irregularidades</w:t>
      </w:r>
      <w:r w:rsidRPr="00873EBF">
        <w:rPr>
          <w:rFonts w:ascii="Cambria" w:hAnsi="Cambria"/>
          <w:sz w:val="20"/>
          <w:szCs w:val="20"/>
          <w:lang w:val="es-MX"/>
        </w:rPr>
        <w:t xml:space="preserve"> en la investigación de este caso, tales como</w:t>
      </w:r>
      <w:r w:rsidR="00D52169" w:rsidRPr="00873EBF">
        <w:rPr>
          <w:rFonts w:ascii="Cambria" w:hAnsi="Cambria"/>
          <w:sz w:val="20"/>
          <w:szCs w:val="20"/>
          <w:lang w:val="es-MX"/>
        </w:rPr>
        <w:t>: a) la</w:t>
      </w:r>
      <w:r w:rsidRPr="00873EBF">
        <w:rPr>
          <w:rFonts w:ascii="Cambria" w:hAnsi="Cambria"/>
          <w:sz w:val="20"/>
          <w:szCs w:val="20"/>
          <w:lang w:val="es-MX"/>
        </w:rPr>
        <w:t xml:space="preserve"> falta de respuesta del Departamento de Policía respecto a información solici</w:t>
      </w:r>
      <w:r w:rsidR="00D52169" w:rsidRPr="00873EBF">
        <w:rPr>
          <w:rFonts w:ascii="Cambria" w:hAnsi="Cambria"/>
          <w:sz w:val="20"/>
          <w:szCs w:val="20"/>
          <w:lang w:val="es-MX"/>
        </w:rPr>
        <w:t xml:space="preserve">tada por el Ministerio Público; b) la </w:t>
      </w:r>
      <w:r w:rsidRPr="00873EBF">
        <w:rPr>
          <w:rFonts w:ascii="Cambria" w:hAnsi="Cambria"/>
          <w:sz w:val="20"/>
          <w:szCs w:val="20"/>
          <w:lang w:val="es-MX"/>
        </w:rPr>
        <w:t xml:space="preserve">ausencia en el expediente de importantes diligencias, como el informe antropológico forense del Equipo de Antropología Forense de Guatemala (“EAFG”), y el análisis balístico de los fragmentos de proyectil de arma de fuego encontrados en las osamentas, y </w:t>
      </w:r>
      <w:r w:rsidR="00D52169" w:rsidRPr="00873EBF">
        <w:rPr>
          <w:rFonts w:ascii="Cambria" w:hAnsi="Cambria"/>
          <w:sz w:val="20"/>
          <w:szCs w:val="20"/>
          <w:lang w:val="es-MX"/>
        </w:rPr>
        <w:t>c</w:t>
      </w:r>
      <w:r w:rsidRPr="00873EBF">
        <w:rPr>
          <w:rFonts w:ascii="Cambria" w:hAnsi="Cambria"/>
          <w:sz w:val="20"/>
          <w:szCs w:val="20"/>
          <w:lang w:val="es-MX"/>
        </w:rPr>
        <w:t xml:space="preserve">) </w:t>
      </w:r>
      <w:r w:rsidR="00284528" w:rsidRPr="00873EBF">
        <w:rPr>
          <w:rFonts w:ascii="Cambria" w:hAnsi="Cambria"/>
          <w:sz w:val="20"/>
          <w:szCs w:val="20"/>
          <w:lang w:val="es-MX"/>
        </w:rPr>
        <w:t>falencias</w:t>
      </w:r>
      <w:r w:rsidRPr="00873EBF">
        <w:rPr>
          <w:rFonts w:ascii="Cambria" w:hAnsi="Cambria"/>
          <w:sz w:val="20"/>
          <w:szCs w:val="20"/>
          <w:lang w:val="es-MX"/>
        </w:rPr>
        <w:t xml:space="preserve"> en la inspección ocular de 1997.</w:t>
      </w:r>
      <w:r w:rsidR="00692EA8" w:rsidRPr="00873EBF">
        <w:rPr>
          <w:rFonts w:ascii="Cambria" w:hAnsi="Cambria"/>
          <w:sz w:val="20"/>
          <w:szCs w:val="20"/>
          <w:lang w:val="es-MX"/>
        </w:rPr>
        <w:t xml:space="preserve"> Asimismo</w:t>
      </w:r>
      <w:r w:rsidR="00D52169" w:rsidRPr="00873EBF">
        <w:rPr>
          <w:rFonts w:ascii="Cambria" w:hAnsi="Cambria"/>
          <w:sz w:val="20"/>
          <w:szCs w:val="20"/>
          <w:lang w:val="es-MX"/>
        </w:rPr>
        <w:t xml:space="preserve">, </w:t>
      </w:r>
      <w:r w:rsidR="00D83EC7" w:rsidRPr="00873EBF">
        <w:rPr>
          <w:rFonts w:ascii="Cambria" w:hAnsi="Cambria"/>
          <w:sz w:val="20"/>
          <w:szCs w:val="20"/>
          <w:lang w:val="es-MX"/>
        </w:rPr>
        <w:t xml:space="preserve">manifiestan que </w:t>
      </w:r>
      <w:r w:rsidR="00D52169" w:rsidRPr="00873EBF">
        <w:rPr>
          <w:rFonts w:ascii="Cambria" w:hAnsi="Cambria"/>
          <w:sz w:val="20"/>
          <w:szCs w:val="20"/>
          <w:lang w:val="es-MX"/>
        </w:rPr>
        <w:t xml:space="preserve">en el marco de este proceso, los avances habrían sido mínimos, y en este sentido, destacan la realización de las siguientes diligencias: </w:t>
      </w:r>
      <w:r w:rsidR="00D83EC7" w:rsidRPr="00873EBF">
        <w:rPr>
          <w:rFonts w:ascii="Cambria" w:hAnsi="Cambria"/>
          <w:sz w:val="20"/>
          <w:szCs w:val="20"/>
          <w:lang w:val="es-MX"/>
        </w:rPr>
        <w:t xml:space="preserve">a) </w:t>
      </w:r>
      <w:r w:rsidR="00D52169" w:rsidRPr="00873EBF">
        <w:rPr>
          <w:rFonts w:ascii="Cambria" w:hAnsi="Cambria"/>
          <w:sz w:val="20"/>
          <w:szCs w:val="20"/>
          <w:lang w:val="es-MX"/>
        </w:rPr>
        <w:t>excavación de las osamentas por el Equipo de Antropología Forense de Guatemala (EAFG), marzo de 1996; b) apertura de la investigación penal en la Fiscalía Distrital del Ministerio Público, abril de 1996; c) toma de testimonios de los entonces Alcalde Auxiliar de Los Josefinos y Comand</w:t>
      </w:r>
      <w:r w:rsidR="008A15B8" w:rsidRPr="00873EBF">
        <w:rPr>
          <w:rFonts w:ascii="Cambria" w:hAnsi="Cambria"/>
          <w:sz w:val="20"/>
          <w:szCs w:val="20"/>
          <w:lang w:val="es-MX"/>
        </w:rPr>
        <w:t xml:space="preserve">ante de la Zona Militar No. 23; </w:t>
      </w:r>
      <w:r w:rsidR="00D52169" w:rsidRPr="00873EBF">
        <w:rPr>
          <w:rFonts w:ascii="Cambria" w:hAnsi="Cambria"/>
          <w:sz w:val="20"/>
          <w:szCs w:val="20"/>
          <w:lang w:val="es-MX"/>
        </w:rPr>
        <w:t>d) inspección ocular</w:t>
      </w:r>
      <w:r w:rsidR="00D83EC7" w:rsidRPr="00873EBF">
        <w:rPr>
          <w:rFonts w:ascii="Cambria" w:hAnsi="Cambria"/>
          <w:sz w:val="20"/>
          <w:szCs w:val="20"/>
          <w:lang w:val="es-MX"/>
        </w:rPr>
        <w:t xml:space="preserve">, </w:t>
      </w:r>
      <w:r w:rsidR="008A15B8" w:rsidRPr="00873EBF">
        <w:rPr>
          <w:rFonts w:ascii="Cambria" w:hAnsi="Cambria"/>
          <w:sz w:val="20"/>
          <w:szCs w:val="20"/>
          <w:lang w:val="es-MX"/>
        </w:rPr>
        <w:t>marzo de 1997, y e) registro fotográfico del cementerio clandestino, octubre de 2007.</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Respecto a los derechos de los niños y niñas, refieren los peticionarios que el Estado habría incumplido con su obligación de brindarles la protección</w:t>
      </w:r>
      <w:r w:rsidR="00D2030A" w:rsidRPr="00873EBF">
        <w:rPr>
          <w:rFonts w:ascii="Cambria" w:hAnsi="Cambria"/>
          <w:sz w:val="20"/>
          <w:szCs w:val="20"/>
          <w:lang w:val="es-MX"/>
        </w:rPr>
        <w:t xml:space="preserve"> especial que éstos merecen</w:t>
      </w:r>
      <w:r w:rsidR="00D713F4" w:rsidRPr="00873EBF">
        <w:rPr>
          <w:rFonts w:ascii="Cambria" w:hAnsi="Cambria"/>
          <w:sz w:val="20"/>
          <w:szCs w:val="20"/>
          <w:lang w:val="es-MX"/>
        </w:rPr>
        <w:t>, no s</w:t>
      </w:r>
      <w:r w:rsidR="00357463" w:rsidRPr="00873EBF">
        <w:rPr>
          <w:rFonts w:ascii="Cambria" w:hAnsi="Cambria"/>
          <w:sz w:val="20"/>
          <w:szCs w:val="20"/>
          <w:lang w:val="es-MX"/>
        </w:rPr>
        <w:t xml:space="preserve">ólo por las ejecuciones arbitrarias </w:t>
      </w:r>
      <w:r w:rsidR="005E21C1" w:rsidRPr="00873EBF">
        <w:rPr>
          <w:rFonts w:ascii="Cambria" w:hAnsi="Cambria"/>
          <w:sz w:val="20"/>
          <w:szCs w:val="20"/>
          <w:lang w:val="es-MX"/>
        </w:rPr>
        <w:t>en su contra, sin</w:t>
      </w:r>
      <w:r w:rsidR="00357463" w:rsidRPr="00873EBF">
        <w:rPr>
          <w:rFonts w:ascii="Cambria" w:hAnsi="Cambria"/>
          <w:sz w:val="20"/>
          <w:szCs w:val="20"/>
          <w:lang w:val="es-MX"/>
        </w:rPr>
        <w:t>o también porque el Estado no habría adoptado ninguna medida para asistir a</w:t>
      </w:r>
      <w:r w:rsidR="005E21C1" w:rsidRPr="00873EBF">
        <w:rPr>
          <w:rFonts w:ascii="Cambria" w:hAnsi="Cambria"/>
          <w:sz w:val="20"/>
          <w:szCs w:val="20"/>
          <w:lang w:val="es-MX"/>
        </w:rPr>
        <w:t xml:space="preserve"> los niños y niñas que </w:t>
      </w:r>
      <w:r w:rsidR="00357463" w:rsidRPr="00873EBF">
        <w:rPr>
          <w:rFonts w:ascii="Cambria" w:hAnsi="Cambria"/>
          <w:sz w:val="20"/>
          <w:szCs w:val="20"/>
          <w:lang w:val="es-MX"/>
        </w:rPr>
        <w:t>quedaron abandonados.</w:t>
      </w:r>
      <w:r w:rsidR="00D23D34" w:rsidRPr="00873EBF">
        <w:rPr>
          <w:rFonts w:ascii="Cambria" w:hAnsi="Cambria"/>
          <w:sz w:val="20"/>
          <w:szCs w:val="20"/>
          <w:lang w:val="es-MX"/>
        </w:rPr>
        <w:t xml:space="preserve"> </w:t>
      </w:r>
      <w:r w:rsidR="00D2030A" w:rsidRPr="00873EBF">
        <w:rPr>
          <w:rFonts w:ascii="Cambria" w:hAnsi="Cambria"/>
          <w:sz w:val="20"/>
          <w:szCs w:val="20"/>
          <w:lang w:val="es-MX"/>
        </w:rPr>
        <w:t>E</w:t>
      </w:r>
      <w:r w:rsidRPr="00873EBF">
        <w:rPr>
          <w:rFonts w:ascii="Cambria" w:hAnsi="Cambria"/>
          <w:sz w:val="20"/>
          <w:szCs w:val="20"/>
          <w:lang w:val="es-MX"/>
        </w:rPr>
        <w:t xml:space="preserve">n relación con la protección a la familia, manifiestan que el accionar de las fuerzas militares guatemaltecas habría ocasionado la desintegración de las familias que habitaban en los Josefinos. En cuanto al derecho a la propiedad privada, </w:t>
      </w:r>
      <w:r w:rsidR="0016191F" w:rsidRPr="00873EBF">
        <w:rPr>
          <w:rFonts w:ascii="Cambria" w:hAnsi="Cambria"/>
          <w:sz w:val="20"/>
          <w:szCs w:val="20"/>
          <w:lang w:val="es-MX"/>
        </w:rPr>
        <w:t xml:space="preserve">refieren que </w:t>
      </w:r>
      <w:r w:rsidRPr="00873EBF">
        <w:rPr>
          <w:rFonts w:ascii="Cambria" w:hAnsi="Cambria"/>
          <w:sz w:val="20"/>
          <w:szCs w:val="20"/>
          <w:lang w:val="es-MX"/>
        </w:rPr>
        <w:t xml:space="preserve">éste habría sido transgredido debido a que </w:t>
      </w:r>
      <w:r w:rsidR="0016191F" w:rsidRPr="00873EBF">
        <w:rPr>
          <w:rFonts w:ascii="Cambria" w:hAnsi="Cambria"/>
          <w:sz w:val="20"/>
          <w:szCs w:val="20"/>
          <w:lang w:val="es-MX"/>
        </w:rPr>
        <w:t xml:space="preserve">el ejército </w:t>
      </w:r>
      <w:r w:rsidRPr="00873EBF">
        <w:rPr>
          <w:rFonts w:ascii="Cambria" w:hAnsi="Cambria"/>
          <w:sz w:val="20"/>
          <w:szCs w:val="20"/>
          <w:lang w:val="es-MX"/>
        </w:rPr>
        <w:t>habría destruido los bienes y pertenencias de l</w:t>
      </w:r>
      <w:r w:rsidR="0016191F" w:rsidRPr="00873EBF">
        <w:rPr>
          <w:rFonts w:ascii="Cambria" w:hAnsi="Cambria"/>
          <w:sz w:val="20"/>
          <w:szCs w:val="20"/>
          <w:lang w:val="es-MX"/>
        </w:rPr>
        <w:t xml:space="preserve">os habitantes de Los Josefinos; </w:t>
      </w:r>
      <w:r w:rsidRPr="00873EBF">
        <w:rPr>
          <w:rFonts w:ascii="Cambria" w:hAnsi="Cambria"/>
          <w:sz w:val="20"/>
          <w:szCs w:val="20"/>
          <w:lang w:val="es-MX"/>
        </w:rPr>
        <w:t>además</w:t>
      </w:r>
      <w:r w:rsidR="0016191F" w:rsidRPr="00873EBF">
        <w:rPr>
          <w:rFonts w:ascii="Cambria" w:hAnsi="Cambria"/>
          <w:sz w:val="20"/>
          <w:szCs w:val="20"/>
          <w:lang w:val="es-MX"/>
        </w:rPr>
        <w:t>, señalan</w:t>
      </w:r>
      <w:r w:rsidRPr="00873EBF">
        <w:rPr>
          <w:rFonts w:ascii="Cambria" w:hAnsi="Cambria"/>
          <w:sz w:val="20"/>
          <w:szCs w:val="20"/>
          <w:lang w:val="es-MX"/>
        </w:rPr>
        <w:t xml:space="preserve"> que el Estado no habría protegido la propiedad de los sobrevivientes de la masacre de actos de saqueos.</w:t>
      </w:r>
    </w:p>
    <w:p w:rsidR="005B6D5B" w:rsidRPr="00873EBF" w:rsidRDefault="005B6D5B" w:rsidP="005B6D5B">
      <w:pPr>
        <w:pStyle w:val="ListParagraph"/>
        <w:rPr>
          <w:sz w:val="20"/>
          <w:szCs w:val="20"/>
          <w:lang w:val="es-MX"/>
        </w:rPr>
      </w:pPr>
    </w:p>
    <w:p w:rsidR="005B6D5B" w:rsidRPr="00873EBF" w:rsidRDefault="00284528"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 xml:space="preserve">En relación con el agotamiento de los recursos </w:t>
      </w:r>
      <w:r w:rsidR="005E21C1" w:rsidRPr="00873EBF">
        <w:rPr>
          <w:rFonts w:ascii="Cambria" w:hAnsi="Cambria"/>
          <w:sz w:val="20"/>
          <w:szCs w:val="20"/>
          <w:lang w:val="es-MX"/>
        </w:rPr>
        <w:t xml:space="preserve">internos, </w:t>
      </w:r>
      <w:r w:rsidRPr="00873EBF">
        <w:rPr>
          <w:rFonts w:ascii="Cambria" w:hAnsi="Cambria"/>
          <w:sz w:val="20"/>
          <w:szCs w:val="20"/>
          <w:lang w:val="es-MX"/>
        </w:rPr>
        <w:t xml:space="preserve">indican los peticionarios que debido a que en Guatemala el terror se habría convertido en política de control oficial entre los años 1978 y 1985, ni los sobrevivientes ni los familiares de las presuntas víctimas se habrían atrevido a denunciar la masacre. Por ello, habría sido hasta </w:t>
      </w:r>
      <w:r w:rsidR="00563597" w:rsidRPr="00873EBF">
        <w:rPr>
          <w:rFonts w:ascii="Cambria" w:hAnsi="Cambria"/>
          <w:sz w:val="20"/>
          <w:szCs w:val="20"/>
          <w:lang w:val="es-MX"/>
        </w:rPr>
        <w:t xml:space="preserve">enero de </w:t>
      </w:r>
      <w:r w:rsidRPr="00873EBF">
        <w:rPr>
          <w:rFonts w:ascii="Cambria" w:hAnsi="Cambria"/>
          <w:sz w:val="20"/>
          <w:szCs w:val="20"/>
          <w:lang w:val="es-MX"/>
        </w:rPr>
        <w:t xml:space="preserve">1996 </w:t>
      </w:r>
      <w:r w:rsidR="008A7796" w:rsidRPr="00873EBF">
        <w:rPr>
          <w:rFonts w:ascii="Cambria" w:hAnsi="Cambria"/>
          <w:sz w:val="20"/>
          <w:szCs w:val="20"/>
          <w:lang w:val="es-MX"/>
        </w:rPr>
        <w:t xml:space="preserve">–año </w:t>
      </w:r>
      <w:r w:rsidR="00204795" w:rsidRPr="00873EBF">
        <w:rPr>
          <w:rFonts w:ascii="Cambria" w:hAnsi="Cambria"/>
          <w:sz w:val="20"/>
          <w:szCs w:val="20"/>
          <w:lang w:val="es-MX"/>
        </w:rPr>
        <w:t>de la firma de los Acuerdos de P</w:t>
      </w:r>
      <w:r w:rsidR="008A7796" w:rsidRPr="00873EBF">
        <w:rPr>
          <w:rFonts w:ascii="Cambria" w:hAnsi="Cambria"/>
          <w:sz w:val="20"/>
          <w:szCs w:val="20"/>
          <w:lang w:val="es-MX"/>
        </w:rPr>
        <w:t xml:space="preserve">az– </w:t>
      </w:r>
      <w:r w:rsidRPr="00873EBF">
        <w:rPr>
          <w:rFonts w:ascii="Cambria" w:hAnsi="Cambria"/>
          <w:sz w:val="20"/>
          <w:szCs w:val="20"/>
          <w:lang w:val="es-MX"/>
        </w:rPr>
        <w:t xml:space="preserve">cuando FAMDEGUA le habría solicitado al Juez de Primera Instancia del Departamento de Petén, como anticipo de prueba, </w:t>
      </w:r>
      <w:r w:rsidR="005E21C1" w:rsidRPr="00873EBF">
        <w:rPr>
          <w:rFonts w:ascii="Cambria" w:hAnsi="Cambria"/>
          <w:sz w:val="20"/>
          <w:szCs w:val="20"/>
          <w:lang w:val="es-MX"/>
        </w:rPr>
        <w:t xml:space="preserve">la realización de la </w:t>
      </w:r>
      <w:r w:rsidRPr="00873EBF">
        <w:rPr>
          <w:rFonts w:ascii="Cambria" w:hAnsi="Cambria"/>
          <w:sz w:val="20"/>
          <w:szCs w:val="20"/>
          <w:lang w:val="es-MX"/>
        </w:rPr>
        <w:t xml:space="preserve">exhumación de </w:t>
      </w:r>
      <w:r w:rsidR="005E21C1" w:rsidRPr="00873EBF">
        <w:rPr>
          <w:rFonts w:ascii="Cambria" w:hAnsi="Cambria"/>
          <w:sz w:val="20"/>
          <w:szCs w:val="20"/>
          <w:lang w:val="es-MX"/>
        </w:rPr>
        <w:t xml:space="preserve">las osamentas </w:t>
      </w:r>
      <w:r w:rsidRPr="00873EBF">
        <w:rPr>
          <w:rFonts w:ascii="Cambria" w:hAnsi="Cambria"/>
          <w:sz w:val="20"/>
          <w:szCs w:val="20"/>
          <w:lang w:val="es-MX"/>
        </w:rPr>
        <w:t>que se encontraban en el cementerio clandestino ubicado en Los Josefinos</w:t>
      </w:r>
      <w:r w:rsidR="00563597" w:rsidRPr="00873EBF">
        <w:rPr>
          <w:rFonts w:ascii="Cambria" w:hAnsi="Cambria"/>
          <w:sz w:val="20"/>
          <w:szCs w:val="20"/>
          <w:lang w:val="es-MX"/>
        </w:rPr>
        <w:t xml:space="preserve">. </w:t>
      </w:r>
      <w:r w:rsidR="000B24C8" w:rsidRPr="00873EBF">
        <w:rPr>
          <w:rFonts w:ascii="Cambria" w:hAnsi="Cambria"/>
          <w:sz w:val="20"/>
          <w:szCs w:val="20"/>
          <w:lang w:val="es-MX"/>
        </w:rPr>
        <w:t xml:space="preserve">Asimismo, </w:t>
      </w:r>
      <w:r w:rsidRPr="00873EBF">
        <w:rPr>
          <w:rFonts w:ascii="Cambria" w:hAnsi="Cambria"/>
          <w:sz w:val="20"/>
          <w:szCs w:val="20"/>
          <w:lang w:val="es-MX"/>
        </w:rPr>
        <w:t>los peticiona</w:t>
      </w:r>
      <w:r w:rsidR="0016191F" w:rsidRPr="00873EBF">
        <w:rPr>
          <w:rFonts w:ascii="Cambria" w:hAnsi="Cambria"/>
          <w:sz w:val="20"/>
          <w:szCs w:val="20"/>
          <w:lang w:val="es-MX"/>
        </w:rPr>
        <w:t xml:space="preserve">rios </w:t>
      </w:r>
      <w:r w:rsidR="000A5FA2" w:rsidRPr="00873EBF">
        <w:rPr>
          <w:rFonts w:ascii="Cambria" w:hAnsi="Cambria"/>
          <w:sz w:val="20"/>
          <w:szCs w:val="20"/>
          <w:lang w:val="es-MX"/>
        </w:rPr>
        <w:t xml:space="preserve">señalan </w:t>
      </w:r>
      <w:r w:rsidR="0016191F" w:rsidRPr="00873EBF">
        <w:rPr>
          <w:rFonts w:ascii="Cambria" w:hAnsi="Cambria"/>
          <w:sz w:val="20"/>
          <w:szCs w:val="20"/>
          <w:lang w:val="es-MX"/>
        </w:rPr>
        <w:t>que a</w:t>
      </w:r>
      <w:r w:rsidR="000A5FA2" w:rsidRPr="00873EBF">
        <w:rPr>
          <w:rFonts w:ascii="Cambria" w:hAnsi="Cambria"/>
          <w:sz w:val="20"/>
          <w:szCs w:val="20"/>
          <w:lang w:val="es-MX"/>
        </w:rPr>
        <w:t xml:space="preserve"> </w:t>
      </w:r>
      <w:r w:rsidR="0016191F" w:rsidRPr="00873EBF">
        <w:rPr>
          <w:rFonts w:ascii="Cambria" w:hAnsi="Cambria"/>
          <w:sz w:val="20"/>
          <w:szCs w:val="20"/>
          <w:lang w:val="es-MX"/>
        </w:rPr>
        <w:t>más de 30 años de</w:t>
      </w:r>
      <w:r w:rsidRPr="00873EBF">
        <w:rPr>
          <w:rFonts w:ascii="Cambria" w:hAnsi="Cambria"/>
          <w:sz w:val="20"/>
          <w:szCs w:val="20"/>
          <w:lang w:val="es-MX"/>
        </w:rPr>
        <w:t xml:space="preserve"> la masacr</w:t>
      </w:r>
      <w:r w:rsidR="0016191F" w:rsidRPr="00873EBF">
        <w:rPr>
          <w:rFonts w:ascii="Cambria" w:hAnsi="Cambria"/>
          <w:sz w:val="20"/>
          <w:szCs w:val="20"/>
          <w:lang w:val="es-MX"/>
        </w:rPr>
        <w:t>e de los Josefinos y de 19</w:t>
      </w:r>
      <w:r w:rsidRPr="00873EBF">
        <w:rPr>
          <w:rFonts w:ascii="Cambria" w:hAnsi="Cambria"/>
          <w:sz w:val="20"/>
          <w:szCs w:val="20"/>
          <w:lang w:val="es-MX"/>
        </w:rPr>
        <w:t xml:space="preserve"> años de la apertura de la</w:t>
      </w:r>
      <w:r w:rsidR="000A5FA2" w:rsidRPr="00873EBF">
        <w:rPr>
          <w:rFonts w:ascii="Cambria" w:hAnsi="Cambria"/>
          <w:sz w:val="20"/>
          <w:szCs w:val="20"/>
          <w:lang w:val="es-MX"/>
        </w:rPr>
        <w:t xml:space="preserve"> investigación respectiva, </w:t>
      </w:r>
      <w:r w:rsidRPr="00873EBF">
        <w:rPr>
          <w:rFonts w:ascii="Cambria" w:hAnsi="Cambria"/>
          <w:sz w:val="20"/>
          <w:szCs w:val="20"/>
          <w:lang w:val="es-MX"/>
        </w:rPr>
        <w:t xml:space="preserve">los avances sustanciales en la </w:t>
      </w:r>
      <w:r w:rsidR="000A5FA2" w:rsidRPr="00873EBF">
        <w:rPr>
          <w:rFonts w:ascii="Cambria" w:hAnsi="Cambria"/>
          <w:sz w:val="20"/>
          <w:szCs w:val="20"/>
          <w:lang w:val="es-MX"/>
        </w:rPr>
        <w:t xml:space="preserve">misma </w:t>
      </w:r>
      <w:r w:rsidRPr="00873EBF">
        <w:rPr>
          <w:rFonts w:ascii="Cambria" w:hAnsi="Cambria"/>
          <w:sz w:val="20"/>
          <w:szCs w:val="20"/>
          <w:lang w:val="es-MX"/>
        </w:rPr>
        <w:t xml:space="preserve">serían escasos y no se habría dado respuesta </w:t>
      </w:r>
      <w:r w:rsidR="00F054D4" w:rsidRPr="00873EBF">
        <w:rPr>
          <w:rFonts w:ascii="Cambria" w:hAnsi="Cambria"/>
          <w:sz w:val="20"/>
          <w:szCs w:val="20"/>
          <w:lang w:val="es-MX"/>
        </w:rPr>
        <w:t xml:space="preserve">satisfactoria y </w:t>
      </w:r>
      <w:r w:rsidRPr="00873EBF">
        <w:rPr>
          <w:rFonts w:ascii="Cambria" w:hAnsi="Cambria"/>
          <w:sz w:val="20"/>
          <w:szCs w:val="20"/>
          <w:lang w:val="es-MX"/>
        </w:rPr>
        <w:t>efectiva a las presuntas víctimas y sus familiares</w:t>
      </w:r>
      <w:r w:rsidR="0016191F" w:rsidRPr="00873EBF">
        <w:rPr>
          <w:rFonts w:ascii="Cambria" w:hAnsi="Cambria"/>
          <w:sz w:val="20"/>
          <w:szCs w:val="20"/>
          <w:lang w:val="es-MX"/>
        </w:rPr>
        <w:t xml:space="preserve">. </w:t>
      </w:r>
      <w:r w:rsidR="000A5FA2" w:rsidRPr="00873EBF">
        <w:rPr>
          <w:rFonts w:ascii="Cambria" w:hAnsi="Cambria"/>
          <w:sz w:val="20"/>
          <w:szCs w:val="20"/>
          <w:lang w:val="es-MX"/>
        </w:rPr>
        <w:t>Ante el alegado retardo injustificado por parte de</w:t>
      </w:r>
      <w:r w:rsidR="000B24C8" w:rsidRPr="00873EBF">
        <w:rPr>
          <w:rFonts w:ascii="Cambria" w:hAnsi="Cambria"/>
          <w:sz w:val="20"/>
          <w:szCs w:val="20"/>
          <w:lang w:val="es-MX"/>
        </w:rPr>
        <w:t xml:space="preserve">l Estado guatemalteco, </w:t>
      </w:r>
      <w:r w:rsidRPr="00873EBF">
        <w:rPr>
          <w:rFonts w:ascii="Cambria" w:hAnsi="Cambria"/>
          <w:sz w:val="20"/>
          <w:szCs w:val="20"/>
          <w:lang w:val="es-MX"/>
        </w:rPr>
        <w:t>los peticionarios consideran que se actualizaría el supuesto de la excepción del agotamiento de recursos internos, contenida en el artículo 46.2.c.</w:t>
      </w:r>
      <w:r w:rsidR="0016191F" w:rsidRPr="00873EBF">
        <w:rPr>
          <w:rFonts w:ascii="Cambria" w:hAnsi="Cambria"/>
          <w:sz w:val="20"/>
          <w:szCs w:val="20"/>
          <w:lang w:val="es-MX"/>
        </w:rPr>
        <w:t xml:space="preserve"> de la Convención.</w:t>
      </w:r>
      <w:r w:rsidRPr="00873EBF">
        <w:rPr>
          <w:rFonts w:ascii="Cambria" w:hAnsi="Cambria"/>
          <w:sz w:val="20"/>
          <w:szCs w:val="20"/>
          <w:lang w:val="es-MX"/>
        </w:rPr>
        <w:t xml:space="preserve"> </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5B6D5B" w:rsidRPr="00873EBF" w:rsidRDefault="005B6D5B" w:rsidP="005B6D5B">
      <w:pPr>
        <w:numPr>
          <w:ilvl w:val="3"/>
          <w:numId w:val="57"/>
        </w:numPr>
        <w:tabs>
          <w:tab w:val="clear" w:pos="3240"/>
          <w:tab w:val="num" w:pos="1440"/>
        </w:tabs>
        <w:ind w:left="1440" w:hanging="720"/>
        <w:jc w:val="both"/>
        <w:rPr>
          <w:rFonts w:ascii="Cambria" w:hAnsi="Cambria"/>
          <w:b/>
          <w:sz w:val="20"/>
          <w:szCs w:val="20"/>
          <w:lang w:val="es-MX"/>
        </w:rPr>
      </w:pPr>
      <w:r w:rsidRPr="00873EBF">
        <w:rPr>
          <w:rFonts w:ascii="Cambria" w:hAnsi="Cambria"/>
          <w:b/>
          <w:sz w:val="20"/>
          <w:szCs w:val="20"/>
          <w:lang w:val="es-MX"/>
        </w:rPr>
        <w:t>El Estado</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5B6D5B" w:rsidRPr="00873EBF" w:rsidRDefault="000A5FA2"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 xml:space="preserve">El Estado guatemalteco reconoce la responsabilidad internacional respecto a los </w:t>
      </w:r>
      <w:r w:rsidR="00E107E2" w:rsidRPr="00873EBF">
        <w:rPr>
          <w:rFonts w:ascii="Cambria" w:hAnsi="Cambria"/>
          <w:sz w:val="20"/>
          <w:szCs w:val="20"/>
          <w:lang w:val="es-MX"/>
        </w:rPr>
        <w:t xml:space="preserve">hechos </w:t>
      </w:r>
      <w:r w:rsidRPr="00873EBF">
        <w:rPr>
          <w:rFonts w:ascii="Cambria" w:hAnsi="Cambria"/>
          <w:sz w:val="20"/>
          <w:szCs w:val="20"/>
          <w:lang w:val="es-MX"/>
        </w:rPr>
        <w:t>ocurridos durante la masacre de Los Jo</w:t>
      </w:r>
      <w:r w:rsidR="00E107E2" w:rsidRPr="00873EBF">
        <w:rPr>
          <w:rFonts w:ascii="Cambria" w:hAnsi="Cambria"/>
          <w:sz w:val="20"/>
          <w:szCs w:val="20"/>
          <w:lang w:val="es-MX"/>
        </w:rPr>
        <w:t>sefinos.</w:t>
      </w:r>
      <w:r w:rsidRPr="00873EBF">
        <w:rPr>
          <w:rFonts w:ascii="Cambria" w:hAnsi="Cambria"/>
          <w:sz w:val="20"/>
          <w:szCs w:val="20"/>
          <w:lang w:val="es-MX"/>
        </w:rPr>
        <w:t xml:space="preserve"> En este sentido, señala que </w:t>
      </w:r>
      <w:r w:rsidR="00AE3821" w:rsidRPr="00873EBF">
        <w:rPr>
          <w:rFonts w:ascii="Cambria" w:hAnsi="Cambria"/>
          <w:sz w:val="20"/>
          <w:szCs w:val="20"/>
          <w:lang w:val="es-MX"/>
        </w:rPr>
        <w:t xml:space="preserve">alrededor de las 5:00 pm del 29 de abril de 1982, el comando militar del departamento de la comunidad Palestina habría llegado a la aldea, </w:t>
      </w:r>
      <w:r w:rsidRPr="00873EBF">
        <w:rPr>
          <w:rFonts w:ascii="Cambria" w:hAnsi="Cambria"/>
          <w:sz w:val="20"/>
          <w:szCs w:val="20"/>
          <w:lang w:val="es-MX"/>
        </w:rPr>
        <w:t xml:space="preserve">la habría sitiado, e impedido </w:t>
      </w:r>
      <w:r w:rsidR="00EF5B40" w:rsidRPr="00873EBF">
        <w:rPr>
          <w:rFonts w:ascii="Cambria" w:hAnsi="Cambria"/>
          <w:sz w:val="20"/>
          <w:szCs w:val="20"/>
          <w:lang w:val="es-MX"/>
        </w:rPr>
        <w:t xml:space="preserve">la </w:t>
      </w:r>
      <w:r w:rsidR="00296892" w:rsidRPr="00873EBF">
        <w:rPr>
          <w:rFonts w:ascii="Cambria" w:hAnsi="Cambria"/>
          <w:sz w:val="20"/>
          <w:szCs w:val="20"/>
          <w:lang w:val="es-MX"/>
        </w:rPr>
        <w:t>salida de la misma. A</w:t>
      </w:r>
      <w:r w:rsidR="00AE3821" w:rsidRPr="00873EBF">
        <w:rPr>
          <w:rFonts w:ascii="Cambria" w:hAnsi="Cambria"/>
          <w:sz w:val="20"/>
          <w:szCs w:val="20"/>
          <w:lang w:val="es-MX"/>
        </w:rPr>
        <w:t>ntes de las 7:00pm</w:t>
      </w:r>
      <w:r w:rsidR="00296892" w:rsidRPr="00873EBF">
        <w:rPr>
          <w:rFonts w:ascii="Cambria" w:hAnsi="Cambria"/>
          <w:sz w:val="20"/>
          <w:szCs w:val="20"/>
          <w:lang w:val="es-MX"/>
        </w:rPr>
        <w:t>, según el Estado, el referido comando militar</w:t>
      </w:r>
      <w:r w:rsidR="00AE3821" w:rsidRPr="00873EBF">
        <w:rPr>
          <w:rFonts w:ascii="Cambria" w:hAnsi="Cambria"/>
          <w:sz w:val="20"/>
          <w:szCs w:val="20"/>
          <w:lang w:val="es-MX"/>
        </w:rPr>
        <w:t xml:space="preserve"> </w:t>
      </w:r>
      <w:r w:rsidR="00EF5B40" w:rsidRPr="00873EBF">
        <w:rPr>
          <w:rFonts w:ascii="Cambria" w:hAnsi="Cambria"/>
          <w:sz w:val="20"/>
          <w:szCs w:val="20"/>
          <w:lang w:val="es-MX"/>
        </w:rPr>
        <w:t xml:space="preserve">dio </w:t>
      </w:r>
      <w:r w:rsidR="00AE3821" w:rsidRPr="00873EBF">
        <w:rPr>
          <w:rFonts w:ascii="Cambria" w:hAnsi="Cambria"/>
          <w:sz w:val="20"/>
          <w:szCs w:val="20"/>
          <w:lang w:val="es-MX"/>
        </w:rPr>
        <w:t>muerte a los patrulleros en turno de vigilancia de Los Josefinos</w:t>
      </w:r>
      <w:r w:rsidR="00296892" w:rsidRPr="00873EBF">
        <w:rPr>
          <w:rFonts w:ascii="Cambria" w:hAnsi="Cambria"/>
          <w:sz w:val="20"/>
          <w:szCs w:val="20"/>
          <w:lang w:val="es-MX"/>
        </w:rPr>
        <w:t>, posteriormente, prendió fuego a los ranchos y mató a los habitantes de Los Josefinos a disparos o a golpe</w:t>
      </w:r>
      <w:r w:rsidR="00E107E2" w:rsidRPr="00873EBF">
        <w:rPr>
          <w:rFonts w:ascii="Cambria" w:hAnsi="Cambria"/>
          <w:sz w:val="20"/>
          <w:szCs w:val="20"/>
          <w:lang w:val="es-MX"/>
        </w:rPr>
        <w:t>s. El Estado guatemalteco indica</w:t>
      </w:r>
      <w:r w:rsidR="00296892" w:rsidRPr="00873EBF">
        <w:rPr>
          <w:rFonts w:ascii="Cambria" w:hAnsi="Cambria"/>
          <w:sz w:val="20"/>
          <w:szCs w:val="20"/>
          <w:lang w:val="es-MX"/>
        </w:rPr>
        <w:t xml:space="preserve"> que los sobrevivientes se escondieron en las montañas y que la aldea quedó desierta. </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1A63EC" w:rsidRPr="00873EBF" w:rsidRDefault="00AE3821" w:rsidP="001A63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En relación con el inicio del proceso judicial relacionado con los hech</w:t>
      </w:r>
      <w:r w:rsidR="00E107E2" w:rsidRPr="00873EBF">
        <w:rPr>
          <w:rFonts w:ascii="Cambria" w:hAnsi="Cambria"/>
          <w:sz w:val="20"/>
          <w:szCs w:val="20"/>
          <w:lang w:val="es-MX"/>
        </w:rPr>
        <w:t xml:space="preserve">os del presente caso, el Estado </w:t>
      </w:r>
      <w:r w:rsidRPr="00873EBF">
        <w:rPr>
          <w:rFonts w:ascii="Cambria" w:hAnsi="Cambria"/>
          <w:sz w:val="20"/>
          <w:szCs w:val="20"/>
          <w:lang w:val="es-MX"/>
        </w:rPr>
        <w:t xml:space="preserve">coincide con los peticionarios en que éste habría iniciado el 16 de enero de 1996, con la denuncia de FAMDEGUA respecto a la existencia de un lugar donde se encontrarían enterradas las presuntas víctimas de </w:t>
      </w:r>
      <w:r w:rsidRPr="00873EBF">
        <w:rPr>
          <w:rFonts w:ascii="Cambria" w:hAnsi="Cambria"/>
          <w:sz w:val="20"/>
          <w:szCs w:val="20"/>
          <w:lang w:val="es-MX"/>
        </w:rPr>
        <w:lastRenderedPageBreak/>
        <w:t xml:space="preserve">la masacre de Los Josefinos. </w:t>
      </w:r>
      <w:r w:rsidR="000A5FA2" w:rsidRPr="00873EBF">
        <w:rPr>
          <w:rFonts w:ascii="Cambria" w:hAnsi="Cambria"/>
          <w:sz w:val="20"/>
          <w:szCs w:val="20"/>
          <w:lang w:val="es-MX"/>
        </w:rPr>
        <w:t>Asimismo,</w:t>
      </w:r>
      <w:r w:rsidR="00AB753B" w:rsidRPr="00873EBF">
        <w:rPr>
          <w:rFonts w:ascii="Cambria" w:hAnsi="Cambria"/>
          <w:sz w:val="20"/>
          <w:szCs w:val="20"/>
          <w:lang w:val="es-MX"/>
        </w:rPr>
        <w:t xml:space="preserve"> el Estado también coincide con lo referido por los peticionarios en relación con las diligencias llevadas a cabo en el marco de este proceso</w:t>
      </w:r>
      <w:r w:rsidR="004403D1" w:rsidRPr="00873EBF">
        <w:rPr>
          <w:rFonts w:ascii="Cambria" w:hAnsi="Cambria"/>
          <w:sz w:val="20"/>
          <w:szCs w:val="20"/>
          <w:lang w:val="es-MX"/>
        </w:rPr>
        <w:t>.</w:t>
      </w:r>
      <w:r w:rsidR="00034560" w:rsidRPr="00873EBF">
        <w:rPr>
          <w:rFonts w:ascii="Cambria" w:hAnsi="Cambria"/>
          <w:sz w:val="20"/>
          <w:szCs w:val="20"/>
          <w:lang w:val="es-MX"/>
        </w:rPr>
        <w:t xml:space="preserve"> </w:t>
      </w:r>
    </w:p>
    <w:p w:rsidR="001A63EC" w:rsidRPr="00873EBF" w:rsidRDefault="001A63EC" w:rsidP="001A63EC">
      <w:pPr>
        <w:pStyle w:val="ListParagraph"/>
        <w:rPr>
          <w:rFonts w:eastAsia="Arial Unicode MS" w:cs="Times New Roman"/>
          <w:color w:val="auto"/>
          <w:sz w:val="20"/>
          <w:szCs w:val="20"/>
          <w:lang w:val="es-MX" w:eastAsia="en-US"/>
        </w:rPr>
      </w:pPr>
    </w:p>
    <w:p w:rsidR="001A63EC" w:rsidRPr="00873EBF" w:rsidRDefault="001A63EC" w:rsidP="001A63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MX"/>
        </w:rPr>
      </w:pPr>
      <w:r w:rsidRPr="00873EBF">
        <w:rPr>
          <w:rFonts w:ascii="Cambria" w:hAnsi="Cambria"/>
          <w:sz w:val="20"/>
          <w:szCs w:val="20"/>
          <w:lang w:val="es-MX"/>
        </w:rPr>
        <w:t xml:space="preserve">Sobre las presuntas víctimas, el Estado señala que ante la eventual determinación de admisibilidad y posterior resolución de fondo, le solicita a la CIDH reconocer como “adecuada y efectiva la reparación económica” que efectuó a favor de 251 grupos de familiares de presuntas víctimas, en el marco del </w:t>
      </w:r>
      <w:r w:rsidR="009A2464" w:rsidRPr="00873EBF">
        <w:rPr>
          <w:rFonts w:ascii="Cambria" w:hAnsi="Cambria"/>
          <w:sz w:val="20"/>
          <w:szCs w:val="20"/>
          <w:lang w:val="es-MX"/>
        </w:rPr>
        <w:t xml:space="preserve">proceso hacia una posible </w:t>
      </w:r>
      <w:r w:rsidRPr="00873EBF">
        <w:rPr>
          <w:rFonts w:ascii="Cambria" w:hAnsi="Cambria"/>
          <w:sz w:val="20"/>
          <w:szCs w:val="20"/>
          <w:lang w:val="es-MX"/>
        </w:rPr>
        <w:t>soluci</w:t>
      </w:r>
      <w:r w:rsidR="009A2464" w:rsidRPr="00873EBF">
        <w:rPr>
          <w:rFonts w:ascii="Cambria" w:hAnsi="Cambria"/>
          <w:sz w:val="20"/>
          <w:szCs w:val="20"/>
          <w:lang w:val="es-MX"/>
        </w:rPr>
        <w:t>ón amistosa del presente caso.</w:t>
      </w:r>
    </w:p>
    <w:p w:rsidR="005B6D5B" w:rsidRPr="00873EBF" w:rsidRDefault="005B6D5B" w:rsidP="001A63EC">
      <w:pPr>
        <w:pStyle w:val="ListParagraph"/>
        <w:rPr>
          <w:sz w:val="20"/>
          <w:szCs w:val="20"/>
          <w:lang w:val="es-MX"/>
        </w:rPr>
      </w:pPr>
    </w:p>
    <w:p w:rsidR="005B6D5B" w:rsidRPr="00873EBF" w:rsidRDefault="000D2846" w:rsidP="001A63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 xml:space="preserve">Respecto al agotamiento de los recursos internos, el Estado expresa que </w:t>
      </w:r>
      <w:r w:rsidR="0014044D" w:rsidRPr="00873EBF">
        <w:rPr>
          <w:rFonts w:ascii="Cambria" w:hAnsi="Cambria"/>
          <w:sz w:val="20"/>
          <w:szCs w:val="20"/>
          <w:lang w:val="es-MX"/>
        </w:rPr>
        <w:t>se realizaron “</w:t>
      </w:r>
      <w:r w:rsidRPr="00873EBF">
        <w:rPr>
          <w:rFonts w:ascii="Cambria" w:hAnsi="Cambria"/>
          <w:sz w:val="20"/>
          <w:szCs w:val="20"/>
          <w:lang w:val="es-MX"/>
        </w:rPr>
        <w:t>todas las diligencias […] para llevar a cabo la investig</w:t>
      </w:r>
      <w:r w:rsidR="0014044D" w:rsidRPr="00873EBF">
        <w:rPr>
          <w:rFonts w:ascii="Cambria" w:hAnsi="Cambria"/>
          <w:sz w:val="20"/>
          <w:szCs w:val="20"/>
          <w:lang w:val="es-MX"/>
        </w:rPr>
        <w:t xml:space="preserve">ación de forma eficaz”, y que es </w:t>
      </w:r>
      <w:r w:rsidRPr="00873EBF">
        <w:rPr>
          <w:rFonts w:ascii="Cambria" w:hAnsi="Cambria"/>
          <w:sz w:val="20"/>
          <w:szCs w:val="20"/>
          <w:lang w:val="es-MX"/>
        </w:rPr>
        <w:t>necesario dar tiempo para que dicha investigación pu</w:t>
      </w:r>
      <w:r w:rsidR="0014044D" w:rsidRPr="00873EBF">
        <w:rPr>
          <w:rFonts w:ascii="Cambria" w:hAnsi="Cambria"/>
          <w:sz w:val="20"/>
          <w:szCs w:val="20"/>
          <w:lang w:val="es-MX"/>
        </w:rPr>
        <w:t xml:space="preserve">eda </w:t>
      </w:r>
      <w:r w:rsidRPr="00873EBF">
        <w:rPr>
          <w:rFonts w:ascii="Cambria" w:hAnsi="Cambria"/>
          <w:sz w:val="20"/>
          <w:szCs w:val="20"/>
          <w:lang w:val="es-MX"/>
        </w:rPr>
        <w:t xml:space="preserve">concluirse. De hecho, </w:t>
      </w:r>
      <w:r w:rsidR="006A3FDF" w:rsidRPr="00873EBF">
        <w:rPr>
          <w:rFonts w:ascii="Cambria" w:hAnsi="Cambria"/>
          <w:sz w:val="20"/>
          <w:szCs w:val="20"/>
          <w:lang w:val="es-MX"/>
        </w:rPr>
        <w:t xml:space="preserve">en sus observaciones de fecha 3 de octubre de 2014, el Estado </w:t>
      </w:r>
      <w:r w:rsidRPr="00873EBF">
        <w:rPr>
          <w:rFonts w:ascii="Cambria" w:hAnsi="Cambria"/>
          <w:sz w:val="20"/>
          <w:szCs w:val="20"/>
          <w:lang w:val="es-MX"/>
        </w:rPr>
        <w:t>señala que actualmente se encuentra trabajando en la actualización del plan de investigación de</w:t>
      </w:r>
      <w:r w:rsidR="00AB753B" w:rsidRPr="00873EBF">
        <w:rPr>
          <w:rFonts w:ascii="Cambria" w:hAnsi="Cambria"/>
          <w:sz w:val="20"/>
          <w:szCs w:val="20"/>
          <w:lang w:val="es-MX"/>
        </w:rPr>
        <w:t xml:space="preserve"> </w:t>
      </w:r>
      <w:r w:rsidRPr="00873EBF">
        <w:rPr>
          <w:rFonts w:ascii="Cambria" w:hAnsi="Cambria"/>
          <w:sz w:val="20"/>
          <w:szCs w:val="20"/>
          <w:lang w:val="es-MX"/>
        </w:rPr>
        <w:t>l</w:t>
      </w:r>
      <w:r w:rsidR="00AB753B" w:rsidRPr="00873EBF">
        <w:rPr>
          <w:rFonts w:ascii="Cambria" w:hAnsi="Cambria"/>
          <w:sz w:val="20"/>
          <w:szCs w:val="20"/>
          <w:lang w:val="es-MX"/>
        </w:rPr>
        <w:t xml:space="preserve">a presente causa, a fin de </w:t>
      </w:r>
      <w:r w:rsidRPr="00873EBF">
        <w:rPr>
          <w:rFonts w:ascii="Cambria" w:hAnsi="Cambria"/>
          <w:sz w:val="20"/>
          <w:szCs w:val="20"/>
          <w:lang w:val="es-MX"/>
        </w:rPr>
        <w:t xml:space="preserve">elaborar un cronograma de diligenciamiento de los medios de investigación pendientes. Asimismo, el </w:t>
      </w:r>
      <w:r w:rsidR="009A2B4E" w:rsidRPr="00873EBF">
        <w:rPr>
          <w:rFonts w:ascii="Cambria" w:hAnsi="Cambria"/>
          <w:sz w:val="20"/>
          <w:szCs w:val="20"/>
          <w:lang w:val="es-MX"/>
        </w:rPr>
        <w:t>Estado</w:t>
      </w:r>
      <w:r w:rsidR="0016191F" w:rsidRPr="00873EBF">
        <w:rPr>
          <w:rFonts w:ascii="Cambria" w:hAnsi="Cambria"/>
          <w:sz w:val="20"/>
          <w:szCs w:val="20"/>
          <w:lang w:val="es-MX"/>
        </w:rPr>
        <w:t xml:space="preserve"> </w:t>
      </w:r>
      <w:r w:rsidRPr="00873EBF">
        <w:rPr>
          <w:rFonts w:ascii="Cambria" w:hAnsi="Cambria"/>
          <w:sz w:val="20"/>
          <w:szCs w:val="20"/>
          <w:lang w:val="es-MX"/>
        </w:rPr>
        <w:t xml:space="preserve">manifiesta </w:t>
      </w:r>
      <w:r w:rsidR="0016191F" w:rsidRPr="00873EBF">
        <w:rPr>
          <w:rFonts w:ascii="Cambria" w:hAnsi="Cambria"/>
          <w:sz w:val="20"/>
          <w:szCs w:val="20"/>
          <w:lang w:val="es-MX"/>
        </w:rPr>
        <w:t xml:space="preserve">que los peticionarios no </w:t>
      </w:r>
      <w:r w:rsidR="009A2B4E" w:rsidRPr="00873EBF">
        <w:rPr>
          <w:rFonts w:ascii="Cambria" w:hAnsi="Cambria"/>
          <w:sz w:val="20"/>
          <w:szCs w:val="20"/>
          <w:lang w:val="es-MX"/>
        </w:rPr>
        <w:t>ha</w:t>
      </w:r>
      <w:r w:rsidR="0016191F" w:rsidRPr="00873EBF">
        <w:rPr>
          <w:rFonts w:ascii="Cambria" w:hAnsi="Cambria"/>
          <w:sz w:val="20"/>
          <w:szCs w:val="20"/>
          <w:lang w:val="es-MX"/>
        </w:rPr>
        <w:t xml:space="preserve">brían </w:t>
      </w:r>
      <w:r w:rsidR="009A2B4E" w:rsidRPr="00873EBF">
        <w:rPr>
          <w:rFonts w:ascii="Cambria" w:hAnsi="Cambria"/>
          <w:sz w:val="20"/>
          <w:szCs w:val="20"/>
          <w:lang w:val="es-MX"/>
        </w:rPr>
        <w:t>agotado los recursos de jurisdicción interna ya que e</w:t>
      </w:r>
      <w:r w:rsidRPr="00873EBF">
        <w:rPr>
          <w:rFonts w:ascii="Cambria" w:hAnsi="Cambria"/>
          <w:sz w:val="20"/>
          <w:szCs w:val="20"/>
          <w:lang w:val="es-MX"/>
        </w:rPr>
        <w:t xml:space="preserve">ste </w:t>
      </w:r>
      <w:r w:rsidR="009A2B4E" w:rsidRPr="00873EBF">
        <w:rPr>
          <w:rFonts w:ascii="Cambria" w:hAnsi="Cambria"/>
          <w:sz w:val="20"/>
          <w:szCs w:val="20"/>
          <w:lang w:val="es-MX"/>
        </w:rPr>
        <w:t>proceso penal aún se encuentra en la etapa de investigación,</w:t>
      </w:r>
      <w:r w:rsidRPr="00873EBF">
        <w:rPr>
          <w:rFonts w:ascii="Cambria" w:hAnsi="Cambria"/>
          <w:sz w:val="20"/>
          <w:szCs w:val="20"/>
          <w:lang w:val="es-MX"/>
        </w:rPr>
        <w:t xml:space="preserve"> y</w:t>
      </w:r>
      <w:r w:rsidR="00AB753B" w:rsidRPr="00873EBF">
        <w:rPr>
          <w:rFonts w:ascii="Cambria" w:hAnsi="Cambria"/>
          <w:sz w:val="20"/>
          <w:szCs w:val="20"/>
          <w:lang w:val="es-MX"/>
        </w:rPr>
        <w:t xml:space="preserve"> que</w:t>
      </w:r>
      <w:r w:rsidR="009A2B4E" w:rsidRPr="00873EBF">
        <w:rPr>
          <w:rFonts w:ascii="Cambria" w:hAnsi="Cambria"/>
          <w:sz w:val="20"/>
          <w:szCs w:val="20"/>
          <w:lang w:val="es-MX"/>
        </w:rPr>
        <w:t xml:space="preserve"> ninguna de las partes ha</w:t>
      </w:r>
      <w:r w:rsidR="0016191F" w:rsidRPr="00873EBF">
        <w:rPr>
          <w:rFonts w:ascii="Cambria" w:hAnsi="Cambria"/>
          <w:sz w:val="20"/>
          <w:szCs w:val="20"/>
          <w:lang w:val="es-MX"/>
        </w:rPr>
        <w:t>bría</w:t>
      </w:r>
      <w:r w:rsidR="009A2B4E" w:rsidRPr="00873EBF">
        <w:rPr>
          <w:rFonts w:ascii="Cambria" w:hAnsi="Cambria"/>
          <w:sz w:val="20"/>
          <w:szCs w:val="20"/>
          <w:lang w:val="es-MX"/>
        </w:rPr>
        <w:t xml:space="preserve"> solicitado u</w:t>
      </w:r>
      <w:r w:rsidR="0016191F" w:rsidRPr="00873EBF">
        <w:rPr>
          <w:rFonts w:ascii="Cambria" w:hAnsi="Cambria"/>
          <w:sz w:val="20"/>
          <w:szCs w:val="20"/>
          <w:lang w:val="es-MX"/>
        </w:rPr>
        <w:t>n a</w:t>
      </w:r>
      <w:r w:rsidR="006A3FDF" w:rsidRPr="00873EBF">
        <w:rPr>
          <w:rFonts w:ascii="Cambria" w:hAnsi="Cambria"/>
          <w:sz w:val="20"/>
          <w:szCs w:val="20"/>
          <w:lang w:val="es-MX"/>
        </w:rPr>
        <w:t xml:space="preserve">cto conclusivo “que </w:t>
      </w:r>
      <w:proofErr w:type="spellStart"/>
      <w:r w:rsidR="006A3FDF" w:rsidRPr="00873EBF">
        <w:rPr>
          <w:rFonts w:ascii="Cambria" w:hAnsi="Cambria"/>
          <w:sz w:val="20"/>
          <w:szCs w:val="20"/>
          <w:lang w:val="es-MX"/>
        </w:rPr>
        <w:t>determin</w:t>
      </w:r>
      <w:proofErr w:type="spellEnd"/>
      <w:r w:rsidR="006A3FDF" w:rsidRPr="00873EBF">
        <w:rPr>
          <w:rFonts w:ascii="Cambria" w:hAnsi="Cambria"/>
          <w:sz w:val="20"/>
          <w:szCs w:val="20"/>
          <w:lang w:val="es-MX"/>
        </w:rPr>
        <w:t>[e</w:t>
      </w:r>
      <w:r w:rsidR="0016191F" w:rsidRPr="00873EBF">
        <w:rPr>
          <w:rFonts w:ascii="Cambria" w:hAnsi="Cambria"/>
          <w:sz w:val="20"/>
          <w:szCs w:val="20"/>
          <w:lang w:val="es-MX"/>
        </w:rPr>
        <w:t>]</w:t>
      </w:r>
      <w:r w:rsidR="009A2B4E" w:rsidRPr="00873EBF">
        <w:rPr>
          <w:rFonts w:ascii="Cambria" w:hAnsi="Cambria"/>
          <w:sz w:val="20"/>
          <w:szCs w:val="20"/>
          <w:lang w:val="es-MX"/>
        </w:rPr>
        <w:t xml:space="preserve"> la posibilidad de presentar acusación y petición de apertura a juicio”.</w:t>
      </w:r>
      <w:r w:rsidR="0016191F" w:rsidRPr="00873EBF">
        <w:rPr>
          <w:rFonts w:ascii="Cambria" w:hAnsi="Cambria"/>
          <w:sz w:val="20"/>
          <w:szCs w:val="20"/>
          <w:lang w:val="es-MX"/>
        </w:rPr>
        <w:t xml:space="preserve"> Por </w:t>
      </w:r>
      <w:r w:rsidR="00AB753B" w:rsidRPr="00873EBF">
        <w:rPr>
          <w:rFonts w:ascii="Cambria" w:hAnsi="Cambria"/>
          <w:sz w:val="20"/>
          <w:szCs w:val="20"/>
          <w:lang w:val="es-MX"/>
        </w:rPr>
        <w:t xml:space="preserve">todo </w:t>
      </w:r>
      <w:r w:rsidR="0016191F" w:rsidRPr="00873EBF">
        <w:rPr>
          <w:rFonts w:ascii="Cambria" w:hAnsi="Cambria"/>
          <w:sz w:val="20"/>
          <w:szCs w:val="20"/>
          <w:lang w:val="es-MX"/>
        </w:rPr>
        <w:t xml:space="preserve">lo anterior, solicita a </w:t>
      </w:r>
      <w:r w:rsidRPr="00873EBF">
        <w:rPr>
          <w:rFonts w:ascii="Cambria" w:hAnsi="Cambria"/>
          <w:sz w:val="20"/>
          <w:szCs w:val="20"/>
          <w:lang w:val="es-MX"/>
        </w:rPr>
        <w:t xml:space="preserve">esta Comisión que declare </w:t>
      </w:r>
      <w:r w:rsidR="0016191F" w:rsidRPr="00873EBF">
        <w:rPr>
          <w:rFonts w:ascii="Cambria" w:hAnsi="Cambria"/>
          <w:sz w:val="20"/>
          <w:szCs w:val="20"/>
          <w:lang w:val="es-MX"/>
        </w:rPr>
        <w:t>la inadmisib</w:t>
      </w:r>
      <w:r w:rsidR="005B6D5B" w:rsidRPr="00873EBF">
        <w:rPr>
          <w:rFonts w:ascii="Cambria" w:hAnsi="Cambria"/>
          <w:sz w:val="20"/>
          <w:szCs w:val="20"/>
          <w:lang w:val="es-MX"/>
        </w:rPr>
        <w:t>ilidad de la presente petición.</w:t>
      </w:r>
    </w:p>
    <w:p w:rsidR="005B6D5B" w:rsidRPr="00873EBF" w:rsidRDefault="005B6D5B" w:rsidP="005B6D5B">
      <w:pPr>
        <w:jc w:val="both"/>
        <w:rPr>
          <w:rFonts w:ascii="Cambria" w:hAnsi="Cambria"/>
          <w:sz w:val="20"/>
          <w:szCs w:val="20"/>
          <w:lang w:val="es-MX"/>
        </w:rPr>
      </w:pPr>
    </w:p>
    <w:p w:rsidR="005B6D5B" w:rsidRPr="00873EBF" w:rsidRDefault="005B6D5B" w:rsidP="005B6D5B">
      <w:pPr>
        <w:pStyle w:val="Heading2"/>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lang w:val="es-ES"/>
        </w:rPr>
      </w:pPr>
      <w:r w:rsidRPr="00873EBF">
        <w:rPr>
          <w:color w:val="auto"/>
          <w:sz w:val="20"/>
          <w:szCs w:val="20"/>
          <w:lang w:val="es-ES"/>
        </w:rPr>
        <w:t>ANÁLISIS DE COMPETENCIA Y ADMISIBILIDAD</w:t>
      </w:r>
    </w:p>
    <w:p w:rsidR="005B6D5B" w:rsidRPr="00873EBF" w:rsidRDefault="005B6D5B" w:rsidP="005B6D5B">
      <w:pPr>
        <w:jc w:val="both"/>
        <w:rPr>
          <w:rFonts w:ascii="Cambria" w:hAnsi="Cambria"/>
          <w:sz w:val="20"/>
          <w:szCs w:val="20"/>
          <w:lang w:val="es-MX"/>
        </w:rPr>
      </w:pPr>
    </w:p>
    <w:p w:rsidR="005B6D5B" w:rsidRPr="00873EBF" w:rsidRDefault="005B6D5B" w:rsidP="005B6D5B">
      <w:pPr>
        <w:pStyle w:val="Heading2"/>
        <w:keepLines w:val="0"/>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s>
        <w:spacing w:before="0"/>
        <w:ind w:left="1440" w:hanging="720"/>
        <w:jc w:val="both"/>
        <w:rPr>
          <w:rStyle w:val="Heading2CharChar"/>
          <w:rFonts w:ascii="Cambria" w:hAnsi="Cambria"/>
          <w:b/>
          <w:i/>
          <w:color w:val="auto"/>
          <w:sz w:val="20"/>
          <w:szCs w:val="20"/>
          <w:lang w:val="es-ES"/>
        </w:rPr>
      </w:pPr>
      <w:r w:rsidRPr="00873EBF">
        <w:rPr>
          <w:rStyle w:val="Heading2CharChar"/>
          <w:rFonts w:ascii="Cambria" w:hAnsi="Cambria"/>
          <w:b/>
          <w:color w:val="auto"/>
          <w:sz w:val="20"/>
          <w:szCs w:val="20"/>
          <w:lang w:val="es-ES"/>
        </w:rPr>
        <w:t xml:space="preserve">Competencia de la Comisión </w:t>
      </w:r>
      <w:proofErr w:type="spellStart"/>
      <w:r w:rsidRPr="00873EBF">
        <w:rPr>
          <w:rStyle w:val="Heading2CharChar"/>
          <w:rFonts w:ascii="Cambria" w:hAnsi="Cambria"/>
          <w:b/>
          <w:i/>
          <w:color w:val="auto"/>
          <w:sz w:val="20"/>
          <w:szCs w:val="20"/>
          <w:lang w:val="es-ES"/>
        </w:rPr>
        <w:t>ratione</w:t>
      </w:r>
      <w:proofErr w:type="spellEnd"/>
      <w:r w:rsidRPr="00873EBF">
        <w:rPr>
          <w:rStyle w:val="Heading2CharChar"/>
          <w:rFonts w:ascii="Cambria" w:hAnsi="Cambria"/>
          <w:b/>
          <w:i/>
          <w:color w:val="auto"/>
          <w:sz w:val="20"/>
          <w:szCs w:val="20"/>
          <w:lang w:val="es-ES"/>
        </w:rPr>
        <w:t xml:space="preserve"> </w:t>
      </w:r>
      <w:proofErr w:type="spellStart"/>
      <w:r w:rsidRPr="00873EBF">
        <w:rPr>
          <w:rStyle w:val="Heading2CharChar"/>
          <w:rFonts w:ascii="Cambria" w:hAnsi="Cambria"/>
          <w:b/>
          <w:i/>
          <w:color w:val="auto"/>
          <w:sz w:val="20"/>
          <w:szCs w:val="20"/>
          <w:lang w:val="es-ES"/>
        </w:rPr>
        <w:t>personæ</w:t>
      </w:r>
      <w:proofErr w:type="spellEnd"/>
      <w:r w:rsidRPr="00873EBF">
        <w:rPr>
          <w:rStyle w:val="Heading2CharChar"/>
          <w:rFonts w:ascii="Cambria" w:hAnsi="Cambria"/>
          <w:b/>
          <w:i/>
          <w:color w:val="auto"/>
          <w:sz w:val="20"/>
          <w:szCs w:val="20"/>
          <w:lang w:val="es-ES"/>
        </w:rPr>
        <w:t xml:space="preserve">, </w:t>
      </w:r>
      <w:proofErr w:type="spellStart"/>
      <w:r w:rsidRPr="00873EBF">
        <w:rPr>
          <w:rStyle w:val="Heading2CharChar"/>
          <w:rFonts w:ascii="Cambria" w:hAnsi="Cambria"/>
          <w:b/>
          <w:i/>
          <w:color w:val="auto"/>
          <w:sz w:val="20"/>
          <w:szCs w:val="20"/>
          <w:lang w:val="es-ES"/>
        </w:rPr>
        <w:t>ratione</w:t>
      </w:r>
      <w:proofErr w:type="spellEnd"/>
      <w:r w:rsidRPr="00873EBF">
        <w:rPr>
          <w:rStyle w:val="Heading2CharChar"/>
          <w:rFonts w:ascii="Cambria" w:hAnsi="Cambria"/>
          <w:b/>
          <w:i/>
          <w:color w:val="auto"/>
          <w:sz w:val="20"/>
          <w:szCs w:val="20"/>
          <w:lang w:val="es-ES"/>
        </w:rPr>
        <w:t xml:space="preserve"> </w:t>
      </w:r>
      <w:proofErr w:type="spellStart"/>
      <w:r w:rsidRPr="00873EBF">
        <w:rPr>
          <w:rStyle w:val="Heading2CharChar"/>
          <w:rFonts w:ascii="Cambria" w:hAnsi="Cambria"/>
          <w:b/>
          <w:i/>
          <w:color w:val="auto"/>
          <w:sz w:val="20"/>
          <w:szCs w:val="20"/>
          <w:lang w:val="es-ES"/>
        </w:rPr>
        <w:t>loci</w:t>
      </w:r>
      <w:proofErr w:type="spellEnd"/>
      <w:r w:rsidRPr="00873EBF">
        <w:rPr>
          <w:rStyle w:val="Heading2CharChar"/>
          <w:rFonts w:ascii="Cambria" w:hAnsi="Cambria"/>
          <w:b/>
          <w:i/>
          <w:color w:val="auto"/>
          <w:sz w:val="20"/>
          <w:szCs w:val="20"/>
          <w:lang w:val="es-ES"/>
        </w:rPr>
        <w:t xml:space="preserve">, </w:t>
      </w:r>
      <w:proofErr w:type="spellStart"/>
      <w:r w:rsidRPr="00873EBF">
        <w:rPr>
          <w:rStyle w:val="Heading2CharChar"/>
          <w:rFonts w:ascii="Cambria" w:hAnsi="Cambria"/>
          <w:b/>
          <w:i/>
          <w:color w:val="auto"/>
          <w:sz w:val="20"/>
          <w:szCs w:val="20"/>
          <w:lang w:val="es-ES"/>
        </w:rPr>
        <w:t>ratione</w:t>
      </w:r>
      <w:proofErr w:type="spellEnd"/>
      <w:r w:rsidRPr="00873EBF">
        <w:rPr>
          <w:rStyle w:val="Heading2CharChar"/>
          <w:rFonts w:ascii="Cambria" w:hAnsi="Cambria"/>
          <w:b/>
          <w:i/>
          <w:color w:val="auto"/>
          <w:sz w:val="20"/>
          <w:szCs w:val="20"/>
          <w:lang w:val="es-ES"/>
        </w:rPr>
        <w:t xml:space="preserve"> </w:t>
      </w:r>
      <w:proofErr w:type="spellStart"/>
      <w:r w:rsidRPr="00873EBF">
        <w:rPr>
          <w:rStyle w:val="Heading2CharChar"/>
          <w:rFonts w:ascii="Cambria" w:hAnsi="Cambria"/>
          <w:b/>
          <w:i/>
          <w:color w:val="auto"/>
          <w:sz w:val="20"/>
          <w:szCs w:val="20"/>
          <w:lang w:val="es-ES"/>
        </w:rPr>
        <w:t>temporis</w:t>
      </w:r>
      <w:proofErr w:type="spellEnd"/>
      <w:r w:rsidRPr="00873EBF">
        <w:rPr>
          <w:rStyle w:val="Heading2CharChar"/>
          <w:rFonts w:ascii="Cambria" w:hAnsi="Cambria"/>
          <w:b/>
          <w:i/>
          <w:color w:val="auto"/>
          <w:sz w:val="20"/>
          <w:szCs w:val="20"/>
          <w:lang w:val="es-ES"/>
        </w:rPr>
        <w:t xml:space="preserve"> </w:t>
      </w:r>
      <w:r w:rsidRPr="00873EBF">
        <w:rPr>
          <w:rStyle w:val="Heading2CharChar"/>
          <w:rFonts w:ascii="Cambria" w:hAnsi="Cambria"/>
          <w:b/>
          <w:color w:val="auto"/>
          <w:sz w:val="20"/>
          <w:szCs w:val="20"/>
          <w:lang w:val="es-ES"/>
        </w:rPr>
        <w:t>y</w:t>
      </w:r>
      <w:r w:rsidRPr="00873EBF">
        <w:rPr>
          <w:rStyle w:val="Heading2CharChar"/>
          <w:rFonts w:ascii="Cambria" w:hAnsi="Cambria"/>
          <w:b/>
          <w:i/>
          <w:color w:val="auto"/>
          <w:sz w:val="20"/>
          <w:szCs w:val="20"/>
          <w:lang w:val="es-ES"/>
        </w:rPr>
        <w:t xml:space="preserve"> </w:t>
      </w:r>
      <w:proofErr w:type="spellStart"/>
      <w:r w:rsidRPr="00873EBF">
        <w:rPr>
          <w:rStyle w:val="Heading2CharChar"/>
          <w:rFonts w:ascii="Cambria" w:hAnsi="Cambria"/>
          <w:b/>
          <w:i/>
          <w:color w:val="auto"/>
          <w:sz w:val="20"/>
          <w:szCs w:val="20"/>
          <w:lang w:val="es-ES"/>
        </w:rPr>
        <w:t>ratione</w:t>
      </w:r>
      <w:proofErr w:type="spellEnd"/>
      <w:r w:rsidRPr="00873EBF">
        <w:rPr>
          <w:rStyle w:val="Heading2CharChar"/>
          <w:rFonts w:ascii="Cambria" w:hAnsi="Cambria"/>
          <w:b/>
          <w:i/>
          <w:color w:val="auto"/>
          <w:sz w:val="20"/>
          <w:szCs w:val="20"/>
          <w:lang w:val="es-ES"/>
        </w:rPr>
        <w:t xml:space="preserve"> </w:t>
      </w:r>
      <w:proofErr w:type="spellStart"/>
      <w:r w:rsidRPr="00873EBF">
        <w:rPr>
          <w:rStyle w:val="Heading2CharChar"/>
          <w:rFonts w:ascii="Cambria" w:hAnsi="Cambria"/>
          <w:b/>
          <w:i/>
          <w:color w:val="auto"/>
          <w:sz w:val="20"/>
          <w:szCs w:val="20"/>
          <w:lang w:val="es-ES"/>
        </w:rPr>
        <w:t>materiæ</w:t>
      </w:r>
      <w:proofErr w:type="spellEnd"/>
    </w:p>
    <w:p w:rsidR="005B6D5B" w:rsidRPr="00873EBF" w:rsidRDefault="005B6D5B" w:rsidP="005B6D5B">
      <w:pPr>
        <w:pStyle w:val="ListParagraph"/>
        <w:rPr>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Los peticionarios se encuentran facultados, en principio, por el artículo 44 de la Convención Americana para presentar peticiones ante la Comisión.  La petición señala como presuntas víctimas a personas individuales, respecto de quienes el Estado de Guatemala se comprometió a respetar y garantizar los derechos consagrados en la Convención Americana. </w:t>
      </w:r>
      <w:r w:rsidR="00296263" w:rsidRPr="00873EBF">
        <w:rPr>
          <w:rFonts w:ascii="Cambria" w:hAnsi="Cambria"/>
          <w:sz w:val="20"/>
          <w:szCs w:val="20"/>
          <w:lang w:val="es-ES_tradnl"/>
        </w:rPr>
        <w:t xml:space="preserve">En la presente petición, considerando </w:t>
      </w:r>
      <w:r w:rsidR="002E4ADE" w:rsidRPr="00873EBF">
        <w:rPr>
          <w:rFonts w:ascii="Cambria" w:hAnsi="Cambria"/>
          <w:sz w:val="20"/>
          <w:szCs w:val="20"/>
          <w:lang w:val="es-ES"/>
        </w:rPr>
        <w:t>que el número de presuntas víctimas de los diferentes hechos alegados en la petición varía y, observando la complejidad de la situación</w:t>
      </w:r>
      <w:r w:rsidR="00296263" w:rsidRPr="00873EBF">
        <w:rPr>
          <w:rFonts w:ascii="Cambria" w:hAnsi="Cambria"/>
          <w:sz w:val="20"/>
          <w:szCs w:val="20"/>
          <w:lang w:val="es-ES_tradnl"/>
        </w:rPr>
        <w:t xml:space="preserve"> para identificar plenamente a las presuntas víctimas de la presente causa, </w:t>
      </w:r>
      <w:r w:rsidR="002E4ADE" w:rsidRPr="00873EBF">
        <w:rPr>
          <w:rFonts w:ascii="Cambria" w:hAnsi="Cambria"/>
          <w:sz w:val="20"/>
          <w:szCs w:val="20"/>
          <w:lang w:val="es-ES_tradnl"/>
        </w:rPr>
        <w:t xml:space="preserve">la CIDH </w:t>
      </w:r>
      <w:r w:rsidR="00E03A6E" w:rsidRPr="00873EBF">
        <w:rPr>
          <w:rFonts w:ascii="Cambria" w:hAnsi="Cambria"/>
          <w:sz w:val="20"/>
          <w:szCs w:val="20"/>
          <w:lang w:val="es-ES_tradnl"/>
        </w:rPr>
        <w:t xml:space="preserve">toma en cuenta la lista presentada por los peticionarios y </w:t>
      </w:r>
      <w:r w:rsidR="002E4ADE" w:rsidRPr="00873EBF">
        <w:rPr>
          <w:rFonts w:ascii="Cambria" w:hAnsi="Cambria"/>
          <w:sz w:val="20"/>
          <w:szCs w:val="20"/>
          <w:lang w:val="es-ES_tradnl"/>
        </w:rPr>
        <w:t>considerará su análisis durante la etapa de fondo</w:t>
      </w:r>
      <w:r w:rsidR="00296263" w:rsidRPr="00873EBF">
        <w:rPr>
          <w:rStyle w:val="FootnoteReference"/>
          <w:rFonts w:ascii="Cambria" w:hAnsi="Cambria"/>
          <w:sz w:val="20"/>
          <w:szCs w:val="20"/>
          <w:lang w:val="es-MX"/>
        </w:rPr>
        <w:footnoteReference w:id="4"/>
      </w:r>
      <w:r w:rsidR="00F67B0A" w:rsidRPr="00873EBF">
        <w:rPr>
          <w:rFonts w:ascii="Cambria" w:hAnsi="Cambria"/>
          <w:sz w:val="20"/>
          <w:szCs w:val="20"/>
          <w:lang w:val="es-MX"/>
        </w:rPr>
        <w:t>.</w:t>
      </w:r>
      <w:r w:rsidR="00296263" w:rsidRPr="00873EBF">
        <w:rPr>
          <w:rFonts w:ascii="Cambria" w:hAnsi="Cambria"/>
          <w:sz w:val="20"/>
          <w:szCs w:val="20"/>
          <w:lang w:val="es-MX"/>
        </w:rPr>
        <w:t xml:space="preserve"> </w:t>
      </w:r>
      <w:r w:rsidRPr="00873EBF">
        <w:rPr>
          <w:rFonts w:ascii="Cambria" w:hAnsi="Cambria"/>
          <w:sz w:val="20"/>
          <w:szCs w:val="20"/>
          <w:lang w:val="es-ES"/>
        </w:rPr>
        <w:t xml:space="preserve">En lo concerniente al Estado, la Comisión señala que Guatemala es un Estado parte en la Convención Americana desde el 25 de mayo de 1978, fecha en la que depositó su instrumento de ratificación. Por lo tanto, la Comisión tiene competencia </w:t>
      </w:r>
      <w:proofErr w:type="spellStart"/>
      <w:r w:rsidRPr="00873EBF">
        <w:rPr>
          <w:rFonts w:ascii="Cambria" w:hAnsi="Cambria"/>
          <w:i/>
          <w:iCs/>
          <w:sz w:val="20"/>
          <w:szCs w:val="20"/>
          <w:lang w:val="es-ES"/>
        </w:rPr>
        <w:t>ratione</w:t>
      </w:r>
      <w:proofErr w:type="spellEnd"/>
      <w:r w:rsidRPr="00873EBF">
        <w:rPr>
          <w:rFonts w:ascii="Cambria" w:hAnsi="Cambria"/>
          <w:i/>
          <w:iCs/>
          <w:sz w:val="20"/>
          <w:szCs w:val="20"/>
          <w:lang w:val="es-ES"/>
        </w:rPr>
        <w:t xml:space="preserve"> </w:t>
      </w:r>
      <w:proofErr w:type="spellStart"/>
      <w:r w:rsidRPr="00873EBF">
        <w:rPr>
          <w:rFonts w:ascii="Cambria" w:hAnsi="Cambria"/>
          <w:i/>
          <w:iCs/>
          <w:sz w:val="20"/>
          <w:szCs w:val="20"/>
          <w:lang w:val="es-ES"/>
        </w:rPr>
        <w:t>personae</w:t>
      </w:r>
      <w:proofErr w:type="spellEnd"/>
      <w:r w:rsidRPr="00873EBF">
        <w:rPr>
          <w:rFonts w:ascii="Cambria" w:hAnsi="Cambria"/>
          <w:sz w:val="20"/>
          <w:szCs w:val="20"/>
          <w:lang w:val="es-ES"/>
        </w:rPr>
        <w:t xml:space="preserve"> para examinar la petición. Asimismo, la Comisión tiene competencia </w:t>
      </w:r>
      <w:proofErr w:type="spellStart"/>
      <w:r w:rsidRPr="00873EBF">
        <w:rPr>
          <w:rFonts w:ascii="Cambria" w:hAnsi="Cambria"/>
          <w:i/>
          <w:iCs/>
          <w:sz w:val="20"/>
          <w:szCs w:val="20"/>
          <w:lang w:val="es-ES"/>
        </w:rPr>
        <w:t>ratione</w:t>
      </w:r>
      <w:proofErr w:type="spellEnd"/>
      <w:r w:rsidRPr="00873EBF">
        <w:rPr>
          <w:rFonts w:ascii="Cambria" w:hAnsi="Cambria"/>
          <w:i/>
          <w:iCs/>
          <w:sz w:val="20"/>
          <w:szCs w:val="20"/>
          <w:lang w:val="es-ES"/>
        </w:rPr>
        <w:t xml:space="preserve"> </w:t>
      </w:r>
      <w:proofErr w:type="spellStart"/>
      <w:r w:rsidRPr="00873EBF">
        <w:rPr>
          <w:rFonts w:ascii="Cambria" w:hAnsi="Cambria"/>
          <w:i/>
          <w:iCs/>
          <w:sz w:val="20"/>
          <w:szCs w:val="20"/>
          <w:lang w:val="es-ES"/>
        </w:rPr>
        <w:t>loci</w:t>
      </w:r>
      <w:proofErr w:type="spellEnd"/>
      <w:r w:rsidRPr="00873EBF">
        <w:rPr>
          <w:rFonts w:ascii="Cambria" w:hAnsi="Cambria"/>
          <w:sz w:val="20"/>
          <w:szCs w:val="20"/>
          <w:lang w:val="es-ES"/>
        </w:rPr>
        <w:t xml:space="preserve"> para conocer la petición, por cuanto en ella se alegan violaciones de derechos protegidos en la Convención Americana que habrían tenido lugar dentro del territorio de Guatemala, Estado Parte en dicho tratado.  </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La Comisión tiene competencia </w:t>
      </w:r>
      <w:proofErr w:type="spellStart"/>
      <w:r w:rsidRPr="00873EBF">
        <w:rPr>
          <w:rFonts w:ascii="Cambria" w:hAnsi="Cambria"/>
          <w:i/>
          <w:iCs/>
          <w:sz w:val="20"/>
          <w:szCs w:val="20"/>
          <w:lang w:val="es-ES"/>
        </w:rPr>
        <w:t>ratione</w:t>
      </w:r>
      <w:proofErr w:type="spellEnd"/>
      <w:r w:rsidRPr="00873EBF">
        <w:rPr>
          <w:rFonts w:ascii="Cambria" w:hAnsi="Cambria"/>
          <w:i/>
          <w:iCs/>
          <w:sz w:val="20"/>
          <w:szCs w:val="20"/>
          <w:lang w:val="es-ES"/>
        </w:rPr>
        <w:t xml:space="preserve"> </w:t>
      </w:r>
      <w:proofErr w:type="spellStart"/>
      <w:r w:rsidRPr="00873EBF">
        <w:rPr>
          <w:rFonts w:ascii="Cambria" w:hAnsi="Cambria"/>
          <w:i/>
          <w:iCs/>
          <w:sz w:val="20"/>
          <w:szCs w:val="20"/>
          <w:lang w:val="es-ES"/>
        </w:rPr>
        <w:t>temporis</w:t>
      </w:r>
      <w:proofErr w:type="spellEnd"/>
      <w:r w:rsidRPr="00873EBF">
        <w:rPr>
          <w:rFonts w:ascii="Cambria" w:hAnsi="Cambria"/>
          <w:sz w:val="20"/>
          <w:szCs w:val="20"/>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proofErr w:type="spellStart"/>
      <w:r w:rsidRPr="00873EBF">
        <w:rPr>
          <w:rFonts w:ascii="Cambria" w:hAnsi="Cambria"/>
          <w:i/>
          <w:iCs/>
          <w:sz w:val="20"/>
          <w:szCs w:val="20"/>
          <w:lang w:val="es-ES"/>
        </w:rPr>
        <w:t>ratione</w:t>
      </w:r>
      <w:proofErr w:type="spellEnd"/>
      <w:r w:rsidRPr="00873EBF">
        <w:rPr>
          <w:rFonts w:ascii="Cambria" w:hAnsi="Cambria"/>
          <w:i/>
          <w:iCs/>
          <w:sz w:val="20"/>
          <w:szCs w:val="20"/>
          <w:lang w:val="es-ES"/>
        </w:rPr>
        <w:t xml:space="preserve"> </w:t>
      </w:r>
      <w:proofErr w:type="spellStart"/>
      <w:r w:rsidRPr="00873EBF">
        <w:rPr>
          <w:rFonts w:ascii="Cambria" w:hAnsi="Cambria"/>
          <w:i/>
          <w:iCs/>
          <w:sz w:val="20"/>
          <w:szCs w:val="20"/>
          <w:lang w:val="es-ES"/>
        </w:rPr>
        <w:t>materiae</w:t>
      </w:r>
      <w:proofErr w:type="spellEnd"/>
      <w:r w:rsidRPr="00873EBF">
        <w:rPr>
          <w:rFonts w:ascii="Cambria" w:hAnsi="Cambria"/>
          <w:sz w:val="20"/>
          <w:szCs w:val="20"/>
          <w:lang w:val="es-ES"/>
        </w:rPr>
        <w:t>, porque en la petición se denuncian posibles violaciones a derechos humanos protegidos por la Convención Americana. </w:t>
      </w:r>
      <w:r w:rsidR="00EA67F1" w:rsidRPr="00873EBF">
        <w:rPr>
          <w:rFonts w:ascii="Cambria" w:hAnsi="Cambria"/>
          <w:sz w:val="20"/>
          <w:szCs w:val="20"/>
          <w:lang w:val="es-ES"/>
        </w:rPr>
        <w:t>Asimismo, la Comisión tiene competencia para conocer la presente denuncia en virtud de lo establecido en la Convención Interamericana sobre Desaparición Forzada de Personas, ratificada por el Estado de Guatemala el 25 de febrero de 2000, en la cual se establece que el delito de desaparición forzada será considerado como continuado o permanente mientras no se establezca el destino o paradero de la víctima.</w:t>
      </w:r>
    </w:p>
    <w:p w:rsidR="005B6D5B" w:rsidRPr="00873EBF" w:rsidRDefault="005B6D5B" w:rsidP="005B6D5B">
      <w:pPr>
        <w:rPr>
          <w:sz w:val="20"/>
          <w:szCs w:val="20"/>
          <w:lang w:val="es-ES"/>
        </w:rPr>
      </w:pPr>
    </w:p>
    <w:p w:rsidR="005B6D5B" w:rsidRPr="00873EBF" w:rsidRDefault="005B6D5B" w:rsidP="005B6D5B">
      <w:pPr>
        <w:pStyle w:val="Heading2"/>
        <w:keepLines w:val="0"/>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s>
        <w:spacing w:before="0"/>
        <w:ind w:left="1440" w:hanging="720"/>
        <w:jc w:val="both"/>
        <w:rPr>
          <w:b w:val="0"/>
          <w:color w:val="auto"/>
          <w:sz w:val="20"/>
          <w:szCs w:val="20"/>
          <w:lang w:val="es-ES"/>
        </w:rPr>
      </w:pPr>
      <w:r w:rsidRPr="00873EBF">
        <w:rPr>
          <w:rStyle w:val="Heading2CharChar"/>
          <w:rFonts w:ascii="Cambria" w:hAnsi="Cambria"/>
          <w:b/>
          <w:color w:val="auto"/>
          <w:sz w:val="20"/>
          <w:szCs w:val="20"/>
          <w:lang w:val="es-ES"/>
        </w:rPr>
        <w:lastRenderedPageBreak/>
        <w:t>Otros requisitos para la admisibilidad de la petición</w:t>
      </w:r>
    </w:p>
    <w:p w:rsidR="005B6D5B" w:rsidRPr="00873EBF" w:rsidRDefault="005B6D5B" w:rsidP="005B6D5B">
      <w:pPr>
        <w:pStyle w:val="Heading2"/>
        <w:keepLines w:val="0"/>
        <w:spacing w:before="0"/>
        <w:ind w:left="720"/>
        <w:jc w:val="both"/>
        <w:rPr>
          <w:bCs w:val="0"/>
          <w:color w:val="auto"/>
          <w:sz w:val="20"/>
          <w:szCs w:val="20"/>
          <w:lang w:val="es-ES"/>
        </w:rPr>
      </w:pPr>
    </w:p>
    <w:p w:rsidR="005B6D5B" w:rsidRPr="00873EBF" w:rsidRDefault="005B6D5B" w:rsidP="005B6D5B">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070"/>
        </w:tabs>
        <w:spacing w:before="0"/>
        <w:ind w:left="0" w:firstLine="720"/>
        <w:jc w:val="both"/>
        <w:rPr>
          <w:bCs w:val="0"/>
          <w:color w:val="auto"/>
          <w:sz w:val="20"/>
          <w:szCs w:val="20"/>
          <w:lang w:val="es-ES"/>
        </w:rPr>
      </w:pPr>
      <w:r w:rsidRPr="00873EBF">
        <w:rPr>
          <w:bCs w:val="0"/>
          <w:color w:val="auto"/>
          <w:sz w:val="20"/>
          <w:szCs w:val="20"/>
          <w:lang w:val="es-ES"/>
        </w:rPr>
        <w:t>Agotamiento de los recursos internos</w:t>
      </w:r>
    </w:p>
    <w:p w:rsidR="005B6D5B" w:rsidRPr="00873EBF" w:rsidRDefault="005B6D5B" w:rsidP="005B6D5B">
      <w:pPr>
        <w:rPr>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tener la oportunidad de solucionarla antes de que sea conocida p</w:t>
      </w:r>
      <w:r w:rsidR="009A2B4E" w:rsidRPr="00873EBF">
        <w:rPr>
          <w:rFonts w:ascii="Cambria" w:hAnsi="Cambria"/>
          <w:sz w:val="20"/>
          <w:szCs w:val="20"/>
          <w:lang w:val="es-ES"/>
        </w:rPr>
        <w:t>or una instancia internacional.</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cs="Arial"/>
          <w:sz w:val="20"/>
          <w:szCs w:val="20"/>
          <w:lang w:val="es-PE"/>
        </w:rPr>
        <w:t>Por su parte, el artículo 46.2 de la Convención Americana y el artículo 31.2 del Reglamento de la Comisión prevén que el requisito de previo agotamiento de los recursos internos no resulta aplicable cuando: a) no exista en la legislación interna del Estado de que se trata el debido proceso legal para la protección del derecho o derechos que se alega han sido violados; b) no se haya permitido al presunto lesionado en sus derechos el acceso a los recursos de la jurisdicción interna, o haya sido impedido de agotarlos; o c) haya retardo injustificado en la decisión sobre los mencionados recursos.</w:t>
      </w:r>
    </w:p>
    <w:p w:rsidR="005B6D5B" w:rsidRPr="00873EBF" w:rsidRDefault="005B6D5B" w:rsidP="005B6D5B">
      <w:pPr>
        <w:pStyle w:val="ListParagraph"/>
        <w:rPr>
          <w:sz w:val="20"/>
          <w:szCs w:val="20"/>
          <w:lang w:val="es-ES"/>
        </w:rPr>
      </w:pPr>
    </w:p>
    <w:p w:rsidR="005B6D5B" w:rsidRPr="00873EBF" w:rsidRDefault="006A3FDF"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En el presente caso, </w:t>
      </w:r>
      <w:r w:rsidR="00AE3821" w:rsidRPr="00873EBF">
        <w:rPr>
          <w:rFonts w:ascii="Cambria" w:hAnsi="Cambria"/>
          <w:sz w:val="20"/>
          <w:szCs w:val="20"/>
          <w:lang w:val="es-MX"/>
        </w:rPr>
        <w:t>los pet</w:t>
      </w:r>
      <w:r w:rsidR="00C63517" w:rsidRPr="00873EBF">
        <w:rPr>
          <w:rFonts w:ascii="Cambria" w:hAnsi="Cambria"/>
          <w:sz w:val="20"/>
          <w:szCs w:val="20"/>
          <w:lang w:val="es-MX"/>
        </w:rPr>
        <w:t>icionarios alegan que resulta</w:t>
      </w:r>
      <w:r w:rsidR="00AE3821" w:rsidRPr="00873EBF">
        <w:rPr>
          <w:rFonts w:ascii="Cambria" w:hAnsi="Cambria"/>
          <w:sz w:val="20"/>
          <w:szCs w:val="20"/>
          <w:lang w:val="es-MX"/>
        </w:rPr>
        <w:t xml:space="preserve"> aplicable al caso la excepción al previo agotamiento de los recursos internos, prevista en el artículo 46.2.c, en razón de que </w:t>
      </w:r>
      <w:r w:rsidR="0016191F" w:rsidRPr="00873EBF">
        <w:rPr>
          <w:rFonts w:ascii="Cambria" w:hAnsi="Cambria"/>
          <w:sz w:val="20"/>
          <w:szCs w:val="20"/>
          <w:lang w:val="es-MX"/>
        </w:rPr>
        <w:t xml:space="preserve">a </w:t>
      </w:r>
      <w:r w:rsidR="00AE3821" w:rsidRPr="00873EBF">
        <w:rPr>
          <w:rFonts w:ascii="Cambria" w:hAnsi="Cambria"/>
          <w:sz w:val="20"/>
          <w:szCs w:val="20"/>
          <w:lang w:val="es-MX"/>
        </w:rPr>
        <w:t>más de 30 años de la masacre de los Josefinos y</w:t>
      </w:r>
      <w:r w:rsidR="00B276FF" w:rsidRPr="00873EBF">
        <w:rPr>
          <w:rFonts w:ascii="Cambria" w:hAnsi="Cambria"/>
          <w:sz w:val="20"/>
          <w:szCs w:val="20"/>
          <w:lang w:val="es-MX"/>
        </w:rPr>
        <w:t xml:space="preserve"> de</w:t>
      </w:r>
      <w:r w:rsidR="00AE3821" w:rsidRPr="00873EBF">
        <w:rPr>
          <w:rFonts w:ascii="Cambria" w:hAnsi="Cambria"/>
          <w:sz w:val="20"/>
          <w:szCs w:val="20"/>
          <w:lang w:val="es-MX"/>
        </w:rPr>
        <w:t xml:space="preserve"> 18 años de la apertura de la respectiva investigación, los avances sustanciales de la misma serían escasos. Por su parte, el Estado expresa que “en la med</w:t>
      </w:r>
      <w:r w:rsidRPr="00873EBF">
        <w:rPr>
          <w:rFonts w:ascii="Cambria" w:hAnsi="Cambria"/>
          <w:sz w:val="20"/>
          <w:szCs w:val="20"/>
          <w:lang w:val="es-MX"/>
        </w:rPr>
        <w:t>ida de sus posibilidades” ha</w:t>
      </w:r>
      <w:r w:rsidR="00AE3821" w:rsidRPr="00873EBF">
        <w:rPr>
          <w:rFonts w:ascii="Cambria" w:hAnsi="Cambria"/>
          <w:sz w:val="20"/>
          <w:szCs w:val="20"/>
          <w:lang w:val="es-MX"/>
        </w:rPr>
        <w:t xml:space="preserve"> realizado todas las diligencias de forma eficaz, </w:t>
      </w:r>
      <w:r w:rsidRPr="00873EBF">
        <w:rPr>
          <w:rFonts w:ascii="Cambria" w:hAnsi="Cambria"/>
          <w:sz w:val="20"/>
          <w:szCs w:val="20"/>
          <w:lang w:val="es-MX"/>
        </w:rPr>
        <w:t xml:space="preserve">por lo que </w:t>
      </w:r>
      <w:r w:rsidR="00AE3821" w:rsidRPr="00873EBF">
        <w:rPr>
          <w:rFonts w:ascii="Cambria" w:hAnsi="Cambria"/>
          <w:sz w:val="20"/>
          <w:szCs w:val="20"/>
          <w:lang w:val="es-MX"/>
        </w:rPr>
        <w:t xml:space="preserve">resulta necesario esperar a que dichas investigaciones puedan concluirse. </w:t>
      </w:r>
    </w:p>
    <w:p w:rsidR="005B6D5B" w:rsidRPr="00873EBF" w:rsidRDefault="005B6D5B" w:rsidP="005B6D5B">
      <w:pPr>
        <w:pStyle w:val="ListParagraph"/>
        <w:rPr>
          <w:sz w:val="20"/>
          <w:szCs w:val="20"/>
          <w:lang w:val="es-ES_tradnl"/>
        </w:rPr>
      </w:pPr>
    </w:p>
    <w:p w:rsidR="005B6D5B" w:rsidRPr="00873EBF" w:rsidRDefault="00C63517"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t xml:space="preserve">Al respecto, </w:t>
      </w:r>
      <w:r w:rsidR="00C87A10" w:rsidRPr="00873EBF">
        <w:rPr>
          <w:rFonts w:ascii="Cambria" w:hAnsi="Cambria"/>
          <w:sz w:val="20"/>
          <w:szCs w:val="20"/>
          <w:lang w:val="es-ES_tradnl"/>
        </w:rPr>
        <w:t>la Comisión destaca los precedentes establecidos por su jurisprudencia respecto a que toda vez que se cometa un delito perseguible de oficio, el Estado tiene la obligación de promover e impulsar el proceso penal</w:t>
      </w:r>
      <w:r w:rsidR="00C87A10" w:rsidRPr="00873EBF">
        <w:rPr>
          <w:rStyle w:val="FootnoteReference"/>
          <w:rFonts w:ascii="Cambria" w:hAnsi="Cambria"/>
          <w:sz w:val="20"/>
          <w:szCs w:val="20"/>
        </w:rPr>
        <w:footnoteReference w:id="5"/>
      </w:r>
      <w:r w:rsidR="00B276FF" w:rsidRPr="00873EBF">
        <w:rPr>
          <w:rFonts w:ascii="Cambria" w:hAnsi="Cambria"/>
          <w:sz w:val="20"/>
          <w:szCs w:val="20"/>
          <w:lang w:val="es-ES_tradnl"/>
        </w:rPr>
        <w:t xml:space="preserve"> y que</w:t>
      </w:r>
      <w:r w:rsidR="00C87A10" w:rsidRPr="00873EBF">
        <w:rPr>
          <w:rFonts w:ascii="Cambria" w:hAnsi="Cambria"/>
          <w:sz w:val="20"/>
          <w:szCs w:val="20"/>
          <w:lang w:val="es-ES_tradnl"/>
        </w:rPr>
        <w:t xml:space="preserve"> en esos casos, la vía pena</w:t>
      </w:r>
      <w:r w:rsidRPr="00873EBF">
        <w:rPr>
          <w:rFonts w:ascii="Cambria" w:hAnsi="Cambria"/>
          <w:sz w:val="20"/>
          <w:szCs w:val="20"/>
          <w:lang w:val="es-ES_tradnl"/>
        </w:rPr>
        <w:t>l</w:t>
      </w:r>
      <w:r w:rsidR="00C87A10" w:rsidRPr="00873EBF">
        <w:rPr>
          <w:rFonts w:ascii="Cambria" w:hAnsi="Cambria"/>
          <w:sz w:val="20"/>
          <w:szCs w:val="20"/>
          <w:lang w:val="es-ES_tradnl"/>
        </w:rPr>
        <w:t xml:space="preserve"> constituye la idónea para esclarecer los hechos, juzgar a los responsables y establecer las sanciones penales correspondientes. Asimismo, la Comisión observa que como regla general, una investigación penal debe realizarse prontamente para proteger los intereses de las víctimas, preservar la prueba e incluso salvaguardar los derechos de toda persona que en el contexto de la investigación sea considerada sospechosa</w:t>
      </w:r>
      <w:r w:rsidR="00C87A10" w:rsidRPr="00873EBF">
        <w:rPr>
          <w:rStyle w:val="FootnoteReference"/>
          <w:rFonts w:ascii="Cambria" w:hAnsi="Cambria"/>
          <w:sz w:val="20"/>
          <w:szCs w:val="20"/>
        </w:rPr>
        <w:footnoteReference w:id="6"/>
      </w:r>
      <w:r w:rsidR="00C87A10" w:rsidRPr="00873EBF">
        <w:rPr>
          <w:rFonts w:ascii="Cambria" w:hAnsi="Cambria"/>
          <w:sz w:val="20"/>
          <w:szCs w:val="20"/>
          <w:lang w:val="es-ES_tradnl"/>
        </w:rPr>
        <w:t xml:space="preserve">. </w:t>
      </w:r>
    </w:p>
    <w:p w:rsidR="005B6D5B" w:rsidRPr="00873EBF" w:rsidRDefault="005B6D5B" w:rsidP="005B6D5B">
      <w:pPr>
        <w:pStyle w:val="ListParagraph"/>
        <w:rPr>
          <w:sz w:val="20"/>
          <w:szCs w:val="20"/>
          <w:lang w:val="es-ES_tradnl"/>
        </w:rPr>
      </w:pPr>
    </w:p>
    <w:p w:rsidR="005B6D5B" w:rsidRPr="00873EBF" w:rsidRDefault="00C87A10"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t xml:space="preserve">Los </w:t>
      </w:r>
      <w:r w:rsidR="00E03A6E" w:rsidRPr="00873EBF">
        <w:rPr>
          <w:rFonts w:ascii="Cambria" w:hAnsi="Cambria"/>
          <w:sz w:val="20"/>
          <w:szCs w:val="20"/>
          <w:lang w:val="es-ES_tradnl"/>
        </w:rPr>
        <w:t xml:space="preserve">presuntos </w:t>
      </w:r>
      <w:r w:rsidRPr="00873EBF">
        <w:rPr>
          <w:rFonts w:ascii="Cambria" w:hAnsi="Cambria"/>
          <w:sz w:val="20"/>
          <w:szCs w:val="20"/>
          <w:lang w:val="es-ES_tradnl"/>
        </w:rPr>
        <w:t xml:space="preserve">hechos de la presente causa se traducen en presuntos delitos perseguibles de oficio y por lo tanto, es el proceso penal, impulsado por el Estado mismo, el que debe ser considerado a los efectos de determinar la admisibilidad del reclamo. </w:t>
      </w:r>
      <w:r w:rsidR="00AE3821" w:rsidRPr="00873EBF">
        <w:rPr>
          <w:rFonts w:ascii="Cambria" w:hAnsi="Cambria"/>
          <w:sz w:val="20"/>
          <w:szCs w:val="20"/>
          <w:lang w:val="es-ES_tradnl"/>
        </w:rPr>
        <w:t>En vista de las posiciones de la</w:t>
      </w:r>
      <w:r w:rsidR="00C63517" w:rsidRPr="00873EBF">
        <w:rPr>
          <w:rFonts w:ascii="Cambria" w:hAnsi="Cambria"/>
          <w:sz w:val="20"/>
          <w:szCs w:val="20"/>
          <w:lang w:val="es-ES_tradnl"/>
        </w:rPr>
        <w:t>s partes y de conformidad con la información</w:t>
      </w:r>
      <w:r w:rsidR="00AE3821" w:rsidRPr="00873EBF">
        <w:rPr>
          <w:rFonts w:ascii="Cambria" w:hAnsi="Cambria"/>
          <w:sz w:val="20"/>
          <w:szCs w:val="20"/>
          <w:lang w:val="es-ES_tradnl"/>
        </w:rPr>
        <w:t xml:space="preserve"> que </w:t>
      </w:r>
      <w:r w:rsidR="007014E4" w:rsidRPr="00873EBF">
        <w:rPr>
          <w:rFonts w:ascii="Cambria" w:hAnsi="Cambria"/>
          <w:sz w:val="20"/>
          <w:szCs w:val="20"/>
          <w:lang w:val="es-ES_tradnl"/>
        </w:rPr>
        <w:t xml:space="preserve">consta </w:t>
      </w:r>
      <w:r w:rsidR="00AE3821" w:rsidRPr="00873EBF">
        <w:rPr>
          <w:rFonts w:ascii="Cambria" w:hAnsi="Cambria"/>
          <w:sz w:val="20"/>
          <w:szCs w:val="20"/>
          <w:lang w:val="es-ES_tradnl"/>
        </w:rPr>
        <w:t>en el expediente, la Comisión nota que el proceso judicial relacionado con los hechos materia del reclamo</w:t>
      </w:r>
      <w:r w:rsidR="00AE3821" w:rsidRPr="00873EBF">
        <w:rPr>
          <w:rFonts w:ascii="Cambria" w:hAnsi="Cambria"/>
          <w:sz w:val="20"/>
          <w:szCs w:val="20"/>
          <w:lang w:val="es-MX"/>
        </w:rPr>
        <w:t xml:space="preserve">, </w:t>
      </w:r>
      <w:r w:rsidR="00C63517" w:rsidRPr="00873EBF">
        <w:rPr>
          <w:rFonts w:ascii="Cambria" w:hAnsi="Cambria"/>
          <w:sz w:val="20"/>
          <w:szCs w:val="20"/>
          <w:lang w:val="es-MX"/>
        </w:rPr>
        <w:t xml:space="preserve">se </w:t>
      </w:r>
      <w:r w:rsidR="00AE3821" w:rsidRPr="00873EBF">
        <w:rPr>
          <w:rFonts w:ascii="Cambria" w:hAnsi="Cambria"/>
          <w:sz w:val="20"/>
          <w:szCs w:val="20"/>
          <w:lang w:val="es-MX"/>
        </w:rPr>
        <w:t xml:space="preserve">inició el 16 de enero de 1996, con la interposición por parte de FAMDEGUA del anticipo de prueba ante el Juzgado de Primera Instancia del Ramo Penal del Departamento de Petén, que solicitaba la exhumación de las osamentas </w:t>
      </w:r>
      <w:r w:rsidR="0016191F" w:rsidRPr="00873EBF">
        <w:rPr>
          <w:rFonts w:ascii="Cambria" w:hAnsi="Cambria"/>
          <w:sz w:val="20"/>
          <w:szCs w:val="20"/>
          <w:lang w:val="es-MX"/>
        </w:rPr>
        <w:t xml:space="preserve">del </w:t>
      </w:r>
      <w:r w:rsidR="00AE3821" w:rsidRPr="00873EBF">
        <w:rPr>
          <w:rFonts w:ascii="Cambria" w:hAnsi="Cambria"/>
          <w:sz w:val="20"/>
          <w:szCs w:val="20"/>
          <w:lang w:val="es-MX"/>
        </w:rPr>
        <w:t xml:space="preserve">cementerio clandestino de Los Josefinos, para determinar su identidad, y causa de muerte. </w:t>
      </w:r>
      <w:r w:rsidR="00C050D7" w:rsidRPr="00873EBF">
        <w:rPr>
          <w:rFonts w:ascii="Cambria" w:hAnsi="Cambria"/>
          <w:sz w:val="20"/>
          <w:szCs w:val="20"/>
          <w:lang w:val="es-MX"/>
        </w:rPr>
        <w:t xml:space="preserve">La Comisión observa que el 18 de abril de 1996, la Fiscalía </w:t>
      </w:r>
      <w:r w:rsidR="00AB753B" w:rsidRPr="00873EBF">
        <w:rPr>
          <w:rFonts w:ascii="Cambria" w:hAnsi="Cambria"/>
          <w:sz w:val="20"/>
          <w:szCs w:val="20"/>
          <w:lang w:val="es-MX"/>
        </w:rPr>
        <w:t>Distrital</w:t>
      </w:r>
      <w:r w:rsidR="00C050D7" w:rsidRPr="00873EBF">
        <w:rPr>
          <w:rFonts w:ascii="Cambria" w:hAnsi="Cambria"/>
          <w:sz w:val="20"/>
          <w:szCs w:val="20"/>
          <w:lang w:val="es-MX"/>
        </w:rPr>
        <w:t xml:space="preserve"> del Ministerio Público, con sede en Santa Elena Petén, dio apertura a la investigación penal “en contra de quien o quienes resulta</w:t>
      </w:r>
      <w:r w:rsidR="00015DD6" w:rsidRPr="00873EBF">
        <w:rPr>
          <w:rFonts w:ascii="Cambria" w:hAnsi="Cambria"/>
          <w:sz w:val="20"/>
          <w:szCs w:val="20"/>
          <w:lang w:val="es-MX"/>
        </w:rPr>
        <w:t xml:space="preserve">ren responsables” (No. 805-96); asimismo, </w:t>
      </w:r>
      <w:r w:rsidR="00DF7987" w:rsidRPr="00873EBF">
        <w:rPr>
          <w:rFonts w:ascii="Cambria" w:hAnsi="Cambria"/>
          <w:sz w:val="20"/>
          <w:szCs w:val="20"/>
          <w:lang w:val="es-MX"/>
        </w:rPr>
        <w:t xml:space="preserve">el 3 de diciembre de 2010, el Ministerio Público solicitó a la Corte Suprema de Justicia, </w:t>
      </w:r>
      <w:r w:rsidR="00B64C71" w:rsidRPr="00873EBF">
        <w:rPr>
          <w:rFonts w:ascii="Cambria" w:hAnsi="Cambria"/>
          <w:sz w:val="20"/>
          <w:szCs w:val="20"/>
          <w:lang w:val="es-MX"/>
        </w:rPr>
        <w:t>traslad</w:t>
      </w:r>
      <w:r w:rsidR="00DF7987" w:rsidRPr="00873EBF">
        <w:rPr>
          <w:rFonts w:ascii="Cambria" w:hAnsi="Cambria"/>
          <w:sz w:val="20"/>
          <w:szCs w:val="20"/>
          <w:lang w:val="es-MX"/>
        </w:rPr>
        <w:t>ar</w:t>
      </w:r>
      <w:r w:rsidR="00B64C71" w:rsidRPr="00873EBF">
        <w:rPr>
          <w:rFonts w:ascii="Cambria" w:hAnsi="Cambria"/>
          <w:sz w:val="20"/>
          <w:szCs w:val="20"/>
          <w:lang w:val="es-MX"/>
        </w:rPr>
        <w:t xml:space="preserve"> </w:t>
      </w:r>
      <w:r w:rsidR="00015DD6" w:rsidRPr="00873EBF">
        <w:rPr>
          <w:rFonts w:ascii="Cambria" w:hAnsi="Cambria"/>
          <w:sz w:val="20"/>
          <w:szCs w:val="20"/>
          <w:lang w:val="es-MX"/>
        </w:rPr>
        <w:t>el caso al Juzgado de Primera Ins</w:t>
      </w:r>
      <w:r w:rsidR="00A711C5" w:rsidRPr="00873EBF">
        <w:rPr>
          <w:rFonts w:ascii="Cambria" w:hAnsi="Cambria"/>
          <w:sz w:val="20"/>
          <w:szCs w:val="20"/>
          <w:lang w:val="es-MX"/>
        </w:rPr>
        <w:t>tancia Penal de Mayor Riesgo “A</w:t>
      </w:r>
      <w:r w:rsidR="00015DD6" w:rsidRPr="00873EBF">
        <w:rPr>
          <w:rFonts w:ascii="Cambria" w:hAnsi="Cambria"/>
          <w:sz w:val="20"/>
          <w:szCs w:val="20"/>
          <w:lang w:val="es-MX"/>
        </w:rPr>
        <w:t>”, del Departamento de Guatemala, donde actualmente se encuentra</w:t>
      </w:r>
      <w:r w:rsidR="00003106" w:rsidRPr="00873EBF">
        <w:rPr>
          <w:rFonts w:ascii="Cambria" w:hAnsi="Cambria"/>
          <w:sz w:val="20"/>
          <w:szCs w:val="20"/>
          <w:lang w:val="es-MX"/>
        </w:rPr>
        <w:t xml:space="preserve"> el caso</w:t>
      </w:r>
      <w:r w:rsidR="00DF7987" w:rsidRPr="00873EBF">
        <w:rPr>
          <w:rFonts w:ascii="Cambria" w:hAnsi="Cambria"/>
          <w:sz w:val="20"/>
          <w:szCs w:val="20"/>
          <w:lang w:val="es-MX"/>
        </w:rPr>
        <w:t xml:space="preserve"> bajo </w:t>
      </w:r>
      <w:r w:rsidR="00A7382A" w:rsidRPr="00873EBF">
        <w:rPr>
          <w:rFonts w:ascii="Cambria" w:hAnsi="Cambria"/>
          <w:sz w:val="20"/>
          <w:szCs w:val="20"/>
          <w:lang w:val="es-MX"/>
        </w:rPr>
        <w:t xml:space="preserve">el número de causa </w:t>
      </w:r>
      <w:r w:rsidR="00DF7987" w:rsidRPr="00873EBF">
        <w:rPr>
          <w:rFonts w:ascii="Cambria" w:hAnsi="Cambria"/>
          <w:sz w:val="20"/>
          <w:szCs w:val="20"/>
          <w:lang w:val="es-MX"/>
        </w:rPr>
        <w:t>C-1076</w:t>
      </w:r>
      <w:r w:rsidR="00A7382A" w:rsidRPr="00873EBF">
        <w:rPr>
          <w:rFonts w:ascii="Cambria" w:hAnsi="Cambria"/>
          <w:sz w:val="20"/>
          <w:szCs w:val="20"/>
          <w:lang w:val="es-MX"/>
        </w:rPr>
        <w:t>-</w:t>
      </w:r>
      <w:r w:rsidR="00DF7987" w:rsidRPr="00873EBF">
        <w:rPr>
          <w:rFonts w:ascii="Cambria" w:hAnsi="Cambria"/>
          <w:sz w:val="20"/>
          <w:szCs w:val="20"/>
          <w:lang w:val="es-MX"/>
        </w:rPr>
        <w:t>2011-0003</w:t>
      </w:r>
      <w:r w:rsidR="00015DD6" w:rsidRPr="00873EBF">
        <w:rPr>
          <w:rFonts w:ascii="Cambria" w:hAnsi="Cambria"/>
          <w:sz w:val="20"/>
          <w:szCs w:val="20"/>
          <w:lang w:val="es-MX"/>
        </w:rPr>
        <w:t xml:space="preserve">. </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5B6D5B" w:rsidRPr="00873EBF" w:rsidRDefault="006D6DA0"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lastRenderedPageBreak/>
        <w:t>D</w:t>
      </w:r>
      <w:r w:rsidR="00C87A10" w:rsidRPr="00873EBF">
        <w:rPr>
          <w:rFonts w:ascii="Cambria" w:hAnsi="Cambria"/>
          <w:sz w:val="20"/>
          <w:szCs w:val="20"/>
          <w:lang w:val="es-ES_tradnl"/>
        </w:rPr>
        <w:t>adas las características de este caso</w:t>
      </w:r>
      <w:r w:rsidR="00D23D34" w:rsidRPr="00873EBF">
        <w:rPr>
          <w:rFonts w:ascii="Cambria" w:hAnsi="Cambria"/>
          <w:sz w:val="20"/>
          <w:szCs w:val="20"/>
          <w:lang w:val="es-ES_tradnl"/>
        </w:rPr>
        <w:t>, las diligencias que obran en el marco de este proceso</w:t>
      </w:r>
      <w:r w:rsidR="006A13FD" w:rsidRPr="00873EBF">
        <w:rPr>
          <w:rFonts w:ascii="Cambria" w:hAnsi="Cambria"/>
          <w:sz w:val="20"/>
          <w:szCs w:val="20"/>
          <w:lang w:val="es-ES_tradnl"/>
        </w:rPr>
        <w:t xml:space="preserve"> –consistentes principalmente en</w:t>
      </w:r>
      <w:r w:rsidR="006A13FD" w:rsidRPr="00873EBF">
        <w:rPr>
          <w:rFonts w:ascii="Cambria" w:hAnsi="Cambria"/>
          <w:sz w:val="20"/>
          <w:szCs w:val="20"/>
          <w:lang w:val="es-MX"/>
        </w:rPr>
        <w:t xml:space="preserve"> solicitudes de información a entidades públicas y en declaraciones de </w:t>
      </w:r>
      <w:r w:rsidR="00BE740B" w:rsidRPr="00873EBF">
        <w:rPr>
          <w:rFonts w:ascii="Cambria" w:hAnsi="Cambria"/>
          <w:sz w:val="20"/>
          <w:szCs w:val="20"/>
          <w:lang w:val="es-MX"/>
        </w:rPr>
        <w:t>testigos</w:t>
      </w:r>
      <w:r w:rsidR="006A13FD" w:rsidRPr="00873EBF">
        <w:rPr>
          <w:rFonts w:ascii="Cambria" w:hAnsi="Cambria"/>
          <w:sz w:val="20"/>
          <w:szCs w:val="20"/>
          <w:lang w:val="es-ES_tradnl"/>
        </w:rPr>
        <w:t>– y</w:t>
      </w:r>
      <w:r w:rsidR="00BE740B" w:rsidRPr="00873EBF">
        <w:rPr>
          <w:rFonts w:ascii="Cambria" w:hAnsi="Cambria"/>
          <w:sz w:val="20"/>
          <w:szCs w:val="20"/>
          <w:lang w:val="es-ES_tradnl"/>
        </w:rPr>
        <w:t xml:space="preserve"> considerando</w:t>
      </w:r>
      <w:r w:rsidR="006A13FD" w:rsidRPr="00873EBF">
        <w:rPr>
          <w:rFonts w:ascii="Cambria" w:hAnsi="Cambria"/>
          <w:sz w:val="20"/>
          <w:szCs w:val="20"/>
          <w:lang w:val="es-ES_tradnl"/>
        </w:rPr>
        <w:t xml:space="preserve"> </w:t>
      </w:r>
      <w:r w:rsidR="00AE3821" w:rsidRPr="00873EBF">
        <w:rPr>
          <w:rFonts w:ascii="Cambria" w:hAnsi="Cambria"/>
          <w:sz w:val="20"/>
          <w:szCs w:val="20"/>
          <w:lang w:val="es-ES_tradnl"/>
        </w:rPr>
        <w:t>que a más de treinta años de ocurridos los hechos materia de la petición</w:t>
      </w:r>
      <w:r w:rsidR="00E8320E" w:rsidRPr="00873EBF">
        <w:rPr>
          <w:rFonts w:ascii="Cambria" w:hAnsi="Cambria"/>
          <w:sz w:val="20"/>
          <w:szCs w:val="20"/>
          <w:lang w:val="es-ES_tradnl"/>
        </w:rPr>
        <w:t xml:space="preserve"> y a más de 18</w:t>
      </w:r>
      <w:r w:rsidR="00AE3821" w:rsidRPr="00873EBF">
        <w:rPr>
          <w:rFonts w:ascii="Cambria" w:hAnsi="Cambria"/>
          <w:sz w:val="20"/>
          <w:szCs w:val="20"/>
          <w:lang w:val="es-ES_tradnl"/>
        </w:rPr>
        <w:t xml:space="preserve"> años de iniciada la respectiva investigación, no se han presentado avances sustantivos en la misma que permitan determinar y procesar a los presuntos responsables, la Comisión considera que resulta aplicable la excepción prevista en el artículo 46.2.c) de la Convención Americana respecto del retardo injustificado en el desarrollo de los procesos judiciales internos, por lo cual el requisito previsto en materia de agotamiento de recursos internos no resulta exigible.</w:t>
      </w:r>
    </w:p>
    <w:p w:rsidR="005B6D5B" w:rsidRPr="00873EBF" w:rsidRDefault="005B6D5B" w:rsidP="005B6D5B">
      <w:pPr>
        <w:pStyle w:val="ListParagraph"/>
        <w:rPr>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Sólo resta señalar que la invocación de las excepciones a la regla del agotamiento de los recursos internos previstas en el artículo 46.2 de la Convención se encuentra estrechamente ligada a la determinación de posibles violaciones a ciertos derechos allí consagrados, tales como las garantías de acceso a la justicia.  Sin embargo, el artículo 46.2, por su naturaleza y objeto, es una norma con contenido autónomo, </w:t>
      </w:r>
      <w:r w:rsidRPr="00873EBF">
        <w:rPr>
          <w:rFonts w:ascii="Cambria" w:hAnsi="Cambria"/>
          <w:i/>
          <w:iCs/>
          <w:sz w:val="20"/>
          <w:szCs w:val="20"/>
          <w:lang w:val="es-ES"/>
        </w:rPr>
        <w:t xml:space="preserve">vis </w:t>
      </w:r>
      <w:proofErr w:type="spellStart"/>
      <w:r w:rsidRPr="00873EBF">
        <w:rPr>
          <w:rFonts w:ascii="Cambria" w:hAnsi="Cambria"/>
          <w:i/>
          <w:iCs/>
          <w:sz w:val="20"/>
          <w:szCs w:val="20"/>
          <w:lang w:val="es-ES"/>
        </w:rPr>
        <w:t>á</w:t>
      </w:r>
      <w:proofErr w:type="spellEnd"/>
      <w:r w:rsidRPr="00873EBF">
        <w:rPr>
          <w:rFonts w:ascii="Cambria" w:hAnsi="Cambria"/>
          <w:i/>
          <w:iCs/>
          <w:sz w:val="20"/>
          <w:szCs w:val="20"/>
          <w:lang w:val="es-ES"/>
        </w:rPr>
        <w:t xml:space="preserve"> vis</w:t>
      </w:r>
      <w:r w:rsidRPr="00873EBF">
        <w:rPr>
          <w:rFonts w:ascii="Cambria" w:hAnsi="Cambria"/>
          <w:sz w:val="20"/>
          <w:szCs w:val="20"/>
          <w:lang w:val="es-ES"/>
        </w:rPr>
        <w:t xml:space="preserve"> las normas sustantivas de la Convención. Por lo tanto, la determinación de que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w:t>
      </w:r>
    </w:p>
    <w:p w:rsidR="005B6D5B" w:rsidRPr="00873EBF" w:rsidRDefault="005B6D5B" w:rsidP="005B6D5B">
      <w:pPr>
        <w:rPr>
          <w:sz w:val="20"/>
          <w:szCs w:val="20"/>
          <w:lang w:val="es-ES_tradnl"/>
        </w:rPr>
      </w:pPr>
    </w:p>
    <w:p w:rsidR="005B6D5B" w:rsidRPr="00873EBF" w:rsidRDefault="005B6D5B" w:rsidP="005B6D5B">
      <w:pPr>
        <w:pStyle w:val="Heading3"/>
        <w:keepNext w:val="0"/>
        <w:keepLines w:val="0"/>
        <w:numPr>
          <w:ilvl w:val="2"/>
          <w:numId w:val="58"/>
        </w:numPr>
        <w:tabs>
          <w:tab w:val="clear" w:pos="2985"/>
        </w:tabs>
        <w:spacing w:before="0" w:line="240" w:lineRule="auto"/>
        <w:ind w:left="1440" w:hanging="720"/>
        <w:jc w:val="both"/>
        <w:rPr>
          <w:color w:val="auto"/>
          <w:sz w:val="20"/>
          <w:szCs w:val="20"/>
          <w:lang w:val="es-ES_tradnl"/>
        </w:rPr>
      </w:pPr>
      <w:r w:rsidRPr="00873EBF">
        <w:rPr>
          <w:color w:val="auto"/>
          <w:sz w:val="20"/>
          <w:szCs w:val="20"/>
          <w:lang w:val="es-ES_tradnl"/>
        </w:rPr>
        <w:t>Plazo de presentación de la petición</w:t>
      </w:r>
    </w:p>
    <w:p w:rsidR="005B6D5B" w:rsidRPr="00873EBF" w:rsidRDefault="005B6D5B" w:rsidP="005B6D5B">
      <w:pPr>
        <w:rPr>
          <w:sz w:val="20"/>
          <w:szCs w:val="20"/>
          <w:lang w:val="es-ES_tradnl"/>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t>La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las excepciones al agotamiento de los recursos internos conforme al artículo 46.2.c de la Convención Americana.  Al respecto, el artículo 32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5B6D5B" w:rsidRPr="00873EBF" w:rsidRDefault="006A7016"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eastAsia="Times New Roman" w:hAnsi="Cambria"/>
          <w:sz w:val="20"/>
          <w:szCs w:val="20"/>
          <w:bdr w:val="none" w:sz="0" w:space="0" w:color="auto"/>
          <w:lang w:val="es-ES"/>
        </w:rPr>
        <w:t xml:space="preserve">En relación con las circunstancias específicas de los hechos alegados en la petición, la CIDH ya se ha pronunciado en el sentido de que los hechos materia del reclamo sucedieron durante el conflicto armado interno en Guatemala. </w:t>
      </w:r>
      <w:r w:rsidR="00860298" w:rsidRPr="00873EBF">
        <w:rPr>
          <w:rFonts w:ascii="Cambria" w:hAnsi="Cambria"/>
          <w:sz w:val="20"/>
          <w:szCs w:val="20"/>
          <w:lang w:val="es-ES"/>
        </w:rPr>
        <w:t>En este sentido, l</w:t>
      </w:r>
      <w:r w:rsidRPr="00873EBF">
        <w:rPr>
          <w:rFonts w:ascii="Cambria" w:eastAsia="Times New Roman" w:hAnsi="Cambria"/>
          <w:sz w:val="20"/>
          <w:szCs w:val="20"/>
          <w:bdr w:val="none" w:sz="0" w:space="0" w:color="auto"/>
          <w:lang w:val="es-ES"/>
        </w:rPr>
        <w:t xml:space="preserve">a Comisión debe considerar que el conflicto armado interno concluyó </w:t>
      </w:r>
      <w:r w:rsidR="002D6C42" w:rsidRPr="00873EBF">
        <w:rPr>
          <w:rFonts w:ascii="Cambria" w:eastAsia="Times New Roman" w:hAnsi="Cambria"/>
          <w:sz w:val="20"/>
          <w:szCs w:val="20"/>
          <w:bdr w:val="none" w:sz="0" w:space="0" w:color="auto"/>
          <w:lang w:val="es-ES"/>
        </w:rPr>
        <w:t xml:space="preserve">en 1996, </w:t>
      </w:r>
      <w:r w:rsidRPr="00873EBF">
        <w:rPr>
          <w:rFonts w:ascii="Cambria" w:eastAsia="Times New Roman" w:hAnsi="Cambria"/>
          <w:sz w:val="20"/>
          <w:szCs w:val="20"/>
          <w:bdr w:val="none" w:sz="0" w:space="0" w:color="auto"/>
          <w:lang w:val="es-ES"/>
        </w:rPr>
        <w:t>con la firma de los Acuerdos de Paz, acto que abrió la posibilidad de buscar el esclarecimiento de las violaciones per</w:t>
      </w:r>
      <w:r w:rsidR="002D6C42" w:rsidRPr="00873EBF">
        <w:rPr>
          <w:rFonts w:ascii="Cambria" w:eastAsia="Times New Roman" w:hAnsi="Cambria"/>
          <w:sz w:val="20"/>
          <w:szCs w:val="20"/>
          <w:bdr w:val="none" w:sz="0" w:space="0" w:color="auto"/>
          <w:lang w:val="es-ES"/>
        </w:rPr>
        <w:t>petradas en el marco del mismo.</w:t>
      </w:r>
      <w:r w:rsidR="00623DFB" w:rsidRPr="00873EBF">
        <w:rPr>
          <w:rFonts w:ascii="Cambria" w:eastAsia="Times New Roman" w:hAnsi="Cambria"/>
          <w:sz w:val="20"/>
          <w:szCs w:val="20"/>
          <w:bdr w:val="none" w:sz="0" w:space="0" w:color="auto"/>
          <w:lang w:val="es-ES"/>
        </w:rPr>
        <w:t xml:space="preserve"> L</w:t>
      </w:r>
      <w:r w:rsidRPr="00873EBF">
        <w:rPr>
          <w:rFonts w:ascii="Cambria" w:eastAsia="Times New Roman" w:hAnsi="Cambria"/>
          <w:sz w:val="20"/>
          <w:szCs w:val="20"/>
          <w:bdr w:val="none" w:sz="0" w:space="0" w:color="auto"/>
          <w:lang w:val="es-ES"/>
        </w:rPr>
        <w:t>os efectos de la</w:t>
      </w:r>
      <w:r w:rsidR="00623DFB" w:rsidRPr="00873EBF">
        <w:rPr>
          <w:rFonts w:ascii="Cambria" w:eastAsia="Times New Roman" w:hAnsi="Cambria"/>
          <w:sz w:val="20"/>
          <w:szCs w:val="20"/>
          <w:bdr w:val="none" w:sz="0" w:space="0" w:color="auto"/>
          <w:lang w:val="es-ES"/>
        </w:rPr>
        <w:t xml:space="preserve"> presunta</w:t>
      </w:r>
      <w:r w:rsidRPr="00873EBF">
        <w:rPr>
          <w:rFonts w:ascii="Cambria" w:eastAsia="Times New Roman" w:hAnsi="Cambria"/>
          <w:sz w:val="20"/>
          <w:szCs w:val="20"/>
          <w:bdr w:val="none" w:sz="0" w:space="0" w:color="auto"/>
          <w:lang w:val="es-ES"/>
        </w:rPr>
        <w:t xml:space="preserve"> falta de efectividad de los recursos internos se extienden hasta el presente, porque al momento de ser presentada la petición ante la Comi</w:t>
      </w:r>
      <w:r w:rsidR="002D6C42" w:rsidRPr="00873EBF">
        <w:rPr>
          <w:rFonts w:ascii="Cambria" w:eastAsia="Times New Roman" w:hAnsi="Cambria"/>
          <w:sz w:val="20"/>
          <w:szCs w:val="20"/>
          <w:bdr w:val="none" w:sz="0" w:space="0" w:color="auto"/>
          <w:lang w:val="es-ES"/>
        </w:rPr>
        <w:t xml:space="preserve">sión Interamericana </w:t>
      </w:r>
      <w:r w:rsidR="00623DFB" w:rsidRPr="00873EBF">
        <w:rPr>
          <w:rFonts w:ascii="Cambria" w:eastAsia="Times New Roman" w:hAnsi="Cambria"/>
          <w:sz w:val="20"/>
          <w:szCs w:val="20"/>
          <w:bdr w:val="none" w:sz="0" w:space="0" w:color="auto"/>
          <w:lang w:val="es-ES"/>
        </w:rPr>
        <w:t xml:space="preserve">en 2004, </w:t>
      </w:r>
      <w:r w:rsidR="002D6C42" w:rsidRPr="00873EBF">
        <w:rPr>
          <w:rFonts w:ascii="Cambria" w:eastAsia="Times New Roman" w:hAnsi="Cambria"/>
          <w:sz w:val="20"/>
          <w:szCs w:val="20"/>
          <w:bdr w:val="none" w:sz="0" w:space="0" w:color="auto"/>
          <w:lang w:val="es-ES"/>
        </w:rPr>
        <w:t>continuaba la investigación de los hechos en etapa inicial</w:t>
      </w:r>
      <w:r w:rsidR="00860298" w:rsidRPr="00873EBF">
        <w:rPr>
          <w:rStyle w:val="FootnoteReference"/>
          <w:rFonts w:ascii="Cambria" w:eastAsia="Times New Roman" w:hAnsi="Cambria"/>
          <w:sz w:val="20"/>
          <w:szCs w:val="20"/>
          <w:bdr w:val="none" w:sz="0" w:space="0" w:color="auto"/>
          <w:lang w:val="es-ES"/>
        </w:rPr>
        <w:footnoteReference w:id="7"/>
      </w:r>
      <w:r w:rsidRPr="00873EBF">
        <w:rPr>
          <w:rFonts w:ascii="Cambria" w:eastAsia="Times New Roman" w:hAnsi="Cambria"/>
          <w:sz w:val="20"/>
          <w:szCs w:val="20"/>
          <w:bdr w:val="none" w:sz="0" w:space="0" w:color="auto"/>
          <w:lang w:val="es-ES"/>
        </w:rPr>
        <w:t>.</w:t>
      </w:r>
    </w:p>
    <w:p w:rsidR="005B6D5B" w:rsidRPr="00873EBF" w:rsidRDefault="005B6D5B" w:rsidP="005B6D5B">
      <w:pPr>
        <w:pStyle w:val="ListParagraph"/>
        <w:rPr>
          <w:rFonts w:eastAsia="Times New Roman"/>
          <w:sz w:val="20"/>
          <w:szCs w:val="20"/>
          <w:bdr w:val="none" w:sz="0" w:space="0" w:color="auto"/>
          <w:lang w:val="es-ES"/>
        </w:rPr>
      </w:pPr>
    </w:p>
    <w:p w:rsidR="005B6D5B" w:rsidRPr="00873EBF" w:rsidRDefault="006A7016"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eastAsia="Times New Roman" w:hAnsi="Cambria"/>
          <w:sz w:val="20"/>
          <w:szCs w:val="20"/>
          <w:bdr w:val="none" w:sz="0" w:space="0" w:color="auto"/>
          <w:lang w:val="es-ES"/>
        </w:rPr>
        <w:t>Por lo tanto, en vista del contexto y las características de</w:t>
      </w:r>
      <w:r w:rsidR="002D6C42" w:rsidRPr="00873EBF">
        <w:rPr>
          <w:rFonts w:ascii="Cambria" w:eastAsia="Times New Roman" w:hAnsi="Cambria"/>
          <w:sz w:val="20"/>
          <w:szCs w:val="20"/>
          <w:bdr w:val="none" w:sz="0" w:space="0" w:color="auto"/>
          <w:lang w:val="es-ES"/>
        </w:rPr>
        <w:t xml:space="preserve"> este caso, </w:t>
      </w:r>
      <w:r w:rsidRPr="00873EBF">
        <w:rPr>
          <w:rFonts w:ascii="Cambria" w:eastAsia="Times New Roman" w:hAnsi="Cambria"/>
          <w:sz w:val="20"/>
          <w:szCs w:val="20"/>
          <w:bdr w:val="none" w:sz="0" w:space="0" w:color="auto"/>
          <w:lang w:val="es-ES"/>
        </w:rPr>
        <w:t xml:space="preserve">así como el hecho de que aún están pendientes </w:t>
      </w:r>
      <w:r w:rsidR="002D6C42" w:rsidRPr="00873EBF">
        <w:rPr>
          <w:rFonts w:ascii="Cambria" w:eastAsia="Times New Roman" w:hAnsi="Cambria"/>
          <w:sz w:val="20"/>
          <w:szCs w:val="20"/>
          <w:bdr w:val="none" w:sz="0" w:space="0" w:color="auto"/>
          <w:lang w:val="es-ES"/>
        </w:rPr>
        <w:t xml:space="preserve">la </w:t>
      </w:r>
      <w:r w:rsidR="001D36C2" w:rsidRPr="00873EBF">
        <w:rPr>
          <w:rFonts w:ascii="Cambria" w:eastAsia="Times New Roman" w:hAnsi="Cambria"/>
          <w:sz w:val="20"/>
          <w:szCs w:val="20"/>
          <w:bdr w:val="none" w:sz="0" w:space="0" w:color="auto"/>
          <w:lang w:val="es-ES"/>
        </w:rPr>
        <w:t>investigación</w:t>
      </w:r>
      <w:r w:rsidR="002D6C42" w:rsidRPr="00873EBF">
        <w:rPr>
          <w:rFonts w:ascii="Cambria" w:eastAsia="Times New Roman" w:hAnsi="Cambria"/>
          <w:sz w:val="20"/>
          <w:szCs w:val="20"/>
          <w:bdr w:val="none" w:sz="0" w:space="0" w:color="auto"/>
          <w:lang w:val="es-ES"/>
        </w:rPr>
        <w:t xml:space="preserve">, </w:t>
      </w:r>
      <w:r w:rsidRPr="00873EBF">
        <w:rPr>
          <w:rFonts w:ascii="Cambria" w:eastAsia="Times New Roman" w:hAnsi="Cambria"/>
          <w:sz w:val="20"/>
          <w:szCs w:val="20"/>
          <w:bdr w:val="none" w:sz="0" w:space="0" w:color="auto"/>
          <w:lang w:val="es-ES"/>
        </w:rPr>
        <w:t>la Comisi</w:t>
      </w:r>
      <w:r w:rsidR="002D6C42" w:rsidRPr="00873EBF">
        <w:rPr>
          <w:rFonts w:ascii="Cambria" w:eastAsia="Times New Roman" w:hAnsi="Cambria"/>
          <w:sz w:val="20"/>
          <w:szCs w:val="20"/>
          <w:bdr w:val="none" w:sz="0" w:space="0" w:color="auto"/>
          <w:lang w:val="es-ES"/>
        </w:rPr>
        <w:t xml:space="preserve">ón considera que la petición fue presentada </w:t>
      </w:r>
      <w:r w:rsidRPr="00873EBF">
        <w:rPr>
          <w:rFonts w:ascii="Cambria" w:eastAsia="Times New Roman" w:hAnsi="Cambria"/>
          <w:sz w:val="20"/>
          <w:szCs w:val="20"/>
          <w:bdr w:val="none" w:sz="0" w:space="0" w:color="auto"/>
          <w:lang w:val="es-ES"/>
        </w:rPr>
        <w:t xml:space="preserve">dentro de un plazo razonable y que debe darse por satisfecho el requisito de admisibilidad referente al </w:t>
      </w:r>
      <w:r w:rsidR="002D6C42" w:rsidRPr="00873EBF">
        <w:rPr>
          <w:rFonts w:ascii="Cambria" w:eastAsia="Times New Roman" w:hAnsi="Cambria"/>
          <w:sz w:val="20"/>
          <w:szCs w:val="20"/>
          <w:bdr w:val="none" w:sz="0" w:space="0" w:color="auto"/>
          <w:lang w:val="es-ES"/>
        </w:rPr>
        <w:t xml:space="preserve">mismo. </w:t>
      </w:r>
    </w:p>
    <w:p w:rsidR="005B6D5B" w:rsidRPr="00873EBF" w:rsidRDefault="005B6D5B" w:rsidP="005B6D5B">
      <w:pPr>
        <w:rPr>
          <w:rFonts w:cs="Arial"/>
          <w:sz w:val="20"/>
          <w:szCs w:val="20"/>
          <w:lang w:val="es-ES"/>
        </w:rPr>
      </w:pPr>
    </w:p>
    <w:p w:rsidR="005B6D5B" w:rsidRPr="00873EBF" w:rsidRDefault="005B6D5B" w:rsidP="005B6D5B">
      <w:pPr>
        <w:pStyle w:val="Heading2"/>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s>
        <w:spacing w:before="0"/>
        <w:ind w:left="1440" w:hanging="720"/>
        <w:jc w:val="both"/>
        <w:rPr>
          <w:color w:val="auto"/>
          <w:sz w:val="20"/>
          <w:szCs w:val="20"/>
          <w:lang w:val="es-ES"/>
        </w:rPr>
      </w:pPr>
      <w:r w:rsidRPr="00873EBF">
        <w:rPr>
          <w:bCs w:val="0"/>
          <w:color w:val="auto"/>
          <w:sz w:val="20"/>
          <w:szCs w:val="20"/>
          <w:lang w:val="es-ES"/>
        </w:rPr>
        <w:t>Duplicación de procedimientos y cosa juzgada internacionales</w:t>
      </w:r>
    </w:p>
    <w:p w:rsidR="005B6D5B" w:rsidRPr="00873EBF" w:rsidRDefault="005B6D5B" w:rsidP="005B6D5B">
      <w:pPr>
        <w:rPr>
          <w:rFonts w:cs="Arial"/>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cs="Arial"/>
          <w:sz w:val="20"/>
          <w:szCs w:val="20"/>
          <w:lang w:val="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w:t>
      </w:r>
      <w:proofErr w:type="gramStart"/>
      <w:r w:rsidRPr="00873EBF">
        <w:rPr>
          <w:rFonts w:ascii="Cambria" w:hAnsi="Cambria" w:cs="Arial"/>
          <w:sz w:val="20"/>
          <w:szCs w:val="20"/>
          <w:lang w:val="es-ES"/>
        </w:rPr>
        <w:t>)(</w:t>
      </w:r>
      <w:proofErr w:type="gramEnd"/>
      <w:r w:rsidRPr="00873EBF">
        <w:rPr>
          <w:rFonts w:ascii="Cambria" w:hAnsi="Cambria" w:cs="Arial"/>
          <w:sz w:val="20"/>
          <w:szCs w:val="20"/>
          <w:lang w:val="es-ES"/>
        </w:rPr>
        <w:t>c) y 47(d) de la Convención.</w:t>
      </w:r>
    </w:p>
    <w:p w:rsidR="005B6D5B"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6E626B" w:rsidRPr="00873EBF" w:rsidRDefault="006E626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5B6D5B" w:rsidRPr="00873EBF" w:rsidRDefault="005B6D5B" w:rsidP="005B6D5B">
      <w:pPr>
        <w:pStyle w:val="Heading3"/>
        <w:keepNext w:val="0"/>
        <w:keepLines w:val="0"/>
        <w:numPr>
          <w:ilvl w:val="1"/>
          <w:numId w:val="58"/>
        </w:numPr>
        <w:tabs>
          <w:tab w:val="clear" w:pos="2070"/>
          <w:tab w:val="num" w:pos="1440"/>
        </w:tabs>
        <w:spacing w:before="0" w:line="240" w:lineRule="auto"/>
        <w:ind w:left="1440" w:hanging="720"/>
        <w:jc w:val="both"/>
        <w:rPr>
          <w:bCs w:val="0"/>
          <w:color w:val="auto"/>
          <w:sz w:val="20"/>
          <w:szCs w:val="20"/>
          <w:lang w:val="es-ES_tradnl"/>
        </w:rPr>
      </w:pPr>
      <w:r w:rsidRPr="00873EBF">
        <w:rPr>
          <w:bCs w:val="0"/>
          <w:color w:val="auto"/>
          <w:sz w:val="20"/>
          <w:szCs w:val="20"/>
          <w:lang w:val="es-ES_tradnl"/>
        </w:rPr>
        <w:lastRenderedPageBreak/>
        <w:t>Caracterización de los hechos alegados</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La Comisión considera que no corresponde en esta etapa del procedimiento decidir si se produjeron o no las alegadas violaciones en perjuicio de las presuntas víctimas. A efectos de la admisibilidad, la CIDH debe resolver en este momento únicamente si se exponen hechos que, de ser probados, caracterizarían violaciones a la Convención Americana, como lo estipula el artículo 47(b) de la misma, y si la petición es "manifiestamente infundada" o si es “evidente su total improcedencia”, según el inciso (c) del mismo artículo.</w:t>
      </w:r>
    </w:p>
    <w:p w:rsidR="005B6D5B" w:rsidRPr="00873EBF" w:rsidRDefault="005B6D5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El criterio para la apreciación de estos extremos es diferente al requerido para pronunciarse sobre los méritos de una denuncia. La CIDH debe realizar una evaluación </w:t>
      </w:r>
      <w:r w:rsidRPr="00873EBF">
        <w:rPr>
          <w:rFonts w:ascii="Cambria" w:hAnsi="Cambria"/>
          <w:i/>
          <w:iCs/>
          <w:sz w:val="20"/>
          <w:szCs w:val="20"/>
          <w:lang w:val="es-ES"/>
        </w:rPr>
        <w:t>prima facie</w:t>
      </w:r>
      <w:r w:rsidRPr="00873EBF">
        <w:rPr>
          <w:rFonts w:ascii="Cambria" w:hAnsi="Cambria"/>
          <w:sz w:val="20"/>
          <w:szCs w:val="20"/>
          <w:lang w:val="es-ES"/>
        </w:rPr>
        <w:t xml:space="preserve"> y determinar si la denuncia fundamenta la aparente o potencial violación de un derecho garantizado por la Convención Americana, mas no establecer la existencia de dicha violación</w:t>
      </w:r>
      <w:r w:rsidRPr="00873EBF">
        <w:rPr>
          <w:rStyle w:val="FootnoteReference"/>
          <w:rFonts w:ascii="Cambria" w:hAnsi="Cambria"/>
          <w:b/>
          <w:sz w:val="20"/>
          <w:szCs w:val="20"/>
          <w:lang w:val="es-ES"/>
        </w:rPr>
        <w:footnoteReference w:id="8"/>
      </w:r>
      <w:r w:rsidRPr="00873EBF">
        <w:rPr>
          <w:rFonts w:ascii="Cambria" w:hAnsi="Cambria"/>
          <w:sz w:val="20"/>
          <w:szCs w:val="20"/>
          <w:lang w:val="es-ES"/>
        </w:rPr>
        <w:t>. En la presente etapa corresponde efectuar un análisis sumario que no implica un prejuicio o un avance de opinión sobre el fondo. El propio Reglamento de la Comisión Interamericana, al establecer una fase de admisibilidad y otra de fondo, refleja esta distinción entre la evaluación que debe realizar la Comisión Interamericana a fin de declarar una petición admisible y la requerida para establecer si se ha cometido una violación imputable al Estado</w:t>
      </w:r>
      <w:r w:rsidRPr="00873EBF">
        <w:rPr>
          <w:rStyle w:val="FootnoteReference"/>
          <w:rFonts w:ascii="Cambria" w:hAnsi="Cambria"/>
          <w:sz w:val="20"/>
          <w:szCs w:val="20"/>
          <w:lang w:val="es-ES"/>
        </w:rPr>
        <w:footnoteReference w:id="9"/>
      </w:r>
      <w:r w:rsidRPr="00873EBF">
        <w:rPr>
          <w:rFonts w:ascii="Cambria" w:hAnsi="Cambria"/>
          <w:sz w:val="20"/>
          <w:szCs w:val="20"/>
          <w:lang w:val="es-ES"/>
        </w:rPr>
        <w:t xml:space="preserve">. </w:t>
      </w:r>
    </w:p>
    <w:p w:rsidR="005B6D5B" w:rsidRPr="00873EBF" w:rsidRDefault="005B6D5B" w:rsidP="005B6D5B">
      <w:pPr>
        <w:pStyle w:val="ListParagraph"/>
        <w:rPr>
          <w:iCs/>
          <w:sz w:val="20"/>
          <w:szCs w:val="20"/>
          <w:lang w:val="es-ES"/>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iCs/>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Interamericano, determinar en sus informes de admisibilidad, qué disposición de los instrumentos interamericanos relevantes es aplicable y podría establecerse su violación si los hechos alegados son probados mediante elementos suficientes.</w:t>
      </w:r>
    </w:p>
    <w:p w:rsidR="005B6D5B" w:rsidRPr="00873EBF" w:rsidRDefault="005B6D5B" w:rsidP="005B6D5B">
      <w:pPr>
        <w:pStyle w:val="ListParagraph"/>
        <w:rPr>
          <w:sz w:val="20"/>
          <w:szCs w:val="20"/>
          <w:lang w:val="es-ES_tradnl"/>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t xml:space="preserve">En primer lugar, los peticionarios alegan que el Estado guatemalteco habría vulnerado el derecho a la vida </w:t>
      </w:r>
      <w:r w:rsidR="002B01CD" w:rsidRPr="00873EBF">
        <w:rPr>
          <w:rFonts w:ascii="Cambria" w:hAnsi="Cambria"/>
          <w:sz w:val="20"/>
          <w:szCs w:val="20"/>
          <w:lang w:val="es-ES_tradnl"/>
        </w:rPr>
        <w:t xml:space="preserve">(artículo 4) </w:t>
      </w:r>
      <w:r w:rsidRPr="00873EBF">
        <w:rPr>
          <w:rFonts w:ascii="Cambria" w:hAnsi="Cambria"/>
          <w:sz w:val="20"/>
          <w:szCs w:val="20"/>
          <w:lang w:val="es-ES_tradnl"/>
        </w:rPr>
        <w:t>e</w:t>
      </w:r>
      <w:r w:rsidRPr="00873EBF">
        <w:rPr>
          <w:rFonts w:ascii="Cambria" w:hAnsi="Cambria"/>
          <w:sz w:val="20"/>
          <w:szCs w:val="20"/>
          <w:lang w:val="es-MX"/>
        </w:rPr>
        <w:t>n perjuicio de los habitantes de Los Josefinos como resultado de la masacre perpetrada por el ejército; sobre el derecho a la integridad personal</w:t>
      </w:r>
      <w:r w:rsidR="00056039" w:rsidRPr="00873EBF">
        <w:rPr>
          <w:rFonts w:ascii="Cambria" w:hAnsi="Cambria"/>
          <w:sz w:val="20"/>
          <w:szCs w:val="20"/>
          <w:lang w:val="es-MX"/>
        </w:rPr>
        <w:t xml:space="preserve"> (artículo 5)</w:t>
      </w:r>
      <w:r w:rsidRPr="00873EBF">
        <w:rPr>
          <w:rFonts w:ascii="Cambria" w:hAnsi="Cambria"/>
          <w:sz w:val="20"/>
          <w:szCs w:val="20"/>
          <w:lang w:val="es-MX"/>
        </w:rPr>
        <w:t>, manifiestan que se habría violado este derecho</w:t>
      </w:r>
      <w:r w:rsidR="00B276FF" w:rsidRPr="00873EBF">
        <w:rPr>
          <w:rFonts w:ascii="Cambria" w:hAnsi="Cambria"/>
          <w:sz w:val="20"/>
          <w:szCs w:val="20"/>
          <w:lang w:val="es-MX"/>
        </w:rPr>
        <w:t xml:space="preserve"> en perjuicio de los habitantes de la referida aldea, debido a la </w:t>
      </w:r>
      <w:r w:rsidR="00983FDC" w:rsidRPr="00873EBF">
        <w:rPr>
          <w:rFonts w:ascii="Cambria" w:hAnsi="Cambria"/>
          <w:sz w:val="20"/>
          <w:szCs w:val="20"/>
          <w:lang w:val="es-ES"/>
        </w:rPr>
        <w:t>violencia infringida por parte de los agentes estatales antes de la masacre</w:t>
      </w:r>
      <w:r w:rsidRPr="00873EBF">
        <w:rPr>
          <w:rFonts w:ascii="Cambria" w:hAnsi="Cambria"/>
          <w:sz w:val="20"/>
          <w:szCs w:val="20"/>
          <w:lang w:val="es-MX"/>
        </w:rPr>
        <w:t xml:space="preserve">. </w:t>
      </w:r>
      <w:r w:rsidRPr="00873EBF">
        <w:rPr>
          <w:rFonts w:ascii="Cambria" w:hAnsi="Cambria"/>
          <w:sz w:val="20"/>
          <w:szCs w:val="20"/>
          <w:lang w:val="es-ES_tradnl"/>
        </w:rPr>
        <w:t>Por su parte, el Estado acepta que la</w:t>
      </w:r>
      <w:r w:rsidR="00056039" w:rsidRPr="00873EBF">
        <w:rPr>
          <w:rFonts w:ascii="Cambria" w:hAnsi="Cambria"/>
          <w:sz w:val="20"/>
          <w:szCs w:val="20"/>
          <w:lang w:val="es-ES_tradnl"/>
        </w:rPr>
        <w:t xml:space="preserve"> referida </w:t>
      </w:r>
      <w:r w:rsidRPr="00873EBF">
        <w:rPr>
          <w:rFonts w:ascii="Cambria" w:hAnsi="Cambria"/>
          <w:sz w:val="20"/>
          <w:szCs w:val="20"/>
          <w:lang w:val="es-ES_tradnl"/>
        </w:rPr>
        <w:t>masacre habría sido perpetrada por fuerzas militares guatemalteca</w:t>
      </w:r>
      <w:r w:rsidR="001A55DA" w:rsidRPr="00873EBF">
        <w:rPr>
          <w:rFonts w:ascii="Cambria" w:hAnsi="Cambria"/>
          <w:sz w:val="20"/>
          <w:szCs w:val="20"/>
          <w:lang w:val="es-ES_tradnl"/>
        </w:rPr>
        <w:t>s</w:t>
      </w:r>
      <w:r w:rsidRPr="00873EBF">
        <w:rPr>
          <w:rFonts w:ascii="Cambria" w:hAnsi="Cambria"/>
          <w:sz w:val="20"/>
          <w:szCs w:val="20"/>
          <w:lang w:val="es-ES_tradnl"/>
        </w:rPr>
        <w:t xml:space="preserve">. </w:t>
      </w:r>
      <w:r w:rsidR="0000406C" w:rsidRPr="00873EBF">
        <w:rPr>
          <w:rFonts w:ascii="Cambria" w:hAnsi="Cambria"/>
          <w:sz w:val="20"/>
          <w:szCs w:val="20"/>
          <w:lang w:val="es-ES_tradnl"/>
        </w:rPr>
        <w:t>Al respecto, l</w:t>
      </w:r>
      <w:r w:rsidRPr="00873EBF">
        <w:rPr>
          <w:rFonts w:ascii="Cambria" w:hAnsi="Cambria"/>
          <w:sz w:val="20"/>
          <w:szCs w:val="20"/>
          <w:lang w:val="es-AR"/>
        </w:rPr>
        <w:t>a CIDH considera que dichos alegatos podrían caracterizar en la etapa de fondo</w:t>
      </w:r>
      <w:r w:rsidR="00D10DF8" w:rsidRPr="00873EBF">
        <w:rPr>
          <w:rFonts w:ascii="Cambria" w:hAnsi="Cambria"/>
          <w:sz w:val="20"/>
          <w:szCs w:val="20"/>
          <w:lang w:val="es-AR"/>
        </w:rPr>
        <w:t>,</w:t>
      </w:r>
      <w:r w:rsidRPr="00873EBF">
        <w:rPr>
          <w:rFonts w:ascii="Cambria" w:hAnsi="Cambria"/>
          <w:sz w:val="20"/>
          <w:szCs w:val="20"/>
          <w:lang w:val="es-AR"/>
        </w:rPr>
        <w:t xml:space="preserve"> posibles violaciones a los derechos contenidos en los artículos </w:t>
      </w:r>
      <w:r w:rsidR="00983FDC" w:rsidRPr="00873EBF">
        <w:rPr>
          <w:rFonts w:ascii="Cambria" w:hAnsi="Cambria"/>
          <w:sz w:val="20"/>
          <w:szCs w:val="20"/>
          <w:lang w:val="es-ES_tradnl"/>
        </w:rPr>
        <w:t>4</w:t>
      </w:r>
      <w:r w:rsidRPr="00873EBF">
        <w:rPr>
          <w:rFonts w:ascii="Cambria" w:hAnsi="Cambria"/>
          <w:sz w:val="20"/>
          <w:szCs w:val="20"/>
          <w:lang w:val="es-ES_tradnl"/>
        </w:rPr>
        <w:t xml:space="preserve"> y 5 de la Convención </w:t>
      </w:r>
      <w:r w:rsidRPr="00873EBF">
        <w:rPr>
          <w:rFonts w:ascii="Cambria" w:hAnsi="Cambria"/>
          <w:sz w:val="20"/>
          <w:szCs w:val="20"/>
          <w:lang w:val="es-AR"/>
        </w:rPr>
        <w:t>en perjuicio de l</w:t>
      </w:r>
      <w:r w:rsidR="00D10DF8" w:rsidRPr="00873EBF">
        <w:rPr>
          <w:rFonts w:ascii="Cambria" w:hAnsi="Cambria"/>
          <w:sz w:val="20"/>
          <w:szCs w:val="20"/>
          <w:lang w:val="es-AR"/>
        </w:rPr>
        <w:t xml:space="preserve">os habitantes de Los Josefinos, </w:t>
      </w:r>
      <w:r w:rsidRPr="00873EBF">
        <w:rPr>
          <w:rFonts w:ascii="Cambria" w:hAnsi="Cambria"/>
          <w:sz w:val="20"/>
          <w:szCs w:val="20"/>
          <w:lang w:val="es-AR"/>
        </w:rPr>
        <w:t xml:space="preserve">en conexión con el artículo 1.1 de referido instrumento. </w:t>
      </w:r>
    </w:p>
    <w:p w:rsidR="005B6D5B" w:rsidRPr="00873EBF" w:rsidRDefault="005B6D5B" w:rsidP="005B6D5B">
      <w:pPr>
        <w:pStyle w:val="ListParagraph"/>
        <w:rPr>
          <w:sz w:val="20"/>
          <w:szCs w:val="20"/>
          <w:lang w:val="es-MX"/>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 xml:space="preserve">Respecto a las violaciones a las garantías judiciales y protección judicial (artículos 8 y 25), los peticionarios señalan que </w:t>
      </w:r>
      <w:r w:rsidR="00056039" w:rsidRPr="00873EBF">
        <w:rPr>
          <w:rFonts w:ascii="Cambria" w:hAnsi="Cambria"/>
          <w:sz w:val="20"/>
          <w:szCs w:val="20"/>
          <w:lang w:val="es-MX"/>
        </w:rPr>
        <w:t xml:space="preserve">éstas habrían sido vulneradas en perjuicio de los sobrevivientes y familiares de las presuntas víctimas, </w:t>
      </w:r>
      <w:r w:rsidRPr="00873EBF">
        <w:rPr>
          <w:rFonts w:ascii="Cambria" w:hAnsi="Cambria"/>
          <w:sz w:val="20"/>
          <w:szCs w:val="20"/>
          <w:lang w:val="es-MX"/>
        </w:rPr>
        <w:t>por la falta de diligencia para determinar la verdad y por el re</w:t>
      </w:r>
      <w:r w:rsidR="00056039" w:rsidRPr="00873EBF">
        <w:rPr>
          <w:rFonts w:ascii="Cambria" w:hAnsi="Cambria"/>
          <w:sz w:val="20"/>
          <w:szCs w:val="20"/>
          <w:lang w:val="es-MX"/>
        </w:rPr>
        <w:t>traso injustificado de la misma</w:t>
      </w:r>
      <w:r w:rsidRPr="00873EBF">
        <w:rPr>
          <w:rFonts w:ascii="Cambria" w:hAnsi="Cambria"/>
          <w:sz w:val="20"/>
          <w:szCs w:val="20"/>
          <w:lang w:val="es-MX"/>
        </w:rPr>
        <w:t xml:space="preserve">. Sobre este punto, el Estado expresa que habría realizado todas las diligencias para realizar una investigación eficaz. </w:t>
      </w:r>
      <w:r w:rsidRPr="00873EBF">
        <w:rPr>
          <w:rFonts w:ascii="Cambria" w:hAnsi="Cambria"/>
          <w:sz w:val="20"/>
          <w:szCs w:val="20"/>
          <w:lang w:val="es-ES"/>
        </w:rPr>
        <w:t xml:space="preserve">De comprobarse los reclamos </w:t>
      </w:r>
      <w:r w:rsidR="00D10DF8" w:rsidRPr="00873EBF">
        <w:rPr>
          <w:rFonts w:ascii="Cambria" w:hAnsi="Cambria"/>
          <w:sz w:val="20"/>
          <w:szCs w:val="20"/>
          <w:lang w:val="es-ES"/>
        </w:rPr>
        <w:t xml:space="preserve">respectivos, </w:t>
      </w:r>
      <w:r w:rsidRPr="00873EBF">
        <w:rPr>
          <w:rFonts w:ascii="Cambria" w:hAnsi="Cambria"/>
          <w:sz w:val="20"/>
          <w:szCs w:val="20"/>
          <w:lang w:val="es-ES"/>
        </w:rPr>
        <w:t xml:space="preserve">podrían configurarse en violaciones a los artículos 8 y 25 de la Convención </w:t>
      </w:r>
      <w:r w:rsidR="00F11C31" w:rsidRPr="00873EBF">
        <w:rPr>
          <w:rFonts w:ascii="Cambria" w:hAnsi="Cambria"/>
          <w:sz w:val="20"/>
          <w:szCs w:val="20"/>
          <w:lang w:val="es-ES"/>
        </w:rPr>
        <w:t>en</w:t>
      </w:r>
      <w:r w:rsidRPr="00873EBF">
        <w:rPr>
          <w:rFonts w:ascii="Cambria" w:hAnsi="Cambria"/>
          <w:sz w:val="20"/>
          <w:szCs w:val="20"/>
          <w:lang w:val="es-ES"/>
        </w:rPr>
        <w:t xml:space="preserve"> relación con su artículo 1.1, en perjuicio de los sobrevivientes de la masacre y de los familiares de las presuntas víctimas. </w:t>
      </w:r>
    </w:p>
    <w:p w:rsidR="005B6D5B" w:rsidRPr="00873EBF" w:rsidRDefault="005B6D5B" w:rsidP="005B6D5B">
      <w:pPr>
        <w:pStyle w:val="ListParagraph"/>
        <w:rPr>
          <w:sz w:val="20"/>
          <w:szCs w:val="20"/>
          <w:lang w:val="es-ES"/>
        </w:rPr>
      </w:pPr>
    </w:p>
    <w:p w:rsidR="005B6D5B" w:rsidRPr="00873EBF" w:rsidRDefault="00056039"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Por </w:t>
      </w:r>
      <w:r w:rsidR="00983FDC" w:rsidRPr="00873EBF">
        <w:rPr>
          <w:rFonts w:ascii="Cambria" w:hAnsi="Cambria"/>
          <w:sz w:val="20"/>
          <w:szCs w:val="20"/>
          <w:lang w:val="es-ES"/>
        </w:rPr>
        <w:t xml:space="preserve">otra parte, los alegatos de los peticionarios relacionados con la supuesta violación del derecho a la integridad personal (artículo 5) </w:t>
      </w:r>
      <w:r w:rsidR="009024BD" w:rsidRPr="00873EBF">
        <w:rPr>
          <w:rFonts w:ascii="Cambria" w:hAnsi="Cambria"/>
          <w:sz w:val="20"/>
          <w:szCs w:val="20"/>
          <w:lang w:val="es-ES"/>
        </w:rPr>
        <w:t xml:space="preserve">en perjuicio de los sobrevivientes y de los familiares de las presuntas víctimas, debido al supuesto sufrimiento </w:t>
      </w:r>
      <w:r w:rsidR="00B276FF" w:rsidRPr="00873EBF">
        <w:rPr>
          <w:rFonts w:ascii="Cambria" w:hAnsi="Cambria"/>
          <w:sz w:val="20"/>
          <w:szCs w:val="20"/>
          <w:lang w:val="es-ES"/>
        </w:rPr>
        <w:t xml:space="preserve">al que se enfrentan </w:t>
      </w:r>
      <w:r w:rsidR="009024BD" w:rsidRPr="00873EBF">
        <w:rPr>
          <w:rFonts w:ascii="Cambria" w:hAnsi="Cambria"/>
          <w:sz w:val="20"/>
          <w:szCs w:val="20"/>
          <w:lang w:val="es-ES"/>
        </w:rPr>
        <w:t xml:space="preserve">debido a la </w:t>
      </w:r>
      <w:r w:rsidR="00983FDC" w:rsidRPr="00873EBF">
        <w:rPr>
          <w:rFonts w:ascii="Cambria" w:hAnsi="Cambria"/>
          <w:sz w:val="20"/>
          <w:szCs w:val="20"/>
          <w:lang w:val="es-ES"/>
        </w:rPr>
        <w:t xml:space="preserve">impunidad en la que se </w:t>
      </w:r>
      <w:r w:rsidR="00983FDC" w:rsidRPr="00873EBF">
        <w:rPr>
          <w:rFonts w:ascii="Cambria" w:hAnsi="Cambria"/>
          <w:sz w:val="20"/>
          <w:szCs w:val="20"/>
          <w:lang w:val="es-ES"/>
        </w:rPr>
        <w:lastRenderedPageBreak/>
        <w:t xml:space="preserve">mantendría la investigación de los hechos, </w:t>
      </w:r>
      <w:r w:rsidR="00AE3821" w:rsidRPr="00873EBF">
        <w:rPr>
          <w:rFonts w:ascii="Cambria" w:hAnsi="Cambria"/>
          <w:sz w:val="20"/>
          <w:szCs w:val="20"/>
          <w:lang w:val="es-ES"/>
        </w:rPr>
        <w:t xml:space="preserve">podrían caracterizar </w:t>
      </w:r>
      <w:r w:rsidR="009024BD" w:rsidRPr="00873EBF">
        <w:rPr>
          <w:rFonts w:ascii="Cambria" w:hAnsi="Cambria"/>
          <w:sz w:val="20"/>
          <w:szCs w:val="20"/>
          <w:lang w:val="es-ES"/>
        </w:rPr>
        <w:t xml:space="preserve">en su perjuicio, </w:t>
      </w:r>
      <w:r w:rsidR="00AE3821" w:rsidRPr="00873EBF">
        <w:rPr>
          <w:rFonts w:ascii="Cambria" w:hAnsi="Cambria"/>
          <w:sz w:val="20"/>
          <w:szCs w:val="20"/>
          <w:lang w:val="es-ES"/>
        </w:rPr>
        <w:t xml:space="preserve">una posible violación del artículo 5 de la Convención Americana, </w:t>
      </w:r>
      <w:r w:rsidR="00F11C31" w:rsidRPr="00873EBF">
        <w:rPr>
          <w:rFonts w:ascii="Cambria" w:hAnsi="Cambria"/>
          <w:sz w:val="20"/>
          <w:szCs w:val="20"/>
          <w:lang w:val="es-ES"/>
        </w:rPr>
        <w:t>en relación con su artículo 1.1</w:t>
      </w:r>
      <w:r w:rsidR="009024BD" w:rsidRPr="00873EBF">
        <w:rPr>
          <w:rFonts w:ascii="Cambria" w:hAnsi="Cambria"/>
          <w:sz w:val="20"/>
          <w:szCs w:val="20"/>
          <w:lang w:val="es-ES"/>
        </w:rPr>
        <w:t>.</w:t>
      </w:r>
    </w:p>
    <w:p w:rsidR="005B6D5B" w:rsidRPr="00873EBF" w:rsidRDefault="005B6D5B" w:rsidP="005B6D5B">
      <w:pPr>
        <w:pStyle w:val="ListParagraph"/>
        <w:rPr>
          <w:sz w:val="20"/>
          <w:szCs w:val="20"/>
          <w:lang w:val="es-MX"/>
        </w:rPr>
      </w:pPr>
    </w:p>
    <w:p w:rsidR="005B6D5B" w:rsidRPr="00873EBF" w:rsidRDefault="00056039"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MX"/>
        </w:rPr>
        <w:t>Adicionalmente, l</w:t>
      </w:r>
      <w:r w:rsidR="00AE3821" w:rsidRPr="00873EBF">
        <w:rPr>
          <w:rFonts w:ascii="Cambria" w:hAnsi="Cambria"/>
          <w:sz w:val="20"/>
          <w:szCs w:val="20"/>
          <w:lang w:val="es-MX"/>
        </w:rPr>
        <w:t>as alegaciones de los peticionarios en relación con la protección a la familia</w:t>
      </w:r>
      <w:r w:rsidR="00F11C31" w:rsidRPr="00873EBF">
        <w:rPr>
          <w:rFonts w:ascii="Cambria" w:hAnsi="Cambria"/>
          <w:sz w:val="20"/>
          <w:szCs w:val="20"/>
          <w:lang w:val="es-MX"/>
        </w:rPr>
        <w:t xml:space="preserve"> (artículo 17)</w:t>
      </w:r>
      <w:r w:rsidR="00AE3821" w:rsidRPr="00873EBF">
        <w:rPr>
          <w:rFonts w:ascii="Cambria" w:hAnsi="Cambria"/>
          <w:sz w:val="20"/>
          <w:szCs w:val="20"/>
          <w:lang w:val="es-MX"/>
        </w:rPr>
        <w:t xml:space="preserve">, derivado de que el accionar de las fuerzas militares guatemaltecas habría ocasionado la desintegración de </w:t>
      </w:r>
      <w:r w:rsidR="00F11C31" w:rsidRPr="00873EBF">
        <w:rPr>
          <w:rFonts w:ascii="Cambria" w:hAnsi="Cambria"/>
          <w:sz w:val="20"/>
          <w:szCs w:val="20"/>
          <w:lang w:val="es-MX"/>
        </w:rPr>
        <w:t xml:space="preserve">las familias que habitaban en Los Josefinos, </w:t>
      </w:r>
      <w:r w:rsidR="00AE3821" w:rsidRPr="00873EBF">
        <w:rPr>
          <w:rFonts w:ascii="Cambria" w:hAnsi="Cambria"/>
          <w:sz w:val="20"/>
          <w:szCs w:val="20"/>
          <w:lang w:val="es-MX"/>
        </w:rPr>
        <w:t>podría caracterizar violaciones al artículo 17 de la Convención, en relación con el ar</w:t>
      </w:r>
      <w:r w:rsidR="0081558A" w:rsidRPr="00873EBF">
        <w:rPr>
          <w:rFonts w:ascii="Cambria" w:hAnsi="Cambria"/>
          <w:sz w:val="20"/>
          <w:szCs w:val="20"/>
          <w:lang w:val="es-MX"/>
        </w:rPr>
        <w:t xml:space="preserve">tículo 1.1 de dicho instrumento, en perjuicio de los habitantes de Los Josefinos. </w:t>
      </w:r>
    </w:p>
    <w:p w:rsidR="005B6D5B" w:rsidRPr="00873EBF" w:rsidRDefault="005B6D5B" w:rsidP="005B6D5B">
      <w:pPr>
        <w:pStyle w:val="ListParagraph"/>
        <w:rPr>
          <w:sz w:val="20"/>
          <w:szCs w:val="20"/>
          <w:lang w:val="es-AR"/>
        </w:rPr>
      </w:pPr>
    </w:p>
    <w:p w:rsidR="005B6D5B" w:rsidRPr="00873EBF" w:rsidRDefault="009024BD"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AR"/>
        </w:rPr>
        <w:t>L</w:t>
      </w:r>
      <w:r w:rsidR="00AE3821" w:rsidRPr="00873EBF">
        <w:rPr>
          <w:rFonts w:ascii="Cambria" w:hAnsi="Cambria"/>
          <w:sz w:val="20"/>
          <w:szCs w:val="20"/>
          <w:lang w:val="es-AR"/>
        </w:rPr>
        <w:t xml:space="preserve">a CIDH estima que las alegaciones de los peticionarios sobre la presunta violación del </w:t>
      </w:r>
      <w:r w:rsidR="00AE3821" w:rsidRPr="00873EBF">
        <w:rPr>
          <w:rFonts w:ascii="Cambria" w:hAnsi="Cambria"/>
          <w:sz w:val="20"/>
          <w:szCs w:val="20"/>
          <w:lang w:val="es-MX"/>
        </w:rPr>
        <w:t xml:space="preserve">derecho a la propiedad privada </w:t>
      </w:r>
      <w:r w:rsidR="00F11C31" w:rsidRPr="00873EBF">
        <w:rPr>
          <w:rFonts w:ascii="Cambria" w:hAnsi="Cambria"/>
          <w:sz w:val="20"/>
          <w:szCs w:val="20"/>
          <w:lang w:val="es-MX"/>
        </w:rPr>
        <w:t xml:space="preserve">(artículo 21) </w:t>
      </w:r>
      <w:r w:rsidR="00AE3821" w:rsidRPr="00873EBF">
        <w:rPr>
          <w:rFonts w:ascii="Cambria" w:hAnsi="Cambria"/>
          <w:sz w:val="20"/>
          <w:szCs w:val="20"/>
          <w:lang w:val="es-MX"/>
        </w:rPr>
        <w:t xml:space="preserve">ocasionada porque el ejército habría destruido los bienes y pertenencias de los habitantes de Los Josefinos, además de que no habría protegido la propiedad de los sobrevivientes de la masacre de actos de saqueos, podrían </w:t>
      </w:r>
      <w:r w:rsidR="00AE3821" w:rsidRPr="00873EBF">
        <w:rPr>
          <w:rFonts w:ascii="Cambria" w:hAnsi="Cambria"/>
          <w:sz w:val="20"/>
          <w:szCs w:val="20"/>
          <w:lang w:val="es-AR"/>
        </w:rPr>
        <w:t>caracterizar posibles violaciones al artículo 21 de la Convención Americana, e</w:t>
      </w:r>
      <w:r w:rsidR="0000406C" w:rsidRPr="00873EBF">
        <w:rPr>
          <w:rFonts w:ascii="Cambria" w:hAnsi="Cambria"/>
          <w:sz w:val="20"/>
          <w:szCs w:val="20"/>
          <w:lang w:val="es-AR"/>
        </w:rPr>
        <w:t>n relación con su artículo 1.</w:t>
      </w:r>
      <w:r w:rsidR="00F55455" w:rsidRPr="00873EBF">
        <w:rPr>
          <w:rFonts w:ascii="Cambria" w:hAnsi="Cambria"/>
          <w:sz w:val="20"/>
          <w:szCs w:val="20"/>
          <w:lang w:val="es-AR"/>
        </w:rPr>
        <w:t xml:space="preserve">1, </w:t>
      </w:r>
      <w:r w:rsidR="00F55455" w:rsidRPr="00873EBF">
        <w:rPr>
          <w:rFonts w:ascii="Cambria" w:hAnsi="Cambria"/>
          <w:sz w:val="20"/>
          <w:szCs w:val="20"/>
          <w:lang w:val="es-MX"/>
        </w:rPr>
        <w:t>en perjuicio de los habitantes de Los Josefinos.</w:t>
      </w:r>
    </w:p>
    <w:p w:rsidR="005B6D5B" w:rsidRPr="00873EBF" w:rsidRDefault="005B6D5B" w:rsidP="005B6D5B">
      <w:pPr>
        <w:pStyle w:val="ListParagraph"/>
        <w:rPr>
          <w:sz w:val="20"/>
          <w:szCs w:val="20"/>
          <w:lang w:val="es-ES_tradnl"/>
        </w:rPr>
      </w:pPr>
    </w:p>
    <w:p w:rsidR="005B6D5B" w:rsidRPr="00873EBF" w:rsidRDefault="0000406C"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t>L</w:t>
      </w:r>
      <w:r w:rsidR="00AE3821" w:rsidRPr="00873EBF">
        <w:rPr>
          <w:rFonts w:ascii="Cambria" w:hAnsi="Cambria"/>
          <w:sz w:val="20"/>
          <w:szCs w:val="20"/>
          <w:lang w:val="es-ES_tradnl"/>
        </w:rPr>
        <w:t xml:space="preserve">a </w:t>
      </w:r>
      <w:r w:rsidR="001A4771" w:rsidRPr="00873EBF">
        <w:rPr>
          <w:rFonts w:ascii="Cambria" w:hAnsi="Cambria"/>
          <w:sz w:val="20"/>
          <w:szCs w:val="20"/>
          <w:lang w:val="es-ES_tradnl"/>
        </w:rPr>
        <w:t xml:space="preserve">Comisión analizará en etapa de fondo, si existe una posible violación a los </w:t>
      </w:r>
      <w:r w:rsidR="00AE3821" w:rsidRPr="00873EBF">
        <w:rPr>
          <w:rFonts w:ascii="Cambria" w:hAnsi="Cambria"/>
          <w:sz w:val="20"/>
          <w:szCs w:val="20"/>
          <w:lang w:val="es-ES_tradnl"/>
        </w:rPr>
        <w:t>derecho</w:t>
      </w:r>
      <w:r w:rsidR="001A4771" w:rsidRPr="00873EBF">
        <w:rPr>
          <w:rFonts w:ascii="Cambria" w:hAnsi="Cambria"/>
          <w:sz w:val="20"/>
          <w:szCs w:val="20"/>
          <w:lang w:val="es-ES_tradnl"/>
        </w:rPr>
        <w:t>s</w:t>
      </w:r>
      <w:r w:rsidR="00AE3821" w:rsidRPr="00873EBF">
        <w:rPr>
          <w:rFonts w:ascii="Cambria" w:hAnsi="Cambria"/>
          <w:sz w:val="20"/>
          <w:szCs w:val="20"/>
          <w:lang w:val="es-ES_tradnl"/>
        </w:rPr>
        <w:t xml:space="preserve"> a la vida, a la integridad personal, a las garantías judiciales</w:t>
      </w:r>
      <w:r w:rsidR="00C30933" w:rsidRPr="00873EBF">
        <w:rPr>
          <w:rFonts w:ascii="Cambria" w:hAnsi="Cambria"/>
          <w:sz w:val="20"/>
          <w:szCs w:val="20"/>
          <w:lang w:val="es-ES_tradnl"/>
        </w:rPr>
        <w:t>, a la protección a la familia, al derecho a la propiedad y a</w:t>
      </w:r>
      <w:r w:rsidR="00AE3821" w:rsidRPr="00873EBF">
        <w:rPr>
          <w:rFonts w:ascii="Cambria" w:hAnsi="Cambria"/>
          <w:sz w:val="20"/>
          <w:szCs w:val="20"/>
          <w:lang w:val="es-ES_tradnl"/>
        </w:rPr>
        <w:t xml:space="preserve"> protección judicial, podrían caracterizar violaciones a los derechos protegidos en los artículos 4, 5, 8, 17, 21 y 25 en concordancia con el artículo 1.1 de la Convención Americana. </w:t>
      </w:r>
      <w:r w:rsidR="00AE3821" w:rsidRPr="00873EBF">
        <w:rPr>
          <w:rFonts w:ascii="Cambria" w:hAnsi="Cambria"/>
          <w:sz w:val="20"/>
          <w:szCs w:val="20"/>
          <w:lang w:val="es-ES"/>
        </w:rPr>
        <w:t xml:space="preserve">Asimismo, </w:t>
      </w:r>
      <w:r w:rsidR="00AE3821" w:rsidRPr="00873EBF">
        <w:rPr>
          <w:rFonts w:ascii="Cambria" w:hAnsi="Cambria"/>
          <w:sz w:val="20"/>
          <w:szCs w:val="20"/>
          <w:lang w:val="es-CO"/>
        </w:rPr>
        <w:t>la Comisión examinará los hechos alegados a la luz del artículo 19 de la Convención Americana</w:t>
      </w:r>
      <w:r w:rsidR="009024BD" w:rsidRPr="00873EBF">
        <w:rPr>
          <w:rFonts w:ascii="Cambria" w:hAnsi="Cambria"/>
          <w:sz w:val="20"/>
          <w:szCs w:val="20"/>
          <w:lang w:val="es-CO"/>
        </w:rPr>
        <w:t xml:space="preserve">, específicamente en cuanto al deber especial de protección que tienen los Estados, conforme al principio de interés superior del niño y el </w:t>
      </w:r>
      <w:r w:rsidR="009024BD" w:rsidRPr="00873EBF">
        <w:rPr>
          <w:rFonts w:ascii="Cambria" w:hAnsi="Cambria"/>
          <w:i/>
          <w:sz w:val="20"/>
          <w:szCs w:val="20"/>
          <w:lang w:val="es-CO"/>
        </w:rPr>
        <w:t xml:space="preserve">corpus </w:t>
      </w:r>
      <w:proofErr w:type="spellStart"/>
      <w:r w:rsidR="009024BD" w:rsidRPr="00873EBF">
        <w:rPr>
          <w:rFonts w:ascii="Cambria" w:hAnsi="Cambria"/>
          <w:i/>
          <w:sz w:val="20"/>
          <w:szCs w:val="20"/>
          <w:lang w:val="es-CO"/>
        </w:rPr>
        <w:t>juris</w:t>
      </w:r>
      <w:proofErr w:type="spellEnd"/>
      <w:r w:rsidR="009024BD" w:rsidRPr="00873EBF">
        <w:rPr>
          <w:rFonts w:ascii="Cambria" w:hAnsi="Cambria"/>
          <w:sz w:val="20"/>
          <w:szCs w:val="20"/>
          <w:lang w:val="es-CO"/>
        </w:rPr>
        <w:t xml:space="preserve"> en materia de derechos de los niños, niñas y adolescentes.</w:t>
      </w:r>
      <w:r w:rsidR="00946800" w:rsidRPr="00873EBF">
        <w:rPr>
          <w:rFonts w:ascii="Cambria" w:hAnsi="Cambria"/>
          <w:sz w:val="20"/>
          <w:szCs w:val="20"/>
          <w:lang w:val="es-CO"/>
        </w:rPr>
        <w:t xml:space="preserve"> </w:t>
      </w:r>
    </w:p>
    <w:p w:rsidR="005B6D5B" w:rsidRPr="00873EBF" w:rsidRDefault="005B6D5B" w:rsidP="005B6D5B">
      <w:pPr>
        <w:pStyle w:val="ListParagraph"/>
        <w:rPr>
          <w:sz w:val="20"/>
          <w:szCs w:val="20"/>
          <w:lang w:val="es-CO"/>
        </w:rPr>
      </w:pPr>
    </w:p>
    <w:p w:rsidR="005B6D5B" w:rsidRPr="00873EBF" w:rsidRDefault="00946800"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CO"/>
        </w:rPr>
        <w:t>Adicionalmente,</w:t>
      </w:r>
      <w:r w:rsidR="004E0E6C" w:rsidRPr="00873EBF">
        <w:rPr>
          <w:rFonts w:ascii="Cambria" w:hAnsi="Cambria"/>
          <w:sz w:val="20"/>
          <w:szCs w:val="20"/>
          <w:lang w:val="es-CO"/>
        </w:rPr>
        <w:t xml:space="preserve"> señalan los peticionarios que desconocen el paradero de sobrevivientes </w:t>
      </w:r>
      <w:r w:rsidR="0005460C" w:rsidRPr="00873EBF">
        <w:rPr>
          <w:rFonts w:ascii="Cambria" w:hAnsi="Cambria"/>
          <w:sz w:val="20"/>
          <w:szCs w:val="20"/>
          <w:lang w:val="es-CO"/>
        </w:rPr>
        <w:t xml:space="preserve">de la masacre </w:t>
      </w:r>
      <w:r w:rsidR="004E0E6C" w:rsidRPr="00873EBF">
        <w:rPr>
          <w:rFonts w:ascii="Cambria" w:hAnsi="Cambria"/>
          <w:sz w:val="20"/>
          <w:szCs w:val="20"/>
          <w:lang w:val="es-CO"/>
        </w:rPr>
        <w:t xml:space="preserve">o de sus restos, debido a que </w:t>
      </w:r>
      <w:r w:rsidR="0005460C" w:rsidRPr="00873EBF">
        <w:rPr>
          <w:rFonts w:ascii="Cambria" w:hAnsi="Cambria"/>
          <w:sz w:val="20"/>
          <w:szCs w:val="20"/>
          <w:lang w:val="es-CO"/>
        </w:rPr>
        <w:t xml:space="preserve">aquéllos </w:t>
      </w:r>
      <w:r w:rsidR="004E0E6C" w:rsidRPr="00873EBF">
        <w:rPr>
          <w:rFonts w:ascii="Cambria" w:hAnsi="Cambria"/>
          <w:sz w:val="20"/>
          <w:szCs w:val="20"/>
          <w:lang w:val="es-CO"/>
        </w:rPr>
        <w:t>habrían huido al monte, y varios habrían perdido la vida</w:t>
      </w:r>
      <w:r w:rsidR="0005460C" w:rsidRPr="00873EBF">
        <w:rPr>
          <w:rFonts w:ascii="Cambria" w:hAnsi="Cambria"/>
          <w:sz w:val="20"/>
          <w:szCs w:val="20"/>
          <w:lang w:val="es-CO"/>
        </w:rPr>
        <w:t xml:space="preserve">; además indican </w:t>
      </w:r>
      <w:r w:rsidR="004E0E6C" w:rsidRPr="00873EBF">
        <w:rPr>
          <w:rFonts w:ascii="Cambria" w:hAnsi="Cambria"/>
          <w:sz w:val="20"/>
          <w:szCs w:val="20"/>
          <w:lang w:val="es-CO"/>
        </w:rPr>
        <w:t xml:space="preserve">que </w:t>
      </w:r>
      <w:r w:rsidR="004E0E6C" w:rsidRPr="00873EBF">
        <w:rPr>
          <w:rFonts w:ascii="Cambria" w:hAnsi="Cambria"/>
          <w:sz w:val="20"/>
          <w:szCs w:val="20"/>
          <w:lang w:val="es-MX"/>
        </w:rPr>
        <w:t>los cadáv</w:t>
      </w:r>
      <w:r w:rsidR="000D6BF5" w:rsidRPr="00873EBF">
        <w:rPr>
          <w:rFonts w:ascii="Cambria" w:hAnsi="Cambria"/>
          <w:sz w:val="20"/>
          <w:szCs w:val="20"/>
          <w:lang w:val="es-MX"/>
        </w:rPr>
        <w:t>eres encontrados en las veredas</w:t>
      </w:r>
      <w:r w:rsidR="004E0E6C" w:rsidRPr="00873EBF">
        <w:rPr>
          <w:rFonts w:ascii="Cambria" w:hAnsi="Cambria"/>
          <w:sz w:val="20"/>
          <w:szCs w:val="20"/>
          <w:lang w:val="es-MX"/>
        </w:rPr>
        <w:t xml:space="preserve"> </w:t>
      </w:r>
      <w:r w:rsidR="0005460C" w:rsidRPr="00873EBF">
        <w:rPr>
          <w:rFonts w:ascii="Cambria" w:hAnsi="Cambria"/>
          <w:sz w:val="20"/>
          <w:szCs w:val="20"/>
          <w:lang w:val="es-MX"/>
        </w:rPr>
        <w:t xml:space="preserve">habrían sido </w:t>
      </w:r>
      <w:r w:rsidR="004E0E6C" w:rsidRPr="00873EBF">
        <w:rPr>
          <w:rFonts w:ascii="Cambria" w:hAnsi="Cambria"/>
          <w:sz w:val="20"/>
          <w:szCs w:val="20"/>
          <w:lang w:val="es-MX"/>
        </w:rPr>
        <w:t xml:space="preserve">enterrados en </w:t>
      </w:r>
      <w:r w:rsidR="000D6BF5" w:rsidRPr="00873EBF">
        <w:rPr>
          <w:rFonts w:ascii="Cambria" w:hAnsi="Cambria"/>
          <w:sz w:val="20"/>
          <w:szCs w:val="20"/>
          <w:lang w:val="es-MX"/>
        </w:rPr>
        <w:t xml:space="preserve">forma clandestina, en </w:t>
      </w:r>
      <w:r w:rsidR="004E0E6C" w:rsidRPr="00873EBF">
        <w:rPr>
          <w:rFonts w:ascii="Cambria" w:hAnsi="Cambria"/>
          <w:sz w:val="20"/>
          <w:szCs w:val="20"/>
          <w:lang w:val="es-MX"/>
        </w:rPr>
        <w:t xml:space="preserve">parcelas o de forma múltiple. </w:t>
      </w:r>
      <w:r w:rsidR="0005460C" w:rsidRPr="00873EBF">
        <w:rPr>
          <w:rFonts w:ascii="Cambria" w:hAnsi="Cambria"/>
          <w:sz w:val="20"/>
          <w:szCs w:val="20"/>
          <w:lang w:val="es-MX"/>
        </w:rPr>
        <w:t xml:space="preserve">Tomando en cuenta </w:t>
      </w:r>
      <w:r w:rsidR="004E0E6C" w:rsidRPr="00873EBF">
        <w:rPr>
          <w:rFonts w:ascii="Cambria" w:hAnsi="Cambria"/>
          <w:sz w:val="20"/>
          <w:szCs w:val="20"/>
          <w:lang w:val="es-MX"/>
        </w:rPr>
        <w:t xml:space="preserve">los referidos alegatos, </w:t>
      </w:r>
      <w:r w:rsidRPr="00873EBF">
        <w:rPr>
          <w:rFonts w:ascii="Cambria" w:hAnsi="Cambria"/>
          <w:sz w:val="20"/>
          <w:szCs w:val="20"/>
          <w:lang w:val="es-CO"/>
        </w:rPr>
        <w:t xml:space="preserve">en la etapa de fondo la CIDH </w:t>
      </w:r>
      <w:r w:rsidR="00C00FA8" w:rsidRPr="00873EBF">
        <w:rPr>
          <w:rFonts w:ascii="Cambria" w:hAnsi="Cambria"/>
          <w:sz w:val="20"/>
          <w:szCs w:val="20"/>
          <w:lang w:val="es-CO"/>
        </w:rPr>
        <w:t xml:space="preserve">analizará </w:t>
      </w:r>
      <w:r w:rsidRPr="00873EBF">
        <w:rPr>
          <w:rFonts w:ascii="Cambria" w:hAnsi="Cambria"/>
          <w:sz w:val="20"/>
          <w:szCs w:val="20"/>
          <w:lang w:val="es-CO"/>
        </w:rPr>
        <w:t>la p</w:t>
      </w:r>
      <w:r w:rsidR="00E97586" w:rsidRPr="00873EBF">
        <w:rPr>
          <w:rFonts w:ascii="Cambria" w:hAnsi="Cambria"/>
          <w:sz w:val="20"/>
          <w:szCs w:val="20"/>
          <w:lang w:val="es-CO"/>
        </w:rPr>
        <w:t xml:space="preserve">osible violación </w:t>
      </w:r>
      <w:r w:rsidR="008171EE" w:rsidRPr="00873EBF">
        <w:rPr>
          <w:rFonts w:ascii="Cambria" w:hAnsi="Cambria"/>
          <w:sz w:val="20"/>
          <w:szCs w:val="20"/>
          <w:lang w:val="es-ES"/>
        </w:rPr>
        <w:t xml:space="preserve">a los </w:t>
      </w:r>
      <w:r w:rsidR="008171EE" w:rsidRPr="00873EBF">
        <w:rPr>
          <w:rFonts w:ascii="Cambria" w:hAnsi="Cambria" w:cs="Univers"/>
          <w:sz w:val="20"/>
          <w:szCs w:val="20"/>
          <w:bdr w:val="none" w:sz="0" w:space="0" w:color="auto"/>
          <w:lang w:val="es-MX"/>
        </w:rPr>
        <w:t>artículos 3, 4, 5</w:t>
      </w:r>
      <w:r w:rsidR="00C00FA8" w:rsidRPr="00873EBF">
        <w:rPr>
          <w:rFonts w:ascii="Cambria" w:hAnsi="Cambria" w:cs="Univers"/>
          <w:sz w:val="20"/>
          <w:szCs w:val="20"/>
          <w:bdr w:val="none" w:sz="0" w:space="0" w:color="auto"/>
          <w:lang w:val="es-MX"/>
        </w:rPr>
        <w:t>,</w:t>
      </w:r>
      <w:r w:rsidR="008171EE" w:rsidRPr="00873EBF">
        <w:rPr>
          <w:rFonts w:ascii="Cambria" w:hAnsi="Cambria" w:cs="Univers"/>
          <w:sz w:val="20"/>
          <w:szCs w:val="20"/>
          <w:bdr w:val="none" w:sz="0" w:space="0" w:color="auto"/>
          <w:lang w:val="es-MX"/>
        </w:rPr>
        <w:t xml:space="preserve"> 7</w:t>
      </w:r>
      <w:r w:rsidR="00C00FA8" w:rsidRPr="00873EBF">
        <w:rPr>
          <w:rFonts w:ascii="Cambria" w:hAnsi="Cambria" w:cs="Univers"/>
          <w:sz w:val="20"/>
          <w:szCs w:val="20"/>
          <w:bdr w:val="none" w:sz="0" w:space="0" w:color="auto"/>
          <w:lang w:val="es-MX"/>
        </w:rPr>
        <w:t>, 8 y 25</w:t>
      </w:r>
      <w:r w:rsidR="008171EE" w:rsidRPr="00873EBF">
        <w:rPr>
          <w:rFonts w:ascii="Cambria" w:hAnsi="Cambria" w:cs="Univers"/>
          <w:sz w:val="20"/>
          <w:szCs w:val="20"/>
          <w:bdr w:val="none" w:sz="0" w:space="0" w:color="auto"/>
          <w:lang w:val="es-MX"/>
        </w:rPr>
        <w:t xml:space="preserve"> de la Convención Americana, en relación con el artículo 1.1 del mismo tratado, y el artículo I de la Convención Interamericana sobre Desaparición Forzada de Personas.</w:t>
      </w:r>
    </w:p>
    <w:p w:rsidR="005B6D5B" w:rsidRPr="00873EBF" w:rsidRDefault="005B6D5B" w:rsidP="005B6D5B">
      <w:pPr>
        <w:pStyle w:val="ListParagraph"/>
        <w:rPr>
          <w:sz w:val="20"/>
          <w:szCs w:val="20"/>
          <w:lang w:val="es-ES"/>
        </w:rPr>
      </w:pPr>
    </w:p>
    <w:p w:rsidR="005D28FB" w:rsidRPr="00873EBF" w:rsidRDefault="00232E8A"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En cuanto a las </w:t>
      </w:r>
      <w:r w:rsidR="005D28FB" w:rsidRPr="00873EBF">
        <w:rPr>
          <w:rFonts w:ascii="Cambria" w:hAnsi="Cambria"/>
          <w:sz w:val="20"/>
          <w:szCs w:val="20"/>
          <w:lang w:val="es-MX"/>
        </w:rPr>
        <w:t>alegaciones del Estado respecto a la “adecuada y efectiva reparación económica” que habría realizado a favor de 251 grupos de familiares de presunta</w:t>
      </w:r>
      <w:r w:rsidR="00461232" w:rsidRPr="00873EBF">
        <w:rPr>
          <w:rFonts w:ascii="Cambria" w:hAnsi="Cambria"/>
          <w:sz w:val="20"/>
          <w:szCs w:val="20"/>
          <w:lang w:val="es-MX"/>
        </w:rPr>
        <w:t>s víctimas, durante el proceso hacia</w:t>
      </w:r>
      <w:r w:rsidR="005D28FB" w:rsidRPr="00873EBF">
        <w:rPr>
          <w:rFonts w:ascii="Cambria" w:hAnsi="Cambria"/>
          <w:sz w:val="20"/>
          <w:szCs w:val="20"/>
          <w:lang w:val="es-MX"/>
        </w:rPr>
        <w:t xml:space="preserve"> una </w:t>
      </w:r>
      <w:r w:rsidRPr="00873EBF">
        <w:rPr>
          <w:rFonts w:ascii="Cambria" w:hAnsi="Cambria"/>
          <w:sz w:val="20"/>
          <w:szCs w:val="20"/>
          <w:lang w:val="es-MX"/>
        </w:rPr>
        <w:t xml:space="preserve">posible </w:t>
      </w:r>
      <w:r w:rsidR="005D28FB" w:rsidRPr="00873EBF">
        <w:rPr>
          <w:rFonts w:ascii="Cambria" w:hAnsi="Cambria"/>
          <w:sz w:val="20"/>
          <w:szCs w:val="20"/>
          <w:lang w:val="es-MX"/>
        </w:rPr>
        <w:t>soluc</w:t>
      </w:r>
      <w:r w:rsidRPr="00873EBF">
        <w:rPr>
          <w:rFonts w:ascii="Cambria" w:hAnsi="Cambria"/>
          <w:sz w:val="20"/>
          <w:szCs w:val="20"/>
          <w:lang w:val="es-MX"/>
        </w:rPr>
        <w:t>ión amistosa del presente caso, la Comisión las tomará en cuenta en su análisis en la etapa de fondo en relación con las eventuales recomendaciones que podría emitir.</w:t>
      </w:r>
    </w:p>
    <w:p w:rsidR="005D28FB" w:rsidRPr="00873EBF" w:rsidRDefault="005D28FB" w:rsidP="005D28FB">
      <w:pPr>
        <w:pStyle w:val="ListParagraph"/>
        <w:rPr>
          <w:sz w:val="20"/>
          <w:szCs w:val="20"/>
          <w:lang w:val="es-ES"/>
        </w:rPr>
      </w:pPr>
    </w:p>
    <w:p w:rsidR="005B6D5B" w:rsidRPr="00873EBF" w:rsidRDefault="005D28FB"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
        </w:rPr>
        <w:t xml:space="preserve">Considerando </w:t>
      </w:r>
      <w:r w:rsidR="00AE3821" w:rsidRPr="00873EBF">
        <w:rPr>
          <w:rFonts w:ascii="Cambria" w:hAnsi="Cambria"/>
          <w:sz w:val="20"/>
          <w:szCs w:val="20"/>
          <w:lang w:val="es-ES"/>
        </w:rPr>
        <w:t>lo anterior, la Comisión considera satisfechos los requisitos establecidos en el artículo 47.b y c de la Convención.</w:t>
      </w:r>
    </w:p>
    <w:p w:rsidR="005B6D5B" w:rsidRPr="00873EBF" w:rsidRDefault="005B6D5B" w:rsidP="005B6D5B">
      <w:pPr>
        <w:rPr>
          <w:sz w:val="20"/>
          <w:szCs w:val="20"/>
          <w:lang w:val="es-ES_tradnl"/>
        </w:rPr>
      </w:pPr>
    </w:p>
    <w:p w:rsidR="005B6D5B" w:rsidRPr="00873EBF" w:rsidRDefault="005B6D5B" w:rsidP="005B6D5B">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rPr>
      </w:pPr>
      <w:r w:rsidRPr="00873EBF">
        <w:rPr>
          <w:bCs w:val="0"/>
          <w:color w:val="auto"/>
          <w:sz w:val="20"/>
          <w:szCs w:val="20"/>
        </w:rPr>
        <w:t>CONCLUSIONES</w:t>
      </w:r>
    </w:p>
    <w:p w:rsidR="005B6D5B" w:rsidRPr="00873EBF" w:rsidRDefault="005B6D5B" w:rsidP="005B6D5B">
      <w:pPr>
        <w:rPr>
          <w:sz w:val="20"/>
          <w:szCs w:val="20"/>
          <w:lang w:val="es-ES_tradnl"/>
        </w:rPr>
      </w:pPr>
    </w:p>
    <w:p w:rsidR="005B6D5B"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t xml:space="preserve">La Comisión concluye que es competente para examinar los reclamos presentados por el peticionario sobre la presunta violación de los artículos 4, 5, 8, 17, 19, 21 y 25 en concordancia con el artículo 1.1 de la Convención Americana y que éstos son admisibles, conforme a los requisitos establecidos en los artículos 46 y 47 de la Convención Americana.  </w:t>
      </w:r>
    </w:p>
    <w:p w:rsidR="006E626B" w:rsidRPr="00873EBF" w:rsidRDefault="006E626B" w:rsidP="005B6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AE3821" w:rsidRPr="00873EBF" w:rsidRDefault="00AE3821" w:rsidP="005B6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73EBF">
        <w:rPr>
          <w:rFonts w:ascii="Cambria" w:hAnsi="Cambria"/>
          <w:sz w:val="20"/>
          <w:szCs w:val="20"/>
          <w:lang w:val="es-ES_tradnl"/>
        </w:rPr>
        <w:t>Con fundamento en los argumentos de hecho y de derecho antes expuestos y sin que ello signifique prejuzgar sobre el fondo del asunto,</w:t>
      </w:r>
    </w:p>
    <w:p w:rsidR="00AE3821" w:rsidRDefault="00AE3821" w:rsidP="00056039">
      <w:pPr>
        <w:pStyle w:val="BodyText"/>
        <w:spacing w:after="0"/>
        <w:jc w:val="both"/>
        <w:rPr>
          <w:rFonts w:ascii="Cambria" w:hAnsi="Cambria"/>
          <w:sz w:val="20"/>
          <w:szCs w:val="20"/>
          <w:lang w:val="es-ES"/>
        </w:rPr>
      </w:pPr>
    </w:p>
    <w:p w:rsidR="00072AC5" w:rsidRDefault="00072AC5">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 w:val="20"/>
          <w:szCs w:val="20"/>
          <w:lang w:val="es-ES_tradnl"/>
        </w:rPr>
      </w:pPr>
      <w:r>
        <w:rPr>
          <w:rFonts w:ascii="Cambria" w:hAnsi="Cambria"/>
          <w:b/>
          <w:bCs/>
          <w:sz w:val="20"/>
          <w:szCs w:val="20"/>
          <w:lang w:val="es-ES_tradnl"/>
        </w:rPr>
        <w:br w:type="page"/>
      </w:r>
    </w:p>
    <w:p w:rsidR="00AE3821" w:rsidRPr="00873EBF" w:rsidRDefault="00AE3821" w:rsidP="006E626B">
      <w:pPr>
        <w:pStyle w:val="BodyText"/>
        <w:spacing w:after="0"/>
        <w:jc w:val="center"/>
        <w:rPr>
          <w:rFonts w:ascii="Cambria" w:hAnsi="Cambria"/>
          <w:sz w:val="20"/>
          <w:szCs w:val="20"/>
          <w:lang w:val="es-ES_tradnl"/>
        </w:rPr>
      </w:pPr>
      <w:r w:rsidRPr="00873EBF">
        <w:rPr>
          <w:rFonts w:ascii="Cambria" w:hAnsi="Cambria"/>
          <w:b/>
          <w:bCs/>
          <w:sz w:val="20"/>
          <w:szCs w:val="20"/>
          <w:lang w:val="es-ES_tradnl"/>
        </w:rPr>
        <w:lastRenderedPageBreak/>
        <w:t>LA COMISIÓN INTERAMERICANA DE DERECHOS HUMANOS,</w:t>
      </w:r>
    </w:p>
    <w:p w:rsidR="00AE3821" w:rsidRPr="00873EBF" w:rsidRDefault="00AE3821" w:rsidP="00056039">
      <w:pPr>
        <w:pStyle w:val="BodyText"/>
        <w:spacing w:after="0"/>
        <w:jc w:val="both"/>
        <w:rPr>
          <w:rFonts w:ascii="Cambria" w:hAnsi="Cambria"/>
          <w:sz w:val="20"/>
          <w:szCs w:val="20"/>
          <w:lang w:val="es-ES_tradnl"/>
        </w:rPr>
      </w:pPr>
    </w:p>
    <w:p w:rsidR="00AE3821" w:rsidRPr="00873EBF" w:rsidRDefault="00AE3821" w:rsidP="00034560">
      <w:pPr>
        <w:pStyle w:val="BodyText"/>
        <w:spacing w:after="0"/>
        <w:jc w:val="both"/>
        <w:rPr>
          <w:rFonts w:ascii="Cambria" w:hAnsi="Cambria"/>
          <w:sz w:val="20"/>
          <w:szCs w:val="20"/>
          <w:lang w:val="es-ES_tradnl"/>
        </w:rPr>
      </w:pPr>
      <w:r w:rsidRPr="00873EBF">
        <w:rPr>
          <w:rFonts w:ascii="Cambria" w:hAnsi="Cambria"/>
          <w:b/>
          <w:bCs/>
          <w:sz w:val="20"/>
          <w:szCs w:val="20"/>
          <w:lang w:val="es-ES_tradnl"/>
        </w:rPr>
        <w:t>DECIDE:</w:t>
      </w:r>
    </w:p>
    <w:p w:rsidR="00AE3821" w:rsidRPr="00873EBF" w:rsidRDefault="00AE3821" w:rsidP="00056039">
      <w:pPr>
        <w:pStyle w:val="BodyText"/>
        <w:spacing w:after="0"/>
        <w:jc w:val="both"/>
        <w:rPr>
          <w:rFonts w:ascii="Cambria" w:hAnsi="Cambria"/>
          <w:sz w:val="20"/>
          <w:szCs w:val="20"/>
          <w:lang w:val="es-ES_tradnl"/>
        </w:rPr>
      </w:pPr>
    </w:p>
    <w:p w:rsidR="00AE3821" w:rsidRPr="00873EBF" w:rsidRDefault="00AE3821" w:rsidP="004B2DA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873EBF">
        <w:rPr>
          <w:rFonts w:ascii="Cambria" w:hAnsi="Cambria"/>
          <w:sz w:val="20"/>
          <w:szCs w:val="20"/>
          <w:lang w:val="es-ES_tradnl"/>
        </w:rPr>
        <w:t xml:space="preserve">Declarar admisible el presente caso con relación a los artículos </w:t>
      </w:r>
      <w:r w:rsidR="00C00FA8" w:rsidRPr="00873EBF">
        <w:rPr>
          <w:rFonts w:ascii="Cambria" w:hAnsi="Cambria"/>
          <w:sz w:val="20"/>
          <w:szCs w:val="20"/>
          <w:lang w:val="es-ES_tradnl"/>
        </w:rPr>
        <w:t xml:space="preserve">3, </w:t>
      </w:r>
      <w:r w:rsidRPr="00873EBF">
        <w:rPr>
          <w:rFonts w:ascii="Cambria" w:hAnsi="Cambria"/>
          <w:sz w:val="20"/>
          <w:szCs w:val="20"/>
          <w:lang w:val="es-ES_tradnl"/>
        </w:rPr>
        <w:t>4,</w:t>
      </w:r>
      <w:r w:rsidR="00F11C31" w:rsidRPr="00873EBF">
        <w:rPr>
          <w:rFonts w:ascii="Cambria" w:hAnsi="Cambria"/>
          <w:sz w:val="20"/>
          <w:szCs w:val="20"/>
          <w:lang w:val="es-ES_tradnl"/>
        </w:rPr>
        <w:t xml:space="preserve"> </w:t>
      </w:r>
      <w:r w:rsidRPr="00873EBF">
        <w:rPr>
          <w:rFonts w:ascii="Cambria" w:hAnsi="Cambria"/>
          <w:sz w:val="20"/>
          <w:szCs w:val="20"/>
          <w:lang w:val="es-ES_tradnl"/>
        </w:rPr>
        <w:t xml:space="preserve">5, </w:t>
      </w:r>
      <w:r w:rsidR="00C00FA8" w:rsidRPr="00873EBF">
        <w:rPr>
          <w:rFonts w:ascii="Cambria" w:hAnsi="Cambria"/>
          <w:sz w:val="20"/>
          <w:szCs w:val="20"/>
          <w:lang w:val="es-ES_tradnl"/>
        </w:rPr>
        <w:t xml:space="preserve">7, </w:t>
      </w:r>
      <w:r w:rsidRPr="00873EBF">
        <w:rPr>
          <w:rFonts w:ascii="Cambria" w:hAnsi="Cambria"/>
          <w:sz w:val="20"/>
          <w:szCs w:val="20"/>
          <w:lang w:val="es-ES_tradnl"/>
        </w:rPr>
        <w:t>8, 17, 19 y 25 en conexión con el artículo 1.1 de la Convención Americana</w:t>
      </w:r>
      <w:r w:rsidR="00E97586" w:rsidRPr="00873EBF">
        <w:rPr>
          <w:rFonts w:ascii="Cambria" w:hAnsi="Cambria"/>
          <w:sz w:val="20"/>
          <w:szCs w:val="20"/>
          <w:lang w:val="es-ES_tradnl"/>
        </w:rPr>
        <w:t xml:space="preserve">, y </w:t>
      </w:r>
      <w:r w:rsidR="00C00FA8" w:rsidRPr="00873EBF">
        <w:rPr>
          <w:rFonts w:ascii="Cambria" w:hAnsi="Cambria"/>
          <w:sz w:val="20"/>
          <w:szCs w:val="20"/>
          <w:lang w:val="es-ES_tradnl"/>
        </w:rPr>
        <w:t xml:space="preserve">al </w:t>
      </w:r>
      <w:r w:rsidR="008171EE" w:rsidRPr="00873EBF">
        <w:rPr>
          <w:rFonts w:ascii="Cambria" w:hAnsi="Cambria" w:cs="Univers"/>
          <w:sz w:val="20"/>
          <w:szCs w:val="20"/>
          <w:bdr w:val="none" w:sz="0" w:space="0" w:color="auto"/>
          <w:lang w:val="es-MX"/>
        </w:rPr>
        <w:t>artículo I de la Convención Interamericana sobre Desaparición Forzada de Personas.</w:t>
      </w:r>
    </w:p>
    <w:p w:rsidR="00AE3821" w:rsidRPr="00873EBF" w:rsidRDefault="00AE3821" w:rsidP="00056039">
      <w:pPr>
        <w:pStyle w:val="BodyText"/>
        <w:spacing w:after="0"/>
        <w:ind w:firstLine="720"/>
        <w:jc w:val="both"/>
        <w:rPr>
          <w:rFonts w:ascii="Cambria" w:hAnsi="Cambria"/>
          <w:sz w:val="20"/>
          <w:szCs w:val="20"/>
          <w:lang w:val="es-ES_tradnl"/>
        </w:rPr>
      </w:pPr>
    </w:p>
    <w:p w:rsidR="00AE3821" w:rsidRPr="00873EBF" w:rsidRDefault="00AE3821" w:rsidP="004B2DA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873EBF">
        <w:rPr>
          <w:rFonts w:ascii="Cambria" w:hAnsi="Cambria"/>
          <w:sz w:val="20"/>
          <w:szCs w:val="20"/>
          <w:lang w:val="es-ES_tradnl"/>
        </w:rPr>
        <w:t>Notificar esta decisión al Estado guatemalteco y al peticionario.</w:t>
      </w:r>
    </w:p>
    <w:p w:rsidR="00AE3821" w:rsidRPr="00873EBF" w:rsidRDefault="00AE3821" w:rsidP="00056039">
      <w:pPr>
        <w:pStyle w:val="BodyText"/>
        <w:spacing w:after="0"/>
        <w:ind w:firstLine="720"/>
        <w:jc w:val="both"/>
        <w:rPr>
          <w:rFonts w:ascii="Cambria" w:hAnsi="Cambria"/>
          <w:sz w:val="20"/>
          <w:szCs w:val="20"/>
          <w:lang w:val="es-ES_tradnl"/>
        </w:rPr>
      </w:pPr>
    </w:p>
    <w:p w:rsidR="00AE3821" w:rsidRPr="00873EBF" w:rsidRDefault="00AE3821" w:rsidP="004B2DA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873EBF">
        <w:rPr>
          <w:rFonts w:ascii="Cambria" w:hAnsi="Cambria"/>
          <w:sz w:val="20"/>
          <w:szCs w:val="20"/>
          <w:lang w:val="es-ES_tradnl"/>
        </w:rPr>
        <w:t>Continuar con el análisis del fondo de la cuestión.</w:t>
      </w:r>
    </w:p>
    <w:p w:rsidR="00AE3821" w:rsidRPr="00873EBF" w:rsidRDefault="00AE3821" w:rsidP="00056039">
      <w:pPr>
        <w:pStyle w:val="BodyText"/>
        <w:spacing w:after="0"/>
        <w:ind w:firstLine="720"/>
        <w:jc w:val="both"/>
        <w:rPr>
          <w:rFonts w:ascii="Cambria" w:hAnsi="Cambria"/>
          <w:sz w:val="20"/>
          <w:szCs w:val="20"/>
          <w:lang w:val="es-ES_tradnl"/>
        </w:rPr>
      </w:pPr>
    </w:p>
    <w:p w:rsidR="00AE3821" w:rsidRPr="00873EBF" w:rsidRDefault="00AE3821" w:rsidP="004B2DA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vanish/>
          <w:sz w:val="20"/>
          <w:szCs w:val="20"/>
          <w:lang w:val="es-ES_tradnl"/>
          <w:specVanish/>
        </w:rPr>
      </w:pPr>
      <w:r w:rsidRPr="00873EBF">
        <w:rPr>
          <w:rFonts w:ascii="Cambria" w:hAnsi="Cambria"/>
          <w:sz w:val="20"/>
          <w:szCs w:val="20"/>
          <w:lang w:val="es-ES_tradnl"/>
        </w:rPr>
        <w:t>Publicar esta decisión e incluirla en su Informe Anual a la Asamblea General de la OEA.</w:t>
      </w:r>
    </w:p>
    <w:p w:rsidR="004231FB" w:rsidRDefault="001120CC" w:rsidP="0043313F">
      <w:pPr>
        <w:jc w:val="both"/>
        <w:rPr>
          <w:rFonts w:ascii="Cambria" w:hAnsi="Cambria"/>
          <w:sz w:val="20"/>
          <w:szCs w:val="20"/>
          <w:lang w:val="es-ES_tradnl"/>
        </w:rPr>
      </w:pPr>
      <w:r>
        <w:rPr>
          <w:rFonts w:ascii="Cambria" w:hAnsi="Cambria"/>
          <w:sz w:val="20"/>
          <w:szCs w:val="20"/>
          <w:lang w:val="es-ES_tradnl"/>
        </w:rPr>
        <w:t xml:space="preserve"> </w:t>
      </w:r>
    </w:p>
    <w:p w:rsidR="004127B3" w:rsidRDefault="004127B3" w:rsidP="0043313F">
      <w:pPr>
        <w:jc w:val="both"/>
        <w:rPr>
          <w:rFonts w:ascii="Cambria" w:hAnsi="Cambria"/>
          <w:sz w:val="20"/>
          <w:szCs w:val="20"/>
          <w:lang w:val="es-ES_tradnl"/>
        </w:rPr>
      </w:pPr>
    </w:p>
    <w:p w:rsidR="00A70CB6" w:rsidRPr="00243DF0" w:rsidRDefault="00A70CB6" w:rsidP="00A70CB6">
      <w:pPr>
        <w:ind w:firstLine="720"/>
        <w:jc w:val="both"/>
        <w:rPr>
          <w:rFonts w:ascii="Cambria" w:hAnsi="Cambria" w:cs="Arial"/>
          <w:noProof/>
          <w:spacing w:val="-2"/>
          <w:sz w:val="20"/>
          <w:lang w:val="es-CL"/>
        </w:rPr>
      </w:pPr>
      <w:r w:rsidRPr="00243DF0">
        <w:rPr>
          <w:rFonts w:ascii="Cambria" w:hAnsi="Cambria" w:cs="Arial"/>
          <w:noProof/>
          <w:spacing w:val="-2"/>
          <w:sz w:val="20"/>
          <w:lang w:val="es-CL"/>
        </w:rPr>
        <w:t>Dado y firmado en la ciudad de Washington, D.C., a los 24 días del mes de marzo de 2015.  (Firmado): Rose-Marie Belle Antoine, Presidenta; James L. Cavallaro, Primer Vicepresidente; José de Jesús Orozco Henríquez, Segundo Vicepresidente; Felipe González, Rosa María Ortiz, Tracy Robinson y Paulo Vannuchi, Miembros de la Comisión.</w:t>
      </w:r>
      <w:r w:rsidRPr="00243DF0">
        <w:rPr>
          <w:rFonts w:ascii="Cambria" w:hAnsi="Cambria" w:cs="Arial"/>
          <w:noProof/>
          <w:sz w:val="20"/>
          <w:lang w:val="es-CL"/>
        </w:rPr>
        <w:t xml:space="preserve"> </w:t>
      </w:r>
    </w:p>
    <w:p w:rsidR="00A70CB6" w:rsidRPr="00243DF0" w:rsidRDefault="00A70CB6" w:rsidP="00A70CB6">
      <w:pPr>
        <w:suppressAutoHyphens/>
        <w:ind w:firstLine="720"/>
        <w:jc w:val="both"/>
        <w:rPr>
          <w:rFonts w:ascii="Cambria" w:hAnsi="Cambria" w:cs="Arial"/>
          <w:noProof/>
          <w:spacing w:val="-2"/>
          <w:sz w:val="20"/>
          <w:lang w:val="es-CL"/>
        </w:rPr>
      </w:pPr>
    </w:p>
    <w:sectPr w:rsidR="00A70CB6" w:rsidRPr="00243DF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93" w:rsidRDefault="00293193">
      <w:r>
        <w:separator/>
      </w:r>
    </w:p>
  </w:endnote>
  <w:endnote w:type="continuationSeparator" w:id="0">
    <w:p w:rsidR="00293193" w:rsidRDefault="0029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Optima ExtraBlack">
    <w:altName w:val="Tahoma"/>
    <w:charset w:val="00"/>
    <w:family w:val="auto"/>
    <w:pitch w:val="variable"/>
    <w:sig w:usb0="80000067" w:usb1="00000000" w:usb2="00000000" w:usb3="00000000" w:csb0="0003006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C0" w:rsidRDefault="00CF0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FE" w:rsidRPr="00934A2C" w:rsidRDefault="00965FF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F0CC0">
      <w:rPr>
        <w:noProof/>
        <w:sz w:val="16"/>
        <w:szCs w:val="22"/>
      </w:rPr>
      <w:t>1</w:t>
    </w:r>
    <w:r w:rsidRPr="00934A2C">
      <w:rPr>
        <w:noProof/>
        <w:sz w:val="16"/>
        <w:szCs w:val="22"/>
      </w:rPr>
      <w:fldChar w:fldCharType="end"/>
    </w:r>
  </w:p>
  <w:p w:rsidR="00965FFE" w:rsidRDefault="00965F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FE" w:rsidRPr="00934A2C" w:rsidRDefault="00965FFE">
    <w:pPr>
      <w:pStyle w:val="Footer"/>
      <w:jc w:val="center"/>
      <w:rPr>
        <w:sz w:val="16"/>
        <w:szCs w:val="22"/>
      </w:rPr>
    </w:pPr>
  </w:p>
  <w:p w:rsidR="00965FFE" w:rsidRDefault="00965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93" w:rsidRPr="00BD3114" w:rsidRDefault="00293193">
      <w:pPr>
        <w:rPr>
          <w:rFonts w:ascii="Cambria" w:hAnsi="Cambria"/>
          <w:sz w:val="16"/>
          <w:szCs w:val="16"/>
        </w:rPr>
      </w:pPr>
      <w:r w:rsidRPr="00BD3114">
        <w:rPr>
          <w:rFonts w:ascii="Cambria" w:hAnsi="Cambria"/>
          <w:sz w:val="16"/>
          <w:szCs w:val="16"/>
        </w:rPr>
        <w:separator/>
      </w:r>
    </w:p>
  </w:footnote>
  <w:footnote w:type="continuationSeparator" w:id="0">
    <w:p w:rsidR="00293193" w:rsidRPr="00BD3114" w:rsidRDefault="00293193" w:rsidP="000F35ED">
      <w:pPr>
        <w:rPr>
          <w:rFonts w:ascii="Cambria" w:hAnsi="Cambria"/>
          <w:sz w:val="16"/>
          <w:szCs w:val="16"/>
        </w:rPr>
      </w:pPr>
      <w:r w:rsidRPr="00BD3114">
        <w:rPr>
          <w:rFonts w:ascii="Cambria" w:hAnsi="Cambria"/>
          <w:sz w:val="16"/>
          <w:szCs w:val="16"/>
        </w:rPr>
        <w:separator/>
      </w:r>
    </w:p>
    <w:p w:rsidR="00293193" w:rsidRPr="00BD3114" w:rsidRDefault="00293193" w:rsidP="000F35ED">
      <w:pPr>
        <w:pStyle w:val="Footer"/>
        <w:rPr>
          <w:sz w:val="16"/>
          <w:szCs w:val="16"/>
        </w:rPr>
      </w:pPr>
      <w:r w:rsidRPr="00BD3114">
        <w:rPr>
          <w:sz w:val="16"/>
          <w:szCs w:val="16"/>
        </w:rPr>
        <w:t xml:space="preserve">[… </w:t>
      </w:r>
      <w:proofErr w:type="spellStart"/>
      <w:proofErr w:type="gramStart"/>
      <w:r w:rsidRPr="00BD3114">
        <w:rPr>
          <w:sz w:val="16"/>
          <w:szCs w:val="16"/>
        </w:rPr>
        <w:t>continuación</w:t>
      </w:r>
      <w:proofErr w:type="spellEnd"/>
      <w:proofErr w:type="gramEnd"/>
      <w:r w:rsidRPr="00BD3114">
        <w:rPr>
          <w:sz w:val="16"/>
          <w:szCs w:val="16"/>
        </w:rPr>
        <w:t>]</w:t>
      </w:r>
    </w:p>
  </w:footnote>
  <w:footnote w:type="continuationNotice" w:id="1">
    <w:p w:rsidR="00293193" w:rsidRPr="00BD3114" w:rsidRDefault="00293193" w:rsidP="000F35ED">
      <w:pPr>
        <w:jc w:val="right"/>
        <w:rPr>
          <w:rFonts w:ascii="Cambria" w:hAnsi="Cambria"/>
          <w:sz w:val="16"/>
          <w:szCs w:val="16"/>
          <w:lang w:val="es-ES"/>
        </w:rPr>
      </w:pPr>
      <w:r w:rsidRPr="00BD3114">
        <w:rPr>
          <w:rFonts w:ascii="Cambria" w:hAnsi="Cambria"/>
          <w:sz w:val="16"/>
          <w:szCs w:val="16"/>
          <w:lang w:val="es-ES"/>
        </w:rPr>
        <w:t>[</w:t>
      </w:r>
      <w:proofErr w:type="gramStart"/>
      <w:r w:rsidRPr="00BD3114">
        <w:rPr>
          <w:rFonts w:ascii="Cambria" w:hAnsi="Cambria"/>
          <w:sz w:val="16"/>
          <w:szCs w:val="16"/>
          <w:lang w:val="es-ES"/>
        </w:rPr>
        <w:t>continúa</w:t>
      </w:r>
      <w:proofErr w:type="gramEnd"/>
      <w:r w:rsidRPr="00BD3114">
        <w:rPr>
          <w:rFonts w:ascii="Cambria" w:hAnsi="Cambria"/>
          <w:sz w:val="16"/>
          <w:szCs w:val="16"/>
          <w:lang w:val="es-ES"/>
        </w:rPr>
        <w:t>…]</w:t>
      </w:r>
    </w:p>
  </w:footnote>
  <w:footnote w:id="2">
    <w:p w:rsidR="00706883" w:rsidRPr="002D6F47" w:rsidRDefault="00706883" w:rsidP="002D6F47">
      <w:pPr>
        <w:pStyle w:val="FootnoteText"/>
        <w:spacing w:after="120"/>
        <w:ind w:firstLine="720"/>
        <w:jc w:val="both"/>
        <w:rPr>
          <w:rFonts w:ascii="Cambria" w:hAnsi="Cambria"/>
          <w:sz w:val="16"/>
          <w:szCs w:val="16"/>
          <w:lang w:val="es-MX"/>
        </w:rPr>
      </w:pPr>
      <w:r w:rsidRPr="002D6F47">
        <w:rPr>
          <w:rStyle w:val="FootnoteReference"/>
          <w:rFonts w:ascii="Cambria" w:hAnsi="Cambria"/>
          <w:sz w:val="16"/>
          <w:szCs w:val="16"/>
        </w:rPr>
        <w:footnoteRef/>
      </w:r>
      <w:r w:rsidRPr="002D6F47">
        <w:rPr>
          <w:rFonts w:ascii="Cambria" w:hAnsi="Cambria"/>
          <w:sz w:val="16"/>
          <w:szCs w:val="16"/>
          <w:lang w:val="es-MX"/>
        </w:rPr>
        <w:t xml:space="preserve"> </w:t>
      </w:r>
      <w:r w:rsidR="004211E0" w:rsidRPr="002D6F47">
        <w:rPr>
          <w:rFonts w:ascii="Cambria" w:hAnsi="Cambria"/>
          <w:sz w:val="16"/>
          <w:szCs w:val="16"/>
          <w:lang w:val="es-MX"/>
        </w:rPr>
        <w:t xml:space="preserve">Mediante comunicación de 12 de febrero de 2015, los peticionarios enviaron una lista de </w:t>
      </w:r>
      <w:r w:rsidR="009430E9" w:rsidRPr="002D6F47">
        <w:rPr>
          <w:rFonts w:ascii="Cambria" w:hAnsi="Cambria"/>
          <w:sz w:val="16"/>
          <w:szCs w:val="16"/>
          <w:lang w:val="es-MX"/>
        </w:rPr>
        <w:t xml:space="preserve">1191 </w:t>
      </w:r>
      <w:r w:rsidR="004211E0" w:rsidRPr="002D6F47">
        <w:rPr>
          <w:rFonts w:ascii="Cambria" w:hAnsi="Cambria"/>
          <w:sz w:val="16"/>
          <w:szCs w:val="16"/>
          <w:lang w:val="es-MX"/>
        </w:rPr>
        <w:t xml:space="preserve"> presuntas víctimas</w:t>
      </w:r>
      <w:r w:rsidR="009430E9" w:rsidRPr="002D6F47">
        <w:rPr>
          <w:rFonts w:ascii="Cambria" w:hAnsi="Cambria"/>
          <w:sz w:val="16"/>
          <w:szCs w:val="16"/>
          <w:lang w:val="es-MX"/>
        </w:rPr>
        <w:t xml:space="preserve"> de la masacre y hechos relacionados</w:t>
      </w:r>
      <w:r w:rsidR="004211E0" w:rsidRPr="002D6F47">
        <w:rPr>
          <w:rFonts w:ascii="Cambria" w:hAnsi="Cambria"/>
          <w:sz w:val="16"/>
          <w:szCs w:val="16"/>
          <w:lang w:val="es-MX"/>
        </w:rPr>
        <w:t xml:space="preserve">, que se encuentra en el Anexo </w:t>
      </w:r>
      <w:r w:rsidR="00BB794B" w:rsidRPr="002D6F47">
        <w:rPr>
          <w:rFonts w:ascii="Cambria" w:hAnsi="Cambria"/>
          <w:sz w:val="16"/>
          <w:szCs w:val="16"/>
          <w:lang w:val="es-MX"/>
        </w:rPr>
        <w:t xml:space="preserve">“A” </w:t>
      </w:r>
      <w:r w:rsidR="004211E0" w:rsidRPr="002D6F47">
        <w:rPr>
          <w:rFonts w:ascii="Cambria" w:hAnsi="Cambria"/>
          <w:sz w:val="16"/>
          <w:szCs w:val="16"/>
          <w:lang w:val="es-MX"/>
        </w:rPr>
        <w:t xml:space="preserve">al presente informe. </w:t>
      </w:r>
      <w:r w:rsidR="00AA622F" w:rsidRPr="002D6F47">
        <w:rPr>
          <w:rFonts w:ascii="Cambria" w:hAnsi="Cambria"/>
          <w:sz w:val="16"/>
          <w:szCs w:val="16"/>
          <w:lang w:val="es-MX"/>
        </w:rPr>
        <w:t>Sobre el listado en referencia, los peticionarios refieren que éste podría cambiar en el futuro</w:t>
      </w:r>
      <w:r w:rsidR="00FE7CAD" w:rsidRPr="002D6F47">
        <w:rPr>
          <w:rFonts w:ascii="Cambria" w:hAnsi="Cambria"/>
          <w:sz w:val="16"/>
          <w:szCs w:val="16"/>
          <w:lang w:val="es-MX"/>
        </w:rPr>
        <w:t>,</w:t>
      </w:r>
      <w:r w:rsidR="00AA622F" w:rsidRPr="002D6F47">
        <w:rPr>
          <w:rFonts w:ascii="Cambria" w:hAnsi="Cambria"/>
          <w:sz w:val="16"/>
          <w:szCs w:val="16"/>
          <w:lang w:val="es-MX"/>
        </w:rPr>
        <w:t xml:space="preserve"> a medida de que las</w:t>
      </w:r>
      <w:r w:rsidR="00FE7CAD" w:rsidRPr="002D6F47">
        <w:rPr>
          <w:rFonts w:ascii="Cambria" w:hAnsi="Cambria"/>
          <w:sz w:val="16"/>
          <w:szCs w:val="16"/>
          <w:lang w:val="es-MX"/>
        </w:rPr>
        <w:t xml:space="preserve"> presuntas</w:t>
      </w:r>
      <w:r w:rsidR="00AA622F" w:rsidRPr="002D6F47">
        <w:rPr>
          <w:rFonts w:ascii="Cambria" w:hAnsi="Cambria"/>
          <w:sz w:val="16"/>
          <w:szCs w:val="16"/>
          <w:lang w:val="es-MX"/>
        </w:rPr>
        <w:t xml:space="preserve"> víctimas sean identificadas con mayor precisión. </w:t>
      </w:r>
    </w:p>
  </w:footnote>
  <w:footnote w:id="3">
    <w:p w:rsidR="00DB0FA8" w:rsidRPr="002D6F47" w:rsidRDefault="00DB0FA8" w:rsidP="002D6F47">
      <w:pPr>
        <w:pStyle w:val="FootnoteText"/>
        <w:spacing w:after="120"/>
        <w:ind w:firstLine="720"/>
        <w:jc w:val="both"/>
        <w:rPr>
          <w:rFonts w:ascii="Cambria" w:hAnsi="Cambria"/>
          <w:color w:val="auto"/>
          <w:sz w:val="16"/>
          <w:szCs w:val="16"/>
          <w:lang w:val="es-MX"/>
        </w:rPr>
      </w:pPr>
      <w:r w:rsidRPr="002D6F47">
        <w:rPr>
          <w:rStyle w:val="FootnoteReference"/>
          <w:rFonts w:ascii="Cambria" w:hAnsi="Cambria"/>
          <w:color w:val="auto"/>
          <w:sz w:val="16"/>
          <w:szCs w:val="16"/>
        </w:rPr>
        <w:footnoteRef/>
      </w:r>
      <w:r w:rsidRPr="002D6F47">
        <w:rPr>
          <w:rFonts w:ascii="Cambria" w:hAnsi="Cambria"/>
          <w:color w:val="auto"/>
          <w:sz w:val="16"/>
          <w:szCs w:val="16"/>
          <w:lang w:val="es-MX"/>
        </w:rPr>
        <w:t xml:space="preserve"> Estas reuniones se celebraron en las siguientes fechas: 20 de octubre de 2006, durante el 126 periodo ordinario de sesiones; 11 de octubre de 2007, durante el 130 periodo ordinario de sesiones; 11 de marzo de 2008, durante el 131 periodo ordinario de sesiones; 27 de mayo de 2007, durante la visita oficial al Estado guatemalteca del Relator de país; 27 de octubre de 2010, durante el 140 periodo de sesiones, y </w:t>
      </w:r>
      <w:r w:rsidR="004263D0" w:rsidRPr="002D6F47">
        <w:rPr>
          <w:rFonts w:ascii="Cambria" w:hAnsi="Cambria"/>
          <w:color w:val="auto"/>
          <w:sz w:val="16"/>
          <w:szCs w:val="16"/>
          <w:lang w:val="es-MX"/>
        </w:rPr>
        <w:t>10 de marzo de 2012, durante la visita de trabajo de la Relatora para Guatemala y Relatora sobre los Derechos de los Pueblos Indígenas</w:t>
      </w:r>
      <w:r w:rsidRPr="002D6F47">
        <w:rPr>
          <w:rFonts w:ascii="Cambria" w:hAnsi="Cambria"/>
          <w:color w:val="auto"/>
          <w:sz w:val="16"/>
          <w:szCs w:val="16"/>
          <w:lang w:val="es-MX"/>
        </w:rPr>
        <w:t>.</w:t>
      </w:r>
    </w:p>
  </w:footnote>
  <w:footnote w:id="4">
    <w:p w:rsidR="00296263" w:rsidRPr="002D6F47" w:rsidRDefault="00296263" w:rsidP="002D6F47">
      <w:pPr>
        <w:pStyle w:val="FootnoteText"/>
        <w:spacing w:after="120"/>
        <w:ind w:firstLine="720"/>
        <w:jc w:val="both"/>
        <w:rPr>
          <w:rFonts w:ascii="Cambria" w:hAnsi="Cambria"/>
          <w:sz w:val="16"/>
          <w:szCs w:val="16"/>
          <w:lang w:val="es-MX"/>
        </w:rPr>
      </w:pPr>
      <w:r w:rsidRPr="002D6F47">
        <w:rPr>
          <w:rStyle w:val="FootnoteReference"/>
          <w:rFonts w:ascii="Cambria" w:hAnsi="Cambria"/>
          <w:sz w:val="16"/>
          <w:szCs w:val="16"/>
        </w:rPr>
        <w:footnoteRef/>
      </w:r>
      <w:r w:rsidRPr="002D6F47">
        <w:rPr>
          <w:rFonts w:ascii="Cambria" w:hAnsi="Cambria"/>
          <w:sz w:val="16"/>
          <w:szCs w:val="16"/>
          <w:lang w:val="es-MX"/>
        </w:rPr>
        <w:t xml:space="preserve"> </w:t>
      </w:r>
      <w:r w:rsidR="00164029" w:rsidRPr="002D6F47">
        <w:rPr>
          <w:rFonts w:ascii="Cambria" w:hAnsi="Cambria"/>
          <w:sz w:val="16"/>
          <w:szCs w:val="16"/>
          <w:lang w:val="es-ES_tradnl"/>
        </w:rPr>
        <w:t xml:space="preserve">CIDH Informe No. 51/10, P. 1166-05, Admisibilidad, </w:t>
      </w:r>
      <w:r w:rsidR="00164029" w:rsidRPr="002D6F47">
        <w:rPr>
          <w:rFonts w:ascii="Cambria" w:hAnsi="Cambria"/>
          <w:i/>
          <w:sz w:val="16"/>
          <w:szCs w:val="16"/>
          <w:lang w:val="es-ES_tradnl"/>
        </w:rPr>
        <w:t xml:space="preserve">Masacres del Tibí, </w:t>
      </w:r>
      <w:r w:rsidR="00164029" w:rsidRPr="002D6F47">
        <w:rPr>
          <w:rFonts w:ascii="Cambria" w:hAnsi="Cambria"/>
          <w:sz w:val="16"/>
          <w:szCs w:val="16"/>
          <w:lang w:val="es-ES_tradnl"/>
        </w:rPr>
        <w:t xml:space="preserve">Colombia, 18 de marzo de 2010, párr. 102; </w:t>
      </w:r>
      <w:r w:rsidR="00164029" w:rsidRPr="002D6F47">
        <w:rPr>
          <w:rFonts w:ascii="Cambria" w:hAnsi="Cambria"/>
          <w:color w:val="auto"/>
          <w:sz w:val="16"/>
          <w:szCs w:val="16"/>
          <w:lang w:val="es-MX"/>
        </w:rPr>
        <w:t xml:space="preserve">CIDH, Informe </w:t>
      </w:r>
      <w:r w:rsidR="00164029" w:rsidRPr="002D6F47">
        <w:rPr>
          <w:rFonts w:ascii="Cambria" w:hAnsi="Cambria"/>
          <w:color w:val="auto"/>
          <w:sz w:val="16"/>
          <w:szCs w:val="16"/>
          <w:lang w:val="es-ES"/>
        </w:rPr>
        <w:t>Nº 13/08, P</w:t>
      </w:r>
      <w:r w:rsidR="00164029" w:rsidRPr="002D6F47">
        <w:rPr>
          <w:rFonts w:ascii="Cambria" w:hAnsi="Cambria"/>
          <w:b/>
          <w:color w:val="auto"/>
          <w:sz w:val="16"/>
          <w:szCs w:val="16"/>
          <w:lang w:val="es-ES"/>
        </w:rPr>
        <w:t>.</w:t>
      </w:r>
      <w:r w:rsidR="00164029" w:rsidRPr="002D6F47">
        <w:rPr>
          <w:rFonts w:ascii="Cambria" w:hAnsi="Cambria"/>
          <w:color w:val="auto"/>
          <w:sz w:val="16"/>
          <w:szCs w:val="16"/>
          <w:lang w:val="es-ES"/>
        </w:rPr>
        <w:t xml:space="preserve"> 844-05, Admisibilidad, Comunidad de Río Negro del Pueblo Indígena Maya y sus Miembros, Guatemala, 5 de marzo de 2008, </w:t>
      </w:r>
      <w:r w:rsidR="00164029" w:rsidRPr="002D6F47">
        <w:rPr>
          <w:rFonts w:ascii="Cambria" w:hAnsi="Cambria"/>
          <w:color w:val="auto"/>
          <w:sz w:val="16"/>
          <w:szCs w:val="16"/>
          <w:lang w:val="es-MX"/>
        </w:rPr>
        <w:t>párr. 60;</w:t>
      </w:r>
      <w:r w:rsidRPr="002D6F47">
        <w:rPr>
          <w:rFonts w:ascii="Cambria" w:hAnsi="Cambria"/>
          <w:sz w:val="16"/>
          <w:szCs w:val="16"/>
          <w:lang w:val="es-ES_tradnl"/>
        </w:rPr>
        <w:t xml:space="preserve"> CIDH Informe No. 86/06, p. 499-04, Admisibilidad, </w:t>
      </w:r>
      <w:r w:rsidRPr="002D6F47">
        <w:rPr>
          <w:rFonts w:ascii="Cambria" w:hAnsi="Cambria"/>
          <w:i/>
          <w:sz w:val="16"/>
          <w:szCs w:val="16"/>
          <w:lang w:val="es-ES_tradnl"/>
        </w:rPr>
        <w:t>Marino López y otros (Operación Génesis)</w:t>
      </w:r>
      <w:r w:rsidRPr="002D6F47">
        <w:rPr>
          <w:rFonts w:ascii="Cambria" w:hAnsi="Cambria"/>
          <w:sz w:val="16"/>
          <w:szCs w:val="16"/>
          <w:lang w:val="es-ES_tradnl"/>
        </w:rPr>
        <w:t>, Colombia,</w:t>
      </w:r>
      <w:r w:rsidR="004860A3" w:rsidRPr="002D6F47">
        <w:rPr>
          <w:rFonts w:ascii="Cambria" w:hAnsi="Cambria"/>
          <w:sz w:val="16"/>
          <w:szCs w:val="16"/>
          <w:lang w:val="es-ES_tradnl"/>
        </w:rPr>
        <w:t xml:space="preserve"> 21 de octubre de 2006,</w:t>
      </w:r>
      <w:r w:rsidRPr="002D6F47">
        <w:rPr>
          <w:rFonts w:ascii="Cambria" w:hAnsi="Cambria"/>
          <w:sz w:val="16"/>
          <w:szCs w:val="16"/>
          <w:lang w:val="es-ES_tradnl"/>
        </w:rPr>
        <w:t xml:space="preserve"> párr. 34.</w:t>
      </w:r>
    </w:p>
  </w:footnote>
  <w:footnote w:id="5">
    <w:p w:rsidR="00B276FF" w:rsidRPr="002D6F47" w:rsidRDefault="00C87A10" w:rsidP="002D6F47">
      <w:pPr>
        <w:pStyle w:val="FootnoteText"/>
        <w:spacing w:after="120"/>
        <w:ind w:firstLine="720"/>
        <w:jc w:val="both"/>
        <w:rPr>
          <w:rFonts w:ascii="Cambria" w:hAnsi="Cambria"/>
          <w:color w:val="auto"/>
          <w:sz w:val="16"/>
          <w:szCs w:val="16"/>
          <w:lang w:val="es-MX"/>
        </w:rPr>
      </w:pPr>
      <w:r w:rsidRPr="002D6F47">
        <w:rPr>
          <w:rFonts w:ascii="Cambria" w:hAnsi="Cambria"/>
          <w:color w:val="auto"/>
          <w:sz w:val="16"/>
          <w:szCs w:val="16"/>
          <w:vertAlign w:val="superscript"/>
          <w:lang w:val="es-ES"/>
        </w:rPr>
        <w:footnoteRef/>
      </w:r>
      <w:r w:rsidRPr="002D6F47">
        <w:rPr>
          <w:rFonts w:ascii="Cambria" w:hAnsi="Cambria"/>
          <w:color w:val="auto"/>
          <w:sz w:val="16"/>
          <w:szCs w:val="16"/>
          <w:lang w:val="es-MX"/>
        </w:rPr>
        <w:t xml:space="preserve"> CIDH, Informe 56/14, P. 886-04, </w:t>
      </w:r>
      <w:proofErr w:type="spellStart"/>
      <w:r w:rsidRPr="002D6F47">
        <w:rPr>
          <w:rFonts w:ascii="Cambria" w:hAnsi="Cambria"/>
          <w:i/>
          <w:color w:val="auto"/>
          <w:sz w:val="16"/>
          <w:szCs w:val="16"/>
          <w:lang w:val="es-MX"/>
        </w:rPr>
        <w:t>Ronal</w:t>
      </w:r>
      <w:proofErr w:type="spellEnd"/>
      <w:r w:rsidRPr="002D6F47">
        <w:rPr>
          <w:rFonts w:ascii="Cambria" w:hAnsi="Cambria"/>
          <w:i/>
          <w:color w:val="auto"/>
          <w:sz w:val="16"/>
          <w:szCs w:val="16"/>
          <w:lang w:val="es-MX"/>
        </w:rPr>
        <w:t xml:space="preserve"> Jared Martínez y Familia y </w:t>
      </w:r>
      <w:proofErr w:type="spellStart"/>
      <w:r w:rsidRPr="002D6F47">
        <w:rPr>
          <w:rFonts w:ascii="Cambria" w:hAnsi="Cambria"/>
          <w:i/>
          <w:color w:val="auto"/>
          <w:sz w:val="16"/>
          <w:szCs w:val="16"/>
          <w:lang w:val="es-MX"/>
        </w:rPr>
        <w:t>Marlón</w:t>
      </w:r>
      <w:proofErr w:type="spellEnd"/>
      <w:r w:rsidRPr="002D6F47">
        <w:rPr>
          <w:rFonts w:ascii="Cambria" w:hAnsi="Cambria"/>
          <w:i/>
          <w:color w:val="auto"/>
          <w:sz w:val="16"/>
          <w:szCs w:val="16"/>
          <w:lang w:val="es-MX"/>
        </w:rPr>
        <w:t xml:space="preserve"> Fabricio Hernández Fúnez</w:t>
      </w:r>
      <w:r w:rsidRPr="002D6F47">
        <w:rPr>
          <w:rFonts w:ascii="Cambria" w:hAnsi="Cambria"/>
          <w:color w:val="auto"/>
          <w:sz w:val="16"/>
          <w:szCs w:val="16"/>
          <w:lang w:val="es-MX"/>
        </w:rPr>
        <w:t xml:space="preserve">, Honduras, 21 de julio de 2014, párr. 20; CIDH, Informe No. 51/10, P. 1166-05, Admisibilidad, </w:t>
      </w:r>
      <w:r w:rsidRPr="002D6F47">
        <w:rPr>
          <w:rFonts w:ascii="Cambria" w:hAnsi="Cambria"/>
          <w:i/>
          <w:color w:val="auto"/>
          <w:sz w:val="16"/>
          <w:szCs w:val="16"/>
          <w:lang w:val="es-MX"/>
        </w:rPr>
        <w:t xml:space="preserve">Masacres del </w:t>
      </w:r>
      <w:proofErr w:type="spellStart"/>
      <w:r w:rsidRPr="002D6F47">
        <w:rPr>
          <w:rFonts w:ascii="Cambria" w:hAnsi="Cambria"/>
          <w:i/>
          <w:color w:val="auto"/>
          <w:sz w:val="16"/>
          <w:szCs w:val="16"/>
          <w:lang w:val="es-MX"/>
        </w:rPr>
        <w:t>Tibú</w:t>
      </w:r>
      <w:proofErr w:type="spellEnd"/>
      <w:r w:rsidRPr="002D6F47">
        <w:rPr>
          <w:rFonts w:ascii="Cambria" w:hAnsi="Cambria"/>
          <w:color w:val="auto"/>
          <w:sz w:val="16"/>
          <w:szCs w:val="16"/>
          <w:lang w:val="es-MX"/>
        </w:rPr>
        <w:t xml:space="preserve">, Colombia, 18 de marzo de 2010, párr. </w:t>
      </w:r>
      <w:r w:rsidRPr="002D6F47">
        <w:rPr>
          <w:rFonts w:ascii="Cambria" w:hAnsi="Cambria"/>
          <w:color w:val="auto"/>
          <w:sz w:val="16"/>
          <w:szCs w:val="16"/>
          <w:lang w:val="pt-BR"/>
        </w:rPr>
        <w:t>110; CIDH.</w:t>
      </w:r>
      <w:r w:rsidRPr="002D6F47">
        <w:rPr>
          <w:rFonts w:ascii="Cambria" w:hAnsi="Cambria"/>
          <w:i/>
          <w:color w:val="auto"/>
          <w:sz w:val="16"/>
          <w:szCs w:val="16"/>
          <w:lang w:val="pt-BR"/>
        </w:rPr>
        <w:t xml:space="preserve"> </w:t>
      </w:r>
      <w:r w:rsidRPr="002D6F47">
        <w:rPr>
          <w:rFonts w:ascii="Cambria" w:hAnsi="Cambria"/>
          <w:color w:val="auto"/>
          <w:sz w:val="16"/>
          <w:szCs w:val="16"/>
          <w:lang w:val="pt-BR"/>
        </w:rPr>
        <w:t>Informe No. 52/97, Caso 11.218</w:t>
      </w:r>
      <w:r w:rsidRPr="002D6F47">
        <w:rPr>
          <w:rFonts w:ascii="Cambria" w:hAnsi="Cambria"/>
          <w:i/>
          <w:color w:val="auto"/>
          <w:sz w:val="16"/>
          <w:szCs w:val="16"/>
          <w:lang w:val="pt-BR"/>
        </w:rPr>
        <w:t xml:space="preserve">, Arges Sequeira Mangas </w:t>
      </w:r>
      <w:r w:rsidRPr="002D6F47">
        <w:rPr>
          <w:rFonts w:ascii="Cambria" w:hAnsi="Cambria"/>
          <w:color w:val="auto"/>
          <w:sz w:val="16"/>
          <w:szCs w:val="16"/>
          <w:lang w:val="pt-BR"/>
        </w:rPr>
        <w:t>(Nicaragua)</w:t>
      </w:r>
      <w:r w:rsidRPr="002D6F47">
        <w:rPr>
          <w:rFonts w:ascii="Cambria" w:hAnsi="Cambria"/>
          <w:i/>
          <w:color w:val="auto"/>
          <w:sz w:val="16"/>
          <w:szCs w:val="16"/>
          <w:lang w:val="pt-BR"/>
        </w:rPr>
        <w:t xml:space="preserve">, </w:t>
      </w:r>
      <w:r w:rsidRPr="002D6F47">
        <w:rPr>
          <w:rFonts w:ascii="Cambria" w:hAnsi="Cambria"/>
          <w:color w:val="auto"/>
          <w:sz w:val="16"/>
          <w:szCs w:val="16"/>
          <w:lang w:val="pt-BR"/>
        </w:rPr>
        <w:t>párrs. 96 y 97; Informe No. 62/00,</w:t>
      </w:r>
      <w:r w:rsidRPr="002D6F47">
        <w:rPr>
          <w:rFonts w:ascii="Cambria" w:hAnsi="Cambria"/>
          <w:i/>
          <w:color w:val="auto"/>
          <w:sz w:val="16"/>
          <w:szCs w:val="16"/>
          <w:lang w:val="pt-BR"/>
        </w:rPr>
        <w:t xml:space="preserve"> </w:t>
      </w:r>
      <w:r w:rsidRPr="002D6F47">
        <w:rPr>
          <w:rFonts w:ascii="Cambria" w:hAnsi="Cambria"/>
          <w:color w:val="auto"/>
          <w:sz w:val="16"/>
          <w:szCs w:val="16"/>
          <w:lang w:val="pt-BR"/>
        </w:rPr>
        <w:t>Caso 11.727,</w:t>
      </w:r>
      <w:r w:rsidRPr="002D6F47">
        <w:rPr>
          <w:rFonts w:ascii="Cambria" w:hAnsi="Cambria"/>
          <w:i/>
          <w:color w:val="auto"/>
          <w:sz w:val="16"/>
          <w:szCs w:val="16"/>
          <w:lang w:val="pt-BR"/>
        </w:rPr>
        <w:t xml:space="preserve"> Hernando Osorio Correa</w:t>
      </w:r>
      <w:r w:rsidRPr="002D6F47">
        <w:rPr>
          <w:rFonts w:ascii="Cambria" w:hAnsi="Cambria"/>
          <w:color w:val="auto"/>
          <w:sz w:val="16"/>
          <w:szCs w:val="16"/>
          <w:lang w:val="pt-BR"/>
        </w:rPr>
        <w:t xml:space="preserve">, párr. </w:t>
      </w:r>
      <w:r w:rsidRPr="002D6F47">
        <w:rPr>
          <w:rFonts w:ascii="Cambria" w:hAnsi="Cambria"/>
          <w:color w:val="auto"/>
          <w:sz w:val="16"/>
          <w:szCs w:val="16"/>
          <w:lang w:val="es-MX"/>
        </w:rPr>
        <w:t xml:space="preserve">24. </w:t>
      </w:r>
    </w:p>
  </w:footnote>
  <w:footnote w:id="6">
    <w:p w:rsidR="00C87A10" w:rsidRPr="002D6F47" w:rsidRDefault="00C87A10" w:rsidP="002D6F47">
      <w:pPr>
        <w:pStyle w:val="FootnoteText"/>
        <w:spacing w:after="120"/>
        <w:ind w:firstLine="720"/>
        <w:jc w:val="both"/>
        <w:rPr>
          <w:rFonts w:ascii="Cambria" w:hAnsi="Cambria"/>
          <w:i/>
          <w:color w:val="auto"/>
          <w:sz w:val="16"/>
          <w:szCs w:val="16"/>
          <w:lang w:val="es-MX"/>
        </w:rPr>
      </w:pPr>
      <w:r w:rsidRPr="002D6F47">
        <w:rPr>
          <w:rStyle w:val="FootnoteReference"/>
          <w:rFonts w:ascii="Cambria" w:hAnsi="Cambria"/>
          <w:color w:val="auto"/>
          <w:sz w:val="16"/>
          <w:szCs w:val="16"/>
        </w:rPr>
        <w:footnoteRef/>
      </w:r>
      <w:r w:rsidRPr="002D6F47">
        <w:rPr>
          <w:rFonts w:ascii="Cambria" w:hAnsi="Cambria"/>
          <w:color w:val="auto"/>
          <w:sz w:val="16"/>
          <w:szCs w:val="16"/>
          <w:lang w:val="es-MX"/>
        </w:rPr>
        <w:t xml:space="preserve"> CIDH, Informe No. 51/10, P. 1166-05, Admisibilidad, </w:t>
      </w:r>
      <w:r w:rsidRPr="002D6F47">
        <w:rPr>
          <w:rFonts w:ascii="Cambria" w:hAnsi="Cambria"/>
          <w:i/>
          <w:color w:val="auto"/>
          <w:sz w:val="16"/>
          <w:szCs w:val="16"/>
          <w:lang w:val="es-MX"/>
        </w:rPr>
        <w:t xml:space="preserve">Masacres del </w:t>
      </w:r>
      <w:proofErr w:type="spellStart"/>
      <w:r w:rsidRPr="002D6F47">
        <w:rPr>
          <w:rFonts w:ascii="Cambria" w:hAnsi="Cambria"/>
          <w:i/>
          <w:color w:val="auto"/>
          <w:sz w:val="16"/>
          <w:szCs w:val="16"/>
          <w:lang w:val="es-MX"/>
        </w:rPr>
        <w:t>Tibú</w:t>
      </w:r>
      <w:proofErr w:type="spellEnd"/>
      <w:r w:rsidRPr="002D6F47">
        <w:rPr>
          <w:rFonts w:ascii="Cambria" w:hAnsi="Cambria"/>
          <w:color w:val="auto"/>
          <w:sz w:val="16"/>
          <w:szCs w:val="16"/>
          <w:lang w:val="es-MX"/>
        </w:rPr>
        <w:t>, Colombia, 18 de marzo de 2010, párr. 110.</w:t>
      </w:r>
    </w:p>
  </w:footnote>
  <w:footnote w:id="7">
    <w:p w:rsidR="002D6C42" w:rsidRPr="002D6F47" w:rsidRDefault="00860298" w:rsidP="00B45DAB">
      <w:pPr>
        <w:pStyle w:val="Heading2"/>
        <w:spacing w:before="0" w:after="120"/>
        <w:ind w:firstLine="720"/>
        <w:jc w:val="both"/>
        <w:rPr>
          <w:sz w:val="16"/>
          <w:szCs w:val="16"/>
          <w:lang w:val="es-MX"/>
        </w:rPr>
      </w:pPr>
      <w:r w:rsidRPr="002D6F47">
        <w:rPr>
          <w:rStyle w:val="FootnoteReference"/>
          <w:b w:val="0"/>
          <w:color w:val="auto"/>
          <w:sz w:val="16"/>
          <w:szCs w:val="16"/>
        </w:rPr>
        <w:footnoteRef/>
      </w:r>
      <w:r w:rsidRPr="002D6F47">
        <w:rPr>
          <w:b w:val="0"/>
          <w:color w:val="auto"/>
          <w:sz w:val="16"/>
          <w:szCs w:val="16"/>
          <w:lang w:val="es-MX"/>
        </w:rPr>
        <w:t xml:space="preserve"> CIDH, Informe </w:t>
      </w:r>
      <w:r w:rsidRPr="002D6F47">
        <w:rPr>
          <w:b w:val="0"/>
          <w:color w:val="auto"/>
          <w:sz w:val="16"/>
          <w:szCs w:val="16"/>
          <w:lang w:val="es-ES"/>
        </w:rPr>
        <w:t xml:space="preserve">Nº 13/08, P. 844-05, Admisibilidad, Comunidad de Río Negro del Pueblo Indígena Maya y sus Miembros, Guatemala, 5 de marzo de 2008, </w:t>
      </w:r>
      <w:r w:rsidRPr="002D6F47">
        <w:rPr>
          <w:b w:val="0"/>
          <w:color w:val="auto"/>
          <w:sz w:val="16"/>
          <w:szCs w:val="16"/>
          <w:lang w:val="es-MX"/>
        </w:rPr>
        <w:t xml:space="preserve">párr. 87. </w:t>
      </w:r>
    </w:p>
  </w:footnote>
  <w:footnote w:id="8">
    <w:p w:rsidR="00D67436" w:rsidRPr="002D6F47" w:rsidRDefault="00AE3821" w:rsidP="002D6F47">
      <w:pPr>
        <w:pStyle w:val="FootnoteText"/>
        <w:spacing w:after="120"/>
        <w:ind w:firstLine="720"/>
        <w:jc w:val="both"/>
        <w:rPr>
          <w:rFonts w:ascii="Cambria" w:hAnsi="Cambria"/>
          <w:color w:val="auto"/>
          <w:sz w:val="16"/>
          <w:szCs w:val="16"/>
          <w:lang w:val="es-ES"/>
        </w:rPr>
      </w:pPr>
      <w:r w:rsidRPr="002D6F47">
        <w:rPr>
          <w:rStyle w:val="FootnoteReference"/>
          <w:rFonts w:ascii="Cambria" w:hAnsi="Cambria"/>
          <w:color w:val="auto"/>
          <w:sz w:val="16"/>
          <w:szCs w:val="16"/>
          <w:lang w:val="es-ES"/>
        </w:rPr>
        <w:footnoteRef/>
      </w:r>
      <w:r w:rsidR="00956A41" w:rsidRPr="002D6F47">
        <w:rPr>
          <w:rFonts w:ascii="Cambria" w:hAnsi="Cambria"/>
          <w:color w:val="auto"/>
          <w:sz w:val="16"/>
          <w:szCs w:val="16"/>
          <w:lang w:val="es-ES"/>
        </w:rPr>
        <w:t xml:space="preserve"> </w:t>
      </w:r>
      <w:r w:rsidRPr="002D6F47">
        <w:rPr>
          <w:rFonts w:ascii="Cambria" w:hAnsi="Cambria"/>
          <w:color w:val="auto"/>
          <w:sz w:val="16"/>
          <w:szCs w:val="16"/>
          <w:lang w:val="es-ES"/>
        </w:rPr>
        <w:t xml:space="preserve">CIDH, Informe No. 128/01, Caso 12.367, </w:t>
      </w:r>
      <w:r w:rsidRPr="002D6F47">
        <w:rPr>
          <w:rFonts w:ascii="Cambria" w:hAnsi="Cambria"/>
          <w:i/>
          <w:color w:val="auto"/>
          <w:sz w:val="16"/>
          <w:szCs w:val="16"/>
          <w:lang w:val="es-ES"/>
        </w:rPr>
        <w:t xml:space="preserve">Mauricio Herrera Ulloa y Fernán Vargas </w:t>
      </w:r>
      <w:proofErr w:type="spellStart"/>
      <w:r w:rsidRPr="002D6F47">
        <w:rPr>
          <w:rFonts w:ascii="Cambria" w:hAnsi="Cambria"/>
          <w:i/>
          <w:color w:val="auto"/>
          <w:sz w:val="16"/>
          <w:szCs w:val="16"/>
          <w:lang w:val="es-ES"/>
        </w:rPr>
        <w:t>Rohrmoser</w:t>
      </w:r>
      <w:proofErr w:type="spellEnd"/>
      <w:r w:rsidRPr="002D6F47">
        <w:rPr>
          <w:rFonts w:ascii="Cambria" w:hAnsi="Cambria"/>
          <w:i/>
          <w:color w:val="auto"/>
          <w:sz w:val="16"/>
          <w:szCs w:val="16"/>
          <w:lang w:val="es-ES"/>
        </w:rPr>
        <w:t xml:space="preserve"> del Diario “La Nación”</w:t>
      </w:r>
      <w:r w:rsidRPr="002D6F47">
        <w:rPr>
          <w:rFonts w:ascii="Cambria" w:hAnsi="Cambria"/>
          <w:color w:val="auto"/>
          <w:sz w:val="16"/>
          <w:szCs w:val="16"/>
          <w:lang w:val="es-ES"/>
        </w:rPr>
        <w:t xml:space="preserve"> (Costa Rica), 3 de diciembre de 2001, párr. 50; Informe No. 4/04, Petición 12.324, </w:t>
      </w:r>
      <w:r w:rsidRPr="002D6F47">
        <w:rPr>
          <w:rFonts w:ascii="Cambria" w:hAnsi="Cambria"/>
          <w:i/>
          <w:color w:val="auto"/>
          <w:sz w:val="16"/>
          <w:szCs w:val="16"/>
          <w:lang w:val="es-ES"/>
        </w:rPr>
        <w:t>Rubén Luis Godoy</w:t>
      </w:r>
      <w:r w:rsidRPr="002D6F47">
        <w:rPr>
          <w:rFonts w:ascii="Cambria" w:hAnsi="Cambria"/>
          <w:color w:val="auto"/>
          <w:sz w:val="16"/>
          <w:szCs w:val="16"/>
          <w:lang w:val="es-ES"/>
        </w:rPr>
        <w:t xml:space="preserve"> (Argentina), 24 de febrero de 2004, pár. 43; Informe No. 32/07, Petición  429-05, </w:t>
      </w:r>
      <w:r w:rsidRPr="002D6F47">
        <w:rPr>
          <w:rFonts w:ascii="Cambria" w:hAnsi="Cambria"/>
          <w:i/>
          <w:color w:val="auto"/>
          <w:sz w:val="16"/>
          <w:szCs w:val="16"/>
          <w:lang w:val="es-ES"/>
        </w:rPr>
        <w:t xml:space="preserve">Juan Patricio </w:t>
      </w:r>
      <w:proofErr w:type="spellStart"/>
      <w:r w:rsidRPr="002D6F47">
        <w:rPr>
          <w:rFonts w:ascii="Cambria" w:hAnsi="Cambria"/>
          <w:i/>
          <w:color w:val="auto"/>
          <w:sz w:val="16"/>
          <w:szCs w:val="16"/>
          <w:lang w:val="es-ES"/>
        </w:rPr>
        <w:t>Marileo</w:t>
      </w:r>
      <w:proofErr w:type="spellEnd"/>
      <w:r w:rsidRPr="002D6F47">
        <w:rPr>
          <w:rFonts w:ascii="Cambria" w:hAnsi="Cambria"/>
          <w:i/>
          <w:color w:val="auto"/>
          <w:sz w:val="16"/>
          <w:szCs w:val="16"/>
          <w:lang w:val="es-ES"/>
        </w:rPr>
        <w:t xml:space="preserve"> Saravia y Otros</w:t>
      </w:r>
      <w:r w:rsidRPr="002D6F47">
        <w:rPr>
          <w:rFonts w:ascii="Cambria" w:hAnsi="Cambria"/>
          <w:color w:val="auto"/>
          <w:sz w:val="16"/>
          <w:szCs w:val="16"/>
          <w:lang w:val="es-ES"/>
        </w:rPr>
        <w:t xml:space="preserve"> (Chile), 23 de abril de 2007, párr. 54.</w:t>
      </w:r>
    </w:p>
  </w:footnote>
  <w:footnote w:id="9">
    <w:p w:rsidR="00AE3821" w:rsidRPr="002D6F47" w:rsidRDefault="00AE3821" w:rsidP="002D6F47">
      <w:pPr>
        <w:pStyle w:val="FootnoteText"/>
        <w:spacing w:after="120"/>
        <w:ind w:firstLine="720"/>
        <w:jc w:val="both"/>
        <w:rPr>
          <w:rFonts w:ascii="Cambria" w:hAnsi="Cambria"/>
          <w:color w:val="auto"/>
          <w:sz w:val="16"/>
          <w:szCs w:val="16"/>
          <w:lang w:val="es-ES"/>
        </w:rPr>
      </w:pPr>
      <w:r w:rsidRPr="002D6F47">
        <w:rPr>
          <w:rStyle w:val="FootnoteReference"/>
          <w:rFonts w:ascii="Cambria" w:hAnsi="Cambria"/>
          <w:color w:val="auto"/>
          <w:sz w:val="16"/>
          <w:szCs w:val="16"/>
          <w:lang w:val="es-ES"/>
        </w:rPr>
        <w:footnoteRef/>
      </w:r>
      <w:r w:rsidR="00956A41" w:rsidRPr="002D6F47">
        <w:rPr>
          <w:rFonts w:ascii="Cambria" w:hAnsi="Cambria"/>
          <w:color w:val="auto"/>
          <w:sz w:val="16"/>
          <w:szCs w:val="16"/>
          <w:lang w:val="es-ES"/>
        </w:rPr>
        <w:t xml:space="preserve"> </w:t>
      </w:r>
      <w:r w:rsidRPr="002D6F47">
        <w:rPr>
          <w:rFonts w:ascii="Cambria" w:hAnsi="Cambria"/>
          <w:color w:val="auto"/>
          <w:sz w:val="16"/>
          <w:szCs w:val="16"/>
          <w:lang w:val="es-ES"/>
        </w:rPr>
        <w:t xml:space="preserve">CIDH, Informe No. 31/03, Caso 12.195, </w:t>
      </w:r>
      <w:r w:rsidRPr="002D6F47">
        <w:rPr>
          <w:rFonts w:ascii="Cambria" w:hAnsi="Cambria"/>
          <w:i/>
          <w:color w:val="auto"/>
          <w:sz w:val="16"/>
          <w:szCs w:val="16"/>
          <w:lang w:val="es-ES"/>
        </w:rPr>
        <w:t>Mario Alberto Jara Oñate y otros</w:t>
      </w:r>
      <w:r w:rsidRPr="002D6F47">
        <w:rPr>
          <w:rFonts w:ascii="Cambria" w:hAnsi="Cambria"/>
          <w:color w:val="auto"/>
          <w:sz w:val="16"/>
          <w:szCs w:val="16"/>
          <w:lang w:val="es-ES"/>
        </w:rPr>
        <w:t xml:space="preserve"> (Chile), 7 de marzo de 2003, párr. 41; Informe No. 4/04, Petición 12.324, </w:t>
      </w:r>
      <w:r w:rsidRPr="002D6F47">
        <w:rPr>
          <w:rFonts w:ascii="Cambria" w:hAnsi="Cambria"/>
          <w:i/>
          <w:color w:val="auto"/>
          <w:sz w:val="16"/>
          <w:szCs w:val="16"/>
          <w:lang w:val="es-ES"/>
        </w:rPr>
        <w:t>Rubén Luis Godoy</w:t>
      </w:r>
      <w:r w:rsidRPr="002D6F47">
        <w:rPr>
          <w:rFonts w:ascii="Cambria" w:hAnsi="Cambria"/>
          <w:color w:val="auto"/>
          <w:sz w:val="16"/>
          <w:szCs w:val="16"/>
          <w:lang w:val="es-ES"/>
        </w:rPr>
        <w:t xml:space="preserve"> (Argentina), 24 de febrero de 2004, párr. 43; Petición 429-05, </w:t>
      </w:r>
      <w:r w:rsidRPr="002D6F47">
        <w:rPr>
          <w:rFonts w:ascii="Cambria" w:hAnsi="Cambria"/>
          <w:i/>
          <w:color w:val="auto"/>
          <w:sz w:val="16"/>
          <w:szCs w:val="16"/>
          <w:lang w:val="es-ES"/>
        </w:rPr>
        <w:t xml:space="preserve">Juan Patricio </w:t>
      </w:r>
      <w:proofErr w:type="spellStart"/>
      <w:r w:rsidRPr="002D6F47">
        <w:rPr>
          <w:rFonts w:ascii="Cambria" w:hAnsi="Cambria"/>
          <w:i/>
          <w:color w:val="auto"/>
          <w:sz w:val="16"/>
          <w:szCs w:val="16"/>
          <w:lang w:val="es-ES"/>
        </w:rPr>
        <w:t>Marileo</w:t>
      </w:r>
      <w:proofErr w:type="spellEnd"/>
      <w:r w:rsidRPr="002D6F47">
        <w:rPr>
          <w:rFonts w:ascii="Cambria" w:hAnsi="Cambria"/>
          <w:i/>
          <w:color w:val="auto"/>
          <w:sz w:val="16"/>
          <w:szCs w:val="16"/>
          <w:lang w:val="es-ES"/>
        </w:rPr>
        <w:t xml:space="preserve"> Saravia y Otros</w:t>
      </w:r>
      <w:r w:rsidRPr="002D6F47">
        <w:rPr>
          <w:rFonts w:ascii="Cambria" w:hAnsi="Cambria"/>
          <w:color w:val="auto"/>
          <w:sz w:val="16"/>
          <w:szCs w:val="16"/>
          <w:lang w:val="es-ES"/>
        </w:rPr>
        <w:t xml:space="preserve"> (Chile), 23 de abril de 2007, párr. 54; Petición 581-05, </w:t>
      </w:r>
      <w:r w:rsidRPr="002D6F47">
        <w:rPr>
          <w:rFonts w:ascii="Cambria" w:hAnsi="Cambria"/>
          <w:i/>
          <w:color w:val="auto"/>
          <w:sz w:val="16"/>
          <w:szCs w:val="16"/>
          <w:lang w:val="es-ES"/>
        </w:rPr>
        <w:t xml:space="preserve">Víctor Manuel </w:t>
      </w:r>
      <w:proofErr w:type="spellStart"/>
      <w:r w:rsidRPr="002D6F47">
        <w:rPr>
          <w:rFonts w:ascii="Cambria" w:hAnsi="Cambria"/>
          <w:i/>
          <w:color w:val="auto"/>
          <w:sz w:val="16"/>
          <w:szCs w:val="16"/>
          <w:lang w:val="es-ES"/>
        </w:rPr>
        <w:t>Ancalaf</w:t>
      </w:r>
      <w:proofErr w:type="spellEnd"/>
      <w:r w:rsidRPr="002D6F47">
        <w:rPr>
          <w:rFonts w:ascii="Cambria" w:hAnsi="Cambria"/>
          <w:i/>
          <w:color w:val="auto"/>
          <w:sz w:val="16"/>
          <w:szCs w:val="16"/>
          <w:lang w:val="es-ES"/>
        </w:rPr>
        <w:t xml:space="preserve"> </w:t>
      </w:r>
      <w:proofErr w:type="spellStart"/>
      <w:r w:rsidRPr="002D6F47">
        <w:rPr>
          <w:rFonts w:ascii="Cambria" w:hAnsi="Cambria"/>
          <w:i/>
          <w:color w:val="auto"/>
          <w:sz w:val="16"/>
          <w:szCs w:val="16"/>
          <w:lang w:val="es-ES"/>
        </w:rPr>
        <w:t>LLaupe</w:t>
      </w:r>
      <w:proofErr w:type="spellEnd"/>
      <w:r w:rsidRPr="002D6F47">
        <w:rPr>
          <w:rFonts w:ascii="Cambria" w:hAnsi="Cambria"/>
          <w:color w:val="auto"/>
          <w:sz w:val="16"/>
          <w:szCs w:val="16"/>
          <w:lang w:val="es-ES"/>
        </w:rPr>
        <w:t xml:space="preserve"> (Chile), 2 de mayo de 2007, </w:t>
      </w:r>
      <w:proofErr w:type="spellStart"/>
      <w:r w:rsidRPr="002D6F47">
        <w:rPr>
          <w:rFonts w:ascii="Cambria" w:hAnsi="Cambria"/>
          <w:color w:val="auto"/>
          <w:sz w:val="16"/>
          <w:szCs w:val="16"/>
          <w:lang w:val="es-ES"/>
        </w:rPr>
        <w:t>párr</w:t>
      </w:r>
      <w:proofErr w:type="spellEnd"/>
      <w:r w:rsidRPr="002D6F47">
        <w:rPr>
          <w:rFonts w:ascii="Cambria" w:hAnsi="Cambria"/>
          <w:color w:val="auto"/>
          <w:sz w:val="16"/>
          <w:szCs w:val="16"/>
          <w:lang w:val="es-ES"/>
        </w:rPr>
        <w:t xml:space="preserve">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FE" w:rsidRDefault="00965FFE" w:rsidP="000A651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65FFE" w:rsidRDefault="00965F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FE" w:rsidRDefault="004C6D06" w:rsidP="00A50FCF">
    <w:pPr>
      <w:pStyle w:val="Header"/>
      <w:tabs>
        <w:tab w:val="clear" w:pos="4320"/>
        <w:tab w:val="clear" w:pos="8640"/>
      </w:tabs>
      <w:jc w:val="center"/>
      <w:rPr>
        <w:sz w:val="22"/>
        <w:szCs w:val="22"/>
      </w:rPr>
    </w:pPr>
    <w:r>
      <w:rPr>
        <w:noProof/>
        <w:sz w:val="22"/>
        <w:szCs w:val="22"/>
      </w:rPr>
      <w:drawing>
        <wp:inline distT="0" distB="0" distL="0" distR="0" wp14:anchorId="3EDDE33C" wp14:editId="616349C4">
          <wp:extent cx="1975485" cy="103505"/>
          <wp:effectExtent l="0" t="0" r="5715" b="0"/>
          <wp:docPr id="5"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3505"/>
                  </a:xfrm>
                  <a:prstGeom prst="rect">
                    <a:avLst/>
                  </a:prstGeom>
                  <a:noFill/>
                  <a:ln>
                    <a:noFill/>
                  </a:ln>
                </pic:spPr>
              </pic:pic>
            </a:graphicData>
          </a:graphic>
        </wp:inline>
      </w:drawing>
    </w:r>
  </w:p>
  <w:p w:rsidR="00965FFE" w:rsidRPr="00EC7D62" w:rsidRDefault="0029319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C0" w:rsidRDefault="00CF0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0881825"/>
    <w:multiLevelType w:val="hybridMultilevel"/>
    <w:tmpl w:val="CB1EF97E"/>
    <w:lvl w:ilvl="0" w:tplc="F5660864">
      <w:start w:val="2"/>
      <w:numFmt w:val="upperRoman"/>
      <w:lvlText w:val="%1."/>
      <w:lvlJc w:val="left"/>
      <w:pPr>
        <w:tabs>
          <w:tab w:val="num" w:pos="1440"/>
        </w:tabs>
        <w:ind w:left="1440" w:hanging="720"/>
      </w:pPr>
      <w:rPr>
        <w:rFonts w:hint="default"/>
      </w:rPr>
    </w:lvl>
    <w:lvl w:ilvl="1" w:tplc="FA7CF5AA">
      <w:start w:val="6"/>
      <w:numFmt w:val="lowerLetter"/>
      <w:lvlText w:val="%2)"/>
      <w:lvlJc w:val="left"/>
      <w:pPr>
        <w:tabs>
          <w:tab w:val="num" w:pos="1800"/>
        </w:tabs>
        <w:ind w:left="1800" w:hanging="360"/>
      </w:pPr>
      <w:rPr>
        <w:rFonts w:hint="default"/>
      </w:rPr>
    </w:lvl>
    <w:lvl w:ilvl="2" w:tplc="71487AB4">
      <w:start w:val="1"/>
      <w:numFmt w:val="lowerLetter"/>
      <w:lvlText w:val="%3."/>
      <w:lvlJc w:val="left"/>
      <w:pPr>
        <w:tabs>
          <w:tab w:val="num" w:pos="2700"/>
        </w:tabs>
        <w:ind w:left="2700" w:hanging="360"/>
      </w:pPr>
      <w:rPr>
        <w:rFonts w:hint="default"/>
      </w:rPr>
    </w:lvl>
    <w:lvl w:ilvl="3" w:tplc="DD8AB454">
      <w:start w:val="1"/>
      <w:numFmt w:val="upperLetter"/>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FF649A"/>
    <w:multiLevelType w:val="hybridMultilevel"/>
    <w:tmpl w:val="7C44C386"/>
    <w:lvl w:ilvl="0" w:tplc="71B23924">
      <w:start w:val="1"/>
      <w:numFmt w:val="decimal"/>
      <w:lvlText w:val="%1."/>
      <w:lvlJc w:val="left"/>
      <w:pPr>
        <w:tabs>
          <w:tab w:val="num" w:pos="1429"/>
        </w:tabs>
        <w:ind w:left="1429" w:hanging="720"/>
      </w:pPr>
      <w:rPr>
        <w:rFonts w:ascii="Cambria" w:hAnsi="Cambria" w:hint="default"/>
        <w:b w:val="0"/>
        <w:color w:val="auto"/>
        <w:sz w:val="20"/>
        <w:szCs w:val="20"/>
      </w:rPr>
    </w:lvl>
    <w:lvl w:ilvl="1" w:tplc="04090019">
      <w:start w:val="1"/>
      <w:numFmt w:val="lowerLetter"/>
      <w:lvlText w:val="%2."/>
      <w:lvlJc w:val="left"/>
      <w:pPr>
        <w:tabs>
          <w:tab w:val="num" w:pos="1800"/>
        </w:tabs>
        <w:ind w:left="1800" w:hanging="360"/>
      </w:pPr>
    </w:lvl>
    <w:lvl w:ilvl="2" w:tplc="3CA6FEDA">
      <w:start w:val="5"/>
      <w:numFmt w:val="upperRoman"/>
      <w:lvlText w:val="%3."/>
      <w:lvlJc w:val="left"/>
      <w:pPr>
        <w:tabs>
          <w:tab w:val="num" w:pos="3060"/>
        </w:tabs>
        <w:ind w:left="3060" w:hanging="720"/>
      </w:pPr>
      <w:rPr>
        <w:rFonts w:hint="default"/>
      </w:rPr>
    </w:lvl>
    <w:lvl w:ilvl="3" w:tplc="71681AC0">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340FCA"/>
    <w:multiLevelType w:val="hybridMultilevel"/>
    <w:tmpl w:val="E2403734"/>
    <w:lvl w:ilvl="0" w:tplc="3138B582">
      <w:start w:val="1"/>
      <w:numFmt w:val="decimal"/>
      <w:lvlText w:val="%1."/>
      <w:lvlJc w:val="left"/>
      <w:pPr>
        <w:tabs>
          <w:tab w:val="num" w:pos="2070"/>
        </w:tabs>
        <w:ind w:left="2070" w:hanging="630"/>
      </w:pPr>
      <w:rPr>
        <w:rFonts w:ascii="Cambria" w:hAnsi="Cambria" w:hint="default"/>
        <w:b/>
        <w:sz w:val="20"/>
        <w:szCs w:val="20"/>
      </w:rPr>
    </w:lvl>
    <w:lvl w:ilvl="1" w:tplc="78A00DBE">
      <w:start w:val="42"/>
      <w:numFmt w:val="decimal"/>
      <w:lvlText w:val="%2."/>
      <w:lvlJc w:val="left"/>
      <w:pPr>
        <w:tabs>
          <w:tab w:val="num" w:pos="2505"/>
        </w:tabs>
        <w:ind w:left="2505" w:hanging="1425"/>
      </w:pPr>
      <w:rPr>
        <w:rFonts w:hint="default"/>
      </w:rPr>
    </w:lvl>
    <w:lvl w:ilvl="2" w:tplc="6C2AF0B4">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F17303C"/>
    <w:multiLevelType w:val="hybridMultilevel"/>
    <w:tmpl w:val="84F2A2EE"/>
    <w:lvl w:ilvl="0" w:tplc="3A785E3A">
      <w:start w:val="1"/>
      <w:numFmt w:val="upperRoman"/>
      <w:lvlText w:val="%1."/>
      <w:lvlJc w:val="left"/>
      <w:pPr>
        <w:tabs>
          <w:tab w:val="num" w:pos="1440"/>
        </w:tabs>
        <w:ind w:left="1440" w:hanging="720"/>
      </w:pPr>
      <w:rPr>
        <w:rFonts w:ascii="Univers" w:hAnsi="Univers" w:hint="default"/>
        <w:sz w:val="22"/>
        <w:szCs w:val="22"/>
      </w:rPr>
    </w:lvl>
    <w:lvl w:ilvl="1" w:tplc="0958DCD2">
      <w:start w:val="1"/>
      <w:numFmt w:val="decimal"/>
      <w:lvlText w:val="%2."/>
      <w:lvlJc w:val="left"/>
      <w:pPr>
        <w:tabs>
          <w:tab w:val="num" w:pos="2070"/>
        </w:tabs>
        <w:ind w:left="2070" w:hanging="630"/>
      </w:pPr>
      <w:rPr>
        <w:rFonts w:ascii="Cambria" w:hAnsi="Cambria" w:hint="default"/>
        <w:b/>
        <w:sz w:val="20"/>
      </w:rPr>
    </w:lvl>
    <w:lvl w:ilvl="2" w:tplc="F3386B4C">
      <w:start w:val="1"/>
      <w:numFmt w:val="upperLetter"/>
      <w:lvlText w:val="%3."/>
      <w:lvlJc w:val="left"/>
      <w:pPr>
        <w:tabs>
          <w:tab w:val="num" w:pos="2985"/>
        </w:tabs>
        <w:ind w:left="2985" w:hanging="645"/>
      </w:pPr>
      <w:rPr>
        <w:rFonts w:ascii="Cambria" w:hAnsi="Cambria" w:hint="default"/>
        <w:b/>
        <w:i w:val="0"/>
        <w:sz w:val="20"/>
        <w:szCs w:val="20"/>
      </w:rPr>
    </w:lvl>
    <w:lvl w:ilvl="3" w:tplc="7C868A80">
      <w:start w:val="1"/>
      <w:numFmt w:val="decimal"/>
      <w:lvlText w:val="%4."/>
      <w:lvlJc w:val="left"/>
      <w:pPr>
        <w:tabs>
          <w:tab w:val="num" w:pos="3510"/>
        </w:tabs>
        <w:ind w:left="3510" w:hanging="630"/>
      </w:pPr>
      <w:rPr>
        <w:rFonts w:ascii="Verdana" w:hAnsi="Verdana" w:hint="default"/>
        <w:b w:val="0"/>
        <w:sz w:val="20"/>
      </w:rPr>
    </w:lvl>
    <w:lvl w:ilvl="4" w:tplc="CB1A1AD4">
      <w:start w:val="4"/>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0561B8E"/>
    <w:multiLevelType w:val="hybridMultilevel"/>
    <w:tmpl w:val="7C44C386"/>
    <w:lvl w:ilvl="0" w:tplc="71B23924">
      <w:start w:val="1"/>
      <w:numFmt w:val="decimal"/>
      <w:lvlText w:val="%1."/>
      <w:lvlJc w:val="left"/>
      <w:pPr>
        <w:tabs>
          <w:tab w:val="num" w:pos="1429"/>
        </w:tabs>
        <w:ind w:left="1429" w:hanging="720"/>
      </w:pPr>
      <w:rPr>
        <w:rFonts w:ascii="Cambria" w:hAnsi="Cambria" w:hint="default"/>
        <w:b w:val="0"/>
        <w:color w:val="auto"/>
        <w:sz w:val="20"/>
        <w:szCs w:val="20"/>
      </w:rPr>
    </w:lvl>
    <w:lvl w:ilvl="1" w:tplc="04090019">
      <w:start w:val="1"/>
      <w:numFmt w:val="lowerLetter"/>
      <w:lvlText w:val="%2."/>
      <w:lvlJc w:val="left"/>
      <w:pPr>
        <w:tabs>
          <w:tab w:val="num" w:pos="1800"/>
        </w:tabs>
        <w:ind w:left="1800" w:hanging="360"/>
      </w:pPr>
    </w:lvl>
    <w:lvl w:ilvl="2" w:tplc="3CA6FEDA">
      <w:start w:val="5"/>
      <w:numFmt w:val="upperRoman"/>
      <w:lvlText w:val="%3."/>
      <w:lvlJc w:val="left"/>
      <w:pPr>
        <w:tabs>
          <w:tab w:val="num" w:pos="3060"/>
        </w:tabs>
        <w:ind w:left="3060" w:hanging="720"/>
      </w:pPr>
      <w:rPr>
        <w:rFonts w:hint="default"/>
      </w:rPr>
    </w:lvl>
    <w:lvl w:ilvl="3" w:tplc="71681AC0">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1"/>
  </w:num>
  <w:num w:numId="5">
    <w:abstractNumId w:val="48"/>
  </w:num>
  <w:num w:numId="6">
    <w:abstractNumId w:val="27"/>
  </w:num>
  <w:num w:numId="7">
    <w:abstractNumId w:val="5"/>
  </w:num>
  <w:num w:numId="8">
    <w:abstractNumId w:val="16"/>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40"/>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1"/>
  </w:num>
  <w:num w:numId="53">
    <w:abstractNumId w:val="51"/>
  </w:num>
  <w:num w:numId="54">
    <w:abstractNumId w:val="44"/>
  </w:num>
  <w:num w:numId="55">
    <w:abstractNumId w:val="46"/>
  </w:num>
  <w:num w:numId="56">
    <w:abstractNumId w:val="11"/>
  </w:num>
  <w:num w:numId="57">
    <w:abstractNumId w:val="19"/>
  </w:num>
  <w:num w:numId="58">
    <w:abstractNumId w:val="45"/>
  </w:num>
  <w:num w:numId="59">
    <w:abstractNumId w:val="39"/>
  </w:num>
  <w:num w:numId="60">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106"/>
    <w:rsid w:val="0000406C"/>
    <w:rsid w:val="00006E1F"/>
    <w:rsid w:val="000070D7"/>
    <w:rsid w:val="00012D66"/>
    <w:rsid w:val="00015DD6"/>
    <w:rsid w:val="0001788C"/>
    <w:rsid w:val="00023C73"/>
    <w:rsid w:val="00024B58"/>
    <w:rsid w:val="00025B44"/>
    <w:rsid w:val="00027CFE"/>
    <w:rsid w:val="000320BD"/>
    <w:rsid w:val="00032455"/>
    <w:rsid w:val="00034560"/>
    <w:rsid w:val="000378CA"/>
    <w:rsid w:val="00040C3A"/>
    <w:rsid w:val="00041203"/>
    <w:rsid w:val="00053118"/>
    <w:rsid w:val="0005460C"/>
    <w:rsid w:val="00054D40"/>
    <w:rsid w:val="00055745"/>
    <w:rsid w:val="00056039"/>
    <w:rsid w:val="00056D39"/>
    <w:rsid w:val="000621B9"/>
    <w:rsid w:val="0006330E"/>
    <w:rsid w:val="000652A9"/>
    <w:rsid w:val="000716C5"/>
    <w:rsid w:val="00072A22"/>
    <w:rsid w:val="00072AC5"/>
    <w:rsid w:val="00075E23"/>
    <w:rsid w:val="0007631D"/>
    <w:rsid w:val="0008198D"/>
    <w:rsid w:val="0009344A"/>
    <w:rsid w:val="00093805"/>
    <w:rsid w:val="000940E7"/>
    <w:rsid w:val="00094148"/>
    <w:rsid w:val="000959D5"/>
    <w:rsid w:val="000A392E"/>
    <w:rsid w:val="000A575F"/>
    <w:rsid w:val="000A5FA2"/>
    <w:rsid w:val="000A651B"/>
    <w:rsid w:val="000B0E21"/>
    <w:rsid w:val="000B24C8"/>
    <w:rsid w:val="000B50C3"/>
    <w:rsid w:val="000C1A75"/>
    <w:rsid w:val="000C4638"/>
    <w:rsid w:val="000D10DB"/>
    <w:rsid w:val="000D2846"/>
    <w:rsid w:val="000D6BF5"/>
    <w:rsid w:val="000E0284"/>
    <w:rsid w:val="000E5EB5"/>
    <w:rsid w:val="000E7C7A"/>
    <w:rsid w:val="000F2A2C"/>
    <w:rsid w:val="000F35ED"/>
    <w:rsid w:val="000F3624"/>
    <w:rsid w:val="00107131"/>
    <w:rsid w:val="0010736F"/>
    <w:rsid w:val="00111C64"/>
    <w:rsid w:val="001120CC"/>
    <w:rsid w:val="00113F73"/>
    <w:rsid w:val="00121CC2"/>
    <w:rsid w:val="00133EE5"/>
    <w:rsid w:val="001354DA"/>
    <w:rsid w:val="0013678A"/>
    <w:rsid w:val="00137DD8"/>
    <w:rsid w:val="00140057"/>
    <w:rsid w:val="0014044D"/>
    <w:rsid w:val="00140BB7"/>
    <w:rsid w:val="00141644"/>
    <w:rsid w:val="00141BCA"/>
    <w:rsid w:val="001616DC"/>
    <w:rsid w:val="0016191F"/>
    <w:rsid w:val="00164029"/>
    <w:rsid w:val="00167A34"/>
    <w:rsid w:val="00171AAC"/>
    <w:rsid w:val="00173C5C"/>
    <w:rsid w:val="00176001"/>
    <w:rsid w:val="00182AAA"/>
    <w:rsid w:val="001834D8"/>
    <w:rsid w:val="00183632"/>
    <w:rsid w:val="00184199"/>
    <w:rsid w:val="00185A2E"/>
    <w:rsid w:val="00186490"/>
    <w:rsid w:val="00190EB5"/>
    <w:rsid w:val="001A086A"/>
    <w:rsid w:val="001A22DC"/>
    <w:rsid w:val="001A3CD2"/>
    <w:rsid w:val="001A4771"/>
    <w:rsid w:val="001A55DA"/>
    <w:rsid w:val="001A63EC"/>
    <w:rsid w:val="001A6EA9"/>
    <w:rsid w:val="001A7870"/>
    <w:rsid w:val="001A7EC6"/>
    <w:rsid w:val="001B0A29"/>
    <w:rsid w:val="001B0B69"/>
    <w:rsid w:val="001B0F28"/>
    <w:rsid w:val="001B4DE5"/>
    <w:rsid w:val="001C1B41"/>
    <w:rsid w:val="001C27DB"/>
    <w:rsid w:val="001C4F5A"/>
    <w:rsid w:val="001C56D7"/>
    <w:rsid w:val="001D36C2"/>
    <w:rsid w:val="001D65EF"/>
    <w:rsid w:val="001E0162"/>
    <w:rsid w:val="001E0DFF"/>
    <w:rsid w:val="001E336B"/>
    <w:rsid w:val="001E5802"/>
    <w:rsid w:val="001E5EEA"/>
    <w:rsid w:val="001F4CEF"/>
    <w:rsid w:val="00204795"/>
    <w:rsid w:val="00207F35"/>
    <w:rsid w:val="00220DDF"/>
    <w:rsid w:val="0022299D"/>
    <w:rsid w:val="002250A3"/>
    <w:rsid w:val="00232E8A"/>
    <w:rsid w:val="00235217"/>
    <w:rsid w:val="00237A6C"/>
    <w:rsid w:val="00237D4E"/>
    <w:rsid w:val="00244561"/>
    <w:rsid w:val="00246D1F"/>
    <w:rsid w:val="00247403"/>
    <w:rsid w:val="00247542"/>
    <w:rsid w:val="00247B99"/>
    <w:rsid w:val="00250390"/>
    <w:rsid w:val="00263917"/>
    <w:rsid w:val="0026400F"/>
    <w:rsid w:val="00266B61"/>
    <w:rsid w:val="0026712A"/>
    <w:rsid w:val="002704DB"/>
    <w:rsid w:val="00272465"/>
    <w:rsid w:val="00272F7F"/>
    <w:rsid w:val="00284528"/>
    <w:rsid w:val="002855FD"/>
    <w:rsid w:val="00293193"/>
    <w:rsid w:val="00296263"/>
    <w:rsid w:val="00296892"/>
    <w:rsid w:val="002A0AAE"/>
    <w:rsid w:val="002A5820"/>
    <w:rsid w:val="002B01CD"/>
    <w:rsid w:val="002B0628"/>
    <w:rsid w:val="002C392A"/>
    <w:rsid w:val="002D133F"/>
    <w:rsid w:val="002D2B26"/>
    <w:rsid w:val="002D443A"/>
    <w:rsid w:val="002D6C42"/>
    <w:rsid w:val="002D6F47"/>
    <w:rsid w:val="002D7EA2"/>
    <w:rsid w:val="002E187C"/>
    <w:rsid w:val="002E4929"/>
    <w:rsid w:val="002E4ADE"/>
    <w:rsid w:val="002F2B6C"/>
    <w:rsid w:val="0030027A"/>
    <w:rsid w:val="00301F25"/>
    <w:rsid w:val="0030220B"/>
    <w:rsid w:val="00302733"/>
    <w:rsid w:val="00314078"/>
    <w:rsid w:val="0031535D"/>
    <w:rsid w:val="00316810"/>
    <w:rsid w:val="0031693C"/>
    <w:rsid w:val="00323F8B"/>
    <w:rsid w:val="0033169F"/>
    <w:rsid w:val="00331C28"/>
    <w:rsid w:val="003333FF"/>
    <w:rsid w:val="003339C8"/>
    <w:rsid w:val="0033677A"/>
    <w:rsid w:val="00336881"/>
    <w:rsid w:val="00336889"/>
    <w:rsid w:val="00336BE3"/>
    <w:rsid w:val="003371B6"/>
    <w:rsid w:val="00346C95"/>
    <w:rsid w:val="00356185"/>
    <w:rsid w:val="003564FD"/>
    <w:rsid w:val="003573A7"/>
    <w:rsid w:val="00357463"/>
    <w:rsid w:val="00360380"/>
    <w:rsid w:val="00361703"/>
    <w:rsid w:val="00363FAE"/>
    <w:rsid w:val="003655C2"/>
    <w:rsid w:val="0037519E"/>
    <w:rsid w:val="00380AA6"/>
    <w:rsid w:val="003813B9"/>
    <w:rsid w:val="00385937"/>
    <w:rsid w:val="00386A3B"/>
    <w:rsid w:val="00386CF0"/>
    <w:rsid w:val="00392097"/>
    <w:rsid w:val="003940C3"/>
    <w:rsid w:val="003941E4"/>
    <w:rsid w:val="00396262"/>
    <w:rsid w:val="003A1B11"/>
    <w:rsid w:val="003A5BB7"/>
    <w:rsid w:val="003B43FF"/>
    <w:rsid w:val="003C22C0"/>
    <w:rsid w:val="003C2B85"/>
    <w:rsid w:val="003C3B39"/>
    <w:rsid w:val="003C676B"/>
    <w:rsid w:val="003C7CF1"/>
    <w:rsid w:val="003D05FD"/>
    <w:rsid w:val="003D3BC2"/>
    <w:rsid w:val="003D425D"/>
    <w:rsid w:val="003D7115"/>
    <w:rsid w:val="003E64A3"/>
    <w:rsid w:val="003E6CA1"/>
    <w:rsid w:val="003F369C"/>
    <w:rsid w:val="003F43D3"/>
    <w:rsid w:val="003F6D2D"/>
    <w:rsid w:val="003F754B"/>
    <w:rsid w:val="004127B3"/>
    <w:rsid w:val="004152E2"/>
    <w:rsid w:val="004165C2"/>
    <w:rsid w:val="004211E0"/>
    <w:rsid w:val="0042204A"/>
    <w:rsid w:val="004226D7"/>
    <w:rsid w:val="004231FB"/>
    <w:rsid w:val="004263D0"/>
    <w:rsid w:val="004308AD"/>
    <w:rsid w:val="00432E5F"/>
    <w:rsid w:val="0043313F"/>
    <w:rsid w:val="00435B68"/>
    <w:rsid w:val="004403D1"/>
    <w:rsid w:val="00441ECB"/>
    <w:rsid w:val="00445DCB"/>
    <w:rsid w:val="00453EF5"/>
    <w:rsid w:val="004546FB"/>
    <w:rsid w:val="00456CEB"/>
    <w:rsid w:val="0046038F"/>
    <w:rsid w:val="00461232"/>
    <w:rsid w:val="00467B7E"/>
    <w:rsid w:val="00473AA6"/>
    <w:rsid w:val="00477592"/>
    <w:rsid w:val="004860A3"/>
    <w:rsid w:val="00486F1C"/>
    <w:rsid w:val="0048793E"/>
    <w:rsid w:val="00487EBB"/>
    <w:rsid w:val="0049419D"/>
    <w:rsid w:val="00496566"/>
    <w:rsid w:val="0049717F"/>
    <w:rsid w:val="004B2DA0"/>
    <w:rsid w:val="004B5626"/>
    <w:rsid w:val="004B6168"/>
    <w:rsid w:val="004C20D2"/>
    <w:rsid w:val="004C3275"/>
    <w:rsid w:val="004C4B62"/>
    <w:rsid w:val="004C4DE7"/>
    <w:rsid w:val="004C54C9"/>
    <w:rsid w:val="004C65D6"/>
    <w:rsid w:val="004C6D06"/>
    <w:rsid w:val="004D062E"/>
    <w:rsid w:val="004D07A5"/>
    <w:rsid w:val="004D6025"/>
    <w:rsid w:val="004D762B"/>
    <w:rsid w:val="004E0E6C"/>
    <w:rsid w:val="004E23B2"/>
    <w:rsid w:val="004E2649"/>
    <w:rsid w:val="004E413E"/>
    <w:rsid w:val="004E7EC0"/>
    <w:rsid w:val="004F1C31"/>
    <w:rsid w:val="004F6BD7"/>
    <w:rsid w:val="005001C3"/>
    <w:rsid w:val="00501399"/>
    <w:rsid w:val="0050633D"/>
    <w:rsid w:val="00507BC4"/>
    <w:rsid w:val="005121A4"/>
    <w:rsid w:val="005128E4"/>
    <w:rsid w:val="005133DB"/>
    <w:rsid w:val="00515EE9"/>
    <w:rsid w:val="00517566"/>
    <w:rsid w:val="00525560"/>
    <w:rsid w:val="00525AD6"/>
    <w:rsid w:val="005275EA"/>
    <w:rsid w:val="00541F28"/>
    <w:rsid w:val="005446D1"/>
    <w:rsid w:val="00544C49"/>
    <w:rsid w:val="0054666A"/>
    <w:rsid w:val="005516A1"/>
    <w:rsid w:val="00552690"/>
    <w:rsid w:val="00553DD8"/>
    <w:rsid w:val="00563597"/>
    <w:rsid w:val="0056429D"/>
    <w:rsid w:val="00567A77"/>
    <w:rsid w:val="0057402A"/>
    <w:rsid w:val="00574E83"/>
    <w:rsid w:val="005771D0"/>
    <w:rsid w:val="005777B5"/>
    <w:rsid w:val="00581633"/>
    <w:rsid w:val="00584DA5"/>
    <w:rsid w:val="0059191A"/>
    <w:rsid w:val="005921FF"/>
    <w:rsid w:val="005A6D0E"/>
    <w:rsid w:val="005B4BF8"/>
    <w:rsid w:val="005B52B0"/>
    <w:rsid w:val="005B6806"/>
    <w:rsid w:val="005B6D5B"/>
    <w:rsid w:val="005C06F3"/>
    <w:rsid w:val="005C23D8"/>
    <w:rsid w:val="005C2E1A"/>
    <w:rsid w:val="005C4225"/>
    <w:rsid w:val="005D035C"/>
    <w:rsid w:val="005D28FB"/>
    <w:rsid w:val="005D2F2F"/>
    <w:rsid w:val="005E21C1"/>
    <w:rsid w:val="005E2771"/>
    <w:rsid w:val="005F0DAD"/>
    <w:rsid w:val="005F0F33"/>
    <w:rsid w:val="005F3CA3"/>
    <w:rsid w:val="005F6BFF"/>
    <w:rsid w:val="0060068B"/>
    <w:rsid w:val="00600DEB"/>
    <w:rsid w:val="00610F1B"/>
    <w:rsid w:val="00623DFB"/>
    <w:rsid w:val="00625CB8"/>
    <w:rsid w:val="006271D2"/>
    <w:rsid w:val="00627C9F"/>
    <w:rsid w:val="006311E9"/>
    <w:rsid w:val="006319FB"/>
    <w:rsid w:val="00632354"/>
    <w:rsid w:val="00633C79"/>
    <w:rsid w:val="00636BD7"/>
    <w:rsid w:val="00642810"/>
    <w:rsid w:val="00646CC2"/>
    <w:rsid w:val="00652333"/>
    <w:rsid w:val="00653C3D"/>
    <w:rsid w:val="00654B3D"/>
    <w:rsid w:val="00660248"/>
    <w:rsid w:val="00666493"/>
    <w:rsid w:val="006677F7"/>
    <w:rsid w:val="006701DC"/>
    <w:rsid w:val="00670BF9"/>
    <w:rsid w:val="0068009E"/>
    <w:rsid w:val="006845D3"/>
    <w:rsid w:val="00691E63"/>
    <w:rsid w:val="00692EA8"/>
    <w:rsid w:val="00694CED"/>
    <w:rsid w:val="00695682"/>
    <w:rsid w:val="006A13FD"/>
    <w:rsid w:val="006A17D2"/>
    <w:rsid w:val="006A3FDF"/>
    <w:rsid w:val="006A6484"/>
    <w:rsid w:val="006A7016"/>
    <w:rsid w:val="006A712A"/>
    <w:rsid w:val="006A7362"/>
    <w:rsid w:val="006A73E6"/>
    <w:rsid w:val="006B0053"/>
    <w:rsid w:val="006B2D5C"/>
    <w:rsid w:val="006B4EAE"/>
    <w:rsid w:val="006B5B06"/>
    <w:rsid w:val="006B6EE6"/>
    <w:rsid w:val="006C0EB8"/>
    <w:rsid w:val="006C4EB1"/>
    <w:rsid w:val="006C6E05"/>
    <w:rsid w:val="006D1133"/>
    <w:rsid w:val="006D38C8"/>
    <w:rsid w:val="006D6DA0"/>
    <w:rsid w:val="006E0166"/>
    <w:rsid w:val="006E46D4"/>
    <w:rsid w:val="006E626B"/>
    <w:rsid w:val="006E7612"/>
    <w:rsid w:val="006E7B34"/>
    <w:rsid w:val="007014E4"/>
    <w:rsid w:val="007048BC"/>
    <w:rsid w:val="00705A70"/>
    <w:rsid w:val="00706883"/>
    <w:rsid w:val="0070697F"/>
    <w:rsid w:val="00715D51"/>
    <w:rsid w:val="007172F1"/>
    <w:rsid w:val="00720293"/>
    <w:rsid w:val="0072199C"/>
    <w:rsid w:val="007230AB"/>
    <w:rsid w:val="00723859"/>
    <w:rsid w:val="007253B8"/>
    <w:rsid w:val="00734F6B"/>
    <w:rsid w:val="0073741F"/>
    <w:rsid w:val="007438FD"/>
    <w:rsid w:val="007475EF"/>
    <w:rsid w:val="007501C3"/>
    <w:rsid w:val="00753C33"/>
    <w:rsid w:val="007546DA"/>
    <w:rsid w:val="00760F69"/>
    <w:rsid w:val="00762BA5"/>
    <w:rsid w:val="0076643F"/>
    <w:rsid w:val="0076653C"/>
    <w:rsid w:val="00767967"/>
    <w:rsid w:val="00770C55"/>
    <w:rsid w:val="00774BA5"/>
    <w:rsid w:val="007767B5"/>
    <w:rsid w:val="00777F63"/>
    <w:rsid w:val="00781ADF"/>
    <w:rsid w:val="007856B3"/>
    <w:rsid w:val="00791A46"/>
    <w:rsid w:val="007948AA"/>
    <w:rsid w:val="00796E4A"/>
    <w:rsid w:val="007A5817"/>
    <w:rsid w:val="007B03CC"/>
    <w:rsid w:val="007B5C43"/>
    <w:rsid w:val="007B602B"/>
    <w:rsid w:val="007B60E9"/>
    <w:rsid w:val="007B6CC3"/>
    <w:rsid w:val="007C0434"/>
    <w:rsid w:val="007C2EB1"/>
    <w:rsid w:val="007C3334"/>
    <w:rsid w:val="007D2B98"/>
    <w:rsid w:val="007D3F49"/>
    <w:rsid w:val="007D7191"/>
    <w:rsid w:val="007D7192"/>
    <w:rsid w:val="007E0E53"/>
    <w:rsid w:val="007E21BC"/>
    <w:rsid w:val="007E3933"/>
    <w:rsid w:val="007E6262"/>
    <w:rsid w:val="00803F1C"/>
    <w:rsid w:val="0080600E"/>
    <w:rsid w:val="0081558A"/>
    <w:rsid w:val="008171EE"/>
    <w:rsid w:val="00817612"/>
    <w:rsid w:val="0082062D"/>
    <w:rsid w:val="0082294C"/>
    <w:rsid w:val="00825320"/>
    <w:rsid w:val="008262AB"/>
    <w:rsid w:val="0083170A"/>
    <w:rsid w:val="008338A4"/>
    <w:rsid w:val="00834DB1"/>
    <w:rsid w:val="00837C45"/>
    <w:rsid w:val="00840970"/>
    <w:rsid w:val="008422E6"/>
    <w:rsid w:val="00842E44"/>
    <w:rsid w:val="00843166"/>
    <w:rsid w:val="008446E5"/>
    <w:rsid w:val="00844730"/>
    <w:rsid w:val="008457C2"/>
    <w:rsid w:val="0084594B"/>
    <w:rsid w:val="00857A82"/>
    <w:rsid w:val="00860298"/>
    <w:rsid w:val="00860E67"/>
    <w:rsid w:val="00873836"/>
    <w:rsid w:val="00873EBF"/>
    <w:rsid w:val="00877336"/>
    <w:rsid w:val="008854A0"/>
    <w:rsid w:val="00885737"/>
    <w:rsid w:val="0088711D"/>
    <w:rsid w:val="00887883"/>
    <w:rsid w:val="00890650"/>
    <w:rsid w:val="00894FAF"/>
    <w:rsid w:val="0089562C"/>
    <w:rsid w:val="00897787"/>
    <w:rsid w:val="00897E12"/>
    <w:rsid w:val="008A1463"/>
    <w:rsid w:val="008A15B8"/>
    <w:rsid w:val="008A7796"/>
    <w:rsid w:val="008A7E0F"/>
    <w:rsid w:val="008B06B9"/>
    <w:rsid w:val="008B12F5"/>
    <w:rsid w:val="008B1818"/>
    <w:rsid w:val="008C05B9"/>
    <w:rsid w:val="008C507B"/>
    <w:rsid w:val="008C7779"/>
    <w:rsid w:val="008D20F0"/>
    <w:rsid w:val="008D21B5"/>
    <w:rsid w:val="008D2D56"/>
    <w:rsid w:val="008E0AAA"/>
    <w:rsid w:val="008E0B42"/>
    <w:rsid w:val="008E3759"/>
    <w:rsid w:val="008F1912"/>
    <w:rsid w:val="008F6959"/>
    <w:rsid w:val="008F7C28"/>
    <w:rsid w:val="009024BD"/>
    <w:rsid w:val="0090270B"/>
    <w:rsid w:val="009041DC"/>
    <w:rsid w:val="00916E90"/>
    <w:rsid w:val="00917816"/>
    <w:rsid w:val="00917B5A"/>
    <w:rsid w:val="009202A4"/>
    <w:rsid w:val="00920A58"/>
    <w:rsid w:val="00920A8C"/>
    <w:rsid w:val="00930072"/>
    <w:rsid w:val="00934A2C"/>
    <w:rsid w:val="009429B3"/>
    <w:rsid w:val="00942E5E"/>
    <w:rsid w:val="009430E9"/>
    <w:rsid w:val="00943661"/>
    <w:rsid w:val="00945374"/>
    <w:rsid w:val="0094587F"/>
    <w:rsid w:val="00945C7A"/>
    <w:rsid w:val="00946800"/>
    <w:rsid w:val="00946A05"/>
    <w:rsid w:val="009470D3"/>
    <w:rsid w:val="00951405"/>
    <w:rsid w:val="0095408D"/>
    <w:rsid w:val="00954803"/>
    <w:rsid w:val="00956760"/>
    <w:rsid w:val="00956A41"/>
    <w:rsid w:val="00957506"/>
    <w:rsid w:val="00963A92"/>
    <w:rsid w:val="00963F60"/>
    <w:rsid w:val="00965FFE"/>
    <w:rsid w:val="00966199"/>
    <w:rsid w:val="0096706E"/>
    <w:rsid w:val="00973535"/>
    <w:rsid w:val="00975C4E"/>
    <w:rsid w:val="00976935"/>
    <w:rsid w:val="00981FBA"/>
    <w:rsid w:val="0098385B"/>
    <w:rsid w:val="00983A1A"/>
    <w:rsid w:val="00983FDC"/>
    <w:rsid w:val="009903A1"/>
    <w:rsid w:val="00994186"/>
    <w:rsid w:val="009961D5"/>
    <w:rsid w:val="00997BC5"/>
    <w:rsid w:val="009A17A6"/>
    <w:rsid w:val="009A2464"/>
    <w:rsid w:val="009A2B4E"/>
    <w:rsid w:val="009A4F41"/>
    <w:rsid w:val="009A61BE"/>
    <w:rsid w:val="009B381B"/>
    <w:rsid w:val="009B387D"/>
    <w:rsid w:val="009C01BE"/>
    <w:rsid w:val="009C18B7"/>
    <w:rsid w:val="009C4EF0"/>
    <w:rsid w:val="009D0691"/>
    <w:rsid w:val="009D1753"/>
    <w:rsid w:val="009D21F0"/>
    <w:rsid w:val="009D7611"/>
    <w:rsid w:val="009D79AC"/>
    <w:rsid w:val="009E0B61"/>
    <w:rsid w:val="009E53DE"/>
    <w:rsid w:val="009E7CD0"/>
    <w:rsid w:val="009F0922"/>
    <w:rsid w:val="009F3904"/>
    <w:rsid w:val="009F4AFE"/>
    <w:rsid w:val="00A0129C"/>
    <w:rsid w:val="00A047C2"/>
    <w:rsid w:val="00A0517A"/>
    <w:rsid w:val="00A05E0A"/>
    <w:rsid w:val="00A20B27"/>
    <w:rsid w:val="00A27619"/>
    <w:rsid w:val="00A30D6E"/>
    <w:rsid w:val="00A328B3"/>
    <w:rsid w:val="00A34BF8"/>
    <w:rsid w:val="00A50BB9"/>
    <w:rsid w:val="00A50FCF"/>
    <w:rsid w:val="00A50FD6"/>
    <w:rsid w:val="00A528D1"/>
    <w:rsid w:val="00A610CD"/>
    <w:rsid w:val="00A63456"/>
    <w:rsid w:val="00A63E42"/>
    <w:rsid w:val="00A63EA6"/>
    <w:rsid w:val="00A70CB6"/>
    <w:rsid w:val="00A711C5"/>
    <w:rsid w:val="00A7382A"/>
    <w:rsid w:val="00A761C6"/>
    <w:rsid w:val="00A8536E"/>
    <w:rsid w:val="00A8669A"/>
    <w:rsid w:val="00A87823"/>
    <w:rsid w:val="00A9004B"/>
    <w:rsid w:val="00AA09A2"/>
    <w:rsid w:val="00AA5DCB"/>
    <w:rsid w:val="00AA622F"/>
    <w:rsid w:val="00AA7996"/>
    <w:rsid w:val="00AB036B"/>
    <w:rsid w:val="00AB4CDC"/>
    <w:rsid w:val="00AB753B"/>
    <w:rsid w:val="00AC19CB"/>
    <w:rsid w:val="00AC42D9"/>
    <w:rsid w:val="00AE2DFC"/>
    <w:rsid w:val="00AE3821"/>
    <w:rsid w:val="00AE5488"/>
    <w:rsid w:val="00AE6F91"/>
    <w:rsid w:val="00AF0B71"/>
    <w:rsid w:val="00AF12FD"/>
    <w:rsid w:val="00AF4E3D"/>
    <w:rsid w:val="00AF5571"/>
    <w:rsid w:val="00B05812"/>
    <w:rsid w:val="00B07341"/>
    <w:rsid w:val="00B07DED"/>
    <w:rsid w:val="00B153B9"/>
    <w:rsid w:val="00B162D3"/>
    <w:rsid w:val="00B163B5"/>
    <w:rsid w:val="00B276FF"/>
    <w:rsid w:val="00B30539"/>
    <w:rsid w:val="00B314DB"/>
    <w:rsid w:val="00B330F8"/>
    <w:rsid w:val="00B361F2"/>
    <w:rsid w:val="00B3718B"/>
    <w:rsid w:val="00B405DA"/>
    <w:rsid w:val="00B42B0B"/>
    <w:rsid w:val="00B44AA7"/>
    <w:rsid w:val="00B44C33"/>
    <w:rsid w:val="00B45DAB"/>
    <w:rsid w:val="00B4632A"/>
    <w:rsid w:val="00B46EA7"/>
    <w:rsid w:val="00B50F79"/>
    <w:rsid w:val="00B530F1"/>
    <w:rsid w:val="00B567CE"/>
    <w:rsid w:val="00B610CB"/>
    <w:rsid w:val="00B62A0E"/>
    <w:rsid w:val="00B642D1"/>
    <w:rsid w:val="00B64C71"/>
    <w:rsid w:val="00B658C3"/>
    <w:rsid w:val="00B660B4"/>
    <w:rsid w:val="00B70F38"/>
    <w:rsid w:val="00B74ED0"/>
    <w:rsid w:val="00B83673"/>
    <w:rsid w:val="00B83EBC"/>
    <w:rsid w:val="00B84582"/>
    <w:rsid w:val="00B84E63"/>
    <w:rsid w:val="00B93A0C"/>
    <w:rsid w:val="00B96BCB"/>
    <w:rsid w:val="00BA276C"/>
    <w:rsid w:val="00BA4CBD"/>
    <w:rsid w:val="00BA65CB"/>
    <w:rsid w:val="00BB19EE"/>
    <w:rsid w:val="00BB306F"/>
    <w:rsid w:val="00BB794B"/>
    <w:rsid w:val="00BC26FE"/>
    <w:rsid w:val="00BC4F41"/>
    <w:rsid w:val="00BC5F7E"/>
    <w:rsid w:val="00BD07B3"/>
    <w:rsid w:val="00BD3114"/>
    <w:rsid w:val="00BD365A"/>
    <w:rsid w:val="00BD4B89"/>
    <w:rsid w:val="00BD7782"/>
    <w:rsid w:val="00BD7FB6"/>
    <w:rsid w:val="00BE0DD5"/>
    <w:rsid w:val="00BE20F5"/>
    <w:rsid w:val="00BE740B"/>
    <w:rsid w:val="00BF0606"/>
    <w:rsid w:val="00BF39CD"/>
    <w:rsid w:val="00BF6FD8"/>
    <w:rsid w:val="00C0064B"/>
    <w:rsid w:val="00C00FA8"/>
    <w:rsid w:val="00C03680"/>
    <w:rsid w:val="00C041A9"/>
    <w:rsid w:val="00C04655"/>
    <w:rsid w:val="00C050D7"/>
    <w:rsid w:val="00C054DF"/>
    <w:rsid w:val="00C10088"/>
    <w:rsid w:val="00C109D0"/>
    <w:rsid w:val="00C11047"/>
    <w:rsid w:val="00C1254D"/>
    <w:rsid w:val="00C1593A"/>
    <w:rsid w:val="00C175FF"/>
    <w:rsid w:val="00C20050"/>
    <w:rsid w:val="00C2149B"/>
    <w:rsid w:val="00C21762"/>
    <w:rsid w:val="00C24543"/>
    <w:rsid w:val="00C256A2"/>
    <w:rsid w:val="00C26670"/>
    <w:rsid w:val="00C30933"/>
    <w:rsid w:val="00C347E4"/>
    <w:rsid w:val="00C3623F"/>
    <w:rsid w:val="00C50D9D"/>
    <w:rsid w:val="00C51515"/>
    <w:rsid w:val="00C54F6C"/>
    <w:rsid w:val="00C5660B"/>
    <w:rsid w:val="00C626E5"/>
    <w:rsid w:val="00C63517"/>
    <w:rsid w:val="00C64012"/>
    <w:rsid w:val="00C64A87"/>
    <w:rsid w:val="00C66B72"/>
    <w:rsid w:val="00C679D8"/>
    <w:rsid w:val="00C75A9F"/>
    <w:rsid w:val="00C76D4F"/>
    <w:rsid w:val="00C8022B"/>
    <w:rsid w:val="00C8789B"/>
    <w:rsid w:val="00C87A10"/>
    <w:rsid w:val="00C9567A"/>
    <w:rsid w:val="00C961D4"/>
    <w:rsid w:val="00C9699C"/>
    <w:rsid w:val="00C96A12"/>
    <w:rsid w:val="00C97CCD"/>
    <w:rsid w:val="00CB0987"/>
    <w:rsid w:val="00CB212D"/>
    <w:rsid w:val="00CB2660"/>
    <w:rsid w:val="00CB5031"/>
    <w:rsid w:val="00CB60CB"/>
    <w:rsid w:val="00CC15B7"/>
    <w:rsid w:val="00CC5E90"/>
    <w:rsid w:val="00CD046C"/>
    <w:rsid w:val="00CD1A0E"/>
    <w:rsid w:val="00CE076C"/>
    <w:rsid w:val="00CE5199"/>
    <w:rsid w:val="00CE66D5"/>
    <w:rsid w:val="00CF03FD"/>
    <w:rsid w:val="00CF0CC0"/>
    <w:rsid w:val="00CF637A"/>
    <w:rsid w:val="00D02D35"/>
    <w:rsid w:val="00D059DE"/>
    <w:rsid w:val="00D10DF8"/>
    <w:rsid w:val="00D10F6C"/>
    <w:rsid w:val="00D11C28"/>
    <w:rsid w:val="00D13FCE"/>
    <w:rsid w:val="00D16367"/>
    <w:rsid w:val="00D2030A"/>
    <w:rsid w:val="00D20709"/>
    <w:rsid w:val="00D23D34"/>
    <w:rsid w:val="00D306D1"/>
    <w:rsid w:val="00D34786"/>
    <w:rsid w:val="00D37AC6"/>
    <w:rsid w:val="00D37BFC"/>
    <w:rsid w:val="00D4321E"/>
    <w:rsid w:val="00D47A8E"/>
    <w:rsid w:val="00D50358"/>
    <w:rsid w:val="00D52169"/>
    <w:rsid w:val="00D52D14"/>
    <w:rsid w:val="00D53220"/>
    <w:rsid w:val="00D575C3"/>
    <w:rsid w:val="00D6184C"/>
    <w:rsid w:val="00D662A0"/>
    <w:rsid w:val="00D67436"/>
    <w:rsid w:val="00D67E2C"/>
    <w:rsid w:val="00D7086F"/>
    <w:rsid w:val="00D712D3"/>
    <w:rsid w:val="00D713F4"/>
    <w:rsid w:val="00D71422"/>
    <w:rsid w:val="00D72DC6"/>
    <w:rsid w:val="00D73D95"/>
    <w:rsid w:val="00D7558D"/>
    <w:rsid w:val="00D75B2A"/>
    <w:rsid w:val="00D81D92"/>
    <w:rsid w:val="00D83EC7"/>
    <w:rsid w:val="00D851F3"/>
    <w:rsid w:val="00D926CA"/>
    <w:rsid w:val="00DA7B5F"/>
    <w:rsid w:val="00DB0FA8"/>
    <w:rsid w:val="00DB7DFA"/>
    <w:rsid w:val="00DC11E7"/>
    <w:rsid w:val="00DC28C6"/>
    <w:rsid w:val="00DC7023"/>
    <w:rsid w:val="00DC769A"/>
    <w:rsid w:val="00DD1EC6"/>
    <w:rsid w:val="00DD2B6B"/>
    <w:rsid w:val="00DD3D86"/>
    <w:rsid w:val="00DE3904"/>
    <w:rsid w:val="00DE6B1B"/>
    <w:rsid w:val="00DF3B95"/>
    <w:rsid w:val="00DF3EE2"/>
    <w:rsid w:val="00DF7987"/>
    <w:rsid w:val="00E01BBB"/>
    <w:rsid w:val="00E0340B"/>
    <w:rsid w:val="00E03A6E"/>
    <w:rsid w:val="00E03A72"/>
    <w:rsid w:val="00E04D2A"/>
    <w:rsid w:val="00E107E2"/>
    <w:rsid w:val="00E12E08"/>
    <w:rsid w:val="00E219C7"/>
    <w:rsid w:val="00E24154"/>
    <w:rsid w:val="00E24404"/>
    <w:rsid w:val="00E333CD"/>
    <w:rsid w:val="00E339F1"/>
    <w:rsid w:val="00E35CAB"/>
    <w:rsid w:val="00E36DDA"/>
    <w:rsid w:val="00E40CAD"/>
    <w:rsid w:val="00E43157"/>
    <w:rsid w:val="00E460C8"/>
    <w:rsid w:val="00E461CE"/>
    <w:rsid w:val="00E57D0F"/>
    <w:rsid w:val="00E618D3"/>
    <w:rsid w:val="00E7036B"/>
    <w:rsid w:val="00E71A78"/>
    <w:rsid w:val="00E720CA"/>
    <w:rsid w:val="00E7218A"/>
    <w:rsid w:val="00E80F07"/>
    <w:rsid w:val="00E82931"/>
    <w:rsid w:val="00E8320E"/>
    <w:rsid w:val="00E83CDC"/>
    <w:rsid w:val="00E84EB5"/>
    <w:rsid w:val="00E85662"/>
    <w:rsid w:val="00E85E1F"/>
    <w:rsid w:val="00E85EE2"/>
    <w:rsid w:val="00E8789F"/>
    <w:rsid w:val="00E92A9D"/>
    <w:rsid w:val="00E97586"/>
    <w:rsid w:val="00E97B71"/>
    <w:rsid w:val="00EA1D6A"/>
    <w:rsid w:val="00EA3D34"/>
    <w:rsid w:val="00EA6607"/>
    <w:rsid w:val="00EA67F1"/>
    <w:rsid w:val="00EB19B4"/>
    <w:rsid w:val="00EB3F9C"/>
    <w:rsid w:val="00EB454D"/>
    <w:rsid w:val="00EC1675"/>
    <w:rsid w:val="00EC50D5"/>
    <w:rsid w:val="00EC59B7"/>
    <w:rsid w:val="00EC6F5B"/>
    <w:rsid w:val="00ED2CC9"/>
    <w:rsid w:val="00ED6A04"/>
    <w:rsid w:val="00ED76BE"/>
    <w:rsid w:val="00EE013C"/>
    <w:rsid w:val="00EE072F"/>
    <w:rsid w:val="00EE61DC"/>
    <w:rsid w:val="00EF0B8F"/>
    <w:rsid w:val="00EF26A9"/>
    <w:rsid w:val="00EF50C5"/>
    <w:rsid w:val="00EF5B40"/>
    <w:rsid w:val="00EF5DA1"/>
    <w:rsid w:val="00EF619B"/>
    <w:rsid w:val="00F00B55"/>
    <w:rsid w:val="00F015EE"/>
    <w:rsid w:val="00F02488"/>
    <w:rsid w:val="00F024C5"/>
    <w:rsid w:val="00F02AD1"/>
    <w:rsid w:val="00F054D4"/>
    <w:rsid w:val="00F11C31"/>
    <w:rsid w:val="00F253CC"/>
    <w:rsid w:val="00F37106"/>
    <w:rsid w:val="00F422AA"/>
    <w:rsid w:val="00F425FF"/>
    <w:rsid w:val="00F47082"/>
    <w:rsid w:val="00F5056A"/>
    <w:rsid w:val="00F519CF"/>
    <w:rsid w:val="00F52371"/>
    <w:rsid w:val="00F54002"/>
    <w:rsid w:val="00F54217"/>
    <w:rsid w:val="00F54C86"/>
    <w:rsid w:val="00F55455"/>
    <w:rsid w:val="00F56BA5"/>
    <w:rsid w:val="00F60E22"/>
    <w:rsid w:val="00F6799C"/>
    <w:rsid w:val="00F67B0A"/>
    <w:rsid w:val="00F74B0F"/>
    <w:rsid w:val="00F805BC"/>
    <w:rsid w:val="00F81100"/>
    <w:rsid w:val="00F81F58"/>
    <w:rsid w:val="00F8681A"/>
    <w:rsid w:val="00F86B60"/>
    <w:rsid w:val="00F917D1"/>
    <w:rsid w:val="00F91F7B"/>
    <w:rsid w:val="00F9209B"/>
    <w:rsid w:val="00F93E85"/>
    <w:rsid w:val="00F9653B"/>
    <w:rsid w:val="00F9770F"/>
    <w:rsid w:val="00FA0094"/>
    <w:rsid w:val="00FB085F"/>
    <w:rsid w:val="00FB1085"/>
    <w:rsid w:val="00FB47B9"/>
    <w:rsid w:val="00FB5586"/>
    <w:rsid w:val="00FB62CF"/>
    <w:rsid w:val="00FB6D60"/>
    <w:rsid w:val="00FC7C37"/>
    <w:rsid w:val="00FD1DD8"/>
    <w:rsid w:val="00FD3C3B"/>
    <w:rsid w:val="00FE2CB3"/>
    <w:rsid w:val="00FE3FEB"/>
    <w:rsid w:val="00FE6B45"/>
    <w:rsid w:val="00FE701C"/>
    <w:rsid w:val="00FE7CAD"/>
    <w:rsid w:val="00FF1B2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63EA6"/>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E38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Cambria" w:eastAsia="Times New Roman" w:hAnsi="Cambria"/>
      <w:b/>
      <w:bCs/>
      <w:color w:val="4F81BD"/>
      <w:sz w:val="22"/>
      <w:szCs w:val="22"/>
      <w:bdr w:val="none" w:sz="0" w:space="0" w:color="auto"/>
    </w:rPr>
  </w:style>
  <w:style w:type="paragraph" w:styleId="Heading4">
    <w:name w:val="heading 4"/>
    <w:basedOn w:val="Normal"/>
    <w:next w:val="Normal"/>
    <w:link w:val="Heading4Char"/>
    <w:uiPriority w:val="9"/>
    <w:semiHidden/>
    <w:unhideWhenUsed/>
    <w:qFormat/>
    <w:rsid w:val="0082062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4Char">
    <w:name w:val="Heading 4 Char"/>
    <w:link w:val="Heading4"/>
    <w:uiPriority w:val="9"/>
    <w:semiHidden/>
    <w:rsid w:val="0082062D"/>
    <w:rPr>
      <w:rFonts w:ascii="Cambria" w:eastAsia="Times New Roman" w:hAnsi="Cambria" w:cs="Times New Roman"/>
      <w:b/>
      <w:bCs/>
      <w:i/>
      <w:iCs/>
      <w:color w:val="4F81BD"/>
      <w:sz w:val="24"/>
      <w:szCs w:val="24"/>
      <w:lang w:val="en-US" w:eastAsia="en-US"/>
    </w:rPr>
  </w:style>
  <w:style w:type="character" w:customStyle="1" w:styleId="Heading2Char">
    <w:name w:val="Heading 2 Char"/>
    <w:link w:val="Heading2"/>
    <w:uiPriority w:val="9"/>
    <w:rsid w:val="00A63EA6"/>
    <w:rPr>
      <w:rFonts w:ascii="Cambria" w:eastAsia="Times New Roman" w:hAnsi="Cambria" w:cs="Times New Roman"/>
      <w:b/>
      <w:bCs/>
      <w:color w:val="4F81BD"/>
      <w:sz w:val="26"/>
      <w:szCs w:val="26"/>
      <w:lang w:val="en-US" w:eastAsia="en-US"/>
    </w:rPr>
  </w:style>
  <w:style w:type="paragraph" w:styleId="PlainText">
    <w:name w:val="Plain Text"/>
    <w:basedOn w:val="Normal"/>
    <w:link w:val="PlainTextChar"/>
    <w:rsid w:val="00A63E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customStyle="1" w:styleId="PlainTextChar">
    <w:name w:val="Plain Text Char"/>
    <w:link w:val="PlainText"/>
    <w:rsid w:val="00A63EA6"/>
    <w:rPr>
      <w:rFonts w:eastAsia="MS Mincho"/>
      <w:sz w:val="24"/>
      <w:szCs w:val="24"/>
      <w:bdr w:val="none" w:sz="0" w:space="0" w:color="auto"/>
      <w:lang w:val="en-US" w:eastAsia="en-US"/>
    </w:rPr>
  </w:style>
  <w:style w:type="character" w:styleId="CommentReference">
    <w:name w:val="annotation reference"/>
    <w:uiPriority w:val="99"/>
    <w:semiHidden/>
    <w:unhideWhenUsed/>
    <w:rsid w:val="00D53220"/>
    <w:rPr>
      <w:sz w:val="16"/>
      <w:szCs w:val="16"/>
    </w:rPr>
  </w:style>
  <w:style w:type="paragraph" w:styleId="CommentText">
    <w:name w:val="annotation text"/>
    <w:basedOn w:val="Normal"/>
    <w:link w:val="CommentTextChar"/>
    <w:uiPriority w:val="99"/>
    <w:semiHidden/>
    <w:unhideWhenUsed/>
    <w:rsid w:val="00D53220"/>
    <w:rPr>
      <w:sz w:val="20"/>
      <w:szCs w:val="20"/>
    </w:rPr>
  </w:style>
  <w:style w:type="character" w:customStyle="1" w:styleId="CommentTextChar">
    <w:name w:val="Comment Text Char"/>
    <w:link w:val="CommentText"/>
    <w:uiPriority w:val="99"/>
    <w:semiHidden/>
    <w:rsid w:val="00D53220"/>
    <w:rPr>
      <w:bdr w:val="nil"/>
    </w:rPr>
  </w:style>
  <w:style w:type="paragraph" w:styleId="CommentSubject">
    <w:name w:val="annotation subject"/>
    <w:basedOn w:val="CommentText"/>
    <w:next w:val="CommentText"/>
    <w:link w:val="CommentSubjectChar"/>
    <w:uiPriority w:val="99"/>
    <w:semiHidden/>
    <w:unhideWhenUsed/>
    <w:rsid w:val="00D53220"/>
    <w:rPr>
      <w:b/>
      <w:bCs/>
    </w:rPr>
  </w:style>
  <w:style w:type="character" w:customStyle="1" w:styleId="CommentSubjectChar">
    <w:name w:val="Comment Subject Char"/>
    <w:link w:val="CommentSubject"/>
    <w:uiPriority w:val="99"/>
    <w:semiHidden/>
    <w:rsid w:val="00D53220"/>
    <w:rPr>
      <w:b/>
      <w:bCs/>
      <w:bdr w:val="nil"/>
    </w:rPr>
  </w:style>
  <w:style w:type="paragraph" w:customStyle="1" w:styleId="Style1">
    <w:name w:val="Style1"/>
    <w:basedOn w:val="Heading1"/>
    <w:link w:val="Style1Char"/>
    <w:qFormat/>
    <w:rsid w:val="00F54002"/>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pPr>
    <w:rPr>
      <w:rFonts w:eastAsia="MS Mincho"/>
      <w:bCs w:val="0"/>
      <w:color w:val="auto"/>
      <w:sz w:val="20"/>
      <w:szCs w:val="20"/>
      <w:bdr w:val="none" w:sz="0" w:space="0" w:color="auto"/>
      <w:lang w:val="es-ES"/>
    </w:rPr>
  </w:style>
  <w:style w:type="character" w:customStyle="1" w:styleId="Style1Char">
    <w:name w:val="Style1 Char"/>
    <w:link w:val="Style1"/>
    <w:rsid w:val="00F54002"/>
    <w:rPr>
      <w:rFonts w:ascii="Cambria" w:eastAsia="MS Mincho" w:hAnsi="Cambria"/>
      <w:b/>
      <w:lang w:val="es-ES"/>
    </w:rPr>
  </w:style>
  <w:style w:type="character" w:customStyle="1" w:styleId="Heading3Char">
    <w:name w:val="Heading 3 Char"/>
    <w:link w:val="Heading3"/>
    <w:uiPriority w:val="9"/>
    <w:rsid w:val="00AE3821"/>
    <w:rPr>
      <w:rFonts w:ascii="Cambria" w:eastAsia="Times New Roman" w:hAnsi="Cambria"/>
      <w:b/>
      <w:bCs/>
      <w:color w:val="4F81BD"/>
      <w:sz w:val="22"/>
      <w:szCs w:val="22"/>
    </w:rPr>
  </w:style>
  <w:style w:type="character" w:customStyle="1" w:styleId="Heading2CharChar">
    <w:name w:val="Heading 2 Char Char"/>
    <w:rsid w:val="00AE3821"/>
    <w:rPr>
      <w:rFonts w:ascii="Univers" w:hAnsi="Univers"/>
      <w:b/>
      <w:bCs/>
      <w:sz w:val="22"/>
      <w:szCs w:val="22"/>
      <w:lang w:val="en-US" w:eastAsia="en-US" w:bidi="ar-SA"/>
    </w:rPr>
  </w:style>
  <w:style w:type="character" w:customStyle="1" w:styleId="st1">
    <w:name w:val="st1"/>
    <w:rsid w:val="00161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63EA6"/>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E38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Cambria" w:eastAsia="Times New Roman" w:hAnsi="Cambria"/>
      <w:b/>
      <w:bCs/>
      <w:color w:val="4F81BD"/>
      <w:sz w:val="22"/>
      <w:szCs w:val="22"/>
      <w:bdr w:val="none" w:sz="0" w:space="0" w:color="auto"/>
    </w:rPr>
  </w:style>
  <w:style w:type="paragraph" w:styleId="Heading4">
    <w:name w:val="heading 4"/>
    <w:basedOn w:val="Normal"/>
    <w:next w:val="Normal"/>
    <w:link w:val="Heading4Char"/>
    <w:uiPriority w:val="9"/>
    <w:semiHidden/>
    <w:unhideWhenUsed/>
    <w:qFormat/>
    <w:rsid w:val="0082062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4Char">
    <w:name w:val="Heading 4 Char"/>
    <w:link w:val="Heading4"/>
    <w:uiPriority w:val="9"/>
    <w:semiHidden/>
    <w:rsid w:val="0082062D"/>
    <w:rPr>
      <w:rFonts w:ascii="Cambria" w:eastAsia="Times New Roman" w:hAnsi="Cambria" w:cs="Times New Roman"/>
      <w:b/>
      <w:bCs/>
      <w:i/>
      <w:iCs/>
      <w:color w:val="4F81BD"/>
      <w:sz w:val="24"/>
      <w:szCs w:val="24"/>
      <w:lang w:val="en-US" w:eastAsia="en-US"/>
    </w:rPr>
  </w:style>
  <w:style w:type="character" w:customStyle="1" w:styleId="Heading2Char">
    <w:name w:val="Heading 2 Char"/>
    <w:link w:val="Heading2"/>
    <w:uiPriority w:val="9"/>
    <w:rsid w:val="00A63EA6"/>
    <w:rPr>
      <w:rFonts w:ascii="Cambria" w:eastAsia="Times New Roman" w:hAnsi="Cambria" w:cs="Times New Roman"/>
      <w:b/>
      <w:bCs/>
      <w:color w:val="4F81BD"/>
      <w:sz w:val="26"/>
      <w:szCs w:val="26"/>
      <w:lang w:val="en-US" w:eastAsia="en-US"/>
    </w:rPr>
  </w:style>
  <w:style w:type="paragraph" w:styleId="PlainText">
    <w:name w:val="Plain Text"/>
    <w:basedOn w:val="Normal"/>
    <w:link w:val="PlainTextChar"/>
    <w:rsid w:val="00A63E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customStyle="1" w:styleId="PlainTextChar">
    <w:name w:val="Plain Text Char"/>
    <w:link w:val="PlainText"/>
    <w:rsid w:val="00A63EA6"/>
    <w:rPr>
      <w:rFonts w:eastAsia="MS Mincho"/>
      <w:sz w:val="24"/>
      <w:szCs w:val="24"/>
      <w:bdr w:val="none" w:sz="0" w:space="0" w:color="auto"/>
      <w:lang w:val="en-US" w:eastAsia="en-US"/>
    </w:rPr>
  </w:style>
  <w:style w:type="character" w:styleId="CommentReference">
    <w:name w:val="annotation reference"/>
    <w:uiPriority w:val="99"/>
    <w:semiHidden/>
    <w:unhideWhenUsed/>
    <w:rsid w:val="00D53220"/>
    <w:rPr>
      <w:sz w:val="16"/>
      <w:szCs w:val="16"/>
    </w:rPr>
  </w:style>
  <w:style w:type="paragraph" w:styleId="CommentText">
    <w:name w:val="annotation text"/>
    <w:basedOn w:val="Normal"/>
    <w:link w:val="CommentTextChar"/>
    <w:uiPriority w:val="99"/>
    <w:semiHidden/>
    <w:unhideWhenUsed/>
    <w:rsid w:val="00D53220"/>
    <w:rPr>
      <w:sz w:val="20"/>
      <w:szCs w:val="20"/>
    </w:rPr>
  </w:style>
  <w:style w:type="character" w:customStyle="1" w:styleId="CommentTextChar">
    <w:name w:val="Comment Text Char"/>
    <w:link w:val="CommentText"/>
    <w:uiPriority w:val="99"/>
    <w:semiHidden/>
    <w:rsid w:val="00D53220"/>
    <w:rPr>
      <w:bdr w:val="nil"/>
    </w:rPr>
  </w:style>
  <w:style w:type="paragraph" w:styleId="CommentSubject">
    <w:name w:val="annotation subject"/>
    <w:basedOn w:val="CommentText"/>
    <w:next w:val="CommentText"/>
    <w:link w:val="CommentSubjectChar"/>
    <w:uiPriority w:val="99"/>
    <w:semiHidden/>
    <w:unhideWhenUsed/>
    <w:rsid w:val="00D53220"/>
    <w:rPr>
      <w:b/>
      <w:bCs/>
    </w:rPr>
  </w:style>
  <w:style w:type="character" w:customStyle="1" w:styleId="CommentSubjectChar">
    <w:name w:val="Comment Subject Char"/>
    <w:link w:val="CommentSubject"/>
    <w:uiPriority w:val="99"/>
    <w:semiHidden/>
    <w:rsid w:val="00D53220"/>
    <w:rPr>
      <w:b/>
      <w:bCs/>
      <w:bdr w:val="nil"/>
    </w:rPr>
  </w:style>
  <w:style w:type="paragraph" w:customStyle="1" w:styleId="Style1">
    <w:name w:val="Style1"/>
    <w:basedOn w:val="Heading1"/>
    <w:link w:val="Style1Char"/>
    <w:qFormat/>
    <w:rsid w:val="00F54002"/>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pPr>
    <w:rPr>
      <w:rFonts w:eastAsia="MS Mincho"/>
      <w:bCs w:val="0"/>
      <w:color w:val="auto"/>
      <w:sz w:val="20"/>
      <w:szCs w:val="20"/>
      <w:bdr w:val="none" w:sz="0" w:space="0" w:color="auto"/>
      <w:lang w:val="es-ES"/>
    </w:rPr>
  </w:style>
  <w:style w:type="character" w:customStyle="1" w:styleId="Style1Char">
    <w:name w:val="Style1 Char"/>
    <w:link w:val="Style1"/>
    <w:rsid w:val="00F54002"/>
    <w:rPr>
      <w:rFonts w:ascii="Cambria" w:eastAsia="MS Mincho" w:hAnsi="Cambria"/>
      <w:b/>
      <w:lang w:val="es-ES"/>
    </w:rPr>
  </w:style>
  <w:style w:type="character" w:customStyle="1" w:styleId="Heading3Char">
    <w:name w:val="Heading 3 Char"/>
    <w:link w:val="Heading3"/>
    <w:uiPriority w:val="9"/>
    <w:rsid w:val="00AE3821"/>
    <w:rPr>
      <w:rFonts w:ascii="Cambria" w:eastAsia="Times New Roman" w:hAnsi="Cambria"/>
      <w:b/>
      <w:bCs/>
      <w:color w:val="4F81BD"/>
      <w:sz w:val="22"/>
      <w:szCs w:val="22"/>
    </w:rPr>
  </w:style>
  <w:style w:type="character" w:customStyle="1" w:styleId="Heading2CharChar">
    <w:name w:val="Heading 2 Char Char"/>
    <w:rsid w:val="00AE3821"/>
    <w:rPr>
      <w:rFonts w:ascii="Univers" w:hAnsi="Univers"/>
      <w:b/>
      <w:bCs/>
      <w:sz w:val="22"/>
      <w:szCs w:val="22"/>
      <w:lang w:val="en-US" w:eastAsia="en-US" w:bidi="ar-SA"/>
    </w:rPr>
  </w:style>
  <w:style w:type="character" w:customStyle="1" w:styleId="st1">
    <w:name w:val="st1"/>
    <w:rsid w:val="0016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32">
      <w:bodyDiv w:val="1"/>
      <w:marLeft w:val="0"/>
      <w:marRight w:val="0"/>
      <w:marTop w:val="0"/>
      <w:marBottom w:val="0"/>
      <w:divBdr>
        <w:top w:val="none" w:sz="0" w:space="0" w:color="auto"/>
        <w:left w:val="none" w:sz="0" w:space="0" w:color="auto"/>
        <w:bottom w:val="none" w:sz="0" w:space="0" w:color="auto"/>
        <w:right w:val="none" w:sz="0" w:space="0" w:color="auto"/>
      </w:divBdr>
    </w:div>
    <w:div w:id="597561300">
      <w:bodyDiv w:val="1"/>
      <w:marLeft w:val="0"/>
      <w:marRight w:val="0"/>
      <w:marTop w:val="0"/>
      <w:marBottom w:val="0"/>
      <w:divBdr>
        <w:top w:val="none" w:sz="0" w:space="0" w:color="auto"/>
        <w:left w:val="none" w:sz="0" w:space="0" w:color="auto"/>
        <w:bottom w:val="none" w:sz="0" w:space="0" w:color="auto"/>
        <w:right w:val="none" w:sz="0" w:space="0" w:color="auto"/>
      </w:divBdr>
    </w:div>
    <w:div w:id="613707139">
      <w:bodyDiv w:val="1"/>
      <w:marLeft w:val="0"/>
      <w:marRight w:val="0"/>
      <w:marTop w:val="0"/>
      <w:marBottom w:val="0"/>
      <w:divBdr>
        <w:top w:val="none" w:sz="0" w:space="0" w:color="auto"/>
        <w:left w:val="none" w:sz="0" w:space="0" w:color="auto"/>
        <w:bottom w:val="none" w:sz="0" w:space="0" w:color="auto"/>
        <w:right w:val="none" w:sz="0" w:space="0" w:color="auto"/>
      </w:divBdr>
    </w:div>
    <w:div w:id="1013607353">
      <w:bodyDiv w:val="1"/>
      <w:marLeft w:val="0"/>
      <w:marRight w:val="0"/>
      <w:marTop w:val="0"/>
      <w:marBottom w:val="0"/>
      <w:divBdr>
        <w:top w:val="none" w:sz="0" w:space="0" w:color="auto"/>
        <w:left w:val="none" w:sz="0" w:space="0" w:color="auto"/>
        <w:bottom w:val="none" w:sz="0" w:space="0" w:color="auto"/>
        <w:right w:val="none" w:sz="0" w:space="0" w:color="auto"/>
      </w:divBdr>
    </w:div>
    <w:div w:id="1038354080">
      <w:bodyDiv w:val="1"/>
      <w:marLeft w:val="0"/>
      <w:marRight w:val="0"/>
      <w:marTop w:val="0"/>
      <w:marBottom w:val="0"/>
      <w:divBdr>
        <w:top w:val="none" w:sz="0" w:space="0" w:color="auto"/>
        <w:left w:val="none" w:sz="0" w:space="0" w:color="auto"/>
        <w:bottom w:val="none" w:sz="0" w:space="0" w:color="auto"/>
        <w:right w:val="none" w:sz="0" w:space="0" w:color="auto"/>
      </w:divBdr>
    </w:div>
    <w:div w:id="1184127792">
      <w:bodyDiv w:val="1"/>
      <w:marLeft w:val="0"/>
      <w:marRight w:val="0"/>
      <w:marTop w:val="0"/>
      <w:marBottom w:val="0"/>
      <w:divBdr>
        <w:top w:val="none" w:sz="0" w:space="0" w:color="auto"/>
        <w:left w:val="none" w:sz="0" w:space="0" w:color="auto"/>
        <w:bottom w:val="none" w:sz="0" w:space="0" w:color="auto"/>
        <w:right w:val="none" w:sz="0" w:space="0" w:color="auto"/>
      </w:divBdr>
    </w:div>
    <w:div w:id="1297757989">
      <w:bodyDiv w:val="1"/>
      <w:marLeft w:val="0"/>
      <w:marRight w:val="0"/>
      <w:marTop w:val="0"/>
      <w:marBottom w:val="0"/>
      <w:divBdr>
        <w:top w:val="none" w:sz="0" w:space="0" w:color="auto"/>
        <w:left w:val="none" w:sz="0" w:space="0" w:color="auto"/>
        <w:bottom w:val="none" w:sz="0" w:space="0" w:color="auto"/>
        <w:right w:val="none" w:sz="0" w:space="0" w:color="auto"/>
      </w:divBdr>
    </w:div>
    <w:div w:id="1299797199">
      <w:bodyDiv w:val="1"/>
      <w:marLeft w:val="0"/>
      <w:marRight w:val="0"/>
      <w:marTop w:val="0"/>
      <w:marBottom w:val="0"/>
      <w:divBdr>
        <w:top w:val="none" w:sz="0" w:space="0" w:color="auto"/>
        <w:left w:val="none" w:sz="0" w:space="0" w:color="auto"/>
        <w:bottom w:val="none" w:sz="0" w:space="0" w:color="auto"/>
        <w:right w:val="none" w:sz="0" w:space="0" w:color="auto"/>
      </w:divBdr>
    </w:div>
    <w:div w:id="16553788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6BD8-59CE-40BB-8B62-FABBCA37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4858</Words>
  <Characters>27693</Characters>
  <Application>Microsoft Office Word</Application>
  <DocSecurity>0</DocSecurity>
  <Lines>230</Lines>
  <Paragraphs>64</Paragraphs>
  <ScaleCrop>false</ScaleCrop>
  <Company/>
  <LinksUpToDate>false</LinksUpToDate>
  <CharactersWithSpaces>32487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17/15</dc:title>
  <dc:creator/>
  <cp:lastModifiedBy/>
  <cp:revision>1</cp:revision>
  <dcterms:created xsi:type="dcterms:W3CDTF">2015-04-30T15:17:00Z</dcterms:created>
  <dcterms:modified xsi:type="dcterms:W3CDTF">2015-04-30T15:17:00Z</dcterms:modified>
</cp:coreProperties>
</file>