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069E4">
                              <w:rPr>
                                <w:rFonts w:asciiTheme="majorHAnsi" w:hAnsiTheme="majorHAnsi" w:cs="Arial"/>
                                <w:b/>
                                <w:bCs/>
                                <w:color w:val="0D0D0D" w:themeColor="text1" w:themeTint="F2"/>
                                <w:sz w:val="36"/>
                                <w:szCs w:val="22"/>
                                <w:lang w:val="es-ES_tradnl"/>
                              </w:rPr>
                              <w:t xml:space="preserve"> 57</w:t>
                            </w:r>
                            <w:r w:rsidR="003C54F2">
                              <w:rPr>
                                <w:rFonts w:asciiTheme="majorHAnsi" w:hAnsiTheme="majorHAnsi" w:cs="Arial"/>
                                <w:b/>
                                <w:bCs/>
                                <w:color w:val="0D0D0D" w:themeColor="text1" w:themeTint="F2"/>
                                <w:sz w:val="36"/>
                                <w:szCs w:val="22"/>
                                <w:lang w:val="es-ES_tradnl"/>
                              </w:rPr>
                              <w:t>/15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D7A26">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w:t>
                            </w:r>
                            <w:r w:rsidR="009D7A26">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9D7A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VERÓNICA J. PALACIOS V.</w:t>
                            </w:r>
                          </w:p>
                          <w:bookmarkEnd w:id="1"/>
                          <w:p w:rsidR="005B52B0" w:rsidRPr="0010736F" w:rsidRDefault="009D7A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069E4">
                        <w:rPr>
                          <w:rFonts w:asciiTheme="majorHAnsi" w:hAnsiTheme="majorHAnsi" w:cs="Arial"/>
                          <w:b/>
                          <w:bCs/>
                          <w:color w:val="0D0D0D" w:themeColor="text1" w:themeTint="F2"/>
                          <w:sz w:val="36"/>
                          <w:szCs w:val="22"/>
                          <w:lang w:val="es-ES_tradnl"/>
                        </w:rPr>
                        <w:t xml:space="preserve"> 57</w:t>
                      </w:r>
                      <w:r w:rsidR="003C54F2">
                        <w:rPr>
                          <w:rFonts w:asciiTheme="majorHAnsi" w:hAnsiTheme="majorHAnsi" w:cs="Arial"/>
                          <w:b/>
                          <w:bCs/>
                          <w:color w:val="0D0D0D" w:themeColor="text1" w:themeTint="F2"/>
                          <w:sz w:val="36"/>
                          <w:szCs w:val="22"/>
                          <w:lang w:val="es-ES_tradnl"/>
                        </w:rPr>
                        <w:t>/15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D7A26">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w:t>
                      </w:r>
                      <w:r w:rsidR="009D7A26">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9D7A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VERÓNICA J. PALACIOS V.</w:t>
                      </w:r>
                    </w:p>
                    <w:bookmarkEnd w:id="1"/>
                    <w:p w:rsidR="005B52B0" w:rsidRPr="0010736F" w:rsidRDefault="009D7A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FF19D3" w:rsidRDefault="00627C9F" w:rsidP="007A5817">
                            <w:pPr>
                              <w:spacing w:line="276" w:lineRule="auto"/>
                              <w:jc w:val="right"/>
                              <w:rPr>
                                <w:rFonts w:asciiTheme="minorHAnsi" w:hAnsiTheme="minorHAnsi"/>
                                <w:color w:val="FFFFFF" w:themeColor="background1"/>
                                <w:sz w:val="22"/>
                                <w:lang w:val="pt-BR"/>
                              </w:rPr>
                            </w:pPr>
                            <w:r w:rsidRPr="00FF19D3">
                              <w:rPr>
                                <w:rFonts w:asciiTheme="minorHAnsi" w:hAnsiTheme="minorHAnsi"/>
                                <w:color w:val="FFFFFF" w:themeColor="background1"/>
                                <w:sz w:val="22"/>
                                <w:lang w:val="pt-BR"/>
                              </w:rPr>
                              <w:t>OEA/Ser.L/V/II.15</w:t>
                            </w:r>
                            <w:r w:rsidR="000069E4">
                              <w:rPr>
                                <w:rFonts w:asciiTheme="minorHAnsi" w:hAnsiTheme="minorHAnsi"/>
                                <w:color w:val="FFFFFF" w:themeColor="background1"/>
                                <w:sz w:val="22"/>
                                <w:lang w:val="pt-BR"/>
                              </w:rPr>
                              <w:t>6</w:t>
                            </w:r>
                          </w:p>
                          <w:p w:rsidR="00627C9F" w:rsidRPr="00FF19D3" w:rsidRDefault="000069E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w:t>
                            </w:r>
                          </w:p>
                          <w:p w:rsidR="00627C9F" w:rsidRPr="00FF19D3" w:rsidRDefault="000069E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 octubre 2015</w:t>
                            </w:r>
                          </w:p>
                          <w:p w:rsidR="00627C9F" w:rsidRPr="004E2649" w:rsidRDefault="00E0340B" w:rsidP="007A5817">
                            <w:pPr>
                              <w:spacing w:line="276" w:lineRule="auto"/>
                              <w:jc w:val="right"/>
                              <w:rPr>
                                <w:rFonts w:asciiTheme="minorHAnsi" w:hAnsiTheme="minorHAnsi"/>
                                <w:color w:val="FFFFFF" w:themeColor="background1"/>
                                <w:sz w:val="22"/>
                              </w:rPr>
                            </w:pPr>
                            <w:r w:rsidRPr="00FF19D3">
                              <w:rPr>
                                <w:rFonts w:asciiTheme="minorHAnsi" w:hAnsiTheme="minorHAnsi"/>
                                <w:color w:val="FFFFFF" w:themeColor="background1"/>
                                <w:sz w:val="22"/>
                              </w:rPr>
                              <w:t xml:space="preserve">Original: </w:t>
                            </w:r>
                            <w:r w:rsidR="008B12F5" w:rsidRPr="00FF19D3">
                              <w:rPr>
                                <w:rFonts w:asciiTheme="minorHAnsi" w:hAnsiTheme="minorHAnsi"/>
                                <w:color w:val="FFFFFF" w:themeColor="background1"/>
                                <w:sz w:val="22"/>
                              </w:rPr>
                              <w:t>e</w:t>
                            </w:r>
                            <w:r w:rsidR="00627C9F" w:rsidRPr="00FF19D3">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FF19D3" w:rsidRDefault="00627C9F" w:rsidP="007A5817">
                      <w:pPr>
                        <w:spacing w:line="276" w:lineRule="auto"/>
                        <w:jc w:val="right"/>
                        <w:rPr>
                          <w:rFonts w:asciiTheme="minorHAnsi" w:hAnsiTheme="minorHAnsi"/>
                          <w:color w:val="FFFFFF" w:themeColor="background1"/>
                          <w:sz w:val="22"/>
                          <w:lang w:val="pt-BR"/>
                        </w:rPr>
                      </w:pPr>
                      <w:r w:rsidRPr="00FF19D3">
                        <w:rPr>
                          <w:rFonts w:asciiTheme="minorHAnsi" w:hAnsiTheme="minorHAnsi"/>
                          <w:color w:val="FFFFFF" w:themeColor="background1"/>
                          <w:sz w:val="22"/>
                          <w:lang w:val="pt-BR"/>
                        </w:rPr>
                        <w:t>OEA/Ser.L/V/II.15</w:t>
                      </w:r>
                      <w:r w:rsidR="000069E4">
                        <w:rPr>
                          <w:rFonts w:asciiTheme="minorHAnsi" w:hAnsiTheme="minorHAnsi"/>
                          <w:color w:val="FFFFFF" w:themeColor="background1"/>
                          <w:sz w:val="22"/>
                          <w:lang w:val="pt-BR"/>
                        </w:rPr>
                        <w:t>6</w:t>
                      </w:r>
                    </w:p>
                    <w:p w:rsidR="00627C9F" w:rsidRPr="00FF19D3" w:rsidRDefault="000069E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w:t>
                      </w:r>
                    </w:p>
                    <w:p w:rsidR="00627C9F" w:rsidRPr="00FF19D3" w:rsidRDefault="000069E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17 </w:t>
                      </w:r>
                      <w:proofErr w:type="spellStart"/>
                      <w:r>
                        <w:rPr>
                          <w:rFonts w:asciiTheme="minorHAnsi" w:hAnsiTheme="minorHAnsi"/>
                          <w:color w:val="FFFFFF" w:themeColor="background1"/>
                          <w:sz w:val="22"/>
                        </w:rPr>
                        <w:t>octubre</w:t>
                      </w:r>
                      <w:proofErr w:type="spellEnd"/>
                      <w:r>
                        <w:rPr>
                          <w:rFonts w:asciiTheme="minorHAnsi" w:hAnsiTheme="minorHAnsi"/>
                          <w:color w:val="FFFFFF" w:themeColor="background1"/>
                          <w:sz w:val="22"/>
                        </w:rPr>
                        <w:t xml:space="preserve"> 2015</w:t>
                      </w:r>
                    </w:p>
                    <w:p w:rsidR="00627C9F" w:rsidRPr="004E2649" w:rsidRDefault="00E0340B" w:rsidP="007A5817">
                      <w:pPr>
                        <w:spacing w:line="276" w:lineRule="auto"/>
                        <w:jc w:val="right"/>
                        <w:rPr>
                          <w:rFonts w:asciiTheme="minorHAnsi" w:hAnsiTheme="minorHAnsi"/>
                          <w:color w:val="FFFFFF" w:themeColor="background1"/>
                          <w:sz w:val="22"/>
                        </w:rPr>
                      </w:pPr>
                      <w:r w:rsidRPr="00FF19D3">
                        <w:rPr>
                          <w:rFonts w:asciiTheme="minorHAnsi" w:hAnsiTheme="minorHAnsi"/>
                          <w:color w:val="FFFFFF" w:themeColor="background1"/>
                          <w:sz w:val="22"/>
                        </w:rPr>
                        <w:t xml:space="preserve">Original: </w:t>
                      </w:r>
                      <w:proofErr w:type="spellStart"/>
                      <w:r w:rsidR="008B12F5" w:rsidRPr="00FF19D3">
                        <w:rPr>
                          <w:rFonts w:asciiTheme="minorHAnsi" w:hAnsiTheme="minorHAnsi"/>
                          <w:color w:val="FFFFFF" w:themeColor="background1"/>
                          <w:sz w:val="22"/>
                        </w:rPr>
                        <w:t>e</w:t>
                      </w:r>
                      <w:r w:rsidR="00627C9F" w:rsidRPr="00FF19D3">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0069E4">
                              <w:rPr>
                                <w:rFonts w:asciiTheme="majorHAnsi" w:hAnsiTheme="majorHAnsi"/>
                                <w:color w:val="0D0D0D" w:themeColor="text1" w:themeTint="F2"/>
                                <w:sz w:val="18"/>
                                <w:szCs w:val="20"/>
                                <w:lang w:val="es-ES"/>
                              </w:rPr>
                              <w:t xml:space="preserve"> 2046</w:t>
                            </w:r>
                            <w:r w:rsidR="005F0DAD" w:rsidRPr="00890650">
                              <w:rPr>
                                <w:rFonts w:asciiTheme="majorHAnsi" w:hAnsiTheme="majorHAnsi"/>
                                <w:color w:val="0D0D0D" w:themeColor="text1" w:themeTint="F2"/>
                                <w:sz w:val="18"/>
                                <w:szCs w:val="20"/>
                                <w:lang w:val="es-ES"/>
                              </w:rPr>
                              <w:t xml:space="preserve"> c</w:t>
                            </w:r>
                            <w:r w:rsidR="000069E4">
                              <w:rPr>
                                <w:rFonts w:asciiTheme="majorHAnsi" w:hAnsiTheme="majorHAnsi"/>
                                <w:color w:val="0D0D0D" w:themeColor="text1" w:themeTint="F2"/>
                                <w:sz w:val="18"/>
                                <w:szCs w:val="20"/>
                                <w:lang w:val="es-ES"/>
                              </w:rPr>
                              <w:t>elebrada el 17</w:t>
                            </w:r>
                            <w:r w:rsidRPr="00890650">
                              <w:rPr>
                                <w:rFonts w:asciiTheme="majorHAnsi" w:hAnsiTheme="majorHAnsi"/>
                                <w:color w:val="0D0D0D" w:themeColor="text1" w:themeTint="F2"/>
                                <w:sz w:val="18"/>
                                <w:szCs w:val="20"/>
                                <w:lang w:val="es-ES"/>
                              </w:rPr>
                              <w:t xml:space="preserve"> de </w:t>
                            </w:r>
                            <w:r w:rsidR="000069E4">
                              <w:rPr>
                                <w:rFonts w:asciiTheme="majorHAnsi" w:hAnsiTheme="majorHAnsi"/>
                                <w:color w:val="0D0D0D" w:themeColor="text1" w:themeTint="F2"/>
                                <w:sz w:val="18"/>
                                <w:szCs w:val="20"/>
                                <w:lang w:val="es-ES"/>
                              </w:rPr>
                              <w:t>octubre de 2015</w:t>
                            </w:r>
                            <w:r w:rsidR="00E461CE" w:rsidRPr="00890650">
                              <w:rPr>
                                <w:rFonts w:asciiTheme="majorHAnsi" w:hAnsiTheme="majorHAnsi"/>
                                <w:color w:val="0D0D0D" w:themeColor="text1" w:themeTint="F2"/>
                                <w:sz w:val="18"/>
                                <w:szCs w:val="20"/>
                                <w:lang w:val="es-ES"/>
                              </w:rPr>
                              <w:br/>
                            </w:r>
                            <w:r w:rsidR="000069E4">
                              <w:rPr>
                                <w:rFonts w:asciiTheme="majorHAnsi" w:hAnsiTheme="majorHAnsi" w:cs="Univers"/>
                                <w:color w:val="0D0D0D" w:themeColor="text1" w:themeTint="F2"/>
                                <w:sz w:val="18"/>
                                <w:szCs w:val="20"/>
                                <w:lang w:val="es-ES_tradnl"/>
                              </w:rPr>
                              <w:t>156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1E7367">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0069E4">
                        <w:rPr>
                          <w:rFonts w:asciiTheme="majorHAnsi" w:hAnsiTheme="majorHAnsi"/>
                          <w:color w:val="0D0D0D" w:themeColor="text1" w:themeTint="F2"/>
                          <w:sz w:val="18"/>
                          <w:szCs w:val="20"/>
                          <w:lang w:val="es-ES"/>
                        </w:rPr>
                        <w:t xml:space="preserve"> 2046</w:t>
                      </w:r>
                      <w:r w:rsidR="005F0DAD" w:rsidRPr="00890650">
                        <w:rPr>
                          <w:rFonts w:asciiTheme="majorHAnsi" w:hAnsiTheme="majorHAnsi"/>
                          <w:color w:val="0D0D0D" w:themeColor="text1" w:themeTint="F2"/>
                          <w:sz w:val="18"/>
                          <w:szCs w:val="20"/>
                          <w:lang w:val="es-ES"/>
                        </w:rPr>
                        <w:t xml:space="preserve"> c</w:t>
                      </w:r>
                      <w:r w:rsidR="000069E4">
                        <w:rPr>
                          <w:rFonts w:asciiTheme="majorHAnsi" w:hAnsiTheme="majorHAnsi"/>
                          <w:color w:val="0D0D0D" w:themeColor="text1" w:themeTint="F2"/>
                          <w:sz w:val="18"/>
                          <w:szCs w:val="20"/>
                          <w:lang w:val="es-ES"/>
                        </w:rPr>
                        <w:t>elebrada el 17</w:t>
                      </w:r>
                      <w:r w:rsidRPr="00890650">
                        <w:rPr>
                          <w:rFonts w:asciiTheme="majorHAnsi" w:hAnsiTheme="majorHAnsi"/>
                          <w:color w:val="0D0D0D" w:themeColor="text1" w:themeTint="F2"/>
                          <w:sz w:val="18"/>
                          <w:szCs w:val="20"/>
                          <w:lang w:val="es-ES"/>
                        </w:rPr>
                        <w:t xml:space="preserve"> de </w:t>
                      </w:r>
                      <w:r w:rsidR="000069E4">
                        <w:rPr>
                          <w:rFonts w:asciiTheme="majorHAnsi" w:hAnsiTheme="majorHAnsi"/>
                          <w:color w:val="0D0D0D" w:themeColor="text1" w:themeTint="F2"/>
                          <w:sz w:val="18"/>
                          <w:szCs w:val="20"/>
                          <w:lang w:val="es-ES"/>
                        </w:rPr>
                        <w:t>octubre de 2015</w:t>
                      </w:r>
                      <w:r w:rsidR="00E461CE" w:rsidRPr="00890650">
                        <w:rPr>
                          <w:rFonts w:asciiTheme="majorHAnsi" w:hAnsiTheme="majorHAnsi"/>
                          <w:color w:val="0D0D0D" w:themeColor="text1" w:themeTint="F2"/>
                          <w:sz w:val="18"/>
                          <w:szCs w:val="20"/>
                          <w:lang w:val="es-ES"/>
                        </w:rPr>
                        <w:br/>
                      </w:r>
                      <w:r w:rsidR="000069E4">
                        <w:rPr>
                          <w:rFonts w:asciiTheme="majorHAnsi" w:hAnsiTheme="majorHAnsi" w:cs="Univers"/>
                          <w:color w:val="0D0D0D" w:themeColor="text1" w:themeTint="F2"/>
                          <w:sz w:val="18"/>
                          <w:szCs w:val="20"/>
                          <w:lang w:val="es-ES_tradnl"/>
                        </w:rPr>
                        <w:t>156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1E7367">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63685A" w:rsidRDefault="00113F73" w:rsidP="00113F73">
                            <w:pPr>
                              <w:spacing w:line="276" w:lineRule="auto"/>
                              <w:rPr>
                                <w:rFonts w:asciiTheme="majorHAnsi" w:hAnsiTheme="majorHAnsi"/>
                                <w:color w:val="595959" w:themeColor="text1" w:themeTint="A6"/>
                                <w:sz w:val="18"/>
                                <w:szCs w:val="18"/>
                                <w:lang w:val="es-ES"/>
                              </w:rPr>
                            </w:pPr>
                            <w:r w:rsidRPr="000069E4">
                              <w:rPr>
                                <w:rFonts w:asciiTheme="majorHAnsi" w:hAnsiTheme="majorHAnsi"/>
                                <w:b/>
                                <w:color w:val="595959" w:themeColor="text1" w:themeTint="A6"/>
                                <w:sz w:val="18"/>
                                <w:szCs w:val="18"/>
                                <w:lang w:val="es-ES"/>
                              </w:rPr>
                              <w:t>Citar como:</w:t>
                            </w:r>
                            <w:r w:rsidRPr="000069E4">
                              <w:rPr>
                                <w:rFonts w:asciiTheme="majorHAnsi" w:hAnsiTheme="majorHAnsi"/>
                                <w:color w:val="595959" w:themeColor="text1" w:themeTint="A6"/>
                                <w:sz w:val="18"/>
                                <w:szCs w:val="18"/>
                                <w:lang w:val="es-ES"/>
                              </w:rPr>
                              <w:t xml:space="preserve"> CIDH, Informe No. </w:t>
                            </w:r>
                            <w:r w:rsidR="000069E4">
                              <w:rPr>
                                <w:rFonts w:asciiTheme="majorHAnsi" w:hAnsiTheme="majorHAnsi"/>
                                <w:color w:val="595959" w:themeColor="text1" w:themeTint="A6"/>
                                <w:sz w:val="18"/>
                                <w:szCs w:val="18"/>
                                <w:lang w:val="es-ES_tradnl"/>
                              </w:rPr>
                              <w:t xml:space="preserve">57/15 Petición Nº 15-09. Admisibilidad. </w:t>
                            </w:r>
                            <w:r w:rsidR="009D7A26">
                              <w:rPr>
                                <w:rFonts w:asciiTheme="majorHAnsi" w:hAnsiTheme="majorHAnsi"/>
                                <w:color w:val="595959" w:themeColor="text1" w:themeTint="A6"/>
                                <w:sz w:val="18"/>
                                <w:szCs w:val="18"/>
                                <w:lang w:val="es-ES_tradnl"/>
                              </w:rPr>
                              <w:t xml:space="preserve">Verónica J. Palacios </w:t>
                            </w:r>
                            <w:r w:rsidR="000069E4">
                              <w:rPr>
                                <w:rFonts w:asciiTheme="majorHAnsi" w:hAnsiTheme="majorHAnsi"/>
                                <w:color w:val="595959" w:themeColor="text1" w:themeTint="A6"/>
                                <w:sz w:val="18"/>
                                <w:szCs w:val="18"/>
                                <w:lang w:val="es-ES_tradnl"/>
                              </w:rPr>
                              <w:t xml:space="preserve">V. </w:t>
                            </w:r>
                            <w:r w:rsidR="009D7A26">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w:t>
                            </w:r>
                            <w:r w:rsidR="000069E4">
                              <w:rPr>
                                <w:rFonts w:asciiTheme="majorHAnsi" w:hAnsiTheme="majorHAnsi"/>
                                <w:color w:val="595959" w:themeColor="text1" w:themeTint="A6"/>
                                <w:sz w:val="18"/>
                                <w:szCs w:val="18"/>
                                <w:lang w:val="es-ES_tradnl"/>
                              </w:rPr>
                              <w:t xml:space="preserve"> 17 de octubre de 2015.</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63685A" w:rsidRDefault="00113F73" w:rsidP="00113F73">
                      <w:pPr>
                        <w:spacing w:line="276" w:lineRule="auto"/>
                        <w:rPr>
                          <w:rFonts w:asciiTheme="majorHAnsi" w:hAnsiTheme="majorHAnsi"/>
                          <w:color w:val="595959" w:themeColor="text1" w:themeTint="A6"/>
                          <w:sz w:val="18"/>
                          <w:szCs w:val="18"/>
                          <w:lang w:val="es-ES"/>
                        </w:rPr>
                      </w:pPr>
                      <w:r w:rsidRPr="000069E4">
                        <w:rPr>
                          <w:rFonts w:asciiTheme="majorHAnsi" w:hAnsiTheme="majorHAnsi"/>
                          <w:b/>
                          <w:color w:val="595959" w:themeColor="text1" w:themeTint="A6"/>
                          <w:sz w:val="18"/>
                          <w:szCs w:val="18"/>
                          <w:lang w:val="es-ES"/>
                        </w:rPr>
                        <w:t>Citar como:</w:t>
                      </w:r>
                      <w:r w:rsidRPr="000069E4">
                        <w:rPr>
                          <w:rFonts w:asciiTheme="majorHAnsi" w:hAnsiTheme="majorHAnsi"/>
                          <w:color w:val="595959" w:themeColor="text1" w:themeTint="A6"/>
                          <w:sz w:val="18"/>
                          <w:szCs w:val="18"/>
                          <w:lang w:val="es-ES"/>
                        </w:rPr>
                        <w:t xml:space="preserve"> CIDH, Informe No. </w:t>
                      </w:r>
                      <w:r w:rsidR="000069E4">
                        <w:rPr>
                          <w:rFonts w:asciiTheme="majorHAnsi" w:hAnsiTheme="majorHAnsi"/>
                          <w:color w:val="595959" w:themeColor="text1" w:themeTint="A6"/>
                          <w:sz w:val="18"/>
                          <w:szCs w:val="18"/>
                          <w:lang w:val="es-ES_tradnl"/>
                        </w:rPr>
                        <w:t xml:space="preserve">57/15 Petición Nº 15-09. Admisibilidad. </w:t>
                      </w:r>
                      <w:r w:rsidR="009D7A26">
                        <w:rPr>
                          <w:rFonts w:asciiTheme="majorHAnsi" w:hAnsiTheme="majorHAnsi"/>
                          <w:color w:val="595959" w:themeColor="text1" w:themeTint="A6"/>
                          <w:sz w:val="18"/>
                          <w:szCs w:val="18"/>
                          <w:lang w:val="es-ES_tradnl"/>
                        </w:rPr>
                        <w:t xml:space="preserve">Verónica J. Palacios </w:t>
                      </w:r>
                      <w:r w:rsidR="000069E4">
                        <w:rPr>
                          <w:rFonts w:asciiTheme="majorHAnsi" w:hAnsiTheme="majorHAnsi"/>
                          <w:color w:val="595959" w:themeColor="text1" w:themeTint="A6"/>
                          <w:sz w:val="18"/>
                          <w:szCs w:val="18"/>
                          <w:lang w:val="es-ES_tradnl"/>
                        </w:rPr>
                        <w:t xml:space="preserve">V. </w:t>
                      </w:r>
                      <w:r w:rsidR="009D7A26">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w:t>
                      </w:r>
                      <w:r w:rsidR="000069E4">
                        <w:rPr>
                          <w:rFonts w:asciiTheme="majorHAnsi" w:hAnsiTheme="majorHAnsi"/>
                          <w:color w:val="595959" w:themeColor="text1" w:themeTint="A6"/>
                          <w:sz w:val="18"/>
                          <w:szCs w:val="18"/>
                          <w:lang w:val="es-ES_tradnl"/>
                        </w:rPr>
                        <w:t xml:space="preserve"> 17 de octubre de 2015.</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0069E4"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No. </w:t>
      </w:r>
      <w:r w:rsidR="00731795">
        <w:rPr>
          <w:rFonts w:asciiTheme="majorHAnsi" w:hAnsiTheme="majorHAnsi"/>
          <w:b/>
          <w:sz w:val="18"/>
          <w:szCs w:val="20"/>
          <w:lang w:val="es-ES_tradnl"/>
        </w:rPr>
        <w:t>57</w:t>
      </w:r>
      <w:r w:rsidR="003C54F2">
        <w:rPr>
          <w:rFonts w:asciiTheme="majorHAnsi" w:hAnsiTheme="majorHAnsi"/>
          <w:b/>
          <w:sz w:val="18"/>
          <w:szCs w:val="20"/>
          <w:lang w:val="es-ES_tradnl"/>
        </w:rPr>
        <w:t>/15</w:t>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9D7A26">
        <w:rPr>
          <w:rFonts w:asciiTheme="majorHAnsi" w:hAnsiTheme="majorHAnsi"/>
          <w:b/>
          <w:sz w:val="18"/>
          <w:szCs w:val="20"/>
          <w:lang w:val="es-ES_tradnl"/>
        </w:rPr>
        <w:t>15</w:t>
      </w:r>
      <w:r w:rsidRPr="00722C9F">
        <w:rPr>
          <w:rFonts w:asciiTheme="majorHAnsi" w:hAnsiTheme="majorHAnsi"/>
          <w:b/>
          <w:sz w:val="18"/>
          <w:szCs w:val="20"/>
          <w:lang w:val="es-ES_tradnl"/>
        </w:rPr>
        <w:t>-</w:t>
      </w:r>
      <w:r w:rsidR="009D7A26">
        <w:rPr>
          <w:rFonts w:asciiTheme="majorHAnsi" w:hAnsiTheme="majorHAnsi"/>
          <w:b/>
          <w:sz w:val="18"/>
          <w:szCs w:val="20"/>
          <w:lang w:val="es-ES_tradnl"/>
        </w:rPr>
        <w:t>09</w:t>
      </w:r>
    </w:p>
    <w:p w:rsidR="00722C9F" w:rsidRPr="00722C9F" w:rsidRDefault="006E0457"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INFORME DE ADMISIBILIDAD</w:t>
      </w:r>
    </w:p>
    <w:p w:rsidR="00722C9F" w:rsidRPr="00722C9F" w:rsidRDefault="009D7A26"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VERÓNICA J. PALACIOS V.</w:t>
      </w:r>
    </w:p>
    <w:p w:rsidR="0070697F" w:rsidRPr="00731795" w:rsidRDefault="009D7A26"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GUATEMALA</w:t>
      </w:r>
    </w:p>
    <w:p w:rsidR="00722C9F" w:rsidRPr="00731795" w:rsidRDefault="00731795" w:rsidP="00722C9F">
      <w:pPr>
        <w:tabs>
          <w:tab w:val="center" w:pos="5400"/>
        </w:tabs>
        <w:suppressAutoHyphens/>
        <w:spacing w:line="276" w:lineRule="auto"/>
        <w:jc w:val="center"/>
        <w:rPr>
          <w:rFonts w:asciiTheme="majorHAnsi" w:hAnsiTheme="majorHAnsi"/>
          <w:sz w:val="18"/>
          <w:szCs w:val="20"/>
          <w:lang w:val="es-ES_tradnl"/>
        </w:rPr>
      </w:pPr>
      <w:r w:rsidRPr="00731795">
        <w:rPr>
          <w:rFonts w:asciiTheme="majorHAnsi" w:hAnsiTheme="majorHAnsi"/>
          <w:sz w:val="18"/>
          <w:szCs w:val="20"/>
          <w:lang w:val="es-ES_tradnl"/>
        </w:rPr>
        <w:t>17 DE OCTUBRE DE 2015</w:t>
      </w:r>
    </w:p>
    <w:p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w:t>
      </w:r>
      <w:r w:rsidRPr="0063685A">
        <w:rPr>
          <w:rFonts w:asciiTheme="majorHAnsi" w:hAnsiTheme="majorHAnsi"/>
          <w:b/>
          <w:bCs/>
          <w:sz w:val="20"/>
          <w:szCs w:val="20"/>
          <w:lang w:val="es-UY"/>
        </w:rPr>
        <w:tab/>
        <w:t>RESUMEN</w:t>
      </w:r>
    </w:p>
    <w:p w:rsidR="0063685A" w:rsidRPr="0063685A" w:rsidRDefault="0063685A" w:rsidP="0063685A">
      <w:pPr>
        <w:jc w:val="both"/>
        <w:rPr>
          <w:rFonts w:asciiTheme="majorHAnsi" w:hAnsiTheme="majorHAnsi"/>
          <w:sz w:val="20"/>
          <w:szCs w:val="20"/>
          <w:lang w:val="es-UY"/>
        </w:rPr>
      </w:pPr>
    </w:p>
    <w:p w:rsidR="00257E11" w:rsidRDefault="0063685A" w:rsidP="00F17D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63685A">
        <w:rPr>
          <w:rFonts w:asciiTheme="majorHAnsi" w:hAnsiTheme="majorHAnsi"/>
          <w:sz w:val="20"/>
          <w:szCs w:val="20"/>
          <w:lang w:val="es-UY"/>
        </w:rPr>
        <w:t xml:space="preserve">El </w:t>
      </w:r>
      <w:r w:rsidR="00B35019">
        <w:rPr>
          <w:rFonts w:asciiTheme="majorHAnsi" w:hAnsiTheme="majorHAnsi"/>
          <w:sz w:val="20"/>
          <w:szCs w:val="20"/>
          <w:lang w:val="es-UY"/>
        </w:rPr>
        <w:t>6 de enero de 2009</w:t>
      </w:r>
      <w:r w:rsidRPr="0063685A">
        <w:rPr>
          <w:rFonts w:asciiTheme="majorHAnsi" w:hAnsiTheme="majorHAnsi"/>
          <w:sz w:val="20"/>
          <w:szCs w:val="20"/>
          <w:lang w:val="es-UY"/>
        </w:rPr>
        <w:t xml:space="preserve"> la Comisión Interamericana de Derechos Humanos (en adelante, “la Comisión Interamericana” o “la CIDH”) recibió una petición presentada por </w:t>
      </w:r>
      <w:r w:rsidR="00060E04">
        <w:rPr>
          <w:rFonts w:asciiTheme="majorHAnsi" w:hAnsiTheme="majorHAnsi"/>
          <w:sz w:val="20"/>
          <w:szCs w:val="20"/>
          <w:lang w:val="es-UY"/>
        </w:rPr>
        <w:t xml:space="preserve">el Sr. José Israel Palacios </w:t>
      </w:r>
      <w:r w:rsidRPr="0063685A">
        <w:rPr>
          <w:rFonts w:asciiTheme="majorHAnsi" w:hAnsiTheme="majorHAnsi"/>
          <w:sz w:val="20"/>
          <w:szCs w:val="20"/>
          <w:lang w:val="es-UY"/>
        </w:rPr>
        <w:t>(en adelante</w:t>
      </w:r>
      <w:r w:rsidR="00060E04">
        <w:rPr>
          <w:rFonts w:asciiTheme="majorHAnsi" w:hAnsiTheme="majorHAnsi"/>
          <w:sz w:val="20"/>
          <w:szCs w:val="20"/>
          <w:lang w:val="es-UY"/>
        </w:rPr>
        <w:t xml:space="preserve"> también</w:t>
      </w:r>
      <w:r w:rsidRPr="0063685A">
        <w:rPr>
          <w:rFonts w:asciiTheme="majorHAnsi" w:hAnsiTheme="majorHAnsi"/>
          <w:sz w:val="20"/>
          <w:szCs w:val="20"/>
          <w:lang w:val="es-UY"/>
        </w:rPr>
        <w:t>, “el peticionario</w:t>
      </w:r>
      <w:r w:rsidR="00060E04">
        <w:rPr>
          <w:rFonts w:asciiTheme="majorHAnsi" w:hAnsiTheme="majorHAnsi"/>
          <w:sz w:val="20"/>
          <w:szCs w:val="20"/>
          <w:lang w:val="es-UY"/>
        </w:rPr>
        <w:t>”</w:t>
      </w:r>
      <w:r w:rsidRPr="0063685A">
        <w:rPr>
          <w:rFonts w:asciiTheme="majorHAnsi" w:hAnsiTheme="majorHAnsi"/>
          <w:sz w:val="20"/>
          <w:szCs w:val="20"/>
          <w:lang w:val="es-UY"/>
        </w:rPr>
        <w:t xml:space="preserve">) contra </w:t>
      </w:r>
      <w:r w:rsidR="00060E04">
        <w:rPr>
          <w:rFonts w:asciiTheme="majorHAnsi" w:hAnsiTheme="majorHAnsi"/>
          <w:sz w:val="20"/>
          <w:szCs w:val="20"/>
          <w:lang w:val="es-UY"/>
        </w:rPr>
        <w:t>de la República de Guatemala</w:t>
      </w:r>
      <w:r w:rsidRPr="0063685A">
        <w:rPr>
          <w:rFonts w:asciiTheme="majorHAnsi" w:hAnsiTheme="majorHAnsi"/>
          <w:sz w:val="20"/>
          <w:szCs w:val="20"/>
          <w:lang w:val="es-UY"/>
        </w:rPr>
        <w:t xml:space="preserve"> (en adelante</w:t>
      </w:r>
      <w:r w:rsidR="00060E04">
        <w:rPr>
          <w:rFonts w:asciiTheme="majorHAnsi" w:hAnsiTheme="majorHAnsi"/>
          <w:sz w:val="20"/>
          <w:szCs w:val="20"/>
          <w:lang w:val="es-UY"/>
        </w:rPr>
        <w:t xml:space="preserve"> también</w:t>
      </w:r>
      <w:r w:rsidRPr="0063685A">
        <w:rPr>
          <w:rFonts w:asciiTheme="majorHAnsi" w:hAnsiTheme="majorHAnsi"/>
          <w:sz w:val="20"/>
          <w:szCs w:val="20"/>
          <w:lang w:val="es-UY"/>
        </w:rPr>
        <w:t>, “</w:t>
      </w:r>
      <w:r w:rsidR="00060E04">
        <w:rPr>
          <w:rFonts w:asciiTheme="majorHAnsi" w:hAnsiTheme="majorHAnsi"/>
          <w:sz w:val="20"/>
          <w:szCs w:val="20"/>
          <w:lang w:val="es-UY"/>
        </w:rPr>
        <w:t>Guatemala</w:t>
      </w:r>
      <w:r w:rsidRPr="0063685A">
        <w:rPr>
          <w:rFonts w:asciiTheme="majorHAnsi" w:hAnsiTheme="majorHAnsi"/>
          <w:sz w:val="20"/>
          <w:szCs w:val="20"/>
          <w:lang w:val="es-UY"/>
        </w:rPr>
        <w:t xml:space="preserve">” o “el Estado”). </w:t>
      </w:r>
      <w:r w:rsidR="00257E11" w:rsidRPr="0063685A">
        <w:rPr>
          <w:rFonts w:asciiTheme="majorHAnsi" w:eastAsia="SimSun" w:hAnsiTheme="majorHAnsi"/>
          <w:sz w:val="20"/>
          <w:szCs w:val="20"/>
          <w:lang w:val="es-UY"/>
        </w:rPr>
        <w:t xml:space="preserve">El peticionario </w:t>
      </w:r>
      <w:r w:rsidR="00257E11">
        <w:rPr>
          <w:rFonts w:asciiTheme="majorHAnsi" w:eastAsia="SimSun" w:hAnsiTheme="majorHAnsi"/>
          <w:sz w:val="20"/>
          <w:szCs w:val="20"/>
          <w:lang w:val="es-UY"/>
        </w:rPr>
        <w:t xml:space="preserve">denuncia que Guatemala es </w:t>
      </w:r>
      <w:r w:rsidR="003E440C">
        <w:rPr>
          <w:rFonts w:asciiTheme="majorHAnsi" w:eastAsia="SimSun" w:hAnsiTheme="majorHAnsi"/>
          <w:sz w:val="20"/>
          <w:szCs w:val="20"/>
          <w:lang w:val="es-UY"/>
        </w:rPr>
        <w:t xml:space="preserve">internacionalmente </w:t>
      </w:r>
      <w:r w:rsidR="00257E11">
        <w:rPr>
          <w:rFonts w:asciiTheme="majorHAnsi" w:eastAsia="SimSun" w:hAnsiTheme="majorHAnsi"/>
          <w:sz w:val="20"/>
          <w:szCs w:val="20"/>
          <w:lang w:val="es-UY"/>
        </w:rPr>
        <w:t xml:space="preserve">responsable por </w:t>
      </w:r>
      <w:r w:rsidR="00F77A73">
        <w:rPr>
          <w:rFonts w:asciiTheme="majorHAnsi" w:eastAsia="SimSun" w:hAnsiTheme="majorHAnsi"/>
          <w:sz w:val="20"/>
          <w:szCs w:val="20"/>
          <w:lang w:val="es-UY"/>
        </w:rPr>
        <w:t>la alegada privación ilegal de la libertad</w:t>
      </w:r>
      <w:r w:rsidR="00257E11">
        <w:rPr>
          <w:rFonts w:asciiTheme="majorHAnsi" w:eastAsia="SimSun" w:hAnsiTheme="majorHAnsi"/>
          <w:sz w:val="20"/>
          <w:szCs w:val="20"/>
          <w:lang w:val="es-UY"/>
        </w:rPr>
        <w:t xml:space="preserve"> y ejecución extrajudicial de su hija </w:t>
      </w:r>
      <w:r w:rsidR="00257E11">
        <w:rPr>
          <w:rFonts w:asciiTheme="majorHAnsi" w:hAnsiTheme="majorHAnsi"/>
          <w:sz w:val="20"/>
          <w:szCs w:val="20"/>
          <w:lang w:val="es-UY"/>
        </w:rPr>
        <w:t xml:space="preserve">Verónica J. Palacios V. (en adelante también, “la presunta víctima”), </w:t>
      </w:r>
      <w:r w:rsidR="005C1304">
        <w:rPr>
          <w:rFonts w:asciiTheme="majorHAnsi" w:hAnsiTheme="majorHAnsi"/>
          <w:sz w:val="20"/>
          <w:szCs w:val="20"/>
          <w:lang w:val="es-UY"/>
        </w:rPr>
        <w:t xml:space="preserve">y </w:t>
      </w:r>
      <w:r w:rsidR="007373DE">
        <w:rPr>
          <w:rFonts w:asciiTheme="majorHAnsi" w:hAnsiTheme="majorHAnsi"/>
          <w:sz w:val="20"/>
          <w:szCs w:val="20"/>
          <w:lang w:val="es-UY"/>
        </w:rPr>
        <w:t>la posterior</w:t>
      </w:r>
      <w:r w:rsidR="00257E11">
        <w:rPr>
          <w:rFonts w:asciiTheme="majorHAnsi" w:hAnsiTheme="majorHAnsi"/>
          <w:sz w:val="20"/>
          <w:szCs w:val="20"/>
          <w:lang w:val="es-UY"/>
        </w:rPr>
        <w:t xml:space="preserve"> denegación de justicia por parte de las autoridades judiciales</w:t>
      </w:r>
      <w:r w:rsidR="007373DE">
        <w:rPr>
          <w:rFonts w:asciiTheme="majorHAnsi" w:hAnsiTheme="majorHAnsi"/>
          <w:sz w:val="20"/>
          <w:szCs w:val="20"/>
          <w:lang w:val="es-UY"/>
        </w:rPr>
        <w:t xml:space="preserve"> </w:t>
      </w:r>
      <w:r w:rsidR="00FE7516">
        <w:rPr>
          <w:rFonts w:asciiTheme="majorHAnsi" w:hAnsiTheme="majorHAnsi"/>
          <w:sz w:val="20"/>
          <w:szCs w:val="20"/>
          <w:lang w:val="es-UY"/>
        </w:rPr>
        <w:t>competentes</w:t>
      </w:r>
      <w:r w:rsidR="005C1304">
        <w:rPr>
          <w:rFonts w:asciiTheme="majorHAnsi" w:hAnsiTheme="majorHAnsi"/>
          <w:sz w:val="20"/>
          <w:szCs w:val="20"/>
          <w:lang w:val="es-UY"/>
        </w:rPr>
        <w:t>; así como</w:t>
      </w:r>
      <w:r w:rsidR="00FE7516">
        <w:rPr>
          <w:rFonts w:asciiTheme="majorHAnsi" w:hAnsiTheme="majorHAnsi"/>
          <w:sz w:val="20"/>
          <w:szCs w:val="20"/>
          <w:lang w:val="es-UY"/>
        </w:rPr>
        <w:t xml:space="preserve"> las amenazas y otras formas de </w:t>
      </w:r>
      <w:r w:rsidR="00286772">
        <w:rPr>
          <w:rFonts w:asciiTheme="majorHAnsi" w:hAnsiTheme="majorHAnsi"/>
          <w:sz w:val="20"/>
          <w:szCs w:val="20"/>
          <w:lang w:val="es-UY"/>
        </w:rPr>
        <w:t xml:space="preserve">retaliación de las que él y su familia habrían sido víctimas por el hecho de </w:t>
      </w:r>
      <w:r w:rsidR="005C1304">
        <w:rPr>
          <w:rFonts w:asciiTheme="majorHAnsi" w:hAnsiTheme="majorHAnsi"/>
          <w:sz w:val="20"/>
          <w:szCs w:val="20"/>
          <w:lang w:val="es-UY"/>
        </w:rPr>
        <w:t>solicitar a las autoridades competentes que avancen en las investigaciones del caso</w:t>
      </w:r>
      <w:r w:rsidR="00286772">
        <w:rPr>
          <w:rFonts w:asciiTheme="majorHAnsi" w:hAnsiTheme="majorHAnsi"/>
          <w:sz w:val="20"/>
          <w:szCs w:val="20"/>
          <w:lang w:val="es-UY"/>
        </w:rPr>
        <w:t>.</w:t>
      </w:r>
    </w:p>
    <w:p w:rsidR="00257E11" w:rsidRDefault="00257E11" w:rsidP="00257E1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E625C2" w:rsidRDefault="005C1304" w:rsidP="00F17D97">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Pr>
          <w:rFonts w:asciiTheme="majorHAnsi" w:eastAsia="SimSun" w:hAnsiTheme="majorHAnsi"/>
          <w:sz w:val="20"/>
          <w:szCs w:val="20"/>
          <w:lang w:val="es-UY"/>
        </w:rPr>
        <w:t xml:space="preserve">El peticionario alega que su hija, una joven de 17 años </w:t>
      </w:r>
      <w:r w:rsidR="00B35019">
        <w:rPr>
          <w:rFonts w:asciiTheme="majorHAnsi" w:eastAsia="SimSun" w:hAnsiTheme="majorHAnsi"/>
          <w:sz w:val="20"/>
          <w:szCs w:val="20"/>
          <w:lang w:val="es-UY"/>
        </w:rPr>
        <w:t>con</w:t>
      </w:r>
      <w:r>
        <w:rPr>
          <w:rFonts w:asciiTheme="majorHAnsi" w:eastAsia="SimSun" w:hAnsiTheme="majorHAnsi"/>
          <w:sz w:val="20"/>
          <w:szCs w:val="20"/>
          <w:lang w:val="es-UY"/>
        </w:rPr>
        <w:t xml:space="preserve"> discapacidad</w:t>
      </w:r>
      <w:r w:rsidR="008D28E2">
        <w:rPr>
          <w:rFonts w:asciiTheme="majorHAnsi" w:eastAsia="SimSun" w:hAnsiTheme="majorHAnsi"/>
          <w:sz w:val="20"/>
          <w:szCs w:val="20"/>
          <w:lang w:val="es-UY"/>
        </w:rPr>
        <w:t xml:space="preserve"> intelectual </w:t>
      </w:r>
      <w:r w:rsidR="00550CBD">
        <w:rPr>
          <w:rFonts w:asciiTheme="majorHAnsi" w:eastAsia="SimSun" w:hAnsiTheme="majorHAnsi"/>
          <w:sz w:val="20"/>
          <w:szCs w:val="20"/>
          <w:lang w:val="es-UY"/>
        </w:rPr>
        <w:t xml:space="preserve">y </w:t>
      </w:r>
      <w:r w:rsidR="008D28E2">
        <w:rPr>
          <w:rFonts w:asciiTheme="majorHAnsi" w:eastAsia="SimSun" w:hAnsiTheme="majorHAnsi"/>
          <w:sz w:val="20"/>
          <w:szCs w:val="20"/>
          <w:lang w:val="es-UY"/>
        </w:rPr>
        <w:t>física</w:t>
      </w:r>
      <w:r>
        <w:rPr>
          <w:rFonts w:asciiTheme="majorHAnsi" w:eastAsia="SimSun" w:hAnsiTheme="majorHAnsi"/>
          <w:sz w:val="20"/>
          <w:szCs w:val="20"/>
          <w:lang w:val="es-UY"/>
        </w:rPr>
        <w:t xml:space="preserve">, fue secuestrada </w:t>
      </w:r>
      <w:r w:rsidR="00CB2CAF">
        <w:rPr>
          <w:rFonts w:asciiTheme="majorHAnsi" w:eastAsia="SimSun" w:hAnsiTheme="majorHAnsi"/>
          <w:sz w:val="20"/>
          <w:szCs w:val="20"/>
          <w:lang w:val="es-UY"/>
        </w:rPr>
        <w:t xml:space="preserve">y brutalmente asesinada </w:t>
      </w:r>
      <w:r w:rsidR="00ED521B" w:rsidRPr="004D5811">
        <w:rPr>
          <w:rFonts w:asciiTheme="majorHAnsi" w:eastAsia="SimSun" w:hAnsiTheme="majorHAnsi"/>
          <w:sz w:val="20"/>
          <w:szCs w:val="20"/>
          <w:lang w:val="es-UY"/>
        </w:rPr>
        <w:t>en 2005</w:t>
      </w:r>
      <w:r w:rsidR="00ED521B">
        <w:rPr>
          <w:rFonts w:asciiTheme="majorHAnsi" w:eastAsia="SimSun" w:hAnsiTheme="majorHAnsi"/>
          <w:sz w:val="20"/>
          <w:szCs w:val="20"/>
          <w:lang w:val="es-UY"/>
        </w:rPr>
        <w:t xml:space="preserve"> </w:t>
      </w:r>
      <w:r w:rsidR="00CB2CAF">
        <w:rPr>
          <w:rFonts w:asciiTheme="majorHAnsi" w:eastAsia="SimSun" w:hAnsiTheme="majorHAnsi"/>
          <w:sz w:val="20"/>
          <w:szCs w:val="20"/>
          <w:lang w:val="es-UY"/>
        </w:rPr>
        <w:t>por agentes del Estado y personas vinculadas a éstos como represalia por algunas iniciativas que él</w:t>
      </w:r>
      <w:r w:rsidR="00B35019">
        <w:rPr>
          <w:rFonts w:asciiTheme="majorHAnsi" w:eastAsia="SimSun" w:hAnsiTheme="majorHAnsi"/>
          <w:sz w:val="20"/>
          <w:szCs w:val="20"/>
          <w:lang w:val="es-UY"/>
        </w:rPr>
        <w:t>, como oficial del ejército,</w:t>
      </w:r>
      <w:r w:rsidR="00CB2CAF">
        <w:rPr>
          <w:rFonts w:asciiTheme="majorHAnsi" w:eastAsia="SimSun" w:hAnsiTheme="majorHAnsi"/>
          <w:sz w:val="20"/>
          <w:szCs w:val="20"/>
          <w:lang w:val="es-UY"/>
        </w:rPr>
        <w:t xml:space="preserve"> estaba impulsando y que eran contrarias a los intereses de altos mandos del ejército. </w:t>
      </w:r>
      <w:r w:rsidR="001638A6">
        <w:rPr>
          <w:rFonts w:asciiTheme="majorHAnsi" w:eastAsia="SimSun" w:hAnsiTheme="majorHAnsi"/>
          <w:sz w:val="20"/>
          <w:szCs w:val="20"/>
          <w:lang w:val="es-UY"/>
        </w:rPr>
        <w:t>Aduce</w:t>
      </w:r>
      <w:r w:rsidR="00CB2CAF">
        <w:rPr>
          <w:rFonts w:asciiTheme="majorHAnsi" w:eastAsia="SimSun" w:hAnsiTheme="majorHAnsi"/>
          <w:sz w:val="20"/>
          <w:szCs w:val="20"/>
          <w:lang w:val="es-UY"/>
        </w:rPr>
        <w:t xml:space="preserve"> que desde un principio </w:t>
      </w:r>
      <w:r w:rsidR="001638A6">
        <w:rPr>
          <w:rFonts w:asciiTheme="majorHAnsi" w:eastAsia="SimSun" w:hAnsiTheme="majorHAnsi"/>
          <w:sz w:val="20"/>
          <w:szCs w:val="20"/>
          <w:lang w:val="es-UY"/>
        </w:rPr>
        <w:t>la Policía Nacional Civil y el Ministerio Público</w:t>
      </w:r>
      <w:r w:rsidR="00CB2CAF">
        <w:rPr>
          <w:rFonts w:asciiTheme="majorHAnsi" w:eastAsia="SimSun" w:hAnsiTheme="majorHAnsi"/>
          <w:sz w:val="20"/>
          <w:szCs w:val="20"/>
          <w:lang w:val="es-UY"/>
        </w:rPr>
        <w:t xml:space="preserve"> habrían sido manifiestamente negligentes en sus actuaciones</w:t>
      </w:r>
      <w:r w:rsidR="001638A6">
        <w:rPr>
          <w:rFonts w:asciiTheme="majorHAnsi" w:eastAsia="SimSun" w:hAnsiTheme="majorHAnsi"/>
          <w:sz w:val="20"/>
          <w:szCs w:val="20"/>
          <w:lang w:val="es-UY"/>
        </w:rPr>
        <w:t xml:space="preserve">, indicando </w:t>
      </w:r>
      <w:r w:rsidR="00BA275B">
        <w:rPr>
          <w:rFonts w:asciiTheme="majorHAnsi" w:eastAsia="SimSun" w:hAnsiTheme="majorHAnsi"/>
          <w:sz w:val="20"/>
          <w:szCs w:val="20"/>
          <w:lang w:val="es-UY"/>
        </w:rPr>
        <w:t xml:space="preserve">que </w:t>
      </w:r>
      <w:r w:rsidR="00E625C2">
        <w:rPr>
          <w:rFonts w:asciiTheme="majorHAnsi" w:eastAsia="SimSun" w:hAnsiTheme="majorHAnsi"/>
          <w:sz w:val="20"/>
          <w:szCs w:val="20"/>
          <w:lang w:val="es-UY"/>
        </w:rPr>
        <w:t xml:space="preserve">el avance de las investigaciones habría dependido de sus gestiones como </w:t>
      </w:r>
      <w:r w:rsidR="00BA275B">
        <w:rPr>
          <w:rFonts w:asciiTheme="majorHAnsi" w:eastAsia="SimSun" w:hAnsiTheme="majorHAnsi"/>
          <w:sz w:val="20"/>
          <w:szCs w:val="20"/>
          <w:lang w:val="es-UY"/>
        </w:rPr>
        <w:t>parte agraviada</w:t>
      </w:r>
      <w:r w:rsidR="00E625C2">
        <w:rPr>
          <w:rFonts w:asciiTheme="majorHAnsi" w:eastAsia="SimSun" w:hAnsiTheme="majorHAnsi"/>
          <w:sz w:val="20"/>
          <w:szCs w:val="20"/>
          <w:lang w:val="es-UY"/>
        </w:rPr>
        <w:t xml:space="preserve">. El peticionario alega además que a raíz de su persistencia en exigir el esclarecimiento de los hechos y la sanción de los responsables, él y su familia habrían sido víctimas de amenazas, seguimientos de personas vinculadas al ejército; y que </w:t>
      </w:r>
      <w:r w:rsidR="00BA275B">
        <w:rPr>
          <w:rFonts w:asciiTheme="majorHAnsi" w:eastAsia="SimSun" w:hAnsiTheme="majorHAnsi"/>
          <w:sz w:val="20"/>
          <w:szCs w:val="20"/>
          <w:lang w:val="es-UY"/>
        </w:rPr>
        <w:t xml:space="preserve">él mismo habría sido </w:t>
      </w:r>
      <w:r w:rsidR="00E625C2">
        <w:rPr>
          <w:rFonts w:asciiTheme="majorHAnsi" w:eastAsia="SimSun" w:hAnsiTheme="majorHAnsi"/>
          <w:sz w:val="20"/>
          <w:szCs w:val="20"/>
          <w:lang w:val="es-UY"/>
        </w:rPr>
        <w:t xml:space="preserve">arbitrariamente dado de baja de su puesto de Coronel de las </w:t>
      </w:r>
      <w:r w:rsidR="00AA7A16">
        <w:rPr>
          <w:rFonts w:asciiTheme="majorHAnsi" w:eastAsia="SimSun" w:hAnsiTheme="majorHAnsi"/>
          <w:sz w:val="20"/>
          <w:szCs w:val="20"/>
          <w:lang w:val="es-UY"/>
        </w:rPr>
        <w:t>F</w:t>
      </w:r>
      <w:r w:rsidR="00E625C2">
        <w:rPr>
          <w:rFonts w:asciiTheme="majorHAnsi" w:eastAsia="SimSun" w:hAnsiTheme="majorHAnsi"/>
          <w:sz w:val="20"/>
          <w:szCs w:val="20"/>
          <w:lang w:val="es-UY"/>
        </w:rPr>
        <w:t xml:space="preserve">uerzas </w:t>
      </w:r>
      <w:r w:rsidR="00AA7A16">
        <w:rPr>
          <w:rFonts w:asciiTheme="majorHAnsi" w:eastAsia="SimSun" w:hAnsiTheme="majorHAnsi"/>
          <w:sz w:val="20"/>
          <w:szCs w:val="20"/>
          <w:lang w:val="es-UY"/>
        </w:rPr>
        <w:t>A</w:t>
      </w:r>
      <w:r w:rsidR="00E625C2">
        <w:rPr>
          <w:rFonts w:asciiTheme="majorHAnsi" w:eastAsia="SimSun" w:hAnsiTheme="majorHAnsi"/>
          <w:sz w:val="20"/>
          <w:szCs w:val="20"/>
          <w:lang w:val="es-UY"/>
        </w:rPr>
        <w:t xml:space="preserve">rmadas. </w:t>
      </w:r>
      <w:r w:rsidR="00DD4776">
        <w:rPr>
          <w:rFonts w:asciiTheme="majorHAnsi" w:eastAsia="SimSun" w:hAnsiTheme="majorHAnsi"/>
          <w:sz w:val="20"/>
          <w:szCs w:val="20"/>
          <w:lang w:val="es-UY"/>
        </w:rPr>
        <w:t>El peticionario aduce que resulta aplicable la excepción de retardo injustificado en el agotamiento de los recursos internos.</w:t>
      </w:r>
    </w:p>
    <w:p w:rsidR="00E625C2" w:rsidRDefault="00E625C2" w:rsidP="00E625C2">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Theme="majorHAnsi" w:eastAsia="SimSun" w:hAnsiTheme="majorHAnsi"/>
          <w:sz w:val="20"/>
          <w:szCs w:val="20"/>
          <w:lang w:val="es-UY"/>
        </w:rPr>
      </w:pPr>
    </w:p>
    <w:p w:rsidR="0063685A" w:rsidRPr="0063685A" w:rsidRDefault="0063685A" w:rsidP="00F17D97">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63685A">
        <w:rPr>
          <w:rFonts w:asciiTheme="majorHAnsi" w:eastAsia="SimSun" w:hAnsiTheme="majorHAnsi"/>
          <w:sz w:val="20"/>
          <w:szCs w:val="20"/>
          <w:lang w:val="es-UY"/>
        </w:rPr>
        <w:t>Por su parte</w:t>
      </w:r>
      <w:r w:rsidR="00B648E4">
        <w:rPr>
          <w:rFonts w:asciiTheme="majorHAnsi" w:eastAsia="SimSun" w:hAnsiTheme="majorHAnsi"/>
          <w:sz w:val="20"/>
          <w:szCs w:val="20"/>
          <w:lang w:val="es-UY"/>
        </w:rPr>
        <w:t>,</w:t>
      </w:r>
      <w:r w:rsidRPr="0063685A">
        <w:rPr>
          <w:rFonts w:asciiTheme="majorHAnsi" w:eastAsia="SimSun" w:hAnsiTheme="majorHAnsi"/>
          <w:sz w:val="20"/>
          <w:szCs w:val="20"/>
          <w:lang w:val="es-UY"/>
        </w:rPr>
        <w:t xml:space="preserve"> el Estado </w:t>
      </w:r>
      <w:r w:rsidR="00B648E4">
        <w:rPr>
          <w:rFonts w:asciiTheme="majorHAnsi" w:eastAsia="SimSun" w:hAnsiTheme="majorHAnsi"/>
          <w:sz w:val="20"/>
          <w:szCs w:val="20"/>
          <w:lang w:val="es-UY"/>
        </w:rPr>
        <w:t xml:space="preserve">alega que </w:t>
      </w:r>
      <w:r w:rsidR="008E03E9">
        <w:rPr>
          <w:rFonts w:asciiTheme="majorHAnsi" w:eastAsia="SimSun" w:hAnsiTheme="majorHAnsi"/>
          <w:sz w:val="20"/>
          <w:szCs w:val="20"/>
          <w:lang w:val="es-UY"/>
        </w:rPr>
        <w:t xml:space="preserve">no puede establecerse su responsabilidad internacional por los hechos denunciados, toda vez que el derecho a la vida se encuentra debidamente protegido en su legislación, y que las autoridades competentes han llevado a cabo todas las acciones </w:t>
      </w:r>
      <w:r w:rsidR="00BA275B">
        <w:rPr>
          <w:rFonts w:asciiTheme="majorHAnsi" w:eastAsia="SimSun" w:hAnsiTheme="majorHAnsi"/>
          <w:sz w:val="20"/>
          <w:szCs w:val="20"/>
          <w:lang w:val="es-UY"/>
        </w:rPr>
        <w:t>conducentes</w:t>
      </w:r>
      <w:r w:rsidR="008E03E9">
        <w:rPr>
          <w:rFonts w:asciiTheme="majorHAnsi" w:eastAsia="SimSun" w:hAnsiTheme="majorHAnsi"/>
          <w:sz w:val="20"/>
          <w:szCs w:val="20"/>
          <w:lang w:val="es-UY"/>
        </w:rPr>
        <w:t xml:space="preserve"> para investigar la muerte de la joven Verónica J. Palacios V. Asimismo, el Estado alega que </w:t>
      </w:r>
      <w:r w:rsidR="00A66862">
        <w:rPr>
          <w:rFonts w:asciiTheme="majorHAnsi" w:eastAsia="SimSun" w:hAnsiTheme="majorHAnsi"/>
          <w:sz w:val="20"/>
          <w:szCs w:val="20"/>
          <w:lang w:val="es-UY"/>
        </w:rPr>
        <w:t>el peticionario fue desvinculado de su servicio como Coronel del ejército de manera justificada</w:t>
      </w:r>
      <w:r w:rsidR="00BA275B">
        <w:rPr>
          <w:rFonts w:asciiTheme="majorHAnsi" w:eastAsia="SimSun" w:hAnsiTheme="majorHAnsi"/>
          <w:sz w:val="20"/>
          <w:szCs w:val="20"/>
          <w:lang w:val="es-UY"/>
        </w:rPr>
        <w:t>, de conformidad</w:t>
      </w:r>
      <w:r w:rsidR="00A66862">
        <w:rPr>
          <w:rFonts w:asciiTheme="majorHAnsi" w:eastAsia="SimSun" w:hAnsiTheme="majorHAnsi"/>
          <w:sz w:val="20"/>
          <w:szCs w:val="20"/>
          <w:lang w:val="es-UY"/>
        </w:rPr>
        <w:t xml:space="preserve"> con las normas </w:t>
      </w:r>
      <w:r w:rsidR="00BA275B">
        <w:rPr>
          <w:rFonts w:asciiTheme="majorHAnsi" w:eastAsia="SimSun" w:hAnsiTheme="majorHAnsi"/>
          <w:sz w:val="20"/>
          <w:szCs w:val="20"/>
          <w:lang w:val="es-UY"/>
        </w:rPr>
        <w:t>disciplinarias</w:t>
      </w:r>
      <w:r w:rsidR="00A66862">
        <w:rPr>
          <w:rFonts w:asciiTheme="majorHAnsi" w:eastAsia="SimSun" w:hAnsiTheme="majorHAnsi"/>
          <w:sz w:val="20"/>
          <w:szCs w:val="20"/>
          <w:lang w:val="es-UY"/>
        </w:rPr>
        <w:t xml:space="preserve"> de la institución castrense; y que el Estado le habría brindado protección a él y a su familia</w:t>
      </w:r>
      <w:r w:rsidRPr="0063685A">
        <w:rPr>
          <w:rFonts w:asciiTheme="majorHAnsi" w:eastAsia="SimSun" w:hAnsiTheme="majorHAnsi"/>
          <w:sz w:val="20"/>
          <w:szCs w:val="20"/>
          <w:lang w:val="es-UY"/>
        </w:rPr>
        <w:t>.</w:t>
      </w:r>
      <w:r w:rsidR="00A66862">
        <w:rPr>
          <w:rFonts w:asciiTheme="majorHAnsi" w:eastAsia="SimSun" w:hAnsiTheme="majorHAnsi"/>
          <w:sz w:val="20"/>
          <w:szCs w:val="20"/>
          <w:lang w:val="es-UY"/>
        </w:rPr>
        <w:t xml:space="preserve"> Con respecto a la admisibilidad, Guatemala alegó que no se habrían agotado los recursos internos porque </w:t>
      </w:r>
      <w:r w:rsidR="00002771">
        <w:rPr>
          <w:rFonts w:asciiTheme="majorHAnsi" w:eastAsia="SimSun" w:hAnsiTheme="majorHAnsi"/>
          <w:sz w:val="20"/>
          <w:szCs w:val="20"/>
          <w:lang w:val="es-UY"/>
        </w:rPr>
        <w:t>aún estaría</w:t>
      </w:r>
      <w:r w:rsidR="00BA275B">
        <w:rPr>
          <w:rFonts w:asciiTheme="majorHAnsi" w:eastAsia="SimSun" w:hAnsiTheme="majorHAnsi"/>
          <w:sz w:val="20"/>
          <w:szCs w:val="20"/>
          <w:lang w:val="es-UY"/>
        </w:rPr>
        <w:t xml:space="preserve"> abierta la</w:t>
      </w:r>
      <w:r w:rsidR="00002771">
        <w:rPr>
          <w:rFonts w:asciiTheme="majorHAnsi" w:eastAsia="SimSun" w:hAnsiTheme="majorHAnsi"/>
          <w:sz w:val="20"/>
          <w:szCs w:val="20"/>
          <w:lang w:val="es-UY"/>
        </w:rPr>
        <w:t xml:space="preserve"> investigaci</w:t>
      </w:r>
      <w:r w:rsidR="00BA275B">
        <w:rPr>
          <w:rFonts w:asciiTheme="majorHAnsi" w:eastAsia="SimSun" w:hAnsiTheme="majorHAnsi"/>
          <w:sz w:val="20"/>
          <w:szCs w:val="20"/>
          <w:lang w:val="es-UY"/>
        </w:rPr>
        <w:t>ón</w:t>
      </w:r>
      <w:r w:rsidR="00002771">
        <w:rPr>
          <w:rFonts w:asciiTheme="majorHAnsi" w:eastAsia="SimSun" w:hAnsiTheme="majorHAnsi"/>
          <w:sz w:val="20"/>
          <w:szCs w:val="20"/>
          <w:lang w:val="es-UY"/>
        </w:rPr>
        <w:t xml:space="preserve"> adelantada por la muerte de la presunta víctima, </w:t>
      </w:r>
      <w:r w:rsidR="00BA275B">
        <w:rPr>
          <w:rFonts w:asciiTheme="majorHAnsi" w:eastAsia="SimSun" w:hAnsiTheme="majorHAnsi"/>
          <w:sz w:val="20"/>
          <w:szCs w:val="20"/>
          <w:lang w:val="es-UY"/>
        </w:rPr>
        <w:t>en la</w:t>
      </w:r>
      <w:r w:rsidR="00002771">
        <w:rPr>
          <w:rFonts w:asciiTheme="majorHAnsi" w:eastAsia="SimSun" w:hAnsiTheme="majorHAnsi"/>
          <w:sz w:val="20"/>
          <w:szCs w:val="20"/>
          <w:lang w:val="es-UY"/>
        </w:rPr>
        <w:t xml:space="preserve"> que aún no se habr</w:t>
      </w:r>
      <w:r w:rsidR="00FC50B5">
        <w:rPr>
          <w:rFonts w:asciiTheme="majorHAnsi" w:eastAsia="SimSun" w:hAnsiTheme="majorHAnsi"/>
          <w:sz w:val="20"/>
          <w:szCs w:val="20"/>
          <w:lang w:val="es-UY"/>
        </w:rPr>
        <w:t>ía</w:t>
      </w:r>
      <w:r w:rsidR="00002771">
        <w:rPr>
          <w:rFonts w:asciiTheme="majorHAnsi" w:eastAsia="SimSun" w:hAnsiTheme="majorHAnsi"/>
          <w:sz w:val="20"/>
          <w:szCs w:val="20"/>
          <w:lang w:val="es-UY"/>
        </w:rPr>
        <w:t xml:space="preserve"> individualizado a </w:t>
      </w:r>
      <w:r w:rsidR="00FC50B5">
        <w:rPr>
          <w:rFonts w:asciiTheme="majorHAnsi" w:eastAsia="SimSun" w:hAnsiTheme="majorHAnsi"/>
          <w:sz w:val="20"/>
          <w:szCs w:val="20"/>
          <w:lang w:val="es-UY"/>
        </w:rPr>
        <w:t>ningún posible</w:t>
      </w:r>
      <w:r w:rsidR="00002771">
        <w:rPr>
          <w:rFonts w:asciiTheme="majorHAnsi" w:eastAsia="SimSun" w:hAnsiTheme="majorHAnsi"/>
          <w:sz w:val="20"/>
          <w:szCs w:val="20"/>
          <w:lang w:val="es-UY"/>
        </w:rPr>
        <w:t xml:space="preserve"> responsable.  </w:t>
      </w:r>
    </w:p>
    <w:p w:rsidR="0063685A" w:rsidRPr="0063685A" w:rsidRDefault="0063685A" w:rsidP="0063685A">
      <w:pPr>
        <w:ind w:left="360"/>
        <w:jc w:val="both"/>
        <w:rPr>
          <w:rFonts w:asciiTheme="majorHAnsi" w:hAnsiTheme="majorHAnsi"/>
          <w:sz w:val="20"/>
          <w:szCs w:val="20"/>
          <w:lang w:val="es-UY"/>
        </w:rPr>
      </w:pPr>
    </w:p>
    <w:p w:rsidR="0063685A" w:rsidRDefault="0063685A" w:rsidP="00F17D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63685A">
        <w:rPr>
          <w:rFonts w:asciiTheme="majorHAnsi" w:hAnsiTheme="majorHAnsi"/>
          <w:sz w:val="20"/>
          <w:szCs w:val="20"/>
          <w:lang w:val="es-UY"/>
        </w:rPr>
        <w:t>Sin prejuzgar sobre el fondo de la denuncia, tras analizar</w:t>
      </w:r>
      <w:r w:rsidRPr="0063685A">
        <w:rPr>
          <w:rFonts w:asciiTheme="majorHAnsi" w:hAnsiTheme="majorHAnsi"/>
          <w:color w:val="FF0000"/>
          <w:sz w:val="20"/>
          <w:szCs w:val="20"/>
          <w:lang w:val="es-UY"/>
        </w:rPr>
        <w:t xml:space="preserve"> </w:t>
      </w:r>
      <w:r w:rsidRPr="00F33D61">
        <w:rPr>
          <w:rFonts w:asciiTheme="majorHAnsi" w:hAnsiTheme="majorHAnsi"/>
          <w:sz w:val="20"/>
          <w:szCs w:val="20"/>
          <w:lang w:val="es-UY"/>
        </w:rPr>
        <w:t xml:space="preserve">las posiciones de las partes </w:t>
      </w:r>
      <w:r w:rsidRPr="0063685A">
        <w:rPr>
          <w:rFonts w:asciiTheme="majorHAnsi" w:hAnsiTheme="majorHAnsi"/>
          <w:sz w:val="20"/>
          <w:szCs w:val="20"/>
          <w:lang w:val="es-UY"/>
        </w:rPr>
        <w:t xml:space="preserve">y en cumplimiento de los requisitos previstos en los artículos 46 y 47 de la Convención Americana, la Comisión decide declarar el caso admisible a efectos del examen </w:t>
      </w:r>
      <w:r w:rsidR="00A07CFD" w:rsidRPr="00F17C42">
        <w:rPr>
          <w:rFonts w:asciiTheme="majorHAnsi" w:hAnsiTheme="majorHAnsi"/>
          <w:sz w:val="20"/>
          <w:szCs w:val="20"/>
          <w:lang w:val="es-UY"/>
        </w:rPr>
        <w:t>de los alegatos relativos a</w:t>
      </w:r>
      <w:r w:rsidRPr="00F17C42">
        <w:rPr>
          <w:rFonts w:asciiTheme="majorHAnsi" w:hAnsiTheme="majorHAnsi"/>
          <w:sz w:val="20"/>
          <w:szCs w:val="20"/>
          <w:lang w:val="es-UY"/>
        </w:rPr>
        <w:t xml:space="preserve"> la presunta violación </w:t>
      </w:r>
      <w:r w:rsidR="001C5B67" w:rsidRPr="00F17C42">
        <w:rPr>
          <w:rFonts w:asciiTheme="majorHAnsi" w:hAnsiTheme="majorHAnsi"/>
          <w:sz w:val="20"/>
          <w:szCs w:val="20"/>
          <w:lang w:val="es-UY"/>
        </w:rPr>
        <w:t>de los</w:t>
      </w:r>
      <w:r w:rsidRPr="00F17C42">
        <w:rPr>
          <w:rFonts w:asciiTheme="majorHAnsi" w:hAnsiTheme="majorHAnsi"/>
          <w:sz w:val="20"/>
          <w:szCs w:val="20"/>
          <w:lang w:val="es-UY"/>
        </w:rPr>
        <w:t xml:space="preserve"> derecho</w:t>
      </w:r>
      <w:r w:rsidR="001C5B67" w:rsidRPr="00F17C42">
        <w:rPr>
          <w:rFonts w:asciiTheme="majorHAnsi" w:hAnsiTheme="majorHAnsi"/>
          <w:sz w:val="20"/>
          <w:szCs w:val="20"/>
          <w:lang w:val="es-UY"/>
        </w:rPr>
        <w:t>s</w:t>
      </w:r>
      <w:r w:rsidRPr="00F17C42">
        <w:rPr>
          <w:rFonts w:asciiTheme="majorHAnsi" w:hAnsiTheme="majorHAnsi"/>
          <w:sz w:val="20"/>
          <w:szCs w:val="20"/>
          <w:lang w:val="es-UY"/>
        </w:rPr>
        <w:t xml:space="preserve"> consagrado</w:t>
      </w:r>
      <w:r w:rsidR="001C5B67" w:rsidRPr="00F17C42">
        <w:rPr>
          <w:rFonts w:asciiTheme="majorHAnsi" w:hAnsiTheme="majorHAnsi"/>
          <w:sz w:val="20"/>
          <w:szCs w:val="20"/>
          <w:lang w:val="es-UY"/>
        </w:rPr>
        <w:t>s</w:t>
      </w:r>
      <w:r w:rsidRPr="00F17C42">
        <w:rPr>
          <w:rFonts w:asciiTheme="majorHAnsi" w:hAnsiTheme="majorHAnsi"/>
          <w:sz w:val="20"/>
          <w:szCs w:val="20"/>
          <w:lang w:val="es-UY"/>
        </w:rPr>
        <w:t xml:space="preserve"> en </w:t>
      </w:r>
      <w:r w:rsidR="001C5B67" w:rsidRPr="00F17C42">
        <w:rPr>
          <w:rFonts w:asciiTheme="majorHAnsi" w:hAnsiTheme="majorHAnsi"/>
          <w:sz w:val="20"/>
          <w:szCs w:val="20"/>
          <w:lang w:val="es-UY"/>
        </w:rPr>
        <w:t>los</w:t>
      </w:r>
      <w:r w:rsidRPr="00F17C42">
        <w:rPr>
          <w:rFonts w:asciiTheme="majorHAnsi" w:hAnsiTheme="majorHAnsi"/>
          <w:sz w:val="20"/>
          <w:szCs w:val="20"/>
          <w:lang w:val="es-UY"/>
        </w:rPr>
        <w:t xml:space="preserve"> artículo</w:t>
      </w:r>
      <w:r w:rsidR="001C5B67" w:rsidRPr="00F17C42">
        <w:rPr>
          <w:rFonts w:asciiTheme="majorHAnsi" w:hAnsiTheme="majorHAnsi"/>
          <w:sz w:val="20"/>
          <w:szCs w:val="20"/>
          <w:lang w:val="es-UY"/>
        </w:rPr>
        <w:t>s</w:t>
      </w:r>
      <w:r w:rsidRPr="00F17C42">
        <w:rPr>
          <w:rFonts w:asciiTheme="majorHAnsi" w:hAnsiTheme="majorHAnsi"/>
          <w:sz w:val="20"/>
          <w:szCs w:val="20"/>
          <w:lang w:val="es-UY"/>
        </w:rPr>
        <w:t xml:space="preserve"> </w:t>
      </w:r>
      <w:r w:rsidR="001C5B67" w:rsidRPr="00F17C42">
        <w:rPr>
          <w:rFonts w:asciiTheme="majorHAnsi" w:hAnsiTheme="majorHAnsi"/>
          <w:sz w:val="20"/>
          <w:szCs w:val="20"/>
          <w:lang w:val="es-UY"/>
        </w:rPr>
        <w:t>4 (</w:t>
      </w:r>
      <w:r w:rsidR="002C37FD" w:rsidRPr="00F17C42">
        <w:rPr>
          <w:rFonts w:asciiTheme="majorHAnsi" w:hAnsiTheme="majorHAnsi"/>
          <w:sz w:val="20"/>
          <w:szCs w:val="20"/>
          <w:lang w:val="es-UY"/>
        </w:rPr>
        <w:t>vida</w:t>
      </w:r>
      <w:r w:rsidR="001C5B67" w:rsidRPr="00F17C42">
        <w:rPr>
          <w:rFonts w:asciiTheme="majorHAnsi" w:hAnsiTheme="majorHAnsi"/>
          <w:sz w:val="20"/>
          <w:szCs w:val="20"/>
          <w:lang w:val="es-UY"/>
        </w:rPr>
        <w:t>)</w:t>
      </w:r>
      <w:r w:rsidR="002C37FD" w:rsidRPr="00F17C42">
        <w:rPr>
          <w:rFonts w:asciiTheme="majorHAnsi" w:hAnsiTheme="majorHAnsi"/>
          <w:sz w:val="20"/>
          <w:szCs w:val="20"/>
          <w:lang w:val="es-UY"/>
        </w:rPr>
        <w:t>, 5 (integridad personal), 7 (libertad</w:t>
      </w:r>
      <w:r w:rsidR="002C37FD">
        <w:rPr>
          <w:rFonts w:asciiTheme="majorHAnsi" w:hAnsiTheme="majorHAnsi"/>
          <w:sz w:val="20"/>
          <w:szCs w:val="20"/>
          <w:lang w:val="es-UY"/>
        </w:rPr>
        <w:t xml:space="preserve"> per</w:t>
      </w:r>
      <w:r w:rsidR="001E7367">
        <w:rPr>
          <w:rFonts w:asciiTheme="majorHAnsi" w:hAnsiTheme="majorHAnsi"/>
          <w:sz w:val="20"/>
          <w:szCs w:val="20"/>
          <w:lang w:val="es-UY"/>
        </w:rPr>
        <w:t>sonal), 8 (garantías judiciales</w:t>
      </w:r>
      <w:r w:rsidR="002C37FD">
        <w:rPr>
          <w:rFonts w:asciiTheme="majorHAnsi" w:hAnsiTheme="majorHAnsi"/>
          <w:sz w:val="20"/>
          <w:szCs w:val="20"/>
          <w:lang w:val="es-UY"/>
        </w:rPr>
        <w:t>), 11 (protección de la honra y de la dignidad)</w:t>
      </w:r>
      <w:r w:rsidR="008901EE">
        <w:rPr>
          <w:rFonts w:asciiTheme="majorHAnsi" w:hAnsiTheme="majorHAnsi"/>
          <w:sz w:val="20"/>
          <w:szCs w:val="20"/>
          <w:lang w:val="es-UY"/>
        </w:rPr>
        <w:t>, 19 (derechos del niño)</w:t>
      </w:r>
      <w:r w:rsidR="002C37FD">
        <w:rPr>
          <w:rFonts w:asciiTheme="majorHAnsi" w:hAnsiTheme="majorHAnsi"/>
          <w:sz w:val="20"/>
          <w:szCs w:val="20"/>
          <w:lang w:val="es-UY"/>
        </w:rPr>
        <w:t xml:space="preserve"> y 25 (protección judicial)</w:t>
      </w:r>
      <w:r w:rsidR="001C5B67">
        <w:rPr>
          <w:rFonts w:asciiTheme="majorHAnsi" w:hAnsiTheme="majorHAnsi"/>
          <w:sz w:val="20"/>
          <w:szCs w:val="20"/>
          <w:lang w:val="es-UY"/>
        </w:rPr>
        <w:t xml:space="preserve"> </w:t>
      </w:r>
      <w:r w:rsidRPr="0063685A">
        <w:rPr>
          <w:rFonts w:asciiTheme="majorHAnsi" w:hAnsiTheme="majorHAnsi"/>
          <w:sz w:val="20"/>
          <w:szCs w:val="20"/>
          <w:lang w:val="es-UY"/>
        </w:rPr>
        <w:t>de la Convención Americana sobre Derechos Humanos (en adelante, “Convención Americana” o “Convención”)</w:t>
      </w:r>
      <w:r w:rsidR="001C5B67">
        <w:rPr>
          <w:rFonts w:asciiTheme="majorHAnsi" w:hAnsiTheme="majorHAnsi"/>
          <w:sz w:val="20"/>
          <w:szCs w:val="20"/>
          <w:lang w:val="es-UY"/>
        </w:rPr>
        <w:t xml:space="preserve">, en relación con el artículo </w:t>
      </w:r>
      <w:r w:rsidR="008901EE">
        <w:rPr>
          <w:rFonts w:asciiTheme="majorHAnsi" w:hAnsiTheme="majorHAnsi"/>
          <w:sz w:val="20"/>
          <w:szCs w:val="20"/>
          <w:lang w:val="es-UY"/>
        </w:rPr>
        <w:t>1.</w:t>
      </w:r>
      <w:r w:rsidR="001C5B67">
        <w:rPr>
          <w:rFonts w:asciiTheme="majorHAnsi" w:hAnsiTheme="majorHAnsi"/>
          <w:sz w:val="20"/>
          <w:szCs w:val="20"/>
          <w:lang w:val="es-UY"/>
        </w:rPr>
        <w:t>1 de dicho tratado</w:t>
      </w:r>
      <w:r w:rsidRPr="0063685A">
        <w:rPr>
          <w:rFonts w:asciiTheme="majorHAnsi" w:hAnsiTheme="majorHAnsi"/>
          <w:sz w:val="20"/>
          <w:szCs w:val="20"/>
          <w:lang w:val="es-UY"/>
        </w:rPr>
        <w:t xml:space="preserve">. </w:t>
      </w:r>
      <w:r w:rsidR="00356F82" w:rsidRPr="00642EF6">
        <w:rPr>
          <w:rFonts w:ascii="Cambria" w:eastAsia="Times New Roman" w:hAnsi="Cambria" w:cs="Cambria"/>
          <w:bCs/>
          <w:iCs/>
          <w:sz w:val="20"/>
          <w:szCs w:val="20"/>
          <w:lang w:val="es-ES"/>
        </w:rPr>
        <w:t xml:space="preserve">Así como de los artículos 1, 6 y 8 de la Convención Interamericana para Prevenir y Sancionar la Tortura, relativos en su conjunto al deber de investigar y sancionar los posibles actos de tortura. </w:t>
      </w:r>
      <w:r w:rsidRPr="0063685A">
        <w:rPr>
          <w:rFonts w:asciiTheme="majorHAnsi" w:hAnsiTheme="majorHAnsi"/>
          <w:sz w:val="20"/>
          <w:szCs w:val="20"/>
          <w:lang w:val="es-UY"/>
        </w:rPr>
        <w:t>L</w:t>
      </w:r>
      <w:r w:rsidRPr="0063685A">
        <w:rPr>
          <w:rFonts w:asciiTheme="majorHAnsi" w:hAnsiTheme="majorHAnsi"/>
          <w:sz w:val="20"/>
          <w:szCs w:val="20"/>
          <w:lang w:val="es-ES"/>
        </w:rPr>
        <w:t>a Comisión decide además notificar esta decisión a las partes, publicarla e incluirla en su Informe Anual para la Asamblea General de la OEA.</w:t>
      </w:r>
    </w:p>
    <w:p w:rsidR="00A07CFD" w:rsidRDefault="00A07CFD" w:rsidP="00A07CF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A07CFD" w:rsidRPr="00A07CFD" w:rsidRDefault="00A07CFD" w:rsidP="00A07CF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b/>
          <w:sz w:val="20"/>
          <w:szCs w:val="20"/>
          <w:lang w:val="es-ES"/>
        </w:rPr>
      </w:pPr>
      <w:r>
        <w:rPr>
          <w:rFonts w:asciiTheme="majorHAnsi" w:hAnsiTheme="majorHAnsi"/>
          <w:b/>
          <w:sz w:val="20"/>
          <w:szCs w:val="20"/>
          <w:lang w:val="es-ES"/>
        </w:rPr>
        <w:t>II.</w:t>
      </w:r>
      <w:r>
        <w:rPr>
          <w:rFonts w:asciiTheme="majorHAnsi" w:hAnsiTheme="majorHAnsi"/>
          <w:b/>
          <w:sz w:val="20"/>
          <w:szCs w:val="20"/>
          <w:lang w:val="es-ES"/>
        </w:rPr>
        <w:tab/>
        <w:t>TRÁMITE ANTE LA COMISIÓN</w:t>
      </w:r>
    </w:p>
    <w:p w:rsidR="008901EE" w:rsidRDefault="008901EE" w:rsidP="0063685A">
      <w:pPr>
        <w:ind w:firstLine="720"/>
        <w:jc w:val="both"/>
        <w:rPr>
          <w:rFonts w:asciiTheme="majorHAnsi" w:hAnsiTheme="majorHAnsi"/>
          <w:b/>
          <w:bCs/>
          <w:sz w:val="20"/>
          <w:szCs w:val="20"/>
          <w:lang w:val="es-UY"/>
        </w:rPr>
      </w:pPr>
    </w:p>
    <w:p w:rsidR="0063685A" w:rsidRPr="00550CBD" w:rsidRDefault="0063685A"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20"/>
          <w:szCs w:val="20"/>
          <w:lang w:val="es-UY"/>
        </w:rPr>
      </w:pPr>
      <w:r w:rsidRPr="0063685A">
        <w:rPr>
          <w:rFonts w:asciiTheme="majorHAnsi" w:hAnsiTheme="majorHAnsi"/>
          <w:sz w:val="20"/>
          <w:szCs w:val="20"/>
          <w:lang w:val="es-UY"/>
        </w:rPr>
        <w:t xml:space="preserve">La CIDH recibió la petición el </w:t>
      </w:r>
      <w:r w:rsidR="0093430F">
        <w:rPr>
          <w:rFonts w:asciiTheme="majorHAnsi" w:hAnsiTheme="majorHAnsi"/>
          <w:sz w:val="20"/>
          <w:szCs w:val="20"/>
          <w:lang w:val="es-UY"/>
        </w:rPr>
        <w:t>6 de enero de 2009,</w:t>
      </w:r>
      <w:r w:rsidRPr="0063685A">
        <w:rPr>
          <w:rFonts w:asciiTheme="majorHAnsi" w:hAnsiTheme="majorHAnsi"/>
          <w:sz w:val="20"/>
          <w:szCs w:val="20"/>
          <w:lang w:val="es-UY"/>
        </w:rPr>
        <w:t xml:space="preserve"> y transmitió copia de las partes pertinentes al Estado </w:t>
      </w:r>
      <w:r w:rsidR="0093430F">
        <w:rPr>
          <w:rFonts w:asciiTheme="majorHAnsi" w:hAnsiTheme="majorHAnsi"/>
          <w:sz w:val="20"/>
          <w:szCs w:val="20"/>
          <w:lang w:val="es-UY"/>
        </w:rPr>
        <w:t xml:space="preserve">mediante nota de 9 de agosto de 2013, </w:t>
      </w:r>
      <w:r w:rsidRPr="0063685A">
        <w:rPr>
          <w:rFonts w:asciiTheme="majorHAnsi" w:hAnsiTheme="majorHAnsi"/>
          <w:sz w:val="20"/>
          <w:szCs w:val="20"/>
          <w:lang w:val="es-UY"/>
        </w:rPr>
        <w:t xml:space="preserve">otorgándole </w:t>
      </w:r>
      <w:r w:rsidR="008901EE">
        <w:rPr>
          <w:rFonts w:asciiTheme="majorHAnsi" w:hAnsiTheme="majorHAnsi"/>
          <w:sz w:val="20"/>
          <w:szCs w:val="20"/>
          <w:lang w:val="es-UY"/>
        </w:rPr>
        <w:t>el</w:t>
      </w:r>
      <w:r w:rsidRPr="0063685A">
        <w:rPr>
          <w:rFonts w:asciiTheme="majorHAnsi" w:hAnsiTheme="majorHAnsi"/>
          <w:sz w:val="20"/>
          <w:szCs w:val="20"/>
          <w:lang w:val="es-UY"/>
        </w:rPr>
        <w:t xml:space="preserve"> plazo de </w:t>
      </w:r>
      <w:r w:rsidR="008901EE">
        <w:rPr>
          <w:rFonts w:asciiTheme="majorHAnsi" w:hAnsiTheme="majorHAnsi"/>
          <w:sz w:val="20"/>
          <w:szCs w:val="20"/>
          <w:lang w:val="es-UY"/>
        </w:rPr>
        <w:t>tres</w:t>
      </w:r>
      <w:r w:rsidR="00EA185F">
        <w:rPr>
          <w:rFonts w:asciiTheme="majorHAnsi" w:hAnsiTheme="majorHAnsi"/>
          <w:sz w:val="20"/>
          <w:szCs w:val="20"/>
          <w:lang w:val="es-UY"/>
        </w:rPr>
        <w:t xml:space="preserve"> meses</w:t>
      </w:r>
      <w:r w:rsidRPr="0063685A">
        <w:rPr>
          <w:rFonts w:asciiTheme="majorHAnsi" w:hAnsiTheme="majorHAnsi"/>
          <w:sz w:val="20"/>
          <w:szCs w:val="20"/>
          <w:lang w:val="es-UY"/>
        </w:rPr>
        <w:t xml:space="preserve"> para someter sus observaciones</w:t>
      </w:r>
      <w:r w:rsidR="007468FC">
        <w:rPr>
          <w:rFonts w:asciiTheme="majorHAnsi" w:hAnsiTheme="majorHAnsi"/>
          <w:sz w:val="20"/>
          <w:szCs w:val="20"/>
          <w:lang w:val="es-UY"/>
        </w:rPr>
        <w:t>, con base en el artículo 30.</w:t>
      </w:r>
      <w:r w:rsidR="00057DD7">
        <w:rPr>
          <w:rFonts w:asciiTheme="majorHAnsi" w:hAnsiTheme="majorHAnsi"/>
          <w:sz w:val="20"/>
          <w:szCs w:val="20"/>
          <w:lang w:val="es-UY"/>
        </w:rPr>
        <w:t xml:space="preserve">3 de su </w:t>
      </w:r>
      <w:r w:rsidR="00057DD7" w:rsidRPr="00740F76">
        <w:rPr>
          <w:rFonts w:asciiTheme="majorHAnsi" w:hAnsiTheme="majorHAnsi"/>
          <w:sz w:val="20"/>
          <w:szCs w:val="20"/>
          <w:lang w:val="es-UY"/>
        </w:rPr>
        <w:t>Reglamento entonces en vigor</w:t>
      </w:r>
      <w:r w:rsidRPr="0063685A">
        <w:rPr>
          <w:rFonts w:asciiTheme="majorHAnsi" w:hAnsiTheme="majorHAnsi"/>
          <w:sz w:val="20"/>
          <w:szCs w:val="20"/>
          <w:lang w:val="es-UY"/>
        </w:rPr>
        <w:t xml:space="preserve">. </w:t>
      </w:r>
      <w:r w:rsidR="00740F76">
        <w:rPr>
          <w:rFonts w:asciiTheme="majorHAnsi" w:hAnsiTheme="majorHAnsi"/>
          <w:sz w:val="20"/>
          <w:szCs w:val="20"/>
          <w:lang w:val="es-UY"/>
        </w:rPr>
        <w:t xml:space="preserve">Mediante nota del 21 de </w:t>
      </w:r>
      <w:r w:rsidR="00740F76">
        <w:rPr>
          <w:rFonts w:asciiTheme="majorHAnsi" w:hAnsiTheme="majorHAnsi"/>
          <w:sz w:val="20"/>
          <w:szCs w:val="20"/>
          <w:lang w:val="es-UY"/>
        </w:rPr>
        <w:lastRenderedPageBreak/>
        <w:t>noviembre de 2013</w:t>
      </w:r>
      <w:r w:rsidRPr="0063685A">
        <w:rPr>
          <w:rFonts w:asciiTheme="majorHAnsi" w:hAnsiTheme="majorHAnsi"/>
          <w:bCs/>
          <w:sz w:val="20"/>
          <w:szCs w:val="20"/>
          <w:lang w:val="es-PE"/>
        </w:rPr>
        <w:t xml:space="preserve"> se recibió la respuesta del Estado</w:t>
      </w:r>
      <w:r w:rsidRPr="0063685A">
        <w:rPr>
          <w:rFonts w:asciiTheme="majorHAnsi" w:hAnsiTheme="majorHAnsi"/>
          <w:color w:val="000000"/>
          <w:sz w:val="20"/>
          <w:szCs w:val="20"/>
          <w:lang w:val="es-ES"/>
        </w:rPr>
        <w:t xml:space="preserve">, </w:t>
      </w:r>
      <w:r w:rsidR="00057DD7">
        <w:rPr>
          <w:rFonts w:asciiTheme="majorHAnsi" w:hAnsiTheme="majorHAnsi"/>
          <w:color w:val="000000"/>
          <w:sz w:val="20"/>
          <w:szCs w:val="20"/>
          <w:lang w:val="es-ES"/>
        </w:rPr>
        <w:t xml:space="preserve">la cual fue trasladada </w:t>
      </w:r>
      <w:r w:rsidRPr="0063685A">
        <w:rPr>
          <w:rFonts w:asciiTheme="majorHAnsi" w:hAnsiTheme="majorHAnsi"/>
          <w:color w:val="000000"/>
          <w:sz w:val="20"/>
          <w:szCs w:val="20"/>
          <w:lang w:val="es-ES"/>
        </w:rPr>
        <w:t>al</w:t>
      </w:r>
      <w:r w:rsidR="00740F76">
        <w:rPr>
          <w:rFonts w:asciiTheme="majorHAnsi" w:hAnsiTheme="majorHAnsi"/>
          <w:color w:val="000000"/>
          <w:sz w:val="20"/>
          <w:szCs w:val="20"/>
          <w:lang w:val="es-ES"/>
        </w:rPr>
        <w:t xml:space="preserve"> </w:t>
      </w:r>
      <w:r w:rsidRPr="0063685A">
        <w:rPr>
          <w:rFonts w:asciiTheme="majorHAnsi" w:hAnsiTheme="majorHAnsi"/>
          <w:color w:val="000000"/>
          <w:sz w:val="20"/>
          <w:szCs w:val="20"/>
          <w:lang w:val="es-ES"/>
        </w:rPr>
        <w:t xml:space="preserve">peticionario el </w:t>
      </w:r>
      <w:r w:rsidR="00060B32">
        <w:rPr>
          <w:rFonts w:asciiTheme="majorHAnsi" w:hAnsiTheme="majorHAnsi"/>
          <w:color w:val="000000"/>
          <w:sz w:val="20"/>
          <w:szCs w:val="20"/>
          <w:lang w:val="es-ES"/>
        </w:rPr>
        <w:t>4 de abril de 2013</w:t>
      </w:r>
      <w:r w:rsidRPr="0063685A">
        <w:rPr>
          <w:rFonts w:asciiTheme="majorHAnsi" w:hAnsiTheme="majorHAnsi"/>
          <w:bCs/>
          <w:sz w:val="20"/>
          <w:szCs w:val="20"/>
          <w:lang w:val="es-PE"/>
        </w:rPr>
        <w:t>.</w:t>
      </w:r>
    </w:p>
    <w:p w:rsidR="0063685A" w:rsidRPr="0063685A" w:rsidRDefault="0063685A" w:rsidP="0063685A">
      <w:pPr>
        <w:jc w:val="both"/>
        <w:rPr>
          <w:rFonts w:asciiTheme="majorHAnsi" w:hAnsiTheme="majorHAnsi"/>
          <w:sz w:val="20"/>
          <w:szCs w:val="20"/>
          <w:lang w:val="es-UY"/>
        </w:rPr>
      </w:pPr>
    </w:p>
    <w:p w:rsidR="00ED1CF8" w:rsidRDefault="0063685A" w:rsidP="00ED1C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63685A">
        <w:rPr>
          <w:rFonts w:asciiTheme="majorHAnsi" w:hAnsiTheme="majorHAnsi"/>
          <w:color w:val="000000"/>
          <w:sz w:val="20"/>
          <w:szCs w:val="20"/>
          <w:lang w:val="es-UY"/>
        </w:rPr>
        <w:t>El</w:t>
      </w:r>
      <w:r w:rsidRPr="00057DD7">
        <w:rPr>
          <w:rFonts w:asciiTheme="majorHAnsi" w:hAnsiTheme="majorHAnsi"/>
          <w:color w:val="FF0000"/>
          <w:sz w:val="20"/>
          <w:szCs w:val="20"/>
          <w:lang w:val="es-ES"/>
        </w:rPr>
        <w:t xml:space="preserve"> </w:t>
      </w:r>
      <w:r w:rsidRPr="0063685A">
        <w:rPr>
          <w:rFonts w:asciiTheme="majorHAnsi" w:hAnsiTheme="majorHAnsi"/>
          <w:color w:val="000000"/>
          <w:sz w:val="20"/>
          <w:szCs w:val="20"/>
          <w:lang w:val="es-ES"/>
        </w:rPr>
        <w:t>peticionario</w:t>
      </w:r>
      <w:r w:rsidRPr="00057DD7">
        <w:rPr>
          <w:rFonts w:asciiTheme="majorHAnsi" w:hAnsiTheme="majorHAnsi"/>
          <w:color w:val="FF0000"/>
          <w:sz w:val="20"/>
          <w:szCs w:val="20"/>
          <w:lang w:val="es-ES"/>
        </w:rPr>
        <w:t xml:space="preserve"> </w:t>
      </w:r>
      <w:r w:rsidRPr="0063685A">
        <w:rPr>
          <w:rFonts w:asciiTheme="majorHAnsi" w:hAnsiTheme="majorHAnsi"/>
          <w:color w:val="000000"/>
          <w:sz w:val="20"/>
          <w:szCs w:val="20"/>
          <w:lang w:val="es-ES"/>
        </w:rPr>
        <w:t>presentó</w:t>
      </w:r>
      <w:r w:rsidRPr="00057DD7">
        <w:rPr>
          <w:rFonts w:asciiTheme="majorHAnsi" w:hAnsiTheme="majorHAnsi"/>
          <w:color w:val="FF0000"/>
          <w:sz w:val="20"/>
          <w:szCs w:val="20"/>
          <w:lang w:val="es-ES"/>
        </w:rPr>
        <w:t xml:space="preserve"> </w:t>
      </w:r>
      <w:r w:rsidR="0030193E">
        <w:rPr>
          <w:rFonts w:asciiTheme="majorHAnsi" w:hAnsiTheme="majorHAnsi"/>
          <w:color w:val="000000"/>
          <w:sz w:val="20"/>
          <w:szCs w:val="20"/>
          <w:lang w:val="es-ES"/>
        </w:rPr>
        <w:t>información</w:t>
      </w:r>
      <w:r w:rsidRPr="0063685A">
        <w:rPr>
          <w:rFonts w:asciiTheme="majorHAnsi" w:hAnsiTheme="majorHAnsi"/>
          <w:color w:val="000000"/>
          <w:sz w:val="20"/>
          <w:szCs w:val="20"/>
          <w:lang w:val="es-ES"/>
        </w:rPr>
        <w:t xml:space="preserve"> adicional el </w:t>
      </w:r>
      <w:r w:rsidR="00F9066D">
        <w:rPr>
          <w:rFonts w:asciiTheme="majorHAnsi" w:hAnsiTheme="majorHAnsi"/>
          <w:color w:val="000000"/>
          <w:sz w:val="20"/>
          <w:szCs w:val="20"/>
          <w:lang w:val="es-ES"/>
        </w:rPr>
        <w:t xml:space="preserve">10 de enero, el </w:t>
      </w:r>
      <w:r w:rsidR="00F9066D">
        <w:rPr>
          <w:rFonts w:asciiTheme="majorHAnsi" w:hAnsiTheme="majorHAnsi"/>
          <w:sz w:val="20"/>
          <w:szCs w:val="20"/>
          <w:lang w:val="es-UY"/>
        </w:rPr>
        <w:t>16 de mayo y el 21 de agosto de 2014</w:t>
      </w:r>
      <w:r w:rsidRPr="0063685A">
        <w:rPr>
          <w:rFonts w:asciiTheme="majorHAnsi" w:hAnsiTheme="majorHAnsi"/>
          <w:bCs/>
          <w:sz w:val="20"/>
          <w:szCs w:val="20"/>
          <w:lang w:val="es-PE"/>
        </w:rPr>
        <w:t xml:space="preserve">. Estas comunicaciones fueron debidamente trasladadas </w:t>
      </w:r>
      <w:r w:rsidR="00F9066D">
        <w:rPr>
          <w:rFonts w:asciiTheme="majorHAnsi" w:hAnsiTheme="majorHAnsi"/>
          <w:bCs/>
          <w:sz w:val="20"/>
          <w:szCs w:val="20"/>
          <w:lang w:val="es-PE"/>
        </w:rPr>
        <w:t>al Estado</w:t>
      </w:r>
      <w:r w:rsidRPr="0063685A">
        <w:rPr>
          <w:rFonts w:asciiTheme="majorHAnsi" w:hAnsiTheme="majorHAnsi"/>
          <w:bCs/>
          <w:sz w:val="20"/>
          <w:szCs w:val="20"/>
          <w:lang w:val="es-PE"/>
        </w:rPr>
        <w:t>.</w:t>
      </w:r>
      <w:r w:rsidRPr="0063685A">
        <w:rPr>
          <w:rFonts w:asciiTheme="majorHAnsi" w:hAnsiTheme="majorHAnsi"/>
          <w:sz w:val="20"/>
          <w:szCs w:val="20"/>
          <w:lang w:val="es-UY"/>
        </w:rPr>
        <w:t xml:space="preserve"> </w:t>
      </w:r>
    </w:p>
    <w:p w:rsidR="00ED1CF8" w:rsidRDefault="00ED1CF8" w:rsidP="00ED1CF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ED1CF8" w:rsidRPr="00F17C42" w:rsidRDefault="00ED1CF8" w:rsidP="00ED1CF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b/>
          <w:sz w:val="20"/>
          <w:szCs w:val="20"/>
          <w:lang w:val="es-UY"/>
        </w:rPr>
      </w:pPr>
      <w:r w:rsidRPr="00F17C42">
        <w:rPr>
          <w:rFonts w:asciiTheme="majorHAnsi" w:hAnsiTheme="majorHAnsi"/>
          <w:b/>
          <w:sz w:val="20"/>
          <w:szCs w:val="20"/>
          <w:lang w:val="es-UY"/>
        </w:rPr>
        <w:t>Medidas cautelares</w:t>
      </w:r>
    </w:p>
    <w:p w:rsidR="00ED1CF8" w:rsidRPr="00F17C42" w:rsidRDefault="00ED1CF8" w:rsidP="00ED1CF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b/>
          <w:sz w:val="20"/>
          <w:szCs w:val="20"/>
          <w:lang w:val="es-UY"/>
        </w:rPr>
      </w:pPr>
    </w:p>
    <w:p w:rsidR="007A090C" w:rsidRDefault="004F1772" w:rsidP="000253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UY"/>
        </w:rPr>
        <w:t xml:space="preserve">El 22 de diciembre de </w:t>
      </w:r>
      <w:r w:rsidR="004A4FE3">
        <w:rPr>
          <w:rFonts w:asciiTheme="majorHAnsi" w:hAnsiTheme="majorHAnsi"/>
          <w:sz w:val="20"/>
          <w:szCs w:val="20"/>
          <w:lang w:val="es-UY"/>
        </w:rPr>
        <w:t>2008 el peticionario solicitó medidas cautelares para él y su famil</w:t>
      </w:r>
      <w:r w:rsidR="007A090C">
        <w:rPr>
          <w:rFonts w:asciiTheme="majorHAnsi" w:hAnsiTheme="majorHAnsi"/>
          <w:sz w:val="20"/>
          <w:szCs w:val="20"/>
          <w:lang w:val="es-UY"/>
        </w:rPr>
        <w:t>ia</w:t>
      </w:r>
      <w:r w:rsidR="004A4FE3">
        <w:rPr>
          <w:rFonts w:asciiTheme="majorHAnsi" w:hAnsiTheme="majorHAnsi"/>
          <w:sz w:val="20"/>
          <w:szCs w:val="20"/>
          <w:lang w:val="es-UY"/>
        </w:rPr>
        <w:t xml:space="preserve">; sin embargo, esta solicitud fue rechazada el 14 de abril de 2009. Asimismo, solicitó medidas cautelares el 14 de mayo de 2010; sin embargo, el 4 de junio de 2012 la Comisión decidió </w:t>
      </w:r>
      <w:r w:rsidR="001376F6">
        <w:rPr>
          <w:rFonts w:asciiTheme="majorHAnsi" w:hAnsiTheme="majorHAnsi"/>
          <w:sz w:val="20"/>
          <w:szCs w:val="20"/>
          <w:lang w:val="es-UY"/>
        </w:rPr>
        <w:t>no otorgar dicha solicitud.</w:t>
      </w:r>
    </w:p>
    <w:p w:rsidR="004F1772" w:rsidRDefault="004A4FE3" w:rsidP="007A090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r>
        <w:rPr>
          <w:rFonts w:asciiTheme="majorHAnsi" w:hAnsiTheme="majorHAnsi"/>
          <w:sz w:val="20"/>
          <w:szCs w:val="20"/>
          <w:lang w:val="es-UY"/>
        </w:rPr>
        <w:t xml:space="preserve">  </w:t>
      </w:r>
    </w:p>
    <w:p w:rsidR="00ED1CF8" w:rsidRPr="0002534E" w:rsidRDefault="0002534E" w:rsidP="000253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UY"/>
        </w:rPr>
        <w:t xml:space="preserve">Posteriormente, el </w:t>
      </w:r>
      <w:r w:rsidR="00ED1CF8" w:rsidRPr="0002534E">
        <w:rPr>
          <w:rFonts w:asciiTheme="majorHAnsi" w:hAnsiTheme="majorHAnsi"/>
          <w:sz w:val="20"/>
          <w:szCs w:val="20"/>
          <w:lang w:val="es-UY"/>
        </w:rPr>
        <w:t xml:space="preserve">2 de agosto de 2012 los peticionarios solicitaron </w:t>
      </w:r>
      <w:r w:rsidR="004F1772">
        <w:rPr>
          <w:rFonts w:asciiTheme="majorHAnsi" w:hAnsiTheme="majorHAnsi"/>
          <w:sz w:val="20"/>
          <w:szCs w:val="20"/>
          <w:lang w:val="es-UY"/>
        </w:rPr>
        <w:t xml:space="preserve">nuevamente </w:t>
      </w:r>
      <w:r w:rsidR="00ED1CF8" w:rsidRPr="0002534E">
        <w:rPr>
          <w:rFonts w:asciiTheme="majorHAnsi" w:hAnsiTheme="majorHAnsi"/>
          <w:sz w:val="20"/>
          <w:szCs w:val="20"/>
          <w:lang w:val="es-UY"/>
        </w:rPr>
        <w:t>medidas cautelares a la CIDH, dicha solicitud fue registrada bajo el número MC-267-12</w:t>
      </w:r>
      <w:r w:rsidR="00020C99">
        <w:rPr>
          <w:rFonts w:asciiTheme="majorHAnsi" w:hAnsiTheme="majorHAnsi"/>
          <w:sz w:val="20"/>
          <w:szCs w:val="20"/>
          <w:lang w:val="es-UY"/>
        </w:rPr>
        <w:t>. El 16 de septiembre de 2013 la Comisión solicitó información al Estado. A</w:t>
      </w:r>
      <w:r w:rsidR="00ED1CF8" w:rsidRPr="0002534E">
        <w:rPr>
          <w:rFonts w:asciiTheme="majorHAnsi" w:hAnsiTheme="majorHAnsi"/>
          <w:sz w:val="20"/>
          <w:szCs w:val="20"/>
          <w:lang w:val="es-UY"/>
        </w:rPr>
        <w:t xml:space="preserve">ctualmente </w:t>
      </w:r>
      <w:r w:rsidR="00020C99">
        <w:rPr>
          <w:rFonts w:asciiTheme="majorHAnsi" w:hAnsiTheme="majorHAnsi"/>
          <w:sz w:val="20"/>
          <w:szCs w:val="20"/>
          <w:lang w:val="es-UY"/>
        </w:rPr>
        <w:t>esta solicitud de MC se encuentra en trámite.</w:t>
      </w:r>
      <w:r w:rsidR="00ED1CF8" w:rsidRPr="0002534E">
        <w:rPr>
          <w:rFonts w:asciiTheme="majorHAnsi" w:hAnsiTheme="majorHAnsi"/>
          <w:sz w:val="20"/>
          <w:szCs w:val="20"/>
          <w:lang w:val="es-UY"/>
        </w:rPr>
        <w:t xml:space="preserve"> </w:t>
      </w:r>
      <w:r w:rsidR="0011458D">
        <w:rPr>
          <w:rFonts w:asciiTheme="majorHAnsi" w:hAnsiTheme="majorHAnsi"/>
          <w:sz w:val="20"/>
          <w:szCs w:val="20"/>
          <w:lang w:val="es-UY"/>
        </w:rPr>
        <w:t xml:space="preserve">De acuerdo con información recibida por la CIDH, el peticionario habría sido nombrado como agregado militar </w:t>
      </w:r>
      <w:r w:rsidR="00C4132F">
        <w:rPr>
          <w:rFonts w:asciiTheme="majorHAnsi" w:hAnsiTheme="majorHAnsi"/>
          <w:sz w:val="20"/>
          <w:szCs w:val="20"/>
          <w:lang w:val="es-UY"/>
        </w:rPr>
        <w:t>en Nicaragua entre 2007 y 2011.</w:t>
      </w:r>
    </w:p>
    <w:p w:rsidR="0063685A" w:rsidRDefault="0063685A" w:rsidP="0063685A">
      <w:pPr>
        <w:jc w:val="both"/>
        <w:rPr>
          <w:rFonts w:asciiTheme="majorHAnsi" w:hAnsiTheme="majorHAnsi"/>
          <w:sz w:val="20"/>
          <w:szCs w:val="20"/>
          <w:lang w:val="es-UY"/>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III.</w:t>
      </w:r>
      <w:r w:rsidRPr="0063685A">
        <w:rPr>
          <w:rFonts w:asciiTheme="majorHAnsi" w:hAnsiTheme="majorHAnsi"/>
          <w:b/>
          <w:bCs/>
          <w:sz w:val="20"/>
          <w:szCs w:val="20"/>
          <w:lang w:val="es-UY"/>
        </w:rPr>
        <w:tab/>
        <w:t>POSICIÓN DE LAS PARTES</w:t>
      </w:r>
    </w:p>
    <w:p w:rsidR="0063685A" w:rsidRPr="0063685A" w:rsidRDefault="0063685A" w:rsidP="0063685A">
      <w:pPr>
        <w:jc w:val="both"/>
        <w:rPr>
          <w:rFonts w:asciiTheme="majorHAnsi" w:hAnsiTheme="majorHAnsi"/>
          <w:sz w:val="20"/>
          <w:szCs w:val="20"/>
          <w:lang w:val="es-UY"/>
        </w:rPr>
      </w:pPr>
    </w:p>
    <w:p w:rsidR="0063685A" w:rsidRPr="00596831" w:rsidRDefault="0063685A" w:rsidP="0063685A">
      <w:pPr>
        <w:ind w:firstLine="720"/>
        <w:jc w:val="both"/>
        <w:rPr>
          <w:rFonts w:asciiTheme="majorHAnsi" w:hAnsiTheme="majorHAnsi"/>
          <w:b/>
          <w:bCs/>
          <w:color w:val="FF0000"/>
          <w:sz w:val="20"/>
          <w:szCs w:val="20"/>
          <w:lang w:val="es-UY"/>
        </w:rPr>
      </w:pPr>
      <w:r w:rsidRPr="0063685A">
        <w:rPr>
          <w:rFonts w:asciiTheme="majorHAnsi" w:hAnsiTheme="majorHAnsi"/>
          <w:b/>
          <w:bCs/>
          <w:sz w:val="20"/>
          <w:szCs w:val="20"/>
          <w:lang w:val="es-UY"/>
        </w:rPr>
        <w:t>A.</w:t>
      </w:r>
      <w:r w:rsidRPr="0063685A">
        <w:rPr>
          <w:rFonts w:asciiTheme="majorHAnsi" w:hAnsiTheme="majorHAnsi"/>
          <w:b/>
          <w:bCs/>
          <w:sz w:val="20"/>
          <w:szCs w:val="20"/>
          <w:lang w:val="es-UY"/>
        </w:rPr>
        <w:tab/>
        <w:t>Posición del</w:t>
      </w:r>
      <w:r w:rsidRPr="00112D7A">
        <w:rPr>
          <w:rFonts w:asciiTheme="majorHAnsi" w:hAnsiTheme="majorHAnsi"/>
          <w:b/>
          <w:bCs/>
          <w:color w:val="FF0000"/>
          <w:sz w:val="20"/>
          <w:szCs w:val="20"/>
          <w:lang w:val="es-UY"/>
        </w:rPr>
        <w:t xml:space="preserve"> </w:t>
      </w:r>
      <w:r w:rsidRPr="0063685A">
        <w:rPr>
          <w:rFonts w:asciiTheme="majorHAnsi" w:hAnsiTheme="majorHAnsi"/>
          <w:b/>
          <w:bCs/>
          <w:sz w:val="20"/>
          <w:szCs w:val="20"/>
          <w:lang w:val="es-UY"/>
        </w:rPr>
        <w:t>peticionario</w:t>
      </w:r>
    </w:p>
    <w:p w:rsidR="0063685A" w:rsidRPr="0063685A" w:rsidRDefault="0063685A" w:rsidP="0063685A">
      <w:pPr>
        <w:jc w:val="both"/>
        <w:rPr>
          <w:rFonts w:asciiTheme="majorHAnsi" w:hAnsiTheme="majorHAnsi" w:cs="Arial"/>
          <w:sz w:val="20"/>
          <w:szCs w:val="20"/>
          <w:lang w:val="es-UY"/>
        </w:rPr>
      </w:pPr>
    </w:p>
    <w:p w:rsidR="0063685A" w:rsidRDefault="00F9066D"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UY"/>
        </w:rPr>
      </w:pPr>
      <w:r>
        <w:rPr>
          <w:rFonts w:asciiTheme="majorHAnsi" w:hAnsiTheme="majorHAnsi" w:cs="Arial"/>
          <w:sz w:val="20"/>
          <w:szCs w:val="20"/>
          <w:lang w:val="es-UY"/>
        </w:rPr>
        <w:t xml:space="preserve">El </w:t>
      </w:r>
      <w:r w:rsidR="00AA7A16">
        <w:rPr>
          <w:rFonts w:asciiTheme="majorHAnsi" w:hAnsiTheme="majorHAnsi" w:cs="Arial"/>
          <w:sz w:val="20"/>
          <w:szCs w:val="20"/>
          <w:lang w:val="es-UY"/>
        </w:rPr>
        <w:t>peticionario, un ex C</w:t>
      </w:r>
      <w:r w:rsidR="00506A07">
        <w:rPr>
          <w:rFonts w:asciiTheme="majorHAnsi" w:hAnsiTheme="majorHAnsi" w:cs="Arial"/>
          <w:sz w:val="20"/>
          <w:szCs w:val="20"/>
          <w:lang w:val="es-UY"/>
        </w:rPr>
        <w:t xml:space="preserve">oronel </w:t>
      </w:r>
      <w:r w:rsidR="00AA7A16">
        <w:rPr>
          <w:rFonts w:asciiTheme="majorHAnsi" w:hAnsiTheme="majorHAnsi" w:cs="Arial"/>
          <w:sz w:val="20"/>
          <w:szCs w:val="20"/>
          <w:lang w:val="es-UY"/>
        </w:rPr>
        <w:t xml:space="preserve">de las Fuerzas Armadas, denuncia que su hija Verónica </w:t>
      </w:r>
      <w:r w:rsidR="008F6A03">
        <w:rPr>
          <w:rFonts w:asciiTheme="majorHAnsi" w:hAnsiTheme="majorHAnsi" w:cs="Arial"/>
          <w:sz w:val="20"/>
          <w:szCs w:val="20"/>
          <w:lang w:val="es-UY"/>
        </w:rPr>
        <w:t xml:space="preserve">J. Palacios V., una niña de 17 años que padecía “parálisis cerebral, retardo mental leve, dificultad para hablar y caminar debido a espasticidad en brazos y piernas”, </w:t>
      </w:r>
      <w:r w:rsidR="00495BF5">
        <w:rPr>
          <w:rFonts w:asciiTheme="majorHAnsi" w:hAnsiTheme="majorHAnsi" w:cs="Arial"/>
          <w:sz w:val="20"/>
          <w:szCs w:val="20"/>
          <w:lang w:val="es-UY"/>
        </w:rPr>
        <w:t xml:space="preserve">fue secuestrada en las inmediaciones de su hogar el 22 de junio de 2005 antes de las 9:00 de la mañana. La Policía Nacional Civil </w:t>
      </w:r>
      <w:r w:rsidR="00956354">
        <w:rPr>
          <w:rFonts w:asciiTheme="majorHAnsi" w:hAnsiTheme="majorHAnsi" w:cs="Arial"/>
          <w:sz w:val="20"/>
          <w:szCs w:val="20"/>
          <w:lang w:val="es-UY"/>
        </w:rPr>
        <w:t xml:space="preserve">(en adelante “PNC”) </w:t>
      </w:r>
      <w:r w:rsidR="00495BF5">
        <w:rPr>
          <w:rFonts w:asciiTheme="majorHAnsi" w:hAnsiTheme="majorHAnsi" w:cs="Arial"/>
          <w:sz w:val="20"/>
          <w:szCs w:val="20"/>
          <w:lang w:val="es-UY"/>
        </w:rPr>
        <w:t xml:space="preserve">se habría abstenido de ayudarlos aduciendo que tenían que pasar 24 horas para presentar una denuncia de desaparición. </w:t>
      </w:r>
      <w:r w:rsidR="003E440C">
        <w:rPr>
          <w:rFonts w:asciiTheme="majorHAnsi" w:hAnsiTheme="majorHAnsi" w:cs="Arial"/>
          <w:sz w:val="20"/>
          <w:szCs w:val="20"/>
          <w:lang w:val="es-UY"/>
        </w:rPr>
        <w:t>En los días siguientes e</w:t>
      </w:r>
      <w:r w:rsidR="00495BF5">
        <w:rPr>
          <w:rFonts w:asciiTheme="majorHAnsi" w:hAnsiTheme="majorHAnsi" w:cs="Arial"/>
          <w:sz w:val="20"/>
          <w:szCs w:val="20"/>
          <w:lang w:val="es-UY"/>
        </w:rPr>
        <w:t>l peticionario y su esposa buscaron</w:t>
      </w:r>
      <w:r w:rsidR="003E440C">
        <w:rPr>
          <w:rFonts w:asciiTheme="majorHAnsi" w:hAnsiTheme="majorHAnsi" w:cs="Arial"/>
          <w:sz w:val="20"/>
          <w:szCs w:val="20"/>
          <w:lang w:val="es-UY"/>
        </w:rPr>
        <w:t xml:space="preserve"> por todos los medios posibles </w:t>
      </w:r>
      <w:r w:rsidR="00495BF5">
        <w:rPr>
          <w:rFonts w:asciiTheme="majorHAnsi" w:hAnsiTheme="majorHAnsi" w:cs="Arial"/>
          <w:sz w:val="20"/>
          <w:szCs w:val="20"/>
          <w:lang w:val="es-UY"/>
        </w:rPr>
        <w:t>a su hija</w:t>
      </w:r>
      <w:r w:rsidR="003E440C">
        <w:rPr>
          <w:rFonts w:asciiTheme="majorHAnsi" w:hAnsiTheme="majorHAnsi" w:cs="Arial"/>
          <w:sz w:val="20"/>
          <w:szCs w:val="20"/>
          <w:lang w:val="es-UY"/>
        </w:rPr>
        <w:t xml:space="preserve"> sin resultado alguno</w:t>
      </w:r>
      <w:r w:rsidR="000B59EA">
        <w:rPr>
          <w:rFonts w:asciiTheme="majorHAnsi" w:hAnsiTheme="majorHAnsi" w:cs="Arial"/>
          <w:sz w:val="20"/>
          <w:szCs w:val="20"/>
          <w:lang w:val="es-UY"/>
        </w:rPr>
        <w:t>;</w:t>
      </w:r>
      <w:r w:rsidR="003E440C">
        <w:rPr>
          <w:rFonts w:asciiTheme="majorHAnsi" w:hAnsiTheme="majorHAnsi" w:cs="Arial"/>
          <w:sz w:val="20"/>
          <w:szCs w:val="20"/>
          <w:lang w:val="es-UY"/>
        </w:rPr>
        <w:t xml:space="preserve"> hasta que el 27 de junio un funcionario del Centro Médico Militar, que conocía a su hija, lo llamó para informarle que </w:t>
      </w:r>
      <w:r w:rsidR="004002E4">
        <w:rPr>
          <w:rFonts w:asciiTheme="majorHAnsi" w:hAnsiTheme="majorHAnsi" w:cs="Arial"/>
          <w:sz w:val="20"/>
          <w:szCs w:val="20"/>
          <w:lang w:val="es-UY"/>
        </w:rPr>
        <w:t>su</w:t>
      </w:r>
      <w:r w:rsidR="003E440C">
        <w:rPr>
          <w:rFonts w:asciiTheme="majorHAnsi" w:hAnsiTheme="majorHAnsi" w:cs="Arial"/>
          <w:sz w:val="20"/>
          <w:szCs w:val="20"/>
          <w:lang w:val="es-UY"/>
        </w:rPr>
        <w:t xml:space="preserve"> cadáver se encontraba en la morgue del Órgano Judicial. </w:t>
      </w:r>
      <w:r w:rsidR="00112B17">
        <w:rPr>
          <w:rFonts w:asciiTheme="majorHAnsi" w:hAnsiTheme="majorHAnsi" w:cs="Arial"/>
          <w:sz w:val="20"/>
          <w:szCs w:val="20"/>
          <w:lang w:val="es-UY"/>
        </w:rPr>
        <w:t xml:space="preserve">Posteriormente, se habría determinado que la presunta víctima habría permanecido viva durante 48 luego de su </w:t>
      </w:r>
      <w:r w:rsidR="0002534E">
        <w:rPr>
          <w:rFonts w:asciiTheme="majorHAnsi" w:hAnsiTheme="majorHAnsi" w:cs="Arial"/>
          <w:sz w:val="20"/>
          <w:szCs w:val="20"/>
          <w:lang w:val="es-UY"/>
        </w:rPr>
        <w:t>privación ilegal de la libertad</w:t>
      </w:r>
      <w:r w:rsidR="00112B17">
        <w:rPr>
          <w:rFonts w:asciiTheme="majorHAnsi" w:hAnsiTheme="majorHAnsi" w:cs="Arial"/>
          <w:sz w:val="20"/>
          <w:szCs w:val="20"/>
          <w:lang w:val="es-UY"/>
        </w:rPr>
        <w:t xml:space="preserve">. </w:t>
      </w:r>
      <w:r w:rsidR="00A807B2">
        <w:rPr>
          <w:rFonts w:asciiTheme="majorHAnsi" w:hAnsiTheme="majorHAnsi" w:cs="Arial"/>
          <w:sz w:val="20"/>
          <w:szCs w:val="20"/>
          <w:lang w:val="es-UY"/>
        </w:rPr>
        <w:t>El peticionario y su esposa acudieron al Ministerio Público a presentar la denuncia el 7 de julio de 2005.</w:t>
      </w:r>
    </w:p>
    <w:p w:rsidR="003E440C" w:rsidRDefault="003E440C" w:rsidP="003E440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UY"/>
        </w:rPr>
      </w:pPr>
    </w:p>
    <w:p w:rsidR="003E440C" w:rsidRPr="00DB23BA" w:rsidRDefault="00EB6C2B"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UY"/>
        </w:rPr>
      </w:pPr>
      <w:r w:rsidRPr="00DB23BA">
        <w:rPr>
          <w:rFonts w:asciiTheme="majorHAnsi" w:hAnsiTheme="majorHAnsi" w:cs="Arial"/>
          <w:sz w:val="20"/>
          <w:szCs w:val="20"/>
          <w:lang w:val="es-UY"/>
        </w:rPr>
        <w:t>A modo de contexto, el peticionario explica que él, como oficial del ejército y padre de una niña con discapacidad mental, comenzó en 2004 una serie de gestiones tendientes a la puesta en funcionamiento de una escuela de educación especial en las instalaciones del Centro Médico Militar</w:t>
      </w:r>
      <w:r w:rsidR="00427FD4" w:rsidRPr="00DB23BA">
        <w:rPr>
          <w:rFonts w:asciiTheme="majorHAnsi" w:hAnsiTheme="majorHAnsi" w:cs="Arial"/>
          <w:sz w:val="20"/>
          <w:szCs w:val="20"/>
          <w:lang w:val="es-UY"/>
        </w:rPr>
        <w:t>,</w:t>
      </w:r>
      <w:r w:rsidRPr="00DB23BA">
        <w:rPr>
          <w:rFonts w:asciiTheme="majorHAnsi" w:hAnsiTheme="majorHAnsi" w:cs="Arial"/>
          <w:sz w:val="20"/>
          <w:szCs w:val="20"/>
          <w:lang w:val="es-UY"/>
        </w:rPr>
        <w:t xml:space="preserve"> </w:t>
      </w:r>
      <w:r w:rsidR="00427FD4" w:rsidRPr="00DB23BA">
        <w:rPr>
          <w:rFonts w:asciiTheme="majorHAnsi" w:hAnsiTheme="majorHAnsi" w:cs="Arial"/>
          <w:sz w:val="20"/>
          <w:szCs w:val="20"/>
          <w:lang w:val="es-UY"/>
        </w:rPr>
        <w:t>c</w:t>
      </w:r>
      <w:r w:rsidR="000B59EA" w:rsidRPr="00DB23BA">
        <w:rPr>
          <w:rFonts w:asciiTheme="majorHAnsi" w:hAnsiTheme="majorHAnsi" w:cs="Arial"/>
          <w:sz w:val="20"/>
          <w:szCs w:val="20"/>
          <w:lang w:val="es-UY"/>
        </w:rPr>
        <w:t xml:space="preserve">on la intención de beneficiar </w:t>
      </w:r>
      <w:r w:rsidRPr="00DB23BA">
        <w:rPr>
          <w:rFonts w:asciiTheme="majorHAnsi" w:hAnsiTheme="majorHAnsi" w:cs="Arial"/>
          <w:sz w:val="20"/>
          <w:szCs w:val="20"/>
          <w:lang w:val="es-UY"/>
        </w:rPr>
        <w:t xml:space="preserve">a otros niños hijos de militares que se encontraran en la misma situación. </w:t>
      </w:r>
      <w:r w:rsidR="00427FD4" w:rsidRPr="00DB23BA">
        <w:rPr>
          <w:rFonts w:asciiTheme="majorHAnsi" w:hAnsiTheme="majorHAnsi" w:cs="Arial"/>
          <w:sz w:val="20"/>
          <w:szCs w:val="20"/>
          <w:lang w:val="es-UY"/>
        </w:rPr>
        <w:t xml:space="preserve">El peticionario indica que el proyecto se encontraba en su fase final, con todo el equipo necesario para su funcionamiento. </w:t>
      </w:r>
      <w:r w:rsidRPr="00DB23BA">
        <w:rPr>
          <w:rFonts w:asciiTheme="majorHAnsi" w:hAnsiTheme="majorHAnsi" w:cs="Arial"/>
          <w:sz w:val="20"/>
          <w:szCs w:val="20"/>
          <w:lang w:val="es-UY"/>
        </w:rPr>
        <w:t xml:space="preserve">Sin embargo, y luego de contar con la autorización </w:t>
      </w:r>
      <w:r w:rsidR="00427FD4" w:rsidRPr="00DB23BA">
        <w:rPr>
          <w:rFonts w:asciiTheme="majorHAnsi" w:hAnsiTheme="majorHAnsi" w:cs="Arial"/>
          <w:sz w:val="20"/>
          <w:szCs w:val="20"/>
          <w:lang w:val="es-UY"/>
        </w:rPr>
        <w:t xml:space="preserve">formal </w:t>
      </w:r>
      <w:r w:rsidRPr="00DB23BA">
        <w:rPr>
          <w:rFonts w:asciiTheme="majorHAnsi" w:hAnsiTheme="majorHAnsi" w:cs="Arial"/>
          <w:sz w:val="20"/>
          <w:szCs w:val="20"/>
          <w:lang w:val="es-UY"/>
        </w:rPr>
        <w:t xml:space="preserve">del Director </w:t>
      </w:r>
      <w:r w:rsidR="00427FD4" w:rsidRPr="00DB23BA">
        <w:rPr>
          <w:rFonts w:asciiTheme="majorHAnsi" w:hAnsiTheme="majorHAnsi" w:cs="Arial"/>
          <w:sz w:val="20"/>
          <w:szCs w:val="20"/>
          <w:lang w:val="es-UY"/>
        </w:rPr>
        <w:t>del Centro Médico Militar</w:t>
      </w:r>
      <w:r w:rsidRPr="00DB23BA">
        <w:rPr>
          <w:rFonts w:asciiTheme="majorHAnsi" w:hAnsiTheme="majorHAnsi" w:cs="Arial"/>
          <w:sz w:val="20"/>
          <w:szCs w:val="20"/>
          <w:lang w:val="es-UY"/>
        </w:rPr>
        <w:t xml:space="preserve">, </w:t>
      </w:r>
      <w:r w:rsidR="00956354" w:rsidRPr="00DB23BA">
        <w:rPr>
          <w:rFonts w:asciiTheme="majorHAnsi" w:hAnsiTheme="majorHAnsi" w:cs="Arial"/>
          <w:sz w:val="20"/>
          <w:szCs w:val="20"/>
          <w:lang w:val="es-UY"/>
        </w:rPr>
        <w:t xml:space="preserve">los titulares del Ministerio de la Defensa Nacional, el Ministerio de Gobernación, la PNC y el Subdirector de Investigaciones Criminales de la PNC acordaron presentar un proyecto según el cual el ejército compartiría con la PNC una parte de las instalaciones del Centro </w:t>
      </w:r>
      <w:r w:rsidR="00956354" w:rsidRPr="00DB23BA">
        <w:rPr>
          <w:rFonts w:asciiTheme="majorHAnsi" w:hAnsiTheme="majorHAnsi"/>
          <w:sz w:val="20"/>
          <w:szCs w:val="20"/>
          <w:lang w:val="es-UY"/>
        </w:rPr>
        <w:t>Médico</w:t>
      </w:r>
      <w:r w:rsidR="00956354" w:rsidRPr="00DB23BA">
        <w:rPr>
          <w:rFonts w:asciiTheme="majorHAnsi" w:hAnsiTheme="majorHAnsi" w:cs="Arial"/>
          <w:sz w:val="20"/>
          <w:szCs w:val="20"/>
          <w:lang w:val="es-UY"/>
        </w:rPr>
        <w:t xml:space="preserve"> Militar. </w:t>
      </w:r>
      <w:r w:rsidR="00FB41BC" w:rsidRPr="00DB23BA">
        <w:rPr>
          <w:rFonts w:asciiTheme="majorHAnsi" w:hAnsiTheme="majorHAnsi" w:cs="Arial"/>
          <w:sz w:val="20"/>
          <w:szCs w:val="20"/>
          <w:lang w:val="es-UY"/>
        </w:rPr>
        <w:t>Este</w:t>
      </w:r>
      <w:r w:rsidR="006F57C1" w:rsidRPr="00DB23BA">
        <w:rPr>
          <w:rFonts w:asciiTheme="majorHAnsi" w:hAnsiTheme="majorHAnsi" w:cs="Arial"/>
          <w:sz w:val="20"/>
          <w:szCs w:val="20"/>
          <w:lang w:val="es-UY"/>
        </w:rPr>
        <w:t xml:space="preserve"> </w:t>
      </w:r>
      <w:r w:rsidR="00FB41BC" w:rsidRPr="00DB23BA">
        <w:rPr>
          <w:rFonts w:asciiTheme="majorHAnsi" w:hAnsiTheme="majorHAnsi" w:cs="Arial"/>
          <w:sz w:val="20"/>
          <w:szCs w:val="20"/>
          <w:lang w:val="es-UY"/>
        </w:rPr>
        <w:t>proyecto</w:t>
      </w:r>
      <w:r w:rsidR="006F57C1" w:rsidRPr="00DB23BA">
        <w:rPr>
          <w:rFonts w:asciiTheme="majorHAnsi" w:hAnsiTheme="majorHAnsi" w:cs="Arial"/>
          <w:sz w:val="20"/>
          <w:szCs w:val="20"/>
          <w:lang w:val="es-UY"/>
        </w:rPr>
        <w:t xml:space="preserve"> reportaría beneficios económicos a las partes involucradas, ya que implicaría el traslado de la</w:t>
      </w:r>
      <w:r w:rsidR="00FB41BC" w:rsidRPr="00DB23BA">
        <w:rPr>
          <w:rFonts w:asciiTheme="majorHAnsi" w:hAnsiTheme="majorHAnsi" w:cs="Arial"/>
          <w:sz w:val="20"/>
          <w:szCs w:val="20"/>
          <w:lang w:val="es-UY"/>
        </w:rPr>
        <w:t>s</w:t>
      </w:r>
      <w:r w:rsidR="006F57C1" w:rsidRPr="00DB23BA">
        <w:rPr>
          <w:rFonts w:asciiTheme="majorHAnsi" w:hAnsiTheme="majorHAnsi" w:cs="Arial"/>
          <w:sz w:val="20"/>
          <w:szCs w:val="20"/>
          <w:lang w:val="es-UY"/>
        </w:rPr>
        <w:t xml:space="preserve"> cuota</w:t>
      </w:r>
      <w:r w:rsidR="0008661D" w:rsidRPr="00DB23BA">
        <w:rPr>
          <w:rFonts w:asciiTheme="majorHAnsi" w:hAnsiTheme="majorHAnsi" w:cs="Arial"/>
          <w:sz w:val="20"/>
          <w:szCs w:val="20"/>
          <w:lang w:val="es-UY"/>
        </w:rPr>
        <w:t>s</w:t>
      </w:r>
      <w:r w:rsidR="006F57C1" w:rsidRPr="00DB23BA">
        <w:rPr>
          <w:rFonts w:asciiTheme="majorHAnsi" w:hAnsiTheme="majorHAnsi" w:cs="Arial"/>
          <w:sz w:val="20"/>
          <w:szCs w:val="20"/>
          <w:lang w:val="es-UY"/>
        </w:rPr>
        <w:t xml:space="preserve"> que se pagaba</w:t>
      </w:r>
      <w:r w:rsidR="00FB41BC" w:rsidRPr="00DB23BA">
        <w:rPr>
          <w:rFonts w:asciiTheme="majorHAnsi" w:hAnsiTheme="majorHAnsi" w:cs="Arial"/>
          <w:sz w:val="20"/>
          <w:szCs w:val="20"/>
          <w:lang w:val="es-UY"/>
        </w:rPr>
        <w:t>n</w:t>
      </w:r>
      <w:r w:rsidR="006F57C1" w:rsidRPr="00DB23BA">
        <w:rPr>
          <w:rFonts w:asciiTheme="majorHAnsi" w:hAnsiTheme="majorHAnsi" w:cs="Arial"/>
          <w:sz w:val="20"/>
          <w:szCs w:val="20"/>
          <w:lang w:val="es-UY"/>
        </w:rPr>
        <w:t xml:space="preserve"> al Instituto Guatemalteco de la Seguridad Social</w:t>
      </w:r>
      <w:r w:rsidR="00FB41BC" w:rsidRPr="00DB23BA">
        <w:rPr>
          <w:rFonts w:asciiTheme="majorHAnsi" w:hAnsiTheme="majorHAnsi" w:cs="Arial"/>
          <w:sz w:val="20"/>
          <w:szCs w:val="20"/>
          <w:lang w:val="es-UY"/>
        </w:rPr>
        <w:t xml:space="preserve"> por la prestación de esos servicios</w:t>
      </w:r>
      <w:r w:rsidR="006F57C1" w:rsidRPr="00DB23BA">
        <w:rPr>
          <w:rFonts w:asciiTheme="majorHAnsi" w:hAnsiTheme="majorHAnsi" w:cs="Arial"/>
          <w:sz w:val="20"/>
          <w:szCs w:val="20"/>
          <w:lang w:val="es-UY"/>
        </w:rPr>
        <w:t>. L</w:t>
      </w:r>
      <w:r w:rsidR="00956354" w:rsidRPr="00DB23BA">
        <w:rPr>
          <w:rFonts w:asciiTheme="majorHAnsi" w:hAnsiTheme="majorHAnsi" w:cs="Arial"/>
          <w:sz w:val="20"/>
          <w:szCs w:val="20"/>
          <w:lang w:val="es-UY"/>
        </w:rPr>
        <w:t xml:space="preserve">a </w:t>
      </w:r>
      <w:r w:rsidR="006F57C1" w:rsidRPr="00DB23BA">
        <w:rPr>
          <w:rFonts w:asciiTheme="majorHAnsi" w:hAnsiTheme="majorHAnsi" w:cs="Arial"/>
          <w:sz w:val="20"/>
          <w:szCs w:val="20"/>
          <w:lang w:val="es-UY"/>
        </w:rPr>
        <w:t>escuela</w:t>
      </w:r>
      <w:r w:rsidR="00956354" w:rsidRPr="00DB23BA">
        <w:rPr>
          <w:rFonts w:asciiTheme="majorHAnsi" w:hAnsiTheme="majorHAnsi" w:cs="Arial"/>
          <w:sz w:val="20"/>
          <w:szCs w:val="20"/>
          <w:lang w:val="es-UY"/>
        </w:rPr>
        <w:t xml:space="preserve"> de educación especial para niños con discapacidad </w:t>
      </w:r>
      <w:r w:rsidR="006F57C1" w:rsidRPr="00DB23BA">
        <w:rPr>
          <w:rFonts w:asciiTheme="majorHAnsi" w:hAnsiTheme="majorHAnsi" w:cs="Arial"/>
          <w:sz w:val="20"/>
          <w:szCs w:val="20"/>
          <w:lang w:val="es-UY"/>
        </w:rPr>
        <w:t>estaba ubicada dentro del espacio físico determinado para este proyecto conjunto de la policía y el ejército.</w:t>
      </w:r>
      <w:r w:rsidR="00B54F06" w:rsidRPr="00DB23BA">
        <w:rPr>
          <w:rFonts w:asciiTheme="majorHAnsi" w:hAnsiTheme="majorHAnsi" w:cs="Arial"/>
          <w:sz w:val="20"/>
          <w:szCs w:val="20"/>
          <w:lang w:val="es-UY"/>
        </w:rPr>
        <w:t xml:space="preserve"> Asimismo, de acuerdo con lo narrado por el peticionario, la eventual instalación y funcionamiento de esta escuela para niños con discapacidad constituía un </w:t>
      </w:r>
      <w:r w:rsidR="00F44311" w:rsidRPr="00DB23BA">
        <w:rPr>
          <w:rFonts w:asciiTheme="majorHAnsi" w:hAnsiTheme="majorHAnsi" w:cs="Arial"/>
          <w:sz w:val="20"/>
          <w:szCs w:val="20"/>
          <w:lang w:val="es-UY"/>
        </w:rPr>
        <w:t xml:space="preserve">obstáculo para los intereses de determinados oficiales del ejército vinculados al narcotráfico, quienes supuestamente utilizaban las instalaciones del Centro Médico Militar como punto logístico para esta actividad ilícita. </w:t>
      </w:r>
    </w:p>
    <w:p w:rsidR="00C012A0" w:rsidRDefault="00C012A0" w:rsidP="00C012A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UY"/>
        </w:rPr>
      </w:pPr>
    </w:p>
    <w:p w:rsidR="00112B17" w:rsidRDefault="006E0CE8"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UY"/>
        </w:rPr>
      </w:pPr>
      <w:r>
        <w:rPr>
          <w:rFonts w:asciiTheme="majorHAnsi" w:hAnsiTheme="majorHAnsi" w:cs="Arial"/>
          <w:sz w:val="20"/>
          <w:szCs w:val="20"/>
          <w:lang w:val="es-UY"/>
        </w:rPr>
        <w:t>E</w:t>
      </w:r>
      <w:r w:rsidR="0095158B">
        <w:rPr>
          <w:rFonts w:asciiTheme="majorHAnsi" w:hAnsiTheme="majorHAnsi" w:cs="Arial"/>
          <w:sz w:val="20"/>
          <w:szCs w:val="20"/>
          <w:lang w:val="es-UY"/>
        </w:rPr>
        <w:t xml:space="preserve">n lo fundamental, </w:t>
      </w:r>
      <w:r>
        <w:rPr>
          <w:rFonts w:asciiTheme="majorHAnsi" w:hAnsiTheme="majorHAnsi" w:cs="Arial"/>
          <w:sz w:val="20"/>
          <w:szCs w:val="20"/>
          <w:lang w:val="es-UY"/>
        </w:rPr>
        <w:t xml:space="preserve">alega </w:t>
      </w:r>
      <w:r w:rsidR="0095158B">
        <w:rPr>
          <w:rFonts w:asciiTheme="majorHAnsi" w:hAnsiTheme="majorHAnsi" w:cs="Arial"/>
          <w:sz w:val="20"/>
          <w:szCs w:val="20"/>
          <w:lang w:val="es-UY"/>
        </w:rPr>
        <w:t xml:space="preserve">que </w:t>
      </w:r>
      <w:r w:rsidR="000F1DDA">
        <w:rPr>
          <w:rFonts w:asciiTheme="majorHAnsi" w:hAnsiTheme="majorHAnsi" w:cs="Arial"/>
          <w:sz w:val="20"/>
          <w:szCs w:val="20"/>
          <w:lang w:val="es-UY"/>
        </w:rPr>
        <w:t xml:space="preserve">luego de una década de supuesta actividad investigativa por parte del Ministerio Público </w:t>
      </w:r>
      <w:r w:rsidR="00EA108E">
        <w:rPr>
          <w:rFonts w:asciiTheme="majorHAnsi" w:hAnsiTheme="majorHAnsi" w:cs="Arial"/>
          <w:sz w:val="20"/>
          <w:szCs w:val="20"/>
          <w:lang w:val="es-UY"/>
        </w:rPr>
        <w:t>no</w:t>
      </w:r>
      <w:r w:rsidR="000F1DDA">
        <w:rPr>
          <w:rFonts w:asciiTheme="majorHAnsi" w:hAnsiTheme="majorHAnsi" w:cs="Arial"/>
          <w:sz w:val="20"/>
          <w:szCs w:val="20"/>
          <w:lang w:val="es-UY"/>
        </w:rPr>
        <w:t xml:space="preserve"> se ha llegado a individualizar a ning</w:t>
      </w:r>
      <w:r w:rsidR="00EA108E">
        <w:rPr>
          <w:rFonts w:asciiTheme="majorHAnsi" w:hAnsiTheme="majorHAnsi" w:cs="Arial"/>
          <w:sz w:val="20"/>
          <w:szCs w:val="20"/>
          <w:lang w:val="es-UY"/>
        </w:rPr>
        <w:t>uno</w:t>
      </w:r>
      <w:r w:rsidR="000F1DDA">
        <w:rPr>
          <w:rFonts w:asciiTheme="majorHAnsi" w:hAnsiTheme="majorHAnsi" w:cs="Arial"/>
          <w:sz w:val="20"/>
          <w:szCs w:val="20"/>
          <w:lang w:val="es-UY"/>
        </w:rPr>
        <w:t xml:space="preserve"> de los posibles autores intelectuales o materiales </w:t>
      </w:r>
      <w:r w:rsidR="0002534E">
        <w:rPr>
          <w:rFonts w:asciiTheme="majorHAnsi" w:hAnsiTheme="majorHAnsi" w:cs="Arial"/>
          <w:sz w:val="20"/>
          <w:szCs w:val="20"/>
          <w:lang w:val="es-UY"/>
        </w:rPr>
        <w:t>de la privación ilegal de la libertad</w:t>
      </w:r>
      <w:r w:rsidR="000F1DDA">
        <w:rPr>
          <w:rFonts w:asciiTheme="majorHAnsi" w:hAnsiTheme="majorHAnsi" w:cs="Arial"/>
          <w:sz w:val="20"/>
          <w:szCs w:val="20"/>
          <w:lang w:val="es-UY"/>
        </w:rPr>
        <w:t xml:space="preserve"> y asesinato de su hija. Indica que </w:t>
      </w:r>
      <w:r w:rsidR="008B52A2">
        <w:rPr>
          <w:rFonts w:asciiTheme="majorHAnsi" w:hAnsiTheme="majorHAnsi" w:cs="Arial"/>
          <w:sz w:val="20"/>
          <w:szCs w:val="20"/>
          <w:lang w:val="es-UY"/>
        </w:rPr>
        <w:t>los secuestradores de su hija se aprovecharon de sus limitaciones físicas y mentales</w:t>
      </w:r>
      <w:r>
        <w:rPr>
          <w:rFonts w:asciiTheme="majorHAnsi" w:hAnsiTheme="majorHAnsi" w:cs="Arial"/>
          <w:sz w:val="20"/>
          <w:szCs w:val="20"/>
          <w:lang w:val="es-UY"/>
        </w:rPr>
        <w:t>;</w:t>
      </w:r>
      <w:r w:rsidR="008B52A2">
        <w:rPr>
          <w:rFonts w:asciiTheme="majorHAnsi" w:hAnsiTheme="majorHAnsi" w:cs="Arial"/>
          <w:sz w:val="20"/>
          <w:szCs w:val="20"/>
          <w:lang w:val="es-UY"/>
        </w:rPr>
        <w:t xml:space="preserve"> </w:t>
      </w:r>
      <w:r w:rsidRPr="007A5550">
        <w:rPr>
          <w:rFonts w:asciiTheme="majorHAnsi" w:hAnsiTheme="majorHAnsi"/>
          <w:sz w:val="20"/>
          <w:szCs w:val="20"/>
          <w:lang w:val="es-UY"/>
        </w:rPr>
        <w:t>estudiaron</w:t>
      </w:r>
      <w:r w:rsidR="008B52A2">
        <w:rPr>
          <w:rFonts w:asciiTheme="majorHAnsi" w:hAnsiTheme="majorHAnsi" w:cs="Arial"/>
          <w:sz w:val="20"/>
          <w:szCs w:val="20"/>
          <w:lang w:val="es-UY"/>
        </w:rPr>
        <w:t xml:space="preserve"> su rutina de desplazamientos de su casa al </w:t>
      </w:r>
      <w:r w:rsidR="008B52A2">
        <w:rPr>
          <w:rFonts w:asciiTheme="majorHAnsi" w:hAnsiTheme="majorHAnsi" w:cs="Arial"/>
          <w:sz w:val="20"/>
          <w:szCs w:val="20"/>
          <w:lang w:val="es-UY"/>
        </w:rPr>
        <w:lastRenderedPageBreak/>
        <w:t>Centro Médico Militar donde recibía sus tratamientos</w:t>
      </w:r>
      <w:r>
        <w:rPr>
          <w:rFonts w:asciiTheme="majorHAnsi" w:hAnsiTheme="majorHAnsi" w:cs="Arial"/>
          <w:sz w:val="20"/>
          <w:szCs w:val="20"/>
          <w:lang w:val="es-UY"/>
        </w:rPr>
        <w:t xml:space="preserve">; y </w:t>
      </w:r>
      <w:r w:rsidR="00CC5475">
        <w:rPr>
          <w:rFonts w:asciiTheme="majorHAnsi" w:hAnsiTheme="majorHAnsi" w:cs="Arial"/>
          <w:sz w:val="20"/>
          <w:szCs w:val="20"/>
          <w:lang w:val="es-UY"/>
        </w:rPr>
        <w:t xml:space="preserve">que </w:t>
      </w:r>
      <w:r>
        <w:rPr>
          <w:rFonts w:asciiTheme="majorHAnsi" w:hAnsiTheme="majorHAnsi" w:cs="Arial"/>
          <w:sz w:val="20"/>
          <w:szCs w:val="20"/>
          <w:lang w:val="es-UY"/>
        </w:rPr>
        <w:t xml:space="preserve">eran personas que a ella le resultaban familiares, que la conocían, por eso la niña en un primer momento no habría desconfiado de sus </w:t>
      </w:r>
      <w:r w:rsidR="00CC5475">
        <w:rPr>
          <w:rFonts w:asciiTheme="majorHAnsi" w:hAnsiTheme="majorHAnsi" w:cs="Arial"/>
          <w:sz w:val="20"/>
          <w:szCs w:val="20"/>
          <w:lang w:val="es-UY"/>
        </w:rPr>
        <w:t>captores</w:t>
      </w:r>
      <w:r>
        <w:rPr>
          <w:rFonts w:asciiTheme="majorHAnsi" w:hAnsiTheme="majorHAnsi" w:cs="Arial"/>
          <w:sz w:val="20"/>
          <w:szCs w:val="20"/>
          <w:lang w:val="es-UY"/>
        </w:rPr>
        <w:t>.</w:t>
      </w:r>
      <w:r w:rsidR="0044720E">
        <w:rPr>
          <w:rFonts w:asciiTheme="majorHAnsi" w:hAnsiTheme="majorHAnsi" w:cs="Arial"/>
          <w:sz w:val="20"/>
          <w:szCs w:val="20"/>
          <w:lang w:val="es-UY"/>
        </w:rPr>
        <w:t xml:space="preserve"> El peticionario narra que </w:t>
      </w:r>
      <w:r w:rsidR="00CC5475">
        <w:rPr>
          <w:rFonts w:asciiTheme="majorHAnsi" w:hAnsiTheme="majorHAnsi" w:cs="Arial"/>
          <w:sz w:val="20"/>
          <w:szCs w:val="20"/>
          <w:lang w:val="es-UY"/>
        </w:rPr>
        <w:t xml:space="preserve">al poco tiempo </w:t>
      </w:r>
      <w:r w:rsidR="00F44311">
        <w:rPr>
          <w:rFonts w:asciiTheme="majorHAnsi" w:hAnsiTheme="majorHAnsi" w:cs="Arial"/>
          <w:sz w:val="20"/>
          <w:szCs w:val="20"/>
          <w:lang w:val="es-UY"/>
        </w:rPr>
        <w:t>un general del ejército</w:t>
      </w:r>
      <w:r w:rsidR="0044720E">
        <w:rPr>
          <w:rFonts w:asciiTheme="majorHAnsi" w:hAnsiTheme="majorHAnsi" w:cs="Arial"/>
          <w:sz w:val="20"/>
          <w:szCs w:val="20"/>
          <w:lang w:val="es-UY"/>
        </w:rPr>
        <w:t xml:space="preserve"> se presentó en su casa </w:t>
      </w:r>
      <w:r w:rsidR="00CC5475">
        <w:rPr>
          <w:rFonts w:asciiTheme="majorHAnsi" w:hAnsiTheme="majorHAnsi" w:cs="Arial"/>
          <w:sz w:val="20"/>
          <w:szCs w:val="20"/>
          <w:lang w:val="es-UY"/>
        </w:rPr>
        <w:t>p</w:t>
      </w:r>
      <w:r w:rsidR="0044720E">
        <w:rPr>
          <w:rFonts w:asciiTheme="majorHAnsi" w:hAnsiTheme="majorHAnsi" w:cs="Arial"/>
          <w:sz w:val="20"/>
          <w:szCs w:val="20"/>
          <w:lang w:val="es-UY"/>
        </w:rPr>
        <w:t>a</w:t>
      </w:r>
      <w:r w:rsidR="00CC5475">
        <w:rPr>
          <w:rFonts w:asciiTheme="majorHAnsi" w:hAnsiTheme="majorHAnsi" w:cs="Arial"/>
          <w:sz w:val="20"/>
          <w:szCs w:val="20"/>
          <w:lang w:val="es-UY"/>
        </w:rPr>
        <w:t>ra</w:t>
      </w:r>
      <w:r w:rsidR="0044720E">
        <w:rPr>
          <w:rFonts w:asciiTheme="majorHAnsi" w:hAnsiTheme="majorHAnsi" w:cs="Arial"/>
          <w:sz w:val="20"/>
          <w:szCs w:val="20"/>
          <w:lang w:val="es-UY"/>
        </w:rPr>
        <w:t xml:space="preserve"> tratar de convencerlos de una versión falsa de los hechos, en la que se incriminaba a personas que nada habrían tenido que ver.    </w:t>
      </w:r>
    </w:p>
    <w:p w:rsidR="00112B17" w:rsidRDefault="00112B17" w:rsidP="00112B1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UY"/>
        </w:rPr>
      </w:pPr>
    </w:p>
    <w:p w:rsidR="00976A68" w:rsidRDefault="00A278B2"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UY"/>
        </w:rPr>
      </w:pPr>
      <w:r>
        <w:rPr>
          <w:rFonts w:asciiTheme="majorHAnsi" w:hAnsiTheme="majorHAnsi" w:cs="Arial"/>
          <w:sz w:val="20"/>
          <w:szCs w:val="20"/>
          <w:lang w:val="es-UY"/>
        </w:rPr>
        <w:t>El</w:t>
      </w:r>
      <w:r w:rsidR="00112B17">
        <w:rPr>
          <w:rFonts w:asciiTheme="majorHAnsi" w:hAnsiTheme="majorHAnsi" w:cs="Arial"/>
          <w:sz w:val="20"/>
          <w:szCs w:val="20"/>
          <w:lang w:val="es-UY"/>
        </w:rPr>
        <w:t xml:space="preserve"> peticionario indica que el 23 de mayo de 2006 </w:t>
      </w:r>
      <w:r w:rsidR="00EA108E">
        <w:rPr>
          <w:rFonts w:asciiTheme="majorHAnsi" w:hAnsiTheme="majorHAnsi" w:cs="Arial"/>
          <w:sz w:val="20"/>
          <w:szCs w:val="20"/>
          <w:lang w:val="es-UY"/>
        </w:rPr>
        <w:t xml:space="preserve">sostuvo una conversación con </w:t>
      </w:r>
      <w:r w:rsidR="00112B17">
        <w:rPr>
          <w:rFonts w:asciiTheme="majorHAnsi" w:hAnsiTheme="majorHAnsi" w:cs="Arial"/>
          <w:sz w:val="20"/>
          <w:szCs w:val="20"/>
          <w:lang w:val="es-UY"/>
        </w:rPr>
        <w:t xml:space="preserve">el Teniente Coronel Erwin López Samayoa </w:t>
      </w:r>
      <w:r w:rsidR="00954890">
        <w:rPr>
          <w:rFonts w:asciiTheme="majorHAnsi" w:hAnsiTheme="majorHAnsi" w:cs="Arial"/>
          <w:sz w:val="20"/>
          <w:szCs w:val="20"/>
          <w:lang w:val="es-UY"/>
        </w:rPr>
        <w:t>quien</w:t>
      </w:r>
      <w:r w:rsidR="00112B17">
        <w:rPr>
          <w:rFonts w:asciiTheme="majorHAnsi" w:hAnsiTheme="majorHAnsi" w:cs="Arial"/>
          <w:sz w:val="20"/>
          <w:szCs w:val="20"/>
          <w:lang w:val="es-UY"/>
        </w:rPr>
        <w:t xml:space="preserve"> le dio </w:t>
      </w:r>
      <w:r w:rsidR="00954890">
        <w:rPr>
          <w:rFonts w:asciiTheme="majorHAnsi" w:hAnsiTheme="majorHAnsi" w:cs="Arial"/>
          <w:sz w:val="20"/>
          <w:szCs w:val="20"/>
          <w:lang w:val="es-UY"/>
        </w:rPr>
        <w:t>nombres y detalles</w:t>
      </w:r>
      <w:r w:rsidR="00112B17">
        <w:rPr>
          <w:rFonts w:asciiTheme="majorHAnsi" w:hAnsiTheme="majorHAnsi" w:cs="Arial"/>
          <w:sz w:val="20"/>
          <w:szCs w:val="20"/>
          <w:lang w:val="es-UY"/>
        </w:rPr>
        <w:t xml:space="preserve"> de los autores intelectuales y materiales de la muerte de su hija, y </w:t>
      </w:r>
      <w:r w:rsidR="00EA108E">
        <w:rPr>
          <w:rFonts w:asciiTheme="majorHAnsi" w:hAnsiTheme="majorHAnsi" w:cs="Arial"/>
          <w:sz w:val="20"/>
          <w:szCs w:val="20"/>
          <w:lang w:val="es-UY"/>
        </w:rPr>
        <w:t xml:space="preserve">del lugar donde ésta habría permanecido secuestrada. Aduce que a pesar de haber grabado esta conversación y de </w:t>
      </w:r>
      <w:r>
        <w:rPr>
          <w:rFonts w:asciiTheme="majorHAnsi" w:hAnsiTheme="majorHAnsi" w:cs="Arial"/>
          <w:sz w:val="20"/>
          <w:szCs w:val="20"/>
          <w:lang w:val="es-UY"/>
        </w:rPr>
        <w:t>entregarla</w:t>
      </w:r>
      <w:r w:rsidR="00EA108E">
        <w:rPr>
          <w:rFonts w:asciiTheme="majorHAnsi" w:hAnsiTheme="majorHAnsi" w:cs="Arial"/>
          <w:sz w:val="20"/>
          <w:szCs w:val="20"/>
          <w:lang w:val="es-UY"/>
        </w:rPr>
        <w:t xml:space="preserve"> al Ministerio Público, esta institución tardó varios años en verificar </w:t>
      </w:r>
      <w:r>
        <w:rPr>
          <w:rFonts w:asciiTheme="majorHAnsi" w:hAnsiTheme="majorHAnsi" w:cs="Arial"/>
          <w:sz w:val="20"/>
          <w:szCs w:val="20"/>
          <w:lang w:val="es-UY"/>
        </w:rPr>
        <w:t>su</w:t>
      </w:r>
      <w:r w:rsidR="00EA108E">
        <w:rPr>
          <w:rFonts w:asciiTheme="majorHAnsi" w:hAnsiTheme="majorHAnsi" w:cs="Arial"/>
          <w:sz w:val="20"/>
          <w:szCs w:val="20"/>
          <w:lang w:val="es-UY"/>
        </w:rPr>
        <w:t xml:space="preserve"> autenticidad</w:t>
      </w:r>
      <w:r>
        <w:rPr>
          <w:rFonts w:asciiTheme="majorHAnsi" w:hAnsiTheme="majorHAnsi" w:cs="Arial"/>
          <w:sz w:val="20"/>
          <w:szCs w:val="20"/>
          <w:lang w:val="es-UY"/>
        </w:rPr>
        <w:t>.</w:t>
      </w:r>
      <w:r w:rsidR="00EA108E">
        <w:rPr>
          <w:rFonts w:asciiTheme="majorHAnsi" w:hAnsiTheme="majorHAnsi" w:cs="Arial"/>
          <w:sz w:val="20"/>
          <w:szCs w:val="20"/>
          <w:lang w:val="es-UY"/>
        </w:rPr>
        <w:t xml:space="preserve"> </w:t>
      </w:r>
      <w:r w:rsidR="00737659">
        <w:rPr>
          <w:rFonts w:asciiTheme="majorHAnsi" w:hAnsiTheme="majorHAnsi" w:cs="Arial"/>
          <w:sz w:val="20"/>
          <w:szCs w:val="20"/>
          <w:lang w:val="es-UY"/>
        </w:rPr>
        <w:t>A</w:t>
      </w:r>
      <w:r w:rsidR="00EA108E">
        <w:rPr>
          <w:rFonts w:asciiTheme="majorHAnsi" w:hAnsiTheme="majorHAnsi" w:cs="Arial"/>
          <w:sz w:val="20"/>
          <w:szCs w:val="20"/>
          <w:lang w:val="es-UY"/>
        </w:rPr>
        <w:t xml:space="preserve">un </w:t>
      </w:r>
      <w:r>
        <w:rPr>
          <w:rFonts w:asciiTheme="majorHAnsi" w:hAnsiTheme="majorHAnsi" w:cs="Arial"/>
          <w:sz w:val="20"/>
          <w:szCs w:val="20"/>
          <w:lang w:val="es-UY"/>
        </w:rPr>
        <w:t>cuando esta grabación aportaba una narrativa</w:t>
      </w:r>
      <w:r w:rsidR="00EA108E">
        <w:rPr>
          <w:rFonts w:asciiTheme="majorHAnsi" w:hAnsiTheme="majorHAnsi" w:cs="Arial"/>
          <w:sz w:val="20"/>
          <w:szCs w:val="20"/>
          <w:lang w:val="es-UY"/>
        </w:rPr>
        <w:t xml:space="preserve"> lógica </w:t>
      </w:r>
      <w:r>
        <w:rPr>
          <w:rFonts w:asciiTheme="majorHAnsi" w:hAnsiTheme="majorHAnsi" w:cs="Arial"/>
          <w:sz w:val="20"/>
          <w:szCs w:val="20"/>
          <w:lang w:val="es-UY"/>
        </w:rPr>
        <w:t xml:space="preserve">y detallada </w:t>
      </w:r>
      <w:r w:rsidR="00EA108E">
        <w:rPr>
          <w:rFonts w:asciiTheme="majorHAnsi" w:hAnsiTheme="majorHAnsi" w:cs="Arial"/>
          <w:sz w:val="20"/>
          <w:szCs w:val="20"/>
          <w:lang w:val="es-UY"/>
        </w:rPr>
        <w:t xml:space="preserve">de los hechos ocurridos, </w:t>
      </w:r>
      <w:r>
        <w:rPr>
          <w:rFonts w:asciiTheme="majorHAnsi" w:hAnsiTheme="majorHAnsi" w:cs="Arial"/>
          <w:sz w:val="20"/>
          <w:szCs w:val="20"/>
          <w:lang w:val="es-UY"/>
        </w:rPr>
        <w:t xml:space="preserve">el Ministerio Público no </w:t>
      </w:r>
      <w:r w:rsidR="00737659">
        <w:rPr>
          <w:rFonts w:asciiTheme="majorHAnsi" w:hAnsiTheme="majorHAnsi" w:cs="Arial"/>
          <w:sz w:val="20"/>
          <w:szCs w:val="20"/>
          <w:lang w:val="es-UY"/>
        </w:rPr>
        <w:t>habría desarrollado</w:t>
      </w:r>
      <w:r>
        <w:rPr>
          <w:rFonts w:asciiTheme="majorHAnsi" w:hAnsiTheme="majorHAnsi" w:cs="Arial"/>
          <w:sz w:val="20"/>
          <w:szCs w:val="20"/>
          <w:lang w:val="es-UY"/>
        </w:rPr>
        <w:t xml:space="preserve"> de manera diligente ninguna línea de investigación con base en esta información</w:t>
      </w:r>
      <w:r w:rsidR="00EA108E">
        <w:rPr>
          <w:rFonts w:asciiTheme="majorHAnsi" w:hAnsiTheme="majorHAnsi" w:cs="Arial"/>
          <w:sz w:val="20"/>
          <w:szCs w:val="20"/>
          <w:lang w:val="es-UY"/>
        </w:rPr>
        <w:t xml:space="preserve">. </w:t>
      </w:r>
      <w:r w:rsidR="00D25D3A">
        <w:rPr>
          <w:rFonts w:asciiTheme="majorHAnsi" w:hAnsiTheme="majorHAnsi" w:cs="Arial"/>
          <w:sz w:val="20"/>
          <w:szCs w:val="20"/>
          <w:lang w:val="es-UY"/>
        </w:rPr>
        <w:t xml:space="preserve">De hecho, no fue sino hasta </w:t>
      </w:r>
      <w:r w:rsidR="00D25D3A" w:rsidRPr="007A5550">
        <w:rPr>
          <w:rFonts w:asciiTheme="majorHAnsi" w:hAnsiTheme="majorHAnsi"/>
          <w:sz w:val="20"/>
          <w:szCs w:val="20"/>
          <w:lang w:val="es-UY"/>
        </w:rPr>
        <w:t>el</w:t>
      </w:r>
      <w:r w:rsidR="00D25D3A">
        <w:rPr>
          <w:rFonts w:asciiTheme="majorHAnsi" w:hAnsiTheme="majorHAnsi" w:cs="Arial"/>
          <w:sz w:val="20"/>
          <w:szCs w:val="20"/>
          <w:lang w:val="es-UY"/>
        </w:rPr>
        <w:t xml:space="preserve"> 2011 cuando se dispuso un allanamiento en la casa donde </w:t>
      </w:r>
      <w:r>
        <w:rPr>
          <w:rFonts w:asciiTheme="majorHAnsi" w:hAnsiTheme="majorHAnsi" w:cs="Arial"/>
          <w:sz w:val="20"/>
          <w:szCs w:val="20"/>
          <w:lang w:val="es-UY"/>
        </w:rPr>
        <w:t xml:space="preserve">supuestamente </w:t>
      </w:r>
      <w:r w:rsidR="00954890">
        <w:rPr>
          <w:rFonts w:asciiTheme="majorHAnsi" w:hAnsiTheme="majorHAnsi" w:cs="Arial"/>
          <w:sz w:val="20"/>
          <w:szCs w:val="20"/>
          <w:lang w:val="es-UY"/>
        </w:rPr>
        <w:t xml:space="preserve">habría permanecido </w:t>
      </w:r>
      <w:r w:rsidR="00D25D3A">
        <w:rPr>
          <w:rFonts w:asciiTheme="majorHAnsi" w:hAnsiTheme="majorHAnsi" w:cs="Arial"/>
          <w:sz w:val="20"/>
          <w:szCs w:val="20"/>
          <w:lang w:val="es-UY"/>
        </w:rPr>
        <w:t xml:space="preserve">secuestrada la presunta víctima, y aun así, </w:t>
      </w:r>
      <w:r>
        <w:rPr>
          <w:rFonts w:asciiTheme="majorHAnsi" w:hAnsiTheme="majorHAnsi" w:cs="Arial"/>
          <w:sz w:val="20"/>
          <w:szCs w:val="20"/>
          <w:lang w:val="es-UY"/>
        </w:rPr>
        <w:t>esta</w:t>
      </w:r>
      <w:r w:rsidR="00D25D3A">
        <w:rPr>
          <w:rFonts w:asciiTheme="majorHAnsi" w:hAnsiTheme="majorHAnsi" w:cs="Arial"/>
          <w:sz w:val="20"/>
          <w:szCs w:val="20"/>
          <w:lang w:val="es-UY"/>
        </w:rPr>
        <w:t xml:space="preserve"> diligencia </w:t>
      </w:r>
      <w:r>
        <w:rPr>
          <w:rFonts w:asciiTheme="majorHAnsi" w:hAnsiTheme="majorHAnsi" w:cs="Arial"/>
          <w:sz w:val="20"/>
          <w:szCs w:val="20"/>
          <w:lang w:val="es-UY"/>
        </w:rPr>
        <w:t xml:space="preserve">se </w:t>
      </w:r>
      <w:r w:rsidR="005D177D">
        <w:rPr>
          <w:rFonts w:asciiTheme="majorHAnsi" w:hAnsiTheme="majorHAnsi" w:cs="Arial"/>
          <w:sz w:val="20"/>
          <w:szCs w:val="20"/>
          <w:lang w:val="es-UY"/>
        </w:rPr>
        <w:t>habría practicado</w:t>
      </w:r>
      <w:r>
        <w:rPr>
          <w:rFonts w:asciiTheme="majorHAnsi" w:hAnsiTheme="majorHAnsi" w:cs="Arial"/>
          <w:sz w:val="20"/>
          <w:szCs w:val="20"/>
          <w:lang w:val="es-UY"/>
        </w:rPr>
        <w:t xml:space="preserve"> mal porque el Ministerio Público se equivocó en la determinación de la dirección del inmueble.</w:t>
      </w:r>
      <w:r w:rsidR="00D25D3A">
        <w:rPr>
          <w:rFonts w:asciiTheme="majorHAnsi" w:hAnsiTheme="majorHAnsi" w:cs="Arial"/>
          <w:sz w:val="20"/>
          <w:szCs w:val="20"/>
          <w:lang w:val="es-UY"/>
        </w:rPr>
        <w:t xml:space="preserve"> </w:t>
      </w:r>
    </w:p>
    <w:p w:rsidR="00976A68" w:rsidRDefault="00976A68" w:rsidP="00976A6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UY"/>
        </w:rPr>
      </w:pPr>
    </w:p>
    <w:p w:rsidR="00C012A0" w:rsidRDefault="008B52A2"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UY"/>
        </w:rPr>
      </w:pPr>
      <w:r>
        <w:rPr>
          <w:rFonts w:asciiTheme="majorHAnsi" w:hAnsiTheme="majorHAnsi" w:cs="Arial"/>
          <w:sz w:val="20"/>
          <w:szCs w:val="20"/>
          <w:lang w:val="es-UY"/>
        </w:rPr>
        <w:t xml:space="preserve">El peticionario refiere </w:t>
      </w:r>
      <w:r w:rsidR="00CC5475">
        <w:rPr>
          <w:rFonts w:asciiTheme="majorHAnsi" w:hAnsiTheme="majorHAnsi" w:cs="Arial"/>
          <w:sz w:val="20"/>
          <w:szCs w:val="20"/>
          <w:lang w:val="es-UY"/>
        </w:rPr>
        <w:t xml:space="preserve">que </w:t>
      </w:r>
      <w:r w:rsidR="00C31156">
        <w:rPr>
          <w:rFonts w:asciiTheme="majorHAnsi" w:hAnsiTheme="majorHAnsi" w:cs="Arial"/>
          <w:sz w:val="20"/>
          <w:szCs w:val="20"/>
          <w:lang w:val="es-UY"/>
        </w:rPr>
        <w:t xml:space="preserve">a solicitud suya, </w:t>
      </w:r>
      <w:r w:rsidR="00976A68">
        <w:rPr>
          <w:rFonts w:asciiTheme="majorHAnsi" w:hAnsiTheme="majorHAnsi" w:cs="Arial"/>
          <w:sz w:val="20"/>
          <w:szCs w:val="20"/>
          <w:lang w:val="es-UY"/>
        </w:rPr>
        <w:t>con autorización del Juez contralor del proceso</w:t>
      </w:r>
      <w:r w:rsidR="00C31156">
        <w:rPr>
          <w:rFonts w:asciiTheme="majorHAnsi" w:hAnsiTheme="majorHAnsi" w:cs="Arial"/>
          <w:sz w:val="20"/>
          <w:szCs w:val="20"/>
          <w:lang w:val="es-UY"/>
        </w:rPr>
        <w:t xml:space="preserve"> y siguiendo las formalidades procesales</w:t>
      </w:r>
      <w:r w:rsidR="00976A68">
        <w:rPr>
          <w:rFonts w:asciiTheme="majorHAnsi" w:hAnsiTheme="majorHAnsi" w:cs="Arial"/>
          <w:sz w:val="20"/>
          <w:szCs w:val="20"/>
          <w:lang w:val="es-UY"/>
        </w:rPr>
        <w:t xml:space="preserve">, se realizaron dos estudios al cadáver de la presunta víctima por parte de médicos </w:t>
      </w:r>
      <w:r w:rsidR="00C31156">
        <w:rPr>
          <w:rFonts w:asciiTheme="majorHAnsi" w:hAnsiTheme="majorHAnsi" w:cs="Arial"/>
          <w:sz w:val="20"/>
          <w:szCs w:val="20"/>
          <w:lang w:val="es-UY"/>
        </w:rPr>
        <w:t>forenses</w:t>
      </w:r>
      <w:r w:rsidR="00976A68">
        <w:rPr>
          <w:rFonts w:asciiTheme="majorHAnsi" w:hAnsiTheme="majorHAnsi" w:cs="Arial"/>
          <w:sz w:val="20"/>
          <w:szCs w:val="20"/>
          <w:lang w:val="es-UY"/>
        </w:rPr>
        <w:t xml:space="preserve"> norteamericanos: un estudio de esqueletización en noviembre de 2009 y una necropsia en mayo de 2010</w:t>
      </w:r>
      <w:r w:rsidR="00C31156">
        <w:rPr>
          <w:rFonts w:asciiTheme="majorHAnsi" w:hAnsiTheme="majorHAnsi" w:cs="Arial"/>
          <w:sz w:val="20"/>
          <w:szCs w:val="20"/>
          <w:lang w:val="es-UY"/>
        </w:rPr>
        <w:t xml:space="preserve">. </w:t>
      </w:r>
      <w:r w:rsidR="00CD4F38">
        <w:rPr>
          <w:rFonts w:asciiTheme="majorHAnsi" w:hAnsiTheme="majorHAnsi" w:cs="Arial"/>
          <w:sz w:val="20"/>
          <w:szCs w:val="20"/>
          <w:lang w:val="es-UY"/>
        </w:rPr>
        <w:t xml:space="preserve">Estos informes habrían concluido que la muerte de la presunta víctima se habría producido por golpes de fuerza bruta en la cabeza y asfixia por estrangulamiento. </w:t>
      </w:r>
      <w:r w:rsidR="00C31156">
        <w:rPr>
          <w:rFonts w:asciiTheme="majorHAnsi" w:hAnsiTheme="majorHAnsi" w:cs="Arial"/>
          <w:sz w:val="20"/>
          <w:szCs w:val="20"/>
          <w:lang w:val="es-UY"/>
        </w:rPr>
        <w:t>No obstante,</w:t>
      </w:r>
      <w:r w:rsidR="00976A68">
        <w:rPr>
          <w:rFonts w:asciiTheme="majorHAnsi" w:hAnsiTheme="majorHAnsi" w:cs="Arial"/>
          <w:sz w:val="20"/>
          <w:szCs w:val="20"/>
          <w:lang w:val="es-UY"/>
        </w:rPr>
        <w:t xml:space="preserve"> el Ministerio Público se </w:t>
      </w:r>
      <w:r w:rsidR="00CD4F38">
        <w:rPr>
          <w:rFonts w:asciiTheme="majorHAnsi" w:hAnsiTheme="majorHAnsi" w:cs="Arial"/>
          <w:sz w:val="20"/>
          <w:szCs w:val="20"/>
          <w:lang w:val="es-UY"/>
        </w:rPr>
        <w:t>habría rehusado</w:t>
      </w:r>
      <w:r w:rsidR="00976A68">
        <w:rPr>
          <w:rFonts w:asciiTheme="majorHAnsi" w:hAnsiTheme="majorHAnsi" w:cs="Arial"/>
          <w:sz w:val="20"/>
          <w:szCs w:val="20"/>
          <w:lang w:val="es-UY"/>
        </w:rPr>
        <w:t xml:space="preserve"> a tomar en cuenta </w:t>
      </w:r>
      <w:r w:rsidR="00CD4F38">
        <w:rPr>
          <w:rFonts w:asciiTheme="majorHAnsi" w:hAnsiTheme="majorHAnsi" w:cs="Arial"/>
          <w:sz w:val="20"/>
          <w:szCs w:val="20"/>
          <w:lang w:val="es-UY"/>
        </w:rPr>
        <w:t xml:space="preserve">estos informes, aceptando únicamente el criterio de los </w:t>
      </w:r>
      <w:r w:rsidR="00B06C08">
        <w:rPr>
          <w:rFonts w:asciiTheme="majorHAnsi" w:hAnsiTheme="majorHAnsi" w:cs="Arial"/>
          <w:sz w:val="20"/>
          <w:szCs w:val="20"/>
          <w:lang w:val="es-UY"/>
        </w:rPr>
        <w:t>médicos oficiales</w:t>
      </w:r>
      <w:r w:rsidR="00CD4F38">
        <w:rPr>
          <w:rFonts w:asciiTheme="majorHAnsi" w:hAnsiTheme="majorHAnsi" w:cs="Arial"/>
          <w:sz w:val="20"/>
          <w:szCs w:val="20"/>
          <w:lang w:val="es-UY"/>
        </w:rPr>
        <w:t>,</w:t>
      </w:r>
      <w:r w:rsidR="00B06C08">
        <w:rPr>
          <w:rFonts w:asciiTheme="majorHAnsi" w:hAnsiTheme="majorHAnsi" w:cs="Arial"/>
          <w:sz w:val="20"/>
          <w:szCs w:val="20"/>
          <w:lang w:val="es-UY"/>
        </w:rPr>
        <w:t xml:space="preserve"> </w:t>
      </w:r>
      <w:r w:rsidR="00CC5475">
        <w:rPr>
          <w:rFonts w:asciiTheme="majorHAnsi" w:hAnsiTheme="majorHAnsi" w:cs="Arial"/>
          <w:sz w:val="20"/>
          <w:szCs w:val="20"/>
          <w:lang w:val="es-UY"/>
        </w:rPr>
        <w:t>quienes</w:t>
      </w:r>
      <w:r w:rsidR="00B06C08">
        <w:rPr>
          <w:rFonts w:asciiTheme="majorHAnsi" w:hAnsiTheme="majorHAnsi" w:cs="Arial"/>
          <w:sz w:val="20"/>
          <w:szCs w:val="20"/>
          <w:lang w:val="es-UY"/>
        </w:rPr>
        <w:t xml:space="preserve"> </w:t>
      </w:r>
      <w:r w:rsidR="00CD4F38">
        <w:rPr>
          <w:rFonts w:asciiTheme="majorHAnsi" w:hAnsiTheme="majorHAnsi" w:cs="Arial"/>
          <w:sz w:val="20"/>
          <w:szCs w:val="20"/>
          <w:lang w:val="es-UY"/>
        </w:rPr>
        <w:t>a pesar de haber participado en los mismos exámenes,</w:t>
      </w:r>
      <w:r w:rsidR="00B06C08">
        <w:rPr>
          <w:rFonts w:asciiTheme="majorHAnsi" w:hAnsiTheme="majorHAnsi" w:cs="Arial"/>
          <w:sz w:val="20"/>
          <w:szCs w:val="20"/>
          <w:lang w:val="es-UY"/>
        </w:rPr>
        <w:t xml:space="preserve"> habrían persistido en manifestar que el deceso se habría producido por causas no determinadas</w:t>
      </w:r>
      <w:r w:rsidR="00CC5475">
        <w:rPr>
          <w:rFonts w:asciiTheme="majorHAnsi" w:hAnsiTheme="majorHAnsi" w:cs="Arial"/>
          <w:sz w:val="20"/>
          <w:szCs w:val="20"/>
          <w:lang w:val="es-UY"/>
        </w:rPr>
        <w:t>.</w:t>
      </w:r>
      <w:r w:rsidR="00A87534">
        <w:rPr>
          <w:rFonts w:asciiTheme="majorHAnsi" w:hAnsiTheme="majorHAnsi" w:cs="Arial"/>
          <w:sz w:val="20"/>
          <w:szCs w:val="20"/>
          <w:lang w:val="es-UY"/>
        </w:rPr>
        <w:t xml:space="preserve"> </w:t>
      </w:r>
      <w:r w:rsidR="00CC5475">
        <w:rPr>
          <w:rFonts w:asciiTheme="majorHAnsi" w:hAnsiTheme="majorHAnsi" w:cs="Arial"/>
          <w:sz w:val="20"/>
          <w:szCs w:val="20"/>
          <w:lang w:val="es-UY"/>
        </w:rPr>
        <w:t>Esta es la calificación oficial</w:t>
      </w:r>
      <w:r w:rsidR="00A87534">
        <w:rPr>
          <w:rFonts w:asciiTheme="majorHAnsi" w:hAnsiTheme="majorHAnsi" w:cs="Arial"/>
          <w:sz w:val="20"/>
          <w:szCs w:val="20"/>
          <w:lang w:val="es-UY"/>
        </w:rPr>
        <w:t xml:space="preserve"> que hasta hoy figura en el acta de defunción de la presunta víctima</w:t>
      </w:r>
      <w:r w:rsidR="00B06C08">
        <w:rPr>
          <w:rFonts w:asciiTheme="majorHAnsi" w:hAnsiTheme="majorHAnsi" w:cs="Arial"/>
          <w:sz w:val="20"/>
          <w:szCs w:val="20"/>
          <w:lang w:val="es-UY"/>
        </w:rPr>
        <w:t xml:space="preserve">. </w:t>
      </w:r>
      <w:r w:rsidR="00CD4F38">
        <w:rPr>
          <w:rFonts w:asciiTheme="majorHAnsi" w:hAnsiTheme="majorHAnsi" w:cs="Arial"/>
          <w:sz w:val="20"/>
          <w:szCs w:val="20"/>
          <w:lang w:val="es-UY"/>
        </w:rPr>
        <w:t xml:space="preserve">El peticionario cuestiona la idoneidad de los médicos designados por el </w:t>
      </w:r>
      <w:r w:rsidR="009A02B6">
        <w:rPr>
          <w:rFonts w:asciiTheme="majorHAnsi" w:hAnsiTheme="majorHAnsi" w:cs="Arial"/>
          <w:sz w:val="20"/>
          <w:szCs w:val="20"/>
          <w:lang w:val="es-UY"/>
        </w:rPr>
        <w:t>juzgado</w:t>
      </w:r>
      <w:r w:rsidR="00CD4F38">
        <w:rPr>
          <w:rFonts w:asciiTheme="majorHAnsi" w:hAnsiTheme="majorHAnsi" w:cs="Arial"/>
          <w:sz w:val="20"/>
          <w:szCs w:val="20"/>
          <w:lang w:val="es-UY"/>
        </w:rPr>
        <w:t>.</w:t>
      </w:r>
    </w:p>
    <w:p w:rsidR="00B06C08" w:rsidRDefault="00B06C08" w:rsidP="00B06C0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UY"/>
        </w:rPr>
      </w:pPr>
    </w:p>
    <w:p w:rsidR="006D5820" w:rsidRDefault="00CD4F38"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UY"/>
        </w:rPr>
      </w:pPr>
      <w:r w:rsidRPr="00CD4F38">
        <w:rPr>
          <w:rFonts w:asciiTheme="majorHAnsi" w:hAnsiTheme="majorHAnsi" w:cs="Arial"/>
          <w:sz w:val="20"/>
          <w:szCs w:val="20"/>
          <w:lang w:val="es-UY"/>
        </w:rPr>
        <w:t xml:space="preserve">Asimismo, </w:t>
      </w:r>
      <w:r w:rsidR="002C580F">
        <w:rPr>
          <w:rFonts w:asciiTheme="majorHAnsi" w:hAnsiTheme="majorHAnsi" w:cs="Arial"/>
          <w:sz w:val="20"/>
          <w:szCs w:val="20"/>
          <w:lang w:val="es-UY"/>
        </w:rPr>
        <w:t>el peticionario aduce que lejos de tener una voluntad real de investigar los hechos, el Ministerio P</w:t>
      </w:r>
      <w:r w:rsidR="005D6E4E">
        <w:rPr>
          <w:rFonts w:asciiTheme="majorHAnsi" w:hAnsiTheme="majorHAnsi" w:cs="Arial"/>
          <w:sz w:val="20"/>
          <w:szCs w:val="20"/>
          <w:lang w:val="es-UY"/>
        </w:rPr>
        <w:t xml:space="preserve">úblico ha solicitado </w:t>
      </w:r>
      <w:r w:rsidR="002C580F">
        <w:rPr>
          <w:rFonts w:asciiTheme="majorHAnsi" w:hAnsiTheme="majorHAnsi" w:cs="Arial"/>
          <w:sz w:val="20"/>
          <w:szCs w:val="20"/>
          <w:lang w:val="es-UY"/>
        </w:rPr>
        <w:t>al Juez contralor del proceso</w:t>
      </w:r>
      <w:r w:rsidR="005D6E4E">
        <w:rPr>
          <w:rFonts w:asciiTheme="majorHAnsi" w:hAnsiTheme="majorHAnsi" w:cs="Arial"/>
          <w:sz w:val="20"/>
          <w:szCs w:val="20"/>
          <w:lang w:val="es-UY"/>
        </w:rPr>
        <w:t>, en al menos dos ocasiones,</w:t>
      </w:r>
      <w:r w:rsidR="002C580F">
        <w:rPr>
          <w:rFonts w:asciiTheme="majorHAnsi" w:hAnsiTheme="majorHAnsi" w:cs="Arial"/>
          <w:sz w:val="20"/>
          <w:szCs w:val="20"/>
          <w:lang w:val="es-UY"/>
        </w:rPr>
        <w:t xml:space="preserve"> el archivo de las investigaciones</w:t>
      </w:r>
      <w:r w:rsidR="009A02B6">
        <w:rPr>
          <w:rFonts w:asciiTheme="majorHAnsi" w:hAnsiTheme="majorHAnsi" w:cs="Arial"/>
          <w:sz w:val="20"/>
          <w:szCs w:val="20"/>
          <w:lang w:val="es-UY"/>
        </w:rPr>
        <w:t>.</w:t>
      </w:r>
      <w:r w:rsidR="002C580F">
        <w:rPr>
          <w:rFonts w:asciiTheme="majorHAnsi" w:hAnsiTheme="majorHAnsi" w:cs="Arial"/>
          <w:sz w:val="20"/>
          <w:szCs w:val="20"/>
          <w:lang w:val="es-UY"/>
        </w:rPr>
        <w:t xml:space="preserve"> </w:t>
      </w:r>
      <w:r w:rsidR="009A02B6">
        <w:rPr>
          <w:rFonts w:asciiTheme="majorHAnsi" w:hAnsiTheme="majorHAnsi" w:cs="Arial"/>
          <w:sz w:val="20"/>
          <w:szCs w:val="20"/>
          <w:lang w:val="es-UY"/>
        </w:rPr>
        <w:t>S</w:t>
      </w:r>
      <w:r w:rsidR="002C580F">
        <w:rPr>
          <w:rFonts w:asciiTheme="majorHAnsi" w:hAnsiTheme="majorHAnsi" w:cs="Arial"/>
          <w:sz w:val="20"/>
          <w:szCs w:val="20"/>
          <w:lang w:val="es-UY"/>
        </w:rPr>
        <w:t xml:space="preserve">in embargo, los jueces decidieron </w:t>
      </w:r>
      <w:r w:rsidR="009A02B6">
        <w:rPr>
          <w:rFonts w:asciiTheme="majorHAnsi" w:hAnsiTheme="majorHAnsi" w:cs="Arial"/>
          <w:sz w:val="20"/>
          <w:szCs w:val="20"/>
          <w:lang w:val="es-UY"/>
        </w:rPr>
        <w:t xml:space="preserve">en ambas ocasiones, 30 de mayo de 2011 y 26 de julio de 2012, </w:t>
      </w:r>
      <w:r w:rsidR="002C580F">
        <w:rPr>
          <w:rFonts w:asciiTheme="majorHAnsi" w:hAnsiTheme="majorHAnsi" w:cs="Arial"/>
          <w:sz w:val="20"/>
          <w:szCs w:val="20"/>
          <w:lang w:val="es-UY"/>
        </w:rPr>
        <w:t xml:space="preserve">mantener abierto el proceso e instar al Ministerio Público a que avance en las investigaciones. </w:t>
      </w:r>
      <w:r w:rsidR="00F25E2A">
        <w:rPr>
          <w:rFonts w:asciiTheme="majorHAnsi" w:hAnsiTheme="majorHAnsi" w:cs="Arial"/>
          <w:sz w:val="20"/>
          <w:szCs w:val="20"/>
          <w:lang w:val="es-UY"/>
        </w:rPr>
        <w:t>Además, la Procuraduría de los Derechos Humanos</w:t>
      </w:r>
      <w:r w:rsidR="00834B0B">
        <w:rPr>
          <w:rFonts w:asciiTheme="majorHAnsi" w:hAnsiTheme="majorHAnsi" w:cs="Arial"/>
          <w:sz w:val="20"/>
          <w:szCs w:val="20"/>
          <w:lang w:val="es-UY"/>
        </w:rPr>
        <w:t xml:space="preserve"> </w:t>
      </w:r>
      <w:r w:rsidR="00F25E2A">
        <w:rPr>
          <w:rFonts w:asciiTheme="majorHAnsi" w:hAnsiTheme="majorHAnsi" w:cs="Arial"/>
          <w:sz w:val="20"/>
          <w:szCs w:val="20"/>
          <w:lang w:val="es-UY"/>
        </w:rPr>
        <w:t>abría emitido el 17 de diciembre de 2008 un</w:t>
      </w:r>
      <w:r w:rsidR="006F2132">
        <w:rPr>
          <w:rFonts w:asciiTheme="majorHAnsi" w:hAnsiTheme="majorHAnsi" w:cs="Arial"/>
          <w:sz w:val="20"/>
          <w:szCs w:val="20"/>
          <w:lang w:val="es-UY"/>
        </w:rPr>
        <w:t>a</w:t>
      </w:r>
      <w:r w:rsidR="00F25E2A">
        <w:rPr>
          <w:rFonts w:asciiTheme="majorHAnsi" w:hAnsiTheme="majorHAnsi" w:cs="Arial"/>
          <w:sz w:val="20"/>
          <w:szCs w:val="20"/>
          <w:lang w:val="es-UY"/>
        </w:rPr>
        <w:t xml:space="preserve"> resolución estableciendo la violación al derecho al acceso a la justicia en perjuicio de los </w:t>
      </w:r>
      <w:r w:rsidR="006F2132">
        <w:rPr>
          <w:rFonts w:asciiTheme="majorHAnsi" w:hAnsiTheme="majorHAnsi" w:cs="Arial"/>
          <w:sz w:val="20"/>
          <w:szCs w:val="20"/>
          <w:lang w:val="es-UY"/>
        </w:rPr>
        <w:t>familiares</w:t>
      </w:r>
      <w:r w:rsidR="00F25E2A">
        <w:rPr>
          <w:rFonts w:asciiTheme="majorHAnsi" w:hAnsiTheme="majorHAnsi" w:cs="Arial"/>
          <w:sz w:val="20"/>
          <w:szCs w:val="20"/>
          <w:lang w:val="es-UY"/>
        </w:rPr>
        <w:t xml:space="preserve"> de la presunta víctima, y requiriendo al Ministerio Público </w:t>
      </w:r>
      <w:r w:rsidR="006F2132">
        <w:rPr>
          <w:rFonts w:asciiTheme="majorHAnsi" w:hAnsiTheme="majorHAnsi" w:cs="Arial"/>
          <w:sz w:val="20"/>
          <w:szCs w:val="20"/>
          <w:lang w:val="es-UY"/>
        </w:rPr>
        <w:t xml:space="preserve">que investigara de manera exhaustiva y </w:t>
      </w:r>
      <w:r w:rsidR="00834B0B">
        <w:rPr>
          <w:rFonts w:asciiTheme="majorHAnsi" w:hAnsiTheme="majorHAnsi" w:cs="Arial"/>
          <w:sz w:val="20"/>
          <w:szCs w:val="20"/>
          <w:lang w:val="es-UY"/>
        </w:rPr>
        <w:t xml:space="preserve">objetiva </w:t>
      </w:r>
      <w:r w:rsidR="0002534E">
        <w:rPr>
          <w:rFonts w:asciiTheme="majorHAnsi" w:hAnsiTheme="majorHAnsi" w:cs="Arial"/>
          <w:sz w:val="20"/>
          <w:szCs w:val="20"/>
          <w:lang w:val="es-UY"/>
        </w:rPr>
        <w:t>la privación ilegal de la libertad</w:t>
      </w:r>
      <w:r w:rsidR="00834B0B">
        <w:rPr>
          <w:rFonts w:asciiTheme="majorHAnsi" w:hAnsiTheme="majorHAnsi" w:cs="Arial"/>
          <w:sz w:val="20"/>
          <w:szCs w:val="20"/>
          <w:lang w:val="es-UY"/>
        </w:rPr>
        <w:t xml:space="preserve"> y asesinat</w:t>
      </w:r>
      <w:r w:rsidR="006F2132">
        <w:rPr>
          <w:rFonts w:asciiTheme="majorHAnsi" w:hAnsiTheme="majorHAnsi" w:cs="Arial"/>
          <w:sz w:val="20"/>
          <w:szCs w:val="20"/>
          <w:lang w:val="es-UY"/>
        </w:rPr>
        <w:t>o de Verónica J. Pala</w:t>
      </w:r>
      <w:r w:rsidR="002B651A">
        <w:rPr>
          <w:rFonts w:asciiTheme="majorHAnsi" w:hAnsiTheme="majorHAnsi" w:cs="Arial"/>
          <w:sz w:val="20"/>
          <w:szCs w:val="20"/>
          <w:lang w:val="es-UY"/>
        </w:rPr>
        <w:t>c</w:t>
      </w:r>
      <w:r w:rsidR="006F2132">
        <w:rPr>
          <w:rFonts w:asciiTheme="majorHAnsi" w:hAnsiTheme="majorHAnsi" w:cs="Arial"/>
          <w:sz w:val="20"/>
          <w:szCs w:val="20"/>
          <w:lang w:val="es-UY"/>
        </w:rPr>
        <w:t>ios V.</w:t>
      </w:r>
      <w:r w:rsidR="00CC5475">
        <w:rPr>
          <w:rFonts w:asciiTheme="majorHAnsi" w:hAnsiTheme="majorHAnsi" w:cs="Arial"/>
          <w:sz w:val="20"/>
          <w:szCs w:val="20"/>
          <w:lang w:val="es-UY"/>
        </w:rPr>
        <w:t>,</w:t>
      </w:r>
      <w:r w:rsidR="00753278">
        <w:rPr>
          <w:rFonts w:asciiTheme="majorHAnsi" w:hAnsiTheme="majorHAnsi" w:cs="Arial"/>
          <w:sz w:val="20"/>
          <w:szCs w:val="20"/>
          <w:lang w:val="es-UY"/>
        </w:rPr>
        <w:t xml:space="preserve"> para</w:t>
      </w:r>
      <w:r w:rsidR="006F2132">
        <w:rPr>
          <w:rFonts w:asciiTheme="majorHAnsi" w:hAnsiTheme="majorHAnsi" w:cs="Arial"/>
          <w:sz w:val="20"/>
          <w:szCs w:val="20"/>
          <w:lang w:val="es-UY"/>
        </w:rPr>
        <w:t xml:space="preserve"> que tales delitos no quedaran en la impunidad</w:t>
      </w:r>
      <w:r w:rsidR="00CC5475">
        <w:rPr>
          <w:rFonts w:asciiTheme="majorHAnsi" w:hAnsiTheme="majorHAnsi" w:cs="Arial"/>
          <w:sz w:val="20"/>
          <w:szCs w:val="20"/>
          <w:lang w:val="es-UY"/>
        </w:rPr>
        <w:t>. P</w:t>
      </w:r>
      <w:r w:rsidR="006F2132">
        <w:rPr>
          <w:rFonts w:asciiTheme="majorHAnsi" w:hAnsiTheme="majorHAnsi" w:cs="Arial"/>
          <w:sz w:val="20"/>
          <w:szCs w:val="20"/>
          <w:lang w:val="es-UY"/>
        </w:rPr>
        <w:t xml:space="preserve">osteriormente, </w:t>
      </w:r>
      <w:r w:rsidR="006841CD">
        <w:rPr>
          <w:rFonts w:asciiTheme="majorHAnsi" w:hAnsiTheme="majorHAnsi" w:cs="Arial"/>
          <w:sz w:val="20"/>
          <w:szCs w:val="20"/>
          <w:lang w:val="es-UY"/>
        </w:rPr>
        <w:t xml:space="preserve">la Procuraduría de los Derechos Humanos emitió una resolución de seguimiento el 17 de junio de 2013 en la que reiteró lo establecido en su resolución presente, y amplió el alcance de la misma al requerir a la titular del Ministerio Público que </w:t>
      </w:r>
      <w:r w:rsidR="004F67DD">
        <w:rPr>
          <w:rFonts w:asciiTheme="majorHAnsi" w:hAnsiTheme="majorHAnsi" w:cs="Arial"/>
          <w:sz w:val="20"/>
          <w:szCs w:val="20"/>
          <w:lang w:val="es-UY"/>
        </w:rPr>
        <w:t>adoptara</w:t>
      </w:r>
      <w:r w:rsidR="006841CD">
        <w:rPr>
          <w:rFonts w:asciiTheme="majorHAnsi" w:hAnsiTheme="majorHAnsi" w:cs="Arial"/>
          <w:sz w:val="20"/>
          <w:szCs w:val="20"/>
          <w:lang w:val="es-UY"/>
        </w:rPr>
        <w:t xml:space="preserve"> las </w:t>
      </w:r>
      <w:r w:rsidR="004F67DD">
        <w:rPr>
          <w:rFonts w:asciiTheme="majorHAnsi" w:hAnsiTheme="majorHAnsi" w:cs="Arial"/>
          <w:sz w:val="20"/>
          <w:szCs w:val="20"/>
          <w:lang w:val="es-UY"/>
        </w:rPr>
        <w:t>acciones</w:t>
      </w:r>
      <w:r w:rsidR="006841CD">
        <w:rPr>
          <w:rFonts w:asciiTheme="majorHAnsi" w:hAnsiTheme="majorHAnsi" w:cs="Arial"/>
          <w:sz w:val="20"/>
          <w:szCs w:val="20"/>
          <w:lang w:val="es-UY"/>
        </w:rPr>
        <w:t xml:space="preserve"> disciplinarias </w:t>
      </w:r>
      <w:r w:rsidR="004F67DD">
        <w:rPr>
          <w:rFonts w:asciiTheme="majorHAnsi" w:hAnsiTheme="majorHAnsi" w:cs="Arial"/>
          <w:sz w:val="20"/>
          <w:szCs w:val="20"/>
          <w:lang w:val="es-UY"/>
        </w:rPr>
        <w:t xml:space="preserve">y administrativas </w:t>
      </w:r>
      <w:r w:rsidR="006841CD">
        <w:rPr>
          <w:rFonts w:asciiTheme="majorHAnsi" w:hAnsiTheme="majorHAnsi" w:cs="Arial"/>
          <w:sz w:val="20"/>
          <w:szCs w:val="20"/>
          <w:lang w:val="es-UY"/>
        </w:rPr>
        <w:t xml:space="preserve">correspondientes </w:t>
      </w:r>
      <w:r w:rsidR="004F67DD">
        <w:rPr>
          <w:rFonts w:asciiTheme="majorHAnsi" w:hAnsiTheme="majorHAnsi" w:cs="Arial"/>
          <w:sz w:val="20"/>
          <w:szCs w:val="20"/>
          <w:lang w:val="es-UY"/>
        </w:rPr>
        <w:t>en vista de la negligencia en el manejo de las investigaciones del caso.</w:t>
      </w:r>
    </w:p>
    <w:p w:rsidR="006D5820" w:rsidRDefault="006D5820" w:rsidP="006D582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UY"/>
        </w:rPr>
      </w:pPr>
    </w:p>
    <w:p w:rsidR="00CD4F38" w:rsidRPr="00CD4F38" w:rsidRDefault="00CC5475"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UY"/>
        </w:rPr>
      </w:pPr>
      <w:r>
        <w:rPr>
          <w:rFonts w:asciiTheme="majorHAnsi" w:hAnsiTheme="majorHAnsi" w:cs="Arial"/>
          <w:sz w:val="20"/>
          <w:szCs w:val="20"/>
          <w:lang w:val="es-UY"/>
        </w:rPr>
        <w:t xml:space="preserve"> </w:t>
      </w:r>
      <w:r w:rsidR="004F67DD">
        <w:rPr>
          <w:rFonts w:asciiTheme="majorHAnsi" w:hAnsiTheme="majorHAnsi" w:cs="Arial"/>
          <w:sz w:val="20"/>
          <w:szCs w:val="20"/>
          <w:lang w:val="es-UY"/>
        </w:rPr>
        <w:t xml:space="preserve">De igual forma, el peticionario destaca que </w:t>
      </w:r>
      <w:r w:rsidR="00F84AD7">
        <w:rPr>
          <w:rFonts w:asciiTheme="majorHAnsi" w:hAnsiTheme="majorHAnsi" w:cs="Arial"/>
          <w:sz w:val="20"/>
          <w:szCs w:val="20"/>
          <w:lang w:val="es-UY"/>
        </w:rPr>
        <w:t>entre junio de 2005 y</w:t>
      </w:r>
      <w:r w:rsidR="00C47021">
        <w:rPr>
          <w:rFonts w:asciiTheme="majorHAnsi" w:hAnsiTheme="majorHAnsi" w:cs="Arial"/>
          <w:sz w:val="20"/>
          <w:szCs w:val="20"/>
          <w:lang w:val="es-UY"/>
        </w:rPr>
        <w:t xml:space="preserve"> mayo de 2014 han estado </w:t>
      </w:r>
      <w:r>
        <w:rPr>
          <w:rFonts w:asciiTheme="majorHAnsi" w:hAnsiTheme="majorHAnsi" w:cs="Arial"/>
          <w:sz w:val="20"/>
          <w:szCs w:val="20"/>
          <w:lang w:val="es-UY"/>
        </w:rPr>
        <w:t>encargados</w:t>
      </w:r>
      <w:r w:rsidR="00C47021">
        <w:rPr>
          <w:rFonts w:asciiTheme="majorHAnsi" w:hAnsiTheme="majorHAnsi" w:cs="Arial"/>
          <w:sz w:val="20"/>
          <w:szCs w:val="20"/>
          <w:lang w:val="es-UY"/>
        </w:rPr>
        <w:t xml:space="preserve"> del caso </w:t>
      </w:r>
      <w:r w:rsidR="002B651A" w:rsidRPr="003877AB">
        <w:rPr>
          <w:rFonts w:asciiTheme="majorHAnsi" w:hAnsiTheme="majorHAnsi" w:cs="Arial"/>
          <w:sz w:val="20"/>
          <w:szCs w:val="20"/>
          <w:lang w:val="es-UY"/>
        </w:rPr>
        <w:t>sucesivamente</w:t>
      </w:r>
      <w:r w:rsidR="002B651A">
        <w:rPr>
          <w:rFonts w:asciiTheme="majorHAnsi" w:hAnsiTheme="majorHAnsi" w:cs="Arial"/>
          <w:sz w:val="20"/>
          <w:szCs w:val="20"/>
          <w:lang w:val="es-UY"/>
        </w:rPr>
        <w:t xml:space="preserve"> </w:t>
      </w:r>
      <w:r w:rsidR="00C47021">
        <w:rPr>
          <w:rFonts w:asciiTheme="majorHAnsi" w:hAnsiTheme="majorHAnsi" w:cs="Arial"/>
          <w:sz w:val="20"/>
          <w:szCs w:val="20"/>
          <w:lang w:val="es-UY"/>
        </w:rPr>
        <w:t>7 Jefes de la Sección de Delitos contra la Vida e Integridad Personal y 15 agentes</w:t>
      </w:r>
      <w:r w:rsidR="00F84AD7">
        <w:rPr>
          <w:rFonts w:asciiTheme="majorHAnsi" w:hAnsiTheme="majorHAnsi" w:cs="Arial"/>
          <w:sz w:val="20"/>
          <w:szCs w:val="20"/>
          <w:lang w:val="es-UY"/>
        </w:rPr>
        <w:t xml:space="preserve"> fiscales y fiscales auxiliares;</w:t>
      </w:r>
      <w:r w:rsidR="00C47021">
        <w:rPr>
          <w:rFonts w:asciiTheme="majorHAnsi" w:hAnsiTheme="majorHAnsi" w:cs="Arial"/>
          <w:sz w:val="20"/>
          <w:szCs w:val="20"/>
          <w:lang w:val="es-UY"/>
        </w:rPr>
        <w:t xml:space="preserve"> y que esta alta rotación de funcionarios del Ministerio Público ha constituido un obstáculo más para el avance eficiente de las investigaciones </w:t>
      </w:r>
      <w:r w:rsidR="0002534E">
        <w:rPr>
          <w:rFonts w:asciiTheme="majorHAnsi" w:hAnsiTheme="majorHAnsi" w:cs="Arial"/>
          <w:sz w:val="20"/>
          <w:szCs w:val="20"/>
          <w:lang w:val="es-UY"/>
        </w:rPr>
        <w:t>de la privación ilegal de la libertad</w:t>
      </w:r>
      <w:r w:rsidR="00C47021">
        <w:rPr>
          <w:rFonts w:asciiTheme="majorHAnsi" w:hAnsiTheme="majorHAnsi" w:cs="Arial"/>
          <w:sz w:val="20"/>
          <w:szCs w:val="20"/>
          <w:lang w:val="es-UY"/>
        </w:rPr>
        <w:t xml:space="preserve"> y asesinato de la presunta víctima. </w:t>
      </w:r>
    </w:p>
    <w:p w:rsidR="00CD4F38" w:rsidRPr="00CD4F38" w:rsidRDefault="00CD4F38" w:rsidP="00CD4F3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UY"/>
        </w:rPr>
      </w:pPr>
    </w:p>
    <w:p w:rsidR="00B06C08" w:rsidRPr="00141C12" w:rsidRDefault="00F84AD7"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UY"/>
        </w:rPr>
      </w:pPr>
      <w:r>
        <w:rPr>
          <w:rFonts w:asciiTheme="majorHAnsi" w:hAnsiTheme="majorHAnsi" w:cs="Arial"/>
          <w:sz w:val="20"/>
          <w:szCs w:val="20"/>
          <w:lang w:val="es-UY"/>
        </w:rPr>
        <w:t xml:space="preserve">Por otro lado, </w:t>
      </w:r>
      <w:r w:rsidR="007C1442">
        <w:rPr>
          <w:rFonts w:asciiTheme="majorHAnsi" w:hAnsiTheme="majorHAnsi" w:cs="Arial"/>
          <w:sz w:val="20"/>
          <w:szCs w:val="20"/>
          <w:lang w:val="es-UY"/>
        </w:rPr>
        <w:t xml:space="preserve">el peticionario </w:t>
      </w:r>
      <w:r w:rsidR="009B0A71">
        <w:rPr>
          <w:rFonts w:asciiTheme="majorHAnsi" w:hAnsiTheme="majorHAnsi" w:cs="Arial"/>
          <w:sz w:val="20"/>
          <w:szCs w:val="20"/>
          <w:lang w:val="es-UY"/>
        </w:rPr>
        <w:t xml:space="preserve">denuncia que a lo largo de estos años él y su familia han recibido amenazas y presiones para que desistan de exigir que se investigue a los responsables </w:t>
      </w:r>
      <w:r w:rsidR="0002534E">
        <w:rPr>
          <w:rFonts w:asciiTheme="majorHAnsi" w:hAnsiTheme="majorHAnsi" w:cs="Arial"/>
          <w:sz w:val="20"/>
          <w:szCs w:val="20"/>
          <w:lang w:val="es-UY"/>
        </w:rPr>
        <w:t>de la privación ilegal de la libertad</w:t>
      </w:r>
      <w:r w:rsidR="009B0A71">
        <w:rPr>
          <w:rFonts w:asciiTheme="majorHAnsi" w:hAnsiTheme="majorHAnsi" w:cs="Arial"/>
          <w:sz w:val="20"/>
          <w:szCs w:val="20"/>
          <w:lang w:val="es-UY"/>
        </w:rPr>
        <w:t xml:space="preserve"> y muerte de su hija. Indica por ejemplo, que han sido víctimas de seguimientos de personas extrañas y hostiles, amenazas telefónicas anónimas, e intrusiones no autorizadas en su </w:t>
      </w:r>
      <w:r w:rsidR="0088711E">
        <w:rPr>
          <w:rFonts w:asciiTheme="majorHAnsi" w:hAnsiTheme="majorHAnsi" w:cs="Arial"/>
          <w:sz w:val="20"/>
          <w:szCs w:val="20"/>
          <w:lang w:val="es-UY"/>
        </w:rPr>
        <w:t xml:space="preserve">residencia durante su ausencia, los cuales atribuyen a agentes del Estado. </w:t>
      </w:r>
      <w:r w:rsidR="007C1442">
        <w:rPr>
          <w:rFonts w:asciiTheme="majorHAnsi" w:hAnsiTheme="majorHAnsi" w:cs="Arial"/>
          <w:sz w:val="20"/>
          <w:szCs w:val="20"/>
          <w:lang w:val="es-UY"/>
        </w:rPr>
        <w:t>El peticion</w:t>
      </w:r>
      <w:r w:rsidR="000C1634">
        <w:rPr>
          <w:rFonts w:asciiTheme="majorHAnsi" w:hAnsiTheme="majorHAnsi" w:cs="Arial"/>
          <w:sz w:val="20"/>
          <w:szCs w:val="20"/>
          <w:lang w:val="es-UY"/>
        </w:rPr>
        <w:t xml:space="preserve">ario agrega que en enero de </w:t>
      </w:r>
      <w:r w:rsidR="000C1634" w:rsidRPr="00141C12">
        <w:rPr>
          <w:rFonts w:asciiTheme="majorHAnsi" w:hAnsiTheme="majorHAnsi" w:cs="Arial"/>
          <w:sz w:val="20"/>
          <w:szCs w:val="20"/>
          <w:lang w:val="es-UY"/>
        </w:rPr>
        <w:t>2012</w:t>
      </w:r>
      <w:r w:rsidR="007C1442">
        <w:rPr>
          <w:rFonts w:asciiTheme="majorHAnsi" w:hAnsiTheme="majorHAnsi" w:cs="Arial"/>
          <w:sz w:val="20"/>
          <w:szCs w:val="20"/>
          <w:lang w:val="es-UY"/>
        </w:rPr>
        <w:t xml:space="preserve"> el General a quien él señala como uno de los involucrados en los hechos denunciados, fue ascendido al cargo de Jefe del </w:t>
      </w:r>
      <w:r w:rsidR="00CC5475">
        <w:rPr>
          <w:rFonts w:asciiTheme="majorHAnsi" w:hAnsiTheme="majorHAnsi" w:cs="Arial"/>
          <w:sz w:val="20"/>
          <w:szCs w:val="20"/>
          <w:lang w:val="es-UY"/>
        </w:rPr>
        <w:t>E</w:t>
      </w:r>
      <w:r w:rsidR="007C1442">
        <w:rPr>
          <w:rFonts w:asciiTheme="majorHAnsi" w:hAnsiTheme="majorHAnsi" w:cs="Arial"/>
          <w:sz w:val="20"/>
          <w:szCs w:val="20"/>
          <w:lang w:val="es-UY"/>
        </w:rPr>
        <w:t xml:space="preserve">stado Mayor de la Defensa Nacional, y </w:t>
      </w:r>
      <w:r w:rsidR="00CC5475">
        <w:rPr>
          <w:rFonts w:asciiTheme="majorHAnsi" w:hAnsiTheme="majorHAnsi" w:cs="Arial"/>
          <w:sz w:val="20"/>
          <w:szCs w:val="20"/>
          <w:lang w:val="es-UY"/>
        </w:rPr>
        <w:t xml:space="preserve">que </w:t>
      </w:r>
      <w:r w:rsidR="004372A5">
        <w:rPr>
          <w:rFonts w:asciiTheme="majorHAnsi" w:hAnsiTheme="majorHAnsi" w:cs="Arial"/>
          <w:sz w:val="20"/>
          <w:szCs w:val="20"/>
          <w:lang w:val="es-UY"/>
        </w:rPr>
        <w:t xml:space="preserve">a partir de este momento </w:t>
      </w:r>
      <w:r w:rsidR="00BF75E2">
        <w:rPr>
          <w:rFonts w:asciiTheme="majorHAnsi" w:hAnsiTheme="majorHAnsi" w:cs="Arial"/>
          <w:sz w:val="20"/>
          <w:szCs w:val="20"/>
          <w:lang w:val="es-UY"/>
        </w:rPr>
        <w:t xml:space="preserve">habría </w:t>
      </w:r>
      <w:r w:rsidR="00CC5475">
        <w:rPr>
          <w:rFonts w:asciiTheme="majorHAnsi" w:hAnsiTheme="majorHAnsi" w:cs="Arial"/>
          <w:sz w:val="20"/>
          <w:szCs w:val="20"/>
          <w:lang w:val="es-UY"/>
        </w:rPr>
        <w:t>sido</w:t>
      </w:r>
      <w:r w:rsidR="004372A5">
        <w:rPr>
          <w:rFonts w:asciiTheme="majorHAnsi" w:hAnsiTheme="majorHAnsi" w:cs="Arial"/>
          <w:sz w:val="20"/>
          <w:szCs w:val="20"/>
          <w:lang w:val="es-UY"/>
        </w:rPr>
        <w:t xml:space="preserve"> objeto de una serie de sanciones arbitrarias que </w:t>
      </w:r>
      <w:r w:rsidR="00BF75E2">
        <w:rPr>
          <w:rFonts w:asciiTheme="majorHAnsi" w:hAnsiTheme="majorHAnsi" w:cs="Arial"/>
          <w:sz w:val="20"/>
          <w:szCs w:val="20"/>
          <w:lang w:val="es-UY"/>
        </w:rPr>
        <w:t>habrían conducido</w:t>
      </w:r>
      <w:r w:rsidR="004372A5">
        <w:rPr>
          <w:rFonts w:asciiTheme="majorHAnsi" w:hAnsiTheme="majorHAnsi" w:cs="Arial"/>
          <w:sz w:val="20"/>
          <w:szCs w:val="20"/>
          <w:lang w:val="es-UY"/>
        </w:rPr>
        <w:t xml:space="preserve"> a su despido de las fuerzas armadas el 31 de octubre de 2012, a dos meses de jubilarse, y luego de una carrera </w:t>
      </w:r>
      <w:r w:rsidR="00BF75E2">
        <w:rPr>
          <w:rFonts w:asciiTheme="majorHAnsi" w:hAnsiTheme="majorHAnsi" w:cs="Arial"/>
          <w:sz w:val="20"/>
          <w:szCs w:val="20"/>
          <w:lang w:val="es-UY"/>
        </w:rPr>
        <w:t xml:space="preserve">intachable </w:t>
      </w:r>
      <w:r w:rsidR="004372A5">
        <w:rPr>
          <w:rFonts w:asciiTheme="majorHAnsi" w:hAnsiTheme="majorHAnsi" w:cs="Arial"/>
          <w:sz w:val="20"/>
          <w:szCs w:val="20"/>
          <w:lang w:val="es-UY"/>
        </w:rPr>
        <w:t xml:space="preserve">de 32 años y 10 meses </w:t>
      </w:r>
      <w:r w:rsidR="00BF75E2">
        <w:rPr>
          <w:rFonts w:asciiTheme="majorHAnsi" w:hAnsiTheme="majorHAnsi" w:cs="Arial"/>
          <w:sz w:val="20"/>
          <w:szCs w:val="20"/>
          <w:lang w:val="es-UY"/>
        </w:rPr>
        <w:t xml:space="preserve">de servicio </w:t>
      </w:r>
      <w:r w:rsidR="004372A5">
        <w:rPr>
          <w:rFonts w:asciiTheme="majorHAnsi" w:hAnsiTheme="majorHAnsi" w:cs="Arial"/>
          <w:sz w:val="20"/>
          <w:szCs w:val="20"/>
          <w:lang w:val="es-UY"/>
        </w:rPr>
        <w:t>sin haber sido sancionado.</w:t>
      </w:r>
      <w:r w:rsidR="000870F6">
        <w:rPr>
          <w:rFonts w:asciiTheme="majorHAnsi" w:hAnsiTheme="majorHAnsi" w:cs="Arial"/>
          <w:sz w:val="20"/>
          <w:szCs w:val="20"/>
          <w:lang w:val="es-UY"/>
        </w:rPr>
        <w:t xml:space="preserve"> </w:t>
      </w:r>
      <w:r w:rsidR="000870F6" w:rsidRPr="00141C12">
        <w:rPr>
          <w:rFonts w:asciiTheme="majorHAnsi" w:hAnsiTheme="majorHAnsi" w:cs="Arial"/>
          <w:sz w:val="20"/>
          <w:szCs w:val="20"/>
          <w:lang w:val="es-UY"/>
        </w:rPr>
        <w:t xml:space="preserve">A este respecto, el peticionario alega haber agotado los recursos </w:t>
      </w:r>
      <w:r w:rsidR="000870F6" w:rsidRPr="00141C12">
        <w:rPr>
          <w:rFonts w:asciiTheme="majorHAnsi" w:hAnsiTheme="majorHAnsi" w:cs="Arial"/>
          <w:sz w:val="20"/>
          <w:szCs w:val="20"/>
          <w:lang w:val="es-UY"/>
        </w:rPr>
        <w:lastRenderedPageBreak/>
        <w:t xml:space="preserve">administrativos y judiciales </w:t>
      </w:r>
      <w:r w:rsidR="007B4313" w:rsidRPr="00141C12">
        <w:rPr>
          <w:rFonts w:asciiTheme="majorHAnsi" w:hAnsiTheme="majorHAnsi" w:cs="Arial"/>
          <w:sz w:val="20"/>
          <w:szCs w:val="20"/>
          <w:lang w:val="es-UY"/>
        </w:rPr>
        <w:t>pertinentes</w:t>
      </w:r>
      <w:r w:rsidR="000870F6" w:rsidRPr="00141C12">
        <w:rPr>
          <w:rFonts w:asciiTheme="majorHAnsi" w:hAnsiTheme="majorHAnsi" w:cs="Arial"/>
          <w:sz w:val="20"/>
          <w:szCs w:val="20"/>
          <w:lang w:val="es-UY"/>
        </w:rPr>
        <w:t>, llegando a tener una resolución</w:t>
      </w:r>
      <w:r w:rsidR="007B4313" w:rsidRPr="00141C12">
        <w:rPr>
          <w:rFonts w:asciiTheme="majorHAnsi" w:hAnsiTheme="majorHAnsi" w:cs="Arial"/>
          <w:sz w:val="20"/>
          <w:szCs w:val="20"/>
          <w:lang w:val="es-UY"/>
        </w:rPr>
        <w:t xml:space="preserve"> final</w:t>
      </w:r>
      <w:r w:rsidR="000870F6" w:rsidRPr="00141C12">
        <w:rPr>
          <w:rFonts w:asciiTheme="majorHAnsi" w:hAnsiTheme="majorHAnsi" w:cs="Arial"/>
          <w:sz w:val="20"/>
          <w:szCs w:val="20"/>
          <w:lang w:val="es-UY"/>
        </w:rPr>
        <w:t xml:space="preserve"> favorable </w:t>
      </w:r>
      <w:r w:rsidR="007B4313" w:rsidRPr="00141C12">
        <w:rPr>
          <w:rFonts w:asciiTheme="majorHAnsi" w:hAnsiTheme="majorHAnsi" w:cs="Arial"/>
          <w:sz w:val="20"/>
          <w:szCs w:val="20"/>
          <w:lang w:val="es-UY"/>
        </w:rPr>
        <w:t xml:space="preserve">emitida por la Corte Constitucional el 10 de diciembre de 2013 en el que se ordena su reintegro al ejército. Sin embargo, esta decisión habría sido incumplida por el Estado. </w:t>
      </w:r>
    </w:p>
    <w:p w:rsidR="00B06C08" w:rsidRPr="00B06C08" w:rsidRDefault="00B06C08" w:rsidP="00B06C0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UY"/>
        </w:rPr>
      </w:pPr>
    </w:p>
    <w:p w:rsidR="0063685A" w:rsidRPr="0063685A" w:rsidRDefault="0063685A"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UY"/>
        </w:rPr>
      </w:pPr>
      <w:r w:rsidRPr="0063685A">
        <w:rPr>
          <w:rFonts w:asciiTheme="majorHAnsi" w:hAnsiTheme="majorHAnsi" w:cs="Arial"/>
          <w:sz w:val="20"/>
          <w:szCs w:val="20"/>
          <w:lang w:val="es-UY"/>
        </w:rPr>
        <w:t xml:space="preserve">Con base en lo anterior, el peticionario alega que el Estado violó los derechos reconocidos en los artículos </w:t>
      </w:r>
      <w:r w:rsidR="008E61F0">
        <w:rPr>
          <w:rFonts w:asciiTheme="majorHAnsi" w:eastAsia="SimSun" w:hAnsiTheme="majorHAnsi"/>
          <w:sz w:val="20"/>
          <w:szCs w:val="20"/>
          <w:lang w:val="es-UY"/>
        </w:rPr>
        <w:t xml:space="preserve">1 y 4 </w:t>
      </w:r>
      <w:r w:rsidRPr="0063685A">
        <w:rPr>
          <w:rFonts w:asciiTheme="majorHAnsi" w:hAnsiTheme="majorHAnsi" w:cs="Arial"/>
          <w:sz w:val="20"/>
          <w:szCs w:val="20"/>
          <w:lang w:val="es-UY"/>
        </w:rPr>
        <w:t xml:space="preserve">de la Convención </w:t>
      </w:r>
      <w:r w:rsidRPr="007A5550">
        <w:rPr>
          <w:rFonts w:asciiTheme="majorHAnsi" w:hAnsiTheme="majorHAnsi"/>
          <w:sz w:val="20"/>
          <w:szCs w:val="20"/>
          <w:lang w:val="es-UY"/>
        </w:rPr>
        <w:t>Americana</w:t>
      </w:r>
      <w:r w:rsidRPr="00596831">
        <w:rPr>
          <w:rFonts w:asciiTheme="majorHAnsi" w:hAnsiTheme="majorHAnsi" w:cs="Arial"/>
          <w:color w:val="FF0000"/>
          <w:sz w:val="20"/>
          <w:szCs w:val="20"/>
          <w:lang w:val="es-UY"/>
        </w:rPr>
        <w:t xml:space="preserve"> </w:t>
      </w:r>
      <w:r w:rsidRPr="0063685A">
        <w:rPr>
          <w:rFonts w:asciiTheme="majorHAnsi" w:hAnsiTheme="majorHAnsi" w:cs="Arial"/>
          <w:sz w:val="20"/>
          <w:szCs w:val="20"/>
          <w:lang w:val="es-UY"/>
        </w:rPr>
        <w:t xml:space="preserve">en perjuicio de </w:t>
      </w:r>
      <w:r w:rsidR="008E61F0">
        <w:rPr>
          <w:rFonts w:asciiTheme="majorHAnsi" w:hAnsiTheme="majorHAnsi" w:cs="Arial"/>
          <w:sz w:val="20"/>
          <w:szCs w:val="20"/>
          <w:lang w:val="es-UY"/>
        </w:rPr>
        <w:t>la niña Verónica J. Palacios V</w:t>
      </w:r>
      <w:r w:rsidRPr="0063685A">
        <w:rPr>
          <w:rFonts w:asciiTheme="majorHAnsi" w:hAnsiTheme="majorHAnsi" w:cs="Arial"/>
          <w:sz w:val="20"/>
          <w:szCs w:val="20"/>
          <w:lang w:val="es-UY"/>
        </w:rPr>
        <w:t>.</w:t>
      </w:r>
      <w:r w:rsidR="008E61F0">
        <w:rPr>
          <w:rFonts w:asciiTheme="majorHAnsi" w:hAnsiTheme="majorHAnsi" w:cs="Arial"/>
          <w:sz w:val="20"/>
          <w:szCs w:val="20"/>
          <w:lang w:val="es-UY"/>
        </w:rPr>
        <w:t xml:space="preserve">, y los derechos consagrados en los artículos 8 y 25 de ese mismo instrumento en perjuicio de sus familiares  directos, José Israel </w:t>
      </w:r>
      <w:r w:rsidR="00034E5D">
        <w:rPr>
          <w:rFonts w:asciiTheme="majorHAnsi" w:hAnsiTheme="majorHAnsi" w:cs="Arial"/>
          <w:sz w:val="20"/>
          <w:szCs w:val="20"/>
          <w:lang w:val="es-UY"/>
        </w:rPr>
        <w:t>Palacios (padre/peticionario), Mirna V. Villatoro R. (madre) y Ángela A. Palacios V</w:t>
      </w:r>
      <w:r w:rsidR="009F5852">
        <w:rPr>
          <w:rFonts w:asciiTheme="majorHAnsi" w:hAnsiTheme="majorHAnsi" w:cs="Arial"/>
          <w:sz w:val="20"/>
          <w:szCs w:val="20"/>
          <w:lang w:val="es-UY"/>
        </w:rPr>
        <w:t xml:space="preserve"> (hermana)</w:t>
      </w:r>
      <w:r w:rsidR="00034E5D">
        <w:rPr>
          <w:rFonts w:asciiTheme="majorHAnsi" w:hAnsiTheme="majorHAnsi" w:cs="Arial"/>
          <w:sz w:val="20"/>
          <w:szCs w:val="20"/>
          <w:lang w:val="es-UY"/>
        </w:rPr>
        <w:t>.</w:t>
      </w:r>
    </w:p>
    <w:p w:rsidR="0063685A" w:rsidRPr="0063685A" w:rsidRDefault="0063685A" w:rsidP="0063685A">
      <w:pPr>
        <w:jc w:val="both"/>
        <w:rPr>
          <w:rFonts w:asciiTheme="majorHAnsi" w:hAnsiTheme="majorHAnsi"/>
          <w:sz w:val="20"/>
          <w:szCs w:val="20"/>
          <w:lang w:val="es-UY"/>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B.</w:t>
      </w:r>
      <w:r w:rsidRPr="0063685A">
        <w:rPr>
          <w:rFonts w:asciiTheme="majorHAnsi" w:hAnsiTheme="majorHAnsi"/>
          <w:b/>
          <w:bCs/>
          <w:sz w:val="20"/>
          <w:szCs w:val="20"/>
          <w:lang w:val="es-UY"/>
        </w:rPr>
        <w:tab/>
        <w:t>Posición del Estado</w:t>
      </w:r>
    </w:p>
    <w:p w:rsidR="0063685A" w:rsidRPr="0063685A" w:rsidRDefault="0063685A" w:rsidP="0063685A">
      <w:pPr>
        <w:jc w:val="both"/>
        <w:rPr>
          <w:rFonts w:asciiTheme="majorHAnsi" w:hAnsiTheme="majorHAnsi"/>
          <w:sz w:val="20"/>
          <w:szCs w:val="20"/>
          <w:lang w:val="es-UY"/>
        </w:rPr>
      </w:pPr>
    </w:p>
    <w:p w:rsidR="0063685A" w:rsidRDefault="005E29C8"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UY"/>
        </w:rPr>
        <w:t>E</w:t>
      </w:r>
      <w:r w:rsidR="0063685A" w:rsidRPr="0063685A">
        <w:rPr>
          <w:rFonts w:asciiTheme="majorHAnsi" w:hAnsiTheme="majorHAnsi"/>
          <w:sz w:val="20"/>
          <w:szCs w:val="20"/>
          <w:lang w:val="es-UY"/>
        </w:rPr>
        <w:t>l Estado</w:t>
      </w:r>
      <w:r>
        <w:rPr>
          <w:rFonts w:asciiTheme="majorHAnsi" w:hAnsiTheme="majorHAnsi"/>
          <w:sz w:val="20"/>
          <w:szCs w:val="20"/>
          <w:lang w:val="es-UY"/>
        </w:rPr>
        <w:t xml:space="preserve"> de Guatemala subraya que el derecho a la vida se encuentra plenamente protegido en su legislación, y que su respeto y garantía tiene su fundamento en normas de nivel constitucional. Asimismo, la Constitución de la República dispone que entre los fines y deberes del Estado se encuentran los de proteger a la persona humana y a la familia. </w:t>
      </w:r>
      <w:r w:rsidR="003623C9">
        <w:rPr>
          <w:rFonts w:asciiTheme="majorHAnsi" w:hAnsiTheme="majorHAnsi"/>
          <w:sz w:val="20"/>
          <w:szCs w:val="20"/>
          <w:lang w:val="es-UY"/>
        </w:rPr>
        <w:t>A</w:t>
      </w:r>
      <w:r w:rsidR="00235509">
        <w:rPr>
          <w:rFonts w:asciiTheme="majorHAnsi" w:hAnsiTheme="majorHAnsi"/>
          <w:sz w:val="20"/>
          <w:szCs w:val="20"/>
          <w:lang w:val="es-UY"/>
        </w:rPr>
        <w:t xml:space="preserve">lega que no se considera responsable de la violación de los artículos 4 y 1 de la Convención Americana por la muerte de la niña Verónica J. Palacios V. toda vez que tiene garantizada en su legislación el derecho a la vida de sus habitantes, y debido a que está investigando el caso de </w:t>
      </w:r>
      <w:r w:rsidR="0002534E">
        <w:rPr>
          <w:rFonts w:asciiTheme="majorHAnsi" w:hAnsiTheme="majorHAnsi"/>
          <w:sz w:val="20"/>
          <w:szCs w:val="20"/>
          <w:lang w:val="es-UY"/>
        </w:rPr>
        <w:t>su privación ilegal de la libertad</w:t>
      </w:r>
      <w:r w:rsidR="00235509">
        <w:rPr>
          <w:rFonts w:asciiTheme="majorHAnsi" w:hAnsiTheme="majorHAnsi"/>
          <w:sz w:val="20"/>
          <w:szCs w:val="20"/>
          <w:lang w:val="es-UY"/>
        </w:rPr>
        <w:t xml:space="preserve"> y muerte.   </w:t>
      </w:r>
    </w:p>
    <w:p w:rsidR="00235509" w:rsidRDefault="00235509" w:rsidP="0023550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DE558B" w:rsidRDefault="003623C9"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UY"/>
        </w:rPr>
        <w:t xml:space="preserve">En este sentido, </w:t>
      </w:r>
      <w:r w:rsidR="0094396B">
        <w:rPr>
          <w:rFonts w:asciiTheme="majorHAnsi" w:hAnsiTheme="majorHAnsi"/>
          <w:sz w:val="20"/>
          <w:szCs w:val="20"/>
          <w:lang w:val="es-UY"/>
        </w:rPr>
        <w:t xml:space="preserve">el Estado aduce que no se han agotado los recursos internos debido a que “el proceso penal se encuentra en la etapa de investigación, por lo que no se encuentra ninguna persona ligada a proceso”. A este respecto, el Estado en su observaciones </w:t>
      </w:r>
      <w:r w:rsidR="006F2DBF">
        <w:rPr>
          <w:rFonts w:asciiTheme="majorHAnsi" w:hAnsiTheme="majorHAnsi"/>
          <w:sz w:val="20"/>
          <w:szCs w:val="20"/>
          <w:lang w:val="es-UY"/>
        </w:rPr>
        <w:t xml:space="preserve">aportó una lista pormenorizada y organizada cronológicamente de todas las actuaciones procesales que obran en el expediente de la investigación (Causa C-10680-2005 / a cargo del Juzgado Tercero de Primera Instancia, Narcoactividad y Delitos contra el Ambiente).  </w:t>
      </w:r>
      <w:r w:rsidR="00AC360D">
        <w:rPr>
          <w:rFonts w:asciiTheme="majorHAnsi" w:hAnsiTheme="majorHAnsi"/>
          <w:sz w:val="20"/>
          <w:szCs w:val="20"/>
          <w:lang w:val="es-UY"/>
        </w:rPr>
        <w:t xml:space="preserve">Luego </w:t>
      </w:r>
      <w:r w:rsidR="00466FCF">
        <w:rPr>
          <w:rFonts w:asciiTheme="majorHAnsi" w:hAnsiTheme="majorHAnsi"/>
          <w:sz w:val="20"/>
          <w:szCs w:val="20"/>
          <w:lang w:val="es-UY"/>
        </w:rPr>
        <w:t>de la</w:t>
      </w:r>
      <w:r w:rsidR="00AC360D">
        <w:rPr>
          <w:rFonts w:asciiTheme="majorHAnsi" w:hAnsiTheme="majorHAnsi"/>
          <w:sz w:val="20"/>
          <w:szCs w:val="20"/>
          <w:lang w:val="es-UY"/>
        </w:rPr>
        <w:t xml:space="preserve"> exposición de las </w:t>
      </w:r>
      <w:r w:rsidR="00466FCF">
        <w:rPr>
          <w:rFonts w:asciiTheme="majorHAnsi" w:hAnsiTheme="majorHAnsi"/>
          <w:sz w:val="20"/>
          <w:szCs w:val="20"/>
          <w:lang w:val="es-UY"/>
        </w:rPr>
        <w:t>piezas</w:t>
      </w:r>
      <w:r w:rsidR="00AC360D">
        <w:rPr>
          <w:rFonts w:asciiTheme="majorHAnsi" w:hAnsiTheme="majorHAnsi"/>
          <w:sz w:val="20"/>
          <w:szCs w:val="20"/>
          <w:lang w:val="es-UY"/>
        </w:rPr>
        <w:t xml:space="preserve"> del </w:t>
      </w:r>
      <w:r w:rsidR="00466FCF">
        <w:rPr>
          <w:rFonts w:asciiTheme="majorHAnsi" w:hAnsiTheme="majorHAnsi"/>
          <w:sz w:val="20"/>
          <w:szCs w:val="20"/>
          <w:lang w:val="es-UY"/>
        </w:rPr>
        <w:t xml:space="preserve">referido </w:t>
      </w:r>
      <w:r w:rsidR="00AC360D">
        <w:rPr>
          <w:rFonts w:asciiTheme="majorHAnsi" w:hAnsiTheme="majorHAnsi"/>
          <w:sz w:val="20"/>
          <w:szCs w:val="20"/>
          <w:lang w:val="es-UY"/>
        </w:rPr>
        <w:t xml:space="preserve">expediente, el Estado concluye que </w:t>
      </w:r>
      <w:r w:rsidR="00466FCF">
        <w:rPr>
          <w:rFonts w:asciiTheme="majorHAnsi" w:hAnsiTheme="majorHAnsi"/>
          <w:sz w:val="20"/>
          <w:szCs w:val="20"/>
          <w:lang w:val="es-UY"/>
        </w:rPr>
        <w:t xml:space="preserve">“no se cuenta con los medios de prueba que permitan individualizar a persona alguna a quien deducirle responsabilidades penales por el fallecimiento </w:t>
      </w:r>
      <w:r w:rsidR="00023EF2">
        <w:rPr>
          <w:rFonts w:asciiTheme="majorHAnsi" w:hAnsiTheme="majorHAnsi"/>
          <w:sz w:val="20"/>
          <w:szCs w:val="20"/>
          <w:lang w:val="es-UY"/>
        </w:rPr>
        <w:t xml:space="preserve">de Verónica J. Palacios V”. </w:t>
      </w:r>
    </w:p>
    <w:p w:rsidR="00DE558B" w:rsidRDefault="00DE558B" w:rsidP="00DE55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235509" w:rsidRDefault="00DE558B"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UY"/>
        </w:rPr>
        <w:t>Aduce</w:t>
      </w:r>
      <w:r w:rsidR="00023EF2">
        <w:rPr>
          <w:rFonts w:asciiTheme="majorHAnsi" w:hAnsiTheme="majorHAnsi"/>
          <w:sz w:val="20"/>
          <w:szCs w:val="20"/>
          <w:lang w:val="es-UY"/>
        </w:rPr>
        <w:t xml:space="preserve">, que </w:t>
      </w:r>
      <w:r>
        <w:rPr>
          <w:rFonts w:asciiTheme="majorHAnsi" w:hAnsiTheme="majorHAnsi"/>
          <w:sz w:val="20"/>
          <w:szCs w:val="20"/>
          <w:lang w:val="es-UY"/>
        </w:rPr>
        <w:t xml:space="preserve">a pesar de las diligencias de exhumación no se logró identificar la causa de la muerte de la presunta víctima. En este sentido, informa que </w:t>
      </w:r>
      <w:r w:rsidR="00893466">
        <w:rPr>
          <w:rFonts w:asciiTheme="majorHAnsi" w:hAnsiTheme="majorHAnsi"/>
          <w:sz w:val="20"/>
          <w:szCs w:val="20"/>
          <w:lang w:val="es-UY"/>
        </w:rPr>
        <w:t>luego de la primera necropsia, practica</w:t>
      </w:r>
      <w:r w:rsidR="006C7596">
        <w:rPr>
          <w:rFonts w:asciiTheme="majorHAnsi" w:hAnsiTheme="majorHAnsi"/>
          <w:sz w:val="20"/>
          <w:szCs w:val="20"/>
          <w:lang w:val="es-UY"/>
        </w:rPr>
        <w:t>da</w:t>
      </w:r>
      <w:r w:rsidR="00893466">
        <w:rPr>
          <w:rFonts w:asciiTheme="majorHAnsi" w:hAnsiTheme="majorHAnsi"/>
          <w:sz w:val="20"/>
          <w:szCs w:val="20"/>
          <w:lang w:val="es-UY"/>
        </w:rPr>
        <w:t xml:space="preserve"> el 28 de junio de 2005 por un médico forense del Estado, no se pudieron determinar las causas del fallecimiento de la presunta víctima, “por no encontrarse ningún tipo de lesión o posible causa evidente que debiera tomarse en consideración como origen probable de la muerte”. Este pronunciamiento fue </w:t>
      </w:r>
      <w:r w:rsidR="00DD0DF1">
        <w:rPr>
          <w:rFonts w:asciiTheme="majorHAnsi" w:hAnsiTheme="majorHAnsi"/>
          <w:sz w:val="20"/>
          <w:szCs w:val="20"/>
          <w:lang w:val="es-UY"/>
        </w:rPr>
        <w:t>reiterado</w:t>
      </w:r>
      <w:r w:rsidR="00893466">
        <w:rPr>
          <w:rFonts w:asciiTheme="majorHAnsi" w:hAnsiTheme="majorHAnsi"/>
          <w:sz w:val="20"/>
          <w:szCs w:val="20"/>
          <w:lang w:val="es-UY"/>
        </w:rPr>
        <w:t xml:space="preserve"> oficialmente por el mismo médico oficial mediante un informe circunstanciado de 17 de febrero de 2009. </w:t>
      </w:r>
    </w:p>
    <w:p w:rsidR="00DD0DF1" w:rsidRDefault="00DD0DF1" w:rsidP="00DD0DF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DD0DF1" w:rsidRDefault="00DD0DF1"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UY"/>
        </w:rPr>
        <w:t>Con respecto a la alegada situación de riesgo del peticionario y su familia, el Estado alega que a través del Ministerio de Defensa</w:t>
      </w:r>
      <w:r w:rsidR="00914593">
        <w:rPr>
          <w:rFonts w:asciiTheme="majorHAnsi" w:hAnsiTheme="majorHAnsi"/>
          <w:sz w:val="20"/>
          <w:szCs w:val="20"/>
          <w:lang w:val="es-UY"/>
        </w:rPr>
        <w:t xml:space="preserve">, se adoptaron las siguientes medidas: (a) se le nombró como agregado militar en la Embajada de Guatemala en Nicaragua (donde prestó servicio de 2007 a 2012); (b) se brindó seguridad a su familia; (c) se les proporcionó vehículos; y (d) se les brindó alojamiento en una colonia militar. </w:t>
      </w:r>
    </w:p>
    <w:p w:rsidR="00DD0DF1" w:rsidRDefault="00DD0DF1" w:rsidP="00DD0DF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63685A" w:rsidRPr="005F68A5" w:rsidRDefault="00DD0DF1"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5F68A5">
        <w:rPr>
          <w:rFonts w:asciiTheme="majorHAnsi" w:hAnsiTheme="majorHAnsi"/>
          <w:sz w:val="20"/>
          <w:szCs w:val="20"/>
          <w:lang w:val="es-UY"/>
        </w:rPr>
        <w:t>Con respecto a las sanciones disciplinarias aplicadas al peticiona</w:t>
      </w:r>
      <w:r w:rsidR="00914593" w:rsidRPr="005F68A5">
        <w:rPr>
          <w:rFonts w:asciiTheme="majorHAnsi" w:hAnsiTheme="majorHAnsi"/>
          <w:sz w:val="20"/>
          <w:szCs w:val="20"/>
          <w:lang w:val="es-UY"/>
        </w:rPr>
        <w:t>rio</w:t>
      </w:r>
      <w:r w:rsidR="005F68A5" w:rsidRPr="005F68A5">
        <w:rPr>
          <w:rFonts w:asciiTheme="majorHAnsi" w:hAnsiTheme="majorHAnsi"/>
          <w:sz w:val="20"/>
          <w:szCs w:val="20"/>
          <w:lang w:val="es-UY"/>
        </w:rPr>
        <w:t xml:space="preserve"> y a su dada de baja como oficial del ejército</w:t>
      </w:r>
      <w:r w:rsidR="00914593" w:rsidRPr="005F68A5">
        <w:rPr>
          <w:rFonts w:asciiTheme="majorHAnsi" w:hAnsiTheme="majorHAnsi"/>
          <w:sz w:val="20"/>
          <w:szCs w:val="20"/>
          <w:lang w:val="es-UY"/>
        </w:rPr>
        <w:t xml:space="preserve">, el Estado explica que </w:t>
      </w:r>
      <w:r w:rsidR="005F68A5" w:rsidRPr="005F68A5">
        <w:rPr>
          <w:rFonts w:asciiTheme="majorHAnsi" w:hAnsiTheme="majorHAnsi"/>
          <w:sz w:val="20"/>
          <w:szCs w:val="20"/>
          <w:lang w:val="es-UY"/>
        </w:rPr>
        <w:t>tales</w:t>
      </w:r>
      <w:r w:rsidR="00914593" w:rsidRPr="005F68A5">
        <w:rPr>
          <w:rFonts w:asciiTheme="majorHAnsi" w:hAnsiTheme="majorHAnsi"/>
          <w:sz w:val="20"/>
          <w:szCs w:val="20"/>
          <w:lang w:val="es-UY"/>
        </w:rPr>
        <w:t xml:space="preserve"> medidas se adoptaron </w:t>
      </w:r>
      <w:r w:rsidR="005F68A5" w:rsidRPr="005F68A5">
        <w:rPr>
          <w:rFonts w:asciiTheme="majorHAnsi" w:hAnsiTheme="majorHAnsi"/>
          <w:sz w:val="20"/>
          <w:szCs w:val="20"/>
          <w:lang w:val="es-UY"/>
        </w:rPr>
        <w:t>de conformidad con el Reglamento de Sanciones Disciplinarias en el Ejército de Guatemala (Acuerdo Gubernativo 2-2008). C</w:t>
      </w:r>
      <w:r w:rsidR="00914593" w:rsidRPr="005F68A5">
        <w:rPr>
          <w:rFonts w:asciiTheme="majorHAnsi" w:hAnsiTheme="majorHAnsi"/>
          <w:sz w:val="20"/>
          <w:szCs w:val="20"/>
          <w:lang w:val="es-UY"/>
        </w:rPr>
        <w:t xml:space="preserve">omo consecuencia de la notoria mala conducta del peticionario durante el ejercicio de su cargo, faltando a los principios de disciplina y obediencia </w:t>
      </w:r>
      <w:r w:rsidR="005F68A5" w:rsidRPr="005F68A5">
        <w:rPr>
          <w:rFonts w:asciiTheme="majorHAnsi" w:hAnsiTheme="majorHAnsi"/>
          <w:sz w:val="20"/>
          <w:szCs w:val="20"/>
          <w:lang w:val="es-UY"/>
        </w:rPr>
        <w:t>regulados por ese estatuto.</w:t>
      </w:r>
    </w:p>
    <w:p w:rsidR="00DD0DF1" w:rsidRDefault="00DD0DF1" w:rsidP="00DD0D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731795" w:rsidRDefault="00524816"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UY"/>
        </w:rPr>
        <w:t>E</w:t>
      </w:r>
      <w:r w:rsidR="0063685A" w:rsidRPr="0063685A">
        <w:rPr>
          <w:rFonts w:asciiTheme="majorHAnsi" w:hAnsiTheme="majorHAnsi"/>
          <w:sz w:val="20"/>
          <w:szCs w:val="20"/>
          <w:lang w:val="es-UY"/>
        </w:rPr>
        <w:t>l Estado</w:t>
      </w:r>
      <w:r w:rsidR="005F68A5">
        <w:rPr>
          <w:rFonts w:asciiTheme="majorHAnsi" w:hAnsiTheme="majorHAnsi"/>
          <w:sz w:val="20"/>
          <w:szCs w:val="20"/>
          <w:lang w:val="es-UY"/>
        </w:rPr>
        <w:t xml:space="preserve"> </w:t>
      </w:r>
      <w:r w:rsidR="00D16DF4">
        <w:rPr>
          <w:rFonts w:asciiTheme="majorHAnsi" w:hAnsiTheme="majorHAnsi"/>
          <w:sz w:val="20"/>
          <w:szCs w:val="20"/>
          <w:lang w:val="es-UY"/>
        </w:rPr>
        <w:t xml:space="preserve">concluye que no se han violado los derechos establecidos en los artículos 8 y 25 de la Convención Americana en el sentido de considerar </w:t>
      </w:r>
      <w:r>
        <w:rPr>
          <w:rFonts w:asciiTheme="majorHAnsi" w:hAnsiTheme="majorHAnsi"/>
          <w:sz w:val="20"/>
          <w:szCs w:val="20"/>
          <w:lang w:val="es-UY"/>
        </w:rPr>
        <w:t>que no se ha establecido la</w:t>
      </w:r>
      <w:r w:rsidR="00D16DF4">
        <w:rPr>
          <w:rFonts w:asciiTheme="majorHAnsi" w:hAnsiTheme="majorHAnsi"/>
          <w:sz w:val="20"/>
          <w:szCs w:val="20"/>
          <w:lang w:val="es-UY"/>
        </w:rPr>
        <w:t xml:space="preserve"> existencia de patrón alguno de denegación de justicia, pues el hecho de que no se hayan logrado individualizar y sancionar a alguna persona no será atribuible al Estado, toda vez que ha demostrado que ha cumplido con su obligación de investigar de manera efectiva. </w:t>
      </w:r>
    </w:p>
    <w:p w:rsidR="0063685A" w:rsidRPr="0063685A" w:rsidRDefault="00731795" w:rsidP="00731795">
      <w:pPr>
        <w:rPr>
          <w:rFonts w:asciiTheme="majorHAnsi" w:hAnsiTheme="majorHAnsi"/>
          <w:sz w:val="20"/>
          <w:szCs w:val="20"/>
          <w:lang w:val="es-UY"/>
        </w:rPr>
      </w:pPr>
      <w:r>
        <w:rPr>
          <w:rFonts w:asciiTheme="majorHAnsi" w:hAnsiTheme="majorHAnsi"/>
          <w:sz w:val="20"/>
          <w:szCs w:val="20"/>
          <w:lang w:val="es-UY"/>
        </w:rPr>
        <w:br w:type="page"/>
      </w:r>
    </w:p>
    <w:p w:rsidR="0063685A" w:rsidRPr="0063685A" w:rsidRDefault="0063685A" w:rsidP="0063685A">
      <w:pPr>
        <w:jc w:val="both"/>
        <w:rPr>
          <w:rFonts w:asciiTheme="majorHAnsi" w:hAnsiTheme="majorHAnsi"/>
          <w:sz w:val="20"/>
          <w:szCs w:val="20"/>
          <w:lang w:val="es-UY"/>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IV.</w:t>
      </w:r>
      <w:r w:rsidRPr="0063685A">
        <w:rPr>
          <w:rFonts w:asciiTheme="majorHAnsi" w:hAnsiTheme="majorHAnsi"/>
          <w:b/>
          <w:bCs/>
          <w:sz w:val="20"/>
          <w:szCs w:val="20"/>
          <w:lang w:val="es-UY"/>
        </w:rPr>
        <w:tab/>
        <w:t>ANÁLISIS SOBRE COMPETENCIA Y ADMISIBILIDAD</w:t>
      </w:r>
    </w:p>
    <w:p w:rsidR="0063685A" w:rsidRPr="0063685A" w:rsidRDefault="0063685A" w:rsidP="0063685A">
      <w:pPr>
        <w:jc w:val="both"/>
        <w:rPr>
          <w:rFonts w:asciiTheme="majorHAnsi" w:hAnsiTheme="majorHAnsi"/>
          <w:sz w:val="20"/>
          <w:szCs w:val="20"/>
          <w:lang w:val="es-UY"/>
        </w:rPr>
      </w:pPr>
    </w:p>
    <w:p w:rsidR="0063685A" w:rsidRPr="0063685A" w:rsidRDefault="0063685A" w:rsidP="0063685A">
      <w:pPr>
        <w:ind w:left="1440" w:hanging="720"/>
        <w:jc w:val="both"/>
        <w:rPr>
          <w:rFonts w:asciiTheme="majorHAnsi" w:hAnsiTheme="majorHAnsi"/>
          <w:sz w:val="20"/>
          <w:szCs w:val="20"/>
          <w:lang w:val="es-UY"/>
        </w:rPr>
      </w:pPr>
      <w:r w:rsidRPr="0063685A">
        <w:rPr>
          <w:rFonts w:asciiTheme="majorHAnsi" w:hAnsiTheme="majorHAnsi"/>
          <w:b/>
          <w:bCs/>
          <w:sz w:val="20"/>
          <w:szCs w:val="20"/>
          <w:lang w:val="es-UY"/>
        </w:rPr>
        <w:t>A.</w:t>
      </w:r>
      <w:r w:rsidRPr="0063685A">
        <w:rPr>
          <w:rFonts w:asciiTheme="majorHAnsi" w:hAnsiTheme="majorHAnsi"/>
          <w:b/>
          <w:bCs/>
          <w:sz w:val="20"/>
          <w:szCs w:val="20"/>
          <w:lang w:val="es-UY"/>
        </w:rPr>
        <w:tab/>
        <w:t xml:space="preserve">Competencia </w:t>
      </w:r>
    </w:p>
    <w:p w:rsidR="0063685A" w:rsidRPr="0063685A" w:rsidRDefault="0063685A" w:rsidP="0063685A">
      <w:pPr>
        <w:jc w:val="both"/>
        <w:rPr>
          <w:rFonts w:asciiTheme="majorHAnsi" w:hAnsiTheme="majorHAnsi"/>
          <w:sz w:val="20"/>
          <w:szCs w:val="20"/>
          <w:lang w:val="es-UY"/>
        </w:rPr>
      </w:pPr>
    </w:p>
    <w:p w:rsidR="0063685A" w:rsidRPr="0063685A" w:rsidRDefault="0063685A"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SimSun" w:hAnsiTheme="majorHAnsi"/>
          <w:sz w:val="20"/>
          <w:szCs w:val="20"/>
          <w:lang w:val="es-UY"/>
        </w:rPr>
      </w:pPr>
      <w:r w:rsidRPr="0063685A">
        <w:rPr>
          <w:rFonts w:asciiTheme="majorHAnsi" w:eastAsia="SimSun" w:hAnsiTheme="majorHAnsi"/>
          <w:sz w:val="20"/>
          <w:szCs w:val="20"/>
          <w:lang w:val="es-UY"/>
        </w:rPr>
        <w:t xml:space="preserve">El peticionario se encuentra facultado, en principio, por el artículo 44 de la Convención Americana para presentar peticiones ante la Comisión. La petición señala como presunta víctima a una persona individual, respecto de quien el Estado </w:t>
      </w:r>
      <w:r w:rsidR="00FF6A66" w:rsidRPr="00FF6A66">
        <w:rPr>
          <w:rFonts w:asciiTheme="majorHAnsi" w:eastAsia="SimSun" w:hAnsiTheme="majorHAnsi"/>
          <w:sz w:val="20"/>
          <w:szCs w:val="20"/>
          <w:lang w:val="es-UY"/>
        </w:rPr>
        <w:t>de Guatemala</w:t>
      </w:r>
      <w:r w:rsidRPr="00FF6A66">
        <w:rPr>
          <w:rFonts w:asciiTheme="majorHAnsi" w:eastAsia="SimSun" w:hAnsiTheme="majorHAnsi"/>
          <w:sz w:val="20"/>
          <w:szCs w:val="20"/>
          <w:lang w:val="es-UY"/>
        </w:rPr>
        <w:t xml:space="preserve"> </w:t>
      </w:r>
      <w:r w:rsidRPr="0063685A">
        <w:rPr>
          <w:rFonts w:asciiTheme="majorHAnsi" w:eastAsia="SimSun" w:hAnsiTheme="majorHAnsi"/>
          <w:sz w:val="20"/>
          <w:szCs w:val="20"/>
          <w:lang w:val="es-UY"/>
        </w:rPr>
        <w:t xml:space="preserve">se comprometió a respetar y garantizar los derechos consagrados en la Convención Americana. En lo concerniente al Estado, la Comisión señala que </w:t>
      </w:r>
      <w:r w:rsidR="00FF6A66" w:rsidRPr="00FF6A66">
        <w:rPr>
          <w:rFonts w:asciiTheme="majorHAnsi" w:eastAsia="SimSun" w:hAnsiTheme="majorHAnsi"/>
          <w:sz w:val="20"/>
          <w:szCs w:val="20"/>
          <w:lang w:val="es-UY"/>
        </w:rPr>
        <w:t>Guatemala</w:t>
      </w:r>
      <w:r w:rsidRPr="00FF6A66">
        <w:rPr>
          <w:rFonts w:asciiTheme="majorHAnsi" w:eastAsia="SimSun" w:hAnsiTheme="majorHAnsi"/>
          <w:sz w:val="20"/>
          <w:szCs w:val="20"/>
          <w:lang w:val="es-UY"/>
        </w:rPr>
        <w:t xml:space="preserve"> </w:t>
      </w:r>
      <w:r w:rsidRPr="0063685A">
        <w:rPr>
          <w:rFonts w:asciiTheme="majorHAnsi" w:eastAsia="SimSun" w:hAnsiTheme="majorHAnsi"/>
          <w:sz w:val="20"/>
          <w:szCs w:val="20"/>
          <w:lang w:val="es-UY"/>
        </w:rPr>
        <w:t xml:space="preserve">es un Estado parte en la </w:t>
      </w:r>
      <w:r w:rsidRPr="007A5550">
        <w:rPr>
          <w:rFonts w:asciiTheme="majorHAnsi" w:hAnsiTheme="majorHAnsi"/>
          <w:sz w:val="20"/>
          <w:szCs w:val="20"/>
          <w:lang w:val="es-UY"/>
        </w:rPr>
        <w:t>Convención</w:t>
      </w:r>
      <w:r w:rsidRPr="0063685A">
        <w:rPr>
          <w:rFonts w:asciiTheme="majorHAnsi" w:eastAsia="SimSun" w:hAnsiTheme="majorHAnsi"/>
          <w:sz w:val="20"/>
          <w:szCs w:val="20"/>
          <w:lang w:val="es-UY"/>
        </w:rPr>
        <w:t xml:space="preserve"> Americana desde el </w:t>
      </w:r>
      <w:r w:rsidR="00FF6A66" w:rsidRPr="00FF6A66">
        <w:rPr>
          <w:rFonts w:asciiTheme="majorHAnsi" w:eastAsia="SimSun" w:hAnsiTheme="majorHAnsi"/>
          <w:sz w:val="20"/>
          <w:szCs w:val="20"/>
          <w:lang w:val="es-UY"/>
        </w:rPr>
        <w:t>25 de mayo de 1978</w:t>
      </w:r>
      <w:r w:rsidR="00524816">
        <w:rPr>
          <w:rFonts w:asciiTheme="majorHAnsi" w:eastAsia="SimSun" w:hAnsiTheme="majorHAnsi"/>
          <w:sz w:val="20"/>
          <w:szCs w:val="20"/>
          <w:lang w:val="es-UY"/>
        </w:rPr>
        <w:t>;</w:t>
      </w:r>
      <w:r w:rsidR="00EE72F1">
        <w:rPr>
          <w:rFonts w:asciiTheme="majorHAnsi" w:eastAsia="SimSun" w:hAnsiTheme="majorHAnsi"/>
          <w:sz w:val="20"/>
          <w:szCs w:val="20"/>
          <w:lang w:val="es-UY"/>
        </w:rPr>
        <w:t xml:space="preserve"> y </w:t>
      </w:r>
      <w:r w:rsidR="00524816">
        <w:rPr>
          <w:rFonts w:asciiTheme="majorHAnsi" w:eastAsia="SimSun" w:hAnsiTheme="majorHAnsi"/>
          <w:sz w:val="20"/>
          <w:szCs w:val="20"/>
          <w:lang w:val="es-UY"/>
        </w:rPr>
        <w:t xml:space="preserve">también toma en cuenta que es parte </w:t>
      </w:r>
      <w:r w:rsidR="00EE72F1">
        <w:rPr>
          <w:rFonts w:asciiTheme="majorHAnsi" w:eastAsia="SimSun" w:hAnsiTheme="majorHAnsi"/>
          <w:sz w:val="20"/>
          <w:szCs w:val="20"/>
          <w:lang w:val="es-UY"/>
        </w:rPr>
        <w:t>de la Convención Interamericana para Prevenir y Sancionar la Tortura desde el 29 de enero de 1987, siendo estas las</w:t>
      </w:r>
      <w:r w:rsidRPr="0063685A">
        <w:rPr>
          <w:rFonts w:asciiTheme="majorHAnsi" w:eastAsia="SimSun" w:hAnsiTheme="majorHAnsi"/>
          <w:sz w:val="20"/>
          <w:szCs w:val="20"/>
          <w:lang w:val="es-UY"/>
        </w:rPr>
        <w:t xml:space="preserve"> fecha</w:t>
      </w:r>
      <w:r w:rsidR="00EE72F1">
        <w:rPr>
          <w:rFonts w:asciiTheme="majorHAnsi" w:eastAsia="SimSun" w:hAnsiTheme="majorHAnsi"/>
          <w:sz w:val="20"/>
          <w:szCs w:val="20"/>
          <w:lang w:val="es-UY"/>
        </w:rPr>
        <w:t>s</w:t>
      </w:r>
      <w:r w:rsidRPr="0063685A">
        <w:rPr>
          <w:rFonts w:asciiTheme="majorHAnsi" w:eastAsia="SimSun" w:hAnsiTheme="majorHAnsi"/>
          <w:sz w:val="20"/>
          <w:szCs w:val="20"/>
          <w:lang w:val="es-UY"/>
        </w:rPr>
        <w:t xml:space="preserve"> en la</w:t>
      </w:r>
      <w:r w:rsidR="00EE72F1">
        <w:rPr>
          <w:rFonts w:asciiTheme="majorHAnsi" w:eastAsia="SimSun" w:hAnsiTheme="majorHAnsi"/>
          <w:sz w:val="20"/>
          <w:szCs w:val="20"/>
          <w:lang w:val="es-UY"/>
        </w:rPr>
        <w:t>s</w:t>
      </w:r>
      <w:r w:rsidRPr="0063685A">
        <w:rPr>
          <w:rFonts w:asciiTheme="majorHAnsi" w:eastAsia="SimSun" w:hAnsiTheme="majorHAnsi"/>
          <w:sz w:val="20"/>
          <w:szCs w:val="20"/>
          <w:lang w:val="es-UY"/>
        </w:rPr>
        <w:t xml:space="preserve"> que depositó </w:t>
      </w:r>
      <w:r w:rsidR="00EE72F1">
        <w:rPr>
          <w:rFonts w:asciiTheme="majorHAnsi" w:eastAsia="SimSun" w:hAnsiTheme="majorHAnsi"/>
          <w:sz w:val="20"/>
          <w:szCs w:val="20"/>
          <w:lang w:val="es-UY"/>
        </w:rPr>
        <w:t>los respectivos</w:t>
      </w:r>
      <w:r w:rsidRPr="0063685A">
        <w:rPr>
          <w:rFonts w:asciiTheme="majorHAnsi" w:eastAsia="SimSun" w:hAnsiTheme="majorHAnsi"/>
          <w:sz w:val="20"/>
          <w:szCs w:val="20"/>
          <w:lang w:val="es-UY"/>
        </w:rPr>
        <w:t xml:space="preserve"> instrumento</w:t>
      </w:r>
      <w:r w:rsidR="00EE72F1">
        <w:rPr>
          <w:rFonts w:asciiTheme="majorHAnsi" w:eastAsia="SimSun" w:hAnsiTheme="majorHAnsi"/>
          <w:sz w:val="20"/>
          <w:szCs w:val="20"/>
          <w:lang w:val="es-UY"/>
        </w:rPr>
        <w:t>s</w:t>
      </w:r>
      <w:r w:rsidRPr="0063685A">
        <w:rPr>
          <w:rFonts w:asciiTheme="majorHAnsi" w:eastAsia="SimSun" w:hAnsiTheme="majorHAnsi"/>
          <w:sz w:val="20"/>
          <w:szCs w:val="20"/>
          <w:lang w:val="es-UY"/>
        </w:rPr>
        <w:t xml:space="preserve"> de ratificación. Por lo tanto, la Comisión tiene competencia </w:t>
      </w:r>
      <w:r w:rsidRPr="0063685A">
        <w:rPr>
          <w:rFonts w:asciiTheme="majorHAnsi" w:eastAsia="SimSun" w:hAnsiTheme="majorHAnsi"/>
          <w:i/>
          <w:sz w:val="20"/>
          <w:szCs w:val="20"/>
          <w:lang w:val="es-UY"/>
        </w:rPr>
        <w:t>ratione personae</w:t>
      </w:r>
      <w:r w:rsidRPr="0063685A">
        <w:rPr>
          <w:rFonts w:asciiTheme="majorHAnsi" w:eastAsia="SimSun" w:hAnsiTheme="majorHAnsi"/>
          <w:sz w:val="20"/>
          <w:szCs w:val="20"/>
          <w:lang w:val="es-UY"/>
        </w:rPr>
        <w:t xml:space="preserve"> para examinar la petición. Asimismo, la Comisión tiene competencia </w:t>
      </w:r>
      <w:r w:rsidRPr="0063685A">
        <w:rPr>
          <w:rFonts w:asciiTheme="majorHAnsi" w:eastAsia="SimSun" w:hAnsiTheme="majorHAnsi"/>
          <w:i/>
          <w:sz w:val="20"/>
          <w:szCs w:val="20"/>
          <w:lang w:val="es-UY"/>
        </w:rPr>
        <w:t>ratione loci</w:t>
      </w:r>
      <w:r w:rsidRPr="0063685A">
        <w:rPr>
          <w:rFonts w:asciiTheme="majorHAnsi" w:eastAsia="SimSun" w:hAnsiTheme="majorHAnsi"/>
          <w:sz w:val="20"/>
          <w:szCs w:val="20"/>
          <w:lang w:val="es-UY"/>
        </w:rPr>
        <w:t xml:space="preserve"> para conocer la petición, por cuanto en ella se alegan violaciones de derechos protegidos en la Convención Americana </w:t>
      </w:r>
      <w:r w:rsidR="00EE72F1">
        <w:rPr>
          <w:rFonts w:asciiTheme="majorHAnsi" w:eastAsia="SimSun" w:hAnsiTheme="majorHAnsi"/>
          <w:sz w:val="20"/>
          <w:szCs w:val="20"/>
          <w:lang w:val="es-UY"/>
        </w:rPr>
        <w:t>y en la Convención Interamericana para Prevenir y Sancionar la Tortura</w:t>
      </w:r>
      <w:r w:rsidR="00EE72F1" w:rsidRPr="0063685A">
        <w:rPr>
          <w:rFonts w:asciiTheme="majorHAnsi" w:eastAsia="SimSun" w:hAnsiTheme="majorHAnsi"/>
          <w:sz w:val="20"/>
          <w:szCs w:val="20"/>
          <w:lang w:val="es-UY"/>
        </w:rPr>
        <w:t xml:space="preserve"> </w:t>
      </w:r>
      <w:r w:rsidRPr="0063685A">
        <w:rPr>
          <w:rFonts w:asciiTheme="majorHAnsi" w:eastAsia="SimSun" w:hAnsiTheme="majorHAnsi"/>
          <w:sz w:val="20"/>
          <w:szCs w:val="20"/>
          <w:lang w:val="es-UY"/>
        </w:rPr>
        <w:t xml:space="preserve">que habrían tenido lugar dentro del territorio de </w:t>
      </w:r>
      <w:r w:rsidR="00FF6A66" w:rsidRPr="00FF6A66">
        <w:rPr>
          <w:rFonts w:asciiTheme="majorHAnsi" w:eastAsia="SimSun" w:hAnsiTheme="majorHAnsi"/>
          <w:sz w:val="20"/>
          <w:szCs w:val="20"/>
          <w:lang w:val="es-UY"/>
        </w:rPr>
        <w:t>Guatemala</w:t>
      </w:r>
      <w:r w:rsidRPr="0063685A">
        <w:rPr>
          <w:rFonts w:asciiTheme="majorHAnsi" w:eastAsia="SimSun" w:hAnsiTheme="majorHAnsi"/>
          <w:sz w:val="20"/>
          <w:szCs w:val="20"/>
          <w:lang w:val="es-UY"/>
        </w:rPr>
        <w:t>, Estado Parte en dicho tratado. </w:t>
      </w:r>
    </w:p>
    <w:p w:rsidR="0063685A" w:rsidRPr="0063685A" w:rsidRDefault="0063685A" w:rsidP="0063685A">
      <w:pPr>
        <w:pStyle w:val="BodyText"/>
        <w:spacing w:after="0"/>
        <w:jc w:val="both"/>
        <w:rPr>
          <w:rFonts w:asciiTheme="majorHAnsi" w:eastAsia="SimSun" w:hAnsiTheme="majorHAnsi"/>
          <w:sz w:val="20"/>
          <w:szCs w:val="20"/>
          <w:lang w:val="es-UY"/>
        </w:rPr>
      </w:pPr>
    </w:p>
    <w:p w:rsidR="0063685A" w:rsidRDefault="0063685A"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SimSun" w:hAnsiTheme="majorHAnsi"/>
          <w:sz w:val="20"/>
          <w:szCs w:val="20"/>
          <w:lang w:val="es-UY"/>
        </w:rPr>
      </w:pPr>
      <w:r w:rsidRPr="0063685A">
        <w:rPr>
          <w:rFonts w:asciiTheme="majorHAnsi" w:eastAsia="SimSun" w:hAnsiTheme="majorHAnsi"/>
          <w:sz w:val="20"/>
          <w:szCs w:val="20"/>
          <w:lang w:val="es-UY"/>
        </w:rPr>
        <w:t xml:space="preserve">La Comisión tiene competencia </w:t>
      </w:r>
      <w:r w:rsidRPr="0063685A">
        <w:rPr>
          <w:rFonts w:asciiTheme="majorHAnsi" w:eastAsia="SimSun" w:hAnsiTheme="majorHAnsi"/>
          <w:i/>
          <w:sz w:val="20"/>
          <w:szCs w:val="20"/>
          <w:lang w:val="es-UY"/>
        </w:rPr>
        <w:t>ratione temporis</w:t>
      </w:r>
      <w:r w:rsidRPr="0063685A">
        <w:rPr>
          <w:rFonts w:asciiTheme="majorHAnsi" w:eastAsia="SimSun" w:hAnsiTheme="majorHAnsi"/>
          <w:sz w:val="20"/>
          <w:szCs w:val="20"/>
          <w:lang w:val="es-UY"/>
        </w:rPr>
        <w:t xml:space="preserve"> por cuanto la obligación de respetar y garantizar los derechos protegidos </w:t>
      </w:r>
      <w:r w:rsidR="00EE72F1">
        <w:rPr>
          <w:rFonts w:asciiTheme="majorHAnsi" w:eastAsia="SimSun" w:hAnsiTheme="majorHAnsi"/>
          <w:sz w:val="20"/>
          <w:szCs w:val="20"/>
          <w:lang w:val="es-UY"/>
        </w:rPr>
        <w:t>en ambos tratados</w:t>
      </w:r>
      <w:r w:rsidRPr="0063685A">
        <w:rPr>
          <w:rFonts w:asciiTheme="majorHAnsi" w:eastAsia="SimSun" w:hAnsiTheme="majorHAnsi"/>
          <w:sz w:val="20"/>
          <w:szCs w:val="20"/>
          <w:lang w:val="es-UY"/>
        </w:rPr>
        <w:t xml:space="preserve"> ya se encontraba en vigor para el Estado en la fecha en que habrían ocurrido los hechos alegados en la petición. Finalmente, la Comisión tiene competencia </w:t>
      </w:r>
      <w:r w:rsidRPr="0063685A">
        <w:rPr>
          <w:rFonts w:asciiTheme="majorHAnsi" w:eastAsia="SimSun" w:hAnsiTheme="majorHAnsi"/>
          <w:i/>
          <w:sz w:val="20"/>
          <w:szCs w:val="20"/>
          <w:lang w:val="es-UY"/>
        </w:rPr>
        <w:t>ratione materiae</w:t>
      </w:r>
      <w:r w:rsidRPr="0063685A">
        <w:rPr>
          <w:rFonts w:asciiTheme="majorHAnsi" w:eastAsia="SimSun" w:hAnsiTheme="majorHAnsi"/>
          <w:sz w:val="20"/>
          <w:szCs w:val="20"/>
          <w:lang w:val="es-UY"/>
        </w:rPr>
        <w:t xml:space="preserve">, </w:t>
      </w:r>
      <w:r w:rsidR="00D110D7">
        <w:rPr>
          <w:rFonts w:asciiTheme="majorHAnsi" w:eastAsia="SimSun" w:hAnsiTheme="majorHAnsi"/>
          <w:sz w:val="20"/>
          <w:szCs w:val="20"/>
          <w:lang w:val="es-UY"/>
        </w:rPr>
        <w:t>dado que</w:t>
      </w:r>
      <w:r w:rsidRPr="0063685A">
        <w:rPr>
          <w:rFonts w:asciiTheme="majorHAnsi" w:eastAsia="SimSun" w:hAnsiTheme="majorHAnsi"/>
          <w:sz w:val="20"/>
          <w:szCs w:val="20"/>
          <w:lang w:val="es-UY"/>
        </w:rPr>
        <w:t xml:space="preserve"> en la petición se denuncian posibles violaciones a derechos humanos protegidos por </w:t>
      </w:r>
      <w:r w:rsidR="00EE72F1">
        <w:rPr>
          <w:rFonts w:asciiTheme="majorHAnsi" w:eastAsia="SimSun" w:hAnsiTheme="majorHAnsi"/>
          <w:sz w:val="20"/>
          <w:szCs w:val="20"/>
          <w:lang w:val="es-UY"/>
        </w:rPr>
        <w:t>ambos tratados</w:t>
      </w:r>
      <w:r w:rsidRPr="0063685A">
        <w:rPr>
          <w:rFonts w:asciiTheme="majorHAnsi" w:eastAsia="SimSun" w:hAnsiTheme="majorHAnsi"/>
          <w:sz w:val="20"/>
          <w:szCs w:val="20"/>
          <w:lang w:val="es-UY"/>
        </w:rPr>
        <w:t>.</w:t>
      </w:r>
    </w:p>
    <w:p w:rsidR="009802DE" w:rsidRPr="008D28E2" w:rsidRDefault="009802DE" w:rsidP="009802DE">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val="es-ES"/>
        </w:rPr>
      </w:pPr>
    </w:p>
    <w:p w:rsidR="009802DE" w:rsidRPr="009802DE" w:rsidRDefault="002F7F7E"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Pr>
          <w:sz w:val="20"/>
          <w:szCs w:val="20"/>
          <w:lang w:val="es-ES"/>
        </w:rPr>
        <w:t>Lo anterior</w:t>
      </w:r>
      <w:r w:rsidR="009802DE" w:rsidRPr="009802DE">
        <w:rPr>
          <w:sz w:val="20"/>
          <w:szCs w:val="20"/>
          <w:lang w:val="es-ES"/>
        </w:rPr>
        <w:t xml:space="preserve"> sin perjuicio </w:t>
      </w:r>
      <w:r w:rsidR="00737659">
        <w:rPr>
          <w:sz w:val="20"/>
          <w:szCs w:val="20"/>
          <w:lang w:val="es-ES"/>
        </w:rPr>
        <w:t xml:space="preserve">de </w:t>
      </w:r>
      <w:r w:rsidR="009802DE" w:rsidRPr="009802DE">
        <w:rPr>
          <w:sz w:val="20"/>
          <w:szCs w:val="20"/>
          <w:lang w:val="es-ES"/>
        </w:rPr>
        <w:t xml:space="preserve">que en </w:t>
      </w:r>
      <w:r>
        <w:rPr>
          <w:sz w:val="20"/>
          <w:szCs w:val="20"/>
          <w:lang w:val="es-ES"/>
        </w:rPr>
        <w:t>la etapa de fondo del trámite de la presente petición</w:t>
      </w:r>
      <w:r w:rsidR="009802DE" w:rsidRPr="007A5550">
        <w:rPr>
          <w:rFonts w:asciiTheme="majorHAnsi" w:hAnsiTheme="majorHAnsi"/>
          <w:sz w:val="20"/>
          <w:szCs w:val="20"/>
          <w:lang w:val="es-UY"/>
        </w:rPr>
        <w:t xml:space="preserve">, </w:t>
      </w:r>
      <w:r>
        <w:rPr>
          <w:rFonts w:asciiTheme="majorHAnsi" w:hAnsiTheme="majorHAnsi"/>
          <w:sz w:val="20"/>
          <w:szCs w:val="20"/>
          <w:lang w:val="es-UY"/>
        </w:rPr>
        <w:t xml:space="preserve">al momento de analizar las posibles violaciones a la Convención Americana, </w:t>
      </w:r>
      <w:r w:rsidR="009802DE" w:rsidRPr="007A5550">
        <w:rPr>
          <w:rFonts w:asciiTheme="majorHAnsi" w:hAnsiTheme="majorHAnsi"/>
          <w:sz w:val="20"/>
          <w:szCs w:val="20"/>
          <w:lang w:val="es-UY"/>
        </w:rPr>
        <w:t xml:space="preserve">la CIDH tome en consideración otros instrumentos que hacen parte del </w:t>
      </w:r>
      <w:r w:rsidR="009802DE" w:rsidRPr="002F7F7E">
        <w:rPr>
          <w:rFonts w:asciiTheme="majorHAnsi" w:hAnsiTheme="majorHAnsi"/>
          <w:i/>
          <w:sz w:val="20"/>
          <w:szCs w:val="20"/>
          <w:lang w:val="es-UY"/>
        </w:rPr>
        <w:t>corpus juris</w:t>
      </w:r>
      <w:r w:rsidR="009802DE" w:rsidRPr="007A5550">
        <w:rPr>
          <w:rFonts w:asciiTheme="majorHAnsi" w:hAnsiTheme="majorHAnsi"/>
          <w:sz w:val="20"/>
          <w:szCs w:val="20"/>
          <w:lang w:val="es-UY"/>
        </w:rPr>
        <w:t xml:space="preserve"> en materia</w:t>
      </w:r>
      <w:r w:rsidR="009802DE" w:rsidRPr="009802DE">
        <w:rPr>
          <w:sz w:val="20"/>
          <w:szCs w:val="20"/>
          <w:lang w:val="es-ES"/>
        </w:rPr>
        <w:t xml:space="preserve"> de derechos de los niños, niñas y adolescentes, así como también en materia de derechos de las personas con discapacidad </w:t>
      </w:r>
      <w:r w:rsidR="009802DE" w:rsidRPr="008063B8">
        <w:rPr>
          <w:sz w:val="20"/>
          <w:szCs w:val="20"/>
          <w:lang w:val="es-ES"/>
        </w:rPr>
        <w:t xml:space="preserve">en </w:t>
      </w:r>
      <w:r w:rsidR="00B57C51" w:rsidRPr="008063B8">
        <w:rPr>
          <w:sz w:val="20"/>
          <w:szCs w:val="20"/>
          <w:lang w:val="es-ES"/>
        </w:rPr>
        <w:t>la medida de lo pertinente</w:t>
      </w:r>
      <w:r w:rsidR="009802DE" w:rsidRPr="008063B8">
        <w:rPr>
          <w:sz w:val="20"/>
          <w:szCs w:val="20"/>
          <w:lang w:val="es-ES"/>
        </w:rPr>
        <w:t>.</w:t>
      </w:r>
      <w:r w:rsidR="009802DE" w:rsidRPr="009802DE">
        <w:rPr>
          <w:sz w:val="20"/>
          <w:szCs w:val="20"/>
          <w:lang w:val="es-ES"/>
        </w:rPr>
        <w:t xml:space="preserve"> </w:t>
      </w:r>
    </w:p>
    <w:p w:rsidR="0063685A" w:rsidRPr="0063685A" w:rsidRDefault="0063685A" w:rsidP="0063685A">
      <w:pPr>
        <w:jc w:val="both"/>
        <w:rPr>
          <w:rFonts w:asciiTheme="majorHAnsi" w:hAnsiTheme="majorHAnsi"/>
          <w:sz w:val="20"/>
          <w:szCs w:val="20"/>
          <w:lang w:val="es-ES_tradnl"/>
        </w:rPr>
      </w:pPr>
    </w:p>
    <w:p w:rsidR="0063685A" w:rsidRPr="0063685A" w:rsidRDefault="0063685A" w:rsidP="00F17D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UY"/>
        </w:rPr>
      </w:pPr>
      <w:r w:rsidRPr="0063685A">
        <w:rPr>
          <w:rFonts w:asciiTheme="majorHAnsi" w:hAnsiTheme="majorHAnsi"/>
          <w:b/>
          <w:bCs/>
          <w:sz w:val="20"/>
          <w:szCs w:val="20"/>
          <w:lang w:val="es-UY"/>
        </w:rPr>
        <w:t xml:space="preserve">Requisitos de </w:t>
      </w:r>
      <w:r w:rsidRPr="0063685A">
        <w:rPr>
          <w:rFonts w:asciiTheme="majorHAnsi" w:hAnsiTheme="majorHAnsi"/>
          <w:b/>
          <w:sz w:val="20"/>
          <w:szCs w:val="20"/>
          <w:lang w:val="es-UY"/>
        </w:rPr>
        <w:t>Admisibilidad</w:t>
      </w:r>
    </w:p>
    <w:p w:rsidR="0063685A" w:rsidRPr="0063685A" w:rsidRDefault="0063685A" w:rsidP="0063685A">
      <w:pPr>
        <w:jc w:val="both"/>
        <w:rPr>
          <w:rFonts w:asciiTheme="majorHAnsi" w:hAnsiTheme="majorHAnsi"/>
          <w:sz w:val="20"/>
          <w:szCs w:val="20"/>
          <w:lang w:val="es-ES_tradnl"/>
        </w:rPr>
      </w:pPr>
    </w:p>
    <w:p w:rsidR="0063685A" w:rsidRPr="0063685A" w:rsidRDefault="0063685A" w:rsidP="0063685A">
      <w:pPr>
        <w:ind w:firstLine="720"/>
        <w:jc w:val="both"/>
        <w:rPr>
          <w:rFonts w:asciiTheme="majorHAnsi" w:hAnsiTheme="majorHAnsi"/>
          <w:b/>
          <w:sz w:val="20"/>
          <w:szCs w:val="20"/>
          <w:lang w:val="es-UY"/>
        </w:rPr>
      </w:pPr>
      <w:r w:rsidRPr="0063685A">
        <w:rPr>
          <w:rFonts w:asciiTheme="majorHAnsi" w:hAnsiTheme="majorHAnsi"/>
          <w:b/>
          <w:sz w:val="20"/>
          <w:szCs w:val="20"/>
          <w:lang w:val="es-UY"/>
        </w:rPr>
        <w:t>1.</w:t>
      </w:r>
      <w:r w:rsidRPr="0063685A">
        <w:rPr>
          <w:rFonts w:asciiTheme="majorHAnsi" w:hAnsiTheme="majorHAnsi"/>
          <w:b/>
          <w:sz w:val="20"/>
          <w:szCs w:val="20"/>
          <w:lang w:val="es-UY"/>
        </w:rPr>
        <w:tab/>
        <w:t>Agotamiento de los recursos internos</w:t>
      </w:r>
    </w:p>
    <w:p w:rsidR="0063685A" w:rsidRPr="0063685A" w:rsidRDefault="0063685A" w:rsidP="0063685A">
      <w:pPr>
        <w:jc w:val="both"/>
        <w:rPr>
          <w:rFonts w:asciiTheme="majorHAnsi" w:hAnsiTheme="majorHAnsi"/>
          <w:sz w:val="20"/>
          <w:szCs w:val="20"/>
          <w:lang w:val="es-UY"/>
        </w:rPr>
      </w:pPr>
    </w:p>
    <w:p w:rsidR="0063685A" w:rsidRPr="00485810" w:rsidRDefault="007468FC"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i/>
          <w:sz w:val="20"/>
          <w:szCs w:val="20"/>
          <w:lang w:val="es-UY"/>
        </w:rPr>
      </w:pPr>
      <w:r>
        <w:rPr>
          <w:rFonts w:asciiTheme="majorHAnsi" w:hAnsiTheme="majorHAnsi" w:cs="Arial"/>
          <w:sz w:val="20"/>
          <w:szCs w:val="20"/>
          <w:lang w:val="es-PE"/>
        </w:rPr>
        <w:t>El artículo 46.</w:t>
      </w:r>
      <w:r w:rsidR="0063685A" w:rsidRPr="0063685A">
        <w:rPr>
          <w:rFonts w:asciiTheme="majorHAnsi" w:hAnsiTheme="majorHAnsi" w:cs="Arial"/>
          <w:sz w:val="20"/>
          <w:szCs w:val="20"/>
          <w:lang w:val="es-PE"/>
        </w:rPr>
        <w:t>1</w:t>
      </w:r>
      <w:r>
        <w:rPr>
          <w:rFonts w:asciiTheme="majorHAnsi" w:hAnsiTheme="majorHAnsi" w:cs="Arial"/>
          <w:sz w:val="20"/>
          <w:szCs w:val="20"/>
          <w:lang w:val="es-PE"/>
        </w:rPr>
        <w:t>.</w:t>
      </w:r>
      <w:r w:rsidR="0063685A" w:rsidRPr="0063685A">
        <w:rPr>
          <w:rFonts w:asciiTheme="majorHAnsi" w:hAnsiTheme="majorHAnsi" w:cs="Arial"/>
          <w:sz w:val="20"/>
          <w:szCs w:val="20"/>
          <w:lang w:val="es-PE"/>
        </w:rPr>
        <w:t xml:space="preserve">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0063685A" w:rsidRPr="0063685A">
        <w:rPr>
          <w:rFonts w:asciiTheme="majorHAnsi" w:hAnsiTheme="majorHAnsi"/>
          <w:sz w:val="20"/>
          <w:szCs w:val="20"/>
          <w:lang w:val="es-UY"/>
        </w:rPr>
        <w:t xml:space="preserve">Este requisito tiene como objeto permitir que las autoridades nacionales conozcan sobre la supuesta violación de un derecho protegido y, de ser apropiado, </w:t>
      </w:r>
      <w:r w:rsidR="00485810">
        <w:rPr>
          <w:rFonts w:asciiTheme="majorHAnsi" w:hAnsiTheme="majorHAnsi"/>
          <w:sz w:val="20"/>
          <w:szCs w:val="20"/>
          <w:lang w:val="es-UY"/>
        </w:rPr>
        <w:t>solucionen la situación</w:t>
      </w:r>
      <w:r w:rsidR="0063685A" w:rsidRPr="0063685A">
        <w:rPr>
          <w:rFonts w:asciiTheme="majorHAnsi" w:hAnsiTheme="majorHAnsi"/>
          <w:sz w:val="20"/>
          <w:szCs w:val="20"/>
          <w:lang w:val="es-UY"/>
        </w:rPr>
        <w:t xml:space="preserve"> antes de que sea conocida por una instancia internacional. </w:t>
      </w:r>
      <w:r>
        <w:rPr>
          <w:rFonts w:asciiTheme="majorHAnsi" w:hAnsiTheme="majorHAnsi" w:cs="Arial"/>
          <w:sz w:val="20"/>
          <w:szCs w:val="20"/>
          <w:lang w:val="es-PE"/>
        </w:rPr>
        <w:t>Por su parte, el artículo 46.</w:t>
      </w:r>
      <w:r w:rsidR="0063685A" w:rsidRPr="00CC48E5">
        <w:rPr>
          <w:rFonts w:asciiTheme="majorHAnsi" w:hAnsiTheme="majorHAnsi" w:cs="Arial"/>
          <w:sz w:val="20"/>
          <w:szCs w:val="20"/>
          <w:lang w:val="es-PE"/>
        </w:rPr>
        <w:t xml:space="preserve">2 de la Convención prevé que el requisito de previo agotamiento de los recursos internos no resulta aplicable cuando (i) no exista en la legislación interna del Estado de que se </w:t>
      </w:r>
      <w:r w:rsidR="0063685A" w:rsidRPr="007A5550">
        <w:rPr>
          <w:rFonts w:asciiTheme="majorHAnsi" w:hAnsiTheme="majorHAnsi"/>
          <w:sz w:val="20"/>
          <w:szCs w:val="20"/>
          <w:lang w:val="es-UY"/>
        </w:rPr>
        <w:t>trata</w:t>
      </w:r>
      <w:r w:rsidR="0063685A" w:rsidRPr="00CC48E5">
        <w:rPr>
          <w:rFonts w:asciiTheme="majorHAnsi" w:hAnsiTheme="majorHAnsi" w:cs="Arial"/>
          <w:sz w:val="20"/>
          <w:szCs w:val="20"/>
          <w:lang w:val="es-PE"/>
        </w:rPr>
        <w:t xml:space="preserve">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63685A" w:rsidRPr="0063685A" w:rsidRDefault="0063685A" w:rsidP="0063685A">
      <w:pPr>
        <w:jc w:val="both"/>
        <w:rPr>
          <w:rFonts w:asciiTheme="majorHAnsi" w:hAnsiTheme="majorHAnsi"/>
          <w:sz w:val="20"/>
          <w:szCs w:val="20"/>
          <w:lang w:val="es-ES_tradnl"/>
        </w:rPr>
      </w:pPr>
    </w:p>
    <w:p w:rsidR="001540C9" w:rsidRPr="008063B8" w:rsidRDefault="0063685A"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8063B8">
        <w:rPr>
          <w:rFonts w:asciiTheme="majorHAnsi" w:hAnsiTheme="majorHAnsi"/>
          <w:sz w:val="20"/>
          <w:szCs w:val="20"/>
          <w:lang w:val="es-UY"/>
        </w:rPr>
        <w:t>El</w:t>
      </w:r>
      <w:r w:rsidRPr="0063685A">
        <w:rPr>
          <w:rFonts w:asciiTheme="majorHAnsi" w:hAnsiTheme="majorHAnsi"/>
          <w:sz w:val="20"/>
          <w:szCs w:val="20"/>
          <w:lang w:val="es-UY"/>
        </w:rPr>
        <w:t xml:space="preserve"> peticionario alega que </w:t>
      </w:r>
      <w:r w:rsidR="001540C9">
        <w:rPr>
          <w:rFonts w:asciiTheme="majorHAnsi" w:hAnsiTheme="majorHAnsi"/>
          <w:sz w:val="20"/>
          <w:szCs w:val="20"/>
          <w:lang w:val="es-UY"/>
        </w:rPr>
        <w:t>es aplicable la excepción a la regla del agotamiento de los recursos internos en razón del</w:t>
      </w:r>
      <w:r w:rsidR="00CC48E5">
        <w:rPr>
          <w:rFonts w:asciiTheme="majorHAnsi" w:hAnsiTheme="majorHAnsi"/>
          <w:sz w:val="20"/>
          <w:szCs w:val="20"/>
          <w:lang w:val="es-UY"/>
        </w:rPr>
        <w:t xml:space="preserve"> retardo injustificado </w:t>
      </w:r>
      <w:r w:rsidR="001540C9">
        <w:rPr>
          <w:rFonts w:asciiTheme="majorHAnsi" w:hAnsiTheme="majorHAnsi"/>
          <w:sz w:val="20"/>
          <w:szCs w:val="20"/>
          <w:lang w:val="es-UY"/>
        </w:rPr>
        <w:t>en la causa penal abierta</w:t>
      </w:r>
      <w:r w:rsidR="00CC48E5">
        <w:rPr>
          <w:rFonts w:asciiTheme="majorHAnsi" w:hAnsiTheme="majorHAnsi"/>
          <w:sz w:val="20"/>
          <w:szCs w:val="20"/>
          <w:lang w:val="es-UY"/>
        </w:rPr>
        <w:t xml:space="preserve"> con motivo </w:t>
      </w:r>
      <w:r w:rsidR="0002534E">
        <w:rPr>
          <w:rFonts w:asciiTheme="majorHAnsi" w:hAnsiTheme="majorHAnsi"/>
          <w:sz w:val="20"/>
          <w:szCs w:val="20"/>
          <w:lang w:val="es-UY"/>
        </w:rPr>
        <w:t>de la privación ilegal de la libertad</w:t>
      </w:r>
      <w:r w:rsidR="00CC48E5">
        <w:rPr>
          <w:rFonts w:asciiTheme="majorHAnsi" w:hAnsiTheme="majorHAnsi"/>
          <w:sz w:val="20"/>
          <w:szCs w:val="20"/>
          <w:lang w:val="es-UY"/>
        </w:rPr>
        <w:t xml:space="preserve"> y asesinato de su hija Verónica J. Palacios V.</w:t>
      </w:r>
      <w:r w:rsidR="00C7586F">
        <w:rPr>
          <w:rFonts w:asciiTheme="majorHAnsi" w:hAnsiTheme="majorHAnsi"/>
          <w:sz w:val="20"/>
          <w:szCs w:val="20"/>
          <w:lang w:val="es-UY"/>
        </w:rPr>
        <w:t xml:space="preserve"> Aduce que viendo el proceso como un todo, resulta </w:t>
      </w:r>
      <w:r w:rsidR="000F2657" w:rsidRPr="008063B8">
        <w:rPr>
          <w:rFonts w:asciiTheme="majorHAnsi" w:hAnsiTheme="majorHAnsi"/>
          <w:sz w:val="20"/>
          <w:szCs w:val="20"/>
          <w:lang w:val="es-UY"/>
        </w:rPr>
        <w:t>injustificable</w:t>
      </w:r>
      <w:r w:rsidR="00C7586F">
        <w:rPr>
          <w:rFonts w:asciiTheme="majorHAnsi" w:hAnsiTheme="majorHAnsi"/>
          <w:sz w:val="20"/>
          <w:szCs w:val="20"/>
          <w:lang w:val="es-UY"/>
        </w:rPr>
        <w:t xml:space="preserve"> que luego de diez años el mismo se encuentre aún en fase de investigación; </w:t>
      </w:r>
      <w:r w:rsidR="0036069C">
        <w:rPr>
          <w:rFonts w:asciiTheme="majorHAnsi" w:hAnsiTheme="majorHAnsi"/>
          <w:sz w:val="20"/>
          <w:szCs w:val="20"/>
          <w:lang w:val="es-UY"/>
        </w:rPr>
        <w:t xml:space="preserve">y que si </w:t>
      </w:r>
      <w:r w:rsidR="007F0F0A">
        <w:rPr>
          <w:rFonts w:asciiTheme="majorHAnsi" w:hAnsiTheme="majorHAnsi"/>
          <w:sz w:val="20"/>
          <w:szCs w:val="20"/>
          <w:lang w:val="es-UY"/>
        </w:rPr>
        <w:t>se analiza la actividad del Ministerio Público ha sido lenta e ineficiente, particularmente durante los dos primeros años de las investigaciones donde por sí mismo no ordenó ni ejecutó la práctica de ninguna prueba</w:t>
      </w:r>
      <w:r w:rsidRPr="0063685A">
        <w:rPr>
          <w:rFonts w:asciiTheme="majorHAnsi" w:hAnsiTheme="majorHAnsi"/>
          <w:sz w:val="20"/>
          <w:szCs w:val="20"/>
          <w:lang w:val="es-UY"/>
        </w:rPr>
        <w:t xml:space="preserve">. </w:t>
      </w:r>
      <w:r w:rsidR="000F2657" w:rsidRPr="008063B8">
        <w:rPr>
          <w:rFonts w:asciiTheme="majorHAnsi" w:hAnsiTheme="majorHAnsi"/>
          <w:sz w:val="20"/>
          <w:szCs w:val="20"/>
          <w:lang w:val="es-UY"/>
        </w:rPr>
        <w:t>El</w:t>
      </w:r>
      <w:r w:rsidR="00DB5001" w:rsidRPr="008063B8">
        <w:rPr>
          <w:rFonts w:asciiTheme="majorHAnsi" w:hAnsiTheme="majorHAnsi"/>
          <w:sz w:val="20"/>
          <w:szCs w:val="20"/>
          <w:lang w:val="es-UY"/>
        </w:rPr>
        <w:t xml:space="preserve"> Estado</w:t>
      </w:r>
      <w:r w:rsidR="000F2657" w:rsidRPr="008063B8">
        <w:rPr>
          <w:rFonts w:asciiTheme="majorHAnsi" w:hAnsiTheme="majorHAnsi"/>
          <w:sz w:val="20"/>
          <w:szCs w:val="20"/>
          <w:lang w:val="es-UY"/>
        </w:rPr>
        <w:t>, por su parte,</w:t>
      </w:r>
      <w:r w:rsidR="00DB5001" w:rsidRPr="008063B8">
        <w:rPr>
          <w:rFonts w:asciiTheme="majorHAnsi" w:hAnsiTheme="majorHAnsi"/>
          <w:sz w:val="20"/>
          <w:szCs w:val="20"/>
          <w:lang w:val="es-UY"/>
        </w:rPr>
        <w:t xml:space="preserve"> se opone a que la presente petición sea admitida, toda vez que el proceso aún se encontraría en la etapa de investigación</w:t>
      </w:r>
      <w:r w:rsidR="005C2891" w:rsidRPr="008063B8">
        <w:rPr>
          <w:rFonts w:asciiTheme="majorHAnsi" w:hAnsiTheme="majorHAnsi"/>
          <w:sz w:val="20"/>
          <w:szCs w:val="20"/>
          <w:lang w:val="es-UY"/>
        </w:rPr>
        <w:t>;</w:t>
      </w:r>
      <w:r w:rsidR="000F2657" w:rsidRPr="008063B8">
        <w:rPr>
          <w:rFonts w:asciiTheme="majorHAnsi" w:hAnsiTheme="majorHAnsi"/>
          <w:sz w:val="20"/>
          <w:szCs w:val="20"/>
          <w:lang w:val="es-UY"/>
        </w:rPr>
        <w:t xml:space="preserve"> que la obligación de investigar es de medios y no de resultados, y que los medios habr</w:t>
      </w:r>
      <w:r w:rsidR="005C2891" w:rsidRPr="008063B8">
        <w:rPr>
          <w:rFonts w:asciiTheme="majorHAnsi" w:hAnsiTheme="majorHAnsi"/>
          <w:sz w:val="20"/>
          <w:szCs w:val="20"/>
          <w:lang w:val="es-UY"/>
        </w:rPr>
        <w:t>ían sido diligentes;</w:t>
      </w:r>
      <w:r w:rsidR="000F2657" w:rsidRPr="008063B8">
        <w:rPr>
          <w:rFonts w:asciiTheme="majorHAnsi" w:hAnsiTheme="majorHAnsi"/>
          <w:sz w:val="20"/>
          <w:szCs w:val="20"/>
          <w:lang w:val="es-UY"/>
        </w:rPr>
        <w:t xml:space="preserve"> </w:t>
      </w:r>
      <w:r w:rsidR="00DB5001" w:rsidRPr="008063B8">
        <w:rPr>
          <w:rFonts w:asciiTheme="majorHAnsi" w:hAnsiTheme="majorHAnsi"/>
          <w:sz w:val="20"/>
          <w:szCs w:val="20"/>
          <w:lang w:val="es-UY"/>
        </w:rPr>
        <w:t>por tanto</w:t>
      </w:r>
      <w:r w:rsidR="005C2891" w:rsidRPr="008063B8">
        <w:rPr>
          <w:rFonts w:asciiTheme="majorHAnsi" w:hAnsiTheme="majorHAnsi"/>
          <w:sz w:val="20"/>
          <w:szCs w:val="20"/>
          <w:lang w:val="es-UY"/>
        </w:rPr>
        <w:t>,</w:t>
      </w:r>
      <w:r w:rsidR="00DB5001" w:rsidRPr="008063B8">
        <w:rPr>
          <w:rFonts w:asciiTheme="majorHAnsi" w:hAnsiTheme="majorHAnsi"/>
          <w:sz w:val="20"/>
          <w:szCs w:val="20"/>
          <w:lang w:val="es-UY"/>
        </w:rPr>
        <w:t xml:space="preserve"> </w:t>
      </w:r>
      <w:r w:rsidR="000F2657" w:rsidRPr="008063B8">
        <w:rPr>
          <w:rFonts w:asciiTheme="majorHAnsi" w:hAnsiTheme="majorHAnsi"/>
          <w:sz w:val="20"/>
          <w:szCs w:val="20"/>
          <w:lang w:val="es-UY"/>
        </w:rPr>
        <w:t xml:space="preserve">sostiene </w:t>
      </w:r>
      <w:r w:rsidR="00DB5001" w:rsidRPr="008063B8">
        <w:rPr>
          <w:rFonts w:asciiTheme="majorHAnsi" w:hAnsiTheme="majorHAnsi"/>
          <w:sz w:val="20"/>
          <w:szCs w:val="20"/>
          <w:lang w:val="es-UY"/>
        </w:rPr>
        <w:t>no se habrían agotado los recursos internos</w:t>
      </w:r>
      <w:r w:rsidRPr="008063B8">
        <w:rPr>
          <w:rFonts w:asciiTheme="majorHAnsi" w:hAnsiTheme="majorHAnsi"/>
          <w:sz w:val="20"/>
          <w:szCs w:val="20"/>
          <w:lang w:val="es-UY"/>
        </w:rPr>
        <w:t>.</w:t>
      </w:r>
      <w:r w:rsidR="0063290D" w:rsidRPr="008063B8">
        <w:rPr>
          <w:rFonts w:asciiTheme="majorHAnsi" w:hAnsiTheme="majorHAnsi"/>
          <w:sz w:val="20"/>
          <w:szCs w:val="20"/>
          <w:lang w:val="es-UY"/>
        </w:rPr>
        <w:t xml:space="preserve"> </w:t>
      </w:r>
    </w:p>
    <w:p w:rsidR="001540C9" w:rsidRDefault="001540C9" w:rsidP="001540C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9D00A7" w:rsidRPr="009D00A7" w:rsidRDefault="001540C9"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1540C9">
        <w:rPr>
          <w:rFonts w:ascii="Cambria" w:hAnsi="Cambria" w:cs="Cambria"/>
          <w:color w:val="000000"/>
          <w:sz w:val="20"/>
          <w:szCs w:val="20"/>
          <w:lang w:val="es-ES" w:eastAsia="es-ES"/>
        </w:rPr>
        <w:lastRenderedPageBreak/>
        <w:t xml:space="preserve">Al respecto, la Comisión </w:t>
      </w:r>
      <w:r w:rsidR="007B66DB">
        <w:rPr>
          <w:rFonts w:ascii="Cambria" w:hAnsi="Cambria" w:cs="Cambria"/>
          <w:color w:val="000000"/>
          <w:sz w:val="20"/>
          <w:szCs w:val="20"/>
          <w:lang w:val="es-ES" w:eastAsia="es-ES"/>
        </w:rPr>
        <w:t xml:space="preserve">ha establecido consistentemente </w:t>
      </w:r>
      <w:r w:rsidRPr="001540C9">
        <w:rPr>
          <w:rFonts w:ascii="Cambria" w:hAnsi="Cambria" w:cs="Cambria"/>
          <w:color w:val="000000"/>
          <w:sz w:val="20"/>
          <w:szCs w:val="20"/>
          <w:lang w:val="es-ES" w:eastAsia="es-ES"/>
        </w:rPr>
        <w:t xml:space="preserve">que toda vez </w:t>
      </w:r>
      <w:r w:rsidR="00312EEF">
        <w:rPr>
          <w:rFonts w:ascii="Cambria" w:hAnsi="Cambria" w:cs="Cambria"/>
          <w:color w:val="000000"/>
          <w:sz w:val="20"/>
          <w:szCs w:val="20"/>
          <w:lang w:val="es-ES" w:eastAsia="es-ES"/>
        </w:rPr>
        <w:t xml:space="preserve">que se </w:t>
      </w:r>
      <w:r w:rsidR="00312EEF" w:rsidRPr="00312EEF">
        <w:rPr>
          <w:rFonts w:ascii="Cambria" w:hAnsi="Cambria" w:cs="Cambria"/>
          <w:color w:val="000000"/>
          <w:sz w:val="20"/>
          <w:szCs w:val="20"/>
          <w:lang w:val="es-ES" w:eastAsia="es-ES"/>
        </w:rPr>
        <w:t>cometan</w:t>
      </w:r>
      <w:r w:rsidR="007B66DB" w:rsidRPr="00312EEF">
        <w:rPr>
          <w:rFonts w:ascii="Cambria" w:hAnsi="Cambria" w:cs="Cambria"/>
          <w:color w:val="000000"/>
          <w:sz w:val="20"/>
          <w:szCs w:val="20"/>
          <w:lang w:val="es-ES" w:eastAsia="es-ES"/>
        </w:rPr>
        <w:t xml:space="preserve"> delitos perseguibles</w:t>
      </w:r>
      <w:r w:rsidRPr="00312EEF">
        <w:rPr>
          <w:rFonts w:ascii="Cambria" w:hAnsi="Cambria" w:cs="Cambria"/>
          <w:color w:val="000000"/>
          <w:sz w:val="20"/>
          <w:szCs w:val="20"/>
          <w:lang w:val="es-ES" w:eastAsia="es-ES"/>
        </w:rPr>
        <w:t xml:space="preserve"> de oficio</w:t>
      </w:r>
      <w:r w:rsidRPr="001540C9">
        <w:rPr>
          <w:rFonts w:ascii="Cambria" w:hAnsi="Cambria" w:cs="Cambria"/>
          <w:color w:val="000000"/>
          <w:sz w:val="20"/>
          <w:szCs w:val="20"/>
          <w:lang w:val="es-ES" w:eastAsia="es-ES"/>
        </w:rPr>
        <w:t>, el Estado tiene la obligación de promover e impulsar el proceso penal</w:t>
      </w:r>
      <w:r>
        <w:rPr>
          <w:rStyle w:val="FootnoteReference"/>
          <w:rFonts w:ascii="Cambria" w:hAnsi="Cambria" w:cs="Cambria"/>
          <w:color w:val="000000"/>
          <w:sz w:val="20"/>
          <w:szCs w:val="20"/>
          <w:lang w:val="es-ES" w:eastAsia="es-ES"/>
        </w:rPr>
        <w:footnoteReference w:id="2"/>
      </w:r>
      <w:r w:rsidR="007B66DB">
        <w:rPr>
          <w:rFonts w:ascii="Cambria" w:hAnsi="Cambria" w:cs="Cambria"/>
          <w:color w:val="000000"/>
          <w:sz w:val="20"/>
          <w:szCs w:val="20"/>
          <w:lang w:val="es-ES" w:eastAsia="es-ES"/>
        </w:rPr>
        <w:t>,</w:t>
      </w:r>
      <w:r w:rsidRPr="001540C9">
        <w:rPr>
          <w:rFonts w:ascii="Cambria" w:hAnsi="Cambria" w:cs="Cambria"/>
          <w:color w:val="000000"/>
          <w:sz w:val="13"/>
          <w:szCs w:val="13"/>
          <w:lang w:val="es-ES" w:eastAsia="es-ES"/>
        </w:rPr>
        <w:t xml:space="preserve"> </w:t>
      </w:r>
      <w:r w:rsidRPr="001540C9">
        <w:rPr>
          <w:rFonts w:ascii="Cambria" w:hAnsi="Cambria" w:cs="Cambria"/>
          <w:color w:val="000000"/>
          <w:sz w:val="20"/>
          <w:szCs w:val="20"/>
          <w:lang w:val="es-ES" w:eastAsia="es-ES"/>
        </w:rPr>
        <w:t xml:space="preserve">y que en esos casos, la vía penal constituye la idónea para esclarecer los hechos, juzgar a los responsables y establecer las sanciones penales correspondientes. Asimismo, la Comisión observa que como regla general, una investigación </w:t>
      </w:r>
      <w:r w:rsidRPr="007A5550">
        <w:rPr>
          <w:rFonts w:asciiTheme="majorHAnsi" w:hAnsiTheme="majorHAnsi"/>
          <w:sz w:val="20"/>
          <w:szCs w:val="20"/>
          <w:lang w:val="es-UY"/>
        </w:rPr>
        <w:t>penal</w:t>
      </w:r>
      <w:r w:rsidRPr="001540C9">
        <w:rPr>
          <w:rFonts w:ascii="Cambria" w:hAnsi="Cambria" w:cs="Cambria"/>
          <w:color w:val="000000"/>
          <w:sz w:val="20"/>
          <w:szCs w:val="20"/>
          <w:lang w:val="es-ES" w:eastAsia="es-ES"/>
        </w:rPr>
        <w:t xml:space="preserve"> debe realizarse prontamente para proteger los intereses de las víctimas, preservar la prueba e incluso salvaguardar los derechos de toda persona que en el contexto de la investigación sea considerada sospechosa</w:t>
      </w:r>
      <w:r>
        <w:rPr>
          <w:rStyle w:val="FootnoteReference"/>
          <w:rFonts w:ascii="Cambria" w:hAnsi="Cambria" w:cs="Cambria"/>
          <w:color w:val="000000"/>
          <w:sz w:val="20"/>
          <w:szCs w:val="20"/>
          <w:lang w:val="es-ES" w:eastAsia="es-ES"/>
        </w:rPr>
        <w:footnoteReference w:id="3"/>
      </w:r>
      <w:r w:rsidRPr="001540C9">
        <w:rPr>
          <w:rFonts w:ascii="Cambria" w:hAnsi="Cambria" w:cs="Cambria"/>
          <w:color w:val="000000"/>
          <w:sz w:val="20"/>
          <w:szCs w:val="20"/>
          <w:lang w:val="es-ES" w:eastAsia="es-ES"/>
        </w:rPr>
        <w:t xml:space="preserve">. </w:t>
      </w:r>
      <w:r w:rsidR="009D00A7">
        <w:rPr>
          <w:rFonts w:ascii="Cambria" w:hAnsi="Cambria" w:cs="Cambria"/>
          <w:color w:val="000000"/>
          <w:sz w:val="20"/>
          <w:szCs w:val="20"/>
          <w:lang w:val="es-ES" w:eastAsia="es-ES"/>
        </w:rPr>
        <w:t xml:space="preserve"> </w:t>
      </w:r>
    </w:p>
    <w:p w:rsidR="009D00A7" w:rsidRPr="009D00A7" w:rsidRDefault="009D00A7" w:rsidP="009D00A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1540C9" w:rsidRPr="003B7AE8" w:rsidRDefault="009D00A7"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Cambria" w:hAnsi="Cambria" w:cs="Cambria"/>
          <w:color w:val="000000"/>
          <w:sz w:val="20"/>
          <w:szCs w:val="20"/>
          <w:lang w:val="es-ES" w:eastAsia="es-ES"/>
        </w:rPr>
        <w:t xml:space="preserve">En el </w:t>
      </w:r>
      <w:r w:rsidRPr="008063B8">
        <w:rPr>
          <w:rFonts w:ascii="Cambria" w:hAnsi="Cambria" w:cs="Cambria"/>
          <w:color w:val="000000"/>
          <w:sz w:val="20"/>
          <w:szCs w:val="20"/>
          <w:lang w:val="es-ES" w:eastAsia="es-ES"/>
        </w:rPr>
        <w:t>presente caso la CIDH observa que</w:t>
      </w:r>
      <w:r w:rsidR="00DB50F2" w:rsidRPr="008063B8">
        <w:rPr>
          <w:rFonts w:ascii="Cambria" w:hAnsi="Cambria" w:cs="Cambria"/>
          <w:color w:val="000000"/>
          <w:sz w:val="20"/>
          <w:szCs w:val="20"/>
          <w:lang w:val="es-ES" w:eastAsia="es-ES"/>
        </w:rPr>
        <w:t xml:space="preserve">, </w:t>
      </w:r>
      <w:r w:rsidR="00DB50F2" w:rsidRPr="008063B8">
        <w:rPr>
          <w:rFonts w:ascii="Cambria" w:hAnsi="Cambria" w:cs="Cambria"/>
          <w:i/>
          <w:color w:val="000000"/>
          <w:sz w:val="20"/>
          <w:szCs w:val="20"/>
          <w:lang w:val="es-ES" w:eastAsia="es-ES"/>
        </w:rPr>
        <w:t>prima facie</w:t>
      </w:r>
      <w:r w:rsidRPr="008063B8">
        <w:rPr>
          <w:rFonts w:ascii="Cambria" w:hAnsi="Cambria" w:cs="Cambria"/>
          <w:color w:val="000000"/>
          <w:sz w:val="20"/>
          <w:szCs w:val="20"/>
          <w:lang w:val="es-ES" w:eastAsia="es-ES"/>
        </w:rPr>
        <w:t xml:space="preserve">, el transcurso de diez años en un proceso penal que debió ser adelantado de oficio por el Estado resulta en una dilación de una naturaleza tal que no puede ser ahora esgrimida por el Estado como una excusa válida para invocar la falta de agotamiento de los recursos internos por parte del </w:t>
      </w:r>
      <w:r w:rsidRPr="008063B8">
        <w:rPr>
          <w:rFonts w:asciiTheme="majorHAnsi" w:hAnsiTheme="majorHAnsi"/>
          <w:sz w:val="20"/>
          <w:szCs w:val="20"/>
          <w:lang w:val="es-UY"/>
        </w:rPr>
        <w:t>peticionario</w:t>
      </w:r>
      <w:r w:rsidRPr="008063B8">
        <w:rPr>
          <w:rFonts w:ascii="Cambria" w:hAnsi="Cambria" w:cs="Cambria"/>
          <w:color w:val="000000"/>
          <w:sz w:val="20"/>
          <w:szCs w:val="20"/>
          <w:lang w:val="es-ES" w:eastAsia="es-ES"/>
        </w:rPr>
        <w:t xml:space="preserve">. </w:t>
      </w:r>
    </w:p>
    <w:p w:rsidR="003B7AE8" w:rsidRPr="003B7AE8" w:rsidRDefault="003B7AE8" w:rsidP="003B7AE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3B7AE8" w:rsidRPr="003B7AE8" w:rsidRDefault="003B7AE8" w:rsidP="003B7A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UY"/>
        </w:rPr>
      </w:pPr>
      <w:r w:rsidRPr="00E66CB9">
        <w:rPr>
          <w:rFonts w:asciiTheme="majorHAnsi" w:hAnsiTheme="majorHAnsi"/>
          <w:sz w:val="20"/>
          <w:szCs w:val="20"/>
          <w:lang w:val="es-UY"/>
        </w:rPr>
        <w:t xml:space="preserve">Por lo tanto, en atención a las consideraciones precedentes, la Comisión concluye que en el presente caso aplica la excepción al agotamiento de los recursos internos prevista en el artículo </w:t>
      </w:r>
      <w:r w:rsidRPr="00E66CB9">
        <w:rPr>
          <w:rFonts w:asciiTheme="majorHAnsi" w:hAnsiTheme="majorHAnsi" w:cs="Arial"/>
          <w:sz w:val="20"/>
          <w:szCs w:val="20"/>
          <w:lang w:val="es-PE"/>
        </w:rPr>
        <w:t>46</w:t>
      </w:r>
      <w:r w:rsidR="007468FC">
        <w:rPr>
          <w:rFonts w:asciiTheme="majorHAnsi" w:hAnsiTheme="majorHAnsi" w:cs="Arial"/>
          <w:sz w:val="20"/>
          <w:szCs w:val="20"/>
          <w:lang w:val="es-PE"/>
        </w:rPr>
        <w:t>.</w:t>
      </w:r>
      <w:r w:rsidRPr="00E66CB9">
        <w:rPr>
          <w:rFonts w:asciiTheme="majorHAnsi" w:hAnsiTheme="majorHAnsi" w:cs="Arial"/>
          <w:sz w:val="20"/>
          <w:szCs w:val="20"/>
          <w:lang w:val="es-PE"/>
        </w:rPr>
        <w:t>2</w:t>
      </w:r>
      <w:r w:rsidR="007468FC">
        <w:rPr>
          <w:rFonts w:asciiTheme="majorHAnsi" w:hAnsiTheme="majorHAnsi" w:cs="Arial"/>
          <w:sz w:val="20"/>
          <w:szCs w:val="20"/>
          <w:lang w:val="es-PE"/>
        </w:rPr>
        <w:t>.</w:t>
      </w:r>
      <w:r w:rsidRPr="00E66CB9">
        <w:rPr>
          <w:rFonts w:asciiTheme="majorHAnsi" w:hAnsiTheme="majorHAnsi"/>
          <w:sz w:val="20"/>
          <w:szCs w:val="20"/>
          <w:lang w:val="es-UY"/>
        </w:rPr>
        <w:t>c</w:t>
      </w:r>
      <w:r w:rsidRPr="00E66CB9">
        <w:rPr>
          <w:rFonts w:asciiTheme="majorHAnsi" w:hAnsiTheme="majorHAnsi" w:cs="Arial"/>
          <w:sz w:val="20"/>
          <w:szCs w:val="20"/>
          <w:lang w:val="es-PE"/>
        </w:rPr>
        <w:t xml:space="preserve"> de la Convención Americana</w:t>
      </w:r>
      <w:r>
        <w:rPr>
          <w:rFonts w:asciiTheme="majorHAnsi" w:hAnsiTheme="majorHAnsi" w:cs="Arial"/>
          <w:sz w:val="20"/>
          <w:szCs w:val="20"/>
          <w:lang w:val="es-PE"/>
        </w:rPr>
        <w:t xml:space="preserve">. </w:t>
      </w:r>
    </w:p>
    <w:p w:rsidR="00E57A39" w:rsidRPr="00E57A39" w:rsidRDefault="00E57A39" w:rsidP="00E57A3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E57A39" w:rsidRPr="008063B8" w:rsidRDefault="00E57A39" w:rsidP="00E66C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8063B8">
        <w:rPr>
          <w:rFonts w:asciiTheme="majorHAnsi" w:hAnsiTheme="majorHAnsi"/>
          <w:sz w:val="20"/>
          <w:szCs w:val="20"/>
          <w:lang w:val="es-UY"/>
        </w:rPr>
        <w:t xml:space="preserve">Con respecto a su destitución de su puesto de oficial de las fuerzas armadas </w:t>
      </w:r>
      <w:r w:rsidR="00187538" w:rsidRPr="008063B8">
        <w:rPr>
          <w:rFonts w:asciiTheme="majorHAnsi" w:hAnsiTheme="majorHAnsi"/>
          <w:sz w:val="20"/>
          <w:szCs w:val="20"/>
          <w:lang w:val="es-UY"/>
        </w:rPr>
        <w:t xml:space="preserve">el peticionario </w:t>
      </w:r>
      <w:r w:rsidR="0088711E">
        <w:rPr>
          <w:rFonts w:asciiTheme="majorHAnsi" w:hAnsiTheme="majorHAnsi"/>
          <w:sz w:val="20"/>
          <w:szCs w:val="20"/>
          <w:lang w:val="es-UY"/>
        </w:rPr>
        <w:t xml:space="preserve">aduce que la misma se dio como represalia por impulsar la investigación del caso de su hija. En este sentido </w:t>
      </w:r>
      <w:r w:rsidR="00187538" w:rsidRPr="008063B8">
        <w:rPr>
          <w:rFonts w:asciiTheme="majorHAnsi" w:hAnsiTheme="majorHAnsi"/>
          <w:sz w:val="20"/>
          <w:szCs w:val="20"/>
          <w:lang w:val="es-UY"/>
        </w:rPr>
        <w:t>indica que el 10 de diciembre de 2012 la Corte Suprema de Justicia decretó amparo a su favor, disponiendo la suspensión de la resolución por medio de la cual se le daba de baja del ejército. Esta decisión habría sido luego confirmada por la Corte de Constitucionalidad mediante resolución del 31 de enero de 2013. Según alega el peticionario estas decisiones habrían sido simplemente desacatadas por el Ministerio de Defensa. En atención a lo cual, volvió a presentar una solicitud de amparo ante</w:t>
      </w:r>
      <w:r w:rsidR="00B92528" w:rsidRPr="008063B8">
        <w:rPr>
          <w:rFonts w:asciiTheme="majorHAnsi" w:hAnsiTheme="majorHAnsi"/>
          <w:sz w:val="20"/>
          <w:szCs w:val="20"/>
          <w:lang w:val="es-UY"/>
        </w:rPr>
        <w:t xml:space="preserve"> </w:t>
      </w:r>
      <w:r w:rsidR="00E66CB9" w:rsidRPr="008063B8">
        <w:rPr>
          <w:rFonts w:asciiTheme="majorHAnsi" w:hAnsiTheme="majorHAnsi"/>
          <w:sz w:val="20"/>
          <w:szCs w:val="20"/>
          <w:lang w:val="es-UY"/>
        </w:rPr>
        <w:t xml:space="preserve">la Corte Suprema de Justicia, la cual mediante resolución del 21 de mayo de 2013 habría denegado dicha solicitud de amparo, y además, revocado su decisión inicial favorable. El peticionario apeló esta decisión ante la Corte de Constitucionalidad el 29 de mayo de 2013, y esta última instancia se habría pronunciado a su favor mediante sentencia del 10 de diciembre de 2013 (Expediente 2250-2013), ordenando su reintegro a la corporación castrense. Sin embargo, esta decisión </w:t>
      </w:r>
      <w:r w:rsidR="00EE1CF7">
        <w:rPr>
          <w:rFonts w:asciiTheme="majorHAnsi" w:hAnsiTheme="majorHAnsi"/>
          <w:sz w:val="20"/>
          <w:szCs w:val="20"/>
          <w:lang w:val="es-UY"/>
        </w:rPr>
        <w:t xml:space="preserve">no </w:t>
      </w:r>
      <w:r w:rsidR="00E66CB9" w:rsidRPr="008063B8">
        <w:rPr>
          <w:rFonts w:asciiTheme="majorHAnsi" w:hAnsiTheme="majorHAnsi"/>
          <w:sz w:val="20"/>
          <w:szCs w:val="20"/>
          <w:lang w:val="es-UY"/>
        </w:rPr>
        <w:t xml:space="preserve">habría sido </w:t>
      </w:r>
      <w:r w:rsidR="00EE1CF7">
        <w:rPr>
          <w:rFonts w:asciiTheme="majorHAnsi" w:hAnsiTheme="majorHAnsi"/>
          <w:sz w:val="20"/>
          <w:szCs w:val="20"/>
          <w:lang w:val="es-UY"/>
        </w:rPr>
        <w:t>cumplida</w:t>
      </w:r>
      <w:r w:rsidR="00E66CB9" w:rsidRPr="008063B8">
        <w:rPr>
          <w:rFonts w:asciiTheme="majorHAnsi" w:hAnsiTheme="majorHAnsi"/>
          <w:sz w:val="20"/>
          <w:szCs w:val="20"/>
          <w:lang w:val="es-UY"/>
        </w:rPr>
        <w:t>. E</w:t>
      </w:r>
      <w:r w:rsidRPr="008063B8">
        <w:rPr>
          <w:rFonts w:asciiTheme="majorHAnsi" w:hAnsiTheme="majorHAnsi"/>
          <w:sz w:val="20"/>
          <w:szCs w:val="20"/>
          <w:lang w:val="es-UY"/>
        </w:rPr>
        <w:t>l Estado</w:t>
      </w:r>
      <w:r w:rsidR="00E66CB9" w:rsidRPr="008063B8">
        <w:rPr>
          <w:rFonts w:asciiTheme="majorHAnsi" w:hAnsiTheme="majorHAnsi"/>
          <w:sz w:val="20"/>
          <w:szCs w:val="20"/>
          <w:lang w:val="es-UY"/>
        </w:rPr>
        <w:t>, por su parte,</w:t>
      </w:r>
      <w:r w:rsidRPr="008063B8">
        <w:rPr>
          <w:rFonts w:asciiTheme="majorHAnsi" w:hAnsiTheme="majorHAnsi"/>
          <w:sz w:val="20"/>
          <w:szCs w:val="20"/>
          <w:lang w:val="es-UY"/>
        </w:rPr>
        <w:t xml:space="preserve"> sostiene que </w:t>
      </w:r>
      <w:r w:rsidR="00EE1CF7">
        <w:rPr>
          <w:rFonts w:asciiTheme="majorHAnsi" w:hAnsiTheme="majorHAnsi"/>
          <w:sz w:val="20"/>
          <w:szCs w:val="20"/>
          <w:lang w:val="es-UY"/>
        </w:rPr>
        <w:t>la destitución</w:t>
      </w:r>
      <w:r w:rsidRPr="008063B8">
        <w:rPr>
          <w:rFonts w:asciiTheme="majorHAnsi" w:hAnsiTheme="majorHAnsi"/>
          <w:sz w:val="20"/>
          <w:szCs w:val="20"/>
          <w:lang w:val="es-UY"/>
        </w:rPr>
        <w:t xml:space="preserve"> fue justificada y apegada a las normas de la institución militar, sin entrar a cuestionar el agotamiento de los recursos internos. </w:t>
      </w:r>
    </w:p>
    <w:p w:rsidR="00872E3A" w:rsidRPr="008063B8" w:rsidRDefault="00872E3A" w:rsidP="00E80288">
      <w:pPr>
        <w:pStyle w:val="ListParagraph"/>
        <w:rPr>
          <w:rFonts w:asciiTheme="majorHAnsi" w:hAnsiTheme="majorHAnsi"/>
          <w:color w:val="FF0000"/>
          <w:sz w:val="20"/>
          <w:szCs w:val="20"/>
          <w:lang w:val="es-UY"/>
        </w:rPr>
      </w:pPr>
    </w:p>
    <w:p w:rsidR="00B056A5" w:rsidRPr="008063B8" w:rsidRDefault="0063685A" w:rsidP="00B056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UY"/>
        </w:rPr>
      </w:pPr>
      <w:r w:rsidRPr="008063B8">
        <w:rPr>
          <w:rFonts w:asciiTheme="majorHAnsi" w:hAnsiTheme="majorHAnsi"/>
          <w:sz w:val="20"/>
          <w:szCs w:val="20"/>
          <w:lang w:val="es-UY"/>
        </w:rPr>
        <w:t xml:space="preserve">Por lo tanto, </w:t>
      </w:r>
      <w:r w:rsidR="003B7AE8" w:rsidRPr="008063B8">
        <w:rPr>
          <w:rFonts w:asciiTheme="majorHAnsi" w:hAnsiTheme="majorHAnsi"/>
          <w:sz w:val="20"/>
          <w:szCs w:val="20"/>
          <w:lang w:val="es-UY"/>
        </w:rPr>
        <w:t>con relación a este extremo la Comisión Interamericana considera que la petición cumple con el requisito de admisibilida</w:t>
      </w:r>
      <w:r w:rsidR="007468FC">
        <w:rPr>
          <w:rFonts w:asciiTheme="majorHAnsi" w:hAnsiTheme="majorHAnsi"/>
          <w:sz w:val="20"/>
          <w:szCs w:val="20"/>
          <w:lang w:val="es-UY"/>
        </w:rPr>
        <w:t>d establecido en el artículo 46.</w:t>
      </w:r>
      <w:r w:rsidR="003B7AE8" w:rsidRPr="008063B8">
        <w:rPr>
          <w:rFonts w:asciiTheme="majorHAnsi" w:hAnsiTheme="majorHAnsi"/>
          <w:sz w:val="20"/>
          <w:szCs w:val="20"/>
          <w:lang w:val="es-UY"/>
        </w:rPr>
        <w:t>1</w:t>
      </w:r>
      <w:r w:rsidR="007468FC">
        <w:rPr>
          <w:rFonts w:asciiTheme="majorHAnsi" w:hAnsiTheme="majorHAnsi"/>
          <w:sz w:val="20"/>
          <w:szCs w:val="20"/>
          <w:lang w:val="es-UY"/>
        </w:rPr>
        <w:t>.</w:t>
      </w:r>
      <w:r w:rsidR="003B7AE8" w:rsidRPr="008063B8">
        <w:rPr>
          <w:rFonts w:asciiTheme="majorHAnsi" w:hAnsiTheme="majorHAnsi"/>
          <w:sz w:val="20"/>
          <w:szCs w:val="20"/>
          <w:lang w:val="es-UY"/>
        </w:rPr>
        <w:t>a de la Convención Americana.</w:t>
      </w:r>
    </w:p>
    <w:p w:rsidR="00E66CB9" w:rsidRPr="00E66CB9" w:rsidRDefault="00E66CB9" w:rsidP="00E66CB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b/>
          <w:sz w:val="20"/>
          <w:szCs w:val="20"/>
          <w:lang w:val="es-UY"/>
        </w:rPr>
      </w:pPr>
    </w:p>
    <w:p w:rsidR="00B056A5" w:rsidRPr="00B056A5" w:rsidRDefault="00B056A5" w:rsidP="00B056A5">
      <w:pPr>
        <w:ind w:firstLine="720"/>
        <w:jc w:val="both"/>
        <w:rPr>
          <w:rFonts w:asciiTheme="majorHAnsi" w:hAnsiTheme="majorHAnsi"/>
          <w:b/>
          <w:sz w:val="20"/>
          <w:szCs w:val="20"/>
          <w:lang w:val="es-UY"/>
        </w:rPr>
      </w:pPr>
      <w:r>
        <w:rPr>
          <w:rFonts w:asciiTheme="majorHAnsi" w:hAnsiTheme="majorHAnsi"/>
          <w:b/>
          <w:sz w:val="20"/>
          <w:szCs w:val="20"/>
          <w:lang w:val="es-UY"/>
        </w:rPr>
        <w:t>2.</w:t>
      </w:r>
      <w:r>
        <w:rPr>
          <w:rFonts w:asciiTheme="majorHAnsi" w:hAnsiTheme="majorHAnsi"/>
          <w:b/>
          <w:sz w:val="20"/>
          <w:szCs w:val="20"/>
          <w:lang w:val="es-UY"/>
        </w:rPr>
        <w:tab/>
      </w:r>
      <w:r w:rsidR="0063685A" w:rsidRPr="00B056A5">
        <w:rPr>
          <w:rFonts w:asciiTheme="majorHAnsi" w:hAnsiTheme="majorHAnsi"/>
          <w:b/>
          <w:sz w:val="20"/>
          <w:szCs w:val="20"/>
          <w:lang w:val="es-UY"/>
        </w:rPr>
        <w:t>Plazo de presentación de la petición</w:t>
      </w:r>
    </w:p>
    <w:p w:rsidR="00B056A5" w:rsidRDefault="00B056A5" w:rsidP="00B056A5">
      <w:pPr>
        <w:pStyle w:val="ListParagraph"/>
        <w:rPr>
          <w:rFonts w:asciiTheme="majorHAnsi" w:hAnsiTheme="majorHAnsi" w:cs="Arial"/>
          <w:sz w:val="20"/>
          <w:szCs w:val="20"/>
          <w:lang w:val="es-PE"/>
        </w:rPr>
      </w:pPr>
    </w:p>
    <w:p w:rsidR="0063685A" w:rsidRPr="009802DE" w:rsidRDefault="007468FC"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cs="Arial"/>
          <w:sz w:val="20"/>
          <w:szCs w:val="20"/>
          <w:lang w:val="es-PE"/>
        </w:rPr>
        <w:t>El artículo 46.</w:t>
      </w:r>
      <w:r w:rsidR="0063685A" w:rsidRPr="009802DE">
        <w:rPr>
          <w:rFonts w:asciiTheme="majorHAnsi" w:hAnsiTheme="majorHAnsi" w:cs="Arial"/>
          <w:sz w:val="20"/>
          <w:szCs w:val="20"/>
          <w:lang w:val="es-PE"/>
        </w:rPr>
        <w:t>1</w:t>
      </w:r>
      <w:r>
        <w:rPr>
          <w:rFonts w:asciiTheme="majorHAnsi" w:hAnsiTheme="majorHAnsi" w:cs="Arial"/>
          <w:sz w:val="20"/>
          <w:szCs w:val="20"/>
          <w:lang w:val="es-PE"/>
        </w:rPr>
        <w:t>.</w:t>
      </w:r>
      <w:r w:rsidR="0063685A" w:rsidRPr="009802DE">
        <w:rPr>
          <w:rFonts w:asciiTheme="majorHAnsi" w:hAnsiTheme="majorHAnsi" w:cs="Arial"/>
          <w:sz w:val="20"/>
          <w:szCs w:val="20"/>
          <w:lang w:val="es-PE"/>
        </w:rPr>
        <w:t>b de l</w:t>
      </w:r>
      <w:r w:rsidR="0063685A" w:rsidRPr="009802DE">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46(2)</w:t>
      </w:r>
      <w:r w:rsidR="0063685A" w:rsidRPr="009802DE">
        <w:rPr>
          <w:rFonts w:asciiTheme="majorHAnsi" w:hAnsiTheme="majorHAnsi"/>
          <w:sz w:val="20"/>
          <w:szCs w:val="20"/>
          <w:lang w:val="es-UY"/>
        </w:rPr>
        <w:t>(c)</w:t>
      </w:r>
      <w:r w:rsidR="0063685A" w:rsidRPr="009802DE">
        <w:rPr>
          <w:rFonts w:asciiTheme="majorHAnsi" w:hAnsiTheme="majorHAnsi"/>
          <w:sz w:val="20"/>
          <w:szCs w:val="20"/>
          <w:lang w:val="es-ES_tradnl"/>
        </w:rPr>
        <w:t xml:space="preserve"> de la Convención Americana.  Al respecto, el artículo 32</w:t>
      </w:r>
      <w:r>
        <w:rPr>
          <w:rFonts w:asciiTheme="majorHAnsi" w:hAnsiTheme="majorHAnsi"/>
          <w:sz w:val="20"/>
          <w:szCs w:val="20"/>
          <w:lang w:val="es-ES_tradnl"/>
        </w:rPr>
        <w:t>.</w:t>
      </w:r>
      <w:r w:rsidR="00996E8A" w:rsidRPr="009802DE">
        <w:rPr>
          <w:rFonts w:asciiTheme="majorHAnsi" w:hAnsiTheme="majorHAnsi"/>
          <w:sz w:val="20"/>
          <w:szCs w:val="20"/>
          <w:lang w:val="es-ES_tradnl"/>
        </w:rPr>
        <w:t>2</w:t>
      </w:r>
      <w:r w:rsidR="0063685A" w:rsidRPr="009802DE">
        <w:rPr>
          <w:rFonts w:asciiTheme="majorHAnsi" w:hAnsiTheme="majorHAnsi"/>
          <w:sz w:val="20"/>
          <w:szCs w:val="20"/>
          <w:lang w:val="es-ES_tradnl"/>
        </w:rPr>
        <w:t xml:space="preserve"> del Reglamento de la Comisión establece que en los casos en los cuales resulten aplicables las excepciones al previo agotamiento de los recursos internos, la petición deberá </w:t>
      </w:r>
      <w:r w:rsidR="0063685A" w:rsidRPr="007A5550">
        <w:rPr>
          <w:rFonts w:asciiTheme="majorHAnsi" w:hAnsiTheme="majorHAnsi"/>
          <w:sz w:val="20"/>
          <w:szCs w:val="20"/>
          <w:lang w:val="es-UY"/>
        </w:rPr>
        <w:t>presentarse</w:t>
      </w:r>
      <w:r w:rsidR="0063685A" w:rsidRPr="009802DE">
        <w:rPr>
          <w:rFonts w:asciiTheme="majorHAnsi" w:hAnsiTheme="majorHAnsi"/>
          <w:sz w:val="20"/>
          <w:szCs w:val="20"/>
          <w:lang w:val="es-ES_tradnl"/>
        </w:rPr>
        <w:t xml:space="preserve"> dentro de un plazo razonable, a criterio de la Comisión.  A tal efecto, la Comisión debe considerar la fecha en que haya ocurrido la presunta violación de los derechos y las circunstancias de cada caso.</w:t>
      </w:r>
    </w:p>
    <w:p w:rsidR="007539FB" w:rsidRPr="00FF19D3" w:rsidRDefault="007539FB" w:rsidP="007539FB">
      <w:pPr>
        <w:pStyle w:val="ListParagraph"/>
        <w:rPr>
          <w:rFonts w:asciiTheme="majorHAnsi" w:hAnsiTheme="majorHAnsi"/>
          <w:i/>
          <w:color w:val="auto"/>
          <w:sz w:val="20"/>
          <w:szCs w:val="20"/>
          <w:lang w:val="es-ES"/>
        </w:rPr>
      </w:pPr>
    </w:p>
    <w:p w:rsidR="007D286D" w:rsidRPr="00FF19D3" w:rsidRDefault="00F15DD3"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FF19D3">
        <w:rPr>
          <w:rFonts w:asciiTheme="majorHAnsi" w:hAnsiTheme="majorHAnsi"/>
          <w:sz w:val="20"/>
          <w:szCs w:val="20"/>
          <w:lang w:val="es-AR"/>
        </w:rPr>
        <w:lastRenderedPageBreak/>
        <w:t xml:space="preserve">En el caso bajo análisis, la CIDH ha establecido la aplicación de la excepción al agotamiento de los recursos internos prevista en el artículo </w:t>
      </w:r>
      <w:r w:rsidR="00F2241E" w:rsidRPr="00FF19D3">
        <w:rPr>
          <w:rFonts w:asciiTheme="majorHAnsi" w:hAnsiTheme="majorHAnsi"/>
          <w:sz w:val="20"/>
          <w:szCs w:val="20"/>
          <w:lang w:val="es-ES_tradnl"/>
        </w:rPr>
        <w:t>46</w:t>
      </w:r>
      <w:r w:rsidR="007468FC">
        <w:rPr>
          <w:rFonts w:asciiTheme="majorHAnsi" w:hAnsiTheme="majorHAnsi"/>
          <w:sz w:val="20"/>
          <w:szCs w:val="20"/>
          <w:lang w:val="es-ES_tradnl"/>
        </w:rPr>
        <w:t>.</w:t>
      </w:r>
      <w:r w:rsidR="00F2241E" w:rsidRPr="00FF19D3">
        <w:rPr>
          <w:rFonts w:asciiTheme="majorHAnsi" w:hAnsiTheme="majorHAnsi"/>
          <w:sz w:val="20"/>
          <w:szCs w:val="20"/>
          <w:lang w:val="es-ES_tradnl"/>
        </w:rPr>
        <w:t>2</w:t>
      </w:r>
      <w:r w:rsidR="007468FC">
        <w:rPr>
          <w:rFonts w:asciiTheme="majorHAnsi" w:hAnsiTheme="majorHAnsi"/>
          <w:sz w:val="20"/>
          <w:szCs w:val="20"/>
          <w:lang w:val="es-ES_tradnl"/>
        </w:rPr>
        <w:t>.</w:t>
      </w:r>
      <w:r w:rsidR="00F2241E" w:rsidRPr="00FF19D3">
        <w:rPr>
          <w:rFonts w:asciiTheme="majorHAnsi" w:hAnsiTheme="majorHAnsi"/>
          <w:sz w:val="20"/>
          <w:szCs w:val="20"/>
          <w:lang w:val="es-UY"/>
        </w:rPr>
        <w:t>c</w:t>
      </w:r>
      <w:r w:rsidR="00F2241E" w:rsidRPr="00FF19D3">
        <w:rPr>
          <w:rFonts w:asciiTheme="majorHAnsi" w:hAnsiTheme="majorHAnsi"/>
          <w:sz w:val="20"/>
          <w:szCs w:val="20"/>
          <w:lang w:val="es-ES_tradnl"/>
        </w:rPr>
        <w:t xml:space="preserve"> </w:t>
      </w:r>
      <w:r w:rsidRPr="00FF19D3">
        <w:rPr>
          <w:rFonts w:asciiTheme="majorHAnsi" w:hAnsiTheme="majorHAnsi"/>
          <w:sz w:val="20"/>
          <w:szCs w:val="20"/>
          <w:lang w:val="es-AR"/>
        </w:rPr>
        <w:t>de la Convención Americana</w:t>
      </w:r>
      <w:r w:rsidR="00990BDE">
        <w:rPr>
          <w:rFonts w:asciiTheme="majorHAnsi" w:hAnsiTheme="majorHAnsi"/>
          <w:sz w:val="20"/>
          <w:szCs w:val="20"/>
          <w:lang w:val="es-AR"/>
        </w:rPr>
        <w:t xml:space="preserve"> relativa a los alegatos concernientes a Verónica J. Palacios</w:t>
      </w:r>
      <w:r w:rsidRPr="00FF19D3">
        <w:rPr>
          <w:rFonts w:asciiTheme="majorHAnsi" w:hAnsiTheme="majorHAnsi"/>
          <w:sz w:val="20"/>
          <w:szCs w:val="20"/>
          <w:lang w:val="es-AR"/>
        </w:rPr>
        <w:t xml:space="preserve">. </w:t>
      </w:r>
      <w:r w:rsidR="00365D51" w:rsidRPr="00FF19D3">
        <w:rPr>
          <w:rFonts w:asciiTheme="majorHAnsi" w:hAnsiTheme="majorHAnsi" w:cs="Cambria"/>
          <w:sz w:val="20"/>
          <w:szCs w:val="20"/>
          <w:lang w:val="es-ES" w:eastAsia="es-ES"/>
        </w:rPr>
        <w:t xml:space="preserve"> </w:t>
      </w:r>
      <w:r w:rsidR="007D286D" w:rsidRPr="00FF19D3">
        <w:rPr>
          <w:rFonts w:asciiTheme="majorHAnsi" w:hAnsiTheme="majorHAnsi"/>
          <w:sz w:val="20"/>
          <w:szCs w:val="20"/>
          <w:lang w:val="es-AR"/>
        </w:rPr>
        <w:t xml:space="preserve">La petición ante la CIDH fue recibida el </w:t>
      </w:r>
      <w:r w:rsidR="009802DE" w:rsidRPr="00FF19D3">
        <w:rPr>
          <w:rFonts w:asciiTheme="majorHAnsi" w:hAnsiTheme="majorHAnsi"/>
          <w:sz w:val="20"/>
          <w:szCs w:val="20"/>
          <w:lang w:val="es-AR"/>
        </w:rPr>
        <w:t>6 de enero de 2009</w:t>
      </w:r>
      <w:r w:rsidR="007D286D" w:rsidRPr="00FF19D3">
        <w:rPr>
          <w:rFonts w:asciiTheme="majorHAnsi" w:hAnsiTheme="majorHAnsi"/>
          <w:sz w:val="20"/>
          <w:szCs w:val="20"/>
          <w:lang w:val="es-AR"/>
        </w:rPr>
        <w:t xml:space="preserve"> y los </w:t>
      </w:r>
      <w:r w:rsidR="007D286D" w:rsidRPr="00FF19D3">
        <w:rPr>
          <w:rFonts w:asciiTheme="majorHAnsi" w:hAnsiTheme="majorHAnsi"/>
          <w:sz w:val="20"/>
          <w:szCs w:val="20"/>
          <w:lang w:val="es-UY"/>
        </w:rPr>
        <w:t>presuntos</w:t>
      </w:r>
      <w:r w:rsidR="007D286D" w:rsidRPr="00FF19D3">
        <w:rPr>
          <w:rFonts w:asciiTheme="majorHAnsi" w:hAnsiTheme="majorHAnsi"/>
          <w:sz w:val="20"/>
          <w:szCs w:val="20"/>
          <w:lang w:val="es-AR"/>
        </w:rPr>
        <w:t xml:space="preserve"> hechos materia del reclamo tuvieron lugar </w:t>
      </w:r>
      <w:r w:rsidR="009802DE" w:rsidRPr="00FF19D3">
        <w:rPr>
          <w:rFonts w:asciiTheme="majorHAnsi" w:hAnsiTheme="majorHAnsi"/>
          <w:sz w:val="20"/>
          <w:szCs w:val="20"/>
          <w:lang w:val="es-AR"/>
        </w:rPr>
        <w:t xml:space="preserve">a partir del </w:t>
      </w:r>
      <w:r w:rsidR="00CA0BDC" w:rsidRPr="00FF19D3">
        <w:rPr>
          <w:rFonts w:asciiTheme="majorHAnsi" w:hAnsiTheme="majorHAnsi"/>
          <w:sz w:val="20"/>
          <w:szCs w:val="20"/>
          <w:lang w:val="es-AR"/>
        </w:rPr>
        <w:t xml:space="preserve">22 de junio de 2005 </w:t>
      </w:r>
      <w:r w:rsidR="007D286D" w:rsidRPr="00FF19D3">
        <w:rPr>
          <w:rFonts w:asciiTheme="majorHAnsi" w:hAnsiTheme="majorHAnsi"/>
          <w:sz w:val="20"/>
          <w:szCs w:val="20"/>
          <w:lang w:val="es-AR"/>
        </w:rPr>
        <w:t>y sus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007D286D" w:rsidRPr="00FF19D3">
        <w:rPr>
          <w:rFonts w:asciiTheme="majorHAnsi" w:hAnsiTheme="majorHAnsi"/>
          <w:bCs/>
          <w:sz w:val="20"/>
          <w:szCs w:val="20"/>
          <w:lang w:val="es-ES"/>
        </w:rPr>
        <w:t>.</w:t>
      </w:r>
      <w:r w:rsidR="00BA5AE7" w:rsidRPr="00FF19D3">
        <w:rPr>
          <w:rFonts w:asciiTheme="majorHAnsi" w:hAnsiTheme="majorHAnsi"/>
          <w:bCs/>
          <w:sz w:val="20"/>
          <w:szCs w:val="20"/>
          <w:lang w:val="es-ES"/>
        </w:rPr>
        <w:t xml:space="preserve"> Con respecto al reclamo relativo a la destitución del peticionario como Coronel del Ejército, la Comisión determinó que los recursos se agotaron con la decisión de la Corte de Constitucionalidad del 10 de diciembre de 2013, la cual, con se observa fue emitida con posterioridad a la presentación de la petición ante la CIDH.</w:t>
      </w:r>
    </w:p>
    <w:p w:rsidR="0063685A" w:rsidRPr="00CC6E48" w:rsidRDefault="0063685A" w:rsidP="0063685A">
      <w:pPr>
        <w:ind w:firstLine="720"/>
        <w:jc w:val="both"/>
        <w:rPr>
          <w:rFonts w:asciiTheme="majorHAnsi" w:hAnsiTheme="majorHAnsi"/>
          <w:b/>
          <w:bCs/>
          <w:sz w:val="20"/>
          <w:szCs w:val="20"/>
          <w:lang w:val="es-ES"/>
        </w:rPr>
      </w:pPr>
    </w:p>
    <w:p w:rsidR="0063685A" w:rsidRPr="0063685A" w:rsidRDefault="0063685A" w:rsidP="0063685A">
      <w:pPr>
        <w:ind w:left="720"/>
        <w:jc w:val="both"/>
        <w:rPr>
          <w:rFonts w:asciiTheme="majorHAnsi" w:hAnsiTheme="majorHAnsi"/>
          <w:b/>
          <w:bCs/>
          <w:sz w:val="20"/>
          <w:szCs w:val="20"/>
          <w:lang w:val="es-UY"/>
        </w:rPr>
      </w:pPr>
      <w:r w:rsidRPr="0063685A">
        <w:rPr>
          <w:rFonts w:asciiTheme="majorHAnsi" w:hAnsiTheme="majorHAnsi"/>
          <w:b/>
          <w:bCs/>
          <w:sz w:val="20"/>
          <w:szCs w:val="20"/>
          <w:lang w:val="es-UY"/>
        </w:rPr>
        <w:t>3.</w:t>
      </w:r>
      <w:r w:rsidRPr="0063685A">
        <w:rPr>
          <w:rFonts w:asciiTheme="majorHAnsi" w:hAnsiTheme="majorHAnsi"/>
          <w:b/>
          <w:bCs/>
          <w:sz w:val="20"/>
          <w:szCs w:val="20"/>
          <w:lang w:val="es-UY"/>
        </w:rPr>
        <w:tab/>
        <w:t>Duplicación de procedimientos y cosa juzgada</w:t>
      </w:r>
      <w:r w:rsidRPr="0063685A">
        <w:rPr>
          <w:rFonts w:asciiTheme="majorHAnsi" w:hAnsiTheme="majorHAnsi"/>
          <w:b/>
          <w:bCs/>
          <w:i/>
          <w:sz w:val="20"/>
          <w:szCs w:val="20"/>
          <w:lang w:val="es-UY"/>
        </w:rPr>
        <w:t xml:space="preserve"> </w:t>
      </w:r>
      <w:r w:rsidRPr="0063685A">
        <w:rPr>
          <w:rFonts w:asciiTheme="majorHAnsi" w:hAnsiTheme="majorHAnsi"/>
          <w:b/>
          <w:bCs/>
          <w:sz w:val="20"/>
          <w:szCs w:val="20"/>
          <w:lang w:val="es-UY"/>
        </w:rPr>
        <w:t>internacional</w:t>
      </w:r>
    </w:p>
    <w:p w:rsidR="0063685A" w:rsidRPr="0063685A" w:rsidRDefault="0063685A" w:rsidP="0063685A">
      <w:pPr>
        <w:jc w:val="both"/>
        <w:rPr>
          <w:rFonts w:asciiTheme="majorHAnsi" w:hAnsiTheme="majorHAnsi"/>
          <w:sz w:val="20"/>
          <w:szCs w:val="20"/>
          <w:lang w:val="es-UY"/>
        </w:rPr>
      </w:pPr>
    </w:p>
    <w:p w:rsidR="0063685A" w:rsidRPr="0063685A" w:rsidRDefault="0063685A"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63685A">
        <w:rPr>
          <w:rFonts w:asciiTheme="majorHAnsi" w:hAnsiTheme="majorHAnsi"/>
          <w:sz w:val="20"/>
          <w:szCs w:val="20"/>
          <w:lang w:val="es-UY"/>
        </w:rPr>
        <w:t>No surge del expediente que la materia de la petición se encuentre pendiente de otro procedimiento de arreglo internacional, ni que reproduzca una petición ya examinada por éste u otro órgano internacional. Por lo tanto, corresponde dar por cumplidos los requisitos e</w:t>
      </w:r>
      <w:r w:rsidR="007468FC">
        <w:rPr>
          <w:rFonts w:asciiTheme="majorHAnsi" w:hAnsiTheme="majorHAnsi"/>
          <w:sz w:val="20"/>
          <w:szCs w:val="20"/>
          <w:lang w:val="es-UY"/>
        </w:rPr>
        <w:t>stablecidos en los artículos 46.</w:t>
      </w:r>
      <w:r w:rsidRPr="0063685A">
        <w:rPr>
          <w:rFonts w:asciiTheme="majorHAnsi" w:hAnsiTheme="majorHAnsi"/>
          <w:sz w:val="20"/>
          <w:szCs w:val="20"/>
          <w:lang w:val="es-UY"/>
        </w:rPr>
        <w:t>1</w:t>
      </w:r>
      <w:r w:rsidR="007468FC">
        <w:rPr>
          <w:rFonts w:asciiTheme="majorHAnsi" w:hAnsiTheme="majorHAnsi"/>
          <w:sz w:val="20"/>
          <w:szCs w:val="20"/>
          <w:lang w:val="es-UY"/>
        </w:rPr>
        <w:t>.</w:t>
      </w:r>
      <w:r w:rsidRPr="0063685A">
        <w:rPr>
          <w:rFonts w:asciiTheme="majorHAnsi" w:hAnsiTheme="majorHAnsi"/>
          <w:sz w:val="20"/>
          <w:szCs w:val="20"/>
          <w:lang w:val="es-UY"/>
        </w:rPr>
        <w:t>c</w:t>
      </w:r>
      <w:r w:rsidR="007468FC">
        <w:rPr>
          <w:rFonts w:asciiTheme="majorHAnsi" w:hAnsiTheme="majorHAnsi"/>
          <w:sz w:val="20"/>
          <w:szCs w:val="20"/>
          <w:lang w:val="es-UY"/>
        </w:rPr>
        <w:t xml:space="preserve"> y 47.</w:t>
      </w:r>
      <w:r w:rsidRPr="0063685A">
        <w:rPr>
          <w:rFonts w:asciiTheme="majorHAnsi" w:hAnsiTheme="majorHAnsi"/>
          <w:sz w:val="20"/>
          <w:szCs w:val="20"/>
          <w:lang w:val="es-UY"/>
        </w:rPr>
        <w:t>d de la Convención.</w:t>
      </w:r>
    </w:p>
    <w:p w:rsidR="0063685A" w:rsidRPr="0063685A" w:rsidRDefault="0063685A" w:rsidP="0063685A">
      <w:pPr>
        <w:jc w:val="both"/>
        <w:rPr>
          <w:rFonts w:asciiTheme="majorHAnsi" w:hAnsiTheme="majorHAnsi"/>
          <w:sz w:val="20"/>
          <w:szCs w:val="20"/>
          <w:lang w:val="es-UY"/>
        </w:rPr>
      </w:pPr>
    </w:p>
    <w:p w:rsidR="0063685A" w:rsidRPr="0063685A" w:rsidRDefault="0063685A" w:rsidP="0063685A">
      <w:pPr>
        <w:ind w:left="720"/>
        <w:jc w:val="both"/>
        <w:rPr>
          <w:rFonts w:asciiTheme="majorHAnsi" w:hAnsiTheme="majorHAnsi"/>
          <w:b/>
          <w:bCs/>
          <w:sz w:val="20"/>
          <w:szCs w:val="20"/>
          <w:lang w:val="es-UY"/>
        </w:rPr>
      </w:pPr>
      <w:r w:rsidRPr="0063685A">
        <w:rPr>
          <w:rFonts w:asciiTheme="majorHAnsi" w:hAnsiTheme="majorHAnsi"/>
          <w:b/>
          <w:bCs/>
          <w:sz w:val="20"/>
          <w:szCs w:val="20"/>
          <w:lang w:val="es-UY"/>
        </w:rPr>
        <w:t>4.</w:t>
      </w:r>
      <w:r w:rsidRPr="0063685A">
        <w:rPr>
          <w:rFonts w:asciiTheme="majorHAnsi" w:hAnsiTheme="majorHAnsi"/>
          <w:b/>
          <w:bCs/>
          <w:sz w:val="20"/>
          <w:szCs w:val="20"/>
          <w:lang w:val="es-UY"/>
        </w:rPr>
        <w:tab/>
        <w:t>Caracterización de los hechos alegados</w:t>
      </w:r>
    </w:p>
    <w:p w:rsidR="0063685A" w:rsidRPr="0063685A" w:rsidRDefault="0063685A" w:rsidP="0063685A">
      <w:pPr>
        <w:jc w:val="both"/>
        <w:rPr>
          <w:rFonts w:asciiTheme="majorHAnsi" w:hAnsiTheme="majorHAnsi"/>
          <w:sz w:val="20"/>
          <w:szCs w:val="20"/>
          <w:lang w:val="es-UY"/>
        </w:rPr>
      </w:pPr>
    </w:p>
    <w:p w:rsidR="009F0B9A" w:rsidRDefault="0063685A"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63685A">
        <w:rPr>
          <w:rFonts w:asciiTheme="majorHAnsi" w:hAnsiTheme="majorHAnsi"/>
          <w:sz w:val="20"/>
          <w:szCs w:val="20"/>
          <w:lang w:val="es-UY"/>
        </w:rPr>
        <w:t>A los efectos de la admisibilidad, la Comisión debe decidir si los hechos alegados pueden caracterizar una violación de derechos, según lo estipulado en el artículo 47</w:t>
      </w:r>
      <w:r w:rsidR="007468FC">
        <w:rPr>
          <w:rFonts w:asciiTheme="majorHAnsi" w:hAnsiTheme="majorHAnsi"/>
          <w:sz w:val="20"/>
          <w:szCs w:val="20"/>
          <w:lang w:val="es-UY"/>
        </w:rPr>
        <w:t>.</w:t>
      </w:r>
      <w:r w:rsidRPr="0063685A">
        <w:rPr>
          <w:rFonts w:asciiTheme="majorHAnsi" w:hAnsiTheme="majorHAnsi"/>
          <w:sz w:val="20"/>
          <w:szCs w:val="20"/>
          <w:lang w:val="es-UY"/>
        </w:rPr>
        <w:t xml:space="preserve">b de la Convención Americana, o si la petición es "manifiestamente infundada" o es "evidente su total improcedencia", conforme al inciso (c) de dicho artículo.  El criterio para analizar la admisibilidad difiere del utilizado para el análisis del fondo de la petición dado que la Comisión sólo realiza un análisis </w:t>
      </w:r>
      <w:r w:rsidRPr="0063685A">
        <w:rPr>
          <w:rFonts w:asciiTheme="majorHAnsi" w:hAnsiTheme="majorHAnsi"/>
          <w:i/>
          <w:sz w:val="20"/>
          <w:szCs w:val="20"/>
          <w:lang w:val="es-UY"/>
        </w:rPr>
        <w:t>prima facie</w:t>
      </w:r>
      <w:r w:rsidRPr="0063685A">
        <w:rPr>
          <w:rFonts w:asciiTheme="majorHAnsi" w:hAnsiTheme="majorHAnsi"/>
          <w:sz w:val="20"/>
          <w:szCs w:val="20"/>
          <w:lang w:val="es-UY"/>
        </w:rPr>
        <w:t xml:space="preserve"> para determinar si los peticionarios establecen la aparente o posible violación de un derecho garantizado por la </w:t>
      </w:r>
      <w:r w:rsidR="00847102">
        <w:rPr>
          <w:rFonts w:asciiTheme="majorHAnsi" w:hAnsiTheme="majorHAnsi"/>
          <w:sz w:val="20"/>
          <w:szCs w:val="20"/>
          <w:lang w:val="es-UY"/>
        </w:rPr>
        <w:t>Convención Americana</w:t>
      </w:r>
      <w:r w:rsidRPr="0063685A">
        <w:rPr>
          <w:rFonts w:asciiTheme="majorHAnsi" w:hAnsiTheme="majorHAnsi"/>
          <w:sz w:val="20"/>
          <w:szCs w:val="20"/>
          <w:lang w:val="es-UY"/>
        </w:rPr>
        <w:t>. Se trata de un análisis somero que no implica prejuzgar o emitir una opinión preliminar sobre el fondo del asunto.</w:t>
      </w:r>
    </w:p>
    <w:p w:rsidR="009F0B9A" w:rsidRDefault="009F0B9A" w:rsidP="009F0B9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9F0B9A" w:rsidRPr="009F0B9A" w:rsidRDefault="009F0B9A"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9F0B9A">
        <w:rPr>
          <w:rFonts w:asciiTheme="majorHAnsi" w:hAnsiTheme="majorHAnsi"/>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63685A" w:rsidRPr="009F0B9A" w:rsidRDefault="0063685A" w:rsidP="0063685A">
      <w:pPr>
        <w:pStyle w:val="BodyText"/>
        <w:suppressAutoHyphens/>
        <w:spacing w:after="0"/>
        <w:jc w:val="both"/>
        <w:rPr>
          <w:rFonts w:asciiTheme="majorHAnsi" w:eastAsia="SimSun" w:hAnsiTheme="majorHAnsi"/>
          <w:sz w:val="20"/>
          <w:szCs w:val="20"/>
          <w:lang w:val="es-ES"/>
        </w:rPr>
      </w:pPr>
    </w:p>
    <w:p w:rsidR="0063685A" w:rsidRPr="0063685A" w:rsidRDefault="0063685A"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SimSun" w:hAnsiTheme="majorHAnsi"/>
          <w:sz w:val="20"/>
          <w:szCs w:val="20"/>
          <w:lang w:val="es-UY"/>
        </w:rPr>
      </w:pPr>
      <w:r w:rsidRPr="0063685A">
        <w:rPr>
          <w:rFonts w:asciiTheme="majorHAnsi" w:eastAsia="SimSun" w:hAnsiTheme="majorHAnsi"/>
          <w:sz w:val="20"/>
          <w:szCs w:val="20"/>
          <w:lang w:val="es-UY"/>
        </w:rPr>
        <w:t>El</w:t>
      </w:r>
      <w:r w:rsidRPr="007E1669">
        <w:rPr>
          <w:rFonts w:asciiTheme="majorHAnsi" w:eastAsia="SimSun" w:hAnsiTheme="majorHAnsi"/>
          <w:color w:val="FF0000"/>
          <w:sz w:val="20"/>
          <w:szCs w:val="20"/>
          <w:lang w:val="es-UY"/>
        </w:rPr>
        <w:t xml:space="preserve"> </w:t>
      </w:r>
      <w:r w:rsidRPr="0063685A">
        <w:rPr>
          <w:rFonts w:asciiTheme="majorHAnsi" w:eastAsia="SimSun" w:hAnsiTheme="majorHAnsi"/>
          <w:sz w:val="20"/>
          <w:szCs w:val="20"/>
          <w:lang w:val="es-UY"/>
        </w:rPr>
        <w:t xml:space="preserve">peticionario sostiene </w:t>
      </w:r>
      <w:r w:rsidR="00CA0BDC">
        <w:rPr>
          <w:rFonts w:asciiTheme="majorHAnsi" w:eastAsia="SimSun" w:hAnsiTheme="majorHAnsi"/>
          <w:sz w:val="20"/>
          <w:szCs w:val="20"/>
          <w:lang w:val="es-UY"/>
        </w:rPr>
        <w:t xml:space="preserve">en esencia, que su hija Verónica J. </w:t>
      </w:r>
      <w:r w:rsidR="008F6808">
        <w:rPr>
          <w:rFonts w:asciiTheme="majorHAnsi" w:eastAsia="SimSun" w:hAnsiTheme="majorHAnsi"/>
          <w:sz w:val="20"/>
          <w:szCs w:val="20"/>
          <w:lang w:val="es-UY"/>
        </w:rPr>
        <w:t xml:space="preserve">Palacios V., una niña con discapacidad </w:t>
      </w:r>
      <w:r w:rsidR="003C764C">
        <w:rPr>
          <w:rFonts w:asciiTheme="majorHAnsi" w:eastAsia="SimSun" w:hAnsiTheme="majorHAnsi"/>
          <w:sz w:val="20"/>
          <w:szCs w:val="20"/>
          <w:lang w:val="es-UY"/>
        </w:rPr>
        <w:t xml:space="preserve">física y </w:t>
      </w:r>
      <w:r w:rsidR="008F6808">
        <w:rPr>
          <w:rFonts w:asciiTheme="majorHAnsi" w:eastAsia="SimSun" w:hAnsiTheme="majorHAnsi"/>
          <w:sz w:val="20"/>
          <w:szCs w:val="20"/>
          <w:lang w:val="es-UY"/>
        </w:rPr>
        <w:t>mental, fue sustraída de las inmediaciones de su hogar</w:t>
      </w:r>
      <w:r w:rsidR="009F5852">
        <w:rPr>
          <w:rFonts w:asciiTheme="majorHAnsi" w:eastAsia="SimSun" w:hAnsiTheme="majorHAnsi"/>
          <w:sz w:val="20"/>
          <w:szCs w:val="20"/>
          <w:lang w:val="es-UY"/>
        </w:rPr>
        <w:t>, mantenida en cautiverio por aproximadamente 48 horas y brutalmente asesinada</w:t>
      </w:r>
      <w:r w:rsidR="008F6808">
        <w:rPr>
          <w:rFonts w:asciiTheme="majorHAnsi" w:eastAsia="SimSun" w:hAnsiTheme="majorHAnsi"/>
          <w:sz w:val="20"/>
          <w:szCs w:val="20"/>
          <w:lang w:val="es-UY"/>
        </w:rPr>
        <w:t xml:space="preserve"> por agentes estatales y por personas que actuaron en complicidad con éstos</w:t>
      </w:r>
      <w:r w:rsidR="003C764C">
        <w:rPr>
          <w:rFonts w:asciiTheme="majorHAnsi" w:eastAsia="SimSun" w:hAnsiTheme="majorHAnsi"/>
          <w:sz w:val="20"/>
          <w:szCs w:val="20"/>
          <w:lang w:val="es-UY"/>
        </w:rPr>
        <w:t xml:space="preserve">. </w:t>
      </w:r>
      <w:r w:rsidR="008F6808">
        <w:rPr>
          <w:rFonts w:asciiTheme="majorHAnsi" w:eastAsia="SimSun" w:hAnsiTheme="majorHAnsi"/>
          <w:sz w:val="20"/>
          <w:szCs w:val="20"/>
          <w:lang w:val="es-UY"/>
        </w:rPr>
        <w:t xml:space="preserve">Aduce además que </w:t>
      </w:r>
      <w:r w:rsidR="00517690">
        <w:rPr>
          <w:rFonts w:asciiTheme="majorHAnsi" w:eastAsia="SimSun" w:hAnsiTheme="majorHAnsi"/>
          <w:sz w:val="20"/>
          <w:szCs w:val="20"/>
          <w:lang w:val="es-UY"/>
        </w:rPr>
        <w:t xml:space="preserve">se ha violado el derecho de sus familiares directos al acceso a la justicia, y que los hechos denunciados permanecen hasta hoy impunes. Y que tanto él, como su familia han sido blanco de </w:t>
      </w:r>
      <w:r w:rsidR="00517690" w:rsidRPr="007A5550">
        <w:rPr>
          <w:rFonts w:asciiTheme="majorHAnsi" w:hAnsiTheme="majorHAnsi"/>
          <w:sz w:val="20"/>
          <w:szCs w:val="20"/>
          <w:lang w:val="es-UY"/>
        </w:rPr>
        <w:t>diversas</w:t>
      </w:r>
      <w:r w:rsidR="00517690">
        <w:rPr>
          <w:rFonts w:asciiTheme="majorHAnsi" w:eastAsia="SimSun" w:hAnsiTheme="majorHAnsi"/>
          <w:sz w:val="20"/>
          <w:szCs w:val="20"/>
          <w:lang w:val="es-UY"/>
        </w:rPr>
        <w:t xml:space="preserve"> formas de intimidación y represalia</w:t>
      </w:r>
      <w:r w:rsidR="00AB4ECB">
        <w:rPr>
          <w:rFonts w:asciiTheme="majorHAnsi" w:eastAsia="SimSun" w:hAnsiTheme="majorHAnsi"/>
          <w:sz w:val="20"/>
          <w:szCs w:val="20"/>
          <w:lang w:val="es-UY"/>
        </w:rPr>
        <w:t xml:space="preserve"> por parte de agentes del Estado y personas vinculadas a éste </w:t>
      </w:r>
      <w:r w:rsidR="00517690">
        <w:rPr>
          <w:rFonts w:asciiTheme="majorHAnsi" w:eastAsia="SimSun" w:hAnsiTheme="majorHAnsi"/>
          <w:sz w:val="20"/>
          <w:szCs w:val="20"/>
          <w:lang w:val="es-UY"/>
        </w:rPr>
        <w:t xml:space="preserve"> por su actividad como partes querellantes en el proceso penal interno, y en la petición ante la CIDH. </w:t>
      </w:r>
      <w:r w:rsidRPr="0063685A">
        <w:rPr>
          <w:rFonts w:asciiTheme="majorHAnsi" w:eastAsia="SimSun" w:hAnsiTheme="majorHAnsi"/>
          <w:sz w:val="20"/>
          <w:szCs w:val="20"/>
          <w:lang w:val="es-UY"/>
        </w:rPr>
        <w:t>A su vez</w:t>
      </w:r>
      <w:r w:rsidR="00517690">
        <w:rPr>
          <w:rFonts w:asciiTheme="majorHAnsi" w:eastAsia="SimSun" w:hAnsiTheme="majorHAnsi"/>
          <w:sz w:val="20"/>
          <w:szCs w:val="20"/>
          <w:lang w:val="es-UY"/>
        </w:rPr>
        <w:t>,</w:t>
      </w:r>
      <w:r w:rsidRPr="0063685A">
        <w:rPr>
          <w:rFonts w:asciiTheme="majorHAnsi" w:eastAsia="SimSun" w:hAnsiTheme="majorHAnsi"/>
          <w:sz w:val="20"/>
          <w:szCs w:val="20"/>
          <w:lang w:val="es-UY"/>
        </w:rPr>
        <w:t xml:space="preserve"> el Estado manifiesta que </w:t>
      </w:r>
      <w:r w:rsidR="00517690">
        <w:rPr>
          <w:rFonts w:asciiTheme="majorHAnsi" w:eastAsia="SimSun" w:hAnsiTheme="majorHAnsi"/>
          <w:sz w:val="20"/>
          <w:szCs w:val="20"/>
          <w:lang w:val="es-UY"/>
        </w:rPr>
        <w:t>ha cumplido con su deber de investigar los hechos denunciados, y que no puede considerarse internacionalmente responsable por la muerte de la presunta víctima, ni por la falta de individualización, y consiguiente sanción, de los posibles responsables</w:t>
      </w:r>
      <w:r w:rsidRPr="0063685A">
        <w:rPr>
          <w:rFonts w:asciiTheme="majorHAnsi" w:eastAsia="SimSun" w:hAnsiTheme="majorHAnsi"/>
          <w:sz w:val="20"/>
          <w:szCs w:val="20"/>
          <w:lang w:val="es-UY"/>
        </w:rPr>
        <w:t>.</w:t>
      </w:r>
    </w:p>
    <w:p w:rsidR="0063685A" w:rsidRPr="0063685A" w:rsidRDefault="0063685A" w:rsidP="0063685A">
      <w:pPr>
        <w:pStyle w:val="BodyText"/>
        <w:suppressAutoHyphens/>
        <w:spacing w:after="0"/>
        <w:jc w:val="both"/>
        <w:rPr>
          <w:rFonts w:asciiTheme="majorHAnsi" w:eastAsia="SimSun" w:hAnsiTheme="majorHAnsi"/>
          <w:sz w:val="20"/>
          <w:szCs w:val="20"/>
          <w:lang w:val="es-UY"/>
        </w:rPr>
      </w:pPr>
    </w:p>
    <w:p w:rsidR="00473D46" w:rsidRPr="00473D46" w:rsidRDefault="007E1669"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473D46">
        <w:rPr>
          <w:rFonts w:asciiTheme="majorHAnsi" w:hAnsiTheme="majorHAnsi"/>
          <w:sz w:val="20"/>
          <w:szCs w:val="20"/>
          <w:lang w:val="es-AR"/>
        </w:rPr>
        <w:t>En vista de los elementos de hecho y de derecho presentados por las partes</w:t>
      </w:r>
      <w:r w:rsidR="00517690" w:rsidRPr="00473D46">
        <w:rPr>
          <w:rFonts w:asciiTheme="majorHAnsi" w:hAnsiTheme="majorHAnsi"/>
          <w:sz w:val="20"/>
          <w:szCs w:val="20"/>
          <w:lang w:val="es-AR"/>
        </w:rPr>
        <w:t xml:space="preserve"> </w:t>
      </w:r>
      <w:r w:rsidRPr="00473D46">
        <w:rPr>
          <w:rFonts w:asciiTheme="majorHAnsi" w:hAnsiTheme="majorHAnsi"/>
          <w:sz w:val="20"/>
          <w:szCs w:val="20"/>
          <w:lang w:val="es-AR"/>
        </w:rPr>
        <w:t xml:space="preserve">y la naturaleza del asunto puesto bajo su conocimiento, la CIDH considera que, de ser probados, los hechos alegados podrían caracterizar posibles violaciones a los derechos protegidos en los artículos </w:t>
      </w:r>
      <w:r w:rsidR="00517690" w:rsidRPr="00473D46">
        <w:rPr>
          <w:rFonts w:asciiTheme="majorHAnsi" w:hAnsiTheme="majorHAnsi"/>
          <w:sz w:val="20"/>
          <w:szCs w:val="20"/>
          <w:lang w:val="es-AR"/>
        </w:rPr>
        <w:t xml:space="preserve">4, 5 y 7 </w:t>
      </w:r>
      <w:r w:rsidRPr="00473D46">
        <w:rPr>
          <w:rFonts w:asciiTheme="majorHAnsi" w:hAnsiTheme="majorHAnsi"/>
          <w:sz w:val="20"/>
          <w:szCs w:val="20"/>
          <w:lang w:val="es-AR"/>
        </w:rPr>
        <w:t xml:space="preserve">de la Convención Americana, en concordancia con el artículo </w:t>
      </w:r>
      <w:r w:rsidR="00517690" w:rsidRPr="00473D46">
        <w:rPr>
          <w:rFonts w:asciiTheme="majorHAnsi" w:hAnsiTheme="majorHAnsi"/>
          <w:sz w:val="20"/>
          <w:szCs w:val="20"/>
          <w:lang w:val="es-AR"/>
        </w:rPr>
        <w:t>1.1</w:t>
      </w:r>
      <w:r w:rsidRPr="00473D46">
        <w:rPr>
          <w:rFonts w:asciiTheme="majorHAnsi" w:hAnsiTheme="majorHAnsi"/>
          <w:sz w:val="20"/>
          <w:szCs w:val="20"/>
          <w:lang w:val="es-AR"/>
        </w:rPr>
        <w:t xml:space="preserve"> de dicho tratado</w:t>
      </w:r>
      <w:r w:rsidR="00517690" w:rsidRPr="00473D46">
        <w:rPr>
          <w:rFonts w:asciiTheme="majorHAnsi" w:hAnsiTheme="majorHAnsi"/>
          <w:sz w:val="20"/>
          <w:szCs w:val="20"/>
          <w:lang w:val="es-AR"/>
        </w:rPr>
        <w:t xml:space="preserve"> en perjuicio de Verónica J. Palacios V.</w:t>
      </w:r>
      <w:r w:rsidR="009F5852" w:rsidRPr="00473D46">
        <w:rPr>
          <w:rFonts w:asciiTheme="majorHAnsi" w:hAnsiTheme="majorHAnsi"/>
          <w:sz w:val="20"/>
          <w:szCs w:val="20"/>
          <w:lang w:val="es-AR"/>
        </w:rPr>
        <w:t xml:space="preserve"> Además, de los artículos 5, </w:t>
      </w:r>
      <w:r w:rsidR="00473D46" w:rsidRPr="00473D46">
        <w:rPr>
          <w:rFonts w:asciiTheme="majorHAnsi" w:hAnsiTheme="majorHAnsi"/>
          <w:sz w:val="20"/>
          <w:szCs w:val="20"/>
          <w:lang w:val="es-AR"/>
        </w:rPr>
        <w:t>8,</w:t>
      </w:r>
      <w:r w:rsidR="009F5852" w:rsidRPr="00473D46">
        <w:rPr>
          <w:rFonts w:asciiTheme="majorHAnsi" w:hAnsiTheme="majorHAnsi"/>
          <w:sz w:val="20"/>
          <w:szCs w:val="20"/>
          <w:lang w:val="es-AR"/>
        </w:rPr>
        <w:t xml:space="preserve"> </w:t>
      </w:r>
      <w:r w:rsidR="009F5852" w:rsidRPr="007A5550">
        <w:rPr>
          <w:rFonts w:asciiTheme="majorHAnsi" w:hAnsiTheme="majorHAnsi"/>
          <w:sz w:val="20"/>
          <w:szCs w:val="20"/>
          <w:lang w:val="es-UY"/>
        </w:rPr>
        <w:t>25</w:t>
      </w:r>
      <w:r w:rsidR="009F5852" w:rsidRPr="00473D46">
        <w:rPr>
          <w:rFonts w:asciiTheme="majorHAnsi" w:hAnsiTheme="majorHAnsi"/>
          <w:sz w:val="20"/>
          <w:szCs w:val="20"/>
          <w:lang w:val="es-AR"/>
        </w:rPr>
        <w:t xml:space="preserve">, </w:t>
      </w:r>
      <w:r w:rsidR="00473D46" w:rsidRPr="00473D46">
        <w:rPr>
          <w:rFonts w:asciiTheme="majorHAnsi" w:hAnsiTheme="majorHAnsi"/>
          <w:sz w:val="20"/>
          <w:szCs w:val="20"/>
          <w:lang w:val="es-AR"/>
        </w:rPr>
        <w:t>y 11 (este último en razón de lo</w:t>
      </w:r>
      <w:r w:rsidR="00143CB9">
        <w:rPr>
          <w:rFonts w:asciiTheme="majorHAnsi" w:hAnsiTheme="majorHAnsi"/>
          <w:sz w:val="20"/>
          <w:szCs w:val="20"/>
          <w:lang w:val="es-AR"/>
        </w:rPr>
        <w:t>s</w:t>
      </w:r>
      <w:r w:rsidR="00473D46" w:rsidRPr="00473D46">
        <w:rPr>
          <w:rFonts w:asciiTheme="majorHAnsi" w:hAnsiTheme="majorHAnsi"/>
          <w:sz w:val="20"/>
          <w:szCs w:val="20"/>
          <w:lang w:val="es-AR"/>
        </w:rPr>
        <w:t xml:space="preserve"> alegados actos de seguimiento e intimidación, y a las alegadas intromisiones en su hogar y líneas telefónicas) </w:t>
      </w:r>
      <w:r w:rsidR="009F5852" w:rsidRPr="00473D46">
        <w:rPr>
          <w:rFonts w:asciiTheme="majorHAnsi" w:hAnsiTheme="majorHAnsi"/>
          <w:sz w:val="20"/>
          <w:szCs w:val="20"/>
          <w:lang w:val="es-AR"/>
        </w:rPr>
        <w:t xml:space="preserve">en perjuicio de sus familiares directos debidamente individualizados en el trámite de la petición: </w:t>
      </w:r>
      <w:r w:rsidR="009F5852" w:rsidRPr="00473D46">
        <w:rPr>
          <w:rFonts w:asciiTheme="majorHAnsi" w:hAnsiTheme="majorHAnsi" w:cs="Arial"/>
          <w:sz w:val="20"/>
          <w:szCs w:val="20"/>
          <w:lang w:val="es-UY"/>
        </w:rPr>
        <w:t>Israel Palacios (padre/peticionario), Mirna V. Villatoro R. (madre) y Ángela A. Palacios V (hermana),</w:t>
      </w:r>
      <w:r w:rsidR="009F5852" w:rsidRPr="00473D46">
        <w:rPr>
          <w:rFonts w:asciiTheme="majorHAnsi" w:hAnsiTheme="majorHAnsi"/>
          <w:sz w:val="20"/>
          <w:szCs w:val="20"/>
          <w:lang w:val="es-AR"/>
        </w:rPr>
        <w:t xml:space="preserve"> en concordancia también con el artículo 1.1 de dicho tratado</w:t>
      </w:r>
      <w:r w:rsidR="009F5852" w:rsidRPr="00473D46">
        <w:rPr>
          <w:rFonts w:asciiTheme="majorHAnsi" w:hAnsiTheme="majorHAnsi" w:cs="Arial"/>
          <w:sz w:val="20"/>
          <w:szCs w:val="20"/>
          <w:lang w:val="es-UY"/>
        </w:rPr>
        <w:t>.</w:t>
      </w:r>
      <w:r w:rsidR="00473D46" w:rsidRPr="00473D46">
        <w:rPr>
          <w:rFonts w:asciiTheme="majorHAnsi" w:hAnsiTheme="majorHAnsi" w:cs="Arial"/>
          <w:sz w:val="20"/>
          <w:szCs w:val="20"/>
          <w:lang w:val="es-UY"/>
        </w:rPr>
        <w:t xml:space="preserve"> </w:t>
      </w:r>
      <w:r w:rsidR="00AB4E78">
        <w:rPr>
          <w:rFonts w:asciiTheme="majorHAnsi" w:hAnsiTheme="majorHAnsi" w:cs="Arial"/>
          <w:sz w:val="20"/>
          <w:szCs w:val="20"/>
          <w:lang w:val="es-UY"/>
        </w:rPr>
        <w:t xml:space="preserve">En </w:t>
      </w:r>
      <w:r w:rsidR="00990BDE">
        <w:rPr>
          <w:rFonts w:asciiTheme="majorHAnsi" w:hAnsiTheme="majorHAnsi" w:cs="Arial"/>
          <w:sz w:val="20"/>
          <w:szCs w:val="20"/>
          <w:lang w:val="es-UY"/>
        </w:rPr>
        <w:t xml:space="preserve">ese </w:t>
      </w:r>
      <w:r w:rsidR="00AB4E78">
        <w:rPr>
          <w:rFonts w:asciiTheme="majorHAnsi" w:hAnsiTheme="majorHAnsi" w:cs="Arial"/>
          <w:sz w:val="20"/>
          <w:szCs w:val="20"/>
          <w:lang w:val="es-UY"/>
        </w:rPr>
        <w:t xml:space="preserve">sentido, se considera también la caracterización </w:t>
      </w:r>
      <w:r w:rsidR="00AB4E78" w:rsidRPr="00AB4E78">
        <w:rPr>
          <w:rFonts w:asciiTheme="majorHAnsi" w:hAnsiTheme="majorHAnsi" w:cs="Arial"/>
          <w:i/>
          <w:sz w:val="20"/>
          <w:szCs w:val="20"/>
          <w:lang w:val="es-UY"/>
        </w:rPr>
        <w:t>prima facie</w:t>
      </w:r>
      <w:r w:rsidR="00AB4E78">
        <w:rPr>
          <w:rFonts w:asciiTheme="majorHAnsi" w:hAnsiTheme="majorHAnsi" w:cs="Arial"/>
          <w:sz w:val="20"/>
          <w:szCs w:val="20"/>
          <w:lang w:val="es-UY"/>
        </w:rPr>
        <w:t xml:space="preserve"> de</w:t>
      </w:r>
      <w:r w:rsidR="00143CB9">
        <w:rPr>
          <w:rFonts w:asciiTheme="majorHAnsi" w:hAnsiTheme="majorHAnsi" w:cs="Arial"/>
          <w:sz w:val="20"/>
          <w:szCs w:val="20"/>
          <w:lang w:val="es-UY"/>
        </w:rPr>
        <w:t xml:space="preserve"> la violación de</w:t>
      </w:r>
      <w:r w:rsidR="00AB4E78">
        <w:rPr>
          <w:rFonts w:asciiTheme="majorHAnsi" w:hAnsiTheme="majorHAnsi" w:cs="Arial"/>
          <w:sz w:val="20"/>
          <w:szCs w:val="20"/>
          <w:lang w:val="es-UY"/>
        </w:rPr>
        <w:t xml:space="preserve"> los </w:t>
      </w:r>
      <w:r w:rsidR="00AB4E78">
        <w:rPr>
          <w:rFonts w:asciiTheme="majorHAnsi" w:hAnsiTheme="majorHAnsi" w:cs="Arial"/>
          <w:sz w:val="20"/>
          <w:szCs w:val="20"/>
          <w:lang w:val="es-UY"/>
        </w:rPr>
        <w:lastRenderedPageBreak/>
        <w:t xml:space="preserve">artículos </w:t>
      </w:r>
      <w:r w:rsidR="00143CB9">
        <w:rPr>
          <w:rFonts w:asciiTheme="majorHAnsi" w:hAnsiTheme="majorHAnsi" w:cs="Arial"/>
          <w:sz w:val="20"/>
          <w:szCs w:val="20"/>
          <w:lang w:val="es-UY"/>
        </w:rPr>
        <w:t xml:space="preserve">1, 6 y 8 de </w:t>
      </w:r>
      <w:r w:rsidR="00143CB9">
        <w:rPr>
          <w:rFonts w:ascii="Cambria" w:hAnsi="Cambria" w:cs="Cambria"/>
          <w:bCs/>
          <w:sz w:val="20"/>
          <w:szCs w:val="20"/>
          <w:lang w:val="es-ES"/>
        </w:rPr>
        <w:t xml:space="preserve">la Convención Interamericana para Prevenir y Sancionar la Tortura, </w:t>
      </w:r>
      <w:r w:rsidR="00143CB9" w:rsidRPr="00642EF6">
        <w:rPr>
          <w:rFonts w:ascii="Cambria" w:eastAsia="Times New Roman" w:hAnsi="Cambria" w:cs="Cambria"/>
          <w:bCs/>
          <w:iCs/>
          <w:sz w:val="20"/>
          <w:szCs w:val="20"/>
          <w:lang w:val="es-ES"/>
        </w:rPr>
        <w:t>relativos en su conjunto al deber de investigar y sancionar los posibles actos de tortura.</w:t>
      </w:r>
    </w:p>
    <w:p w:rsidR="00473D46" w:rsidRPr="00473D46" w:rsidRDefault="00473D46" w:rsidP="00473D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63685A" w:rsidRPr="00473D46" w:rsidRDefault="00473D46"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473D46">
        <w:rPr>
          <w:rFonts w:ascii="Cambria" w:hAnsi="Cambria" w:cs="Cambria"/>
          <w:color w:val="000000"/>
          <w:sz w:val="20"/>
          <w:szCs w:val="20"/>
          <w:lang w:val="es-ES" w:eastAsia="es-ES"/>
        </w:rPr>
        <w:t xml:space="preserve">Asimismo, la Comisión examinará los hechos alegados a la luz del artículo 19 de la Convención Americana, </w:t>
      </w:r>
      <w:r w:rsidRPr="007A5550">
        <w:rPr>
          <w:rFonts w:asciiTheme="majorHAnsi" w:hAnsiTheme="majorHAnsi"/>
          <w:sz w:val="20"/>
          <w:szCs w:val="20"/>
          <w:lang w:val="es-UY"/>
        </w:rPr>
        <w:t>específicamente</w:t>
      </w:r>
      <w:r w:rsidRPr="00473D46">
        <w:rPr>
          <w:rFonts w:ascii="Cambria" w:hAnsi="Cambria" w:cs="Cambria"/>
          <w:color w:val="000000"/>
          <w:sz w:val="20"/>
          <w:szCs w:val="20"/>
          <w:lang w:val="es-ES" w:eastAsia="es-ES"/>
        </w:rPr>
        <w:t xml:space="preserve"> en cuanto al deber especial de protección que tienen los Estados, conforme al principio de interés superior del niño y el </w:t>
      </w:r>
      <w:r w:rsidRPr="00473D46">
        <w:rPr>
          <w:rFonts w:ascii="Cambria" w:hAnsi="Cambria" w:cs="Cambria"/>
          <w:i/>
          <w:iCs/>
          <w:color w:val="000000"/>
          <w:sz w:val="20"/>
          <w:szCs w:val="20"/>
          <w:lang w:val="es-ES" w:eastAsia="es-ES"/>
        </w:rPr>
        <w:t xml:space="preserve">corpus juris </w:t>
      </w:r>
      <w:r w:rsidRPr="00473D46">
        <w:rPr>
          <w:rFonts w:ascii="Cambria" w:hAnsi="Cambria" w:cs="Cambria"/>
          <w:color w:val="000000"/>
          <w:sz w:val="20"/>
          <w:szCs w:val="20"/>
          <w:lang w:val="es-ES" w:eastAsia="es-ES"/>
        </w:rPr>
        <w:t xml:space="preserve">en materia de derechos de los niños, niñas y adolescentes. </w:t>
      </w:r>
    </w:p>
    <w:p w:rsidR="007E1669" w:rsidRDefault="007E1669" w:rsidP="007E1669">
      <w:pPr>
        <w:pStyle w:val="ListParagraph"/>
        <w:rPr>
          <w:rFonts w:asciiTheme="majorHAnsi" w:hAnsiTheme="majorHAnsi"/>
          <w:sz w:val="20"/>
          <w:szCs w:val="20"/>
          <w:lang w:val="es-UY"/>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V.</w:t>
      </w:r>
      <w:r w:rsidRPr="0063685A">
        <w:rPr>
          <w:rFonts w:asciiTheme="majorHAnsi" w:hAnsiTheme="majorHAnsi"/>
          <w:b/>
          <w:bCs/>
          <w:sz w:val="20"/>
          <w:szCs w:val="20"/>
          <w:lang w:val="es-UY"/>
        </w:rPr>
        <w:tab/>
        <w:t>CONCLUSIONES</w:t>
      </w:r>
    </w:p>
    <w:p w:rsidR="0063685A" w:rsidRPr="003664B3" w:rsidRDefault="0063685A" w:rsidP="0063685A">
      <w:pPr>
        <w:jc w:val="both"/>
        <w:rPr>
          <w:rFonts w:asciiTheme="majorHAnsi" w:hAnsiTheme="majorHAnsi"/>
          <w:sz w:val="20"/>
          <w:szCs w:val="20"/>
          <w:lang w:val="es-AR"/>
        </w:rPr>
      </w:pPr>
    </w:p>
    <w:p w:rsidR="003664B3" w:rsidRPr="003664B3" w:rsidRDefault="003664B3" w:rsidP="007A55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64B3">
        <w:rPr>
          <w:rFonts w:asciiTheme="majorHAnsi" w:hAnsiTheme="majorHAnsi"/>
          <w:sz w:val="20"/>
          <w:szCs w:val="20"/>
          <w:lang w:val="es-AR"/>
        </w:rPr>
        <w:t xml:space="preserve">Con fundamento en las consideraciones de hecho y de derecho expuestas, la Comisión Interamericana concluye que la </w:t>
      </w:r>
      <w:r w:rsidRPr="007A5550">
        <w:rPr>
          <w:rFonts w:ascii="Cambria" w:hAnsi="Cambria" w:cs="Cambria"/>
          <w:color w:val="000000"/>
          <w:sz w:val="20"/>
          <w:szCs w:val="20"/>
          <w:lang w:val="es-ES" w:eastAsia="es-ES"/>
        </w:rPr>
        <w:t>presente</w:t>
      </w:r>
      <w:r w:rsidRPr="003664B3">
        <w:rPr>
          <w:rFonts w:asciiTheme="majorHAnsi" w:hAnsiTheme="majorHAnsi"/>
          <w:sz w:val="20"/>
          <w:szCs w:val="20"/>
          <w:lang w:val="es-AR"/>
        </w:rPr>
        <w:t xml:space="preserve"> petición satisface los requisitos de admisibilidad enunciados en los artículos 46 y 47 de la Convención Americana y, sin prejuzgar sobre el fondo del asunto,</w:t>
      </w:r>
    </w:p>
    <w:p w:rsidR="003664B3" w:rsidRPr="003664B3" w:rsidRDefault="003664B3" w:rsidP="0063685A">
      <w:pPr>
        <w:ind w:firstLine="720"/>
        <w:jc w:val="both"/>
        <w:rPr>
          <w:rFonts w:asciiTheme="majorHAnsi" w:hAnsiTheme="majorHAnsi"/>
          <w:sz w:val="20"/>
          <w:szCs w:val="20"/>
          <w:lang w:val="es-AR"/>
        </w:rPr>
      </w:pPr>
    </w:p>
    <w:p w:rsidR="00731311" w:rsidRDefault="0063685A" w:rsidP="00731311">
      <w:pPr>
        <w:jc w:val="center"/>
        <w:rPr>
          <w:rFonts w:asciiTheme="majorHAnsi" w:hAnsiTheme="majorHAnsi"/>
          <w:b/>
          <w:bCs/>
          <w:sz w:val="20"/>
          <w:szCs w:val="20"/>
          <w:lang w:val="es-ES"/>
        </w:rPr>
      </w:pPr>
      <w:r w:rsidRPr="0063685A">
        <w:rPr>
          <w:rFonts w:asciiTheme="majorHAnsi" w:hAnsiTheme="majorHAnsi"/>
          <w:b/>
          <w:bCs/>
          <w:sz w:val="20"/>
          <w:szCs w:val="20"/>
          <w:lang w:val="es-ES"/>
        </w:rPr>
        <w:t>LA COMISIÓN INTERAMERICANA DE DERECHOS HUMANOS</w:t>
      </w:r>
      <w:r w:rsidR="00731795">
        <w:rPr>
          <w:rFonts w:asciiTheme="majorHAnsi" w:hAnsiTheme="majorHAnsi"/>
          <w:b/>
          <w:bCs/>
          <w:sz w:val="20"/>
          <w:szCs w:val="20"/>
          <w:lang w:val="es-ES"/>
        </w:rPr>
        <w:t>,</w:t>
      </w:r>
    </w:p>
    <w:p w:rsidR="0063685A" w:rsidRPr="00731795" w:rsidRDefault="0063685A" w:rsidP="00731311">
      <w:pPr>
        <w:rPr>
          <w:rFonts w:asciiTheme="majorHAnsi" w:hAnsiTheme="majorHAnsi"/>
          <w:b/>
          <w:bCs/>
          <w:sz w:val="20"/>
          <w:szCs w:val="20"/>
          <w:lang w:val="es-ES"/>
        </w:rPr>
      </w:pPr>
      <w:r w:rsidRPr="0063685A">
        <w:rPr>
          <w:rFonts w:asciiTheme="majorHAnsi" w:hAnsiTheme="majorHAnsi"/>
          <w:b/>
          <w:bCs/>
          <w:sz w:val="20"/>
          <w:szCs w:val="20"/>
          <w:lang w:val="es-UY"/>
        </w:rPr>
        <w:t>DECIDE:</w:t>
      </w:r>
    </w:p>
    <w:p w:rsidR="0063685A" w:rsidRPr="0063685A" w:rsidRDefault="0063685A" w:rsidP="0063685A">
      <w:pPr>
        <w:ind w:firstLine="720"/>
        <w:jc w:val="both"/>
        <w:rPr>
          <w:rFonts w:asciiTheme="majorHAnsi" w:hAnsiTheme="majorHAnsi"/>
          <w:sz w:val="20"/>
          <w:szCs w:val="20"/>
          <w:lang w:val="es-UY"/>
        </w:rPr>
      </w:pPr>
    </w:p>
    <w:p w:rsidR="00AB4E78" w:rsidRPr="00AB4E78" w:rsidRDefault="0063685A" w:rsidP="00FF19D3">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autoSpaceDE w:val="0"/>
        <w:ind w:left="0" w:firstLine="720"/>
        <w:jc w:val="both"/>
        <w:rPr>
          <w:rFonts w:ascii="Cambria" w:hAnsi="Cambria" w:cs="Cambria"/>
          <w:color w:val="000000"/>
          <w:sz w:val="20"/>
          <w:szCs w:val="20"/>
          <w:lang w:val="es-ES"/>
        </w:rPr>
      </w:pPr>
      <w:r w:rsidRPr="00473D46">
        <w:rPr>
          <w:rFonts w:asciiTheme="majorHAnsi" w:hAnsiTheme="majorHAnsi"/>
          <w:sz w:val="20"/>
          <w:szCs w:val="20"/>
          <w:lang w:val="es-UY"/>
        </w:rPr>
        <w:t xml:space="preserve">Declarar admisible la presente petición en relación con los artículos </w:t>
      </w:r>
      <w:r w:rsidR="00473D46" w:rsidRPr="00473D46">
        <w:rPr>
          <w:rFonts w:asciiTheme="majorHAnsi" w:hAnsiTheme="majorHAnsi"/>
          <w:sz w:val="20"/>
          <w:szCs w:val="20"/>
          <w:lang w:val="es-UY"/>
        </w:rPr>
        <w:t xml:space="preserve">4, 5, 7, 8, 11, </w:t>
      </w:r>
      <w:r w:rsidR="00473D46">
        <w:rPr>
          <w:rFonts w:asciiTheme="majorHAnsi" w:hAnsiTheme="majorHAnsi"/>
          <w:sz w:val="20"/>
          <w:szCs w:val="20"/>
          <w:lang w:val="es-UY"/>
        </w:rPr>
        <w:t xml:space="preserve">19, </w:t>
      </w:r>
      <w:r w:rsidR="00473D46" w:rsidRPr="00473D46">
        <w:rPr>
          <w:rFonts w:asciiTheme="majorHAnsi" w:hAnsiTheme="majorHAnsi"/>
          <w:sz w:val="20"/>
          <w:szCs w:val="20"/>
          <w:lang w:val="es-UY"/>
        </w:rPr>
        <w:t>25</w:t>
      </w:r>
      <w:r w:rsidRPr="00473D46">
        <w:rPr>
          <w:rFonts w:asciiTheme="majorHAnsi" w:hAnsiTheme="majorHAnsi"/>
          <w:sz w:val="20"/>
          <w:szCs w:val="20"/>
          <w:lang w:val="es-UY"/>
        </w:rPr>
        <w:t xml:space="preserve"> de la Convención Americana</w:t>
      </w:r>
      <w:r w:rsidR="003664B3" w:rsidRPr="00473D46">
        <w:rPr>
          <w:rFonts w:asciiTheme="majorHAnsi" w:hAnsiTheme="majorHAnsi"/>
          <w:sz w:val="20"/>
          <w:szCs w:val="20"/>
          <w:lang w:val="es-UY"/>
        </w:rPr>
        <w:t xml:space="preserve"> en conexión con las obligaciones establecidas en </w:t>
      </w:r>
      <w:r w:rsidR="00473D46" w:rsidRPr="00473D46">
        <w:rPr>
          <w:rFonts w:asciiTheme="majorHAnsi" w:hAnsiTheme="majorHAnsi"/>
          <w:sz w:val="20"/>
          <w:szCs w:val="20"/>
          <w:lang w:val="es-UY"/>
        </w:rPr>
        <w:t>el artículo</w:t>
      </w:r>
      <w:r w:rsidR="003664B3" w:rsidRPr="00473D46">
        <w:rPr>
          <w:rFonts w:asciiTheme="majorHAnsi" w:hAnsiTheme="majorHAnsi"/>
          <w:sz w:val="20"/>
          <w:szCs w:val="20"/>
          <w:lang w:val="es-UY"/>
        </w:rPr>
        <w:t xml:space="preserve"> 1</w:t>
      </w:r>
      <w:r w:rsidR="00473D46" w:rsidRPr="00473D46">
        <w:rPr>
          <w:rFonts w:asciiTheme="majorHAnsi" w:hAnsiTheme="majorHAnsi"/>
          <w:sz w:val="20"/>
          <w:szCs w:val="20"/>
          <w:lang w:val="es-UY"/>
        </w:rPr>
        <w:t>.1</w:t>
      </w:r>
      <w:r w:rsidR="003664B3" w:rsidRPr="00473D46">
        <w:rPr>
          <w:rFonts w:asciiTheme="majorHAnsi" w:hAnsiTheme="majorHAnsi"/>
          <w:sz w:val="20"/>
          <w:szCs w:val="20"/>
          <w:lang w:val="es-UY"/>
        </w:rPr>
        <w:t xml:space="preserve"> del mismo instrumento</w:t>
      </w:r>
      <w:r w:rsidR="00AB4E78">
        <w:rPr>
          <w:rFonts w:asciiTheme="majorHAnsi" w:hAnsiTheme="majorHAnsi"/>
          <w:sz w:val="20"/>
          <w:szCs w:val="20"/>
          <w:lang w:val="es-UY"/>
        </w:rPr>
        <w:t xml:space="preserve">, </w:t>
      </w:r>
      <w:r w:rsidR="00AB4E78">
        <w:rPr>
          <w:rFonts w:ascii="Cambria" w:hAnsi="Cambria" w:cs="Cambria"/>
          <w:color w:val="000000"/>
          <w:sz w:val="20"/>
          <w:szCs w:val="20"/>
          <w:lang w:val="es-ES"/>
        </w:rPr>
        <w:t xml:space="preserve">y </w:t>
      </w:r>
      <w:r w:rsidR="00AB4E78">
        <w:rPr>
          <w:rFonts w:ascii="Cambria" w:hAnsi="Cambria" w:cs="Cambria"/>
          <w:bCs/>
          <w:sz w:val="20"/>
          <w:szCs w:val="20"/>
          <w:lang w:val="es-ES"/>
        </w:rPr>
        <w:t>los artículos 1, 6 y 8 de la Convención Interamericana para Prevenir y Sancionar la Tortura;</w:t>
      </w:r>
    </w:p>
    <w:p w:rsidR="00AB4E78" w:rsidRDefault="00AB4E78" w:rsidP="00FF19D3">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autoSpaceDE w:val="0"/>
        <w:ind w:firstLine="720"/>
        <w:jc w:val="both"/>
        <w:rPr>
          <w:rFonts w:ascii="Cambria" w:hAnsi="Cambria" w:cs="Cambria"/>
          <w:color w:val="000000"/>
          <w:sz w:val="20"/>
          <w:szCs w:val="20"/>
          <w:lang w:val="es-ES"/>
        </w:rPr>
      </w:pPr>
    </w:p>
    <w:p w:rsidR="00AB4E78" w:rsidRDefault="0063685A" w:rsidP="00FF19D3">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autoSpaceDE w:val="0"/>
        <w:ind w:firstLine="720"/>
        <w:jc w:val="both"/>
        <w:rPr>
          <w:rFonts w:asciiTheme="majorHAnsi" w:hAnsiTheme="majorHAnsi"/>
          <w:sz w:val="20"/>
          <w:szCs w:val="20"/>
          <w:lang w:val="es-UY"/>
        </w:rPr>
      </w:pPr>
      <w:r w:rsidRPr="00AB4E78">
        <w:rPr>
          <w:rFonts w:asciiTheme="majorHAnsi" w:hAnsiTheme="majorHAnsi"/>
          <w:sz w:val="20"/>
          <w:szCs w:val="20"/>
          <w:lang w:val="es-UY"/>
        </w:rPr>
        <w:t>2.</w:t>
      </w:r>
      <w:r w:rsidRPr="00AB4E78">
        <w:rPr>
          <w:rFonts w:asciiTheme="majorHAnsi" w:hAnsiTheme="majorHAnsi"/>
          <w:sz w:val="20"/>
          <w:szCs w:val="20"/>
          <w:lang w:val="es-UY"/>
        </w:rPr>
        <w:tab/>
        <w:t>Notificar a las partes la presente decisión;</w:t>
      </w:r>
    </w:p>
    <w:p w:rsidR="00AB4E78" w:rsidRDefault="00AB4E78" w:rsidP="00FF19D3">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autoSpaceDE w:val="0"/>
        <w:ind w:firstLine="720"/>
        <w:jc w:val="both"/>
        <w:rPr>
          <w:rFonts w:ascii="Cambria" w:hAnsi="Cambria" w:cs="Cambria"/>
          <w:color w:val="000000"/>
          <w:sz w:val="20"/>
          <w:szCs w:val="20"/>
          <w:lang w:val="es-ES"/>
        </w:rPr>
      </w:pPr>
    </w:p>
    <w:p w:rsidR="00AB4E78" w:rsidRDefault="00AB4E78" w:rsidP="00FF19D3">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autoSpaceDE w:val="0"/>
        <w:ind w:firstLine="720"/>
        <w:jc w:val="both"/>
        <w:rPr>
          <w:rFonts w:ascii="Cambria" w:hAnsi="Cambria" w:cs="Cambria"/>
          <w:color w:val="000000"/>
          <w:sz w:val="20"/>
          <w:szCs w:val="20"/>
          <w:lang w:val="es-ES"/>
        </w:rPr>
      </w:pPr>
      <w:r>
        <w:rPr>
          <w:rFonts w:ascii="Cambria" w:hAnsi="Cambria" w:cs="Cambria"/>
          <w:color w:val="000000"/>
          <w:sz w:val="20"/>
          <w:szCs w:val="20"/>
          <w:lang w:val="es-ES"/>
        </w:rPr>
        <w:t>3.</w:t>
      </w:r>
      <w:r>
        <w:rPr>
          <w:rFonts w:ascii="Cambria" w:hAnsi="Cambria" w:cs="Cambria"/>
          <w:color w:val="000000"/>
          <w:sz w:val="20"/>
          <w:szCs w:val="20"/>
          <w:lang w:val="es-ES"/>
        </w:rPr>
        <w:tab/>
      </w:r>
      <w:r w:rsidR="0063685A" w:rsidRPr="0063685A">
        <w:rPr>
          <w:rFonts w:asciiTheme="majorHAnsi" w:hAnsiTheme="majorHAnsi"/>
          <w:sz w:val="20"/>
          <w:szCs w:val="20"/>
          <w:lang w:val="es-UY"/>
        </w:rPr>
        <w:t>Continuar con el análisis del fondo de la cuestión;</w:t>
      </w:r>
      <w:r w:rsidR="00711192">
        <w:rPr>
          <w:rFonts w:asciiTheme="majorHAnsi" w:hAnsiTheme="majorHAnsi"/>
          <w:sz w:val="20"/>
          <w:szCs w:val="20"/>
          <w:lang w:val="es-UY"/>
        </w:rPr>
        <w:t xml:space="preserve"> y</w:t>
      </w:r>
    </w:p>
    <w:p w:rsidR="00AB4E78" w:rsidRDefault="00AB4E78" w:rsidP="00FF19D3">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autoSpaceDE w:val="0"/>
        <w:ind w:firstLine="720"/>
        <w:jc w:val="both"/>
        <w:rPr>
          <w:rFonts w:ascii="Cambria" w:hAnsi="Cambria" w:cs="Cambria"/>
          <w:color w:val="000000"/>
          <w:sz w:val="20"/>
          <w:szCs w:val="20"/>
          <w:lang w:val="es-ES"/>
        </w:rPr>
      </w:pPr>
    </w:p>
    <w:p w:rsidR="0063685A" w:rsidRDefault="00AB4E78" w:rsidP="00FF19D3">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autoSpaceDE w:val="0"/>
        <w:ind w:firstLine="720"/>
        <w:jc w:val="both"/>
        <w:rPr>
          <w:rFonts w:asciiTheme="majorHAnsi" w:hAnsiTheme="majorHAnsi"/>
          <w:sz w:val="20"/>
          <w:szCs w:val="20"/>
          <w:lang w:val="es-UY"/>
        </w:rPr>
      </w:pPr>
      <w:r>
        <w:rPr>
          <w:rFonts w:ascii="Cambria" w:hAnsi="Cambria" w:cs="Cambria"/>
          <w:color w:val="000000"/>
          <w:sz w:val="20"/>
          <w:szCs w:val="20"/>
          <w:lang w:val="es-ES"/>
        </w:rPr>
        <w:t>4.</w:t>
      </w:r>
      <w:r>
        <w:rPr>
          <w:rFonts w:ascii="Cambria" w:hAnsi="Cambria" w:cs="Cambria"/>
          <w:color w:val="000000"/>
          <w:sz w:val="20"/>
          <w:szCs w:val="20"/>
          <w:lang w:val="es-ES"/>
        </w:rPr>
        <w:tab/>
      </w:r>
      <w:r w:rsidR="0063685A" w:rsidRPr="0063685A">
        <w:rPr>
          <w:rFonts w:asciiTheme="majorHAnsi" w:hAnsiTheme="majorHAnsi"/>
          <w:sz w:val="20"/>
          <w:szCs w:val="20"/>
          <w:lang w:val="es-UY"/>
        </w:rPr>
        <w:t>Publicar esta decisión e incluirla en su Informe Anual a la Asamblea General de la Organización de los Estados Americanos.</w:t>
      </w:r>
    </w:p>
    <w:p w:rsidR="00394551" w:rsidRDefault="00394551" w:rsidP="00394551">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autoSpaceDE w:val="0"/>
        <w:jc w:val="both"/>
        <w:rPr>
          <w:rFonts w:ascii="Cambria" w:hAnsi="Cambria" w:cs="Cambria"/>
          <w:color w:val="000000"/>
          <w:sz w:val="20"/>
          <w:szCs w:val="20"/>
          <w:lang w:val="es-ES"/>
        </w:rPr>
      </w:pPr>
    </w:p>
    <w:p w:rsidR="001A5290" w:rsidRPr="00804A84" w:rsidRDefault="001A5290" w:rsidP="001A5290">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17</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 xml:space="preserve">5.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 Rosa María Ortiz y</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Tracy Robinson, </w:t>
      </w:r>
      <w:r w:rsidRPr="00804A84">
        <w:rPr>
          <w:rFonts w:ascii="Cambria" w:hAnsi="Cambria" w:cs="Arial"/>
          <w:noProof/>
          <w:spacing w:val="-2"/>
          <w:sz w:val="20"/>
          <w:szCs w:val="20"/>
          <w:lang w:val="es-CL"/>
        </w:rPr>
        <w:t>Miembros de la Comisión.</w:t>
      </w:r>
    </w:p>
    <w:p w:rsidR="001A5290" w:rsidRPr="00804A84" w:rsidRDefault="001A5290" w:rsidP="001A5290">
      <w:pPr>
        <w:suppressAutoHyphens/>
        <w:ind w:firstLine="720"/>
        <w:jc w:val="both"/>
        <w:rPr>
          <w:rFonts w:ascii="Cambria" w:hAnsi="Cambria" w:cs="Arial"/>
          <w:noProof/>
          <w:spacing w:val="-2"/>
          <w:sz w:val="20"/>
          <w:szCs w:val="20"/>
          <w:lang w:val="es-CL"/>
        </w:rPr>
      </w:pPr>
    </w:p>
    <w:p w:rsidR="00394551" w:rsidRPr="001A5290" w:rsidRDefault="00394551" w:rsidP="00394551">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autoSpaceDE w:val="0"/>
        <w:jc w:val="both"/>
        <w:rPr>
          <w:rFonts w:ascii="Cambria" w:hAnsi="Cambria" w:cs="Cambria"/>
          <w:color w:val="000000"/>
          <w:sz w:val="20"/>
          <w:szCs w:val="20"/>
          <w:lang w:val="es-CL"/>
        </w:rPr>
      </w:pPr>
    </w:p>
    <w:sectPr w:rsidR="00394551" w:rsidRPr="001A52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83" w:rsidRDefault="00C74D83">
      <w:r>
        <w:separator/>
      </w:r>
    </w:p>
  </w:endnote>
  <w:endnote w:type="continuationSeparator" w:id="0">
    <w:p w:rsidR="00C74D83" w:rsidRDefault="00C7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80" w:rsidRDefault="00F071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07180">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83" w:rsidRPr="000F35ED" w:rsidRDefault="00C74D8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74D83" w:rsidRPr="000F35ED" w:rsidRDefault="00C74D83" w:rsidP="000F35ED">
      <w:pPr>
        <w:rPr>
          <w:rFonts w:asciiTheme="majorHAnsi" w:hAnsiTheme="majorHAnsi"/>
          <w:sz w:val="16"/>
          <w:szCs w:val="16"/>
        </w:rPr>
      </w:pPr>
      <w:r w:rsidRPr="000F35ED">
        <w:rPr>
          <w:rFonts w:asciiTheme="majorHAnsi" w:hAnsiTheme="majorHAnsi"/>
          <w:sz w:val="16"/>
          <w:szCs w:val="16"/>
        </w:rPr>
        <w:separator/>
      </w:r>
    </w:p>
    <w:p w:rsidR="00C74D83" w:rsidRPr="000F35ED" w:rsidRDefault="00C74D8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C74D83" w:rsidRPr="000F35ED" w:rsidRDefault="00C74D8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540C9" w:rsidRPr="00B31F2B" w:rsidRDefault="001540C9" w:rsidP="00B31F2B">
      <w:pPr>
        <w:pStyle w:val="FootnoteText"/>
        <w:spacing w:after="120"/>
        <w:jc w:val="both"/>
        <w:rPr>
          <w:sz w:val="16"/>
          <w:szCs w:val="16"/>
          <w:lang w:val="es-ES"/>
        </w:rPr>
      </w:pPr>
      <w:r>
        <w:rPr>
          <w:lang w:val="es-ES"/>
        </w:rPr>
        <w:tab/>
      </w:r>
      <w:r w:rsidRPr="00B31F2B">
        <w:rPr>
          <w:rStyle w:val="FootnoteReference"/>
          <w:sz w:val="16"/>
          <w:szCs w:val="16"/>
        </w:rPr>
        <w:footnoteRef/>
      </w:r>
      <w:r w:rsidRPr="00B31F2B">
        <w:rPr>
          <w:sz w:val="16"/>
          <w:szCs w:val="16"/>
          <w:lang w:val="es-ES"/>
        </w:rPr>
        <w:t xml:space="preserve"> </w:t>
      </w:r>
      <w:r w:rsidR="00B31F2B" w:rsidRPr="00B31F2B">
        <w:rPr>
          <w:sz w:val="16"/>
          <w:szCs w:val="16"/>
          <w:lang w:val="es-ES"/>
        </w:rPr>
        <w:t xml:space="preserve">CIDH, Informe No. 17/15, Petición 1139, Admisibilidad, Masacre de la Aldea Los Josefinos, Guatemala, 24 de marzo de 2015, párr. 22; </w:t>
      </w:r>
      <w:r w:rsidRPr="00B31F2B">
        <w:rPr>
          <w:sz w:val="16"/>
          <w:szCs w:val="16"/>
          <w:lang w:val="es-ES"/>
        </w:rPr>
        <w:t xml:space="preserve">CIDH, Informe 56/14, P. 886-04, </w:t>
      </w:r>
      <w:r w:rsidRPr="00B31F2B">
        <w:rPr>
          <w:i/>
          <w:iCs/>
          <w:sz w:val="16"/>
          <w:szCs w:val="16"/>
          <w:lang w:val="es-ES"/>
        </w:rPr>
        <w:t>Ronal Jared Martínez y Familia y Marlón Fabricio Hernández Fúnez</w:t>
      </w:r>
      <w:r w:rsidRPr="00B31F2B">
        <w:rPr>
          <w:sz w:val="16"/>
          <w:szCs w:val="16"/>
          <w:lang w:val="es-ES"/>
        </w:rPr>
        <w:t xml:space="preserve">, Honduras, 21 de julio de 2014, párr. 20; CIDH, Informe No. 51/10, P. 1166-05, Admisibilidad, </w:t>
      </w:r>
      <w:r w:rsidRPr="00B31F2B">
        <w:rPr>
          <w:i/>
          <w:iCs/>
          <w:sz w:val="16"/>
          <w:szCs w:val="16"/>
          <w:lang w:val="es-ES"/>
        </w:rPr>
        <w:t>Masacres del Tibú</w:t>
      </w:r>
      <w:r w:rsidRPr="00B31F2B">
        <w:rPr>
          <w:sz w:val="16"/>
          <w:szCs w:val="16"/>
          <w:lang w:val="es-ES"/>
        </w:rPr>
        <w:t xml:space="preserve">, Colombia, 18 de marzo de 2010, párr. </w:t>
      </w:r>
      <w:r w:rsidRPr="00B31F2B">
        <w:rPr>
          <w:sz w:val="16"/>
          <w:szCs w:val="16"/>
          <w:lang w:val="pt-BR"/>
        </w:rPr>
        <w:t>110; CIDH. Informe No. 52/97, Caso 11.218</w:t>
      </w:r>
      <w:r w:rsidRPr="00B31F2B">
        <w:rPr>
          <w:i/>
          <w:iCs/>
          <w:sz w:val="16"/>
          <w:szCs w:val="16"/>
          <w:lang w:val="pt-BR"/>
        </w:rPr>
        <w:t xml:space="preserve">, Arges Sequeira Mangas </w:t>
      </w:r>
      <w:r w:rsidRPr="00B31F2B">
        <w:rPr>
          <w:sz w:val="16"/>
          <w:szCs w:val="16"/>
          <w:lang w:val="pt-BR"/>
        </w:rPr>
        <w:t>(Nicaragua)</w:t>
      </w:r>
      <w:r w:rsidRPr="00B31F2B">
        <w:rPr>
          <w:i/>
          <w:iCs/>
          <w:sz w:val="16"/>
          <w:szCs w:val="16"/>
          <w:lang w:val="pt-BR"/>
        </w:rPr>
        <w:t xml:space="preserve">, </w:t>
      </w:r>
      <w:r w:rsidRPr="00B31F2B">
        <w:rPr>
          <w:sz w:val="16"/>
          <w:szCs w:val="16"/>
          <w:lang w:val="pt-BR"/>
        </w:rPr>
        <w:t xml:space="preserve">párrs. 96 y 97; Informe No. 62/00, Caso 11.727, </w:t>
      </w:r>
      <w:r w:rsidRPr="00B31F2B">
        <w:rPr>
          <w:i/>
          <w:iCs/>
          <w:sz w:val="16"/>
          <w:szCs w:val="16"/>
          <w:lang w:val="pt-BR"/>
        </w:rPr>
        <w:t>Hernando Osorio Correa</w:t>
      </w:r>
      <w:r w:rsidRPr="00B31F2B">
        <w:rPr>
          <w:sz w:val="16"/>
          <w:szCs w:val="16"/>
          <w:lang w:val="pt-BR"/>
        </w:rPr>
        <w:t xml:space="preserve">, párr. </w:t>
      </w:r>
      <w:r w:rsidRPr="008D28E2">
        <w:rPr>
          <w:sz w:val="16"/>
          <w:szCs w:val="16"/>
          <w:lang w:val="es-ES"/>
        </w:rPr>
        <w:t xml:space="preserve">24.  </w:t>
      </w:r>
    </w:p>
  </w:footnote>
  <w:footnote w:id="3">
    <w:p w:rsidR="001540C9" w:rsidRPr="00B31F2B" w:rsidRDefault="001540C9" w:rsidP="00B31F2B">
      <w:pPr>
        <w:pStyle w:val="FootnoteText"/>
        <w:spacing w:after="120"/>
        <w:jc w:val="both"/>
        <w:rPr>
          <w:sz w:val="16"/>
          <w:szCs w:val="16"/>
          <w:lang w:val="es-ES"/>
        </w:rPr>
      </w:pPr>
      <w:r w:rsidRPr="008D28E2">
        <w:rPr>
          <w:sz w:val="16"/>
          <w:szCs w:val="16"/>
          <w:lang w:val="es-ES"/>
        </w:rPr>
        <w:tab/>
      </w:r>
      <w:r w:rsidRPr="00B31F2B">
        <w:rPr>
          <w:rStyle w:val="FootnoteReference"/>
          <w:sz w:val="16"/>
          <w:szCs w:val="16"/>
        </w:rPr>
        <w:footnoteRef/>
      </w:r>
      <w:r w:rsidRPr="00B31F2B">
        <w:rPr>
          <w:sz w:val="16"/>
          <w:szCs w:val="16"/>
          <w:lang w:val="es-ES"/>
        </w:rPr>
        <w:t xml:space="preserve"> </w:t>
      </w:r>
      <w:r w:rsidR="00B31F2B" w:rsidRPr="00B31F2B">
        <w:rPr>
          <w:sz w:val="16"/>
          <w:szCs w:val="16"/>
          <w:lang w:val="es-ES"/>
        </w:rPr>
        <w:t xml:space="preserve">CIDH, Informe No. 17/15, Petición 1139, Admisibilidad, Masacre de la Aldea Los Josefinos, Guatemala, 24 de marzo de 2015, párr. 22; </w:t>
      </w:r>
      <w:r w:rsidRPr="00B31F2B">
        <w:rPr>
          <w:sz w:val="16"/>
          <w:szCs w:val="16"/>
          <w:lang w:val="es-ES"/>
        </w:rPr>
        <w:t xml:space="preserve">CIDH, Informe No. 51/10, P. 1166-05, Admisibilidad, </w:t>
      </w:r>
      <w:r w:rsidRPr="00B31F2B">
        <w:rPr>
          <w:i/>
          <w:iCs/>
          <w:sz w:val="16"/>
          <w:szCs w:val="16"/>
          <w:lang w:val="es-ES"/>
        </w:rPr>
        <w:t>Masacres del Tibú</w:t>
      </w:r>
      <w:r w:rsidRPr="00B31F2B">
        <w:rPr>
          <w:sz w:val="16"/>
          <w:szCs w:val="16"/>
          <w:lang w:val="es-ES"/>
        </w:rPr>
        <w:t xml:space="preserve">, Colombia, 18 de marzo de 2010, párr. 110.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74D8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80" w:rsidRDefault="00F071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0"/>
        </w:tabs>
        <w:ind w:left="720" w:hanging="360"/>
      </w:pPr>
      <w:rPr>
        <w:rFonts w:ascii="Cambria" w:hAnsi="Cambria" w:cs="Cambria" w:hint="default"/>
        <w:sz w:val="20"/>
        <w:szCs w:val="20"/>
        <w:lang w:val="es-ES"/>
      </w:rPr>
    </w:lvl>
  </w:abstractNum>
  <w:abstractNum w:abstractNumId="1">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C562F6E0"/>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D7465AE0"/>
    <w:lvl w:ilvl="0" w:tplc="9B1C09DE">
      <w:start w:val="1"/>
      <w:numFmt w:val="decimal"/>
      <w:lvlText w:val="%1."/>
      <w:lvlJc w:val="left"/>
      <w:pPr>
        <w:tabs>
          <w:tab w:val="num" w:pos="720"/>
        </w:tabs>
        <w:ind w:left="0" w:firstLine="720"/>
      </w:pPr>
      <w:rPr>
        <w:rFonts w:hint="default"/>
        <w:b w:val="0"/>
        <w:i w:val="0"/>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3"/>
  </w:num>
  <w:num w:numId="4">
    <w:abstractNumId w:val="23"/>
  </w:num>
  <w:num w:numId="5">
    <w:abstractNumId w:val="47"/>
  </w:num>
  <w:num w:numId="6">
    <w:abstractNumId w:val="28"/>
  </w:num>
  <w:num w:numId="7">
    <w:abstractNumId w:val="8"/>
  </w:num>
  <w:num w:numId="8">
    <w:abstractNumId w:val="19"/>
  </w:num>
  <w:num w:numId="9">
    <w:abstractNumId w:val="42"/>
  </w:num>
  <w:num w:numId="10">
    <w:abstractNumId w:val="2"/>
  </w:num>
  <w:num w:numId="11">
    <w:abstractNumId w:val="37"/>
  </w:num>
  <w:num w:numId="12">
    <w:abstractNumId w:val="38"/>
  </w:num>
  <w:num w:numId="13">
    <w:abstractNumId w:val="43"/>
  </w:num>
  <w:num w:numId="14">
    <w:abstractNumId w:val="3"/>
  </w:num>
  <w:num w:numId="15">
    <w:abstractNumId w:val="4"/>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2"/>
  </w:num>
  <w:num w:numId="52">
    <w:abstractNumId w:val="41"/>
  </w:num>
  <w:num w:numId="53">
    <w:abstractNumId w:val="50"/>
  </w:num>
  <w:num w:numId="54">
    <w:abstractNumId w:val="44"/>
  </w:num>
  <w:num w:numId="55">
    <w:abstractNumId w:val="46"/>
  </w:num>
  <w:num w:numId="56">
    <w:abstractNumId w:val="6"/>
  </w:num>
  <w:num w:numId="57">
    <w:abstractNumId w:val="12"/>
  </w:num>
  <w:num w:numId="58">
    <w:abstractNumId w:val="0"/>
  </w:num>
  <w:num w:numId="5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771"/>
    <w:rsid w:val="000069E4"/>
    <w:rsid w:val="00006E1F"/>
    <w:rsid w:val="000070D7"/>
    <w:rsid w:val="00015876"/>
    <w:rsid w:val="0001788C"/>
    <w:rsid w:val="000204AE"/>
    <w:rsid w:val="00020C99"/>
    <w:rsid w:val="00021626"/>
    <w:rsid w:val="00023EF2"/>
    <w:rsid w:val="00024654"/>
    <w:rsid w:val="0002534E"/>
    <w:rsid w:val="00034E5D"/>
    <w:rsid w:val="00040C3A"/>
    <w:rsid w:val="00057DD7"/>
    <w:rsid w:val="00060B32"/>
    <w:rsid w:val="00060E04"/>
    <w:rsid w:val="000716C5"/>
    <w:rsid w:val="00075E23"/>
    <w:rsid w:val="0008661D"/>
    <w:rsid w:val="000870F6"/>
    <w:rsid w:val="0009344A"/>
    <w:rsid w:val="000A392E"/>
    <w:rsid w:val="000A575F"/>
    <w:rsid w:val="000B59EA"/>
    <w:rsid w:val="000C1634"/>
    <w:rsid w:val="000C535C"/>
    <w:rsid w:val="000D10DB"/>
    <w:rsid w:val="000E408B"/>
    <w:rsid w:val="000E5EB5"/>
    <w:rsid w:val="000F1DDA"/>
    <w:rsid w:val="000F2657"/>
    <w:rsid w:val="000F35ED"/>
    <w:rsid w:val="00107131"/>
    <w:rsid w:val="0010736F"/>
    <w:rsid w:val="00112B17"/>
    <w:rsid w:val="00112D7A"/>
    <w:rsid w:val="00113F73"/>
    <w:rsid w:val="0011458D"/>
    <w:rsid w:val="00121CC2"/>
    <w:rsid w:val="00124EED"/>
    <w:rsid w:val="00133EE5"/>
    <w:rsid w:val="001376F6"/>
    <w:rsid w:val="00141C12"/>
    <w:rsid w:val="00143CB9"/>
    <w:rsid w:val="001540C9"/>
    <w:rsid w:val="001638A6"/>
    <w:rsid w:val="00167A34"/>
    <w:rsid w:val="00187538"/>
    <w:rsid w:val="001A5290"/>
    <w:rsid w:val="001A701C"/>
    <w:rsid w:val="001A7870"/>
    <w:rsid w:val="001C1B41"/>
    <w:rsid w:val="001C5B67"/>
    <w:rsid w:val="001D5DB7"/>
    <w:rsid w:val="001D65EF"/>
    <w:rsid w:val="001E4601"/>
    <w:rsid w:val="001E7367"/>
    <w:rsid w:val="002031FF"/>
    <w:rsid w:val="002250A3"/>
    <w:rsid w:val="00235217"/>
    <w:rsid w:val="00235509"/>
    <w:rsid w:val="00246D1F"/>
    <w:rsid w:val="00247403"/>
    <w:rsid w:val="00247542"/>
    <w:rsid w:val="00257E11"/>
    <w:rsid w:val="00264C61"/>
    <w:rsid w:val="00266B61"/>
    <w:rsid w:val="0026712A"/>
    <w:rsid w:val="002704DB"/>
    <w:rsid w:val="002808A0"/>
    <w:rsid w:val="00286772"/>
    <w:rsid w:val="002A0AAE"/>
    <w:rsid w:val="002A36AA"/>
    <w:rsid w:val="002A38D7"/>
    <w:rsid w:val="002A5820"/>
    <w:rsid w:val="002A727A"/>
    <w:rsid w:val="002B651A"/>
    <w:rsid w:val="002C37FD"/>
    <w:rsid w:val="002C580F"/>
    <w:rsid w:val="002D2B26"/>
    <w:rsid w:val="002D7EA2"/>
    <w:rsid w:val="002E0A91"/>
    <w:rsid w:val="002E187C"/>
    <w:rsid w:val="002F7F7E"/>
    <w:rsid w:val="0030193E"/>
    <w:rsid w:val="00302733"/>
    <w:rsid w:val="00312EEF"/>
    <w:rsid w:val="00314078"/>
    <w:rsid w:val="0031535D"/>
    <w:rsid w:val="00325F0B"/>
    <w:rsid w:val="00327CA8"/>
    <w:rsid w:val="0033169F"/>
    <w:rsid w:val="0033467B"/>
    <w:rsid w:val="00346C95"/>
    <w:rsid w:val="00356185"/>
    <w:rsid w:val="00356F82"/>
    <w:rsid w:val="00360380"/>
    <w:rsid w:val="0036069C"/>
    <w:rsid w:val="003623C9"/>
    <w:rsid w:val="00365D51"/>
    <w:rsid w:val="003664B3"/>
    <w:rsid w:val="0037519E"/>
    <w:rsid w:val="00384CA7"/>
    <w:rsid w:val="00386CF0"/>
    <w:rsid w:val="003877AB"/>
    <w:rsid w:val="00394551"/>
    <w:rsid w:val="003B3296"/>
    <w:rsid w:val="003B75C0"/>
    <w:rsid w:val="003B7AE8"/>
    <w:rsid w:val="003C399D"/>
    <w:rsid w:val="003C54F2"/>
    <w:rsid w:val="003C676B"/>
    <w:rsid w:val="003C764C"/>
    <w:rsid w:val="003D2966"/>
    <w:rsid w:val="003D3BC2"/>
    <w:rsid w:val="003D572C"/>
    <w:rsid w:val="003E0DA1"/>
    <w:rsid w:val="003E440C"/>
    <w:rsid w:val="003E6CA1"/>
    <w:rsid w:val="003F2BCE"/>
    <w:rsid w:val="004002E4"/>
    <w:rsid w:val="00405D84"/>
    <w:rsid w:val="004165C2"/>
    <w:rsid w:val="00427FD4"/>
    <w:rsid w:val="004372A5"/>
    <w:rsid w:val="00440D2C"/>
    <w:rsid w:val="00441DBA"/>
    <w:rsid w:val="00441ECB"/>
    <w:rsid w:val="0044720E"/>
    <w:rsid w:val="00450607"/>
    <w:rsid w:val="00455A4B"/>
    <w:rsid w:val="00466FCF"/>
    <w:rsid w:val="00467B7E"/>
    <w:rsid w:val="004700C1"/>
    <w:rsid w:val="00473D46"/>
    <w:rsid w:val="00477592"/>
    <w:rsid w:val="0048485E"/>
    <w:rsid w:val="00485810"/>
    <w:rsid w:val="00485E57"/>
    <w:rsid w:val="00486F1C"/>
    <w:rsid w:val="0049419D"/>
    <w:rsid w:val="004946B2"/>
    <w:rsid w:val="00495BF5"/>
    <w:rsid w:val="00497629"/>
    <w:rsid w:val="004A0277"/>
    <w:rsid w:val="004A2FAB"/>
    <w:rsid w:val="004A4FE3"/>
    <w:rsid w:val="004B7A65"/>
    <w:rsid w:val="004C20D2"/>
    <w:rsid w:val="004C3F98"/>
    <w:rsid w:val="004C4B62"/>
    <w:rsid w:val="004C53C6"/>
    <w:rsid w:val="004C54C9"/>
    <w:rsid w:val="004D077C"/>
    <w:rsid w:val="004D5811"/>
    <w:rsid w:val="004D6025"/>
    <w:rsid w:val="004E2316"/>
    <w:rsid w:val="004E2649"/>
    <w:rsid w:val="004F1772"/>
    <w:rsid w:val="004F307F"/>
    <w:rsid w:val="004F3E6F"/>
    <w:rsid w:val="004F67DD"/>
    <w:rsid w:val="00501399"/>
    <w:rsid w:val="0050633D"/>
    <w:rsid w:val="00506A07"/>
    <w:rsid w:val="00507BC4"/>
    <w:rsid w:val="005128E4"/>
    <w:rsid w:val="005133DB"/>
    <w:rsid w:val="00516099"/>
    <w:rsid w:val="00517690"/>
    <w:rsid w:val="00517865"/>
    <w:rsid w:val="00524816"/>
    <w:rsid w:val="00525560"/>
    <w:rsid w:val="005316A2"/>
    <w:rsid w:val="00531A90"/>
    <w:rsid w:val="00533757"/>
    <w:rsid w:val="00541CA3"/>
    <w:rsid w:val="00544C49"/>
    <w:rsid w:val="00550CBD"/>
    <w:rsid w:val="005516A1"/>
    <w:rsid w:val="00565EAA"/>
    <w:rsid w:val="0057402A"/>
    <w:rsid w:val="005771D0"/>
    <w:rsid w:val="0059191A"/>
    <w:rsid w:val="005921FF"/>
    <w:rsid w:val="00596831"/>
    <w:rsid w:val="005A5CFB"/>
    <w:rsid w:val="005A6D0E"/>
    <w:rsid w:val="005B52B0"/>
    <w:rsid w:val="005B6806"/>
    <w:rsid w:val="005C0CFA"/>
    <w:rsid w:val="005C1304"/>
    <w:rsid w:val="005C2891"/>
    <w:rsid w:val="005C4225"/>
    <w:rsid w:val="005D177D"/>
    <w:rsid w:val="005D6E4E"/>
    <w:rsid w:val="005E29C8"/>
    <w:rsid w:val="005F0DAD"/>
    <w:rsid w:val="005F0F33"/>
    <w:rsid w:val="005F68A5"/>
    <w:rsid w:val="00600202"/>
    <w:rsid w:val="006003F1"/>
    <w:rsid w:val="00600DEB"/>
    <w:rsid w:val="006127A2"/>
    <w:rsid w:val="00627C9F"/>
    <w:rsid w:val="006311E9"/>
    <w:rsid w:val="00632354"/>
    <w:rsid w:val="0063290D"/>
    <w:rsid w:val="0063685A"/>
    <w:rsid w:val="00642810"/>
    <w:rsid w:val="00652333"/>
    <w:rsid w:val="006559CC"/>
    <w:rsid w:val="0068009E"/>
    <w:rsid w:val="006841CD"/>
    <w:rsid w:val="00692219"/>
    <w:rsid w:val="006A17D2"/>
    <w:rsid w:val="006A1DE0"/>
    <w:rsid w:val="006A477D"/>
    <w:rsid w:val="006A5197"/>
    <w:rsid w:val="006A5AA9"/>
    <w:rsid w:val="006A73E6"/>
    <w:rsid w:val="006B0B49"/>
    <w:rsid w:val="006B2D5C"/>
    <w:rsid w:val="006C4EB1"/>
    <w:rsid w:val="006C7596"/>
    <w:rsid w:val="006D5820"/>
    <w:rsid w:val="006D73BD"/>
    <w:rsid w:val="006E0166"/>
    <w:rsid w:val="006E0457"/>
    <w:rsid w:val="006E0CE8"/>
    <w:rsid w:val="006E7B34"/>
    <w:rsid w:val="006F2132"/>
    <w:rsid w:val="006F2DBF"/>
    <w:rsid w:val="006F57C1"/>
    <w:rsid w:val="0070697F"/>
    <w:rsid w:val="00711192"/>
    <w:rsid w:val="00715F0E"/>
    <w:rsid w:val="0072199C"/>
    <w:rsid w:val="00722C9F"/>
    <w:rsid w:val="007253B8"/>
    <w:rsid w:val="00731311"/>
    <w:rsid w:val="00731795"/>
    <w:rsid w:val="007373DE"/>
    <w:rsid w:val="0073741F"/>
    <w:rsid w:val="00737659"/>
    <w:rsid w:val="00740C5E"/>
    <w:rsid w:val="00740F76"/>
    <w:rsid w:val="007468FC"/>
    <w:rsid w:val="00753278"/>
    <w:rsid w:val="007539FB"/>
    <w:rsid w:val="0076643F"/>
    <w:rsid w:val="00772515"/>
    <w:rsid w:val="00777F63"/>
    <w:rsid w:val="00784D8F"/>
    <w:rsid w:val="007A090C"/>
    <w:rsid w:val="007A5550"/>
    <w:rsid w:val="007A5817"/>
    <w:rsid w:val="007B4313"/>
    <w:rsid w:val="007B60E9"/>
    <w:rsid w:val="007B66DB"/>
    <w:rsid w:val="007B6CC3"/>
    <w:rsid w:val="007C1442"/>
    <w:rsid w:val="007C3334"/>
    <w:rsid w:val="007C655E"/>
    <w:rsid w:val="007C79F9"/>
    <w:rsid w:val="007D286D"/>
    <w:rsid w:val="007D2B98"/>
    <w:rsid w:val="007D52EE"/>
    <w:rsid w:val="007E1669"/>
    <w:rsid w:val="007E21BC"/>
    <w:rsid w:val="007E5007"/>
    <w:rsid w:val="007F0F0A"/>
    <w:rsid w:val="00803F1C"/>
    <w:rsid w:val="0080600E"/>
    <w:rsid w:val="008063B8"/>
    <w:rsid w:val="00817612"/>
    <w:rsid w:val="00831155"/>
    <w:rsid w:val="008338A4"/>
    <w:rsid w:val="00834B0B"/>
    <w:rsid w:val="00837C45"/>
    <w:rsid w:val="00844730"/>
    <w:rsid w:val="008457C2"/>
    <w:rsid w:val="00847102"/>
    <w:rsid w:val="00857A82"/>
    <w:rsid w:val="00872E3A"/>
    <w:rsid w:val="00873836"/>
    <w:rsid w:val="00885737"/>
    <w:rsid w:val="0088711E"/>
    <w:rsid w:val="008901EE"/>
    <w:rsid w:val="00890650"/>
    <w:rsid w:val="00892AAE"/>
    <w:rsid w:val="00893466"/>
    <w:rsid w:val="00897E12"/>
    <w:rsid w:val="008A7E0F"/>
    <w:rsid w:val="008B12F5"/>
    <w:rsid w:val="008B52A2"/>
    <w:rsid w:val="008D28E2"/>
    <w:rsid w:val="008D768D"/>
    <w:rsid w:val="008E03E9"/>
    <w:rsid w:val="008E3759"/>
    <w:rsid w:val="008E61F0"/>
    <w:rsid w:val="008F1912"/>
    <w:rsid w:val="008F6808"/>
    <w:rsid w:val="008F6A03"/>
    <w:rsid w:val="0090270B"/>
    <w:rsid w:val="00903145"/>
    <w:rsid w:val="009041DC"/>
    <w:rsid w:val="00914593"/>
    <w:rsid w:val="00917B5A"/>
    <w:rsid w:val="00920A58"/>
    <w:rsid w:val="00920A8C"/>
    <w:rsid w:val="0093430F"/>
    <w:rsid w:val="00934A2C"/>
    <w:rsid w:val="0094396B"/>
    <w:rsid w:val="00946A6F"/>
    <w:rsid w:val="0095158B"/>
    <w:rsid w:val="00954890"/>
    <w:rsid w:val="00956354"/>
    <w:rsid w:val="009568DB"/>
    <w:rsid w:val="0096233E"/>
    <w:rsid w:val="0096706E"/>
    <w:rsid w:val="00975C4E"/>
    <w:rsid w:val="00976A68"/>
    <w:rsid w:val="009802DE"/>
    <w:rsid w:val="00981FBA"/>
    <w:rsid w:val="00990BDE"/>
    <w:rsid w:val="00996E8A"/>
    <w:rsid w:val="00997BC5"/>
    <w:rsid w:val="009A02B6"/>
    <w:rsid w:val="009A4F41"/>
    <w:rsid w:val="009B0A71"/>
    <w:rsid w:val="009B2E24"/>
    <w:rsid w:val="009B381B"/>
    <w:rsid w:val="009B646B"/>
    <w:rsid w:val="009D00A7"/>
    <w:rsid w:val="009D1753"/>
    <w:rsid w:val="009D5AA1"/>
    <w:rsid w:val="009D7611"/>
    <w:rsid w:val="009D7A26"/>
    <w:rsid w:val="009E0B61"/>
    <w:rsid w:val="009E53DE"/>
    <w:rsid w:val="009F0B9A"/>
    <w:rsid w:val="009F5852"/>
    <w:rsid w:val="00A07CFD"/>
    <w:rsid w:val="00A278B2"/>
    <w:rsid w:val="00A328B3"/>
    <w:rsid w:val="00A41CEB"/>
    <w:rsid w:val="00A47F90"/>
    <w:rsid w:val="00A50FCF"/>
    <w:rsid w:val="00A528D1"/>
    <w:rsid w:val="00A57590"/>
    <w:rsid w:val="00A610CD"/>
    <w:rsid w:val="00A66862"/>
    <w:rsid w:val="00A72B47"/>
    <w:rsid w:val="00A807B2"/>
    <w:rsid w:val="00A87534"/>
    <w:rsid w:val="00AA09A2"/>
    <w:rsid w:val="00AA7996"/>
    <w:rsid w:val="00AA7A16"/>
    <w:rsid w:val="00AB4E78"/>
    <w:rsid w:val="00AB4ECB"/>
    <w:rsid w:val="00AC19CB"/>
    <w:rsid w:val="00AC360D"/>
    <w:rsid w:val="00AE5488"/>
    <w:rsid w:val="00AE6F91"/>
    <w:rsid w:val="00AE7664"/>
    <w:rsid w:val="00AF5571"/>
    <w:rsid w:val="00B05658"/>
    <w:rsid w:val="00B056A5"/>
    <w:rsid w:val="00B06C08"/>
    <w:rsid w:val="00B071E3"/>
    <w:rsid w:val="00B07341"/>
    <w:rsid w:val="00B30539"/>
    <w:rsid w:val="00B314DB"/>
    <w:rsid w:val="00B31F2B"/>
    <w:rsid w:val="00B35019"/>
    <w:rsid w:val="00B361F2"/>
    <w:rsid w:val="00B3718B"/>
    <w:rsid w:val="00B4632A"/>
    <w:rsid w:val="00B530F1"/>
    <w:rsid w:val="00B54F06"/>
    <w:rsid w:val="00B56E0F"/>
    <w:rsid w:val="00B57C51"/>
    <w:rsid w:val="00B630C3"/>
    <w:rsid w:val="00B648E4"/>
    <w:rsid w:val="00B771D1"/>
    <w:rsid w:val="00B851B0"/>
    <w:rsid w:val="00B92528"/>
    <w:rsid w:val="00BA2230"/>
    <w:rsid w:val="00BA275B"/>
    <w:rsid w:val="00BA276C"/>
    <w:rsid w:val="00BA2F42"/>
    <w:rsid w:val="00BA5AE7"/>
    <w:rsid w:val="00BB306F"/>
    <w:rsid w:val="00BD4B89"/>
    <w:rsid w:val="00BF64F4"/>
    <w:rsid w:val="00BF6FD8"/>
    <w:rsid w:val="00BF75E2"/>
    <w:rsid w:val="00C00B36"/>
    <w:rsid w:val="00C012A0"/>
    <w:rsid w:val="00C03680"/>
    <w:rsid w:val="00C054DF"/>
    <w:rsid w:val="00C21762"/>
    <w:rsid w:val="00C24543"/>
    <w:rsid w:val="00C2548A"/>
    <w:rsid w:val="00C256A2"/>
    <w:rsid w:val="00C31156"/>
    <w:rsid w:val="00C4132F"/>
    <w:rsid w:val="00C47021"/>
    <w:rsid w:val="00C51515"/>
    <w:rsid w:val="00C5660B"/>
    <w:rsid w:val="00C66B72"/>
    <w:rsid w:val="00C74D83"/>
    <w:rsid w:val="00C7586F"/>
    <w:rsid w:val="00C77B4F"/>
    <w:rsid w:val="00C9567A"/>
    <w:rsid w:val="00CA0BDC"/>
    <w:rsid w:val="00CA4B0F"/>
    <w:rsid w:val="00CB212D"/>
    <w:rsid w:val="00CB2660"/>
    <w:rsid w:val="00CB2CAF"/>
    <w:rsid w:val="00CC48E5"/>
    <w:rsid w:val="00CC5475"/>
    <w:rsid w:val="00CC5E90"/>
    <w:rsid w:val="00CC6E48"/>
    <w:rsid w:val="00CD046C"/>
    <w:rsid w:val="00CD14B8"/>
    <w:rsid w:val="00CD4F38"/>
    <w:rsid w:val="00CE076C"/>
    <w:rsid w:val="00CE30A7"/>
    <w:rsid w:val="00CE5199"/>
    <w:rsid w:val="00CE6553"/>
    <w:rsid w:val="00CE66D5"/>
    <w:rsid w:val="00CF637A"/>
    <w:rsid w:val="00D059DE"/>
    <w:rsid w:val="00D110D7"/>
    <w:rsid w:val="00D13FCE"/>
    <w:rsid w:val="00D1656C"/>
    <w:rsid w:val="00D16DF4"/>
    <w:rsid w:val="00D221BC"/>
    <w:rsid w:val="00D23596"/>
    <w:rsid w:val="00D25D3A"/>
    <w:rsid w:val="00D306D1"/>
    <w:rsid w:val="00D34786"/>
    <w:rsid w:val="00D377B9"/>
    <w:rsid w:val="00D37BFC"/>
    <w:rsid w:val="00D454E9"/>
    <w:rsid w:val="00D47A8E"/>
    <w:rsid w:val="00D52D14"/>
    <w:rsid w:val="00D712D3"/>
    <w:rsid w:val="00D71422"/>
    <w:rsid w:val="00D72DC6"/>
    <w:rsid w:val="00D7558D"/>
    <w:rsid w:val="00D77BE6"/>
    <w:rsid w:val="00D81D92"/>
    <w:rsid w:val="00D91341"/>
    <w:rsid w:val="00DA7B5F"/>
    <w:rsid w:val="00DB23BA"/>
    <w:rsid w:val="00DB5001"/>
    <w:rsid w:val="00DB50F2"/>
    <w:rsid w:val="00DC11E7"/>
    <w:rsid w:val="00DC7023"/>
    <w:rsid w:val="00DC769A"/>
    <w:rsid w:val="00DD0DF1"/>
    <w:rsid w:val="00DD3D86"/>
    <w:rsid w:val="00DD4776"/>
    <w:rsid w:val="00DE558B"/>
    <w:rsid w:val="00DF1EC4"/>
    <w:rsid w:val="00E0340B"/>
    <w:rsid w:val="00E04A90"/>
    <w:rsid w:val="00E219C7"/>
    <w:rsid w:val="00E35C7C"/>
    <w:rsid w:val="00E43157"/>
    <w:rsid w:val="00E43946"/>
    <w:rsid w:val="00E461CE"/>
    <w:rsid w:val="00E57A39"/>
    <w:rsid w:val="00E625C2"/>
    <w:rsid w:val="00E66CB9"/>
    <w:rsid w:val="00E720CA"/>
    <w:rsid w:val="00E80288"/>
    <w:rsid w:val="00E84EB5"/>
    <w:rsid w:val="00E85662"/>
    <w:rsid w:val="00E8789F"/>
    <w:rsid w:val="00E9480D"/>
    <w:rsid w:val="00E95FCC"/>
    <w:rsid w:val="00E97B71"/>
    <w:rsid w:val="00EA108E"/>
    <w:rsid w:val="00EA185F"/>
    <w:rsid w:val="00EA3D34"/>
    <w:rsid w:val="00EB454D"/>
    <w:rsid w:val="00EB6C2B"/>
    <w:rsid w:val="00ED1CF8"/>
    <w:rsid w:val="00ED3A83"/>
    <w:rsid w:val="00ED521B"/>
    <w:rsid w:val="00ED76BE"/>
    <w:rsid w:val="00EE1CF7"/>
    <w:rsid w:val="00EE72F1"/>
    <w:rsid w:val="00EF1E7A"/>
    <w:rsid w:val="00EF619B"/>
    <w:rsid w:val="00F00B55"/>
    <w:rsid w:val="00F01097"/>
    <w:rsid w:val="00F0159C"/>
    <w:rsid w:val="00F02AD1"/>
    <w:rsid w:val="00F07180"/>
    <w:rsid w:val="00F15DD3"/>
    <w:rsid w:val="00F17C42"/>
    <w:rsid w:val="00F17D97"/>
    <w:rsid w:val="00F2241E"/>
    <w:rsid w:val="00F253CC"/>
    <w:rsid w:val="00F258BD"/>
    <w:rsid w:val="00F25918"/>
    <w:rsid w:val="00F25E2A"/>
    <w:rsid w:val="00F33D61"/>
    <w:rsid w:val="00F37106"/>
    <w:rsid w:val="00F44311"/>
    <w:rsid w:val="00F519CF"/>
    <w:rsid w:val="00F56BA5"/>
    <w:rsid w:val="00F60E22"/>
    <w:rsid w:val="00F77A73"/>
    <w:rsid w:val="00F81395"/>
    <w:rsid w:val="00F82AC1"/>
    <w:rsid w:val="00F84AD7"/>
    <w:rsid w:val="00F9066D"/>
    <w:rsid w:val="00F917D1"/>
    <w:rsid w:val="00F9653B"/>
    <w:rsid w:val="00FA2739"/>
    <w:rsid w:val="00FB41BC"/>
    <w:rsid w:val="00FB62CF"/>
    <w:rsid w:val="00FC50B5"/>
    <w:rsid w:val="00FD3C3B"/>
    <w:rsid w:val="00FE389B"/>
    <w:rsid w:val="00FE6B45"/>
    <w:rsid w:val="00FE7516"/>
    <w:rsid w:val="00FF19D3"/>
    <w:rsid w:val="00FF55F3"/>
    <w:rsid w:val="00FF5851"/>
    <w:rsid w:val="00FF6A6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EndnoteReference">
    <w:name w:val="endnote reference"/>
    <w:basedOn w:val="DefaultParagraphFont"/>
    <w:uiPriority w:val="99"/>
    <w:semiHidden/>
    <w:unhideWhenUsed/>
    <w:rsid w:val="001540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EndnoteReference">
    <w:name w:val="endnote reference"/>
    <w:basedOn w:val="DefaultParagraphFont"/>
    <w:uiPriority w:val="99"/>
    <w:semiHidden/>
    <w:unhideWhenUsed/>
    <w:rsid w:val="00154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2863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C28B-6BF8-496D-A30E-555982FB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4791</Words>
  <Characters>27315</Characters>
  <Application>Microsoft Office Word</Application>
  <DocSecurity>0</DocSecurity>
  <Lines>227</Lines>
  <Paragraphs>64</Paragraphs>
  <ScaleCrop>false</ScaleCrop>
  <Company/>
  <LinksUpToDate>false</LinksUpToDate>
  <CharactersWithSpaces>32042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57/15</dc:title>
  <dc:creator/>
  <cp:lastModifiedBy/>
  <cp:revision>1</cp:revision>
  <dcterms:created xsi:type="dcterms:W3CDTF">2015-12-30T15:59:00Z</dcterms:created>
  <dcterms:modified xsi:type="dcterms:W3CDTF">2015-12-30T16:00:00Z</dcterms:modified>
</cp:coreProperties>
</file>