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A60069" w:rsidRDefault="00D306D1" w:rsidP="00627C9F">
      <w:pPr>
        <w:jc w:val="both"/>
        <w:rPr>
          <w:rFonts w:asciiTheme="majorHAnsi" w:hAnsiTheme="majorHAnsi" w:cs="Univers"/>
          <w:b/>
          <w:bCs/>
          <w:sz w:val="22"/>
          <w:szCs w:val="22"/>
          <w:lang w:val="es-ES_tradnl"/>
        </w:rPr>
      </w:pPr>
      <w:r w:rsidRPr="00A6006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4979410" wp14:editId="6617FAF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6006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1037E58" wp14:editId="3E12BAA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900" w:rsidRDefault="005B7900" w:rsidP="00AE5488">
                            <w:r>
                              <w:rPr>
                                <w:noProof/>
                              </w:rPr>
                              <w:drawing>
                                <wp:inline distT="0" distB="0" distL="0" distR="0" wp14:anchorId="05DBEBC6" wp14:editId="60F0B42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5B7900" w:rsidRDefault="005B7900" w:rsidP="00AE5488">
                      <w:r>
                        <w:rPr>
                          <w:noProof/>
                        </w:rPr>
                        <w:drawing>
                          <wp:inline distT="0" distB="0" distL="0" distR="0" wp14:anchorId="05DBEBC6" wp14:editId="60F0B42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A60069" w:rsidRDefault="00040C3A" w:rsidP="00040C3A">
      <w:pPr>
        <w:tabs>
          <w:tab w:val="center" w:pos="5400"/>
        </w:tabs>
        <w:suppressAutoHyphens/>
        <w:jc w:val="both"/>
        <w:rPr>
          <w:rFonts w:asciiTheme="majorHAnsi" w:hAnsiTheme="majorHAnsi"/>
          <w:sz w:val="22"/>
          <w:szCs w:val="22"/>
          <w:lang w:val="es-ES"/>
        </w:rPr>
      </w:pPr>
    </w:p>
    <w:p w:rsidR="00040C3A" w:rsidRPr="00A60069" w:rsidRDefault="00040C3A" w:rsidP="00040C3A">
      <w:pPr>
        <w:tabs>
          <w:tab w:val="center" w:pos="5400"/>
        </w:tabs>
        <w:suppressAutoHyphens/>
        <w:jc w:val="both"/>
        <w:rPr>
          <w:rFonts w:asciiTheme="majorHAnsi" w:hAnsiTheme="majorHAnsi"/>
          <w:sz w:val="22"/>
          <w:szCs w:val="22"/>
          <w:lang w:val="es-ES"/>
        </w:rPr>
      </w:pPr>
    </w:p>
    <w:p w:rsidR="005128E4" w:rsidRPr="00A60069" w:rsidRDefault="005128E4" w:rsidP="00040C3A">
      <w:pPr>
        <w:tabs>
          <w:tab w:val="center" w:pos="5400"/>
        </w:tabs>
        <w:suppressAutoHyphens/>
        <w:rPr>
          <w:rFonts w:asciiTheme="majorHAnsi" w:hAnsiTheme="majorHAnsi"/>
          <w:sz w:val="22"/>
          <w:szCs w:val="22"/>
          <w:lang w:val="es-ES_tradnl"/>
        </w:rPr>
      </w:pPr>
    </w:p>
    <w:p w:rsidR="005128E4" w:rsidRPr="00A60069" w:rsidRDefault="005128E4" w:rsidP="00040C3A">
      <w:pPr>
        <w:tabs>
          <w:tab w:val="center" w:pos="5400"/>
        </w:tabs>
        <w:suppressAutoHyphens/>
        <w:rPr>
          <w:rFonts w:asciiTheme="majorHAnsi" w:hAnsiTheme="majorHAnsi"/>
          <w:sz w:val="22"/>
          <w:szCs w:val="22"/>
          <w:lang w:val="es-ES_tradnl"/>
        </w:rPr>
      </w:pPr>
    </w:p>
    <w:p w:rsidR="005128E4" w:rsidRPr="00A60069" w:rsidRDefault="005128E4" w:rsidP="00040C3A">
      <w:pPr>
        <w:tabs>
          <w:tab w:val="center" w:pos="5400"/>
        </w:tabs>
        <w:suppressAutoHyphens/>
        <w:rPr>
          <w:rFonts w:asciiTheme="majorHAnsi" w:hAnsiTheme="majorHAnsi"/>
          <w:sz w:val="22"/>
          <w:szCs w:val="22"/>
          <w:lang w:val="es-ES_tradnl"/>
        </w:rPr>
      </w:pPr>
    </w:p>
    <w:p w:rsidR="00040C3A" w:rsidRPr="00A60069" w:rsidRDefault="00040C3A" w:rsidP="005128E4">
      <w:pPr>
        <w:tabs>
          <w:tab w:val="center" w:pos="5400"/>
        </w:tabs>
        <w:suppressAutoHyphens/>
        <w:jc w:val="center"/>
        <w:rPr>
          <w:rFonts w:asciiTheme="majorHAnsi" w:hAnsiTheme="majorHAnsi"/>
          <w:sz w:val="22"/>
          <w:szCs w:val="22"/>
          <w:lang w:val="es-ES_tradnl"/>
        </w:rPr>
      </w:pPr>
    </w:p>
    <w:p w:rsidR="00040C3A" w:rsidRPr="00A60069" w:rsidRDefault="00040C3A" w:rsidP="005128E4">
      <w:pPr>
        <w:tabs>
          <w:tab w:val="center" w:pos="5400"/>
        </w:tabs>
        <w:suppressAutoHyphens/>
        <w:jc w:val="center"/>
        <w:rPr>
          <w:rFonts w:asciiTheme="majorHAnsi" w:hAnsiTheme="majorHAnsi"/>
          <w:sz w:val="22"/>
          <w:szCs w:val="22"/>
          <w:lang w:val="es-ES_tradnl"/>
        </w:rPr>
      </w:pPr>
    </w:p>
    <w:p w:rsidR="005B52B0" w:rsidRPr="00A60069" w:rsidRDefault="005B52B0" w:rsidP="005128E4">
      <w:pPr>
        <w:tabs>
          <w:tab w:val="center" w:pos="5400"/>
        </w:tabs>
        <w:suppressAutoHyphens/>
        <w:jc w:val="center"/>
        <w:rPr>
          <w:rFonts w:asciiTheme="majorHAnsi" w:hAnsiTheme="majorHAnsi"/>
          <w:sz w:val="22"/>
          <w:szCs w:val="22"/>
          <w:lang w:val="es-ES_tradnl"/>
        </w:rPr>
      </w:pPr>
    </w:p>
    <w:p w:rsidR="005B52B0" w:rsidRPr="00A60069" w:rsidRDefault="005B52B0" w:rsidP="005128E4">
      <w:pPr>
        <w:tabs>
          <w:tab w:val="center" w:pos="5400"/>
        </w:tabs>
        <w:suppressAutoHyphens/>
        <w:jc w:val="center"/>
        <w:rPr>
          <w:rFonts w:asciiTheme="majorHAnsi" w:hAnsiTheme="majorHAnsi"/>
          <w:sz w:val="22"/>
          <w:szCs w:val="22"/>
          <w:lang w:val="es-ES_tradnl"/>
        </w:rPr>
      </w:pPr>
    </w:p>
    <w:p w:rsidR="005B52B0" w:rsidRPr="00A60069" w:rsidRDefault="005B52B0" w:rsidP="005128E4">
      <w:pPr>
        <w:tabs>
          <w:tab w:val="center" w:pos="5400"/>
        </w:tabs>
        <w:suppressAutoHyphens/>
        <w:jc w:val="center"/>
        <w:rPr>
          <w:rFonts w:asciiTheme="majorHAnsi" w:hAnsiTheme="majorHAnsi"/>
          <w:sz w:val="22"/>
          <w:szCs w:val="22"/>
          <w:lang w:val="es-ES_tradnl"/>
        </w:rPr>
      </w:pPr>
    </w:p>
    <w:p w:rsidR="00040C3A" w:rsidRPr="00A60069" w:rsidRDefault="00040C3A" w:rsidP="00040C3A">
      <w:pPr>
        <w:tabs>
          <w:tab w:val="center" w:pos="5400"/>
        </w:tabs>
        <w:suppressAutoHyphens/>
        <w:jc w:val="center"/>
        <w:rPr>
          <w:rFonts w:asciiTheme="majorHAnsi" w:hAnsiTheme="majorHAnsi"/>
          <w:sz w:val="22"/>
          <w:szCs w:val="22"/>
          <w:lang w:val="es-ES_tradnl"/>
        </w:rPr>
      </w:pPr>
    </w:p>
    <w:p w:rsidR="00040C3A" w:rsidRPr="00A60069" w:rsidRDefault="00040C3A" w:rsidP="00040C3A">
      <w:pPr>
        <w:tabs>
          <w:tab w:val="center" w:pos="5400"/>
        </w:tabs>
        <w:suppressAutoHyphens/>
        <w:jc w:val="center"/>
        <w:rPr>
          <w:rFonts w:asciiTheme="majorHAnsi" w:hAnsiTheme="majorHAnsi"/>
          <w:sz w:val="22"/>
          <w:szCs w:val="22"/>
          <w:lang w:val="es-ES_tradnl"/>
        </w:rPr>
      </w:pPr>
    </w:p>
    <w:p w:rsidR="00040C3A" w:rsidRPr="00A60069" w:rsidRDefault="003D3BC2" w:rsidP="00040C3A">
      <w:pPr>
        <w:tabs>
          <w:tab w:val="center" w:pos="5400"/>
        </w:tabs>
        <w:suppressAutoHyphens/>
        <w:jc w:val="center"/>
        <w:rPr>
          <w:rFonts w:asciiTheme="majorHAnsi" w:hAnsiTheme="majorHAnsi"/>
          <w:sz w:val="22"/>
          <w:szCs w:val="22"/>
          <w:lang w:val="es-ES_tradnl"/>
        </w:rPr>
      </w:pPr>
      <w:r w:rsidRPr="00A6006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F906E57" wp14:editId="12E5E43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900" w:rsidRPr="004E2649" w:rsidRDefault="005B790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01F44">
                              <w:rPr>
                                <w:rFonts w:asciiTheme="majorHAnsi" w:hAnsiTheme="majorHAnsi" w:cs="Arial"/>
                                <w:b/>
                                <w:bCs/>
                                <w:color w:val="0D0D0D" w:themeColor="text1" w:themeTint="F2"/>
                                <w:sz w:val="36"/>
                                <w:szCs w:val="22"/>
                                <w:lang w:val="es-ES_tradnl"/>
                              </w:rPr>
                              <w:t>39</w:t>
                            </w:r>
                            <w:r>
                              <w:rPr>
                                <w:rFonts w:asciiTheme="majorHAnsi" w:hAnsiTheme="majorHAnsi" w:cs="Arial"/>
                                <w:b/>
                                <w:bCs/>
                                <w:color w:val="0D0D0D" w:themeColor="text1" w:themeTint="F2"/>
                                <w:sz w:val="36"/>
                                <w:szCs w:val="22"/>
                                <w:lang w:val="es-ES_tradnl"/>
                              </w:rPr>
                              <w:t>/</w:t>
                            </w:r>
                            <w:r w:rsidR="007D524A">
                              <w:rPr>
                                <w:rFonts w:asciiTheme="majorHAnsi" w:hAnsiTheme="majorHAnsi" w:cs="Arial"/>
                                <w:b/>
                                <w:bCs/>
                                <w:color w:val="0D0D0D" w:themeColor="text1" w:themeTint="F2"/>
                                <w:sz w:val="36"/>
                                <w:szCs w:val="22"/>
                                <w:lang w:val="es-ES_tradnl"/>
                              </w:rPr>
                              <w:t>16</w:t>
                            </w:r>
                          </w:p>
                          <w:p w:rsidR="005B7900" w:rsidRPr="004E2649" w:rsidRDefault="005B790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24D48">
                              <w:rPr>
                                <w:rFonts w:asciiTheme="majorHAnsi" w:hAnsiTheme="majorHAnsi" w:cs="Arial"/>
                                <w:b/>
                                <w:color w:val="0D0D0D" w:themeColor="text1" w:themeTint="F2"/>
                                <w:sz w:val="36"/>
                                <w:szCs w:val="22"/>
                                <w:lang w:val="es-ES_tradnl"/>
                              </w:rPr>
                              <w:t>196-01</w:t>
                            </w:r>
                            <w:r w:rsidRPr="004E2649">
                              <w:rPr>
                                <w:rFonts w:asciiTheme="majorHAnsi" w:hAnsiTheme="majorHAnsi" w:cs="Arial"/>
                                <w:b/>
                                <w:color w:val="0D0D0D" w:themeColor="text1" w:themeTint="F2"/>
                                <w:sz w:val="36"/>
                                <w:szCs w:val="22"/>
                                <w:lang w:val="es-ES_tradnl"/>
                              </w:rPr>
                              <w:t xml:space="preserve"> </w:t>
                            </w:r>
                          </w:p>
                          <w:p w:rsidR="005B7900" w:rsidRPr="0010736F" w:rsidRDefault="005B790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5B7900" w:rsidRPr="0010736F" w:rsidRDefault="005B7900" w:rsidP="00997BC5">
                            <w:pPr>
                              <w:spacing w:line="276" w:lineRule="auto"/>
                              <w:rPr>
                                <w:rFonts w:asciiTheme="majorHAnsi" w:hAnsiTheme="majorHAnsi" w:cs="Arial"/>
                                <w:color w:val="0D0D0D" w:themeColor="text1" w:themeTint="F2"/>
                                <w:szCs w:val="22"/>
                                <w:lang w:val="es-ES_tradnl"/>
                              </w:rPr>
                            </w:pPr>
                            <w:bookmarkStart w:id="1" w:name="_ftnref1"/>
                          </w:p>
                          <w:p w:rsidR="005B7900" w:rsidRPr="0010736F" w:rsidRDefault="00724D4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ALBERTO PICCIOT</w:t>
                            </w:r>
                            <w:r w:rsidR="00117A95">
                              <w:rPr>
                                <w:rFonts w:asciiTheme="majorHAnsi" w:hAnsiTheme="majorHAnsi" w:cs="Arial"/>
                                <w:color w:val="0D0D0D" w:themeColor="text1" w:themeTint="F2"/>
                                <w:szCs w:val="22"/>
                                <w:lang w:val="es-ES_tradnl"/>
                              </w:rPr>
                              <w:t>T</w:t>
                            </w:r>
                            <w:r>
                              <w:rPr>
                                <w:rFonts w:asciiTheme="majorHAnsi" w:hAnsiTheme="majorHAnsi" w:cs="Arial"/>
                                <w:color w:val="0D0D0D" w:themeColor="text1" w:themeTint="F2"/>
                                <w:szCs w:val="22"/>
                                <w:lang w:val="es-ES_tradnl"/>
                              </w:rPr>
                              <w:t>O</w:t>
                            </w:r>
                          </w:p>
                          <w:bookmarkEnd w:id="1"/>
                          <w:p w:rsidR="005B7900" w:rsidRPr="0010736F" w:rsidRDefault="005B790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7900" w:rsidRPr="00AE5488" w:rsidRDefault="005B790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7900" w:rsidRPr="004E2649" w:rsidRDefault="005B790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01F44">
                        <w:rPr>
                          <w:rFonts w:asciiTheme="majorHAnsi" w:hAnsiTheme="majorHAnsi" w:cs="Arial"/>
                          <w:b/>
                          <w:bCs/>
                          <w:color w:val="0D0D0D" w:themeColor="text1" w:themeTint="F2"/>
                          <w:sz w:val="36"/>
                          <w:szCs w:val="22"/>
                          <w:lang w:val="es-ES_tradnl"/>
                        </w:rPr>
                        <w:t>39</w:t>
                      </w:r>
                      <w:r>
                        <w:rPr>
                          <w:rFonts w:asciiTheme="majorHAnsi" w:hAnsiTheme="majorHAnsi" w:cs="Arial"/>
                          <w:b/>
                          <w:bCs/>
                          <w:color w:val="0D0D0D" w:themeColor="text1" w:themeTint="F2"/>
                          <w:sz w:val="36"/>
                          <w:szCs w:val="22"/>
                          <w:lang w:val="es-ES_tradnl"/>
                        </w:rPr>
                        <w:t>/</w:t>
                      </w:r>
                      <w:r w:rsidR="007D524A">
                        <w:rPr>
                          <w:rFonts w:asciiTheme="majorHAnsi" w:hAnsiTheme="majorHAnsi" w:cs="Arial"/>
                          <w:b/>
                          <w:bCs/>
                          <w:color w:val="0D0D0D" w:themeColor="text1" w:themeTint="F2"/>
                          <w:sz w:val="36"/>
                          <w:szCs w:val="22"/>
                          <w:lang w:val="es-ES_tradnl"/>
                        </w:rPr>
                        <w:t>16</w:t>
                      </w:r>
                    </w:p>
                    <w:p w:rsidR="005B7900" w:rsidRPr="004E2649" w:rsidRDefault="005B790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24D48">
                        <w:rPr>
                          <w:rFonts w:asciiTheme="majorHAnsi" w:hAnsiTheme="majorHAnsi" w:cs="Arial"/>
                          <w:b/>
                          <w:color w:val="0D0D0D" w:themeColor="text1" w:themeTint="F2"/>
                          <w:sz w:val="36"/>
                          <w:szCs w:val="22"/>
                          <w:lang w:val="es-ES_tradnl"/>
                        </w:rPr>
                        <w:t>196-01</w:t>
                      </w:r>
                      <w:r w:rsidRPr="004E2649">
                        <w:rPr>
                          <w:rFonts w:asciiTheme="majorHAnsi" w:hAnsiTheme="majorHAnsi" w:cs="Arial"/>
                          <w:b/>
                          <w:color w:val="0D0D0D" w:themeColor="text1" w:themeTint="F2"/>
                          <w:sz w:val="36"/>
                          <w:szCs w:val="22"/>
                          <w:lang w:val="es-ES_tradnl"/>
                        </w:rPr>
                        <w:t xml:space="preserve"> </w:t>
                      </w:r>
                    </w:p>
                    <w:p w:rsidR="005B7900" w:rsidRPr="0010736F" w:rsidRDefault="005B790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5B7900" w:rsidRPr="0010736F" w:rsidRDefault="005B7900" w:rsidP="00997BC5">
                      <w:pPr>
                        <w:spacing w:line="276" w:lineRule="auto"/>
                        <w:rPr>
                          <w:rFonts w:asciiTheme="majorHAnsi" w:hAnsiTheme="majorHAnsi" w:cs="Arial"/>
                          <w:color w:val="0D0D0D" w:themeColor="text1" w:themeTint="F2"/>
                          <w:szCs w:val="22"/>
                          <w:lang w:val="es-ES_tradnl"/>
                        </w:rPr>
                      </w:pPr>
                      <w:bookmarkStart w:id="2" w:name="_ftnref1"/>
                    </w:p>
                    <w:p w:rsidR="005B7900" w:rsidRPr="0010736F" w:rsidRDefault="00724D4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ALBERTO PICCIOT</w:t>
                      </w:r>
                      <w:r w:rsidR="00117A95">
                        <w:rPr>
                          <w:rFonts w:asciiTheme="majorHAnsi" w:hAnsiTheme="majorHAnsi" w:cs="Arial"/>
                          <w:color w:val="0D0D0D" w:themeColor="text1" w:themeTint="F2"/>
                          <w:szCs w:val="22"/>
                          <w:lang w:val="es-ES_tradnl"/>
                        </w:rPr>
                        <w:t>T</w:t>
                      </w:r>
                      <w:r>
                        <w:rPr>
                          <w:rFonts w:asciiTheme="majorHAnsi" w:hAnsiTheme="majorHAnsi" w:cs="Arial"/>
                          <w:color w:val="0D0D0D" w:themeColor="text1" w:themeTint="F2"/>
                          <w:szCs w:val="22"/>
                          <w:lang w:val="es-ES_tradnl"/>
                        </w:rPr>
                        <w:t>O</w:t>
                      </w:r>
                    </w:p>
                    <w:bookmarkEnd w:id="2"/>
                    <w:p w:rsidR="005B7900" w:rsidRPr="0010736F" w:rsidRDefault="005B790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7900" w:rsidRPr="00AE5488" w:rsidRDefault="005B7900" w:rsidP="007A5817">
                      <w:pPr>
                        <w:rPr>
                          <w:color w:val="0D0D0D" w:themeColor="text1" w:themeTint="F2"/>
                          <w:lang w:val="es-ES_tradnl"/>
                        </w:rPr>
                      </w:pPr>
                    </w:p>
                  </w:txbxContent>
                </v:textbox>
              </v:shape>
            </w:pict>
          </mc:Fallback>
        </mc:AlternateContent>
      </w:r>
      <w:r w:rsidR="004E2649" w:rsidRPr="00A6006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871A98A" wp14:editId="5B81E18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900" w:rsidRPr="00DA3BCB" w:rsidRDefault="005B7900" w:rsidP="007A5817">
                            <w:pPr>
                              <w:spacing w:line="276" w:lineRule="auto"/>
                              <w:jc w:val="right"/>
                              <w:rPr>
                                <w:rFonts w:asciiTheme="minorHAnsi" w:hAnsiTheme="minorHAnsi"/>
                                <w:color w:val="FFFFFF" w:themeColor="background1"/>
                                <w:sz w:val="22"/>
                                <w:lang w:val="pt-BR"/>
                              </w:rPr>
                            </w:pPr>
                            <w:r w:rsidRPr="00DA3BCB">
                              <w:rPr>
                                <w:rFonts w:asciiTheme="minorHAnsi" w:hAnsiTheme="minorHAnsi"/>
                                <w:color w:val="FFFFFF" w:themeColor="background1"/>
                                <w:sz w:val="22"/>
                                <w:lang w:val="pt-BR"/>
                              </w:rPr>
                              <w:t>OEA/Ser.L/V/II.</w:t>
                            </w:r>
                          </w:p>
                          <w:p w:rsidR="005B7900" w:rsidRPr="00DA3BCB" w:rsidRDefault="005B7900" w:rsidP="007A5817">
                            <w:pPr>
                              <w:spacing w:line="276" w:lineRule="auto"/>
                              <w:jc w:val="right"/>
                              <w:rPr>
                                <w:rFonts w:asciiTheme="minorHAnsi" w:hAnsiTheme="minorHAnsi"/>
                                <w:color w:val="FFFFFF" w:themeColor="background1"/>
                                <w:sz w:val="22"/>
                                <w:lang w:val="pt-BR"/>
                              </w:rPr>
                            </w:pPr>
                            <w:r w:rsidRPr="00DA3BCB">
                              <w:rPr>
                                <w:rFonts w:asciiTheme="minorHAnsi" w:hAnsiTheme="minorHAnsi"/>
                                <w:color w:val="FFFFFF" w:themeColor="background1"/>
                                <w:sz w:val="22"/>
                                <w:lang w:val="pt-BR"/>
                              </w:rPr>
                              <w:t xml:space="preserve">Doc. </w:t>
                            </w:r>
                            <w:r w:rsidR="00DA3BCB" w:rsidRPr="00DA3BCB">
                              <w:rPr>
                                <w:rFonts w:asciiTheme="minorHAnsi" w:hAnsiTheme="minorHAnsi"/>
                                <w:color w:val="FFFFFF" w:themeColor="background1"/>
                                <w:sz w:val="22"/>
                                <w:lang w:val="pt-BR"/>
                              </w:rPr>
                              <w:t>44</w:t>
                            </w:r>
                          </w:p>
                          <w:p w:rsidR="005B7900" w:rsidRPr="00DA3BCB" w:rsidRDefault="00F01F44" w:rsidP="007A5817">
                            <w:pPr>
                              <w:spacing w:line="276" w:lineRule="auto"/>
                              <w:jc w:val="right"/>
                              <w:rPr>
                                <w:rFonts w:asciiTheme="minorHAnsi" w:hAnsiTheme="minorHAnsi"/>
                                <w:color w:val="FFFFFF" w:themeColor="background1"/>
                                <w:sz w:val="22"/>
                                <w:lang w:val="es-ES"/>
                              </w:rPr>
                            </w:pPr>
                            <w:r w:rsidRPr="00DA3BCB">
                              <w:rPr>
                                <w:rFonts w:asciiTheme="minorHAnsi" w:hAnsiTheme="minorHAnsi"/>
                                <w:color w:val="FFFFFF" w:themeColor="background1"/>
                                <w:sz w:val="22"/>
                                <w:lang w:val="es-ES"/>
                              </w:rPr>
                              <w:t>31</w:t>
                            </w:r>
                            <w:r w:rsidR="005B7900" w:rsidRPr="00DA3BCB">
                              <w:rPr>
                                <w:rFonts w:asciiTheme="minorHAnsi" w:hAnsiTheme="minorHAnsi"/>
                                <w:color w:val="FFFFFF" w:themeColor="background1"/>
                                <w:sz w:val="22"/>
                                <w:lang w:val="es-ES"/>
                              </w:rPr>
                              <w:t xml:space="preserve"> </w:t>
                            </w:r>
                            <w:r w:rsidRPr="00DA3BCB">
                              <w:rPr>
                                <w:rFonts w:asciiTheme="minorHAnsi" w:hAnsiTheme="minorHAnsi"/>
                                <w:color w:val="FFFFFF" w:themeColor="background1"/>
                                <w:sz w:val="22"/>
                                <w:lang w:val="es-ES"/>
                              </w:rPr>
                              <w:t>agosto</w:t>
                            </w:r>
                            <w:r w:rsidR="005B7900" w:rsidRPr="00DA3BCB">
                              <w:rPr>
                                <w:rFonts w:asciiTheme="minorHAnsi" w:hAnsiTheme="minorHAnsi"/>
                                <w:color w:val="FFFFFF" w:themeColor="background1"/>
                                <w:sz w:val="22"/>
                                <w:lang w:val="es-ES"/>
                              </w:rPr>
                              <w:t xml:space="preserve"> 201</w:t>
                            </w:r>
                            <w:r w:rsidRPr="00DA3BCB">
                              <w:rPr>
                                <w:rFonts w:asciiTheme="minorHAnsi" w:hAnsiTheme="minorHAnsi"/>
                                <w:color w:val="FFFFFF" w:themeColor="background1"/>
                                <w:sz w:val="22"/>
                                <w:lang w:val="es-ES"/>
                              </w:rPr>
                              <w:t>6</w:t>
                            </w:r>
                          </w:p>
                          <w:p w:rsidR="005B7900" w:rsidRPr="00DA3BCB" w:rsidRDefault="005B7900" w:rsidP="007A5817">
                            <w:pPr>
                              <w:spacing w:line="276" w:lineRule="auto"/>
                              <w:jc w:val="right"/>
                              <w:rPr>
                                <w:rFonts w:asciiTheme="minorHAnsi" w:hAnsiTheme="minorHAnsi"/>
                                <w:color w:val="FFFFFF" w:themeColor="background1"/>
                                <w:sz w:val="22"/>
                                <w:lang w:val="es-ES"/>
                              </w:rPr>
                            </w:pPr>
                            <w:r w:rsidRPr="00DA3BCB">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5B7900" w:rsidRPr="00DA3BCB" w:rsidRDefault="005B7900" w:rsidP="007A5817">
                      <w:pPr>
                        <w:spacing w:line="276" w:lineRule="auto"/>
                        <w:jc w:val="right"/>
                        <w:rPr>
                          <w:rFonts w:asciiTheme="minorHAnsi" w:hAnsiTheme="minorHAnsi"/>
                          <w:color w:val="FFFFFF" w:themeColor="background1"/>
                          <w:sz w:val="22"/>
                          <w:lang w:val="pt-BR"/>
                        </w:rPr>
                      </w:pPr>
                      <w:r w:rsidRPr="00DA3BCB">
                        <w:rPr>
                          <w:rFonts w:asciiTheme="minorHAnsi" w:hAnsiTheme="minorHAnsi"/>
                          <w:color w:val="FFFFFF" w:themeColor="background1"/>
                          <w:sz w:val="22"/>
                          <w:lang w:val="pt-BR"/>
                        </w:rPr>
                        <w:t>OEA/Ser.L/V/II.</w:t>
                      </w:r>
                    </w:p>
                    <w:p w:rsidR="005B7900" w:rsidRPr="00DA3BCB" w:rsidRDefault="005B7900" w:rsidP="007A5817">
                      <w:pPr>
                        <w:spacing w:line="276" w:lineRule="auto"/>
                        <w:jc w:val="right"/>
                        <w:rPr>
                          <w:rFonts w:asciiTheme="minorHAnsi" w:hAnsiTheme="minorHAnsi"/>
                          <w:color w:val="FFFFFF" w:themeColor="background1"/>
                          <w:sz w:val="22"/>
                          <w:lang w:val="pt-BR"/>
                        </w:rPr>
                      </w:pPr>
                      <w:r w:rsidRPr="00DA3BCB">
                        <w:rPr>
                          <w:rFonts w:asciiTheme="minorHAnsi" w:hAnsiTheme="minorHAnsi"/>
                          <w:color w:val="FFFFFF" w:themeColor="background1"/>
                          <w:sz w:val="22"/>
                          <w:lang w:val="pt-BR"/>
                        </w:rPr>
                        <w:t xml:space="preserve">Doc. </w:t>
                      </w:r>
                      <w:r w:rsidR="00DA3BCB" w:rsidRPr="00DA3BCB">
                        <w:rPr>
                          <w:rFonts w:asciiTheme="minorHAnsi" w:hAnsiTheme="minorHAnsi"/>
                          <w:color w:val="FFFFFF" w:themeColor="background1"/>
                          <w:sz w:val="22"/>
                          <w:lang w:val="pt-BR"/>
                        </w:rPr>
                        <w:t>44</w:t>
                      </w:r>
                    </w:p>
                    <w:p w:rsidR="005B7900" w:rsidRPr="00DA3BCB" w:rsidRDefault="00F01F44" w:rsidP="007A5817">
                      <w:pPr>
                        <w:spacing w:line="276" w:lineRule="auto"/>
                        <w:jc w:val="right"/>
                        <w:rPr>
                          <w:rFonts w:asciiTheme="minorHAnsi" w:hAnsiTheme="minorHAnsi"/>
                          <w:color w:val="FFFFFF" w:themeColor="background1"/>
                          <w:sz w:val="22"/>
                          <w:lang w:val="es-ES"/>
                        </w:rPr>
                      </w:pPr>
                      <w:r w:rsidRPr="00DA3BCB">
                        <w:rPr>
                          <w:rFonts w:asciiTheme="minorHAnsi" w:hAnsiTheme="minorHAnsi"/>
                          <w:color w:val="FFFFFF" w:themeColor="background1"/>
                          <w:sz w:val="22"/>
                          <w:lang w:val="es-ES"/>
                        </w:rPr>
                        <w:t>31</w:t>
                      </w:r>
                      <w:r w:rsidR="005B7900" w:rsidRPr="00DA3BCB">
                        <w:rPr>
                          <w:rFonts w:asciiTheme="minorHAnsi" w:hAnsiTheme="minorHAnsi"/>
                          <w:color w:val="FFFFFF" w:themeColor="background1"/>
                          <w:sz w:val="22"/>
                          <w:lang w:val="es-ES"/>
                        </w:rPr>
                        <w:t xml:space="preserve"> </w:t>
                      </w:r>
                      <w:r w:rsidRPr="00DA3BCB">
                        <w:rPr>
                          <w:rFonts w:asciiTheme="minorHAnsi" w:hAnsiTheme="minorHAnsi"/>
                          <w:color w:val="FFFFFF" w:themeColor="background1"/>
                          <w:sz w:val="22"/>
                          <w:lang w:val="es-ES"/>
                        </w:rPr>
                        <w:t>agosto</w:t>
                      </w:r>
                      <w:r w:rsidR="005B7900" w:rsidRPr="00DA3BCB">
                        <w:rPr>
                          <w:rFonts w:asciiTheme="minorHAnsi" w:hAnsiTheme="minorHAnsi"/>
                          <w:color w:val="FFFFFF" w:themeColor="background1"/>
                          <w:sz w:val="22"/>
                          <w:lang w:val="es-ES"/>
                        </w:rPr>
                        <w:t xml:space="preserve"> 201</w:t>
                      </w:r>
                      <w:r w:rsidRPr="00DA3BCB">
                        <w:rPr>
                          <w:rFonts w:asciiTheme="minorHAnsi" w:hAnsiTheme="minorHAnsi"/>
                          <w:color w:val="FFFFFF" w:themeColor="background1"/>
                          <w:sz w:val="22"/>
                          <w:lang w:val="es-ES"/>
                        </w:rPr>
                        <w:t>6</w:t>
                      </w:r>
                    </w:p>
                    <w:p w:rsidR="005B7900" w:rsidRPr="00DA3BCB" w:rsidRDefault="005B7900" w:rsidP="007A5817">
                      <w:pPr>
                        <w:spacing w:line="276" w:lineRule="auto"/>
                        <w:jc w:val="right"/>
                        <w:rPr>
                          <w:rFonts w:asciiTheme="minorHAnsi" w:hAnsiTheme="minorHAnsi"/>
                          <w:color w:val="FFFFFF" w:themeColor="background1"/>
                          <w:sz w:val="22"/>
                          <w:lang w:val="es-ES"/>
                        </w:rPr>
                      </w:pPr>
                      <w:r w:rsidRPr="00DA3BCB">
                        <w:rPr>
                          <w:rFonts w:asciiTheme="minorHAnsi" w:hAnsiTheme="minorHAnsi"/>
                          <w:color w:val="FFFFFF" w:themeColor="background1"/>
                          <w:sz w:val="22"/>
                          <w:lang w:val="es-ES"/>
                        </w:rPr>
                        <w:t>Original: español</w:t>
                      </w:r>
                    </w:p>
                  </w:txbxContent>
                </v:textbox>
              </v:shape>
            </w:pict>
          </mc:Fallback>
        </mc:AlternateContent>
      </w:r>
    </w:p>
    <w:p w:rsidR="00040C3A" w:rsidRPr="00A60069" w:rsidRDefault="00040C3A" w:rsidP="00040C3A">
      <w:pPr>
        <w:tabs>
          <w:tab w:val="center" w:pos="5400"/>
        </w:tabs>
        <w:suppressAutoHyphens/>
        <w:jc w:val="center"/>
        <w:rPr>
          <w:rFonts w:asciiTheme="majorHAnsi" w:hAnsiTheme="majorHAnsi"/>
          <w:sz w:val="22"/>
          <w:szCs w:val="22"/>
          <w:lang w:val="es-ES_tradnl"/>
        </w:rPr>
      </w:pPr>
    </w:p>
    <w:p w:rsidR="00040C3A" w:rsidRPr="00A60069" w:rsidRDefault="00040C3A" w:rsidP="00040C3A">
      <w:pPr>
        <w:tabs>
          <w:tab w:val="center" w:pos="5400"/>
        </w:tabs>
        <w:suppressAutoHyphens/>
        <w:jc w:val="center"/>
        <w:rPr>
          <w:rFonts w:asciiTheme="majorHAnsi" w:hAnsiTheme="majorHAnsi"/>
          <w:sz w:val="22"/>
          <w:szCs w:val="22"/>
          <w:lang w:val="es-ES_tradnl"/>
        </w:rPr>
      </w:pPr>
    </w:p>
    <w:p w:rsidR="00040C3A" w:rsidRPr="00A60069" w:rsidRDefault="00040C3A" w:rsidP="00040C3A">
      <w:pPr>
        <w:tabs>
          <w:tab w:val="center" w:pos="5400"/>
        </w:tabs>
        <w:suppressAutoHyphens/>
        <w:jc w:val="center"/>
        <w:rPr>
          <w:rFonts w:asciiTheme="majorHAnsi" w:hAnsiTheme="majorHAnsi" w:cs="Arial"/>
          <w:sz w:val="22"/>
          <w:szCs w:val="22"/>
          <w:lang w:val="es-ES_tradnl"/>
        </w:rPr>
      </w:pPr>
    </w:p>
    <w:p w:rsidR="00040C3A" w:rsidRPr="00A60069" w:rsidRDefault="00040C3A" w:rsidP="00040C3A">
      <w:pPr>
        <w:tabs>
          <w:tab w:val="center" w:pos="5400"/>
        </w:tabs>
        <w:suppressAutoHyphens/>
        <w:jc w:val="center"/>
        <w:rPr>
          <w:rFonts w:asciiTheme="majorHAnsi" w:hAnsiTheme="majorHAnsi"/>
          <w:sz w:val="22"/>
          <w:szCs w:val="22"/>
          <w:lang w:val="es-ES_tradnl"/>
        </w:rPr>
      </w:pPr>
    </w:p>
    <w:p w:rsidR="00040C3A" w:rsidRPr="00A60069" w:rsidRDefault="00040C3A" w:rsidP="00040C3A">
      <w:pPr>
        <w:tabs>
          <w:tab w:val="center" w:pos="5400"/>
        </w:tabs>
        <w:suppressAutoHyphens/>
        <w:jc w:val="center"/>
        <w:rPr>
          <w:rFonts w:asciiTheme="majorHAnsi" w:hAnsiTheme="majorHAnsi"/>
          <w:sz w:val="22"/>
          <w:szCs w:val="22"/>
          <w:lang w:val="es-ES_tradnl"/>
        </w:rPr>
      </w:pPr>
    </w:p>
    <w:p w:rsidR="00040C3A" w:rsidRPr="00A60069" w:rsidRDefault="00040C3A" w:rsidP="00040C3A">
      <w:pPr>
        <w:tabs>
          <w:tab w:val="center" w:pos="5400"/>
        </w:tabs>
        <w:suppressAutoHyphens/>
        <w:jc w:val="center"/>
        <w:rPr>
          <w:rFonts w:asciiTheme="majorHAnsi" w:hAnsiTheme="majorHAnsi"/>
          <w:sz w:val="22"/>
          <w:szCs w:val="22"/>
          <w:lang w:val="es-ES_tradnl"/>
        </w:rPr>
      </w:pPr>
    </w:p>
    <w:p w:rsidR="00040C3A" w:rsidRPr="00A60069" w:rsidRDefault="00040C3A" w:rsidP="00040C3A">
      <w:pPr>
        <w:tabs>
          <w:tab w:val="center" w:pos="5400"/>
        </w:tabs>
        <w:suppressAutoHyphens/>
        <w:jc w:val="center"/>
        <w:rPr>
          <w:rFonts w:asciiTheme="majorHAnsi" w:hAnsiTheme="majorHAnsi"/>
          <w:sz w:val="22"/>
          <w:szCs w:val="22"/>
          <w:lang w:val="es-ES_tradnl"/>
        </w:rPr>
      </w:pPr>
    </w:p>
    <w:p w:rsidR="005128E4" w:rsidRPr="00A60069" w:rsidRDefault="005128E4" w:rsidP="00040C3A">
      <w:pPr>
        <w:tabs>
          <w:tab w:val="center" w:pos="5400"/>
        </w:tabs>
        <w:suppressAutoHyphens/>
        <w:jc w:val="center"/>
        <w:rPr>
          <w:rFonts w:asciiTheme="majorHAnsi" w:hAnsiTheme="majorHAnsi"/>
          <w:sz w:val="22"/>
          <w:szCs w:val="22"/>
          <w:lang w:val="es-ES_tradnl"/>
        </w:rPr>
      </w:pPr>
    </w:p>
    <w:p w:rsidR="00040C3A" w:rsidRPr="00A60069" w:rsidRDefault="00040C3A" w:rsidP="00040C3A">
      <w:pPr>
        <w:tabs>
          <w:tab w:val="center" w:pos="5400"/>
        </w:tabs>
        <w:suppressAutoHyphens/>
        <w:jc w:val="center"/>
        <w:rPr>
          <w:rFonts w:asciiTheme="majorHAnsi" w:hAnsiTheme="majorHAnsi"/>
          <w:sz w:val="22"/>
          <w:szCs w:val="22"/>
          <w:lang w:val="es-ES_tradnl"/>
        </w:rPr>
      </w:pPr>
    </w:p>
    <w:p w:rsidR="005128E4" w:rsidRPr="00A60069" w:rsidRDefault="005128E4" w:rsidP="00040C3A">
      <w:pPr>
        <w:tabs>
          <w:tab w:val="center" w:pos="5400"/>
        </w:tabs>
        <w:suppressAutoHyphens/>
        <w:jc w:val="center"/>
        <w:rPr>
          <w:rFonts w:asciiTheme="majorHAnsi" w:hAnsiTheme="majorHAnsi"/>
          <w:sz w:val="22"/>
          <w:szCs w:val="22"/>
          <w:lang w:val="es-ES_tradnl"/>
        </w:rPr>
      </w:pPr>
    </w:p>
    <w:p w:rsidR="005128E4" w:rsidRPr="00A60069" w:rsidRDefault="005128E4" w:rsidP="00040C3A">
      <w:pPr>
        <w:tabs>
          <w:tab w:val="center" w:pos="5400"/>
        </w:tabs>
        <w:suppressAutoHyphens/>
        <w:jc w:val="center"/>
        <w:rPr>
          <w:rFonts w:asciiTheme="majorHAnsi" w:hAnsiTheme="majorHAnsi"/>
          <w:sz w:val="22"/>
          <w:szCs w:val="22"/>
          <w:lang w:val="es-ES_tradnl"/>
        </w:rPr>
      </w:pPr>
    </w:p>
    <w:p w:rsidR="005128E4" w:rsidRPr="00A60069" w:rsidRDefault="005128E4" w:rsidP="00040C3A">
      <w:pPr>
        <w:tabs>
          <w:tab w:val="center" w:pos="5400"/>
        </w:tabs>
        <w:suppressAutoHyphens/>
        <w:jc w:val="center"/>
        <w:rPr>
          <w:rFonts w:asciiTheme="majorHAnsi" w:hAnsiTheme="majorHAnsi"/>
          <w:sz w:val="22"/>
          <w:szCs w:val="22"/>
          <w:lang w:val="es-ES_tradnl"/>
        </w:rPr>
      </w:pPr>
    </w:p>
    <w:p w:rsidR="00040C3A" w:rsidRPr="00A60069" w:rsidRDefault="00040C3A" w:rsidP="00040C3A">
      <w:pPr>
        <w:tabs>
          <w:tab w:val="center" w:pos="5400"/>
        </w:tabs>
        <w:suppressAutoHyphens/>
        <w:jc w:val="center"/>
        <w:rPr>
          <w:rFonts w:asciiTheme="majorHAnsi" w:hAnsiTheme="majorHAnsi"/>
          <w:sz w:val="22"/>
          <w:szCs w:val="22"/>
          <w:lang w:val="es-ES_tradnl"/>
        </w:rPr>
      </w:pPr>
    </w:p>
    <w:p w:rsidR="00040C3A" w:rsidRPr="00A60069" w:rsidRDefault="00040C3A" w:rsidP="00040C3A">
      <w:pPr>
        <w:tabs>
          <w:tab w:val="center" w:pos="5400"/>
        </w:tabs>
        <w:suppressAutoHyphens/>
        <w:jc w:val="center"/>
        <w:rPr>
          <w:rFonts w:asciiTheme="majorHAnsi" w:hAnsiTheme="majorHAnsi"/>
          <w:sz w:val="22"/>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90270B" w:rsidP="00040C3A">
      <w:pPr>
        <w:tabs>
          <w:tab w:val="center" w:pos="5400"/>
        </w:tabs>
        <w:suppressAutoHyphens/>
        <w:jc w:val="center"/>
        <w:rPr>
          <w:rFonts w:asciiTheme="majorHAnsi" w:hAnsiTheme="majorHAnsi"/>
          <w:sz w:val="18"/>
          <w:szCs w:val="22"/>
          <w:lang w:val="es-ES_tradnl"/>
        </w:rPr>
      </w:pPr>
      <w:r w:rsidRPr="00A6006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0B511EB" wp14:editId="5D7D281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900" w:rsidRPr="00890650" w:rsidRDefault="005B790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w:t>
                            </w:r>
                            <w:r w:rsidR="00DA3BCB">
                              <w:rPr>
                                <w:rFonts w:asciiTheme="majorHAnsi" w:hAnsiTheme="majorHAnsi"/>
                                <w:color w:val="0D0D0D" w:themeColor="text1" w:themeTint="F2"/>
                                <w:sz w:val="18"/>
                                <w:szCs w:val="20"/>
                                <w:lang w:val="es-ES"/>
                              </w:rPr>
                              <w:t>el 31 de agosto de 2016.</w:t>
                            </w:r>
                          </w:p>
                          <w:p w:rsidR="005B7900" w:rsidRPr="00167A34" w:rsidRDefault="005B790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B7900" w:rsidRPr="00890650" w:rsidRDefault="005B790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w:t>
                      </w:r>
                      <w:r w:rsidR="00DA3BCB">
                        <w:rPr>
                          <w:rFonts w:asciiTheme="majorHAnsi" w:hAnsiTheme="majorHAnsi"/>
                          <w:color w:val="0D0D0D" w:themeColor="text1" w:themeTint="F2"/>
                          <w:sz w:val="18"/>
                          <w:szCs w:val="20"/>
                          <w:lang w:val="es-ES"/>
                        </w:rPr>
                        <w:t>el 31 de agosto de 2016.</w:t>
                      </w:r>
                    </w:p>
                    <w:p w:rsidR="005B7900" w:rsidRPr="00167A34" w:rsidRDefault="005B790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A50FCF" w:rsidRPr="00A60069" w:rsidRDefault="0090270B" w:rsidP="00040C3A">
      <w:pPr>
        <w:tabs>
          <w:tab w:val="center" w:pos="5400"/>
        </w:tabs>
        <w:suppressAutoHyphens/>
        <w:jc w:val="center"/>
        <w:rPr>
          <w:rFonts w:asciiTheme="majorHAnsi" w:hAnsiTheme="majorHAnsi"/>
          <w:sz w:val="18"/>
          <w:szCs w:val="22"/>
          <w:lang w:val="es-ES_tradnl"/>
        </w:rPr>
      </w:pPr>
      <w:r w:rsidRPr="00A6006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5787571" wp14:editId="193E3D8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900" w:rsidRPr="0063685A" w:rsidRDefault="005B7900" w:rsidP="00113F73">
                            <w:pPr>
                              <w:spacing w:line="276" w:lineRule="auto"/>
                              <w:rPr>
                                <w:rFonts w:asciiTheme="majorHAnsi" w:hAnsiTheme="majorHAnsi"/>
                                <w:color w:val="595959" w:themeColor="text1" w:themeTint="A6"/>
                                <w:sz w:val="18"/>
                                <w:szCs w:val="18"/>
                                <w:lang w:val="es-ES"/>
                              </w:rPr>
                            </w:pPr>
                            <w:r w:rsidRPr="00DA3BCB">
                              <w:rPr>
                                <w:rFonts w:asciiTheme="majorHAnsi" w:hAnsiTheme="majorHAnsi"/>
                                <w:b/>
                                <w:color w:val="595959" w:themeColor="text1" w:themeTint="A6"/>
                                <w:sz w:val="18"/>
                                <w:szCs w:val="18"/>
                                <w:lang w:val="es-ES"/>
                              </w:rPr>
                              <w:t>Citar como:</w:t>
                            </w:r>
                            <w:r w:rsidRPr="00DA3BCB">
                              <w:rPr>
                                <w:rFonts w:asciiTheme="majorHAnsi" w:hAnsiTheme="majorHAnsi"/>
                                <w:color w:val="595959" w:themeColor="text1" w:themeTint="A6"/>
                                <w:sz w:val="18"/>
                                <w:szCs w:val="18"/>
                                <w:lang w:val="es-ES"/>
                              </w:rPr>
                              <w:t xml:space="preserve"> CIDH, Informe No. </w:t>
                            </w:r>
                            <w:r w:rsidR="00F01F44" w:rsidRPr="00DA3BCB">
                              <w:rPr>
                                <w:rFonts w:asciiTheme="majorHAnsi" w:hAnsiTheme="majorHAnsi"/>
                                <w:color w:val="595959" w:themeColor="text1" w:themeTint="A6"/>
                                <w:sz w:val="18"/>
                                <w:szCs w:val="18"/>
                                <w:lang w:val="es-ES"/>
                              </w:rPr>
                              <w:t>39</w:t>
                            </w:r>
                            <w:r w:rsidRPr="00890650">
                              <w:rPr>
                                <w:rFonts w:asciiTheme="majorHAnsi" w:hAnsiTheme="majorHAnsi"/>
                                <w:color w:val="595959" w:themeColor="text1" w:themeTint="A6"/>
                                <w:sz w:val="18"/>
                                <w:szCs w:val="18"/>
                                <w:lang w:val="es-ES_tradnl"/>
                              </w:rPr>
                              <w:t>/</w:t>
                            </w:r>
                            <w:r w:rsidR="00F01F44">
                              <w:rPr>
                                <w:rFonts w:asciiTheme="majorHAnsi" w:hAnsiTheme="majorHAnsi"/>
                                <w:color w:val="595959" w:themeColor="text1" w:themeTint="A6"/>
                                <w:sz w:val="18"/>
                                <w:szCs w:val="18"/>
                                <w:lang w:val="es-ES_tradnl"/>
                              </w:rPr>
                              <w:t>16</w:t>
                            </w:r>
                            <w:r w:rsidRPr="00890650">
                              <w:rPr>
                                <w:rFonts w:asciiTheme="majorHAnsi" w:hAnsiTheme="majorHAnsi"/>
                                <w:color w:val="595959" w:themeColor="text1" w:themeTint="A6"/>
                                <w:sz w:val="18"/>
                                <w:szCs w:val="18"/>
                                <w:lang w:val="es-ES_tradnl"/>
                              </w:rPr>
                              <w:t>, Petición</w:t>
                            </w:r>
                            <w:r w:rsidR="002541D6">
                              <w:rPr>
                                <w:rFonts w:asciiTheme="majorHAnsi" w:hAnsiTheme="majorHAnsi"/>
                                <w:color w:val="595959" w:themeColor="text1" w:themeTint="A6"/>
                                <w:sz w:val="18"/>
                                <w:szCs w:val="18"/>
                                <w:lang w:val="es-ES_tradnl"/>
                              </w:rPr>
                              <w:t xml:space="preserve"> 196-01</w:t>
                            </w:r>
                            <w:r w:rsidRPr="00890650">
                              <w:rPr>
                                <w:rFonts w:asciiTheme="majorHAnsi" w:hAnsiTheme="majorHAnsi"/>
                                <w:color w:val="595959" w:themeColor="text1" w:themeTint="A6"/>
                                <w:sz w:val="18"/>
                                <w:szCs w:val="18"/>
                                <w:lang w:val="es-ES_tradnl"/>
                              </w:rPr>
                              <w:t>.</w:t>
                            </w:r>
                            <w:r w:rsidR="002541D6">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Admisibilidad</w:t>
                            </w:r>
                            <w:r w:rsidR="002541D6">
                              <w:rPr>
                                <w:rFonts w:asciiTheme="majorHAnsi" w:hAnsiTheme="majorHAnsi"/>
                                <w:color w:val="595959" w:themeColor="text1" w:themeTint="A6"/>
                                <w:sz w:val="18"/>
                                <w:szCs w:val="18"/>
                                <w:lang w:val="es-ES_tradnl"/>
                              </w:rPr>
                              <w:t>. José Alberto Picciotto</w:t>
                            </w:r>
                            <w:r w:rsidRPr="00890650">
                              <w:rPr>
                                <w:rFonts w:asciiTheme="majorHAnsi" w:hAnsiTheme="majorHAnsi"/>
                                <w:color w:val="595959" w:themeColor="text1" w:themeTint="A6"/>
                                <w:sz w:val="18"/>
                                <w:szCs w:val="18"/>
                                <w:lang w:val="es-ES_tradnl"/>
                              </w:rPr>
                              <w:t>.</w:t>
                            </w:r>
                            <w:r w:rsidR="002541D6">
                              <w:rPr>
                                <w:rFonts w:asciiTheme="majorHAnsi" w:hAnsiTheme="majorHAnsi"/>
                                <w:color w:val="595959" w:themeColor="text1" w:themeTint="A6"/>
                                <w:sz w:val="18"/>
                                <w:szCs w:val="18"/>
                                <w:lang w:val="es-ES_tradnl"/>
                              </w:rPr>
                              <w:t xml:space="preserve"> Argentina</w:t>
                            </w:r>
                            <w:r w:rsidRPr="00890650">
                              <w:rPr>
                                <w:rFonts w:asciiTheme="majorHAnsi" w:hAnsiTheme="majorHAnsi"/>
                                <w:color w:val="595959" w:themeColor="text1" w:themeTint="A6"/>
                                <w:sz w:val="18"/>
                                <w:szCs w:val="18"/>
                                <w:lang w:val="es-ES_tradnl"/>
                              </w:rPr>
                              <w:t xml:space="preserve">. </w:t>
                            </w:r>
                            <w:r w:rsidR="00F01F44">
                              <w:rPr>
                                <w:rFonts w:asciiTheme="majorHAnsi" w:hAnsiTheme="majorHAnsi"/>
                                <w:color w:val="595959" w:themeColor="text1" w:themeTint="A6"/>
                                <w:sz w:val="18"/>
                                <w:szCs w:val="18"/>
                                <w:lang w:val="es-ES_tradnl"/>
                              </w:rPr>
                              <w:t>31 de agosto de 2016</w:t>
                            </w:r>
                            <w:r w:rsidRPr="0063685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B7900" w:rsidRPr="0063685A" w:rsidRDefault="005B7900" w:rsidP="00113F73">
                      <w:pPr>
                        <w:spacing w:line="276" w:lineRule="auto"/>
                        <w:rPr>
                          <w:rFonts w:asciiTheme="majorHAnsi" w:hAnsiTheme="majorHAnsi"/>
                          <w:color w:val="595959" w:themeColor="text1" w:themeTint="A6"/>
                          <w:sz w:val="18"/>
                          <w:szCs w:val="18"/>
                          <w:lang w:val="es-ES"/>
                        </w:rPr>
                      </w:pPr>
                      <w:r w:rsidRPr="00DA3BCB">
                        <w:rPr>
                          <w:rFonts w:asciiTheme="majorHAnsi" w:hAnsiTheme="majorHAnsi"/>
                          <w:b/>
                          <w:color w:val="595959" w:themeColor="text1" w:themeTint="A6"/>
                          <w:sz w:val="18"/>
                          <w:szCs w:val="18"/>
                          <w:lang w:val="es-ES"/>
                        </w:rPr>
                        <w:t>Citar como:</w:t>
                      </w:r>
                      <w:r w:rsidRPr="00DA3BCB">
                        <w:rPr>
                          <w:rFonts w:asciiTheme="majorHAnsi" w:hAnsiTheme="majorHAnsi"/>
                          <w:color w:val="595959" w:themeColor="text1" w:themeTint="A6"/>
                          <w:sz w:val="18"/>
                          <w:szCs w:val="18"/>
                          <w:lang w:val="es-ES"/>
                        </w:rPr>
                        <w:t xml:space="preserve"> CIDH, Informe No. </w:t>
                      </w:r>
                      <w:r w:rsidR="00F01F44" w:rsidRPr="00DA3BCB">
                        <w:rPr>
                          <w:rFonts w:asciiTheme="majorHAnsi" w:hAnsiTheme="majorHAnsi"/>
                          <w:color w:val="595959" w:themeColor="text1" w:themeTint="A6"/>
                          <w:sz w:val="18"/>
                          <w:szCs w:val="18"/>
                          <w:lang w:val="es-ES"/>
                        </w:rPr>
                        <w:t>39</w:t>
                      </w:r>
                      <w:r w:rsidRPr="00890650">
                        <w:rPr>
                          <w:rFonts w:asciiTheme="majorHAnsi" w:hAnsiTheme="majorHAnsi"/>
                          <w:color w:val="595959" w:themeColor="text1" w:themeTint="A6"/>
                          <w:sz w:val="18"/>
                          <w:szCs w:val="18"/>
                          <w:lang w:val="es-ES_tradnl"/>
                        </w:rPr>
                        <w:t>/</w:t>
                      </w:r>
                      <w:r w:rsidR="00F01F44">
                        <w:rPr>
                          <w:rFonts w:asciiTheme="majorHAnsi" w:hAnsiTheme="majorHAnsi"/>
                          <w:color w:val="595959" w:themeColor="text1" w:themeTint="A6"/>
                          <w:sz w:val="18"/>
                          <w:szCs w:val="18"/>
                          <w:lang w:val="es-ES_tradnl"/>
                        </w:rPr>
                        <w:t>16</w:t>
                      </w:r>
                      <w:r w:rsidRPr="00890650">
                        <w:rPr>
                          <w:rFonts w:asciiTheme="majorHAnsi" w:hAnsiTheme="majorHAnsi"/>
                          <w:color w:val="595959" w:themeColor="text1" w:themeTint="A6"/>
                          <w:sz w:val="18"/>
                          <w:szCs w:val="18"/>
                          <w:lang w:val="es-ES_tradnl"/>
                        </w:rPr>
                        <w:t>, Petición</w:t>
                      </w:r>
                      <w:r w:rsidR="002541D6">
                        <w:rPr>
                          <w:rFonts w:asciiTheme="majorHAnsi" w:hAnsiTheme="majorHAnsi"/>
                          <w:color w:val="595959" w:themeColor="text1" w:themeTint="A6"/>
                          <w:sz w:val="18"/>
                          <w:szCs w:val="18"/>
                          <w:lang w:val="es-ES_tradnl"/>
                        </w:rPr>
                        <w:t xml:space="preserve"> 196-01</w:t>
                      </w:r>
                      <w:r w:rsidRPr="00890650">
                        <w:rPr>
                          <w:rFonts w:asciiTheme="majorHAnsi" w:hAnsiTheme="majorHAnsi"/>
                          <w:color w:val="595959" w:themeColor="text1" w:themeTint="A6"/>
                          <w:sz w:val="18"/>
                          <w:szCs w:val="18"/>
                          <w:lang w:val="es-ES_tradnl"/>
                        </w:rPr>
                        <w:t>.</w:t>
                      </w:r>
                      <w:r w:rsidR="002541D6">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Admisibilidad</w:t>
                      </w:r>
                      <w:r w:rsidR="002541D6">
                        <w:rPr>
                          <w:rFonts w:asciiTheme="majorHAnsi" w:hAnsiTheme="majorHAnsi"/>
                          <w:color w:val="595959" w:themeColor="text1" w:themeTint="A6"/>
                          <w:sz w:val="18"/>
                          <w:szCs w:val="18"/>
                          <w:lang w:val="es-ES_tradnl"/>
                        </w:rPr>
                        <w:t>. José Alberto Picciotto</w:t>
                      </w:r>
                      <w:r w:rsidRPr="00890650">
                        <w:rPr>
                          <w:rFonts w:asciiTheme="majorHAnsi" w:hAnsiTheme="majorHAnsi"/>
                          <w:color w:val="595959" w:themeColor="text1" w:themeTint="A6"/>
                          <w:sz w:val="18"/>
                          <w:szCs w:val="18"/>
                          <w:lang w:val="es-ES_tradnl"/>
                        </w:rPr>
                        <w:t>.</w:t>
                      </w:r>
                      <w:r w:rsidR="002541D6">
                        <w:rPr>
                          <w:rFonts w:asciiTheme="majorHAnsi" w:hAnsiTheme="majorHAnsi"/>
                          <w:color w:val="595959" w:themeColor="text1" w:themeTint="A6"/>
                          <w:sz w:val="18"/>
                          <w:szCs w:val="18"/>
                          <w:lang w:val="es-ES_tradnl"/>
                        </w:rPr>
                        <w:t xml:space="preserve"> Argentina</w:t>
                      </w:r>
                      <w:r w:rsidRPr="00890650">
                        <w:rPr>
                          <w:rFonts w:asciiTheme="majorHAnsi" w:hAnsiTheme="majorHAnsi"/>
                          <w:color w:val="595959" w:themeColor="text1" w:themeTint="A6"/>
                          <w:sz w:val="18"/>
                          <w:szCs w:val="18"/>
                          <w:lang w:val="es-ES_tradnl"/>
                        </w:rPr>
                        <w:t xml:space="preserve">. </w:t>
                      </w:r>
                      <w:r w:rsidR="00F01F44">
                        <w:rPr>
                          <w:rFonts w:asciiTheme="majorHAnsi" w:hAnsiTheme="majorHAnsi"/>
                          <w:color w:val="595959" w:themeColor="text1" w:themeTint="A6"/>
                          <w:sz w:val="18"/>
                          <w:szCs w:val="18"/>
                          <w:lang w:val="es-ES_tradnl"/>
                        </w:rPr>
                        <w:t>31 de agosto de 2016</w:t>
                      </w:r>
                      <w:r w:rsidRPr="0063685A">
                        <w:rPr>
                          <w:rFonts w:asciiTheme="majorHAnsi" w:hAnsiTheme="majorHAnsi"/>
                          <w:color w:val="595959" w:themeColor="text1" w:themeTint="A6"/>
                          <w:sz w:val="18"/>
                          <w:szCs w:val="18"/>
                          <w:lang w:val="es-ES"/>
                        </w:rPr>
                        <w:t>.</w:t>
                      </w:r>
                    </w:p>
                  </w:txbxContent>
                </v:textbox>
              </v:shape>
            </w:pict>
          </mc:Fallback>
        </mc:AlternateContent>
      </w:r>
    </w:p>
    <w:p w:rsidR="00A50FCF" w:rsidRPr="00A60069" w:rsidRDefault="00A50FCF" w:rsidP="00040C3A">
      <w:pPr>
        <w:tabs>
          <w:tab w:val="center" w:pos="5400"/>
        </w:tabs>
        <w:suppressAutoHyphens/>
        <w:jc w:val="center"/>
        <w:rPr>
          <w:rFonts w:asciiTheme="majorHAnsi" w:hAnsiTheme="majorHAnsi"/>
          <w:sz w:val="18"/>
          <w:szCs w:val="22"/>
          <w:lang w:val="es-ES_tradnl"/>
        </w:rPr>
      </w:pPr>
    </w:p>
    <w:p w:rsidR="0090270B" w:rsidRPr="00A60069" w:rsidRDefault="00D306D1" w:rsidP="005516A1">
      <w:pPr>
        <w:tabs>
          <w:tab w:val="center" w:pos="5400"/>
        </w:tabs>
        <w:suppressAutoHyphens/>
        <w:jc w:val="center"/>
        <w:rPr>
          <w:rFonts w:asciiTheme="majorHAnsi" w:hAnsiTheme="majorHAnsi"/>
          <w:b/>
          <w:sz w:val="20"/>
          <w:lang w:val="es-ES_tradnl"/>
        </w:rPr>
      </w:pPr>
      <w:r w:rsidRPr="00A6006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3CB36D8" wp14:editId="2603A4E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7900" w:rsidRPr="00D72DC6" w:rsidRDefault="005B790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A99A23E" wp14:editId="12F1F66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5B7900" w:rsidRPr="00D72DC6" w:rsidRDefault="005B790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A99A23E" wp14:editId="12F1F66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6006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4DB1B98" wp14:editId="14BE8DF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900" w:rsidRPr="004B7EB6" w:rsidRDefault="005B790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5B7900" w:rsidRPr="004B7EB6" w:rsidRDefault="005B790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A60069" w:rsidRDefault="0070697F" w:rsidP="005516A1">
      <w:pPr>
        <w:tabs>
          <w:tab w:val="center" w:pos="5400"/>
        </w:tabs>
        <w:suppressAutoHyphens/>
        <w:jc w:val="center"/>
        <w:rPr>
          <w:rFonts w:asciiTheme="majorHAnsi" w:hAnsiTheme="majorHAnsi"/>
          <w:b/>
          <w:sz w:val="20"/>
          <w:lang w:val="es-ES_tradnl"/>
        </w:rPr>
        <w:sectPr w:rsidR="0070697F" w:rsidRPr="00A60069"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722C9F" w:rsidRPr="00A60069" w:rsidRDefault="0063685A" w:rsidP="00722C9F">
      <w:pPr>
        <w:tabs>
          <w:tab w:val="center" w:pos="5400"/>
        </w:tabs>
        <w:suppressAutoHyphens/>
        <w:spacing w:line="276" w:lineRule="auto"/>
        <w:jc w:val="center"/>
        <w:rPr>
          <w:rFonts w:asciiTheme="majorHAnsi" w:hAnsiTheme="majorHAnsi"/>
          <w:b/>
          <w:sz w:val="18"/>
          <w:szCs w:val="20"/>
          <w:lang w:val="es-ES_tradnl"/>
        </w:rPr>
      </w:pPr>
      <w:r w:rsidRPr="00A60069">
        <w:rPr>
          <w:rFonts w:asciiTheme="majorHAnsi" w:hAnsiTheme="majorHAnsi"/>
          <w:b/>
          <w:sz w:val="18"/>
          <w:szCs w:val="20"/>
          <w:lang w:val="es-ES_tradnl"/>
        </w:rPr>
        <w:lastRenderedPageBreak/>
        <w:t xml:space="preserve">INFORME No. </w:t>
      </w:r>
      <w:r w:rsidR="00F01F44">
        <w:rPr>
          <w:rFonts w:asciiTheme="majorHAnsi" w:hAnsiTheme="majorHAnsi"/>
          <w:b/>
          <w:sz w:val="18"/>
          <w:szCs w:val="20"/>
          <w:lang w:val="es-ES_tradnl"/>
        </w:rPr>
        <w:t>39</w:t>
      </w:r>
      <w:r w:rsidRPr="00A60069">
        <w:rPr>
          <w:rFonts w:asciiTheme="majorHAnsi" w:hAnsiTheme="majorHAnsi"/>
          <w:b/>
          <w:sz w:val="18"/>
          <w:szCs w:val="20"/>
          <w:lang w:val="es-ES_tradnl"/>
        </w:rPr>
        <w:t>/1</w:t>
      </w:r>
      <w:r w:rsidR="007D524A" w:rsidRPr="00A60069">
        <w:rPr>
          <w:rFonts w:asciiTheme="majorHAnsi" w:hAnsiTheme="majorHAnsi"/>
          <w:b/>
          <w:sz w:val="18"/>
          <w:szCs w:val="20"/>
          <w:lang w:val="es-ES_tradnl"/>
        </w:rPr>
        <w:t>6</w:t>
      </w:r>
    </w:p>
    <w:p w:rsidR="00722C9F" w:rsidRPr="00A60069" w:rsidRDefault="00722C9F" w:rsidP="00722C9F">
      <w:pPr>
        <w:tabs>
          <w:tab w:val="center" w:pos="5400"/>
        </w:tabs>
        <w:suppressAutoHyphens/>
        <w:spacing w:line="276" w:lineRule="auto"/>
        <w:jc w:val="center"/>
        <w:rPr>
          <w:rFonts w:asciiTheme="majorHAnsi" w:hAnsiTheme="majorHAnsi"/>
          <w:b/>
          <w:sz w:val="18"/>
          <w:szCs w:val="20"/>
          <w:lang w:val="es-ES_tradnl"/>
        </w:rPr>
      </w:pPr>
      <w:r w:rsidRPr="00A60069">
        <w:rPr>
          <w:rFonts w:asciiTheme="majorHAnsi" w:hAnsiTheme="majorHAnsi"/>
          <w:b/>
          <w:sz w:val="18"/>
          <w:szCs w:val="20"/>
          <w:lang w:val="es-ES_tradnl"/>
        </w:rPr>
        <w:t xml:space="preserve">PETICIÓN </w:t>
      </w:r>
      <w:r w:rsidR="00724D48" w:rsidRPr="00A60069">
        <w:rPr>
          <w:rFonts w:asciiTheme="majorHAnsi" w:hAnsiTheme="majorHAnsi"/>
          <w:b/>
          <w:sz w:val="18"/>
          <w:szCs w:val="20"/>
          <w:lang w:val="es-ES_tradnl"/>
        </w:rPr>
        <w:t>196</w:t>
      </w:r>
      <w:r w:rsidRPr="00A60069">
        <w:rPr>
          <w:rFonts w:asciiTheme="majorHAnsi" w:hAnsiTheme="majorHAnsi"/>
          <w:b/>
          <w:sz w:val="18"/>
          <w:szCs w:val="20"/>
          <w:lang w:val="es-ES_tradnl"/>
        </w:rPr>
        <w:t>-</w:t>
      </w:r>
      <w:r w:rsidR="00176D47" w:rsidRPr="00A60069">
        <w:rPr>
          <w:rFonts w:asciiTheme="majorHAnsi" w:hAnsiTheme="majorHAnsi"/>
          <w:b/>
          <w:sz w:val="18"/>
          <w:szCs w:val="20"/>
          <w:lang w:val="es-ES_tradnl"/>
        </w:rPr>
        <w:t>01</w:t>
      </w:r>
    </w:p>
    <w:p w:rsidR="00722C9F" w:rsidRPr="00A60069" w:rsidRDefault="006E0457" w:rsidP="00722C9F">
      <w:pPr>
        <w:tabs>
          <w:tab w:val="center" w:pos="5400"/>
        </w:tabs>
        <w:suppressAutoHyphens/>
        <w:spacing w:line="276" w:lineRule="auto"/>
        <w:jc w:val="center"/>
        <w:rPr>
          <w:rFonts w:asciiTheme="majorHAnsi" w:hAnsiTheme="majorHAnsi"/>
          <w:sz w:val="18"/>
          <w:szCs w:val="20"/>
          <w:lang w:val="es-ES_tradnl"/>
        </w:rPr>
      </w:pPr>
      <w:r w:rsidRPr="00A60069">
        <w:rPr>
          <w:rFonts w:asciiTheme="majorHAnsi" w:hAnsiTheme="majorHAnsi"/>
          <w:sz w:val="18"/>
          <w:szCs w:val="20"/>
          <w:lang w:val="es-ES_tradnl"/>
        </w:rPr>
        <w:t>INFORME DE ADMISIBILIDAD</w:t>
      </w:r>
    </w:p>
    <w:p w:rsidR="00722C9F" w:rsidRPr="00A60069" w:rsidRDefault="00724D48" w:rsidP="00722C9F">
      <w:pPr>
        <w:tabs>
          <w:tab w:val="center" w:pos="5400"/>
        </w:tabs>
        <w:suppressAutoHyphens/>
        <w:spacing w:line="276" w:lineRule="auto"/>
        <w:jc w:val="center"/>
        <w:rPr>
          <w:rFonts w:asciiTheme="majorHAnsi" w:hAnsiTheme="majorHAnsi"/>
          <w:sz w:val="18"/>
          <w:szCs w:val="20"/>
          <w:lang w:val="es-ES_tradnl"/>
        </w:rPr>
      </w:pPr>
      <w:r w:rsidRPr="00A60069">
        <w:rPr>
          <w:rFonts w:asciiTheme="majorHAnsi" w:hAnsiTheme="majorHAnsi"/>
          <w:sz w:val="18"/>
          <w:szCs w:val="20"/>
          <w:lang w:val="es-ES_tradnl"/>
        </w:rPr>
        <w:t>JOSÉ ALBERTO PICCIO</w:t>
      </w:r>
      <w:r w:rsidR="00117A95" w:rsidRPr="00A60069">
        <w:rPr>
          <w:rFonts w:asciiTheme="majorHAnsi" w:hAnsiTheme="majorHAnsi"/>
          <w:sz w:val="18"/>
          <w:szCs w:val="20"/>
          <w:lang w:val="es-ES_tradnl"/>
        </w:rPr>
        <w:t>T</w:t>
      </w:r>
      <w:r w:rsidRPr="00A60069">
        <w:rPr>
          <w:rFonts w:asciiTheme="majorHAnsi" w:hAnsiTheme="majorHAnsi"/>
          <w:sz w:val="18"/>
          <w:szCs w:val="20"/>
          <w:lang w:val="es-ES_tradnl"/>
        </w:rPr>
        <w:t>TO</w:t>
      </w:r>
    </w:p>
    <w:p w:rsidR="0070697F" w:rsidRPr="00A60069" w:rsidRDefault="005B7900" w:rsidP="00722C9F">
      <w:pPr>
        <w:tabs>
          <w:tab w:val="center" w:pos="5400"/>
        </w:tabs>
        <w:suppressAutoHyphens/>
        <w:spacing w:line="276" w:lineRule="auto"/>
        <w:jc w:val="center"/>
        <w:rPr>
          <w:rFonts w:asciiTheme="majorHAnsi" w:hAnsiTheme="majorHAnsi"/>
          <w:sz w:val="18"/>
          <w:szCs w:val="20"/>
          <w:lang w:val="es-ES_tradnl"/>
        </w:rPr>
      </w:pPr>
      <w:r w:rsidRPr="00A60069">
        <w:rPr>
          <w:rFonts w:asciiTheme="majorHAnsi" w:hAnsiTheme="majorHAnsi"/>
          <w:sz w:val="18"/>
          <w:szCs w:val="20"/>
          <w:lang w:val="es-ES_tradnl"/>
        </w:rPr>
        <w:t>ARGENTINA</w:t>
      </w:r>
    </w:p>
    <w:p w:rsidR="00722C9F" w:rsidRPr="00A60069" w:rsidRDefault="00F01F44"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31 DE AGOSTO DE 2016</w:t>
      </w:r>
    </w:p>
    <w:p w:rsidR="00722C9F" w:rsidRPr="00A60069" w:rsidRDefault="00722C9F" w:rsidP="00722C9F">
      <w:pPr>
        <w:tabs>
          <w:tab w:val="center" w:pos="5400"/>
        </w:tabs>
        <w:suppressAutoHyphens/>
        <w:spacing w:line="276" w:lineRule="auto"/>
        <w:jc w:val="center"/>
        <w:rPr>
          <w:rFonts w:asciiTheme="majorHAnsi" w:hAnsiTheme="majorHAnsi"/>
          <w:sz w:val="18"/>
          <w:szCs w:val="20"/>
          <w:lang w:val="es-ES_tradnl"/>
        </w:rPr>
      </w:pPr>
    </w:p>
    <w:p w:rsidR="00547D7F" w:rsidRPr="00A60069" w:rsidRDefault="00547D7F" w:rsidP="00722C9F">
      <w:pPr>
        <w:tabs>
          <w:tab w:val="center" w:pos="5400"/>
        </w:tabs>
        <w:suppressAutoHyphens/>
        <w:spacing w:line="276" w:lineRule="auto"/>
        <w:jc w:val="center"/>
        <w:rPr>
          <w:rFonts w:asciiTheme="majorHAnsi" w:hAnsiTheme="majorHAnsi"/>
          <w:sz w:val="18"/>
          <w:szCs w:val="20"/>
          <w:lang w:val="es-ES_tradnl"/>
        </w:rPr>
      </w:pPr>
    </w:p>
    <w:p w:rsidR="0063685A" w:rsidRPr="00A60069" w:rsidRDefault="0063685A" w:rsidP="009F0583">
      <w:pPr>
        <w:spacing w:after="240"/>
        <w:ind w:firstLine="720"/>
        <w:jc w:val="both"/>
        <w:rPr>
          <w:rFonts w:asciiTheme="majorHAnsi" w:hAnsiTheme="majorHAnsi"/>
          <w:b/>
          <w:bCs/>
          <w:sz w:val="20"/>
          <w:szCs w:val="20"/>
          <w:lang w:val="es-UY"/>
        </w:rPr>
      </w:pPr>
      <w:r w:rsidRPr="00A60069">
        <w:rPr>
          <w:rFonts w:asciiTheme="majorHAnsi" w:hAnsiTheme="majorHAnsi"/>
          <w:b/>
          <w:bCs/>
          <w:sz w:val="20"/>
          <w:szCs w:val="20"/>
          <w:lang w:val="es-UY"/>
        </w:rPr>
        <w:t>I.</w:t>
      </w:r>
      <w:r w:rsidRPr="00A60069">
        <w:rPr>
          <w:rFonts w:asciiTheme="majorHAnsi" w:hAnsiTheme="majorHAnsi"/>
          <w:b/>
          <w:bCs/>
          <w:sz w:val="20"/>
          <w:szCs w:val="20"/>
          <w:lang w:val="es-UY"/>
        </w:rPr>
        <w:tab/>
        <w:t>RESUMEN</w:t>
      </w:r>
    </w:p>
    <w:p w:rsidR="005E1A10" w:rsidRPr="00A60069" w:rsidRDefault="00DD17E6" w:rsidP="00FB093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Pr>
          <w:rFonts w:asciiTheme="majorHAnsi" w:hAnsiTheme="majorHAnsi"/>
          <w:sz w:val="20"/>
          <w:szCs w:val="20"/>
          <w:lang w:val="es-UY"/>
        </w:rPr>
        <w:t>El 15</w:t>
      </w:r>
      <w:r w:rsidR="00724D48" w:rsidRPr="00A60069">
        <w:rPr>
          <w:rFonts w:asciiTheme="majorHAnsi" w:hAnsiTheme="majorHAnsi"/>
          <w:sz w:val="20"/>
          <w:szCs w:val="20"/>
          <w:lang w:val="es-UY"/>
        </w:rPr>
        <w:t xml:space="preserve"> de febrero de 20</w:t>
      </w:r>
      <w:r w:rsidR="0091727C" w:rsidRPr="00A60069">
        <w:rPr>
          <w:rFonts w:asciiTheme="majorHAnsi" w:hAnsiTheme="majorHAnsi"/>
          <w:sz w:val="20"/>
          <w:szCs w:val="20"/>
          <w:lang w:val="es-UY"/>
        </w:rPr>
        <w:t>0</w:t>
      </w:r>
      <w:r w:rsidR="00724D48" w:rsidRPr="00A60069">
        <w:rPr>
          <w:rFonts w:asciiTheme="majorHAnsi" w:hAnsiTheme="majorHAnsi"/>
          <w:sz w:val="20"/>
          <w:szCs w:val="20"/>
          <w:lang w:val="es-UY"/>
        </w:rPr>
        <w:t>1,</w:t>
      </w:r>
      <w:r w:rsidR="0063685A" w:rsidRPr="00A60069">
        <w:rPr>
          <w:rFonts w:asciiTheme="majorHAnsi" w:hAnsiTheme="majorHAnsi"/>
          <w:sz w:val="20"/>
          <w:szCs w:val="20"/>
          <w:lang w:val="es-UY"/>
        </w:rPr>
        <w:t xml:space="preserve"> la Comisión Interamericana de Derechos Humanos (en adelante, “la Comisión Interamericana”</w:t>
      </w:r>
      <w:r w:rsidR="00182D70" w:rsidRPr="00A60069">
        <w:rPr>
          <w:rFonts w:asciiTheme="majorHAnsi" w:hAnsiTheme="majorHAnsi"/>
          <w:sz w:val="20"/>
          <w:szCs w:val="20"/>
          <w:lang w:val="es-UY"/>
        </w:rPr>
        <w:t>, “la Comisión”</w:t>
      </w:r>
      <w:r w:rsidR="0063685A" w:rsidRPr="00A60069">
        <w:rPr>
          <w:rFonts w:asciiTheme="majorHAnsi" w:hAnsiTheme="majorHAnsi"/>
          <w:sz w:val="20"/>
          <w:szCs w:val="20"/>
          <w:lang w:val="es-UY"/>
        </w:rPr>
        <w:t xml:space="preserve"> o “la CIDH”) recibió una petición presentada</w:t>
      </w:r>
      <w:r w:rsidR="00FE3085" w:rsidRPr="00A60069">
        <w:rPr>
          <w:rFonts w:asciiTheme="majorHAnsi" w:hAnsiTheme="majorHAnsi"/>
          <w:sz w:val="20"/>
          <w:szCs w:val="20"/>
          <w:lang w:val="es-UY"/>
        </w:rPr>
        <w:t xml:space="preserve"> </w:t>
      </w:r>
      <w:r w:rsidR="0063685A" w:rsidRPr="00A60069">
        <w:rPr>
          <w:rFonts w:asciiTheme="majorHAnsi" w:hAnsiTheme="majorHAnsi"/>
          <w:sz w:val="20"/>
          <w:szCs w:val="20"/>
          <w:lang w:val="es-UY"/>
        </w:rPr>
        <w:t xml:space="preserve">por </w:t>
      </w:r>
      <w:r w:rsidR="00724D48" w:rsidRPr="00A60069">
        <w:rPr>
          <w:rFonts w:asciiTheme="majorHAnsi" w:hAnsiTheme="majorHAnsi"/>
          <w:sz w:val="20"/>
          <w:szCs w:val="20"/>
          <w:lang w:val="es-UY"/>
        </w:rPr>
        <w:t>José Alberto Picciot</w:t>
      </w:r>
      <w:r w:rsidR="00117A95" w:rsidRPr="00A60069">
        <w:rPr>
          <w:rFonts w:asciiTheme="majorHAnsi" w:hAnsiTheme="majorHAnsi"/>
          <w:sz w:val="20"/>
          <w:szCs w:val="20"/>
          <w:lang w:val="es-UY"/>
        </w:rPr>
        <w:t>t</w:t>
      </w:r>
      <w:r w:rsidR="00724D48" w:rsidRPr="00A60069">
        <w:rPr>
          <w:rFonts w:asciiTheme="majorHAnsi" w:hAnsiTheme="majorHAnsi"/>
          <w:sz w:val="20"/>
          <w:szCs w:val="20"/>
          <w:lang w:val="es-UY"/>
        </w:rPr>
        <w:t>o</w:t>
      </w:r>
      <w:r w:rsidR="0063685A" w:rsidRPr="00A60069">
        <w:rPr>
          <w:rFonts w:asciiTheme="majorHAnsi" w:hAnsiTheme="majorHAnsi"/>
          <w:sz w:val="20"/>
          <w:szCs w:val="20"/>
          <w:lang w:val="es-UY"/>
        </w:rPr>
        <w:t xml:space="preserve"> (en adelante, “</w:t>
      </w:r>
      <w:r w:rsidR="00724D48" w:rsidRPr="00A60069">
        <w:rPr>
          <w:rFonts w:asciiTheme="majorHAnsi" w:hAnsiTheme="majorHAnsi"/>
          <w:sz w:val="20"/>
          <w:szCs w:val="20"/>
          <w:lang w:val="es-UY"/>
        </w:rPr>
        <w:t>el peticionario</w:t>
      </w:r>
      <w:r w:rsidR="0063685A" w:rsidRPr="00A60069">
        <w:rPr>
          <w:rFonts w:asciiTheme="majorHAnsi" w:hAnsiTheme="majorHAnsi"/>
          <w:sz w:val="20"/>
          <w:szCs w:val="20"/>
          <w:lang w:val="es-UY"/>
        </w:rPr>
        <w:t>”</w:t>
      </w:r>
      <w:r w:rsidR="00724D48" w:rsidRPr="00A60069">
        <w:rPr>
          <w:rFonts w:asciiTheme="majorHAnsi" w:hAnsiTheme="majorHAnsi"/>
          <w:sz w:val="20"/>
          <w:szCs w:val="20"/>
          <w:lang w:val="es-UY"/>
        </w:rPr>
        <w:t xml:space="preserve"> o “la presunta víctima”</w:t>
      </w:r>
      <w:r w:rsidR="0063685A" w:rsidRPr="00A60069">
        <w:rPr>
          <w:rFonts w:asciiTheme="majorHAnsi" w:hAnsiTheme="majorHAnsi"/>
          <w:sz w:val="20"/>
          <w:szCs w:val="20"/>
          <w:lang w:val="es-UY"/>
        </w:rPr>
        <w:t xml:space="preserve">) contra </w:t>
      </w:r>
      <w:r w:rsidR="005B7900" w:rsidRPr="00A60069">
        <w:rPr>
          <w:rFonts w:asciiTheme="majorHAnsi" w:hAnsiTheme="majorHAnsi"/>
          <w:sz w:val="20"/>
          <w:szCs w:val="20"/>
          <w:lang w:val="es-UY"/>
        </w:rPr>
        <w:t>la República</w:t>
      </w:r>
      <w:r w:rsidR="00394195" w:rsidRPr="00A60069">
        <w:rPr>
          <w:rFonts w:asciiTheme="majorHAnsi" w:hAnsiTheme="majorHAnsi"/>
          <w:sz w:val="20"/>
          <w:szCs w:val="20"/>
          <w:lang w:val="es-UY"/>
        </w:rPr>
        <w:t xml:space="preserve"> de</w:t>
      </w:r>
      <w:r w:rsidR="005B7900" w:rsidRPr="00A60069">
        <w:rPr>
          <w:rFonts w:asciiTheme="majorHAnsi" w:hAnsiTheme="majorHAnsi"/>
          <w:sz w:val="20"/>
          <w:szCs w:val="20"/>
          <w:lang w:val="es-UY"/>
        </w:rPr>
        <w:t xml:space="preserve"> Argentina</w:t>
      </w:r>
      <w:r w:rsidR="0063685A" w:rsidRPr="00A60069">
        <w:rPr>
          <w:rFonts w:asciiTheme="majorHAnsi" w:hAnsiTheme="majorHAnsi"/>
          <w:sz w:val="20"/>
          <w:szCs w:val="20"/>
          <w:lang w:val="es-UY"/>
        </w:rPr>
        <w:t xml:space="preserve"> (en adelante, “</w:t>
      </w:r>
      <w:r w:rsidR="005B7900" w:rsidRPr="00A60069">
        <w:rPr>
          <w:rFonts w:asciiTheme="majorHAnsi" w:hAnsiTheme="majorHAnsi"/>
          <w:sz w:val="20"/>
          <w:szCs w:val="20"/>
          <w:lang w:val="es-UY"/>
        </w:rPr>
        <w:t>Argentina</w:t>
      </w:r>
      <w:r w:rsidR="002541D6" w:rsidRPr="00A60069">
        <w:rPr>
          <w:rFonts w:asciiTheme="majorHAnsi" w:hAnsiTheme="majorHAnsi"/>
          <w:sz w:val="20"/>
          <w:szCs w:val="20"/>
          <w:lang w:val="es-UY"/>
        </w:rPr>
        <w:t xml:space="preserve">” o “el Estado”), </w:t>
      </w:r>
      <w:r w:rsidR="00394195" w:rsidRPr="00A60069">
        <w:rPr>
          <w:rFonts w:asciiTheme="majorHAnsi" w:hAnsiTheme="majorHAnsi"/>
          <w:sz w:val="20"/>
          <w:szCs w:val="20"/>
          <w:lang w:val="es-UY"/>
        </w:rPr>
        <w:t xml:space="preserve">por la alegada falta de </w:t>
      </w:r>
      <w:r w:rsidR="00154517" w:rsidRPr="00A60069">
        <w:rPr>
          <w:rFonts w:asciiTheme="majorHAnsi" w:eastAsia="SimSun" w:hAnsiTheme="majorHAnsi"/>
          <w:sz w:val="20"/>
          <w:szCs w:val="20"/>
          <w:lang w:val="es-UY"/>
        </w:rPr>
        <w:t>acceso a recursos j</w:t>
      </w:r>
      <w:r w:rsidR="00394195" w:rsidRPr="00A60069">
        <w:rPr>
          <w:rFonts w:asciiTheme="majorHAnsi" w:eastAsia="SimSun" w:hAnsiTheme="majorHAnsi"/>
          <w:sz w:val="20"/>
          <w:szCs w:val="20"/>
          <w:lang w:val="es-UY"/>
        </w:rPr>
        <w:t xml:space="preserve">udiciales adecuados y efectivos </w:t>
      </w:r>
      <w:r w:rsidR="00154517" w:rsidRPr="00A60069">
        <w:rPr>
          <w:rFonts w:asciiTheme="majorHAnsi" w:eastAsia="SimSun" w:hAnsiTheme="majorHAnsi"/>
          <w:sz w:val="20"/>
          <w:szCs w:val="20"/>
          <w:lang w:val="es-UY"/>
        </w:rPr>
        <w:t>que le permitieran impugnar una multa pr</w:t>
      </w:r>
      <w:r w:rsidR="0072676D" w:rsidRPr="00A60069">
        <w:rPr>
          <w:rFonts w:asciiTheme="majorHAnsi" w:eastAsia="SimSun" w:hAnsiTheme="majorHAnsi"/>
          <w:sz w:val="20"/>
          <w:szCs w:val="20"/>
          <w:lang w:val="es-UY"/>
        </w:rPr>
        <w:t>ocesal que le fue aplicada por autoridades del Poder Judicial del Estado.</w:t>
      </w:r>
      <w:r w:rsidR="00FE4096" w:rsidRPr="00A60069">
        <w:rPr>
          <w:rFonts w:asciiTheme="majorHAnsi" w:hAnsiTheme="majorHAnsi"/>
          <w:sz w:val="20"/>
          <w:szCs w:val="20"/>
          <w:lang w:val="es-UY"/>
        </w:rPr>
        <w:t xml:space="preserve"> </w:t>
      </w:r>
      <w:r w:rsidR="002541D6" w:rsidRPr="00A60069">
        <w:rPr>
          <w:rFonts w:asciiTheme="majorHAnsi" w:hAnsiTheme="majorHAnsi"/>
          <w:sz w:val="20"/>
          <w:szCs w:val="20"/>
          <w:lang w:val="es-UY"/>
        </w:rPr>
        <w:t xml:space="preserve"> </w:t>
      </w:r>
      <w:r w:rsidR="00035D28" w:rsidRPr="00A60069">
        <w:rPr>
          <w:rFonts w:asciiTheme="majorHAnsi" w:hAnsiTheme="majorHAnsi"/>
          <w:sz w:val="20"/>
          <w:szCs w:val="20"/>
          <w:lang w:val="es-UY"/>
        </w:rPr>
        <w:t xml:space="preserve"> </w:t>
      </w:r>
    </w:p>
    <w:p w:rsidR="00EC47D9" w:rsidRPr="00A60069" w:rsidRDefault="00EC47D9" w:rsidP="00035D28">
      <w:pPr>
        <w:rPr>
          <w:rFonts w:asciiTheme="majorHAnsi" w:eastAsia="SimSun" w:hAnsiTheme="majorHAnsi"/>
          <w:sz w:val="20"/>
          <w:szCs w:val="20"/>
          <w:lang w:val="es-UY"/>
        </w:rPr>
      </w:pPr>
    </w:p>
    <w:p w:rsidR="000A4D35" w:rsidRPr="00A60069" w:rsidRDefault="00EC47D9" w:rsidP="00BE1E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lang w:val="es-UY"/>
        </w:rPr>
      </w:pPr>
      <w:r w:rsidRPr="00A60069">
        <w:rPr>
          <w:rFonts w:asciiTheme="majorHAnsi" w:eastAsia="SimSun" w:hAnsiTheme="majorHAnsi"/>
          <w:sz w:val="20"/>
          <w:szCs w:val="20"/>
          <w:lang w:val="es-UY"/>
        </w:rPr>
        <w:t>El peticionario sostiene que</w:t>
      </w:r>
      <w:r w:rsidR="00394195" w:rsidRPr="00A60069">
        <w:rPr>
          <w:rFonts w:asciiTheme="majorHAnsi" w:eastAsia="SimSun" w:hAnsiTheme="majorHAnsi"/>
          <w:sz w:val="20"/>
          <w:szCs w:val="20"/>
          <w:lang w:val="es-UY"/>
        </w:rPr>
        <w:t xml:space="preserve"> el Estado ha violado sus derecho</w:t>
      </w:r>
      <w:r w:rsidR="007D524A" w:rsidRPr="00A60069">
        <w:rPr>
          <w:rFonts w:asciiTheme="majorHAnsi" w:eastAsia="SimSun" w:hAnsiTheme="majorHAnsi"/>
          <w:sz w:val="20"/>
          <w:szCs w:val="20"/>
          <w:lang w:val="es-UY"/>
        </w:rPr>
        <w:t>s</w:t>
      </w:r>
      <w:r w:rsidR="00394195" w:rsidRPr="00A60069">
        <w:rPr>
          <w:rFonts w:asciiTheme="majorHAnsi" w:eastAsia="SimSun" w:hAnsiTheme="majorHAnsi"/>
          <w:sz w:val="20"/>
          <w:szCs w:val="20"/>
          <w:lang w:val="es-UY"/>
        </w:rPr>
        <w:t xml:space="preserve"> a las garantías judiciales, igualdad ante la </w:t>
      </w:r>
      <w:r w:rsidR="009345F4" w:rsidRPr="00A60069">
        <w:rPr>
          <w:rFonts w:asciiTheme="majorHAnsi" w:eastAsia="SimSun" w:hAnsiTheme="majorHAnsi"/>
          <w:sz w:val="20"/>
          <w:szCs w:val="20"/>
          <w:lang w:val="es-UY"/>
        </w:rPr>
        <w:t>ley y protección judicial, toda vez que</w:t>
      </w:r>
      <w:r w:rsidRPr="00A60069">
        <w:rPr>
          <w:rFonts w:asciiTheme="majorHAnsi" w:eastAsia="SimSun" w:hAnsiTheme="majorHAnsi"/>
          <w:sz w:val="20"/>
          <w:szCs w:val="20"/>
          <w:lang w:val="es-UY"/>
        </w:rPr>
        <w:t xml:space="preserve"> </w:t>
      </w:r>
      <w:r w:rsidR="006443B6" w:rsidRPr="00A60069">
        <w:rPr>
          <w:rFonts w:asciiTheme="majorHAnsi" w:eastAsia="SimSun" w:hAnsiTheme="majorHAnsi"/>
          <w:sz w:val="20"/>
          <w:szCs w:val="20"/>
          <w:lang w:val="es-UY"/>
        </w:rPr>
        <w:t>en el marco de un proceso</w:t>
      </w:r>
      <w:r w:rsidR="00F27DFE" w:rsidRPr="00A60069">
        <w:rPr>
          <w:rFonts w:asciiTheme="majorHAnsi" w:eastAsia="SimSun" w:hAnsiTheme="majorHAnsi"/>
          <w:sz w:val="20"/>
          <w:szCs w:val="20"/>
          <w:lang w:val="es-UY"/>
        </w:rPr>
        <w:t xml:space="preserve"> civil</w:t>
      </w:r>
      <w:r w:rsidR="006443B6" w:rsidRPr="00A60069">
        <w:rPr>
          <w:rFonts w:asciiTheme="majorHAnsi" w:eastAsia="SimSun" w:hAnsiTheme="majorHAnsi"/>
          <w:sz w:val="20"/>
          <w:szCs w:val="20"/>
          <w:lang w:val="es-UY"/>
        </w:rPr>
        <w:t xml:space="preserve"> por daños y perjuicios</w:t>
      </w:r>
      <w:r w:rsidR="000572FC" w:rsidRPr="00A60069">
        <w:rPr>
          <w:rFonts w:asciiTheme="majorHAnsi" w:eastAsia="SimSun" w:hAnsiTheme="majorHAnsi"/>
          <w:sz w:val="20"/>
          <w:szCs w:val="20"/>
          <w:lang w:val="es-UY"/>
        </w:rPr>
        <w:t>,</w:t>
      </w:r>
      <w:r w:rsidR="006443B6" w:rsidRPr="00A60069">
        <w:rPr>
          <w:rFonts w:asciiTheme="majorHAnsi" w:eastAsia="SimSun" w:hAnsiTheme="majorHAnsi"/>
          <w:sz w:val="20"/>
          <w:szCs w:val="20"/>
          <w:lang w:val="es-UY"/>
        </w:rPr>
        <w:t xml:space="preserve"> en el que participaba como abogado patrocinante</w:t>
      </w:r>
      <w:r w:rsidR="00164A9F" w:rsidRPr="00A60069">
        <w:rPr>
          <w:rFonts w:asciiTheme="majorHAnsi" w:eastAsia="SimSun" w:hAnsiTheme="majorHAnsi"/>
          <w:sz w:val="20"/>
          <w:szCs w:val="20"/>
          <w:lang w:val="es-UY"/>
        </w:rPr>
        <w:t xml:space="preserve">, la </w:t>
      </w:r>
      <w:r w:rsidR="007D524A" w:rsidRPr="00A60069">
        <w:rPr>
          <w:rFonts w:asciiTheme="majorHAnsi" w:eastAsia="SimSun" w:hAnsiTheme="majorHAnsi"/>
          <w:sz w:val="20"/>
          <w:szCs w:val="20"/>
          <w:lang w:val="es-UY"/>
        </w:rPr>
        <w:t>sentencia dictada en</w:t>
      </w:r>
      <w:r w:rsidR="0067794E" w:rsidRPr="00A60069">
        <w:rPr>
          <w:rFonts w:asciiTheme="majorHAnsi" w:eastAsia="SimSun" w:hAnsiTheme="majorHAnsi"/>
          <w:sz w:val="20"/>
          <w:szCs w:val="20"/>
          <w:lang w:val="es-UY"/>
        </w:rPr>
        <w:t xml:space="preserve"> segunda instancia</w:t>
      </w:r>
      <w:r w:rsidR="000572FC" w:rsidRPr="00A60069">
        <w:rPr>
          <w:rFonts w:asciiTheme="majorHAnsi" w:eastAsia="SimSun" w:hAnsiTheme="majorHAnsi"/>
          <w:sz w:val="20"/>
          <w:szCs w:val="20"/>
          <w:lang w:val="es-UY"/>
        </w:rPr>
        <w:t xml:space="preserve"> determinó la aplicación de una </w:t>
      </w:r>
      <w:r w:rsidR="00164A9F" w:rsidRPr="00A60069">
        <w:rPr>
          <w:rFonts w:asciiTheme="majorHAnsi" w:eastAsia="SimSun" w:hAnsiTheme="majorHAnsi"/>
          <w:sz w:val="20"/>
          <w:szCs w:val="20"/>
          <w:lang w:val="es-UY"/>
        </w:rPr>
        <w:t>multa</w:t>
      </w:r>
      <w:r w:rsidR="000572FC" w:rsidRPr="00A60069">
        <w:rPr>
          <w:rFonts w:asciiTheme="majorHAnsi" w:eastAsia="SimSun" w:hAnsiTheme="majorHAnsi"/>
          <w:sz w:val="20"/>
          <w:szCs w:val="20"/>
          <w:lang w:val="es-UY"/>
        </w:rPr>
        <w:t xml:space="preserve"> en su perjuicio.</w:t>
      </w:r>
      <w:r w:rsidR="00204E85" w:rsidRPr="00A60069">
        <w:rPr>
          <w:rFonts w:asciiTheme="majorHAnsi" w:eastAsia="SimSun" w:hAnsiTheme="majorHAnsi"/>
          <w:sz w:val="20"/>
          <w:szCs w:val="20"/>
          <w:lang w:val="es-UY"/>
        </w:rPr>
        <w:t xml:space="preserve"> Seña</w:t>
      </w:r>
      <w:r w:rsidR="005A20DC" w:rsidRPr="00A60069">
        <w:rPr>
          <w:rFonts w:asciiTheme="majorHAnsi" w:eastAsia="SimSun" w:hAnsiTheme="majorHAnsi"/>
          <w:sz w:val="20"/>
          <w:szCs w:val="20"/>
          <w:lang w:val="es-UY"/>
        </w:rPr>
        <w:t>la</w:t>
      </w:r>
      <w:r w:rsidR="00204E85" w:rsidRPr="00A60069">
        <w:rPr>
          <w:rFonts w:asciiTheme="majorHAnsi" w:eastAsia="SimSun" w:hAnsiTheme="majorHAnsi"/>
          <w:sz w:val="20"/>
          <w:szCs w:val="20"/>
          <w:lang w:val="es-UY"/>
        </w:rPr>
        <w:t xml:space="preserve"> </w:t>
      </w:r>
      <w:r w:rsidR="0067794E" w:rsidRPr="00A60069">
        <w:rPr>
          <w:rFonts w:asciiTheme="majorHAnsi" w:eastAsia="SimSun" w:hAnsiTheme="majorHAnsi"/>
          <w:sz w:val="20"/>
          <w:szCs w:val="20"/>
          <w:lang w:val="es-UY"/>
        </w:rPr>
        <w:t xml:space="preserve">además, </w:t>
      </w:r>
      <w:r w:rsidR="00204E85" w:rsidRPr="00A60069">
        <w:rPr>
          <w:rFonts w:asciiTheme="majorHAnsi" w:eastAsia="SimSun" w:hAnsiTheme="majorHAnsi"/>
          <w:sz w:val="20"/>
          <w:szCs w:val="20"/>
          <w:lang w:val="es-UY"/>
        </w:rPr>
        <w:t xml:space="preserve">que no contó con </w:t>
      </w:r>
      <w:r w:rsidR="007D524A" w:rsidRPr="00A60069">
        <w:rPr>
          <w:rFonts w:asciiTheme="majorHAnsi" w:eastAsia="SimSun" w:hAnsiTheme="majorHAnsi"/>
          <w:sz w:val="20"/>
          <w:szCs w:val="20"/>
          <w:lang w:val="es-UY"/>
        </w:rPr>
        <w:t>un</w:t>
      </w:r>
      <w:r w:rsidR="00204E85" w:rsidRPr="00A60069">
        <w:rPr>
          <w:rFonts w:asciiTheme="majorHAnsi" w:eastAsia="SimSun" w:hAnsiTheme="majorHAnsi"/>
          <w:sz w:val="20"/>
          <w:szCs w:val="20"/>
          <w:lang w:val="es-UY"/>
        </w:rPr>
        <w:t xml:space="preserve"> recurso judicial</w:t>
      </w:r>
      <w:r w:rsidR="005A20DC" w:rsidRPr="00A60069">
        <w:rPr>
          <w:rFonts w:asciiTheme="majorHAnsi" w:eastAsia="SimSun" w:hAnsiTheme="majorHAnsi"/>
          <w:sz w:val="20"/>
          <w:szCs w:val="20"/>
          <w:lang w:val="es-UY"/>
        </w:rPr>
        <w:t xml:space="preserve"> efectivo para impugnar dicha </w:t>
      </w:r>
      <w:r w:rsidR="00204E85" w:rsidRPr="00A60069">
        <w:rPr>
          <w:rFonts w:asciiTheme="majorHAnsi" w:eastAsia="SimSun" w:hAnsiTheme="majorHAnsi"/>
          <w:sz w:val="20"/>
          <w:szCs w:val="20"/>
          <w:lang w:val="es-UY"/>
        </w:rPr>
        <w:t xml:space="preserve">decisión </w:t>
      </w:r>
      <w:r w:rsidR="005A20DC" w:rsidRPr="00A60069">
        <w:rPr>
          <w:rFonts w:asciiTheme="majorHAnsi" w:eastAsia="SimSun" w:hAnsiTheme="majorHAnsi"/>
          <w:sz w:val="20"/>
          <w:szCs w:val="20"/>
          <w:lang w:val="es-UY"/>
        </w:rPr>
        <w:t>y</w:t>
      </w:r>
      <w:r w:rsidRPr="00A60069">
        <w:rPr>
          <w:rFonts w:asciiTheme="majorHAnsi" w:eastAsia="SimSun" w:hAnsiTheme="majorHAnsi"/>
          <w:sz w:val="20"/>
          <w:szCs w:val="20"/>
          <w:lang w:val="es-UY"/>
        </w:rPr>
        <w:t xml:space="preserve"> que no le fue permitido ofrecer pruebas</w:t>
      </w:r>
      <w:r w:rsidR="00716ADF" w:rsidRPr="00A60069">
        <w:rPr>
          <w:rFonts w:asciiTheme="majorHAnsi" w:eastAsia="SimSun" w:hAnsiTheme="majorHAnsi"/>
          <w:sz w:val="20"/>
          <w:szCs w:val="20"/>
          <w:lang w:val="es-UY"/>
        </w:rPr>
        <w:t xml:space="preserve"> en </w:t>
      </w:r>
      <w:r w:rsidR="005A20DC" w:rsidRPr="00A60069">
        <w:rPr>
          <w:rFonts w:asciiTheme="majorHAnsi" w:eastAsia="SimSun" w:hAnsiTheme="majorHAnsi"/>
          <w:sz w:val="20"/>
          <w:szCs w:val="20"/>
          <w:lang w:val="es-UY"/>
        </w:rPr>
        <w:t>ninguna de las</w:t>
      </w:r>
      <w:r w:rsidR="00716ADF" w:rsidRPr="00A60069">
        <w:rPr>
          <w:rFonts w:asciiTheme="majorHAnsi" w:eastAsia="SimSun" w:hAnsiTheme="majorHAnsi"/>
          <w:sz w:val="20"/>
          <w:szCs w:val="20"/>
          <w:lang w:val="es-UY"/>
        </w:rPr>
        <w:t xml:space="preserve"> </w:t>
      </w:r>
      <w:r w:rsidR="005A20DC" w:rsidRPr="00A60069">
        <w:rPr>
          <w:rFonts w:asciiTheme="majorHAnsi" w:eastAsia="SimSun" w:hAnsiTheme="majorHAnsi"/>
          <w:sz w:val="20"/>
          <w:szCs w:val="20"/>
          <w:lang w:val="es-UY"/>
        </w:rPr>
        <w:t xml:space="preserve">actuaciones </w:t>
      </w:r>
      <w:r w:rsidR="00716ADF" w:rsidRPr="00A60069">
        <w:rPr>
          <w:rFonts w:asciiTheme="majorHAnsi" w:eastAsia="SimSun" w:hAnsiTheme="majorHAnsi"/>
          <w:sz w:val="20"/>
          <w:szCs w:val="20"/>
          <w:lang w:val="es-UY"/>
        </w:rPr>
        <w:t xml:space="preserve">posteriores </w:t>
      </w:r>
      <w:r w:rsidR="007D524A" w:rsidRPr="00A60069">
        <w:rPr>
          <w:rFonts w:asciiTheme="majorHAnsi" w:eastAsia="SimSun" w:hAnsiTheme="majorHAnsi"/>
          <w:sz w:val="20"/>
          <w:szCs w:val="20"/>
          <w:lang w:val="es-UY"/>
        </w:rPr>
        <w:t>intentadas</w:t>
      </w:r>
      <w:r w:rsidR="00716ADF" w:rsidRPr="00A60069">
        <w:rPr>
          <w:rFonts w:asciiTheme="majorHAnsi" w:eastAsia="SimSun" w:hAnsiTheme="majorHAnsi"/>
          <w:sz w:val="20"/>
          <w:szCs w:val="20"/>
          <w:lang w:val="es-UY"/>
        </w:rPr>
        <w:t xml:space="preserve"> </w:t>
      </w:r>
      <w:r w:rsidR="003C22F3" w:rsidRPr="00A60069">
        <w:rPr>
          <w:rFonts w:asciiTheme="majorHAnsi" w:eastAsia="SimSun" w:hAnsiTheme="majorHAnsi"/>
          <w:sz w:val="20"/>
          <w:szCs w:val="20"/>
          <w:lang w:val="es-UY"/>
        </w:rPr>
        <w:t>ante las autoridades del Poder Judicial de Argentina</w:t>
      </w:r>
      <w:r w:rsidR="005A20DC" w:rsidRPr="00A60069">
        <w:rPr>
          <w:rFonts w:asciiTheme="majorHAnsi" w:eastAsia="SimSun" w:hAnsiTheme="majorHAnsi"/>
          <w:sz w:val="20"/>
          <w:szCs w:val="20"/>
          <w:lang w:val="es-UY"/>
        </w:rPr>
        <w:t>.</w:t>
      </w:r>
      <w:r w:rsidR="003C22F3" w:rsidRPr="00A60069">
        <w:rPr>
          <w:rFonts w:asciiTheme="majorHAnsi" w:eastAsia="SimSun" w:hAnsiTheme="majorHAnsi"/>
          <w:sz w:val="20"/>
          <w:szCs w:val="20"/>
          <w:lang w:val="es-UY"/>
        </w:rPr>
        <w:t xml:space="preserve"> </w:t>
      </w:r>
      <w:r w:rsidR="00051227" w:rsidRPr="00A60069">
        <w:rPr>
          <w:rFonts w:asciiTheme="majorHAnsi" w:eastAsia="SimSun" w:hAnsiTheme="majorHAnsi"/>
          <w:sz w:val="20"/>
          <w:szCs w:val="20"/>
          <w:lang w:val="es-UY"/>
        </w:rPr>
        <w:t xml:space="preserve">Asimismo, indica que </w:t>
      </w:r>
      <w:r w:rsidR="00FA0764" w:rsidRPr="00A60069">
        <w:rPr>
          <w:rFonts w:asciiTheme="majorHAnsi" w:eastAsia="SimSun" w:hAnsiTheme="majorHAnsi"/>
          <w:sz w:val="20"/>
          <w:szCs w:val="20"/>
          <w:lang w:val="es-UY"/>
        </w:rPr>
        <w:t>al no existir un recurso ordinario</w:t>
      </w:r>
      <w:r w:rsidR="00F27DFE" w:rsidRPr="00A60069">
        <w:rPr>
          <w:rFonts w:asciiTheme="majorHAnsi" w:eastAsia="SimSun" w:hAnsiTheme="majorHAnsi"/>
          <w:sz w:val="20"/>
          <w:szCs w:val="20"/>
          <w:lang w:val="es-UY"/>
        </w:rPr>
        <w:t xml:space="preserve"> adecuado</w:t>
      </w:r>
      <w:r w:rsidR="00FA0764" w:rsidRPr="00A60069">
        <w:rPr>
          <w:rFonts w:asciiTheme="majorHAnsi" w:eastAsia="SimSun" w:hAnsiTheme="majorHAnsi"/>
          <w:sz w:val="20"/>
          <w:szCs w:val="20"/>
          <w:lang w:val="es-UY"/>
        </w:rPr>
        <w:t xml:space="preserve">, </w:t>
      </w:r>
      <w:r w:rsidR="0056214E" w:rsidRPr="00A60069">
        <w:rPr>
          <w:rFonts w:asciiTheme="majorHAnsi" w:eastAsia="SimSun" w:hAnsiTheme="majorHAnsi"/>
          <w:sz w:val="20"/>
          <w:szCs w:val="20"/>
          <w:lang w:val="es-UY"/>
        </w:rPr>
        <w:t>interpuso un recurso extraordinario f</w:t>
      </w:r>
      <w:r w:rsidR="00051227" w:rsidRPr="00A60069">
        <w:rPr>
          <w:rFonts w:asciiTheme="majorHAnsi" w:eastAsia="SimSun" w:hAnsiTheme="majorHAnsi"/>
          <w:sz w:val="20"/>
          <w:szCs w:val="20"/>
          <w:lang w:val="es-UY"/>
        </w:rPr>
        <w:t>ederal</w:t>
      </w:r>
      <w:r w:rsidR="00FA0764" w:rsidRPr="00A60069">
        <w:rPr>
          <w:rFonts w:asciiTheme="majorHAnsi" w:eastAsia="SimSun" w:hAnsiTheme="majorHAnsi"/>
          <w:sz w:val="20"/>
          <w:szCs w:val="20"/>
          <w:lang w:val="es-UY"/>
        </w:rPr>
        <w:t>;</w:t>
      </w:r>
      <w:r w:rsidR="00051227" w:rsidRPr="00A60069">
        <w:rPr>
          <w:rFonts w:asciiTheme="majorHAnsi" w:eastAsia="SimSun" w:hAnsiTheme="majorHAnsi"/>
          <w:sz w:val="20"/>
          <w:szCs w:val="20"/>
          <w:lang w:val="es-UY"/>
        </w:rPr>
        <w:t xml:space="preserve"> </w:t>
      </w:r>
      <w:r w:rsidR="00FA0764" w:rsidRPr="00A60069">
        <w:rPr>
          <w:rFonts w:asciiTheme="majorHAnsi" w:eastAsia="SimSun" w:hAnsiTheme="majorHAnsi"/>
          <w:sz w:val="20"/>
          <w:szCs w:val="20"/>
          <w:lang w:val="es-UY"/>
        </w:rPr>
        <w:t>sin embargo,</w:t>
      </w:r>
      <w:r w:rsidR="00051227" w:rsidRPr="00A60069">
        <w:rPr>
          <w:rFonts w:asciiTheme="majorHAnsi" w:eastAsia="SimSun" w:hAnsiTheme="majorHAnsi"/>
          <w:sz w:val="20"/>
          <w:szCs w:val="20"/>
          <w:lang w:val="es-UY"/>
        </w:rPr>
        <w:t xml:space="preserve"> </w:t>
      </w:r>
      <w:r w:rsidRPr="00A60069">
        <w:rPr>
          <w:rFonts w:asciiTheme="majorHAnsi" w:eastAsia="SimSun" w:hAnsiTheme="majorHAnsi"/>
          <w:sz w:val="20"/>
          <w:szCs w:val="20"/>
          <w:lang w:val="es-UY"/>
        </w:rPr>
        <w:t>la Corte Suprema de Justicia de la Nación</w:t>
      </w:r>
      <w:r w:rsidR="0056214E" w:rsidRPr="00A60069">
        <w:rPr>
          <w:rFonts w:asciiTheme="majorHAnsi" w:eastAsia="SimSun" w:hAnsiTheme="majorHAnsi"/>
          <w:sz w:val="20"/>
          <w:szCs w:val="20"/>
          <w:lang w:val="es-UY"/>
        </w:rPr>
        <w:t xml:space="preserve"> (en adelante “Corte Suprema”)</w:t>
      </w:r>
      <w:r w:rsidR="00716ADF" w:rsidRPr="00A60069">
        <w:rPr>
          <w:rFonts w:asciiTheme="majorHAnsi" w:eastAsia="SimSun" w:hAnsiTheme="majorHAnsi"/>
          <w:sz w:val="20"/>
          <w:szCs w:val="20"/>
          <w:lang w:val="es-UY"/>
        </w:rPr>
        <w:t xml:space="preserve"> </w:t>
      </w:r>
      <w:r w:rsidR="00051227" w:rsidRPr="00A60069">
        <w:rPr>
          <w:rFonts w:asciiTheme="majorHAnsi" w:eastAsia="SimSun" w:hAnsiTheme="majorHAnsi"/>
          <w:sz w:val="20"/>
          <w:szCs w:val="20"/>
          <w:lang w:val="es-UY"/>
        </w:rPr>
        <w:t>d</w:t>
      </w:r>
      <w:r w:rsidR="006455CC" w:rsidRPr="00A60069">
        <w:rPr>
          <w:rFonts w:asciiTheme="majorHAnsi" w:eastAsia="SimSun" w:hAnsiTheme="majorHAnsi"/>
          <w:sz w:val="20"/>
          <w:szCs w:val="20"/>
          <w:lang w:val="es-UY"/>
        </w:rPr>
        <w:t>esestim</w:t>
      </w:r>
      <w:r w:rsidR="00051227" w:rsidRPr="00A60069">
        <w:rPr>
          <w:rFonts w:asciiTheme="majorHAnsi" w:eastAsia="SimSun" w:hAnsiTheme="majorHAnsi"/>
          <w:sz w:val="20"/>
          <w:szCs w:val="20"/>
          <w:lang w:val="es-UY"/>
        </w:rPr>
        <w:t>ó</w:t>
      </w:r>
      <w:r w:rsidR="006455CC" w:rsidRPr="00A60069">
        <w:rPr>
          <w:rFonts w:asciiTheme="majorHAnsi" w:eastAsia="SimSun" w:hAnsiTheme="majorHAnsi"/>
          <w:sz w:val="20"/>
          <w:szCs w:val="20"/>
          <w:lang w:val="es-UY"/>
        </w:rPr>
        <w:t xml:space="preserve"> su </w:t>
      </w:r>
      <w:r w:rsidR="00FA0764" w:rsidRPr="00A60069">
        <w:rPr>
          <w:rFonts w:asciiTheme="majorHAnsi" w:eastAsia="SimSun" w:hAnsiTheme="majorHAnsi"/>
          <w:sz w:val="20"/>
          <w:szCs w:val="20"/>
          <w:lang w:val="es-UY"/>
        </w:rPr>
        <w:t xml:space="preserve">solicitud, </w:t>
      </w:r>
      <w:r w:rsidR="00051227" w:rsidRPr="00A60069">
        <w:rPr>
          <w:rFonts w:asciiTheme="majorHAnsi" w:eastAsia="SimSun" w:hAnsiTheme="majorHAnsi"/>
          <w:sz w:val="20"/>
          <w:szCs w:val="20"/>
          <w:lang w:val="es-UY"/>
        </w:rPr>
        <w:t>sin una</w:t>
      </w:r>
      <w:r w:rsidR="006455CC" w:rsidRPr="00A60069">
        <w:rPr>
          <w:rFonts w:asciiTheme="majorHAnsi" w:eastAsia="SimSun" w:hAnsiTheme="majorHAnsi"/>
          <w:sz w:val="20"/>
          <w:szCs w:val="20"/>
          <w:lang w:val="es-UY"/>
        </w:rPr>
        <w:t xml:space="preserve"> motivación suficiente</w:t>
      </w:r>
      <w:r w:rsidR="00FA0764" w:rsidRPr="00A60069">
        <w:rPr>
          <w:rFonts w:asciiTheme="majorHAnsi" w:eastAsia="SimSun" w:hAnsiTheme="majorHAnsi"/>
          <w:sz w:val="20"/>
          <w:szCs w:val="20"/>
          <w:lang w:val="es-UY"/>
        </w:rPr>
        <w:t xml:space="preserve">. </w:t>
      </w:r>
      <w:r w:rsidR="002B0AC2" w:rsidRPr="00A60069">
        <w:rPr>
          <w:rFonts w:asciiTheme="majorHAnsi" w:eastAsia="SimSun" w:hAnsiTheme="majorHAnsi"/>
          <w:sz w:val="20"/>
          <w:szCs w:val="20"/>
          <w:lang w:val="es-UY"/>
        </w:rPr>
        <w:t>Finalmente</w:t>
      </w:r>
      <w:r w:rsidRPr="00A60069">
        <w:rPr>
          <w:rFonts w:asciiTheme="majorHAnsi" w:eastAsia="SimSun" w:hAnsiTheme="majorHAnsi"/>
          <w:sz w:val="20"/>
          <w:szCs w:val="20"/>
          <w:lang w:val="es-UY"/>
        </w:rPr>
        <w:t xml:space="preserve">, </w:t>
      </w:r>
      <w:r w:rsidR="00FA0764" w:rsidRPr="00A60069">
        <w:rPr>
          <w:rFonts w:asciiTheme="majorHAnsi" w:eastAsia="SimSun" w:hAnsiTheme="majorHAnsi"/>
          <w:sz w:val="20"/>
          <w:szCs w:val="20"/>
          <w:lang w:val="es-UY"/>
        </w:rPr>
        <w:t>refiere</w:t>
      </w:r>
      <w:r w:rsidR="0056214E" w:rsidRPr="00A60069">
        <w:rPr>
          <w:rFonts w:asciiTheme="majorHAnsi" w:eastAsia="SimSun" w:hAnsiTheme="majorHAnsi"/>
          <w:sz w:val="20"/>
          <w:szCs w:val="20"/>
          <w:lang w:val="es-UY"/>
        </w:rPr>
        <w:t xml:space="preserve"> que</w:t>
      </w:r>
      <w:r w:rsidR="00194D12" w:rsidRPr="00A60069">
        <w:rPr>
          <w:rFonts w:asciiTheme="majorHAnsi" w:eastAsia="SimSun" w:hAnsiTheme="majorHAnsi"/>
          <w:sz w:val="20"/>
          <w:szCs w:val="20"/>
          <w:lang w:val="es-UY"/>
        </w:rPr>
        <w:t xml:space="preserve"> u</w:t>
      </w:r>
      <w:r w:rsidR="006455CC" w:rsidRPr="00A60069">
        <w:rPr>
          <w:rFonts w:asciiTheme="majorHAnsi" w:eastAsia="SimSun" w:hAnsiTheme="majorHAnsi"/>
          <w:sz w:val="20"/>
          <w:szCs w:val="20"/>
          <w:lang w:val="es-UY"/>
        </w:rPr>
        <w:t xml:space="preserve">n </w:t>
      </w:r>
      <w:r w:rsidR="00194D12" w:rsidRPr="00A60069">
        <w:rPr>
          <w:rFonts w:asciiTheme="majorHAnsi" w:eastAsia="SimSun" w:hAnsiTheme="majorHAnsi"/>
          <w:sz w:val="20"/>
          <w:szCs w:val="20"/>
          <w:lang w:val="es-UY"/>
        </w:rPr>
        <w:t xml:space="preserve">caso similar al suyo </w:t>
      </w:r>
      <w:r w:rsidR="006455CC" w:rsidRPr="00A60069">
        <w:rPr>
          <w:rFonts w:asciiTheme="majorHAnsi" w:eastAsia="SimSun" w:hAnsiTheme="majorHAnsi"/>
          <w:sz w:val="20"/>
          <w:szCs w:val="20"/>
          <w:lang w:val="es-UY"/>
        </w:rPr>
        <w:t>habría</w:t>
      </w:r>
      <w:r w:rsidR="00194D12" w:rsidRPr="00A60069">
        <w:rPr>
          <w:rFonts w:asciiTheme="majorHAnsi" w:eastAsia="SimSun" w:hAnsiTheme="majorHAnsi"/>
          <w:sz w:val="20"/>
          <w:szCs w:val="20"/>
          <w:lang w:val="es-UY"/>
        </w:rPr>
        <w:t xml:space="preserve"> sido resuelto de forma diferente por la Corte Suprema</w:t>
      </w:r>
      <w:r w:rsidR="006455CC" w:rsidRPr="00A60069">
        <w:rPr>
          <w:rFonts w:asciiTheme="majorHAnsi" w:eastAsia="SimSun" w:hAnsiTheme="majorHAnsi"/>
          <w:sz w:val="20"/>
          <w:szCs w:val="20"/>
          <w:lang w:val="es-UY"/>
        </w:rPr>
        <w:t xml:space="preserve">. </w:t>
      </w:r>
    </w:p>
    <w:p w:rsidR="000A4D35" w:rsidRPr="00A60069" w:rsidRDefault="000A4D35" w:rsidP="000A4D35">
      <w:pPr>
        <w:pStyle w:val="ListParagraph"/>
        <w:rPr>
          <w:rFonts w:asciiTheme="majorHAnsi" w:eastAsia="SimSun" w:hAnsiTheme="majorHAnsi"/>
          <w:sz w:val="20"/>
          <w:szCs w:val="20"/>
          <w:lang w:val="es-UY"/>
        </w:rPr>
      </w:pPr>
    </w:p>
    <w:p w:rsidR="00EC47D9" w:rsidRPr="00A60069" w:rsidRDefault="000A4D35" w:rsidP="000A4D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lang w:val="es-UY"/>
        </w:rPr>
      </w:pPr>
      <w:r w:rsidRPr="00A60069">
        <w:rPr>
          <w:rFonts w:asciiTheme="majorHAnsi" w:eastAsia="SimSun" w:hAnsiTheme="majorHAnsi"/>
          <w:sz w:val="20"/>
          <w:szCs w:val="20"/>
          <w:lang w:val="es-UY"/>
        </w:rPr>
        <w:t>Por su parte</w:t>
      </w:r>
      <w:r w:rsidR="008C33A9" w:rsidRPr="00A60069">
        <w:rPr>
          <w:rFonts w:asciiTheme="majorHAnsi" w:eastAsia="SimSun" w:hAnsiTheme="majorHAnsi"/>
          <w:sz w:val="20"/>
          <w:szCs w:val="20"/>
          <w:lang w:val="es-UY"/>
        </w:rPr>
        <w:t>,</w:t>
      </w:r>
      <w:r w:rsidRPr="00A60069">
        <w:rPr>
          <w:rFonts w:asciiTheme="majorHAnsi" w:eastAsia="SimSun" w:hAnsiTheme="majorHAnsi"/>
          <w:sz w:val="20"/>
          <w:szCs w:val="20"/>
          <w:lang w:val="es-UY"/>
        </w:rPr>
        <w:t xml:space="preserve"> el Estado señala que la CIDH no debería admitir la petición</w:t>
      </w:r>
      <w:r w:rsidR="008C33A9" w:rsidRPr="00A60069">
        <w:rPr>
          <w:rFonts w:asciiTheme="majorHAnsi" w:eastAsia="SimSun" w:hAnsiTheme="majorHAnsi"/>
          <w:sz w:val="20"/>
          <w:szCs w:val="20"/>
          <w:lang w:val="es-UY"/>
        </w:rPr>
        <w:t>,</w:t>
      </w:r>
      <w:r w:rsidRPr="00A60069">
        <w:rPr>
          <w:rFonts w:asciiTheme="majorHAnsi" w:eastAsia="SimSun" w:hAnsiTheme="majorHAnsi"/>
          <w:sz w:val="20"/>
          <w:szCs w:val="20"/>
          <w:lang w:val="es-UY"/>
        </w:rPr>
        <w:t xml:space="preserve"> toda vez que la normativa interna argentina prevé un recurso judicial adecuado y efectivo, </w:t>
      </w:r>
      <w:r w:rsidR="008C33A9" w:rsidRPr="00A60069">
        <w:rPr>
          <w:rFonts w:asciiTheme="majorHAnsi" w:eastAsia="SimSun" w:hAnsiTheme="majorHAnsi"/>
          <w:sz w:val="20"/>
          <w:szCs w:val="20"/>
          <w:lang w:val="es-UY"/>
        </w:rPr>
        <w:t xml:space="preserve">que el peticionario no consideró. </w:t>
      </w:r>
      <w:r w:rsidR="002D7CE3" w:rsidRPr="00A60069">
        <w:rPr>
          <w:rFonts w:asciiTheme="majorHAnsi" w:eastAsia="SimSun" w:hAnsiTheme="majorHAnsi"/>
          <w:sz w:val="20"/>
          <w:szCs w:val="20"/>
          <w:lang w:val="es-UY"/>
        </w:rPr>
        <w:t>En ese sentido</w:t>
      </w:r>
      <w:r w:rsidR="008C33A9" w:rsidRPr="00A60069">
        <w:rPr>
          <w:rFonts w:asciiTheme="majorHAnsi" w:eastAsia="SimSun" w:hAnsiTheme="majorHAnsi"/>
          <w:sz w:val="20"/>
          <w:szCs w:val="20"/>
          <w:lang w:val="es-UY"/>
        </w:rPr>
        <w:t xml:space="preserve">, indica </w:t>
      </w:r>
      <w:r w:rsidR="002D7CE3" w:rsidRPr="00A60069">
        <w:rPr>
          <w:rFonts w:asciiTheme="majorHAnsi" w:eastAsia="SimSun" w:hAnsiTheme="majorHAnsi"/>
          <w:sz w:val="20"/>
          <w:szCs w:val="20"/>
          <w:lang w:val="es-UY"/>
        </w:rPr>
        <w:t xml:space="preserve">también </w:t>
      </w:r>
      <w:r w:rsidR="008C33A9" w:rsidRPr="00A60069">
        <w:rPr>
          <w:rFonts w:asciiTheme="majorHAnsi" w:eastAsia="SimSun" w:hAnsiTheme="majorHAnsi"/>
          <w:sz w:val="20"/>
          <w:szCs w:val="20"/>
          <w:lang w:val="es-UY"/>
        </w:rPr>
        <w:t>que la presunta víctima</w:t>
      </w:r>
      <w:r w:rsidRPr="00A60069">
        <w:rPr>
          <w:rFonts w:asciiTheme="majorHAnsi" w:eastAsia="SimSun" w:hAnsiTheme="majorHAnsi"/>
          <w:sz w:val="20"/>
          <w:szCs w:val="20"/>
          <w:lang w:val="es-UY"/>
        </w:rPr>
        <w:t xml:space="preserve"> </w:t>
      </w:r>
      <w:r w:rsidR="006455CC" w:rsidRPr="00A60069">
        <w:rPr>
          <w:rFonts w:asciiTheme="majorHAnsi" w:eastAsia="SimSun" w:hAnsiTheme="majorHAnsi"/>
          <w:sz w:val="20"/>
          <w:szCs w:val="20"/>
          <w:lang w:val="es-UY"/>
        </w:rPr>
        <w:t xml:space="preserve">contó con las garantías judiciales necesarias, </w:t>
      </w:r>
      <w:r w:rsidR="00BE1ED7" w:rsidRPr="00A60069">
        <w:rPr>
          <w:rFonts w:asciiTheme="majorHAnsi" w:eastAsia="SimSun" w:hAnsiTheme="majorHAnsi"/>
          <w:sz w:val="20"/>
          <w:szCs w:val="20"/>
          <w:lang w:val="es-UY"/>
        </w:rPr>
        <w:t>ya que</w:t>
      </w:r>
      <w:r w:rsidRPr="00A60069">
        <w:rPr>
          <w:rFonts w:asciiTheme="majorHAnsi" w:eastAsia="SimSun" w:hAnsiTheme="majorHAnsi"/>
          <w:sz w:val="20"/>
          <w:szCs w:val="20"/>
          <w:lang w:val="es-UY"/>
        </w:rPr>
        <w:t xml:space="preserve"> </w:t>
      </w:r>
      <w:r w:rsidR="006455CC" w:rsidRPr="00A60069">
        <w:rPr>
          <w:rFonts w:asciiTheme="majorHAnsi" w:eastAsia="SimSun" w:hAnsiTheme="majorHAnsi"/>
          <w:sz w:val="20"/>
          <w:szCs w:val="20"/>
          <w:lang w:val="es-UY"/>
        </w:rPr>
        <w:t>tuvo la</w:t>
      </w:r>
      <w:r w:rsidR="00BE1ED7" w:rsidRPr="00A60069">
        <w:rPr>
          <w:rFonts w:asciiTheme="majorHAnsi" w:eastAsia="SimSun" w:hAnsiTheme="majorHAnsi"/>
          <w:sz w:val="20"/>
          <w:szCs w:val="20"/>
          <w:lang w:val="es-UY"/>
        </w:rPr>
        <w:t xml:space="preserve"> </w:t>
      </w:r>
      <w:r w:rsidR="008C33A9" w:rsidRPr="00A60069">
        <w:rPr>
          <w:rFonts w:asciiTheme="majorHAnsi" w:eastAsia="SimSun" w:hAnsiTheme="majorHAnsi"/>
          <w:sz w:val="20"/>
          <w:szCs w:val="20"/>
          <w:lang w:val="es-UY"/>
        </w:rPr>
        <w:t xml:space="preserve">posibilidad de ofrecer pruebas. </w:t>
      </w:r>
      <w:r w:rsidR="002D7CE3" w:rsidRPr="00A60069">
        <w:rPr>
          <w:rFonts w:asciiTheme="majorHAnsi" w:eastAsia="SimSun" w:hAnsiTheme="majorHAnsi"/>
          <w:sz w:val="20"/>
          <w:szCs w:val="20"/>
          <w:lang w:val="es-UY"/>
        </w:rPr>
        <w:t>Además</w:t>
      </w:r>
      <w:r w:rsidR="008C33A9" w:rsidRPr="00A60069">
        <w:rPr>
          <w:rFonts w:asciiTheme="majorHAnsi" w:eastAsia="SimSun" w:hAnsiTheme="majorHAnsi"/>
          <w:sz w:val="20"/>
          <w:szCs w:val="20"/>
          <w:lang w:val="es-UY"/>
        </w:rPr>
        <w:t>, sostiene que</w:t>
      </w:r>
      <w:r w:rsidR="002D7CE3" w:rsidRPr="00A60069">
        <w:rPr>
          <w:rFonts w:asciiTheme="majorHAnsi" w:eastAsia="SimSun" w:hAnsiTheme="majorHAnsi"/>
          <w:sz w:val="20"/>
          <w:szCs w:val="20"/>
          <w:lang w:val="es-UY"/>
        </w:rPr>
        <w:t xml:space="preserve"> el peticionario no aportó las pruebas suficientes que demostraran </w:t>
      </w:r>
      <w:r w:rsidR="007D524A" w:rsidRPr="00A60069">
        <w:rPr>
          <w:rFonts w:asciiTheme="majorHAnsi" w:eastAsia="SimSun" w:hAnsiTheme="majorHAnsi"/>
          <w:sz w:val="20"/>
          <w:szCs w:val="20"/>
          <w:lang w:val="es-UY"/>
        </w:rPr>
        <w:t xml:space="preserve">una </w:t>
      </w:r>
      <w:r w:rsidR="006455CC" w:rsidRPr="00A60069">
        <w:rPr>
          <w:rFonts w:asciiTheme="majorHAnsi" w:eastAsia="SimSun" w:hAnsiTheme="majorHAnsi"/>
          <w:sz w:val="20"/>
          <w:szCs w:val="20"/>
          <w:lang w:val="es-UY"/>
        </w:rPr>
        <w:t>relación análoga entre su caso y el que señaló como idéntico</w:t>
      </w:r>
      <w:r w:rsidR="002D7CE3" w:rsidRPr="00A60069">
        <w:rPr>
          <w:rFonts w:asciiTheme="majorHAnsi" w:eastAsia="SimSun" w:hAnsiTheme="majorHAnsi"/>
          <w:sz w:val="20"/>
          <w:szCs w:val="20"/>
          <w:lang w:val="es-UY"/>
        </w:rPr>
        <w:t>, para definir que se le habría vulnerado el derecho a la igualdad ante la ley</w:t>
      </w:r>
      <w:r w:rsidR="006455CC" w:rsidRPr="00A60069">
        <w:rPr>
          <w:rFonts w:asciiTheme="majorHAnsi" w:eastAsia="SimSun" w:hAnsiTheme="majorHAnsi"/>
          <w:sz w:val="20"/>
          <w:szCs w:val="20"/>
          <w:lang w:val="es-UY"/>
        </w:rPr>
        <w:t>.</w:t>
      </w:r>
      <w:r w:rsidR="002D7CE3" w:rsidRPr="00A60069">
        <w:rPr>
          <w:rFonts w:asciiTheme="majorHAnsi" w:eastAsia="SimSun" w:hAnsiTheme="majorHAnsi"/>
          <w:sz w:val="20"/>
          <w:szCs w:val="20"/>
          <w:lang w:val="es-UY"/>
        </w:rPr>
        <w:t xml:space="preserve"> Finalmente, </w:t>
      </w:r>
      <w:r w:rsidR="002D7CE3" w:rsidRPr="00A60069">
        <w:rPr>
          <w:rFonts w:asciiTheme="majorHAnsi" w:eastAsia="SimSun" w:hAnsiTheme="majorHAnsi"/>
          <w:sz w:val="20"/>
          <w:szCs w:val="20"/>
          <w:lang w:val="es-ES"/>
        </w:rPr>
        <w:t xml:space="preserve">argumenta que </w:t>
      </w:r>
      <w:r w:rsidR="00BF2040" w:rsidRPr="00A60069">
        <w:rPr>
          <w:rFonts w:asciiTheme="majorHAnsi" w:eastAsia="SimSun" w:hAnsiTheme="majorHAnsi"/>
          <w:sz w:val="20"/>
          <w:szCs w:val="20"/>
          <w:lang w:val="es-ES"/>
        </w:rPr>
        <w:t>la Comisión actuaría como una cuarta instanci</w:t>
      </w:r>
      <w:r w:rsidR="002D7CE3" w:rsidRPr="00A60069">
        <w:rPr>
          <w:rFonts w:asciiTheme="majorHAnsi" w:eastAsia="SimSun" w:hAnsiTheme="majorHAnsi"/>
          <w:sz w:val="20"/>
          <w:szCs w:val="20"/>
          <w:lang w:val="es-ES"/>
        </w:rPr>
        <w:t xml:space="preserve">a si decidiera analizar el presente caso, toda vez que </w:t>
      </w:r>
      <w:r w:rsidR="00BF2040" w:rsidRPr="00A60069">
        <w:rPr>
          <w:rFonts w:asciiTheme="majorHAnsi" w:eastAsia="SimSun" w:hAnsiTheme="majorHAnsi"/>
          <w:sz w:val="20"/>
          <w:szCs w:val="20"/>
          <w:lang w:val="es-ES"/>
        </w:rPr>
        <w:t>revisaría los supuestos errores  de hecho o de derecho cometidos por un tribunal interno que ha actuado dentro de los límites de su competencia y conforme</w:t>
      </w:r>
      <w:r w:rsidR="007D524A" w:rsidRPr="00A60069">
        <w:rPr>
          <w:rFonts w:asciiTheme="majorHAnsi" w:eastAsia="SimSun" w:hAnsiTheme="majorHAnsi"/>
          <w:sz w:val="20"/>
          <w:szCs w:val="20"/>
          <w:lang w:val="es-ES"/>
        </w:rPr>
        <w:t xml:space="preserve"> a</w:t>
      </w:r>
      <w:r w:rsidR="00BF2040" w:rsidRPr="00A60069">
        <w:rPr>
          <w:rFonts w:asciiTheme="majorHAnsi" w:eastAsia="SimSun" w:hAnsiTheme="majorHAnsi"/>
          <w:sz w:val="20"/>
          <w:szCs w:val="20"/>
          <w:lang w:val="es-ES"/>
        </w:rPr>
        <w:t xml:space="preserve"> las reglas del debido proceso legal.</w:t>
      </w:r>
    </w:p>
    <w:p w:rsidR="006E1792" w:rsidRPr="00A60069" w:rsidRDefault="006E1792" w:rsidP="006E179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lang w:val="es-UY"/>
        </w:rPr>
      </w:pPr>
    </w:p>
    <w:p w:rsidR="00547D7F" w:rsidRPr="00A60069" w:rsidRDefault="0063685A" w:rsidP="009B64A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60069">
        <w:rPr>
          <w:rFonts w:asciiTheme="majorHAnsi" w:hAnsiTheme="majorHAnsi"/>
          <w:sz w:val="20"/>
          <w:szCs w:val="20"/>
          <w:lang w:val="es-UY"/>
        </w:rPr>
        <w:t>Sin prejuzgar sobre el fon</w:t>
      </w:r>
      <w:r w:rsidR="00DC3411" w:rsidRPr="00A60069">
        <w:rPr>
          <w:rFonts w:asciiTheme="majorHAnsi" w:hAnsiTheme="majorHAnsi"/>
          <w:sz w:val="20"/>
          <w:szCs w:val="20"/>
          <w:lang w:val="es-UY"/>
        </w:rPr>
        <w:t>do de la denuncia, tras analizar las posiciones de las partes</w:t>
      </w:r>
      <w:r w:rsidR="00FA2DB7" w:rsidRPr="00A60069">
        <w:rPr>
          <w:rFonts w:asciiTheme="majorHAnsi" w:hAnsiTheme="majorHAnsi"/>
          <w:sz w:val="20"/>
          <w:szCs w:val="20"/>
          <w:lang w:val="es-UY"/>
        </w:rPr>
        <w:t>,</w:t>
      </w:r>
      <w:r w:rsidR="00DC3411" w:rsidRPr="00A60069">
        <w:rPr>
          <w:rFonts w:asciiTheme="majorHAnsi" w:hAnsiTheme="majorHAnsi"/>
          <w:sz w:val="20"/>
          <w:szCs w:val="20"/>
          <w:lang w:val="es-UY"/>
        </w:rPr>
        <w:t xml:space="preserve"> </w:t>
      </w:r>
      <w:r w:rsidRPr="00A60069">
        <w:rPr>
          <w:rFonts w:asciiTheme="majorHAnsi" w:hAnsiTheme="majorHAnsi"/>
          <w:sz w:val="20"/>
          <w:szCs w:val="20"/>
          <w:lang w:val="es-UY"/>
        </w:rPr>
        <w:t>y en cumplimiento de los requisitos previstos en los artículos 46 y 47 de la Convención Americana</w:t>
      </w:r>
      <w:r w:rsidR="00FA2DB7" w:rsidRPr="00A60069">
        <w:rPr>
          <w:rFonts w:asciiTheme="majorHAnsi" w:hAnsiTheme="majorHAnsi"/>
          <w:sz w:val="20"/>
          <w:szCs w:val="20"/>
          <w:lang w:val="es-UY"/>
        </w:rPr>
        <w:t xml:space="preserve"> sobre Derechos Humanos (en adelante, “Convención Americana” o “Convención”)</w:t>
      </w:r>
      <w:r w:rsidRPr="00A60069">
        <w:rPr>
          <w:rFonts w:asciiTheme="majorHAnsi" w:hAnsiTheme="majorHAnsi"/>
          <w:sz w:val="20"/>
          <w:szCs w:val="20"/>
          <w:lang w:val="es-UY"/>
        </w:rPr>
        <w:t xml:space="preserve">, la Comisión decide declarar el caso admisible a efectos del examen </w:t>
      </w:r>
      <w:r w:rsidR="00B80AAF" w:rsidRPr="00A60069">
        <w:rPr>
          <w:rFonts w:asciiTheme="majorHAnsi" w:hAnsiTheme="majorHAnsi"/>
          <w:sz w:val="20"/>
          <w:szCs w:val="20"/>
          <w:lang w:val="es-UY"/>
        </w:rPr>
        <w:t xml:space="preserve">de los alegatos relativos a </w:t>
      </w:r>
      <w:r w:rsidRPr="00A60069">
        <w:rPr>
          <w:rFonts w:asciiTheme="majorHAnsi" w:hAnsiTheme="majorHAnsi"/>
          <w:sz w:val="20"/>
          <w:szCs w:val="20"/>
          <w:lang w:val="es-UY"/>
        </w:rPr>
        <w:t xml:space="preserve">la presunta violación </w:t>
      </w:r>
      <w:r w:rsidR="00DC3411" w:rsidRPr="00A60069">
        <w:rPr>
          <w:rFonts w:asciiTheme="majorHAnsi" w:hAnsiTheme="majorHAnsi"/>
          <w:sz w:val="20"/>
          <w:szCs w:val="20"/>
          <w:lang w:val="es-UY"/>
        </w:rPr>
        <w:t>d</w:t>
      </w:r>
      <w:r w:rsidR="008A0B78" w:rsidRPr="00A60069">
        <w:rPr>
          <w:rFonts w:asciiTheme="majorHAnsi" w:hAnsiTheme="majorHAnsi"/>
          <w:sz w:val="20"/>
          <w:szCs w:val="20"/>
          <w:lang w:val="es-UY"/>
        </w:rPr>
        <w:t xml:space="preserve">el derecho consagrado en </w:t>
      </w:r>
      <w:r w:rsidR="00321EF3">
        <w:rPr>
          <w:rFonts w:asciiTheme="majorHAnsi" w:hAnsiTheme="majorHAnsi"/>
          <w:sz w:val="20"/>
          <w:szCs w:val="20"/>
          <w:lang w:val="es-UY"/>
        </w:rPr>
        <w:t>los artículos 8 (Garantías Judiciales) y</w:t>
      </w:r>
      <w:r w:rsidR="0055608D">
        <w:rPr>
          <w:rFonts w:asciiTheme="majorHAnsi" w:hAnsiTheme="majorHAnsi"/>
          <w:sz w:val="20"/>
          <w:szCs w:val="20"/>
          <w:lang w:val="es-UY"/>
        </w:rPr>
        <w:t xml:space="preserve"> 25</w:t>
      </w:r>
      <w:r w:rsidR="00321EF3">
        <w:rPr>
          <w:rFonts w:asciiTheme="majorHAnsi" w:hAnsiTheme="majorHAnsi"/>
          <w:sz w:val="20"/>
          <w:szCs w:val="20"/>
          <w:lang w:val="es-UY"/>
        </w:rPr>
        <w:t xml:space="preserve"> </w:t>
      </w:r>
      <w:r w:rsidR="00E61F1F" w:rsidRPr="00A60069">
        <w:rPr>
          <w:rFonts w:asciiTheme="majorHAnsi" w:hAnsiTheme="majorHAnsi"/>
          <w:sz w:val="20"/>
          <w:szCs w:val="20"/>
          <w:lang w:val="es-UY"/>
        </w:rPr>
        <w:t>(P</w:t>
      </w:r>
      <w:r w:rsidR="00DD2CB2" w:rsidRPr="00A60069">
        <w:rPr>
          <w:rFonts w:asciiTheme="majorHAnsi" w:hAnsiTheme="majorHAnsi"/>
          <w:sz w:val="20"/>
          <w:szCs w:val="20"/>
          <w:lang w:val="es-UY"/>
        </w:rPr>
        <w:t>rotección judicial)</w:t>
      </w:r>
      <w:r w:rsidR="00DC3411" w:rsidRPr="00A60069">
        <w:rPr>
          <w:rFonts w:asciiTheme="majorHAnsi" w:hAnsiTheme="majorHAnsi"/>
          <w:sz w:val="20"/>
          <w:szCs w:val="20"/>
          <w:lang w:val="es-UY"/>
        </w:rPr>
        <w:t xml:space="preserve"> </w:t>
      </w:r>
      <w:r w:rsidRPr="00A60069">
        <w:rPr>
          <w:rFonts w:asciiTheme="majorHAnsi" w:hAnsiTheme="majorHAnsi"/>
          <w:sz w:val="20"/>
          <w:szCs w:val="20"/>
          <w:lang w:val="es-UY"/>
        </w:rPr>
        <w:t xml:space="preserve">de la Convención. </w:t>
      </w:r>
      <w:r w:rsidR="009B64A9" w:rsidRPr="00A60069">
        <w:rPr>
          <w:rFonts w:asciiTheme="majorHAnsi" w:hAnsiTheme="majorHAnsi"/>
          <w:sz w:val="20"/>
          <w:szCs w:val="20"/>
          <w:lang w:val="es-ES"/>
        </w:rPr>
        <w:t>La Comisión decide además notificar esta decisión a las partes, publicarla e incluirla en su Informe Anual para la Asamblea General de la O</w:t>
      </w:r>
      <w:r w:rsidR="00321EF3">
        <w:rPr>
          <w:rFonts w:asciiTheme="majorHAnsi" w:hAnsiTheme="majorHAnsi"/>
          <w:sz w:val="20"/>
          <w:szCs w:val="20"/>
          <w:lang w:val="es-ES"/>
        </w:rPr>
        <w:t xml:space="preserve">rganización de </w:t>
      </w:r>
      <w:r w:rsidR="009B64A9" w:rsidRPr="00A60069">
        <w:rPr>
          <w:rFonts w:asciiTheme="majorHAnsi" w:hAnsiTheme="majorHAnsi"/>
          <w:sz w:val="20"/>
          <w:szCs w:val="20"/>
          <w:lang w:val="es-ES"/>
        </w:rPr>
        <w:t>E</w:t>
      </w:r>
      <w:r w:rsidR="00321EF3">
        <w:rPr>
          <w:rFonts w:asciiTheme="majorHAnsi" w:hAnsiTheme="majorHAnsi"/>
          <w:sz w:val="20"/>
          <w:szCs w:val="20"/>
          <w:lang w:val="es-ES"/>
        </w:rPr>
        <w:t xml:space="preserve">stados </w:t>
      </w:r>
      <w:r w:rsidR="009B64A9" w:rsidRPr="00A60069">
        <w:rPr>
          <w:rFonts w:asciiTheme="majorHAnsi" w:hAnsiTheme="majorHAnsi"/>
          <w:sz w:val="20"/>
          <w:szCs w:val="20"/>
          <w:lang w:val="es-ES"/>
        </w:rPr>
        <w:t>A</w:t>
      </w:r>
      <w:r w:rsidR="00321EF3">
        <w:rPr>
          <w:rFonts w:asciiTheme="majorHAnsi" w:hAnsiTheme="majorHAnsi"/>
          <w:sz w:val="20"/>
          <w:szCs w:val="20"/>
          <w:lang w:val="es-ES"/>
        </w:rPr>
        <w:t>mericanos</w:t>
      </w:r>
      <w:r w:rsidR="009B64A9" w:rsidRPr="00A60069">
        <w:rPr>
          <w:rFonts w:asciiTheme="majorHAnsi" w:hAnsiTheme="majorHAnsi"/>
          <w:sz w:val="20"/>
          <w:szCs w:val="20"/>
          <w:lang w:val="es-ES"/>
        </w:rPr>
        <w:t xml:space="preserve">. </w:t>
      </w:r>
    </w:p>
    <w:p w:rsidR="0063685A" w:rsidRPr="00A60069" w:rsidRDefault="0063685A" w:rsidP="009F0583">
      <w:pPr>
        <w:spacing w:after="240"/>
        <w:ind w:firstLine="720"/>
        <w:jc w:val="both"/>
        <w:rPr>
          <w:rFonts w:asciiTheme="majorHAnsi" w:hAnsiTheme="majorHAnsi"/>
          <w:b/>
          <w:bCs/>
          <w:sz w:val="20"/>
          <w:szCs w:val="20"/>
          <w:lang w:val="es-UY"/>
        </w:rPr>
      </w:pPr>
      <w:r w:rsidRPr="00A60069">
        <w:rPr>
          <w:rFonts w:asciiTheme="majorHAnsi" w:hAnsiTheme="majorHAnsi"/>
          <w:b/>
          <w:bCs/>
          <w:sz w:val="20"/>
          <w:szCs w:val="20"/>
          <w:lang w:val="es-UY"/>
        </w:rPr>
        <w:t>II.</w:t>
      </w:r>
      <w:r w:rsidRPr="00A60069">
        <w:rPr>
          <w:rFonts w:asciiTheme="majorHAnsi" w:hAnsiTheme="majorHAnsi"/>
          <w:b/>
          <w:bCs/>
          <w:sz w:val="20"/>
          <w:szCs w:val="20"/>
          <w:lang w:val="es-UY"/>
        </w:rPr>
        <w:tab/>
        <w:t>TRÁMITE ANTE LA CIDH</w:t>
      </w:r>
    </w:p>
    <w:p w:rsidR="00547D7F" w:rsidRPr="00A60069" w:rsidRDefault="0063685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A60069">
        <w:rPr>
          <w:rFonts w:asciiTheme="majorHAnsi" w:hAnsiTheme="majorHAnsi"/>
          <w:sz w:val="20"/>
          <w:szCs w:val="20"/>
          <w:lang w:val="es-UY"/>
        </w:rPr>
        <w:t xml:space="preserve">La CIDH recibió la petición el </w:t>
      </w:r>
      <w:r w:rsidR="003C676C">
        <w:rPr>
          <w:rFonts w:asciiTheme="majorHAnsi" w:hAnsiTheme="majorHAnsi"/>
          <w:sz w:val="20"/>
          <w:szCs w:val="20"/>
          <w:lang w:val="es-UY"/>
        </w:rPr>
        <w:t>15</w:t>
      </w:r>
      <w:r w:rsidR="00797E72" w:rsidRPr="00A60069">
        <w:rPr>
          <w:rFonts w:asciiTheme="majorHAnsi" w:hAnsiTheme="majorHAnsi"/>
          <w:sz w:val="20"/>
          <w:szCs w:val="20"/>
          <w:lang w:val="es-UY"/>
        </w:rPr>
        <w:t xml:space="preserve"> de febrero de 200</w:t>
      </w:r>
      <w:r w:rsidR="00B032E9" w:rsidRPr="00A60069">
        <w:rPr>
          <w:rFonts w:asciiTheme="majorHAnsi" w:hAnsiTheme="majorHAnsi"/>
          <w:sz w:val="20"/>
          <w:szCs w:val="20"/>
          <w:lang w:val="es-UY"/>
        </w:rPr>
        <w:t>1</w:t>
      </w:r>
      <w:r w:rsidRPr="00A60069">
        <w:rPr>
          <w:rFonts w:asciiTheme="majorHAnsi" w:hAnsiTheme="majorHAnsi"/>
          <w:sz w:val="20"/>
          <w:szCs w:val="20"/>
          <w:lang w:val="es-UY"/>
        </w:rPr>
        <w:t xml:space="preserve"> y el </w:t>
      </w:r>
      <w:r w:rsidR="00B032E9" w:rsidRPr="00A60069">
        <w:rPr>
          <w:rFonts w:asciiTheme="majorHAnsi" w:hAnsiTheme="majorHAnsi"/>
          <w:sz w:val="20"/>
          <w:szCs w:val="20"/>
          <w:lang w:val="es-UY"/>
        </w:rPr>
        <w:t>20 de agosto de 2003 transmitió</w:t>
      </w:r>
      <w:r w:rsidRPr="00A60069">
        <w:rPr>
          <w:rFonts w:asciiTheme="majorHAnsi" w:hAnsiTheme="majorHAnsi"/>
          <w:sz w:val="20"/>
          <w:szCs w:val="20"/>
          <w:lang w:val="es-UY"/>
        </w:rPr>
        <w:t xml:space="preserve"> copia de las partes pertinentes al Estado otorgándole un plazo de </w:t>
      </w:r>
      <w:r w:rsidR="00B474F3" w:rsidRPr="00A60069">
        <w:rPr>
          <w:rFonts w:asciiTheme="majorHAnsi" w:hAnsiTheme="majorHAnsi"/>
          <w:sz w:val="20"/>
          <w:szCs w:val="20"/>
          <w:lang w:val="es-UY"/>
        </w:rPr>
        <w:t>dos meses</w:t>
      </w:r>
      <w:r w:rsidRPr="00A60069">
        <w:rPr>
          <w:rFonts w:asciiTheme="majorHAnsi" w:hAnsiTheme="majorHAnsi"/>
          <w:sz w:val="20"/>
          <w:szCs w:val="20"/>
          <w:lang w:val="es-UY"/>
        </w:rPr>
        <w:t xml:space="preserve"> para someter sus observaciones</w:t>
      </w:r>
      <w:r w:rsidR="00057DD7" w:rsidRPr="00A60069">
        <w:rPr>
          <w:rFonts w:asciiTheme="majorHAnsi" w:hAnsiTheme="majorHAnsi"/>
          <w:sz w:val="20"/>
          <w:szCs w:val="20"/>
          <w:lang w:val="es-UY"/>
        </w:rPr>
        <w:t>, con base en el artículo 30</w:t>
      </w:r>
      <w:r w:rsidR="00B032E9" w:rsidRPr="00A60069">
        <w:rPr>
          <w:rFonts w:asciiTheme="majorHAnsi" w:hAnsiTheme="majorHAnsi"/>
          <w:sz w:val="20"/>
          <w:szCs w:val="20"/>
          <w:lang w:val="es-UY"/>
        </w:rPr>
        <w:t xml:space="preserve"> </w:t>
      </w:r>
      <w:r w:rsidR="00057DD7" w:rsidRPr="00A60069">
        <w:rPr>
          <w:rFonts w:asciiTheme="majorHAnsi" w:hAnsiTheme="majorHAnsi"/>
          <w:sz w:val="20"/>
          <w:szCs w:val="20"/>
          <w:lang w:val="es-UY"/>
        </w:rPr>
        <w:t xml:space="preserve">de su Reglamento </w:t>
      </w:r>
      <w:r w:rsidR="00057DD7" w:rsidRPr="00A60069">
        <w:rPr>
          <w:rFonts w:asciiTheme="majorHAnsi" w:hAnsiTheme="majorHAnsi"/>
          <w:color w:val="000000" w:themeColor="text1"/>
          <w:sz w:val="20"/>
          <w:szCs w:val="20"/>
          <w:lang w:val="es-UY"/>
        </w:rPr>
        <w:t>entonces en vigor</w:t>
      </w:r>
      <w:r w:rsidRPr="00A60069">
        <w:rPr>
          <w:rFonts w:asciiTheme="majorHAnsi" w:hAnsiTheme="majorHAnsi"/>
          <w:sz w:val="20"/>
          <w:szCs w:val="20"/>
          <w:lang w:val="es-UY"/>
        </w:rPr>
        <w:t xml:space="preserve">. </w:t>
      </w:r>
      <w:r w:rsidRPr="00A60069">
        <w:rPr>
          <w:rFonts w:asciiTheme="majorHAnsi" w:hAnsiTheme="majorHAnsi"/>
          <w:bCs/>
          <w:sz w:val="20"/>
          <w:szCs w:val="20"/>
          <w:lang w:val="es-PE"/>
        </w:rPr>
        <w:t xml:space="preserve">El </w:t>
      </w:r>
      <w:r w:rsidR="00BC606D" w:rsidRPr="00A60069">
        <w:rPr>
          <w:rFonts w:asciiTheme="majorHAnsi" w:hAnsiTheme="majorHAnsi"/>
          <w:sz w:val="20"/>
          <w:szCs w:val="20"/>
          <w:lang w:val="es-UY"/>
        </w:rPr>
        <w:t>11</w:t>
      </w:r>
      <w:r w:rsidR="00B474F3" w:rsidRPr="00A60069">
        <w:rPr>
          <w:rFonts w:asciiTheme="majorHAnsi" w:hAnsiTheme="majorHAnsi"/>
          <w:sz w:val="20"/>
          <w:szCs w:val="20"/>
          <w:lang w:val="es-UY"/>
        </w:rPr>
        <w:t xml:space="preserve"> de </w:t>
      </w:r>
      <w:r w:rsidR="00B032E9" w:rsidRPr="00A60069">
        <w:rPr>
          <w:rFonts w:asciiTheme="majorHAnsi" w:hAnsiTheme="majorHAnsi"/>
          <w:sz w:val="20"/>
          <w:szCs w:val="20"/>
          <w:lang w:val="es-UY"/>
        </w:rPr>
        <w:t>septiembre</w:t>
      </w:r>
      <w:r w:rsidR="00B474F3" w:rsidRPr="00A60069">
        <w:rPr>
          <w:rFonts w:asciiTheme="majorHAnsi" w:hAnsiTheme="majorHAnsi"/>
          <w:sz w:val="20"/>
          <w:szCs w:val="20"/>
          <w:lang w:val="es-UY"/>
        </w:rPr>
        <w:t xml:space="preserve"> de 20</w:t>
      </w:r>
      <w:r w:rsidR="00B032E9" w:rsidRPr="00A60069">
        <w:rPr>
          <w:rFonts w:asciiTheme="majorHAnsi" w:hAnsiTheme="majorHAnsi"/>
          <w:sz w:val="20"/>
          <w:szCs w:val="20"/>
          <w:lang w:val="es-UY"/>
        </w:rPr>
        <w:t>03</w:t>
      </w:r>
      <w:r w:rsidRPr="00A60069">
        <w:rPr>
          <w:rFonts w:asciiTheme="majorHAnsi" w:hAnsiTheme="majorHAnsi"/>
          <w:bCs/>
          <w:sz w:val="20"/>
          <w:szCs w:val="20"/>
          <w:lang w:val="es-PE"/>
        </w:rPr>
        <w:t xml:space="preserve"> </w:t>
      </w:r>
      <w:r w:rsidR="00DD2CB2" w:rsidRPr="00A60069">
        <w:rPr>
          <w:rFonts w:asciiTheme="majorHAnsi" w:hAnsiTheme="majorHAnsi"/>
          <w:bCs/>
          <w:sz w:val="20"/>
          <w:szCs w:val="20"/>
          <w:lang w:val="es-PE"/>
        </w:rPr>
        <w:t>el</w:t>
      </w:r>
      <w:r w:rsidRPr="00A60069">
        <w:rPr>
          <w:rFonts w:asciiTheme="majorHAnsi" w:hAnsiTheme="majorHAnsi"/>
          <w:bCs/>
          <w:sz w:val="20"/>
          <w:szCs w:val="20"/>
          <w:lang w:val="es-PE"/>
        </w:rPr>
        <w:t xml:space="preserve"> Estado</w:t>
      </w:r>
      <w:r w:rsidR="00B474F3" w:rsidRPr="00A60069">
        <w:rPr>
          <w:rFonts w:asciiTheme="majorHAnsi" w:hAnsiTheme="majorHAnsi"/>
          <w:bCs/>
          <w:sz w:val="20"/>
          <w:szCs w:val="20"/>
          <w:lang w:val="es-PE"/>
        </w:rPr>
        <w:t xml:space="preserve"> solicit</w:t>
      </w:r>
      <w:r w:rsidR="00DD2CB2" w:rsidRPr="00A60069">
        <w:rPr>
          <w:rFonts w:asciiTheme="majorHAnsi" w:hAnsiTheme="majorHAnsi"/>
          <w:bCs/>
          <w:sz w:val="20"/>
          <w:szCs w:val="20"/>
          <w:lang w:val="es-PE"/>
        </w:rPr>
        <w:t xml:space="preserve">ó </w:t>
      </w:r>
      <w:r w:rsidR="00B032E9" w:rsidRPr="00A60069">
        <w:rPr>
          <w:rFonts w:asciiTheme="majorHAnsi" w:hAnsiTheme="majorHAnsi"/>
          <w:bCs/>
          <w:sz w:val="20"/>
          <w:szCs w:val="20"/>
          <w:lang w:val="es-PE"/>
        </w:rPr>
        <w:t>que se envíen nuevamente los documen</w:t>
      </w:r>
      <w:r w:rsidR="00797E72" w:rsidRPr="00A60069">
        <w:rPr>
          <w:rFonts w:asciiTheme="majorHAnsi" w:hAnsiTheme="majorHAnsi"/>
          <w:bCs/>
          <w:sz w:val="20"/>
          <w:szCs w:val="20"/>
          <w:lang w:val="es-PE"/>
        </w:rPr>
        <w:t>tos por un error en</w:t>
      </w:r>
      <w:r w:rsidR="00BC606D" w:rsidRPr="00A60069">
        <w:rPr>
          <w:rFonts w:asciiTheme="majorHAnsi" w:hAnsiTheme="majorHAnsi"/>
          <w:bCs/>
          <w:sz w:val="20"/>
          <w:szCs w:val="20"/>
          <w:lang w:val="es-PE"/>
        </w:rPr>
        <w:t xml:space="preserve"> las copias de</w:t>
      </w:r>
      <w:r w:rsidR="00797E72" w:rsidRPr="00A60069">
        <w:rPr>
          <w:rFonts w:asciiTheme="majorHAnsi" w:hAnsiTheme="majorHAnsi"/>
          <w:bCs/>
          <w:sz w:val="20"/>
          <w:szCs w:val="20"/>
          <w:lang w:val="es-PE"/>
        </w:rPr>
        <w:t xml:space="preserve"> traslado;</w:t>
      </w:r>
      <w:r w:rsidR="00B032E9" w:rsidRPr="00A60069">
        <w:rPr>
          <w:rFonts w:asciiTheme="majorHAnsi" w:hAnsiTheme="majorHAnsi"/>
          <w:bCs/>
          <w:sz w:val="20"/>
          <w:szCs w:val="20"/>
          <w:lang w:val="es-PE"/>
        </w:rPr>
        <w:t xml:space="preserve"> posteriormente</w:t>
      </w:r>
      <w:r w:rsidR="00797E72" w:rsidRPr="00A60069">
        <w:rPr>
          <w:rFonts w:asciiTheme="majorHAnsi" w:hAnsiTheme="majorHAnsi"/>
          <w:bCs/>
          <w:sz w:val="20"/>
          <w:szCs w:val="20"/>
          <w:lang w:val="es-PE"/>
        </w:rPr>
        <w:t>,</w:t>
      </w:r>
      <w:r w:rsidR="00B032E9" w:rsidRPr="00A60069">
        <w:rPr>
          <w:rFonts w:asciiTheme="majorHAnsi" w:hAnsiTheme="majorHAnsi"/>
          <w:bCs/>
          <w:sz w:val="20"/>
          <w:szCs w:val="20"/>
          <w:lang w:val="es-PE"/>
        </w:rPr>
        <w:t xml:space="preserve"> solicitó </w:t>
      </w:r>
      <w:r w:rsidR="00DD2CB2" w:rsidRPr="00A60069">
        <w:rPr>
          <w:rFonts w:asciiTheme="majorHAnsi" w:hAnsiTheme="majorHAnsi"/>
          <w:bCs/>
          <w:sz w:val="20"/>
          <w:szCs w:val="20"/>
          <w:lang w:val="es-PE"/>
        </w:rPr>
        <w:t>una</w:t>
      </w:r>
      <w:r w:rsidR="00B474F3" w:rsidRPr="00A60069">
        <w:rPr>
          <w:rFonts w:asciiTheme="majorHAnsi" w:hAnsiTheme="majorHAnsi"/>
          <w:bCs/>
          <w:sz w:val="20"/>
          <w:szCs w:val="20"/>
          <w:lang w:val="es-PE"/>
        </w:rPr>
        <w:t xml:space="preserve"> prórroga</w:t>
      </w:r>
      <w:r w:rsidR="004004E4" w:rsidRPr="00A60069">
        <w:rPr>
          <w:rFonts w:asciiTheme="majorHAnsi" w:hAnsiTheme="majorHAnsi"/>
          <w:bCs/>
          <w:sz w:val="20"/>
          <w:szCs w:val="20"/>
          <w:lang w:val="es-PE"/>
        </w:rPr>
        <w:t xml:space="preserve"> para presentar sus observaciones</w:t>
      </w:r>
      <w:r w:rsidR="00BC606D" w:rsidRPr="00A60069">
        <w:rPr>
          <w:rFonts w:asciiTheme="majorHAnsi" w:hAnsiTheme="majorHAnsi"/>
          <w:color w:val="000000"/>
          <w:sz w:val="20"/>
          <w:szCs w:val="20"/>
          <w:lang w:val="es-ES"/>
        </w:rPr>
        <w:t>. F</w:t>
      </w:r>
      <w:r w:rsidR="00B032E9" w:rsidRPr="00A60069">
        <w:rPr>
          <w:rFonts w:asciiTheme="majorHAnsi" w:hAnsiTheme="majorHAnsi"/>
          <w:color w:val="000000"/>
          <w:sz w:val="20"/>
          <w:szCs w:val="20"/>
          <w:lang w:val="es-ES"/>
        </w:rPr>
        <w:t>inalmente, el</w:t>
      </w:r>
      <w:r w:rsidR="00B474F3" w:rsidRPr="00A60069">
        <w:rPr>
          <w:rFonts w:asciiTheme="majorHAnsi" w:hAnsiTheme="majorHAnsi"/>
          <w:color w:val="000000"/>
          <w:sz w:val="20"/>
          <w:szCs w:val="20"/>
          <w:lang w:val="es-ES"/>
        </w:rPr>
        <w:t xml:space="preserve"> </w:t>
      </w:r>
      <w:r w:rsidR="00B032E9" w:rsidRPr="00A60069">
        <w:rPr>
          <w:rFonts w:asciiTheme="majorHAnsi" w:hAnsiTheme="majorHAnsi"/>
          <w:color w:val="000000"/>
          <w:sz w:val="20"/>
          <w:szCs w:val="20"/>
          <w:lang w:val="es-ES"/>
        </w:rPr>
        <w:t>31</w:t>
      </w:r>
      <w:r w:rsidR="00B474F3" w:rsidRPr="00A60069">
        <w:rPr>
          <w:rFonts w:asciiTheme="majorHAnsi" w:hAnsiTheme="majorHAnsi"/>
          <w:color w:val="000000"/>
          <w:sz w:val="20"/>
          <w:szCs w:val="20"/>
          <w:lang w:val="es-ES"/>
        </w:rPr>
        <w:t xml:space="preserve"> de </w:t>
      </w:r>
      <w:r w:rsidR="00B032E9" w:rsidRPr="00A60069">
        <w:rPr>
          <w:rFonts w:asciiTheme="majorHAnsi" w:hAnsiTheme="majorHAnsi"/>
          <w:color w:val="000000"/>
          <w:sz w:val="20"/>
          <w:szCs w:val="20"/>
          <w:lang w:val="es-ES"/>
        </w:rPr>
        <w:t>agosto</w:t>
      </w:r>
      <w:r w:rsidR="00B474F3" w:rsidRPr="00A60069">
        <w:rPr>
          <w:rFonts w:asciiTheme="majorHAnsi" w:hAnsiTheme="majorHAnsi"/>
          <w:color w:val="000000"/>
          <w:sz w:val="20"/>
          <w:szCs w:val="20"/>
          <w:lang w:val="es-ES"/>
        </w:rPr>
        <w:t xml:space="preserve"> de 20</w:t>
      </w:r>
      <w:r w:rsidR="0017228D" w:rsidRPr="00A60069">
        <w:rPr>
          <w:rFonts w:asciiTheme="majorHAnsi" w:hAnsiTheme="majorHAnsi"/>
          <w:color w:val="000000"/>
          <w:sz w:val="20"/>
          <w:szCs w:val="20"/>
          <w:lang w:val="es-ES"/>
        </w:rPr>
        <w:t>0</w:t>
      </w:r>
      <w:r w:rsidR="00B032E9" w:rsidRPr="00A60069">
        <w:rPr>
          <w:rFonts w:asciiTheme="majorHAnsi" w:hAnsiTheme="majorHAnsi"/>
          <w:color w:val="000000"/>
          <w:sz w:val="20"/>
          <w:szCs w:val="20"/>
          <w:lang w:val="es-ES"/>
        </w:rPr>
        <w:t>4</w:t>
      </w:r>
      <w:r w:rsidR="00797E72" w:rsidRPr="00A60069">
        <w:rPr>
          <w:rFonts w:asciiTheme="majorHAnsi" w:hAnsiTheme="majorHAnsi"/>
          <w:color w:val="000000"/>
          <w:sz w:val="20"/>
          <w:szCs w:val="20"/>
          <w:lang w:val="es-ES"/>
        </w:rPr>
        <w:t>,</w:t>
      </w:r>
      <w:r w:rsidR="0017228D" w:rsidRPr="00A60069">
        <w:rPr>
          <w:rFonts w:asciiTheme="majorHAnsi" w:hAnsiTheme="majorHAnsi"/>
          <w:color w:val="000000"/>
          <w:sz w:val="20"/>
          <w:szCs w:val="20"/>
          <w:lang w:val="es-ES"/>
        </w:rPr>
        <w:t xml:space="preserve"> se recibió la respuesta del Estado, la cual fue</w:t>
      </w:r>
      <w:r w:rsidR="00057DD7" w:rsidRPr="00A60069">
        <w:rPr>
          <w:rFonts w:asciiTheme="majorHAnsi" w:hAnsiTheme="majorHAnsi"/>
          <w:color w:val="000000"/>
          <w:sz w:val="20"/>
          <w:szCs w:val="20"/>
          <w:lang w:val="es-ES"/>
        </w:rPr>
        <w:t xml:space="preserve"> trasladada </w:t>
      </w:r>
      <w:r w:rsidR="0091727C" w:rsidRPr="00A60069">
        <w:rPr>
          <w:rFonts w:asciiTheme="majorHAnsi" w:hAnsiTheme="majorHAnsi"/>
          <w:color w:val="000000"/>
          <w:sz w:val="20"/>
          <w:szCs w:val="20"/>
          <w:lang w:val="es-ES"/>
        </w:rPr>
        <w:t>al peticionario</w:t>
      </w:r>
      <w:r w:rsidR="0017228D" w:rsidRPr="00A60069">
        <w:rPr>
          <w:rFonts w:asciiTheme="majorHAnsi" w:hAnsiTheme="majorHAnsi"/>
          <w:color w:val="000000"/>
          <w:sz w:val="20"/>
          <w:szCs w:val="20"/>
          <w:lang w:val="es-ES"/>
        </w:rPr>
        <w:t xml:space="preserve"> el </w:t>
      </w:r>
      <w:r w:rsidR="00C176A0" w:rsidRPr="00A60069">
        <w:rPr>
          <w:rFonts w:asciiTheme="majorHAnsi" w:hAnsiTheme="majorHAnsi"/>
          <w:color w:val="000000"/>
          <w:sz w:val="20"/>
          <w:szCs w:val="20"/>
          <w:lang w:val="es-ES"/>
        </w:rPr>
        <w:t>29</w:t>
      </w:r>
      <w:r w:rsidR="0017228D" w:rsidRPr="00A60069">
        <w:rPr>
          <w:rFonts w:asciiTheme="majorHAnsi" w:hAnsiTheme="majorHAnsi"/>
          <w:color w:val="000000"/>
          <w:sz w:val="20"/>
          <w:szCs w:val="20"/>
          <w:lang w:val="es-ES"/>
        </w:rPr>
        <w:t xml:space="preserve"> de </w:t>
      </w:r>
      <w:r w:rsidR="00C176A0" w:rsidRPr="00A60069">
        <w:rPr>
          <w:rFonts w:asciiTheme="majorHAnsi" w:hAnsiTheme="majorHAnsi"/>
          <w:color w:val="000000"/>
          <w:sz w:val="20"/>
          <w:szCs w:val="20"/>
          <w:lang w:val="es-ES"/>
        </w:rPr>
        <w:t>novie</w:t>
      </w:r>
      <w:r w:rsidR="00B032E9" w:rsidRPr="00A60069">
        <w:rPr>
          <w:rFonts w:asciiTheme="majorHAnsi" w:hAnsiTheme="majorHAnsi"/>
          <w:color w:val="000000"/>
          <w:sz w:val="20"/>
          <w:szCs w:val="20"/>
          <w:lang w:val="es-ES"/>
        </w:rPr>
        <w:t>mbre</w:t>
      </w:r>
      <w:r w:rsidR="0017228D" w:rsidRPr="00A60069">
        <w:rPr>
          <w:rFonts w:asciiTheme="majorHAnsi" w:hAnsiTheme="majorHAnsi"/>
          <w:color w:val="000000"/>
          <w:sz w:val="20"/>
          <w:szCs w:val="20"/>
          <w:lang w:val="es-ES"/>
        </w:rPr>
        <w:t xml:space="preserve"> de 200</w:t>
      </w:r>
      <w:r w:rsidR="00B032E9" w:rsidRPr="00A60069">
        <w:rPr>
          <w:rFonts w:asciiTheme="majorHAnsi" w:hAnsiTheme="majorHAnsi"/>
          <w:color w:val="000000"/>
          <w:sz w:val="20"/>
          <w:szCs w:val="20"/>
          <w:lang w:val="es-ES"/>
        </w:rPr>
        <w:t>4</w:t>
      </w:r>
      <w:r w:rsidR="0017228D" w:rsidRPr="00A60069">
        <w:rPr>
          <w:rFonts w:asciiTheme="majorHAnsi" w:hAnsiTheme="majorHAnsi"/>
          <w:color w:val="000000"/>
          <w:sz w:val="20"/>
          <w:szCs w:val="20"/>
          <w:lang w:val="es-ES"/>
        </w:rPr>
        <w:t>.</w:t>
      </w:r>
    </w:p>
    <w:p w:rsidR="0017228D" w:rsidRPr="00A60069" w:rsidRDefault="0017228D" w:rsidP="0017228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rsidR="0063685A" w:rsidRPr="00A60069" w:rsidRDefault="00B032E9"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A60069">
        <w:rPr>
          <w:rFonts w:asciiTheme="majorHAnsi" w:hAnsiTheme="majorHAnsi"/>
          <w:color w:val="000000"/>
          <w:sz w:val="20"/>
          <w:szCs w:val="20"/>
          <w:lang w:val="es-UY"/>
        </w:rPr>
        <w:lastRenderedPageBreak/>
        <w:t>El peticionario</w:t>
      </w:r>
      <w:r w:rsidR="0063685A" w:rsidRPr="00A60069">
        <w:rPr>
          <w:rFonts w:asciiTheme="majorHAnsi" w:hAnsiTheme="majorHAnsi"/>
          <w:color w:val="FF0000"/>
          <w:sz w:val="20"/>
          <w:szCs w:val="20"/>
          <w:lang w:val="es-ES"/>
        </w:rPr>
        <w:t xml:space="preserve"> </w:t>
      </w:r>
      <w:r w:rsidR="0063685A" w:rsidRPr="00A60069">
        <w:rPr>
          <w:rFonts w:asciiTheme="majorHAnsi" w:hAnsiTheme="majorHAnsi"/>
          <w:color w:val="000000"/>
          <w:sz w:val="20"/>
          <w:szCs w:val="20"/>
          <w:lang w:val="es-ES"/>
        </w:rPr>
        <w:t>presentó</w:t>
      </w:r>
      <w:r w:rsidR="0063685A" w:rsidRPr="00A60069">
        <w:rPr>
          <w:rFonts w:asciiTheme="majorHAnsi" w:hAnsiTheme="majorHAnsi"/>
          <w:color w:val="FF0000"/>
          <w:sz w:val="20"/>
          <w:szCs w:val="20"/>
          <w:lang w:val="es-ES"/>
        </w:rPr>
        <w:t xml:space="preserve"> </w:t>
      </w:r>
      <w:r w:rsidR="0063685A" w:rsidRPr="00A60069">
        <w:rPr>
          <w:rFonts w:asciiTheme="majorHAnsi" w:hAnsiTheme="majorHAnsi"/>
          <w:color w:val="000000"/>
          <w:sz w:val="20"/>
          <w:szCs w:val="20"/>
          <w:lang w:val="es-ES"/>
        </w:rPr>
        <w:t xml:space="preserve">observaciones adicionales </w:t>
      </w:r>
      <w:r w:rsidR="0043756D" w:rsidRPr="00A60069">
        <w:rPr>
          <w:rFonts w:asciiTheme="majorHAnsi" w:hAnsiTheme="majorHAnsi"/>
          <w:color w:val="000000"/>
          <w:sz w:val="20"/>
          <w:szCs w:val="20"/>
          <w:lang w:val="es-ES"/>
        </w:rPr>
        <w:t>el</w:t>
      </w:r>
      <w:r w:rsidR="00774982" w:rsidRPr="00A60069">
        <w:rPr>
          <w:rFonts w:asciiTheme="majorHAnsi" w:hAnsiTheme="majorHAnsi"/>
          <w:color w:val="000000"/>
          <w:sz w:val="20"/>
          <w:szCs w:val="20"/>
          <w:lang w:val="es-ES"/>
        </w:rPr>
        <w:t xml:space="preserve"> 1</w:t>
      </w:r>
      <w:r w:rsidR="00790C9F" w:rsidRPr="00A60069">
        <w:rPr>
          <w:rFonts w:asciiTheme="majorHAnsi" w:hAnsiTheme="majorHAnsi"/>
          <w:color w:val="000000"/>
          <w:sz w:val="20"/>
          <w:szCs w:val="20"/>
          <w:lang w:val="es-ES"/>
        </w:rPr>
        <w:t xml:space="preserve"> de marzo de 2005;</w:t>
      </w:r>
      <w:r w:rsidR="00774982" w:rsidRPr="00A60069">
        <w:rPr>
          <w:rFonts w:asciiTheme="majorHAnsi" w:hAnsiTheme="majorHAnsi"/>
          <w:color w:val="000000"/>
          <w:sz w:val="20"/>
          <w:szCs w:val="20"/>
          <w:lang w:val="es-ES"/>
        </w:rPr>
        <w:t xml:space="preserve"> el </w:t>
      </w:r>
      <w:r w:rsidR="00790C9F" w:rsidRPr="00A60069">
        <w:rPr>
          <w:rFonts w:asciiTheme="majorHAnsi" w:hAnsiTheme="majorHAnsi"/>
          <w:color w:val="000000"/>
          <w:sz w:val="20"/>
          <w:szCs w:val="20"/>
          <w:lang w:val="es-ES"/>
        </w:rPr>
        <w:t xml:space="preserve">28 de octubre   y el </w:t>
      </w:r>
      <w:r w:rsidR="00774982" w:rsidRPr="00A60069">
        <w:rPr>
          <w:rFonts w:asciiTheme="majorHAnsi" w:hAnsiTheme="majorHAnsi"/>
          <w:color w:val="000000"/>
          <w:sz w:val="20"/>
          <w:szCs w:val="20"/>
          <w:lang w:val="es-ES"/>
        </w:rPr>
        <w:t>12 de noviembre</w:t>
      </w:r>
      <w:r w:rsidR="00790C9F" w:rsidRPr="00A60069">
        <w:rPr>
          <w:rFonts w:asciiTheme="majorHAnsi" w:hAnsiTheme="majorHAnsi"/>
          <w:color w:val="000000"/>
          <w:sz w:val="20"/>
          <w:szCs w:val="20"/>
          <w:lang w:val="es-ES"/>
        </w:rPr>
        <w:t xml:space="preserve"> de 2008; </w:t>
      </w:r>
      <w:r w:rsidR="00284A99" w:rsidRPr="00A60069">
        <w:rPr>
          <w:rFonts w:asciiTheme="majorHAnsi" w:hAnsiTheme="majorHAnsi"/>
          <w:color w:val="000000"/>
          <w:sz w:val="20"/>
          <w:szCs w:val="20"/>
          <w:lang w:val="es-ES"/>
        </w:rPr>
        <w:t xml:space="preserve">el 24 de septiembre de 2009; el 14 de noviembre de 2013 </w:t>
      </w:r>
      <w:r w:rsidR="00BA5EEA" w:rsidRPr="00A60069">
        <w:rPr>
          <w:rFonts w:asciiTheme="majorHAnsi" w:hAnsiTheme="majorHAnsi"/>
          <w:color w:val="000000"/>
          <w:sz w:val="20"/>
          <w:szCs w:val="20"/>
          <w:lang w:val="es-ES"/>
        </w:rPr>
        <w:t>y el 2 de enero de 2014</w:t>
      </w:r>
      <w:r w:rsidR="00027C74" w:rsidRPr="00A60069">
        <w:rPr>
          <w:rFonts w:asciiTheme="majorHAnsi" w:hAnsiTheme="majorHAnsi"/>
          <w:bCs/>
          <w:sz w:val="20"/>
          <w:szCs w:val="20"/>
          <w:lang w:val="es-PE"/>
        </w:rPr>
        <w:t xml:space="preserve">. </w:t>
      </w:r>
      <w:r w:rsidR="0063685A" w:rsidRPr="00A60069">
        <w:rPr>
          <w:rFonts w:asciiTheme="majorHAnsi" w:hAnsiTheme="majorHAnsi"/>
          <w:bCs/>
          <w:sz w:val="20"/>
          <w:szCs w:val="20"/>
          <w:lang w:val="es-PE"/>
        </w:rPr>
        <w:t xml:space="preserve">Por su parte, el Estado remitió observaciones adicionales el </w:t>
      </w:r>
      <w:r w:rsidR="00BA5EEA" w:rsidRPr="00A60069">
        <w:rPr>
          <w:rFonts w:asciiTheme="majorHAnsi" w:hAnsiTheme="majorHAnsi"/>
          <w:sz w:val="20"/>
          <w:szCs w:val="20"/>
          <w:lang w:val="es-UY"/>
        </w:rPr>
        <w:t>11 de</w:t>
      </w:r>
      <w:r w:rsidR="002A5DC4" w:rsidRPr="00A60069">
        <w:rPr>
          <w:rFonts w:asciiTheme="majorHAnsi" w:hAnsiTheme="majorHAnsi"/>
          <w:sz w:val="20"/>
          <w:szCs w:val="20"/>
          <w:lang w:val="es-UY"/>
        </w:rPr>
        <w:t xml:space="preserve"> abril y 7 de noviembre de 2006;</w:t>
      </w:r>
      <w:r w:rsidR="00BA5EEA" w:rsidRPr="00A60069">
        <w:rPr>
          <w:rFonts w:asciiTheme="majorHAnsi" w:hAnsiTheme="majorHAnsi"/>
          <w:sz w:val="20"/>
          <w:szCs w:val="20"/>
          <w:lang w:val="es-UY"/>
        </w:rPr>
        <w:t xml:space="preserve"> el 23 de </w:t>
      </w:r>
      <w:r w:rsidR="00284A99" w:rsidRPr="00A60069">
        <w:rPr>
          <w:rFonts w:asciiTheme="majorHAnsi" w:hAnsiTheme="majorHAnsi"/>
          <w:sz w:val="20"/>
          <w:szCs w:val="20"/>
          <w:lang w:val="es-UY"/>
        </w:rPr>
        <w:t xml:space="preserve">diciembre de 2008; el 9 </w:t>
      </w:r>
      <w:r w:rsidR="00BA5EEA" w:rsidRPr="00A60069">
        <w:rPr>
          <w:rFonts w:asciiTheme="majorHAnsi" w:hAnsiTheme="majorHAnsi"/>
          <w:sz w:val="20"/>
          <w:szCs w:val="20"/>
          <w:lang w:val="es-UY"/>
        </w:rPr>
        <w:t>de enero de 2009</w:t>
      </w:r>
      <w:r w:rsidR="00284A99" w:rsidRPr="00A60069">
        <w:rPr>
          <w:rFonts w:asciiTheme="majorHAnsi" w:hAnsiTheme="majorHAnsi"/>
          <w:sz w:val="20"/>
          <w:szCs w:val="20"/>
          <w:lang w:val="es-UY"/>
        </w:rPr>
        <w:t>;</w:t>
      </w:r>
      <w:r w:rsidR="00BA5EEA" w:rsidRPr="00A60069">
        <w:rPr>
          <w:rFonts w:asciiTheme="majorHAnsi" w:hAnsiTheme="majorHAnsi"/>
          <w:sz w:val="20"/>
          <w:szCs w:val="20"/>
          <w:lang w:val="es-UY"/>
        </w:rPr>
        <w:t xml:space="preserve"> el 23 de diciembre de 2013 y el </w:t>
      </w:r>
      <w:r w:rsidR="00EF1BDB" w:rsidRPr="00A60069">
        <w:rPr>
          <w:rFonts w:asciiTheme="majorHAnsi" w:hAnsiTheme="majorHAnsi"/>
          <w:sz w:val="20"/>
          <w:szCs w:val="20"/>
          <w:lang w:val="es-UY"/>
        </w:rPr>
        <w:t>21 de marzo</w:t>
      </w:r>
      <w:r w:rsidR="00BA5EEA" w:rsidRPr="00A60069">
        <w:rPr>
          <w:rFonts w:asciiTheme="majorHAnsi" w:hAnsiTheme="majorHAnsi"/>
          <w:sz w:val="20"/>
          <w:szCs w:val="20"/>
          <w:lang w:val="es-UY"/>
        </w:rPr>
        <w:t>, 8 de agosto y 17 de octubre de 2014</w:t>
      </w:r>
      <w:r w:rsidR="008E3AC7" w:rsidRPr="00A60069">
        <w:rPr>
          <w:rFonts w:asciiTheme="majorHAnsi" w:hAnsiTheme="majorHAnsi"/>
          <w:bCs/>
          <w:sz w:val="20"/>
          <w:szCs w:val="20"/>
          <w:lang w:val="es-PE"/>
        </w:rPr>
        <w:t xml:space="preserve">. </w:t>
      </w:r>
      <w:r w:rsidR="0063685A" w:rsidRPr="00A60069">
        <w:rPr>
          <w:rFonts w:asciiTheme="majorHAnsi" w:hAnsiTheme="majorHAnsi"/>
          <w:bCs/>
          <w:sz w:val="20"/>
          <w:szCs w:val="20"/>
          <w:lang w:val="es-PE"/>
        </w:rPr>
        <w:t>Estas comunicaciones fueron debidamente trasladadas a la parte contraria.</w:t>
      </w:r>
      <w:r w:rsidR="0063685A" w:rsidRPr="00A60069">
        <w:rPr>
          <w:rFonts w:asciiTheme="majorHAnsi" w:hAnsiTheme="majorHAnsi"/>
          <w:sz w:val="20"/>
          <w:szCs w:val="20"/>
          <w:lang w:val="es-UY"/>
        </w:rPr>
        <w:t xml:space="preserve"> </w:t>
      </w:r>
    </w:p>
    <w:p w:rsidR="00547D7F" w:rsidRPr="00A60069"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63685A" w:rsidRPr="00A60069" w:rsidRDefault="0063685A" w:rsidP="009F0583">
      <w:pPr>
        <w:spacing w:after="240"/>
        <w:ind w:firstLine="720"/>
        <w:jc w:val="both"/>
        <w:rPr>
          <w:rFonts w:asciiTheme="majorHAnsi" w:hAnsiTheme="majorHAnsi"/>
          <w:b/>
          <w:bCs/>
          <w:sz w:val="20"/>
          <w:szCs w:val="20"/>
          <w:lang w:val="es-UY"/>
        </w:rPr>
      </w:pPr>
      <w:r w:rsidRPr="00A60069">
        <w:rPr>
          <w:rFonts w:asciiTheme="majorHAnsi" w:hAnsiTheme="majorHAnsi"/>
          <w:b/>
          <w:bCs/>
          <w:sz w:val="20"/>
          <w:szCs w:val="20"/>
          <w:lang w:val="es-UY"/>
        </w:rPr>
        <w:t>III.</w:t>
      </w:r>
      <w:r w:rsidRPr="00A60069">
        <w:rPr>
          <w:rFonts w:asciiTheme="majorHAnsi" w:hAnsiTheme="majorHAnsi"/>
          <w:b/>
          <w:bCs/>
          <w:sz w:val="20"/>
          <w:szCs w:val="20"/>
          <w:lang w:val="es-UY"/>
        </w:rPr>
        <w:tab/>
        <w:t>POSICIÓN DE LAS PARTES</w:t>
      </w:r>
    </w:p>
    <w:p w:rsidR="0063685A" w:rsidRPr="00A60069" w:rsidRDefault="0063685A" w:rsidP="00493AC1">
      <w:pPr>
        <w:pStyle w:val="ListParagraph"/>
        <w:numPr>
          <w:ilvl w:val="0"/>
          <w:numId w:val="59"/>
        </w:numPr>
        <w:suppressAutoHyphens/>
        <w:jc w:val="both"/>
        <w:rPr>
          <w:rFonts w:asciiTheme="majorHAnsi" w:hAnsiTheme="majorHAnsi"/>
          <w:b/>
          <w:bCs/>
          <w:color w:val="FF0000"/>
          <w:sz w:val="20"/>
          <w:szCs w:val="20"/>
          <w:lang w:val="es-UY"/>
        </w:rPr>
      </w:pPr>
      <w:r w:rsidRPr="00A60069">
        <w:rPr>
          <w:rFonts w:asciiTheme="majorHAnsi" w:hAnsiTheme="majorHAnsi"/>
          <w:b/>
          <w:bCs/>
          <w:sz w:val="20"/>
          <w:szCs w:val="20"/>
          <w:lang w:val="es-UY"/>
        </w:rPr>
        <w:t xml:space="preserve">Posición </w:t>
      </w:r>
      <w:r w:rsidR="00BA5EEA" w:rsidRPr="00A60069">
        <w:rPr>
          <w:rFonts w:asciiTheme="majorHAnsi" w:hAnsiTheme="majorHAnsi"/>
          <w:b/>
          <w:bCs/>
          <w:sz w:val="20"/>
          <w:szCs w:val="20"/>
          <w:lang w:val="es-UY"/>
        </w:rPr>
        <w:t>del peticionario</w:t>
      </w:r>
    </w:p>
    <w:p w:rsidR="00493AC1" w:rsidRPr="00A60069" w:rsidRDefault="00493AC1" w:rsidP="00493AC1">
      <w:pPr>
        <w:pStyle w:val="ListParagraph"/>
        <w:suppressAutoHyphens/>
        <w:ind w:left="1440"/>
        <w:jc w:val="both"/>
        <w:rPr>
          <w:rFonts w:asciiTheme="majorHAnsi" w:hAnsiTheme="majorHAnsi"/>
          <w:b/>
          <w:bCs/>
          <w:color w:val="FF0000"/>
          <w:sz w:val="20"/>
          <w:szCs w:val="20"/>
          <w:lang w:val="es-UY"/>
        </w:rPr>
      </w:pPr>
    </w:p>
    <w:p w:rsidR="005A7711" w:rsidRPr="00A60069" w:rsidRDefault="00892E1C" w:rsidP="004D6C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sidRPr="00A60069">
        <w:rPr>
          <w:rFonts w:asciiTheme="majorHAnsi" w:hAnsiTheme="majorHAnsi" w:cs="Arial"/>
          <w:sz w:val="20"/>
          <w:szCs w:val="20"/>
          <w:lang w:val="es-UY"/>
        </w:rPr>
        <w:t>El</w:t>
      </w:r>
      <w:r w:rsidR="009D1411" w:rsidRPr="00A60069">
        <w:rPr>
          <w:rFonts w:asciiTheme="majorHAnsi" w:hAnsiTheme="majorHAnsi" w:cs="Arial"/>
          <w:sz w:val="20"/>
          <w:szCs w:val="20"/>
          <w:lang w:val="es-UY"/>
        </w:rPr>
        <w:t xml:space="preserve"> peticionario</w:t>
      </w:r>
      <w:r w:rsidR="00D01653" w:rsidRPr="00A60069">
        <w:rPr>
          <w:rFonts w:asciiTheme="majorHAnsi" w:hAnsiTheme="majorHAnsi" w:cs="Arial"/>
          <w:sz w:val="20"/>
          <w:szCs w:val="20"/>
          <w:lang w:val="es-UY"/>
        </w:rPr>
        <w:t xml:space="preserve"> </w:t>
      </w:r>
      <w:r w:rsidR="009D1411" w:rsidRPr="00A60069">
        <w:rPr>
          <w:rFonts w:asciiTheme="majorHAnsi" w:hAnsiTheme="majorHAnsi" w:cs="Arial"/>
          <w:sz w:val="20"/>
          <w:szCs w:val="20"/>
          <w:lang w:val="es-UY"/>
        </w:rPr>
        <w:t>indica</w:t>
      </w:r>
      <w:r w:rsidR="00D01653" w:rsidRPr="00A60069">
        <w:rPr>
          <w:rFonts w:asciiTheme="majorHAnsi" w:hAnsiTheme="majorHAnsi" w:cs="Arial"/>
          <w:sz w:val="20"/>
          <w:szCs w:val="20"/>
          <w:lang w:val="es-UY"/>
        </w:rPr>
        <w:t xml:space="preserve"> que</w:t>
      </w:r>
      <w:r w:rsidR="007B4E81" w:rsidRPr="00A60069">
        <w:rPr>
          <w:rFonts w:asciiTheme="majorHAnsi" w:hAnsiTheme="majorHAnsi" w:cs="Arial"/>
          <w:sz w:val="20"/>
          <w:szCs w:val="20"/>
          <w:lang w:val="es-UY"/>
        </w:rPr>
        <w:t xml:space="preserve"> </w:t>
      </w:r>
      <w:r w:rsidR="00FA1CAC" w:rsidRPr="00A60069">
        <w:rPr>
          <w:rFonts w:asciiTheme="majorHAnsi" w:hAnsiTheme="majorHAnsi" w:cs="Arial"/>
          <w:sz w:val="20"/>
          <w:szCs w:val="20"/>
          <w:lang w:val="es-UY"/>
        </w:rPr>
        <w:t>en</w:t>
      </w:r>
      <w:r w:rsidR="007B4E81" w:rsidRPr="00A60069">
        <w:rPr>
          <w:rFonts w:asciiTheme="majorHAnsi" w:hAnsiTheme="majorHAnsi" w:cs="Arial"/>
          <w:sz w:val="20"/>
          <w:szCs w:val="20"/>
          <w:lang w:val="es-UY"/>
        </w:rPr>
        <w:t xml:space="preserve"> su </w:t>
      </w:r>
      <w:r w:rsidR="004F65BF" w:rsidRPr="00A60069">
        <w:rPr>
          <w:rFonts w:asciiTheme="majorHAnsi" w:hAnsiTheme="majorHAnsi" w:cs="Arial"/>
          <w:sz w:val="20"/>
          <w:szCs w:val="20"/>
          <w:lang w:val="es-UY"/>
        </w:rPr>
        <w:t xml:space="preserve">condición </w:t>
      </w:r>
      <w:r w:rsidR="007B4E81" w:rsidRPr="00A60069">
        <w:rPr>
          <w:rFonts w:asciiTheme="majorHAnsi" w:hAnsiTheme="majorHAnsi" w:cs="Arial"/>
          <w:sz w:val="20"/>
          <w:szCs w:val="20"/>
          <w:lang w:val="es-UY"/>
        </w:rPr>
        <w:t>de abogado</w:t>
      </w:r>
      <w:r w:rsidR="00FA1CAC" w:rsidRPr="00A60069">
        <w:rPr>
          <w:rFonts w:asciiTheme="majorHAnsi" w:hAnsiTheme="majorHAnsi" w:cs="Arial"/>
          <w:sz w:val="20"/>
          <w:szCs w:val="20"/>
          <w:lang w:val="es-UY"/>
        </w:rPr>
        <w:t xml:space="preserve"> </w:t>
      </w:r>
      <w:r w:rsidR="0043311A" w:rsidRPr="00A60069">
        <w:rPr>
          <w:rFonts w:asciiTheme="majorHAnsi" w:hAnsiTheme="majorHAnsi" w:cs="Arial"/>
          <w:sz w:val="20"/>
          <w:szCs w:val="20"/>
          <w:lang w:val="es-UY"/>
        </w:rPr>
        <w:t>y representante</w:t>
      </w:r>
      <w:r w:rsidR="002B3C18" w:rsidRPr="00A60069">
        <w:rPr>
          <w:rFonts w:asciiTheme="majorHAnsi" w:hAnsiTheme="majorHAnsi" w:cs="Arial"/>
          <w:sz w:val="20"/>
          <w:szCs w:val="20"/>
          <w:lang w:val="es-UY"/>
        </w:rPr>
        <w:t xml:space="preserve"> legal</w:t>
      </w:r>
      <w:r w:rsidR="0043311A" w:rsidRPr="00A60069">
        <w:rPr>
          <w:rFonts w:asciiTheme="majorHAnsi" w:hAnsiTheme="majorHAnsi" w:cs="Arial"/>
          <w:sz w:val="20"/>
          <w:szCs w:val="20"/>
          <w:lang w:val="es-UY"/>
        </w:rPr>
        <w:t xml:space="preserve"> de un</w:t>
      </w:r>
      <w:r w:rsidR="001E0463" w:rsidRPr="00A60069">
        <w:rPr>
          <w:rFonts w:asciiTheme="majorHAnsi" w:hAnsiTheme="majorHAnsi" w:cs="Arial"/>
          <w:sz w:val="20"/>
          <w:szCs w:val="20"/>
          <w:lang w:val="es-UY"/>
        </w:rPr>
        <w:t>a</w:t>
      </w:r>
      <w:r w:rsidR="0043311A" w:rsidRPr="00A60069">
        <w:rPr>
          <w:rFonts w:asciiTheme="majorHAnsi" w:hAnsiTheme="majorHAnsi" w:cs="Arial"/>
          <w:sz w:val="20"/>
          <w:szCs w:val="20"/>
          <w:lang w:val="es-UY"/>
        </w:rPr>
        <w:t xml:space="preserve"> client</w:t>
      </w:r>
      <w:r w:rsidR="007D524A" w:rsidRPr="00A60069">
        <w:rPr>
          <w:rFonts w:asciiTheme="majorHAnsi" w:hAnsiTheme="majorHAnsi" w:cs="Arial"/>
          <w:sz w:val="20"/>
          <w:szCs w:val="20"/>
          <w:lang w:val="es-UY"/>
        </w:rPr>
        <w:t>a</w:t>
      </w:r>
      <w:r w:rsidR="0043311A" w:rsidRPr="00A60069">
        <w:rPr>
          <w:rFonts w:asciiTheme="majorHAnsi" w:hAnsiTheme="majorHAnsi" w:cs="Arial"/>
          <w:sz w:val="20"/>
          <w:szCs w:val="20"/>
          <w:lang w:val="es-UY"/>
        </w:rPr>
        <w:t>, promovió</w:t>
      </w:r>
      <w:r w:rsidR="002B3C18" w:rsidRPr="00A60069">
        <w:rPr>
          <w:rFonts w:asciiTheme="majorHAnsi" w:hAnsiTheme="majorHAnsi" w:cs="Arial"/>
          <w:sz w:val="20"/>
          <w:szCs w:val="20"/>
          <w:lang w:val="es-UY"/>
        </w:rPr>
        <w:t xml:space="preserve"> ante el Juzgado Nacional de Primera Instancia en lo Civil N° 32, </w:t>
      </w:r>
      <w:r w:rsidR="00D01653" w:rsidRPr="00A60069">
        <w:rPr>
          <w:rFonts w:asciiTheme="majorHAnsi" w:hAnsiTheme="majorHAnsi" w:cs="Arial"/>
          <w:sz w:val="20"/>
          <w:szCs w:val="20"/>
          <w:lang w:val="es-UY"/>
        </w:rPr>
        <w:t>un</w:t>
      </w:r>
      <w:r w:rsidR="00E725CB" w:rsidRPr="00A60069">
        <w:rPr>
          <w:rFonts w:asciiTheme="majorHAnsi" w:hAnsiTheme="majorHAnsi" w:cs="Arial"/>
          <w:sz w:val="20"/>
          <w:szCs w:val="20"/>
          <w:lang w:val="es-UY"/>
        </w:rPr>
        <w:t xml:space="preserve">a demanda </w:t>
      </w:r>
      <w:r w:rsidR="00141F64" w:rsidRPr="00A60069">
        <w:rPr>
          <w:rFonts w:asciiTheme="majorHAnsi" w:hAnsiTheme="majorHAnsi" w:cs="Arial"/>
          <w:sz w:val="20"/>
          <w:szCs w:val="20"/>
          <w:lang w:val="es-UY"/>
        </w:rPr>
        <w:t>judicial</w:t>
      </w:r>
      <w:r w:rsidR="00D01653" w:rsidRPr="00A60069">
        <w:rPr>
          <w:rFonts w:asciiTheme="majorHAnsi" w:hAnsiTheme="majorHAnsi" w:cs="Arial"/>
          <w:sz w:val="20"/>
          <w:szCs w:val="20"/>
          <w:lang w:val="es-UY"/>
        </w:rPr>
        <w:t xml:space="preserve"> </w:t>
      </w:r>
      <w:r w:rsidR="007B4E81" w:rsidRPr="00A60069">
        <w:rPr>
          <w:rFonts w:asciiTheme="majorHAnsi" w:hAnsiTheme="majorHAnsi" w:cs="Arial"/>
          <w:sz w:val="20"/>
          <w:szCs w:val="20"/>
          <w:lang w:val="es-UY"/>
        </w:rPr>
        <w:t>por daños y perjuicios</w:t>
      </w:r>
      <w:r w:rsidR="002B3C18" w:rsidRPr="00A60069">
        <w:rPr>
          <w:rFonts w:asciiTheme="majorHAnsi" w:hAnsiTheme="majorHAnsi" w:cs="Arial"/>
          <w:sz w:val="20"/>
          <w:szCs w:val="20"/>
          <w:lang w:val="es-UY"/>
        </w:rPr>
        <w:t xml:space="preserve"> que </w:t>
      </w:r>
      <w:r w:rsidR="00E725CB" w:rsidRPr="00A60069">
        <w:rPr>
          <w:rFonts w:asciiTheme="majorHAnsi" w:hAnsiTheme="majorHAnsi" w:cs="Arial"/>
          <w:sz w:val="20"/>
          <w:szCs w:val="20"/>
          <w:lang w:val="es-UY"/>
        </w:rPr>
        <w:t>fue declarada improcedente</w:t>
      </w:r>
      <w:r w:rsidR="00141F64" w:rsidRPr="00A60069">
        <w:rPr>
          <w:rFonts w:asciiTheme="majorHAnsi" w:hAnsiTheme="majorHAnsi" w:cs="Arial"/>
          <w:sz w:val="20"/>
          <w:szCs w:val="20"/>
          <w:lang w:val="es-UY"/>
        </w:rPr>
        <w:t xml:space="preserve"> mediante resolución de </w:t>
      </w:r>
      <w:r w:rsidR="00BF6FDF" w:rsidRPr="00A60069">
        <w:rPr>
          <w:rFonts w:asciiTheme="majorHAnsi" w:hAnsiTheme="majorHAnsi" w:cs="Arial"/>
          <w:sz w:val="20"/>
          <w:szCs w:val="20"/>
          <w:lang w:val="es-UY"/>
        </w:rPr>
        <w:t>7 de septiembre de 1998</w:t>
      </w:r>
      <w:r w:rsidR="0093641B" w:rsidRPr="00A60069">
        <w:rPr>
          <w:rFonts w:asciiTheme="majorHAnsi" w:hAnsiTheme="majorHAnsi" w:cs="Arial"/>
          <w:sz w:val="20"/>
          <w:szCs w:val="20"/>
          <w:lang w:val="es-UY"/>
        </w:rPr>
        <w:t>, la cual adicionalmente</w:t>
      </w:r>
      <w:r w:rsidR="0013793C" w:rsidRPr="00A60069">
        <w:rPr>
          <w:rFonts w:asciiTheme="majorHAnsi" w:hAnsiTheme="majorHAnsi" w:cs="Arial"/>
          <w:sz w:val="20"/>
          <w:szCs w:val="20"/>
          <w:lang w:val="es-UY"/>
        </w:rPr>
        <w:t>,</w:t>
      </w:r>
      <w:r w:rsidR="002B3C18" w:rsidRPr="00A60069">
        <w:rPr>
          <w:rFonts w:asciiTheme="majorHAnsi" w:hAnsiTheme="majorHAnsi" w:cs="Arial"/>
          <w:sz w:val="20"/>
          <w:szCs w:val="20"/>
          <w:lang w:val="es-UY"/>
        </w:rPr>
        <w:t xml:space="preserve"> </w:t>
      </w:r>
      <w:r w:rsidR="001D4BCD" w:rsidRPr="00A60069">
        <w:rPr>
          <w:rFonts w:asciiTheme="majorHAnsi" w:hAnsiTheme="majorHAnsi" w:cs="Arial"/>
          <w:sz w:val="20"/>
          <w:szCs w:val="20"/>
          <w:lang w:val="es-UY"/>
        </w:rPr>
        <w:t xml:space="preserve">al advertir temeridad y malicia en la activación del proceso </w:t>
      </w:r>
      <w:r w:rsidR="0013793C" w:rsidRPr="00A60069">
        <w:rPr>
          <w:rFonts w:asciiTheme="majorHAnsi" w:hAnsiTheme="majorHAnsi" w:cs="Arial"/>
          <w:sz w:val="20"/>
          <w:szCs w:val="20"/>
          <w:lang w:val="es-UY"/>
        </w:rPr>
        <w:t>judicial</w:t>
      </w:r>
      <w:r w:rsidR="001D4BCD" w:rsidRPr="00A60069">
        <w:rPr>
          <w:rFonts w:asciiTheme="majorHAnsi" w:hAnsiTheme="majorHAnsi" w:cs="Arial"/>
          <w:sz w:val="20"/>
          <w:szCs w:val="20"/>
          <w:lang w:val="es-UY"/>
        </w:rPr>
        <w:t xml:space="preserve">, </w:t>
      </w:r>
      <w:r w:rsidR="0093641B" w:rsidRPr="00A60069">
        <w:rPr>
          <w:rFonts w:asciiTheme="majorHAnsi" w:hAnsiTheme="majorHAnsi" w:cs="Arial"/>
          <w:sz w:val="20"/>
          <w:szCs w:val="20"/>
          <w:lang w:val="es-UY"/>
        </w:rPr>
        <w:t xml:space="preserve">le impuso </w:t>
      </w:r>
      <w:r w:rsidR="002B3C18" w:rsidRPr="00A60069">
        <w:rPr>
          <w:rFonts w:asciiTheme="majorHAnsi" w:hAnsiTheme="majorHAnsi" w:cs="Arial"/>
          <w:sz w:val="20"/>
          <w:szCs w:val="20"/>
          <w:lang w:val="es-UY"/>
        </w:rPr>
        <w:t>a</w:t>
      </w:r>
      <w:r w:rsidR="002F1225" w:rsidRPr="00A60069">
        <w:rPr>
          <w:rFonts w:asciiTheme="majorHAnsi" w:hAnsiTheme="majorHAnsi" w:cs="Arial"/>
          <w:sz w:val="20"/>
          <w:szCs w:val="20"/>
          <w:lang w:val="es-UY"/>
        </w:rPr>
        <w:t xml:space="preserve"> su representada, </w:t>
      </w:r>
      <w:r w:rsidR="00141F64" w:rsidRPr="00A60069">
        <w:rPr>
          <w:rFonts w:asciiTheme="majorHAnsi" w:hAnsiTheme="majorHAnsi" w:cs="Arial"/>
          <w:sz w:val="20"/>
          <w:szCs w:val="20"/>
          <w:lang w:val="es-UY"/>
        </w:rPr>
        <w:t xml:space="preserve">una multa del 20% del monto </w:t>
      </w:r>
      <w:r w:rsidR="0013793C" w:rsidRPr="00A60069">
        <w:rPr>
          <w:rFonts w:asciiTheme="majorHAnsi" w:hAnsiTheme="majorHAnsi" w:cs="Arial"/>
          <w:sz w:val="20"/>
          <w:szCs w:val="20"/>
          <w:lang w:val="es-UY"/>
        </w:rPr>
        <w:t>reclamado</w:t>
      </w:r>
      <w:r w:rsidR="00D01653" w:rsidRPr="00A60069">
        <w:rPr>
          <w:rFonts w:asciiTheme="majorHAnsi" w:hAnsiTheme="majorHAnsi" w:cs="Arial"/>
          <w:sz w:val="20"/>
          <w:szCs w:val="20"/>
          <w:lang w:val="es-UY"/>
        </w:rPr>
        <w:t xml:space="preserve">. </w:t>
      </w:r>
      <w:r w:rsidR="007B4E81" w:rsidRPr="00A60069">
        <w:rPr>
          <w:rFonts w:asciiTheme="majorHAnsi" w:hAnsiTheme="majorHAnsi" w:cs="Arial"/>
          <w:sz w:val="20"/>
          <w:szCs w:val="20"/>
          <w:lang w:val="es-UY"/>
        </w:rPr>
        <w:t>Señala</w:t>
      </w:r>
      <w:r w:rsidR="00D01653" w:rsidRPr="00A60069">
        <w:rPr>
          <w:rFonts w:asciiTheme="majorHAnsi" w:hAnsiTheme="majorHAnsi" w:cs="Arial"/>
          <w:sz w:val="20"/>
          <w:szCs w:val="20"/>
          <w:lang w:val="es-UY"/>
        </w:rPr>
        <w:t xml:space="preserve"> que</w:t>
      </w:r>
      <w:r w:rsidR="00A67FA6" w:rsidRPr="00A60069">
        <w:rPr>
          <w:rFonts w:asciiTheme="majorHAnsi" w:hAnsiTheme="majorHAnsi" w:cs="Arial"/>
          <w:sz w:val="20"/>
          <w:szCs w:val="20"/>
          <w:lang w:val="es-UY"/>
        </w:rPr>
        <w:t>,</w:t>
      </w:r>
      <w:r w:rsidR="00D01653" w:rsidRPr="00A60069">
        <w:rPr>
          <w:rFonts w:asciiTheme="majorHAnsi" w:hAnsiTheme="majorHAnsi" w:cs="Arial"/>
          <w:sz w:val="20"/>
          <w:szCs w:val="20"/>
          <w:lang w:val="es-UY"/>
        </w:rPr>
        <w:t xml:space="preserve"> por ser parte de sus obligaciones, apeló </w:t>
      </w:r>
      <w:r w:rsidR="009C2218" w:rsidRPr="00A60069">
        <w:rPr>
          <w:rFonts w:asciiTheme="majorHAnsi" w:hAnsiTheme="majorHAnsi" w:cs="Arial"/>
          <w:sz w:val="20"/>
          <w:szCs w:val="20"/>
          <w:lang w:val="es-UY"/>
        </w:rPr>
        <w:t>la</w:t>
      </w:r>
      <w:r w:rsidR="007D524A" w:rsidRPr="00A60069">
        <w:rPr>
          <w:rFonts w:asciiTheme="majorHAnsi" w:hAnsiTheme="majorHAnsi" w:cs="Arial"/>
          <w:sz w:val="20"/>
          <w:szCs w:val="20"/>
          <w:lang w:val="es-UY"/>
        </w:rPr>
        <w:t xml:space="preserve"> sentencia pero</w:t>
      </w:r>
      <w:r w:rsidR="0093641B" w:rsidRPr="00A60069">
        <w:rPr>
          <w:rFonts w:asciiTheme="majorHAnsi" w:hAnsiTheme="majorHAnsi" w:cs="Arial"/>
          <w:sz w:val="20"/>
          <w:szCs w:val="20"/>
          <w:lang w:val="es-UY"/>
        </w:rPr>
        <w:t xml:space="preserve"> que</w:t>
      </w:r>
      <w:r w:rsidR="00D01653" w:rsidRPr="00A60069">
        <w:rPr>
          <w:rFonts w:asciiTheme="majorHAnsi" w:hAnsiTheme="majorHAnsi" w:cs="Arial"/>
          <w:sz w:val="20"/>
          <w:szCs w:val="20"/>
          <w:lang w:val="es-UY"/>
        </w:rPr>
        <w:t xml:space="preserve"> posteriormente</w:t>
      </w:r>
      <w:r w:rsidR="007D524A" w:rsidRPr="00A60069">
        <w:rPr>
          <w:rFonts w:asciiTheme="majorHAnsi" w:hAnsiTheme="majorHAnsi" w:cs="Arial"/>
          <w:sz w:val="20"/>
          <w:szCs w:val="20"/>
          <w:lang w:val="es-UY"/>
        </w:rPr>
        <w:t>,</w:t>
      </w:r>
      <w:r w:rsidR="0093641B" w:rsidRPr="00A60069">
        <w:rPr>
          <w:rFonts w:asciiTheme="majorHAnsi" w:hAnsiTheme="majorHAnsi" w:cs="Arial"/>
          <w:sz w:val="20"/>
          <w:szCs w:val="20"/>
          <w:lang w:val="es-UY"/>
        </w:rPr>
        <w:t xml:space="preserve"> </w:t>
      </w:r>
      <w:r w:rsidR="00582EFD" w:rsidRPr="00A60069">
        <w:rPr>
          <w:rFonts w:asciiTheme="majorHAnsi" w:hAnsiTheme="majorHAnsi" w:cs="Arial"/>
          <w:sz w:val="20"/>
          <w:szCs w:val="20"/>
          <w:lang w:val="es-UY"/>
        </w:rPr>
        <w:t xml:space="preserve">por razones éticas, </w:t>
      </w:r>
      <w:r w:rsidR="00D01653" w:rsidRPr="00A60069">
        <w:rPr>
          <w:rFonts w:asciiTheme="majorHAnsi" w:hAnsiTheme="majorHAnsi" w:cs="Arial"/>
          <w:sz w:val="20"/>
          <w:szCs w:val="20"/>
          <w:lang w:val="es-UY"/>
        </w:rPr>
        <w:t>renunció al mandato que l</w:t>
      </w:r>
      <w:r w:rsidR="0091727C" w:rsidRPr="00A60069">
        <w:rPr>
          <w:rFonts w:asciiTheme="majorHAnsi" w:hAnsiTheme="majorHAnsi" w:cs="Arial"/>
          <w:sz w:val="20"/>
          <w:szCs w:val="20"/>
          <w:lang w:val="es-UY"/>
        </w:rPr>
        <w:t>o acreditaba como representante legal</w:t>
      </w:r>
      <w:r w:rsidR="00D01653" w:rsidRPr="00A60069">
        <w:rPr>
          <w:rFonts w:asciiTheme="majorHAnsi" w:hAnsiTheme="majorHAnsi" w:cs="Arial"/>
          <w:sz w:val="20"/>
          <w:szCs w:val="20"/>
          <w:lang w:val="es-UY"/>
        </w:rPr>
        <w:t xml:space="preserve"> </w:t>
      </w:r>
      <w:r w:rsidR="007D524A" w:rsidRPr="00A60069">
        <w:rPr>
          <w:rFonts w:asciiTheme="majorHAnsi" w:hAnsiTheme="majorHAnsi" w:cs="Arial"/>
          <w:sz w:val="20"/>
          <w:szCs w:val="20"/>
          <w:lang w:val="es-UY"/>
        </w:rPr>
        <w:t>de su clienta,</w:t>
      </w:r>
      <w:r w:rsidR="00582EFD" w:rsidRPr="00A60069">
        <w:rPr>
          <w:rFonts w:asciiTheme="majorHAnsi" w:hAnsiTheme="majorHAnsi" w:cs="Arial"/>
          <w:sz w:val="20"/>
          <w:szCs w:val="20"/>
          <w:lang w:val="es-UY"/>
        </w:rPr>
        <w:t xml:space="preserve"> quien </w:t>
      </w:r>
      <w:r w:rsidR="007B4E81" w:rsidRPr="00A60069">
        <w:rPr>
          <w:rFonts w:asciiTheme="majorHAnsi" w:hAnsiTheme="majorHAnsi" w:cs="Arial"/>
          <w:sz w:val="20"/>
          <w:szCs w:val="20"/>
          <w:lang w:val="es-UY"/>
        </w:rPr>
        <w:t>no designó nuevo apoderado</w:t>
      </w:r>
      <w:r w:rsidR="00557749" w:rsidRPr="00A60069">
        <w:rPr>
          <w:rFonts w:asciiTheme="majorHAnsi" w:hAnsiTheme="majorHAnsi" w:cs="Arial"/>
          <w:sz w:val="20"/>
          <w:szCs w:val="20"/>
          <w:lang w:val="es-UY"/>
        </w:rPr>
        <w:t xml:space="preserve"> ni</w:t>
      </w:r>
      <w:r w:rsidR="007B4E81" w:rsidRPr="00A60069">
        <w:rPr>
          <w:rFonts w:asciiTheme="majorHAnsi" w:hAnsiTheme="majorHAnsi" w:cs="Arial"/>
          <w:sz w:val="20"/>
          <w:szCs w:val="20"/>
          <w:lang w:val="es-UY"/>
        </w:rPr>
        <w:t xml:space="preserve"> </w:t>
      </w:r>
      <w:r w:rsidR="007610CB" w:rsidRPr="00A60069">
        <w:rPr>
          <w:rFonts w:asciiTheme="majorHAnsi" w:hAnsiTheme="majorHAnsi" w:cs="Arial"/>
          <w:sz w:val="20"/>
          <w:szCs w:val="20"/>
          <w:lang w:val="es-UY"/>
        </w:rPr>
        <w:t>prosiguió con el recurso</w:t>
      </w:r>
      <w:r w:rsidR="005A41E3" w:rsidRPr="00A60069">
        <w:rPr>
          <w:rFonts w:asciiTheme="majorHAnsi" w:hAnsiTheme="majorHAnsi" w:cs="Arial"/>
          <w:sz w:val="20"/>
          <w:szCs w:val="20"/>
          <w:lang w:val="es-UY"/>
        </w:rPr>
        <w:t xml:space="preserve"> interpuesto</w:t>
      </w:r>
      <w:r w:rsidR="00A67FA6" w:rsidRPr="00A60069">
        <w:rPr>
          <w:rFonts w:asciiTheme="majorHAnsi" w:hAnsiTheme="majorHAnsi" w:cs="Arial"/>
          <w:sz w:val="20"/>
          <w:szCs w:val="20"/>
          <w:lang w:val="es-UY"/>
        </w:rPr>
        <w:t>,</w:t>
      </w:r>
      <w:r w:rsidR="007B4E81" w:rsidRPr="00A60069">
        <w:rPr>
          <w:rFonts w:asciiTheme="majorHAnsi" w:hAnsiTheme="majorHAnsi" w:cs="Arial"/>
          <w:sz w:val="20"/>
          <w:szCs w:val="20"/>
          <w:lang w:val="es-UY"/>
        </w:rPr>
        <w:t xml:space="preserve"> </w:t>
      </w:r>
      <w:r w:rsidR="0093641B" w:rsidRPr="00A60069">
        <w:rPr>
          <w:rFonts w:asciiTheme="majorHAnsi" w:hAnsiTheme="majorHAnsi" w:cs="Arial"/>
          <w:sz w:val="20"/>
          <w:szCs w:val="20"/>
          <w:lang w:val="es-UY"/>
        </w:rPr>
        <w:t>por lo que el fallo quedó en firme</w:t>
      </w:r>
      <w:r w:rsidR="00D01653" w:rsidRPr="00A60069">
        <w:rPr>
          <w:rFonts w:asciiTheme="majorHAnsi" w:hAnsiTheme="majorHAnsi" w:cs="Arial"/>
          <w:sz w:val="20"/>
          <w:szCs w:val="20"/>
          <w:lang w:val="es-UY"/>
        </w:rPr>
        <w:t>.</w:t>
      </w:r>
      <w:r w:rsidR="007B4E81" w:rsidRPr="00A60069">
        <w:rPr>
          <w:rFonts w:asciiTheme="majorHAnsi" w:hAnsiTheme="majorHAnsi" w:cs="Arial"/>
          <w:sz w:val="20"/>
          <w:szCs w:val="20"/>
          <w:lang w:val="es-UY"/>
        </w:rPr>
        <w:t xml:space="preserve"> </w:t>
      </w:r>
      <w:r w:rsidR="006F0393" w:rsidRPr="00A60069">
        <w:rPr>
          <w:rFonts w:asciiTheme="majorHAnsi" w:hAnsiTheme="majorHAnsi" w:cs="Arial"/>
          <w:sz w:val="20"/>
          <w:szCs w:val="20"/>
          <w:lang w:val="es-UY"/>
        </w:rPr>
        <w:t>En ese orden de acontecimientos</w:t>
      </w:r>
      <w:r w:rsidR="00557749" w:rsidRPr="00A60069">
        <w:rPr>
          <w:rFonts w:asciiTheme="majorHAnsi" w:hAnsiTheme="majorHAnsi" w:cs="Arial"/>
          <w:sz w:val="20"/>
          <w:szCs w:val="20"/>
          <w:lang w:val="es-UY"/>
        </w:rPr>
        <w:t xml:space="preserve">, </w:t>
      </w:r>
      <w:r w:rsidR="00970AFC" w:rsidRPr="00A60069">
        <w:rPr>
          <w:rFonts w:asciiTheme="majorHAnsi" w:hAnsiTheme="majorHAnsi" w:cs="Arial"/>
          <w:sz w:val="20"/>
          <w:szCs w:val="20"/>
          <w:lang w:val="es-UY"/>
        </w:rPr>
        <w:t xml:space="preserve">refiere que </w:t>
      </w:r>
      <w:r w:rsidR="00557749" w:rsidRPr="00A60069">
        <w:rPr>
          <w:rFonts w:asciiTheme="majorHAnsi" w:hAnsiTheme="majorHAnsi" w:cs="Arial"/>
          <w:sz w:val="20"/>
          <w:szCs w:val="20"/>
          <w:lang w:val="es-UY"/>
        </w:rPr>
        <w:t>la</w:t>
      </w:r>
      <w:r w:rsidR="00B25489" w:rsidRPr="00A60069">
        <w:rPr>
          <w:rFonts w:asciiTheme="majorHAnsi" w:hAnsiTheme="majorHAnsi" w:cs="Arial"/>
          <w:sz w:val="20"/>
          <w:szCs w:val="20"/>
          <w:lang w:val="es-UY"/>
        </w:rPr>
        <w:t xml:space="preserve"> contraparte</w:t>
      </w:r>
      <w:r w:rsidR="00557749" w:rsidRPr="00A60069">
        <w:rPr>
          <w:rFonts w:asciiTheme="majorHAnsi" w:hAnsiTheme="majorHAnsi" w:cs="Arial"/>
          <w:sz w:val="20"/>
          <w:szCs w:val="20"/>
          <w:lang w:val="es-UY"/>
        </w:rPr>
        <w:t xml:space="preserve"> del citado proceso,</w:t>
      </w:r>
      <w:r w:rsidR="009C2218" w:rsidRPr="00A60069">
        <w:rPr>
          <w:rFonts w:asciiTheme="majorHAnsi" w:hAnsiTheme="majorHAnsi" w:cs="Arial"/>
          <w:sz w:val="20"/>
          <w:szCs w:val="20"/>
          <w:lang w:val="es-UY"/>
        </w:rPr>
        <w:t xml:space="preserve"> </w:t>
      </w:r>
      <w:r w:rsidR="0093641B" w:rsidRPr="00A60069">
        <w:rPr>
          <w:rFonts w:asciiTheme="majorHAnsi" w:hAnsiTheme="majorHAnsi" w:cs="Arial"/>
          <w:sz w:val="20"/>
          <w:szCs w:val="20"/>
          <w:lang w:val="es-UY"/>
        </w:rPr>
        <w:t xml:space="preserve">también </w:t>
      </w:r>
      <w:r w:rsidR="009C2218" w:rsidRPr="00A60069">
        <w:rPr>
          <w:rFonts w:asciiTheme="majorHAnsi" w:hAnsiTheme="majorHAnsi" w:cs="Arial"/>
          <w:sz w:val="20"/>
          <w:szCs w:val="20"/>
          <w:lang w:val="es-UY"/>
        </w:rPr>
        <w:t xml:space="preserve">apeló dicha </w:t>
      </w:r>
      <w:r w:rsidR="00A358FF" w:rsidRPr="00A60069">
        <w:rPr>
          <w:rFonts w:asciiTheme="majorHAnsi" w:hAnsiTheme="majorHAnsi" w:cs="Arial"/>
          <w:sz w:val="20"/>
          <w:szCs w:val="20"/>
          <w:lang w:val="es-UY"/>
        </w:rPr>
        <w:t xml:space="preserve">sentencia, </w:t>
      </w:r>
      <w:r w:rsidR="00B25489" w:rsidRPr="00A60069">
        <w:rPr>
          <w:rFonts w:asciiTheme="majorHAnsi" w:hAnsiTheme="majorHAnsi" w:cs="Arial"/>
          <w:sz w:val="20"/>
          <w:szCs w:val="20"/>
          <w:lang w:val="es-UY"/>
        </w:rPr>
        <w:t>solicitand</w:t>
      </w:r>
      <w:r w:rsidR="00A977BA" w:rsidRPr="00A60069">
        <w:rPr>
          <w:rFonts w:asciiTheme="majorHAnsi" w:hAnsiTheme="majorHAnsi" w:cs="Arial"/>
          <w:sz w:val="20"/>
          <w:szCs w:val="20"/>
          <w:lang w:val="es-UY"/>
        </w:rPr>
        <w:t>o que la multa</w:t>
      </w:r>
      <w:r w:rsidR="0091727C" w:rsidRPr="00A60069">
        <w:rPr>
          <w:rFonts w:asciiTheme="majorHAnsi" w:hAnsiTheme="majorHAnsi" w:cs="Arial"/>
          <w:sz w:val="20"/>
          <w:szCs w:val="20"/>
          <w:lang w:val="es-UY"/>
        </w:rPr>
        <w:t xml:space="preserve"> fuera</w:t>
      </w:r>
      <w:r w:rsidR="00557749" w:rsidRPr="00A60069">
        <w:rPr>
          <w:rFonts w:asciiTheme="majorHAnsi" w:hAnsiTheme="majorHAnsi" w:cs="Arial"/>
          <w:sz w:val="20"/>
          <w:szCs w:val="20"/>
          <w:lang w:val="es-UY"/>
        </w:rPr>
        <w:t xml:space="preserve"> incrementada en un 30% y </w:t>
      </w:r>
      <w:r w:rsidR="0093641B" w:rsidRPr="00A60069">
        <w:rPr>
          <w:rFonts w:asciiTheme="majorHAnsi" w:hAnsiTheme="majorHAnsi" w:cs="Arial"/>
          <w:sz w:val="20"/>
          <w:szCs w:val="20"/>
          <w:lang w:val="es-UY"/>
        </w:rPr>
        <w:t xml:space="preserve">que </w:t>
      </w:r>
      <w:r w:rsidR="00557749" w:rsidRPr="00A60069">
        <w:rPr>
          <w:rFonts w:asciiTheme="majorHAnsi" w:hAnsiTheme="majorHAnsi" w:cs="Arial"/>
          <w:sz w:val="20"/>
          <w:szCs w:val="20"/>
          <w:lang w:val="es-UY"/>
        </w:rPr>
        <w:t>además sea</w:t>
      </w:r>
      <w:r w:rsidR="0091727C" w:rsidRPr="00A60069">
        <w:rPr>
          <w:rFonts w:asciiTheme="majorHAnsi" w:hAnsiTheme="majorHAnsi" w:cs="Arial"/>
          <w:sz w:val="20"/>
          <w:szCs w:val="20"/>
          <w:lang w:val="es-UY"/>
        </w:rPr>
        <w:t xml:space="preserve"> extendida al peticionario</w:t>
      </w:r>
      <w:r w:rsidR="005A41E3" w:rsidRPr="00A60069">
        <w:rPr>
          <w:rFonts w:asciiTheme="majorHAnsi" w:hAnsiTheme="majorHAnsi" w:cs="Arial"/>
          <w:sz w:val="20"/>
          <w:szCs w:val="20"/>
          <w:lang w:val="es-UY"/>
        </w:rPr>
        <w:t>. Así, l</w:t>
      </w:r>
      <w:r w:rsidR="001E0463" w:rsidRPr="00A60069">
        <w:rPr>
          <w:rFonts w:asciiTheme="majorHAnsi" w:hAnsiTheme="majorHAnsi" w:cs="Arial"/>
          <w:sz w:val="20"/>
          <w:szCs w:val="20"/>
          <w:lang w:val="es-UY"/>
        </w:rPr>
        <w:t>a Sala L de la Cámara Nacional de Apelaciones en lo Civil</w:t>
      </w:r>
      <w:r w:rsidR="00774244" w:rsidRPr="00A60069">
        <w:rPr>
          <w:rFonts w:asciiTheme="majorHAnsi" w:hAnsiTheme="majorHAnsi" w:cs="Arial"/>
          <w:sz w:val="20"/>
          <w:szCs w:val="20"/>
          <w:lang w:val="es-UY"/>
        </w:rPr>
        <w:t xml:space="preserve">, </w:t>
      </w:r>
      <w:r w:rsidR="00C10C59" w:rsidRPr="00A60069">
        <w:rPr>
          <w:rFonts w:asciiTheme="majorHAnsi" w:hAnsiTheme="majorHAnsi" w:cs="Arial"/>
          <w:sz w:val="20"/>
          <w:szCs w:val="20"/>
          <w:lang w:val="es-UY"/>
        </w:rPr>
        <w:t>(en adelante “Cámara de Apelaciones”)</w:t>
      </w:r>
      <w:r w:rsidR="0093641B" w:rsidRPr="00A60069">
        <w:rPr>
          <w:rFonts w:asciiTheme="majorHAnsi" w:hAnsiTheme="majorHAnsi" w:cs="Arial"/>
          <w:sz w:val="20"/>
          <w:szCs w:val="20"/>
          <w:lang w:val="es-UY"/>
        </w:rPr>
        <w:t>,</w:t>
      </w:r>
      <w:r w:rsidR="00C10C59" w:rsidRPr="00A60069">
        <w:rPr>
          <w:rFonts w:asciiTheme="majorHAnsi" w:hAnsiTheme="majorHAnsi" w:cs="Arial"/>
          <w:sz w:val="20"/>
          <w:szCs w:val="20"/>
          <w:lang w:val="es-UY"/>
        </w:rPr>
        <w:t xml:space="preserve"> </w:t>
      </w:r>
      <w:r w:rsidR="009C2218" w:rsidRPr="00A60069">
        <w:rPr>
          <w:rFonts w:asciiTheme="majorHAnsi" w:hAnsiTheme="majorHAnsi" w:cs="Arial"/>
          <w:sz w:val="20"/>
          <w:szCs w:val="20"/>
          <w:lang w:val="es-UY"/>
        </w:rPr>
        <w:t>trasladó la apelación al peticionario,</w:t>
      </w:r>
      <w:r w:rsidR="006F0393" w:rsidRPr="00A60069">
        <w:rPr>
          <w:rFonts w:asciiTheme="majorHAnsi" w:hAnsiTheme="majorHAnsi" w:cs="Arial"/>
          <w:sz w:val="20"/>
          <w:szCs w:val="20"/>
          <w:lang w:val="es-UY"/>
        </w:rPr>
        <w:t xml:space="preserve"> para que</w:t>
      </w:r>
      <w:r w:rsidR="009C2218" w:rsidRPr="00A60069">
        <w:rPr>
          <w:rFonts w:asciiTheme="majorHAnsi" w:hAnsiTheme="majorHAnsi" w:cs="Arial"/>
          <w:sz w:val="20"/>
          <w:szCs w:val="20"/>
          <w:lang w:val="es-UY"/>
        </w:rPr>
        <w:t xml:space="preserve"> éste</w:t>
      </w:r>
      <w:r w:rsidR="006F0393" w:rsidRPr="00A60069">
        <w:rPr>
          <w:rFonts w:asciiTheme="majorHAnsi" w:hAnsiTheme="majorHAnsi" w:cs="Arial"/>
          <w:sz w:val="20"/>
          <w:szCs w:val="20"/>
          <w:lang w:val="es-UY"/>
        </w:rPr>
        <w:t xml:space="preserve"> emita una </w:t>
      </w:r>
      <w:r w:rsidR="00B25489" w:rsidRPr="00A60069">
        <w:rPr>
          <w:rFonts w:asciiTheme="majorHAnsi" w:hAnsiTheme="majorHAnsi" w:cs="Arial"/>
          <w:sz w:val="20"/>
          <w:szCs w:val="20"/>
          <w:lang w:val="es-UY"/>
        </w:rPr>
        <w:t>contest</w:t>
      </w:r>
      <w:r w:rsidR="006F0393" w:rsidRPr="00A60069">
        <w:rPr>
          <w:rFonts w:asciiTheme="majorHAnsi" w:hAnsiTheme="majorHAnsi" w:cs="Arial"/>
          <w:sz w:val="20"/>
          <w:szCs w:val="20"/>
          <w:lang w:val="es-UY"/>
        </w:rPr>
        <w:t xml:space="preserve">ación </w:t>
      </w:r>
      <w:r w:rsidR="009C2218" w:rsidRPr="00A60069">
        <w:rPr>
          <w:rFonts w:asciiTheme="majorHAnsi" w:hAnsiTheme="majorHAnsi" w:cs="Arial"/>
          <w:sz w:val="20"/>
          <w:szCs w:val="20"/>
          <w:lang w:val="es-UY"/>
        </w:rPr>
        <w:t>al respecto, m</w:t>
      </w:r>
      <w:r w:rsidR="0093641B" w:rsidRPr="00A60069">
        <w:rPr>
          <w:rFonts w:asciiTheme="majorHAnsi" w:hAnsiTheme="majorHAnsi" w:cs="Arial"/>
          <w:sz w:val="20"/>
          <w:szCs w:val="20"/>
          <w:lang w:val="es-UY"/>
        </w:rPr>
        <w:t xml:space="preserve">isma que presentó oportunamente. </w:t>
      </w:r>
      <w:r w:rsidR="00150E17" w:rsidRPr="00A60069">
        <w:rPr>
          <w:rFonts w:asciiTheme="majorHAnsi" w:hAnsiTheme="majorHAnsi" w:cs="Arial"/>
          <w:sz w:val="20"/>
          <w:szCs w:val="20"/>
          <w:lang w:val="es-UY"/>
        </w:rPr>
        <w:t>El peticionario manifiesta que</w:t>
      </w:r>
      <w:r w:rsidR="007D524A" w:rsidRPr="00A60069">
        <w:rPr>
          <w:rFonts w:asciiTheme="majorHAnsi" w:hAnsiTheme="majorHAnsi" w:cs="Arial"/>
          <w:sz w:val="20"/>
          <w:szCs w:val="20"/>
          <w:lang w:val="es-UY"/>
        </w:rPr>
        <w:t>,</w:t>
      </w:r>
      <w:r w:rsidR="006A7963" w:rsidRPr="00A60069">
        <w:rPr>
          <w:rFonts w:asciiTheme="majorHAnsi" w:hAnsiTheme="majorHAnsi" w:cs="Arial"/>
          <w:sz w:val="20"/>
          <w:szCs w:val="20"/>
          <w:lang w:val="es-UY"/>
        </w:rPr>
        <w:t xml:space="preserve"> de forma injusta</w:t>
      </w:r>
      <w:r w:rsidR="007D524A" w:rsidRPr="00A60069">
        <w:rPr>
          <w:rFonts w:asciiTheme="majorHAnsi" w:hAnsiTheme="majorHAnsi" w:cs="Arial"/>
          <w:sz w:val="20"/>
          <w:szCs w:val="20"/>
          <w:lang w:val="es-UY"/>
        </w:rPr>
        <w:t>,</w:t>
      </w:r>
      <w:r w:rsidR="00150E17" w:rsidRPr="00A60069">
        <w:rPr>
          <w:rFonts w:asciiTheme="majorHAnsi" w:hAnsiTheme="majorHAnsi" w:cs="Arial"/>
          <w:sz w:val="20"/>
          <w:szCs w:val="20"/>
          <w:lang w:val="es-UY"/>
        </w:rPr>
        <w:t xml:space="preserve"> </w:t>
      </w:r>
      <w:r w:rsidR="00B25489" w:rsidRPr="00A60069">
        <w:rPr>
          <w:rFonts w:asciiTheme="majorHAnsi" w:hAnsiTheme="majorHAnsi" w:cs="Arial"/>
          <w:sz w:val="20"/>
          <w:szCs w:val="20"/>
          <w:lang w:val="es-UY"/>
        </w:rPr>
        <w:t xml:space="preserve">el 9 de septiembre de 1999 </w:t>
      </w:r>
      <w:r w:rsidR="00C10C59" w:rsidRPr="00A60069">
        <w:rPr>
          <w:rFonts w:asciiTheme="majorHAnsi" w:hAnsiTheme="majorHAnsi" w:cs="Arial"/>
          <w:sz w:val="20"/>
          <w:szCs w:val="20"/>
          <w:lang w:val="es-UY"/>
        </w:rPr>
        <w:t>la Cámara de Apelaciones</w:t>
      </w:r>
      <w:r w:rsidR="004D6C96" w:rsidRPr="00A60069">
        <w:rPr>
          <w:rFonts w:asciiTheme="majorHAnsi" w:hAnsiTheme="majorHAnsi" w:cs="Arial"/>
          <w:sz w:val="20"/>
          <w:szCs w:val="20"/>
          <w:lang w:val="es-UY"/>
        </w:rPr>
        <w:t xml:space="preserve"> </w:t>
      </w:r>
      <w:r w:rsidR="00B25489" w:rsidRPr="00A60069">
        <w:rPr>
          <w:rFonts w:asciiTheme="majorHAnsi" w:hAnsiTheme="majorHAnsi" w:cs="Arial"/>
          <w:sz w:val="20"/>
          <w:szCs w:val="20"/>
          <w:lang w:val="es-UY"/>
        </w:rPr>
        <w:t xml:space="preserve">ordenó la modificación de la </w:t>
      </w:r>
      <w:r w:rsidR="00A977BA" w:rsidRPr="00A60069">
        <w:rPr>
          <w:rFonts w:asciiTheme="majorHAnsi" w:hAnsiTheme="majorHAnsi" w:cs="Arial"/>
          <w:sz w:val="20"/>
          <w:szCs w:val="20"/>
          <w:lang w:val="es-UY"/>
        </w:rPr>
        <w:t>sentencia de primera instancia</w:t>
      </w:r>
      <w:r w:rsidR="00150E17" w:rsidRPr="00A60069">
        <w:rPr>
          <w:rFonts w:asciiTheme="majorHAnsi" w:hAnsiTheme="majorHAnsi" w:cs="Arial"/>
          <w:sz w:val="20"/>
          <w:szCs w:val="20"/>
          <w:lang w:val="es-UY"/>
        </w:rPr>
        <w:t>,</w:t>
      </w:r>
      <w:r w:rsidR="00A977BA" w:rsidRPr="00A60069">
        <w:rPr>
          <w:rFonts w:asciiTheme="majorHAnsi" w:hAnsiTheme="majorHAnsi" w:cs="Arial"/>
          <w:sz w:val="20"/>
          <w:szCs w:val="20"/>
          <w:lang w:val="es-UY"/>
        </w:rPr>
        <w:t xml:space="preserve"> extendiendo la multa</w:t>
      </w:r>
      <w:r w:rsidR="00150E17" w:rsidRPr="00A60069">
        <w:rPr>
          <w:rFonts w:asciiTheme="majorHAnsi" w:hAnsiTheme="majorHAnsi" w:cs="Arial"/>
          <w:sz w:val="20"/>
          <w:szCs w:val="20"/>
          <w:lang w:val="es-UY"/>
        </w:rPr>
        <w:t xml:space="preserve"> inicial</w:t>
      </w:r>
      <w:r w:rsidR="00A977BA" w:rsidRPr="00A60069">
        <w:rPr>
          <w:rFonts w:asciiTheme="majorHAnsi" w:hAnsiTheme="majorHAnsi" w:cs="Arial"/>
          <w:sz w:val="20"/>
          <w:szCs w:val="20"/>
          <w:lang w:val="es-UY"/>
        </w:rPr>
        <w:t xml:space="preserve"> en su perjuicio</w:t>
      </w:r>
      <w:r w:rsidR="00B25489" w:rsidRPr="00A60069">
        <w:rPr>
          <w:rFonts w:asciiTheme="majorHAnsi" w:hAnsiTheme="majorHAnsi" w:cs="Arial"/>
          <w:sz w:val="20"/>
          <w:szCs w:val="20"/>
          <w:lang w:val="es-UY"/>
        </w:rPr>
        <w:t>.</w:t>
      </w:r>
    </w:p>
    <w:p w:rsidR="005E1B20" w:rsidRPr="00A60069" w:rsidRDefault="00D6283F" w:rsidP="005E1B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sidRPr="00A60069">
        <w:rPr>
          <w:rFonts w:asciiTheme="majorHAnsi" w:hAnsiTheme="majorHAnsi" w:cs="Arial"/>
          <w:sz w:val="20"/>
          <w:szCs w:val="20"/>
          <w:lang w:val="es-UY"/>
        </w:rPr>
        <w:t xml:space="preserve"> </w:t>
      </w:r>
      <w:r w:rsidR="001B7867" w:rsidRPr="00A60069">
        <w:rPr>
          <w:rFonts w:asciiTheme="majorHAnsi" w:hAnsiTheme="majorHAnsi" w:cs="Arial"/>
          <w:sz w:val="20"/>
          <w:szCs w:val="20"/>
          <w:lang w:val="es-UY"/>
        </w:rPr>
        <w:t xml:space="preserve"> </w:t>
      </w:r>
      <w:r w:rsidR="006A7963" w:rsidRPr="00A60069">
        <w:rPr>
          <w:rFonts w:asciiTheme="majorHAnsi" w:hAnsiTheme="majorHAnsi" w:cs="Arial"/>
          <w:sz w:val="20"/>
          <w:szCs w:val="20"/>
          <w:lang w:val="es-UY"/>
        </w:rPr>
        <w:t xml:space="preserve">Contra dicha </w:t>
      </w:r>
      <w:r w:rsidR="00970AFC" w:rsidRPr="00A60069">
        <w:rPr>
          <w:rFonts w:asciiTheme="majorHAnsi" w:hAnsiTheme="majorHAnsi" w:cs="Arial"/>
          <w:sz w:val="20"/>
          <w:szCs w:val="20"/>
          <w:lang w:val="es-UY"/>
        </w:rPr>
        <w:t>decisión</w:t>
      </w:r>
      <w:r w:rsidR="006A7963" w:rsidRPr="00A60069">
        <w:rPr>
          <w:rFonts w:asciiTheme="majorHAnsi" w:hAnsiTheme="majorHAnsi" w:cs="Arial"/>
          <w:sz w:val="20"/>
          <w:szCs w:val="20"/>
          <w:lang w:val="es-UY"/>
        </w:rPr>
        <w:t xml:space="preserve"> y ante la inexistencia de un recurso idóneo, </w:t>
      </w:r>
      <w:r w:rsidR="009E02C6" w:rsidRPr="00A60069">
        <w:rPr>
          <w:rFonts w:asciiTheme="majorHAnsi" w:hAnsiTheme="majorHAnsi" w:cs="Arial"/>
          <w:sz w:val="20"/>
          <w:szCs w:val="20"/>
          <w:lang w:val="es-UY"/>
        </w:rPr>
        <w:t>el petici</w:t>
      </w:r>
      <w:r w:rsidR="008542B1" w:rsidRPr="00A60069">
        <w:rPr>
          <w:rFonts w:asciiTheme="majorHAnsi" w:hAnsiTheme="majorHAnsi" w:cs="Arial"/>
          <w:sz w:val="20"/>
          <w:szCs w:val="20"/>
          <w:lang w:val="es-UY"/>
        </w:rPr>
        <w:t xml:space="preserve">onario </w:t>
      </w:r>
      <w:r w:rsidR="00B25489" w:rsidRPr="00A60069">
        <w:rPr>
          <w:rFonts w:asciiTheme="majorHAnsi" w:hAnsiTheme="majorHAnsi" w:cs="Arial"/>
          <w:sz w:val="20"/>
          <w:szCs w:val="20"/>
          <w:lang w:val="es-UY"/>
        </w:rPr>
        <w:t>interpuso un recurso extraordinario el 13 de octu</w:t>
      </w:r>
      <w:r w:rsidR="00A977BA" w:rsidRPr="00A60069">
        <w:rPr>
          <w:rFonts w:asciiTheme="majorHAnsi" w:hAnsiTheme="majorHAnsi" w:cs="Arial"/>
          <w:sz w:val="20"/>
          <w:szCs w:val="20"/>
          <w:lang w:val="es-UY"/>
        </w:rPr>
        <w:t xml:space="preserve">bre de 1999 </w:t>
      </w:r>
      <w:r w:rsidR="00C02534" w:rsidRPr="00A60069">
        <w:rPr>
          <w:rFonts w:asciiTheme="majorHAnsi" w:hAnsiTheme="majorHAnsi" w:cs="Arial"/>
          <w:sz w:val="20"/>
          <w:szCs w:val="20"/>
          <w:lang w:val="es-UY"/>
        </w:rPr>
        <w:t>alegando su arbitrariedad y</w:t>
      </w:r>
      <w:r w:rsidR="00F01E40" w:rsidRPr="00A60069">
        <w:rPr>
          <w:rFonts w:asciiTheme="majorHAnsi" w:hAnsiTheme="majorHAnsi" w:cs="Arial"/>
          <w:sz w:val="20"/>
          <w:szCs w:val="20"/>
          <w:lang w:val="es-UY"/>
        </w:rPr>
        <w:t xml:space="preserve"> solicitó</w:t>
      </w:r>
      <w:r w:rsidR="00B25489" w:rsidRPr="00A60069">
        <w:rPr>
          <w:rFonts w:asciiTheme="majorHAnsi" w:hAnsiTheme="majorHAnsi" w:cs="Arial"/>
          <w:sz w:val="20"/>
          <w:szCs w:val="20"/>
          <w:lang w:val="es-UY"/>
        </w:rPr>
        <w:t xml:space="preserve"> la remisión de las actuaciones a la Corte Suprema para su resolución. </w:t>
      </w:r>
      <w:r w:rsidR="00B745B7" w:rsidRPr="00A60069">
        <w:rPr>
          <w:rFonts w:asciiTheme="majorHAnsi" w:hAnsiTheme="majorHAnsi" w:cs="Arial"/>
          <w:sz w:val="20"/>
          <w:szCs w:val="20"/>
          <w:lang w:val="es-UY"/>
        </w:rPr>
        <w:t>No obstante, la</w:t>
      </w:r>
      <w:r w:rsidR="001A68F8" w:rsidRPr="00A60069">
        <w:rPr>
          <w:rFonts w:asciiTheme="majorHAnsi" w:hAnsiTheme="majorHAnsi" w:cs="Arial"/>
          <w:sz w:val="20"/>
          <w:szCs w:val="20"/>
          <w:lang w:val="es-UY"/>
        </w:rPr>
        <w:t xml:space="preserve"> </w:t>
      </w:r>
      <w:r w:rsidR="00C10C59" w:rsidRPr="00A60069">
        <w:rPr>
          <w:rFonts w:asciiTheme="majorHAnsi" w:hAnsiTheme="majorHAnsi" w:cs="Arial"/>
          <w:sz w:val="20"/>
          <w:szCs w:val="20"/>
          <w:lang w:val="es-UY"/>
        </w:rPr>
        <w:t>Cámara de</w:t>
      </w:r>
      <w:r w:rsidR="001A68F8" w:rsidRPr="00A60069">
        <w:rPr>
          <w:rFonts w:asciiTheme="majorHAnsi" w:hAnsiTheme="majorHAnsi" w:cs="Arial"/>
          <w:sz w:val="20"/>
          <w:szCs w:val="20"/>
          <w:lang w:val="es-UY"/>
        </w:rPr>
        <w:t xml:space="preserve"> Apelaciones </w:t>
      </w:r>
      <w:r w:rsidR="00B745B7" w:rsidRPr="00A60069">
        <w:rPr>
          <w:rFonts w:asciiTheme="majorHAnsi" w:hAnsiTheme="majorHAnsi" w:cs="Arial"/>
          <w:sz w:val="20"/>
          <w:szCs w:val="20"/>
          <w:lang w:val="es-UY"/>
        </w:rPr>
        <w:t xml:space="preserve">desestimó el </w:t>
      </w:r>
      <w:r w:rsidR="00970AFC" w:rsidRPr="00A60069">
        <w:rPr>
          <w:rFonts w:asciiTheme="majorHAnsi" w:hAnsiTheme="majorHAnsi" w:cs="Arial"/>
          <w:sz w:val="20"/>
          <w:szCs w:val="20"/>
          <w:lang w:val="es-UY"/>
        </w:rPr>
        <w:t>recurso extraordinario</w:t>
      </w:r>
      <w:r w:rsidR="00B745B7" w:rsidRPr="00A60069">
        <w:rPr>
          <w:rFonts w:asciiTheme="majorHAnsi" w:hAnsiTheme="majorHAnsi" w:cs="Arial"/>
          <w:sz w:val="20"/>
          <w:szCs w:val="20"/>
          <w:lang w:val="es-UY"/>
        </w:rPr>
        <w:t xml:space="preserve"> </w:t>
      </w:r>
      <w:r w:rsidR="00912494" w:rsidRPr="00A60069">
        <w:rPr>
          <w:rFonts w:asciiTheme="majorHAnsi" w:hAnsiTheme="majorHAnsi" w:cs="Arial"/>
          <w:sz w:val="20"/>
          <w:szCs w:val="20"/>
          <w:lang w:val="es-UY"/>
        </w:rPr>
        <w:t>el</w:t>
      </w:r>
      <w:r w:rsidR="00B745B7" w:rsidRPr="00A60069">
        <w:rPr>
          <w:rFonts w:asciiTheme="majorHAnsi" w:hAnsiTheme="majorHAnsi" w:cs="Arial"/>
          <w:sz w:val="20"/>
          <w:szCs w:val="20"/>
          <w:lang w:val="es-UY"/>
        </w:rPr>
        <w:t xml:space="preserve"> </w:t>
      </w:r>
      <w:r w:rsidR="00B25489" w:rsidRPr="00A60069">
        <w:rPr>
          <w:rFonts w:asciiTheme="majorHAnsi" w:hAnsiTheme="majorHAnsi" w:cs="Arial"/>
          <w:sz w:val="20"/>
          <w:szCs w:val="20"/>
          <w:lang w:val="es-UY"/>
        </w:rPr>
        <w:t>15 de diciembre</w:t>
      </w:r>
      <w:r w:rsidR="00B745B7" w:rsidRPr="00A60069">
        <w:rPr>
          <w:rFonts w:asciiTheme="majorHAnsi" w:hAnsiTheme="majorHAnsi" w:cs="Arial"/>
          <w:sz w:val="20"/>
          <w:szCs w:val="20"/>
          <w:lang w:val="es-UY"/>
        </w:rPr>
        <w:t xml:space="preserve"> de 1999</w:t>
      </w:r>
      <w:r w:rsidR="00796482" w:rsidRPr="00A60069">
        <w:rPr>
          <w:rFonts w:asciiTheme="majorHAnsi" w:hAnsiTheme="majorHAnsi" w:cs="Arial"/>
          <w:sz w:val="20"/>
          <w:szCs w:val="20"/>
          <w:lang w:val="es-UY"/>
        </w:rPr>
        <w:t>,</w:t>
      </w:r>
      <w:r w:rsidR="00C10C59" w:rsidRPr="00A60069">
        <w:rPr>
          <w:rFonts w:asciiTheme="majorHAnsi" w:hAnsiTheme="majorHAnsi" w:cs="Arial"/>
          <w:sz w:val="20"/>
          <w:szCs w:val="20"/>
          <w:lang w:val="es-UY"/>
        </w:rPr>
        <w:t xml:space="preserve"> argumentando que </w:t>
      </w:r>
      <w:r w:rsidR="00651338" w:rsidRPr="00A60069">
        <w:rPr>
          <w:rFonts w:asciiTheme="majorHAnsi" w:hAnsiTheme="majorHAnsi" w:cs="Arial"/>
          <w:sz w:val="20"/>
          <w:szCs w:val="20"/>
          <w:lang w:val="es-UY"/>
        </w:rPr>
        <w:t xml:space="preserve">la imposición de multas como consecuencia de una inconducta </w:t>
      </w:r>
      <w:r w:rsidR="00796482" w:rsidRPr="00A60069">
        <w:rPr>
          <w:rFonts w:asciiTheme="majorHAnsi" w:hAnsiTheme="majorHAnsi" w:cs="Arial"/>
          <w:sz w:val="20"/>
          <w:szCs w:val="20"/>
          <w:lang w:val="es-UY"/>
        </w:rPr>
        <w:t>procesal constituye una facultad</w:t>
      </w:r>
      <w:r w:rsidR="00651338" w:rsidRPr="00A60069">
        <w:rPr>
          <w:rFonts w:asciiTheme="majorHAnsi" w:hAnsiTheme="majorHAnsi" w:cs="Arial"/>
          <w:sz w:val="20"/>
          <w:szCs w:val="20"/>
          <w:lang w:val="es-UY"/>
        </w:rPr>
        <w:t xml:space="preserve"> privativa de los magistrados que intervienen en el pleito y no es revisable por la Corte Suprema</w:t>
      </w:r>
      <w:r w:rsidR="001E769A" w:rsidRPr="00A60069">
        <w:rPr>
          <w:rFonts w:asciiTheme="majorHAnsi" w:hAnsiTheme="majorHAnsi" w:cs="Arial"/>
          <w:sz w:val="20"/>
          <w:szCs w:val="20"/>
          <w:lang w:val="es-UY"/>
        </w:rPr>
        <w:t>,</w:t>
      </w:r>
      <w:r w:rsidR="00651338" w:rsidRPr="00A60069">
        <w:rPr>
          <w:rFonts w:asciiTheme="majorHAnsi" w:hAnsiTheme="majorHAnsi" w:cs="Arial"/>
          <w:sz w:val="20"/>
          <w:szCs w:val="20"/>
          <w:lang w:val="es-UY"/>
        </w:rPr>
        <w:t xml:space="preserve"> dado que es una cuestión de hecho y derecho procesal</w:t>
      </w:r>
      <w:r w:rsidR="00C10C59" w:rsidRPr="00A60069">
        <w:rPr>
          <w:rFonts w:asciiTheme="majorHAnsi" w:hAnsiTheme="majorHAnsi" w:cs="Arial"/>
          <w:sz w:val="20"/>
          <w:szCs w:val="20"/>
          <w:lang w:val="es-UY"/>
        </w:rPr>
        <w:t>,</w:t>
      </w:r>
      <w:r w:rsidR="00651338" w:rsidRPr="00A60069">
        <w:rPr>
          <w:rFonts w:asciiTheme="majorHAnsi" w:hAnsiTheme="majorHAnsi" w:cs="Arial"/>
          <w:sz w:val="20"/>
          <w:szCs w:val="20"/>
          <w:lang w:val="es-UY"/>
        </w:rPr>
        <w:t xml:space="preserve"> aun cuando el tribunal de alzada haya procedido de oficio a la comprobación de los extremos legales que lo llevan a desestimar el recurso extraordinario interpuesto contra la s</w:t>
      </w:r>
      <w:r w:rsidR="00FC32B4" w:rsidRPr="00A60069">
        <w:rPr>
          <w:rFonts w:asciiTheme="majorHAnsi" w:hAnsiTheme="majorHAnsi" w:cs="Arial"/>
          <w:sz w:val="20"/>
          <w:szCs w:val="20"/>
          <w:lang w:val="es-UY"/>
        </w:rPr>
        <w:t>anción aplicada.</w:t>
      </w:r>
    </w:p>
    <w:p w:rsidR="003120F2" w:rsidRPr="00A60069" w:rsidRDefault="004D39F3" w:rsidP="005E1B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sidRPr="00A60069">
        <w:rPr>
          <w:rFonts w:asciiTheme="majorHAnsi" w:hAnsiTheme="majorHAnsi" w:cs="Arial"/>
          <w:sz w:val="20"/>
          <w:szCs w:val="20"/>
          <w:lang w:val="es-UY"/>
        </w:rPr>
        <w:t>E</w:t>
      </w:r>
      <w:r w:rsidR="00B25489" w:rsidRPr="00A60069">
        <w:rPr>
          <w:rFonts w:asciiTheme="majorHAnsi" w:hAnsiTheme="majorHAnsi" w:cs="Arial"/>
          <w:sz w:val="20"/>
          <w:szCs w:val="20"/>
          <w:lang w:val="es-UY"/>
        </w:rPr>
        <w:t xml:space="preserve">l peticionario alega que </w:t>
      </w:r>
      <w:r w:rsidR="00D217E8" w:rsidRPr="00A60069">
        <w:rPr>
          <w:rFonts w:asciiTheme="majorHAnsi" w:hAnsiTheme="majorHAnsi" w:cs="Arial"/>
          <w:sz w:val="20"/>
          <w:szCs w:val="20"/>
          <w:lang w:val="es-UY"/>
        </w:rPr>
        <w:t xml:space="preserve">siendo </w:t>
      </w:r>
      <w:r w:rsidR="00796482" w:rsidRPr="00A60069">
        <w:rPr>
          <w:rFonts w:asciiTheme="majorHAnsi" w:hAnsiTheme="majorHAnsi" w:cs="Arial"/>
          <w:sz w:val="20"/>
          <w:szCs w:val="20"/>
          <w:lang w:val="es-UY"/>
        </w:rPr>
        <w:t>aquella</w:t>
      </w:r>
      <w:r w:rsidR="00D217E8" w:rsidRPr="00A60069">
        <w:rPr>
          <w:rFonts w:asciiTheme="majorHAnsi" w:hAnsiTheme="majorHAnsi" w:cs="Arial"/>
          <w:sz w:val="20"/>
          <w:szCs w:val="20"/>
          <w:lang w:val="es-UY"/>
        </w:rPr>
        <w:t xml:space="preserve"> </w:t>
      </w:r>
      <w:r w:rsidR="00970AFC" w:rsidRPr="00A60069">
        <w:rPr>
          <w:rFonts w:asciiTheme="majorHAnsi" w:hAnsiTheme="majorHAnsi" w:cs="Arial"/>
          <w:sz w:val="20"/>
          <w:szCs w:val="20"/>
          <w:lang w:val="es-UY"/>
        </w:rPr>
        <w:t xml:space="preserve">la </w:t>
      </w:r>
      <w:r w:rsidR="006A7963" w:rsidRPr="00A60069">
        <w:rPr>
          <w:rFonts w:asciiTheme="majorHAnsi" w:hAnsiTheme="majorHAnsi" w:cs="Arial"/>
          <w:sz w:val="20"/>
          <w:szCs w:val="20"/>
          <w:lang w:val="es-UY"/>
        </w:rPr>
        <w:t>última</w:t>
      </w:r>
      <w:r w:rsidR="00D217E8" w:rsidRPr="00A60069">
        <w:rPr>
          <w:rFonts w:asciiTheme="majorHAnsi" w:hAnsiTheme="majorHAnsi" w:cs="Arial"/>
          <w:sz w:val="20"/>
          <w:szCs w:val="20"/>
          <w:lang w:val="es-UY"/>
        </w:rPr>
        <w:t xml:space="preserve"> vía </w:t>
      </w:r>
      <w:r w:rsidR="006A7963" w:rsidRPr="00A60069">
        <w:rPr>
          <w:rFonts w:asciiTheme="majorHAnsi" w:hAnsiTheme="majorHAnsi" w:cs="Arial"/>
          <w:sz w:val="20"/>
          <w:szCs w:val="20"/>
          <w:lang w:val="es-UY"/>
        </w:rPr>
        <w:t>disponible</w:t>
      </w:r>
      <w:r w:rsidR="00D217E8" w:rsidRPr="00A60069">
        <w:rPr>
          <w:rFonts w:asciiTheme="majorHAnsi" w:hAnsiTheme="majorHAnsi" w:cs="Arial"/>
          <w:sz w:val="20"/>
          <w:szCs w:val="20"/>
          <w:lang w:val="es-UY"/>
        </w:rPr>
        <w:t>,</w:t>
      </w:r>
      <w:r w:rsidR="00B25489" w:rsidRPr="00A60069">
        <w:rPr>
          <w:rFonts w:asciiTheme="majorHAnsi" w:hAnsiTheme="majorHAnsi" w:cs="Arial"/>
          <w:sz w:val="20"/>
          <w:szCs w:val="20"/>
          <w:lang w:val="es-UY"/>
        </w:rPr>
        <w:t xml:space="preserve"> el 28 de diciembre de 1999</w:t>
      </w:r>
      <w:r w:rsidR="000B007A" w:rsidRPr="00A60069">
        <w:rPr>
          <w:rFonts w:asciiTheme="majorHAnsi" w:hAnsiTheme="majorHAnsi" w:cs="Arial"/>
          <w:sz w:val="20"/>
          <w:szCs w:val="20"/>
          <w:lang w:val="es-UY"/>
        </w:rPr>
        <w:t xml:space="preserve"> </w:t>
      </w:r>
      <w:r w:rsidR="00B25489" w:rsidRPr="00A60069">
        <w:rPr>
          <w:rFonts w:asciiTheme="majorHAnsi" w:hAnsiTheme="majorHAnsi" w:cs="Arial"/>
          <w:sz w:val="20"/>
          <w:szCs w:val="20"/>
          <w:lang w:val="es-UY"/>
        </w:rPr>
        <w:t xml:space="preserve">interpuso </w:t>
      </w:r>
      <w:r w:rsidRPr="00A60069">
        <w:rPr>
          <w:rFonts w:asciiTheme="majorHAnsi" w:hAnsiTheme="majorHAnsi" w:cs="Arial"/>
          <w:sz w:val="20"/>
          <w:szCs w:val="20"/>
          <w:lang w:val="es-UY"/>
        </w:rPr>
        <w:t>un recurso de queja por la denega</w:t>
      </w:r>
      <w:r w:rsidR="000B007A" w:rsidRPr="00A60069">
        <w:rPr>
          <w:rFonts w:asciiTheme="majorHAnsi" w:hAnsiTheme="majorHAnsi" w:cs="Arial"/>
          <w:sz w:val="20"/>
          <w:szCs w:val="20"/>
          <w:lang w:val="es-UY"/>
        </w:rPr>
        <w:t>ción del recurso extraordinario</w:t>
      </w:r>
      <w:r w:rsidRPr="00A60069">
        <w:rPr>
          <w:rFonts w:asciiTheme="majorHAnsi" w:hAnsiTheme="majorHAnsi" w:cs="Arial"/>
          <w:sz w:val="20"/>
          <w:szCs w:val="20"/>
          <w:lang w:val="es-UY"/>
        </w:rPr>
        <w:t xml:space="preserve"> </w:t>
      </w:r>
      <w:r w:rsidR="00B25489" w:rsidRPr="00A60069">
        <w:rPr>
          <w:rFonts w:asciiTheme="majorHAnsi" w:hAnsiTheme="majorHAnsi" w:cs="Arial"/>
          <w:sz w:val="20"/>
          <w:szCs w:val="20"/>
          <w:lang w:val="es-UY"/>
        </w:rPr>
        <w:t xml:space="preserve">ante la Corte </w:t>
      </w:r>
      <w:r w:rsidR="00796482" w:rsidRPr="00A60069">
        <w:rPr>
          <w:rFonts w:asciiTheme="majorHAnsi" w:hAnsiTheme="majorHAnsi" w:cs="Arial"/>
          <w:sz w:val="20"/>
          <w:szCs w:val="20"/>
          <w:lang w:val="es-UY"/>
        </w:rPr>
        <w:t>Suprema</w:t>
      </w:r>
      <w:r w:rsidR="00D217E8" w:rsidRPr="00A60069">
        <w:rPr>
          <w:rFonts w:asciiTheme="majorHAnsi" w:hAnsiTheme="majorHAnsi" w:cs="Arial"/>
          <w:sz w:val="20"/>
          <w:szCs w:val="20"/>
          <w:lang w:val="es-UY"/>
        </w:rPr>
        <w:t xml:space="preserve">, </w:t>
      </w:r>
      <w:r w:rsidR="001E769A" w:rsidRPr="00A60069">
        <w:rPr>
          <w:rFonts w:asciiTheme="majorHAnsi" w:hAnsiTheme="majorHAnsi" w:cs="Arial"/>
          <w:sz w:val="20"/>
          <w:szCs w:val="20"/>
          <w:lang w:val="es-UY"/>
        </w:rPr>
        <w:t>el</w:t>
      </w:r>
      <w:r w:rsidR="00D217E8" w:rsidRPr="00A60069">
        <w:rPr>
          <w:rFonts w:asciiTheme="majorHAnsi" w:hAnsiTheme="majorHAnsi" w:cs="Arial"/>
          <w:sz w:val="20"/>
          <w:szCs w:val="20"/>
          <w:lang w:val="es-UY"/>
        </w:rPr>
        <w:t xml:space="preserve"> cual fue declarado inadmisible</w:t>
      </w:r>
      <w:r w:rsidR="001E769A" w:rsidRPr="00A60069">
        <w:rPr>
          <w:rFonts w:asciiTheme="majorHAnsi" w:hAnsiTheme="majorHAnsi" w:cs="Arial"/>
          <w:sz w:val="20"/>
          <w:szCs w:val="20"/>
          <w:lang w:val="es-UY"/>
        </w:rPr>
        <w:t xml:space="preserve"> </w:t>
      </w:r>
      <w:r w:rsidR="00A10AC2">
        <w:rPr>
          <w:rFonts w:asciiTheme="majorHAnsi" w:hAnsiTheme="majorHAnsi" w:cs="Arial"/>
          <w:sz w:val="20"/>
          <w:szCs w:val="20"/>
          <w:lang w:val="es-UY"/>
        </w:rPr>
        <w:t xml:space="preserve">mediante sentencia dictada el </w:t>
      </w:r>
      <w:r w:rsidR="00D217E8" w:rsidRPr="00A60069">
        <w:rPr>
          <w:rFonts w:asciiTheme="majorHAnsi" w:hAnsiTheme="majorHAnsi" w:cs="Arial"/>
          <w:sz w:val="20"/>
          <w:szCs w:val="20"/>
          <w:lang w:val="es-UY"/>
        </w:rPr>
        <w:t>2 de agosto de 2000</w:t>
      </w:r>
      <w:r w:rsidR="00A10AC2">
        <w:rPr>
          <w:rFonts w:asciiTheme="majorHAnsi" w:hAnsiTheme="majorHAnsi" w:cs="Arial"/>
          <w:sz w:val="20"/>
          <w:szCs w:val="20"/>
          <w:lang w:val="es-UY"/>
        </w:rPr>
        <w:t xml:space="preserve"> y notificada el 17 de agosto de 2000</w:t>
      </w:r>
      <w:r w:rsidR="002E4470" w:rsidRPr="00A60069">
        <w:rPr>
          <w:rFonts w:asciiTheme="majorHAnsi" w:hAnsiTheme="majorHAnsi" w:cs="Arial"/>
          <w:sz w:val="20"/>
          <w:szCs w:val="20"/>
          <w:lang w:val="es-UY"/>
        </w:rPr>
        <w:t xml:space="preserve">, </w:t>
      </w:r>
      <w:r w:rsidR="004B14D6" w:rsidRPr="00A60069">
        <w:rPr>
          <w:rFonts w:asciiTheme="majorHAnsi" w:hAnsiTheme="majorHAnsi" w:cs="Arial"/>
          <w:sz w:val="20"/>
          <w:szCs w:val="20"/>
          <w:lang w:val="es-UY"/>
        </w:rPr>
        <w:t>con base en las disposiciones contenidas en</w:t>
      </w:r>
      <w:r w:rsidR="002E4470" w:rsidRPr="00A60069">
        <w:rPr>
          <w:rFonts w:asciiTheme="majorHAnsi" w:hAnsiTheme="majorHAnsi" w:cs="Arial"/>
          <w:sz w:val="20"/>
          <w:szCs w:val="20"/>
          <w:lang w:val="es-UY"/>
        </w:rPr>
        <w:t xml:space="preserve"> el artículo </w:t>
      </w:r>
      <w:r w:rsidR="00C2184D" w:rsidRPr="00A60069">
        <w:rPr>
          <w:rFonts w:asciiTheme="majorHAnsi" w:hAnsiTheme="majorHAnsi" w:cs="Arial"/>
          <w:sz w:val="20"/>
          <w:szCs w:val="20"/>
          <w:lang w:val="es-UY"/>
        </w:rPr>
        <w:t xml:space="preserve"> 280 del Código Procesal Civil y Comercial de la Naci</w:t>
      </w:r>
      <w:r w:rsidR="00E21271" w:rsidRPr="00A60069">
        <w:rPr>
          <w:rFonts w:asciiTheme="majorHAnsi" w:hAnsiTheme="majorHAnsi" w:cs="Arial"/>
          <w:sz w:val="20"/>
          <w:szCs w:val="20"/>
          <w:lang w:val="es-UY"/>
        </w:rPr>
        <w:t>ón</w:t>
      </w:r>
      <w:r w:rsidR="005E1B20" w:rsidRPr="00A60069">
        <w:rPr>
          <w:rFonts w:asciiTheme="majorHAnsi" w:hAnsiTheme="majorHAnsi" w:cs="Arial"/>
          <w:sz w:val="20"/>
          <w:szCs w:val="20"/>
          <w:lang w:val="es-UY"/>
        </w:rPr>
        <w:t>.</w:t>
      </w:r>
      <w:r w:rsidR="005E1B20" w:rsidRPr="00A60069">
        <w:rPr>
          <w:rFonts w:ascii="Cambria" w:hAnsi="Cambria"/>
          <w:sz w:val="20"/>
          <w:szCs w:val="20"/>
          <w:lang w:val="es-UY"/>
        </w:rPr>
        <w:t xml:space="preserve"> </w:t>
      </w:r>
      <w:r w:rsidR="00323B34">
        <w:rPr>
          <w:rFonts w:ascii="Cambria" w:hAnsi="Cambria"/>
          <w:sz w:val="20"/>
          <w:szCs w:val="20"/>
          <w:lang w:val="es-UY"/>
        </w:rPr>
        <w:t>E</w:t>
      </w:r>
      <w:r w:rsidR="00DD705B">
        <w:rPr>
          <w:rFonts w:ascii="Cambria" w:hAnsi="Cambria"/>
          <w:sz w:val="20"/>
          <w:szCs w:val="20"/>
          <w:lang w:val="es-UY"/>
        </w:rPr>
        <w:t>ste artículo establece que: “[l]</w:t>
      </w:r>
      <w:r w:rsidR="00323B34" w:rsidRPr="00DD705B">
        <w:rPr>
          <w:rFonts w:ascii="Cambria" w:hAnsi="Cambria"/>
          <w:sz w:val="20"/>
          <w:szCs w:val="20"/>
          <w:lang w:val="es-UY"/>
        </w:rPr>
        <w:t>a Corte, según su sana discreción y con la sola invocación de ésta norma, podrá rechazar el recurso extraordinario, por falta de agravio federal suficiente o cuando las cuestiones planteadas resultaren insustanciales o carentes de trascendencia</w:t>
      </w:r>
      <w:r w:rsidR="00DD705B">
        <w:rPr>
          <w:rFonts w:ascii="Cambria" w:hAnsi="Cambria"/>
          <w:sz w:val="20"/>
          <w:szCs w:val="20"/>
          <w:lang w:val="es-UY"/>
        </w:rPr>
        <w:t>”</w:t>
      </w:r>
      <w:r w:rsidR="00323B34" w:rsidRPr="00DD705B">
        <w:rPr>
          <w:rFonts w:ascii="Cambria" w:hAnsi="Cambria"/>
          <w:sz w:val="20"/>
          <w:szCs w:val="20"/>
          <w:lang w:val="es-UY"/>
        </w:rPr>
        <w:t xml:space="preserve">. </w:t>
      </w:r>
      <w:r w:rsidR="005E1B20" w:rsidRPr="00A60069">
        <w:rPr>
          <w:rFonts w:ascii="Cambria" w:hAnsi="Cambria"/>
          <w:sz w:val="20"/>
          <w:szCs w:val="20"/>
          <w:lang w:val="es-UY"/>
        </w:rPr>
        <w:t xml:space="preserve">El peticionario considera que dicha discrecionalidad en la decisión permitió que la Corte Suprema falle con la más absoluta arbitrariedad en su caso, por lo que el recurso no fue efectivo. La presunta víctima sostiene además que contra dicha resolución no cabe recurso alguno. </w:t>
      </w:r>
    </w:p>
    <w:p w:rsidR="00EC7F2B" w:rsidRPr="00A60069" w:rsidRDefault="00054624" w:rsidP="00D9580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sidRPr="00A60069">
        <w:rPr>
          <w:rFonts w:asciiTheme="majorHAnsi" w:hAnsiTheme="majorHAnsi" w:cs="Arial"/>
          <w:sz w:val="20"/>
          <w:szCs w:val="20"/>
          <w:lang w:val="es-UY"/>
        </w:rPr>
        <w:t xml:space="preserve"> </w:t>
      </w:r>
      <w:r w:rsidR="00F749B3" w:rsidRPr="00A60069">
        <w:rPr>
          <w:rFonts w:asciiTheme="majorHAnsi" w:hAnsiTheme="majorHAnsi" w:cs="Arial"/>
          <w:sz w:val="20"/>
          <w:szCs w:val="20"/>
          <w:lang w:val="es-UY"/>
        </w:rPr>
        <w:t xml:space="preserve">El peticionario </w:t>
      </w:r>
      <w:r w:rsidR="00E21271" w:rsidRPr="00A60069">
        <w:rPr>
          <w:rFonts w:asciiTheme="majorHAnsi" w:hAnsiTheme="majorHAnsi" w:cs="Arial"/>
          <w:sz w:val="20"/>
          <w:szCs w:val="20"/>
          <w:lang w:val="es-UY"/>
        </w:rPr>
        <w:t>considera</w:t>
      </w:r>
      <w:r w:rsidR="00F749B3" w:rsidRPr="00A60069">
        <w:rPr>
          <w:rFonts w:asciiTheme="majorHAnsi" w:hAnsiTheme="majorHAnsi" w:cs="Arial"/>
          <w:sz w:val="20"/>
          <w:szCs w:val="20"/>
          <w:lang w:val="es-UY"/>
        </w:rPr>
        <w:t xml:space="preserve"> que</w:t>
      </w:r>
      <w:r w:rsidR="00912494" w:rsidRPr="00A60069">
        <w:rPr>
          <w:rFonts w:asciiTheme="majorHAnsi" w:hAnsiTheme="majorHAnsi" w:cs="Arial"/>
          <w:sz w:val="20"/>
          <w:szCs w:val="20"/>
          <w:lang w:val="es-UY"/>
        </w:rPr>
        <w:t xml:space="preserve"> la Cámara de Apelaciones</w:t>
      </w:r>
      <w:r w:rsidR="00A75B79" w:rsidRPr="00A60069">
        <w:rPr>
          <w:rFonts w:asciiTheme="majorHAnsi" w:hAnsiTheme="majorHAnsi" w:cs="Arial"/>
          <w:sz w:val="20"/>
          <w:szCs w:val="20"/>
          <w:lang w:val="es-UY"/>
        </w:rPr>
        <w:t xml:space="preserve"> vulneró</w:t>
      </w:r>
      <w:r w:rsidR="00F749B3" w:rsidRPr="00A60069">
        <w:rPr>
          <w:rFonts w:asciiTheme="majorHAnsi" w:hAnsiTheme="majorHAnsi" w:cs="Arial"/>
          <w:sz w:val="20"/>
          <w:szCs w:val="20"/>
          <w:lang w:val="es-UY"/>
        </w:rPr>
        <w:t xml:space="preserve"> su der</w:t>
      </w:r>
      <w:r w:rsidR="00A75B79" w:rsidRPr="00A60069">
        <w:rPr>
          <w:rFonts w:asciiTheme="majorHAnsi" w:hAnsiTheme="majorHAnsi" w:cs="Arial"/>
          <w:sz w:val="20"/>
          <w:szCs w:val="20"/>
          <w:lang w:val="es-UY"/>
        </w:rPr>
        <w:t>echo a las garantías judiciales</w:t>
      </w:r>
      <w:r w:rsidR="00C4592F" w:rsidRPr="00A60069">
        <w:rPr>
          <w:rFonts w:asciiTheme="majorHAnsi" w:hAnsiTheme="majorHAnsi" w:cs="Arial"/>
          <w:sz w:val="20"/>
          <w:szCs w:val="20"/>
          <w:lang w:val="es-UY"/>
        </w:rPr>
        <w:t>,</w:t>
      </w:r>
      <w:r w:rsidR="00F749B3" w:rsidRPr="00A60069">
        <w:rPr>
          <w:rFonts w:asciiTheme="majorHAnsi" w:hAnsiTheme="majorHAnsi" w:cs="Arial"/>
          <w:sz w:val="20"/>
          <w:szCs w:val="20"/>
          <w:lang w:val="es-UY"/>
        </w:rPr>
        <w:t xml:space="preserve"> debido a que únicam</w:t>
      </w:r>
      <w:r w:rsidR="00A75B79" w:rsidRPr="00A60069">
        <w:rPr>
          <w:rFonts w:asciiTheme="majorHAnsi" w:hAnsiTheme="majorHAnsi" w:cs="Arial"/>
          <w:sz w:val="20"/>
          <w:szCs w:val="20"/>
          <w:lang w:val="es-UY"/>
        </w:rPr>
        <w:t>ente pudo</w:t>
      </w:r>
      <w:r w:rsidR="003970C3" w:rsidRPr="00A60069">
        <w:rPr>
          <w:rFonts w:asciiTheme="majorHAnsi" w:hAnsiTheme="majorHAnsi" w:cs="Arial"/>
          <w:sz w:val="20"/>
          <w:szCs w:val="20"/>
          <w:lang w:val="es-UY"/>
        </w:rPr>
        <w:t xml:space="preserve"> contestar el</w:t>
      </w:r>
      <w:r w:rsidR="00912494" w:rsidRPr="00A60069">
        <w:rPr>
          <w:rFonts w:asciiTheme="majorHAnsi" w:hAnsiTheme="majorHAnsi" w:cs="Arial"/>
          <w:sz w:val="20"/>
          <w:szCs w:val="20"/>
          <w:lang w:val="es-UY"/>
        </w:rPr>
        <w:t xml:space="preserve"> traslado </w:t>
      </w:r>
      <w:r w:rsidR="003970C3" w:rsidRPr="00A60069">
        <w:rPr>
          <w:rFonts w:asciiTheme="majorHAnsi" w:hAnsiTheme="majorHAnsi" w:cs="Arial"/>
          <w:sz w:val="20"/>
          <w:szCs w:val="20"/>
          <w:lang w:val="es-UY"/>
        </w:rPr>
        <w:t xml:space="preserve">de la apelación </w:t>
      </w:r>
      <w:r w:rsidR="00912494" w:rsidRPr="00A60069">
        <w:rPr>
          <w:rFonts w:asciiTheme="majorHAnsi" w:hAnsiTheme="majorHAnsi" w:cs="Arial"/>
          <w:sz w:val="20"/>
          <w:szCs w:val="20"/>
          <w:lang w:val="es-UY"/>
        </w:rPr>
        <w:t>y no</w:t>
      </w:r>
      <w:r w:rsidR="00A75B79" w:rsidRPr="00A60069">
        <w:rPr>
          <w:rFonts w:asciiTheme="majorHAnsi" w:hAnsiTheme="majorHAnsi" w:cs="Arial"/>
          <w:sz w:val="20"/>
          <w:szCs w:val="20"/>
          <w:lang w:val="es-UY"/>
        </w:rPr>
        <w:t xml:space="preserve"> tuvo la posibilidad de ofrecer pruebas</w:t>
      </w:r>
      <w:r w:rsidR="003B2F8E" w:rsidRPr="00A60069">
        <w:rPr>
          <w:rFonts w:asciiTheme="majorHAnsi" w:hAnsiTheme="majorHAnsi" w:cs="Arial"/>
          <w:sz w:val="20"/>
          <w:szCs w:val="20"/>
          <w:lang w:val="es-UY"/>
        </w:rPr>
        <w:t xml:space="preserve">, puesto que no era parte </w:t>
      </w:r>
      <w:r w:rsidR="005D0AEE" w:rsidRPr="00A60069">
        <w:rPr>
          <w:rFonts w:asciiTheme="majorHAnsi" w:hAnsiTheme="majorHAnsi" w:cs="Arial"/>
          <w:sz w:val="20"/>
          <w:szCs w:val="20"/>
          <w:lang w:val="es-UY"/>
        </w:rPr>
        <w:t>en el proceso</w:t>
      </w:r>
      <w:r w:rsidR="00A75B79" w:rsidRPr="00A60069">
        <w:rPr>
          <w:rFonts w:asciiTheme="majorHAnsi" w:hAnsiTheme="majorHAnsi" w:cs="Arial"/>
          <w:sz w:val="20"/>
          <w:szCs w:val="20"/>
          <w:lang w:val="es-UY"/>
        </w:rPr>
        <w:t xml:space="preserve">. </w:t>
      </w:r>
      <w:r w:rsidR="00261FEF" w:rsidRPr="00A60069">
        <w:rPr>
          <w:rFonts w:asciiTheme="majorHAnsi" w:hAnsiTheme="majorHAnsi" w:cs="Arial"/>
          <w:sz w:val="20"/>
          <w:szCs w:val="20"/>
          <w:lang w:val="es-UY"/>
        </w:rPr>
        <w:t xml:space="preserve">En el mismo sentido, considera que </w:t>
      </w:r>
      <w:r w:rsidR="00F749B3" w:rsidRPr="00A60069">
        <w:rPr>
          <w:rFonts w:asciiTheme="majorHAnsi" w:hAnsiTheme="majorHAnsi" w:cs="Arial"/>
          <w:sz w:val="20"/>
          <w:szCs w:val="20"/>
          <w:lang w:val="es-UY"/>
        </w:rPr>
        <w:t>la Corte Suprema</w:t>
      </w:r>
      <w:r w:rsidR="00261FEF" w:rsidRPr="00A60069">
        <w:rPr>
          <w:rFonts w:asciiTheme="majorHAnsi" w:hAnsiTheme="majorHAnsi" w:cs="Arial"/>
          <w:sz w:val="20"/>
          <w:szCs w:val="20"/>
          <w:lang w:val="es-UY"/>
        </w:rPr>
        <w:t xml:space="preserve"> </w:t>
      </w:r>
      <w:r w:rsidR="00F749B3" w:rsidRPr="00A60069">
        <w:rPr>
          <w:rFonts w:asciiTheme="majorHAnsi" w:hAnsiTheme="majorHAnsi" w:cs="Arial"/>
          <w:sz w:val="20"/>
          <w:szCs w:val="20"/>
          <w:lang w:val="es-UY"/>
        </w:rPr>
        <w:t>viol</w:t>
      </w:r>
      <w:r w:rsidR="001859F3" w:rsidRPr="00A60069">
        <w:rPr>
          <w:rFonts w:asciiTheme="majorHAnsi" w:hAnsiTheme="majorHAnsi" w:cs="Arial"/>
          <w:sz w:val="20"/>
          <w:szCs w:val="20"/>
          <w:lang w:val="es-UY"/>
        </w:rPr>
        <w:t xml:space="preserve">ó las garantías del debido proceso pues </w:t>
      </w:r>
      <w:r w:rsidR="00F749B3" w:rsidRPr="00A60069">
        <w:rPr>
          <w:rFonts w:asciiTheme="majorHAnsi" w:hAnsiTheme="majorHAnsi" w:cs="Arial"/>
          <w:sz w:val="20"/>
          <w:szCs w:val="20"/>
          <w:lang w:val="es-UY"/>
        </w:rPr>
        <w:t>no</w:t>
      </w:r>
      <w:r w:rsidR="001859F3" w:rsidRPr="00A60069">
        <w:rPr>
          <w:rFonts w:asciiTheme="majorHAnsi" w:hAnsiTheme="majorHAnsi" w:cs="Arial"/>
          <w:sz w:val="20"/>
          <w:szCs w:val="20"/>
          <w:lang w:val="es-UY"/>
        </w:rPr>
        <w:t xml:space="preserve"> admitió la apertura de pruebas</w:t>
      </w:r>
      <w:r w:rsidR="00F749B3" w:rsidRPr="00A60069">
        <w:rPr>
          <w:rFonts w:asciiTheme="majorHAnsi" w:hAnsiTheme="majorHAnsi" w:cs="Arial"/>
          <w:sz w:val="20"/>
          <w:szCs w:val="20"/>
          <w:lang w:val="es-UY"/>
        </w:rPr>
        <w:t xml:space="preserve"> y </w:t>
      </w:r>
      <w:r w:rsidR="001859F3" w:rsidRPr="00A60069">
        <w:rPr>
          <w:rFonts w:asciiTheme="majorHAnsi" w:hAnsiTheme="majorHAnsi" w:cs="Arial"/>
          <w:sz w:val="20"/>
          <w:szCs w:val="20"/>
          <w:lang w:val="es-UY"/>
        </w:rPr>
        <w:t xml:space="preserve">desestimó </w:t>
      </w:r>
      <w:r w:rsidR="00261FEF" w:rsidRPr="00A60069">
        <w:rPr>
          <w:rFonts w:asciiTheme="majorHAnsi" w:hAnsiTheme="majorHAnsi" w:cs="Arial"/>
          <w:sz w:val="20"/>
          <w:szCs w:val="20"/>
          <w:lang w:val="es-UY"/>
        </w:rPr>
        <w:t>su petición de forma</w:t>
      </w:r>
      <w:r w:rsidR="00C4592F" w:rsidRPr="00A60069">
        <w:rPr>
          <w:rFonts w:asciiTheme="majorHAnsi" w:hAnsiTheme="majorHAnsi" w:cs="Arial"/>
          <w:sz w:val="20"/>
          <w:szCs w:val="20"/>
          <w:lang w:val="es-UY"/>
        </w:rPr>
        <w:t xml:space="preserve"> supuestamente</w:t>
      </w:r>
      <w:r w:rsidR="00261FEF" w:rsidRPr="00A60069">
        <w:rPr>
          <w:rFonts w:asciiTheme="majorHAnsi" w:hAnsiTheme="majorHAnsi" w:cs="Arial"/>
          <w:sz w:val="20"/>
          <w:szCs w:val="20"/>
          <w:lang w:val="es-UY"/>
        </w:rPr>
        <w:t xml:space="preserve"> arbitraria</w:t>
      </w:r>
      <w:r w:rsidR="00F749B3" w:rsidRPr="00A60069">
        <w:rPr>
          <w:rFonts w:asciiTheme="majorHAnsi" w:hAnsiTheme="majorHAnsi" w:cs="Arial"/>
          <w:sz w:val="20"/>
          <w:szCs w:val="20"/>
          <w:lang w:val="es-UY"/>
        </w:rPr>
        <w:t xml:space="preserve">. </w:t>
      </w:r>
    </w:p>
    <w:p w:rsidR="00F749B3" w:rsidRPr="00A60069" w:rsidRDefault="00F749B3" w:rsidP="00D9580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sidRPr="00A60069">
        <w:rPr>
          <w:rFonts w:asciiTheme="majorHAnsi" w:hAnsiTheme="majorHAnsi" w:cs="Arial"/>
          <w:sz w:val="20"/>
          <w:szCs w:val="20"/>
          <w:lang w:val="es-UY"/>
        </w:rPr>
        <w:t xml:space="preserve">De igual </w:t>
      </w:r>
      <w:r w:rsidR="001859F3" w:rsidRPr="00A60069">
        <w:rPr>
          <w:rFonts w:asciiTheme="majorHAnsi" w:hAnsiTheme="majorHAnsi" w:cs="Arial"/>
          <w:sz w:val="20"/>
          <w:szCs w:val="20"/>
          <w:lang w:val="es-UY"/>
        </w:rPr>
        <w:t>manera</w:t>
      </w:r>
      <w:r w:rsidRPr="00A60069">
        <w:rPr>
          <w:rFonts w:asciiTheme="majorHAnsi" w:hAnsiTheme="majorHAnsi" w:cs="Arial"/>
          <w:sz w:val="20"/>
          <w:szCs w:val="20"/>
          <w:lang w:val="es-UY"/>
        </w:rPr>
        <w:t xml:space="preserve">, el peticionario </w:t>
      </w:r>
      <w:r w:rsidR="00261FEF" w:rsidRPr="00A60069">
        <w:rPr>
          <w:rFonts w:asciiTheme="majorHAnsi" w:hAnsiTheme="majorHAnsi" w:cs="Arial"/>
          <w:sz w:val="20"/>
          <w:szCs w:val="20"/>
          <w:lang w:val="es-UY"/>
        </w:rPr>
        <w:t>considera</w:t>
      </w:r>
      <w:r w:rsidRPr="00A60069">
        <w:rPr>
          <w:rFonts w:asciiTheme="majorHAnsi" w:hAnsiTheme="majorHAnsi" w:cs="Arial"/>
          <w:sz w:val="20"/>
          <w:szCs w:val="20"/>
          <w:lang w:val="es-UY"/>
        </w:rPr>
        <w:t xml:space="preserve"> que </w:t>
      </w:r>
      <w:r w:rsidR="001859F3" w:rsidRPr="00A60069">
        <w:rPr>
          <w:rFonts w:asciiTheme="majorHAnsi" w:hAnsiTheme="majorHAnsi" w:cs="Arial"/>
          <w:sz w:val="20"/>
          <w:szCs w:val="20"/>
          <w:lang w:val="es-UY"/>
        </w:rPr>
        <w:t xml:space="preserve">el Estado </w:t>
      </w:r>
      <w:r w:rsidRPr="00A60069">
        <w:rPr>
          <w:rFonts w:asciiTheme="majorHAnsi" w:hAnsiTheme="majorHAnsi" w:cs="Arial"/>
          <w:sz w:val="20"/>
          <w:szCs w:val="20"/>
          <w:lang w:val="es-UY"/>
        </w:rPr>
        <w:t>viol</w:t>
      </w:r>
      <w:r w:rsidR="001859F3" w:rsidRPr="00A60069">
        <w:rPr>
          <w:rFonts w:asciiTheme="majorHAnsi" w:hAnsiTheme="majorHAnsi" w:cs="Arial"/>
          <w:sz w:val="20"/>
          <w:szCs w:val="20"/>
          <w:lang w:val="es-UY"/>
        </w:rPr>
        <w:t>ó</w:t>
      </w:r>
      <w:r w:rsidRPr="00A60069">
        <w:rPr>
          <w:rFonts w:asciiTheme="majorHAnsi" w:hAnsiTheme="majorHAnsi" w:cs="Arial"/>
          <w:sz w:val="20"/>
          <w:szCs w:val="20"/>
          <w:lang w:val="es-UY"/>
        </w:rPr>
        <w:t xml:space="preserve"> su derecho a la protección judicial debido a que</w:t>
      </w:r>
      <w:r w:rsidR="00261FEF" w:rsidRPr="00A60069">
        <w:rPr>
          <w:rFonts w:asciiTheme="majorHAnsi" w:hAnsiTheme="majorHAnsi" w:cs="Arial"/>
          <w:sz w:val="20"/>
          <w:szCs w:val="20"/>
          <w:lang w:val="es-UY"/>
        </w:rPr>
        <w:t xml:space="preserve"> en ningún momento</w:t>
      </w:r>
      <w:r w:rsidRPr="00A60069">
        <w:rPr>
          <w:rFonts w:asciiTheme="majorHAnsi" w:hAnsiTheme="majorHAnsi" w:cs="Arial"/>
          <w:sz w:val="20"/>
          <w:szCs w:val="20"/>
          <w:lang w:val="es-UY"/>
        </w:rPr>
        <w:t xml:space="preserve"> tuvo a su disposición un recurso </w:t>
      </w:r>
      <w:r w:rsidR="00261FEF" w:rsidRPr="00A60069">
        <w:rPr>
          <w:rFonts w:asciiTheme="majorHAnsi" w:hAnsiTheme="majorHAnsi" w:cs="Arial"/>
          <w:sz w:val="20"/>
          <w:szCs w:val="20"/>
          <w:lang w:val="es-UY"/>
        </w:rPr>
        <w:t xml:space="preserve">que fuera </w:t>
      </w:r>
      <w:r w:rsidR="00912494" w:rsidRPr="00A60069">
        <w:rPr>
          <w:rFonts w:asciiTheme="majorHAnsi" w:hAnsiTheme="majorHAnsi" w:cs="Arial"/>
          <w:sz w:val="20"/>
          <w:szCs w:val="20"/>
          <w:lang w:val="es-UY"/>
        </w:rPr>
        <w:t>adecuado y efectivo</w:t>
      </w:r>
      <w:r w:rsidR="001859F3" w:rsidRPr="00A60069">
        <w:rPr>
          <w:rFonts w:asciiTheme="majorHAnsi" w:hAnsiTheme="majorHAnsi" w:cs="Arial"/>
          <w:sz w:val="20"/>
          <w:szCs w:val="20"/>
          <w:lang w:val="es-UY"/>
        </w:rPr>
        <w:t xml:space="preserve"> para impugnar la decisión de la Cámara de Apelaciones y además porque </w:t>
      </w:r>
      <w:r w:rsidR="00241CDE" w:rsidRPr="00A60069">
        <w:rPr>
          <w:rFonts w:asciiTheme="majorHAnsi" w:hAnsiTheme="majorHAnsi" w:cs="Arial"/>
          <w:sz w:val="20"/>
          <w:szCs w:val="20"/>
          <w:lang w:val="es-UY"/>
        </w:rPr>
        <w:t>el ordenamiento jurídico argentino</w:t>
      </w:r>
      <w:r w:rsidRPr="00A60069">
        <w:rPr>
          <w:rFonts w:asciiTheme="majorHAnsi" w:hAnsiTheme="majorHAnsi" w:cs="Arial"/>
          <w:sz w:val="20"/>
          <w:szCs w:val="20"/>
          <w:lang w:val="es-UY"/>
        </w:rPr>
        <w:t xml:space="preserve"> le </w:t>
      </w:r>
      <w:r w:rsidRPr="00A60069">
        <w:rPr>
          <w:rFonts w:asciiTheme="majorHAnsi" w:hAnsiTheme="majorHAnsi" w:cs="Arial"/>
          <w:sz w:val="20"/>
          <w:szCs w:val="20"/>
          <w:lang w:val="es-UY"/>
        </w:rPr>
        <w:lastRenderedPageBreak/>
        <w:t>permite a la Corte Suprema</w:t>
      </w:r>
      <w:r w:rsidR="00261FEF" w:rsidRPr="00A60069">
        <w:rPr>
          <w:rFonts w:asciiTheme="majorHAnsi" w:hAnsiTheme="majorHAnsi" w:cs="Arial"/>
          <w:sz w:val="20"/>
          <w:szCs w:val="20"/>
          <w:lang w:val="es-UY"/>
        </w:rPr>
        <w:t xml:space="preserve"> </w:t>
      </w:r>
      <w:r w:rsidR="00513F58" w:rsidRPr="00A60069">
        <w:rPr>
          <w:rFonts w:asciiTheme="majorHAnsi" w:hAnsiTheme="majorHAnsi" w:cs="Arial"/>
          <w:sz w:val="20"/>
          <w:szCs w:val="20"/>
          <w:lang w:val="es-UY"/>
        </w:rPr>
        <w:t>rechazar</w:t>
      </w:r>
      <w:r w:rsidRPr="00A60069">
        <w:rPr>
          <w:rFonts w:asciiTheme="majorHAnsi" w:hAnsiTheme="majorHAnsi" w:cs="Arial"/>
          <w:sz w:val="20"/>
          <w:szCs w:val="20"/>
          <w:lang w:val="es-UY"/>
        </w:rPr>
        <w:t xml:space="preserve"> cualquier recurso </w:t>
      </w:r>
      <w:r w:rsidRPr="00A60069">
        <w:rPr>
          <w:rFonts w:asciiTheme="majorHAnsi" w:hAnsiTheme="majorHAnsi" w:cs="Arial"/>
          <w:i/>
          <w:sz w:val="20"/>
          <w:szCs w:val="20"/>
          <w:lang w:val="es-UY"/>
        </w:rPr>
        <w:t>in limine</w:t>
      </w:r>
      <w:r w:rsidRPr="00A60069">
        <w:rPr>
          <w:rFonts w:asciiTheme="majorHAnsi" w:hAnsiTheme="majorHAnsi" w:cs="Arial"/>
          <w:sz w:val="20"/>
          <w:szCs w:val="20"/>
          <w:lang w:val="es-UY"/>
        </w:rPr>
        <w:t xml:space="preserve">, sin </w:t>
      </w:r>
      <w:r w:rsidR="00F55809" w:rsidRPr="00A60069">
        <w:rPr>
          <w:rFonts w:asciiTheme="majorHAnsi" w:hAnsiTheme="majorHAnsi" w:cs="Arial"/>
          <w:sz w:val="20"/>
          <w:szCs w:val="20"/>
          <w:lang w:val="es-UY"/>
        </w:rPr>
        <w:t>fundamentación</w:t>
      </w:r>
      <w:r w:rsidRPr="00A60069">
        <w:rPr>
          <w:rFonts w:asciiTheme="majorHAnsi" w:hAnsiTheme="majorHAnsi" w:cs="Arial"/>
          <w:sz w:val="20"/>
          <w:szCs w:val="20"/>
          <w:lang w:val="es-UY"/>
        </w:rPr>
        <w:t xml:space="preserve"> mayor que su</w:t>
      </w:r>
      <w:r w:rsidR="00261FEF" w:rsidRPr="00A60069">
        <w:rPr>
          <w:rFonts w:asciiTheme="majorHAnsi" w:hAnsiTheme="majorHAnsi" w:cs="Arial"/>
          <w:sz w:val="20"/>
          <w:szCs w:val="20"/>
          <w:lang w:val="es-UY"/>
        </w:rPr>
        <w:t xml:space="preserve"> sana</w:t>
      </w:r>
      <w:r w:rsidRPr="00A60069">
        <w:rPr>
          <w:rFonts w:asciiTheme="majorHAnsi" w:hAnsiTheme="majorHAnsi" w:cs="Arial"/>
          <w:sz w:val="20"/>
          <w:szCs w:val="20"/>
          <w:lang w:val="es-UY"/>
        </w:rPr>
        <w:t xml:space="preserve"> discrecionalidad. </w:t>
      </w:r>
    </w:p>
    <w:p w:rsidR="001A58AF" w:rsidRPr="00A60069" w:rsidRDefault="001A58AF" w:rsidP="00D9580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sidRPr="00A60069">
        <w:rPr>
          <w:rFonts w:asciiTheme="majorHAnsi" w:hAnsiTheme="majorHAnsi" w:cs="Arial"/>
          <w:sz w:val="20"/>
          <w:szCs w:val="20"/>
          <w:lang w:val="es-UY"/>
        </w:rPr>
        <w:t>En ese sentido, en respuesta al alegato presentado por el Estado sobre la posibilidad de interponer el recurso de reconsideración, previsto por el Decreto Ley 1285/58 (Ley 24.050), el peticionario argumenta que dicha normativa era inaplicable para su caso, pues regula las sanciones disciplinarias a abogados y no así las multas procesales, que son objeto de su pet</w:t>
      </w:r>
      <w:r w:rsidR="006E4B7D" w:rsidRPr="00A60069">
        <w:rPr>
          <w:rFonts w:asciiTheme="majorHAnsi" w:hAnsiTheme="majorHAnsi" w:cs="Arial"/>
          <w:sz w:val="20"/>
          <w:szCs w:val="20"/>
          <w:lang w:val="es-UY"/>
        </w:rPr>
        <w:t>i</w:t>
      </w:r>
      <w:r w:rsidRPr="00A60069">
        <w:rPr>
          <w:rFonts w:asciiTheme="majorHAnsi" w:hAnsiTheme="majorHAnsi" w:cs="Arial"/>
          <w:sz w:val="20"/>
          <w:szCs w:val="20"/>
          <w:lang w:val="es-UY"/>
        </w:rPr>
        <w:t>ción.</w:t>
      </w:r>
    </w:p>
    <w:p w:rsidR="00F23513" w:rsidRPr="00A60069" w:rsidRDefault="00F749B3" w:rsidP="00EC7F2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sidRPr="00A60069">
        <w:rPr>
          <w:rFonts w:asciiTheme="majorHAnsi" w:hAnsiTheme="majorHAnsi" w:cs="Arial"/>
          <w:sz w:val="20"/>
          <w:szCs w:val="20"/>
          <w:lang w:val="es-UY"/>
        </w:rPr>
        <w:t xml:space="preserve">Por último, alega que fue violentado su derecho a la igualdad ante la ley debido a que una causa </w:t>
      </w:r>
      <w:r w:rsidR="00827905" w:rsidRPr="00A60069">
        <w:rPr>
          <w:rFonts w:asciiTheme="majorHAnsi" w:hAnsiTheme="majorHAnsi" w:cs="Arial"/>
          <w:sz w:val="20"/>
          <w:szCs w:val="20"/>
          <w:lang w:val="es-UY"/>
        </w:rPr>
        <w:t xml:space="preserve">similar a la suya fue resuelta en forma </w:t>
      </w:r>
      <w:r w:rsidR="00C551ED" w:rsidRPr="00A60069">
        <w:rPr>
          <w:rFonts w:asciiTheme="majorHAnsi" w:hAnsiTheme="majorHAnsi" w:cs="Arial"/>
          <w:sz w:val="20"/>
          <w:szCs w:val="20"/>
          <w:lang w:val="es-UY"/>
        </w:rPr>
        <w:t>diferente</w:t>
      </w:r>
      <w:r w:rsidR="00827905" w:rsidRPr="00A60069">
        <w:rPr>
          <w:rFonts w:asciiTheme="majorHAnsi" w:hAnsiTheme="majorHAnsi" w:cs="Arial"/>
          <w:sz w:val="20"/>
          <w:szCs w:val="20"/>
          <w:lang w:val="es-UY"/>
        </w:rPr>
        <w:t xml:space="preserve">. </w:t>
      </w:r>
      <w:r w:rsidR="00261FEF" w:rsidRPr="00A60069">
        <w:rPr>
          <w:rFonts w:asciiTheme="majorHAnsi" w:hAnsiTheme="majorHAnsi" w:cs="Arial"/>
          <w:sz w:val="20"/>
          <w:szCs w:val="20"/>
          <w:lang w:val="es-UY"/>
        </w:rPr>
        <w:t>Al respecto</w:t>
      </w:r>
      <w:r w:rsidR="00887AFA" w:rsidRPr="00A60069">
        <w:rPr>
          <w:rFonts w:asciiTheme="majorHAnsi" w:hAnsiTheme="majorHAnsi" w:cs="Arial"/>
          <w:sz w:val="20"/>
          <w:szCs w:val="20"/>
          <w:lang w:val="es-UY"/>
        </w:rPr>
        <w:t>,</w:t>
      </w:r>
      <w:r w:rsidR="00261FEF" w:rsidRPr="00A60069">
        <w:rPr>
          <w:rFonts w:asciiTheme="majorHAnsi" w:hAnsiTheme="majorHAnsi" w:cs="Arial"/>
          <w:sz w:val="20"/>
          <w:szCs w:val="20"/>
          <w:lang w:val="es-UY"/>
        </w:rPr>
        <w:t xml:space="preserve"> señala</w:t>
      </w:r>
      <w:r w:rsidR="00827905" w:rsidRPr="00A60069">
        <w:rPr>
          <w:rFonts w:asciiTheme="majorHAnsi" w:hAnsiTheme="majorHAnsi" w:cs="Arial"/>
          <w:sz w:val="20"/>
          <w:szCs w:val="20"/>
          <w:lang w:val="es-UY"/>
        </w:rPr>
        <w:t xml:space="preserve"> que</w:t>
      </w:r>
      <w:r w:rsidR="00C551ED" w:rsidRPr="00A60069">
        <w:rPr>
          <w:rFonts w:asciiTheme="majorHAnsi" w:hAnsiTheme="majorHAnsi" w:cs="Arial"/>
          <w:sz w:val="20"/>
          <w:szCs w:val="20"/>
          <w:lang w:val="es-UY"/>
        </w:rPr>
        <w:t xml:space="preserve"> en 1994,</w:t>
      </w:r>
      <w:r w:rsidR="00827905" w:rsidRPr="00A60069">
        <w:rPr>
          <w:rFonts w:asciiTheme="majorHAnsi" w:hAnsiTheme="majorHAnsi" w:cs="Arial"/>
          <w:sz w:val="20"/>
          <w:szCs w:val="20"/>
          <w:lang w:val="es-UY"/>
        </w:rPr>
        <w:t xml:space="preserve"> un caso en el que la Corte Suprema discutió la imposición de una </w:t>
      </w:r>
      <w:r w:rsidR="001F7124" w:rsidRPr="00A60069">
        <w:rPr>
          <w:rFonts w:asciiTheme="majorHAnsi" w:hAnsiTheme="majorHAnsi" w:cs="Arial"/>
          <w:sz w:val="20"/>
          <w:szCs w:val="20"/>
          <w:lang w:val="es-UY"/>
        </w:rPr>
        <w:t>multa</w:t>
      </w:r>
      <w:r w:rsidR="00827905" w:rsidRPr="00A60069">
        <w:rPr>
          <w:rFonts w:asciiTheme="majorHAnsi" w:hAnsiTheme="majorHAnsi" w:cs="Arial"/>
          <w:sz w:val="20"/>
          <w:szCs w:val="20"/>
          <w:lang w:val="es-UY"/>
        </w:rPr>
        <w:t xml:space="preserve"> a un </w:t>
      </w:r>
      <w:r w:rsidR="001F7124" w:rsidRPr="00A60069">
        <w:rPr>
          <w:rFonts w:asciiTheme="majorHAnsi" w:hAnsiTheme="majorHAnsi" w:cs="Arial"/>
          <w:sz w:val="20"/>
          <w:szCs w:val="20"/>
          <w:lang w:val="es-UY"/>
        </w:rPr>
        <w:t>apoderado</w:t>
      </w:r>
      <w:r w:rsidR="00015D01" w:rsidRPr="00A60069">
        <w:rPr>
          <w:rFonts w:asciiTheme="majorHAnsi" w:hAnsiTheme="majorHAnsi" w:cs="Arial"/>
          <w:sz w:val="20"/>
          <w:szCs w:val="20"/>
          <w:lang w:val="es-UY"/>
        </w:rPr>
        <w:t>,</w:t>
      </w:r>
      <w:r w:rsidR="00827905" w:rsidRPr="00A60069">
        <w:rPr>
          <w:rFonts w:asciiTheme="majorHAnsi" w:hAnsiTheme="majorHAnsi" w:cs="Arial"/>
          <w:sz w:val="20"/>
          <w:szCs w:val="20"/>
          <w:lang w:val="es-UY"/>
        </w:rPr>
        <w:t xml:space="preserve"> fue resuelto </w:t>
      </w:r>
      <w:r w:rsidR="00887AFA" w:rsidRPr="00A60069">
        <w:rPr>
          <w:rFonts w:asciiTheme="majorHAnsi" w:hAnsiTheme="majorHAnsi" w:cs="Arial"/>
          <w:sz w:val="20"/>
          <w:szCs w:val="20"/>
          <w:lang w:val="es-UY"/>
        </w:rPr>
        <w:t>en sentido favorable al abogado</w:t>
      </w:r>
      <w:r w:rsidR="00827905" w:rsidRPr="00A60069">
        <w:rPr>
          <w:rFonts w:asciiTheme="majorHAnsi" w:hAnsiTheme="majorHAnsi" w:cs="Arial"/>
          <w:sz w:val="20"/>
          <w:szCs w:val="20"/>
          <w:lang w:val="es-UY"/>
        </w:rPr>
        <w:t xml:space="preserve"> y</w:t>
      </w:r>
      <w:r w:rsidR="00887AFA" w:rsidRPr="00A60069">
        <w:rPr>
          <w:rFonts w:asciiTheme="majorHAnsi" w:hAnsiTheme="majorHAnsi" w:cs="Arial"/>
          <w:sz w:val="20"/>
          <w:szCs w:val="20"/>
          <w:lang w:val="es-UY"/>
        </w:rPr>
        <w:t xml:space="preserve"> que únicamente</w:t>
      </w:r>
      <w:r w:rsidR="00827905" w:rsidRPr="00A60069">
        <w:rPr>
          <w:rFonts w:asciiTheme="majorHAnsi" w:hAnsiTheme="majorHAnsi" w:cs="Arial"/>
          <w:sz w:val="20"/>
          <w:szCs w:val="20"/>
          <w:lang w:val="es-UY"/>
        </w:rPr>
        <w:t xml:space="preserve"> debido al cambio de magistrados</w:t>
      </w:r>
      <w:r w:rsidR="00887AFA" w:rsidRPr="00A60069">
        <w:rPr>
          <w:rFonts w:asciiTheme="majorHAnsi" w:hAnsiTheme="majorHAnsi" w:cs="Arial"/>
          <w:sz w:val="20"/>
          <w:szCs w:val="20"/>
          <w:lang w:val="es-UY"/>
        </w:rPr>
        <w:t xml:space="preserve"> en la Corte Suprema</w:t>
      </w:r>
      <w:r w:rsidR="00827905" w:rsidRPr="00A60069">
        <w:rPr>
          <w:rFonts w:asciiTheme="majorHAnsi" w:hAnsiTheme="majorHAnsi" w:cs="Arial"/>
          <w:sz w:val="20"/>
          <w:szCs w:val="20"/>
          <w:lang w:val="es-UY"/>
        </w:rPr>
        <w:t xml:space="preserve">, no obtuvo la resolución en el mismo sentido. </w:t>
      </w:r>
    </w:p>
    <w:p w:rsidR="00547D7F" w:rsidRPr="00A60069" w:rsidRDefault="0063685A" w:rsidP="005A474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A60069">
        <w:rPr>
          <w:rFonts w:asciiTheme="majorHAnsi" w:hAnsiTheme="majorHAnsi" w:cs="Arial"/>
          <w:sz w:val="20"/>
          <w:szCs w:val="20"/>
          <w:lang w:val="es-UY"/>
        </w:rPr>
        <w:t xml:space="preserve">Con base en lo anterior, </w:t>
      </w:r>
      <w:r w:rsidR="00827905" w:rsidRPr="00A60069">
        <w:rPr>
          <w:rFonts w:asciiTheme="majorHAnsi" w:hAnsiTheme="majorHAnsi" w:cs="Arial"/>
          <w:sz w:val="20"/>
          <w:szCs w:val="20"/>
          <w:lang w:val="es-UY"/>
        </w:rPr>
        <w:t>el peticionario</w:t>
      </w:r>
      <w:r w:rsidRPr="00A60069">
        <w:rPr>
          <w:rFonts w:asciiTheme="majorHAnsi" w:hAnsiTheme="majorHAnsi" w:cs="Arial"/>
          <w:sz w:val="20"/>
          <w:szCs w:val="20"/>
          <w:lang w:val="es-UY"/>
        </w:rPr>
        <w:t xml:space="preserve"> </w:t>
      </w:r>
      <w:r w:rsidR="0046138E" w:rsidRPr="00A60069">
        <w:rPr>
          <w:rFonts w:asciiTheme="majorHAnsi" w:hAnsiTheme="majorHAnsi" w:cs="Arial"/>
          <w:sz w:val="20"/>
          <w:szCs w:val="20"/>
          <w:lang w:val="es-UY"/>
        </w:rPr>
        <w:t>argumenta</w:t>
      </w:r>
      <w:r w:rsidR="005A4742" w:rsidRPr="00A60069">
        <w:rPr>
          <w:rFonts w:asciiTheme="majorHAnsi" w:hAnsiTheme="majorHAnsi" w:cs="Arial"/>
          <w:sz w:val="20"/>
          <w:szCs w:val="20"/>
          <w:lang w:val="es-UY"/>
        </w:rPr>
        <w:t xml:space="preserve"> que el Estado </w:t>
      </w:r>
      <w:r w:rsidR="00344CD3" w:rsidRPr="00A60069">
        <w:rPr>
          <w:rFonts w:asciiTheme="majorHAnsi" w:hAnsiTheme="majorHAnsi"/>
          <w:sz w:val="20"/>
          <w:szCs w:val="20"/>
          <w:lang w:val="es-ES"/>
        </w:rPr>
        <w:t xml:space="preserve">vulneró los derechos consagrados en los artículos </w:t>
      </w:r>
      <w:r w:rsidR="005A4742" w:rsidRPr="00A60069">
        <w:rPr>
          <w:rFonts w:asciiTheme="majorHAnsi" w:hAnsiTheme="majorHAnsi"/>
          <w:sz w:val="20"/>
          <w:szCs w:val="20"/>
          <w:lang w:val="es-ES"/>
        </w:rPr>
        <w:t xml:space="preserve">8, 24 </w:t>
      </w:r>
      <w:r w:rsidR="00344CD3" w:rsidRPr="00A60069">
        <w:rPr>
          <w:rFonts w:asciiTheme="majorHAnsi" w:hAnsiTheme="majorHAnsi"/>
          <w:sz w:val="20"/>
          <w:szCs w:val="20"/>
          <w:lang w:val="es-ES"/>
        </w:rPr>
        <w:t xml:space="preserve">y 25 </w:t>
      </w:r>
      <w:r w:rsidR="0055608D">
        <w:rPr>
          <w:rFonts w:asciiTheme="majorHAnsi" w:hAnsiTheme="majorHAnsi"/>
          <w:sz w:val="20"/>
          <w:szCs w:val="20"/>
          <w:lang w:val="es-ES"/>
        </w:rPr>
        <w:t xml:space="preserve">en relación con los artículos 1 y 2 </w:t>
      </w:r>
      <w:r w:rsidR="00344CD3" w:rsidRPr="00A60069">
        <w:rPr>
          <w:rFonts w:asciiTheme="majorHAnsi" w:hAnsiTheme="majorHAnsi"/>
          <w:sz w:val="20"/>
          <w:szCs w:val="20"/>
          <w:lang w:val="es-ES"/>
        </w:rPr>
        <w:t xml:space="preserve">de la Convención Americana en su perjuicio. </w:t>
      </w:r>
    </w:p>
    <w:p w:rsidR="0063685A" w:rsidRPr="00A60069" w:rsidRDefault="0063685A" w:rsidP="009F0583">
      <w:pPr>
        <w:spacing w:after="240"/>
        <w:ind w:firstLine="720"/>
        <w:jc w:val="both"/>
        <w:rPr>
          <w:rFonts w:asciiTheme="majorHAnsi" w:hAnsiTheme="majorHAnsi"/>
          <w:b/>
          <w:bCs/>
          <w:sz w:val="20"/>
          <w:szCs w:val="20"/>
          <w:lang w:val="es-UY"/>
        </w:rPr>
      </w:pPr>
      <w:r w:rsidRPr="00A60069">
        <w:rPr>
          <w:rFonts w:asciiTheme="majorHAnsi" w:hAnsiTheme="majorHAnsi"/>
          <w:b/>
          <w:bCs/>
          <w:sz w:val="20"/>
          <w:szCs w:val="20"/>
          <w:lang w:val="es-UY"/>
        </w:rPr>
        <w:t>B.</w:t>
      </w:r>
      <w:r w:rsidRPr="00A60069">
        <w:rPr>
          <w:rFonts w:asciiTheme="majorHAnsi" w:hAnsiTheme="majorHAnsi"/>
          <w:b/>
          <w:bCs/>
          <w:sz w:val="20"/>
          <w:szCs w:val="20"/>
          <w:lang w:val="es-UY"/>
        </w:rPr>
        <w:tab/>
        <w:t>Posición del Estado</w:t>
      </w:r>
    </w:p>
    <w:p w:rsidR="00DD705B" w:rsidRPr="00DD705B" w:rsidRDefault="00314B5E" w:rsidP="00DD705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sidRPr="00A60069">
        <w:rPr>
          <w:rFonts w:asciiTheme="majorHAnsi" w:hAnsiTheme="majorHAnsi"/>
          <w:sz w:val="20"/>
          <w:szCs w:val="20"/>
          <w:lang w:val="es-UY"/>
        </w:rPr>
        <w:t>El Estado sostiene que</w:t>
      </w:r>
      <w:r w:rsidR="00827905" w:rsidRPr="00A60069">
        <w:rPr>
          <w:rFonts w:asciiTheme="majorHAnsi" w:hAnsiTheme="majorHAnsi"/>
          <w:sz w:val="20"/>
          <w:szCs w:val="20"/>
          <w:lang w:val="es-UY"/>
        </w:rPr>
        <w:t xml:space="preserve"> </w:t>
      </w:r>
      <w:r w:rsidR="0018135C" w:rsidRPr="00A60069">
        <w:rPr>
          <w:rFonts w:asciiTheme="majorHAnsi" w:hAnsiTheme="majorHAnsi"/>
          <w:sz w:val="20"/>
          <w:szCs w:val="20"/>
          <w:lang w:val="es-UY"/>
        </w:rPr>
        <w:t xml:space="preserve">el peticionario no agotó adecuadamente los recursos </w:t>
      </w:r>
      <w:r w:rsidR="00C84C66" w:rsidRPr="00A60069">
        <w:rPr>
          <w:rFonts w:asciiTheme="majorHAnsi" w:hAnsiTheme="majorHAnsi"/>
          <w:sz w:val="20"/>
          <w:szCs w:val="20"/>
          <w:lang w:val="es-UY"/>
        </w:rPr>
        <w:t>existentes en el ámbito interno</w:t>
      </w:r>
      <w:r w:rsidR="0018135C" w:rsidRPr="00A60069">
        <w:rPr>
          <w:rFonts w:asciiTheme="majorHAnsi" w:hAnsiTheme="majorHAnsi"/>
          <w:sz w:val="20"/>
          <w:szCs w:val="20"/>
          <w:lang w:val="es-UY"/>
        </w:rPr>
        <w:t xml:space="preserve"> para reparar la violación que alega, toda vez que</w:t>
      </w:r>
      <w:r w:rsidR="008B48EE" w:rsidRPr="00A60069">
        <w:rPr>
          <w:rFonts w:asciiTheme="majorHAnsi" w:hAnsiTheme="majorHAnsi"/>
          <w:sz w:val="20"/>
          <w:szCs w:val="20"/>
          <w:lang w:val="es-UY"/>
        </w:rPr>
        <w:t xml:space="preserve"> nunca interpuso el recurso de reconsideración</w:t>
      </w:r>
      <w:r w:rsidRPr="00A60069">
        <w:rPr>
          <w:rFonts w:asciiTheme="majorHAnsi" w:hAnsiTheme="majorHAnsi"/>
          <w:sz w:val="20"/>
          <w:szCs w:val="20"/>
          <w:lang w:val="es-UY"/>
        </w:rPr>
        <w:t xml:space="preserve">, previsto </w:t>
      </w:r>
      <w:r w:rsidR="00912494" w:rsidRPr="00A60069">
        <w:rPr>
          <w:rFonts w:asciiTheme="majorHAnsi" w:hAnsiTheme="majorHAnsi"/>
          <w:sz w:val="20"/>
          <w:szCs w:val="20"/>
          <w:lang w:val="es-UY"/>
        </w:rPr>
        <w:t>en</w:t>
      </w:r>
      <w:r w:rsidR="008B48EE" w:rsidRPr="00A60069">
        <w:rPr>
          <w:rFonts w:asciiTheme="majorHAnsi" w:hAnsiTheme="majorHAnsi"/>
          <w:sz w:val="20"/>
          <w:szCs w:val="20"/>
          <w:lang w:val="es-UY"/>
        </w:rPr>
        <w:t xml:space="preserve"> </w:t>
      </w:r>
      <w:r w:rsidR="00D44991" w:rsidRPr="00A60069">
        <w:rPr>
          <w:rFonts w:asciiTheme="majorHAnsi" w:hAnsiTheme="majorHAnsi"/>
          <w:sz w:val="20"/>
          <w:szCs w:val="20"/>
          <w:lang w:val="es-UY"/>
        </w:rPr>
        <w:t>el artículo 19 del Decreto Ley 1285/58</w:t>
      </w:r>
      <w:r w:rsidR="002167E8" w:rsidRPr="00A60069">
        <w:rPr>
          <w:rFonts w:asciiTheme="majorHAnsi" w:hAnsiTheme="majorHAnsi"/>
          <w:sz w:val="20"/>
          <w:szCs w:val="20"/>
          <w:lang w:val="es-UY"/>
        </w:rPr>
        <w:t xml:space="preserve"> (Ley 24.050)</w:t>
      </w:r>
      <w:r w:rsidRPr="00A60069">
        <w:rPr>
          <w:rFonts w:asciiTheme="majorHAnsi" w:hAnsiTheme="majorHAnsi"/>
          <w:sz w:val="20"/>
          <w:szCs w:val="20"/>
          <w:lang w:val="es-UY"/>
        </w:rPr>
        <w:t xml:space="preserve">, el cual es un medio de impugnación de </w:t>
      </w:r>
      <w:r w:rsidR="008B48EE" w:rsidRPr="00A60069">
        <w:rPr>
          <w:rFonts w:asciiTheme="majorHAnsi" w:hAnsiTheme="majorHAnsi"/>
          <w:sz w:val="20"/>
          <w:szCs w:val="20"/>
          <w:lang w:val="es-UY"/>
        </w:rPr>
        <w:t>la</w:t>
      </w:r>
      <w:r w:rsidR="002F4959" w:rsidRPr="00A60069">
        <w:rPr>
          <w:rFonts w:asciiTheme="majorHAnsi" w:hAnsiTheme="majorHAnsi"/>
          <w:sz w:val="20"/>
          <w:szCs w:val="20"/>
          <w:lang w:val="es-UY"/>
        </w:rPr>
        <w:t xml:space="preserve">s sanciones disciplinarias </w:t>
      </w:r>
      <w:r w:rsidR="00C84C66" w:rsidRPr="00A60069">
        <w:rPr>
          <w:rFonts w:asciiTheme="majorHAnsi" w:hAnsiTheme="majorHAnsi"/>
          <w:sz w:val="20"/>
          <w:szCs w:val="20"/>
          <w:lang w:val="es-UY"/>
        </w:rPr>
        <w:t>impuestas por los tribunales de justicia</w:t>
      </w:r>
      <w:r w:rsidRPr="00A60069">
        <w:rPr>
          <w:rFonts w:asciiTheme="majorHAnsi" w:hAnsiTheme="majorHAnsi"/>
          <w:sz w:val="20"/>
          <w:szCs w:val="20"/>
          <w:lang w:val="es-UY"/>
        </w:rPr>
        <w:t xml:space="preserve">. </w:t>
      </w:r>
      <w:r w:rsidR="00DD705B">
        <w:rPr>
          <w:rFonts w:asciiTheme="majorHAnsi" w:hAnsiTheme="majorHAnsi"/>
          <w:sz w:val="20"/>
          <w:szCs w:val="20"/>
          <w:lang w:val="es-UY"/>
        </w:rPr>
        <w:t>Dicho artículo establece que: “[l]</w:t>
      </w:r>
      <w:r w:rsidR="00DD705B" w:rsidRPr="00DD705B">
        <w:rPr>
          <w:rFonts w:asciiTheme="majorHAnsi" w:hAnsiTheme="majorHAnsi"/>
          <w:sz w:val="20"/>
          <w:szCs w:val="20"/>
          <w:lang w:val="es-UY"/>
        </w:rPr>
        <w:t>as sanciones disciplinarias aplicadas por la Corte Suprema de Justicia de la Nación, por la Cámara Federal de Casación Penal, por la Cámara Nacional de Casación en lo Penal, por las cámaras federales y nacionales de apelaciones y por los tribunales de juicio sólo serán susceptibles de recursos de reconsideración”.</w:t>
      </w:r>
    </w:p>
    <w:p w:rsidR="00436725" w:rsidRPr="00436725" w:rsidRDefault="00696861" w:rsidP="00104E11">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A60069">
        <w:rPr>
          <w:rFonts w:asciiTheme="majorHAnsi" w:hAnsiTheme="majorHAnsi"/>
          <w:sz w:val="20"/>
          <w:szCs w:val="20"/>
          <w:lang w:val="es-UY"/>
        </w:rPr>
        <w:t>Por otra parte, el Estado señala que l</w:t>
      </w:r>
      <w:r w:rsidR="00827905" w:rsidRPr="00A60069">
        <w:rPr>
          <w:rFonts w:asciiTheme="majorHAnsi" w:hAnsiTheme="majorHAnsi"/>
          <w:sz w:val="20"/>
          <w:szCs w:val="20"/>
          <w:lang w:val="es-UY"/>
        </w:rPr>
        <w:t>os hechos expuestos por el peticionario no caracterizan violaciones a sus derechos humanos</w:t>
      </w:r>
      <w:r w:rsidR="00C84C66" w:rsidRPr="00A60069">
        <w:rPr>
          <w:rFonts w:asciiTheme="majorHAnsi" w:hAnsiTheme="majorHAnsi"/>
          <w:sz w:val="20"/>
          <w:szCs w:val="20"/>
          <w:lang w:val="es-UY"/>
        </w:rPr>
        <w:t>,</w:t>
      </w:r>
      <w:r w:rsidR="00261FEF" w:rsidRPr="00A60069">
        <w:rPr>
          <w:rFonts w:asciiTheme="majorHAnsi" w:hAnsiTheme="majorHAnsi"/>
          <w:sz w:val="20"/>
          <w:szCs w:val="20"/>
          <w:lang w:val="es-UY"/>
        </w:rPr>
        <w:t xml:space="preserve"> pues</w:t>
      </w:r>
      <w:r w:rsidR="00827905" w:rsidRPr="00A60069">
        <w:rPr>
          <w:rFonts w:asciiTheme="majorHAnsi" w:hAnsiTheme="majorHAnsi"/>
          <w:sz w:val="20"/>
          <w:szCs w:val="20"/>
          <w:lang w:val="es-UY"/>
        </w:rPr>
        <w:t xml:space="preserve"> en todo momento le fueron otorgadas las debidas garantías judiciales</w:t>
      </w:r>
      <w:r w:rsidR="00646504" w:rsidRPr="00A60069">
        <w:rPr>
          <w:rFonts w:asciiTheme="majorHAnsi" w:hAnsiTheme="majorHAnsi"/>
          <w:sz w:val="20"/>
          <w:szCs w:val="20"/>
          <w:lang w:val="es-UY"/>
        </w:rPr>
        <w:t xml:space="preserve">, protección judicial </w:t>
      </w:r>
      <w:r w:rsidR="00261FEF" w:rsidRPr="00A60069">
        <w:rPr>
          <w:rFonts w:asciiTheme="majorHAnsi" w:hAnsiTheme="majorHAnsi"/>
          <w:sz w:val="20"/>
          <w:szCs w:val="20"/>
          <w:lang w:val="es-UY"/>
        </w:rPr>
        <w:t>y le fue garantizada la plena</w:t>
      </w:r>
      <w:r w:rsidR="00646504" w:rsidRPr="00A60069">
        <w:rPr>
          <w:rFonts w:asciiTheme="majorHAnsi" w:hAnsiTheme="majorHAnsi"/>
          <w:sz w:val="20"/>
          <w:szCs w:val="20"/>
          <w:lang w:val="es-UY"/>
        </w:rPr>
        <w:t xml:space="preserve"> igualdad ante la ley. </w:t>
      </w:r>
      <w:r w:rsidRPr="00A60069">
        <w:rPr>
          <w:rFonts w:asciiTheme="majorHAnsi" w:hAnsiTheme="majorHAnsi"/>
          <w:sz w:val="20"/>
          <w:szCs w:val="20"/>
          <w:lang w:val="es-UY"/>
        </w:rPr>
        <w:t xml:space="preserve">Específicamente, en relación con </w:t>
      </w:r>
      <w:r w:rsidR="00646504" w:rsidRPr="00A60069">
        <w:rPr>
          <w:rFonts w:asciiTheme="majorHAnsi" w:hAnsiTheme="majorHAnsi"/>
          <w:sz w:val="20"/>
          <w:szCs w:val="20"/>
          <w:lang w:val="es-UY"/>
        </w:rPr>
        <w:t xml:space="preserve">la falta de posibilidad </w:t>
      </w:r>
      <w:r w:rsidRPr="00A60069">
        <w:rPr>
          <w:rFonts w:asciiTheme="majorHAnsi" w:hAnsiTheme="majorHAnsi"/>
          <w:sz w:val="20"/>
          <w:szCs w:val="20"/>
          <w:lang w:val="es-UY"/>
        </w:rPr>
        <w:t xml:space="preserve">de </w:t>
      </w:r>
      <w:r w:rsidR="00646504" w:rsidRPr="00A60069">
        <w:rPr>
          <w:rFonts w:asciiTheme="majorHAnsi" w:hAnsiTheme="majorHAnsi"/>
          <w:sz w:val="20"/>
          <w:szCs w:val="20"/>
          <w:lang w:val="es-UY"/>
        </w:rPr>
        <w:t xml:space="preserve">ofrecimiento de pruebas, </w:t>
      </w:r>
      <w:r w:rsidRPr="00A60069">
        <w:rPr>
          <w:rFonts w:asciiTheme="majorHAnsi" w:hAnsiTheme="majorHAnsi"/>
          <w:sz w:val="20"/>
          <w:szCs w:val="20"/>
          <w:lang w:val="es-UY"/>
        </w:rPr>
        <w:t>indica</w:t>
      </w:r>
      <w:r w:rsidR="00646504" w:rsidRPr="00A60069">
        <w:rPr>
          <w:rFonts w:asciiTheme="majorHAnsi" w:hAnsiTheme="majorHAnsi"/>
          <w:sz w:val="20"/>
          <w:szCs w:val="20"/>
          <w:lang w:val="es-UY"/>
        </w:rPr>
        <w:t xml:space="preserve"> que el Código Procesal Civil y Comercial de la Nación no impide que se presenten </w:t>
      </w:r>
      <w:r w:rsidR="00261FEF" w:rsidRPr="00A60069">
        <w:rPr>
          <w:rFonts w:asciiTheme="majorHAnsi" w:hAnsiTheme="majorHAnsi"/>
          <w:sz w:val="20"/>
          <w:szCs w:val="20"/>
          <w:lang w:val="es-UY"/>
        </w:rPr>
        <w:t>pruebas</w:t>
      </w:r>
      <w:r w:rsidR="00646504" w:rsidRPr="00A60069">
        <w:rPr>
          <w:rFonts w:asciiTheme="majorHAnsi" w:hAnsiTheme="majorHAnsi"/>
          <w:sz w:val="20"/>
          <w:szCs w:val="20"/>
          <w:lang w:val="es-UY"/>
        </w:rPr>
        <w:t xml:space="preserve"> durante el proceso de apelación</w:t>
      </w:r>
      <w:r w:rsidRPr="00A60069">
        <w:rPr>
          <w:rFonts w:asciiTheme="majorHAnsi" w:hAnsiTheme="majorHAnsi"/>
          <w:sz w:val="20"/>
          <w:szCs w:val="20"/>
          <w:lang w:val="es-UY"/>
        </w:rPr>
        <w:t xml:space="preserve">. </w:t>
      </w:r>
    </w:p>
    <w:p w:rsidR="00436725" w:rsidRPr="00436725" w:rsidRDefault="00436725" w:rsidP="00436725">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jc w:val="both"/>
        <w:rPr>
          <w:rFonts w:asciiTheme="majorHAnsi" w:eastAsia="SimSun" w:hAnsiTheme="majorHAnsi"/>
          <w:sz w:val="20"/>
          <w:szCs w:val="20"/>
          <w:lang w:val="es-UY"/>
        </w:rPr>
      </w:pPr>
    </w:p>
    <w:p w:rsidR="00436725" w:rsidRPr="00436725" w:rsidRDefault="00696861" w:rsidP="00104E11">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A60069">
        <w:rPr>
          <w:rFonts w:asciiTheme="majorHAnsi" w:hAnsiTheme="majorHAnsi"/>
          <w:sz w:val="20"/>
          <w:szCs w:val="20"/>
          <w:lang w:val="es-UY"/>
        </w:rPr>
        <w:t xml:space="preserve">Además, </w:t>
      </w:r>
      <w:r w:rsidR="00784E43" w:rsidRPr="00A60069">
        <w:rPr>
          <w:rFonts w:asciiTheme="majorHAnsi" w:hAnsiTheme="majorHAnsi"/>
          <w:sz w:val="20"/>
          <w:szCs w:val="20"/>
          <w:lang w:val="es-UY"/>
        </w:rPr>
        <w:t>en referencia</w:t>
      </w:r>
      <w:r w:rsidRPr="00A60069">
        <w:rPr>
          <w:rFonts w:asciiTheme="majorHAnsi" w:hAnsiTheme="majorHAnsi"/>
          <w:sz w:val="20"/>
          <w:szCs w:val="20"/>
          <w:lang w:val="es-UY"/>
        </w:rPr>
        <w:t xml:space="preserve"> a</w:t>
      </w:r>
      <w:r w:rsidR="00646504" w:rsidRPr="00A60069">
        <w:rPr>
          <w:rFonts w:asciiTheme="majorHAnsi" w:hAnsiTheme="majorHAnsi"/>
          <w:sz w:val="20"/>
          <w:szCs w:val="20"/>
          <w:lang w:val="es-UY"/>
        </w:rPr>
        <w:t xml:space="preserve"> la alegada </w:t>
      </w:r>
      <w:r w:rsidRPr="00A60069">
        <w:rPr>
          <w:rFonts w:asciiTheme="majorHAnsi" w:hAnsiTheme="majorHAnsi"/>
          <w:sz w:val="20"/>
          <w:szCs w:val="20"/>
          <w:lang w:val="es-UY"/>
        </w:rPr>
        <w:t>im</w:t>
      </w:r>
      <w:r w:rsidR="00646504" w:rsidRPr="00A60069">
        <w:rPr>
          <w:rFonts w:asciiTheme="majorHAnsi" w:hAnsiTheme="majorHAnsi"/>
          <w:sz w:val="20"/>
          <w:szCs w:val="20"/>
          <w:lang w:val="es-UY"/>
        </w:rPr>
        <w:t>posibilida</w:t>
      </w:r>
      <w:r w:rsidRPr="00A60069">
        <w:rPr>
          <w:rFonts w:asciiTheme="majorHAnsi" w:hAnsiTheme="majorHAnsi"/>
          <w:sz w:val="20"/>
          <w:szCs w:val="20"/>
          <w:lang w:val="es-UY"/>
        </w:rPr>
        <w:t>d probatoria</w:t>
      </w:r>
      <w:r w:rsidR="00646504" w:rsidRPr="00A60069">
        <w:rPr>
          <w:rFonts w:asciiTheme="majorHAnsi" w:hAnsiTheme="majorHAnsi"/>
          <w:sz w:val="20"/>
          <w:szCs w:val="20"/>
          <w:lang w:val="es-UY"/>
        </w:rPr>
        <w:t xml:space="preserve"> en el recurso extraordinario, </w:t>
      </w:r>
      <w:r w:rsidR="00C84C66" w:rsidRPr="00A60069">
        <w:rPr>
          <w:rFonts w:asciiTheme="majorHAnsi" w:hAnsiTheme="majorHAnsi"/>
          <w:sz w:val="20"/>
          <w:szCs w:val="20"/>
          <w:lang w:val="es-UY"/>
        </w:rPr>
        <w:t xml:space="preserve">el Estado </w:t>
      </w:r>
      <w:r w:rsidRPr="00A60069">
        <w:rPr>
          <w:rFonts w:asciiTheme="majorHAnsi" w:hAnsiTheme="majorHAnsi"/>
          <w:sz w:val="20"/>
          <w:szCs w:val="20"/>
          <w:lang w:val="es-UY"/>
        </w:rPr>
        <w:t>sostiene</w:t>
      </w:r>
      <w:r w:rsidR="00646504" w:rsidRPr="00A60069">
        <w:rPr>
          <w:rFonts w:asciiTheme="majorHAnsi" w:hAnsiTheme="majorHAnsi"/>
          <w:sz w:val="20"/>
          <w:szCs w:val="20"/>
          <w:lang w:val="es-UY"/>
        </w:rPr>
        <w:t xml:space="preserve"> que el peticionario </w:t>
      </w:r>
      <w:r w:rsidR="00A46F0F" w:rsidRPr="00A60069">
        <w:rPr>
          <w:rFonts w:asciiTheme="majorHAnsi" w:hAnsiTheme="majorHAnsi"/>
          <w:sz w:val="20"/>
          <w:szCs w:val="20"/>
          <w:lang w:val="es-UY"/>
        </w:rPr>
        <w:t xml:space="preserve">podía haber planteado </w:t>
      </w:r>
      <w:r w:rsidR="00646504" w:rsidRPr="00A60069">
        <w:rPr>
          <w:rFonts w:asciiTheme="majorHAnsi" w:hAnsiTheme="majorHAnsi"/>
          <w:sz w:val="20"/>
          <w:szCs w:val="20"/>
          <w:lang w:val="es-UY"/>
        </w:rPr>
        <w:t>la inconstitucionalidad de las normas que le impidier</w:t>
      </w:r>
      <w:r w:rsidR="00C84C66" w:rsidRPr="00A60069">
        <w:rPr>
          <w:rFonts w:asciiTheme="majorHAnsi" w:hAnsiTheme="majorHAnsi"/>
          <w:sz w:val="20"/>
          <w:szCs w:val="20"/>
          <w:lang w:val="es-UY"/>
        </w:rPr>
        <w:t>o</w:t>
      </w:r>
      <w:r w:rsidR="00646504" w:rsidRPr="00A60069">
        <w:rPr>
          <w:rFonts w:asciiTheme="majorHAnsi" w:hAnsiTheme="majorHAnsi"/>
          <w:sz w:val="20"/>
          <w:szCs w:val="20"/>
          <w:lang w:val="es-UY"/>
        </w:rPr>
        <w:t xml:space="preserve">n presentar pruebas en su defensa. Respecto a la protección judicial, el Estado </w:t>
      </w:r>
      <w:r w:rsidR="00A46F0F" w:rsidRPr="00A60069">
        <w:rPr>
          <w:rFonts w:asciiTheme="majorHAnsi" w:hAnsiTheme="majorHAnsi"/>
          <w:sz w:val="20"/>
          <w:szCs w:val="20"/>
          <w:lang w:val="es-UY"/>
        </w:rPr>
        <w:t>manifiesta</w:t>
      </w:r>
      <w:r w:rsidR="00646504" w:rsidRPr="00A60069">
        <w:rPr>
          <w:rFonts w:asciiTheme="majorHAnsi" w:hAnsiTheme="majorHAnsi"/>
          <w:sz w:val="20"/>
          <w:szCs w:val="20"/>
          <w:lang w:val="es-UY"/>
        </w:rPr>
        <w:t xml:space="preserve"> que el peticionario contó en todo momento con recursos efectivos y adecuados para subsanar cualq</w:t>
      </w:r>
      <w:r w:rsidR="00A46F0F" w:rsidRPr="00A60069">
        <w:rPr>
          <w:rFonts w:asciiTheme="majorHAnsi" w:hAnsiTheme="majorHAnsi"/>
          <w:sz w:val="20"/>
          <w:szCs w:val="20"/>
          <w:lang w:val="es-UY"/>
        </w:rPr>
        <w:t>uier vulneración a sus derechos</w:t>
      </w:r>
      <w:r w:rsidR="00646504" w:rsidRPr="00A60069">
        <w:rPr>
          <w:rFonts w:asciiTheme="majorHAnsi" w:hAnsiTheme="majorHAnsi"/>
          <w:sz w:val="20"/>
          <w:szCs w:val="20"/>
          <w:lang w:val="es-UY"/>
        </w:rPr>
        <w:t>.</w:t>
      </w:r>
      <w:r w:rsidR="0074372C" w:rsidRPr="00A60069">
        <w:rPr>
          <w:rFonts w:asciiTheme="majorHAnsi" w:hAnsiTheme="majorHAnsi"/>
          <w:sz w:val="20"/>
          <w:szCs w:val="20"/>
          <w:lang w:val="es-UY"/>
        </w:rPr>
        <w:t xml:space="preserve"> </w:t>
      </w:r>
    </w:p>
    <w:p w:rsidR="00436725" w:rsidRDefault="00436725" w:rsidP="00436725">
      <w:pPr>
        <w:pStyle w:val="ListParagraph"/>
        <w:rPr>
          <w:rFonts w:asciiTheme="majorHAnsi" w:hAnsiTheme="majorHAnsi"/>
          <w:sz w:val="20"/>
          <w:szCs w:val="20"/>
          <w:lang w:val="es-UY"/>
        </w:rPr>
      </w:pPr>
    </w:p>
    <w:p w:rsidR="00F43193" w:rsidRPr="00A60069" w:rsidRDefault="0074372C" w:rsidP="00104E11">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A60069">
        <w:rPr>
          <w:rFonts w:asciiTheme="majorHAnsi" w:hAnsiTheme="majorHAnsi"/>
          <w:sz w:val="20"/>
          <w:szCs w:val="20"/>
          <w:lang w:val="es-UY"/>
        </w:rPr>
        <w:t>Con</w:t>
      </w:r>
      <w:r w:rsidR="00A76CDD" w:rsidRPr="00A60069">
        <w:rPr>
          <w:rFonts w:asciiTheme="majorHAnsi" w:hAnsiTheme="majorHAnsi"/>
          <w:sz w:val="20"/>
          <w:szCs w:val="20"/>
          <w:lang w:val="es-UY"/>
        </w:rPr>
        <w:t xml:space="preserve"> relación a</w:t>
      </w:r>
      <w:r w:rsidRPr="00A60069">
        <w:rPr>
          <w:rFonts w:asciiTheme="majorHAnsi" w:hAnsiTheme="majorHAnsi"/>
          <w:sz w:val="20"/>
          <w:szCs w:val="20"/>
          <w:lang w:val="es-UY"/>
        </w:rPr>
        <w:t xml:space="preserve">l derecho de </w:t>
      </w:r>
      <w:r w:rsidR="00A76CDD" w:rsidRPr="00A60069">
        <w:rPr>
          <w:rFonts w:asciiTheme="majorHAnsi" w:hAnsiTheme="majorHAnsi"/>
          <w:sz w:val="20"/>
          <w:szCs w:val="20"/>
          <w:lang w:val="es-UY"/>
        </w:rPr>
        <w:t xml:space="preserve">igualdad ante la ley, el Estado </w:t>
      </w:r>
      <w:r w:rsidR="00784E43" w:rsidRPr="00A60069">
        <w:rPr>
          <w:rFonts w:asciiTheme="majorHAnsi" w:hAnsiTheme="majorHAnsi"/>
          <w:sz w:val="20"/>
          <w:szCs w:val="20"/>
          <w:lang w:val="es-UY"/>
        </w:rPr>
        <w:t>considera</w:t>
      </w:r>
      <w:r w:rsidR="00A76CDD" w:rsidRPr="00A60069">
        <w:rPr>
          <w:rFonts w:asciiTheme="majorHAnsi" w:hAnsiTheme="majorHAnsi"/>
          <w:sz w:val="20"/>
          <w:szCs w:val="20"/>
          <w:lang w:val="es-UY"/>
        </w:rPr>
        <w:t xml:space="preserve"> que el peticionario </w:t>
      </w:r>
      <w:r w:rsidR="00FD5B4C" w:rsidRPr="00A60069">
        <w:rPr>
          <w:rFonts w:asciiTheme="majorHAnsi" w:hAnsiTheme="majorHAnsi"/>
          <w:sz w:val="20"/>
          <w:szCs w:val="20"/>
          <w:lang w:val="es-UY"/>
        </w:rPr>
        <w:t>nunca</w:t>
      </w:r>
      <w:r w:rsidR="00A76CDD" w:rsidRPr="00A60069">
        <w:rPr>
          <w:rFonts w:asciiTheme="majorHAnsi" w:hAnsiTheme="majorHAnsi"/>
          <w:sz w:val="20"/>
          <w:szCs w:val="20"/>
          <w:lang w:val="es-UY"/>
        </w:rPr>
        <w:t xml:space="preserve"> aportó elementos suficientes para probar que efectivamente existió una situación jurídica con elementos idénticos</w:t>
      </w:r>
      <w:r w:rsidR="00FD5B4C" w:rsidRPr="00A60069">
        <w:rPr>
          <w:rFonts w:asciiTheme="majorHAnsi" w:hAnsiTheme="majorHAnsi"/>
          <w:sz w:val="20"/>
          <w:szCs w:val="20"/>
          <w:lang w:val="es-UY"/>
        </w:rPr>
        <w:t>, por lo que no resulta procedente pronunciarse respecto a dicha supuesta violación</w:t>
      </w:r>
      <w:r w:rsidR="00A76CDD" w:rsidRPr="00A60069">
        <w:rPr>
          <w:rFonts w:asciiTheme="majorHAnsi" w:hAnsiTheme="majorHAnsi"/>
          <w:sz w:val="20"/>
          <w:szCs w:val="20"/>
          <w:lang w:val="es-UY"/>
        </w:rPr>
        <w:t xml:space="preserve">. </w:t>
      </w:r>
      <w:r w:rsidRPr="00A60069">
        <w:rPr>
          <w:rFonts w:asciiTheme="majorHAnsi" w:eastAsia="SimSun" w:hAnsiTheme="majorHAnsi"/>
          <w:sz w:val="20"/>
          <w:szCs w:val="20"/>
          <w:lang w:val="es-UY"/>
        </w:rPr>
        <w:t>Finalmente,</w:t>
      </w:r>
      <w:r w:rsidR="002B13ED" w:rsidRPr="00A60069">
        <w:rPr>
          <w:rFonts w:asciiTheme="majorHAnsi" w:eastAsia="SimSun" w:hAnsiTheme="majorHAnsi"/>
          <w:sz w:val="20"/>
          <w:szCs w:val="20"/>
          <w:lang w:val="es-UY"/>
        </w:rPr>
        <w:t xml:space="preserve"> el Estado</w:t>
      </w:r>
      <w:r w:rsidRPr="00A60069">
        <w:rPr>
          <w:rFonts w:asciiTheme="majorHAnsi" w:eastAsia="SimSun" w:hAnsiTheme="majorHAnsi"/>
          <w:sz w:val="20"/>
          <w:szCs w:val="20"/>
          <w:lang w:val="es-UY"/>
        </w:rPr>
        <w:t xml:space="preserve"> señala que un caso similar al presente fue declarado inadmisible por la Comisión </w:t>
      </w:r>
      <w:r w:rsidR="00912494" w:rsidRPr="00A60069">
        <w:rPr>
          <w:rFonts w:asciiTheme="majorHAnsi" w:eastAsia="SimSun" w:hAnsiTheme="majorHAnsi"/>
          <w:sz w:val="20"/>
          <w:szCs w:val="20"/>
          <w:lang w:val="es-UY"/>
        </w:rPr>
        <w:t xml:space="preserve">en </w:t>
      </w:r>
      <w:r w:rsidRPr="00A60069">
        <w:rPr>
          <w:rFonts w:asciiTheme="majorHAnsi" w:eastAsia="SimSun" w:hAnsiTheme="majorHAnsi"/>
          <w:sz w:val="20"/>
          <w:szCs w:val="20"/>
          <w:lang w:val="es-UY"/>
        </w:rPr>
        <w:t>el año 1998, por lo que considera que dicha refe</w:t>
      </w:r>
      <w:r w:rsidR="002B13ED" w:rsidRPr="00A60069">
        <w:rPr>
          <w:rFonts w:asciiTheme="majorHAnsi" w:eastAsia="SimSun" w:hAnsiTheme="majorHAnsi"/>
          <w:sz w:val="20"/>
          <w:szCs w:val="20"/>
          <w:lang w:val="es-UY"/>
        </w:rPr>
        <w:t>rencia jurisprudencial debe aplicarse</w:t>
      </w:r>
      <w:r w:rsidRPr="00A60069">
        <w:rPr>
          <w:rFonts w:asciiTheme="majorHAnsi" w:eastAsia="SimSun" w:hAnsiTheme="majorHAnsi"/>
          <w:sz w:val="20"/>
          <w:szCs w:val="20"/>
          <w:lang w:val="es-UY"/>
        </w:rPr>
        <w:t xml:space="preserve"> a esta petición</w:t>
      </w:r>
      <w:r w:rsidRPr="00A60069">
        <w:rPr>
          <w:rStyle w:val="FootnoteReference"/>
          <w:rFonts w:asciiTheme="majorHAnsi" w:eastAsia="SimSun" w:hAnsiTheme="majorHAnsi"/>
          <w:sz w:val="20"/>
          <w:szCs w:val="20"/>
          <w:lang w:val="es-UY"/>
        </w:rPr>
        <w:footnoteReference w:id="2"/>
      </w:r>
      <w:r w:rsidR="00104E11" w:rsidRPr="00A60069">
        <w:rPr>
          <w:rFonts w:asciiTheme="majorHAnsi" w:eastAsia="SimSun" w:hAnsiTheme="majorHAnsi"/>
          <w:sz w:val="20"/>
          <w:szCs w:val="20"/>
          <w:lang w:val="es-UY"/>
        </w:rPr>
        <w:t xml:space="preserve">. </w:t>
      </w:r>
      <w:r w:rsidR="002B13ED" w:rsidRPr="00A60069">
        <w:rPr>
          <w:rFonts w:asciiTheme="majorHAnsi" w:eastAsia="SimSun" w:hAnsiTheme="majorHAnsi"/>
          <w:sz w:val="20"/>
          <w:szCs w:val="20"/>
          <w:lang w:val="es-UY"/>
        </w:rPr>
        <w:t xml:space="preserve">  </w:t>
      </w:r>
    </w:p>
    <w:p w:rsidR="0074372C" w:rsidRPr="00A60069" w:rsidRDefault="0074372C" w:rsidP="0074372C">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jc w:val="both"/>
        <w:rPr>
          <w:rFonts w:asciiTheme="majorHAnsi" w:eastAsia="SimSun" w:hAnsiTheme="majorHAnsi"/>
          <w:sz w:val="20"/>
          <w:szCs w:val="20"/>
          <w:lang w:val="es-UY"/>
        </w:rPr>
      </w:pPr>
    </w:p>
    <w:p w:rsidR="009B5CD0" w:rsidRDefault="0063685A" w:rsidP="009B5C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DD705B">
        <w:rPr>
          <w:rFonts w:asciiTheme="majorHAnsi" w:hAnsiTheme="majorHAnsi"/>
          <w:sz w:val="20"/>
          <w:szCs w:val="20"/>
          <w:lang w:val="es-UY"/>
        </w:rPr>
        <w:t>En conclusión, el Est</w:t>
      </w:r>
      <w:r w:rsidR="0091696D" w:rsidRPr="00DD705B">
        <w:rPr>
          <w:rFonts w:asciiTheme="majorHAnsi" w:hAnsiTheme="majorHAnsi"/>
          <w:sz w:val="20"/>
          <w:szCs w:val="20"/>
          <w:lang w:val="es-UY"/>
        </w:rPr>
        <w:t xml:space="preserve">ado </w:t>
      </w:r>
      <w:r w:rsidR="00F55A99" w:rsidRPr="00DD705B">
        <w:rPr>
          <w:rFonts w:asciiTheme="majorHAnsi" w:hAnsiTheme="majorHAnsi"/>
          <w:sz w:val="20"/>
          <w:szCs w:val="20"/>
          <w:lang w:val="es-UY"/>
        </w:rPr>
        <w:t>solicita a la CIDH</w:t>
      </w:r>
      <w:r w:rsidR="0091696D" w:rsidRPr="00DD705B">
        <w:rPr>
          <w:rFonts w:asciiTheme="majorHAnsi" w:hAnsiTheme="majorHAnsi"/>
          <w:sz w:val="20"/>
          <w:szCs w:val="20"/>
          <w:lang w:val="es-UY"/>
        </w:rPr>
        <w:t xml:space="preserve"> que</w:t>
      </w:r>
      <w:r w:rsidR="00F55A99" w:rsidRPr="00DD705B">
        <w:rPr>
          <w:rFonts w:asciiTheme="majorHAnsi" w:hAnsiTheme="majorHAnsi"/>
          <w:sz w:val="20"/>
          <w:szCs w:val="20"/>
          <w:lang w:val="es-UY"/>
        </w:rPr>
        <w:t xml:space="preserve"> </w:t>
      </w:r>
      <w:r w:rsidR="00C95523" w:rsidRPr="00DD705B">
        <w:rPr>
          <w:rFonts w:asciiTheme="majorHAnsi" w:hAnsiTheme="majorHAnsi"/>
          <w:sz w:val="20"/>
          <w:szCs w:val="20"/>
          <w:lang w:val="es-UY"/>
        </w:rPr>
        <w:t>declare</w:t>
      </w:r>
      <w:r w:rsidR="00F55A99" w:rsidRPr="00DD705B">
        <w:rPr>
          <w:rFonts w:asciiTheme="majorHAnsi" w:hAnsiTheme="majorHAnsi"/>
          <w:sz w:val="20"/>
          <w:szCs w:val="20"/>
          <w:lang w:val="es-UY"/>
        </w:rPr>
        <w:t xml:space="preserve"> la petición</w:t>
      </w:r>
      <w:r w:rsidR="00C95523" w:rsidRPr="00DD705B">
        <w:rPr>
          <w:rFonts w:asciiTheme="majorHAnsi" w:hAnsiTheme="majorHAnsi"/>
          <w:sz w:val="20"/>
          <w:szCs w:val="20"/>
          <w:lang w:val="es-UY"/>
        </w:rPr>
        <w:t xml:space="preserve"> inadmisible</w:t>
      </w:r>
      <w:r w:rsidR="00FD5B4C" w:rsidRPr="00DD705B">
        <w:rPr>
          <w:rFonts w:asciiTheme="majorHAnsi" w:hAnsiTheme="majorHAnsi"/>
          <w:sz w:val="20"/>
          <w:szCs w:val="20"/>
          <w:lang w:val="es-UY"/>
        </w:rPr>
        <w:t xml:space="preserve"> por</w:t>
      </w:r>
      <w:r w:rsidR="00C95523" w:rsidRPr="00DD705B">
        <w:rPr>
          <w:rFonts w:asciiTheme="majorHAnsi" w:hAnsiTheme="majorHAnsi"/>
          <w:sz w:val="20"/>
          <w:szCs w:val="20"/>
          <w:lang w:val="es-UY"/>
        </w:rPr>
        <w:t xml:space="preserve"> considerar que existe </w:t>
      </w:r>
      <w:r w:rsidR="00FD5B4C" w:rsidRPr="00DD705B">
        <w:rPr>
          <w:rFonts w:asciiTheme="majorHAnsi" w:hAnsiTheme="majorHAnsi"/>
          <w:sz w:val="20"/>
          <w:szCs w:val="20"/>
          <w:lang w:val="es-UY"/>
        </w:rPr>
        <w:t xml:space="preserve">una clara </w:t>
      </w:r>
      <w:r w:rsidR="00592CD6" w:rsidRPr="00DD705B">
        <w:rPr>
          <w:rFonts w:asciiTheme="majorHAnsi" w:hAnsiTheme="majorHAnsi"/>
          <w:sz w:val="20"/>
          <w:szCs w:val="20"/>
          <w:lang w:val="es-UY"/>
        </w:rPr>
        <w:t xml:space="preserve">falta de caracterización </w:t>
      </w:r>
      <w:r w:rsidR="00F55A99" w:rsidRPr="00DD705B">
        <w:rPr>
          <w:rFonts w:asciiTheme="majorHAnsi" w:hAnsiTheme="majorHAnsi"/>
          <w:sz w:val="20"/>
          <w:szCs w:val="20"/>
          <w:lang w:val="es-UY"/>
        </w:rPr>
        <w:t>en</w:t>
      </w:r>
      <w:r w:rsidR="00592CD6" w:rsidRPr="00DD705B">
        <w:rPr>
          <w:rFonts w:asciiTheme="majorHAnsi" w:hAnsiTheme="majorHAnsi"/>
          <w:sz w:val="20"/>
          <w:szCs w:val="20"/>
          <w:lang w:val="es-UY"/>
        </w:rPr>
        <w:t xml:space="preserve"> los hechos</w:t>
      </w:r>
      <w:r w:rsidR="00245557" w:rsidRPr="00DD705B">
        <w:rPr>
          <w:rFonts w:asciiTheme="majorHAnsi" w:hAnsiTheme="majorHAnsi"/>
          <w:sz w:val="20"/>
          <w:szCs w:val="20"/>
          <w:lang w:val="es-UY"/>
        </w:rPr>
        <w:t xml:space="preserve"> y</w:t>
      </w:r>
      <w:r w:rsidR="00784E43" w:rsidRPr="00DD705B">
        <w:rPr>
          <w:rFonts w:asciiTheme="majorHAnsi" w:hAnsiTheme="majorHAnsi"/>
          <w:sz w:val="20"/>
          <w:szCs w:val="20"/>
          <w:lang w:val="es-UY"/>
        </w:rPr>
        <w:t xml:space="preserve"> que se configura una falta de agotamiento debido  </w:t>
      </w:r>
      <w:r w:rsidR="00245557" w:rsidRPr="00DD705B">
        <w:rPr>
          <w:rFonts w:asciiTheme="majorHAnsi" w:hAnsiTheme="majorHAnsi"/>
          <w:sz w:val="20"/>
          <w:szCs w:val="20"/>
          <w:lang w:val="es-UY"/>
        </w:rPr>
        <w:t>de los recursos</w:t>
      </w:r>
      <w:r w:rsidR="00592CD6" w:rsidRPr="00DD705B">
        <w:rPr>
          <w:rFonts w:asciiTheme="majorHAnsi" w:hAnsiTheme="majorHAnsi"/>
          <w:sz w:val="20"/>
          <w:szCs w:val="20"/>
          <w:lang w:val="es-UY"/>
        </w:rPr>
        <w:t xml:space="preserve"> internos</w:t>
      </w:r>
      <w:r w:rsidR="00F55A99" w:rsidRPr="00DD705B">
        <w:rPr>
          <w:rFonts w:asciiTheme="majorHAnsi" w:hAnsiTheme="majorHAnsi"/>
          <w:sz w:val="20"/>
          <w:szCs w:val="20"/>
          <w:lang w:val="es-UY"/>
        </w:rPr>
        <w:t xml:space="preserve"> por parte </w:t>
      </w:r>
      <w:r w:rsidR="00FD5B4C" w:rsidRPr="00DD705B">
        <w:rPr>
          <w:rFonts w:asciiTheme="majorHAnsi" w:hAnsiTheme="majorHAnsi"/>
          <w:sz w:val="20"/>
          <w:szCs w:val="20"/>
          <w:lang w:val="es-UY"/>
        </w:rPr>
        <w:t>del peticionario</w:t>
      </w:r>
      <w:r w:rsidRPr="00DD705B">
        <w:rPr>
          <w:rFonts w:asciiTheme="majorHAnsi" w:hAnsiTheme="majorHAnsi"/>
          <w:sz w:val="20"/>
          <w:szCs w:val="20"/>
          <w:lang w:val="es-UY"/>
        </w:rPr>
        <w:t>.</w:t>
      </w:r>
    </w:p>
    <w:p w:rsidR="00741288" w:rsidRDefault="00741288" w:rsidP="00741288">
      <w:pPr>
        <w:pStyle w:val="ListParagraph"/>
        <w:rPr>
          <w:rFonts w:asciiTheme="majorHAnsi" w:hAnsiTheme="majorHAnsi"/>
          <w:sz w:val="20"/>
          <w:szCs w:val="20"/>
          <w:lang w:val="es-UY"/>
        </w:rPr>
      </w:pPr>
    </w:p>
    <w:p w:rsidR="0063685A" w:rsidRPr="00A60069" w:rsidRDefault="0063685A" w:rsidP="009F0583">
      <w:pPr>
        <w:spacing w:after="240"/>
        <w:ind w:firstLine="720"/>
        <w:jc w:val="both"/>
        <w:rPr>
          <w:rFonts w:asciiTheme="majorHAnsi" w:hAnsiTheme="majorHAnsi"/>
          <w:b/>
          <w:bCs/>
          <w:sz w:val="20"/>
          <w:szCs w:val="20"/>
          <w:lang w:val="es-UY"/>
        </w:rPr>
      </w:pPr>
      <w:r w:rsidRPr="00A60069">
        <w:rPr>
          <w:rFonts w:asciiTheme="majorHAnsi" w:hAnsiTheme="majorHAnsi"/>
          <w:b/>
          <w:bCs/>
          <w:sz w:val="20"/>
          <w:szCs w:val="20"/>
          <w:lang w:val="es-UY"/>
        </w:rPr>
        <w:t>IV.</w:t>
      </w:r>
      <w:r w:rsidRPr="00A60069">
        <w:rPr>
          <w:rFonts w:asciiTheme="majorHAnsi" w:hAnsiTheme="majorHAnsi"/>
          <w:b/>
          <w:bCs/>
          <w:sz w:val="20"/>
          <w:szCs w:val="20"/>
          <w:lang w:val="es-UY"/>
        </w:rPr>
        <w:tab/>
        <w:t>ANÁLISIS SOBRE COMPETENCIA Y ADMISIBILIDAD</w:t>
      </w:r>
    </w:p>
    <w:p w:rsidR="0063685A" w:rsidRPr="00A60069" w:rsidRDefault="0063685A" w:rsidP="009F0583">
      <w:pPr>
        <w:spacing w:after="240"/>
        <w:ind w:left="1440" w:hanging="720"/>
        <w:jc w:val="both"/>
        <w:rPr>
          <w:rFonts w:asciiTheme="majorHAnsi" w:hAnsiTheme="majorHAnsi"/>
          <w:sz w:val="20"/>
          <w:szCs w:val="20"/>
          <w:lang w:val="es-UY"/>
        </w:rPr>
      </w:pPr>
      <w:r w:rsidRPr="00A60069">
        <w:rPr>
          <w:rFonts w:asciiTheme="majorHAnsi" w:hAnsiTheme="majorHAnsi"/>
          <w:b/>
          <w:bCs/>
          <w:sz w:val="20"/>
          <w:szCs w:val="20"/>
          <w:lang w:val="es-UY"/>
        </w:rPr>
        <w:t>A.</w:t>
      </w:r>
      <w:r w:rsidRPr="00A60069">
        <w:rPr>
          <w:rFonts w:asciiTheme="majorHAnsi" w:hAnsiTheme="majorHAnsi"/>
          <w:b/>
          <w:bCs/>
          <w:sz w:val="20"/>
          <w:szCs w:val="20"/>
          <w:lang w:val="es-UY"/>
        </w:rPr>
        <w:tab/>
        <w:t xml:space="preserve">Competencia </w:t>
      </w:r>
    </w:p>
    <w:p w:rsidR="0063685A" w:rsidRPr="00A60069" w:rsidRDefault="00BA54E8" w:rsidP="00E612EC">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A60069">
        <w:rPr>
          <w:rFonts w:asciiTheme="majorHAnsi" w:eastAsia="SimSun" w:hAnsiTheme="majorHAnsi"/>
          <w:sz w:val="20"/>
          <w:szCs w:val="20"/>
          <w:lang w:val="es-UY"/>
        </w:rPr>
        <w:t>El peticionario</w:t>
      </w:r>
      <w:r w:rsidR="00CF597B" w:rsidRPr="00A60069">
        <w:rPr>
          <w:rFonts w:asciiTheme="majorHAnsi" w:eastAsia="SimSun" w:hAnsiTheme="majorHAnsi"/>
          <w:sz w:val="20"/>
          <w:szCs w:val="20"/>
          <w:lang w:val="es-UY"/>
        </w:rPr>
        <w:t xml:space="preserve"> se encuentra </w:t>
      </w:r>
      <w:r w:rsidRPr="00A60069">
        <w:rPr>
          <w:rFonts w:asciiTheme="majorHAnsi" w:eastAsia="SimSun" w:hAnsiTheme="majorHAnsi"/>
          <w:sz w:val="20"/>
          <w:szCs w:val="20"/>
          <w:lang w:val="es-UY"/>
        </w:rPr>
        <w:t>facultado</w:t>
      </w:r>
      <w:r w:rsidR="0063685A" w:rsidRPr="00A60069">
        <w:rPr>
          <w:rFonts w:asciiTheme="majorHAnsi" w:eastAsia="SimSun" w:hAnsiTheme="majorHAnsi"/>
          <w:sz w:val="20"/>
          <w:szCs w:val="20"/>
          <w:lang w:val="es-UY"/>
        </w:rPr>
        <w:t>, en principio, por el artículo 44 de la Convención Americana para presentar peticiones ante la Comisión. La petición señala como presunta víctima a una persona individu</w:t>
      </w:r>
      <w:r w:rsidR="00493AC1" w:rsidRPr="00A60069">
        <w:rPr>
          <w:rFonts w:asciiTheme="majorHAnsi" w:eastAsia="SimSun" w:hAnsiTheme="majorHAnsi"/>
          <w:sz w:val="20"/>
          <w:szCs w:val="20"/>
          <w:lang w:val="es-UY"/>
        </w:rPr>
        <w:t xml:space="preserve">al, respecto de quien el Estado argentino </w:t>
      </w:r>
      <w:r w:rsidR="0063685A" w:rsidRPr="00A60069">
        <w:rPr>
          <w:rFonts w:asciiTheme="majorHAnsi" w:eastAsia="SimSun" w:hAnsiTheme="majorHAnsi"/>
          <w:sz w:val="20"/>
          <w:szCs w:val="20"/>
          <w:lang w:val="es-UY"/>
        </w:rPr>
        <w:t>se comprometió a respetar y garantizar los derechos consagra</w:t>
      </w:r>
      <w:r w:rsidR="00726327" w:rsidRPr="00A60069">
        <w:rPr>
          <w:rFonts w:asciiTheme="majorHAnsi" w:eastAsia="SimSun" w:hAnsiTheme="majorHAnsi"/>
          <w:sz w:val="20"/>
          <w:szCs w:val="20"/>
          <w:lang w:val="es-UY"/>
        </w:rPr>
        <w:t>dos en la Convención Americana,</w:t>
      </w:r>
      <w:r w:rsidR="0063685A" w:rsidRPr="00A60069">
        <w:rPr>
          <w:rFonts w:asciiTheme="majorHAnsi" w:eastAsia="SimSun" w:hAnsiTheme="majorHAnsi"/>
          <w:sz w:val="20"/>
          <w:szCs w:val="20"/>
          <w:lang w:val="es-UY"/>
        </w:rPr>
        <w:t xml:space="preserve"> desde el</w:t>
      </w:r>
      <w:r w:rsidR="00493AC1" w:rsidRPr="00A60069">
        <w:rPr>
          <w:rFonts w:asciiTheme="majorHAnsi" w:eastAsia="SimSun" w:hAnsiTheme="majorHAnsi"/>
          <w:sz w:val="20"/>
          <w:szCs w:val="20"/>
          <w:lang w:val="es-UY"/>
        </w:rPr>
        <w:t xml:space="preserve"> 5 de septiembre de 1984</w:t>
      </w:r>
      <w:r w:rsidR="0063685A" w:rsidRPr="00A60069">
        <w:rPr>
          <w:rFonts w:asciiTheme="majorHAnsi" w:eastAsia="SimSun" w:hAnsiTheme="majorHAnsi"/>
          <w:sz w:val="20"/>
          <w:szCs w:val="20"/>
          <w:lang w:val="es-UY"/>
        </w:rPr>
        <w:t xml:space="preserve">, fecha en la que depositó su instrumento de ratificación. Por lo tanto, la Comisión tiene competencia </w:t>
      </w:r>
      <w:r w:rsidR="0063685A" w:rsidRPr="00A60069">
        <w:rPr>
          <w:rFonts w:asciiTheme="majorHAnsi" w:eastAsia="SimSun" w:hAnsiTheme="majorHAnsi"/>
          <w:i/>
          <w:sz w:val="20"/>
          <w:szCs w:val="20"/>
          <w:lang w:val="es-UY"/>
        </w:rPr>
        <w:t>ratione personae</w:t>
      </w:r>
      <w:r w:rsidR="0063685A" w:rsidRPr="00A60069">
        <w:rPr>
          <w:rFonts w:asciiTheme="majorHAnsi" w:eastAsia="SimSun" w:hAnsiTheme="majorHAnsi"/>
          <w:sz w:val="20"/>
          <w:szCs w:val="20"/>
          <w:lang w:val="es-UY"/>
        </w:rPr>
        <w:t xml:space="preserve"> para examinar la petición. Asimismo, la Comisión tiene competencia </w:t>
      </w:r>
      <w:r w:rsidR="0063685A" w:rsidRPr="00A60069">
        <w:rPr>
          <w:rFonts w:asciiTheme="majorHAnsi" w:eastAsia="SimSun" w:hAnsiTheme="majorHAnsi"/>
          <w:i/>
          <w:sz w:val="20"/>
          <w:szCs w:val="20"/>
          <w:lang w:val="es-UY"/>
        </w:rPr>
        <w:t>ratione loci</w:t>
      </w:r>
      <w:r w:rsidR="0063685A" w:rsidRPr="00A60069">
        <w:rPr>
          <w:rFonts w:asciiTheme="majorHAnsi" w:eastAsia="SimSun" w:hAnsiTheme="majorHAnsi"/>
          <w:sz w:val="20"/>
          <w:szCs w:val="20"/>
          <w:lang w:val="es-UY"/>
        </w:rPr>
        <w:t xml:space="preserve"> para conocer la petición, por cuanto en ella se alegan violaciones de derechos protegidos en la Convención Americana</w:t>
      </w:r>
      <w:r w:rsidR="00FC7ACA" w:rsidRPr="00A60069">
        <w:rPr>
          <w:rFonts w:asciiTheme="majorHAnsi" w:eastAsia="SimSun" w:hAnsiTheme="majorHAnsi"/>
          <w:sz w:val="20"/>
          <w:szCs w:val="20"/>
          <w:lang w:val="es-UY"/>
        </w:rPr>
        <w:t>,</w:t>
      </w:r>
      <w:r w:rsidR="0063685A" w:rsidRPr="00A60069">
        <w:rPr>
          <w:rFonts w:asciiTheme="majorHAnsi" w:eastAsia="SimSun" w:hAnsiTheme="majorHAnsi"/>
          <w:sz w:val="20"/>
          <w:szCs w:val="20"/>
          <w:lang w:val="es-UY"/>
        </w:rPr>
        <w:t xml:space="preserve"> que habrían tenido lugar dentro del territorio de</w:t>
      </w:r>
      <w:r w:rsidR="00493AC1" w:rsidRPr="00A60069">
        <w:rPr>
          <w:rFonts w:asciiTheme="majorHAnsi" w:eastAsia="SimSun" w:hAnsiTheme="majorHAnsi"/>
          <w:sz w:val="20"/>
          <w:szCs w:val="20"/>
          <w:lang w:val="es-UY"/>
        </w:rPr>
        <w:t xml:space="preserve"> Argentina</w:t>
      </w:r>
      <w:r w:rsidR="0063685A" w:rsidRPr="00A60069">
        <w:rPr>
          <w:rFonts w:asciiTheme="majorHAnsi" w:eastAsia="SimSun" w:hAnsiTheme="majorHAnsi"/>
          <w:sz w:val="20"/>
          <w:szCs w:val="20"/>
          <w:lang w:val="es-UY"/>
        </w:rPr>
        <w:t xml:space="preserve">, Estado Parte </w:t>
      </w:r>
      <w:r w:rsidR="00FC7ACA" w:rsidRPr="00A60069">
        <w:rPr>
          <w:rFonts w:asciiTheme="majorHAnsi" w:eastAsia="SimSun" w:hAnsiTheme="majorHAnsi"/>
          <w:sz w:val="20"/>
          <w:szCs w:val="20"/>
          <w:lang w:val="es-UY"/>
        </w:rPr>
        <w:t>de</w:t>
      </w:r>
      <w:r w:rsidR="0063685A" w:rsidRPr="00A60069">
        <w:rPr>
          <w:rFonts w:asciiTheme="majorHAnsi" w:eastAsia="SimSun" w:hAnsiTheme="majorHAnsi"/>
          <w:sz w:val="20"/>
          <w:szCs w:val="20"/>
          <w:lang w:val="es-UY"/>
        </w:rPr>
        <w:t xml:space="preserve"> dicho tratado. </w:t>
      </w:r>
    </w:p>
    <w:p w:rsidR="00547D7F" w:rsidRPr="00A60069"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p>
    <w:p w:rsidR="00726327" w:rsidRPr="00A60069" w:rsidRDefault="0063685A" w:rsidP="00E612EC">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A60069">
        <w:rPr>
          <w:rFonts w:asciiTheme="majorHAnsi" w:eastAsia="SimSun" w:hAnsiTheme="majorHAnsi"/>
          <w:sz w:val="20"/>
          <w:szCs w:val="20"/>
          <w:lang w:val="es-UY"/>
        </w:rPr>
        <w:t xml:space="preserve">La Comisión tiene competencia </w:t>
      </w:r>
      <w:r w:rsidRPr="00A60069">
        <w:rPr>
          <w:rFonts w:asciiTheme="majorHAnsi" w:eastAsia="SimSun" w:hAnsiTheme="majorHAnsi"/>
          <w:i/>
          <w:sz w:val="20"/>
          <w:szCs w:val="20"/>
          <w:lang w:val="es-UY"/>
        </w:rPr>
        <w:t>ratione temporis</w:t>
      </w:r>
      <w:r w:rsidRPr="00A60069">
        <w:rPr>
          <w:rFonts w:asciiTheme="majorHAnsi" w:eastAsia="SimSun" w:hAnsiTheme="majorHAnsi"/>
          <w:sz w:val="20"/>
          <w:szCs w:val="20"/>
          <w:lang w:val="es-UY"/>
        </w:rPr>
        <w:t xml:space="preserve"> </w:t>
      </w:r>
      <w:r w:rsidR="00E612EC" w:rsidRPr="00A60069">
        <w:rPr>
          <w:rFonts w:asciiTheme="majorHAnsi" w:eastAsia="SimSun" w:hAnsiTheme="majorHAnsi"/>
          <w:sz w:val="20"/>
          <w:szCs w:val="20"/>
          <w:lang w:val="es-UY"/>
        </w:rPr>
        <w:t xml:space="preserve">toda vez que, </w:t>
      </w:r>
      <w:r w:rsidRPr="00A60069">
        <w:rPr>
          <w:rFonts w:asciiTheme="majorHAnsi" w:eastAsia="SimSun" w:hAnsiTheme="majorHAnsi"/>
          <w:sz w:val="20"/>
          <w:szCs w:val="20"/>
          <w:lang w:val="es-UY"/>
        </w:rPr>
        <w:t>la obligación de respetar y garantizar los derechos protegidos en la Convención Americana</w:t>
      </w:r>
      <w:r w:rsidR="00E612EC" w:rsidRPr="00A60069">
        <w:rPr>
          <w:rFonts w:asciiTheme="majorHAnsi" w:eastAsia="SimSun" w:hAnsiTheme="majorHAnsi"/>
          <w:sz w:val="20"/>
          <w:szCs w:val="20"/>
          <w:lang w:val="es-UY"/>
        </w:rPr>
        <w:t>,</w:t>
      </w:r>
      <w:r w:rsidRPr="00A60069">
        <w:rPr>
          <w:rFonts w:asciiTheme="majorHAnsi" w:eastAsia="SimSun" w:hAnsiTheme="majorHAnsi"/>
          <w:sz w:val="20"/>
          <w:szCs w:val="20"/>
          <w:lang w:val="es-UY"/>
        </w:rPr>
        <w:t xml:space="preserve"> ya se encontraba en vigor para el Estado en la fecha en que habrían ocurrido los hechos alegados en la petición. Finalmente, la Comisión tiene competencia </w:t>
      </w:r>
      <w:r w:rsidRPr="00A60069">
        <w:rPr>
          <w:rFonts w:asciiTheme="majorHAnsi" w:eastAsia="SimSun" w:hAnsiTheme="majorHAnsi"/>
          <w:i/>
          <w:sz w:val="20"/>
          <w:szCs w:val="20"/>
          <w:lang w:val="es-UY"/>
        </w:rPr>
        <w:t>ratione materiae</w:t>
      </w:r>
      <w:r w:rsidRPr="00A60069">
        <w:rPr>
          <w:rFonts w:asciiTheme="majorHAnsi" w:eastAsia="SimSun" w:hAnsiTheme="majorHAnsi"/>
          <w:sz w:val="20"/>
          <w:szCs w:val="20"/>
          <w:lang w:val="es-UY"/>
        </w:rPr>
        <w:t xml:space="preserve">, </w:t>
      </w:r>
      <w:r w:rsidR="00D110D7" w:rsidRPr="00A60069">
        <w:rPr>
          <w:rFonts w:asciiTheme="majorHAnsi" w:eastAsia="SimSun" w:hAnsiTheme="majorHAnsi"/>
          <w:sz w:val="20"/>
          <w:szCs w:val="20"/>
          <w:lang w:val="es-UY"/>
        </w:rPr>
        <w:t>dado que</w:t>
      </w:r>
      <w:r w:rsidRPr="00A60069">
        <w:rPr>
          <w:rFonts w:asciiTheme="majorHAnsi" w:eastAsia="SimSun" w:hAnsiTheme="majorHAnsi"/>
          <w:sz w:val="20"/>
          <w:szCs w:val="20"/>
          <w:lang w:val="es-UY"/>
        </w:rPr>
        <w:t xml:space="preserve"> en la petición se denuncian posibles violaciones a derechos humanos protegidos por la Convención Americana.</w:t>
      </w:r>
    </w:p>
    <w:p w:rsidR="00547D7F" w:rsidRPr="00A60069"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p>
    <w:p w:rsidR="0063685A" w:rsidRPr="00A60069" w:rsidRDefault="0063685A" w:rsidP="009F058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lang w:val="es-UY"/>
        </w:rPr>
      </w:pPr>
      <w:r w:rsidRPr="00A60069">
        <w:rPr>
          <w:rFonts w:asciiTheme="majorHAnsi" w:hAnsiTheme="majorHAnsi"/>
          <w:b/>
          <w:bCs/>
          <w:sz w:val="20"/>
          <w:szCs w:val="20"/>
          <w:lang w:val="es-UY"/>
        </w:rPr>
        <w:t xml:space="preserve">Requisitos de </w:t>
      </w:r>
      <w:r w:rsidRPr="00A60069">
        <w:rPr>
          <w:rFonts w:asciiTheme="majorHAnsi" w:hAnsiTheme="majorHAnsi"/>
          <w:b/>
          <w:sz w:val="20"/>
          <w:szCs w:val="20"/>
          <w:lang w:val="es-UY"/>
        </w:rPr>
        <w:t>Admisibilidad</w:t>
      </w:r>
    </w:p>
    <w:p w:rsidR="0063685A" w:rsidRPr="00A60069" w:rsidRDefault="0063685A" w:rsidP="009F0583">
      <w:pPr>
        <w:spacing w:after="240"/>
        <w:ind w:firstLine="720"/>
        <w:jc w:val="both"/>
        <w:rPr>
          <w:rFonts w:asciiTheme="majorHAnsi" w:hAnsiTheme="majorHAnsi"/>
          <w:b/>
          <w:sz w:val="20"/>
          <w:szCs w:val="20"/>
          <w:lang w:val="es-UY"/>
        </w:rPr>
      </w:pPr>
      <w:r w:rsidRPr="00A60069">
        <w:rPr>
          <w:rFonts w:asciiTheme="majorHAnsi" w:hAnsiTheme="majorHAnsi"/>
          <w:b/>
          <w:sz w:val="20"/>
          <w:szCs w:val="20"/>
          <w:lang w:val="es-UY"/>
        </w:rPr>
        <w:t>1.</w:t>
      </w:r>
      <w:r w:rsidRPr="00A60069">
        <w:rPr>
          <w:rFonts w:asciiTheme="majorHAnsi" w:hAnsiTheme="majorHAnsi"/>
          <w:b/>
          <w:sz w:val="20"/>
          <w:szCs w:val="20"/>
          <w:lang w:val="es-UY"/>
        </w:rPr>
        <w:tab/>
        <w:t>Agotamiento de los recursos internos</w:t>
      </w:r>
    </w:p>
    <w:p w:rsidR="0063685A" w:rsidRPr="00A60069" w:rsidRDefault="0063685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lang w:val="es-UY"/>
        </w:rPr>
      </w:pPr>
      <w:r w:rsidRPr="00A60069">
        <w:rPr>
          <w:rFonts w:asciiTheme="majorHAnsi" w:hAnsiTheme="majorHAnsi" w:cs="Arial"/>
          <w:sz w:val="20"/>
          <w:szCs w:val="20"/>
          <w:lang w:val="es-PE"/>
        </w:rPr>
        <w:t>El artículo 46</w:t>
      </w:r>
      <w:r w:rsidR="00DA4F40" w:rsidRPr="00A60069">
        <w:rPr>
          <w:rFonts w:asciiTheme="majorHAnsi" w:hAnsiTheme="majorHAnsi" w:cs="Arial"/>
          <w:sz w:val="20"/>
          <w:szCs w:val="20"/>
          <w:lang w:val="es-PE"/>
        </w:rPr>
        <w:t>.1.a</w:t>
      </w:r>
      <w:r w:rsidRPr="00A60069">
        <w:rPr>
          <w:rFonts w:asciiTheme="majorHAnsi" w:hAnsiTheme="majorHAnsi" w:cs="Arial"/>
          <w:sz w:val="20"/>
          <w:szCs w:val="20"/>
          <w:lang w:val="es-PE"/>
        </w:rPr>
        <w:t xml:space="preserve">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w:t>
      </w:r>
      <w:r w:rsidRPr="00A60069">
        <w:rPr>
          <w:rFonts w:asciiTheme="majorHAnsi" w:hAnsiTheme="majorHAnsi"/>
          <w:sz w:val="20"/>
          <w:szCs w:val="20"/>
          <w:lang w:val="es-UY"/>
        </w:rPr>
        <w:t xml:space="preserve">Este requisito tiene como objeto permitir que las autoridades nacionales conozcan sobre la supuesta violación de un derecho protegido y, de ser apropiado, </w:t>
      </w:r>
      <w:r w:rsidR="00485810" w:rsidRPr="00A60069">
        <w:rPr>
          <w:rFonts w:asciiTheme="majorHAnsi" w:hAnsiTheme="majorHAnsi"/>
          <w:sz w:val="20"/>
          <w:szCs w:val="20"/>
          <w:lang w:val="es-UY"/>
        </w:rPr>
        <w:t>solucionen la situación</w:t>
      </w:r>
      <w:r w:rsidRPr="00A60069">
        <w:rPr>
          <w:rFonts w:asciiTheme="majorHAnsi" w:hAnsiTheme="majorHAnsi"/>
          <w:sz w:val="20"/>
          <w:szCs w:val="20"/>
          <w:lang w:val="es-UY"/>
        </w:rPr>
        <w:t xml:space="preserve"> antes de que sea conocida por una instancia internacional</w:t>
      </w:r>
      <w:r w:rsidR="00C95523" w:rsidRPr="00A60069">
        <w:rPr>
          <w:rFonts w:asciiTheme="majorHAnsi" w:hAnsiTheme="majorHAnsi"/>
          <w:sz w:val="20"/>
          <w:szCs w:val="20"/>
          <w:lang w:val="es-UY"/>
        </w:rPr>
        <w:t>.</w:t>
      </w:r>
      <w:r w:rsidRPr="00A60069">
        <w:rPr>
          <w:rFonts w:asciiTheme="majorHAnsi" w:hAnsiTheme="majorHAnsi"/>
          <w:sz w:val="20"/>
          <w:szCs w:val="20"/>
          <w:lang w:val="es-UY"/>
        </w:rPr>
        <w:t xml:space="preserve"> </w:t>
      </w:r>
    </w:p>
    <w:p w:rsidR="00547D7F" w:rsidRPr="00A60069"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lang w:val="es-UY"/>
        </w:rPr>
      </w:pPr>
    </w:p>
    <w:p w:rsidR="00D50DAC" w:rsidRPr="00A60069" w:rsidRDefault="005F6760" w:rsidP="00D50DA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A60069">
        <w:rPr>
          <w:rFonts w:asciiTheme="majorHAnsi" w:hAnsiTheme="majorHAnsi"/>
          <w:sz w:val="20"/>
          <w:szCs w:val="20"/>
          <w:lang w:val="es-UY"/>
        </w:rPr>
        <w:t>El peticionario</w:t>
      </w:r>
      <w:r w:rsidR="0063685A" w:rsidRPr="00A60069">
        <w:rPr>
          <w:rFonts w:asciiTheme="majorHAnsi" w:hAnsiTheme="majorHAnsi"/>
          <w:sz w:val="20"/>
          <w:szCs w:val="20"/>
          <w:lang w:val="es-UY"/>
        </w:rPr>
        <w:t xml:space="preserve"> alega que </w:t>
      </w:r>
      <w:r w:rsidR="000F3ACD" w:rsidRPr="00A60069">
        <w:rPr>
          <w:rFonts w:asciiTheme="majorHAnsi" w:hAnsiTheme="majorHAnsi"/>
          <w:sz w:val="20"/>
          <w:szCs w:val="20"/>
          <w:lang w:val="es-UY"/>
        </w:rPr>
        <w:t xml:space="preserve">los recursos internos disponibles fueron agotados </w:t>
      </w:r>
      <w:r w:rsidR="0025300F" w:rsidRPr="00A60069">
        <w:rPr>
          <w:rFonts w:asciiTheme="majorHAnsi" w:hAnsiTheme="majorHAnsi"/>
          <w:sz w:val="20"/>
          <w:szCs w:val="20"/>
          <w:lang w:val="es-UY"/>
        </w:rPr>
        <w:t>con</w:t>
      </w:r>
      <w:r w:rsidR="000F3ACD" w:rsidRPr="00A60069">
        <w:rPr>
          <w:rFonts w:asciiTheme="majorHAnsi" w:hAnsiTheme="majorHAnsi"/>
          <w:sz w:val="20"/>
          <w:szCs w:val="20"/>
          <w:lang w:val="es-UY"/>
        </w:rPr>
        <w:t xml:space="preserve"> </w:t>
      </w:r>
      <w:r w:rsidR="001448D1" w:rsidRPr="00A60069">
        <w:rPr>
          <w:rFonts w:asciiTheme="majorHAnsi" w:hAnsiTheme="majorHAnsi"/>
          <w:sz w:val="20"/>
          <w:szCs w:val="20"/>
          <w:lang w:val="es-UY"/>
        </w:rPr>
        <w:t>la resolución</w:t>
      </w:r>
      <w:r w:rsidR="0025300F" w:rsidRPr="00A60069">
        <w:rPr>
          <w:rFonts w:asciiTheme="majorHAnsi" w:hAnsiTheme="majorHAnsi"/>
          <w:sz w:val="20"/>
          <w:szCs w:val="20"/>
          <w:lang w:val="es-UY"/>
        </w:rPr>
        <w:t xml:space="preserve"> </w:t>
      </w:r>
      <w:r w:rsidR="009C5C24">
        <w:rPr>
          <w:rFonts w:asciiTheme="majorHAnsi" w:hAnsiTheme="majorHAnsi"/>
          <w:sz w:val="20"/>
          <w:szCs w:val="20"/>
          <w:lang w:val="es-UY"/>
        </w:rPr>
        <w:t>de</w:t>
      </w:r>
      <w:r w:rsidR="00323B34">
        <w:rPr>
          <w:rFonts w:asciiTheme="majorHAnsi" w:hAnsiTheme="majorHAnsi"/>
          <w:sz w:val="20"/>
          <w:szCs w:val="20"/>
          <w:lang w:val="es-UY"/>
        </w:rPr>
        <w:t xml:space="preserve"> la Corte Suprema </w:t>
      </w:r>
      <w:r w:rsidR="009C5C24">
        <w:rPr>
          <w:rFonts w:asciiTheme="majorHAnsi" w:hAnsiTheme="majorHAnsi"/>
          <w:sz w:val="20"/>
          <w:szCs w:val="20"/>
          <w:lang w:val="es-UY"/>
        </w:rPr>
        <w:t>notificada el 17 de agosto de 2000</w:t>
      </w:r>
      <w:r w:rsidR="0025300F" w:rsidRPr="00A60069">
        <w:rPr>
          <w:rFonts w:asciiTheme="majorHAnsi" w:hAnsiTheme="majorHAnsi"/>
          <w:sz w:val="20"/>
          <w:szCs w:val="20"/>
          <w:lang w:val="es-UY"/>
        </w:rPr>
        <w:t xml:space="preserve">, que desestimó su recurso de queja. </w:t>
      </w:r>
      <w:r w:rsidR="0063685A" w:rsidRPr="00A60069">
        <w:rPr>
          <w:rFonts w:asciiTheme="majorHAnsi" w:hAnsiTheme="majorHAnsi"/>
          <w:sz w:val="20"/>
          <w:szCs w:val="20"/>
          <w:lang w:val="es-UY"/>
        </w:rPr>
        <w:t>Po</w:t>
      </w:r>
      <w:r w:rsidR="001448D1" w:rsidRPr="00A60069">
        <w:rPr>
          <w:rFonts w:asciiTheme="majorHAnsi" w:hAnsiTheme="majorHAnsi"/>
          <w:sz w:val="20"/>
          <w:szCs w:val="20"/>
          <w:lang w:val="es-UY"/>
        </w:rPr>
        <w:t>r su parte</w:t>
      </w:r>
      <w:r w:rsidR="00E55D3B" w:rsidRPr="00A60069">
        <w:rPr>
          <w:rFonts w:asciiTheme="majorHAnsi" w:hAnsiTheme="majorHAnsi"/>
          <w:sz w:val="20"/>
          <w:szCs w:val="20"/>
          <w:lang w:val="es-UY"/>
        </w:rPr>
        <w:t>,</w:t>
      </w:r>
      <w:r w:rsidR="001448D1" w:rsidRPr="00A60069">
        <w:rPr>
          <w:rFonts w:asciiTheme="majorHAnsi" w:hAnsiTheme="majorHAnsi"/>
          <w:sz w:val="20"/>
          <w:szCs w:val="20"/>
          <w:lang w:val="es-UY"/>
        </w:rPr>
        <w:t xml:space="preserve"> el Estado indica que</w:t>
      </w:r>
      <w:r w:rsidR="00583C64" w:rsidRPr="00A60069">
        <w:rPr>
          <w:rFonts w:asciiTheme="majorHAnsi" w:hAnsiTheme="majorHAnsi"/>
          <w:sz w:val="20"/>
          <w:szCs w:val="20"/>
          <w:lang w:val="es-UY"/>
        </w:rPr>
        <w:t xml:space="preserve"> la presunta víctima </w:t>
      </w:r>
      <w:r w:rsidR="00655393" w:rsidRPr="00A60069">
        <w:rPr>
          <w:rFonts w:asciiTheme="majorHAnsi" w:hAnsiTheme="majorHAnsi"/>
          <w:sz w:val="20"/>
          <w:szCs w:val="20"/>
          <w:lang w:val="es-UY"/>
        </w:rPr>
        <w:t xml:space="preserve">no agotó los recursos </w:t>
      </w:r>
      <w:r w:rsidR="00583C64" w:rsidRPr="00A60069">
        <w:rPr>
          <w:rFonts w:asciiTheme="majorHAnsi" w:hAnsiTheme="majorHAnsi"/>
          <w:sz w:val="20"/>
          <w:szCs w:val="20"/>
          <w:lang w:val="es-UY"/>
        </w:rPr>
        <w:t>establecidos en la</w:t>
      </w:r>
      <w:r w:rsidR="00655393" w:rsidRPr="00A60069">
        <w:rPr>
          <w:rFonts w:asciiTheme="majorHAnsi" w:hAnsiTheme="majorHAnsi"/>
          <w:sz w:val="20"/>
          <w:szCs w:val="20"/>
          <w:lang w:val="es-UY"/>
        </w:rPr>
        <w:t xml:space="preserve"> jurisdicción interna</w:t>
      </w:r>
      <w:r w:rsidR="00583C64" w:rsidRPr="00A60069">
        <w:rPr>
          <w:rFonts w:asciiTheme="majorHAnsi" w:hAnsiTheme="majorHAnsi"/>
          <w:sz w:val="20"/>
          <w:szCs w:val="20"/>
          <w:lang w:val="es-UY"/>
        </w:rPr>
        <w:t xml:space="preserve">, pues no interpuso </w:t>
      </w:r>
      <w:r w:rsidR="00655393" w:rsidRPr="00A60069">
        <w:rPr>
          <w:rFonts w:asciiTheme="majorHAnsi" w:hAnsiTheme="majorHAnsi"/>
          <w:sz w:val="20"/>
          <w:szCs w:val="20"/>
          <w:lang w:val="es-UY"/>
        </w:rPr>
        <w:t xml:space="preserve">previamente el recurso de reconsideración </w:t>
      </w:r>
      <w:r w:rsidR="000F6FED" w:rsidRPr="00A60069">
        <w:rPr>
          <w:rFonts w:asciiTheme="majorHAnsi" w:hAnsiTheme="majorHAnsi"/>
          <w:sz w:val="20"/>
          <w:szCs w:val="20"/>
          <w:lang w:val="es-UY"/>
        </w:rPr>
        <w:t>e incluso el</w:t>
      </w:r>
      <w:r w:rsidR="00655393" w:rsidRPr="00A60069">
        <w:rPr>
          <w:rFonts w:asciiTheme="majorHAnsi" w:hAnsiTheme="majorHAnsi"/>
          <w:sz w:val="20"/>
          <w:szCs w:val="20"/>
          <w:lang w:val="es-UY"/>
        </w:rPr>
        <w:t xml:space="preserve"> recurso de inconstitucionalidad.</w:t>
      </w:r>
    </w:p>
    <w:p w:rsidR="00D50DAC" w:rsidRPr="00A60069" w:rsidRDefault="00D50DAC" w:rsidP="00D50DAC">
      <w:pPr>
        <w:pStyle w:val="ListParagraph"/>
        <w:rPr>
          <w:rFonts w:asciiTheme="majorHAnsi" w:hAnsiTheme="majorHAnsi"/>
          <w:sz w:val="20"/>
          <w:szCs w:val="20"/>
          <w:lang w:val="es-ES"/>
        </w:rPr>
      </w:pPr>
    </w:p>
    <w:p w:rsidR="00D50DAC" w:rsidRPr="00A60069" w:rsidRDefault="00D50DAC" w:rsidP="00D50DA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A60069">
        <w:rPr>
          <w:rFonts w:asciiTheme="majorHAnsi" w:hAnsiTheme="majorHAnsi"/>
          <w:sz w:val="20"/>
          <w:szCs w:val="20"/>
          <w:lang w:val="es-ES"/>
        </w:rPr>
        <w:t xml:space="preserve">Para decidir si las peticiones formuladas por los peticionarios deben considerarse inadmisibles por no haberse agotado los recursos internos disponibles en las leyes internas, la Comisión hace referencia a los principios básicos que rigen la naturaleza de los recursos que deben agotarse en el </w:t>
      </w:r>
      <w:r w:rsidR="00A46CD6" w:rsidRPr="00A60069">
        <w:rPr>
          <w:rFonts w:asciiTheme="majorHAnsi" w:hAnsiTheme="majorHAnsi"/>
          <w:sz w:val="20"/>
          <w:szCs w:val="20"/>
          <w:lang w:val="es-ES"/>
        </w:rPr>
        <w:t>S</w:t>
      </w:r>
      <w:r w:rsidRPr="00A60069">
        <w:rPr>
          <w:rFonts w:asciiTheme="majorHAnsi" w:hAnsiTheme="majorHAnsi"/>
          <w:sz w:val="20"/>
          <w:szCs w:val="20"/>
          <w:lang w:val="es-ES"/>
        </w:rPr>
        <w:t xml:space="preserve">istema </w:t>
      </w:r>
      <w:r w:rsidR="00A46CD6" w:rsidRPr="00A60069">
        <w:rPr>
          <w:rFonts w:asciiTheme="majorHAnsi" w:hAnsiTheme="majorHAnsi"/>
          <w:sz w:val="20"/>
          <w:szCs w:val="20"/>
          <w:lang w:val="es-ES"/>
        </w:rPr>
        <w:t>I</w:t>
      </w:r>
      <w:r w:rsidRPr="00A60069">
        <w:rPr>
          <w:rFonts w:asciiTheme="majorHAnsi" w:hAnsiTheme="majorHAnsi"/>
          <w:sz w:val="20"/>
          <w:szCs w:val="20"/>
          <w:lang w:val="es-ES"/>
        </w:rPr>
        <w:t>nteramericano</w:t>
      </w:r>
      <w:r w:rsidR="00A46CD6" w:rsidRPr="00A60069">
        <w:rPr>
          <w:rFonts w:asciiTheme="majorHAnsi" w:hAnsiTheme="majorHAnsi"/>
          <w:sz w:val="20"/>
          <w:szCs w:val="20"/>
          <w:lang w:val="es-ES"/>
        </w:rPr>
        <w:t>;</w:t>
      </w:r>
      <w:r w:rsidRPr="00A60069">
        <w:rPr>
          <w:rFonts w:asciiTheme="majorHAnsi" w:hAnsiTheme="majorHAnsi"/>
          <w:sz w:val="20"/>
          <w:szCs w:val="20"/>
          <w:lang w:val="es-ES"/>
        </w:rPr>
        <w:t xml:space="preserve"> es decir, si los mismos pueden abordar adecuadamente la violación de un derecho jurídico y si efectivamente pueden producir el resultado para el cual fueron creados</w:t>
      </w:r>
      <w:r w:rsidRPr="00A60069">
        <w:rPr>
          <w:rStyle w:val="FootnoteReference"/>
          <w:rFonts w:asciiTheme="majorHAnsi" w:hAnsiTheme="majorHAnsi"/>
          <w:sz w:val="20"/>
          <w:szCs w:val="20"/>
          <w:lang w:val="es-ES"/>
        </w:rPr>
        <w:footnoteReference w:id="3"/>
      </w:r>
      <w:r w:rsidRPr="00A60069">
        <w:rPr>
          <w:rFonts w:asciiTheme="majorHAnsi" w:hAnsiTheme="majorHAnsi"/>
          <w:sz w:val="20"/>
          <w:szCs w:val="20"/>
          <w:lang w:val="es-ES"/>
        </w:rPr>
        <w:t xml:space="preserve">. </w:t>
      </w:r>
    </w:p>
    <w:p w:rsidR="000044F5" w:rsidRPr="00A60069" w:rsidRDefault="000044F5" w:rsidP="000044F5">
      <w:pPr>
        <w:pStyle w:val="ListParagraph"/>
        <w:rPr>
          <w:rFonts w:asciiTheme="majorHAnsi" w:hAnsiTheme="majorHAnsi"/>
          <w:sz w:val="20"/>
          <w:szCs w:val="20"/>
          <w:lang w:val="es-UY"/>
        </w:rPr>
      </w:pPr>
    </w:p>
    <w:p w:rsidR="00B93072" w:rsidRPr="00A60069" w:rsidRDefault="00DD5377" w:rsidP="00EA48E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color w:val="FF0000"/>
          <w:sz w:val="20"/>
          <w:szCs w:val="20"/>
          <w:lang w:val="es-UY"/>
        </w:rPr>
      </w:pPr>
      <w:r w:rsidRPr="00A60069">
        <w:rPr>
          <w:rFonts w:asciiTheme="majorHAnsi" w:hAnsiTheme="majorHAnsi"/>
          <w:sz w:val="20"/>
          <w:szCs w:val="20"/>
          <w:lang w:val="es-UY"/>
        </w:rPr>
        <w:t>De</w:t>
      </w:r>
      <w:r w:rsidR="00907393" w:rsidRPr="00A60069">
        <w:rPr>
          <w:rFonts w:asciiTheme="majorHAnsi" w:hAnsiTheme="majorHAnsi"/>
          <w:sz w:val="20"/>
          <w:szCs w:val="20"/>
          <w:lang w:val="es-UY"/>
        </w:rPr>
        <w:t xml:space="preserve"> la información proporcionada por las partes, la CIDH </w:t>
      </w:r>
      <w:r w:rsidRPr="00A60069">
        <w:rPr>
          <w:rFonts w:asciiTheme="majorHAnsi" w:hAnsiTheme="majorHAnsi"/>
          <w:sz w:val="20"/>
          <w:szCs w:val="20"/>
          <w:lang w:val="es-UY"/>
        </w:rPr>
        <w:t>considera</w:t>
      </w:r>
      <w:r w:rsidR="00907393" w:rsidRPr="00A60069">
        <w:rPr>
          <w:rFonts w:asciiTheme="majorHAnsi" w:hAnsiTheme="majorHAnsi"/>
          <w:sz w:val="20"/>
          <w:szCs w:val="20"/>
          <w:lang w:val="es-UY"/>
        </w:rPr>
        <w:t xml:space="preserve"> que </w:t>
      </w:r>
      <w:r w:rsidR="00D50DAC" w:rsidRPr="00A60069">
        <w:rPr>
          <w:rFonts w:asciiTheme="majorHAnsi" w:hAnsiTheme="majorHAnsi"/>
          <w:sz w:val="20"/>
          <w:szCs w:val="20"/>
          <w:lang w:val="es-UY"/>
        </w:rPr>
        <w:t>el recurso de reconsideración</w:t>
      </w:r>
      <w:r w:rsidR="00907393" w:rsidRPr="00A60069">
        <w:rPr>
          <w:rFonts w:asciiTheme="majorHAnsi" w:hAnsiTheme="majorHAnsi"/>
          <w:sz w:val="20"/>
          <w:szCs w:val="20"/>
          <w:lang w:val="es-UY"/>
        </w:rPr>
        <w:t xml:space="preserve">, previsto en el artículo 19 del Decreto Ley 1285/58, </w:t>
      </w:r>
      <w:r w:rsidR="00D50DAC" w:rsidRPr="00A60069">
        <w:rPr>
          <w:rFonts w:asciiTheme="majorHAnsi" w:hAnsiTheme="majorHAnsi"/>
          <w:sz w:val="20"/>
          <w:szCs w:val="20"/>
          <w:lang w:val="es-UY"/>
        </w:rPr>
        <w:t>no tenía la posibilidad jurídica de abordar los hechos que alega el peticionario como violatorios de sus derechos</w:t>
      </w:r>
      <w:r w:rsidR="00907393" w:rsidRPr="00A60069">
        <w:rPr>
          <w:rFonts w:asciiTheme="majorHAnsi" w:hAnsiTheme="majorHAnsi"/>
          <w:sz w:val="20"/>
          <w:szCs w:val="20"/>
          <w:lang w:val="es-UY"/>
        </w:rPr>
        <w:t xml:space="preserve">, </w:t>
      </w:r>
      <w:r w:rsidR="007B53D0" w:rsidRPr="00A60069">
        <w:rPr>
          <w:rFonts w:asciiTheme="majorHAnsi" w:hAnsiTheme="majorHAnsi"/>
          <w:sz w:val="20"/>
          <w:szCs w:val="20"/>
          <w:lang w:val="es-UY"/>
        </w:rPr>
        <w:t xml:space="preserve"> </w:t>
      </w:r>
      <w:r w:rsidR="001A2E17" w:rsidRPr="00A60069">
        <w:rPr>
          <w:rFonts w:asciiTheme="majorHAnsi" w:hAnsiTheme="majorHAnsi"/>
          <w:sz w:val="20"/>
          <w:szCs w:val="20"/>
          <w:lang w:val="es-UY"/>
        </w:rPr>
        <w:t>toda vez</w:t>
      </w:r>
      <w:r w:rsidR="007B53D0" w:rsidRPr="00A60069">
        <w:rPr>
          <w:rFonts w:asciiTheme="majorHAnsi" w:hAnsiTheme="majorHAnsi"/>
          <w:sz w:val="20"/>
          <w:szCs w:val="20"/>
          <w:lang w:val="es-UY"/>
        </w:rPr>
        <w:t xml:space="preserve"> que</w:t>
      </w:r>
      <w:r w:rsidR="001A2E17" w:rsidRPr="00A60069">
        <w:rPr>
          <w:rFonts w:asciiTheme="majorHAnsi" w:hAnsiTheme="majorHAnsi"/>
          <w:sz w:val="20"/>
          <w:szCs w:val="20"/>
          <w:lang w:val="es-UY"/>
        </w:rPr>
        <w:t xml:space="preserve"> </w:t>
      </w:r>
      <w:r w:rsidR="007B53D0" w:rsidRPr="00A60069">
        <w:rPr>
          <w:rFonts w:asciiTheme="majorHAnsi" w:hAnsiTheme="majorHAnsi"/>
          <w:sz w:val="20"/>
          <w:szCs w:val="20"/>
          <w:lang w:val="es-UY"/>
        </w:rPr>
        <w:t>se encontraba previsto</w:t>
      </w:r>
      <w:r w:rsidR="003A6DE9" w:rsidRPr="00A60069">
        <w:rPr>
          <w:rFonts w:asciiTheme="majorHAnsi" w:hAnsiTheme="majorHAnsi"/>
          <w:sz w:val="20"/>
          <w:szCs w:val="20"/>
          <w:lang w:val="es-UY"/>
        </w:rPr>
        <w:t xml:space="preserve"> para ot</w:t>
      </w:r>
      <w:r w:rsidR="00B93072" w:rsidRPr="00A60069">
        <w:rPr>
          <w:rFonts w:asciiTheme="majorHAnsi" w:hAnsiTheme="majorHAnsi"/>
          <w:sz w:val="20"/>
          <w:szCs w:val="20"/>
          <w:lang w:val="es-UY"/>
        </w:rPr>
        <w:t>ro tipo de supuestos</w:t>
      </w:r>
      <w:r w:rsidR="00214516" w:rsidRPr="00A60069">
        <w:rPr>
          <w:rFonts w:asciiTheme="majorHAnsi" w:hAnsiTheme="majorHAnsi"/>
          <w:sz w:val="20"/>
          <w:szCs w:val="20"/>
          <w:lang w:val="es-UY"/>
        </w:rPr>
        <w:t xml:space="preserve">, que fue el marco normativo </w:t>
      </w:r>
      <w:r w:rsidR="0070624C" w:rsidRPr="00A60069">
        <w:rPr>
          <w:rFonts w:asciiTheme="majorHAnsi" w:hAnsiTheme="majorHAnsi"/>
          <w:sz w:val="20"/>
          <w:szCs w:val="20"/>
          <w:lang w:val="es-UY"/>
        </w:rPr>
        <w:t>que rigió los hechos del presente caso</w:t>
      </w:r>
      <w:r w:rsidR="00DB264A" w:rsidRPr="00A60069">
        <w:rPr>
          <w:rFonts w:asciiTheme="majorHAnsi" w:hAnsiTheme="majorHAnsi"/>
          <w:sz w:val="20"/>
          <w:szCs w:val="20"/>
          <w:lang w:val="es-UY"/>
        </w:rPr>
        <w:t>.</w:t>
      </w:r>
      <w:r w:rsidR="00323B34">
        <w:rPr>
          <w:rFonts w:asciiTheme="majorHAnsi" w:hAnsiTheme="majorHAnsi"/>
          <w:sz w:val="20"/>
          <w:szCs w:val="20"/>
          <w:lang w:val="es-UY"/>
        </w:rPr>
        <w:t xml:space="preserve"> </w:t>
      </w:r>
      <w:r w:rsidR="00E96402">
        <w:rPr>
          <w:rFonts w:asciiTheme="majorHAnsi" w:hAnsiTheme="majorHAnsi"/>
          <w:sz w:val="20"/>
          <w:szCs w:val="20"/>
          <w:lang w:val="es-UY"/>
        </w:rPr>
        <w:t>D</w:t>
      </w:r>
      <w:r w:rsidR="00B93072" w:rsidRPr="00A60069">
        <w:rPr>
          <w:rFonts w:asciiTheme="majorHAnsi" w:hAnsiTheme="majorHAnsi"/>
          <w:sz w:val="20"/>
          <w:szCs w:val="20"/>
          <w:lang w:val="es-UY"/>
        </w:rPr>
        <w:t xml:space="preserve">e la </w:t>
      </w:r>
      <w:r w:rsidR="00E96402">
        <w:rPr>
          <w:rFonts w:asciiTheme="majorHAnsi" w:hAnsiTheme="majorHAnsi"/>
          <w:sz w:val="20"/>
          <w:szCs w:val="20"/>
          <w:lang w:val="es-UY"/>
        </w:rPr>
        <w:t>revisión del citado Decreto Ley</w:t>
      </w:r>
      <w:r w:rsidR="00B93072" w:rsidRPr="00A60069">
        <w:rPr>
          <w:rFonts w:asciiTheme="majorHAnsi" w:hAnsiTheme="majorHAnsi"/>
          <w:sz w:val="20"/>
          <w:szCs w:val="20"/>
          <w:lang w:val="es-UY"/>
        </w:rPr>
        <w:t xml:space="preserve"> se observa que éste prevé el procedimiento impugnatorio de sanciones disciplinarias a abogados, procuradores, </w:t>
      </w:r>
      <w:r w:rsidR="00C100EF" w:rsidRPr="00A60069">
        <w:rPr>
          <w:rFonts w:asciiTheme="majorHAnsi" w:hAnsiTheme="majorHAnsi"/>
          <w:sz w:val="20"/>
          <w:szCs w:val="20"/>
          <w:lang w:val="es-UY"/>
        </w:rPr>
        <w:t>litigantes y otras personas que obstruyeren el curso de la justicia</w:t>
      </w:r>
      <w:r w:rsidR="001D4BCD" w:rsidRPr="00A60069">
        <w:rPr>
          <w:rFonts w:asciiTheme="majorHAnsi" w:hAnsiTheme="majorHAnsi"/>
          <w:sz w:val="20"/>
          <w:szCs w:val="20"/>
          <w:lang w:val="es-UY"/>
        </w:rPr>
        <w:t xml:space="preserve"> en </w:t>
      </w:r>
      <w:r w:rsidR="001D4BCD" w:rsidRPr="00A60069">
        <w:rPr>
          <w:rFonts w:asciiTheme="majorHAnsi" w:hAnsiTheme="majorHAnsi"/>
          <w:sz w:val="20"/>
          <w:szCs w:val="20"/>
          <w:lang w:val="es-UY"/>
        </w:rPr>
        <w:lastRenderedPageBreak/>
        <w:t>cualquier materia judicial</w:t>
      </w:r>
      <w:r w:rsidR="00C100EF" w:rsidRPr="00A60069">
        <w:rPr>
          <w:rStyle w:val="FootnoteReference"/>
          <w:rFonts w:asciiTheme="majorHAnsi" w:hAnsiTheme="majorHAnsi"/>
          <w:sz w:val="20"/>
          <w:szCs w:val="20"/>
          <w:lang w:val="es-UY"/>
        </w:rPr>
        <w:footnoteReference w:id="4"/>
      </w:r>
      <w:r w:rsidR="001D4BCD" w:rsidRPr="00A60069">
        <w:rPr>
          <w:rFonts w:asciiTheme="majorHAnsi" w:hAnsiTheme="majorHAnsi"/>
          <w:sz w:val="20"/>
          <w:szCs w:val="20"/>
          <w:lang w:val="es-UY"/>
        </w:rPr>
        <w:t xml:space="preserve"> </w:t>
      </w:r>
      <w:r w:rsidR="00C100EF" w:rsidRPr="00A60069">
        <w:rPr>
          <w:rFonts w:asciiTheme="majorHAnsi" w:hAnsiTheme="majorHAnsi"/>
          <w:sz w:val="20"/>
          <w:szCs w:val="20"/>
          <w:lang w:val="es-UY"/>
        </w:rPr>
        <w:t xml:space="preserve">y no </w:t>
      </w:r>
      <w:r w:rsidR="00323B34">
        <w:rPr>
          <w:rFonts w:asciiTheme="majorHAnsi" w:hAnsiTheme="majorHAnsi"/>
          <w:sz w:val="20"/>
          <w:szCs w:val="20"/>
          <w:lang w:val="es-UY"/>
        </w:rPr>
        <w:t>se refiere a</w:t>
      </w:r>
      <w:r w:rsidR="00E4714F" w:rsidRPr="00A60069">
        <w:rPr>
          <w:rFonts w:asciiTheme="majorHAnsi" w:hAnsiTheme="majorHAnsi"/>
          <w:sz w:val="20"/>
          <w:szCs w:val="20"/>
          <w:lang w:val="es-UY"/>
        </w:rPr>
        <w:t xml:space="preserve"> l</w:t>
      </w:r>
      <w:r w:rsidR="00C100EF" w:rsidRPr="00A60069">
        <w:rPr>
          <w:rFonts w:asciiTheme="majorHAnsi" w:hAnsiTheme="majorHAnsi"/>
          <w:sz w:val="20"/>
          <w:szCs w:val="20"/>
          <w:lang w:val="es-UY"/>
        </w:rPr>
        <w:t>a</w:t>
      </w:r>
      <w:r w:rsidR="00E4714F" w:rsidRPr="00A60069">
        <w:rPr>
          <w:rFonts w:asciiTheme="majorHAnsi" w:hAnsiTheme="majorHAnsi"/>
          <w:sz w:val="20"/>
          <w:szCs w:val="20"/>
          <w:lang w:val="es-UY"/>
        </w:rPr>
        <w:t>s</w:t>
      </w:r>
      <w:r w:rsidR="00C100EF" w:rsidRPr="00A60069">
        <w:rPr>
          <w:rFonts w:asciiTheme="majorHAnsi" w:hAnsiTheme="majorHAnsi"/>
          <w:sz w:val="20"/>
          <w:szCs w:val="20"/>
          <w:lang w:val="es-UY"/>
        </w:rPr>
        <w:t xml:space="preserve"> multas procesales</w:t>
      </w:r>
      <w:r w:rsidR="00E4714F" w:rsidRPr="00A60069">
        <w:rPr>
          <w:rFonts w:asciiTheme="majorHAnsi" w:hAnsiTheme="majorHAnsi"/>
          <w:sz w:val="20"/>
          <w:szCs w:val="20"/>
          <w:lang w:val="es-UY"/>
        </w:rPr>
        <w:t xml:space="preserve"> impuestas</w:t>
      </w:r>
      <w:r w:rsidR="006D792C" w:rsidRPr="00A60069">
        <w:rPr>
          <w:rFonts w:asciiTheme="majorHAnsi" w:hAnsiTheme="majorHAnsi"/>
          <w:sz w:val="20"/>
          <w:szCs w:val="20"/>
          <w:lang w:val="es-UY"/>
        </w:rPr>
        <w:t xml:space="preserve"> por</w:t>
      </w:r>
      <w:r w:rsidR="00E4714F" w:rsidRPr="00A60069">
        <w:rPr>
          <w:rFonts w:asciiTheme="majorHAnsi" w:hAnsiTheme="majorHAnsi"/>
          <w:sz w:val="20"/>
          <w:szCs w:val="20"/>
          <w:lang w:val="es-UY"/>
        </w:rPr>
        <w:t xml:space="preserve"> temer</w:t>
      </w:r>
      <w:r w:rsidR="001D4BCD" w:rsidRPr="00A60069">
        <w:rPr>
          <w:rFonts w:asciiTheme="majorHAnsi" w:hAnsiTheme="majorHAnsi"/>
          <w:sz w:val="20"/>
          <w:szCs w:val="20"/>
          <w:lang w:val="es-UY"/>
        </w:rPr>
        <w:t>idad o malicia</w:t>
      </w:r>
      <w:r w:rsidR="0013793C" w:rsidRPr="00A60069">
        <w:rPr>
          <w:rFonts w:asciiTheme="majorHAnsi" w:hAnsiTheme="majorHAnsi"/>
          <w:sz w:val="20"/>
          <w:szCs w:val="20"/>
          <w:lang w:val="es-UY"/>
        </w:rPr>
        <w:t xml:space="preserve"> previstas en el Código Procesal Civil y Comercial</w:t>
      </w:r>
      <w:r w:rsidR="00E4714F" w:rsidRPr="00A60069">
        <w:rPr>
          <w:rFonts w:asciiTheme="majorHAnsi" w:hAnsiTheme="majorHAnsi"/>
          <w:sz w:val="20"/>
          <w:szCs w:val="20"/>
          <w:lang w:val="es-UY"/>
        </w:rPr>
        <w:t>, que es el aspecto por el que fue sancionado el peticionario</w:t>
      </w:r>
      <w:r w:rsidR="00C100EF" w:rsidRPr="00A60069">
        <w:rPr>
          <w:rFonts w:asciiTheme="majorHAnsi" w:hAnsiTheme="majorHAnsi"/>
          <w:sz w:val="20"/>
          <w:szCs w:val="20"/>
          <w:lang w:val="es-UY"/>
        </w:rPr>
        <w:t xml:space="preserve">. </w:t>
      </w:r>
      <w:r w:rsidR="00323B34">
        <w:rPr>
          <w:rFonts w:asciiTheme="majorHAnsi" w:hAnsiTheme="majorHAnsi"/>
          <w:sz w:val="20"/>
          <w:szCs w:val="20"/>
          <w:lang w:val="es-UY"/>
        </w:rPr>
        <w:t xml:space="preserve">El Estado no ha presentado </w:t>
      </w:r>
      <w:r w:rsidR="002B0BDB">
        <w:rPr>
          <w:rFonts w:asciiTheme="majorHAnsi" w:hAnsiTheme="majorHAnsi"/>
          <w:sz w:val="20"/>
          <w:szCs w:val="20"/>
          <w:lang w:val="es-UY"/>
        </w:rPr>
        <w:t>información</w:t>
      </w:r>
      <w:r w:rsidR="00323B34">
        <w:rPr>
          <w:rFonts w:asciiTheme="majorHAnsi" w:hAnsiTheme="majorHAnsi"/>
          <w:sz w:val="20"/>
          <w:szCs w:val="20"/>
          <w:lang w:val="es-UY"/>
        </w:rPr>
        <w:t xml:space="preserve"> para se</w:t>
      </w:r>
      <w:r w:rsidR="00E96402">
        <w:rPr>
          <w:rFonts w:asciiTheme="majorHAnsi" w:hAnsiTheme="majorHAnsi"/>
          <w:sz w:val="20"/>
          <w:szCs w:val="20"/>
          <w:lang w:val="es-UY"/>
        </w:rPr>
        <w:t>ñalar có</w:t>
      </w:r>
      <w:r w:rsidR="00323B34">
        <w:rPr>
          <w:rFonts w:asciiTheme="majorHAnsi" w:hAnsiTheme="majorHAnsi"/>
          <w:sz w:val="20"/>
          <w:szCs w:val="20"/>
          <w:lang w:val="es-UY"/>
        </w:rPr>
        <w:t xml:space="preserve">mo dicha normativa habría sido aplicable al presente caso. </w:t>
      </w:r>
    </w:p>
    <w:p w:rsidR="00B93072" w:rsidRPr="00A60069" w:rsidRDefault="00B93072" w:rsidP="00B93072">
      <w:pPr>
        <w:pStyle w:val="ListParagraph"/>
        <w:rPr>
          <w:rFonts w:asciiTheme="majorHAnsi" w:hAnsiTheme="majorHAnsi"/>
          <w:sz w:val="20"/>
          <w:szCs w:val="20"/>
          <w:lang w:val="es-UY"/>
        </w:rPr>
      </w:pPr>
    </w:p>
    <w:p w:rsidR="00234E71" w:rsidRPr="00403577" w:rsidRDefault="00DB264A" w:rsidP="00077B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color w:val="FF0000"/>
          <w:sz w:val="20"/>
          <w:szCs w:val="20"/>
          <w:lang w:val="es-UY"/>
        </w:rPr>
      </w:pPr>
      <w:r w:rsidRPr="00403577">
        <w:rPr>
          <w:rFonts w:asciiTheme="majorHAnsi" w:hAnsiTheme="majorHAnsi"/>
          <w:sz w:val="20"/>
          <w:szCs w:val="20"/>
          <w:lang w:val="es-UY"/>
        </w:rPr>
        <w:t xml:space="preserve"> </w:t>
      </w:r>
      <w:r w:rsidR="00C010D1" w:rsidRPr="00403577">
        <w:rPr>
          <w:rFonts w:asciiTheme="majorHAnsi" w:hAnsiTheme="majorHAnsi"/>
          <w:sz w:val="20"/>
          <w:szCs w:val="20"/>
          <w:lang w:val="es-UY"/>
        </w:rPr>
        <w:t xml:space="preserve">Asimismo, </w:t>
      </w:r>
      <w:r w:rsidR="004A67EB" w:rsidRPr="00403577">
        <w:rPr>
          <w:rFonts w:asciiTheme="majorHAnsi" w:hAnsiTheme="majorHAnsi"/>
          <w:sz w:val="20"/>
          <w:szCs w:val="20"/>
          <w:lang w:val="es-UY"/>
        </w:rPr>
        <w:t xml:space="preserve">en relación </w:t>
      </w:r>
      <w:r w:rsidR="00A97F36" w:rsidRPr="00403577">
        <w:rPr>
          <w:rFonts w:asciiTheme="majorHAnsi" w:hAnsiTheme="majorHAnsi"/>
          <w:sz w:val="20"/>
          <w:szCs w:val="20"/>
          <w:lang w:val="es-UY"/>
        </w:rPr>
        <w:t>con e</w:t>
      </w:r>
      <w:r w:rsidR="009C5B8D" w:rsidRPr="00403577">
        <w:rPr>
          <w:rFonts w:asciiTheme="majorHAnsi" w:hAnsiTheme="majorHAnsi"/>
          <w:sz w:val="20"/>
          <w:szCs w:val="20"/>
          <w:lang w:val="es-UY"/>
        </w:rPr>
        <w:t>l</w:t>
      </w:r>
      <w:r w:rsidR="00D50DAC" w:rsidRPr="00403577">
        <w:rPr>
          <w:rFonts w:asciiTheme="majorHAnsi" w:hAnsiTheme="majorHAnsi"/>
          <w:sz w:val="20"/>
          <w:szCs w:val="20"/>
          <w:lang w:val="es-UY"/>
        </w:rPr>
        <w:t xml:space="preserve"> recurso de inconstitucionalidad </w:t>
      </w:r>
      <w:r w:rsidR="004A67EB" w:rsidRPr="00403577">
        <w:rPr>
          <w:rFonts w:asciiTheme="majorHAnsi" w:hAnsiTheme="majorHAnsi"/>
          <w:sz w:val="20"/>
          <w:szCs w:val="20"/>
          <w:lang w:val="es-UY"/>
        </w:rPr>
        <w:t xml:space="preserve">en materia probatoria, la CIDH </w:t>
      </w:r>
      <w:r w:rsidR="007E3989" w:rsidRPr="00403577">
        <w:rPr>
          <w:rFonts w:asciiTheme="majorHAnsi" w:hAnsiTheme="majorHAnsi"/>
          <w:sz w:val="20"/>
          <w:szCs w:val="20"/>
          <w:lang w:val="es-UY"/>
        </w:rPr>
        <w:t>considera</w:t>
      </w:r>
      <w:r w:rsidR="004A67EB" w:rsidRPr="00403577">
        <w:rPr>
          <w:rFonts w:asciiTheme="majorHAnsi" w:hAnsiTheme="majorHAnsi"/>
          <w:sz w:val="20"/>
          <w:szCs w:val="20"/>
          <w:lang w:val="es-UY"/>
        </w:rPr>
        <w:t xml:space="preserve"> que éste </w:t>
      </w:r>
      <w:r w:rsidR="00D50DAC" w:rsidRPr="00403577">
        <w:rPr>
          <w:rFonts w:asciiTheme="majorHAnsi" w:hAnsiTheme="majorHAnsi"/>
          <w:sz w:val="20"/>
          <w:szCs w:val="20"/>
          <w:lang w:val="es-UY"/>
        </w:rPr>
        <w:t>únicamente hubiera entrado al estudio de la compatibilidad de una norma con el marco constitucional del Estado y no así al estudio de los hechos en</w:t>
      </w:r>
      <w:r w:rsidR="00C010D1" w:rsidRPr="00403577">
        <w:rPr>
          <w:rFonts w:asciiTheme="majorHAnsi" w:hAnsiTheme="majorHAnsi"/>
          <w:sz w:val="20"/>
          <w:szCs w:val="20"/>
          <w:lang w:val="es-UY"/>
        </w:rPr>
        <w:t xml:space="preserve"> </w:t>
      </w:r>
      <w:r w:rsidR="004A67EB" w:rsidRPr="00403577">
        <w:rPr>
          <w:rFonts w:asciiTheme="majorHAnsi" w:hAnsiTheme="majorHAnsi"/>
          <w:sz w:val="20"/>
          <w:szCs w:val="20"/>
          <w:lang w:val="es-UY"/>
        </w:rPr>
        <w:t xml:space="preserve">cuestión. </w:t>
      </w:r>
      <w:r w:rsidR="00234E71" w:rsidRPr="00403577">
        <w:rPr>
          <w:rFonts w:asciiTheme="majorHAnsi" w:hAnsiTheme="majorHAnsi"/>
          <w:sz w:val="20"/>
          <w:szCs w:val="20"/>
          <w:lang w:val="es-UY"/>
        </w:rPr>
        <w:t>Ahora bien</w:t>
      </w:r>
      <w:r w:rsidR="00DD5377" w:rsidRPr="00403577">
        <w:rPr>
          <w:rFonts w:asciiTheme="majorHAnsi" w:hAnsiTheme="majorHAnsi"/>
          <w:sz w:val="20"/>
          <w:szCs w:val="20"/>
          <w:lang w:val="es-UY"/>
        </w:rPr>
        <w:t xml:space="preserve">, la Comisión nota que </w:t>
      </w:r>
      <w:r w:rsidR="002D19C2" w:rsidRPr="00403577">
        <w:rPr>
          <w:rFonts w:asciiTheme="majorHAnsi" w:hAnsiTheme="majorHAnsi"/>
          <w:sz w:val="20"/>
          <w:szCs w:val="20"/>
          <w:lang w:val="es-UY"/>
        </w:rPr>
        <w:t xml:space="preserve">ante la imposición de la multa y en consideración de la inaplicabilidad de las disposiciones contenidas en el Decreto Ley 1285/58, </w:t>
      </w:r>
      <w:r w:rsidR="00FF273B" w:rsidRPr="00403577">
        <w:rPr>
          <w:rFonts w:asciiTheme="majorHAnsi" w:hAnsiTheme="majorHAnsi"/>
          <w:sz w:val="20"/>
          <w:szCs w:val="20"/>
          <w:lang w:val="es-UY"/>
        </w:rPr>
        <w:t>el peticionario interpuso un recurso extraordinario f</w:t>
      </w:r>
      <w:r w:rsidR="00DD5377" w:rsidRPr="00403577">
        <w:rPr>
          <w:rFonts w:asciiTheme="majorHAnsi" w:hAnsiTheme="majorHAnsi"/>
          <w:sz w:val="20"/>
          <w:szCs w:val="20"/>
          <w:lang w:val="es-UY"/>
        </w:rPr>
        <w:t xml:space="preserve">ederal que fue desestimado </w:t>
      </w:r>
      <w:r w:rsidR="00234E71" w:rsidRPr="00403577">
        <w:rPr>
          <w:rFonts w:asciiTheme="majorHAnsi" w:hAnsiTheme="majorHAnsi"/>
          <w:sz w:val="20"/>
          <w:szCs w:val="20"/>
          <w:lang w:val="es-UY"/>
        </w:rPr>
        <w:t>por la Cámara de Apelaciones. F</w:t>
      </w:r>
      <w:r w:rsidR="002D19C2" w:rsidRPr="00403577">
        <w:rPr>
          <w:rFonts w:asciiTheme="majorHAnsi" w:hAnsiTheme="majorHAnsi"/>
          <w:sz w:val="20"/>
          <w:szCs w:val="20"/>
          <w:lang w:val="es-UY"/>
        </w:rPr>
        <w:t xml:space="preserve">rente </w:t>
      </w:r>
      <w:r w:rsidR="006D792C" w:rsidRPr="00403577">
        <w:rPr>
          <w:rFonts w:asciiTheme="majorHAnsi" w:hAnsiTheme="majorHAnsi"/>
          <w:sz w:val="20"/>
          <w:szCs w:val="20"/>
          <w:lang w:val="es-UY"/>
        </w:rPr>
        <w:t xml:space="preserve">a </w:t>
      </w:r>
      <w:r w:rsidR="002D19C2" w:rsidRPr="00403577">
        <w:rPr>
          <w:rFonts w:asciiTheme="majorHAnsi" w:hAnsiTheme="majorHAnsi"/>
          <w:sz w:val="20"/>
          <w:szCs w:val="20"/>
          <w:lang w:val="es-UY"/>
        </w:rPr>
        <w:t>esta negativa</w:t>
      </w:r>
      <w:r w:rsidR="00F042E2" w:rsidRPr="00403577">
        <w:rPr>
          <w:rFonts w:asciiTheme="majorHAnsi" w:hAnsiTheme="majorHAnsi"/>
          <w:sz w:val="20"/>
          <w:szCs w:val="20"/>
          <w:lang w:val="es-UY"/>
        </w:rPr>
        <w:t xml:space="preserve"> y en el marco de la normativa procesal argentina</w:t>
      </w:r>
      <w:r w:rsidR="002D19C2" w:rsidRPr="00403577">
        <w:rPr>
          <w:rFonts w:asciiTheme="majorHAnsi" w:hAnsiTheme="majorHAnsi"/>
          <w:sz w:val="20"/>
          <w:szCs w:val="20"/>
          <w:lang w:val="es-UY"/>
        </w:rPr>
        <w:t>,</w:t>
      </w:r>
      <w:r w:rsidR="00234E71" w:rsidRPr="00403577">
        <w:rPr>
          <w:rFonts w:asciiTheme="majorHAnsi" w:hAnsiTheme="majorHAnsi"/>
          <w:sz w:val="20"/>
          <w:szCs w:val="20"/>
          <w:lang w:val="es-UY"/>
        </w:rPr>
        <w:t xml:space="preserve"> la presunta víctima</w:t>
      </w:r>
      <w:r w:rsidR="002D19C2" w:rsidRPr="00403577">
        <w:rPr>
          <w:rFonts w:asciiTheme="majorHAnsi" w:hAnsiTheme="majorHAnsi"/>
          <w:sz w:val="20"/>
          <w:szCs w:val="20"/>
          <w:lang w:val="es-UY"/>
        </w:rPr>
        <w:t xml:space="preserve"> presentó un </w:t>
      </w:r>
      <w:r w:rsidR="006525F5" w:rsidRPr="00403577">
        <w:rPr>
          <w:rFonts w:asciiTheme="majorHAnsi" w:hAnsiTheme="majorHAnsi"/>
          <w:sz w:val="20"/>
          <w:szCs w:val="20"/>
          <w:lang w:val="es-UY"/>
        </w:rPr>
        <w:t>recurso de q</w:t>
      </w:r>
      <w:r w:rsidR="00FF273B" w:rsidRPr="00403577">
        <w:rPr>
          <w:rFonts w:asciiTheme="majorHAnsi" w:hAnsiTheme="majorHAnsi"/>
          <w:sz w:val="20"/>
          <w:szCs w:val="20"/>
          <w:lang w:val="es-UY"/>
        </w:rPr>
        <w:t>ueja, ante la Corte Suprema</w:t>
      </w:r>
      <w:r w:rsidR="002D19C2" w:rsidRPr="00403577">
        <w:rPr>
          <w:rFonts w:asciiTheme="majorHAnsi" w:hAnsiTheme="majorHAnsi"/>
          <w:sz w:val="20"/>
          <w:szCs w:val="20"/>
          <w:lang w:val="es-UY"/>
        </w:rPr>
        <w:t xml:space="preserve">, que también fue rechazado. </w:t>
      </w:r>
      <w:r w:rsidR="00234E71" w:rsidRPr="00403577">
        <w:rPr>
          <w:rFonts w:asciiTheme="majorHAnsi" w:hAnsiTheme="majorHAnsi"/>
          <w:sz w:val="20"/>
          <w:szCs w:val="20"/>
          <w:lang w:val="es-UY"/>
        </w:rPr>
        <w:t>En ese sentido</w:t>
      </w:r>
      <w:r w:rsidR="006525F5" w:rsidRPr="00403577">
        <w:rPr>
          <w:rFonts w:asciiTheme="majorHAnsi" w:hAnsiTheme="majorHAnsi"/>
          <w:sz w:val="20"/>
          <w:szCs w:val="20"/>
          <w:lang w:val="es-UY"/>
        </w:rPr>
        <w:t xml:space="preserve">, </w:t>
      </w:r>
      <w:r w:rsidR="00234E71" w:rsidRPr="00403577">
        <w:rPr>
          <w:rFonts w:asciiTheme="majorHAnsi" w:hAnsiTheme="majorHAnsi"/>
          <w:sz w:val="20"/>
          <w:szCs w:val="20"/>
          <w:lang w:val="es-UY"/>
        </w:rPr>
        <w:t xml:space="preserve">con </w:t>
      </w:r>
      <w:r w:rsidR="00ED1532" w:rsidRPr="00403577">
        <w:rPr>
          <w:rFonts w:asciiTheme="majorHAnsi" w:hAnsiTheme="majorHAnsi"/>
          <w:sz w:val="20"/>
          <w:szCs w:val="20"/>
          <w:lang w:val="es-UY"/>
        </w:rPr>
        <w:t xml:space="preserve">relación </w:t>
      </w:r>
      <w:r w:rsidR="00234E71" w:rsidRPr="00403577">
        <w:rPr>
          <w:rFonts w:asciiTheme="majorHAnsi" w:hAnsiTheme="majorHAnsi"/>
          <w:sz w:val="20"/>
          <w:szCs w:val="20"/>
          <w:lang w:val="es-UY"/>
        </w:rPr>
        <w:t>a</w:t>
      </w:r>
      <w:r w:rsidR="009673B0" w:rsidRPr="00403577">
        <w:rPr>
          <w:rFonts w:asciiTheme="majorHAnsi" w:hAnsiTheme="majorHAnsi"/>
          <w:sz w:val="20"/>
          <w:szCs w:val="20"/>
          <w:lang w:val="es-UY"/>
        </w:rPr>
        <w:t xml:space="preserve">l </w:t>
      </w:r>
      <w:r w:rsidR="00FF273B" w:rsidRPr="00403577">
        <w:rPr>
          <w:rFonts w:asciiTheme="majorHAnsi" w:hAnsiTheme="majorHAnsi"/>
          <w:sz w:val="20"/>
          <w:szCs w:val="20"/>
          <w:lang w:val="es-UY"/>
        </w:rPr>
        <w:t>recurso extraordinario f</w:t>
      </w:r>
      <w:r w:rsidR="00C010D1" w:rsidRPr="00403577">
        <w:rPr>
          <w:rFonts w:asciiTheme="majorHAnsi" w:hAnsiTheme="majorHAnsi"/>
          <w:sz w:val="20"/>
          <w:szCs w:val="20"/>
          <w:lang w:val="es-UY"/>
        </w:rPr>
        <w:t>ederal</w:t>
      </w:r>
      <w:r w:rsidR="006525F5" w:rsidRPr="00403577">
        <w:rPr>
          <w:rFonts w:asciiTheme="majorHAnsi" w:hAnsiTheme="majorHAnsi"/>
          <w:sz w:val="20"/>
          <w:szCs w:val="20"/>
          <w:lang w:val="es-UY"/>
        </w:rPr>
        <w:t xml:space="preserve"> (y el</w:t>
      </w:r>
      <w:r w:rsidR="00FF273B" w:rsidRPr="00403577">
        <w:rPr>
          <w:rFonts w:asciiTheme="majorHAnsi" w:hAnsiTheme="majorHAnsi"/>
          <w:sz w:val="20"/>
          <w:szCs w:val="20"/>
          <w:lang w:val="es-UY"/>
        </w:rPr>
        <w:t xml:space="preserve"> subsecuente</w:t>
      </w:r>
      <w:r w:rsidR="006525F5" w:rsidRPr="00403577">
        <w:rPr>
          <w:rFonts w:asciiTheme="majorHAnsi" w:hAnsiTheme="majorHAnsi"/>
          <w:sz w:val="20"/>
          <w:szCs w:val="20"/>
          <w:lang w:val="es-UY"/>
        </w:rPr>
        <w:t xml:space="preserve"> recurso de queja)</w:t>
      </w:r>
      <w:r w:rsidR="00ED1532" w:rsidRPr="00403577">
        <w:rPr>
          <w:rFonts w:asciiTheme="majorHAnsi" w:hAnsiTheme="majorHAnsi"/>
          <w:sz w:val="20"/>
          <w:szCs w:val="20"/>
          <w:lang w:val="es-UY"/>
        </w:rPr>
        <w:t xml:space="preserve">, </w:t>
      </w:r>
      <w:r w:rsidR="00636E21" w:rsidRPr="00403577">
        <w:rPr>
          <w:rFonts w:asciiTheme="majorHAnsi" w:hAnsiTheme="majorHAnsi"/>
          <w:sz w:val="20"/>
          <w:szCs w:val="20"/>
          <w:lang w:val="es-UY"/>
        </w:rPr>
        <w:t xml:space="preserve">la Comisión </w:t>
      </w:r>
      <w:r w:rsidR="00CA2355" w:rsidRPr="00403577">
        <w:rPr>
          <w:rFonts w:asciiTheme="majorHAnsi" w:hAnsiTheme="majorHAnsi"/>
          <w:sz w:val="20"/>
          <w:szCs w:val="20"/>
          <w:lang w:val="es-UY"/>
        </w:rPr>
        <w:t>observa</w:t>
      </w:r>
      <w:r w:rsidR="00636E21" w:rsidRPr="00403577">
        <w:rPr>
          <w:rFonts w:asciiTheme="majorHAnsi" w:hAnsiTheme="majorHAnsi"/>
          <w:sz w:val="20"/>
          <w:szCs w:val="20"/>
          <w:lang w:val="es-UY"/>
        </w:rPr>
        <w:t xml:space="preserve"> que</w:t>
      </w:r>
      <w:r w:rsidR="00E05D21" w:rsidRPr="00403577">
        <w:rPr>
          <w:rFonts w:asciiTheme="majorHAnsi" w:hAnsiTheme="majorHAnsi"/>
          <w:sz w:val="20"/>
          <w:szCs w:val="20"/>
          <w:lang w:val="es-UY"/>
        </w:rPr>
        <w:t xml:space="preserve"> en el presente caso</w:t>
      </w:r>
      <w:r w:rsidR="00ED1532" w:rsidRPr="00403577">
        <w:rPr>
          <w:rFonts w:asciiTheme="majorHAnsi" w:hAnsiTheme="majorHAnsi"/>
          <w:sz w:val="20"/>
          <w:szCs w:val="20"/>
          <w:lang w:val="es-UY"/>
        </w:rPr>
        <w:t xml:space="preserve"> </w:t>
      </w:r>
      <w:r w:rsidR="00E05D21" w:rsidRPr="00403577">
        <w:rPr>
          <w:rFonts w:asciiTheme="majorHAnsi" w:hAnsiTheme="majorHAnsi"/>
          <w:sz w:val="20"/>
          <w:szCs w:val="20"/>
          <w:lang w:val="es-UY"/>
        </w:rPr>
        <w:t xml:space="preserve">éste </w:t>
      </w:r>
      <w:r w:rsidR="006D792C" w:rsidRPr="00403577">
        <w:rPr>
          <w:rFonts w:asciiTheme="majorHAnsi" w:hAnsiTheme="majorHAnsi"/>
          <w:sz w:val="20"/>
          <w:szCs w:val="20"/>
          <w:lang w:val="es-UY"/>
        </w:rPr>
        <w:t>era</w:t>
      </w:r>
      <w:r w:rsidR="00ED1532" w:rsidRPr="00403577">
        <w:rPr>
          <w:rFonts w:asciiTheme="majorHAnsi" w:hAnsiTheme="majorHAnsi"/>
          <w:sz w:val="20"/>
          <w:szCs w:val="20"/>
          <w:lang w:val="es-UY"/>
        </w:rPr>
        <w:t xml:space="preserve"> el recurso disponible</w:t>
      </w:r>
      <w:r w:rsidR="00A97F36" w:rsidRPr="00403577">
        <w:rPr>
          <w:rFonts w:asciiTheme="majorHAnsi" w:hAnsiTheme="majorHAnsi"/>
          <w:sz w:val="20"/>
          <w:szCs w:val="20"/>
          <w:lang w:val="es-UY"/>
        </w:rPr>
        <w:t>,</w:t>
      </w:r>
      <w:r w:rsidR="00ED1532" w:rsidRPr="00403577">
        <w:rPr>
          <w:rFonts w:asciiTheme="majorHAnsi" w:hAnsiTheme="majorHAnsi"/>
          <w:sz w:val="20"/>
          <w:szCs w:val="20"/>
          <w:lang w:val="es-UY"/>
        </w:rPr>
        <w:t xml:space="preserve"> </w:t>
      </w:r>
      <w:r w:rsidR="00FA7618" w:rsidRPr="00403577">
        <w:rPr>
          <w:rFonts w:asciiTheme="majorHAnsi" w:hAnsiTheme="majorHAnsi"/>
          <w:sz w:val="20"/>
          <w:szCs w:val="20"/>
          <w:lang w:val="es-UY"/>
        </w:rPr>
        <w:t>el cual fue</w:t>
      </w:r>
      <w:r w:rsidR="002118D7" w:rsidRPr="00403577">
        <w:rPr>
          <w:rFonts w:asciiTheme="majorHAnsi" w:hAnsiTheme="majorHAnsi"/>
          <w:sz w:val="20"/>
          <w:szCs w:val="20"/>
          <w:lang w:val="es-UY"/>
        </w:rPr>
        <w:t xml:space="preserve"> agotado</w:t>
      </w:r>
      <w:r w:rsidR="00CA2355" w:rsidRPr="00403577">
        <w:rPr>
          <w:rFonts w:asciiTheme="majorHAnsi" w:hAnsiTheme="majorHAnsi"/>
          <w:sz w:val="20"/>
          <w:szCs w:val="20"/>
          <w:lang w:val="es-UY"/>
        </w:rPr>
        <w:t xml:space="preserve"> por el peticionario</w:t>
      </w:r>
      <w:r w:rsidR="00DE5CFB" w:rsidRPr="00403577">
        <w:rPr>
          <w:rFonts w:asciiTheme="majorHAnsi" w:hAnsiTheme="majorHAnsi"/>
          <w:sz w:val="20"/>
          <w:szCs w:val="20"/>
          <w:lang w:val="es-UY"/>
        </w:rPr>
        <w:t xml:space="preserve">. </w:t>
      </w:r>
    </w:p>
    <w:p w:rsidR="00234E71" w:rsidRPr="00A60069" w:rsidRDefault="00234E71" w:rsidP="00234E71">
      <w:pPr>
        <w:pStyle w:val="ListParagraph"/>
        <w:rPr>
          <w:rFonts w:asciiTheme="majorHAnsi" w:hAnsiTheme="majorHAnsi"/>
          <w:sz w:val="20"/>
          <w:szCs w:val="20"/>
          <w:lang w:val="es-UY"/>
        </w:rPr>
      </w:pPr>
    </w:p>
    <w:p w:rsidR="00C83F4C" w:rsidRPr="00A60069" w:rsidRDefault="002669F6" w:rsidP="00077B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color w:val="FF0000"/>
          <w:sz w:val="20"/>
          <w:szCs w:val="20"/>
          <w:lang w:val="es-UY"/>
        </w:rPr>
      </w:pPr>
      <w:r w:rsidRPr="00A60069">
        <w:rPr>
          <w:rFonts w:asciiTheme="majorHAnsi" w:hAnsiTheme="majorHAnsi"/>
          <w:sz w:val="20"/>
          <w:szCs w:val="20"/>
          <w:lang w:val="es-UY"/>
        </w:rPr>
        <w:t xml:space="preserve">Adicionalmente, cabe destacar que el Estado sostiene que </w:t>
      </w:r>
      <w:r w:rsidR="00234E71" w:rsidRPr="00A60069">
        <w:rPr>
          <w:rFonts w:asciiTheme="majorHAnsi" w:hAnsiTheme="majorHAnsi"/>
          <w:sz w:val="20"/>
          <w:szCs w:val="20"/>
          <w:lang w:val="es-UY"/>
        </w:rPr>
        <w:t>el peticionario</w:t>
      </w:r>
      <w:r w:rsidRPr="00A60069">
        <w:rPr>
          <w:rFonts w:asciiTheme="majorHAnsi" w:hAnsiTheme="majorHAnsi"/>
          <w:sz w:val="20"/>
          <w:szCs w:val="20"/>
          <w:lang w:val="es-UY"/>
        </w:rPr>
        <w:t xml:space="preserve"> debió </w:t>
      </w:r>
      <w:r w:rsidR="002118D7" w:rsidRPr="00A60069">
        <w:rPr>
          <w:rFonts w:asciiTheme="majorHAnsi" w:hAnsiTheme="majorHAnsi"/>
          <w:sz w:val="20"/>
          <w:szCs w:val="20"/>
          <w:lang w:val="es-UY"/>
        </w:rPr>
        <w:t>interponer</w:t>
      </w:r>
      <w:r w:rsidRPr="00A60069">
        <w:rPr>
          <w:rFonts w:asciiTheme="majorHAnsi" w:hAnsiTheme="majorHAnsi"/>
          <w:sz w:val="20"/>
          <w:szCs w:val="20"/>
          <w:lang w:val="es-UY"/>
        </w:rPr>
        <w:t xml:space="preserve"> el recurso de reconsideración (</w:t>
      </w:r>
      <w:r w:rsidR="00E05D21" w:rsidRPr="00A60069">
        <w:rPr>
          <w:rFonts w:asciiTheme="majorHAnsi" w:hAnsiTheme="majorHAnsi"/>
          <w:sz w:val="20"/>
          <w:szCs w:val="20"/>
          <w:lang w:val="es-UY"/>
        </w:rPr>
        <w:t>el cual</w:t>
      </w:r>
      <w:r w:rsidR="00A97F36" w:rsidRPr="00A60069">
        <w:rPr>
          <w:rFonts w:asciiTheme="majorHAnsi" w:hAnsiTheme="majorHAnsi"/>
          <w:sz w:val="20"/>
          <w:szCs w:val="20"/>
          <w:lang w:val="es-UY"/>
        </w:rPr>
        <w:t xml:space="preserve"> co</w:t>
      </w:r>
      <w:r w:rsidRPr="00A60069">
        <w:rPr>
          <w:rFonts w:asciiTheme="majorHAnsi" w:hAnsiTheme="majorHAnsi"/>
          <w:sz w:val="20"/>
          <w:szCs w:val="20"/>
          <w:lang w:val="es-UY"/>
        </w:rPr>
        <w:t>mo se determin</w:t>
      </w:r>
      <w:r w:rsidR="002118D7" w:rsidRPr="00A60069">
        <w:rPr>
          <w:rFonts w:asciiTheme="majorHAnsi" w:hAnsiTheme="majorHAnsi"/>
          <w:sz w:val="20"/>
          <w:szCs w:val="20"/>
          <w:lang w:val="es-UY"/>
        </w:rPr>
        <w:t xml:space="preserve">ó </w:t>
      </w:r>
      <w:r w:rsidR="00234E71" w:rsidRPr="00A60069">
        <w:rPr>
          <w:rFonts w:asciiTheme="majorHAnsi" w:hAnsiTheme="majorHAnsi"/>
          <w:i/>
          <w:sz w:val="20"/>
          <w:szCs w:val="20"/>
          <w:lang w:val="es-UY"/>
        </w:rPr>
        <w:t>ut supra</w:t>
      </w:r>
      <w:r w:rsidR="00E05D21" w:rsidRPr="00A60069">
        <w:rPr>
          <w:rFonts w:asciiTheme="majorHAnsi" w:hAnsiTheme="majorHAnsi"/>
          <w:sz w:val="20"/>
          <w:szCs w:val="20"/>
          <w:lang w:val="es-UY"/>
        </w:rPr>
        <w:t>,</w:t>
      </w:r>
      <w:r w:rsidR="002118D7" w:rsidRPr="00A60069">
        <w:rPr>
          <w:rFonts w:asciiTheme="majorHAnsi" w:hAnsiTheme="majorHAnsi"/>
          <w:sz w:val="20"/>
          <w:szCs w:val="20"/>
          <w:lang w:val="es-UY"/>
        </w:rPr>
        <w:t xml:space="preserve"> no era jurídicamente aplicable) y de considerar que se había configurado cuestión federal suficiente, </w:t>
      </w:r>
      <w:r w:rsidR="00234E71" w:rsidRPr="00A60069">
        <w:rPr>
          <w:rFonts w:asciiTheme="majorHAnsi" w:hAnsiTheme="majorHAnsi"/>
          <w:sz w:val="20"/>
          <w:szCs w:val="20"/>
          <w:lang w:val="es-UY"/>
        </w:rPr>
        <w:t>podía interponer el r</w:t>
      </w:r>
      <w:r w:rsidR="002118D7" w:rsidRPr="00A60069">
        <w:rPr>
          <w:rFonts w:asciiTheme="majorHAnsi" w:hAnsiTheme="majorHAnsi"/>
          <w:sz w:val="20"/>
          <w:szCs w:val="20"/>
          <w:lang w:val="es-UY"/>
        </w:rPr>
        <w:t xml:space="preserve">ecurso </w:t>
      </w:r>
      <w:r w:rsidR="00234E71" w:rsidRPr="00A60069">
        <w:rPr>
          <w:rFonts w:asciiTheme="majorHAnsi" w:hAnsiTheme="majorHAnsi"/>
          <w:sz w:val="20"/>
          <w:szCs w:val="20"/>
          <w:lang w:val="es-UY"/>
        </w:rPr>
        <w:t>e</w:t>
      </w:r>
      <w:r w:rsidR="002118D7" w:rsidRPr="00A60069">
        <w:rPr>
          <w:rFonts w:asciiTheme="majorHAnsi" w:hAnsiTheme="majorHAnsi"/>
          <w:sz w:val="20"/>
          <w:szCs w:val="20"/>
          <w:lang w:val="es-UY"/>
        </w:rPr>
        <w:t xml:space="preserve">xtraordinario </w:t>
      </w:r>
      <w:r w:rsidR="00234E71" w:rsidRPr="00A60069">
        <w:rPr>
          <w:rFonts w:asciiTheme="majorHAnsi" w:hAnsiTheme="majorHAnsi"/>
          <w:sz w:val="20"/>
          <w:szCs w:val="20"/>
          <w:lang w:val="es-UY"/>
        </w:rPr>
        <w:t>federal ante la Corte Suprema</w:t>
      </w:r>
      <w:r w:rsidR="002118D7" w:rsidRPr="00A60069">
        <w:rPr>
          <w:rFonts w:asciiTheme="majorHAnsi" w:hAnsiTheme="majorHAnsi"/>
          <w:sz w:val="20"/>
          <w:szCs w:val="20"/>
          <w:lang w:val="es-UY"/>
        </w:rPr>
        <w:t xml:space="preserve">, </w:t>
      </w:r>
      <w:r w:rsidR="00F042E2" w:rsidRPr="00A60069">
        <w:rPr>
          <w:rFonts w:asciiTheme="majorHAnsi" w:hAnsiTheme="majorHAnsi"/>
          <w:sz w:val="20"/>
          <w:szCs w:val="20"/>
          <w:lang w:val="es-UY"/>
        </w:rPr>
        <w:t xml:space="preserve">por lo que </w:t>
      </w:r>
      <w:r w:rsidR="005066F5" w:rsidRPr="00A60069">
        <w:rPr>
          <w:rFonts w:asciiTheme="majorHAnsi" w:hAnsiTheme="majorHAnsi"/>
          <w:sz w:val="20"/>
          <w:szCs w:val="20"/>
          <w:lang w:val="es-UY"/>
        </w:rPr>
        <w:t>reconoce que</w:t>
      </w:r>
      <w:r w:rsidR="00FA7618" w:rsidRPr="00A60069">
        <w:rPr>
          <w:rFonts w:asciiTheme="majorHAnsi" w:hAnsiTheme="majorHAnsi"/>
          <w:sz w:val="20"/>
          <w:szCs w:val="20"/>
          <w:lang w:val="es-UY"/>
        </w:rPr>
        <w:t xml:space="preserve"> para los hechos del caso,</w:t>
      </w:r>
      <w:r w:rsidR="005066F5" w:rsidRPr="00A60069">
        <w:rPr>
          <w:rFonts w:asciiTheme="majorHAnsi" w:hAnsiTheme="majorHAnsi"/>
          <w:sz w:val="20"/>
          <w:szCs w:val="20"/>
          <w:lang w:val="es-UY"/>
        </w:rPr>
        <w:t xml:space="preserve"> </w:t>
      </w:r>
      <w:r w:rsidR="00FA7618" w:rsidRPr="00A60069">
        <w:rPr>
          <w:rFonts w:asciiTheme="majorHAnsi" w:hAnsiTheme="majorHAnsi"/>
          <w:sz w:val="20"/>
          <w:szCs w:val="20"/>
          <w:lang w:val="es-UY"/>
        </w:rPr>
        <w:t xml:space="preserve">éste último era el </w:t>
      </w:r>
      <w:r w:rsidR="005066F5" w:rsidRPr="00A60069">
        <w:rPr>
          <w:rFonts w:asciiTheme="majorHAnsi" w:hAnsiTheme="majorHAnsi"/>
          <w:sz w:val="20"/>
          <w:szCs w:val="20"/>
          <w:lang w:val="es-UY"/>
        </w:rPr>
        <w:t>recurso</w:t>
      </w:r>
      <w:r w:rsidR="00FA7618" w:rsidRPr="00A60069">
        <w:rPr>
          <w:rFonts w:asciiTheme="majorHAnsi" w:hAnsiTheme="majorHAnsi"/>
          <w:sz w:val="20"/>
          <w:szCs w:val="20"/>
          <w:lang w:val="es-UY"/>
        </w:rPr>
        <w:t xml:space="preserve"> disponible</w:t>
      </w:r>
      <w:r w:rsidR="005066F5" w:rsidRPr="00A60069">
        <w:rPr>
          <w:rFonts w:asciiTheme="majorHAnsi" w:hAnsiTheme="majorHAnsi"/>
          <w:sz w:val="20"/>
          <w:szCs w:val="20"/>
          <w:lang w:val="es-UY"/>
        </w:rPr>
        <w:t xml:space="preserve"> para </w:t>
      </w:r>
      <w:r w:rsidR="00C83F4C" w:rsidRPr="00A60069">
        <w:rPr>
          <w:rFonts w:asciiTheme="majorHAnsi" w:hAnsiTheme="majorHAnsi"/>
          <w:sz w:val="20"/>
          <w:szCs w:val="20"/>
          <w:lang w:val="es-UY"/>
        </w:rPr>
        <w:t>agot</w:t>
      </w:r>
      <w:r w:rsidR="005066F5" w:rsidRPr="00A60069">
        <w:rPr>
          <w:rFonts w:asciiTheme="majorHAnsi" w:hAnsiTheme="majorHAnsi"/>
          <w:sz w:val="20"/>
          <w:szCs w:val="20"/>
          <w:lang w:val="es-UY"/>
        </w:rPr>
        <w:t>ar l</w:t>
      </w:r>
      <w:r w:rsidR="00C83F4C" w:rsidRPr="00A60069">
        <w:rPr>
          <w:rFonts w:asciiTheme="majorHAnsi" w:hAnsiTheme="majorHAnsi"/>
          <w:sz w:val="20"/>
          <w:szCs w:val="20"/>
          <w:lang w:val="es-UY"/>
        </w:rPr>
        <w:t>a vía judicial interna</w:t>
      </w:r>
      <w:r w:rsidR="005066F5" w:rsidRPr="00A60069">
        <w:rPr>
          <w:rFonts w:asciiTheme="majorHAnsi" w:hAnsiTheme="majorHAnsi"/>
          <w:sz w:val="20"/>
          <w:szCs w:val="20"/>
          <w:lang w:val="es-UY"/>
        </w:rPr>
        <w:t xml:space="preserve">. </w:t>
      </w:r>
      <w:r w:rsidR="00077B99" w:rsidRPr="00A60069">
        <w:rPr>
          <w:rFonts w:asciiTheme="majorHAnsi" w:hAnsiTheme="majorHAnsi"/>
          <w:sz w:val="20"/>
          <w:szCs w:val="20"/>
          <w:lang w:val="es-UY"/>
        </w:rPr>
        <w:t xml:space="preserve">En consecuencia, </w:t>
      </w:r>
      <w:r w:rsidR="00F042E2" w:rsidRPr="00A60069">
        <w:rPr>
          <w:rFonts w:asciiTheme="majorHAnsi" w:hAnsiTheme="majorHAnsi"/>
          <w:sz w:val="20"/>
          <w:szCs w:val="20"/>
          <w:lang w:val="es-UY"/>
        </w:rPr>
        <w:t xml:space="preserve">los recursos internos se agotaron </w:t>
      </w:r>
      <w:r w:rsidR="00C83F4C" w:rsidRPr="00A60069">
        <w:rPr>
          <w:rFonts w:asciiTheme="majorHAnsi" w:hAnsiTheme="majorHAnsi"/>
          <w:sz w:val="20"/>
          <w:szCs w:val="20"/>
          <w:lang w:val="es-UY"/>
        </w:rPr>
        <w:t xml:space="preserve">con la resolución de la Corte Suprema de fecha </w:t>
      </w:r>
      <w:r w:rsidR="00DF03DA" w:rsidRPr="00A60069">
        <w:rPr>
          <w:rFonts w:asciiTheme="majorHAnsi" w:hAnsiTheme="majorHAnsi"/>
          <w:sz w:val="20"/>
          <w:szCs w:val="20"/>
          <w:lang w:val="es-UY"/>
        </w:rPr>
        <w:t>2 de agosto de 2000</w:t>
      </w:r>
      <w:r w:rsidR="00E74100">
        <w:rPr>
          <w:rFonts w:asciiTheme="majorHAnsi" w:hAnsiTheme="majorHAnsi"/>
          <w:sz w:val="20"/>
          <w:szCs w:val="20"/>
          <w:lang w:val="es-UY"/>
        </w:rPr>
        <w:t>, notificada el 17 de agosto de 2000,</w:t>
      </w:r>
      <w:r w:rsidR="00077B99" w:rsidRPr="00A60069">
        <w:rPr>
          <w:rFonts w:asciiTheme="majorHAnsi" w:hAnsiTheme="majorHAnsi"/>
          <w:sz w:val="20"/>
          <w:szCs w:val="20"/>
          <w:lang w:val="es-UY"/>
        </w:rPr>
        <w:t xml:space="preserve"> que rechazó</w:t>
      </w:r>
      <w:r w:rsidR="00F042E2" w:rsidRPr="00A60069">
        <w:rPr>
          <w:rFonts w:asciiTheme="majorHAnsi" w:hAnsiTheme="majorHAnsi"/>
          <w:sz w:val="20"/>
          <w:szCs w:val="20"/>
          <w:lang w:val="es-UY"/>
        </w:rPr>
        <w:t xml:space="preserve"> el recurso de queja, originado por la desestimación del Recurso Extraordinario Federal. </w:t>
      </w:r>
      <w:r w:rsidR="00C83F4C" w:rsidRPr="00A60069">
        <w:rPr>
          <w:rFonts w:asciiTheme="majorHAnsi" w:hAnsiTheme="majorHAnsi"/>
          <w:sz w:val="20"/>
          <w:szCs w:val="20"/>
          <w:lang w:val="es-UY"/>
        </w:rPr>
        <w:t xml:space="preserve"> </w:t>
      </w:r>
    </w:p>
    <w:p w:rsidR="00C83F4C" w:rsidRPr="00A60069" w:rsidRDefault="00C83F4C" w:rsidP="0038217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color w:val="FF0000"/>
          <w:sz w:val="20"/>
          <w:szCs w:val="20"/>
          <w:lang w:val="es-UY"/>
        </w:rPr>
      </w:pPr>
    </w:p>
    <w:p w:rsidR="00B056A5" w:rsidRPr="00A60069" w:rsidRDefault="0063685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A60069">
        <w:rPr>
          <w:rFonts w:asciiTheme="majorHAnsi" w:hAnsiTheme="majorHAnsi"/>
          <w:sz w:val="20"/>
          <w:szCs w:val="20"/>
          <w:lang w:val="es-UY"/>
        </w:rPr>
        <w:t xml:space="preserve">Por lo tanto, </w:t>
      </w:r>
      <w:r w:rsidR="00C83F4C" w:rsidRPr="00A60069">
        <w:rPr>
          <w:rFonts w:asciiTheme="majorHAnsi" w:hAnsiTheme="majorHAnsi"/>
          <w:sz w:val="20"/>
          <w:szCs w:val="20"/>
          <w:lang w:val="es-UY"/>
        </w:rPr>
        <w:t xml:space="preserve">la Comisión concluye que </w:t>
      </w:r>
      <w:r w:rsidR="00DF03DA" w:rsidRPr="00A60069">
        <w:rPr>
          <w:rFonts w:asciiTheme="majorHAnsi" w:hAnsiTheme="majorHAnsi"/>
          <w:sz w:val="20"/>
          <w:szCs w:val="20"/>
          <w:lang w:val="es-UY"/>
        </w:rPr>
        <w:t>el peticionario</w:t>
      </w:r>
      <w:r w:rsidR="00C83F4C" w:rsidRPr="00A60069">
        <w:rPr>
          <w:rFonts w:asciiTheme="majorHAnsi" w:hAnsiTheme="majorHAnsi"/>
          <w:sz w:val="20"/>
          <w:szCs w:val="20"/>
          <w:lang w:val="es-UY"/>
        </w:rPr>
        <w:t xml:space="preserve"> efectivamente cumplió con </w:t>
      </w:r>
      <w:r w:rsidRPr="00A60069">
        <w:rPr>
          <w:rFonts w:asciiTheme="majorHAnsi" w:hAnsiTheme="majorHAnsi"/>
          <w:sz w:val="20"/>
          <w:szCs w:val="20"/>
          <w:lang w:val="es-UY"/>
        </w:rPr>
        <w:t>el</w:t>
      </w:r>
      <w:r w:rsidR="00C83F4C" w:rsidRPr="00A60069">
        <w:rPr>
          <w:rFonts w:asciiTheme="majorHAnsi" w:hAnsiTheme="majorHAnsi"/>
          <w:sz w:val="20"/>
          <w:szCs w:val="20"/>
          <w:lang w:val="es-UY"/>
        </w:rPr>
        <w:t xml:space="preserve"> requisito establecido en el</w:t>
      </w:r>
      <w:r w:rsidRPr="00A60069">
        <w:rPr>
          <w:rFonts w:asciiTheme="majorHAnsi" w:hAnsiTheme="majorHAnsi"/>
          <w:sz w:val="20"/>
          <w:szCs w:val="20"/>
          <w:lang w:val="es-UY"/>
        </w:rPr>
        <w:t xml:space="preserve"> artículo </w:t>
      </w:r>
      <w:r w:rsidRPr="00A60069">
        <w:rPr>
          <w:rFonts w:asciiTheme="majorHAnsi" w:hAnsiTheme="majorHAnsi" w:cs="Arial"/>
          <w:sz w:val="20"/>
          <w:szCs w:val="20"/>
          <w:lang w:val="es-PE"/>
        </w:rPr>
        <w:t>46</w:t>
      </w:r>
      <w:r w:rsidR="00DA4F40" w:rsidRPr="00A60069">
        <w:rPr>
          <w:rFonts w:asciiTheme="majorHAnsi" w:hAnsiTheme="majorHAnsi" w:cs="Arial"/>
          <w:sz w:val="20"/>
          <w:szCs w:val="20"/>
          <w:lang w:val="es-PE"/>
        </w:rPr>
        <w:t xml:space="preserve">.1.a </w:t>
      </w:r>
      <w:r w:rsidR="00C50FAA" w:rsidRPr="00A60069">
        <w:rPr>
          <w:rFonts w:asciiTheme="majorHAnsi" w:hAnsiTheme="majorHAnsi" w:cs="Arial"/>
          <w:sz w:val="20"/>
          <w:szCs w:val="20"/>
          <w:lang w:val="es-PE"/>
        </w:rPr>
        <w:t xml:space="preserve">de la Convención Americana. </w:t>
      </w:r>
    </w:p>
    <w:p w:rsidR="00547D7F" w:rsidRPr="00A60069"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rsidR="00B056A5" w:rsidRPr="00A60069" w:rsidRDefault="00B056A5" w:rsidP="009F0583">
      <w:pPr>
        <w:spacing w:after="240"/>
        <w:ind w:firstLine="720"/>
        <w:jc w:val="both"/>
        <w:rPr>
          <w:rFonts w:asciiTheme="majorHAnsi" w:hAnsiTheme="majorHAnsi"/>
          <w:b/>
          <w:sz w:val="20"/>
          <w:szCs w:val="20"/>
          <w:lang w:val="es-UY"/>
        </w:rPr>
      </w:pPr>
      <w:r w:rsidRPr="00A60069">
        <w:rPr>
          <w:rFonts w:asciiTheme="majorHAnsi" w:hAnsiTheme="majorHAnsi"/>
          <w:b/>
          <w:sz w:val="20"/>
          <w:szCs w:val="20"/>
          <w:lang w:val="es-UY"/>
        </w:rPr>
        <w:t>2.</w:t>
      </w:r>
      <w:r w:rsidRPr="00A60069">
        <w:rPr>
          <w:rFonts w:asciiTheme="majorHAnsi" w:hAnsiTheme="majorHAnsi"/>
          <w:b/>
          <w:sz w:val="20"/>
          <w:szCs w:val="20"/>
          <w:lang w:val="es-UY"/>
        </w:rPr>
        <w:tab/>
      </w:r>
      <w:r w:rsidR="0063685A" w:rsidRPr="00A60069">
        <w:rPr>
          <w:rFonts w:asciiTheme="majorHAnsi" w:hAnsiTheme="majorHAnsi"/>
          <w:b/>
          <w:sz w:val="20"/>
          <w:szCs w:val="20"/>
          <w:lang w:val="es-UY"/>
        </w:rPr>
        <w:t>Plazo de presentación de la petición</w:t>
      </w:r>
    </w:p>
    <w:p w:rsidR="0063685A" w:rsidRPr="00A60069" w:rsidRDefault="0063685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A60069">
        <w:rPr>
          <w:rFonts w:asciiTheme="majorHAnsi" w:hAnsiTheme="majorHAnsi" w:cs="Arial"/>
          <w:sz w:val="20"/>
          <w:szCs w:val="20"/>
          <w:lang w:val="es-PE"/>
        </w:rPr>
        <w:t>El artículo 46</w:t>
      </w:r>
      <w:r w:rsidR="00DA4F40" w:rsidRPr="00A60069">
        <w:rPr>
          <w:rFonts w:asciiTheme="majorHAnsi" w:hAnsiTheme="majorHAnsi" w:cs="Arial"/>
          <w:sz w:val="20"/>
          <w:szCs w:val="20"/>
          <w:lang w:val="es-PE"/>
        </w:rPr>
        <w:t>.1.b</w:t>
      </w:r>
      <w:r w:rsidRPr="00A60069">
        <w:rPr>
          <w:rFonts w:asciiTheme="majorHAnsi" w:hAnsiTheme="majorHAnsi" w:cs="Arial"/>
          <w:sz w:val="20"/>
          <w:szCs w:val="20"/>
          <w:lang w:val="es-PE"/>
        </w:rPr>
        <w:t xml:space="preserve"> de l</w:t>
      </w:r>
      <w:r w:rsidRPr="00A60069">
        <w:rPr>
          <w:rFonts w:asciiTheme="majorHAnsi" w:hAnsiTheme="majorHAnsi"/>
          <w:sz w:val="20"/>
          <w:szCs w:val="20"/>
          <w:lang w:val="es-ES_tradnl"/>
        </w:rPr>
        <w:t>a Convención Americana establece que para que una petición resulte admisible por la Comisión se requerirá que sea presentada dentro del plazo de seis meses a partir de la fecha en que el presunto lesionado haya sido notific</w:t>
      </w:r>
      <w:r w:rsidR="00C50FAA" w:rsidRPr="00A60069">
        <w:rPr>
          <w:rFonts w:asciiTheme="majorHAnsi" w:hAnsiTheme="majorHAnsi"/>
          <w:sz w:val="20"/>
          <w:szCs w:val="20"/>
          <w:lang w:val="es-ES_tradnl"/>
        </w:rPr>
        <w:t xml:space="preserve">ado de la decisión definitiva. </w:t>
      </w:r>
    </w:p>
    <w:p w:rsidR="00547D7F" w:rsidRPr="00A60069"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7539FB" w:rsidRPr="00A60069" w:rsidRDefault="00946A6F"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9C5C24">
        <w:rPr>
          <w:rFonts w:asciiTheme="majorHAnsi" w:hAnsiTheme="majorHAnsi"/>
          <w:sz w:val="20"/>
          <w:szCs w:val="20"/>
          <w:lang w:val="es-UY"/>
        </w:rPr>
        <w:t xml:space="preserve">La petición ante la CIDH fue presentada el </w:t>
      </w:r>
      <w:r w:rsidR="009C5C24" w:rsidRPr="009C5C24">
        <w:rPr>
          <w:rFonts w:asciiTheme="majorHAnsi" w:hAnsiTheme="majorHAnsi"/>
          <w:sz w:val="20"/>
          <w:szCs w:val="20"/>
          <w:lang w:val="es-UY"/>
        </w:rPr>
        <w:t>15</w:t>
      </w:r>
      <w:r w:rsidR="004753EA" w:rsidRPr="009C5C24">
        <w:rPr>
          <w:rFonts w:asciiTheme="majorHAnsi" w:hAnsiTheme="majorHAnsi"/>
          <w:sz w:val="20"/>
          <w:szCs w:val="20"/>
          <w:lang w:val="es-UY"/>
        </w:rPr>
        <w:t xml:space="preserve"> de febrero de 2001</w:t>
      </w:r>
      <w:r w:rsidR="00A60EE1" w:rsidRPr="009C5C24">
        <w:rPr>
          <w:rFonts w:asciiTheme="majorHAnsi" w:hAnsiTheme="majorHAnsi"/>
          <w:sz w:val="20"/>
          <w:szCs w:val="20"/>
          <w:lang w:val="es-UY"/>
        </w:rPr>
        <w:t>,</w:t>
      </w:r>
      <w:r w:rsidRPr="009C5C24">
        <w:rPr>
          <w:rFonts w:asciiTheme="majorHAnsi" w:hAnsiTheme="majorHAnsi"/>
          <w:sz w:val="20"/>
          <w:szCs w:val="20"/>
          <w:lang w:val="es-UY"/>
        </w:rPr>
        <w:t xml:space="preserve"> y los recursos internos fueron agotados el </w:t>
      </w:r>
      <w:r w:rsidR="004753EA" w:rsidRPr="009C5C24">
        <w:rPr>
          <w:rFonts w:asciiTheme="majorHAnsi" w:hAnsiTheme="majorHAnsi"/>
          <w:sz w:val="20"/>
          <w:szCs w:val="20"/>
          <w:lang w:val="es-UY"/>
        </w:rPr>
        <w:t>17 de agosto de 2000,</w:t>
      </w:r>
      <w:r w:rsidR="004753EA" w:rsidRPr="00A60069">
        <w:rPr>
          <w:rFonts w:asciiTheme="majorHAnsi" w:hAnsiTheme="majorHAnsi"/>
          <w:sz w:val="20"/>
          <w:szCs w:val="20"/>
          <w:lang w:val="es-UY"/>
        </w:rPr>
        <w:t xml:space="preserve"> </w:t>
      </w:r>
      <w:r w:rsidRPr="00A60069">
        <w:rPr>
          <w:rFonts w:asciiTheme="majorHAnsi" w:hAnsiTheme="majorHAnsi"/>
          <w:sz w:val="20"/>
          <w:szCs w:val="20"/>
          <w:lang w:val="es-UY"/>
        </w:rPr>
        <w:t>con la</w:t>
      </w:r>
      <w:r w:rsidR="004753EA" w:rsidRPr="00A60069">
        <w:rPr>
          <w:rFonts w:asciiTheme="majorHAnsi" w:hAnsiTheme="majorHAnsi"/>
          <w:sz w:val="20"/>
          <w:szCs w:val="20"/>
          <w:lang w:val="es-UY"/>
        </w:rPr>
        <w:t xml:space="preserve"> notificación de la</w:t>
      </w:r>
      <w:r w:rsidRPr="00A60069">
        <w:rPr>
          <w:rFonts w:asciiTheme="majorHAnsi" w:hAnsiTheme="majorHAnsi"/>
          <w:sz w:val="20"/>
          <w:szCs w:val="20"/>
          <w:lang w:val="es-UY"/>
        </w:rPr>
        <w:t xml:space="preserve"> </w:t>
      </w:r>
      <w:r w:rsidR="002B1440" w:rsidRPr="00A60069">
        <w:rPr>
          <w:rFonts w:asciiTheme="majorHAnsi" w:hAnsiTheme="majorHAnsi"/>
          <w:sz w:val="20"/>
          <w:szCs w:val="20"/>
          <w:lang w:val="es-UY"/>
        </w:rPr>
        <w:t xml:space="preserve">resolución de la Corte Suprema de Justicia de la Nación que resolvió denegar el recurso de queja interpuesto por </w:t>
      </w:r>
      <w:r w:rsidR="009F2AA6" w:rsidRPr="00A60069">
        <w:rPr>
          <w:rFonts w:asciiTheme="majorHAnsi" w:hAnsiTheme="majorHAnsi"/>
          <w:sz w:val="20"/>
          <w:szCs w:val="20"/>
          <w:lang w:val="es-UY"/>
        </w:rPr>
        <w:t>el peticionario</w:t>
      </w:r>
      <w:r w:rsidRPr="00A60069">
        <w:rPr>
          <w:rFonts w:asciiTheme="majorHAnsi" w:hAnsiTheme="majorHAnsi"/>
          <w:sz w:val="20"/>
          <w:szCs w:val="20"/>
          <w:lang w:val="es-UY"/>
        </w:rPr>
        <w:t xml:space="preserve">. </w:t>
      </w:r>
      <w:r w:rsidR="00365D51" w:rsidRPr="00A60069">
        <w:rPr>
          <w:rFonts w:asciiTheme="majorHAnsi" w:hAnsiTheme="majorHAnsi"/>
          <w:sz w:val="20"/>
          <w:szCs w:val="20"/>
          <w:lang w:val="es-UY"/>
        </w:rPr>
        <w:t>Por lo tanto</w:t>
      </w:r>
      <w:r w:rsidR="009F2AA6" w:rsidRPr="00A60069">
        <w:rPr>
          <w:rFonts w:ascii="Cambria" w:hAnsi="Cambria" w:cs="Cambria"/>
          <w:sz w:val="20"/>
          <w:szCs w:val="20"/>
          <w:lang w:val="es-ES" w:eastAsia="es-ES"/>
        </w:rPr>
        <w:t xml:space="preserve">, </w:t>
      </w:r>
      <w:r w:rsidR="00585E57" w:rsidRPr="00A60069">
        <w:rPr>
          <w:rFonts w:ascii="Cambria" w:hAnsi="Cambria" w:cs="Cambria"/>
          <w:sz w:val="20"/>
          <w:szCs w:val="20"/>
          <w:lang w:val="es-ES" w:eastAsia="es-ES"/>
        </w:rPr>
        <w:t>la CIDH concluye que la petición cumple con el precepto establecido en el artículo 4</w:t>
      </w:r>
      <w:r w:rsidR="0014690E" w:rsidRPr="00A60069">
        <w:rPr>
          <w:rFonts w:ascii="Cambria" w:hAnsi="Cambria" w:cs="Cambria"/>
          <w:sz w:val="20"/>
          <w:szCs w:val="20"/>
          <w:lang w:val="es-ES" w:eastAsia="es-ES"/>
        </w:rPr>
        <w:t>6</w:t>
      </w:r>
      <w:r w:rsidR="00DA4F40" w:rsidRPr="00A60069">
        <w:rPr>
          <w:rFonts w:ascii="Cambria" w:hAnsi="Cambria" w:cs="Cambria"/>
          <w:sz w:val="20"/>
          <w:szCs w:val="20"/>
          <w:lang w:val="es-ES" w:eastAsia="es-ES"/>
        </w:rPr>
        <w:t>.1.b</w:t>
      </w:r>
      <w:r w:rsidR="00585E57" w:rsidRPr="00A60069">
        <w:rPr>
          <w:rFonts w:ascii="Cambria" w:hAnsi="Cambria" w:cs="Cambria"/>
          <w:sz w:val="20"/>
          <w:szCs w:val="20"/>
          <w:lang w:val="es-ES" w:eastAsia="es-ES"/>
        </w:rPr>
        <w:t xml:space="preserve"> de la Convención. </w:t>
      </w:r>
    </w:p>
    <w:p w:rsidR="00547D7F" w:rsidRPr="00A60069"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63685A" w:rsidRPr="00A60069" w:rsidRDefault="0063685A" w:rsidP="009F0583">
      <w:pPr>
        <w:spacing w:after="240"/>
        <w:ind w:left="720"/>
        <w:jc w:val="both"/>
        <w:rPr>
          <w:rFonts w:asciiTheme="majorHAnsi" w:hAnsiTheme="majorHAnsi"/>
          <w:b/>
          <w:bCs/>
          <w:sz w:val="20"/>
          <w:szCs w:val="20"/>
          <w:lang w:val="es-UY"/>
        </w:rPr>
      </w:pPr>
      <w:r w:rsidRPr="00A60069">
        <w:rPr>
          <w:rFonts w:asciiTheme="majorHAnsi" w:hAnsiTheme="majorHAnsi"/>
          <w:b/>
          <w:bCs/>
          <w:sz w:val="20"/>
          <w:szCs w:val="20"/>
          <w:lang w:val="es-UY"/>
        </w:rPr>
        <w:t>3.</w:t>
      </w:r>
      <w:r w:rsidRPr="00A60069">
        <w:rPr>
          <w:rFonts w:asciiTheme="majorHAnsi" w:hAnsiTheme="majorHAnsi"/>
          <w:b/>
          <w:bCs/>
          <w:sz w:val="20"/>
          <w:szCs w:val="20"/>
          <w:lang w:val="es-UY"/>
        </w:rPr>
        <w:tab/>
        <w:t>Duplicación de procedimientos y cosa juzgada</w:t>
      </w:r>
      <w:r w:rsidRPr="00A60069">
        <w:rPr>
          <w:rFonts w:asciiTheme="majorHAnsi" w:hAnsiTheme="majorHAnsi"/>
          <w:b/>
          <w:bCs/>
          <w:i/>
          <w:sz w:val="20"/>
          <w:szCs w:val="20"/>
          <w:lang w:val="es-UY"/>
        </w:rPr>
        <w:t xml:space="preserve"> </w:t>
      </w:r>
      <w:r w:rsidRPr="00A60069">
        <w:rPr>
          <w:rFonts w:asciiTheme="majorHAnsi" w:hAnsiTheme="majorHAnsi"/>
          <w:b/>
          <w:bCs/>
          <w:sz w:val="20"/>
          <w:szCs w:val="20"/>
          <w:lang w:val="es-UY"/>
        </w:rPr>
        <w:t>internacional</w:t>
      </w:r>
    </w:p>
    <w:p w:rsidR="004912BD" w:rsidRPr="00A60069" w:rsidRDefault="0063685A" w:rsidP="004912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A60069">
        <w:rPr>
          <w:rFonts w:asciiTheme="majorHAnsi" w:hAnsiTheme="majorHAnsi"/>
          <w:sz w:val="20"/>
          <w:szCs w:val="20"/>
          <w:lang w:val="es-UY"/>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w:t>
      </w:r>
      <w:r w:rsidR="00DA4F40" w:rsidRPr="00A60069">
        <w:rPr>
          <w:rFonts w:asciiTheme="majorHAnsi" w:hAnsiTheme="majorHAnsi"/>
          <w:sz w:val="20"/>
          <w:szCs w:val="20"/>
          <w:lang w:val="es-UY"/>
        </w:rPr>
        <w:t>.1.c</w:t>
      </w:r>
      <w:r w:rsidRPr="00A60069">
        <w:rPr>
          <w:rFonts w:asciiTheme="majorHAnsi" w:hAnsiTheme="majorHAnsi"/>
          <w:sz w:val="20"/>
          <w:szCs w:val="20"/>
          <w:lang w:val="es-UY"/>
        </w:rPr>
        <w:t xml:space="preserve"> y 47</w:t>
      </w:r>
      <w:r w:rsidR="00DA4F40" w:rsidRPr="00A60069">
        <w:rPr>
          <w:rFonts w:asciiTheme="majorHAnsi" w:hAnsiTheme="majorHAnsi"/>
          <w:sz w:val="20"/>
          <w:szCs w:val="20"/>
          <w:lang w:val="es-UY"/>
        </w:rPr>
        <w:t>.d</w:t>
      </w:r>
      <w:r w:rsidRPr="00A60069">
        <w:rPr>
          <w:rFonts w:asciiTheme="majorHAnsi" w:hAnsiTheme="majorHAnsi"/>
          <w:sz w:val="20"/>
          <w:szCs w:val="20"/>
          <w:lang w:val="es-UY"/>
        </w:rPr>
        <w:t xml:space="preserve"> de la Convención.</w:t>
      </w:r>
    </w:p>
    <w:p w:rsidR="00547D7F" w:rsidRPr="00A60069"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rsidR="0063685A" w:rsidRPr="00A60069" w:rsidRDefault="0063685A" w:rsidP="009F0583">
      <w:pPr>
        <w:spacing w:after="240"/>
        <w:ind w:left="720"/>
        <w:jc w:val="both"/>
        <w:rPr>
          <w:rFonts w:asciiTheme="majorHAnsi" w:hAnsiTheme="majorHAnsi"/>
          <w:b/>
          <w:bCs/>
          <w:sz w:val="20"/>
          <w:szCs w:val="20"/>
          <w:lang w:val="es-UY"/>
        </w:rPr>
      </w:pPr>
      <w:r w:rsidRPr="00A60069">
        <w:rPr>
          <w:rFonts w:asciiTheme="majorHAnsi" w:hAnsiTheme="majorHAnsi"/>
          <w:b/>
          <w:bCs/>
          <w:sz w:val="20"/>
          <w:szCs w:val="20"/>
          <w:lang w:val="es-UY"/>
        </w:rPr>
        <w:t>4.</w:t>
      </w:r>
      <w:r w:rsidRPr="00A60069">
        <w:rPr>
          <w:rFonts w:asciiTheme="majorHAnsi" w:hAnsiTheme="majorHAnsi"/>
          <w:b/>
          <w:bCs/>
          <w:sz w:val="20"/>
          <w:szCs w:val="20"/>
          <w:lang w:val="es-UY"/>
        </w:rPr>
        <w:tab/>
        <w:t>Caracterización de los hechos alegados</w:t>
      </w:r>
    </w:p>
    <w:p w:rsidR="009F0B9A" w:rsidRPr="00A60069" w:rsidRDefault="0063685A" w:rsidP="003A39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A60069">
        <w:rPr>
          <w:rFonts w:asciiTheme="majorHAnsi" w:hAnsiTheme="majorHAnsi"/>
          <w:sz w:val="20"/>
          <w:szCs w:val="20"/>
          <w:lang w:val="es-UY"/>
        </w:rPr>
        <w:t>A los efectos de la admisibilidad, la Comisión debe decidir si los hechos alegados pueden caracterizar una violación de derechos, según lo estipulado en el artículo 47</w:t>
      </w:r>
      <w:r w:rsidR="00DA4F40" w:rsidRPr="00A60069">
        <w:rPr>
          <w:rFonts w:asciiTheme="majorHAnsi" w:hAnsiTheme="majorHAnsi"/>
          <w:sz w:val="20"/>
          <w:szCs w:val="20"/>
          <w:lang w:val="es-UY"/>
        </w:rPr>
        <w:t>.b</w:t>
      </w:r>
      <w:r w:rsidRPr="00A60069">
        <w:rPr>
          <w:rFonts w:asciiTheme="majorHAnsi" w:hAnsiTheme="majorHAnsi"/>
          <w:sz w:val="20"/>
          <w:szCs w:val="20"/>
          <w:lang w:val="es-UY"/>
        </w:rPr>
        <w:t xml:space="preserve"> de la Convención Americana, o </w:t>
      </w:r>
      <w:r w:rsidRPr="00A60069">
        <w:rPr>
          <w:rFonts w:asciiTheme="majorHAnsi" w:hAnsiTheme="majorHAnsi"/>
          <w:sz w:val="20"/>
          <w:szCs w:val="20"/>
          <w:lang w:val="es-UY"/>
        </w:rPr>
        <w:lastRenderedPageBreak/>
        <w:t xml:space="preserve">si la petición es "manifiestamente infundada" o es "evidente su total improcedencia", conforme al inciso </w:t>
      </w:r>
      <w:r w:rsidR="00DA4F40" w:rsidRPr="00A60069">
        <w:rPr>
          <w:rFonts w:asciiTheme="majorHAnsi" w:hAnsiTheme="majorHAnsi"/>
          <w:sz w:val="20"/>
          <w:szCs w:val="20"/>
          <w:lang w:val="es-UY"/>
        </w:rPr>
        <w:t>“c”</w:t>
      </w:r>
      <w:r w:rsidRPr="00A60069">
        <w:rPr>
          <w:rFonts w:asciiTheme="majorHAnsi" w:hAnsiTheme="majorHAnsi"/>
          <w:sz w:val="20"/>
          <w:szCs w:val="20"/>
          <w:lang w:val="es-UY"/>
        </w:rPr>
        <w:t xml:space="preserve"> de dicho artículo.  El criterio para analizar la admisibilidad difiere del utilizado para el análisis del fondo de la petición dado que la Comisión sólo realiza un análisis </w:t>
      </w:r>
      <w:r w:rsidRPr="00A60069">
        <w:rPr>
          <w:rFonts w:asciiTheme="majorHAnsi" w:hAnsiTheme="majorHAnsi"/>
          <w:i/>
          <w:sz w:val="20"/>
          <w:szCs w:val="20"/>
          <w:lang w:val="es-UY"/>
        </w:rPr>
        <w:t>prima facie</w:t>
      </w:r>
      <w:r w:rsidRPr="00A60069">
        <w:rPr>
          <w:rFonts w:asciiTheme="majorHAnsi" w:hAnsiTheme="majorHAnsi"/>
          <w:sz w:val="20"/>
          <w:szCs w:val="20"/>
          <w:lang w:val="es-UY"/>
        </w:rPr>
        <w:t xml:space="preserve"> para determinar si los peticionarios establecen la aparente o posible violación de un derecho garantizado por la </w:t>
      </w:r>
      <w:r w:rsidR="00847102" w:rsidRPr="00A60069">
        <w:rPr>
          <w:rFonts w:asciiTheme="majorHAnsi" w:hAnsiTheme="majorHAnsi"/>
          <w:sz w:val="20"/>
          <w:szCs w:val="20"/>
          <w:lang w:val="es-UY"/>
        </w:rPr>
        <w:t>Convención Americana</w:t>
      </w:r>
      <w:r w:rsidRPr="00A60069">
        <w:rPr>
          <w:rFonts w:asciiTheme="majorHAnsi" w:hAnsiTheme="majorHAnsi"/>
          <w:sz w:val="20"/>
          <w:szCs w:val="20"/>
          <w:lang w:val="es-UY"/>
        </w:rPr>
        <w:t>. Se trata de un análisis somero que no implica prejuzgar o emitir una opinión preliminar sobre el fondo del asunto.</w:t>
      </w:r>
    </w:p>
    <w:p w:rsidR="003A39D0" w:rsidRPr="00A60069" w:rsidRDefault="003A39D0" w:rsidP="003A39D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rsidR="009F0B9A" w:rsidRPr="00A60069" w:rsidRDefault="009F0B9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A60069">
        <w:rPr>
          <w:rFonts w:asciiTheme="majorHAnsi" w:hAnsiTheme="majorHAnsi"/>
          <w:sz w:val="20"/>
          <w:szCs w:val="20"/>
          <w:lang w:val="es-UY"/>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DB75C3" w:rsidRPr="00A60069" w:rsidRDefault="00DB75C3" w:rsidP="006D2F2D">
      <w:pPr>
        <w:rPr>
          <w:rFonts w:asciiTheme="majorHAnsi" w:eastAsia="SimSun" w:hAnsiTheme="majorHAnsi"/>
          <w:sz w:val="20"/>
          <w:szCs w:val="20"/>
          <w:lang w:val="es-UY"/>
        </w:rPr>
      </w:pPr>
    </w:p>
    <w:p w:rsidR="00285E18" w:rsidRPr="00A60069" w:rsidRDefault="0014690E" w:rsidP="00D14A3D">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A60069">
        <w:rPr>
          <w:rFonts w:asciiTheme="majorHAnsi" w:eastAsia="SimSun" w:hAnsiTheme="majorHAnsi"/>
          <w:sz w:val="20"/>
          <w:szCs w:val="20"/>
          <w:lang w:val="es-UY"/>
        </w:rPr>
        <w:t>El</w:t>
      </w:r>
      <w:r w:rsidR="009F2AA6" w:rsidRPr="00A60069">
        <w:rPr>
          <w:rFonts w:asciiTheme="majorHAnsi" w:eastAsia="SimSun" w:hAnsiTheme="majorHAnsi"/>
          <w:sz w:val="20"/>
          <w:szCs w:val="20"/>
          <w:lang w:val="es-UY"/>
        </w:rPr>
        <w:t xml:space="preserve"> peticionario</w:t>
      </w:r>
      <w:r w:rsidR="00DB75C3" w:rsidRPr="00A60069">
        <w:rPr>
          <w:rFonts w:asciiTheme="majorHAnsi" w:eastAsia="SimSun" w:hAnsiTheme="majorHAnsi"/>
          <w:sz w:val="20"/>
          <w:szCs w:val="20"/>
          <w:lang w:val="es-UY"/>
        </w:rPr>
        <w:t xml:space="preserve"> sostiene </w:t>
      </w:r>
      <w:r w:rsidR="009F2AA6" w:rsidRPr="00A60069">
        <w:rPr>
          <w:rFonts w:asciiTheme="majorHAnsi" w:eastAsia="SimSun" w:hAnsiTheme="majorHAnsi"/>
          <w:sz w:val="20"/>
          <w:szCs w:val="20"/>
          <w:lang w:val="es-UY"/>
        </w:rPr>
        <w:t>que</w:t>
      </w:r>
      <w:r w:rsidR="00A2649C" w:rsidRPr="00A60069">
        <w:rPr>
          <w:rFonts w:asciiTheme="majorHAnsi" w:eastAsia="SimSun" w:hAnsiTheme="majorHAnsi"/>
          <w:sz w:val="20"/>
          <w:szCs w:val="20"/>
          <w:lang w:val="es-UY"/>
        </w:rPr>
        <w:t xml:space="preserve"> </w:t>
      </w:r>
      <w:r w:rsidR="005D599B" w:rsidRPr="00A60069">
        <w:rPr>
          <w:rFonts w:asciiTheme="majorHAnsi" w:eastAsia="SimSun" w:hAnsiTheme="majorHAnsi"/>
          <w:sz w:val="20"/>
          <w:szCs w:val="20"/>
          <w:lang w:val="es-UY"/>
        </w:rPr>
        <w:t>no tuvo a su disposición un recurso adecuado y efectivo que le permitiera impugnar</w:t>
      </w:r>
      <w:r w:rsidR="00971241" w:rsidRPr="00A60069">
        <w:rPr>
          <w:rFonts w:asciiTheme="majorHAnsi" w:eastAsia="SimSun" w:hAnsiTheme="majorHAnsi"/>
          <w:sz w:val="20"/>
          <w:szCs w:val="20"/>
          <w:lang w:val="es-UY"/>
        </w:rPr>
        <w:t xml:space="preserve"> la multa procesal </w:t>
      </w:r>
      <w:r w:rsidR="00DC3F9E" w:rsidRPr="00A60069">
        <w:rPr>
          <w:rFonts w:asciiTheme="majorHAnsi" w:eastAsia="SimSun" w:hAnsiTheme="majorHAnsi"/>
          <w:sz w:val="20"/>
          <w:szCs w:val="20"/>
          <w:lang w:val="es-UY"/>
        </w:rPr>
        <w:t xml:space="preserve">impuesta </w:t>
      </w:r>
      <w:r w:rsidR="007E6DDA" w:rsidRPr="00A60069">
        <w:rPr>
          <w:rFonts w:asciiTheme="majorHAnsi" w:eastAsia="SimSun" w:hAnsiTheme="majorHAnsi"/>
          <w:sz w:val="20"/>
          <w:szCs w:val="20"/>
          <w:lang w:val="es-UY"/>
        </w:rPr>
        <w:t xml:space="preserve">en su contra </w:t>
      </w:r>
      <w:r w:rsidR="00DC3F9E" w:rsidRPr="00A60069">
        <w:rPr>
          <w:rFonts w:asciiTheme="majorHAnsi" w:eastAsia="SimSun" w:hAnsiTheme="majorHAnsi"/>
          <w:sz w:val="20"/>
          <w:szCs w:val="20"/>
          <w:lang w:val="es-UY"/>
        </w:rPr>
        <w:t>mediante</w:t>
      </w:r>
      <w:r w:rsidR="009F2AA6" w:rsidRPr="00A60069">
        <w:rPr>
          <w:rFonts w:asciiTheme="majorHAnsi" w:eastAsia="SimSun" w:hAnsiTheme="majorHAnsi"/>
          <w:sz w:val="20"/>
          <w:szCs w:val="20"/>
          <w:lang w:val="es-UY"/>
        </w:rPr>
        <w:t xml:space="preserve"> </w:t>
      </w:r>
      <w:r w:rsidR="00A2649C" w:rsidRPr="00A60069">
        <w:rPr>
          <w:rFonts w:asciiTheme="majorHAnsi" w:eastAsia="SimSun" w:hAnsiTheme="majorHAnsi"/>
          <w:sz w:val="20"/>
          <w:szCs w:val="20"/>
          <w:lang w:val="es-UY"/>
        </w:rPr>
        <w:t xml:space="preserve">la resolución </w:t>
      </w:r>
      <w:r w:rsidR="005D599B" w:rsidRPr="00A60069">
        <w:rPr>
          <w:rFonts w:asciiTheme="majorHAnsi" w:eastAsia="SimSun" w:hAnsiTheme="majorHAnsi"/>
          <w:sz w:val="20"/>
          <w:szCs w:val="20"/>
          <w:lang w:val="es-UY"/>
        </w:rPr>
        <w:t>de</w:t>
      </w:r>
      <w:r w:rsidR="00A2649C" w:rsidRPr="00A60069">
        <w:rPr>
          <w:rFonts w:asciiTheme="majorHAnsi" w:eastAsia="SimSun" w:hAnsiTheme="majorHAnsi"/>
          <w:sz w:val="20"/>
          <w:szCs w:val="20"/>
          <w:lang w:val="es-UY"/>
        </w:rPr>
        <w:t xml:space="preserve"> la Cám</w:t>
      </w:r>
      <w:r w:rsidR="007E6DDA" w:rsidRPr="00A60069">
        <w:rPr>
          <w:rFonts w:asciiTheme="majorHAnsi" w:eastAsia="SimSun" w:hAnsiTheme="majorHAnsi"/>
          <w:sz w:val="20"/>
          <w:szCs w:val="20"/>
          <w:lang w:val="es-UY"/>
        </w:rPr>
        <w:t xml:space="preserve">ara de Apelaciones. </w:t>
      </w:r>
      <w:r w:rsidR="007F559F" w:rsidRPr="00A60069">
        <w:rPr>
          <w:rFonts w:asciiTheme="majorHAnsi" w:eastAsia="SimSun" w:hAnsiTheme="majorHAnsi"/>
          <w:sz w:val="20"/>
          <w:szCs w:val="20"/>
          <w:lang w:val="es-UY"/>
        </w:rPr>
        <w:t xml:space="preserve">Asimismo, refiere que no le fue permitido ofrecer pruebas </w:t>
      </w:r>
      <w:r w:rsidR="00CA3824" w:rsidRPr="00A60069">
        <w:rPr>
          <w:rFonts w:asciiTheme="majorHAnsi" w:eastAsia="SimSun" w:hAnsiTheme="majorHAnsi"/>
          <w:sz w:val="20"/>
          <w:szCs w:val="20"/>
          <w:lang w:val="es-UY"/>
        </w:rPr>
        <w:t xml:space="preserve">para su defensa </w:t>
      </w:r>
      <w:r w:rsidR="007F559F" w:rsidRPr="00A60069">
        <w:rPr>
          <w:rFonts w:asciiTheme="majorHAnsi" w:eastAsia="SimSun" w:hAnsiTheme="majorHAnsi"/>
          <w:sz w:val="20"/>
          <w:szCs w:val="20"/>
          <w:lang w:val="es-UY"/>
        </w:rPr>
        <w:t>ante la Cámara de Apelaciones ni ante la Corte Suprema</w:t>
      </w:r>
      <w:r w:rsidR="00CA3824" w:rsidRPr="00A60069">
        <w:rPr>
          <w:rFonts w:asciiTheme="majorHAnsi" w:eastAsia="SimSun" w:hAnsiTheme="majorHAnsi"/>
          <w:sz w:val="20"/>
          <w:szCs w:val="20"/>
          <w:lang w:val="es-UY"/>
        </w:rPr>
        <w:t xml:space="preserve">. </w:t>
      </w:r>
      <w:r w:rsidR="00711CD6" w:rsidRPr="00A60069">
        <w:rPr>
          <w:rFonts w:asciiTheme="majorHAnsi" w:eastAsia="SimSun" w:hAnsiTheme="majorHAnsi"/>
          <w:sz w:val="20"/>
          <w:szCs w:val="20"/>
          <w:lang w:val="es-UY"/>
        </w:rPr>
        <w:t xml:space="preserve">Alega además que el recurso extraordinario ante la Corte Suprema no fue efectivo dado que la discrecionalidad establecida en el artículo 280 del Código Procesal Civil y Comercial permitió que la Corte falle con arbitrariedad su caso. </w:t>
      </w:r>
      <w:r w:rsidR="00CA3824" w:rsidRPr="00A60069">
        <w:rPr>
          <w:rFonts w:asciiTheme="majorHAnsi" w:eastAsia="SimSun" w:hAnsiTheme="majorHAnsi"/>
          <w:sz w:val="20"/>
          <w:szCs w:val="20"/>
          <w:lang w:val="es-UY"/>
        </w:rPr>
        <w:t xml:space="preserve">Finalmente, </w:t>
      </w:r>
      <w:r w:rsidR="00285E18" w:rsidRPr="00A60069">
        <w:rPr>
          <w:rFonts w:asciiTheme="majorHAnsi" w:eastAsia="SimSun" w:hAnsiTheme="majorHAnsi"/>
          <w:sz w:val="20"/>
          <w:szCs w:val="20"/>
          <w:lang w:val="es-UY"/>
        </w:rPr>
        <w:t xml:space="preserve">la presunta víctima </w:t>
      </w:r>
      <w:r w:rsidR="00CA3824" w:rsidRPr="00A60069">
        <w:rPr>
          <w:rFonts w:asciiTheme="majorHAnsi" w:eastAsia="SimSun" w:hAnsiTheme="majorHAnsi"/>
          <w:sz w:val="20"/>
          <w:szCs w:val="20"/>
          <w:lang w:val="es-UY"/>
        </w:rPr>
        <w:t xml:space="preserve">manifiesta que </w:t>
      </w:r>
      <w:r w:rsidR="009F2AA6" w:rsidRPr="00A60069">
        <w:rPr>
          <w:rFonts w:asciiTheme="majorHAnsi" w:eastAsia="SimSun" w:hAnsiTheme="majorHAnsi"/>
          <w:sz w:val="20"/>
          <w:szCs w:val="20"/>
          <w:lang w:val="es-UY"/>
        </w:rPr>
        <w:t>fue vulnerado su derecho a la igualdad ante la ley</w:t>
      </w:r>
      <w:r w:rsidR="00285E18" w:rsidRPr="00A60069">
        <w:rPr>
          <w:rFonts w:asciiTheme="majorHAnsi" w:eastAsia="SimSun" w:hAnsiTheme="majorHAnsi"/>
          <w:sz w:val="20"/>
          <w:szCs w:val="20"/>
          <w:lang w:val="es-UY"/>
        </w:rPr>
        <w:t>,</w:t>
      </w:r>
      <w:r w:rsidR="00CA3824" w:rsidRPr="00A60069">
        <w:rPr>
          <w:rFonts w:asciiTheme="majorHAnsi" w:eastAsia="SimSun" w:hAnsiTheme="majorHAnsi"/>
          <w:sz w:val="20"/>
          <w:szCs w:val="20"/>
          <w:lang w:val="es-UY"/>
        </w:rPr>
        <w:t xml:space="preserve"> ya que </w:t>
      </w:r>
      <w:r w:rsidR="00F211A2" w:rsidRPr="00A60069">
        <w:rPr>
          <w:rFonts w:asciiTheme="majorHAnsi" w:eastAsia="SimSun" w:hAnsiTheme="majorHAnsi"/>
          <w:sz w:val="20"/>
          <w:szCs w:val="20"/>
          <w:lang w:val="es-UY"/>
        </w:rPr>
        <w:t xml:space="preserve">la Corte Suprema no aplicó en su caso </w:t>
      </w:r>
      <w:r w:rsidR="00285E18" w:rsidRPr="00A60069">
        <w:rPr>
          <w:rFonts w:asciiTheme="majorHAnsi" w:eastAsia="SimSun" w:hAnsiTheme="majorHAnsi"/>
          <w:sz w:val="20"/>
          <w:szCs w:val="20"/>
          <w:lang w:val="es-UY"/>
        </w:rPr>
        <w:t xml:space="preserve">un </w:t>
      </w:r>
      <w:r w:rsidR="00F211A2" w:rsidRPr="00A60069">
        <w:rPr>
          <w:rFonts w:asciiTheme="majorHAnsi" w:eastAsia="SimSun" w:hAnsiTheme="majorHAnsi"/>
          <w:sz w:val="20"/>
          <w:szCs w:val="20"/>
          <w:lang w:val="es-UY"/>
        </w:rPr>
        <w:t>precedente</w:t>
      </w:r>
      <w:r w:rsidR="00285E18" w:rsidRPr="00A60069">
        <w:rPr>
          <w:rFonts w:asciiTheme="majorHAnsi" w:eastAsia="SimSun" w:hAnsiTheme="majorHAnsi"/>
          <w:sz w:val="20"/>
          <w:szCs w:val="20"/>
          <w:lang w:val="es-UY"/>
        </w:rPr>
        <w:t xml:space="preserve"> judicial de 1994 que le era más favorable</w:t>
      </w:r>
      <w:r w:rsidR="006D2F2D" w:rsidRPr="00A60069">
        <w:rPr>
          <w:rFonts w:asciiTheme="majorHAnsi" w:eastAsia="SimSun" w:hAnsiTheme="majorHAnsi"/>
          <w:sz w:val="20"/>
          <w:szCs w:val="20"/>
          <w:lang w:val="es-UY"/>
        </w:rPr>
        <w:t xml:space="preserve">. </w:t>
      </w:r>
    </w:p>
    <w:p w:rsidR="00285E18" w:rsidRPr="00A60069" w:rsidRDefault="00285E18" w:rsidP="00285E18">
      <w:pPr>
        <w:pStyle w:val="ListParagraph"/>
        <w:rPr>
          <w:rFonts w:asciiTheme="majorHAnsi" w:eastAsia="SimSun" w:hAnsiTheme="majorHAnsi"/>
          <w:sz w:val="20"/>
          <w:szCs w:val="20"/>
          <w:lang w:val="es-UY"/>
        </w:rPr>
      </w:pPr>
    </w:p>
    <w:p w:rsidR="00223C86" w:rsidRPr="00A60069" w:rsidRDefault="00285E18" w:rsidP="00223C86">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lang w:val="es-AR"/>
        </w:rPr>
      </w:pPr>
      <w:r w:rsidRPr="00A60069">
        <w:rPr>
          <w:rFonts w:asciiTheme="majorHAnsi" w:eastAsia="SimSun" w:hAnsiTheme="majorHAnsi"/>
          <w:sz w:val="20"/>
          <w:szCs w:val="20"/>
          <w:lang w:val="es-UY"/>
        </w:rPr>
        <w:t>A su vez, el Estado manifiesta</w:t>
      </w:r>
      <w:r w:rsidR="006D2F2D" w:rsidRPr="00A60069">
        <w:rPr>
          <w:rFonts w:asciiTheme="majorHAnsi" w:eastAsia="SimSun" w:hAnsiTheme="majorHAnsi"/>
          <w:sz w:val="20"/>
          <w:szCs w:val="20"/>
          <w:lang w:val="es-UY"/>
        </w:rPr>
        <w:t xml:space="preserve"> </w:t>
      </w:r>
      <w:r w:rsidR="001122A0" w:rsidRPr="00A60069">
        <w:rPr>
          <w:rFonts w:asciiTheme="majorHAnsi" w:eastAsia="SimSun" w:hAnsiTheme="majorHAnsi"/>
          <w:sz w:val="20"/>
          <w:szCs w:val="20"/>
          <w:lang w:val="es-UY"/>
        </w:rPr>
        <w:t xml:space="preserve">que los hechos alegados por el peticionario no caracterizan violaciones a derechos humanos, </w:t>
      </w:r>
      <w:r w:rsidR="007E4D4A" w:rsidRPr="00A60069">
        <w:rPr>
          <w:rFonts w:asciiTheme="majorHAnsi" w:eastAsia="SimSun" w:hAnsiTheme="majorHAnsi"/>
          <w:sz w:val="20"/>
          <w:szCs w:val="20"/>
          <w:lang w:val="es-UY"/>
        </w:rPr>
        <w:t>ya que en todos los procesos jurisdiccionales le fueron respetadas las garantías judiciales, siempre tuvo al alcance un recurso adecuado y efectivo y nunca aportó elementos suficientes para sustentar su acusación de aplicación desigual de la ley.</w:t>
      </w:r>
      <w:r w:rsidRPr="00A60069">
        <w:rPr>
          <w:rFonts w:asciiTheme="majorHAnsi" w:eastAsia="SimSun" w:hAnsiTheme="majorHAnsi"/>
          <w:sz w:val="20"/>
          <w:szCs w:val="20"/>
          <w:lang w:val="es-UY"/>
        </w:rPr>
        <w:t xml:space="preserve"> </w:t>
      </w:r>
      <w:r w:rsidR="00104E11" w:rsidRPr="00A60069">
        <w:rPr>
          <w:rFonts w:asciiTheme="majorHAnsi" w:eastAsia="SimSun" w:hAnsiTheme="majorHAnsi"/>
          <w:sz w:val="20"/>
          <w:szCs w:val="20"/>
          <w:lang w:val="es-UY"/>
        </w:rPr>
        <w:t>Cabe destacar que, respecto a</w:t>
      </w:r>
      <w:r w:rsidR="00CE1809" w:rsidRPr="00A60069">
        <w:rPr>
          <w:rFonts w:asciiTheme="majorHAnsi" w:eastAsia="SimSun" w:hAnsiTheme="majorHAnsi"/>
          <w:sz w:val="20"/>
          <w:szCs w:val="20"/>
          <w:lang w:val="es-UY"/>
        </w:rPr>
        <w:t xml:space="preserve"> </w:t>
      </w:r>
      <w:r w:rsidR="00104E11" w:rsidRPr="00A60069">
        <w:rPr>
          <w:rFonts w:asciiTheme="majorHAnsi" w:eastAsia="SimSun" w:hAnsiTheme="majorHAnsi"/>
          <w:sz w:val="20"/>
          <w:szCs w:val="20"/>
          <w:lang w:val="es-UY"/>
        </w:rPr>
        <w:t>l</w:t>
      </w:r>
      <w:r w:rsidR="00CE1809" w:rsidRPr="00A60069">
        <w:rPr>
          <w:rFonts w:asciiTheme="majorHAnsi" w:eastAsia="SimSun" w:hAnsiTheme="majorHAnsi"/>
          <w:sz w:val="20"/>
          <w:szCs w:val="20"/>
          <w:lang w:val="es-UY"/>
        </w:rPr>
        <w:t>os criterios contenidos en el</w:t>
      </w:r>
      <w:r w:rsidR="00104E11" w:rsidRPr="00A60069">
        <w:rPr>
          <w:rFonts w:asciiTheme="majorHAnsi" w:eastAsia="SimSun" w:hAnsiTheme="majorHAnsi"/>
          <w:sz w:val="20"/>
          <w:szCs w:val="20"/>
          <w:lang w:val="es-UY"/>
        </w:rPr>
        <w:t xml:space="preserve"> informe de inadmisibilidad que el Estado solicita se aplique</w:t>
      </w:r>
      <w:r w:rsidR="00CE1809" w:rsidRPr="00A60069">
        <w:rPr>
          <w:rFonts w:asciiTheme="majorHAnsi" w:eastAsia="SimSun" w:hAnsiTheme="majorHAnsi"/>
          <w:sz w:val="20"/>
          <w:szCs w:val="20"/>
          <w:lang w:val="es-UY"/>
        </w:rPr>
        <w:t>n</w:t>
      </w:r>
      <w:r w:rsidR="00104E11" w:rsidRPr="00A60069">
        <w:rPr>
          <w:rFonts w:asciiTheme="majorHAnsi" w:eastAsia="SimSun" w:hAnsiTheme="majorHAnsi"/>
          <w:sz w:val="20"/>
          <w:szCs w:val="20"/>
          <w:lang w:val="es-UY"/>
        </w:rPr>
        <w:t xml:space="preserve"> en este caso como base jurisprudencial</w:t>
      </w:r>
      <w:r w:rsidR="00807F1A" w:rsidRPr="00A60069">
        <w:rPr>
          <w:rStyle w:val="FootnoteReference"/>
          <w:rFonts w:asciiTheme="majorHAnsi" w:eastAsia="SimSun" w:hAnsiTheme="majorHAnsi"/>
          <w:sz w:val="20"/>
          <w:szCs w:val="20"/>
          <w:lang w:val="es-UY"/>
        </w:rPr>
        <w:footnoteReference w:id="5"/>
      </w:r>
      <w:r w:rsidR="00104E11" w:rsidRPr="00A60069">
        <w:rPr>
          <w:rFonts w:asciiTheme="majorHAnsi" w:eastAsia="SimSun" w:hAnsiTheme="majorHAnsi"/>
          <w:sz w:val="20"/>
          <w:szCs w:val="20"/>
          <w:lang w:val="es-UY"/>
        </w:rPr>
        <w:t>, la CIDH nota que el objeto en ambas peticiones es diferente pues el peticionario del precedente citado por el Estado cuestionaba la legitimidad de una sanción que le había sido impuesta por una sentencia judicial de primera instancia. En los hechos que conforman la presente petición, la presunta víctima alega que no tuvo acceso a recursos judiciales adecuados y efectivos que le permitieran impugnar una multa procesal que le fue extendida mediante una resolución de apelación, es decir</w:t>
      </w:r>
      <w:r w:rsidR="00A97F36" w:rsidRPr="00A60069">
        <w:rPr>
          <w:rFonts w:asciiTheme="majorHAnsi" w:eastAsia="SimSun" w:hAnsiTheme="majorHAnsi"/>
          <w:sz w:val="20"/>
          <w:szCs w:val="20"/>
          <w:lang w:val="es-UY"/>
        </w:rPr>
        <w:t>,</w:t>
      </w:r>
      <w:r w:rsidR="00104E11" w:rsidRPr="00A60069">
        <w:rPr>
          <w:rFonts w:asciiTheme="majorHAnsi" w:eastAsia="SimSun" w:hAnsiTheme="majorHAnsi"/>
          <w:sz w:val="20"/>
          <w:szCs w:val="20"/>
          <w:lang w:val="es-UY"/>
        </w:rPr>
        <w:t xml:space="preserve"> por un fallo judicial de segunda instancia.</w:t>
      </w:r>
    </w:p>
    <w:p w:rsidR="008E6561" w:rsidRPr="00A60069" w:rsidRDefault="008E6561" w:rsidP="008E6561">
      <w:pPr>
        <w:pStyle w:val="ListParagraph"/>
        <w:rPr>
          <w:rFonts w:asciiTheme="majorHAnsi" w:hAnsiTheme="majorHAnsi"/>
          <w:sz w:val="20"/>
          <w:szCs w:val="20"/>
          <w:lang w:val="es-AR"/>
        </w:rPr>
      </w:pPr>
    </w:p>
    <w:p w:rsidR="00A97F36" w:rsidRPr="00A60069" w:rsidRDefault="00107DC8" w:rsidP="00511518">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color w:val="FF0000"/>
          <w:sz w:val="20"/>
          <w:szCs w:val="20"/>
          <w:lang w:val="es-UY"/>
        </w:rPr>
      </w:pPr>
      <w:r w:rsidRPr="00A60069">
        <w:rPr>
          <w:rFonts w:asciiTheme="majorHAnsi" w:hAnsiTheme="majorHAnsi"/>
          <w:sz w:val="20"/>
          <w:szCs w:val="20"/>
          <w:lang w:val="es-AR"/>
        </w:rPr>
        <w:t>Con base en la información disponibl</w:t>
      </w:r>
      <w:r w:rsidR="00A40174" w:rsidRPr="00A60069">
        <w:rPr>
          <w:rFonts w:asciiTheme="majorHAnsi" w:hAnsiTheme="majorHAnsi"/>
          <w:sz w:val="20"/>
          <w:szCs w:val="20"/>
          <w:lang w:val="es-AR"/>
        </w:rPr>
        <w:t>e, se observa que ante la</w:t>
      </w:r>
      <w:r w:rsidR="002E66CD" w:rsidRPr="00A60069">
        <w:rPr>
          <w:rFonts w:asciiTheme="majorHAnsi" w:hAnsiTheme="majorHAnsi"/>
          <w:sz w:val="20"/>
          <w:szCs w:val="20"/>
          <w:lang w:val="es-AR"/>
        </w:rPr>
        <w:t xml:space="preserve"> alegada</w:t>
      </w:r>
      <w:r w:rsidR="00A40174" w:rsidRPr="00A60069">
        <w:rPr>
          <w:rFonts w:asciiTheme="majorHAnsi" w:hAnsiTheme="majorHAnsi"/>
          <w:sz w:val="20"/>
          <w:szCs w:val="20"/>
          <w:lang w:val="es-AR"/>
        </w:rPr>
        <w:t xml:space="preserve"> inexistencia de un recurso judicial adecuado</w:t>
      </w:r>
      <w:r w:rsidR="00755060" w:rsidRPr="00A60069">
        <w:rPr>
          <w:rFonts w:asciiTheme="majorHAnsi" w:hAnsiTheme="majorHAnsi"/>
          <w:sz w:val="20"/>
          <w:szCs w:val="20"/>
          <w:lang w:val="es-AR"/>
        </w:rPr>
        <w:t xml:space="preserve"> en el ordenamiento jurídico argentino</w:t>
      </w:r>
      <w:r w:rsidR="00A40174" w:rsidRPr="00A60069">
        <w:rPr>
          <w:rFonts w:asciiTheme="majorHAnsi" w:hAnsiTheme="majorHAnsi"/>
          <w:sz w:val="20"/>
          <w:szCs w:val="20"/>
          <w:lang w:val="es-AR"/>
        </w:rPr>
        <w:t xml:space="preserve">, el peticionario interpuso un recurso extraordinario ante la Corte Suprema </w:t>
      </w:r>
      <w:r w:rsidR="00261003" w:rsidRPr="00A60069">
        <w:rPr>
          <w:rFonts w:asciiTheme="majorHAnsi" w:hAnsiTheme="majorHAnsi"/>
          <w:sz w:val="20"/>
          <w:szCs w:val="20"/>
          <w:lang w:val="es-AR"/>
        </w:rPr>
        <w:t xml:space="preserve">como la única vía disponible para impugnar la extensión de una multa procesal </w:t>
      </w:r>
      <w:r w:rsidR="00755060" w:rsidRPr="00A60069">
        <w:rPr>
          <w:rFonts w:asciiTheme="majorHAnsi" w:hAnsiTheme="majorHAnsi"/>
          <w:sz w:val="20"/>
          <w:szCs w:val="20"/>
          <w:lang w:val="es-AR"/>
        </w:rPr>
        <w:t xml:space="preserve">por temeridad y malicia </w:t>
      </w:r>
      <w:r w:rsidR="00261003" w:rsidRPr="00A60069">
        <w:rPr>
          <w:rFonts w:asciiTheme="majorHAnsi" w:hAnsiTheme="majorHAnsi"/>
          <w:sz w:val="20"/>
          <w:szCs w:val="20"/>
          <w:lang w:val="es-AR"/>
        </w:rPr>
        <w:t>en su perjuicio</w:t>
      </w:r>
      <w:r w:rsidR="00282A65">
        <w:rPr>
          <w:rFonts w:asciiTheme="majorHAnsi" w:hAnsiTheme="majorHAnsi"/>
          <w:sz w:val="20"/>
          <w:szCs w:val="20"/>
          <w:lang w:val="es-AR"/>
        </w:rPr>
        <w:t xml:space="preserve"> dictada en sede de apelación</w:t>
      </w:r>
      <w:r w:rsidR="00261003" w:rsidRPr="00A60069">
        <w:rPr>
          <w:rFonts w:asciiTheme="majorHAnsi" w:hAnsiTheme="majorHAnsi"/>
          <w:sz w:val="20"/>
          <w:szCs w:val="20"/>
          <w:lang w:val="es-AR"/>
        </w:rPr>
        <w:t xml:space="preserve">. </w:t>
      </w:r>
      <w:r w:rsidR="00711CD6" w:rsidRPr="00A60069">
        <w:rPr>
          <w:rFonts w:asciiTheme="majorHAnsi" w:hAnsiTheme="majorHAnsi"/>
          <w:sz w:val="20"/>
          <w:szCs w:val="20"/>
          <w:lang w:val="es-AR"/>
        </w:rPr>
        <w:t>Sin embargo, dicho recurso no habría sido efectivo</w:t>
      </w:r>
      <w:r w:rsidR="009C1F44">
        <w:rPr>
          <w:rFonts w:asciiTheme="majorHAnsi" w:hAnsiTheme="majorHAnsi"/>
          <w:sz w:val="20"/>
          <w:szCs w:val="20"/>
          <w:lang w:val="es-AR"/>
        </w:rPr>
        <w:t>. Por lo tanto, la falta de un recurso accesible y efectivo que permita impugnar una multa procesal impuesta por primera vez en sede de apelación</w:t>
      </w:r>
      <w:r w:rsidR="00711CD6" w:rsidRPr="00A60069">
        <w:rPr>
          <w:rFonts w:asciiTheme="majorHAnsi" w:hAnsiTheme="majorHAnsi"/>
          <w:sz w:val="20"/>
          <w:szCs w:val="20"/>
          <w:lang w:val="es-AR"/>
        </w:rPr>
        <w:t xml:space="preserve">, </w:t>
      </w:r>
      <w:r w:rsidR="002E66CD" w:rsidRPr="00A60069">
        <w:rPr>
          <w:rFonts w:asciiTheme="majorHAnsi" w:hAnsiTheme="majorHAnsi"/>
          <w:sz w:val="20"/>
          <w:szCs w:val="20"/>
          <w:lang w:val="es-AR"/>
        </w:rPr>
        <w:t xml:space="preserve">podría caracterizar </w:t>
      </w:r>
      <w:r w:rsidR="00A7608B" w:rsidRPr="00A60069">
        <w:rPr>
          <w:rFonts w:asciiTheme="majorHAnsi" w:hAnsiTheme="majorHAnsi"/>
          <w:sz w:val="20"/>
          <w:szCs w:val="20"/>
          <w:lang w:val="es-AR"/>
        </w:rPr>
        <w:t xml:space="preserve">una </w:t>
      </w:r>
      <w:r w:rsidR="007E1669" w:rsidRPr="00A60069">
        <w:rPr>
          <w:rFonts w:asciiTheme="majorHAnsi" w:hAnsiTheme="majorHAnsi"/>
          <w:sz w:val="20"/>
          <w:szCs w:val="20"/>
          <w:lang w:val="es-AR"/>
        </w:rPr>
        <w:t>posible violaci</w:t>
      </w:r>
      <w:r w:rsidR="00A7608B" w:rsidRPr="00A60069">
        <w:rPr>
          <w:rFonts w:asciiTheme="majorHAnsi" w:hAnsiTheme="majorHAnsi"/>
          <w:sz w:val="20"/>
          <w:szCs w:val="20"/>
          <w:lang w:val="es-AR"/>
        </w:rPr>
        <w:t xml:space="preserve">ón a los </w:t>
      </w:r>
      <w:r w:rsidR="00B80BD6">
        <w:rPr>
          <w:rFonts w:asciiTheme="majorHAnsi" w:hAnsiTheme="majorHAnsi"/>
          <w:sz w:val="20"/>
          <w:szCs w:val="20"/>
          <w:lang w:val="es-AR"/>
        </w:rPr>
        <w:t xml:space="preserve">derechos protegidos en </w:t>
      </w:r>
      <w:r w:rsidR="00A7608B" w:rsidRPr="00A60069">
        <w:rPr>
          <w:rFonts w:asciiTheme="majorHAnsi" w:hAnsiTheme="majorHAnsi"/>
          <w:sz w:val="20"/>
          <w:szCs w:val="20"/>
          <w:lang w:val="es-AR"/>
        </w:rPr>
        <w:t>l</w:t>
      </w:r>
      <w:r w:rsidR="00B80BD6">
        <w:rPr>
          <w:rFonts w:asciiTheme="majorHAnsi" w:hAnsiTheme="majorHAnsi"/>
          <w:sz w:val="20"/>
          <w:szCs w:val="20"/>
          <w:lang w:val="es-AR"/>
        </w:rPr>
        <w:t>os</w:t>
      </w:r>
      <w:r w:rsidR="007E1669" w:rsidRPr="00A60069">
        <w:rPr>
          <w:rFonts w:asciiTheme="majorHAnsi" w:hAnsiTheme="majorHAnsi"/>
          <w:sz w:val="20"/>
          <w:szCs w:val="20"/>
          <w:lang w:val="es-AR"/>
        </w:rPr>
        <w:t xml:space="preserve"> artículo</w:t>
      </w:r>
      <w:r w:rsidR="00B80BD6">
        <w:rPr>
          <w:rFonts w:asciiTheme="majorHAnsi" w:hAnsiTheme="majorHAnsi"/>
          <w:sz w:val="20"/>
          <w:szCs w:val="20"/>
          <w:lang w:val="es-AR"/>
        </w:rPr>
        <w:t>s 8 y</w:t>
      </w:r>
      <w:r w:rsidR="007E1669" w:rsidRPr="00A60069">
        <w:rPr>
          <w:rFonts w:asciiTheme="majorHAnsi" w:hAnsiTheme="majorHAnsi"/>
          <w:sz w:val="20"/>
          <w:szCs w:val="20"/>
          <w:lang w:val="es-AR"/>
        </w:rPr>
        <w:t xml:space="preserve"> </w:t>
      </w:r>
      <w:r w:rsidR="001122A0" w:rsidRPr="00A60069">
        <w:rPr>
          <w:rFonts w:asciiTheme="majorHAnsi" w:hAnsiTheme="majorHAnsi"/>
          <w:sz w:val="20"/>
          <w:szCs w:val="20"/>
          <w:lang w:val="es-AR"/>
        </w:rPr>
        <w:t xml:space="preserve">25 </w:t>
      </w:r>
      <w:r w:rsidR="007E1669" w:rsidRPr="00A60069">
        <w:rPr>
          <w:rFonts w:asciiTheme="majorHAnsi" w:hAnsiTheme="majorHAnsi"/>
          <w:sz w:val="20"/>
          <w:szCs w:val="20"/>
          <w:lang w:val="es-AR"/>
        </w:rPr>
        <w:t xml:space="preserve">de la Convención Americana, en concordancia con el artículo </w:t>
      </w:r>
      <w:r w:rsidR="007B4744" w:rsidRPr="00A60069">
        <w:rPr>
          <w:rFonts w:asciiTheme="majorHAnsi" w:hAnsiTheme="majorHAnsi"/>
          <w:sz w:val="20"/>
          <w:szCs w:val="20"/>
          <w:lang w:val="es-AR"/>
        </w:rPr>
        <w:t xml:space="preserve">1.1 </w:t>
      </w:r>
      <w:r w:rsidR="00A7608B" w:rsidRPr="0055608D">
        <w:rPr>
          <w:rFonts w:asciiTheme="majorHAnsi" w:hAnsiTheme="majorHAnsi"/>
          <w:sz w:val="20"/>
          <w:szCs w:val="20"/>
          <w:lang w:val="es-AR"/>
        </w:rPr>
        <w:t>y 2</w:t>
      </w:r>
      <w:r w:rsidR="00A7608B" w:rsidRPr="00A60069">
        <w:rPr>
          <w:rFonts w:asciiTheme="majorHAnsi" w:hAnsiTheme="majorHAnsi"/>
          <w:sz w:val="20"/>
          <w:szCs w:val="20"/>
          <w:lang w:val="es-AR"/>
        </w:rPr>
        <w:t xml:space="preserve"> </w:t>
      </w:r>
      <w:r w:rsidR="007B4744" w:rsidRPr="00A60069">
        <w:rPr>
          <w:rFonts w:asciiTheme="majorHAnsi" w:hAnsiTheme="majorHAnsi"/>
          <w:sz w:val="20"/>
          <w:szCs w:val="20"/>
          <w:lang w:val="es-AR"/>
        </w:rPr>
        <w:t>de dicho tratado</w:t>
      </w:r>
      <w:r w:rsidR="00117A95" w:rsidRPr="00A60069">
        <w:rPr>
          <w:rFonts w:asciiTheme="majorHAnsi" w:hAnsiTheme="majorHAnsi"/>
          <w:sz w:val="20"/>
          <w:szCs w:val="20"/>
          <w:lang w:val="es-AR"/>
        </w:rPr>
        <w:t xml:space="preserve"> en perjuicio de José Alberto Picciotto</w:t>
      </w:r>
      <w:r w:rsidR="007B4744" w:rsidRPr="00A60069">
        <w:rPr>
          <w:rFonts w:asciiTheme="majorHAnsi" w:hAnsiTheme="majorHAnsi"/>
          <w:sz w:val="20"/>
          <w:szCs w:val="20"/>
          <w:lang w:val="es-AR"/>
        </w:rPr>
        <w:t xml:space="preserve">. </w:t>
      </w:r>
    </w:p>
    <w:p w:rsidR="007C0D05" w:rsidRPr="00A60069" w:rsidRDefault="007C0D05" w:rsidP="007C0D05">
      <w:pPr>
        <w:pStyle w:val="ListParagraph"/>
        <w:rPr>
          <w:rFonts w:asciiTheme="majorHAnsi" w:hAnsiTheme="majorHAnsi"/>
          <w:sz w:val="20"/>
          <w:szCs w:val="20"/>
          <w:lang w:val="es-UY"/>
        </w:rPr>
      </w:pPr>
    </w:p>
    <w:p w:rsidR="00547D7F" w:rsidRPr="00A60069" w:rsidRDefault="00511518" w:rsidP="00511518">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color w:val="FF0000"/>
          <w:sz w:val="20"/>
          <w:szCs w:val="20"/>
          <w:lang w:val="es-UY"/>
        </w:rPr>
      </w:pPr>
      <w:r w:rsidRPr="00A60069">
        <w:rPr>
          <w:rFonts w:asciiTheme="majorHAnsi" w:hAnsiTheme="majorHAnsi"/>
          <w:sz w:val="20"/>
          <w:szCs w:val="20"/>
          <w:lang w:val="es-UY"/>
        </w:rPr>
        <w:t>Finalmente, en cuanto al</w:t>
      </w:r>
      <w:r w:rsidRPr="00A60069">
        <w:rPr>
          <w:rFonts w:asciiTheme="majorHAnsi" w:eastAsia="SimSun" w:hAnsiTheme="majorHAnsi"/>
          <w:color w:val="FF0000"/>
          <w:sz w:val="20"/>
          <w:szCs w:val="20"/>
          <w:lang w:val="es-UY"/>
        </w:rPr>
        <w:t xml:space="preserve"> </w:t>
      </w:r>
      <w:r w:rsidR="00E54223" w:rsidRPr="00A60069">
        <w:rPr>
          <w:rFonts w:asciiTheme="majorHAnsi" w:hAnsiTheme="majorHAnsi"/>
          <w:sz w:val="20"/>
          <w:szCs w:val="20"/>
          <w:lang w:val="es-UY"/>
        </w:rPr>
        <w:t>reclamo del peticionario</w:t>
      </w:r>
      <w:r w:rsidRPr="00A60069">
        <w:rPr>
          <w:rFonts w:asciiTheme="majorHAnsi" w:hAnsiTheme="majorHAnsi"/>
          <w:sz w:val="20"/>
          <w:szCs w:val="20"/>
          <w:lang w:val="es-UY"/>
        </w:rPr>
        <w:t xml:space="preserve"> sobre la presunta violación de</w:t>
      </w:r>
      <w:r w:rsidR="00E54223" w:rsidRPr="00A60069">
        <w:rPr>
          <w:rFonts w:asciiTheme="majorHAnsi" w:hAnsiTheme="majorHAnsi"/>
          <w:sz w:val="20"/>
          <w:szCs w:val="20"/>
          <w:lang w:val="es-UY"/>
        </w:rPr>
        <w:t>l derecho</w:t>
      </w:r>
      <w:r w:rsidRPr="00A60069">
        <w:rPr>
          <w:rFonts w:asciiTheme="majorHAnsi" w:hAnsiTheme="majorHAnsi"/>
          <w:sz w:val="20"/>
          <w:szCs w:val="20"/>
          <w:lang w:val="es-UY"/>
        </w:rPr>
        <w:t xml:space="preserve"> a la igualdad ante la ley, contenido </w:t>
      </w:r>
      <w:r w:rsidR="00E54223" w:rsidRPr="00A60069">
        <w:rPr>
          <w:rFonts w:asciiTheme="majorHAnsi" w:hAnsiTheme="majorHAnsi"/>
          <w:sz w:val="20"/>
          <w:szCs w:val="20"/>
          <w:lang w:val="es-UY"/>
        </w:rPr>
        <w:t xml:space="preserve">en </w:t>
      </w:r>
      <w:r w:rsidRPr="00A60069">
        <w:rPr>
          <w:rFonts w:asciiTheme="majorHAnsi" w:hAnsiTheme="majorHAnsi"/>
          <w:sz w:val="20"/>
          <w:szCs w:val="20"/>
          <w:lang w:val="es-UY"/>
        </w:rPr>
        <w:t>e</w:t>
      </w:r>
      <w:r w:rsidR="00E54223" w:rsidRPr="00A60069">
        <w:rPr>
          <w:rFonts w:asciiTheme="majorHAnsi" w:hAnsiTheme="majorHAnsi"/>
          <w:sz w:val="20"/>
          <w:szCs w:val="20"/>
          <w:lang w:val="es-UY"/>
        </w:rPr>
        <w:t>l artículo</w:t>
      </w:r>
      <w:r w:rsidRPr="00A60069">
        <w:rPr>
          <w:rFonts w:asciiTheme="majorHAnsi" w:hAnsiTheme="majorHAnsi"/>
          <w:sz w:val="20"/>
          <w:szCs w:val="20"/>
          <w:lang w:val="es-UY"/>
        </w:rPr>
        <w:t xml:space="preserve"> </w:t>
      </w:r>
      <w:r w:rsidR="00E54223" w:rsidRPr="00A60069">
        <w:rPr>
          <w:rFonts w:asciiTheme="majorHAnsi" w:hAnsiTheme="majorHAnsi"/>
          <w:sz w:val="20"/>
          <w:szCs w:val="20"/>
          <w:lang w:val="es-UY"/>
        </w:rPr>
        <w:t>24 de la Convención Americana,</w:t>
      </w:r>
      <w:r w:rsidR="00C13E09" w:rsidRPr="00A60069">
        <w:rPr>
          <w:rFonts w:asciiTheme="majorHAnsi" w:hAnsiTheme="majorHAnsi"/>
          <w:sz w:val="20"/>
          <w:szCs w:val="20"/>
          <w:lang w:val="es-UY"/>
        </w:rPr>
        <w:t xml:space="preserve"> </w:t>
      </w:r>
      <w:r w:rsidR="00117A95" w:rsidRPr="00A60069">
        <w:rPr>
          <w:rFonts w:asciiTheme="majorHAnsi" w:hAnsiTheme="majorHAnsi"/>
          <w:sz w:val="20"/>
          <w:szCs w:val="20"/>
          <w:lang w:val="es-UY"/>
        </w:rPr>
        <w:t>la Comisión</w:t>
      </w:r>
      <w:r w:rsidR="00E54223" w:rsidRPr="00A60069">
        <w:rPr>
          <w:rFonts w:asciiTheme="majorHAnsi" w:hAnsiTheme="majorHAnsi"/>
          <w:sz w:val="20"/>
          <w:szCs w:val="20"/>
          <w:lang w:val="es-UY"/>
        </w:rPr>
        <w:t xml:space="preserve"> </w:t>
      </w:r>
      <w:r w:rsidR="00117A95" w:rsidRPr="00A60069">
        <w:rPr>
          <w:rFonts w:asciiTheme="majorHAnsi" w:hAnsiTheme="majorHAnsi"/>
          <w:sz w:val="20"/>
          <w:szCs w:val="20"/>
          <w:lang w:val="es-UY"/>
        </w:rPr>
        <w:t xml:space="preserve">considera que no existen </w:t>
      </w:r>
      <w:r w:rsidR="00DB6B4F" w:rsidRPr="00A60069">
        <w:rPr>
          <w:rFonts w:asciiTheme="majorHAnsi" w:hAnsiTheme="majorHAnsi"/>
          <w:sz w:val="20"/>
          <w:szCs w:val="20"/>
          <w:lang w:val="es-UY"/>
        </w:rPr>
        <w:t xml:space="preserve">alegatos o </w:t>
      </w:r>
      <w:r w:rsidR="00117A95" w:rsidRPr="00A60069">
        <w:rPr>
          <w:rFonts w:asciiTheme="majorHAnsi" w:hAnsiTheme="majorHAnsi"/>
          <w:sz w:val="20"/>
          <w:szCs w:val="20"/>
          <w:lang w:val="es-UY"/>
        </w:rPr>
        <w:t>indicios suficientes que permitan identificar</w:t>
      </w:r>
      <w:r w:rsidR="00382175" w:rsidRPr="00A60069">
        <w:rPr>
          <w:rFonts w:asciiTheme="majorHAnsi" w:hAnsiTheme="majorHAnsi"/>
          <w:sz w:val="20"/>
          <w:szCs w:val="20"/>
          <w:lang w:val="es-UY"/>
        </w:rPr>
        <w:t xml:space="preserve"> </w:t>
      </w:r>
      <w:r w:rsidR="00DB6B4F" w:rsidRPr="00A60069">
        <w:rPr>
          <w:rFonts w:asciiTheme="majorHAnsi" w:hAnsiTheme="majorHAnsi"/>
          <w:i/>
          <w:sz w:val="20"/>
          <w:szCs w:val="20"/>
          <w:lang w:val="es-UY"/>
        </w:rPr>
        <w:t xml:space="preserve">prima facie </w:t>
      </w:r>
      <w:r w:rsidR="00382175" w:rsidRPr="00A60069">
        <w:rPr>
          <w:rFonts w:asciiTheme="majorHAnsi" w:hAnsiTheme="majorHAnsi"/>
          <w:sz w:val="20"/>
          <w:szCs w:val="20"/>
          <w:lang w:val="es-UY"/>
        </w:rPr>
        <w:t>la</w:t>
      </w:r>
      <w:r w:rsidR="00117A95" w:rsidRPr="00A60069">
        <w:rPr>
          <w:rFonts w:asciiTheme="majorHAnsi" w:hAnsiTheme="majorHAnsi"/>
          <w:sz w:val="20"/>
          <w:szCs w:val="20"/>
          <w:lang w:val="es-UY"/>
        </w:rPr>
        <w:t xml:space="preserve"> violación de</w:t>
      </w:r>
      <w:r w:rsidR="00A7608B" w:rsidRPr="00A60069">
        <w:rPr>
          <w:rFonts w:asciiTheme="majorHAnsi" w:hAnsiTheme="majorHAnsi"/>
          <w:sz w:val="20"/>
          <w:szCs w:val="20"/>
          <w:lang w:val="es-UY"/>
        </w:rPr>
        <w:t xml:space="preserve"> </w:t>
      </w:r>
      <w:r w:rsidRPr="00A60069">
        <w:rPr>
          <w:rFonts w:asciiTheme="majorHAnsi" w:hAnsiTheme="majorHAnsi"/>
          <w:sz w:val="20"/>
          <w:szCs w:val="20"/>
          <w:lang w:val="es-UY"/>
        </w:rPr>
        <w:t>tal artículo</w:t>
      </w:r>
      <w:r w:rsidR="00DB6B4F" w:rsidRPr="00A60069">
        <w:rPr>
          <w:rFonts w:asciiTheme="majorHAnsi" w:hAnsiTheme="majorHAnsi"/>
          <w:sz w:val="20"/>
          <w:szCs w:val="20"/>
          <w:lang w:val="es-UY"/>
        </w:rPr>
        <w:t>, por lo que corresponde declarar dicha pretensión inadmisible</w:t>
      </w:r>
      <w:r w:rsidR="00A7608B" w:rsidRPr="00A60069">
        <w:rPr>
          <w:rFonts w:asciiTheme="majorHAnsi" w:hAnsiTheme="majorHAnsi"/>
          <w:sz w:val="20"/>
          <w:szCs w:val="20"/>
          <w:lang w:val="es-UY"/>
        </w:rPr>
        <w:t xml:space="preserve">. </w:t>
      </w:r>
    </w:p>
    <w:p w:rsidR="00E54223" w:rsidRDefault="00E54223" w:rsidP="00E54223">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color w:val="FF0000"/>
          <w:sz w:val="20"/>
          <w:szCs w:val="20"/>
          <w:lang w:val="es-UY"/>
        </w:rPr>
      </w:pPr>
    </w:p>
    <w:p w:rsidR="00803598" w:rsidRDefault="00803598" w:rsidP="009F0583">
      <w:pPr>
        <w:spacing w:after="240"/>
        <w:ind w:firstLine="720"/>
        <w:jc w:val="both"/>
        <w:rPr>
          <w:rFonts w:asciiTheme="majorHAnsi" w:hAnsiTheme="majorHAnsi"/>
          <w:b/>
          <w:bCs/>
          <w:sz w:val="20"/>
          <w:szCs w:val="20"/>
          <w:lang w:val="es-UY"/>
        </w:rPr>
      </w:pPr>
    </w:p>
    <w:p w:rsidR="00803598" w:rsidRDefault="00803598" w:rsidP="009F0583">
      <w:pPr>
        <w:spacing w:after="240"/>
        <w:ind w:firstLine="720"/>
        <w:jc w:val="both"/>
        <w:rPr>
          <w:rFonts w:asciiTheme="majorHAnsi" w:hAnsiTheme="majorHAnsi"/>
          <w:b/>
          <w:bCs/>
          <w:sz w:val="20"/>
          <w:szCs w:val="20"/>
          <w:lang w:val="es-UY"/>
        </w:rPr>
      </w:pPr>
    </w:p>
    <w:p w:rsidR="0063685A" w:rsidRPr="00A60069" w:rsidRDefault="0063685A" w:rsidP="009F0583">
      <w:pPr>
        <w:spacing w:after="240"/>
        <w:ind w:firstLine="720"/>
        <w:jc w:val="both"/>
        <w:rPr>
          <w:rFonts w:asciiTheme="majorHAnsi" w:hAnsiTheme="majorHAnsi"/>
          <w:b/>
          <w:bCs/>
          <w:sz w:val="20"/>
          <w:szCs w:val="20"/>
          <w:lang w:val="es-UY"/>
        </w:rPr>
      </w:pPr>
      <w:r w:rsidRPr="00A60069">
        <w:rPr>
          <w:rFonts w:asciiTheme="majorHAnsi" w:hAnsiTheme="majorHAnsi"/>
          <w:b/>
          <w:bCs/>
          <w:sz w:val="20"/>
          <w:szCs w:val="20"/>
          <w:lang w:val="es-UY"/>
        </w:rPr>
        <w:lastRenderedPageBreak/>
        <w:t>V.</w:t>
      </w:r>
      <w:r w:rsidRPr="00A60069">
        <w:rPr>
          <w:rFonts w:asciiTheme="majorHAnsi" w:hAnsiTheme="majorHAnsi"/>
          <w:b/>
          <w:bCs/>
          <w:sz w:val="20"/>
          <w:szCs w:val="20"/>
          <w:lang w:val="es-UY"/>
        </w:rPr>
        <w:tab/>
        <w:t>CONCLUSIONES</w:t>
      </w:r>
    </w:p>
    <w:p w:rsidR="003664B3" w:rsidRPr="00A60069" w:rsidRDefault="003664B3"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A60069">
        <w:rPr>
          <w:rFonts w:asciiTheme="majorHAnsi" w:hAnsiTheme="majorHAnsi"/>
          <w:sz w:val="20"/>
          <w:szCs w:val="20"/>
          <w:lang w:val="es-AR"/>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547D7F" w:rsidRPr="00A60069" w:rsidRDefault="00547D7F" w:rsidP="00913522">
      <w:pPr>
        <w:jc w:val="center"/>
        <w:rPr>
          <w:rFonts w:asciiTheme="majorHAnsi" w:hAnsiTheme="majorHAnsi"/>
          <w:b/>
          <w:bCs/>
          <w:sz w:val="20"/>
          <w:szCs w:val="20"/>
          <w:lang w:val="es-ES"/>
        </w:rPr>
      </w:pPr>
    </w:p>
    <w:p w:rsidR="0063685A" w:rsidRPr="00A60069" w:rsidRDefault="0063685A" w:rsidP="009F0583">
      <w:pPr>
        <w:spacing w:after="240"/>
        <w:jc w:val="center"/>
        <w:rPr>
          <w:rFonts w:asciiTheme="majorHAnsi" w:hAnsiTheme="majorHAnsi"/>
          <w:b/>
          <w:bCs/>
          <w:sz w:val="20"/>
          <w:szCs w:val="20"/>
          <w:lang w:val="es-ES"/>
        </w:rPr>
      </w:pPr>
      <w:r w:rsidRPr="00A60069">
        <w:rPr>
          <w:rFonts w:asciiTheme="majorHAnsi" w:hAnsiTheme="majorHAnsi"/>
          <w:b/>
          <w:bCs/>
          <w:sz w:val="20"/>
          <w:szCs w:val="20"/>
          <w:lang w:val="es-ES"/>
        </w:rPr>
        <w:t>LA COMISIÓN INTERAMERICANA DE DERECHOS HUMANOS</w:t>
      </w:r>
    </w:p>
    <w:p w:rsidR="0063685A" w:rsidRPr="00A60069" w:rsidRDefault="0063685A" w:rsidP="009F0583">
      <w:pPr>
        <w:spacing w:after="240"/>
        <w:jc w:val="both"/>
        <w:rPr>
          <w:rFonts w:asciiTheme="majorHAnsi" w:hAnsiTheme="majorHAnsi"/>
          <w:b/>
          <w:bCs/>
          <w:sz w:val="20"/>
          <w:szCs w:val="20"/>
          <w:lang w:val="es-UY"/>
        </w:rPr>
      </w:pPr>
      <w:r w:rsidRPr="00A60069">
        <w:rPr>
          <w:rFonts w:asciiTheme="majorHAnsi" w:hAnsiTheme="majorHAnsi"/>
          <w:b/>
          <w:bCs/>
          <w:sz w:val="20"/>
          <w:szCs w:val="20"/>
          <w:lang w:val="es-UY"/>
        </w:rPr>
        <w:t>DECIDE:</w:t>
      </w:r>
    </w:p>
    <w:p w:rsidR="0079671B" w:rsidRPr="00A60069" w:rsidRDefault="0063685A" w:rsidP="0079671B">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A60069">
        <w:rPr>
          <w:rFonts w:asciiTheme="majorHAnsi" w:hAnsiTheme="majorHAnsi"/>
          <w:sz w:val="20"/>
          <w:szCs w:val="20"/>
          <w:lang w:val="es-UY"/>
        </w:rPr>
        <w:t>Declarar admisible la prese</w:t>
      </w:r>
      <w:r w:rsidR="0079671B" w:rsidRPr="00A60069">
        <w:rPr>
          <w:rFonts w:asciiTheme="majorHAnsi" w:hAnsiTheme="majorHAnsi"/>
          <w:sz w:val="20"/>
          <w:szCs w:val="20"/>
          <w:lang w:val="es-UY"/>
        </w:rPr>
        <w:t>nte petición en relación con el</w:t>
      </w:r>
      <w:r w:rsidRPr="00A60069">
        <w:rPr>
          <w:rFonts w:asciiTheme="majorHAnsi" w:hAnsiTheme="majorHAnsi"/>
          <w:sz w:val="20"/>
          <w:szCs w:val="20"/>
          <w:lang w:val="es-UY"/>
        </w:rPr>
        <w:t xml:space="preserve"> artículo</w:t>
      </w:r>
      <w:r w:rsidR="0079671B" w:rsidRPr="00A60069">
        <w:rPr>
          <w:rFonts w:asciiTheme="majorHAnsi" w:hAnsiTheme="majorHAnsi"/>
          <w:sz w:val="20"/>
          <w:szCs w:val="20"/>
          <w:lang w:val="es-UY"/>
        </w:rPr>
        <w:t xml:space="preserve"> </w:t>
      </w:r>
      <w:r w:rsidR="005302FD">
        <w:rPr>
          <w:rFonts w:asciiTheme="majorHAnsi" w:hAnsiTheme="majorHAnsi"/>
          <w:sz w:val="20"/>
          <w:szCs w:val="20"/>
          <w:lang w:val="es-UY"/>
        </w:rPr>
        <w:t xml:space="preserve">8 y </w:t>
      </w:r>
      <w:r w:rsidR="00EB0BE7" w:rsidRPr="00A60069">
        <w:rPr>
          <w:rFonts w:asciiTheme="majorHAnsi" w:hAnsiTheme="majorHAnsi"/>
          <w:sz w:val="20"/>
          <w:szCs w:val="20"/>
          <w:lang w:val="es-UY"/>
        </w:rPr>
        <w:t>25</w:t>
      </w:r>
      <w:r w:rsidRPr="00A60069">
        <w:rPr>
          <w:rFonts w:asciiTheme="majorHAnsi" w:hAnsiTheme="majorHAnsi"/>
          <w:sz w:val="20"/>
          <w:szCs w:val="20"/>
          <w:lang w:val="es-UY"/>
        </w:rPr>
        <w:t xml:space="preserve"> de la Convención Americana</w:t>
      </w:r>
      <w:r w:rsidR="003664B3" w:rsidRPr="00A60069">
        <w:rPr>
          <w:rFonts w:asciiTheme="majorHAnsi" w:hAnsiTheme="majorHAnsi"/>
          <w:sz w:val="20"/>
          <w:szCs w:val="20"/>
          <w:lang w:val="es-UY"/>
        </w:rPr>
        <w:t xml:space="preserve"> en conexión con las obligaciones establecidas en </w:t>
      </w:r>
      <w:r w:rsidR="00EB0BE7" w:rsidRPr="00A60069">
        <w:rPr>
          <w:rFonts w:asciiTheme="majorHAnsi" w:hAnsiTheme="majorHAnsi"/>
          <w:sz w:val="20"/>
          <w:szCs w:val="20"/>
          <w:lang w:val="es-UY"/>
        </w:rPr>
        <w:t>el</w:t>
      </w:r>
      <w:r w:rsidR="003664B3" w:rsidRPr="00A60069">
        <w:rPr>
          <w:rFonts w:asciiTheme="majorHAnsi" w:hAnsiTheme="majorHAnsi"/>
          <w:sz w:val="20"/>
          <w:szCs w:val="20"/>
          <w:lang w:val="es-UY"/>
        </w:rPr>
        <w:t xml:space="preserve"> artículo </w:t>
      </w:r>
      <w:r w:rsidR="003664B3" w:rsidRPr="00A60069">
        <w:rPr>
          <w:rFonts w:asciiTheme="majorHAnsi" w:hAnsiTheme="majorHAnsi"/>
          <w:color w:val="auto"/>
          <w:sz w:val="20"/>
          <w:szCs w:val="20"/>
          <w:lang w:val="es-UY"/>
        </w:rPr>
        <w:t>1.</w:t>
      </w:r>
      <w:r w:rsidR="003664B3" w:rsidRPr="0055608D">
        <w:rPr>
          <w:rFonts w:asciiTheme="majorHAnsi" w:hAnsiTheme="majorHAnsi"/>
          <w:color w:val="auto"/>
          <w:sz w:val="20"/>
          <w:szCs w:val="20"/>
          <w:lang w:val="es-UY"/>
        </w:rPr>
        <w:t>1</w:t>
      </w:r>
      <w:r w:rsidR="0079671B" w:rsidRPr="0055608D">
        <w:rPr>
          <w:rFonts w:asciiTheme="majorHAnsi" w:hAnsiTheme="majorHAnsi"/>
          <w:color w:val="auto"/>
          <w:sz w:val="20"/>
          <w:szCs w:val="20"/>
          <w:lang w:val="es-UY"/>
        </w:rPr>
        <w:t xml:space="preserve"> y 2</w:t>
      </w:r>
      <w:r w:rsidR="003664B3" w:rsidRPr="0055608D">
        <w:rPr>
          <w:rFonts w:asciiTheme="majorHAnsi" w:hAnsiTheme="majorHAnsi"/>
          <w:color w:val="auto"/>
          <w:sz w:val="20"/>
          <w:szCs w:val="20"/>
          <w:lang w:val="es-UY"/>
        </w:rPr>
        <w:t xml:space="preserve"> </w:t>
      </w:r>
      <w:r w:rsidR="003664B3" w:rsidRPr="0055608D">
        <w:rPr>
          <w:rFonts w:asciiTheme="majorHAnsi" w:hAnsiTheme="majorHAnsi"/>
          <w:sz w:val="20"/>
          <w:szCs w:val="20"/>
          <w:lang w:val="es-UY"/>
        </w:rPr>
        <w:t>del</w:t>
      </w:r>
      <w:r w:rsidR="003664B3" w:rsidRPr="00A60069">
        <w:rPr>
          <w:rFonts w:asciiTheme="majorHAnsi" w:hAnsiTheme="majorHAnsi"/>
          <w:sz w:val="20"/>
          <w:szCs w:val="20"/>
          <w:lang w:val="es-UY"/>
        </w:rPr>
        <w:t xml:space="preserve"> mismo instrumento</w:t>
      </w:r>
      <w:r w:rsidR="009B5CD0" w:rsidRPr="00A60069">
        <w:rPr>
          <w:rFonts w:asciiTheme="majorHAnsi" w:hAnsiTheme="majorHAnsi"/>
          <w:sz w:val="20"/>
          <w:szCs w:val="20"/>
          <w:lang w:val="es-UY"/>
        </w:rPr>
        <w:t>;</w:t>
      </w:r>
    </w:p>
    <w:p w:rsidR="0079671B" w:rsidRPr="00A60069" w:rsidRDefault="0079671B" w:rsidP="0079671B">
      <w:pPr>
        <w:pStyle w:val="ListParagraph"/>
        <w:suppressAutoHyphens/>
        <w:jc w:val="both"/>
        <w:rPr>
          <w:rFonts w:asciiTheme="majorHAnsi" w:hAnsiTheme="majorHAnsi"/>
          <w:sz w:val="20"/>
          <w:szCs w:val="20"/>
          <w:lang w:val="es-UY"/>
        </w:rPr>
      </w:pPr>
    </w:p>
    <w:p w:rsidR="0079671B" w:rsidRPr="00A60069" w:rsidRDefault="0079671B" w:rsidP="0079671B">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A60069">
        <w:rPr>
          <w:rFonts w:asciiTheme="majorHAnsi" w:hAnsiTheme="majorHAnsi"/>
          <w:sz w:val="20"/>
          <w:szCs w:val="20"/>
          <w:lang w:val="es-UY"/>
        </w:rPr>
        <w:t xml:space="preserve">Declarar inadmisible la presente petición en relación con </w:t>
      </w:r>
      <w:r w:rsidR="005302FD">
        <w:rPr>
          <w:rFonts w:asciiTheme="majorHAnsi" w:hAnsiTheme="majorHAnsi"/>
          <w:sz w:val="20"/>
          <w:szCs w:val="20"/>
          <w:lang w:val="es-UY"/>
        </w:rPr>
        <w:t>el</w:t>
      </w:r>
      <w:r w:rsidRPr="00A60069">
        <w:rPr>
          <w:rFonts w:asciiTheme="majorHAnsi" w:hAnsiTheme="majorHAnsi"/>
          <w:sz w:val="20"/>
          <w:szCs w:val="20"/>
          <w:lang w:val="es-UY"/>
        </w:rPr>
        <w:t xml:space="preserve"> artículo 24 de la Convención Americana;</w:t>
      </w:r>
    </w:p>
    <w:p w:rsidR="00547D7F" w:rsidRPr="00A60069" w:rsidRDefault="00547D7F" w:rsidP="001122A0">
      <w:pPr>
        <w:tabs>
          <w:tab w:val="num" w:pos="0"/>
        </w:tabs>
        <w:suppressAutoHyphens/>
        <w:jc w:val="both"/>
        <w:rPr>
          <w:rFonts w:asciiTheme="majorHAnsi" w:hAnsiTheme="majorHAnsi"/>
          <w:sz w:val="20"/>
          <w:szCs w:val="20"/>
          <w:lang w:val="es-UY"/>
        </w:rPr>
      </w:pPr>
    </w:p>
    <w:p w:rsidR="0063685A" w:rsidRPr="00A60069" w:rsidRDefault="0063685A" w:rsidP="00913522">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A60069">
        <w:rPr>
          <w:rFonts w:asciiTheme="majorHAnsi" w:hAnsiTheme="majorHAnsi"/>
          <w:sz w:val="20"/>
          <w:szCs w:val="20"/>
          <w:lang w:val="es-UY"/>
        </w:rPr>
        <w:t>Notificar a las partes la presente decisión;</w:t>
      </w:r>
    </w:p>
    <w:p w:rsidR="00913522" w:rsidRPr="00A60069" w:rsidRDefault="00913522" w:rsidP="0079671B">
      <w:pPr>
        <w:tabs>
          <w:tab w:val="num" w:pos="0"/>
        </w:tabs>
        <w:jc w:val="both"/>
        <w:rPr>
          <w:rFonts w:asciiTheme="majorHAnsi" w:hAnsiTheme="majorHAnsi"/>
          <w:sz w:val="20"/>
          <w:szCs w:val="20"/>
          <w:lang w:val="es-UY"/>
        </w:rPr>
      </w:pPr>
    </w:p>
    <w:p w:rsidR="0063685A" w:rsidRPr="00A60069" w:rsidRDefault="0063685A" w:rsidP="00913522">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A60069">
        <w:rPr>
          <w:rFonts w:asciiTheme="majorHAnsi" w:hAnsiTheme="majorHAnsi"/>
          <w:sz w:val="20"/>
          <w:szCs w:val="20"/>
          <w:lang w:val="es-UY"/>
        </w:rPr>
        <w:t>Continuar con el análisis del fondo de la cuestión;</w:t>
      </w:r>
      <w:r w:rsidR="00711192" w:rsidRPr="00A60069">
        <w:rPr>
          <w:rFonts w:asciiTheme="majorHAnsi" w:hAnsiTheme="majorHAnsi"/>
          <w:sz w:val="20"/>
          <w:szCs w:val="20"/>
          <w:lang w:val="es-UY"/>
        </w:rPr>
        <w:t xml:space="preserve"> y</w:t>
      </w:r>
    </w:p>
    <w:p w:rsidR="00547D7F" w:rsidRPr="00A60069" w:rsidRDefault="00547D7F" w:rsidP="00913522">
      <w:pPr>
        <w:suppressAutoHyphens/>
        <w:jc w:val="both"/>
        <w:rPr>
          <w:rFonts w:asciiTheme="majorHAnsi" w:hAnsiTheme="majorHAnsi"/>
          <w:sz w:val="20"/>
          <w:szCs w:val="20"/>
          <w:lang w:val="es-UY"/>
        </w:rPr>
      </w:pPr>
    </w:p>
    <w:p w:rsidR="0063685A" w:rsidRPr="00A60069" w:rsidRDefault="0063685A" w:rsidP="00913522">
      <w:pPr>
        <w:pStyle w:val="ListParagraph"/>
        <w:numPr>
          <w:ilvl w:val="1"/>
          <w:numId w:val="57"/>
        </w:numPr>
        <w:tabs>
          <w:tab w:val="clear" w:pos="1800"/>
          <w:tab w:val="num" w:pos="0"/>
        </w:tabs>
        <w:suppressAutoHyphens/>
        <w:ind w:left="0" w:firstLine="720"/>
        <w:jc w:val="both"/>
        <w:rPr>
          <w:rFonts w:asciiTheme="majorHAnsi" w:hAnsiTheme="majorHAnsi"/>
          <w:sz w:val="20"/>
          <w:szCs w:val="20"/>
          <w:lang w:val="es-UY"/>
        </w:rPr>
      </w:pPr>
      <w:r w:rsidRPr="00A60069">
        <w:rPr>
          <w:rFonts w:asciiTheme="majorHAnsi" w:hAnsiTheme="majorHAnsi"/>
          <w:sz w:val="20"/>
          <w:szCs w:val="20"/>
          <w:lang w:val="es-UY"/>
        </w:rPr>
        <w:t>Publicar esta decisión e incluirla en su Informe Anual a la Asamblea General de la Organización de los Estados Americanos.</w:t>
      </w:r>
    </w:p>
    <w:p w:rsidR="0063685A" w:rsidRDefault="0063685A" w:rsidP="00597A2A">
      <w:pPr>
        <w:tabs>
          <w:tab w:val="center" w:pos="5400"/>
        </w:tabs>
        <w:suppressAutoHyphens/>
        <w:spacing w:line="276" w:lineRule="auto"/>
        <w:rPr>
          <w:rFonts w:asciiTheme="majorHAnsi" w:hAnsiTheme="majorHAnsi"/>
          <w:sz w:val="18"/>
          <w:szCs w:val="20"/>
          <w:lang w:val="es-ES_tradnl"/>
        </w:rPr>
      </w:pPr>
    </w:p>
    <w:p w:rsidR="00DA3BCB" w:rsidRPr="00B9302B" w:rsidRDefault="005F1260" w:rsidP="00DA3BCB">
      <w:pPr>
        <w:pStyle w:val="ListParagraph"/>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color w:val="auto"/>
          <w:sz w:val="20"/>
          <w:szCs w:val="20"/>
          <w:lang w:val="es-CL"/>
        </w:rPr>
      </w:pPr>
      <w:r>
        <w:rPr>
          <w:color w:val="auto"/>
          <w:sz w:val="20"/>
          <w:szCs w:val="20"/>
          <w:lang w:val="es-ES"/>
        </w:rPr>
        <w:t>Aprobado por la Comisión a los 31</w:t>
      </w:r>
      <w:r w:rsidR="00DA3BCB" w:rsidRPr="00114FD8">
        <w:rPr>
          <w:color w:val="auto"/>
          <w:sz w:val="20"/>
          <w:szCs w:val="20"/>
          <w:lang w:val="es-ES"/>
        </w:rPr>
        <w:t xml:space="preserve"> días del mes de </w:t>
      </w:r>
      <w:r>
        <w:rPr>
          <w:color w:val="auto"/>
          <w:sz w:val="20"/>
          <w:szCs w:val="20"/>
          <w:lang w:val="es-ES"/>
        </w:rPr>
        <w:t>agosto</w:t>
      </w:r>
      <w:r w:rsidR="00DA3BCB" w:rsidRPr="00114FD8">
        <w:rPr>
          <w:color w:val="auto"/>
          <w:sz w:val="20"/>
          <w:szCs w:val="20"/>
          <w:lang w:val="es-ES"/>
        </w:rPr>
        <w:t xml:space="preserve"> de 2016.  </w:t>
      </w:r>
      <w:r w:rsidR="00DA3BCB" w:rsidRPr="00B9302B">
        <w:rPr>
          <w:color w:val="auto"/>
          <w:sz w:val="20"/>
          <w:szCs w:val="20"/>
          <w:lang w:val="es-ES"/>
        </w:rPr>
        <w:t>(Firmado): James L. Cavallaro, Presidente; Francisco José Eguiguren, Primer Vicepresidente; Margarette May Macaulay, Segunda Vicepresidenta; José de Jesús Orozco Henríquez, Paulo Vannuchi, Esmeralda E. Arosemena Bernal de Troitiño, y Enrique Gil Botero, Miembros de la Comisión.</w:t>
      </w:r>
    </w:p>
    <w:p w:rsidR="00DA3BCB" w:rsidRPr="00DA3BCB" w:rsidRDefault="00DA3BCB" w:rsidP="00597A2A">
      <w:pPr>
        <w:tabs>
          <w:tab w:val="center" w:pos="5400"/>
        </w:tabs>
        <w:suppressAutoHyphens/>
        <w:spacing w:line="276" w:lineRule="auto"/>
        <w:rPr>
          <w:rFonts w:asciiTheme="majorHAnsi" w:hAnsiTheme="majorHAnsi"/>
          <w:sz w:val="18"/>
          <w:szCs w:val="20"/>
          <w:lang w:val="es-CL"/>
        </w:rPr>
      </w:pPr>
    </w:p>
    <w:sectPr w:rsidR="00DA3BCB" w:rsidRPr="00DA3BC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055" w:rsidRDefault="00654055">
      <w:r>
        <w:separator/>
      </w:r>
    </w:p>
  </w:endnote>
  <w:endnote w:type="continuationSeparator" w:id="0">
    <w:p w:rsidR="00654055" w:rsidRDefault="0065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B6" w:rsidRDefault="009363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5B7900" w:rsidRPr="00934A2C" w:rsidRDefault="005B790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363B6">
          <w:rPr>
            <w:noProof/>
            <w:sz w:val="16"/>
            <w:szCs w:val="22"/>
          </w:rPr>
          <w:t>1</w:t>
        </w:r>
        <w:r w:rsidRPr="00934A2C">
          <w:rPr>
            <w:noProof/>
            <w:sz w:val="16"/>
            <w:szCs w:val="22"/>
          </w:rPr>
          <w:fldChar w:fldCharType="end"/>
        </w:r>
      </w:p>
    </w:sdtContent>
  </w:sdt>
  <w:p w:rsidR="005B7900" w:rsidRDefault="005B79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00" w:rsidRPr="00934A2C" w:rsidRDefault="005B7900">
    <w:pPr>
      <w:pStyle w:val="Footer"/>
      <w:jc w:val="center"/>
      <w:rPr>
        <w:sz w:val="16"/>
        <w:szCs w:val="22"/>
      </w:rPr>
    </w:pPr>
  </w:p>
  <w:p w:rsidR="005B7900" w:rsidRDefault="005B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055" w:rsidRPr="000F35ED" w:rsidRDefault="0065405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54055" w:rsidRPr="000F35ED" w:rsidRDefault="00654055" w:rsidP="000F35ED">
      <w:pPr>
        <w:rPr>
          <w:rFonts w:asciiTheme="majorHAnsi" w:hAnsiTheme="majorHAnsi"/>
          <w:sz w:val="16"/>
          <w:szCs w:val="16"/>
        </w:rPr>
      </w:pPr>
      <w:r w:rsidRPr="000F35ED">
        <w:rPr>
          <w:rFonts w:asciiTheme="majorHAnsi" w:hAnsiTheme="majorHAnsi"/>
          <w:sz w:val="16"/>
          <w:szCs w:val="16"/>
        </w:rPr>
        <w:separator/>
      </w:r>
    </w:p>
    <w:p w:rsidR="00654055" w:rsidRPr="000F35ED" w:rsidRDefault="0065405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654055" w:rsidRPr="000F35ED" w:rsidRDefault="0065405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74372C" w:rsidRPr="00A60069" w:rsidRDefault="0074372C" w:rsidP="00D3078F">
      <w:pPr>
        <w:pStyle w:val="FootnoteText"/>
        <w:spacing w:before="120"/>
        <w:ind w:firstLine="720"/>
        <w:jc w:val="both"/>
        <w:rPr>
          <w:rFonts w:asciiTheme="majorHAnsi" w:hAnsiTheme="majorHAnsi"/>
          <w:sz w:val="16"/>
          <w:szCs w:val="16"/>
          <w:lang w:val="es-BO"/>
        </w:rPr>
      </w:pPr>
      <w:r w:rsidRPr="00A60069">
        <w:rPr>
          <w:rStyle w:val="FootnoteReference"/>
          <w:rFonts w:asciiTheme="majorHAnsi" w:hAnsiTheme="majorHAnsi"/>
          <w:sz w:val="16"/>
          <w:szCs w:val="16"/>
        </w:rPr>
        <w:footnoteRef/>
      </w:r>
      <w:r w:rsidRPr="00A60069">
        <w:rPr>
          <w:rFonts w:asciiTheme="majorHAnsi" w:hAnsiTheme="majorHAnsi"/>
          <w:sz w:val="16"/>
          <w:szCs w:val="16"/>
          <w:lang w:val="es-BO"/>
        </w:rPr>
        <w:t xml:space="preserve"> </w:t>
      </w:r>
      <w:r w:rsidR="00D3078F" w:rsidRPr="00A60069">
        <w:rPr>
          <w:rFonts w:asciiTheme="majorHAnsi" w:hAnsiTheme="majorHAnsi"/>
          <w:sz w:val="16"/>
          <w:szCs w:val="16"/>
          <w:lang w:val="es-BO"/>
        </w:rPr>
        <w:t xml:space="preserve">El Estado se refiere al </w:t>
      </w:r>
      <w:r w:rsidRPr="00A60069">
        <w:rPr>
          <w:rFonts w:asciiTheme="majorHAnsi" w:hAnsiTheme="majorHAnsi"/>
          <w:sz w:val="16"/>
          <w:szCs w:val="16"/>
          <w:lang w:val="es-BO"/>
        </w:rPr>
        <w:t>Informe Nº 6/98 (Inadmisibilidad), Caso 10.382, Ernesto Máximo Rodríguez, Argentina, 21 de febrero de 1998</w:t>
      </w:r>
      <w:r w:rsidR="00D3078F" w:rsidRPr="00A60069">
        <w:rPr>
          <w:rFonts w:asciiTheme="majorHAnsi" w:hAnsiTheme="majorHAnsi"/>
          <w:sz w:val="16"/>
          <w:szCs w:val="16"/>
          <w:lang w:val="es-BO"/>
        </w:rPr>
        <w:t>.</w:t>
      </w:r>
    </w:p>
  </w:footnote>
  <w:footnote w:id="3">
    <w:p w:rsidR="00D50DAC" w:rsidRPr="00A60069" w:rsidRDefault="00D50DAC" w:rsidP="00D3078F">
      <w:pPr>
        <w:pStyle w:val="FootnoteText"/>
        <w:spacing w:before="120"/>
        <w:ind w:firstLine="720"/>
        <w:jc w:val="both"/>
        <w:rPr>
          <w:rFonts w:asciiTheme="majorHAnsi" w:hAnsiTheme="majorHAnsi"/>
          <w:sz w:val="16"/>
          <w:szCs w:val="16"/>
          <w:lang w:val="es-ES"/>
        </w:rPr>
      </w:pPr>
      <w:r w:rsidRPr="00A60069">
        <w:rPr>
          <w:rStyle w:val="FootnoteReference"/>
          <w:rFonts w:asciiTheme="majorHAnsi" w:hAnsiTheme="majorHAnsi"/>
          <w:sz w:val="16"/>
          <w:szCs w:val="16"/>
        </w:rPr>
        <w:footnoteRef/>
      </w:r>
      <w:r w:rsidRPr="00A60069">
        <w:rPr>
          <w:rFonts w:asciiTheme="majorHAnsi" w:hAnsiTheme="majorHAnsi"/>
          <w:sz w:val="16"/>
          <w:szCs w:val="16"/>
          <w:lang w:val="es-ES"/>
        </w:rPr>
        <w:t xml:space="preserve"> </w:t>
      </w:r>
      <w:r w:rsidR="00E8056A" w:rsidRPr="00A60069">
        <w:rPr>
          <w:rFonts w:asciiTheme="majorHAnsi" w:hAnsiTheme="majorHAnsi"/>
          <w:sz w:val="16"/>
          <w:szCs w:val="16"/>
          <w:lang w:val="es-ES"/>
        </w:rPr>
        <w:t>CIDH, Informe No. 76/07. Admisibilidad. Los pueblos Kaliña y Lokono. Suriname. 15 de octubre de 2007, párr. 55;</w:t>
      </w:r>
      <w:r w:rsidR="007E4D4A" w:rsidRPr="00A60069">
        <w:rPr>
          <w:rFonts w:asciiTheme="majorHAnsi" w:hAnsiTheme="majorHAnsi"/>
          <w:sz w:val="16"/>
          <w:szCs w:val="16"/>
          <w:lang w:val="es-ES"/>
        </w:rPr>
        <w:t xml:space="preserve"> CIDH, Informe No. 87/12, Petición 140-08. Admisibilidad. Comunidades Maya Kaqchikel de los Hornos y El Pericón I y sus miembros. Guatemala. 8 de noviembre de 2012, párr. 34;</w:t>
      </w:r>
      <w:r w:rsidR="00E8056A" w:rsidRPr="00A60069">
        <w:rPr>
          <w:rFonts w:asciiTheme="majorHAnsi" w:hAnsiTheme="majorHAnsi"/>
          <w:sz w:val="16"/>
          <w:szCs w:val="16"/>
          <w:lang w:val="es-ES"/>
        </w:rPr>
        <w:t xml:space="preserve"> </w:t>
      </w:r>
      <w:r w:rsidRPr="00A60069">
        <w:rPr>
          <w:rFonts w:asciiTheme="majorHAnsi" w:hAnsiTheme="majorHAnsi"/>
          <w:sz w:val="16"/>
          <w:szCs w:val="16"/>
          <w:lang w:val="es-ES"/>
        </w:rPr>
        <w:t>CIDH, Informe No. 48/15, Petición 79-06. Admisibilidad. Pueblo Yaqui. México</w:t>
      </w:r>
      <w:r w:rsidR="004912BD" w:rsidRPr="00A60069">
        <w:rPr>
          <w:rFonts w:asciiTheme="majorHAnsi" w:hAnsiTheme="majorHAnsi"/>
          <w:sz w:val="16"/>
          <w:szCs w:val="16"/>
          <w:lang w:val="es-ES"/>
        </w:rPr>
        <w:t>. 28 de julio de 2015, párr. 51</w:t>
      </w:r>
      <w:r w:rsidR="007E4D4A" w:rsidRPr="00A60069">
        <w:rPr>
          <w:rFonts w:asciiTheme="majorHAnsi" w:hAnsiTheme="majorHAnsi"/>
          <w:sz w:val="16"/>
          <w:szCs w:val="16"/>
          <w:lang w:val="es-ES"/>
        </w:rPr>
        <w:t>.</w:t>
      </w:r>
    </w:p>
  </w:footnote>
  <w:footnote w:id="4">
    <w:p w:rsidR="00C100EF" w:rsidRPr="00A60069" w:rsidRDefault="00C100EF" w:rsidP="00D3078F">
      <w:pPr>
        <w:pStyle w:val="FootnoteText"/>
        <w:spacing w:before="120"/>
        <w:ind w:firstLine="720"/>
        <w:jc w:val="both"/>
        <w:rPr>
          <w:rFonts w:asciiTheme="majorHAnsi" w:hAnsiTheme="majorHAnsi"/>
          <w:sz w:val="16"/>
          <w:szCs w:val="16"/>
          <w:lang w:val="es-BO"/>
        </w:rPr>
      </w:pPr>
      <w:r w:rsidRPr="00A60069">
        <w:rPr>
          <w:rStyle w:val="FootnoteReference"/>
          <w:rFonts w:asciiTheme="majorHAnsi" w:hAnsiTheme="majorHAnsi"/>
          <w:sz w:val="16"/>
          <w:szCs w:val="16"/>
        </w:rPr>
        <w:footnoteRef/>
      </w:r>
      <w:r w:rsidRPr="00A60069">
        <w:rPr>
          <w:rFonts w:asciiTheme="majorHAnsi" w:hAnsiTheme="majorHAnsi"/>
          <w:sz w:val="16"/>
          <w:szCs w:val="16"/>
          <w:lang w:val="es-BO"/>
        </w:rPr>
        <w:t xml:space="preserve"> Decreto Ley 1285/58 - Artículo 18.- Los tribunales colegiados y jueces podrán sancionar con prevención, apercibimiento, multa y arresto de hasta cinco (5) días, a los abogados, procuradores, litigantes y otras personas que obstruyeren el curso de la justicia o que cometieren faltas en las audiencias, escritos o comunicaciones de cualquier índole, contra su autoridad, dignidad o decoro.</w:t>
      </w:r>
    </w:p>
    <w:p w:rsidR="00C100EF" w:rsidRPr="00A60069" w:rsidRDefault="00C100EF" w:rsidP="00D3078F">
      <w:pPr>
        <w:pStyle w:val="FootnoteText"/>
        <w:spacing w:before="120"/>
        <w:ind w:firstLine="720"/>
        <w:jc w:val="both"/>
        <w:rPr>
          <w:lang w:val="es-BO"/>
        </w:rPr>
      </w:pPr>
      <w:r w:rsidRPr="00A60069">
        <w:rPr>
          <w:rFonts w:asciiTheme="majorHAnsi" w:hAnsiTheme="majorHAnsi"/>
          <w:sz w:val="16"/>
          <w:szCs w:val="16"/>
          <w:lang w:val="es-BO"/>
        </w:rPr>
        <w:t>La multa será determinada en un porcentaje de la remuneración que por todo concepto perciba efectivamente el juez de primera instancia, hasta un máximo del 33 % de la misma. El arresto será cumplido en una dependencia del propio tribunal o juzgado o en el domicilio del afectado.</w:t>
      </w:r>
    </w:p>
  </w:footnote>
  <w:footnote w:id="5">
    <w:p w:rsidR="00807F1A" w:rsidRPr="009150E6" w:rsidRDefault="00807F1A" w:rsidP="009150E6">
      <w:pPr>
        <w:pStyle w:val="FootnoteText"/>
        <w:spacing w:before="120"/>
        <w:ind w:firstLine="720"/>
        <w:jc w:val="both"/>
        <w:rPr>
          <w:rFonts w:asciiTheme="majorHAnsi" w:hAnsiTheme="majorHAnsi"/>
          <w:sz w:val="16"/>
          <w:szCs w:val="16"/>
        </w:rPr>
      </w:pPr>
      <w:r w:rsidRPr="00A60069">
        <w:rPr>
          <w:rStyle w:val="FootnoteReference"/>
          <w:rFonts w:asciiTheme="majorHAnsi" w:hAnsiTheme="majorHAnsi"/>
          <w:sz w:val="16"/>
          <w:szCs w:val="16"/>
        </w:rPr>
        <w:footnoteRef/>
      </w:r>
      <w:r w:rsidRPr="00A60069">
        <w:rPr>
          <w:rFonts w:asciiTheme="majorHAnsi" w:hAnsiTheme="majorHAnsi"/>
          <w:sz w:val="16"/>
          <w:szCs w:val="16"/>
        </w:rPr>
        <w:t xml:space="preserve"> </w:t>
      </w:r>
      <w:r w:rsidR="009150E6" w:rsidRPr="00A60069">
        <w:rPr>
          <w:rFonts w:asciiTheme="majorHAnsi" w:hAnsiTheme="majorHAnsi"/>
          <w:sz w:val="16"/>
          <w:szCs w:val="16"/>
          <w:lang w:val="es-BO"/>
        </w:rPr>
        <w:t>CIDH, Informe Nº 6/98 (Inadmisibilidad), Caso 10.382, Ernesto Máximo Rodríguez, Argentina, 21 de febrero de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00" w:rsidRDefault="005B7900" w:rsidP="005B790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B7900" w:rsidRDefault="005B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00" w:rsidRDefault="005B7900" w:rsidP="00A50FCF">
    <w:pPr>
      <w:pStyle w:val="Header"/>
      <w:tabs>
        <w:tab w:val="clear" w:pos="4320"/>
        <w:tab w:val="clear" w:pos="8640"/>
      </w:tabs>
      <w:jc w:val="center"/>
      <w:rPr>
        <w:sz w:val="22"/>
        <w:szCs w:val="22"/>
      </w:rPr>
    </w:pPr>
    <w:r>
      <w:rPr>
        <w:noProof/>
        <w:sz w:val="22"/>
        <w:szCs w:val="22"/>
      </w:rPr>
      <w:drawing>
        <wp:inline distT="0" distB="0" distL="0" distR="0" wp14:anchorId="138E5C92" wp14:editId="5781FED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5B7900" w:rsidRPr="00EC7D62" w:rsidRDefault="00654055"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3B6" w:rsidRDefault="009363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B9441C"/>
    <w:multiLevelType w:val="hybridMultilevel"/>
    <w:tmpl w:val="631203E0"/>
    <w:lvl w:ilvl="0" w:tplc="9B407B5E">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27220B1"/>
    <w:multiLevelType w:val="hybridMultilevel"/>
    <w:tmpl w:val="7A2A29A0"/>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5"/>
  </w:num>
  <w:num w:numId="4">
    <w:abstractNumId w:val="23"/>
  </w:num>
  <w:num w:numId="5">
    <w:abstractNumId w:val="48"/>
  </w:num>
  <w:num w:numId="6">
    <w:abstractNumId w:val="28"/>
  </w:num>
  <w:num w:numId="7">
    <w:abstractNumId w:val="8"/>
  </w:num>
  <w:num w:numId="8">
    <w:abstractNumId w:val="19"/>
  </w:num>
  <w:num w:numId="9">
    <w:abstractNumId w:val="43"/>
  </w:num>
  <w:num w:numId="10">
    <w:abstractNumId w:val="1"/>
  </w:num>
  <w:num w:numId="11">
    <w:abstractNumId w:val="37"/>
  </w:num>
  <w:num w:numId="12">
    <w:abstractNumId w:val="38"/>
  </w:num>
  <w:num w:numId="13">
    <w:abstractNumId w:val="44"/>
  </w:num>
  <w:num w:numId="14">
    <w:abstractNumId w:val="2"/>
  </w:num>
  <w:num w:numId="15">
    <w:abstractNumId w:val="3"/>
  </w:num>
  <w:num w:numId="16">
    <w:abstractNumId w:val="9"/>
  </w:num>
  <w:num w:numId="17">
    <w:abstractNumId w:val="10"/>
  </w:num>
  <w:num w:numId="18">
    <w:abstractNumId w:val="11"/>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9"/>
  </w:num>
  <w:num w:numId="43">
    <w:abstractNumId w:val="50"/>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2"/>
  </w:num>
  <w:num w:numId="52">
    <w:abstractNumId w:val="41"/>
  </w:num>
  <w:num w:numId="53">
    <w:abstractNumId w:val="52"/>
  </w:num>
  <w:num w:numId="54">
    <w:abstractNumId w:val="45"/>
  </w:num>
  <w:num w:numId="55">
    <w:abstractNumId w:val="47"/>
  </w:num>
  <w:num w:numId="56">
    <w:abstractNumId w:val="6"/>
  </w:num>
  <w:num w:numId="57">
    <w:abstractNumId w:val="12"/>
  </w:num>
  <w:num w:numId="58">
    <w:abstractNumId w:val="51"/>
  </w:num>
  <w:num w:numId="59">
    <w:abstractNumId w:val="4"/>
  </w:num>
  <w:num w:numId="60">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475"/>
    <w:rsid w:val="000044F5"/>
    <w:rsid w:val="00006E1F"/>
    <w:rsid w:val="000070D7"/>
    <w:rsid w:val="00010DBA"/>
    <w:rsid w:val="00012815"/>
    <w:rsid w:val="00015D01"/>
    <w:rsid w:val="0001788C"/>
    <w:rsid w:val="00020F57"/>
    <w:rsid w:val="00024654"/>
    <w:rsid w:val="00027C74"/>
    <w:rsid w:val="000310BC"/>
    <w:rsid w:val="00031C47"/>
    <w:rsid w:val="000335C1"/>
    <w:rsid w:val="00035D28"/>
    <w:rsid w:val="00040C3A"/>
    <w:rsid w:val="00051227"/>
    <w:rsid w:val="000536D5"/>
    <w:rsid w:val="00054624"/>
    <w:rsid w:val="00054FD4"/>
    <w:rsid w:val="000572FC"/>
    <w:rsid w:val="00057DD7"/>
    <w:rsid w:val="00066D2A"/>
    <w:rsid w:val="00067F4E"/>
    <w:rsid w:val="00070376"/>
    <w:rsid w:val="000716C5"/>
    <w:rsid w:val="00075E23"/>
    <w:rsid w:val="00075E9A"/>
    <w:rsid w:val="00077B99"/>
    <w:rsid w:val="00084379"/>
    <w:rsid w:val="0009344A"/>
    <w:rsid w:val="000A392E"/>
    <w:rsid w:val="000A4D35"/>
    <w:rsid w:val="000A575F"/>
    <w:rsid w:val="000A7F51"/>
    <w:rsid w:val="000B007A"/>
    <w:rsid w:val="000C0F28"/>
    <w:rsid w:val="000C3C7C"/>
    <w:rsid w:val="000D10DB"/>
    <w:rsid w:val="000D7E9C"/>
    <w:rsid w:val="000E0DA3"/>
    <w:rsid w:val="000E5EB5"/>
    <w:rsid w:val="000E72BF"/>
    <w:rsid w:val="000F22F2"/>
    <w:rsid w:val="000F35ED"/>
    <w:rsid w:val="000F38B4"/>
    <w:rsid w:val="000F3ACD"/>
    <w:rsid w:val="000F6FED"/>
    <w:rsid w:val="00104E11"/>
    <w:rsid w:val="00107131"/>
    <w:rsid w:val="0010736F"/>
    <w:rsid w:val="00107DC8"/>
    <w:rsid w:val="001122A0"/>
    <w:rsid w:val="00112D7A"/>
    <w:rsid w:val="00112DF0"/>
    <w:rsid w:val="00113F73"/>
    <w:rsid w:val="00116158"/>
    <w:rsid w:val="00117A95"/>
    <w:rsid w:val="00121CC2"/>
    <w:rsid w:val="001236C9"/>
    <w:rsid w:val="00132346"/>
    <w:rsid w:val="00133EE5"/>
    <w:rsid w:val="0013793C"/>
    <w:rsid w:val="00141F64"/>
    <w:rsid w:val="001448D1"/>
    <w:rsid w:val="0014690E"/>
    <w:rsid w:val="00150E17"/>
    <w:rsid w:val="00154517"/>
    <w:rsid w:val="00164A9F"/>
    <w:rsid w:val="00167A34"/>
    <w:rsid w:val="0017228D"/>
    <w:rsid w:val="00176D47"/>
    <w:rsid w:val="0018135C"/>
    <w:rsid w:val="00181715"/>
    <w:rsid w:val="00182D70"/>
    <w:rsid w:val="001859F3"/>
    <w:rsid w:val="00194D12"/>
    <w:rsid w:val="001A0E82"/>
    <w:rsid w:val="001A2E17"/>
    <w:rsid w:val="001A3A40"/>
    <w:rsid w:val="001A58AF"/>
    <w:rsid w:val="001A68F8"/>
    <w:rsid w:val="001A701C"/>
    <w:rsid w:val="001A7870"/>
    <w:rsid w:val="001B7867"/>
    <w:rsid w:val="001C1B41"/>
    <w:rsid w:val="001D4BCD"/>
    <w:rsid w:val="001D65EF"/>
    <w:rsid w:val="001E0463"/>
    <w:rsid w:val="001E769A"/>
    <w:rsid w:val="001F7124"/>
    <w:rsid w:val="00204E85"/>
    <w:rsid w:val="002118D7"/>
    <w:rsid w:val="00212CBE"/>
    <w:rsid w:val="00214516"/>
    <w:rsid w:val="002167E8"/>
    <w:rsid w:val="00223C86"/>
    <w:rsid w:val="002250A3"/>
    <w:rsid w:val="00230419"/>
    <w:rsid w:val="00234E71"/>
    <w:rsid w:val="00235217"/>
    <w:rsid w:val="0023641E"/>
    <w:rsid w:val="00237142"/>
    <w:rsid w:val="00241CDE"/>
    <w:rsid w:val="00243350"/>
    <w:rsid w:val="00245557"/>
    <w:rsid w:val="0024647D"/>
    <w:rsid w:val="00246D1F"/>
    <w:rsid w:val="00247403"/>
    <w:rsid w:val="00247542"/>
    <w:rsid w:val="0025300F"/>
    <w:rsid w:val="002541D6"/>
    <w:rsid w:val="00254FD7"/>
    <w:rsid w:val="00260849"/>
    <w:rsid w:val="00261003"/>
    <w:rsid w:val="00261FEF"/>
    <w:rsid w:val="0026525D"/>
    <w:rsid w:val="002669F6"/>
    <w:rsid w:val="00266B61"/>
    <w:rsid w:val="0026712A"/>
    <w:rsid w:val="002704DB"/>
    <w:rsid w:val="00273575"/>
    <w:rsid w:val="00273BC0"/>
    <w:rsid w:val="00275943"/>
    <w:rsid w:val="00282A65"/>
    <w:rsid w:val="00284A99"/>
    <w:rsid w:val="00285E18"/>
    <w:rsid w:val="00286FB4"/>
    <w:rsid w:val="00291F8B"/>
    <w:rsid w:val="002A0AAE"/>
    <w:rsid w:val="002A5820"/>
    <w:rsid w:val="002A5DC4"/>
    <w:rsid w:val="002A73D3"/>
    <w:rsid w:val="002B0AC2"/>
    <w:rsid w:val="002B0BDB"/>
    <w:rsid w:val="002B13ED"/>
    <w:rsid w:val="002B1440"/>
    <w:rsid w:val="002B3C18"/>
    <w:rsid w:val="002C03E0"/>
    <w:rsid w:val="002D19C2"/>
    <w:rsid w:val="002D2B26"/>
    <w:rsid w:val="002D7CE3"/>
    <w:rsid w:val="002D7EA2"/>
    <w:rsid w:val="002E0A91"/>
    <w:rsid w:val="002E187C"/>
    <w:rsid w:val="002E1F96"/>
    <w:rsid w:val="002E4470"/>
    <w:rsid w:val="002E4647"/>
    <w:rsid w:val="002E66CD"/>
    <w:rsid w:val="002E6983"/>
    <w:rsid w:val="002F1225"/>
    <w:rsid w:val="002F4959"/>
    <w:rsid w:val="00302733"/>
    <w:rsid w:val="0030297C"/>
    <w:rsid w:val="00303272"/>
    <w:rsid w:val="00307899"/>
    <w:rsid w:val="003120F2"/>
    <w:rsid w:val="00314078"/>
    <w:rsid w:val="00314B5E"/>
    <w:rsid w:val="0031535D"/>
    <w:rsid w:val="00321EF3"/>
    <w:rsid w:val="00323B34"/>
    <w:rsid w:val="00330472"/>
    <w:rsid w:val="0033169F"/>
    <w:rsid w:val="0033467B"/>
    <w:rsid w:val="00344CD3"/>
    <w:rsid w:val="00346C95"/>
    <w:rsid w:val="00354F50"/>
    <w:rsid w:val="00355F6C"/>
    <w:rsid w:val="00356185"/>
    <w:rsid w:val="00356E5D"/>
    <w:rsid w:val="00360380"/>
    <w:rsid w:val="00365D51"/>
    <w:rsid w:val="003664B3"/>
    <w:rsid w:val="0037519E"/>
    <w:rsid w:val="00377D9F"/>
    <w:rsid w:val="00382175"/>
    <w:rsid w:val="00386CF0"/>
    <w:rsid w:val="0038783A"/>
    <w:rsid w:val="00390532"/>
    <w:rsid w:val="00394195"/>
    <w:rsid w:val="00396C6C"/>
    <w:rsid w:val="003970C3"/>
    <w:rsid w:val="003A1C9F"/>
    <w:rsid w:val="003A39D0"/>
    <w:rsid w:val="003A6DE9"/>
    <w:rsid w:val="003B2F8E"/>
    <w:rsid w:val="003B75C0"/>
    <w:rsid w:val="003C22F3"/>
    <w:rsid w:val="003C676B"/>
    <w:rsid w:val="003C676C"/>
    <w:rsid w:val="003D2966"/>
    <w:rsid w:val="003D3BC2"/>
    <w:rsid w:val="003E42F5"/>
    <w:rsid w:val="003E6B20"/>
    <w:rsid w:val="003E6CA1"/>
    <w:rsid w:val="003F7AA0"/>
    <w:rsid w:val="004004E4"/>
    <w:rsid w:val="00403577"/>
    <w:rsid w:val="004157A9"/>
    <w:rsid w:val="004165C2"/>
    <w:rsid w:val="0043311A"/>
    <w:rsid w:val="00436725"/>
    <w:rsid w:val="0043756D"/>
    <w:rsid w:val="00440D2C"/>
    <w:rsid w:val="00441DBA"/>
    <w:rsid w:val="00441ECB"/>
    <w:rsid w:val="00441F51"/>
    <w:rsid w:val="00442761"/>
    <w:rsid w:val="0046138E"/>
    <w:rsid w:val="00467686"/>
    <w:rsid w:val="00467B7E"/>
    <w:rsid w:val="004700C1"/>
    <w:rsid w:val="00472F09"/>
    <w:rsid w:val="004753EA"/>
    <w:rsid w:val="00477592"/>
    <w:rsid w:val="00483B11"/>
    <w:rsid w:val="00485810"/>
    <w:rsid w:val="00486F1C"/>
    <w:rsid w:val="004912BD"/>
    <w:rsid w:val="00491CFB"/>
    <w:rsid w:val="00493AC1"/>
    <w:rsid w:val="0049419D"/>
    <w:rsid w:val="004A1FDA"/>
    <w:rsid w:val="004A2E55"/>
    <w:rsid w:val="004A67EB"/>
    <w:rsid w:val="004B14D6"/>
    <w:rsid w:val="004B7A65"/>
    <w:rsid w:val="004C20D2"/>
    <w:rsid w:val="004C4B62"/>
    <w:rsid w:val="004C54C9"/>
    <w:rsid w:val="004D077C"/>
    <w:rsid w:val="004D2FB0"/>
    <w:rsid w:val="004D39F3"/>
    <w:rsid w:val="004D3C35"/>
    <w:rsid w:val="004D6025"/>
    <w:rsid w:val="004D6C96"/>
    <w:rsid w:val="004E2649"/>
    <w:rsid w:val="004F1737"/>
    <w:rsid w:val="004F65BF"/>
    <w:rsid w:val="00501399"/>
    <w:rsid w:val="0050633D"/>
    <w:rsid w:val="005066F5"/>
    <w:rsid w:val="00507BC4"/>
    <w:rsid w:val="00511518"/>
    <w:rsid w:val="005128E4"/>
    <w:rsid w:val="005133DB"/>
    <w:rsid w:val="00513F58"/>
    <w:rsid w:val="00517DF9"/>
    <w:rsid w:val="00523B9E"/>
    <w:rsid w:val="00525560"/>
    <w:rsid w:val="00526398"/>
    <w:rsid w:val="005302FD"/>
    <w:rsid w:val="005316A2"/>
    <w:rsid w:val="00531A90"/>
    <w:rsid w:val="00531C16"/>
    <w:rsid w:val="005328DE"/>
    <w:rsid w:val="00534CAF"/>
    <w:rsid w:val="00541495"/>
    <w:rsid w:val="00541CA3"/>
    <w:rsid w:val="00544C49"/>
    <w:rsid w:val="00547D7F"/>
    <w:rsid w:val="005516A1"/>
    <w:rsid w:val="005545F5"/>
    <w:rsid w:val="0055608D"/>
    <w:rsid w:val="00557473"/>
    <w:rsid w:val="00557749"/>
    <w:rsid w:val="0056071C"/>
    <w:rsid w:val="0056214E"/>
    <w:rsid w:val="0056418C"/>
    <w:rsid w:val="00564A4C"/>
    <w:rsid w:val="00565042"/>
    <w:rsid w:val="00565EAA"/>
    <w:rsid w:val="0057402A"/>
    <w:rsid w:val="0057550A"/>
    <w:rsid w:val="005771D0"/>
    <w:rsid w:val="00582EFD"/>
    <w:rsid w:val="00583C64"/>
    <w:rsid w:val="00585E57"/>
    <w:rsid w:val="0059191A"/>
    <w:rsid w:val="005921FF"/>
    <w:rsid w:val="00592CD6"/>
    <w:rsid w:val="005954D8"/>
    <w:rsid w:val="00596831"/>
    <w:rsid w:val="00597A2A"/>
    <w:rsid w:val="005A0B34"/>
    <w:rsid w:val="005A20DC"/>
    <w:rsid w:val="005A41E3"/>
    <w:rsid w:val="005A4742"/>
    <w:rsid w:val="005A5CFB"/>
    <w:rsid w:val="005A6D0E"/>
    <w:rsid w:val="005A7711"/>
    <w:rsid w:val="005B52B0"/>
    <w:rsid w:val="005B6806"/>
    <w:rsid w:val="005B7459"/>
    <w:rsid w:val="005B7900"/>
    <w:rsid w:val="005C4225"/>
    <w:rsid w:val="005D0AEE"/>
    <w:rsid w:val="005D5577"/>
    <w:rsid w:val="005D599B"/>
    <w:rsid w:val="005E028E"/>
    <w:rsid w:val="005E1A10"/>
    <w:rsid w:val="005E1B20"/>
    <w:rsid w:val="005E5025"/>
    <w:rsid w:val="005F020A"/>
    <w:rsid w:val="005F0DAD"/>
    <w:rsid w:val="005F0F33"/>
    <w:rsid w:val="005F1260"/>
    <w:rsid w:val="005F6760"/>
    <w:rsid w:val="006003F1"/>
    <w:rsid w:val="00600DEB"/>
    <w:rsid w:val="00604E83"/>
    <w:rsid w:val="00627C9F"/>
    <w:rsid w:val="006311E9"/>
    <w:rsid w:val="00632354"/>
    <w:rsid w:val="0063685A"/>
    <w:rsid w:val="00636E21"/>
    <w:rsid w:val="00642810"/>
    <w:rsid w:val="006443B6"/>
    <w:rsid w:val="006455CC"/>
    <w:rsid w:val="00646504"/>
    <w:rsid w:val="00650FA7"/>
    <w:rsid w:val="00651338"/>
    <w:rsid w:val="00652333"/>
    <w:rsid w:val="006525F5"/>
    <w:rsid w:val="00654055"/>
    <w:rsid w:val="00654C5F"/>
    <w:rsid w:val="00655393"/>
    <w:rsid w:val="00671CCE"/>
    <w:rsid w:val="0067794E"/>
    <w:rsid w:val="0068009E"/>
    <w:rsid w:val="00691F99"/>
    <w:rsid w:val="00692219"/>
    <w:rsid w:val="0069241A"/>
    <w:rsid w:val="00696861"/>
    <w:rsid w:val="006A17D2"/>
    <w:rsid w:val="006A398F"/>
    <w:rsid w:val="006A5197"/>
    <w:rsid w:val="006A73E6"/>
    <w:rsid w:val="006A7963"/>
    <w:rsid w:val="006B2D5C"/>
    <w:rsid w:val="006C4EB1"/>
    <w:rsid w:val="006D2F2D"/>
    <w:rsid w:val="006D783F"/>
    <w:rsid w:val="006D792C"/>
    <w:rsid w:val="006E0166"/>
    <w:rsid w:val="006E0457"/>
    <w:rsid w:val="006E1792"/>
    <w:rsid w:val="006E4B7D"/>
    <w:rsid w:val="006E7B34"/>
    <w:rsid w:val="006F0393"/>
    <w:rsid w:val="006F3116"/>
    <w:rsid w:val="00705DE2"/>
    <w:rsid w:val="0070624C"/>
    <w:rsid w:val="0070697F"/>
    <w:rsid w:val="00710048"/>
    <w:rsid w:val="00711192"/>
    <w:rsid w:val="00711CD6"/>
    <w:rsid w:val="00715F0E"/>
    <w:rsid w:val="00716ADF"/>
    <w:rsid w:val="0072199C"/>
    <w:rsid w:val="00722C9F"/>
    <w:rsid w:val="00724D48"/>
    <w:rsid w:val="007253B8"/>
    <w:rsid w:val="00726327"/>
    <w:rsid w:val="0072676D"/>
    <w:rsid w:val="00726D8C"/>
    <w:rsid w:val="0073741F"/>
    <w:rsid w:val="00741288"/>
    <w:rsid w:val="00743284"/>
    <w:rsid w:val="0074372C"/>
    <w:rsid w:val="007539FB"/>
    <w:rsid w:val="00755060"/>
    <w:rsid w:val="00757AFF"/>
    <w:rsid w:val="007610CB"/>
    <w:rsid w:val="0076643F"/>
    <w:rsid w:val="00774244"/>
    <w:rsid w:val="00774982"/>
    <w:rsid w:val="00777F63"/>
    <w:rsid w:val="00784E43"/>
    <w:rsid w:val="00787F1E"/>
    <w:rsid w:val="00790C9F"/>
    <w:rsid w:val="00796482"/>
    <w:rsid w:val="0079671B"/>
    <w:rsid w:val="00797E72"/>
    <w:rsid w:val="007A4432"/>
    <w:rsid w:val="007A56B0"/>
    <w:rsid w:val="007A5817"/>
    <w:rsid w:val="007A5860"/>
    <w:rsid w:val="007A5AF0"/>
    <w:rsid w:val="007B4744"/>
    <w:rsid w:val="007B4E81"/>
    <w:rsid w:val="007B53D0"/>
    <w:rsid w:val="007B60E9"/>
    <w:rsid w:val="007B6CC3"/>
    <w:rsid w:val="007C0D05"/>
    <w:rsid w:val="007C3334"/>
    <w:rsid w:val="007C655E"/>
    <w:rsid w:val="007D286D"/>
    <w:rsid w:val="007D2B98"/>
    <w:rsid w:val="007D524A"/>
    <w:rsid w:val="007D52EE"/>
    <w:rsid w:val="007E1669"/>
    <w:rsid w:val="007E21BC"/>
    <w:rsid w:val="007E3989"/>
    <w:rsid w:val="007E4D4A"/>
    <w:rsid w:val="007E6DDA"/>
    <w:rsid w:val="007E747D"/>
    <w:rsid w:val="007F0896"/>
    <w:rsid w:val="007F3E8F"/>
    <w:rsid w:val="007F559F"/>
    <w:rsid w:val="00803598"/>
    <w:rsid w:val="00803F1C"/>
    <w:rsid w:val="0080600E"/>
    <w:rsid w:val="00807F1A"/>
    <w:rsid w:val="00811DCF"/>
    <w:rsid w:val="00815FD3"/>
    <w:rsid w:val="00817612"/>
    <w:rsid w:val="008237FB"/>
    <w:rsid w:val="008240C6"/>
    <w:rsid w:val="00827905"/>
    <w:rsid w:val="00831155"/>
    <w:rsid w:val="008338A4"/>
    <w:rsid w:val="00837C45"/>
    <w:rsid w:val="00841863"/>
    <w:rsid w:val="00844730"/>
    <w:rsid w:val="008457C2"/>
    <w:rsid w:val="00847102"/>
    <w:rsid w:val="008542B1"/>
    <w:rsid w:val="0085637F"/>
    <w:rsid w:val="0085732A"/>
    <w:rsid w:val="00857A82"/>
    <w:rsid w:val="00863641"/>
    <w:rsid w:val="008651FF"/>
    <w:rsid w:val="00872E3A"/>
    <w:rsid w:val="00873836"/>
    <w:rsid w:val="0088094E"/>
    <w:rsid w:val="008817AB"/>
    <w:rsid w:val="00885737"/>
    <w:rsid w:val="00887AFA"/>
    <w:rsid w:val="00890650"/>
    <w:rsid w:val="00891AED"/>
    <w:rsid w:val="00892E1C"/>
    <w:rsid w:val="00897E12"/>
    <w:rsid w:val="008A0B78"/>
    <w:rsid w:val="008A3EDD"/>
    <w:rsid w:val="008A7E0F"/>
    <w:rsid w:val="008B12F5"/>
    <w:rsid w:val="008B48EE"/>
    <w:rsid w:val="008C33A9"/>
    <w:rsid w:val="008D2CCE"/>
    <w:rsid w:val="008D534E"/>
    <w:rsid w:val="008D768D"/>
    <w:rsid w:val="008E164C"/>
    <w:rsid w:val="008E27DB"/>
    <w:rsid w:val="008E3759"/>
    <w:rsid w:val="008E3AC7"/>
    <w:rsid w:val="008E6561"/>
    <w:rsid w:val="008F1912"/>
    <w:rsid w:val="0090270B"/>
    <w:rsid w:val="00903B65"/>
    <w:rsid w:val="009041DC"/>
    <w:rsid w:val="009069E3"/>
    <w:rsid w:val="00907201"/>
    <w:rsid w:val="00907393"/>
    <w:rsid w:val="00912494"/>
    <w:rsid w:val="0091341B"/>
    <w:rsid w:val="00913522"/>
    <w:rsid w:val="009150E6"/>
    <w:rsid w:val="0091696D"/>
    <w:rsid w:val="0091727C"/>
    <w:rsid w:val="00917B5A"/>
    <w:rsid w:val="00920A58"/>
    <w:rsid w:val="00920A8C"/>
    <w:rsid w:val="00934513"/>
    <w:rsid w:val="009345BC"/>
    <w:rsid w:val="009345F4"/>
    <w:rsid w:val="00934A2C"/>
    <w:rsid w:val="009363B6"/>
    <w:rsid w:val="0093641B"/>
    <w:rsid w:val="00946A6F"/>
    <w:rsid w:val="009568DB"/>
    <w:rsid w:val="009571D0"/>
    <w:rsid w:val="0096706E"/>
    <w:rsid w:val="009673B0"/>
    <w:rsid w:val="00970AFC"/>
    <w:rsid w:val="00971241"/>
    <w:rsid w:val="00975C4E"/>
    <w:rsid w:val="0098115D"/>
    <w:rsid w:val="00981FBA"/>
    <w:rsid w:val="00996E8A"/>
    <w:rsid w:val="00997BC5"/>
    <w:rsid w:val="009A27EE"/>
    <w:rsid w:val="009A4F41"/>
    <w:rsid w:val="009B2E24"/>
    <w:rsid w:val="009B381B"/>
    <w:rsid w:val="009B5ABA"/>
    <w:rsid w:val="009B5CD0"/>
    <w:rsid w:val="009B646B"/>
    <w:rsid w:val="009B64A9"/>
    <w:rsid w:val="009C1F44"/>
    <w:rsid w:val="009C2218"/>
    <w:rsid w:val="009C51E8"/>
    <w:rsid w:val="009C5B8D"/>
    <w:rsid w:val="009C5C24"/>
    <w:rsid w:val="009C757E"/>
    <w:rsid w:val="009D1411"/>
    <w:rsid w:val="009D1753"/>
    <w:rsid w:val="009D7611"/>
    <w:rsid w:val="009E02C6"/>
    <w:rsid w:val="009E0B61"/>
    <w:rsid w:val="009E4F31"/>
    <w:rsid w:val="009E53DE"/>
    <w:rsid w:val="009F0489"/>
    <w:rsid w:val="009F0583"/>
    <w:rsid w:val="009F0B9A"/>
    <w:rsid w:val="009F154E"/>
    <w:rsid w:val="009F2237"/>
    <w:rsid w:val="009F2AA6"/>
    <w:rsid w:val="00A10AC2"/>
    <w:rsid w:val="00A2084F"/>
    <w:rsid w:val="00A2649C"/>
    <w:rsid w:val="00A30459"/>
    <w:rsid w:val="00A328B3"/>
    <w:rsid w:val="00A358FF"/>
    <w:rsid w:val="00A40174"/>
    <w:rsid w:val="00A46CD6"/>
    <w:rsid w:val="00A46F0F"/>
    <w:rsid w:val="00A47F90"/>
    <w:rsid w:val="00A50FCF"/>
    <w:rsid w:val="00A528D1"/>
    <w:rsid w:val="00A60069"/>
    <w:rsid w:val="00A60EE1"/>
    <w:rsid w:val="00A60F63"/>
    <w:rsid w:val="00A610CD"/>
    <w:rsid w:val="00A67FA6"/>
    <w:rsid w:val="00A72B47"/>
    <w:rsid w:val="00A750CB"/>
    <w:rsid w:val="00A753F8"/>
    <w:rsid w:val="00A75B79"/>
    <w:rsid w:val="00A7608B"/>
    <w:rsid w:val="00A76CDD"/>
    <w:rsid w:val="00A80F5F"/>
    <w:rsid w:val="00A9138A"/>
    <w:rsid w:val="00A94EB2"/>
    <w:rsid w:val="00A977BA"/>
    <w:rsid w:val="00A97F36"/>
    <w:rsid w:val="00AA09A2"/>
    <w:rsid w:val="00AA7996"/>
    <w:rsid w:val="00AC19CB"/>
    <w:rsid w:val="00AC56D6"/>
    <w:rsid w:val="00AD71D6"/>
    <w:rsid w:val="00AD7BD3"/>
    <w:rsid w:val="00AE01A0"/>
    <w:rsid w:val="00AE2741"/>
    <w:rsid w:val="00AE4DA0"/>
    <w:rsid w:val="00AE5488"/>
    <w:rsid w:val="00AE6F91"/>
    <w:rsid w:val="00AF5571"/>
    <w:rsid w:val="00AF7C0F"/>
    <w:rsid w:val="00B0272D"/>
    <w:rsid w:val="00B032E9"/>
    <w:rsid w:val="00B05658"/>
    <w:rsid w:val="00B056A5"/>
    <w:rsid w:val="00B071E3"/>
    <w:rsid w:val="00B07341"/>
    <w:rsid w:val="00B124B1"/>
    <w:rsid w:val="00B23197"/>
    <w:rsid w:val="00B25489"/>
    <w:rsid w:val="00B26361"/>
    <w:rsid w:val="00B30539"/>
    <w:rsid w:val="00B314DB"/>
    <w:rsid w:val="00B33670"/>
    <w:rsid w:val="00B361F2"/>
    <w:rsid w:val="00B3718B"/>
    <w:rsid w:val="00B379D9"/>
    <w:rsid w:val="00B4632A"/>
    <w:rsid w:val="00B474F3"/>
    <w:rsid w:val="00B530F1"/>
    <w:rsid w:val="00B66611"/>
    <w:rsid w:val="00B703A7"/>
    <w:rsid w:val="00B72CAD"/>
    <w:rsid w:val="00B745B7"/>
    <w:rsid w:val="00B80AAF"/>
    <w:rsid w:val="00B80BD6"/>
    <w:rsid w:val="00B84358"/>
    <w:rsid w:val="00B8472D"/>
    <w:rsid w:val="00B851B0"/>
    <w:rsid w:val="00B93072"/>
    <w:rsid w:val="00BA276C"/>
    <w:rsid w:val="00BA54E8"/>
    <w:rsid w:val="00BA5EEA"/>
    <w:rsid w:val="00BB306F"/>
    <w:rsid w:val="00BC606D"/>
    <w:rsid w:val="00BD2A22"/>
    <w:rsid w:val="00BD2FC4"/>
    <w:rsid w:val="00BD4B89"/>
    <w:rsid w:val="00BD56A5"/>
    <w:rsid w:val="00BE0C9C"/>
    <w:rsid w:val="00BE1ED7"/>
    <w:rsid w:val="00BF2040"/>
    <w:rsid w:val="00BF532F"/>
    <w:rsid w:val="00BF64F4"/>
    <w:rsid w:val="00BF6FD8"/>
    <w:rsid w:val="00BF6FDF"/>
    <w:rsid w:val="00C00B36"/>
    <w:rsid w:val="00C010D1"/>
    <w:rsid w:val="00C01865"/>
    <w:rsid w:val="00C02534"/>
    <w:rsid w:val="00C03680"/>
    <w:rsid w:val="00C054DF"/>
    <w:rsid w:val="00C100EF"/>
    <w:rsid w:val="00C10C59"/>
    <w:rsid w:val="00C13E09"/>
    <w:rsid w:val="00C176A0"/>
    <w:rsid w:val="00C2162E"/>
    <w:rsid w:val="00C21762"/>
    <w:rsid w:val="00C2184D"/>
    <w:rsid w:val="00C24543"/>
    <w:rsid w:val="00C256A2"/>
    <w:rsid w:val="00C4592F"/>
    <w:rsid w:val="00C50FAA"/>
    <w:rsid w:val="00C51515"/>
    <w:rsid w:val="00C5222A"/>
    <w:rsid w:val="00C551ED"/>
    <w:rsid w:val="00C5660B"/>
    <w:rsid w:val="00C63D0B"/>
    <w:rsid w:val="00C660C2"/>
    <w:rsid w:val="00C66B72"/>
    <w:rsid w:val="00C73FDB"/>
    <w:rsid w:val="00C77B4F"/>
    <w:rsid w:val="00C83F4C"/>
    <w:rsid w:val="00C84C66"/>
    <w:rsid w:val="00C95523"/>
    <w:rsid w:val="00C9567A"/>
    <w:rsid w:val="00C96109"/>
    <w:rsid w:val="00C97D9C"/>
    <w:rsid w:val="00CA2355"/>
    <w:rsid w:val="00CA3824"/>
    <w:rsid w:val="00CA4A5B"/>
    <w:rsid w:val="00CA4B0F"/>
    <w:rsid w:val="00CA5861"/>
    <w:rsid w:val="00CB1A90"/>
    <w:rsid w:val="00CB212D"/>
    <w:rsid w:val="00CB2660"/>
    <w:rsid w:val="00CC0A52"/>
    <w:rsid w:val="00CC5E90"/>
    <w:rsid w:val="00CC6E48"/>
    <w:rsid w:val="00CC753A"/>
    <w:rsid w:val="00CD046C"/>
    <w:rsid w:val="00CD6C46"/>
    <w:rsid w:val="00CD7ACE"/>
    <w:rsid w:val="00CE076C"/>
    <w:rsid w:val="00CE0DBD"/>
    <w:rsid w:val="00CE1809"/>
    <w:rsid w:val="00CE5199"/>
    <w:rsid w:val="00CE6553"/>
    <w:rsid w:val="00CE66D5"/>
    <w:rsid w:val="00CF2119"/>
    <w:rsid w:val="00CF597B"/>
    <w:rsid w:val="00CF637A"/>
    <w:rsid w:val="00D01653"/>
    <w:rsid w:val="00D059DE"/>
    <w:rsid w:val="00D06977"/>
    <w:rsid w:val="00D110D7"/>
    <w:rsid w:val="00D13FCE"/>
    <w:rsid w:val="00D14A3D"/>
    <w:rsid w:val="00D1656C"/>
    <w:rsid w:val="00D217E8"/>
    <w:rsid w:val="00D221BC"/>
    <w:rsid w:val="00D306D1"/>
    <w:rsid w:val="00D3078F"/>
    <w:rsid w:val="00D33A8D"/>
    <w:rsid w:val="00D34786"/>
    <w:rsid w:val="00D34A05"/>
    <w:rsid w:val="00D377B9"/>
    <w:rsid w:val="00D37BFC"/>
    <w:rsid w:val="00D41E96"/>
    <w:rsid w:val="00D44991"/>
    <w:rsid w:val="00D454E9"/>
    <w:rsid w:val="00D47A8E"/>
    <w:rsid w:val="00D50DAC"/>
    <w:rsid w:val="00D52D14"/>
    <w:rsid w:val="00D52EDF"/>
    <w:rsid w:val="00D5687C"/>
    <w:rsid w:val="00D6283F"/>
    <w:rsid w:val="00D712D3"/>
    <w:rsid w:val="00D71422"/>
    <w:rsid w:val="00D72DC6"/>
    <w:rsid w:val="00D7558D"/>
    <w:rsid w:val="00D77BE6"/>
    <w:rsid w:val="00D81D92"/>
    <w:rsid w:val="00D91341"/>
    <w:rsid w:val="00D95800"/>
    <w:rsid w:val="00DA2147"/>
    <w:rsid w:val="00DA3BCB"/>
    <w:rsid w:val="00DA4F40"/>
    <w:rsid w:val="00DA7B5F"/>
    <w:rsid w:val="00DB264A"/>
    <w:rsid w:val="00DB6B4F"/>
    <w:rsid w:val="00DB75C3"/>
    <w:rsid w:val="00DB794A"/>
    <w:rsid w:val="00DB7C89"/>
    <w:rsid w:val="00DC11E7"/>
    <w:rsid w:val="00DC3411"/>
    <w:rsid w:val="00DC3F9E"/>
    <w:rsid w:val="00DC3FEE"/>
    <w:rsid w:val="00DC5ECF"/>
    <w:rsid w:val="00DC7023"/>
    <w:rsid w:val="00DC769A"/>
    <w:rsid w:val="00DD17E6"/>
    <w:rsid w:val="00DD1FC5"/>
    <w:rsid w:val="00DD2CB2"/>
    <w:rsid w:val="00DD3D86"/>
    <w:rsid w:val="00DD5377"/>
    <w:rsid w:val="00DD705B"/>
    <w:rsid w:val="00DE5205"/>
    <w:rsid w:val="00DE5CFB"/>
    <w:rsid w:val="00DE6F4F"/>
    <w:rsid w:val="00DF03DA"/>
    <w:rsid w:val="00DF1EC4"/>
    <w:rsid w:val="00DF3B4D"/>
    <w:rsid w:val="00DF72D2"/>
    <w:rsid w:val="00E0340B"/>
    <w:rsid w:val="00E04A90"/>
    <w:rsid w:val="00E05D21"/>
    <w:rsid w:val="00E065AD"/>
    <w:rsid w:val="00E1484A"/>
    <w:rsid w:val="00E17016"/>
    <w:rsid w:val="00E21271"/>
    <w:rsid w:val="00E219C7"/>
    <w:rsid w:val="00E230D8"/>
    <w:rsid w:val="00E2457C"/>
    <w:rsid w:val="00E3189E"/>
    <w:rsid w:val="00E43157"/>
    <w:rsid w:val="00E461CE"/>
    <w:rsid w:val="00E4714F"/>
    <w:rsid w:val="00E51A34"/>
    <w:rsid w:val="00E54223"/>
    <w:rsid w:val="00E55D3B"/>
    <w:rsid w:val="00E612EC"/>
    <w:rsid w:val="00E61F1F"/>
    <w:rsid w:val="00E62A24"/>
    <w:rsid w:val="00E720CA"/>
    <w:rsid w:val="00E725CB"/>
    <w:rsid w:val="00E74100"/>
    <w:rsid w:val="00E759EB"/>
    <w:rsid w:val="00E80288"/>
    <w:rsid w:val="00E8056A"/>
    <w:rsid w:val="00E835CC"/>
    <w:rsid w:val="00E84EB5"/>
    <w:rsid w:val="00E84F41"/>
    <w:rsid w:val="00E85662"/>
    <w:rsid w:val="00E8789F"/>
    <w:rsid w:val="00E96402"/>
    <w:rsid w:val="00E97B71"/>
    <w:rsid w:val="00E97FA2"/>
    <w:rsid w:val="00EA3D34"/>
    <w:rsid w:val="00EA48E1"/>
    <w:rsid w:val="00EB0BE7"/>
    <w:rsid w:val="00EB454D"/>
    <w:rsid w:val="00EC47D9"/>
    <w:rsid w:val="00EC7F2B"/>
    <w:rsid w:val="00ED1532"/>
    <w:rsid w:val="00ED3A83"/>
    <w:rsid w:val="00ED5CDE"/>
    <w:rsid w:val="00ED76BE"/>
    <w:rsid w:val="00EF1BDB"/>
    <w:rsid w:val="00EF1E7A"/>
    <w:rsid w:val="00EF237C"/>
    <w:rsid w:val="00EF41AB"/>
    <w:rsid w:val="00EF5125"/>
    <w:rsid w:val="00EF619B"/>
    <w:rsid w:val="00F00737"/>
    <w:rsid w:val="00F00B55"/>
    <w:rsid w:val="00F01097"/>
    <w:rsid w:val="00F01E40"/>
    <w:rsid w:val="00F01F44"/>
    <w:rsid w:val="00F02AD1"/>
    <w:rsid w:val="00F042E2"/>
    <w:rsid w:val="00F15DD3"/>
    <w:rsid w:val="00F17D97"/>
    <w:rsid w:val="00F211A2"/>
    <w:rsid w:val="00F2241E"/>
    <w:rsid w:val="00F23513"/>
    <w:rsid w:val="00F23E9F"/>
    <w:rsid w:val="00F253CC"/>
    <w:rsid w:val="00F258BD"/>
    <w:rsid w:val="00F27DFE"/>
    <w:rsid w:val="00F37106"/>
    <w:rsid w:val="00F40371"/>
    <w:rsid w:val="00F43193"/>
    <w:rsid w:val="00F43FB2"/>
    <w:rsid w:val="00F519CF"/>
    <w:rsid w:val="00F55809"/>
    <w:rsid w:val="00F55A99"/>
    <w:rsid w:val="00F56594"/>
    <w:rsid w:val="00F56BA5"/>
    <w:rsid w:val="00F57B09"/>
    <w:rsid w:val="00F60E22"/>
    <w:rsid w:val="00F63AE9"/>
    <w:rsid w:val="00F70928"/>
    <w:rsid w:val="00F749B3"/>
    <w:rsid w:val="00F74A8A"/>
    <w:rsid w:val="00F77FB5"/>
    <w:rsid w:val="00F81395"/>
    <w:rsid w:val="00F917D1"/>
    <w:rsid w:val="00F9653B"/>
    <w:rsid w:val="00FA0764"/>
    <w:rsid w:val="00FA1CAC"/>
    <w:rsid w:val="00FA2DB7"/>
    <w:rsid w:val="00FA7618"/>
    <w:rsid w:val="00FB0932"/>
    <w:rsid w:val="00FB202A"/>
    <w:rsid w:val="00FB62CF"/>
    <w:rsid w:val="00FC32B4"/>
    <w:rsid w:val="00FC7ACA"/>
    <w:rsid w:val="00FD3C3B"/>
    <w:rsid w:val="00FD5B4C"/>
    <w:rsid w:val="00FE03AB"/>
    <w:rsid w:val="00FE3085"/>
    <w:rsid w:val="00FE4096"/>
    <w:rsid w:val="00FE6938"/>
    <w:rsid w:val="00FE6B45"/>
    <w:rsid w:val="00FF0547"/>
    <w:rsid w:val="00FF2239"/>
    <w:rsid w:val="00FF2341"/>
    <w:rsid w:val="00FF273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4441">
      <w:bodyDiv w:val="1"/>
      <w:marLeft w:val="0"/>
      <w:marRight w:val="0"/>
      <w:marTop w:val="0"/>
      <w:marBottom w:val="0"/>
      <w:divBdr>
        <w:top w:val="none" w:sz="0" w:space="0" w:color="auto"/>
        <w:left w:val="none" w:sz="0" w:space="0" w:color="auto"/>
        <w:bottom w:val="none" w:sz="0" w:space="0" w:color="auto"/>
        <w:right w:val="none" w:sz="0" w:space="0" w:color="auto"/>
      </w:divBdr>
    </w:div>
    <w:div w:id="844705965">
      <w:bodyDiv w:val="1"/>
      <w:marLeft w:val="0"/>
      <w:marRight w:val="0"/>
      <w:marTop w:val="0"/>
      <w:marBottom w:val="0"/>
      <w:divBdr>
        <w:top w:val="none" w:sz="0" w:space="0" w:color="auto"/>
        <w:left w:val="none" w:sz="0" w:space="0" w:color="auto"/>
        <w:bottom w:val="none" w:sz="0" w:space="0" w:color="auto"/>
        <w:right w:val="none" w:sz="0" w:space="0" w:color="auto"/>
      </w:divBdr>
    </w:div>
    <w:div w:id="1255171372">
      <w:bodyDiv w:val="1"/>
      <w:marLeft w:val="0"/>
      <w:marRight w:val="0"/>
      <w:marTop w:val="0"/>
      <w:marBottom w:val="0"/>
      <w:divBdr>
        <w:top w:val="none" w:sz="0" w:space="0" w:color="auto"/>
        <w:left w:val="none" w:sz="0" w:space="0" w:color="auto"/>
        <w:bottom w:val="none" w:sz="0" w:space="0" w:color="auto"/>
        <w:right w:val="none" w:sz="0" w:space="0" w:color="auto"/>
      </w:divBdr>
    </w:div>
    <w:div w:id="1619530458">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98087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E640E-05BF-4A8B-8941-2806D914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3607</Words>
  <Characters>20562</Characters>
  <Application>Microsoft Office Word</Application>
  <DocSecurity>0</DocSecurity>
  <Lines>171</Lines>
  <Paragraphs>48</Paragraphs>
  <ScaleCrop>false</ScaleCrop>
  <Company/>
  <LinksUpToDate>false</LinksUpToDate>
  <CharactersWithSpaces>24121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39/16</dc:title>
  <dc:creator/>
  <cp:lastModifiedBy/>
  <cp:revision>1</cp:revision>
  <dcterms:created xsi:type="dcterms:W3CDTF">2016-11-08T13:33:00Z</dcterms:created>
  <dcterms:modified xsi:type="dcterms:W3CDTF">2016-11-08T13:34:00Z</dcterms:modified>
</cp:coreProperties>
</file>