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51ED" w:rsidRDefault="009051ED"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9051ED" w:rsidRDefault="009051ED"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51ED" w:rsidRPr="004E2649" w:rsidRDefault="009051E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B6D12">
                              <w:rPr>
                                <w:rFonts w:asciiTheme="majorHAnsi" w:hAnsiTheme="majorHAnsi" w:cs="Arial"/>
                                <w:b/>
                                <w:bCs/>
                                <w:color w:val="0D0D0D" w:themeColor="text1" w:themeTint="F2"/>
                                <w:sz w:val="36"/>
                                <w:szCs w:val="22"/>
                                <w:lang w:val="es-ES_tradnl"/>
                              </w:rPr>
                              <w:t>17</w:t>
                            </w:r>
                            <w:r>
                              <w:rPr>
                                <w:rFonts w:asciiTheme="majorHAnsi" w:hAnsiTheme="majorHAnsi" w:cs="Arial"/>
                                <w:b/>
                                <w:bCs/>
                                <w:color w:val="0D0D0D" w:themeColor="text1" w:themeTint="F2"/>
                                <w:sz w:val="36"/>
                                <w:szCs w:val="22"/>
                                <w:lang w:val="es-ES_tradnl"/>
                              </w:rPr>
                              <w:t>/</w:t>
                            </w:r>
                            <w:r w:rsidR="00AD528E">
                              <w:rPr>
                                <w:rFonts w:asciiTheme="majorHAnsi" w:hAnsiTheme="majorHAnsi" w:cs="Arial"/>
                                <w:b/>
                                <w:bCs/>
                                <w:color w:val="0D0D0D" w:themeColor="text1" w:themeTint="F2"/>
                                <w:sz w:val="36"/>
                                <w:szCs w:val="22"/>
                                <w:lang w:val="es-ES_tradnl"/>
                              </w:rPr>
                              <w:t>16</w:t>
                            </w:r>
                          </w:p>
                          <w:p w:rsidR="009051ED" w:rsidRPr="004E2649" w:rsidRDefault="009051E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7264C">
                              <w:rPr>
                                <w:rFonts w:asciiTheme="majorHAnsi" w:hAnsiTheme="majorHAnsi" w:cs="Arial"/>
                                <w:b/>
                                <w:color w:val="0D0D0D" w:themeColor="text1" w:themeTint="F2"/>
                                <w:sz w:val="36"/>
                                <w:szCs w:val="22"/>
                                <w:lang w:val="es-ES_tradnl"/>
                              </w:rPr>
                              <w:t>1132-06</w:t>
                            </w:r>
                            <w:r w:rsidRPr="004E2649">
                              <w:rPr>
                                <w:rFonts w:asciiTheme="majorHAnsi" w:hAnsiTheme="majorHAnsi" w:cs="Arial"/>
                                <w:b/>
                                <w:color w:val="0D0D0D" w:themeColor="text1" w:themeTint="F2"/>
                                <w:sz w:val="36"/>
                                <w:szCs w:val="22"/>
                                <w:lang w:val="es-ES_tradnl"/>
                              </w:rPr>
                              <w:t xml:space="preserve"> </w:t>
                            </w:r>
                          </w:p>
                          <w:p w:rsidR="009051ED" w:rsidRPr="0010736F" w:rsidRDefault="009051E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9051ED" w:rsidRPr="0010736F" w:rsidRDefault="009051ED" w:rsidP="00997BC5">
                            <w:pPr>
                              <w:spacing w:line="276" w:lineRule="auto"/>
                              <w:rPr>
                                <w:rFonts w:asciiTheme="majorHAnsi" w:hAnsiTheme="majorHAnsi" w:cs="Arial"/>
                                <w:color w:val="0D0D0D" w:themeColor="text1" w:themeTint="F2"/>
                                <w:szCs w:val="22"/>
                                <w:lang w:val="es-ES_tradnl"/>
                              </w:rPr>
                            </w:pPr>
                            <w:bookmarkStart w:id="0" w:name="_ftnref1"/>
                          </w:p>
                          <w:bookmarkEnd w:id="0"/>
                          <w:p w:rsidR="009051ED" w:rsidRPr="00F15BAF" w:rsidRDefault="009051ED" w:rsidP="00997BC5">
                            <w:pPr>
                              <w:spacing w:line="276" w:lineRule="auto"/>
                              <w:rPr>
                                <w:rFonts w:asciiTheme="majorHAnsi" w:hAnsiTheme="majorHAnsi" w:cs="Arial"/>
                                <w:color w:val="0D0D0D" w:themeColor="text1" w:themeTint="F2"/>
                                <w:szCs w:val="22"/>
                                <w:lang w:val="es-ES_tradnl"/>
                              </w:rPr>
                            </w:pPr>
                            <w:r w:rsidRPr="00F15BAF">
                              <w:rPr>
                                <w:rFonts w:asciiTheme="majorHAnsi" w:hAnsiTheme="majorHAnsi" w:cs="Arial"/>
                                <w:color w:val="0D0D0D" w:themeColor="text1" w:themeTint="F2"/>
                                <w:szCs w:val="22"/>
                                <w:lang w:val="es-ES_tradnl"/>
                              </w:rPr>
                              <w:t xml:space="preserve">HORTENCIA NEYID TUNJA </w:t>
                            </w:r>
                            <w:r w:rsidRPr="0038413E">
                              <w:rPr>
                                <w:rFonts w:asciiTheme="majorHAnsi" w:hAnsiTheme="majorHAnsi" w:cs="Arial"/>
                                <w:color w:val="0D0D0D" w:themeColor="text1" w:themeTint="F2"/>
                                <w:szCs w:val="22"/>
                                <w:lang w:val="es-ES_tradnl"/>
                              </w:rPr>
                              <w:t>CUCHUMBE</w:t>
                            </w:r>
                            <w:r w:rsidRPr="00F15BAF">
                              <w:rPr>
                                <w:rFonts w:asciiTheme="majorHAnsi" w:hAnsiTheme="majorHAnsi" w:cs="Arial"/>
                                <w:color w:val="0D0D0D" w:themeColor="text1" w:themeTint="F2"/>
                                <w:szCs w:val="22"/>
                                <w:lang w:val="es-ES_tradnl"/>
                              </w:rPr>
                              <w:t xml:space="preserve"> Y OTROS</w:t>
                            </w:r>
                          </w:p>
                          <w:p w:rsidR="009051ED" w:rsidRPr="0010736F" w:rsidRDefault="009051E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9051ED" w:rsidRPr="00AE5488" w:rsidRDefault="009051E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9051ED" w:rsidRPr="004E2649" w:rsidRDefault="009051E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B6D12">
                        <w:rPr>
                          <w:rFonts w:asciiTheme="majorHAnsi" w:hAnsiTheme="majorHAnsi" w:cs="Arial"/>
                          <w:b/>
                          <w:bCs/>
                          <w:color w:val="0D0D0D" w:themeColor="text1" w:themeTint="F2"/>
                          <w:sz w:val="36"/>
                          <w:szCs w:val="22"/>
                          <w:lang w:val="es-ES_tradnl"/>
                        </w:rPr>
                        <w:t>17</w:t>
                      </w:r>
                      <w:r>
                        <w:rPr>
                          <w:rFonts w:asciiTheme="majorHAnsi" w:hAnsiTheme="majorHAnsi" w:cs="Arial"/>
                          <w:b/>
                          <w:bCs/>
                          <w:color w:val="0D0D0D" w:themeColor="text1" w:themeTint="F2"/>
                          <w:sz w:val="36"/>
                          <w:szCs w:val="22"/>
                          <w:lang w:val="es-ES_tradnl"/>
                        </w:rPr>
                        <w:t>/</w:t>
                      </w:r>
                      <w:r w:rsidR="00AD528E">
                        <w:rPr>
                          <w:rFonts w:asciiTheme="majorHAnsi" w:hAnsiTheme="majorHAnsi" w:cs="Arial"/>
                          <w:b/>
                          <w:bCs/>
                          <w:color w:val="0D0D0D" w:themeColor="text1" w:themeTint="F2"/>
                          <w:sz w:val="36"/>
                          <w:szCs w:val="22"/>
                          <w:lang w:val="es-ES_tradnl"/>
                        </w:rPr>
                        <w:t>16</w:t>
                      </w:r>
                    </w:p>
                    <w:p w:rsidR="009051ED" w:rsidRPr="004E2649" w:rsidRDefault="009051E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7264C">
                        <w:rPr>
                          <w:rFonts w:asciiTheme="majorHAnsi" w:hAnsiTheme="majorHAnsi" w:cs="Arial"/>
                          <w:b/>
                          <w:color w:val="0D0D0D" w:themeColor="text1" w:themeTint="F2"/>
                          <w:sz w:val="36"/>
                          <w:szCs w:val="22"/>
                          <w:lang w:val="es-ES_tradnl"/>
                        </w:rPr>
                        <w:t>1132-06</w:t>
                      </w:r>
                      <w:r w:rsidRPr="004E2649">
                        <w:rPr>
                          <w:rFonts w:asciiTheme="majorHAnsi" w:hAnsiTheme="majorHAnsi" w:cs="Arial"/>
                          <w:b/>
                          <w:color w:val="0D0D0D" w:themeColor="text1" w:themeTint="F2"/>
                          <w:sz w:val="36"/>
                          <w:szCs w:val="22"/>
                          <w:lang w:val="es-ES_tradnl"/>
                        </w:rPr>
                        <w:t xml:space="preserve"> </w:t>
                      </w:r>
                    </w:p>
                    <w:p w:rsidR="009051ED" w:rsidRPr="0010736F" w:rsidRDefault="009051E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9051ED" w:rsidRPr="0010736F" w:rsidRDefault="009051ED" w:rsidP="00997BC5">
                      <w:pPr>
                        <w:spacing w:line="276" w:lineRule="auto"/>
                        <w:rPr>
                          <w:rFonts w:asciiTheme="majorHAnsi" w:hAnsiTheme="majorHAnsi" w:cs="Arial"/>
                          <w:color w:val="0D0D0D" w:themeColor="text1" w:themeTint="F2"/>
                          <w:szCs w:val="22"/>
                          <w:lang w:val="es-ES_tradnl"/>
                        </w:rPr>
                      </w:pPr>
                      <w:bookmarkStart w:id="2" w:name="_ftnref1"/>
                    </w:p>
                    <w:bookmarkEnd w:id="2"/>
                    <w:p w:rsidR="009051ED" w:rsidRPr="00F15BAF" w:rsidRDefault="009051ED" w:rsidP="00997BC5">
                      <w:pPr>
                        <w:spacing w:line="276" w:lineRule="auto"/>
                        <w:rPr>
                          <w:rFonts w:asciiTheme="majorHAnsi" w:hAnsiTheme="majorHAnsi" w:cs="Arial"/>
                          <w:color w:val="0D0D0D" w:themeColor="text1" w:themeTint="F2"/>
                          <w:szCs w:val="22"/>
                          <w:lang w:val="es-ES_tradnl"/>
                        </w:rPr>
                      </w:pPr>
                      <w:r w:rsidRPr="00F15BAF">
                        <w:rPr>
                          <w:rFonts w:asciiTheme="majorHAnsi" w:hAnsiTheme="majorHAnsi" w:cs="Arial"/>
                          <w:color w:val="0D0D0D" w:themeColor="text1" w:themeTint="F2"/>
                          <w:szCs w:val="22"/>
                          <w:lang w:val="es-ES_tradnl"/>
                        </w:rPr>
                        <w:t xml:space="preserve">HORTENCIA NEYID TUNJA </w:t>
                      </w:r>
                      <w:r w:rsidRPr="0038413E">
                        <w:rPr>
                          <w:rFonts w:asciiTheme="majorHAnsi" w:hAnsiTheme="majorHAnsi" w:cs="Arial"/>
                          <w:color w:val="0D0D0D" w:themeColor="text1" w:themeTint="F2"/>
                          <w:szCs w:val="22"/>
                          <w:lang w:val="es-ES_tradnl"/>
                        </w:rPr>
                        <w:t>CUCHUMBE</w:t>
                      </w:r>
                      <w:r w:rsidRPr="00F15BAF">
                        <w:rPr>
                          <w:rFonts w:asciiTheme="majorHAnsi" w:hAnsiTheme="majorHAnsi" w:cs="Arial"/>
                          <w:color w:val="0D0D0D" w:themeColor="text1" w:themeTint="F2"/>
                          <w:szCs w:val="22"/>
                          <w:lang w:val="es-ES_tradnl"/>
                        </w:rPr>
                        <w:t xml:space="preserve"> Y OTROS</w:t>
                      </w:r>
                    </w:p>
                    <w:p w:rsidR="009051ED" w:rsidRPr="0010736F" w:rsidRDefault="009051E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9051ED" w:rsidRPr="00AE5488" w:rsidRDefault="009051ED"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51ED" w:rsidRPr="00AD528E" w:rsidRDefault="00AD528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r w:rsidR="00E90003">
                              <w:rPr>
                                <w:rFonts w:asciiTheme="minorHAnsi" w:hAnsiTheme="minorHAnsi"/>
                                <w:color w:val="FFFFFF" w:themeColor="background1"/>
                                <w:sz w:val="22"/>
                                <w:lang w:val="pt-BR"/>
                              </w:rPr>
                              <w:t>157</w:t>
                            </w:r>
                          </w:p>
                          <w:p w:rsidR="009051ED" w:rsidRPr="00AB6D12" w:rsidRDefault="009051ED" w:rsidP="007A5817">
                            <w:pPr>
                              <w:spacing w:line="276" w:lineRule="auto"/>
                              <w:jc w:val="right"/>
                              <w:rPr>
                                <w:rFonts w:asciiTheme="minorHAnsi" w:hAnsiTheme="minorHAnsi"/>
                                <w:color w:val="FFFFFF" w:themeColor="background1"/>
                                <w:sz w:val="22"/>
                                <w:lang w:val="es-ES"/>
                              </w:rPr>
                            </w:pPr>
                            <w:r w:rsidRPr="00AB6D12">
                              <w:rPr>
                                <w:rFonts w:asciiTheme="minorHAnsi" w:hAnsiTheme="minorHAnsi"/>
                                <w:color w:val="FFFFFF" w:themeColor="background1"/>
                                <w:sz w:val="22"/>
                                <w:lang w:val="es-ES"/>
                              </w:rPr>
                              <w:t xml:space="preserve">Doc. </w:t>
                            </w:r>
                            <w:r w:rsidR="00E90003">
                              <w:rPr>
                                <w:rFonts w:asciiTheme="minorHAnsi" w:hAnsiTheme="minorHAnsi"/>
                                <w:color w:val="FFFFFF" w:themeColor="background1"/>
                                <w:sz w:val="22"/>
                                <w:lang w:val="es-ES"/>
                              </w:rPr>
                              <w:t>21</w:t>
                            </w:r>
                          </w:p>
                          <w:p w:rsidR="009051ED" w:rsidRPr="00AB6D12" w:rsidRDefault="00E90003"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15</w:t>
                            </w:r>
                            <w:r w:rsidR="009051ED" w:rsidRPr="00AB6D12">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abril</w:t>
                            </w:r>
                            <w:r w:rsidR="009051ED" w:rsidRPr="00AB6D12">
                              <w:rPr>
                                <w:rFonts w:asciiTheme="minorHAnsi" w:hAnsiTheme="minorHAnsi"/>
                                <w:color w:val="FFFFFF" w:themeColor="background1"/>
                                <w:sz w:val="22"/>
                                <w:lang w:val="es-ES"/>
                              </w:rPr>
                              <w:t xml:space="preserve"> 201</w:t>
                            </w:r>
                            <w:r>
                              <w:rPr>
                                <w:rFonts w:asciiTheme="minorHAnsi" w:hAnsiTheme="minorHAnsi"/>
                                <w:color w:val="FFFFFF" w:themeColor="background1"/>
                                <w:sz w:val="22"/>
                                <w:lang w:val="es-ES"/>
                              </w:rPr>
                              <w:t>6</w:t>
                            </w:r>
                          </w:p>
                          <w:p w:rsidR="009051ED" w:rsidRPr="00AB6D12" w:rsidRDefault="009051ED" w:rsidP="007A5817">
                            <w:pPr>
                              <w:spacing w:line="276" w:lineRule="auto"/>
                              <w:jc w:val="right"/>
                              <w:rPr>
                                <w:rFonts w:asciiTheme="minorHAnsi" w:hAnsiTheme="minorHAnsi"/>
                                <w:color w:val="FFFFFF" w:themeColor="background1"/>
                                <w:sz w:val="22"/>
                                <w:lang w:val="es-ES"/>
                              </w:rPr>
                            </w:pPr>
                            <w:r w:rsidRPr="00AB6D12">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9051ED" w:rsidRPr="00AD528E" w:rsidRDefault="00AD528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r w:rsidR="00E90003">
                        <w:rPr>
                          <w:rFonts w:asciiTheme="minorHAnsi" w:hAnsiTheme="minorHAnsi"/>
                          <w:color w:val="FFFFFF" w:themeColor="background1"/>
                          <w:sz w:val="22"/>
                          <w:lang w:val="pt-BR"/>
                        </w:rPr>
                        <w:t>157</w:t>
                      </w:r>
                    </w:p>
                    <w:p w:rsidR="009051ED" w:rsidRPr="00AB6D12" w:rsidRDefault="009051ED" w:rsidP="007A5817">
                      <w:pPr>
                        <w:spacing w:line="276" w:lineRule="auto"/>
                        <w:jc w:val="right"/>
                        <w:rPr>
                          <w:rFonts w:asciiTheme="minorHAnsi" w:hAnsiTheme="minorHAnsi"/>
                          <w:color w:val="FFFFFF" w:themeColor="background1"/>
                          <w:sz w:val="22"/>
                          <w:lang w:val="es-ES"/>
                        </w:rPr>
                      </w:pPr>
                      <w:r w:rsidRPr="00AB6D12">
                        <w:rPr>
                          <w:rFonts w:asciiTheme="minorHAnsi" w:hAnsiTheme="minorHAnsi"/>
                          <w:color w:val="FFFFFF" w:themeColor="background1"/>
                          <w:sz w:val="22"/>
                          <w:lang w:val="es-ES"/>
                        </w:rPr>
                        <w:t xml:space="preserve">Doc. </w:t>
                      </w:r>
                      <w:r w:rsidR="00E90003">
                        <w:rPr>
                          <w:rFonts w:asciiTheme="minorHAnsi" w:hAnsiTheme="minorHAnsi"/>
                          <w:color w:val="FFFFFF" w:themeColor="background1"/>
                          <w:sz w:val="22"/>
                          <w:lang w:val="es-ES"/>
                        </w:rPr>
                        <w:t>21</w:t>
                      </w:r>
                    </w:p>
                    <w:p w:rsidR="009051ED" w:rsidRPr="00AB6D12" w:rsidRDefault="00E90003"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15</w:t>
                      </w:r>
                      <w:r w:rsidR="009051ED" w:rsidRPr="00AB6D12">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abril</w:t>
                      </w:r>
                      <w:r w:rsidR="009051ED" w:rsidRPr="00AB6D12">
                        <w:rPr>
                          <w:rFonts w:asciiTheme="minorHAnsi" w:hAnsiTheme="minorHAnsi"/>
                          <w:color w:val="FFFFFF" w:themeColor="background1"/>
                          <w:sz w:val="22"/>
                          <w:lang w:val="es-ES"/>
                        </w:rPr>
                        <w:t xml:space="preserve"> 201</w:t>
                      </w:r>
                      <w:r>
                        <w:rPr>
                          <w:rFonts w:asciiTheme="minorHAnsi" w:hAnsiTheme="minorHAnsi"/>
                          <w:color w:val="FFFFFF" w:themeColor="background1"/>
                          <w:sz w:val="22"/>
                          <w:lang w:val="es-ES"/>
                        </w:rPr>
                        <w:t>6</w:t>
                      </w:r>
                    </w:p>
                    <w:p w:rsidR="009051ED" w:rsidRPr="00AB6D12" w:rsidRDefault="009051ED" w:rsidP="007A5817">
                      <w:pPr>
                        <w:spacing w:line="276" w:lineRule="auto"/>
                        <w:jc w:val="right"/>
                        <w:rPr>
                          <w:rFonts w:asciiTheme="minorHAnsi" w:hAnsiTheme="minorHAnsi"/>
                          <w:color w:val="FFFFFF" w:themeColor="background1"/>
                          <w:sz w:val="22"/>
                          <w:lang w:val="es-ES"/>
                        </w:rPr>
                      </w:pPr>
                      <w:r w:rsidRPr="00AB6D12">
                        <w:rPr>
                          <w:rFonts w:asciiTheme="minorHAnsi" w:hAnsiTheme="minorHAnsi"/>
                          <w:color w:val="FFFFFF" w:themeColor="background1"/>
                          <w:sz w:val="22"/>
                          <w:lang w:val="es-ES"/>
                        </w:rPr>
                        <w:t>Original: español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51ED" w:rsidRPr="00890650" w:rsidRDefault="009051ED"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DE6B63">
                              <w:rPr>
                                <w:rFonts w:asciiTheme="majorHAnsi" w:hAnsiTheme="majorHAnsi"/>
                                <w:color w:val="0D0D0D" w:themeColor="text1" w:themeTint="F2"/>
                                <w:sz w:val="18"/>
                                <w:szCs w:val="20"/>
                                <w:lang w:val="es-ES"/>
                              </w:rPr>
                              <w:t xml:space="preserve">Aprobado por la Comisión en su sesión No. </w:t>
                            </w:r>
                            <w:r w:rsidR="00E90003">
                              <w:rPr>
                                <w:rFonts w:asciiTheme="majorHAnsi" w:hAnsiTheme="majorHAnsi"/>
                                <w:color w:val="0D0D0D" w:themeColor="text1" w:themeTint="F2"/>
                                <w:sz w:val="18"/>
                                <w:szCs w:val="20"/>
                                <w:lang w:val="es-ES"/>
                              </w:rPr>
                              <w:t>2065</w:t>
                            </w:r>
                            <w:r w:rsidRPr="00DE6B63">
                              <w:rPr>
                                <w:rFonts w:asciiTheme="majorHAnsi" w:hAnsiTheme="majorHAnsi"/>
                                <w:color w:val="0D0D0D" w:themeColor="text1" w:themeTint="F2"/>
                                <w:sz w:val="18"/>
                                <w:szCs w:val="20"/>
                                <w:lang w:val="es-ES"/>
                              </w:rPr>
                              <w:t xml:space="preserve"> celebrada el </w:t>
                            </w:r>
                            <w:r w:rsidR="00E90003">
                              <w:rPr>
                                <w:rFonts w:asciiTheme="majorHAnsi" w:hAnsiTheme="majorHAnsi"/>
                                <w:color w:val="0D0D0D" w:themeColor="text1" w:themeTint="F2"/>
                                <w:sz w:val="18"/>
                                <w:szCs w:val="20"/>
                                <w:lang w:val="es-ES"/>
                              </w:rPr>
                              <w:t>15</w:t>
                            </w:r>
                            <w:r w:rsidRPr="00DE6B63">
                              <w:rPr>
                                <w:rFonts w:asciiTheme="majorHAnsi" w:hAnsiTheme="majorHAnsi"/>
                                <w:color w:val="0D0D0D" w:themeColor="text1" w:themeTint="F2"/>
                                <w:sz w:val="18"/>
                                <w:szCs w:val="20"/>
                                <w:lang w:val="es-ES"/>
                              </w:rPr>
                              <w:t xml:space="preserve"> de </w:t>
                            </w:r>
                            <w:r w:rsidR="00E90003">
                              <w:rPr>
                                <w:rFonts w:asciiTheme="majorHAnsi" w:hAnsiTheme="majorHAnsi"/>
                                <w:color w:val="0D0D0D" w:themeColor="text1" w:themeTint="F2"/>
                                <w:sz w:val="18"/>
                                <w:szCs w:val="20"/>
                                <w:lang w:val="es-ES"/>
                              </w:rPr>
                              <w:t>abril</w:t>
                            </w:r>
                            <w:r w:rsidR="00EA21C0" w:rsidRPr="00DE6B63">
                              <w:rPr>
                                <w:rFonts w:asciiTheme="majorHAnsi" w:hAnsiTheme="majorHAnsi"/>
                                <w:color w:val="0D0D0D" w:themeColor="text1" w:themeTint="F2"/>
                                <w:sz w:val="18"/>
                                <w:szCs w:val="20"/>
                                <w:lang w:val="es-ES"/>
                              </w:rPr>
                              <w:t xml:space="preserve"> de 2016</w:t>
                            </w:r>
                            <w:r w:rsidRPr="00DE6B63">
                              <w:rPr>
                                <w:rFonts w:asciiTheme="majorHAnsi" w:hAnsiTheme="majorHAnsi"/>
                                <w:color w:val="0D0D0D" w:themeColor="text1" w:themeTint="F2"/>
                                <w:sz w:val="18"/>
                                <w:szCs w:val="20"/>
                                <w:lang w:val="es-ES"/>
                              </w:rPr>
                              <w:br/>
                            </w:r>
                            <w:r w:rsidR="00E90003">
                              <w:rPr>
                                <w:rFonts w:asciiTheme="majorHAnsi" w:hAnsiTheme="majorHAnsi" w:cs="Univers"/>
                                <w:color w:val="0D0D0D" w:themeColor="text1" w:themeTint="F2"/>
                                <w:sz w:val="18"/>
                                <w:szCs w:val="20"/>
                                <w:lang w:val="es-ES_tradnl"/>
                              </w:rPr>
                              <w:t>157</w:t>
                            </w:r>
                            <w:r w:rsidRPr="00DE6B63">
                              <w:rPr>
                                <w:rFonts w:asciiTheme="majorHAnsi" w:hAnsiTheme="majorHAnsi" w:cs="Univers"/>
                                <w:color w:val="0D0D0D" w:themeColor="text1" w:themeTint="F2"/>
                                <w:sz w:val="18"/>
                                <w:szCs w:val="20"/>
                                <w:lang w:val="es-ES_tradnl"/>
                              </w:rPr>
                              <w:t xml:space="preserve"> período ordinario de sesiones</w:t>
                            </w:r>
                            <w:r w:rsidR="00E90003">
                              <w:rPr>
                                <w:rFonts w:asciiTheme="majorHAnsi" w:hAnsiTheme="majorHAnsi" w:cs="Univers"/>
                                <w:color w:val="0D0D0D" w:themeColor="text1" w:themeTint="F2"/>
                                <w:sz w:val="18"/>
                                <w:szCs w:val="20"/>
                                <w:lang w:val="es-ES_tradnl"/>
                              </w:rPr>
                              <w:t>.</w:t>
                            </w:r>
                          </w:p>
                          <w:p w:rsidR="009051ED" w:rsidRPr="00890650" w:rsidRDefault="009051ED" w:rsidP="00DD3D86">
                            <w:pPr>
                              <w:tabs>
                                <w:tab w:val="center" w:pos="5400"/>
                              </w:tabs>
                              <w:suppressAutoHyphens/>
                              <w:spacing w:before="60"/>
                              <w:rPr>
                                <w:rFonts w:asciiTheme="majorHAnsi" w:hAnsiTheme="majorHAnsi"/>
                                <w:color w:val="0D0D0D" w:themeColor="text1" w:themeTint="F2"/>
                                <w:sz w:val="18"/>
                                <w:szCs w:val="22"/>
                                <w:lang w:val="es-ES"/>
                              </w:rPr>
                            </w:pPr>
                          </w:p>
                          <w:p w:rsidR="009051ED" w:rsidRPr="007A5817" w:rsidRDefault="009051ED" w:rsidP="00247403">
                            <w:pPr>
                              <w:tabs>
                                <w:tab w:val="center" w:pos="5400"/>
                              </w:tabs>
                              <w:suppressAutoHyphens/>
                              <w:spacing w:before="60"/>
                              <w:rPr>
                                <w:rFonts w:asciiTheme="minorHAnsi" w:hAnsiTheme="minorHAnsi" w:cs="Univers"/>
                                <w:color w:val="0D0D0D" w:themeColor="text1" w:themeTint="F2"/>
                                <w:sz w:val="20"/>
                                <w:szCs w:val="20"/>
                                <w:lang w:val="es-ES"/>
                              </w:rPr>
                            </w:pPr>
                          </w:p>
                          <w:p w:rsidR="009051ED" w:rsidRPr="00167A34" w:rsidRDefault="009051E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9051ED" w:rsidRPr="00890650" w:rsidRDefault="009051ED"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DE6B63">
                        <w:rPr>
                          <w:rFonts w:asciiTheme="majorHAnsi" w:hAnsiTheme="majorHAnsi"/>
                          <w:color w:val="0D0D0D" w:themeColor="text1" w:themeTint="F2"/>
                          <w:sz w:val="18"/>
                          <w:szCs w:val="20"/>
                          <w:lang w:val="es-ES"/>
                        </w:rPr>
                        <w:t xml:space="preserve">Aprobado por la Comisión en su sesión No. </w:t>
                      </w:r>
                      <w:r w:rsidR="00E90003">
                        <w:rPr>
                          <w:rFonts w:asciiTheme="majorHAnsi" w:hAnsiTheme="majorHAnsi"/>
                          <w:color w:val="0D0D0D" w:themeColor="text1" w:themeTint="F2"/>
                          <w:sz w:val="18"/>
                          <w:szCs w:val="20"/>
                          <w:lang w:val="es-ES"/>
                        </w:rPr>
                        <w:t>2065</w:t>
                      </w:r>
                      <w:r w:rsidRPr="00DE6B63">
                        <w:rPr>
                          <w:rFonts w:asciiTheme="majorHAnsi" w:hAnsiTheme="majorHAnsi"/>
                          <w:color w:val="0D0D0D" w:themeColor="text1" w:themeTint="F2"/>
                          <w:sz w:val="18"/>
                          <w:szCs w:val="20"/>
                          <w:lang w:val="es-ES"/>
                        </w:rPr>
                        <w:t xml:space="preserve"> celebrada el </w:t>
                      </w:r>
                      <w:r w:rsidR="00E90003">
                        <w:rPr>
                          <w:rFonts w:asciiTheme="majorHAnsi" w:hAnsiTheme="majorHAnsi"/>
                          <w:color w:val="0D0D0D" w:themeColor="text1" w:themeTint="F2"/>
                          <w:sz w:val="18"/>
                          <w:szCs w:val="20"/>
                          <w:lang w:val="es-ES"/>
                        </w:rPr>
                        <w:t>15</w:t>
                      </w:r>
                      <w:r w:rsidRPr="00DE6B63">
                        <w:rPr>
                          <w:rFonts w:asciiTheme="majorHAnsi" w:hAnsiTheme="majorHAnsi"/>
                          <w:color w:val="0D0D0D" w:themeColor="text1" w:themeTint="F2"/>
                          <w:sz w:val="18"/>
                          <w:szCs w:val="20"/>
                          <w:lang w:val="es-ES"/>
                        </w:rPr>
                        <w:t xml:space="preserve"> de </w:t>
                      </w:r>
                      <w:r w:rsidR="00E90003">
                        <w:rPr>
                          <w:rFonts w:asciiTheme="majorHAnsi" w:hAnsiTheme="majorHAnsi"/>
                          <w:color w:val="0D0D0D" w:themeColor="text1" w:themeTint="F2"/>
                          <w:sz w:val="18"/>
                          <w:szCs w:val="20"/>
                          <w:lang w:val="es-ES"/>
                        </w:rPr>
                        <w:t>abril</w:t>
                      </w:r>
                      <w:r w:rsidR="00EA21C0" w:rsidRPr="00DE6B63">
                        <w:rPr>
                          <w:rFonts w:asciiTheme="majorHAnsi" w:hAnsiTheme="majorHAnsi"/>
                          <w:color w:val="0D0D0D" w:themeColor="text1" w:themeTint="F2"/>
                          <w:sz w:val="18"/>
                          <w:szCs w:val="20"/>
                          <w:lang w:val="es-ES"/>
                        </w:rPr>
                        <w:t xml:space="preserve"> de 2016</w:t>
                      </w:r>
                      <w:r w:rsidRPr="00DE6B63">
                        <w:rPr>
                          <w:rFonts w:asciiTheme="majorHAnsi" w:hAnsiTheme="majorHAnsi"/>
                          <w:color w:val="0D0D0D" w:themeColor="text1" w:themeTint="F2"/>
                          <w:sz w:val="18"/>
                          <w:szCs w:val="20"/>
                          <w:lang w:val="es-ES"/>
                        </w:rPr>
                        <w:br/>
                      </w:r>
                      <w:r w:rsidR="00E90003">
                        <w:rPr>
                          <w:rFonts w:asciiTheme="majorHAnsi" w:hAnsiTheme="majorHAnsi" w:cs="Univers"/>
                          <w:color w:val="0D0D0D" w:themeColor="text1" w:themeTint="F2"/>
                          <w:sz w:val="18"/>
                          <w:szCs w:val="20"/>
                          <w:lang w:val="es-ES_tradnl"/>
                        </w:rPr>
                        <w:t>157</w:t>
                      </w:r>
                      <w:r w:rsidRPr="00DE6B63">
                        <w:rPr>
                          <w:rFonts w:asciiTheme="majorHAnsi" w:hAnsiTheme="majorHAnsi" w:cs="Univers"/>
                          <w:color w:val="0D0D0D" w:themeColor="text1" w:themeTint="F2"/>
                          <w:sz w:val="18"/>
                          <w:szCs w:val="20"/>
                          <w:lang w:val="es-ES_tradnl"/>
                        </w:rPr>
                        <w:t xml:space="preserve"> período ordinario de sesiones</w:t>
                      </w:r>
                      <w:r w:rsidR="00E90003">
                        <w:rPr>
                          <w:rFonts w:asciiTheme="majorHAnsi" w:hAnsiTheme="majorHAnsi" w:cs="Univers"/>
                          <w:color w:val="0D0D0D" w:themeColor="text1" w:themeTint="F2"/>
                          <w:sz w:val="18"/>
                          <w:szCs w:val="20"/>
                          <w:lang w:val="es-ES_tradnl"/>
                        </w:rPr>
                        <w:t>.</w:t>
                      </w:r>
                    </w:p>
                    <w:p w:rsidR="009051ED" w:rsidRPr="00890650" w:rsidRDefault="009051ED" w:rsidP="00DD3D86">
                      <w:pPr>
                        <w:tabs>
                          <w:tab w:val="center" w:pos="5400"/>
                        </w:tabs>
                        <w:suppressAutoHyphens/>
                        <w:spacing w:before="60"/>
                        <w:rPr>
                          <w:rFonts w:asciiTheme="majorHAnsi" w:hAnsiTheme="majorHAnsi"/>
                          <w:color w:val="0D0D0D" w:themeColor="text1" w:themeTint="F2"/>
                          <w:sz w:val="18"/>
                          <w:szCs w:val="22"/>
                          <w:lang w:val="es-ES"/>
                        </w:rPr>
                      </w:pPr>
                    </w:p>
                    <w:p w:rsidR="009051ED" w:rsidRPr="007A5817" w:rsidRDefault="009051ED" w:rsidP="00247403">
                      <w:pPr>
                        <w:tabs>
                          <w:tab w:val="center" w:pos="5400"/>
                        </w:tabs>
                        <w:suppressAutoHyphens/>
                        <w:spacing w:before="60"/>
                        <w:rPr>
                          <w:rFonts w:asciiTheme="minorHAnsi" w:hAnsiTheme="minorHAnsi" w:cs="Univers"/>
                          <w:color w:val="0D0D0D" w:themeColor="text1" w:themeTint="F2"/>
                          <w:sz w:val="20"/>
                          <w:szCs w:val="20"/>
                          <w:lang w:val="es-ES"/>
                        </w:rPr>
                      </w:pPr>
                    </w:p>
                    <w:p w:rsidR="009051ED" w:rsidRPr="00167A34" w:rsidRDefault="009051E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51ED" w:rsidRPr="0063685A" w:rsidRDefault="009051ED" w:rsidP="00113F73">
                            <w:pPr>
                              <w:spacing w:line="276" w:lineRule="auto"/>
                              <w:rPr>
                                <w:rFonts w:asciiTheme="majorHAnsi" w:hAnsiTheme="majorHAnsi"/>
                                <w:color w:val="595959" w:themeColor="text1" w:themeTint="A6"/>
                                <w:sz w:val="18"/>
                                <w:szCs w:val="18"/>
                                <w:lang w:val="es-ES"/>
                              </w:rPr>
                            </w:pPr>
                            <w:r w:rsidRPr="00E90003">
                              <w:rPr>
                                <w:rFonts w:asciiTheme="majorHAnsi" w:hAnsiTheme="majorHAnsi"/>
                                <w:b/>
                                <w:color w:val="595959" w:themeColor="text1" w:themeTint="A6"/>
                                <w:sz w:val="18"/>
                                <w:szCs w:val="18"/>
                                <w:lang w:val="es-ES"/>
                              </w:rPr>
                              <w:t>Citar como:</w:t>
                            </w:r>
                            <w:r w:rsidRPr="00E90003">
                              <w:rPr>
                                <w:rFonts w:asciiTheme="majorHAnsi" w:hAnsiTheme="majorHAnsi"/>
                                <w:color w:val="595959" w:themeColor="text1" w:themeTint="A6"/>
                                <w:sz w:val="18"/>
                                <w:szCs w:val="18"/>
                                <w:lang w:val="es-ES"/>
                              </w:rPr>
                              <w:t xml:space="preserve"> CIDH, Informe No. </w:t>
                            </w:r>
                            <w:r w:rsidR="00E90003">
                              <w:rPr>
                                <w:rFonts w:asciiTheme="majorHAnsi" w:hAnsiTheme="majorHAnsi"/>
                                <w:color w:val="595959" w:themeColor="text1" w:themeTint="A6"/>
                                <w:sz w:val="18"/>
                                <w:szCs w:val="18"/>
                                <w:lang w:val="es-ES_tradnl"/>
                              </w:rPr>
                              <w:t>17</w:t>
                            </w:r>
                            <w:r w:rsidR="004F590F">
                              <w:rPr>
                                <w:rFonts w:asciiTheme="majorHAnsi" w:hAnsiTheme="majorHAnsi"/>
                                <w:color w:val="595959" w:themeColor="text1" w:themeTint="A6"/>
                                <w:sz w:val="18"/>
                                <w:szCs w:val="18"/>
                                <w:lang w:val="es-ES_tradnl"/>
                              </w:rPr>
                              <w:t>/16</w:t>
                            </w:r>
                            <w:r w:rsidR="00EA21C0">
                              <w:rPr>
                                <w:rFonts w:asciiTheme="majorHAnsi" w:hAnsiTheme="majorHAnsi"/>
                                <w:color w:val="595959" w:themeColor="text1" w:themeTint="A6"/>
                                <w:sz w:val="18"/>
                                <w:szCs w:val="18"/>
                                <w:lang w:val="es-ES_tradnl"/>
                              </w:rPr>
                              <w:t xml:space="preserve">, Petición 1132-06. </w:t>
                            </w:r>
                            <w:r w:rsidRPr="00890650">
                              <w:rPr>
                                <w:rFonts w:asciiTheme="majorHAnsi" w:hAnsiTheme="majorHAnsi"/>
                                <w:color w:val="595959" w:themeColor="text1" w:themeTint="A6"/>
                                <w:sz w:val="18"/>
                                <w:szCs w:val="18"/>
                                <w:lang w:val="es-ES_tradnl"/>
                              </w:rPr>
                              <w:t xml:space="preserve">Admisibilidad. </w:t>
                            </w:r>
                            <w:r w:rsidR="00EA21C0">
                              <w:rPr>
                                <w:rFonts w:asciiTheme="majorHAnsi" w:hAnsiTheme="majorHAnsi"/>
                                <w:color w:val="595959" w:themeColor="text1" w:themeTint="A6"/>
                                <w:sz w:val="18"/>
                                <w:szCs w:val="18"/>
                                <w:lang w:val="es-ES_tradnl"/>
                              </w:rPr>
                              <w:t>Hortencia Neyid Tunja Cuchumbe y otros</w:t>
                            </w:r>
                            <w:r w:rsidR="00E90003">
                              <w:rPr>
                                <w:rFonts w:asciiTheme="majorHAnsi" w:hAnsiTheme="majorHAnsi"/>
                                <w:color w:val="595959" w:themeColor="text1" w:themeTint="A6"/>
                                <w:sz w:val="18"/>
                                <w:szCs w:val="18"/>
                                <w:lang w:val="es-ES_tradnl"/>
                              </w:rPr>
                              <w:t xml:space="preserve">. </w:t>
                            </w:r>
                            <w:r w:rsidR="007B557F">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E90003">
                              <w:rPr>
                                <w:rFonts w:asciiTheme="majorHAnsi" w:hAnsiTheme="majorHAnsi"/>
                                <w:color w:val="595959" w:themeColor="text1" w:themeTint="A6"/>
                                <w:sz w:val="18"/>
                                <w:szCs w:val="18"/>
                                <w:lang w:val="es-ES"/>
                              </w:rPr>
                              <w:t>15 de abril de 2016</w:t>
                            </w:r>
                            <w:r w:rsidRPr="0063685A">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9051ED" w:rsidRPr="0063685A" w:rsidRDefault="009051ED" w:rsidP="00113F73">
                      <w:pPr>
                        <w:spacing w:line="276" w:lineRule="auto"/>
                        <w:rPr>
                          <w:rFonts w:asciiTheme="majorHAnsi" w:hAnsiTheme="majorHAnsi"/>
                          <w:color w:val="595959" w:themeColor="text1" w:themeTint="A6"/>
                          <w:sz w:val="18"/>
                          <w:szCs w:val="18"/>
                          <w:lang w:val="es-ES"/>
                        </w:rPr>
                      </w:pPr>
                      <w:r w:rsidRPr="00E90003">
                        <w:rPr>
                          <w:rFonts w:asciiTheme="majorHAnsi" w:hAnsiTheme="majorHAnsi"/>
                          <w:b/>
                          <w:color w:val="595959" w:themeColor="text1" w:themeTint="A6"/>
                          <w:sz w:val="18"/>
                          <w:szCs w:val="18"/>
                          <w:lang w:val="es-ES"/>
                        </w:rPr>
                        <w:t>Citar como:</w:t>
                      </w:r>
                      <w:r w:rsidRPr="00E90003">
                        <w:rPr>
                          <w:rFonts w:asciiTheme="majorHAnsi" w:hAnsiTheme="majorHAnsi"/>
                          <w:color w:val="595959" w:themeColor="text1" w:themeTint="A6"/>
                          <w:sz w:val="18"/>
                          <w:szCs w:val="18"/>
                          <w:lang w:val="es-ES"/>
                        </w:rPr>
                        <w:t xml:space="preserve"> CIDH, Informe No. </w:t>
                      </w:r>
                      <w:r w:rsidR="00E90003">
                        <w:rPr>
                          <w:rFonts w:asciiTheme="majorHAnsi" w:hAnsiTheme="majorHAnsi"/>
                          <w:color w:val="595959" w:themeColor="text1" w:themeTint="A6"/>
                          <w:sz w:val="18"/>
                          <w:szCs w:val="18"/>
                          <w:lang w:val="es-ES_tradnl"/>
                        </w:rPr>
                        <w:t>17</w:t>
                      </w:r>
                      <w:r w:rsidR="004F590F">
                        <w:rPr>
                          <w:rFonts w:asciiTheme="majorHAnsi" w:hAnsiTheme="majorHAnsi"/>
                          <w:color w:val="595959" w:themeColor="text1" w:themeTint="A6"/>
                          <w:sz w:val="18"/>
                          <w:szCs w:val="18"/>
                          <w:lang w:val="es-ES_tradnl"/>
                        </w:rPr>
                        <w:t>/16</w:t>
                      </w:r>
                      <w:r w:rsidR="00EA21C0">
                        <w:rPr>
                          <w:rFonts w:asciiTheme="majorHAnsi" w:hAnsiTheme="majorHAnsi"/>
                          <w:color w:val="595959" w:themeColor="text1" w:themeTint="A6"/>
                          <w:sz w:val="18"/>
                          <w:szCs w:val="18"/>
                          <w:lang w:val="es-ES_tradnl"/>
                        </w:rPr>
                        <w:t xml:space="preserve">, Petición 1132-06. </w:t>
                      </w:r>
                      <w:r w:rsidRPr="00890650">
                        <w:rPr>
                          <w:rFonts w:asciiTheme="majorHAnsi" w:hAnsiTheme="majorHAnsi"/>
                          <w:color w:val="595959" w:themeColor="text1" w:themeTint="A6"/>
                          <w:sz w:val="18"/>
                          <w:szCs w:val="18"/>
                          <w:lang w:val="es-ES_tradnl"/>
                        </w:rPr>
                        <w:t xml:space="preserve">Admisibilidad. </w:t>
                      </w:r>
                      <w:r w:rsidR="00EA21C0">
                        <w:rPr>
                          <w:rFonts w:asciiTheme="majorHAnsi" w:hAnsiTheme="majorHAnsi"/>
                          <w:color w:val="595959" w:themeColor="text1" w:themeTint="A6"/>
                          <w:sz w:val="18"/>
                          <w:szCs w:val="18"/>
                          <w:lang w:val="es-ES_tradnl"/>
                        </w:rPr>
                        <w:t>Hortencia Neyid Tunja Cuchumbe y otros</w:t>
                      </w:r>
                      <w:r w:rsidR="00E90003">
                        <w:rPr>
                          <w:rFonts w:asciiTheme="majorHAnsi" w:hAnsiTheme="majorHAnsi"/>
                          <w:color w:val="595959" w:themeColor="text1" w:themeTint="A6"/>
                          <w:sz w:val="18"/>
                          <w:szCs w:val="18"/>
                          <w:lang w:val="es-ES_tradnl"/>
                        </w:rPr>
                        <w:t xml:space="preserve">. </w:t>
                      </w:r>
                      <w:r w:rsidR="007B557F">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E90003">
                        <w:rPr>
                          <w:rFonts w:asciiTheme="majorHAnsi" w:hAnsiTheme="majorHAnsi"/>
                          <w:color w:val="595959" w:themeColor="text1" w:themeTint="A6"/>
                          <w:sz w:val="18"/>
                          <w:szCs w:val="18"/>
                          <w:lang w:val="es-ES"/>
                        </w:rPr>
                        <w:t>15 de abril de 2016</w:t>
                      </w:r>
                      <w:r w:rsidRPr="0063685A">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51ED" w:rsidRPr="00D72DC6" w:rsidRDefault="009051E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9051ED" w:rsidRPr="00D72DC6" w:rsidRDefault="009051E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51ED" w:rsidRPr="004B7EB6" w:rsidRDefault="009051E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9051ED" w:rsidRPr="004B7EB6" w:rsidRDefault="009051E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722C9F" w:rsidRDefault="0063685A"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 xml:space="preserve">INFORME No. </w:t>
      </w:r>
      <w:r w:rsidR="00E90003">
        <w:rPr>
          <w:rFonts w:asciiTheme="majorHAnsi" w:hAnsiTheme="majorHAnsi"/>
          <w:b/>
          <w:sz w:val="18"/>
          <w:szCs w:val="20"/>
          <w:lang w:val="es-ES_tradnl"/>
        </w:rPr>
        <w:t>17</w:t>
      </w:r>
      <w:r>
        <w:rPr>
          <w:rFonts w:asciiTheme="majorHAnsi" w:hAnsiTheme="majorHAnsi"/>
          <w:b/>
          <w:sz w:val="18"/>
          <w:szCs w:val="20"/>
          <w:lang w:val="es-ES_tradnl"/>
        </w:rPr>
        <w:t>/1</w:t>
      </w:r>
      <w:r w:rsidR="00AD528E">
        <w:rPr>
          <w:rFonts w:asciiTheme="majorHAnsi" w:hAnsiTheme="majorHAnsi"/>
          <w:b/>
          <w:sz w:val="18"/>
          <w:szCs w:val="20"/>
          <w:lang w:val="es-ES_tradnl"/>
        </w:rPr>
        <w:t>6</w:t>
      </w:r>
    </w:p>
    <w:p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t xml:space="preserve">PETICIÓN </w:t>
      </w:r>
      <w:r w:rsidR="00B577E2">
        <w:rPr>
          <w:rFonts w:asciiTheme="majorHAnsi" w:hAnsiTheme="majorHAnsi"/>
          <w:b/>
          <w:sz w:val="18"/>
          <w:szCs w:val="20"/>
          <w:lang w:val="es-ES_tradnl"/>
        </w:rPr>
        <w:t>1132-06</w:t>
      </w:r>
      <w:r w:rsidR="00544712">
        <w:rPr>
          <w:rStyle w:val="FootnoteReference"/>
          <w:rFonts w:asciiTheme="majorHAnsi" w:hAnsiTheme="majorHAnsi"/>
          <w:b/>
          <w:sz w:val="18"/>
          <w:szCs w:val="20"/>
          <w:lang w:val="es-ES_tradnl"/>
        </w:rPr>
        <w:footnoteReference w:id="2"/>
      </w:r>
    </w:p>
    <w:p w:rsidR="00722C9F" w:rsidRPr="00722C9F" w:rsidRDefault="006E0457"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INFORME DE ADMISIBILIDAD</w:t>
      </w:r>
    </w:p>
    <w:p w:rsidR="00722C9F" w:rsidRPr="00722C9F" w:rsidRDefault="0038413E" w:rsidP="0038413E">
      <w:pPr>
        <w:tabs>
          <w:tab w:val="center" w:pos="5400"/>
        </w:tabs>
        <w:suppressAutoHyphens/>
        <w:spacing w:line="276" w:lineRule="auto"/>
        <w:jc w:val="center"/>
        <w:rPr>
          <w:rFonts w:asciiTheme="majorHAnsi" w:hAnsiTheme="majorHAnsi"/>
          <w:sz w:val="18"/>
          <w:szCs w:val="20"/>
          <w:lang w:val="es-ES_tradnl"/>
        </w:rPr>
      </w:pPr>
      <w:r w:rsidRPr="0038413E">
        <w:rPr>
          <w:rFonts w:asciiTheme="majorHAnsi" w:hAnsiTheme="majorHAnsi"/>
          <w:sz w:val="18"/>
          <w:szCs w:val="20"/>
          <w:lang w:val="es-ES_tradnl"/>
        </w:rPr>
        <w:t>HORTENCIA NEYID TUNJA CUCHUMBE Y OTROS</w:t>
      </w:r>
    </w:p>
    <w:p w:rsidR="0070697F" w:rsidRDefault="0038413E"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COLOMBIA</w:t>
      </w:r>
    </w:p>
    <w:p w:rsidR="00722C9F" w:rsidRDefault="00E90003"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15 DE ABRIL DE 2016</w:t>
      </w:r>
    </w:p>
    <w:p w:rsidR="00547D7F" w:rsidRDefault="00547D7F" w:rsidP="00AE2982">
      <w:pPr>
        <w:tabs>
          <w:tab w:val="center" w:pos="5400"/>
        </w:tabs>
        <w:suppressAutoHyphens/>
        <w:spacing w:line="276" w:lineRule="auto"/>
        <w:rPr>
          <w:rFonts w:asciiTheme="majorHAnsi" w:hAnsiTheme="majorHAnsi"/>
          <w:sz w:val="18"/>
          <w:szCs w:val="20"/>
          <w:lang w:val="es-ES_tradnl"/>
        </w:rPr>
      </w:pPr>
    </w:p>
    <w:p w:rsidR="00AD528E" w:rsidRDefault="00AD528E" w:rsidP="00AE2982">
      <w:pPr>
        <w:tabs>
          <w:tab w:val="center" w:pos="5400"/>
        </w:tabs>
        <w:suppressAutoHyphens/>
        <w:spacing w:line="276" w:lineRule="auto"/>
        <w:rPr>
          <w:rFonts w:asciiTheme="majorHAnsi" w:hAnsiTheme="majorHAnsi"/>
          <w:sz w:val="18"/>
          <w:szCs w:val="20"/>
          <w:lang w:val="es-ES_tradnl"/>
        </w:rPr>
      </w:pPr>
    </w:p>
    <w:p w:rsidR="0063685A" w:rsidRDefault="0063685A" w:rsidP="00AD528E">
      <w:pPr>
        <w:ind w:firstLine="720"/>
        <w:jc w:val="both"/>
        <w:rPr>
          <w:rFonts w:asciiTheme="majorHAnsi" w:hAnsiTheme="majorHAnsi"/>
          <w:b/>
          <w:bCs/>
          <w:sz w:val="20"/>
          <w:szCs w:val="20"/>
          <w:lang w:val="es-UY"/>
        </w:rPr>
      </w:pPr>
      <w:r w:rsidRPr="0063685A">
        <w:rPr>
          <w:rFonts w:asciiTheme="majorHAnsi" w:hAnsiTheme="majorHAnsi"/>
          <w:b/>
          <w:bCs/>
          <w:sz w:val="20"/>
          <w:szCs w:val="20"/>
          <w:lang w:val="es-UY"/>
        </w:rPr>
        <w:t>I.</w:t>
      </w:r>
      <w:r w:rsidRPr="0063685A">
        <w:rPr>
          <w:rFonts w:asciiTheme="majorHAnsi" w:hAnsiTheme="majorHAnsi"/>
          <w:b/>
          <w:bCs/>
          <w:sz w:val="20"/>
          <w:szCs w:val="20"/>
          <w:lang w:val="es-UY"/>
        </w:rPr>
        <w:tab/>
        <w:t>RESUMEN</w:t>
      </w:r>
    </w:p>
    <w:p w:rsidR="00AD528E" w:rsidRPr="0063685A" w:rsidRDefault="00AD528E" w:rsidP="00AD528E">
      <w:pPr>
        <w:ind w:firstLine="720"/>
        <w:jc w:val="both"/>
        <w:rPr>
          <w:rFonts w:asciiTheme="majorHAnsi" w:hAnsiTheme="majorHAnsi"/>
          <w:b/>
          <w:bCs/>
          <w:sz w:val="20"/>
          <w:szCs w:val="20"/>
          <w:lang w:val="es-UY"/>
        </w:rPr>
      </w:pPr>
    </w:p>
    <w:p w:rsidR="00547D7F" w:rsidRPr="00B47A60" w:rsidRDefault="008E79BF" w:rsidP="00AD52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B47A60">
        <w:rPr>
          <w:rFonts w:asciiTheme="majorHAnsi" w:hAnsiTheme="majorHAnsi"/>
          <w:sz w:val="20"/>
          <w:szCs w:val="20"/>
          <w:lang w:val="es-UY"/>
        </w:rPr>
        <w:t xml:space="preserve">El 19 de octubre de 2006 </w:t>
      </w:r>
      <w:r w:rsidR="0063685A" w:rsidRPr="00B47A60">
        <w:rPr>
          <w:rFonts w:asciiTheme="majorHAnsi" w:hAnsiTheme="majorHAnsi"/>
          <w:sz w:val="20"/>
          <w:szCs w:val="20"/>
          <w:lang w:val="es-UY"/>
        </w:rPr>
        <w:t>la Comisión Interamericana de Derechos Humanos (en adelante, “la Comisión Interamericana”</w:t>
      </w:r>
      <w:r w:rsidR="00182D70" w:rsidRPr="00B47A60">
        <w:rPr>
          <w:rFonts w:asciiTheme="majorHAnsi" w:hAnsiTheme="majorHAnsi"/>
          <w:sz w:val="20"/>
          <w:szCs w:val="20"/>
          <w:lang w:val="es-UY"/>
        </w:rPr>
        <w:t>, “la Comisión”</w:t>
      </w:r>
      <w:r w:rsidR="0063685A" w:rsidRPr="00B47A60">
        <w:rPr>
          <w:rFonts w:asciiTheme="majorHAnsi" w:hAnsiTheme="majorHAnsi"/>
          <w:sz w:val="20"/>
          <w:szCs w:val="20"/>
          <w:lang w:val="es-UY"/>
        </w:rPr>
        <w:t xml:space="preserve"> o “la CIDH”) recibió una petición pre</w:t>
      </w:r>
      <w:r w:rsidR="00FC547C" w:rsidRPr="00B47A60">
        <w:rPr>
          <w:rFonts w:asciiTheme="majorHAnsi" w:hAnsiTheme="majorHAnsi"/>
          <w:sz w:val="20"/>
          <w:szCs w:val="20"/>
          <w:lang w:val="es-UY"/>
        </w:rPr>
        <w:t>sentada por la Comisión Intereclesial de Justicia y Paz (en adelante, “</w:t>
      </w:r>
      <w:r w:rsidR="0063685A" w:rsidRPr="00B47A60">
        <w:rPr>
          <w:rFonts w:asciiTheme="majorHAnsi" w:hAnsiTheme="majorHAnsi"/>
          <w:sz w:val="20"/>
          <w:szCs w:val="20"/>
          <w:lang w:val="es-UY"/>
        </w:rPr>
        <w:t xml:space="preserve">los peticionarios”) contra </w:t>
      </w:r>
      <w:r w:rsidR="00B0531B">
        <w:rPr>
          <w:rFonts w:asciiTheme="majorHAnsi" w:hAnsiTheme="majorHAnsi"/>
          <w:sz w:val="20"/>
          <w:szCs w:val="20"/>
          <w:lang w:val="es-UY"/>
        </w:rPr>
        <w:t xml:space="preserve">el Estado de </w:t>
      </w:r>
      <w:r w:rsidR="00FC547C" w:rsidRPr="00B47A60">
        <w:rPr>
          <w:rFonts w:asciiTheme="majorHAnsi" w:hAnsiTheme="majorHAnsi"/>
          <w:sz w:val="20"/>
          <w:szCs w:val="20"/>
          <w:lang w:val="es-UY"/>
        </w:rPr>
        <w:t>Colombia</w:t>
      </w:r>
      <w:r w:rsidR="0063685A" w:rsidRPr="00B47A60">
        <w:rPr>
          <w:rFonts w:asciiTheme="majorHAnsi" w:hAnsiTheme="majorHAnsi"/>
          <w:sz w:val="20"/>
          <w:szCs w:val="20"/>
          <w:lang w:val="es-UY"/>
        </w:rPr>
        <w:t xml:space="preserve"> (en adelante, “</w:t>
      </w:r>
      <w:r w:rsidR="00FC547C" w:rsidRPr="00B47A60">
        <w:rPr>
          <w:rFonts w:asciiTheme="majorHAnsi" w:hAnsiTheme="majorHAnsi"/>
          <w:sz w:val="20"/>
          <w:szCs w:val="20"/>
          <w:lang w:val="es-UY"/>
        </w:rPr>
        <w:t>Colombia</w:t>
      </w:r>
      <w:r w:rsidR="0063685A" w:rsidRPr="00B47A60">
        <w:rPr>
          <w:rFonts w:asciiTheme="majorHAnsi" w:hAnsiTheme="majorHAnsi"/>
          <w:sz w:val="20"/>
          <w:szCs w:val="20"/>
          <w:lang w:val="es-UY"/>
        </w:rPr>
        <w:t xml:space="preserve">” o “el Estado”). La petición fue presentada en representación de </w:t>
      </w:r>
      <w:r w:rsidR="00FC547C" w:rsidRPr="00B47A60">
        <w:rPr>
          <w:rFonts w:asciiTheme="majorHAnsi" w:hAnsiTheme="majorHAnsi"/>
          <w:sz w:val="20"/>
          <w:szCs w:val="20"/>
          <w:lang w:val="es-UY"/>
        </w:rPr>
        <w:t xml:space="preserve">Hortencia Neyid Tunja Cuchumbe, Manuel Antonio Tao Pillimué y Willian José Cunacue Medina </w:t>
      </w:r>
      <w:r w:rsidR="0063685A" w:rsidRPr="00B47A60">
        <w:rPr>
          <w:rFonts w:asciiTheme="majorHAnsi" w:hAnsiTheme="majorHAnsi"/>
          <w:sz w:val="20"/>
          <w:szCs w:val="20"/>
          <w:lang w:val="es-UY"/>
        </w:rPr>
        <w:t>(en adelante, “la</w:t>
      </w:r>
      <w:r w:rsidR="00FC547C" w:rsidRPr="00B47A60">
        <w:rPr>
          <w:rFonts w:asciiTheme="majorHAnsi" w:hAnsiTheme="majorHAnsi"/>
          <w:sz w:val="20"/>
          <w:szCs w:val="20"/>
          <w:lang w:val="es-UY"/>
        </w:rPr>
        <w:t>s</w:t>
      </w:r>
      <w:r w:rsidR="0063685A" w:rsidRPr="00B47A60">
        <w:rPr>
          <w:rFonts w:asciiTheme="majorHAnsi" w:hAnsiTheme="majorHAnsi"/>
          <w:sz w:val="20"/>
          <w:szCs w:val="20"/>
          <w:lang w:val="es-UY"/>
        </w:rPr>
        <w:t xml:space="preserve"> presunta</w:t>
      </w:r>
      <w:r w:rsidR="00FC547C" w:rsidRPr="00B47A60">
        <w:rPr>
          <w:rFonts w:asciiTheme="majorHAnsi" w:hAnsiTheme="majorHAnsi"/>
          <w:sz w:val="20"/>
          <w:szCs w:val="20"/>
          <w:lang w:val="es-UY"/>
        </w:rPr>
        <w:t>s</w:t>
      </w:r>
      <w:r w:rsidR="0063685A" w:rsidRPr="00B47A60">
        <w:rPr>
          <w:rFonts w:asciiTheme="majorHAnsi" w:hAnsiTheme="majorHAnsi"/>
          <w:sz w:val="20"/>
          <w:szCs w:val="20"/>
          <w:lang w:val="es-UY"/>
        </w:rPr>
        <w:t xml:space="preserve"> víctima</w:t>
      </w:r>
      <w:r w:rsidR="00FC547C" w:rsidRPr="00B47A60">
        <w:rPr>
          <w:rFonts w:asciiTheme="majorHAnsi" w:hAnsiTheme="majorHAnsi"/>
          <w:sz w:val="20"/>
          <w:szCs w:val="20"/>
          <w:lang w:val="es-UY"/>
        </w:rPr>
        <w:t>s”</w:t>
      </w:r>
      <w:r w:rsidR="0063685A" w:rsidRPr="00B47A60">
        <w:rPr>
          <w:rFonts w:asciiTheme="majorHAnsi" w:hAnsiTheme="majorHAnsi"/>
          <w:sz w:val="20"/>
          <w:szCs w:val="20"/>
          <w:lang w:val="es-UY"/>
        </w:rPr>
        <w:t>)</w:t>
      </w:r>
      <w:r w:rsidRPr="00B47A60">
        <w:rPr>
          <w:rFonts w:asciiTheme="majorHAnsi" w:hAnsiTheme="majorHAnsi"/>
          <w:sz w:val="20"/>
          <w:szCs w:val="20"/>
          <w:lang w:val="es-UY"/>
        </w:rPr>
        <w:t>, así</w:t>
      </w:r>
      <w:r w:rsidR="00D10221" w:rsidRPr="00B47A60">
        <w:rPr>
          <w:rFonts w:asciiTheme="majorHAnsi" w:hAnsiTheme="majorHAnsi"/>
          <w:sz w:val="20"/>
          <w:szCs w:val="20"/>
          <w:lang w:val="es-UY"/>
        </w:rPr>
        <w:t xml:space="preserve"> como sus familiares</w:t>
      </w:r>
      <w:r w:rsidR="00D10221" w:rsidRPr="00BA1F3A">
        <w:rPr>
          <w:rFonts w:asciiTheme="majorHAnsi" w:hAnsiTheme="majorHAnsi"/>
          <w:sz w:val="20"/>
          <w:szCs w:val="20"/>
          <w:lang w:val="es-UY"/>
        </w:rPr>
        <w:t xml:space="preserve">, por la alegada ejecución extrajudicial de </w:t>
      </w:r>
      <w:r w:rsidR="00E8592B" w:rsidRPr="00BA1F3A">
        <w:rPr>
          <w:rFonts w:asciiTheme="majorHAnsi" w:hAnsiTheme="majorHAnsi"/>
          <w:sz w:val="20"/>
          <w:szCs w:val="20"/>
          <w:lang w:val="es-UY"/>
        </w:rPr>
        <w:t>los dos primeros y</w:t>
      </w:r>
      <w:r w:rsidR="00B47A60" w:rsidRPr="00BA1F3A">
        <w:rPr>
          <w:rFonts w:asciiTheme="majorHAnsi" w:hAnsiTheme="majorHAnsi"/>
          <w:sz w:val="20"/>
          <w:szCs w:val="20"/>
          <w:lang w:val="es-UY"/>
        </w:rPr>
        <w:t xml:space="preserve"> las lesiones de gravedad propinadas </w:t>
      </w:r>
      <w:r w:rsidR="00E8592B" w:rsidRPr="00BA1F3A">
        <w:rPr>
          <w:rFonts w:asciiTheme="majorHAnsi" w:hAnsiTheme="majorHAnsi"/>
          <w:sz w:val="20"/>
          <w:szCs w:val="20"/>
          <w:lang w:val="es-UY"/>
        </w:rPr>
        <w:t xml:space="preserve">a </w:t>
      </w:r>
      <w:r w:rsidR="00B47A60" w:rsidRPr="00BA1F3A">
        <w:rPr>
          <w:rFonts w:asciiTheme="majorHAnsi" w:hAnsiTheme="majorHAnsi"/>
          <w:sz w:val="20"/>
          <w:szCs w:val="20"/>
          <w:lang w:val="es-UY"/>
        </w:rPr>
        <w:t xml:space="preserve">William </w:t>
      </w:r>
      <w:r w:rsidR="00D10221" w:rsidRPr="00BA1F3A">
        <w:rPr>
          <w:rFonts w:asciiTheme="majorHAnsi" w:hAnsiTheme="majorHAnsi"/>
          <w:sz w:val="20"/>
          <w:szCs w:val="20"/>
          <w:lang w:val="es-UY"/>
        </w:rPr>
        <w:t>José Cunacue</w:t>
      </w:r>
      <w:r w:rsidR="00830420">
        <w:rPr>
          <w:rFonts w:asciiTheme="majorHAnsi" w:hAnsiTheme="majorHAnsi"/>
          <w:sz w:val="20"/>
          <w:szCs w:val="20"/>
          <w:lang w:val="es-UY"/>
        </w:rPr>
        <w:t xml:space="preserve">, </w:t>
      </w:r>
      <w:r w:rsidR="00F70C11">
        <w:rPr>
          <w:rFonts w:asciiTheme="majorHAnsi" w:hAnsiTheme="majorHAnsi"/>
          <w:sz w:val="20"/>
          <w:szCs w:val="20"/>
          <w:lang w:val="es-UY"/>
        </w:rPr>
        <w:t>así</w:t>
      </w:r>
      <w:r w:rsidR="00830420">
        <w:rPr>
          <w:rFonts w:asciiTheme="majorHAnsi" w:hAnsiTheme="majorHAnsi"/>
          <w:sz w:val="20"/>
          <w:szCs w:val="20"/>
          <w:lang w:val="es-UY"/>
        </w:rPr>
        <w:t xml:space="preserve"> como la </w:t>
      </w:r>
      <w:r w:rsidR="005F33CF">
        <w:rPr>
          <w:rFonts w:asciiTheme="majorHAnsi" w:hAnsiTheme="majorHAnsi"/>
          <w:sz w:val="20"/>
          <w:szCs w:val="20"/>
          <w:lang w:val="es-UY"/>
        </w:rPr>
        <w:t xml:space="preserve">presunta </w:t>
      </w:r>
      <w:r w:rsidR="00830420">
        <w:rPr>
          <w:rFonts w:asciiTheme="majorHAnsi" w:hAnsiTheme="majorHAnsi"/>
          <w:sz w:val="20"/>
          <w:szCs w:val="20"/>
          <w:lang w:val="es-UY"/>
        </w:rPr>
        <w:t>falta de investigación, sanción y reparación integral por los hechos acaecidos</w:t>
      </w:r>
      <w:r w:rsidR="00B47A60" w:rsidRPr="00BA1F3A">
        <w:rPr>
          <w:rFonts w:asciiTheme="majorHAnsi" w:hAnsiTheme="majorHAnsi"/>
          <w:sz w:val="20"/>
          <w:szCs w:val="20"/>
          <w:lang w:val="es-UY"/>
        </w:rPr>
        <w:t>.</w:t>
      </w:r>
    </w:p>
    <w:p w:rsidR="00B47A60" w:rsidRPr="00B47A60" w:rsidRDefault="00B47A60" w:rsidP="00AD52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UY"/>
        </w:rPr>
      </w:pPr>
    </w:p>
    <w:p w:rsidR="003D0297" w:rsidRPr="008D057C" w:rsidRDefault="00BA1F3A" w:rsidP="00AD52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SimSun" w:hAnsiTheme="majorHAnsi"/>
          <w:sz w:val="20"/>
          <w:szCs w:val="20"/>
          <w:lang w:val="es-UY"/>
        </w:rPr>
      </w:pPr>
      <w:r>
        <w:rPr>
          <w:rFonts w:asciiTheme="majorHAnsi" w:hAnsiTheme="majorHAnsi"/>
          <w:sz w:val="20"/>
          <w:szCs w:val="20"/>
          <w:lang w:val="es-UY"/>
        </w:rPr>
        <w:t>Los</w:t>
      </w:r>
      <w:r w:rsidR="0063685A" w:rsidRPr="008D057C">
        <w:rPr>
          <w:rFonts w:asciiTheme="majorHAnsi" w:hAnsiTheme="majorHAnsi"/>
          <w:sz w:val="20"/>
          <w:szCs w:val="20"/>
          <w:lang w:val="es-UY"/>
        </w:rPr>
        <w:t xml:space="preserve"> peticionario</w:t>
      </w:r>
      <w:r>
        <w:rPr>
          <w:rFonts w:asciiTheme="majorHAnsi" w:hAnsiTheme="majorHAnsi"/>
          <w:sz w:val="20"/>
          <w:szCs w:val="20"/>
          <w:lang w:val="es-UY"/>
        </w:rPr>
        <w:t>s</w:t>
      </w:r>
      <w:r w:rsidR="0063685A" w:rsidRPr="008D057C">
        <w:rPr>
          <w:rFonts w:asciiTheme="majorHAnsi" w:hAnsiTheme="majorHAnsi"/>
          <w:sz w:val="20"/>
          <w:szCs w:val="20"/>
          <w:lang w:val="es-UY"/>
        </w:rPr>
        <w:t xml:space="preserve"> sostiene</w:t>
      </w:r>
      <w:r>
        <w:rPr>
          <w:rFonts w:asciiTheme="majorHAnsi" w:hAnsiTheme="majorHAnsi"/>
          <w:sz w:val="20"/>
          <w:szCs w:val="20"/>
          <w:lang w:val="es-UY"/>
        </w:rPr>
        <w:t>n que</w:t>
      </w:r>
      <w:r w:rsidR="0063685A" w:rsidRPr="008D057C">
        <w:rPr>
          <w:rFonts w:asciiTheme="majorHAnsi" w:hAnsiTheme="majorHAnsi"/>
          <w:sz w:val="20"/>
          <w:szCs w:val="20"/>
          <w:lang w:val="es-UY"/>
        </w:rPr>
        <w:t xml:space="preserve"> </w:t>
      </w:r>
      <w:r w:rsidR="008C2F70" w:rsidRPr="008D057C">
        <w:rPr>
          <w:rFonts w:asciiTheme="majorHAnsi" w:hAnsiTheme="majorHAnsi"/>
          <w:sz w:val="20"/>
          <w:szCs w:val="20"/>
          <w:lang w:val="es-UY"/>
        </w:rPr>
        <w:t>Hortencia Neyid Tunja Cuchumbe,</w:t>
      </w:r>
      <w:r w:rsidR="005F33CF">
        <w:rPr>
          <w:rFonts w:asciiTheme="majorHAnsi" w:hAnsiTheme="majorHAnsi"/>
          <w:sz w:val="20"/>
          <w:szCs w:val="20"/>
          <w:lang w:val="es-UY"/>
        </w:rPr>
        <w:t xml:space="preserve"> de 17 a</w:t>
      </w:r>
      <w:r w:rsidR="005F33CF">
        <w:rPr>
          <w:sz w:val="20"/>
          <w:szCs w:val="20"/>
          <w:lang w:val="es-UY"/>
        </w:rPr>
        <w:t>ños,</w:t>
      </w:r>
      <w:r w:rsidR="008C2F70" w:rsidRPr="008D057C">
        <w:rPr>
          <w:rFonts w:asciiTheme="majorHAnsi" w:hAnsiTheme="majorHAnsi"/>
          <w:sz w:val="20"/>
          <w:szCs w:val="20"/>
          <w:lang w:val="es-UY"/>
        </w:rPr>
        <w:t xml:space="preserve"> y Manuel Antonio Tao Pillimué</w:t>
      </w:r>
      <w:r w:rsidR="001F2E7D" w:rsidRPr="008D057C">
        <w:rPr>
          <w:rFonts w:asciiTheme="majorHAnsi" w:hAnsiTheme="majorHAnsi"/>
          <w:sz w:val="20"/>
          <w:szCs w:val="20"/>
          <w:lang w:val="es-UY"/>
        </w:rPr>
        <w:t>,</w:t>
      </w:r>
      <w:r w:rsidR="007B0047" w:rsidRPr="008D057C">
        <w:rPr>
          <w:rFonts w:asciiTheme="majorHAnsi" w:hAnsiTheme="majorHAnsi"/>
          <w:sz w:val="20"/>
          <w:szCs w:val="20"/>
          <w:lang w:val="es-UY"/>
        </w:rPr>
        <w:t xml:space="preserve"> habrían sido</w:t>
      </w:r>
      <w:r w:rsidR="007B0047" w:rsidRPr="008D057C">
        <w:rPr>
          <w:rFonts w:asciiTheme="majorHAnsi" w:eastAsia="SimSun" w:hAnsiTheme="majorHAnsi"/>
          <w:sz w:val="20"/>
          <w:szCs w:val="20"/>
          <w:lang w:val="es-UY"/>
        </w:rPr>
        <w:t xml:space="preserve"> e</w:t>
      </w:r>
      <w:r w:rsidR="00E625A9">
        <w:rPr>
          <w:rFonts w:asciiTheme="majorHAnsi" w:hAnsiTheme="majorHAnsi"/>
          <w:sz w:val="20"/>
          <w:szCs w:val="20"/>
          <w:lang w:val="es-UY"/>
        </w:rPr>
        <w:t>jecutados por miembros del e</w:t>
      </w:r>
      <w:r w:rsidR="007B0047" w:rsidRPr="008D057C">
        <w:rPr>
          <w:rFonts w:asciiTheme="majorHAnsi" w:hAnsiTheme="majorHAnsi"/>
          <w:sz w:val="20"/>
          <w:szCs w:val="20"/>
          <w:lang w:val="es-UY"/>
        </w:rPr>
        <w:t>jército, que habrían alterado la escena del crimen y cambiado sus ve</w:t>
      </w:r>
      <w:r w:rsidR="00842241">
        <w:rPr>
          <w:rFonts w:asciiTheme="majorHAnsi" w:hAnsiTheme="majorHAnsi"/>
          <w:sz w:val="20"/>
          <w:szCs w:val="20"/>
          <w:lang w:val="es-UY"/>
        </w:rPr>
        <w:t>stimentas, para poder reportarle</w:t>
      </w:r>
      <w:r w:rsidR="007B0047" w:rsidRPr="008D057C">
        <w:rPr>
          <w:rFonts w:asciiTheme="majorHAnsi" w:hAnsiTheme="majorHAnsi"/>
          <w:sz w:val="20"/>
          <w:szCs w:val="20"/>
          <w:lang w:val="es-UY"/>
        </w:rPr>
        <w:t xml:space="preserve">s como miembros de grupos guerrilleros que habrían sido dados de baja en combate, y herido de gravedad en los mismos hechos a Willian José Cunacue Medina, quien </w:t>
      </w:r>
      <w:r w:rsidR="00B95E6A" w:rsidRPr="008D057C">
        <w:rPr>
          <w:rFonts w:asciiTheme="majorHAnsi" w:hAnsiTheme="majorHAnsi"/>
          <w:sz w:val="20"/>
          <w:szCs w:val="20"/>
          <w:lang w:val="es-UY"/>
        </w:rPr>
        <w:t>habría</w:t>
      </w:r>
      <w:r w:rsidR="007B0047" w:rsidRPr="008D057C">
        <w:rPr>
          <w:rFonts w:asciiTheme="majorHAnsi" w:hAnsiTheme="majorHAnsi"/>
          <w:sz w:val="20"/>
          <w:szCs w:val="20"/>
          <w:lang w:val="es-UY"/>
        </w:rPr>
        <w:t xml:space="preserve"> logrado huir del lugar, siendo posteriormente </w:t>
      </w:r>
      <w:r w:rsidR="001F2E7D" w:rsidRPr="008D057C">
        <w:rPr>
          <w:rFonts w:asciiTheme="majorHAnsi" w:hAnsiTheme="majorHAnsi"/>
          <w:sz w:val="20"/>
          <w:szCs w:val="20"/>
          <w:lang w:val="es-UY"/>
        </w:rPr>
        <w:t xml:space="preserve">arrestado sin orden judicial y procesado por el delito de rebelión. </w:t>
      </w:r>
      <w:r w:rsidR="005D322D" w:rsidRPr="008D057C">
        <w:rPr>
          <w:rFonts w:asciiTheme="majorHAnsi" w:hAnsiTheme="majorHAnsi"/>
          <w:sz w:val="20"/>
          <w:szCs w:val="20"/>
          <w:lang w:val="es-UY"/>
        </w:rPr>
        <w:t>Alegan</w:t>
      </w:r>
      <w:r w:rsidR="00B77B3C">
        <w:rPr>
          <w:rFonts w:asciiTheme="majorHAnsi" w:hAnsiTheme="majorHAnsi"/>
          <w:sz w:val="20"/>
          <w:szCs w:val="20"/>
          <w:lang w:val="es-UY"/>
        </w:rPr>
        <w:t xml:space="preserve"> que</w:t>
      </w:r>
      <w:r w:rsidR="005D322D" w:rsidRPr="008D057C">
        <w:rPr>
          <w:rFonts w:asciiTheme="majorHAnsi" w:hAnsiTheme="majorHAnsi"/>
          <w:sz w:val="20"/>
          <w:szCs w:val="20"/>
          <w:lang w:val="es-UY"/>
        </w:rPr>
        <w:t xml:space="preserve"> </w:t>
      </w:r>
      <w:r w:rsidR="00321AB6">
        <w:rPr>
          <w:rFonts w:asciiTheme="majorHAnsi" w:hAnsiTheme="majorHAnsi"/>
          <w:sz w:val="20"/>
          <w:szCs w:val="20"/>
          <w:lang w:val="es-UY"/>
        </w:rPr>
        <w:t xml:space="preserve">el Estado no ha dado cumplimiento a sus obligaciones </w:t>
      </w:r>
      <w:r w:rsidR="00321AB6" w:rsidRPr="00BA1F3A">
        <w:rPr>
          <w:rFonts w:asciiTheme="majorHAnsi" w:hAnsiTheme="majorHAnsi"/>
          <w:sz w:val="20"/>
          <w:szCs w:val="20"/>
          <w:lang w:val="es-UY"/>
        </w:rPr>
        <w:t>de investigar, sancionar y reparar</w:t>
      </w:r>
      <w:r w:rsidR="00C0483A">
        <w:rPr>
          <w:rFonts w:asciiTheme="majorHAnsi" w:hAnsiTheme="majorHAnsi"/>
          <w:sz w:val="20"/>
          <w:szCs w:val="20"/>
          <w:lang w:val="es-UY"/>
        </w:rPr>
        <w:t xml:space="preserve"> respecto de los hechos denunciados</w:t>
      </w:r>
      <w:r w:rsidR="000C27BE">
        <w:rPr>
          <w:rFonts w:asciiTheme="majorHAnsi" w:hAnsiTheme="majorHAnsi"/>
          <w:sz w:val="20"/>
          <w:szCs w:val="20"/>
          <w:lang w:val="es-UY"/>
        </w:rPr>
        <w:t>, en particular respecto del proceso penal, el cual aún no ha concluido</w:t>
      </w:r>
      <w:r w:rsidR="00C0483A">
        <w:rPr>
          <w:rFonts w:asciiTheme="majorHAnsi" w:hAnsiTheme="majorHAnsi"/>
          <w:sz w:val="20"/>
          <w:szCs w:val="20"/>
          <w:lang w:val="es-UY"/>
        </w:rPr>
        <w:t>.</w:t>
      </w:r>
    </w:p>
    <w:p w:rsidR="003D0297" w:rsidRDefault="003D0297" w:rsidP="00AD528E">
      <w:pPr>
        <w:pStyle w:val="ListParagraph"/>
        <w:rPr>
          <w:rFonts w:asciiTheme="majorHAnsi" w:eastAsia="SimSun" w:hAnsiTheme="majorHAnsi"/>
          <w:sz w:val="20"/>
          <w:szCs w:val="20"/>
          <w:lang w:val="es-UY"/>
        </w:rPr>
      </w:pPr>
    </w:p>
    <w:p w:rsidR="0063685A" w:rsidRPr="00062B44" w:rsidRDefault="0063685A" w:rsidP="00AD52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SimSun" w:hAnsiTheme="majorHAnsi"/>
          <w:sz w:val="20"/>
          <w:szCs w:val="20"/>
          <w:lang w:val="es-UY"/>
        </w:rPr>
      </w:pPr>
      <w:r w:rsidRPr="00062B44">
        <w:rPr>
          <w:rFonts w:asciiTheme="majorHAnsi" w:eastAsia="SimSun" w:hAnsiTheme="majorHAnsi"/>
          <w:sz w:val="20"/>
          <w:szCs w:val="20"/>
          <w:lang w:val="es-UY"/>
        </w:rPr>
        <w:t>Por s</w:t>
      </w:r>
      <w:r w:rsidR="00CF79E0" w:rsidRPr="00062B44">
        <w:rPr>
          <w:rFonts w:asciiTheme="majorHAnsi" w:eastAsia="SimSun" w:hAnsiTheme="majorHAnsi"/>
          <w:sz w:val="20"/>
          <w:szCs w:val="20"/>
          <w:lang w:val="es-UY"/>
        </w:rPr>
        <w:t>u parte</w:t>
      </w:r>
      <w:r w:rsidR="003E3653">
        <w:rPr>
          <w:rFonts w:asciiTheme="majorHAnsi" w:eastAsia="SimSun" w:hAnsiTheme="majorHAnsi"/>
          <w:sz w:val="20"/>
          <w:szCs w:val="20"/>
          <w:lang w:val="es-UY"/>
        </w:rPr>
        <w:t>,</w:t>
      </w:r>
      <w:r w:rsidR="00CF79E0" w:rsidRPr="00062B44">
        <w:rPr>
          <w:rFonts w:asciiTheme="majorHAnsi" w:eastAsia="SimSun" w:hAnsiTheme="majorHAnsi"/>
          <w:sz w:val="20"/>
          <w:szCs w:val="20"/>
          <w:lang w:val="es-UY"/>
        </w:rPr>
        <w:t xml:space="preserve"> el Estado señala que la petición es</w:t>
      </w:r>
      <w:r w:rsidR="00F00C45">
        <w:rPr>
          <w:rFonts w:asciiTheme="majorHAnsi" w:eastAsia="SimSun" w:hAnsiTheme="majorHAnsi"/>
          <w:sz w:val="20"/>
          <w:szCs w:val="20"/>
          <w:lang w:val="es-UY"/>
        </w:rPr>
        <w:t xml:space="preserve"> inadmisible</w:t>
      </w:r>
      <w:r w:rsidR="00CF79E0" w:rsidRPr="00062B44">
        <w:rPr>
          <w:rFonts w:asciiTheme="majorHAnsi" w:eastAsia="SimSun" w:hAnsiTheme="majorHAnsi"/>
          <w:sz w:val="20"/>
          <w:szCs w:val="20"/>
          <w:lang w:val="es-UY"/>
        </w:rPr>
        <w:t>, pues los representantes de las presuntas víctimas no habrían agotado los recursos ante la justicia penal,</w:t>
      </w:r>
      <w:r w:rsidR="00D00E04">
        <w:rPr>
          <w:rFonts w:asciiTheme="majorHAnsi" w:eastAsia="SimSun" w:hAnsiTheme="majorHAnsi"/>
          <w:sz w:val="20"/>
          <w:szCs w:val="20"/>
          <w:lang w:val="es-UY"/>
        </w:rPr>
        <w:t xml:space="preserve"> </w:t>
      </w:r>
      <w:r w:rsidR="00B77B3C">
        <w:rPr>
          <w:rFonts w:asciiTheme="majorHAnsi" w:eastAsia="SimSun" w:hAnsiTheme="majorHAnsi"/>
          <w:sz w:val="20"/>
          <w:szCs w:val="20"/>
          <w:lang w:val="es-UY"/>
        </w:rPr>
        <w:t>ya que</w:t>
      </w:r>
      <w:r w:rsidR="00D00E04">
        <w:rPr>
          <w:rFonts w:asciiTheme="majorHAnsi" w:eastAsia="SimSun" w:hAnsiTheme="majorHAnsi"/>
          <w:sz w:val="20"/>
          <w:szCs w:val="20"/>
          <w:lang w:val="es-UY"/>
        </w:rPr>
        <w:t xml:space="preserve"> aún existiría un proceso pendiente,</w:t>
      </w:r>
      <w:r w:rsidR="00CF79E0" w:rsidRPr="00062B44">
        <w:rPr>
          <w:rFonts w:asciiTheme="majorHAnsi" w:eastAsia="SimSun" w:hAnsiTheme="majorHAnsi"/>
          <w:sz w:val="20"/>
          <w:szCs w:val="20"/>
          <w:lang w:val="es-UY"/>
        </w:rPr>
        <w:t xml:space="preserve"> y que respecto del proceso </w:t>
      </w:r>
      <w:r w:rsidR="00D00E04">
        <w:rPr>
          <w:rFonts w:asciiTheme="majorHAnsi" w:eastAsia="SimSun" w:hAnsiTheme="majorHAnsi"/>
          <w:sz w:val="20"/>
          <w:szCs w:val="20"/>
          <w:lang w:val="es-UY"/>
        </w:rPr>
        <w:t xml:space="preserve">promovido </w:t>
      </w:r>
      <w:r w:rsidR="00CF79E0" w:rsidRPr="00062B44">
        <w:rPr>
          <w:rFonts w:asciiTheme="majorHAnsi" w:eastAsia="SimSun" w:hAnsiTheme="majorHAnsi"/>
          <w:sz w:val="20"/>
          <w:szCs w:val="20"/>
          <w:lang w:val="es-UY"/>
        </w:rPr>
        <w:t>ante</w:t>
      </w:r>
      <w:r w:rsidR="00062B44">
        <w:rPr>
          <w:rFonts w:asciiTheme="majorHAnsi" w:eastAsia="SimSun" w:hAnsiTheme="majorHAnsi"/>
          <w:sz w:val="20"/>
          <w:szCs w:val="20"/>
          <w:lang w:val="es-UY"/>
        </w:rPr>
        <w:t xml:space="preserve"> la justicia contencioso </w:t>
      </w:r>
      <w:r w:rsidR="00CF79E0" w:rsidRPr="00062B44">
        <w:rPr>
          <w:rFonts w:asciiTheme="majorHAnsi" w:eastAsia="SimSun" w:hAnsiTheme="majorHAnsi"/>
          <w:sz w:val="20"/>
          <w:szCs w:val="20"/>
          <w:lang w:val="es-UY"/>
        </w:rPr>
        <w:t>administrativa, el asunto ya</w:t>
      </w:r>
      <w:r w:rsidR="00D00E04">
        <w:rPr>
          <w:rFonts w:asciiTheme="majorHAnsi" w:eastAsia="SimSun" w:hAnsiTheme="majorHAnsi"/>
          <w:sz w:val="20"/>
          <w:szCs w:val="20"/>
          <w:lang w:val="es-UY"/>
        </w:rPr>
        <w:t xml:space="preserve"> habría sido</w:t>
      </w:r>
      <w:r w:rsidR="00CF79E0" w:rsidRPr="00062B44">
        <w:rPr>
          <w:rFonts w:asciiTheme="majorHAnsi" w:eastAsia="SimSun" w:hAnsiTheme="majorHAnsi"/>
          <w:sz w:val="20"/>
          <w:szCs w:val="20"/>
          <w:lang w:val="es-UY"/>
        </w:rPr>
        <w:t xml:space="preserve"> resuelto de manera favorable a los familiares de las presuntas víctimas, por lo que </w:t>
      </w:r>
      <w:r w:rsidR="00CF37A3" w:rsidRPr="00062B44">
        <w:rPr>
          <w:rFonts w:asciiTheme="majorHAnsi" w:eastAsia="SimSun" w:hAnsiTheme="majorHAnsi"/>
          <w:sz w:val="20"/>
          <w:szCs w:val="20"/>
          <w:lang w:val="es-UY"/>
        </w:rPr>
        <w:t>a este respecto se configuraría la fórmula de la cuarta instancia</w:t>
      </w:r>
      <w:r w:rsidR="00CF79E0" w:rsidRPr="00062B44">
        <w:rPr>
          <w:rFonts w:asciiTheme="majorHAnsi" w:eastAsia="SimSun" w:hAnsiTheme="majorHAnsi"/>
          <w:sz w:val="20"/>
          <w:szCs w:val="20"/>
          <w:lang w:val="es-UY"/>
        </w:rPr>
        <w:t>.</w:t>
      </w:r>
    </w:p>
    <w:p w:rsidR="00547D7F" w:rsidRPr="0063685A" w:rsidRDefault="00547D7F" w:rsidP="00AD528E">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p>
    <w:p w:rsidR="00787F1E" w:rsidRDefault="0063685A" w:rsidP="00AD52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63685A">
        <w:rPr>
          <w:rFonts w:asciiTheme="majorHAnsi" w:hAnsiTheme="majorHAnsi"/>
          <w:sz w:val="20"/>
          <w:szCs w:val="20"/>
          <w:lang w:val="es-UY"/>
        </w:rPr>
        <w:t>Sin prejuzgar sobre el fondo de la denuncia, tras analizar</w:t>
      </w:r>
      <w:r w:rsidRPr="00933923">
        <w:rPr>
          <w:rFonts w:asciiTheme="majorHAnsi" w:hAnsiTheme="majorHAnsi"/>
          <w:sz w:val="20"/>
          <w:szCs w:val="20"/>
          <w:lang w:val="es-UY"/>
        </w:rPr>
        <w:t xml:space="preserve"> las posiciones de las partes</w:t>
      </w:r>
      <w:r w:rsidRPr="0063685A">
        <w:rPr>
          <w:rFonts w:asciiTheme="majorHAnsi" w:hAnsiTheme="majorHAnsi"/>
          <w:sz w:val="20"/>
          <w:szCs w:val="20"/>
          <w:lang w:val="es-UY"/>
        </w:rPr>
        <w:t xml:space="preserve"> y en cumplimiento de los requisitos previstos en los artículos 46 y 47 de la Convención Americana, la Comisión decide declarar el caso admisible a efectos del examen </w:t>
      </w:r>
      <w:r w:rsidR="00B80AAF" w:rsidRPr="00C066BC">
        <w:rPr>
          <w:rFonts w:asciiTheme="majorHAnsi" w:hAnsiTheme="majorHAnsi"/>
          <w:sz w:val="20"/>
          <w:szCs w:val="20"/>
          <w:lang w:val="es-UY"/>
        </w:rPr>
        <w:t>de los alegatos relativos a</w:t>
      </w:r>
      <w:r w:rsidR="00B80AAF">
        <w:rPr>
          <w:rFonts w:asciiTheme="majorHAnsi" w:hAnsiTheme="majorHAnsi"/>
          <w:sz w:val="20"/>
          <w:szCs w:val="20"/>
          <w:lang w:val="es-UY"/>
        </w:rPr>
        <w:t xml:space="preserve"> </w:t>
      </w:r>
      <w:r w:rsidR="00C066BC">
        <w:rPr>
          <w:rFonts w:asciiTheme="majorHAnsi" w:hAnsiTheme="majorHAnsi"/>
          <w:sz w:val="20"/>
          <w:szCs w:val="20"/>
          <w:lang w:val="es-UY"/>
        </w:rPr>
        <w:t>la presunta v</w:t>
      </w:r>
      <w:r w:rsidR="00C066BC" w:rsidRPr="00B55409">
        <w:rPr>
          <w:rFonts w:asciiTheme="majorHAnsi" w:hAnsiTheme="majorHAnsi"/>
          <w:sz w:val="20"/>
          <w:szCs w:val="20"/>
          <w:lang w:val="es-UY"/>
        </w:rPr>
        <w:t xml:space="preserve">iolación de </w:t>
      </w:r>
      <w:r w:rsidRPr="00B55409">
        <w:rPr>
          <w:rFonts w:asciiTheme="majorHAnsi" w:hAnsiTheme="majorHAnsi"/>
          <w:sz w:val="20"/>
          <w:szCs w:val="20"/>
          <w:lang w:val="es-UY"/>
        </w:rPr>
        <w:t>los derechos consagrados</w:t>
      </w:r>
      <w:r w:rsidR="00C066BC" w:rsidRPr="00B55409">
        <w:rPr>
          <w:rFonts w:asciiTheme="majorHAnsi" w:hAnsiTheme="majorHAnsi"/>
          <w:sz w:val="20"/>
          <w:szCs w:val="20"/>
          <w:lang w:val="es-UY"/>
        </w:rPr>
        <w:t xml:space="preserve"> en </w:t>
      </w:r>
      <w:r w:rsidRPr="00B55409">
        <w:rPr>
          <w:rFonts w:asciiTheme="majorHAnsi" w:hAnsiTheme="majorHAnsi"/>
          <w:sz w:val="20"/>
          <w:szCs w:val="20"/>
          <w:lang w:val="es-UY"/>
        </w:rPr>
        <w:t xml:space="preserve">los artículos </w:t>
      </w:r>
      <w:r w:rsidR="00C066BC" w:rsidRPr="00B55409">
        <w:rPr>
          <w:rFonts w:asciiTheme="majorHAnsi" w:hAnsiTheme="majorHAnsi"/>
          <w:sz w:val="20"/>
          <w:szCs w:val="20"/>
          <w:lang w:val="es-UY"/>
        </w:rPr>
        <w:t>4</w:t>
      </w:r>
      <w:r w:rsidR="00B81E98">
        <w:rPr>
          <w:rFonts w:asciiTheme="majorHAnsi" w:hAnsiTheme="majorHAnsi"/>
          <w:sz w:val="20"/>
          <w:szCs w:val="20"/>
          <w:lang w:val="es-UY"/>
        </w:rPr>
        <w:t xml:space="preserve"> (vida)</w:t>
      </w:r>
      <w:r w:rsidR="00C066BC" w:rsidRPr="00B55409">
        <w:rPr>
          <w:rFonts w:asciiTheme="majorHAnsi" w:hAnsiTheme="majorHAnsi"/>
          <w:sz w:val="20"/>
          <w:szCs w:val="20"/>
          <w:lang w:val="es-UY"/>
        </w:rPr>
        <w:t>, 5</w:t>
      </w:r>
      <w:r w:rsidR="00B81E98">
        <w:rPr>
          <w:rFonts w:asciiTheme="majorHAnsi" w:hAnsiTheme="majorHAnsi"/>
          <w:sz w:val="20"/>
          <w:szCs w:val="20"/>
          <w:lang w:val="es-UY"/>
        </w:rPr>
        <w:t xml:space="preserve"> (integridad personal)</w:t>
      </w:r>
      <w:r w:rsidR="00C066BC" w:rsidRPr="00B55409">
        <w:rPr>
          <w:rFonts w:asciiTheme="majorHAnsi" w:hAnsiTheme="majorHAnsi"/>
          <w:sz w:val="20"/>
          <w:szCs w:val="20"/>
          <w:lang w:val="es-UY"/>
        </w:rPr>
        <w:t>, 7</w:t>
      </w:r>
      <w:r w:rsidR="00B81E98">
        <w:rPr>
          <w:rFonts w:asciiTheme="majorHAnsi" w:hAnsiTheme="majorHAnsi"/>
          <w:sz w:val="20"/>
          <w:szCs w:val="20"/>
          <w:lang w:val="es-UY"/>
        </w:rPr>
        <w:t xml:space="preserve"> (libertad personal)</w:t>
      </w:r>
      <w:r w:rsidR="00C066BC" w:rsidRPr="00B55409">
        <w:rPr>
          <w:rFonts w:asciiTheme="majorHAnsi" w:hAnsiTheme="majorHAnsi"/>
          <w:sz w:val="20"/>
          <w:szCs w:val="20"/>
          <w:lang w:val="es-UY"/>
        </w:rPr>
        <w:t>, 8</w:t>
      </w:r>
      <w:r w:rsidR="00B81E98">
        <w:rPr>
          <w:rFonts w:asciiTheme="majorHAnsi" w:hAnsiTheme="majorHAnsi"/>
          <w:sz w:val="20"/>
          <w:szCs w:val="20"/>
          <w:lang w:val="es-UY"/>
        </w:rPr>
        <w:t xml:space="preserve"> (garantías judiciales)</w:t>
      </w:r>
      <w:r w:rsidR="00C066BC" w:rsidRPr="00B55409">
        <w:rPr>
          <w:rFonts w:asciiTheme="majorHAnsi" w:hAnsiTheme="majorHAnsi"/>
          <w:sz w:val="20"/>
          <w:szCs w:val="20"/>
          <w:lang w:val="es-UY"/>
        </w:rPr>
        <w:t>, 11</w:t>
      </w:r>
      <w:r w:rsidR="00B81E98">
        <w:rPr>
          <w:rFonts w:asciiTheme="majorHAnsi" w:hAnsiTheme="majorHAnsi"/>
          <w:sz w:val="20"/>
          <w:szCs w:val="20"/>
          <w:lang w:val="es-UY"/>
        </w:rPr>
        <w:t xml:space="preserve"> (protección de la honra y de la dignidad)</w:t>
      </w:r>
      <w:r w:rsidR="003B6DF8">
        <w:rPr>
          <w:rFonts w:asciiTheme="majorHAnsi" w:hAnsiTheme="majorHAnsi"/>
          <w:sz w:val="20"/>
          <w:szCs w:val="20"/>
          <w:lang w:val="es-UY"/>
        </w:rPr>
        <w:t>, 19</w:t>
      </w:r>
      <w:r w:rsidR="00C066BC" w:rsidRPr="00B55409">
        <w:rPr>
          <w:rFonts w:asciiTheme="majorHAnsi" w:hAnsiTheme="majorHAnsi"/>
          <w:sz w:val="20"/>
          <w:szCs w:val="20"/>
          <w:lang w:val="es-UY"/>
        </w:rPr>
        <w:t xml:space="preserve"> </w:t>
      </w:r>
      <w:r w:rsidR="00B81E98">
        <w:rPr>
          <w:rFonts w:asciiTheme="majorHAnsi" w:hAnsiTheme="majorHAnsi"/>
          <w:sz w:val="20"/>
          <w:szCs w:val="20"/>
          <w:lang w:val="es-UY"/>
        </w:rPr>
        <w:t xml:space="preserve">(derechos del niño) </w:t>
      </w:r>
      <w:r w:rsidR="00C066BC" w:rsidRPr="00B55409">
        <w:rPr>
          <w:rFonts w:asciiTheme="majorHAnsi" w:hAnsiTheme="majorHAnsi"/>
          <w:sz w:val="20"/>
          <w:szCs w:val="20"/>
          <w:lang w:val="es-UY"/>
        </w:rPr>
        <w:t>y 25</w:t>
      </w:r>
      <w:r w:rsidR="00B81E98">
        <w:rPr>
          <w:rFonts w:asciiTheme="majorHAnsi" w:hAnsiTheme="majorHAnsi"/>
          <w:sz w:val="20"/>
          <w:szCs w:val="20"/>
          <w:lang w:val="es-UY"/>
        </w:rPr>
        <w:t xml:space="preserve"> (protección judicial)</w:t>
      </w:r>
      <w:r w:rsidRPr="00B55409">
        <w:rPr>
          <w:rFonts w:asciiTheme="majorHAnsi" w:hAnsiTheme="majorHAnsi"/>
          <w:sz w:val="20"/>
          <w:szCs w:val="20"/>
          <w:lang w:val="es-UY"/>
        </w:rPr>
        <w:t xml:space="preserve"> de la Convención Americana sobre Derechos Humanos (en adelante, “Convención Americana” o “Convención”)</w:t>
      </w:r>
      <w:r w:rsidR="00C066BC" w:rsidRPr="00B55409">
        <w:rPr>
          <w:rFonts w:asciiTheme="majorHAnsi" w:hAnsiTheme="majorHAnsi"/>
          <w:sz w:val="20"/>
          <w:szCs w:val="20"/>
          <w:lang w:val="es-UY"/>
        </w:rPr>
        <w:t xml:space="preserve"> en relación con los artículos 1.1</w:t>
      </w:r>
      <w:r w:rsidR="00B81E98">
        <w:rPr>
          <w:rFonts w:asciiTheme="majorHAnsi" w:hAnsiTheme="majorHAnsi"/>
          <w:sz w:val="20"/>
          <w:szCs w:val="20"/>
          <w:lang w:val="es-UY"/>
        </w:rPr>
        <w:t xml:space="preserve"> (obligación de respetar los derechos)</w:t>
      </w:r>
      <w:r w:rsidR="00C066BC" w:rsidRPr="00B55409">
        <w:rPr>
          <w:rFonts w:asciiTheme="majorHAnsi" w:hAnsiTheme="majorHAnsi"/>
          <w:sz w:val="20"/>
          <w:szCs w:val="20"/>
          <w:lang w:val="es-UY"/>
        </w:rPr>
        <w:t xml:space="preserve"> y 2</w:t>
      </w:r>
      <w:r w:rsidR="00B81E98">
        <w:rPr>
          <w:rFonts w:asciiTheme="majorHAnsi" w:hAnsiTheme="majorHAnsi"/>
          <w:sz w:val="20"/>
          <w:szCs w:val="20"/>
          <w:lang w:val="es-UY"/>
        </w:rPr>
        <w:t xml:space="preserve"> (deber de adoptar disposiciones de derecho interno)</w:t>
      </w:r>
      <w:r w:rsidR="00C066BC" w:rsidRPr="00B55409">
        <w:rPr>
          <w:rFonts w:asciiTheme="majorHAnsi" w:hAnsiTheme="majorHAnsi"/>
          <w:sz w:val="20"/>
          <w:szCs w:val="20"/>
          <w:lang w:val="es-UY"/>
        </w:rPr>
        <w:t xml:space="preserve"> del mismo instrumento</w:t>
      </w:r>
      <w:r w:rsidRPr="00B55409">
        <w:rPr>
          <w:rFonts w:asciiTheme="majorHAnsi" w:hAnsiTheme="majorHAnsi"/>
          <w:sz w:val="20"/>
          <w:szCs w:val="20"/>
          <w:lang w:val="es-UY"/>
        </w:rPr>
        <w:t>. L</w:t>
      </w:r>
      <w:r w:rsidRPr="00B55409">
        <w:rPr>
          <w:rFonts w:asciiTheme="majorHAnsi" w:hAnsiTheme="majorHAnsi"/>
          <w:sz w:val="20"/>
          <w:szCs w:val="20"/>
          <w:lang w:val="es-ES"/>
        </w:rPr>
        <w:t>a Comisión decide además notificar esta decisión a las partes, publicarla e incluirla en su Informe Anual para la Asamblea General de la OEA.</w:t>
      </w:r>
    </w:p>
    <w:p w:rsidR="00547D7F" w:rsidRPr="00787F1E" w:rsidRDefault="00547D7F" w:rsidP="00AD52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rsidR="0063685A" w:rsidRDefault="0063685A" w:rsidP="00AD528E">
      <w:pPr>
        <w:ind w:firstLine="720"/>
        <w:jc w:val="both"/>
        <w:rPr>
          <w:rFonts w:asciiTheme="majorHAnsi" w:hAnsiTheme="majorHAnsi"/>
          <w:b/>
          <w:bCs/>
          <w:sz w:val="20"/>
          <w:szCs w:val="20"/>
          <w:lang w:val="es-UY"/>
        </w:rPr>
      </w:pPr>
      <w:r w:rsidRPr="0063685A">
        <w:rPr>
          <w:rFonts w:asciiTheme="majorHAnsi" w:hAnsiTheme="majorHAnsi"/>
          <w:b/>
          <w:bCs/>
          <w:sz w:val="20"/>
          <w:szCs w:val="20"/>
          <w:lang w:val="es-UY"/>
        </w:rPr>
        <w:t>II.</w:t>
      </w:r>
      <w:r w:rsidRPr="0063685A">
        <w:rPr>
          <w:rFonts w:asciiTheme="majorHAnsi" w:hAnsiTheme="majorHAnsi"/>
          <w:b/>
          <w:bCs/>
          <w:sz w:val="20"/>
          <w:szCs w:val="20"/>
          <w:lang w:val="es-UY"/>
        </w:rPr>
        <w:tab/>
        <w:t>TRÁMITE ANTE LA CIDH</w:t>
      </w:r>
    </w:p>
    <w:p w:rsidR="00AD528E" w:rsidRPr="0063685A" w:rsidRDefault="00AD528E" w:rsidP="00AD528E">
      <w:pPr>
        <w:jc w:val="both"/>
        <w:rPr>
          <w:rFonts w:asciiTheme="majorHAnsi" w:hAnsiTheme="majorHAnsi"/>
          <w:b/>
          <w:bCs/>
          <w:sz w:val="20"/>
          <w:szCs w:val="20"/>
          <w:lang w:val="es-UY"/>
        </w:rPr>
      </w:pPr>
    </w:p>
    <w:p w:rsidR="0063685A" w:rsidRPr="00547D7F" w:rsidRDefault="0063685A" w:rsidP="00AD52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63685A">
        <w:rPr>
          <w:rFonts w:asciiTheme="majorHAnsi" w:hAnsiTheme="majorHAnsi"/>
          <w:sz w:val="20"/>
          <w:szCs w:val="20"/>
          <w:lang w:val="es-UY"/>
        </w:rPr>
        <w:t xml:space="preserve">La CIDH recibió la petición el </w:t>
      </w:r>
      <w:r w:rsidR="000746E3">
        <w:rPr>
          <w:rFonts w:asciiTheme="majorHAnsi" w:hAnsiTheme="majorHAnsi"/>
          <w:sz w:val="20"/>
          <w:szCs w:val="20"/>
          <w:lang w:val="es-UY"/>
        </w:rPr>
        <w:t>19 de octubre de 2006</w:t>
      </w:r>
      <w:r w:rsidR="00AC0370">
        <w:rPr>
          <w:rFonts w:asciiTheme="majorHAnsi" w:hAnsiTheme="majorHAnsi"/>
          <w:sz w:val="20"/>
          <w:szCs w:val="20"/>
          <w:lang w:val="es-UY"/>
        </w:rPr>
        <w:t>,</w:t>
      </w:r>
      <w:r w:rsidRPr="0063685A">
        <w:rPr>
          <w:rFonts w:asciiTheme="majorHAnsi" w:hAnsiTheme="majorHAnsi"/>
          <w:sz w:val="20"/>
          <w:szCs w:val="20"/>
          <w:lang w:val="es-UY"/>
        </w:rPr>
        <w:t xml:space="preserve"> y el </w:t>
      </w:r>
      <w:r w:rsidR="000746E3" w:rsidRPr="00872F17">
        <w:rPr>
          <w:rFonts w:asciiTheme="majorHAnsi" w:hAnsiTheme="majorHAnsi"/>
          <w:sz w:val="20"/>
          <w:szCs w:val="20"/>
          <w:lang w:val="es-UY"/>
        </w:rPr>
        <w:t>29 de septiembre de 2008</w:t>
      </w:r>
      <w:r w:rsidRPr="000746E3">
        <w:rPr>
          <w:rFonts w:asciiTheme="majorHAnsi" w:hAnsiTheme="majorHAnsi"/>
          <w:color w:val="FF0000"/>
          <w:sz w:val="20"/>
          <w:szCs w:val="20"/>
          <w:lang w:val="es-UY"/>
        </w:rPr>
        <w:t xml:space="preserve"> </w:t>
      </w:r>
      <w:r w:rsidRPr="0063685A">
        <w:rPr>
          <w:rFonts w:asciiTheme="majorHAnsi" w:hAnsiTheme="majorHAnsi"/>
          <w:sz w:val="20"/>
          <w:szCs w:val="20"/>
          <w:lang w:val="es-UY"/>
        </w:rPr>
        <w:t xml:space="preserve">transmitió copia de las partes pertinentes al Estado otorgándole un plazo de </w:t>
      </w:r>
      <w:r w:rsidR="000746E3">
        <w:rPr>
          <w:rFonts w:asciiTheme="majorHAnsi" w:hAnsiTheme="majorHAnsi"/>
          <w:sz w:val="20"/>
          <w:szCs w:val="20"/>
          <w:lang w:val="es-UY"/>
        </w:rPr>
        <w:t>dos meses</w:t>
      </w:r>
      <w:r w:rsidRPr="0063685A">
        <w:rPr>
          <w:rFonts w:asciiTheme="majorHAnsi" w:hAnsiTheme="majorHAnsi"/>
          <w:sz w:val="20"/>
          <w:szCs w:val="20"/>
          <w:lang w:val="es-UY"/>
        </w:rPr>
        <w:t xml:space="preserve"> para someter sus observaciones</w:t>
      </w:r>
      <w:r w:rsidR="00057DD7">
        <w:rPr>
          <w:rFonts w:asciiTheme="majorHAnsi" w:hAnsiTheme="majorHAnsi"/>
          <w:sz w:val="20"/>
          <w:szCs w:val="20"/>
          <w:lang w:val="es-UY"/>
        </w:rPr>
        <w:t>, con base en el artículo 30</w:t>
      </w:r>
      <w:r w:rsidR="003E3653">
        <w:rPr>
          <w:rFonts w:asciiTheme="majorHAnsi" w:hAnsiTheme="majorHAnsi"/>
          <w:sz w:val="20"/>
          <w:szCs w:val="20"/>
          <w:lang w:val="es-UY"/>
        </w:rPr>
        <w:t>.3</w:t>
      </w:r>
      <w:r w:rsidR="00057DD7">
        <w:rPr>
          <w:rFonts w:asciiTheme="majorHAnsi" w:hAnsiTheme="majorHAnsi"/>
          <w:sz w:val="20"/>
          <w:szCs w:val="20"/>
          <w:lang w:val="es-UY"/>
        </w:rPr>
        <w:t xml:space="preserve"> de su R</w:t>
      </w:r>
      <w:r w:rsidR="00057DD7" w:rsidRPr="00CA578D">
        <w:rPr>
          <w:rFonts w:asciiTheme="majorHAnsi" w:hAnsiTheme="majorHAnsi"/>
          <w:bCs/>
          <w:sz w:val="20"/>
          <w:szCs w:val="20"/>
          <w:lang w:val="es-PE"/>
        </w:rPr>
        <w:t>eglamento entonces en vigor</w:t>
      </w:r>
      <w:r w:rsidRPr="00CA578D">
        <w:rPr>
          <w:rFonts w:asciiTheme="majorHAnsi" w:hAnsiTheme="majorHAnsi"/>
          <w:bCs/>
          <w:sz w:val="20"/>
          <w:szCs w:val="20"/>
          <w:lang w:val="es-PE"/>
        </w:rPr>
        <w:t xml:space="preserve">. </w:t>
      </w:r>
      <w:r w:rsidRPr="0063685A">
        <w:rPr>
          <w:rFonts w:asciiTheme="majorHAnsi" w:hAnsiTheme="majorHAnsi"/>
          <w:bCs/>
          <w:sz w:val="20"/>
          <w:szCs w:val="20"/>
          <w:lang w:val="es-PE"/>
        </w:rPr>
        <w:t xml:space="preserve">El </w:t>
      </w:r>
      <w:r w:rsidR="000746E3" w:rsidRPr="00C81C0F">
        <w:rPr>
          <w:rFonts w:asciiTheme="majorHAnsi" w:hAnsiTheme="majorHAnsi"/>
          <w:bCs/>
          <w:sz w:val="20"/>
          <w:szCs w:val="20"/>
          <w:lang w:val="es-PE"/>
        </w:rPr>
        <w:t>1 de diciembre de 2008</w:t>
      </w:r>
      <w:r w:rsidRPr="00C81C0F">
        <w:rPr>
          <w:rFonts w:asciiTheme="majorHAnsi" w:hAnsiTheme="majorHAnsi"/>
          <w:bCs/>
          <w:sz w:val="20"/>
          <w:szCs w:val="20"/>
          <w:lang w:val="es-PE"/>
        </w:rPr>
        <w:t xml:space="preserve"> </w:t>
      </w:r>
      <w:r w:rsidRPr="0063685A">
        <w:rPr>
          <w:rFonts w:asciiTheme="majorHAnsi" w:hAnsiTheme="majorHAnsi"/>
          <w:bCs/>
          <w:sz w:val="20"/>
          <w:szCs w:val="20"/>
          <w:lang w:val="es-PE"/>
        </w:rPr>
        <w:t>se recibió la respuesta del Estado</w:t>
      </w:r>
      <w:r w:rsidRPr="00C81C0F">
        <w:rPr>
          <w:rFonts w:asciiTheme="majorHAnsi" w:hAnsiTheme="majorHAnsi"/>
          <w:bCs/>
          <w:sz w:val="20"/>
          <w:szCs w:val="20"/>
          <w:lang w:val="es-PE"/>
        </w:rPr>
        <w:t xml:space="preserve">, </w:t>
      </w:r>
      <w:r w:rsidR="00057DD7" w:rsidRPr="00C81C0F">
        <w:rPr>
          <w:rFonts w:asciiTheme="majorHAnsi" w:hAnsiTheme="majorHAnsi"/>
          <w:bCs/>
          <w:sz w:val="20"/>
          <w:szCs w:val="20"/>
          <w:lang w:val="es-PE"/>
        </w:rPr>
        <w:t xml:space="preserve">la cual fue trasladada </w:t>
      </w:r>
      <w:r w:rsidR="000746E3" w:rsidRPr="00C81C0F">
        <w:rPr>
          <w:rFonts w:asciiTheme="majorHAnsi" w:hAnsiTheme="majorHAnsi"/>
          <w:bCs/>
          <w:sz w:val="20"/>
          <w:szCs w:val="20"/>
          <w:lang w:val="es-PE"/>
        </w:rPr>
        <w:t>a</w:t>
      </w:r>
      <w:r w:rsidR="00057DD7" w:rsidRPr="00C81C0F">
        <w:rPr>
          <w:rFonts w:asciiTheme="majorHAnsi" w:hAnsiTheme="majorHAnsi"/>
          <w:bCs/>
          <w:sz w:val="20"/>
          <w:szCs w:val="20"/>
          <w:lang w:val="es-PE"/>
        </w:rPr>
        <w:t xml:space="preserve"> los</w:t>
      </w:r>
      <w:r w:rsidRPr="00C81C0F">
        <w:rPr>
          <w:rFonts w:asciiTheme="majorHAnsi" w:hAnsiTheme="majorHAnsi"/>
          <w:bCs/>
          <w:sz w:val="20"/>
          <w:szCs w:val="20"/>
          <w:lang w:val="es-PE"/>
        </w:rPr>
        <w:t xml:space="preserve"> peticionario</w:t>
      </w:r>
      <w:r w:rsidR="00057DD7" w:rsidRPr="00C81C0F">
        <w:rPr>
          <w:rFonts w:asciiTheme="majorHAnsi" w:hAnsiTheme="majorHAnsi"/>
          <w:bCs/>
          <w:sz w:val="20"/>
          <w:szCs w:val="20"/>
          <w:lang w:val="es-PE"/>
        </w:rPr>
        <w:t>s</w:t>
      </w:r>
      <w:r w:rsidRPr="00C81C0F">
        <w:rPr>
          <w:rFonts w:asciiTheme="majorHAnsi" w:hAnsiTheme="majorHAnsi"/>
          <w:bCs/>
          <w:sz w:val="20"/>
          <w:szCs w:val="20"/>
          <w:lang w:val="es-PE"/>
        </w:rPr>
        <w:t xml:space="preserve"> el</w:t>
      </w:r>
      <w:r w:rsidRPr="00CA578D">
        <w:rPr>
          <w:rFonts w:asciiTheme="majorHAnsi" w:hAnsiTheme="majorHAnsi"/>
          <w:bCs/>
          <w:sz w:val="20"/>
          <w:szCs w:val="20"/>
          <w:lang w:val="es-PE"/>
        </w:rPr>
        <w:t xml:space="preserve"> </w:t>
      </w:r>
      <w:r w:rsidR="000746E3" w:rsidRPr="00CA578D">
        <w:rPr>
          <w:rFonts w:asciiTheme="majorHAnsi" w:hAnsiTheme="majorHAnsi"/>
          <w:bCs/>
          <w:sz w:val="20"/>
          <w:szCs w:val="20"/>
          <w:lang w:val="es-PE"/>
        </w:rPr>
        <w:t>4 de diciembre de 2008</w:t>
      </w:r>
      <w:r w:rsidRPr="0063685A">
        <w:rPr>
          <w:rFonts w:asciiTheme="majorHAnsi" w:hAnsiTheme="majorHAnsi"/>
          <w:bCs/>
          <w:sz w:val="20"/>
          <w:szCs w:val="20"/>
          <w:lang w:val="es-PE"/>
        </w:rPr>
        <w:t>.</w:t>
      </w:r>
    </w:p>
    <w:p w:rsidR="00547D7F" w:rsidRPr="0063685A" w:rsidRDefault="00547D7F" w:rsidP="00AD52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rsidR="0063685A" w:rsidRDefault="00057DD7" w:rsidP="00AD52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A10F61">
        <w:rPr>
          <w:rFonts w:asciiTheme="majorHAnsi" w:hAnsiTheme="majorHAnsi"/>
          <w:color w:val="000000"/>
          <w:sz w:val="20"/>
          <w:szCs w:val="20"/>
          <w:lang w:val="es-ES"/>
        </w:rPr>
        <w:lastRenderedPageBreak/>
        <w:t>Los</w:t>
      </w:r>
      <w:r w:rsidR="0063685A" w:rsidRPr="00A10F61">
        <w:rPr>
          <w:rFonts w:asciiTheme="majorHAnsi" w:hAnsiTheme="majorHAnsi"/>
          <w:color w:val="000000"/>
          <w:sz w:val="20"/>
          <w:szCs w:val="20"/>
          <w:lang w:val="es-ES"/>
        </w:rPr>
        <w:t xml:space="preserve"> </w:t>
      </w:r>
      <w:r w:rsidR="0063685A" w:rsidRPr="0063685A">
        <w:rPr>
          <w:rFonts w:asciiTheme="majorHAnsi" w:hAnsiTheme="majorHAnsi"/>
          <w:color w:val="000000"/>
          <w:sz w:val="20"/>
          <w:szCs w:val="20"/>
          <w:lang w:val="es-ES"/>
        </w:rPr>
        <w:t>peticionario</w:t>
      </w:r>
      <w:r w:rsidRPr="00A10F61">
        <w:rPr>
          <w:rFonts w:asciiTheme="majorHAnsi" w:hAnsiTheme="majorHAnsi"/>
          <w:color w:val="000000"/>
          <w:sz w:val="20"/>
          <w:szCs w:val="20"/>
          <w:lang w:val="es-ES"/>
        </w:rPr>
        <w:t>s</w:t>
      </w:r>
      <w:r w:rsidR="0063685A" w:rsidRPr="00A10F61">
        <w:rPr>
          <w:rFonts w:asciiTheme="majorHAnsi" w:hAnsiTheme="majorHAnsi"/>
          <w:color w:val="000000"/>
          <w:sz w:val="20"/>
          <w:szCs w:val="20"/>
          <w:lang w:val="es-ES"/>
        </w:rPr>
        <w:t xml:space="preserve"> </w:t>
      </w:r>
      <w:r w:rsidR="00775BDD">
        <w:rPr>
          <w:rFonts w:asciiTheme="majorHAnsi" w:hAnsiTheme="majorHAnsi"/>
          <w:color w:val="000000"/>
          <w:sz w:val="20"/>
          <w:szCs w:val="20"/>
          <w:lang w:val="es-ES"/>
        </w:rPr>
        <w:t>present</w:t>
      </w:r>
      <w:r w:rsidRPr="00A10F61">
        <w:rPr>
          <w:rFonts w:asciiTheme="majorHAnsi" w:hAnsiTheme="majorHAnsi"/>
          <w:color w:val="000000"/>
          <w:sz w:val="20"/>
          <w:szCs w:val="20"/>
          <w:lang w:val="es-ES"/>
        </w:rPr>
        <w:t>aron</w:t>
      </w:r>
      <w:r w:rsidR="0063685A" w:rsidRPr="00A10F61">
        <w:rPr>
          <w:rFonts w:asciiTheme="majorHAnsi" w:hAnsiTheme="majorHAnsi"/>
          <w:color w:val="000000"/>
          <w:sz w:val="20"/>
          <w:szCs w:val="20"/>
          <w:lang w:val="es-ES"/>
        </w:rPr>
        <w:t xml:space="preserve"> </w:t>
      </w:r>
      <w:r w:rsidR="0063685A" w:rsidRPr="0063685A">
        <w:rPr>
          <w:rFonts w:asciiTheme="majorHAnsi" w:hAnsiTheme="majorHAnsi"/>
          <w:color w:val="000000"/>
          <w:sz w:val="20"/>
          <w:szCs w:val="20"/>
          <w:lang w:val="es-ES"/>
        </w:rPr>
        <w:t xml:space="preserve">observaciones adicionales el </w:t>
      </w:r>
      <w:r w:rsidR="00B7611C" w:rsidRPr="00B83E39">
        <w:rPr>
          <w:rFonts w:asciiTheme="majorHAnsi" w:hAnsiTheme="majorHAnsi"/>
          <w:color w:val="000000"/>
          <w:sz w:val="20"/>
          <w:szCs w:val="20"/>
          <w:lang w:val="es-ES"/>
        </w:rPr>
        <w:t>16 de septiembre de 2014</w:t>
      </w:r>
      <w:r w:rsidR="009051ED">
        <w:rPr>
          <w:rFonts w:asciiTheme="majorHAnsi" w:hAnsiTheme="majorHAnsi"/>
          <w:color w:val="000000"/>
          <w:sz w:val="20"/>
          <w:szCs w:val="20"/>
          <w:lang w:val="es-ES"/>
        </w:rPr>
        <w:t xml:space="preserve">. </w:t>
      </w:r>
      <w:r w:rsidR="0063685A" w:rsidRPr="00B83E39">
        <w:rPr>
          <w:rFonts w:asciiTheme="majorHAnsi" w:hAnsiTheme="majorHAnsi"/>
          <w:color w:val="000000"/>
          <w:sz w:val="20"/>
          <w:szCs w:val="20"/>
          <w:lang w:val="es-ES"/>
        </w:rPr>
        <w:t xml:space="preserve">Por su parte, el Estado remitió observaciones adicionales el </w:t>
      </w:r>
      <w:r w:rsidR="00933923" w:rsidRPr="00B83E39">
        <w:rPr>
          <w:rFonts w:asciiTheme="majorHAnsi" w:hAnsiTheme="majorHAnsi"/>
          <w:color w:val="000000"/>
          <w:sz w:val="20"/>
          <w:szCs w:val="20"/>
          <w:lang w:val="es-ES"/>
        </w:rPr>
        <w:t>6 de marzo de 2015</w:t>
      </w:r>
      <w:r w:rsidR="009051ED">
        <w:rPr>
          <w:rFonts w:asciiTheme="majorHAnsi" w:hAnsiTheme="majorHAnsi"/>
          <w:color w:val="000000"/>
          <w:sz w:val="20"/>
          <w:szCs w:val="20"/>
          <w:lang w:val="es-ES"/>
        </w:rPr>
        <w:t>.</w:t>
      </w:r>
      <w:r w:rsidR="0063685A" w:rsidRPr="00B83E39">
        <w:rPr>
          <w:rFonts w:asciiTheme="majorHAnsi" w:hAnsiTheme="majorHAnsi"/>
          <w:color w:val="000000"/>
          <w:sz w:val="20"/>
          <w:szCs w:val="20"/>
          <w:lang w:val="es-ES"/>
        </w:rPr>
        <w:t xml:space="preserve"> Estas</w:t>
      </w:r>
      <w:r w:rsidR="0063685A" w:rsidRPr="0063685A">
        <w:rPr>
          <w:rFonts w:asciiTheme="majorHAnsi" w:hAnsiTheme="majorHAnsi"/>
          <w:bCs/>
          <w:sz w:val="20"/>
          <w:szCs w:val="20"/>
          <w:lang w:val="es-PE"/>
        </w:rPr>
        <w:t xml:space="preserve"> comunicaciones fueron debidamente trasladadas a la parte contraria.</w:t>
      </w:r>
      <w:r w:rsidR="0063685A" w:rsidRPr="0063685A">
        <w:rPr>
          <w:rFonts w:asciiTheme="majorHAnsi" w:hAnsiTheme="majorHAnsi"/>
          <w:sz w:val="20"/>
          <w:szCs w:val="20"/>
          <w:lang w:val="es-UY"/>
        </w:rPr>
        <w:t xml:space="preserve"> </w:t>
      </w:r>
    </w:p>
    <w:p w:rsidR="00E616C3" w:rsidRDefault="00E616C3" w:rsidP="00AD528E">
      <w:pPr>
        <w:jc w:val="both"/>
        <w:rPr>
          <w:rFonts w:asciiTheme="majorHAnsi" w:hAnsiTheme="majorHAnsi"/>
          <w:color w:val="FF0000"/>
          <w:sz w:val="20"/>
          <w:szCs w:val="20"/>
          <w:lang w:val="es-UY"/>
        </w:rPr>
      </w:pPr>
    </w:p>
    <w:p w:rsidR="0063685A" w:rsidRDefault="0063685A" w:rsidP="00AD528E">
      <w:pPr>
        <w:ind w:firstLine="720"/>
        <w:jc w:val="both"/>
        <w:rPr>
          <w:rFonts w:asciiTheme="majorHAnsi" w:hAnsiTheme="majorHAnsi"/>
          <w:b/>
          <w:bCs/>
          <w:sz w:val="20"/>
          <w:szCs w:val="20"/>
          <w:lang w:val="es-UY"/>
        </w:rPr>
      </w:pPr>
      <w:r w:rsidRPr="0063685A">
        <w:rPr>
          <w:rFonts w:asciiTheme="majorHAnsi" w:hAnsiTheme="majorHAnsi"/>
          <w:b/>
          <w:bCs/>
          <w:sz w:val="20"/>
          <w:szCs w:val="20"/>
          <w:lang w:val="es-UY"/>
        </w:rPr>
        <w:t>III.</w:t>
      </w:r>
      <w:r w:rsidRPr="0063685A">
        <w:rPr>
          <w:rFonts w:asciiTheme="majorHAnsi" w:hAnsiTheme="majorHAnsi"/>
          <w:b/>
          <w:bCs/>
          <w:sz w:val="20"/>
          <w:szCs w:val="20"/>
          <w:lang w:val="es-UY"/>
        </w:rPr>
        <w:tab/>
        <w:t>POSICIÓN DE LAS PARTES</w:t>
      </w:r>
    </w:p>
    <w:p w:rsidR="00AD528E" w:rsidRPr="0063685A" w:rsidRDefault="00AD528E" w:rsidP="00AD528E">
      <w:pPr>
        <w:ind w:firstLine="720"/>
        <w:jc w:val="both"/>
        <w:rPr>
          <w:rFonts w:asciiTheme="majorHAnsi" w:hAnsiTheme="majorHAnsi"/>
          <w:b/>
          <w:bCs/>
          <w:sz w:val="20"/>
          <w:szCs w:val="20"/>
          <w:lang w:val="es-UY"/>
        </w:rPr>
      </w:pPr>
    </w:p>
    <w:p w:rsidR="0063685A" w:rsidRPr="00E616C3" w:rsidRDefault="003872C5" w:rsidP="00AD528E">
      <w:pPr>
        <w:suppressAutoHyphens/>
        <w:ind w:firstLine="720"/>
        <w:jc w:val="both"/>
        <w:rPr>
          <w:rFonts w:asciiTheme="majorHAnsi" w:hAnsiTheme="majorHAnsi"/>
          <w:b/>
          <w:bCs/>
          <w:sz w:val="20"/>
          <w:szCs w:val="20"/>
          <w:lang w:val="es-UY"/>
        </w:rPr>
      </w:pPr>
      <w:r>
        <w:rPr>
          <w:rFonts w:asciiTheme="majorHAnsi" w:hAnsiTheme="majorHAnsi"/>
          <w:b/>
          <w:bCs/>
          <w:sz w:val="20"/>
          <w:szCs w:val="20"/>
          <w:lang w:val="es-UY"/>
        </w:rPr>
        <w:t>A.</w:t>
      </w:r>
      <w:r>
        <w:rPr>
          <w:rFonts w:asciiTheme="majorHAnsi" w:hAnsiTheme="majorHAnsi"/>
          <w:b/>
          <w:bCs/>
          <w:sz w:val="20"/>
          <w:szCs w:val="20"/>
          <w:lang w:val="es-UY"/>
        </w:rPr>
        <w:tab/>
        <w:t xml:space="preserve">Posición de </w:t>
      </w:r>
      <w:r w:rsidR="00112D7A" w:rsidRPr="00E616C3">
        <w:rPr>
          <w:rFonts w:asciiTheme="majorHAnsi" w:hAnsiTheme="majorHAnsi"/>
          <w:b/>
          <w:bCs/>
          <w:sz w:val="20"/>
          <w:szCs w:val="20"/>
          <w:lang w:val="es-UY"/>
        </w:rPr>
        <w:t>los</w:t>
      </w:r>
      <w:r w:rsidR="0063685A" w:rsidRPr="00E616C3">
        <w:rPr>
          <w:rFonts w:asciiTheme="majorHAnsi" w:hAnsiTheme="majorHAnsi"/>
          <w:b/>
          <w:bCs/>
          <w:sz w:val="20"/>
          <w:szCs w:val="20"/>
          <w:lang w:val="es-UY"/>
        </w:rPr>
        <w:t xml:space="preserve"> </w:t>
      </w:r>
      <w:r w:rsidR="0063685A" w:rsidRPr="0063685A">
        <w:rPr>
          <w:rFonts w:asciiTheme="majorHAnsi" w:hAnsiTheme="majorHAnsi"/>
          <w:b/>
          <w:bCs/>
          <w:sz w:val="20"/>
          <w:szCs w:val="20"/>
          <w:lang w:val="es-UY"/>
        </w:rPr>
        <w:t>peticionario</w:t>
      </w:r>
      <w:r w:rsidR="00112D7A" w:rsidRPr="00E616C3">
        <w:rPr>
          <w:rFonts w:asciiTheme="majorHAnsi" w:hAnsiTheme="majorHAnsi"/>
          <w:b/>
          <w:bCs/>
          <w:sz w:val="20"/>
          <w:szCs w:val="20"/>
          <w:lang w:val="es-UY"/>
        </w:rPr>
        <w:t>s</w:t>
      </w:r>
      <w:r w:rsidR="00596831" w:rsidRPr="00E616C3">
        <w:rPr>
          <w:rFonts w:asciiTheme="majorHAnsi" w:hAnsiTheme="majorHAnsi"/>
          <w:b/>
          <w:bCs/>
          <w:sz w:val="20"/>
          <w:szCs w:val="20"/>
          <w:lang w:val="es-UY"/>
        </w:rPr>
        <w:t xml:space="preserve"> </w:t>
      </w:r>
    </w:p>
    <w:p w:rsidR="003872C5" w:rsidRPr="00596831" w:rsidRDefault="003872C5" w:rsidP="00AD528E">
      <w:pPr>
        <w:suppressAutoHyphens/>
        <w:jc w:val="both"/>
        <w:rPr>
          <w:rFonts w:asciiTheme="majorHAnsi" w:hAnsiTheme="majorHAnsi"/>
          <w:b/>
          <w:bCs/>
          <w:color w:val="FF0000"/>
          <w:sz w:val="20"/>
          <w:szCs w:val="20"/>
          <w:lang w:val="es-UY"/>
        </w:rPr>
      </w:pPr>
    </w:p>
    <w:p w:rsidR="00515280" w:rsidRPr="00A152A3" w:rsidRDefault="00302AA0" w:rsidP="00AD52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UY"/>
        </w:rPr>
      </w:pPr>
      <w:r w:rsidRPr="00A152A3">
        <w:rPr>
          <w:rFonts w:asciiTheme="majorHAnsi" w:hAnsiTheme="majorHAnsi" w:cs="Arial"/>
          <w:sz w:val="20"/>
          <w:szCs w:val="20"/>
          <w:lang w:val="es-UY"/>
        </w:rPr>
        <w:t xml:space="preserve">Los peticionarios señalan que en el contexto de la política de defensa y seguridad instaurada por el expresidente Álvaro Uribe, </w:t>
      </w:r>
      <w:r w:rsidR="00AD7C4B" w:rsidRPr="00AD7C4B">
        <w:rPr>
          <w:rFonts w:asciiTheme="majorHAnsi" w:hAnsiTheme="majorHAnsi" w:cs="Arial"/>
          <w:sz w:val="20"/>
          <w:szCs w:val="20"/>
          <w:lang w:val="es-UY"/>
        </w:rPr>
        <w:t xml:space="preserve">se implementó </w:t>
      </w:r>
      <w:r w:rsidRPr="00A152A3">
        <w:rPr>
          <w:rFonts w:asciiTheme="majorHAnsi" w:hAnsiTheme="majorHAnsi" w:cs="Arial"/>
          <w:sz w:val="20"/>
          <w:szCs w:val="20"/>
          <w:lang w:val="es-UY"/>
        </w:rPr>
        <w:t xml:space="preserve">en el Municipio de </w:t>
      </w:r>
      <w:r w:rsidR="003D301C" w:rsidRPr="00A152A3">
        <w:rPr>
          <w:rFonts w:asciiTheme="majorHAnsi" w:hAnsiTheme="majorHAnsi" w:cs="Arial"/>
          <w:sz w:val="20"/>
          <w:szCs w:val="20"/>
          <w:lang w:val="es-UY"/>
        </w:rPr>
        <w:t xml:space="preserve">Inza desde finales del año 2004 la operación militar “fuego azul”, con lo que se incrementó </w:t>
      </w:r>
      <w:r w:rsidR="00A57461" w:rsidRPr="00A152A3">
        <w:rPr>
          <w:rFonts w:asciiTheme="majorHAnsi" w:hAnsiTheme="majorHAnsi" w:cs="Arial"/>
          <w:sz w:val="20"/>
          <w:szCs w:val="20"/>
          <w:lang w:val="es-UY"/>
        </w:rPr>
        <w:t xml:space="preserve">la presencia de </w:t>
      </w:r>
      <w:r w:rsidR="003D301C" w:rsidRPr="00A152A3">
        <w:rPr>
          <w:rFonts w:asciiTheme="majorHAnsi" w:hAnsiTheme="majorHAnsi" w:cs="Arial"/>
          <w:sz w:val="20"/>
          <w:szCs w:val="20"/>
          <w:lang w:val="es-UY"/>
        </w:rPr>
        <w:t>efectivos militares en la zona</w:t>
      </w:r>
      <w:r w:rsidR="00A57461" w:rsidRPr="00A152A3">
        <w:rPr>
          <w:rFonts w:asciiTheme="majorHAnsi" w:hAnsiTheme="majorHAnsi" w:cs="Arial"/>
          <w:sz w:val="20"/>
          <w:szCs w:val="20"/>
          <w:lang w:val="es-UY"/>
        </w:rPr>
        <w:t>, y los abusos contra indígenas y campesinos</w:t>
      </w:r>
      <w:r w:rsidR="00E616C3" w:rsidRPr="00A152A3">
        <w:rPr>
          <w:rFonts w:asciiTheme="majorHAnsi" w:hAnsiTheme="majorHAnsi" w:cs="Arial"/>
          <w:sz w:val="20"/>
          <w:szCs w:val="20"/>
          <w:lang w:val="es-UY"/>
        </w:rPr>
        <w:t xml:space="preserve"> del sector</w:t>
      </w:r>
      <w:r w:rsidR="00A57461" w:rsidRPr="00A152A3">
        <w:rPr>
          <w:rFonts w:asciiTheme="majorHAnsi" w:hAnsiTheme="majorHAnsi" w:cs="Arial"/>
          <w:sz w:val="20"/>
          <w:szCs w:val="20"/>
          <w:lang w:val="es-UY"/>
        </w:rPr>
        <w:t>.</w:t>
      </w:r>
      <w:r w:rsidR="00A152A3" w:rsidRPr="00A152A3">
        <w:rPr>
          <w:rFonts w:asciiTheme="majorHAnsi" w:hAnsiTheme="majorHAnsi" w:cs="Arial"/>
          <w:sz w:val="20"/>
          <w:szCs w:val="20"/>
          <w:lang w:val="es-UY"/>
        </w:rPr>
        <w:t xml:space="preserve"> En este contexto, señalan que </w:t>
      </w:r>
      <w:r w:rsidR="00EA3EE4" w:rsidRPr="00A152A3">
        <w:rPr>
          <w:rFonts w:asciiTheme="majorHAnsi" w:hAnsiTheme="majorHAnsi" w:cs="Arial"/>
          <w:sz w:val="20"/>
          <w:szCs w:val="20"/>
          <w:lang w:val="es-UY"/>
        </w:rPr>
        <w:t>e</w:t>
      </w:r>
      <w:r w:rsidR="00A152A3">
        <w:rPr>
          <w:rFonts w:asciiTheme="majorHAnsi" w:hAnsiTheme="majorHAnsi" w:cs="Arial"/>
          <w:sz w:val="20"/>
          <w:szCs w:val="20"/>
          <w:lang w:val="es-UY"/>
        </w:rPr>
        <w:t>l 8</w:t>
      </w:r>
      <w:r w:rsidR="00A57461" w:rsidRPr="00A152A3">
        <w:rPr>
          <w:rFonts w:asciiTheme="majorHAnsi" w:hAnsiTheme="majorHAnsi" w:cs="Arial"/>
          <w:sz w:val="20"/>
          <w:szCs w:val="20"/>
          <w:lang w:val="es-UY"/>
        </w:rPr>
        <w:t xml:space="preserve"> de enero de 2006 </w:t>
      </w:r>
      <w:r w:rsidR="00A57461" w:rsidRPr="00A152A3">
        <w:rPr>
          <w:rFonts w:asciiTheme="majorHAnsi" w:hAnsiTheme="majorHAnsi"/>
          <w:sz w:val="20"/>
          <w:szCs w:val="20"/>
          <w:lang w:val="es-UY"/>
        </w:rPr>
        <w:t>Hortencia Neyid Tunja Cuchumbe</w:t>
      </w:r>
      <w:r w:rsidR="00A152A3">
        <w:rPr>
          <w:rFonts w:asciiTheme="majorHAnsi" w:hAnsiTheme="majorHAnsi"/>
          <w:sz w:val="20"/>
          <w:szCs w:val="20"/>
          <w:lang w:val="es-UY"/>
        </w:rPr>
        <w:t xml:space="preserve">, </w:t>
      </w:r>
      <w:r w:rsidR="00A152A3" w:rsidRPr="00A152A3">
        <w:rPr>
          <w:rFonts w:asciiTheme="majorHAnsi" w:hAnsiTheme="majorHAnsi"/>
          <w:sz w:val="20"/>
          <w:szCs w:val="20"/>
          <w:lang w:val="es-UY"/>
        </w:rPr>
        <w:t>Manuel Antonio Tao Pillimué</w:t>
      </w:r>
      <w:r w:rsidR="00A57461" w:rsidRPr="00A152A3">
        <w:rPr>
          <w:rFonts w:asciiTheme="majorHAnsi" w:hAnsiTheme="majorHAnsi"/>
          <w:sz w:val="20"/>
          <w:szCs w:val="20"/>
          <w:lang w:val="es-UY"/>
        </w:rPr>
        <w:t xml:space="preserve"> y Willian José Cunacue Medina</w:t>
      </w:r>
      <w:r w:rsidR="00A40334">
        <w:rPr>
          <w:rFonts w:asciiTheme="majorHAnsi" w:hAnsiTheme="majorHAnsi"/>
          <w:sz w:val="20"/>
          <w:szCs w:val="20"/>
          <w:lang w:val="es-UY"/>
        </w:rPr>
        <w:t>, quienes en la época de los hechos habrían tenido 17, 22 y 26 años respectivamente,</w:t>
      </w:r>
      <w:r w:rsidR="00A57461" w:rsidRPr="00A152A3">
        <w:rPr>
          <w:rFonts w:asciiTheme="majorHAnsi" w:hAnsiTheme="majorHAnsi"/>
          <w:sz w:val="20"/>
          <w:szCs w:val="20"/>
          <w:lang w:val="es-UY"/>
        </w:rPr>
        <w:t xml:space="preserve"> se movilizaban en una motocicleta</w:t>
      </w:r>
      <w:r w:rsidR="00A152A3">
        <w:rPr>
          <w:rFonts w:asciiTheme="majorHAnsi" w:hAnsiTheme="majorHAnsi"/>
          <w:sz w:val="20"/>
          <w:szCs w:val="20"/>
          <w:lang w:val="es-UY"/>
        </w:rPr>
        <w:t xml:space="preserve"> de regreso a sus hogares tras participar en una fiesta,</w:t>
      </w:r>
      <w:r w:rsidR="00A57461" w:rsidRPr="00A152A3">
        <w:rPr>
          <w:rFonts w:asciiTheme="majorHAnsi" w:hAnsiTheme="majorHAnsi"/>
          <w:sz w:val="20"/>
          <w:szCs w:val="20"/>
          <w:lang w:val="es-UY"/>
        </w:rPr>
        <w:t xml:space="preserve"> cuando </w:t>
      </w:r>
      <w:r w:rsidR="005D7588" w:rsidRPr="00A152A3">
        <w:rPr>
          <w:rFonts w:asciiTheme="majorHAnsi" w:hAnsiTheme="majorHAnsi" w:cs="Arial"/>
          <w:sz w:val="20"/>
          <w:szCs w:val="20"/>
          <w:lang w:val="es-UY"/>
        </w:rPr>
        <w:t xml:space="preserve">militares </w:t>
      </w:r>
      <w:r w:rsidR="00630E0F">
        <w:rPr>
          <w:rFonts w:asciiTheme="majorHAnsi" w:hAnsiTheme="majorHAnsi" w:cs="Arial"/>
          <w:sz w:val="20"/>
          <w:szCs w:val="20"/>
          <w:lang w:val="es-UY"/>
        </w:rPr>
        <w:t>pertenecientes</w:t>
      </w:r>
      <w:r w:rsidR="005D7588" w:rsidRPr="00A152A3">
        <w:rPr>
          <w:rFonts w:asciiTheme="majorHAnsi" w:hAnsiTheme="majorHAnsi" w:cs="Arial"/>
          <w:sz w:val="20"/>
          <w:szCs w:val="20"/>
          <w:lang w:val="es-UY"/>
        </w:rPr>
        <w:t xml:space="preserve"> al</w:t>
      </w:r>
      <w:r w:rsidR="00A152A3">
        <w:rPr>
          <w:rFonts w:asciiTheme="majorHAnsi" w:hAnsiTheme="majorHAnsi" w:cs="Arial"/>
          <w:sz w:val="20"/>
          <w:szCs w:val="20"/>
          <w:lang w:val="es-UY"/>
        </w:rPr>
        <w:t xml:space="preserve"> Batallón de Infantería No 26 “</w:t>
      </w:r>
      <w:r w:rsidR="005D7588" w:rsidRPr="00A152A3">
        <w:rPr>
          <w:rFonts w:asciiTheme="majorHAnsi" w:hAnsiTheme="majorHAnsi" w:cs="Arial"/>
          <w:sz w:val="20"/>
          <w:szCs w:val="20"/>
          <w:lang w:val="es-UY"/>
        </w:rPr>
        <w:t>Caciq</w:t>
      </w:r>
      <w:r w:rsidR="00A152A3">
        <w:rPr>
          <w:rFonts w:asciiTheme="majorHAnsi" w:hAnsiTheme="majorHAnsi" w:cs="Arial"/>
          <w:sz w:val="20"/>
          <w:szCs w:val="20"/>
          <w:lang w:val="es-UY"/>
        </w:rPr>
        <w:t>ue Pigoanza” con sede en Neiva, les</w:t>
      </w:r>
      <w:r w:rsidR="005D7588" w:rsidRPr="00A152A3">
        <w:rPr>
          <w:rFonts w:asciiTheme="majorHAnsi" w:hAnsiTheme="majorHAnsi" w:cs="Arial"/>
          <w:sz w:val="20"/>
          <w:szCs w:val="20"/>
          <w:lang w:val="es-UY"/>
        </w:rPr>
        <w:t xml:space="preserve"> dispararon de forma indiscriminada y sorpresiva. </w:t>
      </w:r>
      <w:r w:rsidR="00515280" w:rsidRPr="00A152A3">
        <w:rPr>
          <w:rFonts w:asciiTheme="majorHAnsi" w:hAnsiTheme="majorHAnsi"/>
          <w:sz w:val="20"/>
          <w:szCs w:val="20"/>
          <w:lang w:val="es-UY"/>
        </w:rPr>
        <w:t>Hortencia Neyid Tunja Cuchumbe y Manuel Antonio Tao Pillimué fallecieron inmediatamente</w:t>
      </w:r>
      <w:r w:rsidR="00A76CCD" w:rsidRPr="00A152A3">
        <w:rPr>
          <w:rFonts w:asciiTheme="majorHAnsi" w:hAnsiTheme="majorHAnsi"/>
          <w:sz w:val="20"/>
          <w:szCs w:val="20"/>
          <w:lang w:val="es-UY"/>
        </w:rPr>
        <w:t>,</w:t>
      </w:r>
      <w:r w:rsidR="00515280" w:rsidRPr="00A152A3">
        <w:rPr>
          <w:rFonts w:asciiTheme="majorHAnsi" w:hAnsiTheme="majorHAnsi"/>
          <w:sz w:val="20"/>
          <w:szCs w:val="20"/>
          <w:lang w:val="es-UY"/>
        </w:rPr>
        <w:t xml:space="preserve"> </w:t>
      </w:r>
      <w:r w:rsidR="00765868">
        <w:rPr>
          <w:rFonts w:asciiTheme="majorHAnsi" w:hAnsiTheme="majorHAnsi"/>
          <w:sz w:val="20"/>
          <w:szCs w:val="20"/>
          <w:lang w:val="es-UY"/>
        </w:rPr>
        <w:t xml:space="preserve">mientras que </w:t>
      </w:r>
      <w:r w:rsidR="00515280" w:rsidRPr="00A152A3">
        <w:rPr>
          <w:rFonts w:asciiTheme="majorHAnsi" w:hAnsiTheme="majorHAnsi"/>
          <w:sz w:val="20"/>
          <w:szCs w:val="20"/>
          <w:lang w:val="es-UY"/>
        </w:rPr>
        <w:t>Willian José Cunacue Medina result</w:t>
      </w:r>
      <w:r w:rsidR="00630E0F">
        <w:rPr>
          <w:sz w:val="20"/>
          <w:szCs w:val="20"/>
          <w:lang w:val="es-UY"/>
        </w:rPr>
        <w:t>ó</w:t>
      </w:r>
      <w:r w:rsidR="00515280" w:rsidRPr="00A152A3">
        <w:rPr>
          <w:rFonts w:asciiTheme="majorHAnsi" w:hAnsiTheme="majorHAnsi"/>
          <w:sz w:val="20"/>
          <w:szCs w:val="20"/>
          <w:lang w:val="es-UY"/>
        </w:rPr>
        <w:t xml:space="preserve"> herido </w:t>
      </w:r>
      <w:r w:rsidR="00A76CCD" w:rsidRPr="00A152A3">
        <w:rPr>
          <w:rFonts w:asciiTheme="majorHAnsi" w:hAnsiTheme="majorHAnsi"/>
          <w:sz w:val="20"/>
          <w:szCs w:val="20"/>
          <w:lang w:val="es-UY"/>
        </w:rPr>
        <w:t xml:space="preserve">de gravedad </w:t>
      </w:r>
      <w:r w:rsidR="00515280" w:rsidRPr="00A152A3">
        <w:rPr>
          <w:rFonts w:asciiTheme="majorHAnsi" w:hAnsiTheme="majorHAnsi"/>
          <w:sz w:val="20"/>
          <w:szCs w:val="20"/>
          <w:lang w:val="es-UY"/>
        </w:rPr>
        <w:t xml:space="preserve">de ambas piernas. </w:t>
      </w:r>
    </w:p>
    <w:p w:rsidR="008C60D9" w:rsidRPr="00403B82" w:rsidRDefault="008C60D9" w:rsidP="00AD528E">
      <w:pPr>
        <w:rPr>
          <w:rFonts w:asciiTheme="majorHAnsi" w:hAnsiTheme="majorHAnsi" w:cs="Arial"/>
          <w:sz w:val="20"/>
          <w:szCs w:val="20"/>
          <w:lang w:val="es-UY"/>
        </w:rPr>
      </w:pPr>
    </w:p>
    <w:p w:rsidR="00CA17C9" w:rsidRPr="00CA17C9" w:rsidRDefault="008C60D9" w:rsidP="00AD528E">
      <w:pPr>
        <w:pStyle w:val="ListParagraph"/>
        <w:numPr>
          <w:ilvl w:val="0"/>
          <w:numId w:val="56"/>
        </w:numPr>
        <w:jc w:val="both"/>
        <w:rPr>
          <w:rFonts w:asciiTheme="majorHAnsi" w:eastAsia="Arial Unicode MS" w:hAnsiTheme="majorHAnsi" w:cs="Arial"/>
          <w:color w:val="auto"/>
          <w:sz w:val="20"/>
          <w:szCs w:val="20"/>
          <w:lang w:val="es-UY" w:eastAsia="en-US"/>
        </w:rPr>
      </w:pPr>
      <w:r w:rsidRPr="00CA17C9">
        <w:rPr>
          <w:rFonts w:asciiTheme="majorHAnsi" w:hAnsiTheme="majorHAnsi" w:cs="Arial"/>
          <w:sz w:val="20"/>
          <w:szCs w:val="20"/>
          <w:lang w:val="es-UY"/>
        </w:rPr>
        <w:t xml:space="preserve">Los peticionarios </w:t>
      </w:r>
      <w:r w:rsidR="00DB244D">
        <w:rPr>
          <w:rFonts w:asciiTheme="majorHAnsi" w:hAnsiTheme="majorHAnsi" w:cs="Arial"/>
          <w:sz w:val="20"/>
          <w:szCs w:val="20"/>
          <w:lang w:val="es-UY"/>
        </w:rPr>
        <w:t>indican</w:t>
      </w:r>
      <w:r w:rsidRPr="00CA17C9">
        <w:rPr>
          <w:rFonts w:asciiTheme="majorHAnsi" w:hAnsiTheme="majorHAnsi" w:cs="Arial"/>
          <w:sz w:val="20"/>
          <w:szCs w:val="20"/>
          <w:lang w:val="es-UY"/>
        </w:rPr>
        <w:t xml:space="preserve"> </w:t>
      </w:r>
      <w:r w:rsidR="000C7E95" w:rsidRPr="00CA17C9">
        <w:rPr>
          <w:rFonts w:asciiTheme="majorHAnsi" w:hAnsiTheme="majorHAnsi" w:cs="Arial"/>
          <w:sz w:val="20"/>
          <w:szCs w:val="20"/>
          <w:lang w:val="es-UY"/>
        </w:rPr>
        <w:t xml:space="preserve">que los </w:t>
      </w:r>
      <w:r w:rsidR="00DB244D">
        <w:rPr>
          <w:rFonts w:asciiTheme="majorHAnsi" w:hAnsiTheme="majorHAnsi" w:cs="Arial"/>
          <w:sz w:val="20"/>
          <w:szCs w:val="20"/>
          <w:lang w:val="es-UY"/>
        </w:rPr>
        <w:t>militares</w:t>
      </w:r>
      <w:r w:rsidR="000C7E95" w:rsidRPr="00CA17C9">
        <w:rPr>
          <w:rFonts w:asciiTheme="majorHAnsi" w:hAnsiTheme="majorHAnsi" w:cs="Arial"/>
          <w:sz w:val="20"/>
          <w:szCs w:val="20"/>
          <w:lang w:val="es-UY"/>
        </w:rPr>
        <w:t xml:space="preserve"> </w:t>
      </w:r>
      <w:r w:rsidR="00DB244D">
        <w:rPr>
          <w:rFonts w:asciiTheme="majorHAnsi" w:hAnsiTheme="majorHAnsi" w:cs="Arial"/>
          <w:sz w:val="20"/>
          <w:szCs w:val="20"/>
          <w:lang w:val="es-UY"/>
        </w:rPr>
        <w:t>restringieron</w:t>
      </w:r>
      <w:r w:rsidR="000C7E95" w:rsidRPr="00CA17C9">
        <w:rPr>
          <w:rFonts w:asciiTheme="majorHAnsi" w:hAnsiTheme="majorHAnsi" w:cs="Arial"/>
          <w:sz w:val="20"/>
          <w:szCs w:val="20"/>
          <w:lang w:val="es-UY"/>
        </w:rPr>
        <w:t xml:space="preserve"> </w:t>
      </w:r>
      <w:r w:rsidR="00DB244D">
        <w:rPr>
          <w:rFonts w:asciiTheme="majorHAnsi" w:hAnsiTheme="majorHAnsi" w:cs="Arial"/>
          <w:sz w:val="20"/>
          <w:szCs w:val="20"/>
          <w:lang w:val="es-UY"/>
        </w:rPr>
        <w:t xml:space="preserve">el acceso al sitio del suceso a los </w:t>
      </w:r>
      <w:r w:rsidR="000C7E95" w:rsidRPr="00CA17C9">
        <w:rPr>
          <w:rFonts w:asciiTheme="majorHAnsi" w:hAnsiTheme="majorHAnsi" w:cs="Arial"/>
          <w:sz w:val="20"/>
          <w:szCs w:val="20"/>
          <w:lang w:val="es-UY"/>
        </w:rPr>
        <w:t>famili</w:t>
      </w:r>
      <w:r w:rsidR="00DB244D">
        <w:rPr>
          <w:rFonts w:asciiTheme="majorHAnsi" w:hAnsiTheme="majorHAnsi" w:cs="Arial"/>
          <w:sz w:val="20"/>
          <w:szCs w:val="20"/>
          <w:lang w:val="es-UY"/>
        </w:rPr>
        <w:t xml:space="preserve">ares </w:t>
      </w:r>
      <w:r w:rsidR="000C7E95" w:rsidRPr="00CA17C9">
        <w:rPr>
          <w:rFonts w:asciiTheme="majorHAnsi" w:hAnsiTheme="majorHAnsi" w:cs="Arial"/>
          <w:sz w:val="20"/>
          <w:szCs w:val="20"/>
          <w:lang w:val="es-UY"/>
        </w:rPr>
        <w:t>y</w:t>
      </w:r>
      <w:r w:rsidR="00DB244D">
        <w:rPr>
          <w:rFonts w:asciiTheme="majorHAnsi" w:hAnsiTheme="majorHAnsi" w:cs="Arial"/>
          <w:sz w:val="20"/>
          <w:szCs w:val="20"/>
          <w:lang w:val="es-UY"/>
        </w:rPr>
        <w:t xml:space="preserve"> a</w:t>
      </w:r>
      <w:r w:rsidR="000C7E95" w:rsidRPr="00CA17C9">
        <w:rPr>
          <w:rFonts w:asciiTheme="majorHAnsi" w:hAnsiTheme="majorHAnsi" w:cs="Arial"/>
          <w:sz w:val="20"/>
          <w:szCs w:val="20"/>
          <w:lang w:val="es-UY"/>
        </w:rPr>
        <w:t xml:space="preserve"> la comunidad, impidiend</w:t>
      </w:r>
      <w:r w:rsidR="00A152A3">
        <w:rPr>
          <w:rFonts w:asciiTheme="majorHAnsi" w:hAnsiTheme="majorHAnsi" w:cs="Arial"/>
          <w:sz w:val="20"/>
          <w:szCs w:val="20"/>
          <w:lang w:val="es-UY"/>
        </w:rPr>
        <w:t xml:space="preserve">o </w:t>
      </w:r>
      <w:r w:rsidR="00DB244D">
        <w:rPr>
          <w:rFonts w:asciiTheme="majorHAnsi" w:hAnsiTheme="majorHAnsi" w:cs="Arial"/>
          <w:sz w:val="20"/>
          <w:szCs w:val="20"/>
          <w:lang w:val="es-UY"/>
        </w:rPr>
        <w:t>además q</w:t>
      </w:r>
      <w:r w:rsidR="00A152A3">
        <w:rPr>
          <w:rFonts w:asciiTheme="majorHAnsi" w:hAnsiTheme="majorHAnsi" w:cs="Arial"/>
          <w:sz w:val="20"/>
          <w:szCs w:val="20"/>
          <w:lang w:val="es-UY"/>
        </w:rPr>
        <w:t>ue la Fiscalía realiz</w:t>
      </w:r>
      <w:r w:rsidR="0029694E">
        <w:rPr>
          <w:rFonts w:asciiTheme="majorHAnsi" w:hAnsiTheme="majorHAnsi" w:cs="Arial"/>
          <w:sz w:val="20"/>
          <w:szCs w:val="20"/>
          <w:lang w:val="es-UY"/>
        </w:rPr>
        <w:t>ara el levantamiento de los cuerpos</w:t>
      </w:r>
      <w:r w:rsidR="00DB244D">
        <w:rPr>
          <w:rFonts w:asciiTheme="majorHAnsi" w:hAnsiTheme="majorHAnsi" w:cs="Arial"/>
          <w:sz w:val="20"/>
          <w:szCs w:val="20"/>
          <w:lang w:val="es-UY"/>
        </w:rPr>
        <w:t>, los cuales habrían sido trasladados por militares en una cam</w:t>
      </w:r>
      <w:r w:rsidR="00DB244D" w:rsidRPr="00D03F56">
        <w:rPr>
          <w:rFonts w:asciiTheme="majorHAnsi" w:hAnsiTheme="majorHAnsi" w:cs="Arial"/>
          <w:sz w:val="20"/>
          <w:szCs w:val="20"/>
          <w:lang w:val="es-UY"/>
        </w:rPr>
        <w:t>ioneta de servicio público</w:t>
      </w:r>
      <w:r w:rsidR="00DB244D">
        <w:rPr>
          <w:rFonts w:asciiTheme="majorHAnsi" w:hAnsiTheme="majorHAnsi" w:cs="Arial"/>
          <w:sz w:val="20"/>
          <w:szCs w:val="20"/>
          <w:lang w:val="es-UY"/>
        </w:rPr>
        <w:t xml:space="preserve">, </w:t>
      </w:r>
      <w:r w:rsidR="00B03647">
        <w:rPr>
          <w:rFonts w:asciiTheme="majorHAnsi" w:hAnsiTheme="majorHAnsi" w:cs="Arial"/>
          <w:sz w:val="20"/>
          <w:szCs w:val="20"/>
          <w:lang w:val="es-UY"/>
        </w:rPr>
        <w:t xml:space="preserve">y </w:t>
      </w:r>
      <w:r w:rsidR="00DB244D">
        <w:rPr>
          <w:rFonts w:asciiTheme="majorHAnsi" w:hAnsiTheme="majorHAnsi" w:cs="Arial"/>
          <w:sz w:val="20"/>
          <w:szCs w:val="20"/>
          <w:lang w:val="es-UY"/>
        </w:rPr>
        <w:t>puesto</w:t>
      </w:r>
      <w:r w:rsidR="00B03647">
        <w:rPr>
          <w:rFonts w:asciiTheme="majorHAnsi" w:hAnsiTheme="majorHAnsi" w:cs="Arial"/>
          <w:sz w:val="20"/>
          <w:szCs w:val="20"/>
          <w:lang w:val="es-UY"/>
        </w:rPr>
        <w:t>s</w:t>
      </w:r>
      <w:r w:rsidR="00DB244D">
        <w:rPr>
          <w:rFonts w:asciiTheme="majorHAnsi" w:hAnsiTheme="majorHAnsi" w:cs="Arial"/>
          <w:sz w:val="20"/>
          <w:szCs w:val="20"/>
          <w:lang w:val="es-UY"/>
        </w:rPr>
        <w:t xml:space="preserve"> a disposición de la fiscalía local en </w:t>
      </w:r>
      <w:r w:rsidR="00DB244D" w:rsidRPr="00D03F56">
        <w:rPr>
          <w:rFonts w:asciiTheme="majorHAnsi" w:hAnsiTheme="majorHAnsi" w:cs="Arial"/>
          <w:sz w:val="20"/>
          <w:szCs w:val="20"/>
          <w:lang w:val="es-UY"/>
        </w:rPr>
        <w:t>la base militar del municipio de La Plata,</w:t>
      </w:r>
      <w:r w:rsidR="00DB244D">
        <w:rPr>
          <w:rFonts w:asciiTheme="majorHAnsi" w:hAnsiTheme="majorHAnsi" w:cs="Arial"/>
          <w:sz w:val="20"/>
          <w:szCs w:val="20"/>
          <w:lang w:val="es-UY"/>
        </w:rPr>
        <w:t xml:space="preserve"> donde habrían sido ex</w:t>
      </w:r>
      <w:r w:rsidR="00DB244D" w:rsidRPr="00D03F56">
        <w:rPr>
          <w:rFonts w:asciiTheme="majorHAnsi" w:hAnsiTheme="majorHAnsi" w:cs="Arial"/>
          <w:sz w:val="20"/>
          <w:szCs w:val="20"/>
          <w:lang w:val="es-UY"/>
        </w:rPr>
        <w:t xml:space="preserve">hibidos junto a equipamiento militar supuestamente </w:t>
      </w:r>
      <w:r w:rsidR="00DB244D">
        <w:rPr>
          <w:rFonts w:asciiTheme="majorHAnsi" w:hAnsiTheme="majorHAnsi" w:cs="Arial"/>
          <w:sz w:val="20"/>
          <w:szCs w:val="20"/>
          <w:lang w:val="es-UY"/>
        </w:rPr>
        <w:t>incautado</w:t>
      </w:r>
      <w:r w:rsidR="00DB244D" w:rsidRPr="00D03F56">
        <w:rPr>
          <w:rFonts w:asciiTheme="majorHAnsi" w:hAnsiTheme="majorHAnsi" w:cs="Arial"/>
          <w:sz w:val="20"/>
          <w:szCs w:val="20"/>
          <w:lang w:val="es-UY"/>
        </w:rPr>
        <w:t xml:space="preserve">, </w:t>
      </w:r>
      <w:r w:rsidR="00DB244D">
        <w:rPr>
          <w:rFonts w:asciiTheme="majorHAnsi" w:hAnsiTheme="majorHAnsi" w:cs="Arial"/>
          <w:sz w:val="20"/>
          <w:szCs w:val="20"/>
          <w:lang w:val="es-UY"/>
        </w:rPr>
        <w:t xml:space="preserve">y </w:t>
      </w:r>
      <w:r w:rsidR="00DB244D" w:rsidRPr="00D03F56">
        <w:rPr>
          <w:rFonts w:asciiTheme="majorHAnsi" w:hAnsiTheme="majorHAnsi" w:cs="Arial"/>
          <w:sz w:val="20"/>
          <w:szCs w:val="20"/>
          <w:lang w:val="es-UY"/>
        </w:rPr>
        <w:t xml:space="preserve">presentados a los medios de </w:t>
      </w:r>
      <w:r w:rsidR="00DB244D">
        <w:rPr>
          <w:rFonts w:asciiTheme="majorHAnsi" w:hAnsiTheme="majorHAnsi" w:cs="Arial"/>
          <w:sz w:val="20"/>
          <w:szCs w:val="20"/>
          <w:lang w:val="es-UY"/>
        </w:rPr>
        <w:t xml:space="preserve">comunicación </w:t>
      </w:r>
      <w:r w:rsidR="00DB244D" w:rsidRPr="00D03F56">
        <w:rPr>
          <w:rFonts w:asciiTheme="majorHAnsi" w:hAnsiTheme="majorHAnsi" w:cs="Arial"/>
          <w:sz w:val="20"/>
          <w:szCs w:val="20"/>
          <w:lang w:val="es-UY"/>
        </w:rPr>
        <w:t xml:space="preserve">como </w:t>
      </w:r>
      <w:r w:rsidR="00DB244D">
        <w:rPr>
          <w:rFonts w:asciiTheme="majorHAnsi" w:hAnsiTheme="majorHAnsi" w:cs="Arial"/>
          <w:sz w:val="20"/>
          <w:szCs w:val="20"/>
          <w:lang w:val="es-UY"/>
        </w:rPr>
        <w:t>guerrilleros muertos en combate</w:t>
      </w:r>
      <w:r w:rsidR="000C7E95" w:rsidRPr="00CA17C9">
        <w:rPr>
          <w:rFonts w:asciiTheme="majorHAnsi" w:hAnsiTheme="majorHAnsi" w:cs="Arial"/>
          <w:sz w:val="20"/>
          <w:szCs w:val="20"/>
          <w:lang w:val="es-UY"/>
        </w:rPr>
        <w:t>.</w:t>
      </w:r>
      <w:r w:rsidR="00DB244D">
        <w:rPr>
          <w:rFonts w:asciiTheme="majorHAnsi" w:hAnsiTheme="majorHAnsi" w:cs="Arial"/>
          <w:sz w:val="20"/>
          <w:szCs w:val="20"/>
          <w:lang w:val="es-UY"/>
        </w:rPr>
        <w:t xml:space="preserve"> Además</w:t>
      </w:r>
      <w:r w:rsidR="00F77B95">
        <w:rPr>
          <w:rFonts w:asciiTheme="majorHAnsi" w:hAnsiTheme="majorHAnsi" w:cs="Arial"/>
          <w:sz w:val="20"/>
          <w:szCs w:val="20"/>
          <w:lang w:val="es-UY"/>
        </w:rPr>
        <w:t>,</w:t>
      </w:r>
      <w:r w:rsidR="00DB244D">
        <w:rPr>
          <w:rFonts w:asciiTheme="majorHAnsi" w:hAnsiTheme="majorHAnsi" w:cs="Arial"/>
          <w:sz w:val="20"/>
          <w:szCs w:val="20"/>
          <w:lang w:val="es-UY"/>
        </w:rPr>
        <w:t xml:space="preserve"> refieren que </w:t>
      </w:r>
      <w:r w:rsidR="004A5F9E" w:rsidRPr="00CA17C9">
        <w:rPr>
          <w:rFonts w:asciiTheme="majorHAnsi" w:hAnsiTheme="majorHAnsi" w:cs="Arial"/>
          <w:sz w:val="20"/>
          <w:szCs w:val="20"/>
          <w:lang w:val="es-UY"/>
        </w:rPr>
        <w:t>u</w:t>
      </w:r>
      <w:r w:rsidR="000C7E95" w:rsidRPr="00CA17C9">
        <w:rPr>
          <w:rFonts w:asciiTheme="majorHAnsi" w:hAnsiTheme="majorHAnsi" w:cs="Arial"/>
          <w:sz w:val="20"/>
          <w:szCs w:val="20"/>
          <w:lang w:val="es-UY"/>
        </w:rPr>
        <w:t>nidades militares irrumpieron en la sed</w:t>
      </w:r>
      <w:r w:rsidR="00A152A3">
        <w:rPr>
          <w:rFonts w:asciiTheme="majorHAnsi" w:hAnsiTheme="majorHAnsi" w:cs="Arial"/>
          <w:sz w:val="20"/>
          <w:szCs w:val="20"/>
          <w:lang w:val="es-UY"/>
        </w:rPr>
        <w:t>e de la Junta de Acción Comunal</w:t>
      </w:r>
      <w:r w:rsidR="006E6D32">
        <w:rPr>
          <w:rFonts w:asciiTheme="majorHAnsi" w:hAnsiTheme="majorHAnsi" w:cs="Arial"/>
          <w:sz w:val="20"/>
          <w:szCs w:val="20"/>
          <w:lang w:val="es-UY"/>
        </w:rPr>
        <w:t>,</w:t>
      </w:r>
      <w:r w:rsidR="000C7E95" w:rsidRPr="00CA17C9">
        <w:rPr>
          <w:rFonts w:asciiTheme="majorHAnsi" w:hAnsiTheme="majorHAnsi" w:cs="Arial"/>
          <w:sz w:val="20"/>
          <w:szCs w:val="20"/>
          <w:lang w:val="es-UY"/>
        </w:rPr>
        <w:t xml:space="preserve"> donde se celebraba la fi</w:t>
      </w:r>
      <w:r w:rsidR="006E6D32">
        <w:rPr>
          <w:rFonts w:asciiTheme="majorHAnsi" w:hAnsiTheme="majorHAnsi" w:cs="Arial"/>
          <w:sz w:val="20"/>
          <w:szCs w:val="20"/>
          <w:lang w:val="es-UY"/>
        </w:rPr>
        <w:t>esta</w:t>
      </w:r>
      <w:r w:rsidR="00F77B95">
        <w:rPr>
          <w:rFonts w:asciiTheme="majorHAnsi" w:hAnsiTheme="majorHAnsi" w:cs="Arial"/>
          <w:sz w:val="20"/>
          <w:szCs w:val="20"/>
          <w:lang w:val="es-UY"/>
        </w:rPr>
        <w:t xml:space="preserve"> en la que las presuntas víctimas habrían participado previo a los hechos</w:t>
      </w:r>
      <w:r w:rsidR="006E6D32">
        <w:rPr>
          <w:rFonts w:asciiTheme="majorHAnsi" w:hAnsiTheme="majorHAnsi" w:cs="Arial"/>
          <w:sz w:val="20"/>
          <w:szCs w:val="20"/>
          <w:lang w:val="es-UY"/>
        </w:rPr>
        <w:t>, con los rostros cubiertos</w:t>
      </w:r>
      <w:r w:rsidR="000C7E95" w:rsidRPr="00CA17C9">
        <w:rPr>
          <w:rFonts w:asciiTheme="majorHAnsi" w:hAnsiTheme="majorHAnsi" w:cs="Arial"/>
          <w:sz w:val="20"/>
          <w:szCs w:val="20"/>
          <w:lang w:val="es-UY"/>
        </w:rPr>
        <w:t xml:space="preserve"> </w:t>
      </w:r>
      <w:r w:rsidR="00EA3EE4" w:rsidRPr="00CA17C9">
        <w:rPr>
          <w:rFonts w:asciiTheme="majorHAnsi" w:hAnsiTheme="majorHAnsi" w:cs="Arial"/>
          <w:sz w:val="20"/>
          <w:szCs w:val="20"/>
          <w:lang w:val="es-UY"/>
        </w:rPr>
        <w:t>y sus identidades ocultas</w:t>
      </w:r>
      <w:r w:rsidR="004A5F9E" w:rsidRPr="00CA17C9">
        <w:rPr>
          <w:rFonts w:asciiTheme="majorHAnsi" w:hAnsiTheme="majorHAnsi" w:cs="Arial"/>
          <w:sz w:val="20"/>
          <w:szCs w:val="20"/>
          <w:lang w:val="es-UY"/>
        </w:rPr>
        <w:t xml:space="preserve">, amenazando y golpeando </w:t>
      </w:r>
      <w:r w:rsidR="000C7E95" w:rsidRPr="00CA17C9">
        <w:rPr>
          <w:rFonts w:asciiTheme="majorHAnsi" w:hAnsiTheme="majorHAnsi" w:cs="Arial"/>
          <w:sz w:val="20"/>
          <w:szCs w:val="20"/>
          <w:lang w:val="es-UY"/>
        </w:rPr>
        <w:t xml:space="preserve">a los campesinos. </w:t>
      </w:r>
      <w:r w:rsidR="00BC55D0">
        <w:rPr>
          <w:rFonts w:asciiTheme="majorHAnsi" w:hAnsiTheme="majorHAnsi" w:cs="Arial"/>
          <w:sz w:val="20"/>
          <w:szCs w:val="20"/>
          <w:lang w:val="es-UY"/>
        </w:rPr>
        <w:t>Asimismo,</w:t>
      </w:r>
      <w:r w:rsidR="00530296">
        <w:rPr>
          <w:rFonts w:asciiTheme="majorHAnsi" w:eastAsia="Arial Unicode MS" w:hAnsiTheme="majorHAnsi" w:cs="Arial"/>
          <w:color w:val="auto"/>
          <w:sz w:val="20"/>
          <w:szCs w:val="20"/>
          <w:lang w:val="es-UY" w:eastAsia="en-US"/>
        </w:rPr>
        <w:t xml:space="preserve"> </w:t>
      </w:r>
      <w:r w:rsidR="00F77B95">
        <w:rPr>
          <w:rFonts w:asciiTheme="majorHAnsi" w:eastAsia="Arial Unicode MS" w:hAnsiTheme="majorHAnsi" w:cs="Arial"/>
          <w:color w:val="auto"/>
          <w:sz w:val="20"/>
          <w:szCs w:val="20"/>
          <w:lang w:val="es-UY" w:eastAsia="en-US"/>
        </w:rPr>
        <w:t xml:space="preserve">alegan que </w:t>
      </w:r>
      <w:r w:rsidR="00530296">
        <w:rPr>
          <w:rFonts w:asciiTheme="majorHAnsi" w:eastAsia="Arial Unicode MS" w:hAnsiTheme="majorHAnsi" w:cs="Arial"/>
          <w:color w:val="auto"/>
          <w:sz w:val="20"/>
          <w:szCs w:val="20"/>
          <w:lang w:val="es-UY" w:eastAsia="en-US"/>
        </w:rPr>
        <w:t>la</w:t>
      </w:r>
      <w:r w:rsidR="00BC55D0">
        <w:rPr>
          <w:rFonts w:asciiTheme="majorHAnsi" w:eastAsia="Arial Unicode MS" w:hAnsiTheme="majorHAnsi" w:cs="Arial"/>
          <w:color w:val="auto"/>
          <w:sz w:val="20"/>
          <w:szCs w:val="20"/>
          <w:lang w:val="es-UY" w:eastAsia="en-US"/>
        </w:rPr>
        <w:t>s</w:t>
      </w:r>
      <w:r w:rsidR="00530296">
        <w:rPr>
          <w:rFonts w:asciiTheme="majorHAnsi" w:eastAsia="Arial Unicode MS" w:hAnsiTheme="majorHAnsi" w:cs="Arial"/>
          <w:color w:val="auto"/>
          <w:sz w:val="20"/>
          <w:szCs w:val="20"/>
          <w:lang w:val="es-UY" w:eastAsia="en-US"/>
        </w:rPr>
        <w:t xml:space="preserve"> familia</w:t>
      </w:r>
      <w:r w:rsidR="00BC55D0">
        <w:rPr>
          <w:rFonts w:asciiTheme="majorHAnsi" w:eastAsia="Arial Unicode MS" w:hAnsiTheme="majorHAnsi" w:cs="Arial"/>
          <w:color w:val="auto"/>
          <w:sz w:val="20"/>
          <w:szCs w:val="20"/>
          <w:lang w:val="es-UY" w:eastAsia="en-US"/>
        </w:rPr>
        <w:t>s</w:t>
      </w:r>
      <w:r w:rsidR="00CA17C9" w:rsidRPr="00CA17C9">
        <w:rPr>
          <w:rFonts w:asciiTheme="majorHAnsi" w:eastAsia="Arial Unicode MS" w:hAnsiTheme="majorHAnsi" w:cs="Arial"/>
          <w:color w:val="auto"/>
          <w:sz w:val="20"/>
          <w:szCs w:val="20"/>
          <w:lang w:val="es-UY" w:eastAsia="en-US"/>
        </w:rPr>
        <w:t xml:space="preserve"> de Willian José Cunacue Medina</w:t>
      </w:r>
      <w:r w:rsidR="00BC55D0">
        <w:rPr>
          <w:rFonts w:asciiTheme="majorHAnsi" w:eastAsia="Arial Unicode MS" w:hAnsiTheme="majorHAnsi" w:cs="Arial"/>
          <w:color w:val="auto"/>
          <w:sz w:val="20"/>
          <w:szCs w:val="20"/>
          <w:lang w:val="es-UY" w:eastAsia="en-US"/>
        </w:rPr>
        <w:t xml:space="preserve"> y </w:t>
      </w:r>
      <w:r w:rsidR="00CA17C9" w:rsidRPr="00CA17C9">
        <w:rPr>
          <w:rFonts w:asciiTheme="majorHAnsi" w:eastAsia="Arial Unicode MS" w:hAnsiTheme="majorHAnsi" w:cs="Arial"/>
          <w:color w:val="auto"/>
          <w:sz w:val="20"/>
          <w:szCs w:val="20"/>
          <w:lang w:val="es-UY" w:eastAsia="en-US"/>
        </w:rPr>
        <w:t>Hortencia Neyid Tunja Cuchumbe habrían recibido amedrentamientos</w:t>
      </w:r>
      <w:r w:rsidR="00DB244D">
        <w:rPr>
          <w:rFonts w:asciiTheme="majorHAnsi" w:eastAsia="Arial Unicode MS" w:hAnsiTheme="majorHAnsi" w:cs="Arial"/>
          <w:color w:val="auto"/>
          <w:sz w:val="20"/>
          <w:szCs w:val="20"/>
          <w:lang w:val="es-UY" w:eastAsia="en-US"/>
        </w:rPr>
        <w:t xml:space="preserve"> con posterioridad a los hechos</w:t>
      </w:r>
      <w:r w:rsidR="00CA17C9" w:rsidRPr="00CA17C9">
        <w:rPr>
          <w:rFonts w:asciiTheme="majorHAnsi" w:eastAsia="Arial Unicode MS" w:hAnsiTheme="majorHAnsi" w:cs="Arial"/>
          <w:color w:val="auto"/>
          <w:sz w:val="20"/>
          <w:szCs w:val="20"/>
          <w:lang w:val="es-UY" w:eastAsia="en-US"/>
        </w:rPr>
        <w:t xml:space="preserve">. </w:t>
      </w:r>
    </w:p>
    <w:p w:rsidR="00166105" w:rsidRPr="00D31F2B" w:rsidRDefault="00166105" w:rsidP="00AD528E">
      <w:pPr>
        <w:rPr>
          <w:rFonts w:asciiTheme="majorHAnsi" w:hAnsiTheme="majorHAnsi" w:cs="Arial"/>
          <w:sz w:val="20"/>
          <w:szCs w:val="20"/>
          <w:lang w:val="es-UY"/>
        </w:rPr>
      </w:pPr>
    </w:p>
    <w:p w:rsidR="00166105" w:rsidRPr="00EA1C6B" w:rsidRDefault="00222B33" w:rsidP="00AD528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UY"/>
        </w:rPr>
      </w:pPr>
      <w:r w:rsidRPr="00EA1C6B">
        <w:rPr>
          <w:rFonts w:asciiTheme="majorHAnsi" w:hAnsiTheme="majorHAnsi" w:cs="Arial"/>
          <w:sz w:val="20"/>
          <w:szCs w:val="20"/>
          <w:lang w:val="es-UY"/>
        </w:rPr>
        <w:t>Refieren que</w:t>
      </w:r>
      <w:r w:rsidR="00FE5480" w:rsidRPr="00EA1C6B">
        <w:rPr>
          <w:rFonts w:asciiTheme="majorHAnsi" w:hAnsiTheme="majorHAnsi" w:cs="Arial"/>
          <w:sz w:val="20"/>
          <w:szCs w:val="20"/>
          <w:lang w:val="es-UY"/>
        </w:rPr>
        <w:t xml:space="preserve"> </w:t>
      </w:r>
      <w:r w:rsidR="00CA70A2" w:rsidRPr="00EA1C6B">
        <w:rPr>
          <w:rFonts w:asciiTheme="majorHAnsi" w:eastAsia="Arial Unicode MS" w:hAnsiTheme="majorHAnsi" w:cs="Arial"/>
          <w:color w:val="auto"/>
          <w:sz w:val="20"/>
          <w:szCs w:val="20"/>
          <w:lang w:val="es-UY" w:eastAsia="en-US"/>
        </w:rPr>
        <w:t xml:space="preserve">Willian José Cunacue Medina, </w:t>
      </w:r>
      <w:r w:rsidR="00FE5480" w:rsidRPr="00EA1C6B">
        <w:rPr>
          <w:rFonts w:asciiTheme="majorHAnsi" w:eastAsia="Arial Unicode MS" w:hAnsiTheme="majorHAnsi" w:cs="Arial"/>
          <w:color w:val="auto"/>
          <w:sz w:val="20"/>
          <w:szCs w:val="20"/>
          <w:lang w:val="es-UY" w:eastAsia="en-US"/>
        </w:rPr>
        <w:t xml:space="preserve">quien </w:t>
      </w:r>
      <w:r w:rsidR="00CA70A2" w:rsidRPr="00EA1C6B">
        <w:rPr>
          <w:rFonts w:asciiTheme="majorHAnsi" w:eastAsia="Arial Unicode MS" w:hAnsiTheme="majorHAnsi" w:cs="Arial"/>
          <w:color w:val="auto"/>
          <w:sz w:val="20"/>
          <w:szCs w:val="20"/>
          <w:lang w:val="es-UY" w:eastAsia="en-US"/>
        </w:rPr>
        <w:t>logró h</w:t>
      </w:r>
      <w:r w:rsidR="007B0908" w:rsidRPr="00EA1C6B">
        <w:rPr>
          <w:rFonts w:asciiTheme="majorHAnsi" w:eastAsia="Arial Unicode MS" w:hAnsiTheme="majorHAnsi" w:cs="Arial"/>
          <w:color w:val="auto"/>
          <w:sz w:val="20"/>
          <w:szCs w:val="20"/>
          <w:lang w:val="es-UY" w:eastAsia="en-US"/>
        </w:rPr>
        <w:t>uir del lugar,</w:t>
      </w:r>
      <w:r w:rsidR="00FE5480" w:rsidRPr="00EA1C6B">
        <w:rPr>
          <w:rFonts w:asciiTheme="majorHAnsi" w:eastAsia="Arial Unicode MS" w:hAnsiTheme="majorHAnsi" w:cs="Arial"/>
          <w:color w:val="auto"/>
          <w:sz w:val="20"/>
          <w:szCs w:val="20"/>
          <w:lang w:val="es-UY" w:eastAsia="en-US"/>
        </w:rPr>
        <w:t xml:space="preserve"> habría sido socorrido por pobladores y</w:t>
      </w:r>
      <w:r w:rsidR="007B0908" w:rsidRPr="00EA1C6B">
        <w:rPr>
          <w:rFonts w:asciiTheme="majorHAnsi" w:eastAsia="Arial Unicode MS" w:hAnsiTheme="majorHAnsi" w:cs="Arial"/>
          <w:color w:val="auto"/>
          <w:sz w:val="20"/>
          <w:szCs w:val="20"/>
          <w:lang w:val="es-UY" w:eastAsia="en-US"/>
        </w:rPr>
        <w:t xml:space="preserve"> </w:t>
      </w:r>
      <w:r w:rsidR="00CA70A2" w:rsidRPr="00EA1C6B">
        <w:rPr>
          <w:rFonts w:asciiTheme="majorHAnsi" w:eastAsia="Arial Unicode MS" w:hAnsiTheme="majorHAnsi" w:cs="Arial"/>
          <w:color w:val="auto"/>
          <w:sz w:val="20"/>
          <w:szCs w:val="20"/>
          <w:lang w:val="es-UY" w:eastAsia="en-US"/>
        </w:rPr>
        <w:t>traslado a un centro de salud</w:t>
      </w:r>
      <w:r w:rsidR="007B0908" w:rsidRPr="00EA1C6B">
        <w:rPr>
          <w:rFonts w:asciiTheme="majorHAnsi" w:eastAsia="Arial Unicode MS" w:hAnsiTheme="majorHAnsi" w:cs="Arial"/>
          <w:color w:val="auto"/>
          <w:sz w:val="20"/>
          <w:szCs w:val="20"/>
          <w:lang w:val="es-UY" w:eastAsia="en-US"/>
        </w:rPr>
        <w:t xml:space="preserve">, donde fue intervenido quirúrgicamente. </w:t>
      </w:r>
      <w:r w:rsidR="003F19AB">
        <w:rPr>
          <w:rFonts w:asciiTheme="majorHAnsi" w:eastAsia="Arial Unicode MS" w:hAnsiTheme="majorHAnsi" w:cs="Arial"/>
          <w:color w:val="auto"/>
          <w:sz w:val="20"/>
          <w:szCs w:val="20"/>
          <w:lang w:val="es-UY" w:eastAsia="en-US"/>
        </w:rPr>
        <w:t>Indican que d</w:t>
      </w:r>
      <w:r w:rsidR="00FE5480" w:rsidRPr="00EA1C6B">
        <w:rPr>
          <w:rFonts w:asciiTheme="majorHAnsi" w:eastAsia="Arial Unicode MS" w:hAnsiTheme="majorHAnsi" w:cs="Arial"/>
          <w:color w:val="auto"/>
          <w:sz w:val="20"/>
          <w:szCs w:val="20"/>
          <w:lang w:val="es-UY" w:eastAsia="en-US"/>
        </w:rPr>
        <w:t xml:space="preserve">esde </w:t>
      </w:r>
      <w:r w:rsidR="00B75ECA" w:rsidRPr="00EA1C6B">
        <w:rPr>
          <w:rFonts w:asciiTheme="majorHAnsi" w:eastAsia="Arial Unicode MS" w:hAnsiTheme="majorHAnsi" w:cs="Arial"/>
          <w:color w:val="auto"/>
          <w:sz w:val="20"/>
          <w:szCs w:val="20"/>
          <w:lang w:val="es-UY" w:eastAsia="en-US"/>
        </w:rPr>
        <w:t xml:space="preserve">ese momento </w:t>
      </w:r>
      <w:r w:rsidR="00FE5480" w:rsidRPr="00EA1C6B">
        <w:rPr>
          <w:rFonts w:asciiTheme="majorHAnsi" w:eastAsia="Arial Unicode MS" w:hAnsiTheme="majorHAnsi" w:cs="Arial"/>
          <w:color w:val="auto"/>
          <w:sz w:val="20"/>
          <w:szCs w:val="20"/>
          <w:lang w:val="es-UY" w:eastAsia="en-US"/>
        </w:rPr>
        <w:t>habría sido</w:t>
      </w:r>
      <w:r w:rsidR="00CA70A2" w:rsidRPr="00EA1C6B">
        <w:rPr>
          <w:rFonts w:asciiTheme="majorHAnsi" w:eastAsia="Arial Unicode MS" w:hAnsiTheme="majorHAnsi" w:cs="Arial"/>
          <w:color w:val="auto"/>
          <w:sz w:val="20"/>
          <w:szCs w:val="20"/>
          <w:lang w:val="es-UY" w:eastAsia="en-US"/>
        </w:rPr>
        <w:t xml:space="preserve"> ho</w:t>
      </w:r>
      <w:r w:rsidR="000C148E" w:rsidRPr="00EA1C6B">
        <w:rPr>
          <w:rFonts w:asciiTheme="majorHAnsi" w:eastAsia="Arial Unicode MS" w:hAnsiTheme="majorHAnsi" w:cs="Arial"/>
          <w:color w:val="auto"/>
          <w:sz w:val="20"/>
          <w:szCs w:val="20"/>
          <w:lang w:val="es-UY" w:eastAsia="en-US"/>
        </w:rPr>
        <w:t>stigado, pers</w:t>
      </w:r>
      <w:r w:rsidR="00164A6C" w:rsidRPr="00EA1C6B">
        <w:rPr>
          <w:rFonts w:asciiTheme="majorHAnsi" w:eastAsia="Arial Unicode MS" w:hAnsiTheme="majorHAnsi" w:cs="Arial"/>
          <w:color w:val="auto"/>
          <w:sz w:val="20"/>
          <w:szCs w:val="20"/>
          <w:lang w:val="es-UY" w:eastAsia="en-US"/>
        </w:rPr>
        <w:t>eguido y amenazado</w:t>
      </w:r>
      <w:r w:rsidR="003259D9">
        <w:rPr>
          <w:rFonts w:asciiTheme="majorHAnsi" w:eastAsia="Arial Unicode MS" w:hAnsiTheme="majorHAnsi" w:cs="Arial"/>
          <w:color w:val="auto"/>
          <w:sz w:val="20"/>
          <w:szCs w:val="20"/>
          <w:lang w:val="es-UY" w:eastAsia="en-US"/>
        </w:rPr>
        <w:t xml:space="preserve">, y que </w:t>
      </w:r>
      <w:r w:rsidR="00650AC4" w:rsidRPr="00EA1C6B">
        <w:rPr>
          <w:rFonts w:asciiTheme="majorHAnsi" w:eastAsia="Arial Unicode MS" w:hAnsiTheme="majorHAnsi" w:cs="Arial"/>
          <w:color w:val="auto"/>
          <w:sz w:val="20"/>
          <w:szCs w:val="20"/>
          <w:lang w:val="es-UY" w:eastAsia="en-US"/>
        </w:rPr>
        <w:t xml:space="preserve">dos días después de los hechos, la </w:t>
      </w:r>
      <w:r w:rsidR="009974B7" w:rsidRPr="00EA1C6B">
        <w:rPr>
          <w:rFonts w:asciiTheme="majorHAnsi" w:eastAsia="Arial Unicode MS" w:hAnsiTheme="majorHAnsi" w:cs="Arial"/>
          <w:color w:val="auto"/>
          <w:sz w:val="20"/>
          <w:szCs w:val="20"/>
          <w:lang w:val="es-UY" w:eastAsia="en-US"/>
        </w:rPr>
        <w:t>Fiscalía</w:t>
      </w:r>
      <w:r w:rsidR="00650AC4" w:rsidRPr="00EA1C6B">
        <w:rPr>
          <w:rFonts w:asciiTheme="majorHAnsi" w:eastAsia="Arial Unicode MS" w:hAnsiTheme="majorHAnsi" w:cs="Arial"/>
          <w:color w:val="auto"/>
          <w:sz w:val="20"/>
          <w:szCs w:val="20"/>
          <w:lang w:val="es-UY" w:eastAsia="en-US"/>
        </w:rPr>
        <w:t xml:space="preserve"> i</w:t>
      </w:r>
      <w:r w:rsidR="00FE5480" w:rsidRPr="00EA1C6B">
        <w:rPr>
          <w:rFonts w:asciiTheme="majorHAnsi" w:hAnsiTheme="majorHAnsi" w:cs="Arial"/>
          <w:sz w:val="20"/>
          <w:szCs w:val="20"/>
          <w:lang w:val="es-UY"/>
        </w:rPr>
        <w:t>nici</w:t>
      </w:r>
      <w:r w:rsidR="00650AC4" w:rsidRPr="00EA1C6B">
        <w:rPr>
          <w:rFonts w:asciiTheme="majorHAnsi" w:hAnsiTheme="majorHAnsi" w:cs="Arial"/>
          <w:sz w:val="20"/>
          <w:szCs w:val="20"/>
          <w:lang w:val="es-UY"/>
        </w:rPr>
        <w:t xml:space="preserve">ó </w:t>
      </w:r>
      <w:r w:rsidR="00B75ECA" w:rsidRPr="00EA1C6B">
        <w:rPr>
          <w:rFonts w:asciiTheme="majorHAnsi" w:hAnsiTheme="majorHAnsi" w:cs="Arial"/>
          <w:sz w:val="20"/>
          <w:szCs w:val="20"/>
          <w:lang w:val="es-UY"/>
        </w:rPr>
        <w:t>un</w:t>
      </w:r>
      <w:r w:rsidR="00166105" w:rsidRPr="00EA1C6B">
        <w:rPr>
          <w:rFonts w:asciiTheme="majorHAnsi" w:hAnsiTheme="majorHAnsi" w:cs="Arial"/>
          <w:sz w:val="20"/>
          <w:szCs w:val="20"/>
          <w:lang w:val="es-UY"/>
        </w:rPr>
        <w:t xml:space="preserve"> proceso judicial</w:t>
      </w:r>
      <w:r w:rsidR="00164A6C" w:rsidRPr="00EA1C6B">
        <w:rPr>
          <w:rFonts w:asciiTheme="majorHAnsi" w:hAnsiTheme="majorHAnsi" w:cs="Arial"/>
          <w:sz w:val="20"/>
          <w:szCs w:val="20"/>
          <w:lang w:val="es-UY"/>
        </w:rPr>
        <w:t xml:space="preserve"> en su contra</w:t>
      </w:r>
      <w:r w:rsidR="00B75ECA" w:rsidRPr="00EA1C6B">
        <w:rPr>
          <w:rFonts w:asciiTheme="majorHAnsi" w:hAnsiTheme="majorHAnsi" w:cs="Arial"/>
          <w:sz w:val="20"/>
          <w:szCs w:val="20"/>
          <w:lang w:val="es-UY"/>
        </w:rPr>
        <w:t xml:space="preserve"> por delito de rebelión</w:t>
      </w:r>
      <w:r w:rsidR="00650AC4" w:rsidRPr="00EA1C6B">
        <w:rPr>
          <w:rFonts w:asciiTheme="majorHAnsi" w:hAnsiTheme="majorHAnsi" w:cs="Arial"/>
          <w:sz w:val="20"/>
          <w:szCs w:val="20"/>
          <w:lang w:val="es-UY"/>
        </w:rPr>
        <w:t xml:space="preserve">, viéndose obligado </w:t>
      </w:r>
      <w:r w:rsidR="009974B7" w:rsidRPr="00EA1C6B">
        <w:rPr>
          <w:rFonts w:asciiTheme="majorHAnsi" w:hAnsiTheme="majorHAnsi" w:cs="Arial"/>
          <w:sz w:val="20"/>
          <w:szCs w:val="20"/>
          <w:lang w:val="es-UY"/>
        </w:rPr>
        <w:t xml:space="preserve">a rendir declaratoria </w:t>
      </w:r>
      <w:r w:rsidR="00650AC4" w:rsidRPr="00EA1C6B">
        <w:rPr>
          <w:rFonts w:asciiTheme="majorHAnsi" w:hAnsiTheme="majorHAnsi" w:cs="Arial"/>
          <w:sz w:val="20"/>
          <w:szCs w:val="20"/>
          <w:lang w:val="es-UY"/>
        </w:rPr>
        <w:t>en el Hospital</w:t>
      </w:r>
      <w:r w:rsidR="004C25F2">
        <w:rPr>
          <w:rFonts w:asciiTheme="majorHAnsi" w:hAnsiTheme="majorHAnsi" w:cs="Arial"/>
          <w:sz w:val="20"/>
          <w:szCs w:val="20"/>
          <w:lang w:val="es-UY"/>
        </w:rPr>
        <w:t xml:space="preserve"> donde se encontraba internado</w:t>
      </w:r>
      <w:r w:rsidR="00650AC4" w:rsidRPr="00EA1C6B">
        <w:rPr>
          <w:rFonts w:asciiTheme="majorHAnsi" w:hAnsiTheme="majorHAnsi" w:cs="Arial"/>
          <w:sz w:val="20"/>
          <w:szCs w:val="20"/>
          <w:lang w:val="es-UY"/>
        </w:rPr>
        <w:t xml:space="preserve">. </w:t>
      </w:r>
      <w:r w:rsidR="009974B7" w:rsidRPr="00EA1C6B">
        <w:rPr>
          <w:rFonts w:asciiTheme="majorHAnsi" w:hAnsiTheme="majorHAnsi" w:cs="Arial"/>
          <w:sz w:val="20"/>
          <w:szCs w:val="20"/>
          <w:lang w:val="es-UY"/>
        </w:rPr>
        <w:t xml:space="preserve">Indican que el 11 de enero, en delicado estado de salud, habría sido sacado del Hospital en un camión del </w:t>
      </w:r>
      <w:r w:rsidR="00E625A9">
        <w:rPr>
          <w:rFonts w:asciiTheme="majorHAnsi" w:hAnsiTheme="majorHAnsi" w:cs="Arial"/>
          <w:sz w:val="20"/>
          <w:szCs w:val="20"/>
          <w:lang w:val="es-UY"/>
        </w:rPr>
        <w:t>e</w:t>
      </w:r>
      <w:r w:rsidR="009974B7" w:rsidRPr="00EA1C6B">
        <w:rPr>
          <w:rFonts w:asciiTheme="majorHAnsi" w:hAnsiTheme="majorHAnsi" w:cs="Arial"/>
          <w:sz w:val="20"/>
          <w:szCs w:val="20"/>
          <w:lang w:val="es-UY"/>
        </w:rPr>
        <w:t>jército con dirección a la cárcel de La Plata, donde no habría sido recibi</w:t>
      </w:r>
      <w:r w:rsidR="00927850" w:rsidRPr="00EA1C6B">
        <w:rPr>
          <w:rFonts w:asciiTheme="majorHAnsi" w:hAnsiTheme="majorHAnsi" w:cs="Arial"/>
          <w:sz w:val="20"/>
          <w:szCs w:val="20"/>
          <w:lang w:val="es-UY"/>
        </w:rPr>
        <w:t>do por falta de orden judicial</w:t>
      </w:r>
      <w:r w:rsidR="00767D05" w:rsidRPr="00EA1C6B">
        <w:rPr>
          <w:rFonts w:asciiTheme="majorHAnsi" w:hAnsiTheme="majorHAnsi" w:cs="Arial"/>
          <w:sz w:val="20"/>
          <w:szCs w:val="20"/>
          <w:lang w:val="es-UY"/>
        </w:rPr>
        <w:t xml:space="preserve">, y </w:t>
      </w:r>
      <w:r w:rsidR="009974B7" w:rsidRPr="00EA1C6B">
        <w:rPr>
          <w:rFonts w:asciiTheme="majorHAnsi" w:hAnsiTheme="majorHAnsi" w:cs="Arial"/>
          <w:sz w:val="20"/>
          <w:szCs w:val="20"/>
          <w:lang w:val="es-UY"/>
        </w:rPr>
        <w:t xml:space="preserve">luego habría sido trasladado a la Fiscalía donde tampoco </w:t>
      </w:r>
      <w:r w:rsidR="00767D05" w:rsidRPr="00EA1C6B">
        <w:rPr>
          <w:rFonts w:asciiTheme="majorHAnsi" w:hAnsiTheme="majorHAnsi" w:cs="Arial"/>
          <w:sz w:val="20"/>
          <w:szCs w:val="20"/>
          <w:lang w:val="es-UY"/>
        </w:rPr>
        <w:t>fue recibido</w:t>
      </w:r>
      <w:r w:rsidR="009974B7" w:rsidRPr="00EA1C6B">
        <w:rPr>
          <w:rFonts w:asciiTheme="majorHAnsi" w:hAnsiTheme="majorHAnsi" w:cs="Arial"/>
          <w:sz w:val="20"/>
          <w:szCs w:val="20"/>
          <w:lang w:val="es-UY"/>
        </w:rPr>
        <w:t>.</w:t>
      </w:r>
      <w:r w:rsidR="000602B0" w:rsidRPr="00EA1C6B">
        <w:rPr>
          <w:rFonts w:asciiTheme="majorHAnsi" w:hAnsiTheme="majorHAnsi" w:cs="Arial"/>
          <w:sz w:val="20"/>
          <w:szCs w:val="20"/>
          <w:lang w:val="es-UY"/>
        </w:rPr>
        <w:t xml:space="preserve"> </w:t>
      </w:r>
      <w:r w:rsidR="001A404A">
        <w:rPr>
          <w:rFonts w:asciiTheme="majorHAnsi" w:hAnsiTheme="majorHAnsi" w:cs="Arial"/>
          <w:sz w:val="20"/>
          <w:szCs w:val="20"/>
          <w:lang w:val="es-UY"/>
        </w:rPr>
        <w:t>Refieren que t</w:t>
      </w:r>
      <w:r w:rsidR="00927850" w:rsidRPr="00EA1C6B">
        <w:rPr>
          <w:rFonts w:asciiTheme="majorHAnsi" w:hAnsiTheme="majorHAnsi" w:cs="Arial"/>
          <w:sz w:val="20"/>
          <w:szCs w:val="20"/>
          <w:lang w:val="es-UY"/>
        </w:rPr>
        <w:t xml:space="preserve">ras haber sido llevado </w:t>
      </w:r>
      <w:r w:rsidR="000F135A" w:rsidRPr="00EA1C6B">
        <w:rPr>
          <w:rFonts w:asciiTheme="majorHAnsi" w:hAnsiTheme="majorHAnsi" w:cs="Arial"/>
          <w:sz w:val="20"/>
          <w:szCs w:val="20"/>
          <w:lang w:val="es-UY"/>
        </w:rPr>
        <w:t xml:space="preserve">por militares </w:t>
      </w:r>
      <w:r w:rsidR="00927850" w:rsidRPr="00EA1C6B">
        <w:rPr>
          <w:rFonts w:asciiTheme="majorHAnsi" w:hAnsiTheme="majorHAnsi" w:cs="Arial"/>
          <w:sz w:val="20"/>
          <w:szCs w:val="20"/>
          <w:lang w:val="es-UY"/>
        </w:rPr>
        <w:t xml:space="preserve">al calabozo de la policía, el </w:t>
      </w:r>
      <w:r w:rsidR="000F135A" w:rsidRPr="00EA1C6B">
        <w:rPr>
          <w:rFonts w:asciiTheme="majorHAnsi" w:hAnsiTheme="majorHAnsi" w:cs="Arial"/>
          <w:sz w:val="20"/>
          <w:szCs w:val="20"/>
          <w:lang w:val="es-UY"/>
        </w:rPr>
        <w:t xml:space="preserve">12 de enero habría sido </w:t>
      </w:r>
      <w:r w:rsidR="00767D05" w:rsidRPr="00EA1C6B">
        <w:rPr>
          <w:rFonts w:asciiTheme="majorHAnsi" w:hAnsiTheme="majorHAnsi" w:cs="Arial"/>
          <w:sz w:val="20"/>
          <w:szCs w:val="20"/>
          <w:lang w:val="es-UY"/>
        </w:rPr>
        <w:t xml:space="preserve">trasladado </w:t>
      </w:r>
      <w:r w:rsidR="000F135A" w:rsidRPr="00EA1C6B">
        <w:rPr>
          <w:rFonts w:asciiTheme="majorHAnsi" w:hAnsiTheme="majorHAnsi" w:cs="Arial"/>
          <w:sz w:val="20"/>
          <w:szCs w:val="20"/>
          <w:lang w:val="es-UY"/>
        </w:rPr>
        <w:t xml:space="preserve">por la policía de La Plata a la cárcel, </w:t>
      </w:r>
      <w:r w:rsidR="001A404A">
        <w:rPr>
          <w:rFonts w:asciiTheme="majorHAnsi" w:hAnsiTheme="majorHAnsi" w:cs="Arial"/>
          <w:sz w:val="20"/>
          <w:szCs w:val="20"/>
          <w:lang w:val="es-UY"/>
        </w:rPr>
        <w:t>donde nuevamente se rechazó</w:t>
      </w:r>
      <w:r w:rsidR="00767D05" w:rsidRPr="00EA1C6B">
        <w:rPr>
          <w:rFonts w:asciiTheme="majorHAnsi" w:hAnsiTheme="majorHAnsi" w:cs="Arial"/>
          <w:sz w:val="20"/>
          <w:szCs w:val="20"/>
          <w:lang w:val="es-UY"/>
        </w:rPr>
        <w:t xml:space="preserve"> su ingreso. </w:t>
      </w:r>
      <w:r w:rsidR="001A404A">
        <w:rPr>
          <w:rFonts w:asciiTheme="majorHAnsi" w:hAnsiTheme="majorHAnsi" w:cs="Arial"/>
          <w:sz w:val="20"/>
          <w:szCs w:val="20"/>
          <w:lang w:val="es-UY"/>
        </w:rPr>
        <w:t>Indican que e</w:t>
      </w:r>
      <w:r w:rsidR="00767D05" w:rsidRPr="00EA1C6B">
        <w:rPr>
          <w:rFonts w:asciiTheme="majorHAnsi" w:hAnsiTheme="majorHAnsi" w:cs="Arial"/>
          <w:sz w:val="20"/>
          <w:szCs w:val="20"/>
          <w:lang w:val="es-UY"/>
        </w:rPr>
        <w:t>l 13 de enero habría sido trasladado al Hospital para un control médico</w:t>
      </w:r>
      <w:r w:rsidR="00FE438A">
        <w:rPr>
          <w:rFonts w:asciiTheme="majorHAnsi" w:hAnsiTheme="majorHAnsi" w:cs="Arial"/>
          <w:sz w:val="20"/>
          <w:szCs w:val="20"/>
          <w:lang w:val="es-UY"/>
        </w:rPr>
        <w:t>, y q</w:t>
      </w:r>
      <w:r w:rsidR="00EA1C6B" w:rsidRPr="00EA1C6B">
        <w:rPr>
          <w:rFonts w:asciiTheme="majorHAnsi" w:hAnsiTheme="majorHAnsi" w:cs="Arial"/>
          <w:sz w:val="20"/>
          <w:szCs w:val="20"/>
          <w:lang w:val="es-UY"/>
        </w:rPr>
        <w:t xml:space="preserve">ue posteriormente habría sido trasladado a la cárcel de La Plata donde estuvo recluido hasta el 18 de enero. Indican que </w:t>
      </w:r>
      <w:r w:rsidR="00EA1C6B">
        <w:rPr>
          <w:rFonts w:asciiTheme="majorHAnsi" w:hAnsiTheme="majorHAnsi" w:cs="Arial"/>
          <w:sz w:val="20"/>
          <w:szCs w:val="20"/>
          <w:lang w:val="es-UY"/>
        </w:rPr>
        <w:t>ese día,</w:t>
      </w:r>
      <w:r w:rsidR="00FE5480" w:rsidRPr="00EA1C6B">
        <w:rPr>
          <w:rFonts w:asciiTheme="majorHAnsi" w:hAnsiTheme="majorHAnsi"/>
          <w:sz w:val="20"/>
          <w:szCs w:val="20"/>
          <w:lang w:val="es-UY"/>
        </w:rPr>
        <w:t xml:space="preserve"> el </w:t>
      </w:r>
      <w:r w:rsidR="001F2B56" w:rsidRPr="00EA1C6B">
        <w:rPr>
          <w:rFonts w:asciiTheme="majorHAnsi" w:hAnsiTheme="majorHAnsi"/>
          <w:sz w:val="20"/>
          <w:szCs w:val="20"/>
          <w:lang w:val="es-UY"/>
        </w:rPr>
        <w:t xml:space="preserve">Juzgado Promiscuo Penal del Circuito de Silvia </w:t>
      </w:r>
      <w:r w:rsidR="009470DA" w:rsidRPr="00EA1C6B">
        <w:rPr>
          <w:rFonts w:asciiTheme="majorHAnsi" w:hAnsiTheme="majorHAnsi"/>
          <w:sz w:val="20"/>
          <w:szCs w:val="20"/>
          <w:lang w:val="es-UY"/>
        </w:rPr>
        <w:t xml:space="preserve">con sede en Belancazar, Cauca, </w:t>
      </w:r>
      <w:r w:rsidR="00004F63" w:rsidRPr="00EA1C6B">
        <w:rPr>
          <w:rFonts w:asciiTheme="majorHAnsi" w:hAnsiTheme="majorHAnsi"/>
          <w:sz w:val="20"/>
          <w:szCs w:val="20"/>
          <w:lang w:val="es-UY"/>
        </w:rPr>
        <w:t xml:space="preserve">habría resuelto abstenerse </w:t>
      </w:r>
      <w:r w:rsidR="009470DA" w:rsidRPr="00EA1C6B">
        <w:rPr>
          <w:rFonts w:asciiTheme="majorHAnsi" w:hAnsiTheme="majorHAnsi"/>
          <w:sz w:val="20"/>
          <w:szCs w:val="20"/>
          <w:lang w:val="es-UY"/>
        </w:rPr>
        <w:t>de decretar medida de aseguramiento, ordenando su libertad.</w:t>
      </w:r>
    </w:p>
    <w:p w:rsidR="0016789E" w:rsidRPr="0016789E" w:rsidRDefault="0016789E" w:rsidP="00AD52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s="Arial"/>
          <w:sz w:val="20"/>
          <w:szCs w:val="20"/>
          <w:lang w:val="es-UY"/>
        </w:rPr>
      </w:pPr>
    </w:p>
    <w:p w:rsidR="0016789E" w:rsidRPr="000D6D3A" w:rsidRDefault="00B07B35" w:rsidP="00AD52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UY"/>
        </w:rPr>
      </w:pPr>
      <w:r>
        <w:rPr>
          <w:rFonts w:asciiTheme="majorHAnsi" w:hAnsiTheme="majorHAnsi" w:cs="Arial"/>
          <w:sz w:val="20"/>
          <w:szCs w:val="20"/>
          <w:lang w:val="es-UY"/>
        </w:rPr>
        <w:t>Por los hechos</w:t>
      </w:r>
      <w:r w:rsidR="00222B33">
        <w:rPr>
          <w:rFonts w:asciiTheme="majorHAnsi" w:hAnsiTheme="majorHAnsi" w:cs="Arial"/>
          <w:sz w:val="20"/>
          <w:szCs w:val="20"/>
          <w:lang w:val="es-UY"/>
        </w:rPr>
        <w:t xml:space="preserve"> descritos</w:t>
      </w:r>
      <w:r>
        <w:rPr>
          <w:rFonts w:asciiTheme="majorHAnsi" w:hAnsiTheme="majorHAnsi" w:cs="Arial"/>
          <w:sz w:val="20"/>
          <w:szCs w:val="20"/>
          <w:lang w:val="es-UY"/>
        </w:rPr>
        <w:t xml:space="preserve"> </w:t>
      </w:r>
      <w:r w:rsidR="00D55C76">
        <w:rPr>
          <w:rFonts w:asciiTheme="majorHAnsi" w:hAnsiTheme="majorHAnsi" w:cs="Arial"/>
          <w:sz w:val="20"/>
          <w:szCs w:val="20"/>
          <w:lang w:val="es-UY"/>
        </w:rPr>
        <w:t>se inició</w:t>
      </w:r>
      <w:r>
        <w:rPr>
          <w:rFonts w:asciiTheme="majorHAnsi" w:hAnsiTheme="majorHAnsi" w:cs="Arial"/>
          <w:sz w:val="20"/>
          <w:szCs w:val="20"/>
          <w:lang w:val="es-UY"/>
        </w:rPr>
        <w:t xml:space="preserve"> un proceso penal ante la justicia militar, que tras ser dirimido en contienda de competencia </w:t>
      </w:r>
      <w:r w:rsidR="00D55C76">
        <w:rPr>
          <w:rFonts w:asciiTheme="majorHAnsi" w:hAnsiTheme="majorHAnsi" w:cs="Arial"/>
          <w:sz w:val="20"/>
          <w:szCs w:val="20"/>
          <w:lang w:val="es-UY"/>
        </w:rPr>
        <w:t>quedo r</w:t>
      </w:r>
      <w:r>
        <w:rPr>
          <w:rFonts w:asciiTheme="majorHAnsi" w:hAnsiTheme="majorHAnsi" w:cs="Arial"/>
          <w:sz w:val="20"/>
          <w:szCs w:val="20"/>
          <w:lang w:val="es-UY"/>
        </w:rPr>
        <w:t>adicado en la justicia ordinaria</w:t>
      </w:r>
      <w:r w:rsidR="00B2420F">
        <w:rPr>
          <w:rFonts w:asciiTheme="majorHAnsi" w:hAnsiTheme="majorHAnsi" w:cs="Arial"/>
          <w:sz w:val="20"/>
          <w:szCs w:val="20"/>
          <w:lang w:val="es-UY"/>
        </w:rPr>
        <w:t>.</w:t>
      </w:r>
      <w:r w:rsidR="00222B33">
        <w:rPr>
          <w:rFonts w:asciiTheme="majorHAnsi" w:hAnsiTheme="majorHAnsi" w:cs="Arial"/>
          <w:sz w:val="20"/>
          <w:szCs w:val="20"/>
          <w:lang w:val="es-UY"/>
        </w:rPr>
        <w:t xml:space="preserve"> Según la información aportada, e</w:t>
      </w:r>
      <w:r>
        <w:rPr>
          <w:rFonts w:asciiTheme="majorHAnsi" w:hAnsiTheme="majorHAnsi" w:cs="Arial"/>
          <w:sz w:val="20"/>
          <w:szCs w:val="20"/>
          <w:lang w:val="es-UY"/>
        </w:rPr>
        <w:t xml:space="preserve">l </w:t>
      </w:r>
      <w:r w:rsidR="0016789E" w:rsidRPr="0027139E">
        <w:rPr>
          <w:rFonts w:asciiTheme="majorHAnsi" w:hAnsiTheme="majorHAnsi" w:cs="Arial"/>
          <w:sz w:val="20"/>
          <w:szCs w:val="20"/>
          <w:lang w:val="es-UY"/>
        </w:rPr>
        <w:t xml:space="preserve">27 de agosto de 2010, la </w:t>
      </w:r>
      <w:r w:rsidR="000D6D3A">
        <w:rPr>
          <w:rFonts w:asciiTheme="majorHAnsi" w:hAnsiTheme="majorHAnsi" w:cs="Arial"/>
          <w:sz w:val="20"/>
          <w:szCs w:val="20"/>
          <w:lang w:val="es-UY"/>
        </w:rPr>
        <w:t>F</w:t>
      </w:r>
      <w:r w:rsidR="000D6D3A" w:rsidRPr="0027139E">
        <w:rPr>
          <w:rFonts w:asciiTheme="majorHAnsi" w:hAnsiTheme="majorHAnsi" w:cs="Arial"/>
          <w:sz w:val="20"/>
          <w:szCs w:val="20"/>
          <w:lang w:val="es-UY"/>
        </w:rPr>
        <w:t>iscalía</w:t>
      </w:r>
      <w:r w:rsidR="0016789E" w:rsidRPr="0027139E">
        <w:rPr>
          <w:rFonts w:asciiTheme="majorHAnsi" w:hAnsiTheme="majorHAnsi" w:cs="Arial"/>
          <w:sz w:val="20"/>
          <w:szCs w:val="20"/>
          <w:lang w:val="es-UY"/>
        </w:rPr>
        <w:t xml:space="preserve"> 70 de la Unidad Nacional de Derechos Humanos de la ciudad de Cali,</w:t>
      </w:r>
      <w:r w:rsidR="0016789E" w:rsidRPr="0027139E">
        <w:rPr>
          <w:lang w:val="es-ES"/>
        </w:rPr>
        <w:t xml:space="preserve"> </w:t>
      </w:r>
      <w:r>
        <w:rPr>
          <w:rFonts w:asciiTheme="majorHAnsi" w:hAnsiTheme="majorHAnsi" w:cs="Arial"/>
          <w:sz w:val="20"/>
          <w:szCs w:val="20"/>
          <w:lang w:val="es-UY"/>
        </w:rPr>
        <w:t xml:space="preserve">profirió </w:t>
      </w:r>
      <w:r w:rsidR="0016789E" w:rsidRPr="0027139E">
        <w:rPr>
          <w:rFonts w:asciiTheme="majorHAnsi" w:hAnsiTheme="majorHAnsi" w:cs="Arial"/>
          <w:sz w:val="20"/>
          <w:szCs w:val="20"/>
          <w:lang w:val="es-UY"/>
        </w:rPr>
        <w:t>acusación en contra los soldados Bertulfo Tao Muñoz, Yeison Lozano Cerquera y Henry Trujillo Lizcano</w:t>
      </w:r>
      <w:r w:rsidR="007505D4">
        <w:rPr>
          <w:rFonts w:asciiTheme="majorHAnsi" w:hAnsiTheme="majorHAnsi" w:cs="Arial"/>
          <w:sz w:val="20"/>
          <w:szCs w:val="20"/>
          <w:lang w:val="es-UY"/>
        </w:rPr>
        <w:t>,</w:t>
      </w:r>
      <w:r w:rsidR="0016789E" w:rsidRPr="0027139E">
        <w:rPr>
          <w:rFonts w:asciiTheme="majorHAnsi" w:hAnsiTheme="majorHAnsi" w:cs="Arial"/>
          <w:sz w:val="20"/>
          <w:szCs w:val="20"/>
          <w:lang w:val="es-UY"/>
        </w:rPr>
        <w:t xml:space="preserve"> como presuntos autores materiales de los delitos de homicidio agravado en concurso homogéneo y lesiones personales por tentativa de homicidio agravado respecto de </w:t>
      </w:r>
      <w:r w:rsidR="0016789E" w:rsidRPr="0027139E">
        <w:rPr>
          <w:rFonts w:asciiTheme="majorHAnsi" w:hAnsiTheme="majorHAnsi"/>
          <w:sz w:val="20"/>
          <w:szCs w:val="20"/>
          <w:lang w:val="es-UY"/>
        </w:rPr>
        <w:t>Willian José Cunacue Medina</w:t>
      </w:r>
      <w:r w:rsidR="0027139E" w:rsidRPr="0027139E">
        <w:rPr>
          <w:rFonts w:asciiTheme="majorHAnsi" w:hAnsiTheme="majorHAnsi"/>
          <w:sz w:val="20"/>
          <w:szCs w:val="20"/>
          <w:lang w:val="es-UY"/>
        </w:rPr>
        <w:t xml:space="preserve">. </w:t>
      </w:r>
    </w:p>
    <w:p w:rsidR="000D6D3A" w:rsidRDefault="000D6D3A" w:rsidP="00AD528E">
      <w:pPr>
        <w:pStyle w:val="ListParagraph"/>
        <w:rPr>
          <w:rFonts w:asciiTheme="majorHAnsi" w:hAnsiTheme="majorHAnsi" w:cs="Arial"/>
          <w:sz w:val="20"/>
          <w:szCs w:val="20"/>
          <w:lang w:val="es-UY"/>
        </w:rPr>
      </w:pPr>
    </w:p>
    <w:p w:rsidR="000D6D3A" w:rsidRPr="007417AF" w:rsidRDefault="00D55C76" w:rsidP="00AD52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UY"/>
        </w:rPr>
      </w:pPr>
      <w:r>
        <w:rPr>
          <w:rFonts w:asciiTheme="majorHAnsi" w:hAnsiTheme="majorHAnsi" w:cs="Arial"/>
          <w:sz w:val="20"/>
          <w:szCs w:val="20"/>
          <w:lang w:val="es-UY"/>
        </w:rPr>
        <w:t>Por otra parte</w:t>
      </w:r>
      <w:r w:rsidR="00222B33">
        <w:rPr>
          <w:rFonts w:asciiTheme="majorHAnsi" w:hAnsiTheme="majorHAnsi" w:cs="Arial"/>
          <w:sz w:val="20"/>
          <w:szCs w:val="20"/>
          <w:lang w:val="es-UY"/>
        </w:rPr>
        <w:t>,</w:t>
      </w:r>
      <w:r>
        <w:rPr>
          <w:rFonts w:asciiTheme="majorHAnsi" w:hAnsiTheme="majorHAnsi" w:cs="Arial"/>
          <w:sz w:val="20"/>
          <w:szCs w:val="20"/>
          <w:lang w:val="es-UY"/>
        </w:rPr>
        <w:t xml:space="preserve"> indican que el 8 de e</w:t>
      </w:r>
      <w:r w:rsidR="00D27EC5">
        <w:rPr>
          <w:rFonts w:asciiTheme="majorHAnsi" w:hAnsiTheme="majorHAnsi" w:cs="Arial"/>
          <w:sz w:val="20"/>
          <w:szCs w:val="20"/>
          <w:lang w:val="es-UY"/>
        </w:rPr>
        <w:t>nero</w:t>
      </w:r>
      <w:r w:rsidR="000D6D3A" w:rsidRPr="00E9731C">
        <w:rPr>
          <w:rFonts w:asciiTheme="majorHAnsi" w:hAnsiTheme="majorHAnsi" w:cs="Arial"/>
          <w:sz w:val="20"/>
          <w:szCs w:val="20"/>
          <w:lang w:val="es-UY"/>
        </w:rPr>
        <w:t xml:space="preserve"> de 2006 los familiares de </w:t>
      </w:r>
      <w:r w:rsidR="00A17AE5">
        <w:rPr>
          <w:rFonts w:asciiTheme="majorHAnsi" w:hAnsiTheme="majorHAnsi" w:cs="Arial"/>
          <w:sz w:val="20"/>
          <w:szCs w:val="20"/>
          <w:lang w:val="es-UY"/>
        </w:rPr>
        <w:t>las presuntas víctimas pr</w:t>
      </w:r>
      <w:r w:rsidR="000D6D3A" w:rsidRPr="00E9731C">
        <w:rPr>
          <w:rFonts w:asciiTheme="majorHAnsi" w:hAnsiTheme="majorHAnsi" w:cs="Arial"/>
          <w:sz w:val="20"/>
          <w:szCs w:val="20"/>
          <w:lang w:val="es-UY"/>
        </w:rPr>
        <w:t>esentaron una acción de grupo ante la justicia contencios</w:t>
      </w:r>
      <w:r w:rsidR="00954AB9">
        <w:rPr>
          <w:rFonts w:asciiTheme="majorHAnsi" w:hAnsiTheme="majorHAnsi" w:cs="Arial"/>
          <w:sz w:val="20"/>
          <w:szCs w:val="20"/>
          <w:lang w:val="es-UY"/>
        </w:rPr>
        <w:t>o</w:t>
      </w:r>
      <w:r w:rsidR="000D6D3A" w:rsidRPr="00E9731C">
        <w:rPr>
          <w:rFonts w:asciiTheme="majorHAnsi" w:hAnsiTheme="majorHAnsi" w:cs="Arial"/>
          <w:sz w:val="20"/>
          <w:szCs w:val="20"/>
          <w:lang w:val="es-UY"/>
        </w:rPr>
        <w:t xml:space="preserve"> administrativa. </w:t>
      </w:r>
      <w:r w:rsidR="00E9731C" w:rsidRPr="00E9731C">
        <w:rPr>
          <w:rFonts w:asciiTheme="majorHAnsi" w:hAnsiTheme="majorHAnsi" w:cs="Arial"/>
          <w:sz w:val="20"/>
          <w:szCs w:val="20"/>
          <w:lang w:val="es-UY"/>
        </w:rPr>
        <w:t>El</w:t>
      </w:r>
      <w:r w:rsidR="000D6D3A" w:rsidRPr="00E9731C">
        <w:rPr>
          <w:rFonts w:asciiTheme="majorHAnsi" w:hAnsiTheme="majorHAnsi" w:cs="Arial"/>
          <w:sz w:val="20"/>
          <w:szCs w:val="20"/>
          <w:lang w:val="es-UY"/>
        </w:rPr>
        <w:t xml:space="preserve"> </w:t>
      </w:r>
      <w:r w:rsidR="00E9731C" w:rsidRPr="00E9731C">
        <w:rPr>
          <w:rFonts w:asciiTheme="majorHAnsi" w:hAnsiTheme="majorHAnsi" w:cs="Arial"/>
          <w:sz w:val="20"/>
          <w:szCs w:val="20"/>
          <w:lang w:val="es-UY"/>
        </w:rPr>
        <w:t xml:space="preserve">10 de septiembre de 2009 el Juzgado Octavo administrativo del Circuito de Popayán </w:t>
      </w:r>
      <w:r w:rsidR="00222B33">
        <w:rPr>
          <w:rFonts w:asciiTheme="majorHAnsi" w:hAnsiTheme="majorHAnsi" w:cs="Arial"/>
          <w:sz w:val="20"/>
          <w:szCs w:val="20"/>
          <w:lang w:val="es-UY"/>
        </w:rPr>
        <w:t>habría proferido</w:t>
      </w:r>
      <w:r w:rsidR="00E9731C" w:rsidRPr="00E9731C">
        <w:rPr>
          <w:rFonts w:asciiTheme="majorHAnsi" w:hAnsiTheme="majorHAnsi" w:cs="Arial"/>
          <w:sz w:val="20"/>
          <w:szCs w:val="20"/>
          <w:lang w:val="es-UY"/>
        </w:rPr>
        <w:t xml:space="preserve"> sent</w:t>
      </w:r>
      <w:r w:rsidR="00222B33">
        <w:rPr>
          <w:rFonts w:asciiTheme="majorHAnsi" w:hAnsiTheme="majorHAnsi" w:cs="Arial"/>
          <w:sz w:val="20"/>
          <w:szCs w:val="20"/>
          <w:lang w:val="es-UY"/>
        </w:rPr>
        <w:t>encia y declarado</w:t>
      </w:r>
      <w:r w:rsidR="00E9731C" w:rsidRPr="00E9731C">
        <w:rPr>
          <w:rFonts w:asciiTheme="majorHAnsi" w:hAnsiTheme="majorHAnsi" w:cs="Arial"/>
          <w:sz w:val="20"/>
          <w:szCs w:val="20"/>
          <w:lang w:val="es-UY"/>
        </w:rPr>
        <w:t xml:space="preserve"> administrativamente responsable al Ministerio d</w:t>
      </w:r>
      <w:r w:rsidR="00222B33">
        <w:rPr>
          <w:rFonts w:asciiTheme="majorHAnsi" w:hAnsiTheme="majorHAnsi" w:cs="Arial"/>
          <w:sz w:val="20"/>
          <w:szCs w:val="20"/>
          <w:lang w:val="es-UY"/>
        </w:rPr>
        <w:t>e Defensa- Ejército Nacional, reconociendo</w:t>
      </w:r>
      <w:r w:rsidR="00E9731C" w:rsidRPr="00E9731C">
        <w:rPr>
          <w:rFonts w:asciiTheme="majorHAnsi" w:hAnsiTheme="majorHAnsi" w:cs="Arial"/>
          <w:sz w:val="20"/>
          <w:szCs w:val="20"/>
          <w:lang w:val="es-UY"/>
        </w:rPr>
        <w:t xml:space="preserve"> indemnización de </w:t>
      </w:r>
      <w:r w:rsidR="00E9731C" w:rsidRPr="00E9731C">
        <w:rPr>
          <w:rFonts w:asciiTheme="majorHAnsi" w:hAnsiTheme="majorHAnsi" w:cs="Arial"/>
          <w:sz w:val="20"/>
          <w:szCs w:val="20"/>
          <w:lang w:val="es-UY"/>
        </w:rPr>
        <w:lastRenderedPageBreak/>
        <w:t xml:space="preserve">perjuicios </w:t>
      </w:r>
      <w:r w:rsidR="00C77A15">
        <w:rPr>
          <w:rFonts w:asciiTheme="majorHAnsi" w:hAnsiTheme="majorHAnsi" w:cs="Arial"/>
          <w:sz w:val="20"/>
          <w:szCs w:val="20"/>
          <w:lang w:val="es-UY"/>
        </w:rPr>
        <w:t>en</w:t>
      </w:r>
      <w:r w:rsidR="00E9731C" w:rsidRPr="00E9731C">
        <w:rPr>
          <w:rFonts w:asciiTheme="majorHAnsi" w:hAnsiTheme="majorHAnsi" w:cs="Arial"/>
          <w:sz w:val="20"/>
          <w:szCs w:val="20"/>
          <w:lang w:val="es-UY"/>
        </w:rPr>
        <w:t xml:space="preserve"> favo</w:t>
      </w:r>
      <w:r w:rsidR="00C77A15">
        <w:rPr>
          <w:rFonts w:asciiTheme="majorHAnsi" w:hAnsiTheme="majorHAnsi" w:cs="Arial"/>
          <w:sz w:val="20"/>
          <w:szCs w:val="20"/>
          <w:lang w:val="es-UY"/>
        </w:rPr>
        <w:t>r de algunos de los demandantes,</w:t>
      </w:r>
      <w:r w:rsidR="00E9731C" w:rsidRPr="00E9731C">
        <w:rPr>
          <w:rFonts w:asciiTheme="majorHAnsi" w:hAnsiTheme="majorHAnsi" w:cs="Arial"/>
          <w:sz w:val="20"/>
          <w:szCs w:val="20"/>
          <w:lang w:val="es-UY"/>
        </w:rPr>
        <w:t xml:space="preserve"> por algunos de los </w:t>
      </w:r>
      <w:r w:rsidR="00D27EC5">
        <w:rPr>
          <w:rFonts w:asciiTheme="majorHAnsi" w:hAnsiTheme="majorHAnsi" w:cs="Arial"/>
          <w:sz w:val="20"/>
          <w:szCs w:val="20"/>
          <w:lang w:val="es-UY"/>
        </w:rPr>
        <w:t xml:space="preserve">daños materiales e inmateriales, </w:t>
      </w:r>
      <w:r w:rsidR="00E9731C" w:rsidRPr="00E9731C">
        <w:rPr>
          <w:rFonts w:asciiTheme="majorHAnsi" w:hAnsiTheme="majorHAnsi" w:cs="Arial"/>
          <w:sz w:val="20"/>
          <w:szCs w:val="20"/>
          <w:lang w:val="es-UY"/>
        </w:rPr>
        <w:t xml:space="preserve">ordenando </w:t>
      </w:r>
      <w:r w:rsidR="00C77A15">
        <w:rPr>
          <w:rFonts w:asciiTheme="majorHAnsi" w:hAnsiTheme="majorHAnsi" w:cs="Arial"/>
          <w:sz w:val="20"/>
          <w:szCs w:val="20"/>
          <w:lang w:val="es-UY"/>
        </w:rPr>
        <w:t>ciertas</w:t>
      </w:r>
      <w:r w:rsidR="00E9731C" w:rsidRPr="00E9731C">
        <w:rPr>
          <w:rFonts w:asciiTheme="majorHAnsi" w:hAnsiTheme="majorHAnsi" w:cs="Arial"/>
          <w:sz w:val="20"/>
          <w:szCs w:val="20"/>
          <w:lang w:val="es-UY"/>
        </w:rPr>
        <w:t xml:space="preserve"> medid</w:t>
      </w:r>
      <w:r w:rsidR="00C77A15">
        <w:rPr>
          <w:rFonts w:asciiTheme="majorHAnsi" w:hAnsiTheme="majorHAnsi" w:cs="Arial"/>
          <w:sz w:val="20"/>
          <w:szCs w:val="20"/>
          <w:lang w:val="es-UY"/>
        </w:rPr>
        <w:t xml:space="preserve">as de reparación no pecuniarias, </w:t>
      </w:r>
      <w:r w:rsidR="00E9731C" w:rsidRPr="00E9731C">
        <w:rPr>
          <w:rFonts w:asciiTheme="majorHAnsi" w:hAnsiTheme="majorHAnsi" w:cs="Arial"/>
          <w:sz w:val="20"/>
          <w:szCs w:val="20"/>
          <w:lang w:val="es-UY"/>
        </w:rPr>
        <w:t xml:space="preserve">decisión </w:t>
      </w:r>
      <w:r w:rsidR="00222B33">
        <w:rPr>
          <w:rFonts w:asciiTheme="majorHAnsi" w:hAnsiTheme="majorHAnsi" w:cs="Arial"/>
          <w:sz w:val="20"/>
          <w:szCs w:val="20"/>
          <w:lang w:val="es-UY"/>
        </w:rPr>
        <w:t xml:space="preserve">que habría sido </w:t>
      </w:r>
      <w:r w:rsidR="00E9731C" w:rsidRPr="00E9731C">
        <w:rPr>
          <w:rFonts w:asciiTheme="majorHAnsi" w:hAnsiTheme="majorHAnsi" w:cs="Arial"/>
          <w:sz w:val="20"/>
          <w:szCs w:val="20"/>
          <w:lang w:val="es-UY"/>
        </w:rPr>
        <w:t>confirmada por el Tribunal Administrativo de Cauca</w:t>
      </w:r>
      <w:r w:rsidR="00E9731C">
        <w:rPr>
          <w:rFonts w:asciiTheme="majorHAnsi" w:hAnsiTheme="majorHAnsi" w:cs="Arial"/>
          <w:sz w:val="20"/>
          <w:szCs w:val="20"/>
          <w:lang w:val="es-UY"/>
        </w:rPr>
        <w:t xml:space="preserve"> </w:t>
      </w:r>
      <w:r w:rsidR="00E9731C" w:rsidRPr="00E9731C">
        <w:rPr>
          <w:rFonts w:asciiTheme="majorHAnsi" w:hAnsiTheme="majorHAnsi" w:cs="Arial"/>
          <w:sz w:val="20"/>
          <w:szCs w:val="20"/>
          <w:lang w:val="es-UY"/>
        </w:rPr>
        <w:t>el 6 de marzo de 2010</w:t>
      </w:r>
      <w:r w:rsidR="00E9731C">
        <w:rPr>
          <w:rFonts w:asciiTheme="majorHAnsi" w:hAnsiTheme="majorHAnsi" w:cs="Arial"/>
          <w:sz w:val="20"/>
          <w:szCs w:val="20"/>
          <w:lang w:val="es-UY"/>
        </w:rPr>
        <w:t>.</w:t>
      </w:r>
    </w:p>
    <w:p w:rsidR="007C743F" w:rsidRDefault="007C743F" w:rsidP="00AD528E">
      <w:pPr>
        <w:pStyle w:val="ListParagraph"/>
        <w:rPr>
          <w:rFonts w:asciiTheme="majorHAnsi" w:hAnsiTheme="majorHAnsi" w:cs="Arial"/>
          <w:sz w:val="20"/>
          <w:szCs w:val="20"/>
          <w:lang w:val="es-UY"/>
        </w:rPr>
      </w:pPr>
    </w:p>
    <w:p w:rsidR="00FA451A" w:rsidRDefault="007C743F" w:rsidP="00AD52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UY"/>
        </w:rPr>
      </w:pPr>
      <w:r w:rsidRPr="001100AC">
        <w:rPr>
          <w:rFonts w:asciiTheme="majorHAnsi" w:hAnsiTheme="majorHAnsi" w:cs="Arial"/>
          <w:sz w:val="20"/>
          <w:szCs w:val="20"/>
          <w:lang w:val="es-UY"/>
        </w:rPr>
        <w:t>En el escrito de denuncia, l</w:t>
      </w:r>
      <w:r w:rsidR="00FA451A" w:rsidRPr="001100AC">
        <w:rPr>
          <w:rFonts w:asciiTheme="majorHAnsi" w:hAnsiTheme="majorHAnsi" w:cs="Arial"/>
          <w:sz w:val="20"/>
          <w:szCs w:val="20"/>
          <w:lang w:val="es-UY"/>
        </w:rPr>
        <w:t>os peticionarios solicitan que se aplique</w:t>
      </w:r>
      <w:r w:rsidR="007417AF" w:rsidRPr="001100AC">
        <w:rPr>
          <w:rFonts w:asciiTheme="majorHAnsi" w:hAnsiTheme="majorHAnsi" w:cs="Arial"/>
          <w:sz w:val="20"/>
          <w:szCs w:val="20"/>
          <w:lang w:val="es-UY"/>
        </w:rPr>
        <w:t>n</w:t>
      </w:r>
      <w:r w:rsidR="00FA451A" w:rsidRPr="001100AC">
        <w:rPr>
          <w:rFonts w:asciiTheme="majorHAnsi" w:hAnsiTheme="majorHAnsi" w:cs="Arial"/>
          <w:sz w:val="20"/>
          <w:szCs w:val="20"/>
          <w:lang w:val="es-UY"/>
        </w:rPr>
        <w:t xml:space="preserve"> las excepciones contempladas en el artículo 46.2 letras a</w:t>
      </w:r>
      <w:r w:rsidR="007417AF" w:rsidRPr="001100AC">
        <w:rPr>
          <w:rFonts w:asciiTheme="majorHAnsi" w:hAnsiTheme="majorHAnsi" w:cs="Arial"/>
          <w:sz w:val="20"/>
          <w:szCs w:val="20"/>
          <w:lang w:val="es-UY"/>
        </w:rPr>
        <w:t>)</w:t>
      </w:r>
      <w:r w:rsidR="00FA451A" w:rsidRPr="001100AC">
        <w:rPr>
          <w:rFonts w:asciiTheme="majorHAnsi" w:hAnsiTheme="majorHAnsi" w:cs="Arial"/>
          <w:sz w:val="20"/>
          <w:szCs w:val="20"/>
          <w:lang w:val="es-UY"/>
        </w:rPr>
        <w:t xml:space="preserve"> y</w:t>
      </w:r>
      <w:r w:rsidR="00DF65B1" w:rsidRPr="001100AC">
        <w:rPr>
          <w:rFonts w:asciiTheme="majorHAnsi" w:hAnsiTheme="majorHAnsi" w:cs="Arial"/>
          <w:sz w:val="20"/>
          <w:szCs w:val="20"/>
          <w:lang w:val="es-UY"/>
        </w:rPr>
        <w:t xml:space="preserve"> </w:t>
      </w:r>
      <w:r w:rsidR="00FA451A" w:rsidRPr="001100AC">
        <w:rPr>
          <w:rFonts w:asciiTheme="majorHAnsi" w:hAnsiTheme="majorHAnsi" w:cs="Arial"/>
          <w:sz w:val="20"/>
          <w:szCs w:val="20"/>
          <w:lang w:val="es-UY"/>
        </w:rPr>
        <w:t>c</w:t>
      </w:r>
      <w:r w:rsidR="007417AF" w:rsidRPr="001100AC">
        <w:rPr>
          <w:rFonts w:asciiTheme="majorHAnsi" w:hAnsiTheme="majorHAnsi" w:cs="Arial"/>
          <w:sz w:val="20"/>
          <w:szCs w:val="20"/>
          <w:lang w:val="es-UY"/>
        </w:rPr>
        <w:t>)</w:t>
      </w:r>
      <w:r w:rsidR="00FA451A" w:rsidRPr="001100AC">
        <w:rPr>
          <w:rFonts w:asciiTheme="majorHAnsi" w:hAnsiTheme="majorHAnsi" w:cs="Arial"/>
          <w:sz w:val="20"/>
          <w:szCs w:val="20"/>
          <w:lang w:val="es-UY"/>
        </w:rPr>
        <w:t xml:space="preserve"> de la CADH.</w:t>
      </w:r>
      <w:r w:rsidR="00BA7E55" w:rsidRPr="001100AC">
        <w:rPr>
          <w:rFonts w:asciiTheme="majorHAnsi" w:hAnsiTheme="majorHAnsi" w:cs="Arial"/>
          <w:sz w:val="20"/>
          <w:szCs w:val="20"/>
          <w:lang w:val="es-UY"/>
        </w:rPr>
        <w:t xml:space="preserve"> </w:t>
      </w:r>
      <w:r w:rsidR="007417AF" w:rsidRPr="001100AC">
        <w:rPr>
          <w:rFonts w:asciiTheme="majorHAnsi" w:hAnsiTheme="majorHAnsi" w:cs="Arial"/>
          <w:sz w:val="20"/>
          <w:szCs w:val="20"/>
          <w:lang w:val="es-UY"/>
        </w:rPr>
        <w:t xml:space="preserve">Respecto de la primera excepción, </w:t>
      </w:r>
      <w:r w:rsidR="003169F0">
        <w:rPr>
          <w:rFonts w:asciiTheme="majorHAnsi" w:hAnsiTheme="majorHAnsi" w:cs="Arial"/>
          <w:sz w:val="20"/>
          <w:szCs w:val="20"/>
          <w:lang w:val="es-UY"/>
        </w:rPr>
        <w:t xml:space="preserve">consistente en la inexistencia en la legislación interna de debido proceso penal para la protección de los derechos que se alega han sido violados, </w:t>
      </w:r>
      <w:r w:rsidR="00BA7E55" w:rsidRPr="001100AC">
        <w:rPr>
          <w:rFonts w:asciiTheme="majorHAnsi" w:hAnsiTheme="majorHAnsi" w:cs="Arial"/>
          <w:sz w:val="20"/>
          <w:szCs w:val="20"/>
          <w:lang w:val="es-UY"/>
        </w:rPr>
        <w:t>sostienen que los asesin</w:t>
      </w:r>
      <w:r w:rsidR="007417AF" w:rsidRPr="001100AC">
        <w:rPr>
          <w:rFonts w:asciiTheme="majorHAnsi" w:hAnsiTheme="majorHAnsi" w:cs="Arial"/>
          <w:sz w:val="20"/>
          <w:szCs w:val="20"/>
          <w:lang w:val="es-UY"/>
        </w:rPr>
        <w:t xml:space="preserve">atos de </w:t>
      </w:r>
      <w:r w:rsidR="00C16EAF" w:rsidRPr="00C16EAF">
        <w:rPr>
          <w:rFonts w:asciiTheme="majorHAnsi" w:hAnsiTheme="majorHAnsi" w:cs="Arial"/>
          <w:sz w:val="20"/>
          <w:szCs w:val="20"/>
          <w:lang w:val="es-UY"/>
        </w:rPr>
        <w:t xml:space="preserve">Hortencia Neyid Tunja Cuchumbe, Manuel Antonio Tao Pillimué </w:t>
      </w:r>
      <w:r w:rsidR="007417AF" w:rsidRPr="001100AC">
        <w:rPr>
          <w:rFonts w:asciiTheme="majorHAnsi" w:hAnsiTheme="majorHAnsi" w:cs="Arial"/>
          <w:sz w:val="20"/>
          <w:szCs w:val="20"/>
          <w:lang w:val="es-UY"/>
        </w:rPr>
        <w:t>eran</w:t>
      </w:r>
      <w:r w:rsidR="00BA7E55" w:rsidRPr="001100AC">
        <w:rPr>
          <w:rFonts w:asciiTheme="majorHAnsi" w:hAnsiTheme="majorHAnsi" w:cs="Arial"/>
          <w:sz w:val="20"/>
          <w:szCs w:val="20"/>
          <w:lang w:val="es-UY"/>
        </w:rPr>
        <w:t xml:space="preserve"> investigados por el Juzgado 65 de Instrucción Penal Militar</w:t>
      </w:r>
      <w:r w:rsidR="007417AF" w:rsidRPr="001100AC">
        <w:rPr>
          <w:rFonts w:asciiTheme="majorHAnsi" w:hAnsiTheme="majorHAnsi" w:cs="Arial"/>
          <w:sz w:val="20"/>
          <w:szCs w:val="20"/>
          <w:lang w:val="es-UY"/>
        </w:rPr>
        <w:t>, ante l</w:t>
      </w:r>
      <w:r w:rsidR="00BA7E55" w:rsidRPr="001100AC">
        <w:rPr>
          <w:rFonts w:asciiTheme="majorHAnsi" w:hAnsiTheme="majorHAnsi" w:cs="Arial"/>
          <w:sz w:val="20"/>
          <w:szCs w:val="20"/>
          <w:lang w:val="es-UY"/>
        </w:rPr>
        <w:t>a jurisdicción militar</w:t>
      </w:r>
      <w:r w:rsidR="007417AF" w:rsidRPr="001100AC">
        <w:rPr>
          <w:rFonts w:asciiTheme="majorHAnsi" w:hAnsiTheme="majorHAnsi" w:cs="Arial"/>
          <w:sz w:val="20"/>
          <w:szCs w:val="20"/>
          <w:lang w:val="es-UY"/>
        </w:rPr>
        <w:t>, lo cual</w:t>
      </w:r>
      <w:r w:rsidR="00BA7E55" w:rsidRPr="001100AC">
        <w:rPr>
          <w:rFonts w:asciiTheme="majorHAnsi" w:hAnsiTheme="majorHAnsi" w:cs="Arial"/>
          <w:sz w:val="20"/>
          <w:szCs w:val="20"/>
          <w:lang w:val="es-UY"/>
        </w:rPr>
        <w:t xml:space="preserve"> no </w:t>
      </w:r>
      <w:r w:rsidR="007417AF" w:rsidRPr="001100AC">
        <w:rPr>
          <w:rFonts w:asciiTheme="majorHAnsi" w:hAnsiTheme="majorHAnsi" w:cs="Arial"/>
          <w:sz w:val="20"/>
          <w:szCs w:val="20"/>
          <w:lang w:val="es-UY"/>
        </w:rPr>
        <w:t xml:space="preserve">aseguraría un </w:t>
      </w:r>
      <w:r w:rsidR="00BA7E55" w:rsidRPr="001100AC">
        <w:rPr>
          <w:rFonts w:asciiTheme="majorHAnsi" w:hAnsiTheme="majorHAnsi" w:cs="Arial"/>
          <w:sz w:val="20"/>
          <w:szCs w:val="20"/>
          <w:lang w:val="es-UY"/>
        </w:rPr>
        <w:t xml:space="preserve">recurso adecuado </w:t>
      </w:r>
      <w:r w:rsidR="007417AF" w:rsidRPr="001100AC">
        <w:rPr>
          <w:rFonts w:asciiTheme="majorHAnsi" w:hAnsiTheme="majorHAnsi" w:cs="Arial"/>
          <w:sz w:val="20"/>
          <w:szCs w:val="20"/>
          <w:lang w:val="es-UY"/>
        </w:rPr>
        <w:t xml:space="preserve">y efectivo </w:t>
      </w:r>
      <w:r w:rsidR="00BA7E55" w:rsidRPr="001100AC">
        <w:rPr>
          <w:rFonts w:asciiTheme="majorHAnsi" w:hAnsiTheme="majorHAnsi" w:cs="Arial"/>
          <w:sz w:val="20"/>
          <w:szCs w:val="20"/>
          <w:lang w:val="es-UY"/>
        </w:rPr>
        <w:t>para establecer y sancionar la responsabili</w:t>
      </w:r>
      <w:r w:rsidR="000B0FC0" w:rsidRPr="001100AC">
        <w:rPr>
          <w:rFonts w:asciiTheme="majorHAnsi" w:hAnsiTheme="majorHAnsi" w:cs="Arial"/>
          <w:sz w:val="20"/>
          <w:szCs w:val="20"/>
          <w:lang w:val="es-UY"/>
        </w:rPr>
        <w:t>dad por vulneraciones a la vida</w:t>
      </w:r>
      <w:r w:rsidR="00BA7E55" w:rsidRPr="001100AC">
        <w:rPr>
          <w:rFonts w:asciiTheme="majorHAnsi" w:hAnsiTheme="majorHAnsi" w:cs="Arial"/>
          <w:sz w:val="20"/>
          <w:szCs w:val="20"/>
          <w:lang w:val="es-UY"/>
        </w:rPr>
        <w:t>, integridad, libertad y seguridad personales, la honra y la dignidad</w:t>
      </w:r>
      <w:r w:rsidR="007417AF" w:rsidRPr="001100AC">
        <w:rPr>
          <w:rFonts w:asciiTheme="majorHAnsi" w:hAnsiTheme="majorHAnsi" w:cs="Arial"/>
          <w:sz w:val="20"/>
          <w:szCs w:val="20"/>
          <w:lang w:val="es-UY"/>
        </w:rPr>
        <w:t>, y a</w:t>
      </w:r>
      <w:r w:rsidR="002B7406" w:rsidRPr="001100AC">
        <w:rPr>
          <w:rFonts w:asciiTheme="majorHAnsi" w:hAnsiTheme="majorHAnsi" w:cs="Arial"/>
          <w:sz w:val="20"/>
          <w:szCs w:val="20"/>
          <w:lang w:val="es-UY"/>
        </w:rPr>
        <w:t xml:space="preserve">demás </w:t>
      </w:r>
      <w:r w:rsidR="007417AF" w:rsidRPr="001100AC">
        <w:rPr>
          <w:rFonts w:asciiTheme="majorHAnsi" w:hAnsiTheme="majorHAnsi" w:cs="Arial"/>
          <w:sz w:val="20"/>
          <w:szCs w:val="20"/>
          <w:lang w:val="es-UY"/>
        </w:rPr>
        <w:t>se violaría el</w:t>
      </w:r>
      <w:r w:rsidR="002B7406" w:rsidRPr="001100AC">
        <w:rPr>
          <w:rFonts w:asciiTheme="majorHAnsi" w:hAnsiTheme="majorHAnsi" w:cs="Arial"/>
          <w:sz w:val="20"/>
          <w:szCs w:val="20"/>
          <w:lang w:val="es-UY"/>
        </w:rPr>
        <w:t xml:space="preserve"> principio del juez natural. En cuanto a la segunda </w:t>
      </w:r>
      <w:r w:rsidR="00BB414D" w:rsidRPr="001100AC">
        <w:rPr>
          <w:rFonts w:asciiTheme="majorHAnsi" w:hAnsiTheme="majorHAnsi" w:cs="Arial"/>
          <w:sz w:val="20"/>
          <w:szCs w:val="20"/>
          <w:lang w:val="es-UY"/>
        </w:rPr>
        <w:t>excepción</w:t>
      </w:r>
      <w:r w:rsidR="002B7406" w:rsidRPr="001100AC">
        <w:rPr>
          <w:rFonts w:asciiTheme="majorHAnsi" w:hAnsiTheme="majorHAnsi" w:cs="Arial"/>
          <w:sz w:val="20"/>
          <w:szCs w:val="20"/>
          <w:lang w:val="es-UY"/>
        </w:rPr>
        <w:t xml:space="preserve">, </w:t>
      </w:r>
      <w:r w:rsidR="00EC5EC6">
        <w:rPr>
          <w:rFonts w:asciiTheme="majorHAnsi" w:hAnsiTheme="majorHAnsi" w:cs="Arial"/>
          <w:sz w:val="20"/>
          <w:szCs w:val="20"/>
          <w:lang w:val="es-UY"/>
        </w:rPr>
        <w:t>esto es, la existencia de un retardo injustificado en la decisión de los recursos de la jurisdicción interna,</w:t>
      </w:r>
      <w:r w:rsidR="00887FD6">
        <w:rPr>
          <w:rFonts w:asciiTheme="majorHAnsi" w:hAnsiTheme="majorHAnsi" w:cs="Arial"/>
          <w:sz w:val="20"/>
          <w:szCs w:val="20"/>
          <w:lang w:val="es-UY"/>
        </w:rPr>
        <w:t xml:space="preserve"> entre otros puntos,</w:t>
      </w:r>
      <w:r w:rsidR="00EC5EC6">
        <w:rPr>
          <w:rFonts w:asciiTheme="majorHAnsi" w:hAnsiTheme="majorHAnsi" w:cs="Arial"/>
          <w:sz w:val="20"/>
          <w:szCs w:val="20"/>
          <w:lang w:val="es-UY"/>
        </w:rPr>
        <w:t xml:space="preserve"> </w:t>
      </w:r>
      <w:r w:rsidR="002B7406" w:rsidRPr="001100AC">
        <w:rPr>
          <w:rFonts w:asciiTheme="majorHAnsi" w:hAnsiTheme="majorHAnsi" w:cs="Arial"/>
          <w:sz w:val="20"/>
          <w:szCs w:val="20"/>
          <w:lang w:val="es-UY"/>
        </w:rPr>
        <w:t xml:space="preserve">alegan que el artículo 352 de la Ley 600 de 2000, establece el término máximo de </w:t>
      </w:r>
      <w:r w:rsidR="00340B34">
        <w:rPr>
          <w:rFonts w:asciiTheme="majorHAnsi" w:hAnsiTheme="majorHAnsi" w:cs="Arial"/>
          <w:sz w:val="20"/>
          <w:szCs w:val="20"/>
          <w:lang w:val="es-UY"/>
        </w:rPr>
        <w:t xml:space="preserve">seis </w:t>
      </w:r>
      <w:r w:rsidR="002B7406" w:rsidRPr="001100AC">
        <w:rPr>
          <w:rFonts w:asciiTheme="majorHAnsi" w:hAnsiTheme="majorHAnsi" w:cs="Arial"/>
          <w:sz w:val="20"/>
          <w:szCs w:val="20"/>
          <w:lang w:val="es-UY"/>
        </w:rPr>
        <w:t>meses</w:t>
      </w:r>
      <w:r w:rsidR="00775913">
        <w:rPr>
          <w:rFonts w:asciiTheme="majorHAnsi" w:hAnsiTheme="majorHAnsi" w:cs="Arial"/>
          <w:sz w:val="20"/>
          <w:szCs w:val="20"/>
          <w:lang w:val="es-UY"/>
        </w:rPr>
        <w:t>,</w:t>
      </w:r>
      <w:r w:rsidR="002B7406" w:rsidRPr="001100AC">
        <w:rPr>
          <w:rFonts w:asciiTheme="majorHAnsi" w:hAnsiTheme="majorHAnsi" w:cs="Arial"/>
          <w:sz w:val="20"/>
          <w:szCs w:val="20"/>
          <w:lang w:val="es-UY"/>
        </w:rPr>
        <w:t xml:space="preserve"> vencidos los cuales se dictara resolución de apertura de instrucción</w:t>
      </w:r>
      <w:r w:rsidR="001100AC">
        <w:rPr>
          <w:rFonts w:asciiTheme="majorHAnsi" w:hAnsiTheme="majorHAnsi" w:cs="Arial"/>
          <w:sz w:val="20"/>
          <w:szCs w:val="20"/>
          <w:lang w:val="es-UY"/>
        </w:rPr>
        <w:t>,</w:t>
      </w:r>
      <w:r w:rsidR="0070521D">
        <w:rPr>
          <w:rFonts w:asciiTheme="majorHAnsi" w:hAnsiTheme="majorHAnsi" w:cs="Arial"/>
          <w:sz w:val="20"/>
          <w:szCs w:val="20"/>
          <w:lang w:val="es-UY"/>
        </w:rPr>
        <w:t xml:space="preserve"> plazo que ya había transcurrido a la fecha de presentación de la denuncia. Por otra parte, refieren que </w:t>
      </w:r>
      <w:r w:rsidR="00C54545">
        <w:rPr>
          <w:rFonts w:asciiTheme="majorHAnsi" w:hAnsiTheme="majorHAnsi" w:cs="Arial"/>
          <w:sz w:val="20"/>
          <w:szCs w:val="20"/>
          <w:lang w:val="es-UY"/>
        </w:rPr>
        <w:t xml:space="preserve">en </w:t>
      </w:r>
      <w:r w:rsidR="0070521D">
        <w:rPr>
          <w:rFonts w:asciiTheme="majorHAnsi" w:hAnsiTheme="majorHAnsi" w:cs="Arial"/>
          <w:sz w:val="20"/>
          <w:szCs w:val="20"/>
          <w:lang w:val="es-UY"/>
        </w:rPr>
        <w:t xml:space="preserve">la investigación </w:t>
      </w:r>
      <w:r w:rsidR="00C54545">
        <w:rPr>
          <w:rFonts w:asciiTheme="majorHAnsi" w:hAnsiTheme="majorHAnsi" w:cs="Arial"/>
          <w:sz w:val="20"/>
          <w:szCs w:val="20"/>
          <w:lang w:val="es-UY"/>
        </w:rPr>
        <w:t xml:space="preserve">penal, </w:t>
      </w:r>
      <w:r w:rsidR="001100AC">
        <w:rPr>
          <w:rFonts w:asciiTheme="majorHAnsi" w:hAnsiTheme="majorHAnsi" w:cs="Arial"/>
          <w:sz w:val="20"/>
          <w:szCs w:val="20"/>
          <w:lang w:val="es-UY"/>
        </w:rPr>
        <w:t>m</w:t>
      </w:r>
      <w:r w:rsidR="004F37BE" w:rsidRPr="001100AC">
        <w:rPr>
          <w:rFonts w:asciiTheme="majorHAnsi" w:hAnsiTheme="majorHAnsi" w:cs="Arial"/>
          <w:sz w:val="20"/>
          <w:szCs w:val="20"/>
          <w:lang w:val="es-UY"/>
        </w:rPr>
        <w:t>ediante resolución de 22 de febrero de 2006</w:t>
      </w:r>
      <w:r w:rsidR="00A2073D" w:rsidRPr="001100AC">
        <w:rPr>
          <w:rFonts w:asciiTheme="majorHAnsi" w:hAnsiTheme="majorHAnsi" w:cs="Arial"/>
          <w:sz w:val="20"/>
          <w:szCs w:val="20"/>
          <w:lang w:val="es-UY"/>
        </w:rPr>
        <w:t>, el Fiscal General de la Nación dispuso variar la asignación</w:t>
      </w:r>
      <w:r w:rsidR="00425572">
        <w:rPr>
          <w:rFonts w:asciiTheme="majorHAnsi" w:hAnsiTheme="majorHAnsi" w:cs="Arial"/>
          <w:sz w:val="20"/>
          <w:szCs w:val="20"/>
          <w:lang w:val="es-UY"/>
        </w:rPr>
        <w:t xml:space="preserve"> de investigación con destin</w:t>
      </w:r>
      <w:r w:rsidR="00A2073D" w:rsidRPr="001100AC">
        <w:rPr>
          <w:rFonts w:asciiTheme="majorHAnsi" w:hAnsiTheme="majorHAnsi" w:cs="Arial"/>
          <w:sz w:val="20"/>
          <w:szCs w:val="20"/>
          <w:lang w:val="es-UY"/>
        </w:rPr>
        <w:t>o a la Unidad Nacional de Derechos Humanos</w:t>
      </w:r>
      <w:r w:rsidR="004F37BE" w:rsidRPr="001100AC">
        <w:rPr>
          <w:rFonts w:asciiTheme="majorHAnsi" w:hAnsiTheme="majorHAnsi" w:cs="Arial"/>
          <w:sz w:val="20"/>
          <w:szCs w:val="20"/>
          <w:lang w:val="es-UY"/>
        </w:rPr>
        <w:t xml:space="preserve"> </w:t>
      </w:r>
      <w:r w:rsidR="008A24FA" w:rsidRPr="001100AC">
        <w:rPr>
          <w:rFonts w:asciiTheme="majorHAnsi" w:hAnsiTheme="majorHAnsi" w:cs="Arial"/>
          <w:sz w:val="20"/>
          <w:szCs w:val="20"/>
          <w:lang w:val="es-UY"/>
        </w:rPr>
        <w:t xml:space="preserve">y Derecho Internacional Humanitario, </w:t>
      </w:r>
      <w:r w:rsidR="001C44FE" w:rsidRPr="001100AC">
        <w:rPr>
          <w:rFonts w:asciiTheme="majorHAnsi" w:hAnsiTheme="majorHAnsi" w:cs="Arial"/>
          <w:sz w:val="20"/>
          <w:szCs w:val="20"/>
          <w:lang w:val="es-UY"/>
        </w:rPr>
        <w:t xml:space="preserve">designado </w:t>
      </w:r>
      <w:r w:rsidR="00AE0B95" w:rsidRPr="001100AC">
        <w:rPr>
          <w:rFonts w:asciiTheme="majorHAnsi" w:hAnsiTheme="majorHAnsi" w:cs="Arial"/>
          <w:sz w:val="20"/>
          <w:szCs w:val="20"/>
          <w:lang w:val="es-UY"/>
        </w:rPr>
        <w:t>a la Fiscal Delegado ante Juzgados Penales de Circuito adscrito a la Unidad</w:t>
      </w:r>
      <w:r w:rsidR="00425572">
        <w:rPr>
          <w:rFonts w:asciiTheme="majorHAnsi" w:hAnsiTheme="majorHAnsi" w:cs="Arial"/>
          <w:sz w:val="20"/>
          <w:szCs w:val="20"/>
          <w:lang w:val="es-UY"/>
        </w:rPr>
        <w:t xml:space="preserve"> Nacional de Derechos Humanos</w:t>
      </w:r>
      <w:r w:rsidR="00AE0B95" w:rsidRPr="001100AC">
        <w:rPr>
          <w:rFonts w:asciiTheme="majorHAnsi" w:hAnsiTheme="majorHAnsi" w:cs="Arial"/>
          <w:sz w:val="20"/>
          <w:szCs w:val="20"/>
          <w:lang w:val="es-UY"/>
        </w:rPr>
        <w:t xml:space="preserve">, con sede en Cali. </w:t>
      </w:r>
      <w:r w:rsidR="001100AC">
        <w:rPr>
          <w:rFonts w:asciiTheme="majorHAnsi" w:hAnsiTheme="majorHAnsi" w:cs="Arial"/>
          <w:sz w:val="20"/>
          <w:szCs w:val="20"/>
          <w:lang w:val="es-UY"/>
        </w:rPr>
        <w:t>Indican que e</w:t>
      </w:r>
      <w:r w:rsidR="00AE0B95" w:rsidRPr="001100AC">
        <w:rPr>
          <w:rFonts w:asciiTheme="majorHAnsi" w:hAnsiTheme="majorHAnsi" w:cs="Arial"/>
          <w:sz w:val="20"/>
          <w:szCs w:val="20"/>
          <w:lang w:val="es-UY"/>
        </w:rPr>
        <w:t>l 3 de mayo de 2006 la apoderada de las presuntas víctimas se constituyó en parte civil</w:t>
      </w:r>
      <w:r w:rsidR="001100AC">
        <w:rPr>
          <w:rFonts w:asciiTheme="majorHAnsi" w:hAnsiTheme="majorHAnsi" w:cs="Arial"/>
          <w:sz w:val="20"/>
          <w:szCs w:val="20"/>
          <w:lang w:val="es-UY"/>
        </w:rPr>
        <w:t>, y que a</w:t>
      </w:r>
      <w:r w:rsidR="0037378F" w:rsidRPr="001100AC">
        <w:rPr>
          <w:rFonts w:asciiTheme="majorHAnsi" w:hAnsiTheme="majorHAnsi" w:cs="Arial"/>
          <w:sz w:val="20"/>
          <w:szCs w:val="20"/>
          <w:lang w:val="es-UY"/>
        </w:rPr>
        <w:t xml:space="preserve"> esa fecha el expediente aún se encontraba en trámite </w:t>
      </w:r>
      <w:r w:rsidR="00517F63">
        <w:rPr>
          <w:rFonts w:asciiTheme="majorHAnsi" w:hAnsiTheme="majorHAnsi" w:cs="Arial"/>
          <w:sz w:val="20"/>
          <w:szCs w:val="20"/>
          <w:lang w:val="es-UY"/>
        </w:rPr>
        <w:t>de traslado sin asignación de nú</w:t>
      </w:r>
      <w:r w:rsidR="0037378F" w:rsidRPr="001100AC">
        <w:rPr>
          <w:rFonts w:asciiTheme="majorHAnsi" w:hAnsiTheme="majorHAnsi" w:cs="Arial"/>
          <w:sz w:val="20"/>
          <w:szCs w:val="20"/>
          <w:lang w:val="es-UY"/>
        </w:rPr>
        <w:t xml:space="preserve">mero de radicado ni fiscalía especializada para asumir el caso, por lo que transcurrieron </w:t>
      </w:r>
      <w:r w:rsidR="00BE21F5">
        <w:rPr>
          <w:rFonts w:asciiTheme="majorHAnsi" w:hAnsiTheme="majorHAnsi" w:cs="Arial"/>
          <w:sz w:val="20"/>
          <w:szCs w:val="20"/>
          <w:lang w:val="es-UY"/>
        </w:rPr>
        <w:t>tres</w:t>
      </w:r>
      <w:r w:rsidR="0037378F" w:rsidRPr="001100AC">
        <w:rPr>
          <w:rFonts w:asciiTheme="majorHAnsi" w:hAnsiTheme="majorHAnsi" w:cs="Arial"/>
          <w:sz w:val="20"/>
          <w:szCs w:val="20"/>
          <w:lang w:val="es-UY"/>
        </w:rPr>
        <w:t xml:space="preserve"> meses en los que la </w:t>
      </w:r>
      <w:r w:rsidR="00775913">
        <w:rPr>
          <w:rFonts w:asciiTheme="majorHAnsi" w:hAnsiTheme="majorHAnsi" w:cs="Arial"/>
          <w:sz w:val="20"/>
          <w:szCs w:val="20"/>
          <w:lang w:val="es-UY"/>
        </w:rPr>
        <w:t>investigación previa se paralizó</w:t>
      </w:r>
      <w:r w:rsidR="0037378F" w:rsidRPr="001100AC">
        <w:rPr>
          <w:rFonts w:asciiTheme="majorHAnsi" w:hAnsiTheme="majorHAnsi" w:cs="Arial"/>
          <w:sz w:val="20"/>
          <w:szCs w:val="20"/>
          <w:lang w:val="es-UY"/>
        </w:rPr>
        <w:t xml:space="preserve"> por</w:t>
      </w:r>
      <w:r w:rsidR="00C54545">
        <w:rPr>
          <w:rFonts w:asciiTheme="majorHAnsi" w:hAnsiTheme="majorHAnsi" w:cs="Arial"/>
          <w:sz w:val="20"/>
          <w:szCs w:val="20"/>
          <w:lang w:val="es-UY"/>
        </w:rPr>
        <w:t xml:space="preserve"> la demora del traslado de una F</w:t>
      </w:r>
      <w:r w:rsidR="0037378F" w:rsidRPr="001100AC">
        <w:rPr>
          <w:rFonts w:asciiTheme="majorHAnsi" w:hAnsiTheme="majorHAnsi" w:cs="Arial"/>
          <w:sz w:val="20"/>
          <w:szCs w:val="20"/>
          <w:lang w:val="es-UY"/>
        </w:rPr>
        <w:t xml:space="preserve">iscalía a otra. </w:t>
      </w:r>
      <w:r w:rsidR="00517F63">
        <w:rPr>
          <w:rFonts w:asciiTheme="majorHAnsi" w:hAnsiTheme="majorHAnsi" w:cs="Arial"/>
          <w:sz w:val="20"/>
          <w:szCs w:val="20"/>
          <w:lang w:val="es-UY"/>
        </w:rPr>
        <w:t>Además</w:t>
      </w:r>
      <w:r w:rsidR="00775913">
        <w:rPr>
          <w:rFonts w:asciiTheme="majorHAnsi" w:hAnsiTheme="majorHAnsi" w:cs="Arial"/>
          <w:sz w:val="20"/>
          <w:szCs w:val="20"/>
          <w:lang w:val="es-UY"/>
        </w:rPr>
        <w:t>,</w:t>
      </w:r>
      <w:r w:rsidR="00517F63">
        <w:rPr>
          <w:rFonts w:asciiTheme="majorHAnsi" w:hAnsiTheme="majorHAnsi" w:cs="Arial"/>
          <w:sz w:val="20"/>
          <w:szCs w:val="20"/>
          <w:lang w:val="es-UY"/>
        </w:rPr>
        <w:t xml:space="preserve"> a</w:t>
      </w:r>
      <w:r w:rsidR="007E7B9F" w:rsidRPr="001100AC">
        <w:rPr>
          <w:rFonts w:asciiTheme="majorHAnsi" w:hAnsiTheme="majorHAnsi" w:cs="Arial"/>
          <w:sz w:val="20"/>
          <w:szCs w:val="20"/>
          <w:lang w:val="es-UY"/>
        </w:rPr>
        <w:t>legan que no se han practicado las prueb</w:t>
      </w:r>
      <w:r w:rsidR="00BE21F5">
        <w:rPr>
          <w:rFonts w:asciiTheme="majorHAnsi" w:hAnsiTheme="majorHAnsi" w:cs="Arial"/>
          <w:sz w:val="20"/>
          <w:szCs w:val="20"/>
          <w:lang w:val="es-UY"/>
        </w:rPr>
        <w:t>as decretadas y que han pasado nueve</w:t>
      </w:r>
      <w:r w:rsidR="007E7B9F" w:rsidRPr="001100AC">
        <w:rPr>
          <w:rFonts w:asciiTheme="majorHAnsi" w:hAnsiTheme="majorHAnsi" w:cs="Arial"/>
          <w:sz w:val="20"/>
          <w:szCs w:val="20"/>
          <w:lang w:val="es-UY"/>
        </w:rPr>
        <w:t xml:space="preserve"> meses y</w:t>
      </w:r>
      <w:r w:rsidR="00AA638D" w:rsidRPr="001100AC">
        <w:rPr>
          <w:rFonts w:asciiTheme="majorHAnsi" w:hAnsiTheme="majorHAnsi" w:cs="Arial"/>
          <w:sz w:val="20"/>
          <w:szCs w:val="20"/>
          <w:lang w:val="es-UY"/>
        </w:rPr>
        <w:t xml:space="preserve"> </w:t>
      </w:r>
      <w:r w:rsidR="007E7B9F" w:rsidRPr="001100AC">
        <w:rPr>
          <w:rFonts w:asciiTheme="majorHAnsi" w:hAnsiTheme="majorHAnsi" w:cs="Arial"/>
          <w:sz w:val="20"/>
          <w:szCs w:val="20"/>
          <w:lang w:val="es-UY"/>
        </w:rPr>
        <w:t xml:space="preserve">la investigación previa sigue en curso. </w:t>
      </w:r>
    </w:p>
    <w:p w:rsidR="00BD59AF" w:rsidRPr="00EC5618" w:rsidRDefault="00BD59AF" w:rsidP="00AD52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UY"/>
        </w:rPr>
      </w:pPr>
    </w:p>
    <w:p w:rsidR="003F31F9" w:rsidRPr="00EC5618" w:rsidRDefault="00D30FF3" w:rsidP="00AD52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UY"/>
        </w:rPr>
      </w:pPr>
      <w:r w:rsidRPr="00EC5618">
        <w:rPr>
          <w:rFonts w:asciiTheme="majorHAnsi" w:hAnsiTheme="majorHAnsi" w:cs="Arial"/>
          <w:sz w:val="20"/>
          <w:szCs w:val="20"/>
          <w:lang w:val="es-UY"/>
        </w:rPr>
        <w:t xml:space="preserve">Mediante </w:t>
      </w:r>
      <w:r w:rsidR="00BD59AF" w:rsidRPr="00EC5618">
        <w:rPr>
          <w:rFonts w:asciiTheme="majorHAnsi" w:hAnsiTheme="majorHAnsi" w:cs="Arial"/>
          <w:sz w:val="20"/>
          <w:szCs w:val="20"/>
          <w:lang w:val="es-UY"/>
        </w:rPr>
        <w:t>escrito de</w:t>
      </w:r>
      <w:r w:rsidR="0054334B">
        <w:rPr>
          <w:rFonts w:asciiTheme="majorHAnsi" w:hAnsiTheme="majorHAnsi" w:cs="Arial"/>
          <w:sz w:val="20"/>
          <w:szCs w:val="20"/>
          <w:lang w:val="es-UY"/>
        </w:rPr>
        <w:t xml:space="preserve"> 16 de septiembre de 2014</w:t>
      </w:r>
      <w:r w:rsidR="000552D0">
        <w:rPr>
          <w:rFonts w:asciiTheme="majorHAnsi" w:hAnsiTheme="majorHAnsi" w:cs="Arial"/>
          <w:sz w:val="20"/>
          <w:szCs w:val="20"/>
          <w:lang w:val="es-UY"/>
        </w:rPr>
        <w:t>,</w:t>
      </w:r>
      <w:r w:rsidR="00BD59AF" w:rsidRPr="00EC5618">
        <w:rPr>
          <w:rFonts w:asciiTheme="majorHAnsi" w:hAnsiTheme="majorHAnsi" w:cs="Arial"/>
          <w:sz w:val="20"/>
          <w:szCs w:val="20"/>
          <w:lang w:val="es-UY"/>
        </w:rPr>
        <w:t xml:space="preserve"> </w:t>
      </w:r>
      <w:r w:rsidRPr="00EC5618">
        <w:rPr>
          <w:rFonts w:asciiTheme="majorHAnsi" w:hAnsiTheme="majorHAnsi" w:cs="Arial"/>
          <w:sz w:val="20"/>
          <w:szCs w:val="20"/>
          <w:lang w:val="es-UY"/>
        </w:rPr>
        <w:t xml:space="preserve">los peticionarios </w:t>
      </w:r>
      <w:r w:rsidR="00BD59AF" w:rsidRPr="00EC5618">
        <w:rPr>
          <w:rFonts w:asciiTheme="majorHAnsi" w:hAnsiTheme="majorHAnsi" w:cs="Arial"/>
          <w:sz w:val="20"/>
          <w:szCs w:val="20"/>
          <w:lang w:val="es-UY"/>
        </w:rPr>
        <w:t xml:space="preserve">indican que han transcurrido más de ocho años desde </w:t>
      </w:r>
      <w:r w:rsidR="00DF46FD" w:rsidRPr="00EC5618">
        <w:rPr>
          <w:rFonts w:asciiTheme="majorHAnsi" w:hAnsiTheme="majorHAnsi" w:cs="Arial"/>
          <w:sz w:val="20"/>
          <w:szCs w:val="20"/>
          <w:lang w:val="es-UY"/>
        </w:rPr>
        <w:t xml:space="preserve">que ocurrieron </w:t>
      </w:r>
      <w:r w:rsidR="00BD59AF" w:rsidRPr="00EC5618">
        <w:rPr>
          <w:rFonts w:asciiTheme="majorHAnsi" w:hAnsiTheme="majorHAnsi" w:cs="Arial"/>
          <w:sz w:val="20"/>
          <w:szCs w:val="20"/>
          <w:lang w:val="es-UY"/>
        </w:rPr>
        <w:t xml:space="preserve">los hechos </w:t>
      </w:r>
      <w:r w:rsidR="0054334B">
        <w:rPr>
          <w:rFonts w:asciiTheme="majorHAnsi" w:hAnsiTheme="majorHAnsi" w:cs="Arial"/>
          <w:sz w:val="20"/>
          <w:szCs w:val="20"/>
          <w:lang w:val="es-UY"/>
        </w:rPr>
        <w:t xml:space="preserve">sin que exista </w:t>
      </w:r>
      <w:r w:rsidR="00BD59AF" w:rsidRPr="00EC5618">
        <w:rPr>
          <w:rFonts w:asciiTheme="majorHAnsi" w:hAnsiTheme="majorHAnsi" w:cs="Arial"/>
          <w:sz w:val="20"/>
          <w:szCs w:val="20"/>
          <w:lang w:val="es-UY"/>
        </w:rPr>
        <w:t xml:space="preserve">una decisión en firme sobre la responsabilidad de los agentes estatales que participaron en los </w:t>
      </w:r>
      <w:r w:rsidR="00DF46FD" w:rsidRPr="00EC5618">
        <w:rPr>
          <w:rFonts w:asciiTheme="majorHAnsi" w:hAnsiTheme="majorHAnsi" w:cs="Arial"/>
          <w:sz w:val="20"/>
          <w:szCs w:val="20"/>
          <w:lang w:val="es-UY"/>
        </w:rPr>
        <w:t>mismos, por lo</w:t>
      </w:r>
      <w:r w:rsidR="0054334B">
        <w:rPr>
          <w:rFonts w:asciiTheme="majorHAnsi" w:hAnsiTheme="majorHAnsi" w:cs="Arial"/>
          <w:sz w:val="20"/>
          <w:szCs w:val="20"/>
          <w:lang w:val="es-UY"/>
        </w:rPr>
        <w:t xml:space="preserve"> </w:t>
      </w:r>
      <w:r w:rsidR="00B71B0C">
        <w:rPr>
          <w:rFonts w:asciiTheme="majorHAnsi" w:hAnsiTheme="majorHAnsi" w:cs="Arial"/>
          <w:sz w:val="20"/>
          <w:szCs w:val="20"/>
          <w:lang w:val="es-UY"/>
        </w:rPr>
        <w:t xml:space="preserve">que </w:t>
      </w:r>
      <w:r w:rsidR="0054334B">
        <w:rPr>
          <w:rFonts w:asciiTheme="majorHAnsi" w:hAnsiTheme="majorHAnsi" w:cs="Arial"/>
          <w:sz w:val="20"/>
          <w:szCs w:val="20"/>
          <w:lang w:val="es-UY"/>
        </w:rPr>
        <w:t>aducen</w:t>
      </w:r>
      <w:r w:rsidR="00DF46FD" w:rsidRPr="00EC5618">
        <w:rPr>
          <w:rFonts w:asciiTheme="majorHAnsi" w:hAnsiTheme="majorHAnsi" w:cs="Arial"/>
          <w:sz w:val="20"/>
          <w:szCs w:val="20"/>
          <w:lang w:val="es-UY"/>
        </w:rPr>
        <w:t xml:space="preserve"> </w:t>
      </w:r>
      <w:r w:rsidR="00BD59AF" w:rsidRPr="00EC5618">
        <w:rPr>
          <w:rFonts w:asciiTheme="majorHAnsi" w:hAnsiTheme="majorHAnsi" w:cs="Arial"/>
          <w:sz w:val="20"/>
          <w:szCs w:val="20"/>
          <w:lang w:val="es-UY"/>
        </w:rPr>
        <w:t xml:space="preserve">la </w:t>
      </w:r>
      <w:r w:rsidR="00DF46FD" w:rsidRPr="00EC5618">
        <w:rPr>
          <w:rFonts w:asciiTheme="majorHAnsi" w:hAnsiTheme="majorHAnsi" w:cs="Arial"/>
          <w:sz w:val="20"/>
          <w:szCs w:val="20"/>
          <w:lang w:val="es-UY"/>
        </w:rPr>
        <w:t>excepción</w:t>
      </w:r>
      <w:r w:rsidR="00BD59AF" w:rsidRPr="00EC5618">
        <w:rPr>
          <w:rFonts w:asciiTheme="majorHAnsi" w:hAnsiTheme="majorHAnsi" w:cs="Arial"/>
          <w:sz w:val="20"/>
          <w:szCs w:val="20"/>
          <w:lang w:val="es-UY"/>
        </w:rPr>
        <w:t xml:space="preserve"> </w:t>
      </w:r>
      <w:r w:rsidR="00A12251">
        <w:rPr>
          <w:rFonts w:asciiTheme="majorHAnsi" w:hAnsiTheme="majorHAnsi" w:cs="Arial"/>
          <w:sz w:val="20"/>
          <w:szCs w:val="20"/>
          <w:lang w:val="es-UY"/>
        </w:rPr>
        <w:t xml:space="preserve">de </w:t>
      </w:r>
      <w:r w:rsidR="00A12251" w:rsidRPr="00EC5618">
        <w:rPr>
          <w:rFonts w:asciiTheme="majorHAnsi" w:hAnsiTheme="majorHAnsi" w:cs="Arial"/>
          <w:sz w:val="20"/>
          <w:szCs w:val="20"/>
          <w:lang w:val="es-UY"/>
        </w:rPr>
        <w:t>retardo injustificado en la decisión de los recursos internos</w:t>
      </w:r>
      <w:r w:rsidR="00A12251">
        <w:rPr>
          <w:rFonts w:asciiTheme="majorHAnsi" w:hAnsiTheme="majorHAnsi" w:cs="Arial"/>
          <w:sz w:val="20"/>
          <w:szCs w:val="20"/>
          <w:lang w:val="es-UY"/>
        </w:rPr>
        <w:t>,</w:t>
      </w:r>
      <w:r w:rsidR="00A12251" w:rsidRPr="00EC5618">
        <w:rPr>
          <w:rFonts w:asciiTheme="majorHAnsi" w:hAnsiTheme="majorHAnsi" w:cs="Arial"/>
          <w:sz w:val="20"/>
          <w:szCs w:val="20"/>
          <w:lang w:val="es-UY"/>
        </w:rPr>
        <w:t xml:space="preserve"> </w:t>
      </w:r>
      <w:r w:rsidR="00BD59AF" w:rsidRPr="00EC5618">
        <w:rPr>
          <w:rFonts w:asciiTheme="majorHAnsi" w:hAnsiTheme="majorHAnsi" w:cs="Arial"/>
          <w:sz w:val="20"/>
          <w:szCs w:val="20"/>
          <w:lang w:val="es-UY"/>
        </w:rPr>
        <w:t>prevista en el artículo 46.2.c de la C</w:t>
      </w:r>
      <w:r w:rsidR="001452A9" w:rsidRPr="00EC5618">
        <w:rPr>
          <w:rFonts w:asciiTheme="majorHAnsi" w:hAnsiTheme="majorHAnsi" w:cs="Arial"/>
          <w:sz w:val="20"/>
          <w:szCs w:val="20"/>
          <w:lang w:val="es-UY"/>
        </w:rPr>
        <w:t>ADH</w:t>
      </w:r>
      <w:r w:rsidR="00BD59AF" w:rsidRPr="00EC5618">
        <w:rPr>
          <w:rFonts w:asciiTheme="majorHAnsi" w:hAnsiTheme="majorHAnsi" w:cs="Arial"/>
          <w:sz w:val="20"/>
          <w:szCs w:val="20"/>
          <w:lang w:val="es-UY"/>
        </w:rPr>
        <w:t>.</w:t>
      </w:r>
      <w:r w:rsidR="00B56992" w:rsidRPr="00EC5618">
        <w:rPr>
          <w:rFonts w:asciiTheme="majorHAnsi" w:hAnsiTheme="majorHAnsi" w:cs="Arial"/>
          <w:sz w:val="20"/>
          <w:szCs w:val="20"/>
          <w:lang w:val="es-UY"/>
        </w:rPr>
        <w:t xml:space="preserve"> </w:t>
      </w:r>
      <w:r w:rsidR="00BD6245">
        <w:rPr>
          <w:rFonts w:asciiTheme="majorHAnsi" w:hAnsiTheme="majorHAnsi" w:cs="Arial"/>
          <w:sz w:val="20"/>
          <w:szCs w:val="20"/>
          <w:lang w:val="es-UY"/>
        </w:rPr>
        <w:t>Asimismo, respecto de lo</w:t>
      </w:r>
      <w:r w:rsidR="003F31F9" w:rsidRPr="00EC5618">
        <w:rPr>
          <w:rFonts w:asciiTheme="majorHAnsi" w:hAnsiTheme="majorHAnsi" w:cs="Arial"/>
          <w:sz w:val="20"/>
          <w:szCs w:val="20"/>
          <w:lang w:val="es-UY"/>
        </w:rPr>
        <w:t xml:space="preserve"> contencioso administrativo</w:t>
      </w:r>
      <w:r w:rsidR="001452A9" w:rsidRPr="00EC5618">
        <w:rPr>
          <w:rFonts w:asciiTheme="majorHAnsi" w:hAnsiTheme="majorHAnsi" w:cs="Arial"/>
          <w:sz w:val="20"/>
          <w:szCs w:val="20"/>
          <w:lang w:val="es-UY"/>
        </w:rPr>
        <w:t>,</w:t>
      </w:r>
      <w:r w:rsidR="003F31F9" w:rsidRPr="00EC5618">
        <w:rPr>
          <w:rFonts w:asciiTheme="majorHAnsi" w:hAnsiTheme="majorHAnsi" w:cs="Arial"/>
          <w:sz w:val="20"/>
          <w:szCs w:val="20"/>
          <w:lang w:val="es-UY"/>
        </w:rPr>
        <w:t xml:space="preserve"> </w:t>
      </w:r>
      <w:r w:rsidR="00B56992" w:rsidRPr="00EC5618">
        <w:rPr>
          <w:rFonts w:asciiTheme="majorHAnsi" w:hAnsiTheme="majorHAnsi" w:cs="Arial"/>
          <w:sz w:val="20"/>
          <w:szCs w:val="20"/>
          <w:lang w:val="es-UY"/>
        </w:rPr>
        <w:t>sostienen que s</w:t>
      </w:r>
      <w:r w:rsidR="003F31F9" w:rsidRPr="00EC5618">
        <w:rPr>
          <w:rFonts w:asciiTheme="majorHAnsi" w:hAnsiTheme="majorHAnsi" w:cs="Arial"/>
          <w:sz w:val="20"/>
          <w:szCs w:val="20"/>
          <w:lang w:val="es-UY"/>
        </w:rPr>
        <w:t xml:space="preserve">i bien </w:t>
      </w:r>
      <w:r w:rsidR="001452A9" w:rsidRPr="00EC5618">
        <w:rPr>
          <w:rFonts w:asciiTheme="majorHAnsi" w:hAnsiTheme="majorHAnsi" w:cs="Arial"/>
          <w:sz w:val="20"/>
          <w:szCs w:val="20"/>
          <w:lang w:val="es-UY"/>
        </w:rPr>
        <w:t>se</w:t>
      </w:r>
      <w:r w:rsidR="003F31F9" w:rsidRPr="00EC5618">
        <w:rPr>
          <w:rFonts w:asciiTheme="majorHAnsi" w:hAnsiTheme="majorHAnsi" w:cs="Arial"/>
          <w:sz w:val="20"/>
          <w:szCs w:val="20"/>
          <w:lang w:val="es-UY"/>
        </w:rPr>
        <w:t xml:space="preserve"> ordenó medidas de carácter no pecuniario, las mismas no hacen que </w:t>
      </w:r>
      <w:r w:rsidR="001452A9" w:rsidRPr="00EC5618">
        <w:rPr>
          <w:rFonts w:asciiTheme="majorHAnsi" w:hAnsiTheme="majorHAnsi" w:cs="Arial"/>
          <w:sz w:val="20"/>
          <w:szCs w:val="20"/>
          <w:lang w:val="es-UY"/>
        </w:rPr>
        <w:t>dicho recurso</w:t>
      </w:r>
      <w:r w:rsidR="003F31F9" w:rsidRPr="00EC5618">
        <w:rPr>
          <w:rFonts w:asciiTheme="majorHAnsi" w:hAnsiTheme="majorHAnsi" w:cs="Arial"/>
          <w:sz w:val="20"/>
          <w:szCs w:val="20"/>
          <w:lang w:val="es-UY"/>
        </w:rPr>
        <w:t xml:space="preserve"> sea un recurso efectivo que debe ser agotado para que la petición sea declarada admisible</w:t>
      </w:r>
      <w:r w:rsidR="001452A9" w:rsidRPr="00EC5618">
        <w:rPr>
          <w:rFonts w:asciiTheme="majorHAnsi" w:hAnsiTheme="majorHAnsi" w:cs="Arial"/>
          <w:sz w:val="20"/>
          <w:szCs w:val="20"/>
          <w:lang w:val="es-UY"/>
        </w:rPr>
        <w:t xml:space="preserve">, y que </w:t>
      </w:r>
      <w:r w:rsidR="003F31F9" w:rsidRPr="00EC5618">
        <w:rPr>
          <w:rFonts w:asciiTheme="majorHAnsi" w:hAnsiTheme="majorHAnsi" w:cs="Arial"/>
          <w:sz w:val="20"/>
          <w:szCs w:val="20"/>
          <w:lang w:val="es-UY"/>
        </w:rPr>
        <w:t>las medidas no pecuniarias ordenadas tampoco constituyen un mecanismo de reparación en los términos de los estándares</w:t>
      </w:r>
      <w:r w:rsidR="001452A9" w:rsidRPr="00EC5618">
        <w:rPr>
          <w:rFonts w:asciiTheme="majorHAnsi" w:hAnsiTheme="majorHAnsi" w:cs="Arial"/>
          <w:sz w:val="20"/>
          <w:szCs w:val="20"/>
          <w:lang w:val="es-UY"/>
        </w:rPr>
        <w:t xml:space="preserve"> del sistema</w:t>
      </w:r>
      <w:r w:rsidR="003F31F9" w:rsidRPr="00EC5618">
        <w:rPr>
          <w:rFonts w:asciiTheme="majorHAnsi" w:hAnsiTheme="majorHAnsi" w:cs="Arial"/>
          <w:sz w:val="20"/>
          <w:szCs w:val="20"/>
          <w:lang w:val="es-UY"/>
        </w:rPr>
        <w:t xml:space="preserve">, pues su ejecución no fue el resultado de un proceso consensuado con las víctimas. </w:t>
      </w:r>
      <w:r w:rsidR="00BD6245">
        <w:rPr>
          <w:rFonts w:asciiTheme="majorHAnsi" w:hAnsiTheme="majorHAnsi" w:cs="Arial"/>
          <w:sz w:val="20"/>
          <w:szCs w:val="20"/>
          <w:lang w:val="es-UY"/>
        </w:rPr>
        <w:t>Además</w:t>
      </w:r>
      <w:r w:rsidR="004E3F2C">
        <w:rPr>
          <w:rFonts w:asciiTheme="majorHAnsi" w:hAnsiTheme="majorHAnsi" w:cs="Arial"/>
          <w:sz w:val="20"/>
          <w:szCs w:val="20"/>
          <w:lang w:val="es-UY"/>
        </w:rPr>
        <w:t>,</w:t>
      </w:r>
      <w:r w:rsidR="00BD6245">
        <w:rPr>
          <w:rFonts w:asciiTheme="majorHAnsi" w:hAnsiTheme="majorHAnsi" w:cs="Arial"/>
          <w:sz w:val="20"/>
          <w:szCs w:val="20"/>
          <w:lang w:val="es-UY"/>
        </w:rPr>
        <w:t xml:space="preserve"> refieren que </w:t>
      </w:r>
      <w:r w:rsidR="00142F69" w:rsidRPr="00EC5618">
        <w:rPr>
          <w:rFonts w:asciiTheme="majorHAnsi" w:hAnsiTheme="majorHAnsi" w:cs="Arial"/>
          <w:sz w:val="20"/>
          <w:szCs w:val="20"/>
          <w:lang w:val="es-UY"/>
        </w:rPr>
        <w:t>la expectativa de las presuntas víctimas se concentra</w:t>
      </w:r>
      <w:r w:rsidR="009051ED">
        <w:rPr>
          <w:rFonts w:asciiTheme="majorHAnsi" w:hAnsiTheme="majorHAnsi" w:cs="Arial"/>
          <w:sz w:val="20"/>
          <w:szCs w:val="20"/>
          <w:lang w:val="es-UY"/>
        </w:rPr>
        <w:t xml:space="preserve"> </w:t>
      </w:r>
      <w:r w:rsidR="00142F69" w:rsidRPr="00EC5618">
        <w:rPr>
          <w:rFonts w:asciiTheme="majorHAnsi" w:hAnsiTheme="majorHAnsi" w:cs="Arial"/>
          <w:sz w:val="20"/>
          <w:szCs w:val="20"/>
          <w:lang w:val="es-UY"/>
        </w:rPr>
        <w:t>en la investigación, procesamiento y sanción penal de los responsables, aspectos para los que el procedimiento contencioso administrativo no es un mecanismo idóneo.</w:t>
      </w:r>
    </w:p>
    <w:p w:rsidR="003872C5" w:rsidRPr="003872C5" w:rsidRDefault="003872C5" w:rsidP="00AD52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UY"/>
        </w:rPr>
      </w:pPr>
    </w:p>
    <w:p w:rsidR="0063685A" w:rsidRPr="001F34FB" w:rsidRDefault="002B2FBB" w:rsidP="00AD52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UY"/>
        </w:rPr>
      </w:pPr>
      <w:r>
        <w:rPr>
          <w:rFonts w:asciiTheme="majorHAnsi" w:hAnsiTheme="majorHAnsi" w:cs="Arial"/>
          <w:sz w:val="20"/>
          <w:szCs w:val="20"/>
          <w:lang w:val="es-UY"/>
        </w:rPr>
        <w:t>Con base en lo anterior, los</w:t>
      </w:r>
      <w:r w:rsidR="0063685A" w:rsidRPr="0063685A">
        <w:rPr>
          <w:rFonts w:asciiTheme="majorHAnsi" w:hAnsiTheme="majorHAnsi" w:cs="Arial"/>
          <w:sz w:val="20"/>
          <w:szCs w:val="20"/>
          <w:lang w:val="es-UY"/>
        </w:rPr>
        <w:t xml:space="preserve"> peticionario</w:t>
      </w:r>
      <w:r>
        <w:rPr>
          <w:rFonts w:asciiTheme="majorHAnsi" w:hAnsiTheme="majorHAnsi" w:cs="Arial"/>
          <w:sz w:val="20"/>
          <w:szCs w:val="20"/>
          <w:lang w:val="es-UY"/>
        </w:rPr>
        <w:t>s</w:t>
      </w:r>
      <w:r w:rsidR="0063685A" w:rsidRPr="0063685A">
        <w:rPr>
          <w:rFonts w:asciiTheme="majorHAnsi" w:hAnsiTheme="majorHAnsi" w:cs="Arial"/>
          <w:sz w:val="20"/>
          <w:szCs w:val="20"/>
          <w:lang w:val="es-UY"/>
        </w:rPr>
        <w:t xml:space="preserve"> alega</w:t>
      </w:r>
      <w:r>
        <w:rPr>
          <w:rFonts w:asciiTheme="majorHAnsi" w:hAnsiTheme="majorHAnsi" w:cs="Arial"/>
          <w:sz w:val="20"/>
          <w:szCs w:val="20"/>
          <w:lang w:val="es-UY"/>
        </w:rPr>
        <w:t>n</w:t>
      </w:r>
      <w:r w:rsidR="0063685A" w:rsidRPr="0063685A">
        <w:rPr>
          <w:rFonts w:asciiTheme="majorHAnsi" w:hAnsiTheme="majorHAnsi" w:cs="Arial"/>
          <w:sz w:val="20"/>
          <w:szCs w:val="20"/>
          <w:lang w:val="es-UY"/>
        </w:rPr>
        <w:t xml:space="preserve"> que el Estado violó los derechos reconocidos en los artículos </w:t>
      </w:r>
      <w:r w:rsidR="00472905">
        <w:rPr>
          <w:rFonts w:asciiTheme="majorHAnsi" w:hAnsiTheme="majorHAnsi"/>
          <w:sz w:val="20"/>
          <w:szCs w:val="20"/>
          <w:lang w:val="es-UY"/>
        </w:rPr>
        <w:t xml:space="preserve">1, 4, 5, </w:t>
      </w:r>
      <w:r w:rsidR="001F34FB">
        <w:rPr>
          <w:rFonts w:asciiTheme="majorHAnsi" w:hAnsiTheme="majorHAnsi"/>
          <w:sz w:val="20"/>
          <w:szCs w:val="20"/>
          <w:lang w:val="es-UY"/>
        </w:rPr>
        <w:t xml:space="preserve">7, </w:t>
      </w:r>
      <w:r w:rsidR="00472905">
        <w:rPr>
          <w:rFonts w:asciiTheme="majorHAnsi" w:hAnsiTheme="majorHAnsi"/>
          <w:sz w:val="20"/>
          <w:szCs w:val="20"/>
          <w:lang w:val="es-UY"/>
        </w:rPr>
        <w:t>8</w:t>
      </w:r>
      <w:r w:rsidR="00142F69">
        <w:rPr>
          <w:rFonts w:asciiTheme="majorHAnsi" w:hAnsiTheme="majorHAnsi"/>
          <w:sz w:val="20"/>
          <w:szCs w:val="20"/>
          <w:lang w:val="es-UY"/>
        </w:rPr>
        <w:t>, 11</w:t>
      </w:r>
      <w:r w:rsidR="00472905">
        <w:rPr>
          <w:rFonts w:asciiTheme="majorHAnsi" w:hAnsiTheme="majorHAnsi"/>
          <w:sz w:val="20"/>
          <w:szCs w:val="20"/>
          <w:lang w:val="es-UY"/>
        </w:rPr>
        <w:t xml:space="preserve"> y 25</w:t>
      </w:r>
      <w:r w:rsidR="0063685A" w:rsidRPr="0063685A">
        <w:rPr>
          <w:rFonts w:asciiTheme="majorHAnsi" w:hAnsiTheme="majorHAnsi" w:cs="Arial"/>
          <w:sz w:val="20"/>
          <w:szCs w:val="20"/>
          <w:lang w:val="es-UY"/>
        </w:rPr>
        <w:t xml:space="preserve"> de la Convención Americana</w:t>
      </w:r>
      <w:r w:rsidR="0063685A" w:rsidRPr="00596831">
        <w:rPr>
          <w:rFonts w:asciiTheme="majorHAnsi" w:hAnsiTheme="majorHAnsi" w:cs="Arial"/>
          <w:color w:val="FF0000"/>
          <w:sz w:val="20"/>
          <w:szCs w:val="20"/>
          <w:lang w:val="es-UY"/>
        </w:rPr>
        <w:t xml:space="preserve"> </w:t>
      </w:r>
      <w:r w:rsidR="0063685A" w:rsidRPr="0063685A">
        <w:rPr>
          <w:rFonts w:asciiTheme="majorHAnsi" w:hAnsiTheme="majorHAnsi" w:cs="Arial"/>
          <w:sz w:val="20"/>
          <w:szCs w:val="20"/>
          <w:lang w:val="es-UY"/>
        </w:rPr>
        <w:t xml:space="preserve">en perjuicio de </w:t>
      </w:r>
      <w:r w:rsidR="00472905" w:rsidRPr="00FC547C">
        <w:rPr>
          <w:rFonts w:asciiTheme="majorHAnsi" w:hAnsiTheme="majorHAnsi"/>
          <w:sz w:val="20"/>
          <w:szCs w:val="20"/>
          <w:lang w:val="es-UY"/>
        </w:rPr>
        <w:t>Hortencia Neyid Tunja Cuchumbe, Manuel Antonio Tao Pillimué y Willian José Cunacue Medina</w:t>
      </w:r>
      <w:r w:rsidR="0063685A" w:rsidRPr="0063685A">
        <w:rPr>
          <w:rFonts w:asciiTheme="majorHAnsi" w:hAnsiTheme="majorHAnsi" w:cs="Arial"/>
          <w:sz w:val="20"/>
          <w:szCs w:val="20"/>
          <w:lang w:val="es-UY"/>
        </w:rPr>
        <w:t>.</w:t>
      </w:r>
      <w:r w:rsidR="00472905">
        <w:rPr>
          <w:rFonts w:asciiTheme="majorHAnsi" w:hAnsiTheme="majorHAnsi" w:cs="Arial"/>
          <w:sz w:val="20"/>
          <w:szCs w:val="20"/>
          <w:lang w:val="es-UY"/>
        </w:rPr>
        <w:t xml:space="preserve"> </w:t>
      </w:r>
    </w:p>
    <w:p w:rsidR="00547D7F" w:rsidRPr="0063685A" w:rsidRDefault="00547D7F" w:rsidP="00AD52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UY"/>
        </w:rPr>
      </w:pPr>
    </w:p>
    <w:p w:rsidR="0063685A" w:rsidRDefault="0063685A" w:rsidP="00AD528E">
      <w:pPr>
        <w:ind w:firstLine="720"/>
        <w:jc w:val="both"/>
        <w:rPr>
          <w:rFonts w:asciiTheme="majorHAnsi" w:hAnsiTheme="majorHAnsi"/>
          <w:b/>
          <w:bCs/>
          <w:sz w:val="20"/>
          <w:szCs w:val="20"/>
          <w:lang w:val="es-UY"/>
        </w:rPr>
      </w:pPr>
      <w:r w:rsidRPr="0063685A">
        <w:rPr>
          <w:rFonts w:asciiTheme="majorHAnsi" w:hAnsiTheme="majorHAnsi"/>
          <w:b/>
          <w:bCs/>
          <w:sz w:val="20"/>
          <w:szCs w:val="20"/>
          <w:lang w:val="es-UY"/>
        </w:rPr>
        <w:t>B.</w:t>
      </w:r>
      <w:r w:rsidRPr="0063685A">
        <w:rPr>
          <w:rFonts w:asciiTheme="majorHAnsi" w:hAnsiTheme="majorHAnsi"/>
          <w:b/>
          <w:bCs/>
          <w:sz w:val="20"/>
          <w:szCs w:val="20"/>
          <w:lang w:val="es-UY"/>
        </w:rPr>
        <w:tab/>
        <w:t>Posición del Estado</w:t>
      </w:r>
      <w:r w:rsidR="00441DBA">
        <w:rPr>
          <w:rFonts w:asciiTheme="majorHAnsi" w:hAnsiTheme="majorHAnsi"/>
          <w:b/>
          <w:bCs/>
          <w:sz w:val="20"/>
          <w:szCs w:val="20"/>
          <w:lang w:val="es-UY"/>
        </w:rPr>
        <w:t xml:space="preserve"> </w:t>
      </w:r>
    </w:p>
    <w:p w:rsidR="00AD528E" w:rsidRPr="0063685A" w:rsidRDefault="00AD528E" w:rsidP="00AD528E">
      <w:pPr>
        <w:ind w:firstLine="720"/>
        <w:jc w:val="both"/>
        <w:rPr>
          <w:rFonts w:asciiTheme="majorHAnsi" w:hAnsiTheme="majorHAnsi"/>
          <w:b/>
          <w:bCs/>
          <w:sz w:val="20"/>
          <w:szCs w:val="20"/>
          <w:lang w:val="es-UY"/>
        </w:rPr>
      </w:pPr>
    </w:p>
    <w:p w:rsidR="006D142D" w:rsidRDefault="0063685A" w:rsidP="00AD52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sidRPr="00D354C3">
        <w:rPr>
          <w:rFonts w:asciiTheme="majorHAnsi" w:hAnsiTheme="majorHAnsi"/>
          <w:sz w:val="20"/>
          <w:szCs w:val="20"/>
          <w:lang w:val="es-UY"/>
        </w:rPr>
        <w:t>De acuerdo al Estado,</w:t>
      </w:r>
      <w:r w:rsidR="008E0EB3" w:rsidRPr="00D354C3">
        <w:rPr>
          <w:rFonts w:asciiTheme="majorHAnsi" w:hAnsiTheme="majorHAnsi"/>
          <w:sz w:val="20"/>
          <w:szCs w:val="20"/>
          <w:lang w:val="es-UY"/>
        </w:rPr>
        <w:t xml:space="preserve"> </w:t>
      </w:r>
      <w:r w:rsidR="00890CEB" w:rsidRPr="00D354C3">
        <w:rPr>
          <w:rFonts w:asciiTheme="majorHAnsi" w:hAnsiTheme="majorHAnsi"/>
          <w:sz w:val="20"/>
          <w:szCs w:val="20"/>
          <w:lang w:val="es-UY"/>
        </w:rPr>
        <w:t xml:space="preserve">existe </w:t>
      </w:r>
      <w:r w:rsidR="00704AF7">
        <w:rPr>
          <w:rFonts w:asciiTheme="majorHAnsi" w:hAnsiTheme="majorHAnsi"/>
          <w:sz w:val="20"/>
          <w:szCs w:val="20"/>
          <w:lang w:val="es-UY"/>
        </w:rPr>
        <w:t xml:space="preserve">falta de agotamiento de los recursos internos. Indica que existe </w:t>
      </w:r>
      <w:r w:rsidR="00890CEB" w:rsidRPr="00D354C3">
        <w:rPr>
          <w:rFonts w:asciiTheme="majorHAnsi" w:hAnsiTheme="majorHAnsi"/>
          <w:sz w:val="20"/>
          <w:szCs w:val="20"/>
          <w:lang w:val="es-UY"/>
        </w:rPr>
        <w:t>un proceso penal por los hechos acaecidos, complementado con una investigación disciplinaria y un proceso contencioso administrativo</w:t>
      </w:r>
      <w:r w:rsidR="006D142D">
        <w:rPr>
          <w:rFonts w:asciiTheme="majorHAnsi" w:hAnsiTheme="majorHAnsi"/>
          <w:sz w:val="20"/>
          <w:szCs w:val="20"/>
          <w:lang w:val="es-UY"/>
        </w:rPr>
        <w:t>, todos en curso, donde se investiga lo acaecido con las presuntas víctimas</w:t>
      </w:r>
      <w:r w:rsidR="00890CEB" w:rsidRPr="00D354C3">
        <w:rPr>
          <w:rFonts w:asciiTheme="majorHAnsi" w:hAnsiTheme="majorHAnsi"/>
          <w:sz w:val="20"/>
          <w:szCs w:val="20"/>
          <w:lang w:val="es-UY"/>
        </w:rPr>
        <w:t>.</w:t>
      </w:r>
      <w:r w:rsidR="000678AB">
        <w:rPr>
          <w:rFonts w:asciiTheme="majorHAnsi" w:hAnsiTheme="majorHAnsi"/>
          <w:sz w:val="20"/>
          <w:szCs w:val="20"/>
          <w:lang w:val="es-UY"/>
        </w:rPr>
        <w:t xml:space="preserve"> </w:t>
      </w:r>
      <w:r w:rsidR="003D1B3B">
        <w:rPr>
          <w:rFonts w:asciiTheme="majorHAnsi" w:hAnsiTheme="majorHAnsi"/>
          <w:sz w:val="20"/>
          <w:szCs w:val="20"/>
          <w:lang w:val="es-UY"/>
        </w:rPr>
        <w:t xml:space="preserve">Particularmente, </w:t>
      </w:r>
      <w:r w:rsidR="006D142D">
        <w:rPr>
          <w:rFonts w:asciiTheme="majorHAnsi" w:hAnsiTheme="majorHAnsi"/>
          <w:sz w:val="20"/>
          <w:szCs w:val="20"/>
          <w:lang w:val="es-UY"/>
        </w:rPr>
        <w:t>en cuanto al proceso</w:t>
      </w:r>
      <w:r w:rsidR="005B0E7F">
        <w:rPr>
          <w:rFonts w:asciiTheme="majorHAnsi" w:hAnsiTheme="majorHAnsi"/>
          <w:sz w:val="20"/>
          <w:szCs w:val="20"/>
          <w:lang w:val="es-UY"/>
        </w:rPr>
        <w:t xml:space="preserve"> penal</w:t>
      </w:r>
      <w:r w:rsidR="003D1B3B">
        <w:rPr>
          <w:rFonts w:asciiTheme="majorHAnsi" w:hAnsiTheme="majorHAnsi"/>
          <w:sz w:val="20"/>
          <w:szCs w:val="20"/>
          <w:lang w:val="es-UY"/>
        </w:rPr>
        <w:t xml:space="preserve"> sostiene que </w:t>
      </w:r>
      <w:r w:rsidR="005B0E7F">
        <w:rPr>
          <w:rFonts w:asciiTheme="majorHAnsi" w:hAnsiTheme="majorHAnsi"/>
          <w:sz w:val="20"/>
          <w:szCs w:val="20"/>
          <w:lang w:val="es-UY"/>
        </w:rPr>
        <w:t>como recurso idóneo, aún no se ha agotado</w:t>
      </w:r>
      <w:r w:rsidR="0073346D">
        <w:rPr>
          <w:rFonts w:asciiTheme="majorHAnsi" w:hAnsiTheme="majorHAnsi"/>
          <w:sz w:val="20"/>
          <w:szCs w:val="20"/>
          <w:lang w:val="es-UY"/>
        </w:rPr>
        <w:t>,</w:t>
      </w:r>
      <w:r w:rsidR="005B0E7F">
        <w:rPr>
          <w:rFonts w:asciiTheme="majorHAnsi" w:hAnsiTheme="majorHAnsi"/>
          <w:sz w:val="20"/>
          <w:szCs w:val="20"/>
          <w:lang w:val="es-UY"/>
        </w:rPr>
        <w:t xml:space="preserve"> y </w:t>
      </w:r>
      <w:r w:rsidR="0073346D">
        <w:rPr>
          <w:rFonts w:asciiTheme="majorHAnsi" w:hAnsiTheme="majorHAnsi"/>
          <w:sz w:val="20"/>
          <w:szCs w:val="20"/>
          <w:lang w:val="es-UY"/>
        </w:rPr>
        <w:t xml:space="preserve">que </w:t>
      </w:r>
      <w:r w:rsidR="005B0E7F">
        <w:rPr>
          <w:rFonts w:asciiTheme="majorHAnsi" w:hAnsiTheme="majorHAnsi"/>
          <w:sz w:val="20"/>
          <w:szCs w:val="20"/>
          <w:lang w:val="es-UY"/>
        </w:rPr>
        <w:t>se encuentra de manera evidente dentro de un plazo razonable.</w:t>
      </w:r>
    </w:p>
    <w:p w:rsidR="00AD528E" w:rsidRDefault="00AD528E" w:rsidP="00AD528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UY"/>
        </w:rPr>
      </w:pPr>
    </w:p>
    <w:p w:rsidR="00813100" w:rsidRDefault="00D60065" w:rsidP="00AD52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sidRPr="00D60065">
        <w:rPr>
          <w:rFonts w:asciiTheme="majorHAnsi" w:hAnsiTheme="majorHAnsi"/>
          <w:sz w:val="20"/>
          <w:szCs w:val="20"/>
          <w:lang w:val="es-UY"/>
        </w:rPr>
        <w:t>Específicamente, e</w:t>
      </w:r>
      <w:r w:rsidR="005B0E7F" w:rsidRPr="00D60065">
        <w:rPr>
          <w:rFonts w:asciiTheme="majorHAnsi" w:hAnsiTheme="majorHAnsi"/>
          <w:sz w:val="20"/>
          <w:szCs w:val="20"/>
          <w:lang w:val="es-UY"/>
        </w:rPr>
        <w:t xml:space="preserve">n cuanto a </w:t>
      </w:r>
      <w:r w:rsidRPr="00D60065">
        <w:rPr>
          <w:rFonts w:asciiTheme="majorHAnsi" w:hAnsiTheme="majorHAnsi"/>
          <w:sz w:val="20"/>
          <w:szCs w:val="20"/>
          <w:lang w:val="es-UY"/>
        </w:rPr>
        <w:t xml:space="preserve">materia </w:t>
      </w:r>
      <w:r w:rsidR="005B0E7F" w:rsidRPr="00D60065">
        <w:rPr>
          <w:rFonts w:asciiTheme="majorHAnsi" w:hAnsiTheme="majorHAnsi"/>
          <w:sz w:val="20"/>
          <w:szCs w:val="20"/>
          <w:lang w:val="es-UY"/>
        </w:rPr>
        <w:t>penal</w:t>
      </w:r>
      <w:r w:rsidR="000552D0">
        <w:rPr>
          <w:rFonts w:asciiTheme="majorHAnsi" w:hAnsiTheme="majorHAnsi"/>
          <w:sz w:val="20"/>
          <w:szCs w:val="20"/>
          <w:lang w:val="es-UY"/>
        </w:rPr>
        <w:t>,</w:t>
      </w:r>
      <w:r w:rsidR="009B5834">
        <w:rPr>
          <w:rFonts w:asciiTheme="majorHAnsi" w:hAnsiTheme="majorHAnsi"/>
          <w:sz w:val="20"/>
          <w:szCs w:val="20"/>
          <w:lang w:val="es-UY"/>
        </w:rPr>
        <w:t xml:space="preserve"> </w:t>
      </w:r>
      <w:r w:rsidR="009B5834" w:rsidRPr="00D60065">
        <w:rPr>
          <w:rFonts w:asciiTheme="majorHAnsi" w:hAnsiTheme="majorHAnsi"/>
          <w:sz w:val="20"/>
          <w:szCs w:val="20"/>
          <w:lang w:val="es-UY"/>
        </w:rPr>
        <w:t>señala</w:t>
      </w:r>
      <w:r w:rsidR="005B0E7F" w:rsidRPr="00D60065">
        <w:rPr>
          <w:rFonts w:asciiTheme="majorHAnsi" w:hAnsiTheme="majorHAnsi"/>
          <w:sz w:val="20"/>
          <w:szCs w:val="20"/>
          <w:lang w:val="es-UY"/>
        </w:rPr>
        <w:t xml:space="preserve"> que el 9 de junio de 2008 se dispuso la preclusión de la investigación a favor de Willian Jose Cunacue por el delito de rebelión. Además, el </w:t>
      </w:r>
      <w:r w:rsidR="004C60A0" w:rsidRPr="00D60065">
        <w:rPr>
          <w:rFonts w:asciiTheme="majorHAnsi" w:hAnsiTheme="majorHAnsi"/>
          <w:sz w:val="20"/>
          <w:szCs w:val="20"/>
          <w:lang w:val="es-UY"/>
        </w:rPr>
        <w:t>7 de julio de 2008 el Consejo Supe</w:t>
      </w:r>
      <w:r w:rsidR="002F76FA" w:rsidRPr="00D60065">
        <w:rPr>
          <w:rFonts w:asciiTheme="majorHAnsi" w:hAnsiTheme="majorHAnsi"/>
          <w:sz w:val="20"/>
          <w:szCs w:val="20"/>
          <w:lang w:val="es-UY"/>
        </w:rPr>
        <w:t>rior de la Judicatura dirimió un</w:t>
      </w:r>
      <w:r w:rsidR="004C60A0" w:rsidRPr="00D60065">
        <w:rPr>
          <w:rFonts w:asciiTheme="majorHAnsi" w:hAnsiTheme="majorHAnsi"/>
          <w:sz w:val="20"/>
          <w:szCs w:val="20"/>
          <w:lang w:val="es-UY"/>
        </w:rPr>
        <w:t xml:space="preserve"> </w:t>
      </w:r>
      <w:r w:rsidR="001C10B9" w:rsidRPr="00D60065">
        <w:rPr>
          <w:rFonts w:asciiTheme="majorHAnsi" w:hAnsiTheme="majorHAnsi"/>
          <w:sz w:val="20"/>
          <w:szCs w:val="20"/>
          <w:lang w:val="es-UY"/>
        </w:rPr>
        <w:t>conflicto de competencia</w:t>
      </w:r>
      <w:r w:rsidR="002F76FA" w:rsidRPr="00D60065">
        <w:rPr>
          <w:rFonts w:asciiTheme="majorHAnsi" w:hAnsiTheme="majorHAnsi"/>
          <w:sz w:val="20"/>
          <w:szCs w:val="20"/>
          <w:lang w:val="es-UY"/>
        </w:rPr>
        <w:t xml:space="preserve"> suscitado</w:t>
      </w:r>
      <w:r w:rsidR="001C10B9" w:rsidRPr="00D60065">
        <w:rPr>
          <w:rFonts w:asciiTheme="majorHAnsi" w:hAnsiTheme="majorHAnsi"/>
          <w:sz w:val="20"/>
          <w:szCs w:val="20"/>
          <w:lang w:val="es-UY"/>
        </w:rPr>
        <w:t>,</w:t>
      </w:r>
      <w:r w:rsidR="004C60A0" w:rsidRPr="00D60065">
        <w:rPr>
          <w:rFonts w:asciiTheme="majorHAnsi" w:hAnsiTheme="majorHAnsi"/>
          <w:sz w:val="20"/>
          <w:szCs w:val="20"/>
          <w:lang w:val="es-UY"/>
        </w:rPr>
        <w:t xml:space="preserve"> disponiendo </w:t>
      </w:r>
      <w:r w:rsidR="005B0E7F" w:rsidRPr="00D60065">
        <w:rPr>
          <w:rFonts w:asciiTheme="majorHAnsi" w:hAnsiTheme="majorHAnsi"/>
          <w:sz w:val="20"/>
          <w:szCs w:val="20"/>
          <w:lang w:val="es-UY"/>
        </w:rPr>
        <w:t xml:space="preserve">que </w:t>
      </w:r>
      <w:r w:rsidR="00416C0A" w:rsidRPr="00D60065">
        <w:rPr>
          <w:rFonts w:asciiTheme="majorHAnsi" w:hAnsiTheme="majorHAnsi"/>
          <w:sz w:val="20"/>
          <w:szCs w:val="20"/>
          <w:lang w:val="es-UY"/>
        </w:rPr>
        <w:t>la</w:t>
      </w:r>
      <w:r w:rsidR="002F76FA" w:rsidRPr="00D60065">
        <w:rPr>
          <w:rFonts w:asciiTheme="majorHAnsi" w:hAnsiTheme="majorHAnsi"/>
          <w:sz w:val="20"/>
          <w:szCs w:val="20"/>
          <w:lang w:val="es-UY"/>
        </w:rPr>
        <w:t xml:space="preserve"> </w:t>
      </w:r>
      <w:r w:rsidR="001C10B9" w:rsidRPr="00D60065">
        <w:rPr>
          <w:rFonts w:asciiTheme="majorHAnsi" w:hAnsiTheme="majorHAnsi"/>
          <w:sz w:val="20"/>
          <w:szCs w:val="20"/>
          <w:lang w:val="es-UY"/>
        </w:rPr>
        <w:t>jurisdicción ordinaria</w:t>
      </w:r>
      <w:r w:rsidR="004E3F2C">
        <w:rPr>
          <w:rFonts w:asciiTheme="majorHAnsi" w:hAnsiTheme="majorHAnsi"/>
          <w:sz w:val="20"/>
          <w:szCs w:val="20"/>
          <w:lang w:val="es-UY"/>
        </w:rPr>
        <w:t>,</w:t>
      </w:r>
      <w:r w:rsidR="000678AB" w:rsidRPr="00D60065">
        <w:rPr>
          <w:rFonts w:asciiTheme="majorHAnsi" w:hAnsiTheme="majorHAnsi"/>
          <w:sz w:val="20"/>
          <w:szCs w:val="20"/>
          <w:lang w:val="es-UY"/>
        </w:rPr>
        <w:t xml:space="preserve"> y no la militar</w:t>
      </w:r>
      <w:r w:rsidR="004E3F2C">
        <w:rPr>
          <w:rFonts w:asciiTheme="majorHAnsi" w:hAnsiTheme="majorHAnsi"/>
          <w:sz w:val="20"/>
          <w:szCs w:val="20"/>
          <w:lang w:val="es-UY"/>
        </w:rPr>
        <w:t>,</w:t>
      </w:r>
      <w:r w:rsidR="00416C0A" w:rsidRPr="00D60065">
        <w:rPr>
          <w:rFonts w:asciiTheme="majorHAnsi" w:hAnsiTheme="majorHAnsi"/>
          <w:sz w:val="20"/>
          <w:szCs w:val="20"/>
          <w:lang w:val="es-UY"/>
        </w:rPr>
        <w:t xml:space="preserve"> era la competente</w:t>
      </w:r>
      <w:r w:rsidR="00BF6C36">
        <w:rPr>
          <w:rFonts w:asciiTheme="majorHAnsi" w:hAnsiTheme="majorHAnsi"/>
          <w:sz w:val="20"/>
          <w:szCs w:val="20"/>
          <w:lang w:val="es-UY"/>
        </w:rPr>
        <w:t xml:space="preserve"> para conoc</w:t>
      </w:r>
      <w:r w:rsidRPr="00D60065">
        <w:rPr>
          <w:rFonts w:asciiTheme="majorHAnsi" w:hAnsiTheme="majorHAnsi"/>
          <w:sz w:val="20"/>
          <w:szCs w:val="20"/>
          <w:lang w:val="es-UY"/>
        </w:rPr>
        <w:t>er respecto de los hechos denunciados</w:t>
      </w:r>
      <w:r w:rsidR="005B0E7F" w:rsidRPr="00D60065">
        <w:rPr>
          <w:rFonts w:asciiTheme="majorHAnsi" w:hAnsiTheme="majorHAnsi"/>
          <w:sz w:val="20"/>
          <w:szCs w:val="20"/>
          <w:lang w:val="es-UY"/>
        </w:rPr>
        <w:t>, y que en septiembre</w:t>
      </w:r>
      <w:r w:rsidR="004E3F2C">
        <w:rPr>
          <w:rFonts w:asciiTheme="majorHAnsi" w:hAnsiTheme="majorHAnsi"/>
          <w:sz w:val="20"/>
          <w:szCs w:val="20"/>
          <w:lang w:val="es-UY"/>
        </w:rPr>
        <w:t xml:space="preserve"> de 2008</w:t>
      </w:r>
      <w:r w:rsidR="005B0E7F" w:rsidRPr="00D60065">
        <w:rPr>
          <w:rFonts w:asciiTheme="majorHAnsi" w:hAnsiTheme="majorHAnsi"/>
          <w:sz w:val="20"/>
          <w:szCs w:val="20"/>
          <w:lang w:val="es-UY"/>
        </w:rPr>
        <w:t xml:space="preserve"> </w:t>
      </w:r>
      <w:r w:rsidR="009A03EE">
        <w:rPr>
          <w:rFonts w:asciiTheme="majorHAnsi" w:hAnsiTheme="majorHAnsi"/>
          <w:sz w:val="20"/>
          <w:szCs w:val="20"/>
          <w:lang w:val="es-UY"/>
        </w:rPr>
        <w:t>la Fiscalía 70 Especializada de</w:t>
      </w:r>
      <w:r w:rsidR="009A03EE" w:rsidRPr="009A03EE">
        <w:rPr>
          <w:rFonts w:asciiTheme="majorHAnsi" w:hAnsiTheme="majorHAnsi"/>
          <w:sz w:val="20"/>
          <w:szCs w:val="20"/>
          <w:lang w:val="es-UY"/>
        </w:rPr>
        <w:t xml:space="preserve"> Derechos Humanos y Derecho Internacional Humanitario</w:t>
      </w:r>
      <w:r w:rsidR="009A03EE">
        <w:rPr>
          <w:rFonts w:asciiTheme="majorHAnsi" w:hAnsiTheme="majorHAnsi"/>
          <w:sz w:val="20"/>
          <w:szCs w:val="20"/>
          <w:lang w:val="es-UY"/>
        </w:rPr>
        <w:t xml:space="preserve"> </w:t>
      </w:r>
      <w:r w:rsidR="005B0E7F" w:rsidRPr="00D60065">
        <w:rPr>
          <w:rFonts w:asciiTheme="majorHAnsi" w:hAnsiTheme="majorHAnsi"/>
          <w:sz w:val="20"/>
          <w:szCs w:val="20"/>
          <w:lang w:val="es-UY"/>
        </w:rPr>
        <w:t xml:space="preserve">con sede en Cali, vinculó a </w:t>
      </w:r>
      <w:r w:rsidR="00536C3F" w:rsidRPr="00D60065">
        <w:rPr>
          <w:rFonts w:asciiTheme="majorHAnsi" w:hAnsiTheme="majorHAnsi"/>
          <w:sz w:val="20"/>
          <w:szCs w:val="20"/>
          <w:lang w:val="es-UY"/>
        </w:rPr>
        <w:t>tres solda</w:t>
      </w:r>
      <w:r w:rsidR="00766178" w:rsidRPr="00D60065">
        <w:rPr>
          <w:rFonts w:asciiTheme="majorHAnsi" w:hAnsiTheme="majorHAnsi"/>
          <w:sz w:val="20"/>
          <w:szCs w:val="20"/>
          <w:lang w:val="es-UY"/>
        </w:rPr>
        <w:t xml:space="preserve">dos </w:t>
      </w:r>
      <w:r w:rsidR="00E342EE" w:rsidRPr="00D60065">
        <w:rPr>
          <w:rFonts w:asciiTheme="majorHAnsi" w:hAnsiTheme="majorHAnsi"/>
          <w:sz w:val="20"/>
          <w:szCs w:val="20"/>
          <w:lang w:val="es-UY"/>
        </w:rPr>
        <w:t xml:space="preserve">profesionales a la investigación </w:t>
      </w:r>
      <w:r w:rsidR="00766178" w:rsidRPr="00D60065">
        <w:rPr>
          <w:rFonts w:asciiTheme="majorHAnsi" w:hAnsiTheme="majorHAnsi"/>
          <w:sz w:val="20"/>
          <w:szCs w:val="20"/>
          <w:lang w:val="es-UY"/>
        </w:rPr>
        <w:t xml:space="preserve">en la etapa de </w:t>
      </w:r>
      <w:r w:rsidR="00766178" w:rsidRPr="00D60065">
        <w:rPr>
          <w:rFonts w:asciiTheme="majorHAnsi" w:hAnsiTheme="majorHAnsi"/>
          <w:sz w:val="20"/>
          <w:szCs w:val="20"/>
          <w:lang w:val="es-UY"/>
        </w:rPr>
        <w:lastRenderedPageBreak/>
        <w:t>instrucción.</w:t>
      </w:r>
      <w:r w:rsidRPr="00D60065">
        <w:rPr>
          <w:rFonts w:asciiTheme="majorHAnsi" w:hAnsiTheme="majorHAnsi"/>
          <w:sz w:val="20"/>
          <w:szCs w:val="20"/>
          <w:lang w:val="es-UY"/>
        </w:rPr>
        <w:t xml:space="preserve"> Asimismo, s</w:t>
      </w:r>
      <w:r>
        <w:rPr>
          <w:rFonts w:asciiTheme="majorHAnsi" w:hAnsiTheme="majorHAnsi"/>
          <w:sz w:val="20"/>
          <w:szCs w:val="20"/>
          <w:lang w:val="es-UY"/>
        </w:rPr>
        <w:t>o</w:t>
      </w:r>
      <w:r w:rsidR="004D3739" w:rsidRPr="00D60065">
        <w:rPr>
          <w:rFonts w:asciiTheme="majorHAnsi" w:hAnsiTheme="majorHAnsi"/>
          <w:sz w:val="20"/>
          <w:szCs w:val="20"/>
          <w:lang w:val="es-UY"/>
        </w:rPr>
        <w:t xml:space="preserve">bre el proceso disciplinario </w:t>
      </w:r>
      <w:r>
        <w:rPr>
          <w:rFonts w:asciiTheme="majorHAnsi" w:hAnsiTheme="majorHAnsi"/>
          <w:sz w:val="20"/>
          <w:szCs w:val="20"/>
          <w:lang w:val="es-UY"/>
        </w:rPr>
        <w:t>adelantado, refiere que</w:t>
      </w:r>
      <w:r w:rsidR="004D3739" w:rsidRPr="00D60065">
        <w:rPr>
          <w:rFonts w:asciiTheme="majorHAnsi" w:hAnsiTheme="majorHAnsi"/>
          <w:sz w:val="20"/>
          <w:szCs w:val="20"/>
          <w:lang w:val="es-UY"/>
        </w:rPr>
        <w:t xml:space="preserve"> el 13 de febrero de 2006 la Procuraduría General de la Nación inició una investigación preliminar, y</w:t>
      </w:r>
      <w:r w:rsidR="009051ED">
        <w:rPr>
          <w:rFonts w:asciiTheme="majorHAnsi" w:hAnsiTheme="majorHAnsi"/>
          <w:sz w:val="20"/>
          <w:szCs w:val="20"/>
          <w:lang w:val="es-UY"/>
        </w:rPr>
        <w:t xml:space="preserve"> </w:t>
      </w:r>
      <w:r w:rsidR="004D3739" w:rsidRPr="00D60065">
        <w:rPr>
          <w:rFonts w:asciiTheme="majorHAnsi" w:hAnsiTheme="majorHAnsi"/>
          <w:sz w:val="20"/>
          <w:szCs w:val="20"/>
          <w:lang w:val="es-UY"/>
        </w:rPr>
        <w:t>se profirió auto de apertura de investigación contra tres oficiales y un soldado profesiona</w:t>
      </w:r>
      <w:r>
        <w:rPr>
          <w:rFonts w:asciiTheme="majorHAnsi" w:hAnsiTheme="majorHAnsi"/>
          <w:sz w:val="20"/>
          <w:szCs w:val="20"/>
          <w:lang w:val="es-UY"/>
        </w:rPr>
        <w:t>l adscritos al Batallón No. 26</w:t>
      </w:r>
      <w:r w:rsidR="004E3F2C">
        <w:rPr>
          <w:rFonts w:asciiTheme="majorHAnsi" w:hAnsiTheme="majorHAnsi"/>
          <w:sz w:val="20"/>
          <w:szCs w:val="20"/>
          <w:lang w:val="es-UY"/>
        </w:rPr>
        <w:t>, y en cuanto a</w:t>
      </w:r>
      <w:r w:rsidR="004D3739" w:rsidRPr="00D60065">
        <w:rPr>
          <w:rFonts w:asciiTheme="majorHAnsi" w:hAnsiTheme="majorHAnsi"/>
          <w:sz w:val="20"/>
          <w:szCs w:val="20"/>
          <w:lang w:val="es-UY"/>
        </w:rPr>
        <w:t xml:space="preserve">l proceso contencioso administrativo iniciado por Gloria Edilma Quintero Rivero y otros, </w:t>
      </w:r>
      <w:r w:rsidR="004E3F2C">
        <w:rPr>
          <w:rFonts w:asciiTheme="majorHAnsi" w:hAnsiTheme="majorHAnsi"/>
          <w:sz w:val="20"/>
          <w:szCs w:val="20"/>
          <w:lang w:val="es-UY"/>
        </w:rPr>
        <w:t>inform</w:t>
      </w:r>
      <w:r w:rsidR="004E3F2C">
        <w:rPr>
          <w:sz w:val="20"/>
          <w:szCs w:val="20"/>
          <w:lang w:val="es-UY"/>
        </w:rPr>
        <w:t>ó</w:t>
      </w:r>
      <w:r w:rsidR="004E3F2C">
        <w:rPr>
          <w:rFonts w:asciiTheme="majorHAnsi" w:hAnsiTheme="majorHAnsi"/>
          <w:sz w:val="20"/>
          <w:szCs w:val="20"/>
          <w:lang w:val="es-UY"/>
        </w:rPr>
        <w:t xml:space="preserve"> que </w:t>
      </w:r>
      <w:r w:rsidR="004D3739" w:rsidRPr="00D60065">
        <w:rPr>
          <w:rFonts w:asciiTheme="majorHAnsi" w:hAnsiTheme="majorHAnsi"/>
          <w:sz w:val="20"/>
          <w:szCs w:val="20"/>
          <w:lang w:val="es-UY"/>
        </w:rPr>
        <w:t>la acción fue admitid</w:t>
      </w:r>
      <w:r>
        <w:rPr>
          <w:rFonts w:asciiTheme="majorHAnsi" w:hAnsiTheme="majorHAnsi"/>
          <w:sz w:val="20"/>
          <w:szCs w:val="20"/>
          <w:lang w:val="es-UY"/>
        </w:rPr>
        <w:t>a el 8 de marzo de 2006, y que estaba siendo conocida</w:t>
      </w:r>
      <w:r w:rsidR="004D3739" w:rsidRPr="00D60065">
        <w:rPr>
          <w:rFonts w:asciiTheme="majorHAnsi" w:hAnsiTheme="majorHAnsi"/>
          <w:sz w:val="20"/>
          <w:szCs w:val="20"/>
          <w:lang w:val="es-UY"/>
        </w:rPr>
        <w:t xml:space="preserve">. </w:t>
      </w:r>
    </w:p>
    <w:p w:rsidR="00AD528E" w:rsidRPr="00D60065" w:rsidRDefault="00AD528E" w:rsidP="00AD528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p>
    <w:p w:rsidR="00C24EF6" w:rsidRDefault="00704AF7" w:rsidP="00AD52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Pr>
          <w:rFonts w:asciiTheme="majorHAnsi" w:hAnsiTheme="majorHAnsi"/>
          <w:sz w:val="20"/>
          <w:szCs w:val="20"/>
          <w:lang w:val="es-UY"/>
        </w:rPr>
        <w:t>Por otra parte, el Estado e</w:t>
      </w:r>
      <w:r w:rsidR="00C24EF6">
        <w:rPr>
          <w:rFonts w:asciiTheme="majorHAnsi" w:hAnsiTheme="majorHAnsi"/>
          <w:sz w:val="20"/>
          <w:szCs w:val="20"/>
          <w:lang w:val="es-UY"/>
        </w:rPr>
        <w:t>sgrime que es inaplicable la excepción contemplada en el artículo 46</w:t>
      </w:r>
      <w:r w:rsidR="008422FF">
        <w:rPr>
          <w:rFonts w:asciiTheme="majorHAnsi" w:hAnsiTheme="majorHAnsi"/>
          <w:sz w:val="20"/>
          <w:szCs w:val="20"/>
          <w:lang w:val="es-UY"/>
        </w:rPr>
        <w:t>.2.a</w:t>
      </w:r>
      <w:r w:rsidR="00C24EF6">
        <w:rPr>
          <w:rFonts w:asciiTheme="majorHAnsi" w:hAnsiTheme="majorHAnsi"/>
          <w:sz w:val="20"/>
          <w:szCs w:val="20"/>
          <w:lang w:val="es-UY"/>
        </w:rPr>
        <w:t xml:space="preserve"> de la CADH.</w:t>
      </w:r>
      <w:r w:rsidR="00C45C07">
        <w:rPr>
          <w:rFonts w:asciiTheme="majorHAnsi" w:hAnsiTheme="majorHAnsi"/>
          <w:sz w:val="20"/>
          <w:szCs w:val="20"/>
          <w:lang w:val="es-UY"/>
        </w:rPr>
        <w:t xml:space="preserve"> </w:t>
      </w:r>
      <w:r w:rsidR="006D4BBD">
        <w:rPr>
          <w:rFonts w:asciiTheme="majorHAnsi" w:hAnsiTheme="majorHAnsi"/>
          <w:sz w:val="20"/>
          <w:szCs w:val="20"/>
          <w:lang w:val="es-UY"/>
        </w:rPr>
        <w:t xml:space="preserve">Alega </w:t>
      </w:r>
      <w:r w:rsidR="00C45C07">
        <w:rPr>
          <w:rFonts w:asciiTheme="majorHAnsi" w:hAnsiTheme="majorHAnsi"/>
          <w:sz w:val="20"/>
          <w:szCs w:val="20"/>
          <w:lang w:val="es-UY"/>
        </w:rPr>
        <w:t xml:space="preserve">imprecisiones del peticionario en cuanto </w:t>
      </w:r>
      <w:r w:rsidR="006D4BBD">
        <w:rPr>
          <w:rFonts w:asciiTheme="majorHAnsi" w:hAnsiTheme="majorHAnsi"/>
          <w:sz w:val="20"/>
          <w:szCs w:val="20"/>
          <w:lang w:val="es-UY"/>
        </w:rPr>
        <w:t xml:space="preserve">a sus afirmaciones, señalando que </w:t>
      </w:r>
      <w:r w:rsidR="00C45C07">
        <w:rPr>
          <w:rFonts w:asciiTheme="majorHAnsi" w:hAnsiTheme="majorHAnsi"/>
          <w:sz w:val="20"/>
          <w:szCs w:val="20"/>
          <w:lang w:val="es-UY"/>
        </w:rPr>
        <w:t>el conflicto de competencia fue resuelto</w:t>
      </w:r>
      <w:r w:rsidR="006D4BBD">
        <w:rPr>
          <w:rFonts w:asciiTheme="majorHAnsi" w:hAnsiTheme="majorHAnsi"/>
          <w:sz w:val="20"/>
          <w:szCs w:val="20"/>
          <w:lang w:val="es-UY"/>
        </w:rPr>
        <w:t xml:space="preserve"> en julio de 2008, y resalta las acciones emprendidas por la Fiscal</w:t>
      </w:r>
      <w:r w:rsidR="006D4BBD">
        <w:rPr>
          <w:sz w:val="20"/>
          <w:szCs w:val="20"/>
          <w:lang w:val="es-UY"/>
        </w:rPr>
        <w:t>ía para que el asunto fuera conocido por el fuero ordinario</w:t>
      </w:r>
      <w:r w:rsidR="00C45C07">
        <w:rPr>
          <w:rFonts w:asciiTheme="majorHAnsi" w:hAnsiTheme="majorHAnsi"/>
          <w:sz w:val="20"/>
          <w:szCs w:val="20"/>
          <w:lang w:val="es-UY"/>
        </w:rPr>
        <w:t xml:space="preserve">. </w:t>
      </w:r>
    </w:p>
    <w:p w:rsidR="00AD528E" w:rsidRDefault="00AD528E" w:rsidP="00AD528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p>
    <w:p w:rsidR="00CA578D" w:rsidRDefault="009C48E0" w:rsidP="00AD52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sidRPr="00B538FD">
        <w:rPr>
          <w:rFonts w:asciiTheme="majorHAnsi" w:hAnsiTheme="majorHAnsi"/>
          <w:sz w:val="20"/>
          <w:szCs w:val="20"/>
          <w:lang w:val="es-UY"/>
        </w:rPr>
        <w:t>Sobre la excepción contemplada en el artículo 46.2.</w:t>
      </w:r>
      <w:r w:rsidR="007F4500" w:rsidRPr="00B538FD">
        <w:rPr>
          <w:rFonts w:asciiTheme="majorHAnsi" w:hAnsiTheme="majorHAnsi"/>
          <w:sz w:val="20"/>
          <w:szCs w:val="20"/>
          <w:lang w:val="es-UY"/>
        </w:rPr>
        <w:t>c</w:t>
      </w:r>
      <w:r w:rsidRPr="00B538FD">
        <w:rPr>
          <w:rFonts w:asciiTheme="majorHAnsi" w:hAnsiTheme="majorHAnsi"/>
          <w:sz w:val="20"/>
          <w:szCs w:val="20"/>
          <w:lang w:val="es-UY"/>
        </w:rPr>
        <w:t xml:space="preserve"> de la CADH, </w:t>
      </w:r>
      <w:r w:rsidR="00B83598">
        <w:rPr>
          <w:rFonts w:asciiTheme="majorHAnsi" w:hAnsiTheme="majorHAnsi"/>
          <w:sz w:val="20"/>
          <w:szCs w:val="20"/>
          <w:lang w:val="es-UY"/>
        </w:rPr>
        <w:t xml:space="preserve">el Estado </w:t>
      </w:r>
      <w:r w:rsidRPr="00B538FD">
        <w:rPr>
          <w:rFonts w:asciiTheme="majorHAnsi" w:hAnsiTheme="majorHAnsi"/>
          <w:sz w:val="20"/>
          <w:szCs w:val="20"/>
          <w:lang w:val="es-UY"/>
        </w:rPr>
        <w:t xml:space="preserve">plantea que el proceso penal en su conjunto se ha desarrollado dentro de un plazo razonable. </w:t>
      </w:r>
      <w:r w:rsidR="005643C5" w:rsidRPr="00B538FD">
        <w:rPr>
          <w:rFonts w:asciiTheme="majorHAnsi" w:hAnsiTheme="majorHAnsi"/>
          <w:sz w:val="20"/>
          <w:szCs w:val="20"/>
          <w:lang w:val="es-UY"/>
        </w:rPr>
        <w:t>Sobre la complejidad del asunto</w:t>
      </w:r>
      <w:r w:rsidR="004A3212">
        <w:rPr>
          <w:rFonts w:asciiTheme="majorHAnsi" w:hAnsiTheme="majorHAnsi"/>
          <w:sz w:val="20"/>
          <w:szCs w:val="20"/>
          <w:lang w:val="es-UY"/>
        </w:rPr>
        <w:t>,</w:t>
      </w:r>
      <w:r w:rsidR="005643C5" w:rsidRPr="00B538FD">
        <w:rPr>
          <w:rFonts w:asciiTheme="majorHAnsi" w:hAnsiTheme="majorHAnsi"/>
          <w:sz w:val="20"/>
          <w:szCs w:val="20"/>
          <w:lang w:val="es-UY"/>
        </w:rPr>
        <w:t xml:space="preserve"> indica que gracias a la diligencia de las autoridades judiciales existe una sola investigación respecto de los hechos vinculados a los homicidios y lesiones. </w:t>
      </w:r>
      <w:r w:rsidR="00561FFF" w:rsidRPr="00B538FD">
        <w:rPr>
          <w:rFonts w:asciiTheme="majorHAnsi" w:hAnsiTheme="majorHAnsi"/>
          <w:sz w:val="20"/>
          <w:szCs w:val="20"/>
          <w:lang w:val="es-UY"/>
        </w:rPr>
        <w:t xml:space="preserve">Indica que ha habido una </w:t>
      </w:r>
      <w:r w:rsidR="0033716D" w:rsidRPr="00B538FD">
        <w:rPr>
          <w:rFonts w:asciiTheme="majorHAnsi" w:hAnsiTheme="majorHAnsi"/>
          <w:sz w:val="20"/>
          <w:szCs w:val="20"/>
          <w:lang w:val="es-UY"/>
        </w:rPr>
        <w:t xml:space="preserve">intensa actividad investigativa, refiriendo una serie de actuaciones. </w:t>
      </w:r>
      <w:r w:rsidR="00B538FD" w:rsidRPr="00B538FD">
        <w:rPr>
          <w:rFonts w:asciiTheme="majorHAnsi" w:hAnsiTheme="majorHAnsi"/>
          <w:sz w:val="20"/>
          <w:szCs w:val="20"/>
          <w:lang w:val="es-UY"/>
        </w:rPr>
        <w:t>Asimismo, s</w:t>
      </w:r>
      <w:r w:rsidR="00B538FD">
        <w:rPr>
          <w:rFonts w:asciiTheme="majorHAnsi" w:hAnsiTheme="majorHAnsi"/>
          <w:sz w:val="20"/>
          <w:szCs w:val="20"/>
          <w:lang w:val="es-UY"/>
        </w:rPr>
        <w:t>obre el alegato del peticionario respecto</w:t>
      </w:r>
      <w:r w:rsidR="008B6C8E" w:rsidRPr="00B538FD">
        <w:rPr>
          <w:rFonts w:asciiTheme="majorHAnsi" w:hAnsiTheme="majorHAnsi"/>
          <w:sz w:val="20"/>
          <w:szCs w:val="20"/>
          <w:lang w:val="es-UY"/>
        </w:rPr>
        <w:t xml:space="preserve"> de que habían trascurrido los </w:t>
      </w:r>
      <w:r w:rsidR="004A3212">
        <w:rPr>
          <w:rFonts w:asciiTheme="majorHAnsi" w:hAnsiTheme="majorHAnsi"/>
          <w:sz w:val="20"/>
          <w:szCs w:val="20"/>
          <w:lang w:val="es-UY"/>
        </w:rPr>
        <w:t>seis</w:t>
      </w:r>
      <w:r w:rsidR="008B6C8E" w:rsidRPr="00B538FD">
        <w:rPr>
          <w:rFonts w:asciiTheme="majorHAnsi" w:hAnsiTheme="majorHAnsi"/>
          <w:sz w:val="20"/>
          <w:szCs w:val="20"/>
          <w:lang w:val="es-UY"/>
        </w:rPr>
        <w:t xml:space="preserve"> meses que preveía la ley para la investigación previa, el Estado precisa que dicho plazo al que alude la peticionaria, refiere al proceso penal seguido contra Willian José Cunacue Medina por el delito de rebelión</w:t>
      </w:r>
      <w:r w:rsidR="00CA578D" w:rsidRPr="00B538FD">
        <w:rPr>
          <w:rFonts w:asciiTheme="majorHAnsi" w:hAnsiTheme="majorHAnsi"/>
          <w:sz w:val="20"/>
          <w:szCs w:val="20"/>
          <w:lang w:val="es-UY"/>
        </w:rPr>
        <w:t>, investigación precluída el 9 de junio de 2008.</w:t>
      </w:r>
      <w:r w:rsidR="00B538FD">
        <w:rPr>
          <w:rFonts w:asciiTheme="majorHAnsi" w:hAnsiTheme="majorHAnsi"/>
          <w:sz w:val="20"/>
          <w:szCs w:val="20"/>
          <w:lang w:val="es-UY"/>
        </w:rPr>
        <w:t xml:space="preserve"> Además, resalta diversos resultados obtenidos en la investigación.</w:t>
      </w:r>
      <w:r w:rsidR="00CA578D" w:rsidRPr="00B538FD">
        <w:rPr>
          <w:rFonts w:asciiTheme="majorHAnsi" w:hAnsiTheme="majorHAnsi"/>
          <w:sz w:val="20"/>
          <w:szCs w:val="20"/>
          <w:lang w:val="es-UY"/>
        </w:rPr>
        <w:t xml:space="preserve"> </w:t>
      </w:r>
      <w:r w:rsidR="00B538FD">
        <w:rPr>
          <w:rFonts w:asciiTheme="majorHAnsi" w:hAnsiTheme="majorHAnsi"/>
          <w:sz w:val="20"/>
          <w:szCs w:val="20"/>
          <w:lang w:val="es-UY"/>
        </w:rPr>
        <w:t>Por lo anterior, s</w:t>
      </w:r>
      <w:r w:rsidR="00CA578D" w:rsidRPr="00B538FD">
        <w:rPr>
          <w:rFonts w:asciiTheme="majorHAnsi" w:hAnsiTheme="majorHAnsi"/>
          <w:sz w:val="20"/>
          <w:szCs w:val="20"/>
          <w:lang w:val="es-UY"/>
        </w:rPr>
        <w:t xml:space="preserve">ostiene que ni en el trámite general del proceso, ni es sus actuaciones particulares, hay lugar a declarar retardo injustificado que sustente la procedencia de la excepción. </w:t>
      </w:r>
      <w:r w:rsidR="007F50EF" w:rsidRPr="007F50EF">
        <w:rPr>
          <w:rFonts w:asciiTheme="majorHAnsi" w:hAnsiTheme="majorHAnsi"/>
          <w:sz w:val="20"/>
          <w:szCs w:val="20"/>
          <w:lang w:val="es-UY"/>
        </w:rPr>
        <w:t>En</w:t>
      </w:r>
      <w:r w:rsidR="00CA578D" w:rsidRPr="007F50EF">
        <w:rPr>
          <w:rFonts w:asciiTheme="majorHAnsi" w:hAnsiTheme="majorHAnsi"/>
          <w:sz w:val="20"/>
          <w:szCs w:val="20"/>
          <w:lang w:val="es-UY"/>
        </w:rPr>
        <w:t xml:space="preserve"> consecuencia, afirma que el proceso penal </w:t>
      </w:r>
      <w:r w:rsidR="00EA7A4D" w:rsidRPr="007F50EF">
        <w:rPr>
          <w:rFonts w:asciiTheme="majorHAnsi" w:hAnsiTheme="majorHAnsi"/>
          <w:sz w:val="20"/>
          <w:szCs w:val="20"/>
          <w:lang w:val="es-UY"/>
        </w:rPr>
        <w:t xml:space="preserve">es el </w:t>
      </w:r>
      <w:r w:rsidR="00CA578D" w:rsidRPr="007F50EF">
        <w:rPr>
          <w:rFonts w:asciiTheme="majorHAnsi" w:hAnsiTheme="majorHAnsi"/>
          <w:sz w:val="20"/>
          <w:szCs w:val="20"/>
          <w:lang w:val="es-UY"/>
        </w:rPr>
        <w:t xml:space="preserve">recurso idóneo, </w:t>
      </w:r>
      <w:r w:rsidR="00EA7A4D" w:rsidRPr="007F50EF">
        <w:rPr>
          <w:rFonts w:asciiTheme="majorHAnsi" w:hAnsiTheme="majorHAnsi"/>
          <w:sz w:val="20"/>
          <w:szCs w:val="20"/>
          <w:lang w:val="es-UY"/>
        </w:rPr>
        <w:t>y que no</w:t>
      </w:r>
      <w:r w:rsidR="00CA578D" w:rsidRPr="007F50EF">
        <w:rPr>
          <w:rFonts w:asciiTheme="majorHAnsi" w:hAnsiTheme="majorHAnsi"/>
          <w:sz w:val="20"/>
          <w:szCs w:val="20"/>
          <w:lang w:val="es-UY"/>
        </w:rPr>
        <w:t xml:space="preserve"> ha sido agotado</w:t>
      </w:r>
      <w:r w:rsidR="00B538FD" w:rsidRPr="007F50EF">
        <w:rPr>
          <w:rFonts w:asciiTheme="majorHAnsi" w:hAnsiTheme="majorHAnsi"/>
          <w:sz w:val="20"/>
          <w:szCs w:val="20"/>
          <w:lang w:val="es-UY"/>
        </w:rPr>
        <w:t xml:space="preserve">, y que </w:t>
      </w:r>
      <w:r w:rsidR="00CA578D" w:rsidRPr="007F50EF">
        <w:rPr>
          <w:rFonts w:asciiTheme="majorHAnsi" w:hAnsiTheme="majorHAnsi"/>
          <w:sz w:val="20"/>
          <w:szCs w:val="20"/>
          <w:lang w:val="es-UY"/>
        </w:rPr>
        <w:t>las excepciones al agotamiento invocadas</w:t>
      </w:r>
      <w:r w:rsidR="00EA7A4D" w:rsidRPr="007F50EF">
        <w:rPr>
          <w:rFonts w:asciiTheme="majorHAnsi" w:hAnsiTheme="majorHAnsi"/>
          <w:sz w:val="20"/>
          <w:szCs w:val="20"/>
          <w:lang w:val="es-UY"/>
        </w:rPr>
        <w:t xml:space="preserve"> no serían admisibles</w:t>
      </w:r>
      <w:r w:rsidR="00CA578D" w:rsidRPr="007F50EF">
        <w:rPr>
          <w:rFonts w:asciiTheme="majorHAnsi" w:hAnsiTheme="majorHAnsi"/>
          <w:sz w:val="20"/>
          <w:szCs w:val="20"/>
          <w:lang w:val="es-UY"/>
        </w:rPr>
        <w:t>, por lo que solicita la inadmisibilidad del asunto.</w:t>
      </w:r>
    </w:p>
    <w:p w:rsidR="00AD528E" w:rsidRPr="007F50EF" w:rsidRDefault="00AD528E" w:rsidP="00AD528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p>
    <w:p w:rsidR="00BC2E51" w:rsidRDefault="007F50EF" w:rsidP="00AD52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Pr>
          <w:rFonts w:asciiTheme="majorHAnsi" w:hAnsiTheme="majorHAnsi"/>
          <w:sz w:val="20"/>
          <w:szCs w:val="20"/>
          <w:lang w:val="es-UY"/>
        </w:rPr>
        <w:t xml:space="preserve">Posteriormente, mediante comunicación </w:t>
      </w:r>
      <w:r w:rsidR="00F00012" w:rsidRPr="00291E6F">
        <w:rPr>
          <w:rFonts w:asciiTheme="majorHAnsi" w:hAnsiTheme="majorHAnsi"/>
          <w:sz w:val="20"/>
          <w:szCs w:val="20"/>
          <w:lang w:val="es-UY"/>
        </w:rPr>
        <w:t xml:space="preserve">de </w:t>
      </w:r>
      <w:r w:rsidR="00F00012" w:rsidRPr="00F57287">
        <w:rPr>
          <w:rFonts w:asciiTheme="majorHAnsi" w:hAnsiTheme="majorHAnsi"/>
          <w:sz w:val="20"/>
          <w:szCs w:val="20"/>
          <w:lang w:val="es-UY"/>
        </w:rPr>
        <w:t>6 de marzo de 2015,</w:t>
      </w:r>
      <w:r w:rsidR="00F00012" w:rsidRPr="00291E6F">
        <w:rPr>
          <w:rFonts w:asciiTheme="majorHAnsi" w:hAnsiTheme="majorHAnsi"/>
          <w:sz w:val="20"/>
          <w:szCs w:val="20"/>
          <w:lang w:val="es-UY"/>
        </w:rPr>
        <w:t xml:space="preserve"> el Estado señala que </w:t>
      </w:r>
      <w:r w:rsidR="00BC2E51" w:rsidRPr="00291E6F">
        <w:rPr>
          <w:rFonts w:asciiTheme="majorHAnsi" w:hAnsiTheme="majorHAnsi"/>
          <w:sz w:val="20"/>
          <w:szCs w:val="20"/>
          <w:lang w:val="es-UY"/>
        </w:rPr>
        <w:t xml:space="preserve">la investigación penal se ha adelantado diligentemente y </w:t>
      </w:r>
      <w:r w:rsidR="007120EE" w:rsidRPr="00291E6F">
        <w:rPr>
          <w:rFonts w:asciiTheme="majorHAnsi" w:hAnsiTheme="majorHAnsi"/>
          <w:sz w:val="20"/>
          <w:szCs w:val="20"/>
          <w:lang w:val="es-UY"/>
        </w:rPr>
        <w:t>continúa</w:t>
      </w:r>
      <w:r w:rsidR="00BC2E51" w:rsidRPr="00291E6F">
        <w:rPr>
          <w:rFonts w:asciiTheme="majorHAnsi" w:hAnsiTheme="majorHAnsi"/>
          <w:sz w:val="20"/>
          <w:szCs w:val="20"/>
          <w:lang w:val="es-UY"/>
        </w:rPr>
        <w:t xml:space="preserve"> en curso</w:t>
      </w:r>
      <w:r w:rsidR="006F0F9E" w:rsidRPr="00291E6F">
        <w:rPr>
          <w:rFonts w:asciiTheme="majorHAnsi" w:hAnsiTheme="majorHAnsi"/>
          <w:sz w:val="20"/>
          <w:szCs w:val="20"/>
          <w:lang w:val="es-UY"/>
        </w:rPr>
        <w:t xml:space="preserve"> en la justicia ordinaria</w:t>
      </w:r>
      <w:r w:rsidR="00BC2E51" w:rsidRPr="00291E6F">
        <w:rPr>
          <w:rFonts w:asciiTheme="majorHAnsi" w:hAnsiTheme="majorHAnsi"/>
          <w:sz w:val="20"/>
          <w:szCs w:val="20"/>
          <w:lang w:val="es-UY"/>
        </w:rPr>
        <w:t xml:space="preserve">, por lo que se configura falta de agotamiento de los recursos internos. </w:t>
      </w:r>
      <w:r w:rsidR="00C61B5B">
        <w:rPr>
          <w:rFonts w:asciiTheme="majorHAnsi" w:hAnsiTheme="majorHAnsi"/>
          <w:sz w:val="20"/>
          <w:szCs w:val="20"/>
          <w:lang w:val="es-UY"/>
        </w:rPr>
        <w:t>Reitera</w:t>
      </w:r>
      <w:r w:rsidR="00695C42" w:rsidRPr="00291E6F">
        <w:rPr>
          <w:rFonts w:asciiTheme="majorHAnsi" w:hAnsiTheme="majorHAnsi"/>
          <w:sz w:val="20"/>
          <w:szCs w:val="20"/>
          <w:lang w:val="es-UY"/>
        </w:rPr>
        <w:t xml:space="preserve"> que debido a la participación de las fuerzas m</w:t>
      </w:r>
      <w:r w:rsidR="00C61B5B">
        <w:rPr>
          <w:rFonts w:asciiTheme="majorHAnsi" w:hAnsiTheme="majorHAnsi"/>
          <w:sz w:val="20"/>
          <w:szCs w:val="20"/>
          <w:lang w:val="es-UY"/>
        </w:rPr>
        <w:t>ilitares en los hechos</w:t>
      </w:r>
      <w:r w:rsidR="00695C42" w:rsidRPr="00291E6F">
        <w:rPr>
          <w:rFonts w:asciiTheme="majorHAnsi" w:hAnsiTheme="majorHAnsi"/>
          <w:sz w:val="20"/>
          <w:szCs w:val="20"/>
          <w:lang w:val="es-UY"/>
        </w:rPr>
        <w:t xml:space="preserve">, fue necesario dirimir el conflicto de </w:t>
      </w:r>
      <w:r w:rsidR="00337142" w:rsidRPr="00291E6F">
        <w:rPr>
          <w:rFonts w:asciiTheme="majorHAnsi" w:hAnsiTheme="majorHAnsi"/>
          <w:sz w:val="20"/>
          <w:szCs w:val="20"/>
          <w:lang w:val="es-UY"/>
        </w:rPr>
        <w:t>competencias,</w:t>
      </w:r>
      <w:r w:rsidR="00695C42" w:rsidRPr="00291E6F">
        <w:rPr>
          <w:rFonts w:asciiTheme="majorHAnsi" w:hAnsiTheme="majorHAnsi"/>
          <w:sz w:val="20"/>
          <w:szCs w:val="20"/>
          <w:lang w:val="es-UY"/>
        </w:rPr>
        <w:t xml:space="preserve"> radicándose la investigación </w:t>
      </w:r>
      <w:r w:rsidR="009A03EE">
        <w:rPr>
          <w:rFonts w:asciiTheme="majorHAnsi" w:hAnsiTheme="majorHAnsi"/>
          <w:sz w:val="20"/>
          <w:szCs w:val="20"/>
          <w:lang w:val="es-UY"/>
        </w:rPr>
        <w:t>en</w:t>
      </w:r>
      <w:r w:rsidR="00695C42" w:rsidRPr="00291E6F">
        <w:rPr>
          <w:rFonts w:asciiTheme="majorHAnsi" w:hAnsiTheme="majorHAnsi"/>
          <w:sz w:val="20"/>
          <w:szCs w:val="20"/>
          <w:lang w:val="es-UY"/>
        </w:rPr>
        <w:t xml:space="preserve"> la Fiscalía 70 especializada de Derechos Humanos y Derecho Internacional Humanitario.</w:t>
      </w:r>
      <w:r w:rsidR="005C659D" w:rsidRPr="00291E6F">
        <w:rPr>
          <w:rFonts w:asciiTheme="majorHAnsi" w:hAnsiTheme="majorHAnsi"/>
          <w:sz w:val="20"/>
          <w:szCs w:val="20"/>
          <w:lang w:val="es-UY"/>
        </w:rPr>
        <w:t xml:space="preserve"> D</w:t>
      </w:r>
      <w:r w:rsidR="00F45F31">
        <w:rPr>
          <w:rFonts w:asciiTheme="majorHAnsi" w:hAnsiTheme="majorHAnsi"/>
          <w:sz w:val="20"/>
          <w:szCs w:val="20"/>
          <w:lang w:val="es-UY"/>
        </w:rPr>
        <w:t>estaca que d</w:t>
      </w:r>
      <w:r w:rsidR="005C659D" w:rsidRPr="00291E6F">
        <w:rPr>
          <w:rFonts w:asciiTheme="majorHAnsi" w:hAnsiTheme="majorHAnsi"/>
          <w:sz w:val="20"/>
          <w:szCs w:val="20"/>
          <w:lang w:val="es-UY"/>
        </w:rPr>
        <w:t>e</w:t>
      </w:r>
      <w:r w:rsidR="00C61B5B">
        <w:rPr>
          <w:rFonts w:asciiTheme="majorHAnsi" w:hAnsiTheme="majorHAnsi"/>
          <w:sz w:val="20"/>
          <w:szCs w:val="20"/>
          <w:lang w:val="es-UY"/>
        </w:rPr>
        <w:t>ntro de</w:t>
      </w:r>
      <w:r w:rsidR="005C659D" w:rsidRPr="00291E6F">
        <w:rPr>
          <w:rFonts w:asciiTheme="majorHAnsi" w:hAnsiTheme="majorHAnsi"/>
          <w:sz w:val="20"/>
          <w:szCs w:val="20"/>
          <w:lang w:val="es-UY"/>
        </w:rPr>
        <w:t xml:space="preserve"> las diligencias adelantadas</w:t>
      </w:r>
      <w:r w:rsidR="00C61B5B">
        <w:rPr>
          <w:rFonts w:asciiTheme="majorHAnsi" w:hAnsiTheme="majorHAnsi"/>
          <w:sz w:val="20"/>
          <w:szCs w:val="20"/>
          <w:lang w:val="es-UY"/>
        </w:rPr>
        <w:t xml:space="preserve"> por la Fiscalía, se resolv</w:t>
      </w:r>
      <w:r w:rsidR="00C61B5B" w:rsidRPr="00291E6F">
        <w:rPr>
          <w:rFonts w:asciiTheme="majorHAnsi" w:hAnsiTheme="majorHAnsi"/>
          <w:sz w:val="20"/>
          <w:szCs w:val="20"/>
          <w:lang w:val="es-UY"/>
        </w:rPr>
        <w:t>ió</w:t>
      </w:r>
      <w:r w:rsidR="005C659D" w:rsidRPr="00291E6F">
        <w:rPr>
          <w:rFonts w:asciiTheme="majorHAnsi" w:hAnsiTheme="majorHAnsi"/>
          <w:sz w:val="20"/>
          <w:szCs w:val="20"/>
          <w:lang w:val="es-UY"/>
        </w:rPr>
        <w:t xml:space="preserve"> proferir acusación contra tres soldados profesionales como presuntos autores materiales de los delitos de homicidio agravado en concurso homogéneo respecto de </w:t>
      </w:r>
      <w:r w:rsidR="005C659D" w:rsidRPr="00F57287">
        <w:rPr>
          <w:rFonts w:asciiTheme="majorHAnsi" w:hAnsiTheme="majorHAnsi"/>
          <w:sz w:val="20"/>
          <w:szCs w:val="20"/>
          <w:lang w:val="es-UY"/>
        </w:rPr>
        <w:t>Hortensia Neyid Tunja y Manuel Antonio Tao Pillimue, y de homicidio agravado en grado de tentativa respecto de William José Cunacue</w:t>
      </w:r>
      <w:r w:rsidR="00232D66" w:rsidRPr="00F57287">
        <w:rPr>
          <w:rFonts w:asciiTheme="majorHAnsi" w:hAnsiTheme="majorHAnsi"/>
          <w:sz w:val="20"/>
          <w:szCs w:val="20"/>
          <w:lang w:val="es-UY"/>
        </w:rPr>
        <w:t>, la cual fue confirmada</w:t>
      </w:r>
      <w:r w:rsidR="00C50FD8" w:rsidRPr="00F57287">
        <w:rPr>
          <w:rFonts w:asciiTheme="majorHAnsi" w:hAnsiTheme="majorHAnsi"/>
          <w:sz w:val="20"/>
          <w:szCs w:val="20"/>
          <w:lang w:val="es-UY"/>
        </w:rPr>
        <w:t>, y re</w:t>
      </w:r>
      <w:r w:rsidR="00232D66" w:rsidRPr="00F57287">
        <w:rPr>
          <w:rFonts w:asciiTheme="majorHAnsi" w:hAnsiTheme="majorHAnsi"/>
          <w:sz w:val="20"/>
          <w:szCs w:val="20"/>
          <w:lang w:val="es-UY"/>
        </w:rPr>
        <w:t>fiere que en el marco de la etapa de juzgamiento, e</w:t>
      </w:r>
      <w:r w:rsidR="005C659D" w:rsidRPr="00F57287">
        <w:rPr>
          <w:rFonts w:asciiTheme="majorHAnsi" w:hAnsiTheme="majorHAnsi"/>
          <w:sz w:val="20"/>
          <w:szCs w:val="20"/>
          <w:lang w:val="es-UY"/>
        </w:rPr>
        <w:t xml:space="preserve">l 6 de septiembre de 2012 se llevó a cabo audiencia de preparatoria, y se han recepcionado </w:t>
      </w:r>
      <w:r w:rsidR="00C50FD8" w:rsidRPr="00F57287">
        <w:rPr>
          <w:rFonts w:asciiTheme="majorHAnsi" w:hAnsiTheme="majorHAnsi"/>
          <w:sz w:val="20"/>
          <w:szCs w:val="20"/>
          <w:lang w:val="es-UY"/>
        </w:rPr>
        <w:t xml:space="preserve">diversas pruebas, contando con la </w:t>
      </w:r>
      <w:r w:rsidR="005C659D" w:rsidRPr="00F57287">
        <w:rPr>
          <w:rFonts w:asciiTheme="majorHAnsi" w:hAnsiTheme="majorHAnsi"/>
          <w:sz w:val="20"/>
          <w:szCs w:val="20"/>
          <w:lang w:val="es-UY"/>
        </w:rPr>
        <w:t>participación activa</w:t>
      </w:r>
      <w:r w:rsidR="00C50FD8" w:rsidRPr="00F57287">
        <w:rPr>
          <w:rFonts w:asciiTheme="majorHAnsi" w:hAnsiTheme="majorHAnsi"/>
          <w:sz w:val="20"/>
          <w:szCs w:val="20"/>
          <w:lang w:val="es-UY"/>
        </w:rPr>
        <w:t xml:space="preserve"> de familiares</w:t>
      </w:r>
      <w:r w:rsidR="0004752F" w:rsidRPr="00F57287">
        <w:rPr>
          <w:rFonts w:asciiTheme="majorHAnsi" w:hAnsiTheme="majorHAnsi"/>
          <w:sz w:val="20"/>
          <w:szCs w:val="20"/>
          <w:lang w:val="es-UY"/>
        </w:rPr>
        <w:t xml:space="preserve">, </w:t>
      </w:r>
      <w:r w:rsidR="00A24CD0" w:rsidRPr="00F57287">
        <w:rPr>
          <w:rFonts w:asciiTheme="majorHAnsi" w:hAnsiTheme="majorHAnsi"/>
          <w:sz w:val="20"/>
          <w:szCs w:val="20"/>
          <w:lang w:val="es-UY"/>
        </w:rPr>
        <w:t>así</w:t>
      </w:r>
      <w:r w:rsidR="0004752F" w:rsidRPr="00F57287">
        <w:rPr>
          <w:rFonts w:asciiTheme="majorHAnsi" w:hAnsiTheme="majorHAnsi"/>
          <w:sz w:val="20"/>
          <w:szCs w:val="20"/>
          <w:lang w:val="es-UY"/>
        </w:rPr>
        <w:t xml:space="preserve"> como también la </w:t>
      </w:r>
      <w:r w:rsidR="00887CB8" w:rsidRPr="00F57287">
        <w:rPr>
          <w:rFonts w:asciiTheme="majorHAnsi" w:hAnsiTheme="majorHAnsi"/>
          <w:sz w:val="20"/>
          <w:szCs w:val="20"/>
          <w:lang w:val="es-UY"/>
        </w:rPr>
        <w:t xml:space="preserve">apoderada de la parte civil. </w:t>
      </w:r>
      <w:r w:rsidR="00C318CD">
        <w:rPr>
          <w:rFonts w:asciiTheme="majorHAnsi" w:hAnsiTheme="majorHAnsi"/>
          <w:sz w:val="20"/>
          <w:szCs w:val="20"/>
          <w:lang w:val="es-UY"/>
        </w:rPr>
        <w:t>Refiere</w:t>
      </w:r>
      <w:r w:rsidR="002C135F">
        <w:rPr>
          <w:rFonts w:asciiTheme="majorHAnsi" w:hAnsiTheme="majorHAnsi"/>
          <w:sz w:val="20"/>
          <w:szCs w:val="20"/>
          <w:lang w:val="es-UY"/>
        </w:rPr>
        <w:t xml:space="preserve"> que</w:t>
      </w:r>
      <w:r w:rsidR="0004752F" w:rsidRPr="00F57287">
        <w:rPr>
          <w:rFonts w:asciiTheme="majorHAnsi" w:hAnsiTheme="majorHAnsi"/>
          <w:sz w:val="20"/>
          <w:szCs w:val="20"/>
          <w:lang w:val="es-UY"/>
        </w:rPr>
        <w:t xml:space="preserve"> tan solo cuatro años después de ocurridos los hechos se profirió resolución de acusación y que</w:t>
      </w:r>
      <w:r w:rsidR="00C318CD">
        <w:rPr>
          <w:rFonts w:asciiTheme="majorHAnsi" w:hAnsiTheme="majorHAnsi"/>
          <w:sz w:val="20"/>
          <w:szCs w:val="20"/>
          <w:lang w:val="es-UY"/>
        </w:rPr>
        <w:t xml:space="preserve"> además la investigación continú</w:t>
      </w:r>
      <w:r w:rsidR="0004752F" w:rsidRPr="00F57287">
        <w:rPr>
          <w:rFonts w:asciiTheme="majorHAnsi" w:hAnsiTheme="majorHAnsi"/>
          <w:sz w:val="20"/>
          <w:szCs w:val="20"/>
          <w:lang w:val="es-UY"/>
        </w:rPr>
        <w:t>a en curso respecto de otras personas</w:t>
      </w:r>
      <w:r w:rsidR="00FE79E5">
        <w:rPr>
          <w:rFonts w:asciiTheme="majorHAnsi" w:hAnsiTheme="majorHAnsi"/>
          <w:sz w:val="20"/>
          <w:szCs w:val="20"/>
          <w:lang w:val="es-UY"/>
        </w:rPr>
        <w:t>.</w:t>
      </w:r>
    </w:p>
    <w:p w:rsidR="00AD528E" w:rsidRPr="00291E6F" w:rsidRDefault="00AD528E" w:rsidP="00AD528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p>
    <w:p w:rsidR="00234911" w:rsidRDefault="00234911" w:rsidP="00AD52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sidRPr="009B6476">
        <w:rPr>
          <w:rFonts w:asciiTheme="majorHAnsi" w:hAnsiTheme="majorHAnsi"/>
          <w:sz w:val="20"/>
          <w:szCs w:val="20"/>
          <w:lang w:val="es-UY"/>
        </w:rPr>
        <w:t>Además</w:t>
      </w:r>
      <w:r w:rsidR="00AE28B4">
        <w:rPr>
          <w:rFonts w:asciiTheme="majorHAnsi" w:hAnsiTheme="majorHAnsi"/>
          <w:sz w:val="20"/>
          <w:szCs w:val="20"/>
          <w:lang w:val="es-UY"/>
        </w:rPr>
        <w:t>,</w:t>
      </w:r>
      <w:r w:rsidRPr="009B6476">
        <w:rPr>
          <w:rFonts w:asciiTheme="majorHAnsi" w:hAnsiTheme="majorHAnsi"/>
          <w:sz w:val="20"/>
          <w:szCs w:val="20"/>
          <w:lang w:val="es-UY"/>
        </w:rPr>
        <w:t xml:space="preserve"> el Estado </w:t>
      </w:r>
      <w:r w:rsidR="00C912E5">
        <w:rPr>
          <w:rFonts w:asciiTheme="majorHAnsi" w:hAnsiTheme="majorHAnsi"/>
          <w:sz w:val="20"/>
          <w:szCs w:val="20"/>
          <w:lang w:val="es-UY"/>
        </w:rPr>
        <w:t xml:space="preserve">aduce un argumento </w:t>
      </w:r>
      <w:r w:rsidRPr="009B6476">
        <w:rPr>
          <w:rFonts w:asciiTheme="majorHAnsi" w:hAnsiTheme="majorHAnsi"/>
          <w:sz w:val="20"/>
          <w:szCs w:val="20"/>
          <w:lang w:val="es-UY"/>
        </w:rPr>
        <w:t xml:space="preserve">de cuarta instancia, respecto de la </w:t>
      </w:r>
      <w:r w:rsidR="00C35D9F" w:rsidRPr="009B6476">
        <w:rPr>
          <w:rFonts w:asciiTheme="majorHAnsi" w:hAnsiTheme="majorHAnsi"/>
          <w:sz w:val="20"/>
          <w:szCs w:val="20"/>
          <w:lang w:val="es-UY"/>
        </w:rPr>
        <w:t>pretensión</w:t>
      </w:r>
      <w:r w:rsidR="00C912E5">
        <w:rPr>
          <w:rFonts w:asciiTheme="majorHAnsi" w:hAnsiTheme="majorHAnsi"/>
          <w:sz w:val="20"/>
          <w:szCs w:val="20"/>
          <w:lang w:val="es-UY"/>
        </w:rPr>
        <w:t xml:space="preserve"> de los peticionarios</w:t>
      </w:r>
      <w:r w:rsidRPr="009B6476">
        <w:rPr>
          <w:rFonts w:asciiTheme="majorHAnsi" w:hAnsiTheme="majorHAnsi"/>
          <w:sz w:val="20"/>
          <w:szCs w:val="20"/>
          <w:lang w:val="es-UY"/>
        </w:rPr>
        <w:t xml:space="preserve"> de obtener una reparación </w:t>
      </w:r>
      <w:r w:rsidR="00424BF8">
        <w:rPr>
          <w:rFonts w:asciiTheme="majorHAnsi" w:hAnsiTheme="majorHAnsi"/>
          <w:sz w:val="20"/>
          <w:szCs w:val="20"/>
          <w:lang w:val="es-UY"/>
        </w:rPr>
        <w:t xml:space="preserve">por </w:t>
      </w:r>
      <w:r w:rsidRPr="009B6476">
        <w:rPr>
          <w:rFonts w:asciiTheme="majorHAnsi" w:hAnsiTheme="majorHAnsi"/>
          <w:sz w:val="20"/>
          <w:szCs w:val="20"/>
          <w:lang w:val="es-UY"/>
        </w:rPr>
        <w:t xml:space="preserve">los hechos que dieron origen a la </w:t>
      </w:r>
      <w:r w:rsidR="00C35D9F" w:rsidRPr="009B6476">
        <w:rPr>
          <w:rFonts w:asciiTheme="majorHAnsi" w:hAnsiTheme="majorHAnsi"/>
          <w:sz w:val="20"/>
          <w:szCs w:val="20"/>
          <w:lang w:val="es-UY"/>
        </w:rPr>
        <w:t>petición</w:t>
      </w:r>
      <w:r w:rsidRPr="009B6476">
        <w:rPr>
          <w:rFonts w:asciiTheme="majorHAnsi" w:hAnsiTheme="majorHAnsi"/>
          <w:sz w:val="20"/>
          <w:szCs w:val="20"/>
          <w:lang w:val="es-UY"/>
        </w:rPr>
        <w:t xml:space="preserve">. </w:t>
      </w:r>
      <w:r w:rsidR="006238C9" w:rsidRPr="009B6476">
        <w:rPr>
          <w:rFonts w:asciiTheme="majorHAnsi" w:hAnsiTheme="majorHAnsi"/>
          <w:sz w:val="20"/>
          <w:szCs w:val="20"/>
          <w:lang w:val="es-UY"/>
        </w:rPr>
        <w:t>Esgrime que teniendo en cuenta que la situación ya fue objeto de conocimiento, estudio y decisión en lo contencioso administrativo, ordenándose la reparación integral de los familiares, no es viable que la CIDH conozca de la petición, y mucho menos se pronuncie sobre la misma, al menos en lo atinente a la pretensión reparatoria, toda vez que estaría fungiendo como tribunal de alzada.</w:t>
      </w:r>
      <w:r w:rsidR="00C41880" w:rsidRPr="009B6476">
        <w:rPr>
          <w:rFonts w:asciiTheme="majorHAnsi" w:hAnsiTheme="majorHAnsi"/>
          <w:sz w:val="20"/>
          <w:szCs w:val="20"/>
          <w:lang w:val="es-UY"/>
        </w:rPr>
        <w:t xml:space="preserve"> Arguye que las situaciones que ya fueron objeto de decisión por parte de las autoridades pertenecientes al ordenamiento jurídico interno solamente podrán ser elevadas al escenario internacional en la medida que se demuestre que con éstas se produjeron violaciones a los derechos contenidos en la CADH, lo cual en este caso no se configuraría. </w:t>
      </w:r>
      <w:r w:rsidR="00D1486E" w:rsidRPr="009B6476">
        <w:rPr>
          <w:rFonts w:asciiTheme="majorHAnsi" w:hAnsiTheme="majorHAnsi"/>
          <w:sz w:val="20"/>
          <w:szCs w:val="20"/>
          <w:lang w:val="es-UY"/>
        </w:rPr>
        <w:t>Refier</w:t>
      </w:r>
      <w:r w:rsidR="0053788D">
        <w:rPr>
          <w:rFonts w:asciiTheme="majorHAnsi" w:hAnsiTheme="majorHAnsi"/>
          <w:sz w:val="20"/>
          <w:szCs w:val="20"/>
          <w:lang w:val="es-UY"/>
        </w:rPr>
        <w:t>e</w:t>
      </w:r>
      <w:r w:rsidR="00D1486E" w:rsidRPr="009B6476">
        <w:rPr>
          <w:rFonts w:asciiTheme="majorHAnsi" w:hAnsiTheme="majorHAnsi"/>
          <w:sz w:val="20"/>
          <w:szCs w:val="20"/>
          <w:lang w:val="es-UY"/>
        </w:rPr>
        <w:t xml:space="preserve"> que en virtud de la acción de grupo instaurada por los familiares a</w:t>
      </w:r>
      <w:r w:rsidR="004A669C">
        <w:rPr>
          <w:rFonts w:asciiTheme="majorHAnsi" w:hAnsiTheme="majorHAnsi"/>
          <w:sz w:val="20"/>
          <w:szCs w:val="20"/>
          <w:lang w:val="es-UY"/>
        </w:rPr>
        <w:t xml:space="preserve">nte la jurisdicción contencioso </w:t>
      </w:r>
      <w:r w:rsidR="00D1486E" w:rsidRPr="009B6476">
        <w:rPr>
          <w:rFonts w:asciiTheme="majorHAnsi" w:hAnsiTheme="majorHAnsi"/>
          <w:sz w:val="20"/>
          <w:szCs w:val="20"/>
          <w:lang w:val="es-UY"/>
        </w:rPr>
        <w:t>administrativa, el Juzgado Octavo Administrativo de Popayán se pronunció mediante providencia de 10 de septi</w:t>
      </w:r>
      <w:r w:rsidR="004A669C">
        <w:rPr>
          <w:rFonts w:asciiTheme="majorHAnsi" w:hAnsiTheme="majorHAnsi"/>
          <w:sz w:val="20"/>
          <w:szCs w:val="20"/>
          <w:lang w:val="es-UY"/>
        </w:rPr>
        <w:t>embre de 2009, en la que condenó</w:t>
      </w:r>
      <w:r w:rsidR="00D1486E" w:rsidRPr="009B6476">
        <w:rPr>
          <w:rFonts w:asciiTheme="majorHAnsi" w:hAnsiTheme="majorHAnsi"/>
          <w:sz w:val="20"/>
          <w:szCs w:val="20"/>
          <w:lang w:val="es-UY"/>
        </w:rPr>
        <w:t xml:space="preserve"> al Estado, ordenando la reparación integral del daño no solamente en la modalidad de perjuicios patrimoniales y extramatrimoniales, sino que también a m</w:t>
      </w:r>
      <w:r w:rsidR="008704E4" w:rsidRPr="009B6476">
        <w:rPr>
          <w:rFonts w:asciiTheme="majorHAnsi" w:hAnsiTheme="majorHAnsi"/>
          <w:sz w:val="20"/>
          <w:szCs w:val="20"/>
          <w:lang w:val="es-UY"/>
        </w:rPr>
        <w:t>edidas de justicia restaurativa, dentro de la que se ordenaron actos de disc</w:t>
      </w:r>
      <w:r w:rsidR="00883A74">
        <w:rPr>
          <w:rFonts w:asciiTheme="majorHAnsi" w:hAnsiTheme="majorHAnsi"/>
          <w:sz w:val="20"/>
          <w:szCs w:val="20"/>
          <w:lang w:val="es-UY"/>
        </w:rPr>
        <w:t xml:space="preserve">ulpas públicas por parte del </w:t>
      </w:r>
      <w:r w:rsidR="00E625A9">
        <w:rPr>
          <w:rFonts w:asciiTheme="majorHAnsi" w:hAnsiTheme="majorHAnsi"/>
          <w:sz w:val="20"/>
          <w:szCs w:val="20"/>
          <w:lang w:val="es-UY"/>
        </w:rPr>
        <w:t>e</w:t>
      </w:r>
      <w:r w:rsidR="00883A74">
        <w:rPr>
          <w:rFonts w:asciiTheme="majorHAnsi" w:hAnsiTheme="majorHAnsi"/>
          <w:sz w:val="20"/>
          <w:szCs w:val="20"/>
          <w:lang w:val="es-UY"/>
        </w:rPr>
        <w:t>jé</w:t>
      </w:r>
      <w:r w:rsidR="008704E4" w:rsidRPr="009B6476">
        <w:rPr>
          <w:rFonts w:asciiTheme="majorHAnsi" w:hAnsiTheme="majorHAnsi"/>
          <w:sz w:val="20"/>
          <w:szCs w:val="20"/>
          <w:lang w:val="es-UY"/>
        </w:rPr>
        <w:t>rcito, la implementación de un sistema de promoción y respecto de los derechos</w:t>
      </w:r>
      <w:r w:rsidR="00EF279B">
        <w:rPr>
          <w:rFonts w:asciiTheme="majorHAnsi" w:hAnsiTheme="majorHAnsi"/>
          <w:sz w:val="20"/>
          <w:szCs w:val="20"/>
          <w:lang w:val="es-UY"/>
        </w:rPr>
        <w:t xml:space="preserve"> de las personas por parte del </w:t>
      </w:r>
      <w:r w:rsidR="00E625A9">
        <w:rPr>
          <w:rFonts w:asciiTheme="majorHAnsi" w:hAnsiTheme="majorHAnsi"/>
          <w:sz w:val="20"/>
          <w:szCs w:val="20"/>
          <w:lang w:val="es-UY"/>
        </w:rPr>
        <w:t>e</w:t>
      </w:r>
      <w:r w:rsidR="008704E4" w:rsidRPr="009B6476">
        <w:rPr>
          <w:rFonts w:asciiTheme="majorHAnsi" w:hAnsiTheme="majorHAnsi"/>
          <w:sz w:val="20"/>
          <w:szCs w:val="20"/>
          <w:lang w:val="es-UY"/>
        </w:rPr>
        <w:t xml:space="preserve">jército y la publicación de la sentencia en un lugar visible de la </w:t>
      </w:r>
      <w:r w:rsidR="0053788D">
        <w:rPr>
          <w:rFonts w:asciiTheme="majorHAnsi" w:hAnsiTheme="majorHAnsi"/>
          <w:sz w:val="20"/>
          <w:szCs w:val="20"/>
          <w:lang w:val="es-UY"/>
        </w:rPr>
        <w:t>Alcaldí</w:t>
      </w:r>
      <w:r w:rsidR="008704E4" w:rsidRPr="009B6476">
        <w:rPr>
          <w:rFonts w:asciiTheme="majorHAnsi" w:hAnsiTheme="majorHAnsi"/>
          <w:sz w:val="20"/>
          <w:szCs w:val="20"/>
          <w:lang w:val="es-UY"/>
        </w:rPr>
        <w:t xml:space="preserve">a del Municipio de Inza Cauca y La Plata, resolución que fue confirmada en apelación </w:t>
      </w:r>
      <w:r w:rsidR="008704E4" w:rsidRPr="009B6476">
        <w:rPr>
          <w:rFonts w:asciiTheme="majorHAnsi" w:hAnsiTheme="majorHAnsi"/>
          <w:sz w:val="20"/>
          <w:szCs w:val="20"/>
          <w:lang w:val="es-UY"/>
        </w:rPr>
        <w:lastRenderedPageBreak/>
        <w:t xml:space="preserve">mediante sentencia de 25 de marzo de 2010. Por lo anterior sostiene que la reparación pretendida ya fue concedida a nivel interno. </w:t>
      </w:r>
    </w:p>
    <w:p w:rsidR="00AD528E" w:rsidRPr="008704E4" w:rsidRDefault="00AD528E" w:rsidP="00AD528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p>
    <w:p w:rsidR="004C60A0" w:rsidRDefault="008704E4" w:rsidP="00AD52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sidRPr="009B6476">
        <w:rPr>
          <w:rFonts w:asciiTheme="majorHAnsi" w:hAnsiTheme="majorHAnsi"/>
          <w:sz w:val="20"/>
          <w:szCs w:val="20"/>
          <w:lang w:val="es-UY"/>
        </w:rPr>
        <w:t>Finalmente</w:t>
      </w:r>
      <w:r w:rsidR="00424BF8">
        <w:rPr>
          <w:rFonts w:asciiTheme="majorHAnsi" w:hAnsiTheme="majorHAnsi"/>
          <w:sz w:val="20"/>
          <w:szCs w:val="20"/>
          <w:lang w:val="es-UY"/>
        </w:rPr>
        <w:t>,</w:t>
      </w:r>
      <w:r w:rsidRPr="009B6476">
        <w:rPr>
          <w:rFonts w:asciiTheme="majorHAnsi" w:hAnsiTheme="majorHAnsi"/>
          <w:sz w:val="20"/>
          <w:szCs w:val="20"/>
          <w:lang w:val="es-UY"/>
        </w:rPr>
        <w:t xml:space="preserve"> señala que en la jurisdicción disciplinaria, la Delegada para la Defensa de los Derechos Humanos de la Procuraduría General de la Nación, sancion</w:t>
      </w:r>
      <w:r w:rsidR="00F56534">
        <w:rPr>
          <w:rFonts w:asciiTheme="majorHAnsi" w:hAnsiTheme="majorHAnsi"/>
          <w:sz w:val="20"/>
          <w:szCs w:val="20"/>
          <w:lang w:val="es-UY"/>
        </w:rPr>
        <w:t>ó</w:t>
      </w:r>
      <w:r w:rsidR="002E5576">
        <w:rPr>
          <w:rFonts w:asciiTheme="majorHAnsi" w:hAnsiTheme="majorHAnsi"/>
          <w:sz w:val="20"/>
          <w:szCs w:val="20"/>
          <w:lang w:val="es-UY"/>
        </w:rPr>
        <w:t xml:space="preserve"> disciplinariamente a </w:t>
      </w:r>
      <w:r w:rsidRPr="009B6476">
        <w:rPr>
          <w:rFonts w:asciiTheme="majorHAnsi" w:hAnsiTheme="majorHAnsi"/>
          <w:sz w:val="20"/>
          <w:szCs w:val="20"/>
          <w:lang w:val="es-UY"/>
        </w:rPr>
        <w:t xml:space="preserve">Berulfo Tao Muñoz, Jeyson Lozano Cerquera y Henry Trujillo Lizcano, </w:t>
      </w:r>
      <w:r w:rsidR="002E5576">
        <w:rPr>
          <w:rFonts w:asciiTheme="majorHAnsi" w:hAnsiTheme="majorHAnsi"/>
          <w:sz w:val="20"/>
          <w:szCs w:val="20"/>
          <w:lang w:val="es-UY"/>
        </w:rPr>
        <w:t xml:space="preserve">soldados profesionales del </w:t>
      </w:r>
      <w:r w:rsidR="008C2961">
        <w:rPr>
          <w:rFonts w:asciiTheme="majorHAnsi" w:hAnsiTheme="majorHAnsi"/>
          <w:sz w:val="20"/>
          <w:szCs w:val="20"/>
          <w:lang w:val="es-UY"/>
        </w:rPr>
        <w:t>Ejército</w:t>
      </w:r>
      <w:r w:rsidR="002E5576">
        <w:rPr>
          <w:rFonts w:asciiTheme="majorHAnsi" w:hAnsiTheme="majorHAnsi"/>
          <w:sz w:val="20"/>
          <w:szCs w:val="20"/>
          <w:lang w:val="es-UY"/>
        </w:rPr>
        <w:t xml:space="preserve"> Nacional, </w:t>
      </w:r>
      <w:r w:rsidRPr="009B6476">
        <w:rPr>
          <w:rFonts w:asciiTheme="majorHAnsi" w:hAnsiTheme="majorHAnsi"/>
          <w:sz w:val="20"/>
          <w:szCs w:val="20"/>
          <w:lang w:val="es-UY"/>
        </w:rPr>
        <w:t>con la destitución del cargo e inhabilidad para ejercer cargos públicos por 15 años.</w:t>
      </w:r>
    </w:p>
    <w:p w:rsidR="00AD528E" w:rsidRPr="00617C7B" w:rsidRDefault="00AD528E" w:rsidP="00AD528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p>
    <w:p w:rsidR="0063685A" w:rsidRDefault="0063685A" w:rsidP="00AD52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63685A">
        <w:rPr>
          <w:rFonts w:asciiTheme="majorHAnsi" w:hAnsiTheme="majorHAnsi"/>
          <w:sz w:val="20"/>
          <w:szCs w:val="20"/>
          <w:lang w:val="es-UY"/>
        </w:rPr>
        <w:t xml:space="preserve">En conclusión, el Estado sostiene que, en función de </w:t>
      </w:r>
      <w:r w:rsidRPr="00F56534">
        <w:rPr>
          <w:rFonts w:asciiTheme="majorHAnsi" w:hAnsiTheme="majorHAnsi"/>
          <w:sz w:val="20"/>
          <w:szCs w:val="20"/>
          <w:lang w:val="es-UY"/>
        </w:rPr>
        <w:t>la falta de agotamiento de los recursos internos</w:t>
      </w:r>
      <w:r w:rsidR="00617C7B" w:rsidRPr="00F56534">
        <w:rPr>
          <w:rFonts w:asciiTheme="majorHAnsi" w:hAnsiTheme="majorHAnsi"/>
          <w:sz w:val="20"/>
          <w:szCs w:val="20"/>
          <w:lang w:val="es-UY"/>
        </w:rPr>
        <w:t xml:space="preserve"> en materia penal, y la cuarta instancia respecto del aspecto de reparaciones</w:t>
      </w:r>
      <w:r w:rsidRPr="0063685A">
        <w:rPr>
          <w:rFonts w:asciiTheme="majorHAnsi" w:hAnsiTheme="majorHAnsi"/>
          <w:sz w:val="20"/>
          <w:szCs w:val="20"/>
          <w:lang w:val="es-UY"/>
        </w:rPr>
        <w:t>, la petición es inadmisible y solicita a la CIDH que así lo declare.</w:t>
      </w:r>
    </w:p>
    <w:p w:rsidR="00AD528E" w:rsidRPr="0063685A" w:rsidRDefault="00AD528E" w:rsidP="00AD52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rsidR="0063685A" w:rsidRDefault="0063685A" w:rsidP="00AD528E">
      <w:pPr>
        <w:ind w:firstLine="720"/>
        <w:jc w:val="both"/>
        <w:rPr>
          <w:rFonts w:asciiTheme="majorHAnsi" w:hAnsiTheme="majorHAnsi"/>
          <w:b/>
          <w:bCs/>
          <w:sz w:val="20"/>
          <w:szCs w:val="20"/>
          <w:lang w:val="es-UY"/>
        </w:rPr>
      </w:pPr>
      <w:r w:rsidRPr="0063685A">
        <w:rPr>
          <w:rFonts w:asciiTheme="majorHAnsi" w:hAnsiTheme="majorHAnsi"/>
          <w:b/>
          <w:bCs/>
          <w:sz w:val="20"/>
          <w:szCs w:val="20"/>
          <w:lang w:val="es-UY"/>
        </w:rPr>
        <w:t>IV.</w:t>
      </w:r>
      <w:r w:rsidRPr="0063685A">
        <w:rPr>
          <w:rFonts w:asciiTheme="majorHAnsi" w:hAnsiTheme="majorHAnsi"/>
          <w:b/>
          <w:bCs/>
          <w:sz w:val="20"/>
          <w:szCs w:val="20"/>
          <w:lang w:val="es-UY"/>
        </w:rPr>
        <w:tab/>
        <w:t>ANÁLISIS SOBRE COMPETENCIA Y ADMISIBILIDAD</w:t>
      </w:r>
    </w:p>
    <w:p w:rsidR="00AD528E" w:rsidRPr="0063685A" w:rsidRDefault="00AD528E" w:rsidP="00AD528E">
      <w:pPr>
        <w:ind w:firstLine="720"/>
        <w:jc w:val="both"/>
        <w:rPr>
          <w:rFonts w:asciiTheme="majorHAnsi" w:hAnsiTheme="majorHAnsi"/>
          <w:b/>
          <w:bCs/>
          <w:sz w:val="20"/>
          <w:szCs w:val="20"/>
          <w:lang w:val="es-UY"/>
        </w:rPr>
      </w:pPr>
    </w:p>
    <w:p w:rsidR="0063685A" w:rsidRPr="00AD528E" w:rsidRDefault="00AD528E" w:rsidP="00AD528E">
      <w:pPr>
        <w:pStyle w:val="ListParagraph"/>
        <w:numPr>
          <w:ilvl w:val="0"/>
          <w:numId w:val="60"/>
        </w:numPr>
        <w:jc w:val="both"/>
        <w:rPr>
          <w:rFonts w:asciiTheme="majorHAnsi" w:hAnsiTheme="majorHAnsi"/>
          <w:b/>
          <w:bCs/>
          <w:sz w:val="20"/>
          <w:szCs w:val="20"/>
          <w:lang w:val="es-UY"/>
        </w:rPr>
      </w:pPr>
      <w:r w:rsidRPr="00AD528E">
        <w:rPr>
          <w:rFonts w:asciiTheme="majorHAnsi" w:hAnsiTheme="majorHAnsi"/>
          <w:b/>
          <w:bCs/>
          <w:sz w:val="20"/>
          <w:szCs w:val="20"/>
          <w:lang w:val="es-UY"/>
        </w:rPr>
        <w:t>Competencia</w:t>
      </w:r>
    </w:p>
    <w:p w:rsidR="00AD528E" w:rsidRPr="00AD528E" w:rsidRDefault="00AD528E" w:rsidP="00AD528E">
      <w:pPr>
        <w:jc w:val="both"/>
        <w:rPr>
          <w:rFonts w:asciiTheme="majorHAnsi" w:hAnsiTheme="majorHAnsi"/>
          <w:sz w:val="20"/>
          <w:szCs w:val="20"/>
          <w:lang w:val="es-UY"/>
        </w:rPr>
      </w:pPr>
    </w:p>
    <w:p w:rsidR="0063685A" w:rsidRDefault="008C2961" w:rsidP="00AD528E">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r>
        <w:rPr>
          <w:rFonts w:asciiTheme="majorHAnsi" w:eastAsia="SimSun" w:hAnsiTheme="majorHAnsi"/>
          <w:sz w:val="20"/>
          <w:szCs w:val="20"/>
          <w:lang w:val="es-UY"/>
        </w:rPr>
        <w:t>Los</w:t>
      </w:r>
      <w:r w:rsidR="0063685A" w:rsidRPr="0063685A">
        <w:rPr>
          <w:rFonts w:asciiTheme="majorHAnsi" w:eastAsia="SimSun" w:hAnsiTheme="majorHAnsi"/>
          <w:sz w:val="20"/>
          <w:szCs w:val="20"/>
          <w:lang w:val="es-UY"/>
        </w:rPr>
        <w:t xml:space="preserve"> peticionario</w:t>
      </w:r>
      <w:r>
        <w:rPr>
          <w:rFonts w:asciiTheme="majorHAnsi" w:eastAsia="SimSun" w:hAnsiTheme="majorHAnsi"/>
          <w:sz w:val="20"/>
          <w:szCs w:val="20"/>
          <w:lang w:val="es-UY"/>
        </w:rPr>
        <w:t>s</w:t>
      </w:r>
      <w:r w:rsidR="0063685A" w:rsidRPr="0063685A">
        <w:rPr>
          <w:rFonts w:asciiTheme="majorHAnsi" w:eastAsia="SimSun" w:hAnsiTheme="majorHAnsi"/>
          <w:sz w:val="20"/>
          <w:szCs w:val="20"/>
          <w:lang w:val="es-UY"/>
        </w:rPr>
        <w:t xml:space="preserve"> se encuentra</w:t>
      </w:r>
      <w:r>
        <w:rPr>
          <w:rFonts w:asciiTheme="majorHAnsi" w:eastAsia="SimSun" w:hAnsiTheme="majorHAnsi"/>
          <w:sz w:val="20"/>
          <w:szCs w:val="20"/>
          <w:lang w:val="es-UY"/>
        </w:rPr>
        <w:t>n</w:t>
      </w:r>
      <w:r w:rsidR="0063685A" w:rsidRPr="0063685A">
        <w:rPr>
          <w:rFonts w:asciiTheme="majorHAnsi" w:eastAsia="SimSun" w:hAnsiTheme="majorHAnsi"/>
          <w:sz w:val="20"/>
          <w:szCs w:val="20"/>
          <w:lang w:val="es-UY"/>
        </w:rPr>
        <w:t xml:space="preserve"> facultado</w:t>
      </w:r>
      <w:r>
        <w:rPr>
          <w:rFonts w:asciiTheme="majorHAnsi" w:eastAsia="SimSun" w:hAnsiTheme="majorHAnsi"/>
          <w:sz w:val="20"/>
          <w:szCs w:val="20"/>
          <w:lang w:val="es-UY"/>
        </w:rPr>
        <w:t>s</w:t>
      </w:r>
      <w:r w:rsidR="0063685A" w:rsidRPr="0063685A">
        <w:rPr>
          <w:rFonts w:asciiTheme="majorHAnsi" w:eastAsia="SimSun" w:hAnsiTheme="majorHAnsi"/>
          <w:sz w:val="20"/>
          <w:szCs w:val="20"/>
          <w:lang w:val="es-UY"/>
        </w:rPr>
        <w:t>, en principio, por el artículo 44 de la Convención Americana para presentar peticiones ante la Comisión. La petición señala como presunta</w:t>
      </w:r>
      <w:r w:rsidR="0077269F">
        <w:rPr>
          <w:rFonts w:asciiTheme="majorHAnsi" w:eastAsia="SimSun" w:hAnsiTheme="majorHAnsi"/>
          <w:sz w:val="20"/>
          <w:szCs w:val="20"/>
          <w:lang w:val="es-UY"/>
        </w:rPr>
        <w:t>s</w:t>
      </w:r>
      <w:r w:rsidR="0063685A" w:rsidRPr="0063685A">
        <w:rPr>
          <w:rFonts w:asciiTheme="majorHAnsi" w:eastAsia="SimSun" w:hAnsiTheme="majorHAnsi"/>
          <w:sz w:val="20"/>
          <w:szCs w:val="20"/>
          <w:lang w:val="es-UY"/>
        </w:rPr>
        <w:t xml:space="preserve"> víctima</w:t>
      </w:r>
      <w:r w:rsidR="0077269F">
        <w:rPr>
          <w:rFonts w:asciiTheme="majorHAnsi" w:eastAsia="SimSun" w:hAnsiTheme="majorHAnsi"/>
          <w:sz w:val="20"/>
          <w:szCs w:val="20"/>
          <w:lang w:val="es-UY"/>
        </w:rPr>
        <w:t>s a</w:t>
      </w:r>
      <w:r w:rsidR="0063685A" w:rsidRPr="0063685A">
        <w:rPr>
          <w:rFonts w:asciiTheme="majorHAnsi" w:eastAsia="SimSun" w:hAnsiTheme="majorHAnsi"/>
          <w:sz w:val="20"/>
          <w:szCs w:val="20"/>
          <w:lang w:val="es-UY"/>
        </w:rPr>
        <w:t xml:space="preserve"> persona</w:t>
      </w:r>
      <w:r w:rsidR="0077269F">
        <w:rPr>
          <w:rFonts w:asciiTheme="majorHAnsi" w:eastAsia="SimSun" w:hAnsiTheme="majorHAnsi"/>
          <w:sz w:val="20"/>
          <w:szCs w:val="20"/>
          <w:lang w:val="es-UY"/>
        </w:rPr>
        <w:t>s</w:t>
      </w:r>
      <w:r w:rsidR="0063685A" w:rsidRPr="0063685A">
        <w:rPr>
          <w:rFonts w:asciiTheme="majorHAnsi" w:eastAsia="SimSun" w:hAnsiTheme="majorHAnsi"/>
          <w:sz w:val="20"/>
          <w:szCs w:val="20"/>
          <w:lang w:val="es-UY"/>
        </w:rPr>
        <w:t xml:space="preserve"> individual</w:t>
      </w:r>
      <w:r w:rsidR="0077269F">
        <w:rPr>
          <w:rFonts w:asciiTheme="majorHAnsi" w:eastAsia="SimSun" w:hAnsiTheme="majorHAnsi"/>
          <w:sz w:val="20"/>
          <w:szCs w:val="20"/>
          <w:lang w:val="es-UY"/>
        </w:rPr>
        <w:t>es</w:t>
      </w:r>
      <w:r w:rsidR="0063685A" w:rsidRPr="0063685A">
        <w:rPr>
          <w:rFonts w:asciiTheme="majorHAnsi" w:eastAsia="SimSun" w:hAnsiTheme="majorHAnsi"/>
          <w:sz w:val="20"/>
          <w:szCs w:val="20"/>
          <w:lang w:val="es-UY"/>
        </w:rPr>
        <w:t>, respecto de quien</w:t>
      </w:r>
      <w:r w:rsidR="0077269F">
        <w:rPr>
          <w:rFonts w:asciiTheme="majorHAnsi" w:eastAsia="SimSun" w:hAnsiTheme="majorHAnsi"/>
          <w:sz w:val="20"/>
          <w:szCs w:val="20"/>
          <w:lang w:val="es-UY"/>
        </w:rPr>
        <w:t>es</w:t>
      </w:r>
      <w:r w:rsidR="0063685A" w:rsidRPr="0063685A">
        <w:rPr>
          <w:rFonts w:asciiTheme="majorHAnsi" w:eastAsia="SimSun" w:hAnsiTheme="majorHAnsi"/>
          <w:sz w:val="20"/>
          <w:szCs w:val="20"/>
          <w:lang w:val="es-UY"/>
        </w:rPr>
        <w:t xml:space="preserve"> el Estado </w:t>
      </w:r>
      <w:r w:rsidR="0077269F">
        <w:rPr>
          <w:rFonts w:asciiTheme="majorHAnsi" w:eastAsia="SimSun" w:hAnsiTheme="majorHAnsi"/>
          <w:sz w:val="20"/>
          <w:szCs w:val="20"/>
          <w:lang w:val="es-UY"/>
        </w:rPr>
        <w:t xml:space="preserve">colombiano </w:t>
      </w:r>
      <w:r w:rsidR="0063685A" w:rsidRPr="0063685A">
        <w:rPr>
          <w:rFonts w:asciiTheme="majorHAnsi" w:eastAsia="SimSun" w:hAnsiTheme="majorHAnsi"/>
          <w:sz w:val="20"/>
          <w:szCs w:val="20"/>
          <w:lang w:val="es-UY"/>
        </w:rPr>
        <w:t xml:space="preserve">se comprometió a respetar y garantizar los derechos consagrados en la Convención Americana. En lo concerniente al Estado, la Comisión señala que </w:t>
      </w:r>
      <w:r w:rsidR="0077269F">
        <w:rPr>
          <w:rFonts w:asciiTheme="majorHAnsi" w:eastAsia="SimSun" w:hAnsiTheme="majorHAnsi"/>
          <w:sz w:val="20"/>
          <w:szCs w:val="20"/>
          <w:lang w:val="es-UY"/>
        </w:rPr>
        <w:t>Colombia</w:t>
      </w:r>
      <w:r w:rsidR="0063685A" w:rsidRPr="0063685A">
        <w:rPr>
          <w:rFonts w:asciiTheme="majorHAnsi" w:eastAsia="SimSun" w:hAnsiTheme="majorHAnsi"/>
          <w:sz w:val="20"/>
          <w:szCs w:val="20"/>
          <w:lang w:val="es-UY"/>
        </w:rPr>
        <w:t xml:space="preserve"> es un Estado parte en la Convención Americana desde el </w:t>
      </w:r>
      <w:r w:rsidR="0077269F" w:rsidRPr="0077269F">
        <w:rPr>
          <w:rFonts w:asciiTheme="majorHAnsi" w:eastAsia="SimSun" w:hAnsiTheme="majorHAnsi"/>
          <w:sz w:val="20"/>
          <w:szCs w:val="20"/>
          <w:lang w:val="es-UY"/>
        </w:rPr>
        <w:t>31 de julio de 1973</w:t>
      </w:r>
      <w:r w:rsidR="0063685A" w:rsidRPr="0063685A">
        <w:rPr>
          <w:rFonts w:asciiTheme="majorHAnsi" w:eastAsia="SimSun" w:hAnsiTheme="majorHAnsi"/>
          <w:sz w:val="20"/>
          <w:szCs w:val="20"/>
          <w:lang w:val="es-UY"/>
        </w:rPr>
        <w:t xml:space="preserve">, fecha en la que depositó su instrumento de ratificación. Por lo tanto, la Comisión tiene competencia </w:t>
      </w:r>
      <w:r w:rsidR="0063685A" w:rsidRPr="0063685A">
        <w:rPr>
          <w:rFonts w:asciiTheme="majorHAnsi" w:eastAsia="SimSun" w:hAnsiTheme="majorHAnsi"/>
          <w:i/>
          <w:sz w:val="20"/>
          <w:szCs w:val="20"/>
          <w:lang w:val="es-UY"/>
        </w:rPr>
        <w:t>ratione personae</w:t>
      </w:r>
      <w:r w:rsidR="0063685A" w:rsidRPr="0063685A">
        <w:rPr>
          <w:rFonts w:asciiTheme="majorHAnsi" w:eastAsia="SimSun" w:hAnsiTheme="majorHAnsi"/>
          <w:sz w:val="20"/>
          <w:szCs w:val="20"/>
          <w:lang w:val="es-UY"/>
        </w:rPr>
        <w:t xml:space="preserve"> para examinar la petición. Asimismo, la Comisión tiene competencia </w:t>
      </w:r>
      <w:r w:rsidR="0063685A" w:rsidRPr="0063685A">
        <w:rPr>
          <w:rFonts w:asciiTheme="majorHAnsi" w:eastAsia="SimSun" w:hAnsiTheme="majorHAnsi"/>
          <w:i/>
          <w:sz w:val="20"/>
          <w:szCs w:val="20"/>
          <w:lang w:val="es-UY"/>
        </w:rPr>
        <w:t>ratione loci</w:t>
      </w:r>
      <w:r w:rsidR="0063685A" w:rsidRPr="0063685A">
        <w:rPr>
          <w:rFonts w:asciiTheme="majorHAnsi" w:eastAsia="SimSun" w:hAnsiTheme="majorHAnsi"/>
          <w:sz w:val="20"/>
          <w:szCs w:val="20"/>
          <w:lang w:val="es-UY"/>
        </w:rPr>
        <w:t xml:space="preserve"> para conocer la petición, por cuanto en ella se alegan violaciones de derechos protegidos en la Convención Americana que habrían tenido lugar dentro del territorio de </w:t>
      </w:r>
      <w:r w:rsidR="0077269F" w:rsidRPr="0077269F">
        <w:rPr>
          <w:rFonts w:asciiTheme="majorHAnsi" w:eastAsia="SimSun" w:hAnsiTheme="majorHAnsi"/>
          <w:sz w:val="20"/>
          <w:szCs w:val="20"/>
          <w:lang w:val="es-UY"/>
        </w:rPr>
        <w:t>Colombia</w:t>
      </w:r>
      <w:r w:rsidR="0063685A" w:rsidRPr="0063685A">
        <w:rPr>
          <w:rFonts w:asciiTheme="majorHAnsi" w:eastAsia="SimSun" w:hAnsiTheme="majorHAnsi"/>
          <w:sz w:val="20"/>
          <w:szCs w:val="20"/>
          <w:lang w:val="es-UY"/>
        </w:rPr>
        <w:t>, Estado Parte en dicho tratado. </w:t>
      </w:r>
    </w:p>
    <w:p w:rsidR="00547D7F" w:rsidRPr="0063685A" w:rsidRDefault="00547D7F" w:rsidP="00AD528E">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p>
    <w:p w:rsidR="0063685A" w:rsidRDefault="0063685A" w:rsidP="00AD528E">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r w:rsidRPr="0063685A">
        <w:rPr>
          <w:rFonts w:asciiTheme="majorHAnsi" w:eastAsia="SimSun" w:hAnsiTheme="majorHAnsi"/>
          <w:sz w:val="20"/>
          <w:szCs w:val="20"/>
          <w:lang w:val="es-UY"/>
        </w:rPr>
        <w:t xml:space="preserve">La Comisión tiene competencia </w:t>
      </w:r>
      <w:r w:rsidRPr="0063685A">
        <w:rPr>
          <w:rFonts w:asciiTheme="majorHAnsi" w:eastAsia="SimSun" w:hAnsiTheme="majorHAnsi"/>
          <w:i/>
          <w:sz w:val="20"/>
          <w:szCs w:val="20"/>
          <w:lang w:val="es-UY"/>
        </w:rPr>
        <w:t>ratione temporis</w:t>
      </w:r>
      <w:r w:rsidRPr="0063685A">
        <w:rPr>
          <w:rFonts w:asciiTheme="majorHAnsi" w:eastAsia="SimSun" w:hAnsiTheme="majorHAnsi"/>
          <w:sz w:val="20"/>
          <w:szCs w:val="20"/>
          <w:lang w:val="es-UY"/>
        </w:rPr>
        <w:t xml:space="preserve"> por cuanto la obligación de respetar y garantizar los derechos protegidos en la Convención Americana ya se encontraba en vigor para el Estado en la fecha en que habrían ocurrido los hechos alegados en la petición. Finalmente, la Comisión tiene competencia </w:t>
      </w:r>
      <w:r w:rsidRPr="0063685A">
        <w:rPr>
          <w:rFonts w:asciiTheme="majorHAnsi" w:eastAsia="SimSun" w:hAnsiTheme="majorHAnsi"/>
          <w:i/>
          <w:sz w:val="20"/>
          <w:szCs w:val="20"/>
          <w:lang w:val="es-UY"/>
        </w:rPr>
        <w:t>ratione materiae</w:t>
      </w:r>
      <w:r w:rsidRPr="0063685A">
        <w:rPr>
          <w:rFonts w:asciiTheme="majorHAnsi" w:eastAsia="SimSun" w:hAnsiTheme="majorHAnsi"/>
          <w:sz w:val="20"/>
          <w:szCs w:val="20"/>
          <w:lang w:val="es-UY"/>
        </w:rPr>
        <w:t xml:space="preserve">, </w:t>
      </w:r>
      <w:r w:rsidR="00D110D7">
        <w:rPr>
          <w:rFonts w:asciiTheme="majorHAnsi" w:eastAsia="SimSun" w:hAnsiTheme="majorHAnsi"/>
          <w:sz w:val="20"/>
          <w:szCs w:val="20"/>
          <w:lang w:val="es-UY"/>
        </w:rPr>
        <w:t>dado que</w:t>
      </w:r>
      <w:r w:rsidRPr="0063685A">
        <w:rPr>
          <w:rFonts w:asciiTheme="majorHAnsi" w:eastAsia="SimSun" w:hAnsiTheme="majorHAnsi"/>
          <w:sz w:val="20"/>
          <w:szCs w:val="20"/>
          <w:lang w:val="es-UY"/>
        </w:rPr>
        <w:t xml:space="preserve"> en la petición se denuncian posibles violaciones a derechos humanos protegidos por la Convención Americana.</w:t>
      </w:r>
    </w:p>
    <w:p w:rsidR="00547D7F" w:rsidRPr="0063685A" w:rsidRDefault="00547D7F" w:rsidP="00AD528E">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p>
    <w:p w:rsidR="0063685A" w:rsidRDefault="0063685A" w:rsidP="00AD528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sz w:val="20"/>
          <w:szCs w:val="20"/>
          <w:lang w:val="es-UY"/>
        </w:rPr>
      </w:pPr>
      <w:r w:rsidRPr="0063685A">
        <w:rPr>
          <w:rFonts w:asciiTheme="majorHAnsi" w:hAnsiTheme="majorHAnsi"/>
          <w:b/>
          <w:bCs/>
          <w:sz w:val="20"/>
          <w:szCs w:val="20"/>
          <w:lang w:val="es-UY"/>
        </w:rPr>
        <w:t xml:space="preserve">Requisitos de </w:t>
      </w:r>
      <w:r w:rsidRPr="0063685A">
        <w:rPr>
          <w:rFonts w:asciiTheme="majorHAnsi" w:hAnsiTheme="majorHAnsi"/>
          <w:b/>
          <w:sz w:val="20"/>
          <w:szCs w:val="20"/>
          <w:lang w:val="es-UY"/>
        </w:rPr>
        <w:t>Admisibilidad</w:t>
      </w:r>
    </w:p>
    <w:p w:rsidR="00AD528E" w:rsidRPr="0063685A" w:rsidRDefault="00AD528E" w:rsidP="00AD528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sz w:val="20"/>
          <w:szCs w:val="20"/>
          <w:lang w:val="es-UY"/>
        </w:rPr>
      </w:pPr>
    </w:p>
    <w:p w:rsidR="0063685A" w:rsidRDefault="0063685A" w:rsidP="00AD528E">
      <w:pPr>
        <w:ind w:firstLine="720"/>
        <w:jc w:val="both"/>
        <w:rPr>
          <w:rFonts w:asciiTheme="majorHAnsi" w:hAnsiTheme="majorHAnsi"/>
          <w:b/>
          <w:sz w:val="20"/>
          <w:szCs w:val="20"/>
          <w:lang w:val="es-UY"/>
        </w:rPr>
      </w:pPr>
      <w:r w:rsidRPr="0063685A">
        <w:rPr>
          <w:rFonts w:asciiTheme="majorHAnsi" w:hAnsiTheme="majorHAnsi"/>
          <w:b/>
          <w:sz w:val="20"/>
          <w:szCs w:val="20"/>
          <w:lang w:val="es-UY"/>
        </w:rPr>
        <w:t>1.</w:t>
      </w:r>
      <w:r w:rsidRPr="0063685A">
        <w:rPr>
          <w:rFonts w:asciiTheme="majorHAnsi" w:hAnsiTheme="majorHAnsi"/>
          <w:b/>
          <w:sz w:val="20"/>
          <w:szCs w:val="20"/>
          <w:lang w:val="es-UY"/>
        </w:rPr>
        <w:tab/>
        <w:t>Agotamiento de los recursos internos</w:t>
      </w:r>
    </w:p>
    <w:p w:rsidR="00AD528E" w:rsidRPr="0063685A" w:rsidRDefault="00AD528E" w:rsidP="00AD528E">
      <w:pPr>
        <w:ind w:firstLine="720"/>
        <w:jc w:val="both"/>
        <w:rPr>
          <w:rFonts w:asciiTheme="majorHAnsi" w:hAnsiTheme="majorHAnsi"/>
          <w:b/>
          <w:sz w:val="20"/>
          <w:szCs w:val="20"/>
          <w:lang w:val="es-UY"/>
        </w:rPr>
      </w:pPr>
    </w:p>
    <w:p w:rsidR="0063685A" w:rsidRPr="00547D7F" w:rsidRDefault="008422FF" w:rsidP="00AD52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sz w:val="20"/>
          <w:szCs w:val="20"/>
          <w:lang w:val="es-UY"/>
        </w:rPr>
      </w:pPr>
      <w:r>
        <w:rPr>
          <w:rFonts w:asciiTheme="majorHAnsi" w:hAnsiTheme="majorHAnsi" w:cs="Arial"/>
          <w:sz w:val="20"/>
          <w:szCs w:val="20"/>
          <w:lang w:val="es-PE"/>
        </w:rPr>
        <w:t>El artículo 46.1.a</w:t>
      </w:r>
      <w:r w:rsidR="0063685A" w:rsidRPr="0063685A">
        <w:rPr>
          <w:rFonts w:asciiTheme="majorHAnsi" w:hAnsiTheme="majorHAnsi" w:cs="Arial"/>
          <w:sz w:val="20"/>
          <w:szCs w:val="20"/>
          <w:lang w:val="es-PE"/>
        </w:rPr>
        <w:t xml:space="preserve"> de la Convención Americana exige el previo agotamiento de los recursos disponibles en la jurisdicción interna conforme a los principios de derecho internacional generalmente reconocidos, como requisito para la admisión de reclamos sobre la presunta violación de la Convención Americana.</w:t>
      </w:r>
      <w:r w:rsidR="009051ED">
        <w:rPr>
          <w:rFonts w:asciiTheme="majorHAnsi" w:hAnsiTheme="majorHAnsi" w:cs="Arial"/>
          <w:sz w:val="20"/>
          <w:szCs w:val="20"/>
          <w:lang w:val="es-PE"/>
        </w:rPr>
        <w:t xml:space="preserve"> </w:t>
      </w:r>
      <w:r w:rsidR="0063685A" w:rsidRPr="0063685A">
        <w:rPr>
          <w:rFonts w:asciiTheme="majorHAnsi" w:hAnsiTheme="majorHAnsi"/>
          <w:sz w:val="20"/>
          <w:szCs w:val="20"/>
          <w:lang w:val="es-UY"/>
        </w:rPr>
        <w:t xml:space="preserve">Este requisito tiene como objeto permitir que las autoridades nacionales conozcan sobre la supuesta violación de un derecho protegido y, de ser apropiado, </w:t>
      </w:r>
      <w:r w:rsidR="00485810">
        <w:rPr>
          <w:rFonts w:asciiTheme="majorHAnsi" w:hAnsiTheme="majorHAnsi"/>
          <w:sz w:val="20"/>
          <w:szCs w:val="20"/>
          <w:lang w:val="es-UY"/>
        </w:rPr>
        <w:t>solucionen la situación</w:t>
      </w:r>
      <w:r w:rsidR="0063685A" w:rsidRPr="0063685A">
        <w:rPr>
          <w:rFonts w:asciiTheme="majorHAnsi" w:hAnsiTheme="majorHAnsi"/>
          <w:sz w:val="20"/>
          <w:szCs w:val="20"/>
          <w:lang w:val="es-UY"/>
        </w:rPr>
        <w:t xml:space="preserve"> antes de que sea conocida por una instancia internacional. </w:t>
      </w:r>
      <w:r w:rsidR="0063685A" w:rsidRPr="00D277F8">
        <w:rPr>
          <w:rFonts w:asciiTheme="majorHAnsi" w:hAnsiTheme="majorHAnsi"/>
          <w:sz w:val="20"/>
          <w:szCs w:val="20"/>
          <w:lang w:val="es-UY"/>
        </w:rPr>
        <w:t>Por su parte, el artículo 46</w:t>
      </w:r>
      <w:r>
        <w:rPr>
          <w:rFonts w:asciiTheme="majorHAnsi" w:hAnsiTheme="majorHAnsi"/>
          <w:sz w:val="20"/>
          <w:szCs w:val="20"/>
          <w:lang w:val="es-UY"/>
        </w:rPr>
        <w:t>.2</w:t>
      </w:r>
      <w:r w:rsidR="0063685A" w:rsidRPr="00D277F8">
        <w:rPr>
          <w:rFonts w:asciiTheme="majorHAnsi" w:hAnsiTheme="majorHAnsi"/>
          <w:sz w:val="20"/>
          <w:szCs w:val="20"/>
          <w:lang w:val="es-UY"/>
        </w:rPr>
        <w:t xml:space="preserve"> de la Convención prevé que el requisito de previo agotamiento de los recursos internos no resulta aplicable cuando (i) no exista en la legislación interna del Estado de que se trata el debido proceso legal para la protección del derecho o derechos que se alega han sido violados; (ii) no se haya permitido al presunto lesionado en sus derechos el acceso a los recursos a la jurisdicción interna, o haya sido impedido de agotarlos; o (iii) haya retardo injustificado en la decisión sobre los mencionados recursos.</w:t>
      </w:r>
      <w:r w:rsidR="0063685A" w:rsidRPr="00485810">
        <w:rPr>
          <w:rFonts w:asciiTheme="majorHAnsi" w:hAnsiTheme="majorHAnsi"/>
          <w:color w:val="FF0000"/>
          <w:sz w:val="20"/>
          <w:szCs w:val="20"/>
          <w:lang w:val="es-UY"/>
        </w:rPr>
        <w:t xml:space="preserve"> </w:t>
      </w:r>
    </w:p>
    <w:p w:rsidR="00547D7F" w:rsidRPr="00485810" w:rsidRDefault="00547D7F" w:rsidP="00AD52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sz w:val="20"/>
          <w:szCs w:val="20"/>
          <w:lang w:val="es-UY"/>
        </w:rPr>
      </w:pPr>
    </w:p>
    <w:p w:rsidR="00DD570C" w:rsidRDefault="00A62C64" w:rsidP="00AD52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Pr>
          <w:rFonts w:asciiTheme="majorHAnsi" w:hAnsiTheme="majorHAnsi"/>
          <w:sz w:val="20"/>
          <w:szCs w:val="20"/>
          <w:lang w:val="es-UY"/>
        </w:rPr>
        <w:t>Los</w:t>
      </w:r>
      <w:r w:rsidR="0063685A" w:rsidRPr="0063685A">
        <w:rPr>
          <w:rFonts w:asciiTheme="majorHAnsi" w:hAnsiTheme="majorHAnsi"/>
          <w:sz w:val="20"/>
          <w:szCs w:val="20"/>
          <w:lang w:val="es-UY"/>
        </w:rPr>
        <w:t xml:space="preserve"> peticionario</w:t>
      </w:r>
      <w:r>
        <w:rPr>
          <w:rFonts w:asciiTheme="majorHAnsi" w:hAnsiTheme="majorHAnsi"/>
          <w:sz w:val="20"/>
          <w:szCs w:val="20"/>
          <w:lang w:val="es-UY"/>
        </w:rPr>
        <w:t>s</w:t>
      </w:r>
      <w:r w:rsidR="0063685A" w:rsidRPr="0063685A">
        <w:rPr>
          <w:rFonts w:asciiTheme="majorHAnsi" w:hAnsiTheme="majorHAnsi"/>
          <w:sz w:val="20"/>
          <w:szCs w:val="20"/>
          <w:lang w:val="es-UY"/>
        </w:rPr>
        <w:t xml:space="preserve"> aleg</w:t>
      </w:r>
      <w:r>
        <w:rPr>
          <w:rFonts w:asciiTheme="majorHAnsi" w:hAnsiTheme="majorHAnsi"/>
          <w:sz w:val="20"/>
          <w:szCs w:val="20"/>
          <w:lang w:val="es-UY"/>
        </w:rPr>
        <w:t>aron en su denuncia original</w:t>
      </w:r>
      <w:r w:rsidR="00097050">
        <w:rPr>
          <w:rFonts w:asciiTheme="majorHAnsi" w:hAnsiTheme="majorHAnsi"/>
          <w:sz w:val="20"/>
          <w:szCs w:val="20"/>
          <w:lang w:val="es-UY"/>
        </w:rPr>
        <w:t xml:space="preserve"> </w:t>
      </w:r>
      <w:r w:rsidR="0063685A" w:rsidRPr="0063685A">
        <w:rPr>
          <w:rFonts w:asciiTheme="majorHAnsi" w:hAnsiTheme="majorHAnsi"/>
          <w:sz w:val="20"/>
          <w:szCs w:val="20"/>
          <w:lang w:val="es-UY"/>
        </w:rPr>
        <w:t>que</w:t>
      </w:r>
      <w:r w:rsidR="00097050">
        <w:rPr>
          <w:rFonts w:asciiTheme="majorHAnsi" w:hAnsiTheme="majorHAnsi"/>
          <w:sz w:val="20"/>
          <w:szCs w:val="20"/>
          <w:lang w:val="es-UY"/>
        </w:rPr>
        <w:t xml:space="preserve"> existían dos excepciones </w:t>
      </w:r>
      <w:r w:rsidR="00DD265A">
        <w:rPr>
          <w:rFonts w:asciiTheme="majorHAnsi" w:hAnsiTheme="majorHAnsi"/>
          <w:sz w:val="20"/>
          <w:szCs w:val="20"/>
          <w:lang w:val="es-UY"/>
        </w:rPr>
        <w:t xml:space="preserve">aplicables </w:t>
      </w:r>
      <w:r w:rsidR="00097050">
        <w:rPr>
          <w:rFonts w:asciiTheme="majorHAnsi" w:hAnsiTheme="majorHAnsi"/>
          <w:sz w:val="20"/>
          <w:szCs w:val="20"/>
          <w:lang w:val="es-UY"/>
        </w:rPr>
        <w:t>al agotamiento, respecto del artículo 46.2 l</w:t>
      </w:r>
      <w:r w:rsidR="006427C4">
        <w:rPr>
          <w:rFonts w:asciiTheme="majorHAnsi" w:hAnsiTheme="majorHAnsi"/>
          <w:sz w:val="20"/>
          <w:szCs w:val="20"/>
          <w:lang w:val="es-UY"/>
        </w:rPr>
        <w:t>etras a) y c) de la CADH, en cuanto</w:t>
      </w:r>
      <w:r w:rsidR="00097050">
        <w:rPr>
          <w:rFonts w:asciiTheme="majorHAnsi" w:hAnsiTheme="majorHAnsi"/>
          <w:sz w:val="20"/>
          <w:szCs w:val="20"/>
          <w:lang w:val="es-UY"/>
        </w:rPr>
        <w:t xml:space="preserve"> </w:t>
      </w:r>
      <w:r w:rsidR="00DD265A">
        <w:rPr>
          <w:rFonts w:asciiTheme="majorHAnsi" w:hAnsiTheme="majorHAnsi"/>
          <w:sz w:val="20"/>
          <w:szCs w:val="20"/>
          <w:lang w:val="es-UY"/>
        </w:rPr>
        <w:t xml:space="preserve">inicialmente, </w:t>
      </w:r>
      <w:r w:rsidR="00097050">
        <w:rPr>
          <w:rFonts w:asciiTheme="majorHAnsi" w:hAnsiTheme="majorHAnsi"/>
          <w:sz w:val="20"/>
          <w:szCs w:val="20"/>
          <w:lang w:val="es-UY"/>
        </w:rPr>
        <w:t xml:space="preserve">se encontraba conociendo del asunto la justicia </w:t>
      </w:r>
      <w:r w:rsidR="00DD265A">
        <w:rPr>
          <w:rFonts w:asciiTheme="majorHAnsi" w:hAnsiTheme="majorHAnsi"/>
          <w:sz w:val="20"/>
          <w:szCs w:val="20"/>
          <w:lang w:val="es-UY"/>
        </w:rPr>
        <w:t>militar, y</w:t>
      </w:r>
      <w:r w:rsidR="006427C4">
        <w:rPr>
          <w:rFonts w:asciiTheme="majorHAnsi" w:hAnsiTheme="majorHAnsi"/>
          <w:sz w:val="20"/>
          <w:szCs w:val="20"/>
          <w:lang w:val="es-UY"/>
        </w:rPr>
        <w:t xml:space="preserve"> en tanto existía un retardo injustificado en el proceso penal. </w:t>
      </w:r>
      <w:r w:rsidR="00097050">
        <w:rPr>
          <w:rFonts w:asciiTheme="majorHAnsi" w:hAnsiTheme="majorHAnsi"/>
          <w:sz w:val="20"/>
          <w:szCs w:val="20"/>
          <w:lang w:val="es-UY"/>
        </w:rPr>
        <w:t xml:space="preserve">Posteriormente, mediante escrito de fecha 16 de septiembre de 2014 </w:t>
      </w:r>
      <w:r w:rsidR="00DD265A">
        <w:rPr>
          <w:rFonts w:asciiTheme="majorHAnsi" w:hAnsiTheme="majorHAnsi"/>
          <w:sz w:val="20"/>
          <w:szCs w:val="20"/>
          <w:lang w:val="es-UY"/>
        </w:rPr>
        <w:t>enfatizaron</w:t>
      </w:r>
      <w:r w:rsidR="00124674">
        <w:rPr>
          <w:rFonts w:asciiTheme="majorHAnsi" w:hAnsiTheme="majorHAnsi"/>
          <w:sz w:val="20"/>
          <w:szCs w:val="20"/>
          <w:lang w:val="es-UY"/>
        </w:rPr>
        <w:t xml:space="preserve"> que existía un retardo injustificado en materia penal,</w:t>
      </w:r>
      <w:r w:rsidR="009051ED">
        <w:rPr>
          <w:rFonts w:asciiTheme="majorHAnsi" w:hAnsiTheme="majorHAnsi"/>
          <w:sz w:val="20"/>
          <w:szCs w:val="20"/>
          <w:lang w:val="es-UY"/>
        </w:rPr>
        <w:t xml:space="preserve"> </w:t>
      </w:r>
      <w:r w:rsidR="00124674">
        <w:rPr>
          <w:rFonts w:asciiTheme="majorHAnsi" w:hAnsiTheme="majorHAnsi"/>
          <w:sz w:val="20"/>
          <w:szCs w:val="20"/>
          <w:lang w:val="es-UY"/>
        </w:rPr>
        <w:t>puesto que habían transcurrido más de 8 años sin que se hubiese proferido sentencia</w:t>
      </w:r>
      <w:r w:rsidR="0063685A" w:rsidRPr="0063685A">
        <w:rPr>
          <w:rFonts w:asciiTheme="majorHAnsi" w:hAnsiTheme="majorHAnsi"/>
          <w:sz w:val="20"/>
          <w:szCs w:val="20"/>
          <w:lang w:val="es-UY"/>
        </w:rPr>
        <w:t xml:space="preserve">. Por </w:t>
      </w:r>
      <w:r w:rsidR="00715982">
        <w:rPr>
          <w:rFonts w:asciiTheme="majorHAnsi" w:hAnsiTheme="majorHAnsi"/>
          <w:sz w:val="20"/>
          <w:szCs w:val="20"/>
          <w:lang w:val="es-UY"/>
        </w:rPr>
        <w:t>su parte el Estado indicó</w:t>
      </w:r>
      <w:r w:rsidR="00124674">
        <w:rPr>
          <w:rFonts w:asciiTheme="majorHAnsi" w:hAnsiTheme="majorHAnsi"/>
          <w:sz w:val="20"/>
          <w:szCs w:val="20"/>
          <w:lang w:val="es-UY"/>
        </w:rPr>
        <w:t xml:space="preserve"> que existiría falta de agotamiento d</w:t>
      </w:r>
      <w:r w:rsidR="00EF279B">
        <w:rPr>
          <w:rFonts w:asciiTheme="majorHAnsi" w:hAnsiTheme="majorHAnsi"/>
          <w:sz w:val="20"/>
          <w:szCs w:val="20"/>
          <w:lang w:val="es-UY"/>
        </w:rPr>
        <w:t>e los recursos internos, y alegó</w:t>
      </w:r>
      <w:r w:rsidR="00124674">
        <w:rPr>
          <w:rFonts w:asciiTheme="majorHAnsi" w:hAnsiTheme="majorHAnsi"/>
          <w:sz w:val="20"/>
          <w:szCs w:val="20"/>
          <w:lang w:val="es-UY"/>
        </w:rPr>
        <w:t xml:space="preserve"> la improcedencia de las excepciones contempladas en artículo 46.2 letras a) y c) de la CADH, puesto que </w:t>
      </w:r>
      <w:r w:rsidR="00124674">
        <w:rPr>
          <w:rFonts w:asciiTheme="majorHAnsi" w:hAnsiTheme="majorHAnsi"/>
          <w:sz w:val="20"/>
          <w:szCs w:val="20"/>
          <w:lang w:val="es-UY"/>
        </w:rPr>
        <w:lastRenderedPageBreak/>
        <w:t xml:space="preserve">respecto de la primera causal, se habría generado un conflicto de competencia, el que fue dirimido en favor de la justicia ordinaria, que sería la que conoce el proceso en la actualidad, y en cuanto a la última causal, </w:t>
      </w:r>
      <w:r w:rsidR="00424BF8" w:rsidRPr="00424BF8">
        <w:rPr>
          <w:rFonts w:asciiTheme="majorHAnsi" w:hAnsiTheme="majorHAnsi"/>
          <w:sz w:val="20"/>
          <w:szCs w:val="20"/>
          <w:lang w:val="es-UY"/>
        </w:rPr>
        <w:t xml:space="preserve">alegó </w:t>
      </w:r>
      <w:r w:rsidR="00124674">
        <w:rPr>
          <w:rFonts w:asciiTheme="majorHAnsi" w:hAnsiTheme="majorHAnsi"/>
          <w:sz w:val="20"/>
          <w:szCs w:val="20"/>
          <w:lang w:val="es-UY"/>
        </w:rPr>
        <w:t>que el proceso se estaría desarrollando dentro de un plazo razonable</w:t>
      </w:r>
      <w:r w:rsidR="002E78E9">
        <w:rPr>
          <w:rFonts w:asciiTheme="majorHAnsi" w:hAnsiTheme="majorHAnsi"/>
          <w:sz w:val="20"/>
          <w:szCs w:val="20"/>
          <w:lang w:val="es-UY"/>
        </w:rPr>
        <w:t>.</w:t>
      </w:r>
    </w:p>
    <w:p w:rsidR="00424BF8" w:rsidRDefault="00424BF8" w:rsidP="00AD52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UY"/>
        </w:rPr>
      </w:pPr>
    </w:p>
    <w:p w:rsidR="002E0A91" w:rsidRPr="00DD570C" w:rsidRDefault="00831155" w:rsidP="00AD52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DD570C">
        <w:rPr>
          <w:rFonts w:ascii="Cambria" w:hAnsi="Cambria"/>
          <w:sz w:val="20"/>
          <w:szCs w:val="20"/>
          <w:lang w:val="es-ES"/>
        </w:rPr>
        <w:t>Los precedentes establecidos por la Comisión señalan que, toda vez que se cometa un presunto delito perseguible de oficio, el Estado tiene la obligación de promover e impulsar el proceso penal y que, en esos casos, éste constituye la vía idónea para esclarecer los hechos, juzgar a los responsables y establecer las sanciones penales correspondientes, además de posibilitar otros modos de reparación de tipo pecuniario</w:t>
      </w:r>
      <w:r w:rsidR="002E0A91">
        <w:rPr>
          <w:rStyle w:val="FootnoteReference"/>
          <w:rFonts w:ascii="Cambria" w:hAnsi="Cambria"/>
          <w:sz w:val="20"/>
          <w:szCs w:val="20"/>
          <w:lang w:val="es-ES"/>
        </w:rPr>
        <w:footnoteReference w:id="3"/>
      </w:r>
      <w:r w:rsidRPr="00DD570C">
        <w:rPr>
          <w:rFonts w:ascii="Cambria" w:hAnsi="Cambria"/>
          <w:sz w:val="20"/>
          <w:szCs w:val="20"/>
          <w:lang w:val="es-ES"/>
        </w:rPr>
        <w:t>.</w:t>
      </w:r>
      <w:r w:rsidR="002E0A91" w:rsidRPr="00DD570C">
        <w:rPr>
          <w:rFonts w:ascii="Cambria" w:hAnsi="Cambria"/>
          <w:sz w:val="20"/>
          <w:szCs w:val="20"/>
          <w:lang w:val="es-ES"/>
        </w:rPr>
        <w:t xml:space="preserve"> </w:t>
      </w:r>
      <w:r w:rsidR="00715F0E" w:rsidRPr="00DD570C">
        <w:rPr>
          <w:rFonts w:asciiTheme="majorHAnsi" w:hAnsiTheme="majorHAnsi" w:cs="Calibri"/>
          <w:sz w:val="20"/>
          <w:szCs w:val="20"/>
          <w:lang w:val="es-ES"/>
        </w:rPr>
        <w:t>Por lo tanto, y e</w:t>
      </w:r>
      <w:r w:rsidR="00715F0E" w:rsidRPr="00DD570C">
        <w:rPr>
          <w:rFonts w:asciiTheme="majorHAnsi" w:hAnsiTheme="majorHAnsi"/>
          <w:color w:val="000000"/>
          <w:sz w:val="20"/>
          <w:szCs w:val="20"/>
          <w:lang w:val="es-ES"/>
        </w:rPr>
        <w:t>n vista de que los hechos alegados por los peticionarios constituyen delitos perseguibles de oficio, el proceso interno que debe ser agotado en el presente caso es la investigación en sede penal, la cual debe ser asumida e impulsada por el Estado.</w:t>
      </w:r>
    </w:p>
    <w:p w:rsidR="00DD570C" w:rsidRPr="00DD570C" w:rsidRDefault="00DD570C" w:rsidP="00AD52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rsidR="00DD570C" w:rsidRPr="000337E5" w:rsidRDefault="00DD570C" w:rsidP="00AD52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3D0327">
        <w:rPr>
          <w:rFonts w:ascii="Cambria" w:hAnsi="Cambria"/>
          <w:sz w:val="20"/>
          <w:szCs w:val="20"/>
          <w:lang w:val="es-ES"/>
        </w:rPr>
        <w:t>Respecto de la duración del proceso penal, la CIDH ya ha adoptado una dec</w:t>
      </w:r>
      <w:r w:rsidR="00E50AEB">
        <w:rPr>
          <w:rFonts w:ascii="Cambria" w:hAnsi="Cambria"/>
          <w:sz w:val="20"/>
          <w:szCs w:val="20"/>
          <w:lang w:val="es-ES"/>
        </w:rPr>
        <w:t>isión de admisibilidad sobre asuntos similares</w:t>
      </w:r>
      <w:r w:rsidRPr="003D0327">
        <w:rPr>
          <w:rFonts w:ascii="Cambria" w:hAnsi="Cambria"/>
          <w:sz w:val="20"/>
          <w:szCs w:val="20"/>
          <w:lang w:val="es-ES"/>
        </w:rPr>
        <w:t xml:space="preserve">, en el Informe 34/15 sobre la Petición 191-07, (Álvaro Enrique </w:t>
      </w:r>
      <w:r w:rsidR="00015DEE">
        <w:rPr>
          <w:rFonts w:ascii="Cambria" w:hAnsi="Cambria"/>
          <w:sz w:val="20"/>
          <w:szCs w:val="20"/>
          <w:lang w:val="es-ES"/>
        </w:rPr>
        <w:t>Rodríguez Buitrago y Otros), de</w:t>
      </w:r>
      <w:r w:rsidRPr="003D0327">
        <w:rPr>
          <w:rFonts w:ascii="Cambria" w:hAnsi="Cambria"/>
          <w:sz w:val="20"/>
          <w:szCs w:val="20"/>
          <w:lang w:val="es-ES"/>
        </w:rPr>
        <w:t xml:space="preserve"> 22 de julio de 2015. En aplicación de</w:t>
      </w:r>
      <w:r w:rsidR="00E50AEB">
        <w:rPr>
          <w:rFonts w:ascii="Cambria" w:hAnsi="Cambria"/>
          <w:sz w:val="20"/>
          <w:szCs w:val="20"/>
          <w:lang w:val="es-ES"/>
        </w:rPr>
        <w:t xml:space="preserve"> </w:t>
      </w:r>
      <w:r w:rsidR="008A1545">
        <w:rPr>
          <w:rFonts w:ascii="Cambria" w:hAnsi="Cambria"/>
          <w:sz w:val="20"/>
          <w:szCs w:val="20"/>
          <w:lang w:val="es-ES"/>
        </w:rPr>
        <w:t>dicha</w:t>
      </w:r>
      <w:r w:rsidR="00E50AEB">
        <w:rPr>
          <w:rFonts w:ascii="Cambria" w:hAnsi="Cambria"/>
          <w:sz w:val="20"/>
          <w:szCs w:val="20"/>
          <w:lang w:val="es-ES"/>
        </w:rPr>
        <w:t xml:space="preserve"> jurisprudencia</w:t>
      </w:r>
      <w:r w:rsidRPr="003D0327">
        <w:rPr>
          <w:rFonts w:ascii="Cambria" w:hAnsi="Cambria"/>
          <w:sz w:val="20"/>
          <w:szCs w:val="20"/>
          <w:lang w:val="es-ES"/>
        </w:rPr>
        <w:t>, la Comisió</w:t>
      </w:r>
      <w:r w:rsidR="00522545" w:rsidRPr="003D0327">
        <w:rPr>
          <w:rFonts w:ascii="Cambria" w:hAnsi="Cambria"/>
          <w:sz w:val="20"/>
          <w:szCs w:val="20"/>
          <w:lang w:val="es-ES"/>
        </w:rPr>
        <w:t xml:space="preserve">n Interamericana concluye que </w:t>
      </w:r>
      <w:r w:rsidR="00C20898" w:rsidRPr="003D0327">
        <w:rPr>
          <w:rFonts w:ascii="Cambria" w:hAnsi="Cambria"/>
          <w:sz w:val="20"/>
          <w:szCs w:val="20"/>
          <w:lang w:val="es-ES"/>
        </w:rPr>
        <w:t xml:space="preserve">atendido </w:t>
      </w:r>
      <w:r w:rsidR="00522545" w:rsidRPr="003D0327">
        <w:rPr>
          <w:rFonts w:ascii="Cambria" w:hAnsi="Cambria"/>
          <w:sz w:val="20"/>
          <w:szCs w:val="20"/>
          <w:lang w:val="es-ES"/>
        </w:rPr>
        <w:t xml:space="preserve">el tiempo </w:t>
      </w:r>
      <w:r w:rsidR="00C20898" w:rsidRPr="003D0327">
        <w:rPr>
          <w:rFonts w:ascii="Cambria" w:hAnsi="Cambria"/>
          <w:sz w:val="20"/>
          <w:szCs w:val="20"/>
          <w:lang w:val="es-ES"/>
        </w:rPr>
        <w:t xml:space="preserve">transcurrido </w:t>
      </w:r>
      <w:r w:rsidR="00522545" w:rsidRPr="003D0327">
        <w:rPr>
          <w:rFonts w:ascii="Cambria" w:hAnsi="Cambria"/>
          <w:sz w:val="20"/>
          <w:szCs w:val="20"/>
          <w:lang w:val="es-ES"/>
        </w:rPr>
        <w:t>desde que ocurrieron los hechos materia del reclamo</w:t>
      </w:r>
      <w:r w:rsidR="00C20898" w:rsidRPr="003D0327">
        <w:rPr>
          <w:rFonts w:ascii="Cambria" w:hAnsi="Cambria"/>
          <w:sz w:val="20"/>
          <w:szCs w:val="20"/>
          <w:lang w:val="es-ES"/>
        </w:rPr>
        <w:t xml:space="preserve"> sin que las autoridades hayan siquiera dictado sentencia de primera instancia, y que por tanto no se haya establecido la condena definitiva de ninguna persona, se considera aplicable </w:t>
      </w:r>
      <w:r w:rsidRPr="003D0327">
        <w:rPr>
          <w:rFonts w:ascii="Cambria" w:hAnsi="Cambria"/>
          <w:sz w:val="20"/>
          <w:szCs w:val="20"/>
          <w:lang w:val="es-ES"/>
        </w:rPr>
        <w:t>la excepción prevista en el artículo 46.2.</w:t>
      </w:r>
      <w:r w:rsidR="008422FF">
        <w:rPr>
          <w:rFonts w:ascii="Cambria" w:hAnsi="Cambria"/>
          <w:sz w:val="20"/>
          <w:szCs w:val="20"/>
          <w:lang w:val="es-ES"/>
        </w:rPr>
        <w:t>c</w:t>
      </w:r>
      <w:r w:rsidRPr="003D0327">
        <w:rPr>
          <w:rFonts w:ascii="Cambria" w:hAnsi="Cambria"/>
          <w:sz w:val="20"/>
          <w:szCs w:val="20"/>
          <w:lang w:val="es-ES"/>
        </w:rPr>
        <w:t xml:space="preserve"> de la Convención Americana, en lo relativo al agotamiento de los recursos de jurisdicción interna. </w:t>
      </w:r>
    </w:p>
    <w:p w:rsidR="000337E5" w:rsidRPr="000337E5" w:rsidRDefault="000337E5" w:rsidP="00AD52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rsidR="000337E5" w:rsidRPr="005E63E5" w:rsidRDefault="005E63E5" w:rsidP="00AD52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Theme="majorHAnsi" w:hAnsiTheme="majorHAnsi"/>
          <w:sz w:val="20"/>
          <w:szCs w:val="20"/>
          <w:lang w:val="es-UY"/>
        </w:rPr>
        <w:t xml:space="preserve">Asimismo, </w:t>
      </w:r>
      <w:r w:rsidR="00E50AEB">
        <w:rPr>
          <w:rFonts w:asciiTheme="majorHAnsi" w:hAnsiTheme="majorHAnsi"/>
          <w:sz w:val="20"/>
          <w:szCs w:val="20"/>
          <w:lang w:val="es-UY"/>
        </w:rPr>
        <w:t xml:space="preserve">y </w:t>
      </w:r>
      <w:r w:rsidR="00B16B83">
        <w:rPr>
          <w:rFonts w:asciiTheme="majorHAnsi" w:hAnsiTheme="majorHAnsi"/>
          <w:sz w:val="20"/>
          <w:szCs w:val="20"/>
          <w:lang w:val="es-UY"/>
        </w:rPr>
        <w:t>citando</w:t>
      </w:r>
      <w:r w:rsidR="00E50AEB">
        <w:rPr>
          <w:rFonts w:asciiTheme="majorHAnsi" w:hAnsiTheme="majorHAnsi"/>
          <w:sz w:val="20"/>
          <w:szCs w:val="20"/>
          <w:lang w:val="es-UY"/>
        </w:rPr>
        <w:t xml:space="preserve"> jurisprudencia </w:t>
      </w:r>
      <w:r w:rsidR="00B16B83">
        <w:rPr>
          <w:rFonts w:asciiTheme="majorHAnsi" w:hAnsiTheme="majorHAnsi"/>
          <w:sz w:val="20"/>
          <w:szCs w:val="20"/>
          <w:lang w:val="es-UY"/>
        </w:rPr>
        <w:t>emitida</w:t>
      </w:r>
      <w:r w:rsidR="00E50AEB">
        <w:rPr>
          <w:rFonts w:asciiTheme="majorHAnsi" w:hAnsiTheme="majorHAnsi"/>
          <w:sz w:val="20"/>
          <w:szCs w:val="20"/>
          <w:lang w:val="es-UY"/>
        </w:rPr>
        <w:t xml:space="preserve"> </w:t>
      </w:r>
      <w:r w:rsidR="00B16B83">
        <w:rPr>
          <w:rFonts w:asciiTheme="majorHAnsi" w:hAnsiTheme="majorHAnsi"/>
          <w:sz w:val="20"/>
          <w:szCs w:val="20"/>
          <w:lang w:val="es-UY"/>
        </w:rPr>
        <w:t xml:space="preserve">en </w:t>
      </w:r>
      <w:r>
        <w:rPr>
          <w:rFonts w:asciiTheme="majorHAnsi" w:hAnsiTheme="majorHAnsi"/>
          <w:sz w:val="20"/>
          <w:szCs w:val="20"/>
          <w:lang w:val="es-UY"/>
        </w:rPr>
        <w:t>el</w:t>
      </w:r>
      <w:r w:rsidR="00B16B83">
        <w:rPr>
          <w:rFonts w:asciiTheme="majorHAnsi" w:hAnsiTheme="majorHAnsi"/>
          <w:sz w:val="20"/>
          <w:szCs w:val="20"/>
          <w:lang w:val="es-UY"/>
        </w:rPr>
        <w:t xml:space="preserve"> mismo</w:t>
      </w:r>
      <w:r>
        <w:rPr>
          <w:rFonts w:asciiTheme="majorHAnsi" w:hAnsiTheme="majorHAnsi"/>
          <w:sz w:val="20"/>
          <w:szCs w:val="20"/>
          <w:lang w:val="es-UY"/>
        </w:rPr>
        <w:t xml:space="preserve"> asunto mencionado </w:t>
      </w:r>
      <w:r w:rsidR="00021692">
        <w:rPr>
          <w:rFonts w:asciiTheme="majorHAnsi" w:hAnsiTheme="majorHAnsi"/>
          <w:sz w:val="20"/>
          <w:szCs w:val="20"/>
          <w:lang w:val="es-UY"/>
        </w:rPr>
        <w:t>precedentemente</w:t>
      </w:r>
      <w:r w:rsidR="00B16B83">
        <w:rPr>
          <w:rFonts w:asciiTheme="majorHAnsi" w:hAnsiTheme="majorHAnsi"/>
          <w:sz w:val="20"/>
          <w:szCs w:val="20"/>
          <w:lang w:val="es-UY"/>
        </w:rPr>
        <w:t>, así como en ot</w:t>
      </w:r>
      <w:r w:rsidR="00663A60">
        <w:rPr>
          <w:rFonts w:asciiTheme="majorHAnsi" w:hAnsiTheme="majorHAnsi"/>
          <w:sz w:val="20"/>
          <w:szCs w:val="20"/>
          <w:lang w:val="es-UY"/>
        </w:rPr>
        <w:t>ros</w:t>
      </w:r>
      <w:r w:rsidR="00663A60">
        <w:rPr>
          <w:rStyle w:val="FootnoteReference"/>
          <w:rFonts w:ascii="Cambria" w:hAnsi="Cambria"/>
          <w:sz w:val="20"/>
          <w:szCs w:val="20"/>
          <w:lang w:val="es-ES"/>
        </w:rPr>
        <w:footnoteReference w:id="4"/>
      </w:r>
      <w:r>
        <w:rPr>
          <w:rFonts w:asciiTheme="majorHAnsi" w:hAnsiTheme="majorHAnsi"/>
          <w:sz w:val="20"/>
          <w:szCs w:val="20"/>
          <w:lang w:val="es-UY"/>
        </w:rPr>
        <w:t xml:space="preserve">, </w:t>
      </w:r>
      <w:r w:rsidR="00021692">
        <w:rPr>
          <w:rFonts w:asciiTheme="majorHAnsi" w:hAnsiTheme="majorHAnsi"/>
          <w:sz w:val="20"/>
          <w:szCs w:val="20"/>
          <w:lang w:val="es-UY"/>
        </w:rPr>
        <w:t xml:space="preserve">la </w:t>
      </w:r>
      <w:r w:rsidR="00AA15E6" w:rsidRPr="00AA15E6">
        <w:rPr>
          <w:rFonts w:asciiTheme="majorHAnsi" w:hAnsiTheme="majorHAnsi"/>
          <w:sz w:val="20"/>
          <w:szCs w:val="20"/>
          <w:lang w:val="es-UY"/>
        </w:rPr>
        <w:t xml:space="preserve">Comisión </w:t>
      </w:r>
      <w:r w:rsidR="00AA15E6">
        <w:rPr>
          <w:rFonts w:asciiTheme="majorHAnsi" w:hAnsiTheme="majorHAnsi"/>
          <w:sz w:val="20"/>
          <w:szCs w:val="20"/>
          <w:lang w:val="es-UY"/>
        </w:rPr>
        <w:t>entiende</w:t>
      </w:r>
      <w:r w:rsidR="00021692">
        <w:rPr>
          <w:rFonts w:asciiTheme="majorHAnsi" w:hAnsiTheme="majorHAnsi"/>
          <w:sz w:val="20"/>
          <w:szCs w:val="20"/>
          <w:lang w:val="es-UY"/>
        </w:rPr>
        <w:t xml:space="preserve"> </w:t>
      </w:r>
      <w:r w:rsidR="00B16B83">
        <w:rPr>
          <w:rFonts w:asciiTheme="majorHAnsi" w:hAnsiTheme="majorHAnsi"/>
          <w:sz w:val="20"/>
          <w:szCs w:val="20"/>
          <w:lang w:val="es-UY"/>
        </w:rPr>
        <w:t>respecto de l</w:t>
      </w:r>
      <w:r w:rsidR="000337E5" w:rsidRPr="005E63E5">
        <w:rPr>
          <w:rFonts w:ascii="Cambria" w:hAnsi="Cambria"/>
          <w:sz w:val="20"/>
          <w:szCs w:val="20"/>
          <w:lang w:val="es-ES"/>
        </w:rPr>
        <w:t>os</w:t>
      </w:r>
      <w:r w:rsidR="009051ED">
        <w:rPr>
          <w:rFonts w:ascii="Cambria" w:hAnsi="Cambria"/>
          <w:sz w:val="20"/>
          <w:szCs w:val="20"/>
          <w:lang w:val="es-ES"/>
        </w:rPr>
        <w:t xml:space="preserve"> </w:t>
      </w:r>
      <w:r w:rsidR="000337E5" w:rsidRPr="005E63E5">
        <w:rPr>
          <w:rFonts w:ascii="Cambria" w:hAnsi="Cambria"/>
          <w:sz w:val="20"/>
          <w:szCs w:val="20"/>
          <w:lang w:val="es-ES"/>
        </w:rPr>
        <w:t>procesos</w:t>
      </w:r>
      <w:r w:rsidR="009051ED">
        <w:rPr>
          <w:rFonts w:ascii="Cambria" w:hAnsi="Cambria"/>
          <w:sz w:val="20"/>
          <w:szCs w:val="20"/>
          <w:lang w:val="es-ES"/>
        </w:rPr>
        <w:t xml:space="preserve"> </w:t>
      </w:r>
      <w:r w:rsidR="00AA15E6">
        <w:rPr>
          <w:rFonts w:ascii="Cambria" w:hAnsi="Cambria"/>
          <w:sz w:val="20"/>
          <w:szCs w:val="20"/>
          <w:lang w:val="es-ES"/>
        </w:rPr>
        <w:t xml:space="preserve">conocidos </w:t>
      </w:r>
      <w:r w:rsidR="000337E5" w:rsidRPr="005E63E5">
        <w:rPr>
          <w:rFonts w:ascii="Cambria" w:hAnsi="Cambria"/>
          <w:sz w:val="20"/>
          <w:szCs w:val="20"/>
          <w:lang w:val="es-ES"/>
        </w:rPr>
        <w:t>ante</w:t>
      </w:r>
      <w:r w:rsidR="009051ED">
        <w:rPr>
          <w:rFonts w:ascii="Cambria" w:hAnsi="Cambria"/>
          <w:sz w:val="20"/>
          <w:szCs w:val="20"/>
          <w:lang w:val="es-ES"/>
        </w:rPr>
        <w:t xml:space="preserve"> </w:t>
      </w:r>
      <w:r w:rsidR="000337E5" w:rsidRPr="005E63E5">
        <w:rPr>
          <w:rFonts w:ascii="Cambria" w:hAnsi="Cambria"/>
          <w:sz w:val="20"/>
          <w:szCs w:val="20"/>
          <w:lang w:val="es-ES"/>
        </w:rPr>
        <w:t>la</w:t>
      </w:r>
      <w:r w:rsidR="009051ED">
        <w:rPr>
          <w:rFonts w:ascii="Cambria" w:hAnsi="Cambria"/>
          <w:sz w:val="20"/>
          <w:szCs w:val="20"/>
          <w:lang w:val="es-ES"/>
        </w:rPr>
        <w:t xml:space="preserve"> </w:t>
      </w:r>
      <w:r w:rsidR="000337E5" w:rsidRPr="005E63E5">
        <w:rPr>
          <w:rFonts w:ascii="Cambria" w:hAnsi="Cambria"/>
          <w:sz w:val="20"/>
          <w:szCs w:val="20"/>
          <w:lang w:val="es-ES"/>
        </w:rPr>
        <w:t>jurisdicción</w:t>
      </w:r>
      <w:r w:rsidR="009051ED">
        <w:rPr>
          <w:rFonts w:ascii="Cambria" w:hAnsi="Cambria"/>
          <w:sz w:val="20"/>
          <w:szCs w:val="20"/>
          <w:lang w:val="es-ES"/>
        </w:rPr>
        <w:t xml:space="preserve"> </w:t>
      </w:r>
      <w:r w:rsidR="000337E5" w:rsidRPr="005E63E5">
        <w:rPr>
          <w:rFonts w:ascii="Cambria" w:hAnsi="Cambria"/>
          <w:sz w:val="20"/>
          <w:szCs w:val="20"/>
          <w:lang w:val="es-ES"/>
        </w:rPr>
        <w:t>contencioso</w:t>
      </w:r>
      <w:r w:rsidR="009051ED">
        <w:rPr>
          <w:rFonts w:ascii="Cambria" w:hAnsi="Cambria"/>
          <w:sz w:val="20"/>
          <w:szCs w:val="20"/>
          <w:lang w:val="es-ES"/>
        </w:rPr>
        <w:t xml:space="preserve"> </w:t>
      </w:r>
      <w:r w:rsidR="00663A60">
        <w:rPr>
          <w:rFonts w:ascii="Cambria" w:hAnsi="Cambria"/>
          <w:sz w:val="20"/>
          <w:szCs w:val="20"/>
          <w:lang w:val="es-ES"/>
        </w:rPr>
        <w:t>administrativa</w:t>
      </w:r>
      <w:r w:rsidR="00AA15E6">
        <w:rPr>
          <w:rFonts w:ascii="Cambria" w:hAnsi="Cambria"/>
          <w:sz w:val="20"/>
          <w:szCs w:val="20"/>
          <w:lang w:val="es-ES"/>
        </w:rPr>
        <w:t>,</w:t>
      </w:r>
      <w:r w:rsidR="00663A60">
        <w:rPr>
          <w:rFonts w:ascii="Cambria" w:hAnsi="Cambria"/>
          <w:sz w:val="20"/>
          <w:szCs w:val="20"/>
          <w:lang w:val="es-ES"/>
        </w:rPr>
        <w:t xml:space="preserve"> </w:t>
      </w:r>
      <w:r w:rsidR="000337E5" w:rsidRPr="005E63E5">
        <w:rPr>
          <w:rFonts w:ascii="Cambria" w:hAnsi="Cambria"/>
          <w:sz w:val="20"/>
          <w:szCs w:val="20"/>
          <w:lang w:val="es-ES"/>
        </w:rPr>
        <w:t>que</w:t>
      </w:r>
      <w:r w:rsidR="009051ED">
        <w:rPr>
          <w:rFonts w:ascii="Cambria" w:hAnsi="Cambria"/>
          <w:sz w:val="20"/>
          <w:szCs w:val="20"/>
          <w:lang w:val="es-ES"/>
        </w:rPr>
        <w:t xml:space="preserve"> </w:t>
      </w:r>
      <w:r w:rsidR="000337E5" w:rsidRPr="005E63E5">
        <w:rPr>
          <w:rFonts w:ascii="Cambria" w:hAnsi="Cambria"/>
          <w:sz w:val="20"/>
          <w:szCs w:val="20"/>
          <w:lang w:val="es-ES"/>
        </w:rPr>
        <w:t>dicha</w:t>
      </w:r>
      <w:r w:rsidR="009051ED">
        <w:rPr>
          <w:rFonts w:ascii="Cambria" w:hAnsi="Cambria"/>
          <w:sz w:val="20"/>
          <w:szCs w:val="20"/>
          <w:lang w:val="es-ES"/>
        </w:rPr>
        <w:t xml:space="preserve"> </w:t>
      </w:r>
      <w:r w:rsidR="000337E5" w:rsidRPr="005E63E5">
        <w:rPr>
          <w:rFonts w:ascii="Cambria" w:hAnsi="Cambria"/>
          <w:sz w:val="20"/>
          <w:szCs w:val="20"/>
          <w:lang w:val="es-ES"/>
        </w:rPr>
        <w:t>vía</w:t>
      </w:r>
      <w:r w:rsidR="009051ED">
        <w:rPr>
          <w:rFonts w:ascii="Cambria" w:hAnsi="Cambria"/>
          <w:sz w:val="20"/>
          <w:szCs w:val="20"/>
          <w:lang w:val="es-ES"/>
        </w:rPr>
        <w:t xml:space="preserve"> </w:t>
      </w:r>
      <w:r w:rsidR="000337E5" w:rsidRPr="005E63E5">
        <w:rPr>
          <w:rFonts w:ascii="Cambria" w:hAnsi="Cambria"/>
          <w:sz w:val="20"/>
          <w:szCs w:val="20"/>
          <w:lang w:val="es-ES"/>
        </w:rPr>
        <w:t>no</w:t>
      </w:r>
      <w:r w:rsidR="009051ED">
        <w:rPr>
          <w:rFonts w:ascii="Cambria" w:hAnsi="Cambria"/>
          <w:sz w:val="20"/>
          <w:szCs w:val="20"/>
          <w:lang w:val="es-ES"/>
        </w:rPr>
        <w:t xml:space="preserve"> </w:t>
      </w:r>
      <w:r w:rsidR="000337E5" w:rsidRPr="005E63E5">
        <w:rPr>
          <w:rFonts w:ascii="Cambria" w:hAnsi="Cambria"/>
          <w:sz w:val="20"/>
          <w:szCs w:val="20"/>
          <w:lang w:val="es-ES"/>
        </w:rPr>
        <w:t>constituye</w:t>
      </w:r>
      <w:r w:rsidR="009051ED">
        <w:rPr>
          <w:rFonts w:ascii="Cambria" w:hAnsi="Cambria"/>
          <w:sz w:val="20"/>
          <w:szCs w:val="20"/>
          <w:lang w:val="es-ES"/>
        </w:rPr>
        <w:t xml:space="preserve"> </w:t>
      </w:r>
      <w:r w:rsidR="000337E5" w:rsidRPr="005E63E5">
        <w:rPr>
          <w:rFonts w:ascii="Cambria" w:hAnsi="Cambria"/>
          <w:sz w:val="20"/>
          <w:szCs w:val="20"/>
          <w:lang w:val="es-ES"/>
        </w:rPr>
        <w:t>un</w:t>
      </w:r>
      <w:r w:rsidR="009051ED">
        <w:rPr>
          <w:rFonts w:ascii="Cambria" w:hAnsi="Cambria"/>
          <w:sz w:val="20"/>
          <w:szCs w:val="20"/>
          <w:lang w:val="es-ES"/>
        </w:rPr>
        <w:t xml:space="preserve"> </w:t>
      </w:r>
      <w:r w:rsidR="000337E5" w:rsidRPr="005E63E5">
        <w:rPr>
          <w:rFonts w:ascii="Cambria" w:hAnsi="Cambria"/>
          <w:sz w:val="20"/>
          <w:szCs w:val="20"/>
          <w:lang w:val="es-ES"/>
        </w:rPr>
        <w:t>recurso</w:t>
      </w:r>
      <w:r w:rsidR="009051ED">
        <w:rPr>
          <w:rFonts w:ascii="Cambria" w:hAnsi="Cambria"/>
          <w:sz w:val="20"/>
          <w:szCs w:val="20"/>
          <w:lang w:val="es-ES"/>
        </w:rPr>
        <w:t xml:space="preserve"> </w:t>
      </w:r>
      <w:r w:rsidR="000337E5" w:rsidRPr="005E63E5">
        <w:rPr>
          <w:rFonts w:ascii="Cambria" w:hAnsi="Cambria"/>
          <w:sz w:val="20"/>
          <w:szCs w:val="20"/>
          <w:lang w:val="es-ES"/>
        </w:rPr>
        <w:t>idóneo</w:t>
      </w:r>
      <w:r w:rsidR="009051ED">
        <w:rPr>
          <w:rFonts w:ascii="Cambria" w:hAnsi="Cambria"/>
          <w:sz w:val="20"/>
          <w:szCs w:val="20"/>
          <w:lang w:val="es-ES"/>
        </w:rPr>
        <w:t xml:space="preserve"> </w:t>
      </w:r>
      <w:r w:rsidR="000337E5" w:rsidRPr="005E63E5">
        <w:rPr>
          <w:rFonts w:ascii="Cambria" w:hAnsi="Cambria"/>
          <w:sz w:val="20"/>
          <w:szCs w:val="20"/>
          <w:lang w:val="es-ES"/>
        </w:rPr>
        <w:t>a</w:t>
      </w:r>
      <w:r w:rsidR="009051ED">
        <w:rPr>
          <w:rFonts w:ascii="Cambria" w:hAnsi="Cambria"/>
          <w:sz w:val="20"/>
          <w:szCs w:val="20"/>
          <w:lang w:val="es-ES"/>
        </w:rPr>
        <w:t xml:space="preserve"> </w:t>
      </w:r>
      <w:r w:rsidR="000337E5" w:rsidRPr="005E63E5">
        <w:rPr>
          <w:rFonts w:ascii="Cambria" w:hAnsi="Cambria"/>
          <w:sz w:val="20"/>
          <w:szCs w:val="20"/>
          <w:lang w:val="es-ES"/>
        </w:rPr>
        <w:t>efectos</w:t>
      </w:r>
      <w:r w:rsidR="009051ED">
        <w:rPr>
          <w:rFonts w:ascii="Cambria" w:hAnsi="Cambria"/>
          <w:sz w:val="20"/>
          <w:szCs w:val="20"/>
          <w:lang w:val="es-ES"/>
        </w:rPr>
        <w:t xml:space="preserve"> </w:t>
      </w:r>
      <w:r w:rsidR="000337E5" w:rsidRPr="005E63E5">
        <w:rPr>
          <w:rFonts w:ascii="Cambria" w:hAnsi="Cambria"/>
          <w:sz w:val="20"/>
          <w:szCs w:val="20"/>
          <w:lang w:val="es-ES"/>
        </w:rPr>
        <w:t>de</w:t>
      </w:r>
      <w:r w:rsidR="009051ED">
        <w:rPr>
          <w:rFonts w:ascii="Cambria" w:hAnsi="Cambria"/>
          <w:sz w:val="20"/>
          <w:szCs w:val="20"/>
          <w:lang w:val="es-ES"/>
        </w:rPr>
        <w:t xml:space="preserve"> </w:t>
      </w:r>
      <w:r w:rsidR="000337E5" w:rsidRPr="005E63E5">
        <w:rPr>
          <w:rFonts w:ascii="Cambria" w:hAnsi="Cambria"/>
          <w:sz w:val="20"/>
          <w:szCs w:val="20"/>
          <w:lang w:val="es-ES"/>
        </w:rPr>
        <w:t>analizar</w:t>
      </w:r>
      <w:r w:rsidR="009051ED">
        <w:rPr>
          <w:rFonts w:ascii="Cambria" w:hAnsi="Cambria"/>
          <w:sz w:val="20"/>
          <w:szCs w:val="20"/>
          <w:lang w:val="es-ES"/>
        </w:rPr>
        <w:t xml:space="preserve"> </w:t>
      </w:r>
      <w:r w:rsidR="000337E5" w:rsidRPr="005E63E5">
        <w:rPr>
          <w:rFonts w:ascii="Cambria" w:hAnsi="Cambria"/>
          <w:sz w:val="20"/>
          <w:szCs w:val="20"/>
          <w:lang w:val="es-ES"/>
        </w:rPr>
        <w:t>la admisibilidad de un reclamo de</w:t>
      </w:r>
      <w:r w:rsidR="009051ED">
        <w:rPr>
          <w:rFonts w:ascii="Cambria" w:hAnsi="Cambria"/>
          <w:sz w:val="20"/>
          <w:szCs w:val="20"/>
          <w:lang w:val="es-ES"/>
        </w:rPr>
        <w:t xml:space="preserve"> </w:t>
      </w:r>
      <w:r w:rsidR="000337E5" w:rsidRPr="005E63E5">
        <w:rPr>
          <w:rFonts w:ascii="Cambria" w:hAnsi="Cambria"/>
          <w:sz w:val="20"/>
          <w:szCs w:val="20"/>
          <w:lang w:val="es-ES"/>
        </w:rPr>
        <w:t>la naturaleza del presente. Concretamente,</w:t>
      </w:r>
      <w:r w:rsidR="009051ED">
        <w:rPr>
          <w:rFonts w:ascii="Cambria" w:hAnsi="Cambria"/>
          <w:sz w:val="20"/>
          <w:szCs w:val="20"/>
          <w:lang w:val="es-ES"/>
        </w:rPr>
        <w:t xml:space="preserve"> </w:t>
      </w:r>
      <w:r w:rsidR="000337E5" w:rsidRPr="005E63E5">
        <w:rPr>
          <w:rFonts w:ascii="Cambria" w:hAnsi="Cambria"/>
          <w:sz w:val="20"/>
          <w:szCs w:val="20"/>
          <w:lang w:val="es-ES"/>
        </w:rPr>
        <w:t>la Comisión ha señalado</w:t>
      </w:r>
      <w:r w:rsidR="009051ED">
        <w:rPr>
          <w:rFonts w:ascii="Cambria" w:hAnsi="Cambria"/>
          <w:sz w:val="20"/>
          <w:szCs w:val="20"/>
          <w:lang w:val="es-ES"/>
        </w:rPr>
        <w:t xml:space="preserve"> </w:t>
      </w:r>
      <w:r w:rsidR="000337E5" w:rsidRPr="005E63E5">
        <w:rPr>
          <w:rFonts w:ascii="Cambria" w:hAnsi="Cambria"/>
          <w:sz w:val="20"/>
          <w:szCs w:val="20"/>
          <w:lang w:val="es-ES"/>
        </w:rPr>
        <w:t>que</w:t>
      </w:r>
      <w:r w:rsidR="009051ED">
        <w:rPr>
          <w:rFonts w:ascii="Cambria" w:hAnsi="Cambria"/>
          <w:sz w:val="20"/>
          <w:szCs w:val="20"/>
          <w:lang w:val="es-ES"/>
        </w:rPr>
        <w:t xml:space="preserve"> </w:t>
      </w:r>
      <w:r w:rsidR="000337E5" w:rsidRPr="005E63E5">
        <w:rPr>
          <w:rFonts w:ascii="Cambria" w:hAnsi="Cambria"/>
          <w:sz w:val="20"/>
          <w:szCs w:val="20"/>
          <w:lang w:val="es-ES"/>
        </w:rPr>
        <w:t>el</w:t>
      </w:r>
      <w:r w:rsidR="009051ED">
        <w:rPr>
          <w:rFonts w:ascii="Cambria" w:hAnsi="Cambria"/>
          <w:sz w:val="20"/>
          <w:szCs w:val="20"/>
          <w:lang w:val="es-ES"/>
        </w:rPr>
        <w:t xml:space="preserve"> </w:t>
      </w:r>
      <w:r w:rsidR="000337E5" w:rsidRPr="005E63E5">
        <w:rPr>
          <w:rFonts w:ascii="Cambria" w:hAnsi="Cambria"/>
          <w:sz w:val="20"/>
          <w:szCs w:val="20"/>
          <w:lang w:val="es-ES"/>
        </w:rPr>
        <w:t>contencioso</w:t>
      </w:r>
      <w:r w:rsidR="009051ED">
        <w:rPr>
          <w:rFonts w:ascii="Cambria" w:hAnsi="Cambria"/>
          <w:sz w:val="20"/>
          <w:szCs w:val="20"/>
          <w:lang w:val="es-ES"/>
        </w:rPr>
        <w:t xml:space="preserve"> </w:t>
      </w:r>
      <w:r w:rsidR="000337E5" w:rsidRPr="005E63E5">
        <w:rPr>
          <w:rFonts w:ascii="Cambria" w:hAnsi="Cambria"/>
          <w:sz w:val="20"/>
          <w:szCs w:val="20"/>
          <w:lang w:val="es-ES"/>
        </w:rPr>
        <w:t>administrativo</w:t>
      </w:r>
      <w:r w:rsidR="009051ED">
        <w:rPr>
          <w:rFonts w:ascii="Cambria" w:hAnsi="Cambria"/>
          <w:sz w:val="20"/>
          <w:szCs w:val="20"/>
          <w:lang w:val="es-ES"/>
        </w:rPr>
        <w:t xml:space="preserve"> </w:t>
      </w:r>
      <w:r w:rsidR="000337E5" w:rsidRPr="005E63E5">
        <w:rPr>
          <w:rFonts w:ascii="Cambria" w:hAnsi="Cambria"/>
          <w:sz w:val="20"/>
          <w:szCs w:val="20"/>
          <w:lang w:val="es-ES"/>
        </w:rPr>
        <w:t>es</w:t>
      </w:r>
      <w:r w:rsidR="009051ED">
        <w:rPr>
          <w:rFonts w:ascii="Cambria" w:hAnsi="Cambria"/>
          <w:sz w:val="20"/>
          <w:szCs w:val="20"/>
          <w:lang w:val="es-ES"/>
        </w:rPr>
        <w:t xml:space="preserve"> </w:t>
      </w:r>
      <w:r w:rsidR="000337E5" w:rsidRPr="005E63E5">
        <w:rPr>
          <w:rFonts w:ascii="Cambria" w:hAnsi="Cambria"/>
          <w:sz w:val="20"/>
          <w:szCs w:val="20"/>
          <w:lang w:val="es-ES"/>
        </w:rPr>
        <w:t>un mecanismo</w:t>
      </w:r>
      <w:r w:rsidR="009051ED">
        <w:rPr>
          <w:rFonts w:ascii="Cambria" w:hAnsi="Cambria"/>
          <w:sz w:val="20"/>
          <w:szCs w:val="20"/>
          <w:lang w:val="es-ES"/>
        </w:rPr>
        <w:t xml:space="preserve"> </w:t>
      </w:r>
      <w:r w:rsidR="000337E5" w:rsidRPr="005E63E5">
        <w:rPr>
          <w:rFonts w:ascii="Cambria" w:hAnsi="Cambria"/>
          <w:sz w:val="20"/>
          <w:szCs w:val="20"/>
          <w:lang w:val="es-ES"/>
        </w:rPr>
        <w:t>que</w:t>
      </w:r>
      <w:r w:rsidR="009051ED">
        <w:rPr>
          <w:rFonts w:ascii="Cambria" w:hAnsi="Cambria"/>
          <w:sz w:val="20"/>
          <w:szCs w:val="20"/>
          <w:lang w:val="es-ES"/>
        </w:rPr>
        <w:t xml:space="preserve"> </w:t>
      </w:r>
      <w:r w:rsidR="000337E5" w:rsidRPr="005E63E5">
        <w:rPr>
          <w:rFonts w:ascii="Cambria" w:hAnsi="Cambria"/>
          <w:sz w:val="20"/>
          <w:szCs w:val="20"/>
          <w:lang w:val="es-ES"/>
        </w:rPr>
        <w:t>procura</w:t>
      </w:r>
      <w:r w:rsidR="009051ED">
        <w:rPr>
          <w:rFonts w:ascii="Cambria" w:hAnsi="Cambria"/>
          <w:sz w:val="20"/>
          <w:szCs w:val="20"/>
          <w:lang w:val="es-ES"/>
        </w:rPr>
        <w:t xml:space="preserve"> </w:t>
      </w:r>
      <w:r w:rsidR="000337E5" w:rsidRPr="005E63E5">
        <w:rPr>
          <w:rFonts w:ascii="Cambria" w:hAnsi="Cambria"/>
          <w:sz w:val="20"/>
          <w:szCs w:val="20"/>
          <w:lang w:val="es-ES"/>
        </w:rPr>
        <w:t>la</w:t>
      </w:r>
      <w:r w:rsidR="009051ED">
        <w:rPr>
          <w:rFonts w:ascii="Cambria" w:hAnsi="Cambria"/>
          <w:sz w:val="20"/>
          <w:szCs w:val="20"/>
          <w:lang w:val="es-ES"/>
        </w:rPr>
        <w:t xml:space="preserve"> </w:t>
      </w:r>
      <w:r w:rsidR="000337E5" w:rsidRPr="005E63E5">
        <w:rPr>
          <w:rFonts w:ascii="Cambria" w:hAnsi="Cambria"/>
          <w:sz w:val="20"/>
          <w:szCs w:val="20"/>
          <w:lang w:val="es-ES"/>
        </w:rPr>
        <w:t>supervisión</w:t>
      </w:r>
      <w:r w:rsidR="009051ED">
        <w:rPr>
          <w:rFonts w:ascii="Cambria" w:hAnsi="Cambria"/>
          <w:sz w:val="20"/>
          <w:szCs w:val="20"/>
          <w:lang w:val="es-ES"/>
        </w:rPr>
        <w:t xml:space="preserve"> </w:t>
      </w:r>
      <w:r w:rsidR="000337E5" w:rsidRPr="005E63E5">
        <w:rPr>
          <w:rFonts w:ascii="Cambria" w:hAnsi="Cambria"/>
          <w:sz w:val="20"/>
          <w:szCs w:val="20"/>
          <w:lang w:val="es-ES"/>
        </w:rPr>
        <w:t>de</w:t>
      </w:r>
      <w:r w:rsidR="009051ED">
        <w:rPr>
          <w:rFonts w:ascii="Cambria" w:hAnsi="Cambria"/>
          <w:sz w:val="20"/>
          <w:szCs w:val="20"/>
          <w:lang w:val="es-ES"/>
        </w:rPr>
        <w:t xml:space="preserve"> </w:t>
      </w:r>
      <w:r w:rsidR="000337E5" w:rsidRPr="005E63E5">
        <w:rPr>
          <w:rFonts w:ascii="Cambria" w:hAnsi="Cambria"/>
          <w:sz w:val="20"/>
          <w:szCs w:val="20"/>
          <w:lang w:val="es-ES"/>
        </w:rPr>
        <w:t>la</w:t>
      </w:r>
      <w:r w:rsidR="009051ED">
        <w:rPr>
          <w:rFonts w:ascii="Cambria" w:hAnsi="Cambria"/>
          <w:sz w:val="20"/>
          <w:szCs w:val="20"/>
          <w:lang w:val="es-ES"/>
        </w:rPr>
        <w:t xml:space="preserve"> </w:t>
      </w:r>
      <w:r w:rsidR="000337E5" w:rsidRPr="005E63E5">
        <w:rPr>
          <w:rFonts w:ascii="Cambria" w:hAnsi="Cambria"/>
          <w:sz w:val="20"/>
          <w:szCs w:val="20"/>
          <w:lang w:val="es-ES"/>
        </w:rPr>
        <w:t>actividad administrativa</w:t>
      </w:r>
      <w:r w:rsidR="009051ED">
        <w:rPr>
          <w:rFonts w:ascii="Cambria" w:hAnsi="Cambria"/>
          <w:sz w:val="20"/>
          <w:szCs w:val="20"/>
          <w:lang w:val="es-ES"/>
        </w:rPr>
        <w:t xml:space="preserve"> </w:t>
      </w:r>
      <w:r w:rsidR="000337E5" w:rsidRPr="005E63E5">
        <w:rPr>
          <w:rFonts w:ascii="Cambria" w:hAnsi="Cambria"/>
          <w:sz w:val="20"/>
          <w:szCs w:val="20"/>
          <w:lang w:val="es-ES"/>
        </w:rPr>
        <w:t>del</w:t>
      </w:r>
      <w:r w:rsidR="009051ED">
        <w:rPr>
          <w:rFonts w:ascii="Cambria" w:hAnsi="Cambria"/>
          <w:sz w:val="20"/>
          <w:szCs w:val="20"/>
          <w:lang w:val="es-ES"/>
        </w:rPr>
        <w:t xml:space="preserve"> </w:t>
      </w:r>
      <w:r w:rsidR="000337E5" w:rsidRPr="005E63E5">
        <w:rPr>
          <w:rFonts w:ascii="Cambria" w:hAnsi="Cambria"/>
          <w:sz w:val="20"/>
          <w:szCs w:val="20"/>
          <w:lang w:val="es-ES"/>
        </w:rPr>
        <w:t>Estado</w:t>
      </w:r>
      <w:r w:rsidR="009051ED">
        <w:rPr>
          <w:rFonts w:ascii="Cambria" w:hAnsi="Cambria"/>
          <w:sz w:val="20"/>
          <w:szCs w:val="20"/>
          <w:lang w:val="es-ES"/>
        </w:rPr>
        <w:t xml:space="preserve"> </w:t>
      </w:r>
      <w:r w:rsidR="000337E5" w:rsidRPr="005E63E5">
        <w:rPr>
          <w:rFonts w:ascii="Cambria" w:hAnsi="Cambria"/>
          <w:sz w:val="20"/>
          <w:szCs w:val="20"/>
          <w:lang w:val="es-ES"/>
        </w:rPr>
        <w:t>y</w:t>
      </w:r>
      <w:r w:rsidR="009051ED">
        <w:rPr>
          <w:rFonts w:ascii="Cambria" w:hAnsi="Cambria"/>
          <w:sz w:val="20"/>
          <w:szCs w:val="20"/>
          <w:lang w:val="es-ES"/>
        </w:rPr>
        <w:t xml:space="preserve"> </w:t>
      </w:r>
      <w:r w:rsidR="000337E5" w:rsidRPr="005E63E5">
        <w:rPr>
          <w:rFonts w:ascii="Cambria" w:hAnsi="Cambria"/>
          <w:sz w:val="20"/>
          <w:szCs w:val="20"/>
          <w:lang w:val="es-ES"/>
        </w:rPr>
        <w:t>que</w:t>
      </w:r>
      <w:r w:rsidR="009051ED">
        <w:rPr>
          <w:rFonts w:ascii="Cambria" w:hAnsi="Cambria"/>
          <w:sz w:val="20"/>
          <w:szCs w:val="20"/>
          <w:lang w:val="es-ES"/>
        </w:rPr>
        <w:t xml:space="preserve"> </w:t>
      </w:r>
      <w:r w:rsidR="000337E5" w:rsidRPr="005E63E5">
        <w:rPr>
          <w:rFonts w:ascii="Cambria" w:hAnsi="Cambria"/>
          <w:sz w:val="20"/>
          <w:szCs w:val="20"/>
          <w:lang w:val="es-ES"/>
        </w:rPr>
        <w:t>únicamente</w:t>
      </w:r>
      <w:r w:rsidR="009051ED">
        <w:rPr>
          <w:rFonts w:ascii="Cambria" w:hAnsi="Cambria"/>
          <w:sz w:val="20"/>
          <w:szCs w:val="20"/>
          <w:lang w:val="es-ES"/>
        </w:rPr>
        <w:t xml:space="preserve"> </w:t>
      </w:r>
      <w:r w:rsidR="000337E5" w:rsidRPr="005E63E5">
        <w:rPr>
          <w:rFonts w:ascii="Cambria" w:hAnsi="Cambria"/>
          <w:sz w:val="20"/>
          <w:szCs w:val="20"/>
          <w:lang w:val="es-ES"/>
        </w:rPr>
        <w:t>permite</w:t>
      </w:r>
      <w:r w:rsidR="009051ED">
        <w:rPr>
          <w:rFonts w:ascii="Cambria" w:hAnsi="Cambria"/>
          <w:sz w:val="20"/>
          <w:szCs w:val="20"/>
          <w:lang w:val="es-ES"/>
        </w:rPr>
        <w:t xml:space="preserve"> </w:t>
      </w:r>
      <w:r w:rsidR="000337E5" w:rsidRPr="005E63E5">
        <w:rPr>
          <w:rFonts w:ascii="Cambria" w:hAnsi="Cambria"/>
          <w:sz w:val="20"/>
          <w:szCs w:val="20"/>
          <w:lang w:val="es-ES"/>
        </w:rPr>
        <w:t>obtener</w:t>
      </w:r>
      <w:r w:rsidR="009051ED">
        <w:rPr>
          <w:rFonts w:ascii="Cambria" w:hAnsi="Cambria"/>
          <w:sz w:val="20"/>
          <w:szCs w:val="20"/>
          <w:lang w:val="es-ES"/>
        </w:rPr>
        <w:t xml:space="preserve"> </w:t>
      </w:r>
      <w:r w:rsidR="000337E5" w:rsidRPr="005E63E5">
        <w:rPr>
          <w:rFonts w:ascii="Cambria" w:hAnsi="Cambria"/>
          <w:sz w:val="20"/>
          <w:szCs w:val="20"/>
          <w:lang w:val="es-ES"/>
        </w:rPr>
        <w:t>una</w:t>
      </w:r>
      <w:r w:rsidR="009051ED">
        <w:rPr>
          <w:rFonts w:ascii="Cambria" w:hAnsi="Cambria"/>
          <w:sz w:val="20"/>
          <w:szCs w:val="20"/>
          <w:lang w:val="es-ES"/>
        </w:rPr>
        <w:t xml:space="preserve"> </w:t>
      </w:r>
      <w:r w:rsidR="000337E5" w:rsidRPr="005E63E5">
        <w:rPr>
          <w:rFonts w:ascii="Cambria" w:hAnsi="Cambria"/>
          <w:sz w:val="20"/>
          <w:szCs w:val="20"/>
          <w:lang w:val="es-ES"/>
        </w:rPr>
        <w:t>indemnización</w:t>
      </w:r>
      <w:r w:rsidR="009051ED">
        <w:rPr>
          <w:rFonts w:ascii="Cambria" w:hAnsi="Cambria"/>
          <w:sz w:val="20"/>
          <w:szCs w:val="20"/>
          <w:lang w:val="es-ES"/>
        </w:rPr>
        <w:t xml:space="preserve"> </w:t>
      </w:r>
      <w:r w:rsidR="000337E5" w:rsidRPr="005E63E5">
        <w:rPr>
          <w:rFonts w:ascii="Cambria" w:hAnsi="Cambria"/>
          <w:sz w:val="20"/>
          <w:szCs w:val="20"/>
          <w:lang w:val="es-ES"/>
        </w:rPr>
        <w:t>por</w:t>
      </w:r>
      <w:r w:rsidR="009051ED">
        <w:rPr>
          <w:rFonts w:ascii="Cambria" w:hAnsi="Cambria"/>
          <w:sz w:val="20"/>
          <w:szCs w:val="20"/>
          <w:lang w:val="es-ES"/>
        </w:rPr>
        <w:t xml:space="preserve"> </w:t>
      </w:r>
      <w:r w:rsidR="000337E5" w:rsidRPr="005E63E5">
        <w:rPr>
          <w:rFonts w:ascii="Cambria" w:hAnsi="Cambria"/>
          <w:sz w:val="20"/>
          <w:szCs w:val="20"/>
          <w:lang w:val="es-ES"/>
        </w:rPr>
        <w:t>daños</w:t>
      </w:r>
      <w:r w:rsidR="009051ED">
        <w:rPr>
          <w:rFonts w:ascii="Cambria" w:hAnsi="Cambria"/>
          <w:sz w:val="20"/>
          <w:szCs w:val="20"/>
          <w:lang w:val="es-ES"/>
        </w:rPr>
        <w:t xml:space="preserve"> </w:t>
      </w:r>
      <w:r w:rsidR="000337E5" w:rsidRPr="005E63E5">
        <w:rPr>
          <w:rFonts w:ascii="Cambria" w:hAnsi="Cambria"/>
          <w:sz w:val="20"/>
          <w:szCs w:val="20"/>
          <w:lang w:val="es-ES"/>
        </w:rPr>
        <w:t>y</w:t>
      </w:r>
      <w:r w:rsidR="009051ED">
        <w:rPr>
          <w:rFonts w:ascii="Cambria" w:hAnsi="Cambria"/>
          <w:sz w:val="20"/>
          <w:szCs w:val="20"/>
          <w:lang w:val="es-ES"/>
        </w:rPr>
        <w:t xml:space="preserve"> </w:t>
      </w:r>
      <w:r w:rsidR="000337E5" w:rsidRPr="005E63E5">
        <w:rPr>
          <w:rFonts w:ascii="Cambria" w:hAnsi="Cambria"/>
          <w:sz w:val="20"/>
          <w:szCs w:val="20"/>
          <w:lang w:val="es-ES"/>
        </w:rPr>
        <w:t xml:space="preserve">perjuicios causados por la acción u omisión de agentes del Estado. Al respecto, la Corte Interamericana ha estimado </w:t>
      </w:r>
      <w:r w:rsidRPr="005E63E5">
        <w:rPr>
          <w:rFonts w:ascii="Cambria" w:hAnsi="Cambria"/>
          <w:sz w:val="20"/>
          <w:szCs w:val="20"/>
          <w:lang w:val="es-ES"/>
        </w:rPr>
        <w:t xml:space="preserve">que “la reparación integral de una violación a un derecho protegido por la Convención no puede ser reducida al pago de compensación </w:t>
      </w:r>
      <w:r w:rsidR="00B8577A">
        <w:rPr>
          <w:rFonts w:ascii="Cambria" w:hAnsi="Cambria"/>
          <w:sz w:val="20"/>
          <w:szCs w:val="20"/>
          <w:lang w:val="es-ES"/>
        </w:rPr>
        <w:t>a los familiares de la víctima”</w:t>
      </w:r>
      <w:r w:rsidR="00B8577A">
        <w:rPr>
          <w:rStyle w:val="FootnoteReference"/>
          <w:rFonts w:ascii="Cambria" w:hAnsi="Cambria"/>
          <w:sz w:val="20"/>
          <w:szCs w:val="20"/>
          <w:lang w:val="es-ES"/>
        </w:rPr>
        <w:footnoteReference w:id="5"/>
      </w:r>
      <w:r w:rsidRPr="005E63E5">
        <w:rPr>
          <w:rFonts w:ascii="Cambria" w:hAnsi="Cambria"/>
          <w:sz w:val="20"/>
          <w:szCs w:val="20"/>
          <w:lang w:val="es-ES"/>
        </w:rPr>
        <w:t>.</w:t>
      </w:r>
      <w:r w:rsidR="009051ED">
        <w:rPr>
          <w:rFonts w:ascii="Cambria" w:hAnsi="Cambria"/>
          <w:sz w:val="20"/>
          <w:szCs w:val="20"/>
          <w:lang w:val="es-ES"/>
        </w:rPr>
        <w:t xml:space="preserve"> </w:t>
      </w:r>
    </w:p>
    <w:p w:rsidR="000337E5" w:rsidRPr="003D0327" w:rsidRDefault="000337E5" w:rsidP="00AD52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rsidR="00B056A5" w:rsidRPr="00547D7F" w:rsidRDefault="0063685A" w:rsidP="00AD52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63685A">
        <w:rPr>
          <w:rFonts w:asciiTheme="majorHAnsi" w:hAnsiTheme="majorHAnsi"/>
          <w:sz w:val="20"/>
          <w:szCs w:val="20"/>
          <w:lang w:val="es-UY"/>
        </w:rPr>
        <w:t xml:space="preserve">Por lo tanto, la Comisión concluye que en el presente caso </w:t>
      </w:r>
      <w:r w:rsidRPr="000337E5">
        <w:rPr>
          <w:rFonts w:asciiTheme="majorHAnsi" w:hAnsiTheme="majorHAnsi"/>
          <w:sz w:val="20"/>
          <w:szCs w:val="20"/>
          <w:lang w:val="es-UY"/>
        </w:rPr>
        <w:t xml:space="preserve">aplica la excepción al agotamiento de los recursos internos prevista en el artículo </w:t>
      </w:r>
      <w:r w:rsidR="00D61AA1">
        <w:rPr>
          <w:rFonts w:asciiTheme="majorHAnsi" w:hAnsiTheme="majorHAnsi"/>
          <w:sz w:val="20"/>
          <w:szCs w:val="20"/>
          <w:lang w:val="es-UY"/>
        </w:rPr>
        <w:t>46.2.c</w:t>
      </w:r>
      <w:r w:rsidRPr="000337E5">
        <w:rPr>
          <w:rFonts w:asciiTheme="majorHAnsi" w:hAnsiTheme="majorHAnsi"/>
          <w:sz w:val="20"/>
          <w:szCs w:val="20"/>
          <w:lang w:val="es-UY"/>
        </w:rPr>
        <w:t xml:space="preserve"> de la Convención Americana</w:t>
      </w:r>
      <w:r w:rsidR="00940459">
        <w:rPr>
          <w:rFonts w:asciiTheme="majorHAnsi" w:hAnsiTheme="majorHAnsi"/>
          <w:sz w:val="20"/>
          <w:szCs w:val="20"/>
          <w:lang w:val="es-UY"/>
        </w:rPr>
        <w:t>, y desestima el alegato presentado por parte del Estado, relativo a la procedencia de la fórmula de la cuarta instancia en el presente caso</w:t>
      </w:r>
      <w:r w:rsidRPr="000337E5">
        <w:rPr>
          <w:rFonts w:asciiTheme="majorHAnsi" w:hAnsiTheme="majorHAnsi"/>
          <w:sz w:val="20"/>
          <w:szCs w:val="20"/>
          <w:lang w:val="es-UY"/>
        </w:rPr>
        <w:t>.</w:t>
      </w:r>
    </w:p>
    <w:p w:rsidR="00547D7F" w:rsidRDefault="00547D7F" w:rsidP="00AD52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UY"/>
        </w:rPr>
      </w:pPr>
    </w:p>
    <w:p w:rsidR="00B056A5" w:rsidRDefault="00B056A5" w:rsidP="00AD528E">
      <w:pPr>
        <w:ind w:firstLine="720"/>
        <w:jc w:val="both"/>
        <w:rPr>
          <w:rFonts w:asciiTheme="majorHAnsi" w:hAnsiTheme="majorHAnsi"/>
          <w:b/>
          <w:sz w:val="20"/>
          <w:szCs w:val="20"/>
          <w:lang w:val="es-UY"/>
        </w:rPr>
      </w:pPr>
      <w:r>
        <w:rPr>
          <w:rFonts w:asciiTheme="majorHAnsi" w:hAnsiTheme="majorHAnsi"/>
          <w:b/>
          <w:sz w:val="20"/>
          <w:szCs w:val="20"/>
          <w:lang w:val="es-UY"/>
        </w:rPr>
        <w:t>2.</w:t>
      </w:r>
      <w:r>
        <w:rPr>
          <w:rFonts w:asciiTheme="majorHAnsi" w:hAnsiTheme="majorHAnsi"/>
          <w:b/>
          <w:sz w:val="20"/>
          <w:szCs w:val="20"/>
          <w:lang w:val="es-UY"/>
        </w:rPr>
        <w:tab/>
      </w:r>
      <w:r w:rsidR="0063685A" w:rsidRPr="00B056A5">
        <w:rPr>
          <w:rFonts w:asciiTheme="majorHAnsi" w:hAnsiTheme="majorHAnsi"/>
          <w:b/>
          <w:sz w:val="20"/>
          <w:szCs w:val="20"/>
          <w:lang w:val="es-UY"/>
        </w:rPr>
        <w:t>Plazo de presentación de la petición</w:t>
      </w:r>
    </w:p>
    <w:p w:rsidR="00AD528E" w:rsidRPr="00B056A5" w:rsidRDefault="00AD528E" w:rsidP="00AD528E">
      <w:pPr>
        <w:ind w:firstLine="720"/>
        <w:jc w:val="both"/>
        <w:rPr>
          <w:rFonts w:asciiTheme="majorHAnsi" w:hAnsiTheme="majorHAnsi"/>
          <w:b/>
          <w:sz w:val="20"/>
          <w:szCs w:val="20"/>
          <w:lang w:val="es-UY"/>
        </w:rPr>
      </w:pPr>
    </w:p>
    <w:p w:rsidR="0063685A" w:rsidRPr="003655B5" w:rsidRDefault="008422FF" w:rsidP="00AD52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cs="Arial"/>
          <w:sz w:val="20"/>
          <w:szCs w:val="20"/>
          <w:lang w:val="es-PE"/>
        </w:rPr>
        <w:t>El artículo 46.1.b</w:t>
      </w:r>
      <w:r w:rsidR="0063685A" w:rsidRPr="00B056A5">
        <w:rPr>
          <w:rFonts w:asciiTheme="majorHAnsi" w:hAnsiTheme="majorHAnsi" w:cs="Arial"/>
          <w:sz w:val="20"/>
          <w:szCs w:val="20"/>
          <w:lang w:val="es-PE"/>
        </w:rPr>
        <w:t xml:space="preserve"> de l</w:t>
      </w:r>
      <w:r w:rsidR="0063685A" w:rsidRPr="00B056A5">
        <w:rPr>
          <w:rFonts w:asciiTheme="majorHAnsi" w:hAnsiTheme="majorHAnsi"/>
          <w:sz w:val="20"/>
          <w:szCs w:val="20"/>
          <w:lang w:val="es-ES_tradnl"/>
        </w:rPr>
        <w:t>a Convención Americana establece que para que una petición resulte admisible por la Comisión se requerirá que sea presentada dentro del plazo de seis meses a partir de la fecha en que el presunto lesionado haya sido notific</w:t>
      </w:r>
      <w:r w:rsidR="003655B5">
        <w:rPr>
          <w:rFonts w:asciiTheme="majorHAnsi" w:hAnsiTheme="majorHAnsi"/>
          <w:sz w:val="20"/>
          <w:szCs w:val="20"/>
          <w:lang w:val="es-ES_tradnl"/>
        </w:rPr>
        <w:t xml:space="preserve">ado de la decisión definitiva. </w:t>
      </w:r>
      <w:r w:rsidR="0063685A" w:rsidRPr="003655B5">
        <w:rPr>
          <w:rFonts w:asciiTheme="majorHAnsi" w:hAnsiTheme="majorHAnsi"/>
          <w:sz w:val="20"/>
          <w:szCs w:val="20"/>
          <w:lang w:val="es-ES_tradnl"/>
        </w:rPr>
        <w:t>En el reclamo bajo análisis la CIDH ha establecid</w:t>
      </w:r>
      <w:r w:rsidR="00580FFC">
        <w:rPr>
          <w:rFonts w:asciiTheme="majorHAnsi" w:hAnsiTheme="majorHAnsi"/>
          <w:sz w:val="20"/>
          <w:szCs w:val="20"/>
          <w:lang w:val="es-ES_tradnl"/>
        </w:rPr>
        <w:t>o la aplicación de la excepción</w:t>
      </w:r>
      <w:r w:rsidR="0063685A" w:rsidRPr="003655B5">
        <w:rPr>
          <w:rFonts w:asciiTheme="majorHAnsi" w:hAnsiTheme="majorHAnsi"/>
          <w:sz w:val="20"/>
          <w:szCs w:val="20"/>
          <w:lang w:val="es-ES_tradnl"/>
        </w:rPr>
        <w:t xml:space="preserve"> al agotamiento de los recursos internos conforme al artículo 46</w:t>
      </w:r>
      <w:r>
        <w:rPr>
          <w:rFonts w:asciiTheme="majorHAnsi" w:hAnsiTheme="majorHAnsi"/>
          <w:sz w:val="20"/>
          <w:szCs w:val="20"/>
          <w:lang w:val="es-ES_tradnl"/>
        </w:rPr>
        <w:t>.2c</w:t>
      </w:r>
      <w:r w:rsidR="0063685A" w:rsidRPr="003655B5">
        <w:rPr>
          <w:rFonts w:asciiTheme="majorHAnsi" w:hAnsiTheme="majorHAnsi"/>
          <w:sz w:val="20"/>
          <w:szCs w:val="20"/>
          <w:lang w:val="es-ES_tradnl"/>
        </w:rPr>
        <w:t xml:space="preserve"> de la Convención Americana.</w:t>
      </w:r>
      <w:r w:rsidR="009051ED">
        <w:rPr>
          <w:rFonts w:asciiTheme="majorHAnsi" w:hAnsiTheme="majorHAnsi"/>
          <w:sz w:val="20"/>
          <w:szCs w:val="20"/>
          <w:lang w:val="es-ES_tradnl"/>
        </w:rPr>
        <w:t xml:space="preserve"> </w:t>
      </w:r>
      <w:r w:rsidR="0063685A" w:rsidRPr="003655B5">
        <w:rPr>
          <w:rFonts w:asciiTheme="majorHAnsi" w:hAnsiTheme="majorHAnsi"/>
          <w:sz w:val="20"/>
          <w:szCs w:val="20"/>
          <w:lang w:val="es-ES_tradnl"/>
        </w:rPr>
        <w:t>Al respecto, el artículo 32</w:t>
      </w:r>
      <w:r>
        <w:rPr>
          <w:rFonts w:asciiTheme="majorHAnsi" w:hAnsiTheme="majorHAnsi"/>
          <w:sz w:val="20"/>
          <w:szCs w:val="20"/>
          <w:lang w:val="es-ES_tradnl"/>
        </w:rPr>
        <w:t>.2</w:t>
      </w:r>
      <w:r w:rsidR="0063685A" w:rsidRPr="003655B5">
        <w:rPr>
          <w:rFonts w:asciiTheme="majorHAnsi" w:hAnsiTheme="majorHAnsi"/>
          <w:sz w:val="20"/>
          <w:szCs w:val="20"/>
          <w:lang w:val="es-ES_tradnl"/>
        </w:rPr>
        <w:t xml:space="preserve"> del Reglamento de la Comisión establece que en los casos en los cuales resulten aplicables las excepciones al previo agotamiento de los recursos internos, la petición deberá presentarse dentro de un plazo razonable, a criterio de la Comisión.</w:t>
      </w:r>
      <w:r w:rsidR="009051ED">
        <w:rPr>
          <w:rFonts w:asciiTheme="majorHAnsi" w:hAnsiTheme="majorHAnsi"/>
          <w:sz w:val="20"/>
          <w:szCs w:val="20"/>
          <w:lang w:val="es-ES_tradnl"/>
        </w:rPr>
        <w:t xml:space="preserve"> </w:t>
      </w:r>
      <w:r w:rsidR="0063685A" w:rsidRPr="003655B5">
        <w:rPr>
          <w:rFonts w:asciiTheme="majorHAnsi" w:hAnsiTheme="majorHAnsi"/>
          <w:sz w:val="20"/>
          <w:szCs w:val="20"/>
          <w:lang w:val="es-ES_tradnl"/>
        </w:rPr>
        <w:t xml:space="preserve">A tal efecto, la Comisión </w:t>
      </w:r>
      <w:r w:rsidR="0063685A" w:rsidRPr="003655B5">
        <w:rPr>
          <w:rFonts w:asciiTheme="majorHAnsi" w:hAnsiTheme="majorHAnsi"/>
          <w:sz w:val="20"/>
          <w:szCs w:val="20"/>
          <w:lang w:val="es-ES_tradnl"/>
        </w:rPr>
        <w:lastRenderedPageBreak/>
        <w:t>debe considerar la fecha en que haya ocurrido la presunta violación de los derechos y las circunstancias de cada caso.</w:t>
      </w:r>
      <w:r w:rsidR="0063685A" w:rsidRPr="00B056A5">
        <w:rPr>
          <w:rFonts w:asciiTheme="majorHAnsi" w:hAnsiTheme="majorHAnsi"/>
          <w:sz w:val="20"/>
          <w:szCs w:val="20"/>
          <w:lang w:val="es-ES_tradnl"/>
        </w:rPr>
        <w:t xml:space="preserve"> </w:t>
      </w:r>
    </w:p>
    <w:p w:rsidR="00547D7F" w:rsidRDefault="00547D7F" w:rsidP="00AD52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rsidR="007D286D" w:rsidRPr="00547D7F" w:rsidRDefault="00F15DD3" w:rsidP="00AD52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CC6E48">
        <w:rPr>
          <w:rFonts w:asciiTheme="majorHAnsi" w:hAnsiTheme="majorHAnsi"/>
          <w:sz w:val="20"/>
          <w:szCs w:val="20"/>
          <w:lang w:val="es-AR"/>
        </w:rPr>
        <w:t xml:space="preserve">En el caso bajo análisis, la </w:t>
      </w:r>
      <w:r w:rsidR="007D286D" w:rsidRPr="00CC6E48">
        <w:rPr>
          <w:rFonts w:asciiTheme="majorHAnsi" w:hAnsiTheme="majorHAnsi"/>
          <w:sz w:val="20"/>
          <w:szCs w:val="20"/>
          <w:lang w:val="es-AR"/>
        </w:rPr>
        <w:t xml:space="preserve">petición fue recibida </w:t>
      </w:r>
      <w:r w:rsidR="00CE7F7C">
        <w:rPr>
          <w:rFonts w:asciiTheme="majorHAnsi" w:hAnsiTheme="majorHAnsi"/>
          <w:sz w:val="20"/>
          <w:szCs w:val="20"/>
          <w:lang w:val="es-AR"/>
        </w:rPr>
        <w:t>por</w:t>
      </w:r>
      <w:r w:rsidR="00CE7F7C" w:rsidRPr="00CC6E48">
        <w:rPr>
          <w:rFonts w:asciiTheme="majorHAnsi" w:hAnsiTheme="majorHAnsi"/>
          <w:sz w:val="20"/>
          <w:szCs w:val="20"/>
          <w:lang w:val="es-AR"/>
        </w:rPr>
        <w:t xml:space="preserve"> la C</w:t>
      </w:r>
      <w:r w:rsidR="00CE7F7C">
        <w:rPr>
          <w:rFonts w:asciiTheme="majorHAnsi" w:hAnsiTheme="majorHAnsi"/>
          <w:sz w:val="20"/>
          <w:szCs w:val="20"/>
          <w:lang w:val="es-AR"/>
        </w:rPr>
        <w:t xml:space="preserve">omisión </w:t>
      </w:r>
      <w:r w:rsidR="007D286D" w:rsidRPr="00CC6E48">
        <w:rPr>
          <w:rFonts w:asciiTheme="majorHAnsi" w:hAnsiTheme="majorHAnsi"/>
          <w:sz w:val="20"/>
          <w:szCs w:val="20"/>
          <w:lang w:val="es-AR"/>
        </w:rPr>
        <w:t xml:space="preserve">el </w:t>
      </w:r>
      <w:r w:rsidR="00DB797D" w:rsidRPr="00DB797D">
        <w:rPr>
          <w:rFonts w:asciiTheme="majorHAnsi" w:hAnsiTheme="majorHAnsi"/>
          <w:sz w:val="20"/>
          <w:szCs w:val="20"/>
          <w:lang w:val="es-AR"/>
        </w:rPr>
        <w:t>19 de octubre de 2006</w:t>
      </w:r>
      <w:r w:rsidR="006C3C73">
        <w:rPr>
          <w:rFonts w:asciiTheme="majorHAnsi" w:hAnsiTheme="majorHAnsi"/>
          <w:sz w:val="20"/>
          <w:szCs w:val="20"/>
          <w:lang w:val="es-AR"/>
        </w:rPr>
        <w:t>,</w:t>
      </w:r>
      <w:r w:rsidR="00DB797D" w:rsidRPr="00DB797D">
        <w:rPr>
          <w:rFonts w:asciiTheme="majorHAnsi" w:hAnsiTheme="majorHAnsi"/>
          <w:sz w:val="20"/>
          <w:szCs w:val="20"/>
          <w:lang w:val="es-AR"/>
        </w:rPr>
        <w:t xml:space="preserve"> </w:t>
      </w:r>
      <w:r w:rsidR="007D286D" w:rsidRPr="00CC6E48">
        <w:rPr>
          <w:rFonts w:asciiTheme="majorHAnsi" w:hAnsiTheme="majorHAnsi"/>
          <w:sz w:val="20"/>
          <w:szCs w:val="20"/>
          <w:lang w:val="es-AR"/>
        </w:rPr>
        <w:t xml:space="preserve">y los presuntos hechos materia del reclamo </w:t>
      </w:r>
      <w:r w:rsidR="004318D7">
        <w:rPr>
          <w:rFonts w:asciiTheme="majorHAnsi" w:hAnsiTheme="majorHAnsi"/>
          <w:sz w:val="20"/>
          <w:szCs w:val="20"/>
          <w:lang w:val="es-AR"/>
        </w:rPr>
        <w:t>se habrían iniciado</w:t>
      </w:r>
      <w:r w:rsidR="007D286D" w:rsidRPr="00E1382B">
        <w:rPr>
          <w:rFonts w:asciiTheme="majorHAnsi" w:hAnsiTheme="majorHAnsi"/>
          <w:sz w:val="20"/>
          <w:szCs w:val="20"/>
          <w:lang w:val="es-AR"/>
        </w:rPr>
        <w:t xml:space="preserve"> el </w:t>
      </w:r>
      <w:r w:rsidR="00E1382B" w:rsidRPr="00E1382B">
        <w:rPr>
          <w:rFonts w:asciiTheme="majorHAnsi" w:hAnsiTheme="majorHAnsi"/>
          <w:sz w:val="20"/>
          <w:szCs w:val="20"/>
          <w:lang w:val="es-AR"/>
        </w:rPr>
        <w:t>8 de enero de 2006</w:t>
      </w:r>
      <w:r w:rsidR="007D286D" w:rsidRPr="00CC6E48">
        <w:rPr>
          <w:rFonts w:asciiTheme="majorHAnsi" w:hAnsiTheme="majorHAnsi"/>
          <w:sz w:val="20"/>
          <w:szCs w:val="20"/>
          <w:lang w:val="es-AR"/>
        </w:rPr>
        <w:t>. Por lo tanto, en vista del contexto y las características del presente caso, la Comisión considera que la petición fue presentada dentro de un plazo razonable y que debe darse por satisfecho el requisito de admisibilidad referente al plazo de presentación</w:t>
      </w:r>
      <w:r w:rsidR="007D286D" w:rsidRPr="00CC6E48">
        <w:rPr>
          <w:rFonts w:asciiTheme="majorHAnsi" w:hAnsiTheme="majorHAnsi"/>
          <w:bCs/>
          <w:sz w:val="20"/>
          <w:szCs w:val="20"/>
          <w:lang w:val="es-ES"/>
        </w:rPr>
        <w:t>.</w:t>
      </w:r>
    </w:p>
    <w:p w:rsidR="00547D7F" w:rsidRPr="00CC6E48" w:rsidRDefault="00547D7F" w:rsidP="00AD52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rsidR="0063685A" w:rsidRDefault="0063685A" w:rsidP="00AD528E">
      <w:pPr>
        <w:ind w:left="720"/>
        <w:jc w:val="both"/>
        <w:rPr>
          <w:rFonts w:asciiTheme="majorHAnsi" w:hAnsiTheme="majorHAnsi"/>
          <w:b/>
          <w:bCs/>
          <w:sz w:val="20"/>
          <w:szCs w:val="20"/>
          <w:lang w:val="es-UY"/>
        </w:rPr>
      </w:pPr>
      <w:r w:rsidRPr="0063685A">
        <w:rPr>
          <w:rFonts w:asciiTheme="majorHAnsi" w:hAnsiTheme="majorHAnsi"/>
          <w:b/>
          <w:bCs/>
          <w:sz w:val="20"/>
          <w:szCs w:val="20"/>
          <w:lang w:val="es-UY"/>
        </w:rPr>
        <w:t>3.</w:t>
      </w:r>
      <w:r w:rsidRPr="0063685A">
        <w:rPr>
          <w:rFonts w:asciiTheme="majorHAnsi" w:hAnsiTheme="majorHAnsi"/>
          <w:b/>
          <w:bCs/>
          <w:sz w:val="20"/>
          <w:szCs w:val="20"/>
          <w:lang w:val="es-UY"/>
        </w:rPr>
        <w:tab/>
        <w:t>Duplicación de procedimientos y cosa juzgada</w:t>
      </w:r>
      <w:r w:rsidRPr="0063685A">
        <w:rPr>
          <w:rFonts w:asciiTheme="majorHAnsi" w:hAnsiTheme="majorHAnsi"/>
          <w:b/>
          <w:bCs/>
          <w:i/>
          <w:sz w:val="20"/>
          <w:szCs w:val="20"/>
          <w:lang w:val="es-UY"/>
        </w:rPr>
        <w:t xml:space="preserve"> </w:t>
      </w:r>
      <w:r w:rsidRPr="0063685A">
        <w:rPr>
          <w:rFonts w:asciiTheme="majorHAnsi" w:hAnsiTheme="majorHAnsi"/>
          <w:b/>
          <w:bCs/>
          <w:sz w:val="20"/>
          <w:szCs w:val="20"/>
          <w:lang w:val="es-UY"/>
        </w:rPr>
        <w:t>internacional</w:t>
      </w:r>
    </w:p>
    <w:p w:rsidR="00AD528E" w:rsidRPr="0063685A" w:rsidRDefault="00AD528E" w:rsidP="00AD528E">
      <w:pPr>
        <w:ind w:left="720"/>
        <w:jc w:val="both"/>
        <w:rPr>
          <w:rFonts w:asciiTheme="majorHAnsi" w:hAnsiTheme="majorHAnsi"/>
          <w:b/>
          <w:bCs/>
          <w:sz w:val="20"/>
          <w:szCs w:val="20"/>
          <w:lang w:val="es-UY"/>
        </w:rPr>
      </w:pPr>
    </w:p>
    <w:p w:rsidR="0063685A" w:rsidRDefault="0063685A" w:rsidP="00AD52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63685A">
        <w:rPr>
          <w:rFonts w:asciiTheme="majorHAnsi" w:hAnsiTheme="majorHAnsi"/>
          <w:sz w:val="20"/>
          <w:szCs w:val="20"/>
          <w:lang w:val="es-UY"/>
        </w:rPr>
        <w:t>No surge del expediente que la materia de la petición se encuentre pendiente de otro procedimiento de arreglo internacional, ni que reproduzca una petición ya examinada por éste u otro órgano internacional. Por lo tanto, corresponde dar por cumplidos los requisitos establecidos e</w:t>
      </w:r>
      <w:r w:rsidR="00385E1D">
        <w:rPr>
          <w:rFonts w:asciiTheme="majorHAnsi" w:hAnsiTheme="majorHAnsi"/>
          <w:sz w:val="20"/>
          <w:szCs w:val="20"/>
          <w:lang w:val="es-UY"/>
        </w:rPr>
        <w:t>n los artículos 46.1.c</w:t>
      </w:r>
      <w:r w:rsidRPr="0063685A">
        <w:rPr>
          <w:rFonts w:asciiTheme="majorHAnsi" w:hAnsiTheme="majorHAnsi"/>
          <w:sz w:val="20"/>
          <w:szCs w:val="20"/>
          <w:lang w:val="es-UY"/>
        </w:rPr>
        <w:t xml:space="preserve"> y 47</w:t>
      </w:r>
      <w:r w:rsidR="00385E1D">
        <w:rPr>
          <w:rFonts w:asciiTheme="majorHAnsi" w:hAnsiTheme="majorHAnsi"/>
          <w:sz w:val="20"/>
          <w:szCs w:val="20"/>
          <w:lang w:val="es-UY"/>
        </w:rPr>
        <w:t>.d</w:t>
      </w:r>
      <w:r w:rsidRPr="0063685A">
        <w:rPr>
          <w:rFonts w:asciiTheme="majorHAnsi" w:hAnsiTheme="majorHAnsi"/>
          <w:sz w:val="20"/>
          <w:szCs w:val="20"/>
          <w:lang w:val="es-UY"/>
        </w:rPr>
        <w:t xml:space="preserve"> de la Convención.</w:t>
      </w:r>
    </w:p>
    <w:p w:rsidR="00547D7F" w:rsidRPr="0063685A" w:rsidRDefault="00547D7F" w:rsidP="00AD52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rsidR="0063685A" w:rsidRDefault="0063685A" w:rsidP="00AD528E">
      <w:pPr>
        <w:ind w:left="720"/>
        <w:jc w:val="both"/>
        <w:rPr>
          <w:rFonts w:asciiTheme="majorHAnsi" w:hAnsiTheme="majorHAnsi"/>
          <w:b/>
          <w:bCs/>
          <w:sz w:val="20"/>
          <w:szCs w:val="20"/>
          <w:lang w:val="es-UY"/>
        </w:rPr>
      </w:pPr>
      <w:r w:rsidRPr="0063685A">
        <w:rPr>
          <w:rFonts w:asciiTheme="majorHAnsi" w:hAnsiTheme="majorHAnsi"/>
          <w:b/>
          <w:bCs/>
          <w:sz w:val="20"/>
          <w:szCs w:val="20"/>
          <w:lang w:val="es-UY"/>
        </w:rPr>
        <w:t>4.</w:t>
      </w:r>
      <w:r w:rsidRPr="0063685A">
        <w:rPr>
          <w:rFonts w:asciiTheme="majorHAnsi" w:hAnsiTheme="majorHAnsi"/>
          <w:b/>
          <w:bCs/>
          <w:sz w:val="20"/>
          <w:szCs w:val="20"/>
          <w:lang w:val="es-UY"/>
        </w:rPr>
        <w:tab/>
        <w:t>Caracterización de los hechos alegados</w:t>
      </w:r>
    </w:p>
    <w:p w:rsidR="00AD528E" w:rsidRPr="0063685A" w:rsidRDefault="00AD528E" w:rsidP="00AD528E">
      <w:pPr>
        <w:ind w:left="720"/>
        <w:jc w:val="both"/>
        <w:rPr>
          <w:rFonts w:asciiTheme="majorHAnsi" w:hAnsiTheme="majorHAnsi"/>
          <w:b/>
          <w:bCs/>
          <w:sz w:val="20"/>
          <w:szCs w:val="20"/>
          <w:lang w:val="es-UY"/>
        </w:rPr>
      </w:pPr>
    </w:p>
    <w:p w:rsidR="009F0B9A" w:rsidRDefault="0063685A" w:rsidP="00AD52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63685A">
        <w:rPr>
          <w:rFonts w:asciiTheme="majorHAnsi" w:hAnsiTheme="majorHAnsi"/>
          <w:sz w:val="20"/>
          <w:szCs w:val="20"/>
          <w:lang w:val="es-UY"/>
        </w:rPr>
        <w:t xml:space="preserve">A los efectos de la admisibilidad, la Comisión debe decidir si los hechos alegados pueden caracterizar una violación de derechos, según lo estipulado en el </w:t>
      </w:r>
      <w:r w:rsidR="00385E1D">
        <w:rPr>
          <w:rFonts w:asciiTheme="majorHAnsi" w:hAnsiTheme="majorHAnsi"/>
          <w:sz w:val="20"/>
          <w:szCs w:val="20"/>
          <w:lang w:val="es-UY"/>
        </w:rPr>
        <w:t>artículo 47.b</w:t>
      </w:r>
      <w:r w:rsidRPr="0063685A">
        <w:rPr>
          <w:rFonts w:asciiTheme="majorHAnsi" w:hAnsiTheme="majorHAnsi"/>
          <w:sz w:val="20"/>
          <w:szCs w:val="20"/>
          <w:lang w:val="es-UY"/>
        </w:rPr>
        <w:t xml:space="preserve"> de la Convención Americana, o si la petición es "manifiestamente infundada" o es "evidente su total improcedencia", conforme a</w:t>
      </w:r>
      <w:r w:rsidR="00820C69">
        <w:rPr>
          <w:rFonts w:asciiTheme="majorHAnsi" w:hAnsiTheme="majorHAnsi"/>
          <w:sz w:val="20"/>
          <w:szCs w:val="20"/>
          <w:lang w:val="es-UY"/>
        </w:rPr>
        <w:t xml:space="preserve">l inciso </w:t>
      </w:r>
      <w:r w:rsidR="008553C6">
        <w:rPr>
          <w:rFonts w:asciiTheme="majorHAnsi" w:hAnsiTheme="majorHAnsi"/>
          <w:sz w:val="20"/>
          <w:szCs w:val="20"/>
          <w:lang w:val="es-UY"/>
        </w:rPr>
        <w:t>c) de dicho artículo.</w:t>
      </w:r>
      <w:r w:rsidRPr="0063685A">
        <w:rPr>
          <w:rFonts w:asciiTheme="majorHAnsi" w:hAnsiTheme="majorHAnsi"/>
          <w:sz w:val="20"/>
          <w:szCs w:val="20"/>
          <w:lang w:val="es-UY"/>
        </w:rPr>
        <w:t xml:space="preserve"> El criterio para analizar la admisibilidad difiere del utilizado para el análisis del fondo de la petición dado que la Comisión sólo realiza un análisis </w:t>
      </w:r>
      <w:r w:rsidRPr="0063685A">
        <w:rPr>
          <w:rFonts w:asciiTheme="majorHAnsi" w:hAnsiTheme="majorHAnsi"/>
          <w:i/>
          <w:sz w:val="20"/>
          <w:szCs w:val="20"/>
          <w:lang w:val="es-UY"/>
        </w:rPr>
        <w:t>prima facie</w:t>
      </w:r>
      <w:r w:rsidRPr="0063685A">
        <w:rPr>
          <w:rFonts w:asciiTheme="majorHAnsi" w:hAnsiTheme="majorHAnsi"/>
          <w:sz w:val="20"/>
          <w:szCs w:val="20"/>
          <w:lang w:val="es-UY"/>
        </w:rPr>
        <w:t xml:space="preserve"> para determinar si los peticionarios establecen la aparente o posible violación de un derecho garantizado por la </w:t>
      </w:r>
      <w:r w:rsidR="00847102">
        <w:rPr>
          <w:rFonts w:asciiTheme="majorHAnsi" w:hAnsiTheme="majorHAnsi"/>
          <w:sz w:val="20"/>
          <w:szCs w:val="20"/>
          <w:lang w:val="es-UY"/>
        </w:rPr>
        <w:t>Convención Americana</w:t>
      </w:r>
      <w:r w:rsidRPr="0063685A">
        <w:rPr>
          <w:rFonts w:asciiTheme="majorHAnsi" w:hAnsiTheme="majorHAnsi"/>
          <w:sz w:val="20"/>
          <w:szCs w:val="20"/>
          <w:lang w:val="es-UY"/>
        </w:rPr>
        <w:t>. Se trata de un análisis somero que no implica prejuzgar o emitir una opinión preliminar sobre el fondo del asunto.</w:t>
      </w:r>
    </w:p>
    <w:p w:rsidR="00CE4E23" w:rsidRPr="00CE4E23" w:rsidRDefault="00CE4E23" w:rsidP="00AD52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UY"/>
        </w:rPr>
      </w:pPr>
    </w:p>
    <w:p w:rsidR="009F0B9A" w:rsidRDefault="009F0B9A" w:rsidP="00AD52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9F0B9A">
        <w:rPr>
          <w:rFonts w:asciiTheme="majorHAnsi" w:hAnsiTheme="majorHAnsi"/>
          <w:sz w:val="20"/>
          <w:szCs w:val="20"/>
          <w:lang w:val="es-UY"/>
        </w:rPr>
        <w:t>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547D7F" w:rsidRPr="009F0B9A" w:rsidRDefault="00547D7F" w:rsidP="00AD52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rsidR="00F95293" w:rsidRPr="00F95293" w:rsidRDefault="00CE3776" w:rsidP="00AD528E">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r>
        <w:rPr>
          <w:rFonts w:asciiTheme="majorHAnsi" w:eastAsia="SimSun" w:hAnsiTheme="majorHAnsi"/>
          <w:sz w:val="20"/>
          <w:szCs w:val="20"/>
          <w:lang w:val="es-UY"/>
        </w:rPr>
        <w:t>L</w:t>
      </w:r>
      <w:r w:rsidR="007E1669" w:rsidRPr="009F69EC">
        <w:rPr>
          <w:rFonts w:asciiTheme="majorHAnsi" w:eastAsia="SimSun" w:hAnsiTheme="majorHAnsi"/>
          <w:sz w:val="20"/>
          <w:szCs w:val="20"/>
          <w:lang w:val="es-UY"/>
        </w:rPr>
        <w:t>os</w:t>
      </w:r>
      <w:r w:rsidR="0063685A" w:rsidRPr="009F69EC">
        <w:rPr>
          <w:rFonts w:asciiTheme="majorHAnsi" w:eastAsia="SimSun" w:hAnsiTheme="majorHAnsi"/>
          <w:sz w:val="20"/>
          <w:szCs w:val="20"/>
          <w:lang w:val="es-UY"/>
        </w:rPr>
        <w:t xml:space="preserve"> </w:t>
      </w:r>
      <w:r w:rsidR="0063685A" w:rsidRPr="0063685A">
        <w:rPr>
          <w:rFonts w:asciiTheme="majorHAnsi" w:eastAsia="SimSun" w:hAnsiTheme="majorHAnsi"/>
          <w:sz w:val="20"/>
          <w:szCs w:val="20"/>
          <w:lang w:val="es-UY"/>
        </w:rPr>
        <w:t>peticionario</w:t>
      </w:r>
      <w:r w:rsidR="007E1669" w:rsidRPr="009F69EC">
        <w:rPr>
          <w:rFonts w:asciiTheme="majorHAnsi" w:eastAsia="SimSun" w:hAnsiTheme="majorHAnsi"/>
          <w:sz w:val="20"/>
          <w:szCs w:val="20"/>
          <w:lang w:val="es-UY"/>
        </w:rPr>
        <w:t>s</w:t>
      </w:r>
      <w:r w:rsidR="0063685A" w:rsidRPr="0063685A">
        <w:rPr>
          <w:rFonts w:asciiTheme="majorHAnsi" w:eastAsia="SimSun" w:hAnsiTheme="majorHAnsi"/>
          <w:sz w:val="20"/>
          <w:szCs w:val="20"/>
          <w:lang w:val="es-UY"/>
        </w:rPr>
        <w:t xml:space="preserve"> sostiene</w:t>
      </w:r>
      <w:r w:rsidR="007E1669" w:rsidRPr="009F69EC">
        <w:rPr>
          <w:rFonts w:asciiTheme="majorHAnsi" w:eastAsia="SimSun" w:hAnsiTheme="majorHAnsi"/>
          <w:sz w:val="20"/>
          <w:szCs w:val="20"/>
          <w:lang w:val="es-UY"/>
        </w:rPr>
        <w:t>n</w:t>
      </w:r>
      <w:r w:rsidR="0063685A" w:rsidRPr="0063685A">
        <w:rPr>
          <w:rFonts w:asciiTheme="majorHAnsi" w:eastAsia="SimSun" w:hAnsiTheme="majorHAnsi"/>
          <w:sz w:val="20"/>
          <w:szCs w:val="20"/>
          <w:lang w:val="es-UY"/>
        </w:rPr>
        <w:t xml:space="preserve"> que </w:t>
      </w:r>
      <w:r>
        <w:rPr>
          <w:rFonts w:asciiTheme="majorHAnsi" w:eastAsia="SimSun" w:hAnsiTheme="majorHAnsi"/>
          <w:sz w:val="20"/>
          <w:szCs w:val="20"/>
          <w:lang w:val="es-UY"/>
        </w:rPr>
        <w:t xml:space="preserve">las presuntas </w:t>
      </w:r>
      <w:r w:rsidR="009F69EC">
        <w:rPr>
          <w:rFonts w:asciiTheme="majorHAnsi" w:eastAsia="SimSun" w:hAnsiTheme="majorHAnsi"/>
          <w:sz w:val="20"/>
          <w:szCs w:val="20"/>
          <w:lang w:val="es-UY"/>
        </w:rPr>
        <w:t>víctimas</w:t>
      </w:r>
      <w:r>
        <w:rPr>
          <w:rFonts w:asciiTheme="majorHAnsi" w:eastAsia="SimSun" w:hAnsiTheme="majorHAnsi"/>
          <w:sz w:val="20"/>
          <w:szCs w:val="20"/>
          <w:lang w:val="es-UY"/>
        </w:rPr>
        <w:t xml:space="preserve"> </w:t>
      </w:r>
      <w:r>
        <w:rPr>
          <w:rFonts w:asciiTheme="majorHAnsi" w:hAnsiTheme="majorHAnsi"/>
          <w:sz w:val="20"/>
          <w:szCs w:val="20"/>
          <w:lang w:val="es-UY"/>
        </w:rPr>
        <w:t>Hortencia Neyid Tunja Cuchumbe y</w:t>
      </w:r>
      <w:r w:rsidRPr="00B47A60">
        <w:rPr>
          <w:rFonts w:asciiTheme="majorHAnsi" w:hAnsiTheme="majorHAnsi"/>
          <w:sz w:val="20"/>
          <w:szCs w:val="20"/>
          <w:lang w:val="es-UY"/>
        </w:rPr>
        <w:t xml:space="preserve"> Manuel Antonio Tao Pillimué</w:t>
      </w:r>
      <w:r>
        <w:rPr>
          <w:rFonts w:asciiTheme="majorHAnsi" w:hAnsiTheme="majorHAnsi"/>
          <w:sz w:val="20"/>
          <w:szCs w:val="20"/>
          <w:lang w:val="es-UY"/>
        </w:rPr>
        <w:t xml:space="preserve">, </w:t>
      </w:r>
      <w:r w:rsidR="00F95293">
        <w:rPr>
          <w:rFonts w:asciiTheme="majorHAnsi" w:hAnsiTheme="majorHAnsi"/>
          <w:sz w:val="20"/>
          <w:szCs w:val="20"/>
          <w:lang w:val="es-UY"/>
        </w:rPr>
        <w:t>habrían sidos ejecutados extrajudicialmente, resultando de los mismos hechos herido de gravedad W</w:t>
      </w:r>
      <w:r w:rsidRPr="00B47A60">
        <w:rPr>
          <w:rFonts w:asciiTheme="majorHAnsi" w:hAnsiTheme="majorHAnsi"/>
          <w:sz w:val="20"/>
          <w:szCs w:val="20"/>
          <w:lang w:val="es-UY"/>
        </w:rPr>
        <w:t>illian José Cunacue Medina</w:t>
      </w:r>
      <w:r>
        <w:rPr>
          <w:rFonts w:asciiTheme="majorHAnsi" w:hAnsiTheme="majorHAnsi"/>
          <w:sz w:val="20"/>
          <w:szCs w:val="20"/>
          <w:lang w:val="es-UY"/>
        </w:rPr>
        <w:t xml:space="preserve">. </w:t>
      </w:r>
      <w:r w:rsidR="00F95293">
        <w:rPr>
          <w:rFonts w:asciiTheme="majorHAnsi" w:hAnsiTheme="majorHAnsi"/>
          <w:sz w:val="20"/>
          <w:szCs w:val="20"/>
          <w:lang w:val="es-UY"/>
        </w:rPr>
        <w:t xml:space="preserve">Indican que el </w:t>
      </w:r>
      <w:r w:rsidR="00E625A9">
        <w:rPr>
          <w:rFonts w:asciiTheme="majorHAnsi" w:hAnsiTheme="majorHAnsi"/>
          <w:sz w:val="20"/>
          <w:szCs w:val="20"/>
          <w:lang w:val="es-UY"/>
        </w:rPr>
        <w:t>e</w:t>
      </w:r>
      <w:r w:rsidR="00F95293">
        <w:rPr>
          <w:rFonts w:asciiTheme="majorHAnsi" w:hAnsiTheme="majorHAnsi"/>
          <w:sz w:val="20"/>
          <w:szCs w:val="20"/>
          <w:lang w:val="es-UY"/>
        </w:rPr>
        <w:t>jército habría adelantado acciones para alterar la escena de los hechos, y presentado ante los medios de comunicación a</w:t>
      </w:r>
      <w:r w:rsidR="009051ED">
        <w:rPr>
          <w:rFonts w:asciiTheme="majorHAnsi" w:hAnsiTheme="majorHAnsi"/>
          <w:sz w:val="20"/>
          <w:szCs w:val="20"/>
          <w:lang w:val="es-UY"/>
        </w:rPr>
        <w:t xml:space="preserve"> </w:t>
      </w:r>
      <w:r w:rsidR="00F95293" w:rsidRPr="00F95293">
        <w:rPr>
          <w:rFonts w:asciiTheme="majorHAnsi" w:hAnsiTheme="majorHAnsi"/>
          <w:sz w:val="20"/>
          <w:szCs w:val="20"/>
          <w:lang w:val="es-UY"/>
        </w:rPr>
        <w:t>Hortencia Neyid Tunja Cuchumbe y Manuel Antonio Tao Pillimué</w:t>
      </w:r>
      <w:r w:rsidR="00F95293">
        <w:rPr>
          <w:rFonts w:asciiTheme="majorHAnsi" w:hAnsiTheme="majorHAnsi"/>
          <w:sz w:val="20"/>
          <w:szCs w:val="20"/>
          <w:lang w:val="es-UY"/>
        </w:rPr>
        <w:t xml:space="preserve"> como </w:t>
      </w:r>
      <w:r w:rsidR="00920C48">
        <w:rPr>
          <w:rFonts w:asciiTheme="majorHAnsi" w:hAnsiTheme="majorHAnsi"/>
          <w:sz w:val="20"/>
          <w:szCs w:val="20"/>
          <w:lang w:val="es-UY"/>
        </w:rPr>
        <w:t>“</w:t>
      </w:r>
      <w:r w:rsidR="00F95293">
        <w:rPr>
          <w:rFonts w:asciiTheme="majorHAnsi" w:hAnsiTheme="majorHAnsi"/>
          <w:sz w:val="20"/>
          <w:szCs w:val="20"/>
          <w:lang w:val="es-UY"/>
        </w:rPr>
        <w:t>positivos</w:t>
      </w:r>
      <w:r w:rsidR="00920C48">
        <w:rPr>
          <w:rFonts w:asciiTheme="majorHAnsi" w:hAnsiTheme="majorHAnsi"/>
          <w:sz w:val="20"/>
          <w:szCs w:val="20"/>
          <w:lang w:val="es-UY"/>
        </w:rPr>
        <w:t>”</w:t>
      </w:r>
      <w:r w:rsidR="00F95293">
        <w:rPr>
          <w:rFonts w:asciiTheme="majorHAnsi" w:hAnsiTheme="majorHAnsi"/>
          <w:sz w:val="20"/>
          <w:szCs w:val="20"/>
          <w:lang w:val="es-UY"/>
        </w:rPr>
        <w:t xml:space="preserve"> militares.</w:t>
      </w:r>
      <w:r w:rsidR="00DC666E">
        <w:rPr>
          <w:rFonts w:asciiTheme="majorHAnsi" w:hAnsiTheme="majorHAnsi"/>
          <w:sz w:val="20"/>
          <w:szCs w:val="20"/>
          <w:lang w:val="es-UY"/>
        </w:rPr>
        <w:t xml:space="preserve"> Refieren </w:t>
      </w:r>
      <w:r w:rsidR="00291868">
        <w:rPr>
          <w:rFonts w:asciiTheme="majorHAnsi" w:hAnsiTheme="majorHAnsi"/>
          <w:sz w:val="20"/>
          <w:szCs w:val="20"/>
          <w:lang w:val="es-UY"/>
        </w:rPr>
        <w:t>que</w:t>
      </w:r>
      <w:r w:rsidR="00DC666E">
        <w:rPr>
          <w:rFonts w:asciiTheme="majorHAnsi" w:hAnsiTheme="majorHAnsi"/>
          <w:sz w:val="20"/>
          <w:szCs w:val="20"/>
          <w:lang w:val="es-UY"/>
        </w:rPr>
        <w:t xml:space="preserve"> </w:t>
      </w:r>
      <w:r w:rsidR="000D7D02">
        <w:rPr>
          <w:rFonts w:asciiTheme="majorHAnsi" w:hAnsiTheme="majorHAnsi"/>
          <w:sz w:val="20"/>
          <w:szCs w:val="20"/>
          <w:lang w:val="es-UY"/>
        </w:rPr>
        <w:t xml:space="preserve">se </w:t>
      </w:r>
      <w:r w:rsidR="00291868">
        <w:rPr>
          <w:rFonts w:asciiTheme="majorHAnsi" w:hAnsiTheme="majorHAnsi"/>
          <w:sz w:val="20"/>
          <w:szCs w:val="20"/>
          <w:lang w:val="es-UY"/>
        </w:rPr>
        <w:t>habría</w:t>
      </w:r>
      <w:r w:rsidR="00DC666E">
        <w:rPr>
          <w:rFonts w:asciiTheme="majorHAnsi" w:hAnsiTheme="majorHAnsi"/>
          <w:sz w:val="20"/>
          <w:szCs w:val="20"/>
          <w:lang w:val="es-UY"/>
        </w:rPr>
        <w:t xml:space="preserve"> iniciado un proceso por el delito de rebelión contra </w:t>
      </w:r>
      <w:r w:rsidR="00DC666E" w:rsidRPr="00DC666E">
        <w:rPr>
          <w:rFonts w:asciiTheme="majorHAnsi" w:hAnsiTheme="majorHAnsi"/>
          <w:sz w:val="20"/>
          <w:szCs w:val="20"/>
          <w:lang w:val="es-UY"/>
        </w:rPr>
        <w:t>Willian José Cunacue Medina</w:t>
      </w:r>
      <w:r w:rsidR="00DC666E">
        <w:rPr>
          <w:rFonts w:asciiTheme="majorHAnsi" w:hAnsiTheme="majorHAnsi"/>
          <w:sz w:val="20"/>
          <w:szCs w:val="20"/>
          <w:lang w:val="es-UY"/>
        </w:rPr>
        <w:t xml:space="preserve"> y un proceso penal en lo relativo a los delitos de homicidio y lesiones de las presuntas víctimas</w:t>
      </w:r>
      <w:r w:rsidR="00291868">
        <w:rPr>
          <w:rFonts w:asciiTheme="majorHAnsi" w:hAnsiTheme="majorHAnsi"/>
          <w:sz w:val="20"/>
          <w:szCs w:val="20"/>
          <w:lang w:val="es-UY"/>
        </w:rPr>
        <w:t>. Sobre este último proceso</w:t>
      </w:r>
      <w:r w:rsidR="00EC2086">
        <w:rPr>
          <w:rFonts w:asciiTheme="majorHAnsi" w:hAnsiTheme="majorHAnsi"/>
          <w:sz w:val="20"/>
          <w:szCs w:val="20"/>
          <w:lang w:val="es-UY"/>
        </w:rPr>
        <w:t>,</w:t>
      </w:r>
      <w:r w:rsidR="00291868">
        <w:rPr>
          <w:rFonts w:asciiTheme="majorHAnsi" w:hAnsiTheme="majorHAnsi"/>
          <w:sz w:val="20"/>
          <w:szCs w:val="20"/>
          <w:lang w:val="es-UY"/>
        </w:rPr>
        <w:t xml:space="preserve"> indican que inicialmente fue conocido por la justicia militar, y que posteriormente se radic</w:t>
      </w:r>
      <w:r w:rsidR="004A66A4">
        <w:rPr>
          <w:rFonts w:asciiTheme="majorHAnsi" w:hAnsiTheme="majorHAnsi"/>
          <w:sz w:val="20"/>
          <w:szCs w:val="20"/>
          <w:lang w:val="es-UY"/>
        </w:rPr>
        <w:t>ó</w:t>
      </w:r>
      <w:r w:rsidR="00291868">
        <w:rPr>
          <w:rFonts w:asciiTheme="majorHAnsi" w:hAnsiTheme="majorHAnsi"/>
          <w:sz w:val="20"/>
          <w:szCs w:val="20"/>
          <w:lang w:val="es-UY"/>
        </w:rPr>
        <w:t xml:space="preserve"> en la justicia ordinaria, bajo cuya competencia se vinculó a la instrucción penal a tres agentes estatales, sin embargo</w:t>
      </w:r>
      <w:r w:rsidR="00EC2086">
        <w:rPr>
          <w:rFonts w:asciiTheme="majorHAnsi" w:hAnsiTheme="majorHAnsi"/>
          <w:sz w:val="20"/>
          <w:szCs w:val="20"/>
          <w:lang w:val="es-UY"/>
        </w:rPr>
        <w:t>, según lo informado,</w:t>
      </w:r>
      <w:r w:rsidR="00291868">
        <w:rPr>
          <w:rFonts w:asciiTheme="majorHAnsi" w:hAnsiTheme="majorHAnsi"/>
          <w:sz w:val="20"/>
          <w:szCs w:val="20"/>
          <w:lang w:val="es-UY"/>
        </w:rPr>
        <w:t xml:space="preserve"> a la fecha no se ha proferido sentencia de primera instancia. Además</w:t>
      </w:r>
      <w:r w:rsidR="00940459">
        <w:rPr>
          <w:rFonts w:asciiTheme="majorHAnsi" w:hAnsiTheme="majorHAnsi"/>
          <w:sz w:val="20"/>
          <w:szCs w:val="20"/>
          <w:lang w:val="es-UY"/>
        </w:rPr>
        <w:t>,</w:t>
      </w:r>
      <w:r w:rsidR="00291868">
        <w:rPr>
          <w:rFonts w:asciiTheme="majorHAnsi" w:hAnsiTheme="majorHAnsi"/>
          <w:sz w:val="20"/>
          <w:szCs w:val="20"/>
          <w:lang w:val="es-UY"/>
        </w:rPr>
        <w:t xml:space="preserve"> refieren que familiares de las presuntas víctimas iniciaron un proceso contencioso administrativo para la obtención de reparaciones, sin embargo las medidas ordenadas mediante sentencia no cumplirían con los estándares del sistema para ser una reparación integral. </w:t>
      </w:r>
    </w:p>
    <w:p w:rsidR="00F95293" w:rsidRDefault="00F95293" w:rsidP="00AD528E">
      <w:pPr>
        <w:pStyle w:val="ListParagraph"/>
        <w:rPr>
          <w:rFonts w:asciiTheme="majorHAnsi" w:hAnsiTheme="majorHAnsi"/>
          <w:sz w:val="20"/>
          <w:szCs w:val="20"/>
          <w:lang w:val="es-UY"/>
        </w:rPr>
      </w:pPr>
    </w:p>
    <w:p w:rsidR="001F458D" w:rsidRDefault="0063685A" w:rsidP="00AD528E">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r w:rsidRPr="001F458D">
        <w:rPr>
          <w:rFonts w:asciiTheme="majorHAnsi" w:eastAsia="SimSun" w:hAnsiTheme="majorHAnsi"/>
          <w:sz w:val="20"/>
          <w:szCs w:val="20"/>
          <w:lang w:val="es-UY"/>
        </w:rPr>
        <w:t>A su vez</w:t>
      </w:r>
      <w:r w:rsidR="002F6413">
        <w:rPr>
          <w:rFonts w:asciiTheme="majorHAnsi" w:eastAsia="SimSun" w:hAnsiTheme="majorHAnsi"/>
          <w:sz w:val="20"/>
          <w:szCs w:val="20"/>
          <w:lang w:val="es-UY"/>
        </w:rPr>
        <w:t>,</w:t>
      </w:r>
      <w:r w:rsidRPr="001F458D">
        <w:rPr>
          <w:rFonts w:asciiTheme="majorHAnsi" w:eastAsia="SimSun" w:hAnsiTheme="majorHAnsi"/>
          <w:sz w:val="20"/>
          <w:szCs w:val="20"/>
          <w:lang w:val="es-UY"/>
        </w:rPr>
        <w:t xml:space="preserve"> el Estado manifiesta que </w:t>
      </w:r>
      <w:r w:rsidR="002F6413">
        <w:rPr>
          <w:rFonts w:asciiTheme="majorHAnsi" w:eastAsia="SimSun" w:hAnsiTheme="majorHAnsi"/>
          <w:sz w:val="20"/>
          <w:szCs w:val="20"/>
          <w:lang w:val="es-UY"/>
        </w:rPr>
        <w:t>los</w:t>
      </w:r>
      <w:r w:rsidR="00291868" w:rsidRPr="001F458D">
        <w:rPr>
          <w:rFonts w:asciiTheme="majorHAnsi" w:eastAsia="SimSun" w:hAnsiTheme="majorHAnsi"/>
          <w:sz w:val="20"/>
          <w:szCs w:val="20"/>
          <w:lang w:val="es-UY"/>
        </w:rPr>
        <w:t xml:space="preserve"> recursos a nivel interno</w:t>
      </w:r>
      <w:r w:rsidR="002F6413">
        <w:rPr>
          <w:rFonts w:asciiTheme="majorHAnsi" w:eastAsia="SimSun" w:hAnsiTheme="majorHAnsi"/>
          <w:sz w:val="20"/>
          <w:szCs w:val="20"/>
          <w:lang w:val="es-UY"/>
        </w:rPr>
        <w:t xml:space="preserve"> se han desarrollado debidamente</w:t>
      </w:r>
      <w:r w:rsidR="00291868" w:rsidRPr="001F458D">
        <w:rPr>
          <w:rFonts w:asciiTheme="majorHAnsi" w:eastAsia="SimSun" w:hAnsiTheme="majorHAnsi"/>
          <w:sz w:val="20"/>
          <w:szCs w:val="20"/>
          <w:lang w:val="es-UY"/>
        </w:rPr>
        <w:t xml:space="preserve">, y </w:t>
      </w:r>
      <w:r w:rsidR="003548B2" w:rsidRPr="001F458D">
        <w:rPr>
          <w:rFonts w:asciiTheme="majorHAnsi" w:eastAsia="SimSun" w:hAnsiTheme="majorHAnsi"/>
          <w:sz w:val="20"/>
          <w:szCs w:val="20"/>
          <w:lang w:val="es-UY"/>
        </w:rPr>
        <w:t xml:space="preserve">refiere </w:t>
      </w:r>
      <w:r w:rsidR="00291868" w:rsidRPr="001F458D">
        <w:rPr>
          <w:rFonts w:asciiTheme="majorHAnsi" w:eastAsia="SimSun" w:hAnsiTheme="majorHAnsi"/>
          <w:sz w:val="20"/>
          <w:szCs w:val="20"/>
          <w:lang w:val="es-UY"/>
        </w:rPr>
        <w:t xml:space="preserve">que </w:t>
      </w:r>
      <w:r w:rsidR="003548B2" w:rsidRPr="001F458D">
        <w:rPr>
          <w:rFonts w:asciiTheme="majorHAnsi" w:eastAsia="SimSun" w:hAnsiTheme="majorHAnsi"/>
          <w:sz w:val="20"/>
          <w:szCs w:val="20"/>
          <w:lang w:val="es-UY"/>
        </w:rPr>
        <w:t xml:space="preserve">se </w:t>
      </w:r>
      <w:r w:rsidR="00291868" w:rsidRPr="001F458D">
        <w:rPr>
          <w:rFonts w:asciiTheme="majorHAnsi" w:eastAsia="SimSun" w:hAnsiTheme="majorHAnsi"/>
          <w:sz w:val="20"/>
          <w:szCs w:val="20"/>
          <w:lang w:val="es-UY"/>
        </w:rPr>
        <w:t xml:space="preserve">ha desplegado una serie de acciones en sede </w:t>
      </w:r>
      <w:r w:rsidR="001F458D" w:rsidRPr="001F458D">
        <w:rPr>
          <w:rFonts w:asciiTheme="majorHAnsi" w:eastAsia="SimSun" w:hAnsiTheme="majorHAnsi"/>
          <w:sz w:val="20"/>
          <w:szCs w:val="20"/>
          <w:lang w:val="es-UY"/>
        </w:rPr>
        <w:t>penal</w:t>
      </w:r>
      <w:r w:rsidR="00291868" w:rsidRPr="001F458D">
        <w:rPr>
          <w:rFonts w:asciiTheme="majorHAnsi" w:eastAsia="SimSun" w:hAnsiTheme="majorHAnsi"/>
          <w:sz w:val="20"/>
          <w:szCs w:val="20"/>
          <w:lang w:val="es-UY"/>
        </w:rPr>
        <w:t xml:space="preserve"> para investigar los hechos denunciados, detallando las mismas, explicando que en la actualidad el fuero que conoce la materia</w:t>
      </w:r>
      <w:r w:rsidR="003548B2" w:rsidRPr="001F458D">
        <w:rPr>
          <w:rFonts w:asciiTheme="majorHAnsi" w:eastAsia="SimSun" w:hAnsiTheme="majorHAnsi"/>
          <w:sz w:val="20"/>
          <w:szCs w:val="20"/>
          <w:lang w:val="es-UY"/>
        </w:rPr>
        <w:t xml:space="preserve"> es el ordinario</w:t>
      </w:r>
      <w:r w:rsidR="00291868" w:rsidRPr="001F458D">
        <w:rPr>
          <w:rFonts w:asciiTheme="majorHAnsi" w:eastAsia="SimSun" w:hAnsiTheme="majorHAnsi"/>
          <w:sz w:val="20"/>
          <w:szCs w:val="20"/>
          <w:lang w:val="es-UY"/>
        </w:rPr>
        <w:t>, y que tanto en sede contencioso administrativa, así como en el procedimiento disciplinario iniciado, se habrían dictado sentencias favorables a las presuntas víctimas</w:t>
      </w:r>
      <w:r w:rsidR="003548B2" w:rsidRPr="001F458D">
        <w:rPr>
          <w:rFonts w:asciiTheme="majorHAnsi" w:eastAsia="SimSun" w:hAnsiTheme="majorHAnsi"/>
          <w:sz w:val="20"/>
          <w:szCs w:val="20"/>
          <w:lang w:val="es-UY"/>
        </w:rPr>
        <w:t>, configurándose respecto del aspecto de reparaciones, la fórmula de la cuarta instancia</w:t>
      </w:r>
      <w:r w:rsidR="00291868" w:rsidRPr="001F458D">
        <w:rPr>
          <w:rFonts w:asciiTheme="majorHAnsi" w:eastAsia="SimSun" w:hAnsiTheme="majorHAnsi"/>
          <w:sz w:val="20"/>
          <w:szCs w:val="20"/>
          <w:lang w:val="es-UY"/>
        </w:rPr>
        <w:t>.</w:t>
      </w:r>
      <w:r w:rsidR="001F458D" w:rsidRPr="001F458D">
        <w:rPr>
          <w:rFonts w:asciiTheme="majorHAnsi" w:eastAsia="SimSun" w:hAnsiTheme="majorHAnsi"/>
          <w:sz w:val="20"/>
          <w:szCs w:val="20"/>
          <w:lang w:val="es-UY"/>
        </w:rPr>
        <w:t xml:space="preserve"> Por lo anterior, el Estado alega </w:t>
      </w:r>
      <w:r w:rsidR="006C3C73">
        <w:rPr>
          <w:rFonts w:asciiTheme="majorHAnsi" w:eastAsia="SimSun" w:hAnsiTheme="majorHAnsi"/>
          <w:sz w:val="20"/>
          <w:szCs w:val="20"/>
          <w:lang w:val="es-UY"/>
        </w:rPr>
        <w:t xml:space="preserve">que </w:t>
      </w:r>
      <w:r w:rsidR="001F458D" w:rsidRPr="001F458D">
        <w:rPr>
          <w:rFonts w:asciiTheme="majorHAnsi" w:eastAsia="SimSun" w:hAnsiTheme="majorHAnsi"/>
          <w:sz w:val="20"/>
          <w:szCs w:val="20"/>
          <w:lang w:val="es-UY"/>
        </w:rPr>
        <w:t>la Comisión no debe conocer del asunto</w:t>
      </w:r>
      <w:r w:rsidR="009051ED">
        <w:rPr>
          <w:rFonts w:asciiTheme="majorHAnsi" w:eastAsia="SimSun" w:hAnsiTheme="majorHAnsi"/>
          <w:sz w:val="20"/>
          <w:szCs w:val="20"/>
          <w:lang w:val="es-UY"/>
        </w:rPr>
        <w:t xml:space="preserve"> </w:t>
      </w:r>
      <w:r w:rsidR="001F458D" w:rsidRPr="001F458D">
        <w:rPr>
          <w:rFonts w:asciiTheme="majorHAnsi" w:eastAsia="SimSun" w:hAnsiTheme="majorHAnsi"/>
          <w:sz w:val="20"/>
          <w:szCs w:val="20"/>
          <w:lang w:val="es-UY"/>
        </w:rPr>
        <w:t>en</w:t>
      </w:r>
      <w:r w:rsidR="009051ED">
        <w:rPr>
          <w:rFonts w:asciiTheme="majorHAnsi" w:eastAsia="SimSun" w:hAnsiTheme="majorHAnsi"/>
          <w:sz w:val="20"/>
          <w:szCs w:val="20"/>
          <w:lang w:val="es-UY"/>
        </w:rPr>
        <w:t xml:space="preserve"> </w:t>
      </w:r>
      <w:r w:rsidR="001F458D" w:rsidRPr="001F458D">
        <w:rPr>
          <w:rFonts w:asciiTheme="majorHAnsi" w:eastAsia="SimSun" w:hAnsiTheme="majorHAnsi"/>
          <w:sz w:val="20"/>
          <w:szCs w:val="20"/>
          <w:lang w:val="es-UY"/>
        </w:rPr>
        <w:t>virtud del principio de subsidiariedad y la prohibición de actuar</w:t>
      </w:r>
      <w:r w:rsidR="009051ED">
        <w:rPr>
          <w:rFonts w:asciiTheme="majorHAnsi" w:eastAsia="SimSun" w:hAnsiTheme="majorHAnsi"/>
          <w:sz w:val="20"/>
          <w:szCs w:val="20"/>
          <w:lang w:val="es-UY"/>
        </w:rPr>
        <w:t xml:space="preserve"> </w:t>
      </w:r>
      <w:r w:rsidR="001F458D" w:rsidRPr="001F458D">
        <w:rPr>
          <w:rFonts w:asciiTheme="majorHAnsi" w:eastAsia="SimSun" w:hAnsiTheme="majorHAnsi"/>
          <w:sz w:val="20"/>
          <w:szCs w:val="20"/>
          <w:lang w:val="es-UY"/>
        </w:rPr>
        <w:t>como un</w:t>
      </w:r>
      <w:r w:rsidR="009051ED">
        <w:rPr>
          <w:rFonts w:asciiTheme="majorHAnsi" w:eastAsia="SimSun" w:hAnsiTheme="majorHAnsi"/>
          <w:sz w:val="20"/>
          <w:szCs w:val="20"/>
          <w:lang w:val="es-UY"/>
        </w:rPr>
        <w:t xml:space="preserve"> </w:t>
      </w:r>
      <w:r w:rsidR="001F458D" w:rsidRPr="001F458D">
        <w:rPr>
          <w:rFonts w:asciiTheme="majorHAnsi" w:eastAsia="SimSun" w:hAnsiTheme="majorHAnsi"/>
          <w:sz w:val="20"/>
          <w:szCs w:val="20"/>
          <w:lang w:val="es-UY"/>
        </w:rPr>
        <w:t>tribunal de alzada</w:t>
      </w:r>
      <w:r w:rsidR="00ED380C">
        <w:rPr>
          <w:rFonts w:asciiTheme="majorHAnsi" w:eastAsia="SimSun" w:hAnsiTheme="majorHAnsi"/>
          <w:sz w:val="20"/>
          <w:szCs w:val="20"/>
          <w:lang w:val="es-UY"/>
        </w:rPr>
        <w:t>.</w:t>
      </w:r>
    </w:p>
    <w:p w:rsidR="001F458D" w:rsidRDefault="001F458D" w:rsidP="00AD528E">
      <w:pPr>
        <w:pStyle w:val="ListParagraph"/>
        <w:rPr>
          <w:rFonts w:asciiTheme="majorHAnsi" w:eastAsia="SimSun" w:hAnsiTheme="majorHAnsi"/>
          <w:sz w:val="20"/>
          <w:szCs w:val="20"/>
          <w:lang w:val="es-UY"/>
        </w:rPr>
      </w:pPr>
    </w:p>
    <w:p w:rsidR="00B20D90" w:rsidRDefault="001F458D" w:rsidP="00AD528E">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r w:rsidRPr="00511F56">
        <w:rPr>
          <w:rFonts w:asciiTheme="majorHAnsi" w:eastAsia="SimSun" w:hAnsiTheme="majorHAnsi"/>
          <w:sz w:val="20"/>
          <w:szCs w:val="20"/>
          <w:lang w:val="es-UY"/>
        </w:rPr>
        <w:t>Con</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respecto</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a</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los</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alegatos</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del</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Estado,</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la</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Comisión</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reitera</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lo</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establecido</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en</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su jurisprudencia</w:t>
      </w:r>
      <w:r w:rsidR="00D127A5" w:rsidRPr="00511F56">
        <w:rPr>
          <w:rFonts w:asciiTheme="majorHAnsi" w:eastAsia="SimSun" w:hAnsiTheme="majorHAnsi"/>
          <w:sz w:val="20"/>
          <w:szCs w:val="20"/>
          <w:lang w:val="es-UY"/>
        </w:rPr>
        <w:t xml:space="preserve">, </w:t>
      </w:r>
      <w:r w:rsidR="001E3AAA" w:rsidRPr="00511F56">
        <w:rPr>
          <w:rFonts w:asciiTheme="majorHAnsi" w:eastAsia="SimSun" w:hAnsiTheme="majorHAnsi"/>
          <w:sz w:val="20"/>
          <w:szCs w:val="20"/>
          <w:lang w:val="es-UY"/>
        </w:rPr>
        <w:t>establecida entre otros,</w:t>
      </w:r>
      <w:r w:rsidR="00D127A5" w:rsidRPr="00511F56">
        <w:rPr>
          <w:rFonts w:asciiTheme="majorHAnsi" w:eastAsia="SimSun" w:hAnsiTheme="majorHAnsi"/>
          <w:sz w:val="20"/>
          <w:szCs w:val="20"/>
          <w:lang w:val="es-UY"/>
        </w:rPr>
        <w:t xml:space="preserve"> en el Informe 34/15 previamente citado,</w:t>
      </w:r>
      <w:r w:rsidR="009051ED" w:rsidRPr="00511F56">
        <w:rPr>
          <w:rFonts w:asciiTheme="majorHAnsi" w:eastAsia="SimSun" w:hAnsiTheme="majorHAnsi"/>
          <w:sz w:val="20"/>
          <w:szCs w:val="20"/>
          <w:lang w:val="es-UY"/>
        </w:rPr>
        <w:t xml:space="preserve"> </w:t>
      </w:r>
      <w:r w:rsidR="00D127A5" w:rsidRPr="00511F56">
        <w:rPr>
          <w:rFonts w:asciiTheme="majorHAnsi" w:eastAsia="SimSun" w:hAnsiTheme="majorHAnsi"/>
          <w:sz w:val="20"/>
          <w:szCs w:val="20"/>
          <w:lang w:val="es-UY"/>
        </w:rPr>
        <w:t xml:space="preserve">en el sentido de afirmar </w:t>
      </w:r>
      <w:r w:rsidRPr="00511F56">
        <w:rPr>
          <w:rFonts w:asciiTheme="majorHAnsi" w:eastAsia="SimSun" w:hAnsiTheme="majorHAnsi"/>
          <w:sz w:val="20"/>
          <w:szCs w:val="20"/>
          <w:lang w:val="es-UY"/>
        </w:rPr>
        <w:t>que</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no</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es</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competente</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para</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revisar</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las</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sentencias</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dictadas</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por</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tribunales nacionales que actúen en la esfera de su competencia y apliquen el debido proceso y las garantías judiciales.</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La Comisión no puede actuar como un tribunal de alzada para examinar supuestos errores de derecho o de hecho que puedan haber cometido los tribunales nacionales.</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No obstante, dentro del marco de su mandato de garantizar la observancia de los derechos consagrados en la Convención Americana y otros instrumentos interamericanos de derechos humanos,</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la Comisión</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es</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competente para declarar</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admisible una petición</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y fallar</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sobre</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el</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fondo</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cuando</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ésta</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se</w:t>
      </w:r>
      <w:r w:rsidR="009051ED" w:rsidRPr="00511F56">
        <w:rPr>
          <w:rFonts w:asciiTheme="majorHAnsi" w:eastAsia="SimSun" w:hAnsiTheme="majorHAnsi"/>
          <w:sz w:val="20"/>
          <w:szCs w:val="20"/>
          <w:lang w:val="es-UY"/>
        </w:rPr>
        <w:t xml:space="preserve"> </w:t>
      </w:r>
      <w:r w:rsidR="006C3C73" w:rsidRPr="00511F56">
        <w:rPr>
          <w:rFonts w:asciiTheme="majorHAnsi" w:eastAsia="SimSun" w:hAnsiTheme="majorHAnsi"/>
          <w:sz w:val="20"/>
          <w:szCs w:val="20"/>
          <w:lang w:val="es-UY"/>
        </w:rPr>
        <w:t>refiera</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a</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procesos</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internos</w:t>
      </w:r>
      <w:r w:rsidR="009051ED" w:rsidRPr="00511F56">
        <w:rPr>
          <w:rFonts w:asciiTheme="majorHAnsi" w:eastAsia="SimSun" w:hAnsiTheme="majorHAnsi"/>
          <w:sz w:val="20"/>
          <w:szCs w:val="20"/>
          <w:lang w:val="es-UY"/>
        </w:rPr>
        <w:t xml:space="preserve"> </w:t>
      </w:r>
      <w:r w:rsidR="00B42DBD" w:rsidRPr="00511F56">
        <w:rPr>
          <w:rFonts w:asciiTheme="majorHAnsi" w:eastAsia="SimSun" w:hAnsiTheme="majorHAnsi"/>
          <w:sz w:val="20"/>
          <w:szCs w:val="20"/>
          <w:lang w:val="es-UY"/>
        </w:rPr>
        <w:t xml:space="preserve">que se relacionan con alegadas violaciones a los derechos humanos y </w:t>
      </w:r>
      <w:r w:rsidRPr="00511F56">
        <w:rPr>
          <w:rFonts w:asciiTheme="majorHAnsi" w:eastAsia="SimSun" w:hAnsiTheme="majorHAnsi"/>
          <w:sz w:val="20"/>
          <w:szCs w:val="20"/>
          <w:lang w:val="es-UY"/>
        </w:rPr>
        <w:t>podrían</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ser</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violatorios</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de</w:t>
      </w:r>
      <w:r w:rsidR="009051ED" w:rsidRPr="00511F56">
        <w:rPr>
          <w:rFonts w:asciiTheme="majorHAnsi" w:eastAsia="SimSun" w:hAnsiTheme="majorHAnsi"/>
          <w:sz w:val="20"/>
          <w:szCs w:val="20"/>
          <w:lang w:val="es-UY"/>
        </w:rPr>
        <w:t xml:space="preserve"> </w:t>
      </w:r>
      <w:r w:rsidRPr="00511F56">
        <w:rPr>
          <w:rFonts w:asciiTheme="majorHAnsi" w:eastAsia="SimSun" w:hAnsiTheme="majorHAnsi"/>
          <w:sz w:val="20"/>
          <w:szCs w:val="20"/>
          <w:lang w:val="es-UY"/>
        </w:rPr>
        <w:t xml:space="preserve">derechos garantizados por la Convención Americana. </w:t>
      </w:r>
      <w:r w:rsidR="00612771" w:rsidRPr="00511F56">
        <w:rPr>
          <w:rFonts w:asciiTheme="majorHAnsi" w:eastAsia="SimSun" w:hAnsiTheme="majorHAnsi"/>
          <w:sz w:val="20"/>
          <w:szCs w:val="20"/>
          <w:lang w:val="es-UY"/>
        </w:rPr>
        <w:t>Dado que</w:t>
      </w:r>
      <w:r w:rsidR="002053A7">
        <w:rPr>
          <w:rFonts w:asciiTheme="majorHAnsi" w:eastAsia="SimSun" w:hAnsiTheme="majorHAnsi"/>
          <w:sz w:val="20"/>
          <w:szCs w:val="20"/>
          <w:lang w:val="es-UY"/>
        </w:rPr>
        <w:t>,</w:t>
      </w:r>
      <w:r w:rsidR="00612771" w:rsidRPr="00511F56">
        <w:rPr>
          <w:rFonts w:asciiTheme="majorHAnsi" w:eastAsia="SimSun" w:hAnsiTheme="majorHAnsi"/>
          <w:sz w:val="20"/>
          <w:szCs w:val="20"/>
          <w:lang w:val="es-UY"/>
        </w:rPr>
        <w:t xml:space="preserve"> los alegatos </w:t>
      </w:r>
      <w:r w:rsidR="000C2E2E">
        <w:rPr>
          <w:rFonts w:asciiTheme="majorHAnsi" w:eastAsia="SimSun" w:hAnsiTheme="majorHAnsi"/>
          <w:sz w:val="20"/>
          <w:szCs w:val="20"/>
          <w:lang w:val="es-UY"/>
        </w:rPr>
        <w:t>planteados</w:t>
      </w:r>
      <w:r w:rsidR="00612771" w:rsidRPr="00511F56">
        <w:rPr>
          <w:rFonts w:asciiTheme="majorHAnsi" w:eastAsia="SimSun" w:hAnsiTheme="majorHAnsi"/>
          <w:sz w:val="20"/>
          <w:szCs w:val="20"/>
          <w:lang w:val="es-UY"/>
        </w:rPr>
        <w:t xml:space="preserve"> por los peticionarios se encuentra</w:t>
      </w:r>
      <w:r w:rsidR="000C2E2E">
        <w:rPr>
          <w:rFonts w:asciiTheme="majorHAnsi" w:eastAsia="SimSun" w:hAnsiTheme="majorHAnsi"/>
          <w:sz w:val="20"/>
          <w:szCs w:val="20"/>
          <w:lang w:val="es-UY"/>
        </w:rPr>
        <w:t>n</w:t>
      </w:r>
      <w:r w:rsidR="009051ED" w:rsidRPr="00511F56">
        <w:rPr>
          <w:rFonts w:asciiTheme="majorHAnsi" w:eastAsia="SimSun" w:hAnsiTheme="majorHAnsi"/>
          <w:sz w:val="20"/>
          <w:szCs w:val="20"/>
          <w:lang w:val="es-UY"/>
        </w:rPr>
        <w:t xml:space="preserve"> </w:t>
      </w:r>
      <w:r w:rsidR="00612771" w:rsidRPr="00511F56">
        <w:rPr>
          <w:rFonts w:asciiTheme="majorHAnsi" w:eastAsia="SimSun" w:hAnsiTheme="majorHAnsi"/>
          <w:sz w:val="20"/>
          <w:szCs w:val="20"/>
          <w:lang w:val="es-UY"/>
        </w:rPr>
        <w:t>íntimamente relacionado</w:t>
      </w:r>
      <w:r w:rsidR="000C2E2E">
        <w:rPr>
          <w:rFonts w:asciiTheme="majorHAnsi" w:eastAsia="SimSun" w:hAnsiTheme="majorHAnsi"/>
          <w:sz w:val="20"/>
          <w:szCs w:val="20"/>
          <w:lang w:val="es-UY"/>
        </w:rPr>
        <w:t>s</w:t>
      </w:r>
      <w:r w:rsidR="00612771" w:rsidRPr="00511F56">
        <w:rPr>
          <w:rFonts w:asciiTheme="majorHAnsi" w:eastAsia="SimSun" w:hAnsiTheme="majorHAnsi"/>
          <w:sz w:val="20"/>
          <w:szCs w:val="20"/>
          <w:lang w:val="es-UY"/>
        </w:rPr>
        <w:t xml:space="preserve"> con el</w:t>
      </w:r>
      <w:r w:rsidR="009051ED" w:rsidRPr="00511F56">
        <w:rPr>
          <w:rFonts w:asciiTheme="majorHAnsi" w:eastAsia="SimSun" w:hAnsiTheme="majorHAnsi"/>
          <w:sz w:val="20"/>
          <w:szCs w:val="20"/>
          <w:lang w:val="es-UY"/>
        </w:rPr>
        <w:t xml:space="preserve"> </w:t>
      </w:r>
      <w:r w:rsidR="00612771" w:rsidRPr="00511F56">
        <w:rPr>
          <w:rFonts w:asciiTheme="majorHAnsi" w:eastAsia="SimSun" w:hAnsiTheme="majorHAnsi"/>
          <w:sz w:val="20"/>
          <w:szCs w:val="20"/>
          <w:lang w:val="es-UY"/>
        </w:rPr>
        <w:t>fondo del presente asunto, en particular en</w:t>
      </w:r>
      <w:r w:rsidR="009051ED" w:rsidRPr="00511F56">
        <w:rPr>
          <w:rFonts w:asciiTheme="majorHAnsi" w:eastAsia="SimSun" w:hAnsiTheme="majorHAnsi"/>
          <w:sz w:val="20"/>
          <w:szCs w:val="20"/>
          <w:lang w:val="es-UY"/>
        </w:rPr>
        <w:t xml:space="preserve"> </w:t>
      </w:r>
      <w:r w:rsidR="00612771" w:rsidRPr="00511F56">
        <w:rPr>
          <w:rFonts w:asciiTheme="majorHAnsi" w:eastAsia="SimSun" w:hAnsiTheme="majorHAnsi"/>
          <w:sz w:val="20"/>
          <w:szCs w:val="20"/>
          <w:lang w:val="es-UY"/>
        </w:rPr>
        <w:t>lo</w:t>
      </w:r>
      <w:r w:rsidR="009051ED" w:rsidRPr="00511F56">
        <w:rPr>
          <w:rFonts w:asciiTheme="majorHAnsi" w:eastAsia="SimSun" w:hAnsiTheme="majorHAnsi"/>
          <w:sz w:val="20"/>
          <w:szCs w:val="20"/>
          <w:lang w:val="es-UY"/>
        </w:rPr>
        <w:t xml:space="preserve"> </w:t>
      </w:r>
      <w:r w:rsidR="00612771" w:rsidRPr="00511F56">
        <w:rPr>
          <w:rFonts w:asciiTheme="majorHAnsi" w:eastAsia="SimSun" w:hAnsiTheme="majorHAnsi"/>
          <w:sz w:val="20"/>
          <w:szCs w:val="20"/>
          <w:lang w:val="es-UY"/>
        </w:rPr>
        <w:t>referente a</w:t>
      </w:r>
      <w:r w:rsidR="009051ED" w:rsidRPr="00511F56">
        <w:rPr>
          <w:rFonts w:asciiTheme="majorHAnsi" w:eastAsia="SimSun" w:hAnsiTheme="majorHAnsi"/>
          <w:sz w:val="20"/>
          <w:szCs w:val="20"/>
          <w:lang w:val="es-UY"/>
        </w:rPr>
        <w:t xml:space="preserve"> </w:t>
      </w:r>
      <w:r w:rsidR="00612771" w:rsidRPr="00511F56">
        <w:rPr>
          <w:rFonts w:asciiTheme="majorHAnsi" w:eastAsia="SimSun" w:hAnsiTheme="majorHAnsi"/>
          <w:sz w:val="20"/>
          <w:szCs w:val="20"/>
          <w:lang w:val="es-UY"/>
        </w:rPr>
        <w:t>la supuesta violación de</w:t>
      </w:r>
      <w:r w:rsidR="009051ED" w:rsidRPr="00511F56">
        <w:rPr>
          <w:rFonts w:asciiTheme="majorHAnsi" w:eastAsia="SimSun" w:hAnsiTheme="majorHAnsi"/>
          <w:sz w:val="20"/>
          <w:szCs w:val="20"/>
          <w:lang w:val="es-UY"/>
        </w:rPr>
        <w:t xml:space="preserve"> </w:t>
      </w:r>
      <w:r w:rsidR="00612771" w:rsidRPr="00511F56">
        <w:rPr>
          <w:rFonts w:asciiTheme="majorHAnsi" w:eastAsia="SimSun" w:hAnsiTheme="majorHAnsi"/>
          <w:sz w:val="20"/>
          <w:szCs w:val="20"/>
          <w:lang w:val="es-UY"/>
        </w:rPr>
        <w:t>los artículos 8 y 25 de</w:t>
      </w:r>
      <w:r w:rsidR="009051ED" w:rsidRPr="00511F56">
        <w:rPr>
          <w:rFonts w:asciiTheme="majorHAnsi" w:eastAsia="SimSun" w:hAnsiTheme="majorHAnsi"/>
          <w:sz w:val="20"/>
          <w:szCs w:val="20"/>
          <w:lang w:val="es-UY"/>
        </w:rPr>
        <w:t xml:space="preserve"> </w:t>
      </w:r>
      <w:r w:rsidR="00612771" w:rsidRPr="00511F56">
        <w:rPr>
          <w:rFonts w:asciiTheme="majorHAnsi" w:eastAsia="SimSun" w:hAnsiTheme="majorHAnsi"/>
          <w:sz w:val="20"/>
          <w:szCs w:val="20"/>
          <w:lang w:val="es-UY"/>
        </w:rPr>
        <w:t xml:space="preserve">la Convención, la Comisión </w:t>
      </w:r>
      <w:r w:rsidR="00646713">
        <w:rPr>
          <w:rFonts w:asciiTheme="majorHAnsi" w:eastAsia="SimSun" w:hAnsiTheme="majorHAnsi"/>
          <w:sz w:val="20"/>
          <w:szCs w:val="20"/>
          <w:lang w:val="es-UY"/>
        </w:rPr>
        <w:t>analizará los reclamos presentados en la etapa de fondo, a fin de determinar</w:t>
      </w:r>
      <w:r w:rsidR="00612771" w:rsidRPr="00511F56">
        <w:rPr>
          <w:rFonts w:asciiTheme="majorHAnsi" w:eastAsia="SimSun" w:hAnsiTheme="majorHAnsi"/>
          <w:sz w:val="20"/>
          <w:szCs w:val="20"/>
          <w:lang w:val="es-UY"/>
        </w:rPr>
        <w:t xml:space="preserve"> si en efecto existió una investigación diligente, efectiva e imparcial. </w:t>
      </w:r>
    </w:p>
    <w:p w:rsidR="00AB6323" w:rsidRDefault="00AB6323" w:rsidP="00AD528E">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720"/>
        <w:jc w:val="both"/>
        <w:rPr>
          <w:rFonts w:asciiTheme="majorHAnsi" w:eastAsia="SimSun" w:hAnsiTheme="majorHAnsi"/>
          <w:sz w:val="20"/>
          <w:szCs w:val="20"/>
          <w:lang w:val="es-UY"/>
        </w:rPr>
      </w:pPr>
    </w:p>
    <w:p w:rsidR="001F458D" w:rsidRPr="002E598C" w:rsidRDefault="00AB6323" w:rsidP="00AD528E">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lang w:val="es-UY"/>
        </w:rPr>
      </w:pPr>
      <w:r w:rsidRPr="006A6B7B">
        <w:rPr>
          <w:rFonts w:asciiTheme="majorHAnsi" w:eastAsia="SimSun" w:hAnsiTheme="majorHAnsi"/>
          <w:sz w:val="20"/>
          <w:szCs w:val="20"/>
          <w:lang w:val="es-UY"/>
        </w:rPr>
        <w:t>La Comisión</w:t>
      </w:r>
      <w:r w:rsidR="00FF0FD7" w:rsidRPr="006A6B7B">
        <w:rPr>
          <w:rFonts w:asciiTheme="majorHAnsi" w:eastAsia="SimSun" w:hAnsiTheme="majorHAnsi"/>
          <w:sz w:val="20"/>
          <w:szCs w:val="20"/>
          <w:lang w:val="es-UY"/>
        </w:rPr>
        <w:t xml:space="preserve"> </w:t>
      </w:r>
      <w:r w:rsidR="00141477" w:rsidRPr="006A6B7B">
        <w:rPr>
          <w:rFonts w:asciiTheme="majorHAnsi" w:eastAsia="SimSun" w:hAnsiTheme="majorHAnsi"/>
          <w:sz w:val="20"/>
          <w:szCs w:val="20"/>
          <w:lang w:val="es-UY"/>
        </w:rPr>
        <w:t>estima</w:t>
      </w:r>
      <w:r w:rsidR="00FF0FD7" w:rsidRPr="006A6B7B">
        <w:rPr>
          <w:rFonts w:asciiTheme="majorHAnsi" w:eastAsia="SimSun" w:hAnsiTheme="majorHAnsi"/>
          <w:sz w:val="20"/>
          <w:szCs w:val="20"/>
          <w:lang w:val="es-UY"/>
        </w:rPr>
        <w:t xml:space="preserve">, en base a los elementos presentados por las partes, que la presunta ejecución extrajudicial de </w:t>
      </w:r>
      <w:r w:rsidR="00FF0FD7" w:rsidRPr="006A6B7B">
        <w:rPr>
          <w:rFonts w:asciiTheme="majorHAnsi" w:hAnsiTheme="majorHAnsi"/>
          <w:sz w:val="20"/>
          <w:szCs w:val="20"/>
          <w:lang w:val="es-UY"/>
        </w:rPr>
        <w:t>Hortencia Neyid Tunja Cuchumbe y Manuel Antonio Tao Pillimué, caracteriz</w:t>
      </w:r>
      <w:r w:rsidR="0002721C" w:rsidRPr="006A6B7B">
        <w:rPr>
          <w:rFonts w:asciiTheme="majorHAnsi" w:hAnsiTheme="majorHAnsi"/>
          <w:sz w:val="20"/>
          <w:szCs w:val="20"/>
          <w:lang w:val="es-UY"/>
        </w:rPr>
        <w:t>a</w:t>
      </w:r>
      <w:r w:rsidR="00197D36">
        <w:rPr>
          <w:rFonts w:asciiTheme="majorHAnsi" w:hAnsiTheme="majorHAnsi"/>
          <w:sz w:val="20"/>
          <w:szCs w:val="20"/>
          <w:lang w:val="es-UY"/>
        </w:rPr>
        <w:t xml:space="preserve"> </w:t>
      </w:r>
      <w:r w:rsidR="002F091A">
        <w:rPr>
          <w:rFonts w:asciiTheme="majorHAnsi" w:hAnsiTheme="majorHAnsi"/>
          <w:sz w:val="20"/>
          <w:szCs w:val="20"/>
          <w:lang w:val="es-UY"/>
        </w:rPr>
        <w:t xml:space="preserve">una </w:t>
      </w:r>
      <w:r w:rsidR="0002721C" w:rsidRPr="006A6B7B">
        <w:rPr>
          <w:rFonts w:asciiTheme="majorHAnsi" w:hAnsiTheme="majorHAnsi"/>
          <w:sz w:val="20"/>
          <w:szCs w:val="20"/>
          <w:lang w:val="es-UY"/>
        </w:rPr>
        <w:t xml:space="preserve">posible </w:t>
      </w:r>
      <w:r w:rsidR="00197D36" w:rsidRPr="006A6B7B">
        <w:rPr>
          <w:rFonts w:asciiTheme="majorHAnsi" w:hAnsiTheme="majorHAnsi"/>
          <w:sz w:val="20"/>
          <w:szCs w:val="20"/>
          <w:lang w:val="es-UY"/>
        </w:rPr>
        <w:t>violación</w:t>
      </w:r>
      <w:r w:rsidR="0002721C" w:rsidRPr="006A6B7B">
        <w:rPr>
          <w:rFonts w:asciiTheme="majorHAnsi" w:hAnsiTheme="majorHAnsi"/>
          <w:sz w:val="20"/>
          <w:szCs w:val="20"/>
          <w:lang w:val="es-UY"/>
        </w:rPr>
        <w:t xml:space="preserve"> a</w:t>
      </w:r>
      <w:r w:rsidR="00112B3C">
        <w:rPr>
          <w:rFonts w:asciiTheme="majorHAnsi" w:hAnsiTheme="majorHAnsi"/>
          <w:sz w:val="20"/>
          <w:szCs w:val="20"/>
          <w:lang w:val="es-UY"/>
        </w:rPr>
        <w:t>l</w:t>
      </w:r>
      <w:r w:rsidR="00FF0FD7" w:rsidRPr="006A6B7B">
        <w:rPr>
          <w:rFonts w:asciiTheme="majorHAnsi" w:hAnsiTheme="majorHAnsi"/>
          <w:sz w:val="20"/>
          <w:szCs w:val="20"/>
          <w:lang w:val="es-UY"/>
        </w:rPr>
        <w:t xml:space="preserve"> derecho</w:t>
      </w:r>
      <w:r w:rsidR="0002721C" w:rsidRPr="006A6B7B">
        <w:rPr>
          <w:rFonts w:asciiTheme="majorHAnsi" w:hAnsiTheme="majorHAnsi"/>
          <w:sz w:val="20"/>
          <w:szCs w:val="20"/>
          <w:lang w:val="es-UY"/>
        </w:rPr>
        <w:t xml:space="preserve"> a la vida</w:t>
      </w:r>
      <w:r w:rsidR="00804777" w:rsidRPr="006A6B7B">
        <w:rPr>
          <w:rFonts w:asciiTheme="majorHAnsi" w:hAnsiTheme="majorHAnsi"/>
          <w:sz w:val="20"/>
          <w:szCs w:val="20"/>
          <w:lang w:val="es-UY"/>
        </w:rPr>
        <w:t>. En particular, en el caso de Hortencia Neyid Tunja Cuchumbe, quien habría tenido 17 años en la época de los hechos,</w:t>
      </w:r>
      <w:r w:rsidR="00FF0FD7" w:rsidRPr="006A6B7B">
        <w:rPr>
          <w:rFonts w:asciiTheme="majorHAnsi" w:hAnsiTheme="majorHAnsi"/>
          <w:sz w:val="20"/>
          <w:szCs w:val="20"/>
          <w:lang w:val="es-UY"/>
        </w:rPr>
        <w:t xml:space="preserve"> </w:t>
      </w:r>
      <w:r w:rsidR="00804777" w:rsidRPr="006A6B7B">
        <w:rPr>
          <w:rFonts w:asciiTheme="majorHAnsi" w:hAnsiTheme="majorHAnsi"/>
          <w:sz w:val="20"/>
          <w:szCs w:val="20"/>
          <w:lang w:val="es-UY"/>
        </w:rPr>
        <w:t>se configurar</w:t>
      </w:r>
      <w:r w:rsidR="00BF02E9" w:rsidRPr="006A6B7B">
        <w:rPr>
          <w:rFonts w:asciiTheme="majorHAnsi" w:hAnsiTheme="majorHAnsi"/>
          <w:sz w:val="20"/>
          <w:szCs w:val="20"/>
          <w:lang w:val="es-UY"/>
        </w:rPr>
        <w:t>ía además posible vulneración de</w:t>
      </w:r>
      <w:r w:rsidR="00804777" w:rsidRPr="006A6B7B">
        <w:rPr>
          <w:rFonts w:asciiTheme="majorHAnsi" w:hAnsiTheme="majorHAnsi"/>
          <w:sz w:val="20"/>
          <w:szCs w:val="20"/>
          <w:lang w:val="es-UY"/>
        </w:rPr>
        <w:t xml:space="preserve"> los derechos de la niñez. Por otra parte, en cuanto a Willian José Cunacue Medina, quien habría resultado herido de gravedad como resultado del ataque que habrían sufrido las presuntas víctimas, y posteriormente habría sido detenido</w:t>
      </w:r>
      <w:r w:rsidR="00ED5C58" w:rsidRPr="006A6B7B">
        <w:rPr>
          <w:rFonts w:asciiTheme="majorHAnsi" w:hAnsiTheme="majorHAnsi"/>
          <w:sz w:val="20"/>
          <w:szCs w:val="20"/>
          <w:lang w:val="es-UY"/>
        </w:rPr>
        <w:t xml:space="preserve"> por alrededor de una semana</w:t>
      </w:r>
      <w:r w:rsidR="00804777" w:rsidRPr="006A6B7B">
        <w:rPr>
          <w:rFonts w:asciiTheme="majorHAnsi" w:hAnsiTheme="majorHAnsi"/>
          <w:sz w:val="20"/>
          <w:szCs w:val="20"/>
          <w:lang w:val="es-UY"/>
        </w:rPr>
        <w:t xml:space="preserve">, alegadamente al margen de la ley, </w:t>
      </w:r>
      <w:r w:rsidR="00BF02E9" w:rsidRPr="006A6B7B">
        <w:rPr>
          <w:rFonts w:asciiTheme="majorHAnsi" w:hAnsiTheme="majorHAnsi"/>
          <w:sz w:val="20"/>
          <w:szCs w:val="20"/>
          <w:lang w:val="es-UY"/>
        </w:rPr>
        <w:t xml:space="preserve">y sometido a proceso por delito de rebelión, </w:t>
      </w:r>
      <w:r w:rsidR="00804777" w:rsidRPr="006A6B7B">
        <w:rPr>
          <w:rFonts w:asciiTheme="majorHAnsi" w:hAnsiTheme="majorHAnsi"/>
          <w:sz w:val="20"/>
          <w:szCs w:val="20"/>
          <w:lang w:val="es-UY"/>
        </w:rPr>
        <w:t xml:space="preserve">se configuraría una posible vulneración de sus derechos a la integridad y libertad personal. </w:t>
      </w:r>
      <w:r w:rsidR="00D276C0">
        <w:rPr>
          <w:rFonts w:asciiTheme="majorHAnsi" w:hAnsiTheme="majorHAnsi"/>
          <w:sz w:val="20"/>
          <w:szCs w:val="20"/>
          <w:lang w:val="es-UY"/>
        </w:rPr>
        <w:t>Además, e</w:t>
      </w:r>
      <w:r w:rsidR="0002721C" w:rsidRPr="006A6B7B">
        <w:rPr>
          <w:rFonts w:asciiTheme="majorHAnsi" w:hAnsiTheme="majorHAnsi"/>
          <w:sz w:val="20"/>
          <w:szCs w:val="20"/>
          <w:lang w:val="es-UY"/>
        </w:rPr>
        <w:t xml:space="preserve">n cuanto a la </w:t>
      </w:r>
      <w:r w:rsidR="00B561B1">
        <w:rPr>
          <w:rFonts w:asciiTheme="majorHAnsi" w:hAnsiTheme="majorHAnsi"/>
          <w:sz w:val="20"/>
          <w:szCs w:val="20"/>
          <w:lang w:val="es-UY"/>
        </w:rPr>
        <w:t xml:space="preserve">presentación por parte del ejército de los hechos alegados como resultado de un enfrentamiento con miembros de la guerrilla, incluso con la </w:t>
      </w:r>
      <w:r w:rsidR="0002721C" w:rsidRPr="006A6B7B">
        <w:rPr>
          <w:rFonts w:asciiTheme="majorHAnsi" w:hAnsiTheme="majorHAnsi"/>
          <w:sz w:val="20"/>
          <w:szCs w:val="20"/>
          <w:lang w:val="es-UY"/>
        </w:rPr>
        <w:t>exhibición de los cuerpos de Hortencia Neyid Tunja Cuchumbe y Manuel Antonio Tao Pillimué como “positivos” militares ante los medios de comunicación,</w:t>
      </w:r>
      <w:r w:rsidR="00F433B2" w:rsidRPr="00F433B2">
        <w:rPr>
          <w:rFonts w:asciiTheme="majorHAnsi" w:hAnsiTheme="majorHAnsi"/>
          <w:sz w:val="20"/>
          <w:szCs w:val="20"/>
          <w:lang w:val="es-UY"/>
        </w:rPr>
        <w:t xml:space="preserve"> </w:t>
      </w:r>
      <w:r w:rsidR="006A6B7B" w:rsidRPr="006A6B7B">
        <w:rPr>
          <w:rFonts w:asciiTheme="majorHAnsi" w:hAnsiTheme="majorHAnsi"/>
          <w:sz w:val="20"/>
          <w:szCs w:val="20"/>
          <w:lang w:val="es-UY"/>
        </w:rPr>
        <w:t xml:space="preserve">se configuraría una posible violación del derecho a la </w:t>
      </w:r>
      <w:r w:rsidR="0002721C" w:rsidRPr="006A6B7B">
        <w:rPr>
          <w:rFonts w:asciiTheme="majorHAnsi" w:hAnsiTheme="majorHAnsi"/>
          <w:sz w:val="20"/>
          <w:szCs w:val="20"/>
          <w:lang w:val="es-UY"/>
        </w:rPr>
        <w:t>protección de la honra y dignidad de las presuntas víctimas</w:t>
      </w:r>
      <w:r w:rsidR="006A6B7B" w:rsidRPr="006A6B7B">
        <w:rPr>
          <w:rFonts w:asciiTheme="majorHAnsi" w:hAnsiTheme="majorHAnsi"/>
          <w:sz w:val="20"/>
          <w:szCs w:val="20"/>
          <w:lang w:val="es-UY"/>
        </w:rPr>
        <w:t>.</w:t>
      </w:r>
      <w:r w:rsidR="006A6B7B">
        <w:rPr>
          <w:rFonts w:asciiTheme="majorHAnsi" w:hAnsiTheme="majorHAnsi"/>
          <w:sz w:val="20"/>
          <w:szCs w:val="20"/>
          <w:lang w:val="es-UY"/>
        </w:rPr>
        <w:t xml:space="preserve"> </w:t>
      </w:r>
      <w:r w:rsidR="00804777" w:rsidRPr="006A6B7B">
        <w:rPr>
          <w:rFonts w:asciiTheme="majorHAnsi" w:hAnsiTheme="majorHAnsi"/>
          <w:sz w:val="20"/>
          <w:szCs w:val="20"/>
          <w:lang w:val="es-UY"/>
        </w:rPr>
        <w:t>Asimismo, atendida la alegada falta de investigación, sanción y reparación integral en virtud de los hechos denunciados, los hechos podrían caracterizar violaciones a las garantías judiciales y protección judicial.</w:t>
      </w:r>
    </w:p>
    <w:p w:rsidR="0002721C" w:rsidRPr="001F458D" w:rsidRDefault="0002721C" w:rsidP="00AD528E">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p>
    <w:p w:rsidR="00547D7F" w:rsidRPr="00373EF0" w:rsidRDefault="007E1669" w:rsidP="00AD528E">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r w:rsidRPr="00BC771B">
        <w:rPr>
          <w:rFonts w:asciiTheme="majorHAnsi" w:eastAsia="SimSun" w:hAnsiTheme="majorHAnsi"/>
          <w:sz w:val="20"/>
          <w:szCs w:val="20"/>
          <w:lang w:val="es-UY"/>
        </w:rPr>
        <w:t>En vista de los elementos de hecho y de derecho presentados por las partes</w:t>
      </w:r>
      <w:r w:rsidR="000C5AF5" w:rsidRPr="00BC771B">
        <w:rPr>
          <w:rFonts w:asciiTheme="majorHAnsi" w:eastAsia="SimSun" w:hAnsiTheme="majorHAnsi"/>
          <w:sz w:val="20"/>
          <w:szCs w:val="20"/>
          <w:lang w:val="es-UY"/>
        </w:rPr>
        <w:t xml:space="preserve"> </w:t>
      </w:r>
      <w:r w:rsidRPr="00BC771B">
        <w:rPr>
          <w:rFonts w:asciiTheme="majorHAnsi" w:eastAsia="SimSun" w:hAnsiTheme="majorHAnsi"/>
          <w:sz w:val="20"/>
          <w:szCs w:val="20"/>
          <w:lang w:val="es-UY"/>
        </w:rPr>
        <w:t xml:space="preserve">y la naturaleza del asunto puesto bajo su conocimiento, la </w:t>
      </w:r>
      <w:r w:rsidR="005C029D">
        <w:rPr>
          <w:rFonts w:asciiTheme="majorHAnsi" w:eastAsia="SimSun" w:hAnsiTheme="majorHAnsi"/>
          <w:sz w:val="20"/>
          <w:szCs w:val="20"/>
          <w:lang w:val="es-UY"/>
        </w:rPr>
        <w:t>Comisión</w:t>
      </w:r>
      <w:r w:rsidRPr="00BC771B">
        <w:rPr>
          <w:rFonts w:asciiTheme="majorHAnsi" w:eastAsia="SimSun" w:hAnsiTheme="majorHAnsi"/>
          <w:sz w:val="20"/>
          <w:szCs w:val="20"/>
          <w:lang w:val="es-UY"/>
        </w:rPr>
        <w:t xml:space="preserve"> considera que, de ser probados, los hechos alegados podrían caracterizar posibles violaciones a los derechos protegidos en los artículos </w:t>
      </w:r>
      <w:r w:rsidR="00373EF0" w:rsidRPr="00373EF0">
        <w:rPr>
          <w:rFonts w:asciiTheme="majorHAnsi" w:eastAsia="SimSun" w:hAnsiTheme="majorHAnsi"/>
          <w:sz w:val="20"/>
          <w:szCs w:val="20"/>
          <w:lang w:val="es-UY"/>
        </w:rPr>
        <w:t>4 (vida), 5 (integridad personal), 7 (libertad personal), 8 (garantías judiciales), 11 (protección de la honra y de la dignidad), 19 (derechos del niño) y 25 (protección judicial) de la Convención Americana sobre Derechos Humanos</w:t>
      </w:r>
      <w:r w:rsidR="00373EF0">
        <w:rPr>
          <w:rFonts w:asciiTheme="majorHAnsi" w:eastAsia="SimSun" w:hAnsiTheme="majorHAnsi"/>
          <w:sz w:val="20"/>
          <w:szCs w:val="20"/>
          <w:lang w:val="es-UY"/>
        </w:rPr>
        <w:t>,</w:t>
      </w:r>
      <w:r w:rsidR="00373EF0" w:rsidRPr="00373EF0">
        <w:rPr>
          <w:rFonts w:asciiTheme="majorHAnsi" w:eastAsia="SimSun" w:hAnsiTheme="majorHAnsi"/>
          <w:sz w:val="20"/>
          <w:szCs w:val="20"/>
          <w:lang w:val="es-UY"/>
        </w:rPr>
        <w:t xml:space="preserve"> en relación con los artículos 1.1 (obligación de respetar los derechos) y 2 (deber de adoptar disposiciones de derecho interno) del mismo instrumento</w:t>
      </w:r>
      <w:r w:rsidRPr="00373EF0">
        <w:rPr>
          <w:rFonts w:asciiTheme="majorHAnsi" w:eastAsia="SimSun" w:hAnsiTheme="majorHAnsi"/>
          <w:sz w:val="20"/>
          <w:szCs w:val="20"/>
          <w:lang w:val="es-UY"/>
        </w:rPr>
        <w:t>.</w:t>
      </w:r>
      <w:r w:rsidR="009051ED" w:rsidRPr="00373EF0">
        <w:rPr>
          <w:rFonts w:asciiTheme="majorHAnsi" w:eastAsia="SimSun" w:hAnsiTheme="majorHAnsi"/>
          <w:sz w:val="20"/>
          <w:szCs w:val="20"/>
          <w:lang w:val="es-UY"/>
        </w:rPr>
        <w:t xml:space="preserve"> </w:t>
      </w:r>
    </w:p>
    <w:p w:rsidR="00547D7F" w:rsidRPr="007E1669" w:rsidRDefault="00547D7F" w:rsidP="00AD528E">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color w:val="FF0000"/>
          <w:sz w:val="20"/>
          <w:szCs w:val="20"/>
          <w:lang w:val="es-UY"/>
        </w:rPr>
      </w:pPr>
    </w:p>
    <w:p w:rsidR="0063685A" w:rsidRDefault="0063685A" w:rsidP="00AD528E">
      <w:pPr>
        <w:ind w:firstLine="720"/>
        <w:jc w:val="both"/>
        <w:rPr>
          <w:rFonts w:asciiTheme="majorHAnsi" w:hAnsiTheme="majorHAnsi"/>
          <w:b/>
          <w:bCs/>
          <w:sz w:val="20"/>
          <w:szCs w:val="20"/>
          <w:lang w:val="es-UY"/>
        </w:rPr>
      </w:pPr>
      <w:r w:rsidRPr="0063685A">
        <w:rPr>
          <w:rFonts w:asciiTheme="majorHAnsi" w:hAnsiTheme="majorHAnsi"/>
          <w:b/>
          <w:bCs/>
          <w:sz w:val="20"/>
          <w:szCs w:val="20"/>
          <w:lang w:val="es-UY"/>
        </w:rPr>
        <w:t>V.</w:t>
      </w:r>
      <w:r w:rsidRPr="0063685A">
        <w:rPr>
          <w:rFonts w:asciiTheme="majorHAnsi" w:hAnsiTheme="majorHAnsi"/>
          <w:b/>
          <w:bCs/>
          <w:sz w:val="20"/>
          <w:szCs w:val="20"/>
          <w:lang w:val="es-UY"/>
        </w:rPr>
        <w:tab/>
        <w:t>CONCLUSIONES</w:t>
      </w:r>
    </w:p>
    <w:p w:rsidR="00AD528E" w:rsidRPr="0063685A" w:rsidRDefault="00AD528E" w:rsidP="00AD528E">
      <w:pPr>
        <w:ind w:firstLine="720"/>
        <w:jc w:val="both"/>
        <w:rPr>
          <w:rFonts w:asciiTheme="majorHAnsi" w:hAnsiTheme="majorHAnsi"/>
          <w:b/>
          <w:bCs/>
          <w:sz w:val="20"/>
          <w:szCs w:val="20"/>
          <w:lang w:val="es-UY"/>
        </w:rPr>
      </w:pPr>
    </w:p>
    <w:p w:rsidR="003664B3" w:rsidRPr="003664B3" w:rsidRDefault="003664B3" w:rsidP="00AD52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r w:rsidRPr="003664B3">
        <w:rPr>
          <w:rFonts w:asciiTheme="majorHAnsi" w:hAnsiTheme="majorHAnsi"/>
          <w:sz w:val="20"/>
          <w:szCs w:val="20"/>
          <w:lang w:val="es-AR"/>
        </w:rPr>
        <w:t>Con fundamento en las consideraciones de hecho y de derecho expuestas, la Comisión Interamericana concluye que la presente petición satisface los requisitos de admisibilidad enunciados en los artículos 46 y 47 de la Convención Americana y, sin prejuzgar sobre el fondo del asunto,</w:t>
      </w:r>
    </w:p>
    <w:p w:rsidR="00547D7F" w:rsidRDefault="00547D7F" w:rsidP="00AD528E">
      <w:pPr>
        <w:jc w:val="center"/>
        <w:rPr>
          <w:rFonts w:asciiTheme="majorHAnsi" w:hAnsiTheme="majorHAnsi"/>
          <w:b/>
          <w:bCs/>
          <w:sz w:val="20"/>
          <w:szCs w:val="20"/>
          <w:lang w:val="es-ES"/>
        </w:rPr>
      </w:pPr>
    </w:p>
    <w:p w:rsidR="0063685A" w:rsidRPr="0063685A" w:rsidRDefault="0063685A" w:rsidP="00AD528E">
      <w:pPr>
        <w:jc w:val="center"/>
        <w:rPr>
          <w:rFonts w:asciiTheme="majorHAnsi" w:hAnsiTheme="majorHAnsi"/>
          <w:b/>
          <w:bCs/>
          <w:sz w:val="20"/>
          <w:szCs w:val="20"/>
          <w:lang w:val="es-ES"/>
        </w:rPr>
      </w:pPr>
      <w:r w:rsidRPr="0063685A">
        <w:rPr>
          <w:rFonts w:asciiTheme="majorHAnsi" w:hAnsiTheme="majorHAnsi"/>
          <w:b/>
          <w:bCs/>
          <w:sz w:val="20"/>
          <w:szCs w:val="20"/>
          <w:lang w:val="es-ES"/>
        </w:rPr>
        <w:t>LA COMISIÓN INTERAMERICANA DE DERECHOS HUMANOS</w:t>
      </w:r>
    </w:p>
    <w:p w:rsidR="0063685A" w:rsidRPr="0063685A" w:rsidRDefault="0063685A" w:rsidP="00AD528E">
      <w:pPr>
        <w:jc w:val="both"/>
        <w:rPr>
          <w:rFonts w:asciiTheme="majorHAnsi" w:hAnsiTheme="majorHAnsi"/>
          <w:b/>
          <w:bCs/>
          <w:sz w:val="20"/>
          <w:szCs w:val="20"/>
          <w:lang w:val="es-UY"/>
        </w:rPr>
      </w:pPr>
      <w:r w:rsidRPr="0063685A">
        <w:rPr>
          <w:rFonts w:asciiTheme="majorHAnsi" w:hAnsiTheme="majorHAnsi"/>
          <w:b/>
          <w:bCs/>
          <w:sz w:val="20"/>
          <w:szCs w:val="20"/>
          <w:lang w:val="es-UY"/>
        </w:rPr>
        <w:t>DECIDE:</w:t>
      </w:r>
    </w:p>
    <w:p w:rsidR="00547D7F" w:rsidRDefault="0063685A" w:rsidP="00AD528E">
      <w:pPr>
        <w:pStyle w:val="ListParagraph"/>
        <w:numPr>
          <w:ilvl w:val="1"/>
          <w:numId w:val="57"/>
        </w:numPr>
        <w:tabs>
          <w:tab w:val="clear" w:pos="1800"/>
          <w:tab w:val="num" w:pos="0"/>
        </w:tabs>
        <w:suppressAutoHyphens/>
        <w:ind w:left="0" w:firstLine="720"/>
        <w:jc w:val="both"/>
        <w:rPr>
          <w:rFonts w:asciiTheme="majorHAnsi" w:hAnsiTheme="majorHAnsi"/>
          <w:sz w:val="20"/>
          <w:szCs w:val="20"/>
          <w:lang w:val="es-UY"/>
        </w:rPr>
      </w:pPr>
      <w:r w:rsidRPr="00547D7F">
        <w:rPr>
          <w:rFonts w:asciiTheme="majorHAnsi" w:hAnsiTheme="majorHAnsi"/>
          <w:sz w:val="20"/>
          <w:szCs w:val="20"/>
          <w:lang w:val="es-UY"/>
        </w:rPr>
        <w:t xml:space="preserve">Declarar admisible la presente petición en relación con los artículos </w:t>
      </w:r>
      <w:r w:rsidR="007544B3">
        <w:rPr>
          <w:rFonts w:asciiTheme="majorHAnsi" w:hAnsiTheme="majorHAnsi"/>
          <w:sz w:val="20"/>
          <w:szCs w:val="20"/>
          <w:lang w:val="es-UY"/>
        </w:rPr>
        <w:t>4, 5, 7, 8, 11</w:t>
      </w:r>
      <w:r w:rsidR="00940459">
        <w:rPr>
          <w:rFonts w:asciiTheme="majorHAnsi" w:hAnsiTheme="majorHAnsi"/>
          <w:sz w:val="20"/>
          <w:szCs w:val="20"/>
          <w:lang w:val="es-UY"/>
        </w:rPr>
        <w:t>, 19</w:t>
      </w:r>
      <w:r w:rsidR="007544B3">
        <w:rPr>
          <w:rFonts w:asciiTheme="majorHAnsi" w:hAnsiTheme="majorHAnsi"/>
          <w:sz w:val="20"/>
          <w:szCs w:val="20"/>
          <w:lang w:val="es-UY"/>
        </w:rPr>
        <w:t xml:space="preserve"> y 25</w:t>
      </w:r>
      <w:r w:rsidRPr="00547D7F">
        <w:rPr>
          <w:rFonts w:asciiTheme="majorHAnsi" w:hAnsiTheme="majorHAnsi"/>
          <w:sz w:val="20"/>
          <w:szCs w:val="20"/>
          <w:lang w:val="es-UY"/>
        </w:rPr>
        <w:t xml:space="preserve"> de la Convención Americana</w:t>
      </w:r>
      <w:r w:rsidR="003664B3" w:rsidRPr="00547D7F">
        <w:rPr>
          <w:rFonts w:asciiTheme="majorHAnsi" w:hAnsiTheme="majorHAnsi"/>
          <w:sz w:val="20"/>
          <w:szCs w:val="20"/>
          <w:lang w:val="es-UY"/>
        </w:rPr>
        <w:t xml:space="preserve"> en conexión con las obligaciones establecidas en los artículos </w:t>
      </w:r>
      <w:r w:rsidR="003664B3" w:rsidRPr="007544B3">
        <w:rPr>
          <w:rFonts w:asciiTheme="majorHAnsi" w:hAnsiTheme="majorHAnsi"/>
          <w:sz w:val="20"/>
          <w:szCs w:val="20"/>
          <w:lang w:val="es-UY"/>
        </w:rPr>
        <w:t xml:space="preserve">1.1 y 2 </w:t>
      </w:r>
      <w:r w:rsidR="003664B3" w:rsidRPr="00547D7F">
        <w:rPr>
          <w:rFonts w:asciiTheme="majorHAnsi" w:hAnsiTheme="majorHAnsi"/>
          <w:sz w:val="20"/>
          <w:szCs w:val="20"/>
          <w:lang w:val="es-UY"/>
        </w:rPr>
        <w:t>del mismo instrumento</w:t>
      </w:r>
      <w:r w:rsidR="00D61AA1">
        <w:rPr>
          <w:rFonts w:asciiTheme="majorHAnsi" w:hAnsiTheme="majorHAnsi"/>
          <w:sz w:val="20"/>
          <w:szCs w:val="20"/>
          <w:lang w:val="es-UY"/>
        </w:rPr>
        <w:t>;</w:t>
      </w:r>
    </w:p>
    <w:p w:rsidR="00547D7F" w:rsidRPr="00547D7F" w:rsidRDefault="00547D7F" w:rsidP="00AD528E">
      <w:pPr>
        <w:pStyle w:val="ListParagraph"/>
        <w:tabs>
          <w:tab w:val="num" w:pos="0"/>
        </w:tabs>
        <w:suppressAutoHyphens/>
        <w:ind w:left="0" w:firstLine="720"/>
        <w:jc w:val="both"/>
        <w:rPr>
          <w:rFonts w:asciiTheme="majorHAnsi" w:hAnsiTheme="majorHAnsi"/>
          <w:sz w:val="20"/>
          <w:szCs w:val="20"/>
          <w:lang w:val="es-UY"/>
        </w:rPr>
      </w:pPr>
    </w:p>
    <w:p w:rsidR="0063685A" w:rsidRDefault="0063685A" w:rsidP="00AD528E">
      <w:pPr>
        <w:pStyle w:val="ListParagraph"/>
        <w:numPr>
          <w:ilvl w:val="1"/>
          <w:numId w:val="57"/>
        </w:numPr>
        <w:tabs>
          <w:tab w:val="clear" w:pos="1800"/>
          <w:tab w:val="num" w:pos="0"/>
        </w:tabs>
        <w:suppressAutoHyphens/>
        <w:ind w:left="0" w:firstLine="720"/>
        <w:jc w:val="both"/>
        <w:rPr>
          <w:rFonts w:asciiTheme="majorHAnsi" w:hAnsiTheme="majorHAnsi"/>
          <w:sz w:val="20"/>
          <w:szCs w:val="20"/>
          <w:lang w:val="es-UY"/>
        </w:rPr>
      </w:pPr>
      <w:r w:rsidRPr="0063685A">
        <w:rPr>
          <w:rFonts w:asciiTheme="majorHAnsi" w:hAnsiTheme="majorHAnsi"/>
          <w:sz w:val="20"/>
          <w:szCs w:val="20"/>
          <w:lang w:val="es-UY"/>
        </w:rPr>
        <w:t>Notificar a las partes la presente decisión;</w:t>
      </w:r>
    </w:p>
    <w:p w:rsidR="00913522" w:rsidRPr="0063685A" w:rsidRDefault="00913522" w:rsidP="00AD528E">
      <w:pPr>
        <w:tabs>
          <w:tab w:val="num" w:pos="0"/>
        </w:tabs>
        <w:ind w:firstLine="720"/>
        <w:jc w:val="both"/>
        <w:rPr>
          <w:rFonts w:asciiTheme="majorHAnsi" w:hAnsiTheme="majorHAnsi"/>
          <w:sz w:val="20"/>
          <w:szCs w:val="20"/>
          <w:lang w:val="es-UY"/>
        </w:rPr>
      </w:pPr>
    </w:p>
    <w:p w:rsidR="0063685A" w:rsidRDefault="0063685A" w:rsidP="00AD528E">
      <w:pPr>
        <w:pStyle w:val="ListParagraph"/>
        <w:numPr>
          <w:ilvl w:val="1"/>
          <w:numId w:val="57"/>
        </w:numPr>
        <w:tabs>
          <w:tab w:val="clear" w:pos="1800"/>
          <w:tab w:val="num" w:pos="0"/>
        </w:tabs>
        <w:suppressAutoHyphens/>
        <w:ind w:left="0" w:firstLine="720"/>
        <w:jc w:val="both"/>
        <w:rPr>
          <w:rFonts w:asciiTheme="majorHAnsi" w:hAnsiTheme="majorHAnsi"/>
          <w:sz w:val="20"/>
          <w:szCs w:val="20"/>
          <w:lang w:val="es-UY"/>
        </w:rPr>
      </w:pPr>
      <w:r w:rsidRPr="0063685A">
        <w:rPr>
          <w:rFonts w:asciiTheme="majorHAnsi" w:hAnsiTheme="majorHAnsi"/>
          <w:sz w:val="20"/>
          <w:szCs w:val="20"/>
          <w:lang w:val="es-UY"/>
        </w:rPr>
        <w:t>Continuar con el análisis del fondo de la cuestión;</w:t>
      </w:r>
      <w:r w:rsidR="00D61AA1">
        <w:rPr>
          <w:rFonts w:asciiTheme="majorHAnsi" w:hAnsiTheme="majorHAnsi"/>
          <w:sz w:val="20"/>
          <w:szCs w:val="20"/>
          <w:lang w:val="es-UY"/>
        </w:rPr>
        <w:t xml:space="preserve"> </w:t>
      </w:r>
    </w:p>
    <w:p w:rsidR="00D61AA1" w:rsidRPr="00D61AA1" w:rsidRDefault="00D61AA1" w:rsidP="00AD528E">
      <w:pPr>
        <w:pStyle w:val="ListParagraph"/>
        <w:rPr>
          <w:rFonts w:asciiTheme="majorHAnsi" w:hAnsiTheme="majorHAnsi"/>
          <w:sz w:val="20"/>
          <w:szCs w:val="20"/>
          <w:lang w:val="es-UY"/>
        </w:rPr>
      </w:pPr>
    </w:p>
    <w:p w:rsidR="00D61AA1" w:rsidRDefault="00D61AA1" w:rsidP="00AD528E">
      <w:pPr>
        <w:pStyle w:val="ListParagraph"/>
        <w:numPr>
          <w:ilvl w:val="1"/>
          <w:numId w:val="57"/>
        </w:numPr>
        <w:tabs>
          <w:tab w:val="clear" w:pos="1800"/>
          <w:tab w:val="num" w:pos="0"/>
        </w:tabs>
        <w:suppressAutoHyphens/>
        <w:ind w:left="0" w:firstLine="720"/>
        <w:jc w:val="both"/>
        <w:rPr>
          <w:rFonts w:asciiTheme="majorHAnsi" w:hAnsiTheme="majorHAnsi"/>
          <w:sz w:val="20"/>
          <w:szCs w:val="20"/>
          <w:lang w:val="es-UY"/>
        </w:rPr>
      </w:pPr>
      <w:r>
        <w:rPr>
          <w:rFonts w:asciiTheme="majorHAnsi" w:hAnsiTheme="majorHAnsi"/>
          <w:sz w:val="20"/>
          <w:szCs w:val="20"/>
          <w:lang w:val="es-UY"/>
        </w:rPr>
        <w:t xml:space="preserve">Acumular </w:t>
      </w:r>
      <w:r w:rsidR="00920BC4">
        <w:rPr>
          <w:rFonts w:asciiTheme="majorHAnsi" w:hAnsiTheme="majorHAnsi"/>
          <w:sz w:val="20"/>
          <w:szCs w:val="20"/>
          <w:lang w:val="es-UY"/>
        </w:rPr>
        <w:t>el presente asunto al caso 12.998 actualmente en etapa de fondo; y</w:t>
      </w:r>
    </w:p>
    <w:p w:rsidR="00547D7F" w:rsidRPr="00913522" w:rsidRDefault="00547D7F" w:rsidP="00AD528E">
      <w:pPr>
        <w:suppressAutoHyphens/>
        <w:jc w:val="both"/>
        <w:rPr>
          <w:rFonts w:asciiTheme="majorHAnsi" w:hAnsiTheme="majorHAnsi"/>
          <w:sz w:val="20"/>
          <w:szCs w:val="20"/>
          <w:lang w:val="es-UY"/>
        </w:rPr>
      </w:pPr>
    </w:p>
    <w:p w:rsidR="0063685A" w:rsidRPr="0063685A" w:rsidRDefault="0063685A" w:rsidP="00AD528E">
      <w:pPr>
        <w:pStyle w:val="ListParagraph"/>
        <w:numPr>
          <w:ilvl w:val="1"/>
          <w:numId w:val="57"/>
        </w:numPr>
        <w:tabs>
          <w:tab w:val="clear" w:pos="1800"/>
          <w:tab w:val="num" w:pos="0"/>
        </w:tabs>
        <w:suppressAutoHyphens/>
        <w:ind w:left="0" w:firstLine="720"/>
        <w:jc w:val="both"/>
        <w:rPr>
          <w:rFonts w:asciiTheme="majorHAnsi" w:hAnsiTheme="majorHAnsi"/>
          <w:sz w:val="20"/>
          <w:szCs w:val="20"/>
          <w:lang w:val="es-UY"/>
        </w:rPr>
      </w:pPr>
      <w:r w:rsidRPr="0063685A">
        <w:rPr>
          <w:rFonts w:asciiTheme="majorHAnsi" w:hAnsiTheme="majorHAnsi"/>
          <w:sz w:val="20"/>
          <w:szCs w:val="20"/>
          <w:lang w:val="es-UY"/>
        </w:rPr>
        <w:t>Publicar esta decisión e incluirla en su Informe Anual a la Asamblea General de la Organización de los Estados Americanos.</w:t>
      </w:r>
    </w:p>
    <w:p w:rsidR="0063685A" w:rsidRPr="003122F9" w:rsidRDefault="0063685A" w:rsidP="00AD528E">
      <w:pPr>
        <w:rPr>
          <w:lang w:val="es-UY"/>
        </w:rPr>
      </w:pPr>
    </w:p>
    <w:p w:rsidR="00E90003" w:rsidRPr="003F5BEC" w:rsidRDefault="00E90003" w:rsidP="00E90003">
      <w:pPr>
        <w:pBdr>
          <w:top w:val="none" w:sz="0" w:space="0" w:color="auto"/>
          <w:left w:val="none" w:sz="0" w:space="0" w:color="auto"/>
          <w:bottom w:val="none" w:sz="0" w:space="0" w:color="auto"/>
          <w:right w:val="none" w:sz="0" w:space="0" w:color="auto"/>
          <w:bar w:val="none" w:sz="0" w:color="auto"/>
        </w:pBdr>
        <w:spacing w:after="240"/>
        <w:ind w:firstLine="720"/>
        <w:jc w:val="both"/>
        <w:rPr>
          <w:sz w:val="20"/>
          <w:szCs w:val="20"/>
          <w:lang w:val="es-ES_tradnl"/>
        </w:rPr>
      </w:pPr>
      <w:r w:rsidRPr="003F5BEC">
        <w:rPr>
          <w:sz w:val="20"/>
          <w:szCs w:val="20"/>
          <w:lang w:val="es-ES_tradnl"/>
        </w:rPr>
        <w:t xml:space="preserve">Dado y firmado en la ciudad de Washington, D.C., a los </w:t>
      </w:r>
      <w:r>
        <w:rPr>
          <w:sz w:val="20"/>
          <w:szCs w:val="20"/>
          <w:lang w:val="es-ES_tradnl"/>
        </w:rPr>
        <w:t>15</w:t>
      </w:r>
      <w:r w:rsidRPr="003F5BEC">
        <w:rPr>
          <w:sz w:val="20"/>
          <w:szCs w:val="20"/>
          <w:lang w:val="es-ES_tradnl"/>
        </w:rPr>
        <w:t xml:space="preserve"> días del mes de </w:t>
      </w:r>
      <w:r>
        <w:rPr>
          <w:sz w:val="20"/>
          <w:szCs w:val="20"/>
          <w:lang w:val="es-ES_tradnl"/>
        </w:rPr>
        <w:t>abril</w:t>
      </w:r>
      <w:r w:rsidRPr="003F5BEC">
        <w:rPr>
          <w:sz w:val="20"/>
          <w:szCs w:val="20"/>
          <w:lang w:val="es-ES_tradnl"/>
        </w:rPr>
        <w:t xml:space="preserve"> de 2016.  (Firmado): James L. Cavallaro, Presidente; Francisco José Eguiguren, Primer Vicepresidente; Margarette May Macaulay, Segunda Vicepresidenta; José de Jesús Orozco Henríquez, </w:t>
      </w:r>
      <w:bookmarkStart w:id="1" w:name="_GoBack"/>
      <w:bookmarkEnd w:id="1"/>
      <w:r>
        <w:rPr>
          <w:sz w:val="20"/>
          <w:szCs w:val="20"/>
          <w:lang w:val="es-ES_tradnl"/>
        </w:rPr>
        <w:t xml:space="preserve">y </w:t>
      </w:r>
      <w:r w:rsidRPr="003F5BEC">
        <w:rPr>
          <w:sz w:val="20"/>
          <w:szCs w:val="20"/>
          <w:lang w:val="es-ES_tradnl"/>
        </w:rPr>
        <w:t>Esmeralda E. Arosemena Bernal de Troitiño, Miembros de la Comisión.</w:t>
      </w:r>
    </w:p>
    <w:p w:rsidR="0063685A" w:rsidRDefault="0063685A" w:rsidP="00E90003">
      <w:pPr>
        <w:tabs>
          <w:tab w:val="center" w:pos="5400"/>
        </w:tabs>
        <w:suppressAutoHyphens/>
        <w:jc w:val="both"/>
        <w:rPr>
          <w:rFonts w:asciiTheme="majorHAnsi" w:hAnsiTheme="majorHAnsi"/>
          <w:sz w:val="18"/>
          <w:szCs w:val="20"/>
          <w:lang w:val="es-ES_tradnl"/>
        </w:rPr>
      </w:pPr>
    </w:p>
    <w:sectPr w:rsidR="0063685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7A7" w:rsidRDefault="00BB37A7">
      <w:r>
        <w:separator/>
      </w:r>
    </w:p>
  </w:endnote>
  <w:endnote w:type="continuationSeparator" w:id="0">
    <w:p w:rsidR="00BB37A7" w:rsidRDefault="00BB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857" w:rsidRDefault="00C528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9051ED" w:rsidRPr="00934A2C" w:rsidRDefault="009051E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9124D">
          <w:rPr>
            <w:noProof/>
            <w:sz w:val="16"/>
            <w:szCs w:val="22"/>
          </w:rPr>
          <w:t>9</w:t>
        </w:r>
        <w:r w:rsidRPr="00934A2C">
          <w:rPr>
            <w:noProof/>
            <w:sz w:val="16"/>
            <w:szCs w:val="22"/>
          </w:rPr>
          <w:fldChar w:fldCharType="end"/>
        </w:r>
      </w:p>
    </w:sdtContent>
  </w:sdt>
  <w:p w:rsidR="009051ED" w:rsidRDefault="009051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1ED" w:rsidRPr="00934A2C" w:rsidRDefault="009051ED">
    <w:pPr>
      <w:pStyle w:val="Footer"/>
      <w:jc w:val="center"/>
      <w:rPr>
        <w:sz w:val="16"/>
        <w:szCs w:val="22"/>
      </w:rPr>
    </w:pPr>
  </w:p>
  <w:p w:rsidR="009051ED" w:rsidRDefault="009051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7A7" w:rsidRPr="000F35ED" w:rsidRDefault="00BB37A7">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BB37A7" w:rsidRPr="000F35ED" w:rsidRDefault="00BB37A7" w:rsidP="000F35ED">
      <w:pPr>
        <w:rPr>
          <w:rFonts w:asciiTheme="majorHAnsi" w:hAnsiTheme="majorHAnsi"/>
          <w:sz w:val="16"/>
          <w:szCs w:val="16"/>
        </w:rPr>
      </w:pPr>
      <w:r w:rsidRPr="000F35ED">
        <w:rPr>
          <w:rFonts w:asciiTheme="majorHAnsi" w:hAnsiTheme="majorHAnsi"/>
          <w:sz w:val="16"/>
          <w:szCs w:val="16"/>
        </w:rPr>
        <w:separator/>
      </w:r>
    </w:p>
    <w:p w:rsidR="00BB37A7" w:rsidRPr="000F35ED" w:rsidRDefault="00BB37A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BB37A7" w:rsidRPr="000F35ED" w:rsidRDefault="00BB37A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544712" w:rsidRPr="00544712" w:rsidRDefault="00544712" w:rsidP="005D516C">
      <w:pPr>
        <w:pStyle w:val="FootnoteText"/>
        <w:ind w:firstLine="720"/>
        <w:jc w:val="both"/>
        <w:rPr>
          <w:lang w:val="es-ES"/>
        </w:rPr>
      </w:pPr>
      <w:r>
        <w:rPr>
          <w:rStyle w:val="FootnoteReference"/>
        </w:rPr>
        <w:footnoteRef/>
      </w:r>
      <w:r w:rsidRPr="00544712">
        <w:rPr>
          <w:lang w:val="es-ES"/>
        </w:rPr>
        <w:t xml:space="preserve"> </w:t>
      </w:r>
      <w:r w:rsidRPr="00AC0ED4">
        <w:rPr>
          <w:rFonts w:asciiTheme="majorHAnsi" w:hAnsiTheme="majorHAnsi"/>
          <w:sz w:val="16"/>
          <w:szCs w:val="16"/>
          <w:lang w:val="es-MX"/>
        </w:rPr>
        <w:t xml:space="preserve">Conforme </w:t>
      </w:r>
      <w:r w:rsidRPr="00AC0ED4">
        <w:rPr>
          <w:rFonts w:asciiTheme="majorHAnsi" w:hAnsiTheme="majorHAnsi" w:cs="Arial"/>
          <w:sz w:val="16"/>
          <w:szCs w:val="16"/>
          <w:lang w:val="es-ES"/>
        </w:rPr>
        <w:t xml:space="preserve">a lo dispuesto en el artículo 17.2.a del Reglamento de la Comisión, el </w:t>
      </w:r>
      <w:r w:rsidR="00AD528E">
        <w:rPr>
          <w:rFonts w:asciiTheme="majorHAnsi" w:hAnsiTheme="majorHAnsi" w:cs="Arial"/>
          <w:sz w:val="16"/>
          <w:szCs w:val="16"/>
          <w:lang w:val="es-ES"/>
        </w:rPr>
        <w:t xml:space="preserve">comisionado </w:t>
      </w:r>
      <w:r w:rsidR="005D516C" w:rsidRPr="005D516C">
        <w:rPr>
          <w:rFonts w:asciiTheme="majorHAnsi" w:hAnsiTheme="majorHAnsi" w:cs="Arial"/>
          <w:sz w:val="16"/>
          <w:szCs w:val="16"/>
          <w:lang w:val="es-ES"/>
        </w:rPr>
        <w:t>Enrique Gil Botero</w:t>
      </w:r>
      <w:r w:rsidRPr="00AC0ED4">
        <w:rPr>
          <w:rFonts w:asciiTheme="majorHAnsi" w:hAnsiTheme="majorHAnsi" w:cs="Arial"/>
          <w:sz w:val="16"/>
          <w:szCs w:val="16"/>
          <w:lang w:val="es-ES"/>
        </w:rPr>
        <w:t xml:space="preserve">, de nacionalidad </w:t>
      </w:r>
      <w:r w:rsidR="00762EBB">
        <w:rPr>
          <w:rFonts w:asciiTheme="majorHAnsi" w:hAnsiTheme="majorHAnsi" w:cs="Arial"/>
          <w:sz w:val="16"/>
          <w:szCs w:val="16"/>
          <w:lang w:val="es-ES"/>
        </w:rPr>
        <w:t>colombiana</w:t>
      </w:r>
      <w:r w:rsidRPr="00AC0ED4">
        <w:rPr>
          <w:rFonts w:asciiTheme="majorHAnsi" w:hAnsiTheme="majorHAnsi" w:cs="Arial"/>
          <w:sz w:val="16"/>
          <w:szCs w:val="16"/>
          <w:lang w:val="es-ES"/>
        </w:rPr>
        <w:t>, no participó en el debate ni en la decisión del presente caso.</w:t>
      </w:r>
    </w:p>
  </w:footnote>
  <w:footnote w:id="3">
    <w:p w:rsidR="009051ED" w:rsidRPr="008651FF" w:rsidRDefault="009051ED" w:rsidP="008651FF">
      <w:pPr>
        <w:pStyle w:val="FootnoteText"/>
        <w:spacing w:before="120"/>
        <w:ind w:firstLine="720"/>
        <w:jc w:val="both"/>
        <w:rPr>
          <w:rFonts w:asciiTheme="majorHAnsi" w:hAnsiTheme="majorHAnsi"/>
          <w:sz w:val="16"/>
          <w:szCs w:val="16"/>
          <w:lang w:val="es-ES"/>
        </w:rPr>
      </w:pPr>
      <w:r w:rsidRPr="008651FF">
        <w:rPr>
          <w:rStyle w:val="FootnoteReference"/>
          <w:rFonts w:asciiTheme="majorHAnsi" w:hAnsiTheme="majorHAnsi"/>
          <w:sz w:val="16"/>
          <w:szCs w:val="16"/>
        </w:rPr>
        <w:footnoteRef/>
      </w:r>
      <w:r w:rsidRPr="008651FF">
        <w:rPr>
          <w:rFonts w:asciiTheme="majorHAnsi" w:hAnsiTheme="majorHAnsi"/>
          <w:sz w:val="16"/>
          <w:szCs w:val="16"/>
          <w:lang w:val="es-ES"/>
        </w:rPr>
        <w:t xml:space="preserve"> CIDH, Informe No. 34/15, Petición 191-07 y otras. Admisibilidad. Álvaro Enrique Rodríguez y otros. Colombia. 22 de julio de 2015, párr. 24</w:t>
      </w:r>
      <w:r>
        <w:rPr>
          <w:rFonts w:asciiTheme="majorHAnsi" w:hAnsiTheme="majorHAnsi"/>
          <w:sz w:val="16"/>
          <w:szCs w:val="16"/>
          <w:lang w:val="es-ES"/>
        </w:rPr>
        <w:t>6</w:t>
      </w:r>
      <w:r w:rsidRPr="008651FF">
        <w:rPr>
          <w:rFonts w:asciiTheme="majorHAnsi" w:hAnsiTheme="majorHAnsi"/>
          <w:sz w:val="16"/>
          <w:szCs w:val="16"/>
          <w:lang w:val="es-ES"/>
        </w:rPr>
        <w:t>.</w:t>
      </w:r>
      <w:r>
        <w:rPr>
          <w:rFonts w:asciiTheme="majorHAnsi" w:hAnsiTheme="majorHAnsi"/>
          <w:sz w:val="16"/>
          <w:szCs w:val="16"/>
          <w:lang w:val="es-ES"/>
        </w:rPr>
        <w:t xml:space="preserve"> </w:t>
      </w:r>
    </w:p>
  </w:footnote>
  <w:footnote w:id="4">
    <w:p w:rsidR="00663A60" w:rsidRPr="00FE0465" w:rsidRDefault="00663A60" w:rsidP="00370F07">
      <w:pPr>
        <w:pStyle w:val="FootnoteText"/>
        <w:ind w:firstLine="720"/>
        <w:jc w:val="both"/>
        <w:rPr>
          <w:rFonts w:asciiTheme="majorHAnsi" w:hAnsiTheme="majorHAnsi"/>
          <w:sz w:val="16"/>
          <w:szCs w:val="16"/>
          <w:lang w:val="es-ES"/>
        </w:rPr>
      </w:pPr>
      <w:r>
        <w:rPr>
          <w:rStyle w:val="FootnoteReference"/>
        </w:rPr>
        <w:footnoteRef/>
      </w:r>
      <w:r w:rsidRPr="00FE0465">
        <w:rPr>
          <w:lang w:val="es-ES"/>
        </w:rPr>
        <w:t xml:space="preserve"> </w:t>
      </w:r>
      <w:r w:rsidRPr="00FE0465">
        <w:rPr>
          <w:rFonts w:asciiTheme="majorHAnsi" w:hAnsiTheme="majorHAnsi"/>
          <w:sz w:val="16"/>
          <w:szCs w:val="16"/>
          <w:lang w:val="es-ES"/>
        </w:rPr>
        <w:t xml:space="preserve">Ver, entre otros, </w:t>
      </w:r>
      <w:r w:rsidR="00370F07" w:rsidRPr="008651FF">
        <w:rPr>
          <w:rFonts w:asciiTheme="majorHAnsi" w:hAnsiTheme="majorHAnsi"/>
          <w:sz w:val="16"/>
          <w:szCs w:val="16"/>
          <w:lang w:val="es-ES"/>
        </w:rPr>
        <w:t>CIDH, Informe No. 34/15, Petición 191-07 y otras. Admisibilidad. Álvaro Enrique Rodríguez y otros. Colombi</w:t>
      </w:r>
      <w:r w:rsidR="00370F07">
        <w:rPr>
          <w:rFonts w:asciiTheme="majorHAnsi" w:hAnsiTheme="majorHAnsi"/>
          <w:sz w:val="16"/>
          <w:szCs w:val="16"/>
          <w:lang w:val="es-ES"/>
        </w:rPr>
        <w:t xml:space="preserve">a. 22 de julio de 2015, párr. 251; </w:t>
      </w:r>
      <w:r w:rsidRPr="00FE0465">
        <w:rPr>
          <w:rFonts w:asciiTheme="majorHAnsi" w:hAnsiTheme="majorHAnsi"/>
          <w:sz w:val="16"/>
          <w:szCs w:val="16"/>
          <w:lang w:val="es-ES"/>
        </w:rPr>
        <w:t>CIDH, Informe No. 15/95, Caso No. 11.010, Hildegard María Feldman, Colombia, 13 de septiembre de 1995; CIDH, Informe N° 61/99, Caso 11.519, José Alexis Fuentes Guerrero y otros, Colombia, 13 de abril de 1999, párr. 51; CIDH, Informe N° 43/02, Petición 12.009,</w:t>
      </w:r>
      <w:r>
        <w:rPr>
          <w:rFonts w:asciiTheme="majorHAnsi" w:hAnsiTheme="majorHAnsi"/>
          <w:sz w:val="16"/>
          <w:szCs w:val="16"/>
          <w:lang w:val="es-ES"/>
        </w:rPr>
        <w:t xml:space="preserve"> </w:t>
      </w:r>
      <w:r w:rsidRPr="00FE0465">
        <w:rPr>
          <w:rFonts w:asciiTheme="majorHAnsi" w:hAnsiTheme="majorHAnsi"/>
          <w:sz w:val="16"/>
          <w:szCs w:val="16"/>
          <w:lang w:val="es-ES"/>
        </w:rPr>
        <w:t>Leydi Dayán</w:t>
      </w:r>
      <w:r>
        <w:rPr>
          <w:rFonts w:asciiTheme="majorHAnsi" w:hAnsiTheme="majorHAnsi"/>
          <w:sz w:val="16"/>
          <w:szCs w:val="16"/>
          <w:lang w:val="es-ES"/>
        </w:rPr>
        <w:t xml:space="preserve"> </w:t>
      </w:r>
      <w:r w:rsidRPr="00FE0465">
        <w:rPr>
          <w:rFonts w:asciiTheme="majorHAnsi" w:hAnsiTheme="majorHAnsi"/>
          <w:sz w:val="16"/>
          <w:szCs w:val="16"/>
          <w:lang w:val="es-ES"/>
        </w:rPr>
        <w:t>Sánchez,</w:t>
      </w:r>
      <w:r>
        <w:rPr>
          <w:rFonts w:asciiTheme="majorHAnsi" w:hAnsiTheme="majorHAnsi"/>
          <w:sz w:val="16"/>
          <w:szCs w:val="16"/>
          <w:lang w:val="es-ES"/>
        </w:rPr>
        <w:t xml:space="preserve"> </w:t>
      </w:r>
      <w:r w:rsidRPr="00FE0465">
        <w:rPr>
          <w:rFonts w:asciiTheme="majorHAnsi" w:hAnsiTheme="majorHAnsi"/>
          <w:sz w:val="16"/>
          <w:szCs w:val="16"/>
          <w:lang w:val="es-ES"/>
        </w:rPr>
        <w:t>Colombia,</w:t>
      </w:r>
      <w:r>
        <w:rPr>
          <w:rFonts w:asciiTheme="majorHAnsi" w:hAnsiTheme="majorHAnsi"/>
          <w:sz w:val="16"/>
          <w:szCs w:val="16"/>
          <w:lang w:val="es-ES"/>
        </w:rPr>
        <w:t xml:space="preserve"> </w:t>
      </w:r>
      <w:r w:rsidRPr="00FE0465">
        <w:rPr>
          <w:rFonts w:asciiTheme="majorHAnsi" w:hAnsiTheme="majorHAnsi"/>
          <w:sz w:val="16"/>
          <w:szCs w:val="16"/>
          <w:lang w:val="es-ES"/>
        </w:rPr>
        <w:t>9</w:t>
      </w:r>
      <w:r>
        <w:rPr>
          <w:rFonts w:asciiTheme="majorHAnsi" w:hAnsiTheme="majorHAnsi"/>
          <w:sz w:val="16"/>
          <w:szCs w:val="16"/>
          <w:lang w:val="es-ES"/>
        </w:rPr>
        <w:t xml:space="preserve"> </w:t>
      </w:r>
      <w:r w:rsidRPr="00FE0465">
        <w:rPr>
          <w:rFonts w:asciiTheme="majorHAnsi" w:hAnsiTheme="majorHAnsi"/>
          <w:sz w:val="16"/>
          <w:szCs w:val="16"/>
          <w:lang w:val="es-ES"/>
        </w:rPr>
        <w:t>de</w:t>
      </w:r>
      <w:r>
        <w:rPr>
          <w:rFonts w:asciiTheme="majorHAnsi" w:hAnsiTheme="majorHAnsi"/>
          <w:sz w:val="16"/>
          <w:szCs w:val="16"/>
          <w:lang w:val="es-ES"/>
        </w:rPr>
        <w:t xml:space="preserve"> </w:t>
      </w:r>
      <w:r w:rsidRPr="00FE0465">
        <w:rPr>
          <w:rFonts w:asciiTheme="majorHAnsi" w:hAnsiTheme="majorHAnsi"/>
          <w:sz w:val="16"/>
          <w:szCs w:val="16"/>
          <w:lang w:val="es-ES"/>
        </w:rPr>
        <w:t>octubre</w:t>
      </w:r>
      <w:r>
        <w:rPr>
          <w:rFonts w:asciiTheme="majorHAnsi" w:hAnsiTheme="majorHAnsi"/>
          <w:sz w:val="16"/>
          <w:szCs w:val="16"/>
          <w:lang w:val="es-ES"/>
        </w:rPr>
        <w:t xml:space="preserve"> </w:t>
      </w:r>
      <w:r w:rsidRPr="00FE0465">
        <w:rPr>
          <w:rFonts w:asciiTheme="majorHAnsi" w:hAnsiTheme="majorHAnsi"/>
          <w:sz w:val="16"/>
          <w:szCs w:val="16"/>
          <w:lang w:val="es-ES"/>
        </w:rPr>
        <w:t>de</w:t>
      </w:r>
      <w:r>
        <w:rPr>
          <w:rFonts w:asciiTheme="majorHAnsi" w:hAnsiTheme="majorHAnsi"/>
          <w:sz w:val="16"/>
          <w:szCs w:val="16"/>
          <w:lang w:val="es-ES"/>
        </w:rPr>
        <w:t xml:space="preserve"> </w:t>
      </w:r>
      <w:r w:rsidRPr="00FE0465">
        <w:rPr>
          <w:rFonts w:asciiTheme="majorHAnsi" w:hAnsiTheme="majorHAnsi"/>
          <w:sz w:val="16"/>
          <w:szCs w:val="16"/>
          <w:lang w:val="es-ES"/>
        </w:rPr>
        <w:t>2002,</w:t>
      </w:r>
      <w:r>
        <w:rPr>
          <w:rFonts w:asciiTheme="majorHAnsi" w:hAnsiTheme="majorHAnsi"/>
          <w:sz w:val="16"/>
          <w:szCs w:val="16"/>
          <w:lang w:val="es-ES"/>
        </w:rPr>
        <w:t xml:space="preserve"> </w:t>
      </w:r>
      <w:r w:rsidRPr="00FE0465">
        <w:rPr>
          <w:rFonts w:asciiTheme="majorHAnsi" w:hAnsiTheme="majorHAnsi"/>
          <w:sz w:val="16"/>
          <w:szCs w:val="16"/>
          <w:lang w:val="es-ES"/>
        </w:rPr>
        <w:t>párr.</w:t>
      </w:r>
      <w:r>
        <w:rPr>
          <w:rFonts w:asciiTheme="majorHAnsi" w:hAnsiTheme="majorHAnsi"/>
          <w:sz w:val="16"/>
          <w:szCs w:val="16"/>
          <w:lang w:val="es-ES"/>
        </w:rPr>
        <w:t xml:space="preserve"> </w:t>
      </w:r>
      <w:r w:rsidRPr="00FE0465">
        <w:rPr>
          <w:rFonts w:asciiTheme="majorHAnsi" w:hAnsiTheme="majorHAnsi"/>
          <w:sz w:val="16"/>
          <w:szCs w:val="16"/>
          <w:lang w:val="es-ES"/>
        </w:rPr>
        <w:t>22;</w:t>
      </w:r>
      <w:r>
        <w:rPr>
          <w:rFonts w:asciiTheme="majorHAnsi" w:hAnsiTheme="majorHAnsi"/>
          <w:sz w:val="16"/>
          <w:szCs w:val="16"/>
          <w:lang w:val="es-ES"/>
        </w:rPr>
        <w:t xml:space="preserve"> </w:t>
      </w:r>
      <w:r w:rsidRPr="00FE0465">
        <w:rPr>
          <w:rFonts w:asciiTheme="majorHAnsi" w:hAnsiTheme="majorHAnsi"/>
          <w:sz w:val="16"/>
          <w:szCs w:val="16"/>
          <w:lang w:val="es-ES"/>
        </w:rPr>
        <w:t>y</w:t>
      </w:r>
      <w:r>
        <w:rPr>
          <w:rFonts w:asciiTheme="majorHAnsi" w:hAnsiTheme="majorHAnsi"/>
          <w:sz w:val="16"/>
          <w:szCs w:val="16"/>
          <w:lang w:val="es-ES"/>
        </w:rPr>
        <w:t xml:space="preserve"> </w:t>
      </w:r>
      <w:r w:rsidRPr="00FE0465">
        <w:rPr>
          <w:rFonts w:asciiTheme="majorHAnsi" w:hAnsiTheme="majorHAnsi"/>
          <w:sz w:val="16"/>
          <w:szCs w:val="16"/>
          <w:lang w:val="es-ES"/>
        </w:rPr>
        <w:t>CIDH.</w:t>
      </w:r>
      <w:r>
        <w:rPr>
          <w:rFonts w:asciiTheme="majorHAnsi" w:hAnsiTheme="majorHAnsi"/>
          <w:sz w:val="16"/>
          <w:szCs w:val="16"/>
          <w:lang w:val="es-ES"/>
        </w:rPr>
        <w:t xml:space="preserve"> </w:t>
      </w:r>
      <w:r w:rsidRPr="00FE0465">
        <w:rPr>
          <w:rFonts w:asciiTheme="majorHAnsi" w:hAnsiTheme="majorHAnsi"/>
          <w:sz w:val="16"/>
          <w:szCs w:val="16"/>
          <w:lang w:val="es-ES"/>
        </w:rPr>
        <w:t>Informe No.</w:t>
      </w:r>
      <w:r>
        <w:rPr>
          <w:rFonts w:asciiTheme="majorHAnsi" w:hAnsiTheme="majorHAnsi"/>
          <w:sz w:val="16"/>
          <w:szCs w:val="16"/>
          <w:lang w:val="es-ES"/>
        </w:rPr>
        <w:t xml:space="preserve"> </w:t>
      </w:r>
      <w:r w:rsidRPr="00FE0465">
        <w:rPr>
          <w:rFonts w:asciiTheme="majorHAnsi" w:hAnsiTheme="majorHAnsi"/>
          <w:sz w:val="16"/>
          <w:szCs w:val="16"/>
          <w:lang w:val="es-ES"/>
        </w:rPr>
        <w:t>74/07,</w:t>
      </w:r>
      <w:r>
        <w:rPr>
          <w:rFonts w:asciiTheme="majorHAnsi" w:hAnsiTheme="majorHAnsi"/>
          <w:sz w:val="16"/>
          <w:szCs w:val="16"/>
          <w:lang w:val="es-ES"/>
        </w:rPr>
        <w:t xml:space="preserve"> </w:t>
      </w:r>
      <w:r w:rsidRPr="00FE0465">
        <w:rPr>
          <w:rFonts w:asciiTheme="majorHAnsi" w:hAnsiTheme="majorHAnsi"/>
          <w:sz w:val="16"/>
          <w:szCs w:val="16"/>
          <w:lang w:val="es-ES"/>
        </w:rPr>
        <w:t>Petición</w:t>
      </w:r>
      <w:r>
        <w:rPr>
          <w:rFonts w:asciiTheme="majorHAnsi" w:hAnsiTheme="majorHAnsi"/>
          <w:sz w:val="16"/>
          <w:szCs w:val="16"/>
          <w:lang w:val="es-ES"/>
        </w:rPr>
        <w:t xml:space="preserve"> </w:t>
      </w:r>
      <w:r w:rsidRPr="00FE0465">
        <w:rPr>
          <w:rFonts w:asciiTheme="majorHAnsi" w:hAnsiTheme="majorHAnsi"/>
          <w:sz w:val="16"/>
          <w:szCs w:val="16"/>
          <w:lang w:val="es-ES"/>
        </w:rPr>
        <w:t>1136/03, Admisibilidad,</w:t>
      </w:r>
      <w:r>
        <w:rPr>
          <w:rFonts w:asciiTheme="majorHAnsi" w:hAnsiTheme="majorHAnsi"/>
          <w:sz w:val="16"/>
          <w:szCs w:val="16"/>
          <w:lang w:val="es-ES"/>
        </w:rPr>
        <w:t xml:space="preserve"> </w:t>
      </w:r>
      <w:r w:rsidRPr="00FE0465">
        <w:rPr>
          <w:rFonts w:asciiTheme="majorHAnsi" w:hAnsiTheme="majorHAnsi"/>
          <w:sz w:val="16"/>
          <w:szCs w:val="16"/>
          <w:lang w:val="es-ES"/>
        </w:rPr>
        <w:t>José Antonio Romero Cruz y otros. 15 de octubre de 2007. párr. 34.</w:t>
      </w:r>
      <w:r>
        <w:rPr>
          <w:rFonts w:asciiTheme="majorHAnsi" w:hAnsiTheme="majorHAnsi"/>
          <w:sz w:val="16"/>
          <w:szCs w:val="16"/>
          <w:lang w:val="es-ES"/>
        </w:rPr>
        <w:t xml:space="preserve"> </w:t>
      </w:r>
    </w:p>
  </w:footnote>
  <w:footnote w:id="5">
    <w:p w:rsidR="009051ED" w:rsidRPr="00B8577A" w:rsidRDefault="009051ED" w:rsidP="00370F07">
      <w:pPr>
        <w:pStyle w:val="FootnoteText"/>
        <w:ind w:firstLine="720"/>
        <w:jc w:val="both"/>
        <w:rPr>
          <w:lang w:val="es-ES"/>
        </w:rPr>
      </w:pPr>
      <w:r>
        <w:rPr>
          <w:rStyle w:val="FootnoteReference"/>
        </w:rPr>
        <w:footnoteRef/>
      </w:r>
      <w:r>
        <w:rPr>
          <w:lang w:val="es-ES"/>
        </w:rPr>
        <w:t xml:space="preserve"> </w:t>
      </w:r>
      <w:r w:rsidRPr="00B8577A">
        <w:rPr>
          <w:rFonts w:asciiTheme="majorHAnsi" w:hAnsiTheme="majorHAnsi"/>
          <w:sz w:val="16"/>
          <w:szCs w:val="16"/>
          <w:lang w:val="es-ES"/>
        </w:rPr>
        <w:t>Ver,</w:t>
      </w:r>
      <w:r>
        <w:rPr>
          <w:rFonts w:asciiTheme="majorHAnsi" w:hAnsiTheme="majorHAnsi"/>
          <w:sz w:val="16"/>
          <w:szCs w:val="16"/>
          <w:lang w:val="es-ES"/>
        </w:rPr>
        <w:t xml:space="preserve"> </w:t>
      </w:r>
      <w:r w:rsidRPr="00B8577A">
        <w:rPr>
          <w:rFonts w:asciiTheme="majorHAnsi" w:hAnsiTheme="majorHAnsi"/>
          <w:sz w:val="16"/>
          <w:szCs w:val="16"/>
          <w:lang w:val="es-ES"/>
        </w:rPr>
        <w:t>inter alia, Corte</w:t>
      </w:r>
      <w:r>
        <w:rPr>
          <w:rFonts w:asciiTheme="majorHAnsi" w:hAnsiTheme="majorHAnsi"/>
          <w:sz w:val="16"/>
          <w:szCs w:val="16"/>
          <w:lang w:val="es-ES"/>
        </w:rPr>
        <w:t xml:space="preserve"> </w:t>
      </w:r>
      <w:r w:rsidRPr="00B8577A">
        <w:rPr>
          <w:rFonts w:asciiTheme="majorHAnsi" w:hAnsiTheme="majorHAnsi"/>
          <w:sz w:val="16"/>
          <w:szCs w:val="16"/>
          <w:lang w:val="es-ES"/>
        </w:rPr>
        <w:t>I.D.H., Caso</w:t>
      </w:r>
      <w:r>
        <w:rPr>
          <w:rFonts w:asciiTheme="majorHAnsi" w:hAnsiTheme="majorHAnsi"/>
          <w:sz w:val="16"/>
          <w:szCs w:val="16"/>
          <w:lang w:val="es-ES"/>
        </w:rPr>
        <w:t xml:space="preserve"> </w:t>
      </w:r>
      <w:r w:rsidRPr="00B8577A">
        <w:rPr>
          <w:rFonts w:asciiTheme="majorHAnsi" w:hAnsiTheme="majorHAnsi"/>
          <w:sz w:val="16"/>
          <w:szCs w:val="16"/>
          <w:lang w:val="es-ES"/>
        </w:rPr>
        <w:t>de</w:t>
      </w:r>
      <w:r>
        <w:rPr>
          <w:rFonts w:asciiTheme="majorHAnsi" w:hAnsiTheme="majorHAnsi"/>
          <w:sz w:val="16"/>
          <w:szCs w:val="16"/>
          <w:lang w:val="es-ES"/>
        </w:rPr>
        <w:t xml:space="preserve"> </w:t>
      </w:r>
      <w:r w:rsidRPr="00B8577A">
        <w:rPr>
          <w:rFonts w:asciiTheme="majorHAnsi" w:hAnsiTheme="majorHAnsi"/>
          <w:sz w:val="16"/>
          <w:szCs w:val="16"/>
          <w:lang w:val="es-ES"/>
        </w:rPr>
        <w:t>la Masacre</w:t>
      </w:r>
      <w:r>
        <w:rPr>
          <w:rFonts w:asciiTheme="majorHAnsi" w:hAnsiTheme="majorHAnsi"/>
          <w:sz w:val="16"/>
          <w:szCs w:val="16"/>
          <w:lang w:val="es-ES"/>
        </w:rPr>
        <w:t xml:space="preserve"> </w:t>
      </w:r>
      <w:r w:rsidRPr="00B8577A">
        <w:rPr>
          <w:rFonts w:asciiTheme="majorHAnsi" w:hAnsiTheme="majorHAnsi"/>
          <w:sz w:val="16"/>
          <w:szCs w:val="16"/>
          <w:lang w:val="es-ES"/>
        </w:rPr>
        <w:t>de Mapiripán Vs. Colombia.</w:t>
      </w:r>
      <w:r>
        <w:rPr>
          <w:rFonts w:asciiTheme="majorHAnsi" w:hAnsiTheme="majorHAnsi"/>
          <w:sz w:val="16"/>
          <w:szCs w:val="16"/>
          <w:lang w:val="es-ES"/>
        </w:rPr>
        <w:t xml:space="preserve"> </w:t>
      </w:r>
      <w:r w:rsidRPr="00B8577A">
        <w:rPr>
          <w:rFonts w:asciiTheme="majorHAnsi" w:hAnsiTheme="majorHAnsi"/>
          <w:sz w:val="16"/>
          <w:szCs w:val="16"/>
          <w:lang w:val="es-ES"/>
        </w:rPr>
        <w:t>Fondo,</w:t>
      </w:r>
      <w:r>
        <w:rPr>
          <w:rFonts w:asciiTheme="majorHAnsi" w:hAnsiTheme="majorHAnsi"/>
          <w:sz w:val="16"/>
          <w:szCs w:val="16"/>
          <w:lang w:val="es-ES"/>
        </w:rPr>
        <w:t xml:space="preserve"> </w:t>
      </w:r>
      <w:r w:rsidRPr="00B8577A">
        <w:rPr>
          <w:rFonts w:asciiTheme="majorHAnsi" w:hAnsiTheme="majorHAnsi"/>
          <w:sz w:val="16"/>
          <w:szCs w:val="16"/>
          <w:lang w:val="es-ES"/>
        </w:rPr>
        <w:t>Reparaciones y Costas.</w:t>
      </w:r>
      <w:r>
        <w:rPr>
          <w:rFonts w:asciiTheme="majorHAnsi" w:hAnsiTheme="majorHAnsi"/>
          <w:sz w:val="16"/>
          <w:szCs w:val="16"/>
          <w:lang w:val="es-ES"/>
        </w:rPr>
        <w:t xml:space="preserve"> </w:t>
      </w:r>
      <w:r w:rsidRPr="00B8577A">
        <w:rPr>
          <w:rFonts w:asciiTheme="majorHAnsi" w:hAnsiTheme="majorHAnsi"/>
          <w:sz w:val="16"/>
          <w:szCs w:val="16"/>
          <w:lang w:val="es-ES"/>
        </w:rPr>
        <w:t>Sentencia de 15</w:t>
      </w:r>
      <w:r>
        <w:rPr>
          <w:rFonts w:asciiTheme="majorHAnsi" w:hAnsiTheme="majorHAnsi"/>
          <w:sz w:val="16"/>
          <w:szCs w:val="16"/>
          <w:lang w:val="es-ES"/>
        </w:rPr>
        <w:t xml:space="preserve"> </w:t>
      </w:r>
      <w:r w:rsidRPr="00B8577A">
        <w:rPr>
          <w:rFonts w:asciiTheme="majorHAnsi" w:hAnsiTheme="majorHAnsi"/>
          <w:sz w:val="16"/>
          <w:szCs w:val="16"/>
          <w:lang w:val="es-ES"/>
        </w:rPr>
        <w:t xml:space="preserve">de septiembre de </w:t>
      </w:r>
      <w:r w:rsidR="007753D9">
        <w:rPr>
          <w:rFonts w:asciiTheme="majorHAnsi" w:hAnsiTheme="majorHAnsi"/>
          <w:sz w:val="16"/>
          <w:szCs w:val="16"/>
          <w:lang w:val="es-ES"/>
        </w:rPr>
        <w:t>2005. Serie C No. 134, párr. 214</w:t>
      </w:r>
      <w:r w:rsidRPr="00B8577A">
        <w:rPr>
          <w:rFonts w:asciiTheme="majorHAnsi" w:hAnsiTheme="majorHAnsi"/>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1ED" w:rsidRDefault="009051ED" w:rsidP="009051E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9051ED" w:rsidRDefault="009051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1ED" w:rsidRDefault="009051ED"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9051ED" w:rsidRPr="00EC7D62" w:rsidRDefault="00BB37A7"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857" w:rsidRDefault="00C528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A5E491BA"/>
    <w:lvl w:ilvl="0" w:tplc="11044AE4">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274528"/>
    <w:multiLevelType w:val="multilevel"/>
    <w:tmpl w:val="A02A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6573C20"/>
    <w:multiLevelType w:val="hybridMultilevel"/>
    <w:tmpl w:val="EFE6D1E0"/>
    <w:lvl w:ilvl="0" w:tplc="914210B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5"/>
  </w:num>
  <w:num w:numId="4">
    <w:abstractNumId w:val="23"/>
  </w:num>
  <w:num w:numId="5">
    <w:abstractNumId w:val="47"/>
  </w:num>
  <w:num w:numId="6">
    <w:abstractNumId w:val="28"/>
  </w:num>
  <w:num w:numId="7">
    <w:abstractNumId w:val="7"/>
  </w:num>
  <w:num w:numId="8">
    <w:abstractNumId w:val="19"/>
  </w:num>
  <w:num w:numId="9">
    <w:abstractNumId w:val="42"/>
  </w:num>
  <w:num w:numId="10">
    <w:abstractNumId w:val="1"/>
  </w:num>
  <w:num w:numId="11">
    <w:abstractNumId w:val="37"/>
  </w:num>
  <w:num w:numId="12">
    <w:abstractNumId w:val="38"/>
  </w:num>
  <w:num w:numId="13">
    <w:abstractNumId w:val="43"/>
  </w:num>
  <w:num w:numId="14">
    <w:abstractNumId w:val="2"/>
  </w:num>
  <w:num w:numId="15">
    <w:abstractNumId w:val="3"/>
  </w:num>
  <w:num w:numId="16">
    <w:abstractNumId w:val="8"/>
  </w:num>
  <w:num w:numId="17">
    <w:abstractNumId w:val="9"/>
  </w:num>
  <w:num w:numId="18">
    <w:abstractNumId w:val="10"/>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20"/>
  </w:num>
  <w:num w:numId="26">
    <w:abstractNumId w:val="21"/>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5"/>
  </w:num>
  <w:num w:numId="42">
    <w:abstractNumId w:val="48"/>
  </w:num>
  <w:num w:numId="43">
    <w:abstractNumId w:val="49"/>
  </w:num>
  <w:num w:numId="44">
    <w:abstractNumId w:val="52"/>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2"/>
  </w:num>
  <w:num w:numId="52">
    <w:abstractNumId w:val="41"/>
  </w:num>
  <w:num w:numId="53">
    <w:abstractNumId w:val="51"/>
  </w:num>
  <w:num w:numId="54">
    <w:abstractNumId w:val="44"/>
  </w:num>
  <w:num w:numId="55">
    <w:abstractNumId w:val="46"/>
  </w:num>
  <w:num w:numId="56">
    <w:abstractNumId w:val="5"/>
  </w:num>
  <w:num w:numId="57">
    <w:abstractNumId w:val="11"/>
  </w:num>
  <w:num w:numId="58">
    <w:abstractNumId w:val="50"/>
  </w:num>
  <w:num w:numId="59">
    <w:abstractNumId w:val="18"/>
  </w:num>
  <w:num w:numId="60">
    <w:abstractNumId w:val="5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4F63"/>
    <w:rsid w:val="00006E1F"/>
    <w:rsid w:val="000070D7"/>
    <w:rsid w:val="00015DEE"/>
    <w:rsid w:val="000162B3"/>
    <w:rsid w:val="0001788C"/>
    <w:rsid w:val="00021692"/>
    <w:rsid w:val="00024654"/>
    <w:rsid w:val="0002721C"/>
    <w:rsid w:val="000337E5"/>
    <w:rsid w:val="00034785"/>
    <w:rsid w:val="00040C3A"/>
    <w:rsid w:val="0004198F"/>
    <w:rsid w:val="0004353B"/>
    <w:rsid w:val="0004752F"/>
    <w:rsid w:val="000531C1"/>
    <w:rsid w:val="000552D0"/>
    <w:rsid w:val="000567B8"/>
    <w:rsid w:val="00057DD7"/>
    <w:rsid w:val="000602B0"/>
    <w:rsid w:val="000605C3"/>
    <w:rsid w:val="00062B44"/>
    <w:rsid w:val="000678AB"/>
    <w:rsid w:val="000716C5"/>
    <w:rsid w:val="000746E3"/>
    <w:rsid w:val="00075E23"/>
    <w:rsid w:val="000765D2"/>
    <w:rsid w:val="000919D0"/>
    <w:rsid w:val="0009344A"/>
    <w:rsid w:val="00097050"/>
    <w:rsid w:val="000A392E"/>
    <w:rsid w:val="000A575F"/>
    <w:rsid w:val="000B0FC0"/>
    <w:rsid w:val="000B6604"/>
    <w:rsid w:val="000C148E"/>
    <w:rsid w:val="000C27BE"/>
    <w:rsid w:val="000C2E2E"/>
    <w:rsid w:val="000C5AF5"/>
    <w:rsid w:val="000C7E95"/>
    <w:rsid w:val="000D10DB"/>
    <w:rsid w:val="000D68D9"/>
    <w:rsid w:val="000D6D3A"/>
    <w:rsid w:val="000D6DD1"/>
    <w:rsid w:val="000D7D02"/>
    <w:rsid w:val="000D7E9C"/>
    <w:rsid w:val="000E56D1"/>
    <w:rsid w:val="000E5EB5"/>
    <w:rsid w:val="000F135A"/>
    <w:rsid w:val="000F160E"/>
    <w:rsid w:val="000F35ED"/>
    <w:rsid w:val="00102679"/>
    <w:rsid w:val="00107131"/>
    <w:rsid w:val="0010736F"/>
    <w:rsid w:val="001100AC"/>
    <w:rsid w:val="00112B3C"/>
    <w:rsid w:val="00112D7A"/>
    <w:rsid w:val="00113F73"/>
    <w:rsid w:val="00117E6B"/>
    <w:rsid w:val="00121CC2"/>
    <w:rsid w:val="00124674"/>
    <w:rsid w:val="00133EE5"/>
    <w:rsid w:val="00141477"/>
    <w:rsid w:val="00142F69"/>
    <w:rsid w:val="001452A9"/>
    <w:rsid w:val="0015297E"/>
    <w:rsid w:val="00154339"/>
    <w:rsid w:val="00155378"/>
    <w:rsid w:val="00164A6C"/>
    <w:rsid w:val="001655D3"/>
    <w:rsid w:val="00166105"/>
    <w:rsid w:val="0016789E"/>
    <w:rsid w:val="00167A34"/>
    <w:rsid w:val="001714CF"/>
    <w:rsid w:val="0017172E"/>
    <w:rsid w:val="001762CF"/>
    <w:rsid w:val="00181715"/>
    <w:rsid w:val="00182D70"/>
    <w:rsid w:val="00187AB4"/>
    <w:rsid w:val="00187D51"/>
    <w:rsid w:val="00197D36"/>
    <w:rsid w:val="001A404A"/>
    <w:rsid w:val="001A701C"/>
    <w:rsid w:val="001A7870"/>
    <w:rsid w:val="001B3A61"/>
    <w:rsid w:val="001B5F9E"/>
    <w:rsid w:val="001C10B9"/>
    <w:rsid w:val="001C1B41"/>
    <w:rsid w:val="001C44FE"/>
    <w:rsid w:val="001D65EF"/>
    <w:rsid w:val="001E3AAA"/>
    <w:rsid w:val="001E53D9"/>
    <w:rsid w:val="001F06C7"/>
    <w:rsid w:val="001F0BE1"/>
    <w:rsid w:val="001F2B56"/>
    <w:rsid w:val="001F2E7D"/>
    <w:rsid w:val="001F34FB"/>
    <w:rsid w:val="001F458D"/>
    <w:rsid w:val="001F5EFA"/>
    <w:rsid w:val="00201767"/>
    <w:rsid w:val="002053A7"/>
    <w:rsid w:val="002225FB"/>
    <w:rsid w:val="00222B33"/>
    <w:rsid w:val="002250A3"/>
    <w:rsid w:val="0022561D"/>
    <w:rsid w:val="002316D4"/>
    <w:rsid w:val="00232D66"/>
    <w:rsid w:val="00234911"/>
    <w:rsid w:val="00235217"/>
    <w:rsid w:val="0023669E"/>
    <w:rsid w:val="00242E56"/>
    <w:rsid w:val="00246160"/>
    <w:rsid w:val="0024631D"/>
    <w:rsid w:val="00246D1F"/>
    <w:rsid w:val="00247403"/>
    <w:rsid w:val="00247542"/>
    <w:rsid w:val="00251D4D"/>
    <w:rsid w:val="0026525D"/>
    <w:rsid w:val="00266B61"/>
    <w:rsid w:val="0026712A"/>
    <w:rsid w:val="002704DB"/>
    <w:rsid w:val="0027139E"/>
    <w:rsid w:val="00291868"/>
    <w:rsid w:val="00291E6F"/>
    <w:rsid w:val="0029694E"/>
    <w:rsid w:val="002A0AAE"/>
    <w:rsid w:val="002A5820"/>
    <w:rsid w:val="002A702C"/>
    <w:rsid w:val="002B2FBB"/>
    <w:rsid w:val="002B7406"/>
    <w:rsid w:val="002C135F"/>
    <w:rsid w:val="002D2B26"/>
    <w:rsid w:val="002D7EA2"/>
    <w:rsid w:val="002E0A91"/>
    <w:rsid w:val="002E187C"/>
    <w:rsid w:val="002E5576"/>
    <w:rsid w:val="002E598C"/>
    <w:rsid w:val="002E78E9"/>
    <w:rsid w:val="002F091A"/>
    <w:rsid w:val="002F6413"/>
    <w:rsid w:val="002F76FA"/>
    <w:rsid w:val="0030217B"/>
    <w:rsid w:val="00302733"/>
    <w:rsid w:val="00302AA0"/>
    <w:rsid w:val="00303272"/>
    <w:rsid w:val="00303C86"/>
    <w:rsid w:val="003047E7"/>
    <w:rsid w:val="00314078"/>
    <w:rsid w:val="0031535D"/>
    <w:rsid w:val="003169F0"/>
    <w:rsid w:val="00321AB6"/>
    <w:rsid w:val="0032314C"/>
    <w:rsid w:val="003259D9"/>
    <w:rsid w:val="0033169F"/>
    <w:rsid w:val="0033467B"/>
    <w:rsid w:val="00337142"/>
    <w:rsid w:val="0033716D"/>
    <w:rsid w:val="00340B34"/>
    <w:rsid w:val="00346C95"/>
    <w:rsid w:val="003543B9"/>
    <w:rsid w:val="003548B2"/>
    <w:rsid w:val="00356185"/>
    <w:rsid w:val="003577BB"/>
    <w:rsid w:val="00360380"/>
    <w:rsid w:val="003655B5"/>
    <w:rsid w:val="00365D51"/>
    <w:rsid w:val="003664B3"/>
    <w:rsid w:val="00370F07"/>
    <w:rsid w:val="0037378F"/>
    <w:rsid w:val="00373EF0"/>
    <w:rsid w:val="0037519E"/>
    <w:rsid w:val="0038413E"/>
    <w:rsid w:val="00385E1D"/>
    <w:rsid w:val="00386CF0"/>
    <w:rsid w:val="003872C5"/>
    <w:rsid w:val="0039237C"/>
    <w:rsid w:val="0039642A"/>
    <w:rsid w:val="00397685"/>
    <w:rsid w:val="003A71BD"/>
    <w:rsid w:val="003B6C88"/>
    <w:rsid w:val="003B6DF8"/>
    <w:rsid w:val="003B70DB"/>
    <w:rsid w:val="003B75C0"/>
    <w:rsid w:val="003C5306"/>
    <w:rsid w:val="003C676B"/>
    <w:rsid w:val="003C679C"/>
    <w:rsid w:val="003D0297"/>
    <w:rsid w:val="003D0327"/>
    <w:rsid w:val="003D1B3B"/>
    <w:rsid w:val="003D2966"/>
    <w:rsid w:val="003D301C"/>
    <w:rsid w:val="003D3BC2"/>
    <w:rsid w:val="003D427A"/>
    <w:rsid w:val="003E3653"/>
    <w:rsid w:val="003E6CA1"/>
    <w:rsid w:val="003E7C63"/>
    <w:rsid w:val="003F19AB"/>
    <w:rsid w:val="003F31F9"/>
    <w:rsid w:val="00403B82"/>
    <w:rsid w:val="004051D6"/>
    <w:rsid w:val="00413576"/>
    <w:rsid w:val="004165C2"/>
    <w:rsid w:val="00416C0A"/>
    <w:rsid w:val="0041762D"/>
    <w:rsid w:val="00424BF8"/>
    <w:rsid w:val="00425572"/>
    <w:rsid w:val="004312FE"/>
    <w:rsid w:val="00431535"/>
    <w:rsid w:val="004318D7"/>
    <w:rsid w:val="004338A6"/>
    <w:rsid w:val="0044097E"/>
    <w:rsid w:val="00440D2C"/>
    <w:rsid w:val="00441DBA"/>
    <w:rsid w:val="00441ECB"/>
    <w:rsid w:val="00444520"/>
    <w:rsid w:val="00447F43"/>
    <w:rsid w:val="004535A5"/>
    <w:rsid w:val="004652A1"/>
    <w:rsid w:val="00466F7A"/>
    <w:rsid w:val="00467B7E"/>
    <w:rsid w:val="004700C1"/>
    <w:rsid w:val="00472905"/>
    <w:rsid w:val="00473581"/>
    <w:rsid w:val="00477315"/>
    <w:rsid w:val="00477592"/>
    <w:rsid w:val="00482601"/>
    <w:rsid w:val="00485810"/>
    <w:rsid w:val="00486F1C"/>
    <w:rsid w:val="0049288C"/>
    <w:rsid w:val="0049419D"/>
    <w:rsid w:val="004A3212"/>
    <w:rsid w:val="004A5F9E"/>
    <w:rsid w:val="004A5FF5"/>
    <w:rsid w:val="004A669C"/>
    <w:rsid w:val="004A66A4"/>
    <w:rsid w:val="004B7041"/>
    <w:rsid w:val="004B7A65"/>
    <w:rsid w:val="004C20D2"/>
    <w:rsid w:val="004C25F2"/>
    <w:rsid w:val="004C4B62"/>
    <w:rsid w:val="004C50E6"/>
    <w:rsid w:val="004C54C9"/>
    <w:rsid w:val="004C60A0"/>
    <w:rsid w:val="004D05BB"/>
    <w:rsid w:val="004D077C"/>
    <w:rsid w:val="004D27AD"/>
    <w:rsid w:val="004D3739"/>
    <w:rsid w:val="004D6025"/>
    <w:rsid w:val="004E2649"/>
    <w:rsid w:val="004E3F2C"/>
    <w:rsid w:val="004F0157"/>
    <w:rsid w:val="004F37BE"/>
    <w:rsid w:val="004F3855"/>
    <w:rsid w:val="004F4ACA"/>
    <w:rsid w:val="004F590F"/>
    <w:rsid w:val="00501399"/>
    <w:rsid w:val="0050633D"/>
    <w:rsid w:val="00507BC4"/>
    <w:rsid w:val="00511F56"/>
    <w:rsid w:val="005128E4"/>
    <w:rsid w:val="005133DB"/>
    <w:rsid w:val="0051343F"/>
    <w:rsid w:val="00515280"/>
    <w:rsid w:val="00517F63"/>
    <w:rsid w:val="00520C4B"/>
    <w:rsid w:val="00520FC4"/>
    <w:rsid w:val="00522545"/>
    <w:rsid w:val="00525560"/>
    <w:rsid w:val="00530296"/>
    <w:rsid w:val="005316A2"/>
    <w:rsid w:val="00531A90"/>
    <w:rsid w:val="00532FC2"/>
    <w:rsid w:val="00536C3F"/>
    <w:rsid w:val="0053788D"/>
    <w:rsid w:val="00541CA3"/>
    <w:rsid w:val="00542A6B"/>
    <w:rsid w:val="0054334B"/>
    <w:rsid w:val="00544712"/>
    <w:rsid w:val="00544C49"/>
    <w:rsid w:val="005459F5"/>
    <w:rsid w:val="00547D7F"/>
    <w:rsid w:val="005516A1"/>
    <w:rsid w:val="00553983"/>
    <w:rsid w:val="00561FFF"/>
    <w:rsid w:val="005643C5"/>
    <w:rsid w:val="00565EAA"/>
    <w:rsid w:val="0057402A"/>
    <w:rsid w:val="005771D0"/>
    <w:rsid w:val="00577F9E"/>
    <w:rsid w:val="00580FFC"/>
    <w:rsid w:val="005835AA"/>
    <w:rsid w:val="00584F56"/>
    <w:rsid w:val="0059191A"/>
    <w:rsid w:val="005921FF"/>
    <w:rsid w:val="00592F94"/>
    <w:rsid w:val="00596831"/>
    <w:rsid w:val="00597682"/>
    <w:rsid w:val="005A5CFB"/>
    <w:rsid w:val="005A6D0E"/>
    <w:rsid w:val="005B0E7F"/>
    <w:rsid w:val="005B1F5D"/>
    <w:rsid w:val="005B52B0"/>
    <w:rsid w:val="005B6806"/>
    <w:rsid w:val="005C029D"/>
    <w:rsid w:val="005C4225"/>
    <w:rsid w:val="005C659D"/>
    <w:rsid w:val="005C6EE8"/>
    <w:rsid w:val="005D322D"/>
    <w:rsid w:val="005D516C"/>
    <w:rsid w:val="005D707C"/>
    <w:rsid w:val="005D7588"/>
    <w:rsid w:val="005E63E5"/>
    <w:rsid w:val="005F0DAD"/>
    <w:rsid w:val="005F0F33"/>
    <w:rsid w:val="005F33CF"/>
    <w:rsid w:val="005F6466"/>
    <w:rsid w:val="006003F1"/>
    <w:rsid w:val="00600DEB"/>
    <w:rsid w:val="006029EB"/>
    <w:rsid w:val="00607F5D"/>
    <w:rsid w:val="00612771"/>
    <w:rsid w:val="00613DAC"/>
    <w:rsid w:val="00617C7B"/>
    <w:rsid w:val="006238C9"/>
    <w:rsid w:val="00626426"/>
    <w:rsid w:val="0062709B"/>
    <w:rsid w:val="00627C9F"/>
    <w:rsid w:val="00630E0F"/>
    <w:rsid w:val="006311E9"/>
    <w:rsid w:val="00632354"/>
    <w:rsid w:val="0063685A"/>
    <w:rsid w:val="00636D7B"/>
    <w:rsid w:val="00636EDA"/>
    <w:rsid w:val="00641BA7"/>
    <w:rsid w:val="006427C4"/>
    <w:rsid w:val="00642810"/>
    <w:rsid w:val="00646713"/>
    <w:rsid w:val="00650AC4"/>
    <w:rsid w:val="00652333"/>
    <w:rsid w:val="00663A60"/>
    <w:rsid w:val="00663A61"/>
    <w:rsid w:val="00676E9B"/>
    <w:rsid w:val="0068009E"/>
    <w:rsid w:val="0069124D"/>
    <w:rsid w:val="00692219"/>
    <w:rsid w:val="00695C42"/>
    <w:rsid w:val="006A17D2"/>
    <w:rsid w:val="006A3448"/>
    <w:rsid w:val="006A5197"/>
    <w:rsid w:val="006A6B7B"/>
    <w:rsid w:val="006A73E6"/>
    <w:rsid w:val="006B2D5C"/>
    <w:rsid w:val="006B73B3"/>
    <w:rsid w:val="006C3C73"/>
    <w:rsid w:val="006C4EB1"/>
    <w:rsid w:val="006D142D"/>
    <w:rsid w:val="006D4BBD"/>
    <w:rsid w:val="006D7DFF"/>
    <w:rsid w:val="006E0166"/>
    <w:rsid w:val="006E0457"/>
    <w:rsid w:val="006E4CF8"/>
    <w:rsid w:val="006E6D32"/>
    <w:rsid w:val="006E7B34"/>
    <w:rsid w:val="006F0F9E"/>
    <w:rsid w:val="006F23D0"/>
    <w:rsid w:val="0070435F"/>
    <w:rsid w:val="00704AF7"/>
    <w:rsid w:val="0070521D"/>
    <w:rsid w:val="0070697F"/>
    <w:rsid w:val="00711192"/>
    <w:rsid w:val="007120EE"/>
    <w:rsid w:val="00715982"/>
    <w:rsid w:val="00715F0E"/>
    <w:rsid w:val="00721865"/>
    <w:rsid w:val="0072199C"/>
    <w:rsid w:val="00722C9F"/>
    <w:rsid w:val="007253B8"/>
    <w:rsid w:val="0073346D"/>
    <w:rsid w:val="0073741F"/>
    <w:rsid w:val="007417AF"/>
    <w:rsid w:val="00741FCC"/>
    <w:rsid w:val="007505D4"/>
    <w:rsid w:val="007539FB"/>
    <w:rsid w:val="007544B3"/>
    <w:rsid w:val="00762414"/>
    <w:rsid w:val="00762EBB"/>
    <w:rsid w:val="00765868"/>
    <w:rsid w:val="00766178"/>
    <w:rsid w:val="0076643F"/>
    <w:rsid w:val="00767D05"/>
    <w:rsid w:val="0077264C"/>
    <w:rsid w:val="0077269F"/>
    <w:rsid w:val="007753D9"/>
    <w:rsid w:val="00775913"/>
    <w:rsid w:val="00775BDD"/>
    <w:rsid w:val="00777F63"/>
    <w:rsid w:val="0078466D"/>
    <w:rsid w:val="00787F1E"/>
    <w:rsid w:val="007903A8"/>
    <w:rsid w:val="00794345"/>
    <w:rsid w:val="0079626A"/>
    <w:rsid w:val="007A4DDB"/>
    <w:rsid w:val="007A5817"/>
    <w:rsid w:val="007B0047"/>
    <w:rsid w:val="007B0908"/>
    <w:rsid w:val="007B557F"/>
    <w:rsid w:val="007B60E9"/>
    <w:rsid w:val="007B6589"/>
    <w:rsid w:val="007B6CC3"/>
    <w:rsid w:val="007C1C9F"/>
    <w:rsid w:val="007C3334"/>
    <w:rsid w:val="007C655E"/>
    <w:rsid w:val="007C743F"/>
    <w:rsid w:val="007C747F"/>
    <w:rsid w:val="007D286D"/>
    <w:rsid w:val="007D2B98"/>
    <w:rsid w:val="007D52EE"/>
    <w:rsid w:val="007D7640"/>
    <w:rsid w:val="007E1669"/>
    <w:rsid w:val="007E21BC"/>
    <w:rsid w:val="007E41AB"/>
    <w:rsid w:val="007E7B9F"/>
    <w:rsid w:val="007F0764"/>
    <w:rsid w:val="007F3B1A"/>
    <w:rsid w:val="007F4500"/>
    <w:rsid w:val="007F50EF"/>
    <w:rsid w:val="00803F1C"/>
    <w:rsid w:val="00804777"/>
    <w:rsid w:val="0080600E"/>
    <w:rsid w:val="00810D8A"/>
    <w:rsid w:val="008126F0"/>
    <w:rsid w:val="00813100"/>
    <w:rsid w:val="00817612"/>
    <w:rsid w:val="00820C69"/>
    <w:rsid w:val="00821738"/>
    <w:rsid w:val="00830420"/>
    <w:rsid w:val="00831155"/>
    <w:rsid w:val="008338A4"/>
    <w:rsid w:val="00837C45"/>
    <w:rsid w:val="00840450"/>
    <w:rsid w:val="00842241"/>
    <w:rsid w:val="008422FF"/>
    <w:rsid w:val="00844730"/>
    <w:rsid w:val="00844D73"/>
    <w:rsid w:val="008457C2"/>
    <w:rsid w:val="00846EF1"/>
    <w:rsid w:val="00847102"/>
    <w:rsid w:val="008553C6"/>
    <w:rsid w:val="00855BE2"/>
    <w:rsid w:val="00856052"/>
    <w:rsid w:val="00857A82"/>
    <w:rsid w:val="00864A05"/>
    <w:rsid w:val="008651FF"/>
    <w:rsid w:val="008704E4"/>
    <w:rsid w:val="00872E3A"/>
    <w:rsid w:val="00872F17"/>
    <w:rsid w:val="00873836"/>
    <w:rsid w:val="008746A7"/>
    <w:rsid w:val="008749DF"/>
    <w:rsid w:val="008751A9"/>
    <w:rsid w:val="008817AB"/>
    <w:rsid w:val="008838D0"/>
    <w:rsid w:val="00883A74"/>
    <w:rsid w:val="00885737"/>
    <w:rsid w:val="00887CB8"/>
    <w:rsid w:val="00887FD6"/>
    <w:rsid w:val="00890650"/>
    <w:rsid w:val="00890CEB"/>
    <w:rsid w:val="008950C3"/>
    <w:rsid w:val="00897E12"/>
    <w:rsid w:val="008A01DB"/>
    <w:rsid w:val="008A1545"/>
    <w:rsid w:val="008A24FA"/>
    <w:rsid w:val="008A4A02"/>
    <w:rsid w:val="008A7E0F"/>
    <w:rsid w:val="008B12F5"/>
    <w:rsid w:val="008B6C8E"/>
    <w:rsid w:val="008C2961"/>
    <w:rsid w:val="008C2F70"/>
    <w:rsid w:val="008C60D9"/>
    <w:rsid w:val="008D057C"/>
    <w:rsid w:val="008D0A48"/>
    <w:rsid w:val="008D534E"/>
    <w:rsid w:val="008D768D"/>
    <w:rsid w:val="008E0EB3"/>
    <w:rsid w:val="008E3759"/>
    <w:rsid w:val="008E4AB9"/>
    <w:rsid w:val="008E6EE7"/>
    <w:rsid w:val="008E79BF"/>
    <w:rsid w:val="008F1912"/>
    <w:rsid w:val="0090270B"/>
    <w:rsid w:val="009041DC"/>
    <w:rsid w:val="009051ED"/>
    <w:rsid w:val="00911CEA"/>
    <w:rsid w:val="00913522"/>
    <w:rsid w:val="00916B32"/>
    <w:rsid w:val="00917B5A"/>
    <w:rsid w:val="00920A58"/>
    <w:rsid w:val="00920A8C"/>
    <w:rsid w:val="00920BC4"/>
    <w:rsid w:val="00920C48"/>
    <w:rsid w:val="0092628C"/>
    <w:rsid w:val="00926406"/>
    <w:rsid w:val="00927850"/>
    <w:rsid w:val="00933923"/>
    <w:rsid w:val="00934A2C"/>
    <w:rsid w:val="009358F9"/>
    <w:rsid w:val="00940459"/>
    <w:rsid w:val="0094295C"/>
    <w:rsid w:val="00946A6F"/>
    <w:rsid w:val="009470DA"/>
    <w:rsid w:val="00954AB9"/>
    <w:rsid w:val="009568DB"/>
    <w:rsid w:val="0096706E"/>
    <w:rsid w:val="00967874"/>
    <w:rsid w:val="00970CD7"/>
    <w:rsid w:val="009715F8"/>
    <w:rsid w:val="0097378B"/>
    <w:rsid w:val="00975C4E"/>
    <w:rsid w:val="00981FBA"/>
    <w:rsid w:val="00996E8A"/>
    <w:rsid w:val="009974B7"/>
    <w:rsid w:val="00997BC5"/>
    <w:rsid w:val="009A03EE"/>
    <w:rsid w:val="009A4F41"/>
    <w:rsid w:val="009B2E24"/>
    <w:rsid w:val="009B381B"/>
    <w:rsid w:val="009B5834"/>
    <w:rsid w:val="009B646B"/>
    <w:rsid w:val="009B6476"/>
    <w:rsid w:val="009B6D25"/>
    <w:rsid w:val="009C48E0"/>
    <w:rsid w:val="009D0E3D"/>
    <w:rsid w:val="009D1753"/>
    <w:rsid w:val="009D5D72"/>
    <w:rsid w:val="009D7611"/>
    <w:rsid w:val="009D7C0F"/>
    <w:rsid w:val="009E0B61"/>
    <w:rsid w:val="009E53DE"/>
    <w:rsid w:val="009E782B"/>
    <w:rsid w:val="009F0086"/>
    <w:rsid w:val="009F0583"/>
    <w:rsid w:val="009F0B9A"/>
    <w:rsid w:val="009F69EC"/>
    <w:rsid w:val="00A07CDF"/>
    <w:rsid w:val="00A10F61"/>
    <w:rsid w:val="00A12251"/>
    <w:rsid w:val="00A152A3"/>
    <w:rsid w:val="00A17AE5"/>
    <w:rsid w:val="00A2073D"/>
    <w:rsid w:val="00A24CD0"/>
    <w:rsid w:val="00A31B73"/>
    <w:rsid w:val="00A328B3"/>
    <w:rsid w:val="00A37492"/>
    <w:rsid w:val="00A40334"/>
    <w:rsid w:val="00A475C6"/>
    <w:rsid w:val="00A47F90"/>
    <w:rsid w:val="00A50FCF"/>
    <w:rsid w:val="00A528D1"/>
    <w:rsid w:val="00A57461"/>
    <w:rsid w:val="00A60795"/>
    <w:rsid w:val="00A610CD"/>
    <w:rsid w:val="00A62021"/>
    <w:rsid w:val="00A62C64"/>
    <w:rsid w:val="00A649C8"/>
    <w:rsid w:val="00A6693C"/>
    <w:rsid w:val="00A70E54"/>
    <w:rsid w:val="00A71887"/>
    <w:rsid w:val="00A72B47"/>
    <w:rsid w:val="00A76CCD"/>
    <w:rsid w:val="00AA09A2"/>
    <w:rsid w:val="00AA15E6"/>
    <w:rsid w:val="00AA638D"/>
    <w:rsid w:val="00AA7996"/>
    <w:rsid w:val="00AB4E75"/>
    <w:rsid w:val="00AB6323"/>
    <w:rsid w:val="00AB6D12"/>
    <w:rsid w:val="00AC0370"/>
    <w:rsid w:val="00AC19CB"/>
    <w:rsid w:val="00AD528E"/>
    <w:rsid w:val="00AD7C4B"/>
    <w:rsid w:val="00AE0B95"/>
    <w:rsid w:val="00AE28B4"/>
    <w:rsid w:val="00AE2982"/>
    <w:rsid w:val="00AE4DA0"/>
    <w:rsid w:val="00AE5488"/>
    <w:rsid w:val="00AE6F91"/>
    <w:rsid w:val="00AF5571"/>
    <w:rsid w:val="00B012AB"/>
    <w:rsid w:val="00B03647"/>
    <w:rsid w:val="00B0531B"/>
    <w:rsid w:val="00B05658"/>
    <w:rsid w:val="00B056A5"/>
    <w:rsid w:val="00B071E3"/>
    <w:rsid w:val="00B07341"/>
    <w:rsid w:val="00B07B35"/>
    <w:rsid w:val="00B16B83"/>
    <w:rsid w:val="00B20D90"/>
    <w:rsid w:val="00B2420F"/>
    <w:rsid w:val="00B26361"/>
    <w:rsid w:val="00B26E49"/>
    <w:rsid w:val="00B27E65"/>
    <w:rsid w:val="00B303C4"/>
    <w:rsid w:val="00B30539"/>
    <w:rsid w:val="00B314DB"/>
    <w:rsid w:val="00B361F2"/>
    <w:rsid w:val="00B36FDF"/>
    <w:rsid w:val="00B3718B"/>
    <w:rsid w:val="00B42DBD"/>
    <w:rsid w:val="00B4632A"/>
    <w:rsid w:val="00B47A60"/>
    <w:rsid w:val="00B52719"/>
    <w:rsid w:val="00B52DCE"/>
    <w:rsid w:val="00B530F1"/>
    <w:rsid w:val="00B538FD"/>
    <w:rsid w:val="00B55409"/>
    <w:rsid w:val="00B561B1"/>
    <w:rsid w:val="00B56992"/>
    <w:rsid w:val="00B577E2"/>
    <w:rsid w:val="00B71B0C"/>
    <w:rsid w:val="00B72B3B"/>
    <w:rsid w:val="00B75ECA"/>
    <w:rsid w:val="00B7611C"/>
    <w:rsid w:val="00B77B3C"/>
    <w:rsid w:val="00B80AAF"/>
    <w:rsid w:val="00B81E98"/>
    <w:rsid w:val="00B83598"/>
    <w:rsid w:val="00B83E39"/>
    <w:rsid w:val="00B851B0"/>
    <w:rsid w:val="00B8577A"/>
    <w:rsid w:val="00B95E6A"/>
    <w:rsid w:val="00BA0CAD"/>
    <w:rsid w:val="00BA1F3A"/>
    <w:rsid w:val="00BA276C"/>
    <w:rsid w:val="00BA5B21"/>
    <w:rsid w:val="00BA7E55"/>
    <w:rsid w:val="00BB306F"/>
    <w:rsid w:val="00BB37A7"/>
    <w:rsid w:val="00BB414D"/>
    <w:rsid w:val="00BB757B"/>
    <w:rsid w:val="00BC2E51"/>
    <w:rsid w:val="00BC55D0"/>
    <w:rsid w:val="00BC771B"/>
    <w:rsid w:val="00BD4B89"/>
    <w:rsid w:val="00BD56A5"/>
    <w:rsid w:val="00BD59AF"/>
    <w:rsid w:val="00BD6245"/>
    <w:rsid w:val="00BE21F5"/>
    <w:rsid w:val="00BF02E9"/>
    <w:rsid w:val="00BF560C"/>
    <w:rsid w:val="00BF64F4"/>
    <w:rsid w:val="00BF6C36"/>
    <w:rsid w:val="00BF6FD8"/>
    <w:rsid w:val="00C00B36"/>
    <w:rsid w:val="00C0216E"/>
    <w:rsid w:val="00C03680"/>
    <w:rsid w:val="00C0483A"/>
    <w:rsid w:val="00C054DF"/>
    <w:rsid w:val="00C066BC"/>
    <w:rsid w:val="00C118D9"/>
    <w:rsid w:val="00C16EAF"/>
    <w:rsid w:val="00C20898"/>
    <w:rsid w:val="00C21762"/>
    <w:rsid w:val="00C24543"/>
    <w:rsid w:val="00C24EF6"/>
    <w:rsid w:val="00C256A2"/>
    <w:rsid w:val="00C318CD"/>
    <w:rsid w:val="00C35D9F"/>
    <w:rsid w:val="00C41880"/>
    <w:rsid w:val="00C42C57"/>
    <w:rsid w:val="00C448BD"/>
    <w:rsid w:val="00C4538D"/>
    <w:rsid w:val="00C45BAA"/>
    <w:rsid w:val="00C45C07"/>
    <w:rsid w:val="00C50FD8"/>
    <w:rsid w:val="00C51515"/>
    <w:rsid w:val="00C52857"/>
    <w:rsid w:val="00C54545"/>
    <w:rsid w:val="00C5660B"/>
    <w:rsid w:val="00C61B5B"/>
    <w:rsid w:val="00C66B72"/>
    <w:rsid w:val="00C67EEB"/>
    <w:rsid w:val="00C729DE"/>
    <w:rsid w:val="00C77A15"/>
    <w:rsid w:val="00C77B4F"/>
    <w:rsid w:val="00C81C0F"/>
    <w:rsid w:val="00C90443"/>
    <w:rsid w:val="00C912E5"/>
    <w:rsid w:val="00C9567A"/>
    <w:rsid w:val="00CA17C9"/>
    <w:rsid w:val="00CA2E00"/>
    <w:rsid w:val="00CA4B0F"/>
    <w:rsid w:val="00CA578D"/>
    <w:rsid w:val="00CA70A2"/>
    <w:rsid w:val="00CB212D"/>
    <w:rsid w:val="00CB2660"/>
    <w:rsid w:val="00CC5E90"/>
    <w:rsid w:val="00CC6E48"/>
    <w:rsid w:val="00CD046C"/>
    <w:rsid w:val="00CD14BF"/>
    <w:rsid w:val="00CD63FB"/>
    <w:rsid w:val="00CE076C"/>
    <w:rsid w:val="00CE3216"/>
    <w:rsid w:val="00CE3776"/>
    <w:rsid w:val="00CE4E23"/>
    <w:rsid w:val="00CE5199"/>
    <w:rsid w:val="00CE6553"/>
    <w:rsid w:val="00CE66D5"/>
    <w:rsid w:val="00CE7F7C"/>
    <w:rsid w:val="00CF09B0"/>
    <w:rsid w:val="00CF37A3"/>
    <w:rsid w:val="00CF637A"/>
    <w:rsid w:val="00CF79E0"/>
    <w:rsid w:val="00D00E04"/>
    <w:rsid w:val="00D03F56"/>
    <w:rsid w:val="00D059DE"/>
    <w:rsid w:val="00D10221"/>
    <w:rsid w:val="00D110D7"/>
    <w:rsid w:val="00D127A5"/>
    <w:rsid w:val="00D13FCE"/>
    <w:rsid w:val="00D1486E"/>
    <w:rsid w:val="00D15F9D"/>
    <w:rsid w:val="00D1656C"/>
    <w:rsid w:val="00D221BC"/>
    <w:rsid w:val="00D276C0"/>
    <w:rsid w:val="00D277F8"/>
    <w:rsid w:val="00D27EC5"/>
    <w:rsid w:val="00D306D1"/>
    <w:rsid w:val="00D30FF3"/>
    <w:rsid w:val="00D31F2B"/>
    <w:rsid w:val="00D34786"/>
    <w:rsid w:val="00D35267"/>
    <w:rsid w:val="00D354C3"/>
    <w:rsid w:val="00D377B9"/>
    <w:rsid w:val="00D37BFC"/>
    <w:rsid w:val="00D41E96"/>
    <w:rsid w:val="00D43B3E"/>
    <w:rsid w:val="00D454E9"/>
    <w:rsid w:val="00D47A8E"/>
    <w:rsid w:val="00D52D14"/>
    <w:rsid w:val="00D55C76"/>
    <w:rsid w:val="00D60065"/>
    <w:rsid w:val="00D61AA1"/>
    <w:rsid w:val="00D637E9"/>
    <w:rsid w:val="00D712D3"/>
    <w:rsid w:val="00D71422"/>
    <w:rsid w:val="00D72DC6"/>
    <w:rsid w:val="00D7558D"/>
    <w:rsid w:val="00D77BE6"/>
    <w:rsid w:val="00D81899"/>
    <w:rsid w:val="00D81D92"/>
    <w:rsid w:val="00D85FCC"/>
    <w:rsid w:val="00D91341"/>
    <w:rsid w:val="00DA7B5F"/>
    <w:rsid w:val="00DB244D"/>
    <w:rsid w:val="00DB6817"/>
    <w:rsid w:val="00DB797D"/>
    <w:rsid w:val="00DC05BA"/>
    <w:rsid w:val="00DC11E7"/>
    <w:rsid w:val="00DC666E"/>
    <w:rsid w:val="00DC7023"/>
    <w:rsid w:val="00DC73B3"/>
    <w:rsid w:val="00DC769A"/>
    <w:rsid w:val="00DD265A"/>
    <w:rsid w:val="00DD3D86"/>
    <w:rsid w:val="00DD50CA"/>
    <w:rsid w:val="00DD570C"/>
    <w:rsid w:val="00DE3463"/>
    <w:rsid w:val="00DE6B63"/>
    <w:rsid w:val="00DF1EC4"/>
    <w:rsid w:val="00DF46FD"/>
    <w:rsid w:val="00DF65B1"/>
    <w:rsid w:val="00E001AD"/>
    <w:rsid w:val="00E02FFA"/>
    <w:rsid w:val="00E0340B"/>
    <w:rsid w:val="00E04A90"/>
    <w:rsid w:val="00E12774"/>
    <w:rsid w:val="00E1382B"/>
    <w:rsid w:val="00E219C7"/>
    <w:rsid w:val="00E306EB"/>
    <w:rsid w:val="00E342EE"/>
    <w:rsid w:val="00E43157"/>
    <w:rsid w:val="00E461CE"/>
    <w:rsid w:val="00E4652F"/>
    <w:rsid w:val="00E50AEB"/>
    <w:rsid w:val="00E52133"/>
    <w:rsid w:val="00E55A14"/>
    <w:rsid w:val="00E55C00"/>
    <w:rsid w:val="00E56D98"/>
    <w:rsid w:val="00E616C3"/>
    <w:rsid w:val="00E625A9"/>
    <w:rsid w:val="00E62A24"/>
    <w:rsid w:val="00E720CA"/>
    <w:rsid w:val="00E80288"/>
    <w:rsid w:val="00E84EB5"/>
    <w:rsid w:val="00E85662"/>
    <w:rsid w:val="00E8592B"/>
    <w:rsid w:val="00E8789F"/>
    <w:rsid w:val="00E90003"/>
    <w:rsid w:val="00E904BF"/>
    <w:rsid w:val="00E91BE0"/>
    <w:rsid w:val="00E9731C"/>
    <w:rsid w:val="00E97B71"/>
    <w:rsid w:val="00EA1C6B"/>
    <w:rsid w:val="00EA21C0"/>
    <w:rsid w:val="00EA3D34"/>
    <w:rsid w:val="00EA3EE4"/>
    <w:rsid w:val="00EA7A4D"/>
    <w:rsid w:val="00EB3CE8"/>
    <w:rsid w:val="00EB454D"/>
    <w:rsid w:val="00EC2086"/>
    <w:rsid w:val="00EC5618"/>
    <w:rsid w:val="00EC5EC6"/>
    <w:rsid w:val="00ED380C"/>
    <w:rsid w:val="00ED3A83"/>
    <w:rsid w:val="00ED5C58"/>
    <w:rsid w:val="00ED76BE"/>
    <w:rsid w:val="00EE1AE4"/>
    <w:rsid w:val="00EF1E7A"/>
    <w:rsid w:val="00EF279B"/>
    <w:rsid w:val="00EF619B"/>
    <w:rsid w:val="00F00012"/>
    <w:rsid w:val="00F003FD"/>
    <w:rsid w:val="00F00B55"/>
    <w:rsid w:val="00F00C45"/>
    <w:rsid w:val="00F01097"/>
    <w:rsid w:val="00F01CBC"/>
    <w:rsid w:val="00F02AD1"/>
    <w:rsid w:val="00F05551"/>
    <w:rsid w:val="00F12B00"/>
    <w:rsid w:val="00F14F38"/>
    <w:rsid w:val="00F15BAF"/>
    <w:rsid w:val="00F15DD3"/>
    <w:rsid w:val="00F17D97"/>
    <w:rsid w:val="00F2241E"/>
    <w:rsid w:val="00F253CC"/>
    <w:rsid w:val="00F258BD"/>
    <w:rsid w:val="00F259FB"/>
    <w:rsid w:val="00F275ED"/>
    <w:rsid w:val="00F3678C"/>
    <w:rsid w:val="00F37106"/>
    <w:rsid w:val="00F3719B"/>
    <w:rsid w:val="00F433B2"/>
    <w:rsid w:val="00F45F31"/>
    <w:rsid w:val="00F519CF"/>
    <w:rsid w:val="00F56534"/>
    <w:rsid w:val="00F56573"/>
    <w:rsid w:val="00F56BA5"/>
    <w:rsid w:val="00F57287"/>
    <w:rsid w:val="00F60E22"/>
    <w:rsid w:val="00F70C11"/>
    <w:rsid w:val="00F77B95"/>
    <w:rsid w:val="00F77FB5"/>
    <w:rsid w:val="00F81395"/>
    <w:rsid w:val="00F917D1"/>
    <w:rsid w:val="00F95293"/>
    <w:rsid w:val="00F963A6"/>
    <w:rsid w:val="00F9653B"/>
    <w:rsid w:val="00FA451A"/>
    <w:rsid w:val="00FB0514"/>
    <w:rsid w:val="00FB62CF"/>
    <w:rsid w:val="00FC547C"/>
    <w:rsid w:val="00FC736F"/>
    <w:rsid w:val="00FD3C3B"/>
    <w:rsid w:val="00FD7DB0"/>
    <w:rsid w:val="00FE0465"/>
    <w:rsid w:val="00FE438A"/>
    <w:rsid w:val="00FE5480"/>
    <w:rsid w:val="00FE6B45"/>
    <w:rsid w:val="00FE79E5"/>
    <w:rsid w:val="00FF0FD7"/>
    <w:rsid w:val="00FF4E2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666668">
      <w:bodyDiv w:val="1"/>
      <w:marLeft w:val="0"/>
      <w:marRight w:val="0"/>
      <w:marTop w:val="0"/>
      <w:marBottom w:val="0"/>
      <w:divBdr>
        <w:top w:val="none" w:sz="0" w:space="0" w:color="auto"/>
        <w:left w:val="none" w:sz="0" w:space="0" w:color="auto"/>
        <w:bottom w:val="none" w:sz="0" w:space="0" w:color="auto"/>
        <w:right w:val="none" w:sz="0" w:space="0" w:color="auto"/>
      </w:divBdr>
    </w:div>
    <w:div w:id="1450509771">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77DBF-7FD2-4F32-A8B0-712683B4B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5515</Words>
  <Characters>29399</Characters>
  <Application>Microsoft Office Word</Application>
  <DocSecurity>0</DocSecurity>
  <Lines>489</Lines>
  <Paragraphs>80</Paragraphs>
  <ScaleCrop>false</ScaleCrop>
  <Company/>
  <LinksUpToDate>false</LinksUpToDate>
  <CharactersWithSpaces>34834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17/16</dc:title>
  <dc:creator/>
  <cp:lastModifiedBy/>
  <cp:revision>1</cp:revision>
  <dcterms:created xsi:type="dcterms:W3CDTF">2016-09-28T12:44:00Z</dcterms:created>
  <dcterms:modified xsi:type="dcterms:W3CDTF">2016-09-28T12:45:00Z</dcterms:modified>
</cp:coreProperties>
</file>