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77DFB" w14:textId="735758A4" w:rsidR="00040C3A" w:rsidRPr="00D749D5" w:rsidRDefault="00D306D1" w:rsidP="00627C9F">
      <w:pPr>
        <w:jc w:val="both"/>
        <w:rPr>
          <w:rFonts w:asciiTheme="majorHAnsi" w:hAnsiTheme="majorHAnsi" w:cs="Univers"/>
          <w:b/>
          <w:bCs/>
          <w:sz w:val="20"/>
          <w:szCs w:val="20"/>
          <w:lang w:val="es-ES"/>
        </w:rPr>
      </w:pPr>
      <w:r w:rsidRPr="00D749D5">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E186E6F" wp14:editId="0A518FE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pt;margin-top:-34.55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" fillcolor="#4a7194" stroked="f" strokeweight="2pt"/>
            </w:pict>
          </mc:Fallback>
        </mc:AlternateContent>
      </w:r>
      <w:r w:rsidR="003E6CA1" w:rsidRPr="00D749D5">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60AB396" wp14:editId="1398687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20B92" w14:textId="5C464EAE" w:rsidR="008D5EAD" w:rsidRDefault="008D5EAD" w:rsidP="00AE5488">
                            <w:r>
                              <w:rPr>
                                <w:noProof/>
                              </w:rPr>
                              <w:drawing>
                                <wp:inline distT="0" distB="0" distL="0" distR="0" wp14:anchorId="15932507" wp14:editId="4900446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001C6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5520B92" w14:textId="5C464EAE" w:rsidR="008D5EAD" w:rsidRDefault="008D5EAD" w:rsidP="00AE5488">
                      <w:r>
                        <w:rPr>
                          <w:noProof/>
                        </w:rPr>
                        <w:drawing>
                          <wp:inline distT="0" distB="0" distL="0" distR="0" wp14:anchorId="15932507" wp14:editId="4900446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001C6A">
                        <w:t xml:space="preserve">    </w:t>
                      </w:r>
                    </w:p>
                  </w:txbxContent>
                </v:textbox>
              </v:shape>
            </w:pict>
          </mc:Fallback>
        </mc:AlternateContent>
      </w:r>
      <w:r w:rsidR="00001C6A">
        <w:rPr>
          <w:rFonts w:asciiTheme="majorHAnsi" w:hAnsiTheme="majorHAnsi" w:cs="Univers"/>
          <w:b/>
          <w:bCs/>
          <w:sz w:val="20"/>
          <w:szCs w:val="20"/>
          <w:lang w:val="es-ES"/>
        </w:rPr>
        <w:t xml:space="preserve"> </w:t>
      </w:r>
    </w:p>
    <w:p w14:paraId="3B68C2A7" w14:textId="77777777" w:rsidR="00040C3A" w:rsidRPr="00D749D5" w:rsidRDefault="00040C3A" w:rsidP="00040C3A">
      <w:pPr>
        <w:tabs>
          <w:tab w:val="center" w:pos="5400"/>
        </w:tabs>
        <w:suppressAutoHyphens/>
        <w:jc w:val="both"/>
        <w:rPr>
          <w:rFonts w:asciiTheme="majorHAnsi" w:hAnsiTheme="majorHAnsi"/>
          <w:sz w:val="20"/>
          <w:szCs w:val="20"/>
          <w:lang w:val="es-ES"/>
        </w:rPr>
      </w:pPr>
    </w:p>
    <w:p w14:paraId="3D004A8C" w14:textId="77777777" w:rsidR="00040C3A" w:rsidRPr="00D749D5" w:rsidRDefault="00040C3A" w:rsidP="00040C3A">
      <w:pPr>
        <w:tabs>
          <w:tab w:val="center" w:pos="5400"/>
        </w:tabs>
        <w:suppressAutoHyphens/>
        <w:jc w:val="both"/>
        <w:rPr>
          <w:rFonts w:asciiTheme="majorHAnsi" w:hAnsiTheme="majorHAnsi"/>
          <w:sz w:val="20"/>
          <w:szCs w:val="20"/>
          <w:lang w:val="es-ES"/>
        </w:rPr>
      </w:pPr>
    </w:p>
    <w:p w14:paraId="4F38BA72" w14:textId="77777777" w:rsidR="005128E4" w:rsidRPr="00D749D5" w:rsidRDefault="005128E4" w:rsidP="00040C3A">
      <w:pPr>
        <w:tabs>
          <w:tab w:val="center" w:pos="5400"/>
        </w:tabs>
        <w:suppressAutoHyphens/>
        <w:rPr>
          <w:rFonts w:asciiTheme="majorHAnsi" w:hAnsiTheme="majorHAnsi"/>
          <w:sz w:val="20"/>
          <w:szCs w:val="20"/>
          <w:lang w:val="es-ES"/>
        </w:rPr>
      </w:pPr>
    </w:p>
    <w:p w14:paraId="4E557C3B" w14:textId="27B5DCB4" w:rsidR="005128E4" w:rsidRPr="00D749D5" w:rsidRDefault="005128E4" w:rsidP="00040C3A">
      <w:pPr>
        <w:tabs>
          <w:tab w:val="center" w:pos="5400"/>
        </w:tabs>
        <w:suppressAutoHyphens/>
        <w:rPr>
          <w:rFonts w:asciiTheme="majorHAnsi" w:hAnsiTheme="majorHAnsi"/>
          <w:sz w:val="20"/>
          <w:szCs w:val="20"/>
          <w:lang w:val="es-ES"/>
        </w:rPr>
      </w:pPr>
    </w:p>
    <w:p w14:paraId="408BD4F3" w14:textId="77777777" w:rsidR="005128E4" w:rsidRPr="00D749D5" w:rsidRDefault="005128E4" w:rsidP="00040C3A">
      <w:pPr>
        <w:tabs>
          <w:tab w:val="center" w:pos="5400"/>
        </w:tabs>
        <w:suppressAutoHyphens/>
        <w:rPr>
          <w:rFonts w:asciiTheme="majorHAnsi" w:hAnsiTheme="majorHAnsi"/>
          <w:sz w:val="20"/>
          <w:szCs w:val="20"/>
          <w:lang w:val="es-ES"/>
        </w:rPr>
      </w:pPr>
    </w:p>
    <w:p w14:paraId="4F754F3C" w14:textId="77777777" w:rsidR="00040C3A" w:rsidRPr="00D749D5" w:rsidRDefault="00040C3A" w:rsidP="005128E4">
      <w:pPr>
        <w:tabs>
          <w:tab w:val="center" w:pos="5400"/>
        </w:tabs>
        <w:suppressAutoHyphens/>
        <w:jc w:val="center"/>
        <w:rPr>
          <w:rFonts w:asciiTheme="majorHAnsi" w:hAnsiTheme="majorHAnsi"/>
          <w:sz w:val="20"/>
          <w:szCs w:val="20"/>
          <w:lang w:val="es-ES"/>
        </w:rPr>
      </w:pPr>
    </w:p>
    <w:p w14:paraId="626D8C48" w14:textId="51D4E177" w:rsidR="00040C3A" w:rsidRPr="00D749D5" w:rsidRDefault="00040C3A" w:rsidP="005128E4">
      <w:pPr>
        <w:tabs>
          <w:tab w:val="center" w:pos="5400"/>
        </w:tabs>
        <w:suppressAutoHyphens/>
        <w:jc w:val="center"/>
        <w:rPr>
          <w:rFonts w:asciiTheme="majorHAnsi" w:hAnsiTheme="majorHAnsi"/>
          <w:sz w:val="20"/>
          <w:szCs w:val="20"/>
          <w:lang w:val="es-ES"/>
        </w:rPr>
      </w:pPr>
    </w:p>
    <w:p w14:paraId="1FAB9E0B" w14:textId="77777777" w:rsidR="005B52B0" w:rsidRPr="00D749D5" w:rsidRDefault="005B52B0" w:rsidP="005128E4">
      <w:pPr>
        <w:tabs>
          <w:tab w:val="center" w:pos="5400"/>
        </w:tabs>
        <w:suppressAutoHyphens/>
        <w:jc w:val="center"/>
        <w:rPr>
          <w:rFonts w:asciiTheme="majorHAnsi" w:hAnsiTheme="majorHAnsi"/>
          <w:sz w:val="20"/>
          <w:szCs w:val="20"/>
          <w:lang w:val="es-ES"/>
        </w:rPr>
      </w:pPr>
    </w:p>
    <w:p w14:paraId="15DAD774" w14:textId="77777777" w:rsidR="005B52B0" w:rsidRPr="00D749D5" w:rsidRDefault="005B52B0" w:rsidP="005128E4">
      <w:pPr>
        <w:tabs>
          <w:tab w:val="center" w:pos="5400"/>
        </w:tabs>
        <w:suppressAutoHyphens/>
        <w:jc w:val="center"/>
        <w:rPr>
          <w:rFonts w:asciiTheme="majorHAnsi" w:hAnsiTheme="majorHAnsi"/>
          <w:sz w:val="20"/>
          <w:szCs w:val="20"/>
          <w:lang w:val="es-ES"/>
        </w:rPr>
      </w:pPr>
    </w:p>
    <w:p w14:paraId="07882D40" w14:textId="77777777" w:rsidR="005B52B0" w:rsidRPr="00D749D5" w:rsidRDefault="005B52B0" w:rsidP="005128E4">
      <w:pPr>
        <w:tabs>
          <w:tab w:val="center" w:pos="5400"/>
        </w:tabs>
        <w:suppressAutoHyphens/>
        <w:jc w:val="center"/>
        <w:rPr>
          <w:rFonts w:asciiTheme="majorHAnsi" w:hAnsiTheme="majorHAnsi"/>
          <w:sz w:val="20"/>
          <w:szCs w:val="20"/>
          <w:lang w:val="es-ES"/>
        </w:rPr>
      </w:pPr>
    </w:p>
    <w:p w14:paraId="0E3C94E5" w14:textId="77777777" w:rsidR="00040C3A" w:rsidRPr="00D749D5" w:rsidRDefault="00040C3A" w:rsidP="00040C3A">
      <w:pPr>
        <w:tabs>
          <w:tab w:val="center" w:pos="5400"/>
        </w:tabs>
        <w:suppressAutoHyphens/>
        <w:jc w:val="center"/>
        <w:rPr>
          <w:rFonts w:asciiTheme="majorHAnsi" w:hAnsiTheme="majorHAnsi"/>
          <w:sz w:val="20"/>
          <w:szCs w:val="20"/>
          <w:lang w:val="es-ES"/>
        </w:rPr>
      </w:pPr>
    </w:p>
    <w:p w14:paraId="4528C1D9" w14:textId="77777777" w:rsidR="00040C3A" w:rsidRPr="00D749D5" w:rsidRDefault="00040C3A" w:rsidP="00040C3A">
      <w:pPr>
        <w:tabs>
          <w:tab w:val="center" w:pos="5400"/>
        </w:tabs>
        <w:suppressAutoHyphens/>
        <w:jc w:val="center"/>
        <w:rPr>
          <w:rFonts w:asciiTheme="majorHAnsi" w:hAnsiTheme="majorHAnsi"/>
          <w:sz w:val="20"/>
          <w:szCs w:val="20"/>
          <w:lang w:val="es-ES"/>
        </w:rPr>
      </w:pPr>
    </w:p>
    <w:p w14:paraId="47A18590" w14:textId="77777777" w:rsidR="00040C3A" w:rsidRPr="00D749D5" w:rsidRDefault="003D3BC2" w:rsidP="00040C3A">
      <w:pPr>
        <w:tabs>
          <w:tab w:val="center" w:pos="5400"/>
        </w:tabs>
        <w:suppressAutoHyphens/>
        <w:jc w:val="center"/>
        <w:rPr>
          <w:rFonts w:asciiTheme="majorHAnsi" w:hAnsiTheme="majorHAnsi"/>
          <w:sz w:val="20"/>
          <w:szCs w:val="20"/>
          <w:lang w:val="es-ES"/>
        </w:rPr>
      </w:pPr>
      <w:r w:rsidRPr="00D749D5">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8EBA711" wp14:editId="6375263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42626" w14:textId="32D12F89" w:rsidR="008D5EAD" w:rsidRPr="004E2649" w:rsidRDefault="008D5EA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B30EB">
                              <w:rPr>
                                <w:rFonts w:asciiTheme="majorHAnsi" w:hAnsiTheme="majorHAnsi" w:cs="Arial"/>
                                <w:b/>
                                <w:bCs/>
                                <w:color w:val="0D0D0D" w:themeColor="text1" w:themeTint="F2"/>
                                <w:sz w:val="36"/>
                                <w:szCs w:val="22"/>
                                <w:lang w:val="es-ES_tradnl"/>
                              </w:rPr>
                              <w:t>12</w:t>
                            </w:r>
                            <w:r>
                              <w:rPr>
                                <w:rFonts w:asciiTheme="majorHAnsi" w:hAnsiTheme="majorHAnsi" w:cs="Arial"/>
                                <w:b/>
                                <w:bCs/>
                                <w:color w:val="0D0D0D" w:themeColor="text1" w:themeTint="F2"/>
                                <w:sz w:val="36"/>
                                <w:szCs w:val="22"/>
                                <w:lang w:val="es-ES_tradnl"/>
                              </w:rPr>
                              <w:t>/16</w:t>
                            </w:r>
                          </w:p>
                          <w:p w14:paraId="20C889FA" w14:textId="61E436A9" w:rsidR="008D5EAD" w:rsidRPr="004E2649" w:rsidRDefault="008D5EAD"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11.888</w:t>
                            </w:r>
                          </w:p>
                          <w:p w14:paraId="4861ED33" w14:textId="0CB51C94" w:rsidR="008D5EAD" w:rsidRPr="0010736F" w:rsidRDefault="008D5EA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FD58BE6" w14:textId="77777777" w:rsidR="008D5EAD" w:rsidRPr="0010736F" w:rsidRDefault="008D5EAD" w:rsidP="00997BC5">
                            <w:pPr>
                              <w:spacing w:line="276" w:lineRule="auto"/>
                              <w:rPr>
                                <w:rFonts w:asciiTheme="majorHAnsi" w:hAnsiTheme="majorHAnsi" w:cs="Arial"/>
                                <w:color w:val="0D0D0D" w:themeColor="text1" w:themeTint="F2"/>
                                <w:szCs w:val="22"/>
                                <w:lang w:val="es-ES_tradnl"/>
                              </w:rPr>
                            </w:pPr>
                            <w:bookmarkStart w:id="0" w:name="_ftnref1"/>
                          </w:p>
                          <w:p w14:paraId="6E64F69B" w14:textId="71C506F9" w:rsidR="008D5EAD" w:rsidRPr="0010736F" w:rsidRDefault="008D5EA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ALFREDO ACERO ARANDA Y OTROS (RED DE LA ARMADA)</w:t>
                            </w:r>
                          </w:p>
                          <w:bookmarkEnd w:id="0"/>
                          <w:p w14:paraId="3255827C" w14:textId="38C1ACCA" w:rsidR="008D5EAD" w:rsidRPr="0010736F" w:rsidRDefault="008D5EA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57B915D" w14:textId="77777777" w:rsidR="008D5EAD" w:rsidRPr="00AE5488" w:rsidRDefault="008D5EA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7D42626" w14:textId="32D12F89" w:rsidR="008D5EAD" w:rsidRPr="004E2649" w:rsidRDefault="008D5EA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B30EB">
                        <w:rPr>
                          <w:rFonts w:asciiTheme="majorHAnsi" w:hAnsiTheme="majorHAnsi" w:cs="Arial"/>
                          <w:b/>
                          <w:bCs/>
                          <w:color w:val="0D0D0D" w:themeColor="text1" w:themeTint="F2"/>
                          <w:sz w:val="36"/>
                          <w:szCs w:val="22"/>
                          <w:lang w:val="es-ES_tradnl"/>
                        </w:rPr>
                        <w:t>12</w:t>
                      </w:r>
                      <w:r>
                        <w:rPr>
                          <w:rFonts w:asciiTheme="majorHAnsi" w:hAnsiTheme="majorHAnsi" w:cs="Arial"/>
                          <w:b/>
                          <w:bCs/>
                          <w:color w:val="0D0D0D" w:themeColor="text1" w:themeTint="F2"/>
                          <w:sz w:val="36"/>
                          <w:szCs w:val="22"/>
                          <w:lang w:val="es-ES_tradnl"/>
                        </w:rPr>
                        <w:t>/16</w:t>
                      </w:r>
                    </w:p>
                    <w:p w14:paraId="20C889FA" w14:textId="61E436A9" w:rsidR="008D5EAD" w:rsidRPr="004E2649" w:rsidRDefault="008D5EAD"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11.888</w:t>
                      </w:r>
                    </w:p>
                    <w:p w14:paraId="4861ED33" w14:textId="0CB51C94" w:rsidR="008D5EAD" w:rsidRPr="0010736F" w:rsidRDefault="008D5EA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FD58BE6" w14:textId="77777777" w:rsidR="008D5EAD" w:rsidRPr="0010736F" w:rsidRDefault="008D5EAD" w:rsidP="00997BC5">
                      <w:pPr>
                        <w:spacing w:line="276" w:lineRule="auto"/>
                        <w:rPr>
                          <w:rFonts w:asciiTheme="majorHAnsi" w:hAnsiTheme="majorHAnsi" w:cs="Arial"/>
                          <w:color w:val="0D0D0D" w:themeColor="text1" w:themeTint="F2"/>
                          <w:szCs w:val="22"/>
                          <w:lang w:val="es-ES_tradnl"/>
                        </w:rPr>
                      </w:pPr>
                      <w:bookmarkStart w:id="1" w:name="_ftnref1"/>
                    </w:p>
                    <w:p w14:paraId="6E64F69B" w14:textId="71C506F9" w:rsidR="008D5EAD" w:rsidRPr="0010736F" w:rsidRDefault="008D5EA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ALFREDO ACERO ARANDA Y OTROS (RED DE LA ARMADA)</w:t>
                      </w:r>
                    </w:p>
                    <w:bookmarkEnd w:id="1"/>
                    <w:p w14:paraId="3255827C" w14:textId="38C1ACCA" w:rsidR="008D5EAD" w:rsidRPr="0010736F" w:rsidRDefault="008D5EA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57B915D" w14:textId="77777777" w:rsidR="008D5EAD" w:rsidRPr="00AE5488" w:rsidRDefault="008D5EAD" w:rsidP="007A5817">
                      <w:pPr>
                        <w:rPr>
                          <w:color w:val="0D0D0D" w:themeColor="text1" w:themeTint="F2"/>
                          <w:lang w:val="es-ES_tradnl"/>
                        </w:rPr>
                      </w:pPr>
                    </w:p>
                  </w:txbxContent>
                </v:textbox>
              </v:shape>
            </w:pict>
          </mc:Fallback>
        </mc:AlternateContent>
      </w:r>
      <w:r w:rsidR="004E2649" w:rsidRPr="00D749D5">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0481387" wp14:editId="0821EC1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ADC70" w14:textId="25F798FA" w:rsidR="008D5EAD" w:rsidRPr="00774A99" w:rsidRDefault="008D5EA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w:t>
                            </w:r>
                            <w:r w:rsidRPr="00774A99">
                              <w:rPr>
                                <w:rFonts w:asciiTheme="minorHAnsi" w:hAnsiTheme="minorHAnsi"/>
                                <w:color w:val="FFFFFF" w:themeColor="background1"/>
                                <w:sz w:val="22"/>
                                <w:lang w:val="pt-BR"/>
                              </w:rPr>
                              <w:t>/II.15</w:t>
                            </w:r>
                            <w:r w:rsidR="00CB30EB" w:rsidRPr="00774A99">
                              <w:rPr>
                                <w:rFonts w:asciiTheme="minorHAnsi" w:hAnsiTheme="minorHAnsi"/>
                                <w:color w:val="FFFFFF" w:themeColor="background1"/>
                                <w:sz w:val="22"/>
                                <w:lang w:val="pt-BR"/>
                              </w:rPr>
                              <w:t>7</w:t>
                            </w:r>
                          </w:p>
                          <w:p w14:paraId="2907805E" w14:textId="0C855D5C" w:rsidR="008D5EAD" w:rsidRPr="004E2649" w:rsidRDefault="008D5EAD" w:rsidP="007A5817">
                            <w:pPr>
                              <w:spacing w:line="276" w:lineRule="auto"/>
                              <w:jc w:val="right"/>
                              <w:rPr>
                                <w:rFonts w:asciiTheme="minorHAnsi" w:hAnsiTheme="minorHAnsi"/>
                                <w:color w:val="FFFFFF" w:themeColor="background1"/>
                                <w:sz w:val="22"/>
                                <w:lang w:val="pt-BR"/>
                              </w:rPr>
                            </w:pPr>
                            <w:r w:rsidRPr="00774A99">
                              <w:rPr>
                                <w:rFonts w:asciiTheme="minorHAnsi" w:hAnsiTheme="minorHAnsi"/>
                                <w:color w:val="FFFFFF" w:themeColor="background1"/>
                                <w:sz w:val="22"/>
                                <w:lang w:val="pt-BR"/>
                              </w:rPr>
                              <w:t xml:space="preserve">Doc. </w:t>
                            </w:r>
                            <w:r w:rsidR="00CB30EB" w:rsidRPr="00774A99">
                              <w:rPr>
                                <w:rFonts w:asciiTheme="minorHAnsi" w:hAnsiTheme="minorHAnsi"/>
                                <w:color w:val="FFFFFF" w:themeColor="background1"/>
                                <w:sz w:val="22"/>
                                <w:lang w:val="pt-BR"/>
                              </w:rPr>
                              <w:t>16</w:t>
                            </w:r>
                          </w:p>
                          <w:p w14:paraId="1FD45B29" w14:textId="3F290831" w:rsidR="008D5EAD" w:rsidRPr="004E2649" w:rsidRDefault="00CB30EB" w:rsidP="007A5817">
                            <w:pPr>
                              <w:spacing w:line="276" w:lineRule="auto"/>
                              <w:jc w:val="right"/>
                              <w:rPr>
                                <w:rFonts w:asciiTheme="minorHAnsi" w:hAnsiTheme="minorHAnsi"/>
                                <w:color w:val="FFFFFF" w:themeColor="background1"/>
                                <w:sz w:val="22"/>
                              </w:rPr>
                            </w:pPr>
                            <w:r w:rsidRPr="00CB30EB">
                              <w:rPr>
                                <w:rFonts w:asciiTheme="minorHAnsi" w:hAnsiTheme="minorHAnsi"/>
                                <w:color w:val="FFFFFF" w:themeColor="background1"/>
                                <w:sz w:val="22"/>
                              </w:rPr>
                              <w:t>14</w:t>
                            </w:r>
                            <w:r w:rsidR="00FA567C">
                              <w:rPr>
                                <w:rFonts w:asciiTheme="minorHAnsi" w:hAnsiTheme="minorHAnsi"/>
                                <w:color w:val="FFFFFF" w:themeColor="background1"/>
                                <w:sz w:val="22"/>
                              </w:rPr>
                              <w:t xml:space="preserve"> a</w:t>
                            </w:r>
                            <w:r w:rsidR="00743B91">
                              <w:rPr>
                                <w:rFonts w:asciiTheme="minorHAnsi" w:hAnsiTheme="minorHAnsi"/>
                                <w:color w:val="FFFFFF" w:themeColor="background1"/>
                                <w:sz w:val="22"/>
                              </w:rPr>
                              <w:t>bril</w:t>
                            </w:r>
                            <w:r w:rsidR="006D6553">
                              <w:rPr>
                                <w:rFonts w:asciiTheme="minorHAnsi" w:hAnsiTheme="minorHAnsi"/>
                                <w:color w:val="FFFFFF" w:themeColor="background1"/>
                                <w:sz w:val="22"/>
                              </w:rPr>
                              <w:t xml:space="preserve"> </w:t>
                            </w:r>
                            <w:r w:rsidRPr="00CB30EB">
                              <w:rPr>
                                <w:rFonts w:asciiTheme="minorHAnsi" w:hAnsiTheme="minorHAnsi"/>
                                <w:color w:val="FFFFFF" w:themeColor="background1"/>
                                <w:sz w:val="22"/>
                              </w:rPr>
                              <w:t>2</w:t>
                            </w:r>
                            <w:r w:rsidR="008D5EAD">
                              <w:rPr>
                                <w:rFonts w:asciiTheme="minorHAnsi" w:hAnsiTheme="minorHAnsi"/>
                                <w:color w:val="FFFFFF" w:themeColor="background1"/>
                                <w:sz w:val="22"/>
                              </w:rPr>
                              <w:t>01</w:t>
                            </w:r>
                            <w:r>
                              <w:rPr>
                                <w:rFonts w:asciiTheme="minorHAnsi" w:hAnsiTheme="minorHAnsi"/>
                                <w:color w:val="FFFFFF" w:themeColor="background1"/>
                                <w:sz w:val="22"/>
                              </w:rPr>
                              <w:t>6</w:t>
                            </w:r>
                          </w:p>
                          <w:p w14:paraId="30B9F289" w14:textId="41C1D670" w:rsidR="008D5EAD" w:rsidRPr="004E2649" w:rsidRDefault="008D5EA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CB30EB" w:rsidRPr="00CB30EB">
                              <w:rPr>
                                <w:rFonts w:asciiTheme="minorHAnsi" w:hAnsiTheme="minorHAnsi"/>
                                <w:color w:val="FFFFFF" w:themeColor="background1"/>
                                <w:sz w:val="22"/>
                              </w:rPr>
                              <w:t>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D9ADC70" w14:textId="25F798FA" w:rsidR="008D5EAD" w:rsidRPr="00774A99" w:rsidRDefault="008D5EA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w:t>
                      </w:r>
                      <w:r w:rsidRPr="00774A99">
                        <w:rPr>
                          <w:rFonts w:asciiTheme="minorHAnsi" w:hAnsiTheme="minorHAnsi"/>
                          <w:color w:val="FFFFFF" w:themeColor="background1"/>
                          <w:sz w:val="22"/>
                          <w:lang w:val="pt-BR"/>
                        </w:rPr>
                        <w:t>/II.15</w:t>
                      </w:r>
                      <w:r w:rsidR="00CB30EB" w:rsidRPr="00774A99">
                        <w:rPr>
                          <w:rFonts w:asciiTheme="minorHAnsi" w:hAnsiTheme="minorHAnsi"/>
                          <w:color w:val="FFFFFF" w:themeColor="background1"/>
                          <w:sz w:val="22"/>
                          <w:lang w:val="pt-BR"/>
                        </w:rPr>
                        <w:t>7</w:t>
                      </w:r>
                    </w:p>
                    <w:p w14:paraId="2907805E" w14:textId="0C855D5C" w:rsidR="008D5EAD" w:rsidRPr="004E2649" w:rsidRDefault="008D5EAD" w:rsidP="007A5817">
                      <w:pPr>
                        <w:spacing w:line="276" w:lineRule="auto"/>
                        <w:jc w:val="right"/>
                        <w:rPr>
                          <w:rFonts w:asciiTheme="minorHAnsi" w:hAnsiTheme="minorHAnsi"/>
                          <w:color w:val="FFFFFF" w:themeColor="background1"/>
                          <w:sz w:val="22"/>
                          <w:lang w:val="pt-BR"/>
                        </w:rPr>
                      </w:pPr>
                      <w:r w:rsidRPr="00774A99">
                        <w:rPr>
                          <w:rFonts w:asciiTheme="minorHAnsi" w:hAnsiTheme="minorHAnsi"/>
                          <w:color w:val="FFFFFF" w:themeColor="background1"/>
                          <w:sz w:val="22"/>
                          <w:lang w:val="pt-BR"/>
                        </w:rPr>
                        <w:t xml:space="preserve">Doc. </w:t>
                      </w:r>
                      <w:r w:rsidR="00CB30EB" w:rsidRPr="00774A99">
                        <w:rPr>
                          <w:rFonts w:asciiTheme="minorHAnsi" w:hAnsiTheme="minorHAnsi"/>
                          <w:color w:val="FFFFFF" w:themeColor="background1"/>
                          <w:sz w:val="22"/>
                          <w:lang w:val="pt-BR"/>
                        </w:rPr>
                        <w:t>16</w:t>
                      </w:r>
                    </w:p>
                    <w:p w14:paraId="1FD45B29" w14:textId="3F290831" w:rsidR="008D5EAD" w:rsidRPr="004E2649" w:rsidRDefault="00CB30EB" w:rsidP="007A5817">
                      <w:pPr>
                        <w:spacing w:line="276" w:lineRule="auto"/>
                        <w:jc w:val="right"/>
                        <w:rPr>
                          <w:rFonts w:asciiTheme="minorHAnsi" w:hAnsiTheme="minorHAnsi"/>
                          <w:color w:val="FFFFFF" w:themeColor="background1"/>
                          <w:sz w:val="22"/>
                        </w:rPr>
                      </w:pPr>
                      <w:r w:rsidRPr="00CB30EB">
                        <w:rPr>
                          <w:rFonts w:asciiTheme="minorHAnsi" w:hAnsiTheme="minorHAnsi"/>
                          <w:color w:val="FFFFFF" w:themeColor="background1"/>
                          <w:sz w:val="22"/>
                        </w:rPr>
                        <w:t>14</w:t>
                      </w:r>
                      <w:r w:rsidR="00FA567C">
                        <w:rPr>
                          <w:rFonts w:asciiTheme="minorHAnsi" w:hAnsiTheme="minorHAnsi"/>
                          <w:color w:val="FFFFFF" w:themeColor="background1"/>
                          <w:sz w:val="22"/>
                        </w:rPr>
                        <w:t xml:space="preserve"> </w:t>
                      </w:r>
                      <w:proofErr w:type="spellStart"/>
                      <w:r w:rsidR="00FA567C">
                        <w:rPr>
                          <w:rFonts w:asciiTheme="minorHAnsi" w:hAnsiTheme="minorHAnsi"/>
                          <w:color w:val="FFFFFF" w:themeColor="background1"/>
                          <w:sz w:val="22"/>
                        </w:rPr>
                        <w:t>a</w:t>
                      </w:r>
                      <w:r w:rsidR="00743B91">
                        <w:rPr>
                          <w:rFonts w:asciiTheme="minorHAnsi" w:hAnsiTheme="minorHAnsi"/>
                          <w:color w:val="FFFFFF" w:themeColor="background1"/>
                          <w:sz w:val="22"/>
                        </w:rPr>
                        <w:t>bril</w:t>
                      </w:r>
                      <w:proofErr w:type="spellEnd"/>
                      <w:r w:rsidR="006D6553">
                        <w:rPr>
                          <w:rFonts w:asciiTheme="minorHAnsi" w:hAnsiTheme="minorHAnsi"/>
                          <w:color w:val="FFFFFF" w:themeColor="background1"/>
                          <w:sz w:val="22"/>
                        </w:rPr>
                        <w:t xml:space="preserve"> </w:t>
                      </w:r>
                      <w:r w:rsidRPr="00CB30EB">
                        <w:rPr>
                          <w:rFonts w:asciiTheme="minorHAnsi" w:hAnsiTheme="minorHAnsi"/>
                          <w:color w:val="FFFFFF" w:themeColor="background1"/>
                          <w:sz w:val="22"/>
                        </w:rPr>
                        <w:t>2</w:t>
                      </w:r>
                      <w:r w:rsidR="008D5EAD">
                        <w:rPr>
                          <w:rFonts w:asciiTheme="minorHAnsi" w:hAnsiTheme="minorHAnsi"/>
                          <w:color w:val="FFFFFF" w:themeColor="background1"/>
                          <w:sz w:val="22"/>
                        </w:rPr>
                        <w:t>01</w:t>
                      </w:r>
                      <w:r>
                        <w:rPr>
                          <w:rFonts w:asciiTheme="minorHAnsi" w:hAnsiTheme="minorHAnsi"/>
                          <w:color w:val="FFFFFF" w:themeColor="background1"/>
                          <w:sz w:val="22"/>
                        </w:rPr>
                        <w:t>6</w:t>
                      </w:r>
                    </w:p>
                    <w:p w14:paraId="30B9F289" w14:textId="41C1D670" w:rsidR="008D5EAD" w:rsidRPr="004E2649" w:rsidRDefault="008D5EA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CB30EB" w:rsidRPr="00CB30EB">
                        <w:rPr>
                          <w:rFonts w:asciiTheme="minorHAnsi" w:hAnsiTheme="minorHAnsi"/>
                          <w:color w:val="FFFFFF" w:themeColor="background1"/>
                          <w:sz w:val="22"/>
                        </w:rPr>
                        <w:t>Español</w:t>
                      </w:r>
                      <w:proofErr w:type="spellEnd"/>
                    </w:p>
                  </w:txbxContent>
                </v:textbox>
              </v:shape>
            </w:pict>
          </mc:Fallback>
        </mc:AlternateContent>
      </w:r>
    </w:p>
    <w:p w14:paraId="1A8DB616" w14:textId="77777777" w:rsidR="00040C3A" w:rsidRPr="00D749D5" w:rsidRDefault="00040C3A" w:rsidP="00040C3A">
      <w:pPr>
        <w:tabs>
          <w:tab w:val="center" w:pos="5400"/>
        </w:tabs>
        <w:suppressAutoHyphens/>
        <w:jc w:val="center"/>
        <w:rPr>
          <w:rFonts w:asciiTheme="majorHAnsi" w:hAnsiTheme="majorHAnsi"/>
          <w:sz w:val="20"/>
          <w:szCs w:val="20"/>
          <w:lang w:val="es-ES"/>
        </w:rPr>
      </w:pPr>
    </w:p>
    <w:p w14:paraId="498F3C7D" w14:textId="77777777" w:rsidR="00040C3A" w:rsidRPr="00D749D5" w:rsidRDefault="00040C3A" w:rsidP="00040C3A">
      <w:pPr>
        <w:tabs>
          <w:tab w:val="center" w:pos="5400"/>
        </w:tabs>
        <w:suppressAutoHyphens/>
        <w:jc w:val="center"/>
        <w:rPr>
          <w:rFonts w:asciiTheme="majorHAnsi" w:hAnsiTheme="majorHAnsi"/>
          <w:sz w:val="20"/>
          <w:szCs w:val="20"/>
          <w:lang w:val="es-ES"/>
        </w:rPr>
      </w:pPr>
    </w:p>
    <w:p w14:paraId="171060BA" w14:textId="77777777" w:rsidR="00040C3A" w:rsidRPr="00D749D5" w:rsidRDefault="00040C3A" w:rsidP="00040C3A">
      <w:pPr>
        <w:tabs>
          <w:tab w:val="center" w:pos="5400"/>
        </w:tabs>
        <w:suppressAutoHyphens/>
        <w:jc w:val="center"/>
        <w:rPr>
          <w:rFonts w:asciiTheme="majorHAnsi" w:hAnsiTheme="majorHAnsi" w:cs="Arial"/>
          <w:sz w:val="20"/>
          <w:szCs w:val="20"/>
          <w:lang w:val="es-ES"/>
        </w:rPr>
      </w:pPr>
    </w:p>
    <w:p w14:paraId="6A5B86D3" w14:textId="77777777" w:rsidR="00040C3A" w:rsidRPr="00D749D5" w:rsidRDefault="00040C3A" w:rsidP="00040C3A">
      <w:pPr>
        <w:tabs>
          <w:tab w:val="center" w:pos="5400"/>
        </w:tabs>
        <w:suppressAutoHyphens/>
        <w:jc w:val="center"/>
        <w:rPr>
          <w:rFonts w:asciiTheme="majorHAnsi" w:hAnsiTheme="majorHAnsi"/>
          <w:sz w:val="20"/>
          <w:szCs w:val="20"/>
          <w:lang w:val="es-ES"/>
        </w:rPr>
      </w:pPr>
    </w:p>
    <w:p w14:paraId="545042E3" w14:textId="77777777" w:rsidR="00040C3A" w:rsidRPr="00D749D5" w:rsidRDefault="00040C3A" w:rsidP="00040C3A">
      <w:pPr>
        <w:tabs>
          <w:tab w:val="center" w:pos="5400"/>
        </w:tabs>
        <w:suppressAutoHyphens/>
        <w:jc w:val="center"/>
        <w:rPr>
          <w:rFonts w:asciiTheme="majorHAnsi" w:hAnsiTheme="majorHAnsi"/>
          <w:sz w:val="20"/>
          <w:szCs w:val="20"/>
          <w:lang w:val="es-ES"/>
        </w:rPr>
      </w:pPr>
    </w:p>
    <w:p w14:paraId="2622F06F" w14:textId="77777777" w:rsidR="00040C3A" w:rsidRPr="00D749D5" w:rsidRDefault="00040C3A" w:rsidP="00040C3A">
      <w:pPr>
        <w:tabs>
          <w:tab w:val="center" w:pos="5400"/>
        </w:tabs>
        <w:suppressAutoHyphens/>
        <w:jc w:val="center"/>
        <w:rPr>
          <w:rFonts w:asciiTheme="majorHAnsi" w:hAnsiTheme="majorHAnsi"/>
          <w:sz w:val="20"/>
          <w:szCs w:val="20"/>
          <w:lang w:val="es-ES"/>
        </w:rPr>
      </w:pPr>
    </w:p>
    <w:p w14:paraId="256E905E" w14:textId="77777777" w:rsidR="00040C3A" w:rsidRPr="00D749D5" w:rsidRDefault="00040C3A" w:rsidP="00040C3A">
      <w:pPr>
        <w:tabs>
          <w:tab w:val="center" w:pos="5400"/>
        </w:tabs>
        <w:suppressAutoHyphens/>
        <w:jc w:val="center"/>
        <w:rPr>
          <w:rFonts w:asciiTheme="majorHAnsi" w:hAnsiTheme="majorHAnsi"/>
          <w:sz w:val="20"/>
          <w:szCs w:val="20"/>
          <w:lang w:val="es-ES"/>
        </w:rPr>
      </w:pPr>
    </w:p>
    <w:p w14:paraId="1DA528E9" w14:textId="77777777" w:rsidR="005128E4" w:rsidRPr="00D749D5" w:rsidRDefault="005128E4" w:rsidP="00040C3A">
      <w:pPr>
        <w:tabs>
          <w:tab w:val="center" w:pos="5400"/>
        </w:tabs>
        <w:suppressAutoHyphens/>
        <w:jc w:val="center"/>
        <w:rPr>
          <w:rFonts w:asciiTheme="majorHAnsi" w:hAnsiTheme="majorHAnsi"/>
          <w:sz w:val="20"/>
          <w:szCs w:val="20"/>
          <w:lang w:val="es-ES"/>
        </w:rPr>
      </w:pPr>
    </w:p>
    <w:p w14:paraId="641F466A" w14:textId="77777777" w:rsidR="00040C3A" w:rsidRPr="00D749D5" w:rsidRDefault="00040C3A" w:rsidP="00040C3A">
      <w:pPr>
        <w:tabs>
          <w:tab w:val="center" w:pos="5400"/>
        </w:tabs>
        <w:suppressAutoHyphens/>
        <w:jc w:val="center"/>
        <w:rPr>
          <w:rFonts w:asciiTheme="majorHAnsi" w:hAnsiTheme="majorHAnsi"/>
          <w:sz w:val="20"/>
          <w:szCs w:val="20"/>
          <w:lang w:val="es-ES"/>
        </w:rPr>
      </w:pPr>
    </w:p>
    <w:p w14:paraId="1EDD2D32" w14:textId="77777777" w:rsidR="005128E4" w:rsidRPr="00D749D5" w:rsidRDefault="005128E4" w:rsidP="00040C3A">
      <w:pPr>
        <w:tabs>
          <w:tab w:val="center" w:pos="5400"/>
        </w:tabs>
        <w:suppressAutoHyphens/>
        <w:jc w:val="center"/>
        <w:rPr>
          <w:rFonts w:asciiTheme="majorHAnsi" w:hAnsiTheme="majorHAnsi"/>
          <w:sz w:val="20"/>
          <w:szCs w:val="20"/>
          <w:lang w:val="es-ES"/>
        </w:rPr>
      </w:pPr>
    </w:p>
    <w:p w14:paraId="261BA517" w14:textId="77777777" w:rsidR="005128E4" w:rsidRPr="00D749D5" w:rsidRDefault="005128E4" w:rsidP="00040C3A">
      <w:pPr>
        <w:tabs>
          <w:tab w:val="center" w:pos="5400"/>
        </w:tabs>
        <w:suppressAutoHyphens/>
        <w:jc w:val="center"/>
        <w:rPr>
          <w:rFonts w:asciiTheme="majorHAnsi" w:hAnsiTheme="majorHAnsi"/>
          <w:sz w:val="20"/>
          <w:szCs w:val="20"/>
          <w:lang w:val="es-ES"/>
        </w:rPr>
      </w:pPr>
    </w:p>
    <w:p w14:paraId="0D99399A" w14:textId="77777777" w:rsidR="005128E4" w:rsidRPr="00D749D5" w:rsidRDefault="005128E4" w:rsidP="00040C3A">
      <w:pPr>
        <w:tabs>
          <w:tab w:val="center" w:pos="5400"/>
        </w:tabs>
        <w:suppressAutoHyphens/>
        <w:jc w:val="center"/>
        <w:rPr>
          <w:rFonts w:asciiTheme="majorHAnsi" w:hAnsiTheme="majorHAnsi"/>
          <w:sz w:val="20"/>
          <w:szCs w:val="20"/>
          <w:lang w:val="es-ES"/>
        </w:rPr>
      </w:pPr>
    </w:p>
    <w:p w14:paraId="4A437F0B" w14:textId="77777777" w:rsidR="00040C3A" w:rsidRPr="00D749D5" w:rsidRDefault="00040C3A" w:rsidP="00040C3A">
      <w:pPr>
        <w:tabs>
          <w:tab w:val="center" w:pos="5400"/>
        </w:tabs>
        <w:suppressAutoHyphens/>
        <w:jc w:val="center"/>
        <w:rPr>
          <w:rFonts w:asciiTheme="majorHAnsi" w:hAnsiTheme="majorHAnsi"/>
          <w:sz w:val="20"/>
          <w:szCs w:val="20"/>
          <w:lang w:val="es-ES"/>
        </w:rPr>
      </w:pPr>
    </w:p>
    <w:p w14:paraId="1A6DA862" w14:textId="77777777" w:rsidR="00040C3A" w:rsidRPr="00D749D5" w:rsidRDefault="00040C3A" w:rsidP="00040C3A">
      <w:pPr>
        <w:tabs>
          <w:tab w:val="center" w:pos="5400"/>
        </w:tabs>
        <w:suppressAutoHyphens/>
        <w:jc w:val="center"/>
        <w:rPr>
          <w:rFonts w:asciiTheme="majorHAnsi" w:hAnsiTheme="majorHAnsi"/>
          <w:sz w:val="20"/>
          <w:szCs w:val="20"/>
          <w:lang w:val="es-ES"/>
        </w:rPr>
      </w:pPr>
    </w:p>
    <w:p w14:paraId="7BE173D7"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132600CF"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33F9C8DC"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109B7A97"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37BA9E17"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0D4FAAC8"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445766A4"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68096CF4"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4CA5C281"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0E239DFE"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0770C58F"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0C57BFD7"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1D675A1F"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20F927E3"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117BF407" w14:textId="77777777" w:rsidR="00A50FCF" w:rsidRPr="00D749D5" w:rsidRDefault="0090270B" w:rsidP="00040C3A">
      <w:pPr>
        <w:tabs>
          <w:tab w:val="center" w:pos="5400"/>
        </w:tabs>
        <w:suppressAutoHyphens/>
        <w:jc w:val="center"/>
        <w:rPr>
          <w:rFonts w:asciiTheme="majorHAnsi" w:hAnsiTheme="majorHAnsi"/>
          <w:sz w:val="20"/>
          <w:szCs w:val="20"/>
          <w:lang w:val="es-ES"/>
        </w:rPr>
      </w:pPr>
      <w:r w:rsidRPr="00D749D5">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86A5A10" wp14:editId="430DE46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8A6AC" w14:textId="64449668" w:rsidR="008D5EAD" w:rsidRPr="00890650" w:rsidRDefault="008D5EAD" w:rsidP="00D7796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w:t>
                            </w:r>
                            <w:r w:rsidR="00CB30EB">
                              <w:rPr>
                                <w:rFonts w:asciiTheme="majorHAnsi" w:hAnsiTheme="majorHAnsi"/>
                                <w:color w:val="0D0D0D" w:themeColor="text1" w:themeTint="F2"/>
                                <w:sz w:val="18"/>
                                <w:szCs w:val="20"/>
                                <w:lang w:val="es-ES"/>
                              </w:rPr>
                              <w:t>2063</w:t>
                            </w:r>
                            <w:r w:rsidRPr="00890650">
                              <w:rPr>
                                <w:rFonts w:asciiTheme="majorHAnsi" w:hAnsiTheme="majorHAnsi"/>
                                <w:color w:val="0D0D0D" w:themeColor="text1" w:themeTint="F2"/>
                                <w:sz w:val="18"/>
                                <w:szCs w:val="20"/>
                                <w:lang w:val="es-ES"/>
                              </w:rPr>
                              <w:t xml:space="preserve"> celebrada el </w:t>
                            </w:r>
                            <w:r w:rsidR="00CB30EB">
                              <w:rPr>
                                <w:rFonts w:asciiTheme="majorHAnsi" w:hAnsiTheme="majorHAnsi"/>
                                <w:color w:val="0D0D0D" w:themeColor="text1" w:themeTint="F2"/>
                                <w:sz w:val="18"/>
                                <w:szCs w:val="20"/>
                                <w:lang w:val="es-ES"/>
                              </w:rPr>
                              <w:t>14</w:t>
                            </w:r>
                            <w:r w:rsidRPr="00890650">
                              <w:rPr>
                                <w:rFonts w:asciiTheme="majorHAnsi" w:hAnsiTheme="majorHAnsi"/>
                                <w:color w:val="0D0D0D" w:themeColor="text1" w:themeTint="F2"/>
                                <w:sz w:val="18"/>
                                <w:szCs w:val="20"/>
                                <w:lang w:val="es-ES"/>
                              </w:rPr>
                              <w:t xml:space="preserve"> de </w:t>
                            </w:r>
                            <w:r w:rsidRPr="00D7796A">
                              <w:rPr>
                                <w:rFonts w:asciiTheme="majorHAnsi" w:hAnsiTheme="majorHAnsi"/>
                                <w:sz w:val="18"/>
                                <w:szCs w:val="20"/>
                                <w:lang w:val="es-ES"/>
                              </w:rPr>
                              <w:t>abril de 2016</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157º</w:t>
                            </w:r>
                            <w:r w:rsidRPr="00890650">
                              <w:rPr>
                                <w:rFonts w:asciiTheme="majorHAnsi" w:hAnsiTheme="majorHAnsi" w:cs="Univers"/>
                                <w:color w:val="0D0D0D" w:themeColor="text1" w:themeTint="F2"/>
                                <w:sz w:val="18"/>
                                <w:szCs w:val="20"/>
                                <w:lang w:val="es-ES_tradnl"/>
                              </w:rPr>
                              <w:t xml:space="preserve"> período ordinario de sesiones</w:t>
                            </w:r>
                          </w:p>
                          <w:p w14:paraId="132EC63E" w14:textId="77777777" w:rsidR="008D5EAD" w:rsidRPr="007A5817" w:rsidRDefault="008D5EAD" w:rsidP="00247403">
                            <w:pPr>
                              <w:tabs>
                                <w:tab w:val="center" w:pos="5400"/>
                              </w:tabs>
                              <w:suppressAutoHyphens/>
                              <w:spacing w:before="60"/>
                              <w:rPr>
                                <w:rFonts w:asciiTheme="minorHAnsi" w:hAnsiTheme="minorHAnsi" w:cs="Univers"/>
                                <w:color w:val="0D0D0D" w:themeColor="text1" w:themeTint="F2"/>
                                <w:sz w:val="20"/>
                                <w:szCs w:val="20"/>
                                <w:lang w:val="es-ES"/>
                              </w:rPr>
                            </w:pPr>
                          </w:p>
                          <w:p w14:paraId="0477E885" w14:textId="77777777" w:rsidR="008D5EAD" w:rsidRPr="00167A34" w:rsidRDefault="008D5EA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948A6AC" w14:textId="64449668" w:rsidR="008D5EAD" w:rsidRPr="00890650" w:rsidRDefault="008D5EAD" w:rsidP="00D7796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w:t>
                      </w:r>
                      <w:r w:rsidR="00CB30EB">
                        <w:rPr>
                          <w:rFonts w:asciiTheme="majorHAnsi" w:hAnsiTheme="majorHAnsi"/>
                          <w:color w:val="0D0D0D" w:themeColor="text1" w:themeTint="F2"/>
                          <w:sz w:val="18"/>
                          <w:szCs w:val="20"/>
                          <w:lang w:val="es-ES"/>
                        </w:rPr>
                        <w:t>2063</w:t>
                      </w:r>
                      <w:r w:rsidRPr="00890650">
                        <w:rPr>
                          <w:rFonts w:asciiTheme="majorHAnsi" w:hAnsiTheme="majorHAnsi"/>
                          <w:color w:val="0D0D0D" w:themeColor="text1" w:themeTint="F2"/>
                          <w:sz w:val="18"/>
                          <w:szCs w:val="20"/>
                          <w:lang w:val="es-ES"/>
                        </w:rPr>
                        <w:t xml:space="preserve"> celebrada el </w:t>
                      </w:r>
                      <w:r w:rsidR="00CB30EB">
                        <w:rPr>
                          <w:rFonts w:asciiTheme="majorHAnsi" w:hAnsiTheme="majorHAnsi"/>
                          <w:color w:val="0D0D0D" w:themeColor="text1" w:themeTint="F2"/>
                          <w:sz w:val="18"/>
                          <w:szCs w:val="20"/>
                          <w:lang w:val="es-ES"/>
                        </w:rPr>
                        <w:t>14</w:t>
                      </w:r>
                      <w:r w:rsidRPr="00890650">
                        <w:rPr>
                          <w:rFonts w:asciiTheme="majorHAnsi" w:hAnsiTheme="majorHAnsi"/>
                          <w:color w:val="0D0D0D" w:themeColor="text1" w:themeTint="F2"/>
                          <w:sz w:val="18"/>
                          <w:szCs w:val="20"/>
                          <w:lang w:val="es-ES"/>
                        </w:rPr>
                        <w:t xml:space="preserve"> de </w:t>
                      </w:r>
                      <w:r w:rsidRPr="00D7796A">
                        <w:rPr>
                          <w:rFonts w:asciiTheme="majorHAnsi" w:hAnsiTheme="majorHAnsi"/>
                          <w:sz w:val="18"/>
                          <w:szCs w:val="20"/>
                          <w:lang w:val="es-ES"/>
                        </w:rPr>
                        <w:t>abril de 2016</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157º</w:t>
                      </w:r>
                      <w:r w:rsidRPr="00890650">
                        <w:rPr>
                          <w:rFonts w:asciiTheme="majorHAnsi" w:hAnsiTheme="majorHAnsi" w:cs="Univers"/>
                          <w:color w:val="0D0D0D" w:themeColor="text1" w:themeTint="F2"/>
                          <w:sz w:val="18"/>
                          <w:szCs w:val="20"/>
                          <w:lang w:val="es-ES_tradnl"/>
                        </w:rPr>
                        <w:t xml:space="preserve"> período ordinario de sesiones</w:t>
                      </w:r>
                    </w:p>
                    <w:p w14:paraId="132EC63E" w14:textId="77777777" w:rsidR="008D5EAD" w:rsidRPr="007A5817" w:rsidRDefault="008D5EAD" w:rsidP="00247403">
                      <w:pPr>
                        <w:tabs>
                          <w:tab w:val="center" w:pos="5400"/>
                        </w:tabs>
                        <w:suppressAutoHyphens/>
                        <w:spacing w:before="60"/>
                        <w:rPr>
                          <w:rFonts w:asciiTheme="minorHAnsi" w:hAnsiTheme="minorHAnsi" w:cs="Univers"/>
                          <w:color w:val="0D0D0D" w:themeColor="text1" w:themeTint="F2"/>
                          <w:sz w:val="20"/>
                          <w:szCs w:val="20"/>
                          <w:lang w:val="es-ES"/>
                        </w:rPr>
                      </w:pPr>
                    </w:p>
                    <w:p w14:paraId="0477E885" w14:textId="77777777" w:rsidR="008D5EAD" w:rsidRPr="00167A34" w:rsidRDefault="008D5EA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B4D6BBC"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442AF82B"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3F7F608A"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14A75C96"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7397A0C9" w14:textId="77777777" w:rsidR="00A50FCF" w:rsidRPr="00D749D5" w:rsidRDefault="0090270B" w:rsidP="00040C3A">
      <w:pPr>
        <w:tabs>
          <w:tab w:val="center" w:pos="5400"/>
        </w:tabs>
        <w:suppressAutoHyphens/>
        <w:jc w:val="center"/>
        <w:rPr>
          <w:rFonts w:asciiTheme="majorHAnsi" w:hAnsiTheme="majorHAnsi"/>
          <w:sz w:val="20"/>
          <w:szCs w:val="20"/>
          <w:lang w:val="es-ES"/>
        </w:rPr>
      </w:pPr>
      <w:r w:rsidRPr="00D749D5">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6FF9C3C" wp14:editId="17195D5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E9CF5" w14:textId="50444716" w:rsidR="008D5EAD" w:rsidRPr="0063685A" w:rsidRDefault="008D5EAD" w:rsidP="00113F73">
                            <w:pPr>
                              <w:spacing w:line="276" w:lineRule="auto"/>
                              <w:rPr>
                                <w:rFonts w:asciiTheme="majorHAnsi" w:hAnsiTheme="majorHAnsi"/>
                                <w:color w:val="595959" w:themeColor="text1" w:themeTint="A6"/>
                                <w:sz w:val="18"/>
                                <w:szCs w:val="18"/>
                                <w:lang w:val="es-ES"/>
                              </w:rPr>
                            </w:pPr>
                            <w:r w:rsidRPr="00CB30EB">
                              <w:rPr>
                                <w:rFonts w:asciiTheme="majorHAnsi" w:hAnsiTheme="majorHAnsi"/>
                                <w:b/>
                                <w:color w:val="595959" w:themeColor="text1" w:themeTint="A6"/>
                                <w:sz w:val="18"/>
                                <w:szCs w:val="18"/>
                                <w:lang w:val="es-ES"/>
                              </w:rPr>
                              <w:t>Citar como:</w:t>
                            </w:r>
                            <w:r w:rsidRPr="00CB30EB">
                              <w:rPr>
                                <w:rFonts w:asciiTheme="majorHAnsi" w:hAnsiTheme="majorHAnsi"/>
                                <w:color w:val="595959" w:themeColor="text1" w:themeTint="A6"/>
                                <w:sz w:val="18"/>
                                <w:szCs w:val="18"/>
                                <w:lang w:val="es-ES"/>
                              </w:rPr>
                              <w:t xml:space="preserve"> CIDH, Informe No. </w:t>
                            </w:r>
                            <w:r w:rsidR="00CB30EB">
                              <w:rPr>
                                <w:rFonts w:asciiTheme="majorHAnsi" w:hAnsiTheme="majorHAnsi"/>
                                <w:color w:val="595959" w:themeColor="text1" w:themeTint="A6"/>
                                <w:sz w:val="18"/>
                                <w:szCs w:val="18"/>
                                <w:lang w:val="es-ES_tradnl"/>
                              </w:rPr>
                              <w:t>12/16</w:t>
                            </w:r>
                            <w:r w:rsidRPr="00890650">
                              <w:rPr>
                                <w:rFonts w:asciiTheme="majorHAnsi" w:hAnsiTheme="majorHAnsi"/>
                                <w:color w:val="595959" w:themeColor="text1" w:themeTint="A6"/>
                                <w:sz w:val="18"/>
                                <w:szCs w:val="18"/>
                                <w:lang w:val="es-ES_tradnl"/>
                              </w:rPr>
                              <w:t xml:space="preserve">, Petición </w:t>
                            </w:r>
                            <w:r w:rsidR="00CB30EB">
                              <w:rPr>
                                <w:rFonts w:asciiTheme="majorHAnsi" w:hAnsiTheme="majorHAnsi"/>
                                <w:color w:val="595959" w:themeColor="text1" w:themeTint="A6"/>
                                <w:sz w:val="18"/>
                                <w:szCs w:val="18"/>
                                <w:lang w:val="es-ES_tradnl"/>
                              </w:rPr>
                              <w:t>11.888.</w:t>
                            </w:r>
                            <w:r w:rsidR="007241F7">
                              <w:rPr>
                                <w:rFonts w:asciiTheme="majorHAnsi" w:hAnsiTheme="majorHAnsi"/>
                                <w:color w:val="595959" w:themeColor="text1" w:themeTint="A6"/>
                                <w:sz w:val="18"/>
                                <w:szCs w:val="18"/>
                                <w:lang w:val="es-ES_tradnl"/>
                              </w:rPr>
                              <w:t xml:space="preserve"> Admisibilidad.</w:t>
                            </w:r>
                            <w:r w:rsidR="008C72DB">
                              <w:rPr>
                                <w:rFonts w:asciiTheme="majorHAnsi" w:hAnsiTheme="majorHAnsi"/>
                                <w:color w:val="595959" w:themeColor="text1" w:themeTint="A6"/>
                                <w:sz w:val="18"/>
                                <w:szCs w:val="18"/>
                                <w:lang w:val="es-ES_tradnl"/>
                              </w:rPr>
                              <w:t xml:space="preserve"> </w:t>
                            </w:r>
                            <w:r w:rsidR="00CB30EB">
                              <w:rPr>
                                <w:rFonts w:asciiTheme="majorHAnsi" w:hAnsiTheme="majorHAnsi"/>
                                <w:color w:val="595959" w:themeColor="text1" w:themeTint="A6"/>
                                <w:sz w:val="18"/>
                                <w:szCs w:val="18"/>
                                <w:lang w:val="es-ES_tradnl"/>
                              </w:rPr>
                              <w:t>Alfredo Acero Aranda y Otros (Red de la Armada)</w:t>
                            </w:r>
                            <w:r w:rsidRPr="00890650">
                              <w:rPr>
                                <w:rFonts w:asciiTheme="majorHAnsi" w:hAnsiTheme="majorHAnsi"/>
                                <w:color w:val="595959" w:themeColor="text1" w:themeTint="A6"/>
                                <w:sz w:val="18"/>
                                <w:szCs w:val="18"/>
                                <w:lang w:val="es-ES_tradnl"/>
                              </w:rPr>
                              <w:t xml:space="preserve">. </w:t>
                            </w:r>
                            <w:r w:rsidR="00CB30E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07009">
                              <w:rPr>
                                <w:rFonts w:asciiTheme="majorHAnsi" w:hAnsiTheme="majorHAnsi"/>
                                <w:color w:val="595959" w:themeColor="text1" w:themeTint="A6"/>
                                <w:sz w:val="18"/>
                                <w:szCs w:val="18"/>
                                <w:lang w:val="es-ES_tradnl"/>
                              </w:rPr>
                              <w:t>14 de abril de 20</w:t>
                            </w:r>
                            <w:r w:rsidR="00E557C6">
                              <w:rPr>
                                <w:rFonts w:asciiTheme="majorHAnsi" w:hAnsiTheme="majorHAnsi"/>
                                <w:color w:val="595959" w:themeColor="text1" w:themeTint="A6"/>
                                <w:sz w:val="18"/>
                                <w:szCs w:val="18"/>
                                <w:lang w:val="es-ES_tradnl"/>
                              </w:rPr>
                              <w:t xml:space="preserve">16.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D6E9CF5" w14:textId="50444716" w:rsidR="008D5EAD" w:rsidRPr="0063685A" w:rsidRDefault="008D5EAD" w:rsidP="00113F73">
                      <w:pPr>
                        <w:spacing w:line="276" w:lineRule="auto"/>
                        <w:rPr>
                          <w:rFonts w:asciiTheme="majorHAnsi" w:hAnsiTheme="majorHAnsi"/>
                          <w:color w:val="595959" w:themeColor="text1" w:themeTint="A6"/>
                          <w:sz w:val="18"/>
                          <w:szCs w:val="18"/>
                          <w:lang w:val="es-ES"/>
                        </w:rPr>
                      </w:pPr>
                      <w:r w:rsidRPr="00CB30EB">
                        <w:rPr>
                          <w:rFonts w:asciiTheme="majorHAnsi" w:hAnsiTheme="majorHAnsi"/>
                          <w:b/>
                          <w:color w:val="595959" w:themeColor="text1" w:themeTint="A6"/>
                          <w:sz w:val="18"/>
                          <w:szCs w:val="18"/>
                          <w:lang w:val="es-ES"/>
                        </w:rPr>
                        <w:t>Citar como:</w:t>
                      </w:r>
                      <w:r w:rsidRPr="00CB30EB">
                        <w:rPr>
                          <w:rFonts w:asciiTheme="majorHAnsi" w:hAnsiTheme="majorHAnsi"/>
                          <w:color w:val="595959" w:themeColor="text1" w:themeTint="A6"/>
                          <w:sz w:val="18"/>
                          <w:szCs w:val="18"/>
                          <w:lang w:val="es-ES"/>
                        </w:rPr>
                        <w:t xml:space="preserve"> CIDH, Informe No. </w:t>
                      </w:r>
                      <w:r w:rsidR="00CB30EB">
                        <w:rPr>
                          <w:rFonts w:asciiTheme="majorHAnsi" w:hAnsiTheme="majorHAnsi"/>
                          <w:color w:val="595959" w:themeColor="text1" w:themeTint="A6"/>
                          <w:sz w:val="18"/>
                          <w:szCs w:val="18"/>
                          <w:lang w:val="es-ES_tradnl"/>
                        </w:rPr>
                        <w:t>12/16</w:t>
                      </w:r>
                      <w:r w:rsidRPr="00890650">
                        <w:rPr>
                          <w:rFonts w:asciiTheme="majorHAnsi" w:hAnsiTheme="majorHAnsi"/>
                          <w:color w:val="595959" w:themeColor="text1" w:themeTint="A6"/>
                          <w:sz w:val="18"/>
                          <w:szCs w:val="18"/>
                          <w:lang w:val="es-ES_tradnl"/>
                        </w:rPr>
                        <w:t xml:space="preserve">, Petición </w:t>
                      </w:r>
                      <w:r w:rsidR="00CB30EB">
                        <w:rPr>
                          <w:rFonts w:asciiTheme="majorHAnsi" w:hAnsiTheme="majorHAnsi"/>
                          <w:color w:val="595959" w:themeColor="text1" w:themeTint="A6"/>
                          <w:sz w:val="18"/>
                          <w:szCs w:val="18"/>
                          <w:lang w:val="es-ES_tradnl"/>
                        </w:rPr>
                        <w:t>11.888.</w:t>
                      </w:r>
                      <w:r w:rsidR="007241F7">
                        <w:rPr>
                          <w:rFonts w:asciiTheme="majorHAnsi" w:hAnsiTheme="majorHAnsi"/>
                          <w:color w:val="595959" w:themeColor="text1" w:themeTint="A6"/>
                          <w:sz w:val="18"/>
                          <w:szCs w:val="18"/>
                          <w:lang w:val="es-ES_tradnl"/>
                        </w:rPr>
                        <w:t xml:space="preserve"> Admisibilidad.</w:t>
                      </w:r>
                      <w:r w:rsidR="008C72DB">
                        <w:rPr>
                          <w:rFonts w:asciiTheme="majorHAnsi" w:hAnsiTheme="majorHAnsi"/>
                          <w:color w:val="595959" w:themeColor="text1" w:themeTint="A6"/>
                          <w:sz w:val="18"/>
                          <w:szCs w:val="18"/>
                          <w:lang w:val="es-ES_tradnl"/>
                        </w:rPr>
                        <w:t xml:space="preserve"> </w:t>
                      </w:r>
                      <w:r w:rsidR="00CB30EB">
                        <w:rPr>
                          <w:rFonts w:asciiTheme="majorHAnsi" w:hAnsiTheme="majorHAnsi"/>
                          <w:color w:val="595959" w:themeColor="text1" w:themeTint="A6"/>
                          <w:sz w:val="18"/>
                          <w:szCs w:val="18"/>
                          <w:lang w:val="es-ES_tradnl"/>
                        </w:rPr>
                        <w:t>Alfredo Acero Aranda y Otros (Red de la Armada)</w:t>
                      </w:r>
                      <w:r w:rsidRPr="00890650">
                        <w:rPr>
                          <w:rFonts w:asciiTheme="majorHAnsi" w:hAnsiTheme="majorHAnsi"/>
                          <w:color w:val="595959" w:themeColor="text1" w:themeTint="A6"/>
                          <w:sz w:val="18"/>
                          <w:szCs w:val="18"/>
                          <w:lang w:val="es-ES_tradnl"/>
                        </w:rPr>
                        <w:t xml:space="preserve">. </w:t>
                      </w:r>
                      <w:r w:rsidR="00CB30E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07009">
                        <w:rPr>
                          <w:rFonts w:asciiTheme="majorHAnsi" w:hAnsiTheme="majorHAnsi"/>
                          <w:color w:val="595959" w:themeColor="text1" w:themeTint="A6"/>
                          <w:sz w:val="18"/>
                          <w:szCs w:val="18"/>
                          <w:lang w:val="es-ES_tradnl"/>
                        </w:rPr>
                        <w:t>14 de abril de 20</w:t>
                      </w:r>
                      <w:r w:rsidR="00E557C6">
                        <w:rPr>
                          <w:rFonts w:asciiTheme="majorHAnsi" w:hAnsiTheme="majorHAnsi"/>
                          <w:color w:val="595959" w:themeColor="text1" w:themeTint="A6"/>
                          <w:sz w:val="18"/>
                          <w:szCs w:val="18"/>
                          <w:lang w:val="es-ES_tradnl"/>
                        </w:rPr>
                        <w:t xml:space="preserve">16. </w:t>
                      </w:r>
                    </w:p>
                  </w:txbxContent>
                </v:textbox>
              </v:shape>
            </w:pict>
          </mc:Fallback>
        </mc:AlternateContent>
      </w:r>
    </w:p>
    <w:p w14:paraId="1B002500" w14:textId="77777777" w:rsidR="00A50FCF" w:rsidRPr="00D749D5" w:rsidRDefault="00A50FCF" w:rsidP="00040C3A">
      <w:pPr>
        <w:tabs>
          <w:tab w:val="center" w:pos="5400"/>
        </w:tabs>
        <w:suppressAutoHyphens/>
        <w:jc w:val="center"/>
        <w:rPr>
          <w:rFonts w:asciiTheme="majorHAnsi" w:hAnsiTheme="majorHAnsi"/>
          <w:sz w:val="20"/>
          <w:szCs w:val="20"/>
          <w:lang w:val="es-ES"/>
        </w:rPr>
      </w:pPr>
    </w:p>
    <w:p w14:paraId="6F982CB7" w14:textId="77777777" w:rsidR="0090270B" w:rsidRPr="00D749D5" w:rsidRDefault="00D306D1" w:rsidP="005516A1">
      <w:pPr>
        <w:tabs>
          <w:tab w:val="center" w:pos="5400"/>
        </w:tabs>
        <w:suppressAutoHyphens/>
        <w:jc w:val="center"/>
        <w:rPr>
          <w:rFonts w:asciiTheme="majorHAnsi" w:hAnsiTheme="majorHAnsi"/>
          <w:b/>
          <w:sz w:val="20"/>
          <w:szCs w:val="20"/>
          <w:lang w:val="es-ES"/>
        </w:rPr>
      </w:pPr>
      <w:r w:rsidRPr="00D749D5">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431EF7F9" wp14:editId="161BE0B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8DC14" w14:textId="77777777" w:rsidR="008D5EAD" w:rsidRPr="00D72DC6" w:rsidRDefault="008D5EA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A4DDCFF" wp14:editId="0823DC7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1F8DC14" w14:textId="77777777" w:rsidR="008D5EAD" w:rsidRPr="00D72DC6" w:rsidRDefault="008D5EA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A4DDCFF" wp14:editId="0823DC7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749D5">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6890E2C" wp14:editId="12F1763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76203" w14:textId="77777777" w:rsidR="008D5EAD" w:rsidRPr="004B7EB6" w:rsidRDefault="008D5EA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3276203" w14:textId="77777777" w:rsidR="008D5EAD" w:rsidRPr="004B7EB6" w:rsidRDefault="008D5EA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BF85FC4" w14:textId="77777777" w:rsidR="0070697F" w:rsidRPr="00D749D5" w:rsidRDefault="0070697F" w:rsidP="005516A1">
      <w:pPr>
        <w:tabs>
          <w:tab w:val="center" w:pos="5400"/>
        </w:tabs>
        <w:suppressAutoHyphens/>
        <w:jc w:val="center"/>
        <w:rPr>
          <w:rFonts w:asciiTheme="majorHAnsi" w:hAnsiTheme="majorHAnsi"/>
          <w:b/>
          <w:sz w:val="20"/>
          <w:szCs w:val="20"/>
          <w:lang w:val="es-ES"/>
        </w:rPr>
        <w:sectPr w:rsidR="0070697F" w:rsidRPr="00D749D5"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27EC2A3" w14:textId="5F9CA6E9" w:rsidR="00722C9F" w:rsidRPr="00251DC1" w:rsidRDefault="00E557C6" w:rsidP="00722C9F">
      <w:pPr>
        <w:tabs>
          <w:tab w:val="center" w:pos="5400"/>
        </w:tabs>
        <w:suppressAutoHyphens/>
        <w:spacing w:line="276" w:lineRule="auto"/>
        <w:jc w:val="center"/>
        <w:rPr>
          <w:rFonts w:asciiTheme="majorHAnsi" w:hAnsiTheme="majorHAnsi"/>
          <w:b/>
          <w:sz w:val="18"/>
          <w:szCs w:val="18"/>
          <w:lang w:val="es-ES"/>
        </w:rPr>
      </w:pPr>
      <w:r>
        <w:rPr>
          <w:rFonts w:asciiTheme="majorHAnsi" w:hAnsiTheme="majorHAnsi"/>
          <w:b/>
          <w:sz w:val="18"/>
          <w:szCs w:val="18"/>
          <w:lang w:val="es-ES"/>
        </w:rPr>
        <w:lastRenderedPageBreak/>
        <w:t>INFORME No. 12</w:t>
      </w:r>
      <w:r w:rsidR="00E07D9D" w:rsidRPr="00251DC1">
        <w:rPr>
          <w:rFonts w:asciiTheme="majorHAnsi" w:hAnsiTheme="majorHAnsi"/>
          <w:b/>
          <w:sz w:val="18"/>
          <w:szCs w:val="18"/>
          <w:lang w:val="es-ES"/>
        </w:rPr>
        <w:t>/16</w:t>
      </w:r>
      <w:r w:rsidR="00363A43" w:rsidRPr="00251DC1">
        <w:rPr>
          <w:rStyle w:val="FootnoteReference"/>
          <w:rFonts w:asciiTheme="majorHAnsi" w:hAnsiTheme="majorHAnsi"/>
          <w:sz w:val="18"/>
          <w:szCs w:val="18"/>
          <w:lang w:val="es-ES_tradnl"/>
        </w:rPr>
        <w:footnoteReference w:id="2"/>
      </w:r>
    </w:p>
    <w:p w14:paraId="13FDB84A" w14:textId="2F2231CB" w:rsidR="00722C9F" w:rsidRPr="00251DC1" w:rsidRDefault="00722C9F" w:rsidP="00722C9F">
      <w:pPr>
        <w:tabs>
          <w:tab w:val="center" w:pos="5400"/>
        </w:tabs>
        <w:suppressAutoHyphens/>
        <w:spacing w:line="276" w:lineRule="auto"/>
        <w:jc w:val="center"/>
        <w:rPr>
          <w:rFonts w:asciiTheme="majorHAnsi" w:hAnsiTheme="majorHAnsi"/>
          <w:b/>
          <w:sz w:val="18"/>
          <w:szCs w:val="18"/>
          <w:lang w:val="es-ES"/>
        </w:rPr>
      </w:pPr>
      <w:r w:rsidRPr="00251DC1">
        <w:rPr>
          <w:rFonts w:asciiTheme="majorHAnsi" w:hAnsiTheme="majorHAnsi"/>
          <w:b/>
          <w:sz w:val="18"/>
          <w:szCs w:val="18"/>
          <w:lang w:val="es-ES"/>
        </w:rPr>
        <w:t xml:space="preserve">PETICIÓN </w:t>
      </w:r>
      <w:r w:rsidR="00E661D1" w:rsidRPr="00251DC1">
        <w:rPr>
          <w:rFonts w:asciiTheme="majorHAnsi" w:hAnsiTheme="majorHAnsi"/>
          <w:b/>
          <w:sz w:val="18"/>
          <w:szCs w:val="18"/>
          <w:lang w:val="es-ES"/>
        </w:rPr>
        <w:t>11.888</w:t>
      </w:r>
    </w:p>
    <w:p w14:paraId="0793B6E5" w14:textId="77777777" w:rsidR="00722C9F" w:rsidRPr="00251DC1" w:rsidRDefault="006E0457" w:rsidP="00722C9F">
      <w:pPr>
        <w:tabs>
          <w:tab w:val="center" w:pos="5400"/>
        </w:tabs>
        <w:suppressAutoHyphens/>
        <w:spacing w:line="276" w:lineRule="auto"/>
        <w:jc w:val="center"/>
        <w:rPr>
          <w:rFonts w:asciiTheme="majorHAnsi" w:hAnsiTheme="majorHAnsi"/>
          <w:sz w:val="18"/>
          <w:szCs w:val="18"/>
          <w:lang w:val="es-ES"/>
        </w:rPr>
      </w:pPr>
      <w:r w:rsidRPr="00251DC1">
        <w:rPr>
          <w:rFonts w:asciiTheme="majorHAnsi" w:hAnsiTheme="majorHAnsi"/>
          <w:sz w:val="18"/>
          <w:szCs w:val="18"/>
          <w:lang w:val="es-ES"/>
        </w:rPr>
        <w:t>INFORME DE ADMISIBILIDAD</w:t>
      </w:r>
    </w:p>
    <w:p w14:paraId="5A1224F3" w14:textId="77777777" w:rsidR="0099754E" w:rsidRPr="00251DC1" w:rsidRDefault="0099754E" w:rsidP="0099754E">
      <w:pPr>
        <w:tabs>
          <w:tab w:val="center" w:pos="5400"/>
        </w:tabs>
        <w:suppressAutoHyphens/>
        <w:spacing w:line="276" w:lineRule="auto"/>
        <w:jc w:val="center"/>
        <w:rPr>
          <w:rFonts w:asciiTheme="majorHAnsi" w:hAnsiTheme="majorHAnsi"/>
          <w:sz w:val="18"/>
          <w:szCs w:val="18"/>
          <w:lang w:val="es-ES"/>
        </w:rPr>
      </w:pPr>
      <w:r w:rsidRPr="00251DC1">
        <w:rPr>
          <w:rFonts w:asciiTheme="majorHAnsi" w:hAnsiTheme="majorHAnsi"/>
          <w:sz w:val="18"/>
          <w:szCs w:val="18"/>
          <w:lang w:val="es-ES"/>
        </w:rPr>
        <w:t>ALFREDO ACERO ARANDA Y OTROS (RED DE LA ARMADA)</w:t>
      </w:r>
    </w:p>
    <w:p w14:paraId="3D9E4926" w14:textId="77777777" w:rsidR="0070697F" w:rsidRPr="00251DC1" w:rsidRDefault="002A3729" w:rsidP="00722C9F">
      <w:pPr>
        <w:tabs>
          <w:tab w:val="center" w:pos="5400"/>
        </w:tabs>
        <w:suppressAutoHyphens/>
        <w:spacing w:line="276" w:lineRule="auto"/>
        <w:jc w:val="center"/>
        <w:rPr>
          <w:rFonts w:asciiTheme="majorHAnsi" w:hAnsiTheme="majorHAnsi"/>
          <w:sz w:val="18"/>
          <w:szCs w:val="18"/>
          <w:lang w:val="es-ES"/>
        </w:rPr>
      </w:pPr>
      <w:r w:rsidRPr="00251DC1">
        <w:rPr>
          <w:rFonts w:asciiTheme="majorHAnsi" w:hAnsiTheme="majorHAnsi"/>
          <w:sz w:val="18"/>
          <w:szCs w:val="18"/>
          <w:lang w:val="es-ES"/>
        </w:rPr>
        <w:t>COLOMBIA</w:t>
      </w:r>
    </w:p>
    <w:p w14:paraId="67D562E9" w14:textId="42C9EA03" w:rsidR="00722C9F" w:rsidRPr="00E557C6" w:rsidRDefault="00743B91" w:rsidP="00722C9F">
      <w:pPr>
        <w:tabs>
          <w:tab w:val="center" w:pos="5400"/>
        </w:tabs>
        <w:suppressAutoHyphens/>
        <w:spacing w:line="276" w:lineRule="auto"/>
        <w:jc w:val="center"/>
        <w:rPr>
          <w:rFonts w:asciiTheme="majorHAnsi" w:hAnsiTheme="majorHAnsi"/>
          <w:sz w:val="18"/>
          <w:szCs w:val="18"/>
          <w:lang w:val="es-ES"/>
        </w:rPr>
      </w:pPr>
      <w:r>
        <w:rPr>
          <w:rFonts w:asciiTheme="majorHAnsi" w:hAnsiTheme="majorHAnsi"/>
          <w:sz w:val="18"/>
          <w:szCs w:val="18"/>
          <w:lang w:val="es-ES"/>
        </w:rPr>
        <w:t>14 DE ABRIL DE 2</w:t>
      </w:r>
      <w:r w:rsidR="00E557C6">
        <w:rPr>
          <w:rFonts w:asciiTheme="majorHAnsi" w:hAnsiTheme="majorHAnsi"/>
          <w:sz w:val="18"/>
          <w:szCs w:val="18"/>
          <w:lang w:val="es-ES"/>
        </w:rPr>
        <w:t>016</w:t>
      </w:r>
    </w:p>
    <w:p w14:paraId="0040709F" w14:textId="77777777" w:rsidR="00547D7F" w:rsidRDefault="00547D7F" w:rsidP="00722C9F">
      <w:pPr>
        <w:tabs>
          <w:tab w:val="center" w:pos="5400"/>
        </w:tabs>
        <w:suppressAutoHyphens/>
        <w:spacing w:line="276" w:lineRule="auto"/>
        <w:jc w:val="center"/>
        <w:rPr>
          <w:rFonts w:asciiTheme="majorHAnsi" w:hAnsiTheme="majorHAnsi"/>
          <w:sz w:val="20"/>
          <w:szCs w:val="20"/>
          <w:lang w:val="es-ES"/>
        </w:rPr>
      </w:pPr>
    </w:p>
    <w:p w14:paraId="6668067C" w14:textId="77777777" w:rsidR="00B07009" w:rsidRPr="00D749D5" w:rsidRDefault="00B07009" w:rsidP="00722C9F">
      <w:pPr>
        <w:tabs>
          <w:tab w:val="center" w:pos="5400"/>
        </w:tabs>
        <w:suppressAutoHyphens/>
        <w:spacing w:line="276" w:lineRule="auto"/>
        <w:jc w:val="center"/>
        <w:rPr>
          <w:rFonts w:asciiTheme="majorHAnsi" w:hAnsiTheme="majorHAnsi"/>
          <w:sz w:val="20"/>
          <w:szCs w:val="20"/>
          <w:lang w:val="es-ES"/>
        </w:rPr>
      </w:pPr>
    </w:p>
    <w:p w14:paraId="432D2D6C" w14:textId="77777777" w:rsidR="0063685A" w:rsidRPr="00D749D5" w:rsidRDefault="0063685A" w:rsidP="008645D0">
      <w:pPr>
        <w:spacing w:after="240"/>
        <w:ind w:firstLine="720"/>
        <w:jc w:val="both"/>
        <w:rPr>
          <w:rFonts w:asciiTheme="majorHAnsi" w:hAnsiTheme="majorHAnsi"/>
          <w:b/>
          <w:bCs/>
          <w:sz w:val="20"/>
          <w:szCs w:val="20"/>
          <w:lang w:val="es-ES"/>
        </w:rPr>
      </w:pPr>
      <w:r w:rsidRPr="00D749D5">
        <w:rPr>
          <w:rFonts w:asciiTheme="majorHAnsi" w:hAnsiTheme="majorHAnsi"/>
          <w:b/>
          <w:bCs/>
          <w:sz w:val="20"/>
          <w:szCs w:val="20"/>
          <w:lang w:val="es-ES"/>
        </w:rPr>
        <w:t>I.</w:t>
      </w:r>
      <w:r w:rsidRPr="00D749D5">
        <w:rPr>
          <w:rFonts w:asciiTheme="majorHAnsi" w:hAnsiTheme="majorHAnsi"/>
          <w:b/>
          <w:bCs/>
          <w:sz w:val="20"/>
          <w:szCs w:val="20"/>
          <w:lang w:val="es-ES"/>
        </w:rPr>
        <w:tab/>
        <w:t>RESUMEN</w:t>
      </w:r>
    </w:p>
    <w:p w14:paraId="373461C7" w14:textId="3722CAB8" w:rsidR="008645D0" w:rsidRPr="00D749D5" w:rsidRDefault="0063685A" w:rsidP="008642E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El </w:t>
      </w:r>
      <w:r w:rsidR="0008363A" w:rsidRPr="00D749D5">
        <w:rPr>
          <w:rFonts w:asciiTheme="majorHAnsi" w:hAnsiTheme="majorHAnsi"/>
          <w:sz w:val="20"/>
          <w:szCs w:val="20"/>
          <w:lang w:val="es-ES"/>
        </w:rPr>
        <w:t>8</w:t>
      </w:r>
      <w:r w:rsidR="009C3E4C" w:rsidRPr="00D749D5">
        <w:rPr>
          <w:rFonts w:asciiTheme="majorHAnsi" w:hAnsiTheme="majorHAnsi"/>
          <w:sz w:val="20"/>
          <w:szCs w:val="20"/>
          <w:lang w:val="es-ES"/>
        </w:rPr>
        <w:t xml:space="preserve"> de octubre de 1997</w:t>
      </w:r>
      <w:r w:rsidRPr="00D749D5">
        <w:rPr>
          <w:rFonts w:asciiTheme="majorHAnsi" w:hAnsiTheme="majorHAnsi"/>
          <w:sz w:val="20"/>
          <w:szCs w:val="20"/>
          <w:lang w:val="es-ES"/>
        </w:rPr>
        <w:t xml:space="preserve"> la Comisión Interamericana de Derechos Humanos (en adelante, “la Comisión Interamericana”</w:t>
      </w:r>
      <w:r w:rsidR="00182D70" w:rsidRPr="00D749D5">
        <w:rPr>
          <w:rFonts w:asciiTheme="majorHAnsi" w:hAnsiTheme="majorHAnsi"/>
          <w:sz w:val="20"/>
          <w:szCs w:val="20"/>
          <w:lang w:val="es-ES"/>
        </w:rPr>
        <w:t>, “la Comisión”</w:t>
      </w:r>
      <w:r w:rsidRPr="00D749D5">
        <w:rPr>
          <w:rFonts w:asciiTheme="majorHAnsi" w:hAnsiTheme="majorHAnsi"/>
          <w:sz w:val="20"/>
          <w:szCs w:val="20"/>
          <w:lang w:val="es-ES"/>
        </w:rPr>
        <w:t xml:space="preserve"> o “la CIDH”) recibió una petición presentada por </w:t>
      </w:r>
      <w:r w:rsidR="008642EF" w:rsidRPr="00D749D5">
        <w:rPr>
          <w:rFonts w:asciiTheme="majorHAnsi" w:hAnsiTheme="majorHAnsi"/>
          <w:sz w:val="20"/>
          <w:szCs w:val="20"/>
          <w:lang w:val="es-ES"/>
        </w:rPr>
        <w:t>Miguel Puerto Barrera, Gustavo Gallón Giraldo y Rafael Barrios Mendivil</w:t>
      </w:r>
      <w:r w:rsidR="007A31F7" w:rsidRPr="00D749D5">
        <w:rPr>
          <w:rFonts w:asciiTheme="majorHAnsi" w:hAnsiTheme="majorHAnsi"/>
          <w:sz w:val="20"/>
          <w:szCs w:val="20"/>
          <w:lang w:val="es-ES"/>
        </w:rPr>
        <w:t>, miembros de la Corporación Colectivo de Abogados “José Alvear Restrepo” y de la Comisión Colombiana de Juristas</w:t>
      </w:r>
      <w:r w:rsidRPr="00D749D5">
        <w:rPr>
          <w:rFonts w:asciiTheme="majorHAnsi" w:hAnsiTheme="majorHAnsi"/>
          <w:sz w:val="20"/>
          <w:szCs w:val="20"/>
          <w:lang w:val="es-ES"/>
        </w:rPr>
        <w:t xml:space="preserve"> (en adelante, “</w:t>
      </w:r>
      <w:r w:rsidR="008642EF" w:rsidRPr="00D749D5">
        <w:rPr>
          <w:rFonts w:asciiTheme="majorHAnsi" w:hAnsiTheme="majorHAnsi"/>
          <w:sz w:val="20"/>
          <w:szCs w:val="20"/>
          <w:lang w:val="es-ES"/>
        </w:rPr>
        <w:t>lo</w:t>
      </w:r>
      <w:r w:rsidRPr="00D749D5">
        <w:rPr>
          <w:rFonts w:asciiTheme="majorHAnsi" w:hAnsiTheme="majorHAnsi"/>
          <w:sz w:val="20"/>
          <w:szCs w:val="20"/>
          <w:lang w:val="es-ES"/>
        </w:rPr>
        <w:t xml:space="preserve">s peticionarios”) contra </w:t>
      </w:r>
      <w:r w:rsidR="008642EF" w:rsidRPr="00D749D5">
        <w:rPr>
          <w:rFonts w:asciiTheme="majorHAnsi" w:hAnsiTheme="majorHAnsi"/>
          <w:sz w:val="20"/>
          <w:szCs w:val="20"/>
          <w:lang w:val="es-ES"/>
        </w:rPr>
        <w:t>Colombia</w:t>
      </w:r>
      <w:r w:rsidRPr="00D749D5">
        <w:rPr>
          <w:rFonts w:asciiTheme="majorHAnsi" w:hAnsiTheme="majorHAnsi"/>
          <w:sz w:val="20"/>
          <w:szCs w:val="20"/>
          <w:lang w:val="es-ES"/>
        </w:rPr>
        <w:t xml:space="preserve"> (en adelante, “</w:t>
      </w:r>
      <w:r w:rsidR="008642EF" w:rsidRPr="00D749D5">
        <w:rPr>
          <w:rFonts w:asciiTheme="majorHAnsi" w:hAnsiTheme="majorHAnsi"/>
          <w:sz w:val="20"/>
          <w:szCs w:val="20"/>
          <w:lang w:val="es-ES"/>
        </w:rPr>
        <w:t>Colombia</w:t>
      </w:r>
      <w:r w:rsidRPr="00D749D5">
        <w:rPr>
          <w:rFonts w:asciiTheme="majorHAnsi" w:hAnsiTheme="majorHAnsi"/>
          <w:sz w:val="20"/>
          <w:szCs w:val="20"/>
          <w:lang w:val="es-ES"/>
        </w:rPr>
        <w:t>” o “el Estado”). La petición fue presentada en representación de</w:t>
      </w:r>
      <w:r w:rsidRPr="00D749D5">
        <w:rPr>
          <w:rFonts w:asciiTheme="majorHAnsi" w:hAnsiTheme="majorHAnsi"/>
          <w:color w:val="00B050"/>
          <w:sz w:val="20"/>
          <w:szCs w:val="20"/>
          <w:lang w:val="es-ES"/>
        </w:rPr>
        <w:t xml:space="preserve"> </w:t>
      </w:r>
      <w:r w:rsidR="00041F58" w:rsidRPr="00D749D5">
        <w:rPr>
          <w:rFonts w:asciiTheme="majorHAnsi" w:hAnsiTheme="majorHAnsi"/>
          <w:sz w:val="20"/>
          <w:szCs w:val="20"/>
          <w:lang w:val="es-ES"/>
        </w:rPr>
        <w:t>70</w:t>
      </w:r>
      <w:r w:rsidRPr="00D749D5">
        <w:rPr>
          <w:rFonts w:asciiTheme="majorHAnsi" w:hAnsiTheme="majorHAnsi"/>
          <w:sz w:val="20"/>
          <w:szCs w:val="20"/>
          <w:lang w:val="es-ES"/>
        </w:rPr>
        <w:t xml:space="preserve"> </w:t>
      </w:r>
      <w:r w:rsidR="008642EF" w:rsidRPr="00D749D5">
        <w:rPr>
          <w:rFonts w:asciiTheme="majorHAnsi" w:hAnsiTheme="majorHAnsi"/>
          <w:sz w:val="20"/>
          <w:szCs w:val="20"/>
          <w:lang w:val="es-ES"/>
        </w:rPr>
        <w:t>personas</w:t>
      </w:r>
      <w:r w:rsidR="000F1D66">
        <w:rPr>
          <w:rStyle w:val="FootnoteReference"/>
          <w:rFonts w:asciiTheme="majorHAnsi" w:hAnsiTheme="majorHAnsi"/>
          <w:sz w:val="20"/>
          <w:szCs w:val="20"/>
          <w:lang w:val="es-ES"/>
        </w:rPr>
        <w:footnoteReference w:id="3"/>
      </w:r>
      <w:r w:rsidR="008642EF" w:rsidRPr="00D749D5">
        <w:rPr>
          <w:rFonts w:asciiTheme="majorHAnsi" w:hAnsiTheme="majorHAnsi"/>
          <w:sz w:val="20"/>
          <w:szCs w:val="20"/>
          <w:lang w:val="es-ES"/>
        </w:rPr>
        <w:t xml:space="preserve"> </w:t>
      </w:r>
      <w:r w:rsidRPr="00D749D5">
        <w:rPr>
          <w:rFonts w:asciiTheme="majorHAnsi" w:hAnsiTheme="majorHAnsi"/>
          <w:sz w:val="20"/>
          <w:szCs w:val="20"/>
          <w:lang w:val="es-ES"/>
        </w:rPr>
        <w:t>(en adelante, “la</w:t>
      </w:r>
      <w:r w:rsidR="0040771B" w:rsidRPr="00D749D5">
        <w:rPr>
          <w:rFonts w:asciiTheme="majorHAnsi" w:hAnsiTheme="majorHAnsi"/>
          <w:sz w:val="20"/>
          <w:szCs w:val="20"/>
          <w:lang w:val="es-ES"/>
        </w:rPr>
        <w:t>s</w:t>
      </w:r>
      <w:r w:rsidRPr="00D749D5">
        <w:rPr>
          <w:rFonts w:asciiTheme="majorHAnsi" w:hAnsiTheme="majorHAnsi"/>
          <w:sz w:val="20"/>
          <w:szCs w:val="20"/>
          <w:lang w:val="es-ES"/>
        </w:rPr>
        <w:t xml:space="preserve"> presunta</w:t>
      </w:r>
      <w:r w:rsidR="0040771B" w:rsidRPr="00D749D5">
        <w:rPr>
          <w:rFonts w:asciiTheme="majorHAnsi" w:hAnsiTheme="majorHAnsi"/>
          <w:sz w:val="20"/>
          <w:szCs w:val="20"/>
          <w:lang w:val="es-ES"/>
        </w:rPr>
        <w:t>s</w:t>
      </w:r>
      <w:r w:rsidRPr="00D749D5">
        <w:rPr>
          <w:rFonts w:asciiTheme="majorHAnsi" w:hAnsiTheme="majorHAnsi"/>
          <w:sz w:val="20"/>
          <w:szCs w:val="20"/>
          <w:lang w:val="es-ES"/>
        </w:rPr>
        <w:t xml:space="preserve"> víctima</w:t>
      </w:r>
      <w:r w:rsidR="0040771B" w:rsidRPr="00D749D5">
        <w:rPr>
          <w:rFonts w:asciiTheme="majorHAnsi" w:hAnsiTheme="majorHAnsi"/>
          <w:sz w:val="20"/>
          <w:szCs w:val="20"/>
          <w:lang w:val="es-ES"/>
        </w:rPr>
        <w:t>s</w:t>
      </w:r>
      <w:r w:rsidRPr="00D749D5">
        <w:rPr>
          <w:rFonts w:asciiTheme="majorHAnsi" w:hAnsiTheme="majorHAnsi"/>
          <w:sz w:val="20"/>
          <w:szCs w:val="20"/>
          <w:lang w:val="es-ES"/>
        </w:rPr>
        <w:t xml:space="preserve">”) </w:t>
      </w:r>
      <w:r w:rsidR="007E64B7">
        <w:rPr>
          <w:rFonts w:asciiTheme="majorHAnsi" w:hAnsiTheme="majorHAnsi"/>
          <w:sz w:val="20"/>
          <w:szCs w:val="20"/>
          <w:lang w:val="es-ES"/>
        </w:rPr>
        <w:t>y alega que son</w:t>
      </w:r>
      <w:r w:rsidR="00037E1F" w:rsidRPr="00D749D5">
        <w:rPr>
          <w:rFonts w:asciiTheme="majorHAnsi" w:hAnsiTheme="majorHAnsi"/>
          <w:sz w:val="20"/>
          <w:szCs w:val="20"/>
          <w:lang w:val="es-ES"/>
        </w:rPr>
        <w:t xml:space="preserve"> víctimas de ejecución extrajudicial y lesiones a la integridad </w:t>
      </w:r>
      <w:r w:rsidR="007E64B7">
        <w:rPr>
          <w:rFonts w:asciiTheme="majorHAnsi" w:hAnsiTheme="majorHAnsi"/>
          <w:sz w:val="20"/>
          <w:szCs w:val="20"/>
          <w:lang w:val="es-ES"/>
        </w:rPr>
        <w:t xml:space="preserve">personal </w:t>
      </w:r>
      <w:r w:rsidR="00037E1F" w:rsidRPr="00D749D5">
        <w:rPr>
          <w:rFonts w:asciiTheme="majorHAnsi" w:hAnsiTheme="majorHAnsi"/>
          <w:sz w:val="20"/>
          <w:szCs w:val="20"/>
          <w:lang w:val="es-ES"/>
        </w:rPr>
        <w:t>en virtud de actos cometidos por agentes estatales y particulares apoyados por funcionarios del Estado</w:t>
      </w:r>
      <w:r w:rsidRPr="00D749D5">
        <w:rPr>
          <w:rFonts w:asciiTheme="majorHAnsi" w:hAnsiTheme="majorHAnsi"/>
          <w:sz w:val="20"/>
          <w:szCs w:val="20"/>
          <w:lang w:val="es-ES"/>
        </w:rPr>
        <w:t>.</w:t>
      </w:r>
    </w:p>
    <w:p w14:paraId="3CF5658C" w14:textId="5E496F71" w:rsidR="00041F58" w:rsidRPr="00D749D5" w:rsidRDefault="00BF1180" w:rsidP="001759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D749D5">
        <w:rPr>
          <w:rFonts w:asciiTheme="majorHAnsi" w:eastAsia="SimSun" w:hAnsiTheme="majorHAnsi"/>
          <w:sz w:val="20"/>
          <w:szCs w:val="20"/>
          <w:lang w:val="es-ES"/>
        </w:rPr>
        <w:t>Lo</w:t>
      </w:r>
      <w:r w:rsidR="008E5087" w:rsidRPr="00D749D5">
        <w:rPr>
          <w:rFonts w:asciiTheme="majorHAnsi" w:eastAsia="SimSun" w:hAnsiTheme="majorHAnsi"/>
          <w:sz w:val="20"/>
          <w:szCs w:val="20"/>
          <w:lang w:val="es-ES"/>
        </w:rPr>
        <w:t>s</w:t>
      </w:r>
      <w:r w:rsidR="0063685A" w:rsidRPr="00D749D5">
        <w:rPr>
          <w:rFonts w:asciiTheme="majorHAnsi" w:eastAsia="SimSun" w:hAnsiTheme="majorHAnsi"/>
          <w:sz w:val="20"/>
          <w:szCs w:val="20"/>
          <w:lang w:val="es-ES"/>
        </w:rPr>
        <w:t xml:space="preserve"> peticionario</w:t>
      </w:r>
      <w:r w:rsidR="008E5087" w:rsidRPr="00D749D5">
        <w:rPr>
          <w:rFonts w:asciiTheme="majorHAnsi" w:eastAsia="SimSun" w:hAnsiTheme="majorHAnsi"/>
          <w:sz w:val="20"/>
          <w:szCs w:val="20"/>
          <w:lang w:val="es-ES"/>
        </w:rPr>
        <w:t>s</w:t>
      </w:r>
      <w:r w:rsidR="0063685A" w:rsidRPr="00D749D5">
        <w:rPr>
          <w:rFonts w:asciiTheme="majorHAnsi" w:eastAsia="SimSun" w:hAnsiTheme="majorHAnsi"/>
          <w:sz w:val="20"/>
          <w:szCs w:val="20"/>
          <w:lang w:val="es-ES"/>
        </w:rPr>
        <w:t xml:space="preserve"> sostiene</w:t>
      </w:r>
      <w:r w:rsidR="008E5087" w:rsidRPr="00D749D5">
        <w:rPr>
          <w:rFonts w:asciiTheme="majorHAnsi" w:eastAsia="SimSun" w:hAnsiTheme="majorHAnsi"/>
          <w:sz w:val="20"/>
          <w:szCs w:val="20"/>
          <w:lang w:val="es-ES"/>
        </w:rPr>
        <w:t>n</w:t>
      </w:r>
      <w:r w:rsidR="0063685A" w:rsidRPr="00D749D5">
        <w:rPr>
          <w:rFonts w:asciiTheme="majorHAnsi" w:eastAsia="SimSun" w:hAnsiTheme="majorHAnsi"/>
          <w:sz w:val="20"/>
          <w:szCs w:val="20"/>
          <w:lang w:val="es-ES"/>
        </w:rPr>
        <w:t xml:space="preserve"> que </w:t>
      </w:r>
      <w:r w:rsidR="00041F58" w:rsidRPr="00D749D5">
        <w:rPr>
          <w:rFonts w:asciiTheme="majorHAnsi" w:eastAsia="SimSun" w:hAnsiTheme="majorHAnsi"/>
          <w:sz w:val="20"/>
          <w:szCs w:val="20"/>
          <w:lang w:val="es-ES"/>
        </w:rPr>
        <w:t>en 1992 fueron asesinadas en Barrancabermeja</w:t>
      </w:r>
      <w:r w:rsidR="00175946" w:rsidRPr="00D749D5">
        <w:rPr>
          <w:rFonts w:asciiTheme="majorHAnsi" w:eastAsia="SimSun" w:hAnsiTheme="majorHAnsi"/>
          <w:sz w:val="20"/>
          <w:szCs w:val="20"/>
          <w:lang w:val="es-ES"/>
        </w:rPr>
        <w:t>, región del Magdalena Medio, Departamento de Santander,</w:t>
      </w:r>
      <w:r w:rsidR="00041F58" w:rsidRPr="00D749D5">
        <w:rPr>
          <w:rFonts w:asciiTheme="majorHAnsi" w:eastAsia="SimSun" w:hAnsiTheme="majorHAnsi"/>
          <w:sz w:val="20"/>
          <w:szCs w:val="20"/>
          <w:lang w:val="es-ES"/>
        </w:rPr>
        <w:t xml:space="preserve"> un centenar de personas, y varias otras resultaron heridas, producto del actuar de una red de inteligencia militar de la Armada Nacional, denominada Red No. 7,</w:t>
      </w:r>
      <w:r w:rsidR="003852D9" w:rsidRPr="00D749D5">
        <w:rPr>
          <w:rFonts w:asciiTheme="majorHAnsi" w:eastAsia="SimSun" w:hAnsiTheme="majorHAnsi"/>
          <w:sz w:val="20"/>
          <w:szCs w:val="20"/>
          <w:lang w:val="es-ES"/>
        </w:rPr>
        <w:t xml:space="preserve"> organismo que habría operado </w:t>
      </w:r>
      <w:r w:rsidR="009035A4" w:rsidRPr="00D749D5">
        <w:rPr>
          <w:rFonts w:asciiTheme="majorHAnsi" w:eastAsia="SimSun" w:hAnsiTheme="majorHAnsi"/>
          <w:sz w:val="20"/>
          <w:szCs w:val="20"/>
          <w:lang w:val="es-ES"/>
        </w:rPr>
        <w:t>con exagentes de la armada, funcionarios en servicio activo y civiles,</w:t>
      </w:r>
      <w:r w:rsidR="00041F58" w:rsidRPr="00D749D5">
        <w:rPr>
          <w:rFonts w:asciiTheme="majorHAnsi" w:eastAsia="SimSun" w:hAnsiTheme="majorHAnsi"/>
          <w:sz w:val="20"/>
          <w:szCs w:val="20"/>
          <w:lang w:val="es-ES"/>
        </w:rPr>
        <w:t xml:space="preserve"> y </w:t>
      </w:r>
      <w:r w:rsidR="009035A4" w:rsidRPr="00D749D5">
        <w:rPr>
          <w:rFonts w:asciiTheme="majorHAnsi" w:eastAsia="SimSun" w:hAnsiTheme="majorHAnsi"/>
          <w:sz w:val="20"/>
          <w:szCs w:val="20"/>
          <w:lang w:val="es-ES"/>
        </w:rPr>
        <w:t xml:space="preserve">que dentro de su accionar, </w:t>
      </w:r>
      <w:r w:rsidR="00041F58" w:rsidRPr="00D749D5">
        <w:rPr>
          <w:rFonts w:asciiTheme="majorHAnsi" w:eastAsia="SimSun" w:hAnsiTheme="majorHAnsi"/>
          <w:sz w:val="20"/>
          <w:szCs w:val="20"/>
          <w:lang w:val="es-ES"/>
        </w:rPr>
        <w:t>ejecutar</w:t>
      </w:r>
      <w:r w:rsidR="009035A4" w:rsidRPr="00D749D5">
        <w:rPr>
          <w:rFonts w:asciiTheme="majorHAnsi" w:eastAsia="SimSun" w:hAnsiTheme="majorHAnsi"/>
          <w:sz w:val="20"/>
          <w:szCs w:val="20"/>
          <w:lang w:val="es-ES"/>
        </w:rPr>
        <w:t xml:space="preserve">on </w:t>
      </w:r>
      <w:r w:rsidR="00041F58" w:rsidRPr="00D749D5">
        <w:rPr>
          <w:rFonts w:asciiTheme="majorHAnsi" w:eastAsia="SimSun" w:hAnsiTheme="majorHAnsi"/>
          <w:sz w:val="20"/>
          <w:szCs w:val="20"/>
          <w:lang w:val="es-ES"/>
        </w:rPr>
        <w:t>a diversas personas</w:t>
      </w:r>
      <w:r w:rsidR="009035A4" w:rsidRPr="00D749D5">
        <w:rPr>
          <w:rFonts w:asciiTheme="majorHAnsi" w:eastAsia="SimSun" w:hAnsiTheme="majorHAnsi"/>
          <w:sz w:val="20"/>
          <w:szCs w:val="20"/>
          <w:lang w:val="es-ES"/>
        </w:rPr>
        <w:t xml:space="preserve">, que principalmente eran </w:t>
      </w:r>
      <w:r w:rsidR="00041F58" w:rsidRPr="00D749D5">
        <w:rPr>
          <w:rFonts w:asciiTheme="majorHAnsi" w:eastAsia="SimSun" w:hAnsiTheme="majorHAnsi"/>
          <w:sz w:val="20"/>
          <w:szCs w:val="20"/>
          <w:lang w:val="es-ES"/>
        </w:rPr>
        <w:t>trabajadores sindicalizados, periodistas, líderes campesinos, personas que se dedican a la defensa de los derechos humanos, y personas consideradas disidentes políticos de izquierda</w:t>
      </w:r>
      <w:r w:rsidR="0063685A" w:rsidRPr="00D749D5">
        <w:rPr>
          <w:rFonts w:asciiTheme="majorHAnsi" w:eastAsia="SimSun" w:hAnsiTheme="majorHAnsi"/>
          <w:sz w:val="20"/>
          <w:szCs w:val="20"/>
          <w:lang w:val="es-ES"/>
        </w:rPr>
        <w:t xml:space="preserve">. </w:t>
      </w:r>
      <w:r w:rsidR="00041F58" w:rsidRPr="00D749D5">
        <w:rPr>
          <w:rFonts w:asciiTheme="majorHAnsi" w:eastAsia="SimSun" w:hAnsiTheme="majorHAnsi"/>
          <w:sz w:val="20"/>
          <w:szCs w:val="20"/>
          <w:lang w:val="es-ES"/>
        </w:rPr>
        <w:t xml:space="preserve">En este contexto, </w:t>
      </w:r>
      <w:r w:rsidR="009035A4" w:rsidRPr="00D749D5">
        <w:rPr>
          <w:rFonts w:asciiTheme="majorHAnsi" w:eastAsia="SimSun" w:hAnsiTheme="majorHAnsi"/>
          <w:sz w:val="20"/>
          <w:szCs w:val="20"/>
          <w:lang w:val="es-ES"/>
        </w:rPr>
        <w:t>denuncia</w:t>
      </w:r>
      <w:r w:rsidR="00A31696" w:rsidRPr="00D749D5">
        <w:rPr>
          <w:rFonts w:asciiTheme="majorHAnsi" w:eastAsia="SimSun" w:hAnsiTheme="majorHAnsi"/>
          <w:sz w:val="20"/>
          <w:szCs w:val="20"/>
          <w:lang w:val="es-ES"/>
        </w:rPr>
        <w:t>n</w:t>
      </w:r>
      <w:r w:rsidR="009035A4" w:rsidRPr="00D749D5">
        <w:rPr>
          <w:rFonts w:asciiTheme="majorHAnsi" w:eastAsia="SimSun" w:hAnsiTheme="majorHAnsi"/>
          <w:sz w:val="20"/>
          <w:szCs w:val="20"/>
          <w:lang w:val="es-ES"/>
        </w:rPr>
        <w:t xml:space="preserve"> los hechos vinculados a 5</w:t>
      </w:r>
      <w:r w:rsidR="000326FF">
        <w:rPr>
          <w:rFonts w:asciiTheme="majorHAnsi" w:eastAsia="SimSun" w:hAnsiTheme="majorHAnsi"/>
          <w:sz w:val="20"/>
          <w:szCs w:val="20"/>
          <w:lang w:val="es-ES"/>
        </w:rPr>
        <w:t>8</w:t>
      </w:r>
      <w:r w:rsidR="009035A4" w:rsidRPr="00D749D5">
        <w:rPr>
          <w:rFonts w:asciiTheme="majorHAnsi" w:eastAsia="SimSun" w:hAnsiTheme="majorHAnsi"/>
          <w:sz w:val="20"/>
          <w:szCs w:val="20"/>
          <w:lang w:val="es-ES"/>
        </w:rPr>
        <w:t xml:space="preserve"> </w:t>
      </w:r>
      <w:r w:rsidR="00A31696" w:rsidRPr="00D749D5">
        <w:rPr>
          <w:rFonts w:asciiTheme="majorHAnsi" w:eastAsia="SimSun" w:hAnsiTheme="majorHAnsi"/>
          <w:sz w:val="20"/>
          <w:szCs w:val="20"/>
          <w:lang w:val="es-ES"/>
        </w:rPr>
        <w:t xml:space="preserve">presuntas </w:t>
      </w:r>
      <w:r w:rsidR="009035A4" w:rsidRPr="00D749D5">
        <w:rPr>
          <w:rFonts w:asciiTheme="majorHAnsi" w:eastAsia="SimSun" w:hAnsiTheme="majorHAnsi"/>
          <w:sz w:val="20"/>
          <w:szCs w:val="20"/>
          <w:lang w:val="es-ES"/>
        </w:rPr>
        <w:t>víctimas de ejecución</w:t>
      </w:r>
      <w:r w:rsidR="007E64B7">
        <w:rPr>
          <w:rFonts w:asciiTheme="majorHAnsi" w:eastAsia="SimSun" w:hAnsiTheme="majorHAnsi"/>
          <w:sz w:val="20"/>
          <w:szCs w:val="20"/>
          <w:lang w:val="es-ES"/>
        </w:rPr>
        <w:t xml:space="preserve"> extrajudicial</w:t>
      </w:r>
      <w:r w:rsidR="000326FF">
        <w:rPr>
          <w:rFonts w:asciiTheme="majorHAnsi" w:eastAsia="SimSun" w:hAnsiTheme="majorHAnsi"/>
          <w:sz w:val="20"/>
          <w:szCs w:val="20"/>
          <w:lang w:val="es-ES"/>
        </w:rPr>
        <w:t>, y 12</w:t>
      </w:r>
      <w:r w:rsidR="00A31696" w:rsidRPr="00D749D5">
        <w:rPr>
          <w:rFonts w:asciiTheme="majorHAnsi" w:eastAsia="SimSun" w:hAnsiTheme="majorHAnsi"/>
          <w:sz w:val="20"/>
          <w:szCs w:val="20"/>
          <w:lang w:val="es-ES"/>
        </w:rPr>
        <w:t xml:space="preserve"> presuntas</w:t>
      </w:r>
      <w:r w:rsidR="009035A4" w:rsidRPr="00D749D5">
        <w:rPr>
          <w:rFonts w:asciiTheme="majorHAnsi" w:eastAsia="SimSun" w:hAnsiTheme="majorHAnsi"/>
          <w:sz w:val="20"/>
          <w:szCs w:val="20"/>
          <w:lang w:val="es-ES"/>
        </w:rPr>
        <w:t xml:space="preserve"> víctimas de tentativa de homicidio o lesiones personales. Alegan que la normativa imperante habría propiciado el accionar de este grupo, y que los hechos quedaron en impunidad, puesto que no se condujo investigaciones serías y efectivas, tendientes a esclarecer los </w:t>
      </w:r>
      <w:r w:rsidR="00A31696" w:rsidRPr="00D749D5">
        <w:rPr>
          <w:rFonts w:asciiTheme="majorHAnsi" w:eastAsia="SimSun" w:hAnsiTheme="majorHAnsi"/>
          <w:sz w:val="20"/>
          <w:szCs w:val="20"/>
          <w:lang w:val="es-ES"/>
        </w:rPr>
        <w:t>mismos</w:t>
      </w:r>
      <w:r w:rsidR="009035A4" w:rsidRPr="00D749D5">
        <w:rPr>
          <w:rFonts w:asciiTheme="majorHAnsi" w:eastAsia="SimSun" w:hAnsiTheme="majorHAnsi"/>
          <w:sz w:val="20"/>
          <w:szCs w:val="20"/>
          <w:lang w:val="es-ES"/>
        </w:rPr>
        <w:t>, determinar la verdad, sancionar a las personas responsables y repara</w:t>
      </w:r>
      <w:r w:rsidR="00A31696" w:rsidRPr="00D749D5">
        <w:rPr>
          <w:rFonts w:asciiTheme="majorHAnsi" w:eastAsia="SimSun" w:hAnsiTheme="majorHAnsi"/>
          <w:sz w:val="20"/>
          <w:szCs w:val="20"/>
          <w:lang w:val="es-ES"/>
        </w:rPr>
        <w:t>r</w:t>
      </w:r>
      <w:r w:rsidR="009035A4" w:rsidRPr="00D749D5">
        <w:rPr>
          <w:rFonts w:asciiTheme="majorHAnsi" w:eastAsia="SimSun" w:hAnsiTheme="majorHAnsi"/>
          <w:sz w:val="20"/>
          <w:szCs w:val="20"/>
          <w:lang w:val="es-ES"/>
        </w:rPr>
        <w:t xml:space="preserve"> a las víctimas y sus familiares. </w:t>
      </w:r>
    </w:p>
    <w:p w14:paraId="6F97D37A" w14:textId="73920A23" w:rsidR="0063685A" w:rsidRPr="00D749D5"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D749D5">
        <w:rPr>
          <w:rFonts w:asciiTheme="majorHAnsi" w:eastAsia="SimSun" w:hAnsiTheme="majorHAnsi"/>
          <w:sz w:val="20"/>
          <w:szCs w:val="20"/>
          <w:lang w:val="es-ES"/>
        </w:rPr>
        <w:t xml:space="preserve">Por su parte el Estado señala que </w:t>
      </w:r>
      <w:r w:rsidR="00284717" w:rsidRPr="00D749D5">
        <w:rPr>
          <w:rFonts w:asciiTheme="majorHAnsi" w:eastAsia="SimSun" w:hAnsiTheme="majorHAnsi"/>
          <w:sz w:val="20"/>
          <w:szCs w:val="20"/>
          <w:lang w:val="es-ES"/>
        </w:rPr>
        <w:t>ha dado cumplimiento a sus obligaciones internacionales, y que los procedimientos internos condujeron a la sanción de los responsables</w:t>
      </w:r>
      <w:r w:rsidRPr="00D749D5">
        <w:rPr>
          <w:rFonts w:asciiTheme="majorHAnsi" w:eastAsia="SimSun" w:hAnsiTheme="majorHAnsi"/>
          <w:sz w:val="20"/>
          <w:szCs w:val="20"/>
          <w:lang w:val="es-ES"/>
        </w:rPr>
        <w:t>.</w:t>
      </w:r>
      <w:r w:rsidR="00284717" w:rsidRPr="00D749D5">
        <w:rPr>
          <w:rFonts w:asciiTheme="majorHAnsi" w:eastAsia="SimSun" w:hAnsiTheme="majorHAnsi"/>
          <w:sz w:val="20"/>
          <w:szCs w:val="20"/>
          <w:lang w:val="es-ES"/>
        </w:rPr>
        <w:t xml:space="preserve"> Además, sostiene que lo que se pretende con la denuncia es que la Comisión actúe como tribunal de cuarta instancia, y</w:t>
      </w:r>
      <w:r w:rsidR="00F1350F" w:rsidRPr="00D749D5">
        <w:rPr>
          <w:rFonts w:asciiTheme="majorHAnsi" w:eastAsia="SimSun" w:hAnsiTheme="majorHAnsi"/>
          <w:sz w:val="20"/>
          <w:szCs w:val="20"/>
          <w:lang w:val="es-ES"/>
        </w:rPr>
        <w:t xml:space="preserve"> esgrime</w:t>
      </w:r>
      <w:r w:rsidR="00284717" w:rsidRPr="00D749D5">
        <w:rPr>
          <w:rFonts w:asciiTheme="majorHAnsi" w:eastAsia="SimSun" w:hAnsiTheme="majorHAnsi"/>
          <w:sz w:val="20"/>
          <w:szCs w:val="20"/>
          <w:lang w:val="es-ES"/>
        </w:rPr>
        <w:t xml:space="preserve"> que los </w:t>
      </w:r>
      <w:r w:rsidR="00284717" w:rsidRPr="00D749D5">
        <w:rPr>
          <w:rFonts w:asciiTheme="majorHAnsi" w:eastAsia="SimSun" w:hAnsiTheme="majorHAnsi"/>
          <w:sz w:val="20"/>
          <w:szCs w:val="20"/>
          <w:lang w:val="es-ES"/>
        </w:rPr>
        <w:lastRenderedPageBreak/>
        <w:t>hechos no caracterizan violacione</w:t>
      </w:r>
      <w:r w:rsidR="00F1350F" w:rsidRPr="00D749D5">
        <w:rPr>
          <w:rFonts w:asciiTheme="majorHAnsi" w:eastAsia="SimSun" w:hAnsiTheme="majorHAnsi"/>
          <w:sz w:val="20"/>
          <w:szCs w:val="20"/>
          <w:lang w:val="es-ES"/>
        </w:rPr>
        <w:t>s convencionales, puesto que lo</w:t>
      </w:r>
      <w:r w:rsidR="00284717" w:rsidRPr="00D749D5">
        <w:rPr>
          <w:rFonts w:asciiTheme="majorHAnsi" w:eastAsia="SimSun" w:hAnsiTheme="majorHAnsi"/>
          <w:sz w:val="20"/>
          <w:szCs w:val="20"/>
          <w:lang w:val="es-ES"/>
        </w:rPr>
        <w:t xml:space="preserve">s </w:t>
      </w:r>
      <w:r w:rsidR="00F1350F" w:rsidRPr="00D749D5">
        <w:rPr>
          <w:rFonts w:asciiTheme="majorHAnsi" w:eastAsia="SimSun" w:hAnsiTheme="majorHAnsi"/>
          <w:sz w:val="20"/>
          <w:szCs w:val="20"/>
          <w:lang w:val="es-ES"/>
        </w:rPr>
        <w:t>peticionarios</w:t>
      </w:r>
      <w:r w:rsidR="00284717" w:rsidRPr="00D749D5">
        <w:rPr>
          <w:rFonts w:asciiTheme="majorHAnsi" w:eastAsia="SimSun" w:hAnsiTheme="majorHAnsi"/>
          <w:sz w:val="20"/>
          <w:szCs w:val="20"/>
          <w:lang w:val="es-ES"/>
        </w:rPr>
        <w:t xml:space="preserve"> no prueban el nexo causal entre los hechos alegados y el presunto </w:t>
      </w:r>
      <w:r w:rsidR="00F1350F" w:rsidRPr="00D749D5">
        <w:rPr>
          <w:rFonts w:asciiTheme="majorHAnsi" w:eastAsia="SimSun" w:hAnsiTheme="majorHAnsi"/>
          <w:sz w:val="20"/>
          <w:szCs w:val="20"/>
          <w:lang w:val="es-ES"/>
        </w:rPr>
        <w:t>contexto</w:t>
      </w:r>
      <w:r w:rsidR="007E64B7">
        <w:rPr>
          <w:rFonts w:asciiTheme="majorHAnsi" w:eastAsia="SimSun" w:hAnsiTheme="majorHAnsi"/>
          <w:sz w:val="20"/>
          <w:szCs w:val="20"/>
          <w:lang w:val="es-ES"/>
        </w:rPr>
        <w:t xml:space="preserve"> que denunciaron</w:t>
      </w:r>
      <w:r w:rsidR="00F1350F" w:rsidRPr="00D749D5">
        <w:rPr>
          <w:rFonts w:asciiTheme="majorHAnsi" w:eastAsia="SimSun" w:hAnsiTheme="majorHAnsi"/>
          <w:sz w:val="20"/>
          <w:szCs w:val="20"/>
          <w:lang w:val="es-ES"/>
        </w:rPr>
        <w:t>.</w:t>
      </w:r>
    </w:p>
    <w:p w14:paraId="3FF5259A" w14:textId="525F703B" w:rsidR="005D4A5B" w:rsidRPr="00001C6A" w:rsidRDefault="0063685A" w:rsidP="005D4A5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eastAsia="SimSun" w:hAnsiTheme="majorHAnsi"/>
          <w:sz w:val="20"/>
          <w:szCs w:val="20"/>
          <w:lang w:val="es-ES"/>
        </w:rPr>
        <w:t xml:space="preserve">Sin prejuzgar sobre el fondo de la denuncia, tras analizar las posiciones de las partes y en cumplimiento de los requisitos previstos en los </w:t>
      </w:r>
      <w:r w:rsidR="009C61A8" w:rsidRPr="00D749D5">
        <w:rPr>
          <w:rFonts w:asciiTheme="majorHAnsi" w:eastAsia="SimSun" w:hAnsiTheme="majorHAnsi"/>
          <w:sz w:val="20"/>
          <w:szCs w:val="20"/>
          <w:lang w:val="es-ES"/>
        </w:rPr>
        <w:t xml:space="preserve">artículos </w:t>
      </w:r>
      <w:r w:rsidR="00056B8A" w:rsidRPr="00D749D5">
        <w:rPr>
          <w:rFonts w:asciiTheme="majorHAnsi" w:eastAsia="SimSun" w:hAnsiTheme="majorHAnsi"/>
          <w:sz w:val="20"/>
          <w:szCs w:val="20"/>
          <w:lang w:val="es-ES"/>
        </w:rPr>
        <w:t>46 y 47 de la Convención Americana sobre Derechos Humanos (en adelante, “Convención Americana” o “Convención”)</w:t>
      </w:r>
      <w:r w:rsidR="00AE61D2" w:rsidRPr="00D749D5">
        <w:rPr>
          <w:rFonts w:asciiTheme="majorHAnsi" w:eastAsia="SimSun" w:hAnsiTheme="majorHAnsi"/>
          <w:sz w:val="20"/>
          <w:szCs w:val="20"/>
          <w:lang w:val="es-ES"/>
        </w:rPr>
        <w:t>,</w:t>
      </w:r>
      <w:r w:rsidR="00056B8A" w:rsidRPr="00D749D5">
        <w:rPr>
          <w:rFonts w:asciiTheme="majorHAnsi" w:eastAsia="SimSun" w:hAnsiTheme="majorHAnsi"/>
          <w:sz w:val="20"/>
          <w:szCs w:val="20"/>
          <w:lang w:val="es-ES"/>
        </w:rPr>
        <w:t xml:space="preserve"> la Comisión decide declarar </w:t>
      </w:r>
      <w:r w:rsidR="008144B3" w:rsidRPr="00D749D5">
        <w:rPr>
          <w:rFonts w:asciiTheme="majorHAnsi" w:eastAsia="SimSun" w:hAnsiTheme="majorHAnsi"/>
          <w:sz w:val="20"/>
          <w:szCs w:val="20"/>
          <w:lang w:val="es-ES"/>
        </w:rPr>
        <w:t>la petición</w:t>
      </w:r>
      <w:r w:rsidR="00056B8A" w:rsidRPr="00D749D5">
        <w:rPr>
          <w:rFonts w:asciiTheme="majorHAnsi" w:eastAsia="SimSun" w:hAnsiTheme="majorHAnsi"/>
          <w:sz w:val="20"/>
          <w:szCs w:val="20"/>
          <w:lang w:val="es-ES"/>
        </w:rPr>
        <w:t xml:space="preserve"> admisible a efectos del examen de los alegatos relativos a la presunta violación de los derechos consagrados en los artículos </w:t>
      </w:r>
      <w:r w:rsidR="00F1350F" w:rsidRPr="00D749D5">
        <w:rPr>
          <w:rFonts w:asciiTheme="majorHAnsi" w:eastAsia="SimSun" w:hAnsiTheme="majorHAnsi"/>
          <w:sz w:val="20"/>
          <w:szCs w:val="20"/>
          <w:lang w:val="es-ES"/>
        </w:rPr>
        <w:t>4 (derecho a la vida), artículo 5 (derecho a la integridad</w:t>
      </w:r>
      <w:r w:rsidR="00F75AC2" w:rsidRPr="00D749D5">
        <w:rPr>
          <w:rFonts w:asciiTheme="majorHAnsi" w:eastAsia="SimSun" w:hAnsiTheme="majorHAnsi"/>
          <w:sz w:val="20"/>
          <w:szCs w:val="20"/>
          <w:lang w:val="es-ES"/>
        </w:rPr>
        <w:t xml:space="preserve"> personal</w:t>
      </w:r>
      <w:r w:rsidR="00F1350F" w:rsidRPr="00D749D5">
        <w:rPr>
          <w:rFonts w:asciiTheme="majorHAnsi" w:eastAsia="SimSun" w:hAnsiTheme="majorHAnsi"/>
          <w:sz w:val="20"/>
          <w:szCs w:val="20"/>
          <w:lang w:val="es-ES"/>
        </w:rPr>
        <w:t>), artículo 8 (garantías judiciales), artículo 13 (libertad de pensamiento y expresión), artículo 16 (libertad de asociación) artículo 19 (derechos del niño), artículo 25 (protección judicial),</w:t>
      </w:r>
      <w:r w:rsidR="00001C6A">
        <w:rPr>
          <w:rFonts w:asciiTheme="majorHAnsi" w:eastAsia="SimSun" w:hAnsiTheme="majorHAnsi"/>
          <w:sz w:val="20"/>
          <w:szCs w:val="20"/>
          <w:lang w:val="es-ES"/>
        </w:rPr>
        <w:t xml:space="preserve"> </w:t>
      </w:r>
      <w:r w:rsidR="00F1350F" w:rsidRPr="00D749D5">
        <w:rPr>
          <w:rFonts w:asciiTheme="majorHAnsi" w:eastAsia="SimSun" w:hAnsiTheme="majorHAnsi"/>
          <w:sz w:val="20"/>
          <w:szCs w:val="20"/>
          <w:lang w:val="es-ES"/>
        </w:rPr>
        <w:t>todos en conexión con las obligaciones estipuladas en los artículos 1.1 (obligación de respetar los derechos) y 2 (deber de adoptar disposiciones de derecho interno)</w:t>
      </w:r>
      <w:r w:rsidR="00056B8A" w:rsidRPr="00D749D5">
        <w:rPr>
          <w:rFonts w:asciiTheme="majorHAnsi" w:eastAsia="SimSun" w:hAnsiTheme="majorHAnsi"/>
          <w:sz w:val="20"/>
          <w:szCs w:val="20"/>
          <w:lang w:val="es-ES"/>
        </w:rPr>
        <w:t xml:space="preserve"> de</w:t>
      </w:r>
      <w:r w:rsidR="00F1350F" w:rsidRPr="00D749D5">
        <w:rPr>
          <w:rFonts w:asciiTheme="majorHAnsi" w:eastAsia="SimSun" w:hAnsiTheme="majorHAnsi"/>
          <w:sz w:val="20"/>
          <w:szCs w:val="20"/>
          <w:lang w:val="es-ES"/>
        </w:rPr>
        <w:t xml:space="preserve"> la Convención Americana</w:t>
      </w:r>
      <w:r w:rsidR="00056B8A" w:rsidRPr="00D749D5">
        <w:rPr>
          <w:rFonts w:asciiTheme="majorHAnsi" w:eastAsia="SimSun" w:hAnsiTheme="majorHAnsi"/>
          <w:sz w:val="20"/>
          <w:szCs w:val="20"/>
          <w:lang w:val="es-ES"/>
        </w:rPr>
        <w:t>. La Comisión decide además notificar esta decisión a las partes, publicarla e incluirla en su Informe Anual para la Asamblea General de la</w:t>
      </w:r>
      <w:r w:rsidR="00056B8A" w:rsidRPr="00D749D5">
        <w:rPr>
          <w:rFonts w:asciiTheme="majorHAnsi" w:hAnsiTheme="majorHAnsi"/>
          <w:sz w:val="20"/>
          <w:szCs w:val="20"/>
          <w:lang w:val="es-ES"/>
        </w:rPr>
        <w:t xml:space="preserve"> OEA.</w:t>
      </w:r>
      <w:r w:rsidR="00F36663" w:rsidRPr="00D749D5">
        <w:rPr>
          <w:rFonts w:asciiTheme="majorHAnsi" w:hAnsiTheme="majorHAnsi"/>
          <w:sz w:val="20"/>
          <w:szCs w:val="20"/>
          <w:lang w:val="es-ES"/>
        </w:rPr>
        <w:t xml:space="preserve"> </w:t>
      </w:r>
    </w:p>
    <w:p w14:paraId="3819283E" w14:textId="322E7B00" w:rsidR="0063685A" w:rsidRPr="00D749D5" w:rsidRDefault="0073497E" w:rsidP="008645D0">
      <w:pPr>
        <w:spacing w:after="240"/>
        <w:ind w:firstLine="720"/>
        <w:jc w:val="both"/>
        <w:rPr>
          <w:rFonts w:asciiTheme="majorHAnsi" w:hAnsiTheme="majorHAnsi"/>
          <w:b/>
          <w:bCs/>
          <w:sz w:val="20"/>
          <w:szCs w:val="20"/>
          <w:lang w:val="es-ES"/>
        </w:rPr>
      </w:pPr>
      <w:r>
        <w:rPr>
          <w:rFonts w:asciiTheme="majorHAnsi" w:hAnsiTheme="majorHAnsi"/>
          <w:b/>
          <w:bCs/>
          <w:sz w:val="20"/>
          <w:szCs w:val="20"/>
          <w:lang w:val="es-ES"/>
        </w:rPr>
        <w:t>II</w:t>
      </w:r>
      <w:r w:rsidR="007561F3">
        <w:rPr>
          <w:rFonts w:asciiTheme="majorHAnsi" w:hAnsiTheme="majorHAnsi"/>
          <w:b/>
          <w:bCs/>
          <w:sz w:val="20"/>
          <w:szCs w:val="20"/>
          <w:lang w:val="es-ES"/>
        </w:rPr>
        <w:t>.</w:t>
      </w:r>
      <w:r w:rsidR="007561F3">
        <w:rPr>
          <w:rFonts w:asciiTheme="majorHAnsi" w:hAnsiTheme="majorHAnsi"/>
          <w:b/>
          <w:bCs/>
          <w:sz w:val="20"/>
          <w:szCs w:val="20"/>
          <w:lang w:val="es-ES"/>
        </w:rPr>
        <w:tab/>
      </w:r>
      <w:r w:rsidR="0063685A" w:rsidRPr="00D749D5">
        <w:rPr>
          <w:rFonts w:asciiTheme="majorHAnsi" w:hAnsiTheme="majorHAnsi"/>
          <w:b/>
          <w:bCs/>
          <w:sz w:val="20"/>
          <w:szCs w:val="20"/>
          <w:lang w:val="es-ES"/>
        </w:rPr>
        <w:t>TRÁMITE ANTE LA CIDH</w:t>
      </w:r>
    </w:p>
    <w:p w14:paraId="3829AE89" w14:textId="77777777" w:rsidR="0063685A" w:rsidRPr="00D749D5"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La CIDH recibió la petición el </w:t>
      </w:r>
      <w:r w:rsidR="004E5F59" w:rsidRPr="00D749D5">
        <w:rPr>
          <w:rFonts w:asciiTheme="majorHAnsi" w:hAnsiTheme="majorHAnsi"/>
          <w:sz w:val="20"/>
          <w:szCs w:val="20"/>
          <w:lang w:val="es-ES"/>
        </w:rPr>
        <w:t>8 de octubre de 1997</w:t>
      </w:r>
      <w:r w:rsidRPr="00D749D5">
        <w:rPr>
          <w:rFonts w:asciiTheme="majorHAnsi" w:hAnsiTheme="majorHAnsi"/>
          <w:sz w:val="20"/>
          <w:szCs w:val="20"/>
          <w:lang w:val="es-ES"/>
        </w:rPr>
        <w:t xml:space="preserve"> y transmitió copia de las partes pertinentes al Estado</w:t>
      </w:r>
      <w:r w:rsidR="00017DF0" w:rsidRPr="00D749D5">
        <w:rPr>
          <w:rFonts w:asciiTheme="majorHAnsi" w:hAnsiTheme="majorHAnsi"/>
          <w:sz w:val="20"/>
          <w:szCs w:val="20"/>
          <w:lang w:val="es-ES"/>
        </w:rPr>
        <w:t xml:space="preserve"> el </w:t>
      </w:r>
      <w:r w:rsidR="004E5F59" w:rsidRPr="00D749D5">
        <w:rPr>
          <w:rFonts w:asciiTheme="majorHAnsi" w:hAnsiTheme="majorHAnsi"/>
          <w:sz w:val="20"/>
          <w:szCs w:val="20"/>
          <w:lang w:val="es-ES"/>
        </w:rPr>
        <w:t>17 de marzo de 1998</w:t>
      </w:r>
      <w:r w:rsidR="00017DF0" w:rsidRPr="00D749D5">
        <w:rPr>
          <w:rFonts w:asciiTheme="majorHAnsi" w:hAnsiTheme="majorHAnsi"/>
          <w:sz w:val="20"/>
          <w:szCs w:val="20"/>
          <w:lang w:val="es-ES"/>
        </w:rPr>
        <w:t>,</w:t>
      </w:r>
      <w:r w:rsidRPr="00D749D5">
        <w:rPr>
          <w:rFonts w:asciiTheme="majorHAnsi" w:hAnsiTheme="majorHAnsi"/>
          <w:sz w:val="20"/>
          <w:szCs w:val="20"/>
          <w:lang w:val="es-ES"/>
        </w:rPr>
        <w:t xml:space="preserve"> otorgándole un plazo de </w:t>
      </w:r>
      <w:r w:rsidR="004A1BE0" w:rsidRPr="00D749D5">
        <w:rPr>
          <w:rFonts w:asciiTheme="majorHAnsi" w:hAnsiTheme="majorHAnsi"/>
          <w:sz w:val="20"/>
          <w:szCs w:val="20"/>
          <w:lang w:val="es-ES"/>
        </w:rPr>
        <w:t>tres meses</w:t>
      </w:r>
      <w:r w:rsidRPr="00D749D5">
        <w:rPr>
          <w:rFonts w:asciiTheme="majorHAnsi" w:hAnsiTheme="majorHAnsi"/>
          <w:sz w:val="20"/>
          <w:szCs w:val="20"/>
          <w:lang w:val="es-ES"/>
        </w:rPr>
        <w:t xml:space="preserve"> para someter sus observaciones</w:t>
      </w:r>
      <w:r w:rsidR="00057DD7" w:rsidRPr="00D749D5">
        <w:rPr>
          <w:rFonts w:asciiTheme="majorHAnsi" w:hAnsiTheme="majorHAnsi"/>
          <w:sz w:val="20"/>
          <w:szCs w:val="20"/>
          <w:lang w:val="es-ES"/>
        </w:rPr>
        <w:t xml:space="preserve">, con base en el artículo </w:t>
      </w:r>
      <w:r w:rsidR="007718B5" w:rsidRPr="00D749D5">
        <w:rPr>
          <w:rFonts w:asciiTheme="majorHAnsi" w:hAnsiTheme="majorHAnsi"/>
          <w:sz w:val="20"/>
          <w:szCs w:val="20"/>
          <w:lang w:val="es-ES"/>
        </w:rPr>
        <w:t>31</w:t>
      </w:r>
      <w:r w:rsidR="00057DD7" w:rsidRPr="00D749D5">
        <w:rPr>
          <w:rFonts w:asciiTheme="majorHAnsi" w:hAnsiTheme="majorHAnsi"/>
          <w:color w:val="0070C0"/>
          <w:sz w:val="20"/>
          <w:szCs w:val="20"/>
          <w:lang w:val="es-ES"/>
        </w:rPr>
        <w:t xml:space="preserve"> </w:t>
      </w:r>
      <w:r w:rsidR="00057DD7" w:rsidRPr="00D749D5">
        <w:rPr>
          <w:rFonts w:asciiTheme="majorHAnsi" w:hAnsiTheme="majorHAnsi"/>
          <w:sz w:val="20"/>
          <w:szCs w:val="20"/>
          <w:lang w:val="es-ES"/>
        </w:rPr>
        <w:t>de su Reglamento entonces en vigor</w:t>
      </w:r>
      <w:r w:rsidRPr="00D749D5">
        <w:rPr>
          <w:rFonts w:asciiTheme="majorHAnsi" w:hAnsiTheme="majorHAnsi"/>
          <w:sz w:val="20"/>
          <w:szCs w:val="20"/>
          <w:lang w:val="es-ES"/>
        </w:rPr>
        <w:t xml:space="preserve">. </w:t>
      </w:r>
      <w:r w:rsidRPr="00D749D5">
        <w:rPr>
          <w:rFonts w:asciiTheme="majorHAnsi" w:hAnsiTheme="majorHAnsi"/>
          <w:bCs/>
          <w:sz w:val="20"/>
          <w:szCs w:val="20"/>
          <w:lang w:val="es-ES"/>
        </w:rPr>
        <w:t xml:space="preserve">El </w:t>
      </w:r>
      <w:r w:rsidR="00B96039" w:rsidRPr="00D749D5">
        <w:rPr>
          <w:rFonts w:asciiTheme="majorHAnsi" w:hAnsiTheme="majorHAnsi"/>
          <w:sz w:val="20"/>
          <w:szCs w:val="20"/>
          <w:lang w:val="es-ES"/>
        </w:rPr>
        <w:t>23 de julio de 1998</w:t>
      </w:r>
      <w:r w:rsidRPr="00D749D5">
        <w:rPr>
          <w:rFonts w:asciiTheme="majorHAnsi" w:hAnsiTheme="majorHAnsi"/>
          <w:bCs/>
          <w:sz w:val="20"/>
          <w:szCs w:val="20"/>
          <w:lang w:val="es-ES"/>
        </w:rPr>
        <w:t xml:space="preserve"> se recibió la respuesta del Estado</w:t>
      </w:r>
      <w:r w:rsidRPr="00D749D5">
        <w:rPr>
          <w:rFonts w:asciiTheme="majorHAnsi" w:hAnsiTheme="majorHAnsi"/>
          <w:color w:val="000000"/>
          <w:sz w:val="20"/>
          <w:szCs w:val="20"/>
          <w:lang w:val="es-ES"/>
        </w:rPr>
        <w:t xml:space="preserve">, </w:t>
      </w:r>
      <w:r w:rsidR="00057DD7" w:rsidRPr="00D749D5">
        <w:rPr>
          <w:rFonts w:asciiTheme="majorHAnsi" w:hAnsiTheme="majorHAnsi"/>
          <w:color w:val="000000"/>
          <w:sz w:val="20"/>
          <w:szCs w:val="20"/>
          <w:lang w:val="es-ES"/>
        </w:rPr>
        <w:t xml:space="preserve">la cual fue trasladada </w:t>
      </w:r>
      <w:r w:rsidR="00B96039" w:rsidRPr="00D749D5">
        <w:rPr>
          <w:rFonts w:asciiTheme="majorHAnsi" w:hAnsiTheme="majorHAnsi"/>
          <w:color w:val="000000"/>
          <w:sz w:val="20"/>
          <w:szCs w:val="20"/>
          <w:lang w:val="es-ES"/>
        </w:rPr>
        <w:t xml:space="preserve">a </w:t>
      </w:r>
      <w:r w:rsidR="00057DD7" w:rsidRPr="00D749D5">
        <w:rPr>
          <w:rFonts w:asciiTheme="majorHAnsi" w:hAnsiTheme="majorHAnsi"/>
          <w:color w:val="000000"/>
          <w:sz w:val="20"/>
          <w:szCs w:val="20"/>
          <w:lang w:val="es-ES"/>
        </w:rPr>
        <w:t>l</w:t>
      </w:r>
      <w:r w:rsidR="00B96039" w:rsidRPr="00D749D5">
        <w:rPr>
          <w:rFonts w:asciiTheme="majorHAnsi" w:hAnsiTheme="majorHAnsi"/>
          <w:color w:val="000000"/>
          <w:sz w:val="20"/>
          <w:szCs w:val="20"/>
          <w:lang w:val="es-ES"/>
        </w:rPr>
        <w:t>o</w:t>
      </w:r>
      <w:r w:rsidR="00057DD7" w:rsidRPr="00D749D5">
        <w:rPr>
          <w:rFonts w:asciiTheme="majorHAnsi" w:hAnsiTheme="majorHAnsi"/>
          <w:color w:val="000000"/>
          <w:sz w:val="20"/>
          <w:szCs w:val="20"/>
          <w:lang w:val="es-ES"/>
        </w:rPr>
        <w:t>s</w:t>
      </w:r>
      <w:r w:rsidRPr="00D749D5">
        <w:rPr>
          <w:rFonts w:asciiTheme="majorHAnsi" w:hAnsiTheme="majorHAnsi"/>
          <w:color w:val="000000"/>
          <w:sz w:val="20"/>
          <w:szCs w:val="20"/>
          <w:lang w:val="es-ES"/>
        </w:rPr>
        <w:t xml:space="preserve"> </w:t>
      </w:r>
      <w:r w:rsidR="005F7C3D" w:rsidRPr="00D749D5">
        <w:rPr>
          <w:rFonts w:asciiTheme="majorHAnsi" w:hAnsiTheme="majorHAnsi"/>
          <w:color w:val="000000"/>
          <w:sz w:val="20"/>
          <w:szCs w:val="20"/>
          <w:lang w:val="es-ES"/>
        </w:rPr>
        <w:t>peticionario</w:t>
      </w:r>
      <w:r w:rsidR="00057DD7" w:rsidRPr="00D749D5">
        <w:rPr>
          <w:rFonts w:asciiTheme="majorHAnsi" w:hAnsiTheme="majorHAnsi"/>
          <w:color w:val="000000"/>
          <w:sz w:val="20"/>
          <w:szCs w:val="20"/>
          <w:lang w:val="es-ES"/>
        </w:rPr>
        <w:t>s</w:t>
      </w:r>
      <w:r w:rsidRPr="00D749D5">
        <w:rPr>
          <w:rFonts w:asciiTheme="majorHAnsi" w:hAnsiTheme="majorHAnsi"/>
          <w:color w:val="000000"/>
          <w:sz w:val="20"/>
          <w:szCs w:val="20"/>
          <w:lang w:val="es-ES"/>
        </w:rPr>
        <w:t xml:space="preserve"> el </w:t>
      </w:r>
      <w:r w:rsidR="00B96039" w:rsidRPr="00D749D5">
        <w:rPr>
          <w:rFonts w:asciiTheme="majorHAnsi" w:hAnsiTheme="majorHAnsi"/>
          <w:sz w:val="20"/>
          <w:szCs w:val="20"/>
          <w:lang w:val="es-ES"/>
        </w:rPr>
        <w:t>3 de agosto de 1998</w:t>
      </w:r>
      <w:r w:rsidRPr="00D749D5">
        <w:rPr>
          <w:rFonts w:asciiTheme="majorHAnsi" w:hAnsiTheme="majorHAnsi"/>
          <w:bCs/>
          <w:sz w:val="20"/>
          <w:szCs w:val="20"/>
          <w:lang w:val="es-ES"/>
        </w:rPr>
        <w:t>.</w:t>
      </w:r>
    </w:p>
    <w:p w14:paraId="67D89080" w14:textId="77777777" w:rsidR="0073497E" w:rsidRDefault="001C1CB1"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La CIDH reiteró</w:t>
      </w:r>
      <w:r w:rsidR="006F4B54" w:rsidRPr="00D749D5">
        <w:rPr>
          <w:rFonts w:asciiTheme="majorHAnsi" w:hAnsiTheme="majorHAnsi"/>
          <w:sz w:val="20"/>
          <w:szCs w:val="20"/>
          <w:lang w:val="es-ES"/>
        </w:rPr>
        <w:t xml:space="preserve"> la solicitud de información</w:t>
      </w:r>
      <w:r w:rsidR="00020955" w:rsidRPr="00D749D5">
        <w:rPr>
          <w:rFonts w:asciiTheme="majorHAnsi" w:hAnsiTheme="majorHAnsi"/>
          <w:sz w:val="20"/>
          <w:szCs w:val="20"/>
          <w:lang w:val="es-ES"/>
        </w:rPr>
        <w:t xml:space="preserve"> a los peticionarios el 19</w:t>
      </w:r>
      <w:r w:rsidR="006F4B54" w:rsidRPr="00D749D5">
        <w:rPr>
          <w:rFonts w:asciiTheme="majorHAnsi" w:hAnsiTheme="majorHAnsi"/>
          <w:sz w:val="20"/>
          <w:szCs w:val="20"/>
          <w:lang w:val="es-ES"/>
        </w:rPr>
        <w:t xml:space="preserve"> de diciembre del año 2000. </w:t>
      </w:r>
      <w:r w:rsidR="00020955" w:rsidRPr="00D749D5">
        <w:rPr>
          <w:rFonts w:asciiTheme="majorHAnsi" w:hAnsiTheme="majorHAnsi"/>
          <w:sz w:val="20"/>
          <w:szCs w:val="20"/>
          <w:lang w:val="es-ES"/>
        </w:rPr>
        <w:t>El 17 d</w:t>
      </w:r>
      <w:r w:rsidR="00072B70" w:rsidRPr="00D749D5">
        <w:rPr>
          <w:rFonts w:asciiTheme="majorHAnsi" w:hAnsiTheme="majorHAnsi"/>
          <w:sz w:val="20"/>
          <w:szCs w:val="20"/>
          <w:lang w:val="es-ES"/>
        </w:rPr>
        <w:t>e abril de 2009 la CIDH solicitó</w:t>
      </w:r>
      <w:r w:rsidR="00020955" w:rsidRPr="00D749D5">
        <w:rPr>
          <w:rFonts w:asciiTheme="majorHAnsi" w:hAnsiTheme="majorHAnsi"/>
          <w:sz w:val="20"/>
          <w:szCs w:val="20"/>
          <w:lang w:val="es-ES"/>
        </w:rPr>
        <w:t xml:space="preserve"> a las partes información actualizada conforme al artículo 30.5 del Reglamento entonces vigente. </w:t>
      </w:r>
      <w:r w:rsidR="00741A94" w:rsidRPr="00D749D5">
        <w:rPr>
          <w:rFonts w:asciiTheme="majorHAnsi" w:hAnsiTheme="majorHAnsi"/>
          <w:sz w:val="20"/>
          <w:szCs w:val="20"/>
          <w:lang w:val="es-ES"/>
        </w:rPr>
        <w:t>E</w:t>
      </w:r>
      <w:r w:rsidR="0063685A" w:rsidRPr="00D749D5">
        <w:rPr>
          <w:rFonts w:asciiTheme="majorHAnsi" w:hAnsiTheme="majorHAnsi"/>
          <w:sz w:val="20"/>
          <w:szCs w:val="20"/>
          <w:lang w:val="es-ES"/>
        </w:rPr>
        <w:t>l Estado remitió observaciones adicionales el</w:t>
      </w:r>
      <w:r w:rsidR="008144B3" w:rsidRPr="00D749D5">
        <w:rPr>
          <w:rFonts w:asciiTheme="majorHAnsi" w:hAnsiTheme="majorHAnsi"/>
          <w:sz w:val="20"/>
          <w:szCs w:val="20"/>
          <w:lang w:val="es-ES"/>
        </w:rPr>
        <w:t xml:space="preserve"> </w:t>
      </w:r>
      <w:r w:rsidR="00741A94" w:rsidRPr="00D749D5">
        <w:rPr>
          <w:rFonts w:asciiTheme="majorHAnsi" w:hAnsiTheme="majorHAnsi"/>
          <w:sz w:val="20"/>
          <w:szCs w:val="20"/>
          <w:lang w:val="es-ES"/>
        </w:rPr>
        <w:t>26 de junio de 2009</w:t>
      </w:r>
      <w:r w:rsidR="0073497E">
        <w:rPr>
          <w:rFonts w:asciiTheme="majorHAnsi" w:hAnsiTheme="majorHAnsi"/>
          <w:sz w:val="20"/>
          <w:szCs w:val="20"/>
          <w:lang w:val="es-ES"/>
        </w:rPr>
        <w:t xml:space="preserve">, las cuales fueron </w:t>
      </w:r>
      <w:r w:rsidR="0063685A" w:rsidRPr="00D749D5">
        <w:rPr>
          <w:rFonts w:asciiTheme="majorHAnsi" w:hAnsiTheme="majorHAnsi"/>
          <w:sz w:val="20"/>
          <w:szCs w:val="20"/>
          <w:lang w:val="es-ES"/>
        </w:rPr>
        <w:t>debidamente</w:t>
      </w:r>
      <w:r w:rsidR="0063685A" w:rsidRPr="00D749D5">
        <w:rPr>
          <w:rFonts w:asciiTheme="majorHAnsi" w:hAnsiTheme="majorHAnsi"/>
          <w:bCs/>
          <w:sz w:val="20"/>
          <w:szCs w:val="20"/>
          <w:lang w:val="es-ES"/>
        </w:rPr>
        <w:t xml:space="preserve"> trasladadas a </w:t>
      </w:r>
      <w:r w:rsidR="0073497E">
        <w:rPr>
          <w:rFonts w:asciiTheme="majorHAnsi" w:hAnsiTheme="majorHAnsi"/>
          <w:bCs/>
          <w:sz w:val="20"/>
          <w:szCs w:val="20"/>
          <w:lang w:val="es-ES"/>
        </w:rPr>
        <w:t>los peticionarios</w:t>
      </w:r>
      <w:r w:rsidR="0063685A" w:rsidRPr="00D749D5">
        <w:rPr>
          <w:rFonts w:asciiTheme="majorHAnsi" w:hAnsiTheme="majorHAnsi"/>
          <w:bCs/>
          <w:sz w:val="20"/>
          <w:szCs w:val="20"/>
          <w:lang w:val="es-ES"/>
        </w:rPr>
        <w:t>.</w:t>
      </w:r>
      <w:r w:rsidR="0063685A" w:rsidRPr="00D749D5">
        <w:rPr>
          <w:rFonts w:asciiTheme="majorHAnsi" w:hAnsiTheme="majorHAnsi"/>
          <w:sz w:val="20"/>
          <w:szCs w:val="20"/>
          <w:lang w:val="es-ES"/>
        </w:rPr>
        <w:t xml:space="preserve"> </w:t>
      </w:r>
    </w:p>
    <w:p w14:paraId="25F5C333" w14:textId="34B6B3CB" w:rsidR="0073497E" w:rsidRDefault="0073497E"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Los peticionarios enviaron información adicional el </w:t>
      </w:r>
      <w:r w:rsidR="003635F2" w:rsidRPr="00D749D5">
        <w:rPr>
          <w:rFonts w:asciiTheme="majorHAnsi" w:hAnsiTheme="majorHAnsi"/>
          <w:sz w:val="20"/>
          <w:szCs w:val="20"/>
          <w:lang w:val="es-ES"/>
        </w:rPr>
        <w:t>8 de octubre de 2010</w:t>
      </w:r>
      <w:r w:rsidR="003635F2">
        <w:rPr>
          <w:rFonts w:asciiTheme="majorHAnsi" w:hAnsiTheme="majorHAnsi"/>
          <w:sz w:val="20"/>
          <w:szCs w:val="20"/>
          <w:lang w:val="es-ES"/>
        </w:rPr>
        <w:t xml:space="preserve"> y </w:t>
      </w:r>
      <w:r w:rsidR="003635F2" w:rsidRPr="00D749D5">
        <w:rPr>
          <w:rFonts w:asciiTheme="majorHAnsi" w:hAnsiTheme="majorHAnsi"/>
          <w:sz w:val="20"/>
          <w:szCs w:val="20"/>
          <w:lang w:val="es-ES"/>
        </w:rPr>
        <w:t>2 de marzo de 2012</w:t>
      </w:r>
      <w:r w:rsidR="003635F2">
        <w:rPr>
          <w:rFonts w:asciiTheme="majorHAnsi" w:hAnsiTheme="majorHAnsi"/>
          <w:sz w:val="20"/>
          <w:szCs w:val="20"/>
          <w:lang w:val="es-ES"/>
        </w:rPr>
        <w:t xml:space="preserve">. Por su parte, el Estado remitió nuevas observaciones adicionales el </w:t>
      </w:r>
      <w:r w:rsidR="003635F2" w:rsidRPr="00D749D5">
        <w:rPr>
          <w:rFonts w:asciiTheme="majorHAnsi" w:hAnsiTheme="majorHAnsi"/>
          <w:bCs/>
          <w:sz w:val="20"/>
          <w:szCs w:val="20"/>
          <w:lang w:val="es-ES"/>
        </w:rPr>
        <w:t xml:space="preserve">30 de julio </w:t>
      </w:r>
      <w:r w:rsidR="003635F2">
        <w:rPr>
          <w:rFonts w:asciiTheme="majorHAnsi" w:hAnsiTheme="majorHAnsi"/>
          <w:bCs/>
          <w:sz w:val="20"/>
          <w:szCs w:val="20"/>
          <w:lang w:val="es-ES"/>
        </w:rPr>
        <w:t xml:space="preserve">y 27 de noviembre </w:t>
      </w:r>
      <w:r w:rsidR="003635F2" w:rsidRPr="00D749D5">
        <w:rPr>
          <w:rFonts w:asciiTheme="majorHAnsi" w:hAnsiTheme="majorHAnsi"/>
          <w:bCs/>
          <w:sz w:val="20"/>
          <w:szCs w:val="20"/>
          <w:lang w:val="es-ES"/>
        </w:rPr>
        <w:t>de 2012</w:t>
      </w:r>
      <w:r w:rsidR="003635F2">
        <w:rPr>
          <w:rFonts w:asciiTheme="majorHAnsi" w:hAnsiTheme="majorHAnsi"/>
          <w:bCs/>
          <w:sz w:val="20"/>
          <w:szCs w:val="20"/>
          <w:lang w:val="es-ES"/>
        </w:rPr>
        <w:t>. Todas estas comunicaciones fueron debidamente trasladadas a la otra parte.</w:t>
      </w:r>
      <w:r w:rsidR="00486163">
        <w:rPr>
          <w:rFonts w:asciiTheme="majorHAnsi" w:hAnsiTheme="majorHAnsi"/>
          <w:bCs/>
          <w:sz w:val="20"/>
          <w:szCs w:val="20"/>
          <w:lang w:val="es-ES"/>
        </w:rPr>
        <w:t xml:space="preserve"> El 20 de noviembre de 2013 la CIDH recibió una comunicación de los peticionarios solicitando se adopte una decisión sobre la admisibilidad. </w:t>
      </w:r>
    </w:p>
    <w:p w14:paraId="7D08CDE0" w14:textId="7B8405AF" w:rsidR="00EA19C6" w:rsidRDefault="00EA19C6" w:rsidP="002021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El 4 y 9 de febrero de 2016 la CIDH envió a los peticionarios y al Estado</w:t>
      </w:r>
      <w:r w:rsidR="00641B30">
        <w:rPr>
          <w:rFonts w:asciiTheme="majorHAnsi" w:hAnsiTheme="majorHAnsi"/>
          <w:sz w:val="20"/>
          <w:szCs w:val="20"/>
          <w:lang w:val="es-ES"/>
        </w:rPr>
        <w:t>,</w:t>
      </w:r>
      <w:r>
        <w:rPr>
          <w:rFonts w:asciiTheme="majorHAnsi" w:hAnsiTheme="majorHAnsi"/>
          <w:sz w:val="20"/>
          <w:szCs w:val="20"/>
          <w:lang w:val="es-ES"/>
        </w:rPr>
        <w:t xml:space="preserve"> respectivamente</w:t>
      </w:r>
      <w:r w:rsidR="00641B30">
        <w:rPr>
          <w:rFonts w:asciiTheme="majorHAnsi" w:hAnsiTheme="majorHAnsi"/>
          <w:sz w:val="20"/>
          <w:szCs w:val="20"/>
          <w:lang w:val="es-ES"/>
        </w:rPr>
        <w:t xml:space="preserve">, para su conocimiento, </w:t>
      </w:r>
      <w:r w:rsidR="00641B30" w:rsidRPr="004F6FEB">
        <w:rPr>
          <w:rFonts w:asciiTheme="majorHAnsi" w:hAnsiTheme="majorHAnsi"/>
          <w:sz w:val="20"/>
          <w:szCs w:val="20"/>
          <w:lang w:val="es-ES"/>
        </w:rPr>
        <w:t xml:space="preserve">las partes pertinentes enviadas al Estado el 17 de marzo de 1998 dando inicio al trámite de la petición. </w:t>
      </w:r>
      <w:r w:rsidR="00641B30">
        <w:rPr>
          <w:rFonts w:asciiTheme="majorHAnsi" w:hAnsiTheme="majorHAnsi"/>
          <w:sz w:val="20"/>
          <w:szCs w:val="20"/>
          <w:lang w:val="es-ES"/>
        </w:rPr>
        <w:t>Ello, debido a</w:t>
      </w:r>
      <w:r w:rsidR="00B469EC">
        <w:rPr>
          <w:rFonts w:asciiTheme="majorHAnsi" w:hAnsiTheme="majorHAnsi"/>
          <w:sz w:val="20"/>
          <w:szCs w:val="20"/>
          <w:lang w:val="es-ES"/>
        </w:rPr>
        <w:t xml:space="preserve"> la discrepancia </w:t>
      </w:r>
      <w:r w:rsidR="00017F22">
        <w:rPr>
          <w:rFonts w:asciiTheme="majorHAnsi" w:hAnsiTheme="majorHAnsi"/>
          <w:sz w:val="20"/>
          <w:szCs w:val="20"/>
          <w:lang w:val="es-ES"/>
        </w:rPr>
        <w:t xml:space="preserve">expresado por las partes </w:t>
      </w:r>
      <w:r w:rsidR="00B469EC">
        <w:rPr>
          <w:rFonts w:asciiTheme="majorHAnsi" w:hAnsiTheme="majorHAnsi"/>
          <w:sz w:val="20"/>
          <w:szCs w:val="20"/>
          <w:lang w:val="es-ES"/>
        </w:rPr>
        <w:t>durante el trámite de la petición respecto a</w:t>
      </w:r>
      <w:r w:rsidR="00641B30">
        <w:rPr>
          <w:rFonts w:asciiTheme="majorHAnsi" w:hAnsiTheme="majorHAnsi"/>
          <w:sz w:val="20"/>
          <w:szCs w:val="20"/>
          <w:lang w:val="es-ES"/>
        </w:rPr>
        <w:t xml:space="preserve">l número de presuntas víctimas </w:t>
      </w:r>
      <w:r w:rsidR="00B469EC">
        <w:rPr>
          <w:rFonts w:asciiTheme="majorHAnsi" w:hAnsiTheme="majorHAnsi"/>
          <w:sz w:val="20"/>
          <w:szCs w:val="20"/>
          <w:lang w:val="es-ES"/>
        </w:rPr>
        <w:t>incluidas en la petición.</w:t>
      </w:r>
      <w:r w:rsidR="00001C6A">
        <w:rPr>
          <w:rFonts w:asciiTheme="majorHAnsi" w:hAnsiTheme="majorHAnsi"/>
          <w:sz w:val="20"/>
          <w:szCs w:val="20"/>
          <w:lang w:val="es-ES"/>
        </w:rPr>
        <w:t xml:space="preserve"> </w:t>
      </w:r>
    </w:p>
    <w:p w14:paraId="710BD752" w14:textId="1F6FAE34" w:rsidR="0063685A" w:rsidRPr="00D749D5" w:rsidRDefault="0073497E" w:rsidP="008645D0">
      <w:pPr>
        <w:spacing w:after="240"/>
        <w:ind w:firstLine="720"/>
        <w:jc w:val="both"/>
        <w:rPr>
          <w:rFonts w:asciiTheme="majorHAnsi" w:hAnsiTheme="majorHAnsi"/>
          <w:b/>
          <w:bCs/>
          <w:sz w:val="20"/>
          <w:szCs w:val="20"/>
          <w:lang w:val="es-ES"/>
        </w:rPr>
      </w:pPr>
      <w:r>
        <w:rPr>
          <w:rFonts w:asciiTheme="majorHAnsi" w:hAnsiTheme="majorHAnsi"/>
          <w:b/>
          <w:bCs/>
          <w:sz w:val="20"/>
          <w:szCs w:val="20"/>
          <w:lang w:val="es-ES"/>
        </w:rPr>
        <w:t>III</w:t>
      </w:r>
      <w:r w:rsidR="0063685A" w:rsidRPr="00D749D5">
        <w:rPr>
          <w:rFonts w:asciiTheme="majorHAnsi" w:hAnsiTheme="majorHAnsi"/>
          <w:b/>
          <w:bCs/>
          <w:sz w:val="20"/>
          <w:szCs w:val="20"/>
          <w:lang w:val="es-ES"/>
        </w:rPr>
        <w:t>.</w:t>
      </w:r>
      <w:r w:rsidR="0063685A" w:rsidRPr="00D749D5">
        <w:rPr>
          <w:rFonts w:asciiTheme="majorHAnsi" w:hAnsiTheme="majorHAnsi"/>
          <w:b/>
          <w:bCs/>
          <w:sz w:val="20"/>
          <w:szCs w:val="20"/>
          <w:lang w:val="es-ES"/>
        </w:rPr>
        <w:tab/>
        <w:t>POSICIÓN DE LAS PARTES</w:t>
      </w:r>
    </w:p>
    <w:p w14:paraId="6E506763" w14:textId="77777777" w:rsidR="0063685A" w:rsidRPr="00D749D5" w:rsidRDefault="0063685A" w:rsidP="0026346E">
      <w:pPr>
        <w:pStyle w:val="ListParagraph"/>
        <w:numPr>
          <w:ilvl w:val="0"/>
          <w:numId w:val="59"/>
        </w:numPr>
        <w:suppressAutoHyphens/>
        <w:spacing w:after="240"/>
        <w:jc w:val="both"/>
        <w:rPr>
          <w:rFonts w:asciiTheme="majorHAnsi" w:hAnsiTheme="majorHAnsi"/>
          <w:b/>
          <w:bCs/>
          <w:sz w:val="20"/>
          <w:szCs w:val="20"/>
          <w:lang w:val="es-ES"/>
        </w:rPr>
      </w:pPr>
      <w:r w:rsidRPr="00D749D5">
        <w:rPr>
          <w:rFonts w:asciiTheme="majorHAnsi" w:hAnsiTheme="majorHAnsi"/>
          <w:b/>
          <w:bCs/>
          <w:sz w:val="20"/>
          <w:szCs w:val="20"/>
          <w:lang w:val="es-ES"/>
        </w:rPr>
        <w:t>Posición de</w:t>
      </w:r>
      <w:r w:rsidR="00122E48" w:rsidRPr="00D749D5">
        <w:rPr>
          <w:rFonts w:asciiTheme="majorHAnsi" w:hAnsiTheme="majorHAnsi"/>
          <w:b/>
          <w:bCs/>
          <w:sz w:val="20"/>
          <w:szCs w:val="20"/>
          <w:lang w:val="es-ES"/>
        </w:rPr>
        <w:t xml:space="preserve"> </w:t>
      </w:r>
      <w:r w:rsidR="0026346E" w:rsidRPr="00D749D5">
        <w:rPr>
          <w:rFonts w:asciiTheme="majorHAnsi" w:hAnsiTheme="majorHAnsi"/>
          <w:b/>
          <w:bCs/>
          <w:sz w:val="20"/>
          <w:szCs w:val="20"/>
          <w:lang w:val="es-ES"/>
        </w:rPr>
        <w:t>lo</w:t>
      </w:r>
      <w:r w:rsidR="00112D7A" w:rsidRPr="00D749D5">
        <w:rPr>
          <w:rFonts w:asciiTheme="majorHAnsi" w:hAnsiTheme="majorHAnsi"/>
          <w:b/>
          <w:bCs/>
          <w:sz w:val="20"/>
          <w:szCs w:val="20"/>
          <w:lang w:val="es-ES"/>
        </w:rPr>
        <w:t>s</w:t>
      </w:r>
      <w:r w:rsidRPr="00D749D5">
        <w:rPr>
          <w:rFonts w:asciiTheme="majorHAnsi" w:hAnsiTheme="majorHAnsi"/>
          <w:b/>
          <w:bCs/>
          <w:sz w:val="20"/>
          <w:szCs w:val="20"/>
          <w:lang w:val="es-ES"/>
        </w:rPr>
        <w:t xml:space="preserve"> peticionario</w:t>
      </w:r>
      <w:r w:rsidR="00112D7A" w:rsidRPr="00D749D5">
        <w:rPr>
          <w:rFonts w:asciiTheme="majorHAnsi" w:hAnsiTheme="majorHAnsi"/>
          <w:b/>
          <w:bCs/>
          <w:sz w:val="20"/>
          <w:szCs w:val="20"/>
          <w:lang w:val="es-ES"/>
        </w:rPr>
        <w:t>s</w:t>
      </w:r>
      <w:r w:rsidR="00596831" w:rsidRPr="00D749D5">
        <w:rPr>
          <w:rFonts w:asciiTheme="majorHAnsi" w:hAnsiTheme="majorHAnsi"/>
          <w:b/>
          <w:bCs/>
          <w:sz w:val="20"/>
          <w:szCs w:val="20"/>
          <w:lang w:val="es-ES"/>
        </w:rPr>
        <w:t xml:space="preserve"> </w:t>
      </w:r>
    </w:p>
    <w:p w14:paraId="1D9B31E2" w14:textId="0E90AEDE" w:rsidR="00963FEB" w:rsidRPr="00D749D5" w:rsidRDefault="000C511A" w:rsidP="00963FE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D749D5">
        <w:rPr>
          <w:rFonts w:asciiTheme="majorHAnsi" w:hAnsiTheme="majorHAnsi"/>
          <w:bCs/>
          <w:sz w:val="20"/>
          <w:szCs w:val="20"/>
          <w:lang w:val="es-ES"/>
        </w:rPr>
        <w:t>Los peticionarios relatan que e</w:t>
      </w:r>
      <w:r w:rsidR="00963FEB" w:rsidRPr="00D749D5">
        <w:rPr>
          <w:rFonts w:asciiTheme="majorHAnsi" w:hAnsiTheme="majorHAnsi"/>
          <w:bCs/>
          <w:sz w:val="20"/>
          <w:szCs w:val="20"/>
          <w:lang w:val="es-ES"/>
        </w:rPr>
        <w:t xml:space="preserve">l Magdalena Medio ha sido una de las zonas más afectadas por la violencia </w:t>
      </w:r>
      <w:r w:rsidR="00CB7639" w:rsidRPr="00D749D5">
        <w:rPr>
          <w:rFonts w:asciiTheme="majorHAnsi" w:hAnsiTheme="majorHAnsi"/>
          <w:bCs/>
          <w:sz w:val="20"/>
          <w:szCs w:val="20"/>
          <w:lang w:val="es-ES"/>
        </w:rPr>
        <w:t>del conflicto armado interno en</w:t>
      </w:r>
      <w:r w:rsidR="00963FEB" w:rsidRPr="00D749D5">
        <w:rPr>
          <w:rFonts w:asciiTheme="majorHAnsi" w:hAnsiTheme="majorHAnsi"/>
          <w:bCs/>
          <w:sz w:val="20"/>
          <w:szCs w:val="20"/>
          <w:lang w:val="es-ES"/>
        </w:rPr>
        <w:t xml:space="preserve"> Colombia, pues la región, y en particular Barrancabermeja, ha sido escenario de grandes movimientos sociales, campesinos y sindicales, fuertemente reprimidos por los cuerpos de seguridad del Estado y victimizados por grupos paramilitares. Sostienen que la presencia de grupos guerrilleros conllevó a una victimización, por parte de las Fuerzas Militares y de los grupos paramilitares, de los habitantes de los barrios donde esos grupos tenían presencia</w:t>
      </w:r>
      <w:r w:rsidR="00935193" w:rsidRPr="00D749D5">
        <w:rPr>
          <w:rFonts w:asciiTheme="majorHAnsi" w:hAnsiTheme="majorHAnsi"/>
          <w:bCs/>
          <w:sz w:val="20"/>
          <w:szCs w:val="20"/>
          <w:lang w:val="es-ES"/>
        </w:rPr>
        <w:t xml:space="preserve">, por lo que los habitantes </w:t>
      </w:r>
      <w:r w:rsidR="00963FEB" w:rsidRPr="00D749D5">
        <w:rPr>
          <w:rFonts w:asciiTheme="majorHAnsi" w:hAnsiTheme="majorHAnsi"/>
          <w:bCs/>
          <w:sz w:val="20"/>
          <w:szCs w:val="20"/>
          <w:lang w:val="es-ES"/>
        </w:rPr>
        <w:t>de esta zona fueron víctimas de la violación masiva y constante de sus derechos humanos.</w:t>
      </w:r>
    </w:p>
    <w:p w14:paraId="65D57AC0" w14:textId="68522CAC" w:rsidR="002F6CB2" w:rsidRPr="00D749D5" w:rsidRDefault="00FE15D4" w:rsidP="002F6CB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D749D5">
        <w:rPr>
          <w:rFonts w:asciiTheme="majorHAnsi" w:hAnsiTheme="majorHAnsi"/>
          <w:bCs/>
          <w:sz w:val="20"/>
          <w:szCs w:val="20"/>
          <w:lang w:val="es-ES"/>
        </w:rPr>
        <w:t>Refieren que</w:t>
      </w:r>
      <w:r w:rsidR="008E0022" w:rsidRPr="00D749D5">
        <w:rPr>
          <w:rFonts w:asciiTheme="majorHAnsi" w:hAnsiTheme="majorHAnsi"/>
          <w:bCs/>
          <w:sz w:val="20"/>
          <w:szCs w:val="20"/>
          <w:lang w:val="es-ES"/>
        </w:rPr>
        <w:t>,</w:t>
      </w:r>
      <w:r w:rsidRPr="00D749D5">
        <w:rPr>
          <w:rFonts w:asciiTheme="majorHAnsi" w:hAnsiTheme="majorHAnsi"/>
          <w:bCs/>
          <w:sz w:val="20"/>
          <w:szCs w:val="20"/>
          <w:lang w:val="es-ES"/>
        </w:rPr>
        <w:t xml:space="preserve"> e</w:t>
      </w:r>
      <w:r w:rsidR="00E555F1" w:rsidRPr="00D749D5">
        <w:rPr>
          <w:rFonts w:asciiTheme="majorHAnsi" w:hAnsiTheme="majorHAnsi"/>
          <w:bCs/>
          <w:sz w:val="20"/>
          <w:szCs w:val="20"/>
          <w:lang w:val="es-ES"/>
        </w:rPr>
        <w:t>n el ma</w:t>
      </w:r>
      <w:r w:rsidRPr="00D749D5">
        <w:rPr>
          <w:rFonts w:asciiTheme="majorHAnsi" w:hAnsiTheme="majorHAnsi"/>
          <w:bCs/>
          <w:sz w:val="20"/>
          <w:szCs w:val="20"/>
          <w:lang w:val="es-ES"/>
        </w:rPr>
        <w:t>rco de la implementación de la doctrina de seguridad n</w:t>
      </w:r>
      <w:r w:rsidR="00E555F1" w:rsidRPr="00D749D5">
        <w:rPr>
          <w:rFonts w:asciiTheme="majorHAnsi" w:hAnsiTheme="majorHAnsi"/>
          <w:bCs/>
          <w:sz w:val="20"/>
          <w:szCs w:val="20"/>
          <w:lang w:val="es-ES"/>
        </w:rPr>
        <w:t>acional,</w:t>
      </w:r>
      <w:r w:rsidRPr="00D749D5">
        <w:rPr>
          <w:rFonts w:asciiTheme="majorHAnsi" w:hAnsiTheme="majorHAnsi"/>
          <w:bCs/>
          <w:sz w:val="20"/>
          <w:szCs w:val="20"/>
          <w:lang w:val="es-ES"/>
        </w:rPr>
        <w:t xml:space="preserve"> acogida desde principios de 1960 por las Fuerzas Armadas de Colombia</w:t>
      </w:r>
      <w:r w:rsidR="008E0022" w:rsidRPr="00D749D5">
        <w:rPr>
          <w:rFonts w:asciiTheme="majorHAnsi" w:hAnsiTheme="majorHAnsi"/>
          <w:bCs/>
          <w:sz w:val="20"/>
          <w:szCs w:val="20"/>
          <w:lang w:val="es-ES"/>
        </w:rPr>
        <w:t xml:space="preserve"> y erigida como doctrina oficial del Estado mediante varias normas</w:t>
      </w:r>
      <w:r w:rsidRPr="00D749D5">
        <w:rPr>
          <w:rFonts w:asciiTheme="majorHAnsi" w:hAnsiTheme="majorHAnsi"/>
          <w:bCs/>
          <w:sz w:val="20"/>
          <w:szCs w:val="20"/>
          <w:lang w:val="es-ES"/>
        </w:rPr>
        <w:t xml:space="preserve">, </w:t>
      </w:r>
      <w:r w:rsidR="008E0022" w:rsidRPr="00D749D5">
        <w:rPr>
          <w:rFonts w:asciiTheme="majorHAnsi" w:hAnsiTheme="majorHAnsi"/>
          <w:bCs/>
          <w:sz w:val="20"/>
          <w:szCs w:val="20"/>
          <w:lang w:val="es-ES"/>
        </w:rPr>
        <w:t xml:space="preserve">así como el desarrollo paralelo de </w:t>
      </w:r>
      <w:r w:rsidR="00AA21E4" w:rsidRPr="00D749D5">
        <w:rPr>
          <w:rFonts w:asciiTheme="majorHAnsi" w:hAnsiTheme="majorHAnsi"/>
          <w:bCs/>
          <w:sz w:val="20"/>
          <w:szCs w:val="20"/>
          <w:lang w:val="es-ES"/>
        </w:rPr>
        <w:t>grupos</w:t>
      </w:r>
      <w:r w:rsidR="008E0022" w:rsidRPr="00D749D5">
        <w:rPr>
          <w:rFonts w:asciiTheme="majorHAnsi" w:hAnsiTheme="majorHAnsi"/>
          <w:bCs/>
          <w:sz w:val="20"/>
          <w:szCs w:val="20"/>
          <w:lang w:val="es-ES"/>
        </w:rPr>
        <w:t xml:space="preserve"> paramilitares,</w:t>
      </w:r>
      <w:r w:rsidR="00E555F1" w:rsidRPr="00D749D5">
        <w:rPr>
          <w:rFonts w:asciiTheme="majorHAnsi" w:hAnsiTheme="majorHAnsi"/>
          <w:bCs/>
          <w:sz w:val="20"/>
          <w:szCs w:val="20"/>
          <w:lang w:val="es-ES"/>
        </w:rPr>
        <w:t xml:space="preserve"> se fueron creando estructuras clandestinas d</w:t>
      </w:r>
      <w:r w:rsidR="00AA21E4" w:rsidRPr="00D749D5">
        <w:rPr>
          <w:rFonts w:asciiTheme="majorHAnsi" w:hAnsiTheme="majorHAnsi"/>
          <w:bCs/>
          <w:sz w:val="20"/>
          <w:szCs w:val="20"/>
          <w:lang w:val="es-ES"/>
        </w:rPr>
        <w:t>entro de las fuerzas m</w:t>
      </w:r>
      <w:r w:rsidR="008E0022" w:rsidRPr="00D749D5">
        <w:rPr>
          <w:rFonts w:asciiTheme="majorHAnsi" w:hAnsiTheme="majorHAnsi"/>
          <w:bCs/>
          <w:sz w:val="20"/>
          <w:szCs w:val="20"/>
          <w:lang w:val="es-ES"/>
        </w:rPr>
        <w:t>ilitares,</w:t>
      </w:r>
      <w:r w:rsidR="00E555F1" w:rsidRPr="00D749D5">
        <w:rPr>
          <w:rFonts w:asciiTheme="majorHAnsi" w:hAnsiTheme="majorHAnsi"/>
          <w:bCs/>
          <w:sz w:val="20"/>
          <w:szCs w:val="20"/>
          <w:lang w:val="es-ES"/>
        </w:rPr>
        <w:t xml:space="preserve"> integradas por miembros de los servicios de inteligencia militar, y desarrollando operaciones encubiertas con el propósito de exterminar </w:t>
      </w:r>
      <w:r w:rsidR="00AA21E4" w:rsidRPr="00D749D5">
        <w:rPr>
          <w:rFonts w:asciiTheme="majorHAnsi" w:hAnsiTheme="majorHAnsi"/>
          <w:bCs/>
          <w:sz w:val="20"/>
          <w:szCs w:val="20"/>
          <w:lang w:val="es-ES"/>
        </w:rPr>
        <w:t>lo que, en consideración de la d</w:t>
      </w:r>
      <w:r w:rsidR="00E555F1" w:rsidRPr="00D749D5">
        <w:rPr>
          <w:rFonts w:asciiTheme="majorHAnsi" w:hAnsiTheme="majorHAnsi"/>
          <w:bCs/>
          <w:sz w:val="20"/>
          <w:szCs w:val="20"/>
          <w:lang w:val="es-ES"/>
        </w:rPr>
        <w:t>o</w:t>
      </w:r>
      <w:r w:rsidR="00AA21E4" w:rsidRPr="00D749D5">
        <w:rPr>
          <w:rFonts w:asciiTheme="majorHAnsi" w:hAnsiTheme="majorHAnsi"/>
          <w:bCs/>
          <w:sz w:val="20"/>
          <w:szCs w:val="20"/>
          <w:lang w:val="es-ES"/>
        </w:rPr>
        <w:t>ctrina de seguridad n</w:t>
      </w:r>
      <w:r w:rsidR="00A85B7C" w:rsidRPr="00D749D5">
        <w:rPr>
          <w:rFonts w:asciiTheme="majorHAnsi" w:hAnsiTheme="majorHAnsi"/>
          <w:bCs/>
          <w:sz w:val="20"/>
          <w:szCs w:val="20"/>
          <w:lang w:val="es-ES"/>
        </w:rPr>
        <w:t>acional, era</w:t>
      </w:r>
      <w:r w:rsidR="00E555F1" w:rsidRPr="00D749D5">
        <w:rPr>
          <w:rFonts w:asciiTheme="majorHAnsi" w:hAnsiTheme="majorHAnsi"/>
          <w:bCs/>
          <w:sz w:val="20"/>
          <w:szCs w:val="20"/>
          <w:lang w:val="es-ES"/>
        </w:rPr>
        <w:t xml:space="preserve"> considerado el "enemigo interno". </w:t>
      </w:r>
      <w:r w:rsidR="008E0022" w:rsidRPr="00D749D5">
        <w:rPr>
          <w:rFonts w:asciiTheme="majorHAnsi" w:hAnsiTheme="majorHAnsi"/>
          <w:bCs/>
          <w:sz w:val="20"/>
          <w:szCs w:val="20"/>
          <w:lang w:val="es-ES"/>
        </w:rPr>
        <w:t xml:space="preserve">Señalan que si bien </w:t>
      </w:r>
      <w:r w:rsidR="008E0022" w:rsidRPr="00D749D5">
        <w:rPr>
          <w:rFonts w:asciiTheme="majorHAnsi" w:hAnsiTheme="majorHAnsi"/>
          <w:bCs/>
          <w:sz w:val="20"/>
          <w:szCs w:val="20"/>
          <w:lang w:val="es-ES"/>
        </w:rPr>
        <w:lastRenderedPageBreak/>
        <w:t>e</w:t>
      </w:r>
      <w:r w:rsidR="00E555F1" w:rsidRPr="00D749D5">
        <w:rPr>
          <w:rFonts w:asciiTheme="majorHAnsi" w:hAnsiTheme="majorHAnsi"/>
          <w:bCs/>
          <w:sz w:val="20"/>
          <w:szCs w:val="20"/>
          <w:lang w:val="es-ES"/>
        </w:rPr>
        <w:t xml:space="preserve">n muchas oportunidades la acción </w:t>
      </w:r>
      <w:r w:rsidR="008E0022" w:rsidRPr="00D749D5">
        <w:rPr>
          <w:rFonts w:asciiTheme="majorHAnsi" w:hAnsiTheme="majorHAnsi"/>
          <w:bCs/>
          <w:sz w:val="20"/>
          <w:szCs w:val="20"/>
          <w:lang w:val="es-ES"/>
        </w:rPr>
        <w:t xml:space="preserve">de estos grupos </w:t>
      </w:r>
      <w:r w:rsidR="00E555F1" w:rsidRPr="00D749D5">
        <w:rPr>
          <w:rFonts w:asciiTheme="majorHAnsi" w:hAnsiTheme="majorHAnsi"/>
          <w:bCs/>
          <w:sz w:val="20"/>
          <w:szCs w:val="20"/>
          <w:lang w:val="es-ES"/>
        </w:rPr>
        <w:t>ha sido atribuida a paramilitares o a sicarios</w:t>
      </w:r>
      <w:r w:rsidR="008E0022" w:rsidRPr="00D749D5">
        <w:rPr>
          <w:rFonts w:asciiTheme="majorHAnsi" w:hAnsiTheme="majorHAnsi"/>
          <w:bCs/>
          <w:sz w:val="20"/>
          <w:szCs w:val="20"/>
          <w:lang w:val="es-ES"/>
        </w:rPr>
        <w:t xml:space="preserve">, </w:t>
      </w:r>
      <w:r w:rsidR="00E555F1" w:rsidRPr="00D749D5">
        <w:rPr>
          <w:rFonts w:asciiTheme="majorHAnsi" w:hAnsiTheme="majorHAnsi"/>
          <w:bCs/>
          <w:sz w:val="20"/>
          <w:szCs w:val="20"/>
          <w:lang w:val="es-ES"/>
        </w:rPr>
        <w:t>investigaciones realizadas por funcionarios judiciales o de la Procuraduría General de la</w:t>
      </w:r>
      <w:r w:rsidR="00122E48" w:rsidRPr="00D749D5">
        <w:rPr>
          <w:rFonts w:asciiTheme="majorHAnsi" w:hAnsiTheme="majorHAnsi"/>
          <w:bCs/>
          <w:sz w:val="20"/>
          <w:szCs w:val="20"/>
          <w:lang w:val="es-ES"/>
        </w:rPr>
        <w:t xml:space="preserve"> </w:t>
      </w:r>
      <w:r w:rsidR="00E555F1" w:rsidRPr="00D749D5">
        <w:rPr>
          <w:rFonts w:asciiTheme="majorHAnsi" w:hAnsiTheme="majorHAnsi"/>
          <w:bCs/>
          <w:sz w:val="20"/>
          <w:szCs w:val="20"/>
          <w:lang w:val="es-ES"/>
        </w:rPr>
        <w:t xml:space="preserve">Nación, en varios de </w:t>
      </w:r>
      <w:r w:rsidR="008E0022" w:rsidRPr="00D749D5">
        <w:rPr>
          <w:rFonts w:asciiTheme="majorHAnsi" w:hAnsiTheme="majorHAnsi"/>
          <w:bCs/>
          <w:sz w:val="20"/>
          <w:szCs w:val="20"/>
          <w:lang w:val="es-ES"/>
        </w:rPr>
        <w:t xml:space="preserve">los </w:t>
      </w:r>
      <w:r w:rsidR="00E555F1" w:rsidRPr="00D749D5">
        <w:rPr>
          <w:rFonts w:asciiTheme="majorHAnsi" w:hAnsiTheme="majorHAnsi"/>
          <w:bCs/>
          <w:sz w:val="20"/>
          <w:szCs w:val="20"/>
          <w:lang w:val="es-ES"/>
        </w:rPr>
        <w:t>crímenes, han develado que los autores eran miembros de e</w:t>
      </w:r>
      <w:r w:rsidR="0099160F" w:rsidRPr="00D749D5">
        <w:rPr>
          <w:rFonts w:asciiTheme="majorHAnsi" w:hAnsiTheme="majorHAnsi"/>
          <w:bCs/>
          <w:sz w:val="20"/>
          <w:szCs w:val="20"/>
          <w:lang w:val="es-ES"/>
        </w:rPr>
        <w:t>structuras clandestinas de las fuerzas m</w:t>
      </w:r>
      <w:r w:rsidR="00E555F1" w:rsidRPr="00D749D5">
        <w:rPr>
          <w:rFonts w:asciiTheme="majorHAnsi" w:hAnsiTheme="majorHAnsi"/>
          <w:bCs/>
          <w:sz w:val="20"/>
          <w:szCs w:val="20"/>
          <w:lang w:val="es-ES"/>
        </w:rPr>
        <w:t xml:space="preserve">ilitares. </w:t>
      </w:r>
    </w:p>
    <w:p w14:paraId="49D2F4D0" w14:textId="6313FC58" w:rsidR="00144459" w:rsidRPr="00D749D5" w:rsidRDefault="002F6CB2" w:rsidP="00232C2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D749D5">
        <w:rPr>
          <w:rFonts w:asciiTheme="majorHAnsi" w:hAnsiTheme="majorHAnsi"/>
          <w:bCs/>
          <w:sz w:val="20"/>
          <w:szCs w:val="20"/>
          <w:lang w:val="es-ES"/>
        </w:rPr>
        <w:t>Indican que en 1991, el gobierno lanzó su "Estrategia Nacional contra la Violencia", que</w:t>
      </w:r>
      <w:r w:rsidR="0099160F" w:rsidRPr="00D749D5">
        <w:rPr>
          <w:rFonts w:asciiTheme="majorHAnsi" w:hAnsiTheme="majorHAnsi"/>
          <w:bCs/>
          <w:sz w:val="20"/>
          <w:szCs w:val="20"/>
          <w:lang w:val="es-ES"/>
        </w:rPr>
        <w:t xml:space="preserve"> implicaría un rediseño de las fuerzas m</w:t>
      </w:r>
      <w:r w:rsidRPr="00D749D5">
        <w:rPr>
          <w:rFonts w:asciiTheme="majorHAnsi" w:hAnsiTheme="majorHAnsi"/>
          <w:bCs/>
          <w:sz w:val="20"/>
          <w:szCs w:val="20"/>
          <w:lang w:val="es-ES"/>
        </w:rPr>
        <w:t>ilitares,</w:t>
      </w:r>
      <w:r w:rsidR="00122E48" w:rsidRPr="00D749D5">
        <w:rPr>
          <w:rFonts w:asciiTheme="majorHAnsi" w:hAnsiTheme="majorHAnsi"/>
          <w:bCs/>
          <w:sz w:val="20"/>
          <w:szCs w:val="20"/>
          <w:lang w:val="es-ES"/>
        </w:rPr>
        <w:t xml:space="preserve"> </w:t>
      </w:r>
      <w:r w:rsidRPr="00D749D5">
        <w:rPr>
          <w:rFonts w:asciiTheme="majorHAnsi" w:hAnsiTheme="majorHAnsi"/>
          <w:bCs/>
          <w:sz w:val="20"/>
          <w:szCs w:val="20"/>
          <w:lang w:val="es-ES"/>
        </w:rPr>
        <w:t>la creación de las</w:t>
      </w:r>
      <w:r w:rsidR="00122E48" w:rsidRPr="00D749D5">
        <w:rPr>
          <w:rFonts w:asciiTheme="majorHAnsi" w:hAnsiTheme="majorHAnsi"/>
          <w:bCs/>
          <w:sz w:val="20"/>
          <w:szCs w:val="20"/>
          <w:lang w:val="es-ES"/>
        </w:rPr>
        <w:t xml:space="preserve"> </w:t>
      </w:r>
      <w:r w:rsidRPr="00D749D5">
        <w:rPr>
          <w:rFonts w:asciiTheme="majorHAnsi" w:hAnsiTheme="majorHAnsi"/>
          <w:bCs/>
          <w:sz w:val="20"/>
          <w:szCs w:val="20"/>
          <w:lang w:val="es-ES"/>
        </w:rPr>
        <w:t xml:space="preserve">cooperativas de vigilancia y seguridad privada y la reorganización y “modernización” del sistema de inteligencia de las </w:t>
      </w:r>
      <w:r w:rsidR="0099160F" w:rsidRPr="00D749D5">
        <w:rPr>
          <w:rFonts w:asciiTheme="majorHAnsi" w:hAnsiTheme="majorHAnsi"/>
          <w:bCs/>
          <w:sz w:val="20"/>
          <w:szCs w:val="20"/>
          <w:lang w:val="es-ES"/>
        </w:rPr>
        <w:t>mismas</w:t>
      </w:r>
      <w:r w:rsidRPr="00D749D5">
        <w:rPr>
          <w:rFonts w:asciiTheme="majorHAnsi" w:hAnsiTheme="majorHAnsi"/>
          <w:bCs/>
          <w:sz w:val="20"/>
          <w:szCs w:val="20"/>
          <w:lang w:val="es-ES"/>
        </w:rPr>
        <w:t>. En este contexto, señalan que la piedra angular ser</w:t>
      </w:r>
      <w:r w:rsidR="005C3225" w:rsidRPr="00D749D5">
        <w:rPr>
          <w:rFonts w:asciiTheme="majorHAnsi" w:hAnsiTheme="majorHAnsi"/>
          <w:bCs/>
          <w:sz w:val="20"/>
          <w:szCs w:val="20"/>
          <w:lang w:val="es-ES"/>
        </w:rPr>
        <w:t>ía la creación de las redes de i</w:t>
      </w:r>
      <w:r w:rsidRPr="00D749D5">
        <w:rPr>
          <w:rFonts w:asciiTheme="majorHAnsi" w:hAnsiTheme="majorHAnsi"/>
          <w:bCs/>
          <w:sz w:val="20"/>
          <w:szCs w:val="20"/>
          <w:lang w:val="es-ES"/>
        </w:rPr>
        <w:t xml:space="preserve">nteligencia </w:t>
      </w:r>
      <w:r w:rsidR="00506898" w:rsidRPr="00D749D5">
        <w:rPr>
          <w:rFonts w:asciiTheme="majorHAnsi" w:hAnsiTheme="majorHAnsi"/>
          <w:bCs/>
          <w:sz w:val="20"/>
          <w:szCs w:val="20"/>
          <w:lang w:val="es-ES"/>
        </w:rPr>
        <w:t xml:space="preserve">de las </w:t>
      </w:r>
      <w:r w:rsidR="005C3225" w:rsidRPr="00D749D5">
        <w:rPr>
          <w:rFonts w:asciiTheme="majorHAnsi" w:hAnsiTheme="majorHAnsi"/>
          <w:bCs/>
          <w:sz w:val="20"/>
          <w:szCs w:val="20"/>
          <w:lang w:val="es-ES"/>
        </w:rPr>
        <w:t>fuerzas m</w:t>
      </w:r>
      <w:r w:rsidR="00506898" w:rsidRPr="00D749D5">
        <w:rPr>
          <w:rFonts w:asciiTheme="majorHAnsi" w:hAnsiTheme="majorHAnsi"/>
          <w:bCs/>
          <w:sz w:val="20"/>
          <w:szCs w:val="20"/>
          <w:lang w:val="es-ES"/>
        </w:rPr>
        <w:t>ilitares, y que la Directiva N° 200-05 de 1991</w:t>
      </w:r>
      <w:r w:rsidR="005C3225" w:rsidRPr="00D749D5">
        <w:rPr>
          <w:rFonts w:asciiTheme="majorHAnsi" w:hAnsiTheme="majorHAnsi"/>
          <w:bCs/>
          <w:sz w:val="20"/>
          <w:szCs w:val="20"/>
          <w:lang w:val="es-ES"/>
        </w:rPr>
        <w:t>,</w:t>
      </w:r>
      <w:r w:rsidR="00506898" w:rsidRPr="00D749D5">
        <w:rPr>
          <w:rFonts w:asciiTheme="majorHAnsi" w:hAnsiTheme="majorHAnsi"/>
          <w:bCs/>
          <w:sz w:val="20"/>
          <w:szCs w:val="20"/>
          <w:lang w:val="es-ES"/>
        </w:rPr>
        <w:t xml:space="preserve"> “Organización y funcionamiento de las redes de intelige</w:t>
      </w:r>
      <w:r w:rsidR="005C3225" w:rsidRPr="00D749D5">
        <w:rPr>
          <w:rFonts w:asciiTheme="majorHAnsi" w:hAnsiTheme="majorHAnsi"/>
          <w:bCs/>
          <w:sz w:val="20"/>
          <w:szCs w:val="20"/>
          <w:lang w:val="es-ES"/>
        </w:rPr>
        <w:t>ncia”, sería sustento legal de é</w:t>
      </w:r>
      <w:r w:rsidR="00506898" w:rsidRPr="00D749D5">
        <w:rPr>
          <w:rFonts w:asciiTheme="majorHAnsi" w:hAnsiTheme="majorHAnsi"/>
          <w:bCs/>
          <w:sz w:val="20"/>
          <w:szCs w:val="20"/>
          <w:lang w:val="es-ES"/>
        </w:rPr>
        <w:t>stas.</w:t>
      </w:r>
      <w:r w:rsidR="00DD1F50" w:rsidRPr="00D749D5">
        <w:rPr>
          <w:rFonts w:asciiTheme="majorHAnsi" w:hAnsiTheme="majorHAnsi"/>
          <w:bCs/>
          <w:sz w:val="20"/>
          <w:szCs w:val="20"/>
          <w:lang w:val="es-ES"/>
        </w:rPr>
        <w:t xml:space="preserve"> </w:t>
      </w:r>
    </w:p>
    <w:p w14:paraId="414D80BB" w14:textId="0A2A6E73" w:rsidR="00144459" w:rsidRPr="00D749D5" w:rsidRDefault="00DD1F50" w:rsidP="001444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D749D5">
        <w:rPr>
          <w:rFonts w:asciiTheme="majorHAnsi" w:hAnsiTheme="majorHAnsi"/>
          <w:bCs/>
          <w:sz w:val="20"/>
          <w:szCs w:val="20"/>
          <w:lang w:val="es-ES"/>
        </w:rPr>
        <w:t xml:space="preserve">Refieren que </w:t>
      </w:r>
      <w:r w:rsidR="00C95E6C" w:rsidRPr="00D749D5">
        <w:rPr>
          <w:rFonts w:asciiTheme="majorHAnsi" w:hAnsiTheme="majorHAnsi"/>
          <w:bCs/>
          <w:sz w:val="20"/>
          <w:szCs w:val="20"/>
          <w:lang w:val="es-ES"/>
        </w:rPr>
        <w:t>esta</w:t>
      </w:r>
      <w:r w:rsidR="0031079F" w:rsidRPr="00D749D5">
        <w:rPr>
          <w:rFonts w:asciiTheme="majorHAnsi" w:hAnsiTheme="majorHAnsi"/>
          <w:bCs/>
          <w:sz w:val="20"/>
          <w:szCs w:val="20"/>
          <w:lang w:val="es-ES"/>
        </w:rPr>
        <w:t xml:space="preserve"> d</w:t>
      </w:r>
      <w:r w:rsidRPr="00D749D5">
        <w:rPr>
          <w:rFonts w:asciiTheme="majorHAnsi" w:hAnsiTheme="majorHAnsi"/>
          <w:bCs/>
          <w:sz w:val="20"/>
          <w:szCs w:val="20"/>
          <w:lang w:val="es-ES"/>
        </w:rPr>
        <w:t>irectiva ordena establecer estas Redes con “civiles o militares en situación de retiro”, como orgánicas del cuerpo de</w:t>
      </w:r>
      <w:r w:rsidR="00122E48" w:rsidRPr="00D749D5">
        <w:rPr>
          <w:rFonts w:asciiTheme="majorHAnsi" w:hAnsiTheme="majorHAnsi"/>
          <w:bCs/>
          <w:sz w:val="20"/>
          <w:szCs w:val="20"/>
          <w:lang w:val="es-ES"/>
        </w:rPr>
        <w:t xml:space="preserve"> </w:t>
      </w:r>
      <w:r w:rsidR="0031079F" w:rsidRPr="00D749D5">
        <w:rPr>
          <w:rFonts w:asciiTheme="majorHAnsi" w:hAnsiTheme="majorHAnsi"/>
          <w:bCs/>
          <w:sz w:val="20"/>
          <w:szCs w:val="20"/>
          <w:lang w:val="es-ES"/>
        </w:rPr>
        <w:t>inteligencia de cada fuerza m</w:t>
      </w:r>
      <w:r w:rsidRPr="00D749D5">
        <w:rPr>
          <w:rFonts w:asciiTheme="majorHAnsi" w:hAnsiTheme="majorHAnsi"/>
          <w:bCs/>
          <w:sz w:val="20"/>
          <w:szCs w:val="20"/>
          <w:lang w:val="es-ES"/>
        </w:rPr>
        <w:t xml:space="preserve">ilitar (Ejército Nacional, Armada Nacional y Fuerza Aérea) y bajo el mando de las respectivas direcciones de inteligencia de cada cuerpo armado. </w:t>
      </w:r>
      <w:r w:rsidR="00232C29" w:rsidRPr="00D749D5">
        <w:rPr>
          <w:rFonts w:asciiTheme="majorHAnsi" w:hAnsiTheme="majorHAnsi"/>
          <w:bCs/>
          <w:sz w:val="20"/>
          <w:szCs w:val="20"/>
          <w:lang w:val="es-ES"/>
        </w:rPr>
        <w:t xml:space="preserve">Sostienen que </w:t>
      </w:r>
      <w:r w:rsidR="00544413" w:rsidRPr="00D749D5">
        <w:rPr>
          <w:rFonts w:asciiTheme="majorHAnsi" w:hAnsiTheme="majorHAnsi"/>
          <w:bCs/>
          <w:sz w:val="20"/>
          <w:szCs w:val="20"/>
          <w:lang w:val="es-ES"/>
        </w:rPr>
        <w:t>la</w:t>
      </w:r>
      <w:r w:rsidR="00232C29" w:rsidRPr="00D749D5">
        <w:rPr>
          <w:rFonts w:asciiTheme="majorHAnsi" w:hAnsiTheme="majorHAnsi"/>
          <w:bCs/>
          <w:sz w:val="20"/>
          <w:szCs w:val="20"/>
          <w:lang w:val="es-ES"/>
        </w:rPr>
        <w:t xml:space="preserve"> normativa ordena que todo el accionar de las Redes de Inteligencia Militar </w:t>
      </w:r>
      <w:r w:rsidR="00544413" w:rsidRPr="00D749D5">
        <w:rPr>
          <w:rFonts w:asciiTheme="majorHAnsi" w:hAnsiTheme="majorHAnsi"/>
          <w:bCs/>
          <w:sz w:val="20"/>
          <w:szCs w:val="20"/>
          <w:lang w:val="es-ES"/>
        </w:rPr>
        <w:t>s</w:t>
      </w:r>
      <w:r w:rsidR="00232C29" w:rsidRPr="00D749D5">
        <w:rPr>
          <w:rFonts w:asciiTheme="majorHAnsi" w:hAnsiTheme="majorHAnsi"/>
          <w:bCs/>
          <w:sz w:val="20"/>
          <w:szCs w:val="20"/>
          <w:lang w:val="es-ES"/>
        </w:rPr>
        <w:t>e haga</w:t>
      </w:r>
      <w:r w:rsidR="00122E48" w:rsidRPr="00D749D5">
        <w:rPr>
          <w:rFonts w:asciiTheme="majorHAnsi" w:hAnsiTheme="majorHAnsi"/>
          <w:bCs/>
          <w:sz w:val="20"/>
          <w:szCs w:val="20"/>
          <w:lang w:val="es-ES"/>
        </w:rPr>
        <w:t xml:space="preserve"> </w:t>
      </w:r>
      <w:r w:rsidR="00232C29" w:rsidRPr="00D749D5">
        <w:rPr>
          <w:rFonts w:asciiTheme="majorHAnsi" w:hAnsiTheme="majorHAnsi"/>
          <w:bCs/>
          <w:sz w:val="20"/>
          <w:szCs w:val="20"/>
          <w:lang w:val="es-ES"/>
        </w:rPr>
        <w:t>"en forma cubierta"</w:t>
      </w:r>
      <w:r w:rsidR="0031079F" w:rsidRPr="00D749D5">
        <w:rPr>
          <w:rFonts w:asciiTheme="majorHAnsi" w:hAnsiTheme="majorHAnsi"/>
          <w:bCs/>
          <w:sz w:val="20"/>
          <w:szCs w:val="20"/>
          <w:lang w:val="es-ES"/>
        </w:rPr>
        <w:t>. Así, sostienen que direcciones de i</w:t>
      </w:r>
      <w:r w:rsidR="00144459" w:rsidRPr="00D749D5">
        <w:rPr>
          <w:rFonts w:asciiTheme="majorHAnsi" w:hAnsiTheme="majorHAnsi"/>
          <w:bCs/>
          <w:sz w:val="20"/>
          <w:szCs w:val="20"/>
          <w:lang w:val="es-ES"/>
        </w:rPr>
        <w:t>nteligencia de las tres ramas dependían del Comando Ge</w:t>
      </w:r>
      <w:r w:rsidR="0031079F" w:rsidRPr="00D749D5">
        <w:rPr>
          <w:rFonts w:asciiTheme="majorHAnsi" w:hAnsiTheme="majorHAnsi"/>
          <w:bCs/>
          <w:sz w:val="20"/>
          <w:szCs w:val="20"/>
          <w:lang w:val="es-ES"/>
        </w:rPr>
        <w:t>neral</w:t>
      </w:r>
      <w:r w:rsidR="00144459" w:rsidRPr="00D749D5">
        <w:rPr>
          <w:rFonts w:asciiTheme="majorHAnsi" w:hAnsiTheme="majorHAnsi"/>
          <w:bCs/>
          <w:sz w:val="20"/>
          <w:szCs w:val="20"/>
          <w:lang w:val="es-ES"/>
        </w:rPr>
        <w:t>, y que todas estas redes quedaron bajo la coordinación y dirección del Jefe del Estado Mayor Conjunto y el Departamento D-2 EMC.</w:t>
      </w:r>
    </w:p>
    <w:p w14:paraId="082378D9" w14:textId="17F1AC7D" w:rsidR="00144459" w:rsidRPr="00D749D5" w:rsidRDefault="008D67ED" w:rsidP="00885A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D749D5">
        <w:rPr>
          <w:rFonts w:asciiTheme="majorHAnsi" w:hAnsiTheme="majorHAnsi"/>
          <w:bCs/>
          <w:sz w:val="20"/>
          <w:szCs w:val="20"/>
          <w:lang w:val="es-ES"/>
        </w:rPr>
        <w:t>Indican que en 1992, las redes de inteligencia militar de la Armada Nacional</w:t>
      </w:r>
      <w:r w:rsidR="00122E48" w:rsidRPr="00D749D5">
        <w:rPr>
          <w:rFonts w:asciiTheme="majorHAnsi" w:hAnsiTheme="majorHAnsi"/>
          <w:bCs/>
          <w:sz w:val="20"/>
          <w:szCs w:val="20"/>
          <w:lang w:val="es-ES"/>
        </w:rPr>
        <w:t xml:space="preserve"> </w:t>
      </w:r>
      <w:r w:rsidRPr="00D749D5">
        <w:rPr>
          <w:rFonts w:asciiTheme="majorHAnsi" w:hAnsiTheme="majorHAnsi"/>
          <w:bCs/>
          <w:sz w:val="20"/>
          <w:szCs w:val="20"/>
          <w:lang w:val="es-ES"/>
        </w:rPr>
        <w:t xml:space="preserve">estaban distribuidas en diversas jurisdicciones del país, y que como caso excepcional, la </w:t>
      </w:r>
      <w:r w:rsidR="00E51360" w:rsidRPr="00D749D5">
        <w:rPr>
          <w:rFonts w:asciiTheme="majorHAnsi" w:hAnsiTheme="majorHAnsi"/>
          <w:bCs/>
          <w:sz w:val="20"/>
          <w:szCs w:val="20"/>
          <w:lang w:val="es-ES"/>
        </w:rPr>
        <w:t>DINTE-ARC</w:t>
      </w:r>
      <w:r w:rsidRPr="00D749D5">
        <w:rPr>
          <w:rFonts w:asciiTheme="majorHAnsi" w:hAnsiTheme="majorHAnsi"/>
          <w:bCs/>
          <w:sz w:val="20"/>
          <w:szCs w:val="20"/>
          <w:lang w:val="es-ES"/>
        </w:rPr>
        <w:t xml:space="preserve"> tuvo una </w:t>
      </w:r>
      <w:r w:rsidR="00885ABC" w:rsidRPr="00D749D5">
        <w:rPr>
          <w:rFonts w:asciiTheme="majorHAnsi" w:hAnsiTheme="majorHAnsi"/>
          <w:bCs/>
          <w:sz w:val="20"/>
          <w:szCs w:val="20"/>
          <w:lang w:val="es-ES"/>
        </w:rPr>
        <w:t>Red</w:t>
      </w:r>
      <w:r w:rsidRPr="00D749D5">
        <w:rPr>
          <w:rFonts w:asciiTheme="majorHAnsi" w:hAnsiTheme="majorHAnsi"/>
          <w:bCs/>
          <w:sz w:val="20"/>
          <w:szCs w:val="20"/>
          <w:lang w:val="es-ES"/>
        </w:rPr>
        <w:t xml:space="preserve"> en Barrancabermeja en 1992. Así, sostienen que la Red No. 07 de Inteligencia Militar de</w:t>
      </w:r>
      <w:r w:rsidR="00122E48" w:rsidRPr="00D749D5">
        <w:rPr>
          <w:rFonts w:asciiTheme="majorHAnsi" w:hAnsiTheme="majorHAnsi"/>
          <w:bCs/>
          <w:sz w:val="20"/>
          <w:szCs w:val="20"/>
          <w:lang w:val="es-ES"/>
        </w:rPr>
        <w:t xml:space="preserve"> </w:t>
      </w:r>
      <w:r w:rsidRPr="00D749D5">
        <w:rPr>
          <w:rFonts w:asciiTheme="majorHAnsi" w:hAnsiTheme="majorHAnsi"/>
          <w:bCs/>
          <w:sz w:val="20"/>
          <w:szCs w:val="20"/>
          <w:lang w:val="es-ES"/>
        </w:rPr>
        <w:t>la Armada Nacional (en adelante “Red No. 7”), con sede en Barrancabermeja, comenzó a operar en ese puerto petrolero desde octubre de 1991.</w:t>
      </w:r>
      <w:r w:rsidR="00122E48" w:rsidRPr="00D749D5">
        <w:rPr>
          <w:rFonts w:asciiTheme="majorHAnsi" w:hAnsiTheme="majorHAnsi"/>
          <w:bCs/>
          <w:sz w:val="20"/>
          <w:szCs w:val="20"/>
          <w:lang w:val="es-ES"/>
        </w:rPr>
        <w:t xml:space="preserve"> </w:t>
      </w:r>
      <w:r w:rsidRPr="00D749D5">
        <w:rPr>
          <w:rFonts w:asciiTheme="majorHAnsi" w:hAnsiTheme="majorHAnsi"/>
          <w:bCs/>
          <w:sz w:val="20"/>
          <w:szCs w:val="20"/>
          <w:lang w:val="es-ES"/>
        </w:rPr>
        <w:t xml:space="preserve">La </w:t>
      </w:r>
      <w:r w:rsidR="002E605B" w:rsidRPr="00D749D5">
        <w:rPr>
          <w:rFonts w:asciiTheme="majorHAnsi" w:hAnsiTheme="majorHAnsi"/>
          <w:bCs/>
          <w:sz w:val="20"/>
          <w:szCs w:val="20"/>
          <w:lang w:val="es-ES"/>
        </w:rPr>
        <w:t xml:space="preserve">jurisdicción que se le asignó </w:t>
      </w:r>
      <w:r w:rsidRPr="00D749D5">
        <w:rPr>
          <w:rFonts w:asciiTheme="majorHAnsi" w:hAnsiTheme="majorHAnsi"/>
          <w:bCs/>
          <w:sz w:val="20"/>
          <w:szCs w:val="20"/>
          <w:lang w:val="es-ES"/>
        </w:rPr>
        <w:t>comprendía parte del sur del departamento de Bolívar, ubicándose su zona de influencia en los municipios de Río Viejo, Morales y Gamarra en el</w:t>
      </w:r>
      <w:r w:rsidRPr="00D749D5">
        <w:rPr>
          <w:rFonts w:asciiTheme="majorHAnsi" w:hAnsiTheme="majorHAnsi"/>
          <w:sz w:val="20"/>
          <w:szCs w:val="20"/>
          <w:lang w:val="es-ES"/>
        </w:rPr>
        <w:t xml:space="preserve"> </w:t>
      </w:r>
      <w:r w:rsidRPr="00D749D5">
        <w:rPr>
          <w:rFonts w:asciiTheme="majorHAnsi" w:hAnsiTheme="majorHAnsi"/>
          <w:bCs/>
          <w:sz w:val="20"/>
          <w:szCs w:val="20"/>
          <w:lang w:val="es-ES"/>
        </w:rPr>
        <w:t>departamento del Cesar, así como en la ciudad de Barrancabermeja.</w:t>
      </w:r>
    </w:p>
    <w:p w14:paraId="53DFBEC6" w14:textId="0EA3583C" w:rsidR="00144459" w:rsidRPr="00D749D5" w:rsidRDefault="00FA047B" w:rsidP="00FA047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D749D5">
        <w:rPr>
          <w:rFonts w:asciiTheme="majorHAnsi" w:hAnsiTheme="majorHAnsi"/>
          <w:bCs/>
          <w:sz w:val="20"/>
          <w:szCs w:val="20"/>
          <w:lang w:val="es-ES"/>
        </w:rPr>
        <w:t>Los peticionarios sostienen</w:t>
      </w:r>
      <w:r w:rsidR="00DB7ED9" w:rsidRPr="00D749D5">
        <w:rPr>
          <w:rFonts w:asciiTheme="majorHAnsi" w:hAnsiTheme="majorHAnsi"/>
          <w:bCs/>
          <w:sz w:val="20"/>
          <w:szCs w:val="20"/>
          <w:lang w:val="es-ES"/>
        </w:rPr>
        <w:t xml:space="preserve"> que l</w:t>
      </w:r>
      <w:r w:rsidR="00CE6064" w:rsidRPr="00D749D5">
        <w:rPr>
          <w:rFonts w:asciiTheme="majorHAnsi" w:hAnsiTheme="majorHAnsi"/>
          <w:bCs/>
          <w:sz w:val="20"/>
          <w:szCs w:val="20"/>
          <w:lang w:val="es-ES"/>
        </w:rPr>
        <w:t xml:space="preserve">as Redes de Inteligencia actuaban </w:t>
      </w:r>
      <w:r w:rsidR="00DB7ED9" w:rsidRPr="00D749D5">
        <w:rPr>
          <w:rFonts w:asciiTheme="majorHAnsi" w:hAnsiTheme="majorHAnsi"/>
          <w:bCs/>
          <w:sz w:val="20"/>
          <w:szCs w:val="20"/>
          <w:lang w:val="es-ES"/>
        </w:rPr>
        <w:t>en contacto con o</w:t>
      </w:r>
      <w:r w:rsidR="00CE6064" w:rsidRPr="00D749D5">
        <w:rPr>
          <w:rFonts w:asciiTheme="majorHAnsi" w:hAnsiTheme="majorHAnsi"/>
          <w:bCs/>
          <w:sz w:val="20"/>
          <w:szCs w:val="20"/>
          <w:lang w:val="es-ES"/>
        </w:rPr>
        <w:t xml:space="preserve">tras áreas de la Fuerza Pública, </w:t>
      </w:r>
      <w:r w:rsidR="00DB7ED9" w:rsidRPr="00D749D5">
        <w:rPr>
          <w:rFonts w:asciiTheme="majorHAnsi" w:hAnsiTheme="majorHAnsi"/>
          <w:bCs/>
          <w:sz w:val="20"/>
          <w:szCs w:val="20"/>
          <w:lang w:val="es-ES"/>
        </w:rPr>
        <w:t>y que</w:t>
      </w:r>
      <w:r w:rsidRPr="00D749D5">
        <w:rPr>
          <w:rFonts w:asciiTheme="majorHAnsi" w:hAnsiTheme="majorHAnsi"/>
          <w:bCs/>
          <w:sz w:val="20"/>
          <w:szCs w:val="20"/>
          <w:lang w:val="es-ES"/>
        </w:rPr>
        <w:t xml:space="preserve"> su accionar </w:t>
      </w:r>
      <w:r w:rsidR="00CE6064" w:rsidRPr="00D749D5">
        <w:rPr>
          <w:rFonts w:asciiTheme="majorHAnsi" w:hAnsiTheme="majorHAnsi"/>
          <w:bCs/>
          <w:sz w:val="20"/>
          <w:szCs w:val="20"/>
          <w:lang w:val="es-ES"/>
        </w:rPr>
        <w:t>estaba articulado con sus pares en inteligencia de los Batallones del Ejército y las bases de la Fuerza Aérea ubicadas en una misma área de operaciones</w:t>
      </w:r>
      <w:r w:rsidR="00DB7ED9" w:rsidRPr="00D749D5">
        <w:rPr>
          <w:rFonts w:asciiTheme="majorHAnsi" w:hAnsiTheme="majorHAnsi"/>
          <w:bCs/>
          <w:sz w:val="20"/>
          <w:szCs w:val="20"/>
          <w:lang w:val="es-ES"/>
        </w:rPr>
        <w:t>. Refieren que e</w:t>
      </w:r>
      <w:r w:rsidR="00CE6064" w:rsidRPr="00D749D5">
        <w:rPr>
          <w:rFonts w:asciiTheme="majorHAnsi" w:hAnsiTheme="majorHAnsi"/>
          <w:bCs/>
          <w:sz w:val="20"/>
          <w:szCs w:val="20"/>
          <w:lang w:val="es-ES"/>
        </w:rPr>
        <w:t>ste vínculo también estuvo presente en la Red</w:t>
      </w:r>
      <w:r w:rsidR="00DB7ED9" w:rsidRPr="00D749D5">
        <w:rPr>
          <w:rFonts w:asciiTheme="majorHAnsi" w:hAnsiTheme="majorHAnsi"/>
          <w:bCs/>
          <w:sz w:val="20"/>
          <w:szCs w:val="20"/>
          <w:lang w:val="es-ES"/>
        </w:rPr>
        <w:t xml:space="preserve"> No. </w:t>
      </w:r>
      <w:r w:rsidR="00CE6064" w:rsidRPr="00D749D5">
        <w:rPr>
          <w:rFonts w:asciiTheme="majorHAnsi" w:hAnsiTheme="majorHAnsi"/>
          <w:bCs/>
          <w:sz w:val="20"/>
          <w:szCs w:val="20"/>
          <w:lang w:val="es-ES"/>
        </w:rPr>
        <w:t xml:space="preserve">7, con la característica </w:t>
      </w:r>
      <w:r w:rsidR="00DB7ED9" w:rsidRPr="00D749D5">
        <w:rPr>
          <w:rFonts w:asciiTheme="majorHAnsi" w:hAnsiTheme="majorHAnsi"/>
          <w:bCs/>
          <w:sz w:val="20"/>
          <w:szCs w:val="20"/>
          <w:lang w:val="es-ES"/>
        </w:rPr>
        <w:t>de que</w:t>
      </w:r>
      <w:r w:rsidR="00CE6064" w:rsidRPr="00D749D5">
        <w:rPr>
          <w:rFonts w:asciiTheme="majorHAnsi" w:hAnsiTheme="majorHAnsi"/>
          <w:bCs/>
          <w:sz w:val="20"/>
          <w:szCs w:val="20"/>
          <w:lang w:val="es-ES"/>
        </w:rPr>
        <w:t xml:space="preserve"> la colaboración no se reducía a la transmisión de la información sino al préstamo de sicarios y coordinación de masacres. </w:t>
      </w:r>
    </w:p>
    <w:p w14:paraId="49A696A2" w14:textId="1DE640C0" w:rsidR="002F6CB2" w:rsidRPr="00D749D5" w:rsidRDefault="00D570D0" w:rsidP="00963FE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D749D5">
        <w:rPr>
          <w:rFonts w:asciiTheme="majorHAnsi" w:hAnsiTheme="majorHAnsi"/>
          <w:bCs/>
          <w:sz w:val="20"/>
          <w:szCs w:val="20"/>
          <w:lang w:val="es-ES"/>
        </w:rPr>
        <w:t>Señalan que desde comienzos de 1992, en Barrancabermeja fueron asesinadas por lo menos un centenar de personas en circunstancia</w:t>
      </w:r>
      <w:r w:rsidR="00DA6F63" w:rsidRPr="00D749D5">
        <w:rPr>
          <w:rFonts w:asciiTheme="majorHAnsi" w:hAnsiTheme="majorHAnsi"/>
          <w:bCs/>
          <w:sz w:val="20"/>
          <w:szCs w:val="20"/>
          <w:lang w:val="es-ES"/>
        </w:rPr>
        <w:t xml:space="preserve">s y </w:t>
      </w:r>
      <w:r w:rsidR="00DA6F63" w:rsidRPr="00D749D5">
        <w:rPr>
          <w:rFonts w:asciiTheme="majorHAnsi" w:hAnsiTheme="majorHAnsi"/>
          <w:bCs/>
          <w:i/>
          <w:sz w:val="20"/>
          <w:szCs w:val="20"/>
          <w:lang w:val="es-ES"/>
        </w:rPr>
        <w:t>modus operandi</w:t>
      </w:r>
      <w:r w:rsidR="00122E48" w:rsidRPr="00D749D5">
        <w:rPr>
          <w:rFonts w:asciiTheme="majorHAnsi" w:hAnsiTheme="majorHAnsi"/>
          <w:bCs/>
          <w:sz w:val="20"/>
          <w:szCs w:val="20"/>
          <w:lang w:val="es-ES"/>
        </w:rPr>
        <w:t xml:space="preserve"> </w:t>
      </w:r>
      <w:r w:rsidR="00DA6F63" w:rsidRPr="00D749D5">
        <w:rPr>
          <w:rFonts w:asciiTheme="majorHAnsi" w:hAnsiTheme="majorHAnsi"/>
          <w:bCs/>
          <w:sz w:val="20"/>
          <w:szCs w:val="20"/>
          <w:lang w:val="es-ES"/>
        </w:rPr>
        <w:t>similares. Indican que</w:t>
      </w:r>
      <w:r w:rsidR="00815699" w:rsidRPr="00D749D5">
        <w:rPr>
          <w:rFonts w:asciiTheme="majorHAnsi" w:hAnsiTheme="majorHAnsi"/>
          <w:bCs/>
          <w:sz w:val="20"/>
          <w:szCs w:val="20"/>
          <w:lang w:val="es-ES"/>
        </w:rPr>
        <w:t>,</w:t>
      </w:r>
      <w:r w:rsidR="00DA6F63" w:rsidRPr="00D749D5">
        <w:rPr>
          <w:rFonts w:asciiTheme="majorHAnsi" w:hAnsiTheme="majorHAnsi"/>
          <w:bCs/>
          <w:sz w:val="20"/>
          <w:szCs w:val="20"/>
          <w:lang w:val="es-ES"/>
        </w:rPr>
        <w:t xml:space="preserve"> las ejecuciones extrajudiciales tenían características</w:t>
      </w:r>
      <w:r w:rsidR="00FA047B" w:rsidRPr="00D749D5">
        <w:rPr>
          <w:rFonts w:asciiTheme="majorHAnsi" w:hAnsiTheme="majorHAnsi"/>
          <w:bCs/>
          <w:sz w:val="20"/>
          <w:szCs w:val="20"/>
          <w:lang w:val="es-ES"/>
        </w:rPr>
        <w:t xml:space="preserve"> comunes, pues</w:t>
      </w:r>
      <w:r w:rsidR="00DA6F63" w:rsidRPr="00D749D5">
        <w:rPr>
          <w:rFonts w:asciiTheme="majorHAnsi" w:hAnsiTheme="majorHAnsi"/>
          <w:bCs/>
          <w:sz w:val="20"/>
          <w:szCs w:val="20"/>
          <w:lang w:val="es-ES"/>
        </w:rPr>
        <w:t xml:space="preserve"> los sicarios se movilizaban en moto, disparaban contra sus víctimas y huían, </w:t>
      </w:r>
      <w:r w:rsidR="00FA047B" w:rsidRPr="00D749D5">
        <w:rPr>
          <w:rFonts w:asciiTheme="majorHAnsi" w:hAnsiTheme="majorHAnsi"/>
          <w:bCs/>
          <w:sz w:val="20"/>
          <w:szCs w:val="20"/>
          <w:lang w:val="es-ES"/>
        </w:rPr>
        <w:t xml:space="preserve">con cortes de energía y </w:t>
      </w:r>
      <w:r w:rsidR="00815699" w:rsidRPr="00D749D5">
        <w:rPr>
          <w:rFonts w:asciiTheme="majorHAnsi" w:hAnsiTheme="majorHAnsi"/>
          <w:bCs/>
          <w:sz w:val="20"/>
          <w:szCs w:val="20"/>
          <w:lang w:val="es-ES"/>
        </w:rPr>
        <w:t>ausencia total de la fuerza p</w:t>
      </w:r>
      <w:r w:rsidR="00DA6F63" w:rsidRPr="00D749D5">
        <w:rPr>
          <w:rFonts w:asciiTheme="majorHAnsi" w:hAnsiTheme="majorHAnsi"/>
          <w:bCs/>
          <w:sz w:val="20"/>
          <w:szCs w:val="20"/>
          <w:lang w:val="es-ES"/>
        </w:rPr>
        <w:t xml:space="preserve">ública; generalmente no se registraba una captura o un sospechoso de los </w:t>
      </w:r>
      <w:r w:rsidR="00815699" w:rsidRPr="00D749D5">
        <w:rPr>
          <w:rFonts w:asciiTheme="majorHAnsi" w:hAnsiTheme="majorHAnsi"/>
          <w:bCs/>
          <w:sz w:val="20"/>
          <w:szCs w:val="20"/>
          <w:lang w:val="es-ES"/>
        </w:rPr>
        <w:t>hechos</w:t>
      </w:r>
      <w:r w:rsidR="00DA6F63" w:rsidRPr="00D749D5">
        <w:rPr>
          <w:rFonts w:asciiTheme="majorHAnsi" w:hAnsiTheme="majorHAnsi"/>
          <w:bCs/>
          <w:sz w:val="20"/>
          <w:szCs w:val="20"/>
          <w:lang w:val="es-ES"/>
        </w:rPr>
        <w:t>; la mayoría de las víctimas eran trabajadores de ECOPETROL, usualmente afiliados al sindicato de trabajadores Unión Sindical Obrera (en adelante “USO”), trabajadores afiliados a sindicatos del transporte, periodistas, líderes campesinos, defensores de derechos humanos y personas consideradas como disidentes políticos de izquierda. Asimismo, refieren que también hubo algunos casos de ejecuciones extrajudiciales en el marco de “limpieza social”</w:t>
      </w:r>
      <w:r w:rsidR="001E61EC" w:rsidRPr="00D749D5">
        <w:rPr>
          <w:rFonts w:asciiTheme="majorHAnsi" w:hAnsiTheme="majorHAnsi"/>
          <w:bCs/>
          <w:sz w:val="20"/>
          <w:szCs w:val="20"/>
          <w:lang w:val="es-ES"/>
        </w:rPr>
        <w:t xml:space="preserve"> para eliminar a colaboradores de la Re</w:t>
      </w:r>
      <w:r w:rsidR="00815699" w:rsidRPr="00D749D5">
        <w:rPr>
          <w:rFonts w:asciiTheme="majorHAnsi" w:hAnsiTheme="majorHAnsi"/>
          <w:bCs/>
          <w:sz w:val="20"/>
          <w:szCs w:val="20"/>
          <w:lang w:val="es-ES"/>
        </w:rPr>
        <w:t>d No. 7 porque sabían demasiado</w:t>
      </w:r>
      <w:r w:rsidR="001E61EC" w:rsidRPr="00D749D5">
        <w:rPr>
          <w:rFonts w:asciiTheme="majorHAnsi" w:hAnsiTheme="majorHAnsi"/>
          <w:bCs/>
          <w:sz w:val="20"/>
          <w:szCs w:val="20"/>
          <w:lang w:val="es-ES"/>
        </w:rPr>
        <w:t>.</w:t>
      </w:r>
    </w:p>
    <w:p w14:paraId="16EDA37D" w14:textId="71B3142B" w:rsidR="00FA48B4" w:rsidRPr="00D749D5" w:rsidRDefault="0026346E" w:rsidP="00682A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Los peticionarios </w:t>
      </w:r>
      <w:r w:rsidR="00250207" w:rsidRPr="00D749D5">
        <w:rPr>
          <w:rFonts w:asciiTheme="majorHAnsi" w:hAnsiTheme="majorHAnsi"/>
          <w:sz w:val="20"/>
          <w:szCs w:val="20"/>
          <w:lang w:val="es-ES"/>
        </w:rPr>
        <w:t xml:space="preserve">en su escrito de denuncia de 8 de octubre </w:t>
      </w:r>
      <w:r w:rsidR="00D40BE6" w:rsidRPr="00D749D5">
        <w:rPr>
          <w:rFonts w:asciiTheme="majorHAnsi" w:hAnsiTheme="majorHAnsi"/>
          <w:sz w:val="20"/>
          <w:szCs w:val="20"/>
          <w:lang w:val="es-ES"/>
        </w:rPr>
        <w:t>de 1997,</w:t>
      </w:r>
      <w:r w:rsidRPr="00D749D5">
        <w:rPr>
          <w:rFonts w:asciiTheme="majorHAnsi" w:hAnsiTheme="majorHAnsi"/>
          <w:sz w:val="20"/>
          <w:szCs w:val="20"/>
          <w:lang w:val="es-ES"/>
        </w:rPr>
        <w:t xml:space="preserve"> </w:t>
      </w:r>
      <w:r w:rsidR="00E2717D" w:rsidRPr="00D749D5">
        <w:rPr>
          <w:rFonts w:asciiTheme="majorHAnsi" w:hAnsiTheme="majorHAnsi"/>
          <w:sz w:val="20"/>
          <w:szCs w:val="20"/>
          <w:lang w:val="es-ES"/>
        </w:rPr>
        <w:t xml:space="preserve">sostuvieron </w:t>
      </w:r>
      <w:r w:rsidRPr="00D749D5">
        <w:rPr>
          <w:rFonts w:asciiTheme="majorHAnsi" w:hAnsiTheme="majorHAnsi"/>
          <w:sz w:val="20"/>
          <w:szCs w:val="20"/>
          <w:lang w:val="es-ES"/>
        </w:rPr>
        <w:t xml:space="preserve">que </w:t>
      </w:r>
      <w:r w:rsidR="00C8082D" w:rsidRPr="00D749D5">
        <w:rPr>
          <w:rFonts w:asciiTheme="majorHAnsi" w:hAnsiTheme="majorHAnsi"/>
          <w:sz w:val="20"/>
          <w:szCs w:val="20"/>
          <w:lang w:val="es-ES"/>
        </w:rPr>
        <w:t>Saulo Segura Palacios (exsuboficial de la Armada Nacional),</w:t>
      </w:r>
      <w:r w:rsidR="00661C0C" w:rsidRPr="00D749D5">
        <w:rPr>
          <w:rFonts w:asciiTheme="majorHAnsi" w:hAnsiTheme="majorHAnsi"/>
          <w:sz w:val="20"/>
          <w:szCs w:val="20"/>
          <w:lang w:val="es-ES"/>
        </w:rPr>
        <w:t xml:space="preserve"> y Carlos David López Maquillon</w:t>
      </w:r>
      <w:r w:rsidR="00C8082D" w:rsidRPr="00D749D5">
        <w:rPr>
          <w:rFonts w:asciiTheme="majorHAnsi" w:hAnsiTheme="majorHAnsi"/>
          <w:sz w:val="20"/>
          <w:szCs w:val="20"/>
          <w:lang w:val="es-ES"/>
        </w:rPr>
        <w:t xml:space="preserve"> </w:t>
      </w:r>
      <w:r w:rsidR="00661C0C" w:rsidRPr="00D749D5">
        <w:rPr>
          <w:rFonts w:asciiTheme="majorHAnsi" w:hAnsiTheme="majorHAnsi"/>
          <w:sz w:val="20"/>
          <w:szCs w:val="20"/>
          <w:lang w:val="es-ES"/>
        </w:rPr>
        <w:t>(</w:t>
      </w:r>
      <w:r w:rsidR="00C8082D" w:rsidRPr="00D749D5">
        <w:rPr>
          <w:rFonts w:asciiTheme="majorHAnsi" w:hAnsiTheme="majorHAnsi"/>
          <w:sz w:val="20"/>
          <w:szCs w:val="20"/>
          <w:lang w:val="es-ES"/>
        </w:rPr>
        <w:t>suboficial de la Armada Nacional</w:t>
      </w:r>
      <w:r w:rsidR="00661C0C" w:rsidRPr="00D749D5">
        <w:rPr>
          <w:rFonts w:asciiTheme="majorHAnsi" w:hAnsiTheme="majorHAnsi"/>
          <w:sz w:val="20"/>
          <w:szCs w:val="20"/>
          <w:lang w:val="es-ES"/>
        </w:rPr>
        <w:t>)</w:t>
      </w:r>
      <w:r w:rsidR="00C8082D" w:rsidRPr="00D749D5">
        <w:rPr>
          <w:rFonts w:asciiTheme="majorHAnsi" w:hAnsiTheme="majorHAnsi"/>
          <w:sz w:val="20"/>
          <w:szCs w:val="20"/>
          <w:lang w:val="es-ES"/>
        </w:rPr>
        <w:t>, am</w:t>
      </w:r>
      <w:r w:rsidR="00CC0188" w:rsidRPr="00D749D5">
        <w:rPr>
          <w:rFonts w:asciiTheme="majorHAnsi" w:hAnsiTheme="majorHAnsi"/>
          <w:sz w:val="20"/>
          <w:szCs w:val="20"/>
          <w:lang w:val="es-ES"/>
        </w:rPr>
        <w:t xml:space="preserve">bos integrantes de la Red No. 7, </w:t>
      </w:r>
      <w:r w:rsidR="00C8082D" w:rsidRPr="00D749D5">
        <w:rPr>
          <w:rFonts w:asciiTheme="majorHAnsi" w:hAnsiTheme="majorHAnsi"/>
          <w:sz w:val="20"/>
          <w:szCs w:val="20"/>
          <w:lang w:val="es-ES"/>
        </w:rPr>
        <w:t xml:space="preserve">denunciaron el 7 de diciembre de 1993 mediante comunicación dirigida al Fiscal General de la </w:t>
      </w:r>
      <w:r w:rsidR="00B1423E" w:rsidRPr="00D749D5">
        <w:rPr>
          <w:rFonts w:asciiTheme="majorHAnsi" w:hAnsiTheme="majorHAnsi"/>
          <w:sz w:val="20"/>
          <w:szCs w:val="20"/>
          <w:lang w:val="es-ES"/>
        </w:rPr>
        <w:t>Nación</w:t>
      </w:r>
      <w:r w:rsidR="00C8082D" w:rsidRPr="00D749D5">
        <w:rPr>
          <w:rFonts w:asciiTheme="majorHAnsi" w:hAnsiTheme="majorHAnsi"/>
          <w:sz w:val="20"/>
          <w:szCs w:val="20"/>
          <w:lang w:val="es-ES"/>
        </w:rPr>
        <w:t xml:space="preserve">, </w:t>
      </w:r>
      <w:r w:rsidR="00682AFB" w:rsidRPr="00D749D5">
        <w:rPr>
          <w:rFonts w:asciiTheme="majorHAnsi" w:hAnsiTheme="majorHAnsi"/>
          <w:sz w:val="20"/>
          <w:szCs w:val="20"/>
          <w:lang w:val="es-ES"/>
        </w:rPr>
        <w:t>la existencia de un grupo de exterminio conformado por la Red No. 7 de Inteligencia de la Armada Nacional, correspondiente a la Red Fluvial de Barrancabermeja, que oper</w:t>
      </w:r>
      <w:r w:rsidR="00076F1F" w:rsidRPr="00D749D5">
        <w:rPr>
          <w:rFonts w:asciiTheme="majorHAnsi" w:hAnsiTheme="majorHAnsi"/>
          <w:sz w:val="20"/>
          <w:szCs w:val="20"/>
          <w:lang w:val="es-ES"/>
        </w:rPr>
        <w:t>ó</w:t>
      </w:r>
      <w:r w:rsidR="00682AFB" w:rsidRPr="00D749D5">
        <w:rPr>
          <w:rFonts w:asciiTheme="majorHAnsi" w:hAnsiTheme="majorHAnsi"/>
          <w:sz w:val="20"/>
          <w:szCs w:val="20"/>
          <w:lang w:val="es-ES"/>
        </w:rPr>
        <w:t xml:space="preserve"> entre 1991 y 1993</w:t>
      </w:r>
      <w:r w:rsidR="009673C8" w:rsidRPr="00D749D5">
        <w:rPr>
          <w:rFonts w:asciiTheme="majorHAnsi" w:hAnsiTheme="majorHAnsi"/>
          <w:sz w:val="20"/>
          <w:szCs w:val="20"/>
          <w:lang w:val="es-ES"/>
        </w:rPr>
        <w:t xml:space="preserve">, </w:t>
      </w:r>
      <w:r w:rsidR="00CA7CB8" w:rsidRPr="00D749D5">
        <w:rPr>
          <w:rFonts w:asciiTheme="majorHAnsi" w:hAnsiTheme="majorHAnsi"/>
          <w:sz w:val="20"/>
          <w:szCs w:val="20"/>
          <w:lang w:val="es-ES"/>
        </w:rPr>
        <w:t>integrado por exmiembros de la Armada Nacional que recibían instrucciones de funcionarios activos de dicha institución.</w:t>
      </w:r>
      <w:r w:rsidR="000F7FDB" w:rsidRPr="00D749D5">
        <w:rPr>
          <w:rFonts w:asciiTheme="majorHAnsi" w:hAnsiTheme="majorHAnsi"/>
          <w:sz w:val="20"/>
          <w:szCs w:val="20"/>
          <w:lang w:val="es-ES"/>
        </w:rPr>
        <w:t xml:space="preserve"> Indican que su propósito era la comisión de asesinatos y matanzas selectivas respecto de personas a quienes consideraban vinculadas a organizaciones subversivas, líderes sindicales y miembros de organizaciones de derechos humanos, periodistas, y personas que ocasionalmente </w:t>
      </w:r>
      <w:r w:rsidR="000F7FDB" w:rsidRPr="00D749D5">
        <w:rPr>
          <w:rFonts w:asciiTheme="majorHAnsi" w:hAnsiTheme="majorHAnsi"/>
          <w:sz w:val="20"/>
          <w:szCs w:val="20"/>
          <w:lang w:val="es-ES"/>
        </w:rPr>
        <w:lastRenderedPageBreak/>
        <w:t>transitaban por sitios donde las víctimas se encontraban, así como acciones de la mal denominada “limpieza social”.</w:t>
      </w:r>
    </w:p>
    <w:p w14:paraId="35A5B5B2" w14:textId="33053ACD" w:rsidR="0026346E" w:rsidRPr="00D749D5" w:rsidRDefault="009673C8" w:rsidP="00682A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 </w:t>
      </w:r>
      <w:r w:rsidR="00D269F4" w:rsidRPr="00D749D5">
        <w:rPr>
          <w:rFonts w:asciiTheme="majorHAnsi" w:hAnsiTheme="majorHAnsi"/>
          <w:sz w:val="20"/>
          <w:szCs w:val="20"/>
          <w:lang w:val="es-ES"/>
        </w:rPr>
        <w:t xml:space="preserve">Indican que los hechos relatados por estas personas fueron confrontados con organismos de investigación del Estado, la Procuraduría y Fiscalía General de la Nación, encontrándose que la descripción de los mismos coincidía con la información recogida en las respectivas investigaciones. </w:t>
      </w:r>
    </w:p>
    <w:p w14:paraId="71D984E1" w14:textId="46D7FE8C" w:rsidR="002F3860" w:rsidRPr="00D329BB" w:rsidRDefault="001E3960" w:rsidP="00D329B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Los peticionarios refieren en particular, la situación de las siguientes presuntas víctimas:</w:t>
      </w:r>
    </w:p>
    <w:p w14:paraId="31384BDA" w14:textId="77777777" w:rsidR="000A266E" w:rsidRPr="00D749D5" w:rsidRDefault="003A108C"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1440" w:hanging="720"/>
        <w:jc w:val="both"/>
        <w:rPr>
          <w:rFonts w:asciiTheme="majorHAnsi" w:hAnsiTheme="majorHAnsi"/>
          <w:b/>
          <w:color w:val="auto"/>
          <w:sz w:val="20"/>
          <w:szCs w:val="20"/>
          <w:lang w:val="es-ES"/>
        </w:rPr>
      </w:pPr>
      <w:r w:rsidRPr="00D749D5">
        <w:rPr>
          <w:rFonts w:asciiTheme="majorHAnsi" w:hAnsiTheme="majorHAnsi"/>
          <w:b/>
          <w:color w:val="auto"/>
          <w:sz w:val="20"/>
          <w:szCs w:val="20"/>
          <w:lang w:val="es-ES"/>
        </w:rPr>
        <w:t>Masacre</w:t>
      </w:r>
      <w:r w:rsidR="00051FC2" w:rsidRPr="00D749D5">
        <w:rPr>
          <w:rFonts w:asciiTheme="majorHAnsi" w:hAnsiTheme="majorHAnsi"/>
          <w:b/>
          <w:color w:val="auto"/>
          <w:sz w:val="20"/>
          <w:szCs w:val="20"/>
          <w:lang w:val="es-ES"/>
        </w:rPr>
        <w:t xml:space="preserve"> de los Billares “El Tropezón”</w:t>
      </w:r>
      <w:r w:rsidR="00317486" w:rsidRPr="00D749D5">
        <w:rPr>
          <w:rFonts w:asciiTheme="majorHAnsi" w:hAnsiTheme="majorHAnsi"/>
          <w:b/>
          <w:color w:val="auto"/>
          <w:sz w:val="20"/>
          <w:szCs w:val="20"/>
          <w:lang w:val="es-ES"/>
        </w:rPr>
        <w:t>, Barrio La Esperanza</w:t>
      </w:r>
    </w:p>
    <w:p w14:paraId="57C2AA08" w14:textId="227F206E" w:rsidR="00E8651A" w:rsidRPr="00D749D5" w:rsidRDefault="008C71AA" w:rsidP="003624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D749D5">
        <w:rPr>
          <w:rFonts w:asciiTheme="majorHAnsi" w:hAnsiTheme="majorHAnsi"/>
          <w:sz w:val="20"/>
          <w:szCs w:val="20"/>
          <w:lang w:val="es-ES"/>
        </w:rPr>
        <w:t xml:space="preserve">Se </w:t>
      </w:r>
      <w:r w:rsidR="00722EAF">
        <w:rPr>
          <w:rFonts w:asciiTheme="majorHAnsi" w:hAnsiTheme="majorHAnsi"/>
          <w:sz w:val="20"/>
          <w:szCs w:val="20"/>
          <w:lang w:val="es-ES"/>
        </w:rPr>
        <w:t>alega</w:t>
      </w:r>
      <w:r w:rsidRPr="00D749D5">
        <w:rPr>
          <w:rFonts w:asciiTheme="majorHAnsi" w:hAnsiTheme="majorHAnsi"/>
          <w:sz w:val="20"/>
          <w:szCs w:val="20"/>
          <w:lang w:val="es-ES"/>
        </w:rPr>
        <w:t xml:space="preserve"> que el 24 de enero de 1992 en los billares del Barrio La Esperanza, </w:t>
      </w:r>
      <w:r w:rsidR="0019613C" w:rsidRPr="00D749D5">
        <w:rPr>
          <w:rFonts w:asciiTheme="majorHAnsi" w:hAnsiTheme="majorHAnsi"/>
          <w:sz w:val="20"/>
          <w:szCs w:val="20"/>
          <w:lang w:val="es-ES"/>
        </w:rPr>
        <w:t xml:space="preserve">a las 9:30 de la noche, un grupo de sujetos armados </w:t>
      </w:r>
      <w:r w:rsidR="007C0E7A" w:rsidRPr="00D749D5">
        <w:rPr>
          <w:rFonts w:asciiTheme="majorHAnsi" w:hAnsiTheme="majorHAnsi"/>
          <w:sz w:val="20"/>
          <w:szCs w:val="20"/>
          <w:lang w:val="es-ES"/>
        </w:rPr>
        <w:t xml:space="preserve">y con sus rostros cubiertos, </w:t>
      </w:r>
      <w:r w:rsidR="0019613C" w:rsidRPr="00D749D5">
        <w:rPr>
          <w:rFonts w:asciiTheme="majorHAnsi" w:hAnsiTheme="majorHAnsi"/>
          <w:sz w:val="20"/>
          <w:szCs w:val="20"/>
          <w:lang w:val="es-ES"/>
        </w:rPr>
        <w:t xml:space="preserve">ingreso a los billares, </w:t>
      </w:r>
      <w:r w:rsidR="007C0E7A" w:rsidRPr="00D749D5">
        <w:rPr>
          <w:rFonts w:asciiTheme="majorHAnsi" w:hAnsiTheme="majorHAnsi"/>
          <w:sz w:val="20"/>
          <w:szCs w:val="20"/>
          <w:lang w:val="es-ES"/>
        </w:rPr>
        <w:t xml:space="preserve">detonando una granada y </w:t>
      </w:r>
      <w:r w:rsidR="0019613C" w:rsidRPr="00D749D5">
        <w:rPr>
          <w:rFonts w:asciiTheme="majorHAnsi" w:hAnsiTheme="majorHAnsi"/>
          <w:sz w:val="20"/>
          <w:szCs w:val="20"/>
          <w:lang w:val="es-ES"/>
        </w:rPr>
        <w:t xml:space="preserve">disparando indiscriminadamente </w:t>
      </w:r>
      <w:r w:rsidR="00955385" w:rsidRPr="00D749D5">
        <w:rPr>
          <w:rFonts w:asciiTheme="majorHAnsi" w:hAnsiTheme="majorHAnsi"/>
          <w:sz w:val="20"/>
          <w:szCs w:val="20"/>
          <w:lang w:val="es-ES"/>
        </w:rPr>
        <w:t xml:space="preserve">sobre los concurrentes, causando la muerte de Jorge Dolores Silva Quiñones, </w:t>
      </w:r>
      <w:r w:rsidR="0080136F" w:rsidRPr="00D749D5">
        <w:rPr>
          <w:rFonts w:asciiTheme="majorHAnsi" w:hAnsiTheme="majorHAnsi"/>
          <w:sz w:val="20"/>
          <w:szCs w:val="20"/>
          <w:lang w:val="es-ES"/>
        </w:rPr>
        <w:t xml:space="preserve">de profesión celador, </w:t>
      </w:r>
      <w:r w:rsidR="00955385" w:rsidRPr="00D749D5">
        <w:rPr>
          <w:rFonts w:asciiTheme="majorHAnsi" w:hAnsiTheme="majorHAnsi"/>
          <w:sz w:val="20"/>
          <w:szCs w:val="20"/>
          <w:lang w:val="es-ES"/>
        </w:rPr>
        <w:t xml:space="preserve">Gustavo Rojas Ortiz, </w:t>
      </w:r>
      <w:r w:rsidR="0080136F" w:rsidRPr="00D749D5">
        <w:rPr>
          <w:rFonts w:asciiTheme="majorHAnsi" w:hAnsiTheme="majorHAnsi"/>
          <w:sz w:val="20"/>
          <w:szCs w:val="20"/>
          <w:lang w:val="es-ES"/>
        </w:rPr>
        <w:t xml:space="preserve">empleado temporal de Ecopetrol, </w:t>
      </w:r>
      <w:r w:rsidR="00955385" w:rsidRPr="00D749D5">
        <w:rPr>
          <w:rFonts w:asciiTheme="majorHAnsi" w:hAnsiTheme="majorHAnsi"/>
          <w:sz w:val="20"/>
          <w:szCs w:val="20"/>
          <w:lang w:val="es-ES"/>
        </w:rPr>
        <w:t xml:space="preserve">Humberto Atencia Canchilla, </w:t>
      </w:r>
      <w:r w:rsidR="0080136F" w:rsidRPr="00D749D5">
        <w:rPr>
          <w:rFonts w:asciiTheme="majorHAnsi" w:hAnsiTheme="majorHAnsi"/>
          <w:sz w:val="20"/>
          <w:szCs w:val="20"/>
          <w:lang w:val="es-ES"/>
        </w:rPr>
        <w:t xml:space="preserve">de profesión mecánico, </w:t>
      </w:r>
      <w:r w:rsidR="00955385" w:rsidRPr="00D749D5">
        <w:rPr>
          <w:rFonts w:asciiTheme="majorHAnsi" w:hAnsiTheme="majorHAnsi"/>
          <w:sz w:val="20"/>
          <w:szCs w:val="20"/>
          <w:lang w:val="es-ES"/>
        </w:rPr>
        <w:t xml:space="preserve">Carlos Alberto Álvarez Ahumada, </w:t>
      </w:r>
      <w:r w:rsidR="0080136F" w:rsidRPr="00D749D5">
        <w:rPr>
          <w:rFonts w:asciiTheme="majorHAnsi" w:hAnsiTheme="majorHAnsi"/>
          <w:sz w:val="20"/>
          <w:szCs w:val="20"/>
          <w:lang w:val="es-ES"/>
        </w:rPr>
        <w:t xml:space="preserve">estudiante, y </w:t>
      </w:r>
      <w:r w:rsidR="00955385" w:rsidRPr="00D749D5">
        <w:rPr>
          <w:rFonts w:asciiTheme="majorHAnsi" w:hAnsiTheme="majorHAnsi"/>
          <w:sz w:val="20"/>
          <w:szCs w:val="20"/>
          <w:lang w:val="es-ES"/>
        </w:rPr>
        <w:t>Pablo Emilio Pinto</w:t>
      </w:r>
      <w:r w:rsidR="0080136F" w:rsidRPr="00D749D5">
        <w:rPr>
          <w:rFonts w:asciiTheme="majorHAnsi" w:hAnsiTheme="majorHAnsi"/>
          <w:sz w:val="20"/>
          <w:szCs w:val="20"/>
          <w:lang w:val="es-ES"/>
        </w:rPr>
        <w:t>, pensionado de Ecopetrol</w:t>
      </w:r>
      <w:r w:rsidR="0036242C" w:rsidRPr="00D749D5">
        <w:rPr>
          <w:rFonts w:asciiTheme="majorHAnsi" w:hAnsiTheme="majorHAnsi"/>
          <w:sz w:val="20"/>
          <w:szCs w:val="20"/>
          <w:lang w:val="es-ES"/>
        </w:rPr>
        <w:t xml:space="preserve">. </w:t>
      </w:r>
    </w:p>
    <w:p w14:paraId="6201EBD1" w14:textId="5C33E39E" w:rsidR="008C71AA" w:rsidRPr="00D749D5" w:rsidRDefault="0036242C" w:rsidP="003624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D749D5">
        <w:rPr>
          <w:rFonts w:asciiTheme="majorHAnsi" w:hAnsiTheme="majorHAnsi"/>
          <w:sz w:val="20"/>
          <w:szCs w:val="20"/>
          <w:lang w:val="es-ES"/>
        </w:rPr>
        <w:t xml:space="preserve">Además </w:t>
      </w:r>
      <w:r w:rsidR="0030492D" w:rsidRPr="00D749D5">
        <w:rPr>
          <w:rFonts w:asciiTheme="majorHAnsi" w:hAnsiTheme="majorHAnsi"/>
          <w:sz w:val="20"/>
          <w:szCs w:val="20"/>
          <w:lang w:val="es-ES"/>
        </w:rPr>
        <w:t>refieren</w:t>
      </w:r>
      <w:r w:rsidRPr="00D749D5">
        <w:rPr>
          <w:rFonts w:asciiTheme="majorHAnsi" w:hAnsiTheme="majorHAnsi"/>
          <w:sz w:val="20"/>
          <w:szCs w:val="20"/>
          <w:lang w:val="es-ES"/>
        </w:rPr>
        <w:t xml:space="preserve"> que en esta acción resultaron heridos Edison Silva, Luis A. Acuña Gomez, Luis José Ariza, Daniel Neira Arenas.</w:t>
      </w:r>
      <w:r w:rsidR="007C0E7A" w:rsidRPr="00D749D5">
        <w:rPr>
          <w:rFonts w:asciiTheme="majorHAnsi" w:hAnsiTheme="majorHAnsi"/>
          <w:sz w:val="20"/>
          <w:szCs w:val="20"/>
          <w:lang w:val="es-ES"/>
        </w:rPr>
        <w:t xml:space="preserve"> </w:t>
      </w:r>
    </w:p>
    <w:p w14:paraId="7EC094E0" w14:textId="77777777" w:rsidR="007C0E7A" w:rsidRPr="00D749D5" w:rsidRDefault="007C0E7A"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b/>
          <w:color w:val="auto"/>
          <w:sz w:val="20"/>
          <w:szCs w:val="20"/>
          <w:lang w:val="es-ES"/>
        </w:rPr>
      </w:pPr>
      <w:r w:rsidRPr="00D749D5">
        <w:rPr>
          <w:rFonts w:asciiTheme="majorHAnsi" w:hAnsiTheme="majorHAnsi"/>
          <w:b/>
          <w:color w:val="auto"/>
          <w:sz w:val="20"/>
          <w:szCs w:val="20"/>
          <w:lang w:val="es-ES"/>
        </w:rPr>
        <w:t xml:space="preserve">Ejecución Extrajudicial de Blanca Cecilia Valero de Duran </w:t>
      </w:r>
    </w:p>
    <w:p w14:paraId="3D1C616B" w14:textId="020BD9EE" w:rsidR="003A108C" w:rsidRPr="00D749D5" w:rsidRDefault="000B36FE" w:rsidP="000B36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Se relata que el 29 de enero de 1992 fue asesinada la secretaria del</w:t>
      </w:r>
      <w:r w:rsidR="00A55513" w:rsidRPr="00D749D5">
        <w:rPr>
          <w:rFonts w:asciiTheme="majorHAnsi" w:hAnsiTheme="majorHAnsi"/>
          <w:sz w:val="20"/>
          <w:szCs w:val="20"/>
          <w:lang w:val="es-ES"/>
        </w:rPr>
        <w:t xml:space="preserve"> C</w:t>
      </w:r>
      <w:r w:rsidRPr="00D749D5">
        <w:rPr>
          <w:rFonts w:asciiTheme="majorHAnsi" w:hAnsiTheme="majorHAnsi"/>
          <w:sz w:val="20"/>
          <w:szCs w:val="20"/>
          <w:lang w:val="es-ES"/>
        </w:rPr>
        <w:t xml:space="preserve">omité </w:t>
      </w:r>
      <w:r w:rsidR="00A55513" w:rsidRPr="00D749D5">
        <w:rPr>
          <w:rFonts w:asciiTheme="majorHAnsi" w:hAnsiTheme="majorHAnsi"/>
          <w:sz w:val="20"/>
          <w:szCs w:val="20"/>
          <w:lang w:val="es-ES"/>
        </w:rPr>
        <w:t>de Derechos H</w:t>
      </w:r>
      <w:r w:rsidR="00153401" w:rsidRPr="00D749D5">
        <w:rPr>
          <w:rFonts w:asciiTheme="majorHAnsi" w:hAnsiTheme="majorHAnsi"/>
          <w:sz w:val="20"/>
          <w:szCs w:val="20"/>
          <w:lang w:val="es-ES"/>
        </w:rPr>
        <w:t>umanos del Magdalena Medio (en adelante “</w:t>
      </w:r>
      <w:r w:rsidRPr="00D749D5">
        <w:rPr>
          <w:rFonts w:asciiTheme="majorHAnsi" w:hAnsiTheme="majorHAnsi"/>
          <w:sz w:val="20"/>
          <w:szCs w:val="20"/>
          <w:lang w:val="es-ES"/>
        </w:rPr>
        <w:t>Credhos”</w:t>
      </w:r>
      <w:r w:rsidR="00153401" w:rsidRPr="00D749D5">
        <w:rPr>
          <w:rFonts w:asciiTheme="majorHAnsi" w:hAnsiTheme="majorHAnsi"/>
          <w:sz w:val="20"/>
          <w:szCs w:val="20"/>
          <w:lang w:val="es-ES"/>
        </w:rPr>
        <w:t>)</w:t>
      </w:r>
      <w:r w:rsidRPr="00D749D5">
        <w:rPr>
          <w:rFonts w:asciiTheme="majorHAnsi" w:hAnsiTheme="majorHAnsi"/>
          <w:sz w:val="20"/>
          <w:szCs w:val="20"/>
          <w:lang w:val="es-ES"/>
        </w:rPr>
        <w:t xml:space="preserve">, </w:t>
      </w:r>
      <w:r w:rsidR="005C7A6F" w:rsidRPr="00D749D5">
        <w:rPr>
          <w:rFonts w:asciiTheme="majorHAnsi" w:hAnsiTheme="majorHAnsi"/>
          <w:sz w:val="20"/>
          <w:szCs w:val="20"/>
          <w:lang w:val="es-ES"/>
        </w:rPr>
        <w:t>Blanca Cecilia Valero d</w:t>
      </w:r>
      <w:r w:rsidRPr="00D749D5">
        <w:rPr>
          <w:rFonts w:asciiTheme="majorHAnsi" w:hAnsiTheme="majorHAnsi"/>
          <w:sz w:val="20"/>
          <w:szCs w:val="20"/>
          <w:lang w:val="es-ES"/>
        </w:rPr>
        <w:t>e Duran</w:t>
      </w:r>
      <w:r w:rsidR="001A67F0" w:rsidRPr="00D749D5">
        <w:rPr>
          <w:rFonts w:asciiTheme="majorHAnsi" w:hAnsiTheme="majorHAnsi"/>
          <w:sz w:val="20"/>
          <w:szCs w:val="20"/>
          <w:lang w:val="es-ES"/>
        </w:rPr>
        <w:t>, en circunstancias en que salía de su oficina y esperaba</w:t>
      </w:r>
      <w:r w:rsidR="00722EAF">
        <w:rPr>
          <w:rFonts w:asciiTheme="majorHAnsi" w:hAnsiTheme="majorHAnsi"/>
          <w:sz w:val="20"/>
          <w:szCs w:val="20"/>
          <w:lang w:val="es-ES"/>
        </w:rPr>
        <w:t xml:space="preserve"> un</w:t>
      </w:r>
      <w:r w:rsidR="001A67F0" w:rsidRPr="00D749D5">
        <w:rPr>
          <w:rFonts w:asciiTheme="majorHAnsi" w:hAnsiTheme="majorHAnsi"/>
          <w:sz w:val="20"/>
          <w:szCs w:val="20"/>
          <w:lang w:val="es-ES"/>
        </w:rPr>
        <w:t xml:space="preserve"> taxi. Indican que aparentemente los sicarios iban en búsqueda </w:t>
      </w:r>
      <w:r w:rsidR="002C3263" w:rsidRPr="00D749D5">
        <w:rPr>
          <w:rFonts w:asciiTheme="majorHAnsi" w:hAnsiTheme="majorHAnsi"/>
          <w:sz w:val="20"/>
          <w:szCs w:val="20"/>
          <w:lang w:val="es-ES"/>
        </w:rPr>
        <w:t xml:space="preserve">de </w:t>
      </w:r>
      <w:r w:rsidR="001A67F0" w:rsidRPr="00D749D5">
        <w:rPr>
          <w:rFonts w:asciiTheme="majorHAnsi" w:hAnsiTheme="majorHAnsi"/>
          <w:sz w:val="20"/>
          <w:szCs w:val="20"/>
          <w:lang w:val="es-ES"/>
        </w:rPr>
        <w:t xml:space="preserve">la Secretaria General de la organización, quien </w:t>
      </w:r>
      <w:r w:rsidR="00795CD0" w:rsidRPr="00D749D5">
        <w:rPr>
          <w:rFonts w:asciiTheme="majorHAnsi" w:hAnsiTheme="majorHAnsi"/>
          <w:sz w:val="20"/>
          <w:szCs w:val="20"/>
          <w:lang w:val="es-ES"/>
        </w:rPr>
        <w:t xml:space="preserve">había pedido el taxi y luego </w:t>
      </w:r>
      <w:r w:rsidR="001A67F0" w:rsidRPr="00D749D5">
        <w:rPr>
          <w:rFonts w:asciiTheme="majorHAnsi" w:hAnsiTheme="majorHAnsi"/>
          <w:sz w:val="20"/>
          <w:szCs w:val="20"/>
          <w:lang w:val="es-ES"/>
        </w:rPr>
        <w:t>decidió no abordarlo, por lo que la presunta víctima procedió a utilizarlo.</w:t>
      </w:r>
      <w:r w:rsidR="007F559E" w:rsidRPr="00D749D5">
        <w:rPr>
          <w:rFonts w:asciiTheme="majorHAnsi" w:hAnsiTheme="majorHAnsi"/>
          <w:sz w:val="20"/>
          <w:szCs w:val="20"/>
          <w:lang w:val="es-ES"/>
        </w:rPr>
        <w:t xml:space="preserve"> </w:t>
      </w:r>
      <w:r w:rsidR="00A55513" w:rsidRPr="00D749D5">
        <w:rPr>
          <w:rFonts w:asciiTheme="majorHAnsi" w:hAnsiTheme="majorHAnsi"/>
          <w:sz w:val="20"/>
          <w:szCs w:val="20"/>
          <w:lang w:val="es-ES"/>
        </w:rPr>
        <w:t>Refieren que la presunta víctima recibió dos impactos de bala en el rostro y que en horas previas al asesinato, se observó en la ciudad de Barrancabermeja un inusitado despliegue de la fuerza pública.</w:t>
      </w:r>
      <w:r w:rsidR="00795CD0" w:rsidRPr="00D749D5">
        <w:rPr>
          <w:rFonts w:asciiTheme="majorHAnsi" w:hAnsiTheme="majorHAnsi"/>
          <w:sz w:val="20"/>
          <w:szCs w:val="20"/>
          <w:lang w:val="es-ES"/>
        </w:rPr>
        <w:t xml:space="preserve"> </w:t>
      </w:r>
    </w:p>
    <w:p w14:paraId="04D20C15" w14:textId="77777777" w:rsidR="00795CD0" w:rsidRPr="00D749D5" w:rsidRDefault="00795CD0" w:rsidP="000B36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Agregan que el 31 de enero de 1992 el Ejército Nacional expidió un informe de inteligencia en el que se consign</w:t>
      </w:r>
      <w:r w:rsidR="00153401" w:rsidRPr="00D749D5">
        <w:rPr>
          <w:rFonts w:asciiTheme="majorHAnsi" w:hAnsiTheme="majorHAnsi"/>
          <w:sz w:val="20"/>
          <w:szCs w:val="20"/>
          <w:lang w:val="es-ES"/>
        </w:rPr>
        <w:t>ó</w:t>
      </w:r>
      <w:r w:rsidRPr="00D749D5">
        <w:rPr>
          <w:rFonts w:asciiTheme="majorHAnsi" w:hAnsiTheme="majorHAnsi"/>
          <w:sz w:val="20"/>
          <w:szCs w:val="20"/>
          <w:lang w:val="es-ES"/>
        </w:rPr>
        <w:t xml:space="preserve"> el asesinato de Blanca Valero como muerte de un presunto miembro de las FARC por desconocidos.</w:t>
      </w:r>
    </w:p>
    <w:p w14:paraId="09263CAD" w14:textId="77777777" w:rsidR="003A108C" w:rsidRPr="00D749D5" w:rsidRDefault="00864A76"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b/>
          <w:color w:val="auto"/>
          <w:sz w:val="20"/>
          <w:szCs w:val="20"/>
          <w:lang w:val="es-ES"/>
        </w:rPr>
      </w:pPr>
      <w:r w:rsidRPr="00D749D5">
        <w:rPr>
          <w:rFonts w:asciiTheme="majorHAnsi" w:hAnsiTheme="majorHAnsi"/>
          <w:b/>
          <w:color w:val="auto"/>
          <w:sz w:val="20"/>
          <w:szCs w:val="20"/>
          <w:lang w:val="es-ES"/>
        </w:rPr>
        <w:t>Masacre en el estadero “Nueve de abril” de Barrancabermeja</w:t>
      </w:r>
    </w:p>
    <w:p w14:paraId="1AF2716C" w14:textId="77777777" w:rsidR="00864A76" w:rsidRPr="00D749D5" w:rsidRDefault="00511146" w:rsidP="008749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Señalan que el 9 de febrero de 1992 dos sujetos movilizados en una moto llegaron al estadero “9 de abril”,</w:t>
      </w:r>
      <w:r w:rsidR="000F64F4" w:rsidRPr="00D749D5">
        <w:rPr>
          <w:rFonts w:asciiTheme="majorHAnsi" w:hAnsiTheme="majorHAnsi"/>
          <w:sz w:val="20"/>
          <w:szCs w:val="20"/>
          <w:lang w:val="es-ES"/>
        </w:rPr>
        <w:t xml:space="preserve"> situando en Barrancabermeja,</w:t>
      </w:r>
      <w:r w:rsidRPr="00D749D5">
        <w:rPr>
          <w:rFonts w:asciiTheme="majorHAnsi" w:hAnsiTheme="majorHAnsi"/>
          <w:sz w:val="20"/>
          <w:szCs w:val="20"/>
          <w:lang w:val="es-ES"/>
        </w:rPr>
        <w:t xml:space="preserve"> en </w:t>
      </w:r>
      <w:r w:rsidR="00C44CDF" w:rsidRPr="00D749D5">
        <w:rPr>
          <w:rFonts w:asciiTheme="majorHAnsi" w:hAnsiTheme="majorHAnsi"/>
          <w:sz w:val="20"/>
          <w:szCs w:val="20"/>
          <w:lang w:val="es-ES"/>
        </w:rPr>
        <w:t>momentos</w:t>
      </w:r>
      <w:r w:rsidRPr="00D749D5">
        <w:rPr>
          <w:rFonts w:asciiTheme="majorHAnsi" w:hAnsiTheme="majorHAnsi"/>
          <w:sz w:val="20"/>
          <w:szCs w:val="20"/>
          <w:lang w:val="es-ES"/>
        </w:rPr>
        <w:t xml:space="preserve"> en que se encontraba reunida una gran cantidad de personas, </w:t>
      </w:r>
      <w:r w:rsidR="00C44CDF" w:rsidRPr="00D749D5">
        <w:rPr>
          <w:rFonts w:asciiTheme="majorHAnsi" w:hAnsiTheme="majorHAnsi"/>
          <w:sz w:val="20"/>
          <w:szCs w:val="20"/>
          <w:lang w:val="es-ES"/>
        </w:rPr>
        <w:t>y dispararon contra</w:t>
      </w:r>
      <w:r w:rsidR="000A0BF1" w:rsidRPr="00D749D5">
        <w:rPr>
          <w:rFonts w:asciiTheme="majorHAnsi" w:hAnsiTheme="majorHAnsi"/>
          <w:sz w:val="20"/>
          <w:szCs w:val="20"/>
          <w:lang w:val="es-ES"/>
        </w:rPr>
        <w:t xml:space="preserve"> Jaime Garcés </w:t>
      </w:r>
      <w:r w:rsidR="00662DB5" w:rsidRPr="00D749D5">
        <w:rPr>
          <w:rFonts w:asciiTheme="majorHAnsi" w:hAnsiTheme="majorHAnsi"/>
          <w:sz w:val="20"/>
          <w:szCs w:val="20"/>
          <w:lang w:val="es-ES"/>
        </w:rPr>
        <w:t>Núñez</w:t>
      </w:r>
      <w:r w:rsidR="00C44CDF" w:rsidRPr="00D749D5">
        <w:rPr>
          <w:rFonts w:asciiTheme="majorHAnsi" w:hAnsiTheme="majorHAnsi"/>
          <w:sz w:val="20"/>
          <w:szCs w:val="20"/>
          <w:lang w:val="es-ES"/>
        </w:rPr>
        <w:t>,</w:t>
      </w:r>
      <w:r w:rsidR="000A0BF1" w:rsidRPr="00D749D5">
        <w:rPr>
          <w:rFonts w:asciiTheme="majorHAnsi" w:hAnsiTheme="majorHAnsi"/>
          <w:sz w:val="20"/>
          <w:szCs w:val="20"/>
          <w:lang w:val="es-ES"/>
        </w:rPr>
        <w:t xml:space="preserve"> conductor de bus y tesorero del sindicato de conductores y trabajadores de la industria de transporte de Santander SINCOTRAINDER, José Domingo Amaya Parra, vicepresidente de SINCOTRAINDER, Luis Guillermo Niño Berbeo,</w:t>
      </w:r>
      <w:r w:rsidR="00AC6E23" w:rsidRPr="00D749D5">
        <w:rPr>
          <w:rFonts w:asciiTheme="majorHAnsi" w:hAnsiTheme="majorHAnsi"/>
          <w:sz w:val="20"/>
          <w:szCs w:val="20"/>
          <w:lang w:val="es-ES"/>
        </w:rPr>
        <w:t xml:space="preserve"> conductor de bus de la empresa de transporte San Silvestre y afiliado a SINCOTRAINDER, quien resultó mortalmente herido, falleciendo el día siguiente, Nubia Lozano Alvarez, dedicada a labores del hogar, </w:t>
      </w:r>
      <w:r w:rsidR="000960FC" w:rsidRPr="00D749D5">
        <w:rPr>
          <w:rFonts w:asciiTheme="majorHAnsi" w:hAnsiTheme="majorHAnsi"/>
          <w:sz w:val="20"/>
          <w:szCs w:val="20"/>
          <w:lang w:val="es-ES"/>
        </w:rPr>
        <w:t>Pablo José Narvá</w:t>
      </w:r>
      <w:r w:rsidR="00AC6E23" w:rsidRPr="00D749D5">
        <w:rPr>
          <w:rFonts w:asciiTheme="majorHAnsi" w:hAnsiTheme="majorHAnsi"/>
          <w:sz w:val="20"/>
          <w:szCs w:val="20"/>
          <w:lang w:val="es-ES"/>
        </w:rPr>
        <w:t>ez, empleado de servicios Chucurí, casado con la recién mencionada, Eduviges López Ruíz, dedicada a labores del hogar, Tarcil</w:t>
      </w:r>
      <w:r w:rsidR="00A55211" w:rsidRPr="00D749D5">
        <w:rPr>
          <w:rFonts w:asciiTheme="majorHAnsi" w:hAnsiTheme="majorHAnsi"/>
          <w:sz w:val="20"/>
          <w:szCs w:val="20"/>
          <w:lang w:val="es-ES"/>
        </w:rPr>
        <w:t>i</w:t>
      </w:r>
      <w:r w:rsidR="00AC6E23" w:rsidRPr="00D749D5">
        <w:rPr>
          <w:rFonts w:asciiTheme="majorHAnsi" w:hAnsiTheme="majorHAnsi"/>
          <w:sz w:val="20"/>
          <w:szCs w:val="20"/>
          <w:lang w:val="es-ES"/>
        </w:rPr>
        <w:t xml:space="preserve">a Rosa Días Valeta, esposa de Jaime Garcés, quien </w:t>
      </w:r>
      <w:r w:rsidR="00E8651A" w:rsidRPr="00D749D5">
        <w:rPr>
          <w:rFonts w:asciiTheme="majorHAnsi" w:hAnsiTheme="majorHAnsi"/>
          <w:sz w:val="20"/>
          <w:szCs w:val="20"/>
          <w:lang w:val="es-ES"/>
        </w:rPr>
        <w:t>resultó herida de gravedad, falleciendo el 24 de febrero de 1992 en un recinto hospitalario</w:t>
      </w:r>
      <w:r w:rsidR="00874986" w:rsidRPr="00D749D5">
        <w:rPr>
          <w:rFonts w:asciiTheme="majorHAnsi" w:hAnsiTheme="majorHAnsi"/>
          <w:sz w:val="20"/>
          <w:szCs w:val="20"/>
          <w:lang w:val="es-ES"/>
        </w:rPr>
        <w:t>, y Marcela Díaz quien resultó herida</w:t>
      </w:r>
      <w:r w:rsidR="00E36DC8" w:rsidRPr="00D749D5">
        <w:rPr>
          <w:rFonts w:asciiTheme="majorHAnsi" w:hAnsiTheme="majorHAnsi"/>
          <w:sz w:val="20"/>
          <w:szCs w:val="20"/>
          <w:lang w:val="es-ES"/>
        </w:rPr>
        <w:t xml:space="preserve">, </w:t>
      </w:r>
      <w:r w:rsidR="00956660" w:rsidRPr="00D749D5">
        <w:rPr>
          <w:rFonts w:asciiTheme="majorHAnsi" w:hAnsiTheme="majorHAnsi"/>
          <w:sz w:val="20"/>
          <w:szCs w:val="20"/>
          <w:lang w:val="es-ES"/>
        </w:rPr>
        <w:t>y</w:t>
      </w:r>
      <w:r w:rsidR="00874986" w:rsidRPr="00D749D5">
        <w:rPr>
          <w:rFonts w:asciiTheme="majorHAnsi" w:hAnsiTheme="majorHAnsi"/>
          <w:sz w:val="20"/>
          <w:szCs w:val="20"/>
          <w:lang w:val="es-ES"/>
        </w:rPr>
        <w:t xml:space="preserve"> falleció posteriormente</w:t>
      </w:r>
      <w:r w:rsidR="00E8651A" w:rsidRPr="00D749D5">
        <w:rPr>
          <w:rFonts w:asciiTheme="majorHAnsi" w:hAnsiTheme="majorHAnsi"/>
          <w:sz w:val="20"/>
          <w:szCs w:val="20"/>
          <w:lang w:val="es-ES"/>
        </w:rPr>
        <w:t>.</w:t>
      </w:r>
    </w:p>
    <w:p w14:paraId="5BA15A53" w14:textId="6E98B4CB" w:rsidR="00001C6A" w:rsidRDefault="00E8651A" w:rsidP="00001C6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Además</w:t>
      </w:r>
      <w:r w:rsidR="005C7A6F" w:rsidRPr="00D749D5">
        <w:rPr>
          <w:rFonts w:asciiTheme="majorHAnsi" w:hAnsiTheme="majorHAnsi"/>
          <w:sz w:val="20"/>
          <w:szCs w:val="20"/>
          <w:lang w:val="es-ES"/>
        </w:rPr>
        <w:t>,</w:t>
      </w:r>
      <w:r w:rsidRPr="00D749D5">
        <w:rPr>
          <w:rFonts w:asciiTheme="majorHAnsi" w:hAnsiTheme="majorHAnsi"/>
          <w:sz w:val="20"/>
          <w:szCs w:val="20"/>
          <w:lang w:val="es-ES"/>
        </w:rPr>
        <w:t xml:space="preserve"> indican que resultaron heridas en los hechos </w:t>
      </w:r>
      <w:r w:rsidR="00EF1D1E" w:rsidRPr="00D749D5">
        <w:rPr>
          <w:rFonts w:asciiTheme="majorHAnsi" w:hAnsiTheme="majorHAnsi"/>
          <w:sz w:val="20"/>
          <w:szCs w:val="20"/>
          <w:lang w:val="es-ES"/>
        </w:rPr>
        <w:t>Ana de Jesús Durá</w:t>
      </w:r>
      <w:r w:rsidR="00874986" w:rsidRPr="00D749D5">
        <w:rPr>
          <w:rFonts w:asciiTheme="majorHAnsi" w:hAnsiTheme="majorHAnsi"/>
          <w:sz w:val="20"/>
          <w:szCs w:val="20"/>
          <w:lang w:val="es-ES"/>
        </w:rPr>
        <w:t>n</w:t>
      </w:r>
      <w:r w:rsidR="00FE3AB9" w:rsidRPr="00D749D5">
        <w:rPr>
          <w:rFonts w:asciiTheme="majorHAnsi" w:hAnsiTheme="majorHAnsi"/>
          <w:sz w:val="20"/>
          <w:szCs w:val="20"/>
          <w:lang w:val="es-ES"/>
        </w:rPr>
        <w:t xml:space="preserve"> y </w:t>
      </w:r>
      <w:r w:rsidR="00194E77" w:rsidRPr="00D749D5">
        <w:rPr>
          <w:rFonts w:asciiTheme="majorHAnsi" w:hAnsiTheme="majorHAnsi"/>
          <w:sz w:val="20"/>
          <w:szCs w:val="20"/>
          <w:lang w:val="es-ES"/>
        </w:rPr>
        <w:t>Marí</w:t>
      </w:r>
      <w:r w:rsidR="00F96153" w:rsidRPr="00D749D5">
        <w:rPr>
          <w:rFonts w:asciiTheme="majorHAnsi" w:hAnsiTheme="majorHAnsi"/>
          <w:sz w:val="20"/>
          <w:szCs w:val="20"/>
          <w:lang w:val="es-ES"/>
        </w:rPr>
        <w:t>a del Carmen Fonce.</w:t>
      </w:r>
    </w:p>
    <w:p w14:paraId="735CCFCC" w14:textId="77777777" w:rsidR="00743B91" w:rsidRDefault="00743B91" w:rsidP="00743B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4A9CAF48" w14:textId="77777777" w:rsidR="00743B91" w:rsidRPr="00743B91" w:rsidRDefault="00743B91" w:rsidP="00743B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33C6019C" w14:textId="77777777" w:rsidR="003A108C" w:rsidRPr="00D749D5" w:rsidRDefault="00137196"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b/>
          <w:color w:val="auto"/>
          <w:sz w:val="20"/>
          <w:szCs w:val="20"/>
          <w:lang w:val="es-ES"/>
        </w:rPr>
      </w:pPr>
      <w:r w:rsidRPr="00D749D5">
        <w:rPr>
          <w:rFonts w:asciiTheme="majorHAnsi" w:hAnsiTheme="majorHAnsi"/>
          <w:b/>
          <w:color w:val="auto"/>
          <w:sz w:val="20"/>
          <w:szCs w:val="20"/>
          <w:lang w:val="es-ES"/>
        </w:rPr>
        <w:lastRenderedPageBreak/>
        <w:t>Ejecución extrajudicial de</w:t>
      </w:r>
      <w:r w:rsidR="00CE51CE" w:rsidRPr="00D749D5">
        <w:rPr>
          <w:rFonts w:asciiTheme="majorHAnsi" w:hAnsiTheme="majorHAnsi"/>
          <w:b/>
          <w:color w:val="auto"/>
          <w:sz w:val="20"/>
          <w:szCs w:val="20"/>
          <w:lang w:val="es-ES"/>
        </w:rPr>
        <w:t xml:space="preserve"> Daniel Suárez Rivera y Cayetano Cisneros Camaño</w:t>
      </w:r>
    </w:p>
    <w:p w14:paraId="4E387F02" w14:textId="092A2F39" w:rsidR="0040721E" w:rsidRPr="00D749D5" w:rsidRDefault="00CE51CE" w:rsidP="00CE51C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Los peticionarios indican que el 20 de febrero de 1992 en horas de la tarde fueron asesinados con arma de fuego Daniel Suárez Rivera</w:t>
      </w:r>
      <w:r w:rsidR="000429C5" w:rsidRPr="00D749D5">
        <w:rPr>
          <w:rFonts w:asciiTheme="majorHAnsi" w:hAnsiTheme="majorHAnsi"/>
          <w:sz w:val="20"/>
          <w:szCs w:val="20"/>
          <w:lang w:val="es-ES"/>
        </w:rPr>
        <w:t xml:space="preserve">, </w:t>
      </w:r>
      <w:r w:rsidRPr="00D749D5">
        <w:rPr>
          <w:rFonts w:asciiTheme="majorHAnsi" w:hAnsiTheme="majorHAnsi"/>
          <w:sz w:val="20"/>
          <w:szCs w:val="20"/>
          <w:lang w:val="es-ES"/>
        </w:rPr>
        <w:t xml:space="preserve">y Cayetano Cisneros Camaño </w:t>
      </w:r>
      <w:r w:rsidR="0040721E" w:rsidRPr="00D749D5">
        <w:rPr>
          <w:rFonts w:asciiTheme="majorHAnsi" w:hAnsiTheme="majorHAnsi"/>
          <w:sz w:val="20"/>
          <w:szCs w:val="20"/>
          <w:lang w:val="es-ES"/>
        </w:rPr>
        <w:t xml:space="preserve">en circunstancias en que habían ido con la </w:t>
      </w:r>
      <w:r w:rsidR="00694740" w:rsidRPr="00D749D5">
        <w:rPr>
          <w:rFonts w:asciiTheme="majorHAnsi" w:hAnsiTheme="majorHAnsi"/>
          <w:sz w:val="20"/>
          <w:szCs w:val="20"/>
          <w:lang w:val="es-ES"/>
        </w:rPr>
        <w:t>compañera</w:t>
      </w:r>
      <w:r w:rsidR="0040721E" w:rsidRPr="00D749D5">
        <w:rPr>
          <w:rFonts w:asciiTheme="majorHAnsi" w:hAnsiTheme="majorHAnsi"/>
          <w:sz w:val="20"/>
          <w:szCs w:val="20"/>
          <w:lang w:val="es-ES"/>
        </w:rPr>
        <w:t xml:space="preserve"> de uno de ellos </w:t>
      </w:r>
      <w:r w:rsidR="00694740" w:rsidRPr="00D749D5">
        <w:rPr>
          <w:rFonts w:asciiTheme="majorHAnsi" w:hAnsiTheme="majorHAnsi"/>
          <w:sz w:val="20"/>
          <w:szCs w:val="20"/>
          <w:lang w:val="es-ES"/>
        </w:rPr>
        <w:t>a hacer mercado, y mientras se tomaban un refresco, sujetos desconocidos fuer</w:t>
      </w:r>
      <w:r w:rsidR="00F96153" w:rsidRPr="00D749D5">
        <w:rPr>
          <w:rFonts w:asciiTheme="majorHAnsi" w:hAnsiTheme="majorHAnsi"/>
          <w:sz w:val="20"/>
          <w:szCs w:val="20"/>
          <w:lang w:val="es-ES"/>
        </w:rPr>
        <w:t>temente armados les dispararon.</w:t>
      </w:r>
    </w:p>
    <w:p w14:paraId="686D588D" w14:textId="77777777" w:rsidR="00CE51CE" w:rsidRPr="00D749D5" w:rsidRDefault="00CE51CE"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olor w:val="auto"/>
          <w:sz w:val="20"/>
          <w:szCs w:val="20"/>
          <w:lang w:val="es-ES"/>
        </w:rPr>
      </w:pPr>
      <w:r w:rsidRPr="00D749D5">
        <w:rPr>
          <w:rFonts w:asciiTheme="majorHAnsi" w:hAnsiTheme="majorHAnsi"/>
          <w:b/>
          <w:color w:val="auto"/>
          <w:sz w:val="20"/>
          <w:szCs w:val="20"/>
          <w:lang w:val="es-ES"/>
        </w:rPr>
        <w:t>Ejecución extrajudicial de José Noel Vargas Rivera</w:t>
      </w:r>
    </w:p>
    <w:p w14:paraId="45EAF77B" w14:textId="77777777" w:rsidR="003A108C" w:rsidRPr="00D749D5" w:rsidRDefault="00F7512A" w:rsidP="00F751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Se indica que el 25 de febrero de 1992 cerca de las 8:00 de la mañana</w:t>
      </w:r>
      <w:r w:rsidR="00D922F2" w:rsidRPr="00D749D5">
        <w:rPr>
          <w:rFonts w:asciiTheme="majorHAnsi" w:hAnsiTheme="majorHAnsi"/>
          <w:sz w:val="20"/>
          <w:szCs w:val="20"/>
          <w:lang w:val="es-ES"/>
        </w:rPr>
        <w:t>,</w:t>
      </w:r>
      <w:r w:rsidRPr="00D749D5">
        <w:rPr>
          <w:rFonts w:asciiTheme="majorHAnsi" w:hAnsiTheme="majorHAnsi"/>
          <w:sz w:val="20"/>
          <w:szCs w:val="20"/>
          <w:lang w:val="es-ES"/>
        </w:rPr>
        <w:t xml:space="preserve"> la presunta víctima, quien era alférez de circulación y </w:t>
      </w:r>
      <w:r w:rsidR="00CD74C7" w:rsidRPr="00D749D5">
        <w:rPr>
          <w:rFonts w:asciiTheme="majorHAnsi" w:hAnsiTheme="majorHAnsi"/>
          <w:sz w:val="20"/>
          <w:szCs w:val="20"/>
          <w:lang w:val="es-ES"/>
        </w:rPr>
        <w:t>tránsito</w:t>
      </w:r>
      <w:r w:rsidRPr="00D749D5">
        <w:rPr>
          <w:rFonts w:asciiTheme="majorHAnsi" w:hAnsiTheme="majorHAnsi"/>
          <w:sz w:val="20"/>
          <w:szCs w:val="20"/>
          <w:lang w:val="es-ES"/>
        </w:rPr>
        <w:t xml:space="preserve"> </w:t>
      </w:r>
      <w:r w:rsidR="00CD74C7" w:rsidRPr="00D749D5">
        <w:rPr>
          <w:rFonts w:asciiTheme="majorHAnsi" w:hAnsiTheme="majorHAnsi"/>
          <w:sz w:val="20"/>
          <w:szCs w:val="20"/>
          <w:lang w:val="es-ES"/>
        </w:rPr>
        <w:t xml:space="preserve">de Barrancabermeja, </w:t>
      </w:r>
      <w:r w:rsidRPr="00D749D5">
        <w:rPr>
          <w:rFonts w:asciiTheme="majorHAnsi" w:hAnsiTheme="majorHAnsi"/>
          <w:sz w:val="20"/>
          <w:szCs w:val="20"/>
          <w:lang w:val="es-ES"/>
        </w:rPr>
        <w:t xml:space="preserve">fue asesinado </w:t>
      </w:r>
      <w:r w:rsidR="00AE5E28" w:rsidRPr="00D749D5">
        <w:rPr>
          <w:rFonts w:asciiTheme="majorHAnsi" w:hAnsiTheme="majorHAnsi"/>
          <w:sz w:val="20"/>
          <w:szCs w:val="20"/>
          <w:lang w:val="es-ES"/>
        </w:rPr>
        <w:t xml:space="preserve">producto del ataque </w:t>
      </w:r>
      <w:r w:rsidR="003B0AE6" w:rsidRPr="00D749D5">
        <w:rPr>
          <w:rFonts w:asciiTheme="majorHAnsi" w:hAnsiTheme="majorHAnsi"/>
          <w:sz w:val="20"/>
          <w:szCs w:val="20"/>
          <w:lang w:val="es-ES"/>
        </w:rPr>
        <w:t>propinado por</w:t>
      </w:r>
      <w:r w:rsidRPr="00D749D5">
        <w:rPr>
          <w:rFonts w:asciiTheme="majorHAnsi" w:hAnsiTheme="majorHAnsi"/>
          <w:sz w:val="20"/>
          <w:szCs w:val="20"/>
          <w:lang w:val="es-ES"/>
        </w:rPr>
        <w:t xml:space="preserve"> hombres armados. </w:t>
      </w:r>
    </w:p>
    <w:p w14:paraId="622516DA" w14:textId="77777777" w:rsidR="00427A9F" w:rsidRPr="00D749D5" w:rsidRDefault="00427A9F"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b/>
          <w:color w:val="auto"/>
          <w:sz w:val="20"/>
          <w:szCs w:val="20"/>
          <w:lang w:val="es-ES"/>
        </w:rPr>
      </w:pPr>
      <w:r w:rsidRPr="00D749D5">
        <w:rPr>
          <w:rFonts w:asciiTheme="majorHAnsi" w:hAnsiTheme="majorHAnsi"/>
          <w:b/>
          <w:color w:val="auto"/>
          <w:sz w:val="20"/>
          <w:szCs w:val="20"/>
          <w:lang w:val="es-ES"/>
        </w:rPr>
        <w:t>Ejecución extrajudicial de Felipe Colmenares Rueda</w:t>
      </w:r>
    </w:p>
    <w:p w14:paraId="43EA9BFC" w14:textId="77777777" w:rsidR="00427A9F" w:rsidRPr="00D749D5" w:rsidRDefault="00427A9F" w:rsidP="00427A9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En la denuncia se indica que el 28 de febrero de 1992</w:t>
      </w:r>
      <w:r w:rsidR="00F34336" w:rsidRPr="00D749D5">
        <w:rPr>
          <w:rFonts w:asciiTheme="majorHAnsi" w:hAnsiTheme="majorHAnsi"/>
          <w:sz w:val="20"/>
          <w:szCs w:val="20"/>
          <w:lang w:val="es-ES"/>
        </w:rPr>
        <w:t>,</w:t>
      </w:r>
      <w:r w:rsidRPr="00D749D5">
        <w:rPr>
          <w:rFonts w:asciiTheme="majorHAnsi" w:hAnsiTheme="majorHAnsi"/>
          <w:sz w:val="20"/>
          <w:szCs w:val="20"/>
          <w:lang w:val="es-ES"/>
        </w:rPr>
        <w:t xml:space="preserve"> en horas de la noche, fue asesinado por hombres armados Felipe Colmenares Rueda, quien se desempeñaba como vigilante en una distribuidora de cerveza. </w:t>
      </w:r>
    </w:p>
    <w:p w14:paraId="1A6EF6E1" w14:textId="77777777" w:rsidR="00427A9F" w:rsidRPr="00D749D5" w:rsidRDefault="00427A9F"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olor w:val="auto"/>
          <w:sz w:val="20"/>
          <w:szCs w:val="20"/>
          <w:lang w:val="es-ES"/>
        </w:rPr>
      </w:pPr>
      <w:r w:rsidRPr="00D749D5">
        <w:rPr>
          <w:rFonts w:asciiTheme="majorHAnsi" w:hAnsiTheme="majorHAnsi"/>
          <w:color w:val="auto"/>
          <w:sz w:val="20"/>
          <w:szCs w:val="20"/>
          <w:lang w:val="es-ES"/>
        </w:rPr>
        <w:t xml:space="preserve"> </w:t>
      </w:r>
      <w:r w:rsidRPr="00D749D5">
        <w:rPr>
          <w:rFonts w:asciiTheme="majorHAnsi" w:hAnsiTheme="majorHAnsi"/>
          <w:b/>
          <w:color w:val="auto"/>
          <w:sz w:val="20"/>
          <w:szCs w:val="20"/>
          <w:lang w:val="es-ES"/>
        </w:rPr>
        <w:t xml:space="preserve">Ejecución extrajudicial </w:t>
      </w:r>
      <w:r w:rsidR="00D74E36" w:rsidRPr="00D749D5">
        <w:rPr>
          <w:rFonts w:asciiTheme="majorHAnsi" w:hAnsiTheme="majorHAnsi"/>
          <w:b/>
          <w:color w:val="auto"/>
          <w:sz w:val="20"/>
          <w:szCs w:val="20"/>
          <w:lang w:val="es-ES"/>
        </w:rPr>
        <w:t xml:space="preserve">de </w:t>
      </w:r>
      <w:r w:rsidRPr="00D749D5">
        <w:rPr>
          <w:rFonts w:asciiTheme="majorHAnsi" w:hAnsiTheme="majorHAnsi"/>
          <w:b/>
          <w:color w:val="auto"/>
          <w:sz w:val="20"/>
          <w:szCs w:val="20"/>
          <w:lang w:val="es-ES"/>
        </w:rPr>
        <w:t>Antonio Morales Valderrama</w:t>
      </w:r>
    </w:p>
    <w:p w14:paraId="2E01D188" w14:textId="77777777" w:rsidR="00427A9F" w:rsidRPr="00D749D5" w:rsidRDefault="00254C7D" w:rsidP="00427A9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Refieren que Antonio Morales Valderrama, quien se desempeñaba</w:t>
      </w:r>
      <w:r w:rsidR="00D402A4" w:rsidRPr="00D749D5">
        <w:rPr>
          <w:rFonts w:asciiTheme="majorHAnsi" w:hAnsiTheme="majorHAnsi"/>
          <w:sz w:val="20"/>
          <w:szCs w:val="20"/>
          <w:lang w:val="es-ES"/>
        </w:rPr>
        <w:t xml:space="preserve"> como zapatero, fue asesinado el 3 de</w:t>
      </w:r>
      <w:r w:rsidRPr="00D749D5">
        <w:rPr>
          <w:rFonts w:asciiTheme="majorHAnsi" w:hAnsiTheme="majorHAnsi"/>
          <w:sz w:val="20"/>
          <w:szCs w:val="20"/>
          <w:lang w:val="es-ES"/>
        </w:rPr>
        <w:t xml:space="preserve"> febrero de 1992 en las inmediaciones de la Alcald</w:t>
      </w:r>
      <w:r w:rsidRPr="00D749D5">
        <w:rPr>
          <w:rFonts w:asciiTheme="majorHAnsi" w:hAnsiTheme="majorHAnsi"/>
          <w:sz w:val="20"/>
          <w:szCs w:val="20"/>
          <w:lang w:val="es-ES" w:eastAsia="ja-JP"/>
        </w:rPr>
        <w:t xml:space="preserve">ía Municipal de </w:t>
      </w:r>
      <w:r w:rsidRPr="00D749D5">
        <w:rPr>
          <w:rFonts w:asciiTheme="majorHAnsi" w:hAnsiTheme="majorHAnsi"/>
          <w:sz w:val="20"/>
          <w:szCs w:val="20"/>
          <w:lang w:val="es-ES"/>
        </w:rPr>
        <w:t>Barrancabermeja.</w:t>
      </w:r>
    </w:p>
    <w:p w14:paraId="16D0264D" w14:textId="77777777" w:rsidR="00254C7D" w:rsidRPr="00D749D5" w:rsidRDefault="00D74E36"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olor w:val="auto"/>
          <w:sz w:val="20"/>
          <w:szCs w:val="20"/>
          <w:lang w:val="es-ES"/>
        </w:rPr>
      </w:pPr>
      <w:r w:rsidRPr="00D749D5">
        <w:rPr>
          <w:rFonts w:asciiTheme="majorHAnsi" w:hAnsiTheme="majorHAnsi"/>
          <w:b/>
          <w:color w:val="auto"/>
          <w:sz w:val="20"/>
          <w:szCs w:val="20"/>
          <w:lang w:val="es-ES"/>
        </w:rPr>
        <w:t>Ejecución extrajudicial de Milton Castillo Saavedra</w:t>
      </w:r>
    </w:p>
    <w:p w14:paraId="4A5A0DEC" w14:textId="77777777" w:rsidR="00D74E36" w:rsidRPr="00D749D5" w:rsidRDefault="00D74E36" w:rsidP="00D74E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Se indica que Milton Castillo Saavedra </w:t>
      </w:r>
      <w:r w:rsidR="00B16EBE" w:rsidRPr="00D749D5">
        <w:rPr>
          <w:rFonts w:asciiTheme="majorHAnsi" w:hAnsiTheme="majorHAnsi"/>
          <w:sz w:val="20"/>
          <w:szCs w:val="20"/>
          <w:lang w:val="es-ES"/>
        </w:rPr>
        <w:t xml:space="preserve">fue </w:t>
      </w:r>
      <w:r w:rsidR="001D3109" w:rsidRPr="00D749D5">
        <w:rPr>
          <w:rFonts w:asciiTheme="majorHAnsi" w:hAnsiTheme="majorHAnsi"/>
          <w:sz w:val="20"/>
          <w:szCs w:val="20"/>
          <w:lang w:val="es-ES"/>
        </w:rPr>
        <w:t xml:space="preserve">asesinado </w:t>
      </w:r>
      <w:r w:rsidR="00B16EBE" w:rsidRPr="00D749D5">
        <w:rPr>
          <w:rFonts w:asciiTheme="majorHAnsi" w:hAnsiTheme="majorHAnsi"/>
          <w:sz w:val="20"/>
          <w:szCs w:val="20"/>
          <w:lang w:val="es-ES"/>
        </w:rPr>
        <w:t xml:space="preserve">en el sector denominado “el retén”, Barrancabermeja, </w:t>
      </w:r>
      <w:r w:rsidR="001D3109" w:rsidRPr="00D749D5">
        <w:rPr>
          <w:rFonts w:asciiTheme="majorHAnsi" w:hAnsiTheme="majorHAnsi"/>
          <w:sz w:val="20"/>
          <w:szCs w:val="20"/>
          <w:lang w:val="es-ES"/>
        </w:rPr>
        <w:t>en febrero de 1992.</w:t>
      </w:r>
    </w:p>
    <w:p w14:paraId="7BD4E82E" w14:textId="77777777" w:rsidR="001D3109" w:rsidRPr="00D749D5" w:rsidRDefault="002F584D"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b/>
          <w:color w:val="auto"/>
          <w:sz w:val="20"/>
          <w:szCs w:val="20"/>
          <w:lang w:val="es-ES"/>
        </w:rPr>
      </w:pPr>
      <w:r w:rsidRPr="00D749D5">
        <w:rPr>
          <w:rFonts w:asciiTheme="majorHAnsi" w:hAnsiTheme="majorHAnsi"/>
          <w:b/>
          <w:color w:val="auto"/>
          <w:sz w:val="20"/>
          <w:szCs w:val="20"/>
          <w:lang w:val="es-ES"/>
        </w:rPr>
        <w:t>Masacre en los billares del Barrio El Cerro</w:t>
      </w:r>
      <w:r w:rsidR="00175853" w:rsidRPr="00D749D5">
        <w:rPr>
          <w:rFonts w:asciiTheme="majorHAnsi" w:hAnsiTheme="majorHAnsi"/>
          <w:b/>
          <w:color w:val="auto"/>
          <w:sz w:val="20"/>
          <w:szCs w:val="20"/>
          <w:lang w:val="es-ES"/>
        </w:rPr>
        <w:t>, Billares “La Sede”</w:t>
      </w:r>
    </w:p>
    <w:p w14:paraId="31DC178F" w14:textId="032ADEE6" w:rsidR="0006234D" w:rsidRPr="00D749D5" w:rsidRDefault="00056428" w:rsidP="0005642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Los peticionarios indican que el 4 de marzo de 1992</w:t>
      </w:r>
      <w:r w:rsidR="00FE784E" w:rsidRPr="00D749D5">
        <w:rPr>
          <w:rFonts w:asciiTheme="majorHAnsi" w:hAnsiTheme="majorHAnsi"/>
          <w:sz w:val="20"/>
          <w:szCs w:val="20"/>
          <w:lang w:val="es-ES"/>
        </w:rPr>
        <w:t xml:space="preserve">, Luis Carlos Estrada Rueda, </w:t>
      </w:r>
      <w:r w:rsidR="00484283" w:rsidRPr="00D749D5">
        <w:rPr>
          <w:rFonts w:asciiTheme="majorHAnsi" w:hAnsiTheme="majorHAnsi"/>
          <w:sz w:val="20"/>
          <w:szCs w:val="20"/>
          <w:lang w:val="es-ES"/>
        </w:rPr>
        <w:t>obrero</w:t>
      </w:r>
      <w:r w:rsidR="00FE784E" w:rsidRPr="00D749D5">
        <w:rPr>
          <w:rFonts w:asciiTheme="majorHAnsi" w:hAnsiTheme="majorHAnsi"/>
          <w:sz w:val="20"/>
          <w:szCs w:val="20"/>
          <w:lang w:val="es-ES"/>
        </w:rPr>
        <w:t xml:space="preserve">, Alexander Rodelo Castro, </w:t>
      </w:r>
      <w:r w:rsidR="005A26EA" w:rsidRPr="00D749D5">
        <w:rPr>
          <w:rFonts w:asciiTheme="majorHAnsi" w:hAnsiTheme="majorHAnsi"/>
          <w:sz w:val="20"/>
          <w:szCs w:val="20"/>
          <w:lang w:val="es-ES"/>
        </w:rPr>
        <w:t>comerciante,</w:t>
      </w:r>
      <w:r w:rsidR="00484283" w:rsidRPr="00D749D5">
        <w:rPr>
          <w:rFonts w:asciiTheme="majorHAnsi" w:hAnsiTheme="majorHAnsi"/>
          <w:sz w:val="20"/>
          <w:szCs w:val="20"/>
          <w:lang w:val="es-ES"/>
        </w:rPr>
        <w:t xml:space="preserve"> Nelson Manuel Tamara Niño, </w:t>
      </w:r>
      <w:r w:rsidR="00FE784E" w:rsidRPr="00D749D5">
        <w:rPr>
          <w:rFonts w:asciiTheme="majorHAnsi" w:hAnsiTheme="majorHAnsi"/>
          <w:sz w:val="20"/>
          <w:szCs w:val="20"/>
          <w:lang w:val="es-ES"/>
        </w:rPr>
        <w:t>funcionario de Ecopetrol</w:t>
      </w:r>
      <w:r w:rsidR="00484283" w:rsidRPr="00D749D5">
        <w:rPr>
          <w:rFonts w:asciiTheme="majorHAnsi" w:hAnsiTheme="majorHAnsi"/>
          <w:sz w:val="20"/>
          <w:szCs w:val="20"/>
          <w:lang w:val="es-ES"/>
        </w:rPr>
        <w:t xml:space="preserve"> y afiliado a la USO</w:t>
      </w:r>
      <w:r w:rsidR="00FE784E" w:rsidRPr="00D749D5">
        <w:rPr>
          <w:rFonts w:asciiTheme="majorHAnsi" w:hAnsiTheme="majorHAnsi"/>
          <w:sz w:val="20"/>
          <w:szCs w:val="20"/>
          <w:lang w:val="es-ES"/>
        </w:rPr>
        <w:t xml:space="preserve">, y Julio Carlos Castro fueron asesinados por hombres armados alrededor de las 19:00 horas, </w:t>
      </w:r>
      <w:r w:rsidRPr="00D749D5">
        <w:rPr>
          <w:rFonts w:asciiTheme="majorHAnsi" w:hAnsiTheme="majorHAnsi"/>
          <w:sz w:val="20"/>
          <w:szCs w:val="20"/>
          <w:lang w:val="es-ES"/>
        </w:rPr>
        <w:t>en los billares “La Sede” del Barrio El Cerro</w:t>
      </w:r>
      <w:r w:rsidR="00FE784E" w:rsidRPr="00D749D5">
        <w:rPr>
          <w:rFonts w:asciiTheme="majorHAnsi" w:hAnsiTheme="majorHAnsi"/>
          <w:sz w:val="20"/>
          <w:szCs w:val="20"/>
          <w:lang w:val="es-ES"/>
        </w:rPr>
        <w:t>. Relatan que antes y durante la ocurrencia de los hechos, fue suspendida la electricidad en el barrio</w:t>
      </w:r>
      <w:r w:rsidR="008C568E" w:rsidRPr="00D749D5">
        <w:rPr>
          <w:rFonts w:asciiTheme="majorHAnsi" w:hAnsiTheme="majorHAnsi"/>
          <w:sz w:val="20"/>
          <w:szCs w:val="20"/>
          <w:lang w:val="es-ES"/>
        </w:rPr>
        <w:t>, lo que permitió</w:t>
      </w:r>
      <w:r w:rsidR="0006234D" w:rsidRPr="00D749D5">
        <w:rPr>
          <w:rFonts w:asciiTheme="majorHAnsi" w:hAnsiTheme="majorHAnsi"/>
          <w:sz w:val="20"/>
          <w:szCs w:val="20"/>
          <w:lang w:val="es-ES"/>
        </w:rPr>
        <w:t xml:space="preserve"> que los autores no pudieran ser identificados por los concurrentes al lugar</w:t>
      </w:r>
      <w:r w:rsidR="00FE784E" w:rsidRPr="00D749D5">
        <w:rPr>
          <w:rFonts w:asciiTheme="majorHAnsi" w:hAnsiTheme="majorHAnsi"/>
          <w:sz w:val="20"/>
          <w:szCs w:val="20"/>
          <w:lang w:val="es-ES"/>
        </w:rPr>
        <w:t>.</w:t>
      </w:r>
    </w:p>
    <w:p w14:paraId="6380A3AF" w14:textId="77777777" w:rsidR="00056428" w:rsidRPr="00D749D5" w:rsidRDefault="0006234D"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b/>
          <w:color w:val="auto"/>
          <w:sz w:val="20"/>
          <w:szCs w:val="20"/>
          <w:lang w:val="es-ES"/>
        </w:rPr>
      </w:pPr>
      <w:r w:rsidRPr="00D749D5">
        <w:rPr>
          <w:rFonts w:asciiTheme="majorHAnsi" w:hAnsiTheme="majorHAnsi"/>
          <w:b/>
          <w:color w:val="auto"/>
          <w:sz w:val="20"/>
          <w:szCs w:val="20"/>
          <w:lang w:val="es-ES"/>
        </w:rPr>
        <w:t xml:space="preserve">Ejecución extrajudicial de Joel Martínez Martínez </w:t>
      </w:r>
    </w:p>
    <w:p w14:paraId="59146F80" w14:textId="77777777" w:rsidR="00056428" w:rsidRPr="00D749D5" w:rsidRDefault="0006234D" w:rsidP="0006234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Indican que Joel Martínez Martínez, albañil, fue asesinado </w:t>
      </w:r>
      <w:r w:rsidR="00B46070" w:rsidRPr="00D749D5">
        <w:rPr>
          <w:rFonts w:asciiTheme="majorHAnsi" w:hAnsiTheme="majorHAnsi"/>
          <w:sz w:val="20"/>
          <w:szCs w:val="20"/>
          <w:lang w:val="es-ES"/>
        </w:rPr>
        <w:t>el</w:t>
      </w:r>
      <w:r w:rsidRPr="00D749D5">
        <w:rPr>
          <w:rFonts w:asciiTheme="majorHAnsi" w:hAnsiTheme="majorHAnsi"/>
          <w:sz w:val="20"/>
          <w:szCs w:val="20"/>
          <w:lang w:val="es-ES"/>
        </w:rPr>
        <w:t xml:space="preserve"> 19 de marzo de 1992 en la vía que conduce al Matadero Cent</w:t>
      </w:r>
      <w:r w:rsidR="00550769" w:rsidRPr="00D749D5">
        <w:rPr>
          <w:rFonts w:asciiTheme="majorHAnsi" w:hAnsiTheme="majorHAnsi"/>
          <w:sz w:val="20"/>
          <w:szCs w:val="20"/>
          <w:lang w:val="es-ES"/>
        </w:rPr>
        <w:t>r</w:t>
      </w:r>
      <w:r w:rsidRPr="00D749D5">
        <w:rPr>
          <w:rFonts w:asciiTheme="majorHAnsi" w:hAnsiTheme="majorHAnsi"/>
          <w:sz w:val="20"/>
          <w:szCs w:val="20"/>
          <w:lang w:val="es-ES"/>
        </w:rPr>
        <w:t>al. Señalan que su cuerpo apareció en un sitio despoblado cerca de una ladrillera.</w:t>
      </w:r>
    </w:p>
    <w:p w14:paraId="0006762B" w14:textId="77777777" w:rsidR="003A108C" w:rsidRPr="00D749D5" w:rsidRDefault="0006234D"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b/>
          <w:color w:val="auto"/>
          <w:sz w:val="20"/>
          <w:szCs w:val="20"/>
          <w:lang w:val="es-ES"/>
        </w:rPr>
      </w:pPr>
      <w:r w:rsidRPr="00D749D5">
        <w:rPr>
          <w:rFonts w:asciiTheme="majorHAnsi" w:hAnsiTheme="majorHAnsi"/>
          <w:b/>
          <w:color w:val="auto"/>
          <w:sz w:val="20"/>
          <w:szCs w:val="20"/>
          <w:lang w:val="es-ES"/>
        </w:rPr>
        <w:t>Ejecución extrajudicial de Germán Hernández De La Rosa</w:t>
      </w:r>
    </w:p>
    <w:p w14:paraId="12EFFBFB" w14:textId="1EB92774" w:rsidR="0006234D" w:rsidRDefault="00722EAF" w:rsidP="00B911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Los peticionarios refieren que</w:t>
      </w:r>
      <w:r w:rsidR="00550769" w:rsidRPr="00D749D5">
        <w:rPr>
          <w:rFonts w:asciiTheme="majorHAnsi" w:hAnsiTheme="majorHAnsi"/>
          <w:sz w:val="20"/>
          <w:szCs w:val="20"/>
          <w:lang w:val="es-ES"/>
        </w:rPr>
        <w:t xml:space="preserve"> </w:t>
      </w:r>
      <w:r w:rsidR="005A26EA" w:rsidRPr="00D749D5">
        <w:rPr>
          <w:rFonts w:asciiTheme="majorHAnsi" w:hAnsiTheme="majorHAnsi"/>
          <w:sz w:val="20"/>
          <w:szCs w:val="20"/>
          <w:lang w:val="es-ES"/>
        </w:rPr>
        <w:t>Germán Hernández De La Rosa</w:t>
      </w:r>
      <w:r w:rsidR="00550769" w:rsidRPr="00D749D5">
        <w:rPr>
          <w:rFonts w:asciiTheme="majorHAnsi" w:hAnsiTheme="majorHAnsi"/>
          <w:sz w:val="20"/>
          <w:szCs w:val="20"/>
          <w:lang w:val="es-ES"/>
        </w:rPr>
        <w:t xml:space="preserve">, quien era empleado de Ecopetrol y miembro del sindicato de la USO, fue </w:t>
      </w:r>
      <w:r w:rsidR="00E00AA4" w:rsidRPr="00D749D5">
        <w:rPr>
          <w:rFonts w:asciiTheme="majorHAnsi" w:hAnsiTheme="majorHAnsi"/>
          <w:sz w:val="20"/>
          <w:szCs w:val="20"/>
          <w:lang w:val="es-ES"/>
        </w:rPr>
        <w:t>asesinad</w:t>
      </w:r>
      <w:r>
        <w:rPr>
          <w:rFonts w:asciiTheme="majorHAnsi" w:hAnsiTheme="majorHAnsi"/>
          <w:sz w:val="20"/>
          <w:szCs w:val="20"/>
          <w:lang w:val="es-ES"/>
        </w:rPr>
        <w:t>o</w:t>
      </w:r>
      <w:r w:rsidR="00550769" w:rsidRPr="00D749D5">
        <w:rPr>
          <w:rFonts w:asciiTheme="majorHAnsi" w:hAnsiTheme="majorHAnsi"/>
          <w:sz w:val="20"/>
          <w:szCs w:val="20"/>
          <w:lang w:val="es-ES"/>
        </w:rPr>
        <w:t xml:space="preserve"> el 26 de abril de 1992 en horas de la tarde, en presencia de su esposa e hijos</w:t>
      </w:r>
      <w:r w:rsidR="00E00AA4" w:rsidRPr="00D749D5">
        <w:rPr>
          <w:rFonts w:asciiTheme="majorHAnsi" w:hAnsiTheme="majorHAnsi"/>
          <w:sz w:val="20"/>
          <w:szCs w:val="20"/>
          <w:lang w:val="es-ES"/>
        </w:rPr>
        <w:t>, por sujetos que se desplazaban en una moto</w:t>
      </w:r>
      <w:r w:rsidR="0019370A" w:rsidRPr="00D749D5">
        <w:rPr>
          <w:rFonts w:asciiTheme="majorHAnsi" w:hAnsiTheme="majorHAnsi"/>
          <w:sz w:val="20"/>
          <w:szCs w:val="20"/>
          <w:lang w:val="es-ES"/>
        </w:rPr>
        <w:t>, quienes le propinaron 18 impactos de bala</w:t>
      </w:r>
      <w:r w:rsidR="00550769" w:rsidRPr="00D749D5">
        <w:rPr>
          <w:rFonts w:asciiTheme="majorHAnsi" w:hAnsiTheme="majorHAnsi"/>
          <w:sz w:val="20"/>
          <w:szCs w:val="20"/>
          <w:lang w:val="es-ES"/>
        </w:rPr>
        <w:t xml:space="preserve">. </w:t>
      </w:r>
    </w:p>
    <w:p w14:paraId="58131ADC" w14:textId="77777777" w:rsidR="00001C6A" w:rsidRDefault="00001C6A" w:rsidP="00001C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6FFA5BA9" w14:textId="77777777" w:rsidR="00001C6A" w:rsidRPr="00D749D5" w:rsidRDefault="00001C6A" w:rsidP="00001C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1BA2940B" w14:textId="77777777" w:rsidR="003A108C" w:rsidRPr="00D749D5" w:rsidRDefault="003D356D"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b/>
          <w:color w:val="auto"/>
          <w:sz w:val="20"/>
          <w:szCs w:val="20"/>
          <w:lang w:val="es-ES"/>
        </w:rPr>
      </w:pPr>
      <w:r w:rsidRPr="00D749D5">
        <w:rPr>
          <w:rFonts w:asciiTheme="majorHAnsi" w:hAnsiTheme="majorHAnsi"/>
          <w:b/>
          <w:color w:val="auto"/>
          <w:sz w:val="20"/>
          <w:szCs w:val="20"/>
          <w:lang w:val="es-ES"/>
        </w:rPr>
        <w:lastRenderedPageBreak/>
        <w:t>Ejecución extrajudicial de Alfredo Acero Aranda</w:t>
      </w:r>
      <w:r w:rsidR="00B91194" w:rsidRPr="00D749D5">
        <w:rPr>
          <w:rFonts w:asciiTheme="majorHAnsi" w:hAnsiTheme="majorHAnsi"/>
          <w:b/>
          <w:color w:val="auto"/>
          <w:sz w:val="20"/>
          <w:szCs w:val="20"/>
          <w:lang w:val="es-ES"/>
        </w:rPr>
        <w:t xml:space="preserve"> </w:t>
      </w:r>
    </w:p>
    <w:p w14:paraId="4716328C" w14:textId="77777777" w:rsidR="003A108C" w:rsidRPr="00D749D5" w:rsidRDefault="00B91194" w:rsidP="00E239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En la denuncia se indica que Alfredo Acero Aranda</w:t>
      </w:r>
      <w:r w:rsidR="0069634E" w:rsidRPr="00D749D5">
        <w:rPr>
          <w:rFonts w:asciiTheme="majorHAnsi" w:hAnsiTheme="majorHAnsi"/>
          <w:sz w:val="20"/>
          <w:szCs w:val="20"/>
          <w:lang w:val="es-ES"/>
        </w:rPr>
        <w:t>, pescador,</w:t>
      </w:r>
      <w:r w:rsidRPr="00D749D5">
        <w:rPr>
          <w:rFonts w:asciiTheme="majorHAnsi" w:hAnsiTheme="majorHAnsi"/>
          <w:sz w:val="20"/>
          <w:szCs w:val="20"/>
          <w:lang w:val="es-ES"/>
        </w:rPr>
        <w:t xml:space="preserve"> </w:t>
      </w:r>
      <w:r w:rsidR="0069634E" w:rsidRPr="00D749D5">
        <w:rPr>
          <w:rFonts w:asciiTheme="majorHAnsi" w:hAnsiTheme="majorHAnsi"/>
          <w:sz w:val="20"/>
          <w:szCs w:val="20"/>
          <w:lang w:val="es-ES"/>
        </w:rPr>
        <w:t xml:space="preserve">fue asesinado por hombres armados la mañana del 27 de abril de 1992 en </w:t>
      </w:r>
      <w:r w:rsidR="00FB6235" w:rsidRPr="00D749D5">
        <w:rPr>
          <w:rFonts w:asciiTheme="majorHAnsi" w:hAnsiTheme="majorHAnsi"/>
          <w:sz w:val="20"/>
          <w:szCs w:val="20"/>
          <w:lang w:val="es-ES"/>
        </w:rPr>
        <w:t>el establecimiento “La Cosecha”</w:t>
      </w:r>
      <w:r w:rsidR="00EF69D6" w:rsidRPr="00D749D5">
        <w:rPr>
          <w:rFonts w:asciiTheme="majorHAnsi" w:hAnsiTheme="majorHAnsi"/>
          <w:sz w:val="20"/>
          <w:szCs w:val="20"/>
          <w:lang w:val="es-ES"/>
        </w:rPr>
        <w:t>,</w:t>
      </w:r>
      <w:r w:rsidR="00FB6235" w:rsidRPr="00D749D5">
        <w:rPr>
          <w:rFonts w:asciiTheme="majorHAnsi" w:hAnsiTheme="majorHAnsi"/>
          <w:sz w:val="20"/>
          <w:szCs w:val="20"/>
          <w:lang w:val="es-ES"/>
        </w:rPr>
        <w:t xml:space="preserve"> ubicado en el sector de la Rampla.</w:t>
      </w:r>
    </w:p>
    <w:p w14:paraId="399DF03D" w14:textId="77777777" w:rsidR="003A108C" w:rsidRPr="00D749D5" w:rsidRDefault="0073787F"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olor w:val="auto"/>
          <w:sz w:val="20"/>
          <w:szCs w:val="20"/>
          <w:lang w:val="es-ES"/>
        </w:rPr>
      </w:pPr>
      <w:r w:rsidRPr="00D749D5">
        <w:rPr>
          <w:rFonts w:asciiTheme="majorHAnsi" w:hAnsiTheme="majorHAnsi"/>
          <w:b/>
          <w:color w:val="auto"/>
          <w:sz w:val="20"/>
          <w:szCs w:val="20"/>
          <w:lang w:val="es-ES"/>
        </w:rPr>
        <w:t>Ejecución extrajudicial de Ismael Jaimes Cortés</w:t>
      </w:r>
    </w:p>
    <w:p w14:paraId="40CB8D72" w14:textId="16D6DE06" w:rsidR="002F3860" w:rsidRPr="00722EAF" w:rsidRDefault="001E79CD" w:rsidP="00722EA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Los peticionarios sostienen que el 6 de mayo de 1992, Ismael Jaimes Cortés, quien era director del periódico La Opinión</w:t>
      </w:r>
      <w:r w:rsidR="000347CC" w:rsidRPr="00D749D5">
        <w:rPr>
          <w:rFonts w:asciiTheme="majorHAnsi" w:hAnsiTheme="majorHAnsi"/>
          <w:sz w:val="20"/>
          <w:szCs w:val="20"/>
          <w:lang w:val="es-ES"/>
        </w:rPr>
        <w:t xml:space="preserve"> del Magdalena Medio</w:t>
      </w:r>
      <w:r w:rsidR="00807A07" w:rsidRPr="00D749D5">
        <w:rPr>
          <w:rFonts w:asciiTheme="majorHAnsi" w:hAnsiTheme="majorHAnsi"/>
          <w:sz w:val="20"/>
          <w:szCs w:val="20"/>
          <w:lang w:val="es-ES"/>
        </w:rPr>
        <w:t xml:space="preserve">, fue </w:t>
      </w:r>
      <w:r w:rsidRPr="00D749D5">
        <w:rPr>
          <w:rFonts w:asciiTheme="majorHAnsi" w:hAnsiTheme="majorHAnsi"/>
          <w:sz w:val="20"/>
          <w:szCs w:val="20"/>
          <w:lang w:val="es-ES"/>
        </w:rPr>
        <w:t>asesinado por hombres armados</w:t>
      </w:r>
      <w:r w:rsidR="00A61490" w:rsidRPr="00D749D5">
        <w:rPr>
          <w:rFonts w:asciiTheme="majorHAnsi" w:hAnsiTheme="majorHAnsi"/>
          <w:sz w:val="20"/>
          <w:szCs w:val="20"/>
          <w:lang w:val="es-ES"/>
        </w:rPr>
        <w:t xml:space="preserve">. Refieren que </w:t>
      </w:r>
      <w:r w:rsidR="00AF0FAA" w:rsidRPr="00D749D5">
        <w:rPr>
          <w:rFonts w:asciiTheme="majorHAnsi" w:hAnsiTheme="majorHAnsi"/>
          <w:sz w:val="20"/>
          <w:szCs w:val="20"/>
          <w:lang w:val="es-ES"/>
        </w:rPr>
        <w:t>según</w:t>
      </w:r>
      <w:r w:rsidR="00A61490" w:rsidRPr="00D749D5">
        <w:rPr>
          <w:rFonts w:asciiTheme="majorHAnsi" w:hAnsiTheme="majorHAnsi"/>
          <w:sz w:val="20"/>
          <w:szCs w:val="20"/>
          <w:lang w:val="es-ES"/>
        </w:rPr>
        <w:t xml:space="preserve"> declaraciones</w:t>
      </w:r>
      <w:r w:rsidR="00AF0FAA" w:rsidRPr="00D749D5">
        <w:rPr>
          <w:rFonts w:asciiTheme="majorHAnsi" w:hAnsiTheme="majorHAnsi"/>
          <w:sz w:val="20"/>
          <w:szCs w:val="20"/>
          <w:lang w:val="es-ES"/>
        </w:rPr>
        <w:t>,</w:t>
      </w:r>
      <w:r w:rsidR="00A61490" w:rsidRPr="00D749D5">
        <w:rPr>
          <w:rFonts w:asciiTheme="majorHAnsi" w:hAnsiTheme="majorHAnsi"/>
          <w:sz w:val="20"/>
          <w:szCs w:val="20"/>
          <w:lang w:val="es-ES"/>
        </w:rPr>
        <w:t xml:space="preserve"> </w:t>
      </w:r>
      <w:r w:rsidR="00F813FB" w:rsidRPr="00D749D5">
        <w:rPr>
          <w:rFonts w:asciiTheme="majorHAnsi" w:hAnsiTheme="majorHAnsi"/>
          <w:sz w:val="20"/>
          <w:szCs w:val="20"/>
          <w:lang w:val="es-ES"/>
        </w:rPr>
        <w:t xml:space="preserve">fue asesinado porque en su periódico </w:t>
      </w:r>
      <w:r w:rsidR="00DE36E9" w:rsidRPr="00D749D5">
        <w:rPr>
          <w:rFonts w:asciiTheme="majorHAnsi" w:hAnsiTheme="majorHAnsi"/>
          <w:sz w:val="20"/>
          <w:szCs w:val="20"/>
          <w:lang w:val="es-ES"/>
        </w:rPr>
        <w:t xml:space="preserve">publicaba información que señalaba </w:t>
      </w:r>
      <w:r w:rsidR="000849AC" w:rsidRPr="00D749D5">
        <w:rPr>
          <w:rFonts w:asciiTheme="majorHAnsi" w:hAnsiTheme="majorHAnsi"/>
          <w:sz w:val="20"/>
          <w:szCs w:val="20"/>
          <w:lang w:val="es-ES"/>
        </w:rPr>
        <w:t>a las fuerzas de seg</w:t>
      </w:r>
      <w:r w:rsidR="00AB25ED">
        <w:rPr>
          <w:rFonts w:asciiTheme="majorHAnsi" w:hAnsiTheme="majorHAnsi"/>
          <w:sz w:val="20"/>
          <w:szCs w:val="20"/>
          <w:lang w:val="es-ES"/>
        </w:rPr>
        <w:t>uridad como responsables de conduc</w:t>
      </w:r>
      <w:r w:rsidR="000849AC" w:rsidRPr="00D749D5">
        <w:rPr>
          <w:rFonts w:asciiTheme="majorHAnsi" w:hAnsiTheme="majorHAnsi"/>
          <w:sz w:val="20"/>
          <w:szCs w:val="20"/>
          <w:lang w:val="es-ES"/>
        </w:rPr>
        <w:t>tas delictivas</w:t>
      </w:r>
      <w:r w:rsidR="00807A07" w:rsidRPr="00D749D5">
        <w:rPr>
          <w:rFonts w:asciiTheme="majorHAnsi" w:hAnsiTheme="majorHAnsi"/>
          <w:sz w:val="20"/>
          <w:szCs w:val="20"/>
          <w:lang w:val="es-ES"/>
        </w:rPr>
        <w:t xml:space="preserve">, y que fue ejecutado con la intención de acallar una voz independiente. </w:t>
      </w:r>
      <w:r w:rsidR="00894CD9" w:rsidRPr="00D749D5">
        <w:rPr>
          <w:rFonts w:asciiTheme="majorHAnsi" w:hAnsiTheme="majorHAnsi"/>
          <w:sz w:val="20"/>
          <w:szCs w:val="20"/>
          <w:lang w:val="es-ES"/>
        </w:rPr>
        <w:t>Señalan</w:t>
      </w:r>
      <w:r w:rsidR="00807A07" w:rsidRPr="00D749D5">
        <w:rPr>
          <w:rFonts w:asciiTheme="majorHAnsi" w:hAnsiTheme="majorHAnsi"/>
          <w:sz w:val="20"/>
          <w:szCs w:val="20"/>
          <w:lang w:val="es-ES"/>
        </w:rPr>
        <w:t xml:space="preserve"> que era perteneciente a la </w:t>
      </w:r>
      <w:r w:rsidR="00894CD9" w:rsidRPr="00D749D5">
        <w:rPr>
          <w:rFonts w:asciiTheme="majorHAnsi" w:hAnsiTheme="majorHAnsi"/>
          <w:sz w:val="20"/>
          <w:szCs w:val="20"/>
          <w:lang w:val="es-ES"/>
        </w:rPr>
        <w:t>Unión</w:t>
      </w:r>
      <w:r w:rsidR="00807A07" w:rsidRPr="00D749D5">
        <w:rPr>
          <w:rFonts w:asciiTheme="majorHAnsi" w:hAnsiTheme="majorHAnsi"/>
          <w:sz w:val="20"/>
          <w:szCs w:val="20"/>
          <w:lang w:val="es-ES"/>
        </w:rPr>
        <w:t xml:space="preserve"> </w:t>
      </w:r>
      <w:r w:rsidR="00894CD9" w:rsidRPr="00D749D5">
        <w:rPr>
          <w:rFonts w:asciiTheme="majorHAnsi" w:hAnsiTheme="majorHAnsi"/>
          <w:sz w:val="20"/>
          <w:szCs w:val="20"/>
          <w:lang w:val="es-ES"/>
        </w:rPr>
        <w:t>Patriótica</w:t>
      </w:r>
      <w:r w:rsidR="002C3263" w:rsidRPr="00D749D5">
        <w:rPr>
          <w:rFonts w:asciiTheme="majorHAnsi" w:hAnsiTheme="majorHAnsi"/>
          <w:sz w:val="20"/>
          <w:szCs w:val="20"/>
          <w:lang w:val="es-ES"/>
        </w:rPr>
        <w:t>, y que denunció</w:t>
      </w:r>
      <w:r w:rsidR="00807A07" w:rsidRPr="00D749D5">
        <w:rPr>
          <w:rFonts w:asciiTheme="majorHAnsi" w:hAnsiTheme="majorHAnsi"/>
          <w:sz w:val="20"/>
          <w:szCs w:val="20"/>
          <w:lang w:val="es-ES"/>
        </w:rPr>
        <w:t xml:space="preserve"> desde su periódico la política de terrorismo de Estado y el plan de exterminio que se ejecutaba contra su movimiento</w:t>
      </w:r>
      <w:r w:rsidR="00722EAF">
        <w:rPr>
          <w:rFonts w:asciiTheme="majorHAnsi" w:hAnsiTheme="majorHAnsi"/>
          <w:sz w:val="20"/>
          <w:szCs w:val="20"/>
          <w:lang w:val="es-ES"/>
        </w:rPr>
        <w:t>.</w:t>
      </w:r>
    </w:p>
    <w:p w14:paraId="1B62D985" w14:textId="33ECD346" w:rsidR="00194EBD" w:rsidRPr="00D749D5" w:rsidRDefault="00194EBD"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olor w:val="auto"/>
          <w:sz w:val="20"/>
          <w:szCs w:val="20"/>
          <w:lang w:val="es-ES"/>
        </w:rPr>
      </w:pPr>
      <w:r w:rsidRPr="00D749D5">
        <w:rPr>
          <w:rFonts w:asciiTheme="majorHAnsi" w:hAnsiTheme="majorHAnsi"/>
          <w:b/>
          <w:color w:val="auto"/>
          <w:sz w:val="20"/>
          <w:szCs w:val="20"/>
          <w:lang w:val="es-ES"/>
        </w:rPr>
        <w:t>Ejecución extr</w:t>
      </w:r>
      <w:r w:rsidR="002C3263" w:rsidRPr="00D749D5">
        <w:rPr>
          <w:rFonts w:asciiTheme="majorHAnsi" w:hAnsiTheme="majorHAnsi"/>
          <w:b/>
          <w:color w:val="auto"/>
          <w:sz w:val="20"/>
          <w:szCs w:val="20"/>
          <w:lang w:val="es-ES"/>
        </w:rPr>
        <w:t>ajudicial de los hermanos Córdoba Cav</w:t>
      </w:r>
      <w:r w:rsidRPr="00D749D5">
        <w:rPr>
          <w:rFonts w:asciiTheme="majorHAnsi" w:hAnsiTheme="majorHAnsi"/>
          <w:b/>
          <w:color w:val="auto"/>
          <w:sz w:val="20"/>
          <w:szCs w:val="20"/>
          <w:lang w:val="es-ES"/>
        </w:rPr>
        <w:t xml:space="preserve">anzo </w:t>
      </w:r>
    </w:p>
    <w:p w14:paraId="3A3F95F7" w14:textId="3B5C6F54" w:rsidR="003A108C" w:rsidRPr="00D749D5" w:rsidRDefault="00194EBD" w:rsidP="003A10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Indican que el 11 de mayo de 1992, </w:t>
      </w:r>
      <w:r w:rsidR="001D6726" w:rsidRPr="00D749D5">
        <w:rPr>
          <w:rFonts w:asciiTheme="majorHAnsi" w:hAnsiTheme="majorHAnsi"/>
          <w:sz w:val="20"/>
          <w:szCs w:val="20"/>
          <w:lang w:val="es-ES"/>
        </w:rPr>
        <w:t xml:space="preserve">alrededor de las 18:00 horas, </w:t>
      </w:r>
      <w:r w:rsidR="00A0393E" w:rsidRPr="00D749D5">
        <w:rPr>
          <w:rFonts w:asciiTheme="majorHAnsi" w:hAnsiTheme="majorHAnsi"/>
          <w:sz w:val="20"/>
          <w:szCs w:val="20"/>
          <w:lang w:val="es-ES"/>
        </w:rPr>
        <w:t>los hermanos L</w:t>
      </w:r>
      <w:r w:rsidR="00F97BDC" w:rsidRPr="00D749D5">
        <w:rPr>
          <w:rFonts w:asciiTheme="majorHAnsi" w:hAnsiTheme="majorHAnsi"/>
          <w:sz w:val="20"/>
          <w:szCs w:val="20"/>
          <w:lang w:val="es-ES"/>
        </w:rPr>
        <w:t>eonardo, Pablo Elías y Evelio todos de apellidos C</w:t>
      </w:r>
      <w:r w:rsidR="007B0717" w:rsidRPr="00D749D5">
        <w:rPr>
          <w:rFonts w:asciiTheme="majorHAnsi" w:hAnsiTheme="majorHAnsi"/>
          <w:sz w:val="20"/>
          <w:szCs w:val="20"/>
          <w:lang w:val="es-ES"/>
        </w:rPr>
        <w:t>órdoba Cavanzo,</w:t>
      </w:r>
      <w:r w:rsidR="002041A0" w:rsidRPr="00D749D5">
        <w:rPr>
          <w:rFonts w:asciiTheme="majorHAnsi" w:hAnsiTheme="majorHAnsi"/>
          <w:sz w:val="20"/>
          <w:szCs w:val="20"/>
          <w:lang w:val="es-ES"/>
        </w:rPr>
        <w:t xml:space="preserve"> </w:t>
      </w:r>
      <w:r w:rsidR="00C21CF6" w:rsidRPr="00D749D5">
        <w:rPr>
          <w:rFonts w:asciiTheme="majorHAnsi" w:hAnsiTheme="majorHAnsi"/>
          <w:sz w:val="20"/>
          <w:szCs w:val="20"/>
          <w:lang w:val="es-ES"/>
        </w:rPr>
        <w:t xml:space="preserve">campesinos de la región de Opón, </w:t>
      </w:r>
      <w:r w:rsidR="00A0393E" w:rsidRPr="00D749D5">
        <w:rPr>
          <w:rFonts w:asciiTheme="majorHAnsi" w:hAnsiTheme="majorHAnsi"/>
          <w:sz w:val="20"/>
          <w:szCs w:val="20"/>
          <w:lang w:val="es-ES"/>
        </w:rPr>
        <w:t xml:space="preserve">estaban reunidos en la cafetería “Los Cuyos”, cuando </w:t>
      </w:r>
      <w:r w:rsidR="00C21CF6" w:rsidRPr="00D749D5">
        <w:rPr>
          <w:rFonts w:asciiTheme="majorHAnsi" w:hAnsiTheme="majorHAnsi"/>
          <w:sz w:val="20"/>
          <w:szCs w:val="20"/>
          <w:lang w:val="es-ES"/>
        </w:rPr>
        <w:t xml:space="preserve">llegaron </w:t>
      </w:r>
      <w:r w:rsidR="00A0393E" w:rsidRPr="00D749D5">
        <w:rPr>
          <w:rFonts w:asciiTheme="majorHAnsi" w:hAnsiTheme="majorHAnsi"/>
          <w:sz w:val="20"/>
          <w:szCs w:val="20"/>
          <w:lang w:val="es-ES"/>
        </w:rPr>
        <w:t>s</w:t>
      </w:r>
      <w:r w:rsidR="00C21CF6" w:rsidRPr="00D749D5">
        <w:rPr>
          <w:rFonts w:asciiTheme="majorHAnsi" w:hAnsiTheme="majorHAnsi"/>
          <w:sz w:val="20"/>
          <w:szCs w:val="20"/>
          <w:lang w:val="es-ES"/>
        </w:rPr>
        <w:t>ujetos que portaban metralletas y que procedi</w:t>
      </w:r>
      <w:r w:rsidR="002041A0" w:rsidRPr="00D749D5">
        <w:rPr>
          <w:rFonts w:asciiTheme="majorHAnsi" w:hAnsiTheme="majorHAnsi"/>
          <w:sz w:val="20"/>
          <w:szCs w:val="20"/>
          <w:lang w:val="es-ES"/>
        </w:rPr>
        <w:t>eron a disparar contra los tres</w:t>
      </w:r>
      <w:r w:rsidR="00C21CF6" w:rsidRPr="00D749D5">
        <w:rPr>
          <w:rFonts w:asciiTheme="majorHAnsi" w:hAnsiTheme="majorHAnsi"/>
          <w:sz w:val="20"/>
          <w:szCs w:val="20"/>
          <w:lang w:val="es-ES"/>
        </w:rPr>
        <w:t>.</w:t>
      </w:r>
      <w:r w:rsidR="00A0393E" w:rsidRPr="00D749D5">
        <w:rPr>
          <w:rFonts w:asciiTheme="majorHAnsi" w:hAnsiTheme="majorHAnsi"/>
          <w:sz w:val="20"/>
          <w:szCs w:val="20"/>
          <w:lang w:val="es-ES"/>
        </w:rPr>
        <w:t xml:space="preserve"> Se </w:t>
      </w:r>
      <w:r w:rsidR="00773378" w:rsidRPr="00D749D5">
        <w:rPr>
          <w:rFonts w:asciiTheme="majorHAnsi" w:hAnsiTheme="majorHAnsi"/>
          <w:sz w:val="20"/>
          <w:szCs w:val="20"/>
          <w:lang w:val="es-ES"/>
        </w:rPr>
        <w:t>indica que el Ejército los vinculaba con grupos guerrilleros</w:t>
      </w:r>
      <w:r w:rsidR="00C21CF6" w:rsidRPr="00D749D5">
        <w:rPr>
          <w:rFonts w:asciiTheme="majorHAnsi" w:hAnsiTheme="majorHAnsi"/>
          <w:sz w:val="20"/>
          <w:szCs w:val="20"/>
          <w:lang w:val="es-ES"/>
        </w:rPr>
        <w:t xml:space="preserve"> </w:t>
      </w:r>
      <w:r w:rsidR="00773378" w:rsidRPr="00D749D5">
        <w:rPr>
          <w:rFonts w:asciiTheme="majorHAnsi" w:hAnsiTheme="majorHAnsi"/>
          <w:sz w:val="20"/>
          <w:szCs w:val="20"/>
          <w:lang w:val="es-ES"/>
        </w:rPr>
        <w:t>y que con posterioridad a los hechos la familia Córdoba Cavanzo siguió siendo hostigada</w:t>
      </w:r>
      <w:r w:rsidR="000C6261" w:rsidRPr="00D749D5">
        <w:rPr>
          <w:rFonts w:asciiTheme="majorHAnsi" w:hAnsiTheme="majorHAnsi"/>
          <w:sz w:val="20"/>
          <w:szCs w:val="20"/>
          <w:lang w:val="es-ES"/>
        </w:rPr>
        <w:t xml:space="preserve"> y perseguida por miembros del E</w:t>
      </w:r>
      <w:r w:rsidR="00773378" w:rsidRPr="00D749D5">
        <w:rPr>
          <w:rFonts w:asciiTheme="majorHAnsi" w:hAnsiTheme="majorHAnsi"/>
          <w:sz w:val="20"/>
          <w:szCs w:val="20"/>
          <w:lang w:val="es-ES"/>
        </w:rPr>
        <w:t>jército Nacional y que otros dos hermanos fueron detenidos por el Batallón Artillería de Defensa Aérea No. 2 “Nueva Granada</w:t>
      </w:r>
      <w:r w:rsidR="000C6261" w:rsidRPr="00D749D5">
        <w:rPr>
          <w:rFonts w:asciiTheme="majorHAnsi" w:hAnsiTheme="majorHAnsi"/>
          <w:sz w:val="20"/>
          <w:szCs w:val="20"/>
          <w:lang w:val="es-ES"/>
        </w:rPr>
        <w:t>”</w:t>
      </w:r>
      <w:r w:rsidR="00773378" w:rsidRPr="00D749D5">
        <w:rPr>
          <w:rFonts w:asciiTheme="majorHAnsi" w:hAnsiTheme="majorHAnsi"/>
          <w:sz w:val="20"/>
          <w:szCs w:val="20"/>
          <w:lang w:val="es-ES"/>
        </w:rPr>
        <w:t xml:space="preserve"> del Ejército Nacional.</w:t>
      </w:r>
    </w:p>
    <w:p w14:paraId="3468E59F" w14:textId="77777777" w:rsidR="003A108C" w:rsidRPr="00D749D5" w:rsidRDefault="008755B0"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olor w:val="auto"/>
          <w:sz w:val="20"/>
          <w:szCs w:val="20"/>
          <w:lang w:val="es-ES"/>
        </w:rPr>
      </w:pPr>
      <w:r w:rsidRPr="00D749D5">
        <w:rPr>
          <w:rFonts w:asciiTheme="majorHAnsi" w:hAnsiTheme="majorHAnsi"/>
          <w:b/>
          <w:color w:val="auto"/>
          <w:sz w:val="20"/>
          <w:szCs w:val="20"/>
          <w:lang w:val="es-ES"/>
        </w:rPr>
        <w:t>Ejecución extrajudicial de Luis Enrique Lázaro Uribe y Luis Fernando León Cáceres</w:t>
      </w:r>
    </w:p>
    <w:p w14:paraId="373DC3C7" w14:textId="30A657E8" w:rsidR="008755B0" w:rsidRPr="00D749D5" w:rsidRDefault="008755B0" w:rsidP="008755B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Se indica que la tarde del 18 de mayo de 1992 fueron asesinados</w:t>
      </w:r>
      <w:r w:rsidR="004D177A" w:rsidRPr="00D749D5">
        <w:rPr>
          <w:rFonts w:asciiTheme="majorHAnsi" w:hAnsiTheme="majorHAnsi"/>
          <w:sz w:val="20"/>
          <w:szCs w:val="20"/>
          <w:lang w:val="es-ES"/>
        </w:rPr>
        <w:t xml:space="preserve"> por hombres armados,</w:t>
      </w:r>
      <w:r w:rsidRPr="00D749D5">
        <w:rPr>
          <w:rFonts w:asciiTheme="majorHAnsi" w:hAnsiTheme="majorHAnsi"/>
          <w:sz w:val="20"/>
          <w:szCs w:val="20"/>
          <w:lang w:val="es-ES"/>
        </w:rPr>
        <w:t xml:space="preserve"> Luis Enrique Lázaro Uribe y Luis Fernando León Cáceres, ambos mecánicos de Ecopetrol, afiliados a USO-Unión sindical Obrera.</w:t>
      </w:r>
      <w:r w:rsidR="00D346A5" w:rsidRPr="00D749D5">
        <w:rPr>
          <w:rFonts w:asciiTheme="majorHAnsi" w:hAnsiTheme="majorHAnsi"/>
          <w:sz w:val="20"/>
          <w:szCs w:val="20"/>
          <w:lang w:val="es-ES"/>
        </w:rPr>
        <w:t xml:space="preserve"> </w:t>
      </w:r>
    </w:p>
    <w:p w14:paraId="578C79EA" w14:textId="77777777" w:rsidR="003A108C" w:rsidRPr="00D749D5" w:rsidRDefault="00311328"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b/>
          <w:color w:val="auto"/>
          <w:sz w:val="20"/>
          <w:szCs w:val="20"/>
          <w:lang w:val="es-ES"/>
        </w:rPr>
      </w:pPr>
      <w:r w:rsidRPr="00D749D5">
        <w:rPr>
          <w:rFonts w:asciiTheme="majorHAnsi" w:hAnsiTheme="majorHAnsi"/>
          <w:b/>
          <w:color w:val="auto"/>
          <w:sz w:val="20"/>
          <w:szCs w:val="20"/>
          <w:lang w:val="es-ES"/>
        </w:rPr>
        <w:t>Ejecución extrajudicial de Luis Fernando Sierra Vargas</w:t>
      </w:r>
    </w:p>
    <w:p w14:paraId="432DF0EE" w14:textId="3423E2C3" w:rsidR="00311328" w:rsidRPr="00D749D5" w:rsidRDefault="00311328" w:rsidP="000C626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Se refiere que el mediodía del 23 de mayo de 1992 fue asesinado Luis Fernando Sierra Vargas, estudiante del colegio de la USO, quie</w:t>
      </w:r>
      <w:r w:rsidR="006D7E05" w:rsidRPr="00D749D5">
        <w:rPr>
          <w:rFonts w:asciiTheme="majorHAnsi" w:hAnsiTheme="majorHAnsi"/>
          <w:sz w:val="20"/>
          <w:szCs w:val="20"/>
          <w:lang w:val="es-ES"/>
        </w:rPr>
        <w:t xml:space="preserve">n además era vendedor ambulante. Se indica que </w:t>
      </w:r>
      <w:r w:rsidR="00931417" w:rsidRPr="00D749D5">
        <w:rPr>
          <w:rFonts w:asciiTheme="majorHAnsi" w:hAnsiTheme="majorHAnsi"/>
          <w:sz w:val="20"/>
          <w:szCs w:val="20"/>
          <w:lang w:val="es-ES"/>
        </w:rPr>
        <w:t xml:space="preserve">la presunta víctima se </w:t>
      </w:r>
      <w:r w:rsidRPr="00D749D5">
        <w:rPr>
          <w:rFonts w:asciiTheme="majorHAnsi" w:hAnsiTheme="majorHAnsi"/>
          <w:sz w:val="20"/>
          <w:szCs w:val="20"/>
          <w:lang w:val="es-ES"/>
        </w:rPr>
        <w:t xml:space="preserve">dirigía a su residencia, </w:t>
      </w:r>
      <w:r w:rsidR="00931417" w:rsidRPr="00D749D5">
        <w:rPr>
          <w:rFonts w:asciiTheme="majorHAnsi" w:hAnsiTheme="majorHAnsi"/>
          <w:sz w:val="20"/>
          <w:szCs w:val="20"/>
          <w:lang w:val="es-ES"/>
        </w:rPr>
        <w:t xml:space="preserve">y que </w:t>
      </w:r>
      <w:r w:rsidRPr="00D749D5">
        <w:rPr>
          <w:rFonts w:asciiTheme="majorHAnsi" w:hAnsiTheme="majorHAnsi"/>
          <w:sz w:val="20"/>
          <w:szCs w:val="20"/>
          <w:lang w:val="es-ES"/>
        </w:rPr>
        <w:t>dos hombres lo seguían</w:t>
      </w:r>
      <w:r w:rsidR="00836049" w:rsidRPr="00D749D5">
        <w:rPr>
          <w:rFonts w:asciiTheme="majorHAnsi" w:hAnsiTheme="majorHAnsi"/>
          <w:sz w:val="20"/>
          <w:szCs w:val="20"/>
          <w:lang w:val="es-ES"/>
        </w:rPr>
        <w:t>, por lo que al darse cuenta, intent</w:t>
      </w:r>
      <w:r w:rsidR="000C6261" w:rsidRPr="00D749D5">
        <w:rPr>
          <w:rFonts w:asciiTheme="majorHAnsi" w:hAnsiTheme="majorHAnsi"/>
          <w:sz w:val="20"/>
          <w:szCs w:val="20"/>
          <w:lang w:val="es-ES"/>
        </w:rPr>
        <w:t>ó</w:t>
      </w:r>
      <w:r w:rsidR="00836049" w:rsidRPr="00D749D5">
        <w:rPr>
          <w:rFonts w:asciiTheme="majorHAnsi" w:hAnsiTheme="majorHAnsi"/>
          <w:sz w:val="20"/>
          <w:szCs w:val="20"/>
          <w:lang w:val="es-ES"/>
        </w:rPr>
        <w:t xml:space="preserve"> infructuosamente refugiarse en una cantina, sin embargo</w:t>
      </w:r>
      <w:r w:rsidR="00931417" w:rsidRPr="00D749D5">
        <w:rPr>
          <w:rFonts w:asciiTheme="majorHAnsi" w:hAnsiTheme="majorHAnsi"/>
          <w:sz w:val="20"/>
          <w:szCs w:val="20"/>
          <w:lang w:val="es-ES"/>
        </w:rPr>
        <w:t xml:space="preserve"> le dispararon </w:t>
      </w:r>
      <w:r w:rsidR="00836049" w:rsidRPr="00D749D5">
        <w:rPr>
          <w:rFonts w:asciiTheme="majorHAnsi" w:hAnsiTheme="majorHAnsi"/>
          <w:sz w:val="20"/>
          <w:szCs w:val="20"/>
          <w:lang w:val="es-ES"/>
        </w:rPr>
        <w:t xml:space="preserve">por la espalda </w:t>
      </w:r>
      <w:r w:rsidR="00931417" w:rsidRPr="00D749D5">
        <w:rPr>
          <w:rFonts w:asciiTheme="majorHAnsi" w:hAnsiTheme="majorHAnsi"/>
          <w:sz w:val="20"/>
          <w:szCs w:val="20"/>
          <w:lang w:val="es-ES"/>
        </w:rPr>
        <w:t>provocando su deceso</w:t>
      </w:r>
      <w:r w:rsidRPr="00D749D5">
        <w:rPr>
          <w:rFonts w:asciiTheme="majorHAnsi" w:hAnsiTheme="majorHAnsi"/>
          <w:sz w:val="20"/>
          <w:szCs w:val="20"/>
          <w:lang w:val="es-ES"/>
        </w:rPr>
        <w:t xml:space="preserve">. </w:t>
      </w:r>
    </w:p>
    <w:p w14:paraId="5480BC04" w14:textId="77777777" w:rsidR="003A108C" w:rsidRPr="00D749D5" w:rsidRDefault="00B338D2"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b/>
          <w:color w:val="auto"/>
          <w:sz w:val="20"/>
          <w:szCs w:val="20"/>
          <w:lang w:val="es-ES"/>
        </w:rPr>
      </w:pPr>
      <w:r w:rsidRPr="00D749D5">
        <w:rPr>
          <w:rFonts w:asciiTheme="majorHAnsi" w:hAnsiTheme="majorHAnsi"/>
          <w:b/>
          <w:color w:val="auto"/>
          <w:sz w:val="20"/>
          <w:szCs w:val="20"/>
          <w:lang w:val="es-ES"/>
        </w:rPr>
        <w:t>Masacre en el billar del Barrio Versalles, de Barrancabermeja</w:t>
      </w:r>
    </w:p>
    <w:p w14:paraId="69B9D252" w14:textId="0B4E0A85" w:rsidR="003A108C" w:rsidRPr="00D749D5" w:rsidRDefault="00B338D2" w:rsidP="00365D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Se relata que el 10 de junio de 1992 en horas de la tarde varios sujetos m</w:t>
      </w:r>
      <w:r w:rsidR="00365D20" w:rsidRPr="00D749D5">
        <w:rPr>
          <w:rFonts w:asciiTheme="majorHAnsi" w:hAnsiTheme="majorHAnsi"/>
          <w:sz w:val="20"/>
          <w:szCs w:val="20"/>
          <w:lang w:val="es-ES"/>
        </w:rPr>
        <w:t>ovilizados en motos, llegaron a un</w:t>
      </w:r>
      <w:r w:rsidRPr="00D749D5">
        <w:rPr>
          <w:rFonts w:asciiTheme="majorHAnsi" w:hAnsiTheme="majorHAnsi"/>
          <w:sz w:val="20"/>
          <w:szCs w:val="20"/>
          <w:lang w:val="es-ES"/>
        </w:rPr>
        <w:t xml:space="preserve"> billar</w:t>
      </w:r>
      <w:r w:rsidR="00365D20" w:rsidRPr="00D749D5">
        <w:rPr>
          <w:rFonts w:asciiTheme="majorHAnsi" w:hAnsiTheme="majorHAnsi"/>
          <w:sz w:val="20"/>
          <w:szCs w:val="20"/>
          <w:lang w:val="es-ES"/>
        </w:rPr>
        <w:t xml:space="preserve"> en Barrancabermeja</w:t>
      </w:r>
      <w:r w:rsidRPr="00D749D5">
        <w:rPr>
          <w:rFonts w:asciiTheme="majorHAnsi" w:hAnsiTheme="majorHAnsi"/>
          <w:sz w:val="20"/>
          <w:szCs w:val="20"/>
          <w:lang w:val="es-ES"/>
        </w:rPr>
        <w:t>, y disp</w:t>
      </w:r>
      <w:r w:rsidR="00341F9F" w:rsidRPr="00D749D5">
        <w:rPr>
          <w:rFonts w:asciiTheme="majorHAnsi" w:hAnsiTheme="majorHAnsi"/>
          <w:sz w:val="20"/>
          <w:szCs w:val="20"/>
          <w:lang w:val="es-ES"/>
        </w:rPr>
        <w:t>araron contra</w:t>
      </w:r>
      <w:r w:rsidRPr="00D749D5">
        <w:rPr>
          <w:rFonts w:asciiTheme="majorHAnsi" w:hAnsiTheme="majorHAnsi"/>
          <w:sz w:val="20"/>
          <w:szCs w:val="20"/>
          <w:lang w:val="es-ES"/>
        </w:rPr>
        <w:t xml:space="preserve"> </w:t>
      </w:r>
      <w:r w:rsidR="00365D20" w:rsidRPr="00D749D5">
        <w:rPr>
          <w:rFonts w:asciiTheme="majorHAnsi" w:hAnsiTheme="majorHAnsi"/>
          <w:sz w:val="20"/>
          <w:szCs w:val="20"/>
          <w:lang w:val="es-ES"/>
        </w:rPr>
        <w:t>Eliecer Payá</w:t>
      </w:r>
      <w:r w:rsidRPr="00D749D5">
        <w:rPr>
          <w:rFonts w:asciiTheme="majorHAnsi" w:hAnsiTheme="majorHAnsi"/>
          <w:sz w:val="20"/>
          <w:szCs w:val="20"/>
          <w:lang w:val="es-ES"/>
        </w:rPr>
        <w:t xml:space="preserve">n Monares, </w:t>
      </w:r>
      <w:r w:rsidR="00365D20" w:rsidRPr="00D749D5">
        <w:rPr>
          <w:rFonts w:asciiTheme="majorHAnsi" w:hAnsiTheme="majorHAnsi"/>
          <w:sz w:val="20"/>
          <w:szCs w:val="20"/>
          <w:lang w:val="es-ES"/>
        </w:rPr>
        <w:t>Yeimy</w:t>
      </w:r>
      <w:r w:rsidRPr="00D749D5">
        <w:rPr>
          <w:rFonts w:asciiTheme="majorHAnsi" w:hAnsiTheme="majorHAnsi"/>
          <w:sz w:val="20"/>
          <w:szCs w:val="20"/>
          <w:lang w:val="es-ES"/>
        </w:rPr>
        <w:t xml:space="preserve"> Herrera Vásquez, Pedro David Villareal Santamaría y Oscar Mauricio Pinzón, asesinándolos. </w:t>
      </w:r>
    </w:p>
    <w:p w14:paraId="18C69112" w14:textId="09EB947E" w:rsidR="00B338D2" w:rsidRPr="00D749D5" w:rsidRDefault="00B338D2" w:rsidP="00B338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Asimismo, refieren que </w:t>
      </w:r>
      <w:r w:rsidR="00365D20" w:rsidRPr="00D749D5">
        <w:rPr>
          <w:rFonts w:asciiTheme="majorHAnsi" w:hAnsiTheme="majorHAnsi"/>
          <w:sz w:val="20"/>
          <w:szCs w:val="20"/>
          <w:lang w:val="es-ES"/>
        </w:rPr>
        <w:t>David Vá</w:t>
      </w:r>
      <w:r w:rsidRPr="00D749D5">
        <w:rPr>
          <w:rFonts w:asciiTheme="majorHAnsi" w:hAnsiTheme="majorHAnsi"/>
          <w:sz w:val="20"/>
          <w:szCs w:val="20"/>
          <w:lang w:val="es-ES"/>
        </w:rPr>
        <w:t>squez Bello resulto herido en los hechos.</w:t>
      </w:r>
    </w:p>
    <w:p w14:paraId="14B82DFE" w14:textId="77777777" w:rsidR="003A108C" w:rsidRPr="00D749D5" w:rsidRDefault="00954F66"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olor w:val="auto"/>
          <w:sz w:val="20"/>
          <w:szCs w:val="20"/>
          <w:lang w:val="es-ES"/>
        </w:rPr>
      </w:pPr>
      <w:r w:rsidRPr="00D749D5">
        <w:rPr>
          <w:rFonts w:asciiTheme="majorHAnsi" w:hAnsiTheme="majorHAnsi"/>
          <w:b/>
          <w:color w:val="auto"/>
          <w:sz w:val="20"/>
          <w:szCs w:val="20"/>
          <w:lang w:val="es-ES"/>
        </w:rPr>
        <w:t>Ejecución extrajudicial de Pablo Guerra Herrera y Luis Jesús Ru</w:t>
      </w:r>
      <w:r w:rsidR="00B23121" w:rsidRPr="00D749D5">
        <w:rPr>
          <w:rFonts w:asciiTheme="majorHAnsi" w:hAnsiTheme="majorHAnsi"/>
          <w:b/>
          <w:color w:val="auto"/>
          <w:sz w:val="20"/>
          <w:szCs w:val="20"/>
          <w:lang w:val="es-ES"/>
        </w:rPr>
        <w:t>eda Viviesca</w:t>
      </w:r>
    </w:p>
    <w:p w14:paraId="78C92391" w14:textId="5443B3B0" w:rsidR="00954F66" w:rsidRPr="00D749D5" w:rsidRDefault="00954F66" w:rsidP="000C626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Los peticionarios sostienen que el 28 de junio de 1992 se encontraban reunidos Pablo Emilio Guerra Herrera y Luis Jesús Rueda Viviescas, ambos negociantes de pescado, cuando varios sujetos </w:t>
      </w:r>
      <w:r w:rsidR="00AF0655" w:rsidRPr="00D749D5">
        <w:rPr>
          <w:rFonts w:asciiTheme="majorHAnsi" w:hAnsiTheme="majorHAnsi"/>
          <w:sz w:val="20"/>
          <w:szCs w:val="20"/>
          <w:lang w:val="es-ES"/>
        </w:rPr>
        <w:t xml:space="preserve">armados les dispararon. Indican que Luis Jesús Rueda Viviescas murió inmediatamente producto de </w:t>
      </w:r>
      <w:r w:rsidR="003D0607" w:rsidRPr="00D749D5">
        <w:rPr>
          <w:rFonts w:asciiTheme="majorHAnsi" w:hAnsiTheme="majorHAnsi"/>
          <w:sz w:val="20"/>
          <w:szCs w:val="20"/>
          <w:lang w:val="es-ES"/>
        </w:rPr>
        <w:t>múltiples</w:t>
      </w:r>
      <w:r w:rsidR="00AF0655" w:rsidRPr="00D749D5">
        <w:rPr>
          <w:rFonts w:asciiTheme="majorHAnsi" w:hAnsiTheme="majorHAnsi"/>
          <w:sz w:val="20"/>
          <w:szCs w:val="20"/>
          <w:lang w:val="es-ES"/>
        </w:rPr>
        <w:t xml:space="preserve"> impactos de bala, mientras que Pablo Emilio Guerra Herrera trat</w:t>
      </w:r>
      <w:r w:rsidR="000C6261" w:rsidRPr="00D749D5">
        <w:rPr>
          <w:rFonts w:asciiTheme="majorHAnsi" w:hAnsiTheme="majorHAnsi"/>
          <w:sz w:val="20"/>
          <w:szCs w:val="20"/>
          <w:lang w:val="es-ES"/>
        </w:rPr>
        <w:t>ó</w:t>
      </w:r>
      <w:r w:rsidR="00AF0655" w:rsidRPr="00D749D5">
        <w:rPr>
          <w:rFonts w:asciiTheme="majorHAnsi" w:hAnsiTheme="majorHAnsi"/>
          <w:sz w:val="20"/>
          <w:szCs w:val="20"/>
          <w:lang w:val="es-ES"/>
        </w:rPr>
        <w:t xml:space="preserve"> de refugiarse en la residencia donde se encontraban, pero fue alca</w:t>
      </w:r>
      <w:r w:rsidR="00FE077E">
        <w:rPr>
          <w:rFonts w:asciiTheme="majorHAnsi" w:hAnsiTheme="majorHAnsi"/>
          <w:sz w:val="20"/>
          <w:szCs w:val="20"/>
          <w:lang w:val="es-ES"/>
        </w:rPr>
        <w:t>nzado</w:t>
      </w:r>
      <w:r w:rsidR="00676288" w:rsidRPr="00D749D5">
        <w:rPr>
          <w:rFonts w:asciiTheme="majorHAnsi" w:hAnsiTheme="majorHAnsi"/>
          <w:sz w:val="20"/>
          <w:szCs w:val="20"/>
          <w:lang w:val="es-ES"/>
        </w:rPr>
        <w:t xml:space="preserve"> por los hombres</w:t>
      </w:r>
      <w:r w:rsidR="007A502C" w:rsidRPr="00D749D5">
        <w:rPr>
          <w:rFonts w:asciiTheme="majorHAnsi" w:hAnsiTheme="majorHAnsi"/>
          <w:sz w:val="20"/>
          <w:szCs w:val="20"/>
          <w:lang w:val="es-ES"/>
        </w:rPr>
        <w:t xml:space="preserve">, que </w:t>
      </w:r>
      <w:r w:rsidR="00AF0655" w:rsidRPr="00D749D5">
        <w:rPr>
          <w:rFonts w:asciiTheme="majorHAnsi" w:hAnsiTheme="majorHAnsi"/>
          <w:sz w:val="20"/>
          <w:szCs w:val="20"/>
          <w:lang w:val="es-ES"/>
        </w:rPr>
        <w:t xml:space="preserve">lo asesinaron </w:t>
      </w:r>
      <w:r w:rsidR="00CA5BFD" w:rsidRPr="00D749D5">
        <w:rPr>
          <w:rFonts w:asciiTheme="majorHAnsi" w:hAnsiTheme="majorHAnsi"/>
          <w:sz w:val="20"/>
          <w:szCs w:val="20"/>
          <w:lang w:val="es-ES"/>
        </w:rPr>
        <w:t>propinándole</w:t>
      </w:r>
      <w:r w:rsidR="00AF0655" w:rsidRPr="00D749D5">
        <w:rPr>
          <w:rFonts w:asciiTheme="majorHAnsi" w:hAnsiTheme="majorHAnsi"/>
          <w:sz w:val="20"/>
          <w:szCs w:val="20"/>
          <w:lang w:val="es-ES"/>
        </w:rPr>
        <w:t xml:space="preserve"> siete impactos de bala.</w:t>
      </w:r>
    </w:p>
    <w:p w14:paraId="576657A7" w14:textId="77777777" w:rsidR="00CA5BFD" w:rsidRPr="00D749D5" w:rsidRDefault="00444B4C"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olor w:val="auto"/>
          <w:sz w:val="20"/>
          <w:szCs w:val="20"/>
          <w:lang w:val="es-ES"/>
        </w:rPr>
      </w:pPr>
      <w:r w:rsidRPr="00D749D5">
        <w:rPr>
          <w:rFonts w:asciiTheme="majorHAnsi" w:hAnsiTheme="majorHAnsi"/>
          <w:b/>
          <w:color w:val="auto"/>
          <w:sz w:val="20"/>
          <w:szCs w:val="20"/>
          <w:lang w:val="es-ES"/>
        </w:rPr>
        <w:lastRenderedPageBreak/>
        <w:t>Ejecución extrajudicial de Leonardo Martínez Ardila</w:t>
      </w:r>
    </w:p>
    <w:p w14:paraId="0C3D83C1" w14:textId="568E7C56" w:rsidR="00444B4C" w:rsidRPr="00D749D5" w:rsidRDefault="00586942" w:rsidP="00050A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En la denuncia se refiere que Leonardo Martínez Ardila</w:t>
      </w:r>
      <w:r w:rsidR="00050A3D" w:rsidRPr="00D749D5">
        <w:rPr>
          <w:rFonts w:asciiTheme="majorHAnsi" w:hAnsiTheme="majorHAnsi"/>
          <w:sz w:val="20"/>
          <w:szCs w:val="20"/>
          <w:lang w:val="es-ES"/>
        </w:rPr>
        <w:t xml:space="preserve">, quien se desempeñaba como conductor de bus urbano de la Empresa San Silvestre y pertenecía al sindicato de dicha entidad, </w:t>
      </w:r>
      <w:r w:rsidR="00E75A64" w:rsidRPr="00D749D5">
        <w:rPr>
          <w:rFonts w:asciiTheme="majorHAnsi" w:hAnsiTheme="majorHAnsi"/>
          <w:sz w:val="20"/>
          <w:szCs w:val="20"/>
          <w:lang w:val="es-ES"/>
        </w:rPr>
        <w:t>fue</w:t>
      </w:r>
      <w:r w:rsidR="00050A3D" w:rsidRPr="00D749D5">
        <w:rPr>
          <w:rFonts w:asciiTheme="majorHAnsi" w:hAnsiTheme="majorHAnsi"/>
          <w:sz w:val="20"/>
          <w:szCs w:val="20"/>
          <w:lang w:val="es-ES"/>
        </w:rPr>
        <w:t xml:space="preserve"> ejecutado en</w:t>
      </w:r>
      <w:r w:rsidRPr="00D749D5">
        <w:rPr>
          <w:rFonts w:asciiTheme="majorHAnsi" w:hAnsiTheme="majorHAnsi"/>
          <w:sz w:val="20"/>
          <w:szCs w:val="20"/>
          <w:lang w:val="es-ES"/>
        </w:rPr>
        <w:t xml:space="preserve"> junio de 1992 dentro de un bus que cubría la ruta hacia el barrio “El Castillo” de la cuidad de Barrancabermeja.</w:t>
      </w:r>
      <w:r w:rsidR="00AC461F" w:rsidRPr="00D749D5">
        <w:rPr>
          <w:rFonts w:asciiTheme="majorHAnsi" w:hAnsiTheme="majorHAnsi"/>
          <w:sz w:val="20"/>
          <w:szCs w:val="20"/>
          <w:lang w:val="es-ES"/>
        </w:rPr>
        <w:t xml:space="preserve"> </w:t>
      </w:r>
    </w:p>
    <w:p w14:paraId="2EF42DAD" w14:textId="77777777" w:rsidR="00AC461F" w:rsidRPr="00D749D5" w:rsidRDefault="00527DF7"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olor w:val="auto"/>
          <w:sz w:val="20"/>
          <w:szCs w:val="20"/>
          <w:lang w:val="es-ES"/>
        </w:rPr>
      </w:pPr>
      <w:r w:rsidRPr="00D749D5">
        <w:rPr>
          <w:rFonts w:asciiTheme="majorHAnsi" w:hAnsiTheme="majorHAnsi"/>
          <w:b/>
          <w:color w:val="auto"/>
          <w:sz w:val="20"/>
          <w:szCs w:val="20"/>
          <w:lang w:val="es-ES"/>
        </w:rPr>
        <w:t xml:space="preserve">Masacre en el bar “El Star”, de Barrancabermeja </w:t>
      </w:r>
    </w:p>
    <w:p w14:paraId="6888FFEA" w14:textId="02AC25DF" w:rsidR="00527DF7" w:rsidRPr="00D749D5" w:rsidRDefault="00456549" w:rsidP="00BD0BB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Lo</w:t>
      </w:r>
      <w:r w:rsidR="001914ED" w:rsidRPr="00D749D5">
        <w:rPr>
          <w:rFonts w:asciiTheme="majorHAnsi" w:hAnsiTheme="majorHAnsi"/>
          <w:sz w:val="20"/>
          <w:szCs w:val="20"/>
          <w:lang w:val="es-ES"/>
        </w:rPr>
        <w:t>s peticionarios relatan que el 9</w:t>
      </w:r>
      <w:r w:rsidRPr="00D749D5">
        <w:rPr>
          <w:rFonts w:asciiTheme="majorHAnsi" w:hAnsiTheme="majorHAnsi"/>
          <w:sz w:val="20"/>
          <w:szCs w:val="20"/>
          <w:lang w:val="es-ES"/>
        </w:rPr>
        <w:t xml:space="preserve"> de julio de 1992 varios hombres armados ingresaron al bar “El Star” ubicado en el barrio La Campana, y lanzaron granadas de fragmentación, procediendo a disparar </w:t>
      </w:r>
      <w:r w:rsidR="00AD7900" w:rsidRPr="00D749D5">
        <w:rPr>
          <w:rFonts w:asciiTheme="majorHAnsi" w:hAnsiTheme="majorHAnsi"/>
          <w:sz w:val="20"/>
          <w:szCs w:val="20"/>
          <w:lang w:val="es-ES"/>
        </w:rPr>
        <w:t xml:space="preserve">con armas automáticas y semiautomáticas, sobre </w:t>
      </w:r>
      <w:r w:rsidR="00E75A64" w:rsidRPr="00D749D5">
        <w:rPr>
          <w:rFonts w:asciiTheme="majorHAnsi" w:hAnsiTheme="majorHAnsi"/>
          <w:sz w:val="20"/>
          <w:szCs w:val="20"/>
          <w:lang w:val="es-ES"/>
        </w:rPr>
        <w:t xml:space="preserve">quienes </w:t>
      </w:r>
      <w:r w:rsidR="00AD7900" w:rsidRPr="00D749D5">
        <w:rPr>
          <w:rFonts w:asciiTheme="majorHAnsi" w:hAnsiTheme="majorHAnsi"/>
          <w:sz w:val="20"/>
          <w:szCs w:val="20"/>
          <w:lang w:val="es-ES"/>
        </w:rPr>
        <w:t>se encontraban en e</w:t>
      </w:r>
      <w:r w:rsidR="00E75A64" w:rsidRPr="00D749D5">
        <w:rPr>
          <w:rFonts w:asciiTheme="majorHAnsi" w:hAnsiTheme="majorHAnsi"/>
          <w:sz w:val="20"/>
          <w:szCs w:val="20"/>
          <w:lang w:val="es-ES"/>
        </w:rPr>
        <w:t>l</w:t>
      </w:r>
      <w:r w:rsidR="00AD7900" w:rsidRPr="00D749D5">
        <w:rPr>
          <w:rFonts w:asciiTheme="majorHAnsi" w:hAnsiTheme="majorHAnsi"/>
          <w:sz w:val="20"/>
          <w:szCs w:val="20"/>
          <w:lang w:val="es-ES"/>
        </w:rPr>
        <w:t xml:space="preserve"> lugar. Como consecuencia, refieren que fallecieron Benjamín Pérez Peinado</w:t>
      </w:r>
      <w:r w:rsidR="00F54E0D" w:rsidRPr="00D749D5">
        <w:rPr>
          <w:rFonts w:asciiTheme="majorHAnsi" w:hAnsiTheme="majorHAnsi"/>
          <w:sz w:val="20"/>
          <w:szCs w:val="20"/>
          <w:lang w:val="es-ES"/>
        </w:rPr>
        <w:t xml:space="preserve">, Virgilio Enrique Treco Florez, Pedro David Sanchéz Morantes, Doris Patricia Murillo, </w:t>
      </w:r>
      <w:r w:rsidR="00BD0BB0" w:rsidRPr="00D749D5">
        <w:rPr>
          <w:rFonts w:asciiTheme="majorHAnsi" w:hAnsiTheme="majorHAnsi"/>
          <w:sz w:val="20"/>
          <w:szCs w:val="20"/>
          <w:lang w:val="es-ES"/>
        </w:rPr>
        <w:t>embarazada de 12 semanas, Orlando Alonso Castillo Duarte y Esteban Rojas Prada.</w:t>
      </w:r>
    </w:p>
    <w:p w14:paraId="6ACEAB71" w14:textId="17D7277B" w:rsidR="00795054" w:rsidRPr="00D749D5" w:rsidRDefault="00795054" w:rsidP="00AA3F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620"/>
        </w:tabs>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Asimismo, en la denuncia se indica que resultaron lesionados por estos hechos Andrés Miguel Mora Florez, Teodomiro Mosquera Gomez</w:t>
      </w:r>
      <w:r w:rsidR="002730A3" w:rsidRPr="00D749D5">
        <w:rPr>
          <w:rFonts w:asciiTheme="majorHAnsi" w:hAnsiTheme="majorHAnsi"/>
          <w:sz w:val="20"/>
          <w:szCs w:val="20"/>
          <w:lang w:val="es-ES"/>
        </w:rPr>
        <w:t>,</w:t>
      </w:r>
      <w:r w:rsidRPr="00D749D5">
        <w:rPr>
          <w:rFonts w:asciiTheme="majorHAnsi" w:hAnsiTheme="majorHAnsi"/>
          <w:sz w:val="20"/>
          <w:szCs w:val="20"/>
          <w:lang w:val="es-ES"/>
        </w:rPr>
        <w:t xml:space="preserve"> Leysa Rangel </w:t>
      </w:r>
      <w:r w:rsidRPr="008B4593">
        <w:rPr>
          <w:rFonts w:asciiTheme="majorHAnsi" w:hAnsiTheme="majorHAnsi"/>
          <w:sz w:val="20"/>
          <w:szCs w:val="20"/>
          <w:lang w:val="es-ES"/>
        </w:rPr>
        <w:t>Quintero</w:t>
      </w:r>
      <w:r w:rsidR="008B5FB2" w:rsidRPr="008B4593">
        <w:rPr>
          <w:rFonts w:asciiTheme="majorHAnsi" w:hAnsiTheme="majorHAnsi"/>
          <w:sz w:val="20"/>
          <w:szCs w:val="20"/>
          <w:lang w:val="es-ES"/>
        </w:rPr>
        <w:t xml:space="preserve">. En escrito de fecha 8 de octubre de 2010, los peticionarios indican que en estos hechos también resultó lesionado </w:t>
      </w:r>
      <w:r w:rsidR="002730A3" w:rsidRPr="008B4593">
        <w:rPr>
          <w:rFonts w:asciiTheme="majorHAnsi" w:hAnsiTheme="majorHAnsi"/>
          <w:sz w:val="20"/>
          <w:szCs w:val="20"/>
          <w:lang w:val="es-ES"/>
        </w:rPr>
        <w:t>Rafael Cruz Garavito</w:t>
      </w:r>
      <w:r w:rsidR="008B5FB2" w:rsidRPr="008B4593">
        <w:rPr>
          <w:rFonts w:asciiTheme="majorHAnsi" w:hAnsiTheme="majorHAnsi"/>
          <w:sz w:val="20"/>
          <w:szCs w:val="20"/>
          <w:lang w:val="es-ES"/>
        </w:rPr>
        <w:t>.</w:t>
      </w:r>
    </w:p>
    <w:p w14:paraId="1593FC6C" w14:textId="77777777" w:rsidR="003A108C" w:rsidRPr="00D749D5" w:rsidRDefault="002D6562"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olor w:val="auto"/>
          <w:sz w:val="20"/>
          <w:szCs w:val="20"/>
          <w:lang w:val="es-ES"/>
        </w:rPr>
      </w:pPr>
      <w:r w:rsidRPr="00D749D5">
        <w:rPr>
          <w:rFonts w:asciiTheme="majorHAnsi" w:hAnsiTheme="majorHAnsi"/>
          <w:b/>
          <w:color w:val="auto"/>
          <w:sz w:val="20"/>
          <w:szCs w:val="20"/>
          <w:lang w:val="es-ES"/>
        </w:rPr>
        <w:t>Ejecución extrajudicial de</w:t>
      </w:r>
      <w:r w:rsidRPr="00D749D5">
        <w:rPr>
          <w:rFonts w:asciiTheme="majorHAnsi" w:hAnsiTheme="majorHAnsi"/>
          <w:color w:val="auto"/>
          <w:sz w:val="20"/>
          <w:szCs w:val="20"/>
          <w:lang w:val="es-ES"/>
        </w:rPr>
        <w:t xml:space="preserve"> </w:t>
      </w:r>
      <w:r w:rsidRPr="00D749D5">
        <w:rPr>
          <w:rFonts w:asciiTheme="majorHAnsi" w:hAnsiTheme="majorHAnsi"/>
          <w:b/>
          <w:color w:val="auto"/>
          <w:sz w:val="20"/>
          <w:szCs w:val="20"/>
          <w:lang w:val="es-ES"/>
        </w:rPr>
        <w:t>Julio César Berrio Villegas</w:t>
      </w:r>
    </w:p>
    <w:p w14:paraId="69478423" w14:textId="779E1535" w:rsidR="002D6562" w:rsidRPr="00D749D5" w:rsidRDefault="002D6562" w:rsidP="002D65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Se indica que el 28 de junio de 1992 fue asesinado Julio César Berrio Villegas, quien se desempeñaba como guardaespaldas del </w:t>
      </w:r>
      <w:r w:rsidR="00734FA1" w:rsidRPr="00D749D5">
        <w:rPr>
          <w:rFonts w:asciiTheme="majorHAnsi" w:hAnsiTheme="majorHAnsi"/>
          <w:sz w:val="20"/>
          <w:szCs w:val="20"/>
          <w:lang w:val="es-ES"/>
        </w:rPr>
        <w:t>p</w:t>
      </w:r>
      <w:r w:rsidRPr="00D749D5">
        <w:rPr>
          <w:rFonts w:asciiTheme="majorHAnsi" w:hAnsiTheme="majorHAnsi"/>
          <w:sz w:val="20"/>
          <w:szCs w:val="20"/>
          <w:lang w:val="es-ES"/>
        </w:rPr>
        <w:t xml:space="preserve">residente de </w:t>
      </w:r>
      <w:r w:rsidR="00153401" w:rsidRPr="00D749D5">
        <w:rPr>
          <w:rFonts w:asciiTheme="majorHAnsi" w:hAnsiTheme="majorHAnsi"/>
          <w:sz w:val="20"/>
          <w:szCs w:val="20"/>
          <w:lang w:val="es-ES"/>
        </w:rPr>
        <w:t>Credhos,</w:t>
      </w:r>
      <w:r w:rsidRPr="00D749D5">
        <w:rPr>
          <w:rFonts w:asciiTheme="majorHAnsi" w:hAnsiTheme="majorHAnsi"/>
          <w:sz w:val="20"/>
          <w:szCs w:val="20"/>
          <w:lang w:val="es-ES"/>
        </w:rPr>
        <w:t xml:space="preserve"> </w:t>
      </w:r>
      <w:r w:rsidR="00980425" w:rsidRPr="00D749D5">
        <w:rPr>
          <w:rFonts w:asciiTheme="majorHAnsi" w:hAnsiTheme="majorHAnsi"/>
          <w:sz w:val="20"/>
          <w:szCs w:val="20"/>
          <w:lang w:val="es-ES"/>
        </w:rPr>
        <w:t xml:space="preserve">mientras se encontraba con su esposa en una heladería en una zona Céntrica de Barrancabermeja. </w:t>
      </w:r>
    </w:p>
    <w:p w14:paraId="77A528CC" w14:textId="77777777" w:rsidR="00BF4673" w:rsidRPr="00D749D5" w:rsidRDefault="00BF4673"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olor w:val="auto"/>
          <w:sz w:val="20"/>
          <w:szCs w:val="20"/>
          <w:lang w:val="es-ES"/>
        </w:rPr>
      </w:pPr>
      <w:r w:rsidRPr="00D749D5">
        <w:rPr>
          <w:rFonts w:asciiTheme="majorHAnsi" w:hAnsiTheme="majorHAnsi"/>
          <w:b/>
          <w:color w:val="auto"/>
          <w:sz w:val="20"/>
          <w:szCs w:val="20"/>
          <w:lang w:val="es-ES"/>
        </w:rPr>
        <w:t>Masacre</w:t>
      </w:r>
      <w:r w:rsidR="00906F7D" w:rsidRPr="00D749D5">
        <w:rPr>
          <w:rFonts w:asciiTheme="majorHAnsi" w:hAnsiTheme="majorHAnsi"/>
          <w:b/>
          <w:color w:val="auto"/>
          <w:sz w:val="20"/>
          <w:szCs w:val="20"/>
          <w:lang w:val="es-ES"/>
        </w:rPr>
        <w:t xml:space="preserve"> del restaurante “La S</w:t>
      </w:r>
      <w:r w:rsidRPr="00D749D5">
        <w:rPr>
          <w:rFonts w:asciiTheme="majorHAnsi" w:hAnsiTheme="majorHAnsi"/>
          <w:b/>
          <w:color w:val="auto"/>
          <w:sz w:val="20"/>
          <w:szCs w:val="20"/>
          <w:lang w:val="es-ES"/>
        </w:rPr>
        <w:t>hanon”</w:t>
      </w:r>
      <w:r w:rsidR="003A4CA5" w:rsidRPr="00D749D5">
        <w:rPr>
          <w:rFonts w:asciiTheme="majorHAnsi" w:hAnsiTheme="majorHAnsi"/>
          <w:b/>
          <w:color w:val="auto"/>
          <w:sz w:val="20"/>
          <w:szCs w:val="20"/>
          <w:lang w:val="es-ES"/>
        </w:rPr>
        <w:t xml:space="preserve"> </w:t>
      </w:r>
      <w:r w:rsidR="00CA0333" w:rsidRPr="00D749D5">
        <w:rPr>
          <w:rFonts w:asciiTheme="majorHAnsi" w:hAnsiTheme="majorHAnsi"/>
          <w:b/>
          <w:color w:val="auto"/>
          <w:sz w:val="20"/>
          <w:szCs w:val="20"/>
          <w:lang w:val="es-ES"/>
        </w:rPr>
        <w:t>y ejecución extrajudicial de Gustavo Chinchilla Jaimes</w:t>
      </w:r>
    </w:p>
    <w:p w14:paraId="161B2481" w14:textId="77777777" w:rsidR="003A108C" w:rsidRPr="00D749D5" w:rsidRDefault="00C144B4" w:rsidP="00C861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Los peticionarios sostienen que el 30 de julio de 1992 se encontraba</w:t>
      </w:r>
      <w:r w:rsidR="005B0E17" w:rsidRPr="00D749D5">
        <w:rPr>
          <w:rFonts w:asciiTheme="majorHAnsi" w:hAnsiTheme="majorHAnsi"/>
          <w:sz w:val="20"/>
          <w:szCs w:val="20"/>
          <w:lang w:val="es-ES"/>
        </w:rPr>
        <w:t>n</w:t>
      </w:r>
      <w:r w:rsidRPr="00D749D5">
        <w:rPr>
          <w:rFonts w:asciiTheme="majorHAnsi" w:hAnsiTheme="majorHAnsi"/>
          <w:sz w:val="20"/>
          <w:szCs w:val="20"/>
          <w:lang w:val="es-ES"/>
        </w:rPr>
        <w:t xml:space="preserve"> en el restaurante “La </w:t>
      </w:r>
      <w:r w:rsidR="005B0E17" w:rsidRPr="00D749D5">
        <w:rPr>
          <w:rFonts w:asciiTheme="majorHAnsi" w:hAnsiTheme="majorHAnsi"/>
          <w:sz w:val="20"/>
          <w:szCs w:val="20"/>
          <w:lang w:val="es-ES"/>
        </w:rPr>
        <w:t>S</w:t>
      </w:r>
      <w:r w:rsidRPr="00D749D5">
        <w:rPr>
          <w:rFonts w:asciiTheme="majorHAnsi" w:hAnsiTheme="majorHAnsi"/>
          <w:sz w:val="20"/>
          <w:szCs w:val="20"/>
          <w:lang w:val="es-ES"/>
        </w:rPr>
        <w:t>hanon</w:t>
      </w:r>
      <w:r w:rsidR="005B0E17" w:rsidRPr="00D749D5">
        <w:rPr>
          <w:rFonts w:asciiTheme="majorHAnsi" w:hAnsiTheme="majorHAnsi"/>
          <w:sz w:val="20"/>
          <w:szCs w:val="20"/>
          <w:lang w:val="es-ES"/>
        </w:rPr>
        <w:t xml:space="preserve">”, en Barrancabermeja, </w:t>
      </w:r>
      <w:r w:rsidRPr="00D749D5">
        <w:rPr>
          <w:rFonts w:asciiTheme="majorHAnsi" w:hAnsiTheme="majorHAnsi"/>
          <w:sz w:val="20"/>
          <w:szCs w:val="20"/>
          <w:lang w:val="es-ES"/>
        </w:rPr>
        <w:t>Ligia Patricia Cortés Colmenares, filósofa</w:t>
      </w:r>
      <w:r w:rsidR="005B0E17" w:rsidRPr="00D749D5">
        <w:rPr>
          <w:rFonts w:asciiTheme="majorHAnsi" w:hAnsiTheme="majorHAnsi"/>
          <w:sz w:val="20"/>
          <w:szCs w:val="20"/>
          <w:lang w:val="es-ES"/>
        </w:rPr>
        <w:t xml:space="preserve"> e investigadora de Credhos</w:t>
      </w:r>
      <w:r w:rsidRPr="00D749D5">
        <w:rPr>
          <w:rFonts w:asciiTheme="majorHAnsi" w:hAnsiTheme="majorHAnsi"/>
          <w:sz w:val="20"/>
          <w:szCs w:val="20"/>
          <w:lang w:val="es-ES"/>
        </w:rPr>
        <w:t xml:space="preserve">, René Tavera Sosa, </w:t>
      </w:r>
      <w:r w:rsidR="005B0E17" w:rsidRPr="00D749D5">
        <w:rPr>
          <w:rFonts w:asciiTheme="majorHAnsi" w:hAnsiTheme="majorHAnsi"/>
          <w:sz w:val="20"/>
          <w:szCs w:val="20"/>
          <w:lang w:val="es-ES"/>
        </w:rPr>
        <w:t>activista del movimiento agrario, dirigente de la ANUC</w:t>
      </w:r>
      <w:r w:rsidRPr="00D749D5">
        <w:rPr>
          <w:rFonts w:asciiTheme="majorHAnsi" w:hAnsiTheme="majorHAnsi"/>
          <w:sz w:val="20"/>
          <w:szCs w:val="20"/>
          <w:lang w:val="es-ES"/>
        </w:rPr>
        <w:t xml:space="preserve">, y Parmenio Ruiz Suárez, presidente de </w:t>
      </w:r>
      <w:r w:rsidR="005B0E17" w:rsidRPr="00D749D5">
        <w:rPr>
          <w:rFonts w:asciiTheme="majorHAnsi" w:hAnsiTheme="majorHAnsi"/>
          <w:sz w:val="20"/>
          <w:szCs w:val="20"/>
          <w:lang w:val="es-ES"/>
        </w:rPr>
        <w:t>sindicato de trabajadores “San Silvestre”, cuando hombres armados con ametralladoras descendieron de una moto, y los asesinaron. Agregan que</w:t>
      </w:r>
      <w:r w:rsidR="00122E48" w:rsidRPr="00D749D5">
        <w:rPr>
          <w:rFonts w:asciiTheme="majorHAnsi" w:hAnsiTheme="majorHAnsi"/>
          <w:sz w:val="20"/>
          <w:szCs w:val="20"/>
          <w:lang w:val="es-ES"/>
        </w:rPr>
        <w:t xml:space="preserve"> </w:t>
      </w:r>
      <w:r w:rsidR="00E24AB0" w:rsidRPr="00D749D5">
        <w:rPr>
          <w:rFonts w:asciiTheme="majorHAnsi" w:hAnsiTheme="majorHAnsi"/>
          <w:sz w:val="20"/>
          <w:szCs w:val="20"/>
          <w:lang w:val="es-ES"/>
        </w:rPr>
        <w:t xml:space="preserve">Parmenio Ruiz Suárez </w:t>
      </w:r>
      <w:r w:rsidRPr="00D749D5">
        <w:rPr>
          <w:rFonts w:asciiTheme="majorHAnsi" w:hAnsiTheme="majorHAnsi"/>
          <w:sz w:val="20"/>
          <w:szCs w:val="20"/>
          <w:lang w:val="es-ES"/>
        </w:rPr>
        <w:t xml:space="preserve">había sido amenazado de muerte en días anteriores por parte de un miembro del </w:t>
      </w:r>
      <w:r w:rsidR="00C8612E" w:rsidRPr="00D749D5">
        <w:rPr>
          <w:rFonts w:asciiTheme="majorHAnsi" w:hAnsiTheme="majorHAnsi"/>
          <w:sz w:val="20"/>
          <w:szCs w:val="20"/>
          <w:lang w:val="es-ES"/>
        </w:rPr>
        <w:t>Batallón</w:t>
      </w:r>
      <w:r w:rsidRPr="00D749D5">
        <w:rPr>
          <w:rFonts w:asciiTheme="majorHAnsi" w:hAnsiTheme="majorHAnsi"/>
          <w:sz w:val="20"/>
          <w:szCs w:val="20"/>
          <w:lang w:val="es-ES"/>
        </w:rPr>
        <w:t xml:space="preserve"> de Nueva Granada</w:t>
      </w:r>
      <w:r w:rsidR="00E24AB0" w:rsidRPr="00D749D5">
        <w:rPr>
          <w:rFonts w:asciiTheme="majorHAnsi" w:hAnsiTheme="majorHAnsi"/>
          <w:sz w:val="20"/>
          <w:szCs w:val="20"/>
          <w:lang w:val="es-ES"/>
        </w:rPr>
        <w:t xml:space="preserve">, y que había rendido declaración ante </w:t>
      </w:r>
      <w:r w:rsidR="00604111" w:rsidRPr="00D749D5">
        <w:rPr>
          <w:rFonts w:asciiTheme="majorHAnsi" w:hAnsiTheme="majorHAnsi"/>
          <w:sz w:val="20"/>
          <w:szCs w:val="20"/>
          <w:lang w:val="es-ES"/>
        </w:rPr>
        <w:t xml:space="preserve">la Procuraduría General de la </w:t>
      </w:r>
      <w:r w:rsidR="002260D2" w:rsidRPr="00D749D5">
        <w:rPr>
          <w:rFonts w:asciiTheme="majorHAnsi" w:hAnsiTheme="majorHAnsi"/>
          <w:sz w:val="20"/>
          <w:szCs w:val="20"/>
          <w:lang w:val="es-ES"/>
        </w:rPr>
        <w:t xml:space="preserve">Nación, denunciando las amenazas de que era víctima como Presidente sindical. </w:t>
      </w:r>
    </w:p>
    <w:p w14:paraId="2A542F39" w14:textId="58939C45" w:rsidR="00C8612E" w:rsidRPr="00D749D5" w:rsidRDefault="00C8612E" w:rsidP="00C861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Asimismo, indican que Gustavo Chinchilla Ja</w:t>
      </w:r>
      <w:r w:rsidR="00A81AE1" w:rsidRPr="00D749D5">
        <w:rPr>
          <w:rFonts w:asciiTheme="majorHAnsi" w:hAnsiTheme="majorHAnsi"/>
          <w:sz w:val="20"/>
          <w:szCs w:val="20"/>
          <w:lang w:val="es-ES"/>
        </w:rPr>
        <w:t>i</w:t>
      </w:r>
      <w:r w:rsidRPr="00D749D5">
        <w:rPr>
          <w:rFonts w:asciiTheme="majorHAnsi" w:hAnsiTheme="majorHAnsi"/>
          <w:sz w:val="20"/>
          <w:szCs w:val="20"/>
          <w:lang w:val="es-ES"/>
        </w:rPr>
        <w:t xml:space="preserve">mes, </w:t>
      </w:r>
      <w:r w:rsidR="009D2773" w:rsidRPr="00D749D5">
        <w:rPr>
          <w:rFonts w:asciiTheme="majorHAnsi" w:hAnsiTheme="majorHAnsi"/>
          <w:sz w:val="20"/>
          <w:szCs w:val="20"/>
          <w:lang w:val="es-ES"/>
        </w:rPr>
        <w:t>quien fuera</w:t>
      </w:r>
      <w:r w:rsidRPr="00D749D5">
        <w:rPr>
          <w:rFonts w:asciiTheme="majorHAnsi" w:hAnsiTheme="majorHAnsi"/>
          <w:sz w:val="20"/>
          <w:szCs w:val="20"/>
          <w:lang w:val="es-ES"/>
        </w:rPr>
        <w:t xml:space="preserve"> compañero de </w:t>
      </w:r>
      <w:r w:rsidR="009D2773" w:rsidRPr="00D749D5">
        <w:rPr>
          <w:rFonts w:asciiTheme="majorHAnsi" w:hAnsiTheme="majorHAnsi"/>
          <w:sz w:val="20"/>
          <w:szCs w:val="20"/>
          <w:lang w:val="es-ES"/>
        </w:rPr>
        <w:t xml:space="preserve">los mencionados anteriormente </w:t>
      </w:r>
      <w:r w:rsidRPr="00D749D5">
        <w:rPr>
          <w:rFonts w:asciiTheme="majorHAnsi" w:hAnsiTheme="majorHAnsi"/>
          <w:sz w:val="20"/>
          <w:szCs w:val="20"/>
          <w:lang w:val="es-ES"/>
        </w:rPr>
        <w:t xml:space="preserve">en el sindicato de </w:t>
      </w:r>
      <w:r w:rsidR="002260D2" w:rsidRPr="00D749D5">
        <w:rPr>
          <w:rFonts w:asciiTheme="majorHAnsi" w:hAnsiTheme="majorHAnsi"/>
          <w:sz w:val="20"/>
          <w:szCs w:val="20"/>
          <w:lang w:val="es-ES"/>
        </w:rPr>
        <w:t xml:space="preserve">transportes de San Silvestre, </w:t>
      </w:r>
      <w:r w:rsidR="001D7EDD" w:rsidRPr="00D749D5">
        <w:rPr>
          <w:rFonts w:asciiTheme="majorHAnsi" w:hAnsiTheme="majorHAnsi"/>
          <w:sz w:val="20"/>
          <w:szCs w:val="20"/>
          <w:lang w:val="es-ES"/>
        </w:rPr>
        <w:t xml:space="preserve">y </w:t>
      </w:r>
      <w:r w:rsidR="007830DA" w:rsidRPr="00D749D5">
        <w:rPr>
          <w:rFonts w:asciiTheme="majorHAnsi" w:hAnsiTheme="majorHAnsi"/>
          <w:sz w:val="20"/>
          <w:szCs w:val="20"/>
          <w:lang w:val="es-ES"/>
        </w:rPr>
        <w:t>que</w:t>
      </w:r>
      <w:r w:rsidR="001D7EDD" w:rsidRPr="00D749D5">
        <w:rPr>
          <w:rFonts w:asciiTheme="majorHAnsi" w:hAnsiTheme="majorHAnsi"/>
          <w:sz w:val="20"/>
          <w:szCs w:val="20"/>
          <w:lang w:val="es-ES"/>
        </w:rPr>
        <w:t xml:space="preserve"> denunció los hechos mencio</w:t>
      </w:r>
      <w:r w:rsidR="007830DA" w:rsidRPr="00D749D5">
        <w:rPr>
          <w:rFonts w:asciiTheme="majorHAnsi" w:hAnsiTheme="majorHAnsi"/>
          <w:sz w:val="20"/>
          <w:szCs w:val="20"/>
          <w:lang w:val="es-ES"/>
        </w:rPr>
        <w:t xml:space="preserve">nados en el párrafo anterior, </w:t>
      </w:r>
      <w:r w:rsidR="001D7EDD" w:rsidRPr="00D749D5">
        <w:rPr>
          <w:rFonts w:asciiTheme="majorHAnsi" w:hAnsiTheme="majorHAnsi"/>
          <w:sz w:val="20"/>
          <w:szCs w:val="20"/>
          <w:lang w:val="es-ES"/>
        </w:rPr>
        <w:t>murió asesinado</w:t>
      </w:r>
      <w:r w:rsidR="009D2773" w:rsidRPr="00D749D5">
        <w:rPr>
          <w:rFonts w:asciiTheme="majorHAnsi" w:hAnsiTheme="majorHAnsi"/>
          <w:sz w:val="20"/>
          <w:szCs w:val="20"/>
          <w:lang w:val="es-ES"/>
        </w:rPr>
        <w:t xml:space="preserve"> </w:t>
      </w:r>
      <w:r w:rsidR="001D7EDD" w:rsidRPr="00D749D5">
        <w:rPr>
          <w:rFonts w:asciiTheme="majorHAnsi" w:hAnsiTheme="majorHAnsi"/>
          <w:sz w:val="20"/>
          <w:szCs w:val="20"/>
          <w:lang w:val="es-ES"/>
        </w:rPr>
        <w:t xml:space="preserve">a los pocos días de </w:t>
      </w:r>
      <w:r w:rsidRPr="00D749D5">
        <w:rPr>
          <w:rFonts w:asciiTheme="majorHAnsi" w:hAnsiTheme="majorHAnsi"/>
          <w:sz w:val="20"/>
          <w:szCs w:val="20"/>
          <w:lang w:val="es-ES"/>
        </w:rPr>
        <w:t>rendir declaración ante el cuerpo técnico de la policía judicial de Barrancabermeja.</w:t>
      </w:r>
      <w:r w:rsidR="003C2388" w:rsidRPr="00D749D5">
        <w:rPr>
          <w:rFonts w:asciiTheme="majorHAnsi" w:hAnsiTheme="majorHAnsi"/>
          <w:sz w:val="20"/>
          <w:szCs w:val="20"/>
          <w:lang w:val="es-ES"/>
        </w:rPr>
        <w:t xml:space="preserve"> Refieren que</w:t>
      </w:r>
      <w:r w:rsidR="00803F7D" w:rsidRPr="00D749D5">
        <w:rPr>
          <w:rFonts w:asciiTheme="majorHAnsi" w:hAnsiTheme="majorHAnsi"/>
          <w:sz w:val="20"/>
          <w:szCs w:val="20"/>
          <w:lang w:val="es-ES"/>
        </w:rPr>
        <w:t xml:space="preserve"> con anterioridad, el 27 de julio de 1992 </w:t>
      </w:r>
      <w:r w:rsidR="001D7EDD" w:rsidRPr="00D749D5">
        <w:rPr>
          <w:rFonts w:asciiTheme="majorHAnsi" w:hAnsiTheme="majorHAnsi"/>
          <w:sz w:val="20"/>
          <w:szCs w:val="20"/>
          <w:lang w:val="es-ES"/>
        </w:rPr>
        <w:t>había</w:t>
      </w:r>
      <w:r w:rsidR="00803F7D" w:rsidRPr="00D749D5">
        <w:rPr>
          <w:rFonts w:asciiTheme="majorHAnsi" w:hAnsiTheme="majorHAnsi"/>
          <w:sz w:val="20"/>
          <w:szCs w:val="20"/>
          <w:lang w:val="es-ES"/>
        </w:rPr>
        <w:t xml:space="preserve"> formulado queja ante la oficina de Investigaciones Especiales de la Procuraduría General de la Nación</w:t>
      </w:r>
      <w:r w:rsidR="001D7EDD" w:rsidRPr="00D749D5">
        <w:rPr>
          <w:rFonts w:asciiTheme="majorHAnsi" w:hAnsiTheme="majorHAnsi"/>
          <w:sz w:val="20"/>
          <w:szCs w:val="20"/>
          <w:lang w:val="es-ES"/>
        </w:rPr>
        <w:t>, con ocasión de las amenazas contra su vida y la de varias personas. Se indica que s</w:t>
      </w:r>
      <w:r w:rsidR="003C2388" w:rsidRPr="00D749D5">
        <w:rPr>
          <w:rFonts w:asciiTheme="majorHAnsi" w:hAnsiTheme="majorHAnsi"/>
          <w:sz w:val="20"/>
          <w:szCs w:val="20"/>
          <w:lang w:val="es-ES"/>
        </w:rPr>
        <w:t>u cadáver fue encontrado en Bogotá con signos de tortura.</w:t>
      </w:r>
    </w:p>
    <w:p w14:paraId="7AA466AF" w14:textId="77777777" w:rsidR="003A108C" w:rsidRPr="00D749D5" w:rsidRDefault="00D975B7"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sz w:val="20"/>
          <w:szCs w:val="20"/>
          <w:lang w:val="es-ES"/>
        </w:rPr>
      </w:pPr>
      <w:r w:rsidRPr="00D749D5">
        <w:rPr>
          <w:rFonts w:asciiTheme="majorHAnsi" w:hAnsiTheme="majorHAnsi"/>
          <w:b/>
          <w:sz w:val="20"/>
          <w:szCs w:val="20"/>
          <w:lang w:val="es-ES"/>
        </w:rPr>
        <w:t>Ejecución extrajudicial de Diana Marcela Muñoz</w:t>
      </w:r>
    </w:p>
    <w:p w14:paraId="100444A2" w14:textId="1A0117E8" w:rsidR="003A108C" w:rsidRDefault="0089212C" w:rsidP="003A10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Los </w:t>
      </w:r>
      <w:r w:rsidRPr="008B4593">
        <w:rPr>
          <w:rFonts w:asciiTheme="majorHAnsi" w:hAnsiTheme="majorHAnsi"/>
          <w:sz w:val="20"/>
          <w:szCs w:val="20"/>
          <w:lang w:val="es-ES"/>
        </w:rPr>
        <w:t>peticionarios refieren</w:t>
      </w:r>
      <w:r w:rsidR="008B4593" w:rsidRPr="008B4593">
        <w:rPr>
          <w:rFonts w:asciiTheme="majorHAnsi" w:hAnsiTheme="majorHAnsi"/>
          <w:sz w:val="20"/>
          <w:szCs w:val="20"/>
          <w:lang w:val="es-ES"/>
        </w:rPr>
        <w:t>,</w:t>
      </w:r>
      <w:r w:rsidRPr="008B4593">
        <w:rPr>
          <w:rFonts w:asciiTheme="majorHAnsi" w:hAnsiTheme="majorHAnsi"/>
          <w:sz w:val="20"/>
          <w:szCs w:val="20"/>
          <w:lang w:val="es-ES"/>
        </w:rPr>
        <w:t xml:space="preserve"> </w:t>
      </w:r>
      <w:r w:rsidR="00BC764E" w:rsidRPr="008B4593">
        <w:rPr>
          <w:rFonts w:asciiTheme="majorHAnsi" w:hAnsiTheme="majorHAnsi"/>
          <w:sz w:val="20"/>
          <w:szCs w:val="20"/>
          <w:lang w:val="es-ES"/>
        </w:rPr>
        <w:t>en su petición inicial</w:t>
      </w:r>
      <w:r w:rsidR="008B4593" w:rsidRPr="008B4593">
        <w:rPr>
          <w:rFonts w:asciiTheme="majorHAnsi" w:hAnsiTheme="majorHAnsi"/>
          <w:sz w:val="20"/>
          <w:szCs w:val="20"/>
          <w:lang w:val="es-ES"/>
        </w:rPr>
        <w:t>,</w:t>
      </w:r>
      <w:r w:rsidR="00BC764E" w:rsidRPr="008B4593">
        <w:rPr>
          <w:rFonts w:asciiTheme="majorHAnsi" w:hAnsiTheme="majorHAnsi"/>
          <w:sz w:val="20"/>
          <w:szCs w:val="20"/>
          <w:lang w:val="es-ES"/>
        </w:rPr>
        <w:t xml:space="preserve"> </w:t>
      </w:r>
      <w:r w:rsidRPr="008B4593">
        <w:rPr>
          <w:rFonts w:asciiTheme="majorHAnsi" w:hAnsiTheme="majorHAnsi"/>
          <w:sz w:val="20"/>
          <w:szCs w:val="20"/>
          <w:lang w:val="es-ES"/>
        </w:rPr>
        <w:t>que</w:t>
      </w:r>
      <w:r w:rsidRPr="00D749D5">
        <w:rPr>
          <w:rFonts w:asciiTheme="majorHAnsi" w:hAnsiTheme="majorHAnsi"/>
          <w:sz w:val="20"/>
          <w:szCs w:val="20"/>
          <w:lang w:val="es-ES"/>
        </w:rPr>
        <w:t xml:space="preserve"> el 12 de septiembre de 1992 fue asesinada Diana Marcela Muñoz, quien se desempeñaba como secretaria de una de las empr</w:t>
      </w:r>
      <w:r w:rsidR="000F7546" w:rsidRPr="00D749D5">
        <w:rPr>
          <w:rFonts w:asciiTheme="majorHAnsi" w:hAnsiTheme="majorHAnsi"/>
          <w:sz w:val="20"/>
          <w:szCs w:val="20"/>
          <w:lang w:val="es-ES"/>
        </w:rPr>
        <w:t xml:space="preserve">esas usadas por la Red No. 7 </w:t>
      </w:r>
      <w:r w:rsidR="002D36B9" w:rsidRPr="00D749D5">
        <w:rPr>
          <w:rFonts w:asciiTheme="majorHAnsi" w:hAnsiTheme="majorHAnsi"/>
          <w:sz w:val="20"/>
          <w:szCs w:val="20"/>
          <w:lang w:val="es-ES"/>
        </w:rPr>
        <w:t xml:space="preserve">para realizar sus actividades, e indican que su muerte se hizo aparecer como un suicidio. Señalan que </w:t>
      </w:r>
      <w:r w:rsidR="000F7546" w:rsidRPr="00D749D5">
        <w:rPr>
          <w:rFonts w:asciiTheme="majorHAnsi" w:hAnsiTheme="majorHAnsi"/>
          <w:sz w:val="20"/>
          <w:szCs w:val="20"/>
          <w:lang w:val="es-ES"/>
        </w:rPr>
        <w:t>el</w:t>
      </w:r>
      <w:r w:rsidR="002D36B9" w:rsidRPr="00D749D5">
        <w:rPr>
          <w:rFonts w:asciiTheme="majorHAnsi" w:hAnsiTheme="majorHAnsi"/>
          <w:sz w:val="20"/>
          <w:szCs w:val="20"/>
          <w:lang w:val="es-ES"/>
        </w:rPr>
        <w:t>lo obedec</w:t>
      </w:r>
      <w:r w:rsidR="000F7546" w:rsidRPr="00D749D5">
        <w:rPr>
          <w:rFonts w:asciiTheme="majorHAnsi" w:hAnsiTheme="majorHAnsi"/>
          <w:sz w:val="20"/>
          <w:szCs w:val="20"/>
          <w:lang w:val="es-ES"/>
        </w:rPr>
        <w:t>ió</w:t>
      </w:r>
      <w:r w:rsidR="002D36B9" w:rsidRPr="00D749D5">
        <w:rPr>
          <w:rFonts w:asciiTheme="majorHAnsi" w:hAnsiTheme="majorHAnsi"/>
          <w:sz w:val="20"/>
          <w:szCs w:val="20"/>
          <w:lang w:val="es-ES"/>
        </w:rPr>
        <w:t xml:space="preserve"> a la táctica de auto exte</w:t>
      </w:r>
      <w:r w:rsidR="000F7546" w:rsidRPr="00D749D5">
        <w:rPr>
          <w:rFonts w:asciiTheme="majorHAnsi" w:hAnsiTheme="majorHAnsi"/>
          <w:sz w:val="20"/>
          <w:szCs w:val="20"/>
          <w:lang w:val="es-ES"/>
        </w:rPr>
        <w:t>rminio de los miembros de la Red</w:t>
      </w:r>
      <w:r w:rsidR="00674F87" w:rsidRPr="00D749D5">
        <w:rPr>
          <w:rFonts w:asciiTheme="majorHAnsi" w:hAnsiTheme="majorHAnsi"/>
          <w:sz w:val="20"/>
          <w:szCs w:val="20"/>
          <w:lang w:val="es-ES"/>
        </w:rPr>
        <w:t xml:space="preserve">. </w:t>
      </w:r>
    </w:p>
    <w:p w14:paraId="729B5841" w14:textId="77777777" w:rsidR="00001C6A" w:rsidRDefault="00001C6A" w:rsidP="00001C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4C95AB2D" w14:textId="77777777" w:rsidR="00001C6A" w:rsidRPr="00D749D5" w:rsidRDefault="00001C6A" w:rsidP="00001C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0EC9B47A" w14:textId="77777777" w:rsidR="003A108C" w:rsidRPr="00D749D5" w:rsidRDefault="002D36B9"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olor w:val="auto"/>
          <w:sz w:val="20"/>
          <w:szCs w:val="20"/>
          <w:lang w:val="es-ES"/>
        </w:rPr>
      </w:pPr>
      <w:r w:rsidRPr="00D749D5">
        <w:rPr>
          <w:rFonts w:asciiTheme="majorHAnsi" w:hAnsiTheme="majorHAnsi"/>
          <w:b/>
          <w:color w:val="auto"/>
          <w:sz w:val="20"/>
          <w:szCs w:val="20"/>
          <w:lang w:val="es-ES"/>
        </w:rPr>
        <w:lastRenderedPageBreak/>
        <w:t xml:space="preserve">Ejecución extrajudicial de </w:t>
      </w:r>
      <w:r w:rsidR="00DA7E88" w:rsidRPr="00D749D5">
        <w:rPr>
          <w:rFonts w:asciiTheme="majorHAnsi" w:hAnsiTheme="majorHAnsi"/>
          <w:b/>
          <w:color w:val="auto"/>
          <w:sz w:val="20"/>
          <w:szCs w:val="20"/>
          <w:lang w:val="es-ES"/>
        </w:rPr>
        <w:t>Presentación Montecino</w:t>
      </w:r>
      <w:r w:rsidRPr="00D749D5">
        <w:rPr>
          <w:rFonts w:asciiTheme="majorHAnsi" w:hAnsiTheme="majorHAnsi"/>
          <w:b/>
          <w:color w:val="auto"/>
          <w:sz w:val="20"/>
          <w:szCs w:val="20"/>
          <w:lang w:val="es-ES"/>
        </w:rPr>
        <w:t xml:space="preserve"> Armenta</w:t>
      </w:r>
    </w:p>
    <w:p w14:paraId="4A3D4C18" w14:textId="65DD8309" w:rsidR="00E56B07" w:rsidRPr="00FE077E" w:rsidRDefault="00355FDB" w:rsidP="00FE07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Se sostiene que el 7 de octubre de 1992</w:t>
      </w:r>
      <w:r w:rsidR="00DA7E88" w:rsidRPr="00D749D5">
        <w:rPr>
          <w:rFonts w:asciiTheme="majorHAnsi" w:hAnsiTheme="majorHAnsi"/>
          <w:sz w:val="20"/>
          <w:szCs w:val="20"/>
          <w:lang w:val="es-ES"/>
        </w:rPr>
        <w:t>,</w:t>
      </w:r>
      <w:r w:rsidRPr="00D749D5">
        <w:rPr>
          <w:rFonts w:asciiTheme="majorHAnsi" w:hAnsiTheme="majorHAnsi"/>
          <w:sz w:val="20"/>
          <w:szCs w:val="20"/>
          <w:lang w:val="es-ES"/>
        </w:rPr>
        <w:t xml:space="preserve"> fue asesinado </w:t>
      </w:r>
      <w:r w:rsidR="00DA7E88" w:rsidRPr="00D749D5">
        <w:rPr>
          <w:rFonts w:asciiTheme="majorHAnsi" w:hAnsiTheme="majorHAnsi"/>
          <w:sz w:val="20"/>
          <w:szCs w:val="20"/>
          <w:lang w:val="es-ES"/>
        </w:rPr>
        <w:t>Presentación Montecino</w:t>
      </w:r>
      <w:r w:rsidRPr="00D749D5">
        <w:rPr>
          <w:rFonts w:asciiTheme="majorHAnsi" w:hAnsiTheme="majorHAnsi"/>
          <w:sz w:val="20"/>
          <w:szCs w:val="20"/>
          <w:lang w:val="es-ES"/>
        </w:rPr>
        <w:t xml:space="preserve"> Armenta, funcionario del cuerpo técnico de investigaciones de la Fiscalía General de la Nación, quien había realizado días antes algunas diligencias probatorias en la investigación que se adelantaba por la ejecución de Blanca Cecilia Valero </w:t>
      </w:r>
      <w:r w:rsidR="00674F87" w:rsidRPr="00D749D5">
        <w:rPr>
          <w:rFonts w:asciiTheme="majorHAnsi" w:hAnsiTheme="majorHAnsi"/>
          <w:sz w:val="20"/>
          <w:szCs w:val="20"/>
          <w:lang w:val="es-ES"/>
        </w:rPr>
        <w:t>de Duran.</w:t>
      </w:r>
      <w:r w:rsidR="00A76515" w:rsidRPr="00D749D5">
        <w:rPr>
          <w:rFonts w:asciiTheme="majorHAnsi" w:hAnsiTheme="majorHAnsi"/>
          <w:sz w:val="20"/>
          <w:szCs w:val="20"/>
          <w:lang w:val="es-ES"/>
        </w:rPr>
        <w:t xml:space="preserve"> Refieren que sujetos movilizados en una moto le propinaron disparos, mientras Presentación Montecino Armenta se encontraba en un establecimiento llamado “Chayanne”</w:t>
      </w:r>
      <w:r w:rsidR="00122539" w:rsidRPr="00D749D5">
        <w:rPr>
          <w:rFonts w:asciiTheme="majorHAnsi" w:hAnsiTheme="majorHAnsi"/>
          <w:sz w:val="20"/>
          <w:szCs w:val="20"/>
          <w:lang w:val="es-ES"/>
        </w:rPr>
        <w:t xml:space="preserve">, causándole </w:t>
      </w:r>
      <w:r w:rsidR="00942EE1" w:rsidRPr="00D749D5">
        <w:rPr>
          <w:rFonts w:asciiTheme="majorHAnsi" w:hAnsiTheme="majorHAnsi"/>
          <w:sz w:val="20"/>
          <w:szCs w:val="20"/>
          <w:lang w:val="es-ES"/>
        </w:rPr>
        <w:t xml:space="preserve">la </w:t>
      </w:r>
      <w:r w:rsidR="00122539" w:rsidRPr="00D749D5">
        <w:rPr>
          <w:rFonts w:asciiTheme="majorHAnsi" w:hAnsiTheme="majorHAnsi"/>
          <w:sz w:val="20"/>
          <w:szCs w:val="20"/>
          <w:lang w:val="es-ES"/>
        </w:rPr>
        <w:t>muerte</w:t>
      </w:r>
      <w:r w:rsidR="00A76515" w:rsidRPr="00D749D5">
        <w:rPr>
          <w:rFonts w:asciiTheme="majorHAnsi" w:hAnsiTheme="majorHAnsi"/>
          <w:sz w:val="20"/>
          <w:szCs w:val="20"/>
          <w:lang w:val="es-ES"/>
        </w:rPr>
        <w:t>.</w:t>
      </w:r>
    </w:p>
    <w:p w14:paraId="5F1C5BDC" w14:textId="77777777" w:rsidR="006E3918" w:rsidRPr="00D749D5" w:rsidRDefault="00B446A9"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b/>
          <w:color w:val="auto"/>
          <w:sz w:val="20"/>
          <w:szCs w:val="20"/>
          <w:lang w:val="es-ES"/>
        </w:rPr>
      </w:pPr>
      <w:r w:rsidRPr="00D749D5">
        <w:rPr>
          <w:rFonts w:asciiTheme="majorHAnsi" w:hAnsiTheme="majorHAnsi"/>
          <w:b/>
          <w:color w:val="auto"/>
          <w:sz w:val="20"/>
          <w:szCs w:val="20"/>
          <w:lang w:val="es-ES"/>
        </w:rPr>
        <w:t>Ejecución extrajudicial de Alberto Echeverry Martínez y Ana Eudilia Nova</w:t>
      </w:r>
    </w:p>
    <w:p w14:paraId="5DFCF3F1" w14:textId="77777777" w:rsidR="00B446A9" w:rsidRPr="00D749D5" w:rsidRDefault="00B446A9" w:rsidP="009D5D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En la denuncia se indica que el 21 de diciembre de 1992</w:t>
      </w:r>
      <w:r w:rsidR="00050A3D" w:rsidRPr="00D749D5">
        <w:rPr>
          <w:rFonts w:asciiTheme="majorHAnsi" w:hAnsiTheme="majorHAnsi"/>
          <w:sz w:val="20"/>
          <w:szCs w:val="20"/>
          <w:lang w:val="es-ES"/>
        </w:rPr>
        <w:t>, alrededor de las 9:00 p.m.,</w:t>
      </w:r>
      <w:r w:rsidRPr="00D749D5">
        <w:rPr>
          <w:rFonts w:asciiTheme="majorHAnsi" w:hAnsiTheme="majorHAnsi"/>
          <w:sz w:val="20"/>
          <w:szCs w:val="20"/>
          <w:lang w:val="es-ES"/>
        </w:rPr>
        <w:t xml:space="preserve"> Alberto Echeverry Martínez y Ana Eudilia Nova, ambos comerciantes</w:t>
      </w:r>
      <w:r w:rsidR="009D5D07" w:rsidRPr="00D749D5">
        <w:rPr>
          <w:rFonts w:asciiTheme="majorHAnsi" w:hAnsiTheme="majorHAnsi"/>
          <w:sz w:val="20"/>
          <w:szCs w:val="20"/>
          <w:lang w:val="es-ES"/>
        </w:rPr>
        <w:t>, fueron asesinados</w:t>
      </w:r>
      <w:r w:rsidR="009D0556" w:rsidRPr="00D749D5">
        <w:rPr>
          <w:rFonts w:asciiTheme="majorHAnsi" w:hAnsiTheme="majorHAnsi"/>
          <w:sz w:val="20"/>
          <w:szCs w:val="20"/>
          <w:lang w:val="es-ES"/>
        </w:rPr>
        <w:t xml:space="preserve"> por sujetos armados</w:t>
      </w:r>
      <w:r w:rsidR="00050A3D" w:rsidRPr="00D749D5">
        <w:rPr>
          <w:rFonts w:asciiTheme="majorHAnsi" w:hAnsiTheme="majorHAnsi"/>
          <w:sz w:val="20"/>
          <w:szCs w:val="20"/>
          <w:lang w:val="es-ES"/>
        </w:rPr>
        <w:t>,</w:t>
      </w:r>
      <w:r w:rsidR="009D0556" w:rsidRPr="00D749D5">
        <w:rPr>
          <w:rFonts w:asciiTheme="majorHAnsi" w:hAnsiTheme="majorHAnsi"/>
          <w:sz w:val="20"/>
          <w:szCs w:val="20"/>
          <w:lang w:val="es-ES"/>
        </w:rPr>
        <w:t xml:space="preserve"> </w:t>
      </w:r>
      <w:r w:rsidR="009D5D07" w:rsidRPr="00D749D5">
        <w:rPr>
          <w:rFonts w:asciiTheme="majorHAnsi" w:hAnsiTheme="majorHAnsi"/>
          <w:sz w:val="20"/>
          <w:szCs w:val="20"/>
          <w:lang w:val="es-ES"/>
        </w:rPr>
        <w:t>mientras se desplazaban en moto con destino a su residencia.</w:t>
      </w:r>
    </w:p>
    <w:p w14:paraId="4C274967" w14:textId="77777777" w:rsidR="009D5D07" w:rsidRPr="00D749D5" w:rsidRDefault="009D5D07"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olor w:val="auto"/>
          <w:sz w:val="20"/>
          <w:szCs w:val="20"/>
          <w:lang w:val="es-ES"/>
        </w:rPr>
      </w:pPr>
      <w:r w:rsidRPr="00D749D5">
        <w:rPr>
          <w:rFonts w:asciiTheme="majorHAnsi" w:hAnsiTheme="majorHAnsi"/>
          <w:b/>
          <w:color w:val="auto"/>
          <w:sz w:val="20"/>
          <w:szCs w:val="20"/>
          <w:lang w:val="es-ES"/>
        </w:rPr>
        <w:t>Ejecución extrajudicial de Luis Guillermo Zárate Lastre</w:t>
      </w:r>
    </w:p>
    <w:p w14:paraId="639F0874" w14:textId="4EA446B4" w:rsidR="00C61F86" w:rsidRPr="00001C6A" w:rsidRDefault="00A264C9" w:rsidP="00001C6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Los peticionarios relatan que Luis Guillermo Zárate Lastre, concejal de Barrancabermeja por la Unión Patriótica, </w:t>
      </w:r>
      <w:r w:rsidR="00595578" w:rsidRPr="00D749D5">
        <w:rPr>
          <w:rFonts w:asciiTheme="majorHAnsi" w:hAnsiTheme="majorHAnsi"/>
          <w:sz w:val="20"/>
          <w:szCs w:val="20"/>
          <w:lang w:val="es-ES"/>
        </w:rPr>
        <w:t>fue asesinado en febrero de 1993 en el barrio Buenos Aires</w:t>
      </w:r>
      <w:r w:rsidR="005F6060" w:rsidRPr="00D749D5">
        <w:rPr>
          <w:rFonts w:asciiTheme="majorHAnsi" w:hAnsiTheme="majorHAnsi"/>
          <w:sz w:val="20"/>
          <w:szCs w:val="20"/>
          <w:lang w:val="es-ES"/>
        </w:rPr>
        <w:t xml:space="preserve"> de </w:t>
      </w:r>
      <w:r w:rsidR="006D7F19" w:rsidRPr="00D749D5">
        <w:rPr>
          <w:rFonts w:asciiTheme="majorHAnsi" w:hAnsiTheme="majorHAnsi"/>
          <w:sz w:val="20"/>
          <w:szCs w:val="20"/>
          <w:lang w:val="es-ES"/>
        </w:rPr>
        <w:t>dicha</w:t>
      </w:r>
      <w:r w:rsidR="005F6060" w:rsidRPr="00D749D5">
        <w:rPr>
          <w:rFonts w:asciiTheme="majorHAnsi" w:hAnsiTheme="majorHAnsi"/>
          <w:sz w:val="20"/>
          <w:szCs w:val="20"/>
          <w:lang w:val="es-ES"/>
        </w:rPr>
        <w:t xml:space="preserve"> ciudad.</w:t>
      </w:r>
    </w:p>
    <w:p w14:paraId="6CBF2B51" w14:textId="2E2B3FF3" w:rsidR="00EA6B83" w:rsidRPr="00E25257" w:rsidRDefault="00743319"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sz w:val="20"/>
          <w:szCs w:val="20"/>
          <w:lang w:val="es-ES"/>
        </w:rPr>
      </w:pPr>
      <w:r w:rsidRPr="00E25257">
        <w:rPr>
          <w:rFonts w:asciiTheme="majorHAnsi" w:hAnsiTheme="majorHAnsi"/>
          <w:b/>
          <w:sz w:val="20"/>
          <w:szCs w:val="20"/>
          <w:lang w:val="es-ES"/>
        </w:rPr>
        <w:t>Ejecución extrajudicial de Gloria Inés Erazo</w:t>
      </w:r>
    </w:p>
    <w:p w14:paraId="7CEDA15B" w14:textId="42D3CDA4" w:rsidR="00743319" w:rsidRPr="00E25257" w:rsidRDefault="006001AC" w:rsidP="0074331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25257">
        <w:rPr>
          <w:rFonts w:asciiTheme="majorHAnsi" w:hAnsiTheme="majorHAnsi"/>
          <w:sz w:val="20"/>
          <w:szCs w:val="20"/>
          <w:lang w:val="es-ES"/>
        </w:rPr>
        <w:t>En escrito de fecha 8 de octubre de 2010, los peticionarios r</w:t>
      </w:r>
      <w:r w:rsidR="00743319" w:rsidRPr="00E25257">
        <w:rPr>
          <w:rFonts w:asciiTheme="majorHAnsi" w:hAnsiTheme="majorHAnsi"/>
          <w:sz w:val="20"/>
          <w:szCs w:val="20"/>
          <w:lang w:val="es-ES"/>
        </w:rPr>
        <w:t xml:space="preserve">efieren que el 19 de marzo de 1992, cerca de la 1:00 a.m. fue asesinada Gloria Inés Erazo, </w:t>
      </w:r>
      <w:r w:rsidR="002C3F22" w:rsidRPr="00E25257">
        <w:rPr>
          <w:rFonts w:asciiTheme="majorHAnsi" w:hAnsiTheme="majorHAnsi"/>
          <w:sz w:val="20"/>
          <w:szCs w:val="20"/>
          <w:lang w:val="es-ES"/>
        </w:rPr>
        <w:t xml:space="preserve">de </w:t>
      </w:r>
      <w:r w:rsidR="00743319" w:rsidRPr="00E25257">
        <w:rPr>
          <w:rFonts w:asciiTheme="majorHAnsi" w:hAnsiTheme="majorHAnsi"/>
          <w:sz w:val="20"/>
          <w:szCs w:val="20"/>
          <w:lang w:val="es-ES"/>
        </w:rPr>
        <w:t>16 años</w:t>
      </w:r>
      <w:r w:rsidR="002C3F22" w:rsidRPr="00E25257">
        <w:rPr>
          <w:rFonts w:asciiTheme="majorHAnsi" w:hAnsiTheme="majorHAnsi"/>
          <w:sz w:val="20"/>
          <w:szCs w:val="20"/>
          <w:lang w:val="es-ES"/>
        </w:rPr>
        <w:t xml:space="preserve"> de edad</w:t>
      </w:r>
      <w:r w:rsidR="004A09CC" w:rsidRPr="00E25257">
        <w:rPr>
          <w:rFonts w:asciiTheme="majorHAnsi" w:hAnsiTheme="majorHAnsi"/>
          <w:sz w:val="20"/>
          <w:szCs w:val="20"/>
          <w:lang w:val="es-ES"/>
        </w:rPr>
        <w:t xml:space="preserve">, en la </w:t>
      </w:r>
      <w:r w:rsidR="00D47736" w:rsidRPr="00E25257">
        <w:rPr>
          <w:rFonts w:asciiTheme="majorHAnsi" w:hAnsiTheme="majorHAnsi"/>
          <w:sz w:val="20"/>
          <w:szCs w:val="20"/>
          <w:lang w:val="es-ES"/>
        </w:rPr>
        <w:t>whiskería</w:t>
      </w:r>
      <w:r w:rsidR="004A09CC" w:rsidRPr="00E25257">
        <w:rPr>
          <w:rFonts w:asciiTheme="majorHAnsi" w:hAnsiTheme="majorHAnsi"/>
          <w:sz w:val="20"/>
          <w:szCs w:val="20"/>
          <w:lang w:val="es-ES"/>
        </w:rPr>
        <w:t xml:space="preserve"> Residencia “Las Villas” en Barrancabermeja, quien indican era </w:t>
      </w:r>
      <w:r w:rsidR="00743319" w:rsidRPr="00E25257">
        <w:rPr>
          <w:rFonts w:asciiTheme="majorHAnsi" w:hAnsiTheme="majorHAnsi"/>
          <w:sz w:val="20"/>
          <w:szCs w:val="20"/>
          <w:lang w:val="es-ES"/>
        </w:rPr>
        <w:t xml:space="preserve">trabajadora de dicho </w:t>
      </w:r>
      <w:r w:rsidR="004F039A" w:rsidRPr="00E25257">
        <w:rPr>
          <w:rFonts w:asciiTheme="majorHAnsi" w:hAnsiTheme="majorHAnsi"/>
          <w:sz w:val="20"/>
          <w:szCs w:val="20"/>
          <w:lang w:val="es-ES"/>
        </w:rPr>
        <w:t>establecimiento</w:t>
      </w:r>
      <w:r w:rsidR="00743319" w:rsidRPr="00E25257">
        <w:rPr>
          <w:rFonts w:asciiTheme="majorHAnsi" w:hAnsiTheme="majorHAnsi"/>
          <w:sz w:val="20"/>
          <w:szCs w:val="20"/>
          <w:lang w:val="es-ES"/>
        </w:rPr>
        <w:t>.</w:t>
      </w:r>
      <w:r w:rsidR="004F039A" w:rsidRPr="00E25257">
        <w:rPr>
          <w:rFonts w:asciiTheme="majorHAnsi" w:hAnsiTheme="majorHAnsi"/>
          <w:sz w:val="20"/>
          <w:szCs w:val="20"/>
          <w:lang w:val="es-ES"/>
        </w:rPr>
        <w:t xml:space="preserve"> </w:t>
      </w:r>
    </w:p>
    <w:p w14:paraId="435425A8" w14:textId="3D344C56" w:rsidR="001843E1" w:rsidRPr="00E25257" w:rsidRDefault="0056523F" w:rsidP="00251DC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b/>
          <w:sz w:val="20"/>
          <w:szCs w:val="20"/>
          <w:lang w:val="es-ES"/>
        </w:rPr>
      </w:pPr>
      <w:r>
        <w:rPr>
          <w:rFonts w:asciiTheme="majorHAnsi" w:hAnsiTheme="majorHAnsi"/>
          <w:b/>
          <w:sz w:val="20"/>
          <w:szCs w:val="20"/>
          <w:lang w:val="es-ES"/>
        </w:rPr>
        <w:t xml:space="preserve">Intento de ejecución extrajudicial </w:t>
      </w:r>
      <w:r w:rsidR="00DE5382">
        <w:rPr>
          <w:rFonts w:asciiTheme="majorHAnsi" w:hAnsiTheme="majorHAnsi"/>
          <w:b/>
          <w:sz w:val="20"/>
          <w:szCs w:val="20"/>
          <w:lang w:val="es-ES"/>
        </w:rPr>
        <w:t>de</w:t>
      </w:r>
      <w:r w:rsidR="001843E1" w:rsidRPr="00E25257">
        <w:rPr>
          <w:rFonts w:asciiTheme="majorHAnsi" w:hAnsiTheme="majorHAnsi"/>
          <w:b/>
          <w:sz w:val="20"/>
          <w:szCs w:val="20"/>
          <w:lang w:val="es-ES"/>
        </w:rPr>
        <w:t xml:space="preserve"> Libardo Olaya</w:t>
      </w:r>
    </w:p>
    <w:p w14:paraId="0E3572C7" w14:textId="088A0114" w:rsidR="00B9132F" w:rsidRPr="00D749D5" w:rsidRDefault="00A53AD2" w:rsidP="00274DF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E25257">
        <w:rPr>
          <w:rFonts w:asciiTheme="majorHAnsi" w:hAnsiTheme="majorHAnsi"/>
          <w:sz w:val="20"/>
          <w:szCs w:val="20"/>
          <w:lang w:val="es-ES"/>
        </w:rPr>
        <w:t xml:space="preserve">En escrito de fecha 8 de octubre de 2010, los peticionarios </w:t>
      </w:r>
      <w:r w:rsidR="001843E1" w:rsidRPr="00E25257">
        <w:rPr>
          <w:rFonts w:asciiTheme="majorHAnsi" w:hAnsiTheme="majorHAnsi"/>
          <w:sz w:val="20"/>
          <w:szCs w:val="20"/>
          <w:lang w:val="es-ES"/>
        </w:rPr>
        <w:t>indica</w:t>
      </w:r>
      <w:r w:rsidRPr="00E25257">
        <w:rPr>
          <w:rFonts w:asciiTheme="majorHAnsi" w:hAnsiTheme="majorHAnsi"/>
          <w:sz w:val="20"/>
          <w:szCs w:val="20"/>
          <w:lang w:val="es-ES"/>
        </w:rPr>
        <w:t>n</w:t>
      </w:r>
      <w:r w:rsidR="001843E1" w:rsidRPr="00E25257">
        <w:rPr>
          <w:rFonts w:asciiTheme="majorHAnsi" w:hAnsiTheme="majorHAnsi"/>
          <w:sz w:val="20"/>
          <w:szCs w:val="20"/>
          <w:lang w:val="es-ES"/>
        </w:rPr>
        <w:t xml:space="preserve"> que</w:t>
      </w:r>
      <w:r w:rsidR="001843E1" w:rsidRPr="00D749D5">
        <w:rPr>
          <w:rFonts w:asciiTheme="majorHAnsi" w:hAnsiTheme="majorHAnsi"/>
          <w:sz w:val="20"/>
          <w:szCs w:val="20"/>
          <w:lang w:val="es-ES"/>
        </w:rPr>
        <w:t xml:space="preserve"> </w:t>
      </w:r>
      <w:r w:rsidR="00BF369B" w:rsidRPr="00D749D5">
        <w:rPr>
          <w:rFonts w:asciiTheme="majorHAnsi" w:hAnsiTheme="majorHAnsi"/>
          <w:sz w:val="20"/>
          <w:szCs w:val="20"/>
          <w:lang w:val="es-ES"/>
        </w:rPr>
        <w:t xml:space="preserve">Libardo Olaya </w:t>
      </w:r>
      <w:r w:rsidR="001843E1" w:rsidRPr="00D749D5">
        <w:rPr>
          <w:rFonts w:asciiTheme="majorHAnsi" w:hAnsiTheme="majorHAnsi"/>
          <w:sz w:val="20"/>
          <w:szCs w:val="20"/>
          <w:lang w:val="es-ES"/>
        </w:rPr>
        <w:t>era un empleado de la empresa “Palmas Agrícolas del Norte”, en Puert</w:t>
      </w:r>
      <w:r w:rsidR="00B64FAC">
        <w:rPr>
          <w:rFonts w:asciiTheme="majorHAnsi" w:hAnsiTheme="majorHAnsi"/>
          <w:sz w:val="20"/>
          <w:szCs w:val="20"/>
          <w:lang w:val="es-ES"/>
        </w:rPr>
        <w:t>o</w:t>
      </w:r>
      <w:r w:rsidR="001843E1" w:rsidRPr="00D749D5">
        <w:rPr>
          <w:rFonts w:asciiTheme="majorHAnsi" w:hAnsiTheme="majorHAnsi"/>
          <w:sz w:val="20"/>
          <w:szCs w:val="20"/>
          <w:lang w:val="es-ES"/>
        </w:rPr>
        <w:t xml:space="preserve"> Sogamoso, departamento de Santander, </w:t>
      </w:r>
      <w:r w:rsidR="00BF369B" w:rsidRPr="00D749D5">
        <w:rPr>
          <w:rFonts w:asciiTheme="majorHAnsi" w:hAnsiTheme="majorHAnsi"/>
          <w:sz w:val="20"/>
          <w:szCs w:val="20"/>
          <w:lang w:val="es-ES"/>
        </w:rPr>
        <w:t xml:space="preserve">y que </w:t>
      </w:r>
      <w:r w:rsidR="001843E1" w:rsidRPr="00D749D5">
        <w:rPr>
          <w:rFonts w:asciiTheme="majorHAnsi" w:hAnsiTheme="majorHAnsi"/>
          <w:sz w:val="20"/>
          <w:szCs w:val="20"/>
          <w:lang w:val="es-ES"/>
        </w:rPr>
        <w:t>en momentos en que se desplazaba en un bus intermunicipal a la localidad de Puerto Wilches</w:t>
      </w:r>
      <w:r w:rsidR="009E33AC" w:rsidRPr="00D749D5">
        <w:rPr>
          <w:rFonts w:asciiTheme="majorHAnsi" w:hAnsiTheme="majorHAnsi"/>
          <w:sz w:val="20"/>
          <w:szCs w:val="20"/>
          <w:lang w:val="es-ES"/>
        </w:rPr>
        <w:t>, fue víctima de un intento de homicidio</w:t>
      </w:r>
      <w:r w:rsidR="001843E1" w:rsidRPr="00D749D5">
        <w:rPr>
          <w:rFonts w:asciiTheme="majorHAnsi" w:hAnsiTheme="majorHAnsi"/>
          <w:sz w:val="20"/>
          <w:szCs w:val="20"/>
          <w:lang w:val="es-ES"/>
        </w:rPr>
        <w:t>.</w:t>
      </w:r>
      <w:r w:rsidR="009E33AC" w:rsidRPr="00D749D5">
        <w:rPr>
          <w:rFonts w:asciiTheme="majorHAnsi" w:hAnsiTheme="majorHAnsi"/>
          <w:sz w:val="20"/>
          <w:szCs w:val="20"/>
          <w:lang w:val="es-ES"/>
        </w:rPr>
        <w:t xml:space="preserve"> Los peticionarios señalan que tras haber herido a la presunta víctima, el agente de la Red No. 7 intentó huir, pero</w:t>
      </w:r>
      <w:r w:rsidR="00D140B7" w:rsidRPr="00D749D5">
        <w:rPr>
          <w:rFonts w:asciiTheme="majorHAnsi" w:hAnsiTheme="majorHAnsi"/>
          <w:sz w:val="20"/>
          <w:szCs w:val="20"/>
          <w:lang w:val="es-ES"/>
        </w:rPr>
        <w:t xml:space="preserve"> Libardo Olaya y los demás pasajeros del bus lo lograron capturar, tras lo </w:t>
      </w:r>
      <w:r w:rsidR="001D20B0" w:rsidRPr="00D749D5">
        <w:rPr>
          <w:rFonts w:asciiTheme="majorHAnsi" w:hAnsiTheme="majorHAnsi"/>
          <w:sz w:val="20"/>
          <w:szCs w:val="20"/>
          <w:lang w:val="es-ES"/>
        </w:rPr>
        <w:t>cual</w:t>
      </w:r>
      <w:r w:rsidR="00D140B7" w:rsidRPr="00D749D5">
        <w:rPr>
          <w:rFonts w:asciiTheme="majorHAnsi" w:hAnsiTheme="majorHAnsi"/>
          <w:sz w:val="20"/>
          <w:szCs w:val="20"/>
          <w:lang w:val="es-ES"/>
        </w:rPr>
        <w:t xml:space="preserve"> el agente fue recluido en la cárcel La Modelo.</w:t>
      </w:r>
      <w:r w:rsidR="009E33AC" w:rsidRPr="00D749D5">
        <w:rPr>
          <w:rFonts w:asciiTheme="majorHAnsi" w:hAnsiTheme="majorHAnsi"/>
          <w:sz w:val="20"/>
          <w:szCs w:val="20"/>
          <w:lang w:val="es-ES"/>
        </w:rPr>
        <w:t xml:space="preserve"> </w:t>
      </w:r>
    </w:p>
    <w:p w14:paraId="3381007B" w14:textId="1AF46E0C" w:rsidR="00915CBE" w:rsidRPr="00D749D5" w:rsidRDefault="00E25257" w:rsidP="00E252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rPr>
          <w:rFonts w:asciiTheme="majorHAnsi" w:hAnsiTheme="majorHAnsi"/>
          <w:b/>
          <w:sz w:val="20"/>
          <w:szCs w:val="20"/>
          <w:lang w:val="es-ES"/>
        </w:rPr>
      </w:pPr>
      <w:r w:rsidRPr="00E56B07">
        <w:rPr>
          <w:rFonts w:asciiTheme="majorHAnsi" w:hAnsiTheme="majorHAnsi"/>
          <w:b/>
          <w:sz w:val="20"/>
          <w:szCs w:val="20"/>
          <w:lang w:val="es-ES"/>
        </w:rPr>
        <w:t>Procesos j</w:t>
      </w:r>
      <w:r w:rsidR="005F6060" w:rsidRPr="00E56B07">
        <w:rPr>
          <w:rFonts w:asciiTheme="majorHAnsi" w:hAnsiTheme="majorHAnsi"/>
          <w:b/>
          <w:sz w:val="20"/>
          <w:szCs w:val="20"/>
          <w:lang w:val="es-ES"/>
        </w:rPr>
        <w:t>udiciales iniciados</w:t>
      </w:r>
    </w:p>
    <w:p w14:paraId="35D02A02" w14:textId="62F64177" w:rsidR="000A20C5" w:rsidRPr="00D749D5" w:rsidRDefault="00EA3314" w:rsidP="00DD02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Los peticionarios indican que</w:t>
      </w:r>
      <w:r w:rsidR="00E25257">
        <w:rPr>
          <w:rFonts w:asciiTheme="majorHAnsi" w:hAnsiTheme="majorHAnsi" w:cs="Arial"/>
          <w:sz w:val="20"/>
          <w:szCs w:val="20"/>
          <w:lang w:val="es-ES"/>
        </w:rPr>
        <w:t>,</w:t>
      </w:r>
      <w:r w:rsidR="003F3EEA" w:rsidRPr="00D749D5">
        <w:rPr>
          <w:rFonts w:asciiTheme="majorHAnsi" w:hAnsiTheme="majorHAnsi" w:cs="Arial"/>
          <w:sz w:val="20"/>
          <w:szCs w:val="20"/>
          <w:lang w:val="es-ES"/>
        </w:rPr>
        <w:t xml:space="preserve"> tras los hechos denunciados,</w:t>
      </w:r>
      <w:r w:rsidRPr="00D749D5">
        <w:rPr>
          <w:rFonts w:asciiTheme="majorHAnsi" w:hAnsiTheme="majorHAnsi" w:cs="Arial"/>
          <w:sz w:val="20"/>
          <w:szCs w:val="20"/>
          <w:lang w:val="es-ES"/>
        </w:rPr>
        <w:t xml:space="preserve"> v</w:t>
      </w:r>
      <w:r w:rsidR="002E5065" w:rsidRPr="00D749D5">
        <w:rPr>
          <w:rFonts w:asciiTheme="majorHAnsi" w:hAnsiTheme="majorHAnsi" w:cs="Arial"/>
          <w:sz w:val="20"/>
          <w:szCs w:val="20"/>
          <w:lang w:val="es-ES"/>
        </w:rPr>
        <w:t>arios</w:t>
      </w:r>
      <w:r w:rsidR="00122E48" w:rsidRPr="00D749D5">
        <w:rPr>
          <w:rFonts w:asciiTheme="majorHAnsi" w:hAnsiTheme="majorHAnsi" w:cs="Arial"/>
          <w:sz w:val="20"/>
          <w:szCs w:val="20"/>
          <w:lang w:val="es-ES"/>
        </w:rPr>
        <w:t xml:space="preserve"> </w:t>
      </w:r>
      <w:r w:rsidR="002E5065" w:rsidRPr="00D749D5">
        <w:rPr>
          <w:rFonts w:asciiTheme="majorHAnsi" w:hAnsiTheme="majorHAnsi" w:cs="Arial"/>
          <w:sz w:val="20"/>
          <w:szCs w:val="20"/>
          <w:lang w:val="es-ES"/>
        </w:rPr>
        <w:t>sicarios que colaboraron activamente en l</w:t>
      </w:r>
      <w:r w:rsidR="003F3EEA" w:rsidRPr="00D749D5">
        <w:rPr>
          <w:rFonts w:asciiTheme="majorHAnsi" w:hAnsiTheme="majorHAnsi" w:cs="Arial"/>
          <w:sz w:val="20"/>
          <w:szCs w:val="20"/>
          <w:lang w:val="es-ES"/>
        </w:rPr>
        <w:t xml:space="preserve">os mismos, </w:t>
      </w:r>
      <w:r w:rsidR="002E5065" w:rsidRPr="00D749D5">
        <w:rPr>
          <w:rFonts w:asciiTheme="majorHAnsi" w:hAnsiTheme="majorHAnsi" w:cs="Arial"/>
          <w:sz w:val="20"/>
          <w:szCs w:val="20"/>
          <w:lang w:val="es-ES"/>
        </w:rPr>
        <w:t xml:space="preserve">fueron asesinados o desaparecidos por sus mismos compañeros de </w:t>
      </w:r>
      <w:r w:rsidRPr="00D749D5">
        <w:rPr>
          <w:rFonts w:asciiTheme="majorHAnsi" w:hAnsiTheme="majorHAnsi" w:cs="Arial"/>
          <w:sz w:val="20"/>
          <w:szCs w:val="20"/>
          <w:lang w:val="es-ES"/>
        </w:rPr>
        <w:t>armas. Indican</w:t>
      </w:r>
      <w:r w:rsidR="002E5065" w:rsidRPr="00D749D5">
        <w:rPr>
          <w:rFonts w:asciiTheme="majorHAnsi" w:hAnsiTheme="majorHAnsi" w:cs="Arial"/>
          <w:sz w:val="20"/>
          <w:szCs w:val="20"/>
          <w:lang w:val="es-ES"/>
        </w:rPr>
        <w:t xml:space="preserve"> que</w:t>
      </w:r>
      <w:r w:rsidR="003F3EEA" w:rsidRPr="00D749D5">
        <w:rPr>
          <w:rFonts w:asciiTheme="majorHAnsi" w:hAnsiTheme="majorHAnsi" w:cs="Arial"/>
          <w:sz w:val="20"/>
          <w:szCs w:val="20"/>
          <w:lang w:val="es-ES"/>
        </w:rPr>
        <w:t xml:space="preserve"> tras prestar declaración,</w:t>
      </w:r>
      <w:r w:rsidR="00122E48" w:rsidRPr="00D749D5">
        <w:rPr>
          <w:rFonts w:asciiTheme="majorHAnsi" w:hAnsiTheme="majorHAnsi" w:cs="Arial"/>
          <w:sz w:val="20"/>
          <w:szCs w:val="20"/>
          <w:lang w:val="es-ES"/>
        </w:rPr>
        <w:t xml:space="preserve"> </w:t>
      </w:r>
      <w:r w:rsidR="002E5065" w:rsidRPr="00D749D5">
        <w:rPr>
          <w:rFonts w:asciiTheme="majorHAnsi" w:hAnsiTheme="majorHAnsi" w:cs="Arial"/>
          <w:sz w:val="20"/>
          <w:szCs w:val="20"/>
          <w:lang w:val="es-ES"/>
        </w:rPr>
        <w:t>Carlos David Lopéz Maquillón</w:t>
      </w:r>
      <w:r w:rsidR="00122E48" w:rsidRPr="00D749D5">
        <w:rPr>
          <w:rFonts w:asciiTheme="majorHAnsi" w:hAnsiTheme="majorHAnsi" w:cs="Arial"/>
          <w:sz w:val="20"/>
          <w:szCs w:val="20"/>
          <w:lang w:val="es-ES"/>
        </w:rPr>
        <w:t xml:space="preserve"> </w:t>
      </w:r>
      <w:r w:rsidR="002E5065" w:rsidRPr="00D749D5">
        <w:rPr>
          <w:rFonts w:asciiTheme="majorHAnsi" w:hAnsiTheme="majorHAnsi" w:cs="Arial"/>
          <w:sz w:val="20"/>
          <w:szCs w:val="20"/>
          <w:lang w:val="es-ES"/>
        </w:rPr>
        <w:t xml:space="preserve">y Saulo Segura Palacios </w:t>
      </w:r>
      <w:r w:rsidR="005519B9" w:rsidRPr="00D749D5">
        <w:rPr>
          <w:rFonts w:asciiTheme="majorHAnsi" w:hAnsiTheme="majorHAnsi" w:cs="Arial"/>
          <w:sz w:val="20"/>
          <w:szCs w:val="20"/>
          <w:lang w:val="es-ES"/>
        </w:rPr>
        <w:t xml:space="preserve">huyeron en 1994 de Colombia, refugiándose en Costa Rica y luego en </w:t>
      </w:r>
      <w:r w:rsidR="00022175" w:rsidRPr="00D749D5">
        <w:rPr>
          <w:rFonts w:asciiTheme="majorHAnsi" w:hAnsiTheme="majorHAnsi" w:cs="Arial"/>
          <w:sz w:val="20"/>
          <w:szCs w:val="20"/>
          <w:lang w:val="es-ES"/>
        </w:rPr>
        <w:t>Panamá</w:t>
      </w:r>
      <w:r w:rsidR="005519B9" w:rsidRPr="00D749D5">
        <w:rPr>
          <w:rFonts w:asciiTheme="majorHAnsi" w:hAnsiTheme="majorHAnsi" w:cs="Arial"/>
          <w:sz w:val="20"/>
          <w:szCs w:val="20"/>
          <w:lang w:val="es-ES"/>
        </w:rPr>
        <w:t>,</w:t>
      </w:r>
      <w:r w:rsidR="00122E48" w:rsidRPr="00D749D5">
        <w:rPr>
          <w:rFonts w:asciiTheme="majorHAnsi" w:hAnsiTheme="majorHAnsi" w:cs="Arial"/>
          <w:sz w:val="20"/>
          <w:szCs w:val="20"/>
          <w:lang w:val="es-ES"/>
        </w:rPr>
        <w:t xml:space="preserve"> </w:t>
      </w:r>
      <w:r w:rsidR="00022175" w:rsidRPr="00D749D5">
        <w:rPr>
          <w:rFonts w:asciiTheme="majorHAnsi" w:hAnsiTheme="majorHAnsi" w:cs="Arial"/>
          <w:sz w:val="20"/>
          <w:szCs w:val="20"/>
          <w:lang w:val="es-ES"/>
        </w:rPr>
        <w:t xml:space="preserve">y que en julio de 1994 fueron llevados a Colombia y detenidos por la policía. Refieren que ambos suscribieron actas donde se </w:t>
      </w:r>
      <w:r w:rsidR="002E5065" w:rsidRPr="00D749D5">
        <w:rPr>
          <w:rFonts w:asciiTheme="majorHAnsi" w:hAnsiTheme="majorHAnsi" w:cs="Arial"/>
          <w:sz w:val="20"/>
          <w:szCs w:val="20"/>
          <w:lang w:val="es-ES"/>
        </w:rPr>
        <w:t xml:space="preserve">retractaron </w:t>
      </w:r>
      <w:r w:rsidR="00022175" w:rsidRPr="00D749D5">
        <w:rPr>
          <w:rFonts w:asciiTheme="majorHAnsi" w:hAnsiTheme="majorHAnsi" w:cs="Arial"/>
          <w:sz w:val="20"/>
          <w:szCs w:val="20"/>
          <w:lang w:val="es-ES"/>
        </w:rPr>
        <w:t>de</w:t>
      </w:r>
      <w:r w:rsidR="002E5065" w:rsidRPr="00D749D5">
        <w:rPr>
          <w:rFonts w:asciiTheme="majorHAnsi" w:hAnsiTheme="majorHAnsi" w:cs="Arial"/>
          <w:sz w:val="20"/>
          <w:szCs w:val="20"/>
          <w:lang w:val="es-ES"/>
        </w:rPr>
        <w:t xml:space="preserve"> su </w:t>
      </w:r>
      <w:r w:rsidRPr="00D749D5">
        <w:rPr>
          <w:rFonts w:asciiTheme="majorHAnsi" w:hAnsiTheme="majorHAnsi" w:cs="Arial"/>
          <w:sz w:val="20"/>
          <w:szCs w:val="20"/>
          <w:lang w:val="es-ES"/>
        </w:rPr>
        <w:t>denuncia ante la Procuraduría</w:t>
      </w:r>
      <w:r w:rsidR="00231133" w:rsidRPr="00D749D5">
        <w:rPr>
          <w:rFonts w:asciiTheme="majorHAnsi" w:hAnsiTheme="majorHAnsi" w:cs="Arial"/>
          <w:sz w:val="20"/>
          <w:szCs w:val="20"/>
          <w:lang w:val="es-ES"/>
        </w:rPr>
        <w:t xml:space="preserve">, y que </w:t>
      </w:r>
      <w:r w:rsidR="003A7F0C" w:rsidRPr="00D749D5">
        <w:rPr>
          <w:rFonts w:asciiTheme="majorHAnsi" w:hAnsiTheme="majorHAnsi" w:cs="Arial"/>
          <w:sz w:val="20"/>
          <w:szCs w:val="20"/>
          <w:lang w:val="es-ES"/>
        </w:rPr>
        <w:t xml:space="preserve">Saulo Segura Palacios </w:t>
      </w:r>
      <w:r w:rsidR="00D65862" w:rsidRPr="00D749D5">
        <w:rPr>
          <w:rFonts w:asciiTheme="majorHAnsi" w:hAnsiTheme="majorHAnsi" w:cs="Arial"/>
          <w:sz w:val="20"/>
          <w:szCs w:val="20"/>
          <w:lang w:val="es-ES"/>
        </w:rPr>
        <w:t xml:space="preserve">fue asesinado </w:t>
      </w:r>
      <w:r w:rsidR="00DD0298" w:rsidRPr="00D749D5">
        <w:rPr>
          <w:rFonts w:asciiTheme="majorHAnsi" w:hAnsiTheme="majorHAnsi" w:cs="Arial"/>
          <w:sz w:val="20"/>
          <w:szCs w:val="20"/>
          <w:lang w:val="es-ES"/>
        </w:rPr>
        <w:t xml:space="preserve">el 31 de diciembre de 1995 cuando se encontraba </w:t>
      </w:r>
      <w:r w:rsidR="00D65862" w:rsidRPr="00D749D5">
        <w:rPr>
          <w:rFonts w:asciiTheme="majorHAnsi" w:hAnsiTheme="majorHAnsi" w:cs="Arial"/>
          <w:sz w:val="20"/>
          <w:szCs w:val="20"/>
          <w:lang w:val="es-ES"/>
        </w:rPr>
        <w:t>recluido en la Cárcel Modelo de Bogotá, sin que haya sido sindicada ninguna persona como responsable de los hechos</w:t>
      </w:r>
      <w:r w:rsidR="003A7F0C" w:rsidRPr="00D749D5">
        <w:rPr>
          <w:rFonts w:asciiTheme="majorHAnsi" w:hAnsiTheme="majorHAnsi" w:cs="Arial"/>
          <w:sz w:val="20"/>
          <w:szCs w:val="20"/>
          <w:lang w:val="es-ES"/>
        </w:rPr>
        <w:t>. En cuanto a Carlos David Lopéz Maquillón, quien también se retractó de sus declaraciones, indican que no se conoce su paradero y se presume que se encuentra desaparecido.</w:t>
      </w:r>
      <w:r w:rsidR="00122E48" w:rsidRPr="00D749D5">
        <w:rPr>
          <w:rFonts w:asciiTheme="majorHAnsi" w:hAnsiTheme="majorHAnsi" w:cs="Arial"/>
          <w:sz w:val="20"/>
          <w:szCs w:val="20"/>
          <w:lang w:val="es-ES"/>
        </w:rPr>
        <w:t xml:space="preserve"> </w:t>
      </w:r>
    </w:p>
    <w:p w14:paraId="0DE85F94" w14:textId="77777777" w:rsidR="00CD2733" w:rsidRPr="00D749D5" w:rsidRDefault="00CD2733" w:rsidP="00CD27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cs="Arial"/>
          <w:sz w:val="20"/>
          <w:szCs w:val="20"/>
          <w:lang w:val="es-ES"/>
        </w:rPr>
      </w:pPr>
      <w:r w:rsidRPr="00D749D5">
        <w:rPr>
          <w:rFonts w:asciiTheme="majorHAnsi" w:hAnsiTheme="majorHAnsi" w:cs="Arial"/>
          <w:b/>
          <w:sz w:val="20"/>
          <w:szCs w:val="20"/>
          <w:lang w:val="es-ES"/>
        </w:rPr>
        <w:t>Actuaciones</w:t>
      </w:r>
      <w:r w:rsidRPr="00D749D5">
        <w:rPr>
          <w:rFonts w:asciiTheme="majorHAnsi" w:hAnsiTheme="majorHAnsi" w:cs="Arial"/>
          <w:sz w:val="20"/>
          <w:szCs w:val="20"/>
          <w:lang w:val="es-ES"/>
        </w:rPr>
        <w:t xml:space="preserve"> </w:t>
      </w:r>
      <w:r w:rsidRPr="00D749D5">
        <w:rPr>
          <w:rFonts w:asciiTheme="majorHAnsi" w:hAnsiTheme="majorHAnsi" w:cs="Arial"/>
          <w:b/>
          <w:sz w:val="20"/>
          <w:szCs w:val="20"/>
          <w:lang w:val="es-ES"/>
        </w:rPr>
        <w:t>judiciales</w:t>
      </w:r>
    </w:p>
    <w:p w14:paraId="26A763DE" w14:textId="77777777" w:rsidR="00CD2733" w:rsidRPr="008E4FF2" w:rsidRDefault="002120FD" w:rsidP="00251D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s="Arial"/>
          <w:b/>
          <w:sz w:val="20"/>
          <w:szCs w:val="20"/>
          <w:lang w:val="es-ES"/>
        </w:rPr>
      </w:pPr>
      <w:r w:rsidRPr="008E4FF2">
        <w:rPr>
          <w:rFonts w:asciiTheme="majorHAnsi" w:hAnsiTheme="majorHAnsi" w:cs="Arial"/>
          <w:b/>
          <w:sz w:val="20"/>
          <w:szCs w:val="20"/>
          <w:lang w:val="es-ES"/>
        </w:rPr>
        <w:t>Jurisdicción Penal Militar</w:t>
      </w:r>
    </w:p>
    <w:p w14:paraId="7EAF10D7" w14:textId="3AD18262" w:rsidR="002120FD" w:rsidRPr="008E4FF2" w:rsidRDefault="00D72C9E" w:rsidP="009E296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8E4FF2">
        <w:rPr>
          <w:rFonts w:asciiTheme="majorHAnsi" w:hAnsiTheme="majorHAnsi" w:cs="Arial"/>
          <w:sz w:val="20"/>
          <w:szCs w:val="20"/>
          <w:lang w:val="es-ES"/>
        </w:rPr>
        <w:t>Los peticionarios refieren que e</w:t>
      </w:r>
      <w:r w:rsidR="009E2967" w:rsidRPr="008E4FF2">
        <w:rPr>
          <w:rFonts w:asciiTheme="majorHAnsi" w:hAnsiTheme="majorHAnsi" w:cs="Arial"/>
          <w:sz w:val="20"/>
          <w:szCs w:val="20"/>
          <w:lang w:val="es-ES"/>
        </w:rPr>
        <w:t>l 4 de enero de 1994, el Comandante General de las Fuerzas Militares y Presidente del Tribunal Superior Militar, ordenó a la Armada Nacional la apertura de</w:t>
      </w:r>
      <w:r w:rsidR="000A7240" w:rsidRPr="008E4FF2">
        <w:rPr>
          <w:rFonts w:asciiTheme="majorHAnsi" w:hAnsiTheme="majorHAnsi" w:cs="Arial"/>
          <w:sz w:val="20"/>
          <w:szCs w:val="20"/>
          <w:lang w:val="es-ES"/>
        </w:rPr>
        <w:t xml:space="preserve"> una</w:t>
      </w:r>
      <w:r w:rsidR="009E2967" w:rsidRPr="008E4FF2">
        <w:rPr>
          <w:rFonts w:asciiTheme="majorHAnsi" w:hAnsiTheme="majorHAnsi" w:cs="Arial"/>
          <w:sz w:val="20"/>
          <w:szCs w:val="20"/>
          <w:lang w:val="es-ES"/>
        </w:rPr>
        <w:t xml:space="preserve"> investigación penal por las denuncias presentadas por </w:t>
      </w:r>
      <w:r w:rsidR="00085A5F" w:rsidRPr="00D749D5">
        <w:rPr>
          <w:rFonts w:asciiTheme="majorHAnsi" w:hAnsiTheme="majorHAnsi" w:cs="Arial"/>
          <w:sz w:val="20"/>
          <w:szCs w:val="20"/>
          <w:lang w:val="es-ES"/>
        </w:rPr>
        <w:t xml:space="preserve">Saulo Segura Palacios </w:t>
      </w:r>
      <w:r w:rsidR="009E2967" w:rsidRPr="008E4FF2">
        <w:rPr>
          <w:rFonts w:asciiTheme="majorHAnsi" w:hAnsiTheme="majorHAnsi" w:cs="Arial"/>
          <w:sz w:val="20"/>
          <w:szCs w:val="20"/>
          <w:lang w:val="es-ES"/>
        </w:rPr>
        <w:t xml:space="preserve">y </w:t>
      </w:r>
      <w:r w:rsidR="00085A5F" w:rsidRPr="008E4FF2">
        <w:rPr>
          <w:rFonts w:asciiTheme="majorHAnsi" w:hAnsiTheme="majorHAnsi" w:cs="Arial"/>
          <w:sz w:val="20"/>
          <w:szCs w:val="20"/>
          <w:lang w:val="es-ES"/>
        </w:rPr>
        <w:t>Carlos David López Maquillón</w:t>
      </w:r>
      <w:r w:rsidR="009E2967" w:rsidRPr="008E4FF2">
        <w:rPr>
          <w:rFonts w:asciiTheme="majorHAnsi" w:hAnsiTheme="majorHAnsi" w:cs="Arial"/>
          <w:sz w:val="20"/>
          <w:szCs w:val="20"/>
          <w:lang w:val="es-ES"/>
        </w:rPr>
        <w:t xml:space="preserve">. </w:t>
      </w:r>
      <w:r w:rsidR="009E2967" w:rsidRPr="008E4FF2">
        <w:rPr>
          <w:rFonts w:asciiTheme="majorHAnsi" w:hAnsiTheme="majorHAnsi" w:cs="Arial"/>
          <w:sz w:val="20"/>
          <w:szCs w:val="20"/>
          <w:lang w:val="es-ES"/>
        </w:rPr>
        <w:lastRenderedPageBreak/>
        <w:t xml:space="preserve">El 5 de enero de 1994, el Juez 41 de Instrucción Penal Militar de la Armada Nacional </w:t>
      </w:r>
      <w:r w:rsidRPr="008E4FF2">
        <w:rPr>
          <w:rFonts w:asciiTheme="majorHAnsi" w:hAnsiTheme="majorHAnsi" w:cs="Arial"/>
          <w:sz w:val="20"/>
          <w:szCs w:val="20"/>
          <w:lang w:val="es-ES"/>
        </w:rPr>
        <w:t xml:space="preserve">se </w:t>
      </w:r>
      <w:r w:rsidR="009E2967" w:rsidRPr="008E4FF2">
        <w:rPr>
          <w:rFonts w:asciiTheme="majorHAnsi" w:hAnsiTheme="majorHAnsi" w:cs="Arial"/>
          <w:sz w:val="20"/>
          <w:szCs w:val="20"/>
          <w:lang w:val="es-ES"/>
        </w:rPr>
        <w:t>avocó conocimiento. Posteriormente, el proceso fue trasladado al Juzgado 109 de Instrucción</w:t>
      </w:r>
      <w:r w:rsidR="00122E48" w:rsidRPr="008E4FF2">
        <w:rPr>
          <w:rFonts w:asciiTheme="majorHAnsi" w:hAnsiTheme="majorHAnsi" w:cs="Arial"/>
          <w:sz w:val="20"/>
          <w:szCs w:val="20"/>
          <w:lang w:val="es-ES"/>
        </w:rPr>
        <w:t xml:space="preserve"> </w:t>
      </w:r>
      <w:r w:rsidR="009E2967" w:rsidRPr="008E4FF2">
        <w:rPr>
          <w:rFonts w:asciiTheme="majorHAnsi" w:hAnsiTheme="majorHAnsi" w:cs="Arial"/>
          <w:sz w:val="20"/>
          <w:szCs w:val="20"/>
          <w:lang w:val="es-ES"/>
        </w:rPr>
        <w:t>Penal Militar, el cual conoció en primera instancia.</w:t>
      </w:r>
      <w:r w:rsidR="00122E48" w:rsidRPr="008E4FF2">
        <w:rPr>
          <w:rFonts w:asciiTheme="majorHAnsi" w:hAnsiTheme="majorHAnsi" w:cs="Arial"/>
          <w:sz w:val="20"/>
          <w:szCs w:val="20"/>
          <w:lang w:val="es-ES"/>
        </w:rPr>
        <w:t xml:space="preserve"> </w:t>
      </w:r>
    </w:p>
    <w:p w14:paraId="1D25F61A" w14:textId="201FC372" w:rsidR="001F2C3F" w:rsidRPr="008E4FF2" w:rsidRDefault="00D72C9E" w:rsidP="001F2C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8E4FF2">
        <w:rPr>
          <w:rFonts w:asciiTheme="majorHAnsi" w:hAnsiTheme="majorHAnsi" w:cs="Arial"/>
          <w:sz w:val="20"/>
          <w:szCs w:val="20"/>
          <w:lang w:val="es-ES"/>
        </w:rPr>
        <w:t>Agregan</w:t>
      </w:r>
      <w:r w:rsidR="001F2C3F" w:rsidRPr="008E4FF2">
        <w:rPr>
          <w:rFonts w:asciiTheme="majorHAnsi" w:hAnsiTheme="majorHAnsi" w:cs="Arial"/>
          <w:sz w:val="20"/>
          <w:szCs w:val="20"/>
          <w:lang w:val="es-ES"/>
        </w:rPr>
        <w:t xml:space="preserve"> que e</w:t>
      </w:r>
      <w:r w:rsidR="009B7259" w:rsidRPr="008E4FF2">
        <w:rPr>
          <w:rFonts w:asciiTheme="majorHAnsi" w:hAnsiTheme="majorHAnsi" w:cs="Arial"/>
          <w:sz w:val="20"/>
          <w:szCs w:val="20"/>
          <w:lang w:val="es-ES"/>
        </w:rPr>
        <w:t>l 9 de febrero de 1994, el Fiscal Regional</w:t>
      </w:r>
      <w:r w:rsidR="00122E48" w:rsidRPr="008E4FF2">
        <w:rPr>
          <w:rFonts w:asciiTheme="majorHAnsi" w:hAnsiTheme="majorHAnsi" w:cs="Arial"/>
          <w:sz w:val="20"/>
          <w:szCs w:val="20"/>
          <w:lang w:val="es-ES"/>
        </w:rPr>
        <w:t xml:space="preserve"> </w:t>
      </w:r>
      <w:r w:rsidR="001F2C3F" w:rsidRPr="008E4FF2">
        <w:rPr>
          <w:rFonts w:asciiTheme="majorHAnsi" w:hAnsiTheme="majorHAnsi" w:cs="Arial"/>
          <w:sz w:val="20"/>
          <w:szCs w:val="20"/>
          <w:lang w:val="es-ES"/>
        </w:rPr>
        <w:t>de jurisdicción ordinaria</w:t>
      </w:r>
      <w:r w:rsidR="00E7373B" w:rsidRPr="008E4FF2">
        <w:rPr>
          <w:rFonts w:asciiTheme="majorHAnsi" w:hAnsiTheme="majorHAnsi" w:cs="Arial"/>
          <w:sz w:val="20"/>
          <w:szCs w:val="20"/>
          <w:lang w:val="es-ES"/>
        </w:rPr>
        <w:t>,</w:t>
      </w:r>
      <w:r w:rsidR="009B7259" w:rsidRPr="008E4FF2">
        <w:rPr>
          <w:rFonts w:asciiTheme="majorHAnsi" w:hAnsiTheme="majorHAnsi" w:cs="Arial"/>
          <w:sz w:val="20"/>
          <w:szCs w:val="20"/>
          <w:lang w:val="es-ES"/>
        </w:rPr>
        <w:t xml:space="preserve"> propuso </w:t>
      </w:r>
      <w:r w:rsidR="001F2C3F" w:rsidRPr="008E4FF2">
        <w:rPr>
          <w:rFonts w:asciiTheme="majorHAnsi" w:hAnsiTheme="majorHAnsi" w:cs="Arial"/>
          <w:sz w:val="20"/>
          <w:szCs w:val="20"/>
          <w:lang w:val="es-ES"/>
        </w:rPr>
        <w:t xml:space="preserve">una </w:t>
      </w:r>
      <w:r w:rsidR="009B7259" w:rsidRPr="008E4FF2">
        <w:rPr>
          <w:rFonts w:asciiTheme="majorHAnsi" w:hAnsiTheme="majorHAnsi" w:cs="Arial"/>
          <w:sz w:val="20"/>
          <w:szCs w:val="20"/>
          <w:lang w:val="es-ES"/>
        </w:rPr>
        <w:t>c</w:t>
      </w:r>
      <w:r w:rsidR="001F2C3F" w:rsidRPr="008E4FF2">
        <w:rPr>
          <w:rFonts w:asciiTheme="majorHAnsi" w:hAnsiTheme="majorHAnsi" w:cs="Arial"/>
          <w:sz w:val="20"/>
          <w:szCs w:val="20"/>
          <w:lang w:val="es-ES"/>
        </w:rPr>
        <w:t>olisión positiva de competencia.</w:t>
      </w:r>
    </w:p>
    <w:p w14:paraId="545F0FCC" w14:textId="22FC43DA" w:rsidR="006F262C" w:rsidRPr="008E4FF2" w:rsidRDefault="001F2C3F" w:rsidP="006F26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8E4FF2">
        <w:rPr>
          <w:rFonts w:asciiTheme="majorHAnsi" w:hAnsiTheme="majorHAnsi" w:cs="Arial"/>
          <w:sz w:val="20"/>
          <w:szCs w:val="20"/>
          <w:lang w:val="es-ES"/>
        </w:rPr>
        <w:t xml:space="preserve">Refieren que el Juzgado 109 de Instrucción Penal Militar llamó a indagatoria a </w:t>
      </w:r>
      <w:r w:rsidR="000F16F1" w:rsidRPr="008E4FF2">
        <w:rPr>
          <w:rFonts w:asciiTheme="majorHAnsi" w:hAnsiTheme="majorHAnsi" w:cs="Arial"/>
          <w:sz w:val="20"/>
          <w:szCs w:val="20"/>
          <w:lang w:val="es-ES"/>
        </w:rPr>
        <w:t>nueve</w:t>
      </w:r>
      <w:r w:rsidRPr="008E4FF2">
        <w:rPr>
          <w:rFonts w:asciiTheme="majorHAnsi" w:hAnsiTheme="majorHAnsi" w:cs="Arial"/>
          <w:sz w:val="20"/>
          <w:szCs w:val="20"/>
          <w:lang w:val="es-ES"/>
        </w:rPr>
        <w:t xml:space="preserve"> uniformados, y el 25 de marzo de 1994, el Juzgado emitió au</w:t>
      </w:r>
      <w:r w:rsidR="006451ED" w:rsidRPr="008E4FF2">
        <w:rPr>
          <w:rFonts w:asciiTheme="majorHAnsi" w:hAnsiTheme="majorHAnsi" w:cs="Arial"/>
          <w:sz w:val="20"/>
          <w:szCs w:val="20"/>
          <w:lang w:val="es-ES"/>
        </w:rPr>
        <w:t xml:space="preserve">to mediante el que resolvió la </w:t>
      </w:r>
      <w:r w:rsidRPr="008E4FF2">
        <w:rPr>
          <w:rFonts w:asciiTheme="majorHAnsi" w:hAnsiTheme="majorHAnsi" w:cs="Arial"/>
          <w:sz w:val="20"/>
          <w:szCs w:val="20"/>
          <w:lang w:val="es-ES"/>
        </w:rPr>
        <w:t xml:space="preserve">situación jurídica de los </w:t>
      </w:r>
      <w:r w:rsidR="000F16F1" w:rsidRPr="008E4FF2">
        <w:rPr>
          <w:rFonts w:asciiTheme="majorHAnsi" w:hAnsiTheme="majorHAnsi" w:cs="Arial"/>
          <w:sz w:val="20"/>
          <w:szCs w:val="20"/>
          <w:lang w:val="es-ES"/>
        </w:rPr>
        <w:t xml:space="preserve">nueve </w:t>
      </w:r>
      <w:r w:rsidRPr="008E4FF2">
        <w:rPr>
          <w:rFonts w:asciiTheme="majorHAnsi" w:hAnsiTheme="majorHAnsi" w:cs="Arial"/>
          <w:sz w:val="20"/>
          <w:szCs w:val="20"/>
          <w:lang w:val="es-ES"/>
        </w:rPr>
        <w:t>investigados</w:t>
      </w:r>
      <w:r w:rsidR="000F16F1" w:rsidRPr="008E4FF2">
        <w:rPr>
          <w:rFonts w:asciiTheme="majorHAnsi" w:hAnsiTheme="majorHAnsi" w:cs="Arial"/>
          <w:sz w:val="20"/>
          <w:szCs w:val="20"/>
          <w:lang w:val="es-ES"/>
        </w:rPr>
        <w:t xml:space="preserve">. </w:t>
      </w:r>
      <w:r w:rsidRPr="008E4FF2">
        <w:rPr>
          <w:rFonts w:asciiTheme="majorHAnsi" w:hAnsiTheme="majorHAnsi" w:cs="Arial"/>
          <w:sz w:val="20"/>
          <w:szCs w:val="20"/>
          <w:lang w:val="es-ES"/>
        </w:rPr>
        <w:t>Así, indican que</w:t>
      </w:r>
      <w:r w:rsidR="00122E48" w:rsidRPr="008E4FF2">
        <w:rPr>
          <w:rFonts w:asciiTheme="majorHAnsi" w:hAnsiTheme="majorHAnsi" w:cs="Arial"/>
          <w:sz w:val="20"/>
          <w:szCs w:val="20"/>
          <w:lang w:val="es-ES"/>
        </w:rPr>
        <w:t xml:space="preserve"> </w:t>
      </w:r>
      <w:r w:rsidR="00043F71" w:rsidRPr="008E4FF2">
        <w:rPr>
          <w:rFonts w:asciiTheme="majorHAnsi" w:hAnsiTheme="majorHAnsi" w:cs="Arial"/>
          <w:sz w:val="20"/>
          <w:szCs w:val="20"/>
          <w:lang w:val="es-ES"/>
        </w:rPr>
        <w:t>el juez consideró que pese</w:t>
      </w:r>
      <w:r w:rsidR="006451ED" w:rsidRPr="008E4FF2">
        <w:rPr>
          <w:rFonts w:asciiTheme="majorHAnsi" w:hAnsiTheme="majorHAnsi" w:cs="Arial"/>
          <w:sz w:val="20"/>
          <w:szCs w:val="20"/>
          <w:lang w:val="es-ES"/>
        </w:rPr>
        <w:t xml:space="preserve"> al acervo probatorio existente</w:t>
      </w:r>
      <w:r w:rsidRPr="008E4FF2">
        <w:rPr>
          <w:rFonts w:asciiTheme="majorHAnsi" w:hAnsiTheme="majorHAnsi" w:cs="Arial"/>
          <w:sz w:val="20"/>
          <w:szCs w:val="20"/>
          <w:lang w:val="es-ES"/>
        </w:rPr>
        <w:t xml:space="preserve"> no existía prueba que permitiera inferir la responsabilidad penal de los directivos de la Dirección de Inteligencia, ni de otro personal de la Red No. 7, y resolvió abstenerse de proferir medida de aseguramiento en contra de todos los sindicados, salvo</w:t>
      </w:r>
      <w:r w:rsidR="00086237" w:rsidRPr="008E4FF2">
        <w:rPr>
          <w:rFonts w:asciiTheme="majorHAnsi" w:hAnsiTheme="majorHAnsi" w:cs="Arial"/>
          <w:sz w:val="20"/>
          <w:szCs w:val="20"/>
          <w:lang w:val="es-ES"/>
        </w:rPr>
        <w:t xml:space="preserve"> Carlos David López Maquillón</w:t>
      </w:r>
      <w:r w:rsidR="006F262C" w:rsidRPr="008E4FF2">
        <w:rPr>
          <w:rFonts w:asciiTheme="majorHAnsi" w:hAnsiTheme="majorHAnsi" w:cs="Arial"/>
          <w:sz w:val="20"/>
          <w:szCs w:val="20"/>
          <w:lang w:val="es-ES"/>
        </w:rPr>
        <w:t xml:space="preserve">, </w:t>
      </w:r>
      <w:r w:rsidR="00A72EC7" w:rsidRPr="008E4FF2">
        <w:rPr>
          <w:rFonts w:asciiTheme="majorHAnsi" w:hAnsiTheme="majorHAnsi" w:cs="Arial"/>
          <w:sz w:val="20"/>
          <w:szCs w:val="20"/>
          <w:lang w:val="es-ES"/>
        </w:rPr>
        <w:t xml:space="preserve">respecto de quien </w:t>
      </w:r>
      <w:r w:rsidRPr="008E4FF2">
        <w:rPr>
          <w:rFonts w:asciiTheme="majorHAnsi" w:hAnsiTheme="majorHAnsi" w:cs="Arial"/>
          <w:sz w:val="20"/>
          <w:szCs w:val="20"/>
          <w:lang w:val="es-ES"/>
        </w:rPr>
        <w:t>decretó detención preventiva por el presunto delito de formación o ingreso de personas a</w:t>
      </w:r>
      <w:r w:rsidR="006F262C" w:rsidRPr="008E4FF2">
        <w:rPr>
          <w:rFonts w:asciiTheme="majorHAnsi" w:hAnsiTheme="majorHAnsi" w:cs="Arial"/>
          <w:sz w:val="20"/>
          <w:szCs w:val="20"/>
          <w:lang w:val="es-ES"/>
        </w:rPr>
        <w:t xml:space="preserve"> grupos armados,</w:t>
      </w:r>
      <w:r w:rsidR="00122E48" w:rsidRPr="008E4FF2">
        <w:rPr>
          <w:rFonts w:asciiTheme="majorHAnsi" w:hAnsiTheme="majorHAnsi" w:cs="Arial"/>
          <w:sz w:val="20"/>
          <w:szCs w:val="20"/>
          <w:lang w:val="es-ES"/>
        </w:rPr>
        <w:t xml:space="preserve"> </w:t>
      </w:r>
      <w:r w:rsidR="006F262C" w:rsidRPr="008E4FF2">
        <w:rPr>
          <w:rFonts w:asciiTheme="majorHAnsi" w:hAnsiTheme="majorHAnsi" w:cs="Arial"/>
          <w:sz w:val="20"/>
          <w:szCs w:val="20"/>
          <w:lang w:val="es-ES"/>
        </w:rPr>
        <w:t>previsto en el artículo 1º del Decreto legislativo No. 1194 de 1989.</w:t>
      </w:r>
    </w:p>
    <w:p w14:paraId="5DEDE278" w14:textId="77777777" w:rsidR="000A20C5" w:rsidRPr="00D749D5" w:rsidRDefault="00AC532E" w:rsidP="00AC532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Sostienen que el 7 de abril de 1994, el Juez 109 de Instrucción Penal Militar dispuso el envío del asunto</w:t>
      </w:r>
      <w:r w:rsidR="00122E48" w:rsidRPr="00D749D5">
        <w:rPr>
          <w:rFonts w:asciiTheme="majorHAnsi" w:hAnsiTheme="majorHAnsi" w:cs="Arial"/>
          <w:sz w:val="20"/>
          <w:szCs w:val="20"/>
          <w:lang w:val="es-ES"/>
        </w:rPr>
        <w:t xml:space="preserve"> </w:t>
      </w:r>
      <w:r w:rsidRPr="00D749D5">
        <w:rPr>
          <w:rFonts w:asciiTheme="majorHAnsi" w:hAnsiTheme="majorHAnsi" w:cs="Arial"/>
          <w:sz w:val="20"/>
          <w:szCs w:val="20"/>
          <w:lang w:val="es-ES"/>
        </w:rPr>
        <w:t>al Consejo Superior de la Judicatura para que conociera sobre la contienda de competencia.</w:t>
      </w:r>
    </w:p>
    <w:p w14:paraId="0A15FBE0" w14:textId="543CFE3C" w:rsidR="000A20C5" w:rsidRPr="00D749D5" w:rsidRDefault="00C565D8" w:rsidP="000A20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 xml:space="preserve">Refieren que </w:t>
      </w:r>
      <w:r w:rsidR="00807F16" w:rsidRPr="00D749D5">
        <w:rPr>
          <w:rFonts w:asciiTheme="majorHAnsi" w:hAnsiTheme="majorHAnsi" w:cs="Arial"/>
          <w:sz w:val="20"/>
          <w:szCs w:val="20"/>
          <w:lang w:val="es-ES"/>
        </w:rPr>
        <w:t>e</w:t>
      </w:r>
      <w:r w:rsidR="00F73570" w:rsidRPr="00D749D5">
        <w:rPr>
          <w:rFonts w:asciiTheme="majorHAnsi" w:hAnsiTheme="majorHAnsi" w:cs="Arial"/>
          <w:sz w:val="20"/>
          <w:szCs w:val="20"/>
          <w:lang w:val="es-ES"/>
        </w:rPr>
        <w:t xml:space="preserve">l 25 de abril de 1994, el Ministerio Público presentó un recurso de reposición </w:t>
      </w:r>
      <w:r w:rsidRPr="00D749D5">
        <w:rPr>
          <w:rFonts w:asciiTheme="majorHAnsi" w:hAnsiTheme="majorHAnsi" w:cs="Arial"/>
          <w:sz w:val="20"/>
          <w:szCs w:val="20"/>
          <w:lang w:val="es-ES"/>
        </w:rPr>
        <w:t xml:space="preserve">con apelación en subsidio </w:t>
      </w:r>
      <w:r w:rsidR="00F73570" w:rsidRPr="00D749D5">
        <w:rPr>
          <w:rFonts w:asciiTheme="majorHAnsi" w:hAnsiTheme="majorHAnsi" w:cs="Arial"/>
          <w:sz w:val="20"/>
          <w:szCs w:val="20"/>
          <w:lang w:val="es-ES"/>
        </w:rPr>
        <w:t>contra el auto de 25 de marzo de 1994</w:t>
      </w:r>
      <w:r w:rsidRPr="00D749D5">
        <w:rPr>
          <w:rFonts w:asciiTheme="majorHAnsi" w:hAnsiTheme="majorHAnsi" w:cs="Arial"/>
          <w:sz w:val="20"/>
          <w:szCs w:val="20"/>
          <w:lang w:val="es-ES"/>
        </w:rPr>
        <w:t xml:space="preserve">, por considerar que en </w:t>
      </w:r>
      <w:r w:rsidR="00F73570" w:rsidRPr="00D749D5">
        <w:rPr>
          <w:rFonts w:asciiTheme="majorHAnsi" w:hAnsiTheme="majorHAnsi" w:cs="Arial"/>
          <w:sz w:val="20"/>
          <w:szCs w:val="20"/>
          <w:lang w:val="es-ES"/>
        </w:rPr>
        <w:t>el proceso disciplinario estaba debidamente probada la existencia de una estructura dedicada a la comisión de delitos y cuyo centro estaba en la Red de Inteligencia de la Armada Nacional</w:t>
      </w:r>
      <w:r w:rsidR="00807F16" w:rsidRPr="00D749D5">
        <w:rPr>
          <w:rFonts w:asciiTheme="majorHAnsi" w:hAnsiTheme="majorHAnsi" w:cs="Arial"/>
          <w:sz w:val="20"/>
          <w:szCs w:val="20"/>
          <w:lang w:val="es-ES"/>
        </w:rPr>
        <w:t xml:space="preserve">, recurso que </w:t>
      </w:r>
      <w:r w:rsidR="00EC0859" w:rsidRPr="00D749D5">
        <w:rPr>
          <w:rFonts w:asciiTheme="majorHAnsi" w:hAnsiTheme="majorHAnsi" w:cs="Arial"/>
          <w:sz w:val="20"/>
          <w:szCs w:val="20"/>
          <w:lang w:val="es-ES"/>
        </w:rPr>
        <w:t xml:space="preserve">fue denegado </w:t>
      </w:r>
      <w:r w:rsidR="00807F16" w:rsidRPr="00D749D5">
        <w:rPr>
          <w:rFonts w:asciiTheme="majorHAnsi" w:hAnsiTheme="majorHAnsi" w:cs="Arial"/>
          <w:sz w:val="20"/>
          <w:szCs w:val="20"/>
          <w:lang w:val="es-ES"/>
        </w:rPr>
        <w:t xml:space="preserve">el </w:t>
      </w:r>
      <w:r w:rsidR="00F73570" w:rsidRPr="00D749D5">
        <w:rPr>
          <w:rFonts w:asciiTheme="majorHAnsi" w:hAnsiTheme="majorHAnsi" w:cs="Arial"/>
          <w:sz w:val="20"/>
          <w:szCs w:val="20"/>
          <w:lang w:val="es-ES"/>
        </w:rPr>
        <w:t xml:space="preserve">2 de mayo de 1994, </w:t>
      </w:r>
      <w:r w:rsidR="00807F16" w:rsidRPr="00D749D5">
        <w:rPr>
          <w:rFonts w:asciiTheme="majorHAnsi" w:hAnsiTheme="majorHAnsi" w:cs="Arial"/>
          <w:sz w:val="20"/>
          <w:szCs w:val="20"/>
          <w:lang w:val="es-ES"/>
        </w:rPr>
        <w:t>concediéndose</w:t>
      </w:r>
      <w:r w:rsidR="00122E48" w:rsidRPr="00D749D5">
        <w:rPr>
          <w:rFonts w:asciiTheme="majorHAnsi" w:hAnsiTheme="majorHAnsi" w:cs="Arial"/>
          <w:sz w:val="20"/>
          <w:szCs w:val="20"/>
          <w:lang w:val="es-ES"/>
        </w:rPr>
        <w:t xml:space="preserve"> </w:t>
      </w:r>
      <w:r w:rsidR="00807F16" w:rsidRPr="00D749D5">
        <w:rPr>
          <w:rFonts w:asciiTheme="majorHAnsi" w:hAnsiTheme="majorHAnsi" w:cs="Arial"/>
          <w:sz w:val="20"/>
          <w:szCs w:val="20"/>
          <w:lang w:val="es-ES"/>
        </w:rPr>
        <w:t>apelación</w:t>
      </w:r>
      <w:r w:rsidR="00F73570" w:rsidRPr="00D749D5">
        <w:rPr>
          <w:rFonts w:asciiTheme="majorHAnsi" w:hAnsiTheme="majorHAnsi" w:cs="Arial"/>
          <w:sz w:val="20"/>
          <w:szCs w:val="20"/>
          <w:lang w:val="es-ES"/>
        </w:rPr>
        <w:t xml:space="preserve">. </w:t>
      </w:r>
      <w:r w:rsidR="00807F16" w:rsidRPr="00D749D5">
        <w:rPr>
          <w:rFonts w:asciiTheme="majorHAnsi" w:hAnsiTheme="majorHAnsi" w:cs="Arial"/>
          <w:sz w:val="20"/>
          <w:szCs w:val="20"/>
          <w:lang w:val="es-ES"/>
        </w:rPr>
        <w:t>Indican que el 15 de diciembre de 1994, el Tribunal Superior Militar,</w:t>
      </w:r>
      <w:r w:rsidR="00122E48" w:rsidRPr="00D749D5">
        <w:rPr>
          <w:rFonts w:asciiTheme="majorHAnsi" w:hAnsiTheme="majorHAnsi" w:cs="Arial"/>
          <w:sz w:val="20"/>
          <w:szCs w:val="20"/>
          <w:lang w:val="es-ES"/>
        </w:rPr>
        <w:t xml:space="preserve"> </w:t>
      </w:r>
      <w:r w:rsidR="00807F16" w:rsidRPr="00D749D5">
        <w:rPr>
          <w:rFonts w:asciiTheme="majorHAnsi" w:hAnsiTheme="majorHAnsi" w:cs="Arial"/>
          <w:sz w:val="20"/>
          <w:szCs w:val="20"/>
          <w:lang w:val="es-ES"/>
        </w:rPr>
        <w:t>resolvió el r</w:t>
      </w:r>
      <w:r w:rsidR="00EC6AC3" w:rsidRPr="00D749D5">
        <w:rPr>
          <w:rFonts w:asciiTheme="majorHAnsi" w:hAnsiTheme="majorHAnsi" w:cs="Arial"/>
          <w:sz w:val="20"/>
          <w:szCs w:val="20"/>
          <w:lang w:val="es-ES"/>
        </w:rPr>
        <w:t xml:space="preserve">ecurso de apelación, negando la </w:t>
      </w:r>
      <w:r w:rsidR="00807F16" w:rsidRPr="00D749D5">
        <w:rPr>
          <w:rFonts w:asciiTheme="majorHAnsi" w:hAnsiTheme="majorHAnsi" w:cs="Arial"/>
          <w:sz w:val="20"/>
          <w:szCs w:val="20"/>
          <w:lang w:val="es-ES"/>
        </w:rPr>
        <w:t>mism</w:t>
      </w:r>
      <w:r w:rsidR="00EC6AC3" w:rsidRPr="00D749D5">
        <w:rPr>
          <w:rFonts w:asciiTheme="majorHAnsi" w:hAnsiTheme="majorHAnsi" w:cs="Arial"/>
          <w:sz w:val="20"/>
          <w:szCs w:val="20"/>
          <w:lang w:val="es-ES"/>
        </w:rPr>
        <w:t>a</w:t>
      </w:r>
      <w:r w:rsidR="00807F16" w:rsidRPr="00D749D5">
        <w:rPr>
          <w:rFonts w:asciiTheme="majorHAnsi" w:hAnsiTheme="majorHAnsi" w:cs="Arial"/>
          <w:sz w:val="20"/>
          <w:szCs w:val="20"/>
          <w:lang w:val="es-ES"/>
        </w:rPr>
        <w:t xml:space="preserve">. </w:t>
      </w:r>
    </w:p>
    <w:p w14:paraId="086C7188" w14:textId="2DC74407" w:rsidR="00807F16" w:rsidRPr="008E4FF2" w:rsidRDefault="00EA3D00" w:rsidP="00807F1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 xml:space="preserve">Señalan </w:t>
      </w:r>
      <w:r w:rsidRPr="008E4FF2">
        <w:rPr>
          <w:rFonts w:asciiTheme="majorHAnsi" w:hAnsiTheme="majorHAnsi" w:cs="Arial"/>
          <w:sz w:val="20"/>
          <w:szCs w:val="20"/>
          <w:lang w:val="es-ES"/>
        </w:rPr>
        <w:t>que e</w:t>
      </w:r>
      <w:r w:rsidR="00807F16" w:rsidRPr="008E4FF2">
        <w:rPr>
          <w:rFonts w:asciiTheme="majorHAnsi" w:hAnsiTheme="majorHAnsi" w:cs="Arial"/>
          <w:sz w:val="20"/>
          <w:szCs w:val="20"/>
          <w:lang w:val="es-ES"/>
        </w:rPr>
        <w:t>l 11 de agosto de 1994, el Consejo Superior de la Judicatura resolvió la colisión po</w:t>
      </w:r>
      <w:r w:rsidR="00224495" w:rsidRPr="008E4FF2">
        <w:rPr>
          <w:rFonts w:asciiTheme="majorHAnsi" w:hAnsiTheme="majorHAnsi" w:cs="Arial"/>
          <w:sz w:val="20"/>
          <w:szCs w:val="20"/>
          <w:lang w:val="es-ES"/>
        </w:rPr>
        <w:t>sitiva de competencia</w:t>
      </w:r>
      <w:r w:rsidR="00807F16" w:rsidRPr="008E4FF2">
        <w:rPr>
          <w:rFonts w:asciiTheme="majorHAnsi" w:hAnsiTheme="majorHAnsi" w:cs="Arial"/>
          <w:sz w:val="20"/>
          <w:szCs w:val="20"/>
          <w:lang w:val="es-ES"/>
        </w:rPr>
        <w:t xml:space="preserve"> a favor de</w:t>
      </w:r>
      <w:r w:rsidR="00976106" w:rsidRPr="008E4FF2">
        <w:rPr>
          <w:rFonts w:asciiTheme="majorHAnsi" w:hAnsiTheme="majorHAnsi" w:cs="Arial"/>
          <w:sz w:val="20"/>
          <w:szCs w:val="20"/>
          <w:lang w:val="es-ES"/>
        </w:rPr>
        <w:t xml:space="preserve"> la Jurisdicción Penal Militar.</w:t>
      </w:r>
    </w:p>
    <w:p w14:paraId="434C27E0" w14:textId="1A651A25" w:rsidR="00EA3D00" w:rsidRPr="008E4FF2" w:rsidRDefault="00EA3D00" w:rsidP="002671F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8E4FF2">
        <w:rPr>
          <w:rFonts w:asciiTheme="majorHAnsi" w:hAnsiTheme="majorHAnsi" w:cs="Arial"/>
          <w:sz w:val="20"/>
          <w:szCs w:val="20"/>
          <w:lang w:val="es-ES"/>
        </w:rPr>
        <w:t>Indican que tras la repatriación de Carlos David López</w:t>
      </w:r>
      <w:r w:rsidR="002671F7" w:rsidRPr="008E4FF2">
        <w:rPr>
          <w:rFonts w:asciiTheme="majorHAnsi" w:hAnsiTheme="majorHAnsi"/>
          <w:sz w:val="20"/>
          <w:szCs w:val="20"/>
          <w:lang w:val="es-ES"/>
        </w:rPr>
        <w:t xml:space="preserve"> </w:t>
      </w:r>
      <w:r w:rsidR="002671F7" w:rsidRPr="008E4FF2">
        <w:rPr>
          <w:rFonts w:asciiTheme="majorHAnsi" w:hAnsiTheme="majorHAnsi" w:cs="Arial"/>
          <w:sz w:val="20"/>
          <w:szCs w:val="20"/>
          <w:lang w:val="es-ES"/>
        </w:rPr>
        <w:t>Maquillón</w:t>
      </w:r>
      <w:r w:rsidRPr="008E4FF2">
        <w:rPr>
          <w:rFonts w:asciiTheme="majorHAnsi" w:hAnsiTheme="majorHAnsi" w:cs="Arial"/>
          <w:sz w:val="20"/>
          <w:szCs w:val="20"/>
          <w:lang w:val="es-ES"/>
        </w:rPr>
        <w:t>, este se retractó de las</w:t>
      </w:r>
      <w:r w:rsidR="00122E48" w:rsidRPr="008E4FF2">
        <w:rPr>
          <w:rFonts w:asciiTheme="majorHAnsi" w:hAnsiTheme="majorHAnsi" w:cs="Arial"/>
          <w:sz w:val="20"/>
          <w:szCs w:val="20"/>
          <w:lang w:val="es-ES"/>
        </w:rPr>
        <w:t xml:space="preserve"> </w:t>
      </w:r>
      <w:r w:rsidRPr="008E4FF2">
        <w:rPr>
          <w:rFonts w:asciiTheme="majorHAnsi" w:hAnsiTheme="majorHAnsi" w:cs="Arial"/>
          <w:sz w:val="20"/>
          <w:szCs w:val="20"/>
          <w:lang w:val="es-ES"/>
        </w:rPr>
        <w:t>acusaciones en contra de los miembros de la Red de Inteligencia de la Armada Nacional y el 16 de agosto de 1994, el Juzgado 41 de Instrucción Penal Militar resolvió</w:t>
      </w:r>
      <w:r w:rsidR="00122E48" w:rsidRPr="008E4FF2">
        <w:rPr>
          <w:rFonts w:asciiTheme="majorHAnsi" w:hAnsiTheme="majorHAnsi" w:cs="Arial"/>
          <w:sz w:val="20"/>
          <w:szCs w:val="20"/>
          <w:lang w:val="es-ES"/>
        </w:rPr>
        <w:t xml:space="preserve"> </w:t>
      </w:r>
      <w:r w:rsidRPr="008E4FF2">
        <w:rPr>
          <w:rFonts w:asciiTheme="majorHAnsi" w:hAnsiTheme="majorHAnsi" w:cs="Arial"/>
          <w:sz w:val="20"/>
          <w:szCs w:val="20"/>
          <w:lang w:val="es-ES"/>
        </w:rPr>
        <w:t xml:space="preserve">su situación jurídica, confirmando la medida de </w:t>
      </w:r>
      <w:r w:rsidR="00B5750A">
        <w:rPr>
          <w:rFonts w:asciiTheme="majorHAnsi" w:hAnsiTheme="majorHAnsi" w:cs="Arial"/>
          <w:sz w:val="20"/>
          <w:szCs w:val="20"/>
          <w:lang w:val="es-ES"/>
        </w:rPr>
        <w:t xml:space="preserve">prisión </w:t>
      </w:r>
      <w:r w:rsidRPr="008E4FF2">
        <w:rPr>
          <w:rFonts w:asciiTheme="majorHAnsi" w:hAnsiTheme="majorHAnsi" w:cs="Arial"/>
          <w:sz w:val="20"/>
          <w:szCs w:val="20"/>
          <w:lang w:val="es-ES"/>
        </w:rPr>
        <w:t>preventiva por los delitos de formación o ingreso de personas a grupos armados y por falsa denuncia en contra de persona determinada, y el 30 de marzo de 1995, el</w:t>
      </w:r>
      <w:r w:rsidR="00B64FAC">
        <w:rPr>
          <w:rFonts w:asciiTheme="majorHAnsi" w:hAnsiTheme="majorHAnsi" w:cs="Arial"/>
          <w:sz w:val="20"/>
          <w:szCs w:val="20"/>
          <w:lang w:val="es-ES"/>
        </w:rPr>
        <w:t xml:space="preserve"> Juzgado 41 de Instrucción Penal</w:t>
      </w:r>
      <w:r w:rsidRPr="008E4FF2">
        <w:rPr>
          <w:rFonts w:asciiTheme="majorHAnsi" w:hAnsiTheme="majorHAnsi" w:cs="Arial"/>
          <w:sz w:val="20"/>
          <w:szCs w:val="20"/>
          <w:lang w:val="es-ES"/>
        </w:rPr>
        <w:t xml:space="preserve"> Militar</w:t>
      </w:r>
      <w:r w:rsidR="009C15A0" w:rsidRPr="008E4FF2">
        <w:rPr>
          <w:rFonts w:asciiTheme="majorHAnsi" w:hAnsiTheme="majorHAnsi" w:cs="Arial"/>
          <w:sz w:val="20"/>
          <w:szCs w:val="20"/>
          <w:lang w:val="es-ES"/>
        </w:rPr>
        <w:t xml:space="preserve"> le</w:t>
      </w:r>
      <w:r w:rsidRPr="008E4FF2">
        <w:rPr>
          <w:rFonts w:asciiTheme="majorHAnsi" w:hAnsiTheme="majorHAnsi" w:cs="Arial"/>
          <w:sz w:val="20"/>
          <w:szCs w:val="20"/>
          <w:lang w:val="es-ES"/>
        </w:rPr>
        <w:t xml:space="preserve"> concedió el beneficio de libertad </w:t>
      </w:r>
      <w:r w:rsidR="009C15A0" w:rsidRPr="008E4FF2">
        <w:rPr>
          <w:rFonts w:asciiTheme="majorHAnsi" w:hAnsiTheme="majorHAnsi" w:cs="Arial"/>
          <w:sz w:val="20"/>
          <w:szCs w:val="20"/>
          <w:lang w:val="es-ES"/>
        </w:rPr>
        <w:t>provisional.</w:t>
      </w:r>
    </w:p>
    <w:p w14:paraId="04CA82FB" w14:textId="0F9258E4" w:rsidR="00B63769" w:rsidRPr="00D749D5" w:rsidRDefault="0094750E" w:rsidP="00B6376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8E4FF2">
        <w:rPr>
          <w:rFonts w:asciiTheme="majorHAnsi" w:hAnsiTheme="majorHAnsi" w:cs="Arial"/>
          <w:sz w:val="20"/>
          <w:szCs w:val="20"/>
          <w:lang w:val="es-ES"/>
        </w:rPr>
        <w:t>Alegan que e</w:t>
      </w:r>
      <w:r w:rsidR="00B41991" w:rsidRPr="008E4FF2">
        <w:rPr>
          <w:rFonts w:asciiTheme="majorHAnsi" w:hAnsiTheme="majorHAnsi" w:cs="Arial"/>
          <w:sz w:val="20"/>
          <w:szCs w:val="20"/>
          <w:lang w:val="es-ES"/>
        </w:rPr>
        <w:t>l 17 de julio de 1997, el Comando de la Armada Nacional, en calidad de juez de primera i</w:t>
      </w:r>
      <w:r w:rsidRPr="008E4FF2">
        <w:rPr>
          <w:rFonts w:asciiTheme="majorHAnsi" w:hAnsiTheme="majorHAnsi" w:cs="Arial"/>
          <w:sz w:val="20"/>
          <w:szCs w:val="20"/>
          <w:lang w:val="es-ES"/>
        </w:rPr>
        <w:t>nstancia de la Armada Nacional, consideró que</w:t>
      </w:r>
      <w:r w:rsidR="00B41991" w:rsidRPr="008E4FF2">
        <w:rPr>
          <w:rFonts w:asciiTheme="majorHAnsi" w:hAnsiTheme="majorHAnsi" w:cs="Arial"/>
          <w:sz w:val="20"/>
          <w:szCs w:val="20"/>
          <w:lang w:val="es-ES"/>
        </w:rPr>
        <w:t xml:space="preserve"> no existía mérito para dictar resolución de convocatoria a Consejo de Guerra y ordenó la cesación</w:t>
      </w:r>
      <w:r w:rsidR="00B41991" w:rsidRPr="00D749D5">
        <w:rPr>
          <w:rFonts w:asciiTheme="majorHAnsi" w:hAnsiTheme="majorHAnsi" w:cs="Arial"/>
          <w:sz w:val="20"/>
          <w:szCs w:val="20"/>
          <w:lang w:val="es-ES"/>
        </w:rPr>
        <w:t xml:space="preserve"> del procedimiento en contra de Rodrigo Quiñónez Cárdenas, Rafael Alfredo Colón Torres, Jairo Enrique Osorio Morales, Jorge Rojas Vargas, Mauricio Fabián Fernando Varón Daza, Harry Rodolfo Ávila Pinilla, Juan Carlos Donado Caamaño, </w:t>
      </w:r>
      <w:r w:rsidR="00993318" w:rsidRPr="00D749D5">
        <w:rPr>
          <w:rFonts w:asciiTheme="majorHAnsi" w:hAnsiTheme="majorHAnsi" w:cs="Arial"/>
          <w:sz w:val="20"/>
          <w:szCs w:val="20"/>
          <w:lang w:val="es-ES"/>
        </w:rPr>
        <w:t xml:space="preserve">Jorge Enrique Uribe Cañaveral, </w:t>
      </w:r>
      <w:r w:rsidR="00B41991" w:rsidRPr="008E4FF2">
        <w:rPr>
          <w:rFonts w:asciiTheme="majorHAnsi" w:hAnsiTheme="majorHAnsi" w:cs="Arial"/>
          <w:sz w:val="20"/>
          <w:szCs w:val="20"/>
          <w:lang w:val="es-ES"/>
        </w:rPr>
        <w:t>Carlos David López Maquillón</w:t>
      </w:r>
      <w:r w:rsidRPr="008E4FF2">
        <w:rPr>
          <w:rFonts w:asciiTheme="majorHAnsi" w:hAnsiTheme="majorHAnsi" w:cs="Arial"/>
          <w:sz w:val="20"/>
          <w:szCs w:val="20"/>
          <w:lang w:val="es-ES"/>
        </w:rPr>
        <w:t>,</w:t>
      </w:r>
      <w:r w:rsidR="00B41991" w:rsidRPr="008E4FF2">
        <w:rPr>
          <w:rFonts w:asciiTheme="majorHAnsi" w:hAnsiTheme="majorHAnsi" w:cs="Arial"/>
          <w:sz w:val="20"/>
          <w:szCs w:val="20"/>
          <w:lang w:val="es-ES"/>
        </w:rPr>
        <w:t xml:space="preserve"> decisión que fue</w:t>
      </w:r>
      <w:r w:rsidRPr="008E4FF2">
        <w:rPr>
          <w:rFonts w:asciiTheme="majorHAnsi" w:hAnsiTheme="majorHAnsi" w:cs="Arial"/>
          <w:sz w:val="20"/>
          <w:szCs w:val="20"/>
          <w:lang w:val="es-ES"/>
        </w:rPr>
        <w:t xml:space="preserve"> apela</w:t>
      </w:r>
      <w:r w:rsidR="00224495" w:rsidRPr="008E4FF2">
        <w:rPr>
          <w:rFonts w:asciiTheme="majorHAnsi" w:hAnsiTheme="majorHAnsi" w:cs="Arial"/>
          <w:sz w:val="20"/>
          <w:szCs w:val="20"/>
          <w:lang w:val="es-ES"/>
        </w:rPr>
        <w:t>da por el procurador judicial</w:t>
      </w:r>
      <w:r w:rsidR="00B63769" w:rsidRPr="008E4FF2">
        <w:rPr>
          <w:rFonts w:asciiTheme="majorHAnsi" w:hAnsiTheme="majorHAnsi" w:cs="Arial"/>
          <w:sz w:val="20"/>
          <w:szCs w:val="20"/>
          <w:lang w:val="es-ES"/>
        </w:rPr>
        <w:t>. El 30 de septiembre de 1998</w:t>
      </w:r>
      <w:r w:rsidR="00224495" w:rsidRPr="008E4FF2">
        <w:rPr>
          <w:rFonts w:asciiTheme="majorHAnsi" w:hAnsiTheme="majorHAnsi" w:cs="Arial"/>
          <w:sz w:val="20"/>
          <w:szCs w:val="20"/>
          <w:lang w:val="es-ES"/>
        </w:rPr>
        <w:t xml:space="preserve">, </w:t>
      </w:r>
      <w:r w:rsidR="00B63769" w:rsidRPr="008E4FF2">
        <w:rPr>
          <w:rFonts w:asciiTheme="majorHAnsi" w:hAnsiTheme="majorHAnsi" w:cs="Arial"/>
          <w:sz w:val="20"/>
          <w:szCs w:val="20"/>
          <w:lang w:val="es-ES"/>
        </w:rPr>
        <w:t>el</w:t>
      </w:r>
      <w:r w:rsidRPr="008E4FF2">
        <w:rPr>
          <w:rFonts w:asciiTheme="majorHAnsi" w:hAnsiTheme="majorHAnsi" w:cs="Arial"/>
          <w:sz w:val="20"/>
          <w:szCs w:val="20"/>
          <w:lang w:val="es-ES"/>
        </w:rPr>
        <w:t xml:space="preserve"> Tribunal Superior Militar</w:t>
      </w:r>
      <w:r w:rsidR="00B63769" w:rsidRPr="008E4FF2">
        <w:rPr>
          <w:rFonts w:asciiTheme="majorHAnsi" w:hAnsiTheme="majorHAnsi" w:cs="Arial"/>
          <w:sz w:val="20"/>
          <w:szCs w:val="20"/>
          <w:lang w:val="es-ES"/>
        </w:rPr>
        <w:t xml:space="preserve"> confirmó la decisión del Comando de la Armada Nacional</w:t>
      </w:r>
      <w:r w:rsidR="00DD44C5" w:rsidRPr="008E4FF2">
        <w:rPr>
          <w:rFonts w:asciiTheme="majorHAnsi" w:hAnsiTheme="majorHAnsi" w:cs="Arial"/>
          <w:sz w:val="20"/>
          <w:szCs w:val="20"/>
          <w:lang w:val="es-ES"/>
        </w:rPr>
        <w:t xml:space="preserve"> de 17 de julio de 1997.</w:t>
      </w:r>
    </w:p>
    <w:p w14:paraId="093E1893" w14:textId="77777777" w:rsidR="0094750E" w:rsidRPr="00D749D5" w:rsidRDefault="0094750E" w:rsidP="00251D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s="Arial"/>
          <w:b/>
          <w:sz w:val="20"/>
          <w:szCs w:val="20"/>
          <w:lang w:val="es-ES"/>
        </w:rPr>
      </w:pPr>
      <w:r w:rsidRPr="00D749D5">
        <w:rPr>
          <w:rFonts w:asciiTheme="majorHAnsi" w:hAnsiTheme="majorHAnsi" w:cs="Arial"/>
          <w:b/>
          <w:sz w:val="20"/>
          <w:szCs w:val="20"/>
          <w:lang w:val="es-ES"/>
        </w:rPr>
        <w:t xml:space="preserve">Jurisdicción ordinaria </w:t>
      </w:r>
    </w:p>
    <w:p w14:paraId="2E41853D" w14:textId="6DEC977C" w:rsidR="00E35C46" w:rsidRPr="00D749D5" w:rsidRDefault="00793E52" w:rsidP="00E35C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 xml:space="preserve">Los peticionarios refieren que los delitos cometidos por la Red No. 7 entre 1992 y 1993 fueron objeto de varias investigaciones judiciales, </w:t>
      </w:r>
      <w:r w:rsidR="00E35C46" w:rsidRPr="00D749D5">
        <w:rPr>
          <w:rFonts w:asciiTheme="majorHAnsi" w:hAnsiTheme="majorHAnsi" w:cs="Arial"/>
          <w:sz w:val="20"/>
          <w:szCs w:val="20"/>
          <w:lang w:val="es-ES"/>
        </w:rPr>
        <w:t xml:space="preserve">que se acumularon en una sola, </w:t>
      </w:r>
      <w:r w:rsidR="00360BD5" w:rsidRPr="00D749D5">
        <w:rPr>
          <w:rFonts w:asciiTheme="majorHAnsi" w:hAnsiTheme="majorHAnsi" w:cs="Arial"/>
          <w:sz w:val="20"/>
          <w:szCs w:val="20"/>
          <w:lang w:val="es-ES"/>
        </w:rPr>
        <w:t xml:space="preserve">la </w:t>
      </w:r>
      <w:r w:rsidR="00E35C46" w:rsidRPr="00D749D5">
        <w:rPr>
          <w:rFonts w:asciiTheme="majorHAnsi" w:hAnsiTheme="majorHAnsi" w:cs="Arial"/>
          <w:sz w:val="20"/>
          <w:szCs w:val="20"/>
          <w:lang w:val="es-ES"/>
        </w:rPr>
        <w:t>que inicialmente fue adelantada por la Fiscalía Tercera Especializada de la Fiscalía General de la Nación, bajo el radicado No. 19.673. Indican que dicha investigación se adelantó</w:t>
      </w:r>
      <w:r w:rsidR="00122E48" w:rsidRPr="00D749D5">
        <w:rPr>
          <w:rFonts w:asciiTheme="majorHAnsi" w:hAnsiTheme="majorHAnsi" w:cs="Arial"/>
          <w:sz w:val="20"/>
          <w:szCs w:val="20"/>
          <w:lang w:val="es-ES"/>
        </w:rPr>
        <w:t xml:space="preserve"> </w:t>
      </w:r>
      <w:r w:rsidR="00E35C46" w:rsidRPr="00D749D5">
        <w:rPr>
          <w:rFonts w:asciiTheme="majorHAnsi" w:hAnsiTheme="majorHAnsi" w:cs="Arial"/>
          <w:sz w:val="20"/>
          <w:szCs w:val="20"/>
          <w:lang w:val="es-ES"/>
        </w:rPr>
        <w:t>tanto contra los civiles como los militares, sin embargo, la jurisdicción ordinaria se vio</w:t>
      </w:r>
      <w:r w:rsidR="00122E48" w:rsidRPr="00D749D5">
        <w:rPr>
          <w:rFonts w:asciiTheme="majorHAnsi" w:hAnsiTheme="majorHAnsi" w:cs="Arial"/>
          <w:sz w:val="20"/>
          <w:szCs w:val="20"/>
          <w:lang w:val="es-ES"/>
        </w:rPr>
        <w:t xml:space="preserve"> </w:t>
      </w:r>
      <w:r w:rsidR="00E35C46" w:rsidRPr="00D749D5">
        <w:rPr>
          <w:rFonts w:asciiTheme="majorHAnsi" w:hAnsiTheme="majorHAnsi" w:cs="Arial"/>
          <w:sz w:val="20"/>
          <w:szCs w:val="20"/>
          <w:lang w:val="es-ES"/>
        </w:rPr>
        <w:t xml:space="preserve">frustrada respecto de los militares, </w:t>
      </w:r>
      <w:r w:rsidR="00E35C46" w:rsidRPr="008E4FF2">
        <w:rPr>
          <w:rFonts w:asciiTheme="majorHAnsi" w:hAnsiTheme="majorHAnsi" w:cs="Arial"/>
          <w:sz w:val="20"/>
          <w:szCs w:val="20"/>
          <w:lang w:val="es-ES"/>
        </w:rPr>
        <w:t>atendido el conflicto de competencias resuelto por el Consejo Superior de la Judicatura a favor de la jurisdicción penal militar</w:t>
      </w:r>
      <w:r w:rsidR="009B1B17" w:rsidRPr="008E4FF2">
        <w:rPr>
          <w:rFonts w:asciiTheme="majorHAnsi" w:hAnsiTheme="majorHAnsi" w:cs="Arial"/>
          <w:sz w:val="20"/>
          <w:szCs w:val="20"/>
          <w:lang w:val="es-ES"/>
        </w:rPr>
        <w:t xml:space="preserve"> el 11 de agosto de 1994.</w:t>
      </w:r>
    </w:p>
    <w:p w14:paraId="283BAF30" w14:textId="0C411A26" w:rsidR="00A16DF4" w:rsidRPr="008E4FF2" w:rsidRDefault="00213FD0" w:rsidP="002037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8E4FF2">
        <w:rPr>
          <w:rFonts w:asciiTheme="majorHAnsi" w:hAnsiTheme="majorHAnsi" w:cs="Arial"/>
          <w:sz w:val="20"/>
          <w:szCs w:val="20"/>
          <w:lang w:val="es-ES"/>
        </w:rPr>
        <w:lastRenderedPageBreak/>
        <w:t>En cuanto al proceso penal N</w:t>
      </w:r>
      <w:r w:rsidR="00BF0574" w:rsidRPr="008E4FF2">
        <w:rPr>
          <w:rFonts w:asciiTheme="majorHAnsi" w:hAnsiTheme="majorHAnsi" w:cs="Arial"/>
          <w:sz w:val="20"/>
          <w:szCs w:val="20"/>
          <w:lang w:val="es-ES"/>
        </w:rPr>
        <w:t>o. 19.673 de la Fiscalía T</w:t>
      </w:r>
      <w:r w:rsidRPr="008E4FF2">
        <w:rPr>
          <w:rFonts w:asciiTheme="majorHAnsi" w:hAnsiTheme="majorHAnsi" w:cs="Arial"/>
          <w:sz w:val="20"/>
          <w:szCs w:val="20"/>
          <w:lang w:val="es-ES"/>
        </w:rPr>
        <w:t>ercera especializada, sostienen que el 8 de febrero de 1994, la Fiscalía profirió</w:t>
      </w:r>
      <w:r w:rsidR="00122E48" w:rsidRPr="008E4FF2">
        <w:rPr>
          <w:rFonts w:asciiTheme="majorHAnsi" w:hAnsiTheme="majorHAnsi" w:cs="Arial"/>
          <w:sz w:val="20"/>
          <w:szCs w:val="20"/>
          <w:lang w:val="es-ES"/>
        </w:rPr>
        <w:t xml:space="preserve"> </w:t>
      </w:r>
      <w:r w:rsidRPr="008E4FF2">
        <w:rPr>
          <w:rFonts w:asciiTheme="majorHAnsi" w:hAnsiTheme="majorHAnsi" w:cs="Arial"/>
          <w:sz w:val="20"/>
          <w:szCs w:val="20"/>
          <w:lang w:val="es-ES"/>
        </w:rPr>
        <w:t>resolución de apertura de investigación y vinculó a</w:t>
      </w:r>
      <w:r w:rsidR="00BF0574" w:rsidRPr="008E4FF2">
        <w:rPr>
          <w:rFonts w:asciiTheme="majorHAnsi" w:hAnsiTheme="majorHAnsi" w:cs="Arial"/>
          <w:sz w:val="20"/>
          <w:szCs w:val="20"/>
          <w:lang w:val="es-ES"/>
        </w:rPr>
        <w:t xml:space="preserve"> cinco personas</w:t>
      </w:r>
      <w:r w:rsidRPr="008E4FF2">
        <w:rPr>
          <w:rFonts w:asciiTheme="majorHAnsi" w:hAnsiTheme="majorHAnsi" w:cs="Arial"/>
          <w:sz w:val="20"/>
          <w:szCs w:val="20"/>
          <w:lang w:val="es-ES"/>
        </w:rPr>
        <w:t>. Además, indican que el 25 de febrero de 1994, la Fiscalía resolvió la situación jurídica de Carlos Alberto Vergara Ama</w:t>
      </w:r>
      <w:r w:rsidR="009F08CE" w:rsidRPr="008E4FF2">
        <w:rPr>
          <w:rFonts w:asciiTheme="majorHAnsi" w:hAnsiTheme="majorHAnsi" w:cs="Arial"/>
          <w:sz w:val="20"/>
          <w:szCs w:val="20"/>
          <w:lang w:val="es-ES"/>
        </w:rPr>
        <w:t>ya y Ancízar Castaño Buitrago,</w:t>
      </w:r>
      <w:r w:rsidRPr="008E4FF2">
        <w:rPr>
          <w:rFonts w:asciiTheme="majorHAnsi" w:hAnsiTheme="majorHAnsi" w:cs="Arial"/>
          <w:sz w:val="20"/>
          <w:szCs w:val="20"/>
          <w:lang w:val="es-ES"/>
        </w:rPr>
        <w:t xml:space="preserve"> decretando la detención preventiva de los sindicados. Ese mismo día, la Fiscalía</w:t>
      </w:r>
      <w:r w:rsidR="00122E48" w:rsidRPr="008E4FF2">
        <w:rPr>
          <w:rFonts w:asciiTheme="majorHAnsi" w:hAnsiTheme="majorHAnsi" w:cs="Arial"/>
          <w:sz w:val="20"/>
          <w:szCs w:val="20"/>
          <w:lang w:val="es-ES"/>
        </w:rPr>
        <w:t xml:space="preserve"> </w:t>
      </w:r>
      <w:r w:rsidR="00B5769C" w:rsidRPr="008E4FF2">
        <w:rPr>
          <w:rFonts w:asciiTheme="majorHAnsi" w:hAnsiTheme="majorHAnsi" w:cs="Arial"/>
          <w:sz w:val="20"/>
          <w:szCs w:val="20"/>
          <w:lang w:val="es-ES"/>
        </w:rPr>
        <w:t>orden</w:t>
      </w:r>
      <w:r w:rsidRPr="008E4FF2">
        <w:rPr>
          <w:rFonts w:asciiTheme="majorHAnsi" w:hAnsiTheme="majorHAnsi" w:cs="Arial"/>
          <w:sz w:val="20"/>
          <w:szCs w:val="20"/>
          <w:lang w:val="es-ES"/>
        </w:rPr>
        <w:t>ó varias pruebas y vincul</w:t>
      </w:r>
      <w:r w:rsidR="00B5769C" w:rsidRPr="008E4FF2">
        <w:rPr>
          <w:rFonts w:asciiTheme="majorHAnsi" w:hAnsiTheme="majorHAnsi" w:cs="Arial"/>
          <w:sz w:val="20"/>
          <w:szCs w:val="20"/>
          <w:lang w:val="es-ES"/>
        </w:rPr>
        <w:t>ó</w:t>
      </w:r>
      <w:r w:rsidRPr="008E4FF2">
        <w:rPr>
          <w:rFonts w:asciiTheme="majorHAnsi" w:hAnsiTheme="majorHAnsi" w:cs="Arial"/>
          <w:sz w:val="20"/>
          <w:szCs w:val="20"/>
          <w:lang w:val="es-ES"/>
        </w:rPr>
        <w:t xml:space="preserve"> al proceso a </w:t>
      </w:r>
      <w:r w:rsidR="00A16DF4" w:rsidRPr="008E4FF2">
        <w:rPr>
          <w:rFonts w:asciiTheme="majorHAnsi" w:hAnsiTheme="majorHAnsi" w:cs="Arial"/>
          <w:sz w:val="20"/>
          <w:szCs w:val="20"/>
          <w:lang w:val="es-ES"/>
        </w:rPr>
        <w:t>dos</w:t>
      </w:r>
      <w:r w:rsidR="00BF0574" w:rsidRPr="008E4FF2">
        <w:rPr>
          <w:rFonts w:asciiTheme="majorHAnsi" w:hAnsiTheme="majorHAnsi" w:cs="Arial"/>
          <w:sz w:val="20"/>
          <w:szCs w:val="20"/>
          <w:lang w:val="es-ES"/>
        </w:rPr>
        <w:t xml:space="preserve"> personas m</w:t>
      </w:r>
      <w:r w:rsidR="00BF0574" w:rsidRPr="008E4FF2">
        <w:rPr>
          <w:rFonts w:asciiTheme="majorHAnsi" w:hAnsiTheme="majorHAnsi"/>
          <w:sz w:val="20"/>
          <w:szCs w:val="20"/>
          <w:lang w:val="es-ES" w:eastAsia="ko-KR"/>
        </w:rPr>
        <w:t>ás</w:t>
      </w:r>
      <w:r w:rsidRPr="008E4FF2">
        <w:rPr>
          <w:rFonts w:asciiTheme="majorHAnsi" w:hAnsiTheme="majorHAnsi" w:cs="Arial"/>
          <w:sz w:val="20"/>
          <w:szCs w:val="20"/>
          <w:lang w:val="es-ES"/>
        </w:rPr>
        <w:t xml:space="preserve">. </w:t>
      </w:r>
      <w:r w:rsidR="00FA6C6F" w:rsidRPr="008E4FF2">
        <w:rPr>
          <w:rFonts w:asciiTheme="majorHAnsi" w:hAnsiTheme="majorHAnsi" w:cs="Arial"/>
          <w:sz w:val="20"/>
          <w:szCs w:val="20"/>
          <w:lang w:val="es-ES"/>
        </w:rPr>
        <w:t>Además, r</w:t>
      </w:r>
      <w:r w:rsidR="007D6698" w:rsidRPr="008E4FF2">
        <w:rPr>
          <w:rFonts w:asciiTheme="majorHAnsi" w:hAnsiTheme="majorHAnsi" w:cs="Arial"/>
          <w:sz w:val="20"/>
          <w:szCs w:val="20"/>
          <w:lang w:val="es-ES"/>
        </w:rPr>
        <w:t>efieren que e</w:t>
      </w:r>
      <w:r w:rsidR="00203723" w:rsidRPr="008E4FF2">
        <w:rPr>
          <w:rFonts w:asciiTheme="majorHAnsi" w:hAnsiTheme="majorHAnsi" w:cs="Arial"/>
          <w:sz w:val="20"/>
          <w:szCs w:val="20"/>
          <w:lang w:val="es-ES"/>
        </w:rPr>
        <w:t>l 20 de ju</w:t>
      </w:r>
      <w:r w:rsidR="007D6698" w:rsidRPr="008E4FF2">
        <w:rPr>
          <w:rFonts w:asciiTheme="majorHAnsi" w:hAnsiTheme="majorHAnsi" w:cs="Arial"/>
          <w:sz w:val="20"/>
          <w:szCs w:val="20"/>
          <w:lang w:val="es-ES"/>
        </w:rPr>
        <w:t>nio de 1994, la Fiscalía ordenó</w:t>
      </w:r>
      <w:r w:rsidR="00203723" w:rsidRPr="008E4FF2">
        <w:rPr>
          <w:rFonts w:asciiTheme="majorHAnsi" w:hAnsiTheme="majorHAnsi" w:cs="Arial"/>
          <w:sz w:val="20"/>
          <w:szCs w:val="20"/>
          <w:lang w:val="es-ES"/>
        </w:rPr>
        <w:t xml:space="preserve"> la vinculación de </w:t>
      </w:r>
      <w:r w:rsidR="00A16DF4" w:rsidRPr="008E4FF2">
        <w:rPr>
          <w:rFonts w:asciiTheme="majorHAnsi" w:hAnsiTheme="majorHAnsi" w:cs="Arial"/>
          <w:sz w:val="20"/>
          <w:szCs w:val="20"/>
          <w:lang w:val="es-ES"/>
        </w:rPr>
        <w:t>dos personas</w:t>
      </w:r>
      <w:r w:rsidR="007D6698" w:rsidRPr="008E4FF2">
        <w:rPr>
          <w:rFonts w:asciiTheme="majorHAnsi" w:hAnsiTheme="majorHAnsi" w:cs="Arial"/>
          <w:sz w:val="20"/>
          <w:szCs w:val="20"/>
          <w:lang w:val="es-ES"/>
        </w:rPr>
        <w:t xml:space="preserve">. </w:t>
      </w:r>
    </w:p>
    <w:p w14:paraId="1D4A33C0" w14:textId="57A76CFB" w:rsidR="00203723" w:rsidRPr="008E4FF2" w:rsidRDefault="00FA6C6F" w:rsidP="002037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8E4FF2">
        <w:rPr>
          <w:rFonts w:asciiTheme="majorHAnsi" w:hAnsiTheme="majorHAnsi" w:cs="Arial"/>
          <w:sz w:val="20"/>
          <w:szCs w:val="20"/>
          <w:lang w:val="es-ES"/>
        </w:rPr>
        <w:t>Señalan que e</w:t>
      </w:r>
      <w:r w:rsidR="007D6698" w:rsidRPr="008E4FF2">
        <w:rPr>
          <w:rFonts w:asciiTheme="majorHAnsi" w:hAnsiTheme="majorHAnsi" w:cs="Arial"/>
          <w:sz w:val="20"/>
          <w:szCs w:val="20"/>
          <w:lang w:val="es-ES"/>
        </w:rPr>
        <w:t xml:space="preserve">n julio de 1994, </w:t>
      </w:r>
      <w:r w:rsidR="00203723" w:rsidRPr="008E4FF2">
        <w:rPr>
          <w:rFonts w:asciiTheme="majorHAnsi" w:hAnsiTheme="majorHAnsi" w:cs="Arial"/>
          <w:sz w:val="20"/>
          <w:szCs w:val="20"/>
          <w:lang w:val="es-ES"/>
        </w:rPr>
        <w:t xml:space="preserve">las distintas investigaciones </w:t>
      </w:r>
      <w:r w:rsidRPr="008E4FF2">
        <w:rPr>
          <w:rFonts w:asciiTheme="majorHAnsi" w:hAnsiTheme="majorHAnsi" w:cs="Arial"/>
          <w:sz w:val="20"/>
          <w:szCs w:val="20"/>
          <w:lang w:val="es-ES"/>
        </w:rPr>
        <w:t xml:space="preserve">conocidas </w:t>
      </w:r>
      <w:r w:rsidR="00203723" w:rsidRPr="008E4FF2">
        <w:rPr>
          <w:rFonts w:asciiTheme="majorHAnsi" w:hAnsiTheme="majorHAnsi" w:cs="Arial"/>
          <w:sz w:val="20"/>
          <w:szCs w:val="20"/>
          <w:lang w:val="es-ES"/>
        </w:rPr>
        <w:t xml:space="preserve">por la Unidad Previa y Permanente de Vida de la Fiscalía en Barrancabermeja tramitadas por varios de los crímenes cometidos por la Red No. 7 fueron remitidas a la Fiscalía Regional, con sede en Santafé de Bogotá. </w:t>
      </w:r>
      <w:r w:rsidR="004B69ED" w:rsidRPr="008E4FF2">
        <w:rPr>
          <w:rFonts w:asciiTheme="majorHAnsi" w:hAnsiTheme="majorHAnsi" w:cs="Arial"/>
          <w:sz w:val="20"/>
          <w:szCs w:val="20"/>
          <w:lang w:val="es-ES"/>
        </w:rPr>
        <w:t>Indican que e</w:t>
      </w:r>
      <w:r w:rsidR="00203723" w:rsidRPr="008E4FF2">
        <w:rPr>
          <w:rFonts w:asciiTheme="majorHAnsi" w:hAnsiTheme="majorHAnsi" w:cs="Arial"/>
          <w:sz w:val="20"/>
          <w:szCs w:val="20"/>
          <w:lang w:val="es-ES"/>
        </w:rPr>
        <w:t xml:space="preserve">l 22 </w:t>
      </w:r>
      <w:r w:rsidR="0081348A" w:rsidRPr="008E4FF2">
        <w:rPr>
          <w:rFonts w:asciiTheme="majorHAnsi" w:hAnsiTheme="majorHAnsi" w:cs="Arial"/>
          <w:sz w:val="20"/>
          <w:szCs w:val="20"/>
          <w:lang w:val="es-ES"/>
        </w:rPr>
        <w:t xml:space="preserve">de julio de 1994, </w:t>
      </w:r>
      <w:r w:rsidR="00AB552E" w:rsidRPr="008E4FF2">
        <w:rPr>
          <w:rFonts w:asciiTheme="majorHAnsi" w:hAnsiTheme="majorHAnsi" w:cs="Arial"/>
          <w:sz w:val="20"/>
          <w:szCs w:val="20"/>
          <w:lang w:val="es-ES"/>
        </w:rPr>
        <w:t>la Fiscalía</w:t>
      </w:r>
      <w:r w:rsidR="004B69ED" w:rsidRPr="008E4FF2">
        <w:rPr>
          <w:rFonts w:asciiTheme="majorHAnsi" w:hAnsiTheme="majorHAnsi" w:cs="Arial"/>
          <w:sz w:val="20"/>
          <w:szCs w:val="20"/>
          <w:lang w:val="es-ES"/>
        </w:rPr>
        <w:t>, al resolver su situación jurídica</w:t>
      </w:r>
      <w:r w:rsidR="00AB552E" w:rsidRPr="008E4FF2">
        <w:rPr>
          <w:rFonts w:asciiTheme="majorHAnsi" w:hAnsiTheme="majorHAnsi" w:cs="Arial"/>
          <w:sz w:val="20"/>
          <w:szCs w:val="20"/>
          <w:lang w:val="es-ES"/>
        </w:rPr>
        <w:t xml:space="preserve"> decretó</w:t>
      </w:r>
      <w:r w:rsidR="00203723" w:rsidRPr="008E4FF2">
        <w:rPr>
          <w:rFonts w:asciiTheme="majorHAnsi" w:hAnsiTheme="majorHAnsi" w:cs="Arial"/>
          <w:sz w:val="20"/>
          <w:szCs w:val="20"/>
          <w:lang w:val="es-ES"/>
        </w:rPr>
        <w:t xml:space="preserve"> la detención preventiva de Carlos David López Maquillón y de Saulo Segura Palacios</w:t>
      </w:r>
      <w:r w:rsidR="007D6698" w:rsidRPr="008E4FF2">
        <w:rPr>
          <w:rFonts w:asciiTheme="majorHAnsi" w:hAnsiTheme="majorHAnsi" w:cs="Arial"/>
          <w:sz w:val="20"/>
          <w:szCs w:val="20"/>
          <w:lang w:val="es-ES"/>
        </w:rPr>
        <w:t>.</w:t>
      </w:r>
    </w:p>
    <w:p w14:paraId="7589BCCA" w14:textId="54D800F2" w:rsidR="000A20C5" w:rsidRPr="00515D60" w:rsidRDefault="00D33B52" w:rsidP="002037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515D60">
        <w:rPr>
          <w:rFonts w:asciiTheme="majorHAnsi" w:hAnsiTheme="majorHAnsi" w:cs="Arial"/>
          <w:sz w:val="20"/>
          <w:szCs w:val="20"/>
          <w:lang w:val="es-ES"/>
        </w:rPr>
        <w:t>Sostienen que e</w:t>
      </w:r>
      <w:r w:rsidR="00203723" w:rsidRPr="00515D60">
        <w:rPr>
          <w:rFonts w:asciiTheme="majorHAnsi" w:hAnsiTheme="majorHAnsi" w:cs="Arial"/>
          <w:sz w:val="20"/>
          <w:szCs w:val="20"/>
          <w:lang w:val="es-ES"/>
        </w:rPr>
        <w:t>l 12 de septiembre de 1994, la Fiscalía decretó</w:t>
      </w:r>
      <w:r w:rsidR="00122E48" w:rsidRPr="00515D60">
        <w:rPr>
          <w:rFonts w:asciiTheme="majorHAnsi" w:hAnsiTheme="majorHAnsi" w:cs="Arial"/>
          <w:sz w:val="20"/>
          <w:szCs w:val="20"/>
          <w:lang w:val="es-ES"/>
        </w:rPr>
        <w:t xml:space="preserve"> </w:t>
      </w:r>
      <w:r w:rsidR="00203723" w:rsidRPr="00515D60">
        <w:rPr>
          <w:rFonts w:asciiTheme="majorHAnsi" w:hAnsiTheme="majorHAnsi" w:cs="Arial"/>
          <w:sz w:val="20"/>
          <w:szCs w:val="20"/>
          <w:lang w:val="es-ES"/>
        </w:rPr>
        <w:t>la detención preventiva de Felipe Gómez Lozano</w:t>
      </w:r>
      <w:r w:rsidRPr="00515D60">
        <w:rPr>
          <w:rFonts w:asciiTheme="majorHAnsi" w:hAnsiTheme="majorHAnsi" w:cs="Arial"/>
          <w:sz w:val="20"/>
          <w:szCs w:val="20"/>
          <w:lang w:val="es-ES"/>
        </w:rPr>
        <w:t>, y declaró</w:t>
      </w:r>
      <w:r w:rsidR="00203723" w:rsidRPr="00515D60">
        <w:rPr>
          <w:rFonts w:asciiTheme="majorHAnsi" w:hAnsiTheme="majorHAnsi" w:cs="Arial"/>
          <w:sz w:val="20"/>
          <w:szCs w:val="20"/>
          <w:lang w:val="es-ES"/>
        </w:rPr>
        <w:t xml:space="preserve"> reos ausentes a</w:t>
      </w:r>
      <w:r w:rsidR="00122E48" w:rsidRPr="00515D60">
        <w:rPr>
          <w:rFonts w:asciiTheme="majorHAnsi" w:hAnsiTheme="majorHAnsi" w:cs="Arial"/>
          <w:sz w:val="20"/>
          <w:szCs w:val="20"/>
          <w:lang w:val="es-ES"/>
        </w:rPr>
        <w:t xml:space="preserve"> </w:t>
      </w:r>
      <w:r w:rsidR="00203723" w:rsidRPr="00515D60">
        <w:rPr>
          <w:rFonts w:asciiTheme="majorHAnsi" w:hAnsiTheme="majorHAnsi" w:cs="Arial"/>
          <w:sz w:val="20"/>
          <w:szCs w:val="20"/>
          <w:lang w:val="es-ES"/>
        </w:rPr>
        <w:t xml:space="preserve">Miguel Antonio Durán Cáceres, Jimmy Alberto Arenas Robledo, Julio Ernesto Prada, y Juan Carracedo De La Hoz. </w:t>
      </w:r>
      <w:r w:rsidR="005B6C20" w:rsidRPr="00515D60">
        <w:rPr>
          <w:rFonts w:asciiTheme="majorHAnsi" w:hAnsiTheme="majorHAnsi" w:cs="Arial"/>
          <w:sz w:val="20"/>
          <w:szCs w:val="20"/>
          <w:lang w:val="es-ES"/>
        </w:rPr>
        <w:t>Así, i</w:t>
      </w:r>
      <w:r w:rsidRPr="00515D60">
        <w:rPr>
          <w:rFonts w:asciiTheme="majorHAnsi" w:hAnsiTheme="majorHAnsi" w:cs="Arial"/>
          <w:sz w:val="20"/>
          <w:szCs w:val="20"/>
          <w:lang w:val="es-ES"/>
        </w:rPr>
        <w:t>ndican que el</w:t>
      </w:r>
      <w:r w:rsidR="00122E48" w:rsidRPr="00515D60">
        <w:rPr>
          <w:rFonts w:asciiTheme="majorHAnsi" w:hAnsiTheme="majorHAnsi" w:cs="Arial"/>
          <w:sz w:val="20"/>
          <w:szCs w:val="20"/>
          <w:lang w:val="es-ES"/>
        </w:rPr>
        <w:t xml:space="preserve"> </w:t>
      </w:r>
      <w:r w:rsidR="00203723" w:rsidRPr="00515D60">
        <w:rPr>
          <w:rFonts w:asciiTheme="majorHAnsi" w:hAnsiTheme="majorHAnsi" w:cs="Arial"/>
          <w:sz w:val="20"/>
          <w:szCs w:val="20"/>
          <w:lang w:val="es-ES"/>
        </w:rPr>
        <w:t>16 de febrero de 1995, la Dirección Regional de Fiscalías decretó el cierre de la investigación en contra de Saulo Segura Palacios, de Carlos Alberto Vergara Amaya y de Ancízar Castaño Buitrago</w:t>
      </w:r>
      <w:r w:rsidRPr="00515D60">
        <w:rPr>
          <w:rFonts w:asciiTheme="majorHAnsi" w:hAnsiTheme="majorHAnsi" w:cs="Arial"/>
          <w:sz w:val="20"/>
          <w:szCs w:val="20"/>
          <w:lang w:val="es-ES"/>
        </w:rPr>
        <w:t>.</w:t>
      </w:r>
    </w:p>
    <w:p w14:paraId="265B0538" w14:textId="6E8B8341" w:rsidR="00AD2ED4" w:rsidRPr="00515D60" w:rsidRDefault="005B6C20" w:rsidP="00590E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515D60">
        <w:rPr>
          <w:rFonts w:asciiTheme="majorHAnsi" w:hAnsiTheme="majorHAnsi" w:cs="Arial"/>
          <w:sz w:val="20"/>
          <w:szCs w:val="20"/>
          <w:lang w:val="es-ES"/>
        </w:rPr>
        <w:t>Sobre</w:t>
      </w:r>
      <w:r w:rsidR="00E049EC" w:rsidRPr="00515D60">
        <w:rPr>
          <w:rFonts w:asciiTheme="majorHAnsi" w:hAnsiTheme="majorHAnsi" w:cs="Arial"/>
          <w:sz w:val="20"/>
          <w:szCs w:val="20"/>
          <w:lang w:val="es-ES"/>
        </w:rPr>
        <w:t xml:space="preserve"> </w:t>
      </w:r>
      <w:r w:rsidR="0043483C" w:rsidRPr="00515D60">
        <w:rPr>
          <w:rFonts w:asciiTheme="majorHAnsi" w:hAnsiTheme="majorHAnsi" w:cs="Arial"/>
          <w:sz w:val="20"/>
          <w:szCs w:val="20"/>
          <w:lang w:val="es-ES"/>
        </w:rPr>
        <w:t>el proceso No. 19.673</w:t>
      </w:r>
      <w:r w:rsidR="006257C5" w:rsidRPr="00515D60">
        <w:rPr>
          <w:rFonts w:asciiTheme="majorHAnsi" w:hAnsiTheme="majorHAnsi" w:cs="Arial"/>
          <w:sz w:val="20"/>
          <w:szCs w:val="20"/>
          <w:lang w:val="es-ES"/>
        </w:rPr>
        <w:t>,</w:t>
      </w:r>
      <w:r w:rsidR="0043483C" w:rsidRPr="00515D60">
        <w:rPr>
          <w:rFonts w:asciiTheme="majorHAnsi" w:hAnsiTheme="majorHAnsi" w:cs="Arial"/>
          <w:sz w:val="20"/>
          <w:szCs w:val="20"/>
          <w:lang w:val="es-ES"/>
        </w:rPr>
        <w:t xml:space="preserve"> </w:t>
      </w:r>
      <w:r w:rsidRPr="00515D60">
        <w:rPr>
          <w:rFonts w:asciiTheme="majorHAnsi" w:hAnsiTheme="majorHAnsi" w:cs="Arial"/>
          <w:sz w:val="20"/>
          <w:szCs w:val="20"/>
          <w:lang w:val="es-ES"/>
        </w:rPr>
        <w:t xml:space="preserve">señalan que </w:t>
      </w:r>
      <w:r w:rsidR="0043483C" w:rsidRPr="00515D60">
        <w:rPr>
          <w:rFonts w:asciiTheme="majorHAnsi" w:hAnsiTheme="majorHAnsi" w:cs="Arial"/>
          <w:sz w:val="20"/>
          <w:szCs w:val="20"/>
          <w:lang w:val="es-ES"/>
        </w:rPr>
        <w:t>fue trasladado a la Unidad Nacional de Derechos Humanos de la F</w:t>
      </w:r>
      <w:r w:rsidR="00435DC4" w:rsidRPr="00515D60">
        <w:rPr>
          <w:rFonts w:asciiTheme="majorHAnsi" w:hAnsiTheme="majorHAnsi" w:cs="Arial"/>
          <w:sz w:val="20"/>
          <w:szCs w:val="20"/>
          <w:lang w:val="es-ES"/>
        </w:rPr>
        <w:t xml:space="preserve">iscalía General de la Nación, que </w:t>
      </w:r>
      <w:r w:rsidR="0043483C" w:rsidRPr="00515D60">
        <w:rPr>
          <w:rFonts w:asciiTheme="majorHAnsi" w:hAnsiTheme="majorHAnsi" w:cs="Arial"/>
          <w:sz w:val="20"/>
          <w:szCs w:val="20"/>
          <w:lang w:val="es-ES"/>
        </w:rPr>
        <w:t>el 20 de marzo de 1996</w:t>
      </w:r>
      <w:r w:rsidR="00435DC4" w:rsidRPr="00515D60">
        <w:rPr>
          <w:rFonts w:asciiTheme="majorHAnsi" w:hAnsiTheme="majorHAnsi" w:cs="Arial"/>
          <w:sz w:val="20"/>
          <w:szCs w:val="20"/>
          <w:lang w:val="es-ES"/>
        </w:rPr>
        <w:t xml:space="preserve"> </w:t>
      </w:r>
      <w:r w:rsidR="0043483C" w:rsidRPr="00515D60">
        <w:rPr>
          <w:rFonts w:asciiTheme="majorHAnsi" w:hAnsiTheme="majorHAnsi" w:cs="Arial"/>
          <w:sz w:val="20"/>
          <w:szCs w:val="20"/>
          <w:lang w:val="es-ES"/>
        </w:rPr>
        <w:t xml:space="preserve">se avocó el conocimiento </w:t>
      </w:r>
      <w:r w:rsidR="00435DC4" w:rsidRPr="00515D60">
        <w:rPr>
          <w:rFonts w:asciiTheme="majorHAnsi" w:hAnsiTheme="majorHAnsi" w:cs="Arial"/>
          <w:sz w:val="20"/>
          <w:szCs w:val="20"/>
          <w:lang w:val="es-ES"/>
        </w:rPr>
        <w:t>del asunto</w:t>
      </w:r>
      <w:r w:rsidR="0043483C" w:rsidRPr="00515D60">
        <w:rPr>
          <w:rFonts w:asciiTheme="majorHAnsi" w:hAnsiTheme="majorHAnsi" w:cs="Arial"/>
          <w:sz w:val="20"/>
          <w:szCs w:val="20"/>
          <w:lang w:val="es-ES"/>
        </w:rPr>
        <w:t>,</w:t>
      </w:r>
      <w:r w:rsidR="00435DC4" w:rsidRPr="00515D60">
        <w:rPr>
          <w:rFonts w:asciiTheme="majorHAnsi" w:hAnsiTheme="majorHAnsi" w:cs="Arial"/>
          <w:sz w:val="20"/>
          <w:szCs w:val="20"/>
          <w:lang w:val="es-ES"/>
        </w:rPr>
        <w:t xml:space="preserve"> y se d</w:t>
      </w:r>
      <w:r w:rsidR="0043483C" w:rsidRPr="00515D60">
        <w:rPr>
          <w:rFonts w:asciiTheme="majorHAnsi" w:hAnsiTheme="majorHAnsi" w:cs="Arial"/>
          <w:sz w:val="20"/>
          <w:szCs w:val="20"/>
          <w:lang w:val="es-ES"/>
        </w:rPr>
        <w:t>ecretó</w:t>
      </w:r>
      <w:r w:rsidR="00122E48" w:rsidRPr="00515D60">
        <w:rPr>
          <w:rFonts w:asciiTheme="majorHAnsi" w:hAnsiTheme="majorHAnsi" w:cs="Arial"/>
          <w:sz w:val="20"/>
          <w:szCs w:val="20"/>
          <w:lang w:val="es-ES"/>
        </w:rPr>
        <w:t xml:space="preserve"> </w:t>
      </w:r>
      <w:r w:rsidR="0043483C" w:rsidRPr="00515D60">
        <w:rPr>
          <w:rFonts w:asciiTheme="majorHAnsi" w:hAnsiTheme="majorHAnsi" w:cs="Arial"/>
          <w:sz w:val="20"/>
          <w:szCs w:val="20"/>
          <w:lang w:val="es-ES"/>
        </w:rPr>
        <w:t>la nulidad de varias actuaciones</w:t>
      </w:r>
      <w:r w:rsidR="006257C5" w:rsidRPr="00515D60">
        <w:rPr>
          <w:rFonts w:asciiTheme="majorHAnsi" w:hAnsiTheme="majorHAnsi" w:cs="Arial"/>
          <w:sz w:val="20"/>
          <w:szCs w:val="20"/>
          <w:lang w:val="es-ES"/>
        </w:rPr>
        <w:t xml:space="preserve">, y que </w:t>
      </w:r>
      <w:r w:rsidR="00062D4F" w:rsidRPr="00515D60">
        <w:rPr>
          <w:rFonts w:asciiTheme="majorHAnsi" w:hAnsiTheme="majorHAnsi" w:cs="Arial"/>
          <w:sz w:val="20"/>
          <w:szCs w:val="20"/>
          <w:lang w:val="es-ES"/>
        </w:rPr>
        <w:t xml:space="preserve">el 20 de agosto de 1996, </w:t>
      </w:r>
      <w:r w:rsidR="006257C5" w:rsidRPr="00515D60">
        <w:rPr>
          <w:rFonts w:asciiTheme="majorHAnsi" w:hAnsiTheme="majorHAnsi" w:cs="Arial"/>
          <w:sz w:val="20"/>
          <w:szCs w:val="20"/>
          <w:lang w:val="es-ES"/>
        </w:rPr>
        <w:t>se</w:t>
      </w:r>
      <w:r w:rsidR="00062D4F" w:rsidRPr="00515D60">
        <w:rPr>
          <w:rFonts w:asciiTheme="majorHAnsi" w:hAnsiTheme="majorHAnsi" w:cs="Arial"/>
          <w:sz w:val="20"/>
          <w:szCs w:val="20"/>
          <w:lang w:val="es-ES"/>
        </w:rPr>
        <w:t xml:space="preserve"> or</w:t>
      </w:r>
      <w:r w:rsidR="00331A42" w:rsidRPr="00515D60">
        <w:rPr>
          <w:rFonts w:asciiTheme="majorHAnsi" w:hAnsiTheme="majorHAnsi" w:cs="Arial"/>
          <w:sz w:val="20"/>
          <w:szCs w:val="20"/>
          <w:lang w:val="es-ES"/>
        </w:rPr>
        <w:t xml:space="preserve">denó la detención preventiva </w:t>
      </w:r>
      <w:r w:rsidR="00062D4F" w:rsidRPr="00515D60">
        <w:rPr>
          <w:rFonts w:asciiTheme="majorHAnsi" w:hAnsiTheme="majorHAnsi" w:cs="Arial"/>
          <w:sz w:val="20"/>
          <w:szCs w:val="20"/>
          <w:lang w:val="es-ES"/>
        </w:rPr>
        <w:t>de Miguel Antonio Durá</w:t>
      </w:r>
      <w:r w:rsidR="00435DC4" w:rsidRPr="00515D60">
        <w:rPr>
          <w:rFonts w:asciiTheme="majorHAnsi" w:hAnsiTheme="majorHAnsi" w:cs="Arial"/>
          <w:sz w:val="20"/>
          <w:szCs w:val="20"/>
          <w:lang w:val="es-ES"/>
        </w:rPr>
        <w:t>n Cáceres y Julio Ernesto Prada, y e</w:t>
      </w:r>
      <w:r w:rsidR="00AD2ED4" w:rsidRPr="00515D60">
        <w:rPr>
          <w:rFonts w:asciiTheme="majorHAnsi" w:hAnsiTheme="majorHAnsi" w:cs="Arial"/>
          <w:sz w:val="20"/>
          <w:szCs w:val="20"/>
          <w:lang w:val="es-ES"/>
        </w:rPr>
        <w:t xml:space="preserve">l 1 de noviembre de 1996, </w:t>
      </w:r>
      <w:r w:rsidR="00435DC4" w:rsidRPr="00515D60">
        <w:rPr>
          <w:rFonts w:asciiTheme="majorHAnsi" w:hAnsiTheme="majorHAnsi" w:cs="Arial"/>
          <w:sz w:val="20"/>
          <w:szCs w:val="20"/>
          <w:lang w:val="es-ES"/>
        </w:rPr>
        <w:t xml:space="preserve">se </w:t>
      </w:r>
      <w:r w:rsidR="00AF79F5" w:rsidRPr="00515D60">
        <w:rPr>
          <w:rFonts w:asciiTheme="majorHAnsi" w:hAnsiTheme="majorHAnsi" w:cs="Arial"/>
          <w:sz w:val="20"/>
          <w:szCs w:val="20"/>
          <w:lang w:val="es-ES"/>
        </w:rPr>
        <w:t>decret</w:t>
      </w:r>
      <w:r w:rsidR="000552C6" w:rsidRPr="00515D60">
        <w:rPr>
          <w:rFonts w:asciiTheme="majorHAnsi" w:hAnsiTheme="majorHAnsi" w:cs="Arial"/>
          <w:sz w:val="20"/>
          <w:szCs w:val="20"/>
          <w:lang w:val="es-ES"/>
        </w:rPr>
        <w:t>ó</w:t>
      </w:r>
      <w:r w:rsidR="00122E48" w:rsidRPr="00515D60">
        <w:rPr>
          <w:rFonts w:asciiTheme="majorHAnsi" w:hAnsiTheme="majorHAnsi" w:cs="Arial"/>
          <w:sz w:val="20"/>
          <w:szCs w:val="20"/>
          <w:lang w:val="es-ES"/>
        </w:rPr>
        <w:t xml:space="preserve"> </w:t>
      </w:r>
      <w:r w:rsidR="00AF79F5" w:rsidRPr="00515D60">
        <w:rPr>
          <w:rFonts w:asciiTheme="majorHAnsi" w:hAnsiTheme="majorHAnsi" w:cs="Arial"/>
          <w:sz w:val="20"/>
          <w:szCs w:val="20"/>
          <w:lang w:val="es-ES"/>
        </w:rPr>
        <w:t xml:space="preserve">acusación </w:t>
      </w:r>
      <w:r w:rsidR="00AD2ED4" w:rsidRPr="00515D60">
        <w:rPr>
          <w:rFonts w:asciiTheme="majorHAnsi" w:hAnsiTheme="majorHAnsi" w:cs="Arial"/>
          <w:sz w:val="20"/>
          <w:szCs w:val="20"/>
          <w:lang w:val="es-ES"/>
        </w:rPr>
        <w:t>en contra de Carlos Alberto Vergara Amaya y Ancízar Castaño Buitrago por el delito de homicidio</w:t>
      </w:r>
      <w:r w:rsidR="006257C5" w:rsidRPr="00515D60">
        <w:rPr>
          <w:rFonts w:asciiTheme="majorHAnsi" w:hAnsiTheme="majorHAnsi" w:cs="Arial"/>
          <w:sz w:val="20"/>
          <w:szCs w:val="20"/>
          <w:lang w:val="es-ES"/>
        </w:rPr>
        <w:t xml:space="preserve"> agravado con fines terroristas</w:t>
      </w:r>
      <w:r w:rsidR="00AD2ED4" w:rsidRPr="00515D60">
        <w:rPr>
          <w:rFonts w:asciiTheme="majorHAnsi" w:hAnsiTheme="majorHAnsi" w:cs="Arial"/>
          <w:sz w:val="20"/>
          <w:szCs w:val="20"/>
          <w:lang w:val="es-ES"/>
        </w:rPr>
        <w:t>.</w:t>
      </w:r>
      <w:r w:rsidR="00435DC4" w:rsidRPr="00515D60">
        <w:rPr>
          <w:rFonts w:asciiTheme="majorHAnsi" w:hAnsiTheme="majorHAnsi" w:cs="Arial"/>
          <w:sz w:val="20"/>
          <w:szCs w:val="20"/>
          <w:lang w:val="es-ES"/>
        </w:rPr>
        <w:t xml:space="preserve"> </w:t>
      </w:r>
      <w:r w:rsidR="006257C5" w:rsidRPr="00515D60">
        <w:rPr>
          <w:rFonts w:asciiTheme="majorHAnsi" w:hAnsiTheme="majorHAnsi" w:cs="Arial"/>
          <w:sz w:val="20"/>
          <w:szCs w:val="20"/>
          <w:lang w:val="es-ES"/>
        </w:rPr>
        <w:t>También r</w:t>
      </w:r>
      <w:r w:rsidR="00435DC4" w:rsidRPr="00515D60">
        <w:rPr>
          <w:rFonts w:asciiTheme="majorHAnsi" w:hAnsiTheme="majorHAnsi" w:cs="Arial"/>
          <w:sz w:val="20"/>
          <w:szCs w:val="20"/>
          <w:lang w:val="es-ES"/>
        </w:rPr>
        <w:t>efieren que e</w:t>
      </w:r>
      <w:r w:rsidR="00590E1A" w:rsidRPr="00515D60">
        <w:rPr>
          <w:rFonts w:asciiTheme="majorHAnsi" w:hAnsiTheme="majorHAnsi" w:cs="Arial"/>
          <w:sz w:val="20"/>
          <w:szCs w:val="20"/>
          <w:lang w:val="es-ES"/>
        </w:rPr>
        <w:t xml:space="preserve">l </w:t>
      </w:r>
      <w:r w:rsidR="00F757F5" w:rsidRPr="00515D60">
        <w:rPr>
          <w:rFonts w:asciiTheme="majorHAnsi" w:hAnsiTheme="majorHAnsi" w:cs="Arial"/>
          <w:sz w:val="20"/>
          <w:szCs w:val="20"/>
          <w:lang w:val="es-ES"/>
        </w:rPr>
        <w:t xml:space="preserve">4 de agosto de 1997, </w:t>
      </w:r>
      <w:r w:rsidR="00435DC4" w:rsidRPr="00515D60">
        <w:rPr>
          <w:rFonts w:asciiTheme="majorHAnsi" w:hAnsiTheme="majorHAnsi" w:cs="Arial"/>
          <w:sz w:val="20"/>
          <w:szCs w:val="20"/>
          <w:lang w:val="es-ES"/>
        </w:rPr>
        <w:t>se d</w:t>
      </w:r>
      <w:r w:rsidR="00590E1A" w:rsidRPr="00515D60">
        <w:rPr>
          <w:rFonts w:asciiTheme="majorHAnsi" w:hAnsiTheme="majorHAnsi" w:cs="Arial"/>
          <w:sz w:val="20"/>
          <w:szCs w:val="20"/>
          <w:lang w:val="es-ES"/>
        </w:rPr>
        <w:t>ecretó a</w:t>
      </w:r>
      <w:r w:rsidR="00F757F5" w:rsidRPr="00515D60">
        <w:rPr>
          <w:rFonts w:asciiTheme="majorHAnsi" w:hAnsiTheme="majorHAnsi" w:cs="Arial"/>
          <w:sz w:val="20"/>
          <w:szCs w:val="20"/>
          <w:lang w:val="es-ES"/>
        </w:rPr>
        <w:t>cusa</w:t>
      </w:r>
      <w:r w:rsidR="00590E1A" w:rsidRPr="00515D60">
        <w:rPr>
          <w:rFonts w:asciiTheme="majorHAnsi" w:hAnsiTheme="majorHAnsi" w:cs="Arial"/>
          <w:sz w:val="20"/>
          <w:szCs w:val="20"/>
          <w:lang w:val="es-ES"/>
        </w:rPr>
        <w:t xml:space="preserve">ción contra Felipe Gómez Lozano, </w:t>
      </w:r>
      <w:r w:rsidR="00F757F5" w:rsidRPr="00515D60">
        <w:rPr>
          <w:rFonts w:asciiTheme="majorHAnsi" w:hAnsiTheme="majorHAnsi" w:cs="Arial"/>
          <w:sz w:val="20"/>
          <w:szCs w:val="20"/>
          <w:lang w:val="es-ES"/>
        </w:rPr>
        <w:t>Miguel Antonio Durá</w:t>
      </w:r>
      <w:r w:rsidR="00590E1A" w:rsidRPr="00515D60">
        <w:rPr>
          <w:rFonts w:asciiTheme="majorHAnsi" w:hAnsiTheme="majorHAnsi" w:cs="Arial"/>
          <w:sz w:val="20"/>
          <w:szCs w:val="20"/>
          <w:lang w:val="es-ES"/>
        </w:rPr>
        <w:t>n Cáceres, Julio Ernesto Prada</w:t>
      </w:r>
      <w:r w:rsidR="00F757F5" w:rsidRPr="00515D60">
        <w:rPr>
          <w:rFonts w:asciiTheme="majorHAnsi" w:hAnsiTheme="majorHAnsi" w:cs="Arial"/>
          <w:sz w:val="20"/>
          <w:szCs w:val="20"/>
          <w:lang w:val="es-ES"/>
        </w:rPr>
        <w:t>, Jimmy Alberto Arenas Robl</w:t>
      </w:r>
      <w:r w:rsidR="00590E1A" w:rsidRPr="00515D60">
        <w:rPr>
          <w:rFonts w:asciiTheme="majorHAnsi" w:hAnsiTheme="majorHAnsi" w:cs="Arial"/>
          <w:sz w:val="20"/>
          <w:szCs w:val="20"/>
          <w:lang w:val="es-ES"/>
        </w:rPr>
        <w:t>edo,</w:t>
      </w:r>
      <w:r w:rsidR="00122E48" w:rsidRPr="00515D60">
        <w:rPr>
          <w:rFonts w:asciiTheme="majorHAnsi" w:hAnsiTheme="majorHAnsi" w:cs="Arial"/>
          <w:sz w:val="20"/>
          <w:szCs w:val="20"/>
          <w:lang w:val="es-ES"/>
        </w:rPr>
        <w:t xml:space="preserve"> </w:t>
      </w:r>
      <w:r w:rsidR="00590E1A" w:rsidRPr="00515D60">
        <w:rPr>
          <w:rFonts w:asciiTheme="majorHAnsi" w:hAnsiTheme="majorHAnsi" w:cs="Arial"/>
          <w:sz w:val="20"/>
          <w:szCs w:val="20"/>
          <w:lang w:val="es-ES"/>
        </w:rPr>
        <w:t>José Reinaldo Amaya Cano</w:t>
      </w:r>
      <w:r w:rsidR="00F757F5" w:rsidRPr="00515D60">
        <w:rPr>
          <w:rFonts w:asciiTheme="majorHAnsi" w:hAnsiTheme="majorHAnsi" w:cs="Arial"/>
          <w:sz w:val="20"/>
          <w:szCs w:val="20"/>
          <w:lang w:val="es-ES"/>
        </w:rPr>
        <w:t>, Estela Osorio Rueda</w:t>
      </w:r>
      <w:r w:rsidR="00122E48" w:rsidRPr="00515D60">
        <w:rPr>
          <w:rFonts w:asciiTheme="majorHAnsi" w:hAnsiTheme="majorHAnsi" w:cs="Arial"/>
          <w:sz w:val="20"/>
          <w:szCs w:val="20"/>
          <w:lang w:val="es-ES"/>
        </w:rPr>
        <w:t xml:space="preserve"> </w:t>
      </w:r>
      <w:r w:rsidR="00F757F5" w:rsidRPr="00515D60">
        <w:rPr>
          <w:rFonts w:asciiTheme="majorHAnsi" w:hAnsiTheme="majorHAnsi" w:cs="Arial"/>
          <w:sz w:val="20"/>
          <w:szCs w:val="20"/>
          <w:lang w:val="es-ES"/>
        </w:rPr>
        <w:t>y Gerardo Álvarez Aguirre</w:t>
      </w:r>
      <w:r w:rsidR="00435DC4" w:rsidRPr="00515D60">
        <w:rPr>
          <w:rFonts w:asciiTheme="majorHAnsi" w:hAnsiTheme="majorHAnsi" w:cs="Arial"/>
          <w:sz w:val="20"/>
          <w:szCs w:val="20"/>
          <w:lang w:val="es-ES"/>
        </w:rPr>
        <w:t>, y que se</w:t>
      </w:r>
      <w:r w:rsidR="00F757F5" w:rsidRPr="00515D60">
        <w:rPr>
          <w:rFonts w:asciiTheme="majorHAnsi" w:hAnsiTheme="majorHAnsi" w:cs="Arial"/>
          <w:sz w:val="20"/>
          <w:szCs w:val="20"/>
          <w:lang w:val="es-ES"/>
        </w:rPr>
        <w:t xml:space="preserve"> precluyó la investigación a favor de Javier Díaz Salas, Rachel Vergara Amaya y Antonio Aguilar Díaz, </w:t>
      </w:r>
      <w:r w:rsidR="00435DC4" w:rsidRPr="00515D60">
        <w:rPr>
          <w:rFonts w:asciiTheme="majorHAnsi" w:hAnsiTheme="majorHAnsi" w:cs="Arial"/>
          <w:sz w:val="20"/>
          <w:szCs w:val="20"/>
          <w:lang w:val="es-ES"/>
        </w:rPr>
        <w:t>y</w:t>
      </w:r>
      <w:r w:rsidR="008716E7" w:rsidRPr="00515D60">
        <w:rPr>
          <w:rFonts w:asciiTheme="majorHAnsi" w:hAnsiTheme="majorHAnsi" w:cs="Arial"/>
          <w:sz w:val="20"/>
          <w:szCs w:val="20"/>
          <w:lang w:val="es-ES"/>
        </w:rPr>
        <w:t xml:space="preserve"> Alma Julieta Builes Cataño</w:t>
      </w:r>
      <w:r w:rsidR="006257C5" w:rsidRPr="00515D60">
        <w:rPr>
          <w:rFonts w:asciiTheme="majorHAnsi" w:hAnsiTheme="majorHAnsi" w:cs="Arial"/>
          <w:sz w:val="20"/>
          <w:szCs w:val="20"/>
          <w:lang w:val="es-ES"/>
        </w:rPr>
        <w:t xml:space="preserve">. Además indican que </w:t>
      </w:r>
      <w:r w:rsidR="00435DC4" w:rsidRPr="00515D60">
        <w:rPr>
          <w:rFonts w:asciiTheme="majorHAnsi" w:hAnsiTheme="majorHAnsi" w:cs="Arial"/>
          <w:sz w:val="20"/>
          <w:szCs w:val="20"/>
          <w:lang w:val="es-ES"/>
        </w:rPr>
        <w:t xml:space="preserve">cesó el </w:t>
      </w:r>
      <w:r w:rsidR="00F757F5" w:rsidRPr="00515D60">
        <w:rPr>
          <w:rFonts w:asciiTheme="majorHAnsi" w:hAnsiTheme="majorHAnsi" w:cs="Arial"/>
          <w:sz w:val="20"/>
          <w:szCs w:val="20"/>
          <w:lang w:val="es-ES"/>
        </w:rPr>
        <w:t xml:space="preserve">procedimiento </w:t>
      </w:r>
      <w:r w:rsidR="00435DC4" w:rsidRPr="00515D60">
        <w:rPr>
          <w:rFonts w:asciiTheme="majorHAnsi" w:hAnsiTheme="majorHAnsi" w:cs="Arial"/>
          <w:sz w:val="20"/>
          <w:szCs w:val="20"/>
          <w:lang w:val="es-ES"/>
        </w:rPr>
        <w:t xml:space="preserve">respecto </w:t>
      </w:r>
      <w:r w:rsidR="00F757F5" w:rsidRPr="00515D60">
        <w:rPr>
          <w:rFonts w:asciiTheme="majorHAnsi" w:hAnsiTheme="majorHAnsi" w:cs="Arial"/>
          <w:sz w:val="20"/>
          <w:szCs w:val="20"/>
          <w:lang w:val="es-ES"/>
        </w:rPr>
        <w:t xml:space="preserve">de Juan Manuel Carracedo de la Hoz y Saulo Segura Palacios, en razón de la muerte de </w:t>
      </w:r>
      <w:r w:rsidR="00435DC4" w:rsidRPr="00515D60">
        <w:rPr>
          <w:rFonts w:asciiTheme="majorHAnsi" w:hAnsiTheme="majorHAnsi" w:cs="Arial"/>
          <w:sz w:val="20"/>
          <w:szCs w:val="20"/>
          <w:lang w:val="es-ES"/>
        </w:rPr>
        <w:t>ambos</w:t>
      </w:r>
      <w:r w:rsidR="00F757F5" w:rsidRPr="00515D60">
        <w:rPr>
          <w:rFonts w:asciiTheme="majorHAnsi" w:hAnsiTheme="majorHAnsi" w:cs="Arial"/>
          <w:sz w:val="20"/>
          <w:szCs w:val="20"/>
          <w:lang w:val="es-ES"/>
        </w:rPr>
        <w:t>.</w:t>
      </w:r>
      <w:r w:rsidR="00122E48" w:rsidRPr="00515D60">
        <w:rPr>
          <w:rFonts w:asciiTheme="majorHAnsi" w:hAnsiTheme="majorHAnsi" w:cs="Arial"/>
          <w:sz w:val="20"/>
          <w:szCs w:val="20"/>
          <w:lang w:val="es-ES"/>
        </w:rPr>
        <w:t xml:space="preserve"> </w:t>
      </w:r>
    </w:p>
    <w:p w14:paraId="27B0B80E" w14:textId="7D1DDB08" w:rsidR="00FC1583" w:rsidRPr="00515D60" w:rsidRDefault="00BA2482" w:rsidP="00FC1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515D60">
        <w:rPr>
          <w:rFonts w:asciiTheme="majorHAnsi" w:hAnsiTheme="majorHAnsi" w:cs="Arial"/>
          <w:sz w:val="20"/>
          <w:szCs w:val="20"/>
          <w:lang w:val="es-ES"/>
        </w:rPr>
        <w:t>Indican</w:t>
      </w:r>
      <w:r w:rsidR="00E62456" w:rsidRPr="00515D60">
        <w:rPr>
          <w:rFonts w:asciiTheme="majorHAnsi" w:hAnsiTheme="majorHAnsi" w:cs="Arial"/>
          <w:sz w:val="20"/>
          <w:szCs w:val="20"/>
          <w:lang w:val="es-ES"/>
        </w:rPr>
        <w:t xml:space="preserve"> que la resolución fue apelada y confirmada</w:t>
      </w:r>
      <w:r w:rsidRPr="00515D60">
        <w:rPr>
          <w:rFonts w:asciiTheme="majorHAnsi" w:hAnsiTheme="majorHAnsi" w:cs="Arial"/>
          <w:sz w:val="20"/>
          <w:szCs w:val="20"/>
          <w:lang w:val="es-ES"/>
        </w:rPr>
        <w:t>, y qu</w:t>
      </w:r>
      <w:r w:rsidR="00E62456" w:rsidRPr="00515D60">
        <w:rPr>
          <w:rFonts w:asciiTheme="majorHAnsi" w:hAnsiTheme="majorHAnsi" w:cs="Arial"/>
          <w:sz w:val="20"/>
          <w:szCs w:val="20"/>
          <w:lang w:val="es-ES"/>
        </w:rPr>
        <w:t xml:space="preserve">e el proceso pasó </w:t>
      </w:r>
      <w:r w:rsidR="00210B4E" w:rsidRPr="00515D60">
        <w:rPr>
          <w:rFonts w:asciiTheme="majorHAnsi" w:hAnsiTheme="majorHAnsi" w:cs="Arial"/>
          <w:sz w:val="20"/>
          <w:szCs w:val="20"/>
          <w:lang w:val="es-ES"/>
        </w:rPr>
        <w:t>por</w:t>
      </w:r>
      <w:r w:rsidR="00903521" w:rsidRPr="00515D60">
        <w:rPr>
          <w:rFonts w:asciiTheme="majorHAnsi" w:hAnsiTheme="majorHAnsi" w:cs="Arial"/>
          <w:sz w:val="20"/>
          <w:szCs w:val="20"/>
          <w:lang w:val="es-ES"/>
        </w:rPr>
        <w:t xml:space="preserve"> competencia territorial</w:t>
      </w:r>
      <w:r w:rsidR="00E62456" w:rsidRPr="00515D60">
        <w:rPr>
          <w:rFonts w:asciiTheme="majorHAnsi" w:hAnsiTheme="majorHAnsi" w:cs="Arial"/>
          <w:sz w:val="20"/>
          <w:szCs w:val="20"/>
          <w:lang w:val="es-ES"/>
        </w:rPr>
        <w:t xml:space="preserve"> a los juzgados regionales de Cúcuta.</w:t>
      </w:r>
      <w:r w:rsidR="00210B4E" w:rsidRPr="00515D60">
        <w:rPr>
          <w:rFonts w:asciiTheme="majorHAnsi" w:hAnsiTheme="majorHAnsi" w:cs="Arial"/>
          <w:sz w:val="20"/>
          <w:szCs w:val="20"/>
          <w:lang w:val="es-ES"/>
        </w:rPr>
        <w:t xml:space="preserve"> Así, </w:t>
      </w:r>
      <w:r w:rsidR="00C61176" w:rsidRPr="00515D60">
        <w:rPr>
          <w:rFonts w:asciiTheme="majorHAnsi" w:hAnsiTheme="majorHAnsi" w:cs="Arial"/>
          <w:sz w:val="20"/>
          <w:szCs w:val="20"/>
          <w:lang w:val="es-ES"/>
        </w:rPr>
        <w:t>refieren</w:t>
      </w:r>
      <w:r w:rsidR="00210B4E" w:rsidRPr="00515D60">
        <w:rPr>
          <w:rFonts w:asciiTheme="majorHAnsi" w:hAnsiTheme="majorHAnsi" w:cs="Arial"/>
          <w:sz w:val="20"/>
          <w:szCs w:val="20"/>
          <w:lang w:val="es-ES"/>
        </w:rPr>
        <w:t xml:space="preserve"> que e</w:t>
      </w:r>
      <w:r w:rsidR="00855942" w:rsidRPr="00515D60">
        <w:rPr>
          <w:rFonts w:asciiTheme="majorHAnsi" w:hAnsiTheme="majorHAnsi" w:cs="Arial"/>
          <w:sz w:val="20"/>
          <w:szCs w:val="20"/>
          <w:lang w:val="es-ES"/>
        </w:rPr>
        <w:t>l Juzgado Regional de Cúcuta abrió el proceso No. 1953 contra Carlos Alberto Vergara Amaya y Ancízar Castaño Buitrago por los delitos de conformació</w:t>
      </w:r>
      <w:r w:rsidR="005B252C" w:rsidRPr="00515D60">
        <w:rPr>
          <w:rFonts w:asciiTheme="majorHAnsi" w:hAnsiTheme="majorHAnsi" w:cs="Arial"/>
          <w:sz w:val="20"/>
          <w:szCs w:val="20"/>
          <w:lang w:val="es-ES"/>
        </w:rPr>
        <w:t xml:space="preserve">n de grupos de defensa privada </w:t>
      </w:r>
      <w:r w:rsidR="00855942" w:rsidRPr="00515D60">
        <w:rPr>
          <w:rFonts w:asciiTheme="majorHAnsi" w:hAnsiTheme="majorHAnsi" w:cs="Arial"/>
          <w:sz w:val="20"/>
          <w:szCs w:val="20"/>
          <w:lang w:val="es-ES"/>
        </w:rPr>
        <w:t>y homicidio con fines terroristas.</w:t>
      </w:r>
      <w:r w:rsidR="005B252C" w:rsidRPr="00515D60">
        <w:rPr>
          <w:rFonts w:asciiTheme="majorHAnsi" w:hAnsiTheme="majorHAnsi" w:cs="Arial"/>
          <w:sz w:val="20"/>
          <w:szCs w:val="20"/>
          <w:lang w:val="es-ES"/>
        </w:rPr>
        <w:t xml:space="preserve"> </w:t>
      </w:r>
    </w:p>
    <w:p w14:paraId="222D6682" w14:textId="2EE02CED" w:rsidR="000A20C5" w:rsidRPr="00E56B07" w:rsidRDefault="005B252C" w:rsidP="00FC1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56B07">
        <w:rPr>
          <w:rFonts w:asciiTheme="majorHAnsi" w:hAnsiTheme="majorHAnsi" w:cs="Arial"/>
          <w:sz w:val="20"/>
          <w:szCs w:val="20"/>
          <w:lang w:val="es-ES"/>
        </w:rPr>
        <w:t>Señalan que e</w:t>
      </w:r>
      <w:r w:rsidR="00855942" w:rsidRPr="00E56B07">
        <w:rPr>
          <w:rFonts w:asciiTheme="majorHAnsi" w:hAnsiTheme="majorHAnsi" w:cs="Arial"/>
          <w:sz w:val="20"/>
          <w:szCs w:val="20"/>
          <w:lang w:val="es-ES"/>
        </w:rPr>
        <w:t xml:space="preserve">l 24 de febrero de 1998, </w:t>
      </w:r>
      <w:r w:rsidRPr="00E56B07">
        <w:rPr>
          <w:rFonts w:asciiTheme="majorHAnsi" w:hAnsiTheme="majorHAnsi" w:cs="Arial"/>
          <w:sz w:val="20"/>
          <w:szCs w:val="20"/>
          <w:lang w:val="es-ES"/>
        </w:rPr>
        <w:t>se</w:t>
      </w:r>
      <w:r w:rsidR="00855942" w:rsidRPr="00E56B07">
        <w:rPr>
          <w:rFonts w:asciiTheme="majorHAnsi" w:hAnsiTheme="majorHAnsi" w:cs="Arial"/>
          <w:sz w:val="20"/>
          <w:szCs w:val="20"/>
          <w:lang w:val="es-ES"/>
        </w:rPr>
        <w:t xml:space="preserve"> </w:t>
      </w:r>
      <w:r w:rsidRPr="00E56B07">
        <w:rPr>
          <w:rFonts w:asciiTheme="majorHAnsi" w:hAnsiTheme="majorHAnsi" w:cs="Arial"/>
          <w:sz w:val="20"/>
          <w:szCs w:val="20"/>
          <w:lang w:val="es-ES"/>
        </w:rPr>
        <w:t>dict</w:t>
      </w:r>
      <w:r w:rsidR="00855942" w:rsidRPr="00E56B07">
        <w:rPr>
          <w:rFonts w:asciiTheme="majorHAnsi" w:hAnsiTheme="majorHAnsi" w:cs="Arial"/>
          <w:sz w:val="20"/>
          <w:szCs w:val="20"/>
          <w:lang w:val="es-ES"/>
        </w:rPr>
        <w:t>ó sentencia condenatoria en contra de Carlos Alberto Vergara Amaya y Ancízar Castaño Buitrago.</w:t>
      </w:r>
      <w:r w:rsidR="00B374BD" w:rsidRPr="00E56B07">
        <w:rPr>
          <w:rFonts w:asciiTheme="majorHAnsi" w:hAnsiTheme="majorHAnsi" w:cs="Arial"/>
          <w:sz w:val="20"/>
          <w:szCs w:val="20"/>
          <w:lang w:val="es-ES"/>
        </w:rPr>
        <w:t xml:space="preserve"> </w:t>
      </w:r>
      <w:r w:rsidR="000A1795" w:rsidRPr="00E56B07">
        <w:rPr>
          <w:rFonts w:asciiTheme="majorHAnsi" w:hAnsiTheme="majorHAnsi" w:cs="Arial"/>
          <w:sz w:val="20"/>
          <w:szCs w:val="20"/>
          <w:lang w:val="es-ES"/>
        </w:rPr>
        <w:t>Indican que</w:t>
      </w:r>
      <w:r w:rsidR="00903521" w:rsidRPr="00E56B07">
        <w:rPr>
          <w:rFonts w:asciiTheme="majorHAnsi" w:hAnsiTheme="majorHAnsi" w:cs="Arial"/>
          <w:sz w:val="20"/>
          <w:szCs w:val="20"/>
          <w:lang w:val="es-ES"/>
        </w:rPr>
        <w:t>,</w:t>
      </w:r>
      <w:r w:rsidR="000A1795" w:rsidRPr="00E56B07">
        <w:rPr>
          <w:rFonts w:asciiTheme="majorHAnsi" w:hAnsiTheme="majorHAnsi" w:cs="Arial"/>
          <w:sz w:val="20"/>
          <w:szCs w:val="20"/>
          <w:lang w:val="es-ES"/>
        </w:rPr>
        <w:t xml:space="preserve"> Carlos Alberto Vergara Amaya fue condenado a 30 años de prisión por los delitos</w:t>
      </w:r>
      <w:r w:rsidR="00122E48" w:rsidRPr="00E56B07">
        <w:rPr>
          <w:rFonts w:asciiTheme="majorHAnsi" w:hAnsiTheme="majorHAnsi" w:cs="Arial"/>
          <w:sz w:val="20"/>
          <w:szCs w:val="20"/>
          <w:lang w:val="es-ES"/>
        </w:rPr>
        <w:t xml:space="preserve"> </w:t>
      </w:r>
      <w:r w:rsidR="000A1795" w:rsidRPr="00E56B07">
        <w:rPr>
          <w:rFonts w:asciiTheme="majorHAnsi" w:hAnsiTheme="majorHAnsi" w:cs="Arial"/>
          <w:sz w:val="20"/>
          <w:szCs w:val="20"/>
          <w:lang w:val="es-ES"/>
        </w:rPr>
        <w:t>de conformación de grupos de defensa privada</w:t>
      </w:r>
      <w:r w:rsidR="00122E48" w:rsidRPr="00E56B07">
        <w:rPr>
          <w:rFonts w:asciiTheme="majorHAnsi" w:hAnsiTheme="majorHAnsi" w:cs="Arial"/>
          <w:sz w:val="20"/>
          <w:szCs w:val="20"/>
          <w:lang w:val="es-ES"/>
        </w:rPr>
        <w:t xml:space="preserve"> </w:t>
      </w:r>
      <w:r w:rsidR="000A1795" w:rsidRPr="00E56B07">
        <w:rPr>
          <w:rFonts w:asciiTheme="majorHAnsi" w:hAnsiTheme="majorHAnsi" w:cs="Arial"/>
          <w:sz w:val="20"/>
          <w:szCs w:val="20"/>
          <w:lang w:val="es-ES"/>
        </w:rPr>
        <w:t xml:space="preserve">y de homicidio con fines terroristas de </w:t>
      </w:r>
      <w:r w:rsidR="00DC3634" w:rsidRPr="00E56B07">
        <w:rPr>
          <w:rFonts w:asciiTheme="majorHAnsi" w:hAnsiTheme="majorHAnsi" w:cs="Arial"/>
          <w:sz w:val="20"/>
          <w:szCs w:val="20"/>
          <w:lang w:val="es-ES"/>
        </w:rPr>
        <w:t>nueve</w:t>
      </w:r>
      <w:r w:rsidR="000A1795" w:rsidRPr="00E56B07">
        <w:rPr>
          <w:rFonts w:asciiTheme="majorHAnsi" w:hAnsiTheme="majorHAnsi" w:cs="Arial"/>
          <w:sz w:val="20"/>
          <w:szCs w:val="20"/>
          <w:lang w:val="es-ES"/>
        </w:rPr>
        <w:t xml:space="preserve"> personas</w:t>
      </w:r>
      <w:r w:rsidR="00DC3634" w:rsidRPr="00E56B07">
        <w:rPr>
          <w:rStyle w:val="FootnoteReference"/>
          <w:rFonts w:asciiTheme="majorHAnsi" w:hAnsiTheme="majorHAnsi" w:cs="Arial"/>
          <w:sz w:val="20"/>
          <w:szCs w:val="20"/>
          <w:lang w:val="es-ES"/>
        </w:rPr>
        <w:footnoteReference w:id="4"/>
      </w:r>
      <w:r w:rsidR="000A1795" w:rsidRPr="00E56B07">
        <w:rPr>
          <w:rFonts w:asciiTheme="majorHAnsi" w:hAnsiTheme="majorHAnsi" w:cs="Arial"/>
          <w:sz w:val="20"/>
          <w:szCs w:val="20"/>
          <w:lang w:val="es-ES"/>
        </w:rPr>
        <w:t>. Asimismo, indican que Ancízar Castaño Buitrago fue condenado a 30 años de prisión por los delitos</w:t>
      </w:r>
      <w:r w:rsidR="00122E48" w:rsidRPr="00E56B07">
        <w:rPr>
          <w:rFonts w:asciiTheme="majorHAnsi" w:hAnsiTheme="majorHAnsi" w:cs="Arial"/>
          <w:sz w:val="20"/>
          <w:szCs w:val="20"/>
          <w:lang w:val="es-ES"/>
        </w:rPr>
        <w:t xml:space="preserve"> </w:t>
      </w:r>
      <w:r w:rsidR="000A1795" w:rsidRPr="00E56B07">
        <w:rPr>
          <w:rFonts w:asciiTheme="majorHAnsi" w:hAnsiTheme="majorHAnsi" w:cs="Arial"/>
          <w:sz w:val="20"/>
          <w:szCs w:val="20"/>
          <w:lang w:val="es-ES"/>
        </w:rPr>
        <w:t>de conformación de grupos de defensa privada y de homicidio con fin</w:t>
      </w:r>
      <w:r w:rsidR="00A9769F" w:rsidRPr="00E56B07">
        <w:rPr>
          <w:rFonts w:asciiTheme="majorHAnsi" w:hAnsiTheme="majorHAnsi" w:cs="Arial"/>
          <w:sz w:val="20"/>
          <w:szCs w:val="20"/>
          <w:lang w:val="es-ES"/>
        </w:rPr>
        <w:t>es terroristas de 32 personas</w:t>
      </w:r>
      <w:r w:rsidR="00DC3634" w:rsidRPr="00E56B07">
        <w:rPr>
          <w:rStyle w:val="FootnoteReference"/>
          <w:rFonts w:asciiTheme="majorHAnsi" w:hAnsiTheme="majorHAnsi" w:cs="Arial"/>
          <w:sz w:val="20"/>
          <w:szCs w:val="20"/>
          <w:lang w:val="es-ES"/>
        </w:rPr>
        <w:footnoteReference w:id="5"/>
      </w:r>
      <w:r w:rsidR="00DC3634" w:rsidRPr="00E56B07">
        <w:rPr>
          <w:rFonts w:asciiTheme="majorHAnsi" w:hAnsiTheme="majorHAnsi" w:cs="Arial"/>
          <w:sz w:val="20"/>
          <w:szCs w:val="20"/>
          <w:lang w:val="es-ES"/>
        </w:rPr>
        <w:t>.</w:t>
      </w:r>
      <w:r w:rsidR="00A9769F" w:rsidRPr="00E56B07">
        <w:rPr>
          <w:rFonts w:asciiTheme="majorHAnsi" w:hAnsiTheme="majorHAnsi" w:cs="Arial"/>
          <w:sz w:val="20"/>
          <w:szCs w:val="20"/>
          <w:lang w:val="es-ES"/>
        </w:rPr>
        <w:t xml:space="preserve"> </w:t>
      </w:r>
    </w:p>
    <w:p w14:paraId="36F91C17" w14:textId="77777777" w:rsidR="00EA0154" w:rsidRPr="00D749D5" w:rsidRDefault="00E57AB1" w:rsidP="0089757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E56B07">
        <w:rPr>
          <w:rFonts w:asciiTheme="majorHAnsi" w:hAnsiTheme="majorHAnsi" w:cs="Arial"/>
          <w:sz w:val="20"/>
          <w:szCs w:val="20"/>
          <w:lang w:val="es-ES"/>
        </w:rPr>
        <w:lastRenderedPageBreak/>
        <w:t>Refieren que la</w:t>
      </w:r>
      <w:r w:rsidRPr="00D749D5">
        <w:rPr>
          <w:rFonts w:asciiTheme="majorHAnsi" w:hAnsiTheme="majorHAnsi" w:cs="Arial"/>
          <w:sz w:val="20"/>
          <w:szCs w:val="20"/>
          <w:lang w:val="es-ES"/>
        </w:rPr>
        <w:t xml:space="preserve"> sentencia fue</w:t>
      </w:r>
      <w:r w:rsidR="00122E48" w:rsidRPr="00D749D5">
        <w:rPr>
          <w:rFonts w:asciiTheme="majorHAnsi" w:hAnsiTheme="majorHAnsi" w:cs="Arial"/>
          <w:sz w:val="20"/>
          <w:szCs w:val="20"/>
          <w:lang w:val="es-ES"/>
        </w:rPr>
        <w:t xml:space="preserve"> </w:t>
      </w:r>
      <w:r w:rsidRPr="00D749D5">
        <w:rPr>
          <w:rFonts w:asciiTheme="majorHAnsi" w:hAnsiTheme="majorHAnsi" w:cs="Arial"/>
          <w:sz w:val="20"/>
          <w:szCs w:val="20"/>
          <w:lang w:val="es-ES"/>
        </w:rPr>
        <w:t>apelada por la defensa ante el Tribunal Nacional, con sede en Santafé de Bogotá, el cual conoció del proceso b</w:t>
      </w:r>
      <w:r w:rsidR="00EA0154" w:rsidRPr="00D749D5">
        <w:rPr>
          <w:rFonts w:asciiTheme="majorHAnsi" w:hAnsiTheme="majorHAnsi" w:cs="Arial"/>
          <w:sz w:val="20"/>
          <w:szCs w:val="20"/>
          <w:lang w:val="es-ES"/>
        </w:rPr>
        <w:t xml:space="preserve">ajo el número de radicado 7.377. </w:t>
      </w:r>
    </w:p>
    <w:p w14:paraId="35C41BD5" w14:textId="0DB7623E" w:rsidR="00897578" w:rsidRPr="00D749D5" w:rsidRDefault="00897578" w:rsidP="0089757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 xml:space="preserve">Indican que el 6 de noviembre de 1998, el Tribunal Nacional dictó sentencia de segunda instancia confirmando parcialmente las condenas impuestas en primera instancia, pues modificó la pena impuesta a Carlos Alberto Vergara Amaya, rebajándola a 28 años y 4 meses de prisión, y confirmó el fallo de primera instancia en lo demás. </w:t>
      </w:r>
    </w:p>
    <w:p w14:paraId="3F6C8C20" w14:textId="755A5253" w:rsidR="00B04ABF" w:rsidRPr="00D749D5" w:rsidRDefault="001E24AA" w:rsidP="001E24A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Por otra parte</w:t>
      </w:r>
      <w:r w:rsidRPr="00D749D5">
        <w:rPr>
          <w:rFonts w:asciiTheme="majorHAnsi" w:hAnsiTheme="majorHAnsi" w:cs="Arial"/>
          <w:b/>
          <w:sz w:val="20"/>
          <w:szCs w:val="20"/>
          <w:lang w:val="es-ES"/>
        </w:rPr>
        <w:t>,</w:t>
      </w:r>
      <w:r w:rsidRPr="00D749D5">
        <w:rPr>
          <w:rFonts w:asciiTheme="majorHAnsi" w:hAnsiTheme="majorHAnsi" w:cs="Arial"/>
          <w:sz w:val="20"/>
          <w:szCs w:val="20"/>
          <w:lang w:val="es-ES"/>
        </w:rPr>
        <w:t xml:space="preserve"> sostienen que el 13 de noviembre de 1997,</w:t>
      </w:r>
      <w:r w:rsidR="00C9604A" w:rsidRPr="00D749D5">
        <w:rPr>
          <w:rFonts w:asciiTheme="majorHAnsi" w:hAnsiTheme="majorHAnsi" w:cs="Arial"/>
          <w:sz w:val="20"/>
          <w:szCs w:val="20"/>
          <w:lang w:val="es-ES"/>
        </w:rPr>
        <w:t xml:space="preserve"> en el marco de la investigación</w:t>
      </w:r>
      <w:r w:rsidRPr="00D749D5">
        <w:rPr>
          <w:rFonts w:asciiTheme="majorHAnsi" w:hAnsiTheme="majorHAnsi" w:cs="Arial"/>
          <w:sz w:val="20"/>
          <w:szCs w:val="20"/>
          <w:lang w:val="es-ES"/>
        </w:rPr>
        <w:t>, la Unidad Nacional de Derechos Humanos de la Fiscalía General de la Nación profirió resolución de acusación contra Estela Osori</w:t>
      </w:r>
      <w:r w:rsidR="00C9604A" w:rsidRPr="00D749D5">
        <w:rPr>
          <w:rFonts w:asciiTheme="majorHAnsi" w:hAnsiTheme="majorHAnsi" w:cs="Arial"/>
          <w:sz w:val="20"/>
          <w:szCs w:val="20"/>
          <w:lang w:val="es-ES"/>
        </w:rPr>
        <w:t>o Rueda por homicidio agravado,</w:t>
      </w:r>
      <w:r w:rsidRPr="00D749D5">
        <w:rPr>
          <w:rFonts w:asciiTheme="majorHAnsi" w:hAnsiTheme="majorHAnsi" w:cs="Arial"/>
          <w:sz w:val="20"/>
          <w:szCs w:val="20"/>
          <w:lang w:val="es-ES"/>
        </w:rPr>
        <w:t xml:space="preserve"> Gerardo</w:t>
      </w:r>
      <w:r w:rsidR="00122E48" w:rsidRPr="00D749D5">
        <w:rPr>
          <w:rFonts w:asciiTheme="majorHAnsi" w:hAnsiTheme="majorHAnsi" w:cs="Arial"/>
          <w:sz w:val="20"/>
          <w:szCs w:val="20"/>
          <w:lang w:val="es-ES"/>
        </w:rPr>
        <w:t xml:space="preserve"> </w:t>
      </w:r>
      <w:r w:rsidRPr="00D749D5">
        <w:rPr>
          <w:rFonts w:asciiTheme="majorHAnsi" w:hAnsiTheme="majorHAnsi" w:cs="Arial"/>
          <w:sz w:val="20"/>
          <w:szCs w:val="20"/>
          <w:lang w:val="es-ES"/>
        </w:rPr>
        <w:t>Álvarez Aguirre por concierto para</w:t>
      </w:r>
      <w:r w:rsidR="00122E48" w:rsidRPr="00D749D5">
        <w:rPr>
          <w:rFonts w:asciiTheme="majorHAnsi" w:hAnsiTheme="majorHAnsi" w:cs="Arial"/>
          <w:sz w:val="20"/>
          <w:szCs w:val="20"/>
          <w:lang w:val="es-ES"/>
        </w:rPr>
        <w:t xml:space="preserve"> </w:t>
      </w:r>
      <w:r w:rsidRPr="00D749D5">
        <w:rPr>
          <w:rFonts w:asciiTheme="majorHAnsi" w:hAnsiTheme="majorHAnsi" w:cs="Arial"/>
          <w:sz w:val="20"/>
          <w:szCs w:val="20"/>
          <w:lang w:val="es-ES"/>
        </w:rPr>
        <w:t>delinquir y contra Felipe Gómez Lozano, Miguel Antonio Durán Cáceres y Julio Ernesto Prada por homicidio agravado y concierto para delinquir</w:t>
      </w:r>
      <w:r w:rsidR="00D64FAF" w:rsidRPr="00D749D5">
        <w:rPr>
          <w:rFonts w:asciiTheme="majorHAnsi" w:hAnsiTheme="majorHAnsi" w:cs="Arial"/>
          <w:sz w:val="20"/>
          <w:szCs w:val="20"/>
          <w:lang w:val="es-ES"/>
        </w:rPr>
        <w:t>.</w:t>
      </w:r>
    </w:p>
    <w:p w14:paraId="739598A6" w14:textId="19764773" w:rsidR="00B04ABF" w:rsidRPr="00D749D5" w:rsidRDefault="00B35F2D" w:rsidP="00A123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 xml:space="preserve">Sostienen que </w:t>
      </w:r>
      <w:r w:rsidR="00B04ABF" w:rsidRPr="00D749D5">
        <w:rPr>
          <w:rFonts w:asciiTheme="majorHAnsi" w:hAnsiTheme="majorHAnsi" w:cs="Arial"/>
          <w:sz w:val="20"/>
          <w:szCs w:val="20"/>
          <w:lang w:val="es-ES"/>
        </w:rPr>
        <w:t>mediante sentencia de 2 de junio de 2000, el Juzgado Segundo Penal del Circuito Especializado condenó a 20 años de prisión a Estela Osorio Rueda por homicidio agravado de</w:t>
      </w:r>
      <w:r w:rsidR="00A123CF" w:rsidRPr="00D749D5">
        <w:rPr>
          <w:rFonts w:asciiTheme="majorHAnsi" w:hAnsiTheme="majorHAnsi" w:cs="Arial"/>
          <w:sz w:val="20"/>
          <w:szCs w:val="20"/>
          <w:lang w:val="es-ES"/>
        </w:rPr>
        <w:t xml:space="preserve"> su esposo el sindicalista de la USO, Luis Fernando León Cáceres</w:t>
      </w:r>
      <w:r w:rsidR="00B05F82" w:rsidRPr="00D749D5">
        <w:rPr>
          <w:rFonts w:asciiTheme="majorHAnsi" w:hAnsiTheme="majorHAnsi" w:cs="Arial"/>
          <w:sz w:val="20"/>
          <w:szCs w:val="20"/>
          <w:lang w:val="es-ES"/>
        </w:rPr>
        <w:t xml:space="preserve">, cometido con miembros de la Red. No. 7, </w:t>
      </w:r>
      <w:r w:rsidR="00B04ABF" w:rsidRPr="00D749D5">
        <w:rPr>
          <w:rFonts w:asciiTheme="majorHAnsi" w:hAnsiTheme="majorHAnsi" w:cs="Arial"/>
          <w:sz w:val="20"/>
          <w:szCs w:val="20"/>
          <w:lang w:val="es-ES"/>
        </w:rPr>
        <w:t>y a 30 años de prisión, por homicidio agravado en concurso a Gerardo Álvarez Aguirre</w:t>
      </w:r>
      <w:r w:rsidR="00FE5DDE" w:rsidRPr="00D749D5">
        <w:rPr>
          <w:rFonts w:asciiTheme="majorHAnsi" w:hAnsiTheme="majorHAnsi" w:cs="Arial"/>
          <w:sz w:val="20"/>
          <w:szCs w:val="20"/>
          <w:lang w:val="es-ES"/>
        </w:rPr>
        <w:t>,</w:t>
      </w:r>
      <w:r w:rsidR="00FE5DDE" w:rsidRPr="00D749D5">
        <w:rPr>
          <w:rFonts w:asciiTheme="majorHAnsi" w:hAnsiTheme="majorHAnsi" w:cs="Arial"/>
          <w:color w:val="FF0000"/>
          <w:sz w:val="20"/>
          <w:szCs w:val="20"/>
          <w:lang w:val="es-ES"/>
        </w:rPr>
        <w:t xml:space="preserve"> </w:t>
      </w:r>
      <w:r w:rsidR="00B04ABF" w:rsidRPr="00D749D5">
        <w:rPr>
          <w:rFonts w:asciiTheme="majorHAnsi" w:hAnsiTheme="majorHAnsi" w:cs="Arial"/>
          <w:sz w:val="20"/>
          <w:szCs w:val="20"/>
          <w:lang w:val="es-ES"/>
        </w:rPr>
        <w:t>Felipe Gómez Lozano, Miguel Antonio Durán Cáceres y Julio Ernesto Prada</w:t>
      </w:r>
      <w:r w:rsidR="00B05F82" w:rsidRPr="00D749D5">
        <w:rPr>
          <w:rFonts w:asciiTheme="majorHAnsi" w:hAnsiTheme="majorHAnsi" w:cs="Arial"/>
          <w:sz w:val="20"/>
          <w:szCs w:val="20"/>
          <w:lang w:val="es-ES"/>
        </w:rPr>
        <w:t xml:space="preserve">, quienes apelaron, </w:t>
      </w:r>
      <w:r w:rsidR="00B04ABF" w:rsidRPr="00D749D5">
        <w:rPr>
          <w:rFonts w:asciiTheme="majorHAnsi" w:hAnsiTheme="majorHAnsi" w:cs="Arial"/>
          <w:sz w:val="20"/>
          <w:szCs w:val="20"/>
          <w:lang w:val="es-ES"/>
        </w:rPr>
        <w:t>y, en fallo de 26 de junio de 2001, el Tribunal Superior de Bucarama</w:t>
      </w:r>
      <w:r w:rsidR="00A53549" w:rsidRPr="00D749D5">
        <w:rPr>
          <w:rFonts w:asciiTheme="majorHAnsi" w:hAnsiTheme="majorHAnsi" w:cs="Arial"/>
          <w:sz w:val="20"/>
          <w:szCs w:val="20"/>
          <w:lang w:val="es-ES"/>
        </w:rPr>
        <w:t xml:space="preserve">nga confirmó la sentencia de primera </w:t>
      </w:r>
      <w:r w:rsidR="00B04ABF" w:rsidRPr="00D749D5">
        <w:rPr>
          <w:rFonts w:asciiTheme="majorHAnsi" w:hAnsiTheme="majorHAnsi" w:cs="Arial"/>
          <w:sz w:val="20"/>
          <w:szCs w:val="20"/>
          <w:lang w:val="es-ES"/>
        </w:rPr>
        <w:t xml:space="preserve">instancia. </w:t>
      </w:r>
    </w:p>
    <w:p w14:paraId="4D0E0ACB" w14:textId="4360904F" w:rsidR="00AB6E37" w:rsidRPr="00D749D5" w:rsidRDefault="00AB6E37" w:rsidP="00AB6E3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Agregan que Estela Osorio Rueda impug</w:t>
      </w:r>
      <w:r w:rsidR="00273ABC" w:rsidRPr="00D749D5">
        <w:rPr>
          <w:rFonts w:asciiTheme="majorHAnsi" w:hAnsiTheme="majorHAnsi" w:cs="Arial"/>
          <w:sz w:val="20"/>
          <w:szCs w:val="20"/>
          <w:lang w:val="es-ES"/>
        </w:rPr>
        <w:t>nó mediante recurso de casación</w:t>
      </w:r>
      <w:r w:rsidRPr="00D749D5">
        <w:rPr>
          <w:rFonts w:asciiTheme="majorHAnsi" w:hAnsiTheme="majorHAnsi" w:cs="Arial"/>
          <w:sz w:val="20"/>
          <w:szCs w:val="20"/>
          <w:lang w:val="es-ES"/>
        </w:rPr>
        <w:t xml:space="preserve"> la sentencia y que el Tribunal Superior de Bucaramanga, mediante resolución de 3 de octubre de 2001, denegó el recurso</w:t>
      </w:r>
      <w:r w:rsidR="00D64FAF" w:rsidRPr="00D749D5">
        <w:rPr>
          <w:rFonts w:asciiTheme="majorHAnsi" w:hAnsiTheme="majorHAnsi" w:cs="Arial"/>
          <w:sz w:val="20"/>
          <w:szCs w:val="20"/>
          <w:lang w:val="es-ES"/>
        </w:rPr>
        <w:t xml:space="preserve">, </w:t>
      </w:r>
      <w:r w:rsidRPr="00D749D5">
        <w:rPr>
          <w:rFonts w:asciiTheme="majorHAnsi" w:hAnsiTheme="majorHAnsi" w:cs="Arial"/>
          <w:sz w:val="20"/>
          <w:szCs w:val="20"/>
          <w:lang w:val="es-ES"/>
        </w:rPr>
        <w:t xml:space="preserve">por lo que interpuso un </w:t>
      </w:r>
      <w:r w:rsidR="00E472F5" w:rsidRPr="00D749D5">
        <w:rPr>
          <w:rFonts w:asciiTheme="majorHAnsi" w:hAnsiTheme="majorHAnsi" w:cs="Arial"/>
          <w:sz w:val="20"/>
          <w:szCs w:val="20"/>
          <w:lang w:val="es-ES"/>
        </w:rPr>
        <w:t xml:space="preserve">recurso de </w:t>
      </w:r>
      <w:r w:rsidRPr="00D749D5">
        <w:rPr>
          <w:rFonts w:asciiTheme="majorHAnsi" w:hAnsiTheme="majorHAnsi" w:cs="Arial"/>
          <w:sz w:val="20"/>
          <w:szCs w:val="20"/>
          <w:lang w:val="es-ES"/>
        </w:rPr>
        <w:t xml:space="preserve">queja, el que fue concedido por la Corte Suprema de Justicia el 2 de julio de 2002. </w:t>
      </w:r>
      <w:r w:rsidR="00E472F5" w:rsidRPr="00D749D5">
        <w:rPr>
          <w:rFonts w:asciiTheme="majorHAnsi" w:hAnsiTheme="majorHAnsi" w:cs="Arial"/>
          <w:sz w:val="20"/>
          <w:szCs w:val="20"/>
          <w:lang w:val="es-ES"/>
        </w:rPr>
        <w:t xml:space="preserve">Además, señalan que mediante </w:t>
      </w:r>
      <w:r w:rsidRPr="00D749D5">
        <w:rPr>
          <w:rFonts w:asciiTheme="majorHAnsi" w:hAnsiTheme="majorHAnsi" w:cs="Arial"/>
          <w:sz w:val="20"/>
          <w:szCs w:val="20"/>
          <w:lang w:val="es-ES"/>
        </w:rPr>
        <w:t>sentencia de 3 de agosto de 2005, la Corte Suprema de Justicia resolvió el recurso extraordinario de casación interpuesto por</w:t>
      </w:r>
      <w:r w:rsidR="00F4246F" w:rsidRPr="00D749D5">
        <w:rPr>
          <w:rFonts w:asciiTheme="majorHAnsi" w:hAnsiTheme="majorHAnsi" w:cs="Arial"/>
          <w:sz w:val="20"/>
          <w:szCs w:val="20"/>
          <w:lang w:val="es-ES"/>
        </w:rPr>
        <w:t xml:space="preserve"> </w:t>
      </w:r>
      <w:r w:rsidRPr="00D749D5">
        <w:rPr>
          <w:rFonts w:asciiTheme="majorHAnsi" w:hAnsiTheme="majorHAnsi" w:cs="Arial"/>
          <w:sz w:val="20"/>
          <w:szCs w:val="20"/>
          <w:lang w:val="es-ES"/>
        </w:rPr>
        <w:t>Estela Osorio Rueda</w:t>
      </w:r>
      <w:r w:rsidR="00166B0A" w:rsidRPr="00D749D5">
        <w:rPr>
          <w:rFonts w:asciiTheme="majorHAnsi" w:hAnsiTheme="majorHAnsi" w:cs="Arial"/>
          <w:sz w:val="20"/>
          <w:szCs w:val="20"/>
          <w:lang w:val="es-ES"/>
        </w:rPr>
        <w:t xml:space="preserve"> y </w:t>
      </w:r>
      <w:r w:rsidRPr="00D749D5">
        <w:rPr>
          <w:rFonts w:asciiTheme="majorHAnsi" w:hAnsiTheme="majorHAnsi" w:cs="Arial"/>
          <w:sz w:val="20"/>
          <w:szCs w:val="20"/>
          <w:lang w:val="es-ES"/>
        </w:rPr>
        <w:t>cas</w:t>
      </w:r>
      <w:r w:rsidR="00273ABC" w:rsidRPr="00D749D5">
        <w:rPr>
          <w:rFonts w:asciiTheme="majorHAnsi" w:hAnsiTheme="majorHAnsi" w:cs="Arial"/>
          <w:sz w:val="20"/>
          <w:szCs w:val="20"/>
          <w:lang w:val="es-ES"/>
        </w:rPr>
        <w:t>ó parcialmente la sentencia de segunda</w:t>
      </w:r>
      <w:r w:rsidRPr="00D749D5">
        <w:rPr>
          <w:rFonts w:asciiTheme="majorHAnsi" w:hAnsiTheme="majorHAnsi" w:cs="Arial"/>
          <w:sz w:val="20"/>
          <w:szCs w:val="20"/>
          <w:lang w:val="es-ES"/>
        </w:rPr>
        <w:t xml:space="preserve"> instancia </w:t>
      </w:r>
      <w:r w:rsidR="00E472F5" w:rsidRPr="00D749D5">
        <w:rPr>
          <w:rFonts w:asciiTheme="majorHAnsi" w:hAnsiTheme="majorHAnsi" w:cs="Arial"/>
          <w:sz w:val="20"/>
          <w:szCs w:val="20"/>
          <w:lang w:val="es-ES"/>
        </w:rPr>
        <w:t xml:space="preserve">y </w:t>
      </w:r>
      <w:r w:rsidRPr="00D749D5">
        <w:rPr>
          <w:rFonts w:asciiTheme="majorHAnsi" w:hAnsiTheme="majorHAnsi" w:cs="Arial"/>
          <w:sz w:val="20"/>
          <w:szCs w:val="20"/>
          <w:lang w:val="es-ES"/>
        </w:rPr>
        <w:t xml:space="preserve">decretó la nulidad de las actuaciones contra </w:t>
      </w:r>
      <w:r w:rsidRPr="00E56B07">
        <w:rPr>
          <w:rFonts w:asciiTheme="majorHAnsi" w:hAnsiTheme="majorHAnsi" w:cs="Arial"/>
          <w:sz w:val="20"/>
          <w:szCs w:val="20"/>
          <w:lang w:val="es-ES"/>
        </w:rPr>
        <w:t xml:space="preserve">Estela Osorio Rueda desde el 2 de septiembre de 1996 por irregularidades procesales y ordenó su libertad provisional bajo caución prendaria de 1 salario </w:t>
      </w:r>
      <w:r w:rsidR="00F84FD6" w:rsidRPr="00E56B07">
        <w:rPr>
          <w:rFonts w:asciiTheme="majorHAnsi" w:hAnsiTheme="majorHAnsi" w:cs="Arial"/>
          <w:sz w:val="20"/>
          <w:szCs w:val="20"/>
          <w:lang w:val="es-ES"/>
        </w:rPr>
        <w:t xml:space="preserve">mínimo vigente. </w:t>
      </w:r>
      <w:r w:rsidRPr="00E56B07">
        <w:rPr>
          <w:rFonts w:asciiTheme="majorHAnsi" w:hAnsiTheme="majorHAnsi" w:cs="Arial"/>
          <w:sz w:val="20"/>
          <w:szCs w:val="20"/>
          <w:lang w:val="es-ES"/>
        </w:rPr>
        <w:t>Asimismo</w:t>
      </w:r>
      <w:r w:rsidR="00674474" w:rsidRPr="00E56B07">
        <w:rPr>
          <w:rFonts w:asciiTheme="majorHAnsi" w:hAnsiTheme="majorHAnsi" w:cs="Arial"/>
          <w:sz w:val="20"/>
          <w:szCs w:val="20"/>
          <w:lang w:val="es-ES"/>
        </w:rPr>
        <w:t>,</w:t>
      </w:r>
      <w:r w:rsidRPr="00E56B07">
        <w:rPr>
          <w:rFonts w:asciiTheme="majorHAnsi" w:hAnsiTheme="majorHAnsi" w:cs="Arial"/>
          <w:sz w:val="20"/>
          <w:szCs w:val="20"/>
          <w:lang w:val="es-ES"/>
        </w:rPr>
        <w:t xml:space="preserve"> la Corte Suprema de Justicia dec</w:t>
      </w:r>
      <w:r w:rsidR="00273ABC" w:rsidRPr="00E56B07">
        <w:rPr>
          <w:rFonts w:asciiTheme="majorHAnsi" w:hAnsiTheme="majorHAnsi" w:cs="Arial"/>
          <w:sz w:val="20"/>
          <w:szCs w:val="20"/>
          <w:lang w:val="es-ES"/>
        </w:rPr>
        <w:t>laró</w:t>
      </w:r>
      <w:r w:rsidR="009F47DA" w:rsidRPr="00E56B07">
        <w:rPr>
          <w:rFonts w:asciiTheme="majorHAnsi" w:hAnsiTheme="majorHAnsi" w:cs="Arial"/>
          <w:sz w:val="20"/>
          <w:szCs w:val="20"/>
          <w:lang w:val="es-ES"/>
        </w:rPr>
        <w:t xml:space="preserve"> el 3 de agosto de 2005,</w:t>
      </w:r>
      <w:r w:rsidRPr="00E56B07">
        <w:rPr>
          <w:rFonts w:asciiTheme="majorHAnsi" w:hAnsiTheme="majorHAnsi" w:cs="Arial"/>
          <w:sz w:val="20"/>
          <w:szCs w:val="20"/>
          <w:lang w:val="es-ES"/>
        </w:rPr>
        <w:t xml:space="preserve"> firme el fallo del Tribunal Superior de Bucaramanga proferido el 26 de junio de 2001, en todos los aspectos, con relación a los procesados Felipe Gómez Lozano, Miguel Antonio Durán </w:t>
      </w:r>
      <w:r w:rsidR="00E472F5" w:rsidRPr="00E56B07">
        <w:rPr>
          <w:rFonts w:asciiTheme="majorHAnsi" w:hAnsiTheme="majorHAnsi" w:cs="Arial"/>
          <w:sz w:val="20"/>
          <w:szCs w:val="20"/>
          <w:lang w:val="es-ES"/>
        </w:rPr>
        <w:t>Cáceres y Julio Ernesto Prada</w:t>
      </w:r>
      <w:r w:rsidRPr="00D749D5">
        <w:rPr>
          <w:rFonts w:asciiTheme="majorHAnsi" w:hAnsiTheme="majorHAnsi" w:cs="Arial"/>
          <w:sz w:val="20"/>
          <w:szCs w:val="20"/>
          <w:lang w:val="es-ES"/>
        </w:rPr>
        <w:t xml:space="preserve">. </w:t>
      </w:r>
    </w:p>
    <w:p w14:paraId="2EC0FC91" w14:textId="77777777" w:rsidR="00AB6E37" w:rsidRPr="00D749D5" w:rsidRDefault="00491740" w:rsidP="00251D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s="Arial"/>
          <w:b/>
          <w:sz w:val="20"/>
          <w:szCs w:val="20"/>
          <w:lang w:val="es-ES"/>
        </w:rPr>
      </w:pPr>
      <w:r w:rsidRPr="00D749D5">
        <w:rPr>
          <w:rFonts w:asciiTheme="majorHAnsi" w:hAnsiTheme="majorHAnsi" w:cs="Arial"/>
          <w:b/>
          <w:sz w:val="20"/>
          <w:szCs w:val="20"/>
          <w:lang w:val="es-ES"/>
        </w:rPr>
        <w:t xml:space="preserve">Procesos disciplinarios </w:t>
      </w:r>
    </w:p>
    <w:p w14:paraId="3CA612F4" w14:textId="4D80C714" w:rsidR="005C4E93" w:rsidRPr="00D749D5" w:rsidRDefault="00C36DE3" w:rsidP="005C4E9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 xml:space="preserve">Los peticionarios refieren que tras </w:t>
      </w:r>
      <w:r w:rsidR="005A7DC6" w:rsidRPr="00D749D5">
        <w:rPr>
          <w:rFonts w:asciiTheme="majorHAnsi" w:hAnsiTheme="majorHAnsi" w:cs="Arial"/>
          <w:sz w:val="20"/>
          <w:szCs w:val="20"/>
          <w:lang w:val="es-ES"/>
        </w:rPr>
        <w:t xml:space="preserve">las declaraciones de </w:t>
      </w:r>
      <w:r w:rsidRPr="00D749D5">
        <w:rPr>
          <w:rFonts w:asciiTheme="majorHAnsi" w:hAnsiTheme="majorHAnsi" w:cs="Arial"/>
          <w:sz w:val="20"/>
          <w:szCs w:val="20"/>
          <w:lang w:val="es-ES"/>
        </w:rPr>
        <w:t>Saulo Segura Palacios</w:t>
      </w:r>
      <w:r w:rsidR="005A7DC6" w:rsidRPr="00D749D5">
        <w:rPr>
          <w:rFonts w:asciiTheme="majorHAnsi" w:hAnsiTheme="majorHAnsi" w:cs="Arial"/>
          <w:sz w:val="20"/>
          <w:szCs w:val="20"/>
          <w:lang w:val="es-ES"/>
        </w:rPr>
        <w:t xml:space="preserve"> y Carlos David López Maquillón</w:t>
      </w:r>
      <w:r w:rsidRPr="00D749D5">
        <w:rPr>
          <w:rFonts w:asciiTheme="majorHAnsi" w:hAnsiTheme="majorHAnsi" w:cs="Arial"/>
          <w:sz w:val="20"/>
          <w:szCs w:val="20"/>
          <w:lang w:val="es-ES"/>
        </w:rPr>
        <w:t>, ante la Oficina de Investigaciones Especiales de la Procuraduría General de</w:t>
      </w:r>
      <w:r w:rsidR="00122E48" w:rsidRPr="00D749D5">
        <w:rPr>
          <w:rFonts w:asciiTheme="majorHAnsi" w:hAnsiTheme="majorHAnsi" w:cs="Arial"/>
          <w:sz w:val="20"/>
          <w:szCs w:val="20"/>
          <w:lang w:val="es-ES"/>
        </w:rPr>
        <w:t xml:space="preserve"> </w:t>
      </w:r>
      <w:r w:rsidRPr="00D749D5">
        <w:rPr>
          <w:rFonts w:asciiTheme="majorHAnsi" w:hAnsiTheme="majorHAnsi" w:cs="Arial"/>
          <w:sz w:val="20"/>
          <w:szCs w:val="20"/>
          <w:lang w:val="es-ES"/>
        </w:rPr>
        <w:t>la Nación</w:t>
      </w:r>
      <w:r w:rsidR="005A7DC6" w:rsidRPr="00D749D5">
        <w:rPr>
          <w:rFonts w:asciiTheme="majorHAnsi" w:hAnsiTheme="majorHAnsi" w:cs="Arial"/>
          <w:sz w:val="20"/>
          <w:szCs w:val="20"/>
          <w:lang w:val="es-ES"/>
        </w:rPr>
        <w:t xml:space="preserve">, dicho órgano </w:t>
      </w:r>
      <w:r w:rsidRPr="00D749D5">
        <w:rPr>
          <w:rFonts w:asciiTheme="majorHAnsi" w:hAnsiTheme="majorHAnsi" w:cs="Arial"/>
          <w:sz w:val="20"/>
          <w:szCs w:val="20"/>
          <w:lang w:val="es-ES"/>
        </w:rPr>
        <w:t xml:space="preserve">abrió </w:t>
      </w:r>
      <w:r w:rsidR="00787276" w:rsidRPr="00D749D5">
        <w:rPr>
          <w:rFonts w:asciiTheme="majorHAnsi" w:hAnsiTheme="majorHAnsi" w:cs="Arial"/>
          <w:sz w:val="20"/>
          <w:szCs w:val="20"/>
          <w:lang w:val="es-ES"/>
        </w:rPr>
        <w:t>investigaciones disciplinarias</w:t>
      </w:r>
      <w:r w:rsidRPr="00D749D5">
        <w:rPr>
          <w:rFonts w:asciiTheme="majorHAnsi" w:hAnsiTheme="majorHAnsi" w:cs="Arial"/>
          <w:sz w:val="20"/>
          <w:szCs w:val="20"/>
          <w:lang w:val="es-ES"/>
        </w:rPr>
        <w:t>, pero que por involucrar a militares, la Procuraduría Delegada para las Fuerzas Militares solicitó el envío del expediente.</w:t>
      </w:r>
    </w:p>
    <w:p w14:paraId="4A31F108" w14:textId="5648292E" w:rsidR="00AB6E37" w:rsidRPr="00D749D5" w:rsidRDefault="00787276" w:rsidP="005C4E9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Sostienen que la</w:t>
      </w:r>
      <w:r w:rsidR="00122E48" w:rsidRPr="00D749D5">
        <w:rPr>
          <w:rFonts w:asciiTheme="majorHAnsi" w:hAnsiTheme="majorHAnsi" w:cs="Arial"/>
          <w:sz w:val="20"/>
          <w:szCs w:val="20"/>
          <w:lang w:val="es-ES"/>
        </w:rPr>
        <w:t xml:space="preserve"> </w:t>
      </w:r>
      <w:r w:rsidR="005C4E93" w:rsidRPr="00D749D5">
        <w:rPr>
          <w:rFonts w:asciiTheme="majorHAnsi" w:hAnsiTheme="majorHAnsi" w:cs="Arial"/>
          <w:sz w:val="20"/>
          <w:szCs w:val="20"/>
          <w:lang w:val="es-ES"/>
        </w:rPr>
        <w:t>Procuraduría Delegada para las Fuerzas Militares abrió una investigación disciplinaria preliminar el 31 de octubre de 1994 contra</w:t>
      </w:r>
      <w:r w:rsidR="00A97C53" w:rsidRPr="00D749D5">
        <w:rPr>
          <w:rFonts w:asciiTheme="majorHAnsi" w:hAnsiTheme="majorHAnsi" w:cs="Arial"/>
          <w:sz w:val="20"/>
          <w:szCs w:val="20"/>
          <w:lang w:val="es-ES"/>
        </w:rPr>
        <w:t xml:space="preserve"> doce</w:t>
      </w:r>
      <w:r w:rsidRPr="00D749D5">
        <w:rPr>
          <w:rFonts w:asciiTheme="majorHAnsi" w:hAnsiTheme="majorHAnsi" w:cs="Arial"/>
          <w:sz w:val="20"/>
          <w:szCs w:val="20"/>
          <w:lang w:val="es-ES"/>
        </w:rPr>
        <w:t xml:space="preserve"> </w:t>
      </w:r>
      <w:r w:rsidR="00A97C53" w:rsidRPr="00D749D5">
        <w:rPr>
          <w:rFonts w:asciiTheme="majorHAnsi" w:hAnsiTheme="majorHAnsi" w:cs="Arial"/>
          <w:sz w:val="20"/>
          <w:szCs w:val="20"/>
          <w:lang w:val="es-ES"/>
        </w:rPr>
        <w:t>agentes</w:t>
      </w:r>
      <w:r w:rsidR="00593BAF" w:rsidRPr="00D749D5">
        <w:rPr>
          <w:rStyle w:val="FootnoteReference"/>
          <w:rFonts w:asciiTheme="majorHAnsi" w:hAnsiTheme="majorHAnsi" w:cs="Arial"/>
          <w:sz w:val="20"/>
          <w:szCs w:val="20"/>
          <w:lang w:val="es-ES"/>
        </w:rPr>
        <w:footnoteReference w:id="6"/>
      </w:r>
      <w:r w:rsidR="00593BAF" w:rsidRPr="00D749D5">
        <w:rPr>
          <w:rFonts w:asciiTheme="majorHAnsi" w:hAnsiTheme="majorHAnsi" w:cs="Arial"/>
          <w:sz w:val="20"/>
          <w:szCs w:val="20"/>
          <w:lang w:val="es-ES"/>
        </w:rPr>
        <w:t>.</w:t>
      </w:r>
    </w:p>
    <w:p w14:paraId="78F8AA4D" w14:textId="6AC4E52A" w:rsidR="00AB6E37" w:rsidRPr="00D749D5" w:rsidRDefault="00FA733C" w:rsidP="00A021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Indican que la i</w:t>
      </w:r>
      <w:r w:rsidR="00A021C0" w:rsidRPr="00D749D5">
        <w:rPr>
          <w:rFonts w:asciiTheme="majorHAnsi" w:hAnsiTheme="majorHAnsi" w:cs="Arial"/>
          <w:sz w:val="20"/>
          <w:szCs w:val="20"/>
          <w:lang w:val="es-ES"/>
        </w:rPr>
        <w:t xml:space="preserve">nvestigación disciplinaria </w:t>
      </w:r>
      <w:r w:rsidRPr="00D749D5">
        <w:rPr>
          <w:rFonts w:asciiTheme="majorHAnsi" w:hAnsiTheme="majorHAnsi" w:cs="Arial"/>
          <w:sz w:val="20"/>
          <w:szCs w:val="20"/>
          <w:lang w:val="es-ES"/>
        </w:rPr>
        <w:t xml:space="preserve">decía relación con </w:t>
      </w:r>
      <w:r w:rsidR="00A021C0" w:rsidRPr="00D749D5">
        <w:rPr>
          <w:rFonts w:asciiTheme="majorHAnsi" w:hAnsiTheme="majorHAnsi" w:cs="Arial"/>
          <w:sz w:val="20"/>
          <w:szCs w:val="20"/>
          <w:lang w:val="es-ES"/>
        </w:rPr>
        <w:t>las ejecuciones extrajudiciale</w:t>
      </w:r>
      <w:r w:rsidR="00A97C53" w:rsidRPr="00D749D5">
        <w:rPr>
          <w:rFonts w:asciiTheme="majorHAnsi" w:hAnsiTheme="majorHAnsi" w:cs="Arial"/>
          <w:sz w:val="20"/>
          <w:szCs w:val="20"/>
          <w:lang w:val="es-ES"/>
        </w:rPr>
        <w:t>s de</w:t>
      </w:r>
      <w:r w:rsidR="00A021C0" w:rsidRPr="00D749D5">
        <w:rPr>
          <w:rFonts w:asciiTheme="majorHAnsi" w:hAnsiTheme="majorHAnsi" w:cs="Arial"/>
          <w:sz w:val="20"/>
          <w:szCs w:val="20"/>
          <w:lang w:val="es-ES"/>
        </w:rPr>
        <w:t xml:space="preserve"> </w:t>
      </w:r>
      <w:r w:rsidR="001852FA" w:rsidRPr="00D749D5">
        <w:rPr>
          <w:rFonts w:asciiTheme="majorHAnsi" w:hAnsiTheme="majorHAnsi" w:cs="Arial"/>
          <w:sz w:val="20"/>
          <w:szCs w:val="20"/>
          <w:lang w:val="es-ES"/>
        </w:rPr>
        <w:t>48 personas</w:t>
      </w:r>
      <w:r w:rsidR="005C1FD5" w:rsidRPr="00D749D5">
        <w:rPr>
          <w:rStyle w:val="FootnoteReference"/>
          <w:rFonts w:asciiTheme="majorHAnsi" w:hAnsiTheme="majorHAnsi" w:cs="Arial"/>
          <w:sz w:val="20"/>
          <w:szCs w:val="20"/>
          <w:lang w:val="es-ES"/>
        </w:rPr>
        <w:footnoteReference w:id="7"/>
      </w:r>
      <w:r w:rsidR="005C1FD5" w:rsidRPr="00D749D5">
        <w:rPr>
          <w:rFonts w:asciiTheme="majorHAnsi" w:hAnsiTheme="majorHAnsi" w:cs="Arial"/>
          <w:sz w:val="20"/>
          <w:szCs w:val="20"/>
          <w:lang w:val="es-ES"/>
        </w:rPr>
        <w:t xml:space="preserve"> </w:t>
      </w:r>
      <w:r w:rsidRPr="00D749D5">
        <w:rPr>
          <w:rFonts w:asciiTheme="majorHAnsi" w:hAnsiTheme="majorHAnsi" w:cs="Arial"/>
          <w:sz w:val="20"/>
          <w:szCs w:val="20"/>
          <w:lang w:val="es-ES"/>
        </w:rPr>
        <w:t xml:space="preserve">y </w:t>
      </w:r>
      <w:r w:rsidR="00A021C0" w:rsidRPr="00D749D5">
        <w:rPr>
          <w:rFonts w:asciiTheme="majorHAnsi" w:hAnsiTheme="majorHAnsi" w:cs="Arial"/>
          <w:sz w:val="20"/>
          <w:szCs w:val="20"/>
          <w:lang w:val="es-ES"/>
        </w:rPr>
        <w:t>por las lesi</w:t>
      </w:r>
      <w:r w:rsidR="00A01483" w:rsidRPr="00D749D5">
        <w:rPr>
          <w:rFonts w:asciiTheme="majorHAnsi" w:hAnsiTheme="majorHAnsi" w:cs="Arial"/>
          <w:sz w:val="20"/>
          <w:szCs w:val="20"/>
          <w:lang w:val="es-ES"/>
        </w:rPr>
        <w:t xml:space="preserve">ones </w:t>
      </w:r>
      <w:r w:rsidR="00A021C0" w:rsidRPr="00D749D5">
        <w:rPr>
          <w:rFonts w:asciiTheme="majorHAnsi" w:hAnsiTheme="majorHAnsi" w:cs="Arial"/>
          <w:sz w:val="20"/>
          <w:szCs w:val="20"/>
          <w:lang w:val="es-ES"/>
        </w:rPr>
        <w:t xml:space="preserve">de </w:t>
      </w:r>
      <w:r w:rsidR="00DC613E" w:rsidRPr="00D749D5">
        <w:rPr>
          <w:rFonts w:asciiTheme="majorHAnsi" w:hAnsiTheme="majorHAnsi" w:cs="Arial"/>
          <w:sz w:val="20"/>
          <w:szCs w:val="20"/>
          <w:lang w:val="es-ES"/>
        </w:rPr>
        <w:t>cuatro personas</w:t>
      </w:r>
      <w:r w:rsidR="00397CA8" w:rsidRPr="00D749D5">
        <w:rPr>
          <w:rStyle w:val="FootnoteReference"/>
          <w:rFonts w:asciiTheme="majorHAnsi" w:hAnsiTheme="majorHAnsi" w:cs="Arial"/>
          <w:sz w:val="20"/>
          <w:szCs w:val="20"/>
          <w:lang w:val="es-ES"/>
        </w:rPr>
        <w:footnoteReference w:id="8"/>
      </w:r>
      <w:r w:rsidR="00A021C0" w:rsidRPr="00D749D5">
        <w:rPr>
          <w:rFonts w:asciiTheme="majorHAnsi" w:hAnsiTheme="majorHAnsi" w:cs="Arial"/>
          <w:sz w:val="20"/>
          <w:szCs w:val="20"/>
          <w:lang w:val="es-ES"/>
        </w:rPr>
        <w:t>.</w:t>
      </w:r>
      <w:r w:rsidR="00DC613E" w:rsidRPr="00D749D5">
        <w:rPr>
          <w:rFonts w:asciiTheme="majorHAnsi" w:hAnsiTheme="majorHAnsi" w:cs="Arial"/>
          <w:sz w:val="20"/>
          <w:szCs w:val="20"/>
          <w:lang w:val="es-ES"/>
        </w:rPr>
        <w:t xml:space="preserve"> </w:t>
      </w:r>
    </w:p>
    <w:p w14:paraId="76AA4979" w14:textId="19723BFB" w:rsidR="00AB6E37" w:rsidRPr="00D749D5" w:rsidRDefault="00AB26ED" w:rsidP="00AB26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lastRenderedPageBreak/>
        <w:t>Los peticionarios sostienen que el 16 de agosto de 1995, la Procuraduría Delegada para las Fuerzas Militares remitió por competencia el proceso a la Procuraduría Delegada para la Defensa de los Derechos Humanos y propuso colisión negativa de competencia ante el Procurador General de la Nación</w:t>
      </w:r>
      <w:r w:rsidR="0013001F" w:rsidRPr="00D749D5">
        <w:rPr>
          <w:rFonts w:asciiTheme="majorHAnsi" w:hAnsiTheme="majorHAnsi" w:cs="Arial"/>
          <w:sz w:val="20"/>
          <w:szCs w:val="20"/>
          <w:lang w:val="es-ES"/>
        </w:rPr>
        <w:t>, quien el</w:t>
      </w:r>
      <w:r w:rsidRPr="00D749D5">
        <w:rPr>
          <w:rFonts w:asciiTheme="majorHAnsi" w:hAnsiTheme="majorHAnsi" w:cs="Arial"/>
          <w:sz w:val="20"/>
          <w:szCs w:val="20"/>
          <w:lang w:val="es-ES"/>
        </w:rPr>
        <w:t xml:space="preserve"> 17 de abril de 1997, </w:t>
      </w:r>
      <w:r w:rsidR="0013001F" w:rsidRPr="00D749D5">
        <w:rPr>
          <w:rFonts w:asciiTheme="majorHAnsi" w:hAnsiTheme="majorHAnsi" w:cs="Arial"/>
          <w:sz w:val="20"/>
          <w:szCs w:val="20"/>
          <w:lang w:val="es-ES"/>
        </w:rPr>
        <w:t xml:space="preserve">dirimió </w:t>
      </w:r>
      <w:r w:rsidRPr="00D749D5">
        <w:rPr>
          <w:rFonts w:asciiTheme="majorHAnsi" w:hAnsiTheme="majorHAnsi" w:cs="Arial"/>
          <w:sz w:val="20"/>
          <w:szCs w:val="20"/>
          <w:lang w:val="es-ES"/>
        </w:rPr>
        <w:t xml:space="preserve">el conflicto y le </w:t>
      </w:r>
      <w:r w:rsidR="0013001F" w:rsidRPr="00D749D5">
        <w:rPr>
          <w:rFonts w:asciiTheme="majorHAnsi" w:hAnsiTheme="majorHAnsi" w:cs="Arial"/>
          <w:sz w:val="20"/>
          <w:szCs w:val="20"/>
          <w:lang w:val="es-ES"/>
        </w:rPr>
        <w:t>asignó</w:t>
      </w:r>
      <w:r w:rsidRPr="00D749D5">
        <w:rPr>
          <w:rFonts w:asciiTheme="majorHAnsi" w:hAnsiTheme="majorHAnsi" w:cs="Arial"/>
          <w:sz w:val="20"/>
          <w:szCs w:val="20"/>
          <w:lang w:val="es-ES"/>
        </w:rPr>
        <w:t xml:space="preserve"> a Procuraduría Delegada para la Defensa de los Derechos Humanos la competencia.</w:t>
      </w:r>
      <w:r w:rsidR="00001C6A">
        <w:rPr>
          <w:rFonts w:asciiTheme="majorHAnsi" w:hAnsiTheme="majorHAnsi" w:cs="Arial"/>
          <w:sz w:val="20"/>
          <w:szCs w:val="20"/>
          <w:lang w:val="es-ES"/>
        </w:rPr>
        <w:t xml:space="preserve"> </w:t>
      </w:r>
    </w:p>
    <w:p w14:paraId="7DD1B0BF" w14:textId="4D9479A3" w:rsidR="00C21113" w:rsidRPr="00D749D5" w:rsidRDefault="00C21113" w:rsidP="00C2111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 xml:space="preserve">Refieren que el 30 de septiembre de 1998, la Procuraduría Delegada para la </w:t>
      </w:r>
      <w:r w:rsidR="00B5691F" w:rsidRPr="00D749D5">
        <w:rPr>
          <w:rFonts w:asciiTheme="majorHAnsi" w:hAnsiTheme="majorHAnsi" w:cs="Arial"/>
          <w:sz w:val="20"/>
          <w:szCs w:val="20"/>
          <w:lang w:val="es-ES"/>
        </w:rPr>
        <w:t>Defensa de los Derechos Humanos</w:t>
      </w:r>
      <w:r w:rsidRPr="00D749D5">
        <w:rPr>
          <w:rFonts w:asciiTheme="majorHAnsi" w:hAnsiTheme="majorHAnsi" w:cs="Arial"/>
          <w:sz w:val="20"/>
          <w:szCs w:val="20"/>
          <w:lang w:val="es-ES"/>
        </w:rPr>
        <w:t xml:space="preserve"> </w:t>
      </w:r>
      <w:r w:rsidR="00647FA3" w:rsidRPr="00D749D5">
        <w:rPr>
          <w:rFonts w:asciiTheme="majorHAnsi" w:hAnsiTheme="majorHAnsi" w:cs="Arial"/>
          <w:sz w:val="20"/>
          <w:szCs w:val="20"/>
          <w:lang w:val="es-ES"/>
        </w:rPr>
        <w:t xml:space="preserve">sancionó con “reprensión severa” </w:t>
      </w:r>
      <w:r w:rsidRPr="00D749D5">
        <w:rPr>
          <w:rFonts w:asciiTheme="majorHAnsi" w:hAnsiTheme="majorHAnsi" w:cs="Arial"/>
          <w:sz w:val="20"/>
          <w:szCs w:val="20"/>
          <w:lang w:val="es-ES"/>
        </w:rPr>
        <w:t>al Teniente Coronel Rodrigo Quiñones Cárdenas,</w:t>
      </w:r>
      <w:r w:rsidR="00001C6A">
        <w:rPr>
          <w:rFonts w:asciiTheme="majorHAnsi" w:hAnsiTheme="majorHAnsi" w:cs="Arial"/>
          <w:sz w:val="20"/>
          <w:szCs w:val="20"/>
          <w:lang w:val="es-ES"/>
        </w:rPr>
        <w:t xml:space="preserve"> </w:t>
      </w:r>
      <w:r w:rsidRPr="00D749D5">
        <w:rPr>
          <w:rFonts w:asciiTheme="majorHAnsi" w:hAnsiTheme="majorHAnsi" w:cs="Arial"/>
          <w:sz w:val="20"/>
          <w:szCs w:val="20"/>
          <w:lang w:val="es-ES"/>
        </w:rPr>
        <w:t>Mayor de Infantería Jairo Enrique Osorio Morales, Mayor de Infantería Walter Javier Hurtado Morales, Mayor José Fernando Lee Uribe y Suboficial Tercero de la Armada Nacional</w:t>
      </w:r>
      <w:r w:rsidR="005B2599" w:rsidRPr="00D749D5">
        <w:rPr>
          <w:rFonts w:asciiTheme="majorHAnsi" w:hAnsiTheme="majorHAnsi" w:cs="Arial"/>
          <w:sz w:val="20"/>
          <w:szCs w:val="20"/>
          <w:lang w:val="es-ES"/>
        </w:rPr>
        <w:t xml:space="preserve"> (R)</w:t>
      </w:r>
      <w:r w:rsidR="00647FA3" w:rsidRPr="00D749D5">
        <w:rPr>
          <w:rFonts w:asciiTheme="majorHAnsi" w:hAnsiTheme="majorHAnsi" w:cs="Arial"/>
          <w:sz w:val="20"/>
          <w:szCs w:val="20"/>
          <w:lang w:val="es-ES"/>
        </w:rPr>
        <w:t xml:space="preserve"> </w:t>
      </w:r>
      <w:r w:rsidRPr="00D749D5">
        <w:rPr>
          <w:rFonts w:asciiTheme="majorHAnsi" w:hAnsiTheme="majorHAnsi" w:cs="Arial"/>
          <w:sz w:val="20"/>
          <w:szCs w:val="20"/>
          <w:lang w:val="es-ES"/>
        </w:rPr>
        <w:t xml:space="preserve">Carlos David López Maquillón. </w:t>
      </w:r>
    </w:p>
    <w:p w14:paraId="70769116" w14:textId="12DC232C" w:rsidR="00113F71" w:rsidRPr="00D749D5" w:rsidRDefault="0094079E" w:rsidP="000A20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Indican que e</w:t>
      </w:r>
      <w:r w:rsidR="00012DCD" w:rsidRPr="00D749D5">
        <w:rPr>
          <w:rFonts w:asciiTheme="majorHAnsi" w:hAnsiTheme="majorHAnsi" w:cs="Arial"/>
          <w:sz w:val="20"/>
          <w:szCs w:val="20"/>
          <w:lang w:val="es-ES"/>
        </w:rPr>
        <w:t xml:space="preserve">l 23 de noviembre del 2000, la Procuraduría General </w:t>
      </w:r>
      <w:r w:rsidRPr="00D749D5">
        <w:rPr>
          <w:rFonts w:asciiTheme="majorHAnsi" w:hAnsiTheme="majorHAnsi" w:cs="Arial"/>
          <w:sz w:val="20"/>
          <w:szCs w:val="20"/>
          <w:lang w:val="es-ES"/>
        </w:rPr>
        <w:t>de la Nación</w:t>
      </w:r>
      <w:r w:rsidR="00012DCD" w:rsidRPr="00D749D5">
        <w:rPr>
          <w:rFonts w:asciiTheme="majorHAnsi" w:hAnsiTheme="majorHAnsi" w:cs="Arial"/>
          <w:sz w:val="20"/>
          <w:szCs w:val="20"/>
          <w:lang w:val="es-ES"/>
        </w:rPr>
        <w:t xml:space="preserve"> declaró prescrita la acción disciplinaria a favor de Rodrigo Quiñones Cárdenas, Jairo Enrique Osorio Morales, Walter Javier Hurtado Morales y José Fernando Lee Uribe</w:t>
      </w:r>
      <w:r w:rsidRPr="00D749D5">
        <w:rPr>
          <w:rFonts w:asciiTheme="majorHAnsi" w:hAnsiTheme="majorHAnsi" w:cs="Arial"/>
          <w:sz w:val="20"/>
          <w:szCs w:val="20"/>
          <w:lang w:val="es-ES"/>
        </w:rPr>
        <w:t xml:space="preserve">, y </w:t>
      </w:r>
      <w:r w:rsidR="00012DCD" w:rsidRPr="00D749D5">
        <w:rPr>
          <w:rFonts w:asciiTheme="majorHAnsi" w:hAnsiTheme="majorHAnsi" w:cs="Arial"/>
          <w:sz w:val="20"/>
          <w:szCs w:val="20"/>
          <w:lang w:val="es-ES"/>
        </w:rPr>
        <w:t>Carlos David López Maquillón</w:t>
      </w:r>
      <w:r w:rsidR="00E47D60" w:rsidRPr="00D749D5">
        <w:rPr>
          <w:rFonts w:asciiTheme="majorHAnsi" w:hAnsiTheme="majorHAnsi" w:cs="Arial"/>
          <w:sz w:val="20"/>
          <w:szCs w:val="20"/>
          <w:lang w:val="es-ES"/>
        </w:rPr>
        <w:t xml:space="preserve">, y </w:t>
      </w:r>
      <w:r w:rsidRPr="00D749D5">
        <w:rPr>
          <w:rFonts w:asciiTheme="majorHAnsi" w:hAnsiTheme="majorHAnsi" w:cs="Arial"/>
          <w:sz w:val="20"/>
          <w:szCs w:val="20"/>
          <w:lang w:val="es-ES"/>
        </w:rPr>
        <w:t>que el 12 de marzo de 2001 se dio</w:t>
      </w:r>
      <w:r w:rsidR="00012DCD" w:rsidRPr="00D749D5">
        <w:rPr>
          <w:rFonts w:asciiTheme="majorHAnsi" w:hAnsiTheme="majorHAnsi" w:cs="Arial"/>
          <w:sz w:val="20"/>
          <w:szCs w:val="20"/>
          <w:lang w:val="es-ES"/>
        </w:rPr>
        <w:t xml:space="preserve"> culminación a la investigación discipl</w:t>
      </w:r>
      <w:r w:rsidR="00712F84" w:rsidRPr="00D749D5">
        <w:rPr>
          <w:rFonts w:asciiTheme="majorHAnsi" w:hAnsiTheme="majorHAnsi" w:cs="Arial"/>
          <w:sz w:val="20"/>
          <w:szCs w:val="20"/>
          <w:lang w:val="es-ES"/>
        </w:rPr>
        <w:t>inaria y se decretó su archivo</w:t>
      </w:r>
      <w:r w:rsidR="00012DCD" w:rsidRPr="00D749D5">
        <w:rPr>
          <w:rFonts w:asciiTheme="majorHAnsi" w:hAnsiTheme="majorHAnsi" w:cs="Arial"/>
          <w:sz w:val="20"/>
          <w:szCs w:val="20"/>
          <w:lang w:val="es-ES"/>
        </w:rPr>
        <w:t>.</w:t>
      </w:r>
      <w:r w:rsidR="00122E48" w:rsidRPr="00D749D5">
        <w:rPr>
          <w:rFonts w:asciiTheme="majorHAnsi" w:hAnsiTheme="majorHAnsi" w:cs="Arial"/>
          <w:sz w:val="20"/>
          <w:szCs w:val="20"/>
          <w:lang w:val="es-ES"/>
        </w:rPr>
        <w:t xml:space="preserve"> </w:t>
      </w:r>
    </w:p>
    <w:p w14:paraId="0FA8E305" w14:textId="77777777" w:rsidR="00A41EFB" w:rsidRPr="00D749D5" w:rsidRDefault="00A41EFB" w:rsidP="00251D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Theme="majorHAnsi" w:hAnsiTheme="majorHAnsi" w:cs="Arial"/>
          <w:b/>
          <w:sz w:val="20"/>
          <w:szCs w:val="20"/>
          <w:lang w:val="es-ES"/>
        </w:rPr>
      </w:pPr>
      <w:r w:rsidRPr="00D749D5">
        <w:rPr>
          <w:rFonts w:asciiTheme="majorHAnsi" w:hAnsiTheme="majorHAnsi" w:cs="Arial"/>
          <w:b/>
          <w:sz w:val="20"/>
          <w:szCs w:val="20"/>
          <w:lang w:val="es-ES"/>
        </w:rPr>
        <w:t>Proceso contencioso administrativo</w:t>
      </w:r>
    </w:p>
    <w:p w14:paraId="07C429F2" w14:textId="4485DF5E" w:rsidR="00D63917" w:rsidRPr="00D63917" w:rsidRDefault="00D63917" w:rsidP="00D639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3917">
        <w:rPr>
          <w:rFonts w:asciiTheme="majorHAnsi" w:hAnsiTheme="majorHAnsi" w:cs="Arial"/>
          <w:sz w:val="20"/>
          <w:szCs w:val="20"/>
          <w:lang w:val="es-ES"/>
        </w:rPr>
        <w:t xml:space="preserve">Los peticionarios indican que familiares de varias de las víctimas interpusieron demandas ante la jurisdicción contencioso administrativa, a fin de que se declarara la responsabilidad del Estado y se dispusieran las indemnizaciones por los daños causados. Refieren que por razones de competencia territorial, las demandas fueron presentadas ante el Tribunal Administrativo de Santander, el que falló las mismas en favor de los familiares de las víctimas y condenó al Estado. Indican que no obstante, el Consejo de Estado, conociendo en segunda instancia, revocó sistemáticamente las decisiones, descartando lo hallado en las investigaciones y decisiones disciplinarias y penales ordinarias, ateniéndose a los resultados de las actuaciones de la jurisdicción penal militar como única verdad procesal. </w:t>
      </w:r>
    </w:p>
    <w:p w14:paraId="0B89EE60" w14:textId="0C3358C8" w:rsidR="00D63917" w:rsidRPr="00D63917" w:rsidRDefault="00D63917" w:rsidP="00D639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3917">
        <w:rPr>
          <w:rFonts w:asciiTheme="majorHAnsi" w:hAnsiTheme="majorHAnsi" w:cs="Arial"/>
          <w:sz w:val="20"/>
          <w:szCs w:val="20"/>
          <w:lang w:val="es-ES"/>
        </w:rPr>
        <w:t>Refieren que los familiares de Felipe Colmenares Rueda, Ligia Patricia Cortes Colmenares, Parmenio Ruiz Suárez, Ismael Jaimes Cortes, Pablo Guerra Herrera, Luis Jesús Rueda Viviescas, Pedro David Villareal San</w:t>
      </w:r>
      <w:r w:rsidR="00FB01BD">
        <w:rPr>
          <w:rFonts w:asciiTheme="majorHAnsi" w:hAnsiTheme="majorHAnsi" w:cs="Arial"/>
          <w:sz w:val="20"/>
          <w:szCs w:val="20"/>
          <w:lang w:val="es-ES"/>
        </w:rPr>
        <w:t>tamaría, Yeimi Herrera Vásquez,</w:t>
      </w:r>
      <w:r w:rsidRPr="00D63917">
        <w:rPr>
          <w:rFonts w:asciiTheme="majorHAnsi" w:hAnsiTheme="majorHAnsi" w:cs="Arial"/>
          <w:sz w:val="20"/>
          <w:szCs w:val="20"/>
          <w:lang w:val="es-ES"/>
        </w:rPr>
        <w:t xml:space="preserve"> Eduviges López Ruiz, Luis Guillermo Niño Berbeo, José Domingo Amaya Parra, Evelio, Pablo Elías y Leonardo Córdoba Cavanzo, Julio César Berrío Villegas, y Luis Fernando León Cáceres presentaron demandas en su mayoría en el año 1994 ante el tribunal administrativo. </w:t>
      </w:r>
    </w:p>
    <w:p w14:paraId="458A9AF6" w14:textId="2175FED1" w:rsidR="00D63917" w:rsidRPr="00D63917" w:rsidRDefault="00D63917" w:rsidP="00D639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63917">
        <w:rPr>
          <w:rFonts w:asciiTheme="majorHAnsi" w:hAnsiTheme="majorHAnsi" w:cs="Arial"/>
          <w:sz w:val="20"/>
          <w:szCs w:val="20"/>
          <w:lang w:val="es-ES"/>
        </w:rPr>
        <w:t>En particular, sostienen que en el caso de Felipe Colmenares Rueda, se denegaron las pretensiones en primera instancia, y en apelación se declaró precluída la procedencia del recurso de queja por lo que el caso se encuentra archivado desde el 6 de abril de 2007. Asimismo, sobre los casos de Ligia Patricia Cortes Colmenares y Parmenio Ruiz Suárez, indican que el 30 de abril de 2009 se profirió sentencia que niega todas las pretensiones</w:t>
      </w:r>
      <w:r w:rsidR="00FB01BD">
        <w:rPr>
          <w:rFonts w:asciiTheme="majorHAnsi" w:hAnsiTheme="majorHAnsi" w:cs="Arial"/>
          <w:sz w:val="20"/>
          <w:szCs w:val="20"/>
          <w:lang w:val="es-ES"/>
        </w:rPr>
        <w:t>,</w:t>
      </w:r>
      <w:r w:rsidRPr="00D63917">
        <w:rPr>
          <w:rFonts w:asciiTheme="majorHAnsi" w:hAnsiTheme="majorHAnsi" w:cs="Arial"/>
          <w:sz w:val="20"/>
          <w:szCs w:val="20"/>
          <w:lang w:val="es-ES"/>
        </w:rPr>
        <w:t xml:space="preserve"> sin referir la presentación de recursos impugnatorios</w:t>
      </w:r>
      <w:r w:rsidR="00FB01BD">
        <w:rPr>
          <w:rFonts w:asciiTheme="majorHAnsi" w:hAnsiTheme="majorHAnsi" w:cs="Arial"/>
          <w:sz w:val="20"/>
          <w:szCs w:val="20"/>
          <w:lang w:val="es-ES"/>
        </w:rPr>
        <w:t xml:space="preserve"> posteriores</w:t>
      </w:r>
      <w:r w:rsidRPr="00D63917">
        <w:rPr>
          <w:rFonts w:asciiTheme="majorHAnsi" w:hAnsiTheme="majorHAnsi" w:cs="Arial"/>
          <w:sz w:val="20"/>
          <w:szCs w:val="20"/>
          <w:lang w:val="es-ES"/>
        </w:rPr>
        <w:t xml:space="preserve">. Finalmente, en </w:t>
      </w:r>
      <w:r w:rsidR="00FB01BD">
        <w:rPr>
          <w:rFonts w:asciiTheme="majorHAnsi" w:hAnsiTheme="majorHAnsi" w:cs="Arial"/>
          <w:sz w:val="20"/>
          <w:szCs w:val="20"/>
          <w:lang w:val="es-ES"/>
        </w:rPr>
        <w:t>l</w:t>
      </w:r>
      <w:r w:rsidR="00B64FAC">
        <w:rPr>
          <w:rFonts w:asciiTheme="majorHAnsi" w:hAnsiTheme="majorHAnsi" w:cs="Arial"/>
          <w:sz w:val="20"/>
          <w:szCs w:val="20"/>
          <w:lang w:val="es-ES"/>
        </w:rPr>
        <w:t xml:space="preserve">os </w:t>
      </w:r>
      <w:r w:rsidRPr="00D63917">
        <w:rPr>
          <w:rFonts w:asciiTheme="majorHAnsi" w:hAnsiTheme="majorHAnsi" w:cs="Arial"/>
          <w:sz w:val="20"/>
          <w:szCs w:val="20"/>
          <w:lang w:val="es-ES"/>
        </w:rPr>
        <w:t xml:space="preserve">demás casos, </w:t>
      </w:r>
      <w:r w:rsidR="00FB01BD">
        <w:rPr>
          <w:rFonts w:asciiTheme="majorHAnsi" w:hAnsiTheme="majorHAnsi" w:cs="Arial"/>
          <w:sz w:val="20"/>
          <w:szCs w:val="20"/>
          <w:lang w:val="es-ES"/>
        </w:rPr>
        <w:t xml:space="preserve">alegan que </w:t>
      </w:r>
      <w:r w:rsidRPr="00D63917">
        <w:rPr>
          <w:rFonts w:asciiTheme="majorHAnsi" w:hAnsiTheme="majorHAnsi" w:cs="Arial"/>
          <w:sz w:val="20"/>
          <w:szCs w:val="20"/>
          <w:lang w:val="es-ES"/>
        </w:rPr>
        <w:t>el Consejo de Estado entre los años 2006 y 2010 profirió sentencias en última instancia, que rechazaban las demandas interpuestas, ya fuera revocando las sentencias proferidas</w:t>
      </w:r>
      <w:r w:rsidR="00FB01BD">
        <w:rPr>
          <w:rFonts w:asciiTheme="majorHAnsi" w:hAnsiTheme="majorHAnsi" w:cs="Arial"/>
          <w:sz w:val="20"/>
          <w:szCs w:val="20"/>
          <w:lang w:val="es-ES"/>
        </w:rPr>
        <w:t xml:space="preserve"> en primera instancia</w:t>
      </w:r>
      <w:r w:rsidRPr="00D63917">
        <w:rPr>
          <w:rFonts w:asciiTheme="majorHAnsi" w:hAnsiTheme="majorHAnsi" w:cs="Arial"/>
          <w:sz w:val="20"/>
          <w:szCs w:val="20"/>
          <w:lang w:val="es-ES"/>
        </w:rPr>
        <w:t xml:space="preserve"> en su favor, o confirmando aquellas que rechazaban sus pretensiones.</w:t>
      </w:r>
    </w:p>
    <w:p w14:paraId="5E024202" w14:textId="77777777" w:rsidR="00AC2691" w:rsidRPr="00D749D5" w:rsidRDefault="005822B4" w:rsidP="00E616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 xml:space="preserve">En cuanto al agotamiento de los recursos internos, los peticionarios indican que </w:t>
      </w:r>
      <w:r w:rsidR="00E616BD" w:rsidRPr="00D749D5">
        <w:rPr>
          <w:rFonts w:asciiTheme="majorHAnsi" w:hAnsiTheme="majorHAnsi" w:cs="Arial"/>
          <w:sz w:val="20"/>
          <w:szCs w:val="20"/>
          <w:lang w:val="es-ES"/>
        </w:rPr>
        <w:t>la</w:t>
      </w:r>
      <w:r w:rsidR="00122E48" w:rsidRPr="00D749D5">
        <w:rPr>
          <w:rFonts w:asciiTheme="majorHAnsi" w:hAnsiTheme="majorHAnsi" w:cs="Arial"/>
          <w:sz w:val="20"/>
          <w:szCs w:val="20"/>
          <w:lang w:val="es-ES"/>
        </w:rPr>
        <w:t xml:space="preserve"> </w:t>
      </w:r>
      <w:r w:rsidR="00E616BD" w:rsidRPr="00D749D5">
        <w:rPr>
          <w:rFonts w:asciiTheme="majorHAnsi" w:hAnsiTheme="majorHAnsi" w:cs="Arial"/>
          <w:sz w:val="20"/>
          <w:szCs w:val="20"/>
          <w:lang w:val="es-ES"/>
        </w:rPr>
        <w:t xml:space="preserve">actuación de la jurisdicción penal militar estuvo dirigida a obtener la impunidad de los crímenes cometidos por los miembros de la Red No. 7 de la Armada Nacional, y señalan que las decisiones de la jurisdicción penal militar </w:t>
      </w:r>
      <w:r w:rsidR="00E616BD" w:rsidRPr="00D749D5">
        <w:rPr>
          <w:rFonts w:asciiTheme="majorHAnsi" w:hAnsiTheme="majorHAnsi" w:cs="Arial"/>
          <w:sz w:val="20"/>
          <w:szCs w:val="20"/>
          <w:lang w:val="es-ES"/>
        </w:rPr>
        <w:lastRenderedPageBreak/>
        <w:t>fueron el principal argumento invocado por la jurisdicción contenciosa administrativa para denegar, en segunda instancia, las acciones de reparación incoadas.</w:t>
      </w:r>
    </w:p>
    <w:p w14:paraId="17AB261D" w14:textId="507B7AB2" w:rsidR="00FC3BBD" w:rsidRPr="00D749D5" w:rsidRDefault="00FC3BBD" w:rsidP="00FC3B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 xml:space="preserve">Por otra parte, en cuanto al proceso penal tramitado por la jurisdicción ordinaria, </w:t>
      </w:r>
      <w:r w:rsidR="005C555E" w:rsidRPr="00D749D5">
        <w:rPr>
          <w:rFonts w:asciiTheme="majorHAnsi" w:hAnsiTheme="majorHAnsi" w:cs="Arial"/>
          <w:sz w:val="20"/>
          <w:szCs w:val="20"/>
          <w:lang w:val="es-ES"/>
        </w:rPr>
        <w:t xml:space="preserve">alegan que </w:t>
      </w:r>
      <w:r w:rsidRPr="00D749D5">
        <w:rPr>
          <w:rFonts w:asciiTheme="majorHAnsi" w:hAnsiTheme="majorHAnsi" w:cs="Arial"/>
          <w:sz w:val="20"/>
          <w:szCs w:val="20"/>
          <w:lang w:val="es-ES"/>
        </w:rPr>
        <w:t>principalmente en razón de la intervención de la jurisdicción penal militar, no arrojó resultados en cuanto a</w:t>
      </w:r>
      <w:r w:rsidR="00F865C9" w:rsidRPr="00D749D5">
        <w:rPr>
          <w:rFonts w:asciiTheme="majorHAnsi" w:hAnsiTheme="majorHAnsi" w:cs="Arial"/>
          <w:sz w:val="20"/>
          <w:szCs w:val="20"/>
          <w:lang w:val="es-ES"/>
        </w:rPr>
        <w:t>l</w:t>
      </w:r>
      <w:r w:rsidRPr="00D749D5">
        <w:rPr>
          <w:rFonts w:asciiTheme="majorHAnsi" w:hAnsiTheme="majorHAnsi" w:cs="Arial"/>
          <w:sz w:val="20"/>
          <w:szCs w:val="20"/>
          <w:lang w:val="es-ES"/>
        </w:rPr>
        <w:t xml:space="preserve"> </w:t>
      </w:r>
      <w:r w:rsidR="00F865C9" w:rsidRPr="00D749D5">
        <w:rPr>
          <w:rFonts w:asciiTheme="majorHAnsi" w:hAnsiTheme="majorHAnsi" w:cs="Arial"/>
          <w:sz w:val="20"/>
          <w:szCs w:val="20"/>
          <w:lang w:val="es-ES"/>
        </w:rPr>
        <w:t>esclarecimiento</w:t>
      </w:r>
      <w:r w:rsidRPr="00D749D5">
        <w:rPr>
          <w:rFonts w:asciiTheme="majorHAnsi" w:hAnsiTheme="majorHAnsi" w:cs="Arial"/>
          <w:sz w:val="20"/>
          <w:szCs w:val="20"/>
          <w:lang w:val="es-ES"/>
        </w:rPr>
        <w:t xml:space="preserve"> de todos los crímene</w:t>
      </w:r>
      <w:r w:rsidR="00F865C9" w:rsidRPr="00D749D5">
        <w:rPr>
          <w:rFonts w:asciiTheme="majorHAnsi" w:hAnsiTheme="majorHAnsi" w:cs="Arial"/>
          <w:sz w:val="20"/>
          <w:szCs w:val="20"/>
          <w:lang w:val="es-ES"/>
        </w:rPr>
        <w:t>s</w:t>
      </w:r>
      <w:r w:rsidRPr="00D749D5">
        <w:rPr>
          <w:rFonts w:asciiTheme="majorHAnsi" w:hAnsiTheme="majorHAnsi" w:cs="Arial"/>
          <w:sz w:val="20"/>
          <w:szCs w:val="20"/>
          <w:lang w:val="es-ES"/>
        </w:rPr>
        <w:t xml:space="preserve"> y responsables</w:t>
      </w:r>
      <w:r w:rsidR="00F865C9" w:rsidRPr="00D749D5">
        <w:rPr>
          <w:rFonts w:asciiTheme="majorHAnsi" w:hAnsiTheme="majorHAnsi" w:cs="Arial"/>
          <w:sz w:val="20"/>
          <w:szCs w:val="20"/>
          <w:lang w:val="es-ES"/>
        </w:rPr>
        <w:t xml:space="preserve">, y que </w:t>
      </w:r>
      <w:r w:rsidRPr="00D749D5">
        <w:rPr>
          <w:rFonts w:asciiTheme="majorHAnsi" w:hAnsiTheme="majorHAnsi" w:cs="Arial"/>
          <w:sz w:val="20"/>
          <w:szCs w:val="20"/>
          <w:lang w:val="es-ES"/>
        </w:rPr>
        <w:t>no fueron sancionados todos los autores y partícipes de estos ilícitos penales.</w:t>
      </w:r>
      <w:r w:rsidR="00001C6A">
        <w:rPr>
          <w:rFonts w:asciiTheme="majorHAnsi" w:hAnsiTheme="majorHAnsi" w:cs="Arial"/>
          <w:sz w:val="20"/>
          <w:szCs w:val="20"/>
          <w:lang w:val="es-ES"/>
        </w:rPr>
        <w:t xml:space="preserve"> </w:t>
      </w:r>
    </w:p>
    <w:p w14:paraId="1BE1E2C8" w14:textId="2F8BD6E1" w:rsidR="00B91594" w:rsidRPr="00D749D5" w:rsidRDefault="008F0682" w:rsidP="00B915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 xml:space="preserve">Respecto </w:t>
      </w:r>
      <w:r w:rsidR="00855BAA" w:rsidRPr="00D749D5">
        <w:rPr>
          <w:rFonts w:asciiTheme="majorHAnsi" w:hAnsiTheme="majorHAnsi" w:cs="Arial"/>
          <w:sz w:val="20"/>
          <w:szCs w:val="20"/>
          <w:lang w:val="es-ES"/>
        </w:rPr>
        <w:t xml:space="preserve">al proceso disciplinario, alegan que el mismo no puede ser considerado un recurso eficaz en razón de su naturaleza y propósito. </w:t>
      </w:r>
      <w:r w:rsidR="008D3DB6" w:rsidRPr="00D749D5">
        <w:rPr>
          <w:rFonts w:asciiTheme="majorHAnsi" w:hAnsiTheme="majorHAnsi" w:cs="Arial"/>
          <w:sz w:val="20"/>
          <w:szCs w:val="20"/>
          <w:lang w:val="es-ES"/>
        </w:rPr>
        <w:t xml:space="preserve">Además, refieren que </w:t>
      </w:r>
      <w:r w:rsidR="00075399" w:rsidRPr="00D749D5">
        <w:rPr>
          <w:rFonts w:asciiTheme="majorHAnsi" w:hAnsiTheme="majorHAnsi" w:cs="Arial"/>
          <w:sz w:val="20"/>
          <w:szCs w:val="20"/>
          <w:lang w:val="es-ES"/>
        </w:rPr>
        <w:t>dicho</w:t>
      </w:r>
      <w:r w:rsidR="00B91594" w:rsidRPr="00D749D5">
        <w:rPr>
          <w:rFonts w:asciiTheme="majorHAnsi" w:hAnsiTheme="majorHAnsi" w:cs="Arial"/>
          <w:sz w:val="20"/>
          <w:szCs w:val="20"/>
          <w:lang w:val="es-ES"/>
        </w:rPr>
        <w:t xml:space="preserve"> procedimiento resultó ineficaz en razón de la prescripción de la acción disciplinaria, dec</w:t>
      </w:r>
      <w:r w:rsidR="008D3DB6" w:rsidRPr="00D749D5">
        <w:rPr>
          <w:rFonts w:asciiTheme="majorHAnsi" w:hAnsiTheme="majorHAnsi" w:cs="Arial"/>
          <w:sz w:val="20"/>
          <w:szCs w:val="20"/>
          <w:lang w:val="es-ES"/>
        </w:rPr>
        <w:t xml:space="preserve">retada </w:t>
      </w:r>
      <w:r w:rsidR="00B91594" w:rsidRPr="00D749D5">
        <w:rPr>
          <w:rFonts w:asciiTheme="majorHAnsi" w:hAnsiTheme="majorHAnsi" w:cs="Arial"/>
          <w:sz w:val="20"/>
          <w:szCs w:val="20"/>
          <w:lang w:val="es-ES"/>
        </w:rPr>
        <w:t>el 23 de</w:t>
      </w:r>
      <w:r w:rsidR="00122E48" w:rsidRPr="00D749D5">
        <w:rPr>
          <w:rFonts w:asciiTheme="majorHAnsi" w:hAnsiTheme="majorHAnsi" w:cs="Arial"/>
          <w:sz w:val="20"/>
          <w:szCs w:val="20"/>
          <w:lang w:val="es-ES"/>
        </w:rPr>
        <w:t xml:space="preserve"> </w:t>
      </w:r>
      <w:r w:rsidR="00B91594" w:rsidRPr="00D749D5">
        <w:rPr>
          <w:rFonts w:asciiTheme="majorHAnsi" w:hAnsiTheme="majorHAnsi" w:cs="Arial"/>
          <w:sz w:val="20"/>
          <w:szCs w:val="20"/>
          <w:lang w:val="es-ES"/>
        </w:rPr>
        <w:t>noviembre del 2000 por la Procuraduría General de la Nación, y el posterior archivo de la investigación</w:t>
      </w:r>
      <w:r w:rsidR="008D3DB6" w:rsidRPr="00D749D5">
        <w:rPr>
          <w:rFonts w:asciiTheme="majorHAnsi" w:hAnsiTheme="majorHAnsi" w:cs="Arial"/>
          <w:sz w:val="20"/>
          <w:szCs w:val="20"/>
          <w:lang w:val="es-ES"/>
        </w:rPr>
        <w:t xml:space="preserve">. </w:t>
      </w:r>
    </w:p>
    <w:p w14:paraId="43C5C7A1" w14:textId="48F9B606" w:rsidR="007E0ADC" w:rsidRPr="00D749D5" w:rsidRDefault="00B4538C" w:rsidP="007E0A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 xml:space="preserve">En lo relativo a los procesos en lo contencioso administrativo, esgrimen que </w:t>
      </w:r>
      <w:r w:rsidR="007631EA" w:rsidRPr="00D749D5">
        <w:rPr>
          <w:rFonts w:asciiTheme="majorHAnsi" w:hAnsiTheme="majorHAnsi" w:cs="Arial"/>
          <w:sz w:val="20"/>
          <w:szCs w:val="20"/>
          <w:lang w:val="es-ES"/>
        </w:rPr>
        <w:t>el resarcimiento económico que puede ser otorgado en el marco de</w:t>
      </w:r>
      <w:r w:rsidRPr="00D749D5">
        <w:rPr>
          <w:rFonts w:asciiTheme="majorHAnsi" w:hAnsiTheme="majorHAnsi" w:cs="Arial"/>
          <w:sz w:val="20"/>
          <w:szCs w:val="20"/>
          <w:lang w:val="es-ES"/>
        </w:rPr>
        <w:t xml:space="preserve"> este </w:t>
      </w:r>
      <w:r w:rsidR="007631EA" w:rsidRPr="00D749D5">
        <w:rPr>
          <w:rFonts w:asciiTheme="majorHAnsi" w:hAnsiTheme="majorHAnsi" w:cs="Arial"/>
          <w:sz w:val="20"/>
          <w:szCs w:val="20"/>
          <w:lang w:val="es-ES"/>
        </w:rPr>
        <w:t>proceso, está limitado a un</w:t>
      </w:r>
      <w:r w:rsidRPr="00D749D5">
        <w:rPr>
          <w:rFonts w:asciiTheme="majorHAnsi" w:hAnsiTheme="majorHAnsi" w:cs="Arial"/>
          <w:sz w:val="20"/>
          <w:szCs w:val="20"/>
          <w:lang w:val="es-ES"/>
        </w:rPr>
        <w:t>a</w:t>
      </w:r>
      <w:r w:rsidR="007631EA" w:rsidRPr="00D749D5">
        <w:rPr>
          <w:rFonts w:asciiTheme="majorHAnsi" w:hAnsiTheme="majorHAnsi" w:cs="Arial"/>
          <w:sz w:val="20"/>
          <w:szCs w:val="20"/>
          <w:lang w:val="es-ES"/>
        </w:rPr>
        <w:t xml:space="preserve"> forma de reparación, a saber, la indemnización, y no abarca las demás modalidades de la reparación (restitución, rehabilitación, satisfacción y garantías de no repetición). </w:t>
      </w:r>
      <w:r w:rsidR="00C86AB3" w:rsidRPr="00D749D5">
        <w:rPr>
          <w:rFonts w:asciiTheme="majorHAnsi" w:hAnsiTheme="majorHAnsi" w:cs="Arial"/>
          <w:sz w:val="20"/>
          <w:szCs w:val="20"/>
          <w:lang w:val="es-ES"/>
        </w:rPr>
        <w:t xml:space="preserve">Asimismo, indican que </w:t>
      </w:r>
      <w:r w:rsidR="007E0ADC" w:rsidRPr="00D749D5">
        <w:rPr>
          <w:rFonts w:asciiTheme="majorHAnsi" w:hAnsiTheme="majorHAnsi" w:cs="Arial"/>
          <w:sz w:val="20"/>
          <w:szCs w:val="20"/>
          <w:lang w:val="es-ES"/>
        </w:rPr>
        <w:t>todas las demandas de reparación interpuestas por familiares de las víctimas</w:t>
      </w:r>
      <w:r w:rsidR="00E645BD" w:rsidRPr="00D749D5">
        <w:rPr>
          <w:rFonts w:asciiTheme="majorHAnsi" w:hAnsiTheme="majorHAnsi" w:cs="Arial"/>
          <w:sz w:val="20"/>
          <w:szCs w:val="20"/>
          <w:lang w:val="es-ES"/>
        </w:rPr>
        <w:t>, y que fueron falladas en su</w:t>
      </w:r>
      <w:r w:rsidR="007E0ADC" w:rsidRPr="00D749D5">
        <w:rPr>
          <w:rFonts w:asciiTheme="majorHAnsi" w:hAnsiTheme="majorHAnsi" w:cs="Arial"/>
          <w:sz w:val="20"/>
          <w:szCs w:val="20"/>
          <w:lang w:val="es-ES"/>
        </w:rPr>
        <w:t xml:space="preserve"> favor por el Tribunal Administrativo de Santander, fueron denegadas por el Consejo de Estado, órgano que se atuvo a </w:t>
      </w:r>
      <w:r w:rsidR="00C86AB3" w:rsidRPr="00D749D5">
        <w:rPr>
          <w:rFonts w:asciiTheme="majorHAnsi" w:hAnsiTheme="majorHAnsi" w:cs="Arial"/>
          <w:sz w:val="20"/>
          <w:szCs w:val="20"/>
          <w:lang w:val="es-ES"/>
        </w:rPr>
        <w:t>lo resuelto en la</w:t>
      </w:r>
      <w:r w:rsidR="007E0ADC" w:rsidRPr="00D749D5">
        <w:rPr>
          <w:rFonts w:asciiTheme="majorHAnsi" w:hAnsiTheme="majorHAnsi" w:cs="Arial"/>
          <w:sz w:val="20"/>
          <w:szCs w:val="20"/>
          <w:lang w:val="es-ES"/>
        </w:rPr>
        <w:t xml:space="preserve"> jurisdicción penal militar, en detrimento del acopio investigativo y de las decisiones disciplinarias y de la Fiscalía</w:t>
      </w:r>
      <w:r w:rsidR="00C86AB3" w:rsidRPr="00D749D5">
        <w:rPr>
          <w:rFonts w:asciiTheme="majorHAnsi" w:hAnsiTheme="majorHAnsi" w:cs="Arial"/>
          <w:sz w:val="20"/>
          <w:szCs w:val="20"/>
          <w:lang w:val="es-ES"/>
        </w:rPr>
        <w:t xml:space="preserve">, lo que se tradujo en la denegación del </w:t>
      </w:r>
      <w:r w:rsidR="007E0ADC" w:rsidRPr="00D749D5">
        <w:rPr>
          <w:rFonts w:asciiTheme="majorHAnsi" w:hAnsiTheme="majorHAnsi" w:cs="Arial"/>
          <w:sz w:val="20"/>
          <w:szCs w:val="20"/>
          <w:lang w:val="es-ES"/>
        </w:rPr>
        <w:t>derecho a la reparación económica a los familiares</w:t>
      </w:r>
      <w:r w:rsidR="00C86AB3" w:rsidRPr="00D749D5">
        <w:rPr>
          <w:rFonts w:asciiTheme="majorHAnsi" w:hAnsiTheme="majorHAnsi" w:cs="Arial"/>
          <w:sz w:val="20"/>
          <w:szCs w:val="20"/>
          <w:lang w:val="es-ES"/>
        </w:rPr>
        <w:t>.</w:t>
      </w:r>
    </w:p>
    <w:p w14:paraId="15885571" w14:textId="79857114" w:rsidR="00ED6E4E" w:rsidRPr="00D749D5" w:rsidRDefault="00BD6C46" w:rsidP="00CD77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 xml:space="preserve">Los peticionarios </w:t>
      </w:r>
      <w:r w:rsidR="004F67AC" w:rsidRPr="00D749D5">
        <w:rPr>
          <w:rFonts w:asciiTheme="majorHAnsi" w:hAnsiTheme="majorHAnsi" w:cs="Arial"/>
          <w:sz w:val="20"/>
          <w:szCs w:val="20"/>
          <w:lang w:val="es-ES"/>
        </w:rPr>
        <w:t>sostienen en su escrito de 8 de octubre de 2010,</w:t>
      </w:r>
      <w:r w:rsidRPr="00D749D5">
        <w:rPr>
          <w:rFonts w:asciiTheme="majorHAnsi" w:hAnsiTheme="majorHAnsi" w:cs="Arial"/>
          <w:sz w:val="20"/>
          <w:szCs w:val="20"/>
          <w:lang w:val="es-ES"/>
        </w:rPr>
        <w:t xml:space="preserve"> que </w:t>
      </w:r>
      <w:r w:rsidR="009C1077" w:rsidRPr="00D749D5">
        <w:rPr>
          <w:rFonts w:asciiTheme="majorHAnsi" w:hAnsiTheme="majorHAnsi" w:cs="Arial"/>
          <w:sz w:val="20"/>
          <w:szCs w:val="20"/>
          <w:lang w:val="es-ES"/>
        </w:rPr>
        <w:t>los hechos</w:t>
      </w:r>
      <w:r w:rsidR="00CF6904" w:rsidRPr="00D749D5">
        <w:rPr>
          <w:rFonts w:asciiTheme="majorHAnsi" w:hAnsiTheme="majorHAnsi" w:cs="Arial"/>
          <w:sz w:val="20"/>
          <w:szCs w:val="20"/>
          <w:lang w:val="es-ES"/>
        </w:rPr>
        <w:t xml:space="preserve"> descritos</w:t>
      </w:r>
      <w:r w:rsidR="009C1077" w:rsidRPr="00D749D5">
        <w:rPr>
          <w:rFonts w:asciiTheme="majorHAnsi" w:hAnsiTheme="majorHAnsi" w:cs="Arial"/>
          <w:sz w:val="20"/>
          <w:szCs w:val="20"/>
          <w:lang w:val="es-ES"/>
        </w:rPr>
        <w:t xml:space="preserve"> caracterizan violaciones al </w:t>
      </w:r>
      <w:r w:rsidR="00EE623E" w:rsidRPr="00D749D5">
        <w:rPr>
          <w:rFonts w:asciiTheme="majorHAnsi" w:hAnsiTheme="majorHAnsi" w:cs="Arial"/>
          <w:sz w:val="20"/>
          <w:szCs w:val="20"/>
          <w:lang w:val="es-ES"/>
        </w:rPr>
        <w:t>derecho a la vida en perjuicio de las 68 personas víctimas de ejecución extrajudicial</w:t>
      </w:r>
      <w:r w:rsidR="009C1077" w:rsidRPr="00D749D5">
        <w:rPr>
          <w:rFonts w:asciiTheme="majorHAnsi" w:hAnsiTheme="majorHAnsi" w:cs="Arial"/>
          <w:sz w:val="20"/>
          <w:szCs w:val="20"/>
          <w:lang w:val="es-ES"/>
        </w:rPr>
        <w:t>; v</w:t>
      </w:r>
      <w:r w:rsidR="00EE623E" w:rsidRPr="00D749D5">
        <w:rPr>
          <w:rFonts w:asciiTheme="majorHAnsi" w:hAnsiTheme="majorHAnsi" w:cs="Arial"/>
          <w:sz w:val="20"/>
          <w:szCs w:val="20"/>
          <w:lang w:val="es-ES"/>
        </w:rPr>
        <w:t xml:space="preserve">iolación de los derechos a la vida </w:t>
      </w:r>
      <w:r w:rsidR="00FA13ED" w:rsidRPr="00D749D5">
        <w:rPr>
          <w:rFonts w:asciiTheme="majorHAnsi" w:hAnsiTheme="majorHAnsi" w:cs="Arial"/>
          <w:sz w:val="20"/>
          <w:szCs w:val="20"/>
          <w:lang w:val="es-ES"/>
        </w:rPr>
        <w:t>e</w:t>
      </w:r>
      <w:r w:rsidR="00EE623E" w:rsidRPr="00D749D5">
        <w:rPr>
          <w:rFonts w:asciiTheme="majorHAnsi" w:hAnsiTheme="majorHAnsi" w:cs="Arial"/>
          <w:sz w:val="20"/>
          <w:szCs w:val="20"/>
          <w:lang w:val="es-ES"/>
        </w:rPr>
        <w:t xml:space="preserve"> integridad personal </w:t>
      </w:r>
      <w:r w:rsidR="009C1077" w:rsidRPr="00D749D5">
        <w:rPr>
          <w:rFonts w:asciiTheme="majorHAnsi" w:hAnsiTheme="majorHAnsi" w:cs="Arial"/>
          <w:sz w:val="20"/>
          <w:szCs w:val="20"/>
          <w:lang w:val="es-ES"/>
        </w:rPr>
        <w:t>en perjuicio de las</w:t>
      </w:r>
      <w:r w:rsidR="00EE623E" w:rsidRPr="00D749D5">
        <w:rPr>
          <w:rFonts w:asciiTheme="majorHAnsi" w:hAnsiTheme="majorHAnsi" w:cs="Arial"/>
          <w:sz w:val="20"/>
          <w:szCs w:val="20"/>
          <w:lang w:val="es-ES"/>
        </w:rPr>
        <w:t xml:space="preserve"> 10 personas víctimas de tentativas de ejecución extrajudicial;</w:t>
      </w:r>
      <w:r w:rsidR="00122E48" w:rsidRPr="00D749D5">
        <w:rPr>
          <w:rFonts w:asciiTheme="majorHAnsi" w:hAnsiTheme="majorHAnsi" w:cs="Arial"/>
          <w:sz w:val="20"/>
          <w:szCs w:val="20"/>
          <w:lang w:val="es-ES"/>
        </w:rPr>
        <w:t xml:space="preserve"> </w:t>
      </w:r>
      <w:r w:rsidR="009C1077" w:rsidRPr="00D749D5">
        <w:rPr>
          <w:rFonts w:asciiTheme="majorHAnsi" w:hAnsiTheme="majorHAnsi" w:cs="Arial"/>
          <w:sz w:val="20"/>
          <w:szCs w:val="20"/>
          <w:lang w:val="es-ES"/>
        </w:rPr>
        <w:t>v</w:t>
      </w:r>
      <w:r w:rsidR="00EE623E" w:rsidRPr="00D749D5">
        <w:rPr>
          <w:rFonts w:asciiTheme="majorHAnsi" w:hAnsiTheme="majorHAnsi" w:cs="Arial"/>
          <w:sz w:val="20"/>
          <w:szCs w:val="20"/>
          <w:lang w:val="es-ES"/>
        </w:rPr>
        <w:t xml:space="preserve">iolación del derecho a la libertad de pensamiento y expresión en perjuicio de las personas víctimas de ejecuciones extrajudiciales o tentativas de </w:t>
      </w:r>
      <w:r w:rsidR="00E52EF7">
        <w:rPr>
          <w:rFonts w:asciiTheme="majorHAnsi" w:hAnsiTheme="majorHAnsi" w:cs="Arial"/>
          <w:sz w:val="20"/>
          <w:szCs w:val="20"/>
          <w:lang w:val="es-ES"/>
        </w:rPr>
        <w:t>ejecución extrajudicial</w:t>
      </w:r>
      <w:r w:rsidR="00EE623E" w:rsidRPr="00D749D5">
        <w:rPr>
          <w:rFonts w:asciiTheme="majorHAnsi" w:hAnsiTheme="majorHAnsi" w:cs="Arial"/>
          <w:sz w:val="20"/>
          <w:szCs w:val="20"/>
          <w:lang w:val="es-ES"/>
        </w:rPr>
        <w:t xml:space="preserve"> por parte de miembros de la Red No. 7 de la Armada Nacional, en razón de sus </w:t>
      </w:r>
      <w:r w:rsidR="009C1077" w:rsidRPr="00D749D5">
        <w:rPr>
          <w:rFonts w:asciiTheme="majorHAnsi" w:hAnsiTheme="majorHAnsi" w:cs="Arial"/>
          <w:sz w:val="20"/>
          <w:szCs w:val="20"/>
          <w:lang w:val="es-ES"/>
        </w:rPr>
        <w:t>opiniones y creencias;</w:t>
      </w:r>
      <w:r w:rsidR="00EE623E" w:rsidRPr="00D749D5">
        <w:rPr>
          <w:rFonts w:asciiTheme="majorHAnsi" w:hAnsiTheme="majorHAnsi" w:cs="Arial"/>
          <w:sz w:val="20"/>
          <w:szCs w:val="20"/>
          <w:lang w:val="es-ES"/>
        </w:rPr>
        <w:t xml:space="preserve"> </w:t>
      </w:r>
      <w:r w:rsidR="009C1077" w:rsidRPr="00D749D5">
        <w:rPr>
          <w:rFonts w:asciiTheme="majorHAnsi" w:hAnsiTheme="majorHAnsi" w:cs="Arial"/>
          <w:sz w:val="20"/>
          <w:szCs w:val="20"/>
          <w:lang w:val="es-ES"/>
        </w:rPr>
        <w:t>v</w:t>
      </w:r>
      <w:r w:rsidR="00EE623E" w:rsidRPr="00D749D5">
        <w:rPr>
          <w:rFonts w:asciiTheme="majorHAnsi" w:hAnsiTheme="majorHAnsi" w:cs="Arial"/>
          <w:sz w:val="20"/>
          <w:szCs w:val="20"/>
          <w:lang w:val="es-ES"/>
        </w:rPr>
        <w:t xml:space="preserve">iolación del derecho a la libertad de asociación en perjuicio de las personas víctimas </w:t>
      </w:r>
      <w:r w:rsidR="00F263C5">
        <w:rPr>
          <w:rFonts w:asciiTheme="majorHAnsi" w:hAnsiTheme="majorHAnsi" w:cs="Arial"/>
          <w:sz w:val="20"/>
          <w:szCs w:val="20"/>
          <w:lang w:val="es-ES"/>
        </w:rPr>
        <w:t>de ejecuciones extrajudiciales y</w:t>
      </w:r>
      <w:r w:rsidR="00EE623E" w:rsidRPr="00D749D5">
        <w:rPr>
          <w:rFonts w:asciiTheme="majorHAnsi" w:hAnsiTheme="majorHAnsi" w:cs="Arial"/>
          <w:sz w:val="20"/>
          <w:szCs w:val="20"/>
          <w:lang w:val="es-ES"/>
        </w:rPr>
        <w:t xml:space="preserve"> tentativas de </w:t>
      </w:r>
      <w:r w:rsidR="00E52EF7">
        <w:rPr>
          <w:rFonts w:asciiTheme="majorHAnsi" w:hAnsiTheme="majorHAnsi" w:cs="Arial"/>
          <w:sz w:val="20"/>
          <w:szCs w:val="20"/>
          <w:lang w:val="es-ES"/>
        </w:rPr>
        <w:t>ejecución</w:t>
      </w:r>
      <w:r w:rsidR="00EE623E" w:rsidRPr="00D749D5">
        <w:rPr>
          <w:rFonts w:asciiTheme="majorHAnsi" w:hAnsiTheme="majorHAnsi" w:cs="Arial"/>
          <w:sz w:val="20"/>
          <w:szCs w:val="20"/>
          <w:lang w:val="es-ES"/>
        </w:rPr>
        <w:t xml:space="preserve"> por parte de miembros de la Red No. 7 de la Armada Nacional, en razón de su pertenencia a una organización u asociación; y </w:t>
      </w:r>
      <w:r w:rsidR="00887E87" w:rsidRPr="00D749D5">
        <w:rPr>
          <w:rFonts w:asciiTheme="majorHAnsi" w:hAnsiTheme="majorHAnsi" w:cs="Arial"/>
          <w:sz w:val="20"/>
          <w:szCs w:val="20"/>
          <w:lang w:val="es-ES"/>
        </w:rPr>
        <w:t>v</w:t>
      </w:r>
      <w:r w:rsidR="00EE623E" w:rsidRPr="00D749D5">
        <w:rPr>
          <w:rFonts w:asciiTheme="majorHAnsi" w:hAnsiTheme="majorHAnsi" w:cs="Arial"/>
          <w:sz w:val="20"/>
          <w:szCs w:val="20"/>
          <w:lang w:val="es-ES"/>
        </w:rPr>
        <w:t>iolación de los derechos a las garantías</w:t>
      </w:r>
      <w:r w:rsidR="00122E48" w:rsidRPr="00D749D5">
        <w:rPr>
          <w:rFonts w:asciiTheme="majorHAnsi" w:hAnsiTheme="majorHAnsi" w:cs="Arial"/>
          <w:sz w:val="20"/>
          <w:szCs w:val="20"/>
          <w:lang w:val="es-ES"/>
        </w:rPr>
        <w:t xml:space="preserve"> </w:t>
      </w:r>
      <w:r w:rsidR="00EE623E" w:rsidRPr="00D749D5">
        <w:rPr>
          <w:rFonts w:asciiTheme="majorHAnsi" w:hAnsiTheme="majorHAnsi" w:cs="Arial"/>
          <w:sz w:val="20"/>
          <w:szCs w:val="20"/>
          <w:lang w:val="es-ES"/>
        </w:rPr>
        <w:t xml:space="preserve">judiciales, a la protección judicial y a la verdad en perjuicio </w:t>
      </w:r>
      <w:r w:rsidR="00E52EF7">
        <w:rPr>
          <w:rFonts w:asciiTheme="majorHAnsi" w:hAnsiTheme="majorHAnsi" w:cs="Arial"/>
          <w:sz w:val="20"/>
          <w:szCs w:val="20"/>
          <w:lang w:val="es-ES"/>
        </w:rPr>
        <w:t>de</w:t>
      </w:r>
      <w:r w:rsidR="00EE623E" w:rsidRPr="00D749D5">
        <w:rPr>
          <w:rFonts w:asciiTheme="majorHAnsi" w:hAnsiTheme="majorHAnsi" w:cs="Arial"/>
          <w:sz w:val="20"/>
          <w:szCs w:val="20"/>
          <w:lang w:val="es-ES"/>
        </w:rPr>
        <w:t xml:space="preserve"> los 10 sobrevivientes de tentativas de ejecución extrajudicial y los familiares de las 68 personas ejecutadas extrajudicialmente</w:t>
      </w:r>
      <w:r w:rsidR="00887E87" w:rsidRPr="00D749D5">
        <w:rPr>
          <w:rFonts w:asciiTheme="majorHAnsi" w:hAnsiTheme="majorHAnsi" w:cs="Arial"/>
          <w:sz w:val="20"/>
          <w:szCs w:val="20"/>
          <w:lang w:val="es-ES"/>
        </w:rPr>
        <w:t>.</w:t>
      </w:r>
      <w:r w:rsidR="00963AD1" w:rsidRPr="00D749D5">
        <w:rPr>
          <w:rFonts w:asciiTheme="majorHAnsi" w:hAnsiTheme="majorHAnsi" w:cs="Arial"/>
          <w:sz w:val="20"/>
          <w:szCs w:val="20"/>
          <w:lang w:val="es-ES"/>
        </w:rPr>
        <w:t xml:space="preserve"> </w:t>
      </w:r>
      <w:r w:rsidR="00CD77B1" w:rsidRPr="00D749D5">
        <w:rPr>
          <w:rFonts w:asciiTheme="majorHAnsi" w:hAnsiTheme="majorHAnsi" w:cs="Arial"/>
          <w:sz w:val="20"/>
          <w:szCs w:val="20"/>
          <w:lang w:val="es-ES"/>
        </w:rPr>
        <w:t>En particular, en relación con este último punto, señalan que el Estado colombiano no garantizó en el caso de la referencia un recurso efectivo que permitiera</w:t>
      </w:r>
      <w:r w:rsidR="00122E48" w:rsidRPr="00D749D5">
        <w:rPr>
          <w:rFonts w:asciiTheme="majorHAnsi" w:hAnsiTheme="majorHAnsi" w:cs="Arial"/>
          <w:sz w:val="20"/>
          <w:szCs w:val="20"/>
          <w:lang w:val="es-ES"/>
        </w:rPr>
        <w:t xml:space="preserve"> </w:t>
      </w:r>
      <w:r w:rsidR="00CD77B1" w:rsidRPr="00D749D5">
        <w:rPr>
          <w:rFonts w:asciiTheme="majorHAnsi" w:hAnsiTheme="majorHAnsi" w:cs="Arial"/>
          <w:sz w:val="20"/>
          <w:szCs w:val="20"/>
          <w:lang w:val="es-ES"/>
        </w:rPr>
        <w:t>juzgar y castigar a todos los responsables de los crímenes, esclarecer la verdad y obtener reparación.</w:t>
      </w:r>
    </w:p>
    <w:p w14:paraId="2A427D62" w14:textId="3FF47BF6" w:rsidR="00DC5BC1" w:rsidRPr="00D749D5" w:rsidRDefault="00ED6E4E" w:rsidP="00DC5BC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Alegan que</w:t>
      </w:r>
      <w:r w:rsidR="00122E48" w:rsidRPr="00D749D5">
        <w:rPr>
          <w:rFonts w:asciiTheme="majorHAnsi" w:hAnsiTheme="majorHAnsi" w:cs="Arial"/>
          <w:sz w:val="20"/>
          <w:szCs w:val="20"/>
          <w:lang w:val="es-ES"/>
        </w:rPr>
        <w:t xml:space="preserve"> </w:t>
      </w:r>
      <w:r w:rsidRPr="00D749D5">
        <w:rPr>
          <w:rFonts w:asciiTheme="majorHAnsi" w:hAnsiTheme="majorHAnsi" w:cs="Arial"/>
          <w:sz w:val="20"/>
          <w:szCs w:val="20"/>
          <w:lang w:val="es-ES"/>
        </w:rPr>
        <w:t xml:space="preserve">la justicia nunca investigó de forma </w:t>
      </w:r>
      <w:r w:rsidR="00FA13ED" w:rsidRPr="00D749D5">
        <w:rPr>
          <w:rFonts w:asciiTheme="majorHAnsi" w:hAnsiTheme="majorHAnsi" w:cs="Arial"/>
          <w:sz w:val="20"/>
          <w:szCs w:val="20"/>
          <w:lang w:val="es-ES"/>
        </w:rPr>
        <w:t xml:space="preserve">adecuada los hechos </w:t>
      </w:r>
      <w:r w:rsidR="00287CF2" w:rsidRPr="00D749D5">
        <w:rPr>
          <w:rFonts w:asciiTheme="majorHAnsi" w:hAnsiTheme="majorHAnsi" w:cs="Arial"/>
          <w:sz w:val="20"/>
          <w:szCs w:val="20"/>
          <w:lang w:val="es-ES"/>
        </w:rPr>
        <w:t>y que to</w:t>
      </w:r>
      <w:r w:rsidRPr="00D749D5">
        <w:rPr>
          <w:rFonts w:asciiTheme="majorHAnsi" w:hAnsiTheme="majorHAnsi" w:cs="Arial"/>
          <w:sz w:val="20"/>
          <w:szCs w:val="20"/>
          <w:lang w:val="es-ES"/>
        </w:rPr>
        <w:t>dos los miembros de la Armada Nacional y del Ejército Nacional fueron exonerados por la jurisdicción penal militar.</w:t>
      </w:r>
      <w:r w:rsidR="00122E48" w:rsidRPr="00D749D5">
        <w:rPr>
          <w:rFonts w:asciiTheme="majorHAnsi" w:hAnsiTheme="majorHAnsi" w:cs="Arial"/>
          <w:sz w:val="20"/>
          <w:szCs w:val="20"/>
          <w:lang w:val="es-ES"/>
        </w:rPr>
        <w:t xml:space="preserve"> </w:t>
      </w:r>
      <w:r w:rsidR="0090242E" w:rsidRPr="00D749D5">
        <w:rPr>
          <w:rFonts w:asciiTheme="majorHAnsi" w:hAnsiTheme="majorHAnsi" w:cs="Arial"/>
          <w:sz w:val="20"/>
          <w:szCs w:val="20"/>
          <w:lang w:val="es-ES"/>
        </w:rPr>
        <w:t>Alega que l</w:t>
      </w:r>
      <w:r w:rsidRPr="00D749D5">
        <w:rPr>
          <w:rFonts w:asciiTheme="majorHAnsi" w:hAnsiTheme="majorHAnsi" w:cs="Arial"/>
          <w:sz w:val="20"/>
          <w:szCs w:val="20"/>
          <w:lang w:val="es-ES"/>
        </w:rPr>
        <w:t xml:space="preserve">a actuación de la jurisdicción penal ordinaria fue </w:t>
      </w:r>
      <w:r w:rsidR="0090242E" w:rsidRPr="00D749D5">
        <w:rPr>
          <w:rFonts w:asciiTheme="majorHAnsi" w:hAnsiTheme="majorHAnsi" w:cs="Arial"/>
          <w:sz w:val="20"/>
          <w:szCs w:val="20"/>
          <w:lang w:val="es-ES"/>
        </w:rPr>
        <w:t>coartada</w:t>
      </w:r>
      <w:r w:rsidRPr="00D749D5">
        <w:rPr>
          <w:rFonts w:asciiTheme="majorHAnsi" w:hAnsiTheme="majorHAnsi" w:cs="Arial"/>
          <w:sz w:val="20"/>
          <w:szCs w:val="20"/>
          <w:lang w:val="es-ES"/>
        </w:rPr>
        <w:t xml:space="preserve"> por la acción</w:t>
      </w:r>
      <w:r w:rsidR="0090242E" w:rsidRPr="00D749D5">
        <w:rPr>
          <w:rFonts w:asciiTheme="majorHAnsi" w:hAnsiTheme="majorHAnsi" w:cs="Arial"/>
          <w:sz w:val="20"/>
          <w:szCs w:val="20"/>
          <w:lang w:val="es-ES"/>
        </w:rPr>
        <w:t xml:space="preserve"> </w:t>
      </w:r>
      <w:r w:rsidR="00287CF2" w:rsidRPr="00D749D5">
        <w:rPr>
          <w:rFonts w:asciiTheme="majorHAnsi" w:hAnsiTheme="majorHAnsi" w:cs="Arial"/>
          <w:sz w:val="20"/>
          <w:szCs w:val="20"/>
          <w:lang w:val="es-ES"/>
        </w:rPr>
        <w:t>del Fuero Militar</w:t>
      </w:r>
      <w:r w:rsidR="0090242E" w:rsidRPr="00D749D5">
        <w:rPr>
          <w:rFonts w:asciiTheme="majorHAnsi" w:hAnsiTheme="majorHAnsi" w:cs="Arial"/>
          <w:sz w:val="20"/>
          <w:szCs w:val="20"/>
          <w:lang w:val="es-ES"/>
        </w:rPr>
        <w:t>, y que en cuanto a l</w:t>
      </w:r>
      <w:r w:rsidR="00287CF2" w:rsidRPr="00D749D5">
        <w:rPr>
          <w:rFonts w:asciiTheme="majorHAnsi" w:hAnsiTheme="majorHAnsi" w:cs="Arial"/>
          <w:sz w:val="20"/>
          <w:szCs w:val="20"/>
          <w:lang w:val="es-ES"/>
        </w:rPr>
        <w:t xml:space="preserve">as sanciones disciplinarias decretadas por la Procuraduría Delegada para la Defensa de los Derechos Humanos, además de ser irrisorias </w:t>
      </w:r>
      <w:r w:rsidR="0090242E" w:rsidRPr="00D749D5">
        <w:rPr>
          <w:rFonts w:asciiTheme="majorHAnsi" w:hAnsiTheme="majorHAnsi" w:cs="Arial"/>
          <w:sz w:val="20"/>
          <w:szCs w:val="20"/>
          <w:lang w:val="es-ES"/>
        </w:rPr>
        <w:t>(“</w:t>
      </w:r>
      <w:r w:rsidR="00287CF2" w:rsidRPr="00D749D5">
        <w:rPr>
          <w:rFonts w:asciiTheme="majorHAnsi" w:hAnsiTheme="majorHAnsi" w:cs="Arial"/>
          <w:sz w:val="20"/>
          <w:szCs w:val="20"/>
          <w:lang w:val="es-ES"/>
        </w:rPr>
        <w:t>Reprensión Severa”</w:t>
      </w:r>
      <w:r w:rsidR="00122E48" w:rsidRPr="00D749D5">
        <w:rPr>
          <w:rFonts w:asciiTheme="majorHAnsi" w:hAnsiTheme="majorHAnsi" w:cs="Arial"/>
          <w:sz w:val="20"/>
          <w:szCs w:val="20"/>
          <w:lang w:val="es-ES"/>
        </w:rPr>
        <w:t xml:space="preserve"> </w:t>
      </w:r>
      <w:r w:rsidR="00287CF2" w:rsidRPr="00D749D5">
        <w:rPr>
          <w:rFonts w:asciiTheme="majorHAnsi" w:hAnsiTheme="majorHAnsi" w:cs="Arial"/>
          <w:sz w:val="20"/>
          <w:szCs w:val="20"/>
          <w:lang w:val="es-ES"/>
        </w:rPr>
        <w:t>cuando la gravedad de los hechos requería</w:t>
      </w:r>
      <w:r w:rsidR="00122E48" w:rsidRPr="00D749D5">
        <w:rPr>
          <w:rFonts w:asciiTheme="majorHAnsi" w:hAnsiTheme="majorHAnsi" w:cs="Arial"/>
          <w:sz w:val="20"/>
          <w:szCs w:val="20"/>
          <w:lang w:val="es-ES"/>
        </w:rPr>
        <w:t xml:space="preserve"> </w:t>
      </w:r>
      <w:r w:rsidR="00287CF2" w:rsidRPr="00D749D5">
        <w:rPr>
          <w:rFonts w:asciiTheme="majorHAnsi" w:hAnsiTheme="majorHAnsi" w:cs="Arial"/>
          <w:sz w:val="20"/>
          <w:szCs w:val="20"/>
          <w:lang w:val="es-ES"/>
        </w:rPr>
        <w:t>“destitución”), resultaron inocuas por la declaratoria de la prescripción de la acción disciplinaria.</w:t>
      </w:r>
      <w:r w:rsidR="0090242E" w:rsidRPr="00D749D5">
        <w:rPr>
          <w:rFonts w:asciiTheme="majorHAnsi" w:hAnsiTheme="majorHAnsi" w:cs="Arial"/>
          <w:sz w:val="20"/>
          <w:szCs w:val="20"/>
          <w:lang w:val="es-ES"/>
        </w:rPr>
        <w:t xml:space="preserve"> Asimismo, agregan que l</w:t>
      </w:r>
      <w:r w:rsidR="00185B88" w:rsidRPr="00D749D5">
        <w:rPr>
          <w:rFonts w:asciiTheme="majorHAnsi" w:hAnsiTheme="majorHAnsi" w:cs="Arial"/>
          <w:sz w:val="20"/>
          <w:szCs w:val="20"/>
          <w:lang w:val="es-ES"/>
        </w:rPr>
        <w:t xml:space="preserve">a jurisdicción contencioso </w:t>
      </w:r>
      <w:r w:rsidR="00287CF2" w:rsidRPr="00D749D5">
        <w:rPr>
          <w:rFonts w:asciiTheme="majorHAnsi" w:hAnsiTheme="majorHAnsi" w:cs="Arial"/>
          <w:sz w:val="20"/>
          <w:szCs w:val="20"/>
          <w:lang w:val="es-ES"/>
        </w:rPr>
        <w:t>administrativa,</w:t>
      </w:r>
      <w:r w:rsidR="009C0710" w:rsidRPr="00D749D5">
        <w:rPr>
          <w:rFonts w:asciiTheme="majorHAnsi" w:hAnsiTheme="majorHAnsi" w:cs="Arial"/>
          <w:sz w:val="20"/>
          <w:szCs w:val="20"/>
          <w:lang w:val="es-ES"/>
        </w:rPr>
        <w:t xml:space="preserve"> mediante las providencias de segunda</w:t>
      </w:r>
      <w:r w:rsidR="00287CF2" w:rsidRPr="00D749D5">
        <w:rPr>
          <w:rFonts w:asciiTheme="majorHAnsi" w:hAnsiTheme="majorHAnsi" w:cs="Arial"/>
          <w:sz w:val="20"/>
          <w:szCs w:val="20"/>
          <w:lang w:val="es-ES"/>
        </w:rPr>
        <w:t xml:space="preserve"> instancia del Consejo de Estado, denegó el derecho a la reparación</w:t>
      </w:r>
      <w:r w:rsidR="00122E48" w:rsidRPr="00D749D5">
        <w:rPr>
          <w:rFonts w:asciiTheme="majorHAnsi" w:hAnsiTheme="majorHAnsi" w:cs="Arial"/>
          <w:sz w:val="20"/>
          <w:szCs w:val="20"/>
          <w:lang w:val="es-ES"/>
        </w:rPr>
        <w:t xml:space="preserve"> </w:t>
      </w:r>
      <w:r w:rsidR="00287CF2" w:rsidRPr="00D749D5">
        <w:rPr>
          <w:rFonts w:asciiTheme="majorHAnsi" w:hAnsiTheme="majorHAnsi" w:cs="Arial"/>
          <w:sz w:val="20"/>
          <w:szCs w:val="20"/>
          <w:lang w:val="es-ES"/>
        </w:rPr>
        <w:t>económica de los familiares de las personas ejecutadas extrajudicialmente.</w:t>
      </w:r>
      <w:r w:rsidR="00902DEF" w:rsidRPr="00D749D5">
        <w:rPr>
          <w:rFonts w:asciiTheme="majorHAnsi" w:hAnsiTheme="majorHAnsi" w:cs="Arial"/>
          <w:sz w:val="20"/>
          <w:szCs w:val="20"/>
          <w:lang w:val="es-ES"/>
        </w:rPr>
        <w:t xml:space="preserve"> </w:t>
      </w:r>
    </w:p>
    <w:p w14:paraId="53D0EE52" w14:textId="77777777" w:rsidR="00AC2691" w:rsidRPr="00D749D5" w:rsidRDefault="00DD7435" w:rsidP="00E92C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Agregan que el Estado es responsable por la violación a su obligación general de</w:t>
      </w:r>
      <w:r w:rsidR="00122E48" w:rsidRPr="00D749D5">
        <w:rPr>
          <w:rFonts w:asciiTheme="majorHAnsi" w:hAnsiTheme="majorHAnsi" w:cs="Arial"/>
          <w:sz w:val="20"/>
          <w:szCs w:val="20"/>
          <w:lang w:val="es-ES"/>
        </w:rPr>
        <w:t xml:space="preserve"> </w:t>
      </w:r>
      <w:r w:rsidRPr="00D749D5">
        <w:rPr>
          <w:rFonts w:asciiTheme="majorHAnsi" w:hAnsiTheme="majorHAnsi" w:cs="Arial"/>
          <w:sz w:val="20"/>
          <w:szCs w:val="20"/>
          <w:lang w:val="es-ES"/>
        </w:rPr>
        <w:t>respeto y garantía de los derechos humanos, al establecer, mantener y proteger una estructura estatal dedicada a cometer crímenes como lo fue la Red No. 7 de inteligencia militar de la Armada Nacional, así como por la violación a sus obligaciones de investigar, juzgar y sancionar a todos los autores, materiales e intelectuales, de las ejecuciones extrajudiciales y tentativas de homicidio materia de la petición.</w:t>
      </w:r>
      <w:r w:rsidR="00122E48" w:rsidRPr="00D749D5">
        <w:rPr>
          <w:rFonts w:asciiTheme="majorHAnsi" w:hAnsiTheme="majorHAnsi" w:cs="Arial"/>
          <w:sz w:val="20"/>
          <w:szCs w:val="20"/>
          <w:lang w:val="es-ES"/>
        </w:rPr>
        <w:t xml:space="preserve"> </w:t>
      </w:r>
    </w:p>
    <w:p w14:paraId="4E0E949C" w14:textId="65E5A76E" w:rsidR="00CA61A2" w:rsidRPr="00D749D5" w:rsidRDefault="0047346D" w:rsidP="00EC6F0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 xml:space="preserve">Señalan </w:t>
      </w:r>
      <w:r w:rsidR="00D20C7A" w:rsidRPr="00D749D5">
        <w:rPr>
          <w:rFonts w:asciiTheme="majorHAnsi" w:hAnsiTheme="majorHAnsi" w:cs="Arial"/>
          <w:sz w:val="20"/>
          <w:szCs w:val="20"/>
          <w:lang w:val="es-ES"/>
        </w:rPr>
        <w:t>que el Estado no cumplió de manera efectiva y seria con su obligación de</w:t>
      </w:r>
      <w:r w:rsidR="00122E48" w:rsidRPr="00D749D5">
        <w:rPr>
          <w:rFonts w:asciiTheme="majorHAnsi" w:hAnsiTheme="majorHAnsi" w:cs="Arial"/>
          <w:sz w:val="20"/>
          <w:szCs w:val="20"/>
          <w:lang w:val="es-ES"/>
        </w:rPr>
        <w:t xml:space="preserve"> </w:t>
      </w:r>
      <w:r w:rsidR="00D20C7A" w:rsidRPr="00D749D5">
        <w:rPr>
          <w:rFonts w:asciiTheme="majorHAnsi" w:hAnsiTheme="majorHAnsi" w:cs="Arial"/>
          <w:sz w:val="20"/>
          <w:szCs w:val="20"/>
          <w:lang w:val="es-ES"/>
        </w:rPr>
        <w:t xml:space="preserve">investigar los hechos y juzgar y castigar con penas apropiadas a la totalidad de los autores de </w:t>
      </w:r>
      <w:r w:rsidR="0008258E" w:rsidRPr="00D749D5">
        <w:rPr>
          <w:rFonts w:asciiTheme="majorHAnsi" w:hAnsiTheme="majorHAnsi" w:cs="Arial"/>
          <w:sz w:val="20"/>
          <w:szCs w:val="20"/>
          <w:lang w:val="es-ES"/>
        </w:rPr>
        <w:t>los hechos</w:t>
      </w:r>
      <w:r w:rsidR="00C70CA0" w:rsidRPr="00D749D5">
        <w:rPr>
          <w:rFonts w:asciiTheme="majorHAnsi" w:hAnsiTheme="majorHAnsi" w:cs="Arial"/>
          <w:sz w:val="20"/>
          <w:szCs w:val="20"/>
          <w:lang w:val="es-ES"/>
        </w:rPr>
        <w:t xml:space="preserve">, y que </w:t>
      </w:r>
      <w:r w:rsidR="00D763C2" w:rsidRPr="00D749D5">
        <w:rPr>
          <w:rFonts w:asciiTheme="majorHAnsi" w:hAnsiTheme="majorHAnsi" w:cs="Arial"/>
          <w:sz w:val="20"/>
          <w:szCs w:val="20"/>
          <w:lang w:val="es-ES"/>
        </w:rPr>
        <w:lastRenderedPageBreak/>
        <w:t xml:space="preserve">desconoció su deber de investigar integralmente los hechos </w:t>
      </w:r>
      <w:r w:rsidR="00CA61A2" w:rsidRPr="00D749D5">
        <w:rPr>
          <w:rFonts w:asciiTheme="majorHAnsi" w:hAnsiTheme="majorHAnsi" w:cs="Arial"/>
          <w:sz w:val="20"/>
          <w:szCs w:val="20"/>
          <w:lang w:val="es-ES"/>
        </w:rPr>
        <w:t xml:space="preserve">y </w:t>
      </w:r>
      <w:r w:rsidR="00D763C2" w:rsidRPr="00D749D5">
        <w:rPr>
          <w:rFonts w:asciiTheme="majorHAnsi" w:hAnsiTheme="majorHAnsi" w:cs="Arial"/>
          <w:sz w:val="20"/>
          <w:szCs w:val="20"/>
          <w:lang w:val="es-ES"/>
        </w:rPr>
        <w:t>proteger a los familiares y demás personas que fueron amedrentadas en busca de</w:t>
      </w:r>
      <w:r w:rsidR="00F9462B" w:rsidRPr="00D749D5">
        <w:rPr>
          <w:rFonts w:asciiTheme="majorHAnsi" w:hAnsiTheme="majorHAnsi" w:cs="Arial"/>
          <w:sz w:val="20"/>
          <w:szCs w:val="20"/>
          <w:lang w:val="es-ES"/>
        </w:rPr>
        <w:t xml:space="preserve"> ser</w:t>
      </w:r>
      <w:r w:rsidR="00D763C2" w:rsidRPr="00D749D5">
        <w:rPr>
          <w:rFonts w:asciiTheme="majorHAnsi" w:hAnsiTheme="majorHAnsi" w:cs="Arial"/>
          <w:sz w:val="20"/>
          <w:szCs w:val="20"/>
          <w:lang w:val="es-ES"/>
        </w:rPr>
        <w:t xml:space="preserve"> silencia</w:t>
      </w:r>
      <w:r w:rsidR="00F9462B" w:rsidRPr="00D749D5">
        <w:rPr>
          <w:rFonts w:asciiTheme="majorHAnsi" w:hAnsiTheme="majorHAnsi" w:cs="Arial"/>
          <w:sz w:val="20"/>
          <w:szCs w:val="20"/>
          <w:lang w:val="es-ES"/>
        </w:rPr>
        <w:t>das</w:t>
      </w:r>
      <w:r w:rsidR="00D763C2" w:rsidRPr="00D749D5">
        <w:rPr>
          <w:rFonts w:asciiTheme="majorHAnsi" w:hAnsiTheme="majorHAnsi" w:cs="Arial"/>
          <w:sz w:val="20"/>
          <w:szCs w:val="20"/>
          <w:lang w:val="es-ES"/>
        </w:rPr>
        <w:t xml:space="preserve">. </w:t>
      </w:r>
      <w:r w:rsidR="00F9462B" w:rsidRPr="00D749D5">
        <w:rPr>
          <w:rFonts w:asciiTheme="majorHAnsi" w:hAnsiTheme="majorHAnsi" w:cs="Arial"/>
          <w:sz w:val="20"/>
          <w:szCs w:val="20"/>
          <w:lang w:val="es-ES"/>
        </w:rPr>
        <w:t xml:space="preserve">En este sentido indican que </w:t>
      </w:r>
      <w:r w:rsidR="00D763C2" w:rsidRPr="00D749D5">
        <w:rPr>
          <w:rFonts w:asciiTheme="majorHAnsi" w:hAnsiTheme="majorHAnsi" w:cs="Arial"/>
          <w:sz w:val="20"/>
          <w:szCs w:val="20"/>
          <w:lang w:val="es-ES"/>
        </w:rPr>
        <w:t xml:space="preserve">las autoridades nunca llevaron a cabo medidas de prevención, ni protección e investigación de dichas denuncias, propiciando así que en Barrancabermeja se viviera un ambiente de total terror y miedo por no poder buscar la verdad de lo sucedido, </w:t>
      </w:r>
      <w:r w:rsidR="00F9462B" w:rsidRPr="00D749D5">
        <w:rPr>
          <w:rFonts w:asciiTheme="majorHAnsi" w:hAnsiTheme="majorHAnsi" w:cs="Arial"/>
          <w:sz w:val="20"/>
          <w:szCs w:val="20"/>
          <w:lang w:val="es-ES"/>
        </w:rPr>
        <w:t xml:space="preserve">aunado a que </w:t>
      </w:r>
      <w:r w:rsidR="00D763C2" w:rsidRPr="00D749D5">
        <w:rPr>
          <w:rFonts w:asciiTheme="majorHAnsi" w:hAnsiTheme="majorHAnsi" w:cs="Arial"/>
          <w:sz w:val="20"/>
          <w:szCs w:val="20"/>
          <w:lang w:val="es-ES"/>
        </w:rPr>
        <w:t xml:space="preserve">los responsables de estos hostigamientos eran los agentes mismos del Estado. </w:t>
      </w:r>
      <w:r w:rsidR="00CA61A2" w:rsidRPr="00D749D5">
        <w:rPr>
          <w:rFonts w:asciiTheme="majorHAnsi" w:hAnsiTheme="majorHAnsi" w:cs="Arial"/>
          <w:sz w:val="20"/>
          <w:szCs w:val="20"/>
          <w:lang w:val="es-ES"/>
        </w:rPr>
        <w:t>En esta línea, agregan que el Estado en ningún momento llevó a cabo las investigaciones correspondientes a las denuncias por hostigamientos, y que la situación empeoro al punto de que los agentes que declararon inicialmente sobre los hechos, decidieron retractarse de las denuncias interpuestas en contra de la Red No. 7 de Inteligencia de la Armada Nacional, pese a lo cual, uno de ellos fue</w:t>
      </w:r>
      <w:r w:rsidR="00A500AF">
        <w:rPr>
          <w:rFonts w:asciiTheme="majorHAnsi" w:hAnsiTheme="majorHAnsi" w:cs="Arial"/>
          <w:sz w:val="20"/>
          <w:szCs w:val="20"/>
          <w:lang w:val="es-ES"/>
        </w:rPr>
        <w:t xml:space="preserve"> presuntamente</w:t>
      </w:r>
      <w:r w:rsidR="00CA61A2" w:rsidRPr="00D749D5">
        <w:rPr>
          <w:rFonts w:asciiTheme="majorHAnsi" w:hAnsiTheme="majorHAnsi" w:cs="Arial"/>
          <w:sz w:val="20"/>
          <w:szCs w:val="20"/>
          <w:lang w:val="es-ES"/>
        </w:rPr>
        <w:t xml:space="preserve"> desaparecido y aún no se conoce de su paradero y otro fue asesinado </w:t>
      </w:r>
      <w:r w:rsidR="00E93CBD" w:rsidRPr="00D749D5">
        <w:rPr>
          <w:rFonts w:asciiTheme="majorHAnsi" w:hAnsiTheme="majorHAnsi" w:cs="Arial"/>
          <w:sz w:val="20"/>
          <w:szCs w:val="20"/>
          <w:lang w:val="es-ES"/>
        </w:rPr>
        <w:t>estando en la cárcel</w:t>
      </w:r>
      <w:r w:rsidR="00CA61A2" w:rsidRPr="00D749D5">
        <w:rPr>
          <w:rFonts w:asciiTheme="majorHAnsi" w:hAnsiTheme="majorHAnsi" w:cs="Arial"/>
          <w:sz w:val="20"/>
          <w:szCs w:val="20"/>
          <w:lang w:val="es-ES"/>
        </w:rPr>
        <w:t>.</w:t>
      </w:r>
    </w:p>
    <w:p w14:paraId="206804A8" w14:textId="245C311F" w:rsidR="000A20C5" w:rsidRPr="00D749D5" w:rsidRDefault="00942DF7" w:rsidP="000A20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D749D5">
        <w:rPr>
          <w:rFonts w:asciiTheme="majorHAnsi" w:hAnsiTheme="majorHAnsi" w:cs="Arial"/>
          <w:sz w:val="20"/>
          <w:szCs w:val="20"/>
          <w:lang w:val="es-ES"/>
        </w:rPr>
        <w:t>Con base en lo anterior, los peticionarios alegan que el Estado violó, en perjuicio de las presuntas víctimas</w:t>
      </w:r>
      <w:r w:rsidR="009F0009" w:rsidRPr="00D749D5">
        <w:rPr>
          <w:rFonts w:asciiTheme="majorHAnsi" w:hAnsiTheme="majorHAnsi" w:cs="Arial"/>
          <w:sz w:val="20"/>
          <w:szCs w:val="20"/>
          <w:lang w:val="es-ES"/>
        </w:rPr>
        <w:t xml:space="preserve"> y sus familiares</w:t>
      </w:r>
      <w:r w:rsidRPr="00D749D5">
        <w:rPr>
          <w:rFonts w:asciiTheme="majorHAnsi" w:hAnsiTheme="majorHAnsi" w:cs="Arial"/>
          <w:sz w:val="20"/>
          <w:szCs w:val="20"/>
          <w:lang w:val="es-ES"/>
        </w:rPr>
        <w:t xml:space="preserve">, los derechos consagrados en los artículos </w:t>
      </w:r>
      <w:r w:rsidR="00963AD1" w:rsidRPr="00D749D5">
        <w:rPr>
          <w:rFonts w:asciiTheme="majorHAnsi" w:hAnsiTheme="majorHAnsi" w:cs="Arial"/>
          <w:sz w:val="20"/>
          <w:szCs w:val="20"/>
          <w:lang w:val="es-ES"/>
        </w:rPr>
        <w:t>1</w:t>
      </w:r>
      <w:r w:rsidR="00EC6F0C" w:rsidRPr="00D749D5">
        <w:rPr>
          <w:rFonts w:asciiTheme="majorHAnsi" w:hAnsiTheme="majorHAnsi" w:cs="Arial"/>
          <w:sz w:val="20"/>
          <w:szCs w:val="20"/>
          <w:lang w:val="es-ES"/>
        </w:rPr>
        <w:t>.1</w:t>
      </w:r>
      <w:r w:rsidR="00963AD1" w:rsidRPr="00D749D5">
        <w:rPr>
          <w:rFonts w:asciiTheme="majorHAnsi" w:hAnsiTheme="majorHAnsi" w:cs="Arial"/>
          <w:sz w:val="20"/>
          <w:szCs w:val="20"/>
          <w:lang w:val="es-ES"/>
        </w:rPr>
        <w:t>, 2, 4</w:t>
      </w:r>
      <w:r w:rsidR="00EC6F0C" w:rsidRPr="00D749D5">
        <w:rPr>
          <w:rFonts w:asciiTheme="majorHAnsi" w:hAnsiTheme="majorHAnsi" w:cs="Arial"/>
          <w:sz w:val="20"/>
          <w:szCs w:val="20"/>
          <w:lang w:val="es-ES"/>
        </w:rPr>
        <w:t>.1</w:t>
      </w:r>
      <w:r w:rsidR="00963AD1" w:rsidRPr="00D749D5">
        <w:rPr>
          <w:rFonts w:asciiTheme="majorHAnsi" w:hAnsiTheme="majorHAnsi" w:cs="Arial"/>
          <w:sz w:val="20"/>
          <w:szCs w:val="20"/>
          <w:lang w:val="es-ES"/>
        </w:rPr>
        <w:t xml:space="preserve">, 5, </w:t>
      </w:r>
      <w:r w:rsidR="00BB2090" w:rsidRPr="00D749D5">
        <w:rPr>
          <w:rFonts w:asciiTheme="majorHAnsi" w:hAnsiTheme="majorHAnsi" w:cs="Arial"/>
          <w:sz w:val="20"/>
          <w:szCs w:val="20"/>
          <w:lang w:val="es-ES"/>
        </w:rPr>
        <w:t>8</w:t>
      </w:r>
      <w:r w:rsidR="00EC6F0C" w:rsidRPr="00D749D5">
        <w:rPr>
          <w:rFonts w:asciiTheme="majorHAnsi" w:hAnsiTheme="majorHAnsi" w:cs="Arial"/>
          <w:sz w:val="20"/>
          <w:szCs w:val="20"/>
          <w:lang w:val="es-ES"/>
        </w:rPr>
        <w:t>.1</w:t>
      </w:r>
      <w:r w:rsidR="00BB2090" w:rsidRPr="00D749D5">
        <w:rPr>
          <w:rFonts w:asciiTheme="majorHAnsi" w:hAnsiTheme="majorHAnsi" w:cs="Arial"/>
          <w:sz w:val="20"/>
          <w:szCs w:val="20"/>
          <w:lang w:val="es-ES"/>
        </w:rPr>
        <w:t xml:space="preserve">, </w:t>
      </w:r>
      <w:r w:rsidR="00963AD1" w:rsidRPr="00D749D5">
        <w:rPr>
          <w:rFonts w:asciiTheme="majorHAnsi" w:hAnsiTheme="majorHAnsi" w:cs="Arial"/>
          <w:sz w:val="20"/>
          <w:szCs w:val="20"/>
          <w:lang w:val="es-ES"/>
        </w:rPr>
        <w:t xml:space="preserve">13, </w:t>
      </w:r>
      <w:r w:rsidR="00BB2090" w:rsidRPr="00D749D5">
        <w:rPr>
          <w:rFonts w:asciiTheme="majorHAnsi" w:hAnsiTheme="majorHAnsi" w:cs="Arial"/>
          <w:sz w:val="20"/>
          <w:szCs w:val="20"/>
          <w:lang w:val="es-ES"/>
        </w:rPr>
        <w:t>16</w:t>
      </w:r>
      <w:r w:rsidR="00963AD1" w:rsidRPr="00D749D5">
        <w:rPr>
          <w:rFonts w:asciiTheme="majorHAnsi" w:hAnsiTheme="majorHAnsi" w:cs="Arial"/>
          <w:sz w:val="20"/>
          <w:szCs w:val="20"/>
          <w:lang w:val="es-ES"/>
        </w:rPr>
        <w:t xml:space="preserve"> y</w:t>
      </w:r>
      <w:r w:rsidRPr="00D749D5">
        <w:rPr>
          <w:rFonts w:asciiTheme="majorHAnsi" w:hAnsiTheme="majorHAnsi" w:cs="Arial"/>
          <w:sz w:val="20"/>
          <w:szCs w:val="20"/>
          <w:lang w:val="es-ES"/>
        </w:rPr>
        <w:t xml:space="preserve"> 25 de la Convención Americana.</w:t>
      </w:r>
    </w:p>
    <w:p w14:paraId="51876EA8" w14:textId="77777777" w:rsidR="0063685A" w:rsidRPr="00D749D5" w:rsidRDefault="0063685A" w:rsidP="009010A7">
      <w:pPr>
        <w:pStyle w:val="ListParagraph"/>
        <w:numPr>
          <w:ilvl w:val="0"/>
          <w:numId w:val="59"/>
        </w:numPr>
        <w:spacing w:after="240"/>
        <w:jc w:val="both"/>
        <w:rPr>
          <w:rFonts w:asciiTheme="majorHAnsi" w:hAnsiTheme="majorHAnsi"/>
          <w:b/>
          <w:bCs/>
          <w:sz w:val="20"/>
          <w:szCs w:val="20"/>
          <w:lang w:val="es-ES"/>
        </w:rPr>
      </w:pPr>
      <w:r w:rsidRPr="00D749D5">
        <w:rPr>
          <w:rFonts w:asciiTheme="majorHAnsi" w:hAnsiTheme="majorHAnsi"/>
          <w:b/>
          <w:bCs/>
          <w:sz w:val="20"/>
          <w:szCs w:val="20"/>
          <w:lang w:val="es-ES"/>
        </w:rPr>
        <w:t>Posición del Estado</w:t>
      </w:r>
      <w:r w:rsidR="00441DBA" w:rsidRPr="00D749D5">
        <w:rPr>
          <w:rFonts w:asciiTheme="majorHAnsi" w:hAnsiTheme="majorHAnsi"/>
          <w:b/>
          <w:bCs/>
          <w:sz w:val="20"/>
          <w:szCs w:val="20"/>
          <w:lang w:val="es-ES"/>
        </w:rPr>
        <w:t xml:space="preserve"> </w:t>
      </w:r>
    </w:p>
    <w:p w14:paraId="53AD03C3" w14:textId="32E30B7C" w:rsidR="0097362F" w:rsidRPr="00D749D5" w:rsidRDefault="00FC4FEA" w:rsidP="0097362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D</w:t>
      </w:r>
      <w:r w:rsidR="0063685A" w:rsidRPr="00D749D5">
        <w:rPr>
          <w:rFonts w:asciiTheme="majorHAnsi" w:hAnsiTheme="majorHAnsi"/>
          <w:sz w:val="20"/>
          <w:szCs w:val="20"/>
          <w:lang w:val="es-ES"/>
        </w:rPr>
        <w:t>e acuerdo al Estado</w:t>
      </w:r>
      <w:r w:rsidR="00FD35CC">
        <w:rPr>
          <w:rFonts w:asciiTheme="majorHAnsi" w:hAnsiTheme="majorHAnsi"/>
          <w:sz w:val="20"/>
          <w:szCs w:val="20"/>
          <w:lang w:val="es-ES"/>
        </w:rPr>
        <w:t>, según lo expresa</w:t>
      </w:r>
      <w:r w:rsidR="00030DC6" w:rsidRPr="00D749D5">
        <w:rPr>
          <w:rFonts w:asciiTheme="majorHAnsi" w:hAnsiTheme="majorHAnsi"/>
          <w:sz w:val="20"/>
          <w:szCs w:val="20"/>
          <w:lang w:val="es-ES"/>
        </w:rPr>
        <w:t>do en su escrito de primeras observaciones, de fecha 23 de julio de 1998</w:t>
      </w:r>
      <w:r w:rsidR="0063685A" w:rsidRPr="00D749D5">
        <w:rPr>
          <w:rFonts w:asciiTheme="majorHAnsi" w:hAnsiTheme="majorHAnsi"/>
          <w:sz w:val="20"/>
          <w:szCs w:val="20"/>
          <w:lang w:val="es-ES"/>
        </w:rPr>
        <w:t xml:space="preserve">, </w:t>
      </w:r>
      <w:r w:rsidR="00CF1756" w:rsidRPr="00D749D5">
        <w:rPr>
          <w:rFonts w:asciiTheme="majorHAnsi" w:hAnsiTheme="majorHAnsi"/>
          <w:sz w:val="20"/>
          <w:szCs w:val="20"/>
          <w:lang w:val="es-ES"/>
        </w:rPr>
        <w:t>el</w:t>
      </w:r>
      <w:r w:rsidRPr="00D749D5">
        <w:rPr>
          <w:rFonts w:asciiTheme="majorHAnsi" w:hAnsiTheme="majorHAnsi"/>
          <w:sz w:val="20"/>
          <w:szCs w:val="20"/>
          <w:lang w:val="es-ES"/>
        </w:rPr>
        <w:t xml:space="preserve"> 24 de febrero de 1998, </w:t>
      </w:r>
      <w:r w:rsidR="00CF1756" w:rsidRPr="00D749D5">
        <w:rPr>
          <w:rFonts w:asciiTheme="majorHAnsi" w:hAnsiTheme="majorHAnsi"/>
          <w:sz w:val="20"/>
          <w:szCs w:val="20"/>
          <w:lang w:val="es-ES"/>
        </w:rPr>
        <w:t xml:space="preserve">el Juzgado Regional de Cúcuta </w:t>
      </w:r>
      <w:r w:rsidRPr="00D749D5">
        <w:rPr>
          <w:rFonts w:asciiTheme="majorHAnsi" w:hAnsiTheme="majorHAnsi"/>
          <w:sz w:val="20"/>
          <w:szCs w:val="20"/>
          <w:lang w:val="es-ES"/>
        </w:rPr>
        <w:t>condenó a Carlos Alberto Vergara Amaya y A</w:t>
      </w:r>
      <w:r w:rsidR="008307D3" w:rsidRPr="00D749D5">
        <w:rPr>
          <w:rFonts w:asciiTheme="majorHAnsi" w:hAnsiTheme="majorHAnsi"/>
          <w:sz w:val="20"/>
          <w:szCs w:val="20"/>
          <w:lang w:val="es-ES"/>
        </w:rPr>
        <w:t xml:space="preserve">ncízar Castaño Buitriago a treinta años de prisión </w:t>
      </w:r>
      <w:r w:rsidR="00557C96" w:rsidRPr="00D749D5">
        <w:rPr>
          <w:rFonts w:asciiTheme="majorHAnsi" w:hAnsiTheme="majorHAnsi"/>
          <w:sz w:val="20"/>
          <w:szCs w:val="20"/>
          <w:lang w:val="es-ES"/>
        </w:rPr>
        <w:t xml:space="preserve">y </w:t>
      </w:r>
      <w:r w:rsidR="00CF1756" w:rsidRPr="00D749D5">
        <w:rPr>
          <w:rFonts w:asciiTheme="majorHAnsi" w:hAnsiTheme="majorHAnsi"/>
          <w:sz w:val="20"/>
          <w:szCs w:val="20"/>
          <w:lang w:val="es-ES"/>
        </w:rPr>
        <w:t xml:space="preserve">a </w:t>
      </w:r>
      <w:r w:rsidR="00557C96" w:rsidRPr="00D749D5">
        <w:rPr>
          <w:rFonts w:asciiTheme="majorHAnsi" w:hAnsiTheme="majorHAnsi"/>
          <w:sz w:val="20"/>
          <w:szCs w:val="20"/>
          <w:lang w:val="es-ES"/>
        </w:rPr>
        <w:t xml:space="preserve">la multa de </w:t>
      </w:r>
      <w:r w:rsidR="00CF1756" w:rsidRPr="00D749D5">
        <w:rPr>
          <w:rFonts w:asciiTheme="majorHAnsi" w:hAnsiTheme="majorHAnsi"/>
          <w:sz w:val="20"/>
          <w:szCs w:val="20"/>
          <w:lang w:val="es-ES"/>
        </w:rPr>
        <w:t>$</w:t>
      </w:r>
      <w:r w:rsidR="00557C96" w:rsidRPr="00D749D5">
        <w:rPr>
          <w:rFonts w:asciiTheme="majorHAnsi" w:hAnsiTheme="majorHAnsi"/>
          <w:sz w:val="20"/>
          <w:szCs w:val="20"/>
          <w:lang w:val="es-ES"/>
        </w:rPr>
        <w:t>14.667.750 millones de pesos,</w:t>
      </w:r>
      <w:r w:rsidR="00CF1756" w:rsidRPr="00D749D5">
        <w:rPr>
          <w:rFonts w:asciiTheme="majorHAnsi" w:hAnsiTheme="majorHAnsi"/>
          <w:sz w:val="20"/>
          <w:szCs w:val="20"/>
          <w:lang w:val="es-ES"/>
        </w:rPr>
        <w:t xml:space="preserve"> así como las penas accesorias de</w:t>
      </w:r>
      <w:r w:rsidR="00557C96" w:rsidRPr="00D749D5">
        <w:rPr>
          <w:rFonts w:asciiTheme="majorHAnsi" w:hAnsiTheme="majorHAnsi"/>
          <w:sz w:val="20"/>
          <w:szCs w:val="20"/>
          <w:lang w:val="es-ES"/>
        </w:rPr>
        <w:t xml:space="preserve"> interdicción de derechos y funciones públicas por diez años</w:t>
      </w:r>
      <w:r w:rsidR="00CF1756" w:rsidRPr="00D749D5">
        <w:rPr>
          <w:rFonts w:asciiTheme="majorHAnsi" w:hAnsiTheme="majorHAnsi"/>
          <w:sz w:val="20"/>
          <w:szCs w:val="20"/>
          <w:lang w:val="es-ES"/>
        </w:rPr>
        <w:t>,</w:t>
      </w:r>
      <w:r w:rsidR="00557C96" w:rsidRPr="00D749D5">
        <w:rPr>
          <w:rFonts w:asciiTheme="majorHAnsi" w:hAnsiTheme="majorHAnsi"/>
          <w:sz w:val="20"/>
          <w:szCs w:val="20"/>
          <w:lang w:val="es-ES"/>
        </w:rPr>
        <w:t xml:space="preserve"> por los distintos delitos que cometieron desde finales de 1991 hasta finales de 1993</w:t>
      </w:r>
      <w:r w:rsidR="004137F9" w:rsidRPr="00D749D5">
        <w:rPr>
          <w:rFonts w:asciiTheme="majorHAnsi" w:hAnsiTheme="majorHAnsi"/>
          <w:sz w:val="20"/>
          <w:szCs w:val="20"/>
          <w:lang w:val="es-ES"/>
        </w:rPr>
        <w:t>, además de pagar de su patrimonio indemnizaciones por daños materiales y morales a las familias de las víctimas</w:t>
      </w:r>
      <w:r w:rsidR="00557C96" w:rsidRPr="00D749D5">
        <w:rPr>
          <w:rFonts w:asciiTheme="majorHAnsi" w:hAnsiTheme="majorHAnsi"/>
          <w:sz w:val="20"/>
          <w:szCs w:val="20"/>
          <w:lang w:val="es-ES"/>
        </w:rPr>
        <w:t>.</w:t>
      </w:r>
      <w:r w:rsidR="0095046B" w:rsidRPr="00D749D5">
        <w:rPr>
          <w:rFonts w:asciiTheme="majorHAnsi" w:hAnsiTheme="majorHAnsi"/>
          <w:sz w:val="20"/>
          <w:szCs w:val="20"/>
          <w:lang w:val="es-ES"/>
        </w:rPr>
        <w:t xml:space="preserve"> </w:t>
      </w:r>
      <w:r w:rsidR="00030DC6" w:rsidRPr="00D749D5">
        <w:rPr>
          <w:rFonts w:asciiTheme="majorHAnsi" w:hAnsiTheme="majorHAnsi"/>
          <w:sz w:val="20"/>
          <w:szCs w:val="20"/>
          <w:lang w:val="es-ES"/>
        </w:rPr>
        <w:t xml:space="preserve">Además, aseveró </w:t>
      </w:r>
      <w:r w:rsidR="00CF1756" w:rsidRPr="00D749D5">
        <w:rPr>
          <w:rFonts w:asciiTheme="majorHAnsi" w:hAnsiTheme="majorHAnsi"/>
          <w:sz w:val="20"/>
          <w:szCs w:val="20"/>
          <w:lang w:val="es-ES"/>
        </w:rPr>
        <w:t xml:space="preserve">que la Fiscalía General de la Nación había decretado acusación sobre otros seis sujetos y el proceso continuaba respecto de ellos, y que </w:t>
      </w:r>
      <w:r w:rsidR="00030DC6" w:rsidRPr="00D749D5">
        <w:rPr>
          <w:rFonts w:asciiTheme="majorHAnsi" w:hAnsiTheme="majorHAnsi"/>
          <w:sz w:val="20"/>
          <w:szCs w:val="20"/>
          <w:lang w:val="es-ES"/>
        </w:rPr>
        <w:t xml:space="preserve">tanto </w:t>
      </w:r>
      <w:r w:rsidR="00CF1756" w:rsidRPr="00D749D5">
        <w:rPr>
          <w:rFonts w:asciiTheme="majorHAnsi" w:hAnsiTheme="majorHAnsi"/>
          <w:sz w:val="20"/>
          <w:szCs w:val="20"/>
          <w:lang w:val="es-ES"/>
        </w:rPr>
        <w:t>el</w:t>
      </w:r>
      <w:r w:rsidR="00030DC6" w:rsidRPr="00D749D5">
        <w:rPr>
          <w:rFonts w:asciiTheme="majorHAnsi" w:hAnsiTheme="majorHAnsi"/>
          <w:sz w:val="20"/>
          <w:szCs w:val="20"/>
          <w:lang w:val="es-ES"/>
        </w:rPr>
        <w:t xml:space="preserve"> proceso </w:t>
      </w:r>
      <w:r w:rsidR="00CF1756" w:rsidRPr="00D749D5">
        <w:rPr>
          <w:rFonts w:asciiTheme="majorHAnsi" w:hAnsiTheme="majorHAnsi"/>
          <w:sz w:val="20"/>
          <w:szCs w:val="20"/>
          <w:lang w:val="es-ES"/>
        </w:rPr>
        <w:t xml:space="preserve">seguido ante </w:t>
      </w:r>
      <w:r w:rsidR="00030DC6" w:rsidRPr="00D749D5">
        <w:rPr>
          <w:rFonts w:asciiTheme="majorHAnsi" w:hAnsiTheme="majorHAnsi"/>
          <w:sz w:val="20"/>
          <w:szCs w:val="20"/>
          <w:lang w:val="es-ES"/>
        </w:rPr>
        <w:t xml:space="preserve">la justicia militar, así como </w:t>
      </w:r>
      <w:r w:rsidR="00CF1756" w:rsidRPr="00D749D5">
        <w:rPr>
          <w:rFonts w:asciiTheme="majorHAnsi" w:hAnsiTheme="majorHAnsi"/>
          <w:sz w:val="20"/>
          <w:szCs w:val="20"/>
          <w:lang w:val="es-ES"/>
        </w:rPr>
        <w:t>el</w:t>
      </w:r>
      <w:r w:rsidR="00030DC6" w:rsidRPr="00D749D5">
        <w:rPr>
          <w:rFonts w:asciiTheme="majorHAnsi" w:hAnsiTheme="majorHAnsi"/>
          <w:sz w:val="20"/>
          <w:szCs w:val="20"/>
          <w:lang w:val="es-ES"/>
        </w:rPr>
        <w:t xml:space="preserve"> </w:t>
      </w:r>
      <w:r w:rsidR="008406B6" w:rsidRPr="00D749D5">
        <w:rPr>
          <w:rFonts w:asciiTheme="majorHAnsi" w:hAnsiTheme="majorHAnsi"/>
          <w:sz w:val="20"/>
          <w:szCs w:val="20"/>
          <w:lang w:val="es-ES"/>
        </w:rPr>
        <w:t xml:space="preserve">proceso disciplinario </w:t>
      </w:r>
      <w:r w:rsidR="00030DC6" w:rsidRPr="00D749D5">
        <w:rPr>
          <w:rFonts w:asciiTheme="majorHAnsi" w:hAnsiTheme="majorHAnsi"/>
          <w:sz w:val="20"/>
          <w:szCs w:val="20"/>
          <w:lang w:val="es-ES"/>
        </w:rPr>
        <w:t xml:space="preserve">se encontraban en curso, por lo que sostuvo que </w:t>
      </w:r>
      <w:r w:rsidR="008406B6" w:rsidRPr="00D749D5">
        <w:rPr>
          <w:rFonts w:asciiTheme="majorHAnsi" w:hAnsiTheme="majorHAnsi"/>
          <w:sz w:val="20"/>
          <w:szCs w:val="20"/>
          <w:lang w:val="es-ES"/>
        </w:rPr>
        <w:t>los recursos de la jurisdicción interna no han sido agotados</w:t>
      </w:r>
      <w:r w:rsidR="006B07AC" w:rsidRPr="00D749D5">
        <w:rPr>
          <w:rFonts w:asciiTheme="majorHAnsi" w:hAnsiTheme="majorHAnsi"/>
          <w:sz w:val="20"/>
          <w:szCs w:val="20"/>
          <w:lang w:val="es-ES"/>
        </w:rPr>
        <w:t>.</w:t>
      </w:r>
    </w:p>
    <w:p w14:paraId="2F763CC9" w14:textId="4B3C6665" w:rsidR="0060231F" w:rsidRPr="00D749D5" w:rsidRDefault="00F86914" w:rsidP="00E131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
        </w:rPr>
      </w:pPr>
      <w:r w:rsidRPr="00D749D5">
        <w:rPr>
          <w:rFonts w:asciiTheme="majorHAnsi" w:hAnsiTheme="majorHAnsi"/>
          <w:sz w:val="20"/>
          <w:szCs w:val="20"/>
          <w:lang w:val="es-ES"/>
        </w:rPr>
        <w:t xml:space="preserve">Posteriormente, mediante escrito presentado ante la </w:t>
      </w:r>
      <w:r w:rsidR="00185277" w:rsidRPr="00D749D5">
        <w:rPr>
          <w:rFonts w:asciiTheme="majorHAnsi" w:hAnsiTheme="majorHAnsi"/>
          <w:sz w:val="20"/>
          <w:szCs w:val="20"/>
          <w:lang w:val="es-ES"/>
        </w:rPr>
        <w:t>Comisión</w:t>
      </w:r>
      <w:r w:rsidRPr="00D749D5">
        <w:rPr>
          <w:rFonts w:asciiTheme="majorHAnsi" w:hAnsiTheme="majorHAnsi"/>
          <w:sz w:val="20"/>
          <w:szCs w:val="20"/>
          <w:lang w:val="es-ES"/>
        </w:rPr>
        <w:t xml:space="preserve"> el 26 de junio de 2009, </w:t>
      </w:r>
      <w:r w:rsidR="00FA6051" w:rsidRPr="00D749D5">
        <w:rPr>
          <w:rFonts w:asciiTheme="majorHAnsi" w:hAnsiTheme="majorHAnsi"/>
          <w:sz w:val="20"/>
          <w:szCs w:val="20"/>
          <w:lang w:val="es-ES"/>
        </w:rPr>
        <w:t xml:space="preserve">dentro de sus alegatos, </w:t>
      </w:r>
      <w:r w:rsidR="00BF57B6" w:rsidRPr="00D749D5">
        <w:rPr>
          <w:rFonts w:asciiTheme="majorHAnsi" w:hAnsiTheme="majorHAnsi"/>
          <w:sz w:val="20"/>
          <w:szCs w:val="20"/>
          <w:lang w:val="es-ES"/>
        </w:rPr>
        <w:t>el Estado manif</w:t>
      </w:r>
      <w:r w:rsidR="00423BAE" w:rsidRPr="00D749D5">
        <w:rPr>
          <w:rFonts w:asciiTheme="majorHAnsi" w:hAnsiTheme="majorHAnsi"/>
          <w:sz w:val="20"/>
          <w:szCs w:val="20"/>
          <w:lang w:val="es-ES"/>
        </w:rPr>
        <w:t>est</w:t>
      </w:r>
      <w:r w:rsidR="00FA6051" w:rsidRPr="00D749D5">
        <w:rPr>
          <w:rFonts w:asciiTheme="majorHAnsi" w:hAnsiTheme="majorHAnsi"/>
          <w:sz w:val="20"/>
          <w:szCs w:val="20"/>
          <w:lang w:val="es-ES"/>
        </w:rPr>
        <w:t>ó</w:t>
      </w:r>
      <w:r w:rsidR="00423BAE" w:rsidRPr="00D749D5">
        <w:rPr>
          <w:rFonts w:asciiTheme="majorHAnsi" w:hAnsiTheme="majorHAnsi"/>
          <w:sz w:val="20"/>
          <w:szCs w:val="20"/>
          <w:lang w:val="es-ES"/>
        </w:rPr>
        <w:t xml:space="preserve"> que </w:t>
      </w:r>
      <w:r w:rsidR="00FD35CC">
        <w:rPr>
          <w:rFonts w:asciiTheme="majorHAnsi" w:hAnsiTheme="majorHAnsi"/>
          <w:sz w:val="20"/>
          <w:szCs w:val="20"/>
          <w:lang w:val="es-ES"/>
        </w:rPr>
        <w:t xml:space="preserve">considera que en el presente asunto </w:t>
      </w:r>
      <w:r w:rsidR="00423BAE" w:rsidRPr="00D749D5">
        <w:rPr>
          <w:rFonts w:asciiTheme="majorHAnsi" w:hAnsiTheme="majorHAnsi"/>
          <w:sz w:val="20"/>
          <w:szCs w:val="20"/>
          <w:lang w:val="es-ES"/>
        </w:rPr>
        <w:t xml:space="preserve">la </w:t>
      </w:r>
      <w:r w:rsidR="00185277" w:rsidRPr="00D749D5">
        <w:rPr>
          <w:rFonts w:asciiTheme="majorHAnsi" w:hAnsiTheme="majorHAnsi"/>
          <w:sz w:val="20"/>
          <w:szCs w:val="20"/>
          <w:lang w:val="es-ES"/>
        </w:rPr>
        <w:t>Comisión</w:t>
      </w:r>
      <w:r w:rsidR="00423BAE" w:rsidRPr="00D749D5">
        <w:rPr>
          <w:rFonts w:asciiTheme="majorHAnsi" w:hAnsiTheme="majorHAnsi"/>
          <w:sz w:val="20"/>
          <w:szCs w:val="20"/>
          <w:lang w:val="es-ES"/>
        </w:rPr>
        <w:t xml:space="preserve"> tiene competencia </w:t>
      </w:r>
      <w:r w:rsidR="00423BAE" w:rsidRPr="00D749D5">
        <w:rPr>
          <w:rFonts w:asciiTheme="majorHAnsi" w:hAnsiTheme="majorHAnsi"/>
          <w:i/>
          <w:sz w:val="20"/>
          <w:szCs w:val="20"/>
          <w:lang w:val="es-ES"/>
        </w:rPr>
        <w:t>ratione personae, ratione temporis, ratione materiae y ratione loci.</w:t>
      </w:r>
    </w:p>
    <w:p w14:paraId="37BBDA5D" w14:textId="348A53E0" w:rsidR="00BF57B6" w:rsidRPr="00D749D5" w:rsidRDefault="004F619B" w:rsidP="00BF57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i/>
          <w:sz w:val="20"/>
          <w:szCs w:val="20"/>
          <w:lang w:val="es-ES"/>
        </w:rPr>
      </w:pPr>
      <w:r w:rsidRPr="00D749D5">
        <w:rPr>
          <w:rFonts w:asciiTheme="majorHAnsi" w:hAnsiTheme="majorHAnsi"/>
          <w:sz w:val="20"/>
          <w:szCs w:val="20"/>
          <w:lang w:val="es-ES"/>
        </w:rPr>
        <w:t xml:space="preserve">Además, </w:t>
      </w:r>
      <w:r w:rsidR="00BF57B6" w:rsidRPr="00D749D5">
        <w:rPr>
          <w:rFonts w:asciiTheme="majorHAnsi" w:hAnsiTheme="majorHAnsi"/>
          <w:sz w:val="20"/>
          <w:szCs w:val="20"/>
          <w:lang w:val="es-ES"/>
        </w:rPr>
        <w:t>detalló el desarrollo de los procesos a nivel interno, indicando que el Juzgado Regional de Cúcuta, Radicación No. 1953, el</w:t>
      </w:r>
      <w:r w:rsidR="00001C6A">
        <w:rPr>
          <w:rFonts w:asciiTheme="majorHAnsi" w:hAnsiTheme="majorHAnsi"/>
          <w:sz w:val="20"/>
          <w:szCs w:val="20"/>
          <w:lang w:val="es-ES"/>
        </w:rPr>
        <w:t xml:space="preserve"> </w:t>
      </w:r>
      <w:r w:rsidR="00BF57B6" w:rsidRPr="00D749D5">
        <w:rPr>
          <w:rFonts w:asciiTheme="majorHAnsi" w:hAnsiTheme="majorHAnsi"/>
          <w:sz w:val="20"/>
          <w:szCs w:val="20"/>
          <w:lang w:val="es-ES"/>
        </w:rPr>
        <w:t xml:space="preserve">8 de febrero de 1994 dispuso </w:t>
      </w:r>
      <w:r w:rsidR="00255404" w:rsidRPr="00D749D5">
        <w:rPr>
          <w:rFonts w:asciiTheme="majorHAnsi" w:hAnsiTheme="majorHAnsi"/>
          <w:sz w:val="20"/>
          <w:szCs w:val="20"/>
          <w:lang w:val="es-ES"/>
        </w:rPr>
        <w:t xml:space="preserve">la </w:t>
      </w:r>
      <w:r w:rsidR="00BF57B6" w:rsidRPr="00D749D5">
        <w:rPr>
          <w:rFonts w:asciiTheme="majorHAnsi" w:hAnsiTheme="majorHAnsi"/>
          <w:sz w:val="20"/>
          <w:szCs w:val="20"/>
          <w:lang w:val="es-ES"/>
        </w:rPr>
        <w:t>apertura del sumario en contra de Carlos Alberto Vergara Amaya, Miguel Antonio Durán Cáceres, Julio Ernesto Parra, Ancízar Castaño Buitriago, José Amaya Cano, sindicación que el 25 de febrero, 25 de mayo y 20 de junio de 1994, se extendió a los imputados Jimmy Alberto Arenas Robledo, Felipe Gómez, Juan Carracedo de la Hoz, Saulo Seguro Palacios y Carlos David López Maquillon, por la muerte de Carlos Alberto Álvarez Ahumada, José Domingo Amaya Parra, Humberto Atencia Canchilla, Julio César Berrio Villegas, Orlando Alonso Castillo Duarte, Evélio Córdoba Cavanzo, Fabio Leonardo Córdoba Cavanzo, Pablo Elias Córdoba Cavanzo, Ligia Patricia Cortés Colmenares, Jaime Garces Muñoz, Pablo Emilio Guerra Herrera, Yeimi Herrera Vásquez, Ismael Jaime Cortés, Luis Fernando León Cáceres, Eduviges López Ruíz, Nubia Lozano Alvarez, Doris (Dollys) Patricia Murillo, Pablo José Narvaez, Luis Guillermo Niño Berbeo, Eliecer Payan Monares, Benjamín Pérez Peinado, Oscar Mauricio Pinzón, Gustavo Rojas Ortiz, Esteban Rojas Parada, Luis Jesús Rueda Viviescas, Parmenio Ruiz Suárez, Pedro David Sanchéz Morantes, Jorge Dolores Silva Quiñones, René Alberto Tavera Soza, Virgilio Enrique Treco Florez, Pedro David Villareal Santamaría.</w:t>
      </w:r>
    </w:p>
    <w:p w14:paraId="4A6CCCB4" w14:textId="77777777" w:rsidR="00743B91" w:rsidRPr="00743B91" w:rsidRDefault="00BF57B6" w:rsidP="008879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i/>
          <w:sz w:val="20"/>
          <w:szCs w:val="20"/>
          <w:lang w:val="es-ES"/>
        </w:rPr>
      </w:pPr>
      <w:r w:rsidRPr="00D749D5">
        <w:rPr>
          <w:rFonts w:asciiTheme="majorHAnsi" w:hAnsiTheme="majorHAnsi"/>
          <w:sz w:val="20"/>
          <w:szCs w:val="20"/>
          <w:lang w:val="es-ES"/>
        </w:rPr>
        <w:t>Agreg</w:t>
      </w:r>
      <w:r w:rsidR="00255404" w:rsidRPr="00D749D5">
        <w:rPr>
          <w:rFonts w:asciiTheme="majorHAnsi" w:hAnsiTheme="majorHAnsi"/>
          <w:sz w:val="20"/>
          <w:szCs w:val="20"/>
          <w:lang w:val="es-ES"/>
        </w:rPr>
        <w:t>ó que</w:t>
      </w:r>
      <w:r w:rsidRPr="00D749D5">
        <w:rPr>
          <w:rFonts w:asciiTheme="majorHAnsi" w:hAnsiTheme="majorHAnsi"/>
          <w:sz w:val="20"/>
          <w:szCs w:val="20"/>
          <w:lang w:val="es-ES"/>
        </w:rPr>
        <w:t xml:space="preserve"> tras diversas resoluciones proferidas contra distintas personas</w:t>
      </w:r>
      <w:r w:rsidR="008879D6" w:rsidRPr="00D749D5">
        <w:rPr>
          <w:rFonts w:asciiTheme="majorHAnsi" w:hAnsiTheme="majorHAnsi"/>
          <w:sz w:val="20"/>
          <w:szCs w:val="20"/>
          <w:lang w:val="es-ES"/>
        </w:rPr>
        <w:t xml:space="preserve">, </w:t>
      </w:r>
      <w:r w:rsidRPr="00D749D5">
        <w:rPr>
          <w:rFonts w:asciiTheme="majorHAnsi" w:hAnsiTheme="majorHAnsi"/>
          <w:sz w:val="20"/>
          <w:szCs w:val="20"/>
          <w:lang w:val="es-ES"/>
        </w:rPr>
        <w:t>el 1 de noviembre de 1996 se elevó acusación contra Carlos Alberto Vergara Amaya, como coautor en concurso</w:t>
      </w:r>
    </w:p>
    <w:p w14:paraId="05E3DDC6" w14:textId="4AF5E471" w:rsidR="00BF57B6" w:rsidRPr="00F5329C" w:rsidRDefault="00BF57B6" w:rsidP="00743B91">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i/>
          <w:sz w:val="20"/>
          <w:szCs w:val="20"/>
          <w:lang w:val="es-ES"/>
        </w:rPr>
      </w:pPr>
      <w:r w:rsidRPr="00D749D5">
        <w:rPr>
          <w:rFonts w:asciiTheme="majorHAnsi" w:hAnsiTheme="majorHAnsi"/>
          <w:sz w:val="20"/>
          <w:szCs w:val="20"/>
          <w:lang w:val="es-ES"/>
        </w:rPr>
        <w:lastRenderedPageBreak/>
        <w:t>homogéneo de los homicidios de</w:t>
      </w:r>
      <w:r w:rsidR="00F5329C">
        <w:rPr>
          <w:rFonts w:asciiTheme="majorHAnsi" w:hAnsiTheme="majorHAnsi"/>
          <w:sz w:val="20"/>
          <w:szCs w:val="20"/>
          <w:lang w:val="es-ES"/>
        </w:rPr>
        <w:t xml:space="preserve"> </w:t>
      </w:r>
      <w:r w:rsidR="00F5329C" w:rsidRPr="00F5329C">
        <w:rPr>
          <w:rFonts w:asciiTheme="majorHAnsi" w:hAnsiTheme="majorHAnsi"/>
          <w:sz w:val="20"/>
          <w:szCs w:val="20"/>
          <w:lang w:val="es-ES"/>
        </w:rPr>
        <w:t>9 personas</w:t>
      </w:r>
      <w:r w:rsidR="00F5329C" w:rsidRPr="00F5329C">
        <w:rPr>
          <w:rStyle w:val="FootnoteReference"/>
          <w:rFonts w:asciiTheme="majorHAnsi" w:hAnsiTheme="majorHAnsi"/>
          <w:sz w:val="20"/>
          <w:szCs w:val="20"/>
          <w:lang w:val="es-ES"/>
        </w:rPr>
        <w:footnoteReference w:id="9"/>
      </w:r>
      <w:r w:rsidR="001A7EE2" w:rsidRPr="00F5329C">
        <w:rPr>
          <w:rFonts w:asciiTheme="majorHAnsi" w:hAnsiTheme="majorHAnsi"/>
          <w:sz w:val="20"/>
          <w:szCs w:val="20"/>
          <w:lang w:val="es-ES"/>
        </w:rPr>
        <w:t xml:space="preserve">, </w:t>
      </w:r>
      <w:r w:rsidR="001A7EE2" w:rsidRPr="00D749D5">
        <w:rPr>
          <w:rFonts w:asciiTheme="majorHAnsi" w:hAnsiTheme="majorHAnsi"/>
          <w:sz w:val="20"/>
          <w:szCs w:val="20"/>
          <w:lang w:val="es-ES"/>
        </w:rPr>
        <w:t>y</w:t>
      </w:r>
      <w:r w:rsidRPr="00D749D5">
        <w:rPr>
          <w:rFonts w:asciiTheme="majorHAnsi" w:hAnsiTheme="majorHAnsi"/>
          <w:sz w:val="20"/>
          <w:szCs w:val="20"/>
          <w:lang w:val="es-ES"/>
        </w:rPr>
        <w:t xml:space="preserve"> a Ancízar Castaño Buitriago</w:t>
      </w:r>
      <w:r w:rsidRPr="00D749D5">
        <w:rPr>
          <w:rFonts w:asciiTheme="majorHAnsi" w:hAnsiTheme="majorHAnsi"/>
          <w:b/>
          <w:sz w:val="20"/>
          <w:szCs w:val="20"/>
          <w:lang w:val="es-ES"/>
        </w:rPr>
        <w:t xml:space="preserve"> </w:t>
      </w:r>
      <w:r w:rsidRPr="00D749D5">
        <w:rPr>
          <w:rFonts w:asciiTheme="majorHAnsi" w:hAnsiTheme="majorHAnsi"/>
          <w:sz w:val="20"/>
          <w:szCs w:val="20"/>
          <w:lang w:val="es-ES"/>
        </w:rPr>
        <w:t>imputándosele el delito de homicidio calificado consumado en perjuicio de</w:t>
      </w:r>
      <w:r w:rsidR="00110E33">
        <w:rPr>
          <w:rFonts w:asciiTheme="majorHAnsi" w:hAnsiTheme="majorHAnsi"/>
          <w:sz w:val="20"/>
          <w:szCs w:val="20"/>
          <w:lang w:val="es-ES"/>
        </w:rPr>
        <w:t xml:space="preserve"> 30</w:t>
      </w:r>
      <w:r w:rsidR="00F5329C">
        <w:rPr>
          <w:rFonts w:asciiTheme="majorHAnsi" w:hAnsiTheme="majorHAnsi"/>
          <w:sz w:val="20"/>
          <w:szCs w:val="20"/>
          <w:lang w:val="es-ES"/>
        </w:rPr>
        <w:t xml:space="preserve"> personas</w:t>
      </w:r>
      <w:r w:rsidR="00F5329C">
        <w:rPr>
          <w:rStyle w:val="FootnoteReference"/>
          <w:rFonts w:asciiTheme="majorHAnsi" w:hAnsiTheme="majorHAnsi"/>
          <w:sz w:val="20"/>
          <w:szCs w:val="20"/>
          <w:lang w:val="es-ES"/>
        </w:rPr>
        <w:footnoteReference w:id="10"/>
      </w:r>
      <w:r w:rsidR="00F5329C">
        <w:rPr>
          <w:rFonts w:asciiTheme="majorHAnsi" w:hAnsiTheme="majorHAnsi"/>
          <w:sz w:val="20"/>
          <w:szCs w:val="20"/>
          <w:lang w:val="es-ES"/>
        </w:rPr>
        <w:t xml:space="preserve"> </w:t>
      </w:r>
      <w:r w:rsidRPr="00D749D5">
        <w:rPr>
          <w:rFonts w:asciiTheme="majorHAnsi" w:hAnsiTheme="majorHAnsi"/>
          <w:sz w:val="20"/>
          <w:szCs w:val="20"/>
          <w:lang w:val="es-ES"/>
        </w:rPr>
        <w:t>.</w:t>
      </w:r>
    </w:p>
    <w:p w14:paraId="6606C8E7" w14:textId="6B1135EB" w:rsidR="003443CB" w:rsidRPr="00D749D5" w:rsidRDefault="00BF57B6" w:rsidP="000C4E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
        </w:rPr>
      </w:pPr>
      <w:r w:rsidRPr="00D749D5">
        <w:rPr>
          <w:rFonts w:asciiTheme="majorHAnsi" w:hAnsiTheme="majorHAnsi"/>
          <w:sz w:val="20"/>
          <w:szCs w:val="20"/>
          <w:lang w:val="es-ES"/>
        </w:rPr>
        <w:t>E</w:t>
      </w:r>
      <w:r w:rsidR="001A7EE2" w:rsidRPr="00D749D5">
        <w:rPr>
          <w:rFonts w:asciiTheme="majorHAnsi" w:hAnsiTheme="majorHAnsi"/>
          <w:sz w:val="20"/>
          <w:szCs w:val="20"/>
          <w:lang w:val="es-ES"/>
        </w:rPr>
        <w:t>n este sentido e</w:t>
      </w:r>
      <w:r w:rsidRPr="00D749D5">
        <w:rPr>
          <w:rFonts w:asciiTheme="majorHAnsi" w:hAnsiTheme="majorHAnsi"/>
          <w:sz w:val="20"/>
          <w:szCs w:val="20"/>
          <w:lang w:val="es-ES"/>
        </w:rPr>
        <w:t xml:space="preserve">l Estado </w:t>
      </w:r>
      <w:r w:rsidR="001A7EE2" w:rsidRPr="00D749D5">
        <w:rPr>
          <w:rFonts w:asciiTheme="majorHAnsi" w:hAnsiTheme="majorHAnsi"/>
          <w:sz w:val="20"/>
          <w:szCs w:val="20"/>
          <w:lang w:val="es-ES"/>
        </w:rPr>
        <w:t>reiteró la información sobre la</w:t>
      </w:r>
      <w:r w:rsidRPr="00D749D5">
        <w:rPr>
          <w:rFonts w:asciiTheme="majorHAnsi" w:hAnsiTheme="majorHAnsi"/>
          <w:sz w:val="20"/>
          <w:szCs w:val="20"/>
          <w:lang w:val="es-ES"/>
        </w:rPr>
        <w:t xml:space="preserve"> sentencia</w:t>
      </w:r>
      <w:r w:rsidR="001A7EE2" w:rsidRPr="00D749D5">
        <w:rPr>
          <w:rFonts w:asciiTheme="majorHAnsi" w:hAnsiTheme="majorHAnsi"/>
          <w:sz w:val="20"/>
          <w:szCs w:val="20"/>
          <w:lang w:val="es-ES"/>
        </w:rPr>
        <w:t xml:space="preserve"> </w:t>
      </w:r>
      <w:r w:rsidR="004F619B" w:rsidRPr="00D749D5">
        <w:rPr>
          <w:rFonts w:asciiTheme="majorHAnsi" w:hAnsiTheme="majorHAnsi"/>
          <w:sz w:val="20"/>
          <w:szCs w:val="20"/>
          <w:lang w:val="es-ES"/>
        </w:rPr>
        <w:t>de</w:t>
      </w:r>
      <w:r w:rsidRPr="00D749D5">
        <w:rPr>
          <w:rFonts w:asciiTheme="majorHAnsi" w:hAnsiTheme="majorHAnsi"/>
          <w:sz w:val="20"/>
          <w:szCs w:val="20"/>
          <w:lang w:val="es-ES"/>
        </w:rPr>
        <w:t xml:space="preserve"> 24 de febrero de 1998, </w:t>
      </w:r>
      <w:r w:rsidR="001A7EE2" w:rsidRPr="00D749D5">
        <w:rPr>
          <w:rFonts w:asciiTheme="majorHAnsi" w:hAnsiTheme="majorHAnsi"/>
          <w:sz w:val="20"/>
          <w:szCs w:val="20"/>
          <w:lang w:val="es-ES"/>
        </w:rPr>
        <w:t>que conden</w:t>
      </w:r>
      <w:r w:rsidR="00D5631D" w:rsidRPr="00D749D5">
        <w:rPr>
          <w:rFonts w:asciiTheme="majorHAnsi" w:hAnsiTheme="majorHAnsi"/>
          <w:sz w:val="20"/>
          <w:szCs w:val="20"/>
          <w:lang w:val="es-ES"/>
        </w:rPr>
        <w:t>ó</w:t>
      </w:r>
      <w:r w:rsidRPr="00D749D5">
        <w:rPr>
          <w:rFonts w:asciiTheme="majorHAnsi" w:hAnsiTheme="majorHAnsi"/>
          <w:sz w:val="20"/>
          <w:szCs w:val="20"/>
          <w:lang w:val="es-ES"/>
        </w:rPr>
        <w:t xml:space="preserve"> a Carlos Alberto Vergara Amaya y Ancízar Castaño Buitriago</w:t>
      </w:r>
      <w:r w:rsidR="00D5631D" w:rsidRPr="00D749D5">
        <w:rPr>
          <w:rFonts w:asciiTheme="majorHAnsi" w:hAnsiTheme="majorHAnsi"/>
          <w:sz w:val="20"/>
          <w:szCs w:val="20"/>
          <w:lang w:val="es-ES"/>
        </w:rPr>
        <w:t xml:space="preserve">, y </w:t>
      </w:r>
      <w:r w:rsidR="00487FFE" w:rsidRPr="00D749D5">
        <w:rPr>
          <w:rFonts w:asciiTheme="majorHAnsi" w:hAnsiTheme="majorHAnsi"/>
          <w:sz w:val="20"/>
          <w:szCs w:val="20"/>
          <w:lang w:val="es-ES"/>
        </w:rPr>
        <w:t>agregó</w:t>
      </w:r>
      <w:r w:rsidR="00185277" w:rsidRPr="00D749D5">
        <w:rPr>
          <w:rFonts w:asciiTheme="majorHAnsi" w:hAnsiTheme="majorHAnsi"/>
          <w:sz w:val="20"/>
          <w:szCs w:val="20"/>
          <w:lang w:val="es-ES"/>
        </w:rPr>
        <w:t xml:space="preserve"> </w:t>
      </w:r>
      <w:r w:rsidR="004E3747" w:rsidRPr="00D749D5">
        <w:rPr>
          <w:rFonts w:asciiTheme="majorHAnsi" w:hAnsiTheme="majorHAnsi"/>
          <w:sz w:val="20"/>
          <w:szCs w:val="20"/>
          <w:lang w:val="es-ES"/>
        </w:rPr>
        <w:t>que la Sala de Decisió</w:t>
      </w:r>
      <w:r w:rsidR="0002782D" w:rsidRPr="00D749D5">
        <w:rPr>
          <w:rFonts w:asciiTheme="majorHAnsi" w:hAnsiTheme="majorHAnsi"/>
          <w:sz w:val="20"/>
          <w:szCs w:val="20"/>
          <w:lang w:val="es-ES"/>
        </w:rPr>
        <w:t xml:space="preserve">n del Tribunal Nacional el 6 de noviembre de 1998 resolvió el recurso de apelación interpuesto contra la sentencia, </w:t>
      </w:r>
      <w:r w:rsidR="00A94800" w:rsidRPr="00D749D5">
        <w:rPr>
          <w:rFonts w:asciiTheme="majorHAnsi" w:hAnsiTheme="majorHAnsi"/>
          <w:sz w:val="20"/>
          <w:szCs w:val="20"/>
          <w:lang w:val="es-ES"/>
        </w:rPr>
        <w:t>y decidió</w:t>
      </w:r>
      <w:r w:rsidR="0002782D" w:rsidRPr="00D749D5">
        <w:rPr>
          <w:rFonts w:asciiTheme="majorHAnsi" w:hAnsiTheme="majorHAnsi"/>
          <w:sz w:val="20"/>
          <w:szCs w:val="20"/>
          <w:lang w:val="es-ES"/>
        </w:rPr>
        <w:t xml:space="preserve"> </w:t>
      </w:r>
      <w:r w:rsidR="00967087" w:rsidRPr="00D749D5">
        <w:rPr>
          <w:rFonts w:asciiTheme="majorHAnsi" w:hAnsiTheme="majorHAnsi"/>
          <w:sz w:val="20"/>
          <w:szCs w:val="20"/>
          <w:lang w:val="es-ES"/>
        </w:rPr>
        <w:t>negar nulidad pretendida por el recurrente Carlos Alberto Vergara Amaya y modificar el fallo en el sentido de condenar al mencionado a la pena de veintiocho años y cuatro meses de prisión</w:t>
      </w:r>
      <w:r w:rsidR="00197E47" w:rsidRPr="00D749D5">
        <w:rPr>
          <w:rFonts w:asciiTheme="majorHAnsi" w:hAnsiTheme="majorHAnsi"/>
          <w:b/>
          <w:sz w:val="20"/>
          <w:szCs w:val="20"/>
          <w:lang w:val="es-ES"/>
        </w:rPr>
        <w:t xml:space="preserve">, </w:t>
      </w:r>
      <w:r w:rsidR="00197E47" w:rsidRPr="00D749D5">
        <w:rPr>
          <w:rFonts w:asciiTheme="majorHAnsi" w:hAnsiTheme="majorHAnsi"/>
          <w:sz w:val="20"/>
          <w:szCs w:val="20"/>
          <w:lang w:val="es-ES"/>
        </w:rPr>
        <w:t xml:space="preserve">además de la multa de 103 salarios </w:t>
      </w:r>
      <w:r w:rsidR="00D71B36" w:rsidRPr="00D749D5">
        <w:rPr>
          <w:rFonts w:asciiTheme="majorHAnsi" w:hAnsiTheme="majorHAnsi"/>
          <w:sz w:val="20"/>
          <w:szCs w:val="20"/>
          <w:lang w:val="es-ES"/>
        </w:rPr>
        <w:t>mínimos</w:t>
      </w:r>
      <w:r w:rsidR="00197E47" w:rsidRPr="00D749D5">
        <w:rPr>
          <w:rFonts w:asciiTheme="majorHAnsi" w:hAnsiTheme="majorHAnsi"/>
          <w:sz w:val="20"/>
          <w:szCs w:val="20"/>
          <w:lang w:val="es-ES"/>
        </w:rPr>
        <w:t xml:space="preserve"> legales mensuales, como coautor responsable de los delit</w:t>
      </w:r>
      <w:r w:rsidR="00D36389" w:rsidRPr="00D749D5">
        <w:rPr>
          <w:rFonts w:asciiTheme="majorHAnsi" w:hAnsiTheme="majorHAnsi"/>
          <w:sz w:val="20"/>
          <w:szCs w:val="20"/>
          <w:lang w:val="es-ES"/>
        </w:rPr>
        <w:t>os imputados. Asimismo se indicó</w:t>
      </w:r>
      <w:r w:rsidR="00197E47" w:rsidRPr="00D749D5">
        <w:rPr>
          <w:rFonts w:asciiTheme="majorHAnsi" w:hAnsiTheme="majorHAnsi"/>
          <w:sz w:val="20"/>
          <w:szCs w:val="20"/>
          <w:lang w:val="es-ES"/>
        </w:rPr>
        <w:t xml:space="preserve"> que </w:t>
      </w:r>
      <w:r w:rsidR="00D36389" w:rsidRPr="00D749D5">
        <w:rPr>
          <w:rFonts w:asciiTheme="majorHAnsi" w:hAnsiTheme="majorHAnsi"/>
          <w:sz w:val="20"/>
          <w:szCs w:val="20"/>
          <w:lang w:val="es-ES"/>
        </w:rPr>
        <w:t>l</w:t>
      </w:r>
      <w:r w:rsidR="00197E47" w:rsidRPr="00D749D5">
        <w:rPr>
          <w:rFonts w:asciiTheme="majorHAnsi" w:hAnsiTheme="majorHAnsi"/>
          <w:sz w:val="20"/>
          <w:szCs w:val="20"/>
          <w:lang w:val="es-ES"/>
        </w:rPr>
        <w:t>a resolución</w:t>
      </w:r>
      <w:r w:rsidR="00D36389" w:rsidRPr="00D749D5">
        <w:rPr>
          <w:rFonts w:asciiTheme="majorHAnsi" w:hAnsiTheme="majorHAnsi"/>
          <w:sz w:val="20"/>
          <w:szCs w:val="20"/>
          <w:lang w:val="es-ES"/>
        </w:rPr>
        <w:t xml:space="preserve"> aceptó</w:t>
      </w:r>
      <w:r w:rsidR="00197E47" w:rsidRPr="00D749D5">
        <w:rPr>
          <w:rFonts w:asciiTheme="majorHAnsi" w:hAnsiTheme="majorHAnsi"/>
          <w:sz w:val="20"/>
          <w:szCs w:val="20"/>
          <w:lang w:val="es-ES"/>
        </w:rPr>
        <w:t xml:space="preserve"> el desistimiento de las demandas de constitución de parte civil </w:t>
      </w:r>
      <w:r w:rsidR="00D71B36" w:rsidRPr="00D749D5">
        <w:rPr>
          <w:rFonts w:asciiTheme="majorHAnsi" w:hAnsiTheme="majorHAnsi"/>
          <w:sz w:val="20"/>
          <w:szCs w:val="20"/>
          <w:lang w:val="es-ES"/>
        </w:rPr>
        <w:t>presentado por Miguel Puerto Barrera en calidad de representante judicial de quienes fueron reconocidos en esa condición</w:t>
      </w:r>
      <w:r w:rsidR="00D36389" w:rsidRPr="00D749D5">
        <w:rPr>
          <w:rFonts w:asciiTheme="majorHAnsi" w:hAnsiTheme="majorHAnsi"/>
          <w:sz w:val="20"/>
          <w:szCs w:val="20"/>
          <w:lang w:val="es-ES"/>
        </w:rPr>
        <w:t>,</w:t>
      </w:r>
      <w:r w:rsidR="00C84A71" w:rsidRPr="00D749D5">
        <w:rPr>
          <w:rFonts w:asciiTheme="majorHAnsi" w:hAnsiTheme="majorHAnsi"/>
          <w:sz w:val="20"/>
          <w:szCs w:val="20"/>
          <w:lang w:val="es-ES"/>
        </w:rPr>
        <w:t xml:space="preserve"> y en consecuencia </w:t>
      </w:r>
      <w:r w:rsidR="00D36389" w:rsidRPr="00D749D5">
        <w:rPr>
          <w:rFonts w:asciiTheme="majorHAnsi" w:hAnsiTheme="majorHAnsi"/>
          <w:sz w:val="20"/>
          <w:szCs w:val="20"/>
          <w:lang w:val="es-ES"/>
        </w:rPr>
        <w:t>dej</w:t>
      </w:r>
      <w:r w:rsidR="00960CC9" w:rsidRPr="00D749D5">
        <w:rPr>
          <w:rFonts w:asciiTheme="majorHAnsi" w:hAnsiTheme="majorHAnsi"/>
          <w:sz w:val="20"/>
          <w:szCs w:val="20"/>
          <w:lang w:val="es-ES"/>
        </w:rPr>
        <w:t>ó</w:t>
      </w:r>
      <w:r w:rsidR="00C84A71" w:rsidRPr="00D749D5">
        <w:rPr>
          <w:rFonts w:asciiTheme="majorHAnsi" w:hAnsiTheme="majorHAnsi"/>
          <w:sz w:val="20"/>
          <w:szCs w:val="20"/>
          <w:lang w:val="es-ES"/>
        </w:rPr>
        <w:t xml:space="preserve"> sin efecto el fallo de primera instancia en cuanto a la condena al pago de perjuicios materiales y morales ocasionados con los delitos de los que fueron hallados responsables</w:t>
      </w:r>
      <w:r w:rsidR="00D71B36" w:rsidRPr="00D749D5">
        <w:rPr>
          <w:rFonts w:asciiTheme="majorHAnsi" w:hAnsiTheme="majorHAnsi"/>
          <w:sz w:val="20"/>
          <w:szCs w:val="20"/>
          <w:lang w:val="es-ES"/>
        </w:rPr>
        <w:t>.</w:t>
      </w:r>
      <w:r w:rsidR="00AF503D" w:rsidRPr="00D749D5">
        <w:rPr>
          <w:rFonts w:asciiTheme="majorHAnsi" w:hAnsiTheme="majorHAnsi"/>
          <w:sz w:val="20"/>
          <w:szCs w:val="20"/>
          <w:lang w:val="es-ES"/>
        </w:rPr>
        <w:t xml:space="preserve"> </w:t>
      </w:r>
    </w:p>
    <w:p w14:paraId="347CF83C" w14:textId="716A733E" w:rsidR="0054603D" w:rsidRPr="00FD35CC" w:rsidRDefault="003901E1" w:rsidP="00FD35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Por otra parte, </w:t>
      </w:r>
      <w:r w:rsidR="00FD35CC">
        <w:rPr>
          <w:rFonts w:asciiTheme="majorHAnsi" w:hAnsiTheme="majorHAnsi"/>
          <w:sz w:val="20"/>
          <w:szCs w:val="20"/>
          <w:lang w:val="es-ES"/>
        </w:rPr>
        <w:t xml:space="preserve">mediante escrito de </w:t>
      </w:r>
      <w:r w:rsidRPr="00D749D5">
        <w:rPr>
          <w:rFonts w:asciiTheme="majorHAnsi" w:hAnsiTheme="majorHAnsi"/>
          <w:sz w:val="20"/>
          <w:szCs w:val="20"/>
          <w:lang w:val="es-ES"/>
        </w:rPr>
        <w:t xml:space="preserve">fecha </w:t>
      </w:r>
      <w:r w:rsidR="008F4043" w:rsidRPr="00D749D5">
        <w:rPr>
          <w:rFonts w:asciiTheme="majorHAnsi" w:hAnsiTheme="majorHAnsi"/>
          <w:sz w:val="20"/>
          <w:szCs w:val="20"/>
          <w:lang w:val="es-ES"/>
        </w:rPr>
        <w:t>30 de julio de 2012, el Estad</w:t>
      </w:r>
      <w:r w:rsidR="00FD35CC">
        <w:rPr>
          <w:rFonts w:asciiTheme="majorHAnsi" w:hAnsiTheme="majorHAnsi"/>
          <w:sz w:val="20"/>
          <w:szCs w:val="20"/>
          <w:lang w:val="es-ES"/>
        </w:rPr>
        <w:t xml:space="preserve">o </w:t>
      </w:r>
      <w:r w:rsidR="001F39EE">
        <w:rPr>
          <w:rFonts w:asciiTheme="majorHAnsi" w:hAnsiTheme="majorHAnsi"/>
          <w:sz w:val="20"/>
          <w:szCs w:val="20"/>
          <w:lang w:val="es-ES"/>
        </w:rPr>
        <w:t>sostuvo</w:t>
      </w:r>
      <w:r w:rsidR="00B448EC" w:rsidRPr="00FD35CC">
        <w:rPr>
          <w:rFonts w:asciiTheme="majorHAnsi" w:hAnsiTheme="majorHAnsi"/>
          <w:sz w:val="20"/>
          <w:szCs w:val="20"/>
          <w:lang w:val="es-ES"/>
        </w:rPr>
        <w:t xml:space="preserve"> que la Comisión tiene competencia </w:t>
      </w:r>
      <w:r w:rsidR="00B448EC" w:rsidRPr="00FD35CC">
        <w:rPr>
          <w:rFonts w:asciiTheme="majorHAnsi" w:hAnsiTheme="majorHAnsi"/>
          <w:i/>
          <w:sz w:val="20"/>
          <w:szCs w:val="20"/>
          <w:lang w:val="es-ES"/>
        </w:rPr>
        <w:t>ratione personae</w:t>
      </w:r>
      <w:r w:rsidR="00B448EC" w:rsidRPr="00FD35CC">
        <w:rPr>
          <w:rFonts w:asciiTheme="majorHAnsi" w:hAnsiTheme="majorHAnsi"/>
          <w:sz w:val="20"/>
          <w:szCs w:val="20"/>
          <w:lang w:val="es-ES"/>
        </w:rPr>
        <w:t xml:space="preserve"> únicamente en relaci</w:t>
      </w:r>
      <w:r w:rsidR="00961D65" w:rsidRPr="00FD35CC">
        <w:rPr>
          <w:rFonts w:asciiTheme="majorHAnsi" w:hAnsiTheme="majorHAnsi"/>
          <w:sz w:val="20"/>
          <w:szCs w:val="20"/>
          <w:lang w:val="es-ES"/>
        </w:rPr>
        <w:t xml:space="preserve">ón con las 57 personas señaladas en la </w:t>
      </w:r>
      <w:r w:rsidR="008F0E4F" w:rsidRPr="00FD35CC">
        <w:rPr>
          <w:rFonts w:asciiTheme="majorHAnsi" w:hAnsiTheme="majorHAnsi"/>
          <w:sz w:val="20"/>
          <w:szCs w:val="20"/>
          <w:lang w:val="es-ES"/>
        </w:rPr>
        <w:t>petición</w:t>
      </w:r>
      <w:r w:rsidR="00961D65" w:rsidRPr="00FD35CC">
        <w:rPr>
          <w:rFonts w:asciiTheme="majorHAnsi" w:hAnsiTheme="majorHAnsi"/>
          <w:sz w:val="20"/>
          <w:szCs w:val="20"/>
          <w:lang w:val="es-ES"/>
        </w:rPr>
        <w:t xml:space="preserve"> inicial</w:t>
      </w:r>
      <w:r w:rsidR="006436E6">
        <w:rPr>
          <w:rFonts w:asciiTheme="majorHAnsi" w:hAnsiTheme="majorHAnsi"/>
          <w:sz w:val="20"/>
          <w:szCs w:val="20"/>
          <w:lang w:val="es-ES"/>
        </w:rPr>
        <w:t>,</w:t>
      </w:r>
      <w:r w:rsidR="00961D65" w:rsidRPr="00FD35CC">
        <w:rPr>
          <w:rFonts w:asciiTheme="majorHAnsi" w:hAnsiTheme="majorHAnsi"/>
          <w:sz w:val="20"/>
          <w:szCs w:val="20"/>
          <w:lang w:val="es-ES"/>
        </w:rPr>
        <w:t xml:space="preserve"> y no respecto de </w:t>
      </w:r>
      <w:r w:rsidR="006436E6" w:rsidRPr="00FD35CC">
        <w:rPr>
          <w:rFonts w:asciiTheme="majorHAnsi" w:hAnsiTheme="majorHAnsi"/>
          <w:sz w:val="20"/>
          <w:szCs w:val="20"/>
          <w:lang w:val="es-ES"/>
        </w:rPr>
        <w:t xml:space="preserve">68 presuntas </w:t>
      </w:r>
      <w:r w:rsidR="0000073E">
        <w:rPr>
          <w:rFonts w:asciiTheme="majorHAnsi" w:hAnsiTheme="majorHAnsi"/>
          <w:sz w:val="20"/>
          <w:szCs w:val="20"/>
          <w:lang w:val="es-ES"/>
        </w:rPr>
        <w:t xml:space="preserve">víctimas de </w:t>
      </w:r>
      <w:r w:rsidR="0000073E" w:rsidRPr="00FD35CC">
        <w:rPr>
          <w:rFonts w:asciiTheme="majorHAnsi" w:hAnsiTheme="majorHAnsi"/>
          <w:sz w:val="20"/>
          <w:szCs w:val="20"/>
          <w:lang w:val="es-ES"/>
        </w:rPr>
        <w:t>ejecución</w:t>
      </w:r>
      <w:r w:rsidR="006436E6" w:rsidRPr="00FD35CC">
        <w:rPr>
          <w:rFonts w:asciiTheme="majorHAnsi" w:hAnsiTheme="majorHAnsi"/>
          <w:sz w:val="20"/>
          <w:szCs w:val="20"/>
          <w:lang w:val="es-ES"/>
        </w:rPr>
        <w:t xml:space="preserve"> extrajudicial</w:t>
      </w:r>
      <w:r w:rsidR="0000073E">
        <w:rPr>
          <w:rFonts w:asciiTheme="majorHAnsi" w:hAnsiTheme="majorHAnsi"/>
          <w:sz w:val="20"/>
          <w:szCs w:val="20"/>
          <w:lang w:val="es-ES"/>
        </w:rPr>
        <w:t xml:space="preserve"> y 10 </w:t>
      </w:r>
      <w:r w:rsidR="0000073E" w:rsidRPr="00FD35CC">
        <w:rPr>
          <w:rFonts w:asciiTheme="majorHAnsi" w:hAnsiTheme="majorHAnsi"/>
          <w:sz w:val="20"/>
          <w:szCs w:val="20"/>
          <w:lang w:val="es-ES"/>
        </w:rPr>
        <w:t xml:space="preserve">presuntas </w:t>
      </w:r>
      <w:r w:rsidR="0000073E">
        <w:rPr>
          <w:rFonts w:asciiTheme="majorHAnsi" w:hAnsiTheme="majorHAnsi"/>
          <w:sz w:val="20"/>
          <w:szCs w:val="20"/>
          <w:lang w:val="es-ES"/>
        </w:rPr>
        <w:t xml:space="preserve">víctimas de tentativa de </w:t>
      </w:r>
      <w:r w:rsidR="0000073E" w:rsidRPr="00FD35CC">
        <w:rPr>
          <w:rFonts w:asciiTheme="majorHAnsi" w:hAnsiTheme="majorHAnsi"/>
          <w:sz w:val="20"/>
          <w:szCs w:val="20"/>
          <w:lang w:val="es-ES"/>
        </w:rPr>
        <w:t>ejecución extrajudicial</w:t>
      </w:r>
      <w:r w:rsidR="006436E6">
        <w:rPr>
          <w:rFonts w:asciiTheme="majorHAnsi" w:hAnsiTheme="majorHAnsi"/>
          <w:sz w:val="20"/>
          <w:szCs w:val="20"/>
          <w:lang w:val="es-ES"/>
        </w:rPr>
        <w:t>, según lo planteado por los peticionarios e</w:t>
      </w:r>
      <w:r w:rsidR="00961D65" w:rsidRPr="00FD35CC">
        <w:rPr>
          <w:rFonts w:asciiTheme="majorHAnsi" w:hAnsiTheme="majorHAnsi"/>
          <w:sz w:val="20"/>
          <w:szCs w:val="20"/>
          <w:lang w:val="es-ES"/>
        </w:rPr>
        <w:t>n su escrito de 8 de octubre de 2010</w:t>
      </w:r>
      <w:r w:rsidR="001F39EE">
        <w:rPr>
          <w:rFonts w:asciiTheme="majorHAnsi" w:hAnsiTheme="majorHAnsi"/>
          <w:sz w:val="20"/>
          <w:szCs w:val="20"/>
          <w:lang w:val="es-ES"/>
        </w:rPr>
        <w:t xml:space="preserve">. A este respecto, el Estado alega que </w:t>
      </w:r>
      <w:r w:rsidR="0000073E">
        <w:rPr>
          <w:rFonts w:asciiTheme="majorHAnsi" w:hAnsiTheme="majorHAnsi"/>
          <w:sz w:val="20"/>
          <w:szCs w:val="20"/>
          <w:lang w:val="es-ES"/>
        </w:rPr>
        <w:t>se desconoce a quié</w:t>
      </w:r>
      <w:r w:rsidR="00961D65" w:rsidRPr="00FD35CC">
        <w:rPr>
          <w:rFonts w:asciiTheme="majorHAnsi" w:hAnsiTheme="majorHAnsi"/>
          <w:sz w:val="20"/>
          <w:szCs w:val="20"/>
          <w:lang w:val="es-ES"/>
        </w:rPr>
        <w:t>nes hacen referencia</w:t>
      </w:r>
      <w:r w:rsidR="001F39EE">
        <w:rPr>
          <w:rFonts w:asciiTheme="majorHAnsi" w:hAnsiTheme="majorHAnsi"/>
          <w:sz w:val="20"/>
          <w:szCs w:val="20"/>
          <w:lang w:val="es-ES"/>
        </w:rPr>
        <w:t xml:space="preserve"> los peticionarios</w:t>
      </w:r>
      <w:r w:rsidR="00961D65" w:rsidRPr="00FD35CC">
        <w:rPr>
          <w:rFonts w:asciiTheme="majorHAnsi" w:hAnsiTheme="majorHAnsi"/>
          <w:sz w:val="20"/>
          <w:szCs w:val="20"/>
          <w:lang w:val="es-ES"/>
        </w:rPr>
        <w:t xml:space="preserve"> puesto que no fueron individualizados</w:t>
      </w:r>
      <w:r w:rsidR="001F39EE">
        <w:rPr>
          <w:rFonts w:asciiTheme="majorHAnsi" w:hAnsiTheme="majorHAnsi"/>
          <w:sz w:val="20"/>
          <w:szCs w:val="20"/>
          <w:lang w:val="es-ES"/>
        </w:rPr>
        <w:t>, por lo que sostienen que</w:t>
      </w:r>
      <w:r w:rsidR="008F0E4F" w:rsidRPr="00FD35CC">
        <w:rPr>
          <w:rFonts w:asciiTheme="majorHAnsi" w:hAnsiTheme="majorHAnsi"/>
          <w:sz w:val="20"/>
          <w:szCs w:val="20"/>
          <w:lang w:val="es-ES"/>
        </w:rPr>
        <w:t xml:space="preserve"> la forma en que </w:t>
      </w:r>
      <w:r w:rsidR="001F39EE">
        <w:rPr>
          <w:rFonts w:asciiTheme="majorHAnsi" w:hAnsiTheme="majorHAnsi"/>
          <w:sz w:val="20"/>
          <w:szCs w:val="20"/>
          <w:lang w:val="es-ES"/>
        </w:rPr>
        <w:t>fueron p</w:t>
      </w:r>
      <w:r w:rsidR="008F0E4F" w:rsidRPr="00FD35CC">
        <w:rPr>
          <w:rFonts w:asciiTheme="majorHAnsi" w:hAnsiTheme="majorHAnsi"/>
          <w:sz w:val="20"/>
          <w:szCs w:val="20"/>
          <w:lang w:val="es-ES"/>
        </w:rPr>
        <w:t>resentadas las presuntas víctimas elude el requisito de individualización,</w:t>
      </w:r>
      <w:r w:rsidR="001F39EE">
        <w:rPr>
          <w:rFonts w:asciiTheme="majorHAnsi" w:hAnsiTheme="majorHAnsi"/>
          <w:sz w:val="20"/>
          <w:szCs w:val="20"/>
          <w:lang w:val="es-ES"/>
        </w:rPr>
        <w:t xml:space="preserve"> identificación y determinación</w:t>
      </w:r>
      <w:r w:rsidR="004C3428" w:rsidRPr="00FD35CC">
        <w:rPr>
          <w:rFonts w:asciiTheme="majorHAnsi" w:hAnsiTheme="majorHAnsi"/>
          <w:sz w:val="20"/>
          <w:szCs w:val="20"/>
          <w:lang w:val="es-ES"/>
        </w:rPr>
        <w:t>, lo que conduce a su inadmisión o</w:t>
      </w:r>
      <w:r w:rsidR="0000073E">
        <w:rPr>
          <w:rFonts w:asciiTheme="majorHAnsi" w:hAnsiTheme="majorHAnsi"/>
          <w:sz w:val="20"/>
          <w:szCs w:val="20"/>
          <w:lang w:val="es-ES"/>
        </w:rPr>
        <w:t>,</w:t>
      </w:r>
      <w:r w:rsidR="004C3428" w:rsidRPr="00FD35CC">
        <w:rPr>
          <w:rFonts w:asciiTheme="majorHAnsi" w:hAnsiTheme="majorHAnsi"/>
          <w:sz w:val="20"/>
          <w:szCs w:val="20"/>
          <w:lang w:val="es-ES"/>
        </w:rPr>
        <w:t xml:space="preserve"> en caso de</w:t>
      </w:r>
      <w:r w:rsidR="0000073E">
        <w:rPr>
          <w:rFonts w:asciiTheme="majorHAnsi" w:hAnsiTheme="majorHAnsi"/>
          <w:sz w:val="20"/>
          <w:szCs w:val="20"/>
          <w:lang w:val="es-ES"/>
        </w:rPr>
        <w:t xml:space="preserve"> determinarse la admisión, la limitación exclusivamente a aquellas </w:t>
      </w:r>
      <w:r w:rsidR="004C3428" w:rsidRPr="00FD35CC">
        <w:rPr>
          <w:rFonts w:asciiTheme="majorHAnsi" w:hAnsiTheme="majorHAnsi"/>
          <w:sz w:val="20"/>
          <w:szCs w:val="20"/>
          <w:lang w:val="es-ES"/>
        </w:rPr>
        <w:t xml:space="preserve">personas cuyos nombres fueron suministrados </w:t>
      </w:r>
      <w:r w:rsidR="0000073E">
        <w:rPr>
          <w:rFonts w:asciiTheme="majorHAnsi" w:hAnsiTheme="majorHAnsi"/>
          <w:sz w:val="20"/>
          <w:szCs w:val="20"/>
          <w:lang w:val="es-ES"/>
        </w:rPr>
        <w:t>e</w:t>
      </w:r>
      <w:r w:rsidR="004C3428" w:rsidRPr="00FD35CC">
        <w:rPr>
          <w:rFonts w:asciiTheme="majorHAnsi" w:hAnsiTheme="majorHAnsi"/>
          <w:sz w:val="20"/>
          <w:szCs w:val="20"/>
          <w:lang w:val="es-ES"/>
        </w:rPr>
        <w:t>n la petición presentada el 20 de febrero de 1998</w:t>
      </w:r>
      <w:r w:rsidR="0054603D" w:rsidRPr="00FD35CC">
        <w:rPr>
          <w:rFonts w:asciiTheme="majorHAnsi" w:hAnsiTheme="majorHAnsi"/>
          <w:sz w:val="20"/>
          <w:szCs w:val="20"/>
          <w:lang w:val="es-ES"/>
        </w:rPr>
        <w:t>.</w:t>
      </w:r>
      <w:r w:rsidR="006B1195" w:rsidRPr="00FD35CC">
        <w:rPr>
          <w:rFonts w:asciiTheme="majorHAnsi" w:hAnsiTheme="majorHAnsi"/>
          <w:sz w:val="20"/>
          <w:szCs w:val="20"/>
          <w:lang w:val="es-ES"/>
        </w:rPr>
        <w:t xml:space="preserve"> En conclusión, s</w:t>
      </w:r>
      <w:r w:rsidR="0054603D" w:rsidRPr="00FD35CC">
        <w:rPr>
          <w:rFonts w:asciiTheme="majorHAnsi" w:hAnsiTheme="majorHAnsi"/>
          <w:sz w:val="20"/>
          <w:szCs w:val="20"/>
          <w:lang w:val="es-ES"/>
        </w:rPr>
        <w:t>obre este último</w:t>
      </w:r>
      <w:r w:rsidR="006B1195" w:rsidRPr="00FD35CC">
        <w:rPr>
          <w:rFonts w:asciiTheme="majorHAnsi" w:hAnsiTheme="majorHAnsi"/>
          <w:sz w:val="20"/>
          <w:szCs w:val="20"/>
          <w:lang w:val="es-ES"/>
        </w:rPr>
        <w:t xml:space="preserve"> punto alega que la Comisión carece de competencia.</w:t>
      </w:r>
    </w:p>
    <w:p w14:paraId="2F1B8A12" w14:textId="3C41178D" w:rsidR="00B336CD" w:rsidRPr="00D749D5" w:rsidRDefault="00AF63A4" w:rsidP="000C4E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El </w:t>
      </w:r>
      <w:r w:rsidR="00E86D08" w:rsidRPr="00D749D5">
        <w:rPr>
          <w:rFonts w:asciiTheme="majorHAnsi" w:hAnsiTheme="majorHAnsi"/>
          <w:sz w:val="20"/>
          <w:szCs w:val="20"/>
          <w:lang w:val="es-ES"/>
        </w:rPr>
        <w:t>E</w:t>
      </w:r>
      <w:r w:rsidRPr="00D749D5">
        <w:rPr>
          <w:rFonts w:asciiTheme="majorHAnsi" w:hAnsiTheme="majorHAnsi"/>
          <w:sz w:val="20"/>
          <w:szCs w:val="20"/>
          <w:lang w:val="es-ES"/>
        </w:rPr>
        <w:t>stado indica</w:t>
      </w:r>
      <w:r w:rsidR="00E86D08" w:rsidRPr="00D749D5">
        <w:rPr>
          <w:rFonts w:asciiTheme="majorHAnsi" w:hAnsiTheme="majorHAnsi"/>
          <w:sz w:val="20"/>
          <w:szCs w:val="20"/>
          <w:lang w:val="es-ES"/>
        </w:rPr>
        <w:t xml:space="preserve"> que </w:t>
      </w:r>
      <w:r w:rsidRPr="00D749D5">
        <w:rPr>
          <w:rFonts w:asciiTheme="majorHAnsi" w:hAnsiTheme="majorHAnsi"/>
          <w:sz w:val="20"/>
          <w:szCs w:val="20"/>
          <w:lang w:val="es-ES"/>
        </w:rPr>
        <w:t xml:space="preserve">respecto de </w:t>
      </w:r>
      <w:r w:rsidR="00E5540C" w:rsidRPr="00D749D5">
        <w:rPr>
          <w:rFonts w:asciiTheme="majorHAnsi" w:hAnsiTheme="majorHAnsi"/>
          <w:sz w:val="20"/>
          <w:szCs w:val="20"/>
          <w:lang w:val="es-ES"/>
        </w:rPr>
        <w:t>Diana Marcela Muñoz, la Fiscalía Veintiocho Previa y Permanente de Barrancabermeja, el 12 de noviembre de 1992 dictó resolución inhibitoria por encontrarse frente a la imposibilidad de</w:t>
      </w:r>
      <w:r w:rsidR="00B336CD" w:rsidRPr="00D749D5">
        <w:rPr>
          <w:rFonts w:asciiTheme="majorHAnsi" w:hAnsiTheme="majorHAnsi"/>
          <w:sz w:val="20"/>
          <w:szCs w:val="20"/>
          <w:lang w:val="es-ES"/>
        </w:rPr>
        <w:t xml:space="preserve"> iniciar</w:t>
      </w:r>
      <w:r w:rsidR="00E5540C" w:rsidRPr="00D749D5">
        <w:rPr>
          <w:rFonts w:asciiTheme="majorHAnsi" w:hAnsiTheme="majorHAnsi"/>
          <w:sz w:val="20"/>
          <w:szCs w:val="20"/>
          <w:lang w:val="es-ES"/>
        </w:rPr>
        <w:t xml:space="preserve"> instrucción </w:t>
      </w:r>
      <w:r w:rsidR="00B336CD" w:rsidRPr="00D749D5">
        <w:rPr>
          <w:rFonts w:asciiTheme="majorHAnsi" w:hAnsiTheme="majorHAnsi"/>
          <w:sz w:val="20"/>
          <w:szCs w:val="20"/>
          <w:lang w:val="es-ES"/>
        </w:rPr>
        <w:t>por no ser constitutivos de delito, toda vez que fue un suicidio.</w:t>
      </w:r>
    </w:p>
    <w:p w14:paraId="4E8CB14D" w14:textId="24ADBAEE" w:rsidR="00D37716" w:rsidRPr="00D749D5" w:rsidRDefault="00E56E21" w:rsidP="00C930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En materia de Justicia Penal Militar, refirió que en base a </w:t>
      </w:r>
      <w:r w:rsidR="00F95E37" w:rsidRPr="00D749D5">
        <w:rPr>
          <w:rFonts w:asciiTheme="majorHAnsi" w:hAnsiTheme="majorHAnsi"/>
          <w:sz w:val="20"/>
          <w:szCs w:val="20"/>
          <w:lang w:val="es-ES"/>
        </w:rPr>
        <w:t>las denuncias presentadas</w:t>
      </w:r>
      <w:r w:rsidR="002F255F">
        <w:rPr>
          <w:rFonts w:asciiTheme="majorHAnsi" w:hAnsiTheme="majorHAnsi"/>
          <w:sz w:val="20"/>
          <w:szCs w:val="20"/>
          <w:lang w:val="es-ES"/>
        </w:rPr>
        <w:t xml:space="preserve"> por Carlos Ló</w:t>
      </w:r>
      <w:r w:rsidRPr="00D749D5">
        <w:rPr>
          <w:rFonts w:asciiTheme="majorHAnsi" w:hAnsiTheme="majorHAnsi"/>
          <w:sz w:val="20"/>
          <w:szCs w:val="20"/>
          <w:lang w:val="es-ES"/>
        </w:rPr>
        <w:t>pez Maquill</w:t>
      </w:r>
      <w:r w:rsidR="002F255F">
        <w:rPr>
          <w:rFonts w:asciiTheme="majorHAnsi" w:hAnsiTheme="majorHAnsi"/>
          <w:sz w:val="20"/>
          <w:szCs w:val="20"/>
          <w:lang w:val="es-ES"/>
        </w:rPr>
        <w:t>ó</w:t>
      </w:r>
      <w:r w:rsidRPr="00D749D5">
        <w:rPr>
          <w:rFonts w:asciiTheme="majorHAnsi" w:hAnsiTheme="majorHAnsi"/>
          <w:sz w:val="20"/>
          <w:szCs w:val="20"/>
          <w:lang w:val="es-ES"/>
        </w:rPr>
        <w:t xml:space="preserve">n y Saulo Segura Palacios, el Juzgado 41 de Instrucción Penal Militar ordenó la apertura de investigación </w:t>
      </w:r>
      <w:r w:rsidR="001F7F5D" w:rsidRPr="00D749D5">
        <w:rPr>
          <w:rFonts w:asciiTheme="majorHAnsi" w:hAnsiTheme="majorHAnsi"/>
          <w:sz w:val="20"/>
          <w:szCs w:val="20"/>
          <w:lang w:val="es-ES"/>
        </w:rPr>
        <w:t xml:space="preserve">penal, el 5 de enero de 1994. </w:t>
      </w:r>
      <w:r w:rsidR="00AF63A4" w:rsidRPr="00D749D5">
        <w:rPr>
          <w:rFonts w:asciiTheme="majorHAnsi" w:hAnsiTheme="majorHAnsi"/>
          <w:sz w:val="20"/>
          <w:szCs w:val="20"/>
          <w:lang w:val="es-ES"/>
        </w:rPr>
        <w:t xml:space="preserve">Refiere que </w:t>
      </w:r>
      <w:r w:rsidR="001F7F5D" w:rsidRPr="00D749D5">
        <w:rPr>
          <w:rFonts w:asciiTheme="majorHAnsi" w:hAnsiTheme="majorHAnsi"/>
          <w:sz w:val="20"/>
          <w:szCs w:val="20"/>
          <w:lang w:val="es-ES"/>
        </w:rPr>
        <w:t xml:space="preserve">el 11 de agosto de 1994 el Consejo Superior de la Judicatura, Sala Jurisdiccional Disciplinaria resolvió la colisión positiva de competencia suscitada entre el Comando de la Armada Nacional </w:t>
      </w:r>
      <w:r w:rsidR="00436D41" w:rsidRPr="00D749D5">
        <w:rPr>
          <w:rFonts w:asciiTheme="majorHAnsi" w:hAnsiTheme="majorHAnsi"/>
          <w:sz w:val="20"/>
          <w:szCs w:val="20"/>
          <w:lang w:val="es-ES"/>
        </w:rPr>
        <w:t xml:space="preserve">y la Fiscalía Delegada ante los jueces regionales, Unidad Especializada de Terrorismo de Santafé de Bogotá, </w:t>
      </w:r>
      <w:r w:rsidR="009C57DA">
        <w:rPr>
          <w:rFonts w:asciiTheme="majorHAnsi" w:hAnsiTheme="majorHAnsi"/>
          <w:sz w:val="20"/>
          <w:szCs w:val="20"/>
          <w:lang w:val="es-ES"/>
        </w:rPr>
        <w:t>y declaró</w:t>
      </w:r>
      <w:r w:rsidR="00EB7088" w:rsidRPr="00D749D5">
        <w:rPr>
          <w:rFonts w:asciiTheme="majorHAnsi" w:hAnsiTheme="majorHAnsi"/>
          <w:sz w:val="20"/>
          <w:szCs w:val="20"/>
          <w:lang w:val="es-ES"/>
        </w:rPr>
        <w:t xml:space="preserve"> que la Justicia Militar era competente para conocer los delitos de homicidio con fines terroristas. </w:t>
      </w:r>
      <w:r w:rsidR="00AF63A4" w:rsidRPr="00D749D5">
        <w:rPr>
          <w:rFonts w:asciiTheme="majorHAnsi" w:hAnsiTheme="majorHAnsi"/>
          <w:sz w:val="20"/>
          <w:szCs w:val="20"/>
          <w:lang w:val="es-ES"/>
        </w:rPr>
        <w:t>Señala</w:t>
      </w:r>
      <w:r w:rsidR="00EB7088" w:rsidRPr="00D749D5">
        <w:rPr>
          <w:rFonts w:asciiTheme="majorHAnsi" w:hAnsiTheme="majorHAnsi"/>
          <w:sz w:val="20"/>
          <w:szCs w:val="20"/>
          <w:lang w:val="es-ES"/>
        </w:rPr>
        <w:t xml:space="preserve"> que el 17 de julio de 1997 </w:t>
      </w:r>
      <w:r w:rsidR="00FA0E12" w:rsidRPr="00D749D5">
        <w:rPr>
          <w:rFonts w:asciiTheme="majorHAnsi" w:hAnsiTheme="majorHAnsi"/>
          <w:sz w:val="20"/>
          <w:szCs w:val="20"/>
          <w:lang w:val="es-ES"/>
        </w:rPr>
        <w:t xml:space="preserve">se </w:t>
      </w:r>
      <w:r w:rsidR="008D13B1" w:rsidRPr="00D749D5">
        <w:rPr>
          <w:rFonts w:asciiTheme="majorHAnsi" w:hAnsiTheme="majorHAnsi"/>
          <w:sz w:val="20"/>
          <w:szCs w:val="20"/>
          <w:lang w:val="es-ES"/>
        </w:rPr>
        <w:t>declaró</w:t>
      </w:r>
      <w:r w:rsidR="00FA0E12" w:rsidRPr="00D749D5">
        <w:rPr>
          <w:rFonts w:asciiTheme="majorHAnsi" w:hAnsiTheme="majorHAnsi"/>
          <w:sz w:val="20"/>
          <w:szCs w:val="20"/>
          <w:lang w:val="es-ES"/>
        </w:rPr>
        <w:t xml:space="preserve"> que no existía </w:t>
      </w:r>
      <w:r w:rsidR="008D13B1" w:rsidRPr="00D749D5">
        <w:rPr>
          <w:rFonts w:asciiTheme="majorHAnsi" w:hAnsiTheme="majorHAnsi"/>
          <w:sz w:val="20"/>
          <w:szCs w:val="20"/>
          <w:lang w:val="es-ES"/>
        </w:rPr>
        <w:t>mérito</w:t>
      </w:r>
      <w:r w:rsidR="00FA0E12" w:rsidRPr="00D749D5">
        <w:rPr>
          <w:rFonts w:asciiTheme="majorHAnsi" w:hAnsiTheme="majorHAnsi"/>
          <w:sz w:val="20"/>
          <w:szCs w:val="20"/>
          <w:lang w:val="es-ES"/>
        </w:rPr>
        <w:t xml:space="preserve"> para dictar resolución convocatoria a Consejo de Guerra respecto de </w:t>
      </w:r>
      <w:r w:rsidR="00C93096" w:rsidRPr="00D749D5">
        <w:rPr>
          <w:rFonts w:asciiTheme="majorHAnsi" w:hAnsiTheme="majorHAnsi"/>
          <w:sz w:val="20"/>
          <w:szCs w:val="20"/>
          <w:lang w:val="es-ES"/>
        </w:rPr>
        <w:t>ningún procesado</w:t>
      </w:r>
      <w:r w:rsidR="008D13B1" w:rsidRPr="00D749D5">
        <w:rPr>
          <w:rFonts w:asciiTheme="majorHAnsi" w:hAnsiTheme="majorHAnsi"/>
          <w:sz w:val="20"/>
          <w:szCs w:val="20"/>
          <w:lang w:val="es-ES"/>
        </w:rPr>
        <w:t xml:space="preserve">, y cesar </w:t>
      </w:r>
      <w:r w:rsidR="00982DAC" w:rsidRPr="00D749D5">
        <w:rPr>
          <w:rFonts w:asciiTheme="majorHAnsi" w:hAnsiTheme="majorHAnsi"/>
          <w:sz w:val="20"/>
          <w:szCs w:val="20"/>
          <w:lang w:val="es-ES"/>
        </w:rPr>
        <w:t>todo procedimiento respecto de ocho</w:t>
      </w:r>
      <w:r w:rsidR="008D13B1" w:rsidRPr="00D749D5">
        <w:rPr>
          <w:rFonts w:asciiTheme="majorHAnsi" w:hAnsiTheme="majorHAnsi"/>
          <w:sz w:val="20"/>
          <w:szCs w:val="20"/>
          <w:lang w:val="es-ES"/>
        </w:rPr>
        <w:t xml:space="preserve"> agentes</w:t>
      </w:r>
      <w:r w:rsidR="00FA0E12" w:rsidRPr="00D749D5">
        <w:rPr>
          <w:rFonts w:asciiTheme="majorHAnsi" w:hAnsiTheme="majorHAnsi"/>
          <w:sz w:val="20"/>
          <w:szCs w:val="20"/>
          <w:lang w:val="es-ES"/>
        </w:rPr>
        <w:t>.</w:t>
      </w:r>
      <w:r w:rsidR="00D37716" w:rsidRPr="00D749D5">
        <w:rPr>
          <w:rFonts w:asciiTheme="majorHAnsi" w:hAnsiTheme="majorHAnsi"/>
          <w:sz w:val="20"/>
          <w:szCs w:val="20"/>
          <w:lang w:val="es-ES"/>
        </w:rPr>
        <w:t xml:space="preserve"> Agrega que el 30 de septiembre de 1998, el Tribunal Superior Militar resolvió un recurso de apelación presentado por el Procurador judicial</w:t>
      </w:r>
      <w:r w:rsidR="006D06B7" w:rsidRPr="00D749D5">
        <w:rPr>
          <w:rFonts w:asciiTheme="majorHAnsi" w:hAnsiTheme="majorHAnsi"/>
          <w:sz w:val="20"/>
          <w:szCs w:val="20"/>
          <w:lang w:val="es-ES"/>
        </w:rPr>
        <w:t xml:space="preserve">, </w:t>
      </w:r>
      <w:r w:rsidR="00C93096" w:rsidRPr="00D749D5">
        <w:rPr>
          <w:rFonts w:asciiTheme="majorHAnsi" w:hAnsiTheme="majorHAnsi"/>
          <w:sz w:val="20"/>
          <w:szCs w:val="20"/>
          <w:lang w:val="es-ES"/>
        </w:rPr>
        <w:t xml:space="preserve">declarando </w:t>
      </w:r>
      <w:r w:rsidR="00BE099A" w:rsidRPr="00D749D5">
        <w:rPr>
          <w:rFonts w:asciiTheme="majorHAnsi" w:hAnsiTheme="majorHAnsi"/>
          <w:sz w:val="20"/>
          <w:szCs w:val="20"/>
          <w:lang w:val="es-ES"/>
        </w:rPr>
        <w:t>que</w:t>
      </w:r>
      <w:r w:rsidR="006D06B7" w:rsidRPr="00D749D5">
        <w:rPr>
          <w:rFonts w:asciiTheme="majorHAnsi" w:hAnsiTheme="majorHAnsi"/>
          <w:sz w:val="20"/>
          <w:szCs w:val="20"/>
          <w:lang w:val="es-ES"/>
        </w:rPr>
        <w:t xml:space="preserve"> la cesación del procedimiento procede por cuanto los agentes no cometieron el delito, y no por las razones expuestas por el </w:t>
      </w:r>
      <w:r w:rsidR="006D06B7" w:rsidRPr="00D749D5">
        <w:rPr>
          <w:rFonts w:asciiTheme="majorHAnsi" w:hAnsiTheme="majorHAnsi"/>
          <w:i/>
          <w:sz w:val="20"/>
          <w:szCs w:val="20"/>
          <w:lang w:val="es-ES"/>
        </w:rPr>
        <w:t>a quo</w:t>
      </w:r>
      <w:r w:rsidR="006D06B7" w:rsidRPr="00D749D5">
        <w:rPr>
          <w:rFonts w:asciiTheme="majorHAnsi" w:hAnsiTheme="majorHAnsi"/>
          <w:sz w:val="20"/>
          <w:szCs w:val="20"/>
          <w:lang w:val="es-ES"/>
        </w:rPr>
        <w:t xml:space="preserve">, </w:t>
      </w:r>
      <w:r w:rsidR="00BE099A" w:rsidRPr="00D749D5">
        <w:rPr>
          <w:rFonts w:asciiTheme="majorHAnsi" w:hAnsiTheme="majorHAnsi"/>
          <w:sz w:val="20"/>
          <w:szCs w:val="20"/>
          <w:lang w:val="es-ES"/>
        </w:rPr>
        <w:t>confirmándola en lo demás.</w:t>
      </w:r>
      <w:r w:rsidR="00D37716" w:rsidRPr="00D749D5">
        <w:rPr>
          <w:rFonts w:asciiTheme="majorHAnsi" w:hAnsiTheme="majorHAnsi"/>
          <w:sz w:val="20"/>
          <w:szCs w:val="20"/>
          <w:lang w:val="es-ES"/>
        </w:rPr>
        <w:t xml:space="preserve"> </w:t>
      </w:r>
    </w:p>
    <w:p w14:paraId="067AABDF" w14:textId="74F50F54" w:rsidR="00513368" w:rsidRPr="00D749D5" w:rsidRDefault="009E61D8" w:rsidP="000C4E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lastRenderedPageBreak/>
        <w:t>Sobre</w:t>
      </w:r>
      <w:r w:rsidR="00513368" w:rsidRPr="00D749D5">
        <w:rPr>
          <w:rFonts w:asciiTheme="majorHAnsi" w:hAnsiTheme="majorHAnsi"/>
          <w:sz w:val="20"/>
          <w:szCs w:val="20"/>
          <w:lang w:val="es-ES"/>
        </w:rPr>
        <w:t xml:space="preserve"> la investigación disciplinaria, </w:t>
      </w:r>
      <w:r w:rsidR="00F07B60" w:rsidRPr="00D749D5">
        <w:rPr>
          <w:rFonts w:asciiTheme="majorHAnsi" w:hAnsiTheme="majorHAnsi"/>
          <w:sz w:val="20"/>
          <w:szCs w:val="20"/>
          <w:lang w:val="es-ES"/>
        </w:rPr>
        <w:t xml:space="preserve">refiere que la </w:t>
      </w:r>
      <w:r w:rsidR="004A7C8C" w:rsidRPr="00D749D5">
        <w:rPr>
          <w:rFonts w:asciiTheme="majorHAnsi" w:hAnsiTheme="majorHAnsi"/>
          <w:sz w:val="20"/>
          <w:szCs w:val="20"/>
          <w:lang w:val="es-ES"/>
        </w:rPr>
        <w:t>Procuraduría</w:t>
      </w:r>
      <w:r w:rsidR="00F07B60" w:rsidRPr="00D749D5">
        <w:rPr>
          <w:rFonts w:asciiTheme="majorHAnsi" w:hAnsiTheme="majorHAnsi"/>
          <w:sz w:val="20"/>
          <w:szCs w:val="20"/>
          <w:lang w:val="es-ES"/>
        </w:rPr>
        <w:t xml:space="preserve"> Delegada para la Defensa de los Derechos Humanos, adelant</w:t>
      </w:r>
      <w:r w:rsidR="00960CC9" w:rsidRPr="00D749D5">
        <w:rPr>
          <w:rFonts w:asciiTheme="majorHAnsi" w:hAnsiTheme="majorHAnsi"/>
          <w:sz w:val="20"/>
          <w:szCs w:val="20"/>
          <w:lang w:val="es-ES"/>
        </w:rPr>
        <w:t>ó</w:t>
      </w:r>
      <w:r w:rsidR="00F07B60" w:rsidRPr="00D749D5">
        <w:rPr>
          <w:rFonts w:asciiTheme="majorHAnsi" w:hAnsiTheme="majorHAnsi"/>
          <w:sz w:val="20"/>
          <w:szCs w:val="20"/>
          <w:lang w:val="es-ES"/>
        </w:rPr>
        <w:t xml:space="preserve"> inves</w:t>
      </w:r>
      <w:r w:rsidRPr="00D749D5">
        <w:rPr>
          <w:rFonts w:asciiTheme="majorHAnsi" w:hAnsiTheme="majorHAnsi"/>
          <w:sz w:val="20"/>
          <w:szCs w:val="20"/>
          <w:lang w:val="es-ES"/>
        </w:rPr>
        <w:t>tigación disciplinaria, contra seis</w:t>
      </w:r>
      <w:r w:rsidR="00F07B60" w:rsidRPr="00D749D5">
        <w:rPr>
          <w:rFonts w:asciiTheme="majorHAnsi" w:hAnsiTheme="majorHAnsi"/>
          <w:sz w:val="20"/>
          <w:szCs w:val="20"/>
          <w:lang w:val="es-ES"/>
        </w:rPr>
        <w:t xml:space="preserve"> agentes, y que en fallo de 30 de septiembre de 1998, referente a las muertes de </w:t>
      </w:r>
      <w:r w:rsidRPr="00D749D5">
        <w:rPr>
          <w:rFonts w:asciiTheme="majorHAnsi" w:hAnsiTheme="majorHAnsi"/>
          <w:sz w:val="20"/>
          <w:szCs w:val="20"/>
          <w:lang w:val="es-ES"/>
        </w:rPr>
        <w:t>veinticinco</w:t>
      </w:r>
      <w:r w:rsidR="00446B87" w:rsidRPr="00D749D5">
        <w:rPr>
          <w:rFonts w:asciiTheme="majorHAnsi" w:hAnsiTheme="majorHAnsi"/>
          <w:sz w:val="20"/>
          <w:szCs w:val="20"/>
          <w:lang w:val="es-ES"/>
        </w:rPr>
        <w:t xml:space="preserve"> presuntas víctimas </w:t>
      </w:r>
      <w:r w:rsidRPr="00D749D5">
        <w:rPr>
          <w:rFonts w:asciiTheme="majorHAnsi" w:hAnsiTheme="majorHAnsi"/>
          <w:sz w:val="20"/>
          <w:szCs w:val="20"/>
          <w:lang w:val="es-ES"/>
        </w:rPr>
        <w:t>de asesinato, y cuatro</w:t>
      </w:r>
      <w:r w:rsidR="004A7C8C" w:rsidRPr="00D749D5">
        <w:rPr>
          <w:rFonts w:asciiTheme="majorHAnsi" w:hAnsiTheme="majorHAnsi"/>
          <w:sz w:val="20"/>
          <w:szCs w:val="20"/>
          <w:lang w:val="es-ES"/>
        </w:rPr>
        <w:t xml:space="preserve"> de lesiones, decidió sanc</w:t>
      </w:r>
      <w:r w:rsidRPr="00D749D5">
        <w:rPr>
          <w:rFonts w:asciiTheme="majorHAnsi" w:hAnsiTheme="majorHAnsi"/>
          <w:sz w:val="20"/>
          <w:szCs w:val="20"/>
          <w:lang w:val="es-ES"/>
        </w:rPr>
        <w:t>ionar con “represión severa” a cinco</w:t>
      </w:r>
      <w:r w:rsidR="004A7C8C" w:rsidRPr="00D749D5">
        <w:rPr>
          <w:rFonts w:asciiTheme="majorHAnsi" w:hAnsiTheme="majorHAnsi"/>
          <w:sz w:val="20"/>
          <w:szCs w:val="20"/>
          <w:lang w:val="es-ES"/>
        </w:rPr>
        <w:t xml:space="preserve"> agentes. Además</w:t>
      </w:r>
      <w:r w:rsidRPr="00D749D5">
        <w:rPr>
          <w:rFonts w:asciiTheme="majorHAnsi" w:hAnsiTheme="majorHAnsi"/>
          <w:sz w:val="20"/>
          <w:szCs w:val="20"/>
          <w:lang w:val="es-ES"/>
        </w:rPr>
        <w:t>,</w:t>
      </w:r>
      <w:r w:rsidR="004A7C8C" w:rsidRPr="00D749D5">
        <w:rPr>
          <w:rFonts w:asciiTheme="majorHAnsi" w:hAnsiTheme="majorHAnsi"/>
          <w:sz w:val="20"/>
          <w:szCs w:val="20"/>
          <w:lang w:val="es-ES"/>
        </w:rPr>
        <w:t xml:space="preserve"> refirió que la Sala Disciplinaria de la Procuraduría General de la Nación, </w:t>
      </w:r>
      <w:r w:rsidR="009B1699" w:rsidRPr="00D749D5">
        <w:rPr>
          <w:rFonts w:asciiTheme="majorHAnsi" w:hAnsiTheme="majorHAnsi"/>
          <w:sz w:val="20"/>
          <w:szCs w:val="20"/>
          <w:lang w:val="es-ES"/>
        </w:rPr>
        <w:t>mediante providencia de 23 de noviembre de 2000, declaró prescrita la ac</w:t>
      </w:r>
      <w:r w:rsidRPr="00D749D5">
        <w:rPr>
          <w:rFonts w:asciiTheme="majorHAnsi" w:hAnsiTheme="majorHAnsi"/>
          <w:sz w:val="20"/>
          <w:szCs w:val="20"/>
          <w:lang w:val="es-ES"/>
        </w:rPr>
        <w:t>ción disciplinaria en favor de seis</w:t>
      </w:r>
      <w:r w:rsidR="009B1699" w:rsidRPr="00D749D5">
        <w:rPr>
          <w:rFonts w:asciiTheme="majorHAnsi" w:hAnsiTheme="majorHAnsi"/>
          <w:sz w:val="20"/>
          <w:szCs w:val="20"/>
          <w:lang w:val="es-ES"/>
        </w:rPr>
        <w:t xml:space="preserve"> agentes.</w:t>
      </w:r>
    </w:p>
    <w:p w14:paraId="2B2035C5" w14:textId="2EEF03B7" w:rsidR="001D253D" w:rsidRPr="00D749D5" w:rsidRDefault="00350196" w:rsidP="000C4E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En cuanto a las acciones de reparación directa, en</w:t>
      </w:r>
      <w:r w:rsidR="00122E48" w:rsidRPr="00D749D5">
        <w:rPr>
          <w:rFonts w:asciiTheme="majorHAnsi" w:hAnsiTheme="majorHAnsi"/>
          <w:sz w:val="20"/>
          <w:szCs w:val="20"/>
          <w:lang w:val="es-ES"/>
        </w:rPr>
        <w:t xml:space="preserve"> </w:t>
      </w:r>
      <w:r w:rsidR="00431C2C" w:rsidRPr="00D749D5">
        <w:rPr>
          <w:rFonts w:asciiTheme="majorHAnsi" w:hAnsiTheme="majorHAnsi"/>
          <w:sz w:val="20"/>
          <w:szCs w:val="20"/>
          <w:lang w:val="es-ES"/>
        </w:rPr>
        <w:t xml:space="preserve">materia de jurisdicción contencioso administrativa, </w:t>
      </w:r>
      <w:r w:rsidR="000123F9" w:rsidRPr="00D749D5">
        <w:rPr>
          <w:rFonts w:asciiTheme="majorHAnsi" w:hAnsiTheme="majorHAnsi"/>
          <w:sz w:val="20"/>
          <w:szCs w:val="20"/>
          <w:lang w:val="es-ES"/>
        </w:rPr>
        <w:t>el Estado inform</w:t>
      </w:r>
      <w:r w:rsidR="00960CC9" w:rsidRPr="00D749D5">
        <w:rPr>
          <w:rFonts w:asciiTheme="majorHAnsi" w:hAnsiTheme="majorHAnsi"/>
          <w:sz w:val="20"/>
          <w:szCs w:val="20"/>
          <w:lang w:val="es-ES"/>
        </w:rPr>
        <w:t>ó</w:t>
      </w:r>
      <w:r w:rsidR="000123F9" w:rsidRPr="00D749D5">
        <w:rPr>
          <w:rFonts w:asciiTheme="majorHAnsi" w:hAnsiTheme="majorHAnsi"/>
          <w:sz w:val="20"/>
          <w:szCs w:val="20"/>
          <w:lang w:val="es-ES"/>
        </w:rPr>
        <w:t xml:space="preserve"> acerca del avance de procesos de reparación </w:t>
      </w:r>
      <w:r w:rsidR="001D253D" w:rsidRPr="00D749D5">
        <w:rPr>
          <w:rFonts w:asciiTheme="majorHAnsi" w:hAnsiTheme="majorHAnsi"/>
          <w:sz w:val="20"/>
          <w:szCs w:val="20"/>
          <w:lang w:val="es-ES"/>
        </w:rPr>
        <w:t>directa adelantados respecto de:</w:t>
      </w:r>
    </w:p>
    <w:p w14:paraId="0DBBA368" w14:textId="77777777" w:rsidR="00350196" w:rsidRPr="00D749D5" w:rsidRDefault="000123F9" w:rsidP="002864B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jc w:val="both"/>
        <w:rPr>
          <w:rFonts w:asciiTheme="majorHAnsi" w:hAnsiTheme="majorHAnsi"/>
          <w:sz w:val="20"/>
          <w:szCs w:val="20"/>
          <w:lang w:val="es-ES"/>
        </w:rPr>
      </w:pPr>
      <w:r w:rsidRPr="00D749D5">
        <w:rPr>
          <w:rFonts w:asciiTheme="majorHAnsi" w:hAnsiTheme="majorHAnsi"/>
          <w:sz w:val="20"/>
          <w:szCs w:val="20"/>
          <w:lang w:val="es-ES"/>
        </w:rPr>
        <w:t xml:space="preserve"> </w:t>
      </w:r>
      <w:r w:rsidR="001D253D" w:rsidRPr="00D749D5">
        <w:rPr>
          <w:rFonts w:asciiTheme="majorHAnsi" w:hAnsiTheme="majorHAnsi"/>
          <w:sz w:val="20"/>
          <w:szCs w:val="20"/>
          <w:lang w:val="es-ES"/>
        </w:rPr>
        <w:t>Pablo Emilio Pinto: refiere que el 17 de marzo de 2000 se profirió fallo desfavorable a la nación, y que el 7 de julio de 2001 el Consejo de Estado revirtió el fallo.</w:t>
      </w:r>
    </w:p>
    <w:p w14:paraId="72788247" w14:textId="77777777" w:rsidR="00487EC8" w:rsidRPr="00D749D5" w:rsidRDefault="00683574" w:rsidP="002864B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jc w:val="both"/>
        <w:rPr>
          <w:rFonts w:asciiTheme="majorHAnsi" w:hAnsiTheme="majorHAnsi"/>
          <w:sz w:val="20"/>
          <w:szCs w:val="20"/>
          <w:lang w:val="es-ES"/>
        </w:rPr>
      </w:pPr>
      <w:r w:rsidRPr="00D749D5">
        <w:rPr>
          <w:rFonts w:asciiTheme="majorHAnsi" w:hAnsiTheme="majorHAnsi"/>
          <w:sz w:val="20"/>
          <w:szCs w:val="20"/>
          <w:lang w:val="es-ES"/>
        </w:rPr>
        <w:t xml:space="preserve">Carlos Alberto Álvarez Ahumado: </w:t>
      </w:r>
      <w:r w:rsidR="00487EC8" w:rsidRPr="00D749D5">
        <w:rPr>
          <w:rFonts w:asciiTheme="majorHAnsi" w:hAnsiTheme="majorHAnsi"/>
          <w:sz w:val="20"/>
          <w:szCs w:val="20"/>
          <w:lang w:val="es-ES"/>
        </w:rPr>
        <w:t>refiere que 17 de marzo de 2000 se profirió fallo desfavorable a la nación, y que el 7 de julio de 2001 el Consejo de Estado revirtió el fallo.</w:t>
      </w:r>
    </w:p>
    <w:p w14:paraId="142AD229" w14:textId="42814BBE" w:rsidR="00A6254F" w:rsidRPr="00D749D5" w:rsidRDefault="00487EC8" w:rsidP="002864B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jc w:val="both"/>
        <w:rPr>
          <w:rFonts w:asciiTheme="majorHAnsi" w:hAnsiTheme="majorHAnsi"/>
          <w:sz w:val="20"/>
          <w:szCs w:val="20"/>
          <w:lang w:val="es-ES"/>
        </w:rPr>
      </w:pPr>
      <w:r w:rsidRPr="00D749D5">
        <w:rPr>
          <w:rFonts w:asciiTheme="majorHAnsi" w:hAnsiTheme="majorHAnsi"/>
          <w:sz w:val="20"/>
          <w:szCs w:val="20"/>
          <w:lang w:val="es-ES"/>
        </w:rPr>
        <w:t>Pablo Guerra Intenera</w:t>
      </w:r>
      <w:r w:rsidR="00A6254F" w:rsidRPr="00D749D5">
        <w:rPr>
          <w:rFonts w:asciiTheme="majorHAnsi" w:hAnsiTheme="majorHAnsi"/>
          <w:sz w:val="20"/>
          <w:szCs w:val="20"/>
          <w:lang w:val="es-ES"/>
        </w:rPr>
        <w:t xml:space="preserve">: refiere que 24 de </w:t>
      </w:r>
      <w:r w:rsidR="00A117F7" w:rsidRPr="00D749D5">
        <w:rPr>
          <w:rFonts w:asciiTheme="majorHAnsi" w:hAnsiTheme="majorHAnsi"/>
          <w:sz w:val="20"/>
          <w:szCs w:val="20"/>
          <w:lang w:val="es-ES"/>
        </w:rPr>
        <w:t>junio</w:t>
      </w:r>
      <w:r w:rsidR="00A6254F" w:rsidRPr="00D749D5">
        <w:rPr>
          <w:rFonts w:asciiTheme="majorHAnsi" w:hAnsiTheme="majorHAnsi"/>
          <w:sz w:val="20"/>
          <w:szCs w:val="20"/>
          <w:lang w:val="es-ES"/>
        </w:rPr>
        <w:t xml:space="preserve"> de</w:t>
      </w:r>
      <w:r w:rsidR="00A117F7" w:rsidRPr="00D749D5">
        <w:rPr>
          <w:rFonts w:asciiTheme="majorHAnsi" w:hAnsiTheme="majorHAnsi"/>
          <w:sz w:val="20"/>
          <w:szCs w:val="20"/>
          <w:lang w:val="es-ES"/>
        </w:rPr>
        <w:t>l</w:t>
      </w:r>
      <w:r w:rsidR="00A6254F" w:rsidRPr="00D749D5">
        <w:rPr>
          <w:rFonts w:asciiTheme="majorHAnsi" w:hAnsiTheme="majorHAnsi"/>
          <w:sz w:val="20"/>
          <w:szCs w:val="20"/>
          <w:lang w:val="es-ES"/>
        </w:rPr>
        <w:t xml:space="preserve"> 2000 se profirió fallo desfavorable a la nación, </w:t>
      </w:r>
      <w:r w:rsidR="00A117F7" w:rsidRPr="00D749D5">
        <w:rPr>
          <w:rFonts w:asciiTheme="majorHAnsi" w:hAnsiTheme="majorHAnsi"/>
          <w:sz w:val="20"/>
          <w:szCs w:val="20"/>
          <w:lang w:val="es-ES"/>
        </w:rPr>
        <w:t>y que el 12</w:t>
      </w:r>
      <w:r w:rsidR="00A6254F" w:rsidRPr="00D749D5">
        <w:rPr>
          <w:rFonts w:asciiTheme="majorHAnsi" w:hAnsiTheme="majorHAnsi"/>
          <w:sz w:val="20"/>
          <w:szCs w:val="20"/>
          <w:lang w:val="es-ES"/>
        </w:rPr>
        <w:t xml:space="preserve"> de </w:t>
      </w:r>
      <w:r w:rsidR="00A117F7" w:rsidRPr="00D749D5">
        <w:rPr>
          <w:rFonts w:asciiTheme="majorHAnsi" w:hAnsiTheme="majorHAnsi"/>
          <w:sz w:val="20"/>
          <w:szCs w:val="20"/>
          <w:lang w:val="es-ES"/>
        </w:rPr>
        <w:t>febrero de 2006</w:t>
      </w:r>
      <w:r w:rsidR="00A6254F" w:rsidRPr="00D749D5">
        <w:rPr>
          <w:rFonts w:asciiTheme="majorHAnsi" w:hAnsiTheme="majorHAnsi"/>
          <w:sz w:val="20"/>
          <w:szCs w:val="20"/>
          <w:lang w:val="es-ES"/>
        </w:rPr>
        <w:t xml:space="preserve"> el Consejo de Estado revirtió el fallo.</w:t>
      </w:r>
      <w:r w:rsidR="00A117F7" w:rsidRPr="00D749D5">
        <w:rPr>
          <w:rFonts w:asciiTheme="majorHAnsi" w:hAnsiTheme="majorHAnsi"/>
          <w:sz w:val="20"/>
          <w:szCs w:val="20"/>
          <w:lang w:val="es-ES"/>
        </w:rPr>
        <w:t xml:space="preserve"> </w:t>
      </w:r>
      <w:r w:rsidR="00AF54DA" w:rsidRPr="00D749D5">
        <w:rPr>
          <w:rFonts w:asciiTheme="majorHAnsi" w:hAnsiTheme="majorHAnsi"/>
          <w:sz w:val="20"/>
          <w:szCs w:val="20"/>
          <w:lang w:val="es-ES"/>
        </w:rPr>
        <w:t>Indica que el caso esta archivado.</w:t>
      </w:r>
    </w:p>
    <w:p w14:paraId="49CD25D1" w14:textId="77777777" w:rsidR="00683574" w:rsidRPr="00D749D5" w:rsidRDefault="00CE058A" w:rsidP="002864B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jc w:val="both"/>
        <w:rPr>
          <w:rFonts w:asciiTheme="majorHAnsi" w:hAnsiTheme="majorHAnsi"/>
          <w:sz w:val="20"/>
          <w:szCs w:val="20"/>
          <w:lang w:val="es-ES"/>
        </w:rPr>
      </w:pPr>
      <w:r w:rsidRPr="00D749D5">
        <w:rPr>
          <w:rFonts w:asciiTheme="majorHAnsi" w:hAnsiTheme="majorHAnsi"/>
          <w:sz w:val="20"/>
          <w:szCs w:val="20"/>
          <w:lang w:val="es-ES"/>
        </w:rPr>
        <w:t>Ismael Jaimes Cortés</w:t>
      </w:r>
      <w:r w:rsidR="002655E4" w:rsidRPr="00D749D5">
        <w:rPr>
          <w:rFonts w:asciiTheme="majorHAnsi" w:hAnsiTheme="majorHAnsi"/>
          <w:sz w:val="20"/>
          <w:szCs w:val="20"/>
          <w:lang w:val="es-ES"/>
        </w:rPr>
        <w:t>:</w:t>
      </w:r>
      <w:r w:rsidRPr="00D749D5">
        <w:rPr>
          <w:rFonts w:asciiTheme="majorHAnsi" w:hAnsiTheme="majorHAnsi"/>
          <w:sz w:val="20"/>
          <w:szCs w:val="20"/>
          <w:lang w:val="es-ES"/>
        </w:rPr>
        <w:t xml:space="preserve"> refiere que estaría en el despacho del Tribunal Superior de Santander.</w:t>
      </w:r>
    </w:p>
    <w:p w14:paraId="5E30A23C" w14:textId="1EFA5044" w:rsidR="00D36770" w:rsidRPr="00D749D5" w:rsidRDefault="00D36770" w:rsidP="002864B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jc w:val="both"/>
        <w:rPr>
          <w:rFonts w:asciiTheme="majorHAnsi" w:hAnsiTheme="majorHAnsi"/>
          <w:sz w:val="20"/>
          <w:szCs w:val="20"/>
          <w:lang w:val="es-ES"/>
        </w:rPr>
      </w:pPr>
      <w:r w:rsidRPr="00D749D5">
        <w:rPr>
          <w:rFonts w:asciiTheme="majorHAnsi" w:hAnsiTheme="majorHAnsi"/>
          <w:sz w:val="20"/>
          <w:szCs w:val="20"/>
          <w:lang w:val="es-ES"/>
        </w:rPr>
        <w:t xml:space="preserve">Benjamín Pérez Peinado: refiere que el 9 de julio de 1998 se </w:t>
      </w:r>
      <w:r w:rsidR="00366AE1" w:rsidRPr="00D749D5">
        <w:rPr>
          <w:rFonts w:asciiTheme="majorHAnsi" w:hAnsiTheme="majorHAnsi"/>
          <w:sz w:val="20"/>
          <w:szCs w:val="20"/>
          <w:lang w:val="es-ES"/>
        </w:rPr>
        <w:t>dictó</w:t>
      </w:r>
      <w:r w:rsidRPr="00D749D5">
        <w:rPr>
          <w:rFonts w:asciiTheme="majorHAnsi" w:hAnsiTheme="majorHAnsi"/>
          <w:sz w:val="20"/>
          <w:szCs w:val="20"/>
          <w:lang w:val="es-ES"/>
        </w:rPr>
        <w:t xml:space="preserve"> fallo favorable a la </w:t>
      </w:r>
      <w:r w:rsidR="008F4C12" w:rsidRPr="00D749D5">
        <w:rPr>
          <w:rFonts w:asciiTheme="majorHAnsi" w:hAnsiTheme="majorHAnsi"/>
          <w:sz w:val="20"/>
          <w:szCs w:val="20"/>
          <w:lang w:val="es-ES"/>
        </w:rPr>
        <w:t>nación</w:t>
      </w:r>
      <w:r w:rsidRPr="00D749D5">
        <w:rPr>
          <w:rFonts w:asciiTheme="majorHAnsi" w:hAnsiTheme="majorHAnsi"/>
          <w:sz w:val="20"/>
          <w:szCs w:val="20"/>
          <w:lang w:val="es-ES"/>
        </w:rPr>
        <w:t xml:space="preserve">, y que la parte accionante </w:t>
      </w:r>
      <w:r w:rsidR="00AF54DA" w:rsidRPr="00D749D5">
        <w:rPr>
          <w:rFonts w:asciiTheme="majorHAnsi" w:hAnsiTheme="majorHAnsi"/>
          <w:sz w:val="20"/>
          <w:szCs w:val="20"/>
          <w:lang w:val="es-ES"/>
        </w:rPr>
        <w:t>interpuso un recurso de apelación, inadmitido por extemporaneidad. Indica que el caso esta archivado.</w:t>
      </w:r>
    </w:p>
    <w:p w14:paraId="0ACCB370" w14:textId="3C2A3694" w:rsidR="002655E4" w:rsidRPr="00D749D5" w:rsidRDefault="002655E4" w:rsidP="002864B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jc w:val="both"/>
        <w:rPr>
          <w:rFonts w:asciiTheme="majorHAnsi" w:hAnsiTheme="majorHAnsi"/>
          <w:sz w:val="20"/>
          <w:szCs w:val="20"/>
          <w:lang w:val="es-ES"/>
        </w:rPr>
      </w:pPr>
      <w:r w:rsidRPr="00D749D5">
        <w:rPr>
          <w:rFonts w:asciiTheme="majorHAnsi" w:hAnsiTheme="majorHAnsi"/>
          <w:sz w:val="20"/>
          <w:szCs w:val="20"/>
          <w:lang w:val="es-ES"/>
        </w:rPr>
        <w:t xml:space="preserve">Parmenio Ruiz Suarez: refiere que 3 de abril del 2009 se profirió negando las pretensiones de la </w:t>
      </w:r>
      <w:r w:rsidR="00DF07CA">
        <w:rPr>
          <w:rFonts w:asciiTheme="majorHAnsi" w:hAnsiTheme="majorHAnsi"/>
          <w:sz w:val="20"/>
          <w:szCs w:val="20"/>
          <w:lang w:val="es-ES"/>
        </w:rPr>
        <w:t>demanda y que la actora no apeló</w:t>
      </w:r>
      <w:r w:rsidRPr="00D749D5">
        <w:rPr>
          <w:rFonts w:asciiTheme="majorHAnsi" w:hAnsiTheme="majorHAnsi"/>
          <w:sz w:val="20"/>
          <w:szCs w:val="20"/>
          <w:lang w:val="es-ES"/>
        </w:rPr>
        <w:t xml:space="preserve"> la sentencia, quedando ejecutoriada. Indica que el caso esta archivado.</w:t>
      </w:r>
    </w:p>
    <w:p w14:paraId="6A0C88C8" w14:textId="39A43E0D" w:rsidR="007B0FF0" w:rsidRPr="00D749D5" w:rsidRDefault="007B0FF0" w:rsidP="002864B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jc w:val="both"/>
        <w:rPr>
          <w:rFonts w:asciiTheme="majorHAnsi" w:hAnsiTheme="majorHAnsi"/>
          <w:sz w:val="20"/>
          <w:szCs w:val="20"/>
          <w:lang w:val="es-ES"/>
        </w:rPr>
      </w:pPr>
      <w:r w:rsidRPr="00D749D5">
        <w:rPr>
          <w:rFonts w:asciiTheme="majorHAnsi" w:hAnsiTheme="majorHAnsi"/>
          <w:sz w:val="20"/>
          <w:szCs w:val="20"/>
          <w:lang w:val="es-ES"/>
        </w:rPr>
        <w:t xml:space="preserve">José Noel Vargas Rivera: refiere que el 15 de enero de 1998 se profirió fallo favorable a la </w:t>
      </w:r>
      <w:r w:rsidR="008F4C12" w:rsidRPr="00D749D5">
        <w:rPr>
          <w:rFonts w:asciiTheme="majorHAnsi" w:hAnsiTheme="majorHAnsi"/>
          <w:sz w:val="20"/>
          <w:szCs w:val="20"/>
          <w:lang w:val="es-ES"/>
        </w:rPr>
        <w:t>nación</w:t>
      </w:r>
      <w:r w:rsidRPr="00D749D5">
        <w:rPr>
          <w:rFonts w:asciiTheme="majorHAnsi" w:hAnsiTheme="majorHAnsi"/>
          <w:sz w:val="20"/>
          <w:szCs w:val="20"/>
          <w:lang w:val="es-ES"/>
        </w:rPr>
        <w:t>, y que el asunto se encuentra en segunda instancia ante el Consejo de Estado</w:t>
      </w:r>
      <w:r w:rsidR="00253B1D" w:rsidRPr="00D749D5">
        <w:rPr>
          <w:rFonts w:asciiTheme="majorHAnsi" w:hAnsiTheme="majorHAnsi"/>
          <w:sz w:val="20"/>
          <w:szCs w:val="20"/>
          <w:lang w:val="es-ES"/>
        </w:rPr>
        <w:t>, en virtud de recurso de apelación interpuesto por el accionante</w:t>
      </w:r>
      <w:r w:rsidRPr="00D749D5">
        <w:rPr>
          <w:rFonts w:asciiTheme="majorHAnsi" w:hAnsiTheme="majorHAnsi"/>
          <w:sz w:val="20"/>
          <w:szCs w:val="20"/>
          <w:lang w:val="es-ES"/>
        </w:rPr>
        <w:t>.</w:t>
      </w:r>
    </w:p>
    <w:p w14:paraId="7DE84A3A" w14:textId="7E412CFE" w:rsidR="007121D4" w:rsidRPr="00D749D5" w:rsidRDefault="007121D4" w:rsidP="002864B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jc w:val="both"/>
        <w:rPr>
          <w:rFonts w:asciiTheme="majorHAnsi" w:hAnsiTheme="majorHAnsi"/>
          <w:sz w:val="20"/>
          <w:szCs w:val="20"/>
          <w:lang w:val="es-ES"/>
        </w:rPr>
      </w:pPr>
      <w:r w:rsidRPr="00D749D5">
        <w:rPr>
          <w:rFonts w:asciiTheme="majorHAnsi" w:hAnsiTheme="majorHAnsi"/>
          <w:sz w:val="20"/>
          <w:szCs w:val="20"/>
          <w:lang w:val="es-ES"/>
        </w:rPr>
        <w:t xml:space="preserve">Daniel Suárez Rivera: </w:t>
      </w:r>
      <w:r w:rsidR="00713854" w:rsidRPr="00D749D5">
        <w:rPr>
          <w:rFonts w:asciiTheme="majorHAnsi" w:hAnsiTheme="majorHAnsi"/>
          <w:sz w:val="20"/>
          <w:szCs w:val="20"/>
          <w:lang w:val="es-ES"/>
        </w:rPr>
        <w:t xml:space="preserve">refiere que el 4 de mayo de 1999 se dictó fallo favorable a la </w:t>
      </w:r>
      <w:r w:rsidR="008F4C12" w:rsidRPr="00D749D5">
        <w:rPr>
          <w:rFonts w:asciiTheme="majorHAnsi" w:hAnsiTheme="majorHAnsi"/>
          <w:sz w:val="20"/>
          <w:szCs w:val="20"/>
          <w:lang w:val="es-ES"/>
        </w:rPr>
        <w:t>nación</w:t>
      </w:r>
      <w:r w:rsidR="00713854" w:rsidRPr="00D749D5">
        <w:rPr>
          <w:rFonts w:asciiTheme="majorHAnsi" w:hAnsiTheme="majorHAnsi"/>
          <w:sz w:val="20"/>
          <w:szCs w:val="20"/>
          <w:lang w:val="es-ES"/>
        </w:rPr>
        <w:t>, y que la actora no apel</w:t>
      </w:r>
      <w:r w:rsidR="00960CC9" w:rsidRPr="00D749D5">
        <w:rPr>
          <w:rFonts w:asciiTheme="majorHAnsi" w:hAnsiTheme="majorHAnsi"/>
          <w:sz w:val="20"/>
          <w:szCs w:val="20"/>
          <w:lang w:val="es-ES"/>
        </w:rPr>
        <w:t>ó</w:t>
      </w:r>
      <w:r w:rsidR="00713854" w:rsidRPr="00D749D5">
        <w:rPr>
          <w:rFonts w:asciiTheme="majorHAnsi" w:hAnsiTheme="majorHAnsi"/>
          <w:sz w:val="20"/>
          <w:szCs w:val="20"/>
          <w:lang w:val="es-ES"/>
        </w:rPr>
        <w:t xml:space="preserve"> la sentencia. Indica que el caso esta archivado.</w:t>
      </w:r>
    </w:p>
    <w:p w14:paraId="537490A6" w14:textId="2C7B64D8" w:rsidR="004F08BD" w:rsidRPr="00D749D5" w:rsidRDefault="004F08BD" w:rsidP="002864B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jc w:val="both"/>
        <w:rPr>
          <w:rFonts w:asciiTheme="majorHAnsi" w:hAnsiTheme="majorHAnsi"/>
          <w:sz w:val="20"/>
          <w:szCs w:val="20"/>
          <w:lang w:val="es-ES"/>
        </w:rPr>
      </w:pPr>
      <w:r w:rsidRPr="00D749D5">
        <w:rPr>
          <w:rFonts w:asciiTheme="majorHAnsi" w:hAnsiTheme="majorHAnsi"/>
          <w:sz w:val="20"/>
          <w:szCs w:val="20"/>
          <w:lang w:val="es-ES"/>
        </w:rPr>
        <w:t xml:space="preserve">Julio César Berrio Villegas: refiere que el 28 de enero de 1999 se dictó fallo desfavorable a la </w:t>
      </w:r>
      <w:r w:rsidR="008F4C12" w:rsidRPr="00D749D5">
        <w:rPr>
          <w:rFonts w:asciiTheme="majorHAnsi" w:hAnsiTheme="majorHAnsi"/>
          <w:sz w:val="20"/>
          <w:szCs w:val="20"/>
          <w:lang w:val="es-ES"/>
        </w:rPr>
        <w:t>nación</w:t>
      </w:r>
      <w:r w:rsidRPr="00D749D5">
        <w:rPr>
          <w:rFonts w:asciiTheme="majorHAnsi" w:hAnsiTheme="majorHAnsi"/>
          <w:sz w:val="20"/>
          <w:szCs w:val="20"/>
          <w:lang w:val="es-ES"/>
        </w:rPr>
        <w:t>, y que el asunto se encuentra en segunda instancia ante el Consejo de Estado, por recurso de apelación interpuesto por la parte actora y la demandada.</w:t>
      </w:r>
    </w:p>
    <w:p w14:paraId="39DE1AA1" w14:textId="7A564BC5" w:rsidR="00662F80" w:rsidRPr="00D749D5" w:rsidRDefault="00662F80" w:rsidP="002864B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jc w:val="both"/>
        <w:rPr>
          <w:rFonts w:asciiTheme="majorHAnsi" w:hAnsiTheme="majorHAnsi"/>
          <w:sz w:val="20"/>
          <w:szCs w:val="20"/>
          <w:lang w:val="es-ES"/>
        </w:rPr>
      </w:pPr>
      <w:r w:rsidRPr="00D749D5">
        <w:rPr>
          <w:rFonts w:asciiTheme="majorHAnsi" w:hAnsiTheme="majorHAnsi"/>
          <w:sz w:val="20"/>
          <w:szCs w:val="20"/>
          <w:lang w:val="es-ES"/>
        </w:rPr>
        <w:t xml:space="preserve">Yeimi Herrera Vásquez y Pedro David Villareal </w:t>
      </w:r>
      <w:r w:rsidR="00A73D70" w:rsidRPr="00D749D5">
        <w:rPr>
          <w:rFonts w:asciiTheme="majorHAnsi" w:hAnsiTheme="majorHAnsi"/>
          <w:sz w:val="20"/>
          <w:szCs w:val="20"/>
          <w:lang w:val="es-ES"/>
        </w:rPr>
        <w:t>Santamaría</w:t>
      </w:r>
      <w:r w:rsidRPr="00D749D5">
        <w:rPr>
          <w:rFonts w:asciiTheme="majorHAnsi" w:hAnsiTheme="majorHAnsi"/>
          <w:sz w:val="20"/>
          <w:szCs w:val="20"/>
          <w:lang w:val="es-ES"/>
        </w:rPr>
        <w:t xml:space="preserve">: </w:t>
      </w:r>
      <w:r w:rsidR="00A73D70" w:rsidRPr="00D749D5">
        <w:rPr>
          <w:rFonts w:asciiTheme="majorHAnsi" w:hAnsiTheme="majorHAnsi"/>
          <w:sz w:val="20"/>
          <w:szCs w:val="20"/>
          <w:lang w:val="es-ES"/>
        </w:rPr>
        <w:t xml:space="preserve">refiere que el 16 de abril de 1999 se dictó fallo desfavorable a la </w:t>
      </w:r>
      <w:r w:rsidR="008F4C12" w:rsidRPr="00D749D5">
        <w:rPr>
          <w:rFonts w:asciiTheme="majorHAnsi" w:hAnsiTheme="majorHAnsi"/>
          <w:sz w:val="20"/>
          <w:szCs w:val="20"/>
          <w:lang w:val="es-ES"/>
        </w:rPr>
        <w:t xml:space="preserve">nación </w:t>
      </w:r>
      <w:r w:rsidR="00A73D70" w:rsidRPr="00D749D5">
        <w:rPr>
          <w:rFonts w:asciiTheme="majorHAnsi" w:hAnsiTheme="majorHAnsi"/>
          <w:sz w:val="20"/>
          <w:szCs w:val="20"/>
          <w:lang w:val="es-ES"/>
        </w:rPr>
        <w:t>y que el 15 de a</w:t>
      </w:r>
      <w:r w:rsidR="008F4C12" w:rsidRPr="00D749D5">
        <w:rPr>
          <w:rFonts w:asciiTheme="majorHAnsi" w:hAnsiTheme="majorHAnsi"/>
          <w:sz w:val="20"/>
          <w:szCs w:val="20"/>
          <w:lang w:val="es-ES"/>
        </w:rPr>
        <w:t>bril de 2010 se revoco la sentencia, y se den</w:t>
      </w:r>
      <w:r w:rsidR="00A73D70" w:rsidRPr="00D749D5">
        <w:rPr>
          <w:rFonts w:asciiTheme="majorHAnsi" w:hAnsiTheme="majorHAnsi"/>
          <w:sz w:val="20"/>
          <w:szCs w:val="20"/>
          <w:lang w:val="es-ES"/>
        </w:rPr>
        <w:t>ega</w:t>
      </w:r>
      <w:r w:rsidR="008F4C12" w:rsidRPr="00D749D5">
        <w:rPr>
          <w:rFonts w:asciiTheme="majorHAnsi" w:hAnsiTheme="majorHAnsi"/>
          <w:sz w:val="20"/>
          <w:szCs w:val="20"/>
          <w:lang w:val="es-ES"/>
        </w:rPr>
        <w:t>ro</w:t>
      </w:r>
      <w:r w:rsidR="00A73D70" w:rsidRPr="00D749D5">
        <w:rPr>
          <w:rFonts w:asciiTheme="majorHAnsi" w:hAnsiTheme="majorHAnsi"/>
          <w:sz w:val="20"/>
          <w:szCs w:val="20"/>
          <w:lang w:val="es-ES"/>
        </w:rPr>
        <w:t>n las pretensiones de la demanda.</w:t>
      </w:r>
    </w:p>
    <w:p w14:paraId="18B062AA" w14:textId="00BFB3CC" w:rsidR="004F08BD" w:rsidRPr="00D749D5" w:rsidRDefault="008B7D7D" w:rsidP="002864B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jc w:val="both"/>
        <w:rPr>
          <w:rFonts w:asciiTheme="majorHAnsi" w:hAnsiTheme="majorHAnsi"/>
          <w:sz w:val="20"/>
          <w:szCs w:val="20"/>
          <w:lang w:val="es-ES"/>
        </w:rPr>
      </w:pPr>
      <w:r w:rsidRPr="00D749D5">
        <w:rPr>
          <w:rFonts w:asciiTheme="majorHAnsi" w:hAnsiTheme="majorHAnsi"/>
          <w:sz w:val="20"/>
          <w:szCs w:val="20"/>
          <w:lang w:val="es-ES"/>
        </w:rPr>
        <w:t xml:space="preserve">Felipe Colmenares Rueda: refiere que el 25 de febrero de 2005 se dictó fallo favorable a la </w:t>
      </w:r>
      <w:r w:rsidR="008F4C12" w:rsidRPr="00D749D5">
        <w:rPr>
          <w:rFonts w:asciiTheme="majorHAnsi" w:hAnsiTheme="majorHAnsi"/>
          <w:sz w:val="20"/>
          <w:szCs w:val="20"/>
          <w:lang w:val="es-ES"/>
        </w:rPr>
        <w:t>nación</w:t>
      </w:r>
      <w:r w:rsidRPr="00D749D5">
        <w:rPr>
          <w:rFonts w:asciiTheme="majorHAnsi" w:hAnsiTheme="majorHAnsi"/>
          <w:sz w:val="20"/>
          <w:szCs w:val="20"/>
          <w:lang w:val="es-ES"/>
        </w:rPr>
        <w:t>, y que se negó recurso de apelación interpuesto por la actora. Indica que el caso esta archivado.</w:t>
      </w:r>
    </w:p>
    <w:p w14:paraId="41C5D4DF" w14:textId="77777777" w:rsidR="00674424" w:rsidRPr="00D749D5" w:rsidRDefault="00CD2382" w:rsidP="002864B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1440"/>
        <w:jc w:val="both"/>
        <w:rPr>
          <w:rFonts w:asciiTheme="majorHAnsi" w:hAnsiTheme="majorHAnsi"/>
          <w:sz w:val="20"/>
          <w:szCs w:val="20"/>
          <w:lang w:val="es-ES"/>
        </w:rPr>
      </w:pPr>
      <w:r w:rsidRPr="00D749D5">
        <w:rPr>
          <w:rFonts w:asciiTheme="majorHAnsi" w:hAnsiTheme="majorHAnsi"/>
          <w:sz w:val="20"/>
          <w:szCs w:val="20"/>
          <w:lang w:val="es-ES"/>
        </w:rPr>
        <w:t xml:space="preserve">Pedro David Sanchéz Morantes: </w:t>
      </w:r>
      <w:r w:rsidR="0074372B" w:rsidRPr="00D749D5">
        <w:rPr>
          <w:rFonts w:asciiTheme="majorHAnsi" w:hAnsiTheme="majorHAnsi"/>
          <w:sz w:val="20"/>
          <w:szCs w:val="20"/>
          <w:lang w:val="es-ES"/>
        </w:rPr>
        <w:t>refiere que el 24 de septiembre de 2007</w:t>
      </w:r>
      <w:r w:rsidR="00EC6778" w:rsidRPr="00D749D5">
        <w:rPr>
          <w:rFonts w:asciiTheme="majorHAnsi" w:hAnsiTheme="majorHAnsi"/>
          <w:sz w:val="20"/>
          <w:szCs w:val="20"/>
          <w:lang w:val="es-ES"/>
        </w:rPr>
        <w:t xml:space="preserve"> </w:t>
      </w:r>
      <w:r w:rsidR="0074372B" w:rsidRPr="00D749D5">
        <w:rPr>
          <w:rFonts w:asciiTheme="majorHAnsi" w:hAnsiTheme="majorHAnsi"/>
          <w:sz w:val="20"/>
          <w:szCs w:val="20"/>
          <w:lang w:val="es-ES"/>
        </w:rPr>
        <w:t xml:space="preserve">se dictó fallo </w:t>
      </w:r>
      <w:r w:rsidR="00EC6778" w:rsidRPr="00D749D5">
        <w:rPr>
          <w:rFonts w:asciiTheme="majorHAnsi" w:hAnsiTheme="majorHAnsi"/>
          <w:sz w:val="20"/>
          <w:szCs w:val="20"/>
          <w:lang w:val="es-ES"/>
        </w:rPr>
        <w:t xml:space="preserve">negando las pretensiones de la demanda, y que la parte actora interpuso recurso de apelación, el cual fue concedido por el Tribunal Administrativo de Santander, </w:t>
      </w:r>
      <w:r w:rsidR="00BB411F" w:rsidRPr="00D749D5">
        <w:rPr>
          <w:rFonts w:asciiTheme="majorHAnsi" w:hAnsiTheme="majorHAnsi"/>
          <w:sz w:val="20"/>
          <w:szCs w:val="20"/>
          <w:lang w:val="es-ES"/>
        </w:rPr>
        <w:t xml:space="preserve">el 2 de noviembre de 2007, y fue enviado por competencia al Consejo de Estado, el cual por medio </w:t>
      </w:r>
      <w:r w:rsidR="00BB411F" w:rsidRPr="00D749D5">
        <w:rPr>
          <w:rFonts w:asciiTheme="majorHAnsi" w:hAnsiTheme="majorHAnsi"/>
          <w:sz w:val="20"/>
          <w:szCs w:val="20"/>
          <w:lang w:val="es-ES"/>
        </w:rPr>
        <w:lastRenderedPageBreak/>
        <w:t>de auto notificado el 15 de febrero de 2008, inadmitió el recurso de apelación por cuantía. Indica que el caso esta archivado.</w:t>
      </w:r>
    </w:p>
    <w:p w14:paraId="5D8442EE" w14:textId="5B34A0F3" w:rsidR="00674424" w:rsidRPr="00D749D5" w:rsidRDefault="00674424" w:rsidP="000C4E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u w:color="000000"/>
          <w:lang w:val="es-ES"/>
        </w:rPr>
      </w:pPr>
      <w:r w:rsidRPr="00D749D5">
        <w:rPr>
          <w:rFonts w:asciiTheme="majorHAnsi" w:hAnsiTheme="majorHAnsi"/>
          <w:sz w:val="20"/>
          <w:szCs w:val="20"/>
          <w:u w:color="000000"/>
          <w:lang w:val="es-ES"/>
        </w:rPr>
        <w:t xml:space="preserve">Sobre la acción de reparación directa, el Estado señala que la misma es la idónea y efectiva para lograr una indemnización de los presuntos daños materiales e inmateriales sufridos por las víctimas como consecuencia del accionar o la omisión de agentes </w:t>
      </w:r>
      <w:r w:rsidR="008D6CCD" w:rsidRPr="00D749D5">
        <w:rPr>
          <w:rFonts w:asciiTheme="majorHAnsi" w:hAnsiTheme="majorHAnsi"/>
          <w:sz w:val="20"/>
          <w:szCs w:val="20"/>
          <w:u w:color="000000"/>
          <w:lang w:val="es-ES"/>
        </w:rPr>
        <w:t xml:space="preserve">estatales. </w:t>
      </w:r>
      <w:r w:rsidR="00501ECB" w:rsidRPr="00D749D5">
        <w:rPr>
          <w:rFonts w:asciiTheme="majorHAnsi" w:hAnsiTheme="majorHAnsi"/>
          <w:sz w:val="20"/>
          <w:szCs w:val="20"/>
          <w:lang w:val="es-ES"/>
        </w:rPr>
        <w:t>Agrega</w:t>
      </w:r>
      <w:r w:rsidR="00501ECB" w:rsidRPr="00D749D5">
        <w:rPr>
          <w:rFonts w:asciiTheme="majorHAnsi" w:hAnsiTheme="majorHAnsi"/>
          <w:sz w:val="20"/>
          <w:szCs w:val="20"/>
          <w:u w:color="000000"/>
          <w:lang w:val="es-ES"/>
        </w:rPr>
        <w:t xml:space="preserve"> que al menos en cuanto a indemnizaciones por concepto de daño materia</w:t>
      </w:r>
      <w:r w:rsidR="00907D4E">
        <w:rPr>
          <w:rFonts w:asciiTheme="majorHAnsi" w:hAnsiTheme="majorHAnsi"/>
          <w:sz w:val="20"/>
          <w:szCs w:val="20"/>
          <w:u w:color="000000"/>
          <w:lang w:val="es-ES"/>
        </w:rPr>
        <w:t>l</w:t>
      </w:r>
      <w:r w:rsidR="00501ECB" w:rsidRPr="00D749D5">
        <w:rPr>
          <w:rFonts w:asciiTheme="majorHAnsi" w:hAnsiTheme="majorHAnsi"/>
          <w:sz w:val="20"/>
          <w:szCs w:val="20"/>
          <w:u w:color="000000"/>
          <w:lang w:val="es-ES"/>
        </w:rPr>
        <w:t xml:space="preserve"> e inmaterial este recurso debería ser agotado por las presuntas víctimas antes de acudir a los órganos del Sistema Interamericano, o debería considerarse como una renuncia tácita a este tipo de reparación, y que la naturaleza de este tipo de recursos no está dirigida al restablecimient</w:t>
      </w:r>
      <w:r w:rsidR="00960CC9" w:rsidRPr="00D749D5">
        <w:rPr>
          <w:rFonts w:asciiTheme="majorHAnsi" w:hAnsiTheme="majorHAnsi"/>
          <w:sz w:val="20"/>
          <w:szCs w:val="20"/>
          <w:u w:color="000000"/>
          <w:lang w:val="es-ES"/>
        </w:rPr>
        <w:t>o del derecho a la justicia, si</w:t>
      </w:r>
      <w:r w:rsidR="00501ECB" w:rsidRPr="00D749D5">
        <w:rPr>
          <w:rFonts w:asciiTheme="majorHAnsi" w:hAnsiTheme="majorHAnsi"/>
          <w:sz w:val="20"/>
          <w:szCs w:val="20"/>
          <w:u w:color="000000"/>
          <w:lang w:val="es-ES"/>
        </w:rPr>
        <w:t>no que por el contrario su idoneidad y efectividad se circunscribe al derecho a la reparación, y a una contribución parcial a la búsqueda de la verdad, lo que conlleva a considerar la complementariedad de los recursos de derecho interno.</w:t>
      </w:r>
    </w:p>
    <w:p w14:paraId="016604AE" w14:textId="7B9FF95B" w:rsidR="00421ABD" w:rsidRPr="00D749D5" w:rsidRDefault="008556F0" w:rsidP="000C4E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u w:color="000000"/>
          <w:lang w:val="es-ES"/>
        </w:rPr>
      </w:pPr>
      <w:r w:rsidRPr="00D749D5">
        <w:rPr>
          <w:rFonts w:asciiTheme="majorHAnsi" w:hAnsiTheme="majorHAnsi"/>
          <w:sz w:val="20"/>
          <w:szCs w:val="20"/>
          <w:u w:color="000000"/>
          <w:lang w:val="es-ES"/>
        </w:rPr>
        <w:t xml:space="preserve">El Estado sostiene que si </w:t>
      </w:r>
      <w:r w:rsidRPr="00D749D5">
        <w:rPr>
          <w:rFonts w:asciiTheme="majorHAnsi" w:hAnsiTheme="majorHAnsi"/>
          <w:sz w:val="20"/>
          <w:szCs w:val="20"/>
          <w:lang w:val="es-ES"/>
        </w:rPr>
        <w:t>bien</w:t>
      </w:r>
      <w:r w:rsidRPr="00D749D5">
        <w:rPr>
          <w:rFonts w:asciiTheme="majorHAnsi" w:hAnsiTheme="majorHAnsi"/>
          <w:sz w:val="20"/>
          <w:szCs w:val="20"/>
          <w:u w:color="000000"/>
          <w:lang w:val="es-ES"/>
        </w:rPr>
        <w:t xml:space="preserve"> el recurso de la jurisdicción contencioso administrativa no es, en sí mismo, un recurso que repare integralmente las violaciones a derechos humanos, de manera complementaria con otros recursos s</w:t>
      </w:r>
      <w:r w:rsidR="00960CC9" w:rsidRPr="00D749D5">
        <w:rPr>
          <w:rFonts w:asciiTheme="majorHAnsi" w:hAnsiTheme="majorHAnsi"/>
          <w:sz w:val="20"/>
          <w:szCs w:val="20"/>
          <w:u w:color="000000"/>
          <w:lang w:val="es-ES"/>
        </w:rPr>
        <w:t>í</w:t>
      </w:r>
      <w:r w:rsidRPr="00D749D5">
        <w:rPr>
          <w:rFonts w:asciiTheme="majorHAnsi" w:hAnsiTheme="majorHAnsi"/>
          <w:sz w:val="20"/>
          <w:szCs w:val="20"/>
          <w:u w:color="000000"/>
          <w:lang w:val="es-ES"/>
        </w:rPr>
        <w:t xml:space="preserve"> puede concurrir a dicha reparación integral.</w:t>
      </w:r>
      <w:r w:rsidR="00492483" w:rsidRPr="00D749D5">
        <w:rPr>
          <w:rFonts w:asciiTheme="majorHAnsi" w:hAnsiTheme="majorHAnsi"/>
          <w:sz w:val="20"/>
          <w:szCs w:val="20"/>
          <w:u w:color="000000"/>
          <w:lang w:val="es-ES"/>
        </w:rPr>
        <w:t xml:space="preserve"> Alega que en consecuencia, en un caso concreto, no debe evaluarse bajo el parámetro de si cumple con todos los estándares de reparación integral.</w:t>
      </w:r>
      <w:r w:rsidR="008F4C12" w:rsidRPr="00D749D5">
        <w:rPr>
          <w:rFonts w:asciiTheme="majorHAnsi" w:hAnsiTheme="majorHAnsi"/>
          <w:sz w:val="20"/>
          <w:szCs w:val="20"/>
          <w:u w:color="000000"/>
          <w:lang w:val="es-ES"/>
        </w:rPr>
        <w:t xml:space="preserve"> Así, </w:t>
      </w:r>
      <w:r w:rsidR="00421ABD" w:rsidRPr="00D749D5">
        <w:rPr>
          <w:rFonts w:asciiTheme="majorHAnsi" w:hAnsiTheme="majorHAnsi"/>
          <w:sz w:val="20"/>
          <w:szCs w:val="20"/>
          <w:u w:color="000000"/>
          <w:lang w:val="es-ES"/>
        </w:rPr>
        <w:t xml:space="preserve">solicita que se declare inadmisible la petición, al menos en lo referente a </w:t>
      </w:r>
      <w:r w:rsidR="005820E0" w:rsidRPr="00D749D5">
        <w:rPr>
          <w:rFonts w:asciiTheme="majorHAnsi" w:hAnsiTheme="majorHAnsi"/>
          <w:sz w:val="20"/>
          <w:szCs w:val="20"/>
          <w:u w:color="000000"/>
          <w:lang w:val="es-ES"/>
        </w:rPr>
        <w:t>las pretensiones de reparaciones por daños materiales e inmateriales, por haberse agotado el mencionado recurso ante la jurisdicción contencioso administrativa.</w:t>
      </w:r>
    </w:p>
    <w:p w14:paraId="41CE37D7" w14:textId="0E09C4B9" w:rsidR="00E40542" w:rsidRPr="00D749D5" w:rsidRDefault="00580506" w:rsidP="000C4E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u w:color="000000"/>
          <w:lang w:val="es-ES"/>
        </w:rPr>
      </w:pPr>
      <w:r w:rsidRPr="00D749D5">
        <w:rPr>
          <w:rFonts w:asciiTheme="majorHAnsi" w:hAnsiTheme="majorHAnsi"/>
          <w:sz w:val="20"/>
          <w:szCs w:val="20"/>
          <w:u w:color="000000"/>
          <w:lang w:val="es-ES"/>
        </w:rPr>
        <w:t xml:space="preserve">El Estado alega que los peticionarios pretenden utilizar el sistema interamericano y sus órganos como un tribunal de cuarta instancia, tanto en materia penal como disciplinaria, con el fin </w:t>
      </w:r>
      <w:r w:rsidR="00960CC9" w:rsidRPr="00D749D5">
        <w:rPr>
          <w:rFonts w:asciiTheme="majorHAnsi" w:hAnsiTheme="majorHAnsi"/>
          <w:sz w:val="20"/>
          <w:szCs w:val="20"/>
          <w:u w:color="000000"/>
          <w:lang w:val="es-ES"/>
        </w:rPr>
        <w:t>de cuestionar los fundamentos fá</w:t>
      </w:r>
      <w:r w:rsidRPr="00D749D5">
        <w:rPr>
          <w:rFonts w:asciiTheme="majorHAnsi" w:hAnsiTheme="majorHAnsi"/>
          <w:sz w:val="20"/>
          <w:szCs w:val="20"/>
          <w:u w:color="000000"/>
          <w:lang w:val="es-ES"/>
        </w:rPr>
        <w:t>cticos y jurídicos utilizados por los funcionarios de la justicia penal ordinaria y militar, y por la Procuraduría General de la Nación.</w:t>
      </w:r>
      <w:r w:rsidR="00E40542" w:rsidRPr="00D749D5">
        <w:rPr>
          <w:rFonts w:asciiTheme="majorHAnsi" w:hAnsiTheme="majorHAnsi"/>
          <w:sz w:val="20"/>
          <w:szCs w:val="20"/>
          <w:u w:color="000000"/>
          <w:lang w:val="es-ES"/>
        </w:rPr>
        <w:t xml:space="preserve"> En conclusión, el Estado solicita declarar inadmisible la petición so pena de actuar como cuarta instancia internacional.</w:t>
      </w:r>
    </w:p>
    <w:p w14:paraId="1F410887" w14:textId="041580CA" w:rsidR="004673F4" w:rsidRPr="00D749D5" w:rsidRDefault="004673F4" w:rsidP="000C4E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u w:color="000000"/>
          <w:lang w:val="es-ES"/>
        </w:rPr>
      </w:pPr>
      <w:r w:rsidRPr="00D749D5">
        <w:rPr>
          <w:rFonts w:asciiTheme="majorHAnsi" w:hAnsiTheme="majorHAnsi"/>
          <w:sz w:val="20"/>
          <w:szCs w:val="20"/>
          <w:u w:color="000000"/>
          <w:lang w:val="es-ES"/>
        </w:rPr>
        <w:t xml:space="preserve">Agrega el Estado, que </w:t>
      </w:r>
      <w:r w:rsidR="007E1814" w:rsidRPr="00D749D5">
        <w:rPr>
          <w:rFonts w:asciiTheme="majorHAnsi" w:hAnsiTheme="majorHAnsi"/>
          <w:sz w:val="20"/>
          <w:szCs w:val="20"/>
          <w:u w:color="000000"/>
          <w:lang w:val="es-ES"/>
        </w:rPr>
        <w:t>la situación fáctica presentada por los peticionarios no caracteriza violación alguna a los derechos consagrados en la Convención</w:t>
      </w:r>
      <w:r w:rsidR="001637DD" w:rsidRPr="00D749D5">
        <w:rPr>
          <w:rFonts w:asciiTheme="majorHAnsi" w:hAnsiTheme="majorHAnsi"/>
          <w:sz w:val="20"/>
          <w:szCs w:val="20"/>
          <w:u w:color="000000"/>
          <w:lang w:val="es-ES"/>
        </w:rPr>
        <w:t xml:space="preserve"> Americana ni otros instrumentos internacionales aplicables, toda vez que no se aportan a la denuncia elementos de prueba suficientes que desvirtúen lo probado dentro de los procesos penal, disciplinario y acciones de reparación dire</w:t>
      </w:r>
      <w:r w:rsidR="008F4C12" w:rsidRPr="00D749D5">
        <w:rPr>
          <w:rFonts w:asciiTheme="majorHAnsi" w:hAnsiTheme="majorHAnsi"/>
          <w:sz w:val="20"/>
          <w:szCs w:val="20"/>
          <w:u w:color="000000"/>
          <w:lang w:val="es-ES"/>
        </w:rPr>
        <w:t xml:space="preserve">cta adelantados por los hechos. </w:t>
      </w:r>
      <w:r w:rsidR="001637DD" w:rsidRPr="00D749D5">
        <w:rPr>
          <w:rFonts w:asciiTheme="majorHAnsi" w:hAnsiTheme="majorHAnsi"/>
          <w:sz w:val="20"/>
          <w:szCs w:val="20"/>
          <w:u w:color="000000"/>
          <w:lang w:val="es-ES"/>
        </w:rPr>
        <w:t>Afirma que las investigaciones de tipo penal, disciplinarias y contenciosas administrativas, se adelantaron en cumplimiento de estándares internacionales y demás garantías procesales.</w:t>
      </w:r>
    </w:p>
    <w:p w14:paraId="1CF0E4AF" w14:textId="77777777" w:rsidR="00FA3624" w:rsidRPr="007926C2" w:rsidRDefault="008277EA" w:rsidP="000C4E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u w:color="000000"/>
          <w:lang w:val="es-ES"/>
        </w:rPr>
      </w:pPr>
      <w:r w:rsidRPr="00D749D5">
        <w:rPr>
          <w:rFonts w:asciiTheme="majorHAnsi" w:hAnsiTheme="majorHAnsi"/>
          <w:sz w:val="20"/>
          <w:szCs w:val="20"/>
          <w:u w:color="000000"/>
          <w:lang w:val="es-ES"/>
        </w:rPr>
        <w:t xml:space="preserve">En definitiva, el Estado solicita a la Comisión, que declare inadmisible la petición en virtud de los apartados b) y c) del artículo 47 de la Convención, toda vez que los hechos alegados no caracterizan una violación </w:t>
      </w:r>
      <w:r w:rsidRPr="007926C2">
        <w:rPr>
          <w:rFonts w:asciiTheme="majorHAnsi" w:hAnsiTheme="majorHAnsi"/>
          <w:sz w:val="20"/>
          <w:szCs w:val="20"/>
          <w:u w:color="000000"/>
          <w:lang w:val="es-ES"/>
        </w:rPr>
        <w:t xml:space="preserve">de los derechos garantizados por la Convención. </w:t>
      </w:r>
    </w:p>
    <w:p w14:paraId="3F335D07" w14:textId="185111D4" w:rsidR="005354A1" w:rsidRPr="007926C2" w:rsidRDefault="00245E79" w:rsidP="005354A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u w:color="000000"/>
          <w:lang w:val="es-ES"/>
        </w:rPr>
        <w:t>Posteriormente, e</w:t>
      </w:r>
      <w:r w:rsidR="007926C2" w:rsidRPr="007926C2">
        <w:rPr>
          <w:rFonts w:asciiTheme="majorHAnsi" w:hAnsiTheme="majorHAnsi"/>
          <w:sz w:val="20"/>
          <w:szCs w:val="20"/>
          <w:u w:color="000000"/>
          <w:lang w:val="es-ES"/>
        </w:rPr>
        <w:t>l 7 de noviembre de 2010</w:t>
      </w:r>
      <w:r w:rsidR="008F4C12" w:rsidRPr="007926C2">
        <w:rPr>
          <w:rFonts w:asciiTheme="majorHAnsi" w:hAnsiTheme="majorHAnsi"/>
          <w:sz w:val="20"/>
          <w:szCs w:val="20"/>
          <w:u w:color="000000"/>
          <w:lang w:val="es-ES"/>
        </w:rPr>
        <w:t xml:space="preserve"> el Estado</w:t>
      </w:r>
      <w:r>
        <w:rPr>
          <w:rFonts w:asciiTheme="majorHAnsi" w:hAnsiTheme="majorHAnsi"/>
          <w:sz w:val="20"/>
          <w:szCs w:val="20"/>
          <w:u w:color="000000"/>
          <w:lang w:val="es-ES"/>
        </w:rPr>
        <w:t xml:space="preserve"> </w:t>
      </w:r>
      <w:r w:rsidR="005354A1" w:rsidRPr="007926C2">
        <w:rPr>
          <w:rFonts w:asciiTheme="majorHAnsi" w:hAnsiTheme="majorHAnsi"/>
          <w:sz w:val="20"/>
          <w:szCs w:val="20"/>
          <w:lang w:val="es-ES"/>
        </w:rPr>
        <w:t>refiere que en el contexto del incremento de acciones de grupos guerrilleros durante la década de los noventa, se crearon redes de inteligencia de las Fuerzas Militares que tienen como fundamento la Constitución de 1991, donde se establece como fin primordial, la defensa de la soberanía, independencia, integridad del territorio nacional y del orden constitucional. Agrega que la Corte Constitucional se ha pronunciado sobre la actividad de inteligencia de las Fuerzas Militares destacando que juegan un papel muy importante en la protección de los Estados. Además</w:t>
      </w:r>
      <w:r w:rsidR="007926C2" w:rsidRPr="007926C2">
        <w:rPr>
          <w:rFonts w:asciiTheme="majorHAnsi" w:hAnsiTheme="majorHAnsi"/>
          <w:sz w:val="20"/>
          <w:szCs w:val="20"/>
          <w:lang w:val="es-ES"/>
        </w:rPr>
        <w:t>,</w:t>
      </w:r>
      <w:r w:rsidR="005354A1" w:rsidRPr="007926C2">
        <w:rPr>
          <w:rFonts w:asciiTheme="majorHAnsi" w:hAnsiTheme="majorHAnsi"/>
          <w:sz w:val="20"/>
          <w:szCs w:val="20"/>
          <w:lang w:val="es-ES"/>
        </w:rPr>
        <w:t xml:space="preserve"> </w:t>
      </w:r>
      <w:r w:rsidR="007926C2">
        <w:rPr>
          <w:rFonts w:asciiTheme="majorHAnsi" w:hAnsiTheme="majorHAnsi"/>
          <w:sz w:val="20"/>
          <w:szCs w:val="20"/>
          <w:lang w:val="es-ES"/>
        </w:rPr>
        <w:t xml:space="preserve">el Estado </w:t>
      </w:r>
      <w:r w:rsidR="005354A1" w:rsidRPr="007926C2">
        <w:rPr>
          <w:rFonts w:asciiTheme="majorHAnsi" w:hAnsiTheme="majorHAnsi"/>
          <w:sz w:val="20"/>
          <w:szCs w:val="20"/>
          <w:lang w:val="es-ES"/>
        </w:rPr>
        <w:t xml:space="preserve">detalla tanto la normativa como la jurisprudencia relativa a estos aspectos. </w:t>
      </w:r>
    </w:p>
    <w:p w14:paraId="2090BED8" w14:textId="2B300A76" w:rsidR="008F4C12" w:rsidRPr="00D749D5" w:rsidRDefault="005354A1" w:rsidP="008F4C1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u w:color="000000"/>
          <w:lang w:val="es-ES"/>
        </w:rPr>
      </w:pPr>
      <w:r w:rsidRPr="00D749D5">
        <w:rPr>
          <w:rFonts w:asciiTheme="majorHAnsi" w:hAnsiTheme="majorHAnsi"/>
          <w:sz w:val="20"/>
          <w:szCs w:val="20"/>
          <w:u w:color="000000"/>
          <w:lang w:val="es-ES"/>
        </w:rPr>
        <w:t>Asimismo, e</w:t>
      </w:r>
      <w:r w:rsidR="008F4C12" w:rsidRPr="00D749D5">
        <w:rPr>
          <w:rFonts w:asciiTheme="majorHAnsi" w:hAnsiTheme="majorHAnsi"/>
          <w:sz w:val="20"/>
          <w:szCs w:val="20"/>
          <w:u w:color="000000"/>
          <w:lang w:val="es-ES"/>
        </w:rPr>
        <w:t xml:space="preserve">n su escrito alega que </w:t>
      </w:r>
      <w:r w:rsidR="001B06EA" w:rsidRPr="00D749D5">
        <w:rPr>
          <w:rFonts w:asciiTheme="majorHAnsi" w:hAnsiTheme="majorHAnsi"/>
          <w:sz w:val="20"/>
          <w:szCs w:val="20"/>
          <w:u w:color="000000"/>
          <w:lang w:val="es-ES"/>
        </w:rPr>
        <w:t xml:space="preserve">los peticionarios no prueban el </w:t>
      </w:r>
      <w:r w:rsidR="0049272D" w:rsidRPr="00D749D5">
        <w:rPr>
          <w:rFonts w:asciiTheme="majorHAnsi" w:hAnsiTheme="majorHAnsi"/>
          <w:sz w:val="20"/>
          <w:szCs w:val="20"/>
          <w:u w:color="000000"/>
          <w:lang w:val="es-ES"/>
        </w:rPr>
        <w:t xml:space="preserve">nexo causal entre los hechos alegados y el presunto contexto, pretendiendo que la </w:t>
      </w:r>
      <w:r w:rsidR="0048724C" w:rsidRPr="00D749D5">
        <w:rPr>
          <w:rFonts w:asciiTheme="majorHAnsi" w:hAnsiTheme="majorHAnsi"/>
          <w:sz w:val="20"/>
          <w:szCs w:val="20"/>
          <w:u w:color="000000"/>
          <w:lang w:val="es-ES"/>
        </w:rPr>
        <w:t>Comisión</w:t>
      </w:r>
      <w:r w:rsidR="0049272D" w:rsidRPr="00D749D5">
        <w:rPr>
          <w:rFonts w:asciiTheme="majorHAnsi" w:hAnsiTheme="majorHAnsi"/>
          <w:sz w:val="20"/>
          <w:szCs w:val="20"/>
          <w:u w:color="000000"/>
          <w:lang w:val="es-ES"/>
        </w:rPr>
        <w:t xml:space="preserve"> declare la responsabilidad estatal por un contexto y no por hechos concretos, por lo que reitera la necesidad de delimitar los hechos</w:t>
      </w:r>
      <w:r w:rsidR="0048724C" w:rsidRPr="00D749D5">
        <w:rPr>
          <w:rFonts w:asciiTheme="majorHAnsi" w:hAnsiTheme="majorHAnsi"/>
          <w:sz w:val="20"/>
          <w:szCs w:val="20"/>
          <w:u w:color="000000"/>
          <w:lang w:val="es-ES"/>
        </w:rPr>
        <w:t xml:space="preserve"> </w:t>
      </w:r>
      <w:r w:rsidR="00BA5C01" w:rsidRPr="00D749D5">
        <w:rPr>
          <w:rFonts w:asciiTheme="majorHAnsi" w:hAnsiTheme="majorHAnsi"/>
          <w:sz w:val="20"/>
          <w:szCs w:val="20"/>
          <w:u w:color="000000"/>
          <w:lang w:val="es-ES"/>
        </w:rPr>
        <w:t>a debatir en la petición, a partir de situaciones fácticas probadas en el proceso pena</w:t>
      </w:r>
      <w:r w:rsidR="00540D6F" w:rsidRPr="00D749D5">
        <w:rPr>
          <w:rFonts w:asciiTheme="majorHAnsi" w:hAnsiTheme="majorHAnsi"/>
          <w:sz w:val="20"/>
          <w:szCs w:val="20"/>
          <w:u w:color="000000"/>
          <w:lang w:val="es-ES"/>
        </w:rPr>
        <w:t xml:space="preserve">l adelantado internamente, ante el Juzgado Regional. </w:t>
      </w:r>
    </w:p>
    <w:p w14:paraId="1721F519" w14:textId="098A235D" w:rsidR="00FA3624" w:rsidRPr="00D749D5" w:rsidRDefault="00614ED2" w:rsidP="008F4C1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u w:color="000000"/>
          <w:lang w:val="es-ES"/>
        </w:rPr>
      </w:pPr>
      <w:r>
        <w:rPr>
          <w:rFonts w:asciiTheme="majorHAnsi" w:hAnsiTheme="majorHAnsi"/>
          <w:sz w:val="20"/>
          <w:szCs w:val="20"/>
          <w:u w:color="000000"/>
          <w:lang w:val="es-ES"/>
        </w:rPr>
        <w:t>E</w:t>
      </w:r>
      <w:r w:rsidR="00287933" w:rsidRPr="00D749D5">
        <w:rPr>
          <w:rFonts w:asciiTheme="majorHAnsi" w:hAnsiTheme="majorHAnsi"/>
          <w:sz w:val="20"/>
          <w:szCs w:val="20"/>
          <w:u w:color="000000"/>
          <w:lang w:val="es-ES"/>
        </w:rPr>
        <w:t>l Estado</w:t>
      </w:r>
      <w:r>
        <w:rPr>
          <w:rFonts w:asciiTheme="majorHAnsi" w:hAnsiTheme="majorHAnsi"/>
          <w:sz w:val="20"/>
          <w:szCs w:val="20"/>
          <w:u w:color="000000"/>
          <w:lang w:val="es-ES"/>
        </w:rPr>
        <w:t xml:space="preserve"> sostiene que</w:t>
      </w:r>
      <w:r w:rsidR="00287933" w:rsidRPr="00D749D5">
        <w:rPr>
          <w:rFonts w:asciiTheme="majorHAnsi" w:hAnsiTheme="majorHAnsi"/>
          <w:sz w:val="20"/>
          <w:szCs w:val="20"/>
          <w:u w:color="000000"/>
          <w:lang w:val="es-ES"/>
        </w:rPr>
        <w:t xml:space="preserve"> cumplió con la responsabilidad de investigar adecuadamente los hechos, motivo por el que existen las sentencias pertinentes. Con base en lo anterior, el Estado solicita que la </w:t>
      </w:r>
      <w:r w:rsidR="00072C02" w:rsidRPr="00D749D5">
        <w:rPr>
          <w:rFonts w:asciiTheme="majorHAnsi" w:hAnsiTheme="majorHAnsi"/>
          <w:sz w:val="20"/>
          <w:szCs w:val="20"/>
          <w:u w:color="000000"/>
          <w:lang w:val="es-ES"/>
        </w:rPr>
        <w:t>Comisión</w:t>
      </w:r>
      <w:r w:rsidR="00287933" w:rsidRPr="00D749D5">
        <w:rPr>
          <w:rFonts w:asciiTheme="majorHAnsi" w:hAnsiTheme="majorHAnsi"/>
          <w:sz w:val="20"/>
          <w:szCs w:val="20"/>
          <w:u w:color="000000"/>
          <w:lang w:val="es-ES"/>
        </w:rPr>
        <w:t xml:space="preserve"> delimite los supuestos de hecho de la </w:t>
      </w:r>
      <w:r w:rsidR="00072C02" w:rsidRPr="00D749D5">
        <w:rPr>
          <w:rFonts w:asciiTheme="majorHAnsi" w:hAnsiTheme="majorHAnsi"/>
          <w:sz w:val="20"/>
          <w:szCs w:val="20"/>
          <w:u w:color="000000"/>
          <w:lang w:val="es-ES"/>
        </w:rPr>
        <w:t>petición</w:t>
      </w:r>
      <w:r w:rsidR="00287933" w:rsidRPr="00D749D5">
        <w:rPr>
          <w:rFonts w:asciiTheme="majorHAnsi" w:hAnsiTheme="majorHAnsi"/>
          <w:sz w:val="20"/>
          <w:szCs w:val="20"/>
          <w:u w:color="000000"/>
          <w:lang w:val="es-ES"/>
        </w:rPr>
        <w:t xml:space="preserve">, estableciendo como ciertos exclusivamente aquellos </w:t>
      </w:r>
      <w:r w:rsidR="00287933" w:rsidRPr="00D749D5">
        <w:rPr>
          <w:rFonts w:asciiTheme="majorHAnsi" w:hAnsiTheme="majorHAnsi"/>
          <w:sz w:val="20"/>
          <w:szCs w:val="20"/>
          <w:u w:color="000000"/>
          <w:lang w:val="es-ES"/>
        </w:rPr>
        <w:lastRenderedPageBreak/>
        <w:t>que fueron presentados por el Estado</w:t>
      </w:r>
      <w:r w:rsidR="00072C02" w:rsidRPr="00D749D5">
        <w:rPr>
          <w:rFonts w:asciiTheme="majorHAnsi" w:hAnsiTheme="majorHAnsi"/>
          <w:sz w:val="20"/>
          <w:szCs w:val="20"/>
          <w:u w:color="000000"/>
          <w:lang w:val="es-ES"/>
        </w:rPr>
        <w:t>, toda vez que los hechos aludidos por los peticionarios carecen de elementos probatorios y en consecuencia constituyen afirmaciones sesgadas e infundadas de la situación fáctica que se presentó durante el segundo semestre de 1991 hasta mediado de 1993.</w:t>
      </w:r>
      <w:r w:rsidR="001452B2" w:rsidRPr="00D749D5">
        <w:rPr>
          <w:rFonts w:asciiTheme="majorHAnsi" w:hAnsiTheme="majorHAnsi"/>
          <w:sz w:val="20"/>
          <w:szCs w:val="20"/>
          <w:u w:color="000000"/>
          <w:lang w:val="es-ES"/>
        </w:rPr>
        <w:tab/>
      </w:r>
    </w:p>
    <w:p w14:paraId="652530C1" w14:textId="2A0F8CAA" w:rsidR="00955A36" w:rsidRPr="0052681A" w:rsidRDefault="0063685A" w:rsidP="00AC68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2681A">
        <w:rPr>
          <w:rFonts w:asciiTheme="majorHAnsi" w:hAnsiTheme="majorHAnsi"/>
          <w:sz w:val="20"/>
          <w:szCs w:val="20"/>
          <w:lang w:val="es-ES"/>
        </w:rPr>
        <w:t>En conclusión, el Estado sostie</w:t>
      </w:r>
      <w:r w:rsidR="0052681A" w:rsidRPr="0052681A">
        <w:rPr>
          <w:rFonts w:asciiTheme="majorHAnsi" w:hAnsiTheme="majorHAnsi"/>
          <w:sz w:val="20"/>
          <w:szCs w:val="20"/>
          <w:lang w:val="es-ES"/>
        </w:rPr>
        <w:t>ne que</w:t>
      </w:r>
      <w:r w:rsidR="00AD28B1" w:rsidRPr="0052681A">
        <w:rPr>
          <w:rFonts w:asciiTheme="majorHAnsi" w:hAnsiTheme="majorHAnsi"/>
          <w:sz w:val="20"/>
          <w:szCs w:val="20"/>
          <w:lang w:val="es-ES"/>
        </w:rPr>
        <w:t xml:space="preserve"> se deben delimitar los hechos </w:t>
      </w:r>
      <w:r w:rsidR="00955A36" w:rsidRPr="0052681A">
        <w:rPr>
          <w:rFonts w:asciiTheme="majorHAnsi" w:hAnsiTheme="majorHAnsi"/>
          <w:sz w:val="20"/>
          <w:szCs w:val="20"/>
          <w:lang w:val="es-ES"/>
        </w:rPr>
        <w:t xml:space="preserve">de la petición estableciendo como ciertos exclusivamente los </w:t>
      </w:r>
      <w:r w:rsidR="0052681A" w:rsidRPr="0052681A">
        <w:rPr>
          <w:rFonts w:asciiTheme="majorHAnsi" w:hAnsiTheme="majorHAnsi"/>
          <w:sz w:val="20"/>
          <w:szCs w:val="20"/>
          <w:lang w:val="es-ES"/>
        </w:rPr>
        <w:t>hechos</w:t>
      </w:r>
      <w:r w:rsidR="00955A36" w:rsidRPr="0052681A">
        <w:rPr>
          <w:rFonts w:asciiTheme="majorHAnsi" w:hAnsiTheme="majorHAnsi"/>
          <w:sz w:val="20"/>
          <w:szCs w:val="20"/>
          <w:lang w:val="es-ES"/>
        </w:rPr>
        <w:t xml:space="preserve"> presentados por el Estado. </w:t>
      </w:r>
      <w:r w:rsidR="00AD28B1" w:rsidRPr="0052681A">
        <w:rPr>
          <w:rFonts w:asciiTheme="majorHAnsi" w:hAnsiTheme="majorHAnsi"/>
          <w:sz w:val="20"/>
          <w:szCs w:val="20"/>
          <w:lang w:val="es-ES"/>
        </w:rPr>
        <w:t>Además</w:t>
      </w:r>
      <w:r w:rsidR="0052681A" w:rsidRPr="0052681A">
        <w:rPr>
          <w:rFonts w:asciiTheme="majorHAnsi" w:hAnsiTheme="majorHAnsi"/>
          <w:sz w:val="20"/>
          <w:szCs w:val="20"/>
          <w:lang w:val="es-ES"/>
        </w:rPr>
        <w:t>,</w:t>
      </w:r>
      <w:r w:rsidR="00955A36" w:rsidRPr="0052681A">
        <w:rPr>
          <w:rFonts w:asciiTheme="majorHAnsi" w:hAnsiTheme="majorHAnsi"/>
          <w:sz w:val="20"/>
          <w:szCs w:val="20"/>
          <w:lang w:val="es-ES"/>
        </w:rPr>
        <w:t xml:space="preserve"> solicita que se declare inadmisible la petición por no caracterizar violaciones a derechos garantizados en la Convención.</w:t>
      </w:r>
      <w:r w:rsidR="00001C6A">
        <w:rPr>
          <w:rFonts w:asciiTheme="majorHAnsi" w:hAnsiTheme="majorHAnsi"/>
          <w:sz w:val="20"/>
          <w:szCs w:val="20"/>
          <w:lang w:val="es-ES"/>
        </w:rPr>
        <w:t xml:space="preserve"> </w:t>
      </w:r>
      <w:r w:rsidR="00955A36" w:rsidRPr="0052681A">
        <w:rPr>
          <w:rFonts w:asciiTheme="majorHAnsi" w:hAnsiTheme="majorHAnsi"/>
          <w:sz w:val="20"/>
          <w:szCs w:val="20"/>
          <w:lang w:val="es-ES"/>
        </w:rPr>
        <w:t xml:space="preserve">Asimismo, solicita que se declare inadmisible </w:t>
      </w:r>
      <w:r w:rsidR="0052681A" w:rsidRPr="0052681A">
        <w:rPr>
          <w:rFonts w:asciiTheme="majorHAnsi" w:hAnsiTheme="majorHAnsi"/>
          <w:sz w:val="20"/>
          <w:szCs w:val="20"/>
          <w:lang w:val="es-ES"/>
        </w:rPr>
        <w:t>dado que ya</w:t>
      </w:r>
      <w:r w:rsidR="00955A36" w:rsidRPr="0052681A">
        <w:rPr>
          <w:rFonts w:asciiTheme="majorHAnsi" w:hAnsiTheme="majorHAnsi"/>
          <w:sz w:val="20"/>
          <w:szCs w:val="20"/>
          <w:lang w:val="es-ES"/>
        </w:rPr>
        <w:t xml:space="preserve"> han sido agotados los recursos idóneos internamente, y que la Comisión se abstenga de conocer los hechos presentados en la petición so pena de actuar como tribunal de alzada, configurándose a este respecto la fórmula de la cuarta instancia. </w:t>
      </w:r>
    </w:p>
    <w:p w14:paraId="0943CBFD" w14:textId="5292C25D" w:rsidR="0063685A" w:rsidRPr="00D749D5" w:rsidRDefault="0063685A" w:rsidP="008645D0">
      <w:pPr>
        <w:spacing w:after="240"/>
        <w:ind w:firstLine="720"/>
        <w:jc w:val="both"/>
        <w:rPr>
          <w:rFonts w:asciiTheme="majorHAnsi" w:hAnsiTheme="majorHAnsi"/>
          <w:b/>
          <w:bCs/>
          <w:sz w:val="20"/>
          <w:szCs w:val="20"/>
          <w:lang w:val="es-ES"/>
        </w:rPr>
      </w:pPr>
      <w:r w:rsidRPr="0052681A">
        <w:rPr>
          <w:rFonts w:asciiTheme="majorHAnsi" w:hAnsiTheme="majorHAnsi"/>
          <w:b/>
          <w:bCs/>
          <w:sz w:val="20"/>
          <w:szCs w:val="20"/>
          <w:lang w:val="es-ES"/>
        </w:rPr>
        <w:t>V.</w:t>
      </w:r>
      <w:r w:rsidRPr="0052681A">
        <w:rPr>
          <w:rFonts w:asciiTheme="majorHAnsi" w:hAnsiTheme="majorHAnsi"/>
          <w:b/>
          <w:bCs/>
          <w:sz w:val="20"/>
          <w:szCs w:val="20"/>
          <w:lang w:val="es-ES"/>
        </w:rPr>
        <w:tab/>
        <w:t>ANÁLISIS SOBRE COMPETENCIA Y ADMISIBILIDAD</w:t>
      </w:r>
    </w:p>
    <w:p w14:paraId="44990EE6" w14:textId="37C82240" w:rsidR="000C14F6" w:rsidRPr="008F226C" w:rsidRDefault="0063685A" w:rsidP="00534A15">
      <w:pPr>
        <w:spacing w:after="240"/>
        <w:ind w:firstLine="720"/>
        <w:jc w:val="both"/>
        <w:rPr>
          <w:rFonts w:asciiTheme="majorHAnsi" w:hAnsiTheme="majorHAnsi"/>
          <w:sz w:val="20"/>
          <w:szCs w:val="20"/>
          <w:lang w:val="es-ES"/>
        </w:rPr>
      </w:pPr>
      <w:r w:rsidRPr="008F226C">
        <w:rPr>
          <w:rFonts w:asciiTheme="majorHAnsi" w:hAnsiTheme="majorHAnsi"/>
          <w:b/>
          <w:bCs/>
          <w:sz w:val="20"/>
          <w:szCs w:val="20"/>
          <w:lang w:val="es-ES"/>
        </w:rPr>
        <w:t>A.</w:t>
      </w:r>
      <w:r w:rsidRPr="008F226C">
        <w:rPr>
          <w:rFonts w:asciiTheme="majorHAnsi" w:hAnsiTheme="majorHAnsi"/>
          <w:b/>
          <w:bCs/>
          <w:sz w:val="20"/>
          <w:szCs w:val="20"/>
          <w:lang w:val="es-ES"/>
        </w:rPr>
        <w:tab/>
        <w:t xml:space="preserve">Competencia </w:t>
      </w:r>
    </w:p>
    <w:p w14:paraId="7B3DE868" w14:textId="44645673" w:rsidR="009E28B3" w:rsidRPr="009E28B3" w:rsidRDefault="009E28B3" w:rsidP="002C363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9E28B3">
        <w:rPr>
          <w:rFonts w:asciiTheme="majorHAnsi" w:eastAsia="SimSun" w:hAnsiTheme="majorHAnsi"/>
          <w:sz w:val="20"/>
          <w:szCs w:val="20"/>
          <w:lang w:val="es-ES"/>
        </w:rPr>
        <w:t>Los peticionarios se encuentran facultados, en principio, por el artículo 44 de la Convención Americana para presentar peticiones ante la Comisión. La petición señala una supuesta violación a derechos consagrados en la Convención Americana en perjuicio de personas individuales, respecto de quienes el Estado colombiano se comprometió a respetar y garantizar estos derechos desde la fecha en que depositó su instrumento de ratificación del tratados supra mencionado.</w:t>
      </w:r>
    </w:p>
    <w:p w14:paraId="7B985920" w14:textId="27C861A8" w:rsidR="000B15B9" w:rsidRDefault="00DA63EF" w:rsidP="00EE7C9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8F226C">
        <w:rPr>
          <w:rFonts w:asciiTheme="majorHAnsi" w:eastAsia="SimSun" w:hAnsiTheme="majorHAnsi"/>
          <w:sz w:val="20"/>
          <w:szCs w:val="20"/>
          <w:lang w:val="es-ES"/>
        </w:rPr>
        <w:t>E</w:t>
      </w:r>
      <w:r w:rsidR="000B15B9">
        <w:rPr>
          <w:rFonts w:asciiTheme="majorHAnsi" w:eastAsia="SimSun" w:hAnsiTheme="majorHAnsi"/>
          <w:sz w:val="20"/>
          <w:szCs w:val="20"/>
          <w:lang w:val="es-ES"/>
        </w:rPr>
        <w:t>n cuanto al alegato del Estado en relación con la</w:t>
      </w:r>
      <w:r w:rsidRPr="008F226C">
        <w:rPr>
          <w:rFonts w:asciiTheme="majorHAnsi" w:eastAsia="SimSun" w:hAnsiTheme="majorHAnsi"/>
          <w:sz w:val="20"/>
          <w:szCs w:val="20"/>
          <w:lang w:val="es-ES"/>
        </w:rPr>
        <w:t xml:space="preserve"> competencia </w:t>
      </w:r>
      <w:r w:rsidRPr="008F226C">
        <w:rPr>
          <w:rFonts w:asciiTheme="majorHAnsi" w:eastAsia="SimSun" w:hAnsiTheme="majorHAnsi"/>
          <w:i/>
          <w:sz w:val="20"/>
          <w:szCs w:val="20"/>
          <w:lang w:val="es-ES"/>
        </w:rPr>
        <w:t xml:space="preserve">ratione personae, </w:t>
      </w:r>
      <w:r w:rsidRPr="008F226C">
        <w:rPr>
          <w:rFonts w:asciiTheme="majorHAnsi" w:eastAsia="SimSun" w:hAnsiTheme="majorHAnsi"/>
          <w:sz w:val="20"/>
          <w:szCs w:val="20"/>
          <w:lang w:val="es-ES"/>
        </w:rPr>
        <w:t xml:space="preserve">la </w:t>
      </w:r>
      <w:r w:rsidR="00482179" w:rsidRPr="008F226C">
        <w:rPr>
          <w:rFonts w:asciiTheme="majorHAnsi" w:eastAsia="SimSun" w:hAnsiTheme="majorHAnsi"/>
          <w:sz w:val="20"/>
          <w:szCs w:val="20"/>
          <w:lang w:val="es-ES"/>
        </w:rPr>
        <w:t>Comisión</w:t>
      </w:r>
      <w:r w:rsidRPr="008F226C">
        <w:rPr>
          <w:rFonts w:asciiTheme="majorHAnsi" w:eastAsia="SimSun" w:hAnsiTheme="majorHAnsi"/>
          <w:sz w:val="20"/>
          <w:szCs w:val="20"/>
          <w:lang w:val="es-ES"/>
        </w:rPr>
        <w:t xml:space="preserve"> tom</w:t>
      </w:r>
      <w:r w:rsidR="000B15B9">
        <w:rPr>
          <w:rFonts w:asciiTheme="majorHAnsi" w:eastAsia="SimSun" w:hAnsiTheme="majorHAnsi"/>
          <w:sz w:val="20"/>
          <w:szCs w:val="20"/>
          <w:lang w:val="es-ES"/>
        </w:rPr>
        <w:t>a</w:t>
      </w:r>
      <w:r w:rsidRPr="008F226C">
        <w:rPr>
          <w:rFonts w:asciiTheme="majorHAnsi" w:eastAsia="SimSun" w:hAnsiTheme="majorHAnsi"/>
          <w:sz w:val="20"/>
          <w:szCs w:val="20"/>
          <w:lang w:val="es-ES"/>
        </w:rPr>
        <w:t xml:space="preserve"> nota sobre la discrepancia en el número de las presuntas víctimas planteado por las partes</w:t>
      </w:r>
      <w:r w:rsidR="00482179" w:rsidRPr="008F226C">
        <w:rPr>
          <w:rFonts w:asciiTheme="majorHAnsi" w:eastAsia="SimSun" w:hAnsiTheme="majorHAnsi"/>
          <w:sz w:val="20"/>
          <w:szCs w:val="20"/>
          <w:lang w:val="es-ES"/>
        </w:rPr>
        <w:t xml:space="preserve"> a lo largo de sus escritos</w:t>
      </w:r>
      <w:r w:rsidR="00AA129C">
        <w:rPr>
          <w:rFonts w:asciiTheme="majorHAnsi" w:eastAsia="SimSun" w:hAnsiTheme="majorHAnsi"/>
          <w:sz w:val="20"/>
          <w:szCs w:val="20"/>
          <w:lang w:val="es-ES"/>
        </w:rPr>
        <w:t xml:space="preserve"> y pasa a pronunciarse al respecto</w:t>
      </w:r>
      <w:r w:rsidR="00482179" w:rsidRPr="008F226C">
        <w:rPr>
          <w:rFonts w:asciiTheme="majorHAnsi" w:eastAsia="SimSun" w:hAnsiTheme="majorHAnsi"/>
          <w:sz w:val="20"/>
          <w:szCs w:val="20"/>
          <w:lang w:val="es-ES"/>
        </w:rPr>
        <w:t xml:space="preserve">. </w:t>
      </w:r>
    </w:p>
    <w:p w14:paraId="03F70DC7" w14:textId="77777777" w:rsidR="00AA129C" w:rsidRDefault="00AA129C" w:rsidP="00AA129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49D5">
        <w:rPr>
          <w:rFonts w:asciiTheme="majorHAnsi" w:hAnsiTheme="majorHAnsi"/>
          <w:sz w:val="20"/>
          <w:szCs w:val="20"/>
          <w:lang w:val="es-ES"/>
        </w:rPr>
        <w:t xml:space="preserve">La petición fue presentada originalmente en representación de 67 alegadas víctimas de ejecución extrajudicial y 10 alegadas víctimas de lesiones. </w:t>
      </w:r>
      <w:r>
        <w:rPr>
          <w:rFonts w:asciiTheme="majorHAnsi" w:hAnsiTheme="majorHAnsi"/>
          <w:sz w:val="20"/>
          <w:szCs w:val="20"/>
          <w:lang w:val="es-ES"/>
        </w:rPr>
        <w:t>Sin embargo, e</w:t>
      </w:r>
      <w:r w:rsidRPr="00D749D5">
        <w:rPr>
          <w:rFonts w:asciiTheme="majorHAnsi" w:hAnsiTheme="majorHAnsi"/>
          <w:sz w:val="20"/>
          <w:szCs w:val="20"/>
          <w:lang w:val="es-ES"/>
        </w:rPr>
        <w:t xml:space="preserve">n la denuncia original solo se detalló la situación fáctica que habría afectado a 57 </w:t>
      </w:r>
      <w:r>
        <w:rPr>
          <w:rFonts w:asciiTheme="majorHAnsi" w:hAnsiTheme="majorHAnsi"/>
          <w:sz w:val="20"/>
          <w:szCs w:val="20"/>
          <w:lang w:val="es-ES"/>
        </w:rPr>
        <w:t xml:space="preserve">de las </w:t>
      </w:r>
      <w:r w:rsidRPr="00D749D5">
        <w:rPr>
          <w:rFonts w:asciiTheme="majorHAnsi" w:hAnsiTheme="majorHAnsi"/>
          <w:sz w:val="20"/>
          <w:szCs w:val="20"/>
          <w:lang w:val="es-ES"/>
        </w:rPr>
        <w:t xml:space="preserve">presuntas víctimas de ejecución extrajudicial y </w:t>
      </w:r>
      <w:r>
        <w:rPr>
          <w:rFonts w:asciiTheme="majorHAnsi" w:hAnsiTheme="majorHAnsi"/>
          <w:sz w:val="20"/>
          <w:szCs w:val="20"/>
          <w:lang w:val="es-ES"/>
        </w:rPr>
        <w:t xml:space="preserve">a las </w:t>
      </w:r>
      <w:r w:rsidRPr="00D749D5">
        <w:rPr>
          <w:rFonts w:asciiTheme="majorHAnsi" w:hAnsiTheme="majorHAnsi"/>
          <w:sz w:val="20"/>
          <w:szCs w:val="20"/>
          <w:lang w:val="es-ES"/>
        </w:rPr>
        <w:t xml:space="preserve">10 presuntas víctimas de lesiones. </w:t>
      </w:r>
    </w:p>
    <w:p w14:paraId="37D82F42" w14:textId="77777777" w:rsidR="00AA129C" w:rsidRPr="00F01AD3" w:rsidRDefault="00AA129C" w:rsidP="00AA129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01AD3">
        <w:rPr>
          <w:rFonts w:asciiTheme="majorHAnsi" w:hAnsiTheme="majorHAnsi"/>
          <w:sz w:val="20"/>
          <w:szCs w:val="20"/>
          <w:lang w:val="es-ES"/>
        </w:rPr>
        <w:t xml:space="preserve">El 17 de marzo de 1998 la CIDH transmitió al Estado copia de las partes pertinentes de la petición </w:t>
      </w:r>
      <w:r>
        <w:rPr>
          <w:rFonts w:asciiTheme="majorHAnsi" w:hAnsiTheme="majorHAnsi"/>
          <w:sz w:val="20"/>
          <w:szCs w:val="20"/>
          <w:lang w:val="es-ES"/>
        </w:rPr>
        <w:t>relativa a</w:t>
      </w:r>
      <w:r w:rsidRPr="00F01AD3">
        <w:rPr>
          <w:rFonts w:asciiTheme="majorHAnsi" w:hAnsiTheme="majorHAnsi"/>
          <w:sz w:val="20"/>
          <w:szCs w:val="20"/>
          <w:lang w:val="es-ES"/>
        </w:rPr>
        <w:t xml:space="preserve"> las 57 presuntas víctimas de ejecución extrajudicial respecto de las cuales existía información fáctica y </w:t>
      </w:r>
      <w:r>
        <w:rPr>
          <w:rFonts w:asciiTheme="majorHAnsi" w:hAnsiTheme="majorHAnsi"/>
          <w:sz w:val="20"/>
          <w:szCs w:val="20"/>
          <w:lang w:val="es-ES"/>
        </w:rPr>
        <w:t>a</w:t>
      </w:r>
      <w:r w:rsidRPr="00F01AD3">
        <w:rPr>
          <w:rFonts w:asciiTheme="majorHAnsi" w:hAnsiTheme="majorHAnsi"/>
          <w:sz w:val="20"/>
          <w:szCs w:val="20"/>
          <w:lang w:val="es-ES"/>
        </w:rPr>
        <w:t xml:space="preserve"> las 10 víctimas de lesiones, con base en los requisitos </w:t>
      </w:r>
      <w:r>
        <w:rPr>
          <w:rFonts w:asciiTheme="majorHAnsi" w:hAnsiTheme="majorHAnsi"/>
          <w:sz w:val="20"/>
          <w:szCs w:val="20"/>
          <w:lang w:val="es-ES"/>
        </w:rPr>
        <w:t xml:space="preserve">para la presentación de peticiones </w:t>
      </w:r>
      <w:r w:rsidRPr="00F01AD3">
        <w:rPr>
          <w:rFonts w:asciiTheme="majorHAnsi" w:hAnsiTheme="majorHAnsi"/>
          <w:sz w:val="20"/>
          <w:szCs w:val="20"/>
          <w:lang w:val="es-ES"/>
        </w:rPr>
        <w:t>establecidos en el artículo 29 del Reglamento de la Comisión</w:t>
      </w:r>
      <w:r>
        <w:rPr>
          <w:rFonts w:asciiTheme="majorHAnsi" w:hAnsiTheme="majorHAnsi"/>
          <w:sz w:val="20"/>
          <w:szCs w:val="20"/>
          <w:lang w:val="es-ES"/>
        </w:rPr>
        <w:t xml:space="preserve"> entonces en vigor</w:t>
      </w:r>
      <w:r w:rsidRPr="00F01AD3">
        <w:rPr>
          <w:rFonts w:asciiTheme="majorHAnsi" w:hAnsiTheme="majorHAnsi"/>
          <w:sz w:val="20"/>
          <w:szCs w:val="20"/>
          <w:lang w:val="es-ES"/>
        </w:rPr>
        <w:t xml:space="preserve">. </w:t>
      </w:r>
    </w:p>
    <w:p w14:paraId="7B99D801" w14:textId="5FDFD0D0" w:rsidR="00AA129C" w:rsidRPr="00464A3B" w:rsidRDefault="00AA129C" w:rsidP="00AA129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64A3B">
        <w:rPr>
          <w:rFonts w:asciiTheme="majorHAnsi" w:hAnsiTheme="majorHAnsi"/>
          <w:sz w:val="20"/>
          <w:szCs w:val="20"/>
          <w:lang w:val="es-ES"/>
        </w:rPr>
        <w:t xml:space="preserve"> </w:t>
      </w:r>
      <w:r>
        <w:rPr>
          <w:rFonts w:asciiTheme="majorHAnsi" w:hAnsiTheme="majorHAnsi"/>
          <w:sz w:val="20"/>
          <w:szCs w:val="20"/>
          <w:lang w:val="es-ES"/>
        </w:rPr>
        <w:t xml:space="preserve">En </w:t>
      </w:r>
      <w:r w:rsidRPr="00464A3B">
        <w:rPr>
          <w:rFonts w:asciiTheme="majorHAnsi" w:hAnsiTheme="majorHAnsi"/>
          <w:sz w:val="20"/>
          <w:szCs w:val="20"/>
          <w:lang w:val="es-ES"/>
        </w:rPr>
        <w:t xml:space="preserve">escrito presentado el 8 de octubre de 2010, </w:t>
      </w:r>
      <w:r>
        <w:rPr>
          <w:rFonts w:asciiTheme="majorHAnsi" w:hAnsiTheme="majorHAnsi"/>
          <w:sz w:val="20"/>
          <w:szCs w:val="20"/>
          <w:lang w:val="es-ES"/>
        </w:rPr>
        <w:t>los peticionarios agregaron</w:t>
      </w:r>
      <w:r w:rsidRPr="00464A3B">
        <w:rPr>
          <w:rFonts w:asciiTheme="majorHAnsi" w:hAnsiTheme="majorHAnsi"/>
          <w:sz w:val="20"/>
          <w:szCs w:val="20"/>
          <w:lang w:val="es-ES"/>
        </w:rPr>
        <w:t xml:space="preserve"> como presunta víctima de ejecución extrajudicial a Gloria Inés Erazo, y </w:t>
      </w:r>
      <w:r>
        <w:rPr>
          <w:rFonts w:asciiTheme="majorHAnsi" w:hAnsiTheme="majorHAnsi"/>
          <w:sz w:val="20"/>
          <w:szCs w:val="20"/>
          <w:lang w:val="es-ES"/>
        </w:rPr>
        <w:t xml:space="preserve">como presuntas víctimas de lesiones </w:t>
      </w:r>
      <w:r w:rsidRPr="00464A3B">
        <w:rPr>
          <w:rFonts w:asciiTheme="majorHAnsi" w:hAnsiTheme="majorHAnsi"/>
          <w:sz w:val="20"/>
          <w:szCs w:val="20"/>
          <w:lang w:val="es-ES"/>
        </w:rPr>
        <w:t>a Rafael Cruz Garavito y Libardo Olaya. Dicho escrito fue debidamente trasladado al Estado en fecha 21 de diciembre de 2010.</w:t>
      </w:r>
    </w:p>
    <w:p w14:paraId="5800A72E" w14:textId="76F2BDF5" w:rsidR="00AA129C" w:rsidRPr="00D749D5" w:rsidRDefault="00AA129C" w:rsidP="00AA129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En consecuencia</w:t>
      </w:r>
      <w:r w:rsidRPr="00D749D5">
        <w:rPr>
          <w:rFonts w:asciiTheme="majorHAnsi" w:hAnsiTheme="majorHAnsi"/>
          <w:sz w:val="20"/>
          <w:szCs w:val="20"/>
          <w:lang w:val="es-ES"/>
        </w:rPr>
        <w:t>, el análisis de admisibilidad que consta en el presente informe se realiz</w:t>
      </w:r>
      <w:r>
        <w:rPr>
          <w:rFonts w:asciiTheme="majorHAnsi" w:hAnsiTheme="majorHAnsi"/>
          <w:sz w:val="20"/>
          <w:szCs w:val="20"/>
          <w:lang w:val="es-ES"/>
        </w:rPr>
        <w:t>a</w:t>
      </w:r>
      <w:r w:rsidRPr="00D749D5">
        <w:rPr>
          <w:rFonts w:asciiTheme="majorHAnsi" w:hAnsiTheme="majorHAnsi"/>
          <w:sz w:val="20"/>
          <w:szCs w:val="20"/>
          <w:lang w:val="es-ES"/>
        </w:rPr>
        <w:t xml:space="preserve"> con base en la información contenida en la denuncia y escritos posteriores de los peticionarios, relativa a 58 presuntas víctimas de ejecución extrajudicial y 12 presuntas víctimas de lesiones. Por </w:t>
      </w:r>
      <w:r>
        <w:rPr>
          <w:rFonts w:asciiTheme="majorHAnsi" w:hAnsiTheme="majorHAnsi"/>
          <w:sz w:val="20"/>
          <w:szCs w:val="20"/>
          <w:lang w:val="es-ES"/>
        </w:rPr>
        <w:t xml:space="preserve">lo </w:t>
      </w:r>
      <w:r w:rsidRPr="00D749D5">
        <w:rPr>
          <w:rFonts w:asciiTheme="majorHAnsi" w:hAnsiTheme="majorHAnsi"/>
          <w:sz w:val="20"/>
          <w:szCs w:val="20"/>
          <w:lang w:val="es-ES"/>
        </w:rPr>
        <w:t>tanto, el informe se refiere a</w:t>
      </w:r>
      <w:r>
        <w:rPr>
          <w:rFonts w:asciiTheme="majorHAnsi" w:hAnsiTheme="majorHAnsi"/>
          <w:sz w:val="20"/>
          <w:szCs w:val="20"/>
          <w:lang w:val="es-ES"/>
        </w:rPr>
        <w:t xml:space="preserve"> la situación de</w:t>
      </w:r>
      <w:r w:rsidR="003D35C3">
        <w:rPr>
          <w:rFonts w:asciiTheme="majorHAnsi" w:hAnsiTheme="majorHAnsi"/>
          <w:sz w:val="20"/>
          <w:szCs w:val="20"/>
          <w:lang w:val="es-ES"/>
        </w:rPr>
        <w:t xml:space="preserve"> 70 presuntas víctimas</w:t>
      </w:r>
      <w:r w:rsidRPr="00D749D5">
        <w:rPr>
          <w:rFonts w:asciiTheme="majorHAnsi" w:hAnsiTheme="majorHAnsi"/>
          <w:sz w:val="20"/>
          <w:szCs w:val="20"/>
          <w:lang w:val="es-ES"/>
        </w:rPr>
        <w:t>.</w:t>
      </w:r>
    </w:p>
    <w:p w14:paraId="046DD0AB" w14:textId="56F634CB" w:rsidR="002C363D" w:rsidRPr="008F226C" w:rsidRDefault="00EE7C9F" w:rsidP="00EE7C9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8F226C">
        <w:rPr>
          <w:rFonts w:asciiTheme="majorHAnsi" w:eastAsia="SimSun" w:hAnsiTheme="majorHAnsi"/>
          <w:sz w:val="20"/>
          <w:szCs w:val="20"/>
          <w:lang w:val="es-ES"/>
        </w:rPr>
        <w:t>En este sentido, l</w:t>
      </w:r>
      <w:r w:rsidR="002C363D" w:rsidRPr="008F226C">
        <w:rPr>
          <w:rFonts w:asciiTheme="majorHAnsi" w:eastAsia="SimSun" w:hAnsiTheme="majorHAnsi"/>
          <w:sz w:val="20"/>
          <w:szCs w:val="20"/>
          <w:lang w:val="es-ES"/>
        </w:rPr>
        <w:t xml:space="preserve">a petición </w:t>
      </w:r>
      <w:r w:rsidRPr="008F226C">
        <w:rPr>
          <w:rFonts w:asciiTheme="majorHAnsi" w:eastAsia="SimSun" w:hAnsiTheme="majorHAnsi"/>
          <w:sz w:val="20"/>
          <w:szCs w:val="20"/>
          <w:lang w:val="es-ES"/>
        </w:rPr>
        <w:t xml:space="preserve">inicial, así como escritos posteriores, </w:t>
      </w:r>
      <w:r w:rsidR="002C363D" w:rsidRPr="008F226C">
        <w:rPr>
          <w:rFonts w:asciiTheme="majorHAnsi" w:eastAsia="SimSun" w:hAnsiTheme="majorHAnsi"/>
          <w:sz w:val="20"/>
          <w:szCs w:val="20"/>
          <w:lang w:val="es-ES"/>
        </w:rPr>
        <w:t>señala</w:t>
      </w:r>
      <w:r w:rsidRPr="008F226C">
        <w:rPr>
          <w:rFonts w:asciiTheme="majorHAnsi" w:eastAsia="SimSun" w:hAnsiTheme="majorHAnsi"/>
          <w:sz w:val="20"/>
          <w:szCs w:val="20"/>
          <w:lang w:val="es-ES"/>
        </w:rPr>
        <w:t>n</w:t>
      </w:r>
      <w:r w:rsidR="002C363D" w:rsidRPr="008F226C">
        <w:rPr>
          <w:rFonts w:asciiTheme="majorHAnsi" w:eastAsia="SimSun" w:hAnsiTheme="majorHAnsi"/>
          <w:sz w:val="20"/>
          <w:szCs w:val="20"/>
          <w:lang w:val="es-ES"/>
        </w:rPr>
        <w:t xml:space="preserve"> como presuntas víctimas a personas individuales, respecto a quienes el Estado colombiano se comprometió a respetar y garantizar los derechos consagrados en la Convención Americana. </w:t>
      </w:r>
      <w:r w:rsidR="000C14F6" w:rsidRPr="008F226C">
        <w:rPr>
          <w:rFonts w:asciiTheme="majorHAnsi" w:eastAsia="SimSun" w:hAnsiTheme="majorHAnsi"/>
          <w:sz w:val="20"/>
          <w:szCs w:val="20"/>
          <w:lang w:val="es-ES"/>
        </w:rPr>
        <w:t xml:space="preserve">Por lo tanto, la Comisión tiene competencia </w:t>
      </w:r>
      <w:r w:rsidR="000C14F6" w:rsidRPr="008F226C">
        <w:rPr>
          <w:rFonts w:asciiTheme="majorHAnsi" w:eastAsia="SimSun" w:hAnsiTheme="majorHAnsi"/>
          <w:i/>
          <w:sz w:val="20"/>
          <w:szCs w:val="20"/>
          <w:lang w:val="es-ES"/>
        </w:rPr>
        <w:t>ratione personae</w:t>
      </w:r>
      <w:r w:rsidR="000C14F6" w:rsidRPr="008F226C">
        <w:rPr>
          <w:rFonts w:asciiTheme="majorHAnsi" w:eastAsia="SimSun" w:hAnsiTheme="majorHAnsi"/>
          <w:sz w:val="20"/>
          <w:szCs w:val="20"/>
          <w:lang w:val="es-ES"/>
        </w:rPr>
        <w:t xml:space="preserve"> para examinar la petición. </w:t>
      </w:r>
    </w:p>
    <w:p w14:paraId="511EC4FB" w14:textId="0A3CBCDE" w:rsidR="000C14F6" w:rsidRPr="008F226C" w:rsidRDefault="000C14F6" w:rsidP="000C14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8F226C">
        <w:rPr>
          <w:rFonts w:asciiTheme="majorHAnsi" w:eastAsia="SimSun" w:hAnsiTheme="majorHAnsi"/>
          <w:sz w:val="20"/>
          <w:szCs w:val="20"/>
          <w:lang w:val="es-ES"/>
        </w:rPr>
        <w:t xml:space="preserve">Asimismo, </w:t>
      </w:r>
      <w:r w:rsidR="002C363D" w:rsidRPr="008F226C">
        <w:rPr>
          <w:rFonts w:asciiTheme="majorHAnsi" w:eastAsia="SimSun" w:hAnsiTheme="majorHAnsi"/>
          <w:sz w:val="20"/>
          <w:szCs w:val="20"/>
          <w:lang w:val="es-ES"/>
        </w:rPr>
        <w:t>Colombia es un Estado parte de la Convención Americana desde el 31 de julio de 1973, fecha en que depositó su instrumento de ratificación. L</w:t>
      </w:r>
      <w:r w:rsidRPr="008F226C">
        <w:rPr>
          <w:rFonts w:asciiTheme="majorHAnsi" w:eastAsia="SimSun" w:hAnsiTheme="majorHAnsi"/>
          <w:sz w:val="20"/>
          <w:szCs w:val="20"/>
          <w:lang w:val="es-ES"/>
        </w:rPr>
        <w:t xml:space="preserve">a Comisión tiene competencia </w:t>
      </w:r>
      <w:r w:rsidRPr="008F226C">
        <w:rPr>
          <w:rFonts w:asciiTheme="majorHAnsi" w:eastAsia="SimSun" w:hAnsiTheme="majorHAnsi"/>
          <w:i/>
          <w:sz w:val="20"/>
          <w:szCs w:val="20"/>
          <w:lang w:val="es-ES"/>
        </w:rPr>
        <w:t>ratione loci</w:t>
      </w:r>
      <w:r w:rsidRPr="008F226C">
        <w:rPr>
          <w:rFonts w:asciiTheme="majorHAnsi" w:eastAsia="SimSun" w:hAnsiTheme="majorHAnsi"/>
          <w:sz w:val="20"/>
          <w:szCs w:val="20"/>
          <w:lang w:val="es-ES"/>
        </w:rPr>
        <w:t xml:space="preserve"> para conocer la petición por cuanto en ella se alegan violaciones de derechos protegidos en la Convención Americana que habrían tenido lugar dentro del territorio de Colombia, Estado Parte en dicho tratado.</w:t>
      </w:r>
    </w:p>
    <w:p w14:paraId="6E498FA5" w14:textId="0A4653A4" w:rsidR="00E51AB3" w:rsidRPr="008F226C" w:rsidRDefault="00534A15" w:rsidP="00E51A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8F226C">
        <w:rPr>
          <w:rFonts w:asciiTheme="majorHAnsi" w:eastAsia="SimSun" w:hAnsiTheme="majorHAnsi"/>
          <w:sz w:val="20"/>
          <w:szCs w:val="20"/>
          <w:lang w:val="es-ES"/>
        </w:rPr>
        <w:lastRenderedPageBreak/>
        <w:t xml:space="preserve">La Comisión tiene competencia </w:t>
      </w:r>
      <w:r w:rsidRPr="008F226C">
        <w:rPr>
          <w:rFonts w:asciiTheme="majorHAnsi" w:eastAsia="SimSun" w:hAnsiTheme="majorHAnsi"/>
          <w:i/>
          <w:sz w:val="20"/>
          <w:szCs w:val="20"/>
          <w:lang w:val="es-ES"/>
        </w:rPr>
        <w:t>ratione temporis</w:t>
      </w:r>
      <w:r w:rsidRPr="008F226C">
        <w:rPr>
          <w:rFonts w:asciiTheme="majorHAnsi" w:eastAsia="SimSun" w:hAnsiTheme="majorHAnsi"/>
          <w:sz w:val="20"/>
          <w:szCs w:val="20"/>
          <w:lang w:val="es-ES"/>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8F226C">
        <w:rPr>
          <w:rFonts w:asciiTheme="majorHAnsi" w:eastAsia="SimSun" w:hAnsiTheme="majorHAnsi"/>
          <w:i/>
          <w:sz w:val="20"/>
          <w:szCs w:val="20"/>
          <w:lang w:val="es-ES"/>
        </w:rPr>
        <w:t>ratione materiae</w:t>
      </w:r>
      <w:r w:rsidRPr="008F226C">
        <w:rPr>
          <w:rFonts w:asciiTheme="majorHAnsi" w:eastAsia="SimSun" w:hAnsiTheme="majorHAnsi"/>
          <w:sz w:val="20"/>
          <w:szCs w:val="20"/>
          <w:lang w:val="es-ES"/>
        </w:rPr>
        <w:t>, porque en la petición se denuncian posibles violaciones a derechos humanos protegidos por la Convención Americana.</w:t>
      </w:r>
    </w:p>
    <w:p w14:paraId="3500FCB4" w14:textId="77777777" w:rsidR="0063685A" w:rsidRPr="008F226C"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lang w:val="es-ES"/>
        </w:rPr>
      </w:pPr>
      <w:r w:rsidRPr="008F226C">
        <w:rPr>
          <w:rFonts w:asciiTheme="majorHAnsi" w:hAnsiTheme="majorHAnsi"/>
          <w:b/>
          <w:bCs/>
          <w:sz w:val="20"/>
          <w:szCs w:val="20"/>
          <w:lang w:val="es-ES"/>
        </w:rPr>
        <w:t xml:space="preserve">Requisitos de </w:t>
      </w:r>
      <w:r w:rsidRPr="008F226C">
        <w:rPr>
          <w:rFonts w:asciiTheme="majorHAnsi" w:hAnsiTheme="majorHAnsi"/>
          <w:b/>
          <w:sz w:val="20"/>
          <w:szCs w:val="20"/>
          <w:lang w:val="es-ES"/>
        </w:rPr>
        <w:t>Admisibilidad</w:t>
      </w:r>
    </w:p>
    <w:p w14:paraId="01EB5977" w14:textId="77777777" w:rsidR="0063685A" w:rsidRPr="008F226C" w:rsidRDefault="0063685A" w:rsidP="008645D0">
      <w:pPr>
        <w:spacing w:after="240"/>
        <w:ind w:firstLine="720"/>
        <w:jc w:val="both"/>
        <w:rPr>
          <w:rFonts w:asciiTheme="majorHAnsi" w:hAnsiTheme="majorHAnsi"/>
          <w:b/>
          <w:sz w:val="20"/>
          <w:szCs w:val="20"/>
          <w:lang w:val="es-ES"/>
        </w:rPr>
      </w:pPr>
      <w:r w:rsidRPr="008F226C">
        <w:rPr>
          <w:rFonts w:asciiTheme="majorHAnsi" w:hAnsiTheme="majorHAnsi"/>
          <w:b/>
          <w:sz w:val="20"/>
          <w:szCs w:val="20"/>
          <w:lang w:val="es-ES"/>
        </w:rPr>
        <w:t>1.</w:t>
      </w:r>
      <w:r w:rsidRPr="008F226C">
        <w:rPr>
          <w:rFonts w:asciiTheme="majorHAnsi" w:hAnsiTheme="majorHAnsi"/>
          <w:b/>
          <w:sz w:val="20"/>
          <w:szCs w:val="20"/>
          <w:lang w:val="es-ES"/>
        </w:rPr>
        <w:tab/>
        <w:t>Agotamiento de los recursos internos</w:t>
      </w:r>
    </w:p>
    <w:p w14:paraId="3CD3D610" w14:textId="37C6A242" w:rsidR="0063685A" w:rsidRPr="008F226C" w:rsidRDefault="00D57C19" w:rsidP="00AC68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
        </w:rPr>
      </w:pPr>
      <w:r w:rsidRPr="008F226C">
        <w:rPr>
          <w:rFonts w:asciiTheme="majorHAnsi" w:hAnsiTheme="majorHAnsi" w:cs="Arial"/>
          <w:sz w:val="20"/>
          <w:szCs w:val="20"/>
          <w:lang w:val="es-ES"/>
        </w:rPr>
        <w:t>El artículo 46.</w:t>
      </w:r>
      <w:r w:rsidR="0063685A" w:rsidRPr="008F226C">
        <w:rPr>
          <w:rFonts w:asciiTheme="majorHAnsi" w:hAnsiTheme="majorHAnsi" w:cs="Arial"/>
          <w:sz w:val="20"/>
          <w:szCs w:val="20"/>
          <w:lang w:val="es-ES"/>
        </w:rPr>
        <w:t>1</w:t>
      </w:r>
      <w:r w:rsidRPr="008F226C">
        <w:rPr>
          <w:rFonts w:asciiTheme="majorHAnsi" w:hAnsiTheme="majorHAnsi" w:cs="Arial"/>
          <w:sz w:val="20"/>
          <w:szCs w:val="20"/>
          <w:lang w:val="es-ES"/>
        </w:rPr>
        <w:t>.</w:t>
      </w:r>
      <w:r w:rsidR="0063685A" w:rsidRPr="008F226C">
        <w:rPr>
          <w:rFonts w:asciiTheme="majorHAnsi" w:hAnsiTheme="majorHAnsi" w:cs="Arial"/>
          <w:sz w:val="20"/>
          <w:szCs w:val="20"/>
          <w:lang w:val="es-ES"/>
        </w:rPr>
        <w:t xml:space="preserve">a de la Convención Americana exige el previo agotamiento de los recursos disponibles en la jurisdicción interna conforme a los principios de derecho internacional generalmente reconocidos, como requisito para </w:t>
      </w:r>
      <w:r w:rsidR="0063685A" w:rsidRPr="008F226C">
        <w:rPr>
          <w:rFonts w:asciiTheme="majorHAnsi" w:hAnsiTheme="majorHAnsi"/>
          <w:sz w:val="20"/>
          <w:szCs w:val="20"/>
          <w:lang w:val="es-ES"/>
        </w:rPr>
        <w:t>la</w:t>
      </w:r>
      <w:r w:rsidR="0063685A" w:rsidRPr="008F226C">
        <w:rPr>
          <w:rFonts w:asciiTheme="majorHAnsi" w:hAnsiTheme="majorHAnsi" w:cs="Arial"/>
          <w:sz w:val="20"/>
          <w:szCs w:val="20"/>
          <w:lang w:val="es-ES"/>
        </w:rPr>
        <w:t xml:space="preserve"> admisión de reclamos sobre la presunta violación de </w:t>
      </w:r>
      <w:r w:rsidR="00AA1098" w:rsidRPr="008F226C">
        <w:rPr>
          <w:rFonts w:asciiTheme="majorHAnsi" w:hAnsiTheme="majorHAnsi" w:cs="Arial"/>
          <w:sz w:val="20"/>
          <w:szCs w:val="20"/>
          <w:lang w:val="es-ES"/>
        </w:rPr>
        <w:t>la Convención Americana sobre Derechos Humanos</w:t>
      </w:r>
      <w:r w:rsidR="0063685A" w:rsidRPr="008F226C">
        <w:rPr>
          <w:rFonts w:asciiTheme="majorHAnsi" w:hAnsiTheme="majorHAnsi" w:cs="Arial"/>
          <w:sz w:val="20"/>
          <w:szCs w:val="20"/>
          <w:lang w:val="es-ES"/>
        </w:rPr>
        <w:t xml:space="preserve">. Este requisito tiene como </w:t>
      </w:r>
      <w:r w:rsidR="0063685A" w:rsidRPr="00312273">
        <w:rPr>
          <w:rFonts w:asciiTheme="majorHAnsi" w:hAnsiTheme="majorHAnsi" w:cs="Arial"/>
          <w:sz w:val="20"/>
          <w:szCs w:val="20"/>
          <w:lang w:val="es-ES"/>
        </w:rPr>
        <w:t>objeto permitir que las autoridades nacionales conozcan sobre la supuesta violación de un derecho protegido y,</w:t>
      </w:r>
      <w:r w:rsidR="0063685A" w:rsidRPr="00312273">
        <w:rPr>
          <w:rFonts w:asciiTheme="majorHAnsi" w:hAnsiTheme="majorHAnsi"/>
          <w:sz w:val="20"/>
          <w:szCs w:val="20"/>
          <w:lang w:val="es-ES"/>
        </w:rPr>
        <w:t xml:space="preserve"> de ser apropiado, </w:t>
      </w:r>
      <w:r w:rsidR="00485810" w:rsidRPr="00312273">
        <w:rPr>
          <w:rFonts w:asciiTheme="majorHAnsi" w:hAnsiTheme="majorHAnsi"/>
          <w:sz w:val="20"/>
          <w:szCs w:val="20"/>
          <w:lang w:val="es-ES"/>
        </w:rPr>
        <w:t>solucionen la situación</w:t>
      </w:r>
      <w:r w:rsidR="0063685A" w:rsidRPr="00312273">
        <w:rPr>
          <w:rFonts w:asciiTheme="majorHAnsi" w:hAnsiTheme="majorHAnsi"/>
          <w:sz w:val="20"/>
          <w:szCs w:val="20"/>
          <w:lang w:val="es-ES"/>
        </w:rPr>
        <w:t xml:space="preserve"> antes de que sea conocida por una instancia internacional. </w:t>
      </w:r>
      <w:r w:rsidR="00312273" w:rsidRPr="00312273">
        <w:rPr>
          <w:rFonts w:asciiTheme="majorHAnsi" w:hAnsiTheme="majorHAnsi" w:cs="Arial"/>
          <w:sz w:val="20"/>
          <w:szCs w:val="20"/>
          <w:lang w:val="es-ES"/>
        </w:rPr>
        <w:t>Por su parte, el artículo 46.2 de la Convención prevé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14:paraId="621ADCF0" w14:textId="5B2B4AF7" w:rsidR="00D927DD" w:rsidRPr="008F226C" w:rsidRDefault="0022039C" w:rsidP="00AC68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226C">
        <w:rPr>
          <w:rFonts w:asciiTheme="majorHAnsi" w:hAnsiTheme="majorHAnsi"/>
          <w:sz w:val="20"/>
          <w:szCs w:val="20"/>
          <w:lang w:val="es-ES"/>
        </w:rPr>
        <w:t>Los</w:t>
      </w:r>
      <w:r w:rsidR="0063685A" w:rsidRPr="008F226C">
        <w:rPr>
          <w:rFonts w:asciiTheme="majorHAnsi" w:hAnsiTheme="majorHAnsi"/>
          <w:sz w:val="20"/>
          <w:szCs w:val="20"/>
          <w:lang w:val="es-ES"/>
        </w:rPr>
        <w:t xml:space="preserve"> peticionario</w:t>
      </w:r>
      <w:r w:rsidRPr="008F226C">
        <w:rPr>
          <w:rFonts w:asciiTheme="majorHAnsi" w:hAnsiTheme="majorHAnsi"/>
          <w:sz w:val="20"/>
          <w:szCs w:val="20"/>
          <w:lang w:val="es-ES"/>
        </w:rPr>
        <w:t>s</w:t>
      </w:r>
      <w:r w:rsidR="0063685A" w:rsidRPr="008F226C">
        <w:rPr>
          <w:rFonts w:asciiTheme="majorHAnsi" w:hAnsiTheme="majorHAnsi"/>
          <w:sz w:val="20"/>
          <w:szCs w:val="20"/>
          <w:lang w:val="es-ES"/>
        </w:rPr>
        <w:t xml:space="preserve"> alega</w:t>
      </w:r>
      <w:r w:rsidRPr="008F226C">
        <w:rPr>
          <w:rFonts w:asciiTheme="majorHAnsi" w:hAnsiTheme="majorHAnsi"/>
          <w:sz w:val="20"/>
          <w:szCs w:val="20"/>
          <w:lang w:val="es-ES"/>
        </w:rPr>
        <w:t>n</w:t>
      </w:r>
      <w:r w:rsidR="0063685A" w:rsidRPr="008F226C">
        <w:rPr>
          <w:rFonts w:asciiTheme="majorHAnsi" w:hAnsiTheme="majorHAnsi"/>
          <w:sz w:val="20"/>
          <w:szCs w:val="20"/>
          <w:lang w:val="es-ES"/>
        </w:rPr>
        <w:t xml:space="preserve"> que </w:t>
      </w:r>
      <w:r w:rsidRPr="008F226C">
        <w:rPr>
          <w:rFonts w:asciiTheme="majorHAnsi" w:hAnsiTheme="majorHAnsi"/>
          <w:sz w:val="20"/>
          <w:szCs w:val="20"/>
          <w:lang w:val="es-ES"/>
        </w:rPr>
        <w:t>los familiares acudieron a las instancias penales, disciplinari</w:t>
      </w:r>
      <w:r w:rsidR="00642FFD" w:rsidRPr="008F226C">
        <w:rPr>
          <w:rFonts w:asciiTheme="majorHAnsi" w:hAnsiTheme="majorHAnsi"/>
          <w:sz w:val="20"/>
          <w:szCs w:val="20"/>
          <w:lang w:val="es-ES"/>
        </w:rPr>
        <w:t>as y contencioso administrativa</w:t>
      </w:r>
      <w:r w:rsidRPr="008F226C">
        <w:rPr>
          <w:rFonts w:asciiTheme="majorHAnsi" w:hAnsiTheme="majorHAnsi"/>
          <w:sz w:val="20"/>
          <w:szCs w:val="20"/>
          <w:lang w:val="es-ES"/>
        </w:rPr>
        <w:t xml:space="preserve">. En particular sobre los procesos en la jurisdicción militar, señalan que los órganos del Sistema Interamericano de Protección de Derechos Humanos, así como el Comité de Derechos Humanos, han considerado que </w:t>
      </w:r>
      <w:r w:rsidR="00D927DD" w:rsidRPr="008F226C">
        <w:rPr>
          <w:rFonts w:asciiTheme="majorHAnsi" w:hAnsiTheme="majorHAnsi"/>
          <w:sz w:val="20"/>
          <w:szCs w:val="20"/>
          <w:lang w:val="es-ES"/>
        </w:rPr>
        <w:t>los tribunales militares no constituyen un procedimiento efectivo o recurso idóneo para las víctimas de graves violaciones de derechos humanos y sus familias</w:t>
      </w:r>
      <w:r w:rsidR="0063685A" w:rsidRPr="008F226C">
        <w:rPr>
          <w:rFonts w:asciiTheme="majorHAnsi" w:hAnsiTheme="majorHAnsi"/>
          <w:sz w:val="20"/>
          <w:szCs w:val="20"/>
          <w:lang w:val="es-ES"/>
        </w:rPr>
        <w:t>.</w:t>
      </w:r>
      <w:r w:rsidR="00D927DD" w:rsidRPr="008F226C">
        <w:rPr>
          <w:rFonts w:asciiTheme="majorHAnsi" w:hAnsiTheme="majorHAnsi"/>
          <w:sz w:val="20"/>
          <w:szCs w:val="20"/>
          <w:lang w:val="es-ES"/>
        </w:rPr>
        <w:t xml:space="preserve"> Además</w:t>
      </w:r>
      <w:r w:rsidR="00691D0D">
        <w:rPr>
          <w:rFonts w:asciiTheme="majorHAnsi" w:hAnsiTheme="majorHAnsi"/>
          <w:sz w:val="20"/>
          <w:szCs w:val="20"/>
          <w:lang w:val="es-ES"/>
        </w:rPr>
        <w:t>,</w:t>
      </w:r>
      <w:r w:rsidR="00D927DD" w:rsidRPr="008F226C">
        <w:rPr>
          <w:rFonts w:asciiTheme="majorHAnsi" w:hAnsiTheme="majorHAnsi"/>
          <w:sz w:val="20"/>
          <w:szCs w:val="20"/>
          <w:lang w:val="es-ES"/>
        </w:rPr>
        <w:t xml:space="preserve"> agregan que la actuación de la referida jurisdicción estuvo enderezada a obtener la impunidad de los crímenes cometidos por los miembros de la Red No. 7.</w:t>
      </w:r>
    </w:p>
    <w:p w14:paraId="1DD398EC" w14:textId="7DC019BE" w:rsidR="00D927DD" w:rsidRPr="008F226C" w:rsidRDefault="00D927DD" w:rsidP="00AC68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226C">
        <w:rPr>
          <w:rFonts w:asciiTheme="majorHAnsi" w:hAnsiTheme="majorHAnsi"/>
          <w:sz w:val="20"/>
          <w:szCs w:val="20"/>
          <w:lang w:val="es-ES"/>
        </w:rPr>
        <w:t>Agregan que</w:t>
      </w:r>
      <w:r w:rsidR="00691D0D">
        <w:rPr>
          <w:rFonts w:asciiTheme="majorHAnsi" w:hAnsiTheme="majorHAnsi"/>
          <w:sz w:val="20"/>
          <w:szCs w:val="20"/>
          <w:lang w:val="es-ES"/>
        </w:rPr>
        <w:t>,</w:t>
      </w:r>
      <w:r w:rsidRPr="008F226C">
        <w:rPr>
          <w:rFonts w:asciiTheme="majorHAnsi" w:hAnsiTheme="majorHAnsi"/>
          <w:sz w:val="20"/>
          <w:szCs w:val="20"/>
          <w:lang w:val="es-ES"/>
        </w:rPr>
        <w:t xml:space="preserve"> respecto del proceso penal, atendida la intervención de la jurisdicción militar no arrojó resultados respecto de todos los crímenes y responsables.</w:t>
      </w:r>
      <w:r w:rsidR="004D3669" w:rsidRPr="008F226C">
        <w:rPr>
          <w:rFonts w:asciiTheme="majorHAnsi" w:hAnsiTheme="majorHAnsi"/>
          <w:sz w:val="20"/>
          <w:szCs w:val="20"/>
          <w:lang w:val="es-ES"/>
        </w:rPr>
        <w:t xml:space="preserve"> En este sentido, refieren que l</w:t>
      </w:r>
      <w:r w:rsidR="004D3669" w:rsidRPr="008F226C">
        <w:rPr>
          <w:rFonts w:asciiTheme="majorHAnsi" w:hAnsiTheme="majorHAnsi" w:cs="Arial"/>
          <w:sz w:val="20"/>
          <w:szCs w:val="20"/>
          <w:lang w:val="es-ES"/>
        </w:rPr>
        <w:t xml:space="preserve">a justicia ordinaria no investigó de forma </w:t>
      </w:r>
      <w:r w:rsidR="00691D0D">
        <w:rPr>
          <w:rFonts w:asciiTheme="majorHAnsi" w:hAnsiTheme="majorHAnsi" w:cs="Arial"/>
          <w:sz w:val="20"/>
          <w:szCs w:val="20"/>
          <w:lang w:val="es-ES"/>
        </w:rPr>
        <w:t>adecuada los hechos, ni sancionó</w:t>
      </w:r>
      <w:r w:rsidR="004D3669" w:rsidRPr="008F226C">
        <w:rPr>
          <w:rFonts w:asciiTheme="majorHAnsi" w:hAnsiTheme="majorHAnsi" w:cs="Arial"/>
          <w:sz w:val="20"/>
          <w:szCs w:val="20"/>
          <w:lang w:val="es-ES"/>
        </w:rPr>
        <w:t xml:space="preserve"> a todos los responsables, y que la jurisdicción ordinaria fue coartada por la acción de la jurisdicción penal militar. </w:t>
      </w:r>
    </w:p>
    <w:p w14:paraId="0BF89492" w14:textId="1BAE00DF" w:rsidR="00972FCD" w:rsidRPr="008F226C" w:rsidRDefault="00D927DD" w:rsidP="00AC68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226C">
        <w:rPr>
          <w:rFonts w:asciiTheme="majorHAnsi" w:hAnsiTheme="majorHAnsi"/>
          <w:sz w:val="20"/>
          <w:szCs w:val="20"/>
          <w:lang w:val="es-ES"/>
        </w:rPr>
        <w:t>En cuanto al proceso disciplinario, los peticionarios alegan que no puede ser considerado un recurso eficaz atendida su naturaleza y propósito. Agregan además</w:t>
      </w:r>
      <w:r w:rsidR="00691D0D" w:rsidRPr="00691D0D">
        <w:rPr>
          <w:rFonts w:asciiTheme="majorHAnsi" w:hAnsiTheme="majorHAnsi"/>
          <w:sz w:val="20"/>
          <w:szCs w:val="20"/>
          <w:lang w:val="es-ES"/>
        </w:rPr>
        <w:t xml:space="preserve"> </w:t>
      </w:r>
      <w:r w:rsidR="00691D0D" w:rsidRPr="008F226C">
        <w:rPr>
          <w:rFonts w:asciiTheme="majorHAnsi" w:hAnsiTheme="majorHAnsi"/>
          <w:sz w:val="20"/>
          <w:szCs w:val="20"/>
          <w:lang w:val="es-ES"/>
        </w:rPr>
        <w:t>que</w:t>
      </w:r>
      <w:r w:rsidRPr="008F226C">
        <w:rPr>
          <w:rFonts w:asciiTheme="majorHAnsi" w:hAnsiTheme="majorHAnsi"/>
          <w:sz w:val="20"/>
          <w:szCs w:val="20"/>
          <w:lang w:val="es-ES"/>
        </w:rPr>
        <w:t xml:space="preserve"> dicho procedimiento </w:t>
      </w:r>
      <w:r w:rsidR="00CC3373" w:rsidRPr="008F226C">
        <w:rPr>
          <w:rFonts w:asciiTheme="majorHAnsi" w:hAnsiTheme="majorHAnsi"/>
          <w:sz w:val="20"/>
          <w:szCs w:val="20"/>
          <w:lang w:val="es-ES"/>
        </w:rPr>
        <w:t>resultó ineficaz en razón de la prescripción de la acción disciplinaria decretada el 23 de noviembre del 2000 y el archivo de</w:t>
      </w:r>
      <w:r w:rsidR="00001C6A">
        <w:rPr>
          <w:rFonts w:asciiTheme="majorHAnsi" w:hAnsiTheme="majorHAnsi"/>
          <w:sz w:val="20"/>
          <w:szCs w:val="20"/>
          <w:lang w:val="es-ES"/>
        </w:rPr>
        <w:t xml:space="preserve"> </w:t>
      </w:r>
      <w:r w:rsidR="00CC3373" w:rsidRPr="008F226C">
        <w:rPr>
          <w:rFonts w:asciiTheme="majorHAnsi" w:hAnsiTheme="majorHAnsi"/>
          <w:sz w:val="20"/>
          <w:szCs w:val="20"/>
          <w:lang w:val="es-ES"/>
        </w:rPr>
        <w:t xml:space="preserve">la investigación. </w:t>
      </w:r>
    </w:p>
    <w:p w14:paraId="649C8737" w14:textId="05AD4AAE" w:rsidR="0022039C" w:rsidRPr="008F226C" w:rsidRDefault="00972FCD" w:rsidP="00AC68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226C">
        <w:rPr>
          <w:rFonts w:asciiTheme="majorHAnsi" w:hAnsiTheme="majorHAnsi"/>
          <w:sz w:val="20"/>
          <w:szCs w:val="20"/>
          <w:lang w:val="es-ES"/>
        </w:rPr>
        <w:t xml:space="preserve">Alegan </w:t>
      </w:r>
      <w:r w:rsidR="00691D0D">
        <w:rPr>
          <w:rFonts w:asciiTheme="majorHAnsi" w:hAnsiTheme="majorHAnsi"/>
          <w:sz w:val="20"/>
          <w:szCs w:val="20"/>
          <w:lang w:val="es-ES"/>
        </w:rPr>
        <w:t xml:space="preserve">los peticionarios </w:t>
      </w:r>
      <w:r w:rsidRPr="008F226C">
        <w:rPr>
          <w:rFonts w:asciiTheme="majorHAnsi" w:hAnsiTheme="majorHAnsi"/>
          <w:sz w:val="20"/>
          <w:szCs w:val="20"/>
          <w:lang w:val="es-ES"/>
        </w:rPr>
        <w:t xml:space="preserve">que el proceso contencioso administrativo está limitado solo a un tipo de reparación, la indemnización. Además </w:t>
      </w:r>
      <w:r w:rsidR="00357F65">
        <w:rPr>
          <w:rFonts w:asciiTheme="majorHAnsi" w:hAnsiTheme="majorHAnsi"/>
          <w:sz w:val="20"/>
          <w:szCs w:val="20"/>
          <w:lang w:val="es-ES"/>
        </w:rPr>
        <w:t>señalan</w:t>
      </w:r>
      <w:r w:rsidRPr="008F226C">
        <w:rPr>
          <w:rFonts w:asciiTheme="majorHAnsi" w:hAnsiTheme="majorHAnsi"/>
          <w:sz w:val="20"/>
          <w:szCs w:val="20"/>
          <w:lang w:val="es-ES"/>
        </w:rPr>
        <w:t xml:space="preserve"> que el Consejo de Estado</w:t>
      </w:r>
      <w:r w:rsidR="00357F65">
        <w:rPr>
          <w:rFonts w:asciiTheme="majorHAnsi" w:hAnsiTheme="majorHAnsi"/>
          <w:sz w:val="20"/>
          <w:szCs w:val="20"/>
          <w:lang w:val="es-ES"/>
        </w:rPr>
        <w:t>,</w:t>
      </w:r>
      <w:r w:rsidRPr="008F226C">
        <w:rPr>
          <w:rFonts w:asciiTheme="majorHAnsi" w:hAnsiTheme="majorHAnsi"/>
          <w:sz w:val="20"/>
          <w:szCs w:val="20"/>
          <w:lang w:val="es-ES"/>
        </w:rPr>
        <w:t xml:space="preserve"> al conocer como segunda instancia, se atuvo a la verdad procesal establecida en la jurisdicción militar</w:t>
      </w:r>
      <w:r w:rsidR="003C2B1C" w:rsidRPr="008F226C">
        <w:rPr>
          <w:rFonts w:asciiTheme="majorHAnsi" w:hAnsiTheme="majorHAnsi"/>
          <w:sz w:val="20"/>
          <w:szCs w:val="20"/>
          <w:lang w:val="es-ES"/>
        </w:rPr>
        <w:t>, en detrimento del acopio investigativo y decisiones disciplinarias y de la Fiscalía, lo que denegó el derecho de los familiares a la reparación económica</w:t>
      </w:r>
      <w:r w:rsidRPr="008F226C">
        <w:rPr>
          <w:rFonts w:asciiTheme="majorHAnsi" w:hAnsiTheme="majorHAnsi"/>
          <w:sz w:val="20"/>
          <w:szCs w:val="20"/>
          <w:lang w:val="es-ES"/>
        </w:rPr>
        <w:t>.</w:t>
      </w:r>
      <w:r w:rsidR="00001C6A">
        <w:rPr>
          <w:rFonts w:asciiTheme="majorHAnsi" w:hAnsiTheme="majorHAnsi"/>
          <w:sz w:val="20"/>
          <w:szCs w:val="20"/>
          <w:lang w:val="es-ES"/>
        </w:rPr>
        <w:t xml:space="preserve"> </w:t>
      </w:r>
    </w:p>
    <w:p w14:paraId="25C8079F" w14:textId="335DADA1" w:rsidR="0063685A" w:rsidRPr="008F226C" w:rsidRDefault="0063685A" w:rsidP="00AC68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226C">
        <w:rPr>
          <w:rFonts w:asciiTheme="majorHAnsi" w:hAnsiTheme="majorHAnsi"/>
          <w:sz w:val="20"/>
          <w:szCs w:val="20"/>
          <w:lang w:val="es-ES"/>
        </w:rPr>
        <w:t>Por su parte</w:t>
      </w:r>
      <w:r w:rsidR="00357F65">
        <w:rPr>
          <w:rFonts w:asciiTheme="majorHAnsi" w:hAnsiTheme="majorHAnsi"/>
          <w:sz w:val="20"/>
          <w:szCs w:val="20"/>
          <w:lang w:val="es-ES"/>
        </w:rPr>
        <w:t>,</w:t>
      </w:r>
      <w:r w:rsidRPr="008F226C">
        <w:rPr>
          <w:rFonts w:asciiTheme="majorHAnsi" w:hAnsiTheme="majorHAnsi"/>
          <w:sz w:val="20"/>
          <w:szCs w:val="20"/>
          <w:lang w:val="es-ES"/>
        </w:rPr>
        <w:t xml:space="preserve"> el Estado </w:t>
      </w:r>
      <w:r w:rsidR="00623601" w:rsidRPr="008F226C">
        <w:rPr>
          <w:rFonts w:asciiTheme="majorHAnsi" w:hAnsiTheme="majorHAnsi"/>
          <w:sz w:val="20"/>
          <w:szCs w:val="20"/>
          <w:lang w:val="es-ES"/>
        </w:rPr>
        <w:t>en un primer momento indicó que existía falta de agotamiento de los recursos internos</w:t>
      </w:r>
      <w:r w:rsidRPr="008F226C">
        <w:rPr>
          <w:rFonts w:asciiTheme="majorHAnsi" w:hAnsiTheme="majorHAnsi"/>
          <w:sz w:val="20"/>
          <w:szCs w:val="20"/>
          <w:lang w:val="es-ES"/>
        </w:rPr>
        <w:t>.</w:t>
      </w:r>
      <w:r w:rsidR="00623601" w:rsidRPr="008F226C">
        <w:rPr>
          <w:rFonts w:asciiTheme="majorHAnsi" w:hAnsiTheme="majorHAnsi"/>
          <w:sz w:val="20"/>
          <w:szCs w:val="20"/>
          <w:lang w:val="es-ES"/>
        </w:rPr>
        <w:t xml:space="preserve"> Sin embargo, </w:t>
      </w:r>
      <w:r w:rsidR="00572AAB" w:rsidRPr="008F226C">
        <w:rPr>
          <w:rFonts w:asciiTheme="majorHAnsi" w:hAnsiTheme="majorHAnsi"/>
          <w:sz w:val="20"/>
          <w:szCs w:val="20"/>
          <w:lang w:val="es-ES"/>
        </w:rPr>
        <w:t>con posterioridad refirió que se habían investigado los hechos y</w:t>
      </w:r>
      <w:r w:rsidR="004F7E3A" w:rsidRPr="008F226C">
        <w:rPr>
          <w:rFonts w:asciiTheme="majorHAnsi" w:hAnsiTheme="majorHAnsi"/>
          <w:sz w:val="20"/>
          <w:szCs w:val="20"/>
          <w:lang w:val="es-ES"/>
        </w:rPr>
        <w:t xml:space="preserve"> establecido</w:t>
      </w:r>
      <w:r w:rsidR="00572AAB" w:rsidRPr="008F226C">
        <w:rPr>
          <w:rFonts w:asciiTheme="majorHAnsi" w:hAnsiTheme="majorHAnsi"/>
          <w:sz w:val="20"/>
          <w:szCs w:val="20"/>
          <w:lang w:val="es-ES"/>
        </w:rPr>
        <w:t xml:space="preserve"> sancion</w:t>
      </w:r>
      <w:r w:rsidR="004F7E3A" w:rsidRPr="008F226C">
        <w:rPr>
          <w:rFonts w:asciiTheme="majorHAnsi" w:hAnsiTheme="majorHAnsi"/>
          <w:sz w:val="20"/>
          <w:szCs w:val="20"/>
          <w:lang w:val="es-ES"/>
        </w:rPr>
        <w:t>es</w:t>
      </w:r>
      <w:r w:rsidR="00572AAB" w:rsidRPr="008F226C">
        <w:rPr>
          <w:rFonts w:asciiTheme="majorHAnsi" w:hAnsiTheme="majorHAnsi"/>
          <w:sz w:val="20"/>
          <w:szCs w:val="20"/>
          <w:lang w:val="es-ES"/>
        </w:rPr>
        <w:t xml:space="preserve"> en el fuero de la justicia ordinaria, así como emprendido acciones tanto en la vía de la justicia militar, en la disciplinaria y en el fuero contencioso administrativo.</w:t>
      </w:r>
    </w:p>
    <w:p w14:paraId="2A4A6DAB" w14:textId="7274F03C" w:rsidR="00C30F46" w:rsidRPr="008F226C" w:rsidRDefault="00357F65" w:rsidP="00AC68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w:t>
      </w:r>
      <w:r w:rsidRPr="008F226C">
        <w:rPr>
          <w:rFonts w:asciiTheme="majorHAnsi" w:hAnsiTheme="majorHAnsi"/>
          <w:sz w:val="20"/>
          <w:szCs w:val="20"/>
          <w:lang w:val="es-ES"/>
        </w:rPr>
        <w:t xml:space="preserve">l Estado </w:t>
      </w:r>
      <w:r>
        <w:rPr>
          <w:rFonts w:asciiTheme="majorHAnsi" w:hAnsiTheme="majorHAnsi"/>
          <w:sz w:val="20"/>
          <w:szCs w:val="20"/>
          <w:lang w:val="es-ES"/>
        </w:rPr>
        <w:t>a</w:t>
      </w:r>
      <w:r w:rsidR="00142D2C" w:rsidRPr="008F226C">
        <w:rPr>
          <w:rFonts w:asciiTheme="majorHAnsi" w:hAnsiTheme="majorHAnsi"/>
          <w:sz w:val="20"/>
          <w:szCs w:val="20"/>
          <w:lang w:val="es-ES"/>
        </w:rPr>
        <w:t>demás</w:t>
      </w:r>
      <w:r w:rsidR="00C30F46" w:rsidRPr="008F226C">
        <w:rPr>
          <w:rFonts w:asciiTheme="majorHAnsi" w:hAnsiTheme="majorHAnsi"/>
          <w:sz w:val="20"/>
          <w:szCs w:val="20"/>
          <w:lang w:val="es-ES"/>
        </w:rPr>
        <w:t xml:space="preserve"> aleg</w:t>
      </w:r>
      <w:r>
        <w:rPr>
          <w:rFonts w:asciiTheme="majorHAnsi" w:hAnsiTheme="majorHAnsi"/>
          <w:sz w:val="20"/>
          <w:szCs w:val="20"/>
          <w:lang w:val="es-ES"/>
        </w:rPr>
        <w:t>a</w:t>
      </w:r>
      <w:r w:rsidR="00C30F46" w:rsidRPr="008F226C">
        <w:rPr>
          <w:rFonts w:asciiTheme="majorHAnsi" w:hAnsiTheme="majorHAnsi"/>
          <w:sz w:val="20"/>
          <w:szCs w:val="20"/>
          <w:lang w:val="es-ES"/>
        </w:rPr>
        <w:t xml:space="preserve"> que s</w:t>
      </w:r>
      <w:r w:rsidR="00FF6DDA" w:rsidRPr="008F226C">
        <w:rPr>
          <w:rFonts w:asciiTheme="majorHAnsi" w:hAnsiTheme="majorHAnsi"/>
          <w:sz w:val="20"/>
          <w:szCs w:val="20"/>
          <w:lang w:val="es-ES"/>
        </w:rPr>
        <w:t xml:space="preserve">i bien en el proceso penal las presuntas víctimas tuvieron garantías para obtener el pago de perjuicios morales y materiales, el desistimiento presentado por el representante conllevó </w:t>
      </w:r>
      <w:r>
        <w:rPr>
          <w:rFonts w:asciiTheme="majorHAnsi" w:hAnsiTheme="majorHAnsi"/>
          <w:sz w:val="20"/>
          <w:szCs w:val="20"/>
          <w:lang w:val="es-ES"/>
        </w:rPr>
        <w:t xml:space="preserve">a </w:t>
      </w:r>
      <w:r w:rsidR="00FF6DDA" w:rsidRPr="008F226C">
        <w:rPr>
          <w:rFonts w:asciiTheme="majorHAnsi" w:hAnsiTheme="majorHAnsi"/>
          <w:sz w:val="20"/>
          <w:szCs w:val="20"/>
          <w:lang w:val="es-ES"/>
        </w:rPr>
        <w:t xml:space="preserve">que la condena en primera instancia quedara sin efectos, permitiéndose a los titulares elegir su ejercicio o no dentro de la actuación penal o ante lo contencioso administrativo. </w:t>
      </w:r>
    </w:p>
    <w:p w14:paraId="3D93A4CD" w14:textId="0A230E7A" w:rsidR="00B84CDF" w:rsidRDefault="00DD4B3D" w:rsidP="00AC68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lastRenderedPageBreak/>
        <w:t>El Estado plantea además</w:t>
      </w:r>
      <w:r w:rsidR="00B84CDF" w:rsidRPr="008F226C">
        <w:rPr>
          <w:rFonts w:asciiTheme="majorHAnsi" w:hAnsiTheme="majorHAnsi"/>
          <w:sz w:val="20"/>
          <w:szCs w:val="20"/>
          <w:lang w:val="es-ES"/>
        </w:rPr>
        <w:t xml:space="preserve"> que la acción de reparación directa es idónea y efectiva para lograr la indemnización de perjuicios sufridos por las víctimas como consecuencia de los hechos, y que al menos en cuanto a las indemnizaciones, este recurso debería ser agotado antes de acudir al sistema interamericano</w:t>
      </w:r>
      <w:r w:rsidR="00E44392" w:rsidRPr="008F226C">
        <w:rPr>
          <w:rFonts w:asciiTheme="majorHAnsi" w:hAnsiTheme="majorHAnsi"/>
          <w:sz w:val="20"/>
          <w:szCs w:val="20"/>
          <w:lang w:val="es-ES"/>
        </w:rPr>
        <w:t>.</w:t>
      </w:r>
    </w:p>
    <w:p w14:paraId="299F7E80" w14:textId="77777777" w:rsidR="00FD4A4A" w:rsidRPr="00293D33" w:rsidRDefault="00FD4A4A" w:rsidP="00FD4A4A">
      <w:pPr>
        <w:numPr>
          <w:ilvl w:val="0"/>
          <w:numId w:val="56"/>
        </w:numPr>
        <w:suppressAutoHyphens/>
        <w:spacing w:after="240"/>
        <w:jc w:val="both"/>
        <w:rPr>
          <w:rFonts w:ascii="Cambria" w:hAnsi="Cambria"/>
          <w:color w:val="000000"/>
          <w:sz w:val="20"/>
          <w:szCs w:val="20"/>
          <w:lang w:val="es-ES"/>
        </w:rPr>
      </w:pPr>
      <w:r w:rsidRPr="00293D33">
        <w:rPr>
          <w:rFonts w:ascii="Cambria" w:hAnsi="Cambria"/>
          <w:sz w:val="20"/>
          <w:szCs w:val="20"/>
          <w:lang w:val="es-ES"/>
        </w:rPr>
        <w:t xml:space="preserve">Los </w:t>
      </w:r>
      <w:r w:rsidRPr="00293D33">
        <w:rPr>
          <w:rFonts w:ascii="Cambria" w:hAnsi="Cambria" w:cs="Cambria"/>
          <w:color w:val="000000"/>
          <w:sz w:val="20"/>
          <w:szCs w:val="20"/>
          <w:lang w:val="es-ES" w:eastAsia="es-ES"/>
        </w:rPr>
        <w:t>precedentes</w:t>
      </w:r>
      <w:r w:rsidRPr="00293D33">
        <w:rPr>
          <w:rFonts w:ascii="Cambria" w:hAnsi="Cambria"/>
          <w:sz w:val="20"/>
          <w:szCs w:val="20"/>
          <w:lang w:val="es-ES"/>
        </w:rPr>
        <w:t xml:space="preserve"> establecidos por la Comisión señalan que toda vez que se cometa un presunto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de tipo pecuniario</w:t>
      </w:r>
      <w:r w:rsidRPr="00293D33">
        <w:rPr>
          <w:rFonts w:ascii="Cambria" w:hAnsi="Cambria"/>
          <w:sz w:val="20"/>
          <w:szCs w:val="20"/>
          <w:vertAlign w:val="superscript"/>
          <w:lang w:val="es-ES"/>
        </w:rPr>
        <w:footnoteReference w:id="11"/>
      </w:r>
      <w:r w:rsidRPr="00293D33">
        <w:rPr>
          <w:rFonts w:ascii="Cambria" w:hAnsi="Cambria"/>
          <w:sz w:val="20"/>
          <w:szCs w:val="20"/>
          <w:lang w:val="es-ES"/>
        </w:rPr>
        <w:t xml:space="preserve">. </w:t>
      </w:r>
      <w:r w:rsidRPr="00293D33">
        <w:rPr>
          <w:rFonts w:ascii="Cambria" w:hAnsi="Cambria" w:cs="Calibri"/>
          <w:sz w:val="20"/>
          <w:szCs w:val="20"/>
          <w:lang w:val="es-ES"/>
        </w:rPr>
        <w:t>Por lo tanto, y e</w:t>
      </w:r>
      <w:r w:rsidRPr="00293D33">
        <w:rPr>
          <w:rFonts w:ascii="Cambria" w:hAnsi="Cambria"/>
          <w:color w:val="000000"/>
          <w:sz w:val="20"/>
          <w:szCs w:val="20"/>
          <w:lang w:val="es-ES"/>
        </w:rPr>
        <w:t xml:space="preserve">n vista de que los hechos alegados por los peticionarios constituyen delitos perseguibles de oficio, el proceso interno que debe ser agotado en el presente caso es la investigación en sede penal, la cual debe ser asumida e impulsada por el Estado. </w:t>
      </w:r>
    </w:p>
    <w:p w14:paraId="66C4AFD7" w14:textId="77777777" w:rsidR="00FD4A4A" w:rsidRPr="00293D33" w:rsidRDefault="00FD4A4A" w:rsidP="00FD4A4A">
      <w:pPr>
        <w:numPr>
          <w:ilvl w:val="0"/>
          <w:numId w:val="56"/>
        </w:numPr>
        <w:suppressAutoHyphens/>
        <w:spacing w:after="240"/>
        <w:jc w:val="both"/>
        <w:rPr>
          <w:rFonts w:ascii="Cambria" w:hAnsi="Cambria"/>
          <w:sz w:val="20"/>
          <w:szCs w:val="20"/>
          <w:lang w:val="es-ES"/>
        </w:rPr>
      </w:pPr>
      <w:r w:rsidRPr="00293D33">
        <w:rPr>
          <w:rFonts w:ascii="Cambria" w:hAnsi="Cambria"/>
          <w:sz w:val="20"/>
          <w:szCs w:val="20"/>
          <w:lang w:val="es-ES"/>
        </w:rPr>
        <w:t xml:space="preserve">En cuanto a la jurisdicción ordinaria, el 24 de septiembre de 1998 se dictó sentencia condenatoria a dos sujetos, la cual fue confirmada por el Tribunal Nacional con fecha 6 de noviembre de 1998. Además, respecto al proceso seguido en contra de Estela Osorio Rueda, Felipe Gómez Lozano, Miguel Antonio Durán Cáceres y Luis Ernesto Prada, el 2 de junio del 2000 se dictó sentencia, la cual fue confirmada el 26 de junio de 2001 por el Tribunal Superior de Bucaramanga. Esta última sentencia fue impugnada mediante recurso de casación y la Corte Suprema de Justicia el 3 de agosto de 2005 resolvió el recurso, </w:t>
      </w:r>
      <w:r w:rsidRPr="00293D33">
        <w:rPr>
          <w:rFonts w:ascii="Cambria" w:hAnsi="Cambria" w:cs="Arial"/>
          <w:sz w:val="20"/>
          <w:szCs w:val="20"/>
          <w:lang w:val="es-ES"/>
        </w:rPr>
        <w:t>casando parcialmente la sentencia y decretando la nulidad de las actuaciones contra Estela Osorio Rueda desde el 2 de septiembre de 1996 por irregularidades procesales y ordenando su libertad provisional, y confirmando la sentencia de 26 de junio de 2001 respecto de los demás sujetos condenados.</w:t>
      </w:r>
    </w:p>
    <w:p w14:paraId="229AC5EA" w14:textId="77777777" w:rsidR="00FD4A4A" w:rsidRPr="00293D33" w:rsidRDefault="00FD4A4A" w:rsidP="00FD4A4A">
      <w:pPr>
        <w:numPr>
          <w:ilvl w:val="0"/>
          <w:numId w:val="56"/>
        </w:numPr>
        <w:suppressAutoHyphens/>
        <w:spacing w:after="240"/>
        <w:jc w:val="both"/>
        <w:rPr>
          <w:rFonts w:ascii="Cambria" w:hAnsi="Cambria"/>
          <w:color w:val="000000"/>
          <w:sz w:val="20"/>
          <w:szCs w:val="20"/>
          <w:lang w:val="es-ES"/>
        </w:rPr>
      </w:pPr>
      <w:r w:rsidRPr="00293D33">
        <w:rPr>
          <w:rFonts w:ascii="Cambria" w:hAnsi="Cambria"/>
          <w:color w:val="000000"/>
          <w:sz w:val="20"/>
          <w:szCs w:val="20"/>
          <w:lang w:val="es-ES"/>
        </w:rPr>
        <w:t>Así, la Comisión nota que, de acuerdo a la información proporcionada por las partes, a más de veinte años de ocurridos los hechos alegados, solo cinco personas fueron condenadas en el fuero ordinario, respecto de los hechos que habrían afectado a 33 de las presuntas víctimas. Atendida la información disponible, se colige que el Estado aún no ha investigado y establecido responsabilidades, en los hechos ocurridos respecto de las otras 37 presuntas víctimas.</w:t>
      </w:r>
    </w:p>
    <w:p w14:paraId="26A770AF" w14:textId="04A49AD9" w:rsidR="00FD4A4A" w:rsidRPr="00293D33" w:rsidRDefault="00FD4A4A" w:rsidP="00FD4A4A">
      <w:pPr>
        <w:numPr>
          <w:ilvl w:val="0"/>
          <w:numId w:val="56"/>
        </w:numPr>
        <w:suppressAutoHyphens/>
        <w:spacing w:after="240"/>
        <w:jc w:val="both"/>
        <w:rPr>
          <w:rFonts w:ascii="Cambria" w:hAnsi="Cambria" w:cs="Arial"/>
          <w:sz w:val="20"/>
          <w:szCs w:val="20"/>
          <w:lang w:val="es-ES"/>
        </w:rPr>
      </w:pPr>
      <w:r w:rsidRPr="00293D33">
        <w:rPr>
          <w:rFonts w:ascii="Cambria" w:hAnsi="Cambria"/>
          <w:sz w:val="20"/>
          <w:szCs w:val="20"/>
          <w:lang w:val="es-ES"/>
        </w:rPr>
        <w:t xml:space="preserve">Respecto de las 33 presuntas víctimas mencionadas, si bien hubo pronunciamientos en la jurisdicción ordinaria, la Comisión observa que se sustrajo del conocimiento de </w:t>
      </w:r>
      <w:r w:rsidR="00B64FAC">
        <w:rPr>
          <w:rFonts w:ascii="Cambria" w:hAnsi="Cambria"/>
          <w:sz w:val="20"/>
          <w:szCs w:val="20"/>
          <w:lang w:val="es-ES"/>
        </w:rPr>
        <w:t>dicha jurisdicción</w:t>
      </w:r>
      <w:r w:rsidRPr="00293D33">
        <w:rPr>
          <w:rFonts w:ascii="Cambria" w:hAnsi="Cambria"/>
          <w:sz w:val="20"/>
          <w:szCs w:val="20"/>
          <w:lang w:val="es-ES"/>
        </w:rPr>
        <w:t xml:space="preserve"> la investigación respecto de los agentes estatales alegadamente involucrados en la muerte o lesiones de estas personas. Esto, dado que </w:t>
      </w:r>
      <w:r w:rsidRPr="00293D33">
        <w:rPr>
          <w:rFonts w:ascii="Cambria" w:hAnsi="Cambria" w:cs="Arial"/>
          <w:sz w:val="20"/>
          <w:szCs w:val="20"/>
          <w:lang w:val="es-ES"/>
        </w:rPr>
        <w:t>el 11 de agosto de 1994 el Consejo Superior de la Judicatura resolvió la colisión positiva de competencia a favor de la Jurisdicción Penal Militar, con lo cual la justicia ordinaria no pudo investigar a los agentes estatales alegadamente involucrados en los hechos. Atendida esta circunstancia, la Comisión considera que, respecto de este grupo de presuntas víctimas, se configuraría la excepción al agotamiento contemplada en el artículo 46.2.a de la Convención Americana.</w:t>
      </w:r>
    </w:p>
    <w:p w14:paraId="009AB8C7" w14:textId="77777777" w:rsidR="00FD4A4A" w:rsidRPr="00293D33" w:rsidRDefault="00FD4A4A" w:rsidP="00FD4A4A">
      <w:pPr>
        <w:numPr>
          <w:ilvl w:val="0"/>
          <w:numId w:val="56"/>
        </w:numPr>
        <w:suppressAutoHyphens/>
        <w:spacing w:after="240"/>
        <w:jc w:val="both"/>
        <w:rPr>
          <w:rFonts w:ascii="Cambria" w:hAnsi="Cambria"/>
          <w:color w:val="000000"/>
          <w:sz w:val="20"/>
          <w:szCs w:val="20"/>
          <w:lang w:val="es-ES"/>
        </w:rPr>
      </w:pPr>
      <w:r w:rsidRPr="00293D33">
        <w:rPr>
          <w:rFonts w:ascii="Cambria" w:hAnsi="Cambria"/>
          <w:color w:val="000000"/>
          <w:sz w:val="20"/>
          <w:szCs w:val="20"/>
          <w:lang w:val="es-ES"/>
        </w:rPr>
        <w:t xml:space="preserve">Por otra parte, respecto de aquellas presuntas víctimas cuyos hechos no habrían sido investigados ni determinada la responsabilidad penal de los autores, la Comisión considera que procede la excepción contemplada </w:t>
      </w:r>
      <w:r w:rsidRPr="00293D33">
        <w:rPr>
          <w:rFonts w:ascii="Cambria" w:hAnsi="Cambria" w:cs="Arial"/>
          <w:sz w:val="20"/>
          <w:szCs w:val="20"/>
          <w:lang w:val="es-ES"/>
        </w:rPr>
        <w:t>en el artículo 46.2.c de la Convención Americana.</w:t>
      </w:r>
    </w:p>
    <w:p w14:paraId="4AAF5D8B" w14:textId="77777777" w:rsidR="00FD4A4A" w:rsidRPr="00293D33" w:rsidRDefault="00FD4A4A" w:rsidP="00FD4A4A">
      <w:pPr>
        <w:numPr>
          <w:ilvl w:val="0"/>
          <w:numId w:val="56"/>
        </w:numPr>
        <w:suppressAutoHyphens/>
        <w:spacing w:after="240"/>
        <w:jc w:val="both"/>
        <w:rPr>
          <w:rFonts w:ascii="Cambria" w:eastAsia="Times New Roman" w:hAnsi="Cambria"/>
          <w:sz w:val="20"/>
          <w:szCs w:val="20"/>
          <w:lang w:val="es-ES"/>
        </w:rPr>
      </w:pPr>
      <w:r w:rsidRPr="00293D33">
        <w:rPr>
          <w:rFonts w:ascii="Cambria" w:hAnsi="Cambria"/>
          <w:sz w:val="20"/>
          <w:szCs w:val="20"/>
          <w:lang w:val="es-ES"/>
        </w:rPr>
        <w:t>De la información disponible surge que en materia de justicia militar, el 17 de julio de 1997 el Comando de la Armada Nacional dictó resolución sosteniendo que no existía mérito para dictar resolución convocatoria de Consejo de Guerra, la que fue confirmada el 30 de septiembre 1998 por el Tribunal Superior Militar. En este sentido, l</w:t>
      </w:r>
      <w:r w:rsidRPr="00293D33">
        <w:rPr>
          <w:rFonts w:ascii="Cambria" w:eastAsia="Times New Roman" w:hAnsi="Cambria"/>
          <w:sz w:val="20"/>
          <w:szCs w:val="20"/>
          <w:lang w:val="es-ES"/>
        </w:rPr>
        <w:t>a Comisión se ha pronunciado en forma reiterada sosteniendo que las jurisdicciones especiales, como la militar, no constituyen un foro apropiado y por lo tanto no brindan un recurso adecuado para investigar, juzgar y sancionar posibles violaciones a los derechos humanos consagrados en la Convención Americana, tales como el derecho a la vida, presuntamente cometidas por miembros de la fuerza pública</w:t>
      </w:r>
      <w:r w:rsidRPr="00293D33">
        <w:rPr>
          <w:rFonts w:ascii="Cambria" w:eastAsia="Times New Roman" w:hAnsi="Cambria"/>
          <w:sz w:val="20"/>
          <w:szCs w:val="20"/>
          <w:vertAlign w:val="superscript"/>
          <w:lang w:val="es-ES"/>
        </w:rPr>
        <w:footnoteReference w:id="12"/>
      </w:r>
      <w:r w:rsidRPr="00293D33">
        <w:rPr>
          <w:rFonts w:ascii="Cambria" w:eastAsia="Times New Roman" w:hAnsi="Cambria"/>
          <w:sz w:val="20"/>
          <w:szCs w:val="20"/>
          <w:lang w:val="es-ES"/>
        </w:rPr>
        <w:t>.</w:t>
      </w:r>
    </w:p>
    <w:p w14:paraId="44A480A1" w14:textId="77777777" w:rsidR="00FD4A4A" w:rsidRPr="00293D33" w:rsidRDefault="00FD4A4A" w:rsidP="00FD4A4A">
      <w:pPr>
        <w:numPr>
          <w:ilvl w:val="0"/>
          <w:numId w:val="56"/>
        </w:numPr>
        <w:suppressAutoHyphens/>
        <w:spacing w:after="240"/>
        <w:jc w:val="both"/>
        <w:rPr>
          <w:rFonts w:ascii="Cambria" w:hAnsi="Cambria"/>
          <w:sz w:val="20"/>
          <w:szCs w:val="20"/>
          <w:lang w:val="es-ES"/>
        </w:rPr>
      </w:pPr>
      <w:r w:rsidRPr="00293D33">
        <w:rPr>
          <w:rFonts w:ascii="Cambria" w:hAnsi="Cambria"/>
          <w:sz w:val="20"/>
          <w:szCs w:val="20"/>
          <w:lang w:val="es-ES"/>
        </w:rPr>
        <w:lastRenderedPageBreak/>
        <w:t>Respecto del proceso disciplinario iniciado, el 30 de septiembre de 1998 la Procuraduría para la Defensa de los Derechos Humanos profirió resolución de “represión severa” contra algunos agentes y el 23 de noviembre del 2000 la Procuraduría General de la Nación declaró prescrita la acción sobre determinadas personas. Además, sobre las demandas presentadas en lo contencioso administrativo, si bien en algunos casos, a la fecha de presentación de las observaciones, aún se encontraban pendientes algunos recursos, la mayor parte de las acciones fueron resueltas negativamente en segunda instancia entre los años 2006 a 2010.</w:t>
      </w:r>
    </w:p>
    <w:p w14:paraId="75E76B57" w14:textId="77777777" w:rsidR="00FD4A4A" w:rsidRPr="00293D33" w:rsidRDefault="00FD4A4A" w:rsidP="00FD4A4A">
      <w:pPr>
        <w:numPr>
          <w:ilvl w:val="0"/>
          <w:numId w:val="56"/>
        </w:numPr>
        <w:suppressAutoHyphens/>
        <w:spacing w:after="240"/>
        <w:jc w:val="both"/>
        <w:rPr>
          <w:rFonts w:ascii="Cambria" w:eastAsia="MS Mincho" w:hAnsi="Cambria"/>
          <w:sz w:val="20"/>
          <w:szCs w:val="20"/>
          <w:lang w:val="es-ES"/>
        </w:rPr>
      </w:pPr>
      <w:r w:rsidRPr="00293D33">
        <w:rPr>
          <w:rFonts w:ascii="Cambria" w:eastAsia="MS Mincho" w:hAnsi="Cambria"/>
          <w:sz w:val="20"/>
          <w:szCs w:val="20"/>
          <w:lang w:val="es-ES"/>
        </w:rPr>
        <w:t>En cuanto a los alegatos del Estado relativos a los procesos disciplinarios y a la acción de reparación directa, la Comisión reitera que, en casos como el presente, la vía idónea constituye el proceso penal</w:t>
      </w:r>
      <w:r w:rsidRPr="00293D33">
        <w:rPr>
          <w:rFonts w:ascii="Cambria" w:eastAsia="MS Mincho" w:hAnsi="Cambria"/>
          <w:sz w:val="20"/>
          <w:szCs w:val="20"/>
          <w:vertAlign w:val="superscript"/>
          <w:lang w:val="es-ES"/>
        </w:rPr>
        <w:footnoteReference w:id="13"/>
      </w:r>
      <w:r w:rsidRPr="00293D33">
        <w:rPr>
          <w:rFonts w:ascii="Cambria" w:eastAsia="MS Mincho" w:hAnsi="Cambria"/>
          <w:sz w:val="20"/>
          <w:szCs w:val="20"/>
          <w:lang w:val="es-ES"/>
        </w:rPr>
        <w:t>. Por otra parte, la Comisión observa que dichos recursos, según la información disponible, fueron ineficaces ya que la acción disciplinaria sancionó con “represión severa” exclusivamente a cinco agentes, y que la misma fue posteriormente declarada prescrita. Además, sobre las demandas presentadas en lo contencioso administrativo, en todos los casos conocidos en segunda instancia por el Consejo de Estado, las acciones tuvieron resultados negativos en aquellos que habían sido resueltos al momento de presentación de las observaciones de las partes.</w:t>
      </w:r>
    </w:p>
    <w:p w14:paraId="4A0DD40D" w14:textId="77777777" w:rsidR="00FD4A4A" w:rsidRPr="00293D33" w:rsidRDefault="00FD4A4A" w:rsidP="00FD4A4A">
      <w:pPr>
        <w:numPr>
          <w:ilvl w:val="0"/>
          <w:numId w:val="56"/>
        </w:numPr>
        <w:suppressAutoHyphens/>
        <w:spacing w:after="240"/>
        <w:jc w:val="both"/>
        <w:rPr>
          <w:rFonts w:ascii="Cambria" w:eastAsia="MS Mincho" w:hAnsi="Cambria"/>
          <w:sz w:val="20"/>
          <w:szCs w:val="20"/>
          <w:lang w:val="es-ES"/>
        </w:rPr>
      </w:pPr>
      <w:r w:rsidRPr="00293D33">
        <w:rPr>
          <w:rFonts w:ascii="Cambria" w:eastAsia="MS Mincho" w:hAnsi="Cambria"/>
          <w:sz w:val="20"/>
          <w:szCs w:val="20"/>
          <w:lang w:val="es-ES"/>
        </w:rPr>
        <w:t xml:space="preserve"> La Comisión recuerda que, en cuanto a los procesos ante la jurisdicción contencioso administrativa, ha sostenido reiteradamente que dicha vía no constituye un recurso idóneo a efectos de analizar la admisibilidad de un reclamo de la naturaleza del presente</w:t>
      </w:r>
      <w:r w:rsidRPr="00293D33">
        <w:rPr>
          <w:rFonts w:ascii="Cambria" w:eastAsia="MS Mincho" w:hAnsi="Cambria"/>
          <w:sz w:val="20"/>
          <w:szCs w:val="20"/>
          <w:vertAlign w:val="superscript"/>
          <w:lang w:val="es-ES"/>
        </w:rPr>
        <w:footnoteReference w:id="14"/>
      </w:r>
      <w:r w:rsidRPr="00293D33">
        <w:rPr>
          <w:rFonts w:ascii="Cambria" w:eastAsia="MS Mincho" w:hAnsi="Cambria"/>
          <w:sz w:val="20"/>
          <w:szCs w:val="20"/>
          <w:lang w:val="es-ES"/>
        </w:rPr>
        <w:t>. Concretamente, la Comisión ha señalado que el contencioso administrativo es un mecanismo que procura la supervisión de la actividad administrativa del Estado y que únicamente permite obtener una indemnización por daños y perjuicios causados por la acción u omisión de agentes del Estado. Al respecto, la Corte Interamericana ha estimado que “la reparación integral de una violación a un derecho protegido por la Convención no puede ser reducida al pago de compensación a los familiares de la víctima”</w:t>
      </w:r>
      <w:r w:rsidRPr="00293D33">
        <w:rPr>
          <w:rFonts w:ascii="Cambria" w:eastAsia="MS Mincho" w:hAnsi="Cambria"/>
          <w:sz w:val="20"/>
          <w:szCs w:val="20"/>
          <w:vertAlign w:val="superscript"/>
          <w:lang w:val="es-ES"/>
        </w:rPr>
        <w:footnoteReference w:id="15"/>
      </w:r>
      <w:r w:rsidRPr="00293D33">
        <w:rPr>
          <w:rFonts w:ascii="Cambria" w:eastAsia="MS Mincho" w:hAnsi="Cambria"/>
          <w:sz w:val="20"/>
          <w:szCs w:val="20"/>
          <w:lang w:val="es-ES"/>
        </w:rPr>
        <w:t>.</w:t>
      </w:r>
    </w:p>
    <w:p w14:paraId="1F34048E" w14:textId="54EB9878" w:rsidR="00FD4A4A" w:rsidRPr="00FD4A4A" w:rsidRDefault="00FD4A4A" w:rsidP="00FD4A4A">
      <w:pPr>
        <w:numPr>
          <w:ilvl w:val="0"/>
          <w:numId w:val="56"/>
        </w:numPr>
        <w:suppressAutoHyphens/>
        <w:spacing w:after="240"/>
        <w:jc w:val="both"/>
        <w:rPr>
          <w:rFonts w:ascii="Cambria" w:hAnsi="Cambria"/>
          <w:color w:val="000000"/>
          <w:sz w:val="20"/>
          <w:szCs w:val="20"/>
          <w:lang w:val="es-ES"/>
        </w:rPr>
      </w:pPr>
      <w:r w:rsidRPr="00293D33">
        <w:rPr>
          <w:rFonts w:ascii="Cambria" w:hAnsi="Cambria" w:cs="Arial"/>
          <w:sz w:val="20"/>
          <w:szCs w:val="20"/>
          <w:lang w:val="es-ES"/>
        </w:rPr>
        <w:t>A la luz de lo señalado, la Comisión concluye que en el presente caso aplican las excepciones al agotamiento de los recursos internos previstas en el artículo 46.2. literales a y c de la Convención Americana.</w:t>
      </w:r>
    </w:p>
    <w:p w14:paraId="291B1B1C" w14:textId="77777777" w:rsidR="00B056A5" w:rsidRPr="008F226C" w:rsidRDefault="00B056A5" w:rsidP="008645D0">
      <w:pPr>
        <w:spacing w:after="240"/>
        <w:ind w:firstLine="720"/>
        <w:jc w:val="both"/>
        <w:rPr>
          <w:rFonts w:asciiTheme="majorHAnsi" w:hAnsiTheme="majorHAnsi"/>
          <w:b/>
          <w:sz w:val="20"/>
          <w:szCs w:val="20"/>
          <w:lang w:val="es-ES"/>
        </w:rPr>
      </w:pPr>
      <w:r w:rsidRPr="008F226C">
        <w:rPr>
          <w:rFonts w:asciiTheme="majorHAnsi" w:hAnsiTheme="majorHAnsi"/>
          <w:b/>
          <w:sz w:val="20"/>
          <w:szCs w:val="20"/>
          <w:lang w:val="es-ES"/>
        </w:rPr>
        <w:t>2.</w:t>
      </w:r>
      <w:r w:rsidRPr="008F226C">
        <w:rPr>
          <w:rFonts w:asciiTheme="majorHAnsi" w:hAnsiTheme="majorHAnsi"/>
          <w:b/>
          <w:sz w:val="20"/>
          <w:szCs w:val="20"/>
          <w:lang w:val="es-ES"/>
        </w:rPr>
        <w:tab/>
      </w:r>
      <w:r w:rsidR="0063685A" w:rsidRPr="008F226C">
        <w:rPr>
          <w:rFonts w:asciiTheme="majorHAnsi" w:hAnsiTheme="majorHAnsi"/>
          <w:b/>
          <w:sz w:val="20"/>
          <w:szCs w:val="20"/>
          <w:lang w:val="es-ES"/>
        </w:rPr>
        <w:t>Plazo de presentación de la petición</w:t>
      </w:r>
    </w:p>
    <w:p w14:paraId="53377228" w14:textId="545DB917" w:rsidR="00D82F42" w:rsidRPr="008F226C" w:rsidRDefault="00D82F42" w:rsidP="00D82F4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8F226C">
        <w:rPr>
          <w:rFonts w:asciiTheme="majorHAnsi" w:hAnsiTheme="majorHAnsi" w:cs="Arial"/>
          <w:sz w:val="20"/>
          <w:szCs w:val="20"/>
          <w:lang w:val="es-ES"/>
        </w:rPr>
        <w:t xml:space="preserve">El artículo </w:t>
      </w:r>
      <w:r w:rsidRPr="008F226C">
        <w:rPr>
          <w:rFonts w:asciiTheme="majorHAnsi" w:hAnsiTheme="majorHAnsi"/>
          <w:sz w:val="20"/>
          <w:szCs w:val="20"/>
          <w:lang w:val="es-ES"/>
        </w:rPr>
        <w:t>46.1.b de la Convención Americana establece que para que una petición resulte admisible por la Comisión se requerirá que sea presentada dentro del plazo de seis meses a partir de la fecha en que el presunto lesionado haya sido notificado de la decisión definitiva. En el reclamo bajo análisis, la CIDH ha establecid</w:t>
      </w:r>
      <w:r w:rsidR="00177195" w:rsidRPr="008F226C">
        <w:rPr>
          <w:rFonts w:asciiTheme="majorHAnsi" w:hAnsiTheme="majorHAnsi"/>
          <w:sz w:val="20"/>
          <w:szCs w:val="20"/>
          <w:lang w:val="es-ES"/>
        </w:rPr>
        <w:t>o la aplicación de las excepciones</w:t>
      </w:r>
      <w:r w:rsidRPr="008F226C">
        <w:rPr>
          <w:rFonts w:asciiTheme="majorHAnsi" w:hAnsiTheme="majorHAnsi"/>
          <w:sz w:val="20"/>
          <w:szCs w:val="20"/>
          <w:lang w:val="es-ES"/>
        </w:rPr>
        <w:t xml:space="preserve"> al agotamiento de los recursos internos conforme al artículo 46.2.</w:t>
      </w:r>
      <w:r w:rsidR="00177195" w:rsidRPr="008F226C">
        <w:rPr>
          <w:rFonts w:asciiTheme="majorHAnsi" w:hAnsiTheme="majorHAnsi"/>
          <w:sz w:val="20"/>
          <w:szCs w:val="20"/>
          <w:lang w:val="es-ES"/>
        </w:rPr>
        <w:t xml:space="preserve"> letras </w:t>
      </w:r>
      <w:r w:rsidRPr="008F226C">
        <w:rPr>
          <w:rFonts w:asciiTheme="majorHAnsi" w:hAnsiTheme="majorHAnsi"/>
          <w:sz w:val="20"/>
          <w:szCs w:val="20"/>
          <w:lang w:val="es-ES"/>
        </w:rPr>
        <w:t>a</w:t>
      </w:r>
      <w:r w:rsidR="00177195" w:rsidRPr="008F226C">
        <w:rPr>
          <w:rFonts w:asciiTheme="majorHAnsi" w:hAnsiTheme="majorHAnsi"/>
          <w:sz w:val="20"/>
          <w:szCs w:val="20"/>
          <w:lang w:val="es-ES"/>
        </w:rPr>
        <w:t xml:space="preserve"> y </w:t>
      </w:r>
      <w:r w:rsidRPr="008F226C">
        <w:rPr>
          <w:rFonts w:asciiTheme="majorHAnsi" w:hAnsiTheme="majorHAnsi"/>
          <w:sz w:val="20"/>
          <w:szCs w:val="20"/>
          <w:lang w:val="es-ES"/>
        </w:rPr>
        <w:t>c de la Convención Americana. Al respecto, el artículo 32.2 del Reglamento de la Comisión establece que en los casos en los cuales resulten aplicables las excepciones al previo agotamiento de los recursos internos, la petición deberá presentarse dentro de un plazo razonable, a criterio de la Comisión.</w:t>
      </w:r>
      <w:r w:rsidR="00001C6A">
        <w:rPr>
          <w:rFonts w:asciiTheme="majorHAnsi" w:hAnsiTheme="majorHAnsi"/>
          <w:sz w:val="20"/>
          <w:szCs w:val="20"/>
          <w:lang w:val="es-ES"/>
        </w:rPr>
        <w:t xml:space="preserve"> </w:t>
      </w:r>
      <w:r w:rsidRPr="008F226C">
        <w:rPr>
          <w:rFonts w:asciiTheme="majorHAnsi" w:hAnsiTheme="majorHAnsi"/>
          <w:sz w:val="20"/>
          <w:szCs w:val="20"/>
          <w:lang w:val="es-ES"/>
        </w:rPr>
        <w:t>A tal efecto, la Comisión debe considerar la fecha en que haya ocurrido la presunta violación de los derechos y las circunstancias de cada caso.</w:t>
      </w:r>
    </w:p>
    <w:p w14:paraId="16CD5ABF" w14:textId="54A947D9" w:rsidR="00177195" w:rsidRPr="008F226C" w:rsidRDefault="00177195" w:rsidP="0017719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8F226C">
        <w:rPr>
          <w:rFonts w:asciiTheme="majorHAnsi" w:hAnsiTheme="majorHAnsi" w:cs="Arial"/>
          <w:sz w:val="20"/>
          <w:szCs w:val="20"/>
          <w:lang w:val="es-ES"/>
        </w:rPr>
        <w:t>En el caso bajo análisis, la CIDH ha establecido la aplicación de la excepción al agotamiento de los recursos internos prevista en los artículos 46.2.a y c de la Convención Americana.</w:t>
      </w:r>
      <w:r w:rsidR="00001C6A">
        <w:rPr>
          <w:rFonts w:asciiTheme="majorHAnsi" w:hAnsiTheme="majorHAnsi" w:cs="Arial"/>
          <w:sz w:val="20"/>
          <w:szCs w:val="20"/>
          <w:lang w:val="es-ES"/>
        </w:rPr>
        <w:t xml:space="preserve"> </w:t>
      </w:r>
      <w:r w:rsidRPr="008F226C">
        <w:rPr>
          <w:rFonts w:asciiTheme="majorHAnsi" w:hAnsiTheme="majorHAnsi" w:cs="Arial"/>
          <w:sz w:val="20"/>
          <w:szCs w:val="20"/>
          <w:lang w:val="es-ES"/>
        </w:rPr>
        <w:t xml:space="preserve">La petición ante la CIDH fue recibida el 8 de octubre de 1997 y los presuntos hechos materia del reclamo se iniciaron el año </w:t>
      </w:r>
      <w:r w:rsidRPr="008F226C">
        <w:rPr>
          <w:rFonts w:asciiTheme="majorHAnsi" w:hAnsiTheme="majorHAnsi" w:cs="Arial"/>
          <w:sz w:val="20"/>
          <w:szCs w:val="20"/>
          <w:lang w:val="es-ES"/>
        </w:rPr>
        <w:lastRenderedPageBreak/>
        <w:t>1992 y sus</w:t>
      </w:r>
      <w:r w:rsidR="00856CA9">
        <w:rPr>
          <w:rFonts w:asciiTheme="majorHAnsi" w:hAnsiTheme="majorHAnsi" w:cs="Arial"/>
          <w:sz w:val="20"/>
          <w:szCs w:val="20"/>
          <w:lang w:val="es-ES"/>
        </w:rPr>
        <w:t xml:space="preserve"> alegados</w:t>
      </w:r>
      <w:r w:rsidRPr="008F226C">
        <w:rPr>
          <w:rFonts w:asciiTheme="majorHAnsi" w:hAnsiTheme="majorHAnsi" w:cs="Arial"/>
          <w:sz w:val="20"/>
          <w:szCs w:val="20"/>
          <w:lang w:val="es-ES"/>
        </w:rPr>
        <w:t xml:space="preserve">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p>
    <w:p w14:paraId="246C482F" w14:textId="77777777" w:rsidR="0063685A" w:rsidRPr="008F226C" w:rsidRDefault="0063685A" w:rsidP="008645D0">
      <w:pPr>
        <w:spacing w:after="240"/>
        <w:ind w:firstLine="720"/>
        <w:jc w:val="both"/>
        <w:rPr>
          <w:rFonts w:asciiTheme="majorHAnsi" w:hAnsiTheme="majorHAnsi"/>
          <w:b/>
          <w:bCs/>
          <w:sz w:val="20"/>
          <w:szCs w:val="20"/>
          <w:lang w:val="es-ES"/>
        </w:rPr>
      </w:pPr>
      <w:r w:rsidRPr="008F226C">
        <w:rPr>
          <w:rFonts w:asciiTheme="majorHAnsi" w:hAnsiTheme="majorHAnsi"/>
          <w:b/>
          <w:bCs/>
          <w:sz w:val="20"/>
          <w:szCs w:val="20"/>
          <w:lang w:val="es-ES"/>
        </w:rPr>
        <w:t>3.</w:t>
      </w:r>
      <w:r w:rsidRPr="008F226C">
        <w:rPr>
          <w:rFonts w:asciiTheme="majorHAnsi" w:hAnsiTheme="majorHAnsi"/>
          <w:b/>
          <w:bCs/>
          <w:sz w:val="20"/>
          <w:szCs w:val="20"/>
          <w:lang w:val="es-ES"/>
        </w:rPr>
        <w:tab/>
        <w:t>Duplicación de procedimientos y cosa juzgada internacional</w:t>
      </w:r>
    </w:p>
    <w:p w14:paraId="659F32AB" w14:textId="005215F6" w:rsidR="006606F4" w:rsidRPr="008F226C" w:rsidRDefault="0063685A" w:rsidP="00A8688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226C">
        <w:rPr>
          <w:rFonts w:asciiTheme="majorHAnsi" w:hAnsiTheme="majorHAnsi"/>
          <w:sz w:val="20"/>
          <w:szCs w:val="20"/>
          <w:lang w:val="es-ES"/>
        </w:rPr>
        <w:t xml:space="preserve">No surge del expediente que la materia de la petición se encuentre pendiente de otro procedimiento de arreglo internacional, ni que reproduzca una petición ya examinada por éste u otro órgano internacional. Por lo tanto, </w:t>
      </w:r>
      <w:r w:rsidR="009309AC" w:rsidRPr="008F226C">
        <w:rPr>
          <w:rFonts w:asciiTheme="majorHAnsi" w:hAnsiTheme="majorHAnsi"/>
          <w:sz w:val="20"/>
          <w:szCs w:val="20"/>
          <w:lang w:val="es-ES"/>
        </w:rPr>
        <w:t xml:space="preserve">no son aplicables las causales de inadmisibilidad establecidas </w:t>
      </w:r>
      <w:r w:rsidRPr="008F226C">
        <w:rPr>
          <w:rFonts w:asciiTheme="majorHAnsi" w:hAnsiTheme="majorHAnsi"/>
          <w:sz w:val="20"/>
          <w:szCs w:val="20"/>
          <w:lang w:val="es-ES"/>
        </w:rPr>
        <w:t>en los artículos 46</w:t>
      </w:r>
      <w:r w:rsidR="00406DA6" w:rsidRPr="008F226C">
        <w:rPr>
          <w:rFonts w:asciiTheme="majorHAnsi" w:hAnsiTheme="majorHAnsi"/>
          <w:sz w:val="20"/>
          <w:szCs w:val="20"/>
          <w:lang w:val="es-ES"/>
        </w:rPr>
        <w:t>.</w:t>
      </w:r>
      <w:r w:rsidRPr="008F226C">
        <w:rPr>
          <w:rFonts w:asciiTheme="majorHAnsi" w:hAnsiTheme="majorHAnsi"/>
          <w:sz w:val="20"/>
          <w:szCs w:val="20"/>
          <w:lang w:val="es-ES"/>
        </w:rPr>
        <w:t>1</w:t>
      </w:r>
      <w:r w:rsidR="00406DA6" w:rsidRPr="008F226C">
        <w:rPr>
          <w:rFonts w:asciiTheme="majorHAnsi" w:hAnsiTheme="majorHAnsi"/>
          <w:sz w:val="20"/>
          <w:szCs w:val="20"/>
          <w:lang w:val="es-ES"/>
        </w:rPr>
        <w:t>.</w:t>
      </w:r>
      <w:r w:rsidRPr="008F226C">
        <w:rPr>
          <w:rFonts w:asciiTheme="majorHAnsi" w:hAnsiTheme="majorHAnsi"/>
          <w:sz w:val="20"/>
          <w:szCs w:val="20"/>
          <w:lang w:val="es-ES"/>
        </w:rPr>
        <w:t>c y 47</w:t>
      </w:r>
      <w:r w:rsidR="00406DA6" w:rsidRPr="008F226C">
        <w:rPr>
          <w:rFonts w:asciiTheme="majorHAnsi" w:hAnsiTheme="majorHAnsi"/>
          <w:sz w:val="20"/>
          <w:szCs w:val="20"/>
          <w:lang w:val="es-ES"/>
        </w:rPr>
        <w:t>.</w:t>
      </w:r>
      <w:r w:rsidRPr="008F226C">
        <w:rPr>
          <w:rFonts w:asciiTheme="majorHAnsi" w:hAnsiTheme="majorHAnsi"/>
          <w:sz w:val="20"/>
          <w:szCs w:val="20"/>
          <w:lang w:val="es-ES"/>
        </w:rPr>
        <w:t>d</w:t>
      </w:r>
      <w:r w:rsidR="00406DA6" w:rsidRPr="008F226C">
        <w:rPr>
          <w:rFonts w:asciiTheme="majorHAnsi" w:hAnsiTheme="majorHAnsi"/>
          <w:sz w:val="20"/>
          <w:szCs w:val="20"/>
          <w:lang w:val="es-ES"/>
        </w:rPr>
        <w:t xml:space="preserve"> de la Convención.</w:t>
      </w:r>
    </w:p>
    <w:p w14:paraId="163A4471" w14:textId="77777777" w:rsidR="005963C2" w:rsidRPr="008F226C" w:rsidRDefault="005963C2" w:rsidP="005963C2">
      <w:pPr>
        <w:spacing w:after="240"/>
        <w:ind w:firstLine="720"/>
        <w:jc w:val="both"/>
        <w:rPr>
          <w:rFonts w:asciiTheme="majorHAnsi" w:hAnsiTheme="majorHAnsi"/>
          <w:b/>
          <w:bCs/>
          <w:sz w:val="20"/>
          <w:szCs w:val="20"/>
          <w:lang w:val="es-ES"/>
        </w:rPr>
      </w:pPr>
      <w:r w:rsidRPr="008F226C">
        <w:rPr>
          <w:rFonts w:asciiTheme="majorHAnsi" w:hAnsiTheme="majorHAnsi"/>
          <w:b/>
          <w:bCs/>
          <w:sz w:val="20"/>
          <w:szCs w:val="20"/>
          <w:lang w:val="es-ES"/>
        </w:rPr>
        <w:t>4.</w:t>
      </w:r>
      <w:r w:rsidRPr="008F226C">
        <w:rPr>
          <w:rFonts w:asciiTheme="majorHAnsi" w:hAnsiTheme="majorHAnsi"/>
          <w:b/>
          <w:bCs/>
          <w:sz w:val="20"/>
          <w:szCs w:val="20"/>
          <w:lang w:val="es-ES"/>
        </w:rPr>
        <w:tab/>
        <w:t>Caracterización de los hechos alegados</w:t>
      </w:r>
    </w:p>
    <w:p w14:paraId="68A233C8" w14:textId="77777777" w:rsidR="005963C2" w:rsidRPr="008F226C" w:rsidRDefault="00406DA6" w:rsidP="005963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226C">
        <w:rPr>
          <w:rFonts w:asciiTheme="majorHAnsi" w:hAnsiTheme="majorHAnsi"/>
          <w:sz w:val="20"/>
          <w:szCs w:val="20"/>
          <w:lang w:val="es-ES"/>
        </w:rPr>
        <w:t xml:space="preserve"> </w:t>
      </w:r>
      <w:r w:rsidR="005963C2" w:rsidRPr="008F226C">
        <w:rPr>
          <w:rFonts w:asciiTheme="majorHAnsi" w:hAnsiTheme="majorHAnsi"/>
          <w:sz w:val="20"/>
          <w:szCs w:val="20"/>
          <w:lang w:val="es-ES"/>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El criterio para analizar la admisibilidad difiere del utilizado para el análisis del fondo de la petición dado que la Comisión sólo realiza un análisis </w:t>
      </w:r>
      <w:r w:rsidR="005963C2" w:rsidRPr="008F226C">
        <w:rPr>
          <w:rFonts w:asciiTheme="majorHAnsi" w:hAnsiTheme="majorHAnsi"/>
          <w:i/>
          <w:sz w:val="20"/>
          <w:szCs w:val="20"/>
          <w:lang w:val="es-ES"/>
        </w:rPr>
        <w:t>prima facie</w:t>
      </w:r>
      <w:r w:rsidR="005963C2" w:rsidRPr="008F226C">
        <w:rPr>
          <w:rFonts w:asciiTheme="majorHAnsi" w:hAnsiTheme="majorHAnsi"/>
          <w:sz w:val="20"/>
          <w:szCs w:val="20"/>
          <w:lang w:val="es-ES"/>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14:paraId="158CF094" w14:textId="77777777" w:rsidR="009F0B9A" w:rsidRPr="008F226C" w:rsidRDefault="009F0B9A" w:rsidP="005963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226C">
        <w:rPr>
          <w:rFonts w:asciiTheme="majorHAnsi" w:hAnsiTheme="majorHAnsi"/>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14:paraId="3C7D78F2" w14:textId="23706B92" w:rsidR="00292D33" w:rsidRPr="008F226C" w:rsidRDefault="00F95450" w:rsidP="005963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226C">
        <w:rPr>
          <w:rFonts w:asciiTheme="majorHAnsi" w:hAnsiTheme="majorHAnsi" w:cs="Arial"/>
          <w:sz w:val="20"/>
          <w:szCs w:val="20"/>
          <w:lang w:val="es-ES"/>
        </w:rPr>
        <w:t>Lo</w:t>
      </w:r>
      <w:r w:rsidR="007E1669" w:rsidRPr="008F226C">
        <w:rPr>
          <w:rFonts w:asciiTheme="majorHAnsi" w:hAnsiTheme="majorHAnsi" w:cs="Arial"/>
          <w:sz w:val="20"/>
          <w:szCs w:val="20"/>
          <w:lang w:val="es-ES"/>
        </w:rPr>
        <w:t>s</w:t>
      </w:r>
      <w:r w:rsidR="0063685A" w:rsidRPr="008F226C">
        <w:rPr>
          <w:rFonts w:asciiTheme="majorHAnsi" w:hAnsiTheme="majorHAnsi" w:cs="Arial"/>
          <w:sz w:val="20"/>
          <w:szCs w:val="20"/>
          <w:lang w:val="es-ES"/>
        </w:rPr>
        <w:t xml:space="preserve"> peticionario</w:t>
      </w:r>
      <w:r w:rsidR="007E1669" w:rsidRPr="008F226C">
        <w:rPr>
          <w:rFonts w:asciiTheme="majorHAnsi" w:hAnsiTheme="majorHAnsi" w:cs="Arial"/>
          <w:sz w:val="20"/>
          <w:szCs w:val="20"/>
          <w:lang w:val="es-ES"/>
        </w:rPr>
        <w:t>s</w:t>
      </w:r>
      <w:r w:rsidR="0063685A" w:rsidRPr="008F226C">
        <w:rPr>
          <w:rFonts w:asciiTheme="majorHAnsi" w:hAnsiTheme="majorHAnsi" w:cs="Arial"/>
          <w:sz w:val="20"/>
          <w:szCs w:val="20"/>
          <w:lang w:val="es-ES"/>
        </w:rPr>
        <w:t xml:space="preserve"> sostiene</w:t>
      </w:r>
      <w:r w:rsidR="007E1669" w:rsidRPr="008F226C">
        <w:rPr>
          <w:rFonts w:asciiTheme="majorHAnsi" w:hAnsiTheme="majorHAnsi" w:cs="Arial"/>
          <w:sz w:val="20"/>
          <w:szCs w:val="20"/>
          <w:lang w:val="es-ES"/>
        </w:rPr>
        <w:t>n</w:t>
      </w:r>
      <w:r w:rsidR="009D03A9" w:rsidRPr="008F226C">
        <w:rPr>
          <w:rFonts w:asciiTheme="majorHAnsi" w:hAnsiTheme="majorHAnsi" w:cs="Arial"/>
          <w:sz w:val="20"/>
          <w:szCs w:val="20"/>
          <w:lang w:val="es-ES"/>
        </w:rPr>
        <w:t xml:space="preserve"> que el Estado violó el derecho a la vida en perjuicio de las</w:t>
      </w:r>
      <w:r w:rsidR="00001C6A">
        <w:rPr>
          <w:rFonts w:asciiTheme="majorHAnsi" w:hAnsiTheme="majorHAnsi" w:cs="Arial"/>
          <w:sz w:val="20"/>
          <w:szCs w:val="20"/>
          <w:lang w:val="es-ES"/>
        </w:rPr>
        <w:t xml:space="preserve"> </w:t>
      </w:r>
      <w:r w:rsidR="00C861BE" w:rsidRPr="008F226C">
        <w:rPr>
          <w:rFonts w:asciiTheme="majorHAnsi" w:hAnsiTheme="majorHAnsi" w:cs="Arial"/>
          <w:sz w:val="20"/>
          <w:szCs w:val="20"/>
          <w:lang w:val="es-ES"/>
        </w:rPr>
        <w:t>personas que fueron presuntas víctimas de ejecución extrajudicial,</w:t>
      </w:r>
      <w:r w:rsidR="009D03A9" w:rsidRPr="008F226C">
        <w:rPr>
          <w:rFonts w:asciiTheme="majorHAnsi" w:hAnsiTheme="majorHAnsi" w:cs="Arial"/>
          <w:sz w:val="20"/>
          <w:szCs w:val="20"/>
          <w:lang w:val="es-ES"/>
        </w:rPr>
        <w:t xml:space="preserve"> el derecho a la vida e integridad personal en perjuicio de las víctimas de tentativas de </w:t>
      </w:r>
      <w:r w:rsidR="00FB5ACE">
        <w:rPr>
          <w:rFonts w:asciiTheme="majorHAnsi" w:hAnsiTheme="majorHAnsi" w:cs="Arial"/>
          <w:sz w:val="20"/>
          <w:szCs w:val="20"/>
          <w:lang w:val="es-ES"/>
        </w:rPr>
        <w:t>ejecución o violaciones a la integridad personal</w:t>
      </w:r>
      <w:r w:rsidR="009D03A9" w:rsidRPr="008F226C">
        <w:rPr>
          <w:rFonts w:asciiTheme="majorHAnsi" w:hAnsiTheme="majorHAnsi" w:cs="Arial"/>
          <w:sz w:val="20"/>
          <w:szCs w:val="20"/>
          <w:lang w:val="es-ES"/>
        </w:rPr>
        <w:t xml:space="preserve">, la libertad de pensamiento, la libertad de asociación, las garantías judiciales, la protección judicial, y </w:t>
      </w:r>
      <w:r w:rsidR="00C861BE" w:rsidRPr="008F226C">
        <w:rPr>
          <w:rFonts w:asciiTheme="majorHAnsi" w:hAnsiTheme="majorHAnsi" w:cs="Arial"/>
          <w:sz w:val="20"/>
          <w:szCs w:val="20"/>
          <w:lang w:val="es-ES"/>
        </w:rPr>
        <w:t xml:space="preserve">el derecho </w:t>
      </w:r>
      <w:r w:rsidR="009D03A9" w:rsidRPr="008F226C">
        <w:rPr>
          <w:rFonts w:asciiTheme="majorHAnsi" w:hAnsiTheme="majorHAnsi" w:cs="Arial"/>
          <w:sz w:val="20"/>
          <w:szCs w:val="20"/>
          <w:lang w:val="es-ES"/>
        </w:rPr>
        <w:t>a la verdad, así como el derecho de acceso a un recurso efectivo a</w:t>
      </w:r>
      <w:r w:rsidR="003C79AE" w:rsidRPr="008F226C">
        <w:rPr>
          <w:rFonts w:asciiTheme="majorHAnsi" w:hAnsiTheme="majorHAnsi" w:cs="Arial"/>
          <w:sz w:val="20"/>
          <w:szCs w:val="20"/>
          <w:lang w:val="es-ES"/>
        </w:rPr>
        <w:t xml:space="preserve"> </w:t>
      </w:r>
      <w:r w:rsidR="009D03A9" w:rsidRPr="008F226C">
        <w:rPr>
          <w:rFonts w:asciiTheme="majorHAnsi" w:hAnsiTheme="majorHAnsi" w:cs="Arial"/>
          <w:sz w:val="20"/>
          <w:szCs w:val="20"/>
          <w:lang w:val="es-ES"/>
        </w:rPr>
        <w:t>fin de juzgar y sancionar a los responsables, esclarecer la verdad y obtener reparación</w:t>
      </w:r>
      <w:r w:rsidR="003C79AE" w:rsidRPr="008F226C">
        <w:rPr>
          <w:rFonts w:asciiTheme="majorHAnsi" w:hAnsiTheme="majorHAnsi" w:cs="Arial"/>
          <w:sz w:val="20"/>
          <w:szCs w:val="20"/>
          <w:lang w:val="es-ES"/>
        </w:rPr>
        <w:t>.</w:t>
      </w:r>
    </w:p>
    <w:p w14:paraId="5AF61F67" w14:textId="40913885" w:rsidR="0063685A" w:rsidRPr="008F226C" w:rsidRDefault="0063685A" w:rsidP="005963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226C">
        <w:rPr>
          <w:rFonts w:asciiTheme="majorHAnsi" w:eastAsia="SimSun" w:hAnsiTheme="majorHAnsi"/>
          <w:sz w:val="20"/>
          <w:szCs w:val="20"/>
          <w:lang w:val="es-ES"/>
        </w:rPr>
        <w:t>A su vez</w:t>
      </w:r>
      <w:r w:rsidR="002D2B37" w:rsidRPr="008F226C">
        <w:rPr>
          <w:rFonts w:asciiTheme="majorHAnsi" w:eastAsia="SimSun" w:hAnsiTheme="majorHAnsi"/>
          <w:sz w:val="20"/>
          <w:szCs w:val="20"/>
          <w:lang w:val="es-ES"/>
        </w:rPr>
        <w:t xml:space="preserve">, el Estado manifiesta que </w:t>
      </w:r>
      <w:r w:rsidR="003C79AE" w:rsidRPr="008F226C">
        <w:rPr>
          <w:rFonts w:asciiTheme="majorHAnsi" w:eastAsia="SimSun" w:hAnsiTheme="majorHAnsi"/>
          <w:sz w:val="20"/>
          <w:szCs w:val="20"/>
          <w:lang w:val="es-ES"/>
        </w:rPr>
        <w:t>cumplió con su deber de investigar los hechos, conforme a los estándares internacionales, producto de lo cual existen sentencias condenatorias</w:t>
      </w:r>
      <w:r w:rsidRPr="008F226C">
        <w:rPr>
          <w:rFonts w:asciiTheme="majorHAnsi" w:eastAsia="SimSun" w:hAnsiTheme="majorHAnsi"/>
          <w:sz w:val="20"/>
          <w:szCs w:val="20"/>
          <w:lang w:val="es-ES"/>
        </w:rPr>
        <w:t>.</w:t>
      </w:r>
      <w:r w:rsidR="003C79AE" w:rsidRPr="008F226C">
        <w:rPr>
          <w:rFonts w:asciiTheme="majorHAnsi" w:eastAsia="SimSun" w:hAnsiTheme="majorHAnsi"/>
          <w:sz w:val="20"/>
          <w:szCs w:val="20"/>
          <w:lang w:val="es-ES"/>
        </w:rPr>
        <w:t xml:space="preserve"> Además, sostiene que la acción d</w:t>
      </w:r>
      <w:r w:rsidR="002D2B37" w:rsidRPr="008F226C">
        <w:rPr>
          <w:rFonts w:asciiTheme="majorHAnsi" w:eastAsia="SimSun" w:hAnsiTheme="majorHAnsi"/>
          <w:sz w:val="20"/>
          <w:szCs w:val="20"/>
          <w:lang w:val="es-ES"/>
        </w:rPr>
        <w:t>e reparación directa es idónea y</w:t>
      </w:r>
      <w:r w:rsidR="003C79AE" w:rsidRPr="008F226C">
        <w:rPr>
          <w:rFonts w:asciiTheme="majorHAnsi" w:eastAsia="SimSun" w:hAnsiTheme="majorHAnsi"/>
          <w:sz w:val="20"/>
          <w:szCs w:val="20"/>
          <w:lang w:val="es-ES"/>
        </w:rPr>
        <w:t xml:space="preserve"> efectiva a fin de lo</w:t>
      </w:r>
      <w:r w:rsidR="00C861BE" w:rsidRPr="008F226C">
        <w:rPr>
          <w:rFonts w:asciiTheme="majorHAnsi" w:eastAsia="SimSun" w:hAnsiTheme="majorHAnsi"/>
          <w:sz w:val="20"/>
          <w:szCs w:val="20"/>
          <w:lang w:val="es-ES"/>
        </w:rPr>
        <w:t xml:space="preserve">grar una indemnización, y </w:t>
      </w:r>
      <w:r w:rsidR="003C79AE" w:rsidRPr="008F226C">
        <w:rPr>
          <w:rFonts w:asciiTheme="majorHAnsi" w:eastAsia="SimSun" w:hAnsiTheme="majorHAnsi"/>
          <w:sz w:val="20"/>
          <w:szCs w:val="20"/>
          <w:lang w:val="es-ES"/>
        </w:rPr>
        <w:t>que debiese ser</w:t>
      </w:r>
      <w:r w:rsidR="00C861BE" w:rsidRPr="008F226C">
        <w:rPr>
          <w:rFonts w:asciiTheme="majorHAnsi" w:eastAsia="SimSun" w:hAnsiTheme="majorHAnsi"/>
          <w:sz w:val="20"/>
          <w:szCs w:val="20"/>
          <w:lang w:val="es-ES"/>
        </w:rPr>
        <w:t xml:space="preserve"> ejercida </w:t>
      </w:r>
      <w:r w:rsidR="003C79AE" w:rsidRPr="008F226C">
        <w:rPr>
          <w:rFonts w:asciiTheme="majorHAnsi" w:eastAsia="SimSun" w:hAnsiTheme="majorHAnsi"/>
          <w:sz w:val="20"/>
          <w:szCs w:val="20"/>
          <w:lang w:val="es-ES"/>
        </w:rPr>
        <w:t>por las presuntas</w:t>
      </w:r>
      <w:r w:rsidR="00001C6A">
        <w:rPr>
          <w:rFonts w:asciiTheme="majorHAnsi" w:eastAsia="SimSun" w:hAnsiTheme="majorHAnsi"/>
          <w:sz w:val="20"/>
          <w:szCs w:val="20"/>
          <w:lang w:val="es-ES"/>
        </w:rPr>
        <w:t xml:space="preserve"> </w:t>
      </w:r>
      <w:r w:rsidR="003C79AE" w:rsidRPr="008F226C">
        <w:rPr>
          <w:rFonts w:asciiTheme="majorHAnsi" w:eastAsia="SimSun" w:hAnsiTheme="majorHAnsi"/>
          <w:sz w:val="20"/>
          <w:szCs w:val="20"/>
          <w:lang w:val="es-ES"/>
        </w:rPr>
        <w:t xml:space="preserve">víctimas antes de acudir al sistema. También refiere que lo que se pretende es utilizar al sistema </w:t>
      </w:r>
      <w:r w:rsidR="00F13220" w:rsidRPr="008F226C">
        <w:rPr>
          <w:rFonts w:asciiTheme="majorHAnsi" w:eastAsia="SimSun" w:hAnsiTheme="majorHAnsi"/>
          <w:sz w:val="20"/>
          <w:szCs w:val="20"/>
          <w:lang w:val="es-ES"/>
        </w:rPr>
        <w:t xml:space="preserve">interamericano </w:t>
      </w:r>
      <w:r w:rsidR="003C79AE" w:rsidRPr="008F226C">
        <w:rPr>
          <w:rFonts w:asciiTheme="majorHAnsi" w:eastAsia="SimSun" w:hAnsiTheme="majorHAnsi"/>
          <w:sz w:val="20"/>
          <w:szCs w:val="20"/>
          <w:lang w:val="es-ES"/>
        </w:rPr>
        <w:t>como una cuarta instancia en materia penal y disciplinaria, a fin de cuestionar los fundamentos fácticos utilizados en las respectivas instancias, y señala que la situación planteada por los peticionarios no caracteriza violaciones a la Convención ni otros instrumentos, pues no se aportan elementos probatorios suficientes que desvirtúen lo establecid</w:t>
      </w:r>
      <w:r w:rsidR="002D2B37" w:rsidRPr="008F226C">
        <w:rPr>
          <w:rFonts w:asciiTheme="majorHAnsi" w:eastAsia="SimSun" w:hAnsiTheme="majorHAnsi"/>
          <w:sz w:val="20"/>
          <w:szCs w:val="20"/>
          <w:lang w:val="es-ES"/>
        </w:rPr>
        <w:t xml:space="preserve">o en los procesos </w:t>
      </w:r>
      <w:r w:rsidR="00B64FAC">
        <w:rPr>
          <w:rFonts w:asciiTheme="majorHAnsi" w:eastAsia="SimSun" w:hAnsiTheme="majorHAnsi"/>
          <w:sz w:val="20"/>
          <w:szCs w:val="20"/>
          <w:lang w:val="es-ES"/>
        </w:rPr>
        <w:t>internos.</w:t>
      </w:r>
    </w:p>
    <w:p w14:paraId="656DA9E4" w14:textId="1DAC5A94" w:rsidR="002D2B37" w:rsidRPr="008F226C" w:rsidRDefault="00984059" w:rsidP="005963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226C">
        <w:rPr>
          <w:rFonts w:asciiTheme="majorHAnsi" w:eastAsia="SimSun" w:hAnsiTheme="majorHAnsi"/>
          <w:sz w:val="20"/>
          <w:szCs w:val="20"/>
          <w:lang w:val="es-ES"/>
        </w:rPr>
        <w:t>La Comisión estima</w:t>
      </w:r>
      <w:r w:rsidR="002D2B37" w:rsidRPr="008F226C">
        <w:rPr>
          <w:rFonts w:asciiTheme="majorHAnsi" w:eastAsia="SimSun" w:hAnsiTheme="majorHAnsi"/>
          <w:sz w:val="20"/>
          <w:szCs w:val="20"/>
          <w:lang w:val="es-ES"/>
        </w:rPr>
        <w:t xml:space="preserve"> que</w:t>
      </w:r>
      <w:r w:rsidR="008120F8">
        <w:rPr>
          <w:rFonts w:asciiTheme="majorHAnsi" w:eastAsia="SimSun" w:hAnsiTheme="majorHAnsi"/>
          <w:sz w:val="20"/>
          <w:szCs w:val="20"/>
          <w:lang w:val="es-ES"/>
        </w:rPr>
        <w:t>, de ser probados,</w:t>
      </w:r>
      <w:r w:rsidR="002D2B37" w:rsidRPr="008F226C">
        <w:rPr>
          <w:rFonts w:asciiTheme="majorHAnsi" w:eastAsia="SimSun" w:hAnsiTheme="majorHAnsi"/>
          <w:sz w:val="20"/>
          <w:szCs w:val="20"/>
          <w:lang w:val="es-ES"/>
        </w:rPr>
        <w:t xml:space="preserve"> los hechos denunciados podrían caracterizar violaciones a</w:t>
      </w:r>
      <w:r w:rsidR="00F13220" w:rsidRPr="008F226C">
        <w:rPr>
          <w:rFonts w:asciiTheme="majorHAnsi" w:eastAsia="SimSun" w:hAnsiTheme="majorHAnsi"/>
          <w:sz w:val="20"/>
          <w:szCs w:val="20"/>
          <w:lang w:val="es-ES"/>
        </w:rPr>
        <w:t xml:space="preserve">l </w:t>
      </w:r>
      <w:r w:rsidR="002D2B37" w:rsidRPr="008F226C">
        <w:rPr>
          <w:rFonts w:asciiTheme="majorHAnsi" w:eastAsia="SimSun" w:hAnsiTheme="majorHAnsi"/>
          <w:sz w:val="20"/>
          <w:szCs w:val="20"/>
          <w:lang w:val="es-ES"/>
        </w:rPr>
        <w:t>derecho a la vida respecto de las personas ejecutadas (artículo 4</w:t>
      </w:r>
      <w:r w:rsidR="00F13220" w:rsidRPr="008F226C">
        <w:rPr>
          <w:rFonts w:asciiTheme="majorHAnsi" w:eastAsia="SimSun" w:hAnsiTheme="majorHAnsi"/>
          <w:sz w:val="20"/>
          <w:szCs w:val="20"/>
          <w:lang w:val="es-ES"/>
        </w:rPr>
        <w:t xml:space="preserve"> de la Convención</w:t>
      </w:r>
      <w:r w:rsidR="002D2B37" w:rsidRPr="008F226C">
        <w:rPr>
          <w:rFonts w:asciiTheme="majorHAnsi" w:eastAsia="SimSun" w:hAnsiTheme="majorHAnsi"/>
          <w:sz w:val="20"/>
          <w:szCs w:val="20"/>
          <w:lang w:val="es-ES"/>
        </w:rPr>
        <w:t>)</w:t>
      </w:r>
      <w:r w:rsidR="00A57A32" w:rsidRPr="008F226C">
        <w:rPr>
          <w:rFonts w:asciiTheme="majorHAnsi" w:eastAsia="SimSun" w:hAnsiTheme="majorHAnsi"/>
          <w:sz w:val="20"/>
          <w:szCs w:val="20"/>
          <w:lang w:val="es-ES"/>
        </w:rPr>
        <w:t>;</w:t>
      </w:r>
      <w:r w:rsidR="002D2B37" w:rsidRPr="008F226C">
        <w:rPr>
          <w:rFonts w:asciiTheme="majorHAnsi" w:eastAsia="SimSun" w:hAnsiTheme="majorHAnsi"/>
          <w:sz w:val="20"/>
          <w:szCs w:val="20"/>
          <w:lang w:val="es-ES"/>
        </w:rPr>
        <w:t xml:space="preserve"> </w:t>
      </w:r>
      <w:r w:rsidR="00F13220" w:rsidRPr="008F226C">
        <w:rPr>
          <w:rFonts w:asciiTheme="majorHAnsi" w:eastAsia="SimSun" w:hAnsiTheme="majorHAnsi"/>
          <w:sz w:val="20"/>
          <w:szCs w:val="20"/>
          <w:lang w:val="es-ES"/>
        </w:rPr>
        <w:t xml:space="preserve">derecho a la </w:t>
      </w:r>
      <w:r w:rsidR="002D2B37" w:rsidRPr="008F226C">
        <w:rPr>
          <w:rFonts w:asciiTheme="majorHAnsi" w:eastAsia="SimSun" w:hAnsiTheme="majorHAnsi"/>
          <w:sz w:val="20"/>
          <w:szCs w:val="20"/>
          <w:lang w:val="es-ES"/>
        </w:rPr>
        <w:t>integridad</w:t>
      </w:r>
      <w:r w:rsidR="00F13220" w:rsidRPr="008F226C">
        <w:rPr>
          <w:rFonts w:asciiTheme="majorHAnsi" w:eastAsia="SimSun" w:hAnsiTheme="majorHAnsi"/>
          <w:sz w:val="20"/>
          <w:szCs w:val="20"/>
          <w:lang w:val="es-ES"/>
        </w:rPr>
        <w:t>,</w:t>
      </w:r>
      <w:r w:rsidR="009C2E1B">
        <w:rPr>
          <w:rFonts w:asciiTheme="majorHAnsi" w:eastAsia="SimSun" w:hAnsiTheme="majorHAnsi"/>
          <w:sz w:val="20"/>
          <w:szCs w:val="20"/>
          <w:lang w:val="es-ES"/>
        </w:rPr>
        <w:t xml:space="preserve"> y derecho a la vida</w:t>
      </w:r>
      <w:r w:rsidR="002D2B37" w:rsidRPr="008F226C">
        <w:rPr>
          <w:rFonts w:asciiTheme="majorHAnsi" w:eastAsia="SimSun" w:hAnsiTheme="majorHAnsi"/>
          <w:sz w:val="20"/>
          <w:szCs w:val="20"/>
          <w:lang w:val="es-ES"/>
        </w:rPr>
        <w:t xml:space="preserve"> respecto de las personas que resultaron lesionadas en los hechos denunciados</w:t>
      </w:r>
      <w:r w:rsidR="009C2E1B">
        <w:rPr>
          <w:rFonts w:asciiTheme="majorHAnsi" w:eastAsia="SimSun" w:hAnsiTheme="majorHAnsi"/>
          <w:sz w:val="20"/>
          <w:szCs w:val="20"/>
          <w:lang w:val="es-ES"/>
        </w:rPr>
        <w:t xml:space="preserve">, </w:t>
      </w:r>
      <w:r w:rsidR="000B60C4">
        <w:rPr>
          <w:rFonts w:ascii="Cambria" w:eastAsia="SimSun" w:hAnsi="Cambria"/>
          <w:sz w:val="20"/>
          <w:szCs w:val="20"/>
          <w:lang w:val="es-UY"/>
        </w:rPr>
        <w:t xml:space="preserve">puesto que </w:t>
      </w:r>
      <w:r w:rsidR="009C2E1B">
        <w:rPr>
          <w:rFonts w:ascii="Cambria" w:eastAsia="SimSun" w:hAnsi="Cambria"/>
          <w:sz w:val="20"/>
          <w:szCs w:val="20"/>
          <w:lang w:val="es-UY"/>
        </w:rPr>
        <w:t xml:space="preserve">se </w:t>
      </w:r>
      <w:r w:rsidR="000B60C4">
        <w:rPr>
          <w:rFonts w:ascii="Cambria" w:eastAsia="SimSun" w:hAnsi="Cambria"/>
          <w:sz w:val="20"/>
          <w:szCs w:val="20"/>
          <w:lang w:val="es-UY"/>
        </w:rPr>
        <w:t xml:space="preserve">les </w:t>
      </w:r>
      <w:r w:rsidR="009C2E1B">
        <w:rPr>
          <w:rFonts w:ascii="Cambria" w:eastAsia="SimSun" w:hAnsi="Cambria"/>
          <w:sz w:val="20"/>
          <w:szCs w:val="20"/>
          <w:lang w:val="es-UY"/>
        </w:rPr>
        <w:t>expuso a una situación de riesgo de muerte</w:t>
      </w:r>
      <w:r w:rsidR="009C2E1B">
        <w:rPr>
          <w:rStyle w:val="FootnoteReference"/>
          <w:rFonts w:asciiTheme="majorHAnsi" w:eastAsia="SimSun" w:hAnsiTheme="majorHAnsi"/>
          <w:sz w:val="20"/>
          <w:szCs w:val="20"/>
          <w:lang w:val="es-ES"/>
        </w:rPr>
        <w:t xml:space="preserve"> </w:t>
      </w:r>
      <w:r w:rsidR="009C2E1B">
        <w:rPr>
          <w:rStyle w:val="FootnoteReference"/>
          <w:rFonts w:asciiTheme="majorHAnsi" w:eastAsia="SimSun" w:hAnsiTheme="majorHAnsi"/>
          <w:sz w:val="20"/>
          <w:szCs w:val="20"/>
          <w:lang w:val="es-ES"/>
        </w:rPr>
        <w:footnoteReference w:id="16"/>
      </w:r>
      <w:r w:rsidR="002D2B37" w:rsidRPr="008F226C">
        <w:rPr>
          <w:rFonts w:asciiTheme="majorHAnsi" w:eastAsia="SimSun" w:hAnsiTheme="majorHAnsi"/>
          <w:sz w:val="20"/>
          <w:szCs w:val="20"/>
          <w:lang w:val="es-ES"/>
        </w:rPr>
        <w:t>, así como respecto de los familiares de las</w:t>
      </w:r>
      <w:r w:rsidR="00F13220" w:rsidRPr="008F226C">
        <w:rPr>
          <w:rFonts w:asciiTheme="majorHAnsi" w:eastAsia="SimSun" w:hAnsiTheme="majorHAnsi"/>
          <w:sz w:val="20"/>
          <w:szCs w:val="20"/>
          <w:lang w:val="es-ES"/>
        </w:rPr>
        <w:t xml:space="preserve"> presuntas víctimas de ejecuciones</w:t>
      </w:r>
      <w:r w:rsidR="002D2B37" w:rsidRPr="008F226C">
        <w:rPr>
          <w:rFonts w:asciiTheme="majorHAnsi" w:eastAsia="SimSun" w:hAnsiTheme="majorHAnsi"/>
          <w:sz w:val="20"/>
          <w:szCs w:val="20"/>
          <w:lang w:val="es-ES"/>
        </w:rPr>
        <w:t xml:space="preserve"> y lesiones (artículo 5</w:t>
      </w:r>
      <w:r w:rsidR="00F13220" w:rsidRPr="008F226C">
        <w:rPr>
          <w:rFonts w:asciiTheme="majorHAnsi" w:eastAsia="SimSun" w:hAnsiTheme="majorHAnsi"/>
          <w:sz w:val="20"/>
          <w:szCs w:val="20"/>
          <w:lang w:val="es-ES"/>
        </w:rPr>
        <w:t xml:space="preserve"> de la Convención</w:t>
      </w:r>
      <w:r w:rsidR="002D2B37" w:rsidRPr="008F226C">
        <w:rPr>
          <w:rFonts w:asciiTheme="majorHAnsi" w:eastAsia="SimSun" w:hAnsiTheme="majorHAnsi"/>
          <w:sz w:val="20"/>
          <w:szCs w:val="20"/>
          <w:lang w:val="es-ES"/>
        </w:rPr>
        <w:t>)</w:t>
      </w:r>
      <w:r w:rsidR="00A57A32" w:rsidRPr="008F226C">
        <w:rPr>
          <w:rFonts w:asciiTheme="majorHAnsi" w:eastAsia="SimSun" w:hAnsiTheme="majorHAnsi"/>
          <w:sz w:val="20"/>
          <w:szCs w:val="20"/>
          <w:lang w:val="es-ES"/>
        </w:rPr>
        <w:t>;</w:t>
      </w:r>
      <w:r w:rsidR="002D2B37" w:rsidRPr="008F226C">
        <w:rPr>
          <w:rFonts w:asciiTheme="majorHAnsi" w:eastAsia="SimSun" w:hAnsiTheme="majorHAnsi"/>
          <w:sz w:val="20"/>
          <w:szCs w:val="20"/>
          <w:lang w:val="es-ES"/>
        </w:rPr>
        <w:t xml:space="preserve"> derecho a</w:t>
      </w:r>
      <w:r w:rsidRPr="008F226C">
        <w:rPr>
          <w:rFonts w:asciiTheme="majorHAnsi" w:eastAsia="SimSun" w:hAnsiTheme="majorHAnsi"/>
          <w:sz w:val="20"/>
          <w:szCs w:val="20"/>
          <w:lang w:val="es-ES"/>
        </w:rPr>
        <w:t xml:space="preserve"> </w:t>
      </w:r>
      <w:r w:rsidR="002D2B37" w:rsidRPr="008F226C">
        <w:rPr>
          <w:rFonts w:asciiTheme="majorHAnsi" w:eastAsia="SimSun" w:hAnsiTheme="majorHAnsi"/>
          <w:sz w:val="20"/>
          <w:szCs w:val="20"/>
          <w:lang w:val="es-ES"/>
        </w:rPr>
        <w:t>l</w:t>
      </w:r>
      <w:r w:rsidRPr="008F226C">
        <w:rPr>
          <w:rFonts w:asciiTheme="majorHAnsi" w:eastAsia="SimSun" w:hAnsiTheme="majorHAnsi"/>
          <w:sz w:val="20"/>
          <w:szCs w:val="20"/>
          <w:lang w:val="es-ES"/>
        </w:rPr>
        <w:t>as</w:t>
      </w:r>
      <w:r w:rsidR="002D2B37" w:rsidRPr="008F226C">
        <w:rPr>
          <w:rFonts w:asciiTheme="majorHAnsi" w:eastAsia="SimSun" w:hAnsiTheme="majorHAnsi"/>
          <w:sz w:val="20"/>
          <w:szCs w:val="20"/>
          <w:lang w:val="es-ES"/>
        </w:rPr>
        <w:t xml:space="preserve"> </w:t>
      </w:r>
      <w:r w:rsidR="00552E92" w:rsidRPr="008F226C">
        <w:rPr>
          <w:rFonts w:asciiTheme="majorHAnsi" w:eastAsia="SimSun" w:hAnsiTheme="majorHAnsi"/>
          <w:sz w:val="20"/>
          <w:szCs w:val="20"/>
          <w:lang w:val="es-ES"/>
        </w:rPr>
        <w:t xml:space="preserve">garantías judiciales </w:t>
      </w:r>
      <w:r w:rsidR="002D2B37" w:rsidRPr="008F226C">
        <w:rPr>
          <w:rFonts w:asciiTheme="majorHAnsi" w:eastAsia="SimSun" w:hAnsiTheme="majorHAnsi"/>
          <w:sz w:val="20"/>
          <w:szCs w:val="20"/>
          <w:lang w:val="es-ES"/>
        </w:rPr>
        <w:t>y protección</w:t>
      </w:r>
      <w:r w:rsidR="00A57A32" w:rsidRPr="008F226C">
        <w:rPr>
          <w:rFonts w:asciiTheme="majorHAnsi" w:eastAsia="SimSun" w:hAnsiTheme="majorHAnsi"/>
          <w:sz w:val="20"/>
          <w:szCs w:val="20"/>
          <w:lang w:val="es-ES"/>
        </w:rPr>
        <w:t xml:space="preserve"> judicial, toda vez que se alega que no se realiz</w:t>
      </w:r>
      <w:r w:rsidRPr="008F226C">
        <w:rPr>
          <w:rFonts w:asciiTheme="majorHAnsi" w:eastAsia="SimSun" w:hAnsiTheme="majorHAnsi"/>
          <w:sz w:val="20"/>
          <w:szCs w:val="20"/>
          <w:lang w:val="es-ES"/>
        </w:rPr>
        <w:t>ó</w:t>
      </w:r>
      <w:r w:rsidR="00A57A32" w:rsidRPr="008F226C">
        <w:rPr>
          <w:rFonts w:asciiTheme="majorHAnsi" w:eastAsia="SimSun" w:hAnsiTheme="majorHAnsi"/>
          <w:sz w:val="20"/>
          <w:szCs w:val="20"/>
          <w:lang w:val="es-ES"/>
        </w:rPr>
        <w:t xml:space="preserve"> una investigación sería con </w:t>
      </w:r>
      <w:r w:rsidR="00A57A32" w:rsidRPr="008F226C">
        <w:rPr>
          <w:rFonts w:asciiTheme="majorHAnsi" w:eastAsia="SimSun" w:hAnsiTheme="majorHAnsi"/>
          <w:sz w:val="20"/>
          <w:szCs w:val="20"/>
          <w:lang w:val="es-ES"/>
        </w:rPr>
        <w:lastRenderedPageBreak/>
        <w:t>miras a determ</w:t>
      </w:r>
      <w:r w:rsidR="00E653DE" w:rsidRPr="008F226C">
        <w:rPr>
          <w:rFonts w:asciiTheme="majorHAnsi" w:eastAsia="SimSun" w:hAnsiTheme="majorHAnsi"/>
          <w:sz w:val="20"/>
          <w:szCs w:val="20"/>
          <w:lang w:val="es-ES"/>
        </w:rPr>
        <w:t>inar la verdad, y sancionar a todos lo</w:t>
      </w:r>
      <w:r w:rsidR="00A57A32" w:rsidRPr="008F226C">
        <w:rPr>
          <w:rFonts w:asciiTheme="majorHAnsi" w:eastAsia="SimSun" w:hAnsiTheme="majorHAnsi"/>
          <w:sz w:val="20"/>
          <w:szCs w:val="20"/>
          <w:lang w:val="es-ES"/>
        </w:rPr>
        <w:t>s responsables</w:t>
      </w:r>
      <w:r w:rsidR="00E653DE" w:rsidRPr="008F226C">
        <w:rPr>
          <w:rFonts w:asciiTheme="majorHAnsi" w:eastAsia="SimSun" w:hAnsiTheme="majorHAnsi"/>
          <w:sz w:val="20"/>
          <w:szCs w:val="20"/>
          <w:lang w:val="es-ES"/>
        </w:rPr>
        <w:t>,</w:t>
      </w:r>
      <w:r w:rsidR="00001C6A">
        <w:rPr>
          <w:rFonts w:asciiTheme="majorHAnsi" w:eastAsia="SimSun" w:hAnsiTheme="majorHAnsi"/>
          <w:sz w:val="20"/>
          <w:szCs w:val="20"/>
          <w:lang w:val="es-ES"/>
        </w:rPr>
        <w:t xml:space="preserve"> </w:t>
      </w:r>
      <w:r w:rsidR="00F13220" w:rsidRPr="008F226C">
        <w:rPr>
          <w:rFonts w:asciiTheme="majorHAnsi" w:eastAsia="SimSun" w:hAnsiTheme="majorHAnsi"/>
          <w:sz w:val="20"/>
          <w:szCs w:val="20"/>
          <w:lang w:val="es-ES"/>
        </w:rPr>
        <w:t>no se asegur</w:t>
      </w:r>
      <w:r w:rsidRPr="008F226C">
        <w:rPr>
          <w:rFonts w:asciiTheme="majorHAnsi" w:eastAsia="SimSun" w:hAnsiTheme="majorHAnsi"/>
          <w:sz w:val="20"/>
          <w:szCs w:val="20"/>
          <w:lang w:val="es-ES"/>
        </w:rPr>
        <w:t>ó</w:t>
      </w:r>
      <w:r w:rsidR="00F13220" w:rsidRPr="008F226C">
        <w:rPr>
          <w:rFonts w:asciiTheme="majorHAnsi" w:eastAsia="SimSun" w:hAnsiTheme="majorHAnsi"/>
          <w:sz w:val="20"/>
          <w:szCs w:val="20"/>
          <w:lang w:val="es-ES"/>
        </w:rPr>
        <w:t xml:space="preserve"> recursos idóneos en la vía interna </w:t>
      </w:r>
      <w:r w:rsidR="00481901" w:rsidRPr="008F226C">
        <w:rPr>
          <w:rFonts w:asciiTheme="majorHAnsi" w:eastAsia="SimSun" w:hAnsiTheme="majorHAnsi"/>
          <w:sz w:val="20"/>
          <w:szCs w:val="20"/>
          <w:lang w:val="es-ES"/>
        </w:rPr>
        <w:t xml:space="preserve">a fin de </w:t>
      </w:r>
      <w:r w:rsidR="00E653DE" w:rsidRPr="008F226C">
        <w:rPr>
          <w:rFonts w:asciiTheme="majorHAnsi" w:eastAsia="SimSun" w:hAnsiTheme="majorHAnsi"/>
          <w:sz w:val="20"/>
          <w:szCs w:val="20"/>
          <w:lang w:val="es-ES"/>
        </w:rPr>
        <w:t>otor</w:t>
      </w:r>
      <w:r w:rsidR="00851A14" w:rsidRPr="008F226C">
        <w:rPr>
          <w:rFonts w:asciiTheme="majorHAnsi" w:eastAsia="SimSun" w:hAnsiTheme="majorHAnsi"/>
          <w:sz w:val="20"/>
          <w:szCs w:val="20"/>
          <w:lang w:val="es-ES"/>
        </w:rPr>
        <w:t xml:space="preserve">gar una </w:t>
      </w:r>
      <w:r w:rsidR="00481901" w:rsidRPr="008F226C">
        <w:rPr>
          <w:rFonts w:asciiTheme="majorHAnsi" w:eastAsia="SimSun" w:hAnsiTheme="majorHAnsi"/>
          <w:sz w:val="20"/>
          <w:szCs w:val="20"/>
          <w:lang w:val="es-ES"/>
        </w:rPr>
        <w:t>reparación integral</w:t>
      </w:r>
      <w:r w:rsidR="00851A14" w:rsidRPr="008F226C">
        <w:rPr>
          <w:rFonts w:asciiTheme="majorHAnsi" w:eastAsia="SimSun" w:hAnsiTheme="majorHAnsi"/>
          <w:sz w:val="20"/>
          <w:szCs w:val="20"/>
          <w:lang w:val="es-ES"/>
        </w:rPr>
        <w:t xml:space="preserve"> a las presuntas víctimas y sus familiares, así como </w:t>
      </w:r>
      <w:r w:rsidR="00E653DE" w:rsidRPr="008F226C">
        <w:rPr>
          <w:rFonts w:asciiTheme="majorHAnsi" w:eastAsia="SimSun" w:hAnsiTheme="majorHAnsi"/>
          <w:sz w:val="20"/>
          <w:szCs w:val="20"/>
          <w:lang w:val="es-ES"/>
        </w:rPr>
        <w:t xml:space="preserve">el </w:t>
      </w:r>
      <w:r w:rsidR="00851A14" w:rsidRPr="008F226C">
        <w:rPr>
          <w:rFonts w:asciiTheme="majorHAnsi" w:eastAsia="SimSun" w:hAnsiTheme="majorHAnsi"/>
          <w:sz w:val="20"/>
          <w:szCs w:val="20"/>
          <w:lang w:val="es-ES"/>
        </w:rPr>
        <w:t>conocimiento del asunto por parte de la jurisdicción militar</w:t>
      </w:r>
      <w:r w:rsidR="00E653DE" w:rsidRPr="008F226C">
        <w:rPr>
          <w:rFonts w:asciiTheme="majorHAnsi" w:eastAsia="SimSun" w:hAnsiTheme="majorHAnsi"/>
          <w:sz w:val="20"/>
          <w:szCs w:val="20"/>
          <w:lang w:val="es-ES"/>
        </w:rPr>
        <w:t>, cuestiones que caracterizarí</w:t>
      </w:r>
      <w:r w:rsidR="00552E92" w:rsidRPr="008F226C">
        <w:rPr>
          <w:rFonts w:asciiTheme="majorHAnsi" w:eastAsia="SimSun" w:hAnsiTheme="majorHAnsi"/>
          <w:sz w:val="20"/>
          <w:szCs w:val="20"/>
          <w:lang w:val="es-ES"/>
        </w:rPr>
        <w:t>an posibles violaciones al debido proceso</w:t>
      </w:r>
      <w:r w:rsidR="00E653DE" w:rsidRPr="008F226C">
        <w:rPr>
          <w:rFonts w:asciiTheme="majorHAnsi" w:eastAsia="SimSun" w:hAnsiTheme="majorHAnsi"/>
          <w:sz w:val="20"/>
          <w:szCs w:val="20"/>
          <w:lang w:val="es-ES"/>
        </w:rPr>
        <w:t xml:space="preserve"> </w:t>
      </w:r>
      <w:r w:rsidR="00A57A32" w:rsidRPr="008F226C">
        <w:rPr>
          <w:rFonts w:asciiTheme="majorHAnsi" w:eastAsia="SimSun" w:hAnsiTheme="majorHAnsi"/>
          <w:sz w:val="20"/>
          <w:szCs w:val="20"/>
          <w:lang w:val="es-ES"/>
        </w:rPr>
        <w:t>(artículos 8 y 25</w:t>
      </w:r>
      <w:r w:rsidR="00F13220" w:rsidRPr="008F226C">
        <w:rPr>
          <w:rFonts w:asciiTheme="majorHAnsi" w:eastAsia="SimSun" w:hAnsiTheme="majorHAnsi"/>
          <w:sz w:val="20"/>
          <w:szCs w:val="20"/>
          <w:lang w:val="es-ES"/>
        </w:rPr>
        <w:t xml:space="preserve"> de la Convención</w:t>
      </w:r>
      <w:r w:rsidR="00A57A32" w:rsidRPr="008F226C">
        <w:rPr>
          <w:rFonts w:asciiTheme="majorHAnsi" w:eastAsia="SimSun" w:hAnsiTheme="majorHAnsi"/>
          <w:sz w:val="20"/>
          <w:szCs w:val="20"/>
          <w:lang w:val="es-ES"/>
        </w:rPr>
        <w:t>); derecho a la libertad de expresión, respecto de aquellas personas que habría</w:t>
      </w:r>
      <w:r w:rsidRPr="008F226C">
        <w:rPr>
          <w:rFonts w:asciiTheme="majorHAnsi" w:eastAsia="SimSun" w:hAnsiTheme="majorHAnsi"/>
          <w:sz w:val="20"/>
          <w:szCs w:val="20"/>
          <w:lang w:val="es-ES"/>
        </w:rPr>
        <w:t>n</w:t>
      </w:r>
      <w:r w:rsidR="00A57A32" w:rsidRPr="008F226C">
        <w:rPr>
          <w:rFonts w:asciiTheme="majorHAnsi" w:eastAsia="SimSun" w:hAnsiTheme="majorHAnsi"/>
          <w:sz w:val="20"/>
          <w:szCs w:val="20"/>
          <w:lang w:val="es-ES"/>
        </w:rPr>
        <w:t xml:space="preserve"> sido objetivo de la Red No. 7 </w:t>
      </w:r>
      <w:r w:rsidR="00B64FAC">
        <w:rPr>
          <w:rFonts w:asciiTheme="majorHAnsi" w:eastAsia="SimSun" w:hAnsiTheme="majorHAnsi"/>
          <w:sz w:val="20"/>
          <w:szCs w:val="20"/>
          <w:lang w:val="es-ES"/>
        </w:rPr>
        <w:t>con base en</w:t>
      </w:r>
      <w:r w:rsidR="00A57A32" w:rsidRPr="008F226C">
        <w:rPr>
          <w:rFonts w:asciiTheme="majorHAnsi" w:eastAsia="SimSun" w:hAnsiTheme="majorHAnsi"/>
          <w:sz w:val="20"/>
          <w:szCs w:val="20"/>
          <w:lang w:val="es-ES"/>
        </w:rPr>
        <w:t xml:space="preserve"> las actividades de comun</w:t>
      </w:r>
      <w:r w:rsidR="00552E92" w:rsidRPr="008F226C">
        <w:rPr>
          <w:rFonts w:asciiTheme="majorHAnsi" w:eastAsia="SimSun" w:hAnsiTheme="majorHAnsi"/>
          <w:sz w:val="20"/>
          <w:szCs w:val="20"/>
          <w:lang w:val="es-ES"/>
        </w:rPr>
        <w:t>icación social que desempeñaban,</w:t>
      </w:r>
      <w:r w:rsidR="00A57A32" w:rsidRPr="008F226C">
        <w:rPr>
          <w:rFonts w:asciiTheme="majorHAnsi" w:eastAsia="SimSun" w:hAnsiTheme="majorHAnsi"/>
          <w:sz w:val="20"/>
          <w:szCs w:val="20"/>
          <w:lang w:val="es-ES"/>
        </w:rPr>
        <w:t xml:space="preserve"> (artículo 13</w:t>
      </w:r>
      <w:r w:rsidR="00F13220" w:rsidRPr="008F226C">
        <w:rPr>
          <w:rFonts w:asciiTheme="majorHAnsi" w:eastAsia="SimSun" w:hAnsiTheme="majorHAnsi"/>
          <w:sz w:val="20"/>
          <w:szCs w:val="20"/>
          <w:lang w:val="es-ES"/>
        </w:rPr>
        <w:t xml:space="preserve"> de la Convención</w:t>
      </w:r>
      <w:r w:rsidR="00A57A32" w:rsidRPr="008F226C">
        <w:rPr>
          <w:rFonts w:asciiTheme="majorHAnsi" w:eastAsia="SimSun" w:hAnsiTheme="majorHAnsi"/>
          <w:sz w:val="20"/>
          <w:szCs w:val="20"/>
          <w:lang w:val="es-ES"/>
        </w:rPr>
        <w:t>); libertad de asociación, debido a que varias de las presuntas víctimas habrían sido líderes sindicales, y defensoras o defensores de derechos humanos (artículo 16</w:t>
      </w:r>
      <w:r w:rsidR="00F13220" w:rsidRPr="008F226C">
        <w:rPr>
          <w:rFonts w:asciiTheme="majorHAnsi" w:eastAsia="SimSun" w:hAnsiTheme="majorHAnsi"/>
          <w:sz w:val="20"/>
          <w:szCs w:val="20"/>
          <w:lang w:val="es-ES"/>
        </w:rPr>
        <w:t xml:space="preserve"> de la Convención</w:t>
      </w:r>
      <w:r w:rsidR="00A57A32" w:rsidRPr="008F226C">
        <w:rPr>
          <w:rFonts w:asciiTheme="majorHAnsi" w:eastAsia="SimSun" w:hAnsiTheme="majorHAnsi"/>
          <w:sz w:val="20"/>
          <w:szCs w:val="20"/>
          <w:lang w:val="es-ES"/>
        </w:rPr>
        <w:t>); así como derechos de la niñez, atendido que Gloria Inés Erazo, en la época de los hechos habría tenido 16 años de edad (artículo 19</w:t>
      </w:r>
      <w:r w:rsidR="00F13220" w:rsidRPr="008F226C">
        <w:rPr>
          <w:rFonts w:asciiTheme="majorHAnsi" w:eastAsia="SimSun" w:hAnsiTheme="majorHAnsi"/>
          <w:sz w:val="20"/>
          <w:szCs w:val="20"/>
          <w:lang w:val="es-ES"/>
        </w:rPr>
        <w:t xml:space="preserve"> de la Convención</w:t>
      </w:r>
      <w:r w:rsidR="00A57A32" w:rsidRPr="008F226C">
        <w:rPr>
          <w:rFonts w:asciiTheme="majorHAnsi" w:eastAsia="SimSun" w:hAnsiTheme="majorHAnsi"/>
          <w:sz w:val="20"/>
          <w:szCs w:val="20"/>
          <w:lang w:val="es-ES"/>
        </w:rPr>
        <w:t xml:space="preserve">); todos en conexión con las obligaciones </w:t>
      </w:r>
      <w:r w:rsidR="00552E92" w:rsidRPr="008F226C">
        <w:rPr>
          <w:rFonts w:asciiTheme="majorHAnsi" w:eastAsia="SimSun" w:hAnsiTheme="majorHAnsi"/>
          <w:sz w:val="20"/>
          <w:szCs w:val="20"/>
          <w:lang w:val="es-ES"/>
        </w:rPr>
        <w:t>consagradas</w:t>
      </w:r>
      <w:r w:rsidR="00A57A32" w:rsidRPr="008F226C">
        <w:rPr>
          <w:rFonts w:asciiTheme="majorHAnsi" w:eastAsia="SimSun" w:hAnsiTheme="majorHAnsi"/>
          <w:sz w:val="20"/>
          <w:szCs w:val="20"/>
          <w:lang w:val="es-ES"/>
        </w:rPr>
        <w:t xml:space="preserve"> en los artículos 1.1 y 2 del mismo instrumento. </w:t>
      </w:r>
      <w:r w:rsidR="00FE67A6" w:rsidRPr="008F226C">
        <w:rPr>
          <w:rFonts w:asciiTheme="majorHAnsi" w:eastAsia="SimSun" w:hAnsiTheme="majorHAnsi"/>
          <w:sz w:val="20"/>
          <w:szCs w:val="20"/>
          <w:lang w:val="es-ES"/>
        </w:rPr>
        <w:t xml:space="preserve">En particular, la Comisión considera </w:t>
      </w:r>
      <w:r w:rsidR="00D749D5" w:rsidRPr="008F226C">
        <w:rPr>
          <w:rFonts w:asciiTheme="majorHAnsi" w:eastAsia="SimSun" w:hAnsiTheme="majorHAnsi"/>
          <w:sz w:val="20"/>
          <w:szCs w:val="20"/>
          <w:lang w:val="es-ES"/>
        </w:rPr>
        <w:t xml:space="preserve">que se debe analizar en el fondo, las </w:t>
      </w:r>
      <w:r w:rsidR="00FE67A6" w:rsidRPr="008F226C">
        <w:rPr>
          <w:rFonts w:asciiTheme="majorHAnsi" w:eastAsia="SimSun" w:hAnsiTheme="majorHAnsi"/>
          <w:sz w:val="20"/>
          <w:szCs w:val="20"/>
          <w:lang w:val="es-ES"/>
        </w:rPr>
        <w:t>posibles violaciones al artículo 2 de la Convención Americana, atendida la sustracción</w:t>
      </w:r>
      <w:r w:rsidR="00D749D5" w:rsidRPr="008F226C">
        <w:rPr>
          <w:rFonts w:asciiTheme="majorHAnsi" w:eastAsia="SimSun" w:hAnsiTheme="majorHAnsi"/>
          <w:sz w:val="20"/>
          <w:szCs w:val="20"/>
          <w:lang w:val="es-ES"/>
        </w:rPr>
        <w:t xml:space="preserve"> parcial</w:t>
      </w:r>
      <w:r w:rsidR="00FE67A6" w:rsidRPr="008F226C">
        <w:rPr>
          <w:rFonts w:asciiTheme="majorHAnsi" w:eastAsia="SimSun" w:hAnsiTheme="majorHAnsi"/>
          <w:sz w:val="20"/>
          <w:szCs w:val="20"/>
          <w:lang w:val="es-ES"/>
        </w:rPr>
        <w:t xml:space="preserve"> de</w:t>
      </w:r>
      <w:r w:rsidR="00D749D5" w:rsidRPr="008F226C">
        <w:rPr>
          <w:rFonts w:asciiTheme="majorHAnsi" w:eastAsia="SimSun" w:hAnsiTheme="majorHAnsi"/>
          <w:sz w:val="20"/>
          <w:szCs w:val="20"/>
          <w:lang w:val="es-ES"/>
        </w:rPr>
        <w:t xml:space="preserve"> </w:t>
      </w:r>
      <w:r w:rsidR="00FE67A6" w:rsidRPr="008F226C">
        <w:rPr>
          <w:rFonts w:asciiTheme="majorHAnsi" w:eastAsia="SimSun" w:hAnsiTheme="majorHAnsi"/>
          <w:sz w:val="20"/>
          <w:szCs w:val="20"/>
          <w:lang w:val="es-ES"/>
        </w:rPr>
        <w:t>l</w:t>
      </w:r>
      <w:r w:rsidR="00D749D5" w:rsidRPr="008F226C">
        <w:rPr>
          <w:rFonts w:asciiTheme="majorHAnsi" w:eastAsia="SimSun" w:hAnsiTheme="majorHAnsi"/>
          <w:sz w:val="20"/>
          <w:szCs w:val="20"/>
          <w:lang w:val="es-ES"/>
        </w:rPr>
        <w:t xml:space="preserve">a investigación </w:t>
      </w:r>
      <w:r w:rsidR="00FE67A6" w:rsidRPr="008F226C">
        <w:rPr>
          <w:rFonts w:asciiTheme="majorHAnsi" w:eastAsia="SimSun" w:hAnsiTheme="majorHAnsi"/>
          <w:sz w:val="20"/>
          <w:szCs w:val="20"/>
          <w:lang w:val="es-ES"/>
        </w:rPr>
        <w:t>de la jurisdicción ordinaria para el conocimiento del mismo por parte de la jurisdicción militar</w:t>
      </w:r>
      <w:r w:rsidR="00D749D5" w:rsidRPr="008F226C">
        <w:rPr>
          <w:rFonts w:asciiTheme="majorHAnsi" w:eastAsia="SimSun" w:hAnsiTheme="majorHAnsi"/>
          <w:sz w:val="20"/>
          <w:szCs w:val="20"/>
          <w:lang w:val="es-ES"/>
        </w:rPr>
        <w:t xml:space="preserve"> respecto de los agentes estatales</w:t>
      </w:r>
      <w:r w:rsidR="00FE67A6" w:rsidRPr="008F226C">
        <w:rPr>
          <w:rFonts w:asciiTheme="majorHAnsi" w:eastAsia="SimSun" w:hAnsiTheme="majorHAnsi"/>
          <w:sz w:val="20"/>
          <w:szCs w:val="20"/>
          <w:lang w:val="es-ES"/>
        </w:rPr>
        <w:t>, así como respecto de la normativa y regulaciones que permitirían el funcionamiento de las Redes de Inteligencia, y las posibles vulneraciones de derechos humanos producidas como consecuencia del marco regulatorio que establecerían las mismas</w:t>
      </w:r>
      <w:r w:rsidR="00D749D5" w:rsidRPr="008F226C">
        <w:rPr>
          <w:rFonts w:asciiTheme="majorHAnsi" w:eastAsia="SimSun" w:hAnsiTheme="majorHAnsi"/>
          <w:sz w:val="20"/>
          <w:szCs w:val="20"/>
          <w:lang w:val="es-ES"/>
        </w:rPr>
        <w:t>,</w:t>
      </w:r>
      <w:r w:rsidR="00FE67A6" w:rsidRPr="008F226C">
        <w:rPr>
          <w:rFonts w:asciiTheme="majorHAnsi" w:eastAsia="SimSun" w:hAnsiTheme="majorHAnsi"/>
          <w:sz w:val="20"/>
          <w:szCs w:val="20"/>
          <w:lang w:val="es-ES"/>
        </w:rPr>
        <w:t xml:space="preserve"> y bajo las cuales habrían operado tanto civiles como funcionarios estatales en servicio activo, en los hechos que se denuncian.</w:t>
      </w:r>
    </w:p>
    <w:p w14:paraId="237F2A7B" w14:textId="295E0FDF" w:rsidR="008120F8" w:rsidRPr="000B60C4" w:rsidRDefault="007E1669" w:rsidP="000B60C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226C">
        <w:rPr>
          <w:rFonts w:asciiTheme="majorHAnsi" w:hAnsiTheme="majorHAnsi"/>
          <w:sz w:val="20"/>
          <w:szCs w:val="20"/>
          <w:lang w:val="es-ES"/>
        </w:rPr>
        <w:t xml:space="preserve">En vista de los elementos de hecho y de derecho presentados por </w:t>
      </w:r>
      <w:r w:rsidR="003C79AE" w:rsidRPr="008F226C">
        <w:rPr>
          <w:rFonts w:asciiTheme="majorHAnsi" w:hAnsiTheme="majorHAnsi"/>
          <w:sz w:val="20"/>
          <w:szCs w:val="20"/>
          <w:lang w:val="es-ES"/>
        </w:rPr>
        <w:t>los peticionario</w:t>
      </w:r>
      <w:r w:rsidR="003664B3" w:rsidRPr="008F226C">
        <w:rPr>
          <w:rFonts w:asciiTheme="majorHAnsi" w:hAnsiTheme="majorHAnsi"/>
          <w:sz w:val="20"/>
          <w:szCs w:val="20"/>
          <w:lang w:val="es-ES"/>
        </w:rPr>
        <w:t>s</w:t>
      </w:r>
      <w:r w:rsidRPr="008F226C">
        <w:rPr>
          <w:rFonts w:asciiTheme="majorHAnsi" w:hAnsiTheme="majorHAnsi"/>
          <w:sz w:val="20"/>
          <w:szCs w:val="20"/>
          <w:lang w:val="es-ES"/>
        </w:rPr>
        <w:t xml:space="preserve"> y la naturaleza del asunto puesto bajo su </w:t>
      </w:r>
      <w:r w:rsidR="006851B1" w:rsidRPr="008F226C">
        <w:rPr>
          <w:rFonts w:asciiTheme="majorHAnsi" w:hAnsiTheme="majorHAnsi"/>
          <w:sz w:val="20"/>
          <w:szCs w:val="20"/>
          <w:lang w:val="es-ES"/>
        </w:rPr>
        <w:t>conocimiento</w:t>
      </w:r>
      <w:r w:rsidRPr="008F226C">
        <w:rPr>
          <w:rFonts w:asciiTheme="majorHAnsi" w:hAnsiTheme="majorHAnsi"/>
          <w:sz w:val="20"/>
          <w:szCs w:val="20"/>
          <w:lang w:val="es-ES"/>
        </w:rPr>
        <w:t xml:space="preserve">, la CIDH considera que, de ser probados, los hechos alegados podrían caracterizar posibles violaciones a los derechos protegidos en los artículos </w:t>
      </w:r>
      <w:r w:rsidR="003C79AE" w:rsidRPr="008F226C">
        <w:rPr>
          <w:rFonts w:asciiTheme="majorHAnsi" w:hAnsiTheme="majorHAnsi"/>
          <w:sz w:val="20"/>
          <w:szCs w:val="20"/>
          <w:lang w:val="es-ES"/>
        </w:rPr>
        <w:t>4, 5, 8, 13, 16,</w:t>
      </w:r>
      <w:r w:rsidR="008C46B9" w:rsidRPr="008F226C">
        <w:rPr>
          <w:rFonts w:asciiTheme="majorHAnsi" w:hAnsiTheme="majorHAnsi"/>
          <w:sz w:val="20"/>
          <w:szCs w:val="20"/>
          <w:lang w:val="es-ES"/>
        </w:rPr>
        <w:t xml:space="preserve"> 19</w:t>
      </w:r>
      <w:r w:rsidR="003C79AE" w:rsidRPr="008F226C">
        <w:rPr>
          <w:rFonts w:asciiTheme="majorHAnsi" w:hAnsiTheme="majorHAnsi"/>
          <w:sz w:val="20"/>
          <w:szCs w:val="20"/>
          <w:lang w:val="es-ES"/>
        </w:rPr>
        <w:t xml:space="preserve"> y 25</w:t>
      </w:r>
      <w:r w:rsidRPr="008F226C">
        <w:rPr>
          <w:rFonts w:asciiTheme="majorHAnsi" w:hAnsiTheme="majorHAnsi"/>
          <w:sz w:val="20"/>
          <w:szCs w:val="20"/>
          <w:lang w:val="es-ES"/>
        </w:rPr>
        <w:t xml:space="preserve"> de la Convención A</w:t>
      </w:r>
      <w:r w:rsidR="003C79AE" w:rsidRPr="008F226C">
        <w:rPr>
          <w:rFonts w:asciiTheme="majorHAnsi" w:hAnsiTheme="majorHAnsi"/>
          <w:sz w:val="20"/>
          <w:szCs w:val="20"/>
          <w:lang w:val="es-ES"/>
        </w:rPr>
        <w:t>mericana, en concordancia con los</w:t>
      </w:r>
      <w:r w:rsidRPr="008F226C">
        <w:rPr>
          <w:rFonts w:asciiTheme="majorHAnsi" w:hAnsiTheme="majorHAnsi"/>
          <w:sz w:val="20"/>
          <w:szCs w:val="20"/>
          <w:lang w:val="es-ES"/>
        </w:rPr>
        <w:t xml:space="preserve"> artículo</w:t>
      </w:r>
      <w:r w:rsidR="003C79AE" w:rsidRPr="008F226C">
        <w:rPr>
          <w:rFonts w:asciiTheme="majorHAnsi" w:hAnsiTheme="majorHAnsi"/>
          <w:sz w:val="20"/>
          <w:szCs w:val="20"/>
          <w:lang w:val="es-ES"/>
        </w:rPr>
        <w:t xml:space="preserve">s 1.1 y 2 </w:t>
      </w:r>
      <w:r w:rsidRPr="008F226C">
        <w:rPr>
          <w:rFonts w:asciiTheme="majorHAnsi" w:hAnsiTheme="majorHAnsi"/>
          <w:sz w:val="20"/>
          <w:szCs w:val="20"/>
          <w:lang w:val="es-ES"/>
        </w:rPr>
        <w:t>de dicho tratado.</w:t>
      </w:r>
      <w:r w:rsidR="00001C6A">
        <w:rPr>
          <w:rFonts w:asciiTheme="majorHAnsi" w:hAnsiTheme="majorHAnsi"/>
          <w:sz w:val="20"/>
          <w:szCs w:val="20"/>
          <w:lang w:val="es-ES"/>
        </w:rPr>
        <w:t xml:space="preserve"> </w:t>
      </w:r>
    </w:p>
    <w:p w14:paraId="67E53822" w14:textId="63375AED" w:rsidR="0063685A" w:rsidRPr="008F226C" w:rsidRDefault="0063685A" w:rsidP="008645D0">
      <w:pPr>
        <w:spacing w:after="240"/>
        <w:ind w:firstLine="720"/>
        <w:jc w:val="both"/>
        <w:rPr>
          <w:rFonts w:asciiTheme="majorHAnsi" w:hAnsiTheme="majorHAnsi"/>
          <w:b/>
          <w:bCs/>
          <w:sz w:val="20"/>
          <w:szCs w:val="20"/>
          <w:lang w:val="es-ES"/>
        </w:rPr>
      </w:pPr>
      <w:r w:rsidRPr="008F226C">
        <w:rPr>
          <w:rFonts w:asciiTheme="majorHAnsi" w:hAnsiTheme="majorHAnsi"/>
          <w:b/>
          <w:bCs/>
          <w:sz w:val="20"/>
          <w:szCs w:val="20"/>
          <w:lang w:val="es-ES"/>
        </w:rPr>
        <w:t>V</w:t>
      </w:r>
      <w:r w:rsidR="00183D82" w:rsidRPr="008F226C">
        <w:rPr>
          <w:rFonts w:asciiTheme="majorHAnsi" w:hAnsiTheme="majorHAnsi"/>
          <w:b/>
          <w:bCs/>
          <w:sz w:val="20"/>
          <w:szCs w:val="20"/>
          <w:lang w:val="es-ES"/>
        </w:rPr>
        <w:t>I</w:t>
      </w:r>
      <w:r w:rsidRPr="008F226C">
        <w:rPr>
          <w:rFonts w:asciiTheme="majorHAnsi" w:hAnsiTheme="majorHAnsi"/>
          <w:b/>
          <w:bCs/>
          <w:sz w:val="20"/>
          <w:szCs w:val="20"/>
          <w:lang w:val="es-ES"/>
        </w:rPr>
        <w:t>.</w:t>
      </w:r>
      <w:r w:rsidRPr="008F226C">
        <w:rPr>
          <w:rFonts w:asciiTheme="majorHAnsi" w:hAnsiTheme="majorHAnsi"/>
          <w:b/>
          <w:bCs/>
          <w:sz w:val="20"/>
          <w:szCs w:val="20"/>
          <w:lang w:val="es-ES"/>
        </w:rPr>
        <w:tab/>
        <w:t>CONCLUSIONES</w:t>
      </w:r>
    </w:p>
    <w:p w14:paraId="74B765A1" w14:textId="11187AD0" w:rsidR="000B60C4" w:rsidRPr="00001C6A" w:rsidRDefault="003664B3" w:rsidP="000B60C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F226C">
        <w:rPr>
          <w:rFonts w:asciiTheme="majorHAnsi" w:hAnsiTheme="majorHAnsi"/>
          <w:sz w:val="20"/>
          <w:szCs w:val="20"/>
          <w:lang w:val="es-ES"/>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14:paraId="4BC4EB8B" w14:textId="201B5460" w:rsidR="00533C47" w:rsidRDefault="0063685A" w:rsidP="0093604A">
      <w:pPr>
        <w:spacing w:after="240"/>
        <w:ind w:firstLine="720"/>
        <w:jc w:val="center"/>
        <w:rPr>
          <w:rFonts w:asciiTheme="majorHAnsi" w:hAnsiTheme="majorHAnsi"/>
          <w:b/>
          <w:bCs/>
          <w:sz w:val="20"/>
          <w:szCs w:val="20"/>
          <w:lang w:val="es-ES"/>
        </w:rPr>
      </w:pPr>
      <w:r w:rsidRPr="008F226C">
        <w:rPr>
          <w:rFonts w:asciiTheme="majorHAnsi" w:hAnsiTheme="majorHAnsi"/>
          <w:b/>
          <w:bCs/>
          <w:sz w:val="20"/>
          <w:szCs w:val="20"/>
          <w:lang w:val="es-ES"/>
        </w:rPr>
        <w:t>LA COMISIÓN INTERAMERICANA DE DERECHOS HUMANOS</w:t>
      </w:r>
    </w:p>
    <w:p w14:paraId="370463F6" w14:textId="5C8D1520" w:rsidR="00B206D2" w:rsidRPr="008F226C" w:rsidRDefault="0063685A" w:rsidP="0093604A">
      <w:pPr>
        <w:spacing w:after="240"/>
        <w:rPr>
          <w:rFonts w:asciiTheme="majorHAnsi" w:hAnsiTheme="majorHAnsi"/>
          <w:b/>
          <w:bCs/>
          <w:sz w:val="20"/>
          <w:szCs w:val="20"/>
          <w:lang w:val="es-ES"/>
        </w:rPr>
      </w:pPr>
      <w:r w:rsidRPr="008F226C">
        <w:rPr>
          <w:rFonts w:asciiTheme="majorHAnsi" w:hAnsiTheme="majorHAnsi"/>
          <w:b/>
          <w:bCs/>
          <w:sz w:val="20"/>
          <w:szCs w:val="20"/>
          <w:lang w:val="es-ES"/>
        </w:rPr>
        <w:t>DECIDE:</w:t>
      </w:r>
    </w:p>
    <w:p w14:paraId="3E7B9435" w14:textId="6FD14796" w:rsidR="00547D7F" w:rsidRPr="00EF552A" w:rsidRDefault="0063685A" w:rsidP="00EF552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F552A">
        <w:rPr>
          <w:rFonts w:asciiTheme="majorHAnsi" w:hAnsiTheme="majorHAnsi"/>
          <w:sz w:val="20"/>
          <w:szCs w:val="20"/>
          <w:lang w:val="es-ES"/>
        </w:rPr>
        <w:t xml:space="preserve">Declarar admisible la presente petición en relación con los artículos </w:t>
      </w:r>
      <w:r w:rsidR="002D2B37" w:rsidRPr="00EF552A">
        <w:rPr>
          <w:rFonts w:asciiTheme="majorHAnsi" w:hAnsiTheme="majorHAnsi"/>
          <w:sz w:val="20"/>
          <w:szCs w:val="20"/>
          <w:lang w:val="es-ES"/>
        </w:rPr>
        <w:t xml:space="preserve">4, 5, 8, 13, 16, 19 y 25 </w:t>
      </w:r>
      <w:r w:rsidRPr="00EF552A">
        <w:rPr>
          <w:rFonts w:asciiTheme="majorHAnsi" w:hAnsiTheme="majorHAnsi"/>
          <w:sz w:val="20"/>
          <w:szCs w:val="20"/>
          <w:lang w:val="es-ES"/>
        </w:rPr>
        <w:t>de la Convención Americana</w:t>
      </w:r>
      <w:r w:rsidR="003664B3" w:rsidRPr="00EF552A">
        <w:rPr>
          <w:rFonts w:asciiTheme="majorHAnsi" w:hAnsiTheme="majorHAnsi"/>
          <w:sz w:val="20"/>
          <w:szCs w:val="20"/>
          <w:lang w:val="es-ES"/>
        </w:rPr>
        <w:t xml:space="preserve"> en conexión con las obligaciones establecidas en los artículos 1.1 y 2 del mismo instrumento</w:t>
      </w:r>
      <w:r w:rsidR="00547D7F" w:rsidRPr="00EF552A">
        <w:rPr>
          <w:rFonts w:asciiTheme="majorHAnsi" w:hAnsiTheme="majorHAnsi"/>
          <w:sz w:val="20"/>
          <w:szCs w:val="20"/>
          <w:lang w:val="es-ES"/>
        </w:rPr>
        <w:t>.</w:t>
      </w:r>
    </w:p>
    <w:p w14:paraId="3DA6ED6D" w14:textId="77777777" w:rsidR="0063685A" w:rsidRPr="00EF552A" w:rsidRDefault="0063685A" w:rsidP="00EF552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F552A">
        <w:rPr>
          <w:rFonts w:asciiTheme="majorHAnsi" w:hAnsiTheme="majorHAnsi"/>
          <w:sz w:val="20"/>
          <w:szCs w:val="20"/>
          <w:lang w:val="es-ES"/>
        </w:rPr>
        <w:t>Notificar a las partes la presente decisión;</w:t>
      </w:r>
    </w:p>
    <w:p w14:paraId="47EF5446" w14:textId="77777777" w:rsidR="0063685A" w:rsidRPr="00EF552A" w:rsidRDefault="0063685A" w:rsidP="00EF552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F552A">
        <w:rPr>
          <w:rFonts w:asciiTheme="majorHAnsi" w:hAnsiTheme="majorHAnsi"/>
          <w:sz w:val="20"/>
          <w:szCs w:val="20"/>
          <w:lang w:val="es-ES"/>
        </w:rPr>
        <w:t>Continuar c</w:t>
      </w:r>
      <w:bookmarkStart w:id="1" w:name="_GoBack"/>
      <w:bookmarkEnd w:id="1"/>
      <w:r w:rsidRPr="00EF552A">
        <w:rPr>
          <w:rFonts w:asciiTheme="majorHAnsi" w:hAnsiTheme="majorHAnsi"/>
          <w:sz w:val="20"/>
          <w:szCs w:val="20"/>
          <w:lang w:val="es-ES"/>
        </w:rPr>
        <w:t>on el análisis del fondo de la cuestión;</w:t>
      </w:r>
      <w:r w:rsidR="00711192" w:rsidRPr="00EF552A">
        <w:rPr>
          <w:rFonts w:asciiTheme="majorHAnsi" w:hAnsiTheme="majorHAnsi"/>
          <w:sz w:val="20"/>
          <w:szCs w:val="20"/>
          <w:lang w:val="es-ES"/>
        </w:rPr>
        <w:t xml:space="preserve"> y</w:t>
      </w:r>
    </w:p>
    <w:p w14:paraId="7670AF70" w14:textId="10AA039F" w:rsidR="00CC3A5F" w:rsidRPr="00EF552A" w:rsidRDefault="0063685A" w:rsidP="00EF552A">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EF552A">
        <w:rPr>
          <w:rFonts w:asciiTheme="majorHAnsi" w:hAnsiTheme="majorHAnsi"/>
          <w:sz w:val="20"/>
          <w:szCs w:val="20"/>
          <w:lang w:val="es-ES"/>
        </w:rPr>
        <w:t>Publicar esta decisión e incluirla en su Informe Anual a la Asamblea General de la Organización de los Estados Americanos.</w:t>
      </w:r>
    </w:p>
    <w:p w14:paraId="72B89DD8" w14:textId="58BEB0EA" w:rsidR="00B07009" w:rsidRDefault="00B07009" w:rsidP="00B07009">
      <w:pPr>
        <w:ind w:firstLine="720"/>
        <w:jc w:val="both"/>
        <w:rPr>
          <w:rFonts w:asciiTheme="majorHAnsi" w:hAnsiTheme="majorHAnsi" w:cs="Arial"/>
          <w:noProof/>
          <w:sz w:val="20"/>
          <w:szCs w:val="20"/>
          <w:lang w:val="es-CL"/>
        </w:rPr>
      </w:pPr>
      <w:r w:rsidRPr="00A37B82">
        <w:rPr>
          <w:rFonts w:asciiTheme="majorHAnsi" w:hAnsiTheme="majorHAnsi" w:cs="Arial"/>
          <w:noProof/>
          <w:spacing w:val="-2"/>
          <w:sz w:val="20"/>
          <w:szCs w:val="20"/>
          <w:lang w:val="es-CL"/>
        </w:rPr>
        <w:t xml:space="preserve">Dado y firmado en la ciudad de Washington, D.C., a los </w:t>
      </w:r>
      <w:r w:rsidR="00CF1353">
        <w:rPr>
          <w:rFonts w:asciiTheme="majorHAnsi" w:hAnsiTheme="majorHAnsi" w:cs="Arial"/>
          <w:noProof/>
          <w:spacing w:val="-2"/>
          <w:sz w:val="20"/>
          <w:szCs w:val="20"/>
          <w:lang w:val="es-CL"/>
        </w:rPr>
        <w:t>14</w:t>
      </w:r>
      <w:r w:rsidRPr="00A37B82">
        <w:rPr>
          <w:rFonts w:asciiTheme="majorHAnsi" w:hAnsiTheme="majorHAnsi" w:cs="Arial"/>
          <w:noProof/>
          <w:spacing w:val="-2"/>
          <w:sz w:val="20"/>
          <w:szCs w:val="20"/>
          <w:lang w:val="es-CL"/>
        </w:rPr>
        <w:t xml:space="preserve"> días del mes de </w:t>
      </w:r>
      <w:r w:rsidR="00CF1353">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6</w:t>
      </w:r>
      <w:r w:rsidR="00CF1353">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(Firmado): James L. Cavallaro, </w:t>
      </w:r>
      <w:r>
        <w:rPr>
          <w:rFonts w:asciiTheme="majorHAnsi" w:hAnsiTheme="majorHAnsi" w:cs="Arial"/>
          <w:noProof/>
          <w:spacing w:val="-2"/>
          <w:sz w:val="20"/>
          <w:szCs w:val="20"/>
          <w:lang w:val="es-CL"/>
        </w:rPr>
        <w:t xml:space="preserve">Presidente; 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sidR="00533C47">
        <w:rPr>
          <w:rFonts w:asciiTheme="majorHAnsi" w:hAnsiTheme="majorHAnsi" w:cs="Arial"/>
          <w:noProof/>
          <w:spacing w:val="-2"/>
          <w:sz w:val="20"/>
          <w:szCs w:val="20"/>
          <w:lang w:val="es-CL"/>
        </w:rPr>
        <w:t>José de Jesús Orozco Henríquez y</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A793070" w14:textId="56440005" w:rsidR="00B07009" w:rsidRDefault="00B07009">
      <w:pPr>
        <w:rPr>
          <w:rFonts w:asciiTheme="majorHAnsi" w:hAnsiTheme="majorHAnsi" w:cs="Arial"/>
          <w:noProof/>
          <w:sz w:val="20"/>
          <w:szCs w:val="20"/>
          <w:lang w:val="es-CL"/>
        </w:rPr>
      </w:pPr>
      <w:r>
        <w:rPr>
          <w:rFonts w:asciiTheme="majorHAnsi" w:hAnsiTheme="majorHAnsi" w:cs="Arial"/>
          <w:noProof/>
          <w:sz w:val="20"/>
          <w:szCs w:val="20"/>
          <w:lang w:val="es-CL"/>
        </w:rPr>
        <w:br w:type="page"/>
      </w:r>
    </w:p>
    <w:p w14:paraId="09C196A9" w14:textId="77777777" w:rsidR="00B07009" w:rsidRPr="00A37B82" w:rsidRDefault="00B07009" w:rsidP="00B07009">
      <w:pPr>
        <w:ind w:firstLine="720"/>
        <w:jc w:val="both"/>
        <w:rPr>
          <w:rFonts w:asciiTheme="majorHAnsi" w:hAnsiTheme="majorHAnsi" w:cs="Arial"/>
          <w:noProof/>
          <w:spacing w:val="-2"/>
          <w:sz w:val="20"/>
          <w:szCs w:val="20"/>
          <w:lang w:val="es-CL"/>
        </w:rPr>
      </w:pPr>
    </w:p>
    <w:p w14:paraId="2F8C5338" w14:textId="77777777" w:rsidR="00B07009" w:rsidRPr="00A37B82" w:rsidRDefault="00B07009" w:rsidP="00B07009">
      <w:pPr>
        <w:suppressAutoHyphens/>
        <w:ind w:firstLine="720"/>
        <w:jc w:val="both"/>
        <w:rPr>
          <w:rFonts w:asciiTheme="majorHAnsi" w:hAnsiTheme="majorHAnsi" w:cs="Arial"/>
          <w:noProof/>
          <w:spacing w:val="-2"/>
          <w:sz w:val="20"/>
          <w:szCs w:val="20"/>
          <w:lang w:val="es-CL"/>
        </w:rPr>
      </w:pPr>
    </w:p>
    <w:sectPr w:rsidR="00B07009"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FA582" w14:textId="77777777" w:rsidR="006D56BB" w:rsidRDefault="006D56BB">
      <w:r>
        <w:separator/>
      </w:r>
    </w:p>
  </w:endnote>
  <w:endnote w:type="continuationSeparator" w:id="0">
    <w:p w14:paraId="6F68C085" w14:textId="77777777" w:rsidR="006D56BB" w:rsidRDefault="006D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0699A" w14:textId="77777777" w:rsidR="00805B40" w:rsidRDefault="00805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5AD22400" w14:textId="77777777" w:rsidR="008D5EAD" w:rsidRPr="00934A2C" w:rsidRDefault="008D5EA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F552A">
          <w:rPr>
            <w:noProof/>
            <w:sz w:val="16"/>
            <w:szCs w:val="22"/>
          </w:rPr>
          <w:t>23</w:t>
        </w:r>
        <w:r w:rsidRPr="00934A2C">
          <w:rPr>
            <w:noProof/>
            <w:sz w:val="16"/>
            <w:szCs w:val="22"/>
          </w:rPr>
          <w:fldChar w:fldCharType="end"/>
        </w:r>
      </w:p>
    </w:sdtContent>
  </w:sdt>
  <w:p w14:paraId="4ABC08D0" w14:textId="77777777" w:rsidR="008D5EAD" w:rsidRDefault="008D5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7EE51" w14:textId="77777777" w:rsidR="008D5EAD" w:rsidRPr="00934A2C" w:rsidRDefault="008D5EAD">
    <w:pPr>
      <w:pStyle w:val="Footer"/>
      <w:jc w:val="center"/>
      <w:rPr>
        <w:sz w:val="16"/>
        <w:szCs w:val="22"/>
      </w:rPr>
    </w:pPr>
  </w:p>
  <w:p w14:paraId="5D2EA1CB" w14:textId="77777777" w:rsidR="008D5EAD" w:rsidRDefault="008D5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70AF7" w14:textId="77777777" w:rsidR="006D56BB" w:rsidRPr="000F35ED" w:rsidRDefault="006D56B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FC364A8" w14:textId="77777777" w:rsidR="006D56BB" w:rsidRPr="000F35ED" w:rsidRDefault="006D56BB" w:rsidP="000F35ED">
      <w:pPr>
        <w:rPr>
          <w:rFonts w:asciiTheme="majorHAnsi" w:hAnsiTheme="majorHAnsi"/>
          <w:sz w:val="16"/>
          <w:szCs w:val="16"/>
        </w:rPr>
      </w:pPr>
      <w:r w:rsidRPr="000F35ED">
        <w:rPr>
          <w:rFonts w:asciiTheme="majorHAnsi" w:hAnsiTheme="majorHAnsi"/>
          <w:sz w:val="16"/>
          <w:szCs w:val="16"/>
        </w:rPr>
        <w:separator/>
      </w:r>
    </w:p>
    <w:p w14:paraId="15F95A33" w14:textId="77777777" w:rsidR="006D56BB" w:rsidRPr="000F35ED" w:rsidRDefault="006D56B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59ACFF2" w14:textId="77777777" w:rsidR="006D56BB" w:rsidRPr="000F35ED" w:rsidRDefault="006D56B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6ADA9CE" w14:textId="77777777" w:rsidR="008D5EAD" w:rsidRPr="00D749D5" w:rsidRDefault="008D5EAD" w:rsidP="0093604A">
      <w:pPr>
        <w:pStyle w:val="FootnoteText"/>
        <w:spacing w:after="120"/>
        <w:ind w:firstLine="720"/>
        <w:jc w:val="both"/>
        <w:rPr>
          <w:rFonts w:asciiTheme="majorHAnsi" w:hAnsiTheme="majorHAnsi"/>
          <w:color w:val="0070C0"/>
          <w:sz w:val="16"/>
          <w:szCs w:val="16"/>
          <w:lang w:val="es-MX"/>
        </w:rPr>
      </w:pPr>
      <w:r w:rsidRPr="00D749D5">
        <w:rPr>
          <w:rStyle w:val="FootnoteReference"/>
          <w:rFonts w:asciiTheme="majorHAnsi" w:hAnsiTheme="majorHAnsi"/>
          <w:color w:val="auto"/>
          <w:sz w:val="16"/>
          <w:szCs w:val="16"/>
        </w:rPr>
        <w:footnoteRef/>
      </w:r>
      <w:r w:rsidRPr="00D749D5">
        <w:rPr>
          <w:rFonts w:asciiTheme="majorHAnsi" w:hAnsiTheme="majorHAnsi"/>
          <w:color w:val="auto"/>
          <w:sz w:val="16"/>
          <w:szCs w:val="16"/>
          <w:lang w:val="es-MX"/>
        </w:rPr>
        <w:t xml:space="preserve"> Conforme </w:t>
      </w:r>
      <w:r w:rsidRPr="00D749D5">
        <w:rPr>
          <w:rFonts w:asciiTheme="majorHAnsi" w:hAnsiTheme="majorHAnsi" w:cs="Arial"/>
          <w:color w:val="auto"/>
          <w:sz w:val="16"/>
          <w:szCs w:val="16"/>
          <w:lang w:val="es-ES"/>
        </w:rPr>
        <w:t xml:space="preserve">a lo dispuesto en el artículo 17.2.a del Reglamento de la Comisión, el Comisionado Enrique Gil Botero, de nacionalidad colombiana, no participó en el debate ni en la decisión del presente asunto. </w:t>
      </w:r>
    </w:p>
  </w:footnote>
  <w:footnote w:id="3">
    <w:p w14:paraId="4CC7BDE6" w14:textId="635B6F0C" w:rsidR="000F1D66" w:rsidRPr="000F1D66" w:rsidRDefault="000F1D66" w:rsidP="0093604A">
      <w:pPr>
        <w:pStyle w:val="FootnoteText"/>
        <w:spacing w:after="120"/>
        <w:ind w:firstLine="720"/>
        <w:jc w:val="both"/>
        <w:rPr>
          <w:lang w:val="es-MX"/>
        </w:rPr>
      </w:pPr>
      <w:r w:rsidRPr="000F1D66">
        <w:rPr>
          <w:rStyle w:val="FootnoteReference"/>
          <w:rFonts w:asciiTheme="majorHAnsi" w:hAnsiTheme="majorHAnsi"/>
          <w:color w:val="auto"/>
          <w:sz w:val="16"/>
          <w:szCs w:val="16"/>
        </w:rPr>
        <w:footnoteRef/>
      </w:r>
      <w:r w:rsidRPr="000F1D66">
        <w:rPr>
          <w:rStyle w:val="FootnoteReference"/>
          <w:rFonts w:asciiTheme="majorHAnsi" w:hAnsiTheme="majorHAnsi"/>
          <w:color w:val="auto"/>
          <w:sz w:val="16"/>
          <w:szCs w:val="16"/>
          <w:lang w:val="es-MX"/>
        </w:rPr>
        <w:t xml:space="preserve"> </w:t>
      </w:r>
      <w:r w:rsidRPr="000F1D66">
        <w:rPr>
          <w:rFonts w:asciiTheme="majorHAnsi" w:hAnsiTheme="majorHAnsi" w:cs="Arial"/>
          <w:color w:val="auto"/>
          <w:sz w:val="16"/>
          <w:szCs w:val="16"/>
          <w:lang w:val="es-ES"/>
        </w:rPr>
        <w:t>Las presuntas víctimas de aleg</w:t>
      </w:r>
      <w:r w:rsidR="009621BA">
        <w:rPr>
          <w:rFonts w:asciiTheme="majorHAnsi" w:hAnsiTheme="majorHAnsi" w:cs="Arial"/>
          <w:color w:val="auto"/>
          <w:sz w:val="16"/>
          <w:szCs w:val="16"/>
          <w:lang w:val="es-ES"/>
        </w:rPr>
        <w:t>ada ejecución extrajudicial son:</w:t>
      </w:r>
      <w:r w:rsidRPr="000F1D66">
        <w:rPr>
          <w:rFonts w:asciiTheme="majorHAnsi" w:hAnsiTheme="majorHAnsi" w:cs="Arial"/>
          <w:color w:val="auto"/>
          <w:sz w:val="16"/>
          <w:szCs w:val="16"/>
          <w:lang w:val="es-ES"/>
        </w:rPr>
        <w:t xml:space="preserve"> Alberto Echeverry Martínez, Alexander Rodelo Castro, Alfredo Acero Aranda, Ana Eudilia Nova, Antonio Morales Vald</w:t>
      </w:r>
      <w:r w:rsidR="009621BA">
        <w:rPr>
          <w:rFonts w:asciiTheme="majorHAnsi" w:hAnsiTheme="majorHAnsi" w:cs="Arial"/>
          <w:color w:val="auto"/>
          <w:sz w:val="16"/>
          <w:szCs w:val="16"/>
          <w:lang w:val="es-ES"/>
        </w:rPr>
        <w:t>errama, Bejamin Pérez Peinado (</w:t>
      </w:r>
      <w:r w:rsidRPr="000F1D66">
        <w:rPr>
          <w:rFonts w:asciiTheme="majorHAnsi" w:hAnsiTheme="majorHAnsi" w:cs="Arial"/>
          <w:color w:val="auto"/>
          <w:sz w:val="16"/>
          <w:szCs w:val="16"/>
          <w:lang w:val="es-ES"/>
        </w:rPr>
        <w:t xml:space="preserve">o Benjamín Pérez Peinado), Blanca Cecilia Valero De Duran, Carlos Alberto Álvarez Ahumada, Cayetano Cisneros Camaño, Daniel Suárez Rivera, Diana Marcela Muñoz, Doris Patricia Murillo, Eduviges López Ruíz, Eliecer Payan Monares, Esteban Rojas Parada (o Esteban Rojas Prada), Evélio Córdoba Cavanzo, Fabio </w:t>
      </w:r>
      <w:r w:rsidR="009621BA">
        <w:rPr>
          <w:rFonts w:asciiTheme="majorHAnsi" w:hAnsiTheme="majorHAnsi" w:cs="Arial"/>
          <w:color w:val="auto"/>
          <w:sz w:val="16"/>
          <w:szCs w:val="16"/>
          <w:lang w:val="es-ES"/>
        </w:rPr>
        <w:t>Leonardo Córdoba Cavanzo (</w:t>
      </w:r>
      <w:r w:rsidRPr="000F1D66">
        <w:rPr>
          <w:rFonts w:asciiTheme="majorHAnsi" w:hAnsiTheme="majorHAnsi" w:cs="Arial"/>
          <w:color w:val="auto"/>
          <w:sz w:val="16"/>
          <w:szCs w:val="16"/>
          <w:lang w:val="es-ES"/>
        </w:rPr>
        <w:t>o Leonardo Córdoba Cavanzo), Felipe Colmenares Rueda, Germán Hernández De La Rosa, Gustavo Chinchilla Jaimes (o Gustavo Chinchilla James) , Gustavo Rojas Ortiz, Humberto Atencia Canchilla, Ismael Jaime Cortés (o Ismael Jaimes Cortés), Jaime Garces Muñoz (o Jaime Garces Nuñez), Joel Martínez Martíne</w:t>
      </w:r>
      <w:r w:rsidR="009621BA">
        <w:rPr>
          <w:rFonts w:asciiTheme="majorHAnsi" w:hAnsiTheme="majorHAnsi" w:cs="Arial"/>
          <w:color w:val="auto"/>
          <w:sz w:val="16"/>
          <w:szCs w:val="16"/>
          <w:lang w:val="es-ES"/>
        </w:rPr>
        <w:t>z, José Dolores Ilva Quiñones (</w:t>
      </w:r>
      <w:r w:rsidRPr="000F1D66">
        <w:rPr>
          <w:rFonts w:asciiTheme="majorHAnsi" w:hAnsiTheme="majorHAnsi" w:cs="Arial"/>
          <w:color w:val="auto"/>
          <w:sz w:val="16"/>
          <w:szCs w:val="16"/>
          <w:lang w:val="es-ES"/>
        </w:rPr>
        <w:t>o Jorge Dolores Silva Quiñones), José Domingo Amaya Parra, José Noel Vargas Rivera, Julio Carlos Castro, Julio César Berrio Villegas, Leonardo Martínez Ardila, Ligia Patricia Cortés Colmenares, Luis Carlos Estrada Rueda, Luis Enrique Lazaro Uribe, Luis Fernando León Cáceres, Luis Fernando Sierra Vargas, Luis Guillermo Niño Berbeo, Luis Guillermo Zárate Lastre, Luis Jesús Rueda Viviescas, Marcela Díaz, Milton Castillo Saavedra, Nelson Manuel Tamara Niño, Nubia Lozano Alvarez, Orlando Alonso Castillo Duarte, Oscar Mauricio Pinzón, Pablo Elias Córdoba Cavanzo, Pablo Emilio Guerra Herrera, Pablo Emilio Pinto Franco, Pablo José Narvaez, Parmenio Ruiz Suárez, Pedro David Sanchéz Morantes, Pedro David Villareal Santamaria, Presentación Montecino Arme</w:t>
      </w:r>
      <w:r w:rsidR="009621BA">
        <w:rPr>
          <w:rFonts w:asciiTheme="majorHAnsi" w:hAnsiTheme="majorHAnsi" w:cs="Arial"/>
          <w:color w:val="auto"/>
          <w:sz w:val="16"/>
          <w:szCs w:val="16"/>
          <w:lang w:val="es-ES"/>
        </w:rPr>
        <w:t>nta, René Alberto Tavera Soza (</w:t>
      </w:r>
      <w:r w:rsidRPr="000F1D66">
        <w:rPr>
          <w:rFonts w:asciiTheme="majorHAnsi" w:hAnsiTheme="majorHAnsi" w:cs="Arial"/>
          <w:color w:val="auto"/>
          <w:sz w:val="16"/>
          <w:szCs w:val="16"/>
          <w:lang w:val="es-ES"/>
        </w:rPr>
        <w:t>o René Tavera Sosa), Tarcilia Rosa Días Valeta, Virgilio Enrique Treco Florez, Yeimi Herrera Vásquez,</w:t>
      </w:r>
      <w:r w:rsidR="007A303D">
        <w:rPr>
          <w:rFonts w:asciiTheme="majorHAnsi" w:hAnsiTheme="majorHAnsi" w:cs="Arial"/>
          <w:color w:val="auto"/>
          <w:sz w:val="16"/>
          <w:szCs w:val="16"/>
          <w:lang w:val="es-ES"/>
        </w:rPr>
        <w:t xml:space="preserve"> y</w:t>
      </w:r>
      <w:r w:rsidRPr="000F1D66">
        <w:rPr>
          <w:rFonts w:asciiTheme="majorHAnsi" w:hAnsiTheme="majorHAnsi" w:cs="Arial"/>
          <w:color w:val="auto"/>
          <w:sz w:val="16"/>
          <w:szCs w:val="16"/>
          <w:lang w:val="es-ES"/>
        </w:rPr>
        <w:t xml:space="preserve"> Gloria Inés Erazo. Las presuntas víctimas de alegada tentativa</w:t>
      </w:r>
      <w:r w:rsidR="009621BA">
        <w:rPr>
          <w:rFonts w:asciiTheme="majorHAnsi" w:hAnsiTheme="majorHAnsi" w:cs="Arial"/>
          <w:color w:val="auto"/>
          <w:sz w:val="16"/>
          <w:szCs w:val="16"/>
          <w:lang w:val="es-ES"/>
        </w:rPr>
        <w:t xml:space="preserve"> de ejecución extrajudicial son:</w:t>
      </w:r>
      <w:r w:rsidRPr="000F1D66">
        <w:rPr>
          <w:rFonts w:asciiTheme="majorHAnsi" w:hAnsiTheme="majorHAnsi" w:cs="Arial"/>
          <w:color w:val="auto"/>
          <w:sz w:val="16"/>
          <w:szCs w:val="16"/>
          <w:lang w:val="es-ES"/>
        </w:rPr>
        <w:t xml:space="preserve"> Luis A. Acuña Gomez, Luis José Ariza, Ana de Jesús Duran, Maria del Carmen Fonce, Andrés Miguel Mora Florez, Teodomiro Mosquera Gomez, Daniel Neira Arenas, Edison Silva, David Vasquez Bello, Leysa Rangel Quintero, Rafael Cruz Garavito,</w:t>
      </w:r>
      <w:r w:rsidR="007A303D">
        <w:rPr>
          <w:rFonts w:asciiTheme="majorHAnsi" w:hAnsiTheme="majorHAnsi" w:cs="Arial"/>
          <w:color w:val="auto"/>
          <w:sz w:val="16"/>
          <w:szCs w:val="16"/>
          <w:lang w:val="es-ES"/>
        </w:rPr>
        <w:t xml:space="preserve"> y</w:t>
      </w:r>
      <w:r w:rsidRPr="000F1D66">
        <w:rPr>
          <w:rFonts w:asciiTheme="majorHAnsi" w:hAnsiTheme="majorHAnsi" w:cs="Arial"/>
          <w:color w:val="auto"/>
          <w:sz w:val="16"/>
          <w:szCs w:val="16"/>
          <w:lang w:val="es-ES"/>
        </w:rPr>
        <w:t xml:space="preserve"> Libardo Olaya.</w:t>
      </w:r>
      <w:r w:rsidR="009621BA">
        <w:rPr>
          <w:rFonts w:asciiTheme="majorHAnsi" w:hAnsiTheme="majorHAnsi" w:cs="Arial"/>
          <w:color w:val="auto"/>
          <w:sz w:val="16"/>
          <w:szCs w:val="16"/>
          <w:lang w:val="es-ES"/>
        </w:rPr>
        <w:t xml:space="preserve"> Gloria Inés Erazo, Rafael Cruz Garavito y Libardo Olaya fueron incluidos como presuntas víctimas en el escrito de los peticionarios presentado el 8 de octubre de 2010.</w:t>
      </w:r>
      <w:r w:rsidR="002F72DC">
        <w:rPr>
          <w:rFonts w:asciiTheme="majorHAnsi" w:hAnsiTheme="majorHAnsi" w:cs="Arial"/>
          <w:color w:val="auto"/>
          <w:sz w:val="16"/>
          <w:szCs w:val="16"/>
          <w:lang w:val="es-ES"/>
        </w:rPr>
        <w:t xml:space="preserve"> En la sección de análisis de competencia del presente informe se indican los criterios utilizados respecto de la determinación de las presuntas víctimas objeto de la petición.</w:t>
      </w:r>
    </w:p>
  </w:footnote>
  <w:footnote w:id="4">
    <w:p w14:paraId="45BBA38B" w14:textId="6EB5053A" w:rsidR="008D5EAD" w:rsidRPr="00D749D5" w:rsidRDefault="008D5EAD" w:rsidP="0093604A">
      <w:pPr>
        <w:pStyle w:val="FootnoteText"/>
        <w:spacing w:after="120"/>
        <w:ind w:firstLine="720"/>
        <w:jc w:val="both"/>
        <w:rPr>
          <w:rFonts w:asciiTheme="majorHAnsi" w:hAnsiTheme="majorHAnsi"/>
          <w:sz w:val="16"/>
          <w:szCs w:val="16"/>
          <w:lang w:val="es-ES"/>
        </w:rPr>
      </w:pPr>
      <w:r w:rsidRPr="00D749D5">
        <w:rPr>
          <w:rStyle w:val="FootnoteReference"/>
          <w:rFonts w:asciiTheme="majorHAnsi" w:hAnsiTheme="majorHAnsi"/>
          <w:sz w:val="16"/>
          <w:szCs w:val="16"/>
        </w:rPr>
        <w:footnoteRef/>
      </w:r>
      <w:r w:rsidRPr="00D749D5">
        <w:rPr>
          <w:rFonts w:asciiTheme="majorHAnsi" w:hAnsiTheme="majorHAnsi"/>
          <w:sz w:val="16"/>
          <w:szCs w:val="16"/>
          <w:lang w:val="es-ES"/>
        </w:rPr>
        <w:t xml:space="preserve"> Los peticionarios señalan a: Ligia Patricia Cortes Colmenares, Parmenio Ruiz Suárez, René Alberto Tavera Sosa, Virgilio Enrique Treco Flórez, Pedro David Sánchez Morantes, Esteban Rojas Prada, Orlando Alfonso Castillo Duarte, Benjamín Pérez Peinado y Dollys Patricia Murillo.</w:t>
      </w:r>
    </w:p>
  </w:footnote>
  <w:footnote w:id="5">
    <w:p w14:paraId="7DBBAA36" w14:textId="3197DE06" w:rsidR="008D5EAD" w:rsidRPr="00D749D5" w:rsidRDefault="008D5EAD" w:rsidP="0093604A">
      <w:pPr>
        <w:pStyle w:val="FootnoteText"/>
        <w:spacing w:after="120"/>
        <w:ind w:firstLine="720"/>
        <w:jc w:val="both"/>
        <w:rPr>
          <w:rFonts w:asciiTheme="majorHAnsi" w:hAnsiTheme="majorHAnsi"/>
          <w:sz w:val="16"/>
          <w:szCs w:val="16"/>
          <w:lang w:val="es-ES"/>
        </w:rPr>
      </w:pPr>
      <w:r w:rsidRPr="00D749D5">
        <w:rPr>
          <w:rStyle w:val="FootnoteReference"/>
          <w:rFonts w:asciiTheme="majorHAnsi" w:hAnsiTheme="majorHAnsi"/>
          <w:sz w:val="16"/>
          <w:szCs w:val="16"/>
        </w:rPr>
        <w:footnoteRef/>
      </w:r>
      <w:r w:rsidRPr="00D749D5">
        <w:rPr>
          <w:rFonts w:asciiTheme="majorHAnsi" w:hAnsiTheme="majorHAnsi"/>
          <w:sz w:val="16"/>
          <w:szCs w:val="16"/>
          <w:lang w:val="es-ES"/>
        </w:rPr>
        <w:t xml:space="preserve"> Los peticionarios señalan a Ligia Patricia Cortes Colmenares, Parmenio Ruiz Suárez, René Alberto Tavera Sosa, Virgilio Treco Florez, Pedro David Sánchez Morantes, Esteban Rojas Prada, Orlando Alonso Castillo Duarte, Benjamín Pérez Peinado, Dollys Patricia Murillo, Evelio Córdoba Cavanzo, Leonardo Córdoba Cavanzo, Pablo Elías Córdoba Cavanzo, Yeimi HerreraYásquez, Eliecer Payan Monares, Oscar Mauricio Pinzón, José Domingo Parra Amaya, Jaime Garcés Núñez, Luis Guillermo Niño Berbeo, Nubia Lozano Alvarez, Pablo José Narvaez, Eduviges López Ruiz, Pablo Emilio Pinto, Carlos Alberto Álvarez Ahumada, Gustavo Rojas Ortiz, Humberto Atencia Canchila, José Dolores Silva Quiñónez, Ismael Jaimes, Luis Fernando León Cáceres, Julio Cesar Berrio Villegas, Luis Jesús Rueda Viviescas y Pablo Guerra Herrera. De la lectura de la sentencia, al Secretaría Ejecutiva toma nota de que el fallo también refiere a Pedro David Villarreal Santamaría.</w:t>
      </w:r>
    </w:p>
  </w:footnote>
  <w:footnote w:id="6">
    <w:p w14:paraId="35DEF37B" w14:textId="409FAD4F" w:rsidR="008D5EAD" w:rsidRPr="00D749D5" w:rsidRDefault="008D5EAD" w:rsidP="009360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cs="Arial"/>
          <w:sz w:val="16"/>
          <w:szCs w:val="16"/>
          <w:lang w:val="es-ES"/>
        </w:rPr>
      </w:pPr>
      <w:r w:rsidRPr="00D749D5">
        <w:rPr>
          <w:rStyle w:val="FootnoteReference"/>
          <w:rFonts w:asciiTheme="majorHAnsi" w:hAnsiTheme="majorHAnsi"/>
          <w:sz w:val="16"/>
          <w:szCs w:val="16"/>
        </w:rPr>
        <w:footnoteRef/>
      </w:r>
      <w:r w:rsidRPr="00D749D5">
        <w:rPr>
          <w:rFonts w:asciiTheme="majorHAnsi" w:hAnsiTheme="majorHAnsi"/>
          <w:sz w:val="16"/>
          <w:szCs w:val="16"/>
          <w:lang w:val="es-ES"/>
        </w:rPr>
        <w:t xml:space="preserve"> Los peticionarios mencionan a los siguientes agentes: el Teniente Coronel de Infantería de Marina Rodrigo Quiñones Cárdenas, el Mayor de Infantería de Marina Jairo Enrique Osorio Morales, el Mayor de Infantería de Marina Walter Javier Hurtado Morales, el Mayor del Ejército José Fernando Lee Uribe, el Capitán de Infantería de Marina Rafael Alfredo Colon Torres, el Mayor del Ejército Guillermo Leguizamón, el Capitán de Infantería de Marina Jorge Rojas Vargas, el Teniente de Corbeta Mauricio Varón Daza, y los suboficiales Juan Carlos Donado Camaño, Jorge Enrique Uribe Cañaveral, Carlos David López Maquillón y Saulo Segura Palacio.</w:t>
      </w:r>
    </w:p>
  </w:footnote>
  <w:footnote w:id="7">
    <w:p w14:paraId="2C3090DB" w14:textId="65C10CED" w:rsidR="008D5EAD" w:rsidRPr="00D749D5" w:rsidRDefault="008D5EAD" w:rsidP="0093604A">
      <w:pPr>
        <w:pStyle w:val="FootnoteText"/>
        <w:spacing w:after="120"/>
        <w:ind w:firstLine="720"/>
        <w:jc w:val="both"/>
        <w:rPr>
          <w:rFonts w:asciiTheme="majorHAnsi" w:hAnsiTheme="majorHAnsi"/>
          <w:sz w:val="16"/>
          <w:szCs w:val="16"/>
          <w:lang w:val="es-ES"/>
        </w:rPr>
      </w:pPr>
      <w:r w:rsidRPr="00D749D5">
        <w:rPr>
          <w:rStyle w:val="FootnoteReference"/>
          <w:rFonts w:asciiTheme="majorHAnsi" w:eastAsia="Arial Unicode MS" w:hAnsiTheme="majorHAnsi" w:cs="Times New Roman"/>
          <w:color w:val="auto"/>
          <w:sz w:val="16"/>
          <w:szCs w:val="16"/>
          <w:lang w:eastAsia="en-US"/>
        </w:rPr>
        <w:footnoteRef/>
      </w:r>
      <w:r w:rsidRPr="00D749D5">
        <w:rPr>
          <w:rStyle w:val="FootnoteReference"/>
          <w:rFonts w:asciiTheme="majorHAnsi" w:eastAsia="Arial Unicode MS" w:hAnsiTheme="majorHAnsi" w:cs="Times New Roman"/>
          <w:color w:val="auto"/>
          <w:sz w:val="16"/>
          <w:szCs w:val="16"/>
          <w:lang w:val="es-ES" w:eastAsia="en-US"/>
        </w:rPr>
        <w:t xml:space="preserve"> </w:t>
      </w:r>
      <w:r w:rsidRPr="00D749D5">
        <w:rPr>
          <w:rFonts w:asciiTheme="majorHAnsi" w:hAnsiTheme="majorHAnsi"/>
          <w:sz w:val="16"/>
          <w:szCs w:val="16"/>
          <w:lang w:val="es-ES"/>
        </w:rPr>
        <w:t xml:space="preserve">Los peticionarios mencionan a las siguientes personas: </w:t>
      </w:r>
      <w:r w:rsidRPr="00D749D5">
        <w:rPr>
          <w:rFonts w:asciiTheme="majorHAnsi" w:hAnsiTheme="majorHAnsi" w:cs="Times New Roman"/>
          <w:sz w:val="16"/>
          <w:szCs w:val="16"/>
          <w:lang w:val="es-ES"/>
        </w:rPr>
        <w:t>Gloria Inés Erazo, José Martínez, Felipe Colmenares Rueda, Cayetano Cisneros Caamaño, Antonio Morales Valderrama, Milton Castillo Saavedra, José Noel Vargas Rivera, Luis Fernando Sierra, Luis Jesús Rueda Virviescas, Pablo Guerrero Herrera, Leonardo Martínez Ardila, Pedro David Villarreal Santamaría, Eliecer Payan Monares, Jeinis Herrera Vásquez, Ana Udilia Nova, Alberto Echeverry Martínez, Evelio Córdoba Cavanzo, Pablo Elías Córdoba Cavanzo, Fabio Leonardo Córdoba Cavanzo, Virgilio Enrique Treco Suárez, Pedro David Sánchez Morales, Esteban Rojas Prado, Doris Patricia Murillo, Benjamín Pérez Peinado, Orlando Alonso Castillo, Emilio Pinto Franco, Carlos Alberto Ahumada, Gustavo Rojas Ortiz, Humberto Atencia Canchila, Jorge Dolores Silva Quiñones, Nelson Tamara, Alexander Rodelo, Julio Castro, Luis Carlos Estrada, Parmenio Ruiz Suárez, René Tavera Sosa, Ligia Patricia Cortes, Luis Fernando León Cáceres, Luis Enrique Lázaro Uribe, Eduviges López Ruiz, Ana de Jesús Duran, María del Carmen Fonce, Pedro Pablo Narváez, Nubia Lozano, Blanca Cecilia Valero Duran, Julio Cesar Berrio, Luis Guillermo Zarate Last</w:t>
      </w:r>
      <w:r>
        <w:rPr>
          <w:rFonts w:asciiTheme="majorHAnsi" w:hAnsiTheme="majorHAnsi" w:cs="Times New Roman"/>
          <w:sz w:val="16"/>
          <w:szCs w:val="16"/>
          <w:lang w:val="es-ES"/>
        </w:rPr>
        <w:t>re Ismael Jaimes y Marcela Díaz. Al respecto, la Secretaría Ejecutiva de la CIDH nota que solamente 45 de los nombres coinciden con las presuntas víctimas y no 48.</w:t>
      </w:r>
    </w:p>
  </w:footnote>
  <w:footnote w:id="8">
    <w:p w14:paraId="7DE25D2F" w14:textId="3A19CAA5" w:rsidR="008D5EAD" w:rsidRPr="00D749D5" w:rsidRDefault="008D5EAD" w:rsidP="0093604A">
      <w:pPr>
        <w:pStyle w:val="FootnoteText"/>
        <w:spacing w:after="120"/>
        <w:ind w:firstLine="720"/>
        <w:jc w:val="both"/>
        <w:rPr>
          <w:rFonts w:asciiTheme="majorHAnsi" w:hAnsiTheme="majorHAnsi" w:cs="Times New Roman"/>
          <w:sz w:val="16"/>
          <w:szCs w:val="16"/>
          <w:lang w:val="es-ES"/>
        </w:rPr>
      </w:pPr>
      <w:r w:rsidRPr="00D749D5">
        <w:rPr>
          <w:rStyle w:val="FootnoteReference"/>
          <w:rFonts w:asciiTheme="majorHAnsi" w:hAnsiTheme="majorHAnsi"/>
          <w:sz w:val="16"/>
          <w:szCs w:val="16"/>
        </w:rPr>
        <w:footnoteRef/>
      </w:r>
      <w:r w:rsidRPr="00D749D5">
        <w:rPr>
          <w:rFonts w:asciiTheme="majorHAnsi" w:hAnsiTheme="majorHAnsi"/>
          <w:sz w:val="16"/>
          <w:szCs w:val="16"/>
          <w:lang w:val="es-ES"/>
        </w:rPr>
        <w:t xml:space="preserve"> Los peticionarios mencionan a: Luis Alfonso Acuña Gómez, Edison Silva, Luis José Ariza y Libardo Olaya. </w:t>
      </w:r>
    </w:p>
  </w:footnote>
  <w:footnote w:id="9">
    <w:p w14:paraId="2E305A89" w14:textId="2414B476" w:rsidR="008D5EAD" w:rsidRPr="00F5329C" w:rsidRDefault="008D5EAD" w:rsidP="0093604A">
      <w:pPr>
        <w:pStyle w:val="FootnoteText"/>
        <w:spacing w:after="120"/>
        <w:ind w:firstLine="720"/>
        <w:jc w:val="both"/>
        <w:rPr>
          <w:rFonts w:asciiTheme="majorHAnsi" w:hAnsiTheme="majorHAnsi"/>
          <w:sz w:val="16"/>
          <w:szCs w:val="16"/>
          <w:lang w:val="es-ES"/>
        </w:rPr>
      </w:pPr>
      <w:r w:rsidRPr="00F5329C">
        <w:rPr>
          <w:rStyle w:val="FootnoteReference"/>
          <w:rFonts w:asciiTheme="majorHAnsi" w:hAnsiTheme="majorHAnsi"/>
          <w:sz w:val="16"/>
          <w:szCs w:val="16"/>
        </w:rPr>
        <w:footnoteRef/>
      </w:r>
      <w:r w:rsidRPr="00F5329C">
        <w:rPr>
          <w:rFonts w:asciiTheme="majorHAnsi" w:hAnsiTheme="majorHAnsi"/>
          <w:sz w:val="16"/>
          <w:szCs w:val="16"/>
          <w:lang w:val="es-ES"/>
        </w:rPr>
        <w:t xml:space="preserve"> Se menciona a: Ligia Patricia Cortés Colmenares, Parmenio Ruiz Suárez, René Alberto Tavera Soza, Virgilio Enrique Treco Florez, Pedro David Sanchéz Morantes, Esteban Rojas Prada, Orlando Alonso Castillo Duarte, Benjamín Pérez Peinado y Doris (Dollys) Patricia Murillo</w:t>
      </w:r>
      <w:r w:rsidR="00A970CC">
        <w:rPr>
          <w:rFonts w:asciiTheme="majorHAnsi" w:hAnsiTheme="majorHAnsi"/>
          <w:sz w:val="16"/>
          <w:szCs w:val="16"/>
          <w:lang w:val="es-ES"/>
        </w:rPr>
        <w:t>.</w:t>
      </w:r>
    </w:p>
  </w:footnote>
  <w:footnote w:id="10">
    <w:p w14:paraId="2B303CCD" w14:textId="495BDF12" w:rsidR="008D5EAD" w:rsidRPr="00F5329C" w:rsidRDefault="008D5EAD" w:rsidP="0093604A">
      <w:pPr>
        <w:pStyle w:val="FootnoteText"/>
        <w:spacing w:after="120"/>
        <w:ind w:firstLine="720"/>
        <w:jc w:val="both"/>
        <w:rPr>
          <w:rFonts w:asciiTheme="majorHAnsi" w:hAnsiTheme="majorHAnsi"/>
          <w:sz w:val="16"/>
          <w:szCs w:val="16"/>
          <w:lang w:val="es-ES"/>
        </w:rPr>
      </w:pPr>
      <w:r w:rsidRPr="00F5329C">
        <w:rPr>
          <w:rStyle w:val="FootnoteReference"/>
          <w:rFonts w:asciiTheme="majorHAnsi" w:hAnsiTheme="majorHAnsi"/>
          <w:sz w:val="16"/>
          <w:szCs w:val="16"/>
        </w:rPr>
        <w:footnoteRef/>
      </w:r>
      <w:r w:rsidRPr="00F5329C">
        <w:rPr>
          <w:rStyle w:val="FootnoteReference"/>
          <w:rFonts w:asciiTheme="majorHAnsi" w:hAnsiTheme="majorHAnsi"/>
          <w:sz w:val="16"/>
          <w:szCs w:val="16"/>
          <w:lang w:val="es-ES"/>
        </w:rPr>
        <w:t xml:space="preserve"> </w:t>
      </w:r>
      <w:r w:rsidRPr="00F5329C">
        <w:rPr>
          <w:rFonts w:asciiTheme="majorHAnsi" w:hAnsiTheme="majorHAnsi"/>
          <w:sz w:val="16"/>
          <w:szCs w:val="16"/>
          <w:lang w:val="es-ES"/>
        </w:rPr>
        <w:t>Se menciona a</w:t>
      </w:r>
      <w:r>
        <w:rPr>
          <w:rFonts w:asciiTheme="majorHAnsi" w:hAnsiTheme="majorHAnsi"/>
          <w:sz w:val="16"/>
          <w:szCs w:val="16"/>
          <w:lang w:val="es-ES"/>
        </w:rPr>
        <w:t xml:space="preserve">: </w:t>
      </w:r>
      <w:r w:rsidRPr="00F5329C">
        <w:rPr>
          <w:rFonts w:asciiTheme="majorHAnsi" w:hAnsiTheme="majorHAnsi"/>
          <w:sz w:val="16"/>
          <w:szCs w:val="16"/>
          <w:lang w:val="es-ES"/>
        </w:rPr>
        <w:t>Virgilio Enrique Treco Florez, Pedro David Sanchéz Morantes, Esteban Rojas Prada, Orlando Alonso Castillo Duarte, Benjamín Pérez Peinado, Doris (Dollys) Patricia Murillo, Evélio Córdoba Cavanzo, Fabio Leonardo Córdoba Cavanzo, Pablo Elias Córdoba Cavanzo, René Alberto Tavera Soza, Parmenio Ruiz Suárez, Ligia Patricia Cortés Colmenares, Yeimi Herrera Vásquez, Eliecer Payan Monares, Pedro David Villareal Santamaría, Oscar Mauricio Pinzón, José Domingo Amaya Parra, Jaime Garcés Nuñez, Luis Guillermo Niño Berbeo, Nubia Lozano Alvarez, Pablo José Narvaez, Eduviges López Ruíz, Pablo Emilio Pinto Franco, Carlos Alberto Álvarez Ahumada, Gustavo Rojas Ortiz, Ismael Jaimes Cortés, Luis Fernando León Cáceres, Julio César Berrio Villegas, Luis Jesús Rueda Viviescas, Pablo Emilio Guerra Herrera</w:t>
      </w:r>
      <w:r w:rsidR="00A970CC">
        <w:rPr>
          <w:rFonts w:asciiTheme="majorHAnsi" w:hAnsiTheme="majorHAnsi"/>
          <w:sz w:val="16"/>
          <w:szCs w:val="16"/>
          <w:lang w:val="es-ES"/>
        </w:rPr>
        <w:t>.</w:t>
      </w:r>
    </w:p>
    <w:p w14:paraId="66B80968" w14:textId="26FBF69A" w:rsidR="008D5EAD" w:rsidRPr="00F5329C" w:rsidRDefault="008D5EAD" w:rsidP="0093604A">
      <w:pPr>
        <w:pStyle w:val="FootnoteText"/>
        <w:spacing w:after="120"/>
        <w:ind w:firstLine="720"/>
        <w:rPr>
          <w:lang w:val="es-ES"/>
        </w:rPr>
      </w:pPr>
    </w:p>
  </w:footnote>
  <w:footnote w:id="11">
    <w:p w14:paraId="2AE7566E" w14:textId="77777777" w:rsidR="00FD4A4A" w:rsidRPr="000F59A6" w:rsidRDefault="00FD4A4A" w:rsidP="0093604A">
      <w:pPr>
        <w:pStyle w:val="FootnoteText"/>
        <w:spacing w:after="120"/>
        <w:ind w:firstLine="720"/>
        <w:jc w:val="both"/>
        <w:rPr>
          <w:rFonts w:ascii="Cambria" w:hAnsi="Cambria"/>
          <w:sz w:val="16"/>
          <w:szCs w:val="16"/>
          <w:lang w:val="es-ES"/>
        </w:rPr>
      </w:pPr>
      <w:r w:rsidRPr="000F59A6">
        <w:rPr>
          <w:rStyle w:val="FootnoteReference"/>
          <w:rFonts w:ascii="Cambria" w:hAnsi="Cambria"/>
          <w:sz w:val="16"/>
          <w:szCs w:val="16"/>
        </w:rPr>
        <w:footnoteRef/>
      </w:r>
      <w:r w:rsidRPr="000F59A6">
        <w:rPr>
          <w:rFonts w:ascii="Cambria" w:hAnsi="Cambria"/>
          <w:sz w:val="16"/>
          <w:szCs w:val="16"/>
          <w:lang w:val="es-ES"/>
        </w:rPr>
        <w:t xml:space="preserve"> CIDH, Informe No. 34/15, Petición 191-07 y otras. Admisibilidad. Álvaro Enrique Rodríguez y otros. Colombia. 22 de julio de 2015, párr. 246.</w:t>
      </w:r>
    </w:p>
  </w:footnote>
  <w:footnote w:id="12">
    <w:p w14:paraId="07EB8B43" w14:textId="77777777" w:rsidR="00FD4A4A" w:rsidRPr="000F59A6" w:rsidRDefault="00FD4A4A" w:rsidP="0093604A">
      <w:pPr>
        <w:pStyle w:val="FootnoteText"/>
        <w:spacing w:after="120"/>
        <w:ind w:firstLine="720"/>
        <w:jc w:val="both"/>
        <w:rPr>
          <w:rFonts w:ascii="Cambria" w:hAnsi="Cambria"/>
          <w:sz w:val="16"/>
          <w:szCs w:val="16"/>
          <w:lang w:val="es-ES"/>
        </w:rPr>
      </w:pPr>
      <w:r w:rsidRPr="000F59A6">
        <w:rPr>
          <w:rStyle w:val="FootnoteReference"/>
          <w:rFonts w:ascii="Cambria" w:hAnsi="Cambria"/>
          <w:sz w:val="16"/>
          <w:szCs w:val="16"/>
        </w:rPr>
        <w:footnoteRef/>
      </w:r>
      <w:r w:rsidRPr="000F59A6">
        <w:rPr>
          <w:rFonts w:ascii="Cambria" w:hAnsi="Cambria"/>
          <w:sz w:val="16"/>
          <w:szCs w:val="16"/>
          <w:lang w:val="es-ES"/>
        </w:rPr>
        <w:t xml:space="preserve"> CIDH, Informe No. 32/15, Caso 11.100. Admisibilidad. Familia Ayure Quintero. Colombia. 22 de julio de 2015, párr. 38.</w:t>
      </w:r>
    </w:p>
  </w:footnote>
  <w:footnote w:id="13">
    <w:p w14:paraId="724A3FE3" w14:textId="77777777" w:rsidR="00FD4A4A" w:rsidRPr="000F59A6" w:rsidRDefault="00FD4A4A" w:rsidP="0093604A">
      <w:pPr>
        <w:pStyle w:val="FootnoteText"/>
        <w:spacing w:after="120"/>
        <w:ind w:firstLine="720"/>
        <w:jc w:val="both"/>
        <w:rPr>
          <w:rFonts w:ascii="Cambria" w:eastAsia="Arial Unicode MS" w:hAnsi="Cambria" w:cs="Times New Roman"/>
          <w:color w:val="auto"/>
          <w:sz w:val="16"/>
          <w:szCs w:val="16"/>
          <w:lang w:val="es-ES" w:eastAsia="en-US"/>
        </w:rPr>
      </w:pPr>
      <w:r w:rsidRPr="000F59A6">
        <w:rPr>
          <w:rStyle w:val="FootnoteReference"/>
          <w:rFonts w:ascii="Cambria" w:hAnsi="Cambria"/>
          <w:sz w:val="16"/>
          <w:szCs w:val="16"/>
        </w:rPr>
        <w:footnoteRef/>
      </w:r>
      <w:r w:rsidRPr="000F59A6">
        <w:rPr>
          <w:rFonts w:ascii="Cambria" w:hAnsi="Cambria"/>
          <w:sz w:val="16"/>
          <w:szCs w:val="16"/>
          <w:lang w:val="es-ES"/>
        </w:rPr>
        <w:t xml:space="preserve"> </w:t>
      </w:r>
      <w:r w:rsidRPr="000F59A6">
        <w:rPr>
          <w:rFonts w:ascii="Cambria" w:eastAsia="Arial Unicode MS" w:hAnsi="Cambria" w:cs="Times New Roman"/>
          <w:color w:val="auto"/>
          <w:sz w:val="16"/>
          <w:szCs w:val="16"/>
          <w:lang w:val="es-ES" w:eastAsia="en-US"/>
        </w:rPr>
        <w:t>Ver, Corte I.D.H., Caso de la Masacre de Mapiripán Vs. Colombia. Fondo, Reparaciones y Costas. Sentencia de 15 de septiembre de 2005. Serie C No. 134, párr. 210.</w:t>
      </w:r>
    </w:p>
  </w:footnote>
  <w:footnote w:id="14">
    <w:p w14:paraId="2581CA4C" w14:textId="77777777" w:rsidR="00FD4A4A" w:rsidRPr="000F59A6" w:rsidRDefault="00FD4A4A" w:rsidP="0093604A">
      <w:pPr>
        <w:spacing w:after="120"/>
        <w:ind w:firstLine="720"/>
        <w:jc w:val="both"/>
        <w:rPr>
          <w:rFonts w:ascii="Cambria" w:hAnsi="Cambria"/>
          <w:sz w:val="16"/>
          <w:szCs w:val="16"/>
          <w:lang w:val="es-ES"/>
        </w:rPr>
      </w:pPr>
      <w:r w:rsidRPr="000F59A6">
        <w:rPr>
          <w:rStyle w:val="FootnoteReference"/>
          <w:rFonts w:ascii="Cambria" w:hAnsi="Cambria"/>
          <w:sz w:val="16"/>
          <w:szCs w:val="16"/>
        </w:rPr>
        <w:footnoteRef/>
      </w:r>
      <w:r w:rsidRPr="000F59A6">
        <w:rPr>
          <w:rStyle w:val="FootnoteReference"/>
          <w:rFonts w:ascii="Cambria" w:hAnsi="Cambria"/>
          <w:sz w:val="16"/>
          <w:szCs w:val="16"/>
          <w:lang w:val="es-ES"/>
        </w:rPr>
        <w:t xml:space="preserve"> </w:t>
      </w:r>
      <w:r w:rsidRPr="000F59A6">
        <w:rPr>
          <w:rFonts w:ascii="Cambria" w:hAnsi="Cambria"/>
          <w:sz w:val="16"/>
          <w:szCs w:val="16"/>
          <w:lang w:val="es-ES"/>
        </w:rPr>
        <w:t>Ver, entre otros, CIDH, Informe No. 34/15, Petición 191-07 y otras. Admisibilidad. Álvaro Enrique Rodriguez Buitrago y otros. Colombia. 22 de julio de 2015., párr. 251; CIDH. Informe No. 74/07, Petición 1136/03, Admisibilidad, José Antonio Romero Cruz y otros., 15 de octubre de 2007. párr. 34, y; CIDH, Informe N° 43/02, Petición 12.009, Leydi Dayán Sánchez, Colombia, 9 de octubre de 2002, párr. 22.</w:t>
      </w:r>
    </w:p>
  </w:footnote>
  <w:footnote w:id="15">
    <w:p w14:paraId="7F3A8F8F" w14:textId="77777777" w:rsidR="00FD4A4A" w:rsidRPr="000F59A6" w:rsidRDefault="00FD4A4A" w:rsidP="0093604A">
      <w:pPr>
        <w:spacing w:after="120"/>
        <w:ind w:firstLine="720"/>
        <w:jc w:val="both"/>
        <w:rPr>
          <w:rFonts w:ascii="Cambria" w:hAnsi="Cambria"/>
          <w:sz w:val="16"/>
          <w:szCs w:val="16"/>
          <w:lang w:val="es-ES"/>
        </w:rPr>
      </w:pPr>
      <w:r w:rsidRPr="000F59A6">
        <w:rPr>
          <w:rStyle w:val="FootnoteReference"/>
          <w:rFonts w:ascii="Cambria" w:hAnsi="Cambria"/>
          <w:sz w:val="16"/>
          <w:szCs w:val="16"/>
        </w:rPr>
        <w:footnoteRef/>
      </w:r>
      <w:r w:rsidRPr="000F59A6">
        <w:rPr>
          <w:rStyle w:val="FootnoteReference"/>
          <w:rFonts w:ascii="Cambria" w:hAnsi="Cambria"/>
          <w:sz w:val="16"/>
          <w:szCs w:val="16"/>
          <w:lang w:val="es-ES"/>
        </w:rPr>
        <w:t xml:space="preserve"> </w:t>
      </w:r>
      <w:r w:rsidRPr="000F59A6">
        <w:rPr>
          <w:rFonts w:ascii="Cambria" w:hAnsi="Cambria"/>
          <w:sz w:val="16"/>
          <w:szCs w:val="16"/>
          <w:lang w:val="es-ES"/>
        </w:rPr>
        <w:t>Ver CIDH, Informe No. 34/15, Petición 191-07 y otras. Admisibilidad. Álvaro Enrique Rodriguez Buitrago y otros. Colombia. 22 de julio de 2015., párr. 251.</w:t>
      </w:r>
    </w:p>
  </w:footnote>
  <w:footnote w:id="16">
    <w:p w14:paraId="5211BA18" w14:textId="77777777" w:rsidR="001846DC" w:rsidRPr="001846DC" w:rsidRDefault="009C2E1B" w:rsidP="0093604A">
      <w:pPr>
        <w:pStyle w:val="FootnoteText"/>
        <w:spacing w:after="120"/>
        <w:ind w:firstLine="720"/>
        <w:rPr>
          <w:sz w:val="20"/>
          <w:szCs w:val="20"/>
          <w:lang w:val="es-UY"/>
        </w:rPr>
      </w:pPr>
      <w:r w:rsidRPr="001846DC">
        <w:rPr>
          <w:rStyle w:val="FootnoteReference"/>
          <w:rFonts w:ascii="Cambria" w:eastAsia="Arial Unicode MS" w:hAnsi="Cambria" w:cs="Times New Roman"/>
          <w:color w:val="auto"/>
          <w:sz w:val="16"/>
          <w:szCs w:val="16"/>
          <w:lang w:eastAsia="en-US"/>
        </w:rPr>
        <w:footnoteRef/>
      </w:r>
      <w:r w:rsidRPr="002F72DC">
        <w:rPr>
          <w:rStyle w:val="FootnoteReference"/>
          <w:rFonts w:eastAsia="Arial Unicode MS" w:cs="Times New Roman"/>
          <w:color w:val="auto"/>
          <w:sz w:val="16"/>
          <w:szCs w:val="16"/>
          <w:lang w:val="es-ES" w:eastAsia="en-US"/>
        </w:rPr>
        <w:t xml:space="preserve"> </w:t>
      </w:r>
      <w:r w:rsidR="001846DC" w:rsidRPr="001846DC">
        <w:rPr>
          <w:rFonts w:ascii="Cambria" w:eastAsia="Arial Unicode MS" w:hAnsi="Cambria" w:cs="Times New Roman"/>
          <w:color w:val="auto"/>
          <w:sz w:val="16"/>
          <w:szCs w:val="16"/>
          <w:lang w:val="es-ES" w:eastAsia="en-US"/>
        </w:rPr>
        <w:t>CIDH, Informe No. 49/14, Petición 1196-07. Admisibilidad. Juan Carlos Martínez Gil. 22 de julio de 2014, párr. 40.</w:t>
      </w:r>
    </w:p>
    <w:p w14:paraId="7A10EE7B" w14:textId="2B4D6B66" w:rsidR="009C2E1B" w:rsidRPr="009C2E1B" w:rsidRDefault="009C2E1B" w:rsidP="0093604A">
      <w:pPr>
        <w:pStyle w:val="FootnoteText"/>
        <w:spacing w:after="120"/>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62C92" w14:textId="77777777" w:rsidR="008D5EAD" w:rsidRDefault="008D5EAD"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0D8ABDC" w14:textId="77777777" w:rsidR="008D5EAD" w:rsidRDefault="008D5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072AE" w14:textId="77777777" w:rsidR="008D5EAD" w:rsidRDefault="008D5EAD" w:rsidP="00A50FCF">
    <w:pPr>
      <w:pStyle w:val="Header"/>
      <w:tabs>
        <w:tab w:val="clear" w:pos="4320"/>
        <w:tab w:val="clear" w:pos="8640"/>
      </w:tabs>
      <w:jc w:val="center"/>
      <w:rPr>
        <w:sz w:val="22"/>
        <w:szCs w:val="22"/>
      </w:rPr>
    </w:pPr>
    <w:r>
      <w:rPr>
        <w:noProof/>
        <w:sz w:val="22"/>
        <w:szCs w:val="22"/>
      </w:rPr>
      <w:drawing>
        <wp:inline distT="0" distB="0" distL="0" distR="0" wp14:anchorId="234D29D9" wp14:editId="624B355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BEC680F" w14:textId="77777777" w:rsidR="008D5EAD" w:rsidRPr="00EC7D62" w:rsidRDefault="006D56BB" w:rsidP="00A50FCF">
    <w:pPr>
      <w:pStyle w:val="Header"/>
      <w:tabs>
        <w:tab w:val="clear" w:pos="4320"/>
        <w:tab w:val="clear" w:pos="8640"/>
      </w:tabs>
      <w:jc w:val="center"/>
      <w:rPr>
        <w:sz w:val="22"/>
        <w:szCs w:val="22"/>
      </w:rPr>
    </w:pPr>
    <w:r>
      <w:rPr>
        <w:sz w:val="22"/>
        <w:szCs w:val="22"/>
      </w:rPr>
      <w:pict w14:anchorId="6B80C17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95585" w14:textId="77777777" w:rsidR="00805B40" w:rsidRDefault="00805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04D2758"/>
    <w:multiLevelType w:val="hybridMultilevel"/>
    <w:tmpl w:val="0DF26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D4245E6"/>
    <w:multiLevelType w:val="hybridMultilevel"/>
    <w:tmpl w:val="A232D5BC"/>
    <w:lvl w:ilvl="0" w:tplc="231C32BA">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DDB6162E"/>
    <w:lvl w:ilvl="0" w:tplc="478C27DE">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0B21788"/>
    <w:multiLevelType w:val="hybridMultilevel"/>
    <w:tmpl w:val="DDB6162E"/>
    <w:lvl w:ilvl="0" w:tplc="478C27DE">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FE05B0E"/>
    <w:multiLevelType w:val="hybridMultilevel"/>
    <w:tmpl w:val="115E9EA2"/>
    <w:lvl w:ilvl="0" w:tplc="C8E6D2DE">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51E7DD5"/>
    <w:multiLevelType w:val="hybridMultilevel"/>
    <w:tmpl w:val="4222A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521709C"/>
    <w:multiLevelType w:val="hybridMultilevel"/>
    <w:tmpl w:val="4EEE5120"/>
    <w:lvl w:ilvl="0" w:tplc="9EDAB266">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6F33349"/>
    <w:multiLevelType w:val="hybridMultilevel"/>
    <w:tmpl w:val="2D4C3E34"/>
    <w:lvl w:ilvl="0" w:tplc="FB405D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FA2773E"/>
    <w:multiLevelType w:val="hybridMultilevel"/>
    <w:tmpl w:val="E8C8FEBA"/>
    <w:lvl w:ilvl="0" w:tplc="497A1C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8"/>
  </w:num>
  <w:num w:numId="3">
    <w:abstractNumId w:val="61"/>
  </w:num>
  <w:num w:numId="4">
    <w:abstractNumId w:val="26"/>
  </w:num>
  <w:num w:numId="5">
    <w:abstractNumId w:val="52"/>
  </w:num>
  <w:num w:numId="6">
    <w:abstractNumId w:val="31"/>
  </w:num>
  <w:num w:numId="7">
    <w:abstractNumId w:val="9"/>
  </w:num>
  <w:num w:numId="8">
    <w:abstractNumId w:val="21"/>
  </w:num>
  <w:num w:numId="9">
    <w:abstractNumId w:val="45"/>
  </w:num>
  <w:num w:numId="10">
    <w:abstractNumId w:val="2"/>
  </w:num>
  <w:num w:numId="11">
    <w:abstractNumId w:val="40"/>
  </w:num>
  <w:num w:numId="12">
    <w:abstractNumId w:val="41"/>
  </w:num>
  <w:num w:numId="13">
    <w:abstractNumId w:val="46"/>
  </w:num>
  <w:num w:numId="14">
    <w:abstractNumId w:val="3"/>
  </w:num>
  <w:num w:numId="15">
    <w:abstractNumId w:val="4"/>
  </w:num>
  <w:num w:numId="16">
    <w:abstractNumId w:val="10"/>
  </w:num>
  <w:num w:numId="17">
    <w:abstractNumId w:val="11"/>
  </w:num>
  <w:num w:numId="18">
    <w:abstractNumId w:val="12"/>
  </w:num>
  <w:num w:numId="19">
    <w:abstractNumId w:val="14"/>
  </w:num>
  <w:num w:numId="20">
    <w:abstractNumId w:val="15"/>
  </w:num>
  <w:num w:numId="21">
    <w:abstractNumId w:val="17"/>
  </w:num>
  <w:num w:numId="22">
    <w:abstractNumId w:val="18"/>
  </w:num>
  <w:num w:numId="23">
    <w:abstractNumId w:val="19"/>
  </w:num>
  <w:num w:numId="24">
    <w:abstractNumId w:val="20"/>
  </w:num>
  <w:num w:numId="25">
    <w:abstractNumId w:val="22"/>
  </w:num>
  <w:num w:numId="26">
    <w:abstractNumId w:val="23"/>
  </w:num>
  <w:num w:numId="27">
    <w:abstractNumId w:val="27"/>
  </w:num>
  <w:num w:numId="28">
    <w:abstractNumId w:val="28"/>
  </w:num>
  <w:num w:numId="29">
    <w:abstractNumId w:val="29"/>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48"/>
  </w:num>
  <w:num w:numId="42">
    <w:abstractNumId w:val="54"/>
  </w:num>
  <w:num w:numId="43">
    <w:abstractNumId w:val="55"/>
  </w:num>
  <w:num w:numId="44">
    <w:abstractNumId w:val="59"/>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5"/>
  </w:num>
  <w:num w:numId="52">
    <w:abstractNumId w:val="44"/>
  </w:num>
  <w:num w:numId="53">
    <w:abstractNumId w:val="58"/>
  </w:num>
  <w:num w:numId="54">
    <w:abstractNumId w:val="47"/>
  </w:num>
  <w:num w:numId="55">
    <w:abstractNumId w:val="49"/>
  </w:num>
  <w:num w:numId="56">
    <w:abstractNumId w:val="7"/>
  </w:num>
  <w:num w:numId="57">
    <w:abstractNumId w:val="13"/>
  </w:num>
  <w:num w:numId="58">
    <w:abstractNumId w:val="56"/>
  </w:num>
  <w:num w:numId="59">
    <w:abstractNumId w:val="24"/>
  </w:num>
  <w:num w:numId="60">
    <w:abstractNumId w:val="51"/>
  </w:num>
  <w:num w:numId="61">
    <w:abstractNumId w:val="50"/>
  </w:num>
  <w:num w:numId="62">
    <w:abstractNumId w:val="57"/>
  </w:num>
  <w:num w:numId="63">
    <w:abstractNumId w:val="16"/>
  </w:num>
  <w:num w:numId="64">
    <w:abstractNumId w:val="53"/>
  </w:num>
  <w:num w:numId="65">
    <w:abstractNumId w:val="5"/>
  </w:num>
  <w:num w:numId="66">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73E"/>
    <w:rsid w:val="00000CDA"/>
    <w:rsid w:val="00000CFC"/>
    <w:rsid w:val="000013AC"/>
    <w:rsid w:val="00001C6A"/>
    <w:rsid w:val="000024E0"/>
    <w:rsid w:val="00003C89"/>
    <w:rsid w:val="00004499"/>
    <w:rsid w:val="00005E97"/>
    <w:rsid w:val="00006CF4"/>
    <w:rsid w:val="00006E1F"/>
    <w:rsid w:val="000070D7"/>
    <w:rsid w:val="00010A64"/>
    <w:rsid w:val="00011036"/>
    <w:rsid w:val="00011118"/>
    <w:rsid w:val="000123F9"/>
    <w:rsid w:val="00012DCD"/>
    <w:rsid w:val="00013D04"/>
    <w:rsid w:val="00014346"/>
    <w:rsid w:val="0001788C"/>
    <w:rsid w:val="00017B5E"/>
    <w:rsid w:val="00017DF0"/>
    <w:rsid w:val="00017F22"/>
    <w:rsid w:val="000202C7"/>
    <w:rsid w:val="000204B9"/>
    <w:rsid w:val="00020955"/>
    <w:rsid w:val="00022175"/>
    <w:rsid w:val="00024654"/>
    <w:rsid w:val="00024A3B"/>
    <w:rsid w:val="00024F4B"/>
    <w:rsid w:val="00024FE4"/>
    <w:rsid w:val="000257E5"/>
    <w:rsid w:val="00025C6A"/>
    <w:rsid w:val="0002782D"/>
    <w:rsid w:val="00030A71"/>
    <w:rsid w:val="00030BB2"/>
    <w:rsid w:val="00030DC6"/>
    <w:rsid w:val="000326FF"/>
    <w:rsid w:val="00032ABF"/>
    <w:rsid w:val="000347CC"/>
    <w:rsid w:val="00036900"/>
    <w:rsid w:val="00037E1F"/>
    <w:rsid w:val="00040069"/>
    <w:rsid w:val="00040C3A"/>
    <w:rsid w:val="0004136B"/>
    <w:rsid w:val="00041F58"/>
    <w:rsid w:val="000429C5"/>
    <w:rsid w:val="00042C0D"/>
    <w:rsid w:val="00043F71"/>
    <w:rsid w:val="000442AD"/>
    <w:rsid w:val="00044DDA"/>
    <w:rsid w:val="00045394"/>
    <w:rsid w:val="00050750"/>
    <w:rsid w:val="00050A3D"/>
    <w:rsid w:val="00051B1A"/>
    <w:rsid w:val="00051FC2"/>
    <w:rsid w:val="00052E2D"/>
    <w:rsid w:val="0005370A"/>
    <w:rsid w:val="00053D98"/>
    <w:rsid w:val="00053E81"/>
    <w:rsid w:val="000552C6"/>
    <w:rsid w:val="00056428"/>
    <w:rsid w:val="00056B8A"/>
    <w:rsid w:val="00057DD7"/>
    <w:rsid w:val="00061BCD"/>
    <w:rsid w:val="0006234D"/>
    <w:rsid w:val="00062D4F"/>
    <w:rsid w:val="00062D5C"/>
    <w:rsid w:val="0006391D"/>
    <w:rsid w:val="00065661"/>
    <w:rsid w:val="00065C8A"/>
    <w:rsid w:val="00066BDE"/>
    <w:rsid w:val="000707F6"/>
    <w:rsid w:val="00071217"/>
    <w:rsid w:val="000716C5"/>
    <w:rsid w:val="000726C1"/>
    <w:rsid w:val="000728CA"/>
    <w:rsid w:val="00072B70"/>
    <w:rsid w:val="00072BFD"/>
    <w:rsid w:val="00072C02"/>
    <w:rsid w:val="00073678"/>
    <w:rsid w:val="000749D0"/>
    <w:rsid w:val="00074D46"/>
    <w:rsid w:val="00075399"/>
    <w:rsid w:val="00075E23"/>
    <w:rsid w:val="00076F1F"/>
    <w:rsid w:val="0008258E"/>
    <w:rsid w:val="0008363A"/>
    <w:rsid w:val="0008388C"/>
    <w:rsid w:val="000849AC"/>
    <w:rsid w:val="000850C2"/>
    <w:rsid w:val="00085A5F"/>
    <w:rsid w:val="00086237"/>
    <w:rsid w:val="000869D6"/>
    <w:rsid w:val="0009344A"/>
    <w:rsid w:val="000960FC"/>
    <w:rsid w:val="000A0BF1"/>
    <w:rsid w:val="000A1795"/>
    <w:rsid w:val="000A20C5"/>
    <w:rsid w:val="000A24F8"/>
    <w:rsid w:val="000A266E"/>
    <w:rsid w:val="000A392E"/>
    <w:rsid w:val="000A3B53"/>
    <w:rsid w:val="000A4150"/>
    <w:rsid w:val="000A575F"/>
    <w:rsid w:val="000A7240"/>
    <w:rsid w:val="000B03D5"/>
    <w:rsid w:val="000B15B9"/>
    <w:rsid w:val="000B36FE"/>
    <w:rsid w:val="000B49F3"/>
    <w:rsid w:val="000B60C4"/>
    <w:rsid w:val="000B6761"/>
    <w:rsid w:val="000C06FE"/>
    <w:rsid w:val="000C14F6"/>
    <w:rsid w:val="000C4E8E"/>
    <w:rsid w:val="000C511A"/>
    <w:rsid w:val="000C6261"/>
    <w:rsid w:val="000D0EC4"/>
    <w:rsid w:val="000D10DB"/>
    <w:rsid w:val="000D46E8"/>
    <w:rsid w:val="000D70BB"/>
    <w:rsid w:val="000D788A"/>
    <w:rsid w:val="000D7920"/>
    <w:rsid w:val="000D7DF8"/>
    <w:rsid w:val="000D7E9C"/>
    <w:rsid w:val="000E1AD8"/>
    <w:rsid w:val="000E2466"/>
    <w:rsid w:val="000E5EB5"/>
    <w:rsid w:val="000E71FF"/>
    <w:rsid w:val="000F0111"/>
    <w:rsid w:val="000F16F1"/>
    <w:rsid w:val="000F1D66"/>
    <w:rsid w:val="000F2B92"/>
    <w:rsid w:val="000F35ED"/>
    <w:rsid w:val="000F64F4"/>
    <w:rsid w:val="000F7546"/>
    <w:rsid w:val="000F7FDB"/>
    <w:rsid w:val="001041DC"/>
    <w:rsid w:val="00107131"/>
    <w:rsid w:val="0010736F"/>
    <w:rsid w:val="00107733"/>
    <w:rsid w:val="00110E33"/>
    <w:rsid w:val="00110F17"/>
    <w:rsid w:val="00112453"/>
    <w:rsid w:val="00112D7A"/>
    <w:rsid w:val="00113F71"/>
    <w:rsid w:val="00113F73"/>
    <w:rsid w:val="0011785F"/>
    <w:rsid w:val="001216FC"/>
    <w:rsid w:val="00121CC2"/>
    <w:rsid w:val="00122539"/>
    <w:rsid w:val="00122E48"/>
    <w:rsid w:val="0012337A"/>
    <w:rsid w:val="00125DA7"/>
    <w:rsid w:val="0013001F"/>
    <w:rsid w:val="001301F9"/>
    <w:rsid w:val="00131B6A"/>
    <w:rsid w:val="0013207B"/>
    <w:rsid w:val="0013279A"/>
    <w:rsid w:val="00133804"/>
    <w:rsid w:val="00133EE5"/>
    <w:rsid w:val="00134651"/>
    <w:rsid w:val="00136084"/>
    <w:rsid w:val="00137196"/>
    <w:rsid w:val="001400FD"/>
    <w:rsid w:val="001411C1"/>
    <w:rsid w:val="001417F6"/>
    <w:rsid w:val="00142D2C"/>
    <w:rsid w:val="00144459"/>
    <w:rsid w:val="00144A32"/>
    <w:rsid w:val="001452B2"/>
    <w:rsid w:val="001514A6"/>
    <w:rsid w:val="001515E5"/>
    <w:rsid w:val="00153401"/>
    <w:rsid w:val="0015385C"/>
    <w:rsid w:val="00154409"/>
    <w:rsid w:val="00155C57"/>
    <w:rsid w:val="0015685C"/>
    <w:rsid w:val="00156EEF"/>
    <w:rsid w:val="00157E2B"/>
    <w:rsid w:val="0016025C"/>
    <w:rsid w:val="001607C8"/>
    <w:rsid w:val="00160CC9"/>
    <w:rsid w:val="00161774"/>
    <w:rsid w:val="001637DD"/>
    <w:rsid w:val="001645A8"/>
    <w:rsid w:val="00164A0F"/>
    <w:rsid w:val="00165D43"/>
    <w:rsid w:val="00166B0A"/>
    <w:rsid w:val="00167A34"/>
    <w:rsid w:val="001704DB"/>
    <w:rsid w:val="00170BF5"/>
    <w:rsid w:val="00171865"/>
    <w:rsid w:val="00175853"/>
    <w:rsid w:val="00175946"/>
    <w:rsid w:val="00176926"/>
    <w:rsid w:val="00177195"/>
    <w:rsid w:val="00177568"/>
    <w:rsid w:val="00177617"/>
    <w:rsid w:val="0018101F"/>
    <w:rsid w:val="00181317"/>
    <w:rsid w:val="001815AE"/>
    <w:rsid w:val="00181715"/>
    <w:rsid w:val="00182247"/>
    <w:rsid w:val="00182B76"/>
    <w:rsid w:val="00182D70"/>
    <w:rsid w:val="00183D82"/>
    <w:rsid w:val="001843E1"/>
    <w:rsid w:val="00184511"/>
    <w:rsid w:val="001846DC"/>
    <w:rsid w:val="0018482B"/>
    <w:rsid w:val="00185277"/>
    <w:rsid w:val="001852FA"/>
    <w:rsid w:val="00185B88"/>
    <w:rsid w:val="001914ED"/>
    <w:rsid w:val="0019370A"/>
    <w:rsid w:val="00194E77"/>
    <w:rsid w:val="00194EBD"/>
    <w:rsid w:val="0019613C"/>
    <w:rsid w:val="0019642D"/>
    <w:rsid w:val="00196A74"/>
    <w:rsid w:val="00197E47"/>
    <w:rsid w:val="001A0F69"/>
    <w:rsid w:val="001A67F0"/>
    <w:rsid w:val="001A701C"/>
    <w:rsid w:val="001A7870"/>
    <w:rsid w:val="001A7EE2"/>
    <w:rsid w:val="001B06EA"/>
    <w:rsid w:val="001B17D0"/>
    <w:rsid w:val="001B416D"/>
    <w:rsid w:val="001C1B41"/>
    <w:rsid w:val="001C1CB1"/>
    <w:rsid w:val="001C3149"/>
    <w:rsid w:val="001C58D4"/>
    <w:rsid w:val="001C5EF7"/>
    <w:rsid w:val="001C5FE7"/>
    <w:rsid w:val="001C6898"/>
    <w:rsid w:val="001D20B0"/>
    <w:rsid w:val="001D253D"/>
    <w:rsid w:val="001D3109"/>
    <w:rsid w:val="001D3E51"/>
    <w:rsid w:val="001D5CBB"/>
    <w:rsid w:val="001D65EF"/>
    <w:rsid w:val="001D6726"/>
    <w:rsid w:val="001D7EDD"/>
    <w:rsid w:val="001E02C5"/>
    <w:rsid w:val="001E19EF"/>
    <w:rsid w:val="001E24A2"/>
    <w:rsid w:val="001E24AA"/>
    <w:rsid w:val="001E2D28"/>
    <w:rsid w:val="001E3960"/>
    <w:rsid w:val="001E61EC"/>
    <w:rsid w:val="001E68CF"/>
    <w:rsid w:val="001E79CD"/>
    <w:rsid w:val="001F071F"/>
    <w:rsid w:val="001F2C3F"/>
    <w:rsid w:val="001F39EE"/>
    <w:rsid w:val="001F7F5D"/>
    <w:rsid w:val="002021FC"/>
    <w:rsid w:val="00203723"/>
    <w:rsid w:val="00203C6C"/>
    <w:rsid w:val="00203F21"/>
    <w:rsid w:val="002041A0"/>
    <w:rsid w:val="0020489A"/>
    <w:rsid w:val="00204B17"/>
    <w:rsid w:val="00207BEE"/>
    <w:rsid w:val="00210B4E"/>
    <w:rsid w:val="002120FD"/>
    <w:rsid w:val="00212A98"/>
    <w:rsid w:val="00213F9E"/>
    <w:rsid w:val="00213FD0"/>
    <w:rsid w:val="00215511"/>
    <w:rsid w:val="00217AC3"/>
    <w:rsid w:val="0022039C"/>
    <w:rsid w:val="0022224E"/>
    <w:rsid w:val="00222EEA"/>
    <w:rsid w:val="00224495"/>
    <w:rsid w:val="002250A3"/>
    <w:rsid w:val="002260D2"/>
    <w:rsid w:val="00226347"/>
    <w:rsid w:val="00227CA2"/>
    <w:rsid w:val="00231133"/>
    <w:rsid w:val="00232C29"/>
    <w:rsid w:val="0023494D"/>
    <w:rsid w:val="00235217"/>
    <w:rsid w:val="00245497"/>
    <w:rsid w:val="00245E79"/>
    <w:rsid w:val="00245FA4"/>
    <w:rsid w:val="00246AFF"/>
    <w:rsid w:val="00246D1F"/>
    <w:rsid w:val="00247403"/>
    <w:rsid w:val="00247542"/>
    <w:rsid w:val="002479E4"/>
    <w:rsid w:val="00250207"/>
    <w:rsid w:val="00251903"/>
    <w:rsid w:val="00251DC1"/>
    <w:rsid w:val="00253B1D"/>
    <w:rsid w:val="00254C7D"/>
    <w:rsid w:val="00254D8C"/>
    <w:rsid w:val="00255404"/>
    <w:rsid w:val="0026346E"/>
    <w:rsid w:val="0026506E"/>
    <w:rsid w:val="0026525D"/>
    <w:rsid w:val="002655E4"/>
    <w:rsid w:val="002659FA"/>
    <w:rsid w:val="00266B61"/>
    <w:rsid w:val="0026712A"/>
    <w:rsid w:val="002671F7"/>
    <w:rsid w:val="002704DB"/>
    <w:rsid w:val="002724EB"/>
    <w:rsid w:val="002730A3"/>
    <w:rsid w:val="00273ABC"/>
    <w:rsid w:val="00274BC0"/>
    <w:rsid w:val="00274DF9"/>
    <w:rsid w:val="00274EA8"/>
    <w:rsid w:val="00277F25"/>
    <w:rsid w:val="002818B9"/>
    <w:rsid w:val="00284717"/>
    <w:rsid w:val="002847D9"/>
    <w:rsid w:val="002850D9"/>
    <w:rsid w:val="002864B7"/>
    <w:rsid w:val="00287933"/>
    <w:rsid w:val="00287CF2"/>
    <w:rsid w:val="00292405"/>
    <w:rsid w:val="00292D33"/>
    <w:rsid w:val="00294030"/>
    <w:rsid w:val="00296E41"/>
    <w:rsid w:val="00297D45"/>
    <w:rsid w:val="002A0AAE"/>
    <w:rsid w:val="002A3729"/>
    <w:rsid w:val="002A3BEB"/>
    <w:rsid w:val="002A3C52"/>
    <w:rsid w:val="002A5135"/>
    <w:rsid w:val="002A52A1"/>
    <w:rsid w:val="002A5820"/>
    <w:rsid w:val="002B0A02"/>
    <w:rsid w:val="002B19EE"/>
    <w:rsid w:val="002B2AC1"/>
    <w:rsid w:val="002B4B85"/>
    <w:rsid w:val="002B61B9"/>
    <w:rsid w:val="002B67E8"/>
    <w:rsid w:val="002C3263"/>
    <w:rsid w:val="002C363D"/>
    <w:rsid w:val="002C3F22"/>
    <w:rsid w:val="002D01AE"/>
    <w:rsid w:val="002D2A68"/>
    <w:rsid w:val="002D2B26"/>
    <w:rsid w:val="002D2B37"/>
    <w:rsid w:val="002D30A6"/>
    <w:rsid w:val="002D36B9"/>
    <w:rsid w:val="002D6562"/>
    <w:rsid w:val="002D7EA2"/>
    <w:rsid w:val="002E082F"/>
    <w:rsid w:val="002E0A91"/>
    <w:rsid w:val="002E187C"/>
    <w:rsid w:val="002E462D"/>
    <w:rsid w:val="002E5065"/>
    <w:rsid w:val="002E540E"/>
    <w:rsid w:val="002E5ED5"/>
    <w:rsid w:val="002E605B"/>
    <w:rsid w:val="002F1DA9"/>
    <w:rsid w:val="002F255F"/>
    <w:rsid w:val="002F3860"/>
    <w:rsid w:val="002F584D"/>
    <w:rsid w:val="002F6CB2"/>
    <w:rsid w:val="002F72DC"/>
    <w:rsid w:val="0030023E"/>
    <w:rsid w:val="00301498"/>
    <w:rsid w:val="00302733"/>
    <w:rsid w:val="00302F94"/>
    <w:rsid w:val="00303272"/>
    <w:rsid w:val="00303B30"/>
    <w:rsid w:val="0030492D"/>
    <w:rsid w:val="003068D7"/>
    <w:rsid w:val="00306EA7"/>
    <w:rsid w:val="0031079F"/>
    <w:rsid w:val="00311328"/>
    <w:rsid w:val="00312273"/>
    <w:rsid w:val="00314078"/>
    <w:rsid w:val="0031535D"/>
    <w:rsid w:val="003165CA"/>
    <w:rsid w:val="00316849"/>
    <w:rsid w:val="00316958"/>
    <w:rsid w:val="00317486"/>
    <w:rsid w:val="00320B9D"/>
    <w:rsid w:val="00320BA2"/>
    <w:rsid w:val="003230B4"/>
    <w:rsid w:val="00323E74"/>
    <w:rsid w:val="00326563"/>
    <w:rsid w:val="003267FA"/>
    <w:rsid w:val="0033169F"/>
    <w:rsid w:val="00331A42"/>
    <w:rsid w:val="0033260A"/>
    <w:rsid w:val="0033467B"/>
    <w:rsid w:val="003375DE"/>
    <w:rsid w:val="00341F9F"/>
    <w:rsid w:val="00342753"/>
    <w:rsid w:val="00342CCB"/>
    <w:rsid w:val="00344015"/>
    <w:rsid w:val="003440B6"/>
    <w:rsid w:val="003443CB"/>
    <w:rsid w:val="00346C95"/>
    <w:rsid w:val="00350102"/>
    <w:rsid w:val="00350196"/>
    <w:rsid w:val="00351C54"/>
    <w:rsid w:val="003534C3"/>
    <w:rsid w:val="00353535"/>
    <w:rsid w:val="00353F52"/>
    <w:rsid w:val="00355FDB"/>
    <w:rsid w:val="00356185"/>
    <w:rsid w:val="00357F65"/>
    <w:rsid w:val="00360380"/>
    <w:rsid w:val="00360BD5"/>
    <w:rsid w:val="0036242C"/>
    <w:rsid w:val="00362852"/>
    <w:rsid w:val="003635F2"/>
    <w:rsid w:val="00363A43"/>
    <w:rsid w:val="003649A7"/>
    <w:rsid w:val="00365D20"/>
    <w:rsid w:val="00365D51"/>
    <w:rsid w:val="003664B3"/>
    <w:rsid w:val="00366AE1"/>
    <w:rsid w:val="00366D4F"/>
    <w:rsid w:val="0036750A"/>
    <w:rsid w:val="0037017E"/>
    <w:rsid w:val="0037519E"/>
    <w:rsid w:val="003772CC"/>
    <w:rsid w:val="0038097A"/>
    <w:rsid w:val="00381870"/>
    <w:rsid w:val="00383B7F"/>
    <w:rsid w:val="00384C2A"/>
    <w:rsid w:val="003852D9"/>
    <w:rsid w:val="00386CF0"/>
    <w:rsid w:val="003878E2"/>
    <w:rsid w:val="003901E1"/>
    <w:rsid w:val="00392461"/>
    <w:rsid w:val="0039346B"/>
    <w:rsid w:val="0039570A"/>
    <w:rsid w:val="00397713"/>
    <w:rsid w:val="00397CA8"/>
    <w:rsid w:val="00397CE5"/>
    <w:rsid w:val="003A108C"/>
    <w:rsid w:val="003A21FA"/>
    <w:rsid w:val="003A41D3"/>
    <w:rsid w:val="003A4CA5"/>
    <w:rsid w:val="003A7145"/>
    <w:rsid w:val="003A7F0C"/>
    <w:rsid w:val="003B0AE6"/>
    <w:rsid w:val="003B1726"/>
    <w:rsid w:val="003B2975"/>
    <w:rsid w:val="003B297A"/>
    <w:rsid w:val="003B2C87"/>
    <w:rsid w:val="003B4049"/>
    <w:rsid w:val="003B5056"/>
    <w:rsid w:val="003B6445"/>
    <w:rsid w:val="003B75C0"/>
    <w:rsid w:val="003B7839"/>
    <w:rsid w:val="003C2388"/>
    <w:rsid w:val="003C2B1C"/>
    <w:rsid w:val="003C44B4"/>
    <w:rsid w:val="003C676B"/>
    <w:rsid w:val="003C79AE"/>
    <w:rsid w:val="003C7CF1"/>
    <w:rsid w:val="003D0607"/>
    <w:rsid w:val="003D08B8"/>
    <w:rsid w:val="003D2966"/>
    <w:rsid w:val="003D356D"/>
    <w:rsid w:val="003D35C3"/>
    <w:rsid w:val="003D3BC2"/>
    <w:rsid w:val="003D5039"/>
    <w:rsid w:val="003D55C7"/>
    <w:rsid w:val="003D7075"/>
    <w:rsid w:val="003D7593"/>
    <w:rsid w:val="003D7DAA"/>
    <w:rsid w:val="003E02C7"/>
    <w:rsid w:val="003E66E6"/>
    <w:rsid w:val="003E692F"/>
    <w:rsid w:val="003E6CA1"/>
    <w:rsid w:val="003E763E"/>
    <w:rsid w:val="003F1437"/>
    <w:rsid w:val="003F16C9"/>
    <w:rsid w:val="003F3EEA"/>
    <w:rsid w:val="003F5EC6"/>
    <w:rsid w:val="003F7221"/>
    <w:rsid w:val="00400263"/>
    <w:rsid w:val="00400452"/>
    <w:rsid w:val="00404D49"/>
    <w:rsid w:val="00406DA6"/>
    <w:rsid w:val="0040721E"/>
    <w:rsid w:val="0040771B"/>
    <w:rsid w:val="004137F9"/>
    <w:rsid w:val="0041441F"/>
    <w:rsid w:val="004165C2"/>
    <w:rsid w:val="00416B25"/>
    <w:rsid w:val="00421ABD"/>
    <w:rsid w:val="004239E6"/>
    <w:rsid w:val="00423BAE"/>
    <w:rsid w:val="00423C6D"/>
    <w:rsid w:val="00424366"/>
    <w:rsid w:val="0042457B"/>
    <w:rsid w:val="004255A3"/>
    <w:rsid w:val="004274B7"/>
    <w:rsid w:val="0042766C"/>
    <w:rsid w:val="00427A9F"/>
    <w:rsid w:val="00427CBB"/>
    <w:rsid w:val="00427D7C"/>
    <w:rsid w:val="004300C1"/>
    <w:rsid w:val="00431C2C"/>
    <w:rsid w:val="00433956"/>
    <w:rsid w:val="00433C4C"/>
    <w:rsid w:val="0043483C"/>
    <w:rsid w:val="00435DC4"/>
    <w:rsid w:val="00436D28"/>
    <w:rsid w:val="00436D41"/>
    <w:rsid w:val="004370DE"/>
    <w:rsid w:val="00440D2C"/>
    <w:rsid w:val="00441374"/>
    <w:rsid w:val="004415FC"/>
    <w:rsid w:val="00441DBA"/>
    <w:rsid w:val="00441ECB"/>
    <w:rsid w:val="00444B4C"/>
    <w:rsid w:val="0044503C"/>
    <w:rsid w:val="00446B87"/>
    <w:rsid w:val="00446B9D"/>
    <w:rsid w:val="00447A0B"/>
    <w:rsid w:val="0045326E"/>
    <w:rsid w:val="00456549"/>
    <w:rsid w:val="00464A3B"/>
    <w:rsid w:val="00467203"/>
    <w:rsid w:val="004673F4"/>
    <w:rsid w:val="00467B7E"/>
    <w:rsid w:val="004700C1"/>
    <w:rsid w:val="004700CB"/>
    <w:rsid w:val="00470B2A"/>
    <w:rsid w:val="00470FCA"/>
    <w:rsid w:val="004717C9"/>
    <w:rsid w:val="0047346D"/>
    <w:rsid w:val="004741A5"/>
    <w:rsid w:val="0047450F"/>
    <w:rsid w:val="00476728"/>
    <w:rsid w:val="00477592"/>
    <w:rsid w:val="004776E6"/>
    <w:rsid w:val="00477E9C"/>
    <w:rsid w:val="00477F87"/>
    <w:rsid w:val="00481901"/>
    <w:rsid w:val="00481B27"/>
    <w:rsid w:val="00481C24"/>
    <w:rsid w:val="00482179"/>
    <w:rsid w:val="00483DC4"/>
    <w:rsid w:val="00484283"/>
    <w:rsid w:val="00485810"/>
    <w:rsid w:val="00486163"/>
    <w:rsid w:val="00486F1C"/>
    <w:rsid w:val="0048724C"/>
    <w:rsid w:val="00487EC8"/>
    <w:rsid w:val="00487FFE"/>
    <w:rsid w:val="00490BA7"/>
    <w:rsid w:val="00491740"/>
    <w:rsid w:val="004919D5"/>
    <w:rsid w:val="00492483"/>
    <w:rsid w:val="0049272D"/>
    <w:rsid w:val="00494032"/>
    <w:rsid w:val="0049419D"/>
    <w:rsid w:val="004955F7"/>
    <w:rsid w:val="00496E2F"/>
    <w:rsid w:val="004A09CC"/>
    <w:rsid w:val="004A1BE0"/>
    <w:rsid w:val="004A3275"/>
    <w:rsid w:val="004A4BC4"/>
    <w:rsid w:val="004A6BEE"/>
    <w:rsid w:val="004A7C8C"/>
    <w:rsid w:val="004B098A"/>
    <w:rsid w:val="004B0CC5"/>
    <w:rsid w:val="004B1B82"/>
    <w:rsid w:val="004B23D9"/>
    <w:rsid w:val="004B2A22"/>
    <w:rsid w:val="004B2B17"/>
    <w:rsid w:val="004B457A"/>
    <w:rsid w:val="004B69ED"/>
    <w:rsid w:val="004B7A65"/>
    <w:rsid w:val="004C05E6"/>
    <w:rsid w:val="004C0AA1"/>
    <w:rsid w:val="004C113C"/>
    <w:rsid w:val="004C20D2"/>
    <w:rsid w:val="004C31F0"/>
    <w:rsid w:val="004C3428"/>
    <w:rsid w:val="004C3CEB"/>
    <w:rsid w:val="004C44D7"/>
    <w:rsid w:val="004C4B62"/>
    <w:rsid w:val="004C54C9"/>
    <w:rsid w:val="004C594E"/>
    <w:rsid w:val="004D077C"/>
    <w:rsid w:val="004D177A"/>
    <w:rsid w:val="004D3669"/>
    <w:rsid w:val="004D6025"/>
    <w:rsid w:val="004D7332"/>
    <w:rsid w:val="004D7AD3"/>
    <w:rsid w:val="004E0AA7"/>
    <w:rsid w:val="004E2649"/>
    <w:rsid w:val="004E31DD"/>
    <w:rsid w:val="004E3214"/>
    <w:rsid w:val="004E346A"/>
    <w:rsid w:val="004E3747"/>
    <w:rsid w:val="004E5F59"/>
    <w:rsid w:val="004E6658"/>
    <w:rsid w:val="004F039A"/>
    <w:rsid w:val="004F07C1"/>
    <w:rsid w:val="004F08BD"/>
    <w:rsid w:val="004F18D2"/>
    <w:rsid w:val="004F619B"/>
    <w:rsid w:val="004F6614"/>
    <w:rsid w:val="004F67AC"/>
    <w:rsid w:val="004F6FEB"/>
    <w:rsid w:val="004F7E3A"/>
    <w:rsid w:val="00501399"/>
    <w:rsid w:val="00501831"/>
    <w:rsid w:val="00501ECB"/>
    <w:rsid w:val="00505CA5"/>
    <w:rsid w:val="0050633D"/>
    <w:rsid w:val="00506898"/>
    <w:rsid w:val="00507BC4"/>
    <w:rsid w:val="00510AE1"/>
    <w:rsid w:val="00511146"/>
    <w:rsid w:val="00511B26"/>
    <w:rsid w:val="005128E4"/>
    <w:rsid w:val="00513368"/>
    <w:rsid w:val="005133DB"/>
    <w:rsid w:val="00514A96"/>
    <w:rsid w:val="00515D60"/>
    <w:rsid w:val="00516BC1"/>
    <w:rsid w:val="0051796D"/>
    <w:rsid w:val="00523FEC"/>
    <w:rsid w:val="0052447A"/>
    <w:rsid w:val="00525560"/>
    <w:rsid w:val="00525FD2"/>
    <w:rsid w:val="0052681A"/>
    <w:rsid w:val="00527DF7"/>
    <w:rsid w:val="005316A2"/>
    <w:rsid w:val="00531A90"/>
    <w:rsid w:val="00533C47"/>
    <w:rsid w:val="00534A15"/>
    <w:rsid w:val="005354A1"/>
    <w:rsid w:val="00537490"/>
    <w:rsid w:val="00540B26"/>
    <w:rsid w:val="00540D6F"/>
    <w:rsid w:val="00541CA3"/>
    <w:rsid w:val="00544413"/>
    <w:rsid w:val="00544C49"/>
    <w:rsid w:val="00544FD4"/>
    <w:rsid w:val="0054603D"/>
    <w:rsid w:val="00547D7F"/>
    <w:rsid w:val="00550769"/>
    <w:rsid w:val="005516A1"/>
    <w:rsid w:val="005519B9"/>
    <w:rsid w:val="00552E92"/>
    <w:rsid w:val="00557C96"/>
    <w:rsid w:val="00564D67"/>
    <w:rsid w:val="0056523F"/>
    <w:rsid w:val="00565EAA"/>
    <w:rsid w:val="00570BF4"/>
    <w:rsid w:val="00572AAB"/>
    <w:rsid w:val="00573CD2"/>
    <w:rsid w:val="0057402A"/>
    <w:rsid w:val="005771D0"/>
    <w:rsid w:val="00580506"/>
    <w:rsid w:val="00580CBB"/>
    <w:rsid w:val="005820E0"/>
    <w:rsid w:val="005822B4"/>
    <w:rsid w:val="0058253C"/>
    <w:rsid w:val="00582696"/>
    <w:rsid w:val="00586942"/>
    <w:rsid w:val="00586ACF"/>
    <w:rsid w:val="00587126"/>
    <w:rsid w:val="005877E2"/>
    <w:rsid w:val="00587E29"/>
    <w:rsid w:val="00590354"/>
    <w:rsid w:val="00590E1A"/>
    <w:rsid w:val="00591473"/>
    <w:rsid w:val="0059191A"/>
    <w:rsid w:val="005921FF"/>
    <w:rsid w:val="00592BD6"/>
    <w:rsid w:val="00593BAF"/>
    <w:rsid w:val="00595578"/>
    <w:rsid w:val="00595A19"/>
    <w:rsid w:val="005963C2"/>
    <w:rsid w:val="00596831"/>
    <w:rsid w:val="005A1CCB"/>
    <w:rsid w:val="005A26EA"/>
    <w:rsid w:val="005A2B02"/>
    <w:rsid w:val="005A3067"/>
    <w:rsid w:val="005A5CFB"/>
    <w:rsid w:val="005A637C"/>
    <w:rsid w:val="005A6BEB"/>
    <w:rsid w:val="005A6C4F"/>
    <w:rsid w:val="005A6D0E"/>
    <w:rsid w:val="005A7DC6"/>
    <w:rsid w:val="005B0030"/>
    <w:rsid w:val="005B03E0"/>
    <w:rsid w:val="005B0E17"/>
    <w:rsid w:val="005B252C"/>
    <w:rsid w:val="005B2599"/>
    <w:rsid w:val="005B47D1"/>
    <w:rsid w:val="005B488D"/>
    <w:rsid w:val="005B52B0"/>
    <w:rsid w:val="005B5F3B"/>
    <w:rsid w:val="005B6806"/>
    <w:rsid w:val="005B6C20"/>
    <w:rsid w:val="005C1CCF"/>
    <w:rsid w:val="005C1FD5"/>
    <w:rsid w:val="005C3225"/>
    <w:rsid w:val="005C4225"/>
    <w:rsid w:val="005C4E93"/>
    <w:rsid w:val="005C555E"/>
    <w:rsid w:val="005C611C"/>
    <w:rsid w:val="005C65BE"/>
    <w:rsid w:val="005C69B9"/>
    <w:rsid w:val="005C7A6F"/>
    <w:rsid w:val="005D0F50"/>
    <w:rsid w:val="005D1308"/>
    <w:rsid w:val="005D2391"/>
    <w:rsid w:val="005D2D1B"/>
    <w:rsid w:val="005D4A5B"/>
    <w:rsid w:val="005D6865"/>
    <w:rsid w:val="005E5B21"/>
    <w:rsid w:val="005E776B"/>
    <w:rsid w:val="005E7F4A"/>
    <w:rsid w:val="005F0DAD"/>
    <w:rsid w:val="005F0F33"/>
    <w:rsid w:val="005F1293"/>
    <w:rsid w:val="005F6060"/>
    <w:rsid w:val="005F6C17"/>
    <w:rsid w:val="005F7C3D"/>
    <w:rsid w:val="005F7CA3"/>
    <w:rsid w:val="006001AC"/>
    <w:rsid w:val="006003F1"/>
    <w:rsid w:val="00600DEB"/>
    <w:rsid w:val="0060231F"/>
    <w:rsid w:val="00603C95"/>
    <w:rsid w:val="00604111"/>
    <w:rsid w:val="00606BE4"/>
    <w:rsid w:val="006076FB"/>
    <w:rsid w:val="00610000"/>
    <w:rsid w:val="006110EB"/>
    <w:rsid w:val="00611FE5"/>
    <w:rsid w:val="006139A8"/>
    <w:rsid w:val="00614C13"/>
    <w:rsid w:val="00614ED2"/>
    <w:rsid w:val="00616F7D"/>
    <w:rsid w:val="00623601"/>
    <w:rsid w:val="00623C92"/>
    <w:rsid w:val="006257C5"/>
    <w:rsid w:val="00626533"/>
    <w:rsid w:val="00627C9F"/>
    <w:rsid w:val="00630EE7"/>
    <w:rsid w:val="006311E9"/>
    <w:rsid w:val="00631EF0"/>
    <w:rsid w:val="00632354"/>
    <w:rsid w:val="006366AF"/>
    <w:rsid w:val="0063685A"/>
    <w:rsid w:val="0063724D"/>
    <w:rsid w:val="00640ECF"/>
    <w:rsid w:val="00641B30"/>
    <w:rsid w:val="00642810"/>
    <w:rsid w:val="00642FFD"/>
    <w:rsid w:val="006436E6"/>
    <w:rsid w:val="006451ED"/>
    <w:rsid w:val="00645D17"/>
    <w:rsid w:val="0064703F"/>
    <w:rsid w:val="00647FA3"/>
    <w:rsid w:val="0065081B"/>
    <w:rsid w:val="00652333"/>
    <w:rsid w:val="00655029"/>
    <w:rsid w:val="00656494"/>
    <w:rsid w:val="006567A9"/>
    <w:rsid w:val="00657E58"/>
    <w:rsid w:val="006606F4"/>
    <w:rsid w:val="00661C0C"/>
    <w:rsid w:val="00662143"/>
    <w:rsid w:val="00662DB5"/>
    <w:rsid w:val="00662F80"/>
    <w:rsid w:val="00665A94"/>
    <w:rsid w:val="00667917"/>
    <w:rsid w:val="0067311C"/>
    <w:rsid w:val="00674424"/>
    <w:rsid w:val="00674474"/>
    <w:rsid w:val="00674B0B"/>
    <w:rsid w:val="00674F87"/>
    <w:rsid w:val="0067620A"/>
    <w:rsid w:val="00676288"/>
    <w:rsid w:val="006768BC"/>
    <w:rsid w:val="0068009E"/>
    <w:rsid w:val="00682AFB"/>
    <w:rsid w:val="00683574"/>
    <w:rsid w:val="006851B1"/>
    <w:rsid w:val="00691577"/>
    <w:rsid w:val="00691D0D"/>
    <w:rsid w:val="00692219"/>
    <w:rsid w:val="006940E6"/>
    <w:rsid w:val="00694740"/>
    <w:rsid w:val="0069634E"/>
    <w:rsid w:val="00697C7F"/>
    <w:rsid w:val="006A088B"/>
    <w:rsid w:val="006A17D2"/>
    <w:rsid w:val="006A2430"/>
    <w:rsid w:val="006A458F"/>
    <w:rsid w:val="006A5197"/>
    <w:rsid w:val="006A6330"/>
    <w:rsid w:val="006A73E6"/>
    <w:rsid w:val="006B07AC"/>
    <w:rsid w:val="006B1195"/>
    <w:rsid w:val="006B2D5C"/>
    <w:rsid w:val="006C0F18"/>
    <w:rsid w:val="006C26CE"/>
    <w:rsid w:val="006C4138"/>
    <w:rsid w:val="006C4EB1"/>
    <w:rsid w:val="006C71A7"/>
    <w:rsid w:val="006D06B7"/>
    <w:rsid w:val="006D219A"/>
    <w:rsid w:val="006D56BB"/>
    <w:rsid w:val="006D6553"/>
    <w:rsid w:val="006D7E05"/>
    <w:rsid w:val="006D7F19"/>
    <w:rsid w:val="006E0166"/>
    <w:rsid w:val="006E0457"/>
    <w:rsid w:val="006E110F"/>
    <w:rsid w:val="006E21BA"/>
    <w:rsid w:val="006E3918"/>
    <w:rsid w:val="006E7895"/>
    <w:rsid w:val="006E7AF3"/>
    <w:rsid w:val="006E7B34"/>
    <w:rsid w:val="006E7C72"/>
    <w:rsid w:val="006F06F5"/>
    <w:rsid w:val="006F262C"/>
    <w:rsid w:val="006F27F4"/>
    <w:rsid w:val="006F295D"/>
    <w:rsid w:val="006F2C2F"/>
    <w:rsid w:val="006F2E59"/>
    <w:rsid w:val="006F2FA8"/>
    <w:rsid w:val="006F42B1"/>
    <w:rsid w:val="006F4B54"/>
    <w:rsid w:val="0070124C"/>
    <w:rsid w:val="007014B1"/>
    <w:rsid w:val="00703AE7"/>
    <w:rsid w:val="00705FF8"/>
    <w:rsid w:val="0070697F"/>
    <w:rsid w:val="00711192"/>
    <w:rsid w:val="00711962"/>
    <w:rsid w:val="0071208C"/>
    <w:rsid w:val="007121D4"/>
    <w:rsid w:val="00712DB5"/>
    <w:rsid w:val="00712F84"/>
    <w:rsid w:val="00713854"/>
    <w:rsid w:val="00714748"/>
    <w:rsid w:val="00715F0E"/>
    <w:rsid w:val="007178B7"/>
    <w:rsid w:val="0072199C"/>
    <w:rsid w:val="00722C9F"/>
    <w:rsid w:val="00722EAF"/>
    <w:rsid w:val="00723DB5"/>
    <w:rsid w:val="00723E9E"/>
    <w:rsid w:val="00723F6A"/>
    <w:rsid w:val="007241F7"/>
    <w:rsid w:val="007253B8"/>
    <w:rsid w:val="00731D6B"/>
    <w:rsid w:val="0073497E"/>
    <w:rsid w:val="00734FA1"/>
    <w:rsid w:val="00736ABD"/>
    <w:rsid w:val="0073741F"/>
    <w:rsid w:val="0073787F"/>
    <w:rsid w:val="00741A94"/>
    <w:rsid w:val="00743319"/>
    <w:rsid w:val="0074372B"/>
    <w:rsid w:val="00743B91"/>
    <w:rsid w:val="007461F6"/>
    <w:rsid w:val="00751984"/>
    <w:rsid w:val="007539FB"/>
    <w:rsid w:val="007555E8"/>
    <w:rsid w:val="007561F3"/>
    <w:rsid w:val="00757D67"/>
    <w:rsid w:val="00760630"/>
    <w:rsid w:val="00761EA8"/>
    <w:rsid w:val="007631EA"/>
    <w:rsid w:val="0076643F"/>
    <w:rsid w:val="00767839"/>
    <w:rsid w:val="00770484"/>
    <w:rsid w:val="007718B5"/>
    <w:rsid w:val="0077297A"/>
    <w:rsid w:val="00773378"/>
    <w:rsid w:val="00773F06"/>
    <w:rsid w:val="0077465E"/>
    <w:rsid w:val="00774A99"/>
    <w:rsid w:val="00774CCF"/>
    <w:rsid w:val="0077743A"/>
    <w:rsid w:val="00777D41"/>
    <w:rsid w:val="00777F63"/>
    <w:rsid w:val="007830DA"/>
    <w:rsid w:val="00785B2E"/>
    <w:rsid w:val="00787276"/>
    <w:rsid w:val="00787795"/>
    <w:rsid w:val="00787A87"/>
    <w:rsid w:val="00787F1E"/>
    <w:rsid w:val="007926C2"/>
    <w:rsid w:val="00793E52"/>
    <w:rsid w:val="0079407C"/>
    <w:rsid w:val="0079419A"/>
    <w:rsid w:val="00794C20"/>
    <w:rsid w:val="00795054"/>
    <w:rsid w:val="00795A55"/>
    <w:rsid w:val="00795CD0"/>
    <w:rsid w:val="007A2DAD"/>
    <w:rsid w:val="007A303D"/>
    <w:rsid w:val="007A31F7"/>
    <w:rsid w:val="007A334A"/>
    <w:rsid w:val="007A4AED"/>
    <w:rsid w:val="007A502C"/>
    <w:rsid w:val="007A5817"/>
    <w:rsid w:val="007B0717"/>
    <w:rsid w:val="007B0FF0"/>
    <w:rsid w:val="007B2E8B"/>
    <w:rsid w:val="007B60E9"/>
    <w:rsid w:val="007B6CC3"/>
    <w:rsid w:val="007C0E7A"/>
    <w:rsid w:val="007C157A"/>
    <w:rsid w:val="007C2167"/>
    <w:rsid w:val="007C3334"/>
    <w:rsid w:val="007C5975"/>
    <w:rsid w:val="007C6386"/>
    <w:rsid w:val="007C655E"/>
    <w:rsid w:val="007C7221"/>
    <w:rsid w:val="007C7975"/>
    <w:rsid w:val="007D12EC"/>
    <w:rsid w:val="007D286D"/>
    <w:rsid w:val="007D2B98"/>
    <w:rsid w:val="007D4D99"/>
    <w:rsid w:val="007D50AF"/>
    <w:rsid w:val="007D52EE"/>
    <w:rsid w:val="007D6698"/>
    <w:rsid w:val="007D69F5"/>
    <w:rsid w:val="007E09AC"/>
    <w:rsid w:val="007E0ADC"/>
    <w:rsid w:val="007E1669"/>
    <w:rsid w:val="007E1814"/>
    <w:rsid w:val="007E1C6F"/>
    <w:rsid w:val="007E21BC"/>
    <w:rsid w:val="007E64B7"/>
    <w:rsid w:val="007E696B"/>
    <w:rsid w:val="007E782D"/>
    <w:rsid w:val="007E7FF1"/>
    <w:rsid w:val="007F0807"/>
    <w:rsid w:val="007F16CD"/>
    <w:rsid w:val="007F455A"/>
    <w:rsid w:val="007F559E"/>
    <w:rsid w:val="007F5F64"/>
    <w:rsid w:val="007F6AFA"/>
    <w:rsid w:val="007F6F34"/>
    <w:rsid w:val="0080136F"/>
    <w:rsid w:val="00803F1C"/>
    <w:rsid w:val="00803F7D"/>
    <w:rsid w:val="00805B40"/>
    <w:rsid w:val="00805E8D"/>
    <w:rsid w:val="0080600E"/>
    <w:rsid w:val="00807A07"/>
    <w:rsid w:val="00807EBF"/>
    <w:rsid w:val="00807F16"/>
    <w:rsid w:val="00810830"/>
    <w:rsid w:val="00810BAF"/>
    <w:rsid w:val="00811515"/>
    <w:rsid w:val="008120F8"/>
    <w:rsid w:val="0081348A"/>
    <w:rsid w:val="008144B3"/>
    <w:rsid w:val="00815699"/>
    <w:rsid w:val="00815B59"/>
    <w:rsid w:val="008170D9"/>
    <w:rsid w:val="00817612"/>
    <w:rsid w:val="008208E9"/>
    <w:rsid w:val="00820F43"/>
    <w:rsid w:val="00822182"/>
    <w:rsid w:val="008221D5"/>
    <w:rsid w:val="00825BE4"/>
    <w:rsid w:val="008273EC"/>
    <w:rsid w:val="008277EA"/>
    <w:rsid w:val="00827B16"/>
    <w:rsid w:val="008307D3"/>
    <w:rsid w:val="00830DCC"/>
    <w:rsid w:val="00831155"/>
    <w:rsid w:val="008338A4"/>
    <w:rsid w:val="008345B1"/>
    <w:rsid w:val="00835B5F"/>
    <w:rsid w:val="00836049"/>
    <w:rsid w:val="00837539"/>
    <w:rsid w:val="00837C45"/>
    <w:rsid w:val="008406B6"/>
    <w:rsid w:val="00840EA6"/>
    <w:rsid w:val="008410AD"/>
    <w:rsid w:val="00844730"/>
    <w:rsid w:val="008457C2"/>
    <w:rsid w:val="00846573"/>
    <w:rsid w:val="008467B1"/>
    <w:rsid w:val="00847102"/>
    <w:rsid w:val="00851A14"/>
    <w:rsid w:val="008525CA"/>
    <w:rsid w:val="00853113"/>
    <w:rsid w:val="008556F0"/>
    <w:rsid w:val="00855942"/>
    <w:rsid w:val="00855BAA"/>
    <w:rsid w:val="00856054"/>
    <w:rsid w:val="00856CA9"/>
    <w:rsid w:val="00857226"/>
    <w:rsid w:val="0085781A"/>
    <w:rsid w:val="00857A82"/>
    <w:rsid w:val="0086107A"/>
    <w:rsid w:val="008630E2"/>
    <w:rsid w:val="008635C3"/>
    <w:rsid w:val="00863AA2"/>
    <w:rsid w:val="008642EF"/>
    <w:rsid w:val="008645D0"/>
    <w:rsid w:val="00864A76"/>
    <w:rsid w:val="008651FF"/>
    <w:rsid w:val="00867904"/>
    <w:rsid w:val="00870903"/>
    <w:rsid w:val="00870E84"/>
    <w:rsid w:val="008716E7"/>
    <w:rsid w:val="008719DC"/>
    <w:rsid w:val="00872E3A"/>
    <w:rsid w:val="00873836"/>
    <w:rsid w:val="00874986"/>
    <w:rsid w:val="0087513F"/>
    <w:rsid w:val="008755B0"/>
    <w:rsid w:val="008817AB"/>
    <w:rsid w:val="008838AE"/>
    <w:rsid w:val="0088553A"/>
    <w:rsid w:val="00885737"/>
    <w:rsid w:val="00885ABC"/>
    <w:rsid w:val="008879D6"/>
    <w:rsid w:val="00887E87"/>
    <w:rsid w:val="00890650"/>
    <w:rsid w:val="00891025"/>
    <w:rsid w:val="008918B9"/>
    <w:rsid w:val="0089212C"/>
    <w:rsid w:val="00894CD9"/>
    <w:rsid w:val="00896C7F"/>
    <w:rsid w:val="008970DE"/>
    <w:rsid w:val="00897578"/>
    <w:rsid w:val="00897E12"/>
    <w:rsid w:val="008A3953"/>
    <w:rsid w:val="008A39F6"/>
    <w:rsid w:val="008A3A6C"/>
    <w:rsid w:val="008A5E2F"/>
    <w:rsid w:val="008A6694"/>
    <w:rsid w:val="008A7E0C"/>
    <w:rsid w:val="008A7E0F"/>
    <w:rsid w:val="008B12F5"/>
    <w:rsid w:val="008B1605"/>
    <w:rsid w:val="008B2C5A"/>
    <w:rsid w:val="008B4593"/>
    <w:rsid w:val="008B5FB2"/>
    <w:rsid w:val="008B7D7D"/>
    <w:rsid w:val="008C46B9"/>
    <w:rsid w:val="008C568E"/>
    <w:rsid w:val="008C5F12"/>
    <w:rsid w:val="008C6CFA"/>
    <w:rsid w:val="008C71AA"/>
    <w:rsid w:val="008C72DB"/>
    <w:rsid w:val="008D13B1"/>
    <w:rsid w:val="008D2898"/>
    <w:rsid w:val="008D3DB6"/>
    <w:rsid w:val="008D534E"/>
    <w:rsid w:val="008D5EAD"/>
    <w:rsid w:val="008D67ED"/>
    <w:rsid w:val="008D6CCD"/>
    <w:rsid w:val="008D768D"/>
    <w:rsid w:val="008E0022"/>
    <w:rsid w:val="008E3759"/>
    <w:rsid w:val="008E45F9"/>
    <w:rsid w:val="008E4FF2"/>
    <w:rsid w:val="008E5087"/>
    <w:rsid w:val="008E6DA9"/>
    <w:rsid w:val="008F0682"/>
    <w:rsid w:val="008F0B89"/>
    <w:rsid w:val="008F0E4F"/>
    <w:rsid w:val="008F1912"/>
    <w:rsid w:val="008F1B2E"/>
    <w:rsid w:val="008F226C"/>
    <w:rsid w:val="008F3AD3"/>
    <w:rsid w:val="008F4043"/>
    <w:rsid w:val="008F4C12"/>
    <w:rsid w:val="008F5416"/>
    <w:rsid w:val="0090008B"/>
    <w:rsid w:val="009001F3"/>
    <w:rsid w:val="0090054A"/>
    <w:rsid w:val="00900805"/>
    <w:rsid w:val="009010A7"/>
    <w:rsid w:val="0090144A"/>
    <w:rsid w:val="0090242E"/>
    <w:rsid w:val="0090270B"/>
    <w:rsid w:val="00902DEF"/>
    <w:rsid w:val="00903521"/>
    <w:rsid w:val="009035A4"/>
    <w:rsid w:val="009041DC"/>
    <w:rsid w:val="00904963"/>
    <w:rsid w:val="00906301"/>
    <w:rsid w:val="00906F7D"/>
    <w:rsid w:val="00907D4E"/>
    <w:rsid w:val="00910162"/>
    <w:rsid w:val="00913125"/>
    <w:rsid w:val="00913522"/>
    <w:rsid w:val="00914501"/>
    <w:rsid w:val="00915CBE"/>
    <w:rsid w:val="00917B5A"/>
    <w:rsid w:val="00920A58"/>
    <w:rsid w:val="00920A8C"/>
    <w:rsid w:val="00921210"/>
    <w:rsid w:val="00923049"/>
    <w:rsid w:val="009309AC"/>
    <w:rsid w:val="00931417"/>
    <w:rsid w:val="0093276A"/>
    <w:rsid w:val="009329B6"/>
    <w:rsid w:val="00934108"/>
    <w:rsid w:val="00934A2C"/>
    <w:rsid w:val="00934D6B"/>
    <w:rsid w:val="00935193"/>
    <w:rsid w:val="00935746"/>
    <w:rsid w:val="0093604A"/>
    <w:rsid w:val="00937CA9"/>
    <w:rsid w:val="00937EFC"/>
    <w:rsid w:val="00940316"/>
    <w:rsid w:val="0094067F"/>
    <w:rsid w:val="0094079E"/>
    <w:rsid w:val="00940B37"/>
    <w:rsid w:val="00942633"/>
    <w:rsid w:val="0094270F"/>
    <w:rsid w:val="00942DF7"/>
    <w:rsid w:val="00942EE1"/>
    <w:rsid w:val="0094421F"/>
    <w:rsid w:val="00946A6F"/>
    <w:rsid w:val="0094750E"/>
    <w:rsid w:val="0095046B"/>
    <w:rsid w:val="00950EA0"/>
    <w:rsid w:val="00952E96"/>
    <w:rsid w:val="00954A0E"/>
    <w:rsid w:val="00954E94"/>
    <w:rsid w:val="00954F66"/>
    <w:rsid w:val="00955385"/>
    <w:rsid w:val="00955A36"/>
    <w:rsid w:val="00955F6F"/>
    <w:rsid w:val="00956660"/>
    <w:rsid w:val="009568DB"/>
    <w:rsid w:val="00960CC9"/>
    <w:rsid w:val="00961D65"/>
    <w:rsid w:val="009621BA"/>
    <w:rsid w:val="00962359"/>
    <w:rsid w:val="009630FC"/>
    <w:rsid w:val="00963AD1"/>
    <w:rsid w:val="00963FEB"/>
    <w:rsid w:val="00965657"/>
    <w:rsid w:val="0096706E"/>
    <w:rsid w:val="00967087"/>
    <w:rsid w:val="009673C8"/>
    <w:rsid w:val="00972D5A"/>
    <w:rsid w:val="00972FCD"/>
    <w:rsid w:val="00973151"/>
    <w:rsid w:val="0097362F"/>
    <w:rsid w:val="0097416F"/>
    <w:rsid w:val="0097440C"/>
    <w:rsid w:val="0097536E"/>
    <w:rsid w:val="00975794"/>
    <w:rsid w:val="00975C4E"/>
    <w:rsid w:val="00976106"/>
    <w:rsid w:val="00976E8F"/>
    <w:rsid w:val="0097770A"/>
    <w:rsid w:val="00980425"/>
    <w:rsid w:val="009807EC"/>
    <w:rsid w:val="00981FBA"/>
    <w:rsid w:val="009829A9"/>
    <w:rsid w:val="00982DAC"/>
    <w:rsid w:val="00983A4F"/>
    <w:rsid w:val="00984059"/>
    <w:rsid w:val="0098646E"/>
    <w:rsid w:val="0099160F"/>
    <w:rsid w:val="00993318"/>
    <w:rsid w:val="00994BA0"/>
    <w:rsid w:val="00994E64"/>
    <w:rsid w:val="00996E8A"/>
    <w:rsid w:val="0099754E"/>
    <w:rsid w:val="00997BC5"/>
    <w:rsid w:val="009A0FC1"/>
    <w:rsid w:val="009A4F41"/>
    <w:rsid w:val="009A7032"/>
    <w:rsid w:val="009A72E4"/>
    <w:rsid w:val="009B1699"/>
    <w:rsid w:val="009B1B17"/>
    <w:rsid w:val="009B1B55"/>
    <w:rsid w:val="009B26C8"/>
    <w:rsid w:val="009B2E24"/>
    <w:rsid w:val="009B2E32"/>
    <w:rsid w:val="009B381B"/>
    <w:rsid w:val="009B417B"/>
    <w:rsid w:val="009B4B3D"/>
    <w:rsid w:val="009B646B"/>
    <w:rsid w:val="009B7259"/>
    <w:rsid w:val="009C0710"/>
    <w:rsid w:val="009C1077"/>
    <w:rsid w:val="009C15A0"/>
    <w:rsid w:val="009C2758"/>
    <w:rsid w:val="009C2E1B"/>
    <w:rsid w:val="009C3E4C"/>
    <w:rsid w:val="009C5137"/>
    <w:rsid w:val="009C57DA"/>
    <w:rsid w:val="009C61A8"/>
    <w:rsid w:val="009C6A5A"/>
    <w:rsid w:val="009D03A9"/>
    <w:rsid w:val="009D0556"/>
    <w:rsid w:val="009D13FF"/>
    <w:rsid w:val="009D1753"/>
    <w:rsid w:val="009D2773"/>
    <w:rsid w:val="009D5D07"/>
    <w:rsid w:val="009D5F9B"/>
    <w:rsid w:val="009D6D28"/>
    <w:rsid w:val="009D7611"/>
    <w:rsid w:val="009E0B61"/>
    <w:rsid w:val="009E287B"/>
    <w:rsid w:val="009E28B3"/>
    <w:rsid w:val="009E2967"/>
    <w:rsid w:val="009E33AC"/>
    <w:rsid w:val="009E53DE"/>
    <w:rsid w:val="009E6184"/>
    <w:rsid w:val="009E61D8"/>
    <w:rsid w:val="009F0009"/>
    <w:rsid w:val="009F0583"/>
    <w:rsid w:val="009F08CE"/>
    <w:rsid w:val="009F0B9A"/>
    <w:rsid w:val="009F140F"/>
    <w:rsid w:val="009F26BA"/>
    <w:rsid w:val="009F3F36"/>
    <w:rsid w:val="009F47DA"/>
    <w:rsid w:val="009F4D1E"/>
    <w:rsid w:val="009F5A8E"/>
    <w:rsid w:val="009F6E90"/>
    <w:rsid w:val="00A00377"/>
    <w:rsid w:val="00A01483"/>
    <w:rsid w:val="00A021C0"/>
    <w:rsid w:val="00A0393E"/>
    <w:rsid w:val="00A057F2"/>
    <w:rsid w:val="00A059CC"/>
    <w:rsid w:val="00A07332"/>
    <w:rsid w:val="00A117F7"/>
    <w:rsid w:val="00A123CF"/>
    <w:rsid w:val="00A127E1"/>
    <w:rsid w:val="00A15D61"/>
    <w:rsid w:val="00A16DF4"/>
    <w:rsid w:val="00A17014"/>
    <w:rsid w:val="00A17AEA"/>
    <w:rsid w:val="00A21617"/>
    <w:rsid w:val="00A2272E"/>
    <w:rsid w:val="00A237B9"/>
    <w:rsid w:val="00A2585E"/>
    <w:rsid w:val="00A264C9"/>
    <w:rsid w:val="00A31696"/>
    <w:rsid w:val="00A328B3"/>
    <w:rsid w:val="00A32D3B"/>
    <w:rsid w:val="00A344E6"/>
    <w:rsid w:val="00A34601"/>
    <w:rsid w:val="00A357C2"/>
    <w:rsid w:val="00A36233"/>
    <w:rsid w:val="00A36B44"/>
    <w:rsid w:val="00A3704A"/>
    <w:rsid w:val="00A41EFB"/>
    <w:rsid w:val="00A45CEE"/>
    <w:rsid w:val="00A46126"/>
    <w:rsid w:val="00A47F90"/>
    <w:rsid w:val="00A500AF"/>
    <w:rsid w:val="00A50A86"/>
    <w:rsid w:val="00A50FCF"/>
    <w:rsid w:val="00A510C5"/>
    <w:rsid w:val="00A528D1"/>
    <w:rsid w:val="00A53549"/>
    <w:rsid w:val="00A53AD2"/>
    <w:rsid w:val="00A55211"/>
    <w:rsid w:val="00A55513"/>
    <w:rsid w:val="00A565F7"/>
    <w:rsid w:val="00A56C09"/>
    <w:rsid w:val="00A56F21"/>
    <w:rsid w:val="00A57A32"/>
    <w:rsid w:val="00A60F16"/>
    <w:rsid w:val="00A610CD"/>
    <w:rsid w:val="00A61490"/>
    <w:rsid w:val="00A6254F"/>
    <w:rsid w:val="00A628FE"/>
    <w:rsid w:val="00A6402F"/>
    <w:rsid w:val="00A666E0"/>
    <w:rsid w:val="00A72B47"/>
    <w:rsid w:val="00A72EC7"/>
    <w:rsid w:val="00A73D70"/>
    <w:rsid w:val="00A7583A"/>
    <w:rsid w:val="00A760B2"/>
    <w:rsid w:val="00A76515"/>
    <w:rsid w:val="00A7727F"/>
    <w:rsid w:val="00A77A7F"/>
    <w:rsid w:val="00A8167C"/>
    <w:rsid w:val="00A81AE1"/>
    <w:rsid w:val="00A83A0A"/>
    <w:rsid w:val="00A8403A"/>
    <w:rsid w:val="00A855D6"/>
    <w:rsid w:val="00A85B7C"/>
    <w:rsid w:val="00A8688F"/>
    <w:rsid w:val="00A86BD7"/>
    <w:rsid w:val="00A873F4"/>
    <w:rsid w:val="00A87942"/>
    <w:rsid w:val="00A91A5F"/>
    <w:rsid w:val="00A94800"/>
    <w:rsid w:val="00A94EEC"/>
    <w:rsid w:val="00A970CC"/>
    <w:rsid w:val="00A9769F"/>
    <w:rsid w:val="00A9789C"/>
    <w:rsid w:val="00A97C53"/>
    <w:rsid w:val="00AA06C1"/>
    <w:rsid w:val="00AA09A2"/>
    <w:rsid w:val="00AA1098"/>
    <w:rsid w:val="00AA129C"/>
    <w:rsid w:val="00AA21E4"/>
    <w:rsid w:val="00AA3F2C"/>
    <w:rsid w:val="00AA497D"/>
    <w:rsid w:val="00AA5CEE"/>
    <w:rsid w:val="00AA6B69"/>
    <w:rsid w:val="00AA7996"/>
    <w:rsid w:val="00AB09A3"/>
    <w:rsid w:val="00AB0B17"/>
    <w:rsid w:val="00AB1232"/>
    <w:rsid w:val="00AB198F"/>
    <w:rsid w:val="00AB25ED"/>
    <w:rsid w:val="00AB26ED"/>
    <w:rsid w:val="00AB3562"/>
    <w:rsid w:val="00AB50EF"/>
    <w:rsid w:val="00AB552E"/>
    <w:rsid w:val="00AB5814"/>
    <w:rsid w:val="00AB6E37"/>
    <w:rsid w:val="00AC0806"/>
    <w:rsid w:val="00AC19CB"/>
    <w:rsid w:val="00AC2691"/>
    <w:rsid w:val="00AC3EAC"/>
    <w:rsid w:val="00AC461F"/>
    <w:rsid w:val="00AC532E"/>
    <w:rsid w:val="00AC5672"/>
    <w:rsid w:val="00AC5A5F"/>
    <w:rsid w:val="00AC6807"/>
    <w:rsid w:val="00AC6E23"/>
    <w:rsid w:val="00AD0735"/>
    <w:rsid w:val="00AD0B14"/>
    <w:rsid w:val="00AD14F0"/>
    <w:rsid w:val="00AD28B1"/>
    <w:rsid w:val="00AD2ED4"/>
    <w:rsid w:val="00AD5A33"/>
    <w:rsid w:val="00AD7900"/>
    <w:rsid w:val="00AE09BF"/>
    <w:rsid w:val="00AE3EA5"/>
    <w:rsid w:val="00AE416C"/>
    <w:rsid w:val="00AE4DA0"/>
    <w:rsid w:val="00AE5488"/>
    <w:rsid w:val="00AE5E28"/>
    <w:rsid w:val="00AE61D2"/>
    <w:rsid w:val="00AE6971"/>
    <w:rsid w:val="00AE6D89"/>
    <w:rsid w:val="00AE6F91"/>
    <w:rsid w:val="00AE7749"/>
    <w:rsid w:val="00AF0655"/>
    <w:rsid w:val="00AF0FAA"/>
    <w:rsid w:val="00AF16BB"/>
    <w:rsid w:val="00AF19A6"/>
    <w:rsid w:val="00AF21DF"/>
    <w:rsid w:val="00AF2DC7"/>
    <w:rsid w:val="00AF4831"/>
    <w:rsid w:val="00AF4A70"/>
    <w:rsid w:val="00AF503D"/>
    <w:rsid w:val="00AF54DA"/>
    <w:rsid w:val="00AF5571"/>
    <w:rsid w:val="00AF63A4"/>
    <w:rsid w:val="00AF79F5"/>
    <w:rsid w:val="00B014A4"/>
    <w:rsid w:val="00B03731"/>
    <w:rsid w:val="00B04644"/>
    <w:rsid w:val="00B0498F"/>
    <w:rsid w:val="00B04ABF"/>
    <w:rsid w:val="00B055B8"/>
    <w:rsid w:val="00B05658"/>
    <w:rsid w:val="00B056A5"/>
    <w:rsid w:val="00B05F82"/>
    <w:rsid w:val="00B07009"/>
    <w:rsid w:val="00B071E3"/>
    <w:rsid w:val="00B07341"/>
    <w:rsid w:val="00B127AF"/>
    <w:rsid w:val="00B1423E"/>
    <w:rsid w:val="00B155F6"/>
    <w:rsid w:val="00B16EBE"/>
    <w:rsid w:val="00B206D2"/>
    <w:rsid w:val="00B208A6"/>
    <w:rsid w:val="00B218D6"/>
    <w:rsid w:val="00B23121"/>
    <w:rsid w:val="00B25834"/>
    <w:rsid w:val="00B26361"/>
    <w:rsid w:val="00B27DF1"/>
    <w:rsid w:val="00B30539"/>
    <w:rsid w:val="00B314DB"/>
    <w:rsid w:val="00B336CD"/>
    <w:rsid w:val="00B338D2"/>
    <w:rsid w:val="00B356D2"/>
    <w:rsid w:val="00B35F2D"/>
    <w:rsid w:val="00B361F2"/>
    <w:rsid w:val="00B3718B"/>
    <w:rsid w:val="00B3732C"/>
    <w:rsid w:val="00B374BD"/>
    <w:rsid w:val="00B376EC"/>
    <w:rsid w:val="00B40C27"/>
    <w:rsid w:val="00B411A8"/>
    <w:rsid w:val="00B41991"/>
    <w:rsid w:val="00B4345B"/>
    <w:rsid w:val="00B446A9"/>
    <w:rsid w:val="00B448EC"/>
    <w:rsid w:val="00B4538C"/>
    <w:rsid w:val="00B46070"/>
    <w:rsid w:val="00B4632A"/>
    <w:rsid w:val="00B469EC"/>
    <w:rsid w:val="00B50F95"/>
    <w:rsid w:val="00B530F1"/>
    <w:rsid w:val="00B5313C"/>
    <w:rsid w:val="00B534FD"/>
    <w:rsid w:val="00B55EC6"/>
    <w:rsid w:val="00B5691F"/>
    <w:rsid w:val="00B5750A"/>
    <w:rsid w:val="00B5769C"/>
    <w:rsid w:val="00B60677"/>
    <w:rsid w:val="00B63769"/>
    <w:rsid w:val="00B64FAC"/>
    <w:rsid w:val="00B66922"/>
    <w:rsid w:val="00B7000F"/>
    <w:rsid w:val="00B73D1F"/>
    <w:rsid w:val="00B75930"/>
    <w:rsid w:val="00B771EF"/>
    <w:rsid w:val="00B777A1"/>
    <w:rsid w:val="00B80AAF"/>
    <w:rsid w:val="00B81136"/>
    <w:rsid w:val="00B84CDF"/>
    <w:rsid w:val="00B851B0"/>
    <w:rsid w:val="00B85230"/>
    <w:rsid w:val="00B91093"/>
    <w:rsid w:val="00B91194"/>
    <w:rsid w:val="00B9132F"/>
    <w:rsid w:val="00B91594"/>
    <w:rsid w:val="00B96039"/>
    <w:rsid w:val="00B96A46"/>
    <w:rsid w:val="00B96E34"/>
    <w:rsid w:val="00BA0557"/>
    <w:rsid w:val="00BA2482"/>
    <w:rsid w:val="00BA276C"/>
    <w:rsid w:val="00BA35C2"/>
    <w:rsid w:val="00BA564A"/>
    <w:rsid w:val="00BA5681"/>
    <w:rsid w:val="00BA5C01"/>
    <w:rsid w:val="00BB0422"/>
    <w:rsid w:val="00BB196B"/>
    <w:rsid w:val="00BB2090"/>
    <w:rsid w:val="00BB25E7"/>
    <w:rsid w:val="00BB306F"/>
    <w:rsid w:val="00BB411F"/>
    <w:rsid w:val="00BB6024"/>
    <w:rsid w:val="00BC201A"/>
    <w:rsid w:val="00BC2CED"/>
    <w:rsid w:val="00BC4273"/>
    <w:rsid w:val="00BC42DA"/>
    <w:rsid w:val="00BC6CA0"/>
    <w:rsid w:val="00BC7220"/>
    <w:rsid w:val="00BC764E"/>
    <w:rsid w:val="00BD0BB0"/>
    <w:rsid w:val="00BD0D89"/>
    <w:rsid w:val="00BD34FA"/>
    <w:rsid w:val="00BD3BF3"/>
    <w:rsid w:val="00BD3FC3"/>
    <w:rsid w:val="00BD48ED"/>
    <w:rsid w:val="00BD4B89"/>
    <w:rsid w:val="00BD56A5"/>
    <w:rsid w:val="00BD6C46"/>
    <w:rsid w:val="00BD75D0"/>
    <w:rsid w:val="00BD783D"/>
    <w:rsid w:val="00BE099A"/>
    <w:rsid w:val="00BE0CEF"/>
    <w:rsid w:val="00BE1D8D"/>
    <w:rsid w:val="00BE279C"/>
    <w:rsid w:val="00BE307B"/>
    <w:rsid w:val="00BE3A5E"/>
    <w:rsid w:val="00BE7475"/>
    <w:rsid w:val="00BF0574"/>
    <w:rsid w:val="00BF0DA7"/>
    <w:rsid w:val="00BF1180"/>
    <w:rsid w:val="00BF2F14"/>
    <w:rsid w:val="00BF369B"/>
    <w:rsid w:val="00BF4673"/>
    <w:rsid w:val="00BF51B8"/>
    <w:rsid w:val="00BF57B6"/>
    <w:rsid w:val="00BF64F4"/>
    <w:rsid w:val="00BF6850"/>
    <w:rsid w:val="00BF6FD8"/>
    <w:rsid w:val="00C00B36"/>
    <w:rsid w:val="00C01A9A"/>
    <w:rsid w:val="00C02E2B"/>
    <w:rsid w:val="00C03680"/>
    <w:rsid w:val="00C047B7"/>
    <w:rsid w:val="00C054DF"/>
    <w:rsid w:val="00C05F3F"/>
    <w:rsid w:val="00C144B4"/>
    <w:rsid w:val="00C146C9"/>
    <w:rsid w:val="00C162FD"/>
    <w:rsid w:val="00C16D94"/>
    <w:rsid w:val="00C16EFB"/>
    <w:rsid w:val="00C20A47"/>
    <w:rsid w:val="00C21113"/>
    <w:rsid w:val="00C21762"/>
    <w:rsid w:val="00C21CF6"/>
    <w:rsid w:val="00C22FBA"/>
    <w:rsid w:val="00C24543"/>
    <w:rsid w:val="00C256A2"/>
    <w:rsid w:val="00C26443"/>
    <w:rsid w:val="00C2650A"/>
    <w:rsid w:val="00C3085F"/>
    <w:rsid w:val="00C30F46"/>
    <w:rsid w:val="00C33048"/>
    <w:rsid w:val="00C33774"/>
    <w:rsid w:val="00C33FD3"/>
    <w:rsid w:val="00C35EAA"/>
    <w:rsid w:val="00C369EE"/>
    <w:rsid w:val="00C36DE3"/>
    <w:rsid w:val="00C401B7"/>
    <w:rsid w:val="00C408F2"/>
    <w:rsid w:val="00C423F5"/>
    <w:rsid w:val="00C44CDF"/>
    <w:rsid w:val="00C45122"/>
    <w:rsid w:val="00C459AE"/>
    <w:rsid w:val="00C510B7"/>
    <w:rsid w:val="00C513A4"/>
    <w:rsid w:val="00C51515"/>
    <w:rsid w:val="00C522D1"/>
    <w:rsid w:val="00C525EC"/>
    <w:rsid w:val="00C532FC"/>
    <w:rsid w:val="00C5390A"/>
    <w:rsid w:val="00C53BE0"/>
    <w:rsid w:val="00C54A6A"/>
    <w:rsid w:val="00C565D8"/>
    <w:rsid w:val="00C5660B"/>
    <w:rsid w:val="00C60F21"/>
    <w:rsid w:val="00C61176"/>
    <w:rsid w:val="00C61480"/>
    <w:rsid w:val="00C61F86"/>
    <w:rsid w:val="00C63754"/>
    <w:rsid w:val="00C66B72"/>
    <w:rsid w:val="00C703AE"/>
    <w:rsid w:val="00C70CA0"/>
    <w:rsid w:val="00C76603"/>
    <w:rsid w:val="00C77B4F"/>
    <w:rsid w:val="00C8082D"/>
    <w:rsid w:val="00C83485"/>
    <w:rsid w:val="00C84A71"/>
    <w:rsid w:val="00C8612E"/>
    <w:rsid w:val="00C861BE"/>
    <w:rsid w:val="00C86AB3"/>
    <w:rsid w:val="00C87A78"/>
    <w:rsid w:val="00C9022B"/>
    <w:rsid w:val="00C9272D"/>
    <w:rsid w:val="00C92E6D"/>
    <w:rsid w:val="00C93096"/>
    <w:rsid w:val="00C9567A"/>
    <w:rsid w:val="00C95E6C"/>
    <w:rsid w:val="00C9604A"/>
    <w:rsid w:val="00C97F23"/>
    <w:rsid w:val="00CA0333"/>
    <w:rsid w:val="00CA1278"/>
    <w:rsid w:val="00CA1F8F"/>
    <w:rsid w:val="00CA2FA8"/>
    <w:rsid w:val="00CA383B"/>
    <w:rsid w:val="00CA4B0F"/>
    <w:rsid w:val="00CA56F4"/>
    <w:rsid w:val="00CA5BFD"/>
    <w:rsid w:val="00CA5E95"/>
    <w:rsid w:val="00CA61A2"/>
    <w:rsid w:val="00CA73FA"/>
    <w:rsid w:val="00CA7CB8"/>
    <w:rsid w:val="00CB00CA"/>
    <w:rsid w:val="00CB1DB3"/>
    <w:rsid w:val="00CB212D"/>
    <w:rsid w:val="00CB2660"/>
    <w:rsid w:val="00CB29FE"/>
    <w:rsid w:val="00CB30EB"/>
    <w:rsid w:val="00CB3AB5"/>
    <w:rsid w:val="00CB44B4"/>
    <w:rsid w:val="00CB639B"/>
    <w:rsid w:val="00CB71EB"/>
    <w:rsid w:val="00CB7639"/>
    <w:rsid w:val="00CC0188"/>
    <w:rsid w:val="00CC0CCA"/>
    <w:rsid w:val="00CC3373"/>
    <w:rsid w:val="00CC3A5F"/>
    <w:rsid w:val="00CC3B5E"/>
    <w:rsid w:val="00CC5E90"/>
    <w:rsid w:val="00CC61F4"/>
    <w:rsid w:val="00CC6E48"/>
    <w:rsid w:val="00CD046C"/>
    <w:rsid w:val="00CD0866"/>
    <w:rsid w:val="00CD09F1"/>
    <w:rsid w:val="00CD2382"/>
    <w:rsid w:val="00CD2733"/>
    <w:rsid w:val="00CD74C7"/>
    <w:rsid w:val="00CD7693"/>
    <w:rsid w:val="00CD77B1"/>
    <w:rsid w:val="00CD7D03"/>
    <w:rsid w:val="00CE058A"/>
    <w:rsid w:val="00CE076C"/>
    <w:rsid w:val="00CE09E4"/>
    <w:rsid w:val="00CE1184"/>
    <w:rsid w:val="00CE3E90"/>
    <w:rsid w:val="00CE5199"/>
    <w:rsid w:val="00CE51CE"/>
    <w:rsid w:val="00CE565D"/>
    <w:rsid w:val="00CE6064"/>
    <w:rsid w:val="00CE6553"/>
    <w:rsid w:val="00CE66D5"/>
    <w:rsid w:val="00CF1353"/>
    <w:rsid w:val="00CF1756"/>
    <w:rsid w:val="00CF53CE"/>
    <w:rsid w:val="00CF5FF9"/>
    <w:rsid w:val="00CF637A"/>
    <w:rsid w:val="00CF6904"/>
    <w:rsid w:val="00CF6C5F"/>
    <w:rsid w:val="00D01362"/>
    <w:rsid w:val="00D016F6"/>
    <w:rsid w:val="00D059DE"/>
    <w:rsid w:val="00D06D98"/>
    <w:rsid w:val="00D110D7"/>
    <w:rsid w:val="00D11242"/>
    <w:rsid w:val="00D13CEB"/>
    <w:rsid w:val="00D13FCE"/>
    <w:rsid w:val="00D140B7"/>
    <w:rsid w:val="00D1656C"/>
    <w:rsid w:val="00D17F73"/>
    <w:rsid w:val="00D20C7A"/>
    <w:rsid w:val="00D21565"/>
    <w:rsid w:val="00D221BC"/>
    <w:rsid w:val="00D234DD"/>
    <w:rsid w:val="00D242D1"/>
    <w:rsid w:val="00D245BD"/>
    <w:rsid w:val="00D24CD3"/>
    <w:rsid w:val="00D24CE0"/>
    <w:rsid w:val="00D250A1"/>
    <w:rsid w:val="00D26047"/>
    <w:rsid w:val="00D26969"/>
    <w:rsid w:val="00D269F4"/>
    <w:rsid w:val="00D306D1"/>
    <w:rsid w:val="00D329BB"/>
    <w:rsid w:val="00D3354A"/>
    <w:rsid w:val="00D33958"/>
    <w:rsid w:val="00D33A91"/>
    <w:rsid w:val="00D33B52"/>
    <w:rsid w:val="00D3419A"/>
    <w:rsid w:val="00D346A5"/>
    <w:rsid w:val="00D34786"/>
    <w:rsid w:val="00D354AD"/>
    <w:rsid w:val="00D35BA8"/>
    <w:rsid w:val="00D36389"/>
    <w:rsid w:val="00D36770"/>
    <w:rsid w:val="00D37716"/>
    <w:rsid w:val="00D377B9"/>
    <w:rsid w:val="00D37BFC"/>
    <w:rsid w:val="00D402A4"/>
    <w:rsid w:val="00D40BE6"/>
    <w:rsid w:val="00D412F7"/>
    <w:rsid w:val="00D41E96"/>
    <w:rsid w:val="00D424DF"/>
    <w:rsid w:val="00D42782"/>
    <w:rsid w:val="00D44A49"/>
    <w:rsid w:val="00D454E9"/>
    <w:rsid w:val="00D46533"/>
    <w:rsid w:val="00D46AB6"/>
    <w:rsid w:val="00D46F2D"/>
    <w:rsid w:val="00D47736"/>
    <w:rsid w:val="00D47A8E"/>
    <w:rsid w:val="00D50ADB"/>
    <w:rsid w:val="00D52248"/>
    <w:rsid w:val="00D52D14"/>
    <w:rsid w:val="00D52DA9"/>
    <w:rsid w:val="00D52F9B"/>
    <w:rsid w:val="00D54C39"/>
    <w:rsid w:val="00D5631D"/>
    <w:rsid w:val="00D570D0"/>
    <w:rsid w:val="00D57C19"/>
    <w:rsid w:val="00D605AF"/>
    <w:rsid w:val="00D627F2"/>
    <w:rsid w:val="00D62F47"/>
    <w:rsid w:val="00D63917"/>
    <w:rsid w:val="00D64FAF"/>
    <w:rsid w:val="00D65862"/>
    <w:rsid w:val="00D65C39"/>
    <w:rsid w:val="00D6639B"/>
    <w:rsid w:val="00D67A1A"/>
    <w:rsid w:val="00D712D3"/>
    <w:rsid w:val="00D71422"/>
    <w:rsid w:val="00D71B36"/>
    <w:rsid w:val="00D72C9E"/>
    <w:rsid w:val="00D72DC6"/>
    <w:rsid w:val="00D743E6"/>
    <w:rsid w:val="00D749D5"/>
    <w:rsid w:val="00D74E36"/>
    <w:rsid w:val="00D7558D"/>
    <w:rsid w:val="00D763C2"/>
    <w:rsid w:val="00D7796A"/>
    <w:rsid w:val="00D77BE6"/>
    <w:rsid w:val="00D80B22"/>
    <w:rsid w:val="00D81D92"/>
    <w:rsid w:val="00D82A54"/>
    <w:rsid w:val="00D82F42"/>
    <w:rsid w:val="00D9068F"/>
    <w:rsid w:val="00D91341"/>
    <w:rsid w:val="00D922F2"/>
    <w:rsid w:val="00D927DD"/>
    <w:rsid w:val="00D9543F"/>
    <w:rsid w:val="00D975B7"/>
    <w:rsid w:val="00D9763A"/>
    <w:rsid w:val="00DA0DE6"/>
    <w:rsid w:val="00DA63EF"/>
    <w:rsid w:val="00DA6F63"/>
    <w:rsid w:val="00DA745C"/>
    <w:rsid w:val="00DA7B5F"/>
    <w:rsid w:val="00DA7CBD"/>
    <w:rsid w:val="00DA7E88"/>
    <w:rsid w:val="00DB02C3"/>
    <w:rsid w:val="00DB23F6"/>
    <w:rsid w:val="00DB289A"/>
    <w:rsid w:val="00DB30B1"/>
    <w:rsid w:val="00DB3BD4"/>
    <w:rsid w:val="00DB7ED9"/>
    <w:rsid w:val="00DC06DA"/>
    <w:rsid w:val="00DC0AE9"/>
    <w:rsid w:val="00DC11E7"/>
    <w:rsid w:val="00DC3119"/>
    <w:rsid w:val="00DC3634"/>
    <w:rsid w:val="00DC44EE"/>
    <w:rsid w:val="00DC5BC1"/>
    <w:rsid w:val="00DC613E"/>
    <w:rsid w:val="00DC63DF"/>
    <w:rsid w:val="00DC656A"/>
    <w:rsid w:val="00DC7023"/>
    <w:rsid w:val="00DC769A"/>
    <w:rsid w:val="00DD0298"/>
    <w:rsid w:val="00DD1F50"/>
    <w:rsid w:val="00DD3C6F"/>
    <w:rsid w:val="00DD3D86"/>
    <w:rsid w:val="00DD44C5"/>
    <w:rsid w:val="00DD4B3D"/>
    <w:rsid w:val="00DD7435"/>
    <w:rsid w:val="00DE0E01"/>
    <w:rsid w:val="00DE10C5"/>
    <w:rsid w:val="00DE2B7E"/>
    <w:rsid w:val="00DE36E9"/>
    <w:rsid w:val="00DE5382"/>
    <w:rsid w:val="00DE5996"/>
    <w:rsid w:val="00DE63DA"/>
    <w:rsid w:val="00DF07CA"/>
    <w:rsid w:val="00DF0B6A"/>
    <w:rsid w:val="00DF19C9"/>
    <w:rsid w:val="00DF1EC4"/>
    <w:rsid w:val="00DF22FA"/>
    <w:rsid w:val="00DF511C"/>
    <w:rsid w:val="00E00AA4"/>
    <w:rsid w:val="00E02FFA"/>
    <w:rsid w:val="00E0340B"/>
    <w:rsid w:val="00E049EC"/>
    <w:rsid w:val="00E04A90"/>
    <w:rsid w:val="00E07189"/>
    <w:rsid w:val="00E07D9D"/>
    <w:rsid w:val="00E11F9F"/>
    <w:rsid w:val="00E12BD0"/>
    <w:rsid w:val="00E12FC7"/>
    <w:rsid w:val="00E13134"/>
    <w:rsid w:val="00E14276"/>
    <w:rsid w:val="00E14679"/>
    <w:rsid w:val="00E1730E"/>
    <w:rsid w:val="00E179F7"/>
    <w:rsid w:val="00E219C7"/>
    <w:rsid w:val="00E21B98"/>
    <w:rsid w:val="00E2393F"/>
    <w:rsid w:val="00E23CF7"/>
    <w:rsid w:val="00E24AB0"/>
    <w:rsid w:val="00E2515F"/>
    <w:rsid w:val="00E25257"/>
    <w:rsid w:val="00E256F9"/>
    <w:rsid w:val="00E26775"/>
    <w:rsid w:val="00E2717D"/>
    <w:rsid w:val="00E30C7F"/>
    <w:rsid w:val="00E32B9A"/>
    <w:rsid w:val="00E33D21"/>
    <w:rsid w:val="00E3401E"/>
    <w:rsid w:val="00E348FE"/>
    <w:rsid w:val="00E35C46"/>
    <w:rsid w:val="00E36DC8"/>
    <w:rsid w:val="00E37C18"/>
    <w:rsid w:val="00E37C1E"/>
    <w:rsid w:val="00E40542"/>
    <w:rsid w:val="00E40F80"/>
    <w:rsid w:val="00E4248D"/>
    <w:rsid w:val="00E43157"/>
    <w:rsid w:val="00E44392"/>
    <w:rsid w:val="00E461CE"/>
    <w:rsid w:val="00E46A50"/>
    <w:rsid w:val="00E472F5"/>
    <w:rsid w:val="00E47AC8"/>
    <w:rsid w:val="00E47D60"/>
    <w:rsid w:val="00E50050"/>
    <w:rsid w:val="00E51360"/>
    <w:rsid w:val="00E51AB3"/>
    <w:rsid w:val="00E52EF7"/>
    <w:rsid w:val="00E548F5"/>
    <w:rsid w:val="00E5540C"/>
    <w:rsid w:val="00E555F1"/>
    <w:rsid w:val="00E557C6"/>
    <w:rsid w:val="00E56B07"/>
    <w:rsid w:val="00E56E21"/>
    <w:rsid w:val="00E57AB1"/>
    <w:rsid w:val="00E616BD"/>
    <w:rsid w:val="00E6202E"/>
    <w:rsid w:val="00E62456"/>
    <w:rsid w:val="00E625C9"/>
    <w:rsid w:val="00E62A24"/>
    <w:rsid w:val="00E6365D"/>
    <w:rsid w:val="00E63899"/>
    <w:rsid w:val="00E64178"/>
    <w:rsid w:val="00E645BD"/>
    <w:rsid w:val="00E64EC0"/>
    <w:rsid w:val="00E653DE"/>
    <w:rsid w:val="00E661D1"/>
    <w:rsid w:val="00E71531"/>
    <w:rsid w:val="00E720CA"/>
    <w:rsid w:val="00E7373B"/>
    <w:rsid w:val="00E75A64"/>
    <w:rsid w:val="00E75D84"/>
    <w:rsid w:val="00E760DF"/>
    <w:rsid w:val="00E77127"/>
    <w:rsid w:val="00E77CD9"/>
    <w:rsid w:val="00E80288"/>
    <w:rsid w:val="00E8119B"/>
    <w:rsid w:val="00E830F0"/>
    <w:rsid w:val="00E84EB5"/>
    <w:rsid w:val="00E85662"/>
    <w:rsid w:val="00E8651A"/>
    <w:rsid w:val="00E8668C"/>
    <w:rsid w:val="00E8686D"/>
    <w:rsid w:val="00E86D08"/>
    <w:rsid w:val="00E8789F"/>
    <w:rsid w:val="00E92C15"/>
    <w:rsid w:val="00E93CBD"/>
    <w:rsid w:val="00E97B71"/>
    <w:rsid w:val="00EA0154"/>
    <w:rsid w:val="00EA19C6"/>
    <w:rsid w:val="00EA28AB"/>
    <w:rsid w:val="00EA29BD"/>
    <w:rsid w:val="00EA3314"/>
    <w:rsid w:val="00EA3CEF"/>
    <w:rsid w:val="00EA3D00"/>
    <w:rsid w:val="00EA3D34"/>
    <w:rsid w:val="00EA529A"/>
    <w:rsid w:val="00EA6988"/>
    <w:rsid w:val="00EA6B83"/>
    <w:rsid w:val="00EA739F"/>
    <w:rsid w:val="00EB1C51"/>
    <w:rsid w:val="00EB3195"/>
    <w:rsid w:val="00EB454D"/>
    <w:rsid w:val="00EB4CA7"/>
    <w:rsid w:val="00EB7088"/>
    <w:rsid w:val="00EC0859"/>
    <w:rsid w:val="00EC16CC"/>
    <w:rsid w:val="00EC6778"/>
    <w:rsid w:val="00EC6825"/>
    <w:rsid w:val="00EC6AC3"/>
    <w:rsid w:val="00EC6F0C"/>
    <w:rsid w:val="00ED273F"/>
    <w:rsid w:val="00ED2A4E"/>
    <w:rsid w:val="00ED372E"/>
    <w:rsid w:val="00ED3A83"/>
    <w:rsid w:val="00ED5D97"/>
    <w:rsid w:val="00ED6E4E"/>
    <w:rsid w:val="00ED76BE"/>
    <w:rsid w:val="00ED7978"/>
    <w:rsid w:val="00EE0DA3"/>
    <w:rsid w:val="00EE2CD7"/>
    <w:rsid w:val="00EE4373"/>
    <w:rsid w:val="00EE623E"/>
    <w:rsid w:val="00EE65AC"/>
    <w:rsid w:val="00EE7C9F"/>
    <w:rsid w:val="00EF1D1E"/>
    <w:rsid w:val="00EF1E7A"/>
    <w:rsid w:val="00EF4F7A"/>
    <w:rsid w:val="00EF552A"/>
    <w:rsid w:val="00EF619B"/>
    <w:rsid w:val="00EF629E"/>
    <w:rsid w:val="00EF69D6"/>
    <w:rsid w:val="00F00B55"/>
    <w:rsid w:val="00F01097"/>
    <w:rsid w:val="00F01AD3"/>
    <w:rsid w:val="00F02AD1"/>
    <w:rsid w:val="00F06049"/>
    <w:rsid w:val="00F07B60"/>
    <w:rsid w:val="00F1014D"/>
    <w:rsid w:val="00F11835"/>
    <w:rsid w:val="00F12B95"/>
    <w:rsid w:val="00F13220"/>
    <w:rsid w:val="00F1350F"/>
    <w:rsid w:val="00F15DD3"/>
    <w:rsid w:val="00F17CF8"/>
    <w:rsid w:val="00F17D97"/>
    <w:rsid w:val="00F208D7"/>
    <w:rsid w:val="00F21859"/>
    <w:rsid w:val="00F22194"/>
    <w:rsid w:val="00F2241E"/>
    <w:rsid w:val="00F2352A"/>
    <w:rsid w:val="00F253CC"/>
    <w:rsid w:val="00F258BD"/>
    <w:rsid w:val="00F25A22"/>
    <w:rsid w:val="00F25B14"/>
    <w:rsid w:val="00F263C5"/>
    <w:rsid w:val="00F2710F"/>
    <w:rsid w:val="00F33851"/>
    <w:rsid w:val="00F34336"/>
    <w:rsid w:val="00F3584F"/>
    <w:rsid w:val="00F36663"/>
    <w:rsid w:val="00F37106"/>
    <w:rsid w:val="00F419E8"/>
    <w:rsid w:val="00F4246F"/>
    <w:rsid w:val="00F45042"/>
    <w:rsid w:val="00F46E11"/>
    <w:rsid w:val="00F50974"/>
    <w:rsid w:val="00F509FC"/>
    <w:rsid w:val="00F51808"/>
    <w:rsid w:val="00F519CF"/>
    <w:rsid w:val="00F531A4"/>
    <w:rsid w:val="00F5329C"/>
    <w:rsid w:val="00F54050"/>
    <w:rsid w:val="00F54E0D"/>
    <w:rsid w:val="00F56BA5"/>
    <w:rsid w:val="00F606ED"/>
    <w:rsid w:val="00F60B33"/>
    <w:rsid w:val="00F60BE0"/>
    <w:rsid w:val="00F60E22"/>
    <w:rsid w:val="00F6214E"/>
    <w:rsid w:val="00F6234A"/>
    <w:rsid w:val="00F65CCD"/>
    <w:rsid w:val="00F67B0A"/>
    <w:rsid w:val="00F73570"/>
    <w:rsid w:val="00F73D40"/>
    <w:rsid w:val="00F74C61"/>
    <w:rsid w:val="00F7512A"/>
    <w:rsid w:val="00F757F5"/>
    <w:rsid w:val="00F75AC2"/>
    <w:rsid w:val="00F75D57"/>
    <w:rsid w:val="00F76E2A"/>
    <w:rsid w:val="00F771E4"/>
    <w:rsid w:val="00F777A2"/>
    <w:rsid w:val="00F77FB5"/>
    <w:rsid w:val="00F800F0"/>
    <w:rsid w:val="00F805C9"/>
    <w:rsid w:val="00F80C58"/>
    <w:rsid w:val="00F81395"/>
    <w:rsid w:val="00F813FB"/>
    <w:rsid w:val="00F8242E"/>
    <w:rsid w:val="00F82666"/>
    <w:rsid w:val="00F84055"/>
    <w:rsid w:val="00F8421F"/>
    <w:rsid w:val="00F84FD6"/>
    <w:rsid w:val="00F865C9"/>
    <w:rsid w:val="00F86914"/>
    <w:rsid w:val="00F902A4"/>
    <w:rsid w:val="00F904A6"/>
    <w:rsid w:val="00F917D1"/>
    <w:rsid w:val="00F91D94"/>
    <w:rsid w:val="00F93DCA"/>
    <w:rsid w:val="00F9462B"/>
    <w:rsid w:val="00F95450"/>
    <w:rsid w:val="00F95E37"/>
    <w:rsid w:val="00F96153"/>
    <w:rsid w:val="00F9653B"/>
    <w:rsid w:val="00F97BDC"/>
    <w:rsid w:val="00FA047B"/>
    <w:rsid w:val="00FA0E12"/>
    <w:rsid w:val="00FA13ED"/>
    <w:rsid w:val="00FA2A47"/>
    <w:rsid w:val="00FA3624"/>
    <w:rsid w:val="00FA48B4"/>
    <w:rsid w:val="00FA567C"/>
    <w:rsid w:val="00FA5FC9"/>
    <w:rsid w:val="00FA6051"/>
    <w:rsid w:val="00FA62A0"/>
    <w:rsid w:val="00FA6C6F"/>
    <w:rsid w:val="00FA6F49"/>
    <w:rsid w:val="00FA733C"/>
    <w:rsid w:val="00FA7908"/>
    <w:rsid w:val="00FB01BD"/>
    <w:rsid w:val="00FB3EE5"/>
    <w:rsid w:val="00FB4A6F"/>
    <w:rsid w:val="00FB5304"/>
    <w:rsid w:val="00FB5A2F"/>
    <w:rsid w:val="00FB5ACE"/>
    <w:rsid w:val="00FB6235"/>
    <w:rsid w:val="00FB62CF"/>
    <w:rsid w:val="00FB691B"/>
    <w:rsid w:val="00FC1583"/>
    <w:rsid w:val="00FC1625"/>
    <w:rsid w:val="00FC1CD1"/>
    <w:rsid w:val="00FC2843"/>
    <w:rsid w:val="00FC2BEC"/>
    <w:rsid w:val="00FC3BBD"/>
    <w:rsid w:val="00FC4FEA"/>
    <w:rsid w:val="00FC54F1"/>
    <w:rsid w:val="00FD0DC1"/>
    <w:rsid w:val="00FD249B"/>
    <w:rsid w:val="00FD3454"/>
    <w:rsid w:val="00FD35CC"/>
    <w:rsid w:val="00FD361B"/>
    <w:rsid w:val="00FD3C3B"/>
    <w:rsid w:val="00FD46BE"/>
    <w:rsid w:val="00FD4A4A"/>
    <w:rsid w:val="00FD5A26"/>
    <w:rsid w:val="00FE077E"/>
    <w:rsid w:val="00FE15D4"/>
    <w:rsid w:val="00FE1933"/>
    <w:rsid w:val="00FE3AB9"/>
    <w:rsid w:val="00FE3C0F"/>
    <w:rsid w:val="00FE5DDE"/>
    <w:rsid w:val="00FE67A6"/>
    <w:rsid w:val="00FE6B45"/>
    <w:rsid w:val="00FE704D"/>
    <w:rsid w:val="00FE7051"/>
    <w:rsid w:val="00FE784E"/>
    <w:rsid w:val="00FF15A2"/>
    <w:rsid w:val="00FF4CEA"/>
    <w:rsid w:val="00FF4F86"/>
    <w:rsid w:val="00FF55F3"/>
    <w:rsid w:val="00FF5851"/>
    <w:rsid w:val="00FF6264"/>
    <w:rsid w:val="00FF6DDA"/>
    <w:rsid w:val="00FF719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0F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rFonts w:eastAsia="Times New Roman"/>
      <w:color w:val="000000"/>
      <w:u w:color="000000"/>
      <w:lang w:val="es-ES_tradnl"/>
    </w:rPr>
  </w:style>
  <w:style w:type="paragraph" w:styleId="ListParagraph">
    <w:name w:val="List Paragraph"/>
    <w:uiPriority w:val="34"/>
    <w:qFormat/>
    <w:pPr>
      <w:ind w:left="720"/>
    </w:pPr>
    <w:rPr>
      <w:rFonts w:ascii="Cambria" w:eastAsia="Cambria" w:hAnsi="Cambria" w:cs="Cambria"/>
      <w:color w:val="000000"/>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rFonts w:eastAsia="Times New Roman"/>
      <w:color w:val="000000"/>
      <w:u w:color="000000"/>
      <w:lang w:val="es-ES_tradnl"/>
    </w:rPr>
  </w:style>
  <w:style w:type="paragraph" w:styleId="ListParagraph">
    <w:name w:val="List Paragraph"/>
    <w:uiPriority w:val="34"/>
    <w:qFormat/>
    <w:pPr>
      <w:ind w:left="720"/>
    </w:pPr>
    <w:rPr>
      <w:rFonts w:ascii="Cambria" w:eastAsia="Cambria" w:hAnsi="Cambria" w:cs="Cambria"/>
      <w:color w:val="000000"/>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7618">
      <w:bodyDiv w:val="1"/>
      <w:marLeft w:val="0"/>
      <w:marRight w:val="0"/>
      <w:marTop w:val="0"/>
      <w:marBottom w:val="0"/>
      <w:divBdr>
        <w:top w:val="none" w:sz="0" w:space="0" w:color="auto"/>
        <w:left w:val="none" w:sz="0" w:space="0" w:color="auto"/>
        <w:bottom w:val="none" w:sz="0" w:space="0" w:color="auto"/>
        <w:right w:val="none" w:sz="0" w:space="0" w:color="auto"/>
      </w:divBdr>
    </w:div>
    <w:div w:id="846673559">
      <w:bodyDiv w:val="1"/>
      <w:marLeft w:val="0"/>
      <w:marRight w:val="0"/>
      <w:marTop w:val="0"/>
      <w:marBottom w:val="0"/>
      <w:divBdr>
        <w:top w:val="none" w:sz="0" w:space="0" w:color="auto"/>
        <w:left w:val="none" w:sz="0" w:space="0" w:color="auto"/>
        <w:bottom w:val="none" w:sz="0" w:space="0" w:color="auto"/>
        <w:right w:val="none" w:sz="0" w:space="0" w:color="auto"/>
      </w:divBdr>
    </w:div>
    <w:div w:id="1221329590">
      <w:bodyDiv w:val="1"/>
      <w:marLeft w:val="0"/>
      <w:marRight w:val="0"/>
      <w:marTop w:val="0"/>
      <w:marBottom w:val="0"/>
      <w:divBdr>
        <w:top w:val="none" w:sz="0" w:space="0" w:color="auto"/>
        <w:left w:val="none" w:sz="0" w:space="0" w:color="auto"/>
        <w:bottom w:val="none" w:sz="0" w:space="0" w:color="auto"/>
        <w:right w:val="none" w:sz="0" w:space="0" w:color="auto"/>
      </w:divBdr>
    </w:div>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643609976">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85DB9-DC9D-47A3-875F-7206685F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12659</Words>
  <Characters>72161</Characters>
  <Application>Microsoft Office Word</Application>
  <DocSecurity>0</DocSecurity>
  <Lines>601</Lines>
  <Paragraphs>169</Paragraphs>
  <ScaleCrop>false</ScaleCrop>
  <LinksUpToDate>false</LinksUpToDate>
  <CharactersWithSpaces>84651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12/16</dc:title>
  <dc:creator/>
  <cp:lastModifiedBy/>
  <cp:revision>1</cp:revision>
  <dcterms:created xsi:type="dcterms:W3CDTF">2016-07-19T19:37:00Z</dcterms:created>
  <dcterms:modified xsi:type="dcterms:W3CDTF">2016-07-19T19:37:00Z</dcterms:modified>
</cp:coreProperties>
</file>