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396C" w:rsidRPr="005A396C" w:rsidRDefault="00A86A08" w:rsidP="005A396C">
      <w:pPr>
        <w:jc w:val="both"/>
        <w:rPr>
          <w:rFonts w:ascii="Cambria" w:hAnsi="Cambria" w:cs="Univers"/>
          <w:b/>
          <w:bCs/>
          <w:lang w:val="es-BO"/>
        </w:rPr>
      </w:pPr>
      <w:bookmarkStart w:id="0" w:name="_GoBack"/>
      <w:bookmarkEnd w:id="0"/>
      <w:r>
        <w:rPr>
          <w:noProof/>
        </w:rPr>
        <w:pict>
          <v:rect id="Rectangle 1" o:spid="_x0000_s1033" style="position:absolute;left:0;text-align:left;margin-left:-32.75pt;margin-top:-34.6pt;width:121.5pt;height:716.25pt;z-index:1;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" fillcolor="#4a7194" stroked="f" strokeweight="2pt"/>
        </w:pict>
      </w:r>
      <w:r>
        <w:rPr>
          <w:noProof/>
        </w:rPr>
        <w:pict>
          <v:shapetype id="_x0000_t202" coordsize="21600,21600" o:spt="202" path="m,l,21600r21600,l21600,xe">
            <v:stroke joinstyle="miter"/>
            <v:path gradientshapeok="t" o:connecttype="rect"/>
          </v:shapetype>
          <v:shape id="Text Box 11" o:spid="_x0000_s1032" type="#_x0000_t202" style="position:absolute;left:0;text-align:left;margin-left:100.95pt;margin-top:-33.4pt;width:413.25pt;height:71.05pt;z-index:5;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" filled="f" stroked="f" strokeweight=".5pt">
            <v:textbox>
              <w:txbxContent>
                <w:p w:rsidR="005A396C" w:rsidRDefault="00A86A08" w:rsidP="005A396C">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i1025" type="#_x0000_t75" style="width:209.1pt;height:40.7pt;visibility:visible">
                        <v:imagedata r:id="rId9" o:title="cidh-es"/>
                      </v:shape>
                    </w:pict>
                  </w:r>
                  <w:r w:rsidR="005A396C">
                    <w:tab/>
                    <w:t xml:space="preserve">                              </w:t>
                  </w:r>
                </w:p>
              </w:txbxContent>
            </v:textbox>
          </v:shape>
        </w:pict>
      </w:r>
      <w:r w:rsidR="005A396C" w:rsidRPr="005A396C">
        <w:rPr>
          <w:rFonts w:ascii="Cambria" w:hAnsi="Cambria" w:cs="Univers"/>
          <w:b/>
          <w:bCs/>
          <w:lang w:val="es-BO"/>
        </w:rPr>
        <w:t xml:space="preserve"> </w:t>
      </w:r>
    </w:p>
    <w:p w:rsidR="005A396C" w:rsidRDefault="005A396C" w:rsidP="005A396C">
      <w:pPr>
        <w:tabs>
          <w:tab w:val="center" w:pos="5400"/>
        </w:tabs>
        <w:suppressAutoHyphens/>
        <w:jc w:val="both"/>
        <w:rPr>
          <w:rFonts w:ascii="Cambria" w:hAnsi="Cambria"/>
          <w:lang w:val="es-BO"/>
        </w:rPr>
      </w:pPr>
    </w:p>
    <w:p w:rsidR="005A396C" w:rsidRDefault="005A396C" w:rsidP="005A396C">
      <w:pPr>
        <w:tabs>
          <w:tab w:val="center" w:pos="5400"/>
        </w:tabs>
        <w:suppressAutoHyphens/>
        <w:jc w:val="both"/>
        <w:rPr>
          <w:rFonts w:ascii="Cambria" w:hAnsi="Cambria"/>
          <w:lang w:val="es-BO"/>
        </w:rPr>
      </w:pPr>
    </w:p>
    <w:p w:rsidR="005A396C" w:rsidRDefault="005A396C" w:rsidP="005A396C">
      <w:pPr>
        <w:tabs>
          <w:tab w:val="center" w:pos="5400"/>
        </w:tabs>
        <w:suppressAutoHyphens/>
        <w:jc w:val="both"/>
        <w:rPr>
          <w:rFonts w:ascii="Cambria" w:hAnsi="Cambria"/>
          <w:lang w:val="es-BO"/>
        </w:rPr>
      </w:pPr>
    </w:p>
    <w:p w:rsidR="00E50990" w:rsidRPr="00E50990" w:rsidRDefault="00E50990" w:rsidP="00E50990">
      <w:pPr>
        <w:tabs>
          <w:tab w:val="center" w:pos="5400"/>
        </w:tabs>
        <w:suppressAutoHyphens/>
        <w:jc w:val="right"/>
        <w:rPr>
          <w:rFonts w:ascii="Cambria" w:hAnsi="Cambria"/>
          <w:b/>
          <w:sz w:val="52"/>
          <w:szCs w:val="20"/>
          <w:lang w:val="es-ES_tradnl"/>
        </w:rPr>
      </w:pPr>
    </w:p>
    <w:p w:rsidR="005A396C" w:rsidRPr="00E50990" w:rsidRDefault="005A396C" w:rsidP="005A396C">
      <w:pPr>
        <w:tabs>
          <w:tab w:val="center" w:pos="5400"/>
        </w:tabs>
        <w:suppressAutoHyphens/>
        <w:jc w:val="both"/>
        <w:rPr>
          <w:rFonts w:ascii="Cambria" w:hAnsi="Cambria"/>
          <w:lang w:val="es-ES_tradnl"/>
        </w:rPr>
      </w:pPr>
    </w:p>
    <w:p w:rsidR="005A396C" w:rsidRPr="005A396C" w:rsidRDefault="00A86A08" w:rsidP="005A396C">
      <w:pPr>
        <w:tabs>
          <w:tab w:val="center" w:pos="5400"/>
        </w:tabs>
        <w:suppressAutoHyphens/>
        <w:rPr>
          <w:rFonts w:ascii="Cambria" w:hAnsi="Cambria"/>
          <w:lang w:val="es-BO"/>
        </w:rPr>
      </w:pPr>
      <w:r>
        <w:rPr>
          <w:noProof/>
        </w:rPr>
        <w:pict>
          <v:shape id="Text Box 5" o:spid="_x0000_s1031" type="#_x0000_t202" style="position:absolute;margin-left:106.5pt;margin-top:8.45pt;width:349.7pt;height:171.75pt;z-index: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" filled="f" stroked="f" strokeweight=".5pt">
            <v:textbox>
              <w:txbxContent>
                <w:p w:rsidR="005A396C" w:rsidRPr="005A396C" w:rsidRDefault="005A396C" w:rsidP="00666993">
                  <w:pPr>
                    <w:spacing w:after="0"/>
                    <w:rPr>
                      <w:rFonts w:ascii="Cambria" w:hAnsi="Cambria" w:cs="Arial"/>
                      <w:b/>
                      <w:bCs/>
                      <w:color w:val="0D0D0D"/>
                      <w:sz w:val="36"/>
                      <w:lang w:val="es-BO"/>
                    </w:rPr>
                  </w:pPr>
                  <w:r w:rsidRPr="005A396C">
                    <w:rPr>
                      <w:rFonts w:ascii="Cambria" w:hAnsi="Cambria" w:cs="Arial"/>
                      <w:b/>
                      <w:bCs/>
                      <w:color w:val="0D0D0D"/>
                      <w:sz w:val="36"/>
                      <w:lang w:val="es-BO"/>
                    </w:rPr>
                    <w:t xml:space="preserve">INFORME </w:t>
                  </w:r>
                  <w:r w:rsidRPr="005A396C">
                    <w:rPr>
                      <w:rFonts w:ascii="Cambria" w:hAnsi="Cambria" w:cs="Arial"/>
                      <w:b/>
                      <w:bCs/>
                      <w:color w:val="0D0D0D"/>
                      <w:sz w:val="36"/>
                      <w:szCs w:val="40"/>
                      <w:lang w:val="es-BO"/>
                    </w:rPr>
                    <w:t>No.</w:t>
                  </w:r>
                  <w:r w:rsidR="00C4511C">
                    <w:rPr>
                      <w:rFonts w:ascii="Cambria" w:hAnsi="Cambria" w:cs="Arial"/>
                      <w:b/>
                      <w:bCs/>
                      <w:color w:val="0D0D0D"/>
                      <w:sz w:val="36"/>
                      <w:lang w:val="es-BO"/>
                    </w:rPr>
                    <w:t xml:space="preserve"> 62</w:t>
                  </w:r>
                  <w:r w:rsidRPr="005A396C">
                    <w:rPr>
                      <w:rFonts w:ascii="Cambria" w:hAnsi="Cambria" w:cs="Arial"/>
                      <w:b/>
                      <w:bCs/>
                      <w:color w:val="0D0D0D"/>
                      <w:sz w:val="36"/>
                      <w:lang w:val="es-BO"/>
                    </w:rPr>
                    <w:t>/</w:t>
                  </w:r>
                  <w:r w:rsidR="00E207A2">
                    <w:rPr>
                      <w:rFonts w:ascii="Cambria" w:hAnsi="Cambria" w:cs="Arial"/>
                      <w:b/>
                      <w:bCs/>
                      <w:color w:val="0D0D0D"/>
                      <w:sz w:val="36"/>
                      <w:lang w:val="es-BO"/>
                    </w:rPr>
                    <w:t>16</w:t>
                  </w:r>
                </w:p>
                <w:p w:rsidR="005A396C" w:rsidRPr="005A396C" w:rsidRDefault="005A396C" w:rsidP="00666993">
                  <w:pPr>
                    <w:spacing w:after="0"/>
                    <w:rPr>
                      <w:rFonts w:ascii="Cambria" w:hAnsi="Cambria" w:cs="Arial"/>
                      <w:b/>
                      <w:color w:val="0D0D0D"/>
                      <w:sz w:val="36"/>
                      <w:lang w:val="es-BO"/>
                    </w:rPr>
                  </w:pPr>
                  <w:r w:rsidRPr="005A396C">
                    <w:rPr>
                      <w:rFonts w:ascii="Cambria" w:hAnsi="Cambria" w:cs="Arial"/>
                      <w:b/>
                      <w:color w:val="0D0D0D"/>
                      <w:sz w:val="36"/>
                      <w:lang w:val="es-BO"/>
                    </w:rPr>
                    <w:t xml:space="preserve">PETICIÓN 4449-02 </w:t>
                  </w:r>
                </w:p>
                <w:p w:rsidR="005A396C" w:rsidRDefault="005A396C" w:rsidP="00666993">
                  <w:pPr>
                    <w:spacing w:after="0"/>
                    <w:rPr>
                      <w:rFonts w:ascii="Cambria" w:hAnsi="Cambria" w:cs="Arial"/>
                      <w:color w:val="0D0D0D"/>
                      <w:lang w:val="es-BO"/>
                    </w:rPr>
                  </w:pPr>
                  <w:r w:rsidRPr="005A396C">
                    <w:rPr>
                      <w:rFonts w:ascii="Cambria" w:hAnsi="Cambria" w:cs="Arial"/>
                      <w:color w:val="0D0D0D"/>
                      <w:lang w:val="es-BO"/>
                    </w:rPr>
                    <w:t>INFORME DE</w:t>
                  </w:r>
                  <w:r w:rsidRPr="005A396C">
                    <w:rPr>
                      <w:rFonts w:ascii="Cambria" w:hAnsi="Cambria" w:cs="Arial"/>
                      <w:lang w:val="es-BO"/>
                    </w:rPr>
                    <w:t xml:space="preserve"> ADMISIBILIDAD</w:t>
                  </w:r>
                  <w:r w:rsidRPr="005A396C">
                    <w:rPr>
                      <w:rFonts w:ascii="Cambria" w:hAnsi="Cambria" w:cs="Arial"/>
                      <w:color w:val="808080"/>
                      <w:lang w:val="es-BO"/>
                    </w:rPr>
                    <w:t xml:space="preserve"> </w:t>
                  </w:r>
                  <w:bookmarkStart w:id="1" w:name="_ftnref1"/>
                </w:p>
                <w:p w:rsidR="00666993" w:rsidRPr="005A396C" w:rsidRDefault="00666993" w:rsidP="00666993">
                  <w:pPr>
                    <w:spacing w:after="0"/>
                    <w:rPr>
                      <w:rFonts w:ascii="Cambria" w:hAnsi="Cambria" w:cs="Arial"/>
                      <w:color w:val="0D0D0D"/>
                      <w:lang w:val="es-BO"/>
                    </w:rPr>
                  </w:pPr>
                </w:p>
                <w:p w:rsidR="005A396C" w:rsidRPr="005A396C" w:rsidRDefault="005A396C" w:rsidP="00666993">
                  <w:pPr>
                    <w:spacing w:after="0"/>
                    <w:rPr>
                      <w:rFonts w:ascii="Cambria" w:hAnsi="Cambria" w:cs="Arial"/>
                      <w:color w:val="0D0D0D"/>
                      <w:lang w:val="es-BO"/>
                    </w:rPr>
                  </w:pPr>
                  <w:r w:rsidRPr="005A396C">
                    <w:rPr>
                      <w:rFonts w:ascii="Cambria" w:hAnsi="Cambria" w:cs="Arial"/>
                      <w:color w:val="0D0D0D"/>
                      <w:lang w:val="es-BO"/>
                    </w:rPr>
                    <w:t>SAULO ARBOLEDA GÓMEZ</w:t>
                  </w:r>
                </w:p>
                <w:bookmarkEnd w:id="1"/>
                <w:p w:rsidR="005A396C" w:rsidRPr="005A396C" w:rsidRDefault="005A396C" w:rsidP="00666993">
                  <w:pPr>
                    <w:spacing w:after="0"/>
                    <w:rPr>
                      <w:rFonts w:ascii="Cambria" w:hAnsi="Cambria" w:cs="Arial"/>
                      <w:color w:val="0D0D0D"/>
                      <w:lang w:val="es-BO"/>
                    </w:rPr>
                  </w:pPr>
                  <w:r w:rsidRPr="005A396C">
                    <w:rPr>
                      <w:rFonts w:ascii="Cambria" w:hAnsi="Cambria" w:cs="Arial"/>
                      <w:bCs/>
                      <w:color w:val="0D0D0D"/>
                      <w:lang w:val="es-BO"/>
                    </w:rPr>
                    <w:t>COLOMBIA</w:t>
                  </w:r>
                </w:p>
                <w:p w:rsidR="005A396C" w:rsidRPr="005A396C" w:rsidRDefault="005A396C" w:rsidP="005A396C">
                  <w:pPr>
                    <w:rPr>
                      <w:color w:val="0D0D0D"/>
                      <w:lang w:val="es-BO"/>
                    </w:rPr>
                  </w:pPr>
                </w:p>
              </w:txbxContent>
            </v:textbox>
          </v:shape>
        </w:pict>
      </w:r>
      <w:r>
        <w:rPr>
          <w:noProof/>
        </w:rPr>
        <w:pict>
          <v:shape id="Text Box 8" o:spid="_x0000_s1030" type="#_x0000_t202" style="position:absolute;margin-left:-27pt;margin-top:12.95pt;width:109.5pt;height:108.45pt;z-index: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" filled="f" stroked="f" strokeweight=".5pt">
            <v:textbox>
              <w:txbxContent>
                <w:p w:rsidR="005A396C" w:rsidRPr="003A0480" w:rsidRDefault="005A396C" w:rsidP="008206E3">
                  <w:pPr>
                    <w:spacing w:after="0"/>
                    <w:jc w:val="right"/>
                    <w:rPr>
                      <w:color w:val="FFFFFF"/>
                      <w:lang w:val="pt-BR"/>
                    </w:rPr>
                  </w:pPr>
                  <w:r w:rsidRPr="003A0480">
                    <w:rPr>
                      <w:color w:val="FFFFFF"/>
                      <w:lang w:val="pt-BR"/>
                    </w:rPr>
                    <w:t>OEA/Ser.L/V/II.15</w:t>
                  </w:r>
                  <w:r w:rsidR="00E50990">
                    <w:rPr>
                      <w:color w:val="FFFFFF"/>
                      <w:lang w:val="pt-BR"/>
                    </w:rPr>
                    <w:t>9</w:t>
                  </w:r>
                </w:p>
                <w:p w:rsidR="005A396C" w:rsidRPr="003A0480" w:rsidRDefault="00C4511C" w:rsidP="008206E3">
                  <w:pPr>
                    <w:spacing w:after="0"/>
                    <w:jc w:val="right"/>
                    <w:rPr>
                      <w:color w:val="FFFFFF"/>
                      <w:lang w:val="pt-BR"/>
                    </w:rPr>
                  </w:pPr>
                  <w:r>
                    <w:rPr>
                      <w:color w:val="FFFFFF"/>
                      <w:lang w:val="pt-BR"/>
                    </w:rPr>
                    <w:t>Doc. 71</w:t>
                  </w:r>
                </w:p>
                <w:p w:rsidR="005A396C" w:rsidRPr="003A0480" w:rsidRDefault="00C4511C" w:rsidP="008206E3">
                  <w:pPr>
                    <w:spacing w:after="0"/>
                    <w:jc w:val="right"/>
                    <w:rPr>
                      <w:color w:val="FFFFFF"/>
                    </w:rPr>
                  </w:pPr>
                  <w:r>
                    <w:rPr>
                      <w:color w:val="FFFFFF"/>
                    </w:rPr>
                    <w:t>6 diciembre 2016</w:t>
                  </w:r>
                </w:p>
                <w:p w:rsidR="005A396C" w:rsidRPr="003A0480" w:rsidRDefault="005A396C" w:rsidP="008206E3">
                  <w:pPr>
                    <w:spacing w:after="0"/>
                    <w:jc w:val="right"/>
                    <w:rPr>
                      <w:color w:val="FFFFFF"/>
                    </w:rPr>
                  </w:pPr>
                  <w:r w:rsidRPr="003A0480">
                    <w:rPr>
                      <w:color w:val="FFFFFF"/>
                    </w:rPr>
                    <w:t xml:space="preserve">Original: </w:t>
                  </w:r>
                  <w:r w:rsidR="008206E3" w:rsidRPr="003A0480">
                    <w:rPr>
                      <w:rStyle w:val="PlaceholderText"/>
                      <w:color w:val="FFFFFF"/>
                    </w:rPr>
                    <w:t>Español</w:t>
                  </w:r>
                </w:p>
              </w:txbxContent>
            </v:textbox>
          </v:shape>
        </w:pict>
      </w:r>
    </w:p>
    <w:p w:rsidR="005A396C" w:rsidRPr="005A396C" w:rsidRDefault="005A396C" w:rsidP="005A396C">
      <w:pPr>
        <w:tabs>
          <w:tab w:val="center" w:pos="5400"/>
        </w:tabs>
        <w:suppressAutoHyphens/>
        <w:jc w:val="center"/>
        <w:rPr>
          <w:rFonts w:ascii="Cambria" w:hAnsi="Cambria"/>
          <w:lang w:val="es-BO"/>
        </w:rPr>
      </w:pPr>
    </w:p>
    <w:p w:rsidR="005A396C" w:rsidRPr="005A396C" w:rsidRDefault="005A396C" w:rsidP="005A396C">
      <w:pPr>
        <w:tabs>
          <w:tab w:val="center" w:pos="5400"/>
        </w:tabs>
        <w:suppressAutoHyphens/>
        <w:jc w:val="center"/>
        <w:rPr>
          <w:rFonts w:ascii="Cambria" w:hAnsi="Cambria"/>
          <w:lang w:val="es-BO"/>
        </w:rPr>
      </w:pPr>
    </w:p>
    <w:p w:rsidR="005A396C" w:rsidRPr="005A396C" w:rsidRDefault="005A396C" w:rsidP="005A396C">
      <w:pPr>
        <w:tabs>
          <w:tab w:val="center" w:pos="5400"/>
        </w:tabs>
        <w:suppressAutoHyphens/>
        <w:jc w:val="center"/>
        <w:rPr>
          <w:rFonts w:ascii="Cambria" w:hAnsi="Cambria" w:cs="Arial"/>
          <w:lang w:val="es-BO"/>
        </w:rPr>
      </w:pPr>
    </w:p>
    <w:p w:rsidR="005A396C" w:rsidRPr="005A396C" w:rsidRDefault="005A396C" w:rsidP="005A396C">
      <w:pPr>
        <w:tabs>
          <w:tab w:val="center" w:pos="5400"/>
        </w:tabs>
        <w:suppressAutoHyphens/>
        <w:jc w:val="center"/>
        <w:rPr>
          <w:rFonts w:ascii="Cambria" w:hAnsi="Cambria"/>
          <w:lang w:val="es-BO"/>
        </w:rPr>
      </w:pPr>
    </w:p>
    <w:p w:rsidR="005A396C" w:rsidRPr="005A396C" w:rsidRDefault="005A396C" w:rsidP="005A396C">
      <w:pPr>
        <w:tabs>
          <w:tab w:val="center" w:pos="5400"/>
        </w:tabs>
        <w:suppressAutoHyphens/>
        <w:jc w:val="center"/>
        <w:rPr>
          <w:rFonts w:ascii="Cambria" w:hAnsi="Cambria"/>
          <w:sz w:val="18"/>
          <w:lang w:val="es-BO"/>
        </w:rPr>
      </w:pPr>
    </w:p>
    <w:p w:rsidR="005A396C" w:rsidRPr="005A396C" w:rsidRDefault="005A396C" w:rsidP="005A396C">
      <w:pPr>
        <w:tabs>
          <w:tab w:val="center" w:pos="5400"/>
        </w:tabs>
        <w:suppressAutoHyphens/>
        <w:jc w:val="center"/>
        <w:rPr>
          <w:rFonts w:ascii="Cambria" w:hAnsi="Cambria"/>
          <w:sz w:val="18"/>
          <w:lang w:val="es-BO"/>
        </w:rPr>
      </w:pPr>
    </w:p>
    <w:p w:rsidR="005A396C" w:rsidRPr="005A396C" w:rsidRDefault="005A396C" w:rsidP="005A396C">
      <w:pPr>
        <w:tabs>
          <w:tab w:val="center" w:pos="5400"/>
        </w:tabs>
        <w:suppressAutoHyphens/>
        <w:jc w:val="center"/>
        <w:rPr>
          <w:rFonts w:ascii="Cambria" w:hAnsi="Cambria"/>
          <w:sz w:val="18"/>
          <w:lang w:val="es-BO"/>
        </w:rPr>
      </w:pPr>
    </w:p>
    <w:p w:rsidR="005A396C" w:rsidRPr="005A396C" w:rsidRDefault="005A396C" w:rsidP="005A396C">
      <w:pPr>
        <w:tabs>
          <w:tab w:val="center" w:pos="5400"/>
        </w:tabs>
        <w:suppressAutoHyphens/>
        <w:jc w:val="center"/>
        <w:rPr>
          <w:rFonts w:ascii="Cambria" w:hAnsi="Cambria"/>
          <w:sz w:val="18"/>
          <w:lang w:val="es-BO"/>
        </w:rPr>
      </w:pPr>
    </w:p>
    <w:p w:rsidR="005A396C" w:rsidRDefault="005A396C" w:rsidP="005A396C">
      <w:pPr>
        <w:tabs>
          <w:tab w:val="center" w:pos="5400"/>
        </w:tabs>
        <w:suppressAutoHyphens/>
        <w:jc w:val="center"/>
        <w:rPr>
          <w:rFonts w:ascii="Cambria" w:hAnsi="Cambria"/>
          <w:sz w:val="18"/>
          <w:lang w:val="es-BO"/>
        </w:rPr>
      </w:pPr>
    </w:p>
    <w:p w:rsidR="005A396C" w:rsidRDefault="005A396C" w:rsidP="005A396C">
      <w:pPr>
        <w:tabs>
          <w:tab w:val="center" w:pos="5400"/>
        </w:tabs>
        <w:suppressAutoHyphens/>
        <w:jc w:val="center"/>
        <w:rPr>
          <w:rFonts w:ascii="Cambria" w:hAnsi="Cambria"/>
          <w:sz w:val="18"/>
          <w:lang w:val="es-BO"/>
        </w:rPr>
      </w:pPr>
    </w:p>
    <w:p w:rsidR="00666993" w:rsidRDefault="00666993" w:rsidP="005A396C">
      <w:pPr>
        <w:tabs>
          <w:tab w:val="center" w:pos="5400"/>
        </w:tabs>
        <w:suppressAutoHyphens/>
        <w:jc w:val="center"/>
        <w:rPr>
          <w:rFonts w:ascii="Cambria" w:hAnsi="Cambria"/>
          <w:sz w:val="18"/>
          <w:lang w:val="es-BO"/>
        </w:rPr>
      </w:pPr>
    </w:p>
    <w:p w:rsidR="00C4511C" w:rsidRDefault="00C4511C" w:rsidP="005A396C">
      <w:pPr>
        <w:tabs>
          <w:tab w:val="center" w:pos="5400"/>
        </w:tabs>
        <w:suppressAutoHyphens/>
        <w:jc w:val="center"/>
        <w:rPr>
          <w:rFonts w:ascii="Cambria" w:hAnsi="Cambria"/>
          <w:sz w:val="18"/>
          <w:lang w:val="es-BO"/>
        </w:rPr>
      </w:pPr>
    </w:p>
    <w:p w:rsidR="00C4511C" w:rsidRDefault="00C4511C" w:rsidP="00C4511C">
      <w:pPr>
        <w:tabs>
          <w:tab w:val="center" w:pos="5400"/>
        </w:tabs>
        <w:suppressAutoHyphens/>
        <w:rPr>
          <w:rFonts w:ascii="Cambria" w:hAnsi="Cambria"/>
          <w:sz w:val="18"/>
          <w:lang w:val="es-BO"/>
        </w:rPr>
      </w:pPr>
    </w:p>
    <w:p w:rsidR="00C4511C" w:rsidRPr="005A396C" w:rsidRDefault="00C4511C" w:rsidP="00C4511C">
      <w:pPr>
        <w:tabs>
          <w:tab w:val="center" w:pos="5400"/>
        </w:tabs>
        <w:suppressAutoHyphens/>
        <w:rPr>
          <w:rFonts w:ascii="Cambria" w:hAnsi="Cambria"/>
          <w:sz w:val="18"/>
          <w:lang w:val="es-BO"/>
        </w:rPr>
      </w:pPr>
    </w:p>
    <w:p w:rsidR="005A396C" w:rsidRPr="005A396C" w:rsidRDefault="00A86A08" w:rsidP="005A396C">
      <w:pPr>
        <w:tabs>
          <w:tab w:val="center" w:pos="5400"/>
        </w:tabs>
        <w:suppressAutoHyphens/>
        <w:jc w:val="center"/>
        <w:rPr>
          <w:rFonts w:ascii="Cambria" w:hAnsi="Cambria"/>
          <w:sz w:val="18"/>
          <w:lang w:val="es-BO"/>
        </w:rPr>
      </w:pPr>
      <w:r>
        <w:rPr>
          <w:noProof/>
        </w:rPr>
        <w:pict>
          <v:shape id="Text Box 7" o:spid="_x0000_s1029" type="#_x0000_t202" style="position:absolute;left:0;text-align:left;margin-left:105.65pt;margin-top:1.8pt;width:388.5pt;height:52.35pt;z-index:3;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" filled="f" stroked="f" strokeweight=".5pt">
            <v:textbox>
              <w:txbxContent>
                <w:p w:rsidR="00C4511C" w:rsidRPr="00C4511C" w:rsidRDefault="00C4511C" w:rsidP="00C4511C">
                  <w:pPr>
                    <w:tabs>
                      <w:tab w:val="center" w:pos="5400"/>
                    </w:tabs>
                    <w:suppressAutoHyphens/>
                    <w:spacing w:before="60"/>
                    <w:rPr>
                      <w:rFonts w:ascii="Cambria" w:hAnsi="Cambria" w:cs="Univers"/>
                      <w:color w:val="0D0D0D"/>
                      <w:sz w:val="18"/>
                      <w:szCs w:val="20"/>
                      <w:lang w:val="es-ES_tradnl"/>
                    </w:rPr>
                  </w:pPr>
                  <w:r w:rsidRPr="00C4511C">
                    <w:rPr>
                      <w:rFonts w:ascii="Cambria" w:hAnsi="Cambria"/>
                      <w:color w:val="0D0D0D"/>
                      <w:sz w:val="18"/>
                      <w:szCs w:val="20"/>
                      <w:lang w:val="es-ES"/>
                    </w:rPr>
                    <w:t>Aprobado por la Comisión en su sesión No. 2070 celebrada el 6 de diciembre de 2016</w:t>
                  </w:r>
                  <w:r w:rsidR="006017C3">
                    <w:rPr>
                      <w:rFonts w:ascii="Cambria" w:hAnsi="Cambria"/>
                      <w:color w:val="0D0D0D"/>
                      <w:sz w:val="18"/>
                      <w:szCs w:val="20"/>
                      <w:lang w:val="es-ES"/>
                    </w:rPr>
                    <w:t>.</w:t>
                  </w:r>
                  <w:r w:rsidRPr="00C4511C">
                    <w:rPr>
                      <w:rFonts w:ascii="Cambria" w:hAnsi="Cambria"/>
                      <w:color w:val="0D0D0D"/>
                      <w:sz w:val="18"/>
                      <w:szCs w:val="20"/>
                      <w:lang w:val="es-ES"/>
                    </w:rPr>
                    <w:br/>
                  </w:r>
                  <w:r w:rsidRPr="00C4511C">
                    <w:rPr>
                      <w:rFonts w:ascii="Cambria" w:hAnsi="Cambria" w:cs="Univers"/>
                      <w:color w:val="0D0D0D"/>
                      <w:sz w:val="18"/>
                      <w:szCs w:val="20"/>
                      <w:lang w:val="es-ES_tradnl"/>
                    </w:rPr>
                    <w:t>159º período ordinario de sesiones</w:t>
                  </w:r>
                  <w:r w:rsidR="006017C3">
                    <w:rPr>
                      <w:rFonts w:ascii="Cambria" w:hAnsi="Cambria" w:cs="Univers"/>
                      <w:color w:val="0D0D0D"/>
                      <w:sz w:val="18"/>
                      <w:szCs w:val="20"/>
                      <w:lang w:val="es-ES_tradnl"/>
                    </w:rPr>
                    <w:t>.</w:t>
                  </w:r>
                </w:p>
                <w:p w:rsidR="00C4511C" w:rsidRPr="00C4511C" w:rsidRDefault="00C4511C" w:rsidP="00C4511C">
                  <w:pPr>
                    <w:tabs>
                      <w:tab w:val="center" w:pos="5400"/>
                    </w:tabs>
                    <w:suppressAutoHyphens/>
                    <w:spacing w:before="60"/>
                    <w:rPr>
                      <w:rFonts w:ascii="Cambria" w:hAnsi="Cambria"/>
                      <w:color w:val="0D0D0D"/>
                      <w:sz w:val="18"/>
                      <w:szCs w:val="20"/>
                      <w:lang w:val="es-ES"/>
                    </w:rPr>
                  </w:pPr>
                </w:p>
                <w:p w:rsidR="005A396C" w:rsidRPr="00C4511C" w:rsidRDefault="00C4511C" w:rsidP="005A396C">
                  <w:pPr>
                    <w:tabs>
                      <w:tab w:val="center" w:pos="5400"/>
                    </w:tabs>
                    <w:suppressAutoHyphens/>
                    <w:spacing w:before="60"/>
                    <w:rPr>
                      <w:rFonts w:cs="Univers"/>
                      <w:color w:val="0D0D0D"/>
                      <w:sz w:val="20"/>
                      <w:szCs w:val="20"/>
                      <w:lang w:val="es-ES"/>
                    </w:rPr>
                  </w:pPr>
                  <w:r>
                    <w:rPr>
                      <w:rFonts w:cs="Univers"/>
                      <w:color w:val="0D0D0D"/>
                      <w:sz w:val="20"/>
                      <w:szCs w:val="20"/>
                      <w:lang w:val="es-ES"/>
                    </w:rPr>
                    <w:t xml:space="preserve"> </w:t>
                  </w:r>
                </w:p>
                <w:p w:rsidR="005A396C" w:rsidRPr="005A396C" w:rsidRDefault="005A396C" w:rsidP="005A396C">
                  <w:pPr>
                    <w:tabs>
                      <w:tab w:val="center" w:pos="5400"/>
                    </w:tabs>
                    <w:suppressAutoHyphens/>
                    <w:spacing w:before="60"/>
                    <w:rPr>
                      <w:color w:val="FFFFFF"/>
                      <w:spacing w:val="-2"/>
                      <w:sz w:val="16"/>
                      <w:lang w:val="es-BO"/>
                    </w:rPr>
                  </w:pPr>
                </w:p>
              </w:txbxContent>
            </v:textbox>
          </v:shape>
        </w:pict>
      </w:r>
    </w:p>
    <w:p w:rsidR="005A396C" w:rsidRPr="005A396C" w:rsidRDefault="005A396C" w:rsidP="005A396C">
      <w:pPr>
        <w:tabs>
          <w:tab w:val="center" w:pos="5400"/>
        </w:tabs>
        <w:suppressAutoHyphens/>
        <w:rPr>
          <w:rFonts w:ascii="Cambria" w:hAnsi="Cambria"/>
          <w:sz w:val="18"/>
          <w:lang w:val="es-BO"/>
        </w:rPr>
      </w:pPr>
    </w:p>
    <w:p w:rsidR="005A396C" w:rsidRPr="005A396C" w:rsidRDefault="00A86A08" w:rsidP="005A396C">
      <w:pPr>
        <w:tabs>
          <w:tab w:val="center" w:pos="5400"/>
        </w:tabs>
        <w:suppressAutoHyphens/>
        <w:jc w:val="center"/>
        <w:rPr>
          <w:rFonts w:ascii="Cambria" w:hAnsi="Cambria"/>
          <w:sz w:val="18"/>
          <w:lang w:val="es-BO"/>
        </w:rPr>
      </w:pPr>
      <w:r>
        <w:rPr>
          <w:noProof/>
        </w:rPr>
        <w:pict>
          <v:shape id="Text Box 10" o:spid="_x0000_s1028" type="#_x0000_t202" style="position:absolute;left:0;text-align:left;margin-left:105pt;margin-top:.45pt;width:389.25pt;height:51.75pt;z-index: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" filled="f" stroked="f" strokeweight=".5pt">
            <v:textbox>
              <w:txbxContent>
                <w:p w:rsidR="005A396C" w:rsidRPr="005A396C" w:rsidRDefault="005A396C" w:rsidP="005A396C">
                  <w:pPr>
                    <w:rPr>
                      <w:rFonts w:ascii="Cambria" w:hAnsi="Cambria"/>
                      <w:color w:val="595959"/>
                      <w:sz w:val="18"/>
                      <w:szCs w:val="18"/>
                    </w:rPr>
                  </w:pPr>
                  <w:r w:rsidRPr="005A396C">
                    <w:rPr>
                      <w:rFonts w:ascii="Cambria" w:hAnsi="Cambria"/>
                      <w:b/>
                      <w:color w:val="595959"/>
                      <w:sz w:val="18"/>
                      <w:szCs w:val="18"/>
                      <w:lang w:val="pt-BR"/>
                    </w:rPr>
                    <w:t>Citar como:</w:t>
                  </w:r>
                  <w:r w:rsidRPr="005A396C">
                    <w:rPr>
                      <w:rFonts w:ascii="Cambria" w:hAnsi="Cambria"/>
                      <w:color w:val="595959"/>
                      <w:sz w:val="18"/>
                      <w:szCs w:val="18"/>
                      <w:lang w:val="pt-BR"/>
                    </w:rPr>
                    <w:t xml:space="preserve"> CIDH, Informe No. </w:t>
                  </w:r>
                  <w:r w:rsidR="008F593E" w:rsidRPr="008F593E">
                    <w:rPr>
                      <w:rFonts w:ascii="Cambria" w:hAnsi="Cambria"/>
                      <w:color w:val="595959"/>
                      <w:sz w:val="18"/>
                      <w:szCs w:val="18"/>
                      <w:lang w:val="pt-BR"/>
                    </w:rPr>
                    <w:t xml:space="preserve">62/16. </w:t>
                  </w:r>
                  <w:r w:rsidRPr="005A396C">
                    <w:rPr>
                      <w:rFonts w:ascii="Cambria" w:hAnsi="Cambria"/>
                      <w:color w:val="595959"/>
                      <w:sz w:val="18"/>
                      <w:szCs w:val="18"/>
                      <w:lang w:val="es-ES_tradnl"/>
                    </w:rPr>
                    <w:t xml:space="preserve">Petición 4449-02. Admisibilidad. Saulo Arboleda Gómez. Colombia. </w:t>
                  </w:r>
                  <w:r w:rsidR="008F593E">
                    <w:rPr>
                      <w:rFonts w:ascii="Cambria" w:hAnsi="Cambria"/>
                      <w:color w:val="595959"/>
                      <w:sz w:val="18"/>
                      <w:szCs w:val="18"/>
                    </w:rPr>
                    <w:t>6 de diciembre de 2016</w:t>
                  </w:r>
                  <w:r w:rsidRPr="005A396C">
                    <w:rPr>
                      <w:rFonts w:ascii="Cambria" w:hAnsi="Cambria"/>
                      <w:color w:val="595959"/>
                      <w:sz w:val="18"/>
                      <w:szCs w:val="18"/>
                    </w:rPr>
                    <w:t>.</w:t>
                  </w:r>
                </w:p>
              </w:txbxContent>
            </v:textbox>
          </v:shape>
        </w:pict>
      </w:r>
    </w:p>
    <w:p w:rsidR="005A396C" w:rsidRDefault="005A396C" w:rsidP="00C4511C">
      <w:pPr>
        <w:tabs>
          <w:tab w:val="center" w:pos="5400"/>
        </w:tabs>
        <w:suppressAutoHyphens/>
        <w:rPr>
          <w:rFonts w:ascii="Cambria" w:hAnsi="Cambria"/>
          <w:b/>
          <w:sz w:val="20"/>
          <w:lang w:val="es-BO"/>
        </w:rPr>
      </w:pPr>
    </w:p>
    <w:p w:rsidR="005A396C" w:rsidRPr="005A396C" w:rsidRDefault="00A86A08" w:rsidP="005A396C">
      <w:pPr>
        <w:tabs>
          <w:tab w:val="center" w:pos="5400"/>
        </w:tabs>
        <w:suppressAutoHyphens/>
        <w:jc w:val="center"/>
        <w:rPr>
          <w:rFonts w:ascii="Cambria" w:hAnsi="Cambria"/>
          <w:b/>
          <w:sz w:val="20"/>
          <w:lang w:val="es-BO"/>
        </w:rPr>
      </w:pPr>
      <w:r>
        <w:rPr>
          <w:noProof/>
        </w:rPr>
        <w:pict>
          <v:shape id="Text Box 4" o:spid="_x0000_s1026" type="#_x0000_t202" style="position:absolute;left:0;text-align:left;margin-left:-21.45pt;margin-top:55.65pt;width:93pt;height:42.6pt;z-index: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" filled="f" stroked="f" strokeweight=".5pt">
            <v:textbox style="mso-next-textbox:#Text Box 4">
              <w:txbxContent>
                <w:p w:rsidR="005A396C" w:rsidRPr="005A396C" w:rsidRDefault="005A396C" w:rsidP="005A396C">
                  <w:pPr>
                    <w:jc w:val="center"/>
                    <w:rPr>
                      <w:b/>
                      <w:color w:val="FFFFFF"/>
                    </w:rPr>
                  </w:pPr>
                  <w:r w:rsidRPr="005A396C">
                    <w:rPr>
                      <w:b/>
                      <w:color w:val="FFFFFF"/>
                      <w:lang w:val="pt-BR"/>
                    </w:rPr>
                    <w:t>www.cidh.org</w:t>
                  </w:r>
                </w:p>
              </w:txbxContent>
            </v:textbox>
          </v:shape>
        </w:pict>
      </w:r>
      <w:r>
        <w:rPr>
          <w:noProof/>
        </w:rPr>
        <w:pict>
          <v:shape id="Text Box 9" o:spid="_x0000_s1027" type="#_x0000_t202" style="position:absolute;left:0;text-align:left;margin-left:104.7pt;margin-top:50.3pt;width:322.55pt;height:44.65pt;z-index:7;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" stroked="f" strokeweight=".5pt">
            <v:textbox style="mso-next-textbox:#Text Box 9">
              <w:txbxContent>
                <w:p w:rsidR="005A396C" w:rsidRPr="005A396C" w:rsidRDefault="00A86A08" w:rsidP="005A396C">
                  <w:pPr>
                    <w:rPr>
                      <w:color w:val="FFFFFF"/>
                    </w:rPr>
                  </w:pPr>
                  <w:r>
                    <w:rPr>
                      <w:noProof/>
                      <w:color w:val="FFFFFF"/>
                    </w:rPr>
                    <w:pict>
                      <v:shape id="Picture 15" o:spid="_x0000_i1026" type="#_x0000_t75" style="width:105.8pt;height:30.7pt;visibility:visible">
                        <v:imagedata r:id="rId10" o:title="oea-es"/>
                      </v:shape>
                    </w:pict>
                  </w:r>
                </w:p>
              </w:txbxContent>
            </v:textbox>
          </v:shape>
        </w:pict>
      </w:r>
    </w:p>
    <w:p w:rsidR="005A396C" w:rsidRPr="005A396C" w:rsidRDefault="005A396C" w:rsidP="00C4511C">
      <w:pPr>
        <w:tabs>
          <w:tab w:val="center" w:pos="5400"/>
        </w:tabs>
        <w:suppressAutoHyphens/>
        <w:rPr>
          <w:rFonts w:ascii="Cambria" w:hAnsi="Cambria"/>
          <w:b/>
          <w:sz w:val="20"/>
          <w:lang w:val="es-BO"/>
        </w:rPr>
        <w:sectPr w:rsidR="005A396C" w:rsidRPr="005A396C" w:rsidSect="005A396C">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pgNumType w:start="0"/>
          <w:cols w:space="720"/>
          <w:titlePg/>
          <w:docGrid w:linePitch="326"/>
        </w:sectPr>
      </w:pPr>
    </w:p>
    <w:p w:rsidR="005A396C" w:rsidRPr="0096728B" w:rsidRDefault="00D812C4" w:rsidP="005A396C">
      <w:pPr>
        <w:tabs>
          <w:tab w:val="center" w:pos="5400"/>
        </w:tabs>
        <w:suppressAutoHyphens/>
        <w:spacing w:after="0"/>
        <w:jc w:val="center"/>
        <w:rPr>
          <w:rFonts w:ascii="Cambria" w:hAnsi="Cambria"/>
          <w:b/>
          <w:sz w:val="18"/>
          <w:szCs w:val="18"/>
          <w:lang w:val="es-BO"/>
        </w:rPr>
      </w:pPr>
      <w:r>
        <w:rPr>
          <w:rFonts w:ascii="Cambria" w:hAnsi="Cambria"/>
          <w:b/>
          <w:sz w:val="18"/>
          <w:szCs w:val="18"/>
          <w:lang w:val="es-BO"/>
        </w:rPr>
        <w:lastRenderedPageBreak/>
        <w:t>INFORME No. 62</w:t>
      </w:r>
      <w:r w:rsidR="005A396C" w:rsidRPr="0096728B">
        <w:rPr>
          <w:rFonts w:ascii="Cambria" w:hAnsi="Cambria"/>
          <w:b/>
          <w:sz w:val="18"/>
          <w:szCs w:val="18"/>
          <w:lang w:val="es-BO"/>
        </w:rPr>
        <w:t>/16</w:t>
      </w:r>
      <w:r w:rsidR="005A396C" w:rsidRPr="0096728B">
        <w:rPr>
          <w:rStyle w:val="FootnoteReference"/>
          <w:rFonts w:ascii="Cambria" w:hAnsi="Cambria"/>
          <w:b/>
          <w:sz w:val="18"/>
          <w:szCs w:val="18"/>
          <w:lang w:val="es-ES_tradnl"/>
        </w:rPr>
        <w:footnoteReference w:id="1"/>
      </w:r>
    </w:p>
    <w:p w:rsidR="005A396C" w:rsidRPr="0096728B" w:rsidRDefault="005A396C" w:rsidP="005A396C">
      <w:pPr>
        <w:tabs>
          <w:tab w:val="center" w:pos="5400"/>
        </w:tabs>
        <w:suppressAutoHyphens/>
        <w:spacing w:after="0"/>
        <w:jc w:val="center"/>
        <w:rPr>
          <w:rFonts w:ascii="Cambria" w:hAnsi="Cambria"/>
          <w:b/>
          <w:sz w:val="18"/>
          <w:szCs w:val="18"/>
          <w:lang w:val="es-BO"/>
        </w:rPr>
      </w:pPr>
      <w:r w:rsidRPr="0096728B">
        <w:rPr>
          <w:rFonts w:ascii="Cambria" w:hAnsi="Cambria"/>
          <w:b/>
          <w:sz w:val="18"/>
          <w:szCs w:val="18"/>
          <w:lang w:val="es-BO"/>
        </w:rPr>
        <w:t xml:space="preserve">PETICIÓN </w:t>
      </w:r>
      <w:r w:rsidR="0022559C">
        <w:rPr>
          <w:rFonts w:ascii="Cambria" w:hAnsi="Cambria"/>
          <w:b/>
          <w:sz w:val="18"/>
          <w:szCs w:val="18"/>
          <w:lang w:val="es-BO"/>
        </w:rPr>
        <w:t>4449</w:t>
      </w:r>
      <w:r w:rsidRPr="0096728B">
        <w:rPr>
          <w:rFonts w:ascii="Cambria" w:hAnsi="Cambria"/>
          <w:b/>
          <w:sz w:val="18"/>
          <w:szCs w:val="18"/>
          <w:lang w:val="es-BO"/>
        </w:rPr>
        <w:t>-</w:t>
      </w:r>
      <w:r w:rsidR="0022559C">
        <w:rPr>
          <w:rFonts w:ascii="Cambria" w:hAnsi="Cambria"/>
          <w:b/>
          <w:sz w:val="18"/>
          <w:szCs w:val="18"/>
          <w:lang w:val="es-BO"/>
        </w:rPr>
        <w:t>02</w:t>
      </w:r>
    </w:p>
    <w:p w:rsidR="005A396C" w:rsidRPr="0096728B" w:rsidRDefault="005A396C" w:rsidP="005A396C">
      <w:pPr>
        <w:tabs>
          <w:tab w:val="center" w:pos="5400"/>
        </w:tabs>
        <w:suppressAutoHyphens/>
        <w:spacing w:after="0"/>
        <w:jc w:val="center"/>
        <w:rPr>
          <w:rFonts w:ascii="Cambria" w:hAnsi="Cambria"/>
          <w:sz w:val="18"/>
          <w:szCs w:val="18"/>
          <w:lang w:val="es-BO"/>
        </w:rPr>
      </w:pPr>
      <w:r w:rsidRPr="0096728B">
        <w:rPr>
          <w:rFonts w:ascii="Cambria" w:hAnsi="Cambria"/>
          <w:sz w:val="18"/>
          <w:szCs w:val="18"/>
          <w:lang w:val="es-BO"/>
        </w:rPr>
        <w:t>INFORME DE ADMISIBILIDAD</w:t>
      </w:r>
    </w:p>
    <w:p w:rsidR="005A396C" w:rsidRPr="0096728B" w:rsidRDefault="005A396C" w:rsidP="005A396C">
      <w:pPr>
        <w:tabs>
          <w:tab w:val="center" w:pos="5400"/>
        </w:tabs>
        <w:suppressAutoHyphens/>
        <w:spacing w:after="0"/>
        <w:jc w:val="center"/>
        <w:rPr>
          <w:rFonts w:ascii="Cambria" w:hAnsi="Cambria"/>
          <w:sz w:val="18"/>
          <w:szCs w:val="18"/>
          <w:lang w:val="es-BO"/>
        </w:rPr>
      </w:pPr>
      <w:r w:rsidRPr="0096728B">
        <w:rPr>
          <w:rFonts w:ascii="Cambria" w:hAnsi="Cambria"/>
          <w:sz w:val="18"/>
          <w:szCs w:val="18"/>
          <w:lang w:val="es-BO"/>
        </w:rPr>
        <w:t>SAULO ARBOLEDA GÓMEZ</w:t>
      </w:r>
    </w:p>
    <w:p w:rsidR="005A396C" w:rsidRDefault="005A396C" w:rsidP="005A396C">
      <w:pPr>
        <w:tabs>
          <w:tab w:val="center" w:pos="5400"/>
        </w:tabs>
        <w:suppressAutoHyphens/>
        <w:spacing w:after="0"/>
        <w:jc w:val="center"/>
        <w:rPr>
          <w:rFonts w:ascii="Cambria" w:hAnsi="Cambria"/>
          <w:sz w:val="18"/>
          <w:szCs w:val="18"/>
          <w:lang w:val="es-BO"/>
        </w:rPr>
      </w:pPr>
      <w:r w:rsidRPr="0096728B">
        <w:rPr>
          <w:rFonts w:ascii="Cambria" w:hAnsi="Cambria"/>
          <w:sz w:val="18"/>
          <w:szCs w:val="18"/>
          <w:lang w:val="es-BO"/>
        </w:rPr>
        <w:t>COLOMBIA</w:t>
      </w:r>
    </w:p>
    <w:p w:rsidR="00D812C4" w:rsidRDefault="00D812C4" w:rsidP="005A396C">
      <w:pPr>
        <w:tabs>
          <w:tab w:val="center" w:pos="5400"/>
        </w:tabs>
        <w:suppressAutoHyphens/>
        <w:spacing w:after="0"/>
        <w:jc w:val="center"/>
        <w:rPr>
          <w:rFonts w:ascii="Cambria" w:hAnsi="Cambria"/>
          <w:sz w:val="18"/>
          <w:szCs w:val="18"/>
          <w:lang w:val="es-BO"/>
        </w:rPr>
      </w:pPr>
      <w:r>
        <w:rPr>
          <w:rFonts w:ascii="Cambria" w:hAnsi="Cambria"/>
          <w:sz w:val="18"/>
          <w:szCs w:val="18"/>
          <w:lang w:val="es-BO"/>
        </w:rPr>
        <w:t>6 DE DICIEMBRE DE 2016</w:t>
      </w:r>
    </w:p>
    <w:p w:rsidR="00A53672" w:rsidRDefault="00A53672" w:rsidP="005A396C">
      <w:pPr>
        <w:tabs>
          <w:tab w:val="center" w:pos="5400"/>
        </w:tabs>
        <w:suppressAutoHyphens/>
        <w:spacing w:after="0"/>
        <w:jc w:val="center"/>
        <w:rPr>
          <w:rFonts w:ascii="Cambria" w:hAnsi="Cambria"/>
          <w:sz w:val="18"/>
          <w:szCs w:val="18"/>
          <w:lang w:val="es-BO"/>
        </w:rPr>
      </w:pPr>
    </w:p>
    <w:p w:rsidR="008206E3" w:rsidRPr="0096728B" w:rsidRDefault="008206E3" w:rsidP="005A396C">
      <w:pPr>
        <w:tabs>
          <w:tab w:val="center" w:pos="5400"/>
        </w:tabs>
        <w:suppressAutoHyphens/>
        <w:spacing w:after="0"/>
        <w:jc w:val="center"/>
        <w:rPr>
          <w:rFonts w:ascii="Cambria" w:hAnsi="Cambria"/>
          <w:sz w:val="18"/>
          <w:szCs w:val="18"/>
          <w:lang w:val="es-BO"/>
        </w:rPr>
      </w:pPr>
    </w:p>
    <w:p w:rsidR="005A396C" w:rsidRPr="00D812C4" w:rsidRDefault="005A396C" w:rsidP="005A396C">
      <w:pPr>
        <w:spacing w:after="240" w:line="240" w:lineRule="auto"/>
        <w:ind w:firstLine="720"/>
        <w:jc w:val="both"/>
        <w:rPr>
          <w:rFonts w:ascii="Cambria" w:hAnsi="Cambria"/>
          <w:b/>
          <w:bCs/>
          <w:sz w:val="20"/>
          <w:szCs w:val="20"/>
          <w:lang w:val="es-ES"/>
        </w:rPr>
      </w:pPr>
      <w:r w:rsidRPr="00D812C4">
        <w:rPr>
          <w:rFonts w:ascii="Cambria" w:hAnsi="Cambria"/>
          <w:b/>
          <w:bCs/>
          <w:sz w:val="20"/>
          <w:szCs w:val="20"/>
          <w:lang w:val="es-ES"/>
        </w:rPr>
        <w:t>I.</w:t>
      </w:r>
      <w:r w:rsidRPr="00D812C4">
        <w:rPr>
          <w:rFonts w:ascii="Cambria" w:hAnsi="Cambria"/>
          <w:b/>
          <w:bCs/>
          <w:sz w:val="20"/>
          <w:szCs w:val="20"/>
          <w:lang w:val="es-ES"/>
        </w:rPr>
        <w:tab/>
        <w:t>RESUMEN</w:t>
      </w:r>
    </w:p>
    <w:p w:rsidR="005A396C" w:rsidRPr="0096728B" w:rsidRDefault="005A396C" w:rsidP="005A396C">
      <w:pPr>
        <w:numPr>
          <w:ilvl w:val="0"/>
          <w:numId w:val="1"/>
        </w:numPr>
        <w:suppressAutoHyphens/>
        <w:spacing w:after="240" w:line="240" w:lineRule="auto"/>
        <w:jc w:val="both"/>
        <w:rPr>
          <w:rFonts w:ascii="Cambria" w:hAnsi="Cambria"/>
          <w:sz w:val="20"/>
          <w:szCs w:val="20"/>
          <w:lang w:val="es-BO"/>
        </w:rPr>
      </w:pPr>
      <w:r w:rsidRPr="0096728B">
        <w:rPr>
          <w:rFonts w:ascii="Cambria" w:hAnsi="Cambria"/>
          <w:sz w:val="20"/>
          <w:szCs w:val="20"/>
          <w:lang w:val="es-BO"/>
        </w:rPr>
        <w:t>El 5 de noviembre de 2002 la Comisión Interamericana de Derechos Humanos (en adelante, “la Comisión Interamericana”, “la Comisión” o “la CIDH”) recibió una petición presentada por Saulo Arboleda Gómez (en adelante, “</w:t>
      </w:r>
      <w:r w:rsidRPr="0096728B">
        <w:rPr>
          <w:rFonts w:ascii="Cambria" w:eastAsia="SimSun" w:hAnsi="Cambria"/>
          <w:sz w:val="20"/>
          <w:szCs w:val="20"/>
          <w:lang w:val="es-BO"/>
        </w:rPr>
        <w:t>el peticionario</w:t>
      </w:r>
      <w:r w:rsidRPr="0096728B">
        <w:rPr>
          <w:rFonts w:ascii="Cambria" w:hAnsi="Cambria"/>
          <w:sz w:val="20"/>
          <w:szCs w:val="20"/>
          <w:lang w:val="es-BO"/>
        </w:rPr>
        <w:t xml:space="preserve">” o “la presunta víctima”) contra la República de </w:t>
      </w:r>
      <w:r w:rsidRPr="0096728B">
        <w:rPr>
          <w:rFonts w:ascii="Cambria" w:hAnsi="Cambria"/>
          <w:bCs/>
          <w:sz w:val="20"/>
          <w:szCs w:val="20"/>
          <w:lang w:val="es-BO"/>
        </w:rPr>
        <w:t>Colombia</w:t>
      </w:r>
      <w:r w:rsidRPr="0096728B">
        <w:rPr>
          <w:rFonts w:ascii="Cambria" w:hAnsi="Cambria"/>
          <w:sz w:val="20"/>
          <w:szCs w:val="20"/>
          <w:lang w:val="es-BO"/>
        </w:rPr>
        <w:t xml:space="preserve"> (en adelante, “</w:t>
      </w:r>
      <w:r w:rsidRPr="0096728B">
        <w:rPr>
          <w:rFonts w:ascii="Cambria" w:hAnsi="Cambria"/>
          <w:bCs/>
          <w:sz w:val="20"/>
          <w:szCs w:val="20"/>
          <w:lang w:val="es-BO"/>
        </w:rPr>
        <w:t>Colombia</w:t>
      </w:r>
      <w:r w:rsidRPr="0096728B">
        <w:rPr>
          <w:rFonts w:ascii="Cambria" w:hAnsi="Cambria"/>
          <w:sz w:val="20"/>
          <w:szCs w:val="20"/>
          <w:lang w:val="es-BO"/>
        </w:rPr>
        <w:t>” o “el Estado”)</w:t>
      </w:r>
      <w:r w:rsidR="002C6DB4">
        <w:rPr>
          <w:rFonts w:ascii="Cambria" w:hAnsi="Cambria"/>
          <w:sz w:val="20"/>
          <w:szCs w:val="20"/>
          <w:lang w:val="es-BO"/>
        </w:rPr>
        <w:t>, en la cual alega la violación de</w:t>
      </w:r>
      <w:r w:rsidR="00F24508">
        <w:rPr>
          <w:rFonts w:ascii="Cambria" w:hAnsi="Cambria"/>
          <w:sz w:val="20"/>
          <w:szCs w:val="20"/>
          <w:lang w:val="es-BO"/>
        </w:rPr>
        <w:t xml:space="preserve"> sus garantías judiciales en el marco del proceso penal llevado a cabo en su contra</w:t>
      </w:r>
      <w:r w:rsidRPr="0096728B">
        <w:rPr>
          <w:rFonts w:ascii="Cambria" w:hAnsi="Cambria"/>
          <w:sz w:val="20"/>
          <w:szCs w:val="20"/>
          <w:lang w:val="es-BO"/>
        </w:rPr>
        <w:t xml:space="preserve">. </w:t>
      </w:r>
    </w:p>
    <w:p w:rsidR="005A396C" w:rsidRPr="0096728B" w:rsidRDefault="005A396C" w:rsidP="005A396C">
      <w:pPr>
        <w:numPr>
          <w:ilvl w:val="0"/>
          <w:numId w:val="1"/>
        </w:numPr>
        <w:suppressAutoHyphens/>
        <w:spacing w:after="240" w:line="240" w:lineRule="auto"/>
        <w:jc w:val="both"/>
        <w:rPr>
          <w:rFonts w:ascii="Cambria" w:hAnsi="Cambria"/>
          <w:sz w:val="20"/>
          <w:szCs w:val="20"/>
          <w:lang w:val="es-BO"/>
        </w:rPr>
      </w:pPr>
      <w:r w:rsidRPr="0096728B">
        <w:rPr>
          <w:rFonts w:ascii="Cambria" w:hAnsi="Cambria"/>
          <w:sz w:val="20"/>
          <w:szCs w:val="20"/>
          <w:lang w:val="es-BO"/>
        </w:rPr>
        <w:t>El peticionario sostiene</w:t>
      </w:r>
      <w:r w:rsidRPr="0096728B">
        <w:rPr>
          <w:rFonts w:ascii="Cambria" w:eastAsia="SimSun" w:hAnsi="Cambria"/>
          <w:sz w:val="20"/>
          <w:szCs w:val="20"/>
          <w:lang w:val="es-BO"/>
        </w:rPr>
        <w:t xml:space="preserve"> que fue investigado y condenado penalmente,</w:t>
      </w:r>
      <w:r w:rsidRPr="0096728B">
        <w:rPr>
          <w:rFonts w:ascii="Cambria" w:hAnsi="Cambria" w:cs="Arial"/>
          <w:sz w:val="20"/>
          <w:szCs w:val="20"/>
          <w:lang w:val="es-BO"/>
        </w:rPr>
        <w:t xml:space="preserve"> producto de la difusión de unas grabaciones ilícitas </w:t>
      </w:r>
      <w:r w:rsidR="001A09E1">
        <w:rPr>
          <w:rFonts w:ascii="Cambria" w:hAnsi="Cambria" w:cs="Arial"/>
          <w:sz w:val="20"/>
          <w:szCs w:val="20"/>
          <w:lang w:val="es-BO"/>
        </w:rPr>
        <w:t xml:space="preserve">en </w:t>
      </w:r>
      <w:r w:rsidRPr="0096728B">
        <w:rPr>
          <w:rFonts w:ascii="Cambria" w:hAnsi="Cambria" w:cs="Arial"/>
          <w:sz w:val="20"/>
          <w:szCs w:val="20"/>
          <w:lang w:val="es-BO"/>
        </w:rPr>
        <w:t>el año 1997, relacionadas con un proceso de adjudicación de una radio emisora que él dirigía en su condición de Ministro de Comunicaciones. Señala que dichos audios obtenidos de manera ilegal violando su derecho a la intimidad, fueron usados como prueba en su contra en un proceso que no respet</w:t>
      </w:r>
      <w:r w:rsidR="001A09E1">
        <w:rPr>
          <w:rFonts w:ascii="Cambria" w:hAnsi="Cambria" w:cs="Arial"/>
          <w:sz w:val="20"/>
          <w:szCs w:val="20"/>
          <w:lang w:val="es-BO"/>
        </w:rPr>
        <w:t>ó</w:t>
      </w:r>
      <w:r w:rsidRPr="0096728B">
        <w:rPr>
          <w:rFonts w:ascii="Cambria" w:hAnsi="Cambria" w:cs="Arial"/>
          <w:sz w:val="20"/>
          <w:szCs w:val="20"/>
          <w:lang w:val="es-BO"/>
        </w:rPr>
        <w:t xml:space="preserve"> las garantías mínimas judiciales. Indica además que debido a las disposiciones del ordenamiento jurídico colombiano, no tuvo la posibilidad de impugnar la sentencia condenatoria emitida por la Sala Penal de la Corte Suprema de Justicia, lo que determinó su juzgamiento en única instancia. La presunta víctima alega que le fueron violados sus derechos a las garantías judiciales, a la protección de la honra y de la dignidad, a la igualdad ante la ley y a la protección judicial.</w:t>
      </w:r>
    </w:p>
    <w:p w:rsidR="005A396C" w:rsidRPr="0096728B" w:rsidRDefault="005A396C" w:rsidP="005A396C">
      <w:pPr>
        <w:numPr>
          <w:ilvl w:val="0"/>
          <w:numId w:val="1"/>
        </w:numPr>
        <w:suppressAutoHyphens/>
        <w:spacing w:after="240" w:line="240" w:lineRule="auto"/>
        <w:jc w:val="both"/>
        <w:rPr>
          <w:rFonts w:ascii="Cambria" w:eastAsia="SimSun" w:hAnsi="Cambria"/>
          <w:sz w:val="20"/>
          <w:szCs w:val="20"/>
          <w:lang w:val="es-BO"/>
        </w:rPr>
      </w:pPr>
      <w:r w:rsidRPr="0096728B">
        <w:rPr>
          <w:rFonts w:ascii="Cambria" w:eastAsia="SimSun" w:hAnsi="Cambria"/>
          <w:sz w:val="20"/>
          <w:szCs w:val="20"/>
          <w:lang w:val="es-BO"/>
        </w:rPr>
        <w:t xml:space="preserve">Por su parte el Estado señala que </w:t>
      </w:r>
      <w:r w:rsidRPr="0096728B">
        <w:rPr>
          <w:rFonts w:ascii="Cambria" w:eastAsia="SimSun" w:hAnsi="Cambria"/>
          <w:sz w:val="20"/>
          <w:szCs w:val="20"/>
          <w:lang w:val="es-UY"/>
        </w:rPr>
        <w:t xml:space="preserve">en ningún momento atentó contra los derechos humanos del peticionario, pues argumenta que en todos los procesos jurisdiccionales se </w:t>
      </w:r>
      <w:r w:rsidR="000D3E9E">
        <w:rPr>
          <w:rFonts w:ascii="Cambria" w:eastAsia="SimSun" w:hAnsi="Cambria"/>
          <w:sz w:val="20"/>
          <w:szCs w:val="20"/>
          <w:lang w:val="es-UY"/>
        </w:rPr>
        <w:t>respetaron</w:t>
      </w:r>
      <w:r w:rsidRPr="0096728B">
        <w:rPr>
          <w:rFonts w:ascii="Cambria" w:eastAsia="SimSun" w:hAnsi="Cambria"/>
          <w:sz w:val="20"/>
          <w:szCs w:val="20"/>
          <w:lang w:val="es-UY"/>
        </w:rPr>
        <w:t xml:space="preserve"> sus garantías judiciales, así como la debida protección judicial. Adicionalmente, señala que la petición fue presentada de forma extemporánea y que aún existen recursos internos disponibles y adecuados que la presunta víctima no ha agotado.  </w:t>
      </w:r>
    </w:p>
    <w:p w:rsidR="005A396C" w:rsidRPr="008206E3" w:rsidRDefault="005A396C" w:rsidP="005A396C">
      <w:pPr>
        <w:numPr>
          <w:ilvl w:val="0"/>
          <w:numId w:val="1"/>
        </w:numPr>
        <w:suppressAutoHyphens/>
        <w:spacing w:after="240" w:line="240" w:lineRule="auto"/>
        <w:jc w:val="both"/>
        <w:rPr>
          <w:rFonts w:ascii="Cambria" w:hAnsi="Cambria"/>
          <w:sz w:val="20"/>
          <w:szCs w:val="20"/>
          <w:lang w:val="es-BO"/>
        </w:rPr>
      </w:pPr>
      <w:r w:rsidRPr="008206E3">
        <w:rPr>
          <w:rFonts w:ascii="Cambria" w:hAnsi="Cambria"/>
          <w:sz w:val="20"/>
          <w:szCs w:val="20"/>
          <w:lang w:val="es-BO"/>
        </w:rPr>
        <w:t>Sin prejuzgar sobre el fondo de la denuncia, tras analizar las posiciones de las partes</w:t>
      </w:r>
      <w:r w:rsidRPr="008206E3">
        <w:rPr>
          <w:rFonts w:ascii="Cambria" w:hAnsi="Cambria"/>
          <w:color w:val="FF0000"/>
          <w:sz w:val="20"/>
          <w:szCs w:val="20"/>
          <w:lang w:val="es-BO"/>
        </w:rPr>
        <w:t xml:space="preserve"> </w:t>
      </w:r>
      <w:r w:rsidRPr="008206E3">
        <w:rPr>
          <w:rFonts w:ascii="Cambria" w:hAnsi="Cambria"/>
          <w:sz w:val="20"/>
          <w:szCs w:val="20"/>
          <w:lang w:val="es-BO"/>
        </w:rPr>
        <w:t>y en cumplimiento de los requisitos previstos en los artículos 31 a 34 del Reglamento de la CIDH (en adelante “Reglamento”) y artículos 46 y 47 de la Convención Americana sobre los Derechos Humanos (en adelante, "la Convención Americana" o "la Convención"), la Comisión decide declarar la petición admisible a efectos de examinar los alegatos relativos a la presunta violación de los derechos consagrados</w:t>
      </w:r>
      <w:r w:rsidR="0022559C" w:rsidRPr="008206E3">
        <w:rPr>
          <w:rFonts w:ascii="Cambria" w:hAnsi="Cambria"/>
          <w:sz w:val="20"/>
          <w:szCs w:val="20"/>
          <w:lang w:val="es-BO"/>
        </w:rPr>
        <w:t xml:space="preserve"> en los artículos 8 (Garantías j</w:t>
      </w:r>
      <w:r w:rsidRPr="008206E3">
        <w:rPr>
          <w:rFonts w:ascii="Cambria" w:hAnsi="Cambria"/>
          <w:sz w:val="20"/>
          <w:szCs w:val="20"/>
          <w:lang w:val="es-BO"/>
        </w:rPr>
        <w:t>udiciales)</w:t>
      </w:r>
      <w:r w:rsidR="0022559C" w:rsidRPr="008206E3">
        <w:rPr>
          <w:rFonts w:ascii="Cambria" w:hAnsi="Cambria"/>
          <w:sz w:val="20"/>
          <w:szCs w:val="20"/>
          <w:lang w:val="es-BO"/>
        </w:rPr>
        <w:t xml:space="preserve">, </w:t>
      </w:r>
      <w:r w:rsidRPr="008206E3">
        <w:rPr>
          <w:rFonts w:ascii="Cambria" w:hAnsi="Cambria"/>
          <w:sz w:val="20"/>
          <w:szCs w:val="20"/>
          <w:lang w:val="es-BO"/>
        </w:rPr>
        <w:t>y 25 (Protección judicial) de la Convención</w:t>
      </w:r>
      <w:r w:rsidR="00F06431" w:rsidRPr="008206E3">
        <w:rPr>
          <w:rFonts w:ascii="Cambria" w:hAnsi="Cambria"/>
          <w:sz w:val="20"/>
          <w:szCs w:val="20"/>
          <w:lang w:val="es-BO"/>
        </w:rPr>
        <w:t xml:space="preserve"> en relación con los artículos 1.1 y 2 del mismo instrumento</w:t>
      </w:r>
      <w:r w:rsidRPr="008206E3">
        <w:rPr>
          <w:rFonts w:ascii="Cambria" w:hAnsi="Cambria"/>
          <w:sz w:val="20"/>
          <w:szCs w:val="20"/>
          <w:lang w:val="es-BO"/>
        </w:rPr>
        <w:t xml:space="preserve">. Sin embargo, la Comisión decide declarar la petición inadmisible respecto a las denuncias sobre presuntas vulneraciones a los derechos </w:t>
      </w:r>
      <w:r w:rsidR="00FA3377" w:rsidRPr="008206E3">
        <w:rPr>
          <w:rFonts w:ascii="Cambria" w:hAnsi="Cambria"/>
          <w:sz w:val="20"/>
          <w:szCs w:val="20"/>
          <w:lang w:val="es-BO"/>
        </w:rPr>
        <w:t>contenidos en los artículos</w:t>
      </w:r>
      <w:r w:rsidRPr="008206E3">
        <w:rPr>
          <w:rFonts w:ascii="Cambria" w:hAnsi="Cambria"/>
          <w:sz w:val="20"/>
          <w:szCs w:val="20"/>
          <w:lang w:val="es-BO"/>
        </w:rPr>
        <w:t xml:space="preserve"> 11 y 24 de la Convención Americana. La Comisión decide además notificar esta decisión a las partes, publicarla e incluirla en su Informe Anual para la Asamblea General de la Organización de Estados Americanos.</w:t>
      </w:r>
    </w:p>
    <w:p w:rsidR="005A396C" w:rsidRPr="0096728B" w:rsidRDefault="005A396C" w:rsidP="005A396C">
      <w:pPr>
        <w:spacing w:after="240" w:line="240" w:lineRule="auto"/>
        <w:ind w:firstLine="720"/>
        <w:jc w:val="both"/>
        <w:rPr>
          <w:rFonts w:ascii="Cambria" w:hAnsi="Cambria"/>
          <w:b/>
          <w:bCs/>
          <w:sz w:val="20"/>
          <w:szCs w:val="20"/>
        </w:rPr>
      </w:pPr>
      <w:r w:rsidRPr="0096728B">
        <w:rPr>
          <w:rFonts w:ascii="Cambria" w:hAnsi="Cambria"/>
          <w:b/>
          <w:bCs/>
          <w:sz w:val="20"/>
          <w:szCs w:val="20"/>
        </w:rPr>
        <w:t>II.</w:t>
      </w:r>
      <w:r w:rsidRPr="0096728B">
        <w:rPr>
          <w:rFonts w:ascii="Cambria" w:hAnsi="Cambria"/>
          <w:b/>
          <w:bCs/>
          <w:sz w:val="20"/>
          <w:szCs w:val="20"/>
        </w:rPr>
        <w:tab/>
        <w:t>TRÁMITE ANTE LA CIDH</w:t>
      </w:r>
    </w:p>
    <w:p w:rsidR="005A396C" w:rsidRPr="0096728B" w:rsidRDefault="005A396C" w:rsidP="005A396C">
      <w:pPr>
        <w:numPr>
          <w:ilvl w:val="0"/>
          <w:numId w:val="1"/>
        </w:numPr>
        <w:suppressAutoHyphens/>
        <w:spacing w:after="240" w:line="240" w:lineRule="auto"/>
        <w:jc w:val="both"/>
        <w:rPr>
          <w:rFonts w:ascii="Cambria" w:hAnsi="Cambria"/>
          <w:sz w:val="20"/>
          <w:szCs w:val="20"/>
          <w:lang w:val="es-BO"/>
        </w:rPr>
      </w:pPr>
      <w:r w:rsidRPr="0096728B">
        <w:rPr>
          <w:rFonts w:ascii="Cambria" w:hAnsi="Cambria"/>
          <w:sz w:val="20"/>
          <w:szCs w:val="20"/>
          <w:lang w:val="es-BO"/>
        </w:rPr>
        <w:t>La CIDH recibió la petición el 5 de noviembre de 2002. Asimismo, durante la etapa de estudio inicial recibió información adicional el 21 de julio de 2003, 22 de enero de 2004, 28 de febrero, 4 de marzo y 28 de septiembre de 2005</w:t>
      </w:r>
      <w:r w:rsidR="00C46F31">
        <w:rPr>
          <w:rFonts w:ascii="Cambria" w:hAnsi="Cambria"/>
          <w:sz w:val="20"/>
          <w:szCs w:val="20"/>
          <w:lang w:val="es-BO"/>
        </w:rPr>
        <w:t xml:space="preserve"> y</w:t>
      </w:r>
      <w:r w:rsidRPr="0096728B">
        <w:rPr>
          <w:rFonts w:ascii="Cambria" w:hAnsi="Cambria"/>
          <w:sz w:val="20"/>
          <w:szCs w:val="20"/>
          <w:lang w:val="es-BO"/>
        </w:rPr>
        <w:t xml:space="preserve"> 30 de marzo de 2007. El 20 de septiembre de 2013 la CIDH transmitió al Estado copia de las partes pertinentes de la petición y de la información adicional recibida durante la etapa de estudio inicial, otorgándole un plazo de tres meses para someter sus observaciones, con base en el artículo </w:t>
      </w:r>
      <w:r w:rsidRPr="0096728B">
        <w:rPr>
          <w:rFonts w:ascii="Cambria" w:hAnsi="Cambria"/>
          <w:sz w:val="20"/>
          <w:szCs w:val="20"/>
          <w:lang w:val="es-BO"/>
        </w:rPr>
        <w:lastRenderedPageBreak/>
        <w:t xml:space="preserve">30.3 de su Reglamento. </w:t>
      </w:r>
      <w:r w:rsidR="000D3E9E">
        <w:rPr>
          <w:rFonts w:ascii="Cambria" w:hAnsi="Cambria"/>
          <w:bCs/>
          <w:sz w:val="20"/>
          <w:szCs w:val="20"/>
          <w:lang w:val="es-PE"/>
        </w:rPr>
        <w:t>L</w:t>
      </w:r>
      <w:r w:rsidRPr="0096728B">
        <w:rPr>
          <w:rFonts w:ascii="Cambria" w:hAnsi="Cambria"/>
          <w:bCs/>
          <w:sz w:val="20"/>
          <w:szCs w:val="20"/>
          <w:lang w:val="es-PE"/>
        </w:rPr>
        <w:t xml:space="preserve">a respuesta del Estado </w:t>
      </w:r>
      <w:r w:rsidR="000D3E9E">
        <w:rPr>
          <w:rFonts w:ascii="Cambria" w:hAnsi="Cambria"/>
          <w:bCs/>
          <w:sz w:val="20"/>
          <w:szCs w:val="20"/>
          <w:lang w:val="es-PE"/>
        </w:rPr>
        <w:t xml:space="preserve">fue recibida </w:t>
      </w:r>
      <w:r w:rsidRPr="0096728B">
        <w:rPr>
          <w:rFonts w:ascii="Cambria" w:hAnsi="Cambria"/>
          <w:bCs/>
          <w:sz w:val="20"/>
          <w:szCs w:val="20"/>
          <w:lang w:val="es-PE"/>
        </w:rPr>
        <w:t>el 24 de diciembre de 2013</w:t>
      </w:r>
      <w:r w:rsidR="000D3E9E">
        <w:rPr>
          <w:rFonts w:ascii="Cambria" w:hAnsi="Cambria"/>
          <w:bCs/>
          <w:sz w:val="20"/>
          <w:szCs w:val="20"/>
          <w:lang w:val="es-PE"/>
        </w:rPr>
        <w:t xml:space="preserve"> y </w:t>
      </w:r>
      <w:r w:rsidRPr="0096728B">
        <w:rPr>
          <w:rFonts w:ascii="Cambria" w:hAnsi="Cambria"/>
          <w:color w:val="000000"/>
          <w:sz w:val="20"/>
          <w:szCs w:val="20"/>
          <w:lang w:val="es-BO"/>
        </w:rPr>
        <w:t>trasladada al peticionario.</w:t>
      </w:r>
    </w:p>
    <w:p w:rsidR="005A396C" w:rsidRPr="0096728B" w:rsidRDefault="005A396C" w:rsidP="005A396C">
      <w:pPr>
        <w:numPr>
          <w:ilvl w:val="0"/>
          <w:numId w:val="1"/>
        </w:numPr>
        <w:spacing w:after="240" w:line="240" w:lineRule="auto"/>
        <w:jc w:val="both"/>
        <w:rPr>
          <w:rFonts w:ascii="Cambria" w:hAnsi="Cambria"/>
          <w:sz w:val="20"/>
          <w:szCs w:val="20"/>
        </w:rPr>
      </w:pPr>
      <w:r w:rsidRPr="0096728B">
        <w:rPr>
          <w:rFonts w:ascii="Cambria" w:hAnsi="Cambria"/>
          <w:color w:val="000000"/>
          <w:sz w:val="20"/>
          <w:szCs w:val="20"/>
          <w:lang w:val="es-BO"/>
        </w:rPr>
        <w:t xml:space="preserve">El peticionario presentó observaciones adicionales el </w:t>
      </w:r>
      <w:r w:rsidR="00C46F31" w:rsidRPr="0096728B">
        <w:rPr>
          <w:rFonts w:ascii="Cambria" w:hAnsi="Cambria"/>
          <w:sz w:val="20"/>
          <w:szCs w:val="20"/>
          <w:lang w:val="es-BO"/>
        </w:rPr>
        <w:t>23 de septiembre de 2013</w:t>
      </w:r>
      <w:r w:rsidR="00C46F31">
        <w:rPr>
          <w:rFonts w:ascii="Cambria" w:hAnsi="Cambria"/>
          <w:sz w:val="20"/>
          <w:szCs w:val="20"/>
          <w:lang w:val="es-BO"/>
        </w:rPr>
        <w:t xml:space="preserve">; </w:t>
      </w:r>
      <w:r w:rsidRPr="0096728B">
        <w:rPr>
          <w:rFonts w:ascii="Cambria" w:hAnsi="Cambria"/>
          <w:color w:val="000000"/>
          <w:sz w:val="20"/>
          <w:szCs w:val="20"/>
          <w:lang w:val="es-BO"/>
        </w:rPr>
        <w:t>28 de abril, 2 y 25 de septiembre de 2014; 19 de marzo, 27 de abril, 12 de mayo, 8 de julio de 2015 y 14 de marzo y 19 de abril de 2016</w:t>
      </w:r>
      <w:r w:rsidRPr="0096728B">
        <w:rPr>
          <w:rFonts w:ascii="Cambria" w:hAnsi="Cambria"/>
          <w:bCs/>
          <w:sz w:val="20"/>
          <w:szCs w:val="20"/>
          <w:lang w:val="es-BO"/>
        </w:rPr>
        <w:t xml:space="preserve">. Por su parte, el Estado remitió observaciones adicionales el </w:t>
      </w:r>
      <w:r w:rsidRPr="0096728B">
        <w:rPr>
          <w:rFonts w:ascii="Cambria" w:hAnsi="Cambria"/>
          <w:sz w:val="20"/>
          <w:szCs w:val="20"/>
          <w:lang w:val="es-BO"/>
        </w:rPr>
        <w:t>23 de febrero de 2015 y el 18 de julio de 2016</w:t>
      </w:r>
      <w:r w:rsidRPr="0096728B">
        <w:rPr>
          <w:rFonts w:ascii="Cambria" w:hAnsi="Cambria"/>
          <w:bCs/>
          <w:sz w:val="20"/>
          <w:szCs w:val="20"/>
          <w:lang w:val="es-BO"/>
        </w:rPr>
        <w:t xml:space="preserve">. </w:t>
      </w:r>
      <w:r w:rsidRPr="0096728B">
        <w:rPr>
          <w:rFonts w:ascii="Cambria" w:hAnsi="Cambria"/>
          <w:bCs/>
          <w:sz w:val="20"/>
          <w:szCs w:val="20"/>
        </w:rPr>
        <w:t>Estas observaciones fueron debidamente trasladadas a la parte contraria</w:t>
      </w:r>
      <w:r w:rsidRPr="0096728B">
        <w:rPr>
          <w:rFonts w:ascii="Cambria" w:hAnsi="Cambria"/>
          <w:sz w:val="20"/>
          <w:szCs w:val="20"/>
        </w:rPr>
        <w:t>.</w:t>
      </w:r>
    </w:p>
    <w:p w:rsidR="005A396C" w:rsidRPr="0096728B" w:rsidRDefault="005A396C" w:rsidP="005A396C">
      <w:pPr>
        <w:spacing w:after="240" w:line="240" w:lineRule="auto"/>
        <w:ind w:firstLine="720"/>
        <w:jc w:val="both"/>
        <w:rPr>
          <w:rFonts w:ascii="Cambria" w:hAnsi="Cambria"/>
          <w:b/>
          <w:bCs/>
          <w:sz w:val="20"/>
          <w:szCs w:val="20"/>
        </w:rPr>
      </w:pPr>
      <w:r w:rsidRPr="0096728B">
        <w:rPr>
          <w:rFonts w:ascii="Cambria" w:hAnsi="Cambria"/>
          <w:b/>
          <w:bCs/>
          <w:sz w:val="20"/>
          <w:szCs w:val="20"/>
        </w:rPr>
        <w:t>III.</w:t>
      </w:r>
      <w:r w:rsidRPr="0096728B">
        <w:rPr>
          <w:rFonts w:ascii="Cambria" w:hAnsi="Cambria"/>
          <w:b/>
          <w:bCs/>
          <w:sz w:val="20"/>
          <w:szCs w:val="20"/>
        </w:rPr>
        <w:tab/>
        <w:t>POSICIÓN DE LAS PARTES</w:t>
      </w:r>
      <w:r w:rsidRPr="0096728B">
        <w:rPr>
          <w:rFonts w:ascii="Cambria" w:hAnsi="Cambria"/>
          <w:b/>
          <w:bCs/>
          <w:color w:val="FF0000"/>
          <w:sz w:val="20"/>
          <w:szCs w:val="20"/>
        </w:rPr>
        <w:t xml:space="preserve"> </w:t>
      </w:r>
    </w:p>
    <w:p w:rsidR="005A396C" w:rsidRPr="0096728B" w:rsidRDefault="005A396C" w:rsidP="005A396C">
      <w:pPr>
        <w:suppressAutoHyphens/>
        <w:spacing w:after="240" w:line="240" w:lineRule="auto"/>
        <w:ind w:firstLine="720"/>
        <w:jc w:val="both"/>
        <w:rPr>
          <w:rFonts w:ascii="Cambria" w:hAnsi="Cambria"/>
          <w:b/>
          <w:bCs/>
          <w:sz w:val="20"/>
          <w:szCs w:val="20"/>
          <w:lang w:val="es-BO"/>
        </w:rPr>
      </w:pPr>
      <w:r w:rsidRPr="0096728B">
        <w:rPr>
          <w:rFonts w:ascii="Cambria" w:hAnsi="Cambria"/>
          <w:b/>
          <w:bCs/>
          <w:sz w:val="20"/>
          <w:szCs w:val="20"/>
          <w:lang w:val="es-BO"/>
        </w:rPr>
        <w:t>A.</w:t>
      </w:r>
      <w:r w:rsidRPr="0096728B">
        <w:rPr>
          <w:rFonts w:ascii="Cambria" w:hAnsi="Cambria"/>
          <w:b/>
          <w:bCs/>
          <w:sz w:val="20"/>
          <w:szCs w:val="20"/>
          <w:lang w:val="es-BO"/>
        </w:rPr>
        <w:tab/>
        <w:t xml:space="preserve">Posición </w:t>
      </w:r>
      <w:r w:rsidRPr="0096728B">
        <w:rPr>
          <w:rFonts w:ascii="Cambria" w:hAnsi="Cambria"/>
          <w:b/>
          <w:sz w:val="20"/>
          <w:szCs w:val="20"/>
        </w:rPr>
        <w:t>del peticionario</w:t>
      </w:r>
    </w:p>
    <w:p w:rsidR="005A396C" w:rsidRPr="008206E3" w:rsidRDefault="005A396C" w:rsidP="005A396C">
      <w:pPr>
        <w:numPr>
          <w:ilvl w:val="0"/>
          <w:numId w:val="1"/>
        </w:numPr>
        <w:suppressAutoHyphens/>
        <w:spacing w:after="240" w:line="240" w:lineRule="auto"/>
        <w:jc w:val="both"/>
        <w:rPr>
          <w:rFonts w:ascii="Cambria" w:hAnsi="Cambria" w:cs="Arial"/>
          <w:sz w:val="20"/>
          <w:szCs w:val="20"/>
          <w:lang w:val="es-BO"/>
        </w:rPr>
      </w:pPr>
      <w:r w:rsidRPr="008206E3">
        <w:rPr>
          <w:rFonts w:ascii="Cambria" w:hAnsi="Cambria"/>
          <w:sz w:val="20"/>
          <w:szCs w:val="20"/>
          <w:lang w:val="es-BO"/>
        </w:rPr>
        <w:t>El peticionario afirma</w:t>
      </w:r>
      <w:r w:rsidRPr="008206E3">
        <w:rPr>
          <w:rFonts w:ascii="Cambria" w:hAnsi="Cambria" w:cs="Arial"/>
          <w:sz w:val="20"/>
          <w:szCs w:val="20"/>
          <w:lang w:val="es-BO"/>
        </w:rPr>
        <w:t xml:space="preserve"> que el 17 de agosto de 1997, varios medios de comunicación publicaron una 'grabación ilícita' </w:t>
      </w:r>
      <w:r w:rsidR="00F06431" w:rsidRPr="008206E3">
        <w:rPr>
          <w:rFonts w:ascii="Cambria" w:hAnsi="Cambria" w:cs="Arial"/>
          <w:sz w:val="20"/>
          <w:szCs w:val="20"/>
          <w:lang w:val="es-BO"/>
        </w:rPr>
        <w:t xml:space="preserve">obtenida por personas desconocidas </w:t>
      </w:r>
      <w:r w:rsidRPr="008206E3">
        <w:rPr>
          <w:rFonts w:ascii="Cambria" w:hAnsi="Cambria" w:cs="Arial"/>
          <w:sz w:val="20"/>
          <w:szCs w:val="20"/>
          <w:lang w:val="es-BO"/>
        </w:rPr>
        <w:t>que contenía una conversación entre la presunta víctima, entonces Ministro de Comunicaciones y Rodrigo Villamizar Alvargonzález, entonces Ministro de Minas y Energía; la cual estaba relacionada con el proceso de adjudicación de una emisora de radio. Señala que este material ilícito fue tomado como base para su procesamiento penal, pues el 20 de agosto de 1997 la Fiscalía General de la República abrió de oficio una investigación preliminar en su contra. Así, el 21 de agosto de 1998 y por ser ambos Ministros de Estado, el peticionario y Rodrigo Villamizar fueron acusados ante la Sala de Casación Penal de la Corte Suprema de Justicia (en adelante “Sala Penal”), por el delito de interés ilícito en la celebración del contrato público. Posteriormente, el 14 de mayo de 1999 la Sala Penal declaró la nulidad de lo actuado contra Rodrigo Villamizar, por considerar que éste no había actuado como Ministro en funciones sino como particular, por lo que carecía del fuero especial establecido en el artículo 235 de la Constitución Política.</w:t>
      </w:r>
    </w:p>
    <w:p w:rsidR="005A396C" w:rsidRPr="0096728B" w:rsidRDefault="005A396C" w:rsidP="005A396C">
      <w:pPr>
        <w:numPr>
          <w:ilvl w:val="0"/>
          <w:numId w:val="1"/>
        </w:numPr>
        <w:suppressAutoHyphens/>
        <w:spacing w:after="240" w:line="240" w:lineRule="auto"/>
        <w:jc w:val="both"/>
        <w:rPr>
          <w:rFonts w:ascii="Cambria" w:hAnsi="Cambria" w:cs="Arial"/>
          <w:sz w:val="20"/>
          <w:szCs w:val="20"/>
          <w:lang w:val="es-BO"/>
        </w:rPr>
      </w:pPr>
      <w:r w:rsidRPr="0096728B">
        <w:rPr>
          <w:rFonts w:ascii="Cambria" w:hAnsi="Cambria" w:cs="Arial"/>
          <w:sz w:val="20"/>
          <w:szCs w:val="20"/>
          <w:lang w:val="es-BO"/>
        </w:rPr>
        <w:t>El 25 de octubre de 2000, la Sala Penal condenó a la presunta víctima a una pena principal de 54 meses de prisión, 15 salarios mínimos legales mensuales y la inhabilitación para el ejercicio de las funciones públicas por igual tiempo al de prisión. Frente a esta situación y sin contar con la posibilidad de impugnar la sentencia condenatoria, el peticionario presentó una acción de tutela ante el Consejo Seccional de la Judicatura de Cundinamarca (en adelante “Consejo Seccional”), que fue rechazada mediante sentencia emitida el 1 de diciembre de 2000. Contra esta decisión, la presunta víctima interpuso un recurso de apelación ante el Consejo Superior de la Judicatura (en adelante “Consejo Superior”), instancia que el 1 de febrero de 2001 resolvió confirmar la resolución impugnada, negando la tutela solicitada.</w:t>
      </w:r>
    </w:p>
    <w:p w:rsidR="005A396C" w:rsidRPr="00F06431" w:rsidRDefault="005A396C" w:rsidP="005A396C">
      <w:pPr>
        <w:numPr>
          <w:ilvl w:val="0"/>
          <w:numId w:val="1"/>
        </w:numPr>
        <w:suppressAutoHyphens/>
        <w:spacing w:after="240" w:line="240" w:lineRule="auto"/>
        <w:jc w:val="both"/>
        <w:rPr>
          <w:rFonts w:ascii="Cambria" w:hAnsi="Cambria" w:cs="Arial"/>
          <w:sz w:val="20"/>
          <w:szCs w:val="20"/>
          <w:lang w:val="es-BO"/>
        </w:rPr>
      </w:pPr>
      <w:r w:rsidRPr="0096728B">
        <w:rPr>
          <w:rFonts w:ascii="Cambria" w:hAnsi="Cambria" w:cs="Arial"/>
          <w:sz w:val="20"/>
          <w:szCs w:val="20"/>
          <w:lang w:val="es-BO"/>
        </w:rPr>
        <w:t xml:space="preserve">Posteriormente, la Corte Constitucional mediante sentencia emitida el 6 de marzo de 2002, </w:t>
      </w:r>
      <w:r w:rsidRPr="00F06431">
        <w:rPr>
          <w:rFonts w:ascii="Cambria" w:hAnsi="Cambria" w:cs="Arial"/>
          <w:sz w:val="20"/>
          <w:szCs w:val="20"/>
          <w:lang w:val="es-BO"/>
        </w:rPr>
        <w:t>ratificó la decisión del Consejo Superior de la Judicatura, argumentando que la grabación de la conversación telefónica fue excluida del acervo probatorio tanto por la Fiscalía General, como por la Corte Suprema de Justicia</w:t>
      </w:r>
      <w:r w:rsidR="00AD17C9" w:rsidRPr="00F06431">
        <w:rPr>
          <w:rFonts w:ascii="Cambria" w:hAnsi="Cambria" w:cs="Arial"/>
          <w:sz w:val="20"/>
          <w:szCs w:val="20"/>
          <w:lang w:val="es-BO"/>
        </w:rPr>
        <w:t>,</w:t>
      </w:r>
      <w:r w:rsidRPr="00F06431">
        <w:rPr>
          <w:rFonts w:ascii="Cambria" w:hAnsi="Cambria" w:cs="Arial"/>
          <w:sz w:val="20"/>
          <w:szCs w:val="20"/>
          <w:lang w:val="es-BO"/>
        </w:rPr>
        <w:t xml:space="preserve"> y que las pruebas que sirvieron de fundamento a la resolución de acusación y a la sentencia condenatoria no deri</w:t>
      </w:r>
      <w:r w:rsidR="00FA3377" w:rsidRPr="00F06431">
        <w:rPr>
          <w:rFonts w:ascii="Cambria" w:hAnsi="Cambria" w:cs="Arial"/>
          <w:sz w:val="20"/>
          <w:szCs w:val="20"/>
          <w:lang w:val="es-BO"/>
        </w:rPr>
        <w:t xml:space="preserve">vaban </w:t>
      </w:r>
      <w:r w:rsidRPr="00F06431">
        <w:rPr>
          <w:rFonts w:ascii="Cambria" w:hAnsi="Cambria" w:cs="Arial"/>
          <w:sz w:val="20"/>
          <w:szCs w:val="20"/>
          <w:lang w:val="es-BO"/>
        </w:rPr>
        <w:t xml:space="preserve">de dicha grabación, sino que </w:t>
      </w:r>
      <w:r w:rsidR="00FA3377" w:rsidRPr="00F06431">
        <w:rPr>
          <w:rFonts w:ascii="Cambria" w:hAnsi="Cambria" w:cs="Arial"/>
          <w:sz w:val="20"/>
          <w:szCs w:val="20"/>
          <w:lang w:val="es-BO"/>
        </w:rPr>
        <w:t xml:space="preserve">provenían </w:t>
      </w:r>
      <w:r w:rsidRPr="00F06431">
        <w:rPr>
          <w:rFonts w:ascii="Cambria" w:hAnsi="Cambria" w:cs="Arial"/>
          <w:sz w:val="20"/>
          <w:szCs w:val="20"/>
          <w:lang w:val="es-BO"/>
        </w:rPr>
        <w:t xml:space="preserve">de fuentes separadas, independientes y autónomas. </w:t>
      </w:r>
    </w:p>
    <w:p w:rsidR="005A396C" w:rsidRPr="00F06431" w:rsidRDefault="00FD7DE0" w:rsidP="005A396C">
      <w:pPr>
        <w:numPr>
          <w:ilvl w:val="0"/>
          <w:numId w:val="1"/>
        </w:numPr>
        <w:suppressAutoHyphens/>
        <w:spacing w:after="240" w:line="240" w:lineRule="auto"/>
        <w:jc w:val="both"/>
        <w:rPr>
          <w:rFonts w:ascii="Cambria" w:hAnsi="Cambria" w:cs="Arial"/>
          <w:sz w:val="20"/>
          <w:szCs w:val="20"/>
          <w:lang w:val="es-BO"/>
        </w:rPr>
      </w:pPr>
      <w:r w:rsidRPr="00F06431">
        <w:rPr>
          <w:rFonts w:ascii="Cambria" w:hAnsi="Cambria" w:cs="Arial"/>
          <w:sz w:val="20"/>
          <w:szCs w:val="20"/>
          <w:lang w:val="es-BO"/>
        </w:rPr>
        <w:t>Por otra parte, en el marco de los procesos disciplinarios iniciados también por las grabaciones ilegales</w:t>
      </w:r>
      <w:r w:rsidR="002F07DE" w:rsidRPr="00F06431">
        <w:rPr>
          <w:rFonts w:ascii="Cambria" w:hAnsi="Cambria" w:cs="Arial"/>
          <w:sz w:val="20"/>
          <w:szCs w:val="20"/>
          <w:lang w:val="es-BO"/>
        </w:rPr>
        <w:t>,</w:t>
      </w:r>
      <w:r w:rsidR="005A396C" w:rsidRPr="00F06431">
        <w:rPr>
          <w:rFonts w:ascii="Cambria" w:hAnsi="Cambria" w:cs="Arial"/>
          <w:sz w:val="20"/>
          <w:szCs w:val="20"/>
          <w:lang w:val="es-BO"/>
        </w:rPr>
        <w:t xml:space="preserve"> la presunta víctima señala que el Tribunal Administrativo de Cundinamarca mediante sentencia de 27 de enero de 2005, anuló dos fallos emitidos e</w:t>
      </w:r>
      <w:r w:rsidR="00A74F4D" w:rsidRPr="00F06431">
        <w:rPr>
          <w:rFonts w:ascii="Cambria" w:hAnsi="Cambria" w:cs="Arial"/>
          <w:sz w:val="20"/>
          <w:szCs w:val="20"/>
          <w:lang w:val="es-BO"/>
        </w:rPr>
        <w:t>n su contra por la Procuraduría. A</w:t>
      </w:r>
      <w:r w:rsidR="005A396C" w:rsidRPr="00F06431">
        <w:rPr>
          <w:rFonts w:ascii="Cambria" w:hAnsi="Cambria" w:cs="Arial"/>
          <w:sz w:val="20"/>
          <w:szCs w:val="20"/>
          <w:lang w:val="es-BO"/>
        </w:rPr>
        <w:t xml:space="preserve"> su juicio</w:t>
      </w:r>
      <w:r w:rsidR="00AD17C9" w:rsidRPr="00F06431">
        <w:rPr>
          <w:rFonts w:ascii="Cambria" w:hAnsi="Cambria" w:cs="Arial"/>
          <w:sz w:val="20"/>
          <w:szCs w:val="20"/>
          <w:lang w:val="es-BO"/>
        </w:rPr>
        <w:t>,</w:t>
      </w:r>
      <w:r w:rsidR="005A396C" w:rsidRPr="00F06431">
        <w:rPr>
          <w:rFonts w:ascii="Cambria" w:hAnsi="Cambria" w:cs="Arial"/>
          <w:sz w:val="20"/>
          <w:szCs w:val="20"/>
          <w:lang w:val="es-BO"/>
        </w:rPr>
        <w:t xml:space="preserve"> </w:t>
      </w:r>
      <w:r w:rsidR="00A74F4D" w:rsidRPr="00F06431">
        <w:rPr>
          <w:rFonts w:ascii="Cambria" w:hAnsi="Cambria" w:cs="Arial"/>
          <w:sz w:val="20"/>
          <w:szCs w:val="20"/>
          <w:lang w:val="es-BO"/>
        </w:rPr>
        <w:t>esta anulaci</w:t>
      </w:r>
      <w:r w:rsidR="00AD17C9" w:rsidRPr="00F06431">
        <w:rPr>
          <w:rFonts w:ascii="Cambria" w:hAnsi="Cambria" w:cs="Arial"/>
          <w:sz w:val="20"/>
          <w:szCs w:val="20"/>
          <w:lang w:val="es-BO"/>
        </w:rPr>
        <w:t>ón de sanciones administrativas</w:t>
      </w:r>
      <w:r w:rsidR="00A74F4D" w:rsidRPr="00F06431">
        <w:rPr>
          <w:rFonts w:ascii="Cambria" w:hAnsi="Cambria" w:cs="Arial"/>
          <w:sz w:val="20"/>
          <w:szCs w:val="20"/>
          <w:lang w:val="es-BO"/>
        </w:rPr>
        <w:t xml:space="preserve"> es</w:t>
      </w:r>
      <w:r w:rsidR="005A396C" w:rsidRPr="00F06431">
        <w:rPr>
          <w:rFonts w:ascii="Cambria" w:hAnsi="Cambria" w:cs="Arial"/>
          <w:sz w:val="20"/>
          <w:szCs w:val="20"/>
          <w:lang w:val="es-BO"/>
        </w:rPr>
        <w:t xml:space="preserve"> una prueba más de su inocencia</w:t>
      </w:r>
      <w:r w:rsidR="00C865FA" w:rsidRPr="00F06431">
        <w:rPr>
          <w:rFonts w:ascii="Cambria" w:hAnsi="Cambria" w:cs="Arial"/>
          <w:sz w:val="20"/>
          <w:szCs w:val="20"/>
          <w:lang w:val="es-BO"/>
        </w:rPr>
        <w:t xml:space="preserve"> </w:t>
      </w:r>
      <w:r w:rsidR="00A74F4D" w:rsidRPr="00F06431">
        <w:rPr>
          <w:rFonts w:ascii="Cambria" w:hAnsi="Cambria" w:cs="Arial"/>
          <w:sz w:val="20"/>
          <w:szCs w:val="20"/>
          <w:lang w:val="es-BO"/>
        </w:rPr>
        <w:t>y demuestra que la condena penal que le fue impuesta es injusta</w:t>
      </w:r>
      <w:r w:rsidR="005A396C" w:rsidRPr="00F06431">
        <w:rPr>
          <w:rFonts w:ascii="Cambria" w:hAnsi="Cambria" w:cs="Arial"/>
          <w:sz w:val="20"/>
          <w:szCs w:val="20"/>
          <w:lang w:val="es-BO"/>
        </w:rPr>
        <w:t>.</w:t>
      </w:r>
    </w:p>
    <w:p w:rsidR="005A396C" w:rsidRPr="0096728B" w:rsidRDefault="005A396C" w:rsidP="005A396C">
      <w:pPr>
        <w:numPr>
          <w:ilvl w:val="0"/>
          <w:numId w:val="1"/>
        </w:numPr>
        <w:suppressAutoHyphens/>
        <w:spacing w:after="240" w:line="240" w:lineRule="auto"/>
        <w:jc w:val="both"/>
        <w:rPr>
          <w:rFonts w:ascii="Cambria" w:hAnsi="Cambria" w:cs="Arial"/>
          <w:sz w:val="20"/>
          <w:szCs w:val="20"/>
          <w:lang w:val="es-BO"/>
        </w:rPr>
      </w:pPr>
      <w:r w:rsidRPr="0096728B">
        <w:rPr>
          <w:rFonts w:ascii="Cambria" w:hAnsi="Cambria" w:cs="Arial"/>
          <w:sz w:val="20"/>
          <w:szCs w:val="20"/>
          <w:lang w:val="es-BO"/>
        </w:rPr>
        <w:t>Adicionalmente, la presunta víctima señala que presentó tres acciones de revisión que fueron inadmitidas, como se detalla a continuación:</w:t>
      </w:r>
    </w:p>
    <w:p w:rsidR="005A396C" w:rsidRPr="0096728B" w:rsidRDefault="005A396C" w:rsidP="005A396C">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cs="Arial"/>
          <w:sz w:val="20"/>
          <w:szCs w:val="20"/>
          <w:u w:val="single"/>
          <w:lang w:val="es-BO"/>
        </w:rPr>
      </w:pPr>
      <w:r w:rsidRPr="0096728B">
        <w:rPr>
          <w:rFonts w:cs="Arial"/>
          <w:sz w:val="20"/>
          <w:szCs w:val="20"/>
          <w:u w:val="single"/>
          <w:lang w:val="es-BO"/>
        </w:rPr>
        <w:t>Primera acción de revisión</w:t>
      </w:r>
    </w:p>
    <w:p w:rsidR="005A396C" w:rsidRPr="0096728B" w:rsidRDefault="005A396C" w:rsidP="005A396C">
      <w:pPr>
        <w:pStyle w:val="ListParagraph"/>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cs="Arial"/>
          <w:sz w:val="20"/>
          <w:szCs w:val="20"/>
          <w:lang w:val="es-BO"/>
        </w:rPr>
      </w:pPr>
      <w:r w:rsidRPr="0096728B">
        <w:rPr>
          <w:rFonts w:cs="Arial"/>
          <w:sz w:val="20"/>
          <w:szCs w:val="20"/>
          <w:lang w:val="es-BO"/>
        </w:rPr>
        <w:t xml:space="preserve">En el marco de una acción de tutela, la sentencia T-058/2006 emitida por la Corte Constitucional, anuló las actuaciones realizadas en el proceso de investigación seguido contra Rodrigo Villamizar. Según el peticionario, este aspecto se constituía en una prueba nueva que demostraba su </w:t>
      </w:r>
      <w:r w:rsidRPr="0096728B">
        <w:rPr>
          <w:rFonts w:cs="Arial"/>
          <w:sz w:val="20"/>
          <w:szCs w:val="20"/>
          <w:lang w:val="es-BO"/>
        </w:rPr>
        <w:lastRenderedPageBreak/>
        <w:t xml:space="preserve">inocencia; por ello presentó en una acción de revisión de su sentencia condenatoria, ante la Sala Penal. No obstante, la misma fue inadmitida mediante resolución de 5 de diciembre de </w:t>
      </w:r>
      <w:r w:rsidRPr="00F06431">
        <w:rPr>
          <w:rFonts w:cs="Arial"/>
          <w:sz w:val="20"/>
          <w:szCs w:val="20"/>
          <w:lang w:val="es-BO"/>
        </w:rPr>
        <w:t xml:space="preserve">2007, </w:t>
      </w:r>
      <w:r w:rsidR="00FA3377" w:rsidRPr="00F06431">
        <w:rPr>
          <w:rFonts w:cs="Arial"/>
          <w:sz w:val="20"/>
          <w:szCs w:val="20"/>
          <w:lang w:val="es-BO"/>
        </w:rPr>
        <w:t>señalando</w:t>
      </w:r>
      <w:r w:rsidRPr="00F06431">
        <w:rPr>
          <w:rFonts w:cs="Arial"/>
          <w:sz w:val="20"/>
          <w:szCs w:val="20"/>
          <w:lang w:val="es-BO"/>
        </w:rPr>
        <w:t xml:space="preserve"> que</w:t>
      </w:r>
      <w:r w:rsidRPr="0096728B">
        <w:rPr>
          <w:rFonts w:cs="Arial"/>
          <w:sz w:val="20"/>
          <w:szCs w:val="20"/>
          <w:lang w:val="es-BO"/>
        </w:rPr>
        <w:t xml:space="preserve"> dicho fallo de tutela no dio por concluida la investigación penal, ni determinó la exoneración de responsabilidad penal de Rodrigo Villamizar, sino que únicamente invalidó el trámite con el objetivo de reiniciar los procedimientos conforme a las normas internas.</w:t>
      </w:r>
    </w:p>
    <w:p w:rsidR="005A396C" w:rsidRPr="0096728B" w:rsidRDefault="005A396C" w:rsidP="005A396C">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cs="Arial"/>
          <w:sz w:val="20"/>
          <w:szCs w:val="20"/>
          <w:u w:val="single"/>
          <w:lang w:val="es-BO"/>
        </w:rPr>
      </w:pPr>
      <w:r w:rsidRPr="0096728B">
        <w:rPr>
          <w:rFonts w:cs="Arial"/>
          <w:sz w:val="20"/>
          <w:szCs w:val="20"/>
          <w:u w:val="single"/>
          <w:lang w:val="es-BO"/>
        </w:rPr>
        <w:t>Segunda acción de revisión</w:t>
      </w:r>
    </w:p>
    <w:p w:rsidR="005A396C" w:rsidRPr="00F06431" w:rsidRDefault="005A396C" w:rsidP="005A396C">
      <w:pPr>
        <w:pStyle w:val="ListParagraph"/>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cs="Arial"/>
          <w:sz w:val="20"/>
          <w:szCs w:val="20"/>
          <w:lang w:val="es-BO"/>
        </w:rPr>
      </w:pPr>
      <w:r w:rsidRPr="0096728B">
        <w:rPr>
          <w:rFonts w:cs="Arial"/>
          <w:sz w:val="20"/>
          <w:szCs w:val="20"/>
          <w:lang w:val="es-BO"/>
        </w:rPr>
        <w:t>En cumplimiento de la sentencia constitucion</w:t>
      </w:r>
      <w:r w:rsidR="00F06431">
        <w:rPr>
          <w:rFonts w:cs="Arial"/>
          <w:sz w:val="20"/>
          <w:szCs w:val="20"/>
          <w:lang w:val="es-BO"/>
        </w:rPr>
        <w:t>al citada en el punto anterior,</w:t>
      </w:r>
      <w:r w:rsidRPr="0096728B">
        <w:rPr>
          <w:rFonts w:cs="Arial"/>
          <w:sz w:val="20"/>
          <w:szCs w:val="20"/>
          <w:lang w:val="es-BO"/>
        </w:rPr>
        <w:t xml:space="preserve"> el peticionario refiere que la Fiscalía concluyó la nueva investigación penal y a través de la resolución de 21 de agosto de 2009 decidió que Rodrigo Villamizar no actuó en funciones públicas. Nuevamente, la presunta </w:t>
      </w:r>
      <w:r w:rsidRPr="00F06431">
        <w:rPr>
          <w:rFonts w:cs="Arial"/>
          <w:sz w:val="20"/>
          <w:szCs w:val="20"/>
          <w:lang w:val="es-BO"/>
        </w:rPr>
        <w:t xml:space="preserve">víctima consideró que este extremo se constituía en una prueba nueva por lo que interpuso una segunda acción de revisión ante la Sala Penal. Sin embargo, mediante Autos de 9 de marzo y 4 de mayo de 2011, se inadmitió </w:t>
      </w:r>
      <w:r w:rsidR="00FA3377" w:rsidRPr="00F06431">
        <w:rPr>
          <w:rFonts w:cs="Arial"/>
          <w:sz w:val="20"/>
          <w:szCs w:val="20"/>
          <w:lang w:val="es-BO"/>
        </w:rPr>
        <w:t xml:space="preserve">la </w:t>
      </w:r>
      <w:r w:rsidRPr="00F06431">
        <w:rPr>
          <w:rFonts w:cs="Arial"/>
          <w:sz w:val="20"/>
          <w:szCs w:val="20"/>
          <w:lang w:val="es-BO"/>
        </w:rPr>
        <w:t xml:space="preserve">solicitud por considerar que existían vicios técnicos. </w:t>
      </w:r>
    </w:p>
    <w:p w:rsidR="005A396C" w:rsidRPr="0096728B" w:rsidRDefault="005A396C" w:rsidP="005A396C">
      <w:pPr>
        <w:pStyle w:val="ListParagraph"/>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cs="Arial"/>
          <w:sz w:val="20"/>
          <w:szCs w:val="20"/>
          <w:lang w:val="es-BO"/>
        </w:rPr>
      </w:pPr>
      <w:r w:rsidRPr="0096728B">
        <w:rPr>
          <w:rFonts w:cs="Arial"/>
          <w:sz w:val="20"/>
          <w:szCs w:val="20"/>
          <w:lang w:val="es-BO"/>
        </w:rPr>
        <w:t>Cabe destacar que</w:t>
      </w:r>
      <w:r w:rsidR="00F06431">
        <w:rPr>
          <w:rFonts w:cs="Arial"/>
          <w:sz w:val="20"/>
          <w:szCs w:val="20"/>
          <w:lang w:val="es-BO"/>
        </w:rPr>
        <w:t>,</w:t>
      </w:r>
      <w:r w:rsidRPr="0096728B">
        <w:rPr>
          <w:rFonts w:cs="Arial"/>
          <w:sz w:val="20"/>
          <w:szCs w:val="20"/>
          <w:lang w:val="es-BO"/>
        </w:rPr>
        <w:t xml:space="preserve"> contra el referido auto de inadmisión, el peticionario presentó una acción de tutela por considerar que la Sala Penal violó su derecho al debido</w:t>
      </w:r>
      <w:r w:rsidR="00F06431">
        <w:rPr>
          <w:rFonts w:cs="Arial"/>
          <w:sz w:val="20"/>
          <w:szCs w:val="20"/>
          <w:lang w:val="es-BO"/>
        </w:rPr>
        <w:t xml:space="preserve"> proceso, ante Consejo Superior</w:t>
      </w:r>
      <w:r w:rsidRPr="0096728B">
        <w:rPr>
          <w:rFonts w:cs="Arial"/>
          <w:sz w:val="20"/>
          <w:szCs w:val="20"/>
          <w:lang w:val="es-BO"/>
        </w:rPr>
        <w:t xml:space="preserve"> de la Judicatura; el cual el 9 de febrero de 2012 declaró improcedente la tutela solicitada.  </w:t>
      </w:r>
    </w:p>
    <w:p w:rsidR="005A396C" w:rsidRPr="0096728B" w:rsidRDefault="005A396C" w:rsidP="005A396C">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cs="Arial"/>
          <w:sz w:val="20"/>
          <w:szCs w:val="20"/>
          <w:u w:val="single"/>
          <w:lang w:val="es-BO"/>
        </w:rPr>
      </w:pPr>
      <w:r w:rsidRPr="0096728B">
        <w:rPr>
          <w:rFonts w:cs="Arial"/>
          <w:sz w:val="20"/>
          <w:szCs w:val="20"/>
          <w:u w:val="single"/>
          <w:lang w:val="es-BO"/>
        </w:rPr>
        <w:t>Tercera acción de revisión</w:t>
      </w:r>
    </w:p>
    <w:p w:rsidR="005A396C" w:rsidRPr="0096728B" w:rsidRDefault="005A396C" w:rsidP="005A396C">
      <w:pPr>
        <w:pStyle w:val="ListParagraph"/>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cs="Arial"/>
          <w:sz w:val="20"/>
          <w:szCs w:val="20"/>
          <w:lang w:val="es-BO"/>
        </w:rPr>
      </w:pPr>
      <w:r w:rsidRPr="0096728B">
        <w:rPr>
          <w:rFonts w:cs="Arial"/>
          <w:sz w:val="20"/>
          <w:szCs w:val="20"/>
          <w:lang w:val="es-BO"/>
        </w:rPr>
        <w:t>El peticionario refiere que</w:t>
      </w:r>
      <w:r w:rsidR="0090115C">
        <w:rPr>
          <w:rFonts w:cs="Arial"/>
          <w:sz w:val="20"/>
          <w:szCs w:val="20"/>
          <w:lang w:val="es-BO"/>
        </w:rPr>
        <w:t>,</w:t>
      </w:r>
      <w:r w:rsidRPr="0096728B">
        <w:rPr>
          <w:rFonts w:cs="Arial"/>
          <w:sz w:val="20"/>
          <w:szCs w:val="20"/>
          <w:lang w:val="es-BO"/>
        </w:rPr>
        <w:t xml:space="preserve"> </w:t>
      </w:r>
      <w:r w:rsidR="0090115C">
        <w:rPr>
          <w:rFonts w:cs="Arial"/>
          <w:sz w:val="20"/>
          <w:szCs w:val="20"/>
          <w:lang w:val="es-BO"/>
        </w:rPr>
        <w:t>a raíz del argumento d</w:t>
      </w:r>
      <w:r w:rsidRPr="0096728B">
        <w:rPr>
          <w:rFonts w:cs="Arial"/>
          <w:sz w:val="20"/>
          <w:szCs w:val="20"/>
          <w:lang w:val="es-BO"/>
        </w:rPr>
        <w:t>el Estado en su respuesta a la petición presentada ante la CIDH</w:t>
      </w:r>
      <w:r w:rsidR="00E83A09">
        <w:rPr>
          <w:rFonts w:cs="Arial"/>
          <w:sz w:val="20"/>
          <w:szCs w:val="20"/>
          <w:lang w:val="es-BO"/>
        </w:rPr>
        <w:t xml:space="preserve"> indicando </w:t>
      </w:r>
      <w:r w:rsidRPr="0096728B">
        <w:rPr>
          <w:rFonts w:cs="Arial"/>
          <w:sz w:val="20"/>
          <w:szCs w:val="20"/>
          <w:lang w:val="es-BO"/>
        </w:rPr>
        <w:t>que el ordenamiento jurídico colombiano contemplaba la acción de revisión, presentó por tercera vez dicho recurso ante la Sala Penal el 16 de septiembre de 2014. No obstante, fue declarado improcedente mediante auto de 25 de mayo de 2015, que indicó que lo que se alegaba al proceso pena</w:t>
      </w:r>
      <w:r w:rsidR="0004786C">
        <w:rPr>
          <w:rFonts w:cs="Arial"/>
          <w:sz w:val="20"/>
          <w:szCs w:val="20"/>
          <w:lang w:val="es-BO"/>
        </w:rPr>
        <w:t xml:space="preserve">l no contaba como prueba nueva y además le requirió que en lo sucesivo se abstenga de instaurar otras acciones de revisión contra las mismas decisiones. </w:t>
      </w:r>
    </w:p>
    <w:p w:rsidR="005A396C" w:rsidRPr="0096728B" w:rsidRDefault="005A396C" w:rsidP="005A396C">
      <w:pPr>
        <w:pStyle w:val="ListParagraph"/>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cs="Arial"/>
          <w:sz w:val="20"/>
          <w:szCs w:val="20"/>
          <w:lang w:val="es-BO"/>
        </w:rPr>
      </w:pPr>
      <w:r w:rsidRPr="0096728B">
        <w:rPr>
          <w:rFonts w:cs="Arial"/>
          <w:sz w:val="20"/>
          <w:szCs w:val="20"/>
          <w:lang w:val="es-BO"/>
        </w:rPr>
        <w:t xml:space="preserve">Frente a esta negativa, el peticionario interpuso una acción de tutela ante las Salas Civil y Laboral de la Corte Suprema de Justicia, las cuales desestimaron su solicitud, ratificando el rechazo de la tercera acción de revisión de la sentencia condenatoria. La presunta víctima indica que tal denegación se debe a que la Corte Suprema de Justicia se considera un organismo de cierre y en consecuencia no acepta tutelas contra sus sentencias. Posteriormente, </w:t>
      </w:r>
      <w:r w:rsidR="00A53672">
        <w:rPr>
          <w:rFonts w:cs="Arial"/>
          <w:sz w:val="20"/>
          <w:szCs w:val="20"/>
          <w:lang w:val="es-BO"/>
        </w:rPr>
        <w:t xml:space="preserve">la referida acción de tutela fue </w:t>
      </w:r>
      <w:r w:rsidRPr="0096728B">
        <w:rPr>
          <w:rFonts w:cs="Arial"/>
          <w:sz w:val="20"/>
          <w:szCs w:val="20"/>
          <w:lang w:val="es-BO"/>
        </w:rPr>
        <w:t xml:space="preserve">enviada a la Corte Constitucional </w:t>
      </w:r>
      <w:r w:rsidR="00A53672">
        <w:rPr>
          <w:rFonts w:cs="Arial"/>
          <w:sz w:val="20"/>
          <w:szCs w:val="20"/>
          <w:lang w:val="es-BO"/>
        </w:rPr>
        <w:t>pero</w:t>
      </w:r>
      <w:r w:rsidRPr="0096728B">
        <w:rPr>
          <w:rFonts w:cs="Arial"/>
          <w:sz w:val="20"/>
          <w:szCs w:val="20"/>
          <w:lang w:val="es-BO"/>
        </w:rPr>
        <w:t xml:space="preserve"> no fue seleccionada </w:t>
      </w:r>
      <w:r w:rsidR="00BF52BC">
        <w:rPr>
          <w:rFonts w:cs="Arial"/>
          <w:sz w:val="20"/>
          <w:szCs w:val="20"/>
          <w:lang w:val="es-BO"/>
        </w:rPr>
        <w:t xml:space="preserve">para </w:t>
      </w:r>
      <w:r w:rsidR="002C4E36">
        <w:rPr>
          <w:rFonts w:cs="Arial"/>
          <w:sz w:val="20"/>
          <w:szCs w:val="20"/>
          <w:lang w:val="es-BO"/>
        </w:rPr>
        <w:t>ser revisada</w:t>
      </w:r>
      <w:r w:rsidR="00BF52BC">
        <w:rPr>
          <w:rFonts w:cs="Arial"/>
          <w:sz w:val="20"/>
          <w:szCs w:val="20"/>
          <w:lang w:val="es-BO"/>
        </w:rPr>
        <w:t xml:space="preserve"> </w:t>
      </w:r>
      <w:r w:rsidR="009E3A2C">
        <w:rPr>
          <w:rFonts w:cs="Arial"/>
          <w:sz w:val="20"/>
          <w:szCs w:val="20"/>
          <w:lang w:val="es-BO"/>
        </w:rPr>
        <w:t>por disposición</w:t>
      </w:r>
      <w:r w:rsidRPr="0096728B">
        <w:rPr>
          <w:rFonts w:cs="Arial"/>
          <w:sz w:val="20"/>
          <w:szCs w:val="20"/>
          <w:lang w:val="es-BO"/>
        </w:rPr>
        <w:t xml:space="preserve"> </w:t>
      </w:r>
      <w:r w:rsidR="009E3A2C">
        <w:rPr>
          <w:rFonts w:cs="Arial"/>
          <w:sz w:val="20"/>
          <w:szCs w:val="20"/>
          <w:lang w:val="es-BO"/>
        </w:rPr>
        <w:t>d</w:t>
      </w:r>
      <w:r w:rsidRPr="0096728B">
        <w:rPr>
          <w:rFonts w:cs="Arial"/>
          <w:sz w:val="20"/>
          <w:szCs w:val="20"/>
          <w:lang w:val="es-BO"/>
        </w:rPr>
        <w:t>el auto de 15 de febrero de 2016, pese a la solicitud de insistencia</w:t>
      </w:r>
      <w:r w:rsidR="00BF52BC">
        <w:rPr>
          <w:rFonts w:cs="Arial"/>
          <w:sz w:val="20"/>
          <w:szCs w:val="20"/>
          <w:lang w:val="es-BO"/>
        </w:rPr>
        <w:t xml:space="preserve"> </w:t>
      </w:r>
      <w:r w:rsidRPr="0096728B">
        <w:rPr>
          <w:rFonts w:cs="Arial"/>
          <w:sz w:val="20"/>
          <w:szCs w:val="20"/>
          <w:lang w:val="es-BO"/>
        </w:rPr>
        <w:t>presentada por dos magistrados</w:t>
      </w:r>
      <w:r w:rsidR="009E3A2C">
        <w:rPr>
          <w:rFonts w:cs="Arial"/>
          <w:sz w:val="20"/>
          <w:szCs w:val="20"/>
          <w:lang w:val="es-BO"/>
        </w:rPr>
        <w:t>, en la que manifestaban que la Corte Constitucional debía revisar el caso</w:t>
      </w:r>
      <w:r w:rsidRPr="0096728B">
        <w:rPr>
          <w:rFonts w:cs="Arial"/>
          <w:sz w:val="20"/>
          <w:szCs w:val="20"/>
          <w:lang w:val="es-BO"/>
        </w:rPr>
        <w:t>.</w:t>
      </w:r>
    </w:p>
    <w:p w:rsidR="005A396C" w:rsidRPr="0096728B" w:rsidRDefault="005A396C" w:rsidP="005A396C">
      <w:pPr>
        <w:numPr>
          <w:ilvl w:val="0"/>
          <w:numId w:val="1"/>
        </w:numPr>
        <w:suppressAutoHyphens/>
        <w:spacing w:after="240" w:line="240" w:lineRule="auto"/>
        <w:jc w:val="both"/>
        <w:rPr>
          <w:rFonts w:ascii="Cambria" w:hAnsi="Cambria" w:cs="Arial"/>
          <w:sz w:val="20"/>
          <w:szCs w:val="20"/>
          <w:lang w:val="es-BO"/>
        </w:rPr>
      </w:pPr>
      <w:r w:rsidRPr="0096728B">
        <w:rPr>
          <w:rFonts w:ascii="Cambria" w:hAnsi="Cambria" w:cs="Arial"/>
          <w:sz w:val="20"/>
          <w:szCs w:val="20"/>
          <w:lang w:val="es-BO"/>
        </w:rPr>
        <w:t xml:space="preserve">El peticionario denuncia que se violó su derecho a la intimidad, al debido proceso y a las debidas garantías judiciales por la utilización de una prueba ilícita (la grabación mencionada). Además, alega que las autoridades judiciales no valoraron correctamente las pruebas presentadas y le negaron la posibilidad de aportar otras. En relación con el derecho a la igualdad ante la ley, el peticionario manifiesta que durante los procesos penales el Estado aplicó criterios diferentes para Rodrigo Villamizar, lo que supuso un trato desigual.  </w:t>
      </w:r>
    </w:p>
    <w:p w:rsidR="005A396C" w:rsidRPr="0096728B" w:rsidRDefault="005A396C" w:rsidP="005A396C">
      <w:pPr>
        <w:numPr>
          <w:ilvl w:val="0"/>
          <w:numId w:val="1"/>
        </w:numPr>
        <w:suppressAutoHyphens/>
        <w:spacing w:after="240" w:line="240" w:lineRule="auto"/>
        <w:jc w:val="both"/>
        <w:rPr>
          <w:rFonts w:ascii="Cambria" w:hAnsi="Cambria" w:cs="Arial"/>
          <w:sz w:val="20"/>
          <w:szCs w:val="20"/>
          <w:lang w:val="es-BO"/>
        </w:rPr>
      </w:pPr>
      <w:r w:rsidRPr="0096728B">
        <w:rPr>
          <w:rFonts w:ascii="Cambria" w:hAnsi="Cambria" w:cs="Arial"/>
          <w:sz w:val="20"/>
          <w:szCs w:val="20"/>
          <w:lang w:val="es-BO"/>
        </w:rPr>
        <w:t>Finalmente, señala que en virtud de las disposiciones normativas colombianas, fue juzgado en única instancia, por lo que no pudo apelar su sentencia condenatoria.  Al respecto, indica que el artículo 235.4 de la Constitución Política, establece que la Corte Suprema juzga a los Ministros de Despacho por los hechos punibles que se les imputen y el artículo 75.2 del Código de Procedimientos Penales establece que las sentencias pronunciadas por la Sala Penal de la Corte Suprema de Justicia son irrecurribles. En consecuencia, debido a la aplicación de tales preceptos, refiere que no contó con la garantía penal de la doble instancia.</w:t>
      </w:r>
    </w:p>
    <w:p w:rsidR="005A396C" w:rsidRPr="00D812C4" w:rsidRDefault="005A396C" w:rsidP="005A396C">
      <w:pPr>
        <w:numPr>
          <w:ilvl w:val="0"/>
          <w:numId w:val="1"/>
        </w:numPr>
        <w:suppressAutoHyphens/>
        <w:spacing w:after="240" w:line="240" w:lineRule="auto"/>
        <w:jc w:val="both"/>
        <w:rPr>
          <w:rFonts w:ascii="Cambria" w:hAnsi="Cambria" w:cs="Arial"/>
          <w:sz w:val="20"/>
          <w:szCs w:val="20"/>
          <w:lang w:val="es-BO"/>
        </w:rPr>
      </w:pPr>
      <w:r w:rsidRPr="0096728B">
        <w:rPr>
          <w:rFonts w:ascii="Cambria" w:hAnsi="Cambria" w:cs="Arial"/>
          <w:sz w:val="20"/>
          <w:szCs w:val="20"/>
          <w:lang w:val="es-BO"/>
        </w:rPr>
        <w:t xml:space="preserve">Con base en lo anterior, </w:t>
      </w:r>
      <w:r w:rsidRPr="0096728B">
        <w:rPr>
          <w:rFonts w:ascii="Cambria" w:hAnsi="Cambria"/>
          <w:sz w:val="20"/>
          <w:szCs w:val="20"/>
          <w:lang w:val="es-BO"/>
        </w:rPr>
        <w:t>el peticionario alega</w:t>
      </w:r>
      <w:r w:rsidRPr="0096728B">
        <w:rPr>
          <w:rFonts w:ascii="Cambria" w:hAnsi="Cambria" w:cs="Arial"/>
          <w:sz w:val="20"/>
          <w:szCs w:val="20"/>
          <w:lang w:val="es-BO"/>
        </w:rPr>
        <w:t xml:space="preserve"> que el Estado violó </w:t>
      </w:r>
      <w:r w:rsidRPr="0096728B">
        <w:rPr>
          <w:rFonts w:ascii="Cambria" w:hAnsi="Cambria" w:cs="Arial"/>
          <w:sz w:val="20"/>
          <w:szCs w:val="20"/>
          <w:lang w:val="es-UY"/>
        </w:rPr>
        <w:t xml:space="preserve">los derechos reconocidos en los artículos </w:t>
      </w:r>
      <w:r w:rsidRPr="0096728B">
        <w:rPr>
          <w:rFonts w:ascii="Cambria" w:hAnsi="Cambria"/>
          <w:sz w:val="20"/>
          <w:szCs w:val="20"/>
          <w:lang w:val="es-UY"/>
        </w:rPr>
        <w:t>8, 11, 24 y 25</w:t>
      </w:r>
      <w:r w:rsidRPr="0096728B">
        <w:rPr>
          <w:rFonts w:ascii="Cambria" w:hAnsi="Cambria" w:cs="Arial"/>
          <w:sz w:val="20"/>
          <w:szCs w:val="20"/>
          <w:lang w:val="es-UY"/>
        </w:rPr>
        <w:t xml:space="preserve"> de la Convención Americana</w:t>
      </w:r>
      <w:r w:rsidRPr="0096728B">
        <w:rPr>
          <w:rFonts w:ascii="Cambria" w:hAnsi="Cambria" w:cs="Arial"/>
          <w:color w:val="FF0000"/>
          <w:sz w:val="20"/>
          <w:szCs w:val="20"/>
          <w:lang w:val="es-UY"/>
        </w:rPr>
        <w:t xml:space="preserve"> </w:t>
      </w:r>
      <w:r w:rsidRPr="0096728B">
        <w:rPr>
          <w:rFonts w:ascii="Cambria" w:hAnsi="Cambria" w:cs="Arial"/>
          <w:sz w:val="20"/>
          <w:szCs w:val="20"/>
          <w:lang w:val="es-UY"/>
        </w:rPr>
        <w:t>en su perjuicio</w:t>
      </w:r>
    </w:p>
    <w:p w:rsidR="00D812C4" w:rsidRPr="0096728B" w:rsidRDefault="00D812C4" w:rsidP="00D812C4">
      <w:pPr>
        <w:suppressAutoHyphens/>
        <w:spacing w:after="240" w:line="240" w:lineRule="auto"/>
        <w:ind w:left="720"/>
        <w:jc w:val="both"/>
        <w:rPr>
          <w:rFonts w:ascii="Cambria" w:hAnsi="Cambria" w:cs="Arial"/>
          <w:sz w:val="20"/>
          <w:szCs w:val="20"/>
          <w:lang w:val="es-BO"/>
        </w:rPr>
      </w:pPr>
    </w:p>
    <w:p w:rsidR="005A396C" w:rsidRPr="0096728B" w:rsidRDefault="005A396C" w:rsidP="005A396C">
      <w:pPr>
        <w:spacing w:after="240" w:line="240" w:lineRule="auto"/>
        <w:ind w:firstLine="720"/>
        <w:jc w:val="both"/>
        <w:rPr>
          <w:rFonts w:ascii="Cambria" w:hAnsi="Cambria"/>
          <w:b/>
          <w:bCs/>
          <w:sz w:val="20"/>
          <w:szCs w:val="20"/>
        </w:rPr>
      </w:pPr>
      <w:r w:rsidRPr="0096728B">
        <w:rPr>
          <w:rFonts w:ascii="Cambria" w:hAnsi="Cambria"/>
          <w:b/>
          <w:bCs/>
          <w:sz w:val="20"/>
          <w:szCs w:val="20"/>
        </w:rPr>
        <w:lastRenderedPageBreak/>
        <w:t>B.</w:t>
      </w:r>
      <w:r w:rsidRPr="0096728B">
        <w:rPr>
          <w:rFonts w:ascii="Cambria" w:hAnsi="Cambria"/>
          <w:b/>
          <w:bCs/>
          <w:sz w:val="20"/>
          <w:szCs w:val="20"/>
        </w:rPr>
        <w:tab/>
        <w:t xml:space="preserve">Posición del Estado </w:t>
      </w:r>
    </w:p>
    <w:p w:rsidR="005A396C" w:rsidRPr="0096728B" w:rsidRDefault="005A396C" w:rsidP="005A396C">
      <w:pPr>
        <w:numPr>
          <w:ilvl w:val="0"/>
          <w:numId w:val="1"/>
        </w:numPr>
        <w:spacing w:after="240" w:line="240" w:lineRule="auto"/>
        <w:jc w:val="both"/>
        <w:rPr>
          <w:rFonts w:ascii="Cambria" w:hAnsi="Cambria"/>
          <w:color w:val="FF0000"/>
          <w:sz w:val="20"/>
          <w:szCs w:val="20"/>
          <w:lang w:val="es-BO"/>
        </w:rPr>
      </w:pPr>
      <w:r w:rsidRPr="0096728B">
        <w:rPr>
          <w:rFonts w:ascii="Cambria" w:hAnsi="Cambria"/>
          <w:sz w:val="20"/>
          <w:szCs w:val="20"/>
          <w:lang w:val="es-BO"/>
        </w:rPr>
        <w:t xml:space="preserve">El Estado sostiene que la petición debe ser considerada inadmisible, pues fue presentada de manera extemporánea, excediendo el plazo de seis meses previsto por la Convención Americana. Así, señala que la sentencia de la Corte Constitucional, que confirmó el rechazo de la acción de tutela interpuesta por el peticionario, fue emitida el 6 de marzo de 2002 y la petición fue presentada el 5 de noviembre de 2002, es decir que transcurrieron ocho meses entre la última decisión judicial y la petición ante la CIDH. </w:t>
      </w:r>
    </w:p>
    <w:p w:rsidR="005A396C" w:rsidRPr="0096728B" w:rsidRDefault="005A396C" w:rsidP="005A396C">
      <w:pPr>
        <w:numPr>
          <w:ilvl w:val="0"/>
          <w:numId w:val="1"/>
        </w:numPr>
        <w:spacing w:after="240" w:line="240" w:lineRule="auto"/>
        <w:jc w:val="both"/>
        <w:rPr>
          <w:rFonts w:ascii="Cambria" w:hAnsi="Cambria"/>
          <w:sz w:val="20"/>
          <w:szCs w:val="20"/>
          <w:lang w:val="es-UY"/>
        </w:rPr>
      </w:pPr>
      <w:r w:rsidRPr="0096728B">
        <w:rPr>
          <w:rFonts w:ascii="Cambria" w:hAnsi="Cambria"/>
          <w:sz w:val="20"/>
          <w:szCs w:val="20"/>
          <w:lang w:val="es-UY"/>
        </w:rPr>
        <w:t xml:space="preserve">Por otra parte, el Estado afirma que los hechos expuestos por el peticionario no caracterizan violaciones a la Convención, ya que a su juicio éste pretende la revisión de un fallo judicial únicamente por no estar conforme a sus intereses. A su vez, en relación a la publicación de las grabaciones que contenían las conversaciones sostenidas entre el ex Ministro Saulo Arboleda y el ex Ministro Rodrigo Villamizar; Colombia refiere que en el marco del proceso penal contra el peticionario, dichas pruebas fueron excluidas de manera expresa y sostiene que las autoridades judiciales basaron sus decisiones en hechos distintos a esa información obtenida ilícitamente.  </w:t>
      </w:r>
    </w:p>
    <w:p w:rsidR="005A396C" w:rsidRPr="0096728B" w:rsidRDefault="005A396C" w:rsidP="005A396C">
      <w:pPr>
        <w:numPr>
          <w:ilvl w:val="0"/>
          <w:numId w:val="1"/>
        </w:numPr>
        <w:spacing w:after="240" w:line="240" w:lineRule="auto"/>
        <w:jc w:val="both"/>
        <w:rPr>
          <w:rFonts w:ascii="Cambria" w:hAnsi="Cambria"/>
          <w:color w:val="FF0000"/>
          <w:sz w:val="20"/>
          <w:szCs w:val="20"/>
          <w:lang w:val="es-BO"/>
        </w:rPr>
      </w:pPr>
      <w:r w:rsidRPr="0096728B">
        <w:rPr>
          <w:rFonts w:ascii="Cambria" w:hAnsi="Cambria"/>
          <w:sz w:val="20"/>
          <w:szCs w:val="20"/>
          <w:lang w:val="es-BO"/>
        </w:rPr>
        <w:t>Asimismo, el Estado señal</w:t>
      </w:r>
      <w:r w:rsidR="00295DFD">
        <w:rPr>
          <w:rFonts w:ascii="Cambria" w:hAnsi="Cambria"/>
          <w:sz w:val="20"/>
          <w:szCs w:val="20"/>
          <w:lang w:val="es-BO"/>
        </w:rPr>
        <w:t>ó</w:t>
      </w:r>
      <w:r w:rsidR="001F2DD5">
        <w:rPr>
          <w:rFonts w:ascii="Cambria" w:hAnsi="Cambria"/>
          <w:sz w:val="20"/>
          <w:szCs w:val="20"/>
          <w:lang w:val="es-BO"/>
        </w:rPr>
        <w:t>,</w:t>
      </w:r>
      <w:r w:rsidRPr="0096728B">
        <w:rPr>
          <w:rFonts w:ascii="Cambria" w:hAnsi="Cambria"/>
          <w:sz w:val="20"/>
          <w:szCs w:val="20"/>
          <w:lang w:val="es-BO"/>
        </w:rPr>
        <w:t xml:space="preserve"> en relación al planteamiento del peticionario referido a la existencia de nuevas pruebas para que su proceso penal sea revisado, </w:t>
      </w:r>
      <w:r w:rsidR="001F2DD5">
        <w:rPr>
          <w:rFonts w:ascii="Cambria" w:hAnsi="Cambria"/>
          <w:sz w:val="20"/>
          <w:szCs w:val="20"/>
          <w:lang w:val="es-BO"/>
        </w:rPr>
        <w:t xml:space="preserve">que </w:t>
      </w:r>
      <w:r w:rsidRPr="0096728B">
        <w:rPr>
          <w:rFonts w:ascii="Cambria" w:hAnsi="Cambria"/>
          <w:sz w:val="20"/>
          <w:szCs w:val="20"/>
          <w:lang w:val="es-BO"/>
        </w:rPr>
        <w:t xml:space="preserve">éste </w:t>
      </w:r>
      <w:r w:rsidR="00295DFD">
        <w:rPr>
          <w:rFonts w:ascii="Cambria" w:hAnsi="Cambria"/>
          <w:sz w:val="20"/>
          <w:szCs w:val="20"/>
          <w:lang w:val="es-BO"/>
        </w:rPr>
        <w:t xml:space="preserve">contaba </w:t>
      </w:r>
      <w:r w:rsidRPr="0096728B">
        <w:rPr>
          <w:rFonts w:ascii="Cambria" w:hAnsi="Cambria"/>
          <w:sz w:val="20"/>
          <w:szCs w:val="20"/>
          <w:lang w:val="es-BO"/>
        </w:rPr>
        <w:t>con la acción de revisión, que es un mecanismo previsto en la jurisdicción nacional adecuado y que tiene vocación de efectividad para dar solución a la situación jurídica que plantea En consecuencia, aleg</w:t>
      </w:r>
      <w:r w:rsidR="00295DFD">
        <w:rPr>
          <w:rFonts w:ascii="Cambria" w:hAnsi="Cambria"/>
          <w:sz w:val="20"/>
          <w:szCs w:val="20"/>
          <w:lang w:val="es-BO"/>
        </w:rPr>
        <w:t>ó</w:t>
      </w:r>
      <w:r w:rsidRPr="0096728B">
        <w:rPr>
          <w:rFonts w:ascii="Cambria" w:hAnsi="Cambria"/>
          <w:sz w:val="20"/>
          <w:szCs w:val="20"/>
          <w:lang w:val="es-BO"/>
        </w:rPr>
        <w:t xml:space="preserve"> que se configura</w:t>
      </w:r>
      <w:r w:rsidR="00295DFD">
        <w:rPr>
          <w:rFonts w:ascii="Cambria" w:hAnsi="Cambria"/>
          <w:sz w:val="20"/>
          <w:szCs w:val="20"/>
          <w:lang w:val="es-BO"/>
        </w:rPr>
        <w:t>ba</w:t>
      </w:r>
      <w:r w:rsidRPr="0096728B">
        <w:rPr>
          <w:rFonts w:ascii="Cambria" w:hAnsi="Cambria"/>
          <w:sz w:val="20"/>
          <w:szCs w:val="20"/>
          <w:lang w:val="es-BO"/>
        </w:rPr>
        <w:t xml:space="preserve"> la causal de falta de agotamiento de recursos internos. </w:t>
      </w:r>
    </w:p>
    <w:p w:rsidR="005A396C" w:rsidRPr="0096728B" w:rsidRDefault="005A396C" w:rsidP="005A396C">
      <w:pPr>
        <w:numPr>
          <w:ilvl w:val="0"/>
          <w:numId w:val="1"/>
        </w:numPr>
        <w:spacing w:after="240" w:line="240" w:lineRule="auto"/>
        <w:jc w:val="both"/>
        <w:rPr>
          <w:rFonts w:ascii="Cambria" w:hAnsi="Cambria"/>
          <w:color w:val="FF0000"/>
          <w:sz w:val="20"/>
          <w:szCs w:val="20"/>
          <w:lang w:val="es-BO"/>
        </w:rPr>
      </w:pPr>
      <w:r w:rsidRPr="0096728B">
        <w:rPr>
          <w:rFonts w:ascii="Cambria" w:hAnsi="Cambria"/>
          <w:sz w:val="20"/>
          <w:szCs w:val="20"/>
          <w:lang w:val="es-BO"/>
        </w:rPr>
        <w:t xml:space="preserve">Finalmente, </w:t>
      </w:r>
      <w:r w:rsidRPr="0096728B">
        <w:rPr>
          <w:rFonts w:ascii="Cambria" w:hAnsi="Cambria"/>
          <w:sz w:val="20"/>
          <w:szCs w:val="20"/>
          <w:lang w:val="es-UY"/>
        </w:rPr>
        <w:t>argumenta</w:t>
      </w:r>
      <w:r w:rsidRPr="0096728B">
        <w:rPr>
          <w:rFonts w:ascii="Cambria" w:hAnsi="Cambria"/>
          <w:sz w:val="20"/>
          <w:szCs w:val="20"/>
          <w:lang w:val="es-BO"/>
        </w:rPr>
        <w:t xml:space="preserve"> que la CIDH no es un tribunal de alzada que tenga la facultad de revisar sentencias tomadas conforme a derecho por las jurisdicciones internas y en cumplimiento de las garantías del debido proceso. De esta manera, sostiene que de hacerlo intervendría como una “cuarta instancia”, aspecto que también determina la inadmisibilidad de la petición.  </w:t>
      </w:r>
    </w:p>
    <w:p w:rsidR="005A396C" w:rsidRPr="0096728B" w:rsidRDefault="005A396C" w:rsidP="005A396C">
      <w:pPr>
        <w:spacing w:after="240" w:line="240" w:lineRule="auto"/>
        <w:ind w:firstLine="720"/>
        <w:jc w:val="both"/>
        <w:rPr>
          <w:rFonts w:ascii="Cambria" w:hAnsi="Cambria"/>
          <w:b/>
          <w:bCs/>
          <w:sz w:val="20"/>
          <w:szCs w:val="20"/>
          <w:lang w:val="es-BO"/>
        </w:rPr>
      </w:pPr>
      <w:r w:rsidRPr="0096728B">
        <w:rPr>
          <w:rFonts w:ascii="Cambria" w:hAnsi="Cambria"/>
          <w:b/>
          <w:bCs/>
          <w:sz w:val="20"/>
          <w:szCs w:val="20"/>
          <w:lang w:val="es-BO"/>
        </w:rPr>
        <w:t>IV.</w:t>
      </w:r>
      <w:r w:rsidRPr="0096728B">
        <w:rPr>
          <w:rFonts w:ascii="Cambria" w:hAnsi="Cambria"/>
          <w:b/>
          <w:bCs/>
          <w:sz w:val="20"/>
          <w:szCs w:val="20"/>
          <w:lang w:val="es-BO"/>
        </w:rPr>
        <w:tab/>
        <w:t>ANÁLISIS SOBRE COMPETENCIA Y ADMISIBILIDAD</w:t>
      </w:r>
    </w:p>
    <w:p w:rsidR="005A396C" w:rsidRPr="0096728B" w:rsidRDefault="005A396C" w:rsidP="005A396C">
      <w:pPr>
        <w:spacing w:after="240" w:line="240" w:lineRule="auto"/>
        <w:ind w:firstLine="720"/>
        <w:jc w:val="both"/>
        <w:rPr>
          <w:rFonts w:ascii="Cambria" w:hAnsi="Cambria"/>
          <w:sz w:val="20"/>
          <w:szCs w:val="20"/>
        </w:rPr>
      </w:pPr>
      <w:r w:rsidRPr="0096728B">
        <w:rPr>
          <w:rFonts w:ascii="Cambria" w:hAnsi="Cambria"/>
          <w:b/>
          <w:bCs/>
          <w:sz w:val="20"/>
          <w:szCs w:val="20"/>
        </w:rPr>
        <w:t>A.</w:t>
      </w:r>
      <w:r w:rsidRPr="0096728B">
        <w:rPr>
          <w:rFonts w:ascii="Cambria" w:hAnsi="Cambria"/>
          <w:b/>
          <w:bCs/>
          <w:sz w:val="20"/>
          <w:szCs w:val="20"/>
        </w:rPr>
        <w:tab/>
        <w:t xml:space="preserve">Competencia </w:t>
      </w:r>
    </w:p>
    <w:p w:rsidR="005A396C" w:rsidRPr="0096728B" w:rsidRDefault="005A396C" w:rsidP="005A396C">
      <w:pPr>
        <w:pStyle w:val="BodyText"/>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eastAsia="SimSun" w:hAnsi="Cambria"/>
          <w:sz w:val="20"/>
          <w:szCs w:val="20"/>
        </w:rPr>
      </w:pPr>
      <w:r w:rsidRPr="0096728B">
        <w:rPr>
          <w:rFonts w:ascii="Cambria" w:eastAsia="SimSun" w:hAnsi="Cambria"/>
          <w:sz w:val="20"/>
          <w:szCs w:val="20"/>
        </w:rPr>
        <w:t>El peticionario se encuentra facultado, en principio, por los artículos 23 del Reglamento y 44 de la Convención Americana</w:t>
      </w:r>
      <w:r w:rsidRPr="0096728B">
        <w:rPr>
          <w:rFonts w:ascii="Cambria" w:eastAsia="SimSun" w:hAnsi="Cambria"/>
          <w:color w:val="FF0000"/>
          <w:sz w:val="20"/>
          <w:szCs w:val="20"/>
        </w:rPr>
        <w:t xml:space="preserve"> </w:t>
      </w:r>
      <w:r w:rsidRPr="0096728B">
        <w:rPr>
          <w:rFonts w:ascii="Cambria" w:eastAsia="SimSun" w:hAnsi="Cambria"/>
          <w:sz w:val="20"/>
          <w:szCs w:val="20"/>
        </w:rPr>
        <w:t xml:space="preserve">para presentar peticiones ante la Comisión. La petición señala </w:t>
      </w:r>
      <w:r w:rsidRPr="0096728B">
        <w:rPr>
          <w:rFonts w:ascii="Cambria" w:eastAsia="SimSun" w:hAnsi="Cambria"/>
          <w:sz w:val="20"/>
          <w:szCs w:val="20"/>
          <w:lang w:val="es-UY"/>
        </w:rPr>
        <w:t>como presunta víctima a una persona individual, respecto de quien el Estado se comprometió a respetar y garantizar los derechos consagrados e</w:t>
      </w:r>
      <w:r w:rsidRPr="0096728B">
        <w:rPr>
          <w:rFonts w:ascii="Cambria" w:eastAsia="SimSun" w:hAnsi="Cambria"/>
          <w:sz w:val="20"/>
          <w:szCs w:val="20"/>
        </w:rPr>
        <w:t xml:space="preserve">n </w:t>
      </w:r>
      <w:r w:rsidRPr="0096728B">
        <w:rPr>
          <w:rFonts w:ascii="Cambria" w:hAnsi="Cambria"/>
          <w:sz w:val="20"/>
          <w:szCs w:val="20"/>
        </w:rPr>
        <w:t>la Convención Americana</w:t>
      </w:r>
      <w:r w:rsidRPr="0096728B">
        <w:rPr>
          <w:rFonts w:ascii="Cambria" w:eastAsia="SimSun" w:hAnsi="Cambria"/>
          <w:sz w:val="20"/>
          <w:szCs w:val="20"/>
        </w:rPr>
        <w:t xml:space="preserve"> </w:t>
      </w:r>
      <w:r w:rsidRPr="0096728B">
        <w:rPr>
          <w:rFonts w:ascii="Cambria" w:eastAsia="SimSun" w:hAnsi="Cambria"/>
          <w:sz w:val="20"/>
          <w:szCs w:val="20"/>
          <w:lang w:val="es-BO"/>
        </w:rPr>
        <w:t xml:space="preserve">a partir del </w:t>
      </w:r>
      <w:r w:rsidRPr="0096728B">
        <w:rPr>
          <w:rFonts w:ascii="Cambria" w:hAnsi="Cambria"/>
          <w:sz w:val="20"/>
          <w:szCs w:val="20"/>
        </w:rPr>
        <w:t>31 de julio de 1973</w:t>
      </w:r>
      <w:r w:rsidRPr="0096728B">
        <w:rPr>
          <w:rFonts w:ascii="Cambria" w:eastAsia="SimSun" w:hAnsi="Cambria"/>
          <w:sz w:val="20"/>
          <w:szCs w:val="20"/>
          <w:lang w:val="es-BO"/>
        </w:rPr>
        <w:t xml:space="preserve">, </w:t>
      </w:r>
      <w:r w:rsidRPr="0096728B">
        <w:rPr>
          <w:rFonts w:ascii="Cambria" w:hAnsi="Cambria"/>
          <w:sz w:val="20"/>
          <w:szCs w:val="20"/>
        </w:rPr>
        <w:t>la fecha</w:t>
      </w:r>
      <w:r w:rsidRPr="0096728B">
        <w:rPr>
          <w:rFonts w:ascii="Cambria" w:eastAsia="SimSun" w:hAnsi="Cambria"/>
          <w:sz w:val="20"/>
          <w:szCs w:val="20"/>
          <w:lang w:val="es-BO"/>
        </w:rPr>
        <w:t xml:space="preserve"> </w:t>
      </w:r>
      <w:r w:rsidRPr="0096728B">
        <w:rPr>
          <w:rFonts w:ascii="Cambria" w:eastAsia="SimSun" w:hAnsi="Cambria"/>
          <w:sz w:val="20"/>
          <w:szCs w:val="20"/>
        </w:rPr>
        <w:t xml:space="preserve">en que depositó su instrumento de ratificación. </w:t>
      </w:r>
      <w:r w:rsidRPr="0096728B">
        <w:rPr>
          <w:rFonts w:ascii="Cambria" w:eastAsia="SimSun" w:hAnsi="Cambria"/>
          <w:sz w:val="20"/>
          <w:szCs w:val="20"/>
          <w:lang w:val="es-UY"/>
        </w:rPr>
        <w:t xml:space="preserve">Por lo tanto, la Comisión tiene competencia </w:t>
      </w:r>
      <w:r w:rsidRPr="0096728B">
        <w:rPr>
          <w:rFonts w:ascii="Cambria" w:eastAsia="SimSun" w:hAnsi="Cambria"/>
          <w:i/>
          <w:sz w:val="20"/>
          <w:szCs w:val="20"/>
          <w:lang w:val="es-UY"/>
        </w:rPr>
        <w:t>ratione personae</w:t>
      </w:r>
      <w:r w:rsidRPr="0096728B">
        <w:rPr>
          <w:rFonts w:ascii="Cambria" w:eastAsia="SimSun" w:hAnsi="Cambria"/>
          <w:sz w:val="20"/>
          <w:szCs w:val="20"/>
          <w:lang w:val="es-UY"/>
        </w:rPr>
        <w:t xml:space="preserve"> para examinar la petición. </w:t>
      </w:r>
    </w:p>
    <w:p w:rsidR="005A396C" w:rsidRPr="00F06431" w:rsidRDefault="005A396C" w:rsidP="005A396C">
      <w:pPr>
        <w:pStyle w:val="BodyText"/>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eastAsia="SimSun" w:hAnsi="Cambria"/>
          <w:sz w:val="20"/>
          <w:szCs w:val="20"/>
        </w:rPr>
      </w:pPr>
      <w:r w:rsidRPr="00F06431">
        <w:rPr>
          <w:rFonts w:ascii="Cambria" w:eastAsia="SimSun" w:hAnsi="Cambria"/>
          <w:sz w:val="20"/>
          <w:szCs w:val="20"/>
        </w:rPr>
        <w:t xml:space="preserve">La Comisión posee competencia </w:t>
      </w:r>
      <w:r w:rsidRPr="00F06431">
        <w:rPr>
          <w:rFonts w:ascii="Cambria" w:eastAsia="SimSun" w:hAnsi="Cambria"/>
          <w:i/>
          <w:sz w:val="20"/>
          <w:szCs w:val="20"/>
        </w:rPr>
        <w:t>ratione loci</w:t>
      </w:r>
      <w:r w:rsidRPr="00F06431">
        <w:rPr>
          <w:rFonts w:ascii="Cambria" w:eastAsia="SimSun" w:hAnsi="Cambria"/>
          <w:sz w:val="20"/>
          <w:szCs w:val="20"/>
        </w:rPr>
        <w:t xml:space="preserve"> para considerar la petición por hechos qu</w:t>
      </w:r>
      <w:r w:rsidR="00FA3377" w:rsidRPr="00F06431">
        <w:rPr>
          <w:rFonts w:ascii="Cambria" w:eastAsia="SimSun" w:hAnsi="Cambria"/>
          <w:sz w:val="20"/>
          <w:szCs w:val="20"/>
        </w:rPr>
        <w:t>e se alegan como ocurridos bajo</w:t>
      </w:r>
      <w:r w:rsidRPr="00F06431">
        <w:rPr>
          <w:rFonts w:ascii="Cambria" w:eastAsia="SimSun" w:hAnsi="Cambria"/>
          <w:sz w:val="20"/>
          <w:szCs w:val="20"/>
        </w:rPr>
        <w:t xml:space="preserve"> la jurisdicción de un Estado parte de la Convención Americana. La Comisión también cuenta con competencia </w:t>
      </w:r>
      <w:r w:rsidRPr="00F06431">
        <w:rPr>
          <w:rFonts w:ascii="Cambria" w:eastAsia="SimSun" w:hAnsi="Cambria"/>
          <w:i/>
          <w:sz w:val="20"/>
          <w:szCs w:val="20"/>
        </w:rPr>
        <w:t xml:space="preserve">ratione temporis </w:t>
      </w:r>
      <w:r w:rsidRPr="00F06431">
        <w:rPr>
          <w:rFonts w:ascii="Cambria" w:eastAsia="SimSun" w:hAnsi="Cambria"/>
          <w:sz w:val="20"/>
          <w:szCs w:val="20"/>
        </w:rPr>
        <w:t xml:space="preserve">para examinar esta petición bajo la Convención Americana por los hechos ocurridos con posterioridad a la ratificación de dicho tratado. Finalmente, la Comisión posee competencia </w:t>
      </w:r>
      <w:r w:rsidRPr="00F06431">
        <w:rPr>
          <w:rFonts w:ascii="Cambria" w:eastAsia="SimSun" w:hAnsi="Cambria"/>
          <w:i/>
          <w:sz w:val="20"/>
          <w:szCs w:val="20"/>
        </w:rPr>
        <w:t>ratione materiae</w:t>
      </w:r>
      <w:r w:rsidRPr="00F06431">
        <w:rPr>
          <w:rFonts w:ascii="Cambria" w:eastAsia="SimSun" w:hAnsi="Cambria"/>
          <w:sz w:val="20"/>
          <w:szCs w:val="20"/>
        </w:rPr>
        <w:t xml:space="preserve"> porque de los hechos alegados se desprenden posibles violaciones a los derechos protegidos por la Convención Americana.</w:t>
      </w:r>
    </w:p>
    <w:p w:rsidR="005A396C" w:rsidRPr="00F06431" w:rsidRDefault="005A396C" w:rsidP="005A396C">
      <w:pPr>
        <w:numPr>
          <w:ilvl w:val="0"/>
          <w:numId w:val="2"/>
        </w:numPr>
        <w:spacing w:after="240" w:line="240" w:lineRule="auto"/>
        <w:ind w:left="0" w:firstLine="720"/>
        <w:jc w:val="both"/>
        <w:rPr>
          <w:rFonts w:ascii="Cambria" w:hAnsi="Cambria"/>
          <w:b/>
          <w:sz w:val="20"/>
          <w:szCs w:val="20"/>
        </w:rPr>
      </w:pPr>
      <w:r w:rsidRPr="00F06431">
        <w:rPr>
          <w:rFonts w:ascii="Cambria" w:hAnsi="Cambria"/>
          <w:b/>
          <w:bCs/>
          <w:sz w:val="20"/>
          <w:szCs w:val="20"/>
        </w:rPr>
        <w:t xml:space="preserve">Requisitos de </w:t>
      </w:r>
      <w:r w:rsidRPr="00F06431">
        <w:rPr>
          <w:rFonts w:ascii="Cambria" w:hAnsi="Cambria"/>
          <w:b/>
          <w:sz w:val="20"/>
          <w:szCs w:val="20"/>
        </w:rPr>
        <w:t>Admisibilidad</w:t>
      </w:r>
    </w:p>
    <w:p w:rsidR="005A396C" w:rsidRPr="00F06431" w:rsidRDefault="005A396C" w:rsidP="005A396C">
      <w:pPr>
        <w:spacing w:after="240" w:line="240" w:lineRule="auto"/>
        <w:ind w:firstLine="720"/>
        <w:jc w:val="both"/>
        <w:rPr>
          <w:rFonts w:ascii="Cambria" w:hAnsi="Cambria"/>
          <w:b/>
          <w:sz w:val="20"/>
          <w:szCs w:val="20"/>
        </w:rPr>
      </w:pPr>
      <w:r w:rsidRPr="00F06431">
        <w:rPr>
          <w:rFonts w:ascii="Cambria" w:hAnsi="Cambria"/>
          <w:b/>
          <w:sz w:val="20"/>
          <w:szCs w:val="20"/>
        </w:rPr>
        <w:t>1.</w:t>
      </w:r>
      <w:r w:rsidRPr="00F06431">
        <w:rPr>
          <w:rFonts w:ascii="Cambria" w:hAnsi="Cambria"/>
          <w:b/>
          <w:sz w:val="20"/>
          <w:szCs w:val="20"/>
        </w:rPr>
        <w:tab/>
        <w:t>Agotamiento de los recursos internos</w:t>
      </w:r>
    </w:p>
    <w:p w:rsidR="005A396C" w:rsidRPr="00FA3377" w:rsidRDefault="005A396C" w:rsidP="00FA3377">
      <w:pPr>
        <w:numPr>
          <w:ilvl w:val="0"/>
          <w:numId w:val="1"/>
        </w:numPr>
        <w:suppressAutoHyphens/>
        <w:spacing w:after="240" w:line="240" w:lineRule="auto"/>
        <w:jc w:val="both"/>
        <w:rPr>
          <w:rFonts w:ascii="Cambria" w:hAnsi="Cambria"/>
          <w:sz w:val="20"/>
          <w:szCs w:val="20"/>
          <w:lang w:val="es-BO"/>
        </w:rPr>
      </w:pPr>
      <w:r w:rsidRPr="00F06431">
        <w:rPr>
          <w:rFonts w:ascii="Cambria" w:hAnsi="Cambria" w:cs="Arial"/>
          <w:sz w:val="20"/>
          <w:szCs w:val="20"/>
          <w:lang w:val="es-BO"/>
        </w:rPr>
        <w:t xml:space="preserve">Los artículos </w:t>
      </w:r>
      <w:r w:rsidR="00FA3377" w:rsidRPr="00F06431">
        <w:rPr>
          <w:rFonts w:ascii="Cambria" w:hAnsi="Cambria" w:cs="Arial"/>
          <w:sz w:val="20"/>
          <w:szCs w:val="20"/>
          <w:lang w:val="es-BO"/>
        </w:rPr>
        <w:t xml:space="preserve">46.1.a de la Convención Americana y </w:t>
      </w:r>
      <w:r w:rsidRPr="00F06431">
        <w:rPr>
          <w:rFonts w:ascii="Cambria" w:hAnsi="Cambria" w:cs="Arial"/>
          <w:sz w:val="20"/>
          <w:szCs w:val="20"/>
          <w:lang w:val="es-BO"/>
        </w:rPr>
        <w:t xml:space="preserve">31.1 del Reglamento exigen el previo agotamiento de los recursos disponibles en la jurisdicción interna conforme a los principios de derecho internacional generalmente reconocidos, como requisito para la admisión de los reclamos presentados en la petición. </w:t>
      </w:r>
      <w:r w:rsidRPr="00F06431">
        <w:rPr>
          <w:rFonts w:ascii="Cambria" w:hAnsi="Cambria"/>
          <w:sz w:val="20"/>
          <w:szCs w:val="20"/>
          <w:lang w:val="es-BO"/>
        </w:rPr>
        <w:t xml:space="preserve">Este requisito tiene como objeto permitir que las autoridades nacionales conozcan sobre la supuesta violación de un derecho protegido y, de ser apropiado, solucionen la situación antes de que sea conocida por una instancia internacional. </w:t>
      </w:r>
      <w:r w:rsidRPr="00F06431">
        <w:rPr>
          <w:rFonts w:ascii="Cambria" w:hAnsi="Cambria" w:cs="Arial"/>
          <w:sz w:val="20"/>
          <w:szCs w:val="20"/>
          <w:lang w:val="es-BO"/>
        </w:rPr>
        <w:t xml:space="preserve">Por su parte, los artículos </w:t>
      </w:r>
      <w:r w:rsidR="00FA3377" w:rsidRPr="00F06431">
        <w:rPr>
          <w:rFonts w:ascii="Cambria" w:hAnsi="Cambria" w:cs="Arial"/>
          <w:sz w:val="20"/>
          <w:szCs w:val="20"/>
          <w:lang w:val="es-BO"/>
        </w:rPr>
        <w:t xml:space="preserve">46.2 de la Convención y 31.2 del Reglamento </w:t>
      </w:r>
      <w:r w:rsidRPr="00F06431">
        <w:rPr>
          <w:rFonts w:ascii="Cambria" w:hAnsi="Cambria" w:cs="Arial"/>
          <w:sz w:val="20"/>
          <w:szCs w:val="20"/>
          <w:lang w:val="es-BO"/>
        </w:rPr>
        <w:t xml:space="preserve">prevén </w:t>
      </w:r>
      <w:r w:rsidRPr="00F06431">
        <w:rPr>
          <w:rFonts w:ascii="Cambria" w:hAnsi="Cambria" w:cs="Arial"/>
          <w:sz w:val="20"/>
          <w:szCs w:val="20"/>
          <w:lang w:val="es-BO"/>
        </w:rPr>
        <w:lastRenderedPageBreak/>
        <w:t>que el requisito de previo agotamiento de los recursos internos no resulta aplicable cuando: i) no exista en la legislación interna del Estado de que se trata el debido proceso legal para la protección del derecho o derechos que se alega han sido violados; ii) no se haya permitido al presunto lesionado en sus dere</w:t>
      </w:r>
      <w:r w:rsidRPr="0096728B">
        <w:rPr>
          <w:rFonts w:ascii="Cambria" w:hAnsi="Cambria" w:cs="Arial"/>
          <w:sz w:val="20"/>
          <w:szCs w:val="20"/>
          <w:lang w:val="es-BO"/>
        </w:rPr>
        <w:t>chos el acceso a los recursos a la jurisdicción interna, o haya sido impedido de agotarlos; o iii) haya retardo injustificado en la decisión sobre los mencionados recursos.</w:t>
      </w:r>
    </w:p>
    <w:p w:rsidR="005A396C" w:rsidRPr="00F06431" w:rsidRDefault="005A396C" w:rsidP="00BF2F23">
      <w:pPr>
        <w:numPr>
          <w:ilvl w:val="0"/>
          <w:numId w:val="1"/>
        </w:numPr>
        <w:suppressAutoHyphens/>
        <w:spacing w:after="240" w:line="240" w:lineRule="auto"/>
        <w:jc w:val="both"/>
        <w:rPr>
          <w:rFonts w:ascii="Cambria" w:hAnsi="Cambria"/>
          <w:sz w:val="20"/>
          <w:szCs w:val="20"/>
          <w:lang w:val="es-BO"/>
        </w:rPr>
      </w:pPr>
      <w:r w:rsidRPr="0096728B">
        <w:rPr>
          <w:rFonts w:ascii="Cambria" w:hAnsi="Cambria"/>
          <w:sz w:val="20"/>
          <w:szCs w:val="20"/>
          <w:lang w:val="es-BO"/>
        </w:rPr>
        <w:t>En el presente caso, el peticionario alega que</w:t>
      </w:r>
      <w:r w:rsidR="00F06431">
        <w:rPr>
          <w:rFonts w:ascii="Cambria" w:hAnsi="Cambria"/>
          <w:sz w:val="20"/>
          <w:szCs w:val="20"/>
          <w:lang w:val="es-BO"/>
        </w:rPr>
        <w:t>,</w:t>
      </w:r>
      <w:r w:rsidRPr="0096728B">
        <w:rPr>
          <w:rFonts w:ascii="Cambria" w:hAnsi="Cambria"/>
          <w:sz w:val="20"/>
          <w:szCs w:val="20"/>
          <w:lang w:val="es-BO"/>
        </w:rPr>
        <w:t xml:space="preserve"> debido a la inexistencia de la garantía de la doble instancia, no tuvo la posibilidad de apelar el fallo condenatorio de 25 de octubre de 2000 emitido en su contra por la Sala Penal. Así, argumenta que la </w:t>
      </w:r>
      <w:r w:rsidRPr="00F06431">
        <w:rPr>
          <w:rFonts w:ascii="Cambria" w:hAnsi="Cambria"/>
          <w:sz w:val="20"/>
          <w:szCs w:val="20"/>
          <w:lang w:val="es-BO"/>
        </w:rPr>
        <w:t>normativa colombiana no contempla un recurso de apelación en los proceso</w:t>
      </w:r>
      <w:r w:rsidR="001530CB" w:rsidRPr="00F06431">
        <w:rPr>
          <w:rFonts w:ascii="Cambria" w:hAnsi="Cambria"/>
          <w:sz w:val="20"/>
          <w:szCs w:val="20"/>
          <w:lang w:val="es-BO"/>
        </w:rPr>
        <w:t>s</w:t>
      </w:r>
      <w:r w:rsidRPr="00F06431">
        <w:rPr>
          <w:rFonts w:ascii="Cambria" w:hAnsi="Cambria"/>
          <w:sz w:val="20"/>
          <w:szCs w:val="20"/>
          <w:lang w:val="es-BO"/>
        </w:rPr>
        <w:t xml:space="preserve"> de juzgamiento de </w:t>
      </w:r>
      <w:r w:rsidR="002C3A8E" w:rsidRPr="00F06431">
        <w:rPr>
          <w:rFonts w:ascii="Cambria" w:hAnsi="Cambria"/>
          <w:sz w:val="20"/>
          <w:szCs w:val="20"/>
          <w:lang w:val="es-BO"/>
        </w:rPr>
        <w:t>a</w:t>
      </w:r>
      <w:r w:rsidRPr="00F06431">
        <w:rPr>
          <w:rFonts w:ascii="Cambria" w:hAnsi="Cambria"/>
          <w:sz w:val="20"/>
          <w:szCs w:val="20"/>
          <w:lang w:val="es-BO"/>
        </w:rPr>
        <w:t xml:space="preserve">ltas </w:t>
      </w:r>
      <w:r w:rsidR="002C3A8E" w:rsidRPr="00F06431">
        <w:rPr>
          <w:rFonts w:ascii="Cambria" w:hAnsi="Cambria"/>
          <w:sz w:val="20"/>
          <w:szCs w:val="20"/>
          <w:lang w:val="es-BO"/>
        </w:rPr>
        <w:t>a</w:t>
      </w:r>
      <w:r w:rsidRPr="00F06431">
        <w:rPr>
          <w:rFonts w:ascii="Cambria" w:hAnsi="Cambria"/>
          <w:sz w:val="20"/>
          <w:szCs w:val="20"/>
          <w:lang w:val="es-BO"/>
        </w:rPr>
        <w:t>utoridades. No obstante, señala que interpuso una acción de tutela que fue rechaza</w:t>
      </w:r>
      <w:r w:rsidR="00004590" w:rsidRPr="00F06431">
        <w:rPr>
          <w:rFonts w:ascii="Cambria" w:hAnsi="Cambria"/>
          <w:sz w:val="20"/>
          <w:szCs w:val="20"/>
          <w:lang w:val="es-BO"/>
        </w:rPr>
        <w:t>da por el Consejo Seccional el 1</w:t>
      </w:r>
      <w:r w:rsidRPr="00F06431">
        <w:rPr>
          <w:rFonts w:ascii="Cambria" w:hAnsi="Cambria"/>
          <w:sz w:val="20"/>
          <w:szCs w:val="20"/>
          <w:lang w:val="es-BO"/>
        </w:rPr>
        <w:t xml:space="preserve"> de </w:t>
      </w:r>
      <w:r w:rsidR="00004590" w:rsidRPr="00F06431">
        <w:rPr>
          <w:rFonts w:ascii="Cambria" w:hAnsi="Cambria"/>
          <w:sz w:val="20"/>
          <w:szCs w:val="20"/>
          <w:lang w:val="es-BO"/>
        </w:rPr>
        <w:t>diciembre</w:t>
      </w:r>
      <w:r w:rsidRPr="00F06431">
        <w:rPr>
          <w:rFonts w:ascii="Cambria" w:hAnsi="Cambria"/>
          <w:sz w:val="20"/>
          <w:szCs w:val="20"/>
          <w:lang w:val="es-BO"/>
        </w:rPr>
        <w:t xml:space="preserve"> de 2000</w:t>
      </w:r>
      <w:r w:rsidR="00BF2F23" w:rsidRPr="00F06431">
        <w:rPr>
          <w:rFonts w:ascii="Cambria" w:hAnsi="Cambria"/>
          <w:sz w:val="20"/>
          <w:szCs w:val="20"/>
          <w:lang w:val="es-BO"/>
        </w:rPr>
        <w:t xml:space="preserve">, al considerar que en el marco de la investigación y el juzgamiento </w:t>
      </w:r>
      <w:r w:rsidR="000F52F3" w:rsidRPr="00F06431">
        <w:rPr>
          <w:rFonts w:ascii="Cambria" w:hAnsi="Cambria"/>
          <w:sz w:val="20"/>
          <w:szCs w:val="20"/>
          <w:lang w:val="es-BO"/>
        </w:rPr>
        <w:t xml:space="preserve">penal </w:t>
      </w:r>
      <w:r w:rsidR="009C60FF" w:rsidRPr="00F06431">
        <w:rPr>
          <w:rFonts w:ascii="Cambria" w:hAnsi="Cambria"/>
          <w:sz w:val="20"/>
          <w:szCs w:val="20"/>
          <w:lang w:val="es-BO"/>
        </w:rPr>
        <w:t>seguido</w:t>
      </w:r>
      <w:r w:rsidR="00BF2F23" w:rsidRPr="00F06431">
        <w:rPr>
          <w:rFonts w:ascii="Cambria" w:hAnsi="Cambria"/>
          <w:sz w:val="20"/>
          <w:szCs w:val="20"/>
          <w:lang w:val="es-BO"/>
        </w:rPr>
        <w:t>s</w:t>
      </w:r>
      <w:r w:rsidR="009C60FF" w:rsidRPr="00F06431">
        <w:rPr>
          <w:rFonts w:ascii="Cambria" w:hAnsi="Cambria"/>
          <w:sz w:val="20"/>
          <w:szCs w:val="20"/>
          <w:lang w:val="es-BO"/>
        </w:rPr>
        <w:t xml:space="preserve"> en su contra no</w:t>
      </w:r>
      <w:r w:rsidR="00BF2F23" w:rsidRPr="00F06431">
        <w:rPr>
          <w:rFonts w:ascii="Cambria" w:hAnsi="Cambria"/>
          <w:sz w:val="20"/>
          <w:szCs w:val="20"/>
          <w:lang w:val="es-BO"/>
        </w:rPr>
        <w:t xml:space="preserve"> se vulneraron sus derechos al </w:t>
      </w:r>
      <w:r w:rsidR="00AD17C9" w:rsidRPr="00F06431">
        <w:rPr>
          <w:rFonts w:ascii="Cambria" w:hAnsi="Cambria"/>
          <w:sz w:val="20"/>
          <w:szCs w:val="20"/>
          <w:lang w:val="es-BO"/>
        </w:rPr>
        <w:t>debido proceso, a la intimidad ni</w:t>
      </w:r>
      <w:r w:rsidR="00BF2F23" w:rsidRPr="00F06431">
        <w:rPr>
          <w:rFonts w:ascii="Cambria" w:hAnsi="Cambria"/>
          <w:sz w:val="20"/>
          <w:szCs w:val="20"/>
          <w:lang w:val="es-BO"/>
        </w:rPr>
        <w:t xml:space="preserve"> a la igualdad</w:t>
      </w:r>
      <w:r w:rsidRPr="00F06431">
        <w:rPr>
          <w:rFonts w:ascii="Cambria" w:hAnsi="Cambria"/>
          <w:sz w:val="20"/>
          <w:szCs w:val="20"/>
          <w:lang w:val="es-BO"/>
        </w:rPr>
        <w:t>. Posteriormente, la Corte Constitucional también desestimó dicha solicitud mediante sentencia emitida el 6 de marzo de 2002. Por su parte el Estado indica que el peticionario no agotó los recursos de jurisdicción interna, pues para que su proceso penal sea examinado a la luz de nuevas pruebas, tiene a su disposic</w:t>
      </w:r>
      <w:r w:rsidR="00807099" w:rsidRPr="00F06431">
        <w:rPr>
          <w:rFonts w:ascii="Cambria" w:hAnsi="Cambria"/>
          <w:sz w:val="20"/>
          <w:szCs w:val="20"/>
          <w:lang w:val="es-BO"/>
        </w:rPr>
        <w:t>ión la acción</w:t>
      </w:r>
      <w:r w:rsidR="00807099">
        <w:rPr>
          <w:rFonts w:ascii="Cambria" w:hAnsi="Cambria"/>
          <w:sz w:val="20"/>
          <w:szCs w:val="20"/>
          <w:lang w:val="es-BO"/>
        </w:rPr>
        <w:t xml:space="preserve"> de revisión. Al respecto</w:t>
      </w:r>
      <w:r w:rsidRPr="00BF2F23">
        <w:rPr>
          <w:rFonts w:ascii="Cambria" w:hAnsi="Cambria"/>
          <w:sz w:val="20"/>
          <w:szCs w:val="20"/>
          <w:lang w:val="es-BO"/>
        </w:rPr>
        <w:t>, el peticionario sostiene que interpuso tres acciones de revisión, sin lograr que sus derechos sean restituidos. Cabe destacar que el Estado no ha refutado</w:t>
      </w:r>
      <w:r w:rsidR="00CE6391" w:rsidRPr="00BF2F23">
        <w:rPr>
          <w:rFonts w:ascii="Cambria" w:hAnsi="Cambria"/>
          <w:sz w:val="20"/>
          <w:szCs w:val="20"/>
          <w:lang w:val="es-BO"/>
        </w:rPr>
        <w:t xml:space="preserve"> expresamente</w:t>
      </w:r>
      <w:r w:rsidRPr="00BF2F23">
        <w:rPr>
          <w:rFonts w:ascii="Cambria" w:hAnsi="Cambria"/>
          <w:sz w:val="20"/>
          <w:szCs w:val="20"/>
          <w:lang w:val="es-BO"/>
        </w:rPr>
        <w:t xml:space="preserve"> la alegación del peticionario sobre la inexistencia de un recurso </w:t>
      </w:r>
      <w:r w:rsidR="00CE6391" w:rsidRPr="00BF2F23">
        <w:rPr>
          <w:rFonts w:ascii="Cambria" w:hAnsi="Cambria"/>
          <w:sz w:val="20"/>
          <w:szCs w:val="20"/>
          <w:lang w:val="es-BO"/>
        </w:rPr>
        <w:t xml:space="preserve">contra el fallo emitido por la </w:t>
      </w:r>
      <w:r w:rsidR="00CE6391" w:rsidRPr="00BF2F23">
        <w:rPr>
          <w:rFonts w:ascii="Cambria" w:hAnsi="Cambria" w:cs="Arial"/>
          <w:sz w:val="20"/>
          <w:szCs w:val="20"/>
          <w:lang w:val="es-BO"/>
        </w:rPr>
        <w:t xml:space="preserve">Sala Penal </w:t>
      </w:r>
      <w:r w:rsidR="00CE6391" w:rsidRPr="00F06431">
        <w:rPr>
          <w:rFonts w:ascii="Cambria" w:hAnsi="Cambria" w:cs="Arial"/>
          <w:sz w:val="20"/>
          <w:szCs w:val="20"/>
          <w:lang w:val="es-BO"/>
        </w:rPr>
        <w:t>de la Corte Suprema de Justicia</w:t>
      </w:r>
      <w:r w:rsidR="00CE6391" w:rsidRPr="00F06431">
        <w:rPr>
          <w:rFonts w:ascii="Cambria" w:hAnsi="Cambria"/>
          <w:sz w:val="20"/>
          <w:szCs w:val="20"/>
          <w:lang w:val="es-BO"/>
        </w:rPr>
        <w:t xml:space="preserve"> en procesos contra altas autoridades</w:t>
      </w:r>
      <w:r w:rsidRPr="00F06431">
        <w:rPr>
          <w:rFonts w:ascii="Cambria" w:hAnsi="Cambria"/>
          <w:sz w:val="20"/>
          <w:szCs w:val="20"/>
          <w:lang w:val="es-BO"/>
        </w:rPr>
        <w:t xml:space="preserve">; limitándose a señalar que la presunta víctima puede acudir a la acción de revisión. </w:t>
      </w:r>
    </w:p>
    <w:p w:rsidR="001530CB" w:rsidRDefault="005A396C" w:rsidP="005A396C">
      <w:pPr>
        <w:numPr>
          <w:ilvl w:val="0"/>
          <w:numId w:val="1"/>
        </w:numPr>
        <w:suppressAutoHyphens/>
        <w:spacing w:after="240" w:line="240" w:lineRule="auto"/>
        <w:jc w:val="both"/>
        <w:rPr>
          <w:rFonts w:ascii="Cambria" w:hAnsi="Cambria"/>
          <w:sz w:val="20"/>
          <w:szCs w:val="20"/>
          <w:lang w:val="es-BO"/>
        </w:rPr>
      </w:pPr>
      <w:r w:rsidRPr="00F06431">
        <w:rPr>
          <w:rFonts w:ascii="Cambria" w:hAnsi="Cambria"/>
          <w:sz w:val="20"/>
          <w:szCs w:val="20"/>
          <w:lang w:val="es-BO"/>
        </w:rPr>
        <w:t>La Comisión nota que el Estado no asumió la carga de demostrar la existencia y disponibilidad de recursos internos adecuados, idóneos y efectivos</w:t>
      </w:r>
      <w:r w:rsidRPr="00F06431">
        <w:rPr>
          <w:rStyle w:val="FootnoteReference"/>
          <w:rFonts w:ascii="Cambria" w:hAnsi="Cambria"/>
          <w:sz w:val="20"/>
          <w:szCs w:val="20"/>
        </w:rPr>
        <w:footnoteReference w:id="2"/>
      </w:r>
      <w:r w:rsidRPr="00F06431">
        <w:rPr>
          <w:rFonts w:ascii="Cambria" w:hAnsi="Cambria"/>
          <w:sz w:val="20"/>
          <w:szCs w:val="20"/>
          <w:lang w:val="es-BO"/>
        </w:rPr>
        <w:t xml:space="preserve"> que el peticionario no hubiese agotado. En ese sentido, la CIDH observa que la acción de revisión citada por el Estado</w:t>
      </w:r>
      <w:r w:rsidR="004F2976" w:rsidRPr="00F06431">
        <w:rPr>
          <w:rFonts w:ascii="Cambria" w:hAnsi="Cambria"/>
          <w:sz w:val="20"/>
          <w:szCs w:val="20"/>
          <w:lang w:val="es-BO"/>
        </w:rPr>
        <w:t>, es un recurso extraordinario con causales taxativamente establecidas, que</w:t>
      </w:r>
      <w:r w:rsidRPr="00F06431">
        <w:rPr>
          <w:rFonts w:ascii="Cambria" w:hAnsi="Cambria"/>
          <w:sz w:val="20"/>
          <w:szCs w:val="20"/>
          <w:lang w:val="es-BO"/>
        </w:rPr>
        <w:t xml:space="preserve"> procede co</w:t>
      </w:r>
      <w:r w:rsidR="004F2976" w:rsidRPr="00F06431">
        <w:rPr>
          <w:rFonts w:ascii="Cambria" w:hAnsi="Cambria"/>
          <w:sz w:val="20"/>
          <w:szCs w:val="20"/>
          <w:lang w:val="es-BO"/>
        </w:rPr>
        <w:t xml:space="preserve">ntra sentencias ejecutoriadas y </w:t>
      </w:r>
      <w:r w:rsidRPr="00F06431">
        <w:rPr>
          <w:rFonts w:ascii="Cambria" w:hAnsi="Cambria"/>
          <w:sz w:val="20"/>
          <w:szCs w:val="20"/>
          <w:lang w:val="es-BO"/>
        </w:rPr>
        <w:t xml:space="preserve">no se configura por lo tanto, en un recurso idóneo que </w:t>
      </w:r>
      <w:r w:rsidR="00E20B27" w:rsidRPr="00F06431">
        <w:rPr>
          <w:rFonts w:ascii="Cambria" w:hAnsi="Cambria"/>
          <w:sz w:val="20"/>
          <w:szCs w:val="20"/>
          <w:lang w:val="es-BO"/>
        </w:rPr>
        <w:t>asegure la revisión o la</w:t>
      </w:r>
      <w:r w:rsidR="00582141" w:rsidRPr="00F06431">
        <w:rPr>
          <w:rFonts w:ascii="Cambria" w:hAnsi="Cambria"/>
          <w:sz w:val="20"/>
          <w:szCs w:val="20"/>
          <w:lang w:val="es-BO"/>
        </w:rPr>
        <w:t xml:space="preserve"> doble conform</w:t>
      </w:r>
      <w:r w:rsidR="00E20B27" w:rsidRPr="00F06431">
        <w:rPr>
          <w:rFonts w:ascii="Cambria" w:hAnsi="Cambria"/>
          <w:sz w:val="20"/>
          <w:szCs w:val="20"/>
          <w:lang w:val="es-BO"/>
        </w:rPr>
        <w:t>idad</w:t>
      </w:r>
      <w:r w:rsidR="00582141" w:rsidRPr="00F06431">
        <w:rPr>
          <w:rFonts w:ascii="Cambria" w:hAnsi="Cambria"/>
          <w:sz w:val="20"/>
          <w:szCs w:val="20"/>
          <w:lang w:val="es-BO"/>
        </w:rPr>
        <w:t xml:space="preserve"> de una </w:t>
      </w:r>
      <w:r w:rsidR="00E20B27" w:rsidRPr="00F06431">
        <w:rPr>
          <w:rFonts w:ascii="Cambria" w:hAnsi="Cambria"/>
          <w:sz w:val="20"/>
          <w:szCs w:val="20"/>
          <w:lang w:val="es-BO"/>
        </w:rPr>
        <w:t xml:space="preserve">sentencia </w:t>
      </w:r>
      <w:r w:rsidR="00582141" w:rsidRPr="00F06431">
        <w:rPr>
          <w:rFonts w:ascii="Cambria" w:hAnsi="Cambria"/>
          <w:sz w:val="20"/>
          <w:szCs w:val="20"/>
          <w:lang w:val="es-BO"/>
        </w:rPr>
        <w:t>condena</w:t>
      </w:r>
      <w:r w:rsidR="00E20B27" w:rsidRPr="00F06431">
        <w:rPr>
          <w:rFonts w:ascii="Cambria" w:hAnsi="Cambria"/>
          <w:sz w:val="20"/>
          <w:szCs w:val="20"/>
          <w:lang w:val="es-BO"/>
        </w:rPr>
        <w:t>toria</w:t>
      </w:r>
      <w:r w:rsidR="00E20B27" w:rsidRPr="00F06431">
        <w:rPr>
          <w:rStyle w:val="FootnoteReference"/>
          <w:rFonts w:ascii="Cambria" w:hAnsi="Cambria"/>
          <w:sz w:val="20"/>
          <w:szCs w:val="20"/>
          <w:lang w:val="es-BO"/>
        </w:rPr>
        <w:footnoteReference w:id="3"/>
      </w:r>
      <w:r w:rsidR="00582141" w:rsidRPr="00F06431">
        <w:rPr>
          <w:rFonts w:ascii="Cambria" w:hAnsi="Cambria"/>
          <w:sz w:val="20"/>
          <w:szCs w:val="20"/>
          <w:lang w:val="es-BO"/>
        </w:rPr>
        <w:t xml:space="preserve"> antes de ser definitiva. </w:t>
      </w:r>
      <w:r w:rsidRPr="00F06431">
        <w:rPr>
          <w:rFonts w:ascii="Cambria" w:hAnsi="Cambria"/>
          <w:sz w:val="20"/>
          <w:szCs w:val="20"/>
          <w:lang w:val="es-BO"/>
        </w:rPr>
        <w:t>En consecuencia, el Estado no puso a disponibilidad de la presunta víctima un recurso que permita amparar los derechos</w:t>
      </w:r>
      <w:r w:rsidRPr="0096728B">
        <w:rPr>
          <w:rFonts w:ascii="Cambria" w:hAnsi="Cambria"/>
          <w:sz w:val="20"/>
          <w:szCs w:val="20"/>
          <w:lang w:val="es-BO"/>
        </w:rPr>
        <w:t xml:space="preserve"> que se alegan violados</w:t>
      </w:r>
      <w:r w:rsidR="00CE6391">
        <w:rPr>
          <w:rFonts w:ascii="Cambria" w:hAnsi="Cambria"/>
          <w:sz w:val="20"/>
          <w:szCs w:val="20"/>
          <w:lang w:val="es-BO"/>
        </w:rPr>
        <w:t>, lo cual</w:t>
      </w:r>
      <w:r w:rsidRPr="0096728B">
        <w:rPr>
          <w:rFonts w:ascii="Cambria" w:hAnsi="Cambria"/>
          <w:sz w:val="20"/>
          <w:szCs w:val="20"/>
          <w:lang w:val="es-BO"/>
        </w:rPr>
        <w:t xml:space="preserve">, en términos del artículo 46.2.a de la Convención Americana, constituye una de las causales de excepción a la regla de agotamiento de los recursos de jurisdicción interna.  </w:t>
      </w:r>
    </w:p>
    <w:p w:rsidR="000F7F56" w:rsidRDefault="00DC72D9" w:rsidP="00316462">
      <w:pPr>
        <w:pStyle w:val="ListParagraph"/>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cs="Arial"/>
          <w:sz w:val="20"/>
          <w:szCs w:val="20"/>
          <w:lang w:val="es-BO"/>
        </w:rPr>
      </w:pPr>
      <w:r w:rsidRPr="008206E3">
        <w:rPr>
          <w:sz w:val="20"/>
          <w:szCs w:val="20"/>
          <w:lang w:val="es-BO"/>
        </w:rPr>
        <w:t>No obstante</w:t>
      </w:r>
      <w:r w:rsidR="00515B40" w:rsidRPr="008206E3">
        <w:rPr>
          <w:sz w:val="20"/>
          <w:szCs w:val="20"/>
          <w:lang w:val="es-BO"/>
        </w:rPr>
        <w:t xml:space="preserve"> lo señalado</w:t>
      </w:r>
      <w:r w:rsidRPr="008206E3">
        <w:rPr>
          <w:sz w:val="20"/>
          <w:szCs w:val="20"/>
          <w:lang w:val="es-BO"/>
        </w:rPr>
        <w:t>,</w:t>
      </w:r>
      <w:r w:rsidR="00515B40" w:rsidRPr="008206E3">
        <w:rPr>
          <w:sz w:val="20"/>
          <w:szCs w:val="20"/>
          <w:lang w:val="es-BO"/>
        </w:rPr>
        <w:t xml:space="preserve"> la CIDH observa que </w:t>
      </w:r>
      <w:r w:rsidR="00BA4529" w:rsidRPr="008206E3">
        <w:rPr>
          <w:sz w:val="20"/>
          <w:szCs w:val="20"/>
          <w:lang w:val="es-BO"/>
        </w:rPr>
        <w:t>la presunta víctima,</w:t>
      </w:r>
      <w:r w:rsidR="007505B8" w:rsidRPr="008206E3">
        <w:rPr>
          <w:sz w:val="20"/>
          <w:szCs w:val="20"/>
          <w:lang w:val="es-BO"/>
        </w:rPr>
        <w:t xml:space="preserve"> a los efectos de lograr que</w:t>
      </w:r>
      <w:r w:rsidR="00BA4529" w:rsidRPr="008206E3">
        <w:rPr>
          <w:sz w:val="20"/>
          <w:szCs w:val="20"/>
          <w:lang w:val="es-BO"/>
        </w:rPr>
        <w:t xml:space="preserve"> su sentencia condenatoria </w:t>
      </w:r>
      <w:r w:rsidR="007505B8" w:rsidRPr="008206E3">
        <w:rPr>
          <w:sz w:val="20"/>
          <w:szCs w:val="20"/>
          <w:lang w:val="es-BO"/>
        </w:rPr>
        <w:t>fuera</w:t>
      </w:r>
      <w:r w:rsidR="00BA4529" w:rsidRPr="008206E3">
        <w:rPr>
          <w:sz w:val="20"/>
          <w:szCs w:val="20"/>
          <w:lang w:val="es-BO"/>
        </w:rPr>
        <w:t xml:space="preserve"> revisada y sus derechos restituidos a nivel interno, </w:t>
      </w:r>
      <w:r w:rsidR="00515B40" w:rsidRPr="008206E3">
        <w:rPr>
          <w:sz w:val="20"/>
          <w:szCs w:val="20"/>
          <w:lang w:val="es-BO"/>
        </w:rPr>
        <w:t xml:space="preserve">interpuso </w:t>
      </w:r>
      <w:r w:rsidR="00BA4529" w:rsidRPr="008206E3">
        <w:rPr>
          <w:sz w:val="20"/>
          <w:szCs w:val="20"/>
          <w:lang w:val="es-BO"/>
        </w:rPr>
        <w:t xml:space="preserve">tres acciones de revisión ante la Corte Suprema de Justicia, sin obtener </w:t>
      </w:r>
      <w:r w:rsidR="00F06431" w:rsidRPr="008206E3">
        <w:rPr>
          <w:sz w:val="20"/>
          <w:szCs w:val="20"/>
          <w:lang w:val="es-BO"/>
        </w:rPr>
        <w:t>un resultado favorable</w:t>
      </w:r>
      <w:r w:rsidR="00BA4529" w:rsidRPr="008206E3">
        <w:rPr>
          <w:sz w:val="20"/>
          <w:szCs w:val="20"/>
          <w:lang w:val="es-BO"/>
        </w:rPr>
        <w:t xml:space="preserve">. </w:t>
      </w:r>
      <w:r w:rsidR="007505B8" w:rsidRPr="008206E3">
        <w:rPr>
          <w:sz w:val="20"/>
          <w:szCs w:val="20"/>
          <w:lang w:val="es-BO"/>
        </w:rPr>
        <w:t>En e</w:t>
      </w:r>
      <w:r w:rsidR="00BA4529" w:rsidRPr="008206E3">
        <w:rPr>
          <w:sz w:val="20"/>
          <w:szCs w:val="20"/>
          <w:lang w:val="es-BO"/>
        </w:rPr>
        <w:t>l añ</w:t>
      </w:r>
      <w:r w:rsidR="007505B8" w:rsidRPr="008206E3">
        <w:rPr>
          <w:sz w:val="20"/>
          <w:szCs w:val="20"/>
          <w:lang w:val="es-BO"/>
        </w:rPr>
        <w:t>o 2007</w:t>
      </w:r>
      <w:r w:rsidR="00BA4529" w:rsidRPr="008206E3">
        <w:rPr>
          <w:sz w:val="20"/>
          <w:szCs w:val="20"/>
          <w:lang w:val="es-BO"/>
        </w:rPr>
        <w:t xml:space="preserve"> el peticionario </w:t>
      </w:r>
      <w:r w:rsidR="00BD5422" w:rsidRPr="008206E3">
        <w:rPr>
          <w:sz w:val="20"/>
          <w:szCs w:val="20"/>
          <w:lang w:val="es-BO"/>
        </w:rPr>
        <w:t>presentó como nueva prueba una sentencia constitucional que anulaba</w:t>
      </w:r>
      <w:r w:rsidR="00807099" w:rsidRPr="008206E3">
        <w:rPr>
          <w:sz w:val="20"/>
          <w:szCs w:val="20"/>
          <w:lang w:val="es-BO"/>
        </w:rPr>
        <w:t xml:space="preserve"> algunas</w:t>
      </w:r>
      <w:r w:rsidR="00BD5422" w:rsidRPr="008206E3">
        <w:rPr>
          <w:sz w:val="20"/>
          <w:szCs w:val="20"/>
          <w:lang w:val="es-BO"/>
        </w:rPr>
        <w:t xml:space="preserve"> acciones investigativas </w:t>
      </w:r>
      <w:r w:rsidR="006E55A7" w:rsidRPr="008206E3">
        <w:rPr>
          <w:sz w:val="20"/>
          <w:szCs w:val="20"/>
          <w:lang w:val="es-BO"/>
        </w:rPr>
        <w:t>seguidas contra</w:t>
      </w:r>
      <w:r w:rsidR="00807099" w:rsidRPr="008206E3">
        <w:rPr>
          <w:sz w:val="20"/>
          <w:szCs w:val="20"/>
          <w:lang w:val="es-BO"/>
        </w:rPr>
        <w:t xml:space="preserve"> uno</w:t>
      </w:r>
      <w:r w:rsidR="00BD5422" w:rsidRPr="008206E3">
        <w:rPr>
          <w:sz w:val="20"/>
          <w:szCs w:val="20"/>
          <w:lang w:val="es-BO"/>
        </w:rPr>
        <w:t xml:space="preserve"> de los involucrados en el caso por el que fue condenado. </w:t>
      </w:r>
      <w:r w:rsidR="00F06431" w:rsidRPr="008206E3">
        <w:rPr>
          <w:sz w:val="20"/>
          <w:szCs w:val="20"/>
          <w:lang w:val="es-BO"/>
        </w:rPr>
        <w:t>Dicha</w:t>
      </w:r>
      <w:r w:rsidR="00BD5422" w:rsidRPr="008206E3">
        <w:rPr>
          <w:sz w:val="20"/>
          <w:szCs w:val="20"/>
          <w:lang w:val="es-BO"/>
        </w:rPr>
        <w:t xml:space="preserve"> solicitud fue desestimada pues se consideró que dicho fallo constitucional no determin</w:t>
      </w:r>
      <w:r w:rsidR="00807099" w:rsidRPr="008206E3">
        <w:rPr>
          <w:sz w:val="20"/>
          <w:szCs w:val="20"/>
          <w:lang w:val="es-BO"/>
        </w:rPr>
        <w:t xml:space="preserve">aba </w:t>
      </w:r>
      <w:r w:rsidR="00BD5422" w:rsidRPr="008206E3">
        <w:rPr>
          <w:sz w:val="20"/>
          <w:szCs w:val="20"/>
          <w:lang w:val="es-BO"/>
        </w:rPr>
        <w:t xml:space="preserve">la inocencia de nadie y sólo </w:t>
      </w:r>
      <w:r w:rsidR="00807099" w:rsidRPr="008206E3">
        <w:rPr>
          <w:sz w:val="20"/>
          <w:szCs w:val="20"/>
          <w:lang w:val="es-BO"/>
        </w:rPr>
        <w:t>disponía</w:t>
      </w:r>
      <w:r w:rsidR="00BD5422" w:rsidRPr="008206E3">
        <w:rPr>
          <w:sz w:val="20"/>
          <w:szCs w:val="20"/>
          <w:lang w:val="es-BO"/>
        </w:rPr>
        <w:t xml:space="preserve"> el inicio de investigaciones conforme a </w:t>
      </w:r>
      <w:r w:rsidR="007505B8" w:rsidRPr="008206E3">
        <w:rPr>
          <w:sz w:val="20"/>
          <w:szCs w:val="20"/>
          <w:lang w:val="es-BO"/>
        </w:rPr>
        <w:t xml:space="preserve">la </w:t>
      </w:r>
      <w:r w:rsidR="00BD5422" w:rsidRPr="008206E3">
        <w:rPr>
          <w:sz w:val="20"/>
          <w:szCs w:val="20"/>
          <w:lang w:val="es-BO"/>
        </w:rPr>
        <w:t xml:space="preserve">normativa interna. </w:t>
      </w:r>
      <w:r w:rsidR="000F7F56" w:rsidRPr="008206E3">
        <w:rPr>
          <w:sz w:val="20"/>
          <w:szCs w:val="20"/>
          <w:lang w:val="es-BO"/>
        </w:rPr>
        <w:t>Posteriormente</w:t>
      </w:r>
      <w:r w:rsidR="00BD5422" w:rsidRPr="008206E3">
        <w:rPr>
          <w:sz w:val="20"/>
          <w:szCs w:val="20"/>
          <w:lang w:val="es-BO"/>
        </w:rPr>
        <w:t xml:space="preserve">, </w:t>
      </w:r>
      <w:r w:rsidR="007505B8" w:rsidRPr="008206E3">
        <w:rPr>
          <w:sz w:val="20"/>
          <w:szCs w:val="20"/>
          <w:lang w:val="es-BO"/>
        </w:rPr>
        <w:t xml:space="preserve">en </w:t>
      </w:r>
      <w:r w:rsidR="00BD5422" w:rsidRPr="008206E3">
        <w:rPr>
          <w:sz w:val="20"/>
          <w:szCs w:val="20"/>
          <w:lang w:val="es-BO"/>
        </w:rPr>
        <w:t>el año</w:t>
      </w:r>
      <w:r w:rsidR="000F7F56" w:rsidRPr="008206E3">
        <w:rPr>
          <w:sz w:val="20"/>
          <w:szCs w:val="20"/>
          <w:lang w:val="es-BO"/>
        </w:rPr>
        <w:t xml:space="preserve"> 2011</w:t>
      </w:r>
      <w:r w:rsidR="007505B8" w:rsidRPr="008206E3">
        <w:rPr>
          <w:sz w:val="20"/>
          <w:szCs w:val="20"/>
          <w:lang w:val="es-BO"/>
        </w:rPr>
        <w:t>,</w:t>
      </w:r>
      <w:r w:rsidR="000F7F56" w:rsidRPr="008206E3">
        <w:rPr>
          <w:sz w:val="20"/>
          <w:szCs w:val="20"/>
          <w:lang w:val="es-BO"/>
        </w:rPr>
        <w:t xml:space="preserve"> habiendo concluido </w:t>
      </w:r>
      <w:r w:rsidR="00807099" w:rsidRPr="008206E3">
        <w:rPr>
          <w:sz w:val="20"/>
          <w:szCs w:val="20"/>
          <w:lang w:val="es-BO"/>
        </w:rPr>
        <w:t>el citado</w:t>
      </w:r>
      <w:r w:rsidR="000F7F56" w:rsidRPr="008206E3">
        <w:rPr>
          <w:sz w:val="20"/>
          <w:szCs w:val="20"/>
          <w:lang w:val="es-BO"/>
        </w:rPr>
        <w:t xml:space="preserve"> proceso de investigación, el peticionario presentó una segunda acción de revisión </w:t>
      </w:r>
      <w:r w:rsidR="00807099" w:rsidRPr="008206E3">
        <w:rPr>
          <w:sz w:val="20"/>
          <w:szCs w:val="20"/>
          <w:lang w:val="es-BO"/>
        </w:rPr>
        <w:t>argumentando</w:t>
      </w:r>
      <w:r w:rsidR="000F7F56" w:rsidRPr="008206E3">
        <w:rPr>
          <w:sz w:val="20"/>
          <w:szCs w:val="20"/>
          <w:lang w:val="es-BO"/>
        </w:rPr>
        <w:t xml:space="preserve"> </w:t>
      </w:r>
      <w:r w:rsidR="00316462" w:rsidRPr="008206E3">
        <w:rPr>
          <w:sz w:val="20"/>
          <w:szCs w:val="20"/>
          <w:lang w:val="es-BO"/>
        </w:rPr>
        <w:t xml:space="preserve">que los resultados emergentes de tales investigaciones constituían </w:t>
      </w:r>
      <w:r w:rsidR="000F7F56" w:rsidRPr="008206E3">
        <w:rPr>
          <w:sz w:val="20"/>
          <w:szCs w:val="20"/>
          <w:lang w:val="es-BO"/>
        </w:rPr>
        <w:t>nueva prueba</w:t>
      </w:r>
      <w:r w:rsidR="00316462" w:rsidRPr="008206E3">
        <w:rPr>
          <w:sz w:val="20"/>
          <w:szCs w:val="20"/>
          <w:lang w:val="es-BO"/>
        </w:rPr>
        <w:t xml:space="preserve">. Sin embargo, su recurso fue inadmitido por la Sala Penal, </w:t>
      </w:r>
      <w:r w:rsidR="00FC1EF0" w:rsidRPr="008206E3">
        <w:rPr>
          <w:sz w:val="20"/>
          <w:szCs w:val="20"/>
          <w:lang w:val="es-BO"/>
        </w:rPr>
        <w:t xml:space="preserve">que determinó la existencia de </w:t>
      </w:r>
      <w:r w:rsidR="00316462" w:rsidRPr="008206E3">
        <w:rPr>
          <w:sz w:val="20"/>
          <w:szCs w:val="20"/>
          <w:lang w:val="es-BO"/>
        </w:rPr>
        <w:t>vicios</w:t>
      </w:r>
      <w:r w:rsidR="007505B8" w:rsidRPr="008206E3">
        <w:rPr>
          <w:sz w:val="20"/>
          <w:szCs w:val="20"/>
          <w:lang w:val="es-BO"/>
        </w:rPr>
        <w:t xml:space="preserve"> técnicos sin ingresar </w:t>
      </w:r>
      <w:r w:rsidR="00316462" w:rsidRPr="008206E3">
        <w:rPr>
          <w:sz w:val="20"/>
          <w:szCs w:val="20"/>
          <w:lang w:val="es-BO"/>
        </w:rPr>
        <w:t xml:space="preserve">al fondo de la cuestión. </w:t>
      </w:r>
      <w:r w:rsidR="000F7F56" w:rsidRPr="008206E3">
        <w:rPr>
          <w:sz w:val="20"/>
          <w:szCs w:val="20"/>
          <w:lang w:val="es-BO"/>
        </w:rPr>
        <w:t xml:space="preserve"> </w:t>
      </w:r>
      <w:r w:rsidR="00316462" w:rsidRPr="008206E3">
        <w:rPr>
          <w:sz w:val="20"/>
          <w:szCs w:val="20"/>
          <w:lang w:val="es-BO"/>
        </w:rPr>
        <w:t xml:space="preserve">Finalmente, </w:t>
      </w:r>
      <w:r w:rsidR="007505B8" w:rsidRPr="008206E3">
        <w:rPr>
          <w:sz w:val="20"/>
          <w:szCs w:val="20"/>
          <w:lang w:val="es-BO"/>
        </w:rPr>
        <w:t xml:space="preserve">en </w:t>
      </w:r>
      <w:r w:rsidR="00316462" w:rsidRPr="008206E3">
        <w:rPr>
          <w:sz w:val="20"/>
          <w:szCs w:val="20"/>
          <w:lang w:val="es-BO"/>
        </w:rPr>
        <w:t>el año 2015 un tercer recurso de revisión</w:t>
      </w:r>
      <w:r w:rsidR="007505B8" w:rsidRPr="008206E3">
        <w:rPr>
          <w:sz w:val="20"/>
          <w:szCs w:val="20"/>
          <w:lang w:val="es-BO"/>
        </w:rPr>
        <w:t xml:space="preserve"> presentado por el peticionario</w:t>
      </w:r>
      <w:r w:rsidR="00316462" w:rsidRPr="008206E3">
        <w:rPr>
          <w:sz w:val="20"/>
          <w:szCs w:val="20"/>
          <w:lang w:val="es-BO"/>
        </w:rPr>
        <w:t xml:space="preserve"> fue declarado improcedente por la Sala Penal, la cual consideró que no existían nuevos elementos o pruebas y adicionalmente </w:t>
      </w:r>
      <w:r w:rsidR="00316462" w:rsidRPr="008206E3">
        <w:rPr>
          <w:rFonts w:cs="Arial"/>
          <w:sz w:val="20"/>
          <w:szCs w:val="20"/>
          <w:lang w:val="es-BO"/>
        </w:rPr>
        <w:t>le requirió que en lo sucesivo se abstenga de instaurar otras acciones de revisión contra decisiones ya evaluadas.</w:t>
      </w:r>
      <w:r w:rsidR="00AD2A18" w:rsidRPr="008206E3">
        <w:rPr>
          <w:rFonts w:cs="Arial"/>
          <w:sz w:val="20"/>
          <w:szCs w:val="20"/>
          <w:lang w:val="es-BO"/>
        </w:rPr>
        <w:t xml:space="preserve"> Por lo tanto</w:t>
      </w:r>
      <w:r w:rsidR="007505B8" w:rsidRPr="008206E3">
        <w:rPr>
          <w:rFonts w:cs="Arial"/>
          <w:sz w:val="20"/>
          <w:szCs w:val="20"/>
          <w:lang w:val="es-BO"/>
        </w:rPr>
        <w:t>,</w:t>
      </w:r>
      <w:r w:rsidR="00FC1EF0" w:rsidRPr="008206E3">
        <w:rPr>
          <w:rFonts w:cs="Arial"/>
          <w:sz w:val="20"/>
          <w:szCs w:val="20"/>
          <w:lang w:val="es-BO"/>
        </w:rPr>
        <w:t xml:space="preserve"> y en atención a lo expuesto, </w:t>
      </w:r>
      <w:r w:rsidR="00AD2A18" w:rsidRPr="008206E3">
        <w:rPr>
          <w:rFonts w:cs="Arial"/>
          <w:sz w:val="20"/>
          <w:szCs w:val="20"/>
          <w:lang w:val="es-BO"/>
        </w:rPr>
        <w:t>la Comisión considera que</w:t>
      </w:r>
      <w:r w:rsidR="004F7919" w:rsidRPr="008206E3">
        <w:rPr>
          <w:rFonts w:cs="Arial"/>
          <w:sz w:val="20"/>
          <w:szCs w:val="20"/>
          <w:lang w:val="es-BO"/>
        </w:rPr>
        <w:t>, con</w:t>
      </w:r>
      <w:r w:rsidR="00AD2A18" w:rsidRPr="008206E3">
        <w:rPr>
          <w:rFonts w:cs="Arial"/>
          <w:sz w:val="20"/>
          <w:szCs w:val="20"/>
          <w:lang w:val="es-BO"/>
        </w:rPr>
        <w:t xml:space="preserve"> tales acciones</w:t>
      </w:r>
      <w:r w:rsidR="004F7919" w:rsidRPr="008206E3">
        <w:rPr>
          <w:rFonts w:cs="Arial"/>
          <w:sz w:val="20"/>
          <w:szCs w:val="20"/>
          <w:lang w:val="es-BO"/>
        </w:rPr>
        <w:t>,</w:t>
      </w:r>
      <w:r w:rsidR="00AD2A18" w:rsidRPr="008206E3">
        <w:rPr>
          <w:rFonts w:cs="Arial"/>
          <w:sz w:val="20"/>
          <w:szCs w:val="20"/>
          <w:lang w:val="es-BO"/>
        </w:rPr>
        <w:t xml:space="preserve"> el peticionario </w:t>
      </w:r>
      <w:r w:rsidR="004F7919" w:rsidRPr="008206E3">
        <w:rPr>
          <w:rFonts w:cs="Arial"/>
          <w:sz w:val="20"/>
          <w:szCs w:val="20"/>
          <w:lang w:val="es-BO"/>
        </w:rPr>
        <w:t>acudió</w:t>
      </w:r>
      <w:r w:rsidR="00AD2A18" w:rsidRPr="008206E3">
        <w:rPr>
          <w:rFonts w:cs="Arial"/>
          <w:sz w:val="20"/>
          <w:szCs w:val="20"/>
          <w:lang w:val="es-BO"/>
        </w:rPr>
        <w:t xml:space="preserve"> a los mecanismos judiciales internos, ante la inexistencia de recursos idóneos en el o</w:t>
      </w:r>
      <w:r w:rsidR="00D812C4">
        <w:rPr>
          <w:rFonts w:cs="Arial"/>
          <w:sz w:val="20"/>
          <w:szCs w:val="20"/>
          <w:lang w:val="es-BO"/>
        </w:rPr>
        <w:t>rdenamiento jurídico nacional.</w:t>
      </w:r>
    </w:p>
    <w:p w:rsidR="00D812C4" w:rsidRPr="008206E3" w:rsidRDefault="00D812C4" w:rsidP="00D812C4">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cs="Arial"/>
          <w:sz w:val="20"/>
          <w:szCs w:val="20"/>
          <w:lang w:val="es-BO"/>
        </w:rPr>
      </w:pPr>
    </w:p>
    <w:p w:rsidR="005A396C" w:rsidRPr="0096728B" w:rsidRDefault="00DC31FD" w:rsidP="005A396C">
      <w:pPr>
        <w:numPr>
          <w:ilvl w:val="0"/>
          <w:numId w:val="1"/>
        </w:numPr>
        <w:suppressAutoHyphens/>
        <w:spacing w:after="240" w:line="240" w:lineRule="auto"/>
        <w:jc w:val="both"/>
        <w:rPr>
          <w:rFonts w:ascii="Cambria" w:hAnsi="Cambria"/>
          <w:sz w:val="20"/>
          <w:szCs w:val="20"/>
          <w:lang w:val="es-BO"/>
        </w:rPr>
      </w:pPr>
      <w:r w:rsidRPr="0096728B">
        <w:rPr>
          <w:rFonts w:ascii="Cambria" w:hAnsi="Cambria"/>
          <w:sz w:val="20"/>
          <w:szCs w:val="20"/>
          <w:lang w:val="es-BO"/>
        </w:rPr>
        <w:lastRenderedPageBreak/>
        <w:t>Cabe destacar que el artículo 46.2</w:t>
      </w:r>
      <w:r w:rsidR="007505B8">
        <w:rPr>
          <w:rFonts w:ascii="Cambria" w:hAnsi="Cambria"/>
          <w:sz w:val="20"/>
          <w:szCs w:val="20"/>
          <w:lang w:val="es-BO"/>
        </w:rPr>
        <w:t>,</w:t>
      </w:r>
      <w:r w:rsidRPr="0096728B">
        <w:rPr>
          <w:rFonts w:ascii="Cambria" w:hAnsi="Cambria"/>
          <w:sz w:val="20"/>
          <w:szCs w:val="20"/>
          <w:lang w:val="es-BO"/>
        </w:rPr>
        <w:t xml:space="preserve"> por su naturaleza y objeto, es una norma con contenido autónomo, </w:t>
      </w:r>
      <w:r w:rsidRPr="00024464">
        <w:rPr>
          <w:rFonts w:ascii="Cambria" w:hAnsi="Cambria"/>
          <w:i/>
          <w:sz w:val="20"/>
          <w:szCs w:val="20"/>
          <w:lang w:val="es-BO"/>
        </w:rPr>
        <w:t xml:space="preserve">vis </w:t>
      </w:r>
      <w:r w:rsidR="00DC72D9" w:rsidRPr="00DC72D9">
        <w:rPr>
          <w:rFonts w:ascii="Cambria" w:hAnsi="Cambria"/>
          <w:i/>
          <w:sz w:val="20"/>
          <w:szCs w:val="20"/>
          <w:lang w:val="es-BO"/>
        </w:rPr>
        <w:t>à</w:t>
      </w:r>
      <w:r w:rsidRPr="00024464">
        <w:rPr>
          <w:rFonts w:ascii="Cambria" w:hAnsi="Cambria"/>
          <w:i/>
          <w:sz w:val="20"/>
          <w:szCs w:val="20"/>
          <w:lang w:val="es-BO"/>
        </w:rPr>
        <w:t xml:space="preserve"> vis</w:t>
      </w:r>
      <w:r w:rsidRPr="0096728B">
        <w:rPr>
          <w:rFonts w:ascii="Cambria" w:hAnsi="Cambria"/>
          <w:sz w:val="20"/>
          <w:szCs w:val="20"/>
          <w:lang w:val="es-BO"/>
        </w:rPr>
        <w:t xml:space="preserve"> las normas sustantivas de la Convención. Por lo tanto, la determinación de si las excepciones a la regla del agotamiento de los recursos internos previstas en dicha norma resultan aplicables al caso en cuestión, debe llevarse a cabo de manera previa y separada del análisis del fondo del asunto, ya que depende de un estándar de apreciación distinto de aquél utilizado para determinar la violación de los artículos 8 y 25 de la Convención</w:t>
      </w:r>
      <w:r w:rsidRPr="0096728B">
        <w:rPr>
          <w:rStyle w:val="FootnoteReference"/>
          <w:rFonts w:ascii="Cambria" w:hAnsi="Cambria"/>
          <w:sz w:val="20"/>
          <w:szCs w:val="20"/>
        </w:rPr>
        <w:footnoteReference w:id="4"/>
      </w:r>
      <w:r w:rsidRPr="0096728B">
        <w:rPr>
          <w:rFonts w:ascii="Cambria" w:hAnsi="Cambria"/>
          <w:sz w:val="20"/>
          <w:szCs w:val="20"/>
          <w:lang w:val="es-BO"/>
        </w:rPr>
        <w:t>.</w:t>
      </w:r>
    </w:p>
    <w:p w:rsidR="005A396C" w:rsidRPr="0096728B" w:rsidRDefault="005A396C" w:rsidP="005A396C">
      <w:pPr>
        <w:numPr>
          <w:ilvl w:val="0"/>
          <w:numId w:val="1"/>
        </w:numPr>
        <w:suppressAutoHyphens/>
        <w:spacing w:after="240" w:line="240" w:lineRule="auto"/>
        <w:jc w:val="both"/>
        <w:rPr>
          <w:rFonts w:ascii="Cambria" w:hAnsi="Cambria"/>
          <w:sz w:val="20"/>
          <w:szCs w:val="20"/>
          <w:lang w:val="es-BO"/>
        </w:rPr>
      </w:pPr>
      <w:r w:rsidRPr="0096728B">
        <w:rPr>
          <w:rFonts w:ascii="Cambria" w:hAnsi="Cambria"/>
          <w:sz w:val="20"/>
          <w:szCs w:val="20"/>
          <w:lang w:val="es-BO"/>
        </w:rPr>
        <w:t>Por lo tanto, la Comisión concluye que en el presente caso es aplicable la excepción al agotamiento de los recursos internos prevista en el artículo 46.2.a d</w:t>
      </w:r>
      <w:r w:rsidRPr="0096728B">
        <w:rPr>
          <w:rFonts w:ascii="Cambria" w:hAnsi="Cambria" w:cs="Arial"/>
          <w:sz w:val="20"/>
          <w:szCs w:val="20"/>
          <w:lang w:val="es-BO"/>
        </w:rPr>
        <w:t>e la Convención Americana</w:t>
      </w:r>
      <w:r w:rsidRPr="0096728B">
        <w:rPr>
          <w:rFonts w:ascii="Cambria" w:hAnsi="Cambria"/>
          <w:sz w:val="20"/>
          <w:szCs w:val="20"/>
          <w:lang w:val="es-BO"/>
        </w:rPr>
        <w:t xml:space="preserve"> y</w:t>
      </w:r>
      <w:r w:rsidRPr="0096728B">
        <w:rPr>
          <w:rFonts w:ascii="Cambria" w:hAnsi="Cambria"/>
          <w:color w:val="FF0000"/>
          <w:sz w:val="20"/>
          <w:szCs w:val="20"/>
          <w:lang w:val="es-BO"/>
        </w:rPr>
        <w:t xml:space="preserve"> </w:t>
      </w:r>
      <w:r w:rsidRPr="0096728B">
        <w:rPr>
          <w:rFonts w:ascii="Cambria" w:hAnsi="Cambria"/>
          <w:sz w:val="20"/>
          <w:szCs w:val="20"/>
          <w:lang w:val="es-BO"/>
        </w:rPr>
        <w:t>31.2.a del Reglamento.</w:t>
      </w:r>
    </w:p>
    <w:p w:rsidR="005A396C" w:rsidRPr="0096728B" w:rsidRDefault="005A396C" w:rsidP="005A396C">
      <w:pPr>
        <w:spacing w:after="240" w:line="240" w:lineRule="auto"/>
        <w:ind w:firstLine="720"/>
        <w:jc w:val="both"/>
        <w:rPr>
          <w:rFonts w:ascii="Cambria" w:hAnsi="Cambria"/>
          <w:b/>
          <w:sz w:val="20"/>
          <w:szCs w:val="20"/>
          <w:lang w:val="es-BO"/>
        </w:rPr>
      </w:pPr>
      <w:r w:rsidRPr="0096728B">
        <w:rPr>
          <w:rFonts w:ascii="Cambria" w:hAnsi="Cambria"/>
          <w:b/>
          <w:sz w:val="20"/>
          <w:szCs w:val="20"/>
          <w:lang w:val="es-BO"/>
        </w:rPr>
        <w:t>2.</w:t>
      </w:r>
      <w:r w:rsidRPr="0096728B">
        <w:rPr>
          <w:rFonts w:ascii="Cambria" w:hAnsi="Cambria"/>
          <w:b/>
          <w:sz w:val="20"/>
          <w:szCs w:val="20"/>
          <w:lang w:val="es-BO"/>
        </w:rPr>
        <w:tab/>
        <w:t>Plazo de presentación de la petición</w:t>
      </w:r>
    </w:p>
    <w:p w:rsidR="005A396C" w:rsidRPr="005A0F2F" w:rsidRDefault="005A396C" w:rsidP="005A396C">
      <w:pPr>
        <w:numPr>
          <w:ilvl w:val="0"/>
          <w:numId w:val="1"/>
        </w:numPr>
        <w:suppressAutoHyphens/>
        <w:spacing w:after="240" w:line="240" w:lineRule="auto"/>
        <w:jc w:val="both"/>
        <w:rPr>
          <w:rFonts w:ascii="Cambria" w:hAnsi="Cambria"/>
          <w:sz w:val="20"/>
          <w:szCs w:val="20"/>
          <w:lang w:val="es-BO"/>
        </w:rPr>
      </w:pPr>
      <w:r w:rsidRPr="0096728B">
        <w:rPr>
          <w:rFonts w:ascii="Cambria" w:hAnsi="Cambria" w:cs="Arial"/>
          <w:sz w:val="20"/>
          <w:szCs w:val="20"/>
          <w:lang w:val="es-BO"/>
        </w:rPr>
        <w:t>El artículo 46.1.b de l</w:t>
      </w:r>
      <w:r w:rsidRPr="0096728B">
        <w:rPr>
          <w:rFonts w:ascii="Cambria" w:hAnsi="Cambria"/>
          <w:sz w:val="20"/>
          <w:szCs w:val="20"/>
          <w:lang w:val="es-BO"/>
        </w:rPr>
        <w:t xml:space="preserve">a Convención Americana y 32.1 del Reglamento establece que para que una petición resulte admisible por la Comisión se requerirá que sea presentada dentro del plazo de seis meses a partir de la fecha en que el presunto lesionado haya sido notificado de la decisión definitiva. En el reclamo bajo análisis, la CIDH ha establecido la aplicación de la excepción al agotamiento de los recursos internos conforme al artículo 46.2.a </w:t>
      </w:r>
      <w:r w:rsidRPr="0096728B">
        <w:rPr>
          <w:rFonts w:ascii="Cambria" w:hAnsi="Cambria" w:cs="Arial"/>
          <w:sz w:val="20"/>
          <w:szCs w:val="20"/>
          <w:lang w:val="es-BO"/>
        </w:rPr>
        <w:t>de la Convención Americana</w:t>
      </w:r>
      <w:r w:rsidRPr="0096728B">
        <w:rPr>
          <w:rFonts w:ascii="Cambria" w:hAnsi="Cambria"/>
          <w:sz w:val="20"/>
          <w:szCs w:val="20"/>
          <w:lang w:val="es-BO"/>
        </w:rPr>
        <w:t xml:space="preserve"> y 31.2.a del Reglamento. Al respecto, el artículo 46.2 de la Convención y 32.2 del Reglamento establece que en los casos en los cuales resulten aplicables las excepciones al previo agotamiento de los recursos internos, la petición deberá presentarse dentro de un plazo razonable, a criterio de la </w:t>
      </w:r>
      <w:r w:rsidRPr="005A0F2F">
        <w:rPr>
          <w:rFonts w:ascii="Cambria" w:hAnsi="Cambria"/>
          <w:sz w:val="20"/>
          <w:szCs w:val="20"/>
          <w:lang w:val="es-BO"/>
        </w:rPr>
        <w:t>Comisión. A tal efecto, la Comisión debe considerar la fecha en que haya ocurrido la presunta violación de los derechos y las circunstancias de cada caso.</w:t>
      </w:r>
    </w:p>
    <w:p w:rsidR="005A396C" w:rsidRPr="008206E3" w:rsidRDefault="005A396C" w:rsidP="005A396C">
      <w:pPr>
        <w:numPr>
          <w:ilvl w:val="0"/>
          <w:numId w:val="1"/>
        </w:numPr>
        <w:suppressAutoHyphens/>
        <w:spacing w:after="240" w:line="240" w:lineRule="auto"/>
        <w:jc w:val="both"/>
        <w:rPr>
          <w:rFonts w:ascii="Cambria" w:hAnsi="Cambria"/>
          <w:sz w:val="20"/>
          <w:szCs w:val="20"/>
          <w:lang w:val="es-BO"/>
        </w:rPr>
      </w:pPr>
      <w:r w:rsidRPr="008206E3">
        <w:rPr>
          <w:rFonts w:ascii="Cambria" w:hAnsi="Cambria"/>
          <w:sz w:val="20"/>
          <w:szCs w:val="20"/>
          <w:lang w:val="es-BO"/>
        </w:rPr>
        <w:t>En el caso bajo análisis, la CIDH ha establecido la aplicación de la excepción al agotamiento de los recursos internos prevista en el artículo 46.2.a</w:t>
      </w:r>
      <w:r w:rsidRPr="008206E3">
        <w:rPr>
          <w:rFonts w:ascii="Cambria" w:hAnsi="Cambria" w:cs="Arial"/>
          <w:color w:val="FF0000"/>
          <w:sz w:val="20"/>
          <w:szCs w:val="20"/>
          <w:lang w:val="es-BO"/>
        </w:rPr>
        <w:t xml:space="preserve"> </w:t>
      </w:r>
      <w:r w:rsidRPr="008206E3">
        <w:rPr>
          <w:rFonts w:ascii="Cambria" w:hAnsi="Cambria" w:cs="Arial"/>
          <w:sz w:val="20"/>
          <w:szCs w:val="20"/>
          <w:lang w:val="es-BO"/>
        </w:rPr>
        <w:t>de la Convención Americana</w:t>
      </w:r>
      <w:r w:rsidRPr="008206E3">
        <w:rPr>
          <w:rFonts w:ascii="Cambria" w:hAnsi="Cambria"/>
          <w:sz w:val="20"/>
          <w:szCs w:val="20"/>
          <w:lang w:val="es-BO"/>
        </w:rPr>
        <w:t xml:space="preserve"> y 31.2.a</w:t>
      </w:r>
      <w:r w:rsidRPr="008206E3">
        <w:rPr>
          <w:rFonts w:ascii="Cambria" w:hAnsi="Cambria"/>
          <w:color w:val="FF0000"/>
          <w:sz w:val="20"/>
          <w:szCs w:val="20"/>
          <w:lang w:val="es-BO"/>
        </w:rPr>
        <w:t xml:space="preserve"> </w:t>
      </w:r>
      <w:r w:rsidRPr="008206E3">
        <w:rPr>
          <w:rFonts w:ascii="Cambria" w:hAnsi="Cambria"/>
          <w:sz w:val="20"/>
          <w:szCs w:val="20"/>
          <w:lang w:val="es-BO"/>
        </w:rPr>
        <w:t xml:space="preserve">del Reglamento. </w:t>
      </w:r>
      <w:r w:rsidRPr="008206E3">
        <w:rPr>
          <w:rFonts w:ascii="Cambria" w:hAnsi="Cambria" w:cs="Cambria"/>
          <w:sz w:val="20"/>
          <w:szCs w:val="20"/>
          <w:lang w:val="es-BO" w:eastAsia="es-ES"/>
        </w:rPr>
        <w:t xml:space="preserve"> </w:t>
      </w:r>
      <w:r w:rsidRPr="008206E3">
        <w:rPr>
          <w:rFonts w:ascii="Cambria" w:hAnsi="Cambria"/>
          <w:sz w:val="20"/>
          <w:szCs w:val="20"/>
          <w:lang w:val="es-BO"/>
        </w:rPr>
        <w:t xml:space="preserve">La petición ante la CIDH fue recibida el 5 de noviembre de 2002 y la sentencia de 6 de marzo de 2002 emitida por la Corte Constitucional que resolvió la acción de tutela intentada por el peticionario fue notificada el 20 de mayo de 2002, extendiéndose sus efectos hasta el presente. </w:t>
      </w:r>
      <w:r w:rsidR="0061078B" w:rsidRPr="008206E3">
        <w:rPr>
          <w:rFonts w:ascii="Cambria" w:hAnsi="Cambria"/>
          <w:sz w:val="20"/>
          <w:szCs w:val="20"/>
          <w:lang w:val="es-BO"/>
        </w:rPr>
        <w:t>Adicionalmente, la CIDH toma nota que</w:t>
      </w:r>
      <w:r w:rsidR="005A0F2F" w:rsidRPr="008206E3">
        <w:rPr>
          <w:rFonts w:ascii="Cambria" w:hAnsi="Cambria"/>
          <w:sz w:val="20"/>
          <w:szCs w:val="20"/>
          <w:lang w:val="es-BO"/>
        </w:rPr>
        <w:t>,</w:t>
      </w:r>
      <w:r w:rsidR="0022559C" w:rsidRPr="008206E3">
        <w:rPr>
          <w:rFonts w:ascii="Cambria" w:hAnsi="Cambria"/>
          <w:sz w:val="20"/>
          <w:szCs w:val="20"/>
          <w:lang w:val="es-BO"/>
        </w:rPr>
        <w:t xml:space="preserve"> en los años 2007, 2011 y 2015,</w:t>
      </w:r>
      <w:r w:rsidR="0061078B" w:rsidRPr="008206E3">
        <w:rPr>
          <w:rFonts w:ascii="Cambria" w:hAnsi="Cambria"/>
          <w:sz w:val="20"/>
          <w:szCs w:val="20"/>
          <w:lang w:val="es-BO"/>
        </w:rPr>
        <w:t xml:space="preserve"> el peticionario presentó tres </w:t>
      </w:r>
      <w:r w:rsidR="00E64DD3" w:rsidRPr="008206E3">
        <w:rPr>
          <w:rFonts w:ascii="Cambria" w:hAnsi="Cambria"/>
          <w:sz w:val="20"/>
          <w:szCs w:val="20"/>
          <w:lang w:val="es-BO"/>
        </w:rPr>
        <w:t>acciones</w:t>
      </w:r>
      <w:r w:rsidR="0061078B" w:rsidRPr="008206E3">
        <w:rPr>
          <w:rFonts w:ascii="Cambria" w:hAnsi="Cambria"/>
          <w:sz w:val="20"/>
          <w:szCs w:val="20"/>
          <w:lang w:val="es-BO"/>
        </w:rPr>
        <w:t xml:space="preserve"> de revisión ante la Sala Penal </w:t>
      </w:r>
      <w:r w:rsidR="00E64DD3" w:rsidRPr="008206E3">
        <w:rPr>
          <w:rFonts w:ascii="Cambria" w:hAnsi="Cambria"/>
          <w:sz w:val="20"/>
          <w:szCs w:val="20"/>
          <w:lang w:val="es-BO"/>
        </w:rPr>
        <w:t>de la Corte Supre</w:t>
      </w:r>
      <w:r w:rsidR="005936CA" w:rsidRPr="008206E3">
        <w:rPr>
          <w:rFonts w:ascii="Cambria" w:hAnsi="Cambria"/>
          <w:sz w:val="20"/>
          <w:szCs w:val="20"/>
          <w:lang w:val="es-BO"/>
        </w:rPr>
        <w:t>ma, intentando a través de tales recursos</w:t>
      </w:r>
      <w:r w:rsidR="00E64DD3" w:rsidRPr="008206E3">
        <w:rPr>
          <w:rFonts w:ascii="Cambria" w:hAnsi="Cambria"/>
          <w:sz w:val="20"/>
          <w:szCs w:val="20"/>
          <w:lang w:val="es-BO"/>
        </w:rPr>
        <w:t xml:space="preserve"> que </w:t>
      </w:r>
      <w:r w:rsidR="0022559C" w:rsidRPr="008206E3">
        <w:rPr>
          <w:rFonts w:ascii="Cambria" w:hAnsi="Cambria"/>
          <w:sz w:val="20"/>
          <w:szCs w:val="20"/>
          <w:lang w:val="es-BO"/>
        </w:rPr>
        <w:t>su</w:t>
      </w:r>
      <w:r w:rsidR="00E64DD3" w:rsidRPr="008206E3">
        <w:rPr>
          <w:rFonts w:ascii="Cambria" w:hAnsi="Cambria"/>
          <w:sz w:val="20"/>
          <w:szCs w:val="20"/>
          <w:lang w:val="es-BO"/>
        </w:rPr>
        <w:t xml:space="preserve"> condena</w:t>
      </w:r>
      <w:r w:rsidR="0022559C" w:rsidRPr="008206E3">
        <w:rPr>
          <w:rFonts w:ascii="Cambria" w:hAnsi="Cambria"/>
          <w:sz w:val="20"/>
          <w:szCs w:val="20"/>
          <w:lang w:val="es-BO"/>
        </w:rPr>
        <w:t xml:space="preserve"> </w:t>
      </w:r>
      <w:r w:rsidR="00E64DD3" w:rsidRPr="008206E3">
        <w:rPr>
          <w:rFonts w:ascii="Cambria" w:hAnsi="Cambria"/>
          <w:sz w:val="20"/>
          <w:szCs w:val="20"/>
          <w:lang w:val="es-BO"/>
        </w:rPr>
        <w:t>impuesta en única instancia</w:t>
      </w:r>
      <w:r w:rsidR="00365C0E" w:rsidRPr="008206E3">
        <w:rPr>
          <w:rFonts w:ascii="Cambria" w:hAnsi="Cambria"/>
          <w:sz w:val="20"/>
          <w:szCs w:val="20"/>
          <w:lang w:val="es-BO"/>
        </w:rPr>
        <w:t xml:space="preserve"> fuera revisada</w:t>
      </w:r>
      <w:r w:rsidR="007505B8" w:rsidRPr="008206E3">
        <w:rPr>
          <w:rFonts w:ascii="Cambria" w:hAnsi="Cambria"/>
          <w:sz w:val="20"/>
          <w:szCs w:val="20"/>
          <w:lang w:val="es-BO"/>
        </w:rPr>
        <w:t>,</w:t>
      </w:r>
      <w:r w:rsidR="005A0F2F" w:rsidRPr="008206E3">
        <w:rPr>
          <w:rFonts w:ascii="Cambria" w:hAnsi="Cambria"/>
          <w:sz w:val="20"/>
          <w:szCs w:val="20"/>
          <w:lang w:val="es-BO"/>
        </w:rPr>
        <w:t xml:space="preserve"> sin obtener resultado favorable</w:t>
      </w:r>
      <w:r w:rsidR="00365C0E" w:rsidRPr="008206E3">
        <w:rPr>
          <w:rFonts w:ascii="Cambria" w:hAnsi="Cambria"/>
          <w:sz w:val="20"/>
          <w:szCs w:val="20"/>
          <w:lang w:val="es-BO"/>
        </w:rPr>
        <w:t>.</w:t>
      </w:r>
      <w:r w:rsidR="0061078B" w:rsidRPr="008206E3">
        <w:rPr>
          <w:rFonts w:ascii="Cambria" w:hAnsi="Cambria"/>
          <w:sz w:val="20"/>
          <w:szCs w:val="20"/>
          <w:lang w:val="es-BO"/>
        </w:rPr>
        <w:t xml:space="preserve"> </w:t>
      </w:r>
      <w:r w:rsidRPr="008206E3">
        <w:rPr>
          <w:rFonts w:ascii="Cambria" w:hAnsi="Cambria"/>
          <w:sz w:val="20"/>
          <w:szCs w:val="20"/>
          <w:lang w:val="es-BO"/>
        </w:rPr>
        <w:t>Por lo tanto, en vista del contexto y las características del presente caso, la Comisión considera que la petición fue presentada dentro de un plazo razonable y que debe darse por satisfecho el requisito de admisibilidad referente al plazo de presentación</w:t>
      </w:r>
      <w:r w:rsidRPr="008206E3">
        <w:rPr>
          <w:rFonts w:ascii="Cambria" w:hAnsi="Cambria"/>
          <w:bCs/>
          <w:sz w:val="20"/>
          <w:szCs w:val="20"/>
          <w:lang w:val="es-BO"/>
        </w:rPr>
        <w:t>.</w:t>
      </w:r>
    </w:p>
    <w:p w:rsidR="00582141" w:rsidRPr="005A0F2F" w:rsidRDefault="005A396C" w:rsidP="00935E16">
      <w:pPr>
        <w:numPr>
          <w:ilvl w:val="0"/>
          <w:numId w:val="1"/>
        </w:numPr>
        <w:suppressAutoHyphens/>
        <w:spacing w:after="240" w:line="240" w:lineRule="auto"/>
        <w:jc w:val="both"/>
        <w:rPr>
          <w:rFonts w:ascii="Cambria" w:hAnsi="Cambria"/>
          <w:b/>
          <w:bCs/>
          <w:sz w:val="20"/>
          <w:szCs w:val="20"/>
          <w:lang w:val="es-BO"/>
        </w:rPr>
      </w:pPr>
      <w:r w:rsidRPr="005A0F2F">
        <w:rPr>
          <w:rFonts w:ascii="Cambria" w:hAnsi="Cambria"/>
          <w:sz w:val="20"/>
          <w:szCs w:val="20"/>
          <w:lang w:val="es-BO"/>
        </w:rPr>
        <w:t xml:space="preserve">Sin perjuicio de lo anteriormente mencionado, la Comisión </w:t>
      </w:r>
      <w:r w:rsidR="005936CA" w:rsidRPr="005A0F2F">
        <w:rPr>
          <w:rFonts w:ascii="Cambria" w:hAnsi="Cambria"/>
          <w:sz w:val="20"/>
          <w:szCs w:val="20"/>
          <w:lang w:val="es-BO"/>
        </w:rPr>
        <w:t>nota</w:t>
      </w:r>
      <w:r w:rsidRPr="005A0F2F">
        <w:rPr>
          <w:rFonts w:ascii="Cambria" w:hAnsi="Cambria"/>
          <w:sz w:val="20"/>
          <w:szCs w:val="20"/>
          <w:lang w:val="es-BO"/>
        </w:rPr>
        <w:t xml:space="preserve"> que el Estado, en su respuesta recibida el 24 de diciembre de 2013, señaló que la petición fue presentada extemporáneamente pues la sentencia de la Corte Constitucional se emitió el 6 de marzo de 2002 y la petición se presentó el 5 de noviembre de 2002, es decir</w:t>
      </w:r>
      <w:r w:rsidR="00604ADB" w:rsidRPr="005A0F2F">
        <w:rPr>
          <w:rFonts w:ascii="Cambria" w:hAnsi="Cambria"/>
          <w:sz w:val="20"/>
          <w:szCs w:val="20"/>
          <w:lang w:val="es-BO"/>
        </w:rPr>
        <w:t>,</w:t>
      </w:r>
      <w:r w:rsidRPr="005A0F2F">
        <w:rPr>
          <w:rFonts w:ascii="Cambria" w:hAnsi="Cambria"/>
          <w:sz w:val="20"/>
          <w:szCs w:val="20"/>
          <w:lang w:val="es-BO"/>
        </w:rPr>
        <w:t xml:space="preserve"> alrededor de 8 meses después de la última decisión judicial. Posteriormente, en sus observaciones adicionales </w:t>
      </w:r>
      <w:r w:rsidR="00604ADB" w:rsidRPr="005A0F2F">
        <w:rPr>
          <w:rFonts w:ascii="Cambria" w:hAnsi="Cambria"/>
          <w:sz w:val="20"/>
          <w:szCs w:val="20"/>
          <w:lang w:val="es-BO"/>
        </w:rPr>
        <w:t xml:space="preserve">recibidas </w:t>
      </w:r>
      <w:r w:rsidRPr="005A0F2F">
        <w:rPr>
          <w:rFonts w:ascii="Cambria" w:hAnsi="Cambria"/>
          <w:sz w:val="20"/>
          <w:szCs w:val="20"/>
          <w:lang w:val="es-BO"/>
        </w:rPr>
        <w:t xml:space="preserve">el 18 de julio de 2016, el Estado </w:t>
      </w:r>
      <w:r w:rsidR="005936CA" w:rsidRPr="005A0F2F">
        <w:rPr>
          <w:rFonts w:ascii="Cambria" w:hAnsi="Cambria"/>
          <w:sz w:val="20"/>
          <w:szCs w:val="20"/>
          <w:lang w:val="es-BO"/>
        </w:rPr>
        <w:t>indica</w:t>
      </w:r>
      <w:r w:rsidRPr="005A0F2F">
        <w:rPr>
          <w:rFonts w:ascii="Cambria" w:hAnsi="Cambria"/>
          <w:sz w:val="20"/>
          <w:szCs w:val="20"/>
          <w:lang w:val="es-BO"/>
        </w:rPr>
        <w:t xml:space="preserve"> que la</w:t>
      </w:r>
      <w:r w:rsidR="00DC31FD" w:rsidRPr="005A0F2F">
        <w:rPr>
          <w:rFonts w:ascii="Cambria" w:hAnsi="Cambria"/>
          <w:sz w:val="20"/>
          <w:szCs w:val="20"/>
          <w:lang w:val="es-BO"/>
        </w:rPr>
        <w:t xml:space="preserve"> presente</w:t>
      </w:r>
      <w:r w:rsidRPr="005A0F2F">
        <w:rPr>
          <w:rFonts w:ascii="Cambria" w:hAnsi="Cambria"/>
          <w:sz w:val="20"/>
          <w:szCs w:val="20"/>
          <w:lang w:val="es-BO"/>
        </w:rPr>
        <w:t xml:space="preserve"> petición fue interpuesta el 18 de enero de 2008, existiendo a su criterio, un lapso de 6 años que determinarían el incumplimiento del requisito del plazo establecido en la Convención. </w:t>
      </w:r>
      <w:r w:rsidR="0081474A" w:rsidRPr="005A0F2F">
        <w:rPr>
          <w:rFonts w:ascii="Cambria" w:hAnsi="Cambria"/>
          <w:sz w:val="20"/>
          <w:szCs w:val="20"/>
          <w:lang w:val="es-BO"/>
        </w:rPr>
        <w:t>En relación con este punto</w:t>
      </w:r>
      <w:r w:rsidR="005936CA" w:rsidRPr="005A0F2F">
        <w:rPr>
          <w:rFonts w:ascii="Cambria" w:hAnsi="Cambria"/>
          <w:sz w:val="20"/>
          <w:szCs w:val="20"/>
          <w:lang w:val="es-BO"/>
        </w:rPr>
        <w:t xml:space="preserve">, </w:t>
      </w:r>
      <w:r w:rsidR="007C3DB5">
        <w:rPr>
          <w:rFonts w:ascii="Cambria" w:hAnsi="Cambria"/>
          <w:sz w:val="20"/>
          <w:szCs w:val="20"/>
          <w:lang w:val="es-BO"/>
        </w:rPr>
        <w:t>la</w:t>
      </w:r>
      <w:r w:rsidR="00935E16" w:rsidRPr="005A0F2F">
        <w:rPr>
          <w:rFonts w:ascii="Cambria" w:hAnsi="Cambria"/>
          <w:sz w:val="20"/>
          <w:szCs w:val="20"/>
          <w:lang w:val="es-BO"/>
        </w:rPr>
        <w:t xml:space="preserve"> presunta víctima sostiene que la sentencia de 6 de marzo de 2002 le fue notificada el 20 de mayo de 2002 y adjunta a tal efecto, una constancia emitida por la Sala Jurisdiccional Disciplinaria del Consejo Seccional de la Judicatura de Cundinamarca. </w:t>
      </w:r>
      <w:r w:rsidR="0081474A" w:rsidRPr="005A0F2F">
        <w:rPr>
          <w:rFonts w:ascii="Cambria" w:hAnsi="Cambria"/>
          <w:sz w:val="20"/>
          <w:szCs w:val="20"/>
          <w:lang w:val="es-BO"/>
        </w:rPr>
        <w:t>Al respecto</w:t>
      </w:r>
      <w:r w:rsidR="00935E16" w:rsidRPr="005A0F2F">
        <w:rPr>
          <w:rFonts w:ascii="Cambria" w:hAnsi="Cambria"/>
          <w:sz w:val="20"/>
          <w:szCs w:val="20"/>
          <w:lang w:val="es-BO"/>
        </w:rPr>
        <w:t xml:space="preserve">, </w:t>
      </w:r>
      <w:r w:rsidR="005936CA" w:rsidRPr="005A0F2F">
        <w:rPr>
          <w:rFonts w:ascii="Cambria" w:hAnsi="Cambria"/>
          <w:sz w:val="20"/>
          <w:szCs w:val="20"/>
          <w:lang w:val="es-BO"/>
        </w:rPr>
        <w:t>la CIDH reitera que la petición fue prese</w:t>
      </w:r>
      <w:r w:rsidR="00935E16" w:rsidRPr="005A0F2F">
        <w:rPr>
          <w:rFonts w:ascii="Cambria" w:hAnsi="Cambria"/>
          <w:sz w:val="20"/>
          <w:szCs w:val="20"/>
          <w:lang w:val="es-BO"/>
        </w:rPr>
        <w:t xml:space="preserve">ntada el 5 de noviembre de 2002, fecha </w:t>
      </w:r>
      <w:r w:rsidR="0081474A" w:rsidRPr="005A0F2F">
        <w:rPr>
          <w:rFonts w:ascii="Cambria" w:hAnsi="Cambria"/>
          <w:sz w:val="20"/>
          <w:szCs w:val="20"/>
          <w:lang w:val="es-BO"/>
        </w:rPr>
        <w:t xml:space="preserve">a partir de </w:t>
      </w:r>
      <w:r w:rsidR="00935E16" w:rsidRPr="005A0F2F">
        <w:rPr>
          <w:rFonts w:ascii="Cambria" w:hAnsi="Cambria"/>
          <w:sz w:val="20"/>
          <w:szCs w:val="20"/>
          <w:lang w:val="es-BO"/>
        </w:rPr>
        <w:t xml:space="preserve">la cual </w:t>
      </w:r>
      <w:r w:rsidR="0081474A" w:rsidRPr="005A0F2F">
        <w:rPr>
          <w:rFonts w:ascii="Cambria" w:hAnsi="Cambria"/>
          <w:sz w:val="20"/>
          <w:szCs w:val="20"/>
          <w:lang w:val="es-BO"/>
        </w:rPr>
        <w:t>se determinó que el caso fue presentado en un plazo razonable.</w:t>
      </w:r>
    </w:p>
    <w:p w:rsidR="005A396C" w:rsidRPr="005A0F2F" w:rsidRDefault="005A396C" w:rsidP="00582141">
      <w:pPr>
        <w:suppressAutoHyphens/>
        <w:spacing w:after="240" w:line="240" w:lineRule="auto"/>
        <w:ind w:left="720"/>
        <w:jc w:val="both"/>
        <w:rPr>
          <w:rFonts w:ascii="Cambria" w:hAnsi="Cambria"/>
          <w:b/>
          <w:bCs/>
          <w:sz w:val="20"/>
          <w:szCs w:val="20"/>
          <w:lang w:val="es-BO"/>
        </w:rPr>
      </w:pPr>
      <w:r w:rsidRPr="005A0F2F">
        <w:rPr>
          <w:rFonts w:ascii="Cambria" w:hAnsi="Cambria"/>
          <w:b/>
          <w:bCs/>
          <w:sz w:val="20"/>
          <w:szCs w:val="20"/>
          <w:lang w:val="es-BO"/>
        </w:rPr>
        <w:t>3.</w:t>
      </w:r>
      <w:r w:rsidRPr="005A0F2F">
        <w:rPr>
          <w:rFonts w:ascii="Cambria" w:hAnsi="Cambria"/>
          <w:b/>
          <w:bCs/>
          <w:sz w:val="20"/>
          <w:szCs w:val="20"/>
          <w:lang w:val="es-BO"/>
        </w:rPr>
        <w:tab/>
        <w:t>Duplicación de procedimientos y cosa juzgada</w:t>
      </w:r>
      <w:r w:rsidRPr="005A0F2F">
        <w:rPr>
          <w:rFonts w:ascii="Cambria" w:hAnsi="Cambria"/>
          <w:b/>
          <w:bCs/>
          <w:i/>
          <w:sz w:val="20"/>
          <w:szCs w:val="20"/>
          <w:lang w:val="es-BO"/>
        </w:rPr>
        <w:t xml:space="preserve"> </w:t>
      </w:r>
      <w:r w:rsidRPr="005A0F2F">
        <w:rPr>
          <w:rFonts w:ascii="Cambria" w:hAnsi="Cambria"/>
          <w:b/>
          <w:bCs/>
          <w:sz w:val="20"/>
          <w:szCs w:val="20"/>
          <w:lang w:val="es-BO"/>
        </w:rPr>
        <w:t>internacional</w:t>
      </w:r>
    </w:p>
    <w:p w:rsidR="007B2740" w:rsidRPr="00D812C4" w:rsidRDefault="005A396C" w:rsidP="00D812C4">
      <w:pPr>
        <w:numPr>
          <w:ilvl w:val="0"/>
          <w:numId w:val="1"/>
        </w:numPr>
        <w:suppressAutoHyphens/>
        <w:spacing w:after="240" w:line="240" w:lineRule="auto"/>
        <w:jc w:val="both"/>
        <w:rPr>
          <w:rFonts w:ascii="Cambria" w:hAnsi="Cambria"/>
          <w:sz w:val="20"/>
          <w:szCs w:val="20"/>
          <w:lang w:val="es-BO"/>
        </w:rPr>
      </w:pPr>
      <w:r w:rsidRPr="005A0F2F">
        <w:rPr>
          <w:rFonts w:ascii="Cambria" w:hAnsi="Cambria"/>
          <w:sz w:val="20"/>
          <w:szCs w:val="20"/>
          <w:lang w:val="es-BO"/>
        </w:rPr>
        <w:t xml:space="preserve">No surge del expediente que la materia de la petición se encuentre pendiente de otro procedimiento de arreglo internacional, ni que reproduzca una petición ya examinada por éste u otro órgano </w:t>
      </w:r>
      <w:r w:rsidRPr="005A0F2F">
        <w:rPr>
          <w:rFonts w:ascii="Cambria" w:hAnsi="Cambria"/>
          <w:sz w:val="20"/>
          <w:szCs w:val="20"/>
          <w:lang w:val="es-BO"/>
        </w:rPr>
        <w:lastRenderedPageBreak/>
        <w:t>internacional. Por lo tanto, no son aplicables las causales</w:t>
      </w:r>
      <w:r w:rsidRPr="0096728B">
        <w:rPr>
          <w:rFonts w:ascii="Cambria" w:hAnsi="Cambria"/>
          <w:sz w:val="20"/>
          <w:szCs w:val="20"/>
          <w:lang w:val="es-BO"/>
        </w:rPr>
        <w:t xml:space="preserve"> de inadmisibilidad establecidas en los artículos 46.1.c y 47.d de la Convención y 33.1.a y 33.1.b del Reglamento.</w:t>
      </w:r>
    </w:p>
    <w:p w:rsidR="005A396C" w:rsidRPr="00082690" w:rsidRDefault="005A396C" w:rsidP="005A396C">
      <w:pPr>
        <w:spacing w:after="240" w:line="240" w:lineRule="auto"/>
        <w:ind w:firstLine="720"/>
        <w:jc w:val="both"/>
        <w:rPr>
          <w:rFonts w:ascii="Cambria" w:hAnsi="Cambria"/>
          <w:b/>
          <w:bCs/>
          <w:sz w:val="20"/>
          <w:szCs w:val="20"/>
          <w:lang w:val="es-ES"/>
        </w:rPr>
      </w:pPr>
      <w:r w:rsidRPr="00082690">
        <w:rPr>
          <w:rFonts w:ascii="Cambria" w:hAnsi="Cambria"/>
          <w:b/>
          <w:bCs/>
          <w:sz w:val="20"/>
          <w:szCs w:val="20"/>
          <w:lang w:val="es-ES"/>
        </w:rPr>
        <w:t>4.</w:t>
      </w:r>
      <w:r w:rsidRPr="00082690">
        <w:rPr>
          <w:rFonts w:ascii="Cambria" w:hAnsi="Cambria"/>
          <w:b/>
          <w:bCs/>
          <w:sz w:val="20"/>
          <w:szCs w:val="20"/>
          <w:lang w:val="es-ES"/>
        </w:rPr>
        <w:tab/>
        <w:t>Caracterización de los hechos alegados</w:t>
      </w:r>
    </w:p>
    <w:p w:rsidR="005A396C" w:rsidRPr="0096728B" w:rsidRDefault="005A396C" w:rsidP="005A396C">
      <w:pPr>
        <w:numPr>
          <w:ilvl w:val="0"/>
          <w:numId w:val="1"/>
        </w:numPr>
        <w:suppressAutoHyphens/>
        <w:spacing w:after="240" w:line="240" w:lineRule="auto"/>
        <w:jc w:val="both"/>
        <w:rPr>
          <w:rFonts w:ascii="Cambria" w:hAnsi="Cambria"/>
          <w:sz w:val="20"/>
          <w:szCs w:val="20"/>
          <w:lang w:val="es-BO"/>
        </w:rPr>
      </w:pPr>
      <w:r w:rsidRPr="0096728B">
        <w:rPr>
          <w:rFonts w:ascii="Cambria" w:hAnsi="Cambria"/>
          <w:sz w:val="20"/>
          <w:szCs w:val="20"/>
          <w:lang w:val="es-BO"/>
        </w:rPr>
        <w:t xml:space="preserve">A los efectos de la admisibilidad, la Comisión debe decidir si los hechos alegados pueden caracterizar una violación de derechos, según lo estipulado en los artículos 47.b de la Convención Americana y 34.a del Reglamento, o si la petición es "manifiestamente infundada" o es "evidente su total improcedencia", conforme a los artículos 47.c de la Convención Americana y 34.b del Reglamento.  El criterio para analizar la admisibilidad difiere del utilizado para el análisis del fondo de la petición dado que la Comisión sólo realiza un análisis </w:t>
      </w:r>
      <w:r w:rsidRPr="0096728B">
        <w:rPr>
          <w:rFonts w:ascii="Cambria" w:hAnsi="Cambria"/>
          <w:i/>
          <w:sz w:val="20"/>
          <w:szCs w:val="20"/>
          <w:lang w:val="es-BO"/>
        </w:rPr>
        <w:t>prima facie</w:t>
      </w:r>
      <w:r w:rsidRPr="0096728B">
        <w:rPr>
          <w:rFonts w:ascii="Cambria" w:hAnsi="Cambria"/>
          <w:sz w:val="20"/>
          <w:szCs w:val="20"/>
          <w:lang w:val="es-BO"/>
        </w:rPr>
        <w:t xml:space="preserve"> para determinar si los peticionarios establecen la aparente o posible violación de un derecho garantizado por la Convención Americana. Se trata de un análisis somero que no implica prejuzgar o emitir una opinión preliminar sobre el fondo del asunto.</w:t>
      </w:r>
    </w:p>
    <w:p w:rsidR="005A396C" w:rsidRPr="0096728B" w:rsidRDefault="005A396C" w:rsidP="005A396C">
      <w:pPr>
        <w:numPr>
          <w:ilvl w:val="0"/>
          <w:numId w:val="1"/>
        </w:numPr>
        <w:suppressAutoHyphens/>
        <w:spacing w:after="240" w:line="240" w:lineRule="auto"/>
        <w:jc w:val="both"/>
        <w:rPr>
          <w:rFonts w:ascii="Cambria" w:hAnsi="Cambria"/>
          <w:sz w:val="20"/>
          <w:szCs w:val="20"/>
          <w:lang w:val="es-BO"/>
        </w:rPr>
      </w:pPr>
      <w:r w:rsidRPr="0096728B">
        <w:rPr>
          <w:rFonts w:ascii="Cambria" w:hAnsi="Cambria"/>
          <w:sz w:val="20"/>
          <w:szCs w:val="20"/>
          <w:lang w:val="es-BO"/>
        </w:rPr>
        <w:t>Asimismo, los instrumentos jurídicos correspondientes no exigen a los peticionarios identificar los derechos específicos que se alegan violados por parte del Estado en un asunto sometido a la Comisión, aunque los peticionarios pueden hacerlo. Corresponde a la Comisión, con base en la jurisprudencia del sistema, determinar en sus informes de admisibilidad, qué disposición de los instrumentos interamericanos relevantes es aplicable y podría establecerse su violación si los hechos alegados son probados mediante elementos suficientes.</w:t>
      </w:r>
    </w:p>
    <w:p w:rsidR="005A396C" w:rsidRPr="0096728B" w:rsidRDefault="005A396C" w:rsidP="005A396C">
      <w:pPr>
        <w:pStyle w:val="BodyText"/>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96728B">
        <w:rPr>
          <w:rFonts w:ascii="Cambria" w:hAnsi="Cambria"/>
          <w:sz w:val="20"/>
          <w:szCs w:val="20"/>
        </w:rPr>
        <w:t>El peticionario sostiene</w:t>
      </w:r>
      <w:r w:rsidRPr="0096728B">
        <w:rPr>
          <w:rFonts w:ascii="Cambria" w:eastAsia="SimSun" w:hAnsi="Cambria"/>
          <w:sz w:val="20"/>
          <w:szCs w:val="20"/>
          <w:lang w:val="es-BO"/>
        </w:rPr>
        <w:t xml:space="preserve"> que </w:t>
      </w:r>
      <w:r w:rsidR="002C6DB4">
        <w:rPr>
          <w:rFonts w:ascii="Cambria" w:eastAsia="SimSun" w:hAnsi="Cambria"/>
          <w:sz w:val="20"/>
          <w:szCs w:val="20"/>
          <w:lang w:val="es-BO"/>
        </w:rPr>
        <w:t>fue</w:t>
      </w:r>
      <w:r w:rsidRPr="0096728B">
        <w:rPr>
          <w:rFonts w:ascii="Cambria" w:eastAsia="SimSun" w:hAnsi="Cambria"/>
          <w:sz w:val="20"/>
          <w:szCs w:val="20"/>
          <w:lang w:val="es-BO"/>
        </w:rPr>
        <w:t xml:space="preserve"> condenado en un proceso</w:t>
      </w:r>
      <w:r w:rsidRPr="0096728B">
        <w:rPr>
          <w:rFonts w:ascii="Cambria" w:eastAsia="SimSun" w:hAnsi="Cambria"/>
          <w:sz w:val="20"/>
          <w:szCs w:val="20"/>
        </w:rPr>
        <w:t xml:space="preserve"> penal que no le garantizó el juzgamiento en doble instancia, es decir que no pudo impugnar una sentencia dictada en su contra</w:t>
      </w:r>
      <w:r w:rsidRPr="0096728B">
        <w:rPr>
          <w:rFonts w:ascii="Cambria" w:eastAsia="SimSun" w:hAnsi="Cambria"/>
          <w:sz w:val="20"/>
          <w:szCs w:val="20"/>
          <w:lang w:val="es-BO"/>
        </w:rPr>
        <w:t xml:space="preserve">. </w:t>
      </w:r>
      <w:r w:rsidRPr="0096728B">
        <w:rPr>
          <w:rFonts w:ascii="Cambria" w:eastAsia="SimSun" w:hAnsi="Cambria"/>
          <w:sz w:val="20"/>
          <w:szCs w:val="20"/>
        </w:rPr>
        <w:t xml:space="preserve">A su vez, el Estado manifiesta que </w:t>
      </w:r>
      <w:r w:rsidRPr="0096728B">
        <w:rPr>
          <w:rFonts w:ascii="Cambria" w:hAnsi="Cambria"/>
          <w:sz w:val="20"/>
          <w:szCs w:val="20"/>
        </w:rPr>
        <w:t>el peticionario acudió a la vía constitucional a través de la acción de tutela y que puede interponer la acción de revisión si cuenta con nuevas pruebas que podrían revertir el fallo inicial</w:t>
      </w:r>
      <w:r w:rsidRPr="0096728B">
        <w:rPr>
          <w:rFonts w:ascii="Cambria" w:eastAsia="SimSun" w:hAnsi="Cambria"/>
          <w:sz w:val="20"/>
          <w:szCs w:val="20"/>
        </w:rPr>
        <w:t xml:space="preserve">. </w:t>
      </w:r>
      <w:r w:rsidRPr="0096728B">
        <w:rPr>
          <w:rFonts w:ascii="Cambria" w:hAnsi="Cambria"/>
          <w:sz w:val="20"/>
          <w:szCs w:val="20"/>
        </w:rPr>
        <w:t xml:space="preserve">En vista de los elementos de hecho y de derecho presentados por las partes y la naturaleza del asunto puesto bajo su conocimiento, la CIDH considera que, de ser probado el juzgamiento penal en única instancia, podría caracterizar posibles violaciones a los derechos protegidos en los artículos 8 y 25 de la Convención Americana, en concordancia con el artículo 1.1 y 2 de dicho tratado, en perjuicio </w:t>
      </w:r>
      <w:r w:rsidR="00FA054D">
        <w:rPr>
          <w:rFonts w:ascii="Cambria" w:hAnsi="Cambria"/>
          <w:sz w:val="20"/>
          <w:szCs w:val="20"/>
        </w:rPr>
        <w:t xml:space="preserve">de </w:t>
      </w:r>
      <w:r w:rsidRPr="0096728B">
        <w:rPr>
          <w:rFonts w:ascii="Cambria" w:hAnsi="Cambria"/>
          <w:sz w:val="20"/>
          <w:szCs w:val="20"/>
        </w:rPr>
        <w:t>Saulo Arboleda Gómez.</w:t>
      </w:r>
      <w:r w:rsidRPr="0096728B">
        <w:rPr>
          <w:rFonts w:ascii="Cambria" w:eastAsia="SimSun" w:hAnsi="Cambria"/>
          <w:i/>
          <w:color w:val="0070C0"/>
          <w:sz w:val="20"/>
          <w:szCs w:val="20"/>
        </w:rPr>
        <w:t xml:space="preserve"> </w:t>
      </w:r>
    </w:p>
    <w:p w:rsidR="005C6101" w:rsidRPr="008206E3" w:rsidRDefault="005A396C" w:rsidP="00F26A79">
      <w:pPr>
        <w:pStyle w:val="BodyText"/>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eastAsia="SimSun" w:hAnsi="Cambria"/>
          <w:color w:val="FF0000"/>
          <w:sz w:val="20"/>
          <w:szCs w:val="20"/>
          <w:lang w:val="es-BO"/>
        </w:rPr>
      </w:pPr>
      <w:r w:rsidRPr="008206E3">
        <w:rPr>
          <w:rFonts w:ascii="Cambria" w:hAnsi="Cambria"/>
          <w:sz w:val="20"/>
          <w:szCs w:val="20"/>
          <w:lang w:val="es-BO"/>
        </w:rPr>
        <w:t>Finalmente, respecto a la supuesta violación de</w:t>
      </w:r>
      <w:r w:rsidR="00347776" w:rsidRPr="008206E3">
        <w:rPr>
          <w:rFonts w:ascii="Cambria" w:hAnsi="Cambria"/>
          <w:sz w:val="20"/>
          <w:szCs w:val="20"/>
          <w:lang w:val="es-BO"/>
        </w:rPr>
        <w:t xml:space="preserve"> </w:t>
      </w:r>
      <w:r w:rsidRPr="008206E3">
        <w:rPr>
          <w:rFonts w:ascii="Cambria" w:hAnsi="Cambria"/>
          <w:sz w:val="20"/>
          <w:szCs w:val="20"/>
          <w:lang w:val="es-BO"/>
        </w:rPr>
        <w:t>l</w:t>
      </w:r>
      <w:r w:rsidR="00347776" w:rsidRPr="008206E3">
        <w:rPr>
          <w:rFonts w:ascii="Cambria" w:hAnsi="Cambria"/>
          <w:sz w:val="20"/>
          <w:szCs w:val="20"/>
          <w:lang w:val="es-BO"/>
        </w:rPr>
        <w:t>os</w:t>
      </w:r>
      <w:r w:rsidRPr="008206E3">
        <w:rPr>
          <w:rFonts w:ascii="Cambria" w:hAnsi="Cambria"/>
          <w:sz w:val="20"/>
          <w:szCs w:val="20"/>
          <w:lang w:val="es-BO"/>
        </w:rPr>
        <w:t xml:space="preserve"> derecho</w:t>
      </w:r>
      <w:r w:rsidR="00347776" w:rsidRPr="008206E3">
        <w:rPr>
          <w:rFonts w:ascii="Cambria" w:hAnsi="Cambria"/>
          <w:sz w:val="20"/>
          <w:szCs w:val="20"/>
          <w:lang w:val="es-BO"/>
        </w:rPr>
        <w:t>s</w:t>
      </w:r>
      <w:r w:rsidRPr="008206E3">
        <w:rPr>
          <w:rFonts w:ascii="Cambria" w:hAnsi="Cambria"/>
          <w:sz w:val="20"/>
          <w:szCs w:val="20"/>
          <w:lang w:val="es-BO"/>
        </w:rPr>
        <w:t xml:space="preserve"> </w:t>
      </w:r>
      <w:r w:rsidR="00347776" w:rsidRPr="008206E3">
        <w:rPr>
          <w:rFonts w:ascii="Cambria" w:hAnsi="Cambria"/>
          <w:sz w:val="20"/>
          <w:szCs w:val="20"/>
          <w:lang w:val="es-BO"/>
        </w:rPr>
        <w:t xml:space="preserve">a la honra y dignidad y </w:t>
      </w:r>
      <w:r w:rsidRPr="008206E3">
        <w:rPr>
          <w:rFonts w:ascii="Cambria" w:hAnsi="Cambria"/>
          <w:sz w:val="20"/>
          <w:szCs w:val="20"/>
          <w:lang w:val="es-BO"/>
        </w:rPr>
        <w:t>a la igualdad ante la ley contenido</w:t>
      </w:r>
      <w:r w:rsidR="00347776" w:rsidRPr="008206E3">
        <w:rPr>
          <w:rFonts w:ascii="Cambria" w:hAnsi="Cambria"/>
          <w:sz w:val="20"/>
          <w:szCs w:val="20"/>
          <w:lang w:val="es-BO"/>
        </w:rPr>
        <w:t>s</w:t>
      </w:r>
      <w:r w:rsidRPr="008206E3">
        <w:rPr>
          <w:rFonts w:ascii="Cambria" w:hAnsi="Cambria"/>
          <w:sz w:val="20"/>
          <w:szCs w:val="20"/>
          <w:lang w:val="es-BO"/>
        </w:rPr>
        <w:t xml:space="preserve"> en </w:t>
      </w:r>
      <w:r w:rsidR="00347776" w:rsidRPr="008206E3">
        <w:rPr>
          <w:rFonts w:ascii="Cambria" w:hAnsi="Cambria"/>
          <w:sz w:val="20"/>
          <w:szCs w:val="20"/>
          <w:lang w:val="es-BO"/>
        </w:rPr>
        <w:t>los artículos 11 y</w:t>
      </w:r>
      <w:r w:rsidRPr="008206E3">
        <w:rPr>
          <w:rFonts w:ascii="Cambria" w:hAnsi="Cambria"/>
          <w:sz w:val="20"/>
          <w:szCs w:val="20"/>
          <w:lang w:val="es-BO"/>
        </w:rPr>
        <w:t xml:space="preserve"> 24 de la Convención Americana, </w:t>
      </w:r>
      <w:r w:rsidRPr="008206E3">
        <w:rPr>
          <w:rFonts w:ascii="Cambria" w:hAnsi="Cambria"/>
          <w:sz w:val="20"/>
          <w:szCs w:val="20"/>
          <w:lang w:val="es-UY"/>
        </w:rPr>
        <w:t>la Comisión</w:t>
      </w:r>
      <w:r w:rsidR="00092858" w:rsidRPr="008206E3">
        <w:rPr>
          <w:rFonts w:ascii="Cambria" w:hAnsi="Cambria"/>
          <w:sz w:val="20"/>
          <w:szCs w:val="20"/>
          <w:lang w:val="es-UY"/>
        </w:rPr>
        <w:t xml:space="preserve"> considera</w:t>
      </w:r>
      <w:r w:rsidRPr="008206E3">
        <w:rPr>
          <w:rFonts w:ascii="Cambria" w:hAnsi="Cambria"/>
          <w:sz w:val="20"/>
          <w:szCs w:val="20"/>
          <w:lang w:val="es-UY"/>
        </w:rPr>
        <w:t xml:space="preserve"> que</w:t>
      </w:r>
      <w:r w:rsidR="00FE3E84" w:rsidRPr="008206E3">
        <w:rPr>
          <w:rFonts w:ascii="Cambria" w:hAnsi="Cambria"/>
          <w:sz w:val="20"/>
          <w:szCs w:val="20"/>
          <w:lang w:val="es-UY"/>
        </w:rPr>
        <w:t xml:space="preserve"> no existen alegatos o indicios suficientes que permitan identificar </w:t>
      </w:r>
      <w:r w:rsidR="00FE3E84" w:rsidRPr="008206E3">
        <w:rPr>
          <w:rFonts w:ascii="Cambria" w:hAnsi="Cambria"/>
          <w:i/>
          <w:sz w:val="20"/>
          <w:szCs w:val="20"/>
          <w:lang w:val="es-UY"/>
        </w:rPr>
        <w:t xml:space="preserve">prima facie </w:t>
      </w:r>
      <w:r w:rsidR="00FE3E84" w:rsidRPr="008206E3">
        <w:rPr>
          <w:rFonts w:ascii="Cambria" w:hAnsi="Cambria"/>
          <w:sz w:val="20"/>
          <w:szCs w:val="20"/>
          <w:lang w:val="es-UY"/>
        </w:rPr>
        <w:t>la violación de tal</w:t>
      </w:r>
      <w:r w:rsidR="006C0210" w:rsidRPr="008206E3">
        <w:rPr>
          <w:rFonts w:ascii="Cambria" w:hAnsi="Cambria"/>
          <w:sz w:val="20"/>
          <w:szCs w:val="20"/>
          <w:lang w:val="es-UY"/>
        </w:rPr>
        <w:t>es</w:t>
      </w:r>
      <w:r w:rsidR="00FE3E84" w:rsidRPr="008206E3">
        <w:rPr>
          <w:rFonts w:ascii="Cambria" w:hAnsi="Cambria"/>
          <w:sz w:val="20"/>
          <w:szCs w:val="20"/>
          <w:lang w:val="es-UY"/>
        </w:rPr>
        <w:t xml:space="preserve"> artículo</w:t>
      </w:r>
      <w:r w:rsidR="006C0210" w:rsidRPr="008206E3">
        <w:rPr>
          <w:rFonts w:ascii="Cambria" w:hAnsi="Cambria"/>
          <w:sz w:val="20"/>
          <w:szCs w:val="20"/>
          <w:lang w:val="es-UY"/>
        </w:rPr>
        <w:t>s</w:t>
      </w:r>
      <w:r w:rsidR="00092858" w:rsidRPr="008206E3">
        <w:rPr>
          <w:rFonts w:ascii="Cambria" w:hAnsi="Cambria"/>
          <w:sz w:val="20"/>
          <w:szCs w:val="20"/>
          <w:lang w:val="es-UY"/>
        </w:rPr>
        <w:t xml:space="preserve">. </w:t>
      </w:r>
      <w:r w:rsidR="003A3D9A" w:rsidRPr="008206E3">
        <w:rPr>
          <w:rFonts w:ascii="Cambria" w:hAnsi="Cambria"/>
          <w:sz w:val="20"/>
          <w:szCs w:val="20"/>
          <w:lang w:val="es-UY"/>
        </w:rPr>
        <w:t>Respecto del derecho a la igualdad ante la ley, l</w:t>
      </w:r>
      <w:r w:rsidR="00FA054D" w:rsidRPr="008206E3">
        <w:rPr>
          <w:rFonts w:ascii="Cambria" w:hAnsi="Cambria"/>
          <w:sz w:val="20"/>
          <w:szCs w:val="20"/>
          <w:lang w:val="es-UY"/>
        </w:rPr>
        <w:t xml:space="preserve">a Comisión nota que, según los alegatos de los propios peticionarios, </w:t>
      </w:r>
      <w:r w:rsidR="005C6101" w:rsidRPr="008206E3">
        <w:rPr>
          <w:rFonts w:ascii="Cambria" w:hAnsi="Cambria" w:cs="Arial"/>
          <w:sz w:val="20"/>
          <w:szCs w:val="20"/>
          <w:lang w:val="es-BO"/>
        </w:rPr>
        <w:t>la Sala Penal declaró la nulidad de lo actuado contra Rodrigo Villamizar por considerar que no había actuado como Ministro en funciones sino como particular, por lo que carecía de fuero especial.</w:t>
      </w:r>
    </w:p>
    <w:p w:rsidR="005A396C" w:rsidRPr="00F26A79" w:rsidRDefault="005A396C" w:rsidP="005A396C">
      <w:pPr>
        <w:spacing w:after="240" w:line="240" w:lineRule="auto"/>
        <w:ind w:firstLine="720"/>
        <w:jc w:val="both"/>
        <w:rPr>
          <w:rFonts w:ascii="Cambria" w:hAnsi="Cambria"/>
          <w:b/>
          <w:bCs/>
          <w:sz w:val="20"/>
          <w:szCs w:val="20"/>
          <w:lang w:val="es-BO"/>
        </w:rPr>
      </w:pPr>
      <w:r w:rsidRPr="00F26A79">
        <w:rPr>
          <w:rFonts w:ascii="Cambria" w:hAnsi="Cambria"/>
          <w:b/>
          <w:bCs/>
          <w:sz w:val="20"/>
          <w:szCs w:val="20"/>
          <w:lang w:val="es-BO"/>
        </w:rPr>
        <w:t>V.</w:t>
      </w:r>
      <w:r w:rsidRPr="00F26A79">
        <w:rPr>
          <w:rFonts w:ascii="Cambria" w:hAnsi="Cambria"/>
          <w:b/>
          <w:bCs/>
          <w:sz w:val="20"/>
          <w:szCs w:val="20"/>
          <w:lang w:val="es-BO"/>
        </w:rPr>
        <w:tab/>
        <w:t>CONCLUSIONES</w:t>
      </w:r>
    </w:p>
    <w:p w:rsidR="005A396C" w:rsidRPr="0096728B" w:rsidRDefault="005A396C" w:rsidP="005A396C">
      <w:pPr>
        <w:numPr>
          <w:ilvl w:val="0"/>
          <w:numId w:val="1"/>
        </w:numPr>
        <w:suppressAutoHyphens/>
        <w:spacing w:after="240" w:line="240" w:lineRule="auto"/>
        <w:jc w:val="both"/>
        <w:rPr>
          <w:rFonts w:ascii="Cambria" w:hAnsi="Cambria"/>
          <w:sz w:val="20"/>
          <w:szCs w:val="20"/>
          <w:lang w:val="es-BO"/>
        </w:rPr>
      </w:pPr>
      <w:r w:rsidRPr="0096728B">
        <w:rPr>
          <w:rFonts w:ascii="Cambria" w:hAnsi="Cambria"/>
          <w:sz w:val="20"/>
          <w:szCs w:val="20"/>
          <w:lang w:val="es-BO"/>
        </w:rPr>
        <w:t xml:space="preserve">Con fundamento en las consideraciones de hecho y de derecho expuestas, la Comisión Interamericana concluye que la presente petición satisface los requisitos de admisibilidad enunciados en los artículos 31 a 34 del Reglamento y 46 y 47 de la Convención Americana y, sin prejuzgar sobre el fondo del asunto, </w:t>
      </w:r>
    </w:p>
    <w:p w:rsidR="005A396C" w:rsidRPr="0096728B" w:rsidRDefault="005A396C" w:rsidP="006017C3">
      <w:pPr>
        <w:spacing w:after="240" w:line="240" w:lineRule="auto"/>
        <w:jc w:val="center"/>
        <w:rPr>
          <w:rFonts w:ascii="Cambria" w:hAnsi="Cambria"/>
          <w:b/>
          <w:bCs/>
          <w:sz w:val="20"/>
          <w:szCs w:val="20"/>
          <w:lang w:val="es-BO"/>
        </w:rPr>
      </w:pPr>
      <w:r w:rsidRPr="0096728B">
        <w:rPr>
          <w:rFonts w:ascii="Cambria" w:hAnsi="Cambria"/>
          <w:b/>
          <w:bCs/>
          <w:sz w:val="20"/>
          <w:szCs w:val="20"/>
          <w:lang w:val="es-BO"/>
        </w:rPr>
        <w:t>LA COMISIÓN INTERAMERICANA DE DERECHOS HUMANOS</w:t>
      </w:r>
    </w:p>
    <w:p w:rsidR="005A396C" w:rsidRPr="003C63F8" w:rsidRDefault="005A396C" w:rsidP="006017C3">
      <w:pPr>
        <w:spacing w:after="240" w:line="240" w:lineRule="auto"/>
        <w:jc w:val="both"/>
        <w:rPr>
          <w:rFonts w:ascii="Cambria" w:hAnsi="Cambria"/>
          <w:b/>
          <w:bCs/>
          <w:sz w:val="20"/>
          <w:szCs w:val="20"/>
          <w:lang w:val="es-ES"/>
        </w:rPr>
      </w:pPr>
      <w:r w:rsidRPr="003C63F8">
        <w:rPr>
          <w:rFonts w:ascii="Cambria" w:hAnsi="Cambria"/>
          <w:b/>
          <w:bCs/>
          <w:sz w:val="20"/>
          <w:szCs w:val="20"/>
          <w:lang w:val="es-ES"/>
        </w:rPr>
        <w:t>DECIDE:</w:t>
      </w:r>
    </w:p>
    <w:p w:rsidR="005A396C" w:rsidRPr="0096728B" w:rsidRDefault="005A396C" w:rsidP="005A396C">
      <w:pPr>
        <w:pStyle w:val="ListParagraph"/>
        <w:numPr>
          <w:ilvl w:val="1"/>
          <w:numId w:val="2"/>
        </w:numPr>
        <w:tabs>
          <w:tab w:val="clear" w:pos="1800"/>
          <w:tab w:val="num" w:pos="0"/>
        </w:tabs>
        <w:suppressAutoHyphens/>
        <w:spacing w:after="240"/>
        <w:ind w:left="0" w:firstLine="720"/>
        <w:jc w:val="both"/>
        <w:rPr>
          <w:sz w:val="20"/>
          <w:szCs w:val="20"/>
          <w:lang w:val="es-ES"/>
        </w:rPr>
      </w:pPr>
      <w:r w:rsidRPr="0096728B">
        <w:rPr>
          <w:sz w:val="20"/>
          <w:szCs w:val="20"/>
          <w:lang w:val="es-ES"/>
        </w:rPr>
        <w:t xml:space="preserve">Declarar admisible la presente petición en relación con </w:t>
      </w:r>
      <w:r w:rsidRPr="0096728B">
        <w:rPr>
          <w:sz w:val="20"/>
          <w:szCs w:val="20"/>
          <w:lang w:val="es-BO"/>
        </w:rPr>
        <w:t>el artículo</w:t>
      </w:r>
      <w:r w:rsidRPr="0096728B">
        <w:rPr>
          <w:sz w:val="20"/>
          <w:szCs w:val="20"/>
          <w:lang w:val="es-ES"/>
        </w:rPr>
        <w:t xml:space="preserve"> </w:t>
      </w:r>
      <w:r w:rsidRPr="0096728B">
        <w:rPr>
          <w:sz w:val="20"/>
          <w:szCs w:val="20"/>
          <w:lang w:val="es-BO"/>
        </w:rPr>
        <w:t>8 y 25 de la Convención Americana en conexión con las obligaciones establecidas en el artículo 1.1 y 2 del mismo instrumento</w:t>
      </w:r>
      <w:r w:rsidRPr="0096728B">
        <w:rPr>
          <w:sz w:val="20"/>
          <w:szCs w:val="20"/>
          <w:lang w:val="es-ES"/>
        </w:rPr>
        <w:t>.</w:t>
      </w:r>
    </w:p>
    <w:p w:rsidR="005A396C" w:rsidRPr="0096728B" w:rsidRDefault="005A396C" w:rsidP="005A396C">
      <w:pPr>
        <w:pStyle w:val="ListParagraph"/>
        <w:numPr>
          <w:ilvl w:val="1"/>
          <w:numId w:val="2"/>
        </w:numPr>
        <w:tabs>
          <w:tab w:val="clear" w:pos="1800"/>
          <w:tab w:val="num" w:pos="0"/>
        </w:tabs>
        <w:suppressAutoHyphens/>
        <w:spacing w:after="240"/>
        <w:ind w:left="0" w:firstLine="720"/>
        <w:jc w:val="both"/>
        <w:rPr>
          <w:sz w:val="20"/>
          <w:szCs w:val="20"/>
          <w:lang w:val="es-UY"/>
        </w:rPr>
      </w:pPr>
      <w:r w:rsidRPr="0096728B">
        <w:rPr>
          <w:sz w:val="20"/>
          <w:szCs w:val="20"/>
          <w:lang w:val="es-UY"/>
        </w:rPr>
        <w:t xml:space="preserve">Declarar inadmisible la presente petición en </w:t>
      </w:r>
      <w:r w:rsidR="00515B40">
        <w:rPr>
          <w:sz w:val="20"/>
          <w:szCs w:val="20"/>
          <w:lang w:val="es-UY"/>
        </w:rPr>
        <w:t xml:space="preserve">relación con </w:t>
      </w:r>
      <w:r w:rsidR="003A3D9A">
        <w:rPr>
          <w:sz w:val="20"/>
          <w:szCs w:val="20"/>
          <w:lang w:val="es-UY"/>
        </w:rPr>
        <w:t>los</w:t>
      </w:r>
      <w:r w:rsidR="00515B40">
        <w:rPr>
          <w:sz w:val="20"/>
          <w:szCs w:val="20"/>
          <w:lang w:val="es-UY"/>
        </w:rPr>
        <w:t xml:space="preserve"> artículo</w:t>
      </w:r>
      <w:r w:rsidR="003A3D9A">
        <w:rPr>
          <w:sz w:val="20"/>
          <w:szCs w:val="20"/>
          <w:lang w:val="es-UY"/>
        </w:rPr>
        <w:t>s</w:t>
      </w:r>
      <w:r w:rsidRPr="0096728B">
        <w:rPr>
          <w:sz w:val="20"/>
          <w:szCs w:val="20"/>
          <w:lang w:val="es-UY"/>
        </w:rPr>
        <w:t xml:space="preserve"> </w:t>
      </w:r>
      <w:r w:rsidR="003A3D9A">
        <w:rPr>
          <w:sz w:val="20"/>
          <w:szCs w:val="20"/>
          <w:lang w:val="es-UY"/>
        </w:rPr>
        <w:t xml:space="preserve">11 y </w:t>
      </w:r>
      <w:r w:rsidRPr="0096728B">
        <w:rPr>
          <w:sz w:val="20"/>
          <w:szCs w:val="20"/>
          <w:lang w:val="es-UY"/>
        </w:rPr>
        <w:t>24 de la Convención Americana;</w:t>
      </w:r>
    </w:p>
    <w:p w:rsidR="005A396C" w:rsidRPr="0096728B" w:rsidRDefault="005A396C" w:rsidP="005A396C">
      <w:pPr>
        <w:pStyle w:val="ListParagraph"/>
        <w:numPr>
          <w:ilvl w:val="1"/>
          <w:numId w:val="2"/>
        </w:numPr>
        <w:tabs>
          <w:tab w:val="clear" w:pos="1800"/>
          <w:tab w:val="num" w:pos="0"/>
        </w:tabs>
        <w:suppressAutoHyphens/>
        <w:spacing w:after="240"/>
        <w:ind w:left="0" w:firstLine="720"/>
        <w:jc w:val="both"/>
        <w:rPr>
          <w:sz w:val="20"/>
          <w:szCs w:val="20"/>
          <w:lang w:val="es-ES"/>
        </w:rPr>
      </w:pPr>
      <w:r w:rsidRPr="0096728B">
        <w:rPr>
          <w:sz w:val="20"/>
          <w:szCs w:val="20"/>
          <w:lang w:val="es-ES"/>
        </w:rPr>
        <w:lastRenderedPageBreak/>
        <w:t>Notificar a las partes la presente decisión;</w:t>
      </w:r>
    </w:p>
    <w:p w:rsidR="005A396C" w:rsidRPr="0096728B" w:rsidRDefault="005A396C" w:rsidP="005A396C">
      <w:pPr>
        <w:pStyle w:val="ListParagraph"/>
        <w:numPr>
          <w:ilvl w:val="1"/>
          <w:numId w:val="2"/>
        </w:numPr>
        <w:tabs>
          <w:tab w:val="clear" w:pos="1800"/>
          <w:tab w:val="num" w:pos="0"/>
        </w:tabs>
        <w:suppressAutoHyphens/>
        <w:spacing w:after="240"/>
        <w:ind w:left="0" w:firstLine="720"/>
        <w:jc w:val="both"/>
        <w:rPr>
          <w:sz w:val="20"/>
          <w:szCs w:val="20"/>
          <w:lang w:val="es-ES"/>
        </w:rPr>
      </w:pPr>
      <w:r w:rsidRPr="0096728B">
        <w:rPr>
          <w:sz w:val="20"/>
          <w:szCs w:val="20"/>
          <w:lang w:val="es-ES"/>
        </w:rPr>
        <w:t>Continuar con el análisis del fondo de la cuestión; y</w:t>
      </w:r>
    </w:p>
    <w:p w:rsidR="00D812C4" w:rsidRPr="00D812C4" w:rsidRDefault="005A396C" w:rsidP="00D812C4">
      <w:pPr>
        <w:pStyle w:val="ListParagraph"/>
        <w:numPr>
          <w:ilvl w:val="1"/>
          <w:numId w:val="2"/>
        </w:numPr>
        <w:tabs>
          <w:tab w:val="clear" w:pos="1800"/>
          <w:tab w:val="num" w:pos="0"/>
        </w:tabs>
        <w:suppressAutoHyphens/>
        <w:spacing w:after="240"/>
        <w:ind w:left="0" w:firstLine="720"/>
        <w:jc w:val="both"/>
        <w:rPr>
          <w:sz w:val="20"/>
          <w:szCs w:val="20"/>
          <w:lang w:val="es-ES"/>
        </w:rPr>
      </w:pPr>
      <w:r w:rsidRPr="0096728B">
        <w:rPr>
          <w:sz w:val="20"/>
          <w:szCs w:val="20"/>
          <w:lang w:val="es-ES"/>
        </w:rPr>
        <w:t>Publicar esta decisión e incluirla en su Informe Anual a la Asamblea General de la Organiz</w:t>
      </w:r>
      <w:r w:rsidR="00D812C4">
        <w:rPr>
          <w:sz w:val="20"/>
          <w:szCs w:val="20"/>
          <w:lang w:val="es-ES"/>
        </w:rPr>
        <w:t>ación de los Estados Americanos.</w:t>
      </w:r>
    </w:p>
    <w:p w:rsidR="00D812C4" w:rsidRPr="00D812C4" w:rsidRDefault="00D812C4" w:rsidP="00D812C4">
      <w:pPr>
        <w:pBdr>
          <w:top w:val="nil"/>
          <w:left w:val="nil"/>
          <w:bottom w:val="nil"/>
          <w:right w:val="nil"/>
          <w:between w:val="nil"/>
          <w:bar w:val="nil"/>
        </w:pBdr>
        <w:spacing w:after="0" w:line="240" w:lineRule="auto"/>
        <w:ind w:firstLine="720"/>
        <w:jc w:val="both"/>
        <w:rPr>
          <w:rFonts w:ascii="Cambria" w:eastAsia="Arial Unicode MS" w:hAnsi="Cambria" w:cs="Arial"/>
          <w:noProof/>
          <w:spacing w:val="-2"/>
          <w:sz w:val="20"/>
          <w:szCs w:val="20"/>
          <w:bdr w:val="nil"/>
          <w:lang w:val="es-CL"/>
        </w:rPr>
      </w:pPr>
      <w:r w:rsidRPr="00D812C4">
        <w:rPr>
          <w:rFonts w:ascii="Cambria" w:eastAsia="Arial Unicode MS" w:hAnsi="Cambria" w:cs="Arial"/>
          <w:noProof/>
          <w:spacing w:val="-2"/>
          <w:sz w:val="20"/>
          <w:szCs w:val="20"/>
          <w:bdr w:val="nil"/>
          <w:lang w:val="es-CL"/>
        </w:rPr>
        <w:t xml:space="preserve">Dado </w:t>
      </w:r>
      <w:r w:rsidR="003B5459">
        <w:rPr>
          <w:rFonts w:ascii="Cambria" w:eastAsia="Arial Unicode MS" w:hAnsi="Cambria" w:cs="Arial"/>
          <w:noProof/>
          <w:spacing w:val="-2"/>
          <w:sz w:val="20"/>
          <w:szCs w:val="20"/>
          <w:bdr w:val="nil"/>
          <w:lang w:val="es-CL"/>
        </w:rPr>
        <w:t>y firmado en la ciudad de Panamá</w:t>
      </w:r>
      <w:r w:rsidRPr="00D812C4">
        <w:rPr>
          <w:rFonts w:ascii="Cambria" w:eastAsia="Arial Unicode MS" w:hAnsi="Cambria" w:cs="Arial"/>
          <w:noProof/>
          <w:spacing w:val="-2"/>
          <w:sz w:val="20"/>
          <w:szCs w:val="20"/>
          <w:bdr w:val="nil"/>
          <w:lang w:val="es-CL"/>
        </w:rPr>
        <w:t xml:space="preserve">, a los </w:t>
      </w:r>
      <w:r>
        <w:rPr>
          <w:rFonts w:ascii="Cambria" w:eastAsia="Arial Unicode MS" w:hAnsi="Cambria" w:cs="Arial"/>
          <w:noProof/>
          <w:spacing w:val="-2"/>
          <w:sz w:val="20"/>
          <w:szCs w:val="20"/>
          <w:bdr w:val="nil"/>
          <w:lang w:val="es-CL"/>
        </w:rPr>
        <w:t>6</w:t>
      </w:r>
      <w:r w:rsidRPr="00D812C4">
        <w:rPr>
          <w:rFonts w:ascii="Cambria" w:eastAsia="Arial Unicode MS" w:hAnsi="Cambria" w:cs="Arial"/>
          <w:noProof/>
          <w:spacing w:val="-2"/>
          <w:sz w:val="20"/>
          <w:szCs w:val="20"/>
          <w:bdr w:val="nil"/>
          <w:lang w:val="es-CL"/>
        </w:rPr>
        <w:t xml:space="preserve"> días del mes de diciembre de 2016</w:t>
      </w:r>
      <w:r>
        <w:rPr>
          <w:rFonts w:ascii="Cambria" w:eastAsia="Arial Unicode MS" w:hAnsi="Cambria" w:cs="Arial"/>
          <w:noProof/>
          <w:spacing w:val="-2"/>
          <w:sz w:val="20"/>
          <w:szCs w:val="20"/>
          <w:bdr w:val="nil"/>
          <w:lang w:val="es-CL"/>
        </w:rPr>
        <w:t xml:space="preserve">. </w:t>
      </w:r>
      <w:r w:rsidRPr="00D812C4">
        <w:rPr>
          <w:rFonts w:ascii="Cambria" w:eastAsia="Arial Unicode MS" w:hAnsi="Cambria" w:cs="Arial"/>
          <w:noProof/>
          <w:spacing w:val="-2"/>
          <w:sz w:val="20"/>
          <w:szCs w:val="20"/>
          <w:bdr w:val="nil"/>
          <w:lang w:val="es-CL"/>
        </w:rPr>
        <w:t>(Firmado): James L. Cavallaro, Presidente; Francisco José Eguiguren, Primer Vicepresidente; Margarette May Macaulay, Segunda Vicepresidenta; José de Jesús Orozco Henríquez, Paulo Vannuchi,</w:t>
      </w:r>
      <w:r>
        <w:rPr>
          <w:rFonts w:ascii="Cambria" w:eastAsia="Arial Unicode MS" w:hAnsi="Cambria" w:cs="Arial"/>
          <w:noProof/>
          <w:spacing w:val="-2"/>
          <w:sz w:val="20"/>
          <w:szCs w:val="20"/>
          <w:bdr w:val="nil"/>
          <w:lang w:val="es-CL"/>
        </w:rPr>
        <w:t xml:space="preserve"> y</w:t>
      </w:r>
      <w:r w:rsidRPr="00D812C4">
        <w:rPr>
          <w:rFonts w:ascii="Cambria" w:eastAsia="Arial Unicode MS" w:hAnsi="Cambria" w:cs="Arial"/>
          <w:noProof/>
          <w:spacing w:val="-2"/>
          <w:sz w:val="20"/>
          <w:szCs w:val="20"/>
          <w:bdr w:val="nil"/>
          <w:lang w:val="es-CL"/>
        </w:rPr>
        <w:t xml:space="preserve"> Esmeralda E. Arosema Bernal de Troitiño, Miembros de la Comisión.</w:t>
      </w:r>
      <w:r w:rsidRPr="00D812C4">
        <w:rPr>
          <w:rFonts w:ascii="Cambria" w:eastAsia="Arial Unicode MS" w:hAnsi="Cambria" w:cs="Arial"/>
          <w:noProof/>
          <w:sz w:val="20"/>
          <w:szCs w:val="20"/>
          <w:bdr w:val="nil"/>
          <w:lang w:val="es-CL"/>
        </w:rPr>
        <w:t xml:space="preserve"> </w:t>
      </w:r>
    </w:p>
    <w:p w:rsidR="00D812C4" w:rsidRPr="00D812C4" w:rsidRDefault="00D812C4" w:rsidP="00D812C4">
      <w:pPr>
        <w:pBdr>
          <w:top w:val="nil"/>
          <w:left w:val="nil"/>
          <w:bottom w:val="nil"/>
          <w:right w:val="nil"/>
          <w:between w:val="nil"/>
          <w:bar w:val="nil"/>
        </w:pBdr>
        <w:suppressAutoHyphens/>
        <w:spacing w:after="0" w:line="240" w:lineRule="auto"/>
        <w:ind w:firstLine="720"/>
        <w:jc w:val="both"/>
        <w:rPr>
          <w:rFonts w:ascii="Cambria" w:eastAsia="Arial Unicode MS" w:hAnsi="Cambria" w:cs="Arial"/>
          <w:noProof/>
          <w:spacing w:val="-2"/>
          <w:sz w:val="20"/>
          <w:szCs w:val="20"/>
          <w:bdr w:val="nil"/>
          <w:lang w:val="es-CL"/>
        </w:rPr>
      </w:pPr>
    </w:p>
    <w:sectPr w:rsidR="00D812C4" w:rsidRPr="00D812C4" w:rsidSect="0096728B">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6A08" w:rsidRDefault="00A86A08" w:rsidP="005A396C">
      <w:pPr>
        <w:spacing w:after="0" w:line="240" w:lineRule="auto"/>
      </w:pPr>
      <w:r>
        <w:separator/>
      </w:r>
    </w:p>
  </w:endnote>
  <w:endnote w:type="continuationSeparator" w:id="0">
    <w:p w:rsidR="00A86A08" w:rsidRDefault="00A86A08" w:rsidP="005A39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Univers">
    <w:panose1 w:val="020B0603020202030204"/>
    <w:charset w:val="00"/>
    <w:family w:val="swiss"/>
    <w:pitch w:val="variable"/>
    <w:sig w:usb0="00000007" w:usb1="00000000" w:usb2="00000000" w:usb3="00000000" w:csb0="00000093"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4E6F" w:rsidRDefault="00B34E6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396C" w:rsidRPr="00934A2C" w:rsidRDefault="005A396C">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B34E6F">
      <w:rPr>
        <w:noProof/>
        <w:sz w:val="16"/>
        <w:szCs w:val="22"/>
      </w:rPr>
      <w:t>1</w:t>
    </w:r>
    <w:r w:rsidRPr="00934A2C">
      <w:rPr>
        <w:noProof/>
        <w:sz w:val="16"/>
        <w:szCs w:val="22"/>
      </w:rPr>
      <w:fldChar w:fldCharType="end"/>
    </w:r>
  </w:p>
  <w:p w:rsidR="005A396C" w:rsidRDefault="005A396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396C" w:rsidRPr="00934A2C" w:rsidRDefault="005A396C">
    <w:pPr>
      <w:pStyle w:val="Footer"/>
      <w:jc w:val="center"/>
      <w:rPr>
        <w:sz w:val="16"/>
        <w:szCs w:val="22"/>
      </w:rPr>
    </w:pPr>
  </w:p>
  <w:p w:rsidR="005A396C" w:rsidRDefault="005A396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6A08" w:rsidRDefault="00A86A08" w:rsidP="005A396C">
      <w:pPr>
        <w:spacing w:after="0" w:line="240" w:lineRule="auto"/>
      </w:pPr>
      <w:r>
        <w:separator/>
      </w:r>
    </w:p>
  </w:footnote>
  <w:footnote w:type="continuationSeparator" w:id="0">
    <w:p w:rsidR="00A86A08" w:rsidRDefault="00A86A08" w:rsidP="005A396C">
      <w:pPr>
        <w:spacing w:after="0" w:line="240" w:lineRule="auto"/>
      </w:pPr>
      <w:r>
        <w:continuationSeparator/>
      </w:r>
    </w:p>
  </w:footnote>
  <w:footnote w:id="1">
    <w:p w:rsidR="005A396C" w:rsidRPr="00537490" w:rsidRDefault="005A396C" w:rsidP="00DC31FD">
      <w:pPr>
        <w:pStyle w:val="FootnoteText"/>
        <w:spacing w:before="120" w:after="120"/>
        <w:ind w:firstLine="720"/>
        <w:jc w:val="both"/>
        <w:rPr>
          <w:rFonts w:ascii="Cambria" w:hAnsi="Cambria"/>
          <w:color w:val="0070C0"/>
          <w:sz w:val="16"/>
          <w:szCs w:val="16"/>
          <w:lang w:val="es-MX"/>
        </w:rPr>
      </w:pPr>
      <w:r w:rsidRPr="007A5062">
        <w:rPr>
          <w:rStyle w:val="FootnoteReference"/>
          <w:rFonts w:ascii="Cambria" w:hAnsi="Cambria"/>
          <w:color w:val="auto"/>
          <w:sz w:val="16"/>
          <w:szCs w:val="16"/>
        </w:rPr>
        <w:footnoteRef/>
      </w:r>
      <w:r w:rsidRPr="007A5062">
        <w:rPr>
          <w:rFonts w:ascii="Cambria" w:hAnsi="Cambria"/>
          <w:color w:val="auto"/>
          <w:sz w:val="16"/>
          <w:szCs w:val="16"/>
          <w:lang w:val="es-MX"/>
        </w:rPr>
        <w:t xml:space="preserve"> Conforme </w:t>
      </w:r>
      <w:r w:rsidRPr="007A5062">
        <w:rPr>
          <w:rFonts w:ascii="Cambria" w:hAnsi="Cambria" w:cs="Arial"/>
          <w:color w:val="auto"/>
          <w:sz w:val="16"/>
          <w:szCs w:val="16"/>
          <w:lang w:val="es-ES"/>
        </w:rPr>
        <w:t xml:space="preserve">a lo dispuesto en el artículo 17.2.a del Reglamento de la Comisión, </w:t>
      </w:r>
      <w:r>
        <w:rPr>
          <w:rFonts w:ascii="Cambria" w:hAnsi="Cambria" w:cs="Arial"/>
          <w:color w:val="auto"/>
          <w:sz w:val="16"/>
          <w:szCs w:val="16"/>
          <w:lang w:val="es-ES"/>
        </w:rPr>
        <w:t>el Comisionado Enrique Gil Botero, de nacionalidad colombiana</w:t>
      </w:r>
      <w:r w:rsidRPr="007A5062">
        <w:rPr>
          <w:rFonts w:ascii="Cambria" w:hAnsi="Cambria" w:cs="Arial"/>
          <w:color w:val="auto"/>
          <w:sz w:val="16"/>
          <w:szCs w:val="16"/>
          <w:lang w:val="es-ES"/>
        </w:rPr>
        <w:t xml:space="preserve">, no participó en el debate ni en la decisión del presente asunto. </w:t>
      </w:r>
    </w:p>
  </w:footnote>
  <w:footnote w:id="2">
    <w:p w:rsidR="005A396C" w:rsidRPr="004651BE" w:rsidRDefault="005A396C" w:rsidP="00E20B27">
      <w:pPr>
        <w:pStyle w:val="FootnoteText"/>
        <w:spacing w:before="120"/>
        <w:ind w:firstLine="851"/>
        <w:jc w:val="both"/>
        <w:rPr>
          <w:lang w:val="es-BO"/>
        </w:rPr>
      </w:pPr>
      <w:r w:rsidRPr="005A396C">
        <w:rPr>
          <w:rStyle w:val="FootnoteReference"/>
          <w:rFonts w:ascii="Cambria" w:hAnsi="Cambria"/>
          <w:sz w:val="16"/>
          <w:szCs w:val="16"/>
        </w:rPr>
        <w:footnoteRef/>
      </w:r>
      <w:r w:rsidRPr="005A396C">
        <w:rPr>
          <w:rFonts w:ascii="Cambria" w:hAnsi="Cambria"/>
          <w:sz w:val="16"/>
          <w:szCs w:val="16"/>
          <w:lang w:val="pt-BR"/>
        </w:rPr>
        <w:t xml:space="preserve"> CIDH, Informe No. 34/07. Admisibilidad. Liakat Ali Alibux. </w:t>
      </w:r>
      <w:r w:rsidRPr="00E50990">
        <w:rPr>
          <w:rFonts w:ascii="Cambria" w:hAnsi="Cambria"/>
          <w:sz w:val="16"/>
          <w:szCs w:val="16"/>
          <w:lang w:val="es-ES"/>
        </w:rPr>
        <w:t xml:space="preserve">Suriname. 9 de marzo de 2007, párr. 46; Corte IDH, Liakat Ali Alibux Vs. </w:t>
      </w:r>
      <w:r w:rsidRPr="005A396C">
        <w:rPr>
          <w:rFonts w:ascii="Cambria" w:hAnsi="Cambria"/>
          <w:sz w:val="16"/>
          <w:szCs w:val="16"/>
          <w:lang w:val="es-BO"/>
        </w:rPr>
        <w:t>Surinam. Excepciones Preliminares, Fondo y Reparaciones. Sentencia de 30 de enero de 2014. Serie C No. 276, párr. 15.</w:t>
      </w:r>
    </w:p>
  </w:footnote>
  <w:footnote w:id="3">
    <w:p w:rsidR="00E20B27" w:rsidRPr="00E20B27" w:rsidRDefault="00E20B27" w:rsidP="00E20B27">
      <w:pPr>
        <w:pStyle w:val="FootnoteText"/>
        <w:spacing w:before="120"/>
        <w:ind w:firstLine="851"/>
        <w:jc w:val="both"/>
        <w:rPr>
          <w:lang w:val="es-BO"/>
        </w:rPr>
      </w:pPr>
      <w:r>
        <w:rPr>
          <w:rStyle w:val="FootnoteReference"/>
        </w:rPr>
        <w:footnoteRef/>
      </w:r>
      <w:r w:rsidRPr="00AD17C9">
        <w:rPr>
          <w:lang w:val="es-ES"/>
        </w:rPr>
        <w:t xml:space="preserve"> </w:t>
      </w:r>
      <w:r w:rsidRPr="00AD17C9">
        <w:rPr>
          <w:rFonts w:ascii="Cambria" w:hAnsi="Cambria"/>
          <w:sz w:val="16"/>
          <w:szCs w:val="16"/>
          <w:lang w:val="es-ES"/>
        </w:rPr>
        <w:t xml:space="preserve">CIDH, Informe No. 33/14. Fondo. Caso 12.820. Manfred Amrhein y otros. </w:t>
      </w:r>
      <w:r w:rsidRPr="00E50990">
        <w:rPr>
          <w:rFonts w:ascii="Cambria" w:hAnsi="Cambria"/>
          <w:sz w:val="16"/>
          <w:szCs w:val="16"/>
          <w:lang w:val="es-ES"/>
        </w:rPr>
        <w:t>Costa Rica. 4 de abril de 2014, párr. 203;</w:t>
      </w:r>
    </w:p>
  </w:footnote>
  <w:footnote w:id="4">
    <w:p w:rsidR="00DC31FD" w:rsidRPr="005A396C" w:rsidRDefault="00DC31FD" w:rsidP="00807099">
      <w:pPr>
        <w:pStyle w:val="FootnoteText"/>
        <w:spacing w:before="120"/>
        <w:ind w:firstLine="851"/>
        <w:jc w:val="both"/>
        <w:rPr>
          <w:rFonts w:ascii="Cambria" w:hAnsi="Cambria"/>
          <w:sz w:val="16"/>
          <w:szCs w:val="16"/>
          <w:lang w:val="pt-BR"/>
        </w:rPr>
      </w:pPr>
      <w:r w:rsidRPr="005A396C">
        <w:rPr>
          <w:rStyle w:val="FootnoteReference"/>
          <w:rFonts w:ascii="Cambria" w:hAnsi="Cambria"/>
          <w:sz w:val="16"/>
          <w:szCs w:val="16"/>
        </w:rPr>
        <w:footnoteRef/>
      </w:r>
      <w:r w:rsidRPr="005A396C">
        <w:rPr>
          <w:rFonts w:ascii="Cambria" w:hAnsi="Cambria"/>
          <w:sz w:val="16"/>
          <w:szCs w:val="16"/>
          <w:lang w:val="es-BO"/>
        </w:rPr>
        <w:t xml:space="preserve"> CIDH, Info</w:t>
      </w:r>
      <w:r w:rsidR="00E20B27">
        <w:rPr>
          <w:rFonts w:ascii="Cambria" w:hAnsi="Cambria"/>
          <w:sz w:val="16"/>
          <w:szCs w:val="16"/>
          <w:lang w:val="es-BO"/>
        </w:rPr>
        <w:t xml:space="preserve">rme Nº 20/14 </w:t>
      </w:r>
      <w:r w:rsidRPr="005A396C">
        <w:rPr>
          <w:rFonts w:ascii="Cambria" w:hAnsi="Cambria"/>
          <w:sz w:val="16"/>
          <w:szCs w:val="16"/>
          <w:lang w:val="es-BO"/>
        </w:rPr>
        <w:t>Admisibilidad</w:t>
      </w:r>
      <w:r w:rsidR="00E20B27">
        <w:rPr>
          <w:rFonts w:ascii="Cambria" w:hAnsi="Cambria"/>
          <w:sz w:val="16"/>
          <w:szCs w:val="16"/>
          <w:lang w:val="es-BO"/>
        </w:rPr>
        <w:t>.</w:t>
      </w:r>
      <w:r w:rsidRPr="005A396C">
        <w:rPr>
          <w:rFonts w:ascii="Cambria" w:hAnsi="Cambria"/>
          <w:sz w:val="16"/>
          <w:szCs w:val="16"/>
          <w:lang w:val="es-BO"/>
        </w:rPr>
        <w:t xml:space="preserve"> Petición 1566-07, Comunidades del Pueblo Maya Sipakepense y Mam de los Municipios de Sipacapa y San Miguel Ixtahuacán, Guatemala, 3 de abril de 2014, párr. </w:t>
      </w:r>
      <w:r w:rsidRPr="005A396C">
        <w:rPr>
          <w:rFonts w:ascii="Cambria" w:hAnsi="Cambria"/>
          <w:sz w:val="16"/>
          <w:szCs w:val="16"/>
          <w:lang w:val="pt-BR"/>
        </w:rPr>
        <w:t>41.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396C" w:rsidRDefault="005A396C" w:rsidP="0096728B">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5A396C" w:rsidRDefault="005A396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396C" w:rsidRDefault="006017C3" w:rsidP="0096728B">
    <w:pPr>
      <w:pStyle w:val="Header"/>
      <w:tabs>
        <w:tab w:val="clear" w:pos="4320"/>
        <w:tab w:val="clear" w:pos="8640"/>
      </w:tabs>
      <w:jc w:val="center"/>
      <w:rPr>
        <w:sz w:val="22"/>
        <w:szCs w:val="22"/>
      </w:rPr>
    </w:pPr>
    <w:r>
      <w:rPr>
        <w:noProof/>
        <w:sz w:val="22"/>
        <w:szCs w:val="22"/>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7" type="#_x0000_t75" style="width:155.25pt;height:8.15pt;visibility:visible">
          <v:imagedata r:id="rId1" o:title="cidh-peq"/>
        </v:shape>
      </w:pict>
    </w:r>
  </w:p>
  <w:p w:rsidR="005A396C" w:rsidRPr="00EC7D62" w:rsidRDefault="00A86A08" w:rsidP="0096728B">
    <w:pPr>
      <w:pStyle w:val="Header"/>
      <w:tabs>
        <w:tab w:val="clear" w:pos="4320"/>
        <w:tab w:val="clear" w:pos="8640"/>
      </w:tabs>
      <w:jc w:val="center"/>
      <w:rPr>
        <w:sz w:val="22"/>
        <w:szCs w:val="22"/>
      </w:rPr>
    </w:pPr>
    <w:r>
      <w:rPr>
        <w:sz w:val="22"/>
        <w:szCs w:val="22"/>
      </w:rPr>
      <w:pict>
        <v:rect id="_x0000_i1028"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4E6F" w:rsidRDefault="00B34E6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17492"/>
    <w:multiLevelType w:val="hybridMultilevel"/>
    <w:tmpl w:val="D62E4E4E"/>
    <w:lvl w:ilvl="0" w:tplc="5434D8A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E1D2261"/>
    <w:multiLevelType w:val="hybridMultilevel"/>
    <w:tmpl w:val="E96A3F38"/>
    <w:lvl w:ilvl="0" w:tplc="CECCEC84">
      <w:start w:val="1"/>
      <w:numFmt w:val="decimal"/>
      <w:lvlText w:val="%1."/>
      <w:lvlJc w:val="left"/>
      <w:pPr>
        <w:tabs>
          <w:tab w:val="num" w:pos="720"/>
        </w:tabs>
        <w:ind w:left="0" w:firstLine="720"/>
      </w:pPr>
      <w:rPr>
        <w:rFonts w:hint="default"/>
        <w:b w:val="0"/>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EC402F6"/>
    <w:multiLevelType w:val="hybridMultilevel"/>
    <w:tmpl w:val="E7D808FC"/>
    <w:lvl w:ilvl="0" w:tplc="C40A67D6">
      <w:start w:val="2"/>
      <w:numFmt w:val="upperLetter"/>
      <w:lvlText w:val="%1."/>
      <w:lvlJc w:val="left"/>
      <w:pPr>
        <w:tabs>
          <w:tab w:val="num" w:pos="1440"/>
        </w:tabs>
        <w:ind w:left="1440" w:hanging="720"/>
      </w:pPr>
      <w:rPr>
        <w:rFonts w:hint="default"/>
      </w:rPr>
    </w:lvl>
    <w:lvl w:ilvl="1" w:tplc="2B26BAEC">
      <w:start w:val="1"/>
      <w:numFmt w:val="decimal"/>
      <w:lvlText w:val="%2."/>
      <w:lvlJc w:val="left"/>
      <w:pPr>
        <w:tabs>
          <w:tab w:val="num" w:pos="1800"/>
        </w:tabs>
        <w:ind w:left="1800" w:hanging="360"/>
      </w:pPr>
      <w:rPr>
        <w:rFont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revisionView w:markup="0"/>
  <w:doNotTrackMoves/>
  <w:defaultTabStop w:val="720"/>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A396C"/>
    <w:rsid w:val="00004590"/>
    <w:rsid w:val="00024464"/>
    <w:rsid w:val="000332E0"/>
    <w:rsid w:val="0004786C"/>
    <w:rsid w:val="00082690"/>
    <w:rsid w:val="00092858"/>
    <w:rsid w:val="000C7B22"/>
    <w:rsid w:val="000D3E9E"/>
    <w:rsid w:val="000F52F3"/>
    <w:rsid w:val="000F7F56"/>
    <w:rsid w:val="00136BEE"/>
    <w:rsid w:val="00141DA7"/>
    <w:rsid w:val="001530CB"/>
    <w:rsid w:val="00157965"/>
    <w:rsid w:val="001A09E1"/>
    <w:rsid w:val="001D618C"/>
    <w:rsid w:val="001E3C6A"/>
    <w:rsid w:val="001F2DD5"/>
    <w:rsid w:val="00201431"/>
    <w:rsid w:val="00220962"/>
    <w:rsid w:val="0022559C"/>
    <w:rsid w:val="00257654"/>
    <w:rsid w:val="00295DFD"/>
    <w:rsid w:val="002A3913"/>
    <w:rsid w:val="002A5058"/>
    <w:rsid w:val="002B57C0"/>
    <w:rsid w:val="002C3A8E"/>
    <w:rsid w:val="002C4E36"/>
    <w:rsid w:val="002C6DB4"/>
    <w:rsid w:val="002F07DE"/>
    <w:rsid w:val="00316462"/>
    <w:rsid w:val="00346FA0"/>
    <w:rsid w:val="00347776"/>
    <w:rsid w:val="00365C0E"/>
    <w:rsid w:val="00370217"/>
    <w:rsid w:val="003A0480"/>
    <w:rsid w:val="003A3D9A"/>
    <w:rsid w:val="003B5459"/>
    <w:rsid w:val="003C63F8"/>
    <w:rsid w:val="003E14D7"/>
    <w:rsid w:val="003F41FB"/>
    <w:rsid w:val="004151D0"/>
    <w:rsid w:val="004E5DE2"/>
    <w:rsid w:val="004F2976"/>
    <w:rsid w:val="004F7919"/>
    <w:rsid w:val="00515922"/>
    <w:rsid w:val="00515B40"/>
    <w:rsid w:val="00522F6A"/>
    <w:rsid w:val="0056323F"/>
    <w:rsid w:val="00582141"/>
    <w:rsid w:val="005936CA"/>
    <w:rsid w:val="00594762"/>
    <w:rsid w:val="005A0F2F"/>
    <w:rsid w:val="005A396C"/>
    <w:rsid w:val="005C4428"/>
    <w:rsid w:val="005C6101"/>
    <w:rsid w:val="006017C3"/>
    <w:rsid w:val="00604ADB"/>
    <w:rsid w:val="0061078B"/>
    <w:rsid w:val="00626C13"/>
    <w:rsid w:val="00666993"/>
    <w:rsid w:val="006C0210"/>
    <w:rsid w:val="006E55A7"/>
    <w:rsid w:val="007505B8"/>
    <w:rsid w:val="007B2740"/>
    <w:rsid w:val="007C2A52"/>
    <w:rsid w:val="007C3DB5"/>
    <w:rsid w:val="00807099"/>
    <w:rsid w:val="0081474A"/>
    <w:rsid w:val="008206E3"/>
    <w:rsid w:val="00823868"/>
    <w:rsid w:val="00853A89"/>
    <w:rsid w:val="008708C2"/>
    <w:rsid w:val="008C6824"/>
    <w:rsid w:val="008E3D2B"/>
    <w:rsid w:val="008F593E"/>
    <w:rsid w:val="0090115C"/>
    <w:rsid w:val="00935E16"/>
    <w:rsid w:val="0096728B"/>
    <w:rsid w:val="009C60FF"/>
    <w:rsid w:val="009E3A2C"/>
    <w:rsid w:val="009F730C"/>
    <w:rsid w:val="00A33D04"/>
    <w:rsid w:val="00A53672"/>
    <w:rsid w:val="00A74F4D"/>
    <w:rsid w:val="00A86A08"/>
    <w:rsid w:val="00AD17C9"/>
    <w:rsid w:val="00AD2A18"/>
    <w:rsid w:val="00AF3476"/>
    <w:rsid w:val="00B27EDA"/>
    <w:rsid w:val="00B312B7"/>
    <w:rsid w:val="00B34E6F"/>
    <w:rsid w:val="00B71524"/>
    <w:rsid w:val="00BA4529"/>
    <w:rsid w:val="00BD5422"/>
    <w:rsid w:val="00BF2F23"/>
    <w:rsid w:val="00BF52BC"/>
    <w:rsid w:val="00C25386"/>
    <w:rsid w:val="00C4511C"/>
    <w:rsid w:val="00C46F31"/>
    <w:rsid w:val="00C67A0C"/>
    <w:rsid w:val="00C865FA"/>
    <w:rsid w:val="00CE385E"/>
    <w:rsid w:val="00CE6391"/>
    <w:rsid w:val="00D12014"/>
    <w:rsid w:val="00D812C4"/>
    <w:rsid w:val="00D85F13"/>
    <w:rsid w:val="00DC31FD"/>
    <w:rsid w:val="00DC72D9"/>
    <w:rsid w:val="00DD3365"/>
    <w:rsid w:val="00E207A2"/>
    <w:rsid w:val="00E20B27"/>
    <w:rsid w:val="00E26083"/>
    <w:rsid w:val="00E423D1"/>
    <w:rsid w:val="00E50990"/>
    <w:rsid w:val="00E6277B"/>
    <w:rsid w:val="00E64DD3"/>
    <w:rsid w:val="00E83A09"/>
    <w:rsid w:val="00EE6B82"/>
    <w:rsid w:val="00F06431"/>
    <w:rsid w:val="00F13D8A"/>
    <w:rsid w:val="00F24508"/>
    <w:rsid w:val="00F25083"/>
    <w:rsid w:val="00F26A79"/>
    <w:rsid w:val="00F60D57"/>
    <w:rsid w:val="00FA054D"/>
    <w:rsid w:val="00FA3377"/>
    <w:rsid w:val="00FA53E6"/>
    <w:rsid w:val="00FC1EF0"/>
    <w:rsid w:val="00FD7DE0"/>
    <w:rsid w:val="00FE3E84"/>
    <w:rsid w:val="00FF55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link w:val="FooterChar"/>
    <w:uiPriority w:val="99"/>
    <w:rsid w:val="005A396C"/>
    <w:pPr>
      <w:pBdr>
        <w:top w:val="nil"/>
        <w:left w:val="nil"/>
        <w:bottom w:val="nil"/>
        <w:right w:val="nil"/>
        <w:between w:val="nil"/>
        <w:bar w:val="nil"/>
      </w:pBdr>
      <w:tabs>
        <w:tab w:val="center" w:pos="4513"/>
        <w:tab w:val="right" w:pos="9026"/>
      </w:tabs>
    </w:pPr>
    <w:rPr>
      <w:rFonts w:ascii="Cambria" w:eastAsia="Cambria" w:hAnsi="Cambria" w:cs="Cambria"/>
      <w:color w:val="000000"/>
      <w:sz w:val="24"/>
      <w:szCs w:val="24"/>
      <w:u w:color="000000"/>
      <w:bdr w:val="nil"/>
      <w:lang w:eastAsia="es-ES"/>
    </w:rPr>
  </w:style>
  <w:style w:type="character" w:customStyle="1" w:styleId="FooterChar">
    <w:name w:val="Footer Char"/>
    <w:link w:val="Footer"/>
    <w:uiPriority w:val="99"/>
    <w:rsid w:val="005A396C"/>
    <w:rPr>
      <w:rFonts w:ascii="Cambria" w:eastAsia="Cambria" w:hAnsi="Cambria" w:cs="Cambria"/>
      <w:color w:val="000000"/>
      <w:sz w:val="24"/>
      <w:szCs w:val="24"/>
      <w:u w:color="000000"/>
      <w:bdr w:val="nil"/>
      <w:lang w:eastAsia="es-ES"/>
    </w:rPr>
  </w:style>
  <w:style w:type="paragraph" w:styleId="ListParagraph">
    <w:name w:val="List Paragraph"/>
    <w:uiPriority w:val="34"/>
    <w:qFormat/>
    <w:rsid w:val="005A396C"/>
    <w:pPr>
      <w:pBdr>
        <w:top w:val="nil"/>
        <w:left w:val="nil"/>
        <w:bottom w:val="nil"/>
        <w:right w:val="nil"/>
        <w:between w:val="nil"/>
        <w:bar w:val="nil"/>
      </w:pBdr>
      <w:ind w:left="720"/>
    </w:pPr>
    <w:rPr>
      <w:rFonts w:ascii="Cambria" w:eastAsia="Cambria" w:hAnsi="Cambria" w:cs="Cambria"/>
      <w:color w:val="000000"/>
      <w:sz w:val="24"/>
      <w:szCs w:val="24"/>
      <w:u w:color="000000"/>
      <w:bdr w:val="nil"/>
      <w:lang w:eastAsia="es-ES"/>
    </w:rPr>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
    <w:link w:val="FootnoteTextChar"/>
    <w:rsid w:val="005A396C"/>
    <w:pPr>
      <w:pBdr>
        <w:top w:val="nil"/>
        <w:left w:val="nil"/>
        <w:bottom w:val="nil"/>
        <w:right w:val="nil"/>
        <w:between w:val="nil"/>
        <w:bar w:val="nil"/>
      </w:pBdr>
    </w:pPr>
    <w:rPr>
      <w:rFonts w:cs="Calibri"/>
      <w:color w:val="000000"/>
      <w:u w:color="000000"/>
      <w:bdr w:val="nil"/>
      <w:lang w:eastAsia="es-E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 Char"/>
    <w:link w:val="FootnoteText"/>
    <w:rsid w:val="005A396C"/>
    <w:rPr>
      <w:rFonts w:cs="Calibri"/>
      <w:color w:val="000000"/>
      <w:u w:color="000000"/>
      <w:bdr w:val="nil"/>
      <w:lang w:eastAsia="es-ES"/>
    </w:rPr>
  </w:style>
  <w:style w:type="paragraph" w:styleId="Header">
    <w:name w:val="header"/>
    <w:aliases w:val="encabezado"/>
    <w:basedOn w:val="Normal"/>
    <w:link w:val="HeaderChar"/>
    <w:rsid w:val="005A396C"/>
    <w:pPr>
      <w:widowControl w:val="0"/>
      <w:tabs>
        <w:tab w:val="center" w:pos="4320"/>
        <w:tab w:val="right" w:pos="8640"/>
      </w:tabs>
      <w:snapToGrid w:val="0"/>
      <w:spacing w:after="0" w:line="240" w:lineRule="auto"/>
    </w:pPr>
    <w:rPr>
      <w:rFonts w:ascii="Univers" w:eastAsia="Times New Roman" w:hAnsi="Univers" w:cs="Univers"/>
      <w:sz w:val="24"/>
      <w:szCs w:val="24"/>
      <w:lang w:val="es-ES"/>
    </w:rPr>
  </w:style>
  <w:style w:type="character" w:customStyle="1" w:styleId="HeaderChar">
    <w:name w:val="Header Char"/>
    <w:aliases w:val="encabezado Char"/>
    <w:link w:val="Header"/>
    <w:rsid w:val="005A396C"/>
    <w:rPr>
      <w:rFonts w:ascii="Univers" w:eastAsia="Times New Roman" w:hAnsi="Univers" w:cs="Univers"/>
      <w:sz w:val="24"/>
      <w:szCs w:val="24"/>
      <w:lang w:val="es-ES"/>
    </w:rPr>
  </w:style>
  <w:style w:type="character" w:styleId="PageNumber">
    <w:name w:val="page number"/>
    <w:rsid w:val="005A396C"/>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unhideWhenUsed/>
    <w:rsid w:val="005A396C"/>
    <w:rPr>
      <w:vertAlign w:val="superscript"/>
    </w:rPr>
  </w:style>
  <w:style w:type="paragraph" w:styleId="BodyText">
    <w:name w:val="Body Text"/>
    <w:basedOn w:val="Normal"/>
    <w:link w:val="BodyTextChar"/>
    <w:uiPriority w:val="99"/>
    <w:unhideWhenUsed/>
    <w:rsid w:val="005A396C"/>
    <w:pPr>
      <w:pBdr>
        <w:top w:val="nil"/>
        <w:left w:val="nil"/>
        <w:bottom w:val="nil"/>
        <w:right w:val="nil"/>
        <w:between w:val="nil"/>
        <w:bar w:val="nil"/>
      </w:pBdr>
      <w:spacing w:after="120" w:line="240" w:lineRule="auto"/>
    </w:pPr>
    <w:rPr>
      <w:rFonts w:ascii="Times New Roman" w:eastAsia="Arial Unicode MS" w:hAnsi="Times New Roman"/>
      <w:sz w:val="24"/>
      <w:szCs w:val="24"/>
      <w:bdr w:val="nil"/>
      <w:lang w:val="es-ES"/>
    </w:rPr>
  </w:style>
  <w:style w:type="character" w:customStyle="1" w:styleId="BodyTextChar">
    <w:name w:val="Body Text Char"/>
    <w:link w:val="BodyText"/>
    <w:uiPriority w:val="99"/>
    <w:rsid w:val="005A396C"/>
    <w:rPr>
      <w:rFonts w:ascii="Times New Roman" w:eastAsia="Arial Unicode MS" w:hAnsi="Times New Roman"/>
      <w:sz w:val="24"/>
      <w:szCs w:val="24"/>
      <w:bdr w:val="nil"/>
      <w:lang w:val="es-ES"/>
    </w:rPr>
  </w:style>
  <w:style w:type="character" w:styleId="PlaceholderText">
    <w:name w:val="Placeholder Text"/>
    <w:uiPriority w:val="99"/>
    <w:semiHidden/>
    <w:rsid w:val="005A396C"/>
    <w:rPr>
      <w:color w:val="808080"/>
    </w:rPr>
  </w:style>
  <w:style w:type="character" w:customStyle="1" w:styleId="Style1">
    <w:name w:val="Style1"/>
    <w:uiPriority w:val="1"/>
    <w:rsid w:val="005A396C"/>
    <w:rPr>
      <w:rFonts w:ascii="Cambria" w:hAnsi="Cambria"/>
      <w:b w:val="0"/>
      <w:i w:val="0"/>
      <w:caps/>
      <w:smallCaps w:val="0"/>
      <w:sz w:val="18"/>
    </w:rPr>
  </w:style>
  <w:style w:type="character" w:styleId="CommentReference">
    <w:name w:val="annotation reference"/>
    <w:uiPriority w:val="99"/>
    <w:semiHidden/>
    <w:unhideWhenUsed/>
    <w:rsid w:val="000D3E9E"/>
    <w:rPr>
      <w:sz w:val="16"/>
      <w:szCs w:val="16"/>
    </w:rPr>
  </w:style>
  <w:style w:type="paragraph" w:styleId="CommentText">
    <w:name w:val="annotation text"/>
    <w:basedOn w:val="Normal"/>
    <w:link w:val="CommentTextChar"/>
    <w:uiPriority w:val="99"/>
    <w:semiHidden/>
    <w:unhideWhenUsed/>
    <w:rsid w:val="000D3E9E"/>
    <w:rPr>
      <w:sz w:val="20"/>
      <w:szCs w:val="20"/>
    </w:rPr>
  </w:style>
  <w:style w:type="character" w:customStyle="1" w:styleId="CommentTextChar">
    <w:name w:val="Comment Text Char"/>
    <w:basedOn w:val="DefaultParagraphFont"/>
    <w:link w:val="CommentText"/>
    <w:uiPriority w:val="99"/>
    <w:semiHidden/>
    <w:rsid w:val="000D3E9E"/>
  </w:style>
  <w:style w:type="paragraph" w:styleId="CommentSubject">
    <w:name w:val="annotation subject"/>
    <w:basedOn w:val="CommentText"/>
    <w:next w:val="CommentText"/>
    <w:link w:val="CommentSubjectChar"/>
    <w:uiPriority w:val="99"/>
    <w:semiHidden/>
    <w:unhideWhenUsed/>
    <w:rsid w:val="000D3E9E"/>
    <w:rPr>
      <w:b/>
      <w:bCs/>
    </w:rPr>
  </w:style>
  <w:style w:type="character" w:customStyle="1" w:styleId="CommentSubjectChar">
    <w:name w:val="Comment Subject Char"/>
    <w:link w:val="CommentSubject"/>
    <w:uiPriority w:val="99"/>
    <w:semiHidden/>
    <w:rsid w:val="000D3E9E"/>
    <w:rPr>
      <w:b/>
      <w:bCs/>
    </w:rPr>
  </w:style>
  <w:style w:type="paragraph" w:styleId="BalloonText">
    <w:name w:val="Balloon Text"/>
    <w:basedOn w:val="Normal"/>
    <w:link w:val="BalloonTextChar"/>
    <w:uiPriority w:val="99"/>
    <w:semiHidden/>
    <w:unhideWhenUsed/>
    <w:rsid w:val="000D3E9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D3E9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20FC91-6958-446F-9E82-EAA326ADDF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4219</Words>
  <Characters>24054</Characters>
  <Application>Microsoft Office Word</Application>
  <DocSecurity>0</DocSecurity>
  <Lines>200</Lines>
  <Paragraphs>56</Paragraphs>
  <ScaleCrop>false</ScaleCrop>
  <Company/>
  <LinksUpToDate>false</LinksUpToDate>
  <CharactersWithSpaces>28217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62/16</dc:title>
  <dc:creator/>
  <cp:lastModifiedBy/>
  <cp:revision>1</cp:revision>
  <dcterms:created xsi:type="dcterms:W3CDTF">2017-02-02T20:34:00Z</dcterms:created>
  <dcterms:modified xsi:type="dcterms:W3CDTF">2017-02-02T20:34:00Z</dcterms:modified>
</cp:coreProperties>
</file>